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4.xml" ContentType="application/vnd.openxmlformats-officedocument.wordprocessingml.header+xml"/>
  <Override PartName="/word/footer21.xml" ContentType="application/vnd.openxmlformats-officedocument.wordprocessingml.footer+xml"/>
  <Override PartName="/word/header1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6.xml" ContentType="application/vnd.openxmlformats-officedocument.wordprocessingml.header+xml"/>
  <Override PartName="/word/footer2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9.xml" ContentType="application/vnd.openxmlformats-officedocument.wordprocessingml.header+xml"/>
  <Override PartName="/word/footer2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8.xml" ContentType="application/vnd.openxmlformats-officedocument.wordprocessingml.footer+xml"/>
  <Override PartName="/word/header22.xml" ContentType="application/vnd.openxmlformats-officedocument.wordprocessingml.header+xml"/>
  <Override PartName="/word/footer29.xml" ContentType="application/vnd.openxmlformats-officedocument.wordprocessingml.footer+xml"/>
  <Override PartName="/word/header23.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4.xml" ContentType="application/vnd.openxmlformats-officedocument.wordprocessingml.header+xml"/>
  <Override PartName="/word/footer32.xml" ContentType="application/vnd.openxmlformats-officedocument.wordprocessingml.footer+xml"/>
  <Override PartName="/word/header25.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6.xml" ContentType="application/vnd.openxmlformats-officedocument.wordprocessingml.header+xml"/>
  <Override PartName="/word/footer3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9.xml" ContentType="application/vnd.openxmlformats-officedocument.wordprocessingml.header+xml"/>
  <Override PartName="/word/footer3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footer41.xml" ContentType="application/vnd.openxmlformats-officedocument.wordprocessingml.footer+xml"/>
  <Override PartName="/word/header33.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5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A6AA9" w14:textId="1DEEEF18" w:rsidR="00E2251B" w:rsidRDefault="00161D92" w:rsidP="00E2251B">
      <w:pPr>
        <w:pStyle w:val="ARpublicationtitle"/>
      </w:pPr>
      <w:bookmarkStart w:id="0" w:name="_Toc81926195"/>
      <w:bookmarkStart w:id="1" w:name="_Toc82006183"/>
      <w:bookmarkStart w:id="2" w:name="_Ref85114122"/>
      <w:bookmarkStart w:id="3" w:name="_Toc21682715"/>
      <w:bookmarkStart w:id="4" w:name="_Toc54690762"/>
      <w:bookmarkStart w:id="5" w:name="_Toc520974733"/>
      <w:bookmarkStart w:id="6" w:name="_Toc524788314"/>
      <w:bookmarkStart w:id="7" w:name="_Ref525047369"/>
      <w:bookmarkStart w:id="8" w:name="_Ref21862080"/>
      <w:bookmarkStart w:id="9" w:name="_Toc50996881"/>
      <w:bookmarkStart w:id="10" w:name="_Toc50998471"/>
      <w:bookmarkStart w:id="11" w:name="_Toc54690825"/>
      <w:bookmarkStart w:id="12" w:name="_Toc82006219"/>
      <w:bookmarkStart w:id="13" w:name="_Toc431639278"/>
      <w:bookmarkStart w:id="14" w:name="_Toc462577213"/>
      <w:bookmarkStart w:id="15" w:name="_Toc463776641"/>
      <w:bookmarkStart w:id="16" w:name="_Ref492895417"/>
      <w:bookmarkStart w:id="17" w:name="_Toc520974737"/>
      <w:r>
        <w:t>Department of Families, Fairness and Housing Annual Report 202</w:t>
      </w:r>
      <w:r w:rsidR="00024BDC">
        <w:t>4</w:t>
      </w:r>
      <w:r>
        <w:t>–2</w:t>
      </w:r>
      <w:r w:rsidR="00024BDC">
        <w:t>5</w:t>
      </w:r>
    </w:p>
    <w:p w14:paraId="15ABCF7D" w14:textId="79746203" w:rsidR="00F366BB" w:rsidRPr="00E2251B" w:rsidRDefault="00B009DC" w:rsidP="00E2251B">
      <w:pPr>
        <w:pStyle w:val="ARbody"/>
        <w:rPr>
          <w:rStyle w:val="Strong"/>
          <w:b w:val="0"/>
          <w:bCs w:val="0"/>
        </w:rPr>
      </w:pPr>
      <w:r>
        <w:rPr>
          <w:noProof/>
        </w:rPr>
        <w:drawing>
          <wp:anchor distT="0" distB="0" distL="114300" distR="114300" simplePos="0" relativeHeight="251658240" behindDoc="0" locked="1" layoutInCell="1" allowOverlap="1" wp14:anchorId="00E10009" wp14:editId="615E919D">
            <wp:simplePos x="0" y="0"/>
            <wp:positionH relativeFrom="page">
              <wp:align>left</wp:align>
            </wp:positionH>
            <wp:positionV relativeFrom="page">
              <wp:align>top</wp:align>
            </wp:positionV>
            <wp:extent cx="7560000" cy="10688400"/>
            <wp:effectExtent l="0" t="0" r="3175" b="0"/>
            <wp:wrapNone/>
            <wp:docPr id="245200060" name="Picture 6" descr="Department of Families, Fairness and Housing Annual Report 2024–25&#10;Victoria State Government&#10;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00060" name="Picture 6" descr="Department of Families, Fairness and Housing Annual Report 2024–25&#10;Victoria State Government&#10;Families, Fairness and Housing"/>
                    <pic:cNvPicPr/>
                  </pic:nvPicPr>
                  <pic:blipFill>
                    <a:blip r:embed="rId11">
                      <a:extLst>
                        <a:ext uri="{28A0092B-C50C-407E-A947-70E740481C1C}">
                          <a14:useLocalDpi xmlns:a14="http://schemas.microsoft.com/office/drawing/2010/main"/>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rsidR="00F366BB" w:rsidRPr="00B3051F">
        <w:rPr>
          <w:rStyle w:val="Strong"/>
          <w:b w:val="0"/>
          <w:bCs w:val="0"/>
        </w:rPr>
        <w:br w:type="page"/>
      </w:r>
    </w:p>
    <w:p w14:paraId="5543927A" w14:textId="77777777" w:rsidR="00387F2A" w:rsidRPr="00E17938" w:rsidRDefault="00387F2A" w:rsidP="00E17938">
      <w:pPr>
        <w:pStyle w:val="ARbody"/>
        <w:rPr>
          <w:rStyle w:val="Strong"/>
        </w:rPr>
      </w:pPr>
      <w:bookmarkStart w:id="18" w:name="Page2"/>
      <w:r w:rsidRPr="00E17938">
        <w:rPr>
          <w:rStyle w:val="Strong"/>
        </w:rPr>
        <w:lastRenderedPageBreak/>
        <w:t xml:space="preserve">The department proudly acknowledges </w:t>
      </w:r>
      <w:bookmarkEnd w:id="18"/>
      <w:r w:rsidRPr="00E17938">
        <w:rPr>
          <w:rStyle w:val="Strong"/>
        </w:rPr>
        <w:t>Victoria’s Aboriginal communities and their rich culture and pays respect to their Elders past and present.</w:t>
      </w:r>
    </w:p>
    <w:p w14:paraId="1C5741E4" w14:textId="77777777" w:rsidR="00387F2A" w:rsidRPr="00E17938" w:rsidRDefault="00387F2A" w:rsidP="00E17938">
      <w:pPr>
        <w:pStyle w:val="ARbody"/>
        <w:rPr>
          <w:rStyle w:val="Strong"/>
        </w:rPr>
      </w:pPr>
      <w:r w:rsidRPr="00E17938">
        <w:rPr>
          <w:rStyle w:val="Strong"/>
        </w:rPr>
        <w:t>We acknowledge Aboriginal people as Australia’s First Peoples and as the Traditional Owners and custodians of the land and water on which we rely.</w:t>
      </w:r>
    </w:p>
    <w:p w14:paraId="5A878D10" w14:textId="77777777" w:rsidR="00387F2A" w:rsidRPr="00E17938" w:rsidRDefault="00387F2A" w:rsidP="00E17938">
      <w:pPr>
        <w:pStyle w:val="ARbody"/>
        <w:rPr>
          <w:rStyle w:val="Strong"/>
        </w:rPr>
      </w:pPr>
      <w:r w:rsidRPr="00E17938">
        <w:rPr>
          <w:rStyle w:val="Strong"/>
        </w:rPr>
        <w:t>We recognise and value the ongoing contribution of Aboriginal people and communities to Victorian life and how this enriches us.</w:t>
      </w:r>
    </w:p>
    <w:p w14:paraId="1D3B725C" w14:textId="51DEEF02" w:rsidR="00387F2A" w:rsidRPr="001C64BE" w:rsidRDefault="00387F2A" w:rsidP="00E17938">
      <w:pPr>
        <w:pStyle w:val="ARbody"/>
        <w:rPr>
          <w:rStyle w:val="Strong"/>
          <w:b w:val="0"/>
          <w:bCs w:val="0"/>
        </w:rPr>
      </w:pPr>
      <w:r w:rsidRPr="00E17938">
        <w:rPr>
          <w:rStyle w:val="Strong"/>
        </w:rPr>
        <w:t>We embrace the spirit of reconciliation, working towards the equality of outcomes and ensuring an equal voice</w:t>
      </w:r>
      <w:r w:rsidRPr="002029AF">
        <w:rPr>
          <w:rStyle w:val="Strong"/>
        </w:rPr>
        <w:t>.</w:t>
      </w:r>
    </w:p>
    <w:p w14:paraId="0C9EFB35" w14:textId="3F847FEA" w:rsidR="00387F2A" w:rsidRPr="00682011" w:rsidRDefault="00387F2A" w:rsidP="00B55528">
      <w:pPr>
        <w:pStyle w:val="ARbody"/>
        <w:spacing w:before="4000"/>
      </w:pPr>
      <w:r w:rsidRPr="00682011">
        <w:t xml:space="preserve">To receive this publication in an accessible format, email </w:t>
      </w:r>
      <w:hyperlink r:id="rId12" w:history="1">
        <w:r w:rsidRPr="00682011">
          <w:rPr>
            <w:rStyle w:val="Hyperlink"/>
          </w:rPr>
          <w:t>DFFHcorporate.reporting@dffh.vic.gov.au</w:t>
        </w:r>
      </w:hyperlink>
      <w:r w:rsidRPr="00682011">
        <w:t>.</w:t>
      </w:r>
    </w:p>
    <w:p w14:paraId="4A17D42E" w14:textId="77777777" w:rsidR="00387F2A" w:rsidRPr="00682011" w:rsidRDefault="00387F2A" w:rsidP="00387F2A">
      <w:pPr>
        <w:pStyle w:val="ARbody"/>
      </w:pPr>
      <w:r w:rsidRPr="00682011">
        <w:t>Authorised and published by the Victorian Government, 1 Treasury Place, Melbourne.</w:t>
      </w:r>
    </w:p>
    <w:p w14:paraId="0F33BDD5" w14:textId="77777777" w:rsidR="00387F2A" w:rsidRPr="00682011" w:rsidRDefault="00387F2A" w:rsidP="00387F2A">
      <w:pPr>
        <w:pStyle w:val="ARbody"/>
      </w:pPr>
      <w:r w:rsidRPr="00682011">
        <w:t>© State of Victoria, Australia (Department of Family, Fairness and Housing</w:t>
      </w:r>
      <w:r w:rsidRPr="00660AAB">
        <w:t>), October 2025.</w:t>
      </w:r>
    </w:p>
    <w:p w14:paraId="4F06550B" w14:textId="77777777" w:rsidR="00387F2A" w:rsidRPr="000953CE" w:rsidRDefault="00387F2A" w:rsidP="00387F2A">
      <w:pPr>
        <w:pStyle w:val="ARbody"/>
        <w:rPr>
          <w:highlight w:val="cyan"/>
        </w:rPr>
      </w:pPr>
      <w:r w:rsidRPr="000953CE">
        <w:rPr>
          <w:noProof/>
          <w:highlight w:val="cyan"/>
          <w:lang w:eastAsia="en-AU" w:bidi="as-IN"/>
        </w:rPr>
        <w:drawing>
          <wp:inline distT="0" distB="0" distL="0" distR="0" wp14:anchorId="2D9FB993" wp14:editId="639F0648">
            <wp:extent cx="1233170" cy="425450"/>
            <wp:effectExtent l="0" t="0" r="5080" b="0"/>
            <wp:docPr id="1095398416"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cstate="screen">
                      <a:extLst>
                        <a:ext uri="{28A0092B-C50C-407E-A947-70E740481C1C}">
                          <a14:useLocalDpi xmlns:a14="http://schemas.microsoft.com/office/drawing/2010/main"/>
                        </a:ext>
                      </a:extLst>
                    </a:blip>
                    <a:stretch>
                      <a:fillRect/>
                    </a:stretch>
                  </pic:blipFill>
                  <pic:spPr>
                    <a:xfrm>
                      <a:off x="0" y="0"/>
                      <a:ext cx="1233170" cy="425450"/>
                    </a:xfrm>
                    <a:prstGeom prst="rect">
                      <a:avLst/>
                    </a:prstGeom>
                  </pic:spPr>
                </pic:pic>
              </a:graphicData>
            </a:graphic>
          </wp:inline>
        </w:drawing>
      </w:r>
    </w:p>
    <w:p w14:paraId="40F95778" w14:textId="10E48A5B" w:rsidR="00387F2A" w:rsidRPr="00682011" w:rsidRDefault="00387F2A" w:rsidP="00387F2A">
      <w:pPr>
        <w:pStyle w:val="ARbody"/>
      </w:pPr>
      <w:proofErr w:type="gramStart"/>
      <w:r w:rsidRPr="00682011">
        <w:t>With the exception of</w:t>
      </w:r>
      <w:proofErr w:type="gramEnd"/>
      <w:r w:rsidRPr="00682011">
        <w:t xml:space="preserve"> any images, photographs or branding (including, but not limited to the Victorian Coat of Arms, the Victorian Government logo or the Department of Families, Fairness and Housing logo), this work,</w:t>
      </w:r>
      <w:r w:rsidRPr="00E06E63">
        <w:rPr>
          <w:rStyle w:val="Emphasis"/>
        </w:rPr>
        <w:t xml:space="preserve"> Department of Families, Fairness and Housing Annual Report 2024–25,</w:t>
      </w:r>
      <w:r w:rsidRPr="00682011">
        <w:t xml:space="preserve"> is licensed under a Creative Commons Attribution 4.0 licence.</w:t>
      </w:r>
    </w:p>
    <w:p w14:paraId="389D7395" w14:textId="77777777" w:rsidR="00387F2A" w:rsidRPr="00682011" w:rsidRDefault="00387F2A" w:rsidP="00387F2A">
      <w:pPr>
        <w:pStyle w:val="ARbody"/>
      </w:pPr>
      <w:r w:rsidRPr="00CE4AEE">
        <w:t xml:space="preserve">Consistent with the </w:t>
      </w:r>
      <w:proofErr w:type="spellStart"/>
      <w:r w:rsidRPr="00CE4AEE">
        <w:t>DataVic</w:t>
      </w:r>
      <w:proofErr w:type="spellEnd"/>
      <w:r w:rsidRPr="00CE4AEE">
        <w:t xml:space="preserve"> access policy, the information included in tables in this annual report will be available in machine-readable format from the </w:t>
      </w:r>
      <w:proofErr w:type="spellStart"/>
      <w:r w:rsidRPr="00CE4AEE">
        <w:t>DataVic</w:t>
      </w:r>
      <w:proofErr w:type="spellEnd"/>
      <w:r w:rsidRPr="00CE4AEE">
        <w:t xml:space="preserve"> website.</w:t>
      </w:r>
    </w:p>
    <w:p w14:paraId="0B67DE91" w14:textId="4CD95687" w:rsidR="00387F2A" w:rsidRPr="007A0AF0" w:rsidRDefault="00387F2A" w:rsidP="00387F2A">
      <w:pPr>
        <w:pStyle w:val="ARbody"/>
        <w:rPr>
          <w:highlight w:val="cyan"/>
        </w:rPr>
      </w:pPr>
      <w:r w:rsidRPr="00533C1C">
        <w:t>The terms and conditions of this licence, including disclaimer of warranties and limitation of liability</w:t>
      </w:r>
      <w:r>
        <w:t>,</w:t>
      </w:r>
      <w:r w:rsidRPr="00533C1C">
        <w:t xml:space="preserve"> are available at </w:t>
      </w:r>
      <w:hyperlink r:id="rId14" w:history="1">
        <w:r w:rsidRPr="00533C1C">
          <w:rPr>
            <w:rStyle w:val="Hyperlink"/>
          </w:rPr>
          <w:t>Creative Commons Attribution 4.0 International</w:t>
        </w:r>
      </w:hyperlink>
      <w:r w:rsidR="00F14141">
        <w:t>.</w:t>
      </w:r>
      <w:r w:rsidR="00F14141">
        <w:rPr>
          <w:rStyle w:val="FootnoteReference"/>
        </w:rPr>
        <w:footnoteReference w:id="2"/>
      </w:r>
      <w:r w:rsidRPr="00533C1C">
        <w:t xml:space="preserve"> </w:t>
      </w:r>
    </w:p>
    <w:p w14:paraId="2AD22670" w14:textId="77777777" w:rsidR="00387F2A" w:rsidRPr="00B77473" w:rsidRDefault="00387F2A" w:rsidP="00387F2A">
      <w:pPr>
        <w:pStyle w:val="ARbody"/>
      </w:pPr>
      <w:r w:rsidRPr="00B77473">
        <w:t>You are free to reuse the work under that licence, on the condition that you credit the State of Victoria, Australia (Department of Families, Fairness and Housing) as the author and/or owner of the work, indicate if any changes have been made to the work and comply with the other licence terms.</w:t>
      </w:r>
    </w:p>
    <w:p w14:paraId="5B194E48" w14:textId="77777777" w:rsidR="00387F2A" w:rsidRPr="00B77473" w:rsidRDefault="00387F2A" w:rsidP="00387F2A">
      <w:pPr>
        <w:pStyle w:val="ARbody"/>
      </w:pPr>
      <w:r w:rsidRPr="00B77473">
        <w:t xml:space="preserve">In this document, </w:t>
      </w:r>
      <w:r>
        <w:t>‘</w:t>
      </w:r>
      <w:r w:rsidRPr="00B77473">
        <w:t>Aboriginal</w:t>
      </w:r>
      <w:r>
        <w:t>’</w:t>
      </w:r>
      <w:r w:rsidRPr="00B77473">
        <w:t xml:space="preserve"> refers to both Aboriginal and Torres Strait Islander people. </w:t>
      </w:r>
      <w:r>
        <w:t>‘</w:t>
      </w:r>
      <w:r w:rsidRPr="00B77473">
        <w:t>Indigenous</w:t>
      </w:r>
      <w:r>
        <w:t>’</w:t>
      </w:r>
      <w:r w:rsidRPr="00B77473">
        <w:t xml:space="preserve"> or </w:t>
      </w:r>
      <w:r>
        <w:t>‘</w:t>
      </w:r>
      <w:r w:rsidRPr="00B77473">
        <w:t>Koori/Koorie</w:t>
      </w:r>
      <w:r>
        <w:t>’</w:t>
      </w:r>
      <w:r w:rsidRPr="00B77473">
        <w:t xml:space="preserve"> is retained when part of the title of a report, program or quotation.</w:t>
      </w:r>
    </w:p>
    <w:p w14:paraId="74DD17D0" w14:textId="77777777" w:rsidR="00387F2A" w:rsidRPr="00153849" w:rsidRDefault="00387F2A" w:rsidP="00387F2A">
      <w:pPr>
        <w:pStyle w:val="ARbody"/>
      </w:pPr>
      <w:r w:rsidRPr="00053E3F">
        <w:t xml:space="preserve">ISSN 2653-1976 – Online (pdf/word) </w:t>
      </w:r>
      <w:r w:rsidRPr="00053E3F">
        <w:rPr>
          <w:szCs w:val="20"/>
        </w:rPr>
        <w:t>(</w:t>
      </w:r>
      <w:r w:rsidRPr="00EB36C9">
        <w:rPr>
          <w:szCs w:val="20"/>
        </w:rPr>
        <w:t>2507388</w:t>
      </w:r>
      <w:r w:rsidRPr="00053E3F">
        <w:rPr>
          <w:szCs w:val="20"/>
        </w:rPr>
        <w:t>)</w:t>
      </w:r>
    </w:p>
    <w:p w14:paraId="23A2F6E4" w14:textId="18B6BE0E" w:rsidR="00AA61CC" w:rsidRDefault="00387F2A" w:rsidP="00387F2A">
      <w:pPr>
        <w:pStyle w:val="ARbody"/>
      </w:pPr>
      <w:r w:rsidRPr="00E24962">
        <w:rPr>
          <w:szCs w:val="19"/>
        </w:rPr>
        <w:t xml:space="preserve">Available at </w:t>
      </w:r>
      <w:hyperlink r:id="rId15" w:history="1">
        <w:r w:rsidRPr="00E24962">
          <w:rPr>
            <w:rStyle w:val="Hyperlink"/>
          </w:rPr>
          <w:t>Department of Families, Fairness and Housing Services annual reports</w:t>
        </w:r>
      </w:hyperlink>
      <w:r w:rsidR="00451BA5">
        <w:t>.</w:t>
      </w:r>
      <w:r w:rsidR="00451BA5">
        <w:rPr>
          <w:rStyle w:val="FootnoteReference"/>
        </w:rPr>
        <w:footnoteReference w:id="3"/>
      </w:r>
      <w:r w:rsidRPr="00E24962">
        <w:rPr>
          <w:szCs w:val="19"/>
        </w:rPr>
        <w:t xml:space="preserve"> </w:t>
      </w:r>
    </w:p>
    <w:p w14:paraId="15A06DB6" w14:textId="2832AA31" w:rsidR="00992DF9" w:rsidRDefault="00992DF9" w:rsidP="00387F2A">
      <w:pPr>
        <w:pStyle w:val="ARbody"/>
      </w:pPr>
      <w:r>
        <w:br w:type="page"/>
      </w:r>
    </w:p>
    <w:p w14:paraId="7366BDA8" w14:textId="7030DD50" w:rsidR="009B3C48" w:rsidRPr="00992DF9" w:rsidRDefault="0081234A" w:rsidP="00992DF9">
      <w:pPr>
        <w:pStyle w:val="Heading1"/>
        <w:rPr>
          <w:iCs/>
        </w:rPr>
      </w:pPr>
      <w:bookmarkStart w:id="19" w:name="_Responsible_body’s_declaration"/>
      <w:bookmarkStart w:id="20" w:name="_Ref178664362"/>
      <w:bookmarkStart w:id="21" w:name="_Toc212039503"/>
      <w:bookmarkEnd w:id="19"/>
      <w:r w:rsidRPr="00AA126F">
        <w:lastRenderedPageBreak/>
        <w:t>Responsible body</w:t>
      </w:r>
      <w:r w:rsidR="00711AE6">
        <w:t>’</w:t>
      </w:r>
      <w:r w:rsidRPr="00AA126F">
        <w:t>s declaration</w:t>
      </w:r>
      <w:bookmarkEnd w:id="0"/>
      <w:bookmarkEnd w:id="1"/>
      <w:bookmarkEnd w:id="2"/>
      <w:bookmarkEnd w:id="3"/>
      <w:bookmarkEnd w:id="4"/>
      <w:bookmarkEnd w:id="20"/>
      <w:bookmarkEnd w:id="21"/>
    </w:p>
    <w:p w14:paraId="11CC6FB9" w14:textId="77777777" w:rsidR="007464DB" w:rsidRPr="00F73D1E" w:rsidRDefault="007464DB" w:rsidP="007464DB">
      <w:pPr>
        <w:pStyle w:val="ARbodynospace"/>
        <w:rPr>
          <w:b/>
          <w:bCs/>
        </w:rPr>
      </w:pPr>
      <w:r w:rsidRPr="00F73D1E">
        <w:rPr>
          <w:b/>
          <w:bCs/>
        </w:rPr>
        <w:t xml:space="preserve">Hon Lizzie </w:t>
      </w:r>
      <w:proofErr w:type="spellStart"/>
      <w:r w:rsidRPr="00F73D1E">
        <w:rPr>
          <w:b/>
          <w:bCs/>
        </w:rPr>
        <w:t>Blandthorn</w:t>
      </w:r>
      <w:proofErr w:type="spellEnd"/>
      <w:r w:rsidRPr="00F73D1E">
        <w:rPr>
          <w:b/>
          <w:bCs/>
        </w:rPr>
        <w:t xml:space="preserve"> MP</w:t>
      </w:r>
    </w:p>
    <w:p w14:paraId="6AE6C959" w14:textId="77777777" w:rsidR="007464DB" w:rsidRPr="00FB003E" w:rsidRDefault="007464DB" w:rsidP="007464DB">
      <w:pPr>
        <w:pStyle w:val="ARbody"/>
        <w:spacing w:after="0"/>
      </w:pPr>
      <w:r w:rsidRPr="00FB003E">
        <w:t>Coordinating Minister for the Department of Families, Fairness and Housing</w:t>
      </w:r>
    </w:p>
    <w:p w14:paraId="32C73D90" w14:textId="77777777" w:rsidR="007464DB" w:rsidRPr="00F73D1E" w:rsidRDefault="007464DB" w:rsidP="007464DB">
      <w:pPr>
        <w:pStyle w:val="ARbody"/>
        <w:spacing w:after="0"/>
      </w:pPr>
      <w:r w:rsidRPr="00F73D1E">
        <w:t xml:space="preserve">Minister for Children </w:t>
      </w:r>
    </w:p>
    <w:p w14:paraId="20919C40" w14:textId="77777777" w:rsidR="007464DB" w:rsidRPr="00F73D1E" w:rsidRDefault="007464DB" w:rsidP="007464DB">
      <w:pPr>
        <w:pStyle w:val="ARbody"/>
        <w:spacing w:after="0"/>
      </w:pPr>
      <w:r w:rsidRPr="00F73D1E">
        <w:t>Minister for Disability</w:t>
      </w:r>
    </w:p>
    <w:p w14:paraId="0D23FC0D" w14:textId="1D3CEC13" w:rsidR="007464DB" w:rsidRPr="00F73D1E" w:rsidRDefault="007464DB" w:rsidP="007464DB">
      <w:pPr>
        <w:pStyle w:val="ARbodynospace"/>
        <w:spacing w:before="240"/>
        <w:rPr>
          <w:b/>
          <w:bCs/>
        </w:rPr>
      </w:pPr>
      <w:r w:rsidRPr="00F73D1E">
        <w:rPr>
          <w:b/>
          <w:bCs/>
        </w:rPr>
        <w:t>Ingrid Stitt MP</w:t>
      </w:r>
    </w:p>
    <w:p w14:paraId="38892610" w14:textId="77777777" w:rsidR="007464DB" w:rsidRPr="00F73D1E" w:rsidRDefault="007464DB" w:rsidP="007464DB">
      <w:pPr>
        <w:pStyle w:val="ARbody"/>
        <w:spacing w:after="0"/>
      </w:pPr>
      <w:r w:rsidRPr="00F73D1E">
        <w:t>Minister for Ageing</w:t>
      </w:r>
    </w:p>
    <w:p w14:paraId="0085F527" w14:textId="77777777" w:rsidR="007464DB" w:rsidRPr="00F73D1E" w:rsidRDefault="007464DB" w:rsidP="007464DB">
      <w:pPr>
        <w:pStyle w:val="ARbodynospace"/>
        <w:spacing w:before="240"/>
        <w:rPr>
          <w:b/>
          <w:bCs/>
        </w:rPr>
      </w:pPr>
      <w:r w:rsidRPr="00F73D1E">
        <w:rPr>
          <w:b/>
          <w:bCs/>
        </w:rPr>
        <w:t>The Hon Harriet Shing MP</w:t>
      </w:r>
    </w:p>
    <w:p w14:paraId="2E1A9BA1" w14:textId="77777777" w:rsidR="007464DB" w:rsidRPr="00F73D1E" w:rsidRDefault="007464DB" w:rsidP="007464DB">
      <w:pPr>
        <w:pStyle w:val="ARbody"/>
        <w:spacing w:after="0"/>
      </w:pPr>
      <w:r w:rsidRPr="00F73D1E">
        <w:t xml:space="preserve">Minister for Housing and Building </w:t>
      </w:r>
    </w:p>
    <w:p w14:paraId="4DD14DC0" w14:textId="77777777" w:rsidR="007464DB" w:rsidRPr="00F73D1E" w:rsidRDefault="007464DB" w:rsidP="007464DB">
      <w:pPr>
        <w:pStyle w:val="ARbodynospace"/>
        <w:spacing w:before="240"/>
        <w:rPr>
          <w:b/>
          <w:bCs/>
        </w:rPr>
      </w:pPr>
      <w:r w:rsidRPr="00F73D1E">
        <w:rPr>
          <w:b/>
          <w:bCs/>
        </w:rPr>
        <w:t>The Hon Natalie Hutchins MP</w:t>
      </w:r>
    </w:p>
    <w:p w14:paraId="71A0910E" w14:textId="77777777" w:rsidR="007464DB" w:rsidRPr="00F73D1E" w:rsidRDefault="007464DB" w:rsidP="007464DB">
      <w:pPr>
        <w:pStyle w:val="ARbullet1"/>
        <w:numPr>
          <w:ilvl w:val="0"/>
          <w:numId w:val="0"/>
        </w:numPr>
        <w:spacing w:after="0"/>
      </w:pPr>
      <w:r w:rsidRPr="00F73D1E">
        <w:t xml:space="preserve">Minister for Prevention of Family Violence </w:t>
      </w:r>
    </w:p>
    <w:p w14:paraId="37E9C790" w14:textId="77777777" w:rsidR="007464DB" w:rsidRPr="00F73D1E" w:rsidRDefault="007464DB" w:rsidP="007464DB">
      <w:pPr>
        <w:pStyle w:val="ARbullet1"/>
        <w:numPr>
          <w:ilvl w:val="0"/>
          <w:numId w:val="0"/>
        </w:numPr>
        <w:spacing w:after="0"/>
      </w:pPr>
      <w:r w:rsidRPr="00F73D1E">
        <w:t>Minister for Women</w:t>
      </w:r>
    </w:p>
    <w:p w14:paraId="1E99B45C" w14:textId="77777777" w:rsidR="007464DB" w:rsidRPr="00F73D1E" w:rsidRDefault="007464DB" w:rsidP="007464DB">
      <w:pPr>
        <w:pStyle w:val="ARbodynospace"/>
        <w:spacing w:before="240"/>
        <w:rPr>
          <w:b/>
          <w:bCs/>
        </w:rPr>
      </w:pPr>
      <w:r w:rsidRPr="00F73D1E">
        <w:rPr>
          <w:b/>
          <w:bCs/>
        </w:rPr>
        <w:t>The Hon Natalie Suleyman MP</w:t>
      </w:r>
    </w:p>
    <w:p w14:paraId="09A8E71F" w14:textId="77777777" w:rsidR="007464DB" w:rsidRPr="00F73D1E" w:rsidRDefault="007464DB" w:rsidP="007464DB">
      <w:pPr>
        <w:pStyle w:val="ARbody"/>
        <w:spacing w:after="0"/>
      </w:pPr>
      <w:r w:rsidRPr="00F73D1E">
        <w:t>Minister for Veterans</w:t>
      </w:r>
    </w:p>
    <w:p w14:paraId="2FB73E7E" w14:textId="77777777" w:rsidR="007464DB" w:rsidRPr="00F73D1E" w:rsidRDefault="007464DB" w:rsidP="007464DB">
      <w:pPr>
        <w:pStyle w:val="ARbody"/>
        <w:spacing w:after="0"/>
      </w:pPr>
      <w:r w:rsidRPr="00F73D1E">
        <w:t>Minister for Youth</w:t>
      </w:r>
    </w:p>
    <w:p w14:paraId="23E54463" w14:textId="77777777" w:rsidR="007464DB" w:rsidRPr="00F73D1E" w:rsidRDefault="007464DB" w:rsidP="007464DB">
      <w:pPr>
        <w:pStyle w:val="ARbodynospace"/>
        <w:spacing w:before="240"/>
        <w:rPr>
          <w:b/>
          <w:bCs/>
        </w:rPr>
      </w:pPr>
      <w:r w:rsidRPr="00F73D1E">
        <w:rPr>
          <w:b/>
          <w:bCs/>
        </w:rPr>
        <w:t>The Hon Ros Spence MP</w:t>
      </w:r>
    </w:p>
    <w:p w14:paraId="2D7D50EC" w14:textId="77777777" w:rsidR="007464DB" w:rsidRPr="00F73D1E" w:rsidRDefault="007464DB" w:rsidP="007464DB">
      <w:pPr>
        <w:pStyle w:val="ARbodynospace"/>
      </w:pPr>
      <w:r w:rsidRPr="00F73D1E">
        <w:t>Minister for Carers and Volunteers</w:t>
      </w:r>
    </w:p>
    <w:p w14:paraId="3B964819" w14:textId="77777777" w:rsidR="007464DB" w:rsidRPr="00F73D1E" w:rsidRDefault="007464DB" w:rsidP="007464DB">
      <w:pPr>
        <w:pStyle w:val="ARbodynospace"/>
        <w:spacing w:before="240"/>
        <w:rPr>
          <w:b/>
          <w:bCs/>
        </w:rPr>
      </w:pPr>
      <w:r w:rsidRPr="00F73D1E">
        <w:rPr>
          <w:b/>
          <w:bCs/>
        </w:rPr>
        <w:t>The Hon Vicki Ward MP</w:t>
      </w:r>
    </w:p>
    <w:p w14:paraId="0F58C32C" w14:textId="77777777" w:rsidR="007464DB" w:rsidRPr="00C86F88" w:rsidRDefault="007464DB" w:rsidP="007464DB">
      <w:pPr>
        <w:pStyle w:val="ARbullet1"/>
        <w:numPr>
          <w:ilvl w:val="0"/>
          <w:numId w:val="0"/>
        </w:numPr>
        <w:spacing w:after="0"/>
      </w:pPr>
      <w:r w:rsidRPr="00F73D1E">
        <w:t>Minister for Equality</w:t>
      </w:r>
    </w:p>
    <w:p w14:paraId="5B442B86" w14:textId="77777777" w:rsidR="007464DB" w:rsidRDefault="007464DB" w:rsidP="007464DB">
      <w:pPr>
        <w:pStyle w:val="ARbodyaftertable"/>
        <w:spacing w:before="960"/>
      </w:pPr>
      <w:r w:rsidRPr="00391625">
        <w:t>Dear Ministers</w:t>
      </w:r>
    </w:p>
    <w:p w14:paraId="6146AAE4" w14:textId="4ACB630C" w:rsidR="007464DB" w:rsidRDefault="007464DB" w:rsidP="007464DB">
      <w:pPr>
        <w:pStyle w:val="ARbody"/>
      </w:pPr>
      <w:r>
        <w:t xml:space="preserve">In accordance with the </w:t>
      </w:r>
      <w:r w:rsidRPr="0F916787">
        <w:rPr>
          <w:rStyle w:val="Emphasis"/>
        </w:rPr>
        <w:t xml:space="preserve">Financial Management Act 1994, </w:t>
      </w:r>
      <w:r>
        <w:t xml:space="preserve">I am pleased to present the Department of Families, Fairness and Housing </w:t>
      </w:r>
      <w:r w:rsidR="06C4BDAE">
        <w:t>A</w:t>
      </w:r>
      <w:r w:rsidR="004F015E">
        <w:t xml:space="preserve">nnual </w:t>
      </w:r>
      <w:r w:rsidR="6F6AC4C8">
        <w:t>R</w:t>
      </w:r>
      <w:r w:rsidR="004F015E">
        <w:t xml:space="preserve">eport </w:t>
      </w:r>
      <w:r>
        <w:t>for the year ending 30 June 2025.</w:t>
      </w:r>
    </w:p>
    <w:p w14:paraId="5757C9A5" w14:textId="5DDFA40E" w:rsidR="00572D62" w:rsidRDefault="00572D62" w:rsidP="00572D62">
      <w:pPr>
        <w:pStyle w:val="ARbodynospace"/>
        <w:spacing w:before="600"/>
        <w:rPr>
          <w:b/>
          <w:bCs/>
        </w:rPr>
      </w:pPr>
      <w:r w:rsidRPr="00532DAE">
        <w:rPr>
          <w:noProof/>
        </w:rPr>
        <w:drawing>
          <wp:inline distT="0" distB="0" distL="0" distR="0" wp14:anchorId="67A59ED3" wp14:editId="57CAFA83">
            <wp:extent cx="1845277" cy="570368"/>
            <wp:effectExtent l="0" t="0" r="3175" b="1270"/>
            <wp:docPr id="856614867" name="Picture 856614867" descr="Signature&#10;Peta McCammon&#10;Secretary&#10;Department of Families, Fairness and Hous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ignature&#10;Peta McCammon&#10;Secretary&#10;Department of Families, Fairness and Housing&#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7163" cy="574042"/>
                    </a:xfrm>
                    <a:prstGeom prst="rect">
                      <a:avLst/>
                    </a:prstGeom>
                    <a:noFill/>
                    <a:ln>
                      <a:noFill/>
                    </a:ln>
                  </pic:spPr>
                </pic:pic>
              </a:graphicData>
            </a:graphic>
          </wp:inline>
        </w:drawing>
      </w:r>
    </w:p>
    <w:p w14:paraId="57C20070" w14:textId="259B7156" w:rsidR="007464DB" w:rsidRPr="00B879DA" w:rsidRDefault="007464DB" w:rsidP="007464DB">
      <w:pPr>
        <w:pStyle w:val="ARbodynospace"/>
        <w:rPr>
          <w:rStyle w:val="Strong"/>
        </w:rPr>
      </w:pPr>
      <w:r w:rsidRPr="00B879DA">
        <w:rPr>
          <w:rStyle w:val="Strong"/>
        </w:rPr>
        <w:t>Peta McCammon</w:t>
      </w:r>
    </w:p>
    <w:p w14:paraId="4897B6C2" w14:textId="77777777" w:rsidR="007464DB" w:rsidRDefault="007464DB" w:rsidP="007464DB">
      <w:pPr>
        <w:pStyle w:val="ARbodynospace"/>
      </w:pPr>
      <w:r>
        <w:t>Secretary</w:t>
      </w:r>
    </w:p>
    <w:p w14:paraId="7F4B03CB" w14:textId="77777777" w:rsidR="007464DB" w:rsidRPr="00B07EE7" w:rsidRDefault="007464DB" w:rsidP="007464DB">
      <w:pPr>
        <w:pStyle w:val="ARbody"/>
      </w:pPr>
      <w:r w:rsidRPr="00B07EE7">
        <w:t>Department of Families, Fairness and Housing</w:t>
      </w:r>
    </w:p>
    <w:p w14:paraId="7BDD8258" w14:textId="1CE07E73" w:rsidR="007464DB" w:rsidRPr="00AB4292" w:rsidRDefault="59312DB9" w:rsidP="007464DB">
      <w:pPr>
        <w:pStyle w:val="ARbody"/>
      </w:pPr>
      <w:r>
        <w:t>26</w:t>
      </w:r>
      <w:r w:rsidR="007464DB">
        <w:t xml:space="preserve"> October 2025</w:t>
      </w:r>
    </w:p>
    <w:p w14:paraId="7D5A1283" w14:textId="09CE8EBA" w:rsidR="0081234A" w:rsidRPr="00BA7805" w:rsidRDefault="0081234A" w:rsidP="00992DF9">
      <w:pPr>
        <w:pStyle w:val="ARbody"/>
        <w:rPr>
          <w:highlight w:val="green"/>
        </w:rPr>
      </w:pPr>
      <w:r w:rsidRPr="00BA7805">
        <w:rPr>
          <w:highlight w:val="green"/>
        </w:rPr>
        <w:br w:type="page"/>
      </w:r>
    </w:p>
    <w:p w14:paraId="0385250D" w14:textId="530E1F41" w:rsidR="0081234A" w:rsidRPr="008E49CD" w:rsidRDefault="0081234A" w:rsidP="00A742C2">
      <w:pPr>
        <w:pStyle w:val="ARTOCheading"/>
        <w:rPr>
          <w:lang w:val="en-AU"/>
        </w:rPr>
      </w:pPr>
      <w:r w:rsidRPr="008E49CD">
        <w:lastRenderedPageBreak/>
        <w:t>Content</w:t>
      </w:r>
      <w:r w:rsidR="004469E4">
        <w:t>s</w:t>
      </w:r>
    </w:p>
    <w:p w14:paraId="49B1C7AA" w14:textId="5A8BFDB0" w:rsidR="00FA4D5A" w:rsidRDefault="0081234A">
      <w:pPr>
        <w:pStyle w:val="TOC1"/>
        <w:rPr>
          <w:rFonts w:asciiTheme="minorHAnsi" w:hAnsiTheme="minorHAnsi"/>
          <w:kern w:val="2"/>
          <w:sz w:val="24"/>
          <w:szCs w:val="24"/>
          <w:lang w:val="en-US"/>
          <w14:ligatures w14:val="standardContextual"/>
        </w:rPr>
      </w:pPr>
      <w:r w:rsidRPr="00BA7805">
        <w:rPr>
          <w:highlight w:val="green"/>
        </w:rPr>
        <w:fldChar w:fldCharType="begin"/>
      </w:r>
      <w:r w:rsidRPr="00BA7805">
        <w:rPr>
          <w:highlight w:val="green"/>
        </w:rPr>
        <w:instrText xml:space="preserve"> TOC \h \z \t "Heading 1,1,Heading 2,2" </w:instrText>
      </w:r>
      <w:r w:rsidRPr="00BA7805">
        <w:rPr>
          <w:highlight w:val="green"/>
        </w:rPr>
        <w:fldChar w:fldCharType="separate"/>
      </w:r>
      <w:hyperlink w:anchor="_Toc212039503" w:history="1">
        <w:r w:rsidR="00FA4D5A" w:rsidRPr="007D2F8A">
          <w:rPr>
            <w:rStyle w:val="Hyperlink"/>
          </w:rPr>
          <w:t>Responsible body’s declaration</w:t>
        </w:r>
        <w:r w:rsidR="00FA4D5A">
          <w:rPr>
            <w:webHidden/>
          </w:rPr>
          <w:tab/>
        </w:r>
        <w:r w:rsidR="00FA4D5A">
          <w:rPr>
            <w:webHidden/>
          </w:rPr>
          <w:fldChar w:fldCharType="begin"/>
        </w:r>
        <w:r w:rsidR="00FA4D5A">
          <w:rPr>
            <w:webHidden/>
          </w:rPr>
          <w:instrText xml:space="preserve"> PAGEREF _Toc212039503 \h </w:instrText>
        </w:r>
        <w:r w:rsidR="00FA4D5A">
          <w:rPr>
            <w:webHidden/>
          </w:rPr>
        </w:r>
        <w:r w:rsidR="00FA4D5A">
          <w:rPr>
            <w:webHidden/>
          </w:rPr>
          <w:fldChar w:fldCharType="separate"/>
        </w:r>
        <w:r w:rsidR="00D04356">
          <w:rPr>
            <w:webHidden/>
          </w:rPr>
          <w:t>3</w:t>
        </w:r>
        <w:r w:rsidR="00FA4D5A">
          <w:rPr>
            <w:webHidden/>
          </w:rPr>
          <w:fldChar w:fldCharType="end"/>
        </w:r>
      </w:hyperlink>
    </w:p>
    <w:p w14:paraId="44459049" w14:textId="0403DADC" w:rsidR="00FA4D5A" w:rsidRDefault="00FA4D5A">
      <w:pPr>
        <w:pStyle w:val="TOC1"/>
        <w:rPr>
          <w:rFonts w:asciiTheme="minorHAnsi" w:hAnsiTheme="minorHAnsi"/>
          <w:kern w:val="2"/>
          <w:sz w:val="24"/>
          <w:szCs w:val="24"/>
          <w:lang w:val="en-US"/>
          <w14:ligatures w14:val="standardContextual"/>
        </w:rPr>
      </w:pPr>
      <w:hyperlink w:anchor="_Toc212039504" w:history="1">
        <w:r w:rsidRPr="007D2F8A">
          <w:rPr>
            <w:rStyle w:val="Hyperlink"/>
          </w:rPr>
          <w:t>Section 1: About the department</w:t>
        </w:r>
        <w:r>
          <w:rPr>
            <w:webHidden/>
          </w:rPr>
          <w:tab/>
        </w:r>
        <w:r>
          <w:rPr>
            <w:webHidden/>
          </w:rPr>
          <w:fldChar w:fldCharType="begin"/>
        </w:r>
        <w:r>
          <w:rPr>
            <w:webHidden/>
          </w:rPr>
          <w:instrText xml:space="preserve"> PAGEREF _Toc212039504 \h </w:instrText>
        </w:r>
        <w:r>
          <w:rPr>
            <w:webHidden/>
          </w:rPr>
        </w:r>
        <w:r>
          <w:rPr>
            <w:webHidden/>
          </w:rPr>
          <w:fldChar w:fldCharType="separate"/>
        </w:r>
        <w:r w:rsidR="00D04356">
          <w:rPr>
            <w:webHidden/>
          </w:rPr>
          <w:t>6</w:t>
        </w:r>
        <w:r>
          <w:rPr>
            <w:webHidden/>
          </w:rPr>
          <w:fldChar w:fldCharType="end"/>
        </w:r>
      </w:hyperlink>
    </w:p>
    <w:p w14:paraId="3BBD1DF5" w14:textId="64B77EA0" w:rsidR="00FA4D5A" w:rsidRDefault="00FA4D5A">
      <w:pPr>
        <w:pStyle w:val="TOC2"/>
        <w:rPr>
          <w:rFonts w:asciiTheme="minorHAnsi" w:hAnsiTheme="minorHAnsi"/>
          <w:kern w:val="2"/>
          <w:sz w:val="24"/>
          <w:lang w:val="en-US"/>
          <w14:ligatures w14:val="standardContextual"/>
        </w:rPr>
      </w:pPr>
      <w:hyperlink w:anchor="_Toc212039505" w:history="1">
        <w:r w:rsidRPr="007D2F8A">
          <w:rPr>
            <w:rStyle w:val="Hyperlink"/>
          </w:rPr>
          <w:t>Secretary’s foreword</w:t>
        </w:r>
        <w:r>
          <w:rPr>
            <w:webHidden/>
          </w:rPr>
          <w:tab/>
        </w:r>
        <w:r>
          <w:rPr>
            <w:webHidden/>
          </w:rPr>
          <w:fldChar w:fldCharType="begin"/>
        </w:r>
        <w:r>
          <w:rPr>
            <w:webHidden/>
          </w:rPr>
          <w:instrText xml:space="preserve"> PAGEREF _Toc212039505 \h </w:instrText>
        </w:r>
        <w:r>
          <w:rPr>
            <w:webHidden/>
          </w:rPr>
        </w:r>
        <w:r>
          <w:rPr>
            <w:webHidden/>
          </w:rPr>
          <w:fldChar w:fldCharType="separate"/>
        </w:r>
        <w:r w:rsidR="00D04356">
          <w:rPr>
            <w:webHidden/>
          </w:rPr>
          <w:t>6</w:t>
        </w:r>
        <w:r>
          <w:rPr>
            <w:webHidden/>
          </w:rPr>
          <w:fldChar w:fldCharType="end"/>
        </w:r>
      </w:hyperlink>
    </w:p>
    <w:p w14:paraId="613306E2" w14:textId="7EE5146A" w:rsidR="00FA4D5A" w:rsidRDefault="00FA4D5A">
      <w:pPr>
        <w:pStyle w:val="TOC2"/>
        <w:rPr>
          <w:rFonts w:asciiTheme="minorHAnsi" w:hAnsiTheme="minorHAnsi"/>
          <w:kern w:val="2"/>
          <w:sz w:val="24"/>
          <w:lang w:val="en-US"/>
          <w14:ligatures w14:val="standardContextual"/>
        </w:rPr>
      </w:pPr>
      <w:hyperlink w:anchor="_Toc212039506" w:history="1">
        <w:r w:rsidRPr="007D2F8A">
          <w:rPr>
            <w:rStyle w:val="Hyperlink"/>
          </w:rPr>
          <w:t>Acknowledgement of First People</w:t>
        </w:r>
        <w:r>
          <w:rPr>
            <w:webHidden/>
          </w:rPr>
          <w:tab/>
        </w:r>
        <w:r>
          <w:rPr>
            <w:webHidden/>
          </w:rPr>
          <w:fldChar w:fldCharType="begin"/>
        </w:r>
        <w:r>
          <w:rPr>
            <w:webHidden/>
          </w:rPr>
          <w:instrText xml:space="preserve"> PAGEREF _Toc212039506 \h </w:instrText>
        </w:r>
        <w:r>
          <w:rPr>
            <w:webHidden/>
          </w:rPr>
        </w:r>
        <w:r>
          <w:rPr>
            <w:webHidden/>
          </w:rPr>
          <w:fldChar w:fldCharType="separate"/>
        </w:r>
        <w:r w:rsidR="00D04356">
          <w:rPr>
            <w:webHidden/>
          </w:rPr>
          <w:t>9</w:t>
        </w:r>
        <w:r>
          <w:rPr>
            <w:webHidden/>
          </w:rPr>
          <w:fldChar w:fldCharType="end"/>
        </w:r>
      </w:hyperlink>
    </w:p>
    <w:p w14:paraId="7D9C05DB" w14:textId="6A4077F8" w:rsidR="00FA4D5A" w:rsidRDefault="00FA4D5A">
      <w:pPr>
        <w:pStyle w:val="TOC2"/>
        <w:rPr>
          <w:rFonts w:asciiTheme="minorHAnsi" w:hAnsiTheme="minorHAnsi"/>
          <w:kern w:val="2"/>
          <w:sz w:val="24"/>
          <w:lang w:val="en-US"/>
          <w14:ligatures w14:val="standardContextual"/>
        </w:rPr>
      </w:pPr>
      <w:hyperlink w:anchor="_Toc212039507" w:history="1">
        <w:r w:rsidRPr="007D2F8A">
          <w:rPr>
            <w:rStyle w:val="Hyperlink"/>
          </w:rPr>
          <w:t>Our vision</w:t>
        </w:r>
        <w:r>
          <w:rPr>
            <w:webHidden/>
          </w:rPr>
          <w:tab/>
        </w:r>
        <w:r>
          <w:rPr>
            <w:webHidden/>
          </w:rPr>
          <w:fldChar w:fldCharType="begin"/>
        </w:r>
        <w:r>
          <w:rPr>
            <w:webHidden/>
          </w:rPr>
          <w:instrText xml:space="preserve"> PAGEREF _Toc212039507 \h </w:instrText>
        </w:r>
        <w:r>
          <w:rPr>
            <w:webHidden/>
          </w:rPr>
        </w:r>
        <w:r>
          <w:rPr>
            <w:webHidden/>
          </w:rPr>
          <w:fldChar w:fldCharType="separate"/>
        </w:r>
        <w:r w:rsidR="00D04356">
          <w:rPr>
            <w:webHidden/>
          </w:rPr>
          <w:t>10</w:t>
        </w:r>
        <w:r>
          <w:rPr>
            <w:webHidden/>
          </w:rPr>
          <w:fldChar w:fldCharType="end"/>
        </w:r>
      </w:hyperlink>
    </w:p>
    <w:p w14:paraId="6599A921" w14:textId="3779BAA9" w:rsidR="00FA4D5A" w:rsidRDefault="00FA4D5A">
      <w:pPr>
        <w:pStyle w:val="TOC2"/>
        <w:rPr>
          <w:rFonts w:asciiTheme="minorHAnsi" w:hAnsiTheme="minorHAnsi"/>
          <w:kern w:val="2"/>
          <w:sz w:val="24"/>
          <w:lang w:val="en-US"/>
          <w14:ligatures w14:val="standardContextual"/>
        </w:rPr>
      </w:pPr>
      <w:hyperlink w:anchor="_Toc212039508" w:history="1">
        <w:r w:rsidRPr="007D2F8A">
          <w:rPr>
            <w:rStyle w:val="Hyperlink"/>
          </w:rPr>
          <w:t>How we will achieve it</w:t>
        </w:r>
        <w:r>
          <w:rPr>
            <w:webHidden/>
          </w:rPr>
          <w:tab/>
        </w:r>
        <w:r>
          <w:rPr>
            <w:webHidden/>
          </w:rPr>
          <w:fldChar w:fldCharType="begin"/>
        </w:r>
        <w:r>
          <w:rPr>
            <w:webHidden/>
          </w:rPr>
          <w:instrText xml:space="preserve"> PAGEREF _Toc212039508 \h </w:instrText>
        </w:r>
        <w:r>
          <w:rPr>
            <w:webHidden/>
          </w:rPr>
        </w:r>
        <w:r>
          <w:rPr>
            <w:webHidden/>
          </w:rPr>
          <w:fldChar w:fldCharType="separate"/>
        </w:r>
        <w:r w:rsidR="00D04356">
          <w:rPr>
            <w:webHidden/>
          </w:rPr>
          <w:t>10</w:t>
        </w:r>
        <w:r>
          <w:rPr>
            <w:webHidden/>
          </w:rPr>
          <w:fldChar w:fldCharType="end"/>
        </w:r>
      </w:hyperlink>
    </w:p>
    <w:p w14:paraId="52FA3985" w14:textId="529EB3F7" w:rsidR="00FA4D5A" w:rsidRDefault="00FA4D5A">
      <w:pPr>
        <w:pStyle w:val="TOC2"/>
        <w:rPr>
          <w:rFonts w:asciiTheme="minorHAnsi" w:hAnsiTheme="minorHAnsi"/>
          <w:kern w:val="2"/>
          <w:sz w:val="24"/>
          <w:lang w:val="en-US"/>
          <w14:ligatures w14:val="standardContextual"/>
        </w:rPr>
      </w:pPr>
      <w:hyperlink w:anchor="_Toc212039509" w:history="1">
        <w:r w:rsidRPr="007D2F8A">
          <w:rPr>
            <w:rStyle w:val="Hyperlink"/>
          </w:rPr>
          <w:t>Our outcomes</w:t>
        </w:r>
        <w:r>
          <w:rPr>
            <w:webHidden/>
          </w:rPr>
          <w:tab/>
        </w:r>
        <w:r>
          <w:rPr>
            <w:webHidden/>
          </w:rPr>
          <w:fldChar w:fldCharType="begin"/>
        </w:r>
        <w:r>
          <w:rPr>
            <w:webHidden/>
          </w:rPr>
          <w:instrText xml:space="preserve"> PAGEREF _Toc212039509 \h </w:instrText>
        </w:r>
        <w:r>
          <w:rPr>
            <w:webHidden/>
          </w:rPr>
        </w:r>
        <w:r>
          <w:rPr>
            <w:webHidden/>
          </w:rPr>
          <w:fldChar w:fldCharType="separate"/>
        </w:r>
        <w:r w:rsidR="00D04356">
          <w:rPr>
            <w:webHidden/>
          </w:rPr>
          <w:t>10</w:t>
        </w:r>
        <w:r>
          <w:rPr>
            <w:webHidden/>
          </w:rPr>
          <w:fldChar w:fldCharType="end"/>
        </w:r>
      </w:hyperlink>
    </w:p>
    <w:p w14:paraId="647D77AF" w14:textId="77B8B341" w:rsidR="00FA4D5A" w:rsidRDefault="00FA4D5A">
      <w:pPr>
        <w:pStyle w:val="TOC2"/>
        <w:rPr>
          <w:rFonts w:asciiTheme="minorHAnsi" w:hAnsiTheme="minorHAnsi"/>
          <w:kern w:val="2"/>
          <w:sz w:val="24"/>
          <w:lang w:val="en-US"/>
          <w14:ligatures w14:val="standardContextual"/>
        </w:rPr>
      </w:pPr>
      <w:hyperlink w:anchor="_Toc212039510" w:history="1">
        <w:r w:rsidRPr="007D2F8A">
          <w:rPr>
            <w:rStyle w:val="Hyperlink"/>
          </w:rPr>
          <w:t>Our values</w:t>
        </w:r>
        <w:r>
          <w:rPr>
            <w:webHidden/>
          </w:rPr>
          <w:tab/>
        </w:r>
        <w:r>
          <w:rPr>
            <w:webHidden/>
          </w:rPr>
          <w:fldChar w:fldCharType="begin"/>
        </w:r>
        <w:r>
          <w:rPr>
            <w:webHidden/>
          </w:rPr>
          <w:instrText xml:space="preserve"> PAGEREF _Toc212039510 \h </w:instrText>
        </w:r>
        <w:r>
          <w:rPr>
            <w:webHidden/>
          </w:rPr>
        </w:r>
        <w:r>
          <w:rPr>
            <w:webHidden/>
          </w:rPr>
          <w:fldChar w:fldCharType="separate"/>
        </w:r>
        <w:r w:rsidR="00D04356">
          <w:rPr>
            <w:webHidden/>
          </w:rPr>
          <w:t>10</w:t>
        </w:r>
        <w:r>
          <w:rPr>
            <w:webHidden/>
          </w:rPr>
          <w:fldChar w:fldCharType="end"/>
        </w:r>
      </w:hyperlink>
    </w:p>
    <w:p w14:paraId="3C6562A5" w14:textId="38415EC9" w:rsidR="00FA4D5A" w:rsidRDefault="00FA4D5A">
      <w:pPr>
        <w:pStyle w:val="TOC2"/>
        <w:rPr>
          <w:rFonts w:asciiTheme="minorHAnsi" w:hAnsiTheme="minorHAnsi"/>
          <w:kern w:val="2"/>
          <w:sz w:val="24"/>
          <w:lang w:val="en-US"/>
          <w14:ligatures w14:val="standardContextual"/>
        </w:rPr>
      </w:pPr>
      <w:hyperlink w:anchor="_Toc212039511" w:history="1">
        <w:r w:rsidRPr="007D2F8A">
          <w:rPr>
            <w:rStyle w:val="Hyperlink"/>
          </w:rPr>
          <w:t>Purpose and functions</w:t>
        </w:r>
        <w:r>
          <w:rPr>
            <w:webHidden/>
          </w:rPr>
          <w:tab/>
        </w:r>
        <w:r>
          <w:rPr>
            <w:webHidden/>
          </w:rPr>
          <w:fldChar w:fldCharType="begin"/>
        </w:r>
        <w:r>
          <w:rPr>
            <w:webHidden/>
          </w:rPr>
          <w:instrText xml:space="preserve"> PAGEREF _Toc212039511 \h </w:instrText>
        </w:r>
        <w:r>
          <w:rPr>
            <w:webHidden/>
          </w:rPr>
        </w:r>
        <w:r>
          <w:rPr>
            <w:webHidden/>
          </w:rPr>
          <w:fldChar w:fldCharType="separate"/>
        </w:r>
        <w:r w:rsidR="00D04356">
          <w:rPr>
            <w:webHidden/>
          </w:rPr>
          <w:t>11</w:t>
        </w:r>
        <w:r>
          <w:rPr>
            <w:webHidden/>
          </w:rPr>
          <w:fldChar w:fldCharType="end"/>
        </w:r>
      </w:hyperlink>
    </w:p>
    <w:p w14:paraId="18862744" w14:textId="67A96E3E" w:rsidR="00FA4D5A" w:rsidRDefault="00FA4D5A">
      <w:pPr>
        <w:pStyle w:val="TOC2"/>
        <w:rPr>
          <w:rFonts w:asciiTheme="minorHAnsi" w:hAnsiTheme="minorHAnsi"/>
          <w:kern w:val="2"/>
          <w:sz w:val="24"/>
          <w:lang w:val="en-US"/>
          <w14:ligatures w14:val="standardContextual"/>
        </w:rPr>
      </w:pPr>
      <w:hyperlink w:anchor="_Toc212039512" w:history="1">
        <w:r w:rsidRPr="007D2F8A">
          <w:rPr>
            <w:rStyle w:val="Hyperlink"/>
          </w:rPr>
          <w:t>The department’s ministers</w:t>
        </w:r>
        <w:r>
          <w:rPr>
            <w:webHidden/>
          </w:rPr>
          <w:tab/>
        </w:r>
        <w:r>
          <w:rPr>
            <w:webHidden/>
          </w:rPr>
          <w:fldChar w:fldCharType="begin"/>
        </w:r>
        <w:r>
          <w:rPr>
            <w:webHidden/>
          </w:rPr>
          <w:instrText xml:space="preserve"> PAGEREF _Toc212039512 \h </w:instrText>
        </w:r>
        <w:r>
          <w:rPr>
            <w:webHidden/>
          </w:rPr>
        </w:r>
        <w:r>
          <w:rPr>
            <w:webHidden/>
          </w:rPr>
          <w:fldChar w:fldCharType="separate"/>
        </w:r>
        <w:r w:rsidR="00D04356">
          <w:rPr>
            <w:webHidden/>
          </w:rPr>
          <w:t>16</w:t>
        </w:r>
        <w:r>
          <w:rPr>
            <w:webHidden/>
          </w:rPr>
          <w:fldChar w:fldCharType="end"/>
        </w:r>
      </w:hyperlink>
    </w:p>
    <w:p w14:paraId="6D9D0E94" w14:textId="4A4D75D7" w:rsidR="00FA4D5A" w:rsidRDefault="00FA4D5A">
      <w:pPr>
        <w:pStyle w:val="TOC2"/>
        <w:rPr>
          <w:rFonts w:asciiTheme="minorHAnsi" w:hAnsiTheme="minorHAnsi"/>
          <w:kern w:val="2"/>
          <w:sz w:val="24"/>
          <w:lang w:val="en-US"/>
          <w14:ligatures w14:val="standardContextual"/>
        </w:rPr>
      </w:pPr>
      <w:hyperlink w:anchor="_Toc212039513" w:history="1">
        <w:r w:rsidRPr="007D2F8A">
          <w:rPr>
            <w:rStyle w:val="Hyperlink"/>
          </w:rPr>
          <w:t>The department’s senior executives</w:t>
        </w:r>
        <w:r>
          <w:rPr>
            <w:webHidden/>
          </w:rPr>
          <w:tab/>
        </w:r>
        <w:r>
          <w:rPr>
            <w:webHidden/>
          </w:rPr>
          <w:fldChar w:fldCharType="begin"/>
        </w:r>
        <w:r>
          <w:rPr>
            <w:webHidden/>
          </w:rPr>
          <w:instrText xml:space="preserve"> PAGEREF _Toc212039513 \h </w:instrText>
        </w:r>
        <w:r>
          <w:rPr>
            <w:webHidden/>
          </w:rPr>
        </w:r>
        <w:r>
          <w:rPr>
            <w:webHidden/>
          </w:rPr>
          <w:fldChar w:fldCharType="separate"/>
        </w:r>
        <w:r w:rsidR="00D04356">
          <w:rPr>
            <w:webHidden/>
          </w:rPr>
          <w:t>18</w:t>
        </w:r>
        <w:r>
          <w:rPr>
            <w:webHidden/>
          </w:rPr>
          <w:fldChar w:fldCharType="end"/>
        </w:r>
      </w:hyperlink>
    </w:p>
    <w:p w14:paraId="3D452A6B" w14:textId="7E8425D9" w:rsidR="00FA4D5A" w:rsidRDefault="00FA4D5A">
      <w:pPr>
        <w:pStyle w:val="TOC2"/>
        <w:rPr>
          <w:rFonts w:asciiTheme="minorHAnsi" w:hAnsiTheme="minorHAnsi"/>
          <w:kern w:val="2"/>
          <w:sz w:val="24"/>
          <w:lang w:val="en-US"/>
          <w14:ligatures w14:val="standardContextual"/>
        </w:rPr>
      </w:pPr>
      <w:hyperlink w:anchor="_Toc212039514" w:history="1">
        <w:r w:rsidRPr="007D2F8A">
          <w:rPr>
            <w:rStyle w:val="Hyperlink"/>
          </w:rPr>
          <w:t>Leadership charter</w:t>
        </w:r>
        <w:r>
          <w:rPr>
            <w:webHidden/>
          </w:rPr>
          <w:tab/>
        </w:r>
        <w:r>
          <w:rPr>
            <w:webHidden/>
          </w:rPr>
          <w:fldChar w:fldCharType="begin"/>
        </w:r>
        <w:r>
          <w:rPr>
            <w:webHidden/>
          </w:rPr>
          <w:instrText xml:space="preserve"> PAGEREF _Toc212039514 \h </w:instrText>
        </w:r>
        <w:r>
          <w:rPr>
            <w:webHidden/>
          </w:rPr>
        </w:r>
        <w:r>
          <w:rPr>
            <w:webHidden/>
          </w:rPr>
          <w:fldChar w:fldCharType="separate"/>
        </w:r>
        <w:r w:rsidR="00D04356">
          <w:rPr>
            <w:webHidden/>
          </w:rPr>
          <w:t>21</w:t>
        </w:r>
        <w:r>
          <w:rPr>
            <w:webHidden/>
          </w:rPr>
          <w:fldChar w:fldCharType="end"/>
        </w:r>
      </w:hyperlink>
    </w:p>
    <w:p w14:paraId="21791F05" w14:textId="3A2B82AE" w:rsidR="00FA4D5A" w:rsidRDefault="00FA4D5A">
      <w:pPr>
        <w:pStyle w:val="TOC2"/>
        <w:rPr>
          <w:rFonts w:asciiTheme="minorHAnsi" w:hAnsiTheme="minorHAnsi"/>
          <w:kern w:val="2"/>
          <w:sz w:val="24"/>
          <w:lang w:val="en-US"/>
          <w14:ligatures w14:val="standardContextual"/>
        </w:rPr>
      </w:pPr>
      <w:hyperlink w:anchor="_Toc212039515" w:history="1">
        <w:r w:rsidRPr="007D2F8A">
          <w:rPr>
            <w:rStyle w:val="Hyperlink"/>
          </w:rPr>
          <w:t>Organisational structure as at 30 June 2025</w:t>
        </w:r>
        <w:r>
          <w:rPr>
            <w:webHidden/>
          </w:rPr>
          <w:tab/>
        </w:r>
        <w:r>
          <w:rPr>
            <w:webHidden/>
          </w:rPr>
          <w:fldChar w:fldCharType="begin"/>
        </w:r>
        <w:r>
          <w:rPr>
            <w:webHidden/>
          </w:rPr>
          <w:instrText xml:space="preserve"> PAGEREF _Toc212039515 \h </w:instrText>
        </w:r>
        <w:r>
          <w:rPr>
            <w:webHidden/>
          </w:rPr>
        </w:r>
        <w:r>
          <w:rPr>
            <w:webHidden/>
          </w:rPr>
          <w:fldChar w:fldCharType="separate"/>
        </w:r>
        <w:r w:rsidR="00D04356">
          <w:rPr>
            <w:webHidden/>
          </w:rPr>
          <w:t>22</w:t>
        </w:r>
        <w:r>
          <w:rPr>
            <w:webHidden/>
          </w:rPr>
          <w:fldChar w:fldCharType="end"/>
        </w:r>
      </w:hyperlink>
    </w:p>
    <w:p w14:paraId="3EA7B59E" w14:textId="04DDB96E" w:rsidR="00FA4D5A" w:rsidRDefault="00FA4D5A">
      <w:pPr>
        <w:pStyle w:val="TOC2"/>
        <w:rPr>
          <w:rFonts w:asciiTheme="minorHAnsi" w:hAnsiTheme="minorHAnsi"/>
          <w:kern w:val="2"/>
          <w:sz w:val="24"/>
          <w:lang w:val="en-US"/>
          <w14:ligatures w14:val="standardContextual"/>
        </w:rPr>
      </w:pPr>
      <w:hyperlink w:anchor="_Toc212039516" w:history="1">
        <w:r w:rsidRPr="007D2F8A">
          <w:rPr>
            <w:rStyle w:val="Hyperlink"/>
          </w:rPr>
          <w:t>Committee structure</w:t>
        </w:r>
        <w:r>
          <w:rPr>
            <w:webHidden/>
          </w:rPr>
          <w:tab/>
        </w:r>
        <w:r>
          <w:rPr>
            <w:webHidden/>
          </w:rPr>
          <w:fldChar w:fldCharType="begin"/>
        </w:r>
        <w:r>
          <w:rPr>
            <w:webHidden/>
          </w:rPr>
          <w:instrText xml:space="preserve"> PAGEREF _Toc212039516 \h </w:instrText>
        </w:r>
        <w:r>
          <w:rPr>
            <w:webHidden/>
          </w:rPr>
        </w:r>
        <w:r>
          <w:rPr>
            <w:webHidden/>
          </w:rPr>
          <w:fldChar w:fldCharType="separate"/>
        </w:r>
        <w:r w:rsidR="00D04356">
          <w:rPr>
            <w:webHidden/>
          </w:rPr>
          <w:t>24</w:t>
        </w:r>
        <w:r>
          <w:rPr>
            <w:webHidden/>
          </w:rPr>
          <w:fldChar w:fldCharType="end"/>
        </w:r>
      </w:hyperlink>
    </w:p>
    <w:p w14:paraId="42EF4E15" w14:textId="53CA54F4" w:rsidR="00FA4D5A" w:rsidRDefault="00FA4D5A">
      <w:pPr>
        <w:pStyle w:val="TOC1"/>
        <w:rPr>
          <w:rFonts w:asciiTheme="minorHAnsi" w:hAnsiTheme="minorHAnsi"/>
          <w:kern w:val="2"/>
          <w:sz w:val="24"/>
          <w:szCs w:val="24"/>
          <w:lang w:val="en-US"/>
          <w14:ligatures w14:val="standardContextual"/>
        </w:rPr>
      </w:pPr>
      <w:hyperlink w:anchor="_Toc212039517" w:history="1">
        <w:r w:rsidRPr="007D2F8A">
          <w:rPr>
            <w:rStyle w:val="Hyperlink"/>
          </w:rPr>
          <w:t>Section 2: Year in review</w:t>
        </w:r>
        <w:r>
          <w:rPr>
            <w:webHidden/>
          </w:rPr>
          <w:tab/>
        </w:r>
        <w:r>
          <w:rPr>
            <w:webHidden/>
          </w:rPr>
          <w:fldChar w:fldCharType="begin"/>
        </w:r>
        <w:r>
          <w:rPr>
            <w:webHidden/>
          </w:rPr>
          <w:instrText xml:space="preserve"> PAGEREF _Toc212039517 \h </w:instrText>
        </w:r>
        <w:r>
          <w:rPr>
            <w:webHidden/>
          </w:rPr>
        </w:r>
        <w:r>
          <w:rPr>
            <w:webHidden/>
          </w:rPr>
          <w:fldChar w:fldCharType="separate"/>
        </w:r>
        <w:r w:rsidR="00D04356">
          <w:rPr>
            <w:webHidden/>
          </w:rPr>
          <w:t>26</w:t>
        </w:r>
        <w:r>
          <w:rPr>
            <w:webHidden/>
          </w:rPr>
          <w:fldChar w:fldCharType="end"/>
        </w:r>
      </w:hyperlink>
    </w:p>
    <w:p w14:paraId="719353BE" w14:textId="2A5DB773" w:rsidR="00FA4D5A" w:rsidRDefault="00FA4D5A">
      <w:pPr>
        <w:pStyle w:val="TOC2"/>
        <w:rPr>
          <w:rFonts w:asciiTheme="minorHAnsi" w:hAnsiTheme="minorHAnsi"/>
          <w:kern w:val="2"/>
          <w:sz w:val="24"/>
          <w:lang w:val="en-US"/>
          <w14:ligatures w14:val="standardContextual"/>
        </w:rPr>
      </w:pPr>
      <w:hyperlink w:anchor="_Toc212039518" w:history="1">
        <w:r w:rsidRPr="007D2F8A">
          <w:rPr>
            <w:rStyle w:val="Hyperlink"/>
          </w:rPr>
          <w:t>Departmental objectives, outputs and indicators</w:t>
        </w:r>
        <w:r>
          <w:rPr>
            <w:webHidden/>
          </w:rPr>
          <w:tab/>
        </w:r>
        <w:r>
          <w:rPr>
            <w:webHidden/>
          </w:rPr>
          <w:fldChar w:fldCharType="begin"/>
        </w:r>
        <w:r>
          <w:rPr>
            <w:webHidden/>
          </w:rPr>
          <w:instrText xml:space="preserve"> PAGEREF _Toc212039518 \h </w:instrText>
        </w:r>
        <w:r>
          <w:rPr>
            <w:webHidden/>
          </w:rPr>
        </w:r>
        <w:r>
          <w:rPr>
            <w:webHidden/>
          </w:rPr>
          <w:fldChar w:fldCharType="separate"/>
        </w:r>
        <w:r w:rsidR="00D04356">
          <w:rPr>
            <w:webHidden/>
          </w:rPr>
          <w:t>26</w:t>
        </w:r>
        <w:r>
          <w:rPr>
            <w:webHidden/>
          </w:rPr>
          <w:fldChar w:fldCharType="end"/>
        </w:r>
      </w:hyperlink>
    </w:p>
    <w:p w14:paraId="3C00913E" w14:textId="64EEDC76" w:rsidR="00FA4D5A" w:rsidRDefault="00FA4D5A">
      <w:pPr>
        <w:pStyle w:val="TOC2"/>
        <w:rPr>
          <w:rFonts w:asciiTheme="minorHAnsi" w:hAnsiTheme="minorHAnsi"/>
          <w:kern w:val="2"/>
          <w:sz w:val="24"/>
          <w:lang w:val="en-US"/>
          <w14:ligatures w14:val="standardContextual"/>
        </w:rPr>
      </w:pPr>
      <w:hyperlink w:anchor="_Toc212039519" w:history="1">
        <w:r w:rsidRPr="007D2F8A">
          <w:rPr>
            <w:rStyle w:val="Hyperlink"/>
          </w:rPr>
          <w:t>Changes to the department during 2024–25</w:t>
        </w:r>
        <w:r>
          <w:rPr>
            <w:webHidden/>
          </w:rPr>
          <w:tab/>
        </w:r>
        <w:r>
          <w:rPr>
            <w:webHidden/>
          </w:rPr>
          <w:fldChar w:fldCharType="begin"/>
        </w:r>
        <w:r>
          <w:rPr>
            <w:webHidden/>
          </w:rPr>
          <w:instrText xml:space="preserve"> PAGEREF _Toc212039519 \h </w:instrText>
        </w:r>
        <w:r>
          <w:rPr>
            <w:webHidden/>
          </w:rPr>
        </w:r>
        <w:r>
          <w:rPr>
            <w:webHidden/>
          </w:rPr>
          <w:fldChar w:fldCharType="separate"/>
        </w:r>
        <w:r w:rsidR="00D04356">
          <w:rPr>
            <w:webHidden/>
          </w:rPr>
          <w:t>27</w:t>
        </w:r>
        <w:r>
          <w:rPr>
            <w:webHidden/>
          </w:rPr>
          <w:fldChar w:fldCharType="end"/>
        </w:r>
      </w:hyperlink>
    </w:p>
    <w:p w14:paraId="7CD0BCAE" w14:textId="3D628784" w:rsidR="00FA4D5A" w:rsidRDefault="00FA4D5A">
      <w:pPr>
        <w:pStyle w:val="TOC2"/>
        <w:rPr>
          <w:rFonts w:asciiTheme="minorHAnsi" w:hAnsiTheme="minorHAnsi"/>
          <w:kern w:val="2"/>
          <w:sz w:val="24"/>
          <w:lang w:val="en-US"/>
          <w14:ligatures w14:val="standardContextual"/>
        </w:rPr>
      </w:pPr>
      <w:hyperlink w:anchor="_Toc212039520" w:history="1">
        <w:r w:rsidRPr="007D2F8A">
          <w:rPr>
            <w:rStyle w:val="Hyperlink"/>
          </w:rPr>
          <w:t>Direct costs attributable to machinery of government changes</w:t>
        </w:r>
        <w:r>
          <w:rPr>
            <w:webHidden/>
          </w:rPr>
          <w:tab/>
        </w:r>
        <w:r>
          <w:rPr>
            <w:webHidden/>
          </w:rPr>
          <w:fldChar w:fldCharType="begin"/>
        </w:r>
        <w:r>
          <w:rPr>
            <w:webHidden/>
          </w:rPr>
          <w:instrText xml:space="preserve"> PAGEREF _Toc212039520 \h </w:instrText>
        </w:r>
        <w:r>
          <w:rPr>
            <w:webHidden/>
          </w:rPr>
        </w:r>
        <w:r>
          <w:rPr>
            <w:webHidden/>
          </w:rPr>
          <w:fldChar w:fldCharType="separate"/>
        </w:r>
        <w:r w:rsidR="00D04356">
          <w:rPr>
            <w:webHidden/>
          </w:rPr>
          <w:t>27</w:t>
        </w:r>
        <w:r>
          <w:rPr>
            <w:webHidden/>
          </w:rPr>
          <w:fldChar w:fldCharType="end"/>
        </w:r>
      </w:hyperlink>
    </w:p>
    <w:p w14:paraId="6EE35226" w14:textId="761B231D" w:rsidR="00FA4D5A" w:rsidRDefault="00FA4D5A">
      <w:pPr>
        <w:pStyle w:val="TOC2"/>
        <w:rPr>
          <w:rFonts w:asciiTheme="minorHAnsi" w:hAnsiTheme="minorHAnsi"/>
          <w:kern w:val="2"/>
          <w:sz w:val="24"/>
          <w:lang w:val="en-US"/>
          <w14:ligatures w14:val="standardContextual"/>
        </w:rPr>
      </w:pPr>
      <w:hyperlink w:anchor="_Toc212039521" w:history="1">
        <w:r w:rsidRPr="007D2F8A">
          <w:rPr>
            <w:rStyle w:val="Hyperlink"/>
          </w:rPr>
          <w:t>Progress towards achieving departmental objectives</w:t>
        </w:r>
        <w:r>
          <w:rPr>
            <w:webHidden/>
          </w:rPr>
          <w:tab/>
        </w:r>
        <w:r>
          <w:rPr>
            <w:webHidden/>
          </w:rPr>
          <w:fldChar w:fldCharType="begin"/>
        </w:r>
        <w:r>
          <w:rPr>
            <w:webHidden/>
          </w:rPr>
          <w:instrText xml:space="preserve"> PAGEREF _Toc212039521 \h </w:instrText>
        </w:r>
        <w:r>
          <w:rPr>
            <w:webHidden/>
          </w:rPr>
        </w:r>
        <w:r>
          <w:rPr>
            <w:webHidden/>
          </w:rPr>
          <w:fldChar w:fldCharType="separate"/>
        </w:r>
        <w:r w:rsidR="00D04356">
          <w:rPr>
            <w:webHidden/>
          </w:rPr>
          <w:t>27</w:t>
        </w:r>
        <w:r>
          <w:rPr>
            <w:webHidden/>
          </w:rPr>
          <w:fldChar w:fldCharType="end"/>
        </w:r>
      </w:hyperlink>
    </w:p>
    <w:p w14:paraId="21D36E39" w14:textId="64EDB481" w:rsidR="00FA4D5A" w:rsidRDefault="00FA4D5A">
      <w:pPr>
        <w:pStyle w:val="TOC2"/>
        <w:rPr>
          <w:rFonts w:asciiTheme="minorHAnsi" w:hAnsiTheme="minorHAnsi"/>
          <w:kern w:val="2"/>
          <w:sz w:val="24"/>
          <w:lang w:val="en-US"/>
          <w14:ligatures w14:val="standardContextual"/>
        </w:rPr>
      </w:pPr>
      <w:hyperlink w:anchor="_Toc212039522" w:history="1">
        <w:r w:rsidRPr="007D2F8A">
          <w:rPr>
            <w:rStyle w:val="Hyperlink"/>
          </w:rPr>
          <w:t>Departmental objectives, indicators and outputs</w:t>
        </w:r>
        <w:r>
          <w:rPr>
            <w:webHidden/>
          </w:rPr>
          <w:tab/>
        </w:r>
        <w:r>
          <w:rPr>
            <w:webHidden/>
          </w:rPr>
          <w:fldChar w:fldCharType="begin"/>
        </w:r>
        <w:r>
          <w:rPr>
            <w:webHidden/>
          </w:rPr>
          <w:instrText xml:space="preserve"> PAGEREF _Toc212039522 \h </w:instrText>
        </w:r>
        <w:r>
          <w:rPr>
            <w:webHidden/>
          </w:rPr>
        </w:r>
        <w:r>
          <w:rPr>
            <w:webHidden/>
          </w:rPr>
          <w:fldChar w:fldCharType="separate"/>
        </w:r>
        <w:r w:rsidR="00D04356">
          <w:rPr>
            <w:webHidden/>
          </w:rPr>
          <w:t>28</w:t>
        </w:r>
        <w:r>
          <w:rPr>
            <w:webHidden/>
          </w:rPr>
          <w:fldChar w:fldCharType="end"/>
        </w:r>
      </w:hyperlink>
    </w:p>
    <w:p w14:paraId="47384245" w14:textId="4A433ABC" w:rsidR="00FA4D5A" w:rsidRDefault="00FA4D5A">
      <w:pPr>
        <w:pStyle w:val="TOC2"/>
        <w:rPr>
          <w:rFonts w:asciiTheme="minorHAnsi" w:hAnsiTheme="minorHAnsi"/>
          <w:kern w:val="2"/>
          <w:sz w:val="24"/>
          <w:lang w:val="en-US"/>
          <w14:ligatures w14:val="standardContextual"/>
        </w:rPr>
      </w:pPr>
      <w:hyperlink w:anchor="_Toc212039523" w:history="1">
        <w:r w:rsidRPr="007D2F8A">
          <w:rPr>
            <w:rStyle w:val="Hyperlink"/>
          </w:rPr>
          <w:t>Performance against output performance measures</w:t>
        </w:r>
        <w:r>
          <w:rPr>
            <w:webHidden/>
          </w:rPr>
          <w:tab/>
        </w:r>
        <w:r>
          <w:rPr>
            <w:webHidden/>
          </w:rPr>
          <w:fldChar w:fldCharType="begin"/>
        </w:r>
        <w:r>
          <w:rPr>
            <w:webHidden/>
          </w:rPr>
          <w:instrText xml:space="preserve"> PAGEREF _Toc212039523 \h </w:instrText>
        </w:r>
        <w:r>
          <w:rPr>
            <w:webHidden/>
          </w:rPr>
        </w:r>
        <w:r>
          <w:rPr>
            <w:webHidden/>
          </w:rPr>
          <w:fldChar w:fldCharType="separate"/>
        </w:r>
        <w:r w:rsidR="00D04356">
          <w:rPr>
            <w:webHidden/>
          </w:rPr>
          <w:t>58</w:t>
        </w:r>
        <w:r>
          <w:rPr>
            <w:webHidden/>
          </w:rPr>
          <w:fldChar w:fldCharType="end"/>
        </w:r>
      </w:hyperlink>
    </w:p>
    <w:p w14:paraId="5453286F" w14:textId="49940490" w:rsidR="00FA4D5A" w:rsidRDefault="00FA4D5A">
      <w:pPr>
        <w:pStyle w:val="TOC2"/>
        <w:rPr>
          <w:rFonts w:asciiTheme="minorHAnsi" w:hAnsiTheme="minorHAnsi"/>
          <w:kern w:val="2"/>
          <w:sz w:val="24"/>
          <w:lang w:val="en-US"/>
          <w14:ligatures w14:val="standardContextual"/>
        </w:rPr>
      </w:pPr>
      <w:hyperlink w:anchor="_Toc212039524" w:history="1">
        <w:r w:rsidRPr="007D2F8A">
          <w:rPr>
            <w:rStyle w:val="Hyperlink"/>
          </w:rPr>
          <w:t>Discontinued output performance measures</w:t>
        </w:r>
        <w:r>
          <w:rPr>
            <w:webHidden/>
          </w:rPr>
          <w:tab/>
        </w:r>
        <w:r>
          <w:rPr>
            <w:webHidden/>
          </w:rPr>
          <w:fldChar w:fldCharType="begin"/>
        </w:r>
        <w:r>
          <w:rPr>
            <w:webHidden/>
          </w:rPr>
          <w:instrText xml:space="preserve"> PAGEREF _Toc212039524 \h </w:instrText>
        </w:r>
        <w:r>
          <w:rPr>
            <w:webHidden/>
          </w:rPr>
        </w:r>
        <w:r>
          <w:rPr>
            <w:webHidden/>
          </w:rPr>
          <w:fldChar w:fldCharType="separate"/>
        </w:r>
        <w:r w:rsidR="00D04356">
          <w:rPr>
            <w:webHidden/>
          </w:rPr>
          <w:t>73</w:t>
        </w:r>
        <w:r>
          <w:rPr>
            <w:webHidden/>
          </w:rPr>
          <w:fldChar w:fldCharType="end"/>
        </w:r>
      </w:hyperlink>
    </w:p>
    <w:p w14:paraId="1542FC39" w14:textId="1C69D474" w:rsidR="00FA4D5A" w:rsidRDefault="00FA4D5A">
      <w:pPr>
        <w:pStyle w:val="TOC2"/>
        <w:rPr>
          <w:rFonts w:asciiTheme="minorHAnsi" w:hAnsiTheme="minorHAnsi"/>
          <w:kern w:val="2"/>
          <w:sz w:val="24"/>
          <w:lang w:val="en-US"/>
          <w14:ligatures w14:val="standardContextual"/>
        </w:rPr>
      </w:pPr>
      <w:hyperlink w:anchor="_Toc212039525" w:history="1">
        <w:r w:rsidRPr="007D2F8A">
          <w:rPr>
            <w:rStyle w:val="Hyperlink"/>
          </w:rPr>
          <w:t>Departmental financial summary</w:t>
        </w:r>
        <w:r>
          <w:rPr>
            <w:webHidden/>
          </w:rPr>
          <w:tab/>
        </w:r>
        <w:r>
          <w:rPr>
            <w:webHidden/>
          </w:rPr>
          <w:fldChar w:fldCharType="begin"/>
        </w:r>
        <w:r>
          <w:rPr>
            <w:webHidden/>
          </w:rPr>
          <w:instrText xml:space="preserve"> PAGEREF _Toc212039525 \h </w:instrText>
        </w:r>
        <w:r>
          <w:rPr>
            <w:webHidden/>
          </w:rPr>
        </w:r>
        <w:r>
          <w:rPr>
            <w:webHidden/>
          </w:rPr>
          <w:fldChar w:fldCharType="separate"/>
        </w:r>
        <w:r w:rsidR="00D04356">
          <w:rPr>
            <w:webHidden/>
          </w:rPr>
          <w:t>73</w:t>
        </w:r>
        <w:r>
          <w:rPr>
            <w:webHidden/>
          </w:rPr>
          <w:fldChar w:fldCharType="end"/>
        </w:r>
      </w:hyperlink>
    </w:p>
    <w:p w14:paraId="45D2DEA3" w14:textId="09F9667F" w:rsidR="00FA4D5A" w:rsidRDefault="00FA4D5A">
      <w:pPr>
        <w:pStyle w:val="TOC2"/>
        <w:rPr>
          <w:rFonts w:asciiTheme="minorHAnsi" w:hAnsiTheme="minorHAnsi"/>
          <w:kern w:val="2"/>
          <w:sz w:val="24"/>
          <w:lang w:val="en-US"/>
          <w14:ligatures w14:val="standardContextual"/>
        </w:rPr>
      </w:pPr>
      <w:hyperlink w:anchor="_Toc212039526" w:history="1">
        <w:r w:rsidRPr="007D2F8A">
          <w:rPr>
            <w:rStyle w:val="Hyperlink"/>
            <w:lang w:eastAsia="en-AU"/>
          </w:rPr>
          <w:t xml:space="preserve">Current year </w:t>
        </w:r>
        <w:r w:rsidRPr="007D2F8A">
          <w:rPr>
            <w:rStyle w:val="Hyperlink"/>
          </w:rPr>
          <w:t>financial</w:t>
        </w:r>
        <w:r w:rsidRPr="007D2F8A">
          <w:rPr>
            <w:rStyle w:val="Hyperlink"/>
            <w:lang w:eastAsia="en-AU"/>
          </w:rPr>
          <w:t xml:space="preserve"> summary</w:t>
        </w:r>
        <w:r>
          <w:rPr>
            <w:webHidden/>
          </w:rPr>
          <w:tab/>
        </w:r>
        <w:r>
          <w:rPr>
            <w:webHidden/>
          </w:rPr>
          <w:fldChar w:fldCharType="begin"/>
        </w:r>
        <w:r>
          <w:rPr>
            <w:webHidden/>
          </w:rPr>
          <w:instrText xml:space="preserve"> PAGEREF _Toc212039526 \h </w:instrText>
        </w:r>
        <w:r>
          <w:rPr>
            <w:webHidden/>
          </w:rPr>
        </w:r>
        <w:r>
          <w:rPr>
            <w:webHidden/>
          </w:rPr>
          <w:fldChar w:fldCharType="separate"/>
        </w:r>
        <w:r w:rsidR="00D04356">
          <w:rPr>
            <w:webHidden/>
          </w:rPr>
          <w:t>74</w:t>
        </w:r>
        <w:r>
          <w:rPr>
            <w:webHidden/>
          </w:rPr>
          <w:fldChar w:fldCharType="end"/>
        </w:r>
      </w:hyperlink>
    </w:p>
    <w:p w14:paraId="45B3FB71" w14:textId="38E010FA" w:rsidR="00FA4D5A" w:rsidRDefault="00FA4D5A">
      <w:pPr>
        <w:pStyle w:val="TOC2"/>
        <w:rPr>
          <w:rFonts w:asciiTheme="minorHAnsi" w:hAnsiTheme="minorHAnsi"/>
          <w:kern w:val="2"/>
          <w:sz w:val="24"/>
          <w:lang w:val="en-US"/>
          <w14:ligatures w14:val="standardContextual"/>
        </w:rPr>
      </w:pPr>
      <w:hyperlink w:anchor="_Toc212039527" w:history="1">
        <w:r w:rsidRPr="007D2F8A">
          <w:rPr>
            <w:rStyle w:val="Hyperlink"/>
          </w:rPr>
          <w:t>Budget portfolio outcomes</w:t>
        </w:r>
        <w:r>
          <w:rPr>
            <w:webHidden/>
          </w:rPr>
          <w:tab/>
        </w:r>
        <w:r>
          <w:rPr>
            <w:webHidden/>
          </w:rPr>
          <w:fldChar w:fldCharType="begin"/>
        </w:r>
        <w:r>
          <w:rPr>
            <w:webHidden/>
          </w:rPr>
          <w:instrText xml:space="preserve"> PAGEREF _Toc212039527 \h </w:instrText>
        </w:r>
        <w:r>
          <w:rPr>
            <w:webHidden/>
          </w:rPr>
        </w:r>
        <w:r>
          <w:rPr>
            <w:webHidden/>
          </w:rPr>
          <w:fldChar w:fldCharType="separate"/>
        </w:r>
        <w:r w:rsidR="00D04356">
          <w:rPr>
            <w:webHidden/>
          </w:rPr>
          <w:t>75</w:t>
        </w:r>
        <w:r>
          <w:rPr>
            <w:webHidden/>
          </w:rPr>
          <w:fldChar w:fldCharType="end"/>
        </w:r>
      </w:hyperlink>
    </w:p>
    <w:p w14:paraId="24C1EAEE" w14:textId="78012574" w:rsidR="00FA4D5A" w:rsidRDefault="00FA4D5A">
      <w:pPr>
        <w:pStyle w:val="TOC2"/>
        <w:rPr>
          <w:rFonts w:asciiTheme="minorHAnsi" w:hAnsiTheme="minorHAnsi"/>
          <w:kern w:val="2"/>
          <w:sz w:val="24"/>
          <w:lang w:val="en-US"/>
          <w14:ligatures w14:val="standardContextual"/>
        </w:rPr>
      </w:pPr>
      <w:hyperlink w:anchor="_Toc212039528" w:history="1">
        <w:r w:rsidRPr="007D2F8A">
          <w:rPr>
            <w:rStyle w:val="Hyperlink"/>
          </w:rPr>
          <w:t>Capital projects/asset investment programs</w:t>
        </w:r>
        <w:r>
          <w:rPr>
            <w:webHidden/>
          </w:rPr>
          <w:tab/>
        </w:r>
        <w:r>
          <w:rPr>
            <w:webHidden/>
          </w:rPr>
          <w:fldChar w:fldCharType="begin"/>
        </w:r>
        <w:r>
          <w:rPr>
            <w:webHidden/>
          </w:rPr>
          <w:instrText xml:space="preserve"> PAGEREF _Toc212039528 \h </w:instrText>
        </w:r>
        <w:r>
          <w:rPr>
            <w:webHidden/>
          </w:rPr>
        </w:r>
        <w:r>
          <w:rPr>
            <w:webHidden/>
          </w:rPr>
          <w:fldChar w:fldCharType="separate"/>
        </w:r>
        <w:r w:rsidR="00D04356">
          <w:rPr>
            <w:webHidden/>
          </w:rPr>
          <w:t>76</w:t>
        </w:r>
        <w:r>
          <w:rPr>
            <w:webHidden/>
          </w:rPr>
          <w:fldChar w:fldCharType="end"/>
        </w:r>
      </w:hyperlink>
    </w:p>
    <w:p w14:paraId="3E5E6DE0" w14:textId="1FEFF672" w:rsidR="00FA4D5A" w:rsidRDefault="00FA4D5A">
      <w:pPr>
        <w:pStyle w:val="TOC1"/>
        <w:rPr>
          <w:rFonts w:asciiTheme="minorHAnsi" w:hAnsiTheme="minorHAnsi"/>
          <w:kern w:val="2"/>
          <w:sz w:val="24"/>
          <w:szCs w:val="24"/>
          <w:lang w:val="en-US"/>
          <w14:ligatures w14:val="standardContextual"/>
        </w:rPr>
      </w:pPr>
      <w:hyperlink w:anchor="_Toc212039529" w:history="1">
        <w:r w:rsidRPr="007D2F8A">
          <w:rPr>
            <w:rStyle w:val="Hyperlink"/>
          </w:rPr>
          <w:t>Section 3: Our workforce</w:t>
        </w:r>
        <w:r>
          <w:rPr>
            <w:webHidden/>
          </w:rPr>
          <w:tab/>
        </w:r>
        <w:r>
          <w:rPr>
            <w:webHidden/>
          </w:rPr>
          <w:fldChar w:fldCharType="begin"/>
        </w:r>
        <w:r>
          <w:rPr>
            <w:webHidden/>
          </w:rPr>
          <w:instrText xml:space="preserve"> PAGEREF _Toc212039529 \h </w:instrText>
        </w:r>
        <w:r>
          <w:rPr>
            <w:webHidden/>
          </w:rPr>
        </w:r>
        <w:r>
          <w:rPr>
            <w:webHidden/>
          </w:rPr>
          <w:fldChar w:fldCharType="separate"/>
        </w:r>
        <w:r w:rsidR="00D04356">
          <w:rPr>
            <w:webHidden/>
          </w:rPr>
          <w:t>77</w:t>
        </w:r>
        <w:r>
          <w:rPr>
            <w:webHidden/>
          </w:rPr>
          <w:fldChar w:fldCharType="end"/>
        </w:r>
      </w:hyperlink>
    </w:p>
    <w:p w14:paraId="47A9F3CE" w14:textId="28465887" w:rsidR="00FA4D5A" w:rsidRDefault="00FA4D5A">
      <w:pPr>
        <w:pStyle w:val="TOC2"/>
        <w:rPr>
          <w:rFonts w:asciiTheme="minorHAnsi" w:hAnsiTheme="minorHAnsi"/>
          <w:kern w:val="2"/>
          <w:sz w:val="24"/>
          <w:lang w:val="en-US"/>
          <w14:ligatures w14:val="standardContextual"/>
        </w:rPr>
      </w:pPr>
      <w:hyperlink w:anchor="_Toc212039530" w:history="1">
        <w:r w:rsidRPr="007D2F8A">
          <w:rPr>
            <w:rStyle w:val="Hyperlink"/>
          </w:rPr>
          <w:t>Public sector values and employment principles</w:t>
        </w:r>
        <w:r>
          <w:rPr>
            <w:webHidden/>
          </w:rPr>
          <w:tab/>
        </w:r>
        <w:r>
          <w:rPr>
            <w:webHidden/>
          </w:rPr>
          <w:fldChar w:fldCharType="begin"/>
        </w:r>
        <w:r>
          <w:rPr>
            <w:webHidden/>
          </w:rPr>
          <w:instrText xml:space="preserve"> PAGEREF _Toc212039530 \h </w:instrText>
        </w:r>
        <w:r>
          <w:rPr>
            <w:webHidden/>
          </w:rPr>
        </w:r>
        <w:r>
          <w:rPr>
            <w:webHidden/>
          </w:rPr>
          <w:fldChar w:fldCharType="separate"/>
        </w:r>
        <w:r w:rsidR="00D04356">
          <w:rPr>
            <w:webHidden/>
          </w:rPr>
          <w:t>77</w:t>
        </w:r>
        <w:r>
          <w:rPr>
            <w:webHidden/>
          </w:rPr>
          <w:fldChar w:fldCharType="end"/>
        </w:r>
      </w:hyperlink>
    </w:p>
    <w:p w14:paraId="5DFAFFF9" w14:textId="0FF1AA3E" w:rsidR="00FA4D5A" w:rsidRDefault="00FA4D5A">
      <w:pPr>
        <w:pStyle w:val="TOC2"/>
        <w:rPr>
          <w:rFonts w:asciiTheme="minorHAnsi" w:hAnsiTheme="minorHAnsi"/>
          <w:kern w:val="2"/>
          <w:sz w:val="24"/>
          <w:lang w:val="en-US"/>
          <w14:ligatures w14:val="standardContextual"/>
        </w:rPr>
      </w:pPr>
      <w:hyperlink w:anchor="_Toc212039531" w:history="1">
        <w:r w:rsidRPr="007D2F8A">
          <w:rPr>
            <w:rStyle w:val="Hyperlink"/>
          </w:rPr>
          <w:t>Workforce inclusion policy</w:t>
        </w:r>
        <w:r>
          <w:rPr>
            <w:webHidden/>
          </w:rPr>
          <w:tab/>
        </w:r>
        <w:r>
          <w:rPr>
            <w:webHidden/>
          </w:rPr>
          <w:fldChar w:fldCharType="begin"/>
        </w:r>
        <w:r>
          <w:rPr>
            <w:webHidden/>
          </w:rPr>
          <w:instrText xml:space="preserve"> PAGEREF _Toc212039531 \h </w:instrText>
        </w:r>
        <w:r>
          <w:rPr>
            <w:webHidden/>
          </w:rPr>
        </w:r>
        <w:r>
          <w:rPr>
            <w:webHidden/>
          </w:rPr>
          <w:fldChar w:fldCharType="separate"/>
        </w:r>
        <w:r w:rsidR="00D04356">
          <w:rPr>
            <w:webHidden/>
          </w:rPr>
          <w:t>79</w:t>
        </w:r>
        <w:r>
          <w:rPr>
            <w:webHidden/>
          </w:rPr>
          <w:fldChar w:fldCharType="end"/>
        </w:r>
      </w:hyperlink>
    </w:p>
    <w:p w14:paraId="013AE102" w14:textId="7A43BA13" w:rsidR="00FA4D5A" w:rsidRDefault="00FA4D5A">
      <w:pPr>
        <w:pStyle w:val="TOC2"/>
        <w:rPr>
          <w:rFonts w:asciiTheme="minorHAnsi" w:hAnsiTheme="minorHAnsi"/>
          <w:kern w:val="2"/>
          <w:sz w:val="24"/>
          <w:lang w:val="en-US"/>
          <w14:ligatures w14:val="standardContextual"/>
        </w:rPr>
      </w:pPr>
      <w:hyperlink w:anchor="_Toc212039532" w:history="1">
        <w:r w:rsidRPr="007D2F8A">
          <w:rPr>
            <w:rStyle w:val="Hyperlink"/>
          </w:rPr>
          <w:t>Comparative workforce data</w:t>
        </w:r>
        <w:r>
          <w:rPr>
            <w:webHidden/>
          </w:rPr>
          <w:tab/>
        </w:r>
        <w:r>
          <w:rPr>
            <w:webHidden/>
          </w:rPr>
          <w:fldChar w:fldCharType="begin"/>
        </w:r>
        <w:r>
          <w:rPr>
            <w:webHidden/>
          </w:rPr>
          <w:instrText xml:space="preserve"> PAGEREF _Toc212039532 \h </w:instrText>
        </w:r>
        <w:r>
          <w:rPr>
            <w:webHidden/>
          </w:rPr>
        </w:r>
        <w:r>
          <w:rPr>
            <w:webHidden/>
          </w:rPr>
          <w:fldChar w:fldCharType="separate"/>
        </w:r>
        <w:r w:rsidR="00D04356">
          <w:rPr>
            <w:webHidden/>
          </w:rPr>
          <w:t>86</w:t>
        </w:r>
        <w:r>
          <w:rPr>
            <w:webHidden/>
          </w:rPr>
          <w:fldChar w:fldCharType="end"/>
        </w:r>
      </w:hyperlink>
    </w:p>
    <w:p w14:paraId="4AD6AC45" w14:textId="0F5C9E6C" w:rsidR="00FA4D5A" w:rsidRDefault="00FA4D5A">
      <w:pPr>
        <w:pStyle w:val="TOC2"/>
        <w:rPr>
          <w:rFonts w:asciiTheme="minorHAnsi" w:hAnsiTheme="minorHAnsi"/>
          <w:kern w:val="2"/>
          <w:sz w:val="24"/>
          <w:lang w:val="en-US"/>
          <w14:ligatures w14:val="standardContextual"/>
        </w:rPr>
      </w:pPr>
      <w:hyperlink w:anchor="_Toc212039533" w:history="1">
        <w:r w:rsidRPr="007D2F8A">
          <w:rPr>
            <w:rStyle w:val="Hyperlink"/>
          </w:rPr>
          <w:t>Executive data</w:t>
        </w:r>
        <w:r>
          <w:rPr>
            <w:webHidden/>
          </w:rPr>
          <w:tab/>
        </w:r>
        <w:r>
          <w:rPr>
            <w:webHidden/>
          </w:rPr>
          <w:fldChar w:fldCharType="begin"/>
        </w:r>
        <w:r>
          <w:rPr>
            <w:webHidden/>
          </w:rPr>
          <w:instrText xml:space="preserve"> PAGEREF _Toc212039533 \h </w:instrText>
        </w:r>
        <w:r>
          <w:rPr>
            <w:webHidden/>
          </w:rPr>
        </w:r>
        <w:r>
          <w:rPr>
            <w:webHidden/>
          </w:rPr>
          <w:fldChar w:fldCharType="separate"/>
        </w:r>
        <w:r w:rsidR="00D04356">
          <w:rPr>
            <w:webHidden/>
          </w:rPr>
          <w:t>91</w:t>
        </w:r>
        <w:r>
          <w:rPr>
            <w:webHidden/>
          </w:rPr>
          <w:fldChar w:fldCharType="end"/>
        </w:r>
      </w:hyperlink>
    </w:p>
    <w:p w14:paraId="289BA2CB" w14:textId="1402B817" w:rsidR="00FA4D5A" w:rsidRDefault="00FA4D5A">
      <w:pPr>
        <w:pStyle w:val="TOC2"/>
        <w:rPr>
          <w:rFonts w:asciiTheme="minorHAnsi" w:hAnsiTheme="minorHAnsi"/>
          <w:kern w:val="2"/>
          <w:sz w:val="24"/>
          <w:lang w:val="en-US"/>
          <w14:ligatures w14:val="standardContextual"/>
        </w:rPr>
      </w:pPr>
      <w:hyperlink w:anchor="_Toc212039534" w:history="1">
        <w:r w:rsidRPr="007D2F8A">
          <w:rPr>
            <w:rStyle w:val="Hyperlink"/>
          </w:rPr>
          <w:t>Employee health, safety and wellbeing</w:t>
        </w:r>
        <w:r>
          <w:rPr>
            <w:webHidden/>
          </w:rPr>
          <w:tab/>
        </w:r>
        <w:r>
          <w:rPr>
            <w:webHidden/>
          </w:rPr>
          <w:fldChar w:fldCharType="begin"/>
        </w:r>
        <w:r>
          <w:rPr>
            <w:webHidden/>
          </w:rPr>
          <w:instrText xml:space="preserve"> PAGEREF _Toc212039534 \h </w:instrText>
        </w:r>
        <w:r>
          <w:rPr>
            <w:webHidden/>
          </w:rPr>
        </w:r>
        <w:r>
          <w:rPr>
            <w:webHidden/>
          </w:rPr>
          <w:fldChar w:fldCharType="separate"/>
        </w:r>
        <w:r w:rsidR="00D04356">
          <w:rPr>
            <w:webHidden/>
          </w:rPr>
          <w:t>92</w:t>
        </w:r>
        <w:r>
          <w:rPr>
            <w:webHidden/>
          </w:rPr>
          <w:fldChar w:fldCharType="end"/>
        </w:r>
      </w:hyperlink>
    </w:p>
    <w:p w14:paraId="75C10EE0" w14:textId="5593E546" w:rsidR="00FA4D5A" w:rsidRDefault="00FA4D5A">
      <w:pPr>
        <w:pStyle w:val="TOC1"/>
        <w:rPr>
          <w:rFonts w:asciiTheme="minorHAnsi" w:hAnsiTheme="minorHAnsi"/>
          <w:kern w:val="2"/>
          <w:sz w:val="24"/>
          <w:szCs w:val="24"/>
          <w:lang w:val="en-US"/>
          <w14:ligatures w14:val="standardContextual"/>
        </w:rPr>
      </w:pPr>
      <w:hyperlink w:anchor="_Toc212039535" w:history="1">
        <w:r w:rsidRPr="007D2F8A">
          <w:rPr>
            <w:rStyle w:val="Hyperlink"/>
          </w:rPr>
          <w:t>Section 4: Other disclosures</w:t>
        </w:r>
        <w:r>
          <w:rPr>
            <w:webHidden/>
          </w:rPr>
          <w:tab/>
        </w:r>
        <w:r>
          <w:rPr>
            <w:webHidden/>
          </w:rPr>
          <w:fldChar w:fldCharType="begin"/>
        </w:r>
        <w:r>
          <w:rPr>
            <w:webHidden/>
          </w:rPr>
          <w:instrText xml:space="preserve"> PAGEREF _Toc212039535 \h </w:instrText>
        </w:r>
        <w:r>
          <w:rPr>
            <w:webHidden/>
          </w:rPr>
        </w:r>
        <w:r>
          <w:rPr>
            <w:webHidden/>
          </w:rPr>
          <w:fldChar w:fldCharType="separate"/>
        </w:r>
        <w:r w:rsidR="00D04356">
          <w:rPr>
            <w:webHidden/>
          </w:rPr>
          <w:t>98</w:t>
        </w:r>
        <w:r>
          <w:rPr>
            <w:webHidden/>
          </w:rPr>
          <w:fldChar w:fldCharType="end"/>
        </w:r>
      </w:hyperlink>
    </w:p>
    <w:p w14:paraId="0A648C02" w14:textId="27A579FB" w:rsidR="00FA4D5A" w:rsidRDefault="00FA4D5A">
      <w:pPr>
        <w:pStyle w:val="TOC2"/>
        <w:rPr>
          <w:rFonts w:asciiTheme="minorHAnsi" w:hAnsiTheme="minorHAnsi"/>
          <w:kern w:val="2"/>
          <w:sz w:val="24"/>
          <w:lang w:val="en-US"/>
          <w14:ligatures w14:val="standardContextual"/>
        </w:rPr>
      </w:pPr>
      <w:hyperlink w:anchor="_Toc212039536" w:history="1">
        <w:r w:rsidRPr="007D2F8A">
          <w:rPr>
            <w:rStyle w:val="Hyperlink"/>
          </w:rPr>
          <w:t>Local Jobs First</w:t>
        </w:r>
        <w:r>
          <w:rPr>
            <w:webHidden/>
          </w:rPr>
          <w:tab/>
        </w:r>
        <w:r>
          <w:rPr>
            <w:webHidden/>
          </w:rPr>
          <w:fldChar w:fldCharType="begin"/>
        </w:r>
        <w:r>
          <w:rPr>
            <w:webHidden/>
          </w:rPr>
          <w:instrText xml:space="preserve"> PAGEREF _Toc212039536 \h </w:instrText>
        </w:r>
        <w:r>
          <w:rPr>
            <w:webHidden/>
          </w:rPr>
        </w:r>
        <w:r>
          <w:rPr>
            <w:webHidden/>
          </w:rPr>
          <w:fldChar w:fldCharType="separate"/>
        </w:r>
        <w:r w:rsidR="00D04356">
          <w:rPr>
            <w:webHidden/>
          </w:rPr>
          <w:t>98</w:t>
        </w:r>
        <w:r>
          <w:rPr>
            <w:webHidden/>
          </w:rPr>
          <w:fldChar w:fldCharType="end"/>
        </w:r>
      </w:hyperlink>
    </w:p>
    <w:p w14:paraId="4E5BDA1B" w14:textId="0706F0A3" w:rsidR="00FA4D5A" w:rsidRDefault="00FA4D5A">
      <w:pPr>
        <w:pStyle w:val="TOC2"/>
        <w:rPr>
          <w:rFonts w:asciiTheme="minorHAnsi" w:hAnsiTheme="minorHAnsi"/>
          <w:kern w:val="2"/>
          <w:sz w:val="24"/>
          <w:lang w:val="en-US"/>
          <w14:ligatures w14:val="standardContextual"/>
        </w:rPr>
      </w:pPr>
      <w:hyperlink w:anchor="_Toc212039537" w:history="1">
        <w:r w:rsidRPr="007D2F8A">
          <w:rPr>
            <w:rStyle w:val="Hyperlink"/>
          </w:rPr>
          <w:t>Competitive neutrality policy</w:t>
        </w:r>
        <w:r>
          <w:rPr>
            <w:webHidden/>
          </w:rPr>
          <w:tab/>
        </w:r>
        <w:r>
          <w:rPr>
            <w:webHidden/>
          </w:rPr>
          <w:fldChar w:fldCharType="begin"/>
        </w:r>
        <w:r>
          <w:rPr>
            <w:webHidden/>
          </w:rPr>
          <w:instrText xml:space="preserve"> PAGEREF _Toc212039537 \h </w:instrText>
        </w:r>
        <w:r>
          <w:rPr>
            <w:webHidden/>
          </w:rPr>
        </w:r>
        <w:r>
          <w:rPr>
            <w:webHidden/>
          </w:rPr>
          <w:fldChar w:fldCharType="separate"/>
        </w:r>
        <w:r w:rsidR="00D04356">
          <w:rPr>
            <w:webHidden/>
          </w:rPr>
          <w:t>99</w:t>
        </w:r>
        <w:r>
          <w:rPr>
            <w:webHidden/>
          </w:rPr>
          <w:fldChar w:fldCharType="end"/>
        </w:r>
      </w:hyperlink>
    </w:p>
    <w:p w14:paraId="34CB0C2F" w14:textId="30C3C86B" w:rsidR="00FA4D5A" w:rsidRDefault="00FA4D5A">
      <w:pPr>
        <w:pStyle w:val="TOC2"/>
        <w:rPr>
          <w:rFonts w:asciiTheme="minorHAnsi" w:hAnsiTheme="minorHAnsi"/>
          <w:kern w:val="2"/>
          <w:sz w:val="24"/>
          <w:lang w:val="en-US"/>
          <w14:ligatures w14:val="standardContextual"/>
        </w:rPr>
      </w:pPr>
      <w:hyperlink w:anchor="_Toc212039538" w:history="1">
        <w:r w:rsidRPr="007D2F8A">
          <w:rPr>
            <w:rStyle w:val="Hyperlink"/>
          </w:rPr>
          <w:t>Government advertising expenditure</w:t>
        </w:r>
        <w:r>
          <w:rPr>
            <w:webHidden/>
          </w:rPr>
          <w:tab/>
        </w:r>
        <w:r>
          <w:rPr>
            <w:webHidden/>
          </w:rPr>
          <w:fldChar w:fldCharType="begin"/>
        </w:r>
        <w:r>
          <w:rPr>
            <w:webHidden/>
          </w:rPr>
          <w:instrText xml:space="preserve"> PAGEREF _Toc212039538 \h </w:instrText>
        </w:r>
        <w:r>
          <w:rPr>
            <w:webHidden/>
          </w:rPr>
        </w:r>
        <w:r>
          <w:rPr>
            <w:webHidden/>
          </w:rPr>
          <w:fldChar w:fldCharType="separate"/>
        </w:r>
        <w:r w:rsidR="00D04356">
          <w:rPr>
            <w:webHidden/>
          </w:rPr>
          <w:t>100</w:t>
        </w:r>
        <w:r>
          <w:rPr>
            <w:webHidden/>
          </w:rPr>
          <w:fldChar w:fldCharType="end"/>
        </w:r>
      </w:hyperlink>
    </w:p>
    <w:p w14:paraId="6C9F40C3" w14:textId="494A8888" w:rsidR="00FA4D5A" w:rsidRDefault="00FA4D5A">
      <w:pPr>
        <w:pStyle w:val="TOC2"/>
        <w:rPr>
          <w:rFonts w:asciiTheme="minorHAnsi" w:hAnsiTheme="minorHAnsi"/>
          <w:kern w:val="2"/>
          <w:sz w:val="24"/>
          <w:lang w:val="en-US"/>
          <w14:ligatures w14:val="standardContextual"/>
        </w:rPr>
      </w:pPr>
      <w:hyperlink w:anchor="_Toc212039539" w:history="1">
        <w:r w:rsidRPr="007D2F8A">
          <w:rPr>
            <w:rStyle w:val="Hyperlink"/>
          </w:rPr>
          <w:t>Consultancy expenditure</w:t>
        </w:r>
        <w:r>
          <w:rPr>
            <w:webHidden/>
          </w:rPr>
          <w:tab/>
        </w:r>
        <w:r>
          <w:rPr>
            <w:webHidden/>
          </w:rPr>
          <w:fldChar w:fldCharType="begin"/>
        </w:r>
        <w:r>
          <w:rPr>
            <w:webHidden/>
          </w:rPr>
          <w:instrText xml:space="preserve"> PAGEREF _Toc212039539 \h </w:instrText>
        </w:r>
        <w:r>
          <w:rPr>
            <w:webHidden/>
          </w:rPr>
        </w:r>
        <w:r>
          <w:rPr>
            <w:webHidden/>
          </w:rPr>
          <w:fldChar w:fldCharType="separate"/>
        </w:r>
        <w:r w:rsidR="00D04356">
          <w:rPr>
            <w:webHidden/>
          </w:rPr>
          <w:t>101</w:t>
        </w:r>
        <w:r>
          <w:rPr>
            <w:webHidden/>
          </w:rPr>
          <w:fldChar w:fldCharType="end"/>
        </w:r>
      </w:hyperlink>
    </w:p>
    <w:p w14:paraId="348462F0" w14:textId="70306A09" w:rsidR="00FA4D5A" w:rsidRDefault="00FA4D5A">
      <w:pPr>
        <w:pStyle w:val="TOC2"/>
        <w:rPr>
          <w:rFonts w:asciiTheme="minorHAnsi" w:hAnsiTheme="minorHAnsi"/>
          <w:kern w:val="2"/>
          <w:sz w:val="24"/>
          <w:lang w:val="en-US"/>
          <w14:ligatures w14:val="standardContextual"/>
        </w:rPr>
      </w:pPr>
      <w:hyperlink w:anchor="_Toc212039540" w:history="1">
        <w:r w:rsidRPr="007D2F8A">
          <w:rPr>
            <w:rStyle w:val="Hyperlink"/>
            <w:rFonts w:cs="Arial"/>
          </w:rPr>
          <w:t>Review and study expenditure</w:t>
        </w:r>
        <w:r>
          <w:rPr>
            <w:webHidden/>
          </w:rPr>
          <w:tab/>
        </w:r>
        <w:r>
          <w:rPr>
            <w:webHidden/>
          </w:rPr>
          <w:fldChar w:fldCharType="begin"/>
        </w:r>
        <w:r>
          <w:rPr>
            <w:webHidden/>
          </w:rPr>
          <w:instrText xml:space="preserve"> PAGEREF _Toc212039540 \h </w:instrText>
        </w:r>
        <w:r>
          <w:rPr>
            <w:webHidden/>
          </w:rPr>
        </w:r>
        <w:r>
          <w:rPr>
            <w:webHidden/>
          </w:rPr>
          <w:fldChar w:fldCharType="separate"/>
        </w:r>
        <w:r w:rsidR="00D04356">
          <w:rPr>
            <w:webHidden/>
          </w:rPr>
          <w:t>105</w:t>
        </w:r>
        <w:r>
          <w:rPr>
            <w:webHidden/>
          </w:rPr>
          <w:fldChar w:fldCharType="end"/>
        </w:r>
      </w:hyperlink>
    </w:p>
    <w:p w14:paraId="55D472D1" w14:textId="7B603C3C" w:rsidR="00FA4D5A" w:rsidRDefault="00FA4D5A">
      <w:pPr>
        <w:pStyle w:val="TOC2"/>
        <w:rPr>
          <w:rFonts w:asciiTheme="minorHAnsi" w:hAnsiTheme="minorHAnsi"/>
          <w:kern w:val="2"/>
          <w:sz w:val="24"/>
          <w:lang w:val="en-US"/>
          <w14:ligatures w14:val="standardContextual"/>
        </w:rPr>
      </w:pPr>
      <w:hyperlink w:anchor="_Toc212039541" w:history="1">
        <w:r w:rsidRPr="007D2F8A">
          <w:rPr>
            <w:rStyle w:val="Hyperlink"/>
          </w:rPr>
          <w:t>Information and communication technology expenditure</w:t>
        </w:r>
        <w:r>
          <w:rPr>
            <w:webHidden/>
          </w:rPr>
          <w:tab/>
        </w:r>
        <w:r>
          <w:rPr>
            <w:webHidden/>
          </w:rPr>
          <w:fldChar w:fldCharType="begin"/>
        </w:r>
        <w:r>
          <w:rPr>
            <w:webHidden/>
          </w:rPr>
          <w:instrText xml:space="preserve"> PAGEREF _Toc212039541 \h </w:instrText>
        </w:r>
        <w:r>
          <w:rPr>
            <w:webHidden/>
          </w:rPr>
        </w:r>
        <w:r>
          <w:rPr>
            <w:webHidden/>
          </w:rPr>
          <w:fldChar w:fldCharType="separate"/>
        </w:r>
        <w:r w:rsidR="00D04356">
          <w:rPr>
            <w:webHidden/>
          </w:rPr>
          <w:t>118</w:t>
        </w:r>
        <w:r>
          <w:rPr>
            <w:webHidden/>
          </w:rPr>
          <w:fldChar w:fldCharType="end"/>
        </w:r>
      </w:hyperlink>
    </w:p>
    <w:p w14:paraId="5245AFC4" w14:textId="637120FE" w:rsidR="00FA4D5A" w:rsidRDefault="00FA4D5A">
      <w:pPr>
        <w:pStyle w:val="TOC2"/>
        <w:rPr>
          <w:rFonts w:asciiTheme="minorHAnsi" w:hAnsiTheme="minorHAnsi"/>
          <w:kern w:val="2"/>
          <w:sz w:val="24"/>
          <w:lang w:val="en-US"/>
          <w14:ligatures w14:val="standardContextual"/>
        </w:rPr>
      </w:pPr>
      <w:hyperlink w:anchor="_Toc212039542" w:history="1">
        <w:r w:rsidRPr="007D2F8A">
          <w:rPr>
            <w:rStyle w:val="Hyperlink"/>
          </w:rPr>
          <w:t>Disclosure of major contracts</w:t>
        </w:r>
        <w:r>
          <w:rPr>
            <w:webHidden/>
          </w:rPr>
          <w:tab/>
        </w:r>
        <w:r>
          <w:rPr>
            <w:webHidden/>
          </w:rPr>
          <w:fldChar w:fldCharType="begin"/>
        </w:r>
        <w:r>
          <w:rPr>
            <w:webHidden/>
          </w:rPr>
          <w:instrText xml:space="preserve"> PAGEREF _Toc212039542 \h </w:instrText>
        </w:r>
        <w:r>
          <w:rPr>
            <w:webHidden/>
          </w:rPr>
        </w:r>
        <w:r>
          <w:rPr>
            <w:webHidden/>
          </w:rPr>
          <w:fldChar w:fldCharType="separate"/>
        </w:r>
        <w:r w:rsidR="00D04356">
          <w:rPr>
            <w:webHidden/>
          </w:rPr>
          <w:t>118</w:t>
        </w:r>
        <w:r>
          <w:rPr>
            <w:webHidden/>
          </w:rPr>
          <w:fldChar w:fldCharType="end"/>
        </w:r>
      </w:hyperlink>
    </w:p>
    <w:p w14:paraId="5674C4FF" w14:textId="040BE8B8" w:rsidR="00FA4D5A" w:rsidRDefault="00FA4D5A">
      <w:pPr>
        <w:pStyle w:val="TOC2"/>
        <w:rPr>
          <w:rFonts w:asciiTheme="minorHAnsi" w:hAnsiTheme="minorHAnsi"/>
          <w:kern w:val="2"/>
          <w:sz w:val="24"/>
          <w:lang w:val="en-US"/>
          <w14:ligatures w14:val="standardContextual"/>
        </w:rPr>
      </w:pPr>
      <w:hyperlink w:anchor="_Toc212039543" w:history="1">
        <w:r w:rsidRPr="007D2F8A">
          <w:rPr>
            <w:rStyle w:val="Hyperlink"/>
          </w:rPr>
          <w:t>Disclosure of grants and transfer payments</w:t>
        </w:r>
        <w:r>
          <w:rPr>
            <w:webHidden/>
          </w:rPr>
          <w:tab/>
        </w:r>
        <w:r>
          <w:rPr>
            <w:webHidden/>
          </w:rPr>
          <w:fldChar w:fldCharType="begin"/>
        </w:r>
        <w:r>
          <w:rPr>
            <w:webHidden/>
          </w:rPr>
          <w:instrText xml:space="preserve"> PAGEREF _Toc212039543 \h </w:instrText>
        </w:r>
        <w:r>
          <w:rPr>
            <w:webHidden/>
          </w:rPr>
        </w:r>
        <w:r>
          <w:rPr>
            <w:webHidden/>
          </w:rPr>
          <w:fldChar w:fldCharType="separate"/>
        </w:r>
        <w:r w:rsidR="00D04356">
          <w:rPr>
            <w:webHidden/>
          </w:rPr>
          <w:t>118</w:t>
        </w:r>
        <w:r>
          <w:rPr>
            <w:webHidden/>
          </w:rPr>
          <w:fldChar w:fldCharType="end"/>
        </w:r>
      </w:hyperlink>
    </w:p>
    <w:p w14:paraId="58B65FD3" w14:textId="03410BA5" w:rsidR="00FA4D5A" w:rsidRDefault="00FA4D5A">
      <w:pPr>
        <w:pStyle w:val="TOC2"/>
        <w:rPr>
          <w:rFonts w:asciiTheme="minorHAnsi" w:hAnsiTheme="minorHAnsi"/>
          <w:kern w:val="2"/>
          <w:sz w:val="24"/>
          <w:lang w:val="en-US"/>
          <w14:ligatures w14:val="standardContextual"/>
        </w:rPr>
      </w:pPr>
      <w:hyperlink w:anchor="_Toc212039544" w:history="1">
        <w:r w:rsidRPr="007D2F8A">
          <w:rPr>
            <w:rStyle w:val="Hyperlink"/>
          </w:rPr>
          <w:t>Social procurement framework</w:t>
        </w:r>
        <w:r>
          <w:rPr>
            <w:webHidden/>
          </w:rPr>
          <w:tab/>
        </w:r>
        <w:r>
          <w:rPr>
            <w:webHidden/>
          </w:rPr>
          <w:fldChar w:fldCharType="begin"/>
        </w:r>
        <w:r>
          <w:rPr>
            <w:webHidden/>
          </w:rPr>
          <w:instrText xml:space="preserve"> PAGEREF _Toc212039544 \h </w:instrText>
        </w:r>
        <w:r>
          <w:rPr>
            <w:webHidden/>
          </w:rPr>
        </w:r>
        <w:r>
          <w:rPr>
            <w:webHidden/>
          </w:rPr>
          <w:fldChar w:fldCharType="separate"/>
        </w:r>
        <w:r w:rsidR="00D04356">
          <w:rPr>
            <w:webHidden/>
          </w:rPr>
          <w:t>119</w:t>
        </w:r>
        <w:r>
          <w:rPr>
            <w:webHidden/>
          </w:rPr>
          <w:fldChar w:fldCharType="end"/>
        </w:r>
      </w:hyperlink>
    </w:p>
    <w:p w14:paraId="6786FEC9" w14:textId="4EF72C54" w:rsidR="00FA4D5A" w:rsidRDefault="00FA4D5A">
      <w:pPr>
        <w:pStyle w:val="TOC2"/>
        <w:rPr>
          <w:rFonts w:asciiTheme="minorHAnsi" w:hAnsiTheme="minorHAnsi"/>
          <w:kern w:val="2"/>
          <w:sz w:val="24"/>
          <w:lang w:val="en-US"/>
          <w14:ligatures w14:val="standardContextual"/>
        </w:rPr>
      </w:pPr>
      <w:hyperlink w:anchor="_Toc212039545" w:history="1">
        <w:r w:rsidRPr="007D2F8A">
          <w:rPr>
            <w:rStyle w:val="Hyperlink"/>
          </w:rPr>
          <w:t>Compliance with the Building Act</w:t>
        </w:r>
        <w:r>
          <w:rPr>
            <w:webHidden/>
          </w:rPr>
          <w:tab/>
        </w:r>
        <w:r>
          <w:rPr>
            <w:webHidden/>
          </w:rPr>
          <w:fldChar w:fldCharType="begin"/>
        </w:r>
        <w:r>
          <w:rPr>
            <w:webHidden/>
          </w:rPr>
          <w:instrText xml:space="preserve"> PAGEREF _Toc212039545 \h </w:instrText>
        </w:r>
        <w:r>
          <w:rPr>
            <w:webHidden/>
          </w:rPr>
        </w:r>
        <w:r>
          <w:rPr>
            <w:webHidden/>
          </w:rPr>
          <w:fldChar w:fldCharType="separate"/>
        </w:r>
        <w:r w:rsidR="00D04356">
          <w:rPr>
            <w:webHidden/>
          </w:rPr>
          <w:t>120</w:t>
        </w:r>
        <w:r>
          <w:rPr>
            <w:webHidden/>
          </w:rPr>
          <w:fldChar w:fldCharType="end"/>
        </w:r>
      </w:hyperlink>
    </w:p>
    <w:p w14:paraId="40E95CC1" w14:textId="0A1B2A02" w:rsidR="00FA4D5A" w:rsidRDefault="00FA4D5A">
      <w:pPr>
        <w:pStyle w:val="TOC2"/>
        <w:rPr>
          <w:rFonts w:asciiTheme="minorHAnsi" w:hAnsiTheme="minorHAnsi"/>
          <w:kern w:val="2"/>
          <w:sz w:val="24"/>
          <w:lang w:val="en-US"/>
          <w14:ligatures w14:val="standardContextual"/>
        </w:rPr>
      </w:pPr>
      <w:hyperlink w:anchor="_Toc212039546" w:history="1">
        <w:r w:rsidRPr="007D2F8A">
          <w:rPr>
            <w:rStyle w:val="Hyperlink"/>
          </w:rPr>
          <w:t>Compliance with the Public Interest Disclosures Act</w:t>
        </w:r>
        <w:r>
          <w:rPr>
            <w:webHidden/>
          </w:rPr>
          <w:tab/>
        </w:r>
        <w:r>
          <w:rPr>
            <w:webHidden/>
          </w:rPr>
          <w:fldChar w:fldCharType="begin"/>
        </w:r>
        <w:r>
          <w:rPr>
            <w:webHidden/>
          </w:rPr>
          <w:instrText xml:space="preserve"> PAGEREF _Toc212039546 \h </w:instrText>
        </w:r>
        <w:r>
          <w:rPr>
            <w:webHidden/>
          </w:rPr>
        </w:r>
        <w:r>
          <w:rPr>
            <w:webHidden/>
          </w:rPr>
          <w:fldChar w:fldCharType="separate"/>
        </w:r>
        <w:r w:rsidR="00D04356">
          <w:rPr>
            <w:webHidden/>
          </w:rPr>
          <w:t>121</w:t>
        </w:r>
        <w:r>
          <w:rPr>
            <w:webHidden/>
          </w:rPr>
          <w:fldChar w:fldCharType="end"/>
        </w:r>
      </w:hyperlink>
    </w:p>
    <w:p w14:paraId="53983BFE" w14:textId="32797BAA" w:rsidR="00FA4D5A" w:rsidRDefault="00FA4D5A">
      <w:pPr>
        <w:pStyle w:val="TOC2"/>
        <w:rPr>
          <w:rFonts w:asciiTheme="minorHAnsi" w:hAnsiTheme="minorHAnsi"/>
          <w:kern w:val="2"/>
          <w:sz w:val="24"/>
          <w:lang w:val="en-US"/>
          <w14:ligatures w14:val="standardContextual"/>
        </w:rPr>
      </w:pPr>
      <w:hyperlink w:anchor="_Toc212039547" w:history="1">
        <w:r w:rsidRPr="007D2F8A">
          <w:rPr>
            <w:rStyle w:val="Hyperlink"/>
          </w:rPr>
          <w:t>Compliance with the Carers Recognition Act</w:t>
        </w:r>
        <w:r>
          <w:rPr>
            <w:webHidden/>
          </w:rPr>
          <w:tab/>
        </w:r>
        <w:r>
          <w:rPr>
            <w:webHidden/>
          </w:rPr>
          <w:fldChar w:fldCharType="begin"/>
        </w:r>
        <w:r>
          <w:rPr>
            <w:webHidden/>
          </w:rPr>
          <w:instrText xml:space="preserve"> PAGEREF _Toc212039547 \h </w:instrText>
        </w:r>
        <w:r>
          <w:rPr>
            <w:webHidden/>
          </w:rPr>
        </w:r>
        <w:r>
          <w:rPr>
            <w:webHidden/>
          </w:rPr>
          <w:fldChar w:fldCharType="separate"/>
        </w:r>
        <w:r w:rsidR="00D04356">
          <w:rPr>
            <w:webHidden/>
          </w:rPr>
          <w:t>122</w:t>
        </w:r>
        <w:r>
          <w:rPr>
            <w:webHidden/>
          </w:rPr>
          <w:fldChar w:fldCharType="end"/>
        </w:r>
      </w:hyperlink>
    </w:p>
    <w:p w14:paraId="12425DFC" w14:textId="3C8750CB" w:rsidR="00FA4D5A" w:rsidRDefault="00FA4D5A">
      <w:pPr>
        <w:pStyle w:val="TOC2"/>
        <w:rPr>
          <w:rFonts w:asciiTheme="minorHAnsi" w:hAnsiTheme="minorHAnsi"/>
          <w:kern w:val="2"/>
          <w:sz w:val="24"/>
          <w:lang w:val="en-US"/>
          <w14:ligatures w14:val="standardContextual"/>
        </w:rPr>
      </w:pPr>
      <w:hyperlink w:anchor="_Toc212039548" w:history="1">
        <w:r w:rsidRPr="007D2F8A">
          <w:rPr>
            <w:rStyle w:val="Hyperlink"/>
          </w:rPr>
          <w:t>Compliance with the Disability Act and the Children, Youth and Families Act</w:t>
        </w:r>
        <w:r>
          <w:rPr>
            <w:webHidden/>
          </w:rPr>
          <w:tab/>
        </w:r>
        <w:r>
          <w:rPr>
            <w:webHidden/>
          </w:rPr>
          <w:fldChar w:fldCharType="begin"/>
        </w:r>
        <w:r>
          <w:rPr>
            <w:webHidden/>
          </w:rPr>
          <w:instrText xml:space="preserve"> PAGEREF _Toc212039548 \h </w:instrText>
        </w:r>
        <w:r>
          <w:rPr>
            <w:webHidden/>
          </w:rPr>
        </w:r>
        <w:r>
          <w:rPr>
            <w:webHidden/>
          </w:rPr>
          <w:fldChar w:fldCharType="separate"/>
        </w:r>
        <w:r w:rsidR="00D04356">
          <w:rPr>
            <w:webHidden/>
          </w:rPr>
          <w:t>123</w:t>
        </w:r>
        <w:r>
          <w:rPr>
            <w:webHidden/>
          </w:rPr>
          <w:fldChar w:fldCharType="end"/>
        </w:r>
      </w:hyperlink>
    </w:p>
    <w:p w14:paraId="171C56CE" w14:textId="7FC0CBAE" w:rsidR="00FA4D5A" w:rsidRDefault="00FA4D5A">
      <w:pPr>
        <w:pStyle w:val="TOC2"/>
        <w:rPr>
          <w:rFonts w:asciiTheme="minorHAnsi" w:hAnsiTheme="minorHAnsi"/>
          <w:kern w:val="2"/>
          <w:sz w:val="24"/>
          <w:lang w:val="en-US"/>
          <w14:ligatures w14:val="standardContextual"/>
        </w:rPr>
      </w:pPr>
      <w:hyperlink w:anchor="_Toc212039549" w:history="1">
        <w:r w:rsidRPr="007D2F8A">
          <w:rPr>
            <w:rStyle w:val="Hyperlink"/>
          </w:rPr>
          <w:t>Disclosure of emergency procurement</w:t>
        </w:r>
        <w:r>
          <w:rPr>
            <w:webHidden/>
          </w:rPr>
          <w:tab/>
        </w:r>
        <w:r>
          <w:rPr>
            <w:webHidden/>
          </w:rPr>
          <w:fldChar w:fldCharType="begin"/>
        </w:r>
        <w:r>
          <w:rPr>
            <w:webHidden/>
          </w:rPr>
          <w:instrText xml:space="preserve"> PAGEREF _Toc212039549 \h </w:instrText>
        </w:r>
        <w:r>
          <w:rPr>
            <w:webHidden/>
          </w:rPr>
        </w:r>
        <w:r>
          <w:rPr>
            <w:webHidden/>
          </w:rPr>
          <w:fldChar w:fldCharType="separate"/>
        </w:r>
        <w:r w:rsidR="00D04356">
          <w:rPr>
            <w:webHidden/>
          </w:rPr>
          <w:t>123</w:t>
        </w:r>
        <w:r>
          <w:rPr>
            <w:webHidden/>
          </w:rPr>
          <w:fldChar w:fldCharType="end"/>
        </w:r>
      </w:hyperlink>
    </w:p>
    <w:p w14:paraId="353AD08A" w14:textId="605327C0" w:rsidR="00FA4D5A" w:rsidRDefault="00FA4D5A">
      <w:pPr>
        <w:pStyle w:val="TOC2"/>
        <w:rPr>
          <w:rFonts w:asciiTheme="minorHAnsi" w:hAnsiTheme="minorHAnsi"/>
          <w:kern w:val="2"/>
          <w:sz w:val="24"/>
          <w:lang w:val="en-US"/>
          <w14:ligatures w14:val="standardContextual"/>
        </w:rPr>
      </w:pPr>
      <w:hyperlink w:anchor="_Toc212039550" w:history="1">
        <w:r w:rsidRPr="007D2F8A">
          <w:rPr>
            <w:rStyle w:val="Hyperlink"/>
          </w:rPr>
          <w:t>Disclosure of procurement complaints</w:t>
        </w:r>
        <w:r>
          <w:rPr>
            <w:webHidden/>
          </w:rPr>
          <w:tab/>
        </w:r>
        <w:r>
          <w:rPr>
            <w:webHidden/>
          </w:rPr>
          <w:fldChar w:fldCharType="begin"/>
        </w:r>
        <w:r>
          <w:rPr>
            <w:webHidden/>
          </w:rPr>
          <w:instrText xml:space="preserve"> PAGEREF _Toc212039550 \h </w:instrText>
        </w:r>
        <w:r>
          <w:rPr>
            <w:webHidden/>
          </w:rPr>
        </w:r>
        <w:r>
          <w:rPr>
            <w:webHidden/>
          </w:rPr>
          <w:fldChar w:fldCharType="separate"/>
        </w:r>
        <w:r w:rsidR="00D04356">
          <w:rPr>
            <w:webHidden/>
          </w:rPr>
          <w:t>124</w:t>
        </w:r>
        <w:r>
          <w:rPr>
            <w:webHidden/>
          </w:rPr>
          <w:fldChar w:fldCharType="end"/>
        </w:r>
      </w:hyperlink>
    </w:p>
    <w:p w14:paraId="2C5EFE59" w14:textId="47B114D8" w:rsidR="00FA4D5A" w:rsidRDefault="00FA4D5A">
      <w:pPr>
        <w:pStyle w:val="TOC2"/>
        <w:rPr>
          <w:rFonts w:asciiTheme="minorHAnsi" w:hAnsiTheme="minorHAnsi"/>
          <w:kern w:val="2"/>
          <w:sz w:val="24"/>
          <w:lang w:val="en-US"/>
          <w14:ligatures w14:val="standardContextual"/>
        </w:rPr>
      </w:pPr>
      <w:hyperlink w:anchor="_Toc212039551" w:history="1">
        <w:r w:rsidRPr="007D2F8A">
          <w:rPr>
            <w:rStyle w:val="Hyperlink"/>
          </w:rPr>
          <w:t>Compliance with DataVic access policy</w:t>
        </w:r>
        <w:r>
          <w:rPr>
            <w:webHidden/>
          </w:rPr>
          <w:tab/>
        </w:r>
        <w:r>
          <w:rPr>
            <w:webHidden/>
          </w:rPr>
          <w:fldChar w:fldCharType="begin"/>
        </w:r>
        <w:r>
          <w:rPr>
            <w:webHidden/>
          </w:rPr>
          <w:instrText xml:space="preserve"> PAGEREF _Toc212039551 \h </w:instrText>
        </w:r>
        <w:r>
          <w:rPr>
            <w:webHidden/>
          </w:rPr>
        </w:r>
        <w:r>
          <w:rPr>
            <w:webHidden/>
          </w:rPr>
          <w:fldChar w:fldCharType="separate"/>
        </w:r>
        <w:r w:rsidR="00D04356">
          <w:rPr>
            <w:webHidden/>
          </w:rPr>
          <w:t>124</w:t>
        </w:r>
        <w:r>
          <w:rPr>
            <w:webHidden/>
          </w:rPr>
          <w:fldChar w:fldCharType="end"/>
        </w:r>
      </w:hyperlink>
    </w:p>
    <w:p w14:paraId="5350695C" w14:textId="20BFCA1A" w:rsidR="00FA4D5A" w:rsidRDefault="00FA4D5A">
      <w:pPr>
        <w:pStyle w:val="TOC2"/>
        <w:rPr>
          <w:rFonts w:asciiTheme="minorHAnsi" w:hAnsiTheme="minorHAnsi"/>
          <w:kern w:val="2"/>
          <w:sz w:val="24"/>
          <w:lang w:val="en-US"/>
          <w14:ligatures w14:val="standardContextual"/>
        </w:rPr>
      </w:pPr>
      <w:hyperlink w:anchor="_Toc212039552" w:history="1">
        <w:r w:rsidRPr="007D2F8A">
          <w:rPr>
            <w:rStyle w:val="Hyperlink"/>
          </w:rPr>
          <w:t>Social housing dwelling stock</w:t>
        </w:r>
        <w:r>
          <w:rPr>
            <w:webHidden/>
          </w:rPr>
          <w:tab/>
        </w:r>
        <w:r>
          <w:rPr>
            <w:webHidden/>
          </w:rPr>
          <w:fldChar w:fldCharType="begin"/>
        </w:r>
        <w:r>
          <w:rPr>
            <w:webHidden/>
          </w:rPr>
          <w:instrText xml:space="preserve"> PAGEREF _Toc212039552 \h </w:instrText>
        </w:r>
        <w:r>
          <w:rPr>
            <w:webHidden/>
          </w:rPr>
        </w:r>
        <w:r>
          <w:rPr>
            <w:webHidden/>
          </w:rPr>
          <w:fldChar w:fldCharType="separate"/>
        </w:r>
        <w:r w:rsidR="00D04356">
          <w:rPr>
            <w:webHidden/>
          </w:rPr>
          <w:t>124</w:t>
        </w:r>
        <w:r>
          <w:rPr>
            <w:webHidden/>
          </w:rPr>
          <w:fldChar w:fldCharType="end"/>
        </w:r>
      </w:hyperlink>
    </w:p>
    <w:p w14:paraId="4EE6BDC5" w14:textId="6BB87ED1" w:rsidR="00FA4D5A" w:rsidRDefault="00FA4D5A">
      <w:pPr>
        <w:pStyle w:val="TOC2"/>
        <w:rPr>
          <w:rFonts w:asciiTheme="minorHAnsi" w:hAnsiTheme="minorHAnsi"/>
          <w:kern w:val="2"/>
          <w:sz w:val="24"/>
          <w:lang w:val="en-US"/>
          <w14:ligatures w14:val="standardContextual"/>
        </w:rPr>
      </w:pPr>
      <w:hyperlink w:anchor="_Toc212039553" w:history="1">
        <w:r w:rsidRPr="007D2F8A">
          <w:rPr>
            <w:rStyle w:val="Hyperlink"/>
          </w:rPr>
          <w:t>Freedom of information</w:t>
        </w:r>
        <w:r>
          <w:rPr>
            <w:webHidden/>
          </w:rPr>
          <w:tab/>
        </w:r>
        <w:r>
          <w:rPr>
            <w:webHidden/>
          </w:rPr>
          <w:fldChar w:fldCharType="begin"/>
        </w:r>
        <w:r>
          <w:rPr>
            <w:webHidden/>
          </w:rPr>
          <w:instrText xml:space="preserve"> PAGEREF _Toc212039553 \h </w:instrText>
        </w:r>
        <w:r>
          <w:rPr>
            <w:webHidden/>
          </w:rPr>
        </w:r>
        <w:r>
          <w:rPr>
            <w:webHidden/>
          </w:rPr>
          <w:fldChar w:fldCharType="separate"/>
        </w:r>
        <w:r w:rsidR="00D04356">
          <w:rPr>
            <w:webHidden/>
          </w:rPr>
          <w:t>125</w:t>
        </w:r>
        <w:r>
          <w:rPr>
            <w:webHidden/>
          </w:rPr>
          <w:fldChar w:fldCharType="end"/>
        </w:r>
      </w:hyperlink>
    </w:p>
    <w:p w14:paraId="050B161F" w14:textId="58528614" w:rsidR="00FA4D5A" w:rsidRDefault="00FA4D5A">
      <w:pPr>
        <w:pStyle w:val="TOC2"/>
        <w:rPr>
          <w:rFonts w:asciiTheme="minorHAnsi" w:hAnsiTheme="minorHAnsi"/>
          <w:kern w:val="2"/>
          <w:sz w:val="24"/>
          <w:lang w:val="en-US"/>
          <w14:ligatures w14:val="standardContextual"/>
        </w:rPr>
      </w:pPr>
      <w:hyperlink w:anchor="_Toc212039554" w:history="1">
        <w:r w:rsidRPr="007D2F8A">
          <w:rPr>
            <w:rStyle w:val="Hyperlink"/>
          </w:rPr>
          <w:t>Environmental performance and impacts</w:t>
        </w:r>
        <w:r>
          <w:rPr>
            <w:webHidden/>
          </w:rPr>
          <w:tab/>
        </w:r>
        <w:r>
          <w:rPr>
            <w:webHidden/>
          </w:rPr>
          <w:fldChar w:fldCharType="begin"/>
        </w:r>
        <w:r>
          <w:rPr>
            <w:webHidden/>
          </w:rPr>
          <w:instrText xml:space="preserve"> PAGEREF _Toc212039554 \h </w:instrText>
        </w:r>
        <w:r>
          <w:rPr>
            <w:webHidden/>
          </w:rPr>
        </w:r>
        <w:r>
          <w:rPr>
            <w:webHidden/>
          </w:rPr>
          <w:fldChar w:fldCharType="separate"/>
        </w:r>
        <w:r w:rsidR="00D04356">
          <w:rPr>
            <w:webHidden/>
          </w:rPr>
          <w:t>126</w:t>
        </w:r>
        <w:r>
          <w:rPr>
            <w:webHidden/>
          </w:rPr>
          <w:fldChar w:fldCharType="end"/>
        </w:r>
      </w:hyperlink>
    </w:p>
    <w:p w14:paraId="155C57CA" w14:textId="0E25D5EB" w:rsidR="00FA4D5A" w:rsidRDefault="00FA4D5A">
      <w:pPr>
        <w:pStyle w:val="TOC2"/>
        <w:rPr>
          <w:rFonts w:asciiTheme="minorHAnsi" w:hAnsiTheme="minorHAnsi"/>
          <w:kern w:val="2"/>
          <w:sz w:val="24"/>
          <w:lang w:val="en-US"/>
          <w14:ligatures w14:val="standardContextual"/>
        </w:rPr>
      </w:pPr>
      <w:hyperlink w:anchor="_Toc212039555" w:history="1">
        <w:r w:rsidRPr="007D2F8A">
          <w:rPr>
            <w:rStyle w:val="Hyperlink"/>
          </w:rPr>
          <w:t>Financial management compliance attestation statement</w:t>
        </w:r>
        <w:r>
          <w:rPr>
            <w:webHidden/>
          </w:rPr>
          <w:tab/>
        </w:r>
        <w:r>
          <w:rPr>
            <w:webHidden/>
          </w:rPr>
          <w:fldChar w:fldCharType="begin"/>
        </w:r>
        <w:r>
          <w:rPr>
            <w:webHidden/>
          </w:rPr>
          <w:instrText xml:space="preserve"> PAGEREF _Toc212039555 \h </w:instrText>
        </w:r>
        <w:r>
          <w:rPr>
            <w:webHidden/>
          </w:rPr>
        </w:r>
        <w:r>
          <w:rPr>
            <w:webHidden/>
          </w:rPr>
          <w:fldChar w:fldCharType="separate"/>
        </w:r>
        <w:r w:rsidR="00D04356">
          <w:rPr>
            <w:webHidden/>
          </w:rPr>
          <w:t>138</w:t>
        </w:r>
        <w:r>
          <w:rPr>
            <w:webHidden/>
          </w:rPr>
          <w:fldChar w:fldCharType="end"/>
        </w:r>
      </w:hyperlink>
    </w:p>
    <w:p w14:paraId="12A0A086" w14:textId="0D355649" w:rsidR="00FA4D5A" w:rsidRDefault="00FA4D5A">
      <w:pPr>
        <w:pStyle w:val="TOC1"/>
        <w:rPr>
          <w:rFonts w:asciiTheme="minorHAnsi" w:hAnsiTheme="minorHAnsi"/>
          <w:kern w:val="2"/>
          <w:sz w:val="24"/>
          <w:szCs w:val="24"/>
          <w:lang w:val="en-US"/>
          <w14:ligatures w14:val="standardContextual"/>
        </w:rPr>
      </w:pPr>
      <w:hyperlink w:anchor="_Toc212039556" w:history="1">
        <w:r w:rsidRPr="007D2F8A">
          <w:rPr>
            <w:rStyle w:val="Hyperlink"/>
          </w:rPr>
          <w:t>Section 5: Financial statements for the financial year ended 30 June 2025</w:t>
        </w:r>
        <w:r>
          <w:rPr>
            <w:webHidden/>
          </w:rPr>
          <w:tab/>
        </w:r>
        <w:r>
          <w:rPr>
            <w:webHidden/>
          </w:rPr>
          <w:fldChar w:fldCharType="begin"/>
        </w:r>
        <w:r>
          <w:rPr>
            <w:webHidden/>
          </w:rPr>
          <w:instrText xml:space="preserve"> PAGEREF _Toc212039556 \h </w:instrText>
        </w:r>
        <w:r>
          <w:rPr>
            <w:webHidden/>
          </w:rPr>
        </w:r>
        <w:r>
          <w:rPr>
            <w:webHidden/>
          </w:rPr>
          <w:fldChar w:fldCharType="separate"/>
        </w:r>
        <w:r w:rsidR="00D04356">
          <w:rPr>
            <w:webHidden/>
          </w:rPr>
          <w:t>139</w:t>
        </w:r>
        <w:r>
          <w:rPr>
            <w:webHidden/>
          </w:rPr>
          <w:fldChar w:fldCharType="end"/>
        </w:r>
      </w:hyperlink>
    </w:p>
    <w:p w14:paraId="373AFABD" w14:textId="5C3D5D9F" w:rsidR="00FA4D5A" w:rsidRDefault="00FA4D5A">
      <w:pPr>
        <w:pStyle w:val="TOC1"/>
        <w:rPr>
          <w:rFonts w:asciiTheme="minorHAnsi" w:hAnsiTheme="minorHAnsi"/>
          <w:kern w:val="2"/>
          <w:sz w:val="24"/>
          <w:szCs w:val="24"/>
          <w:lang w:val="en-US"/>
          <w14:ligatures w14:val="standardContextual"/>
        </w:rPr>
      </w:pPr>
      <w:hyperlink w:anchor="_Toc212039557" w:history="1">
        <w:r w:rsidRPr="007D2F8A">
          <w:rPr>
            <w:rStyle w:val="Hyperlink"/>
          </w:rPr>
          <w:t>Section 6: Appendices</w:t>
        </w:r>
        <w:r>
          <w:rPr>
            <w:webHidden/>
          </w:rPr>
          <w:tab/>
        </w:r>
        <w:r>
          <w:rPr>
            <w:webHidden/>
          </w:rPr>
          <w:fldChar w:fldCharType="begin"/>
        </w:r>
        <w:r>
          <w:rPr>
            <w:webHidden/>
          </w:rPr>
          <w:instrText xml:space="preserve"> PAGEREF _Toc212039557 \h </w:instrText>
        </w:r>
        <w:r>
          <w:rPr>
            <w:webHidden/>
          </w:rPr>
        </w:r>
        <w:r>
          <w:rPr>
            <w:webHidden/>
          </w:rPr>
          <w:fldChar w:fldCharType="separate"/>
        </w:r>
        <w:r w:rsidR="00D04356">
          <w:rPr>
            <w:webHidden/>
          </w:rPr>
          <w:t>219</w:t>
        </w:r>
        <w:r>
          <w:rPr>
            <w:webHidden/>
          </w:rPr>
          <w:fldChar w:fldCharType="end"/>
        </w:r>
      </w:hyperlink>
    </w:p>
    <w:p w14:paraId="6CB1F821" w14:textId="0709F777" w:rsidR="00FA4D5A" w:rsidRDefault="00FA4D5A">
      <w:pPr>
        <w:pStyle w:val="TOC2"/>
        <w:rPr>
          <w:rFonts w:asciiTheme="minorHAnsi" w:hAnsiTheme="minorHAnsi"/>
          <w:kern w:val="2"/>
          <w:sz w:val="24"/>
          <w:lang w:val="en-US"/>
          <w14:ligatures w14:val="standardContextual"/>
        </w:rPr>
      </w:pPr>
      <w:hyperlink w:anchor="_Toc212039558" w:history="1">
        <w:r w:rsidRPr="007D2F8A">
          <w:rPr>
            <w:rStyle w:val="Hyperlink"/>
          </w:rPr>
          <w:t>Appendix 1: Budget portfolio outcomes</w:t>
        </w:r>
        <w:r>
          <w:rPr>
            <w:webHidden/>
          </w:rPr>
          <w:tab/>
        </w:r>
        <w:r>
          <w:rPr>
            <w:webHidden/>
          </w:rPr>
          <w:fldChar w:fldCharType="begin"/>
        </w:r>
        <w:r>
          <w:rPr>
            <w:webHidden/>
          </w:rPr>
          <w:instrText xml:space="preserve"> PAGEREF _Toc212039558 \h </w:instrText>
        </w:r>
        <w:r>
          <w:rPr>
            <w:webHidden/>
          </w:rPr>
        </w:r>
        <w:r>
          <w:rPr>
            <w:webHidden/>
          </w:rPr>
          <w:fldChar w:fldCharType="separate"/>
        </w:r>
        <w:r w:rsidR="00D04356">
          <w:rPr>
            <w:webHidden/>
          </w:rPr>
          <w:t>219</w:t>
        </w:r>
        <w:r>
          <w:rPr>
            <w:webHidden/>
          </w:rPr>
          <w:fldChar w:fldCharType="end"/>
        </w:r>
      </w:hyperlink>
    </w:p>
    <w:p w14:paraId="0288F12B" w14:textId="27FC4FAB" w:rsidR="00FA4D5A" w:rsidRDefault="00FA4D5A">
      <w:pPr>
        <w:pStyle w:val="TOC2"/>
        <w:rPr>
          <w:rFonts w:asciiTheme="minorHAnsi" w:hAnsiTheme="minorHAnsi"/>
          <w:kern w:val="2"/>
          <w:sz w:val="24"/>
          <w:lang w:val="en-US"/>
          <w14:ligatures w14:val="standardContextual"/>
        </w:rPr>
      </w:pPr>
      <w:hyperlink w:anchor="_Toc212039559" w:history="1">
        <w:r w:rsidRPr="007D2F8A">
          <w:rPr>
            <w:rStyle w:val="Hyperlink"/>
          </w:rPr>
          <w:t>Appendix 2: Homes Victoria</w:t>
        </w:r>
        <w:r>
          <w:rPr>
            <w:webHidden/>
          </w:rPr>
          <w:tab/>
        </w:r>
        <w:r>
          <w:rPr>
            <w:webHidden/>
          </w:rPr>
          <w:fldChar w:fldCharType="begin"/>
        </w:r>
        <w:r>
          <w:rPr>
            <w:webHidden/>
          </w:rPr>
          <w:instrText xml:space="preserve"> PAGEREF _Toc212039559 \h </w:instrText>
        </w:r>
        <w:r>
          <w:rPr>
            <w:webHidden/>
          </w:rPr>
        </w:r>
        <w:r>
          <w:rPr>
            <w:webHidden/>
          </w:rPr>
          <w:fldChar w:fldCharType="separate"/>
        </w:r>
        <w:r w:rsidR="00D04356">
          <w:rPr>
            <w:webHidden/>
          </w:rPr>
          <w:t>224</w:t>
        </w:r>
        <w:r>
          <w:rPr>
            <w:webHidden/>
          </w:rPr>
          <w:fldChar w:fldCharType="end"/>
        </w:r>
      </w:hyperlink>
    </w:p>
    <w:p w14:paraId="5A98B6BE" w14:textId="4A946AC8" w:rsidR="00FA4D5A" w:rsidRDefault="00FA4D5A">
      <w:pPr>
        <w:pStyle w:val="TOC2"/>
        <w:rPr>
          <w:rFonts w:asciiTheme="minorHAnsi" w:hAnsiTheme="minorHAnsi"/>
          <w:kern w:val="2"/>
          <w:sz w:val="24"/>
          <w:lang w:val="en-US"/>
          <w14:ligatures w14:val="standardContextual"/>
        </w:rPr>
      </w:pPr>
      <w:hyperlink w:anchor="_Toc212039560" w:history="1">
        <w:r w:rsidRPr="007D2F8A">
          <w:rPr>
            <w:rStyle w:val="Hyperlink"/>
          </w:rPr>
          <w:t>Appendix 3: Grants and transfer payments</w:t>
        </w:r>
        <w:r>
          <w:rPr>
            <w:webHidden/>
          </w:rPr>
          <w:tab/>
        </w:r>
        <w:r>
          <w:rPr>
            <w:webHidden/>
          </w:rPr>
          <w:fldChar w:fldCharType="begin"/>
        </w:r>
        <w:r>
          <w:rPr>
            <w:webHidden/>
          </w:rPr>
          <w:instrText xml:space="preserve"> PAGEREF _Toc212039560 \h </w:instrText>
        </w:r>
        <w:r>
          <w:rPr>
            <w:webHidden/>
          </w:rPr>
        </w:r>
        <w:r>
          <w:rPr>
            <w:webHidden/>
          </w:rPr>
          <w:fldChar w:fldCharType="separate"/>
        </w:r>
        <w:r w:rsidR="00D04356">
          <w:rPr>
            <w:webHidden/>
          </w:rPr>
          <w:t>228</w:t>
        </w:r>
        <w:r>
          <w:rPr>
            <w:webHidden/>
          </w:rPr>
          <w:fldChar w:fldCharType="end"/>
        </w:r>
      </w:hyperlink>
    </w:p>
    <w:p w14:paraId="2FA772BD" w14:textId="0A55ECD0" w:rsidR="00FA4D5A" w:rsidRDefault="00FA4D5A">
      <w:pPr>
        <w:pStyle w:val="TOC2"/>
        <w:rPr>
          <w:rFonts w:asciiTheme="minorHAnsi" w:hAnsiTheme="minorHAnsi"/>
          <w:kern w:val="2"/>
          <w:sz w:val="24"/>
          <w:lang w:val="en-US"/>
          <w14:ligatures w14:val="standardContextual"/>
        </w:rPr>
      </w:pPr>
      <w:hyperlink w:anchor="_Toc212039561" w:history="1">
        <w:r w:rsidRPr="007D2F8A">
          <w:rPr>
            <w:rStyle w:val="Hyperlink"/>
          </w:rPr>
          <w:t>Additional departmental information available on request</w:t>
        </w:r>
        <w:r>
          <w:rPr>
            <w:webHidden/>
          </w:rPr>
          <w:tab/>
        </w:r>
        <w:r>
          <w:rPr>
            <w:webHidden/>
          </w:rPr>
          <w:fldChar w:fldCharType="begin"/>
        </w:r>
        <w:r>
          <w:rPr>
            <w:webHidden/>
          </w:rPr>
          <w:instrText xml:space="preserve"> PAGEREF _Toc212039561 \h </w:instrText>
        </w:r>
        <w:r>
          <w:rPr>
            <w:webHidden/>
          </w:rPr>
        </w:r>
        <w:r>
          <w:rPr>
            <w:webHidden/>
          </w:rPr>
          <w:fldChar w:fldCharType="separate"/>
        </w:r>
        <w:r w:rsidR="00D04356">
          <w:rPr>
            <w:webHidden/>
          </w:rPr>
          <w:t>238</w:t>
        </w:r>
        <w:r>
          <w:rPr>
            <w:webHidden/>
          </w:rPr>
          <w:fldChar w:fldCharType="end"/>
        </w:r>
      </w:hyperlink>
    </w:p>
    <w:p w14:paraId="45E993BA" w14:textId="205FC290" w:rsidR="00FA4D5A" w:rsidRDefault="00FA4D5A">
      <w:pPr>
        <w:pStyle w:val="TOC2"/>
        <w:rPr>
          <w:rFonts w:asciiTheme="minorHAnsi" w:hAnsiTheme="minorHAnsi"/>
          <w:kern w:val="2"/>
          <w:sz w:val="24"/>
          <w:lang w:val="en-US"/>
          <w14:ligatures w14:val="standardContextual"/>
        </w:rPr>
      </w:pPr>
      <w:hyperlink w:anchor="_Toc212039562" w:history="1">
        <w:r w:rsidRPr="007D2F8A">
          <w:rPr>
            <w:rStyle w:val="Hyperlink"/>
          </w:rPr>
          <w:t>Disclosure index</w:t>
        </w:r>
        <w:r>
          <w:rPr>
            <w:webHidden/>
          </w:rPr>
          <w:tab/>
        </w:r>
        <w:r>
          <w:rPr>
            <w:webHidden/>
          </w:rPr>
          <w:fldChar w:fldCharType="begin"/>
        </w:r>
        <w:r>
          <w:rPr>
            <w:webHidden/>
          </w:rPr>
          <w:instrText xml:space="preserve"> PAGEREF _Toc212039562 \h </w:instrText>
        </w:r>
        <w:r>
          <w:rPr>
            <w:webHidden/>
          </w:rPr>
        </w:r>
        <w:r>
          <w:rPr>
            <w:webHidden/>
          </w:rPr>
          <w:fldChar w:fldCharType="separate"/>
        </w:r>
        <w:r w:rsidR="00D04356">
          <w:rPr>
            <w:webHidden/>
          </w:rPr>
          <w:t>239</w:t>
        </w:r>
        <w:r>
          <w:rPr>
            <w:webHidden/>
          </w:rPr>
          <w:fldChar w:fldCharType="end"/>
        </w:r>
      </w:hyperlink>
    </w:p>
    <w:p w14:paraId="062F21DA" w14:textId="2CD522F5" w:rsidR="00AD7FE0" w:rsidRPr="005A167E" w:rsidRDefault="0081234A" w:rsidP="005A167E">
      <w:pPr>
        <w:pStyle w:val="ARbody"/>
      </w:pPr>
      <w:r w:rsidRPr="00BA7805">
        <w:rPr>
          <w:highlight w:val="green"/>
        </w:rPr>
        <w:fldChar w:fldCharType="end"/>
      </w:r>
      <w:bookmarkStart w:id="22" w:name="_Toc114491178"/>
      <w:r w:rsidR="00AD7FE0">
        <w:br w:type="page"/>
      </w:r>
    </w:p>
    <w:p w14:paraId="5932547A" w14:textId="77777777" w:rsidR="00AD7FE0" w:rsidRPr="00466CD5" w:rsidRDefault="00AD7FE0" w:rsidP="00A742C2">
      <w:pPr>
        <w:pStyle w:val="Heading1"/>
      </w:pPr>
      <w:bookmarkStart w:id="23" w:name="_Ref178172802"/>
      <w:bookmarkStart w:id="24" w:name="_Toc212039504"/>
      <w:r w:rsidRPr="00466CD5">
        <w:lastRenderedPageBreak/>
        <w:t xml:space="preserve">Section 1: About the </w:t>
      </w:r>
      <w:r w:rsidRPr="000F2E68">
        <w:t>department</w:t>
      </w:r>
      <w:bookmarkEnd w:id="23"/>
      <w:bookmarkEnd w:id="24"/>
    </w:p>
    <w:p w14:paraId="791DD2A4" w14:textId="7CDDCECA" w:rsidR="00FD727A" w:rsidRDefault="0010410A" w:rsidP="00FD727A">
      <w:pPr>
        <w:pStyle w:val="ARbody"/>
      </w:pPr>
      <w:r>
        <w:rPr>
          <w:noProof/>
        </w:rPr>
        <w:drawing>
          <wp:inline distT="0" distB="0" distL="0" distR="0" wp14:anchorId="64531045" wp14:editId="2E09CC20">
            <wp:extent cx="873303" cy="881238"/>
            <wp:effectExtent l="0" t="0" r="3175" b="0"/>
            <wp:docPr id="607119224" name="Picture 6" descr="Peta McCammon&#10;Secreta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19224" name="Picture 6" descr="Peta McCammon&#10;Secretary&#10;"/>
                    <pic:cNvPicPr/>
                  </pic:nvPicPr>
                  <pic:blipFill rotWithShape="1">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879273" cy="887262"/>
                    </a:xfrm>
                    <a:prstGeom prst="rect">
                      <a:avLst/>
                    </a:prstGeom>
                    <a:ln>
                      <a:noFill/>
                    </a:ln>
                    <a:extLst>
                      <a:ext uri="{53640926-AAD7-44D8-BBD7-CCE9431645EC}">
                        <a14:shadowObscured xmlns:a14="http://schemas.microsoft.com/office/drawing/2010/main"/>
                      </a:ext>
                    </a:extLst>
                  </pic:spPr>
                </pic:pic>
              </a:graphicData>
            </a:graphic>
          </wp:inline>
        </w:drawing>
      </w:r>
    </w:p>
    <w:p w14:paraId="3DD71E09" w14:textId="3D657A9E" w:rsidR="002A2849" w:rsidRDefault="00AD7FE0" w:rsidP="007B5ECF">
      <w:pPr>
        <w:pStyle w:val="Heading2"/>
        <w:spacing w:before="0"/>
        <w:sectPr w:rsidR="002A2849" w:rsidSect="007F43B1">
          <w:headerReference w:type="default" r:id="rId19"/>
          <w:endnotePr>
            <w:numFmt w:val="decimal"/>
          </w:endnotePr>
          <w:type w:val="continuous"/>
          <w:pgSz w:w="11900" w:h="16840" w:code="9"/>
          <w:pgMar w:top="1588" w:right="1134" w:bottom="851" w:left="1134" w:header="510" w:footer="340" w:gutter="0"/>
          <w:cols w:space="708"/>
        </w:sectPr>
      </w:pPr>
      <w:bookmarkStart w:id="25" w:name="_Toc212039505"/>
      <w:r w:rsidRPr="00E23337">
        <w:t>Secretary</w:t>
      </w:r>
      <w:r w:rsidR="00711AE6">
        <w:t>’</w:t>
      </w:r>
      <w:r w:rsidRPr="00E23337">
        <w:t>s foreword</w:t>
      </w:r>
      <w:bookmarkEnd w:id="25"/>
    </w:p>
    <w:p w14:paraId="3CC8A271" w14:textId="3281C572" w:rsidR="002A2849" w:rsidRDefault="00E16EF4" w:rsidP="00AE63F5">
      <w:pPr>
        <w:pStyle w:val="ARbody"/>
        <w:spacing w:before="120"/>
        <w:rPr>
          <w:rStyle w:val="Strong"/>
        </w:rPr>
      </w:pPr>
      <w:bookmarkStart w:id="26" w:name="_Hlk207374452"/>
      <w:bookmarkEnd w:id="26"/>
      <w:r w:rsidRPr="003C6D4C">
        <w:rPr>
          <w:rStyle w:val="Strong"/>
        </w:rPr>
        <w:t>I acknowledge the Traditional Owners of the lands across Victoria</w:t>
      </w:r>
      <w:r>
        <w:rPr>
          <w:rStyle w:val="Strong"/>
        </w:rPr>
        <w:t>.</w:t>
      </w:r>
      <w:r w:rsidRPr="003C6D4C">
        <w:rPr>
          <w:rStyle w:val="Strong"/>
        </w:rPr>
        <w:t xml:space="preserve"> </w:t>
      </w:r>
      <w:r>
        <w:rPr>
          <w:rStyle w:val="Strong"/>
        </w:rPr>
        <w:t>I</w:t>
      </w:r>
      <w:r w:rsidRPr="003C6D4C">
        <w:rPr>
          <w:rStyle w:val="Strong"/>
        </w:rPr>
        <w:t xml:space="preserve"> pay my respects to all First Peoples, including their Elders past and</w:t>
      </w:r>
      <w:r w:rsidR="002A2849">
        <w:rPr>
          <w:rStyle w:val="Strong"/>
        </w:rPr>
        <w:t> </w:t>
      </w:r>
      <w:r w:rsidRPr="003C6D4C">
        <w:rPr>
          <w:rStyle w:val="Strong"/>
        </w:rPr>
        <w:t>present.</w:t>
      </w:r>
    </w:p>
    <w:p w14:paraId="5A775B9F" w14:textId="3B8D74DA" w:rsidR="00E16EF4" w:rsidRPr="00494181" w:rsidRDefault="00E16EF4" w:rsidP="00494181">
      <w:pPr>
        <w:pStyle w:val="ARbody"/>
      </w:pPr>
      <w:r w:rsidRPr="00494181">
        <w:t>On behalf of the Department of Families, Fairness and Housing, I am proud to present the 2024–25 annual</w:t>
      </w:r>
      <w:r w:rsidR="00494181">
        <w:t> </w:t>
      </w:r>
      <w:r w:rsidRPr="00494181">
        <w:t>report.</w:t>
      </w:r>
    </w:p>
    <w:p w14:paraId="3002B9E8" w14:textId="29B725F5" w:rsidR="00E16EF4" w:rsidRPr="00494181" w:rsidRDefault="00E16EF4" w:rsidP="00494181">
      <w:pPr>
        <w:pStyle w:val="ARbody"/>
      </w:pPr>
      <w:r w:rsidRPr="00494181">
        <w:t xml:space="preserve">Our department works to make Victoria a safer, fairer and more inclusive place. We work with some of the most at-risk people in our community. This includes children and young people, families, people with disability, multicultural communities and veterans. </w:t>
      </w:r>
    </w:p>
    <w:p w14:paraId="73A2B645" w14:textId="2250680B" w:rsidR="00E16EF4" w:rsidRPr="00494181" w:rsidRDefault="00E16EF4" w:rsidP="00494181">
      <w:pPr>
        <w:pStyle w:val="ARbody"/>
      </w:pPr>
      <w:r w:rsidRPr="00494181">
        <w:t xml:space="preserve">We listen to and engage with the people who use our services. </w:t>
      </w:r>
    </w:p>
    <w:p w14:paraId="44376FB9" w14:textId="51EDEA54" w:rsidR="00E16EF4" w:rsidRPr="00494181" w:rsidRDefault="00E16EF4" w:rsidP="00494181">
      <w:pPr>
        <w:pStyle w:val="ARbody"/>
      </w:pPr>
      <w:r w:rsidRPr="00494181">
        <w:t>The support we provide improves people’s daily</w:t>
      </w:r>
      <w:r w:rsidR="002A2849">
        <w:t> </w:t>
      </w:r>
      <w:r w:rsidRPr="00494181">
        <w:t xml:space="preserve">lives. </w:t>
      </w:r>
    </w:p>
    <w:p w14:paraId="1DC5F363" w14:textId="1877B958" w:rsidR="00E16EF4" w:rsidRPr="00494181" w:rsidRDefault="00E16EF4" w:rsidP="00494181">
      <w:pPr>
        <w:pStyle w:val="ARbody"/>
      </w:pPr>
      <w:r w:rsidRPr="00494181">
        <w:t>Our work also changes the laws, systems and policies that lead to inequality.</w:t>
      </w:r>
    </w:p>
    <w:p w14:paraId="4E16D503" w14:textId="671AB4F1" w:rsidR="00E16EF4" w:rsidRPr="00494181" w:rsidRDefault="00E16EF4" w:rsidP="00494181">
      <w:pPr>
        <w:pStyle w:val="ARbody"/>
      </w:pPr>
      <w:proofErr w:type="gramStart"/>
      <w:r w:rsidRPr="00494181">
        <w:t>In particular, we</w:t>
      </w:r>
      <w:proofErr w:type="gramEnd"/>
      <w:r w:rsidRPr="00494181">
        <w:t xml:space="preserve"> recognise the impact these systems and structures have had on our First Nations communities. We will work to embed Aboriginal self-determination in everything we do.</w:t>
      </w:r>
    </w:p>
    <w:p w14:paraId="5CF6A8D5" w14:textId="11C6C262" w:rsidR="00E16EF4" w:rsidRPr="00494181" w:rsidRDefault="00E16EF4" w:rsidP="00494181">
      <w:pPr>
        <w:pStyle w:val="ARbody"/>
      </w:pPr>
      <w:r w:rsidRPr="00494181">
        <w:t>To support this process, our Aboriginal Self-Determination and Outcomes Division is improving outcomes for Aboriginal Victorians. We know that First Peoples are best placed to make decisions about the things that affect their lives.</w:t>
      </w:r>
    </w:p>
    <w:p w14:paraId="7DB7DDEC" w14:textId="1F503DF8" w:rsidR="00E16EF4" w:rsidRPr="00494181" w:rsidRDefault="00E16EF4" w:rsidP="00494181">
      <w:pPr>
        <w:pStyle w:val="ARbody"/>
      </w:pPr>
      <w:r w:rsidRPr="00494181">
        <w:t xml:space="preserve">Our people are our greatest strength. They are committed to making our state a better place to live, work and raise a family for every Victorian. </w:t>
      </w:r>
    </w:p>
    <w:p w14:paraId="11C9B22E" w14:textId="58356CD0" w:rsidR="00E16EF4" w:rsidRDefault="00E16EF4" w:rsidP="00494181">
      <w:pPr>
        <w:pStyle w:val="ARbody"/>
      </w:pPr>
      <w:r w:rsidRPr="00494181">
        <w:t xml:space="preserve">This dedicated workforce continues to improve the lives of at-risk people across the state. Our </w:t>
      </w:r>
      <w:r w:rsidR="004F015E">
        <w:t>a</w:t>
      </w:r>
      <w:r w:rsidR="004F015E" w:rsidRPr="00494181">
        <w:t xml:space="preserve">nnual </w:t>
      </w:r>
      <w:r w:rsidR="004F015E">
        <w:t>r</w:t>
      </w:r>
      <w:r w:rsidR="004F015E" w:rsidRPr="00494181">
        <w:t xml:space="preserve">eport </w:t>
      </w:r>
      <w:r w:rsidRPr="00494181">
        <w:t>provides examples</w:t>
      </w:r>
      <w:r>
        <w:t xml:space="preserve"> of our progress and includes many Australian-first initiatives. </w:t>
      </w:r>
    </w:p>
    <w:p w14:paraId="01C5438A" w14:textId="43621018" w:rsidR="00E16EF4" w:rsidRPr="002A2849" w:rsidRDefault="00E16EF4" w:rsidP="00AE63F5">
      <w:pPr>
        <w:pStyle w:val="Heading3"/>
        <w:spacing w:before="0"/>
      </w:pPr>
      <w:r>
        <w:t>Highlights for 2024–25</w:t>
      </w:r>
    </w:p>
    <w:p w14:paraId="07BCBAC9" w14:textId="6CEB4E87" w:rsidR="00E16EF4" w:rsidRDefault="00E16EF4" w:rsidP="002A2849">
      <w:pPr>
        <w:pStyle w:val="Heading4"/>
      </w:pPr>
      <w:r w:rsidRPr="002A2849">
        <w:t>Supporting</w:t>
      </w:r>
      <w:r w:rsidRPr="00206E23">
        <w:t xml:space="preserve"> Aboriginal </w:t>
      </w:r>
      <w:r w:rsidR="002A2849">
        <w:br/>
      </w:r>
      <w:r w:rsidRPr="00206E23">
        <w:t>self-determination</w:t>
      </w:r>
    </w:p>
    <w:p w14:paraId="6E566698" w14:textId="1470FB44" w:rsidR="00E16EF4" w:rsidRPr="002A2849" w:rsidRDefault="00E16EF4" w:rsidP="002A2849">
      <w:pPr>
        <w:pStyle w:val="ARbullet1"/>
      </w:pPr>
      <w:r w:rsidRPr="00E128DB">
        <w:t xml:space="preserve">We added </w:t>
      </w:r>
      <w:r w:rsidR="00C07B4A">
        <w:t>4</w:t>
      </w:r>
      <w:r w:rsidRPr="00E128DB">
        <w:t xml:space="preserve"> teams across Victoria to the Aboriginal Children in Aboriginal Care (ACAC) program. This </w:t>
      </w:r>
      <w:r w:rsidR="00E5722A">
        <w:t>enables</w:t>
      </w:r>
      <w:r w:rsidR="0008742A">
        <w:t xml:space="preserve"> </w:t>
      </w:r>
      <w:r w:rsidR="00E5722A">
        <w:t>an additional 144 Aboriginal children</w:t>
      </w:r>
      <w:r w:rsidR="0008742A">
        <w:t xml:space="preserve"> </w:t>
      </w:r>
      <w:r w:rsidR="00D643DE">
        <w:t xml:space="preserve">to be supported by </w:t>
      </w:r>
      <w:r w:rsidR="002B27E7">
        <w:t>child safety services through authorised</w:t>
      </w:r>
      <w:r w:rsidR="00D643DE">
        <w:t xml:space="preserve"> </w:t>
      </w:r>
      <w:r w:rsidRPr="00E128DB">
        <w:t xml:space="preserve">Aboriginal community-controlled organisations (ACCOs) </w:t>
      </w:r>
      <w:r w:rsidR="00D643DE">
        <w:t xml:space="preserve">rather than the department. </w:t>
      </w:r>
    </w:p>
    <w:p w14:paraId="03AAC12F" w14:textId="6292FF5F" w:rsidR="00E16EF4" w:rsidRPr="002A2849" w:rsidRDefault="00E16EF4" w:rsidP="002A2849">
      <w:pPr>
        <w:pStyle w:val="ARbullet1"/>
      </w:pPr>
      <w:r w:rsidRPr="002A2849">
        <w:t>We engaged deeply and transparently with the</w:t>
      </w:r>
      <w:r w:rsidR="00FF1E83">
        <w:t> </w:t>
      </w:r>
      <w:proofErr w:type="spellStart"/>
      <w:r w:rsidRPr="002A2849">
        <w:t>Yoorrook</w:t>
      </w:r>
      <w:proofErr w:type="spellEnd"/>
      <w:r w:rsidRPr="002A2849">
        <w:t xml:space="preserve"> Justice Commission. This truth-telling enquiry examines the historical and ongoing trauma of colonisation.</w:t>
      </w:r>
    </w:p>
    <w:p w14:paraId="48C1E8E3" w14:textId="3A74EFC8" w:rsidR="00E16EF4" w:rsidRPr="002A2849" w:rsidRDefault="00E16EF4" w:rsidP="002A2849">
      <w:pPr>
        <w:pStyle w:val="ARbullet1"/>
      </w:pPr>
      <w:r w:rsidRPr="002A2849">
        <w:t>We established Priority Reform Working Groups. We did this in conjunction with the Koorie Caucus and the Aboriginal Strategic Governance Forum (ASGF). This will drive our</w:t>
      </w:r>
      <w:r w:rsidR="002A2849">
        <w:t> </w:t>
      </w:r>
      <w:r w:rsidRPr="002A2849">
        <w:t>work under the Closing the Gap Priority</w:t>
      </w:r>
      <w:r w:rsidR="002A2849">
        <w:t> </w:t>
      </w:r>
      <w:r w:rsidRPr="002A2849">
        <w:t>Reforms.</w:t>
      </w:r>
    </w:p>
    <w:p w14:paraId="71EC29CC" w14:textId="77777777" w:rsidR="00E16EF4" w:rsidRPr="00E128DB" w:rsidRDefault="00E16EF4" w:rsidP="002A2849">
      <w:pPr>
        <w:pStyle w:val="ARbullet1"/>
      </w:pPr>
      <w:r w:rsidRPr="00E128DB">
        <w:t>We provided grants for projects that support Aboriginal communities. This includes supporting Aboriginal leadership, promoting Aboriginal culture and community, and reforming systems.</w:t>
      </w:r>
    </w:p>
    <w:p w14:paraId="5149A81E" w14:textId="77777777" w:rsidR="00E16EF4" w:rsidRPr="00455FBF" w:rsidRDefault="00E16EF4" w:rsidP="002A2849">
      <w:pPr>
        <w:pStyle w:val="Heading4"/>
      </w:pPr>
      <w:r>
        <w:t xml:space="preserve">Delivered for the </w:t>
      </w:r>
      <w:r w:rsidRPr="002A2849">
        <w:t>community</w:t>
      </w:r>
    </w:p>
    <w:p w14:paraId="11C37173" w14:textId="31AEDC50" w:rsidR="00E16EF4" w:rsidRPr="006A7F97" w:rsidRDefault="00E16EF4">
      <w:pPr>
        <w:pStyle w:val="ARbullet1"/>
        <w:spacing w:line="240" w:lineRule="atLeast"/>
        <w:rPr>
          <w:rFonts w:eastAsia="Arial"/>
          <w:color w:val="000000" w:themeColor="text1"/>
          <w:szCs w:val="20"/>
        </w:rPr>
      </w:pPr>
      <w:r w:rsidRPr="006A7F97">
        <w:rPr>
          <w:rFonts w:eastAsia="Arial"/>
          <w:color w:val="000000" w:themeColor="text1"/>
          <w:szCs w:val="20"/>
        </w:rPr>
        <w:t xml:space="preserve">We commenced the Australian-first Free Pads and Tampons in Public Places program. </w:t>
      </w:r>
      <w:r w:rsidR="002A2849" w:rsidRPr="006A7F97">
        <w:rPr>
          <w:rFonts w:eastAsia="Arial"/>
          <w:color w:val="000000" w:themeColor="text1"/>
          <w:szCs w:val="20"/>
        </w:rPr>
        <w:br/>
      </w:r>
      <w:r w:rsidR="00AA1EB2">
        <w:rPr>
          <w:rFonts w:eastAsia="Arial"/>
          <w:color w:val="000000" w:themeColor="text1"/>
          <w:szCs w:val="20"/>
        </w:rPr>
        <w:t xml:space="preserve">As of </w:t>
      </w:r>
      <w:proofErr w:type="gramStart"/>
      <w:r w:rsidR="00AA1EB2">
        <w:rPr>
          <w:rFonts w:eastAsia="Arial"/>
          <w:color w:val="000000" w:themeColor="text1"/>
          <w:szCs w:val="20"/>
        </w:rPr>
        <w:t>30 June 2025</w:t>
      </w:r>
      <w:proofErr w:type="gramEnd"/>
      <w:r w:rsidRPr="006A7F97">
        <w:rPr>
          <w:rFonts w:eastAsia="Arial"/>
          <w:color w:val="000000" w:themeColor="text1"/>
          <w:szCs w:val="20"/>
        </w:rPr>
        <w:t xml:space="preserve"> </w:t>
      </w:r>
      <w:r w:rsidR="00AA1EB2">
        <w:rPr>
          <w:rFonts w:eastAsia="Arial"/>
          <w:color w:val="000000" w:themeColor="text1"/>
          <w:szCs w:val="20"/>
        </w:rPr>
        <w:t>there were</w:t>
      </w:r>
      <w:r w:rsidRPr="006A7F97">
        <w:rPr>
          <w:rFonts w:eastAsia="Arial"/>
          <w:color w:val="000000" w:themeColor="text1"/>
          <w:szCs w:val="20"/>
        </w:rPr>
        <w:t xml:space="preserve"> 313 pad and tampon vending machines installed in venues in Victoria. This includes libraries, hospitals, TAFEs, staffed train stations and cultural</w:t>
      </w:r>
      <w:r w:rsidR="00FF1E83">
        <w:rPr>
          <w:rFonts w:eastAsia="Arial"/>
          <w:color w:val="000000" w:themeColor="text1"/>
          <w:szCs w:val="20"/>
        </w:rPr>
        <w:t> </w:t>
      </w:r>
      <w:r w:rsidRPr="006A7F97">
        <w:rPr>
          <w:rFonts w:eastAsia="Arial"/>
          <w:color w:val="000000" w:themeColor="text1"/>
          <w:szCs w:val="20"/>
        </w:rPr>
        <w:t>institutions.</w:t>
      </w:r>
    </w:p>
    <w:p w14:paraId="11E4077F" w14:textId="638E0423" w:rsidR="00E16EF4" w:rsidRPr="00455FBF" w:rsidRDefault="00E16EF4">
      <w:pPr>
        <w:pStyle w:val="ARbullet1"/>
        <w:spacing w:line="240" w:lineRule="atLeast"/>
        <w:rPr>
          <w:rFonts w:eastAsia="Arial"/>
          <w:color w:val="000000" w:themeColor="text1"/>
          <w:szCs w:val="20"/>
        </w:rPr>
      </w:pPr>
      <w:r>
        <w:rPr>
          <w:rFonts w:eastAsia="Arial"/>
          <w:color w:val="000000" w:themeColor="text1"/>
          <w:szCs w:val="20"/>
        </w:rPr>
        <w:t>We opened</w:t>
      </w:r>
      <w:r w:rsidRPr="00455FBF">
        <w:rPr>
          <w:rFonts w:eastAsia="Arial"/>
          <w:color w:val="000000" w:themeColor="text1"/>
          <w:szCs w:val="20"/>
        </w:rPr>
        <w:t xml:space="preserve"> applications for Redress for Historical Institutional Abuse</w:t>
      </w:r>
      <w:r>
        <w:rPr>
          <w:rFonts w:eastAsia="Arial"/>
          <w:color w:val="000000" w:themeColor="text1"/>
          <w:szCs w:val="20"/>
        </w:rPr>
        <w:t xml:space="preserve">. </w:t>
      </w:r>
      <w:r w:rsidR="002A2849">
        <w:rPr>
          <w:rFonts w:eastAsia="Arial"/>
          <w:color w:val="000000" w:themeColor="text1"/>
          <w:szCs w:val="20"/>
        </w:rPr>
        <w:br/>
      </w:r>
      <w:r>
        <w:rPr>
          <w:rFonts w:eastAsia="Arial"/>
          <w:color w:val="000000" w:themeColor="text1"/>
          <w:szCs w:val="20"/>
        </w:rPr>
        <w:t xml:space="preserve">This is </w:t>
      </w:r>
      <w:r w:rsidRPr="00455FBF">
        <w:rPr>
          <w:rFonts w:eastAsia="Arial"/>
          <w:color w:val="000000" w:themeColor="text1"/>
          <w:szCs w:val="20"/>
        </w:rPr>
        <w:t>for people who were physically, psychologically or emotionally abused in institutional settings before 1990</w:t>
      </w:r>
      <w:r>
        <w:rPr>
          <w:rFonts w:eastAsia="Arial"/>
          <w:color w:val="000000" w:themeColor="text1"/>
          <w:szCs w:val="20"/>
        </w:rPr>
        <w:t>.</w:t>
      </w:r>
    </w:p>
    <w:p w14:paraId="740047E2" w14:textId="69FFF87F" w:rsidR="00E16EF4" w:rsidRPr="00455FBF" w:rsidRDefault="00603EAA">
      <w:pPr>
        <w:pStyle w:val="ARbullet1"/>
        <w:spacing w:line="240" w:lineRule="atLeast"/>
        <w:rPr>
          <w:rFonts w:eastAsia="Arial"/>
          <w:color w:val="000000" w:themeColor="text1"/>
          <w:szCs w:val="20"/>
        </w:rPr>
      </w:pPr>
      <w:r>
        <w:rPr>
          <w:rFonts w:eastAsia="Arial"/>
          <w:color w:val="000000" w:themeColor="text1"/>
          <w:szCs w:val="20"/>
        </w:rPr>
        <w:lastRenderedPageBreak/>
        <w:t>We met</w:t>
      </w:r>
      <w:r w:rsidRPr="00455FBF">
        <w:rPr>
          <w:rFonts w:eastAsia="Arial"/>
          <w:color w:val="000000" w:themeColor="text1"/>
          <w:szCs w:val="20"/>
        </w:rPr>
        <w:t xml:space="preserve"> our target </w:t>
      </w:r>
      <w:r>
        <w:rPr>
          <w:rFonts w:eastAsia="Arial"/>
          <w:color w:val="000000" w:themeColor="text1"/>
          <w:szCs w:val="20"/>
        </w:rPr>
        <w:t>to ensure</w:t>
      </w:r>
      <w:r w:rsidRPr="00455FBF">
        <w:rPr>
          <w:rFonts w:eastAsia="Arial"/>
          <w:color w:val="000000" w:themeColor="text1"/>
          <w:szCs w:val="20"/>
        </w:rPr>
        <w:t xml:space="preserve"> all young people in residential</w:t>
      </w:r>
      <w:r>
        <w:rPr>
          <w:rFonts w:eastAsia="Arial"/>
          <w:color w:val="000000" w:themeColor="text1"/>
          <w:szCs w:val="20"/>
        </w:rPr>
        <w:t> </w:t>
      </w:r>
      <w:r w:rsidRPr="00455FBF">
        <w:rPr>
          <w:rFonts w:eastAsia="Arial"/>
          <w:color w:val="000000" w:themeColor="text1"/>
          <w:szCs w:val="20"/>
        </w:rPr>
        <w:t>care</w:t>
      </w:r>
      <w:r>
        <w:rPr>
          <w:rFonts w:eastAsia="Arial"/>
          <w:color w:val="000000" w:themeColor="text1"/>
          <w:szCs w:val="20"/>
        </w:rPr>
        <w:t xml:space="preserve"> have access to therapeutic supports, starting from 1 July 2025</w:t>
      </w:r>
      <w:r w:rsidR="00E16EF4">
        <w:rPr>
          <w:rFonts w:eastAsia="Arial"/>
          <w:color w:val="000000" w:themeColor="text1"/>
          <w:szCs w:val="20"/>
        </w:rPr>
        <w:t>.</w:t>
      </w:r>
    </w:p>
    <w:p w14:paraId="5A51C60F" w14:textId="77777777" w:rsidR="00FD727A" w:rsidRDefault="00E16EF4">
      <w:pPr>
        <w:pStyle w:val="ARbullet1"/>
        <w:spacing w:line="240" w:lineRule="atLeast"/>
        <w:rPr>
          <w:rFonts w:eastAsia="Arial"/>
          <w:color w:val="000000" w:themeColor="text1"/>
          <w:szCs w:val="20"/>
        </w:rPr>
      </w:pPr>
      <w:r>
        <w:rPr>
          <w:rFonts w:eastAsia="Arial"/>
          <w:color w:val="000000" w:themeColor="text1"/>
          <w:szCs w:val="20"/>
        </w:rPr>
        <w:t>We launched</w:t>
      </w:r>
      <w:r w:rsidRPr="00455FBF">
        <w:rPr>
          <w:rFonts w:eastAsia="Arial"/>
          <w:color w:val="000000" w:themeColor="text1"/>
          <w:szCs w:val="20"/>
        </w:rPr>
        <w:t xml:space="preserve"> </w:t>
      </w:r>
      <w:r w:rsidRPr="00E6224B">
        <w:rPr>
          <w:rStyle w:val="Emphasis"/>
        </w:rPr>
        <w:t>Making it equal: Victoria’s women in manufacturing strategy</w:t>
      </w:r>
      <w:r>
        <w:rPr>
          <w:rFonts w:eastAsia="Arial"/>
          <w:color w:val="000000" w:themeColor="text1"/>
          <w:szCs w:val="20"/>
        </w:rPr>
        <w:t>. The strategy</w:t>
      </w:r>
      <w:r w:rsidR="0068625E">
        <w:rPr>
          <w:rFonts w:eastAsia="Arial"/>
          <w:color w:val="000000" w:themeColor="text1"/>
          <w:szCs w:val="20"/>
        </w:rPr>
        <w:t> </w:t>
      </w:r>
      <w:r>
        <w:rPr>
          <w:rFonts w:eastAsia="Arial"/>
          <w:color w:val="000000" w:themeColor="text1"/>
          <w:szCs w:val="20"/>
        </w:rPr>
        <w:t>aims</w:t>
      </w:r>
      <w:r w:rsidRPr="00F07E6E">
        <w:t xml:space="preserve"> </w:t>
      </w:r>
      <w:r w:rsidRPr="00455FBF">
        <w:rPr>
          <w:rFonts w:eastAsia="Arial"/>
          <w:color w:val="000000" w:themeColor="text1"/>
          <w:szCs w:val="20"/>
        </w:rPr>
        <w:t>to boost women’s participation and equality in the energy and manufacturing</w:t>
      </w:r>
      <w:r w:rsidR="002A2849">
        <w:rPr>
          <w:rFonts w:eastAsia="Arial"/>
          <w:color w:val="000000" w:themeColor="text1"/>
          <w:szCs w:val="20"/>
        </w:rPr>
        <w:t> </w:t>
      </w:r>
      <w:r w:rsidRPr="00455FBF">
        <w:rPr>
          <w:rFonts w:eastAsia="Arial"/>
          <w:color w:val="000000" w:themeColor="text1"/>
          <w:szCs w:val="20"/>
        </w:rPr>
        <w:t>sectors</w:t>
      </w:r>
      <w:r>
        <w:rPr>
          <w:rFonts w:eastAsia="Arial"/>
          <w:color w:val="000000" w:themeColor="text1"/>
          <w:szCs w:val="20"/>
        </w:rPr>
        <w:t>.</w:t>
      </w:r>
    </w:p>
    <w:p w14:paraId="30FDEF5C" w14:textId="62A2CFDC" w:rsidR="00E16EF4" w:rsidRPr="00EE4E11" w:rsidRDefault="00E16EF4">
      <w:pPr>
        <w:pStyle w:val="ARbullet1"/>
        <w:spacing w:line="240" w:lineRule="atLeast"/>
        <w:rPr>
          <w:rFonts w:eastAsia="Arial"/>
          <w:color w:val="000000" w:themeColor="text1"/>
          <w:szCs w:val="20"/>
        </w:rPr>
      </w:pPr>
      <w:r w:rsidRPr="00EE4E11">
        <w:rPr>
          <w:rFonts w:eastAsia="Arial"/>
          <w:color w:val="000000" w:themeColor="text1"/>
          <w:szCs w:val="20"/>
        </w:rPr>
        <w:t xml:space="preserve">We commenced the Investing Early Where </w:t>
      </w:r>
      <w:proofErr w:type="gramStart"/>
      <w:r w:rsidRPr="00EE4E11">
        <w:rPr>
          <w:rFonts w:eastAsia="Arial"/>
          <w:color w:val="000000" w:themeColor="text1"/>
          <w:szCs w:val="20"/>
        </w:rPr>
        <w:t>it</w:t>
      </w:r>
      <w:proofErr w:type="gramEnd"/>
      <w:r w:rsidRPr="00EE4E11">
        <w:rPr>
          <w:rFonts w:eastAsia="Arial"/>
          <w:color w:val="000000" w:themeColor="text1"/>
          <w:szCs w:val="20"/>
        </w:rPr>
        <w:t xml:space="preserve"> Matters package. This delivers prevention and early intervention initiatives to priority populations. Populations include South Sudanese, Somali, Afghan and Pasifika young people and their families.</w:t>
      </w:r>
    </w:p>
    <w:p w14:paraId="18D477FD" w14:textId="68DBF79C" w:rsidR="00E16EF4" w:rsidRPr="00455FBF" w:rsidRDefault="00E16EF4">
      <w:pPr>
        <w:pStyle w:val="ARbullet1"/>
        <w:spacing w:line="240" w:lineRule="atLeast"/>
        <w:rPr>
          <w:rFonts w:eastAsia="Arial"/>
          <w:color w:val="000000" w:themeColor="text1"/>
          <w:szCs w:val="20"/>
        </w:rPr>
      </w:pPr>
      <w:r>
        <w:rPr>
          <w:rFonts w:eastAsia="Arial"/>
          <w:color w:val="000000" w:themeColor="text1"/>
          <w:szCs w:val="20"/>
        </w:rPr>
        <w:t>We e</w:t>
      </w:r>
      <w:r w:rsidRPr="00455FBF">
        <w:rPr>
          <w:rFonts w:eastAsia="Arial"/>
          <w:color w:val="000000" w:themeColor="text1"/>
          <w:szCs w:val="20"/>
        </w:rPr>
        <w:t xml:space="preserve">xtended the </w:t>
      </w:r>
      <w:r w:rsidRPr="00E16EF4">
        <w:rPr>
          <w:rFonts w:eastAsia="Arial"/>
          <w:color w:val="000000" w:themeColor="text1"/>
          <w:szCs w:val="20"/>
        </w:rPr>
        <w:t xml:space="preserve">Living Learning </w:t>
      </w:r>
      <w:r w:rsidRPr="00455FBF">
        <w:rPr>
          <w:rFonts w:eastAsia="Arial"/>
          <w:color w:val="000000" w:themeColor="text1"/>
          <w:szCs w:val="20"/>
        </w:rPr>
        <w:t xml:space="preserve">program to keep </w:t>
      </w:r>
      <w:r>
        <w:rPr>
          <w:rFonts w:eastAsia="Arial"/>
          <w:color w:val="000000" w:themeColor="text1"/>
          <w:szCs w:val="20"/>
        </w:rPr>
        <w:t xml:space="preserve">at-risk </w:t>
      </w:r>
      <w:r w:rsidRPr="00455FBF">
        <w:rPr>
          <w:rFonts w:eastAsia="Arial"/>
          <w:color w:val="000000" w:themeColor="text1"/>
          <w:szCs w:val="20"/>
        </w:rPr>
        <w:t>students engaged with education</w:t>
      </w:r>
      <w:r>
        <w:rPr>
          <w:rFonts w:eastAsia="Arial"/>
          <w:color w:val="000000" w:themeColor="text1"/>
          <w:szCs w:val="20"/>
        </w:rPr>
        <w:t>. The program</w:t>
      </w:r>
      <w:r w:rsidRPr="00455FBF">
        <w:rPr>
          <w:rFonts w:eastAsia="Arial"/>
          <w:color w:val="000000" w:themeColor="text1"/>
          <w:szCs w:val="20"/>
        </w:rPr>
        <w:t xml:space="preserve"> provide</w:t>
      </w:r>
      <w:r>
        <w:rPr>
          <w:rFonts w:eastAsia="Arial"/>
          <w:color w:val="000000" w:themeColor="text1"/>
          <w:szCs w:val="20"/>
        </w:rPr>
        <w:t>s</w:t>
      </w:r>
      <w:r w:rsidRPr="00455FBF">
        <w:rPr>
          <w:rFonts w:eastAsia="Arial"/>
          <w:color w:val="000000" w:themeColor="text1"/>
          <w:szCs w:val="20"/>
        </w:rPr>
        <w:t xml:space="preserve"> wrap-around mental health and specialist support</w:t>
      </w:r>
      <w:r>
        <w:rPr>
          <w:rFonts w:eastAsia="Arial"/>
          <w:color w:val="000000" w:themeColor="text1"/>
          <w:szCs w:val="20"/>
        </w:rPr>
        <w:t>.</w:t>
      </w:r>
    </w:p>
    <w:p w14:paraId="2A0BD70A" w14:textId="2A8D6EDA" w:rsidR="00E16EF4" w:rsidRPr="00455FBF" w:rsidRDefault="00E16EF4">
      <w:pPr>
        <w:pStyle w:val="ARbullet1"/>
        <w:spacing w:line="240" w:lineRule="atLeast"/>
        <w:rPr>
          <w:rFonts w:eastAsia="Arial"/>
          <w:color w:val="000000" w:themeColor="text1"/>
          <w:szCs w:val="20"/>
        </w:rPr>
      </w:pPr>
      <w:r>
        <w:rPr>
          <w:rFonts w:eastAsia="Arial"/>
          <w:color w:val="000000" w:themeColor="text1"/>
          <w:szCs w:val="20"/>
        </w:rPr>
        <w:t>We continued</w:t>
      </w:r>
      <w:r w:rsidRPr="00455FBF">
        <w:rPr>
          <w:rFonts w:eastAsia="Arial"/>
          <w:color w:val="000000" w:themeColor="text1"/>
          <w:szCs w:val="20"/>
        </w:rPr>
        <w:t xml:space="preserve"> to roll out </w:t>
      </w:r>
      <w:r w:rsidRPr="00E6224B">
        <w:rPr>
          <w:rStyle w:val="Emphasis"/>
        </w:rPr>
        <w:t>Inclusive Victoria: state disability plan 2022–2026</w:t>
      </w:r>
      <w:r>
        <w:rPr>
          <w:rFonts w:eastAsia="Arial"/>
          <w:color w:val="000000" w:themeColor="text1"/>
          <w:szCs w:val="20"/>
        </w:rPr>
        <w:t>. This</w:t>
      </w:r>
      <w:r w:rsidRPr="00F07E6E">
        <w:t xml:space="preserve"> </w:t>
      </w:r>
      <w:r>
        <w:rPr>
          <w:rFonts w:eastAsia="Arial"/>
          <w:color w:val="000000" w:themeColor="text1"/>
          <w:szCs w:val="20"/>
        </w:rPr>
        <w:t>includes grants for</w:t>
      </w:r>
      <w:r w:rsidRPr="00455FBF">
        <w:rPr>
          <w:rFonts w:eastAsia="Arial"/>
          <w:color w:val="000000" w:themeColor="text1"/>
          <w:szCs w:val="20"/>
        </w:rPr>
        <w:t xml:space="preserve"> autism assessment</w:t>
      </w:r>
      <w:r>
        <w:rPr>
          <w:rFonts w:eastAsia="Arial"/>
          <w:color w:val="000000" w:themeColor="text1"/>
          <w:szCs w:val="20"/>
        </w:rPr>
        <w:t>. It also includes</w:t>
      </w:r>
      <w:r w:rsidRPr="00455FBF">
        <w:rPr>
          <w:rFonts w:eastAsia="Arial"/>
          <w:color w:val="000000" w:themeColor="text1"/>
          <w:szCs w:val="20"/>
        </w:rPr>
        <w:t xml:space="preserve"> </w:t>
      </w:r>
      <w:r>
        <w:rPr>
          <w:rFonts w:eastAsia="Arial"/>
          <w:color w:val="000000" w:themeColor="text1"/>
          <w:szCs w:val="20"/>
        </w:rPr>
        <w:t>placing</w:t>
      </w:r>
      <w:r w:rsidRPr="00455FBF">
        <w:rPr>
          <w:rFonts w:eastAsia="Arial"/>
          <w:color w:val="000000" w:themeColor="text1"/>
          <w:szCs w:val="20"/>
        </w:rPr>
        <w:t xml:space="preserve"> disability liaison officers in health</w:t>
      </w:r>
      <w:r w:rsidR="002A2849">
        <w:rPr>
          <w:rFonts w:eastAsia="Arial"/>
          <w:color w:val="000000" w:themeColor="text1"/>
          <w:szCs w:val="20"/>
        </w:rPr>
        <w:t> </w:t>
      </w:r>
      <w:r w:rsidRPr="00455FBF">
        <w:rPr>
          <w:rFonts w:eastAsia="Arial"/>
          <w:color w:val="000000" w:themeColor="text1"/>
          <w:szCs w:val="20"/>
        </w:rPr>
        <w:t>services</w:t>
      </w:r>
      <w:r>
        <w:rPr>
          <w:rFonts w:eastAsia="Arial"/>
          <w:color w:val="000000" w:themeColor="text1"/>
          <w:szCs w:val="20"/>
        </w:rPr>
        <w:t>.</w:t>
      </w:r>
    </w:p>
    <w:p w14:paraId="234561F7" w14:textId="207C72A1" w:rsidR="00E16EF4" w:rsidRPr="00EE4E11" w:rsidRDefault="00E16EF4">
      <w:pPr>
        <w:pStyle w:val="ARbullet1"/>
        <w:spacing w:line="240" w:lineRule="atLeast"/>
        <w:rPr>
          <w:rFonts w:eastAsia="Arial"/>
          <w:color w:val="000000" w:themeColor="text1"/>
          <w:szCs w:val="20"/>
        </w:rPr>
      </w:pPr>
      <w:r w:rsidRPr="00EE4E11">
        <w:rPr>
          <w:rFonts w:eastAsia="Arial"/>
          <w:color w:val="000000" w:themeColor="text1"/>
          <w:szCs w:val="20"/>
        </w:rPr>
        <w:t>We funded 21 disability advocacy agencies</w:t>
      </w:r>
      <w:r w:rsidR="00F42C5F">
        <w:rPr>
          <w:rFonts w:eastAsia="Arial"/>
          <w:color w:val="000000" w:themeColor="text1"/>
          <w:szCs w:val="20"/>
        </w:rPr>
        <w:t>, including</w:t>
      </w:r>
      <w:r w:rsidRPr="00EE4E11">
        <w:rPr>
          <w:rFonts w:eastAsia="Arial"/>
          <w:color w:val="000000" w:themeColor="text1"/>
          <w:szCs w:val="20"/>
        </w:rPr>
        <w:t xml:space="preserve"> 2 resource units. This will </w:t>
      </w:r>
      <w:r w:rsidR="005A0153">
        <w:rPr>
          <w:rFonts w:eastAsia="Arial"/>
          <w:color w:val="000000" w:themeColor="text1"/>
          <w:szCs w:val="20"/>
        </w:rPr>
        <w:t xml:space="preserve">continue to </w:t>
      </w:r>
      <w:r w:rsidRPr="00EE4E11">
        <w:rPr>
          <w:rFonts w:eastAsia="Arial"/>
          <w:color w:val="000000" w:themeColor="text1"/>
          <w:szCs w:val="20"/>
        </w:rPr>
        <w:t>support 800 Victorians with disability.</w:t>
      </w:r>
    </w:p>
    <w:p w14:paraId="37CC1793" w14:textId="0C16F61D" w:rsidR="00E16EF4" w:rsidRPr="00455FBF" w:rsidRDefault="00E16EF4">
      <w:pPr>
        <w:pStyle w:val="ARbullet1"/>
        <w:spacing w:line="240" w:lineRule="atLeast"/>
        <w:rPr>
          <w:rFonts w:eastAsia="Arial"/>
          <w:color w:val="000000" w:themeColor="text1"/>
          <w:szCs w:val="20"/>
        </w:rPr>
      </w:pPr>
      <w:r>
        <w:rPr>
          <w:rFonts w:eastAsia="Arial"/>
          <w:color w:val="000000" w:themeColor="text1"/>
          <w:szCs w:val="20"/>
        </w:rPr>
        <w:t>We c</w:t>
      </w:r>
      <w:r w:rsidRPr="00455FBF">
        <w:rPr>
          <w:rFonts w:eastAsia="Arial"/>
          <w:color w:val="000000" w:themeColor="text1"/>
          <w:szCs w:val="20"/>
        </w:rPr>
        <w:t>ontinued to inve</w:t>
      </w:r>
      <w:r>
        <w:rPr>
          <w:rFonts w:eastAsia="Arial"/>
          <w:color w:val="000000" w:themeColor="text1"/>
          <w:szCs w:val="20"/>
        </w:rPr>
        <w:t>s</w:t>
      </w:r>
      <w:r w:rsidRPr="00455FBF">
        <w:rPr>
          <w:rFonts w:eastAsia="Arial"/>
          <w:color w:val="000000" w:themeColor="text1"/>
          <w:szCs w:val="20"/>
        </w:rPr>
        <w:t xml:space="preserve">t in the </w:t>
      </w:r>
      <w:r w:rsidRPr="00571BA3">
        <w:rPr>
          <w:rFonts w:eastAsia="Arial"/>
          <w:color w:val="000000" w:themeColor="text1"/>
          <w:szCs w:val="20"/>
        </w:rPr>
        <w:t>Neighbourhood House Coordination Program</w:t>
      </w:r>
      <w:r>
        <w:rPr>
          <w:rFonts w:eastAsia="Arial"/>
          <w:color w:val="000000" w:themeColor="text1"/>
          <w:szCs w:val="20"/>
        </w:rPr>
        <w:t xml:space="preserve">. This supports </w:t>
      </w:r>
      <w:r w:rsidRPr="00455FBF">
        <w:rPr>
          <w:rFonts w:eastAsia="Arial"/>
          <w:color w:val="000000" w:themeColor="text1"/>
          <w:szCs w:val="20"/>
        </w:rPr>
        <w:t>around 400</w:t>
      </w:r>
      <w:r>
        <w:rPr>
          <w:rFonts w:eastAsia="Arial"/>
          <w:color w:val="000000" w:themeColor="text1"/>
          <w:szCs w:val="20"/>
        </w:rPr>
        <w:t> </w:t>
      </w:r>
      <w:r w:rsidRPr="00455FBF">
        <w:rPr>
          <w:rFonts w:eastAsia="Arial"/>
          <w:color w:val="000000" w:themeColor="text1"/>
          <w:szCs w:val="20"/>
        </w:rPr>
        <w:t>Neighbourhood Houses</w:t>
      </w:r>
      <w:r>
        <w:rPr>
          <w:rFonts w:eastAsia="Arial"/>
          <w:color w:val="000000" w:themeColor="text1"/>
          <w:szCs w:val="20"/>
        </w:rPr>
        <w:t>.</w:t>
      </w:r>
    </w:p>
    <w:p w14:paraId="2BB129E3" w14:textId="4EF5816C" w:rsidR="00E16EF4" w:rsidRPr="00A848CC" w:rsidRDefault="00E16EF4">
      <w:pPr>
        <w:pStyle w:val="ARbullet1"/>
        <w:spacing w:line="240" w:lineRule="atLeast"/>
        <w:rPr>
          <w:rFonts w:eastAsia="Arial"/>
          <w:color w:val="000000" w:themeColor="text1"/>
          <w:szCs w:val="20"/>
        </w:rPr>
      </w:pPr>
      <w:r>
        <w:rPr>
          <w:rFonts w:eastAsia="Arial"/>
          <w:color w:val="000000" w:themeColor="text1"/>
          <w:szCs w:val="20"/>
        </w:rPr>
        <w:t>We s</w:t>
      </w:r>
      <w:r w:rsidRPr="00A848CC">
        <w:rPr>
          <w:rFonts w:eastAsia="Arial"/>
          <w:color w:val="000000" w:themeColor="text1"/>
          <w:szCs w:val="20"/>
        </w:rPr>
        <w:t>trengthened Victoria’s food relief sector</w:t>
      </w:r>
      <w:r>
        <w:rPr>
          <w:rFonts w:eastAsia="Arial"/>
          <w:color w:val="000000" w:themeColor="text1"/>
          <w:szCs w:val="20"/>
        </w:rPr>
        <w:t>.</w:t>
      </w:r>
      <w:r w:rsidRPr="00A848CC">
        <w:rPr>
          <w:rFonts w:eastAsia="Arial"/>
          <w:color w:val="000000" w:themeColor="text1"/>
          <w:szCs w:val="20"/>
        </w:rPr>
        <w:t xml:space="preserve"> </w:t>
      </w:r>
      <w:r>
        <w:rPr>
          <w:rFonts w:eastAsia="Arial"/>
          <w:color w:val="000000" w:themeColor="text1"/>
          <w:szCs w:val="20"/>
        </w:rPr>
        <w:t>Our</w:t>
      </w:r>
      <w:r w:rsidRPr="00A848CC">
        <w:rPr>
          <w:rFonts w:eastAsia="Arial"/>
          <w:color w:val="000000" w:themeColor="text1"/>
          <w:szCs w:val="20"/>
        </w:rPr>
        <w:t xml:space="preserve"> funding support</w:t>
      </w:r>
      <w:r>
        <w:rPr>
          <w:rFonts w:eastAsia="Arial"/>
          <w:color w:val="000000" w:themeColor="text1"/>
          <w:szCs w:val="20"/>
        </w:rPr>
        <w:t>ed</w:t>
      </w:r>
      <w:r w:rsidRPr="00A848CC">
        <w:rPr>
          <w:rFonts w:eastAsia="Arial"/>
          <w:color w:val="000000" w:themeColor="text1"/>
          <w:szCs w:val="20"/>
        </w:rPr>
        <w:t xml:space="preserve"> Victoria’s </w:t>
      </w:r>
      <w:r>
        <w:rPr>
          <w:rFonts w:eastAsia="Arial"/>
          <w:color w:val="000000" w:themeColor="text1"/>
          <w:szCs w:val="20"/>
        </w:rPr>
        <w:t>6</w:t>
      </w:r>
      <w:r w:rsidRPr="00A848CC">
        <w:rPr>
          <w:rFonts w:eastAsia="Arial"/>
          <w:color w:val="000000" w:themeColor="text1"/>
          <w:szCs w:val="20"/>
        </w:rPr>
        <w:t xml:space="preserve"> regional </w:t>
      </w:r>
      <w:proofErr w:type="spellStart"/>
      <w:r w:rsidRPr="00A848CC">
        <w:rPr>
          <w:rFonts w:eastAsia="Arial"/>
          <w:color w:val="000000" w:themeColor="text1"/>
          <w:szCs w:val="20"/>
        </w:rPr>
        <w:t>foodshares</w:t>
      </w:r>
      <w:proofErr w:type="spellEnd"/>
      <w:r w:rsidRPr="00A848CC">
        <w:rPr>
          <w:rFonts w:eastAsia="Arial"/>
          <w:color w:val="000000" w:themeColor="text1"/>
          <w:szCs w:val="20"/>
        </w:rPr>
        <w:t xml:space="preserve"> and the Regional Food Security</w:t>
      </w:r>
      <w:r w:rsidR="00A27430">
        <w:rPr>
          <w:rFonts w:eastAsia="Arial"/>
          <w:color w:val="000000" w:themeColor="text1"/>
          <w:szCs w:val="20"/>
        </w:rPr>
        <w:t> </w:t>
      </w:r>
      <w:r w:rsidRPr="00A848CC">
        <w:rPr>
          <w:rFonts w:eastAsia="Arial"/>
          <w:color w:val="000000" w:themeColor="text1"/>
          <w:szCs w:val="20"/>
        </w:rPr>
        <w:t>Alliance</w:t>
      </w:r>
      <w:r>
        <w:rPr>
          <w:rFonts w:eastAsia="Arial"/>
          <w:color w:val="000000" w:themeColor="text1"/>
          <w:szCs w:val="20"/>
        </w:rPr>
        <w:t>.</w:t>
      </w:r>
    </w:p>
    <w:p w14:paraId="46A0A7E1" w14:textId="6A6E6DA2" w:rsidR="00E16EF4" w:rsidRPr="00455FBF" w:rsidRDefault="00E16EF4">
      <w:pPr>
        <w:pStyle w:val="ARbullet1"/>
        <w:spacing w:line="240" w:lineRule="atLeast"/>
        <w:rPr>
          <w:rFonts w:eastAsia="Arial"/>
          <w:color w:val="000000" w:themeColor="text1"/>
          <w:szCs w:val="20"/>
        </w:rPr>
      </w:pPr>
      <w:r>
        <w:rPr>
          <w:rFonts w:eastAsia="Arial"/>
          <w:color w:val="000000" w:themeColor="text1"/>
          <w:szCs w:val="20"/>
        </w:rPr>
        <w:t>We p</w:t>
      </w:r>
      <w:r w:rsidRPr="00455FBF">
        <w:rPr>
          <w:rFonts w:eastAsia="Arial"/>
          <w:color w:val="000000" w:themeColor="text1"/>
          <w:szCs w:val="20"/>
        </w:rPr>
        <w:t xml:space="preserve">artnered with local governments to </w:t>
      </w:r>
      <w:r>
        <w:rPr>
          <w:rFonts w:eastAsia="Arial"/>
          <w:color w:val="000000" w:themeColor="text1"/>
          <w:szCs w:val="20"/>
        </w:rPr>
        <w:t>upgrade</w:t>
      </w:r>
      <w:r w:rsidRPr="00455FBF">
        <w:rPr>
          <w:rFonts w:eastAsia="Arial"/>
          <w:color w:val="000000" w:themeColor="text1"/>
          <w:szCs w:val="20"/>
        </w:rPr>
        <w:t xml:space="preserve"> </w:t>
      </w:r>
      <w:r>
        <w:rPr>
          <w:rFonts w:eastAsia="Arial"/>
          <w:color w:val="000000" w:themeColor="text1"/>
          <w:szCs w:val="20"/>
        </w:rPr>
        <w:t>y</w:t>
      </w:r>
      <w:r w:rsidRPr="00455FBF">
        <w:rPr>
          <w:rFonts w:eastAsia="Arial"/>
          <w:color w:val="000000" w:themeColor="text1"/>
          <w:szCs w:val="20"/>
        </w:rPr>
        <w:t xml:space="preserve">outh </w:t>
      </w:r>
      <w:r>
        <w:rPr>
          <w:rFonts w:eastAsia="Arial"/>
          <w:color w:val="000000" w:themeColor="text1"/>
          <w:szCs w:val="20"/>
        </w:rPr>
        <w:t>h</w:t>
      </w:r>
      <w:r w:rsidRPr="00455FBF">
        <w:rPr>
          <w:rFonts w:eastAsia="Arial"/>
          <w:color w:val="000000" w:themeColor="text1"/>
          <w:szCs w:val="20"/>
        </w:rPr>
        <w:t>ubs in Nillumbik and Geelong</w:t>
      </w:r>
      <w:r>
        <w:rPr>
          <w:rFonts w:eastAsia="Arial"/>
          <w:color w:val="000000" w:themeColor="text1"/>
          <w:szCs w:val="20"/>
        </w:rPr>
        <w:t>.</w:t>
      </w:r>
      <w:r w:rsidRPr="00455FBF">
        <w:rPr>
          <w:rFonts w:eastAsia="Arial"/>
          <w:color w:val="000000" w:themeColor="text1"/>
          <w:szCs w:val="20"/>
        </w:rPr>
        <w:t xml:space="preserve"> </w:t>
      </w:r>
      <w:r>
        <w:rPr>
          <w:rFonts w:eastAsia="Arial"/>
          <w:color w:val="000000" w:themeColor="text1"/>
          <w:szCs w:val="20"/>
        </w:rPr>
        <w:t xml:space="preserve">This was an action </w:t>
      </w:r>
      <w:r w:rsidRPr="00455FBF">
        <w:rPr>
          <w:rFonts w:eastAsia="Arial"/>
          <w:color w:val="000000" w:themeColor="text1"/>
          <w:szCs w:val="20"/>
        </w:rPr>
        <w:t xml:space="preserve">under </w:t>
      </w:r>
      <w:r w:rsidRPr="00E6224B">
        <w:rPr>
          <w:rStyle w:val="Emphasis"/>
        </w:rPr>
        <w:t>Our promise, your future: Victoria’s youth strategy 2022–2027</w:t>
      </w:r>
      <w:r w:rsidR="00267782">
        <w:rPr>
          <w:rStyle w:val="Emphasis"/>
        </w:rPr>
        <w:t>.</w:t>
      </w:r>
    </w:p>
    <w:p w14:paraId="1C554858" w14:textId="3C1DB2FC" w:rsidR="00E16EF4" w:rsidRDefault="00E16EF4">
      <w:pPr>
        <w:pStyle w:val="ARbullet1"/>
        <w:spacing w:line="240" w:lineRule="atLeast"/>
        <w:rPr>
          <w:rFonts w:eastAsia="Arial"/>
          <w:color w:val="000000" w:themeColor="text1"/>
          <w:szCs w:val="20"/>
        </w:rPr>
      </w:pPr>
      <w:r>
        <w:rPr>
          <w:rFonts w:eastAsia="Arial"/>
          <w:color w:val="000000" w:themeColor="text1"/>
          <w:szCs w:val="20"/>
        </w:rPr>
        <w:t>We l</w:t>
      </w:r>
      <w:r w:rsidRPr="00455FBF">
        <w:rPr>
          <w:rFonts w:eastAsia="Arial"/>
          <w:color w:val="000000" w:themeColor="text1"/>
          <w:szCs w:val="20"/>
        </w:rPr>
        <w:t xml:space="preserve">aunched the </w:t>
      </w:r>
      <w:r w:rsidRPr="00E16EF4">
        <w:rPr>
          <w:rFonts w:eastAsia="Arial"/>
          <w:color w:val="000000" w:themeColor="text1"/>
          <w:szCs w:val="20"/>
        </w:rPr>
        <w:t>Safe at Home</w:t>
      </w:r>
      <w:r w:rsidRPr="00E6224B">
        <w:t xml:space="preserve"> </w:t>
      </w:r>
      <w:r w:rsidRPr="00455FBF">
        <w:rPr>
          <w:rFonts w:eastAsia="Arial"/>
          <w:color w:val="000000" w:themeColor="text1"/>
          <w:szCs w:val="20"/>
        </w:rPr>
        <w:t>program pilot</w:t>
      </w:r>
      <w:r>
        <w:rPr>
          <w:rFonts w:eastAsia="Arial"/>
          <w:color w:val="000000" w:themeColor="text1"/>
          <w:szCs w:val="20"/>
        </w:rPr>
        <w:t>. This</w:t>
      </w:r>
      <w:r w:rsidRPr="00455FBF">
        <w:rPr>
          <w:rFonts w:eastAsia="Arial"/>
          <w:color w:val="000000" w:themeColor="text1"/>
          <w:szCs w:val="20"/>
        </w:rPr>
        <w:t xml:space="preserve"> enabl</w:t>
      </w:r>
      <w:r>
        <w:rPr>
          <w:rFonts w:eastAsia="Arial"/>
          <w:color w:val="000000" w:themeColor="text1"/>
          <w:szCs w:val="20"/>
        </w:rPr>
        <w:t>es</w:t>
      </w:r>
      <w:r w:rsidRPr="00455FBF">
        <w:rPr>
          <w:rFonts w:eastAsia="Arial"/>
          <w:color w:val="000000" w:themeColor="text1"/>
          <w:szCs w:val="20"/>
        </w:rPr>
        <w:t xml:space="preserve"> victim</w:t>
      </w:r>
      <w:r>
        <w:rPr>
          <w:rFonts w:eastAsia="Arial"/>
          <w:color w:val="000000" w:themeColor="text1"/>
          <w:szCs w:val="20"/>
        </w:rPr>
        <w:t xml:space="preserve"> </w:t>
      </w:r>
      <w:r w:rsidRPr="00455FBF">
        <w:rPr>
          <w:rFonts w:eastAsia="Arial"/>
          <w:color w:val="000000" w:themeColor="text1"/>
          <w:szCs w:val="20"/>
        </w:rPr>
        <w:t>survivors of family violence to stay in their homes</w:t>
      </w:r>
      <w:r>
        <w:rPr>
          <w:rFonts w:eastAsia="Arial"/>
          <w:color w:val="000000" w:themeColor="text1"/>
          <w:szCs w:val="20"/>
        </w:rPr>
        <w:t>.</w:t>
      </w:r>
    </w:p>
    <w:p w14:paraId="0EC51723" w14:textId="18C15BB8" w:rsidR="00E16EF4" w:rsidRPr="008A75E5" w:rsidRDefault="00E16EF4">
      <w:pPr>
        <w:pStyle w:val="ARbullet1"/>
        <w:spacing w:line="240" w:lineRule="atLeast"/>
        <w:rPr>
          <w:rFonts w:eastAsia="Arial"/>
          <w:color w:val="000000" w:themeColor="text1"/>
          <w:szCs w:val="20"/>
        </w:rPr>
      </w:pPr>
      <w:r w:rsidRPr="008A75E5">
        <w:rPr>
          <w:rFonts w:eastAsia="Arial"/>
          <w:color w:val="000000" w:themeColor="text1"/>
          <w:szCs w:val="20"/>
        </w:rPr>
        <w:t>We delivered 2,392 new social homes and 2</w:t>
      </w:r>
      <w:r w:rsidR="00D401F9" w:rsidRPr="008A75E5">
        <w:rPr>
          <w:rFonts w:eastAsia="Arial"/>
          <w:color w:val="000000" w:themeColor="text1"/>
          <w:szCs w:val="20"/>
        </w:rPr>
        <w:t>8</w:t>
      </w:r>
      <w:r w:rsidRPr="008A75E5">
        <w:rPr>
          <w:rFonts w:eastAsia="Arial"/>
          <w:color w:val="000000" w:themeColor="text1"/>
          <w:szCs w:val="20"/>
        </w:rPr>
        <w:t xml:space="preserve">6 new affordable homes across Victoria that are safe, modern and comfortable. </w:t>
      </w:r>
      <w:r w:rsidR="00616D80" w:rsidRPr="008A75E5">
        <w:rPr>
          <w:rFonts w:eastAsia="Arial"/>
          <w:color w:val="000000" w:themeColor="text1"/>
          <w:szCs w:val="20"/>
        </w:rPr>
        <w:t xml:space="preserve">This brings the total homes commenced under the Big Housing Build and Regional Housing Fund to more than 10,800, including more than 600 homes for Aboriginal Victorians. </w:t>
      </w:r>
    </w:p>
    <w:p w14:paraId="339461F2" w14:textId="4D642BD4" w:rsidR="0033198C" w:rsidRPr="008A75E5" w:rsidRDefault="00E16EF4" w:rsidP="0033198C">
      <w:pPr>
        <w:pStyle w:val="ARbullet1"/>
        <w:rPr>
          <w:rFonts w:eastAsia="Arial"/>
          <w:color w:val="000000" w:themeColor="text1"/>
          <w:szCs w:val="20"/>
        </w:rPr>
      </w:pPr>
      <w:r w:rsidRPr="008A75E5">
        <w:rPr>
          <w:rFonts w:eastAsia="Arial"/>
          <w:color w:val="000000" w:themeColor="text1"/>
          <w:szCs w:val="20"/>
        </w:rPr>
        <w:t xml:space="preserve">We </w:t>
      </w:r>
      <w:r w:rsidR="00C61600" w:rsidRPr="008A75E5">
        <w:rPr>
          <w:rFonts w:eastAsia="Arial"/>
          <w:color w:val="000000" w:themeColor="text1"/>
          <w:szCs w:val="20"/>
        </w:rPr>
        <w:t>m</w:t>
      </w:r>
      <w:r w:rsidR="0033198C" w:rsidRPr="008A75E5">
        <w:rPr>
          <w:rFonts w:eastAsia="Arial"/>
          <w:color w:val="000000" w:themeColor="text1"/>
          <w:szCs w:val="20"/>
        </w:rPr>
        <w:t>oved a total of more than 6,200 households into modern, accessible and energy</w:t>
      </w:r>
      <w:r w:rsidR="00ED624B">
        <w:rPr>
          <w:rFonts w:eastAsia="Arial"/>
          <w:color w:val="000000" w:themeColor="text1"/>
          <w:szCs w:val="20"/>
        </w:rPr>
        <w:t>-</w:t>
      </w:r>
      <w:r w:rsidR="0033198C" w:rsidRPr="008A75E5">
        <w:rPr>
          <w:rFonts w:eastAsia="Arial"/>
          <w:color w:val="000000" w:themeColor="text1"/>
          <w:szCs w:val="20"/>
        </w:rPr>
        <w:t>efficient homes, including 948 victim survivors of family violence</w:t>
      </w:r>
      <w:r w:rsidR="00F73A38">
        <w:rPr>
          <w:rFonts w:eastAsia="Arial"/>
          <w:color w:val="000000" w:themeColor="text1"/>
          <w:szCs w:val="20"/>
        </w:rPr>
        <w:t>.</w:t>
      </w:r>
    </w:p>
    <w:p w14:paraId="5EF43A53" w14:textId="4422F5F6" w:rsidR="00E16EF4" w:rsidRPr="00FD727A" w:rsidRDefault="00E16EF4">
      <w:pPr>
        <w:pStyle w:val="ARbullet1"/>
        <w:spacing w:line="240" w:lineRule="atLeast"/>
        <w:rPr>
          <w:rStyle w:val="Emphasis"/>
          <w:rFonts w:eastAsia="Arial"/>
          <w:i w:val="0"/>
          <w:iCs w:val="0"/>
          <w:color w:val="000000" w:themeColor="text1"/>
          <w:szCs w:val="20"/>
        </w:rPr>
      </w:pPr>
      <w:r>
        <w:rPr>
          <w:rFonts w:eastAsia="Arial"/>
          <w:color w:val="000000" w:themeColor="text1"/>
          <w:szCs w:val="20"/>
        </w:rPr>
        <w:t>We c</w:t>
      </w:r>
      <w:r w:rsidRPr="00455FBF">
        <w:rPr>
          <w:rFonts w:eastAsia="Arial"/>
          <w:color w:val="000000" w:themeColor="text1"/>
          <w:szCs w:val="20"/>
        </w:rPr>
        <w:t xml:space="preserve">ompleted construction of </w:t>
      </w:r>
      <w:r w:rsidR="00B43B87">
        <w:rPr>
          <w:rFonts w:eastAsia="Arial"/>
          <w:color w:val="000000" w:themeColor="text1"/>
          <w:szCs w:val="20"/>
        </w:rPr>
        <w:t xml:space="preserve">a total of </w:t>
      </w:r>
      <w:r w:rsidRPr="00455FBF">
        <w:rPr>
          <w:rFonts w:eastAsia="Arial"/>
          <w:color w:val="000000" w:themeColor="text1"/>
          <w:szCs w:val="20"/>
        </w:rPr>
        <w:t xml:space="preserve">16 ‘core and cluster’ refuges for </w:t>
      </w:r>
      <w:r>
        <w:rPr>
          <w:rFonts w:eastAsia="Arial"/>
          <w:color w:val="000000" w:themeColor="text1"/>
          <w:szCs w:val="20"/>
        </w:rPr>
        <w:t xml:space="preserve">family violence victim survivors. This work was part of </w:t>
      </w:r>
      <w:r w:rsidRPr="00455FBF">
        <w:rPr>
          <w:rFonts w:eastAsia="Arial"/>
          <w:color w:val="000000" w:themeColor="text1"/>
          <w:szCs w:val="20"/>
        </w:rPr>
        <w:t xml:space="preserve">the </w:t>
      </w:r>
      <w:r w:rsidRPr="00B55528">
        <w:rPr>
          <w:rStyle w:val="Emphasis"/>
          <w:i w:val="0"/>
          <w:iCs w:val="0"/>
        </w:rPr>
        <w:t>Refuge Redevelopment Program</w:t>
      </w:r>
      <w:r w:rsidRPr="00F07E6E">
        <w:rPr>
          <w:rStyle w:val="Emphasis"/>
        </w:rPr>
        <w:t>.</w:t>
      </w:r>
    </w:p>
    <w:p w14:paraId="16EC2474" w14:textId="6ED351EB" w:rsidR="0036371A" w:rsidRPr="00FD727A" w:rsidRDefault="00FD727A">
      <w:pPr>
        <w:pStyle w:val="ARbullet1"/>
        <w:spacing w:line="240" w:lineRule="atLeast"/>
        <w:rPr>
          <w:rFonts w:eastAsia="Arial"/>
          <w:color w:val="000000" w:themeColor="text1"/>
          <w:szCs w:val="20"/>
        </w:rPr>
      </w:pPr>
      <w:r w:rsidRPr="00FD727A">
        <w:rPr>
          <w:rFonts w:eastAsia="Arial"/>
          <w:color w:val="000000" w:themeColor="text1"/>
          <w:szCs w:val="20"/>
        </w:rPr>
        <w:br w:type="column"/>
      </w:r>
      <w:r w:rsidR="001C3BEA" w:rsidRPr="00FD727A">
        <w:rPr>
          <w:rFonts w:eastAsia="Arial"/>
          <w:color w:val="000000" w:themeColor="text1"/>
          <w:szCs w:val="20"/>
        </w:rPr>
        <w:t>We s</w:t>
      </w:r>
      <w:r w:rsidR="0036371A" w:rsidRPr="00FD727A">
        <w:rPr>
          <w:rFonts w:eastAsia="Arial"/>
          <w:color w:val="000000" w:themeColor="text1"/>
          <w:szCs w:val="20"/>
        </w:rPr>
        <w:t>upport</w:t>
      </w:r>
      <w:r w:rsidR="001C3BEA" w:rsidRPr="00FD727A">
        <w:rPr>
          <w:rFonts w:eastAsia="Arial"/>
          <w:color w:val="000000" w:themeColor="text1"/>
          <w:szCs w:val="20"/>
        </w:rPr>
        <w:t>ed a total of</w:t>
      </w:r>
      <w:r w:rsidR="0036371A" w:rsidRPr="00FD727A">
        <w:rPr>
          <w:rFonts w:eastAsia="Arial"/>
          <w:color w:val="000000" w:themeColor="text1"/>
          <w:szCs w:val="20"/>
        </w:rPr>
        <w:t xml:space="preserve"> 366 households from Flemington and North Melbourne and 9</w:t>
      </w:r>
      <w:r w:rsidR="001C3BEA" w:rsidRPr="00FD727A">
        <w:rPr>
          <w:rFonts w:eastAsia="Arial"/>
          <w:color w:val="000000" w:themeColor="text1"/>
          <w:szCs w:val="20"/>
        </w:rPr>
        <w:t>8</w:t>
      </w:r>
      <w:r w:rsidR="0036371A" w:rsidRPr="00FD727A">
        <w:rPr>
          <w:rFonts w:eastAsia="Arial"/>
          <w:color w:val="000000" w:themeColor="text1"/>
          <w:szCs w:val="20"/>
        </w:rPr>
        <w:t xml:space="preserve"> households in Richmond and South Yarra to move to a new home. </w:t>
      </w:r>
    </w:p>
    <w:p w14:paraId="28BEFC2E" w14:textId="3FAFF386" w:rsidR="008D7AC4" w:rsidRPr="004B02A7" w:rsidRDefault="001C3BEA" w:rsidP="008D7AC4">
      <w:pPr>
        <w:pStyle w:val="ARbullet1"/>
        <w:rPr>
          <w:rFonts w:eastAsia="Arial"/>
          <w:color w:val="000000" w:themeColor="text1"/>
          <w:szCs w:val="20"/>
        </w:rPr>
      </w:pPr>
      <w:r w:rsidRPr="004B02A7">
        <w:rPr>
          <w:rFonts w:eastAsia="Arial"/>
          <w:color w:val="000000" w:themeColor="text1"/>
          <w:szCs w:val="20"/>
        </w:rPr>
        <w:t>We</w:t>
      </w:r>
      <w:r w:rsidR="00DF35F8" w:rsidRPr="004B02A7">
        <w:rPr>
          <w:rFonts w:eastAsia="Arial"/>
          <w:color w:val="000000" w:themeColor="text1"/>
          <w:szCs w:val="20"/>
        </w:rPr>
        <w:t xml:space="preserve"> </w:t>
      </w:r>
      <w:r w:rsidR="008D7AC4" w:rsidRPr="004B02A7">
        <w:rPr>
          <w:rFonts w:eastAsia="Arial"/>
          <w:color w:val="000000" w:themeColor="text1"/>
          <w:szCs w:val="20"/>
        </w:rPr>
        <w:t>completed 146 homes through the Social Housing Accelerator investment, with a total of 651 dwellings commenced or in planning.</w:t>
      </w:r>
    </w:p>
    <w:p w14:paraId="5810C255" w14:textId="00E17853" w:rsidR="00E16EF4" w:rsidRPr="004B02A7" w:rsidRDefault="008D7AC4" w:rsidP="008D7AC4">
      <w:pPr>
        <w:pStyle w:val="ARbullet1"/>
        <w:rPr>
          <w:rFonts w:eastAsia="Arial"/>
          <w:color w:val="000000" w:themeColor="text1"/>
          <w:szCs w:val="20"/>
        </w:rPr>
      </w:pPr>
      <w:r w:rsidRPr="004B02A7">
        <w:rPr>
          <w:rFonts w:eastAsia="Arial"/>
          <w:color w:val="000000" w:themeColor="text1"/>
          <w:szCs w:val="20"/>
        </w:rPr>
        <w:t xml:space="preserve">We created a total of more than 47,000 jobs, </w:t>
      </w:r>
      <w:r w:rsidR="009208C4">
        <w:rPr>
          <w:rFonts w:eastAsia="Arial"/>
          <w:color w:val="000000" w:themeColor="text1"/>
          <w:szCs w:val="20"/>
        </w:rPr>
        <w:t xml:space="preserve">through the big housing build, </w:t>
      </w:r>
      <w:r w:rsidRPr="004B02A7">
        <w:rPr>
          <w:rFonts w:eastAsia="Arial"/>
          <w:color w:val="000000" w:themeColor="text1"/>
          <w:szCs w:val="20"/>
        </w:rPr>
        <w:t>boosting the economy and improving the livelihoods of Victorian communities.</w:t>
      </w:r>
    </w:p>
    <w:p w14:paraId="15FC0AF4" w14:textId="3B4D4A4B" w:rsidR="00E16EF4" w:rsidRDefault="00E16EF4">
      <w:pPr>
        <w:pStyle w:val="Heading4"/>
        <w:rPr>
          <w:rFonts w:eastAsia="Arial"/>
        </w:rPr>
      </w:pPr>
      <w:r>
        <w:rPr>
          <w:rFonts w:eastAsia="Arial"/>
        </w:rPr>
        <w:t>Invested in the community services</w:t>
      </w:r>
      <w:r w:rsidR="002A2849">
        <w:rPr>
          <w:rFonts w:eastAsia="Arial"/>
        </w:rPr>
        <w:t> </w:t>
      </w:r>
      <w:r>
        <w:rPr>
          <w:rFonts w:eastAsia="Arial"/>
        </w:rPr>
        <w:t>sector</w:t>
      </w:r>
    </w:p>
    <w:p w14:paraId="013CDE7A" w14:textId="6527B52B" w:rsidR="00E16EF4" w:rsidRDefault="00E16EF4">
      <w:pPr>
        <w:pStyle w:val="ARbullet1"/>
        <w:spacing w:line="240" w:lineRule="atLeast"/>
        <w:rPr>
          <w:rFonts w:eastAsia="Arial"/>
          <w:color w:val="000000" w:themeColor="text1"/>
          <w:szCs w:val="20"/>
        </w:rPr>
      </w:pPr>
      <w:r>
        <w:rPr>
          <w:rFonts w:eastAsia="Arial"/>
          <w:color w:val="000000" w:themeColor="text1"/>
          <w:szCs w:val="20"/>
        </w:rPr>
        <w:t>We delivered</w:t>
      </w:r>
      <w:r w:rsidRPr="00455FBF">
        <w:rPr>
          <w:rFonts w:eastAsia="Arial"/>
          <w:color w:val="000000" w:themeColor="text1"/>
          <w:szCs w:val="20"/>
        </w:rPr>
        <w:t xml:space="preserve"> the </w:t>
      </w:r>
      <w:r w:rsidRPr="00E16EF4">
        <w:rPr>
          <w:rFonts w:eastAsia="Arial"/>
          <w:color w:val="000000" w:themeColor="text1"/>
          <w:szCs w:val="20"/>
        </w:rPr>
        <w:t>Go Where You’re Needed</w:t>
      </w:r>
      <w:r w:rsidRPr="00455FBF">
        <w:rPr>
          <w:rFonts w:eastAsia="Arial"/>
          <w:color w:val="000000" w:themeColor="text1"/>
          <w:szCs w:val="20"/>
        </w:rPr>
        <w:t xml:space="preserve"> recruitment campaign</w:t>
      </w:r>
      <w:r>
        <w:rPr>
          <w:rFonts w:eastAsia="Arial"/>
          <w:color w:val="000000" w:themeColor="text1"/>
          <w:szCs w:val="20"/>
        </w:rPr>
        <w:t>. The campaign</w:t>
      </w:r>
      <w:r w:rsidRPr="00455FBF">
        <w:rPr>
          <w:rFonts w:eastAsia="Arial"/>
          <w:color w:val="000000" w:themeColor="text1"/>
          <w:szCs w:val="20"/>
        </w:rPr>
        <w:t xml:space="preserve"> promot</w:t>
      </w:r>
      <w:r>
        <w:rPr>
          <w:rFonts w:eastAsia="Arial"/>
          <w:color w:val="000000" w:themeColor="text1"/>
          <w:szCs w:val="20"/>
        </w:rPr>
        <w:t>ed</w:t>
      </w:r>
      <w:r w:rsidRPr="00455FBF">
        <w:rPr>
          <w:rFonts w:eastAsia="Arial"/>
          <w:color w:val="000000" w:themeColor="text1"/>
          <w:szCs w:val="20"/>
        </w:rPr>
        <w:t xml:space="preserve"> child protection careers in regional areas to boost workforce numbers</w:t>
      </w:r>
      <w:r>
        <w:rPr>
          <w:rFonts w:eastAsia="Arial"/>
          <w:color w:val="000000" w:themeColor="text1"/>
          <w:szCs w:val="20"/>
        </w:rPr>
        <w:t>.</w:t>
      </w:r>
    </w:p>
    <w:p w14:paraId="172FABC4" w14:textId="0028AD6B" w:rsidR="00E16EF4" w:rsidRDefault="00E76D02">
      <w:pPr>
        <w:pStyle w:val="ARbullet1"/>
        <w:spacing w:line="240" w:lineRule="atLeast"/>
        <w:rPr>
          <w:rFonts w:eastAsia="Arial"/>
          <w:color w:val="000000" w:themeColor="text1"/>
          <w:szCs w:val="20"/>
        </w:rPr>
      </w:pPr>
      <w:r w:rsidRPr="3EC3ECCE">
        <w:rPr>
          <w:rFonts w:eastAsia="Arial"/>
          <w:color w:val="000000" w:themeColor="text1"/>
        </w:rPr>
        <w:t xml:space="preserve">We worked with peak bodies and community service organisations to develop a new </w:t>
      </w:r>
      <w:r>
        <w:rPr>
          <w:rFonts w:eastAsia="Arial"/>
          <w:color w:val="000000" w:themeColor="text1"/>
        </w:rPr>
        <w:t xml:space="preserve">and </w:t>
      </w:r>
      <w:r w:rsidR="0007728E" w:rsidRPr="00A83FC6">
        <w:rPr>
          <w:rFonts w:eastAsia="Arial"/>
          <w:color w:val="000000" w:themeColor="text1"/>
        </w:rPr>
        <w:t>strengthened</w:t>
      </w:r>
      <w:r>
        <w:rPr>
          <w:rFonts w:eastAsia="Arial"/>
          <w:color w:val="000000" w:themeColor="text1"/>
        </w:rPr>
        <w:t xml:space="preserve"> </w:t>
      </w:r>
      <w:r w:rsidRPr="3EC3ECCE">
        <w:rPr>
          <w:rFonts w:eastAsia="Arial"/>
          <w:color w:val="000000" w:themeColor="text1"/>
        </w:rPr>
        <w:t>Service Agreement</w:t>
      </w:r>
      <w:r>
        <w:rPr>
          <w:rFonts w:eastAsia="Arial"/>
          <w:color w:val="000000" w:themeColor="text1"/>
        </w:rPr>
        <w:t xml:space="preserve"> for </w:t>
      </w:r>
      <w:r w:rsidRPr="3EC3ECCE">
        <w:rPr>
          <w:rFonts w:eastAsia="Arial"/>
          <w:color w:val="000000" w:themeColor="text1"/>
        </w:rPr>
        <w:t xml:space="preserve">the community services </w:t>
      </w:r>
      <w:r w:rsidR="0007728E" w:rsidRPr="00A83FC6">
        <w:rPr>
          <w:rFonts w:eastAsia="Arial"/>
          <w:color w:val="000000" w:themeColor="text1"/>
        </w:rPr>
        <w:t>sector</w:t>
      </w:r>
      <w:r w:rsidR="0007728E">
        <w:rPr>
          <w:rFonts w:eastAsia="Arial"/>
          <w:color w:val="000000" w:themeColor="text1"/>
          <w:szCs w:val="20"/>
        </w:rPr>
        <w:t>.</w:t>
      </w:r>
    </w:p>
    <w:p w14:paraId="32774102" w14:textId="21AC4B7B" w:rsidR="00E16EF4" w:rsidRPr="00455FBF" w:rsidRDefault="00E16EF4">
      <w:pPr>
        <w:pStyle w:val="ARbullet1"/>
        <w:spacing w:line="240" w:lineRule="atLeast"/>
        <w:rPr>
          <w:rFonts w:eastAsia="Arial"/>
          <w:color w:val="000000" w:themeColor="text1"/>
          <w:szCs w:val="20"/>
        </w:rPr>
      </w:pPr>
      <w:r>
        <w:rPr>
          <w:rFonts w:eastAsia="Arial"/>
          <w:color w:val="000000" w:themeColor="text1"/>
          <w:szCs w:val="20"/>
        </w:rPr>
        <w:t>We continued</w:t>
      </w:r>
      <w:r w:rsidRPr="00455FBF">
        <w:rPr>
          <w:rFonts w:eastAsia="Arial"/>
          <w:color w:val="000000" w:themeColor="text1"/>
          <w:szCs w:val="20"/>
        </w:rPr>
        <w:t xml:space="preserve"> the </w:t>
      </w:r>
      <w:r w:rsidRPr="00E16EF4">
        <w:rPr>
          <w:rFonts w:eastAsia="Arial"/>
          <w:color w:val="000000" w:themeColor="text1"/>
          <w:szCs w:val="20"/>
        </w:rPr>
        <w:t>Community and Social Services Graduate Program</w:t>
      </w:r>
      <w:r>
        <w:rPr>
          <w:rFonts w:eastAsia="Arial"/>
          <w:color w:val="000000" w:themeColor="text1"/>
          <w:szCs w:val="20"/>
        </w:rPr>
        <w:t>. This</w:t>
      </w:r>
      <w:r w:rsidRPr="00455FBF">
        <w:rPr>
          <w:rFonts w:eastAsia="Arial"/>
          <w:color w:val="000000" w:themeColor="text1"/>
          <w:szCs w:val="20"/>
        </w:rPr>
        <w:t xml:space="preserve"> </w:t>
      </w:r>
      <w:r>
        <w:rPr>
          <w:rFonts w:eastAsia="Arial"/>
          <w:color w:val="000000" w:themeColor="text1"/>
          <w:szCs w:val="20"/>
        </w:rPr>
        <w:t>program supports newly graduated community services practitioners.</w:t>
      </w:r>
    </w:p>
    <w:p w14:paraId="2405ABB4" w14:textId="739D566A" w:rsidR="00E16EF4" w:rsidRPr="000A6C50" w:rsidRDefault="00E16EF4">
      <w:pPr>
        <w:pStyle w:val="ARbullet1"/>
        <w:spacing w:line="240" w:lineRule="atLeast"/>
        <w:rPr>
          <w:rFonts w:eastAsia="Arial"/>
          <w:color w:val="000000" w:themeColor="text1"/>
          <w:szCs w:val="20"/>
        </w:rPr>
      </w:pPr>
      <w:r w:rsidRPr="000A6C50">
        <w:rPr>
          <w:rFonts w:eastAsia="Arial"/>
          <w:color w:val="000000" w:themeColor="text1"/>
          <w:szCs w:val="20"/>
        </w:rPr>
        <w:t>We delivered 30 scholarships to attract and upskill disability workers in rural and regional areas. This was part of the Regional Disability Worker Scholarships</w:t>
      </w:r>
      <w:r w:rsidRPr="000A6C50">
        <w:t xml:space="preserve"> </w:t>
      </w:r>
      <w:r w:rsidRPr="000A6C50">
        <w:rPr>
          <w:rFonts w:eastAsia="Arial"/>
          <w:color w:val="000000" w:themeColor="text1"/>
          <w:szCs w:val="20"/>
        </w:rPr>
        <w:t>initiative.</w:t>
      </w:r>
    </w:p>
    <w:p w14:paraId="0898DC8B" w14:textId="77777777" w:rsidR="00E16EF4" w:rsidRPr="00455FBF" w:rsidRDefault="00E16EF4">
      <w:pPr>
        <w:pStyle w:val="Heading4"/>
        <w:rPr>
          <w:rFonts w:eastAsia="Arial"/>
        </w:rPr>
      </w:pPr>
      <w:r>
        <w:rPr>
          <w:rFonts w:eastAsia="Arial"/>
        </w:rPr>
        <w:t>Strengthened links between government and community</w:t>
      </w:r>
    </w:p>
    <w:p w14:paraId="6B51688B" w14:textId="1045AC9E" w:rsidR="00E16EF4" w:rsidRPr="00455FBF" w:rsidRDefault="00E16EF4">
      <w:pPr>
        <w:pStyle w:val="ARbullet1"/>
        <w:spacing w:line="240" w:lineRule="atLeast"/>
        <w:rPr>
          <w:rFonts w:eastAsia="Arial"/>
          <w:color w:val="000000" w:themeColor="text1"/>
          <w:szCs w:val="20"/>
        </w:rPr>
      </w:pPr>
      <w:r>
        <w:rPr>
          <w:rFonts w:eastAsia="Arial"/>
          <w:color w:val="000000" w:themeColor="text1"/>
          <w:szCs w:val="20"/>
        </w:rPr>
        <w:t>We e</w:t>
      </w:r>
      <w:r w:rsidRPr="00455FBF">
        <w:rPr>
          <w:rFonts w:eastAsia="Arial"/>
          <w:color w:val="000000" w:themeColor="text1"/>
          <w:szCs w:val="20"/>
        </w:rPr>
        <w:t>stablished the new Senior Victorian Advisory Committee</w:t>
      </w:r>
      <w:r>
        <w:rPr>
          <w:rFonts w:eastAsia="Arial"/>
          <w:color w:val="000000" w:themeColor="text1"/>
          <w:szCs w:val="20"/>
        </w:rPr>
        <w:t>. The committee</w:t>
      </w:r>
      <w:r w:rsidRPr="00455FBF">
        <w:rPr>
          <w:rFonts w:eastAsia="Arial"/>
          <w:color w:val="000000" w:themeColor="text1"/>
          <w:szCs w:val="20"/>
        </w:rPr>
        <w:t xml:space="preserve"> </w:t>
      </w:r>
      <w:r>
        <w:rPr>
          <w:rFonts w:eastAsia="Arial"/>
          <w:color w:val="000000" w:themeColor="text1"/>
          <w:szCs w:val="20"/>
        </w:rPr>
        <w:t>advises</w:t>
      </w:r>
      <w:r w:rsidRPr="00455FBF">
        <w:rPr>
          <w:rFonts w:eastAsia="Arial"/>
          <w:color w:val="000000" w:themeColor="text1"/>
          <w:szCs w:val="20"/>
        </w:rPr>
        <w:t xml:space="preserve"> government on the lived experience of older</w:t>
      </w:r>
      <w:r w:rsidR="002A2849">
        <w:rPr>
          <w:rFonts w:eastAsia="Arial"/>
          <w:color w:val="000000" w:themeColor="text1"/>
          <w:szCs w:val="20"/>
        </w:rPr>
        <w:t> </w:t>
      </w:r>
      <w:r w:rsidRPr="00455FBF">
        <w:rPr>
          <w:rFonts w:eastAsia="Arial"/>
          <w:color w:val="000000" w:themeColor="text1"/>
          <w:szCs w:val="20"/>
        </w:rPr>
        <w:t>Victorians</w:t>
      </w:r>
      <w:r>
        <w:rPr>
          <w:rFonts w:eastAsia="Arial"/>
          <w:color w:val="000000" w:themeColor="text1"/>
          <w:szCs w:val="20"/>
        </w:rPr>
        <w:t>.</w:t>
      </w:r>
    </w:p>
    <w:p w14:paraId="2D248CDA" w14:textId="191B3211" w:rsidR="00FD727A" w:rsidRDefault="00E16EF4">
      <w:pPr>
        <w:pStyle w:val="ARbullet1"/>
        <w:spacing w:line="240" w:lineRule="atLeast"/>
        <w:rPr>
          <w:rFonts w:eastAsia="Arial"/>
          <w:color w:val="000000" w:themeColor="text1"/>
          <w:szCs w:val="20"/>
        </w:rPr>
      </w:pPr>
      <w:r>
        <w:rPr>
          <w:rFonts w:eastAsia="Arial"/>
          <w:color w:val="000000" w:themeColor="text1"/>
          <w:szCs w:val="20"/>
        </w:rPr>
        <w:t xml:space="preserve">We delivered the </w:t>
      </w:r>
      <w:r w:rsidRPr="00B078F8">
        <w:rPr>
          <w:rFonts w:eastAsia="Arial"/>
          <w:color w:val="000000" w:themeColor="text1"/>
          <w:szCs w:val="20"/>
        </w:rPr>
        <w:t>W</w:t>
      </w:r>
      <w:r w:rsidRPr="00E16EF4">
        <w:rPr>
          <w:rFonts w:eastAsia="Arial"/>
          <w:color w:val="000000" w:themeColor="text1"/>
          <w:szCs w:val="20"/>
        </w:rPr>
        <w:t xml:space="preserve">orking Together: Strengthening Family and Sexual Violence Support with Multicultural Communities </w:t>
      </w:r>
      <w:r w:rsidRPr="00B078F8">
        <w:rPr>
          <w:rFonts w:eastAsia="Arial"/>
          <w:color w:val="000000" w:themeColor="text1"/>
          <w:szCs w:val="20"/>
        </w:rPr>
        <w:t>program</w:t>
      </w:r>
      <w:r>
        <w:rPr>
          <w:rFonts w:eastAsia="Arial"/>
          <w:color w:val="000000" w:themeColor="text1"/>
          <w:szCs w:val="20"/>
        </w:rPr>
        <w:t>. This will help</w:t>
      </w:r>
      <w:r w:rsidRPr="00455FBF">
        <w:rPr>
          <w:rFonts w:eastAsia="Arial"/>
          <w:color w:val="000000" w:themeColor="text1"/>
          <w:szCs w:val="20"/>
        </w:rPr>
        <w:t xml:space="preserve"> more communities prevent and respond to family violence</w:t>
      </w:r>
      <w:r>
        <w:rPr>
          <w:rFonts w:eastAsia="Arial"/>
          <w:color w:val="000000" w:themeColor="text1"/>
          <w:szCs w:val="20"/>
        </w:rPr>
        <w:t>.</w:t>
      </w:r>
      <w:r w:rsidR="00FD727A">
        <w:rPr>
          <w:rFonts w:eastAsia="Arial"/>
          <w:color w:val="000000" w:themeColor="text1"/>
          <w:szCs w:val="20"/>
        </w:rPr>
        <w:br w:type="page"/>
      </w:r>
    </w:p>
    <w:p w14:paraId="6E3C5C16" w14:textId="77777777" w:rsidR="00E16EF4" w:rsidRPr="00BF3786" w:rsidRDefault="00E16EF4">
      <w:pPr>
        <w:pStyle w:val="Heading4"/>
        <w:rPr>
          <w:rFonts w:eastAsia="Arial"/>
          <w:color w:val="000000" w:themeColor="text1"/>
          <w:szCs w:val="20"/>
        </w:rPr>
      </w:pPr>
      <w:r>
        <w:lastRenderedPageBreak/>
        <w:t>Improved systems and processes</w:t>
      </w:r>
    </w:p>
    <w:p w14:paraId="1CA5B07B" w14:textId="3630099C" w:rsidR="00E16EF4" w:rsidRDefault="00E16EF4">
      <w:pPr>
        <w:pStyle w:val="ARbullet1"/>
        <w:spacing w:line="240" w:lineRule="atLeast"/>
        <w:rPr>
          <w:rFonts w:eastAsia="Arial"/>
          <w:color w:val="000000" w:themeColor="text1"/>
          <w:szCs w:val="20"/>
        </w:rPr>
      </w:pPr>
      <w:r>
        <w:rPr>
          <w:rFonts w:eastAsia="Arial"/>
          <w:color w:val="000000" w:themeColor="text1"/>
          <w:szCs w:val="20"/>
        </w:rPr>
        <w:t>We w</w:t>
      </w:r>
      <w:r w:rsidRPr="00455FBF">
        <w:rPr>
          <w:rFonts w:eastAsia="Arial"/>
          <w:color w:val="000000" w:themeColor="text1"/>
          <w:szCs w:val="20"/>
        </w:rPr>
        <w:t xml:space="preserve">orked to implement the </w:t>
      </w:r>
      <w:r w:rsidRPr="002A2849">
        <w:rPr>
          <w:rStyle w:val="Emphasis"/>
        </w:rPr>
        <w:t>Children and Health Legislation Amendment (Statement of Recognition, Aboriginal Self-Determination and Other Matters) Act 2023</w:t>
      </w:r>
      <w:r>
        <w:rPr>
          <w:rFonts w:eastAsia="Arial"/>
          <w:color w:val="000000" w:themeColor="text1"/>
          <w:szCs w:val="20"/>
        </w:rPr>
        <w:t>. This</w:t>
      </w:r>
      <w:r w:rsidRPr="00455FBF">
        <w:rPr>
          <w:rFonts w:eastAsia="Arial"/>
          <w:color w:val="000000" w:themeColor="text1"/>
          <w:szCs w:val="20"/>
        </w:rPr>
        <w:t xml:space="preserve"> </w:t>
      </w:r>
      <w:r>
        <w:rPr>
          <w:rFonts w:eastAsia="Arial"/>
          <w:color w:val="000000" w:themeColor="text1"/>
          <w:szCs w:val="20"/>
        </w:rPr>
        <w:t>included</w:t>
      </w:r>
      <w:r w:rsidRPr="00455FBF">
        <w:rPr>
          <w:rFonts w:eastAsia="Arial"/>
          <w:color w:val="000000" w:themeColor="text1"/>
          <w:szCs w:val="20"/>
        </w:rPr>
        <w:t xml:space="preserve"> revising existing initiatives</w:t>
      </w:r>
      <w:r>
        <w:rPr>
          <w:rFonts w:eastAsia="Arial"/>
          <w:color w:val="000000" w:themeColor="text1"/>
          <w:szCs w:val="20"/>
        </w:rPr>
        <w:t>. It also included</w:t>
      </w:r>
      <w:r w:rsidRPr="00455FBF">
        <w:rPr>
          <w:rFonts w:eastAsia="Arial"/>
          <w:color w:val="000000" w:themeColor="text1"/>
          <w:szCs w:val="20"/>
        </w:rPr>
        <w:t xml:space="preserve"> </w:t>
      </w:r>
      <w:r>
        <w:rPr>
          <w:rFonts w:eastAsia="Arial"/>
          <w:color w:val="000000" w:themeColor="text1"/>
          <w:szCs w:val="20"/>
        </w:rPr>
        <w:t>developing</w:t>
      </w:r>
      <w:r w:rsidRPr="00455FBF">
        <w:rPr>
          <w:rFonts w:eastAsia="Arial"/>
          <w:color w:val="000000" w:themeColor="text1"/>
          <w:szCs w:val="20"/>
        </w:rPr>
        <w:t xml:space="preserve"> new policy and guidance tools</w:t>
      </w:r>
      <w:r>
        <w:rPr>
          <w:rFonts w:eastAsia="Arial"/>
          <w:color w:val="000000" w:themeColor="text1"/>
          <w:szCs w:val="20"/>
        </w:rPr>
        <w:t>.</w:t>
      </w:r>
    </w:p>
    <w:p w14:paraId="54B547A3" w14:textId="2EF40629" w:rsidR="00FD727A" w:rsidRDefault="00E16EF4">
      <w:pPr>
        <w:pStyle w:val="ARbullet1"/>
        <w:spacing w:line="240" w:lineRule="atLeast"/>
        <w:rPr>
          <w:rFonts w:eastAsia="Arial"/>
          <w:color w:val="000000" w:themeColor="text1"/>
          <w:szCs w:val="20"/>
        </w:rPr>
      </w:pPr>
      <w:r>
        <w:rPr>
          <w:rFonts w:eastAsia="Arial"/>
          <w:color w:val="000000" w:themeColor="text1"/>
          <w:szCs w:val="20"/>
        </w:rPr>
        <w:t xml:space="preserve">We </w:t>
      </w:r>
      <w:r w:rsidRPr="00455FBF">
        <w:rPr>
          <w:rFonts w:eastAsia="Arial"/>
          <w:color w:val="000000" w:themeColor="text1"/>
          <w:szCs w:val="20"/>
        </w:rPr>
        <w:t>refreshed</w:t>
      </w:r>
      <w:r>
        <w:rPr>
          <w:rFonts w:eastAsia="Arial"/>
          <w:color w:val="000000" w:themeColor="text1"/>
          <w:szCs w:val="20"/>
        </w:rPr>
        <w:t xml:space="preserve"> the</w:t>
      </w:r>
      <w:r w:rsidRPr="00455FBF">
        <w:rPr>
          <w:rFonts w:eastAsia="Arial"/>
          <w:color w:val="000000" w:themeColor="text1"/>
          <w:szCs w:val="20"/>
        </w:rPr>
        <w:t xml:space="preserve"> Child Protection Operating Model</w:t>
      </w:r>
      <w:r>
        <w:rPr>
          <w:rFonts w:eastAsia="Arial"/>
          <w:color w:val="000000" w:themeColor="text1"/>
          <w:szCs w:val="20"/>
        </w:rPr>
        <w:t xml:space="preserve"> </w:t>
      </w:r>
      <w:r w:rsidRPr="00455FBF">
        <w:rPr>
          <w:rFonts w:eastAsia="Arial"/>
          <w:color w:val="000000" w:themeColor="text1"/>
          <w:szCs w:val="20"/>
        </w:rPr>
        <w:t>to strengthen the child protection workforce</w:t>
      </w:r>
      <w:r>
        <w:rPr>
          <w:rFonts w:eastAsia="Arial"/>
          <w:color w:val="000000" w:themeColor="text1"/>
          <w:szCs w:val="20"/>
        </w:rPr>
        <w:t xml:space="preserve">. The model is now </w:t>
      </w:r>
      <w:r w:rsidRPr="00455FBF">
        <w:rPr>
          <w:rFonts w:eastAsia="Arial"/>
          <w:color w:val="000000" w:themeColor="text1"/>
          <w:szCs w:val="20"/>
        </w:rPr>
        <w:t>in use across all</w:t>
      </w:r>
      <w:r w:rsidR="008D4D37">
        <w:rPr>
          <w:rFonts w:eastAsia="Arial"/>
          <w:color w:val="000000" w:themeColor="text1"/>
          <w:szCs w:val="20"/>
        </w:rPr>
        <w:t> </w:t>
      </w:r>
      <w:r w:rsidRPr="00455FBF">
        <w:rPr>
          <w:rFonts w:eastAsia="Arial"/>
          <w:color w:val="000000" w:themeColor="text1"/>
          <w:szCs w:val="20"/>
        </w:rPr>
        <w:t>operational areas</w:t>
      </w:r>
      <w:r>
        <w:rPr>
          <w:rFonts w:eastAsia="Arial"/>
          <w:color w:val="000000" w:themeColor="text1"/>
          <w:szCs w:val="20"/>
        </w:rPr>
        <w:t>.</w:t>
      </w:r>
    </w:p>
    <w:p w14:paraId="35E87B65" w14:textId="50618E91" w:rsidR="00E16EF4" w:rsidRPr="00546A27" w:rsidRDefault="00E16EF4">
      <w:pPr>
        <w:pStyle w:val="ARbullet1"/>
        <w:spacing w:line="240" w:lineRule="atLeast"/>
        <w:rPr>
          <w:rFonts w:eastAsia="Arial"/>
          <w:color w:val="000000" w:themeColor="text1"/>
          <w:szCs w:val="20"/>
        </w:rPr>
      </w:pPr>
      <w:r w:rsidRPr="00546A27">
        <w:rPr>
          <w:rFonts w:eastAsia="Arial"/>
          <w:color w:val="000000" w:themeColor="text1"/>
          <w:szCs w:val="20"/>
        </w:rPr>
        <w:t xml:space="preserve">We continued to strengthen Victoria’s </w:t>
      </w:r>
      <w:r w:rsidR="008D4D37" w:rsidRPr="00546A27">
        <w:rPr>
          <w:rFonts w:eastAsia="Arial"/>
          <w:color w:val="000000" w:themeColor="text1"/>
          <w:szCs w:val="20"/>
        </w:rPr>
        <w:br/>
      </w:r>
      <w:r w:rsidRPr="00546A27">
        <w:rPr>
          <w:rFonts w:eastAsia="Arial"/>
          <w:color w:val="000000" w:themeColor="text1"/>
          <w:szCs w:val="20"/>
        </w:rPr>
        <w:t xml:space="preserve">system-wide response through the </w:t>
      </w:r>
      <w:r w:rsidR="008D4D37" w:rsidRPr="00546A27">
        <w:rPr>
          <w:rFonts w:eastAsia="Arial"/>
          <w:color w:val="000000" w:themeColor="text1"/>
          <w:szCs w:val="20"/>
        </w:rPr>
        <w:br/>
      </w:r>
      <w:r w:rsidRPr="00546A27">
        <w:rPr>
          <w:rFonts w:eastAsia="Arial"/>
          <w:color w:val="000000" w:themeColor="text1"/>
          <w:szCs w:val="20"/>
        </w:rPr>
        <w:t>Multi-Agency Risk</w:t>
      </w:r>
      <w:r w:rsidR="008D4D37" w:rsidRPr="00546A27">
        <w:rPr>
          <w:rFonts w:eastAsia="Arial"/>
          <w:color w:val="000000" w:themeColor="text1"/>
          <w:szCs w:val="20"/>
        </w:rPr>
        <w:t> </w:t>
      </w:r>
      <w:r w:rsidRPr="00546A27">
        <w:rPr>
          <w:rFonts w:eastAsia="Arial"/>
          <w:color w:val="000000" w:themeColor="text1"/>
          <w:szCs w:val="20"/>
        </w:rPr>
        <w:t>Assessment and Management (MARAM)</w:t>
      </w:r>
      <w:r w:rsidR="008D4D37" w:rsidRPr="00546A27">
        <w:rPr>
          <w:rFonts w:eastAsia="Arial"/>
          <w:color w:val="000000" w:themeColor="text1"/>
          <w:szCs w:val="20"/>
        </w:rPr>
        <w:t> </w:t>
      </w:r>
      <w:r w:rsidRPr="00546A27">
        <w:rPr>
          <w:rFonts w:eastAsia="Arial"/>
          <w:color w:val="000000" w:themeColor="text1"/>
          <w:szCs w:val="20"/>
        </w:rPr>
        <w:t>Framework.</w:t>
      </w:r>
    </w:p>
    <w:p w14:paraId="32D29FB1" w14:textId="5C3AEAC6" w:rsidR="00E16EF4" w:rsidRPr="00546A27" w:rsidRDefault="00E16EF4">
      <w:pPr>
        <w:pStyle w:val="ARbullet1"/>
        <w:spacing w:line="240" w:lineRule="atLeast"/>
        <w:rPr>
          <w:rFonts w:eastAsia="Arial"/>
          <w:color w:val="000000" w:themeColor="text1"/>
          <w:szCs w:val="20"/>
        </w:rPr>
      </w:pPr>
      <w:r w:rsidRPr="00546A27">
        <w:rPr>
          <w:rFonts w:eastAsia="Arial"/>
          <w:color w:val="000000" w:themeColor="text1"/>
          <w:szCs w:val="20"/>
        </w:rPr>
        <w:t>We completed more than 137,000 risk assessments and safety plans using MARAM</w:t>
      </w:r>
      <w:r w:rsidR="002A2849" w:rsidRPr="00546A27">
        <w:rPr>
          <w:rFonts w:eastAsia="Arial"/>
          <w:color w:val="000000" w:themeColor="text1"/>
          <w:szCs w:val="20"/>
        </w:rPr>
        <w:t> </w:t>
      </w:r>
      <w:r w:rsidRPr="00546A27">
        <w:rPr>
          <w:rFonts w:eastAsia="Arial"/>
          <w:color w:val="000000" w:themeColor="text1"/>
          <w:szCs w:val="20"/>
        </w:rPr>
        <w:t>tools.</w:t>
      </w:r>
    </w:p>
    <w:p w14:paraId="55452683" w14:textId="7DA7FDF9" w:rsidR="00E16EF4" w:rsidRDefault="00A25F52">
      <w:pPr>
        <w:pStyle w:val="ARbullet1"/>
        <w:rPr>
          <w:szCs w:val="20"/>
        </w:rPr>
      </w:pPr>
      <w:r w:rsidRPr="00A25F52">
        <w:rPr>
          <w:szCs w:val="20"/>
        </w:rPr>
        <w:t xml:space="preserve">We established a dedicated centralised Child Sexual Exploitation response team to work alongside </w:t>
      </w:r>
      <w:r w:rsidR="001F37E0">
        <w:rPr>
          <w:szCs w:val="20"/>
        </w:rPr>
        <w:t xml:space="preserve">existing </w:t>
      </w:r>
      <w:r w:rsidRPr="00A25F52">
        <w:rPr>
          <w:szCs w:val="20"/>
        </w:rPr>
        <w:t xml:space="preserve">Sexual Exploitation Practice Leaders </w:t>
      </w:r>
      <w:r w:rsidR="00BD34C9">
        <w:rPr>
          <w:szCs w:val="20"/>
        </w:rPr>
        <w:t>o</w:t>
      </w:r>
      <w:r w:rsidRPr="00A25F52">
        <w:rPr>
          <w:szCs w:val="20"/>
        </w:rPr>
        <w:t xml:space="preserve">n complex and high-profile </w:t>
      </w:r>
      <w:r w:rsidR="002F7630">
        <w:rPr>
          <w:szCs w:val="20"/>
        </w:rPr>
        <w:t>cases</w:t>
      </w:r>
      <w:r w:rsidRPr="00A25F52">
        <w:rPr>
          <w:szCs w:val="20"/>
        </w:rPr>
        <w:t>. This centralised team provides professional development, updated practice guidance and tactical intelligence support</w:t>
      </w:r>
      <w:r>
        <w:rPr>
          <w:szCs w:val="20"/>
        </w:rPr>
        <w:t>.</w:t>
      </w:r>
    </w:p>
    <w:p w14:paraId="58E347EE" w14:textId="7F2CEA5E" w:rsidR="00E16EF4" w:rsidRDefault="00FD727A">
      <w:pPr>
        <w:pStyle w:val="ARbodyafterbullets"/>
      </w:pPr>
      <w:r>
        <w:br w:type="column"/>
      </w:r>
      <w:r w:rsidR="00E16EF4">
        <w:t>W</w:t>
      </w:r>
      <w:r w:rsidR="00E16EF4" w:rsidRPr="00F535C2">
        <w:t>e are proud of the work we have done to improve the lives of so many Victorians</w:t>
      </w:r>
      <w:r w:rsidR="00E16EF4">
        <w:t>. We</w:t>
      </w:r>
      <w:r w:rsidR="00E16EF4" w:rsidRPr="00F535C2">
        <w:t xml:space="preserve"> also know there is still more to do</w:t>
      </w:r>
      <w:r w:rsidR="00E16EF4">
        <w:t>. We will continue our work</w:t>
      </w:r>
      <w:r w:rsidR="00E16EF4" w:rsidRPr="00F535C2">
        <w:t xml:space="preserve"> to make </w:t>
      </w:r>
      <w:r w:rsidR="00E16EF4">
        <w:t xml:space="preserve">Victoria </w:t>
      </w:r>
      <w:r w:rsidR="00E16EF4" w:rsidRPr="00F535C2">
        <w:t>a positive, fair and inclusive place for all.</w:t>
      </w:r>
    </w:p>
    <w:p w14:paraId="224B5539" w14:textId="7C92B0C9" w:rsidR="00E16EF4" w:rsidRDefault="00E16EF4">
      <w:pPr>
        <w:pStyle w:val="ARbody"/>
      </w:pPr>
      <w:r>
        <w:t>We will stay focused on the work ahead. We will continue to engage closely with the communities we serve. We will also be honest about where we can do better.</w:t>
      </w:r>
    </w:p>
    <w:p w14:paraId="3F11246E" w14:textId="7BF41469" w:rsidR="00E16EF4" w:rsidRDefault="00E16EF4">
      <w:pPr>
        <w:pStyle w:val="ARbody"/>
      </w:pPr>
      <w:r>
        <w:t>We commit to continuing to grow and strengthen partnerships in every sector and across government. We will work together to create a</w:t>
      </w:r>
      <w:r w:rsidR="006C2796">
        <w:t> </w:t>
      </w:r>
      <w:r>
        <w:t>fairer and safer Victoria for everyone.</w:t>
      </w:r>
    </w:p>
    <w:p w14:paraId="2058BA55" w14:textId="77777777" w:rsidR="00572D62" w:rsidRDefault="00572D62" w:rsidP="00572D62">
      <w:pPr>
        <w:pStyle w:val="ARbodynospace"/>
        <w:spacing w:before="600"/>
        <w:rPr>
          <w:rStyle w:val="Strong"/>
        </w:rPr>
      </w:pPr>
      <w:r w:rsidRPr="00532DAE">
        <w:rPr>
          <w:noProof/>
        </w:rPr>
        <w:drawing>
          <wp:inline distT="0" distB="0" distL="0" distR="0" wp14:anchorId="553910D6" wp14:editId="0947CA6C">
            <wp:extent cx="1845277" cy="570368"/>
            <wp:effectExtent l="0" t="0" r="3175" b="1270"/>
            <wp:docPr id="1975751863" name="Picture 1975751863" descr="Signature&#10;Peta McCammon&#10;Secretary&#10;Department of Families, Fairness and Hous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ignature&#10;Peta McCammon&#10;Secretary&#10;Department of Families, Fairness and Housing&#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7163" cy="574042"/>
                    </a:xfrm>
                    <a:prstGeom prst="rect">
                      <a:avLst/>
                    </a:prstGeom>
                    <a:noFill/>
                    <a:ln>
                      <a:noFill/>
                    </a:ln>
                  </pic:spPr>
                </pic:pic>
              </a:graphicData>
            </a:graphic>
          </wp:inline>
        </w:drawing>
      </w:r>
    </w:p>
    <w:p w14:paraId="407A7DB6" w14:textId="69CE09BE" w:rsidR="00E16EF4" w:rsidRPr="002A2849" w:rsidRDefault="00E16EF4" w:rsidP="002A2849">
      <w:pPr>
        <w:pStyle w:val="ARbodynospace"/>
        <w:spacing w:before="120"/>
        <w:rPr>
          <w:rStyle w:val="Strong"/>
        </w:rPr>
      </w:pPr>
      <w:r w:rsidRPr="002A2849">
        <w:rPr>
          <w:rStyle w:val="Strong"/>
        </w:rPr>
        <w:t>Peta McCammon</w:t>
      </w:r>
    </w:p>
    <w:p w14:paraId="363590E6" w14:textId="77777777" w:rsidR="00E16EF4" w:rsidRPr="003114CB" w:rsidRDefault="00E16EF4">
      <w:pPr>
        <w:pStyle w:val="ARbodynospace"/>
      </w:pPr>
      <w:r w:rsidRPr="003114CB">
        <w:t>Secretary</w:t>
      </w:r>
    </w:p>
    <w:p w14:paraId="4004A2F8" w14:textId="77777777" w:rsidR="00E16EF4" w:rsidRDefault="00E16EF4">
      <w:pPr>
        <w:pStyle w:val="ARbody"/>
      </w:pPr>
      <w:r w:rsidRPr="003114CB">
        <w:t>Department of Families, Fairness and Housing</w:t>
      </w:r>
    </w:p>
    <w:p w14:paraId="0CECCEA7" w14:textId="77777777" w:rsidR="00E16EF4" w:rsidRDefault="00E16EF4">
      <w:pPr>
        <w:pStyle w:val="ARbody"/>
        <w:sectPr w:rsidR="00E16EF4" w:rsidSect="007F43B1">
          <w:endnotePr>
            <w:numFmt w:val="decimal"/>
          </w:endnotePr>
          <w:type w:val="continuous"/>
          <w:pgSz w:w="11900" w:h="16840" w:code="9"/>
          <w:pgMar w:top="1588" w:right="1134" w:bottom="851" w:left="1134" w:header="510" w:footer="340" w:gutter="0"/>
          <w:cols w:num="2" w:space="708"/>
        </w:sectPr>
      </w:pPr>
    </w:p>
    <w:p w14:paraId="351A5726" w14:textId="77777777" w:rsidR="000A399F" w:rsidRDefault="00E16EF4" w:rsidP="006C2796">
      <w:pPr>
        <w:pStyle w:val="Heading2"/>
        <w:spacing w:before="0"/>
        <w:sectPr w:rsidR="000A399F" w:rsidSect="007F43B1">
          <w:headerReference w:type="default" r:id="rId20"/>
          <w:endnotePr>
            <w:numFmt w:val="decimal"/>
          </w:endnotePr>
          <w:pgSz w:w="11906" w:h="16838"/>
          <w:pgMar w:top="1588" w:right="1134" w:bottom="851" w:left="1134" w:header="708" w:footer="708" w:gutter="0"/>
          <w:cols w:space="708"/>
          <w:docGrid w:linePitch="360"/>
        </w:sectPr>
      </w:pPr>
      <w:bookmarkStart w:id="27" w:name="_Toc212039506"/>
      <w:r>
        <w:lastRenderedPageBreak/>
        <w:t>Acknowledgement of First People</w:t>
      </w:r>
      <w:bookmarkEnd w:id="27"/>
    </w:p>
    <w:p w14:paraId="3BDCDED5" w14:textId="7BF57A07" w:rsidR="00E16EF4" w:rsidRPr="002A2849" w:rsidRDefault="00E16EF4" w:rsidP="002A2849">
      <w:pPr>
        <w:pStyle w:val="ARbody"/>
      </w:pPr>
      <w:r w:rsidRPr="007F49A7">
        <w:rPr>
          <w:lang w:eastAsia="en-AU"/>
        </w:rPr>
        <w:t>We acknowledge the Traditional Owners and Custodians of the lands and waters on which we</w:t>
      </w:r>
      <w:r w:rsidR="00085B8B">
        <w:rPr>
          <w:lang w:eastAsia="en-AU"/>
        </w:rPr>
        <w:t> </w:t>
      </w:r>
      <w:r w:rsidRPr="007F49A7">
        <w:rPr>
          <w:lang w:eastAsia="en-AU"/>
        </w:rPr>
        <w:t>live, work and play.  We acknowledge all Aboriginal and Torres Strait Islander peoples across the state.  We pay respect to and recognise the contributions of their Elders past and present</w:t>
      </w:r>
      <w:r w:rsidRPr="002A2849">
        <w:t>, and other First Peoples, who have</w:t>
      </w:r>
      <w:r w:rsidR="00085B8B">
        <w:t> </w:t>
      </w:r>
      <w:r w:rsidRPr="002A2849">
        <w:t>fought tirelessly for the rights of their</w:t>
      </w:r>
      <w:r w:rsidR="002A2849" w:rsidRPr="002A2849">
        <w:t> </w:t>
      </w:r>
      <w:r w:rsidRPr="002A2849">
        <w:t>communities.  </w:t>
      </w:r>
    </w:p>
    <w:p w14:paraId="235D5FFB" w14:textId="4A6181E9" w:rsidR="00E16EF4" w:rsidRPr="007F49A7" w:rsidRDefault="00E16EF4" w:rsidP="002A2849">
      <w:pPr>
        <w:pStyle w:val="ARbody"/>
        <w:rPr>
          <w:lang w:eastAsia="en-AU"/>
        </w:rPr>
      </w:pPr>
      <w:r w:rsidRPr="002A2849">
        <w:t>The sovereignty of First Peoples has never been</w:t>
      </w:r>
      <w:r w:rsidR="00085B8B">
        <w:t> </w:t>
      </w:r>
      <w:r w:rsidRPr="002A2849">
        <w:t>ceded. T</w:t>
      </w:r>
      <w:r w:rsidRPr="007F49A7">
        <w:rPr>
          <w:lang w:eastAsia="en-AU"/>
        </w:rPr>
        <w:t>heir strength and resilience as the</w:t>
      </w:r>
      <w:r w:rsidR="00085B8B">
        <w:rPr>
          <w:lang w:eastAsia="en-AU"/>
        </w:rPr>
        <w:t> </w:t>
      </w:r>
      <w:r w:rsidRPr="007F49A7">
        <w:rPr>
          <w:lang w:eastAsia="en-AU"/>
        </w:rPr>
        <w:t>world’s</w:t>
      </w:r>
      <w:r w:rsidR="00085B8B">
        <w:rPr>
          <w:lang w:eastAsia="en-AU"/>
        </w:rPr>
        <w:t> </w:t>
      </w:r>
      <w:r w:rsidRPr="007F49A7">
        <w:rPr>
          <w:lang w:eastAsia="en-AU"/>
        </w:rPr>
        <w:t>oldest living culture is enduring.  </w:t>
      </w:r>
    </w:p>
    <w:p w14:paraId="5037E86A" w14:textId="0C652124" w:rsidR="00E16EF4" w:rsidRPr="007F49A7" w:rsidRDefault="00E16EF4" w:rsidP="002A2849">
      <w:pPr>
        <w:pStyle w:val="Heading3"/>
      </w:pPr>
      <w:r w:rsidRPr="007F49A7">
        <w:t xml:space="preserve">Commitment to </w:t>
      </w:r>
      <w:r w:rsidR="00AD158C">
        <w:br/>
      </w:r>
      <w:r w:rsidRPr="007F49A7">
        <w:t>self</w:t>
      </w:r>
      <w:r w:rsidR="00103E09">
        <w:t>-</w:t>
      </w:r>
      <w:r w:rsidRPr="007F49A7">
        <w:t>determination</w:t>
      </w:r>
    </w:p>
    <w:p w14:paraId="0BDC083F" w14:textId="4CA46A4D" w:rsidR="00E16EF4" w:rsidRPr="007F49A7" w:rsidRDefault="00E16EF4" w:rsidP="002A2849">
      <w:pPr>
        <w:pStyle w:val="ARbody"/>
        <w:rPr>
          <w:lang w:eastAsia="en-AU"/>
        </w:rPr>
      </w:pPr>
      <w:r w:rsidRPr="007F49A7">
        <w:rPr>
          <w:lang w:eastAsia="en-AU"/>
        </w:rPr>
        <w:t>Our department is committed to achieving First</w:t>
      </w:r>
      <w:r w:rsidR="001774A8">
        <w:rPr>
          <w:lang w:eastAsia="en-AU"/>
        </w:rPr>
        <w:t> </w:t>
      </w:r>
      <w:r w:rsidRPr="007F49A7">
        <w:rPr>
          <w:lang w:eastAsia="en-AU"/>
        </w:rPr>
        <w:t>Peoples self-determination because we know</w:t>
      </w:r>
      <w:r w:rsidR="001774A8">
        <w:rPr>
          <w:lang w:eastAsia="en-AU"/>
        </w:rPr>
        <w:t> </w:t>
      </w:r>
      <w:r w:rsidRPr="007F49A7">
        <w:rPr>
          <w:lang w:eastAsia="en-AU"/>
        </w:rPr>
        <w:t>it</w:t>
      </w:r>
      <w:r w:rsidR="001774A8">
        <w:rPr>
          <w:lang w:eastAsia="en-AU"/>
        </w:rPr>
        <w:t> </w:t>
      </w:r>
      <w:r w:rsidRPr="007F49A7">
        <w:rPr>
          <w:lang w:eastAsia="en-AU"/>
        </w:rPr>
        <w:t>works, it</w:t>
      </w:r>
      <w:r>
        <w:rPr>
          <w:lang w:eastAsia="en-AU"/>
        </w:rPr>
        <w:t>’</w:t>
      </w:r>
      <w:r w:rsidRPr="007F49A7">
        <w:rPr>
          <w:lang w:eastAsia="en-AU"/>
        </w:rPr>
        <w:t xml:space="preserve">s what community </w:t>
      </w:r>
      <w:proofErr w:type="gramStart"/>
      <w:r w:rsidRPr="007F49A7">
        <w:rPr>
          <w:lang w:eastAsia="en-AU"/>
        </w:rPr>
        <w:t>wants</w:t>
      </w:r>
      <w:proofErr w:type="gramEnd"/>
      <w:r w:rsidRPr="007F49A7">
        <w:rPr>
          <w:lang w:eastAsia="en-AU"/>
        </w:rPr>
        <w:t xml:space="preserve"> and it</w:t>
      </w:r>
      <w:r w:rsidR="001774A8">
        <w:rPr>
          <w:lang w:eastAsia="en-AU"/>
        </w:rPr>
        <w:t> </w:t>
      </w:r>
      <w:r w:rsidRPr="007F49A7">
        <w:rPr>
          <w:lang w:eastAsia="en-AU"/>
        </w:rPr>
        <w:t>is</w:t>
      </w:r>
      <w:r w:rsidR="001774A8">
        <w:rPr>
          <w:lang w:eastAsia="en-AU"/>
        </w:rPr>
        <w:t> </w:t>
      </w:r>
      <w:r w:rsidRPr="007F49A7">
        <w:rPr>
          <w:lang w:eastAsia="en-AU"/>
        </w:rPr>
        <w:t>a</w:t>
      </w:r>
      <w:r w:rsidR="001774A8">
        <w:rPr>
          <w:lang w:eastAsia="en-AU"/>
        </w:rPr>
        <w:t> </w:t>
      </w:r>
      <w:r w:rsidRPr="007F49A7">
        <w:rPr>
          <w:lang w:eastAsia="en-AU"/>
        </w:rPr>
        <w:t>human right. We endeavo</w:t>
      </w:r>
      <w:r>
        <w:rPr>
          <w:lang w:eastAsia="en-AU"/>
        </w:rPr>
        <w:t>u</w:t>
      </w:r>
      <w:r w:rsidRPr="007F49A7">
        <w:rPr>
          <w:lang w:eastAsia="en-AU"/>
        </w:rPr>
        <w:t xml:space="preserve">r </w:t>
      </w:r>
      <w:r>
        <w:rPr>
          <w:lang w:eastAsia="en-AU"/>
        </w:rPr>
        <w:t xml:space="preserve">to enable </w:t>
      </w:r>
      <w:r w:rsidR="001774A8">
        <w:rPr>
          <w:lang w:eastAsia="en-AU"/>
        </w:rPr>
        <w:br/>
      </w:r>
      <w:r w:rsidRPr="007F49A7">
        <w:rPr>
          <w:lang w:eastAsia="en-AU"/>
        </w:rPr>
        <w:t>self-determination consistent with the Victorian Aboriginal Affairs Framework and welcome accountability against our progression. We deliver our commitments through our contributions to Closing the Gap, Truth and Treaty and leading First Peoples strategies established across our portfolios to achieve real and tangible First Peoples outcomes.</w:t>
      </w:r>
    </w:p>
    <w:p w14:paraId="0A4DDC4E" w14:textId="77777777" w:rsidR="00E619C4" w:rsidRDefault="00E16EF4">
      <w:pPr>
        <w:pStyle w:val="ARbody"/>
        <w:rPr>
          <w:lang w:eastAsia="en-AU"/>
        </w:rPr>
      </w:pPr>
      <w:r w:rsidRPr="007F49A7">
        <w:rPr>
          <w:lang w:eastAsia="en-AU"/>
        </w:rPr>
        <w:t xml:space="preserve">The right for First Peoples to freely determine their political status, and to pursue social, cultural and economic development based on their values and ways of life, is enshrined in the United Nations Declaration on the Rights of Indigenous Peoples. Self-determination exists because First Peoples have lost those rights, and to achieve meaningful and lasting change we must listen to First Peoples across the state when they tell us what they need for themselves, their families and their communities to thrive. </w:t>
      </w:r>
    </w:p>
    <w:p w14:paraId="0FADCD18" w14:textId="68095D85" w:rsidR="00BC240D" w:rsidRDefault="00E619C4">
      <w:pPr>
        <w:pStyle w:val="ARbody"/>
        <w:rPr>
          <w:lang w:eastAsia="en-AU"/>
        </w:rPr>
      </w:pPr>
      <w:r>
        <w:rPr>
          <w:lang w:eastAsia="en-AU"/>
        </w:rPr>
        <w:br w:type="column"/>
      </w:r>
      <w:r w:rsidR="00E16EF4" w:rsidRPr="007F49A7">
        <w:rPr>
          <w:lang w:eastAsia="en-AU"/>
        </w:rPr>
        <w:t>We acknowledge the strong and ongoing advocacy of First Peoples and the significant impact this has on our work, acknowledging that best outcomes for First peoples are achieved when informed by their knowledge and expertise.</w:t>
      </w:r>
    </w:p>
    <w:p w14:paraId="767E2E10" w14:textId="368DA0FD" w:rsidR="00E16EF4" w:rsidRPr="007F49A7" w:rsidRDefault="00E16EF4">
      <w:pPr>
        <w:pStyle w:val="ARbody"/>
        <w:rPr>
          <w:lang w:eastAsia="en-AU"/>
        </w:rPr>
      </w:pPr>
      <w:r w:rsidRPr="007F49A7">
        <w:rPr>
          <w:lang w:eastAsia="en-AU"/>
        </w:rPr>
        <w:t>We endeavo</w:t>
      </w:r>
      <w:r>
        <w:rPr>
          <w:lang w:eastAsia="en-AU"/>
        </w:rPr>
        <w:t>u</w:t>
      </w:r>
      <w:r w:rsidRPr="007F49A7">
        <w:rPr>
          <w:lang w:eastAsia="en-AU"/>
        </w:rPr>
        <w:t xml:space="preserve">r to embed cultural safety and </w:t>
      </w:r>
      <w:r w:rsidR="001774A8">
        <w:rPr>
          <w:lang w:eastAsia="en-AU"/>
        </w:rPr>
        <w:br/>
      </w:r>
      <w:r w:rsidRPr="007F49A7">
        <w:rPr>
          <w:lang w:eastAsia="en-AU"/>
        </w:rPr>
        <w:t>self-determination principles in all we do, consistent with the Victorian Government’s Victorian Aboriginal Affairs Framework. This provides an architecture for government departments to report annually on progress towards transforming government systems and structures to enable self-determination.</w:t>
      </w:r>
    </w:p>
    <w:p w14:paraId="61BA23E1" w14:textId="5B28A721" w:rsidR="00E16EF4" w:rsidRPr="002A2849" w:rsidRDefault="00E16EF4" w:rsidP="002A2849">
      <w:pPr>
        <w:pStyle w:val="ARbody"/>
      </w:pPr>
      <w:r w:rsidRPr="007F49A7">
        <w:rPr>
          <w:lang w:eastAsia="en-AU"/>
        </w:rPr>
        <w:t xml:space="preserve">We will hold ourselves accountable to First Peoples’ decisions on matters that affect their lives and communities. This includes through Victoria’s commitment to the National Agreement on Closing the Gap. We acknowledge that Victoria’s Treaty process will have wide-ranging impacts for our work with First Peoples. Treaty will provide a framework for transferring decision-making power and resources to </w:t>
      </w:r>
      <w:r w:rsidRPr="002A2849">
        <w:t>Traditional Owners. It will recognise the sovereignty of the First Peoples who have been practising their own law, lore and cultural authority since before the State of Victoria was formed. We commit to working proactively to support the aspirations of</w:t>
      </w:r>
      <w:r w:rsidR="000440EB">
        <w:t> </w:t>
      </w:r>
      <w:r w:rsidRPr="002A2849">
        <w:t>the First Peoples’ Assembly of Victoria.</w:t>
      </w:r>
    </w:p>
    <w:p w14:paraId="2D80EE89" w14:textId="31B9D303" w:rsidR="00E16EF4" w:rsidRPr="007F49A7" w:rsidRDefault="00E16EF4" w:rsidP="001C656E">
      <w:pPr>
        <w:pStyle w:val="ARbody"/>
        <w:rPr>
          <w:lang w:eastAsia="en-AU"/>
        </w:rPr>
      </w:pPr>
      <w:r w:rsidRPr="002A2849">
        <w:t>In this document, the term ‘Aboriginal’ is used to</w:t>
      </w:r>
      <w:r w:rsidR="000440EB">
        <w:t> </w:t>
      </w:r>
      <w:r w:rsidRPr="002A2849">
        <w:t>refer to both A</w:t>
      </w:r>
      <w:r w:rsidRPr="007F49A7">
        <w:rPr>
          <w:lang w:eastAsia="en-AU"/>
        </w:rPr>
        <w:t>boriginal and Torres Strait Islander</w:t>
      </w:r>
      <w:r w:rsidR="000440EB">
        <w:rPr>
          <w:lang w:eastAsia="en-AU"/>
        </w:rPr>
        <w:t> </w:t>
      </w:r>
      <w:r w:rsidRPr="007F49A7">
        <w:rPr>
          <w:lang w:eastAsia="en-AU"/>
        </w:rPr>
        <w:t>people.</w:t>
      </w:r>
    </w:p>
    <w:p w14:paraId="464BCCF8" w14:textId="77777777" w:rsidR="00E16EF4" w:rsidRPr="008E54FE" w:rsidRDefault="00E16EF4" w:rsidP="008E54FE">
      <w:pPr>
        <w:pStyle w:val="ARbody"/>
        <w:sectPr w:rsidR="00E16EF4" w:rsidRPr="008E54FE" w:rsidSect="007F43B1">
          <w:endnotePr>
            <w:numFmt w:val="decimal"/>
          </w:endnotePr>
          <w:type w:val="continuous"/>
          <w:pgSz w:w="11906" w:h="16838"/>
          <w:pgMar w:top="1588" w:right="1134" w:bottom="851" w:left="1134" w:header="708" w:footer="708" w:gutter="0"/>
          <w:cols w:num="2" w:space="708"/>
          <w:docGrid w:linePitch="360"/>
        </w:sectPr>
      </w:pPr>
    </w:p>
    <w:p w14:paraId="65031FB5" w14:textId="77777777" w:rsidR="00E16EF4" w:rsidRPr="002029AF" w:rsidRDefault="00E16EF4" w:rsidP="007B5ECF">
      <w:pPr>
        <w:pStyle w:val="Heading2"/>
        <w:spacing w:before="120" w:after="120"/>
      </w:pPr>
      <w:bookmarkStart w:id="28" w:name="_Toc212039507"/>
      <w:r w:rsidRPr="002029AF">
        <w:lastRenderedPageBreak/>
        <w:t>Our vision</w:t>
      </w:r>
      <w:bookmarkEnd w:id="28"/>
    </w:p>
    <w:p w14:paraId="43E445E2" w14:textId="77777777" w:rsidR="00E16EF4" w:rsidRPr="000A23C7" w:rsidRDefault="00E16EF4">
      <w:pPr>
        <w:pStyle w:val="ARbody"/>
        <w:rPr>
          <w:lang w:eastAsia="en-AU"/>
        </w:rPr>
      </w:pPr>
      <w:r w:rsidRPr="000A23C7">
        <w:rPr>
          <w:lang w:eastAsia="en-AU"/>
        </w:rPr>
        <w:t>Safe and supported children and families, in stable homes and strong communities.</w:t>
      </w:r>
    </w:p>
    <w:p w14:paraId="2759D4DB" w14:textId="77777777" w:rsidR="00E16EF4" w:rsidRPr="000A23C7" w:rsidRDefault="00E16EF4" w:rsidP="007B5ECF">
      <w:pPr>
        <w:pStyle w:val="Heading2"/>
        <w:spacing w:after="120"/>
      </w:pPr>
      <w:bookmarkStart w:id="29" w:name="_Toc212039508"/>
      <w:r w:rsidRPr="000A23C7">
        <w:t>How we will achieve it</w:t>
      </w:r>
      <w:bookmarkEnd w:id="29"/>
    </w:p>
    <w:p w14:paraId="3C47A2A9" w14:textId="77777777" w:rsidR="00E16EF4" w:rsidRPr="000A23C7" w:rsidRDefault="00E16EF4">
      <w:pPr>
        <w:pStyle w:val="ARbody"/>
        <w:rPr>
          <w:lang w:eastAsia="en-AU"/>
        </w:rPr>
      </w:pPr>
      <w:r w:rsidRPr="000A23C7">
        <w:rPr>
          <w:lang w:eastAsia="en-AU"/>
        </w:rPr>
        <w:t>Standing up for inclusion and equality, preventing harm and discrimination, and delivering social and housing support to Victorians who need it.</w:t>
      </w:r>
    </w:p>
    <w:p w14:paraId="233803B7" w14:textId="77777777" w:rsidR="00E16EF4" w:rsidRPr="000A23C7" w:rsidRDefault="00E16EF4" w:rsidP="007B5ECF">
      <w:pPr>
        <w:pStyle w:val="Heading2"/>
        <w:spacing w:after="120"/>
      </w:pPr>
      <w:bookmarkStart w:id="30" w:name="_Toc212039509"/>
      <w:r w:rsidRPr="000A23C7">
        <w:t>Our outcomes</w:t>
      </w:r>
      <w:bookmarkEnd w:id="30"/>
    </w:p>
    <w:p w14:paraId="36F3408C" w14:textId="77777777" w:rsidR="00E16EF4" w:rsidRPr="000A23C7" w:rsidRDefault="00E16EF4">
      <w:pPr>
        <w:pStyle w:val="ARbody"/>
      </w:pPr>
      <w:r w:rsidRPr="000A23C7">
        <w:t>Our outcomes describe what we aim to achieve.</w:t>
      </w:r>
    </w:p>
    <w:p w14:paraId="2D001620" w14:textId="77777777" w:rsidR="00E16EF4" w:rsidRPr="000A23C7" w:rsidRDefault="00E16EF4">
      <w:pPr>
        <w:pStyle w:val="ARbullet1"/>
      </w:pPr>
      <w:r w:rsidRPr="000A23C7">
        <w:t>Aboriginal voice, knowledge and cultural leadership drive Aboriginal policy, legislation and system reform.</w:t>
      </w:r>
    </w:p>
    <w:p w14:paraId="775D863D" w14:textId="77777777" w:rsidR="00E16EF4" w:rsidRPr="000A23C7" w:rsidRDefault="00E16EF4">
      <w:pPr>
        <w:pStyle w:val="ARbullet1"/>
      </w:pPr>
      <w:r w:rsidRPr="000A23C7">
        <w:t>Children, young people and families are safe, strong and supported.</w:t>
      </w:r>
    </w:p>
    <w:p w14:paraId="59F3D057" w14:textId="77777777" w:rsidR="00E16EF4" w:rsidRPr="000A23C7" w:rsidRDefault="00E16EF4">
      <w:pPr>
        <w:pStyle w:val="ARbullet1"/>
      </w:pPr>
      <w:r w:rsidRPr="000A23C7">
        <w:t>Victorian communities are safe, fair, inclusive and resilient.</w:t>
      </w:r>
    </w:p>
    <w:p w14:paraId="798C6EF2" w14:textId="77777777" w:rsidR="00E16EF4" w:rsidRPr="000A23C7" w:rsidRDefault="00E16EF4">
      <w:pPr>
        <w:pStyle w:val="ARbullet1"/>
      </w:pPr>
      <w:r w:rsidRPr="000A23C7">
        <w:t>All Victorians have stable, affordable and appropriate housing.</w:t>
      </w:r>
    </w:p>
    <w:p w14:paraId="1B8935D9" w14:textId="77777777" w:rsidR="00E16EF4" w:rsidRPr="000A23C7" w:rsidRDefault="00E16EF4">
      <w:pPr>
        <w:pStyle w:val="ARbullet1"/>
      </w:pPr>
      <w:r w:rsidRPr="000A23C7">
        <w:t>Our social services system is integrated, effective, person-centred and sustainable.</w:t>
      </w:r>
    </w:p>
    <w:p w14:paraId="79E38A17" w14:textId="77777777" w:rsidR="00E16EF4" w:rsidRPr="000A23C7" w:rsidRDefault="00E16EF4" w:rsidP="007B5ECF">
      <w:pPr>
        <w:pStyle w:val="Heading2"/>
        <w:spacing w:after="120"/>
      </w:pPr>
      <w:bookmarkStart w:id="31" w:name="_Toc212039510"/>
      <w:r w:rsidRPr="000A23C7">
        <w:t>Our values</w:t>
      </w:r>
      <w:bookmarkEnd w:id="31"/>
    </w:p>
    <w:p w14:paraId="29358067" w14:textId="77777777" w:rsidR="00E16EF4" w:rsidRPr="000A23C7" w:rsidRDefault="00E16EF4">
      <w:pPr>
        <w:pStyle w:val="ARbody"/>
      </w:pPr>
      <w:r w:rsidRPr="000A23C7">
        <w:t>Our values describe what we stand for as a department, how we want to make decisions and how we expect each other to behave.</w:t>
      </w:r>
    </w:p>
    <w:p w14:paraId="048BC690" w14:textId="11F3CD1B" w:rsidR="00E16EF4" w:rsidRPr="000A23C7" w:rsidRDefault="00DE6B2D">
      <w:pPr>
        <w:pStyle w:val="Heading3Values"/>
      </w:pPr>
      <w:r w:rsidRPr="00333AF5">
        <w:rPr>
          <w:noProof/>
        </w:rPr>
        <w:drawing>
          <wp:inline distT="0" distB="0" distL="0" distR="0" wp14:anchorId="51105129" wp14:editId="24AEBFC4">
            <wp:extent cx="324000" cy="324000"/>
            <wp:effectExtent l="0" t="0" r="0" b="0"/>
            <wp:docPr id="1942224364"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24364" name="Graphic 3">
                      <a:extLst>
                        <a:ext uri="{C183D7F6-B498-43B3-948B-1728B52AA6E4}">
                          <adec:decorative xmlns:adec="http://schemas.microsoft.com/office/drawing/2017/decorative" val="1"/>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324000" cy="324000"/>
                    </a:xfrm>
                    <a:prstGeom prst="rect">
                      <a:avLst/>
                    </a:prstGeom>
                  </pic:spPr>
                </pic:pic>
              </a:graphicData>
            </a:graphic>
          </wp:inline>
        </w:drawing>
      </w:r>
      <w:r w:rsidR="00E16EF4" w:rsidRPr="000A23C7">
        <w:tab/>
      </w:r>
      <w:r w:rsidR="00E16EF4" w:rsidRPr="000A23C7">
        <w:rPr>
          <w:rStyle w:val="ARraisedby10pt"/>
        </w:rPr>
        <w:t>We are responsive</w:t>
      </w:r>
    </w:p>
    <w:p w14:paraId="014D3F4F" w14:textId="77777777" w:rsidR="00E16EF4" w:rsidRPr="000A23C7" w:rsidRDefault="00E16EF4">
      <w:pPr>
        <w:pStyle w:val="ARbullet1"/>
        <w:spacing w:after="20"/>
      </w:pPr>
      <w:r w:rsidRPr="000A23C7">
        <w:t xml:space="preserve">We provide frank, impartial and </w:t>
      </w:r>
      <w:r w:rsidRPr="000A23C7">
        <w:br/>
        <w:t>timely advice to the Victorian Government</w:t>
      </w:r>
    </w:p>
    <w:p w14:paraId="0B8267A2" w14:textId="52C2671F" w:rsidR="00E16EF4" w:rsidRPr="000A23C7" w:rsidRDefault="00E16EF4">
      <w:pPr>
        <w:pStyle w:val="ARbullet1"/>
        <w:spacing w:after="20"/>
      </w:pPr>
      <w:r w:rsidRPr="000A23C7">
        <w:t xml:space="preserve">We provide high-quality services </w:t>
      </w:r>
      <w:r w:rsidRPr="000A23C7">
        <w:br/>
        <w:t>to the Victorian community.</w:t>
      </w:r>
    </w:p>
    <w:p w14:paraId="24CE7298" w14:textId="77777777" w:rsidR="00E16EF4" w:rsidRPr="000A23C7" w:rsidRDefault="00E16EF4">
      <w:pPr>
        <w:pStyle w:val="ARbullet1"/>
        <w:spacing w:after="20"/>
      </w:pPr>
      <w:r w:rsidRPr="000A23C7">
        <w:t>We identify and promote best practice.</w:t>
      </w:r>
    </w:p>
    <w:p w14:paraId="1F0EEDCD" w14:textId="13CB9538" w:rsidR="00E16EF4" w:rsidRPr="000A23C7" w:rsidRDefault="003334AD">
      <w:pPr>
        <w:pStyle w:val="Heading3Values"/>
        <w:rPr>
          <w:rStyle w:val="ARraisedby10pt"/>
        </w:rPr>
      </w:pPr>
      <w:r>
        <w:rPr>
          <w:noProof/>
        </w:rPr>
        <w:drawing>
          <wp:inline distT="0" distB="0" distL="0" distR="0" wp14:anchorId="04284B8E" wp14:editId="0C7D016B">
            <wp:extent cx="292795" cy="323850"/>
            <wp:effectExtent l="0" t="0" r="0" b="0"/>
            <wp:docPr id="804203647"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03647" name="Graphic 4">
                      <a:extLst>
                        <a:ext uri="{C183D7F6-B498-43B3-948B-1728B52AA6E4}">
                          <adec:decorative xmlns:adec="http://schemas.microsoft.com/office/drawing/2017/decorative" val="1"/>
                        </a:ext>
                      </a:extLst>
                    </pic:cNvPr>
                    <pic:cNvPicPr/>
                  </pic:nvPicPr>
                  <pic:blipFill rotWithShape="1">
                    <a:blip r:embed="rId23">
                      <a:extLst>
                        <a:ext uri="{96DAC541-7B7A-43D3-8B79-37D633B846F1}">
                          <asvg:svgBlip xmlns:asvg="http://schemas.microsoft.com/office/drawing/2016/SVG/main" r:embed="rId24"/>
                        </a:ext>
                      </a:extLst>
                    </a:blip>
                    <a:srcRect l="9589"/>
                    <a:stretch>
                      <a:fillRect/>
                    </a:stretch>
                  </pic:blipFill>
                  <pic:spPr bwMode="auto">
                    <a:xfrm>
                      <a:off x="0" y="0"/>
                      <a:ext cx="292931" cy="324000"/>
                    </a:xfrm>
                    <a:prstGeom prst="rect">
                      <a:avLst/>
                    </a:prstGeom>
                    <a:ln>
                      <a:noFill/>
                    </a:ln>
                    <a:extLst>
                      <a:ext uri="{53640926-AAD7-44D8-BBD7-CCE9431645EC}">
                        <a14:shadowObscured xmlns:a14="http://schemas.microsoft.com/office/drawing/2010/main"/>
                      </a:ext>
                    </a:extLst>
                  </pic:spPr>
                </pic:pic>
              </a:graphicData>
            </a:graphic>
          </wp:inline>
        </w:drawing>
      </w:r>
      <w:r w:rsidR="00E16EF4" w:rsidRPr="000A23C7">
        <w:tab/>
      </w:r>
      <w:r w:rsidR="00E16EF4" w:rsidRPr="000A23C7">
        <w:rPr>
          <w:rStyle w:val="ARraisedby10pt"/>
        </w:rPr>
        <w:t>We have integrity</w:t>
      </w:r>
    </w:p>
    <w:p w14:paraId="1AC592A0" w14:textId="77777777" w:rsidR="00E16EF4" w:rsidRPr="000A23C7" w:rsidRDefault="00E16EF4">
      <w:pPr>
        <w:pStyle w:val="ARbullet1"/>
        <w:spacing w:after="20"/>
      </w:pPr>
      <w:r w:rsidRPr="000A23C7">
        <w:t xml:space="preserve">We are honest, open and transparent </w:t>
      </w:r>
      <w:r w:rsidRPr="000A23C7">
        <w:br/>
        <w:t>in our dealings.</w:t>
      </w:r>
    </w:p>
    <w:p w14:paraId="2896C859" w14:textId="77777777" w:rsidR="00E16EF4" w:rsidRPr="000A23C7" w:rsidRDefault="00E16EF4">
      <w:pPr>
        <w:pStyle w:val="ARbullet1"/>
        <w:spacing w:after="20"/>
      </w:pPr>
      <w:r w:rsidRPr="000A23C7">
        <w:t>We use powers responsibly.</w:t>
      </w:r>
    </w:p>
    <w:p w14:paraId="3B90D3B7" w14:textId="77777777" w:rsidR="00E16EF4" w:rsidRPr="000A23C7" w:rsidRDefault="00E16EF4">
      <w:pPr>
        <w:pStyle w:val="ARbullet1"/>
        <w:spacing w:after="20"/>
      </w:pPr>
      <w:r w:rsidRPr="000A23C7">
        <w:t>We report improper conduct.</w:t>
      </w:r>
    </w:p>
    <w:p w14:paraId="3E16D95A" w14:textId="77777777" w:rsidR="00E16EF4" w:rsidRPr="000A23C7" w:rsidRDefault="00E16EF4">
      <w:pPr>
        <w:pStyle w:val="ARbullet1"/>
        <w:spacing w:after="20"/>
      </w:pPr>
      <w:r w:rsidRPr="000A23C7">
        <w:t>We avoid any real or apparent conflicts of interest.</w:t>
      </w:r>
    </w:p>
    <w:p w14:paraId="0D9D26F8" w14:textId="77777777" w:rsidR="00E16EF4" w:rsidRPr="000A23C7" w:rsidRDefault="00E16EF4">
      <w:pPr>
        <w:pStyle w:val="ARbullet1"/>
        <w:spacing w:after="20"/>
      </w:pPr>
      <w:r w:rsidRPr="000A23C7">
        <w:t>We strive to earn and sustain public trust.</w:t>
      </w:r>
    </w:p>
    <w:p w14:paraId="60ECA054" w14:textId="3D799B98" w:rsidR="00E16EF4" w:rsidRPr="000A23C7" w:rsidRDefault="00DF79A0">
      <w:pPr>
        <w:pStyle w:val="Heading3Values"/>
      </w:pPr>
      <w:r>
        <w:rPr>
          <w:noProof/>
        </w:rPr>
        <w:drawing>
          <wp:inline distT="0" distB="0" distL="0" distR="0" wp14:anchorId="7D52F11A" wp14:editId="0D94D12F">
            <wp:extent cx="350748" cy="395605"/>
            <wp:effectExtent l="0" t="0" r="0" b="0"/>
            <wp:docPr id="162218694"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8694" name="Graphic 5">
                      <a:extLst>
                        <a:ext uri="{C183D7F6-B498-43B3-948B-1728B52AA6E4}">
                          <adec:decorative xmlns:adec="http://schemas.microsoft.com/office/drawing/2017/decorative" val="1"/>
                        </a:ext>
                      </a:extLst>
                    </pic:cNvPr>
                    <pic:cNvPicPr/>
                  </pic:nvPicPr>
                  <pic:blipFill rotWithShape="1">
                    <a:blip r:embed="rId25">
                      <a:extLst>
                        <a:ext uri="{96DAC541-7B7A-43D3-8B79-37D633B846F1}">
                          <asvg:svgBlip xmlns:asvg="http://schemas.microsoft.com/office/drawing/2016/SVG/main" r:embed="rId26"/>
                        </a:ext>
                      </a:extLst>
                    </a:blip>
                    <a:srcRect l="11339" r="-1"/>
                    <a:stretch>
                      <a:fillRect/>
                    </a:stretch>
                  </pic:blipFill>
                  <pic:spPr bwMode="auto">
                    <a:xfrm>
                      <a:off x="0" y="0"/>
                      <a:ext cx="351098" cy="396000"/>
                    </a:xfrm>
                    <a:prstGeom prst="rect">
                      <a:avLst/>
                    </a:prstGeom>
                    <a:ln>
                      <a:noFill/>
                    </a:ln>
                    <a:extLst>
                      <a:ext uri="{53640926-AAD7-44D8-BBD7-CCE9431645EC}">
                        <a14:shadowObscured xmlns:a14="http://schemas.microsoft.com/office/drawing/2010/main"/>
                      </a:ext>
                    </a:extLst>
                  </pic:spPr>
                </pic:pic>
              </a:graphicData>
            </a:graphic>
          </wp:inline>
        </w:drawing>
      </w:r>
      <w:r w:rsidR="00E16EF4" w:rsidRPr="000A23C7">
        <w:tab/>
      </w:r>
      <w:r w:rsidR="00E16EF4" w:rsidRPr="000A23C7">
        <w:rPr>
          <w:rStyle w:val="ARraisedby10pt"/>
        </w:rPr>
        <w:t>We are impartial</w:t>
      </w:r>
    </w:p>
    <w:p w14:paraId="70CFA51B" w14:textId="77777777" w:rsidR="00E16EF4" w:rsidRPr="000A23C7" w:rsidRDefault="00E16EF4">
      <w:pPr>
        <w:pStyle w:val="ARbullet1"/>
      </w:pPr>
      <w:r w:rsidRPr="000A23C7">
        <w:t xml:space="preserve">We make decisions and provide advice on merit and without bias, caprice, favouritism </w:t>
      </w:r>
      <w:r w:rsidRPr="000A23C7">
        <w:br/>
        <w:t>or self-interest.</w:t>
      </w:r>
    </w:p>
    <w:p w14:paraId="68FE00E8" w14:textId="77777777" w:rsidR="00E16EF4" w:rsidRPr="000A23C7" w:rsidRDefault="00E16EF4">
      <w:pPr>
        <w:pStyle w:val="ARbullet1"/>
      </w:pPr>
      <w:r w:rsidRPr="000A23C7">
        <w:t>We act fairly by objectively considering all relevant facts and fair criteria.</w:t>
      </w:r>
    </w:p>
    <w:p w14:paraId="7375A71C" w14:textId="77777777" w:rsidR="00E16EF4" w:rsidRPr="000A23C7" w:rsidRDefault="00E16EF4">
      <w:pPr>
        <w:pStyle w:val="ARbullet1"/>
      </w:pPr>
      <w:r w:rsidRPr="000A23C7">
        <w:t>We implement Victorian Government policies and programs equitably.</w:t>
      </w:r>
    </w:p>
    <w:p w14:paraId="0398CD6B" w14:textId="2B6D8456" w:rsidR="00E16EF4" w:rsidRPr="000A23C7" w:rsidRDefault="008C763F">
      <w:pPr>
        <w:pStyle w:val="Heading3Values"/>
      </w:pPr>
      <w:r w:rsidRPr="00210FEC">
        <w:rPr>
          <w:noProof/>
        </w:rPr>
        <w:drawing>
          <wp:inline distT="0" distB="0" distL="0" distR="0" wp14:anchorId="237AB2A8" wp14:editId="553162B5">
            <wp:extent cx="317807" cy="360000"/>
            <wp:effectExtent l="0" t="0" r="0" b="0"/>
            <wp:docPr id="1148357478"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57478" name="Graphic 6">
                      <a:extLst>
                        <a:ext uri="{C183D7F6-B498-43B3-948B-1728B52AA6E4}">
                          <adec:decorative xmlns:adec="http://schemas.microsoft.com/office/drawing/2017/decorative" val="1"/>
                        </a:ext>
                      </a:extLst>
                    </pic:cNvPr>
                    <pic:cNvPicPr/>
                  </pic:nvPicPr>
                  <pic:blipFill rotWithShape="1">
                    <a:blip r:embed="rId27">
                      <a:extLst>
                        <a:ext uri="{96DAC541-7B7A-43D3-8B79-37D633B846F1}">
                          <asvg:svgBlip xmlns:asvg="http://schemas.microsoft.com/office/drawing/2016/SVG/main" r:embed="rId28"/>
                        </a:ext>
                      </a:extLst>
                    </a:blip>
                    <a:srcRect l="11720"/>
                    <a:stretch>
                      <a:fillRect/>
                    </a:stretch>
                  </pic:blipFill>
                  <pic:spPr bwMode="auto">
                    <a:xfrm>
                      <a:off x="0" y="0"/>
                      <a:ext cx="317807" cy="360000"/>
                    </a:xfrm>
                    <a:prstGeom prst="rect">
                      <a:avLst/>
                    </a:prstGeom>
                    <a:ln>
                      <a:noFill/>
                    </a:ln>
                    <a:extLst>
                      <a:ext uri="{53640926-AAD7-44D8-BBD7-CCE9431645EC}">
                        <a14:shadowObscured xmlns:a14="http://schemas.microsoft.com/office/drawing/2010/main"/>
                      </a:ext>
                    </a:extLst>
                  </pic:spPr>
                </pic:pic>
              </a:graphicData>
            </a:graphic>
          </wp:inline>
        </w:drawing>
      </w:r>
      <w:r w:rsidR="00E16EF4" w:rsidRPr="000A23C7">
        <w:rPr>
          <w:rStyle w:val="ARraisedby10pt"/>
        </w:rPr>
        <w:tab/>
        <w:t>We show respect</w:t>
      </w:r>
    </w:p>
    <w:p w14:paraId="180D393F" w14:textId="77777777" w:rsidR="00E16EF4" w:rsidRPr="000A23C7" w:rsidRDefault="00E16EF4">
      <w:pPr>
        <w:pStyle w:val="ARbullet1"/>
      </w:pPr>
      <w:r w:rsidRPr="000A23C7">
        <w:t>We show respect for colleagues, other public officials and members of the Victorian community.</w:t>
      </w:r>
    </w:p>
    <w:p w14:paraId="4E59E247" w14:textId="77777777" w:rsidR="00E16EF4" w:rsidRPr="000A23C7" w:rsidRDefault="00E16EF4">
      <w:pPr>
        <w:pStyle w:val="ARbullet1"/>
      </w:pPr>
      <w:r w:rsidRPr="000A23C7">
        <w:t>We treat our colleagues, other public officials and members of the Victorian community fairly and objectively.</w:t>
      </w:r>
    </w:p>
    <w:p w14:paraId="694AA711" w14:textId="77777777" w:rsidR="00E16EF4" w:rsidRPr="000A23C7" w:rsidRDefault="00E16EF4">
      <w:pPr>
        <w:pStyle w:val="ARbullet1"/>
      </w:pPr>
      <w:r w:rsidRPr="000A23C7">
        <w:t>We ensure freedom from discrimination, harassment and bullying.</w:t>
      </w:r>
    </w:p>
    <w:p w14:paraId="6FF818E1" w14:textId="77777777" w:rsidR="00E16EF4" w:rsidRPr="000A23C7" w:rsidRDefault="00E16EF4">
      <w:pPr>
        <w:pStyle w:val="ARbullet1"/>
      </w:pPr>
      <w:r w:rsidRPr="000A23C7">
        <w:t>We use the views of colleagues, other public officials and members of the Victorian community to improve outcomes on an ongoing basis.</w:t>
      </w:r>
    </w:p>
    <w:p w14:paraId="1BDF6A8C" w14:textId="089183B4" w:rsidR="00E16EF4" w:rsidRPr="000A23C7" w:rsidRDefault="0089359B">
      <w:pPr>
        <w:pStyle w:val="Heading3Values"/>
      </w:pPr>
      <w:r>
        <w:rPr>
          <w:rFonts w:asciiTheme="minorHAnsi" w:eastAsiaTheme="minorHAnsi" w:hAnsiTheme="minorHAnsi" w:cstheme="minorBidi"/>
          <w:noProof/>
          <w:szCs w:val="22"/>
        </w:rPr>
        <w:drawing>
          <wp:inline distT="0" distB="0" distL="0" distR="0" wp14:anchorId="517633C2" wp14:editId="5E7A02FE">
            <wp:extent cx="335256" cy="359410"/>
            <wp:effectExtent l="0" t="0" r="8255" b="2540"/>
            <wp:docPr id="133902175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21757" name="Graphic 7">
                      <a:extLst>
                        <a:ext uri="{C183D7F6-B498-43B3-948B-1728B52AA6E4}">
                          <adec:decorative xmlns:adec="http://schemas.microsoft.com/office/drawing/2017/decorative" val="1"/>
                        </a:ext>
                      </a:extLst>
                    </pic:cNvPr>
                    <pic:cNvPicPr/>
                  </pic:nvPicPr>
                  <pic:blipFill rotWithShape="1">
                    <a:blip r:embed="rId29">
                      <a:extLst>
                        <a:ext uri="{96DAC541-7B7A-43D3-8B79-37D633B846F1}">
                          <asvg:svgBlip xmlns:asvg="http://schemas.microsoft.com/office/drawing/2016/SVG/main" r:embed="rId30"/>
                        </a:ext>
                      </a:extLst>
                    </a:blip>
                    <a:srcRect l="6720"/>
                    <a:stretch>
                      <a:fillRect/>
                    </a:stretch>
                  </pic:blipFill>
                  <pic:spPr bwMode="auto">
                    <a:xfrm>
                      <a:off x="0" y="0"/>
                      <a:ext cx="335806" cy="360000"/>
                    </a:xfrm>
                    <a:prstGeom prst="rect">
                      <a:avLst/>
                    </a:prstGeom>
                    <a:ln>
                      <a:noFill/>
                    </a:ln>
                    <a:extLst>
                      <a:ext uri="{53640926-AAD7-44D8-BBD7-CCE9431645EC}">
                        <a14:shadowObscured xmlns:a14="http://schemas.microsoft.com/office/drawing/2010/main"/>
                      </a:ext>
                    </a:extLst>
                  </pic:spPr>
                </pic:pic>
              </a:graphicData>
            </a:graphic>
          </wp:inline>
        </w:drawing>
      </w:r>
      <w:r w:rsidR="00E16EF4" w:rsidRPr="000A23C7">
        <w:rPr>
          <w:rFonts w:asciiTheme="minorHAnsi" w:eastAsiaTheme="minorHAnsi" w:hAnsiTheme="minorHAnsi" w:cstheme="minorBidi"/>
        </w:rPr>
        <w:tab/>
      </w:r>
      <w:r w:rsidR="00E16EF4" w:rsidRPr="000A23C7">
        <w:rPr>
          <w:rStyle w:val="ARraisedby10pt"/>
        </w:rPr>
        <w:t>We are accountable</w:t>
      </w:r>
    </w:p>
    <w:p w14:paraId="65074B9B" w14:textId="77777777" w:rsidR="00E16EF4" w:rsidRPr="000A23C7" w:rsidRDefault="00E16EF4">
      <w:pPr>
        <w:pStyle w:val="ARbullet1"/>
      </w:pPr>
      <w:r w:rsidRPr="000A23C7">
        <w:t>We work towards clear objectives in a transparent manner.</w:t>
      </w:r>
    </w:p>
    <w:p w14:paraId="63EC75D6" w14:textId="77777777" w:rsidR="00E16EF4" w:rsidRPr="000A23C7" w:rsidRDefault="00E16EF4">
      <w:pPr>
        <w:pStyle w:val="ARbullet1"/>
      </w:pPr>
      <w:r w:rsidRPr="000A23C7">
        <w:t>We accept responsibility for our decisions and actions.</w:t>
      </w:r>
    </w:p>
    <w:p w14:paraId="01718E9A" w14:textId="77777777" w:rsidR="00E16EF4" w:rsidRPr="000A23C7" w:rsidRDefault="00E16EF4">
      <w:pPr>
        <w:pStyle w:val="ARbullet1"/>
      </w:pPr>
      <w:r w:rsidRPr="000A23C7">
        <w:t>We seek to achieve the best use of resources.</w:t>
      </w:r>
    </w:p>
    <w:p w14:paraId="7C786715" w14:textId="77777777" w:rsidR="00E16EF4" w:rsidRPr="000A23C7" w:rsidRDefault="00E16EF4">
      <w:pPr>
        <w:pStyle w:val="ARbullet1"/>
      </w:pPr>
      <w:r w:rsidRPr="000A23C7">
        <w:t>We submit ourselves to appropriate scrutiny.</w:t>
      </w:r>
    </w:p>
    <w:p w14:paraId="3217993A" w14:textId="45CB92ED" w:rsidR="00E16EF4" w:rsidRPr="000A23C7" w:rsidRDefault="00132288">
      <w:pPr>
        <w:pStyle w:val="Heading3Values"/>
      </w:pPr>
      <w:r>
        <w:rPr>
          <w:noProof/>
        </w:rPr>
        <w:drawing>
          <wp:inline distT="0" distB="0" distL="0" distR="0" wp14:anchorId="2DD05CA0" wp14:editId="4DD358B4">
            <wp:extent cx="300570" cy="419100"/>
            <wp:effectExtent l="0" t="0" r="4445" b="0"/>
            <wp:docPr id="1992689876"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89876" name="Graphic 2">
                      <a:extLst>
                        <a:ext uri="{C183D7F6-B498-43B3-948B-1728B52AA6E4}">
                          <adec:decorative xmlns:adec="http://schemas.microsoft.com/office/drawing/2017/decorative" val="1"/>
                        </a:ext>
                      </a:extLst>
                    </pic:cNvPr>
                    <pic:cNvPicPr/>
                  </pic:nvPicPr>
                  <pic:blipFill rotWithShape="1">
                    <a:blip r:embed="rId31">
                      <a:extLst>
                        <a:ext uri="{96DAC541-7B7A-43D3-8B79-37D633B846F1}">
                          <asvg:svgBlip xmlns:asvg="http://schemas.microsoft.com/office/drawing/2016/SVG/main" r:embed="rId32"/>
                        </a:ext>
                      </a:extLst>
                    </a:blip>
                    <a:srcRect l="16329"/>
                    <a:stretch>
                      <a:fillRect/>
                    </a:stretch>
                  </pic:blipFill>
                  <pic:spPr bwMode="auto">
                    <a:xfrm>
                      <a:off x="0" y="0"/>
                      <a:ext cx="302400" cy="421652"/>
                    </a:xfrm>
                    <a:prstGeom prst="rect">
                      <a:avLst/>
                    </a:prstGeom>
                    <a:ln>
                      <a:noFill/>
                    </a:ln>
                    <a:extLst>
                      <a:ext uri="{53640926-AAD7-44D8-BBD7-CCE9431645EC}">
                        <a14:shadowObscured xmlns:a14="http://schemas.microsoft.com/office/drawing/2010/main"/>
                      </a:ext>
                    </a:extLst>
                  </pic:spPr>
                </pic:pic>
              </a:graphicData>
            </a:graphic>
          </wp:inline>
        </w:drawing>
      </w:r>
      <w:r w:rsidR="00E16EF4" w:rsidRPr="000A23C7">
        <w:rPr>
          <w:rFonts w:asciiTheme="minorHAnsi" w:eastAsiaTheme="minorHAnsi" w:hAnsiTheme="minorHAnsi" w:cstheme="minorBidi"/>
        </w:rPr>
        <w:tab/>
      </w:r>
      <w:r w:rsidR="00E16EF4" w:rsidRPr="000A23C7">
        <w:rPr>
          <w:rStyle w:val="ARraisedby10pt"/>
        </w:rPr>
        <w:t>We lead</w:t>
      </w:r>
    </w:p>
    <w:p w14:paraId="4E5E0A2E" w14:textId="77777777" w:rsidR="00E16EF4" w:rsidRPr="000A23C7" w:rsidRDefault="00E16EF4">
      <w:pPr>
        <w:pStyle w:val="ARbullet1"/>
      </w:pPr>
      <w:r w:rsidRPr="000A23C7">
        <w:t>We actively implement, promote and support these values.</w:t>
      </w:r>
    </w:p>
    <w:p w14:paraId="08B964D3" w14:textId="430E387B" w:rsidR="00E16EF4" w:rsidRPr="000A23C7" w:rsidRDefault="006D1690">
      <w:pPr>
        <w:pStyle w:val="Heading3Values"/>
      </w:pPr>
      <w:r>
        <w:rPr>
          <w:rFonts w:asciiTheme="minorHAnsi" w:eastAsiaTheme="minorHAnsi" w:hAnsiTheme="minorHAnsi" w:cstheme="minorBidi"/>
          <w:noProof/>
          <w:szCs w:val="22"/>
        </w:rPr>
        <w:drawing>
          <wp:inline distT="0" distB="0" distL="0" distR="0" wp14:anchorId="1399B19C" wp14:editId="2BD5F2F8">
            <wp:extent cx="335256" cy="359410"/>
            <wp:effectExtent l="0" t="0" r="8255" b="2540"/>
            <wp:docPr id="1330009131"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9131" name="Graphic 8">
                      <a:extLst>
                        <a:ext uri="{C183D7F6-B498-43B3-948B-1728B52AA6E4}">
                          <adec:decorative xmlns:adec="http://schemas.microsoft.com/office/drawing/2017/decorative" val="1"/>
                        </a:ext>
                      </a:extLst>
                    </pic:cNvPr>
                    <pic:cNvPicPr/>
                  </pic:nvPicPr>
                  <pic:blipFill rotWithShape="1">
                    <a:blip r:embed="rId33">
                      <a:extLst>
                        <a:ext uri="{96DAC541-7B7A-43D3-8B79-37D633B846F1}">
                          <asvg:svgBlip xmlns:asvg="http://schemas.microsoft.com/office/drawing/2016/SVG/main" r:embed="rId34"/>
                        </a:ext>
                      </a:extLst>
                    </a:blip>
                    <a:srcRect l="6720"/>
                    <a:stretch>
                      <a:fillRect/>
                    </a:stretch>
                  </pic:blipFill>
                  <pic:spPr bwMode="auto">
                    <a:xfrm>
                      <a:off x="0" y="0"/>
                      <a:ext cx="335806" cy="360000"/>
                    </a:xfrm>
                    <a:prstGeom prst="rect">
                      <a:avLst/>
                    </a:prstGeom>
                    <a:ln>
                      <a:noFill/>
                    </a:ln>
                    <a:extLst>
                      <a:ext uri="{53640926-AAD7-44D8-BBD7-CCE9431645EC}">
                        <a14:shadowObscured xmlns:a14="http://schemas.microsoft.com/office/drawing/2010/main"/>
                      </a:ext>
                    </a:extLst>
                  </pic:spPr>
                </pic:pic>
              </a:graphicData>
            </a:graphic>
          </wp:inline>
        </w:drawing>
      </w:r>
      <w:r w:rsidR="00E16EF4" w:rsidRPr="000A23C7">
        <w:rPr>
          <w:rFonts w:asciiTheme="minorHAnsi" w:eastAsiaTheme="minorHAnsi" w:hAnsiTheme="minorHAnsi" w:cstheme="minorBidi"/>
        </w:rPr>
        <w:tab/>
      </w:r>
      <w:r w:rsidR="00E16EF4" w:rsidRPr="000A23C7">
        <w:rPr>
          <w:rStyle w:val="ARraisedby10pt"/>
        </w:rPr>
        <w:t>We respect human rights</w:t>
      </w:r>
    </w:p>
    <w:p w14:paraId="4B5DAB86" w14:textId="77777777" w:rsidR="00E16EF4" w:rsidRPr="000A23C7" w:rsidRDefault="00E16EF4">
      <w:pPr>
        <w:pStyle w:val="ARbullet1"/>
      </w:pPr>
      <w:r w:rsidRPr="000A23C7">
        <w:t xml:space="preserve">We respect and promote the human rights set out in the Victorian </w:t>
      </w:r>
      <w:r w:rsidRPr="000A23C7">
        <w:rPr>
          <w:rStyle w:val="Emphasis"/>
        </w:rPr>
        <w:t>Charter of Human Rights and Responsibilities Act</w:t>
      </w:r>
      <w:r w:rsidRPr="000A23C7">
        <w:t xml:space="preserve"> </w:t>
      </w:r>
      <w:r w:rsidRPr="00E6224B">
        <w:rPr>
          <w:rStyle w:val="Emphasis"/>
        </w:rPr>
        <w:t>2006.</w:t>
      </w:r>
    </w:p>
    <w:p w14:paraId="638A0859" w14:textId="77777777" w:rsidR="00E16EF4" w:rsidRPr="000A23C7" w:rsidRDefault="00E16EF4">
      <w:pPr>
        <w:pStyle w:val="ARbullet1"/>
      </w:pPr>
      <w:r w:rsidRPr="000A23C7">
        <w:t>We make decisions and provide advice consistent with human rights.</w:t>
      </w:r>
    </w:p>
    <w:p w14:paraId="416F21E9" w14:textId="77777777" w:rsidR="00E16EF4" w:rsidRPr="003C5481" w:rsidRDefault="00E16EF4">
      <w:pPr>
        <w:pStyle w:val="ARbullet1"/>
      </w:pPr>
      <w:r w:rsidRPr="000A23C7">
        <w:t>We actively implement, promote and support human rights</w:t>
      </w:r>
      <w:r>
        <w:t>.</w:t>
      </w:r>
    </w:p>
    <w:p w14:paraId="6EAE5BA9" w14:textId="77777777" w:rsidR="000C34BF" w:rsidRDefault="000C34BF">
      <w:pPr>
        <w:pStyle w:val="Heading3Values"/>
        <w:sectPr w:rsidR="000C34BF" w:rsidSect="007F43B1">
          <w:endnotePr>
            <w:numFmt w:val="decimal"/>
          </w:endnotePr>
          <w:pgSz w:w="11900" w:h="16840" w:code="9"/>
          <w:pgMar w:top="1588" w:right="1134" w:bottom="851" w:left="1134" w:header="510" w:footer="340" w:gutter="0"/>
          <w:cols w:num="2" w:space="454"/>
        </w:sectPr>
      </w:pPr>
    </w:p>
    <w:p w14:paraId="2BBE74FB" w14:textId="77777777" w:rsidR="000C34BF" w:rsidRDefault="000C34BF" w:rsidP="007B5ECF">
      <w:pPr>
        <w:pStyle w:val="Heading2"/>
        <w:spacing w:before="0"/>
      </w:pPr>
      <w:bookmarkStart w:id="32" w:name="_Purpose_and_functions"/>
      <w:bookmarkStart w:id="33" w:name="_Toc212039511"/>
      <w:bookmarkEnd w:id="32"/>
      <w:r w:rsidRPr="002029AF">
        <w:lastRenderedPageBreak/>
        <w:t>Purpose and functions</w:t>
      </w:r>
      <w:bookmarkEnd w:id="33"/>
    </w:p>
    <w:p w14:paraId="5F74D0D8" w14:textId="77777777" w:rsidR="00E16EF4" w:rsidRDefault="00E16EF4" w:rsidP="000440EB">
      <w:pPr>
        <w:pStyle w:val="Heading3Values"/>
        <w:spacing w:before="0"/>
        <w:sectPr w:rsidR="00E16EF4" w:rsidSect="007F43B1">
          <w:endnotePr>
            <w:numFmt w:val="decimal"/>
          </w:endnotePr>
          <w:pgSz w:w="11900" w:h="16840" w:code="9"/>
          <w:pgMar w:top="1588" w:right="1134" w:bottom="851" w:left="1134" w:header="510" w:footer="340" w:gutter="0"/>
          <w:cols w:num="2" w:space="454"/>
        </w:sectPr>
      </w:pPr>
    </w:p>
    <w:p w14:paraId="113FCED3" w14:textId="77777777" w:rsidR="00E16EF4" w:rsidRDefault="00E16EF4" w:rsidP="000C34BF">
      <w:pPr>
        <w:pStyle w:val="Heading3"/>
        <w:spacing w:before="0"/>
      </w:pPr>
      <w:r>
        <w:t xml:space="preserve">Our </w:t>
      </w:r>
      <w:r w:rsidRPr="00B053BE">
        <w:t>purpose</w:t>
      </w:r>
    </w:p>
    <w:p w14:paraId="57EE1C97" w14:textId="373944B3" w:rsidR="00E16EF4" w:rsidRDefault="00E16EF4" w:rsidP="000440EB">
      <w:pPr>
        <w:pStyle w:val="ARbody"/>
      </w:pPr>
      <w:r w:rsidRPr="006C0DF8">
        <w:t xml:space="preserve">The department </w:t>
      </w:r>
      <w:r>
        <w:t>looks after</w:t>
      </w:r>
      <w:r w:rsidRPr="006C0DF8">
        <w:t xml:space="preserve"> child protection and</w:t>
      </w:r>
      <w:r>
        <w:t xml:space="preserve"> </w:t>
      </w:r>
      <w:r w:rsidRPr="006C0DF8">
        <w:t>family services, prevention of family violence, housing and homelessness, disability, seniors, carers</w:t>
      </w:r>
      <w:r w:rsidR="00A204CC">
        <w:t xml:space="preserve"> and volunteers</w:t>
      </w:r>
      <w:r w:rsidRPr="006C0DF8">
        <w:t>, LGBTIQA+ equality, veterans, women and</w:t>
      </w:r>
      <w:r w:rsidR="00A27430">
        <w:t> </w:t>
      </w:r>
      <w:r w:rsidRPr="006C0DF8">
        <w:t>youth</w:t>
      </w:r>
      <w:r>
        <w:t>.</w:t>
      </w:r>
    </w:p>
    <w:p w14:paraId="64CB9F93" w14:textId="77777777" w:rsidR="00E16EF4" w:rsidRPr="00532DAE" w:rsidRDefault="00E16EF4">
      <w:pPr>
        <w:pStyle w:val="Heading4"/>
        <w:spacing w:before="240"/>
      </w:pPr>
      <w:bookmarkStart w:id="34" w:name="_Ref85055987"/>
      <w:r>
        <w:t>Ageing</w:t>
      </w:r>
    </w:p>
    <w:p w14:paraId="72B5B89E" w14:textId="60AD892B" w:rsidR="00E16EF4" w:rsidRPr="000440EB" w:rsidRDefault="00E16EF4" w:rsidP="000440EB">
      <w:pPr>
        <w:pStyle w:val="ARbody"/>
      </w:pPr>
      <w:r w:rsidRPr="006B4F94">
        <w:t xml:space="preserve">The department supports older Victorians </w:t>
      </w:r>
      <w:r>
        <w:t xml:space="preserve">to </w:t>
      </w:r>
      <w:r w:rsidRPr="006B4F94">
        <w:t xml:space="preserve">live happy, </w:t>
      </w:r>
      <w:r w:rsidRPr="000440EB">
        <w:t xml:space="preserve">healthy lives. We provide advice and funding for </w:t>
      </w:r>
      <w:proofErr w:type="gramStart"/>
      <w:r w:rsidRPr="000440EB">
        <w:t>seniors</w:t>
      </w:r>
      <w:proofErr w:type="gramEnd"/>
      <w:r w:rsidRPr="000440EB">
        <w:t xml:space="preserve"> programs and participation. We deliver the Victorian Seniors Card, Companion Card, and Carer Card programs. </w:t>
      </w:r>
    </w:p>
    <w:p w14:paraId="40788D05" w14:textId="06FAE11D" w:rsidR="00E16EF4" w:rsidRPr="000440EB" w:rsidRDefault="00E16EF4" w:rsidP="000440EB">
      <w:pPr>
        <w:pStyle w:val="ARbody"/>
      </w:pPr>
      <w:r w:rsidRPr="000440EB">
        <w:t xml:space="preserve">Each year, we deliver the Victorian Seniors Festival. We do this in partnership with Victoria’s </w:t>
      </w:r>
      <w:r w:rsidR="00114576" w:rsidRPr="000440EB">
        <w:t>79</w:t>
      </w:r>
      <w:r w:rsidR="00114576">
        <w:t> </w:t>
      </w:r>
      <w:r w:rsidRPr="000440EB">
        <w:t>local councils. In October 2024, the Seniors Festival held more than 3,750 events across the</w:t>
      </w:r>
      <w:r w:rsidR="00A27430" w:rsidRPr="000440EB">
        <w:t> </w:t>
      </w:r>
      <w:r w:rsidRPr="000440EB">
        <w:t xml:space="preserve">state. </w:t>
      </w:r>
    </w:p>
    <w:p w14:paraId="6BC6C9F6" w14:textId="7079E2BB" w:rsidR="00E16EF4" w:rsidRPr="000440EB" w:rsidRDefault="00E16EF4" w:rsidP="000440EB">
      <w:pPr>
        <w:pStyle w:val="ARbody"/>
      </w:pPr>
      <w:r w:rsidRPr="000440EB">
        <w:t xml:space="preserve">As part of the Seniors Festival, the department delivers the Victorian Senior of the Year Awards. These awards celebrate the contributions and achievements of older Victorians. </w:t>
      </w:r>
    </w:p>
    <w:p w14:paraId="443ED7B4" w14:textId="02659C07" w:rsidR="00E16EF4" w:rsidRPr="006B4F94" w:rsidRDefault="00E16EF4" w:rsidP="000440EB">
      <w:pPr>
        <w:pStyle w:val="ARbody"/>
      </w:pPr>
      <w:r w:rsidRPr="000440EB">
        <w:t>The department work</w:t>
      </w:r>
      <w:r w:rsidRPr="006B4F94">
        <w:t xml:space="preserve">s across government to </w:t>
      </w:r>
      <w:r>
        <w:t>implement</w:t>
      </w:r>
      <w:r w:rsidRPr="006B4F94">
        <w:t xml:space="preserve"> Victoria’s </w:t>
      </w:r>
      <w:r w:rsidRPr="00E6224B">
        <w:rPr>
          <w:rStyle w:val="Emphasis"/>
        </w:rPr>
        <w:t>Ageing well action plan 2022–2026</w:t>
      </w:r>
      <w:r w:rsidRPr="006B4F94" w:rsidDel="00AF4A5F">
        <w:t>.</w:t>
      </w:r>
      <w:r w:rsidRPr="006B4F94">
        <w:t xml:space="preserve"> The plan encourages an ‘ageing well’ lens </w:t>
      </w:r>
      <w:r>
        <w:t>for</w:t>
      </w:r>
      <w:r w:rsidRPr="006B4F94">
        <w:t xml:space="preserve"> policies and programs that affect older people. We also fund several non-government organisations</w:t>
      </w:r>
      <w:r>
        <w:t>. These organisations help us</w:t>
      </w:r>
      <w:r w:rsidRPr="006B4F94">
        <w:t xml:space="preserve"> to deliver work aligned with the action plan.</w:t>
      </w:r>
    </w:p>
    <w:p w14:paraId="39E5FF9D" w14:textId="69CEE6FF" w:rsidR="00E16EF4" w:rsidRDefault="00E16EF4">
      <w:pPr>
        <w:pStyle w:val="ARbody"/>
      </w:pPr>
      <w:r w:rsidRPr="006B4F94">
        <w:t xml:space="preserve">The department also </w:t>
      </w:r>
      <w:r>
        <w:t>prevents and responds to</w:t>
      </w:r>
      <w:r w:rsidRPr="006B4F94">
        <w:t xml:space="preserve"> elder abuse. This helps us to understand, identify and address elder abuse</w:t>
      </w:r>
      <w:r>
        <w:t>. I</w:t>
      </w:r>
      <w:r w:rsidRPr="006B4F94">
        <w:t>t also supports local place-based action</w:t>
      </w:r>
      <w:r>
        <w:t>.</w:t>
      </w:r>
      <w:r w:rsidRPr="006B4F94">
        <w:t xml:space="preserve"> </w:t>
      </w:r>
      <w:r>
        <w:t>This aims to</w:t>
      </w:r>
      <w:r w:rsidRPr="006B4F94">
        <w:t> raise awareness of elder abuse and stop it from happening.</w:t>
      </w:r>
    </w:p>
    <w:p w14:paraId="478C011A" w14:textId="5FCC62DD" w:rsidR="00E16EF4" w:rsidRDefault="00E16EF4">
      <w:pPr>
        <w:pStyle w:val="Heading4"/>
      </w:pPr>
      <w:r>
        <w:t>Carers</w:t>
      </w:r>
      <w:bookmarkEnd w:id="34"/>
      <w:r>
        <w:t xml:space="preserve"> and volunteers</w:t>
      </w:r>
    </w:p>
    <w:p w14:paraId="61131ED5" w14:textId="3EF991AD" w:rsidR="00E16EF4" w:rsidRPr="00EB053D" w:rsidRDefault="00E16EF4">
      <w:pPr>
        <w:pStyle w:val="ARbody"/>
      </w:pPr>
      <w:r w:rsidRPr="00EB053D">
        <w:t>The department helps Victorians feel included in their communities. We do this by</w:t>
      </w:r>
      <w:r w:rsidRPr="00EB053D" w:rsidDel="00573EF1">
        <w:t xml:space="preserve"> </w:t>
      </w:r>
      <w:r w:rsidRPr="00EB053D">
        <w:t>encouraging people to get involved in volunteering</w:t>
      </w:r>
      <w:r>
        <w:t>. This includes</w:t>
      </w:r>
      <w:r w:rsidRPr="00EB053D">
        <w:t xml:space="preserve"> being part of community places like </w:t>
      </w:r>
      <w:r>
        <w:t>n</w:t>
      </w:r>
      <w:r w:rsidRPr="00EB053D">
        <w:t xml:space="preserve">eighbourhood </w:t>
      </w:r>
      <w:r>
        <w:t>h</w:t>
      </w:r>
      <w:r w:rsidRPr="00EB053D">
        <w:t xml:space="preserve">ouses and </w:t>
      </w:r>
      <w:r>
        <w:t>m</w:t>
      </w:r>
      <w:r w:rsidRPr="00EB053D">
        <w:t xml:space="preserve">en’s </w:t>
      </w:r>
      <w:r>
        <w:t>s</w:t>
      </w:r>
      <w:r w:rsidRPr="00EB053D">
        <w:t>heds.</w:t>
      </w:r>
    </w:p>
    <w:p w14:paraId="5688B779" w14:textId="5F4E6A4D" w:rsidR="00E16EF4" w:rsidRPr="005436DA" w:rsidRDefault="008A77F0" w:rsidP="000440EB">
      <w:pPr>
        <w:pStyle w:val="ARbody"/>
      </w:pPr>
      <w:r w:rsidRPr="00EB053D">
        <w:t xml:space="preserve">Our programs provide support for people experiencing economic </w:t>
      </w:r>
      <w:r w:rsidRPr="000440EB">
        <w:t>exclusion</w:t>
      </w:r>
      <w:r w:rsidRPr="00EB053D">
        <w:t xml:space="preserve"> and hardship</w:t>
      </w:r>
      <w:r>
        <w:t xml:space="preserve">. They also build </w:t>
      </w:r>
      <w:r w:rsidRPr="00EB053D">
        <w:t>financial capability</w:t>
      </w:r>
      <w:r w:rsidR="00E16EF4" w:rsidRPr="00EB053D">
        <w:t xml:space="preserve">. </w:t>
      </w:r>
      <w:r w:rsidR="00A27430">
        <w:br w:type="column"/>
      </w:r>
      <w:r w:rsidR="00E16EF4" w:rsidRPr="00EB053D">
        <w:t xml:space="preserve">We </w:t>
      </w:r>
      <w:r w:rsidR="00E16EF4" w:rsidRPr="005436DA">
        <w:t xml:space="preserve">help </w:t>
      </w:r>
      <w:r w:rsidR="00E16EF4">
        <w:t xml:space="preserve">to strengthen food security so </w:t>
      </w:r>
      <w:r w:rsidR="00E16EF4" w:rsidRPr="005436DA">
        <w:t xml:space="preserve">more people </w:t>
      </w:r>
      <w:r w:rsidR="00E16EF4">
        <w:t>can</w:t>
      </w:r>
      <w:r w:rsidR="00E16EF4" w:rsidRPr="005436DA">
        <w:t xml:space="preserve"> put food on the table.</w:t>
      </w:r>
      <w:r w:rsidR="00E16EF4">
        <w:t xml:space="preserve"> We do this in partnership with</w:t>
      </w:r>
      <w:r w:rsidR="00E16EF4" w:rsidRPr="00EB053D">
        <w:t xml:space="preserve"> organisations across the state</w:t>
      </w:r>
      <w:r w:rsidR="00E16EF4">
        <w:t>. This includes</w:t>
      </w:r>
      <w:r w:rsidR="00E16EF4" w:rsidRPr="00EB053D">
        <w:t xml:space="preserve"> </w:t>
      </w:r>
      <w:r w:rsidR="00E16EF4">
        <w:t xml:space="preserve">working with </w:t>
      </w:r>
      <w:r w:rsidR="00E16EF4" w:rsidRPr="00EB053D">
        <w:t>Foodbank Victoria</w:t>
      </w:r>
      <w:r w:rsidR="00E16EF4" w:rsidRPr="005436DA">
        <w:t xml:space="preserve">, the state’s </w:t>
      </w:r>
      <w:r w:rsidR="00E16EF4">
        <w:t>6</w:t>
      </w:r>
      <w:r w:rsidR="00857D9F">
        <w:t> </w:t>
      </w:r>
      <w:r w:rsidR="00E16EF4" w:rsidRPr="005436DA">
        <w:t xml:space="preserve">regional </w:t>
      </w:r>
      <w:proofErr w:type="spellStart"/>
      <w:r w:rsidR="00E16EF4" w:rsidRPr="005436DA">
        <w:t>foodshares</w:t>
      </w:r>
      <w:proofErr w:type="spellEnd"/>
      <w:r w:rsidR="00E16EF4" w:rsidRPr="005436DA">
        <w:t xml:space="preserve"> and local community</w:t>
      </w:r>
      <w:r w:rsidR="00A27430">
        <w:t> </w:t>
      </w:r>
      <w:r w:rsidR="00E16EF4" w:rsidRPr="005436DA">
        <w:t>organisations</w:t>
      </w:r>
      <w:r w:rsidR="00E16EF4">
        <w:t>.</w:t>
      </w:r>
    </w:p>
    <w:p w14:paraId="55F377EB" w14:textId="5E50F266" w:rsidR="00E16EF4" w:rsidRDefault="00E16EF4">
      <w:pPr>
        <w:pStyle w:val="ARbody"/>
      </w:pPr>
      <w:r w:rsidRPr="005436DA">
        <w:t xml:space="preserve">Under </w:t>
      </w:r>
      <w:r w:rsidRPr="00E16EF4">
        <w:rPr>
          <w:rStyle w:val="Emphasis"/>
          <w:i w:val="0"/>
          <w:iCs w:val="0"/>
        </w:rPr>
        <w:t>the</w:t>
      </w:r>
      <w:r w:rsidRPr="00E6224B">
        <w:rPr>
          <w:rStyle w:val="Emphasis"/>
        </w:rPr>
        <w:t xml:space="preserve"> Victorian carer strategy</w:t>
      </w:r>
      <w:r w:rsidRPr="005436DA">
        <w:t xml:space="preserve">, the department supports people </w:t>
      </w:r>
      <w:r>
        <w:t>who have</w:t>
      </w:r>
      <w:r w:rsidRPr="005436DA">
        <w:t xml:space="preserve"> unpaid care role</w:t>
      </w:r>
      <w:r>
        <w:t>s. This includes making sure they are</w:t>
      </w:r>
      <w:r w:rsidRPr="005436DA">
        <w:t xml:space="preserve"> valued, recognised, and have </w:t>
      </w:r>
      <w:r w:rsidR="006435CD">
        <w:t>better</w:t>
      </w:r>
      <w:r w:rsidRPr="005436DA">
        <w:t xml:space="preserve"> physical, social and mental health and wellbeing. We do this through</w:t>
      </w:r>
      <w:r w:rsidRPr="00E51681">
        <w:t xml:space="preserve"> </w:t>
      </w:r>
      <w:r w:rsidRPr="00E51681" w:rsidDel="003B7377">
        <w:t>the</w:t>
      </w:r>
      <w:r w:rsidRPr="00E51681">
        <w:t xml:space="preserve"> </w:t>
      </w:r>
      <w:r>
        <w:t xml:space="preserve">Victorian </w:t>
      </w:r>
      <w:r w:rsidRPr="00E51681">
        <w:t xml:space="preserve">Support for Carers </w:t>
      </w:r>
      <w:r>
        <w:t>P</w:t>
      </w:r>
      <w:r w:rsidRPr="00E51681">
        <w:t xml:space="preserve">rogram, Additional Respite for Carers initiative, Connecting Carers in their Communities </w:t>
      </w:r>
      <w:r>
        <w:t>grants, and</w:t>
      </w:r>
      <w:r w:rsidRPr="00E51681">
        <w:t xml:space="preserve"> benefits provided to Victorian Carer Card holders</w:t>
      </w:r>
      <w:r w:rsidRPr="00E51681" w:rsidDel="00086871">
        <w:t>.</w:t>
      </w:r>
    </w:p>
    <w:p w14:paraId="784C5FD7" w14:textId="77777777" w:rsidR="00E16EF4" w:rsidRPr="00532DAE" w:rsidRDefault="00E16EF4">
      <w:pPr>
        <w:pStyle w:val="Heading4"/>
        <w:spacing w:before="240"/>
      </w:pPr>
      <w:r w:rsidRPr="00532DAE">
        <w:t>Children</w:t>
      </w:r>
    </w:p>
    <w:p w14:paraId="2505A368" w14:textId="25ACC20C" w:rsidR="00E16EF4" w:rsidRDefault="00E16EF4">
      <w:pPr>
        <w:pStyle w:val="ARbody"/>
      </w:pPr>
      <w:r w:rsidRPr="00622BF5">
        <w:t xml:space="preserve">The department </w:t>
      </w:r>
      <w:r>
        <w:t>delivers</w:t>
      </w:r>
      <w:r w:rsidRPr="00622BF5">
        <w:t xml:space="preserve"> and </w:t>
      </w:r>
      <w:r>
        <w:t>oversees</w:t>
      </w:r>
      <w:r w:rsidRPr="00622BF5">
        <w:t xml:space="preserve"> child protection and family services</w:t>
      </w:r>
      <w:r>
        <w:t xml:space="preserve">. These services </w:t>
      </w:r>
      <w:r w:rsidRPr="002A275E">
        <w:t xml:space="preserve">help children, young people and families have better lives. This includes </w:t>
      </w:r>
      <w:r>
        <w:t>delivering</w:t>
      </w:r>
      <w:r w:rsidRPr="002A275E">
        <w:t xml:space="preserve"> statutory child protection services, family support and parenting services</w:t>
      </w:r>
      <w:r>
        <w:t>. It also includes</w:t>
      </w:r>
      <w:r w:rsidRPr="002A275E">
        <w:t xml:space="preserve"> care services and specialist support services</w:t>
      </w:r>
      <w:r>
        <w:t xml:space="preserve"> for</w:t>
      </w:r>
      <w:r w:rsidRPr="002A275E">
        <w:t xml:space="preserve"> young people leaving car</w:t>
      </w:r>
      <w:r>
        <w:t>e. We also focus on supporting</w:t>
      </w:r>
      <w:r w:rsidRPr="002A275E">
        <w:t xml:space="preserve"> Aboriginal children and families. </w:t>
      </w:r>
    </w:p>
    <w:p w14:paraId="541F8DB9" w14:textId="7C9069CC" w:rsidR="007859F9" w:rsidRDefault="007859F9" w:rsidP="007859F9">
      <w:pPr>
        <w:pStyle w:val="ARbody"/>
      </w:pPr>
      <w:r>
        <w:t xml:space="preserve">We design and implement </w:t>
      </w:r>
      <w:r w:rsidRPr="002A275E">
        <w:t>legislation, policies</w:t>
      </w:r>
      <w:r>
        <w:t xml:space="preserve"> and</w:t>
      </w:r>
      <w:r w:rsidRPr="002A275E">
        <w:t xml:space="preserve"> programs</w:t>
      </w:r>
      <w:r>
        <w:t>,</w:t>
      </w:r>
      <w:r w:rsidRPr="002A275E">
        <w:t xml:space="preserve"> </w:t>
      </w:r>
      <w:r>
        <w:t>and provide stewardship and oversight of the delivery of child and family services</w:t>
      </w:r>
      <w:r w:rsidRPr="002A275E">
        <w:t xml:space="preserve">. </w:t>
      </w:r>
    </w:p>
    <w:p w14:paraId="645AA0A0" w14:textId="49F3F328" w:rsidR="00E16EF4" w:rsidRDefault="00E16EF4">
      <w:pPr>
        <w:pStyle w:val="ARbody"/>
      </w:pPr>
      <w:r>
        <w:t xml:space="preserve">The department advances self-determined, Aboriginal-led child and family services. This includes enabling </w:t>
      </w:r>
      <w:r w:rsidRPr="00B0192D">
        <w:t>authorise</w:t>
      </w:r>
      <w:r>
        <w:t>d</w:t>
      </w:r>
      <w:r w:rsidRPr="00B0192D">
        <w:t xml:space="preserve"> Aboriginal </w:t>
      </w:r>
      <w:r>
        <w:t>c</w:t>
      </w:r>
      <w:r w:rsidRPr="00B0192D">
        <w:t>ommunity</w:t>
      </w:r>
      <w:r>
        <w:t>-c</w:t>
      </w:r>
      <w:r w:rsidRPr="00B0192D">
        <w:t xml:space="preserve">ontrolled </w:t>
      </w:r>
      <w:r>
        <w:t>o</w:t>
      </w:r>
      <w:r w:rsidRPr="00B0192D">
        <w:t>rganisations (ACCOs) to undertake specific functions</w:t>
      </w:r>
      <w:r>
        <w:t>.</w:t>
      </w:r>
      <w:r w:rsidRPr="00B0192D">
        <w:t xml:space="preserve"> </w:t>
      </w:r>
      <w:r>
        <w:t>ACCOs</w:t>
      </w:r>
      <w:r w:rsidRPr="00B0192D">
        <w:t xml:space="preserve"> assume responsibility for</w:t>
      </w:r>
      <w:r w:rsidR="00C07BFC">
        <w:t> </w:t>
      </w:r>
      <w:r w:rsidRPr="00B0192D">
        <w:t>Aboriginal children</w:t>
      </w:r>
      <w:r>
        <w:t>.</w:t>
      </w:r>
    </w:p>
    <w:p w14:paraId="03D0FDC9" w14:textId="35D0DABA" w:rsidR="00E16EF4" w:rsidRPr="002A275E" w:rsidRDefault="00E16EF4">
      <w:pPr>
        <w:pStyle w:val="ARbody"/>
      </w:pPr>
      <w:r w:rsidRPr="002A275E">
        <w:t>These services form part of the Children portfolio</w:t>
      </w:r>
      <w:r w:rsidR="00A23D5C">
        <w:t>, which</w:t>
      </w:r>
      <w:r>
        <w:t xml:space="preserve"> includes </w:t>
      </w:r>
      <w:r w:rsidRPr="002A275E">
        <w:t>early years services supported by the</w:t>
      </w:r>
      <w:r w:rsidR="00A27430">
        <w:t> </w:t>
      </w:r>
      <w:r w:rsidRPr="002A275E">
        <w:t>Department of Education and the Department of Health.</w:t>
      </w:r>
    </w:p>
    <w:p w14:paraId="5F52A47C" w14:textId="6195ED50" w:rsidR="00A27430" w:rsidRDefault="00E16EF4">
      <w:pPr>
        <w:pStyle w:val="ARbody"/>
      </w:pPr>
      <w:r>
        <w:t>We work with communities, the child and family services sector, people with lived experience and across government to achieve real change.</w:t>
      </w:r>
      <w:r w:rsidR="00A27430">
        <w:br w:type="page"/>
      </w:r>
    </w:p>
    <w:p w14:paraId="007D01FE" w14:textId="77777777" w:rsidR="00E16EF4" w:rsidRPr="00677965" w:rsidRDefault="00E16EF4">
      <w:pPr>
        <w:pStyle w:val="ARbody"/>
      </w:pPr>
      <w:r w:rsidRPr="00677965">
        <w:lastRenderedPageBreak/>
        <w:t>We have 5 main goals:</w:t>
      </w:r>
    </w:p>
    <w:p w14:paraId="56C211B0" w14:textId="64BB7909" w:rsidR="00E16EF4" w:rsidRPr="002C00BB" w:rsidRDefault="00E16EF4">
      <w:pPr>
        <w:pStyle w:val="ARbullet1"/>
      </w:pPr>
      <w:r>
        <w:t>a</w:t>
      </w:r>
      <w:r w:rsidRPr="00677965">
        <w:t>dvanc</w:t>
      </w:r>
      <w:r>
        <w:t>ing</w:t>
      </w:r>
      <w:r w:rsidRPr="00677965">
        <w:t xml:space="preserve"> Aboriginal self-determination and self-management</w:t>
      </w:r>
      <w:r>
        <w:t>. This includes</w:t>
      </w:r>
      <w:r w:rsidRPr="00677965">
        <w:t xml:space="preserve"> reducing the over-</w:t>
      </w:r>
      <w:r w:rsidRPr="00B74063">
        <w:t xml:space="preserve">representation of Aboriginal children and </w:t>
      </w:r>
      <w:r w:rsidRPr="002C00BB">
        <w:t>families in child protection and care services</w:t>
      </w:r>
    </w:p>
    <w:p w14:paraId="6E2D716A" w14:textId="071F4DBA" w:rsidR="00E16EF4" w:rsidRPr="00E62C5D" w:rsidRDefault="00E16EF4">
      <w:pPr>
        <w:pStyle w:val="ARbullet1"/>
      </w:pPr>
      <w:r>
        <w:t>improving</w:t>
      </w:r>
      <w:r w:rsidRPr="00E62C5D">
        <w:t xml:space="preserve"> outcomes for children and young people in care </w:t>
      </w:r>
    </w:p>
    <w:p w14:paraId="6064EB10" w14:textId="16F252D6" w:rsidR="00E16EF4" w:rsidRPr="00E62C5D" w:rsidRDefault="00E16EF4">
      <w:pPr>
        <w:pStyle w:val="ARbullet1"/>
      </w:pPr>
      <w:r>
        <w:t>shifting</w:t>
      </w:r>
      <w:r w:rsidRPr="00E62C5D">
        <w:t xml:space="preserve"> the focus to earlier intervention to address family needs and risks sooner</w:t>
      </w:r>
    </w:p>
    <w:p w14:paraId="1A9AB2E3" w14:textId="430ED4B8" w:rsidR="00E16EF4" w:rsidRPr="00B74063" w:rsidRDefault="00E16EF4">
      <w:pPr>
        <w:pStyle w:val="ARbullet1"/>
      </w:pPr>
      <w:r>
        <w:t>developing</w:t>
      </w:r>
      <w:r w:rsidRPr="00B74063">
        <w:t xml:space="preserve"> deeper partnerships across government, systems and community to</w:t>
      </w:r>
      <w:r w:rsidR="000440EB">
        <w:t> </w:t>
      </w:r>
      <w:r w:rsidRPr="00B74063">
        <w:t>intervene earlier</w:t>
      </w:r>
    </w:p>
    <w:p w14:paraId="3BCD5B6C" w14:textId="422A2F59" w:rsidR="00E16EF4" w:rsidRPr="00677965" w:rsidRDefault="00E16EF4">
      <w:pPr>
        <w:pStyle w:val="ARbullet1"/>
      </w:pPr>
      <w:r>
        <w:t>building</w:t>
      </w:r>
      <w:r w:rsidRPr="00677965">
        <w:t xml:space="preserve"> a skilled and sustainable workforce and</w:t>
      </w:r>
      <w:r w:rsidR="00DC5960">
        <w:t> </w:t>
      </w:r>
      <w:r w:rsidRPr="00677965">
        <w:t>transform</w:t>
      </w:r>
      <w:r>
        <w:t>ing</w:t>
      </w:r>
      <w:r w:rsidRPr="00677965">
        <w:t xml:space="preserve"> digital capability</w:t>
      </w:r>
      <w:r>
        <w:t>.</w:t>
      </w:r>
    </w:p>
    <w:p w14:paraId="3946639C" w14:textId="391878F3" w:rsidR="00E16EF4" w:rsidRDefault="00E16EF4" w:rsidP="00A27430">
      <w:pPr>
        <w:pStyle w:val="ARbodyafterbullets"/>
        <w:rPr>
          <w:highlight w:val="cyan"/>
        </w:rPr>
      </w:pPr>
      <w:r>
        <w:t>We continual</w:t>
      </w:r>
      <w:r w:rsidR="00102F53">
        <w:t>ly</w:t>
      </w:r>
      <w:r>
        <w:t xml:space="preserve"> build evidence and data to support these priorities.</w:t>
      </w:r>
    </w:p>
    <w:p w14:paraId="67B9A425" w14:textId="1744C25F" w:rsidR="006E61F4" w:rsidRPr="006E61F4" w:rsidRDefault="006E61F4" w:rsidP="00223AD2">
      <w:pPr>
        <w:pStyle w:val="ARbody"/>
      </w:pPr>
      <w:r w:rsidRPr="006E61F4">
        <w:t>We continue to actively embed the Statement of Recognition and binding Recognition Principles into</w:t>
      </w:r>
      <w:r w:rsidR="00223AD2">
        <w:t> </w:t>
      </w:r>
      <w:r w:rsidRPr="006E61F4">
        <w:t>policy, practice and governance frameworks to</w:t>
      </w:r>
      <w:r w:rsidR="00223AD2">
        <w:t> </w:t>
      </w:r>
      <w:r w:rsidRPr="006E61F4">
        <w:t>ensure all decisions makers meet their statutory obligations to recognise, respect and support the right of Aboriginal children and families to self-determination. Embedding these principles affirms our responsibility to uphold Aboriginal cultural rights, strengthen Aboriginal-led decision making</w:t>
      </w:r>
      <w:r w:rsidR="0044256C">
        <w:t>,</w:t>
      </w:r>
      <w:r w:rsidRPr="006E61F4">
        <w:t xml:space="preserve"> and enable responsive and equitable service</w:t>
      </w:r>
      <w:r w:rsidR="00A222EB">
        <w:t> </w:t>
      </w:r>
      <w:r w:rsidRPr="006E61F4">
        <w:t>delivery.</w:t>
      </w:r>
      <w:r w:rsidR="00B25D8D">
        <w:t xml:space="preserve"> </w:t>
      </w:r>
    </w:p>
    <w:p w14:paraId="7C9D1B57" w14:textId="14E47F8A" w:rsidR="00E16EF4" w:rsidRPr="00EB5AC2" w:rsidRDefault="00E16EF4" w:rsidP="00E16EF4">
      <w:pPr>
        <w:pStyle w:val="ARbody"/>
      </w:pPr>
      <w:r w:rsidRPr="00EB5AC2">
        <w:t xml:space="preserve">We work with Aboriginal communities and ACCOs to </w:t>
      </w:r>
      <w:r w:rsidRPr="00B55528">
        <w:rPr>
          <w:rStyle w:val="Emphasis"/>
          <w:i w:val="0"/>
          <w:iCs w:val="0"/>
        </w:rPr>
        <w:t>implement</w:t>
      </w:r>
      <w:r w:rsidRPr="00E6224B">
        <w:rPr>
          <w:rStyle w:val="Emphasis"/>
        </w:rPr>
        <w:t xml:space="preserve"> </w:t>
      </w:r>
      <w:proofErr w:type="spellStart"/>
      <w:r w:rsidRPr="00E6224B">
        <w:rPr>
          <w:rStyle w:val="Emphasis"/>
        </w:rPr>
        <w:t>Wungurilwil</w:t>
      </w:r>
      <w:proofErr w:type="spellEnd"/>
      <w:r w:rsidRPr="00E6224B">
        <w:rPr>
          <w:rStyle w:val="Emphasis"/>
        </w:rPr>
        <w:t xml:space="preserve"> </w:t>
      </w:r>
      <w:proofErr w:type="spellStart"/>
      <w:r w:rsidRPr="00E6224B">
        <w:rPr>
          <w:rStyle w:val="Emphasis"/>
        </w:rPr>
        <w:t>Gapgapduir</w:t>
      </w:r>
      <w:proofErr w:type="spellEnd"/>
      <w:r w:rsidRPr="00E6224B">
        <w:rPr>
          <w:rStyle w:val="Emphasis"/>
        </w:rPr>
        <w:t xml:space="preserve">: Aboriginal Children and Families Agreement. </w:t>
      </w:r>
      <w:r>
        <w:t>This includes a</w:t>
      </w:r>
      <w:r w:rsidRPr="00EB5AC2">
        <w:t xml:space="preserve"> refreshed </w:t>
      </w:r>
      <w:r>
        <w:t>4-</w:t>
      </w:r>
      <w:r w:rsidRPr="00EB5AC2">
        <w:t xml:space="preserve">year strategic action plan. </w:t>
      </w:r>
    </w:p>
    <w:p w14:paraId="490F9CA8" w14:textId="781C5FB1" w:rsidR="00E16EF4" w:rsidRPr="00EB5AC2" w:rsidRDefault="00E16EF4" w:rsidP="00E16EF4">
      <w:pPr>
        <w:pStyle w:val="ARbody"/>
      </w:pPr>
      <w:r w:rsidRPr="00EB5AC2">
        <w:t xml:space="preserve">The strategic action plan focuses on early intervention and </w:t>
      </w:r>
      <w:r w:rsidRPr="00D77B86">
        <w:t>prevention</w:t>
      </w:r>
      <w:r>
        <w:t xml:space="preserve">. It also includes </w:t>
      </w:r>
      <w:r w:rsidR="000440EB">
        <w:br/>
      </w:r>
      <w:r w:rsidRPr="00EB5AC2">
        <w:t>ACCO-led responses to child safety</w:t>
      </w:r>
      <w:r>
        <w:t xml:space="preserve">. Actions emphasise </w:t>
      </w:r>
      <w:r w:rsidRPr="00EB5AC2">
        <w:t>Aboriginal-led knowledge, evidence and</w:t>
      </w:r>
      <w:r w:rsidR="000440EB">
        <w:t> </w:t>
      </w:r>
      <w:r w:rsidRPr="00EB5AC2">
        <w:t>investment.</w:t>
      </w:r>
    </w:p>
    <w:p w14:paraId="1FE1BBDC" w14:textId="643441A6" w:rsidR="00E16EF4" w:rsidRDefault="00E16EF4" w:rsidP="00E16EF4">
      <w:pPr>
        <w:pStyle w:val="ARbody"/>
      </w:pPr>
      <w:r w:rsidRPr="00EB5AC2">
        <w:t xml:space="preserve">We also </w:t>
      </w:r>
      <w:r>
        <w:t>continue</w:t>
      </w:r>
      <w:r w:rsidRPr="00EB5AC2">
        <w:t xml:space="preserve"> to </w:t>
      </w:r>
      <w:r>
        <w:t>implement the</w:t>
      </w:r>
      <w:r w:rsidRPr="00EB5AC2">
        <w:t xml:space="preserve"> recommendations of the </w:t>
      </w:r>
      <w:proofErr w:type="spellStart"/>
      <w:r w:rsidRPr="00DA434D">
        <w:rPr>
          <w:rStyle w:val="Emphasis"/>
        </w:rPr>
        <w:t>Yoorrook</w:t>
      </w:r>
      <w:proofErr w:type="spellEnd"/>
      <w:r w:rsidRPr="00DA434D">
        <w:rPr>
          <w:rStyle w:val="Emphasis"/>
        </w:rPr>
        <w:t xml:space="preserve"> for </w:t>
      </w:r>
      <w:r w:rsidR="00D142FD" w:rsidRPr="00DA434D">
        <w:rPr>
          <w:rStyle w:val="Emphasis"/>
        </w:rPr>
        <w:t>justice</w:t>
      </w:r>
      <w:r w:rsidR="00D142FD" w:rsidRPr="00EB5AC2">
        <w:t xml:space="preserve"> </w:t>
      </w:r>
      <w:r w:rsidR="00D142FD">
        <w:t>r</w:t>
      </w:r>
      <w:r w:rsidR="00D142FD" w:rsidRPr="00EB5AC2">
        <w:t>eport</w:t>
      </w:r>
      <w:r>
        <w:t>. These aim</w:t>
      </w:r>
      <w:r w:rsidRPr="00EB5AC2">
        <w:t xml:space="preserve"> to progress a more self-determined Aboriginal child and family service system</w:t>
      </w:r>
      <w:r>
        <w:t>.</w:t>
      </w:r>
      <w:r w:rsidRPr="00EB5AC2">
        <w:t xml:space="preserve"> </w:t>
      </w:r>
      <w:r>
        <w:t>This will allow</w:t>
      </w:r>
      <w:r w:rsidRPr="00EB5AC2">
        <w:t xml:space="preserve"> Aboriginal children </w:t>
      </w:r>
      <w:r>
        <w:t>to</w:t>
      </w:r>
      <w:r w:rsidRPr="00EB5AC2">
        <w:t xml:space="preserve"> thrive in strong and culturally rich Aboriginal families and</w:t>
      </w:r>
      <w:r w:rsidR="000440EB">
        <w:t> </w:t>
      </w:r>
      <w:r w:rsidRPr="00EB5AC2">
        <w:t>communities.</w:t>
      </w:r>
    </w:p>
    <w:p w14:paraId="31F0B3CD" w14:textId="77777777" w:rsidR="00E16EF4" w:rsidRPr="008C6A0F" w:rsidRDefault="00E16EF4">
      <w:pPr>
        <w:pStyle w:val="Heading4"/>
      </w:pPr>
      <w:r w:rsidRPr="006F7557">
        <w:t>Concessions</w:t>
      </w:r>
    </w:p>
    <w:p w14:paraId="7A2E80E2" w14:textId="7D161268" w:rsidR="00E16EF4" w:rsidRDefault="00E16EF4">
      <w:pPr>
        <w:pStyle w:val="ARbody"/>
      </w:pPr>
      <w:r w:rsidRPr="00067C62">
        <w:t>The department delivers the Household Concessions Program</w:t>
      </w:r>
      <w:r>
        <w:t>. This</w:t>
      </w:r>
      <w:r w:rsidRPr="00067C62">
        <w:t xml:space="preserve"> provides support to Victorians on low incomes or </w:t>
      </w:r>
      <w:r>
        <w:t xml:space="preserve">who are </w:t>
      </w:r>
      <w:r w:rsidRPr="00067C62">
        <w:t>experiencing financial hardship</w:t>
      </w:r>
      <w:r>
        <w:t>. It helps these people</w:t>
      </w:r>
      <w:r w:rsidRPr="00067C62">
        <w:t xml:space="preserve"> meet the rising cost of living. The program</w:t>
      </w:r>
      <w:r>
        <w:t xml:space="preserve"> also provides concessions for</w:t>
      </w:r>
      <w:r w:rsidRPr="00067C62">
        <w:t xml:space="preserve"> eligible households for energy, water and municipal rates</w:t>
      </w:r>
      <w:r>
        <w:t xml:space="preserve"> concessions</w:t>
      </w:r>
      <w:r w:rsidRPr="00067C62">
        <w:t>.</w:t>
      </w:r>
    </w:p>
    <w:p w14:paraId="65134DE5" w14:textId="17DD5712" w:rsidR="00E16EF4" w:rsidRPr="003003C1" w:rsidRDefault="00E16EF4" w:rsidP="00A27430">
      <w:pPr>
        <w:pStyle w:val="Heading4"/>
        <w:rPr>
          <w:caps/>
        </w:rPr>
      </w:pPr>
      <w:r w:rsidRPr="003003C1">
        <w:t xml:space="preserve">Disability </w:t>
      </w:r>
    </w:p>
    <w:p w14:paraId="30A02455" w14:textId="2161FBEC" w:rsidR="00E16EF4" w:rsidRPr="0095643A" w:rsidRDefault="00E16EF4">
      <w:pPr>
        <w:pStyle w:val="ARbody"/>
      </w:pPr>
      <w:r w:rsidRPr="0095643A">
        <w:t>The department works closely with people with disability, their families and carers</w:t>
      </w:r>
      <w:r>
        <w:t>. We aim to</w:t>
      </w:r>
      <w:r w:rsidRPr="0095643A">
        <w:t xml:space="preserve"> make sure everyone is included and can do the things they want to. We </w:t>
      </w:r>
      <w:r w:rsidR="00904360">
        <w:t xml:space="preserve">collaborate </w:t>
      </w:r>
      <w:r w:rsidRPr="0095643A">
        <w:t>with the Victorian Disability Advisory Council and other groups</w:t>
      </w:r>
      <w:r>
        <w:t xml:space="preserve">. Together, we </w:t>
      </w:r>
      <w:r w:rsidRPr="0095643A">
        <w:t>ensure government policies, programs and services include everyone.</w:t>
      </w:r>
    </w:p>
    <w:p w14:paraId="0A9E9810" w14:textId="3701D6D8" w:rsidR="00E16EF4" w:rsidRPr="0095643A" w:rsidRDefault="00E16EF4">
      <w:pPr>
        <w:pStyle w:val="ARbody"/>
      </w:pPr>
      <w:r w:rsidRPr="0095643A">
        <w:t xml:space="preserve">We are responsible for implementing </w:t>
      </w:r>
      <w:r w:rsidRPr="00E6224B">
        <w:rPr>
          <w:rStyle w:val="Emphasis"/>
        </w:rPr>
        <w:t>Inclusive Victoria: state disability plan 2022–2026</w:t>
      </w:r>
      <w:r w:rsidRPr="0095643A">
        <w:t>. We developed this plan together with people with disability</w:t>
      </w:r>
      <w:r>
        <w:t xml:space="preserve">. This included </w:t>
      </w:r>
      <w:r w:rsidRPr="0095643A">
        <w:t>the Victorian Disability Advisory Council.</w:t>
      </w:r>
    </w:p>
    <w:p w14:paraId="013C66B9" w14:textId="677B7867" w:rsidR="00E16EF4" w:rsidRPr="0095643A" w:rsidRDefault="00E16EF4">
      <w:pPr>
        <w:pStyle w:val="ARbody"/>
      </w:pPr>
      <w:r w:rsidRPr="0095643A">
        <w:t>The plan sets out 6 systemic reforms and 175 actions. The reform areas and actions aim to improve life for people with disability</w:t>
      </w:r>
      <w:r>
        <w:t>. This includes focusing on</w:t>
      </w:r>
      <w:r w:rsidRPr="0095643A">
        <w:t xml:space="preserve"> health, mental health and wellbeing, housing, community and online participation, education, employment and safety.</w:t>
      </w:r>
    </w:p>
    <w:p w14:paraId="053D7092" w14:textId="26773A0A" w:rsidR="00E16EF4" w:rsidRPr="0095643A" w:rsidRDefault="00E16EF4">
      <w:pPr>
        <w:pStyle w:val="ARbody"/>
      </w:pPr>
      <w:r>
        <w:t xml:space="preserve">The </w:t>
      </w:r>
      <w:r w:rsidRPr="00E06E63">
        <w:rPr>
          <w:rStyle w:val="Emphasis"/>
        </w:rPr>
        <w:t xml:space="preserve">State disability plan midway report </w:t>
      </w:r>
      <w:r>
        <w:t>was</w:t>
      </w:r>
      <w:r w:rsidRPr="0095643A">
        <w:t xml:space="preserve"> released in December 2024</w:t>
      </w:r>
      <w:r>
        <w:t>. It outlines p</w:t>
      </w:r>
      <w:r w:rsidRPr="0095643A">
        <w:t xml:space="preserve">rogress </w:t>
      </w:r>
      <w:r>
        <w:t>during</w:t>
      </w:r>
      <w:r w:rsidRPr="0095643A">
        <w:t xml:space="preserve"> the first </w:t>
      </w:r>
      <w:r>
        <w:t>2</w:t>
      </w:r>
      <w:r w:rsidRPr="0095643A">
        <w:t xml:space="preserve"> years of the plan</w:t>
      </w:r>
      <w:r>
        <w:t xml:space="preserve">. </w:t>
      </w:r>
    </w:p>
    <w:p w14:paraId="21144EB5" w14:textId="5FFC7907" w:rsidR="00E16EF4" w:rsidRPr="0095643A" w:rsidRDefault="00E16EF4">
      <w:pPr>
        <w:pStyle w:val="ARbody"/>
      </w:pPr>
      <w:r w:rsidRPr="0095643A">
        <w:t>We</w:t>
      </w:r>
      <w:r>
        <w:t xml:space="preserve"> also </w:t>
      </w:r>
      <w:r w:rsidRPr="0095643A">
        <w:t>lead</w:t>
      </w:r>
      <w:r>
        <w:t xml:space="preserve"> the</w:t>
      </w:r>
      <w:r w:rsidRPr="0095643A">
        <w:t xml:space="preserve"> whole-of-government </w:t>
      </w:r>
      <w:r>
        <w:t xml:space="preserve">work on </w:t>
      </w:r>
      <w:r w:rsidRPr="0095643A">
        <w:t>the</w:t>
      </w:r>
      <w:r w:rsidR="00C07BFC">
        <w:t> </w:t>
      </w:r>
      <w:r w:rsidRPr="0095643A">
        <w:t xml:space="preserve">actions in the </w:t>
      </w:r>
      <w:r w:rsidRPr="00E06E63">
        <w:rPr>
          <w:rStyle w:val="Emphasis"/>
        </w:rPr>
        <w:t>Victorian autism plan.</w:t>
      </w:r>
      <w:r w:rsidRPr="00E6224B">
        <w:t xml:space="preserve"> </w:t>
      </w:r>
      <w:r w:rsidRPr="0095643A">
        <w:t>A refreshed plan was released in October 2023</w:t>
      </w:r>
      <w:r>
        <w:t xml:space="preserve">. A </w:t>
      </w:r>
      <w:r w:rsidRPr="0095643A">
        <w:t>report on progress up to December 2024 will be released in</w:t>
      </w:r>
      <w:r w:rsidR="00C07BFC">
        <w:t> </w:t>
      </w:r>
      <w:r w:rsidR="008E270B">
        <w:t xml:space="preserve">early September </w:t>
      </w:r>
      <w:r w:rsidRPr="0095643A">
        <w:t>2025.</w:t>
      </w:r>
    </w:p>
    <w:p w14:paraId="231C4789" w14:textId="138834B2" w:rsidR="00E16EF4" w:rsidRDefault="00E16EF4">
      <w:pPr>
        <w:pStyle w:val="ARbody"/>
      </w:pPr>
      <w:r w:rsidRPr="0095643A">
        <w:t>We deliver the Victorian Disability Advocacy Program. This program helps people with disabilities advocate for themselves</w:t>
      </w:r>
      <w:r>
        <w:t>. It also p</w:t>
      </w:r>
      <w:r w:rsidRPr="0095643A">
        <w:t xml:space="preserve">rovides individual advocacy and advocates for systemic change. </w:t>
      </w:r>
      <w:r>
        <w:t>In addition, we</w:t>
      </w:r>
      <w:r w:rsidRPr="0095643A">
        <w:t xml:space="preserve"> contribute to the</w:t>
      </w:r>
      <w:r w:rsidR="008169F4">
        <w:t> </w:t>
      </w:r>
      <w:r w:rsidRPr="0095643A">
        <w:t>National Disability Insurance Scheme (NDIS)</w:t>
      </w:r>
      <w:r>
        <w:t>. This</w:t>
      </w:r>
      <w:r w:rsidR="00A27430">
        <w:t> </w:t>
      </w:r>
      <w:r w:rsidRPr="0095643A">
        <w:t>helps people with disabilities get the support they</w:t>
      </w:r>
      <w:r w:rsidR="00A27430">
        <w:t> </w:t>
      </w:r>
      <w:r w:rsidRPr="0095643A">
        <w:t>need.</w:t>
      </w:r>
    </w:p>
    <w:p w14:paraId="0EF11BCA" w14:textId="41E26C52" w:rsidR="00E16EF4" w:rsidRPr="0095643A" w:rsidRDefault="00EB4ECE">
      <w:pPr>
        <w:pStyle w:val="ARbody"/>
      </w:pPr>
      <w:r w:rsidRPr="0095643A">
        <w:t>We provide services to people with</w:t>
      </w:r>
      <w:r>
        <w:t xml:space="preserve"> complex needs, which can include those with</w:t>
      </w:r>
      <w:r w:rsidRPr="0095643A">
        <w:t xml:space="preserve"> cognitive impairment</w:t>
      </w:r>
      <w:r>
        <w:t xml:space="preserve"> or those who are </w:t>
      </w:r>
      <w:r w:rsidRPr="0095643A">
        <w:t>involved in the criminal justice</w:t>
      </w:r>
      <w:r w:rsidR="00A222EB">
        <w:t> </w:t>
      </w:r>
      <w:r w:rsidRPr="0095643A">
        <w:t>system</w:t>
      </w:r>
      <w:r>
        <w:t xml:space="preserve">. </w:t>
      </w:r>
    </w:p>
    <w:p w14:paraId="52C3DB60" w14:textId="6A4D669D" w:rsidR="00E16EF4" w:rsidRPr="003003C1" w:rsidRDefault="00B2132B">
      <w:pPr>
        <w:pStyle w:val="ARbody"/>
      </w:pPr>
      <w:r w:rsidRPr="0095643A">
        <w:t xml:space="preserve">We fund and deliver programs </w:t>
      </w:r>
      <w:r>
        <w:t>for</w:t>
      </w:r>
      <w:r w:rsidRPr="0095643A">
        <w:t xml:space="preserve"> this cohort</w:t>
      </w:r>
      <w:r>
        <w:t>. This</w:t>
      </w:r>
      <w:r w:rsidR="00C07BFC">
        <w:t> </w:t>
      </w:r>
      <w:r>
        <w:t>includes forensic disability services, as well as</w:t>
      </w:r>
      <w:r w:rsidR="00C07BFC">
        <w:t> </w:t>
      </w:r>
      <w:r>
        <w:t>other programs often referred to as complex needs</w:t>
      </w:r>
      <w:r w:rsidR="0067721F">
        <w:t> </w:t>
      </w:r>
      <w:r>
        <w:t>services.</w:t>
      </w:r>
    </w:p>
    <w:p w14:paraId="3EC3E2E8" w14:textId="64649D62" w:rsidR="00A27430" w:rsidRDefault="00E16EF4">
      <w:pPr>
        <w:pStyle w:val="ARbody"/>
      </w:pPr>
      <w:r w:rsidRPr="00270D0F">
        <w:t xml:space="preserve">We operate Victoria’s largest portfolio of </w:t>
      </w:r>
      <w:r>
        <w:t>s</w:t>
      </w:r>
      <w:r w:rsidRPr="00270D0F">
        <w:t xml:space="preserve">pecialist </w:t>
      </w:r>
      <w:r>
        <w:t>d</w:t>
      </w:r>
      <w:r w:rsidRPr="00270D0F">
        <w:t xml:space="preserve">isability </w:t>
      </w:r>
      <w:r>
        <w:t>a</w:t>
      </w:r>
      <w:r w:rsidRPr="00270D0F">
        <w:t>ccommodation</w:t>
      </w:r>
      <w:r>
        <w:t>. We</w:t>
      </w:r>
      <w:r w:rsidRPr="00270D0F">
        <w:t xml:space="preserve"> </w:t>
      </w:r>
      <w:r>
        <w:t>provide</w:t>
      </w:r>
      <w:r w:rsidRPr="00270D0F">
        <w:t xml:space="preserve"> homes </w:t>
      </w:r>
      <w:r>
        <w:t>for</w:t>
      </w:r>
      <w:r w:rsidR="000440EB">
        <w:t> </w:t>
      </w:r>
      <w:r>
        <w:t>more than 2,500</w:t>
      </w:r>
      <w:r w:rsidRPr="00270D0F">
        <w:t xml:space="preserve"> Victorians with disability.</w:t>
      </w:r>
      <w:r w:rsidR="00A27430">
        <w:br w:type="page"/>
      </w:r>
    </w:p>
    <w:p w14:paraId="7BE4A529" w14:textId="48E104C6" w:rsidR="00E16EF4" w:rsidRPr="003003C1" w:rsidRDefault="00E16EF4">
      <w:pPr>
        <w:pStyle w:val="ARbody"/>
      </w:pPr>
      <w:bookmarkStart w:id="35" w:name="_Hlk205554402"/>
      <w:r>
        <w:lastRenderedPageBreak/>
        <w:t xml:space="preserve">The Senior Practitioner works under the </w:t>
      </w:r>
      <w:r w:rsidRPr="00E06E63">
        <w:rPr>
          <w:rStyle w:val="Emphasis"/>
        </w:rPr>
        <w:t>Disability Act 2006.</w:t>
      </w:r>
      <w:r>
        <w:t xml:space="preserve"> They are responsible for protecting </w:t>
      </w:r>
      <w:r w:rsidRPr="003003C1">
        <w:t>the rights of people with disability who are subject to restrictive practices and compulsory treatment</w:t>
      </w:r>
      <w:r>
        <w:t xml:space="preserve">. They also aim to reduce and eliminate </w:t>
      </w:r>
      <w:r w:rsidRPr="003003C1">
        <w:t>restrictive practices.</w:t>
      </w:r>
      <w:r>
        <w:t xml:space="preserve"> </w:t>
      </w:r>
      <w:r w:rsidRPr="003003C1">
        <w:t>The Senior Practitioner safeguards the rights of people with disability</w:t>
      </w:r>
      <w:r>
        <w:t>. They</w:t>
      </w:r>
      <w:r w:rsidR="00A27430">
        <w:t> </w:t>
      </w:r>
      <w:r>
        <w:t xml:space="preserve">provide </w:t>
      </w:r>
      <w:r w:rsidRPr="003003C1">
        <w:t xml:space="preserve">training, advice and resources </w:t>
      </w:r>
      <w:r>
        <w:t>for</w:t>
      </w:r>
      <w:r w:rsidRPr="003003C1">
        <w:t xml:space="preserve"> the</w:t>
      </w:r>
      <w:r w:rsidR="000440EB">
        <w:t> </w:t>
      </w:r>
      <w:r w:rsidRPr="003003C1">
        <w:t>disability sector</w:t>
      </w:r>
      <w:r>
        <w:t>. This work</w:t>
      </w:r>
      <w:r w:rsidRPr="003003C1">
        <w:t xml:space="preserve"> improve</w:t>
      </w:r>
      <w:r>
        <w:t xml:space="preserve">s </w:t>
      </w:r>
      <w:r w:rsidRPr="003003C1">
        <w:t xml:space="preserve">knowledge and skills </w:t>
      </w:r>
      <w:r>
        <w:t>about the best way to</w:t>
      </w:r>
      <w:r w:rsidRPr="003003C1">
        <w:t xml:space="preserve"> people with</w:t>
      </w:r>
      <w:r w:rsidR="00A27430">
        <w:t> </w:t>
      </w:r>
      <w:r w:rsidRPr="003003C1">
        <w:t>disability.</w:t>
      </w:r>
    </w:p>
    <w:bookmarkEnd w:id="35"/>
    <w:p w14:paraId="0DA10FA8" w14:textId="77777777" w:rsidR="00E16EF4" w:rsidRPr="00EF0591" w:rsidRDefault="00E16EF4">
      <w:pPr>
        <w:pStyle w:val="Heading4"/>
        <w:rPr>
          <w:b w:val="0"/>
          <w:bCs w:val="0"/>
          <w:caps/>
        </w:rPr>
      </w:pPr>
      <w:r w:rsidRPr="00EF0591">
        <w:t>Emergency management</w:t>
      </w:r>
    </w:p>
    <w:p w14:paraId="76E259F3" w14:textId="4EB214C5" w:rsidR="00E16EF4" w:rsidRDefault="00E16EF4">
      <w:pPr>
        <w:pStyle w:val="ARbody"/>
      </w:pPr>
      <w:r w:rsidRPr="00EF0591">
        <w:t xml:space="preserve">The department helps Victorians </w:t>
      </w:r>
      <w:r>
        <w:t>affected</w:t>
      </w:r>
      <w:r w:rsidRPr="00EF0591">
        <w:t xml:space="preserve"> by major emergencies</w:t>
      </w:r>
      <w:r>
        <w:t>.</w:t>
      </w:r>
      <w:r w:rsidRPr="00EF0591">
        <w:t xml:space="preserve"> </w:t>
      </w:r>
      <w:r>
        <w:t>This includes helping them with</w:t>
      </w:r>
      <w:r w:rsidRPr="00EF0591">
        <w:t xml:space="preserve"> immediate need</w:t>
      </w:r>
      <w:r>
        <w:t xml:space="preserve">s as well as </w:t>
      </w:r>
      <w:r w:rsidRPr="00EF0591">
        <w:t>recover</w:t>
      </w:r>
      <w:r>
        <w:t xml:space="preserve">y. We also </w:t>
      </w:r>
      <w:r w:rsidR="00994DFC">
        <w:t xml:space="preserve">focus </w:t>
      </w:r>
      <w:r>
        <w:t>on</w:t>
      </w:r>
      <w:r w:rsidR="00A27430">
        <w:t> </w:t>
      </w:r>
      <w:r w:rsidRPr="00EF0591">
        <w:t>Victorians who face greater risk</w:t>
      </w:r>
      <w:r>
        <w:t xml:space="preserve"> during</w:t>
      </w:r>
      <w:r w:rsidR="00A27430">
        <w:t> </w:t>
      </w:r>
      <w:r>
        <w:t>emergencies</w:t>
      </w:r>
      <w:r w:rsidRPr="00EF0591">
        <w:t xml:space="preserve">. </w:t>
      </w:r>
    </w:p>
    <w:p w14:paraId="64A1A8C6" w14:textId="1E3FE024" w:rsidR="00E16EF4" w:rsidRDefault="00E16EF4">
      <w:pPr>
        <w:pStyle w:val="ARbody"/>
      </w:pPr>
      <w:r>
        <w:t>Under the</w:t>
      </w:r>
      <w:r w:rsidRPr="00EF0591">
        <w:t xml:space="preserve"> </w:t>
      </w:r>
      <w:r w:rsidRPr="00E6224B">
        <w:rPr>
          <w:rStyle w:val="Emphasis"/>
        </w:rPr>
        <w:t>State emergency management plan</w:t>
      </w:r>
      <w:r>
        <w:t>, we</w:t>
      </w:r>
      <w:r w:rsidR="00A27430">
        <w:t> </w:t>
      </w:r>
      <w:r>
        <w:t xml:space="preserve">coordinate </w:t>
      </w:r>
      <w:r w:rsidRPr="00EF0591">
        <w:t>emergency and temporary accommodation and psychosocial supports</w:t>
      </w:r>
      <w:r>
        <w:t>. We</w:t>
      </w:r>
      <w:r w:rsidR="000440EB">
        <w:t> </w:t>
      </w:r>
      <w:r>
        <w:t>also provide e</w:t>
      </w:r>
      <w:r w:rsidRPr="00EF0591">
        <w:t xml:space="preserve">mergency </w:t>
      </w:r>
      <w:r>
        <w:t>r</w:t>
      </w:r>
      <w:r w:rsidRPr="00EF0591">
        <w:t xml:space="preserve">elief </w:t>
      </w:r>
      <w:r>
        <w:t>p</w:t>
      </w:r>
      <w:r w:rsidRPr="00EF0591">
        <w:t>ayments</w:t>
      </w:r>
      <w:r>
        <w:t xml:space="preserve"> and</w:t>
      </w:r>
      <w:r w:rsidRPr="00EF0591">
        <w:t xml:space="preserve"> </w:t>
      </w:r>
      <w:r>
        <w:t>e</w:t>
      </w:r>
      <w:r w:rsidRPr="00EF0591">
        <w:t>mergency</w:t>
      </w:r>
      <w:r>
        <w:t xml:space="preserve"> re</w:t>
      </w:r>
      <w:r w:rsidRPr="00EF0591">
        <w:t xml:space="preserve">-establishment </w:t>
      </w:r>
      <w:r>
        <w:t>a</w:t>
      </w:r>
      <w:r w:rsidRPr="00EF0591">
        <w:t xml:space="preserve">ssistance </w:t>
      </w:r>
      <w:r>
        <w:t>p</w:t>
      </w:r>
      <w:r w:rsidRPr="00EF0591">
        <w:t>ayments</w:t>
      </w:r>
      <w:r>
        <w:t>.</w:t>
      </w:r>
      <w:r w:rsidRPr="00EF0591">
        <w:t xml:space="preserve"> </w:t>
      </w:r>
      <w:r>
        <w:t>We deliver</w:t>
      </w:r>
      <w:r w:rsidRPr="00EF0591">
        <w:t xml:space="preserve"> the Emergency Recovery Support</w:t>
      </w:r>
      <w:r w:rsidR="00A27430">
        <w:t> </w:t>
      </w:r>
      <w:r w:rsidRPr="00EF0591">
        <w:t>Program.</w:t>
      </w:r>
      <w:r w:rsidRPr="00771FAB" w:rsidDel="00152281">
        <w:t xml:space="preserve"> </w:t>
      </w:r>
    </w:p>
    <w:p w14:paraId="28D4AA8B" w14:textId="77777777" w:rsidR="00E16EF4" w:rsidRPr="001A78ED" w:rsidRDefault="00E16EF4">
      <w:pPr>
        <w:pStyle w:val="Heading4"/>
        <w:rPr>
          <w:b w:val="0"/>
          <w:bCs w:val="0"/>
          <w:caps/>
        </w:rPr>
      </w:pPr>
      <w:r w:rsidRPr="001A78ED">
        <w:t xml:space="preserve">Housing </w:t>
      </w:r>
    </w:p>
    <w:p w14:paraId="019F5E95" w14:textId="650E4DF0" w:rsidR="00E16EF4" w:rsidRDefault="00E16EF4">
      <w:pPr>
        <w:pStyle w:val="ARbody"/>
      </w:pPr>
      <w:r w:rsidRPr="001A78ED">
        <w:t xml:space="preserve">The department </w:t>
      </w:r>
      <w:r>
        <w:t>supports Victorians</w:t>
      </w:r>
      <w:r w:rsidRPr="004B178E">
        <w:t xml:space="preserve"> to access safe</w:t>
      </w:r>
      <w:r>
        <w:t xml:space="preserve"> and affordable</w:t>
      </w:r>
      <w:r w:rsidRPr="004B178E">
        <w:t xml:space="preserve"> housing</w:t>
      </w:r>
      <w:r>
        <w:t>.</w:t>
      </w:r>
      <w:r w:rsidRPr="00117B38">
        <w:t xml:space="preserve"> </w:t>
      </w:r>
      <w:r>
        <w:t>W</w:t>
      </w:r>
      <w:r w:rsidRPr="004904DC">
        <w:t xml:space="preserve">e </w:t>
      </w:r>
      <w:r>
        <w:t xml:space="preserve">work with people with lived experience, the community, </w:t>
      </w:r>
      <w:r w:rsidRPr="001A78ED">
        <w:t>industry and the housing and homelessness sectors</w:t>
      </w:r>
      <w:r>
        <w:t>. This</w:t>
      </w:r>
      <w:r w:rsidR="003B6EFC">
        <w:t> </w:t>
      </w:r>
      <w:r>
        <w:t>work</w:t>
      </w:r>
      <w:r w:rsidR="003B6EFC">
        <w:t> </w:t>
      </w:r>
      <w:r>
        <w:t>includes:</w:t>
      </w:r>
    </w:p>
    <w:p w14:paraId="59FC2390" w14:textId="547872D0" w:rsidR="00E16EF4" w:rsidRDefault="00E16EF4">
      <w:pPr>
        <w:pStyle w:val="ARbullet1"/>
      </w:pPr>
      <w:r>
        <w:t xml:space="preserve">stewarding and funding </w:t>
      </w:r>
      <w:r w:rsidRPr="00D14A50">
        <w:t>the social housing, and</w:t>
      </w:r>
      <w:r w:rsidR="004C72A5">
        <w:t> </w:t>
      </w:r>
      <w:r w:rsidRPr="00D14A50">
        <w:t>homelessness systems</w:t>
      </w:r>
    </w:p>
    <w:p w14:paraId="38ED3650" w14:textId="02A93DCE" w:rsidR="00E16EF4" w:rsidRDefault="00E16EF4">
      <w:pPr>
        <w:pStyle w:val="ARbullet1"/>
      </w:pPr>
      <w:r>
        <w:t xml:space="preserve">delivering and funding more than </w:t>
      </w:r>
      <w:r w:rsidRPr="003652A6">
        <w:t>13,300</w:t>
      </w:r>
      <w:r>
        <w:t xml:space="preserve"> homes as part of </w:t>
      </w:r>
      <w:r w:rsidRPr="002B31D1">
        <w:t>the $6.3 billion Big Housing Build and Regional Housing Fund</w:t>
      </w:r>
    </w:p>
    <w:p w14:paraId="7F4968AF" w14:textId="3F92255F" w:rsidR="00E16EF4" w:rsidRDefault="00E16EF4">
      <w:pPr>
        <w:pStyle w:val="ARbullet1"/>
      </w:pPr>
      <w:r>
        <w:t>managing</w:t>
      </w:r>
      <w:r w:rsidRPr="0053581B">
        <w:t xml:space="preserve"> the government’s social housing</w:t>
      </w:r>
      <w:r>
        <w:t xml:space="preserve"> assets. This includes around</w:t>
      </w:r>
      <w:r w:rsidRPr="001A78ED">
        <w:t xml:space="preserve"> </w:t>
      </w:r>
      <w:r w:rsidRPr="0053581B">
        <w:t>64,000</w:t>
      </w:r>
      <w:r w:rsidRPr="001A78ED">
        <w:t xml:space="preserve"> public</w:t>
      </w:r>
      <w:r w:rsidR="003B6EFC">
        <w:t> </w:t>
      </w:r>
      <w:r w:rsidRPr="001A78ED">
        <w:t>ho</w:t>
      </w:r>
      <w:r>
        <w:t>mes</w:t>
      </w:r>
    </w:p>
    <w:p w14:paraId="3E4208AC" w14:textId="0F3983BC" w:rsidR="00E16EF4" w:rsidRDefault="00E16EF4">
      <w:pPr>
        <w:pStyle w:val="ARbullet1"/>
      </w:pPr>
      <w:r>
        <w:t>funding and overseeing the homelessness service system. This includes reducing rough sleeping and stopping people becoming homeless in the first place</w:t>
      </w:r>
    </w:p>
    <w:p w14:paraId="06537525" w14:textId="4A9821B7" w:rsidR="00E16EF4" w:rsidRDefault="00E16EF4">
      <w:pPr>
        <w:pStyle w:val="ARbullet1"/>
      </w:pPr>
      <w:r>
        <w:t xml:space="preserve">delivering dedicated housing and services for Aboriginal people. This work is in line with the self-determined </w:t>
      </w:r>
      <w:hyperlink r:id="rId35" w:tgtFrame="_blank" w:history="1">
        <w:r w:rsidRPr="008D68DC">
          <w:rPr>
            <w:rStyle w:val="Hyperlink"/>
            <w:i/>
            <w:iCs/>
          </w:rPr>
          <w:t>Mana-</w:t>
        </w:r>
        <w:proofErr w:type="spellStart"/>
        <w:r w:rsidRPr="008D68DC">
          <w:rPr>
            <w:rStyle w:val="Hyperlink"/>
            <w:i/>
            <w:iCs/>
          </w:rPr>
          <w:t>na</w:t>
        </w:r>
        <w:proofErr w:type="spellEnd"/>
        <w:r w:rsidRPr="008D68DC">
          <w:rPr>
            <w:rStyle w:val="Hyperlink"/>
            <w:i/>
            <w:iCs/>
          </w:rPr>
          <w:t xml:space="preserve"> </w:t>
        </w:r>
        <w:proofErr w:type="spellStart"/>
        <w:r w:rsidRPr="008D68DC">
          <w:rPr>
            <w:rStyle w:val="Hyperlink"/>
            <w:i/>
            <w:iCs/>
          </w:rPr>
          <w:t>woorn-tyeen</w:t>
        </w:r>
        <w:proofErr w:type="spellEnd"/>
        <w:r w:rsidRPr="008D68DC">
          <w:rPr>
            <w:rStyle w:val="Hyperlink"/>
            <w:i/>
            <w:iCs/>
          </w:rPr>
          <w:t xml:space="preserve"> maar-</w:t>
        </w:r>
        <w:proofErr w:type="spellStart"/>
        <w:r w:rsidRPr="008D68DC">
          <w:rPr>
            <w:rStyle w:val="Hyperlink"/>
            <w:i/>
            <w:iCs/>
          </w:rPr>
          <w:t>takoort</w:t>
        </w:r>
        <w:proofErr w:type="spellEnd"/>
      </w:hyperlink>
      <w:r w:rsidR="009A30E7">
        <w:rPr>
          <w:rStyle w:val="FootnoteReference"/>
        </w:rPr>
        <w:footnoteReference w:id="4"/>
      </w:r>
      <w:r>
        <w:t>, the Victorian Aboriginal Housing and Homelessness Framework</w:t>
      </w:r>
    </w:p>
    <w:p w14:paraId="4AC1CAEE" w14:textId="4118D20E" w:rsidR="00E16EF4" w:rsidRDefault="008169F4" w:rsidP="005B3F6F">
      <w:pPr>
        <w:pStyle w:val="ARbullet1"/>
      </w:pPr>
      <w:r>
        <w:br w:type="column"/>
      </w:r>
      <w:r w:rsidR="00E16EF4">
        <w:t>upgrading public housing and redeveloping</w:t>
      </w:r>
      <w:r w:rsidR="00E16EF4" w:rsidRPr="001A78ED">
        <w:t xml:space="preserve"> 44</w:t>
      </w:r>
      <w:r w:rsidR="00BF764B">
        <w:t> </w:t>
      </w:r>
      <w:r w:rsidR="00E16EF4" w:rsidRPr="001A78ED">
        <w:t>public housing towers across Melbourne</w:t>
      </w:r>
      <w:r w:rsidR="00E16EF4">
        <w:t>. This will ensure homes meet the needs of residents into the future</w:t>
      </w:r>
    </w:p>
    <w:p w14:paraId="0792F909" w14:textId="66314159" w:rsidR="00E16EF4" w:rsidRPr="001A78ED" w:rsidRDefault="00E16EF4">
      <w:pPr>
        <w:pStyle w:val="ARbullet1"/>
      </w:pPr>
      <w:r>
        <w:t>supporting the relocation of residents in older public housing in line with their needs, preferences and departmental policies</w:t>
      </w:r>
    </w:p>
    <w:p w14:paraId="2C688951" w14:textId="2461DD31" w:rsidR="00E16EF4" w:rsidRDefault="00E16EF4">
      <w:pPr>
        <w:pStyle w:val="ARbullet1"/>
      </w:pPr>
      <w:r>
        <w:t xml:space="preserve">managing </w:t>
      </w:r>
      <w:r w:rsidRPr="001A78ED">
        <w:t>the Victorian Housing Register</w:t>
      </w:r>
      <w:r>
        <w:t>. This</w:t>
      </w:r>
      <w:r w:rsidR="003B6EFC">
        <w:t> </w:t>
      </w:r>
      <w:r>
        <w:t xml:space="preserve">includes helping people apply for </w:t>
      </w:r>
      <w:r w:rsidR="00AE706B">
        <w:br/>
      </w:r>
      <w:r>
        <w:t xml:space="preserve">long-term social housing </w:t>
      </w:r>
    </w:p>
    <w:p w14:paraId="4168A0FF" w14:textId="7923EC37" w:rsidR="00E16EF4" w:rsidRDefault="00E16EF4">
      <w:pPr>
        <w:pStyle w:val="ARbullet1"/>
      </w:pPr>
      <w:r>
        <w:t xml:space="preserve">undertaking </w:t>
      </w:r>
      <w:r w:rsidRPr="00E266A5">
        <w:t>meaningful engagement</w:t>
      </w:r>
      <w:r>
        <w:t xml:space="preserve"> on housing. This includes working</w:t>
      </w:r>
      <w:r w:rsidRPr="00E266A5">
        <w:t xml:space="preserve"> with </w:t>
      </w:r>
      <w:r>
        <w:t>residents, people with lived experience of homelessness and the</w:t>
      </w:r>
      <w:r w:rsidRPr="00E266A5">
        <w:t xml:space="preserve"> community</w:t>
      </w:r>
      <w:r>
        <w:t>.</w:t>
      </w:r>
      <w:r w:rsidRPr="00E266A5">
        <w:t xml:space="preserve"> </w:t>
      </w:r>
    </w:p>
    <w:p w14:paraId="65F535CB" w14:textId="5021E6CD" w:rsidR="00E16EF4" w:rsidRDefault="00E16EF4">
      <w:pPr>
        <w:pStyle w:val="ARbodyafterbullets"/>
      </w:pPr>
      <w:r>
        <w:t xml:space="preserve">In 2024–25, we focused on 4 objectives: </w:t>
      </w:r>
    </w:p>
    <w:p w14:paraId="36D0258B" w14:textId="77777777" w:rsidR="00A5584E" w:rsidRPr="001A78ED" w:rsidRDefault="00A5584E" w:rsidP="00A5584E">
      <w:pPr>
        <w:pStyle w:val="ARbullet1"/>
      </w:pPr>
      <w:r>
        <w:t>reducing homelessness through housing and support</w:t>
      </w:r>
    </w:p>
    <w:p w14:paraId="6A3D1298" w14:textId="77777777" w:rsidR="00A5584E" w:rsidRPr="001A78ED" w:rsidRDefault="00A5584E" w:rsidP="00A5584E">
      <w:pPr>
        <w:pStyle w:val="ARbullet1"/>
      </w:pPr>
      <w:r w:rsidRPr="001A78ED">
        <w:t>enabl</w:t>
      </w:r>
      <w:r>
        <w:t>ing</w:t>
      </w:r>
      <w:r w:rsidRPr="001A78ED">
        <w:t xml:space="preserve"> Aboriginal self-determination </w:t>
      </w:r>
    </w:p>
    <w:p w14:paraId="43FF4DE6" w14:textId="74C12F9B" w:rsidR="00A5584E" w:rsidRPr="001A78ED" w:rsidRDefault="00A5584E" w:rsidP="00A5584E">
      <w:pPr>
        <w:pStyle w:val="ARbullet1"/>
      </w:pPr>
      <w:r w:rsidRPr="001A78ED">
        <w:t>deliver</w:t>
      </w:r>
      <w:r>
        <w:t>ing</w:t>
      </w:r>
      <w:r w:rsidRPr="001A78ED">
        <w:t xml:space="preserve"> more social and affordable housing</w:t>
      </w:r>
      <w:r>
        <w:t xml:space="preserve"> </w:t>
      </w:r>
    </w:p>
    <w:p w14:paraId="345C53FC" w14:textId="77777777" w:rsidR="00A5584E" w:rsidRDefault="00A5584E" w:rsidP="00A5584E">
      <w:pPr>
        <w:pStyle w:val="ARbullet1"/>
        <w:rPr>
          <w:rFonts w:asciiTheme="minorHAnsi" w:eastAsiaTheme="minorEastAsia" w:hAnsiTheme="minorHAnsi" w:cstheme="minorBidi"/>
          <w:szCs w:val="20"/>
        </w:rPr>
      </w:pPr>
      <w:r w:rsidRPr="001A78ED">
        <w:t>deliver</w:t>
      </w:r>
      <w:r>
        <w:t>ing</w:t>
      </w:r>
      <w:r w:rsidRPr="001A78ED">
        <w:t xml:space="preserve"> better and more comfortable public housing.</w:t>
      </w:r>
    </w:p>
    <w:p w14:paraId="53BC2814" w14:textId="77777777" w:rsidR="00857D9F" w:rsidRPr="00BF4DDC" w:rsidRDefault="00857D9F" w:rsidP="00857D9F">
      <w:pPr>
        <w:pStyle w:val="Heading4"/>
        <w:rPr>
          <w:b w:val="0"/>
          <w:bCs w:val="0"/>
          <w:caps/>
        </w:rPr>
      </w:pPr>
      <w:r w:rsidRPr="00857D9F">
        <w:t>LGBTIQA</w:t>
      </w:r>
      <w:r>
        <w:t>+ equality</w:t>
      </w:r>
    </w:p>
    <w:p w14:paraId="745A58A3" w14:textId="77777777" w:rsidR="00857D9F" w:rsidRPr="00BF4DDC" w:rsidRDefault="00857D9F" w:rsidP="00857D9F">
      <w:pPr>
        <w:pStyle w:val="ARbody"/>
        <w:rPr>
          <w:b/>
          <w:szCs w:val="20"/>
        </w:rPr>
      </w:pPr>
      <w:r w:rsidRPr="00BF4DDC">
        <w:rPr>
          <w:szCs w:val="20"/>
        </w:rPr>
        <w:t xml:space="preserve">Through the government’s 10-year LGBTIQA+ strategy, </w:t>
      </w:r>
      <w:r w:rsidRPr="00BF4DDC">
        <w:rPr>
          <w:rStyle w:val="Emphasis"/>
        </w:rPr>
        <w:t>Pride in our future 2022–2032</w:t>
      </w:r>
      <w:r w:rsidRPr="00BF4DDC">
        <w:rPr>
          <w:szCs w:val="20"/>
        </w:rPr>
        <w:t xml:space="preserve">, the department drives Victoria’s nation-leading work to create a more inclusive and cohesive state for all LGBTIQA+ Victorians to live as their authentic selves. </w:t>
      </w:r>
    </w:p>
    <w:p w14:paraId="49074918" w14:textId="77777777" w:rsidR="00857D9F" w:rsidRPr="00BF4DDC" w:rsidRDefault="00857D9F" w:rsidP="00857D9F">
      <w:pPr>
        <w:pStyle w:val="ARbody"/>
        <w:rPr>
          <w:szCs w:val="20"/>
        </w:rPr>
      </w:pPr>
      <w:r w:rsidRPr="00BF4DDC">
        <w:rPr>
          <w:szCs w:val="20"/>
        </w:rPr>
        <w:t>We do this by listening to and elevating the voices of LGBTIQA+ Victorians across all government departments. We ensure policies and programs support and celebrate the diversity of Victoria’s LGBTIQA+ communities.</w:t>
      </w:r>
    </w:p>
    <w:p w14:paraId="378BFC81" w14:textId="77777777" w:rsidR="00857D9F" w:rsidRPr="00F7000C" w:rsidRDefault="00857D9F" w:rsidP="00857D9F">
      <w:pPr>
        <w:pStyle w:val="ARbody"/>
      </w:pPr>
      <w:r>
        <w:t>We boost the capacity of LGBTIQA+ organisations, services and events to increase visibility, resilience and capability, ensuring LGBTIQA+ communities are safe and strong.</w:t>
      </w:r>
    </w:p>
    <w:p w14:paraId="523BFC75" w14:textId="7FF58CD9" w:rsidR="00E16EF4" w:rsidRPr="00DC5120" w:rsidRDefault="00E16EF4">
      <w:pPr>
        <w:pStyle w:val="Heading4"/>
        <w:rPr>
          <w:highlight w:val="cyan"/>
        </w:rPr>
      </w:pPr>
      <w:r w:rsidRPr="00D71A8F">
        <w:t>Preventi</w:t>
      </w:r>
      <w:r>
        <w:t xml:space="preserve">ng </w:t>
      </w:r>
      <w:r w:rsidRPr="00D71A8F">
        <w:t>family violence</w:t>
      </w:r>
    </w:p>
    <w:p w14:paraId="6250EEDE" w14:textId="6D1EF000" w:rsidR="00E16EF4" w:rsidRDefault="00E16EF4" w:rsidP="003B6EFC">
      <w:pPr>
        <w:pStyle w:val="ARbody"/>
      </w:pPr>
      <w:r w:rsidRPr="00D71A8F">
        <w:t>The department is leading efforts to create a Victoria free from family and sexual violence</w:t>
      </w:r>
      <w:r>
        <w:t>. This</w:t>
      </w:r>
      <w:r w:rsidR="003B6EFC">
        <w:t> </w:t>
      </w:r>
      <w:r>
        <w:t xml:space="preserve">goal is </w:t>
      </w:r>
      <w:r w:rsidRPr="00D71A8F">
        <w:t xml:space="preserve">set out in </w:t>
      </w:r>
      <w:r w:rsidRPr="00E6224B">
        <w:rPr>
          <w:rStyle w:val="Emphasis"/>
        </w:rPr>
        <w:t>Ending family violence: Victoria’s 10-year plan for change.</w:t>
      </w:r>
      <w:r w:rsidRPr="00D71A8F">
        <w:t xml:space="preserve"> </w:t>
      </w:r>
    </w:p>
    <w:p w14:paraId="55E896BC" w14:textId="102CACCD" w:rsidR="00E16EF4" w:rsidRPr="00D71A8F" w:rsidRDefault="00E16EF4" w:rsidP="003B6EFC">
      <w:pPr>
        <w:pStyle w:val="ARbody"/>
      </w:pPr>
      <w:r>
        <w:t>We put v</w:t>
      </w:r>
      <w:r w:rsidRPr="00D71A8F">
        <w:t xml:space="preserve">ictim survivors’ voices and lived experience </w:t>
      </w:r>
      <w:r>
        <w:t>at the centre of</w:t>
      </w:r>
      <w:r w:rsidRPr="00D71A8F">
        <w:t xml:space="preserve"> this vision</w:t>
      </w:r>
      <w:r>
        <w:t>. Their views</w:t>
      </w:r>
      <w:r w:rsidRPr="00D71A8F">
        <w:t xml:space="preserve"> </w:t>
      </w:r>
      <w:r>
        <w:t>shape</w:t>
      </w:r>
      <w:r w:rsidRPr="00D71A8F">
        <w:t xml:space="preserve"> policies, programs and system reforms</w:t>
      </w:r>
      <w:r>
        <w:t>. We</w:t>
      </w:r>
      <w:r w:rsidR="003B6EFC">
        <w:t> </w:t>
      </w:r>
      <w:r>
        <w:t xml:space="preserve">continue to engage with victim survivors. </w:t>
      </w:r>
      <w:r>
        <w:lastRenderedPageBreak/>
        <w:t>This</w:t>
      </w:r>
      <w:r w:rsidR="003B6EFC">
        <w:t> </w:t>
      </w:r>
      <w:r>
        <w:t xml:space="preserve">includes </w:t>
      </w:r>
      <w:r w:rsidRPr="00D71A8F">
        <w:t>through the Victim Survivors Advisory</w:t>
      </w:r>
      <w:r w:rsidR="003B6EFC">
        <w:t> </w:t>
      </w:r>
      <w:r w:rsidRPr="00D71A8F">
        <w:t>Council.</w:t>
      </w:r>
    </w:p>
    <w:p w14:paraId="56EB8D33" w14:textId="7C5BDA42" w:rsidR="00E16EF4" w:rsidRDefault="00E16EF4" w:rsidP="003B6EFC">
      <w:pPr>
        <w:pStyle w:val="ARbody"/>
      </w:pPr>
      <w:r w:rsidRPr="00D71A8F">
        <w:t xml:space="preserve">Self-determination remains a guiding principle. Through the </w:t>
      </w:r>
      <w:r w:rsidRPr="00E6224B">
        <w:rPr>
          <w:rStyle w:val="Emphasis"/>
        </w:rPr>
        <w:t>Dhelk Dja: safe our way</w:t>
      </w:r>
      <w:r w:rsidRPr="00D71A8F">
        <w:t xml:space="preserve"> agreement, </w:t>
      </w:r>
      <w:r>
        <w:t>we partner</w:t>
      </w:r>
      <w:r w:rsidRPr="00D71A8F">
        <w:t xml:space="preserve"> with Aboriginal </w:t>
      </w:r>
      <w:r>
        <w:t xml:space="preserve">Victorians and ACCOs. This work </w:t>
      </w:r>
      <w:r w:rsidRPr="00D71A8F">
        <w:t>deliver</w:t>
      </w:r>
      <w:r>
        <w:t>s</w:t>
      </w:r>
      <w:r w:rsidRPr="00D71A8F">
        <w:t xml:space="preserve"> culturally safe </w:t>
      </w:r>
      <w:r>
        <w:t xml:space="preserve">family and sexual violence </w:t>
      </w:r>
      <w:r w:rsidRPr="00D71A8F">
        <w:t>initiatives.</w:t>
      </w:r>
    </w:p>
    <w:p w14:paraId="2594D4BD" w14:textId="7A63AE74" w:rsidR="00E16EF4" w:rsidRPr="00D71A8F" w:rsidRDefault="00E16EF4" w:rsidP="003B6EFC">
      <w:pPr>
        <w:pStyle w:val="ARbody"/>
      </w:pPr>
      <w:r>
        <w:t xml:space="preserve">We also collaborate </w:t>
      </w:r>
      <w:r w:rsidRPr="00D71A8F">
        <w:t xml:space="preserve">with Respect Victoria </w:t>
      </w:r>
      <w:r>
        <w:t>on</w:t>
      </w:r>
      <w:r w:rsidRPr="00D71A8F">
        <w:t xml:space="preserve"> primary prevention efforts</w:t>
      </w:r>
      <w:r>
        <w:t xml:space="preserve">. This includes </w:t>
      </w:r>
      <w:r w:rsidRPr="00D71A8F">
        <w:t>statewide campaigns and community-level programs</w:t>
      </w:r>
      <w:r>
        <w:t>. These</w:t>
      </w:r>
      <w:r w:rsidRPr="00D71A8F">
        <w:t xml:space="preserve"> </w:t>
      </w:r>
      <w:r>
        <w:t xml:space="preserve">aim to shift </w:t>
      </w:r>
      <w:r w:rsidRPr="00D71A8F">
        <w:t>attitudes, challeng</w:t>
      </w:r>
      <w:r>
        <w:t>e</w:t>
      </w:r>
      <w:r w:rsidRPr="00D71A8F">
        <w:t xml:space="preserve"> harmful behaviours, and build safer, more respectful communities. </w:t>
      </w:r>
    </w:p>
    <w:p w14:paraId="59B23020" w14:textId="24391188" w:rsidR="00E16EF4" w:rsidRDefault="00E16EF4" w:rsidP="003B6EFC">
      <w:pPr>
        <w:pStyle w:val="ARbody"/>
      </w:pPr>
      <w:r w:rsidRPr="00D71A8F">
        <w:t>The department delivers core family violence response services</w:t>
      </w:r>
      <w:r>
        <w:t xml:space="preserve">. This includes </w:t>
      </w:r>
      <w:r w:rsidRPr="00D71A8F">
        <w:t>crisis accommodation, case management and therapeutic interventions</w:t>
      </w:r>
      <w:r>
        <w:t xml:space="preserve">. Our work </w:t>
      </w:r>
      <w:r w:rsidRPr="00D71A8F">
        <w:t>ensure</w:t>
      </w:r>
      <w:r>
        <w:t>s</w:t>
      </w:r>
      <w:r w:rsidRPr="00D71A8F">
        <w:t xml:space="preserve"> victim survivors </w:t>
      </w:r>
      <w:r>
        <w:t>can</w:t>
      </w:r>
      <w:r w:rsidRPr="00D71A8F">
        <w:t xml:space="preserve"> access immediate safety, ongoing support and pathways to recovery. </w:t>
      </w:r>
    </w:p>
    <w:p w14:paraId="23ED10D2" w14:textId="12F73750" w:rsidR="00E16EF4" w:rsidRDefault="00E16EF4" w:rsidP="003B6EFC">
      <w:pPr>
        <w:pStyle w:val="ARbody"/>
      </w:pPr>
      <w:r w:rsidRPr="00D71A8F">
        <w:t>The department is also strengthening its response to sexual violence</w:t>
      </w:r>
      <w:r>
        <w:t>. This is</w:t>
      </w:r>
      <w:r w:rsidRPr="00D71A8F">
        <w:t xml:space="preserve"> a pervasive and underreported crime. </w:t>
      </w:r>
    </w:p>
    <w:p w14:paraId="58AB0FEB" w14:textId="586C438F" w:rsidR="00E16EF4" w:rsidRPr="00D71A8F" w:rsidRDefault="00E16EF4" w:rsidP="002774B2">
      <w:pPr>
        <w:pStyle w:val="ARbody"/>
      </w:pPr>
      <w:r w:rsidRPr="00D71A8F">
        <w:t>Specialist sexual assault support services provide critical assistance to victim survivors</w:t>
      </w:r>
      <w:r>
        <w:t xml:space="preserve">. This includes </w:t>
      </w:r>
      <w:r w:rsidRPr="00D71A8F">
        <w:t xml:space="preserve">adult survivors of </w:t>
      </w:r>
      <w:r w:rsidRPr="7D77E62F">
        <w:rPr>
          <w:szCs w:val="20"/>
        </w:rPr>
        <w:t>child sexual</w:t>
      </w:r>
      <w:r w:rsidRPr="00D71A8F">
        <w:t xml:space="preserve"> </w:t>
      </w:r>
      <w:r>
        <w:t xml:space="preserve">abuse. The </w:t>
      </w:r>
      <w:r w:rsidRPr="00D71A8F">
        <w:t xml:space="preserve">department is </w:t>
      </w:r>
      <w:r>
        <w:t xml:space="preserve">also </w:t>
      </w:r>
      <w:r w:rsidRPr="00D71A8F">
        <w:t>co-design</w:t>
      </w:r>
      <w:r>
        <w:t>ing</w:t>
      </w:r>
      <w:r w:rsidRPr="00D71A8F">
        <w:t xml:space="preserve"> initiatives</w:t>
      </w:r>
      <w:r>
        <w:t xml:space="preserve"> in this space.</w:t>
      </w:r>
      <w:r w:rsidRPr="00D71A8F">
        <w:t xml:space="preserve"> </w:t>
      </w:r>
      <w:r>
        <w:t xml:space="preserve">For example, </w:t>
      </w:r>
      <w:r w:rsidRPr="00D71A8F">
        <w:t>the Justice Navigator pilot strengthen</w:t>
      </w:r>
      <w:r>
        <w:t>s victim survivors’</w:t>
      </w:r>
      <w:r w:rsidRPr="00D71A8F">
        <w:t xml:space="preserve"> </w:t>
      </w:r>
      <w:r w:rsidRPr="7D77E62F">
        <w:rPr>
          <w:szCs w:val="20"/>
        </w:rPr>
        <w:t>access</w:t>
      </w:r>
      <w:r>
        <w:t xml:space="preserve"> to</w:t>
      </w:r>
      <w:r w:rsidRPr="00D71A8F">
        <w:t xml:space="preserve"> justice and</w:t>
      </w:r>
      <w:r w:rsidR="003B6EFC">
        <w:t> </w:t>
      </w:r>
      <w:r w:rsidRPr="00D71A8F">
        <w:t>recovery</w:t>
      </w:r>
      <w:r>
        <w:t>.</w:t>
      </w:r>
    </w:p>
    <w:p w14:paraId="358E9D16" w14:textId="70884930" w:rsidR="00E16EF4" w:rsidRDefault="00E16EF4" w:rsidP="002774B2">
      <w:pPr>
        <w:pStyle w:val="ARbody"/>
      </w:pPr>
      <w:r w:rsidRPr="7D77E62F">
        <w:rPr>
          <w:szCs w:val="20"/>
        </w:rPr>
        <w:t xml:space="preserve">The Orange Door </w:t>
      </w:r>
      <w:r>
        <w:rPr>
          <w:szCs w:val="20"/>
        </w:rPr>
        <w:t>is</w:t>
      </w:r>
      <w:r w:rsidRPr="7D77E62F">
        <w:rPr>
          <w:szCs w:val="20"/>
        </w:rPr>
        <w:t xml:space="preserve"> a visible and accessible point for individuals and families</w:t>
      </w:r>
      <w:r>
        <w:rPr>
          <w:szCs w:val="20"/>
        </w:rPr>
        <w:t>. It provides</w:t>
      </w:r>
      <w:r w:rsidRPr="7D77E62F">
        <w:rPr>
          <w:szCs w:val="20"/>
        </w:rPr>
        <w:t xml:space="preserve"> support for family violence and child wellbeing concerns. </w:t>
      </w:r>
    </w:p>
    <w:p w14:paraId="3B2D325A" w14:textId="2BDA6A16" w:rsidR="00E16EF4" w:rsidRPr="00D71A8F" w:rsidRDefault="00E16EF4" w:rsidP="002774B2">
      <w:pPr>
        <w:pStyle w:val="ARbody"/>
      </w:pPr>
      <w:r>
        <w:rPr>
          <w:szCs w:val="20"/>
        </w:rPr>
        <w:t>The Orange Door</w:t>
      </w:r>
      <w:r w:rsidRPr="7D77E62F">
        <w:rPr>
          <w:szCs w:val="20"/>
        </w:rPr>
        <w:t xml:space="preserve"> delivers risk assessment, safety planning, crisis intervention, case management, and referrals to specialist and community-based supports. </w:t>
      </w:r>
      <w:r>
        <w:rPr>
          <w:szCs w:val="20"/>
        </w:rPr>
        <w:t xml:space="preserve">It </w:t>
      </w:r>
      <w:r w:rsidRPr="7D77E62F">
        <w:rPr>
          <w:szCs w:val="20"/>
        </w:rPr>
        <w:t>brings together workers from specialist family violence services, child and family services and Aboriginal services</w:t>
      </w:r>
      <w:r>
        <w:rPr>
          <w:szCs w:val="20"/>
        </w:rPr>
        <w:t>. This ensures</w:t>
      </w:r>
      <w:r w:rsidRPr="7D77E62F">
        <w:rPr>
          <w:szCs w:val="20"/>
        </w:rPr>
        <w:t xml:space="preserve"> an integrated and timely response</w:t>
      </w:r>
      <w:r>
        <w:rPr>
          <w:szCs w:val="20"/>
        </w:rPr>
        <w:t xml:space="preserve"> to family violence</w:t>
      </w:r>
      <w:r w:rsidRPr="7D77E62F">
        <w:rPr>
          <w:szCs w:val="20"/>
        </w:rPr>
        <w:t>. </w:t>
      </w:r>
    </w:p>
    <w:p w14:paraId="00BA03FA" w14:textId="1C7AB0DF" w:rsidR="00E16EF4" w:rsidRDefault="00E16EF4" w:rsidP="002774B2">
      <w:pPr>
        <w:pStyle w:val="ARbody"/>
      </w:pPr>
      <w:r>
        <w:t>We continue to strengthen the</w:t>
      </w:r>
      <w:r w:rsidRPr="00D71A8F">
        <w:t xml:space="preserve"> Multi-Agency Risk Assessment and Management (MARAM) Framework</w:t>
      </w:r>
      <w:r>
        <w:t>.</w:t>
      </w:r>
      <w:r w:rsidRPr="00D71A8F">
        <w:t xml:space="preserve"> </w:t>
      </w:r>
      <w:r>
        <w:t>This</w:t>
      </w:r>
      <w:r w:rsidRPr="00D71A8F">
        <w:t xml:space="preserve"> </w:t>
      </w:r>
      <w:r>
        <w:t>helps</w:t>
      </w:r>
      <w:r w:rsidRPr="00D71A8F">
        <w:t xml:space="preserve"> professionals </w:t>
      </w:r>
      <w:r>
        <w:t>in the</w:t>
      </w:r>
      <w:r w:rsidRPr="00D71A8F">
        <w:t xml:space="preserve"> health, education, justice and community sectors to identify family violence, assess risk and take appropriate action. The framework promotes consistent and collaborative practices</w:t>
      </w:r>
      <w:r>
        <w:t>. It</w:t>
      </w:r>
      <w:r w:rsidRPr="00D71A8F">
        <w:t xml:space="preserve"> </w:t>
      </w:r>
      <w:r>
        <w:t>enables</w:t>
      </w:r>
      <w:r w:rsidRPr="00D71A8F">
        <w:t xml:space="preserve"> services to share information safely and act together to keep victim survivors safe.</w:t>
      </w:r>
      <w:r w:rsidR="00031A2D">
        <w:br w:type="column"/>
      </w:r>
      <w:r>
        <w:rPr>
          <w:szCs w:val="20"/>
        </w:rPr>
        <w:t>Our work also holds p</w:t>
      </w:r>
      <w:r w:rsidRPr="7D77E62F">
        <w:rPr>
          <w:szCs w:val="20"/>
        </w:rPr>
        <w:t>eople</w:t>
      </w:r>
      <w:r>
        <w:t xml:space="preserve"> who use family</w:t>
      </w:r>
      <w:r w:rsidRPr="00D71A8F">
        <w:t xml:space="preserve"> violence accountable</w:t>
      </w:r>
      <w:r>
        <w:t xml:space="preserve">. We do this </w:t>
      </w:r>
      <w:r w:rsidRPr="00D71A8F">
        <w:t>through close collaboration with the justice system</w:t>
      </w:r>
      <w:r>
        <w:t>. We also provide</w:t>
      </w:r>
      <w:r w:rsidRPr="00D71A8F">
        <w:t xml:space="preserve"> behaviour</w:t>
      </w:r>
      <w:r w:rsidR="000B251F">
        <w:t xml:space="preserve"> </w:t>
      </w:r>
      <w:r w:rsidRPr="00D71A8F">
        <w:t xml:space="preserve">change </w:t>
      </w:r>
      <w:r w:rsidRPr="7D77E62F">
        <w:rPr>
          <w:szCs w:val="20"/>
        </w:rPr>
        <w:t>interventions</w:t>
      </w:r>
      <w:r>
        <w:t xml:space="preserve"> </w:t>
      </w:r>
      <w:r w:rsidRPr="00D71A8F">
        <w:t>to reduce</w:t>
      </w:r>
      <w:r w:rsidR="003B6EFC">
        <w:t> </w:t>
      </w:r>
      <w:r w:rsidRPr="00D71A8F">
        <w:t xml:space="preserve">reoffending. </w:t>
      </w:r>
    </w:p>
    <w:p w14:paraId="7C54C52C" w14:textId="77777777" w:rsidR="00820E53" w:rsidRDefault="00E16EF4" w:rsidP="002774B2">
      <w:pPr>
        <w:pStyle w:val="ARbody"/>
      </w:pPr>
      <w:r w:rsidRPr="00D71A8F">
        <w:t>The Central Information Point further strengthens victim survivor safety</w:t>
      </w:r>
      <w:r>
        <w:t>. It</w:t>
      </w:r>
      <w:r w:rsidRPr="00D71A8F">
        <w:t xml:space="preserve"> </w:t>
      </w:r>
      <w:r>
        <w:t>enables agencies to share</w:t>
      </w:r>
      <w:r w:rsidRPr="00D71A8F">
        <w:t xml:space="preserve"> timely and coordinated information</w:t>
      </w:r>
      <w:r>
        <w:t>.</w:t>
      </w:r>
    </w:p>
    <w:p w14:paraId="12B6C7F0" w14:textId="6349C973" w:rsidR="00E16EF4" w:rsidRPr="00E6224B" w:rsidRDefault="00E16EF4" w:rsidP="00E16EF4">
      <w:pPr>
        <w:pStyle w:val="Heading4"/>
      </w:pPr>
      <w:r w:rsidRPr="0024454B">
        <w:t>Veterans</w:t>
      </w:r>
    </w:p>
    <w:p w14:paraId="09211057" w14:textId="097FE554" w:rsidR="00E16EF4" w:rsidRPr="00902EB8" w:rsidRDefault="00E16EF4">
      <w:pPr>
        <w:pStyle w:val="ARbody"/>
      </w:pPr>
      <w:r w:rsidRPr="00902EB8">
        <w:t xml:space="preserve">Victoria proudly honours the sacrifice and enduring legacy of our veterans. The department </w:t>
      </w:r>
      <w:r>
        <w:t>ensures</w:t>
      </w:r>
      <w:r w:rsidRPr="00902EB8">
        <w:t xml:space="preserve"> those who have served our nation are recognised, supported and celebrated.</w:t>
      </w:r>
    </w:p>
    <w:p w14:paraId="55AD82F6" w14:textId="77777777" w:rsidR="00820E53" w:rsidRDefault="00E16EF4">
      <w:pPr>
        <w:pStyle w:val="ARbody"/>
      </w:pPr>
      <w:r w:rsidRPr="00902EB8">
        <w:t xml:space="preserve">We partner with the Shrine of Remembrance and ex-service organisations to deliver major events. </w:t>
      </w:r>
      <w:r>
        <w:t>We also run</w:t>
      </w:r>
      <w:r w:rsidRPr="00902EB8">
        <w:t xml:space="preserve"> grant program</w:t>
      </w:r>
      <w:r>
        <w:t xml:space="preserve">s that </w:t>
      </w:r>
      <w:r w:rsidRPr="00902EB8">
        <w:t>empower local organisations</w:t>
      </w:r>
      <w:r>
        <w:t xml:space="preserve">. Grants are used for </w:t>
      </w:r>
      <w:r w:rsidRPr="00902EB8">
        <w:t>capital works, restor</w:t>
      </w:r>
      <w:r>
        <w:t xml:space="preserve">ing </w:t>
      </w:r>
      <w:r w:rsidRPr="00902EB8">
        <w:t>war memorials</w:t>
      </w:r>
      <w:r>
        <w:t xml:space="preserve"> and</w:t>
      </w:r>
      <w:r w:rsidRPr="00902EB8">
        <w:t xml:space="preserve"> delive</w:t>
      </w:r>
      <w:r>
        <w:t>ring</w:t>
      </w:r>
      <w:r w:rsidRPr="00902EB8">
        <w:t xml:space="preserve"> meaningful initiatives that support veterans and their families.</w:t>
      </w:r>
    </w:p>
    <w:p w14:paraId="4BD5326D" w14:textId="7C860163" w:rsidR="00E16EF4" w:rsidRPr="00902EB8" w:rsidRDefault="00E16EF4">
      <w:pPr>
        <w:pStyle w:val="ARbody"/>
      </w:pPr>
      <w:r w:rsidRPr="00902EB8">
        <w:t>Our commitment extends across portfolios and jurisdictions</w:t>
      </w:r>
      <w:r>
        <w:t>. We</w:t>
      </w:r>
      <w:r w:rsidRPr="00902EB8">
        <w:t xml:space="preserve"> </w:t>
      </w:r>
      <w:r>
        <w:t>c</w:t>
      </w:r>
      <w:r w:rsidRPr="00902EB8">
        <w:t>ollaborat</w:t>
      </w:r>
      <w:r>
        <w:t>e</w:t>
      </w:r>
      <w:r w:rsidRPr="00902EB8">
        <w:t xml:space="preserve"> with the Commonwealth and other states and territories to coordinate Victoria’s engagement with the Royal Commission into Defence and Veteran Suicide. We ensure policies and programs </w:t>
      </w:r>
      <w:r>
        <w:t>respond</w:t>
      </w:r>
      <w:r w:rsidRPr="00902EB8">
        <w:t xml:space="preserve"> to veterans’ needs</w:t>
      </w:r>
      <w:r>
        <w:t>.</w:t>
      </w:r>
      <w:r w:rsidRPr="00902EB8">
        <w:t xml:space="preserve"> </w:t>
      </w:r>
      <w:r>
        <w:t>This includes</w:t>
      </w:r>
      <w:r w:rsidRPr="00902EB8">
        <w:t xml:space="preserve"> initiatives such as the Veterans Card – Victoria.</w:t>
      </w:r>
    </w:p>
    <w:p w14:paraId="019D9669" w14:textId="77777777" w:rsidR="00857D9F" w:rsidRDefault="00E16EF4">
      <w:pPr>
        <w:pStyle w:val="ARbody"/>
      </w:pPr>
      <w:r w:rsidRPr="00902EB8">
        <w:t>We also support the Victorian Veterans Council</w:t>
      </w:r>
      <w:r>
        <w:t>. The council shapes and guides Victoria’s</w:t>
      </w:r>
      <w:r w:rsidRPr="00902EB8">
        <w:t xml:space="preserve"> efforts to honour and assist veterans.</w:t>
      </w:r>
    </w:p>
    <w:p w14:paraId="08FFC3DA" w14:textId="3EA304B7" w:rsidR="00E16EF4" w:rsidRPr="00E6224B" w:rsidRDefault="00E16EF4" w:rsidP="00E16EF4">
      <w:pPr>
        <w:pStyle w:val="Heading4"/>
      </w:pPr>
      <w:r w:rsidRPr="00853265">
        <w:t>Women</w:t>
      </w:r>
    </w:p>
    <w:p w14:paraId="57094614" w14:textId="73E83F0D" w:rsidR="00E16EF4" w:rsidRDefault="00E16EF4">
      <w:pPr>
        <w:pStyle w:val="ARbody"/>
      </w:pPr>
      <w:r w:rsidRPr="00842A92">
        <w:t xml:space="preserve">The department </w:t>
      </w:r>
      <w:r>
        <w:t xml:space="preserve">works to improve outcomes for women and advance gender equality. </w:t>
      </w:r>
      <w:r w:rsidRPr="003E018D">
        <w:t>Gender equality gives everyone more choices and opportunities</w:t>
      </w:r>
      <w:r>
        <w:t>. It helps Victorians to</w:t>
      </w:r>
      <w:r w:rsidRPr="003E018D">
        <w:t xml:space="preserve"> reach their potential and live safe, </w:t>
      </w:r>
      <w:r>
        <w:t xml:space="preserve">prosperous, </w:t>
      </w:r>
      <w:r w:rsidRPr="003E018D">
        <w:t xml:space="preserve">equal and fulfilled lives. </w:t>
      </w:r>
    </w:p>
    <w:p w14:paraId="19D25CD6" w14:textId="781D8767" w:rsidR="00E16EF4" w:rsidRDefault="00E16EF4">
      <w:pPr>
        <w:pStyle w:val="ARbody"/>
      </w:pPr>
      <w:r>
        <w:t xml:space="preserve">Through the Office for Women, the department </w:t>
      </w:r>
      <w:r w:rsidRPr="00CC6903">
        <w:t>leads the Victorian Government’s gender equality strategy,</w:t>
      </w:r>
      <w:r w:rsidRPr="00E6224B">
        <w:rPr>
          <w:rStyle w:val="Emphasis"/>
        </w:rPr>
        <w:t> Our equal state: Victoria’s gender equality strategy and action plan</w:t>
      </w:r>
      <w:r w:rsidRPr="00CC6903">
        <w:t xml:space="preserve">. This strategy is </w:t>
      </w:r>
      <w:r>
        <w:t>the</w:t>
      </w:r>
      <w:r w:rsidRPr="00CC6903">
        <w:t xml:space="preserve"> roadmap for action on gender equality from 2023</w:t>
      </w:r>
      <w:r w:rsidR="003B6EFC">
        <w:t> </w:t>
      </w:r>
      <w:r w:rsidRPr="00CC6903">
        <w:t>to</w:t>
      </w:r>
      <w:r w:rsidR="003B6EFC">
        <w:t> </w:t>
      </w:r>
      <w:r w:rsidRPr="00CC6903">
        <w:t>2027.</w:t>
      </w:r>
      <w:r>
        <w:t xml:space="preserve"> </w:t>
      </w:r>
    </w:p>
    <w:p w14:paraId="4A164F33" w14:textId="53FC549E" w:rsidR="00031A2D" w:rsidRDefault="00B87B92">
      <w:pPr>
        <w:pStyle w:val="ARbody"/>
      </w:pPr>
      <w:r w:rsidRPr="00B63352">
        <w:t>We engage collaboratively across government and with external stakeholders</w:t>
      </w:r>
      <w:r>
        <w:t>. This includes establishing</w:t>
      </w:r>
      <w:r w:rsidRPr="005C5D17">
        <w:t xml:space="preserve"> a reference group of experts to provide advice on the implementation of </w:t>
      </w:r>
      <w:r w:rsidRPr="00031A2D">
        <w:rPr>
          <w:rStyle w:val="Emphasis"/>
        </w:rPr>
        <w:t>Our equal state.</w:t>
      </w:r>
      <w:r w:rsidR="00031A2D">
        <w:br w:type="page"/>
      </w:r>
    </w:p>
    <w:p w14:paraId="364042FA" w14:textId="06F5CA6E" w:rsidR="00E16EF4" w:rsidRDefault="00E16EF4">
      <w:pPr>
        <w:pStyle w:val="ARbody"/>
      </w:pPr>
      <w:r w:rsidRPr="00BB2338">
        <w:lastRenderedPageBreak/>
        <w:t xml:space="preserve">We work closely with the </w:t>
      </w:r>
      <w:r>
        <w:t>Public Sector Gender Equality Commissioner</w:t>
      </w:r>
      <w:r w:rsidRPr="00BB2338">
        <w:t xml:space="preserve">. The Commissioner oversees the implementation of </w:t>
      </w:r>
      <w:r w:rsidRPr="00E6224B">
        <w:rPr>
          <w:rStyle w:val="Emphasis"/>
        </w:rPr>
        <w:t xml:space="preserve">the Gender Equality Act 2020 </w:t>
      </w:r>
      <w:r>
        <w:t>(Act). This includes</w:t>
      </w:r>
      <w:r w:rsidRPr="00BB2338">
        <w:t xml:space="preserve"> promoting gender equality in the Victorian community and </w:t>
      </w:r>
      <w:r>
        <w:t>the 300 or so public sector organisations that obligations under the Act</w:t>
      </w:r>
      <w:r w:rsidRPr="00BB2338">
        <w:t>. Together, we take a</w:t>
      </w:r>
      <w:r w:rsidR="009A3EE5">
        <w:t> </w:t>
      </w:r>
      <w:r w:rsidRPr="00BB2338">
        <w:t>coordinated, whole-of-government approach to</w:t>
      </w:r>
      <w:r w:rsidR="009A3EE5">
        <w:t> </w:t>
      </w:r>
      <w:r w:rsidRPr="00BB2338">
        <w:t>advancing gender equality.</w:t>
      </w:r>
    </w:p>
    <w:p w14:paraId="5A56445D" w14:textId="64B05304" w:rsidR="00E16EF4" w:rsidRPr="00E60BC5" w:rsidRDefault="00E16EF4">
      <w:pPr>
        <w:pStyle w:val="ARbody"/>
      </w:pPr>
      <w:r w:rsidRPr="00E60BC5">
        <w:t>The department:</w:t>
      </w:r>
    </w:p>
    <w:p w14:paraId="3A8991EE" w14:textId="3A656019" w:rsidR="00E16EF4" w:rsidRDefault="00E16EF4">
      <w:pPr>
        <w:pStyle w:val="ARbullet1"/>
      </w:pPr>
      <w:r>
        <w:t>l</w:t>
      </w:r>
      <w:r w:rsidRPr="00E60BC5">
        <w:t>eads women’s policy</w:t>
      </w:r>
      <w:r>
        <w:t xml:space="preserve">. This includes </w:t>
      </w:r>
      <w:r w:rsidRPr="00E60BC5">
        <w:t>coordinating gender equality efforts across government</w:t>
      </w:r>
      <w:r>
        <w:t xml:space="preserve">. It also includes </w:t>
      </w:r>
      <w:r w:rsidR="00FD4A2A">
        <w:t xml:space="preserve">monitoring implementation of </w:t>
      </w:r>
      <w:r>
        <w:t xml:space="preserve">110 whole-of-government actions under </w:t>
      </w:r>
      <w:r w:rsidRPr="00E6224B">
        <w:rPr>
          <w:rStyle w:val="Emphasis"/>
        </w:rPr>
        <w:t>Our equal state</w:t>
      </w:r>
      <w:r>
        <w:t>. As part of this work, we monitor the 4 public sector workforce targets. These are to halve the gender pay gap, reach parity in public sector senior leadership and CEO roles, and increase men’s uptake of paid parental leave</w:t>
      </w:r>
    </w:p>
    <w:p w14:paraId="37414F4B" w14:textId="398D3868" w:rsidR="00F614F7" w:rsidRDefault="00E16EF4">
      <w:pPr>
        <w:pStyle w:val="ARbullet1"/>
      </w:pPr>
      <w:r>
        <w:t xml:space="preserve">delivers initiatives to improve access and outcomes for women. This includes the Free Pads and Tampons in Public Places program, the Safe Workplaces for Women Initiative and </w:t>
      </w:r>
      <w:r w:rsidR="00B1708F">
        <w:t xml:space="preserve">launching the </w:t>
      </w:r>
      <w:r w:rsidR="00B1708F" w:rsidRPr="00DA434D">
        <w:rPr>
          <w:rStyle w:val="Emphasis"/>
        </w:rPr>
        <w:t>Making it equal: Victoria’s women in manufacturing strategy</w:t>
      </w:r>
      <w:r w:rsidR="00B1708F">
        <w:t xml:space="preserve">. </w:t>
      </w:r>
      <w:r>
        <w:t>It also includes leadership programs for Aboriginal women, women of colour and emerging leaders</w:t>
      </w:r>
    </w:p>
    <w:p w14:paraId="647167DE" w14:textId="5D23922C" w:rsidR="00E16EF4" w:rsidRDefault="00124399">
      <w:pPr>
        <w:pStyle w:val="ARbullet1"/>
      </w:pPr>
      <w:r>
        <w:t>elevates and celebrates the significant contributions of Victorian women. This includes the Honour Roll of Women and Women’s Public Art Program.</w:t>
      </w:r>
      <w:r w:rsidDel="00124399">
        <w:t xml:space="preserve"> </w:t>
      </w:r>
    </w:p>
    <w:p w14:paraId="22BEC7AE" w14:textId="38D9D32E" w:rsidR="00027BB5" w:rsidRDefault="00AE1430" w:rsidP="00027BB5">
      <w:pPr>
        <w:pStyle w:val="ARbodyafterbullets"/>
      </w:pPr>
      <w:r>
        <w:t>The Commissioner and their office also provide education and support through helping organisations meet their obligations under the Act.</w:t>
      </w:r>
    </w:p>
    <w:p w14:paraId="2DE795ED" w14:textId="7A5ED282" w:rsidR="00E16EF4" w:rsidRPr="00722B5A" w:rsidRDefault="00027BB5" w:rsidP="00820E53">
      <w:pPr>
        <w:pStyle w:val="Heading4"/>
      </w:pPr>
      <w:r>
        <w:br w:type="column"/>
      </w:r>
      <w:r w:rsidR="00E16EF4" w:rsidRPr="00722B5A">
        <w:t>Youth</w:t>
      </w:r>
    </w:p>
    <w:p w14:paraId="286F7679" w14:textId="6AB37E82" w:rsidR="00E16EF4" w:rsidRPr="00722B5A" w:rsidRDefault="00E16EF4">
      <w:pPr>
        <w:pStyle w:val="ARbody"/>
      </w:pPr>
      <w:r w:rsidRPr="00722B5A">
        <w:t>The department shapes policies, programs and services for young Victorians aged 12–25. We aim to give them a say about the things that </w:t>
      </w:r>
      <w:r>
        <w:t>matter</w:t>
      </w:r>
      <w:r w:rsidRPr="00722B5A">
        <w:t xml:space="preserve"> </w:t>
      </w:r>
      <w:r>
        <w:t>for</w:t>
      </w:r>
      <w:r w:rsidRPr="00722B5A">
        <w:t xml:space="preserve"> their futures.</w:t>
      </w:r>
    </w:p>
    <w:p w14:paraId="5720BD79" w14:textId="77777777" w:rsidR="00E16EF4" w:rsidRPr="00722B5A" w:rsidRDefault="00E16EF4">
      <w:pPr>
        <w:pStyle w:val="ARbody"/>
      </w:pPr>
      <w:r w:rsidRPr="00722B5A">
        <w:t>We work closely with other portfolios to:</w:t>
      </w:r>
    </w:p>
    <w:p w14:paraId="1E11A9AB" w14:textId="77777777" w:rsidR="00E16EF4" w:rsidRPr="00722B5A" w:rsidRDefault="00E16EF4">
      <w:pPr>
        <w:pStyle w:val="ARbullet1"/>
      </w:pPr>
      <w:r w:rsidRPr="00722B5A">
        <w:t>improve young people’s health and wellbeing, education, training, skills development and career pathways</w:t>
      </w:r>
    </w:p>
    <w:p w14:paraId="26A6CF60" w14:textId="77777777" w:rsidR="00E16EF4" w:rsidRPr="00722B5A" w:rsidRDefault="00E16EF4">
      <w:pPr>
        <w:pStyle w:val="ARbullet1"/>
      </w:pPr>
      <w:r w:rsidRPr="00722B5A">
        <w:t>boost young people’s participation in community and civic life</w:t>
      </w:r>
    </w:p>
    <w:p w14:paraId="686E6FF0" w14:textId="77777777" w:rsidR="00E16EF4" w:rsidRPr="00722B5A" w:rsidRDefault="00E16EF4">
      <w:pPr>
        <w:pStyle w:val="ARbullet1"/>
      </w:pPr>
      <w:r w:rsidRPr="00722B5A">
        <w:t>address youth disengagement from family, education and training, employment and community.</w:t>
      </w:r>
    </w:p>
    <w:p w14:paraId="6FC930C3" w14:textId="13F4F816" w:rsidR="00E16EF4" w:rsidRPr="00722B5A" w:rsidRDefault="00E16EF4">
      <w:pPr>
        <w:pStyle w:val="ARbodyafterbullets"/>
      </w:pPr>
      <w:r w:rsidRPr="00722B5A">
        <w:t>Our work with young people is designed with and led by young people, including the Victorian Youth Congress. This includes universal programs to empower and protect young people</w:t>
      </w:r>
      <w:r>
        <w:t xml:space="preserve">. It also includes </w:t>
      </w:r>
      <w:r w:rsidRPr="00722B5A">
        <w:t>targeted programs for young people experiencing disengagement or disadvantage.</w:t>
      </w:r>
    </w:p>
    <w:p w14:paraId="7C1E8A87" w14:textId="77777777" w:rsidR="00820E53" w:rsidRDefault="00E16EF4">
      <w:pPr>
        <w:pStyle w:val="ARbodyafterbullets"/>
      </w:pPr>
      <w:r w:rsidRPr="00D72473">
        <w:t xml:space="preserve">Guided by </w:t>
      </w:r>
      <w:r w:rsidRPr="00E6224B">
        <w:rPr>
          <w:rStyle w:val="Emphasis"/>
        </w:rPr>
        <w:t>Our promise, your future: Victoria’s youth strategy 2022–2027</w:t>
      </w:r>
      <w:r w:rsidRPr="00D72473">
        <w:t>, we</w:t>
      </w:r>
      <w:r w:rsidRPr="00722B5A">
        <w:t xml:space="preserve"> influence policy, program and service delivery and investment in</w:t>
      </w:r>
      <w:r w:rsidR="009A3EE5">
        <w:t> </w:t>
      </w:r>
      <w:r w:rsidRPr="00722B5A">
        <w:t>the</w:t>
      </w:r>
      <w:r w:rsidR="009A3EE5">
        <w:t> </w:t>
      </w:r>
      <w:r w:rsidRPr="00722B5A">
        <w:t>things that are important for young people.</w:t>
      </w:r>
    </w:p>
    <w:p w14:paraId="2009A9B8" w14:textId="3AB54F76" w:rsidR="00DD5750" w:rsidRDefault="00CE1AE7">
      <w:pPr>
        <w:pStyle w:val="ARbodyafterbullets"/>
        <w:sectPr w:rsidR="00DD5750" w:rsidSect="007F43B1">
          <w:endnotePr>
            <w:numFmt w:val="decimal"/>
          </w:endnotePr>
          <w:type w:val="continuous"/>
          <w:pgSz w:w="11900" w:h="16840" w:code="9"/>
          <w:pgMar w:top="1588" w:right="1134" w:bottom="851" w:left="1134" w:header="510" w:footer="340" w:gutter="0"/>
          <w:cols w:num="2" w:space="459"/>
        </w:sectPr>
      </w:pPr>
      <w:r>
        <w:br w:type="page"/>
      </w:r>
    </w:p>
    <w:p w14:paraId="59189B46" w14:textId="77777777" w:rsidR="00DD5750" w:rsidRDefault="00E16EF4" w:rsidP="006B2F85">
      <w:pPr>
        <w:pStyle w:val="Heading2"/>
        <w:spacing w:before="0"/>
        <w:sectPr w:rsidR="00DD5750" w:rsidSect="007F43B1">
          <w:endnotePr>
            <w:numFmt w:val="decimal"/>
          </w:endnotePr>
          <w:type w:val="continuous"/>
          <w:pgSz w:w="11900" w:h="16840" w:code="9"/>
          <w:pgMar w:top="1588" w:right="1134" w:bottom="851" w:left="1134" w:header="510" w:footer="340" w:gutter="0"/>
          <w:cols w:space="459"/>
        </w:sectPr>
      </w:pPr>
      <w:bookmarkStart w:id="36" w:name="_Hlk201315717"/>
      <w:bookmarkStart w:id="37" w:name="_The_department’s_ministers"/>
      <w:bookmarkStart w:id="38" w:name="_Toc114491184"/>
      <w:bookmarkStart w:id="39" w:name="_Toc212039512"/>
      <w:bookmarkStart w:id="40" w:name="_Toc82006193"/>
      <w:bookmarkEnd w:id="36"/>
      <w:bookmarkEnd w:id="37"/>
      <w:r w:rsidRPr="00174116">
        <w:lastRenderedPageBreak/>
        <w:t xml:space="preserve">The </w:t>
      </w:r>
      <w:r>
        <w:t>d</w:t>
      </w:r>
      <w:r w:rsidRPr="00174116">
        <w:t>epartment</w:t>
      </w:r>
      <w:r>
        <w:t>’</w:t>
      </w:r>
      <w:r w:rsidRPr="00174116">
        <w:t xml:space="preserve">s </w:t>
      </w:r>
      <w:r>
        <w:t>m</w:t>
      </w:r>
      <w:r w:rsidRPr="00174116">
        <w:t>inisters</w:t>
      </w:r>
      <w:bookmarkEnd w:id="38"/>
      <w:bookmarkEnd w:id="39"/>
      <w:r>
        <w:t xml:space="preserve"> </w:t>
      </w:r>
    </w:p>
    <w:p w14:paraId="64388E24" w14:textId="1B5F430B" w:rsidR="00E16EF4" w:rsidRPr="005D4A55" w:rsidRDefault="00FA04C6" w:rsidP="00FF6D28">
      <w:pPr>
        <w:pStyle w:val="ARbody"/>
        <w:spacing w:before="660"/>
      </w:pPr>
      <w:r>
        <w:rPr>
          <w:noProof/>
        </w:rPr>
        <w:drawing>
          <wp:inline distT="0" distB="0" distL="0" distR="0" wp14:anchorId="309BCA8C" wp14:editId="74FEDF73">
            <wp:extent cx="736832" cy="857955"/>
            <wp:effectExtent l="0" t="0" r="6350" b="0"/>
            <wp:docPr id="1669249726" name="Picture 12" descr="Hon Lizzie Blandthorn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49726" name="Picture 12" descr="Hon Lizzie Blandthorn MP"/>
                    <pic:cNvPicPr/>
                  </pic:nvPicPr>
                  <pic:blipFill rotWithShape="1">
                    <a:blip r:embed="rId36" cstate="print">
                      <a:extLst>
                        <a:ext uri="{BEBA8EAE-BF5A-486C-A8C5-ECC9F3942E4B}">
                          <a14:imgProps xmlns:a14="http://schemas.microsoft.com/office/drawing/2010/main">
                            <a14:imgLayer r:embed="rId37">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752999" cy="876780"/>
                    </a:xfrm>
                    <a:prstGeom prst="rect">
                      <a:avLst/>
                    </a:prstGeom>
                    <a:ln>
                      <a:noFill/>
                    </a:ln>
                    <a:extLst>
                      <a:ext uri="{53640926-AAD7-44D8-BBD7-CCE9431645EC}">
                        <a14:shadowObscured xmlns:a14="http://schemas.microsoft.com/office/drawing/2010/main"/>
                      </a:ext>
                    </a:extLst>
                  </pic:spPr>
                </pic:pic>
              </a:graphicData>
            </a:graphic>
          </wp:inline>
        </w:drawing>
      </w:r>
    </w:p>
    <w:p w14:paraId="68B1E194" w14:textId="1787500C" w:rsidR="00E16EF4" w:rsidRPr="002029AF" w:rsidRDefault="00E16EF4">
      <w:pPr>
        <w:pStyle w:val="Heading3Ministers"/>
      </w:pPr>
      <w:r w:rsidRPr="00B05B5B">
        <w:t>Hon</w:t>
      </w:r>
      <w:r w:rsidRPr="00CE479B">
        <w:t xml:space="preserve"> Lizzie </w:t>
      </w:r>
      <w:proofErr w:type="spellStart"/>
      <w:r w:rsidRPr="006F5B48">
        <w:t>Blandthorn</w:t>
      </w:r>
      <w:proofErr w:type="spellEnd"/>
      <w:r>
        <w:t xml:space="preserve"> MP</w:t>
      </w:r>
    </w:p>
    <w:p w14:paraId="0B27D731" w14:textId="77777777" w:rsidR="00E16EF4" w:rsidRPr="00E51CC9" w:rsidRDefault="00E16EF4">
      <w:pPr>
        <w:pStyle w:val="ARbody"/>
        <w:spacing w:after="40"/>
        <w:rPr>
          <w:rStyle w:val="Strong"/>
        </w:rPr>
      </w:pPr>
      <w:r w:rsidRPr="00E51CC9">
        <w:rPr>
          <w:rStyle w:val="Strong"/>
        </w:rPr>
        <w:t>Coordinating Minister for the Department of</w:t>
      </w:r>
      <w:r>
        <w:rPr>
          <w:rStyle w:val="Strong"/>
        </w:rPr>
        <w:t> </w:t>
      </w:r>
      <w:r w:rsidRPr="00E51CC9">
        <w:rPr>
          <w:rStyle w:val="Strong"/>
        </w:rPr>
        <w:t>Families, Fairness and Housing</w:t>
      </w:r>
    </w:p>
    <w:p w14:paraId="12771FE9" w14:textId="77777777" w:rsidR="00E16EF4" w:rsidRPr="00E51CC9" w:rsidRDefault="00E16EF4">
      <w:pPr>
        <w:pStyle w:val="ARbody"/>
        <w:spacing w:after="40"/>
        <w:rPr>
          <w:rStyle w:val="Strong"/>
        </w:rPr>
      </w:pPr>
      <w:r w:rsidRPr="00E51CC9">
        <w:rPr>
          <w:rStyle w:val="Strong"/>
        </w:rPr>
        <w:t>Minister for Children</w:t>
      </w:r>
    </w:p>
    <w:p w14:paraId="7F0FEE74" w14:textId="77777777" w:rsidR="00E16EF4" w:rsidRPr="00E51CC9" w:rsidRDefault="00E16EF4">
      <w:pPr>
        <w:pStyle w:val="ARbody"/>
        <w:rPr>
          <w:rStyle w:val="Strong"/>
        </w:rPr>
      </w:pPr>
      <w:r w:rsidRPr="00E51CC9">
        <w:rPr>
          <w:rStyle w:val="Strong"/>
        </w:rPr>
        <w:t>Minister for Disability</w:t>
      </w:r>
    </w:p>
    <w:p w14:paraId="213BDCEA" w14:textId="00A47D8C" w:rsidR="00E16EF4" w:rsidRPr="00933DC8" w:rsidRDefault="00E16EF4">
      <w:pPr>
        <w:pStyle w:val="ARbody"/>
        <w:rPr>
          <w:rFonts w:eastAsia="Times New Roman"/>
          <w:color w:val="323130"/>
          <w:szCs w:val="20"/>
          <w:lang w:val="en-US" w:eastAsia="en-AU"/>
        </w:rPr>
      </w:pPr>
      <w:r w:rsidRPr="00933DC8">
        <w:rPr>
          <w:rFonts w:eastAsia="Times New Roman"/>
          <w:color w:val="323130"/>
          <w:szCs w:val="20"/>
          <w:lang w:val="en-US" w:eastAsia="en-AU"/>
        </w:rPr>
        <w:t xml:space="preserve">Minister </w:t>
      </w:r>
      <w:proofErr w:type="spellStart"/>
      <w:r w:rsidRPr="00933DC8">
        <w:rPr>
          <w:rFonts w:eastAsia="Times New Roman"/>
          <w:color w:val="323130"/>
          <w:szCs w:val="20"/>
          <w:lang w:val="en-US" w:eastAsia="en-AU"/>
        </w:rPr>
        <w:t>Blandthorn</w:t>
      </w:r>
      <w:proofErr w:type="spellEnd"/>
      <w:r w:rsidRPr="00933DC8">
        <w:rPr>
          <w:rFonts w:eastAsia="Times New Roman"/>
          <w:color w:val="323130"/>
          <w:szCs w:val="20"/>
          <w:lang w:val="en-US" w:eastAsia="en-AU"/>
        </w:rPr>
        <w:t xml:space="preserve"> has held the positions of Minister for Children and Minister for Disability since October 2023. Minister </w:t>
      </w:r>
      <w:proofErr w:type="spellStart"/>
      <w:r w:rsidRPr="00933DC8">
        <w:rPr>
          <w:rFonts w:eastAsia="Times New Roman"/>
          <w:color w:val="323130"/>
          <w:szCs w:val="20"/>
          <w:lang w:val="en-US" w:eastAsia="en-AU"/>
        </w:rPr>
        <w:t>Blandthorn</w:t>
      </w:r>
      <w:proofErr w:type="spellEnd"/>
      <w:r w:rsidRPr="00933DC8">
        <w:rPr>
          <w:rFonts w:eastAsia="Times New Roman"/>
          <w:color w:val="323130"/>
          <w:szCs w:val="20"/>
          <w:lang w:val="en-US" w:eastAsia="en-AU"/>
        </w:rPr>
        <w:t xml:space="preserve"> is also the</w:t>
      </w:r>
      <w:r w:rsidR="006B1CE7">
        <w:rPr>
          <w:rFonts w:eastAsia="Times New Roman"/>
          <w:color w:val="323130"/>
          <w:szCs w:val="20"/>
          <w:lang w:val="en-US" w:eastAsia="en-AU"/>
        </w:rPr>
        <w:t> </w:t>
      </w:r>
      <w:r w:rsidRPr="00933DC8">
        <w:rPr>
          <w:rFonts w:eastAsia="Times New Roman"/>
          <w:color w:val="323130"/>
          <w:szCs w:val="20"/>
          <w:lang w:val="en-US" w:eastAsia="en-AU"/>
        </w:rPr>
        <w:t>Deputy Leader of the Government in the Legislative</w:t>
      </w:r>
      <w:r w:rsidR="00820E53">
        <w:rPr>
          <w:rFonts w:eastAsia="Times New Roman"/>
          <w:color w:val="323130"/>
          <w:szCs w:val="20"/>
          <w:lang w:val="en-US" w:eastAsia="en-AU"/>
        </w:rPr>
        <w:t> </w:t>
      </w:r>
      <w:r w:rsidRPr="00933DC8">
        <w:rPr>
          <w:rFonts w:eastAsia="Times New Roman"/>
          <w:color w:val="323130"/>
          <w:szCs w:val="20"/>
          <w:lang w:val="en-US" w:eastAsia="en-AU"/>
        </w:rPr>
        <w:t>Council.</w:t>
      </w:r>
    </w:p>
    <w:p w14:paraId="04F99D4D" w14:textId="1E11DCA9" w:rsidR="00E16EF4" w:rsidRDefault="0010410A" w:rsidP="005D4A55">
      <w:pPr>
        <w:pStyle w:val="ARbody"/>
        <w:spacing w:before="600"/>
      </w:pPr>
      <w:r>
        <w:rPr>
          <w:noProof/>
        </w:rPr>
        <w:drawing>
          <wp:inline distT="0" distB="0" distL="0" distR="0" wp14:anchorId="2E4B01EF" wp14:editId="1D48AC8F">
            <wp:extent cx="1223732" cy="996593"/>
            <wp:effectExtent l="0" t="0" r="0" b="0"/>
            <wp:docPr id="1423122472" name="Picture 9" descr="Ingrid Stitt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22472" name="Picture 9" descr="Ingrid Stitt MP"/>
                    <pic:cNvPicPr/>
                  </pic:nvPicPr>
                  <pic:blipFill rotWithShape="1">
                    <a:blip r:embed="rId38" cstate="print">
                      <a:extLst>
                        <a:ext uri="{BEBA8EAE-BF5A-486C-A8C5-ECC9F3942E4B}">
                          <a14:imgProps xmlns:a14="http://schemas.microsoft.com/office/drawing/2010/main">
                            <a14:imgLayer r:embed="rId39">
                              <a14:imgEffect>
                                <a14:saturation sat="0"/>
                              </a14:imgEffect>
                            </a14:imgLayer>
                          </a14:imgProps>
                        </a:ext>
                        <a:ext uri="{28A0092B-C50C-407E-A947-70E740481C1C}">
                          <a14:useLocalDpi xmlns:a14="http://schemas.microsoft.com/office/drawing/2010/main"/>
                        </a:ext>
                      </a:extLst>
                    </a:blip>
                    <a:srcRect r="-62"/>
                    <a:stretch>
                      <a:fillRect/>
                    </a:stretch>
                  </pic:blipFill>
                  <pic:spPr bwMode="auto">
                    <a:xfrm>
                      <a:off x="0" y="0"/>
                      <a:ext cx="1239778" cy="1009661"/>
                    </a:xfrm>
                    <a:prstGeom prst="rect">
                      <a:avLst/>
                    </a:prstGeom>
                    <a:ln>
                      <a:noFill/>
                    </a:ln>
                    <a:extLst>
                      <a:ext uri="{53640926-AAD7-44D8-BBD7-CCE9431645EC}">
                        <a14:shadowObscured xmlns:a14="http://schemas.microsoft.com/office/drawing/2010/main"/>
                      </a:ext>
                    </a:extLst>
                  </pic:spPr>
                </pic:pic>
              </a:graphicData>
            </a:graphic>
          </wp:inline>
        </w:drawing>
      </w:r>
    </w:p>
    <w:p w14:paraId="771451AF" w14:textId="77777777" w:rsidR="00E16EF4" w:rsidRDefault="00E16EF4">
      <w:pPr>
        <w:pStyle w:val="Heading3Ministers"/>
      </w:pPr>
      <w:r w:rsidRPr="00593BE4">
        <w:t>Ingrid Stitt MP</w:t>
      </w:r>
    </w:p>
    <w:p w14:paraId="618EA80C" w14:textId="77777777" w:rsidR="00E16EF4" w:rsidRDefault="00E16EF4">
      <w:pPr>
        <w:pStyle w:val="ARbody"/>
        <w:rPr>
          <w:rFonts w:eastAsia="Times New Roman"/>
          <w:color w:val="323130"/>
          <w:szCs w:val="20"/>
          <w:lang w:val="en-US" w:eastAsia="en-AU"/>
        </w:rPr>
      </w:pPr>
      <w:r w:rsidRPr="00E51CC9">
        <w:rPr>
          <w:rStyle w:val="Strong"/>
        </w:rPr>
        <w:t>Minister for Ageing</w:t>
      </w:r>
      <w:r w:rsidRPr="0007291E">
        <w:rPr>
          <w:rFonts w:eastAsia="Times New Roman"/>
          <w:color w:val="323130"/>
          <w:szCs w:val="20"/>
          <w:lang w:val="en-US" w:eastAsia="en-AU"/>
        </w:rPr>
        <w:t xml:space="preserve"> </w:t>
      </w:r>
    </w:p>
    <w:p w14:paraId="5E719A78" w14:textId="01362DE2" w:rsidR="00E16EF4" w:rsidRPr="00A906A4" w:rsidRDefault="00E16EF4">
      <w:pPr>
        <w:pStyle w:val="ARbody"/>
        <w:rPr>
          <w:rFonts w:eastAsia="Times New Roman"/>
          <w:szCs w:val="20"/>
          <w:lang w:val="en-US" w:eastAsia="en-AU"/>
        </w:rPr>
      </w:pPr>
      <w:r w:rsidRPr="00A906A4">
        <w:rPr>
          <w:rFonts w:eastAsia="Times New Roman"/>
          <w:szCs w:val="20"/>
          <w:lang w:val="en-US" w:eastAsia="en-AU"/>
        </w:rPr>
        <w:t>Minister Stitt has held the position of Minister for Ageing since 2 October 2023. Minister Stitt is also the Minister for Mental Health and Minis</w:t>
      </w:r>
      <w:r w:rsidR="002C7459">
        <w:rPr>
          <w:rFonts w:eastAsia="Times New Roman"/>
          <w:szCs w:val="20"/>
          <w:lang w:val="en-US" w:eastAsia="en-AU"/>
        </w:rPr>
        <w:t>t</w:t>
      </w:r>
      <w:r w:rsidRPr="00A906A4">
        <w:rPr>
          <w:rFonts w:eastAsia="Times New Roman"/>
          <w:szCs w:val="20"/>
          <w:lang w:val="en-US" w:eastAsia="en-AU"/>
        </w:rPr>
        <w:t>er for Multicultural Affairs.</w:t>
      </w:r>
    </w:p>
    <w:p w14:paraId="641C7242" w14:textId="36A46623" w:rsidR="00E16EF4" w:rsidRPr="00A906A4" w:rsidRDefault="00E16EF4">
      <w:pPr>
        <w:pStyle w:val="ARbody"/>
        <w:rPr>
          <w:rFonts w:eastAsia="Times New Roman"/>
          <w:szCs w:val="20"/>
          <w:lang w:val="en-US" w:eastAsia="en-AU"/>
        </w:rPr>
      </w:pPr>
      <w:r w:rsidRPr="00A906A4">
        <w:rPr>
          <w:rFonts w:eastAsia="Times New Roman"/>
          <w:szCs w:val="20"/>
          <w:lang w:val="en-US" w:eastAsia="en-AU"/>
        </w:rPr>
        <w:t>She is passionate about ensuring that older Victorians are supported to age with dignity, stay connected with their community and get the most out of their senior years.</w:t>
      </w:r>
    </w:p>
    <w:p w14:paraId="325848EF" w14:textId="084EE4BA" w:rsidR="00E16EF4" w:rsidRDefault="009F2313" w:rsidP="003C178D">
      <w:pPr>
        <w:pStyle w:val="ARbody"/>
        <w:spacing w:before="400"/>
        <w:rPr>
          <w:rFonts w:eastAsia="Times New Roman"/>
          <w:color w:val="323130"/>
          <w:szCs w:val="20"/>
          <w:lang w:val="en-US" w:eastAsia="en-AU"/>
        </w:rPr>
      </w:pPr>
      <w:r>
        <w:rPr>
          <w:rFonts w:eastAsia="Times New Roman"/>
          <w:color w:val="323130"/>
          <w:szCs w:val="20"/>
          <w:lang w:val="en-US" w:eastAsia="en-AU"/>
        </w:rPr>
        <w:br w:type="column"/>
      </w:r>
      <w:r w:rsidR="0074581A">
        <w:rPr>
          <w:rFonts w:eastAsia="Times New Roman"/>
          <w:noProof/>
          <w:color w:val="323130"/>
          <w:szCs w:val="20"/>
          <w:lang w:val="en-US" w:eastAsia="en-AU"/>
        </w:rPr>
        <w:drawing>
          <wp:inline distT="0" distB="0" distL="0" distR="0" wp14:anchorId="55A95836" wp14:editId="23CD44C3">
            <wp:extent cx="1028252" cy="945808"/>
            <wp:effectExtent l="0" t="0" r="635" b="6985"/>
            <wp:docPr id="1302315338" name="Picture 8" descr="The Hon Ros Spenc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15338" name="Picture 8" descr="The Hon Ros Spence MP"/>
                    <pic:cNvPicPr/>
                  </pic:nvPicPr>
                  <pic:blipFill rotWithShape="1">
                    <a:blip r:embed="rId40" cstate="print">
                      <a:extLst>
                        <a:ext uri="{BEBA8EAE-BF5A-486C-A8C5-ECC9F3942E4B}">
                          <a14:imgProps xmlns:a14="http://schemas.microsoft.com/office/drawing/2010/main">
                            <a14:imgLayer r:embed="rId41">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1038470" cy="955207"/>
                    </a:xfrm>
                    <a:prstGeom prst="rect">
                      <a:avLst/>
                    </a:prstGeom>
                    <a:ln>
                      <a:noFill/>
                    </a:ln>
                    <a:extLst>
                      <a:ext uri="{53640926-AAD7-44D8-BBD7-CCE9431645EC}">
                        <a14:shadowObscured xmlns:a14="http://schemas.microsoft.com/office/drawing/2010/main"/>
                      </a:ext>
                    </a:extLst>
                  </pic:spPr>
                </pic:pic>
              </a:graphicData>
            </a:graphic>
          </wp:inline>
        </w:drawing>
      </w:r>
    </w:p>
    <w:p w14:paraId="461A3C08" w14:textId="77777777" w:rsidR="00E16EF4" w:rsidRPr="002029AF" w:rsidRDefault="00E16EF4">
      <w:pPr>
        <w:pStyle w:val="Heading3Ministers"/>
      </w:pPr>
      <w:r>
        <w:t>The Hon Ros Spence MP</w:t>
      </w:r>
    </w:p>
    <w:p w14:paraId="777DDDC3" w14:textId="77777777" w:rsidR="00E16EF4" w:rsidRPr="00E51CC9" w:rsidRDefault="00E16EF4">
      <w:pPr>
        <w:pStyle w:val="ARbody"/>
        <w:rPr>
          <w:rStyle w:val="Strong"/>
        </w:rPr>
      </w:pPr>
      <w:r w:rsidRPr="00E51CC9">
        <w:rPr>
          <w:rStyle w:val="Strong"/>
        </w:rPr>
        <w:t>Minister for Carers and Volunteers</w:t>
      </w:r>
    </w:p>
    <w:p w14:paraId="32B18065" w14:textId="77777777" w:rsidR="00E16EF4" w:rsidRPr="00C901DF" w:rsidRDefault="00E16EF4">
      <w:pPr>
        <w:pStyle w:val="ARbody"/>
        <w:rPr>
          <w:noProof/>
        </w:rPr>
      </w:pPr>
      <w:r w:rsidRPr="00C901DF">
        <w:rPr>
          <w:noProof/>
        </w:rPr>
        <w:t xml:space="preserve">Minister Spence has held the position of Minister for Carers and Volunteers since October 2023. </w:t>
      </w:r>
    </w:p>
    <w:p w14:paraId="5E977496" w14:textId="77777777" w:rsidR="00E16EF4" w:rsidRPr="00C901DF" w:rsidRDefault="00E16EF4">
      <w:pPr>
        <w:pStyle w:val="ARbody"/>
        <w:rPr>
          <w:noProof/>
        </w:rPr>
      </w:pPr>
      <w:r w:rsidRPr="00C901DF">
        <w:rPr>
          <w:noProof/>
        </w:rPr>
        <w:t>Minister Spence is also the Minister for Community Sport and the Minister for Agriculture.</w:t>
      </w:r>
    </w:p>
    <w:p w14:paraId="45341A7C" w14:textId="409B751C" w:rsidR="00DD5750" w:rsidRDefault="00260320" w:rsidP="005D4A55">
      <w:pPr>
        <w:pStyle w:val="ARbody"/>
        <w:spacing w:before="600"/>
      </w:pPr>
      <w:r>
        <w:rPr>
          <w:noProof/>
        </w:rPr>
        <w:drawing>
          <wp:inline distT="0" distB="0" distL="0" distR="0" wp14:anchorId="26E89D32" wp14:editId="1E12ACAA">
            <wp:extent cx="1270397" cy="1078787"/>
            <wp:effectExtent l="0" t="0" r="6350" b="7620"/>
            <wp:docPr id="1660348542" name="Picture 11" descr="The Hon Harriet Shing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48542" name="Picture 11" descr="The Hon Harriet Shing MP"/>
                    <pic:cNvPicPr/>
                  </pic:nvPicPr>
                  <pic:blipFill rotWithShape="1">
                    <a:blip r:embed="rId42" cstate="print">
                      <a:extLst>
                        <a:ext uri="{BEBA8EAE-BF5A-486C-A8C5-ECC9F3942E4B}">
                          <a14:imgProps xmlns:a14="http://schemas.microsoft.com/office/drawing/2010/main">
                            <a14:imgLayer r:embed="rId43">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1277245" cy="1084602"/>
                    </a:xfrm>
                    <a:prstGeom prst="rect">
                      <a:avLst/>
                    </a:prstGeom>
                    <a:ln>
                      <a:noFill/>
                    </a:ln>
                    <a:extLst>
                      <a:ext uri="{53640926-AAD7-44D8-BBD7-CCE9431645EC}">
                        <a14:shadowObscured xmlns:a14="http://schemas.microsoft.com/office/drawing/2010/main"/>
                      </a:ext>
                    </a:extLst>
                  </pic:spPr>
                </pic:pic>
              </a:graphicData>
            </a:graphic>
          </wp:inline>
        </w:drawing>
      </w:r>
    </w:p>
    <w:p w14:paraId="5A05E33E" w14:textId="4427C818" w:rsidR="00E16EF4" w:rsidRPr="002029AF" w:rsidRDefault="00E16EF4">
      <w:pPr>
        <w:pStyle w:val="Heading3Ministers"/>
      </w:pPr>
      <w:r>
        <w:t>The Hon Harriet Shing MP</w:t>
      </w:r>
    </w:p>
    <w:p w14:paraId="2EEBB4D7" w14:textId="77777777" w:rsidR="00E16EF4" w:rsidRPr="00E51CC9" w:rsidRDefault="00E16EF4">
      <w:pPr>
        <w:pStyle w:val="ARbodynospace"/>
        <w:rPr>
          <w:rStyle w:val="Strong"/>
        </w:rPr>
      </w:pPr>
      <w:r w:rsidRPr="00E51CC9">
        <w:rPr>
          <w:rStyle w:val="Strong"/>
        </w:rPr>
        <w:t>Minister for Housing</w:t>
      </w:r>
      <w:r>
        <w:rPr>
          <w:rStyle w:val="Strong"/>
        </w:rPr>
        <w:t xml:space="preserve"> and Building</w:t>
      </w:r>
    </w:p>
    <w:p w14:paraId="2385647D" w14:textId="345F5279" w:rsidR="00E16EF4" w:rsidRPr="00507015" w:rsidRDefault="00E16EF4">
      <w:pPr>
        <w:pStyle w:val="ARbody"/>
        <w:rPr>
          <w:rFonts w:eastAsia="Times New Roman"/>
          <w:color w:val="323130"/>
          <w:szCs w:val="20"/>
          <w:u w:val="single"/>
          <w:lang w:val="en-US" w:eastAsia="en-AU"/>
        </w:rPr>
      </w:pPr>
      <w:r w:rsidRPr="00507015">
        <w:rPr>
          <w:rFonts w:eastAsia="Times New Roman"/>
          <w:color w:val="323130"/>
          <w:szCs w:val="20"/>
          <w:lang w:val="en-US" w:eastAsia="en-AU"/>
        </w:rPr>
        <w:t xml:space="preserve">Minister Shing has held the position of Minister for Housing and Building since October 2023. Minister Shing is also the Minister </w:t>
      </w:r>
      <w:r w:rsidR="00287110">
        <w:rPr>
          <w:rFonts w:eastAsia="Times New Roman"/>
          <w:color w:val="323130"/>
          <w:szCs w:val="20"/>
          <w:lang w:val="en-US" w:eastAsia="en-AU"/>
        </w:rPr>
        <w:t xml:space="preserve">for </w:t>
      </w:r>
      <w:r w:rsidRPr="00507015">
        <w:rPr>
          <w:rFonts w:eastAsia="Times New Roman"/>
          <w:color w:val="323130"/>
          <w:szCs w:val="20"/>
          <w:lang w:val="en-US" w:eastAsia="en-AU"/>
        </w:rPr>
        <w:t>the Suburban Rail Loop and Minister for Development Victoria and</w:t>
      </w:r>
      <w:r w:rsidR="00820E53">
        <w:rPr>
          <w:rFonts w:eastAsia="Times New Roman"/>
          <w:color w:val="323130"/>
          <w:szCs w:val="20"/>
          <w:lang w:val="en-US" w:eastAsia="en-AU"/>
        </w:rPr>
        <w:t> </w:t>
      </w:r>
      <w:r w:rsidRPr="00507015">
        <w:rPr>
          <w:rFonts w:eastAsia="Times New Roman"/>
          <w:color w:val="323130"/>
          <w:szCs w:val="20"/>
          <w:lang w:val="en-US" w:eastAsia="en-AU"/>
        </w:rPr>
        <w:t>Precincts.</w:t>
      </w:r>
    </w:p>
    <w:p w14:paraId="4F6CD4B8" w14:textId="77777777" w:rsidR="00E16EF4" w:rsidRPr="00507015" w:rsidRDefault="00E16EF4">
      <w:pPr>
        <w:pStyle w:val="ARbody"/>
        <w:rPr>
          <w:rFonts w:eastAsia="Times New Roman"/>
          <w:color w:val="323130"/>
          <w:szCs w:val="20"/>
          <w:lang w:val="en-US" w:eastAsia="en-AU"/>
        </w:rPr>
      </w:pPr>
      <w:r w:rsidRPr="00507015">
        <w:rPr>
          <w:rFonts w:eastAsia="Times New Roman"/>
          <w:color w:val="323130"/>
          <w:szCs w:val="20"/>
          <w:lang w:val="en-US" w:eastAsia="en-AU"/>
        </w:rPr>
        <w:t xml:space="preserve">Minister Shing previously held the positions of Minister for Equality and Minister for Water from June 2022 to December 2024. </w:t>
      </w:r>
    </w:p>
    <w:p w14:paraId="1D29715C" w14:textId="578A3F7E" w:rsidR="009F2313" w:rsidRDefault="009F2313" w:rsidP="00DD5750">
      <w:pPr>
        <w:pStyle w:val="ARbody"/>
        <w:spacing w:before="1200"/>
        <w:rPr>
          <w:noProof/>
        </w:rPr>
      </w:pPr>
      <w:r>
        <w:rPr>
          <w:noProof/>
        </w:rPr>
        <w:br w:type="page"/>
      </w:r>
    </w:p>
    <w:p w14:paraId="08C5E580" w14:textId="25667A7B" w:rsidR="009F2313" w:rsidRDefault="00D019D5" w:rsidP="00E623B0">
      <w:pPr>
        <w:pStyle w:val="ARbody"/>
        <w:rPr>
          <w:noProof/>
        </w:rPr>
      </w:pPr>
      <w:r>
        <w:rPr>
          <w:noProof/>
        </w:rPr>
        <w:lastRenderedPageBreak/>
        <w:drawing>
          <wp:inline distT="0" distB="0" distL="0" distR="0" wp14:anchorId="67758C0F" wp14:editId="4CE548EB">
            <wp:extent cx="970844" cy="1041936"/>
            <wp:effectExtent l="0" t="0" r="1270" b="6350"/>
            <wp:docPr id="502680776" name="Picture 14" descr="The Hon Vicki Ward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80776" name="Picture 14" descr="The Hon Vicki Ward MP"/>
                    <pic:cNvPicPr/>
                  </pic:nvPicPr>
                  <pic:blipFill rotWithShape="1">
                    <a:blip r:embed="rId44" cstate="print">
                      <a:extLst>
                        <a:ext uri="{BEBA8EAE-BF5A-486C-A8C5-ECC9F3942E4B}">
                          <a14:imgProps xmlns:a14="http://schemas.microsoft.com/office/drawing/2010/main">
                            <a14:imgLayer r:embed="rId45">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976340" cy="1047835"/>
                    </a:xfrm>
                    <a:prstGeom prst="rect">
                      <a:avLst/>
                    </a:prstGeom>
                    <a:ln>
                      <a:noFill/>
                    </a:ln>
                    <a:extLst>
                      <a:ext uri="{53640926-AAD7-44D8-BBD7-CCE9431645EC}">
                        <a14:shadowObscured xmlns:a14="http://schemas.microsoft.com/office/drawing/2010/main"/>
                      </a:ext>
                    </a:extLst>
                  </pic:spPr>
                </pic:pic>
              </a:graphicData>
            </a:graphic>
          </wp:inline>
        </w:drawing>
      </w:r>
    </w:p>
    <w:p w14:paraId="2C8748E4" w14:textId="77777777" w:rsidR="00E16EF4" w:rsidRDefault="00E16EF4">
      <w:pPr>
        <w:pStyle w:val="Heading3Ministers"/>
      </w:pPr>
      <w:bookmarkStart w:id="41" w:name="VickiWardMP"/>
      <w:r w:rsidRPr="00B2082E">
        <w:t>The Hon Vicki Ward MP</w:t>
      </w:r>
    </w:p>
    <w:bookmarkEnd w:id="41"/>
    <w:p w14:paraId="5D04252C" w14:textId="77777777" w:rsidR="00E16EF4" w:rsidRPr="00E51CC9" w:rsidRDefault="00E16EF4">
      <w:pPr>
        <w:pStyle w:val="ARbody"/>
        <w:rPr>
          <w:rStyle w:val="Strong"/>
        </w:rPr>
      </w:pPr>
      <w:r w:rsidRPr="00E51CC9">
        <w:rPr>
          <w:rStyle w:val="Strong"/>
        </w:rPr>
        <w:t>Minister for Equality</w:t>
      </w:r>
    </w:p>
    <w:p w14:paraId="0312FABB" w14:textId="113D1C76" w:rsidR="00E16EF4" w:rsidRDefault="00E16EF4">
      <w:pPr>
        <w:pStyle w:val="ARbody"/>
        <w:rPr>
          <w:rFonts w:eastAsia="Times New Roman"/>
          <w:color w:val="323130"/>
          <w:szCs w:val="20"/>
          <w:lang w:val="en-US" w:eastAsia="en-AU"/>
        </w:rPr>
      </w:pPr>
      <w:r w:rsidRPr="00CF0324">
        <w:rPr>
          <w:rFonts w:eastAsia="Times New Roman"/>
          <w:color w:val="323130"/>
          <w:szCs w:val="20"/>
          <w:lang w:val="en-US" w:eastAsia="en-AU"/>
        </w:rPr>
        <w:t>Minister Ward has held the position of Minister for Equality since December 2024.</w:t>
      </w:r>
      <w:r>
        <w:rPr>
          <w:rFonts w:eastAsia="Times New Roman"/>
          <w:color w:val="323130"/>
          <w:szCs w:val="20"/>
          <w:lang w:val="en-US" w:eastAsia="en-AU"/>
        </w:rPr>
        <w:t xml:space="preserve"> Minister Ward is also the Minister for Emergency Services and Minister for Natural Disaster Recovery.</w:t>
      </w:r>
    </w:p>
    <w:p w14:paraId="0A298113" w14:textId="77777777" w:rsidR="00E16EF4" w:rsidRDefault="00E16EF4">
      <w:pPr>
        <w:pStyle w:val="ARbody"/>
        <w:rPr>
          <w:rFonts w:eastAsia="Times New Roman"/>
          <w:color w:val="323130"/>
          <w:szCs w:val="20"/>
          <w:lang w:val="en-US" w:eastAsia="en-AU"/>
        </w:rPr>
      </w:pPr>
      <w:r>
        <w:rPr>
          <w:rFonts w:eastAsia="Times New Roman"/>
          <w:color w:val="323130"/>
          <w:szCs w:val="20"/>
          <w:lang w:val="en-US" w:eastAsia="en-AU"/>
        </w:rPr>
        <w:t>Minister Ward previously held the position of Minister for Prevention of Family Violence and Minister for Employment from October 2023 to December 2024.</w:t>
      </w:r>
    </w:p>
    <w:p w14:paraId="490F2115" w14:textId="5F7DAE87" w:rsidR="00E16EF4" w:rsidRDefault="002A4283" w:rsidP="00E623B0">
      <w:pPr>
        <w:pStyle w:val="ARbody"/>
        <w:spacing w:before="600"/>
        <w:rPr>
          <w:noProof/>
        </w:rPr>
      </w:pPr>
      <w:r>
        <w:rPr>
          <w:noProof/>
        </w:rPr>
        <w:drawing>
          <wp:inline distT="0" distB="0" distL="0" distR="0" wp14:anchorId="739D4928" wp14:editId="163A89FF">
            <wp:extent cx="1174781" cy="954156"/>
            <wp:effectExtent l="0" t="0" r="6350" b="0"/>
            <wp:docPr id="131073579" name="Picture 11" descr="The Hon Natalie Hutchins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3579" name="Picture 11" descr="The Hon Natalie Hutchins MP"/>
                    <pic:cNvPicPr/>
                  </pic:nvPicPr>
                  <pic:blipFill rotWithShape="1">
                    <a:blip r:embed="rId46" cstate="print">
                      <a:extLst>
                        <a:ext uri="{BEBA8EAE-BF5A-486C-A8C5-ECC9F3942E4B}">
                          <a14:imgProps xmlns:a14="http://schemas.microsoft.com/office/drawing/2010/main">
                            <a14:imgLayer r:embed="rId47">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1189090" cy="965778"/>
                    </a:xfrm>
                    <a:prstGeom prst="rect">
                      <a:avLst/>
                    </a:prstGeom>
                    <a:ln>
                      <a:noFill/>
                    </a:ln>
                    <a:extLst>
                      <a:ext uri="{53640926-AAD7-44D8-BBD7-CCE9431645EC}">
                        <a14:shadowObscured xmlns:a14="http://schemas.microsoft.com/office/drawing/2010/main"/>
                      </a:ext>
                    </a:extLst>
                  </pic:spPr>
                </pic:pic>
              </a:graphicData>
            </a:graphic>
          </wp:inline>
        </w:drawing>
      </w:r>
    </w:p>
    <w:p w14:paraId="0DC0DD1C" w14:textId="77777777" w:rsidR="00E16EF4" w:rsidRPr="002029AF" w:rsidRDefault="00E16EF4">
      <w:pPr>
        <w:pStyle w:val="Heading3Ministers"/>
      </w:pPr>
      <w:r>
        <w:t>The Hon Natalie Hutchins MP</w:t>
      </w:r>
    </w:p>
    <w:p w14:paraId="3AEF207D" w14:textId="77777777" w:rsidR="00E16EF4" w:rsidRPr="002774B2" w:rsidRDefault="00E16EF4">
      <w:pPr>
        <w:pStyle w:val="ARbody"/>
        <w:spacing w:after="0"/>
        <w:rPr>
          <w:rStyle w:val="Strong"/>
        </w:rPr>
      </w:pPr>
      <w:r w:rsidRPr="002774B2">
        <w:rPr>
          <w:rStyle w:val="Strong"/>
        </w:rPr>
        <w:t xml:space="preserve">Minister for Prevention of Family Violence </w:t>
      </w:r>
    </w:p>
    <w:p w14:paraId="02BE206C" w14:textId="77777777" w:rsidR="00E16EF4" w:rsidRPr="002774B2" w:rsidRDefault="00E16EF4">
      <w:pPr>
        <w:pStyle w:val="ARbody"/>
        <w:spacing w:after="0"/>
        <w:rPr>
          <w:rStyle w:val="Strong"/>
        </w:rPr>
      </w:pPr>
      <w:r w:rsidRPr="002774B2">
        <w:rPr>
          <w:rStyle w:val="Strong"/>
        </w:rPr>
        <w:t>Minister for Women</w:t>
      </w:r>
    </w:p>
    <w:p w14:paraId="4C5F447C" w14:textId="77777777" w:rsidR="00E16EF4" w:rsidRPr="00C901DF" w:rsidRDefault="00E16EF4">
      <w:pPr>
        <w:pStyle w:val="ARbody"/>
        <w:rPr>
          <w:lang w:val="en-US" w:eastAsia="en-AU"/>
        </w:rPr>
      </w:pPr>
      <w:r w:rsidRPr="00C901DF">
        <w:rPr>
          <w:rFonts w:eastAsia="Times New Roman"/>
          <w:color w:val="323130"/>
          <w:szCs w:val="20"/>
          <w:lang w:val="en-US" w:eastAsia="en-AU"/>
        </w:rPr>
        <w:t xml:space="preserve">Minister Hutchins has held the position of Minister for Women since July 2022. </w:t>
      </w:r>
    </w:p>
    <w:p w14:paraId="436E13B2" w14:textId="147B8AD3" w:rsidR="00DD5750" w:rsidRPr="00183BA9" w:rsidRDefault="00E16EF4" w:rsidP="00E623B0">
      <w:pPr>
        <w:pStyle w:val="ARbody"/>
      </w:pPr>
      <w:bookmarkStart w:id="42" w:name="_Hlk110889098"/>
      <w:r w:rsidRPr="00C901DF">
        <w:rPr>
          <w:noProof/>
        </w:rPr>
        <w:t xml:space="preserve">Minister Hutchins has held the position of Minister for Prevention of Family Violence since December 2024. </w:t>
      </w:r>
      <w:bookmarkEnd w:id="42"/>
      <w:r w:rsidRPr="00C901DF">
        <w:rPr>
          <w:rFonts w:eastAsia="Times New Roman"/>
          <w:color w:val="323130"/>
          <w:szCs w:val="20"/>
          <w:lang w:val="en-US" w:eastAsia="en-AU"/>
        </w:rPr>
        <w:t>Minister Hutchins also serves as the Minister for Government Services and Minister for Treaty and First Peoples.</w:t>
      </w:r>
      <w:r w:rsidR="009F2313">
        <w:rPr>
          <w:rFonts w:eastAsia="Times New Roman"/>
          <w:color w:val="323130"/>
          <w:szCs w:val="20"/>
          <w:lang w:val="en-US" w:eastAsia="en-AU"/>
        </w:rPr>
        <w:br w:type="column"/>
      </w:r>
      <w:r w:rsidR="00425D51">
        <w:rPr>
          <w:noProof/>
        </w:rPr>
        <w:drawing>
          <wp:inline distT="0" distB="0" distL="0" distR="0" wp14:anchorId="628973C0" wp14:editId="0875D771">
            <wp:extent cx="995685" cy="993422"/>
            <wp:effectExtent l="0" t="0" r="0" b="0"/>
            <wp:docPr id="2016814284" name="Picture 7" descr="The Hon Natalie Suleyman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814284" name="Picture 7" descr="The Hon Natalie Suleyman MP"/>
                    <pic:cNvPicPr/>
                  </pic:nvPicPr>
                  <pic:blipFill rotWithShape="1">
                    <a:blip r:embed="rId48" cstate="print">
                      <a:extLst>
                        <a:ext uri="{BEBA8EAE-BF5A-486C-A8C5-ECC9F3942E4B}">
                          <a14:imgProps xmlns:a14="http://schemas.microsoft.com/office/drawing/2010/main">
                            <a14:imgLayer r:embed="rId49">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1002439" cy="1000161"/>
                    </a:xfrm>
                    <a:prstGeom prst="rect">
                      <a:avLst/>
                    </a:prstGeom>
                    <a:ln>
                      <a:noFill/>
                    </a:ln>
                    <a:extLst>
                      <a:ext uri="{53640926-AAD7-44D8-BBD7-CCE9431645EC}">
                        <a14:shadowObscured xmlns:a14="http://schemas.microsoft.com/office/drawing/2010/main"/>
                      </a:ext>
                    </a:extLst>
                  </pic:spPr>
                </pic:pic>
              </a:graphicData>
            </a:graphic>
          </wp:inline>
        </w:drawing>
      </w:r>
    </w:p>
    <w:p w14:paraId="71E5BEE1" w14:textId="5C381267" w:rsidR="00E16EF4" w:rsidRPr="002029AF" w:rsidRDefault="00E16EF4">
      <w:pPr>
        <w:pStyle w:val="Heading3Ministers"/>
      </w:pPr>
      <w:r w:rsidRPr="004F21CA">
        <w:t>The Hon Natalie Suleyman</w:t>
      </w:r>
      <w:r w:rsidR="00B65CB3">
        <w:t xml:space="preserve"> MP</w:t>
      </w:r>
    </w:p>
    <w:p w14:paraId="15D8A930" w14:textId="77777777" w:rsidR="00E16EF4" w:rsidRPr="00E51CC9" w:rsidRDefault="00E16EF4">
      <w:pPr>
        <w:pStyle w:val="ARbodynospace"/>
        <w:rPr>
          <w:rStyle w:val="Strong"/>
        </w:rPr>
      </w:pPr>
      <w:r w:rsidRPr="00E51CC9">
        <w:rPr>
          <w:rStyle w:val="Strong"/>
        </w:rPr>
        <w:t>Minister for Veterans</w:t>
      </w:r>
    </w:p>
    <w:p w14:paraId="33DF5C32" w14:textId="77777777" w:rsidR="00E16EF4" w:rsidRPr="00E51CC9" w:rsidRDefault="00E16EF4">
      <w:pPr>
        <w:pStyle w:val="ARbody"/>
        <w:rPr>
          <w:rStyle w:val="Strong"/>
          <w:b w:val="0"/>
          <w:bCs w:val="0"/>
        </w:rPr>
      </w:pPr>
      <w:r w:rsidRPr="00E51CC9">
        <w:rPr>
          <w:rStyle w:val="Strong"/>
        </w:rPr>
        <w:t>Minister for Youth</w:t>
      </w:r>
    </w:p>
    <w:p w14:paraId="6D331550" w14:textId="77777777" w:rsidR="009A3EE5" w:rsidRDefault="00E16EF4">
      <w:pPr>
        <w:pStyle w:val="ARbody"/>
      </w:pPr>
      <w:r w:rsidRPr="00C901DF">
        <w:t>Minister Suleyman has held the positions of Minister for Veterans and Minister for Youth since December 2022. Minister Suleyman is also the Minister for Small Business and Employment.</w:t>
      </w:r>
    </w:p>
    <w:p w14:paraId="56193C6B" w14:textId="77777777" w:rsidR="009A3EE5" w:rsidRDefault="009A3EE5">
      <w:pPr>
        <w:pStyle w:val="ARbody"/>
        <w:sectPr w:rsidR="009A3EE5" w:rsidSect="007F43B1">
          <w:headerReference w:type="even" r:id="rId50"/>
          <w:footerReference w:type="even" r:id="rId51"/>
          <w:footerReference w:type="default" r:id="rId52"/>
          <w:headerReference w:type="first" r:id="rId53"/>
          <w:footerReference w:type="first" r:id="rId54"/>
          <w:endnotePr>
            <w:numFmt w:val="decimal"/>
          </w:endnotePr>
          <w:type w:val="continuous"/>
          <w:pgSz w:w="11900" w:h="16840" w:code="9"/>
          <w:pgMar w:top="1588" w:right="1134" w:bottom="851" w:left="1134" w:header="510" w:footer="340" w:gutter="0"/>
          <w:cols w:num="2" w:space="454"/>
        </w:sectPr>
      </w:pPr>
    </w:p>
    <w:p w14:paraId="3CB44D40" w14:textId="77777777" w:rsidR="009A3EE5" w:rsidRDefault="00E16EF4" w:rsidP="0072340E">
      <w:pPr>
        <w:pStyle w:val="Heading2"/>
        <w:spacing w:before="0"/>
        <w:sectPr w:rsidR="009A3EE5" w:rsidSect="007F43B1">
          <w:endnotePr>
            <w:numFmt w:val="decimal"/>
          </w:endnotePr>
          <w:pgSz w:w="11900" w:h="16840" w:code="9"/>
          <w:pgMar w:top="1588" w:right="1134" w:bottom="851" w:left="1134" w:header="510" w:footer="340" w:gutter="0"/>
          <w:cols w:space="454"/>
        </w:sectPr>
      </w:pPr>
      <w:bookmarkStart w:id="43" w:name="_Toc212039513"/>
      <w:r w:rsidRPr="002029AF">
        <w:lastRenderedPageBreak/>
        <w:t>The department</w:t>
      </w:r>
      <w:r>
        <w:t>’</w:t>
      </w:r>
      <w:r w:rsidRPr="002029AF">
        <w:t xml:space="preserve">s senior </w:t>
      </w:r>
      <w:bookmarkEnd w:id="40"/>
      <w:r w:rsidRPr="002029AF">
        <w:t>executive</w:t>
      </w:r>
      <w:r>
        <w:t>s</w:t>
      </w:r>
      <w:bookmarkEnd w:id="43"/>
    </w:p>
    <w:p w14:paraId="43EA12C6" w14:textId="77777777" w:rsidR="00E16EF4" w:rsidRPr="00E16EF4" w:rsidRDefault="00E16EF4">
      <w:pPr>
        <w:pStyle w:val="Heading3"/>
        <w:rPr>
          <w:color w:val="004A46" w:themeColor="accent6" w:themeShade="BF"/>
        </w:rPr>
      </w:pPr>
      <w:r w:rsidRPr="00196EC8">
        <w:t>Peta McCammon PSM</w:t>
      </w:r>
    </w:p>
    <w:p w14:paraId="05DEFFD0" w14:textId="77777777" w:rsidR="00E16EF4" w:rsidRPr="009F2313" w:rsidRDefault="00E16EF4" w:rsidP="009F2313">
      <w:pPr>
        <w:pStyle w:val="ARbody"/>
        <w:rPr>
          <w:rStyle w:val="Strong"/>
          <w:b w:val="0"/>
          <w:bCs w:val="0"/>
        </w:rPr>
      </w:pPr>
      <w:r w:rsidRPr="00707EE6">
        <w:rPr>
          <w:rStyle w:val="Strong"/>
        </w:rPr>
        <w:t>Secretary</w:t>
      </w:r>
    </w:p>
    <w:p w14:paraId="570885C9" w14:textId="4E3E7F4B" w:rsidR="00E16EF4" w:rsidRPr="00707EE6" w:rsidRDefault="00E16EF4" w:rsidP="0020221C">
      <w:pPr>
        <w:pStyle w:val="ARbody"/>
        <w:spacing w:line="240" w:lineRule="atLeast"/>
      </w:pPr>
      <w:r w:rsidRPr="00707EE6">
        <w:rPr>
          <w:spacing w:val="-4"/>
        </w:rPr>
        <w:t xml:space="preserve">Peta has built a successful career over the </w:t>
      </w:r>
      <w:r>
        <w:rPr>
          <w:spacing w:val="-4"/>
        </w:rPr>
        <w:t>p</w:t>
      </w:r>
      <w:r w:rsidRPr="00707EE6">
        <w:rPr>
          <w:spacing w:val="-4"/>
        </w:rPr>
        <w:t xml:space="preserve">ast 20 years in the Victorian Public Service. </w:t>
      </w:r>
      <w:r>
        <w:rPr>
          <w:spacing w:val="-4"/>
        </w:rPr>
        <w:t xml:space="preserve">Before taking the role of </w:t>
      </w:r>
      <w:r w:rsidRPr="00707EE6">
        <w:rPr>
          <w:spacing w:val="-4"/>
        </w:rPr>
        <w:t>Secretary at the Department of Families, Fairness and Housing, Peta was Associate Secretary at the Department of Justice and Community Safety</w:t>
      </w:r>
      <w:r>
        <w:rPr>
          <w:spacing w:val="-4"/>
        </w:rPr>
        <w:t>. This included</w:t>
      </w:r>
      <w:r w:rsidRPr="00707EE6">
        <w:rPr>
          <w:spacing w:val="-4"/>
        </w:rPr>
        <w:t> policy areas such as Youth Justice and service delivery reform, as well as other key internal</w:t>
      </w:r>
      <w:r w:rsidR="009F2313">
        <w:rPr>
          <w:spacing w:val="-4"/>
        </w:rPr>
        <w:t> </w:t>
      </w:r>
      <w:r w:rsidRPr="00707EE6">
        <w:rPr>
          <w:spacing w:val="-4"/>
        </w:rPr>
        <w:t>functions</w:t>
      </w:r>
      <w:r w:rsidRPr="00707EE6">
        <w:t>.</w:t>
      </w:r>
    </w:p>
    <w:p w14:paraId="7D0144D6" w14:textId="77777777" w:rsidR="00E16EF4" w:rsidRPr="00707EE6" w:rsidRDefault="00E16EF4" w:rsidP="0020221C">
      <w:pPr>
        <w:pStyle w:val="ARbody"/>
        <w:spacing w:line="240" w:lineRule="atLeast"/>
      </w:pPr>
      <w:proofErr w:type="gramStart"/>
      <w:r w:rsidRPr="00707EE6">
        <w:t>Previous to</w:t>
      </w:r>
      <w:proofErr w:type="gramEnd"/>
      <w:r w:rsidRPr="00707EE6">
        <w:t xml:space="preserve"> this, Peta was Deputy Secretary of Service Delivery Reform, Coordination and Workplace Safety Division. Her Victorian Public Service career has also included senior roles at the Department of Premier and Cabinet, the Department of Treasury and Finance and the then Department of Human Services.</w:t>
      </w:r>
    </w:p>
    <w:p w14:paraId="34BAB742" w14:textId="77777777" w:rsidR="00E16EF4" w:rsidRPr="00532DAE" w:rsidRDefault="00E16EF4" w:rsidP="0020221C">
      <w:pPr>
        <w:pStyle w:val="ARbody"/>
        <w:spacing w:line="240" w:lineRule="atLeast"/>
      </w:pPr>
      <w:r w:rsidRPr="00707EE6">
        <w:t>Peta is committed to social policy reform and has led reforms in family violence and the implementation of the 227 Royal Commission recommendations, mental health, and the National Disability Insurance Scheme.</w:t>
      </w:r>
    </w:p>
    <w:p w14:paraId="7A154001" w14:textId="77777777" w:rsidR="00E16EF4" w:rsidRPr="00C26D24" w:rsidRDefault="00E16EF4">
      <w:pPr>
        <w:pStyle w:val="Heading3"/>
      </w:pPr>
      <w:r w:rsidRPr="00C26D24">
        <w:t xml:space="preserve">Raylene </w:t>
      </w:r>
      <w:r w:rsidRPr="00E16EF4">
        <w:rPr>
          <w:color w:val="004A46" w:themeColor="accent6" w:themeShade="BF"/>
        </w:rPr>
        <w:t>Harradine</w:t>
      </w:r>
    </w:p>
    <w:p w14:paraId="1C456F2F" w14:textId="08BFFA20" w:rsidR="00E16EF4" w:rsidRPr="00707EE6" w:rsidRDefault="00E16EF4">
      <w:pPr>
        <w:pStyle w:val="ARbody"/>
        <w:rPr>
          <w:rStyle w:val="Strong"/>
        </w:rPr>
      </w:pPr>
      <w:r w:rsidRPr="00707EE6">
        <w:rPr>
          <w:rStyle w:val="Strong"/>
        </w:rPr>
        <w:t xml:space="preserve">Deputy Secretary – Aboriginal </w:t>
      </w:r>
      <w:r w:rsidRPr="00707EE6">
        <w:rPr>
          <w:rStyle w:val="Strong"/>
        </w:rPr>
        <w:br/>
        <w:t>Self-</w:t>
      </w:r>
      <w:r w:rsidR="00FE68DB">
        <w:rPr>
          <w:rStyle w:val="Strong"/>
        </w:rPr>
        <w:t>d</w:t>
      </w:r>
      <w:r w:rsidRPr="00707EE6">
        <w:rPr>
          <w:rStyle w:val="Strong"/>
        </w:rPr>
        <w:t>etermination and Outcomes</w:t>
      </w:r>
    </w:p>
    <w:p w14:paraId="2EC72BA0" w14:textId="77777777" w:rsidR="00E16EF4" w:rsidRPr="00707EE6" w:rsidRDefault="00E16EF4" w:rsidP="0020221C">
      <w:pPr>
        <w:pStyle w:val="ARbody"/>
        <w:spacing w:line="240" w:lineRule="atLeast"/>
        <w:rPr>
          <w:sz w:val="16"/>
        </w:rPr>
      </w:pPr>
      <w:r w:rsidRPr="00707EE6">
        <w:t xml:space="preserve">Raylene is the Deputy Secretary of the Aboriginal Self-determination and Outcomes Division (ASDO). Raylene is a proud </w:t>
      </w:r>
      <w:proofErr w:type="spellStart"/>
      <w:r w:rsidRPr="00707EE6">
        <w:t>Wotjabulluk</w:t>
      </w:r>
      <w:proofErr w:type="spellEnd"/>
      <w:r w:rsidRPr="00707EE6">
        <w:t xml:space="preserve">, </w:t>
      </w:r>
      <w:proofErr w:type="spellStart"/>
      <w:r w:rsidRPr="00707EE6">
        <w:t>Latje</w:t>
      </w:r>
      <w:proofErr w:type="spellEnd"/>
      <w:r w:rsidRPr="00707EE6">
        <w:t xml:space="preserve"> </w:t>
      </w:r>
      <w:proofErr w:type="spellStart"/>
      <w:r w:rsidRPr="00707EE6">
        <w:t>Latje</w:t>
      </w:r>
      <w:proofErr w:type="spellEnd"/>
      <w:r w:rsidRPr="00707EE6">
        <w:t xml:space="preserve"> and </w:t>
      </w:r>
      <w:proofErr w:type="spellStart"/>
      <w:r w:rsidRPr="00707EE6">
        <w:t>Djaara</w:t>
      </w:r>
      <w:proofErr w:type="spellEnd"/>
      <w:r w:rsidRPr="00707EE6">
        <w:t xml:space="preserve"> woman who has worked in senior leadership positions within Aboriginal communities for over 20 years.</w:t>
      </w:r>
    </w:p>
    <w:p w14:paraId="29E172E4" w14:textId="77777777" w:rsidR="00E16EF4" w:rsidRPr="00707EE6" w:rsidRDefault="00E16EF4" w:rsidP="0020221C">
      <w:pPr>
        <w:pStyle w:val="ARbody"/>
        <w:spacing w:line="240" w:lineRule="atLeast"/>
        <w:rPr>
          <w:sz w:val="16"/>
        </w:rPr>
      </w:pPr>
      <w:r w:rsidRPr="00707EE6">
        <w:rPr>
          <w:spacing w:val="-4"/>
        </w:rPr>
        <w:t>Prior to joining ASDO in late 2022, Raylene came from the Bendigo &amp; District Aboriginal Cooperative, as the Chief Executive Officer. Her previous roles include positions in the Department of Justice and Regulation, as well as the health and education sectors</w:t>
      </w:r>
      <w:r w:rsidRPr="00707EE6">
        <w:t>.</w:t>
      </w:r>
    </w:p>
    <w:p w14:paraId="49015F88" w14:textId="6C52CA8C" w:rsidR="00E16EF4" w:rsidRPr="00E6224B" w:rsidRDefault="00E16EF4" w:rsidP="0020221C">
      <w:pPr>
        <w:pStyle w:val="ARbody"/>
        <w:spacing w:line="240" w:lineRule="atLeast"/>
        <w:rPr>
          <w:rStyle w:val="Emphasis"/>
        </w:rPr>
      </w:pPr>
      <w:r w:rsidRPr="00707EE6">
        <w:t xml:space="preserve">Raylene played a key role in the first rural Victorian </w:t>
      </w:r>
      <w:r>
        <w:t>a</w:t>
      </w:r>
      <w:r w:rsidRPr="00707EE6">
        <w:t xml:space="preserve">uthorisation of </w:t>
      </w:r>
      <w:r>
        <w:t>c</w:t>
      </w:r>
      <w:r w:rsidRPr="00707EE6">
        <w:t xml:space="preserve">hildren in </w:t>
      </w:r>
      <w:r>
        <w:t>o</w:t>
      </w:r>
      <w:r w:rsidRPr="00707EE6">
        <w:t>ut</w:t>
      </w:r>
      <w:r>
        <w:t>-</w:t>
      </w:r>
      <w:r w:rsidRPr="00707EE6">
        <w:t>of</w:t>
      </w:r>
      <w:r>
        <w:t>-h</w:t>
      </w:r>
      <w:r w:rsidRPr="00707EE6">
        <w:t xml:space="preserve">ome </w:t>
      </w:r>
      <w:r>
        <w:t>c</w:t>
      </w:r>
      <w:r w:rsidRPr="00707EE6">
        <w:t xml:space="preserve">are under </w:t>
      </w:r>
      <w:r w:rsidR="009B7746">
        <w:t>s.</w:t>
      </w:r>
      <w:r w:rsidR="009B7746" w:rsidRPr="00707EE6">
        <w:t xml:space="preserve"> </w:t>
      </w:r>
      <w:r w:rsidRPr="00707EE6">
        <w:t xml:space="preserve">18 of the </w:t>
      </w:r>
      <w:r w:rsidRPr="00E6224B">
        <w:rPr>
          <w:rStyle w:val="Emphasis"/>
        </w:rPr>
        <w:t>Child</w:t>
      </w:r>
      <w:r w:rsidR="00595A9F">
        <w:rPr>
          <w:rStyle w:val="Emphasis"/>
        </w:rPr>
        <w:t>ren</w:t>
      </w:r>
      <w:r w:rsidRPr="00E6224B">
        <w:rPr>
          <w:rStyle w:val="Emphasis"/>
        </w:rPr>
        <w:t>, Youth and Famil</w:t>
      </w:r>
      <w:r w:rsidR="00595A9F">
        <w:rPr>
          <w:rStyle w:val="Emphasis"/>
        </w:rPr>
        <w:t>ies</w:t>
      </w:r>
      <w:r w:rsidRPr="00E6224B">
        <w:rPr>
          <w:rStyle w:val="Emphasis"/>
        </w:rPr>
        <w:t xml:space="preserve"> Act 2005.</w:t>
      </w:r>
    </w:p>
    <w:p w14:paraId="54BAC1EA" w14:textId="77777777" w:rsidR="00E16EF4" w:rsidRPr="00707EE6" w:rsidRDefault="00E16EF4" w:rsidP="0020221C">
      <w:pPr>
        <w:pStyle w:val="ARbody"/>
        <w:spacing w:line="240" w:lineRule="atLeast"/>
      </w:pPr>
      <w:r w:rsidRPr="00707EE6">
        <w:rPr>
          <w:szCs w:val="20"/>
        </w:rPr>
        <w:t xml:space="preserve">In 2006, she received the Public Service Medal for her outstanding </w:t>
      </w:r>
      <w:r w:rsidRPr="00707EE6">
        <w:t>work with Aboriginal communities.</w:t>
      </w:r>
    </w:p>
    <w:p w14:paraId="2C88732A" w14:textId="77777777" w:rsidR="00527D15" w:rsidRDefault="00E16EF4" w:rsidP="00527D15">
      <w:pPr>
        <w:pStyle w:val="ARbody"/>
      </w:pPr>
      <w:r w:rsidRPr="00707EE6">
        <w:t>Raylene was an active member of the First Peoples’ Assembly Victoria and working towards culturally inclusive practices and equity for all.</w:t>
      </w:r>
    </w:p>
    <w:p w14:paraId="0263B3FC" w14:textId="50A6DD66" w:rsidR="00E16EF4" w:rsidRPr="00850F60" w:rsidRDefault="00527D15" w:rsidP="00947045">
      <w:pPr>
        <w:pStyle w:val="Heading3"/>
        <w:spacing w:before="0"/>
      </w:pPr>
      <w:r>
        <w:br w:type="column"/>
      </w:r>
      <w:r w:rsidR="00E16EF4">
        <w:t>Annette Lancy</w:t>
      </w:r>
    </w:p>
    <w:p w14:paraId="45FC84C4" w14:textId="77777777" w:rsidR="00E16EF4" w:rsidRPr="00850F60" w:rsidRDefault="00E16EF4">
      <w:pPr>
        <w:pStyle w:val="ARbody"/>
        <w:rPr>
          <w:rStyle w:val="Strong"/>
        </w:rPr>
      </w:pPr>
      <w:r w:rsidRPr="00850F60">
        <w:rPr>
          <w:rStyle w:val="Strong"/>
        </w:rPr>
        <w:t>Deputy Secretary – Children and Families</w:t>
      </w:r>
    </w:p>
    <w:p w14:paraId="037E3238" w14:textId="56AE679E" w:rsidR="00E16EF4" w:rsidRPr="00850F60" w:rsidRDefault="00E16EF4">
      <w:pPr>
        <w:pStyle w:val="ARbody"/>
        <w:rPr>
          <w:shd w:val="clear" w:color="auto" w:fill="FFFFFF"/>
        </w:rPr>
      </w:pPr>
      <w:r w:rsidRPr="00850F60">
        <w:rPr>
          <w:shd w:val="clear" w:color="auto" w:fill="FFFFFF"/>
        </w:rPr>
        <w:t>Annette oversees the design and implementation of legislation, policies, programs and reforms across the department’s services relevant to</w:t>
      </w:r>
      <w:r w:rsidR="009F2313">
        <w:rPr>
          <w:shd w:val="clear" w:color="auto" w:fill="FFFFFF"/>
        </w:rPr>
        <w:t> </w:t>
      </w:r>
      <w:r w:rsidRPr="00850F60">
        <w:rPr>
          <w:shd w:val="clear" w:color="auto" w:fill="FFFFFF"/>
        </w:rPr>
        <w:t xml:space="preserve">the Children portfolio. </w:t>
      </w:r>
    </w:p>
    <w:p w14:paraId="1B593EC0" w14:textId="2CB7FFE8" w:rsidR="00E16EF4" w:rsidRPr="00850F60" w:rsidRDefault="00E16EF4">
      <w:pPr>
        <w:pStyle w:val="ARbody"/>
        <w:rPr>
          <w:shd w:val="clear" w:color="auto" w:fill="FFFFFF"/>
        </w:rPr>
      </w:pPr>
      <w:r w:rsidRPr="00850F60">
        <w:rPr>
          <w:shd w:val="clear" w:color="auto" w:fill="FFFFFF"/>
        </w:rPr>
        <w:t xml:space="preserve">The Children and Families Division, under Annette’s leadership, supports </w:t>
      </w:r>
      <w:r w:rsidRPr="00850F60">
        <w:t>the Children portfolio</w:t>
      </w:r>
      <w:r>
        <w:t>. The portfolio provides</w:t>
      </w:r>
      <w:r w:rsidRPr="00850F60">
        <w:t xml:space="preserve"> policy and strategic advice, program design and management, and reform delivery. This includes the policy design and funding of statutory child protection services, family support and parenting services</w:t>
      </w:r>
      <w:r>
        <w:t xml:space="preserve"> and</w:t>
      </w:r>
      <w:r w:rsidRPr="00850F60">
        <w:t xml:space="preserve"> care services</w:t>
      </w:r>
      <w:r>
        <w:t>. It</w:t>
      </w:r>
      <w:r w:rsidR="009F2313">
        <w:t> </w:t>
      </w:r>
      <w:r>
        <w:t xml:space="preserve">also includes </w:t>
      </w:r>
      <w:r w:rsidRPr="00850F60">
        <w:t xml:space="preserve">specialist support services for young people leaving care and initiatives supporting Aboriginal children and families. </w:t>
      </w:r>
      <w:r>
        <w:t>The</w:t>
      </w:r>
      <w:r w:rsidR="009F2313">
        <w:t> </w:t>
      </w:r>
      <w:r>
        <w:t xml:space="preserve">role also focuses on </w:t>
      </w:r>
      <w:r w:rsidR="002D0A17">
        <w:t>R</w:t>
      </w:r>
      <w:r w:rsidRPr="00850F60">
        <w:t xml:space="preserve">edress and restorative </w:t>
      </w:r>
      <w:r>
        <w:t xml:space="preserve">programs for people who </w:t>
      </w:r>
      <w:r w:rsidRPr="00850F60">
        <w:t>experienced</w:t>
      </w:r>
      <w:r>
        <w:t xml:space="preserve"> abuse or</w:t>
      </w:r>
      <w:r w:rsidR="009F2313">
        <w:t> </w:t>
      </w:r>
      <w:r>
        <w:t>neglect</w:t>
      </w:r>
      <w:r w:rsidRPr="00850F60">
        <w:t xml:space="preserve"> in institutional care settings.</w:t>
      </w:r>
    </w:p>
    <w:p w14:paraId="49C90C43" w14:textId="1AC8978C" w:rsidR="00E16EF4" w:rsidRDefault="00E16EF4">
      <w:pPr>
        <w:pStyle w:val="ARbody"/>
        <w:rPr>
          <w:shd w:val="clear" w:color="auto" w:fill="FFFFFF"/>
        </w:rPr>
      </w:pPr>
      <w:r w:rsidRPr="00850F60">
        <w:rPr>
          <w:shd w:val="clear" w:color="auto" w:fill="FFFFFF"/>
        </w:rPr>
        <w:t xml:space="preserve">Annette was appointed Deputy Secretary in </w:t>
      </w:r>
      <w:r w:rsidRPr="00850F60">
        <w:t>August</w:t>
      </w:r>
      <w:r w:rsidRPr="00850F60">
        <w:rPr>
          <w:shd w:val="clear" w:color="auto" w:fill="FFFFFF"/>
        </w:rPr>
        <w:t> 2023. Annette has previously</w:t>
      </w:r>
      <w:r w:rsidRPr="00850F60">
        <w:t xml:space="preserve"> </w:t>
      </w:r>
      <w:r w:rsidRPr="00850F60">
        <w:rPr>
          <w:shd w:val="clear" w:color="auto" w:fill="FFFFFF"/>
        </w:rPr>
        <w:t>led design and implementation of family violence system reform at Family Safety Victoria before leading the</w:t>
      </w:r>
      <w:r w:rsidR="00B25D8D">
        <w:rPr>
          <w:shd w:val="clear" w:color="auto" w:fill="FFFFFF"/>
        </w:rPr>
        <w:t> </w:t>
      </w:r>
      <w:r w:rsidRPr="00850F60">
        <w:rPr>
          <w:shd w:val="clear" w:color="auto" w:fill="FFFFFF"/>
        </w:rPr>
        <w:t>department’s COVID-19 preparedness and response work for the community services sector.</w:t>
      </w:r>
    </w:p>
    <w:p w14:paraId="40E84F3D" w14:textId="77777777" w:rsidR="00E16EF4" w:rsidRPr="00DA0281" w:rsidRDefault="00E16EF4">
      <w:pPr>
        <w:pStyle w:val="Heading3"/>
      </w:pPr>
      <w:r w:rsidRPr="00DA0281">
        <w:t xml:space="preserve">Danny </w:t>
      </w:r>
      <w:r w:rsidRPr="00E16EF4">
        <w:rPr>
          <w:color w:val="004A46" w:themeColor="accent6" w:themeShade="BF"/>
        </w:rPr>
        <w:t>O’Kelly</w:t>
      </w:r>
    </w:p>
    <w:p w14:paraId="2B34BC64" w14:textId="77777777" w:rsidR="00E16EF4" w:rsidRPr="00DA0281" w:rsidRDefault="00E16EF4">
      <w:pPr>
        <w:pStyle w:val="ARbody"/>
        <w:rPr>
          <w:rStyle w:val="Strong"/>
        </w:rPr>
      </w:pPr>
      <w:r w:rsidRPr="00DA0281">
        <w:rPr>
          <w:rStyle w:val="Strong"/>
        </w:rPr>
        <w:t>Deputy Secretary – Community Operations and Practice Leadership</w:t>
      </w:r>
    </w:p>
    <w:p w14:paraId="212C0B04" w14:textId="10B840F1" w:rsidR="00E16EF4" w:rsidRDefault="00E16EF4">
      <w:pPr>
        <w:pStyle w:val="ARbody"/>
      </w:pPr>
      <w:r w:rsidRPr="00DA0281">
        <w:t xml:space="preserve">Danny was appointed Deputy Secretary, Community Operations and Practice Leadership in July 2022. </w:t>
      </w:r>
      <w:r>
        <w:t>Danny has</w:t>
      </w:r>
      <w:r w:rsidRPr="00DA0281">
        <w:t xml:space="preserve"> extensive senior leadership </w:t>
      </w:r>
      <w:r>
        <w:t xml:space="preserve">experience spanning </w:t>
      </w:r>
      <w:r w:rsidRPr="00DA0281">
        <w:t>30 years in the</w:t>
      </w:r>
      <w:r w:rsidR="001F7E4F">
        <w:t> </w:t>
      </w:r>
      <w:r w:rsidRPr="00DA0281">
        <w:t>public sector</w:t>
      </w:r>
      <w:r>
        <w:t xml:space="preserve">. </w:t>
      </w:r>
      <w:r w:rsidRPr="00DA0281">
        <w:t>Danny oversees the delivery of</w:t>
      </w:r>
      <w:r w:rsidR="001F7E4F">
        <w:t> </w:t>
      </w:r>
      <w:r w:rsidRPr="00DA0281">
        <w:t xml:space="preserve">critical services for the Victorian community including child protection, public housing and forensic disability services; and stewards the funded services sector. </w:t>
      </w:r>
    </w:p>
    <w:p w14:paraId="30CC4F6C" w14:textId="04481E7D" w:rsidR="009F2313" w:rsidRDefault="00E16EF4">
      <w:pPr>
        <w:pStyle w:val="ARbody"/>
      </w:pPr>
      <w:r>
        <w:t xml:space="preserve">Danny also provides </w:t>
      </w:r>
      <w:r w:rsidRPr="00DA0281">
        <w:t>leadership and oversight for</w:t>
      </w:r>
      <w:r w:rsidR="001F7E4F">
        <w:t> </w:t>
      </w:r>
      <w:r w:rsidRPr="00DA0281">
        <w:t>complex change management processes</w:t>
      </w:r>
      <w:r>
        <w:t>. This</w:t>
      </w:r>
      <w:r w:rsidR="001F7E4F">
        <w:t> </w:t>
      </w:r>
      <w:r>
        <w:t xml:space="preserve">includes </w:t>
      </w:r>
      <w:r w:rsidRPr="00DA0281">
        <w:t>large systems reform programs and redevelopment initiatives</w:t>
      </w:r>
      <w:r>
        <w:t xml:space="preserve"> for</w:t>
      </w:r>
      <w:r w:rsidRPr="00721F36">
        <w:t xml:space="preserve"> </w:t>
      </w:r>
      <w:r w:rsidRPr="00DA0281">
        <w:t>statewide operational programs</w:t>
      </w:r>
      <w:r>
        <w:t>.</w:t>
      </w:r>
      <w:r w:rsidR="009F2313">
        <w:br w:type="page"/>
      </w:r>
    </w:p>
    <w:p w14:paraId="290FAFC9" w14:textId="77777777" w:rsidR="00E16EF4" w:rsidRPr="001A1437" w:rsidRDefault="00E16EF4">
      <w:pPr>
        <w:pStyle w:val="Heading3"/>
      </w:pPr>
      <w:r w:rsidRPr="001A1437">
        <w:lastRenderedPageBreak/>
        <w:t xml:space="preserve">Anne </w:t>
      </w:r>
      <w:r w:rsidRPr="00E16EF4">
        <w:rPr>
          <w:color w:val="004A46" w:themeColor="accent6" w:themeShade="BF"/>
        </w:rPr>
        <w:t>Congleton</w:t>
      </w:r>
    </w:p>
    <w:p w14:paraId="59D78BC8" w14:textId="77777777" w:rsidR="00E16EF4" w:rsidRPr="001A1437" w:rsidRDefault="00E16EF4">
      <w:pPr>
        <w:pStyle w:val="ARbody"/>
        <w:rPr>
          <w:rStyle w:val="Strong"/>
        </w:rPr>
      </w:pPr>
      <w:r w:rsidRPr="001A1437">
        <w:rPr>
          <w:rStyle w:val="Strong"/>
        </w:rPr>
        <w:t>Deputy Secretary – North Division</w:t>
      </w:r>
    </w:p>
    <w:p w14:paraId="3D1A68B9" w14:textId="77777777" w:rsidR="00E16EF4" w:rsidRPr="001A1437" w:rsidRDefault="00E16EF4" w:rsidP="00B26E3C">
      <w:pPr>
        <w:pStyle w:val="ARbody"/>
        <w:spacing w:line="240" w:lineRule="atLeast"/>
      </w:pPr>
      <w:r w:rsidRPr="001A1437">
        <w:t>Anne was appointed Deputy Secretary North Division in late 2018. Anne has held senior executive roles across operational service delivery, central office policy and program areas and corporate resource management.</w:t>
      </w:r>
    </w:p>
    <w:p w14:paraId="39305EB8" w14:textId="597B22BD" w:rsidR="00E16EF4" w:rsidRDefault="00E16EF4" w:rsidP="00B26E3C">
      <w:pPr>
        <w:pStyle w:val="ARbody"/>
        <w:spacing w:line="240" w:lineRule="atLeast"/>
      </w:pPr>
      <w:r w:rsidRPr="001A1437">
        <w:t xml:space="preserve">Anne oversees 4 </w:t>
      </w:r>
      <w:r>
        <w:t xml:space="preserve">diverse </w:t>
      </w:r>
      <w:r w:rsidRPr="001A1437">
        <w:t>areas</w:t>
      </w:r>
      <w:r>
        <w:t xml:space="preserve"> in the North</w:t>
      </w:r>
      <w:r w:rsidRPr="001A1437">
        <w:t xml:space="preserve"> </w:t>
      </w:r>
      <w:r>
        <w:t xml:space="preserve">Division </w:t>
      </w:r>
      <w:r w:rsidRPr="001A1437">
        <w:t>(</w:t>
      </w:r>
      <w:proofErr w:type="gramStart"/>
      <w:r w:rsidRPr="001A1437">
        <w:t>North East</w:t>
      </w:r>
      <w:proofErr w:type="gramEnd"/>
      <w:r w:rsidRPr="001A1437">
        <w:t xml:space="preserve"> Melbourne, Hume–</w:t>
      </w:r>
      <w:proofErr w:type="spellStart"/>
      <w:r w:rsidRPr="001A1437">
        <w:t>Merribek</w:t>
      </w:r>
      <w:proofErr w:type="spellEnd"/>
      <w:r w:rsidRPr="001A1437">
        <w:t>, Loddon and Mallee) that deliver child protection, housing</w:t>
      </w:r>
      <w:r>
        <w:t xml:space="preserve"> </w:t>
      </w:r>
      <w:r w:rsidRPr="001A1437">
        <w:t>and other services</w:t>
      </w:r>
      <w:r>
        <w:t xml:space="preserve">. The division also provides stewardship for </w:t>
      </w:r>
      <w:r w:rsidRPr="001A1437">
        <w:t>the broader funded community services sector.</w:t>
      </w:r>
    </w:p>
    <w:p w14:paraId="0FAE86B3" w14:textId="3F31413A" w:rsidR="00E16EF4" w:rsidRPr="001A1437" w:rsidRDefault="00E16EF4" w:rsidP="00B26E3C">
      <w:pPr>
        <w:pStyle w:val="ARbody"/>
        <w:spacing w:line="240" w:lineRule="atLeast"/>
      </w:pPr>
      <w:r>
        <w:t xml:space="preserve">Anne retired from </w:t>
      </w:r>
      <w:r w:rsidRPr="001A1437">
        <w:t>the Department of Families Fairness and Housing</w:t>
      </w:r>
      <w:r>
        <w:t xml:space="preserve"> on </w:t>
      </w:r>
      <w:r w:rsidRPr="001A1437">
        <w:t>27 June 2025</w:t>
      </w:r>
      <w:r>
        <w:t xml:space="preserve">. On </w:t>
      </w:r>
      <w:r w:rsidR="009B7746">
        <w:t>1 </w:t>
      </w:r>
      <w:r>
        <w:t>September 2025, Jenny Litsas moved from East Division to commence as Deputy Secretary, North</w:t>
      </w:r>
      <w:r w:rsidR="009F2313">
        <w:t> </w:t>
      </w:r>
      <w:r>
        <w:t>Division</w:t>
      </w:r>
      <w:r w:rsidR="007249DC">
        <w:t>.</w:t>
      </w:r>
    </w:p>
    <w:p w14:paraId="357229F0" w14:textId="77777777" w:rsidR="00E16EF4" w:rsidRPr="00BC4CF9" w:rsidRDefault="00E16EF4">
      <w:pPr>
        <w:pStyle w:val="Heading3"/>
      </w:pPr>
      <w:r w:rsidRPr="00BC4CF9">
        <w:t xml:space="preserve">Kathleen </w:t>
      </w:r>
      <w:r w:rsidRPr="00E16EF4">
        <w:rPr>
          <w:color w:val="004A46" w:themeColor="accent6" w:themeShade="BF"/>
        </w:rPr>
        <w:t>Alonso</w:t>
      </w:r>
    </w:p>
    <w:p w14:paraId="77BFBCC4" w14:textId="77777777" w:rsidR="00E16EF4" w:rsidRPr="00BC4CF9" w:rsidRDefault="00E16EF4">
      <w:pPr>
        <w:pStyle w:val="ARbody"/>
        <w:rPr>
          <w:rStyle w:val="Strong"/>
        </w:rPr>
      </w:pPr>
      <w:r w:rsidRPr="00BC4CF9">
        <w:rPr>
          <w:rStyle w:val="Strong"/>
        </w:rPr>
        <w:t>Deputy Secretary – South Division</w:t>
      </w:r>
    </w:p>
    <w:p w14:paraId="11B9B094" w14:textId="5349E292" w:rsidR="00E16EF4" w:rsidRPr="00BC4CF9" w:rsidRDefault="00E16EF4" w:rsidP="00B26E3C">
      <w:pPr>
        <w:pStyle w:val="ARbody"/>
        <w:spacing w:line="240" w:lineRule="atLeast"/>
      </w:pPr>
      <w:r w:rsidRPr="00BC4CF9">
        <w:t>Kathleen was appointed Deputy Secretary South Division in November 2022</w:t>
      </w:r>
      <w:r>
        <w:t>. Previously, Kathleen spent</w:t>
      </w:r>
      <w:r w:rsidRPr="00BC4CF9">
        <w:t xml:space="preserve"> 7 years as </w:t>
      </w:r>
      <w:r>
        <w:t>an e</w:t>
      </w:r>
      <w:r w:rsidRPr="00BC4CF9">
        <w:t xml:space="preserve">xecutive </w:t>
      </w:r>
      <w:r>
        <w:t>d</w:t>
      </w:r>
      <w:r w:rsidRPr="00BC4CF9">
        <w:t xml:space="preserve">irector </w:t>
      </w:r>
      <w:r>
        <w:t>of</w:t>
      </w:r>
      <w:r w:rsidRPr="00BC4CF9">
        <w:t xml:space="preserve"> an operational </w:t>
      </w:r>
      <w:r>
        <w:t>a</w:t>
      </w:r>
      <w:r w:rsidRPr="00BC4CF9">
        <w:t>rea. Kathleen has held senior executive roles in operational service delivery and</w:t>
      </w:r>
      <w:r w:rsidR="004415AB">
        <w:t> </w:t>
      </w:r>
      <w:r w:rsidRPr="00BC4CF9">
        <w:t>policy across government and the community</w:t>
      </w:r>
      <w:r w:rsidR="004415AB">
        <w:t> </w:t>
      </w:r>
      <w:r w:rsidRPr="00BC4CF9">
        <w:t>services sector.</w:t>
      </w:r>
    </w:p>
    <w:p w14:paraId="1B847433" w14:textId="5FA02091" w:rsidR="009F2313" w:rsidRDefault="00D43FBA" w:rsidP="00B26E3C">
      <w:pPr>
        <w:pStyle w:val="ARbody"/>
        <w:spacing w:line="240" w:lineRule="atLeast"/>
      </w:pPr>
      <w:r w:rsidRPr="00BC4CF9">
        <w:t xml:space="preserve">Kathleen oversees the </w:t>
      </w:r>
      <w:r>
        <w:t xml:space="preserve">service delivery across </w:t>
      </w:r>
      <w:r w:rsidR="009B7746" w:rsidRPr="00BC4CF9">
        <w:t>4</w:t>
      </w:r>
      <w:r w:rsidR="009B7746">
        <w:t> </w:t>
      </w:r>
      <w:r w:rsidRPr="00BC4CF9">
        <w:t xml:space="preserve">diverse areas in the </w:t>
      </w:r>
      <w:r>
        <w:t>South Division</w:t>
      </w:r>
      <w:r w:rsidRPr="00BC4CF9">
        <w:t xml:space="preserve"> (Bayside Peninsula, Southern Melbourne, Inner Gippsland and Outer Gippsland)</w:t>
      </w:r>
      <w:r>
        <w:t>,</w:t>
      </w:r>
      <w:r w:rsidR="008A233C">
        <w:t xml:space="preserve"> </w:t>
      </w:r>
      <w:r>
        <w:t>providing services including child protection, housing and care services, and stewardship for the broader funded community services sector.</w:t>
      </w:r>
      <w:r w:rsidRPr="00BC4CF9">
        <w:t xml:space="preserve"> </w:t>
      </w:r>
    </w:p>
    <w:p w14:paraId="77BA73FC" w14:textId="68EC798A" w:rsidR="00E16EF4" w:rsidRPr="00AD5E58" w:rsidRDefault="00E16EF4" w:rsidP="009F2313">
      <w:pPr>
        <w:pStyle w:val="Heading3"/>
      </w:pPr>
      <w:r w:rsidRPr="3A68FADB">
        <w:t xml:space="preserve">Jenny </w:t>
      </w:r>
      <w:r w:rsidRPr="00E16EF4">
        <w:rPr>
          <w:color w:val="004A46" w:themeColor="accent6" w:themeShade="BF"/>
        </w:rPr>
        <w:t>Litsas</w:t>
      </w:r>
    </w:p>
    <w:p w14:paraId="4700729F" w14:textId="77777777" w:rsidR="00E16EF4" w:rsidRPr="00AD5E58" w:rsidRDefault="00E16EF4">
      <w:pPr>
        <w:pStyle w:val="ARbody"/>
        <w:rPr>
          <w:rStyle w:val="Strong"/>
        </w:rPr>
      </w:pPr>
      <w:r w:rsidRPr="3A68FADB">
        <w:rPr>
          <w:rStyle w:val="Strong"/>
        </w:rPr>
        <w:t>Deputy Secretary – East Division</w:t>
      </w:r>
    </w:p>
    <w:p w14:paraId="773A2323" w14:textId="578CE3E4" w:rsidR="00E16EF4" w:rsidRPr="00AD5E58" w:rsidRDefault="00E16EF4" w:rsidP="00746FC5">
      <w:pPr>
        <w:pStyle w:val="ARbody"/>
        <w:spacing w:line="240" w:lineRule="atLeast"/>
      </w:pPr>
      <w:r>
        <w:t xml:space="preserve">Jenny was appointed Deputy Secretary East Division in November 2022. This followed 10 years as an executive director overseeing operational areas. Jenny has held </w:t>
      </w:r>
      <w:proofErr w:type="gramStart"/>
      <w:r>
        <w:t>a number of</w:t>
      </w:r>
      <w:proofErr w:type="gramEnd"/>
      <w:r>
        <w:t xml:space="preserve"> senior executive roles across the department. This includes roles in</w:t>
      </w:r>
      <w:r w:rsidR="00C10B0B">
        <w:t> </w:t>
      </w:r>
      <w:r>
        <w:t>housing and homelessness programs and leading significant reform.</w:t>
      </w:r>
    </w:p>
    <w:p w14:paraId="0C62ECB4" w14:textId="1D0E33FE" w:rsidR="00E16EF4" w:rsidRDefault="00E16EF4" w:rsidP="00746FC5">
      <w:pPr>
        <w:pStyle w:val="ARbody"/>
        <w:spacing w:line="240" w:lineRule="atLeast"/>
      </w:pPr>
      <w:r>
        <w:t xml:space="preserve">Jenny oversees 4 areas in the East Division (Inner Eastern Melbourne, Outer Eastern Melbourne, Goulburn and Ovens Murray). These provide services including child protection, housing and care services. The division also provides stewardship for the broader funded community services sector across the areas. </w:t>
      </w:r>
    </w:p>
    <w:p w14:paraId="4A1F79F3" w14:textId="16698561" w:rsidR="00E16EF4" w:rsidRPr="00235C58" w:rsidRDefault="00E16EF4" w:rsidP="00746FC5">
      <w:pPr>
        <w:pStyle w:val="ARbody"/>
        <w:spacing w:line="240" w:lineRule="atLeast"/>
      </w:pPr>
      <w:r w:rsidRPr="005C4947">
        <w:t xml:space="preserve">Penelope Steuart was </w:t>
      </w:r>
      <w:r>
        <w:t xml:space="preserve">appointed to the role of </w:t>
      </w:r>
      <w:r w:rsidRPr="005C4947">
        <w:t xml:space="preserve">Deputy Secretary, East Division, </w:t>
      </w:r>
      <w:r>
        <w:t>commencing on</w:t>
      </w:r>
      <w:r w:rsidR="00C10B0B">
        <w:t> </w:t>
      </w:r>
      <w:r>
        <w:t>1</w:t>
      </w:r>
      <w:r w:rsidR="009F2313">
        <w:t> </w:t>
      </w:r>
      <w:r>
        <w:t xml:space="preserve">September 2025. Jenny moved </w:t>
      </w:r>
      <w:r w:rsidRPr="005C4947">
        <w:t>to the North</w:t>
      </w:r>
      <w:r w:rsidR="009F2313">
        <w:t> </w:t>
      </w:r>
      <w:r w:rsidRPr="005C4947">
        <w:t>Division.</w:t>
      </w:r>
    </w:p>
    <w:p w14:paraId="349640D6" w14:textId="77777777" w:rsidR="00E16EF4" w:rsidRPr="006E06F2" w:rsidRDefault="00E16EF4">
      <w:pPr>
        <w:pStyle w:val="Heading3"/>
      </w:pPr>
      <w:r w:rsidRPr="006E06F2">
        <w:t xml:space="preserve">Kelly </w:t>
      </w:r>
      <w:r w:rsidRPr="00E16EF4">
        <w:rPr>
          <w:color w:val="004A46" w:themeColor="accent6" w:themeShade="BF"/>
        </w:rPr>
        <w:t>Stanton</w:t>
      </w:r>
    </w:p>
    <w:p w14:paraId="03421841" w14:textId="77777777" w:rsidR="00E16EF4" w:rsidRPr="000A336A" w:rsidRDefault="00E16EF4">
      <w:pPr>
        <w:pStyle w:val="ARbody"/>
        <w:rPr>
          <w:b/>
          <w:bCs/>
        </w:rPr>
      </w:pPr>
      <w:r w:rsidRPr="000A336A">
        <w:rPr>
          <w:b/>
          <w:bCs/>
        </w:rPr>
        <w:t xml:space="preserve">Deputy Secretary – West Division </w:t>
      </w:r>
    </w:p>
    <w:p w14:paraId="19A9262B" w14:textId="780D09BA" w:rsidR="00E16EF4" w:rsidRPr="003F3F27" w:rsidRDefault="00E16EF4">
      <w:pPr>
        <w:pStyle w:val="ARbody"/>
      </w:pPr>
      <w:r w:rsidRPr="000A336A">
        <w:t>Kelly was appointed Deputy Secretary, West Division, in January 2024. Prior to this, Kelly ha</w:t>
      </w:r>
      <w:r>
        <w:t>d</w:t>
      </w:r>
      <w:r w:rsidRPr="000A336A">
        <w:t xml:space="preserve"> held senior executive roles in operational service delivery and policy and program development</w:t>
      </w:r>
      <w:r>
        <w:t>.</w:t>
      </w:r>
      <w:r w:rsidRPr="000A336A">
        <w:t xml:space="preserve"> </w:t>
      </w:r>
    </w:p>
    <w:p w14:paraId="092A0E14" w14:textId="501B91D4" w:rsidR="00E16EF4" w:rsidRDefault="00E16EF4">
      <w:pPr>
        <w:pStyle w:val="ARbody"/>
      </w:pPr>
      <w:r w:rsidRPr="000A336A">
        <w:t xml:space="preserve">Kelly is responsible for service delivery and system stewardship across 5 areas in the </w:t>
      </w:r>
      <w:r>
        <w:t>West Division</w:t>
      </w:r>
      <w:r w:rsidRPr="000A336A">
        <w:t xml:space="preserve"> (Barwon, </w:t>
      </w:r>
      <w:proofErr w:type="spellStart"/>
      <w:r w:rsidRPr="000A336A">
        <w:t>Brimbank</w:t>
      </w:r>
      <w:proofErr w:type="spellEnd"/>
      <w:r w:rsidRPr="000A336A">
        <w:t xml:space="preserve">, Central Highlands, Western Melbourne and Wimmera </w:t>
      </w:r>
      <w:proofErr w:type="gramStart"/>
      <w:r w:rsidRPr="000A336A">
        <w:t>South West</w:t>
      </w:r>
      <w:proofErr w:type="gramEnd"/>
      <w:r w:rsidRPr="000A336A">
        <w:t>)</w:t>
      </w:r>
      <w:r>
        <w:t>. This includes</w:t>
      </w:r>
      <w:r w:rsidRPr="000A336A">
        <w:t xml:space="preserve"> child protection and housing</w:t>
      </w:r>
      <w:r>
        <w:t xml:space="preserve"> services. Kelly’s role</w:t>
      </w:r>
      <w:r w:rsidRPr="000A336A">
        <w:t xml:space="preserve"> also steward</w:t>
      </w:r>
      <w:r>
        <w:t>s</w:t>
      </w:r>
      <w:r w:rsidRPr="000A336A">
        <w:t xml:space="preserve"> the broader funded community services sector.</w:t>
      </w:r>
      <w:r>
        <w:t xml:space="preserve"> </w:t>
      </w:r>
    </w:p>
    <w:p w14:paraId="2D6AC033" w14:textId="77777777" w:rsidR="00E16EF4" w:rsidRPr="00181B81" w:rsidRDefault="00E16EF4">
      <w:pPr>
        <w:pStyle w:val="Heading3"/>
      </w:pPr>
      <w:r w:rsidRPr="00181B81">
        <w:t xml:space="preserve">Nicola </w:t>
      </w:r>
      <w:r w:rsidRPr="00E16EF4">
        <w:rPr>
          <w:color w:val="004A46" w:themeColor="accent6" w:themeShade="BF"/>
        </w:rPr>
        <w:t>Quin</w:t>
      </w:r>
    </w:p>
    <w:p w14:paraId="735C4170" w14:textId="77777777" w:rsidR="00E16EF4" w:rsidRPr="00181B81" w:rsidRDefault="00E16EF4">
      <w:pPr>
        <w:pStyle w:val="ARbody"/>
        <w:rPr>
          <w:rStyle w:val="Strong"/>
        </w:rPr>
      </w:pPr>
      <w:r w:rsidRPr="00181B81">
        <w:rPr>
          <w:rStyle w:val="Strong"/>
        </w:rPr>
        <w:t>Deputy Secretary – Corporate and Delivery Services</w:t>
      </w:r>
    </w:p>
    <w:p w14:paraId="35474885" w14:textId="06C87669" w:rsidR="00E16EF4" w:rsidRPr="00181B81" w:rsidRDefault="00E16EF4">
      <w:pPr>
        <w:pStyle w:val="ARbody"/>
      </w:pPr>
      <w:r w:rsidRPr="00181B81">
        <w:t>Nicola was appointed Deputy Secretary Corporate and Delivery Services in December 2022. Nicola oversees the delivery of key enabling services across the department and ministerial offices</w:t>
      </w:r>
      <w:r>
        <w:t xml:space="preserve">. This includes </w:t>
      </w:r>
      <w:r w:rsidRPr="00181B81">
        <w:t>finance, people and culture, legal services, information technology, shared services, accommodation as well as Cabinet and executive services.</w:t>
      </w:r>
    </w:p>
    <w:p w14:paraId="0AB5E046" w14:textId="77777777" w:rsidR="00E16EF4" w:rsidRDefault="00E16EF4">
      <w:pPr>
        <w:pStyle w:val="ARbody"/>
      </w:pPr>
      <w:r w:rsidRPr="00181B81">
        <w:t>Nicola is an experienced executive in both government and not-for-profit sectors. She has overseen complex service delivery, project management and significant policy reform.</w:t>
      </w:r>
    </w:p>
    <w:p w14:paraId="7E699B9E" w14:textId="644AEEC9" w:rsidR="00E16EF4" w:rsidRDefault="00E16EF4">
      <w:pPr>
        <w:pStyle w:val="ARbody"/>
      </w:pPr>
      <w:r>
        <w:t>Nicola’s last day with the department was on</w:t>
      </w:r>
      <w:r w:rsidR="00103E09">
        <w:t> </w:t>
      </w:r>
      <w:r>
        <w:t>1</w:t>
      </w:r>
      <w:r w:rsidR="00C10B0B">
        <w:t> </w:t>
      </w:r>
      <w:r>
        <w:t>August 2025.</w:t>
      </w:r>
      <w:r>
        <w:br w:type="page"/>
      </w:r>
    </w:p>
    <w:p w14:paraId="3483F376" w14:textId="77777777" w:rsidR="00E16EF4" w:rsidRDefault="00E16EF4">
      <w:pPr>
        <w:pStyle w:val="Heading3"/>
      </w:pPr>
      <w:r>
        <w:lastRenderedPageBreak/>
        <w:t>Argiri Alisandratos</w:t>
      </w:r>
    </w:p>
    <w:p w14:paraId="451FC178" w14:textId="77777777" w:rsidR="00E16EF4" w:rsidRPr="00E51CC9" w:rsidRDefault="00E16EF4">
      <w:pPr>
        <w:pStyle w:val="ARbody"/>
        <w:rPr>
          <w:rStyle w:val="Strong"/>
        </w:rPr>
      </w:pPr>
      <w:r w:rsidRPr="00E51CC9">
        <w:rPr>
          <w:rStyle w:val="Strong"/>
        </w:rPr>
        <w:t>Deputy Secretary – Disability, Fairness and</w:t>
      </w:r>
      <w:r>
        <w:rPr>
          <w:rStyle w:val="Strong"/>
        </w:rPr>
        <w:t> </w:t>
      </w:r>
      <w:r w:rsidRPr="00E51CC9">
        <w:rPr>
          <w:rStyle w:val="Strong"/>
        </w:rPr>
        <w:t>Emergency Management</w:t>
      </w:r>
    </w:p>
    <w:p w14:paraId="6E4DFCFF" w14:textId="4D5E3D58" w:rsidR="00E16EF4" w:rsidRDefault="00E16EF4">
      <w:pPr>
        <w:pStyle w:val="ARbody"/>
      </w:pPr>
      <w:r w:rsidRPr="00053FC4">
        <w:t xml:space="preserve">Argiri is the Deputy Secretary Disability, Fairness and Emergency Management </w:t>
      </w:r>
      <w:r>
        <w:t xml:space="preserve">(DFEM) </w:t>
      </w:r>
      <w:r w:rsidRPr="00053FC4">
        <w:t xml:space="preserve">Division. Argiri has held numerous senior leadership roles over his long career with the department and </w:t>
      </w:r>
      <w:r>
        <w:t>the Victorian Public Service.</w:t>
      </w:r>
      <w:r w:rsidRPr="00053FC4">
        <w:t xml:space="preserve"> </w:t>
      </w:r>
      <w:r>
        <w:t>This includes</w:t>
      </w:r>
      <w:r w:rsidRPr="00053FC4">
        <w:t xml:space="preserve"> significant social service delivery operations, policy and system reform across many portfolio areas. </w:t>
      </w:r>
    </w:p>
    <w:p w14:paraId="40EFABC3" w14:textId="61505747" w:rsidR="00E16EF4" w:rsidRDefault="00E16EF4">
      <w:pPr>
        <w:pStyle w:val="ARbody"/>
      </w:pPr>
      <w:r>
        <w:t xml:space="preserve">In leading DFEM, Argiri and the divisional leadership team support 6 Ministers across </w:t>
      </w:r>
      <w:r w:rsidR="009B7746">
        <w:t xml:space="preserve">7 ministerial </w:t>
      </w:r>
      <w:r>
        <w:t>portfolios. These focus on policy, programs and resourcing many community-based service and support infrastructure</w:t>
      </w:r>
      <w:r w:rsidR="00104166">
        <w:t>s</w:t>
      </w:r>
      <w:r>
        <w:t xml:space="preserve">. This work focuses on inclusion, equity and resilience. </w:t>
      </w:r>
    </w:p>
    <w:p w14:paraId="459D2BAF" w14:textId="72905685" w:rsidR="00E16EF4" w:rsidRDefault="00E16EF4">
      <w:pPr>
        <w:pStyle w:val="ARbody"/>
      </w:pPr>
      <w:r>
        <w:t xml:space="preserve">The division spans disability policy, reform and accommodation, complex needs support, women’s and gender equality policy, carers and volunteers, senior Victorians and LGBTIQA+ communities, as well as youth and </w:t>
      </w:r>
      <w:proofErr w:type="gramStart"/>
      <w:r>
        <w:t>veterans</w:t>
      </w:r>
      <w:proofErr w:type="gramEnd"/>
      <w:r>
        <w:t xml:space="preserve"> policy and programs.</w:t>
      </w:r>
    </w:p>
    <w:p w14:paraId="39A1BC3B" w14:textId="77777777" w:rsidR="00E16EF4" w:rsidRPr="003F3F27" w:rsidRDefault="00E16EF4">
      <w:pPr>
        <w:pStyle w:val="Heading3"/>
      </w:pPr>
      <w:r w:rsidRPr="003F3F27">
        <w:t>Dr Melanie Heenan</w:t>
      </w:r>
    </w:p>
    <w:p w14:paraId="0CBEED3E" w14:textId="77777777" w:rsidR="00E16EF4" w:rsidRPr="00C547BD" w:rsidRDefault="00E16EF4">
      <w:pPr>
        <w:pStyle w:val="ARbody"/>
        <w:rPr>
          <w:rStyle w:val="Strong"/>
        </w:rPr>
      </w:pPr>
      <w:r w:rsidRPr="286F3226">
        <w:rPr>
          <w:rStyle w:val="Strong"/>
        </w:rPr>
        <w:t>Deputy Secretary – Family Safety Victoria</w:t>
      </w:r>
    </w:p>
    <w:p w14:paraId="13A013C8" w14:textId="77777777" w:rsidR="00E16EF4" w:rsidRPr="00C547BD" w:rsidRDefault="00E16EF4">
      <w:pPr>
        <w:pStyle w:val="ARbody"/>
      </w:pPr>
      <w:r>
        <w:t>Melanie is an established leader with extensive experience in family violence and sexual assault research, policy, practice and system reform. This includes leadership roles with the Australian Institute of Family Studies and the Victorian Law Reform Commission. She commenced as Deputy Secretary in September 2023.</w:t>
      </w:r>
    </w:p>
    <w:p w14:paraId="7F23923B" w14:textId="056AE595" w:rsidR="00E16EF4" w:rsidRPr="00C547BD" w:rsidRDefault="00E16EF4">
      <w:pPr>
        <w:pStyle w:val="ARbody"/>
      </w:pPr>
      <w:r>
        <w:t>Melanie is deeply committed to and motivated by preventing all forms of family violence and sexual assault. Her work ensures that victim survivors, including children and young people, receive the services and support they need.</w:t>
      </w:r>
    </w:p>
    <w:p w14:paraId="12ADD294" w14:textId="77777777" w:rsidR="00E16EF4" w:rsidRPr="00C547BD" w:rsidRDefault="00E16EF4">
      <w:pPr>
        <w:pStyle w:val="ARbody"/>
      </w:pPr>
      <w:r>
        <w:t xml:space="preserve">Melanie is also currently a Director on the Board of Australia’s National Research Organisation for Women’s Safety (ANROWS), as the Victorian jurisdictional representative. Melanie has previously held executive roles with the Department of Justice and Community Safety and Court Network. </w:t>
      </w:r>
    </w:p>
    <w:p w14:paraId="31743608" w14:textId="77777777" w:rsidR="00E16EF4" w:rsidRDefault="00E16EF4">
      <w:pPr>
        <w:pStyle w:val="ARbody"/>
      </w:pPr>
      <w:r>
        <w:t>She has also played a lead role in pioneering primary prevention initiatives in collaboration with local councils, sporting clubs, workplaces, and schools to address the underlying causes of gender-based violence.</w:t>
      </w:r>
    </w:p>
    <w:p w14:paraId="5249A892" w14:textId="6DF8DD33" w:rsidR="00E16EF4" w:rsidRPr="00746FC5" w:rsidRDefault="00746FC5" w:rsidP="00746FC5">
      <w:pPr>
        <w:pStyle w:val="Heading3"/>
        <w:rPr>
          <w:color w:val="auto"/>
        </w:rPr>
      </w:pPr>
      <w:r>
        <w:br w:type="column"/>
      </w:r>
      <w:r w:rsidR="00E16EF4" w:rsidRPr="000C24E9">
        <w:t>Simon Newport</w:t>
      </w:r>
    </w:p>
    <w:p w14:paraId="6ED4D6CE" w14:textId="77777777" w:rsidR="00E16EF4" w:rsidRPr="003D35CB" w:rsidRDefault="00E16EF4">
      <w:pPr>
        <w:pStyle w:val="ARbody"/>
        <w:rPr>
          <w:rStyle w:val="Strong"/>
        </w:rPr>
      </w:pPr>
      <w:r w:rsidRPr="003D35CB">
        <w:rPr>
          <w:rStyle w:val="Strong"/>
        </w:rPr>
        <w:t>Chief Executive Officer, Homes Victoria</w:t>
      </w:r>
    </w:p>
    <w:p w14:paraId="7641A102" w14:textId="3202F72E" w:rsidR="00E16EF4" w:rsidRPr="00EC2A60" w:rsidRDefault="00E16EF4">
      <w:pPr>
        <w:pStyle w:val="ARbody"/>
        <w:rPr>
          <w:lang w:eastAsia="en-AU"/>
        </w:rPr>
      </w:pPr>
      <w:r>
        <w:rPr>
          <w:lang w:eastAsia="en-AU"/>
        </w:rPr>
        <w:t xml:space="preserve">Simon has served as CEO of Homes Victoria since 2023. He leads Homes Victoria to deliver on its vision of ‘more and better homes for Victorians’. </w:t>
      </w:r>
    </w:p>
    <w:p w14:paraId="4ECAB373" w14:textId="517895A9" w:rsidR="00E16EF4" w:rsidRPr="00C77C4E" w:rsidRDefault="00E16EF4">
      <w:pPr>
        <w:pStyle w:val="ARbody"/>
        <w:rPr>
          <w:lang w:eastAsia="en-AU"/>
        </w:rPr>
      </w:pPr>
      <w:r w:rsidRPr="00C05945">
        <w:rPr>
          <w:szCs w:val="20"/>
          <w:lang w:eastAsia="en-AU"/>
        </w:rPr>
        <w:t>In this statutory role</w:t>
      </w:r>
      <w:r>
        <w:rPr>
          <w:szCs w:val="20"/>
          <w:lang w:eastAsia="en-AU"/>
        </w:rPr>
        <w:t xml:space="preserve">, </w:t>
      </w:r>
      <w:r w:rsidRPr="00C77C4E">
        <w:rPr>
          <w:lang w:eastAsia="en-AU"/>
        </w:rPr>
        <w:t xml:space="preserve">Simon </w:t>
      </w:r>
      <w:r>
        <w:rPr>
          <w:lang w:eastAsia="en-AU"/>
        </w:rPr>
        <w:t>is responsible for the stewardship and funding of</w:t>
      </w:r>
      <w:r w:rsidRPr="00C77C4E">
        <w:rPr>
          <w:lang w:eastAsia="en-AU"/>
        </w:rPr>
        <w:t xml:space="preserve"> Victoria’s social housing and homelessness system. He oversees the </w:t>
      </w:r>
      <w:r>
        <w:rPr>
          <w:lang w:eastAsia="en-AU"/>
        </w:rPr>
        <w:t xml:space="preserve">delivery, management and maintenance of the government’s </w:t>
      </w:r>
      <w:r w:rsidRPr="00C77C4E">
        <w:rPr>
          <w:lang w:eastAsia="en-AU"/>
        </w:rPr>
        <w:t>social and</w:t>
      </w:r>
      <w:r>
        <w:rPr>
          <w:lang w:eastAsia="en-AU"/>
        </w:rPr>
        <w:t xml:space="preserve"> </w:t>
      </w:r>
      <w:r w:rsidRPr="00C77C4E">
        <w:rPr>
          <w:lang w:eastAsia="en-AU"/>
        </w:rPr>
        <w:t>affordable housing</w:t>
      </w:r>
      <w:r>
        <w:rPr>
          <w:lang w:eastAsia="en-AU"/>
        </w:rPr>
        <w:t xml:space="preserve"> assets across the state.</w:t>
      </w:r>
    </w:p>
    <w:p w14:paraId="51532801" w14:textId="77777777" w:rsidR="00E16EF4" w:rsidRPr="00A109EB" w:rsidRDefault="00E16EF4">
      <w:pPr>
        <w:pStyle w:val="ARbody"/>
        <w:rPr>
          <w:lang w:eastAsia="en-AU"/>
        </w:rPr>
      </w:pPr>
      <w:r w:rsidRPr="00A109EB">
        <w:rPr>
          <w:lang w:eastAsia="en-AU"/>
        </w:rPr>
        <w:t>Simon</w:t>
      </w:r>
      <w:r>
        <w:rPr>
          <w:lang w:eastAsia="en-AU"/>
        </w:rPr>
        <w:t xml:space="preserve"> </w:t>
      </w:r>
      <w:r w:rsidRPr="00A109EB">
        <w:rPr>
          <w:lang w:eastAsia="en-AU"/>
        </w:rPr>
        <w:t xml:space="preserve">has </w:t>
      </w:r>
      <w:r>
        <w:rPr>
          <w:lang w:eastAsia="en-AU"/>
        </w:rPr>
        <w:t>had</w:t>
      </w:r>
      <w:r w:rsidRPr="00A109EB">
        <w:rPr>
          <w:lang w:eastAsia="en-AU"/>
        </w:rPr>
        <w:t xml:space="preserve"> an extensive executive career</w:t>
      </w:r>
      <w:r>
        <w:rPr>
          <w:lang w:eastAsia="en-AU"/>
        </w:rPr>
        <w:t xml:space="preserve"> across government and private sectors in </w:t>
      </w:r>
      <w:r w:rsidRPr="006F7433">
        <w:rPr>
          <w:lang w:eastAsia="en-AU"/>
        </w:rPr>
        <w:t>housing, construction, and manufacturing</w:t>
      </w:r>
      <w:r>
        <w:rPr>
          <w:lang w:eastAsia="en-AU"/>
        </w:rPr>
        <w:t>,</w:t>
      </w:r>
      <w:r w:rsidRPr="005962BA">
        <w:rPr>
          <w:lang w:eastAsia="en-AU"/>
        </w:rPr>
        <w:t xml:space="preserve"> </w:t>
      </w:r>
      <w:r>
        <w:rPr>
          <w:lang w:eastAsia="en-AU"/>
        </w:rPr>
        <w:t xml:space="preserve">including leading </w:t>
      </w:r>
      <w:r w:rsidRPr="001410E2">
        <w:rPr>
          <w:lang w:eastAsia="en-AU"/>
        </w:rPr>
        <w:t>Australia’s largest social housing portfolio</w:t>
      </w:r>
      <w:r>
        <w:rPr>
          <w:lang w:eastAsia="en-AU"/>
        </w:rPr>
        <w:t xml:space="preserve"> in NSW. </w:t>
      </w:r>
    </w:p>
    <w:p w14:paraId="7E329769" w14:textId="77777777" w:rsidR="00E16EF4" w:rsidRPr="000C24E9" w:rsidRDefault="00E16EF4">
      <w:pPr>
        <w:pStyle w:val="Heading3"/>
      </w:pPr>
      <w:r w:rsidRPr="000C24E9">
        <w:t xml:space="preserve">Dannii de </w:t>
      </w:r>
      <w:r w:rsidRPr="00E16EF4">
        <w:rPr>
          <w:color w:val="004A46" w:themeColor="accent6" w:themeShade="BF"/>
        </w:rPr>
        <w:t>Kretser</w:t>
      </w:r>
    </w:p>
    <w:p w14:paraId="75E78A4E" w14:textId="77777777" w:rsidR="00E16EF4" w:rsidRPr="00FA23D9" w:rsidRDefault="00E16EF4">
      <w:pPr>
        <w:pStyle w:val="ARbody"/>
        <w:rPr>
          <w:rStyle w:val="Strong"/>
        </w:rPr>
      </w:pPr>
      <w:r w:rsidRPr="00FA23D9">
        <w:rPr>
          <w:rStyle w:val="Strong"/>
        </w:rPr>
        <w:t>Deputy Chief Executive Officer, Homes Victoria</w:t>
      </w:r>
    </w:p>
    <w:p w14:paraId="4EB1D995" w14:textId="06AAFE5A" w:rsidR="00E16EF4" w:rsidRDefault="00E16EF4">
      <w:pPr>
        <w:pStyle w:val="ARbody"/>
        <w:rPr>
          <w:lang w:eastAsia="en-AU"/>
        </w:rPr>
      </w:pPr>
      <w:r>
        <w:rPr>
          <w:lang w:eastAsia="en-AU"/>
        </w:rPr>
        <w:t xml:space="preserve">Dannii has served as Deputy Chief Executive Officer of Homes Victoria since 2023. This role </w:t>
      </w:r>
      <w:r w:rsidRPr="00C70F75">
        <w:rPr>
          <w:lang w:eastAsia="en-AU"/>
        </w:rPr>
        <w:t xml:space="preserve">supports the </w:t>
      </w:r>
      <w:r w:rsidRPr="00DF726C">
        <w:rPr>
          <w:lang w:eastAsia="en-AU"/>
        </w:rPr>
        <w:t>CEO to deliver Homes Victoria’s</w:t>
      </w:r>
      <w:r w:rsidR="00B26E3C">
        <w:rPr>
          <w:lang w:eastAsia="en-AU"/>
        </w:rPr>
        <w:t> </w:t>
      </w:r>
      <w:r w:rsidRPr="00DF726C">
        <w:rPr>
          <w:lang w:eastAsia="en-AU"/>
        </w:rPr>
        <w:t>priorities</w:t>
      </w:r>
      <w:r>
        <w:rPr>
          <w:lang w:eastAsia="en-AU"/>
        </w:rPr>
        <w:t xml:space="preserve">. </w:t>
      </w:r>
    </w:p>
    <w:p w14:paraId="17F4FDBA" w14:textId="6907B28F" w:rsidR="00E16EF4" w:rsidRDefault="00E16EF4">
      <w:pPr>
        <w:pStyle w:val="ARbody"/>
        <w:rPr>
          <w:lang w:eastAsia="en-AU"/>
        </w:rPr>
      </w:pPr>
      <w:r>
        <w:rPr>
          <w:lang w:eastAsia="en-AU"/>
        </w:rPr>
        <w:t xml:space="preserve">Dannii </w:t>
      </w:r>
      <w:r w:rsidRPr="004360F8">
        <w:rPr>
          <w:lang w:eastAsia="en-AU"/>
        </w:rPr>
        <w:t>supports policy and program settings for public housing, the growth and stewardship of community housing, and the policy and program settings for homelessness and housing support</w:t>
      </w:r>
      <w:r w:rsidR="00B26E3C">
        <w:rPr>
          <w:lang w:eastAsia="en-AU"/>
        </w:rPr>
        <w:t> </w:t>
      </w:r>
      <w:r w:rsidRPr="004360F8">
        <w:rPr>
          <w:lang w:eastAsia="en-AU"/>
        </w:rPr>
        <w:t>services</w:t>
      </w:r>
      <w:r w:rsidRPr="00DF726C">
        <w:rPr>
          <w:lang w:eastAsia="en-AU"/>
        </w:rPr>
        <w:t>.  </w:t>
      </w:r>
      <w:r>
        <w:rPr>
          <w:lang w:eastAsia="en-AU"/>
        </w:rPr>
        <w:t xml:space="preserve"> </w:t>
      </w:r>
    </w:p>
    <w:p w14:paraId="2CB67ED2" w14:textId="77777777" w:rsidR="00E16EF4" w:rsidRPr="00392C6C" w:rsidRDefault="00E16EF4">
      <w:pPr>
        <w:pStyle w:val="Heading3"/>
      </w:pPr>
      <w:r w:rsidRPr="00392C6C">
        <w:t>Drew Warne-Smith</w:t>
      </w:r>
    </w:p>
    <w:p w14:paraId="702C053E" w14:textId="77777777" w:rsidR="00E16EF4" w:rsidRPr="00D51268" w:rsidRDefault="00E16EF4">
      <w:pPr>
        <w:pStyle w:val="ARbody"/>
        <w:rPr>
          <w:rStyle w:val="Strong"/>
        </w:rPr>
      </w:pPr>
      <w:r w:rsidRPr="00D51268">
        <w:rPr>
          <w:rStyle w:val="Strong"/>
        </w:rPr>
        <w:t>Deputy Secretary – System Reform, Workforce and Engagement</w:t>
      </w:r>
    </w:p>
    <w:p w14:paraId="63D21C40" w14:textId="77053A04" w:rsidR="00E16EF4" w:rsidRDefault="00E16EF4">
      <w:pPr>
        <w:pStyle w:val="ARbody"/>
        <w:rPr>
          <w:lang w:eastAsia="en-AU"/>
        </w:rPr>
      </w:pPr>
      <w:r>
        <w:rPr>
          <w:lang w:eastAsia="en-AU"/>
        </w:rPr>
        <w:t xml:space="preserve">Drew oversees the </w:t>
      </w:r>
      <w:r w:rsidRPr="0036675C">
        <w:rPr>
          <w:lang w:eastAsia="en-AU"/>
        </w:rPr>
        <w:t>System Reform, Workforce and Engagement division</w:t>
      </w:r>
      <w:r>
        <w:rPr>
          <w:lang w:eastAsia="en-AU"/>
        </w:rPr>
        <w:t>. The division</w:t>
      </w:r>
      <w:r w:rsidRPr="0036675C">
        <w:rPr>
          <w:lang w:eastAsia="en-AU"/>
        </w:rPr>
        <w:t xml:space="preserve"> brings together cross-cutting functions </w:t>
      </w:r>
      <w:r>
        <w:rPr>
          <w:lang w:eastAsia="en-AU"/>
        </w:rPr>
        <w:t>that</w:t>
      </w:r>
      <w:r w:rsidRPr="0036675C">
        <w:rPr>
          <w:lang w:eastAsia="en-AU"/>
        </w:rPr>
        <w:t xml:space="preserve"> drive system</w:t>
      </w:r>
      <w:r w:rsidR="00746FC5">
        <w:rPr>
          <w:lang w:eastAsia="en-AU"/>
        </w:rPr>
        <w:t> </w:t>
      </w:r>
      <w:r w:rsidRPr="0036675C">
        <w:rPr>
          <w:lang w:eastAsia="en-AU"/>
        </w:rPr>
        <w:t xml:space="preserve">improvements. </w:t>
      </w:r>
    </w:p>
    <w:p w14:paraId="0E929F7D" w14:textId="139BF4D2" w:rsidR="00E16EF4" w:rsidRDefault="00E16EF4">
      <w:pPr>
        <w:pStyle w:val="ARbody"/>
        <w:rPr>
          <w:lang w:eastAsia="en-AU"/>
        </w:rPr>
      </w:pPr>
      <w:r>
        <w:rPr>
          <w:lang w:eastAsia="en-AU"/>
        </w:rPr>
        <w:t>Under Drew’s leadership, the division leads work on cross-portfolio reform and program design. It also undertakes performance monitoring, analytic services and evaluations.</w:t>
      </w:r>
    </w:p>
    <w:p w14:paraId="29FD48E4" w14:textId="5C9AB908" w:rsidR="00E16EF4" w:rsidRDefault="00E16EF4">
      <w:pPr>
        <w:pStyle w:val="ARbody"/>
        <w:rPr>
          <w:lang w:eastAsia="en-AU"/>
        </w:rPr>
      </w:pPr>
      <w:r>
        <w:rPr>
          <w:lang w:eastAsia="en-AU"/>
        </w:rPr>
        <w:t>The division strengthens</w:t>
      </w:r>
      <w:r w:rsidRPr="70165550">
        <w:rPr>
          <w:lang w:eastAsia="en-AU"/>
        </w:rPr>
        <w:t xml:space="preserve"> the supply, retention and development of community sector workforces. </w:t>
      </w:r>
    </w:p>
    <w:p w14:paraId="74E21B6E" w14:textId="1B284DCD" w:rsidR="00E16EF4" w:rsidRDefault="00E16EF4">
      <w:pPr>
        <w:pStyle w:val="ARbody"/>
        <w:rPr>
          <w:lang w:eastAsia="en-AU"/>
        </w:rPr>
      </w:pPr>
      <w:r>
        <w:rPr>
          <w:lang w:eastAsia="en-AU"/>
        </w:rPr>
        <w:t>It</w:t>
      </w:r>
      <w:r w:rsidRPr="70165550">
        <w:rPr>
          <w:lang w:eastAsia="en-AU"/>
        </w:rPr>
        <w:t xml:space="preserve"> is also the custodian of the department’s story, brand and reputation</w:t>
      </w:r>
      <w:r>
        <w:rPr>
          <w:lang w:eastAsia="en-AU"/>
        </w:rPr>
        <w:t>.</w:t>
      </w:r>
      <w:r w:rsidRPr="70165550">
        <w:rPr>
          <w:lang w:eastAsia="en-AU"/>
        </w:rPr>
        <w:t xml:space="preserve"> </w:t>
      </w:r>
      <w:r>
        <w:rPr>
          <w:lang w:eastAsia="en-AU"/>
        </w:rPr>
        <w:t>It progresses</w:t>
      </w:r>
      <w:r w:rsidRPr="70165550">
        <w:rPr>
          <w:lang w:eastAsia="en-AU"/>
        </w:rPr>
        <w:t xml:space="preserve"> regulatory</w:t>
      </w:r>
      <w:r w:rsidR="00746FC5">
        <w:rPr>
          <w:lang w:eastAsia="en-AU"/>
        </w:rPr>
        <w:t> </w:t>
      </w:r>
      <w:r w:rsidRPr="70165550">
        <w:rPr>
          <w:lang w:eastAsia="en-AU"/>
        </w:rPr>
        <w:t>reform.</w:t>
      </w:r>
    </w:p>
    <w:p w14:paraId="21434B8A" w14:textId="77777777" w:rsidR="00E16EF4" w:rsidRPr="0036675C" w:rsidRDefault="00E16EF4">
      <w:pPr>
        <w:pStyle w:val="ARbody"/>
        <w:rPr>
          <w:lang w:eastAsia="en-AU"/>
        </w:rPr>
      </w:pPr>
      <w:r>
        <w:rPr>
          <w:lang w:eastAsia="en-AU"/>
        </w:rPr>
        <w:t xml:space="preserve">Drew has extensive expertise in government and public policy, strategic communications, public relations and journalism. </w:t>
      </w:r>
    </w:p>
    <w:p w14:paraId="2DB5BB49" w14:textId="77777777" w:rsidR="00E16EF4" w:rsidRPr="004F542E" w:rsidRDefault="00E16EF4" w:rsidP="006B2F85">
      <w:pPr>
        <w:pStyle w:val="Heading2"/>
        <w:spacing w:before="0"/>
      </w:pPr>
      <w:bookmarkStart w:id="44" w:name="_Toc212039514"/>
      <w:r w:rsidRPr="004F542E">
        <w:lastRenderedPageBreak/>
        <w:t xml:space="preserve">Leadership </w:t>
      </w:r>
      <w:r w:rsidRPr="006439F4">
        <w:t>charter</w:t>
      </w:r>
      <w:bookmarkEnd w:id="44"/>
    </w:p>
    <w:p w14:paraId="2FDEA44E" w14:textId="27E4280F" w:rsidR="00E16EF4" w:rsidRPr="0081501F" w:rsidRDefault="00E16EF4">
      <w:pPr>
        <w:pStyle w:val="ARbody"/>
      </w:pPr>
      <w:r w:rsidRPr="0081501F">
        <w:t xml:space="preserve">Our department’s </w:t>
      </w:r>
      <w:hyperlink r:id="rId55" w:history="1">
        <w:r w:rsidRPr="0081501F">
          <w:rPr>
            <w:rStyle w:val="Hyperlink"/>
            <w:szCs w:val="20"/>
          </w:rPr>
          <w:t>leadership charter</w:t>
        </w:r>
      </w:hyperlink>
      <w:r w:rsidR="004C480B">
        <w:rPr>
          <w:rStyle w:val="FootnoteReference"/>
        </w:rPr>
        <w:footnoteReference w:id="5"/>
      </w:r>
      <w:r w:rsidR="0083789F">
        <w:t xml:space="preserve"> </w:t>
      </w:r>
      <w:r>
        <w:t>shapes</w:t>
      </w:r>
      <w:r w:rsidRPr="0081501F">
        <w:t xml:space="preserve"> our</w:t>
      </w:r>
      <w:r w:rsidR="00746FC5">
        <w:t> </w:t>
      </w:r>
      <w:r w:rsidRPr="0081501F">
        <w:t>culture.</w:t>
      </w:r>
    </w:p>
    <w:p w14:paraId="0B521470" w14:textId="4DF561D8" w:rsidR="00E16EF4" w:rsidRPr="0081501F" w:rsidRDefault="00E16EF4">
      <w:pPr>
        <w:pStyle w:val="ARbody"/>
      </w:pPr>
      <w:r w:rsidRPr="0081501F">
        <w:t xml:space="preserve">It outlines the leadership behaviours our staff and stakeholders can expect of </w:t>
      </w:r>
      <w:r>
        <w:t>our</w:t>
      </w:r>
      <w:r w:rsidRPr="0081501F">
        <w:t xml:space="preserve"> leaders</w:t>
      </w:r>
      <w:r>
        <w:t>.</w:t>
      </w:r>
      <w:r w:rsidRPr="0081501F">
        <w:t xml:space="preserve"> It </w:t>
      </w:r>
      <w:r>
        <w:t>sets out the way</w:t>
      </w:r>
      <w:r w:rsidRPr="0081501F">
        <w:t xml:space="preserve"> </w:t>
      </w:r>
      <w:r>
        <w:t>our leaders will</w:t>
      </w:r>
      <w:r w:rsidRPr="0081501F">
        <w:t xml:space="preserve"> relate to each other and to our stakeholders. </w:t>
      </w:r>
      <w:r>
        <w:t xml:space="preserve">This </w:t>
      </w:r>
      <w:r w:rsidRPr="0081501F">
        <w:t>positions the department as a great place to work.</w:t>
      </w:r>
    </w:p>
    <w:p w14:paraId="66E6C6D4" w14:textId="77777777" w:rsidR="00E16EF4" w:rsidRDefault="00E16EF4">
      <w:pPr>
        <w:pStyle w:val="ARbody"/>
      </w:pPr>
      <w:r w:rsidRPr="0081501F">
        <w:t>The charter commits the executive leadership group to lead by example</w:t>
      </w:r>
      <w:r>
        <w:t>.</w:t>
      </w:r>
      <w:r w:rsidRPr="0081501F">
        <w:t xml:space="preserve"> </w:t>
      </w:r>
    </w:p>
    <w:p w14:paraId="3E66B16C" w14:textId="6C673D07" w:rsidR="00E16EF4" w:rsidRDefault="00E16EF4">
      <w:pPr>
        <w:pStyle w:val="ARbody"/>
      </w:pPr>
      <w:r>
        <w:t>It</w:t>
      </w:r>
      <w:r w:rsidRPr="0081501F">
        <w:t xml:space="preserve"> ensure</w:t>
      </w:r>
      <w:r>
        <w:t>s</w:t>
      </w:r>
      <w:r w:rsidRPr="0081501F">
        <w:t xml:space="preserve"> </w:t>
      </w:r>
      <w:r>
        <w:t>they</w:t>
      </w:r>
      <w:r w:rsidRPr="0081501F">
        <w:t xml:space="preserve"> embody the department’s values. </w:t>
      </w:r>
    </w:p>
    <w:p w14:paraId="04B14020" w14:textId="77777777" w:rsidR="00E16EF4" w:rsidRDefault="00E16EF4">
      <w:pPr>
        <w:pStyle w:val="ARbody"/>
      </w:pPr>
      <w:r w:rsidRPr="0081501F">
        <w:t>For example, executives are committed to</w:t>
      </w:r>
      <w:r>
        <w:t>:</w:t>
      </w:r>
      <w:r w:rsidRPr="0081501F">
        <w:t xml:space="preserve"> </w:t>
      </w:r>
    </w:p>
    <w:p w14:paraId="1EF5AE78" w14:textId="40A4940D" w:rsidR="00E16EF4" w:rsidRDefault="00E16EF4" w:rsidP="00E16EF4">
      <w:pPr>
        <w:pStyle w:val="ARbullet1"/>
      </w:pPr>
      <w:r w:rsidRPr="0081501F">
        <w:t>being accountable for their actions and</w:t>
      </w:r>
      <w:r w:rsidR="00746FC5">
        <w:t> </w:t>
      </w:r>
      <w:r w:rsidRPr="0081501F">
        <w:t>outcomes</w:t>
      </w:r>
    </w:p>
    <w:p w14:paraId="5232F6D4" w14:textId="4D30398C" w:rsidR="00E16EF4" w:rsidRDefault="00E16EF4" w:rsidP="00E16EF4">
      <w:pPr>
        <w:pStyle w:val="ARbullet1"/>
      </w:pPr>
      <w:r w:rsidRPr="0081501F">
        <w:t>sharing information with staff when it should be</w:t>
      </w:r>
      <w:r w:rsidR="00746FC5">
        <w:t> </w:t>
      </w:r>
      <w:r w:rsidRPr="0081501F">
        <w:t>shared</w:t>
      </w:r>
    </w:p>
    <w:p w14:paraId="0833F690" w14:textId="77777777" w:rsidR="00E16EF4" w:rsidRPr="0081501F" w:rsidRDefault="00E16EF4" w:rsidP="00E16EF4">
      <w:pPr>
        <w:pStyle w:val="ARbullet1"/>
      </w:pPr>
      <w:r w:rsidRPr="0081501F">
        <w:t>seeking out and valuing other perspectives.</w:t>
      </w:r>
    </w:p>
    <w:p w14:paraId="5341435E" w14:textId="77777777" w:rsidR="00E16EF4" w:rsidRDefault="00E16EF4">
      <w:pPr>
        <w:pStyle w:val="ARbody"/>
        <w:rPr>
          <w:rStyle w:val="Strong"/>
        </w:rPr>
      </w:pPr>
    </w:p>
    <w:p w14:paraId="7AA95CE3" w14:textId="77777777" w:rsidR="00E16EF4" w:rsidRDefault="00E16EF4">
      <w:pPr>
        <w:pStyle w:val="ARbody"/>
        <w:sectPr w:rsidR="00E16EF4" w:rsidSect="007F43B1">
          <w:endnotePr>
            <w:numFmt w:val="decimal"/>
          </w:endnotePr>
          <w:type w:val="continuous"/>
          <w:pgSz w:w="11900" w:h="16840" w:code="9"/>
          <w:pgMar w:top="1588" w:right="1134" w:bottom="851" w:left="1134" w:header="510" w:footer="340" w:gutter="0"/>
          <w:cols w:num="2" w:space="454"/>
        </w:sectPr>
      </w:pPr>
    </w:p>
    <w:p w14:paraId="054DC2BE" w14:textId="648FDFFE" w:rsidR="00AD7FE0" w:rsidRDefault="00AD7FE0" w:rsidP="0072340E">
      <w:pPr>
        <w:pStyle w:val="Heading2"/>
        <w:spacing w:before="0"/>
      </w:pPr>
      <w:bookmarkStart w:id="45" w:name="_Organisational_structure_as"/>
      <w:bookmarkStart w:id="46" w:name="_Toc114491187"/>
      <w:bookmarkStart w:id="47" w:name="_Ref178173537"/>
      <w:bookmarkStart w:id="48" w:name="_Toc212039515"/>
      <w:bookmarkEnd w:id="45"/>
      <w:r>
        <w:lastRenderedPageBreak/>
        <w:t xml:space="preserve">Organisational structure as </w:t>
      </w:r>
      <w:proofErr w:type="gramStart"/>
      <w:r>
        <w:t>at</w:t>
      </w:r>
      <w:proofErr w:type="gramEnd"/>
      <w:r>
        <w:t xml:space="preserve"> 30 June 202</w:t>
      </w:r>
      <w:bookmarkEnd w:id="46"/>
      <w:bookmarkEnd w:id="47"/>
      <w:r w:rsidR="004E09C1">
        <w:t>5</w:t>
      </w:r>
      <w:bookmarkEnd w:id="48"/>
    </w:p>
    <w:p w14:paraId="779DBA4C" w14:textId="0F20E4E4" w:rsidR="0048521D" w:rsidRPr="0048521D" w:rsidRDefault="00A23491" w:rsidP="0048521D">
      <w:pPr>
        <w:pStyle w:val="ARbody"/>
      </w:pPr>
      <w:r>
        <w:rPr>
          <w:noProof/>
        </w:rPr>
        <w:drawing>
          <wp:inline distT="0" distB="0" distL="0" distR="0" wp14:anchorId="7BF9C63C" wp14:editId="1EB62342">
            <wp:extent cx="9322135" cy="5638800"/>
            <wp:effectExtent l="0" t="0" r="0" b="0"/>
            <wp:docPr id="1667156544" name="Picture 9" descr="Organisational structure as at 30 June 2025 Part 1. You can view the department's structure at https://www.dffh.vic.gov.au/our-structure">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56544" name="Picture 9" descr="Organisational structure as at 30 June 2025 Part 1. You can view the department's structure at https://www.dffh.vic.gov.au/our-structure">
                      <a:hlinkClick r:id="rId56"/>
                    </pic:cNvPr>
                    <pic:cNvPicPr/>
                  </pic:nvPicPr>
                  <pic:blipFill rotWithShape="1">
                    <a:blip r:embed="rId57" cstate="print">
                      <a:extLst>
                        <a:ext uri="{28A0092B-C50C-407E-A947-70E740481C1C}">
                          <a14:useLocalDpi xmlns:a14="http://schemas.microsoft.com/office/drawing/2010/main"/>
                        </a:ext>
                      </a:extLst>
                    </a:blip>
                    <a:srcRect b="5443"/>
                    <a:stretch>
                      <a:fillRect/>
                    </a:stretch>
                  </pic:blipFill>
                  <pic:spPr bwMode="auto">
                    <a:xfrm>
                      <a:off x="0" y="0"/>
                      <a:ext cx="9329099" cy="5643013"/>
                    </a:xfrm>
                    <a:prstGeom prst="rect">
                      <a:avLst/>
                    </a:prstGeom>
                    <a:ln>
                      <a:noFill/>
                    </a:ln>
                    <a:extLst>
                      <a:ext uri="{53640926-AAD7-44D8-BBD7-CCE9431645EC}">
                        <a14:shadowObscured xmlns:a14="http://schemas.microsoft.com/office/drawing/2010/main"/>
                      </a:ext>
                    </a:extLst>
                  </pic:spPr>
                </pic:pic>
              </a:graphicData>
            </a:graphic>
          </wp:inline>
        </w:drawing>
      </w:r>
    </w:p>
    <w:p w14:paraId="59BF186C" w14:textId="4AB471E2" w:rsidR="00D85C84" w:rsidRPr="00D85C84" w:rsidRDefault="00A23491" w:rsidP="00D85C84">
      <w:pPr>
        <w:pStyle w:val="ARbody"/>
      </w:pPr>
      <w:r>
        <w:rPr>
          <w:noProof/>
        </w:rPr>
        <w:lastRenderedPageBreak/>
        <w:drawing>
          <wp:inline distT="0" distB="0" distL="0" distR="0" wp14:anchorId="0781DA4D" wp14:editId="39EBFDCB">
            <wp:extent cx="9329057" cy="5967783"/>
            <wp:effectExtent l="0" t="0" r="5715" b="0"/>
            <wp:docPr id="273561207" name="Picture 10" descr="Organisational structure as at 30 June 2025 Part 2. You can view the department's structure at https://www.dffh.vic.gov.au/our-structure">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61207" name="Picture 10" descr="Organisational structure as at 30 June 2025 Part 2. You can view the department's structure at https://www.dffh.vic.gov.au/our-structure">
                      <a:hlinkClick r:id="rId56"/>
                    </pic:cNvP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9334096" cy="5971007"/>
                    </a:xfrm>
                    <a:prstGeom prst="rect">
                      <a:avLst/>
                    </a:prstGeom>
                  </pic:spPr>
                </pic:pic>
              </a:graphicData>
            </a:graphic>
          </wp:inline>
        </w:drawing>
      </w:r>
    </w:p>
    <w:p w14:paraId="60EC621C" w14:textId="2EC41CBE" w:rsidR="00AD7FE0" w:rsidRPr="00D85C84" w:rsidRDefault="00AD7FE0" w:rsidP="00D85C84">
      <w:pPr>
        <w:pStyle w:val="ARbody"/>
      </w:pPr>
    </w:p>
    <w:p w14:paraId="677CC0FC" w14:textId="77777777" w:rsidR="00AD7FE0" w:rsidRDefault="00AD7FE0">
      <w:pPr>
        <w:pStyle w:val="ARbody"/>
        <w:rPr>
          <w:noProof/>
        </w:rPr>
        <w:sectPr w:rsidR="00AD7FE0" w:rsidSect="007F43B1">
          <w:endnotePr>
            <w:numFmt w:val="decimal"/>
          </w:endnotePr>
          <w:pgSz w:w="16838" w:h="11906" w:orient="landscape" w:code="9"/>
          <w:pgMar w:top="1134" w:right="1134" w:bottom="851" w:left="1134" w:header="510" w:footer="340" w:gutter="0"/>
          <w:cols w:space="454"/>
          <w:docGrid w:linePitch="360"/>
        </w:sectPr>
      </w:pPr>
    </w:p>
    <w:p w14:paraId="38046435" w14:textId="77777777" w:rsidR="00AD7FE0" w:rsidRDefault="00AD7FE0" w:rsidP="0072340E">
      <w:pPr>
        <w:pStyle w:val="Heading2"/>
        <w:spacing w:before="0"/>
        <w:sectPr w:rsidR="00AD7FE0" w:rsidSect="007F43B1">
          <w:headerReference w:type="even" r:id="rId59"/>
          <w:footerReference w:type="even" r:id="rId60"/>
          <w:headerReference w:type="first" r:id="rId61"/>
          <w:footerReference w:type="first" r:id="rId62"/>
          <w:endnotePr>
            <w:numFmt w:val="decimal"/>
          </w:endnotePr>
          <w:pgSz w:w="11900" w:h="16840" w:code="9"/>
          <w:pgMar w:top="1588" w:right="1134" w:bottom="851" w:left="1134" w:header="510" w:footer="340" w:gutter="0"/>
          <w:cols w:num="2" w:space="720"/>
        </w:sectPr>
      </w:pPr>
      <w:bookmarkStart w:id="49" w:name="_Toc212039516"/>
      <w:r w:rsidRPr="002029AF">
        <w:lastRenderedPageBreak/>
        <w:t xml:space="preserve">Committee </w:t>
      </w:r>
      <w:r>
        <w:t>s</w:t>
      </w:r>
      <w:r w:rsidRPr="002029AF">
        <w:t>tructure</w:t>
      </w:r>
      <w:bookmarkEnd w:id="49"/>
    </w:p>
    <w:bookmarkEnd w:id="22"/>
    <w:p w14:paraId="71A6A327" w14:textId="0EF8C437" w:rsidR="008113CC" w:rsidRPr="008A1E68" w:rsidRDefault="008113CC" w:rsidP="008113CC">
      <w:pPr>
        <w:pStyle w:val="Heading3"/>
      </w:pPr>
      <w:r w:rsidRPr="008A1E68">
        <w:t>Executive Directions Board</w:t>
      </w:r>
    </w:p>
    <w:p w14:paraId="20CDF47A" w14:textId="77777777" w:rsidR="008113CC" w:rsidRPr="008A1E68" w:rsidRDefault="008113CC" w:rsidP="002774B2">
      <w:pPr>
        <w:pStyle w:val="ARbody"/>
      </w:pPr>
      <w:r w:rsidRPr="008A1E68">
        <w:t>The Executive Directions Board supports the Secretary in providing whole-of-department oversight and direction on the department’s strategy. This includes</w:t>
      </w:r>
      <w:r w:rsidRPr="008A1E68" w:rsidDel="001A173A">
        <w:t xml:space="preserve"> </w:t>
      </w:r>
      <w:r w:rsidRPr="008A1E68">
        <w:t>forward planning and priority-setting for policy, program and service delivery, culture and workforce management, budget strategy and prioritisation, integration of Aboriginal agency, control and self-governance, and stewardship of the department’s brand and integrity.</w:t>
      </w:r>
    </w:p>
    <w:p w14:paraId="18289E00" w14:textId="77777777" w:rsidR="008113CC" w:rsidRPr="008A1E68" w:rsidRDefault="008113CC" w:rsidP="002774B2">
      <w:pPr>
        <w:pStyle w:val="ARbody"/>
      </w:pPr>
      <w:r w:rsidRPr="008A1E68">
        <w:t>The Executive Board comprises the Secretary, Deputy Secretaries, Chief Executive Officer and Deputy Chief Executive Officer Homes Victoria and the Chief Practitioner.</w:t>
      </w:r>
    </w:p>
    <w:p w14:paraId="694229E2" w14:textId="77777777" w:rsidR="008113CC" w:rsidRPr="008A1E68" w:rsidRDefault="008113CC" w:rsidP="008113CC">
      <w:pPr>
        <w:pStyle w:val="Heading3"/>
      </w:pPr>
      <w:r w:rsidRPr="008A1E68">
        <w:t>Board of Management</w:t>
      </w:r>
    </w:p>
    <w:p w14:paraId="2A4DB2AC" w14:textId="77777777" w:rsidR="008113CC" w:rsidRPr="008A1E68" w:rsidRDefault="008113CC" w:rsidP="002774B2">
      <w:pPr>
        <w:pStyle w:val="ARbody"/>
        <w:rPr>
          <w:lang w:eastAsia="en-AU"/>
        </w:rPr>
      </w:pPr>
      <w:r w:rsidRPr="008A1E68">
        <w:rPr>
          <w:lang w:eastAsia="en-AU"/>
        </w:rPr>
        <w:t>The Board of Management supports the Secretary in providing whole-of-department oversight and direction on the department’s governance, people and culture, budget and financial management, performance monitoring, critical risk management and compliance, including relating to financial, legislative and regulatory obligations.</w:t>
      </w:r>
    </w:p>
    <w:p w14:paraId="01CC35B9" w14:textId="77777777" w:rsidR="008113CC" w:rsidRPr="008A1E68" w:rsidRDefault="008113CC" w:rsidP="002774B2">
      <w:pPr>
        <w:pStyle w:val="ARbody"/>
      </w:pPr>
      <w:r w:rsidRPr="008A1E68">
        <w:t>The Board of Management comprises the Secretary, Deputy Secretaries and Chief Executive Officer Homes Victoria. The Board is supported by a range of committees to drive the organisation’s governance and strategic direction.</w:t>
      </w:r>
    </w:p>
    <w:p w14:paraId="1235A764" w14:textId="77777777" w:rsidR="008113CC" w:rsidRPr="008A1E68" w:rsidRDefault="008113CC" w:rsidP="008113CC">
      <w:pPr>
        <w:pStyle w:val="Heading3"/>
      </w:pPr>
      <w:r w:rsidRPr="008A1E68">
        <w:t>Subcommittees</w:t>
      </w:r>
    </w:p>
    <w:p w14:paraId="2F636F1D" w14:textId="77777777" w:rsidR="008113CC" w:rsidRPr="008A1E68" w:rsidRDefault="008113CC" w:rsidP="002774B2">
      <w:pPr>
        <w:pStyle w:val="Heading4"/>
      </w:pPr>
      <w:r w:rsidRPr="008A1E68">
        <w:t>Aboriginal Truth and Treaty</w:t>
      </w:r>
    </w:p>
    <w:p w14:paraId="14AA7677" w14:textId="77777777" w:rsidR="008113CC" w:rsidRPr="008A1E68" w:rsidRDefault="008113CC" w:rsidP="002774B2">
      <w:pPr>
        <w:pStyle w:val="ARbody"/>
      </w:pPr>
      <w:r w:rsidRPr="008A1E68">
        <w:t>This committee provides</w:t>
      </w:r>
      <w:r w:rsidRPr="008A1E68">
        <w:rPr>
          <w:rFonts w:eastAsia="Arial"/>
          <w:color w:val="000000"/>
          <w:szCs w:val="20"/>
        </w:rPr>
        <w:t xml:space="preserve"> oversight, strategic direction, and advice on the department’s responses to the </w:t>
      </w:r>
      <w:proofErr w:type="spellStart"/>
      <w:r w:rsidRPr="008A1E68">
        <w:rPr>
          <w:rFonts w:eastAsia="Arial"/>
          <w:color w:val="000000"/>
          <w:szCs w:val="20"/>
        </w:rPr>
        <w:t>Yoorrook</w:t>
      </w:r>
      <w:proofErr w:type="spellEnd"/>
      <w:r w:rsidRPr="008A1E68">
        <w:rPr>
          <w:rFonts w:eastAsia="Arial"/>
          <w:color w:val="000000"/>
          <w:szCs w:val="20"/>
        </w:rPr>
        <w:t xml:space="preserve"> Justice Commission and work to support the Treaty process</w:t>
      </w:r>
      <w:r w:rsidRPr="008A1E68">
        <w:t>.</w:t>
      </w:r>
    </w:p>
    <w:p w14:paraId="6A8F7F48" w14:textId="77777777" w:rsidR="008113CC" w:rsidRPr="008A1E68" w:rsidRDefault="008113CC" w:rsidP="002774B2">
      <w:pPr>
        <w:pStyle w:val="Heading4"/>
      </w:pPr>
      <w:r w:rsidRPr="008A1E68">
        <w:t>Budget and Financial Management</w:t>
      </w:r>
    </w:p>
    <w:p w14:paraId="1E12D502" w14:textId="77777777" w:rsidR="008113CC" w:rsidRPr="008A1E68" w:rsidRDefault="008113CC" w:rsidP="002774B2">
      <w:pPr>
        <w:pStyle w:val="ARbody"/>
      </w:pPr>
      <w:r w:rsidRPr="008A1E68">
        <w:t>This committee provides oversight, direction and advice on the department’s budget and financial management and reporting, strategic allocation of financial resources, and strategies to improve financial sustainability, to ensure the department complies with financial accountability requirements.</w:t>
      </w:r>
    </w:p>
    <w:p w14:paraId="53827E20" w14:textId="77777777" w:rsidR="008113CC" w:rsidRPr="008A1E68" w:rsidRDefault="008113CC" w:rsidP="002774B2">
      <w:pPr>
        <w:pStyle w:val="Heading4"/>
      </w:pPr>
      <w:r w:rsidRPr="008A1E68">
        <w:t>Information and Communications Technology (ICT)</w:t>
      </w:r>
    </w:p>
    <w:p w14:paraId="502D67A4" w14:textId="77777777" w:rsidR="008113CC" w:rsidRPr="008A1E68" w:rsidRDefault="008113CC" w:rsidP="002774B2">
      <w:pPr>
        <w:pStyle w:val="ARbody"/>
      </w:pPr>
      <w:r w:rsidRPr="008A1E68">
        <w:t>Provides oversight, direction and advice on the department’s technology strategy, investment, performance and risks. </w:t>
      </w:r>
    </w:p>
    <w:p w14:paraId="78EDEC7F" w14:textId="77777777" w:rsidR="008113CC" w:rsidRPr="008A1E68" w:rsidRDefault="008113CC" w:rsidP="002774B2">
      <w:pPr>
        <w:pStyle w:val="Heading4"/>
      </w:pPr>
      <w:r w:rsidRPr="008A1E68">
        <w:t>Operational Strategy and Performance</w:t>
      </w:r>
    </w:p>
    <w:p w14:paraId="5A96AFE2" w14:textId="77777777" w:rsidR="008113CC" w:rsidRPr="008A1E68" w:rsidRDefault="008113CC" w:rsidP="002774B2">
      <w:pPr>
        <w:pStyle w:val="ARbody"/>
      </w:pPr>
      <w:r w:rsidRPr="008A1E68">
        <w:t>This committee provides oversight, direction and advice on the department’s operational strategy, workforce and operating models, and performance and delivery against critical objectives and targets. This includes meeting service delivery requirements and regulations, improving service and system integration, and addressing recommendations from oversight bodies.</w:t>
      </w:r>
    </w:p>
    <w:p w14:paraId="61E652BB" w14:textId="77777777" w:rsidR="008113CC" w:rsidRPr="008A1E68" w:rsidRDefault="008113CC" w:rsidP="008113CC">
      <w:pPr>
        <w:pStyle w:val="Heading3"/>
      </w:pPr>
      <w:r w:rsidRPr="008A1E68">
        <w:t>Statutory committees</w:t>
      </w:r>
    </w:p>
    <w:p w14:paraId="5C00C3C5" w14:textId="1764F49B" w:rsidR="008113CC" w:rsidRPr="008A1E68" w:rsidRDefault="008113CC" w:rsidP="002774B2">
      <w:pPr>
        <w:pStyle w:val="Heading4"/>
      </w:pPr>
      <w:r w:rsidRPr="008A1E68">
        <w:t>Audit and Risk Management Committee membership and role</w:t>
      </w:r>
    </w:p>
    <w:p w14:paraId="246355BA" w14:textId="77777777" w:rsidR="008113CC" w:rsidRPr="008A1E68" w:rsidRDefault="008113CC" w:rsidP="002774B2">
      <w:pPr>
        <w:pStyle w:val="ARbody"/>
      </w:pPr>
      <w:r w:rsidRPr="008A1E68">
        <w:t>The Audit and Risk Management Committee consists of the following members:</w:t>
      </w:r>
    </w:p>
    <w:tbl>
      <w:tblPr>
        <w:tblStyle w:val="TableGrid"/>
        <w:tblW w:w="0" w:type="auto"/>
        <w:tblLook w:val="00E0" w:firstRow="1" w:lastRow="1" w:firstColumn="1" w:lastColumn="0" w:noHBand="0" w:noVBand="0"/>
      </w:tblPr>
      <w:tblGrid>
        <w:gridCol w:w="1418"/>
        <w:gridCol w:w="3161"/>
      </w:tblGrid>
      <w:tr w:rsidR="008113CC" w:rsidRPr="008A1E68" w14:paraId="28F18064" w14:textId="77777777" w:rsidTr="00B12785">
        <w:trPr>
          <w:cnfStyle w:val="100000000000" w:firstRow="1" w:lastRow="0" w:firstColumn="0" w:lastColumn="0" w:oddVBand="0" w:evenVBand="0" w:oddHBand="0" w:evenHBand="0" w:firstRowFirstColumn="0" w:firstRowLastColumn="0" w:lastRowFirstColumn="0" w:lastRowLastColumn="0"/>
          <w:tblHeader/>
        </w:trPr>
        <w:tc>
          <w:tcPr>
            <w:tcW w:w="1418" w:type="dxa"/>
            <w:tcBorders>
              <w:top w:val="single" w:sz="4" w:space="0" w:color="000000" w:themeColor="text1"/>
              <w:bottom w:val="single" w:sz="4" w:space="0" w:color="A6A6A6" w:themeColor="accent5"/>
            </w:tcBorders>
          </w:tcPr>
          <w:p w14:paraId="11DC8F66" w14:textId="77777777" w:rsidR="008113CC" w:rsidRPr="008A1E68" w:rsidRDefault="008113CC" w:rsidP="002774B2">
            <w:pPr>
              <w:pStyle w:val="ARtabletext"/>
            </w:pPr>
            <w:r w:rsidRPr="008A1E68">
              <w:t>L. Gardiner</w:t>
            </w:r>
          </w:p>
        </w:tc>
        <w:tc>
          <w:tcPr>
            <w:cnfStyle w:val="000001000000" w:firstRow="0" w:lastRow="0" w:firstColumn="0" w:lastColumn="0" w:oddVBand="0" w:evenVBand="1" w:oddHBand="0" w:evenHBand="0" w:firstRowFirstColumn="0" w:firstRowLastColumn="0" w:lastRowFirstColumn="0" w:lastRowLastColumn="0"/>
            <w:tcW w:w="3161" w:type="dxa"/>
            <w:tcBorders>
              <w:top w:val="single" w:sz="4" w:space="0" w:color="000000" w:themeColor="text1"/>
              <w:bottom w:val="single" w:sz="4" w:space="0" w:color="A6A6A6" w:themeColor="accent5"/>
            </w:tcBorders>
            <w:tcMar>
              <w:left w:w="113" w:type="dxa"/>
            </w:tcMar>
          </w:tcPr>
          <w:p w14:paraId="5575F2D4" w14:textId="77777777" w:rsidR="008113CC" w:rsidRPr="008A1E68" w:rsidRDefault="008113CC" w:rsidP="002774B2">
            <w:pPr>
              <w:pStyle w:val="ARtabletext"/>
              <w:rPr>
                <w:b/>
                <w:bCs/>
              </w:rPr>
            </w:pPr>
            <w:r w:rsidRPr="008A1E68">
              <w:t>Independent member</w:t>
            </w:r>
          </w:p>
        </w:tc>
      </w:tr>
      <w:tr w:rsidR="008113CC" w:rsidRPr="008A1E68" w14:paraId="71A198F6" w14:textId="77777777" w:rsidTr="00B12785">
        <w:trPr>
          <w:cnfStyle w:val="100000000000" w:firstRow="1" w:lastRow="0" w:firstColumn="0" w:lastColumn="0" w:oddVBand="0" w:evenVBand="0" w:oddHBand="0" w:evenHBand="0" w:firstRowFirstColumn="0" w:firstRowLastColumn="0" w:lastRowFirstColumn="0" w:lastRowLastColumn="0"/>
          <w:tblHeader/>
        </w:trPr>
        <w:tc>
          <w:tcPr>
            <w:tcW w:w="1418" w:type="dxa"/>
            <w:tcBorders>
              <w:top w:val="single" w:sz="4" w:space="0" w:color="A6A6A6" w:themeColor="accent5"/>
              <w:bottom w:val="single" w:sz="4" w:space="0" w:color="A6A6A6" w:themeColor="accent5"/>
            </w:tcBorders>
          </w:tcPr>
          <w:p w14:paraId="53D739D8" w14:textId="77777777" w:rsidR="008113CC" w:rsidRPr="008A1E68" w:rsidRDefault="008113CC" w:rsidP="002774B2">
            <w:pPr>
              <w:pStyle w:val="ARtabletext"/>
            </w:pPr>
            <w:r w:rsidRPr="008A1E68">
              <w:t>K. Peach</w:t>
            </w:r>
          </w:p>
        </w:tc>
        <w:tc>
          <w:tcPr>
            <w:cnfStyle w:val="000001000000" w:firstRow="0" w:lastRow="0" w:firstColumn="0" w:lastColumn="0" w:oddVBand="0" w:evenVBand="1" w:oddHBand="0" w:evenHBand="0" w:firstRowFirstColumn="0" w:firstRowLastColumn="0" w:lastRowFirstColumn="0" w:lastRowLastColumn="0"/>
            <w:tcW w:w="3161" w:type="dxa"/>
            <w:tcBorders>
              <w:top w:val="single" w:sz="4" w:space="0" w:color="A6A6A6" w:themeColor="accent5"/>
              <w:bottom w:val="single" w:sz="4" w:space="0" w:color="A6A6A6" w:themeColor="accent5"/>
            </w:tcBorders>
            <w:tcMar>
              <w:left w:w="113" w:type="dxa"/>
            </w:tcMar>
          </w:tcPr>
          <w:p w14:paraId="02D2F22F" w14:textId="77777777" w:rsidR="008113CC" w:rsidRPr="008A1E68" w:rsidRDefault="008113CC" w:rsidP="002774B2">
            <w:pPr>
              <w:pStyle w:val="ARtabletext"/>
            </w:pPr>
            <w:r w:rsidRPr="008A1E68">
              <w:t>Independent member</w:t>
            </w:r>
          </w:p>
        </w:tc>
      </w:tr>
      <w:tr w:rsidR="008113CC" w:rsidRPr="008A1E68" w14:paraId="37AEDC59" w14:textId="77777777" w:rsidTr="00B12785">
        <w:trPr>
          <w:cnfStyle w:val="100000000000" w:firstRow="1" w:lastRow="0" w:firstColumn="0" w:lastColumn="0" w:oddVBand="0" w:evenVBand="0" w:oddHBand="0" w:evenHBand="0" w:firstRowFirstColumn="0" w:firstRowLastColumn="0" w:lastRowFirstColumn="0" w:lastRowLastColumn="0"/>
          <w:tblHeader/>
        </w:trPr>
        <w:tc>
          <w:tcPr>
            <w:tcW w:w="1418" w:type="dxa"/>
            <w:tcBorders>
              <w:top w:val="single" w:sz="4" w:space="0" w:color="A6A6A6" w:themeColor="accent5"/>
              <w:bottom w:val="single" w:sz="4" w:space="0" w:color="A6A6A6" w:themeColor="accent5"/>
            </w:tcBorders>
          </w:tcPr>
          <w:p w14:paraId="5F7615CC" w14:textId="77777777" w:rsidR="008113CC" w:rsidRPr="008A1E68" w:rsidRDefault="008113CC" w:rsidP="002774B2">
            <w:pPr>
              <w:pStyle w:val="ARtabletext"/>
            </w:pPr>
            <w:r w:rsidRPr="008A1E68">
              <w:t>J. Holt</w:t>
            </w:r>
          </w:p>
        </w:tc>
        <w:tc>
          <w:tcPr>
            <w:cnfStyle w:val="000001000000" w:firstRow="0" w:lastRow="0" w:firstColumn="0" w:lastColumn="0" w:oddVBand="0" w:evenVBand="1" w:oddHBand="0" w:evenHBand="0" w:firstRowFirstColumn="0" w:firstRowLastColumn="0" w:lastRowFirstColumn="0" w:lastRowLastColumn="0"/>
            <w:tcW w:w="3161" w:type="dxa"/>
            <w:tcBorders>
              <w:top w:val="single" w:sz="4" w:space="0" w:color="A6A6A6" w:themeColor="accent5"/>
              <w:bottom w:val="single" w:sz="4" w:space="0" w:color="A6A6A6" w:themeColor="accent5"/>
            </w:tcBorders>
            <w:tcMar>
              <w:left w:w="113" w:type="dxa"/>
            </w:tcMar>
          </w:tcPr>
          <w:p w14:paraId="502F0A66" w14:textId="3B9B80D5" w:rsidR="008113CC" w:rsidRPr="008A1E68" w:rsidRDefault="008113CC" w:rsidP="002774B2">
            <w:pPr>
              <w:pStyle w:val="ARtabletext"/>
            </w:pPr>
            <w:r w:rsidRPr="008A1E68">
              <w:t>Independent member (</w:t>
            </w:r>
            <w:r w:rsidR="001952B2">
              <w:t>t</w:t>
            </w:r>
            <w:r w:rsidR="001952B2" w:rsidRPr="008A1E68">
              <w:t xml:space="preserve">erm </w:t>
            </w:r>
            <w:r w:rsidRPr="008A1E68">
              <w:t>commenced September 2024)</w:t>
            </w:r>
          </w:p>
        </w:tc>
      </w:tr>
      <w:tr w:rsidR="008113CC" w:rsidRPr="008A1E68" w14:paraId="03770B8B" w14:textId="77777777" w:rsidTr="00B12785">
        <w:trPr>
          <w:cnfStyle w:val="100000000000" w:firstRow="1" w:lastRow="0" w:firstColumn="0" w:lastColumn="0" w:oddVBand="0" w:evenVBand="0" w:oddHBand="0" w:evenHBand="0" w:firstRowFirstColumn="0" w:firstRowLastColumn="0" w:lastRowFirstColumn="0" w:lastRowLastColumn="0"/>
          <w:tblHeader/>
        </w:trPr>
        <w:tc>
          <w:tcPr>
            <w:tcW w:w="1418" w:type="dxa"/>
            <w:tcBorders>
              <w:top w:val="single" w:sz="4" w:space="0" w:color="A6A6A6" w:themeColor="accent5"/>
            </w:tcBorders>
          </w:tcPr>
          <w:p w14:paraId="4A480E62" w14:textId="77777777" w:rsidR="008113CC" w:rsidRPr="008A1E68" w:rsidRDefault="008113CC" w:rsidP="002774B2">
            <w:pPr>
              <w:pStyle w:val="ARtabletext"/>
            </w:pPr>
            <w:r w:rsidRPr="008A1E68">
              <w:t xml:space="preserve">M. </w:t>
            </w:r>
            <w:proofErr w:type="spellStart"/>
            <w:r w:rsidRPr="008A1E68">
              <w:t>Tieppo</w:t>
            </w:r>
            <w:proofErr w:type="spellEnd"/>
          </w:p>
        </w:tc>
        <w:tc>
          <w:tcPr>
            <w:cnfStyle w:val="000001000000" w:firstRow="0" w:lastRow="0" w:firstColumn="0" w:lastColumn="0" w:oddVBand="0" w:evenVBand="1" w:oddHBand="0" w:evenHBand="0" w:firstRowFirstColumn="0" w:firstRowLastColumn="0" w:lastRowFirstColumn="0" w:lastRowLastColumn="0"/>
            <w:tcW w:w="3161" w:type="dxa"/>
            <w:tcBorders>
              <w:top w:val="single" w:sz="4" w:space="0" w:color="A6A6A6" w:themeColor="accent5"/>
            </w:tcBorders>
            <w:tcMar>
              <w:left w:w="113" w:type="dxa"/>
            </w:tcMar>
          </w:tcPr>
          <w:p w14:paraId="495CAD74" w14:textId="57AA496A" w:rsidR="008113CC" w:rsidRPr="008A1E68" w:rsidRDefault="008113CC" w:rsidP="002774B2">
            <w:pPr>
              <w:pStyle w:val="ARtabletext"/>
            </w:pPr>
            <w:r w:rsidRPr="008A1E68">
              <w:t>Independent member (</w:t>
            </w:r>
            <w:r w:rsidR="001952B2">
              <w:t>t</w:t>
            </w:r>
            <w:r w:rsidR="001952B2" w:rsidRPr="008A1E68">
              <w:t xml:space="preserve">erm </w:t>
            </w:r>
            <w:r w:rsidRPr="008A1E68">
              <w:t>commenced September 2024)</w:t>
            </w:r>
          </w:p>
        </w:tc>
      </w:tr>
    </w:tbl>
    <w:p w14:paraId="09028327" w14:textId="595219AE" w:rsidR="008113CC" w:rsidRPr="008A1E68" w:rsidRDefault="008113CC" w:rsidP="008113CC">
      <w:pPr>
        <w:pStyle w:val="ARbodyaftertable"/>
      </w:pPr>
      <w:r w:rsidRPr="008A1E68">
        <w:t>The Audit and Risk Management Committee is an</w:t>
      </w:r>
      <w:r w:rsidR="00C07BFC">
        <w:t> </w:t>
      </w:r>
      <w:r w:rsidRPr="008A1E68">
        <w:t>independent advisory committee established in</w:t>
      </w:r>
      <w:r w:rsidR="00C07BFC">
        <w:t> </w:t>
      </w:r>
      <w:r w:rsidRPr="008A1E68">
        <w:t xml:space="preserve">accordance with the </w:t>
      </w:r>
      <w:r w:rsidRPr="00E06E63">
        <w:rPr>
          <w:rStyle w:val="Emphasis"/>
        </w:rPr>
        <w:t>Financial Management Act 1994 a</w:t>
      </w:r>
      <w:r w:rsidRPr="008A1E68">
        <w:t>nd the Standing Directions 2018 issued by the Minister for Finance.</w:t>
      </w:r>
    </w:p>
    <w:p w14:paraId="406E36BA" w14:textId="71B0A9E6" w:rsidR="00F614F7" w:rsidRDefault="008113CC" w:rsidP="002774B2">
      <w:pPr>
        <w:pStyle w:val="ARbody"/>
      </w:pPr>
      <w:r w:rsidRPr="008A1E68">
        <w:t>Accountable to the Secretary, the main responsibilities of the Audit and Risk Management Committee are to provide independent oversight, direction and advice on the department’s governance, risk, control and compliance frameworks, including on internal and external audit activities, financial and performance reporting, risk management, integrity, fraud and corruption controls, legislative and policy compliance.</w:t>
      </w:r>
      <w:r w:rsidR="00F614F7">
        <w:br w:type="page"/>
      </w:r>
    </w:p>
    <w:p w14:paraId="5F3642F4" w14:textId="77777777" w:rsidR="008113CC" w:rsidRPr="008A1E68" w:rsidRDefault="008113CC" w:rsidP="002774B2">
      <w:pPr>
        <w:pStyle w:val="Heading4"/>
      </w:pPr>
      <w:r w:rsidRPr="008A1E68">
        <w:lastRenderedPageBreak/>
        <w:t>Executive Remuneration</w:t>
      </w:r>
    </w:p>
    <w:p w14:paraId="3FB36C1F" w14:textId="15AF36E8" w:rsidR="008113CC" w:rsidRPr="008A1E68" w:rsidRDefault="008113CC" w:rsidP="002774B2">
      <w:pPr>
        <w:pStyle w:val="ARbody"/>
        <w:rPr>
          <w:bdr w:val="none" w:sz="0" w:space="0" w:color="auto" w:frame="1"/>
          <w:lang w:eastAsia="en-AU" w:bidi="th-TH"/>
        </w:rPr>
      </w:pPr>
      <w:r w:rsidRPr="008A1E68">
        <w:t>This committee provides oversight, direction and</w:t>
      </w:r>
      <w:r w:rsidR="00C07BFC">
        <w:t> </w:t>
      </w:r>
      <w:r w:rsidRPr="008A1E68">
        <w:t>advice to ensure a consistent and rigorous approach to creating and advertising executive roles, appointing to roles, and setting remuneration levels for executive staff.</w:t>
      </w:r>
    </w:p>
    <w:p w14:paraId="6147C72A" w14:textId="77777777" w:rsidR="008113CC" w:rsidRPr="008A1E68" w:rsidRDefault="008113CC" w:rsidP="002774B2">
      <w:pPr>
        <w:pStyle w:val="Heading4"/>
      </w:pPr>
      <w:r w:rsidRPr="008A1E68">
        <w:t xml:space="preserve">People and Culture </w:t>
      </w:r>
    </w:p>
    <w:p w14:paraId="03AA4C94" w14:textId="77777777" w:rsidR="00D57F62" w:rsidRDefault="008113CC" w:rsidP="002774B2">
      <w:pPr>
        <w:pStyle w:val="ARbody"/>
        <w:rPr>
          <w:bdr w:val="none" w:sz="0" w:space="0" w:color="auto" w:frame="1"/>
          <w:lang w:eastAsia="en-AU" w:bidi="th-TH"/>
        </w:rPr>
        <w:sectPr w:rsidR="00D57F62" w:rsidSect="007F43B1">
          <w:headerReference w:type="even" r:id="rId63"/>
          <w:footerReference w:type="even" r:id="rId64"/>
          <w:footerReference w:type="default" r:id="rId65"/>
          <w:headerReference w:type="first" r:id="rId66"/>
          <w:footerReference w:type="first" r:id="rId67"/>
          <w:endnotePr>
            <w:numFmt w:val="decimal"/>
          </w:endnotePr>
          <w:type w:val="continuous"/>
          <w:pgSz w:w="11900" w:h="16840" w:code="9"/>
          <w:pgMar w:top="1588" w:right="1134" w:bottom="851" w:left="1134" w:header="510" w:footer="340" w:gutter="0"/>
          <w:cols w:num="2" w:space="448"/>
          <w:docGrid w:linePitch="299"/>
        </w:sectPr>
      </w:pPr>
      <w:r w:rsidRPr="008A1E68">
        <w:rPr>
          <w:bdr w:val="none" w:sz="0" w:space="0" w:color="auto" w:frame="1"/>
          <w:lang w:eastAsia="en-AU" w:bidi="th-TH"/>
        </w:rPr>
        <w:t>This committee provides oversight, direction and advice on the department’s health, safety and wellbeing risks, compliance and prevention strategies, industrial relations, integrity, culture, diversity and inclusion.</w:t>
      </w:r>
    </w:p>
    <w:p w14:paraId="616E6A40" w14:textId="77777777" w:rsidR="000E38BD" w:rsidRPr="002664AD" w:rsidRDefault="000E38BD" w:rsidP="00A742C2">
      <w:pPr>
        <w:pStyle w:val="Heading1"/>
      </w:pPr>
      <w:bookmarkStart w:id="50" w:name="_Toc114491189"/>
      <w:bookmarkStart w:id="51" w:name="_Ref178173218"/>
      <w:bookmarkStart w:id="52" w:name="_Toc212039517"/>
      <w:bookmarkStart w:id="53" w:name="_Toc82006191"/>
      <w:r w:rsidRPr="000E38BD">
        <w:lastRenderedPageBreak/>
        <w:t>Section</w:t>
      </w:r>
      <w:r w:rsidRPr="002664AD">
        <w:t xml:space="preserve"> 2: Year in review</w:t>
      </w:r>
      <w:bookmarkEnd w:id="50"/>
      <w:bookmarkEnd w:id="51"/>
      <w:bookmarkEnd w:id="52"/>
    </w:p>
    <w:p w14:paraId="46A3E658" w14:textId="77777777" w:rsidR="0064038E" w:rsidRPr="000D57A4" w:rsidRDefault="0064038E" w:rsidP="007D7E50">
      <w:pPr>
        <w:pStyle w:val="Heading2"/>
      </w:pPr>
      <w:bookmarkStart w:id="54" w:name="_Departmental_objectives,_outputs"/>
      <w:bookmarkStart w:id="55" w:name="_Toc212039518"/>
      <w:bookmarkEnd w:id="54"/>
      <w:r w:rsidRPr="000D57A4">
        <w:t xml:space="preserve">Departmental </w:t>
      </w:r>
      <w:r w:rsidRPr="0064038E">
        <w:t>objectives</w:t>
      </w:r>
      <w:r w:rsidRPr="000D57A4">
        <w:t>, outputs and indicators</w:t>
      </w:r>
      <w:bookmarkEnd w:id="55"/>
    </w:p>
    <w:p w14:paraId="18C8921E" w14:textId="54BCE34B" w:rsidR="0064038E" w:rsidRPr="00670E4D" w:rsidRDefault="0064038E">
      <w:pPr>
        <w:pStyle w:val="ARbodybeforetable"/>
      </w:pPr>
      <w:r w:rsidRPr="00670E4D">
        <w:t>The department’s objectives (or outcomes)</w:t>
      </w:r>
      <w:r w:rsidRPr="00670E4D" w:rsidDel="00E531F4">
        <w:t xml:space="preserve"> </w:t>
      </w:r>
      <w:r w:rsidRPr="00670E4D">
        <w:t xml:space="preserve">and indicators are set out in </w:t>
      </w:r>
      <w:r w:rsidRPr="0064038E">
        <w:t>the</w:t>
      </w:r>
      <w:r w:rsidRPr="00E6224B">
        <w:rPr>
          <w:rStyle w:val="Emphasis"/>
        </w:rPr>
        <w:t xml:space="preserve"> 2024–25 Budget Paper No. 3 – Service Delivery,</w:t>
      </w:r>
      <w:r w:rsidRPr="00E6224B">
        <w:t xml:space="preserve"> </w:t>
      </w:r>
      <w:r w:rsidRPr="00D10283">
        <w:t>along</w:t>
      </w:r>
      <w:r w:rsidRPr="00670E4D">
        <w:t xml:space="preserve"> with outputs relating to each objective.</w:t>
      </w:r>
      <w:r w:rsidRPr="00670E4D">
        <w:rPr>
          <w:rStyle w:val="FootnoteReference"/>
        </w:rPr>
        <w:footnoteReference w:id="6"/>
      </w:r>
      <w:r>
        <w:t xml:space="preserve"> </w:t>
      </w:r>
    </w:p>
    <w:tbl>
      <w:tblPr>
        <w:tblStyle w:val="DFFHARtable1"/>
        <w:tblW w:w="5000" w:type="pct"/>
        <w:tblLook w:val="06A0" w:firstRow="1" w:lastRow="0" w:firstColumn="1" w:lastColumn="0" w:noHBand="1" w:noVBand="1"/>
      </w:tblPr>
      <w:tblGrid>
        <w:gridCol w:w="2407"/>
        <w:gridCol w:w="4399"/>
        <w:gridCol w:w="2826"/>
      </w:tblGrid>
      <w:tr w:rsidR="0064038E" w:rsidRPr="0047695E" w14:paraId="62CC97A6" w14:textId="77777777" w:rsidTr="0064038E">
        <w:trPr>
          <w:cnfStyle w:val="100000000000" w:firstRow="1" w:lastRow="0" w:firstColumn="0" w:lastColumn="0" w:oddVBand="0" w:evenVBand="0" w:oddHBand="0" w:evenHBand="0" w:firstRowFirstColumn="0" w:firstRowLastColumn="0" w:lastRowFirstColumn="0" w:lastRowLastColumn="0"/>
          <w:tblHeader/>
        </w:trPr>
        <w:tc>
          <w:tcPr>
            <w:tcW w:w="2405" w:type="dxa"/>
            <w:hideMark/>
          </w:tcPr>
          <w:p w14:paraId="619A3BB3" w14:textId="77777777" w:rsidR="0064038E" w:rsidRPr="007F2859" w:rsidRDefault="0064038E">
            <w:pPr>
              <w:pStyle w:val="ARtablecolhead"/>
            </w:pPr>
            <w:r w:rsidRPr="007F2859">
              <w:t>Departmental objectives</w:t>
            </w:r>
          </w:p>
        </w:tc>
        <w:tc>
          <w:tcPr>
            <w:tcW w:w="4394" w:type="dxa"/>
            <w:hideMark/>
          </w:tcPr>
          <w:p w14:paraId="74F121B5" w14:textId="77777777" w:rsidR="0064038E" w:rsidRPr="007F2859" w:rsidRDefault="0064038E">
            <w:pPr>
              <w:pStyle w:val="ARtablecolhead"/>
            </w:pPr>
            <w:r w:rsidRPr="007F2859">
              <w:t>Indicators</w:t>
            </w:r>
          </w:p>
        </w:tc>
        <w:tc>
          <w:tcPr>
            <w:tcW w:w="2823" w:type="dxa"/>
            <w:hideMark/>
          </w:tcPr>
          <w:p w14:paraId="61A71B3B" w14:textId="77777777" w:rsidR="0064038E" w:rsidRPr="007F2859" w:rsidRDefault="0064038E">
            <w:pPr>
              <w:pStyle w:val="ARtablecolhead"/>
            </w:pPr>
            <w:r w:rsidRPr="007F2859">
              <w:t>Outputs</w:t>
            </w:r>
          </w:p>
        </w:tc>
      </w:tr>
      <w:tr w:rsidR="0064038E" w:rsidRPr="0047695E" w14:paraId="60ABACF9" w14:textId="77777777" w:rsidTr="0064038E">
        <w:tc>
          <w:tcPr>
            <w:tcW w:w="2405" w:type="dxa"/>
          </w:tcPr>
          <w:p w14:paraId="5DE2A6C0" w14:textId="77777777" w:rsidR="0064038E" w:rsidRPr="00FA74F9" w:rsidRDefault="0064038E" w:rsidP="00FA74F9">
            <w:pPr>
              <w:pStyle w:val="ARtabletext"/>
            </w:pPr>
            <w:r w:rsidRPr="00FA74F9">
              <w:t>Aboriginal voice, knowledge and cultural leadership drive Aboriginal policy, legislation and system reform</w:t>
            </w:r>
          </w:p>
        </w:tc>
        <w:tc>
          <w:tcPr>
            <w:tcW w:w="4394" w:type="dxa"/>
          </w:tcPr>
          <w:p w14:paraId="5B23FFB8" w14:textId="77777777" w:rsidR="0064038E" w:rsidRPr="00FA74F9" w:rsidRDefault="0064038E" w:rsidP="00FA74F9">
            <w:pPr>
              <w:pStyle w:val="ARtabletext"/>
            </w:pPr>
            <w:r w:rsidRPr="00FA74F9">
              <w:t>Not applicable</w:t>
            </w:r>
          </w:p>
        </w:tc>
        <w:tc>
          <w:tcPr>
            <w:tcW w:w="2823" w:type="dxa"/>
          </w:tcPr>
          <w:p w14:paraId="0F162C3C" w14:textId="77777777" w:rsidR="0064038E" w:rsidRPr="00FA74F9" w:rsidRDefault="0064038E" w:rsidP="00FA74F9">
            <w:pPr>
              <w:pStyle w:val="ARtabletext"/>
            </w:pPr>
            <w:r w:rsidRPr="00FA74F9">
              <w:t>All departmental outputs</w:t>
            </w:r>
          </w:p>
        </w:tc>
      </w:tr>
      <w:tr w:rsidR="0064038E" w:rsidRPr="0047695E" w14:paraId="2A96B33D" w14:textId="77777777" w:rsidTr="0064038E">
        <w:tc>
          <w:tcPr>
            <w:tcW w:w="2405" w:type="dxa"/>
            <w:hideMark/>
          </w:tcPr>
          <w:p w14:paraId="3517A89F" w14:textId="77777777" w:rsidR="0064038E" w:rsidRPr="00FA74F9" w:rsidRDefault="0064038E" w:rsidP="00FA74F9">
            <w:pPr>
              <w:pStyle w:val="ARtabletext"/>
              <w:rPr>
                <w:highlight w:val="cyan"/>
              </w:rPr>
            </w:pPr>
            <w:r w:rsidRPr="00FA74F9">
              <w:t>Children, young people and families are safe, strong and supported</w:t>
            </w:r>
          </w:p>
        </w:tc>
        <w:tc>
          <w:tcPr>
            <w:tcW w:w="4394" w:type="dxa"/>
            <w:hideMark/>
          </w:tcPr>
          <w:p w14:paraId="67AC9F45" w14:textId="77777777" w:rsidR="0064038E" w:rsidRPr="00FA74F9" w:rsidRDefault="0064038E" w:rsidP="00FA74F9">
            <w:pPr>
              <w:pStyle w:val="ARtabletext"/>
            </w:pPr>
            <w:r w:rsidRPr="00FA74F9">
              <w:t>Reduce abuse and neglect of children and young people</w:t>
            </w:r>
          </w:p>
          <w:p w14:paraId="64670D28" w14:textId="77777777" w:rsidR="0064038E" w:rsidRPr="00FA74F9" w:rsidRDefault="0064038E" w:rsidP="00FA74F9">
            <w:pPr>
              <w:pStyle w:val="ARtabletext"/>
            </w:pPr>
            <w:r w:rsidRPr="00FA74F9">
              <w:t>Increase safe, respectful family relationships</w:t>
            </w:r>
          </w:p>
          <w:p w14:paraId="6070915E" w14:textId="77777777" w:rsidR="0064038E" w:rsidRPr="00FA74F9" w:rsidRDefault="0064038E" w:rsidP="00FA74F9">
            <w:pPr>
              <w:pStyle w:val="ARtabletext"/>
            </w:pPr>
            <w:r w:rsidRPr="00FA74F9">
              <w:t>Improve development and wellbeing for children and young people</w:t>
            </w:r>
          </w:p>
          <w:p w14:paraId="5985BB2F" w14:textId="77777777" w:rsidR="0064038E" w:rsidRPr="00FA74F9" w:rsidRDefault="0064038E" w:rsidP="00FA74F9">
            <w:pPr>
              <w:pStyle w:val="ARtabletext"/>
            </w:pPr>
            <w:r w:rsidRPr="00FA74F9">
              <w:t>Increase stability of care services placements</w:t>
            </w:r>
          </w:p>
          <w:p w14:paraId="7A6AD376" w14:textId="77777777" w:rsidR="0064038E" w:rsidRPr="00FA74F9" w:rsidRDefault="0064038E" w:rsidP="00FA74F9">
            <w:pPr>
              <w:pStyle w:val="ARtabletext"/>
            </w:pPr>
            <w:r w:rsidRPr="00FA74F9">
              <w:t>Increase connections to culture, family and kinship systems for Aboriginal families including for Aboriginal children in care</w:t>
            </w:r>
          </w:p>
          <w:p w14:paraId="6F3F4A74" w14:textId="77777777" w:rsidR="0064038E" w:rsidRPr="00FA74F9" w:rsidRDefault="0064038E" w:rsidP="00FA74F9">
            <w:pPr>
              <w:pStyle w:val="ARtabletext"/>
            </w:pPr>
            <w:r w:rsidRPr="00FA74F9">
              <w:t>Reduce over-representation of Aboriginal children and young people in care services</w:t>
            </w:r>
          </w:p>
          <w:p w14:paraId="6A183641" w14:textId="77777777" w:rsidR="0064038E" w:rsidRPr="00FA74F9" w:rsidRDefault="0064038E" w:rsidP="00FA74F9">
            <w:pPr>
              <w:pStyle w:val="ARtabletext"/>
              <w:rPr>
                <w:highlight w:val="cyan"/>
              </w:rPr>
            </w:pPr>
            <w:r w:rsidRPr="00FA74F9">
              <w:t>Reduce the incidence and impact of family violence affecting Aboriginal families</w:t>
            </w:r>
          </w:p>
          <w:p w14:paraId="3DE64E07" w14:textId="23F52C72" w:rsidR="0064038E" w:rsidRPr="00FA74F9" w:rsidRDefault="0064038E" w:rsidP="00FA74F9">
            <w:pPr>
              <w:pStyle w:val="ARtabletext"/>
            </w:pPr>
            <w:r w:rsidRPr="00FA74F9">
              <w:t>Increase safety for victim survivors of family violence</w:t>
            </w:r>
          </w:p>
          <w:p w14:paraId="474C4A65" w14:textId="77777777" w:rsidR="0064038E" w:rsidRPr="00FA74F9" w:rsidRDefault="0064038E" w:rsidP="00FA74F9">
            <w:pPr>
              <w:pStyle w:val="ARtabletext"/>
              <w:rPr>
                <w:highlight w:val="cyan"/>
              </w:rPr>
            </w:pPr>
            <w:r w:rsidRPr="00FA74F9">
              <w:t>Reduce family violence</w:t>
            </w:r>
          </w:p>
        </w:tc>
        <w:tc>
          <w:tcPr>
            <w:tcW w:w="2823" w:type="dxa"/>
            <w:hideMark/>
          </w:tcPr>
          <w:p w14:paraId="54CED517" w14:textId="77777777" w:rsidR="0064038E" w:rsidRPr="00FA74F9" w:rsidRDefault="0064038E" w:rsidP="00FA74F9">
            <w:pPr>
              <w:pStyle w:val="ARtabletext"/>
            </w:pPr>
            <w:r w:rsidRPr="00FA74F9">
              <w:t>Child protection and family services</w:t>
            </w:r>
          </w:p>
          <w:p w14:paraId="1DD1A960" w14:textId="77777777" w:rsidR="0064038E" w:rsidRPr="00FA74F9" w:rsidRDefault="0064038E" w:rsidP="00FA74F9">
            <w:pPr>
              <w:pStyle w:val="ARtabletext"/>
            </w:pPr>
            <w:r w:rsidRPr="00FA74F9">
              <w:t>Family violence service delivery</w:t>
            </w:r>
          </w:p>
          <w:p w14:paraId="0F5B8F6F" w14:textId="77777777" w:rsidR="0064038E" w:rsidRPr="00FA74F9" w:rsidRDefault="0064038E" w:rsidP="00FA74F9">
            <w:pPr>
              <w:pStyle w:val="ARtabletext"/>
            </w:pPr>
            <w:r w:rsidRPr="00FA74F9">
              <w:t>Primary prevention of family violence</w:t>
            </w:r>
          </w:p>
          <w:p w14:paraId="469A5AB5" w14:textId="77777777" w:rsidR="0064038E" w:rsidRPr="00FA74F9" w:rsidRDefault="0064038E" w:rsidP="00FA74F9">
            <w:pPr>
              <w:pStyle w:val="ARtabletext"/>
              <w:rPr>
                <w:highlight w:val="cyan"/>
              </w:rPr>
            </w:pPr>
          </w:p>
        </w:tc>
      </w:tr>
      <w:tr w:rsidR="0064038E" w:rsidRPr="0047695E" w14:paraId="0C5679D1" w14:textId="77777777" w:rsidTr="0064038E">
        <w:tc>
          <w:tcPr>
            <w:tcW w:w="2405" w:type="dxa"/>
            <w:hideMark/>
          </w:tcPr>
          <w:p w14:paraId="7266EAB2" w14:textId="77777777" w:rsidR="0064038E" w:rsidRPr="00FA74F9" w:rsidRDefault="0064038E" w:rsidP="00FA74F9">
            <w:pPr>
              <w:pStyle w:val="ARtabletext"/>
              <w:rPr>
                <w:highlight w:val="cyan"/>
              </w:rPr>
            </w:pPr>
            <w:r w:rsidRPr="00FA74F9">
              <w:t>Victorian communities are safe, fair, inclusive and resilient</w:t>
            </w:r>
          </w:p>
        </w:tc>
        <w:tc>
          <w:tcPr>
            <w:tcW w:w="4394" w:type="dxa"/>
            <w:hideMark/>
          </w:tcPr>
          <w:p w14:paraId="7146B010" w14:textId="77777777" w:rsidR="0064038E" w:rsidRPr="00FA74F9" w:rsidRDefault="0064038E" w:rsidP="00FA74F9">
            <w:pPr>
              <w:pStyle w:val="ARtabletext"/>
            </w:pPr>
            <w:r w:rsidRPr="00FA74F9">
              <w:t>Increase economic inclusion and participation</w:t>
            </w:r>
          </w:p>
          <w:p w14:paraId="3FDD4A54" w14:textId="77777777" w:rsidR="0064038E" w:rsidRPr="00FA74F9" w:rsidRDefault="0064038E" w:rsidP="00FA74F9">
            <w:pPr>
              <w:pStyle w:val="ARtabletext"/>
            </w:pPr>
            <w:r w:rsidRPr="00FA74F9">
              <w:t>Increase community participation, inclusion and connectedness</w:t>
            </w:r>
          </w:p>
          <w:p w14:paraId="27793D60" w14:textId="77777777" w:rsidR="0064038E" w:rsidRPr="00FA74F9" w:rsidRDefault="0064038E" w:rsidP="00FA74F9">
            <w:pPr>
              <w:pStyle w:val="ARtabletext"/>
            </w:pPr>
            <w:r w:rsidRPr="00FA74F9">
              <w:t>Decrease experiences of discrimination</w:t>
            </w:r>
          </w:p>
          <w:p w14:paraId="713462F0" w14:textId="77777777" w:rsidR="0064038E" w:rsidRPr="00FA74F9" w:rsidRDefault="0064038E" w:rsidP="00FA74F9">
            <w:pPr>
              <w:pStyle w:val="ARtabletext"/>
            </w:pPr>
            <w:r w:rsidRPr="00FA74F9">
              <w:t>Increase safety where people live, work, learn and play</w:t>
            </w:r>
          </w:p>
          <w:p w14:paraId="01C493F1" w14:textId="77777777" w:rsidR="0064038E" w:rsidRPr="00FA74F9" w:rsidRDefault="0064038E" w:rsidP="00FA74F9">
            <w:pPr>
              <w:pStyle w:val="ARtabletext"/>
            </w:pPr>
            <w:r w:rsidRPr="00FA74F9">
              <w:t>Increase wellbeing for Aboriginal Victorians, including safety to connect with and express culture</w:t>
            </w:r>
          </w:p>
          <w:p w14:paraId="6D6C36AD" w14:textId="77777777" w:rsidR="0064038E" w:rsidRPr="00FA74F9" w:rsidRDefault="0064038E" w:rsidP="00FA74F9">
            <w:pPr>
              <w:pStyle w:val="ARtabletext"/>
            </w:pPr>
            <w:r w:rsidRPr="00FA74F9">
              <w:t>Increase capacity for senior Victorians to age well</w:t>
            </w:r>
          </w:p>
          <w:p w14:paraId="6B7A788B" w14:textId="77777777" w:rsidR="0064038E" w:rsidRPr="00FA74F9" w:rsidRDefault="0064038E" w:rsidP="00FA74F9">
            <w:pPr>
              <w:pStyle w:val="ARtabletext"/>
            </w:pPr>
            <w:r w:rsidRPr="00FA74F9">
              <w:t>Improve supports for people with complex needs</w:t>
            </w:r>
          </w:p>
          <w:p w14:paraId="546F5A6A" w14:textId="77777777" w:rsidR="0064038E" w:rsidRPr="00FA74F9" w:rsidRDefault="0064038E" w:rsidP="00FA74F9">
            <w:pPr>
              <w:pStyle w:val="ARtabletext"/>
            </w:pPr>
            <w:r w:rsidRPr="00FA74F9">
              <w:t>Increase community resilience</w:t>
            </w:r>
          </w:p>
          <w:p w14:paraId="4EEC8054" w14:textId="77777777" w:rsidR="0064038E" w:rsidRPr="00FA74F9" w:rsidRDefault="0064038E" w:rsidP="00FA74F9">
            <w:pPr>
              <w:pStyle w:val="ARtabletext"/>
            </w:pPr>
            <w:r w:rsidRPr="00FA74F9">
              <w:t>Improve social recovery following emergencies</w:t>
            </w:r>
          </w:p>
          <w:p w14:paraId="6203FEF7" w14:textId="77777777" w:rsidR="0064038E" w:rsidRPr="00FA74F9" w:rsidRDefault="0064038E" w:rsidP="00FA74F9">
            <w:pPr>
              <w:pStyle w:val="ARtabletext"/>
              <w:rPr>
                <w:highlight w:val="cyan"/>
              </w:rPr>
            </w:pPr>
            <w:r w:rsidRPr="00FA74F9">
              <w:t>Reduce sexual violence</w:t>
            </w:r>
          </w:p>
        </w:tc>
        <w:tc>
          <w:tcPr>
            <w:tcW w:w="2823" w:type="dxa"/>
            <w:hideMark/>
          </w:tcPr>
          <w:p w14:paraId="4E592B83" w14:textId="77777777" w:rsidR="0064038E" w:rsidRPr="00FA74F9" w:rsidRDefault="0064038E" w:rsidP="00FA74F9">
            <w:pPr>
              <w:pStyle w:val="ARtabletext"/>
            </w:pPr>
            <w:r w:rsidRPr="00FA74F9">
              <w:t>Community participation</w:t>
            </w:r>
          </w:p>
          <w:p w14:paraId="4DE71C00" w14:textId="0FB6D839" w:rsidR="0064038E" w:rsidRPr="00FA74F9" w:rsidRDefault="0064038E" w:rsidP="00FA74F9">
            <w:pPr>
              <w:pStyle w:val="ARtabletext"/>
            </w:pPr>
            <w:r w:rsidRPr="00FA74F9">
              <w:t>Disability services</w:t>
            </w:r>
          </w:p>
          <w:p w14:paraId="362A1CEB" w14:textId="77777777" w:rsidR="0064038E" w:rsidRPr="00FA74F9" w:rsidRDefault="0064038E" w:rsidP="00FA74F9">
            <w:pPr>
              <w:pStyle w:val="ARtabletext"/>
            </w:pPr>
            <w:r w:rsidRPr="00FA74F9">
              <w:t>Office for Disability</w:t>
            </w:r>
          </w:p>
          <w:p w14:paraId="08A432F3" w14:textId="18C42FAF" w:rsidR="0064038E" w:rsidRPr="00FA74F9" w:rsidRDefault="0064038E" w:rsidP="00FA74F9">
            <w:pPr>
              <w:pStyle w:val="ARtabletext"/>
            </w:pPr>
            <w:proofErr w:type="gramStart"/>
            <w:r w:rsidRPr="00FA74F9">
              <w:t>Seniors</w:t>
            </w:r>
            <w:proofErr w:type="gramEnd"/>
            <w:r w:rsidRPr="00FA74F9">
              <w:t xml:space="preserve"> programs and participation</w:t>
            </w:r>
          </w:p>
          <w:p w14:paraId="1E434402" w14:textId="77777777" w:rsidR="0064038E" w:rsidRPr="00FA74F9" w:rsidRDefault="0064038E" w:rsidP="00FA74F9">
            <w:pPr>
              <w:pStyle w:val="ARtabletext"/>
            </w:pPr>
            <w:r w:rsidRPr="00FA74F9">
              <w:t>Support to veterans in Victoria</w:t>
            </w:r>
          </w:p>
          <w:p w14:paraId="1594CF41" w14:textId="77777777" w:rsidR="0064038E" w:rsidRPr="00FA74F9" w:rsidRDefault="0064038E" w:rsidP="00FA74F9">
            <w:pPr>
              <w:pStyle w:val="ARtabletext"/>
            </w:pPr>
            <w:r w:rsidRPr="00FA74F9">
              <w:t>LGBTIQA+ equality policy and programs</w:t>
            </w:r>
          </w:p>
          <w:p w14:paraId="08DFB1E1" w14:textId="77777777" w:rsidR="0064038E" w:rsidRPr="00FA74F9" w:rsidRDefault="0064038E" w:rsidP="00FA74F9">
            <w:pPr>
              <w:pStyle w:val="ARtabletext"/>
            </w:pPr>
            <w:r w:rsidRPr="00FA74F9">
              <w:t>Women’s policy</w:t>
            </w:r>
          </w:p>
          <w:p w14:paraId="08B7C03C" w14:textId="77777777" w:rsidR="0064038E" w:rsidRPr="00FA74F9" w:rsidRDefault="0064038E" w:rsidP="00FA74F9">
            <w:pPr>
              <w:pStyle w:val="ARtabletext"/>
            </w:pPr>
            <w:r w:rsidRPr="00FA74F9">
              <w:t>Youth</w:t>
            </w:r>
          </w:p>
        </w:tc>
      </w:tr>
      <w:tr w:rsidR="0064038E" w:rsidRPr="0047695E" w14:paraId="6500A06F" w14:textId="77777777" w:rsidTr="0064038E">
        <w:tc>
          <w:tcPr>
            <w:tcW w:w="2405" w:type="dxa"/>
            <w:tcBorders>
              <w:bottom w:val="single" w:sz="4" w:space="0" w:color="A6A6A6" w:themeColor="accent5"/>
            </w:tcBorders>
            <w:hideMark/>
          </w:tcPr>
          <w:p w14:paraId="6C8C0D5B" w14:textId="77777777" w:rsidR="0064038E" w:rsidRPr="00FA74F9" w:rsidRDefault="0064038E" w:rsidP="00FA74F9">
            <w:pPr>
              <w:pStyle w:val="ARtabletext"/>
              <w:rPr>
                <w:highlight w:val="yellow"/>
              </w:rPr>
            </w:pPr>
            <w:r w:rsidRPr="00FA74F9">
              <w:lastRenderedPageBreak/>
              <w:t>All Victorians have stable, affordable and appropriate housing</w:t>
            </w:r>
          </w:p>
        </w:tc>
        <w:tc>
          <w:tcPr>
            <w:tcW w:w="4394" w:type="dxa"/>
            <w:tcBorders>
              <w:bottom w:val="single" w:sz="4" w:space="0" w:color="A6A6A6" w:themeColor="accent5"/>
            </w:tcBorders>
            <w:hideMark/>
          </w:tcPr>
          <w:p w14:paraId="53E9525F" w14:textId="77777777" w:rsidR="0064038E" w:rsidRPr="00FA74F9" w:rsidRDefault="0064038E" w:rsidP="00FA74F9">
            <w:pPr>
              <w:pStyle w:val="ARtabletext"/>
            </w:pPr>
            <w:r w:rsidRPr="00FA74F9">
              <w:t xml:space="preserve">Increase the supply and availability of affordable, appropriate and accessible housing </w:t>
            </w:r>
          </w:p>
          <w:p w14:paraId="3909D929" w14:textId="77777777" w:rsidR="0064038E" w:rsidRPr="00FA74F9" w:rsidRDefault="0064038E" w:rsidP="00FA74F9">
            <w:pPr>
              <w:pStyle w:val="ARtabletext"/>
            </w:pPr>
            <w:r w:rsidRPr="00FA74F9">
              <w:t>Increase access to housing that is suitable for the household’s needs</w:t>
            </w:r>
          </w:p>
          <w:p w14:paraId="49DCBAC8" w14:textId="21429628" w:rsidR="0064038E" w:rsidRPr="00FA74F9" w:rsidRDefault="0064038E" w:rsidP="00FA74F9">
            <w:pPr>
              <w:pStyle w:val="ARtabletext"/>
            </w:pPr>
            <w:r w:rsidRPr="00FA74F9">
              <w:t>Improve the environmental sustainability of</w:t>
            </w:r>
            <w:r w:rsidR="00D1110C">
              <w:t> </w:t>
            </w:r>
            <w:r w:rsidRPr="00FA74F9">
              <w:t>social</w:t>
            </w:r>
            <w:r w:rsidR="00D57F62">
              <w:t> </w:t>
            </w:r>
            <w:r w:rsidRPr="00FA74F9">
              <w:t>housing</w:t>
            </w:r>
          </w:p>
          <w:p w14:paraId="33F67009" w14:textId="684C42C2" w:rsidR="0064038E" w:rsidRPr="00FA74F9" w:rsidRDefault="0064038E" w:rsidP="00FA74F9">
            <w:pPr>
              <w:pStyle w:val="ARtabletext"/>
            </w:pPr>
            <w:r w:rsidRPr="00FA74F9">
              <w:t>Increase housing stability for people experiencing or</w:t>
            </w:r>
            <w:r w:rsidR="00D1110C">
              <w:t> </w:t>
            </w:r>
            <w:r w:rsidRPr="00FA74F9">
              <w:t>at</w:t>
            </w:r>
            <w:r w:rsidR="00D57F62">
              <w:t> </w:t>
            </w:r>
            <w:r w:rsidRPr="00FA74F9">
              <w:t>risk of rough sleeping, homelessness, and other insecure housing arrangements</w:t>
            </w:r>
          </w:p>
          <w:p w14:paraId="1034D9E5" w14:textId="77777777" w:rsidR="0064038E" w:rsidRPr="00FA74F9" w:rsidRDefault="0064038E" w:rsidP="00FA74F9">
            <w:pPr>
              <w:pStyle w:val="ARtabletext"/>
            </w:pPr>
            <w:r w:rsidRPr="00FA74F9">
              <w:t>Increase financial ability to access and maintain housing and utility services</w:t>
            </w:r>
          </w:p>
          <w:p w14:paraId="5697EAC0" w14:textId="77777777" w:rsidR="0064038E" w:rsidRPr="00FA74F9" w:rsidRDefault="0064038E" w:rsidP="00FA74F9">
            <w:pPr>
              <w:pStyle w:val="ARtabletext"/>
            </w:pPr>
            <w:r w:rsidRPr="00FA74F9">
              <w:t>Increase the proportion of Aboriginal people living in appropriately sized (not overcrowded) housing</w:t>
            </w:r>
          </w:p>
          <w:p w14:paraId="1D15A94F" w14:textId="77777777" w:rsidR="0064038E" w:rsidRPr="00FA74F9" w:rsidRDefault="0064038E" w:rsidP="00FA74F9">
            <w:pPr>
              <w:pStyle w:val="ARtabletext"/>
            </w:pPr>
            <w:r w:rsidRPr="00FA74F9">
              <w:t xml:space="preserve">Improve transitions to independent living </w:t>
            </w:r>
          </w:p>
        </w:tc>
        <w:tc>
          <w:tcPr>
            <w:tcW w:w="2823" w:type="dxa"/>
            <w:tcBorders>
              <w:bottom w:val="single" w:sz="4" w:space="0" w:color="A6A6A6" w:themeColor="accent5"/>
            </w:tcBorders>
            <w:hideMark/>
          </w:tcPr>
          <w:p w14:paraId="630D0234" w14:textId="1A5EB5EA" w:rsidR="0064038E" w:rsidRPr="00FA74F9" w:rsidRDefault="0064038E" w:rsidP="00FA74F9">
            <w:pPr>
              <w:pStyle w:val="ARtabletext"/>
            </w:pPr>
            <w:r w:rsidRPr="00FA74F9">
              <w:t xml:space="preserve">Concessions to pensioners and beneficiaries </w:t>
            </w:r>
          </w:p>
          <w:p w14:paraId="051A822D" w14:textId="3E7583D6" w:rsidR="0064038E" w:rsidRPr="00FA74F9" w:rsidRDefault="0064038E" w:rsidP="00FA74F9">
            <w:pPr>
              <w:pStyle w:val="ARtabletext"/>
              <w:rPr>
                <w:highlight w:val="yellow"/>
              </w:rPr>
            </w:pPr>
            <w:r w:rsidRPr="00FA74F9">
              <w:t>Housing assistance</w:t>
            </w:r>
          </w:p>
        </w:tc>
      </w:tr>
      <w:tr w:rsidR="0064038E" w:rsidRPr="0047695E" w14:paraId="17629AE0" w14:textId="77777777" w:rsidTr="0064038E">
        <w:tc>
          <w:tcPr>
            <w:tcW w:w="2405" w:type="dxa"/>
            <w:tcBorders>
              <w:top w:val="single" w:sz="4" w:space="0" w:color="A6A6A6" w:themeColor="accent5"/>
              <w:bottom w:val="single" w:sz="4" w:space="0" w:color="auto"/>
            </w:tcBorders>
          </w:tcPr>
          <w:p w14:paraId="6417A2FB" w14:textId="1EB1EF1A" w:rsidR="0064038E" w:rsidRPr="00FA74F9" w:rsidRDefault="0064038E" w:rsidP="00FA74F9">
            <w:pPr>
              <w:pStyle w:val="ARtabletext"/>
            </w:pPr>
            <w:r w:rsidRPr="00FA74F9">
              <w:t>Our social services system is integrated, effective, person-centred and sustainable</w:t>
            </w:r>
          </w:p>
        </w:tc>
        <w:tc>
          <w:tcPr>
            <w:tcW w:w="4394" w:type="dxa"/>
            <w:tcBorders>
              <w:top w:val="single" w:sz="4" w:space="0" w:color="A6A6A6" w:themeColor="accent5"/>
              <w:bottom w:val="single" w:sz="4" w:space="0" w:color="auto"/>
            </w:tcBorders>
          </w:tcPr>
          <w:p w14:paraId="79D45D28" w14:textId="77777777" w:rsidR="0064038E" w:rsidRPr="00FA74F9" w:rsidRDefault="0064038E" w:rsidP="00FA74F9">
            <w:pPr>
              <w:pStyle w:val="ARtabletext"/>
            </w:pPr>
            <w:r w:rsidRPr="00FA74F9">
              <w:t>Not applicable</w:t>
            </w:r>
          </w:p>
        </w:tc>
        <w:tc>
          <w:tcPr>
            <w:tcW w:w="2823" w:type="dxa"/>
            <w:tcBorders>
              <w:top w:val="single" w:sz="4" w:space="0" w:color="A6A6A6" w:themeColor="accent5"/>
              <w:bottom w:val="single" w:sz="4" w:space="0" w:color="auto"/>
            </w:tcBorders>
          </w:tcPr>
          <w:p w14:paraId="6306CFE6" w14:textId="77777777" w:rsidR="0064038E" w:rsidRPr="00FA74F9" w:rsidRDefault="0064038E" w:rsidP="00FA74F9">
            <w:pPr>
              <w:pStyle w:val="ARtabletext"/>
            </w:pPr>
            <w:r w:rsidRPr="00FA74F9">
              <w:t>All departmental outputs</w:t>
            </w:r>
          </w:p>
        </w:tc>
      </w:tr>
    </w:tbl>
    <w:p w14:paraId="073B57E3" w14:textId="77777777" w:rsidR="00FA74F9" w:rsidRDefault="00FA74F9" w:rsidP="00FA74F9">
      <w:pPr>
        <w:pStyle w:val="ARbody"/>
        <w:sectPr w:rsidR="00FA74F9" w:rsidSect="007F43B1">
          <w:endnotePr>
            <w:numFmt w:val="decimal"/>
          </w:endnotePr>
          <w:pgSz w:w="11900" w:h="16840" w:code="9"/>
          <w:pgMar w:top="1588" w:right="1134" w:bottom="851" w:left="1134" w:header="510" w:footer="340" w:gutter="0"/>
          <w:cols w:space="448"/>
          <w:docGrid w:linePitch="299"/>
        </w:sectPr>
      </w:pPr>
    </w:p>
    <w:p w14:paraId="3CDC4191" w14:textId="51322148" w:rsidR="0064038E" w:rsidRPr="0005251C" w:rsidRDefault="0064038E" w:rsidP="007D7E50">
      <w:pPr>
        <w:pStyle w:val="Heading2"/>
      </w:pPr>
      <w:bookmarkStart w:id="56" w:name="_Toc212039519"/>
      <w:r w:rsidRPr="0005251C">
        <w:t>Changes to the department during 2024–25</w:t>
      </w:r>
      <w:bookmarkEnd w:id="56"/>
    </w:p>
    <w:p w14:paraId="68CC285F" w14:textId="77777777" w:rsidR="0064038E" w:rsidRPr="0005251C" w:rsidRDefault="0064038E">
      <w:pPr>
        <w:pStyle w:val="ARbodybeforetable"/>
      </w:pPr>
      <w:r w:rsidRPr="0005251C">
        <w:t xml:space="preserve">The department has not made any changes to its output structure for </w:t>
      </w:r>
      <w:bookmarkStart w:id="57" w:name="_Hlk109312987"/>
      <w:r w:rsidRPr="0005251C">
        <w:t>2024–</w:t>
      </w:r>
      <w:bookmarkEnd w:id="57"/>
      <w:r w:rsidRPr="0005251C">
        <w:t>25.</w:t>
      </w:r>
    </w:p>
    <w:p w14:paraId="7B35B666" w14:textId="77777777" w:rsidR="0064038E" w:rsidRPr="004A4A70" w:rsidRDefault="0064038E">
      <w:pPr>
        <w:pStyle w:val="Heading3"/>
      </w:pPr>
      <w:bookmarkStart w:id="58" w:name="_Subsequent_events"/>
      <w:bookmarkStart w:id="59" w:name="_Ref178660962"/>
      <w:bookmarkEnd w:id="58"/>
      <w:r w:rsidRPr="004A4A70">
        <w:t>Subsequent events</w:t>
      </w:r>
      <w:bookmarkEnd w:id="59"/>
    </w:p>
    <w:p w14:paraId="56A36ADA" w14:textId="03641FB3" w:rsidR="0064038E" w:rsidRDefault="0064038E">
      <w:pPr>
        <w:pStyle w:val="ARbody"/>
      </w:pPr>
      <w:r>
        <w:t>N</w:t>
      </w:r>
      <w:r w:rsidRPr="008F2346">
        <w:t xml:space="preserve">o </w:t>
      </w:r>
      <w:r w:rsidR="001A1C58">
        <w:t>subsequent</w:t>
      </w:r>
      <w:r w:rsidR="001A1C58" w:rsidRPr="008F2346">
        <w:t xml:space="preserve"> </w:t>
      </w:r>
      <w:r w:rsidRPr="008F2346">
        <w:t xml:space="preserve">events occurred </w:t>
      </w:r>
      <w:r w:rsidR="00F67E2A">
        <w:t>for</w:t>
      </w:r>
      <w:r w:rsidR="00F67E2A" w:rsidRPr="008F2346">
        <w:t xml:space="preserve"> </w:t>
      </w:r>
      <w:r w:rsidRPr="008F2346">
        <w:t>the 2024</w:t>
      </w:r>
      <w:r>
        <w:t>–</w:t>
      </w:r>
      <w:r w:rsidRPr="008F2346">
        <w:t xml:space="preserve">25 </w:t>
      </w:r>
      <w:r>
        <w:t>f</w:t>
      </w:r>
      <w:r w:rsidRPr="008F2346">
        <w:t xml:space="preserve">inancial </w:t>
      </w:r>
      <w:r>
        <w:t>y</w:t>
      </w:r>
      <w:r w:rsidRPr="008F2346">
        <w:t>ear</w:t>
      </w:r>
      <w:r>
        <w:t>.</w:t>
      </w:r>
    </w:p>
    <w:p w14:paraId="56471A84" w14:textId="7DC65641" w:rsidR="0064038E" w:rsidRPr="00532DAE" w:rsidRDefault="0064038E" w:rsidP="007D7E50">
      <w:pPr>
        <w:pStyle w:val="Heading2"/>
      </w:pPr>
      <w:bookmarkStart w:id="60" w:name="_Toc212039520"/>
      <w:r w:rsidRPr="00945C79">
        <w:t>Direct costs attributable to machinery of</w:t>
      </w:r>
      <w:r w:rsidR="007D7DE0">
        <w:t> </w:t>
      </w:r>
      <w:r w:rsidRPr="00945C79">
        <w:t>government changes</w:t>
      </w:r>
      <w:bookmarkEnd w:id="60"/>
    </w:p>
    <w:p w14:paraId="00D11452" w14:textId="57682DD4" w:rsidR="0064038E" w:rsidRDefault="0064038E">
      <w:pPr>
        <w:pStyle w:val="ARbody"/>
        <w:rPr>
          <w:lang w:eastAsia="en-AU"/>
        </w:rPr>
      </w:pPr>
      <w:r w:rsidRPr="00BC0DF6">
        <w:rPr>
          <w:lang w:eastAsia="en-AU"/>
        </w:rPr>
        <w:t>The Department of Families, Fairness and Housing did not participate in any machinery of government changes during the 2024</w:t>
      </w:r>
      <w:r>
        <w:rPr>
          <w:lang w:eastAsia="en-AU"/>
        </w:rPr>
        <w:t>–</w:t>
      </w:r>
      <w:r w:rsidRPr="00BC0DF6">
        <w:rPr>
          <w:lang w:eastAsia="en-AU"/>
        </w:rPr>
        <w:t xml:space="preserve">25 </w:t>
      </w:r>
      <w:r>
        <w:rPr>
          <w:lang w:eastAsia="en-AU"/>
        </w:rPr>
        <w:t>f</w:t>
      </w:r>
      <w:r w:rsidRPr="00BC0DF6">
        <w:rPr>
          <w:lang w:eastAsia="en-AU"/>
        </w:rPr>
        <w:t xml:space="preserve">inancial </w:t>
      </w:r>
      <w:r>
        <w:rPr>
          <w:lang w:eastAsia="en-AU"/>
        </w:rPr>
        <w:t>y</w:t>
      </w:r>
      <w:r w:rsidRPr="00BC0DF6">
        <w:rPr>
          <w:lang w:eastAsia="en-AU"/>
        </w:rPr>
        <w:t>ear.</w:t>
      </w:r>
    </w:p>
    <w:p w14:paraId="70054383" w14:textId="304586A2" w:rsidR="0064038E" w:rsidRPr="000E0E1E" w:rsidRDefault="0064038E" w:rsidP="007D7E50">
      <w:pPr>
        <w:pStyle w:val="Heading2"/>
      </w:pPr>
      <w:bookmarkStart w:id="61" w:name="_Toc212039521"/>
      <w:r w:rsidRPr="000E0E1E">
        <w:t>Progress towards achieving departmental</w:t>
      </w:r>
      <w:r w:rsidR="002774B2">
        <w:t> </w:t>
      </w:r>
      <w:r w:rsidRPr="000E0E1E">
        <w:t>objectives</w:t>
      </w:r>
      <w:bookmarkEnd w:id="61"/>
    </w:p>
    <w:p w14:paraId="14FBDB80" w14:textId="58285B77" w:rsidR="0064038E" w:rsidRPr="000E0E1E" w:rsidRDefault="0064038E">
      <w:pPr>
        <w:pStyle w:val="ARbody"/>
      </w:pPr>
      <w:r w:rsidRPr="000E0E1E">
        <w:t>The department works to create a more inclusive society</w:t>
      </w:r>
      <w:r>
        <w:t>. We aim to create a Victoria</w:t>
      </w:r>
      <w:r w:rsidRPr="000E0E1E">
        <w:t xml:space="preserve"> </w:t>
      </w:r>
      <w:r>
        <w:t>where</w:t>
      </w:r>
      <w:r w:rsidRPr="000E0E1E">
        <w:t xml:space="preserve"> people feel safe</w:t>
      </w:r>
      <w:r>
        <w:t>. We want everyone to</w:t>
      </w:r>
      <w:r w:rsidRPr="000E0E1E">
        <w:t xml:space="preserve"> take part equally.</w:t>
      </w:r>
    </w:p>
    <w:p w14:paraId="2C42682A" w14:textId="65C4FD58" w:rsidR="00FA74F9" w:rsidRDefault="0064038E">
      <w:pPr>
        <w:pStyle w:val="ARbody"/>
      </w:pPr>
      <w:r w:rsidRPr="000E0E1E">
        <w:t xml:space="preserve">This section </w:t>
      </w:r>
      <w:r>
        <w:t xml:space="preserve">sets out the results of our progress based on our objectives and indicators. It </w:t>
      </w:r>
      <w:r w:rsidRPr="000E0E1E">
        <w:t>outlines just some of the key initiatives and projects</w:t>
      </w:r>
      <w:r>
        <w:t xml:space="preserve"> for the</w:t>
      </w:r>
      <w:r w:rsidR="00FA74F9">
        <w:t> </w:t>
      </w:r>
      <w:r>
        <w:t>year.</w:t>
      </w:r>
    </w:p>
    <w:p w14:paraId="0ED8E1B7" w14:textId="77777777" w:rsidR="00FA74F9" w:rsidRDefault="00FA74F9">
      <w:pPr>
        <w:pStyle w:val="ARbody"/>
        <w:sectPr w:rsidR="00FA74F9" w:rsidSect="007F43B1">
          <w:endnotePr>
            <w:numFmt w:val="decimal"/>
          </w:endnotePr>
          <w:type w:val="continuous"/>
          <w:pgSz w:w="11900" w:h="16840" w:code="9"/>
          <w:pgMar w:top="1588" w:right="1134" w:bottom="851" w:left="1134" w:header="510" w:footer="340" w:gutter="0"/>
          <w:cols w:space="448"/>
          <w:docGrid w:linePitch="299"/>
        </w:sectPr>
      </w:pPr>
    </w:p>
    <w:p w14:paraId="00FCB419" w14:textId="460026AF" w:rsidR="0064038E" w:rsidRDefault="0064038E" w:rsidP="0072340E">
      <w:pPr>
        <w:pStyle w:val="Heading2"/>
        <w:spacing w:before="0"/>
      </w:pPr>
      <w:bookmarkStart w:id="62" w:name="_Toc212039522"/>
      <w:r>
        <w:lastRenderedPageBreak/>
        <w:t>D</w:t>
      </w:r>
      <w:r w:rsidRPr="000E0E1E">
        <w:t>epartmental objectives</w:t>
      </w:r>
      <w:r>
        <w:t>, indicators and outputs</w:t>
      </w:r>
      <w:bookmarkEnd w:id="62"/>
    </w:p>
    <w:p w14:paraId="7995E371" w14:textId="77777777" w:rsidR="0064038E" w:rsidRPr="00F65F77" w:rsidRDefault="0064038E" w:rsidP="00FA74F9">
      <w:pPr>
        <w:pStyle w:val="Heading3"/>
      </w:pPr>
      <w:r w:rsidRPr="00F65F77">
        <w:t>Objective: Children, young people and families are safe, strong and supported</w:t>
      </w:r>
    </w:p>
    <w:p w14:paraId="06436762" w14:textId="195FEA43" w:rsidR="0064038E" w:rsidRDefault="0064038E">
      <w:pPr>
        <w:pStyle w:val="ARbody"/>
      </w:pPr>
      <w:r>
        <w:t>This objective aims to ensure that Victorians are safe from harm, fear and neglect. It also aims to create respectful relationships. This includes:</w:t>
      </w:r>
    </w:p>
    <w:p w14:paraId="62E1C6E2" w14:textId="7BA17D0E" w:rsidR="0064038E" w:rsidRPr="00FA74F9" w:rsidRDefault="0064038E" w:rsidP="00FA74F9">
      <w:pPr>
        <w:pStyle w:val="ARbullet1"/>
      </w:pPr>
      <w:r w:rsidRPr="001B663B">
        <w:t xml:space="preserve">addressing the </w:t>
      </w:r>
      <w:r w:rsidRPr="00FA74F9">
        <w:t>compounding effects of abuse and violence</w:t>
      </w:r>
    </w:p>
    <w:p w14:paraId="0A97B35B" w14:textId="7D4782BC" w:rsidR="0064038E" w:rsidRPr="00FA74F9" w:rsidRDefault="0064038E" w:rsidP="00FA74F9">
      <w:pPr>
        <w:pStyle w:val="ARbullet1"/>
      </w:pPr>
      <w:r w:rsidRPr="00FA74F9">
        <w:t>improving support and recovery for victim survivors and perpetrators</w:t>
      </w:r>
    </w:p>
    <w:p w14:paraId="78C86912" w14:textId="3B09D644" w:rsidR="0064038E" w:rsidRPr="001B663B" w:rsidRDefault="0064038E" w:rsidP="00FA74F9">
      <w:pPr>
        <w:pStyle w:val="ARbullet1"/>
      </w:pPr>
      <w:r w:rsidRPr="00FA74F9">
        <w:t>ensuring the wellbeing of children</w:t>
      </w:r>
      <w:r w:rsidRPr="001B663B">
        <w:t xml:space="preserve"> and young people in care.</w:t>
      </w:r>
    </w:p>
    <w:p w14:paraId="3B73CE87" w14:textId="77777777" w:rsidR="0064038E" w:rsidRPr="00FA74F9" w:rsidRDefault="0064038E" w:rsidP="00FA74F9">
      <w:pPr>
        <w:pStyle w:val="Heading4"/>
      </w:pPr>
      <w:r w:rsidRPr="004876DB">
        <w:t>Indicator results</w:t>
      </w:r>
    </w:p>
    <w:tbl>
      <w:tblPr>
        <w:tblStyle w:val="TableGrid"/>
        <w:tblW w:w="5000" w:type="pct"/>
        <w:tblLook w:val="02E0" w:firstRow="1" w:lastRow="1" w:firstColumn="1" w:lastColumn="0" w:noHBand="1" w:noVBand="0"/>
      </w:tblPr>
      <w:tblGrid>
        <w:gridCol w:w="4478"/>
        <w:gridCol w:w="1718"/>
        <w:gridCol w:w="1718"/>
        <w:gridCol w:w="1718"/>
      </w:tblGrid>
      <w:tr w:rsidR="00F33C72" w:rsidRPr="004876DB" w14:paraId="120C126A" w14:textId="77777777" w:rsidTr="00996EFB">
        <w:trPr>
          <w:cnfStyle w:val="100000000000" w:firstRow="1" w:lastRow="0" w:firstColumn="0" w:lastColumn="0" w:oddVBand="0" w:evenVBand="0" w:oddHBand="0" w:evenHBand="0" w:firstRowFirstColumn="0" w:firstRowLastColumn="0" w:lastRowFirstColumn="0" w:lastRowLastColumn="0"/>
          <w:trHeight w:val="157"/>
        </w:trPr>
        <w:tc>
          <w:tcPr>
            <w:tcW w:w="4478" w:type="dxa"/>
          </w:tcPr>
          <w:p w14:paraId="64C6D59A" w14:textId="77777777" w:rsidR="0064038E" w:rsidRPr="004876DB" w:rsidRDefault="0064038E">
            <w:pPr>
              <w:pStyle w:val="ARtablecolhead"/>
            </w:pPr>
          </w:p>
        </w:tc>
        <w:tc>
          <w:tcPr>
            <w:cnfStyle w:val="000001000000" w:firstRow="0" w:lastRow="0" w:firstColumn="0" w:lastColumn="0" w:oddVBand="0" w:evenVBand="1" w:oddHBand="0" w:evenHBand="0" w:firstRowFirstColumn="0" w:firstRowLastColumn="0" w:lastRowFirstColumn="0" w:lastRowLastColumn="0"/>
            <w:tcW w:w="1718" w:type="dxa"/>
          </w:tcPr>
          <w:p w14:paraId="3AFD5681" w14:textId="77777777" w:rsidR="0064038E" w:rsidRPr="00FA74F9" w:rsidRDefault="0064038E" w:rsidP="00FA74F9">
            <w:pPr>
              <w:pStyle w:val="ARtablecolheadright"/>
            </w:pPr>
            <w:r w:rsidRPr="00FA74F9">
              <w:t>2022–23</w:t>
            </w:r>
          </w:p>
        </w:tc>
        <w:tc>
          <w:tcPr>
            <w:tcW w:w="1718" w:type="dxa"/>
          </w:tcPr>
          <w:p w14:paraId="23EC595F" w14:textId="77777777" w:rsidR="0064038E" w:rsidRPr="00FA74F9" w:rsidRDefault="0064038E" w:rsidP="00FA74F9">
            <w:pPr>
              <w:pStyle w:val="ARtablecolheadright"/>
              <w:cnfStyle w:val="100000000000" w:firstRow="1" w:lastRow="0" w:firstColumn="0" w:lastColumn="0" w:oddVBand="0" w:evenVBand="0" w:oddHBand="0" w:evenHBand="0" w:firstRowFirstColumn="0" w:firstRowLastColumn="0" w:lastRowFirstColumn="0" w:lastRowLastColumn="0"/>
            </w:pPr>
            <w:r w:rsidRPr="00FA74F9">
              <w:t>2023–24</w:t>
            </w:r>
          </w:p>
        </w:tc>
        <w:tc>
          <w:tcPr>
            <w:cnfStyle w:val="000001000000" w:firstRow="0" w:lastRow="0" w:firstColumn="0" w:lastColumn="0" w:oddVBand="0" w:evenVBand="1" w:oddHBand="0" w:evenHBand="0" w:firstRowFirstColumn="0" w:firstRowLastColumn="0" w:lastRowFirstColumn="0" w:lastRowLastColumn="0"/>
            <w:tcW w:w="1718" w:type="dxa"/>
          </w:tcPr>
          <w:p w14:paraId="3D2D686E" w14:textId="036DC207" w:rsidR="0064038E" w:rsidRPr="00FA74F9" w:rsidRDefault="0064038E" w:rsidP="00FA74F9">
            <w:pPr>
              <w:pStyle w:val="ARtablecolheadright"/>
            </w:pPr>
            <w:r w:rsidRPr="00FA74F9">
              <w:t>2024–25</w:t>
            </w:r>
          </w:p>
        </w:tc>
      </w:tr>
      <w:tr w:rsidR="006D70CE" w:rsidRPr="004876DB" w14:paraId="385AC7E7" w14:textId="77777777" w:rsidTr="00996EFB">
        <w:tc>
          <w:tcPr>
            <w:tcW w:w="4478" w:type="dxa"/>
            <w:hideMark/>
          </w:tcPr>
          <w:p w14:paraId="742B26CD" w14:textId="70DCA485" w:rsidR="0064038E" w:rsidRPr="004876DB" w:rsidRDefault="0064038E">
            <w:pPr>
              <w:pStyle w:val="ARtabletext"/>
              <w:ind w:right="170"/>
              <w:rPr>
                <w:i/>
              </w:rPr>
            </w:pPr>
            <w:r w:rsidRPr="004876DB">
              <w:t xml:space="preserve">Reports to </w:t>
            </w:r>
            <w:r>
              <w:t>c</w:t>
            </w:r>
            <w:r w:rsidRPr="004876DB">
              <w:t xml:space="preserve">hild </w:t>
            </w:r>
            <w:r>
              <w:t>p</w:t>
            </w:r>
            <w:r w:rsidRPr="004876DB">
              <w:t>rotection services about the wellbeing and safety of children</w:t>
            </w:r>
          </w:p>
        </w:tc>
        <w:tc>
          <w:tcPr>
            <w:cnfStyle w:val="000001000000" w:firstRow="0" w:lastRow="0" w:firstColumn="0" w:lastColumn="0" w:oddVBand="0" w:evenVBand="1" w:oddHBand="0" w:evenHBand="0" w:firstRowFirstColumn="0" w:firstRowLastColumn="0" w:lastRowFirstColumn="0" w:lastRowLastColumn="0"/>
            <w:tcW w:w="1718" w:type="dxa"/>
          </w:tcPr>
          <w:p w14:paraId="367C6C73" w14:textId="77777777" w:rsidR="0064038E" w:rsidRPr="00010EB4" w:rsidRDefault="0064038E" w:rsidP="00010EB4">
            <w:pPr>
              <w:pStyle w:val="ARtabletextright"/>
            </w:pPr>
            <w:r w:rsidRPr="00010EB4">
              <w:t>128,705</w:t>
            </w:r>
          </w:p>
        </w:tc>
        <w:tc>
          <w:tcPr>
            <w:tcW w:w="1718" w:type="dxa"/>
          </w:tcPr>
          <w:p w14:paraId="5E5959DB" w14:textId="77777777" w:rsidR="0064038E" w:rsidRPr="00010EB4" w:rsidRDefault="0064038E" w:rsidP="00010EB4">
            <w:pPr>
              <w:pStyle w:val="ARtabletextright"/>
              <w:cnfStyle w:val="000000000000" w:firstRow="0" w:lastRow="0" w:firstColumn="0" w:lastColumn="0" w:oddVBand="0" w:evenVBand="0" w:oddHBand="0" w:evenHBand="0" w:firstRowFirstColumn="0" w:firstRowLastColumn="0" w:lastRowFirstColumn="0" w:lastRowLastColumn="0"/>
            </w:pPr>
            <w:r w:rsidRPr="00010EB4">
              <w:t>139,612</w:t>
            </w:r>
          </w:p>
        </w:tc>
        <w:tc>
          <w:tcPr>
            <w:cnfStyle w:val="000001000000" w:firstRow="0" w:lastRow="0" w:firstColumn="0" w:lastColumn="0" w:oddVBand="0" w:evenVBand="1" w:oddHBand="0" w:evenHBand="0" w:firstRowFirstColumn="0" w:firstRowLastColumn="0" w:lastRowFirstColumn="0" w:lastRowLastColumn="0"/>
            <w:tcW w:w="1718" w:type="dxa"/>
          </w:tcPr>
          <w:p w14:paraId="24D91DD9" w14:textId="77777777" w:rsidR="0064038E" w:rsidRPr="00010EB4" w:rsidRDefault="0064038E" w:rsidP="00010EB4">
            <w:pPr>
              <w:pStyle w:val="ARtabletextright"/>
            </w:pPr>
            <w:r w:rsidRPr="00010EB4">
              <w:t>151,587</w:t>
            </w:r>
          </w:p>
        </w:tc>
      </w:tr>
      <w:tr w:rsidR="006D70CE" w:rsidRPr="004876DB" w14:paraId="052FEEEA" w14:textId="77777777" w:rsidTr="00996EFB">
        <w:tc>
          <w:tcPr>
            <w:tcW w:w="4478" w:type="dxa"/>
          </w:tcPr>
          <w:p w14:paraId="0DB3B9FE" w14:textId="77777777" w:rsidR="0064038E" w:rsidRPr="004876DB" w:rsidRDefault="0064038E">
            <w:pPr>
              <w:pStyle w:val="ARtabletext"/>
              <w:ind w:right="170"/>
            </w:pPr>
            <w:r w:rsidRPr="004876DB">
              <w:t>Daily average number of children in care placements</w:t>
            </w:r>
          </w:p>
        </w:tc>
        <w:tc>
          <w:tcPr>
            <w:cnfStyle w:val="000001000000" w:firstRow="0" w:lastRow="0" w:firstColumn="0" w:lastColumn="0" w:oddVBand="0" w:evenVBand="1" w:oddHBand="0" w:evenHBand="0" w:firstRowFirstColumn="0" w:firstRowLastColumn="0" w:lastRowFirstColumn="0" w:lastRowLastColumn="0"/>
            <w:tcW w:w="1718" w:type="dxa"/>
          </w:tcPr>
          <w:p w14:paraId="42F30D48" w14:textId="77777777" w:rsidR="0064038E" w:rsidRPr="00010EB4" w:rsidRDefault="0064038E" w:rsidP="00010EB4">
            <w:pPr>
              <w:pStyle w:val="ARtabletextright"/>
            </w:pPr>
            <w:r w:rsidRPr="00010EB4">
              <w:t>9,366</w:t>
            </w:r>
          </w:p>
        </w:tc>
        <w:tc>
          <w:tcPr>
            <w:tcW w:w="1718" w:type="dxa"/>
          </w:tcPr>
          <w:p w14:paraId="01514BFE" w14:textId="77777777" w:rsidR="0064038E" w:rsidRPr="00010EB4" w:rsidRDefault="0064038E" w:rsidP="00010EB4">
            <w:pPr>
              <w:pStyle w:val="ARtabletextright"/>
              <w:cnfStyle w:val="000000000000" w:firstRow="0" w:lastRow="0" w:firstColumn="0" w:lastColumn="0" w:oddVBand="0" w:evenVBand="0" w:oddHBand="0" w:evenHBand="0" w:firstRowFirstColumn="0" w:firstRowLastColumn="0" w:lastRowFirstColumn="0" w:lastRowLastColumn="0"/>
            </w:pPr>
            <w:r w:rsidRPr="00010EB4">
              <w:t>9,316</w:t>
            </w:r>
          </w:p>
        </w:tc>
        <w:tc>
          <w:tcPr>
            <w:cnfStyle w:val="000001000000" w:firstRow="0" w:lastRow="0" w:firstColumn="0" w:lastColumn="0" w:oddVBand="0" w:evenVBand="1" w:oddHBand="0" w:evenHBand="0" w:firstRowFirstColumn="0" w:firstRowLastColumn="0" w:lastRowFirstColumn="0" w:lastRowLastColumn="0"/>
            <w:tcW w:w="1718" w:type="dxa"/>
          </w:tcPr>
          <w:p w14:paraId="26DCF1AB" w14:textId="77777777" w:rsidR="0064038E" w:rsidRPr="00010EB4" w:rsidRDefault="0064038E" w:rsidP="00010EB4">
            <w:pPr>
              <w:pStyle w:val="ARtabletextright"/>
            </w:pPr>
            <w:r w:rsidRPr="00010EB4">
              <w:t>9,288</w:t>
            </w:r>
          </w:p>
        </w:tc>
      </w:tr>
      <w:tr w:rsidR="006D70CE" w:rsidRPr="004876DB" w14:paraId="525A4CE2" w14:textId="77777777" w:rsidTr="00996EFB">
        <w:tc>
          <w:tcPr>
            <w:tcW w:w="4478" w:type="dxa"/>
            <w:hideMark/>
          </w:tcPr>
          <w:p w14:paraId="1AED320F" w14:textId="5BA07CAC" w:rsidR="0064038E" w:rsidRPr="004876DB" w:rsidRDefault="0064038E">
            <w:pPr>
              <w:pStyle w:val="ARtabletext"/>
              <w:ind w:right="170"/>
              <w:rPr>
                <w:i/>
              </w:rPr>
            </w:pPr>
            <w:r w:rsidRPr="004876DB">
              <w:t xml:space="preserve">Children and young people in care who have had 2 or </w:t>
            </w:r>
            <w:r>
              <w:t>fewer</w:t>
            </w:r>
            <w:r w:rsidRPr="004876DB">
              <w:t xml:space="preserve"> placements in the past 12 months (not including </w:t>
            </w:r>
            <w:r w:rsidRPr="004876DB" w:rsidDel="001B5D9E">
              <w:t xml:space="preserve">placements </w:t>
            </w:r>
            <w:r w:rsidRPr="004876DB">
              <w:t>at home)</w:t>
            </w:r>
          </w:p>
        </w:tc>
        <w:tc>
          <w:tcPr>
            <w:cnfStyle w:val="000001000000" w:firstRow="0" w:lastRow="0" w:firstColumn="0" w:lastColumn="0" w:oddVBand="0" w:evenVBand="1" w:oddHBand="0" w:evenHBand="0" w:firstRowFirstColumn="0" w:firstRowLastColumn="0" w:lastRowFirstColumn="0" w:lastRowLastColumn="0"/>
            <w:tcW w:w="1718" w:type="dxa"/>
          </w:tcPr>
          <w:p w14:paraId="18A61745" w14:textId="77777777" w:rsidR="0064038E" w:rsidRPr="00010EB4" w:rsidRDefault="0064038E" w:rsidP="00010EB4">
            <w:pPr>
              <w:pStyle w:val="ARtabletextright"/>
            </w:pPr>
            <w:r w:rsidRPr="00010EB4">
              <w:t>93.1%</w:t>
            </w:r>
          </w:p>
        </w:tc>
        <w:tc>
          <w:tcPr>
            <w:tcW w:w="1718" w:type="dxa"/>
          </w:tcPr>
          <w:p w14:paraId="36D77B89" w14:textId="77777777" w:rsidR="0064038E" w:rsidRPr="00010EB4" w:rsidRDefault="0064038E" w:rsidP="00010EB4">
            <w:pPr>
              <w:pStyle w:val="ARtabletextright"/>
              <w:cnfStyle w:val="000000000000" w:firstRow="0" w:lastRow="0" w:firstColumn="0" w:lastColumn="0" w:oddVBand="0" w:evenVBand="0" w:oddHBand="0" w:evenHBand="0" w:firstRowFirstColumn="0" w:firstRowLastColumn="0" w:lastRowFirstColumn="0" w:lastRowLastColumn="0"/>
            </w:pPr>
            <w:r w:rsidRPr="00010EB4">
              <w:t>94%</w:t>
            </w:r>
          </w:p>
        </w:tc>
        <w:tc>
          <w:tcPr>
            <w:cnfStyle w:val="000001000000" w:firstRow="0" w:lastRow="0" w:firstColumn="0" w:lastColumn="0" w:oddVBand="0" w:evenVBand="1" w:oddHBand="0" w:evenHBand="0" w:firstRowFirstColumn="0" w:firstRowLastColumn="0" w:lastRowFirstColumn="0" w:lastRowLastColumn="0"/>
            <w:tcW w:w="1718" w:type="dxa"/>
          </w:tcPr>
          <w:p w14:paraId="03AB0137" w14:textId="77777777" w:rsidR="0064038E" w:rsidRPr="00010EB4" w:rsidRDefault="0064038E" w:rsidP="00010EB4">
            <w:pPr>
              <w:pStyle w:val="ARtabletextright"/>
            </w:pPr>
            <w:r w:rsidRPr="00010EB4">
              <w:t>94%</w:t>
            </w:r>
          </w:p>
        </w:tc>
      </w:tr>
      <w:tr w:rsidR="006D70CE" w:rsidRPr="004876DB" w14:paraId="04B9E629" w14:textId="77777777" w:rsidTr="00996EFB">
        <w:tc>
          <w:tcPr>
            <w:tcW w:w="4478" w:type="dxa"/>
            <w:hideMark/>
          </w:tcPr>
          <w:p w14:paraId="6D4452E4" w14:textId="77777777" w:rsidR="0064038E" w:rsidRPr="004876DB" w:rsidRDefault="0064038E">
            <w:pPr>
              <w:pStyle w:val="ARtabletext"/>
              <w:ind w:right="170"/>
              <w:rPr>
                <w:i/>
              </w:rPr>
            </w:pPr>
            <w:r w:rsidRPr="004876DB">
              <w:t>Children and young people who were the subject of a substantiated report within 12 months of the closure of a previous substantiated report</w:t>
            </w:r>
          </w:p>
        </w:tc>
        <w:tc>
          <w:tcPr>
            <w:cnfStyle w:val="000001000000" w:firstRow="0" w:lastRow="0" w:firstColumn="0" w:lastColumn="0" w:oddVBand="0" w:evenVBand="1" w:oddHBand="0" w:evenHBand="0" w:firstRowFirstColumn="0" w:firstRowLastColumn="0" w:lastRowFirstColumn="0" w:lastRowLastColumn="0"/>
            <w:tcW w:w="1718" w:type="dxa"/>
          </w:tcPr>
          <w:p w14:paraId="712CD808" w14:textId="77777777" w:rsidR="0064038E" w:rsidRPr="00010EB4" w:rsidRDefault="0064038E" w:rsidP="00010EB4">
            <w:pPr>
              <w:pStyle w:val="ARtabletextright"/>
            </w:pPr>
            <w:r w:rsidRPr="00010EB4">
              <w:t>16.1%</w:t>
            </w:r>
          </w:p>
        </w:tc>
        <w:tc>
          <w:tcPr>
            <w:tcW w:w="1718" w:type="dxa"/>
          </w:tcPr>
          <w:p w14:paraId="606897A0" w14:textId="77777777" w:rsidR="0064038E" w:rsidRPr="00010EB4" w:rsidRDefault="0064038E" w:rsidP="00010EB4">
            <w:pPr>
              <w:pStyle w:val="ARtabletextright"/>
              <w:cnfStyle w:val="000000000000" w:firstRow="0" w:lastRow="0" w:firstColumn="0" w:lastColumn="0" w:oddVBand="0" w:evenVBand="0" w:oddHBand="0" w:evenHBand="0" w:firstRowFirstColumn="0" w:firstRowLastColumn="0" w:lastRowFirstColumn="0" w:lastRowLastColumn="0"/>
            </w:pPr>
            <w:r w:rsidRPr="00010EB4">
              <w:t>19.3%</w:t>
            </w:r>
          </w:p>
        </w:tc>
        <w:tc>
          <w:tcPr>
            <w:cnfStyle w:val="000001000000" w:firstRow="0" w:lastRow="0" w:firstColumn="0" w:lastColumn="0" w:oddVBand="0" w:evenVBand="1" w:oddHBand="0" w:evenHBand="0" w:firstRowFirstColumn="0" w:firstRowLastColumn="0" w:lastRowFirstColumn="0" w:lastRowLastColumn="0"/>
            <w:tcW w:w="1718" w:type="dxa"/>
          </w:tcPr>
          <w:p w14:paraId="278DC48C" w14:textId="6EDFE608" w:rsidR="0064038E" w:rsidRPr="00010EB4" w:rsidRDefault="00B2598C" w:rsidP="00010EB4">
            <w:pPr>
              <w:pStyle w:val="ARtabletextright"/>
            </w:pPr>
            <w:r>
              <w:t>19.7</w:t>
            </w:r>
            <w:r w:rsidR="0064038E" w:rsidRPr="00010EB4">
              <w:t>%</w:t>
            </w:r>
          </w:p>
        </w:tc>
      </w:tr>
      <w:tr w:rsidR="006D70CE" w:rsidRPr="004876DB" w14:paraId="587CFAD9" w14:textId="77777777" w:rsidTr="00996EFB">
        <w:tc>
          <w:tcPr>
            <w:tcW w:w="4478" w:type="dxa"/>
          </w:tcPr>
          <w:p w14:paraId="6ABF6851" w14:textId="77777777" w:rsidR="0064038E" w:rsidRPr="00B4693F" w:rsidRDefault="0064038E">
            <w:pPr>
              <w:pStyle w:val="ARtabletext"/>
              <w:ind w:right="170"/>
            </w:pPr>
            <w:r w:rsidRPr="00B4693F">
              <w:t>Total assessments undertaken at the Support and Safety Hubs</w:t>
            </w:r>
          </w:p>
        </w:tc>
        <w:tc>
          <w:tcPr>
            <w:cnfStyle w:val="000001000000" w:firstRow="0" w:lastRow="0" w:firstColumn="0" w:lastColumn="0" w:oddVBand="0" w:evenVBand="1" w:oddHBand="0" w:evenHBand="0" w:firstRowFirstColumn="0" w:firstRowLastColumn="0" w:lastRowFirstColumn="0" w:lastRowLastColumn="0"/>
            <w:tcW w:w="1718" w:type="dxa"/>
          </w:tcPr>
          <w:p w14:paraId="4C11D8D2" w14:textId="77777777" w:rsidR="0064038E" w:rsidRPr="00B4693F" w:rsidRDefault="0064038E" w:rsidP="00010EB4">
            <w:pPr>
              <w:pStyle w:val="ARtabletextright"/>
            </w:pPr>
            <w:r w:rsidRPr="00B4693F">
              <w:t>122,229</w:t>
            </w:r>
          </w:p>
        </w:tc>
        <w:tc>
          <w:tcPr>
            <w:tcW w:w="1718" w:type="dxa"/>
          </w:tcPr>
          <w:p w14:paraId="63B7D19E" w14:textId="77777777" w:rsidR="0064038E" w:rsidRPr="00B4693F" w:rsidRDefault="0064038E" w:rsidP="00010EB4">
            <w:pPr>
              <w:pStyle w:val="ARtabletextright"/>
              <w:cnfStyle w:val="000000000000" w:firstRow="0" w:lastRow="0" w:firstColumn="0" w:lastColumn="0" w:oddVBand="0" w:evenVBand="0" w:oddHBand="0" w:evenHBand="0" w:firstRowFirstColumn="0" w:firstRowLastColumn="0" w:lastRowFirstColumn="0" w:lastRowLastColumn="0"/>
            </w:pPr>
            <w:r w:rsidRPr="00B4693F">
              <w:t>176,012</w:t>
            </w:r>
          </w:p>
        </w:tc>
        <w:tc>
          <w:tcPr>
            <w:cnfStyle w:val="000001000000" w:firstRow="0" w:lastRow="0" w:firstColumn="0" w:lastColumn="0" w:oddVBand="0" w:evenVBand="1" w:oddHBand="0" w:evenHBand="0" w:firstRowFirstColumn="0" w:firstRowLastColumn="0" w:lastRowFirstColumn="0" w:lastRowLastColumn="0"/>
            <w:tcW w:w="1718" w:type="dxa"/>
          </w:tcPr>
          <w:p w14:paraId="1DF198BB" w14:textId="77777777" w:rsidR="0064038E" w:rsidRPr="00010EB4" w:rsidRDefault="0064038E" w:rsidP="00010EB4">
            <w:pPr>
              <w:pStyle w:val="ARtabletextright"/>
            </w:pPr>
            <w:r w:rsidRPr="00B4693F">
              <w:t>186,524</w:t>
            </w:r>
          </w:p>
        </w:tc>
      </w:tr>
      <w:tr w:rsidR="006D70CE" w:rsidRPr="004876DB" w14:paraId="6B093D2A" w14:textId="77777777" w:rsidTr="00996EFB">
        <w:tc>
          <w:tcPr>
            <w:tcW w:w="4478" w:type="dxa"/>
          </w:tcPr>
          <w:p w14:paraId="4DB04A85" w14:textId="77777777" w:rsidR="0064038E" w:rsidRPr="004876DB" w:rsidRDefault="0064038E">
            <w:pPr>
              <w:pStyle w:val="ARtabletext"/>
              <w:ind w:right="170"/>
            </w:pPr>
            <w:r w:rsidRPr="004876DB">
              <w:t>Total assessments undertaken for children in the Support and Safety Hubs / The Orange Door</w:t>
            </w:r>
          </w:p>
        </w:tc>
        <w:tc>
          <w:tcPr>
            <w:cnfStyle w:val="000001000000" w:firstRow="0" w:lastRow="0" w:firstColumn="0" w:lastColumn="0" w:oddVBand="0" w:evenVBand="1" w:oddHBand="0" w:evenHBand="0" w:firstRowFirstColumn="0" w:firstRowLastColumn="0" w:lastRowFirstColumn="0" w:lastRowLastColumn="0"/>
            <w:tcW w:w="1718" w:type="dxa"/>
          </w:tcPr>
          <w:p w14:paraId="7F27BB89" w14:textId="77777777" w:rsidR="0064038E" w:rsidRPr="00010EB4" w:rsidRDefault="0064038E" w:rsidP="00010EB4">
            <w:pPr>
              <w:pStyle w:val="ARtabletextright"/>
            </w:pPr>
            <w:r w:rsidRPr="00010EB4">
              <w:t>91,067</w:t>
            </w:r>
          </w:p>
        </w:tc>
        <w:tc>
          <w:tcPr>
            <w:tcW w:w="1718" w:type="dxa"/>
          </w:tcPr>
          <w:p w14:paraId="32527433" w14:textId="77777777" w:rsidR="0064038E" w:rsidRPr="00010EB4" w:rsidRDefault="0064038E" w:rsidP="00010EB4">
            <w:pPr>
              <w:pStyle w:val="ARtabletextright"/>
              <w:cnfStyle w:val="000000000000" w:firstRow="0" w:lastRow="0" w:firstColumn="0" w:lastColumn="0" w:oddVBand="0" w:evenVBand="0" w:oddHBand="0" w:evenHBand="0" w:firstRowFirstColumn="0" w:firstRowLastColumn="0" w:lastRowFirstColumn="0" w:lastRowLastColumn="0"/>
            </w:pPr>
            <w:r w:rsidRPr="00010EB4">
              <w:t>99,722</w:t>
            </w:r>
          </w:p>
        </w:tc>
        <w:tc>
          <w:tcPr>
            <w:cnfStyle w:val="000001000000" w:firstRow="0" w:lastRow="0" w:firstColumn="0" w:lastColumn="0" w:oddVBand="0" w:evenVBand="1" w:oddHBand="0" w:evenHBand="0" w:firstRowFirstColumn="0" w:firstRowLastColumn="0" w:lastRowFirstColumn="0" w:lastRowLastColumn="0"/>
            <w:tcW w:w="1718" w:type="dxa"/>
          </w:tcPr>
          <w:p w14:paraId="2040A511" w14:textId="77777777" w:rsidR="0064038E" w:rsidRPr="00010EB4" w:rsidRDefault="0064038E" w:rsidP="00010EB4">
            <w:pPr>
              <w:pStyle w:val="ARtabletextright"/>
            </w:pPr>
            <w:r w:rsidRPr="00010EB4">
              <w:t>106,116</w:t>
            </w:r>
          </w:p>
        </w:tc>
      </w:tr>
      <w:tr w:rsidR="00F33C72" w:rsidRPr="004876DB" w14:paraId="6B1C9930" w14:textId="77777777" w:rsidTr="00996EFB">
        <w:tc>
          <w:tcPr>
            <w:tcW w:w="4478" w:type="dxa"/>
            <w:tcBorders>
              <w:bottom w:val="single" w:sz="4" w:space="0" w:color="A6A6A6" w:themeColor="accent5"/>
            </w:tcBorders>
          </w:tcPr>
          <w:p w14:paraId="5C7C52BE" w14:textId="77777777" w:rsidR="0064038E" w:rsidRPr="00B4693F" w:rsidRDefault="0064038E">
            <w:pPr>
              <w:pStyle w:val="ARtabletext"/>
              <w:ind w:right="170"/>
            </w:pPr>
            <w:r w:rsidRPr="00B4693F">
              <w:t>Number of men participating in the Men’s Behaviour Change program</w:t>
            </w:r>
          </w:p>
        </w:tc>
        <w:tc>
          <w:tcPr>
            <w:cnfStyle w:val="000001000000" w:firstRow="0" w:lastRow="0" w:firstColumn="0" w:lastColumn="0" w:oddVBand="0" w:evenVBand="1" w:oddHBand="0" w:evenHBand="0" w:firstRowFirstColumn="0" w:firstRowLastColumn="0" w:lastRowFirstColumn="0" w:lastRowLastColumn="0"/>
            <w:tcW w:w="1718" w:type="dxa"/>
            <w:tcBorders>
              <w:bottom w:val="single" w:sz="4" w:space="0" w:color="A6A6A6" w:themeColor="accent5"/>
            </w:tcBorders>
          </w:tcPr>
          <w:p w14:paraId="287F1ED0" w14:textId="77777777" w:rsidR="0064038E" w:rsidRPr="00B4693F" w:rsidRDefault="0064038E" w:rsidP="00010EB4">
            <w:pPr>
              <w:pStyle w:val="ARtabletextright"/>
            </w:pPr>
            <w:r w:rsidRPr="00B4693F">
              <w:t>2,906</w:t>
            </w:r>
          </w:p>
        </w:tc>
        <w:tc>
          <w:tcPr>
            <w:tcW w:w="1718" w:type="dxa"/>
            <w:tcBorders>
              <w:bottom w:val="single" w:sz="4" w:space="0" w:color="A6A6A6" w:themeColor="accent5"/>
            </w:tcBorders>
          </w:tcPr>
          <w:p w14:paraId="2FCDD899" w14:textId="77777777" w:rsidR="0064038E" w:rsidRPr="00B4693F" w:rsidRDefault="0064038E" w:rsidP="00010EB4">
            <w:pPr>
              <w:pStyle w:val="ARtabletextright"/>
              <w:cnfStyle w:val="000000000000" w:firstRow="0" w:lastRow="0" w:firstColumn="0" w:lastColumn="0" w:oddVBand="0" w:evenVBand="0" w:oddHBand="0" w:evenHBand="0" w:firstRowFirstColumn="0" w:firstRowLastColumn="0" w:lastRowFirstColumn="0" w:lastRowLastColumn="0"/>
            </w:pPr>
            <w:r w:rsidRPr="00B4693F">
              <w:t>3110</w:t>
            </w:r>
          </w:p>
        </w:tc>
        <w:tc>
          <w:tcPr>
            <w:cnfStyle w:val="000001000000" w:firstRow="0" w:lastRow="0" w:firstColumn="0" w:lastColumn="0" w:oddVBand="0" w:evenVBand="1" w:oddHBand="0" w:evenHBand="0" w:firstRowFirstColumn="0" w:firstRowLastColumn="0" w:lastRowFirstColumn="0" w:lastRowLastColumn="0"/>
            <w:tcW w:w="1718" w:type="dxa"/>
            <w:tcBorders>
              <w:bottom w:val="single" w:sz="4" w:space="0" w:color="A6A6A6" w:themeColor="accent5"/>
            </w:tcBorders>
          </w:tcPr>
          <w:p w14:paraId="06FB208E" w14:textId="5809CAF0" w:rsidR="0064038E" w:rsidRPr="00C8093E" w:rsidRDefault="00F33C72" w:rsidP="00010EB4">
            <w:pPr>
              <w:pStyle w:val="ARtabletextright"/>
            </w:pPr>
            <w:r w:rsidRPr="00B4693F">
              <w:t>5,337</w:t>
            </w:r>
          </w:p>
        </w:tc>
      </w:tr>
      <w:tr w:rsidR="00F33C72" w:rsidRPr="004876DB" w14:paraId="6EE70A5C" w14:textId="77777777" w:rsidTr="00996EFB">
        <w:tc>
          <w:tcPr>
            <w:tcW w:w="4478" w:type="dxa"/>
            <w:tcBorders>
              <w:top w:val="single" w:sz="4" w:space="0" w:color="A6A6A6" w:themeColor="accent5"/>
              <w:bottom w:val="single" w:sz="4" w:space="0" w:color="A6A6A6" w:themeColor="accent5"/>
            </w:tcBorders>
          </w:tcPr>
          <w:p w14:paraId="432DA9B8" w14:textId="77777777" w:rsidR="0064038E" w:rsidRPr="004876DB" w:rsidRDefault="0064038E">
            <w:pPr>
              <w:pStyle w:val="ARtabletext"/>
              <w:ind w:right="170"/>
            </w:pPr>
            <w:r w:rsidRPr="004876DB">
              <w:t>Number of case management responses provided to perpetrators of family violence including those that require individualised support</w:t>
            </w:r>
          </w:p>
        </w:tc>
        <w:tc>
          <w:tcPr>
            <w:cnfStyle w:val="000001000000" w:firstRow="0" w:lastRow="0" w:firstColumn="0" w:lastColumn="0" w:oddVBand="0" w:evenVBand="1" w:oddHBand="0" w:evenHBand="0" w:firstRowFirstColumn="0" w:firstRowLastColumn="0" w:lastRowFirstColumn="0" w:lastRowLastColumn="0"/>
            <w:tcW w:w="1718" w:type="dxa"/>
            <w:tcBorders>
              <w:top w:val="single" w:sz="4" w:space="0" w:color="A6A6A6" w:themeColor="accent5"/>
              <w:bottom w:val="single" w:sz="4" w:space="0" w:color="A6A6A6" w:themeColor="accent5"/>
            </w:tcBorders>
          </w:tcPr>
          <w:p w14:paraId="49D4C53F" w14:textId="77777777" w:rsidR="0064038E" w:rsidRPr="00010EB4" w:rsidRDefault="0064038E" w:rsidP="00010EB4">
            <w:pPr>
              <w:pStyle w:val="ARtabletextright"/>
            </w:pPr>
            <w:r w:rsidRPr="00010EB4">
              <w:t>1,748</w:t>
            </w:r>
          </w:p>
        </w:tc>
        <w:tc>
          <w:tcPr>
            <w:tcW w:w="1718" w:type="dxa"/>
            <w:tcBorders>
              <w:top w:val="single" w:sz="4" w:space="0" w:color="A6A6A6" w:themeColor="accent5"/>
              <w:bottom w:val="single" w:sz="4" w:space="0" w:color="A6A6A6" w:themeColor="accent5"/>
            </w:tcBorders>
          </w:tcPr>
          <w:p w14:paraId="029FCDB8" w14:textId="77777777" w:rsidR="0064038E" w:rsidRPr="00010EB4" w:rsidRDefault="0064038E" w:rsidP="00010EB4">
            <w:pPr>
              <w:pStyle w:val="ARtabletextright"/>
              <w:cnfStyle w:val="000000000000" w:firstRow="0" w:lastRow="0" w:firstColumn="0" w:lastColumn="0" w:oddVBand="0" w:evenVBand="0" w:oddHBand="0" w:evenHBand="0" w:firstRowFirstColumn="0" w:firstRowLastColumn="0" w:lastRowFirstColumn="0" w:lastRowLastColumn="0"/>
            </w:pPr>
            <w:r w:rsidRPr="00010EB4">
              <w:t>2,849</w:t>
            </w:r>
          </w:p>
        </w:tc>
        <w:tc>
          <w:tcPr>
            <w:cnfStyle w:val="000001000000" w:firstRow="0" w:lastRow="0" w:firstColumn="0" w:lastColumn="0" w:oddVBand="0" w:evenVBand="1" w:oddHBand="0" w:evenHBand="0" w:firstRowFirstColumn="0" w:firstRowLastColumn="0" w:lastRowFirstColumn="0" w:lastRowLastColumn="0"/>
            <w:tcW w:w="1718" w:type="dxa"/>
            <w:tcBorders>
              <w:top w:val="single" w:sz="4" w:space="0" w:color="A6A6A6" w:themeColor="accent5"/>
              <w:bottom w:val="single" w:sz="4" w:space="0" w:color="A6A6A6" w:themeColor="accent5"/>
            </w:tcBorders>
          </w:tcPr>
          <w:p w14:paraId="47A3B86D" w14:textId="02B7CF77" w:rsidR="0064038E" w:rsidRPr="00AE030D" w:rsidRDefault="006D70CE" w:rsidP="00010EB4">
            <w:pPr>
              <w:pStyle w:val="ARtabletextright"/>
            </w:pPr>
            <w:r w:rsidRPr="00AE030D">
              <w:t>3,328</w:t>
            </w:r>
          </w:p>
        </w:tc>
      </w:tr>
      <w:tr w:rsidR="00F33C72" w:rsidRPr="00532DAE" w14:paraId="2B4A8F54" w14:textId="77777777" w:rsidTr="00996EFB">
        <w:trPr>
          <w:cnfStyle w:val="010000000000" w:firstRow="0" w:lastRow="1" w:firstColumn="0" w:lastColumn="0" w:oddVBand="0" w:evenVBand="0" w:oddHBand="0" w:evenHBand="0" w:firstRowFirstColumn="0" w:firstRowLastColumn="0" w:lastRowFirstColumn="0" w:lastRowLastColumn="0"/>
        </w:trPr>
        <w:tc>
          <w:tcPr>
            <w:tcW w:w="4478" w:type="dxa"/>
            <w:tcBorders>
              <w:top w:val="single" w:sz="4" w:space="0" w:color="A6A6A6" w:themeColor="accent5"/>
            </w:tcBorders>
          </w:tcPr>
          <w:p w14:paraId="30855752" w14:textId="77777777" w:rsidR="0064038E" w:rsidRPr="004876DB" w:rsidRDefault="0064038E">
            <w:pPr>
              <w:pStyle w:val="ARtabletext"/>
              <w:ind w:right="170"/>
            </w:pPr>
            <w:r w:rsidRPr="004876DB">
              <w:t>Prevention of family violence projects and programs delivered on time</w:t>
            </w:r>
          </w:p>
        </w:tc>
        <w:tc>
          <w:tcPr>
            <w:cnfStyle w:val="000001000000" w:firstRow="0" w:lastRow="0" w:firstColumn="0" w:lastColumn="0" w:oddVBand="0" w:evenVBand="1" w:oddHBand="0" w:evenHBand="0" w:firstRowFirstColumn="0" w:firstRowLastColumn="0" w:lastRowFirstColumn="0" w:lastRowLastColumn="0"/>
            <w:tcW w:w="1718" w:type="dxa"/>
            <w:tcBorders>
              <w:top w:val="single" w:sz="4" w:space="0" w:color="A6A6A6" w:themeColor="accent5"/>
            </w:tcBorders>
          </w:tcPr>
          <w:p w14:paraId="0673ADD9" w14:textId="77777777" w:rsidR="0064038E" w:rsidRPr="00010EB4" w:rsidRDefault="0064038E" w:rsidP="00010EB4">
            <w:pPr>
              <w:pStyle w:val="ARtabletextright"/>
            </w:pPr>
            <w:r w:rsidRPr="00010EB4">
              <w:t>100%</w:t>
            </w:r>
          </w:p>
        </w:tc>
        <w:tc>
          <w:tcPr>
            <w:tcW w:w="1718" w:type="dxa"/>
            <w:tcBorders>
              <w:top w:val="single" w:sz="4" w:space="0" w:color="A6A6A6" w:themeColor="accent5"/>
            </w:tcBorders>
          </w:tcPr>
          <w:p w14:paraId="1EE11522" w14:textId="77777777" w:rsidR="0064038E" w:rsidRPr="00010EB4" w:rsidRDefault="0064038E" w:rsidP="00010EB4">
            <w:pPr>
              <w:pStyle w:val="ARtabletextright"/>
              <w:cnfStyle w:val="010000000000" w:firstRow="0" w:lastRow="1" w:firstColumn="0" w:lastColumn="0" w:oddVBand="0" w:evenVBand="0" w:oddHBand="0" w:evenHBand="0" w:firstRowFirstColumn="0" w:firstRowLastColumn="0" w:lastRowFirstColumn="0" w:lastRowLastColumn="0"/>
            </w:pPr>
            <w:r w:rsidRPr="00010EB4">
              <w:t>100%</w:t>
            </w:r>
          </w:p>
        </w:tc>
        <w:tc>
          <w:tcPr>
            <w:cnfStyle w:val="000001000000" w:firstRow="0" w:lastRow="0" w:firstColumn="0" w:lastColumn="0" w:oddVBand="0" w:evenVBand="1" w:oddHBand="0" w:evenHBand="0" w:firstRowFirstColumn="0" w:firstRowLastColumn="0" w:lastRowFirstColumn="0" w:lastRowLastColumn="0"/>
            <w:tcW w:w="1718" w:type="dxa"/>
            <w:tcBorders>
              <w:top w:val="single" w:sz="4" w:space="0" w:color="A6A6A6" w:themeColor="accent5"/>
            </w:tcBorders>
          </w:tcPr>
          <w:p w14:paraId="3BF46EC7" w14:textId="77777777" w:rsidR="0064038E" w:rsidRPr="00010EB4" w:rsidRDefault="0064038E" w:rsidP="00010EB4">
            <w:pPr>
              <w:pStyle w:val="ARtabletextright"/>
            </w:pPr>
            <w:r w:rsidRPr="00010EB4">
              <w:t>95.8%</w:t>
            </w:r>
          </w:p>
        </w:tc>
      </w:tr>
    </w:tbl>
    <w:p w14:paraId="59416645" w14:textId="77777777" w:rsidR="00010EB4" w:rsidRDefault="00010EB4" w:rsidP="00010EB4">
      <w:pPr>
        <w:pStyle w:val="ARbody"/>
        <w:sectPr w:rsidR="00010EB4" w:rsidSect="007F43B1">
          <w:endnotePr>
            <w:numFmt w:val="decimal"/>
          </w:endnotePr>
          <w:type w:val="continuous"/>
          <w:pgSz w:w="11900" w:h="16840" w:code="9"/>
          <w:pgMar w:top="1588" w:right="1134" w:bottom="851" w:left="1134" w:header="510" w:footer="340" w:gutter="0"/>
          <w:cols w:space="448"/>
        </w:sectPr>
      </w:pPr>
    </w:p>
    <w:p w14:paraId="36174CB0" w14:textId="77777777" w:rsidR="000C34BF" w:rsidRDefault="0064038E" w:rsidP="00BB645D">
      <w:pPr>
        <w:pStyle w:val="Heading4"/>
        <w:spacing w:before="0"/>
        <w:sectPr w:rsidR="000C34BF" w:rsidSect="007F43B1">
          <w:endnotePr>
            <w:numFmt w:val="decimal"/>
          </w:endnotePr>
          <w:pgSz w:w="11900" w:h="16840" w:code="9"/>
          <w:pgMar w:top="1588" w:right="1134" w:bottom="851" w:left="1134" w:header="510" w:footer="340" w:gutter="0"/>
          <w:cols w:num="2" w:space="448"/>
        </w:sectPr>
      </w:pPr>
      <w:bookmarkStart w:id="63" w:name="_Key_initiatives_and"/>
      <w:bookmarkEnd w:id="63"/>
      <w:r w:rsidRPr="00532DAE">
        <w:lastRenderedPageBreak/>
        <w:t xml:space="preserve">Key </w:t>
      </w:r>
      <w:r w:rsidRPr="00010EB4">
        <w:t>initiatives</w:t>
      </w:r>
      <w:r w:rsidRPr="00532DAE">
        <w:t xml:space="preserve"> and projects</w:t>
      </w:r>
    </w:p>
    <w:p w14:paraId="7B80535E" w14:textId="3B3BA8ED" w:rsidR="0064038E" w:rsidRDefault="0064038E">
      <w:pPr>
        <w:pStyle w:val="Heading5"/>
        <w:rPr>
          <w:rFonts w:eastAsia="MS Mincho"/>
        </w:rPr>
      </w:pPr>
      <w:bookmarkStart w:id="64" w:name="_Hlk202092198"/>
      <w:bookmarkStart w:id="65" w:name="_Toc173830436"/>
      <w:r>
        <w:rPr>
          <w:rFonts w:eastAsia="MS Mincho"/>
        </w:rPr>
        <w:t>Embedding self-determination for Aboriginal children, young people and</w:t>
      </w:r>
      <w:r w:rsidR="00C10B0B">
        <w:rPr>
          <w:rFonts w:eastAsia="MS Mincho"/>
        </w:rPr>
        <w:t> </w:t>
      </w:r>
      <w:r>
        <w:rPr>
          <w:rFonts w:eastAsia="MS Mincho"/>
        </w:rPr>
        <w:t>families</w:t>
      </w:r>
    </w:p>
    <w:p w14:paraId="050B30EB" w14:textId="486493A1" w:rsidR="0064038E" w:rsidRPr="00C934E6" w:rsidRDefault="0014013A">
      <w:pPr>
        <w:pStyle w:val="ARbody"/>
      </w:pPr>
      <w:r>
        <w:t xml:space="preserve">In the </w:t>
      </w:r>
      <w:r w:rsidR="00301106">
        <w:t xml:space="preserve">Children portfolio we are </w:t>
      </w:r>
      <w:r w:rsidR="0064038E">
        <w:t>a</w:t>
      </w:r>
      <w:r w:rsidR="0064038E" w:rsidRPr="00C934E6">
        <w:t xml:space="preserve">dvancing </w:t>
      </w:r>
      <w:r w:rsidR="001774A8">
        <w:br/>
      </w:r>
      <w:r w:rsidR="0064038E" w:rsidRPr="00C934E6">
        <w:t>self-determination</w:t>
      </w:r>
      <w:r w:rsidR="0064038E">
        <w:t xml:space="preserve"> by implementing</w:t>
      </w:r>
      <w:r w:rsidR="0064038E" w:rsidRPr="00C934E6">
        <w:t xml:space="preserve"> the</w:t>
      </w:r>
      <w:r w:rsidR="001774A8">
        <w:t> </w:t>
      </w:r>
      <w:r w:rsidR="0064038E" w:rsidRPr="00E6224B">
        <w:rPr>
          <w:rStyle w:val="Emphasis"/>
        </w:rPr>
        <w:t>Children and Health Legislation Amendment (Statement of Recognition, Aboriginal Self-determination and Other Matters) Act 2023.</w:t>
      </w:r>
    </w:p>
    <w:p w14:paraId="19604CEA" w14:textId="2D7F8984" w:rsidR="0064038E" w:rsidRDefault="0064038E">
      <w:pPr>
        <w:pStyle w:val="ARbody"/>
        <w:rPr>
          <w:rStyle w:val="Emphasis"/>
          <w:i w:val="0"/>
          <w:iCs w:val="0"/>
          <w:szCs w:val="20"/>
        </w:rPr>
      </w:pPr>
      <w:r w:rsidRPr="00010EB4">
        <w:t>The Act came into effect on 1 July 2024. As part of our work</w:t>
      </w:r>
      <w:r w:rsidR="00D23249">
        <w:t xml:space="preserve"> to implement the </w:t>
      </w:r>
      <w:r w:rsidR="005218B9">
        <w:t>act</w:t>
      </w:r>
      <w:r w:rsidRPr="00010EB4">
        <w:t>, we revised existing initiatives that support Aboriginal self-determination. We developed new policy and guidance tools. This</w:t>
      </w:r>
      <w:r w:rsidR="002520E1">
        <w:t> </w:t>
      </w:r>
      <w:r w:rsidRPr="00010EB4">
        <w:t>includes</w:t>
      </w:r>
      <w:r w:rsidRPr="00E6224B">
        <w:t xml:space="preserve">: </w:t>
      </w:r>
    </w:p>
    <w:p w14:paraId="1E736090" w14:textId="396051D6" w:rsidR="0064038E" w:rsidRPr="00DA434D" w:rsidRDefault="0064038E" w:rsidP="00010EB4">
      <w:pPr>
        <w:pStyle w:val="ARbullet1"/>
        <w:rPr>
          <w:rStyle w:val="Emphasis"/>
        </w:rPr>
      </w:pPr>
      <w:r w:rsidRPr="00010EB4">
        <w:t xml:space="preserve">revising the </w:t>
      </w:r>
      <w:r w:rsidRPr="00DA434D">
        <w:rPr>
          <w:rStyle w:val="Emphasis"/>
        </w:rPr>
        <w:t>Child protection manual</w:t>
      </w:r>
    </w:p>
    <w:p w14:paraId="4B4C2697" w14:textId="132C17CD" w:rsidR="0064038E" w:rsidRPr="00010EB4" w:rsidRDefault="0064038E" w:rsidP="00010EB4">
      <w:pPr>
        <w:pStyle w:val="ARbullet1"/>
      </w:pPr>
      <w:r w:rsidRPr="00010EB4">
        <w:t>developing practice tools to support the Aboriginal Child Placement Principal</w:t>
      </w:r>
    </w:p>
    <w:p w14:paraId="43714420" w14:textId="31C52F2E" w:rsidR="0064038E" w:rsidRPr="00010EB4" w:rsidRDefault="0064038E" w:rsidP="00010EB4">
      <w:pPr>
        <w:pStyle w:val="ARbullet1"/>
      </w:pPr>
      <w:r w:rsidRPr="00010EB4">
        <w:t>developing guidance for applications in the Children’s Court</w:t>
      </w:r>
    </w:p>
    <w:p w14:paraId="6B4F4E39" w14:textId="74AFC808" w:rsidR="0064038E" w:rsidRPr="00641F2A" w:rsidRDefault="0064038E" w:rsidP="00010EB4">
      <w:pPr>
        <w:pStyle w:val="ARbullet1"/>
        <w:rPr>
          <w:rStyle w:val="Emphasis"/>
          <w:i w:val="0"/>
          <w:iCs w:val="0"/>
        </w:rPr>
      </w:pPr>
      <w:r w:rsidRPr="00010EB4">
        <w:t xml:space="preserve">developing practice advice for the </w:t>
      </w:r>
      <w:r w:rsidRPr="00E6224B">
        <w:rPr>
          <w:rStyle w:val="Emphasis"/>
        </w:rPr>
        <w:t>SAFER risk assessment framework.</w:t>
      </w:r>
    </w:p>
    <w:p w14:paraId="5C78CF4D" w14:textId="3320BEB7" w:rsidR="0064038E" w:rsidRDefault="0064038E">
      <w:pPr>
        <w:pStyle w:val="Heading5"/>
        <w:rPr>
          <w:rFonts w:eastAsia="MS Mincho"/>
        </w:rPr>
      </w:pPr>
      <w:proofErr w:type="spellStart"/>
      <w:r w:rsidRPr="00E0019D">
        <w:rPr>
          <w:rFonts w:eastAsia="MS Mincho"/>
        </w:rPr>
        <w:t>Wungurilwil</w:t>
      </w:r>
      <w:proofErr w:type="spellEnd"/>
      <w:r w:rsidRPr="00E0019D">
        <w:rPr>
          <w:rFonts w:eastAsia="MS Mincho"/>
        </w:rPr>
        <w:t xml:space="preserve"> </w:t>
      </w:r>
      <w:proofErr w:type="spellStart"/>
      <w:r w:rsidRPr="00E0019D">
        <w:rPr>
          <w:rFonts w:eastAsia="MS Mincho"/>
        </w:rPr>
        <w:t>Gapgapduir</w:t>
      </w:r>
      <w:proofErr w:type="spellEnd"/>
      <w:r w:rsidRPr="00E0019D">
        <w:rPr>
          <w:rFonts w:eastAsia="MS Mincho"/>
        </w:rPr>
        <w:t xml:space="preserve"> and Aboriginal Children’s Forum</w:t>
      </w:r>
    </w:p>
    <w:p w14:paraId="21B59AB6" w14:textId="37007DC3" w:rsidR="0064038E" w:rsidRPr="00852A5C" w:rsidRDefault="0064038E">
      <w:pPr>
        <w:pStyle w:val="ARbody"/>
        <w:rPr>
          <w:rFonts w:ascii="Segoe UI" w:hAnsi="Segoe UI" w:cs="Segoe UI"/>
          <w:sz w:val="18"/>
          <w:szCs w:val="18"/>
        </w:rPr>
      </w:pPr>
      <w:r w:rsidRPr="00852A5C">
        <w:t>The</w:t>
      </w:r>
      <w:r w:rsidRPr="00E6224B">
        <w:rPr>
          <w:rStyle w:val="Emphasis"/>
        </w:rPr>
        <w:t xml:space="preserve"> </w:t>
      </w:r>
      <w:proofErr w:type="spellStart"/>
      <w:r w:rsidRPr="00E6224B">
        <w:rPr>
          <w:rStyle w:val="Emphasis"/>
        </w:rPr>
        <w:t>Wungurilwil</w:t>
      </w:r>
      <w:proofErr w:type="spellEnd"/>
      <w:r w:rsidRPr="00E6224B">
        <w:rPr>
          <w:rStyle w:val="Emphasis"/>
        </w:rPr>
        <w:t xml:space="preserve"> </w:t>
      </w:r>
      <w:proofErr w:type="spellStart"/>
      <w:r w:rsidRPr="00E6224B">
        <w:rPr>
          <w:rStyle w:val="Emphasis"/>
        </w:rPr>
        <w:t>Gapgapduir</w:t>
      </w:r>
      <w:proofErr w:type="spellEnd"/>
      <w:r w:rsidRPr="00E6224B">
        <w:rPr>
          <w:rStyle w:val="Emphasis"/>
        </w:rPr>
        <w:t xml:space="preserve">: Aboriginal Children and Families Agreement </w:t>
      </w:r>
      <w:r w:rsidRPr="00852A5C">
        <w:t>offers a systemic approach</w:t>
      </w:r>
      <w:r>
        <w:t xml:space="preserve"> t</w:t>
      </w:r>
      <w:r w:rsidRPr="00852A5C">
        <w:t>o improv</w:t>
      </w:r>
      <w:r w:rsidR="00650B3D">
        <w:t>ing</w:t>
      </w:r>
      <w:r w:rsidRPr="00852A5C">
        <w:t xml:space="preserve"> outcomes for Aboriginal children, young people and families</w:t>
      </w:r>
      <w:r>
        <w:t>.</w:t>
      </w:r>
      <w:r w:rsidRPr="00852A5C">
        <w:t xml:space="preserve"> </w:t>
      </w:r>
      <w:r>
        <w:t>It</w:t>
      </w:r>
      <w:r w:rsidR="00D57F62">
        <w:t> </w:t>
      </w:r>
      <w:r>
        <w:t xml:space="preserve">sets out </w:t>
      </w:r>
      <w:r w:rsidRPr="00852A5C">
        <w:t xml:space="preserve">our collective responsibility to </w:t>
      </w:r>
      <w:r>
        <w:t>develop</w:t>
      </w:r>
      <w:r w:rsidRPr="00852A5C">
        <w:t xml:space="preserve"> a</w:t>
      </w:r>
      <w:r w:rsidR="00D57F62">
        <w:t> </w:t>
      </w:r>
      <w:r w:rsidRPr="00852A5C">
        <w:t>strong service system.</w:t>
      </w:r>
    </w:p>
    <w:p w14:paraId="4EFCF482" w14:textId="475DDAA9" w:rsidR="0064038E" w:rsidRPr="00852A5C" w:rsidRDefault="0064038E">
      <w:pPr>
        <w:pStyle w:val="ARbody"/>
        <w:rPr>
          <w:szCs w:val="20"/>
        </w:rPr>
      </w:pPr>
      <w:r w:rsidRPr="00852A5C">
        <w:rPr>
          <w:szCs w:val="20"/>
        </w:rPr>
        <w:t xml:space="preserve">The Aboriginal Children’s Forum (ACF) has developed a refreshed </w:t>
      </w:r>
      <w:r>
        <w:rPr>
          <w:szCs w:val="20"/>
        </w:rPr>
        <w:t>4</w:t>
      </w:r>
      <w:r w:rsidRPr="00852A5C">
        <w:rPr>
          <w:szCs w:val="20"/>
        </w:rPr>
        <w:t xml:space="preserve">-year </w:t>
      </w:r>
      <w:proofErr w:type="spellStart"/>
      <w:r w:rsidRPr="00E6224B">
        <w:rPr>
          <w:rStyle w:val="Emphasis"/>
        </w:rPr>
        <w:t>Wungurilwil</w:t>
      </w:r>
      <w:proofErr w:type="spellEnd"/>
      <w:r w:rsidRPr="00E6224B">
        <w:rPr>
          <w:rStyle w:val="Emphasis"/>
        </w:rPr>
        <w:t xml:space="preserve"> </w:t>
      </w:r>
      <w:proofErr w:type="spellStart"/>
      <w:r w:rsidRPr="00E6224B">
        <w:rPr>
          <w:rStyle w:val="Emphasis"/>
        </w:rPr>
        <w:t>Gapgapduir</w:t>
      </w:r>
      <w:proofErr w:type="spellEnd"/>
      <w:r w:rsidRPr="00E6224B">
        <w:rPr>
          <w:rStyle w:val="Emphasis"/>
        </w:rPr>
        <w:t xml:space="preserve"> strategic action plan</w:t>
      </w:r>
      <w:r>
        <w:rPr>
          <w:szCs w:val="20"/>
        </w:rPr>
        <w:t>. Actions will</w:t>
      </w:r>
      <w:r w:rsidRPr="00852A5C">
        <w:rPr>
          <w:szCs w:val="20"/>
        </w:rPr>
        <w:t xml:space="preserve"> advance an Aboriginal-led child and family services</w:t>
      </w:r>
      <w:r w:rsidR="00D57F62">
        <w:rPr>
          <w:szCs w:val="20"/>
        </w:rPr>
        <w:t> </w:t>
      </w:r>
      <w:r w:rsidRPr="00852A5C">
        <w:rPr>
          <w:szCs w:val="20"/>
        </w:rPr>
        <w:t>system.</w:t>
      </w:r>
    </w:p>
    <w:p w14:paraId="593D0880" w14:textId="661AAD04" w:rsidR="0064038E" w:rsidRPr="00852A5C" w:rsidRDefault="0064038E">
      <w:pPr>
        <w:pStyle w:val="ARbody"/>
        <w:rPr>
          <w:szCs w:val="20"/>
        </w:rPr>
      </w:pPr>
      <w:r w:rsidRPr="00852A5C">
        <w:rPr>
          <w:szCs w:val="20"/>
        </w:rPr>
        <w:t xml:space="preserve">As part of the refresh, </w:t>
      </w:r>
      <w:r>
        <w:rPr>
          <w:szCs w:val="20"/>
        </w:rPr>
        <w:t>ACCOs have led the process to set the</w:t>
      </w:r>
      <w:r w:rsidRPr="00852A5C">
        <w:rPr>
          <w:szCs w:val="20"/>
        </w:rPr>
        <w:t xml:space="preserve"> ACF agenda</w:t>
      </w:r>
      <w:r>
        <w:rPr>
          <w:szCs w:val="20"/>
        </w:rPr>
        <w:t>.</w:t>
      </w:r>
      <w:r w:rsidRPr="00852A5C">
        <w:rPr>
          <w:szCs w:val="20"/>
        </w:rPr>
        <w:t xml:space="preserve"> The Victorian Aboriginal Children and Young People’s Alliance (VACYPA), alongside the Victorian Aboriginal Child and Community Agency (VACCA), co-chair the AC</w:t>
      </w:r>
      <w:r>
        <w:rPr>
          <w:szCs w:val="20"/>
        </w:rPr>
        <w:t>F. They</w:t>
      </w:r>
      <w:r w:rsidRPr="00852A5C">
        <w:rPr>
          <w:szCs w:val="20"/>
        </w:rPr>
        <w:t xml:space="preserve"> play a pivotal role in the oversight and delivery of Aboriginal child and family services. </w:t>
      </w:r>
    </w:p>
    <w:p w14:paraId="157BF836" w14:textId="286C58CF" w:rsidR="0064038E" w:rsidRDefault="0064038E">
      <w:pPr>
        <w:pStyle w:val="ARbody"/>
        <w:rPr>
          <w:rFonts w:eastAsiaTheme="minorEastAsia"/>
          <w:szCs w:val="20"/>
        </w:rPr>
      </w:pPr>
      <w:r w:rsidRPr="00852A5C">
        <w:rPr>
          <w:szCs w:val="20"/>
        </w:rPr>
        <w:t>I</w:t>
      </w:r>
      <w:r w:rsidRPr="00852A5C">
        <w:rPr>
          <w:rFonts w:eastAsiaTheme="minorEastAsia"/>
          <w:szCs w:val="20"/>
        </w:rPr>
        <w:t>n collaboration with the ACF, the department has continued significant reform to expand Aboriginal-led child and family services.</w:t>
      </w:r>
    </w:p>
    <w:p w14:paraId="4FEDDDB3" w14:textId="0A413E29" w:rsidR="0064038E" w:rsidRPr="002F0DC7" w:rsidRDefault="00010EB4" w:rsidP="00010EB4">
      <w:pPr>
        <w:pStyle w:val="Heading5"/>
      </w:pPr>
      <w:r>
        <w:rPr>
          <w:rFonts w:eastAsiaTheme="minorEastAsia"/>
          <w:szCs w:val="20"/>
        </w:rPr>
        <w:br w:type="column"/>
      </w:r>
      <w:r w:rsidR="0064038E" w:rsidRPr="002F0DC7">
        <w:t xml:space="preserve">Aboriginal Children </w:t>
      </w:r>
      <w:r w:rsidR="00E032DD">
        <w:t>in</w:t>
      </w:r>
      <w:r w:rsidR="00E032DD" w:rsidRPr="002F0DC7">
        <w:t xml:space="preserve"> </w:t>
      </w:r>
      <w:r w:rsidR="0064038E" w:rsidRPr="002F0DC7">
        <w:t xml:space="preserve">Aboriginal Care and Community Protecting </w:t>
      </w:r>
      <w:proofErr w:type="spellStart"/>
      <w:r w:rsidR="0064038E" w:rsidRPr="002F0DC7">
        <w:t>Boorais</w:t>
      </w:r>
      <w:proofErr w:type="spellEnd"/>
    </w:p>
    <w:p w14:paraId="735EEAB3" w14:textId="72554FD0" w:rsidR="0064038E" w:rsidRPr="002F0DC7" w:rsidRDefault="0064038E">
      <w:pPr>
        <w:pStyle w:val="ARbody"/>
      </w:pPr>
      <w:r w:rsidRPr="002F0DC7">
        <w:t>Aboriginal Children in Aboriginal Care (ACAC) is a program for Aboriginal children and families involved with the child protection system</w:t>
      </w:r>
      <w:r>
        <w:t xml:space="preserve">. Under the program, </w:t>
      </w:r>
      <w:r w:rsidRPr="002F0DC7">
        <w:t>authorised ACCOs provide child safety services</w:t>
      </w:r>
      <w:r>
        <w:t>. They do this</w:t>
      </w:r>
      <w:r w:rsidRPr="002F0DC7">
        <w:t xml:space="preserve"> instead of the </w:t>
      </w:r>
      <w:r>
        <w:t>department</w:t>
      </w:r>
      <w:r w:rsidRPr="002F0DC7">
        <w:t>.</w:t>
      </w:r>
    </w:p>
    <w:p w14:paraId="1B5ECA98" w14:textId="196EF03B" w:rsidR="0064038E" w:rsidRPr="000818DE" w:rsidRDefault="0064038E">
      <w:pPr>
        <w:pStyle w:val="ARbody"/>
      </w:pPr>
      <w:r>
        <w:t>U</w:t>
      </w:r>
      <w:r w:rsidRPr="002F0DC7">
        <w:t xml:space="preserve">nder </w:t>
      </w:r>
      <w:r>
        <w:t xml:space="preserve">s. </w:t>
      </w:r>
      <w:r w:rsidRPr="002F0DC7">
        <w:t xml:space="preserve">18 of the </w:t>
      </w:r>
      <w:r w:rsidRPr="00E6224B">
        <w:rPr>
          <w:rStyle w:val="Emphasis"/>
        </w:rPr>
        <w:t xml:space="preserve">Children, Youth and Families Act 2005, </w:t>
      </w:r>
      <w:r w:rsidRPr="002F0DC7">
        <w:t xml:space="preserve">authorised ACCOs </w:t>
      </w:r>
      <w:r>
        <w:t>have</w:t>
      </w:r>
      <w:r w:rsidRPr="002F0DC7">
        <w:t xml:space="preserve"> legal responsibility for Aboriginal children or young people who have been placed on a Children’s Court protection order</w:t>
      </w:r>
      <w:r>
        <w:t xml:space="preserve"> or relevant order</w:t>
      </w:r>
      <w:r w:rsidRPr="000818DE">
        <w:t>.</w:t>
      </w:r>
    </w:p>
    <w:p w14:paraId="1E8EDC8C" w14:textId="5002B537" w:rsidR="0064038E" w:rsidRPr="000818DE" w:rsidRDefault="0064038E">
      <w:pPr>
        <w:pStyle w:val="ARbody"/>
      </w:pPr>
      <w:r w:rsidRPr="000818DE">
        <w:t>In 2024</w:t>
      </w:r>
      <w:r>
        <w:t>–2</w:t>
      </w:r>
      <w:r w:rsidRPr="000818DE">
        <w:t>5, the ACAC program has:</w:t>
      </w:r>
    </w:p>
    <w:p w14:paraId="69AFAA98" w14:textId="39A3D5EC" w:rsidR="0064038E" w:rsidRPr="00343DA0" w:rsidRDefault="0064038E" w:rsidP="00F375A6">
      <w:pPr>
        <w:pStyle w:val="ARbullet1"/>
        <w:numPr>
          <w:ilvl w:val="0"/>
          <w:numId w:val="22"/>
        </w:numPr>
      </w:pPr>
      <w:r w:rsidRPr="00343DA0">
        <w:t xml:space="preserve">allocated an additional </w:t>
      </w:r>
      <w:r w:rsidR="00C91594">
        <w:t>4</w:t>
      </w:r>
      <w:r w:rsidRPr="00343DA0">
        <w:t xml:space="preserve"> teams across the state</w:t>
      </w:r>
      <w:r>
        <w:t>. This allowed us</w:t>
      </w:r>
      <w:r w:rsidRPr="00343DA0">
        <w:t xml:space="preserve"> to provide services to an additional 1</w:t>
      </w:r>
      <w:r w:rsidR="00C91594">
        <w:t>44</w:t>
      </w:r>
      <w:r w:rsidRPr="00343DA0">
        <w:t xml:space="preserve"> children</w:t>
      </w:r>
    </w:p>
    <w:p w14:paraId="13306ADA" w14:textId="07A41ABF" w:rsidR="0064038E" w:rsidRPr="00343DA0" w:rsidRDefault="0064038E" w:rsidP="00F375A6">
      <w:pPr>
        <w:pStyle w:val="ARbullet1"/>
        <w:numPr>
          <w:ilvl w:val="0"/>
          <w:numId w:val="22"/>
        </w:numPr>
      </w:pPr>
      <w:r w:rsidRPr="00343DA0">
        <w:t xml:space="preserve">seen </w:t>
      </w:r>
      <w:proofErr w:type="spellStart"/>
      <w:r w:rsidRPr="00343DA0">
        <w:t>Rumbalara</w:t>
      </w:r>
      <w:proofErr w:type="spellEnd"/>
      <w:r w:rsidRPr="00343DA0">
        <w:t xml:space="preserve"> Aboriginal Cooperative become the fourth ACCO to be fully authorised to deliver the ACAC program</w:t>
      </w:r>
    </w:p>
    <w:p w14:paraId="437FFAAC" w14:textId="277819C4" w:rsidR="0064038E" w:rsidRPr="002313E9" w:rsidRDefault="0064038E" w:rsidP="00F375A6">
      <w:pPr>
        <w:pStyle w:val="ARbullet1"/>
        <w:numPr>
          <w:ilvl w:val="0"/>
          <w:numId w:val="22"/>
        </w:numPr>
      </w:pPr>
      <w:r>
        <w:t>c</w:t>
      </w:r>
      <w:r w:rsidRPr="00343DA0">
        <w:t xml:space="preserve">ommenced the ACAC pre-authorisation phase at Gippsland and East Gippsland Aboriginal Cooperative and Goolum </w:t>
      </w:r>
      <w:proofErr w:type="spellStart"/>
      <w:r w:rsidRPr="00343DA0">
        <w:t>Goolum</w:t>
      </w:r>
      <w:proofErr w:type="spellEnd"/>
      <w:r w:rsidRPr="00343DA0">
        <w:t xml:space="preserve"> Aboriginal</w:t>
      </w:r>
      <w:r w:rsidR="00010EB4">
        <w:t> </w:t>
      </w:r>
      <w:r w:rsidRPr="00343DA0">
        <w:t>Cooperative.</w:t>
      </w:r>
      <w:r w:rsidRPr="002313E9">
        <w:t xml:space="preserve"> </w:t>
      </w:r>
    </w:p>
    <w:p w14:paraId="1FC06B48" w14:textId="03E3B054" w:rsidR="0064038E" w:rsidRPr="0008638E" w:rsidRDefault="0064038E" w:rsidP="00010EB4">
      <w:pPr>
        <w:pStyle w:val="ARbodyafterbullets"/>
        <w:rPr>
          <w:highlight w:val="cyan"/>
        </w:rPr>
      </w:pPr>
      <w:r w:rsidRPr="00065A8E">
        <w:t xml:space="preserve">The Australian-first Community Protecting </w:t>
      </w:r>
      <w:proofErr w:type="spellStart"/>
      <w:r w:rsidRPr="00065A8E">
        <w:t>Boorais</w:t>
      </w:r>
      <w:proofErr w:type="spellEnd"/>
      <w:r w:rsidRPr="00065A8E">
        <w:t xml:space="preserve"> (CPB) program</w:t>
      </w:r>
      <w:r w:rsidRPr="00065A8E" w:rsidDel="008A10DD">
        <w:t xml:space="preserve"> </w:t>
      </w:r>
      <w:r w:rsidRPr="00010EB4">
        <w:t>continued</w:t>
      </w:r>
      <w:r w:rsidRPr="00065A8E">
        <w:t xml:space="preserve"> </w:t>
      </w:r>
      <w:r>
        <w:t>during</w:t>
      </w:r>
      <w:r w:rsidRPr="00065A8E">
        <w:t xml:space="preserve"> 2024</w:t>
      </w:r>
      <w:r>
        <w:t>–</w:t>
      </w:r>
      <w:r w:rsidRPr="00065A8E">
        <w:t>25. The program expands the scope of the ACAC program</w:t>
      </w:r>
      <w:r>
        <w:t xml:space="preserve">. This includes allowing </w:t>
      </w:r>
      <w:r w:rsidRPr="00065A8E">
        <w:t>ACCOs to respond to child protection reports</w:t>
      </w:r>
      <w:r>
        <w:t>. This diverts</w:t>
      </w:r>
      <w:r w:rsidRPr="00065A8E">
        <w:t xml:space="preserve"> Aboriginal families from the child protection system. </w:t>
      </w:r>
    </w:p>
    <w:p w14:paraId="33E077FB" w14:textId="77777777" w:rsidR="0064038E" w:rsidRPr="00343DA0" w:rsidRDefault="0064038E">
      <w:pPr>
        <w:pStyle w:val="Heading5"/>
      </w:pPr>
      <w:r w:rsidRPr="00343DA0">
        <w:t>Continuing to support children, young people and families through ongoing system reform</w:t>
      </w:r>
    </w:p>
    <w:p w14:paraId="4567B552" w14:textId="28E5649A" w:rsidR="0064038E" w:rsidRPr="00343DA0" w:rsidRDefault="0064038E">
      <w:pPr>
        <w:pStyle w:val="ARbody"/>
      </w:pPr>
      <w:r w:rsidRPr="00343DA0">
        <w:t>In 2023, Victoria established the Children portfolio</w:t>
      </w:r>
      <w:r>
        <w:t>. The portfolio</w:t>
      </w:r>
      <w:r w:rsidRPr="00343DA0">
        <w:t xml:space="preserve"> improve</w:t>
      </w:r>
      <w:r>
        <w:t>s</w:t>
      </w:r>
      <w:r w:rsidRPr="00343DA0">
        <w:t xml:space="preserve"> equity, access and outcomes for Victorian children and families</w:t>
      </w:r>
      <w:r>
        <w:t>. It brings t</w:t>
      </w:r>
      <w:r w:rsidRPr="00343DA0">
        <w:t xml:space="preserve">ogether Maternal and Child Health, Early Childhood Education and statutory and non-statutory Child and Family Services. </w:t>
      </w:r>
    </w:p>
    <w:p w14:paraId="36A3DC29" w14:textId="56BC5F28" w:rsidR="00010EB4" w:rsidRDefault="0064038E">
      <w:pPr>
        <w:pStyle w:val="ARbody"/>
      </w:pPr>
      <w:r>
        <w:t xml:space="preserve">The portfolio </w:t>
      </w:r>
      <w:r w:rsidRPr="00343DA0">
        <w:t>support</w:t>
      </w:r>
      <w:r>
        <w:t>s</w:t>
      </w:r>
      <w:r w:rsidRPr="00343DA0">
        <w:t xml:space="preserve"> children, young people and families</w:t>
      </w:r>
      <w:r>
        <w:t xml:space="preserve">. It works </w:t>
      </w:r>
      <w:r w:rsidRPr="00343DA0">
        <w:t>with communities, the child protection and family services secto</w:t>
      </w:r>
      <w:r>
        <w:t>r,</w:t>
      </w:r>
      <w:r w:rsidRPr="00343DA0">
        <w:t xml:space="preserve"> and people with lived experience.</w:t>
      </w:r>
      <w:r w:rsidR="00010EB4">
        <w:br w:type="page"/>
      </w:r>
    </w:p>
    <w:bookmarkEnd w:id="64"/>
    <w:p w14:paraId="4741F4C6" w14:textId="0BE2178D" w:rsidR="0064038E" w:rsidRPr="00965FB8" w:rsidRDefault="0064038E">
      <w:pPr>
        <w:pStyle w:val="Heading5"/>
      </w:pPr>
      <w:r w:rsidRPr="00965FB8">
        <w:lastRenderedPageBreak/>
        <w:t>Victorian Redress for Historical</w:t>
      </w:r>
      <w:r>
        <w:t xml:space="preserve"> Institutional</w:t>
      </w:r>
      <w:r w:rsidRPr="00965FB8">
        <w:t xml:space="preserve"> Abuse and</w:t>
      </w:r>
      <w:r>
        <w:t xml:space="preserve"> </w:t>
      </w:r>
      <w:r w:rsidRPr="00965FB8">
        <w:t xml:space="preserve">National Redress </w:t>
      </w:r>
    </w:p>
    <w:p w14:paraId="48582EA4" w14:textId="5D5292E1" w:rsidR="0064038E" w:rsidRDefault="0064038E">
      <w:pPr>
        <w:pStyle w:val="ARbody"/>
      </w:pPr>
      <w:r w:rsidRPr="008200B1">
        <w:t>Applications for Redress for Historical Institutional Abuse opened on 10 December 2024</w:t>
      </w:r>
      <w:r w:rsidR="006730AD">
        <w:t xml:space="preserve">. </w:t>
      </w:r>
      <w:r w:rsidR="007D4378">
        <w:t>The program</w:t>
      </w:r>
      <w:r w:rsidR="006730AD">
        <w:t xml:space="preserve"> is</w:t>
      </w:r>
      <w:r w:rsidR="00F36C00">
        <w:t xml:space="preserve"> </w:t>
      </w:r>
      <w:r w:rsidRPr="008200B1">
        <w:t xml:space="preserve">for people who were physically, psychologically or emotionally abused or neglected as children in institutional settings before 1990. </w:t>
      </w:r>
    </w:p>
    <w:p w14:paraId="3CBFAC71" w14:textId="0D94EC23" w:rsidR="0064038E" w:rsidRPr="008200B1" w:rsidRDefault="0064038E">
      <w:pPr>
        <w:pStyle w:val="ARbody"/>
      </w:pPr>
      <w:r w:rsidRPr="008200B1">
        <w:t xml:space="preserve">The </w:t>
      </w:r>
      <w:r w:rsidRPr="00DA434D">
        <w:rPr>
          <w:rStyle w:val="Emphasis"/>
        </w:rPr>
        <w:t>2024–25 State Budget</w:t>
      </w:r>
      <w:r w:rsidRPr="008200B1">
        <w:t xml:space="preserve"> committed $165 million to deliver </w:t>
      </w:r>
      <w:r w:rsidR="002D0A17">
        <w:t>R</w:t>
      </w:r>
      <w:r w:rsidRPr="008200B1">
        <w:t xml:space="preserve">edress. </w:t>
      </w:r>
    </w:p>
    <w:p w14:paraId="204751C8" w14:textId="4A4F83BD" w:rsidR="0064038E" w:rsidRPr="008200B1" w:rsidRDefault="0064038E">
      <w:pPr>
        <w:pStyle w:val="ARbody"/>
      </w:pPr>
      <w:r w:rsidRPr="008200B1">
        <w:t xml:space="preserve">The department </w:t>
      </w:r>
      <w:r>
        <w:t>provides</w:t>
      </w:r>
      <w:r w:rsidRPr="008200B1">
        <w:t xml:space="preserve"> the statewide Counselling and Psychological Care Service Victoria and the Victorian Government Direct Personal Response Program</w:t>
      </w:r>
      <w:r>
        <w:t>. These are</w:t>
      </w:r>
      <w:r w:rsidRPr="008200B1">
        <w:t xml:space="preserve"> for people who experienced institutional child sexual abuse.</w:t>
      </w:r>
      <w:r>
        <w:t xml:space="preserve"> This is part of National Redress.</w:t>
      </w:r>
    </w:p>
    <w:p w14:paraId="6B191A41" w14:textId="77777777" w:rsidR="0064038E" w:rsidRPr="008740D6" w:rsidRDefault="0064038E">
      <w:pPr>
        <w:pStyle w:val="Heading5"/>
        <w:rPr>
          <w:rFonts w:eastAsia="MS Mincho"/>
        </w:rPr>
      </w:pPr>
      <w:r w:rsidRPr="008740D6">
        <w:rPr>
          <w:rFonts w:eastAsia="MS Mincho"/>
        </w:rPr>
        <w:t>Preventing child sexual exploitation</w:t>
      </w:r>
    </w:p>
    <w:p w14:paraId="3D111D16" w14:textId="77777777" w:rsidR="0064038E" w:rsidRPr="00A915D5" w:rsidRDefault="0064038E">
      <w:pPr>
        <w:pStyle w:val="ARbody"/>
      </w:pPr>
      <w:r w:rsidRPr="00A915D5">
        <w:t xml:space="preserve">The </w:t>
      </w:r>
      <w:r w:rsidRPr="00E6224B">
        <w:rPr>
          <w:rStyle w:val="Emphasis"/>
        </w:rPr>
        <w:t>2023–24 State Budget</w:t>
      </w:r>
      <w:r w:rsidRPr="00A915D5">
        <w:t xml:space="preserve"> allocated $13.4 million over 4 years</w:t>
      </w:r>
      <w:r w:rsidRPr="00A915D5">
        <w:rPr>
          <w:b/>
          <w:bCs/>
        </w:rPr>
        <w:t xml:space="preserve"> </w:t>
      </w:r>
      <w:r w:rsidRPr="00A915D5">
        <w:t>to target child sexual exploitation.</w:t>
      </w:r>
    </w:p>
    <w:p w14:paraId="371648BC" w14:textId="77777777" w:rsidR="003567F0" w:rsidRPr="003567F0" w:rsidRDefault="003567F0" w:rsidP="003567F0">
      <w:pPr>
        <w:pStyle w:val="ARbody"/>
      </w:pPr>
      <w:r w:rsidRPr="003567F0">
        <w:t>The investment has established a dedicated centralised Child Sexual Exploitation Response Team. This team works alongside sexual exploitation practice leaders to identify and respond to child sexual exploitation. The centralised team provides professional development, updated practice guidance and tactical intelligence support.</w:t>
      </w:r>
    </w:p>
    <w:p w14:paraId="09CEDC2E" w14:textId="62BB9964" w:rsidR="0064038E" w:rsidRDefault="0064038E">
      <w:pPr>
        <w:pStyle w:val="ARbody"/>
      </w:pPr>
      <w:r>
        <w:t>In 2024–25, t</w:t>
      </w:r>
      <w:r w:rsidRPr="00A915D5">
        <w:t>he department and Victoria Police continue</w:t>
      </w:r>
      <w:r>
        <w:t>d</w:t>
      </w:r>
      <w:r w:rsidRPr="00A915D5">
        <w:t xml:space="preserve"> work on a joint statewide operating model for responding to child sexual exploitation. </w:t>
      </w:r>
      <w:r>
        <w:t>As part of this work, we scoped j</w:t>
      </w:r>
      <w:r w:rsidRPr="00A915D5">
        <w:t>oint intelligence</w:t>
      </w:r>
      <w:r>
        <w:t>-</w:t>
      </w:r>
      <w:r w:rsidRPr="00A915D5">
        <w:t>sharing and response practices</w:t>
      </w:r>
      <w:r>
        <w:t>.</w:t>
      </w:r>
      <w:r w:rsidRPr="00A915D5">
        <w:t xml:space="preserve"> </w:t>
      </w:r>
      <w:r>
        <w:t>We also activated the</w:t>
      </w:r>
      <w:r w:rsidRPr="00A915D5">
        <w:t xml:space="preserve"> first phase </w:t>
      </w:r>
      <w:r>
        <w:t xml:space="preserve">of </w:t>
      </w:r>
      <w:r w:rsidRPr="00A915D5">
        <w:t>information technology upgrades to the department’s client data system</w:t>
      </w:r>
      <w:r>
        <w:t>.</w:t>
      </w:r>
    </w:p>
    <w:p w14:paraId="5FE189E1" w14:textId="43D99AE7" w:rsidR="0064038E" w:rsidRPr="007F487D" w:rsidRDefault="0064038E" w:rsidP="00010EB4">
      <w:pPr>
        <w:pStyle w:val="Heading5"/>
      </w:pPr>
      <w:r w:rsidRPr="007F487D">
        <w:t>Improving outcomes for children and young people in c</w:t>
      </w:r>
      <w:r w:rsidRPr="007F487D" w:rsidDel="00DF5819">
        <w:t xml:space="preserve">are </w:t>
      </w:r>
    </w:p>
    <w:p w14:paraId="6A736D47" w14:textId="77777777" w:rsidR="0064038E" w:rsidRPr="00E6224B" w:rsidRDefault="0064038E">
      <w:pPr>
        <w:pStyle w:val="Heading6"/>
        <w:rPr>
          <w:rFonts w:eastAsia="Times"/>
        </w:rPr>
      </w:pPr>
      <w:bookmarkStart w:id="66" w:name="_Toc173830452"/>
      <w:r w:rsidRPr="002D4753">
        <w:rPr>
          <w:rFonts w:eastAsia="Times"/>
        </w:rPr>
        <w:t>Education</w:t>
      </w:r>
      <w:r w:rsidRPr="007F487D">
        <w:rPr>
          <w:rFonts w:eastAsia="Times"/>
        </w:rPr>
        <w:t xml:space="preserve"> support for children in care</w:t>
      </w:r>
      <w:bookmarkEnd w:id="66"/>
    </w:p>
    <w:p w14:paraId="69343640" w14:textId="4E94298B" w:rsidR="0064038E" w:rsidRPr="00D02EE4" w:rsidRDefault="0064038E">
      <w:pPr>
        <w:pStyle w:val="ARbody"/>
      </w:pPr>
      <w:r w:rsidRPr="00D02EE4">
        <w:t>In 2023</w:t>
      </w:r>
      <w:r>
        <w:t>–</w:t>
      </w:r>
      <w:r w:rsidRPr="00D02EE4">
        <w:t>24</w:t>
      </w:r>
      <w:r>
        <w:t>,</w:t>
      </w:r>
      <w:r w:rsidRPr="00D02EE4">
        <w:t xml:space="preserve"> the government invested $10.7 million to support 500 children and young people in care with their education. Education Supports for Children in Care provides one-on-one tutoring </w:t>
      </w:r>
      <w:r>
        <w:t>from</w:t>
      </w:r>
      <w:r w:rsidRPr="00D02EE4">
        <w:t xml:space="preserve"> a qualified teacher</w:t>
      </w:r>
      <w:r>
        <w:t>.</w:t>
      </w:r>
      <w:r w:rsidRPr="00D02EE4">
        <w:t xml:space="preserve"> </w:t>
      </w:r>
      <w:r>
        <w:t xml:space="preserve">It is for </w:t>
      </w:r>
      <w:r w:rsidRPr="00D02EE4">
        <w:t xml:space="preserve">children and young people in care who are disengaged or at risk of disengaging from education. </w:t>
      </w:r>
    </w:p>
    <w:p w14:paraId="396079EE" w14:textId="0E186F9B" w:rsidR="0064038E" w:rsidRDefault="0064038E">
      <w:pPr>
        <w:pStyle w:val="ARbody"/>
      </w:pPr>
      <w:r>
        <w:t>The program</w:t>
      </w:r>
      <w:r w:rsidRPr="00D02EE4">
        <w:t xml:space="preserve"> </w:t>
      </w:r>
      <w:r>
        <w:t xml:space="preserve">started </w:t>
      </w:r>
      <w:r w:rsidRPr="00D02EE4">
        <w:t>in late 2024</w:t>
      </w:r>
      <w:r>
        <w:t>.</w:t>
      </w:r>
      <w:r w:rsidRPr="00D02EE4">
        <w:t xml:space="preserve"> </w:t>
      </w:r>
      <w:r>
        <w:t xml:space="preserve">In </w:t>
      </w:r>
      <w:r w:rsidRPr="00D02EE4">
        <w:t>June 2025</w:t>
      </w:r>
      <w:r>
        <w:t xml:space="preserve">, it </w:t>
      </w:r>
      <w:r w:rsidRPr="00D02EE4">
        <w:t xml:space="preserve">was supporting 418 young people across the </w:t>
      </w:r>
      <w:r>
        <w:t>4</w:t>
      </w:r>
      <w:r w:rsidRPr="00D02EE4">
        <w:t xml:space="preserve"> pilot locations</w:t>
      </w:r>
      <w:r>
        <w:t>. These are</w:t>
      </w:r>
      <w:r w:rsidRPr="00D02EE4">
        <w:t xml:space="preserve"> Central Highlands, </w:t>
      </w:r>
      <w:proofErr w:type="gramStart"/>
      <w:r w:rsidRPr="00D02EE4">
        <w:t>North Eastern</w:t>
      </w:r>
      <w:proofErr w:type="gramEnd"/>
      <w:r w:rsidRPr="00D02EE4">
        <w:t xml:space="preserve"> Melbourne, Outer Eastern Melbourne and Inner Gippsland</w:t>
      </w:r>
      <w:r w:rsidRPr="00D02EE4" w:rsidDel="003E00BF">
        <w:t xml:space="preserve">. </w:t>
      </w:r>
      <w:r w:rsidR="000F55CB">
        <w:br w:type="column"/>
      </w:r>
      <w:r w:rsidRPr="00D02EE4">
        <w:t xml:space="preserve">An </w:t>
      </w:r>
      <w:r>
        <w:t>ACCO</w:t>
      </w:r>
      <w:r w:rsidRPr="00D02EE4">
        <w:t xml:space="preserve"> </w:t>
      </w:r>
      <w:r>
        <w:t>works in 3 of the 4</w:t>
      </w:r>
      <w:r w:rsidRPr="00D02EE4">
        <w:t xml:space="preserve"> pilot areas. </w:t>
      </w:r>
    </w:p>
    <w:p w14:paraId="3B58FCAC" w14:textId="537F8FE6" w:rsidR="0064038E" w:rsidRDefault="0064038E">
      <w:pPr>
        <w:pStyle w:val="ARbody"/>
      </w:pPr>
      <w:r w:rsidRPr="00D02EE4">
        <w:t xml:space="preserve">Funding for the pilots in all </w:t>
      </w:r>
      <w:r>
        <w:t>4</w:t>
      </w:r>
      <w:r w:rsidRPr="00D02EE4">
        <w:t xml:space="preserve"> areas has been extended to December 2027.</w:t>
      </w:r>
    </w:p>
    <w:p w14:paraId="5F762707" w14:textId="75AAF5F2" w:rsidR="00DE30FC" w:rsidRPr="00D02EE4" w:rsidRDefault="00DE30FC">
      <w:pPr>
        <w:pStyle w:val="ARbody"/>
      </w:pPr>
      <w:r w:rsidRPr="00D02EE4">
        <w:t xml:space="preserve">This initiative is being delivered in collaboration with the Department of </w:t>
      </w:r>
      <w:r>
        <w:t>Education</w:t>
      </w:r>
      <w:r w:rsidRPr="00D02EE4">
        <w:t>.</w:t>
      </w:r>
    </w:p>
    <w:p w14:paraId="5FE22B7F" w14:textId="77777777" w:rsidR="0064038E" w:rsidRPr="007F487D" w:rsidRDefault="0064038E">
      <w:pPr>
        <w:pStyle w:val="Heading6"/>
      </w:pPr>
      <w:bookmarkStart w:id="67" w:name="_Toc173830453"/>
      <w:r w:rsidRPr="007F487D">
        <w:t xml:space="preserve">Pathways to Good </w:t>
      </w:r>
      <w:r w:rsidRPr="002D4753">
        <w:t>Health</w:t>
      </w:r>
      <w:bookmarkEnd w:id="67"/>
    </w:p>
    <w:p w14:paraId="02AB9F40" w14:textId="7B5836D8" w:rsidR="0064038E" w:rsidRDefault="0064038E">
      <w:pPr>
        <w:pStyle w:val="ARbody"/>
      </w:pPr>
      <w:r w:rsidRPr="00D02EE4">
        <w:t xml:space="preserve">The </w:t>
      </w:r>
      <w:r w:rsidRPr="00E6224B">
        <w:rPr>
          <w:rStyle w:val="Emphasis"/>
        </w:rPr>
        <w:t>2023–24 State Budget invested</w:t>
      </w:r>
      <w:r w:rsidRPr="00D02EE4">
        <w:t xml:space="preserve"> $37.8 million over 4 years in the Pathway to Good Health program</w:t>
      </w:r>
      <w:r>
        <w:t xml:space="preserve">. The </w:t>
      </w:r>
      <w:r w:rsidRPr="00D02EE4">
        <w:t>Department of Health</w:t>
      </w:r>
      <w:r>
        <w:t xml:space="preserve"> leads this work</w:t>
      </w:r>
      <w:r w:rsidRPr="00D02EE4">
        <w:t xml:space="preserve">. </w:t>
      </w:r>
    </w:p>
    <w:p w14:paraId="0D09143F" w14:textId="7C86D800" w:rsidR="0064038E" w:rsidRDefault="0064038E">
      <w:pPr>
        <w:pStyle w:val="ARbody"/>
      </w:pPr>
      <w:r>
        <w:t>The program gives c</w:t>
      </w:r>
      <w:r w:rsidRPr="00D02EE4">
        <w:t xml:space="preserve">hildren </w:t>
      </w:r>
      <w:r>
        <w:t xml:space="preserve">who </w:t>
      </w:r>
      <w:r w:rsidRPr="00D02EE4">
        <w:t xml:space="preserve">enter or re-enter statutory </w:t>
      </w:r>
      <w:r>
        <w:t>care</w:t>
      </w:r>
      <w:r w:rsidRPr="00D02EE4">
        <w:t xml:space="preserve"> a</w:t>
      </w:r>
      <w:r>
        <w:t>n automatic referral for</w:t>
      </w:r>
      <w:r w:rsidRPr="00D02EE4">
        <w:t xml:space="preserve"> health screen</w:t>
      </w:r>
      <w:r>
        <w:t>ing. This supports</w:t>
      </w:r>
      <w:r w:rsidRPr="00D02EE4">
        <w:t xml:space="preserve"> practitioners </w:t>
      </w:r>
      <w:r>
        <w:t>to provide</w:t>
      </w:r>
      <w:r w:rsidRPr="00D02EE4">
        <w:t xml:space="preserve"> health and disability supports. </w:t>
      </w:r>
    </w:p>
    <w:p w14:paraId="305A7EFF" w14:textId="0593BD65" w:rsidR="0064038E" w:rsidRPr="00D02EE4" w:rsidRDefault="0064038E">
      <w:pPr>
        <w:pStyle w:val="ARbody"/>
      </w:pPr>
      <w:r w:rsidRPr="00D02EE4">
        <w:t xml:space="preserve">The program will be implemented </w:t>
      </w:r>
      <w:r>
        <w:t>in</w:t>
      </w:r>
      <w:r w:rsidRPr="00D02EE4">
        <w:t xml:space="preserve"> all 17 department </w:t>
      </w:r>
      <w:r>
        <w:t>a</w:t>
      </w:r>
      <w:r w:rsidRPr="00D02EE4">
        <w:t xml:space="preserve">reas by 2026. </w:t>
      </w:r>
      <w:r>
        <w:t xml:space="preserve">We are phasing the </w:t>
      </w:r>
      <w:r w:rsidRPr="00D02EE4">
        <w:t>implementation</w:t>
      </w:r>
      <w:r>
        <w:t>.</w:t>
      </w:r>
      <w:r w:rsidRPr="00D02EE4">
        <w:t xml:space="preserve"> </w:t>
      </w:r>
      <w:r>
        <w:t>The</w:t>
      </w:r>
      <w:r w:rsidRPr="00D02EE4">
        <w:t xml:space="preserve"> final 5 providers </w:t>
      </w:r>
      <w:r>
        <w:t>will commence</w:t>
      </w:r>
      <w:r w:rsidRPr="00D02EE4">
        <w:t xml:space="preserve"> in 2025</w:t>
      </w:r>
      <w:r>
        <w:t>–</w:t>
      </w:r>
      <w:r w:rsidRPr="00D02EE4">
        <w:t>26.</w:t>
      </w:r>
    </w:p>
    <w:p w14:paraId="1AC6B966" w14:textId="5A7E3F0F" w:rsidR="00C34CD4" w:rsidRDefault="0064038E">
      <w:pPr>
        <w:pStyle w:val="ARbody"/>
      </w:pPr>
      <w:r w:rsidRPr="00D02EE4">
        <w:t>This initiative is being delivered in collaboration with the Department of Health.</w:t>
      </w:r>
    </w:p>
    <w:p w14:paraId="54C32E32" w14:textId="77777777" w:rsidR="0064038E" w:rsidRPr="0044785F" w:rsidRDefault="0064038E">
      <w:pPr>
        <w:pStyle w:val="Heading5"/>
      </w:pPr>
      <w:r w:rsidRPr="004E1E3E">
        <w:t>Building strong families through the Family Preservation and Reunification Response</w:t>
      </w:r>
    </w:p>
    <w:p w14:paraId="5ED015D5" w14:textId="0B62B2F8" w:rsidR="0064038E" w:rsidRPr="00D02EE4" w:rsidRDefault="0064038E">
      <w:pPr>
        <w:pStyle w:val="ARbody"/>
      </w:pPr>
      <w:r w:rsidRPr="00D02EE4">
        <w:t>The Family Preservation and Reunification Response (the response) is for children and</w:t>
      </w:r>
      <w:r>
        <w:t xml:space="preserve"> </w:t>
      </w:r>
      <w:r w:rsidRPr="00D02EE4">
        <w:t>families with multiple, complex needs</w:t>
      </w:r>
      <w:r>
        <w:t>. It provides</w:t>
      </w:r>
      <w:r w:rsidRPr="00D02EE4">
        <w:t xml:space="preserve"> an intensive, evidence-informed service model</w:t>
      </w:r>
      <w:r w:rsidRPr="00D02EE4" w:rsidDel="00650DE7">
        <w:t>.</w:t>
      </w:r>
    </w:p>
    <w:p w14:paraId="6FE2707B" w14:textId="03B79CF5" w:rsidR="0064038E" w:rsidRPr="00D02EE4" w:rsidRDefault="0064038E">
      <w:pPr>
        <w:pStyle w:val="ARbody"/>
      </w:pPr>
      <w:r>
        <w:t>Evaluation show</w:t>
      </w:r>
      <w:r w:rsidR="00282285">
        <w:t>s</w:t>
      </w:r>
      <w:r>
        <w:t xml:space="preserve"> the</w:t>
      </w:r>
      <w:r w:rsidRPr="00D02EE4">
        <w:t xml:space="preserve"> response </w:t>
      </w:r>
      <w:r>
        <w:t xml:space="preserve">is effective. It has supported </w:t>
      </w:r>
      <w:r w:rsidRPr="00D02EE4">
        <w:t>families to stay</w:t>
      </w:r>
      <w:r w:rsidRPr="00D02EE4" w:rsidDel="0081234A">
        <w:t xml:space="preserve"> </w:t>
      </w:r>
      <w:r w:rsidRPr="00D02EE4">
        <w:t>together</w:t>
      </w:r>
      <w:r>
        <w:t xml:space="preserve">. It has also enabled </w:t>
      </w:r>
      <w:r w:rsidRPr="00D02EE4">
        <w:t xml:space="preserve">children in care to return home safely. </w:t>
      </w:r>
    </w:p>
    <w:p w14:paraId="5D02124C" w14:textId="77777777" w:rsidR="0064038E" w:rsidRPr="0044785F" w:rsidRDefault="0064038E">
      <w:pPr>
        <w:pStyle w:val="Heading5"/>
        <w:rPr>
          <w:rFonts w:eastAsia="MS Mincho"/>
        </w:rPr>
      </w:pPr>
      <w:r w:rsidRPr="0044785F">
        <w:rPr>
          <w:rFonts w:eastAsia="MS Mincho"/>
        </w:rPr>
        <w:t>Putting Families First to help vulnerable families</w:t>
      </w:r>
    </w:p>
    <w:p w14:paraId="3384D1F0" w14:textId="2AB75380" w:rsidR="0064038E" w:rsidRPr="00D02EE4" w:rsidRDefault="0064038E">
      <w:pPr>
        <w:pStyle w:val="ARbody"/>
      </w:pPr>
      <w:r w:rsidRPr="00D02EE4">
        <w:t xml:space="preserve">Putting Families First </w:t>
      </w:r>
      <w:r>
        <w:t>is for families engaged with the justice system. It helps them access supports across the health, social and justice sectors. It is a</w:t>
      </w:r>
      <w:r w:rsidR="00010EB4">
        <w:t> </w:t>
      </w:r>
      <w:r>
        <w:t xml:space="preserve">trial of </w:t>
      </w:r>
      <w:r w:rsidRPr="00D02EE4">
        <w:t>an intensive, whole-of-family service</w:t>
      </w:r>
      <w:r w:rsidR="00010EB4">
        <w:t> </w:t>
      </w:r>
      <w:r w:rsidRPr="00D02EE4">
        <w:t>response</w:t>
      </w:r>
      <w:r>
        <w:t xml:space="preserve">. </w:t>
      </w:r>
    </w:p>
    <w:p w14:paraId="0976C659" w14:textId="4092C5BF" w:rsidR="0064038E" w:rsidRPr="00D02EE4" w:rsidRDefault="0064038E">
      <w:pPr>
        <w:pStyle w:val="ARbody"/>
      </w:pPr>
      <w:r>
        <w:t>A family practitioner leads i</w:t>
      </w:r>
      <w:r w:rsidRPr="00D02EE4">
        <w:t>nterdisciplinary teams</w:t>
      </w:r>
      <w:r>
        <w:t xml:space="preserve"> </w:t>
      </w:r>
      <w:r w:rsidRPr="00D02EE4">
        <w:t>(including Aboriginal and ethno-specific responses)</w:t>
      </w:r>
      <w:r>
        <w:t>.</w:t>
      </w:r>
      <w:r w:rsidRPr="00D02EE4">
        <w:t xml:space="preserve"> </w:t>
      </w:r>
      <w:r>
        <w:t xml:space="preserve">This approach provides </w:t>
      </w:r>
      <w:r w:rsidRPr="00D02EE4">
        <w:t xml:space="preserve">coordinated assessments and integrated supports </w:t>
      </w:r>
      <w:r>
        <w:t>for</w:t>
      </w:r>
      <w:r w:rsidRPr="00D02EE4">
        <w:t xml:space="preserve"> families</w:t>
      </w:r>
      <w:r>
        <w:t>. It diverts them</w:t>
      </w:r>
      <w:r w:rsidRPr="00D02EE4">
        <w:t xml:space="preserve"> from long-term, acute and statutory servi</w:t>
      </w:r>
      <w:r>
        <w:t>ces.</w:t>
      </w:r>
    </w:p>
    <w:p w14:paraId="571F7970" w14:textId="0C840954" w:rsidR="00EB0DCD" w:rsidRDefault="0064038E" w:rsidP="00B55528">
      <w:pPr>
        <w:pStyle w:val="ARbody"/>
      </w:pPr>
      <w:r w:rsidRPr="00CB0AB0">
        <w:t xml:space="preserve">The </w:t>
      </w:r>
      <w:r w:rsidRPr="00DA434D">
        <w:rPr>
          <w:rStyle w:val="Emphasis"/>
        </w:rPr>
        <w:t xml:space="preserve">2025–26 </w:t>
      </w:r>
      <w:r w:rsidR="007D717F" w:rsidRPr="00DA434D">
        <w:rPr>
          <w:rStyle w:val="Emphasis"/>
        </w:rPr>
        <w:t>State Budget</w:t>
      </w:r>
      <w:r w:rsidR="007D717F" w:rsidRPr="00CB0AB0">
        <w:t xml:space="preserve"> </w:t>
      </w:r>
      <w:r w:rsidRPr="00CB0AB0">
        <w:t>allocated funding to embed this response across the state. The program will support 180 justice-engaged families each year.</w:t>
      </w:r>
      <w:r w:rsidR="00EB0DCD">
        <w:br w:type="page"/>
      </w:r>
    </w:p>
    <w:p w14:paraId="291BD53C" w14:textId="2220FEF8" w:rsidR="0064038E" w:rsidRPr="0044785F" w:rsidRDefault="0064038E" w:rsidP="007D717F">
      <w:pPr>
        <w:pStyle w:val="Heading5"/>
      </w:pPr>
      <w:r w:rsidRPr="0044785F">
        <w:lastRenderedPageBreak/>
        <w:t>Early Help Family Services</w:t>
      </w:r>
    </w:p>
    <w:p w14:paraId="2BD0303F" w14:textId="25511D0F" w:rsidR="0064038E" w:rsidRPr="00521E4A" w:rsidRDefault="0064038E">
      <w:pPr>
        <w:pStyle w:val="ARbody"/>
      </w:pPr>
      <w:r w:rsidRPr="00521E4A">
        <w:t xml:space="preserve">Early Help Family Services supports families with emerging needs. The program </w:t>
      </w:r>
      <w:r>
        <w:t xml:space="preserve">builds </w:t>
      </w:r>
      <w:r w:rsidRPr="00521E4A">
        <w:t>parents’ competence and community connection. Practitioners are embedded in universal settings</w:t>
      </w:r>
      <w:r>
        <w:t xml:space="preserve">. They provide </w:t>
      </w:r>
      <w:r w:rsidRPr="00521E4A">
        <w:t>evidence-based parenting supports to</w:t>
      </w:r>
      <w:r w:rsidR="00010EB4">
        <w:t> </w:t>
      </w:r>
      <w:r w:rsidRPr="00521E4A">
        <w:t>families earlier</w:t>
      </w:r>
      <w:r>
        <w:t xml:space="preserve">. This </w:t>
      </w:r>
      <w:r w:rsidRPr="00521E4A">
        <w:t>divert</w:t>
      </w:r>
      <w:r>
        <w:t>s</w:t>
      </w:r>
      <w:r w:rsidRPr="00521E4A">
        <w:t xml:space="preserve"> them from more intensive services</w:t>
      </w:r>
      <w:r>
        <w:t xml:space="preserve">. It </w:t>
      </w:r>
      <w:r w:rsidRPr="00521E4A">
        <w:t>also improv</w:t>
      </w:r>
      <w:r>
        <w:t>es</w:t>
      </w:r>
      <w:r w:rsidRPr="00521E4A">
        <w:t xml:space="preserve"> outcomes for</w:t>
      </w:r>
      <w:r w:rsidR="00010EB4">
        <w:t> </w:t>
      </w:r>
      <w:r w:rsidRPr="00521E4A">
        <w:t>children.</w:t>
      </w:r>
    </w:p>
    <w:p w14:paraId="6CD7A55E" w14:textId="4A99F8DD" w:rsidR="0064038E" w:rsidRPr="00521E4A" w:rsidRDefault="0064038E">
      <w:pPr>
        <w:pStyle w:val="ARbody"/>
      </w:pPr>
      <w:r>
        <w:t>The program supports</w:t>
      </w:r>
      <w:r w:rsidRPr="00521E4A">
        <w:t xml:space="preserve"> </w:t>
      </w:r>
      <w:r>
        <w:t xml:space="preserve">more </w:t>
      </w:r>
      <w:r w:rsidRPr="00521E4A">
        <w:t>than 3,500 families each year</w:t>
      </w:r>
      <w:r>
        <w:t>.</w:t>
      </w:r>
      <w:r w:rsidRPr="00521E4A">
        <w:t xml:space="preserve"> </w:t>
      </w:r>
      <w:r>
        <w:t xml:space="preserve">Evaluations show it is effective at </w:t>
      </w:r>
      <w:r w:rsidRPr="00521E4A">
        <w:t>improving parenting skills and confidence</w:t>
      </w:r>
      <w:r>
        <w:t>. This</w:t>
      </w:r>
      <w:r w:rsidRPr="00521E4A">
        <w:t xml:space="preserve"> lead</w:t>
      </w:r>
      <w:r>
        <w:t>s</w:t>
      </w:r>
      <w:r w:rsidRPr="00521E4A">
        <w:t xml:space="preserve"> to better outcomes for children. The program was extended for a further </w:t>
      </w:r>
      <w:r>
        <w:t>2</w:t>
      </w:r>
      <w:r w:rsidRPr="00521E4A">
        <w:t xml:space="preserve"> years in the </w:t>
      </w:r>
      <w:r w:rsidRPr="00CC57F4">
        <w:rPr>
          <w:rStyle w:val="Emphasis"/>
        </w:rPr>
        <w:t>2025–26 State Budget</w:t>
      </w:r>
      <w:r w:rsidRPr="00521E4A">
        <w:t>.</w:t>
      </w:r>
    </w:p>
    <w:p w14:paraId="277DEE40" w14:textId="77777777" w:rsidR="0064038E" w:rsidRPr="001441A4" w:rsidRDefault="0064038E">
      <w:pPr>
        <w:pStyle w:val="Heading5"/>
      </w:pPr>
      <w:r w:rsidRPr="001441A4">
        <w:t>Therapeutic supports for all young people in residential care</w:t>
      </w:r>
    </w:p>
    <w:p w14:paraId="2529C945" w14:textId="5FA8C6C4" w:rsidR="0064038E" w:rsidRPr="00521E4A" w:rsidRDefault="0064038E">
      <w:pPr>
        <w:pStyle w:val="ARbody"/>
      </w:pPr>
      <w:r w:rsidRPr="00521E4A">
        <w:t xml:space="preserve">The </w:t>
      </w:r>
      <w:r w:rsidRPr="00521E4A">
        <w:rPr>
          <w:rStyle w:val="Emphasis"/>
        </w:rPr>
        <w:t xml:space="preserve">2023–24 State Budget </w:t>
      </w:r>
      <w:r w:rsidRPr="00E6224B">
        <w:t>pr</w:t>
      </w:r>
      <w:r w:rsidRPr="00521E4A">
        <w:t>ovided $548 million to improve outcomes for young people in residential care</w:t>
      </w:r>
      <w:r>
        <w:t xml:space="preserve">. This is </w:t>
      </w:r>
      <w:r w:rsidRPr="00521E4A">
        <w:t xml:space="preserve">the biggest single investment in care services </w:t>
      </w:r>
      <w:r>
        <w:t xml:space="preserve">for more than </w:t>
      </w:r>
      <w:r w:rsidRPr="00521E4A">
        <w:t>a decade.</w:t>
      </w:r>
    </w:p>
    <w:p w14:paraId="4F1B2280" w14:textId="40555BAE" w:rsidR="0064038E" w:rsidRDefault="0064038E">
      <w:pPr>
        <w:pStyle w:val="ARbody"/>
      </w:pPr>
      <w:r>
        <w:t>It</w:t>
      </w:r>
      <w:r w:rsidRPr="00521E4A">
        <w:t xml:space="preserve"> includes </w:t>
      </w:r>
      <w:r>
        <w:t>providing</w:t>
      </w:r>
      <w:r w:rsidRPr="00521E4A">
        <w:t xml:space="preserve"> all young people in residential care with access to therapeutic supports </w:t>
      </w:r>
      <w:r w:rsidR="00F27FA8">
        <w:br/>
      </w:r>
      <w:r w:rsidRPr="00521E4A">
        <w:t>by</w:t>
      </w:r>
      <w:r w:rsidR="00F27FA8">
        <w:t> </w:t>
      </w:r>
      <w:r w:rsidRPr="00521E4A">
        <w:t xml:space="preserve">2025–26. </w:t>
      </w:r>
    </w:p>
    <w:p w14:paraId="5F075872" w14:textId="2CD641E9" w:rsidR="0064038E" w:rsidRDefault="0064038E">
      <w:pPr>
        <w:pStyle w:val="ARbody"/>
      </w:pPr>
      <w:r w:rsidRPr="00521E4A">
        <w:t>As of 1 January 2024, 75% of non-therapeutic residential care homes in Victoria have received increased funding</w:t>
      </w:r>
      <w:r>
        <w:t xml:space="preserve"> for</w:t>
      </w:r>
      <w:r w:rsidRPr="00521E4A">
        <w:t xml:space="preserve"> therapeutic supports</w:t>
      </w:r>
      <w:r>
        <w:t>. This supports</w:t>
      </w:r>
      <w:r w:rsidRPr="00521E4A">
        <w:t xml:space="preserve"> young people to heal from abuse and</w:t>
      </w:r>
      <w:r w:rsidR="00F27FA8">
        <w:t> </w:t>
      </w:r>
      <w:r w:rsidRPr="00521E4A">
        <w:t xml:space="preserve">trauma. </w:t>
      </w:r>
    </w:p>
    <w:p w14:paraId="37D90659" w14:textId="0AEA97E2" w:rsidR="0064038E" w:rsidRPr="00521E4A" w:rsidRDefault="0064038E">
      <w:pPr>
        <w:pStyle w:val="ARbody"/>
        <w:rPr>
          <w:highlight w:val="cyan"/>
        </w:rPr>
      </w:pPr>
      <w:r w:rsidRPr="00521E4A">
        <w:t>Remaining homes will receive additional funding from 1 July 2025</w:t>
      </w:r>
      <w:r>
        <w:t>. This will give</w:t>
      </w:r>
      <w:r w:rsidRPr="00521E4A">
        <w:t xml:space="preserve"> </w:t>
      </w:r>
      <w:r>
        <w:t xml:space="preserve">therapeutic support to </w:t>
      </w:r>
      <w:r w:rsidRPr="00521E4A">
        <w:t xml:space="preserve">all children and young people </w:t>
      </w:r>
      <w:r>
        <w:t>in</w:t>
      </w:r>
      <w:r w:rsidRPr="00521E4A">
        <w:t xml:space="preserve"> residential care.</w:t>
      </w:r>
    </w:p>
    <w:p w14:paraId="00F81C56" w14:textId="77777777" w:rsidR="007E0DE8" w:rsidRDefault="0064038E" w:rsidP="0061141D">
      <w:pPr>
        <w:pStyle w:val="ARbody"/>
      </w:pPr>
      <w:r w:rsidRPr="00521E4A">
        <w:t xml:space="preserve">The </w:t>
      </w:r>
      <w:r w:rsidRPr="00CC57F4">
        <w:rPr>
          <w:rStyle w:val="Emphasis"/>
        </w:rPr>
        <w:t>2023–24 State Budget</w:t>
      </w:r>
      <w:r w:rsidRPr="00521E4A">
        <w:t xml:space="preserve"> also included ongoing funding to continue to expand 2</w:t>
      </w:r>
      <w:r>
        <w:t>-</w:t>
      </w:r>
      <w:r w:rsidRPr="00521E4A">
        <w:t xml:space="preserve"> and 3</w:t>
      </w:r>
      <w:r>
        <w:t>-</w:t>
      </w:r>
      <w:r w:rsidRPr="00521E4A">
        <w:t>bed therapeutic residential care</w:t>
      </w:r>
      <w:r>
        <w:t xml:space="preserve"> for </w:t>
      </w:r>
      <w:r w:rsidRPr="00521E4A">
        <w:t>25 homes. These homes are all operational</w:t>
      </w:r>
      <w:r>
        <w:t>.</w:t>
      </w:r>
      <w:r w:rsidRPr="00521E4A">
        <w:t xml:space="preserve"> </w:t>
      </w:r>
      <w:r>
        <w:t>They</w:t>
      </w:r>
      <w:r w:rsidRPr="00521E4A">
        <w:t xml:space="preserve"> include specialised education, vocational and therapeutic supports.</w:t>
      </w:r>
    </w:p>
    <w:p w14:paraId="6481C488" w14:textId="0AA4B863" w:rsidR="0064038E" w:rsidRPr="001772EE" w:rsidRDefault="0061141D" w:rsidP="00EE3005">
      <w:pPr>
        <w:pStyle w:val="Heading5"/>
      </w:pPr>
      <w:r>
        <w:br w:type="column"/>
      </w:r>
      <w:r w:rsidR="0064038E" w:rsidRPr="007E0DE8">
        <w:t xml:space="preserve">Expansion of </w:t>
      </w:r>
      <w:r w:rsidR="0064038E" w:rsidRPr="00EE3005">
        <w:t>therapeutic</w:t>
      </w:r>
      <w:r w:rsidR="0064038E" w:rsidRPr="007E0DE8">
        <w:t xml:space="preserve"> supports for children and young people in foster care</w:t>
      </w:r>
    </w:p>
    <w:p w14:paraId="615D8C04" w14:textId="1893EEB4" w:rsidR="0064038E" w:rsidRPr="00521E4A" w:rsidRDefault="009A299C">
      <w:pPr>
        <w:pStyle w:val="ARbody"/>
      </w:pPr>
      <w:r w:rsidRPr="00B55528">
        <w:t xml:space="preserve">We met our target to ensure all young people in residential care have access to therapeutic supports, starting from 1 July 2025. </w:t>
      </w:r>
      <w:r w:rsidR="0064038E" w:rsidRPr="00521E4A">
        <w:t>There will be 200 new therapeutic foster care placements</w:t>
      </w:r>
      <w:r w:rsidR="0064038E">
        <w:t xml:space="preserve"> commencing in 2025–26. This will</w:t>
      </w:r>
      <w:r w:rsidR="0064038E" w:rsidRPr="00521E4A">
        <w:t xml:space="preserve"> provide more carers, children and young people in foster care with access to therapeutic supports</w:t>
      </w:r>
      <w:r w:rsidR="0064038E">
        <w:t xml:space="preserve">. </w:t>
      </w:r>
    </w:p>
    <w:p w14:paraId="075BFE8E" w14:textId="77777777" w:rsidR="00BE6AC3" w:rsidRDefault="008D43F3" w:rsidP="00B55528">
      <w:pPr>
        <w:pStyle w:val="ARbody"/>
      </w:pPr>
      <w:r w:rsidRPr="00521E4A">
        <w:t xml:space="preserve">This </w:t>
      </w:r>
      <w:r>
        <w:t xml:space="preserve">is </w:t>
      </w:r>
      <w:r w:rsidRPr="00521E4A">
        <w:t>strengthen</w:t>
      </w:r>
      <w:r>
        <w:t>ing</w:t>
      </w:r>
      <w:r w:rsidRPr="00521E4A">
        <w:t xml:space="preserve"> and modernis</w:t>
      </w:r>
      <w:r>
        <w:t>ing</w:t>
      </w:r>
      <w:r w:rsidRPr="00521E4A">
        <w:t xml:space="preserve"> foster care in Victoria</w:t>
      </w:r>
      <w:r>
        <w:t>. It will</w:t>
      </w:r>
      <w:r w:rsidRPr="00521E4A">
        <w:t xml:space="preserve"> </w:t>
      </w:r>
      <w:r>
        <w:t>ensure</w:t>
      </w:r>
      <w:r w:rsidRPr="00521E4A">
        <w:t xml:space="preserve"> the needs of children and young people are met</w:t>
      </w:r>
      <w:r>
        <w:t xml:space="preserve">, and support </w:t>
      </w:r>
      <w:r w:rsidRPr="00521E4A">
        <w:t xml:space="preserve">carers to </w:t>
      </w:r>
      <w:r>
        <w:t>provide</w:t>
      </w:r>
      <w:r w:rsidRPr="00521E4A">
        <w:t xml:space="preserve"> the best possible care</w:t>
      </w:r>
      <w:r>
        <w:t xml:space="preserve">. </w:t>
      </w:r>
    </w:p>
    <w:p w14:paraId="67F23E5A" w14:textId="31077D3B" w:rsidR="0064038E" w:rsidRPr="00A906A4" w:rsidRDefault="0064038E" w:rsidP="00B55528">
      <w:pPr>
        <w:pStyle w:val="Heading5"/>
      </w:pPr>
      <w:r w:rsidRPr="00A906A4">
        <w:t xml:space="preserve">Supports for young </w:t>
      </w:r>
      <w:r w:rsidRPr="00EE3005">
        <w:t>people</w:t>
      </w:r>
      <w:r w:rsidRPr="00A906A4">
        <w:t xml:space="preserve"> leaving care</w:t>
      </w:r>
    </w:p>
    <w:p w14:paraId="534EEDB1" w14:textId="0F6C6E7B" w:rsidR="0064038E" w:rsidRPr="00595421" w:rsidRDefault="0064038E">
      <w:pPr>
        <w:pStyle w:val="ARbody"/>
      </w:pPr>
      <w:r>
        <w:t xml:space="preserve">The </w:t>
      </w:r>
      <w:r w:rsidRPr="00CC57F4">
        <w:rPr>
          <w:rStyle w:val="Emphasis"/>
        </w:rPr>
        <w:t>2023–24 State Budget</w:t>
      </w:r>
      <w:r>
        <w:t xml:space="preserve"> invested $40.4 million in</w:t>
      </w:r>
      <w:r w:rsidR="00C10B0B">
        <w:t> </w:t>
      </w:r>
      <w:r>
        <w:t>the Housing First for Young People Leaving Residential Care Initiative (Housing First). This initiative will support 225 young people leaving residential care and other care settings. It provides at least 2 years of housing and 3 years of wrap-around support. Housing First builds on existing leaving care supports like Better Futures and Home Stretch. It provides young people with a gradual and supported transition from care.</w:t>
      </w:r>
    </w:p>
    <w:p w14:paraId="160187D4" w14:textId="77777777" w:rsidR="0064038E" w:rsidRPr="001772EE" w:rsidRDefault="0064038E">
      <w:pPr>
        <w:pStyle w:val="Heading5"/>
      </w:pPr>
      <w:r w:rsidRPr="001772EE">
        <w:t>Understanding what works for children and families – Menu of Evidence for Children and Families</w:t>
      </w:r>
    </w:p>
    <w:p w14:paraId="53C49267" w14:textId="43CC9688" w:rsidR="0064038E" w:rsidRPr="001772EE" w:rsidRDefault="0064038E" w:rsidP="007F2503">
      <w:pPr>
        <w:pStyle w:val="ARbody"/>
        <w:spacing w:line="250" w:lineRule="atLeast"/>
      </w:pPr>
      <w:r w:rsidRPr="001772EE">
        <w:t xml:space="preserve">In March 2023, the department launched the </w:t>
      </w:r>
      <w:hyperlink r:id="rId68" w:history="1">
        <w:r w:rsidRPr="009A30E7">
          <w:rPr>
            <w:rStyle w:val="Hyperlink"/>
          </w:rPr>
          <w:t>Menu of Evidence for Children and Families</w:t>
        </w:r>
      </w:hyperlink>
      <w:r w:rsidR="004C480B">
        <w:t>.</w:t>
      </w:r>
      <w:r w:rsidR="004C480B">
        <w:rPr>
          <w:rStyle w:val="FootnoteReference"/>
        </w:rPr>
        <w:footnoteReference w:id="7"/>
      </w:r>
      <w:r w:rsidRPr="001772EE">
        <w:t xml:space="preserve"> This searchable online database showcases the best available evidence of what works for children and</w:t>
      </w:r>
      <w:r w:rsidR="003E2EC2">
        <w:t> </w:t>
      </w:r>
      <w:r w:rsidRPr="001772EE">
        <w:t>families.</w:t>
      </w:r>
    </w:p>
    <w:p w14:paraId="373150B6" w14:textId="4744E3E3" w:rsidR="00EB0DCD" w:rsidRDefault="0064038E" w:rsidP="007F2503">
      <w:pPr>
        <w:pStyle w:val="ARbody"/>
        <w:spacing w:line="250" w:lineRule="atLeast"/>
      </w:pPr>
      <w:r w:rsidRPr="001772EE">
        <w:t xml:space="preserve">Since its release, the </w:t>
      </w:r>
      <w:r>
        <w:t>M</w:t>
      </w:r>
      <w:r w:rsidRPr="001772EE">
        <w:t xml:space="preserve">enu has attracted </w:t>
      </w:r>
      <w:r>
        <w:t>more than</w:t>
      </w:r>
      <w:r w:rsidRPr="001772EE">
        <w:t xml:space="preserve"> </w:t>
      </w:r>
      <w:r>
        <w:t>19,000</w:t>
      </w:r>
      <w:r w:rsidRPr="001772EE">
        <w:t xml:space="preserve"> users. </w:t>
      </w:r>
      <w:r>
        <w:t>T</w:t>
      </w:r>
      <w:r w:rsidRPr="001772EE">
        <w:t xml:space="preserve">he menu supports </w:t>
      </w:r>
      <w:r>
        <w:t xml:space="preserve">safe </w:t>
      </w:r>
      <w:r w:rsidRPr="001772EE">
        <w:t xml:space="preserve">and effective </w:t>
      </w:r>
      <w:r>
        <w:t xml:space="preserve">family </w:t>
      </w:r>
      <w:r w:rsidRPr="001772EE">
        <w:t>services.</w:t>
      </w:r>
      <w:r w:rsidRPr="00364D97">
        <w:t xml:space="preserve"> </w:t>
      </w:r>
      <w:r>
        <w:t>It sits a</w:t>
      </w:r>
      <w:r w:rsidRPr="001772EE">
        <w:t>longside other sources</w:t>
      </w:r>
      <w:r>
        <w:t>,</w:t>
      </w:r>
      <w:r w:rsidRPr="001772EE">
        <w:t xml:space="preserve"> such as Aboriginal knowledge and client</w:t>
      </w:r>
      <w:r w:rsidR="003E2EC2">
        <w:t> </w:t>
      </w:r>
      <w:r w:rsidRPr="001772EE">
        <w:t>voice</w:t>
      </w:r>
      <w:r>
        <w:t>.</w:t>
      </w:r>
      <w:r w:rsidR="00EB0DCD">
        <w:br w:type="page"/>
      </w:r>
    </w:p>
    <w:p w14:paraId="79F2210B" w14:textId="379CEE10" w:rsidR="0064038E" w:rsidRPr="00A906A4" w:rsidRDefault="0064038E" w:rsidP="00B55528">
      <w:pPr>
        <w:pStyle w:val="Heading5"/>
      </w:pPr>
      <w:r w:rsidRPr="00A906A4">
        <w:lastRenderedPageBreak/>
        <w:t>Growing evidence through collaboration – the Outcomes, Practice and Evidence</w:t>
      </w:r>
      <w:r w:rsidR="003E2EC2" w:rsidRPr="00A906A4">
        <w:t> </w:t>
      </w:r>
      <w:r w:rsidRPr="00A906A4">
        <w:t>Network</w:t>
      </w:r>
    </w:p>
    <w:p w14:paraId="5EC58EA7" w14:textId="77777777" w:rsidR="00C34CD4" w:rsidRDefault="0064038E" w:rsidP="007F2503">
      <w:pPr>
        <w:pStyle w:val="ARbody"/>
        <w:spacing w:line="250" w:lineRule="atLeast"/>
      </w:pPr>
      <w:r>
        <w:t>The</w:t>
      </w:r>
      <w:r w:rsidRPr="00A55658">
        <w:t xml:space="preserve"> Centre for Excellence in Child and Family Welfare</w:t>
      </w:r>
      <w:r>
        <w:t xml:space="preserve"> coordinates</w:t>
      </w:r>
      <w:r w:rsidRPr="00A55658">
        <w:t xml:space="preserve"> the Outcomes, Practice and Evidence Network (OPEN)</w:t>
      </w:r>
      <w:r>
        <w:t>. OPEN</w:t>
      </w:r>
      <w:r w:rsidRPr="00A55658">
        <w:t xml:space="preserve"> fosters a collaborative approach to evidence-informed </w:t>
      </w:r>
      <w:r>
        <w:t xml:space="preserve">services </w:t>
      </w:r>
      <w:r w:rsidRPr="00A55658">
        <w:t>for children and families.</w:t>
      </w:r>
    </w:p>
    <w:p w14:paraId="3A72C512" w14:textId="457C3006" w:rsidR="0064038E" w:rsidRDefault="0064038E" w:rsidP="007F2503">
      <w:pPr>
        <w:pStyle w:val="ARbody"/>
        <w:spacing w:line="250" w:lineRule="atLeast"/>
      </w:pPr>
      <w:r>
        <w:t>OPEN has</w:t>
      </w:r>
      <w:r w:rsidRPr="00A55658">
        <w:t xml:space="preserve"> more than 5,400 practitioner</w:t>
      </w:r>
      <w:r>
        <w:t>s</w:t>
      </w:r>
      <w:r w:rsidRPr="00A55658">
        <w:t>, policy makers and researchers</w:t>
      </w:r>
      <w:r>
        <w:t xml:space="preserve">. It </w:t>
      </w:r>
      <w:r w:rsidRPr="00A55658">
        <w:t xml:space="preserve">champions practice-based research and contributes to building a robust Victorian evidence base. </w:t>
      </w:r>
      <w:r>
        <w:t xml:space="preserve">OPEN uses </w:t>
      </w:r>
      <w:r w:rsidRPr="00A55658">
        <w:t>a calendar of annual learning events, training and communities of practice</w:t>
      </w:r>
      <w:r>
        <w:t>.</w:t>
      </w:r>
      <w:r w:rsidRPr="00A55658">
        <w:t xml:space="preserve"> </w:t>
      </w:r>
      <w:r>
        <w:t>This</w:t>
      </w:r>
      <w:r w:rsidRPr="00A55658">
        <w:t xml:space="preserve"> enables professional development, knowledge sharing, best practice and</w:t>
      </w:r>
      <w:r>
        <w:t xml:space="preserve"> </w:t>
      </w:r>
      <w:r w:rsidRPr="00A55658">
        <w:t>innovation.</w:t>
      </w:r>
    </w:p>
    <w:p w14:paraId="5FFF1AE7" w14:textId="55B48B87" w:rsidR="0064038E" w:rsidRPr="001772EE" w:rsidRDefault="0064038E" w:rsidP="003E2EC2">
      <w:pPr>
        <w:pStyle w:val="Heading5"/>
      </w:pPr>
      <w:r w:rsidRPr="001772EE">
        <w:t>Mobilising evidence for better outcomes</w:t>
      </w:r>
    </w:p>
    <w:p w14:paraId="58B8082D" w14:textId="433AFF33" w:rsidR="0064038E" w:rsidRPr="00B45A18" w:rsidRDefault="0064038E">
      <w:pPr>
        <w:pStyle w:val="ARbody"/>
      </w:pPr>
      <w:r w:rsidRPr="00B45A18">
        <w:t xml:space="preserve">The family services platform </w:t>
      </w:r>
      <w:r w:rsidR="00282285">
        <w:t>uses</w:t>
      </w:r>
      <w:r>
        <w:t xml:space="preserve"> an evidence approach</w:t>
      </w:r>
      <w:r w:rsidRPr="00B45A18">
        <w:t xml:space="preserve">. This embeds evidence at all stages of design, implementation and scaling. </w:t>
      </w:r>
    </w:p>
    <w:p w14:paraId="271E94A5" w14:textId="4CBA51A8" w:rsidR="0064038E" w:rsidRPr="00B45A18" w:rsidRDefault="0064038E">
      <w:pPr>
        <w:pStyle w:val="ARbody"/>
        <w:rPr>
          <w:kern w:val="2"/>
          <w14:ligatures w14:val="standardContextual"/>
        </w:rPr>
      </w:pPr>
      <w:r>
        <w:t>It includes i</w:t>
      </w:r>
      <w:r w:rsidRPr="00B45A18">
        <w:t>ntegrating the best available evidence with Aboriginal cultural practice</w:t>
      </w:r>
      <w:r>
        <w:t xml:space="preserve">. This </w:t>
      </w:r>
      <w:r w:rsidRPr="00B45A18">
        <w:t>ensure</w:t>
      </w:r>
      <w:r>
        <w:t>s</w:t>
      </w:r>
      <w:r w:rsidRPr="00B45A18">
        <w:t xml:space="preserve"> </w:t>
      </w:r>
      <w:r w:rsidRPr="00B45A18">
        <w:rPr>
          <w:kern w:val="2"/>
          <w14:ligatures w14:val="standardContextual"/>
        </w:rPr>
        <w:t>families receive support</w:t>
      </w:r>
      <w:r w:rsidRPr="00B45A18">
        <w:t xml:space="preserve"> </w:t>
      </w:r>
      <w:r>
        <w:rPr>
          <w:kern w:val="2"/>
          <w14:ligatures w14:val="standardContextual"/>
        </w:rPr>
        <w:t xml:space="preserve">that provides the best chance of </w:t>
      </w:r>
      <w:r w:rsidRPr="00B45A18">
        <w:rPr>
          <w:kern w:val="2"/>
          <w14:ligatures w14:val="standardContextual"/>
        </w:rPr>
        <w:t>improved outcomes</w:t>
      </w:r>
      <w:r w:rsidRPr="00B45A18">
        <w:t xml:space="preserve"> for children</w:t>
      </w:r>
      <w:r w:rsidRPr="00B45A18">
        <w:rPr>
          <w:kern w:val="2"/>
          <w14:ligatures w14:val="standardContextual"/>
        </w:rPr>
        <w:t>.</w:t>
      </w:r>
    </w:p>
    <w:p w14:paraId="5B393FCD" w14:textId="0A0D5B73" w:rsidR="0064038E" w:rsidRPr="00B45A18" w:rsidRDefault="0064038E">
      <w:pPr>
        <w:pStyle w:val="ARbody"/>
      </w:pPr>
      <w:r w:rsidRPr="00B45A18">
        <w:t>The evidence approach is flexible and inclusive</w:t>
      </w:r>
      <w:r>
        <w:t>. It</w:t>
      </w:r>
      <w:r w:rsidR="003E2EC2">
        <w:t> </w:t>
      </w:r>
      <w:r w:rsidRPr="00B45A18">
        <w:t>accommodat</w:t>
      </w:r>
      <w:r>
        <w:t>es</w:t>
      </w:r>
      <w:r w:rsidRPr="00B45A18">
        <w:t xml:space="preserve"> </w:t>
      </w:r>
      <w:r>
        <w:t>different</w:t>
      </w:r>
      <w:r w:rsidRPr="00B45A18">
        <w:t xml:space="preserve"> workforce skills and qualifications</w:t>
      </w:r>
      <w:r>
        <w:t>. It can be</w:t>
      </w:r>
      <w:r w:rsidRPr="00B45A18">
        <w:t xml:space="preserve"> adap</w:t>
      </w:r>
      <w:r>
        <w:t xml:space="preserve">ted to different contexts. It can also </w:t>
      </w:r>
      <w:r w:rsidRPr="00B45A18">
        <w:t xml:space="preserve">be tailored to </w:t>
      </w:r>
      <w:r>
        <w:t>families’</w:t>
      </w:r>
      <w:r w:rsidRPr="00B45A18">
        <w:t xml:space="preserve"> needs. </w:t>
      </w:r>
    </w:p>
    <w:p w14:paraId="3E518EB6" w14:textId="63F0A9F3" w:rsidR="0064038E" w:rsidRPr="00B052A9" w:rsidRDefault="0064038E">
      <w:pPr>
        <w:pStyle w:val="ARbody"/>
      </w:pPr>
      <w:r>
        <w:t>The department provides c</w:t>
      </w:r>
      <w:r w:rsidRPr="00B45A18">
        <w:t>oordinated implementation support</w:t>
      </w:r>
      <w:r>
        <w:t>. This helps</w:t>
      </w:r>
      <w:r w:rsidRPr="00B45A18">
        <w:t xml:space="preserve"> practitioners apply proven methods in their work</w:t>
      </w:r>
      <w:r>
        <w:t>. It</w:t>
      </w:r>
      <w:r w:rsidRPr="00B45A18">
        <w:t xml:space="preserve"> strengthen</w:t>
      </w:r>
      <w:r>
        <w:t>s</w:t>
      </w:r>
      <w:r w:rsidRPr="00B45A18">
        <w:t xml:space="preserve"> </w:t>
      </w:r>
      <w:r>
        <w:t>family services, making them consistent and</w:t>
      </w:r>
      <w:r w:rsidR="003E2EC2">
        <w:t> </w:t>
      </w:r>
      <w:r>
        <w:t>effective.</w:t>
      </w:r>
      <w:r w:rsidRPr="00452BD6">
        <w:t xml:space="preserve"> </w:t>
      </w:r>
    </w:p>
    <w:p w14:paraId="59DCC3E4" w14:textId="10ADA949" w:rsidR="0064038E" w:rsidRPr="0083058C" w:rsidRDefault="0064038E">
      <w:pPr>
        <w:pStyle w:val="Heading5"/>
      </w:pPr>
      <w:r w:rsidRPr="0083058C">
        <w:t xml:space="preserve">Client Incident Management System </w:t>
      </w:r>
      <w:r>
        <w:t>r</w:t>
      </w:r>
      <w:r w:rsidRPr="0083058C">
        <w:t>eview</w:t>
      </w:r>
    </w:p>
    <w:p w14:paraId="0553F1A0" w14:textId="0DC54226" w:rsidR="0064038E" w:rsidRDefault="0064038E">
      <w:pPr>
        <w:pStyle w:val="ARbody"/>
      </w:pPr>
      <w:r w:rsidDel="003E6A92">
        <w:t>The Client Incident Management System (CIMS) is an incident management policy and IT system</w:t>
      </w:r>
      <w:r>
        <w:t>. CIMS helps</w:t>
      </w:r>
      <w:r w:rsidDel="003E6A92">
        <w:t xml:space="preserve"> </w:t>
      </w:r>
      <w:r>
        <w:t>keep clients safe. It supports the department to respond to incidents</w:t>
      </w:r>
      <w:r w:rsidDel="003E6A92">
        <w:t xml:space="preserve">. </w:t>
      </w:r>
      <w:r>
        <w:t>CIMS also helps service providers learn from incidents. This</w:t>
      </w:r>
      <w:r w:rsidR="003E2EC2">
        <w:t> </w:t>
      </w:r>
      <w:r>
        <w:t>improves services.</w:t>
      </w:r>
    </w:p>
    <w:p w14:paraId="00693AE8" w14:textId="0A50C156" w:rsidR="0064038E" w:rsidRDefault="0064038E">
      <w:pPr>
        <w:pStyle w:val="ARbody"/>
      </w:pPr>
      <w:r>
        <w:t>In December 2024, the department completed its review of CIMS. The updated CIMS policy applies to services the department delivers and funds. The</w:t>
      </w:r>
      <w:r w:rsidR="003E2EC2">
        <w:t> </w:t>
      </w:r>
      <w:r>
        <w:t>review strengthened CIMS and streamlined</w:t>
      </w:r>
      <w:r w:rsidR="003E2EC2">
        <w:t> </w:t>
      </w:r>
      <w:r>
        <w:t>reporting.</w:t>
      </w:r>
    </w:p>
    <w:p w14:paraId="60057719" w14:textId="046397B4" w:rsidR="0064038E" w:rsidRPr="000E5AE6" w:rsidRDefault="00FA22AD">
      <w:pPr>
        <w:pStyle w:val="Heading5"/>
        <w:rPr>
          <w:rFonts w:eastAsia="MS Mincho"/>
        </w:rPr>
      </w:pPr>
      <w:r>
        <w:rPr>
          <w:rFonts w:eastAsia="MS Mincho"/>
        </w:rPr>
        <w:br w:type="column"/>
      </w:r>
      <w:r w:rsidR="0064038E" w:rsidRPr="004F4B93">
        <w:rPr>
          <w:rFonts w:eastAsia="MS Mincho"/>
        </w:rPr>
        <w:t>Strengthening the child protection workforce</w:t>
      </w:r>
      <w:bookmarkStart w:id="68" w:name="_Hlk204590176"/>
      <w:bookmarkEnd w:id="65"/>
    </w:p>
    <w:bookmarkEnd w:id="68"/>
    <w:p w14:paraId="4CB6E95A" w14:textId="728B9CAE" w:rsidR="003E2EC2" w:rsidRDefault="0064038E">
      <w:pPr>
        <w:pStyle w:val="ARbody"/>
      </w:pPr>
      <w:r>
        <w:t xml:space="preserve">In 2024–25, the department strengthened the child protection workforce. We implemented a </w:t>
      </w:r>
      <w:r w:rsidRPr="001132BF">
        <w:t>refreshed</w:t>
      </w:r>
      <w:r>
        <w:t xml:space="preserve"> c</w:t>
      </w:r>
      <w:r w:rsidRPr="001132BF">
        <w:t xml:space="preserve">hild </w:t>
      </w:r>
      <w:r>
        <w:t>p</w:t>
      </w:r>
      <w:r w:rsidRPr="001132BF">
        <w:t xml:space="preserve">rotection </w:t>
      </w:r>
      <w:r>
        <w:t>o</w:t>
      </w:r>
      <w:r w:rsidRPr="001132BF">
        <w:t xml:space="preserve">perating </w:t>
      </w:r>
      <w:r>
        <w:t>mo</w:t>
      </w:r>
      <w:r w:rsidRPr="001132BF">
        <w:t>del in all operational area</w:t>
      </w:r>
      <w:r>
        <w:t>s. This supports</w:t>
      </w:r>
      <w:r w:rsidRPr="001132BF">
        <w:t xml:space="preserve"> improved staff supervision, case allocation</w:t>
      </w:r>
      <w:r>
        <w:t xml:space="preserve"> and</w:t>
      </w:r>
      <w:r w:rsidRPr="001132BF">
        <w:t xml:space="preserve"> </w:t>
      </w:r>
      <w:r>
        <w:t xml:space="preserve">staff </w:t>
      </w:r>
      <w:r w:rsidRPr="001132BF">
        <w:t>retention</w:t>
      </w:r>
      <w:r>
        <w:t>. The refreshed model improved role clarity. It also strengthened oversight and streamlined decision making. It</w:t>
      </w:r>
      <w:r w:rsidRPr="001132BF">
        <w:t xml:space="preserve"> </w:t>
      </w:r>
      <w:r>
        <w:t xml:space="preserve">supports </w:t>
      </w:r>
      <w:r w:rsidRPr="001132BF">
        <w:t>robust case planning and risk assessment</w:t>
      </w:r>
      <w:r>
        <w:t xml:space="preserve">. This </w:t>
      </w:r>
      <w:r w:rsidRPr="001132BF">
        <w:t>respond</w:t>
      </w:r>
      <w:r>
        <w:t>s</w:t>
      </w:r>
      <w:r w:rsidRPr="001132BF">
        <w:t xml:space="preserve"> to the increasing complexity of children and families.</w:t>
      </w:r>
      <w:r>
        <w:t xml:space="preserve"> </w:t>
      </w:r>
    </w:p>
    <w:p w14:paraId="2022FFCF" w14:textId="41A33CAE" w:rsidR="0064038E" w:rsidRPr="004F4B93" w:rsidRDefault="0064038E">
      <w:pPr>
        <w:pStyle w:val="ARbody"/>
      </w:pPr>
      <w:r>
        <w:t>The department continued targeted recruitment and retention efforts in 2024–25. This included</w:t>
      </w:r>
    </w:p>
    <w:p w14:paraId="79BC6111" w14:textId="47E6C5AB" w:rsidR="0064038E" w:rsidRPr="00703DCE" w:rsidRDefault="0064038E" w:rsidP="00F375A6">
      <w:pPr>
        <w:pStyle w:val="ARbullet1"/>
        <w:numPr>
          <w:ilvl w:val="0"/>
          <w:numId w:val="22"/>
        </w:numPr>
        <w:rPr>
          <w:lang w:eastAsia="en-AU"/>
        </w:rPr>
      </w:pPr>
      <w:r>
        <w:rPr>
          <w:lang w:eastAsia="en-AU"/>
        </w:rPr>
        <w:t xml:space="preserve">recommending 84 participants in the </w:t>
      </w:r>
      <w:r w:rsidRPr="00703DCE">
        <w:rPr>
          <w:lang w:eastAsia="en-AU"/>
        </w:rPr>
        <w:t>Child Protection Employment Program</w:t>
      </w:r>
      <w:r>
        <w:rPr>
          <w:lang w:eastAsia="en-AU"/>
        </w:rPr>
        <w:t xml:space="preserve"> for further</w:t>
      </w:r>
      <w:r w:rsidR="003E2EC2">
        <w:rPr>
          <w:lang w:eastAsia="en-AU"/>
        </w:rPr>
        <w:t> </w:t>
      </w:r>
      <w:r>
        <w:rPr>
          <w:lang w:eastAsia="en-AU"/>
        </w:rPr>
        <w:t>employment</w:t>
      </w:r>
    </w:p>
    <w:p w14:paraId="4AE4C435" w14:textId="114F8875" w:rsidR="0064038E" w:rsidRPr="00703DCE" w:rsidRDefault="0064038E" w:rsidP="00F375A6">
      <w:pPr>
        <w:pStyle w:val="ARbullet1"/>
        <w:numPr>
          <w:ilvl w:val="0"/>
          <w:numId w:val="22"/>
        </w:numPr>
        <w:rPr>
          <w:lang w:eastAsia="en-AU"/>
        </w:rPr>
      </w:pPr>
      <w:r>
        <w:t>198</w:t>
      </w:r>
      <w:r w:rsidRPr="00703DCE">
        <w:t xml:space="preserve"> tertiary students </w:t>
      </w:r>
      <w:r>
        <w:t xml:space="preserve">commencing a </w:t>
      </w:r>
      <w:r w:rsidRPr="00703DCE">
        <w:t xml:space="preserve">student placement as part of </w:t>
      </w:r>
      <w:r>
        <w:t>the Child Protection Student Placement Program</w:t>
      </w:r>
    </w:p>
    <w:p w14:paraId="454808FC" w14:textId="59EBB51D" w:rsidR="0064038E" w:rsidRDefault="0064038E" w:rsidP="00F375A6">
      <w:pPr>
        <w:pStyle w:val="ARbullet1"/>
        <w:numPr>
          <w:ilvl w:val="0"/>
          <w:numId w:val="22"/>
        </w:numPr>
      </w:pPr>
      <w:r>
        <w:rPr>
          <w:lang w:eastAsia="en-AU"/>
        </w:rPr>
        <w:t>employing 39</w:t>
      </w:r>
      <w:r w:rsidRPr="00703DCE">
        <w:rPr>
          <w:lang w:eastAsia="en-AU"/>
        </w:rPr>
        <w:t xml:space="preserve"> </w:t>
      </w:r>
      <w:r>
        <w:rPr>
          <w:lang w:eastAsia="en-AU"/>
        </w:rPr>
        <w:t>c</w:t>
      </w:r>
      <w:r w:rsidRPr="2663A43C">
        <w:rPr>
          <w:lang w:eastAsia="en-AU"/>
        </w:rPr>
        <w:t xml:space="preserve">hild </w:t>
      </w:r>
      <w:r>
        <w:rPr>
          <w:lang w:eastAsia="en-AU"/>
        </w:rPr>
        <w:t>p</w:t>
      </w:r>
      <w:r w:rsidRPr="2663A43C">
        <w:rPr>
          <w:lang w:eastAsia="en-AU"/>
        </w:rPr>
        <w:t xml:space="preserve">rotection </w:t>
      </w:r>
      <w:r>
        <w:rPr>
          <w:lang w:eastAsia="en-AU"/>
        </w:rPr>
        <w:t>p</w:t>
      </w:r>
      <w:r w:rsidRPr="2663A43C">
        <w:rPr>
          <w:lang w:eastAsia="en-AU"/>
        </w:rPr>
        <w:t>ractitioners recruited</w:t>
      </w:r>
      <w:r>
        <w:rPr>
          <w:lang w:eastAsia="en-AU"/>
        </w:rPr>
        <w:t xml:space="preserve"> </w:t>
      </w:r>
      <w:r w:rsidRPr="00703DCE">
        <w:rPr>
          <w:lang w:eastAsia="en-AU"/>
        </w:rPr>
        <w:t>through the International Recruitment Strategy</w:t>
      </w:r>
      <w:r>
        <w:rPr>
          <w:lang w:eastAsia="en-AU"/>
        </w:rPr>
        <w:t>. This supports qualified and experienced practitioners to relocate to Victoria</w:t>
      </w:r>
    </w:p>
    <w:p w14:paraId="778D7C51" w14:textId="39EFBEC0" w:rsidR="0064038E" w:rsidRPr="00703DCE" w:rsidRDefault="0064038E" w:rsidP="00F375A6">
      <w:pPr>
        <w:pStyle w:val="ARbullet1"/>
        <w:numPr>
          <w:ilvl w:val="0"/>
          <w:numId w:val="22"/>
        </w:numPr>
        <w:rPr>
          <w:lang w:eastAsia="en-AU"/>
        </w:rPr>
      </w:pPr>
      <w:r w:rsidRPr="00703DCE">
        <w:rPr>
          <w:lang w:eastAsia="en-AU"/>
        </w:rPr>
        <w:t>deliver</w:t>
      </w:r>
      <w:r>
        <w:rPr>
          <w:lang w:eastAsia="en-AU"/>
        </w:rPr>
        <w:t>ing</w:t>
      </w:r>
      <w:r w:rsidRPr="00703DCE">
        <w:rPr>
          <w:lang w:eastAsia="en-AU"/>
        </w:rPr>
        <w:t xml:space="preserve"> </w:t>
      </w:r>
      <w:r>
        <w:rPr>
          <w:lang w:eastAsia="en-AU"/>
        </w:rPr>
        <w:t>the</w:t>
      </w:r>
      <w:r w:rsidRPr="00703DCE">
        <w:rPr>
          <w:lang w:eastAsia="en-AU"/>
        </w:rPr>
        <w:t xml:space="preserve"> targeted Go Where You’re Needed recruitment campaign</w:t>
      </w:r>
      <w:r>
        <w:rPr>
          <w:lang w:eastAsia="en-AU"/>
        </w:rPr>
        <w:t xml:space="preserve">. This focused on </w:t>
      </w:r>
      <w:r>
        <w:t>attracting child protection practitioners to regional Victoria</w:t>
      </w:r>
    </w:p>
    <w:p w14:paraId="09E7284A" w14:textId="5201C864" w:rsidR="00EB0DCD" w:rsidRDefault="0064038E" w:rsidP="00F375A6">
      <w:pPr>
        <w:pStyle w:val="ARbullet1"/>
        <w:numPr>
          <w:ilvl w:val="0"/>
          <w:numId w:val="22"/>
        </w:numPr>
      </w:pPr>
      <w:r>
        <w:t>providing a retention allowance of up to $15,000 over 3 years to eligible child protection employees in nominated regional locations. This</w:t>
      </w:r>
      <w:r w:rsidR="003E2EC2">
        <w:t> </w:t>
      </w:r>
      <w:r>
        <w:t>was part of the Victorian Public Sector Enterprise Agreement 2024.</w:t>
      </w:r>
      <w:bookmarkStart w:id="69" w:name="_Toc173830454"/>
      <w:r w:rsidR="00EB0DCD">
        <w:br w:type="page"/>
      </w:r>
    </w:p>
    <w:p w14:paraId="5F468397" w14:textId="1FA62D27" w:rsidR="0064038E" w:rsidRPr="00F43BAB" w:rsidRDefault="0064038E" w:rsidP="00DC0B31">
      <w:pPr>
        <w:pStyle w:val="Heading5"/>
        <w:rPr>
          <w:rFonts w:eastAsia="MS Mincho"/>
        </w:rPr>
      </w:pPr>
      <w:r w:rsidRPr="00F43BAB">
        <w:rPr>
          <w:rFonts w:eastAsia="MS Mincho"/>
        </w:rPr>
        <w:lastRenderedPageBreak/>
        <w:t>Providing an enriched early career experience for community services</w:t>
      </w:r>
      <w:r w:rsidR="00DC0B31">
        <w:rPr>
          <w:rFonts w:eastAsia="MS Mincho"/>
        </w:rPr>
        <w:t> </w:t>
      </w:r>
      <w:r w:rsidRPr="00F43BAB">
        <w:rPr>
          <w:rFonts w:eastAsia="MS Mincho"/>
        </w:rPr>
        <w:t xml:space="preserve">graduates </w:t>
      </w:r>
    </w:p>
    <w:p w14:paraId="2F3332BD" w14:textId="55B4CF42" w:rsidR="0064038E" w:rsidRPr="00044F15" w:rsidRDefault="0064038E">
      <w:pPr>
        <w:pStyle w:val="ARbody"/>
      </w:pPr>
      <w:r w:rsidRPr="00333C91">
        <w:t>The </w:t>
      </w:r>
      <w:r w:rsidRPr="00A32621">
        <w:t>Community</w:t>
      </w:r>
      <w:r w:rsidRPr="00333C91">
        <w:t xml:space="preserve"> and </w:t>
      </w:r>
      <w:r w:rsidRPr="00A32621">
        <w:t>Social Services Graduate Program</w:t>
      </w:r>
      <w:r w:rsidRPr="00333C91">
        <w:t> is</w:t>
      </w:r>
      <w:r>
        <w:t xml:space="preserve"> </w:t>
      </w:r>
      <w:r w:rsidRPr="00333C91">
        <w:t xml:space="preserve">for </w:t>
      </w:r>
      <w:r>
        <w:t xml:space="preserve">new community services practitioners. It provides 12 months of professional development. The </w:t>
      </w:r>
      <w:r w:rsidRPr="009D7075">
        <w:t xml:space="preserve">program </w:t>
      </w:r>
      <w:r>
        <w:t>improves</w:t>
      </w:r>
      <w:r w:rsidRPr="009D7075">
        <w:t xml:space="preserve"> </w:t>
      </w:r>
      <w:r w:rsidRPr="00327849">
        <w:t>graduate job-readiness</w:t>
      </w:r>
      <w:r>
        <w:t xml:space="preserve"> </w:t>
      </w:r>
      <w:r w:rsidRPr="009D7075">
        <w:t>and retention.</w:t>
      </w:r>
      <w:r>
        <w:t xml:space="preserve"> Graduates participate in</w:t>
      </w:r>
      <w:r w:rsidR="00947045">
        <w:t> </w:t>
      </w:r>
      <w:r>
        <w:t xml:space="preserve">cross-sector development activities and professional networking. This builds their skills and confidence as they transition from study to work. </w:t>
      </w:r>
    </w:p>
    <w:p w14:paraId="5A2E524D" w14:textId="26FABEF0" w:rsidR="0064038E" w:rsidRDefault="0064038E">
      <w:pPr>
        <w:pStyle w:val="ARbody"/>
      </w:pPr>
      <w:r w:rsidRPr="00333C91">
        <w:t xml:space="preserve">The program is being delivered over </w:t>
      </w:r>
      <w:r>
        <w:t xml:space="preserve">5 </w:t>
      </w:r>
      <w:r w:rsidRPr="00333C91">
        <w:t>rounds from 202</w:t>
      </w:r>
      <w:r>
        <w:t>4</w:t>
      </w:r>
      <w:r w:rsidRPr="00333C91">
        <w:t xml:space="preserve"> to 202</w:t>
      </w:r>
      <w:r>
        <w:t>7.</w:t>
      </w:r>
      <w:r w:rsidRPr="00333C91">
        <w:t xml:space="preserve"> </w:t>
      </w:r>
      <w:r>
        <w:t xml:space="preserve">There were </w:t>
      </w:r>
      <w:r w:rsidRPr="00223D06">
        <w:t xml:space="preserve">128 graduates </w:t>
      </w:r>
      <w:r>
        <w:t xml:space="preserve">from </w:t>
      </w:r>
      <w:r w:rsidRPr="00223D06">
        <w:t>25</w:t>
      </w:r>
      <w:r>
        <w:t> </w:t>
      </w:r>
      <w:r w:rsidRPr="00223D06">
        <w:t xml:space="preserve">employers </w:t>
      </w:r>
      <w:r>
        <w:t xml:space="preserve">who commenced in the first 2 </w:t>
      </w:r>
      <w:r w:rsidRPr="00223D06">
        <w:t>rounds of the program</w:t>
      </w:r>
      <w:r>
        <w:t>. The t</w:t>
      </w:r>
      <w:r w:rsidRPr="00223D06">
        <w:t>hird round commenc</w:t>
      </w:r>
      <w:r>
        <w:t>es</w:t>
      </w:r>
      <w:r w:rsidRPr="00223D06">
        <w:t xml:space="preserve"> </w:t>
      </w:r>
      <w:r w:rsidRPr="00333C91">
        <w:t>in August 2025.</w:t>
      </w:r>
    </w:p>
    <w:p w14:paraId="3E18456A" w14:textId="53D6CA39" w:rsidR="0064038E" w:rsidRDefault="0064038E">
      <w:pPr>
        <w:pStyle w:val="ARbody"/>
      </w:pPr>
      <w:r>
        <w:t>In 2025, the Graduate Program introduced more support for regional participants. Regional graduates can receive up to $5,000 to help with relocation, establishment and access to learning and development opportunities.</w:t>
      </w:r>
    </w:p>
    <w:p w14:paraId="442BCD7F" w14:textId="77777777" w:rsidR="0064038E" w:rsidRPr="00085F7B" w:rsidRDefault="0064038E">
      <w:pPr>
        <w:pStyle w:val="Heading5"/>
        <w:rPr>
          <w:rFonts w:eastAsia="MS Mincho"/>
        </w:rPr>
      </w:pPr>
      <w:r w:rsidRPr="00085F7B">
        <w:rPr>
          <w:rFonts w:eastAsia="MS Mincho"/>
        </w:rPr>
        <w:t>Reducing barriers to course completion</w:t>
      </w:r>
    </w:p>
    <w:p w14:paraId="01C7508A" w14:textId="2A070166" w:rsidR="00DC0B31" w:rsidRDefault="0064038E">
      <w:pPr>
        <w:pStyle w:val="ARbody"/>
      </w:pPr>
      <w:r w:rsidRPr="4485FEDB">
        <w:t xml:space="preserve">The Regional Disability Worker Scholarships </w:t>
      </w:r>
      <w:r>
        <w:t xml:space="preserve">initiative aims to attract and upskill disability workers in rural and regional areas. The scholarship is for $3,500. Thirty scholarships were awarded in the first round. The second </w:t>
      </w:r>
      <w:r w:rsidRPr="4485FEDB">
        <w:t xml:space="preserve">round </w:t>
      </w:r>
      <w:r>
        <w:t>opens in July</w:t>
      </w:r>
      <w:r w:rsidRPr="4485FEDB">
        <w:t xml:space="preserve"> 2025</w:t>
      </w:r>
      <w:r>
        <w:t>.</w:t>
      </w:r>
      <w:r w:rsidRPr="4485FEDB">
        <w:t xml:space="preserve"> </w:t>
      </w:r>
      <w:r>
        <w:t xml:space="preserve">The third and final round is planned for </w:t>
      </w:r>
      <w:r w:rsidRPr="4485FEDB">
        <w:t>2026.</w:t>
      </w:r>
    </w:p>
    <w:p w14:paraId="566966BE" w14:textId="6578C19A" w:rsidR="0064038E" w:rsidRPr="000D1C60" w:rsidRDefault="0064038E">
      <w:pPr>
        <w:pStyle w:val="Heading5"/>
        <w:rPr>
          <w:rFonts w:eastAsia="MS Mincho"/>
        </w:rPr>
      </w:pPr>
      <w:r w:rsidRPr="000D1C60">
        <w:rPr>
          <w:rFonts w:eastAsia="MS Mincho"/>
        </w:rPr>
        <w:t>Supporting the Aboriginal sector workforce to deliver for Aboriginal communities</w:t>
      </w:r>
    </w:p>
    <w:p w14:paraId="2613E12E" w14:textId="77777777" w:rsidR="00DC0B31" w:rsidRDefault="0064038E">
      <w:pPr>
        <w:pStyle w:val="ARbody"/>
      </w:pPr>
      <w:r>
        <w:t>The department</w:t>
      </w:r>
      <w:r w:rsidRPr="008469AE">
        <w:t xml:space="preserve"> is develop</w:t>
      </w:r>
      <w:r>
        <w:t>ing</w:t>
      </w:r>
      <w:r w:rsidRPr="008469AE">
        <w:t xml:space="preserve"> a 10-year Aboriginal Sector Workforce Strategy</w:t>
      </w:r>
      <w:r>
        <w:t>. We are</w:t>
      </w:r>
      <w:r w:rsidRPr="008469AE">
        <w:t xml:space="preserve"> working under the guidance of the Aboriginal Strategic Governance Forum and a dedicated working group to</w:t>
      </w:r>
      <w:r>
        <w:t xml:space="preserve"> do this</w:t>
      </w:r>
      <w:r w:rsidRPr="008469AE">
        <w:t xml:space="preserve">. </w:t>
      </w:r>
    </w:p>
    <w:p w14:paraId="61010937" w14:textId="479AE9E8" w:rsidR="0064038E" w:rsidRDefault="0064038E">
      <w:pPr>
        <w:pStyle w:val="ARbody"/>
      </w:pPr>
      <w:r w:rsidRPr="008469AE">
        <w:t>The strategy will cover Aboriginal and non-Aboriginal workforce</w:t>
      </w:r>
      <w:r>
        <w:t>s</w:t>
      </w:r>
      <w:r w:rsidRPr="008469AE">
        <w:t xml:space="preserve"> in Aboriginal organisations</w:t>
      </w:r>
      <w:r>
        <w:t>. This includes those working in</w:t>
      </w:r>
      <w:r w:rsidRPr="008469AE">
        <w:t xml:space="preserve"> children and families, family violence</w:t>
      </w:r>
      <w:r>
        <w:t xml:space="preserve"> and sexual assault</w:t>
      </w:r>
      <w:r w:rsidRPr="008469AE">
        <w:t xml:space="preserve">, and housing and homelessness. </w:t>
      </w:r>
    </w:p>
    <w:p w14:paraId="7FCB5E8A" w14:textId="304281CC" w:rsidR="0064038E" w:rsidRDefault="0064038E">
      <w:pPr>
        <w:pStyle w:val="ARbody"/>
      </w:pPr>
      <w:r>
        <w:t xml:space="preserve">A consultation process led by Aboriginal firm ABSTARR will inform the strategy. The strategy supports </w:t>
      </w:r>
      <w:r w:rsidRPr="008469AE">
        <w:t>Closing the Gap</w:t>
      </w:r>
      <w:r>
        <w:t>’s</w:t>
      </w:r>
      <w:r w:rsidRPr="008469AE">
        <w:t xml:space="preserve"> </w:t>
      </w:r>
      <w:r>
        <w:t>p</w:t>
      </w:r>
      <w:r w:rsidRPr="008469AE">
        <w:t xml:space="preserve">riority </w:t>
      </w:r>
      <w:r>
        <w:t>r</w:t>
      </w:r>
      <w:r w:rsidRPr="008469AE">
        <w:t xml:space="preserve">eform 2: </w:t>
      </w:r>
      <w:r>
        <w:t>st</w:t>
      </w:r>
      <w:r w:rsidRPr="008469AE">
        <w:t>rengthening the community-controlled sector.</w:t>
      </w:r>
    </w:p>
    <w:p w14:paraId="37F6D2FD" w14:textId="377132CD" w:rsidR="0064038E" w:rsidRPr="006A37BF" w:rsidRDefault="0064038E">
      <w:pPr>
        <w:pStyle w:val="Heading5"/>
        <w:rPr>
          <w:rFonts w:eastAsia="MS Mincho"/>
        </w:rPr>
      </w:pPr>
      <w:r w:rsidRPr="006A37BF">
        <w:rPr>
          <w:rFonts w:eastAsia="MS Mincho"/>
        </w:rPr>
        <w:t>Strengthening pathways to family violence</w:t>
      </w:r>
      <w:r w:rsidR="00DC0B31">
        <w:rPr>
          <w:rFonts w:eastAsia="MS Mincho"/>
        </w:rPr>
        <w:t> </w:t>
      </w:r>
      <w:r w:rsidRPr="006A37BF">
        <w:rPr>
          <w:rFonts w:eastAsia="MS Mincho"/>
        </w:rPr>
        <w:t>practice</w:t>
      </w:r>
    </w:p>
    <w:p w14:paraId="1308FB52" w14:textId="027A4761" w:rsidR="0064038E" w:rsidRDefault="0064038E" w:rsidP="001F7E4F">
      <w:pPr>
        <w:pStyle w:val="ARbody"/>
      </w:pPr>
      <w:r w:rsidRPr="006A37BF">
        <w:t xml:space="preserve">The Mandatory Minimum Qualifications (MMQ) policy outlines the minimum qualifications </w:t>
      </w:r>
      <w:r>
        <w:t>for</w:t>
      </w:r>
      <w:r w:rsidRPr="006A37BF">
        <w:t xml:space="preserve"> specialist family violence practitioner</w:t>
      </w:r>
      <w:r>
        <w:t>s</w:t>
      </w:r>
      <w:r w:rsidRPr="006A37BF">
        <w:t xml:space="preserve"> in Victoria. </w:t>
      </w:r>
    </w:p>
    <w:p w14:paraId="5A9E303C" w14:textId="0C0256C1" w:rsidR="0064038E" w:rsidRPr="006A37BF" w:rsidRDefault="0064038E" w:rsidP="001F7E4F">
      <w:pPr>
        <w:pStyle w:val="ARbody"/>
      </w:pPr>
      <w:r>
        <w:t xml:space="preserve">The department is reviewing the </w:t>
      </w:r>
      <w:r w:rsidRPr="006A37BF">
        <w:t>MMQ policy</w:t>
      </w:r>
      <w:r>
        <w:t>.</w:t>
      </w:r>
      <w:r w:rsidRPr="006A37BF">
        <w:t xml:space="preserve"> </w:t>
      </w:r>
      <w:r>
        <w:t>To</w:t>
      </w:r>
      <w:r w:rsidR="00DC0B31">
        <w:t> </w:t>
      </w:r>
      <w:r>
        <w:t>inform the review, we</w:t>
      </w:r>
      <w:r w:rsidRPr="006A37BF">
        <w:t xml:space="preserve"> held </w:t>
      </w:r>
      <w:r>
        <w:t xml:space="preserve">11 </w:t>
      </w:r>
      <w:r w:rsidRPr="006A37BF">
        <w:t>consultations</w:t>
      </w:r>
      <w:r>
        <w:t xml:space="preserve"> with</w:t>
      </w:r>
      <w:r w:rsidR="00DC0B31">
        <w:t> </w:t>
      </w:r>
      <w:r>
        <w:t>more than 50 organisations. We will release a</w:t>
      </w:r>
      <w:r w:rsidR="00DC0B31">
        <w:t> </w:t>
      </w:r>
      <w:r>
        <w:t>revised policy in the coming months.</w:t>
      </w:r>
    </w:p>
    <w:p w14:paraId="01AD5786" w14:textId="340AA983" w:rsidR="0064038E" w:rsidRDefault="0064038E" w:rsidP="001F7E4F">
      <w:pPr>
        <w:pStyle w:val="ARbody"/>
      </w:pPr>
      <w:r>
        <w:t>Recent</w:t>
      </w:r>
      <w:r w:rsidRPr="006A37BF">
        <w:t xml:space="preserve"> evaluation</w:t>
      </w:r>
      <w:r>
        <w:t xml:space="preserve"> of the policy</w:t>
      </w:r>
      <w:r w:rsidRPr="006A37BF">
        <w:t xml:space="preserve"> highlighted </w:t>
      </w:r>
      <w:r>
        <w:t>several issues. These include the</w:t>
      </w:r>
      <w:r w:rsidRPr="006A37BF">
        <w:t xml:space="preserve"> need for more flexible, culturally appropriate training pathways</w:t>
      </w:r>
      <w:r>
        <w:t xml:space="preserve">. This is especially the case </w:t>
      </w:r>
      <w:r w:rsidRPr="006A37BF">
        <w:t xml:space="preserve">for Aboriginal workers and </w:t>
      </w:r>
      <w:r>
        <w:t>people</w:t>
      </w:r>
      <w:r w:rsidRPr="006A37BF">
        <w:t xml:space="preserve"> living outside metropolitan Melbourne. </w:t>
      </w:r>
    </w:p>
    <w:p w14:paraId="72036E78" w14:textId="30EBBA66" w:rsidR="0064038E" w:rsidRDefault="0064038E" w:rsidP="001F7E4F">
      <w:pPr>
        <w:pStyle w:val="ARbody"/>
      </w:pPr>
      <w:r>
        <w:t>We are adapting the Graduate Certificate of Social and Community Services. This will meet the needs of the Aboriginal family violence sector as well as the broader sector in rural areas. We will partner</w:t>
      </w:r>
      <w:r w:rsidRPr="006A37BF">
        <w:t xml:space="preserve"> with Federation University, </w:t>
      </w:r>
      <w:r>
        <w:t xml:space="preserve">ACCOs </w:t>
      </w:r>
      <w:r w:rsidRPr="006A37BF">
        <w:t xml:space="preserve">and the family violence sector to design and deliver </w:t>
      </w:r>
      <w:r>
        <w:t>the course</w:t>
      </w:r>
      <w:r w:rsidRPr="006A37BF">
        <w:t xml:space="preserve">. </w:t>
      </w:r>
    </w:p>
    <w:p w14:paraId="08B1D3AE" w14:textId="64A8260E" w:rsidR="0064038E" w:rsidRPr="00FF0CBD" w:rsidRDefault="0064038E" w:rsidP="00947045">
      <w:pPr>
        <w:pStyle w:val="Heading5"/>
        <w:rPr>
          <w:rFonts w:eastAsia="MS Mincho"/>
        </w:rPr>
      </w:pPr>
      <w:r w:rsidRPr="00FF0CBD">
        <w:rPr>
          <w:rFonts w:eastAsia="MS Mincho"/>
        </w:rPr>
        <w:t xml:space="preserve">Implementing the </w:t>
      </w:r>
      <w:r>
        <w:rPr>
          <w:rFonts w:eastAsia="MS Mincho"/>
        </w:rPr>
        <w:t>second</w:t>
      </w:r>
      <w:r w:rsidRPr="00FF0CBD">
        <w:rPr>
          <w:rFonts w:eastAsia="MS Mincho"/>
        </w:rPr>
        <w:t xml:space="preserve"> </w:t>
      </w:r>
      <w:r>
        <w:rPr>
          <w:rFonts w:eastAsia="MS Mincho"/>
        </w:rPr>
        <w:t>r</w:t>
      </w:r>
      <w:r w:rsidRPr="00FF0CBD">
        <w:rPr>
          <w:rFonts w:eastAsia="MS Mincho"/>
        </w:rPr>
        <w:t xml:space="preserve">olling </w:t>
      </w:r>
      <w:r>
        <w:rPr>
          <w:rFonts w:eastAsia="MS Mincho"/>
        </w:rPr>
        <w:t>a</w:t>
      </w:r>
      <w:r w:rsidRPr="00FF0CBD">
        <w:rPr>
          <w:rFonts w:eastAsia="MS Mincho"/>
        </w:rPr>
        <w:t xml:space="preserve">ction </w:t>
      </w:r>
      <w:r>
        <w:rPr>
          <w:rFonts w:eastAsia="MS Mincho"/>
        </w:rPr>
        <w:t>p</w:t>
      </w:r>
      <w:r w:rsidRPr="00FF0CBD">
        <w:rPr>
          <w:rFonts w:eastAsia="MS Mincho"/>
        </w:rPr>
        <w:t>lan under the Family Violence Industry</w:t>
      </w:r>
      <w:r w:rsidR="00DC0B31">
        <w:rPr>
          <w:rFonts w:eastAsia="MS Mincho"/>
        </w:rPr>
        <w:t> </w:t>
      </w:r>
      <w:r w:rsidRPr="00FF0CBD">
        <w:rPr>
          <w:rFonts w:eastAsia="MS Mincho"/>
        </w:rPr>
        <w:t>Plan</w:t>
      </w:r>
    </w:p>
    <w:p w14:paraId="29127BC6" w14:textId="5E8DCF58" w:rsidR="0064038E" w:rsidRDefault="0064038E">
      <w:pPr>
        <w:pStyle w:val="ARbody"/>
      </w:pPr>
      <w:r>
        <w:t xml:space="preserve">We continue to deliver actions under </w:t>
      </w:r>
      <w:r>
        <w:rPr>
          <w:iCs/>
        </w:rPr>
        <w:t xml:space="preserve">the </w:t>
      </w:r>
      <w:r w:rsidRPr="00E267BF">
        <w:rPr>
          <w:iCs/>
        </w:rPr>
        <w:t>second</w:t>
      </w:r>
      <w:r w:rsidRPr="00895FCE">
        <w:t xml:space="preserve"> rolling action plan of </w:t>
      </w:r>
      <w:r>
        <w:t xml:space="preserve">the Family Violence Industry Plan. This plan strengthens workforce capability around Multi-Agency Risk Assessment and Management (MARAM) Framework responsibilities. It also recognises the value of lived experience and future workforce needs. </w:t>
      </w:r>
    </w:p>
    <w:p w14:paraId="4523324C" w14:textId="0AA87E22" w:rsidR="0064038E" w:rsidRDefault="0064038E">
      <w:pPr>
        <w:pStyle w:val="ARbody"/>
      </w:pPr>
      <w:r>
        <w:t>In partnership with the sector, we also redeveloped Responding to Family Violence and Preventing Family Violence and Gender-Based Violence Capability Frameworks. This work supports embedding family violence capability across</w:t>
      </w:r>
      <w:r w:rsidR="000C34BF">
        <w:t> </w:t>
      </w:r>
      <w:r>
        <w:t xml:space="preserve">Victoria. </w:t>
      </w:r>
    </w:p>
    <w:p w14:paraId="724D5F81" w14:textId="58CE926E" w:rsidR="0064038E" w:rsidRDefault="0064038E">
      <w:pPr>
        <w:pStyle w:val="ARbody"/>
      </w:pPr>
      <w:r>
        <w:t>These frameworks</w:t>
      </w:r>
      <w:r w:rsidRPr="008B6A46">
        <w:t xml:space="preserve"> </w:t>
      </w:r>
      <w:r>
        <w:t>are due for release by the end of 2025. We will also release a new Responding to Sexual Violence and Harmful Behaviours Capability</w:t>
      </w:r>
      <w:r w:rsidR="000C34BF">
        <w:t> </w:t>
      </w:r>
      <w:r>
        <w:t>Framework.</w:t>
      </w:r>
    </w:p>
    <w:p w14:paraId="1D55C629" w14:textId="35C4D0F6" w:rsidR="00EB0DCD" w:rsidRDefault="0064038E">
      <w:pPr>
        <w:pStyle w:val="ARbody"/>
      </w:pPr>
      <w:r>
        <w:t xml:space="preserve">The Workforce Vacancies Demonstration Program </w:t>
      </w:r>
      <w:r w:rsidRPr="00AD408C">
        <w:t>address</w:t>
      </w:r>
      <w:r>
        <w:t>es</w:t>
      </w:r>
      <w:r w:rsidRPr="00AD408C">
        <w:t xml:space="preserve"> workforce vacancies in the family and sexual violence sectors</w:t>
      </w:r>
      <w:r>
        <w:t xml:space="preserve">. Four local partnerships, comprising 25 organisations, are testing approaches to addressing workforce vacancies. </w:t>
      </w:r>
      <w:r w:rsidR="00EB0DCD">
        <w:br w:type="page"/>
      </w:r>
    </w:p>
    <w:p w14:paraId="7E9FD4C1" w14:textId="51B7C0C5" w:rsidR="0064038E" w:rsidRPr="001752B9" w:rsidRDefault="0064038E">
      <w:pPr>
        <w:pStyle w:val="ARbody"/>
      </w:pPr>
      <w:r>
        <w:lastRenderedPageBreak/>
        <w:t>In addition, we published the</w:t>
      </w:r>
      <w:r w:rsidRPr="001752B9">
        <w:t xml:space="preserve"> </w:t>
      </w:r>
      <w:proofErr w:type="gramStart"/>
      <w:r w:rsidRPr="00E6224B">
        <w:rPr>
          <w:rStyle w:val="Emphasis"/>
        </w:rPr>
        <w:t>Best</w:t>
      </w:r>
      <w:proofErr w:type="gramEnd"/>
      <w:r w:rsidRPr="00E6224B">
        <w:rPr>
          <w:rStyle w:val="Emphasis"/>
        </w:rPr>
        <w:t xml:space="preserve"> practice supervision guidelines</w:t>
      </w:r>
      <w:r w:rsidRPr="001752B9">
        <w:t xml:space="preserve"> </w:t>
      </w:r>
      <w:r>
        <w:t>in July 2024. The guidelines were</w:t>
      </w:r>
      <w:r w:rsidRPr="001752B9">
        <w:t xml:space="preserve"> developed in collaboration with the family violence, sexual assault and child wellbeing sectors</w:t>
      </w:r>
      <w:r>
        <w:t>. They</w:t>
      </w:r>
      <w:r w:rsidRPr="001752B9">
        <w:t xml:space="preserve"> </w:t>
      </w:r>
      <w:r>
        <w:t>set out</w:t>
      </w:r>
      <w:r w:rsidRPr="001752B9">
        <w:t xml:space="preserve"> a consistent </w:t>
      </w:r>
      <w:r>
        <w:t xml:space="preserve">approach to </w:t>
      </w:r>
      <w:r w:rsidRPr="001752B9">
        <w:t>supervision</w:t>
      </w:r>
      <w:r>
        <w:t>.</w:t>
      </w:r>
      <w:r w:rsidRPr="001752B9">
        <w:t xml:space="preserve"> </w:t>
      </w:r>
      <w:r>
        <w:t>This will improve</w:t>
      </w:r>
      <w:r w:rsidRPr="001752B9">
        <w:t xml:space="preserve"> supervision practice</w:t>
      </w:r>
      <w:r>
        <w:t xml:space="preserve"> across Victoria</w:t>
      </w:r>
      <w:r w:rsidRPr="001752B9">
        <w:t xml:space="preserve">. The guidelines </w:t>
      </w:r>
      <w:r>
        <w:t>include</w:t>
      </w:r>
      <w:r w:rsidRPr="001752B9">
        <w:t xml:space="preserve"> videos</w:t>
      </w:r>
      <w:r>
        <w:t xml:space="preserve"> and</w:t>
      </w:r>
      <w:r w:rsidRPr="001752B9">
        <w:t xml:space="preserve"> discussion guides. </w:t>
      </w:r>
    </w:p>
    <w:p w14:paraId="476BDB9F" w14:textId="69CD6BD0" w:rsidR="00947045" w:rsidRDefault="0064038E" w:rsidP="0064038E">
      <w:pPr>
        <w:pStyle w:val="ARbody"/>
      </w:pPr>
      <w:r w:rsidRPr="001752B9">
        <w:t xml:space="preserve">The Workers with Lived </w:t>
      </w:r>
      <w:r>
        <w:t xml:space="preserve">and Living </w:t>
      </w:r>
      <w:r w:rsidRPr="001752B9">
        <w:t>Experience Project promote</w:t>
      </w:r>
      <w:r>
        <w:t>s</w:t>
      </w:r>
      <w:r w:rsidRPr="001752B9">
        <w:t xml:space="preserve"> positive work environments for workers with lived </w:t>
      </w:r>
      <w:r>
        <w:t xml:space="preserve">and living </w:t>
      </w:r>
      <w:r w:rsidRPr="001752B9">
        <w:t>experience of family violence and/or sexual violence</w:t>
      </w:r>
      <w:r>
        <w:t>. I</w:t>
      </w:r>
      <w:r w:rsidR="001A7189">
        <w:t>t</w:t>
      </w:r>
      <w:r>
        <w:t xml:space="preserve"> includes resources and guidance for employers. This supports, v</w:t>
      </w:r>
      <w:r w:rsidRPr="001752B9">
        <w:t>alu</w:t>
      </w:r>
      <w:r>
        <w:t>es</w:t>
      </w:r>
      <w:r w:rsidRPr="001752B9">
        <w:t xml:space="preserve"> and leverag</w:t>
      </w:r>
      <w:r>
        <w:t>es</w:t>
      </w:r>
      <w:r w:rsidRPr="001752B9">
        <w:t xml:space="preserve"> the expertise of workers with lived experience.</w:t>
      </w:r>
      <w:bookmarkEnd w:id="69"/>
    </w:p>
    <w:p w14:paraId="0FD53A22" w14:textId="77777777" w:rsidR="0064038E" w:rsidRDefault="0064038E">
      <w:pPr>
        <w:pStyle w:val="Heading5"/>
        <w:rPr>
          <w:lang w:eastAsia="en-AU"/>
        </w:rPr>
      </w:pPr>
      <w:r>
        <w:rPr>
          <w:lang w:eastAsia="en-AU"/>
        </w:rPr>
        <w:t xml:space="preserve">Strengthening women’s safety package </w:t>
      </w:r>
    </w:p>
    <w:p w14:paraId="0223D5E4" w14:textId="7B11F5E6" w:rsidR="0064038E" w:rsidRDefault="0064038E">
      <w:pPr>
        <w:pStyle w:val="ARbody"/>
        <w:rPr>
          <w:lang w:eastAsia="en-AU"/>
        </w:rPr>
      </w:pPr>
      <w:r>
        <w:rPr>
          <w:lang w:eastAsia="en-AU"/>
        </w:rPr>
        <w:t xml:space="preserve">On 30 May 2024, the Victorian Government announced the $92.8 million Strengthening Women’s Safety Package. This investment accelerates prevention and response to family, sexual and gender-based violence. </w:t>
      </w:r>
    </w:p>
    <w:p w14:paraId="33D12D66" w14:textId="05E7DB04" w:rsidR="0064038E" w:rsidRDefault="0064038E">
      <w:pPr>
        <w:pStyle w:val="ARbody"/>
        <w:rPr>
          <w:lang w:eastAsia="en-AU"/>
        </w:rPr>
      </w:pPr>
      <w:r>
        <w:rPr>
          <w:lang w:eastAsia="en-AU"/>
        </w:rPr>
        <w:t>The package provides a long-term focus on women’s safety and gender equality. It comprises 16 initiatives designed to change laws, shift community attitudes and expand supports for</w:t>
      </w:r>
      <w:r w:rsidR="000C34BF">
        <w:rPr>
          <w:lang w:eastAsia="en-AU"/>
        </w:rPr>
        <w:t> </w:t>
      </w:r>
      <w:r w:rsidRPr="000C34BF">
        <w:t>victim</w:t>
      </w:r>
      <w:r w:rsidR="000C34BF">
        <w:t> </w:t>
      </w:r>
      <w:r w:rsidRPr="000C34BF">
        <w:t>survivors</w:t>
      </w:r>
      <w:r>
        <w:rPr>
          <w:lang w:eastAsia="en-AU"/>
        </w:rPr>
        <w:t xml:space="preserve">. </w:t>
      </w:r>
    </w:p>
    <w:p w14:paraId="7CB4D37E" w14:textId="275CA2D7" w:rsidR="00947045" w:rsidRDefault="0064038E">
      <w:pPr>
        <w:pStyle w:val="ARbody"/>
        <w:rPr>
          <w:lang w:eastAsia="en-AU"/>
        </w:rPr>
      </w:pPr>
      <w:r>
        <w:rPr>
          <w:lang w:eastAsia="en-AU"/>
        </w:rPr>
        <w:t>This includes nation-leading primary prevention measures, improved services for victim survivors and legislative reforms to increase perpetrator</w:t>
      </w:r>
      <w:r w:rsidR="000C34BF">
        <w:rPr>
          <w:lang w:eastAsia="en-AU"/>
        </w:rPr>
        <w:t> </w:t>
      </w:r>
      <w:r>
        <w:rPr>
          <w:lang w:eastAsia="en-AU"/>
        </w:rPr>
        <w:t>accountability.</w:t>
      </w:r>
    </w:p>
    <w:p w14:paraId="4E511240" w14:textId="4C354B58" w:rsidR="0064038E" w:rsidRDefault="0064038E">
      <w:pPr>
        <w:pStyle w:val="ARbody"/>
        <w:rPr>
          <w:lang w:eastAsia="en-AU"/>
        </w:rPr>
      </w:pPr>
      <w:r>
        <w:rPr>
          <w:lang w:eastAsia="en-AU"/>
        </w:rPr>
        <w:t>The department is delivering key initiatives through the package. These include:</w:t>
      </w:r>
    </w:p>
    <w:p w14:paraId="17360009" w14:textId="51099F5E" w:rsidR="0064038E" w:rsidRDefault="0064038E" w:rsidP="00F375A6">
      <w:pPr>
        <w:pStyle w:val="ARbullet1"/>
        <w:numPr>
          <w:ilvl w:val="0"/>
          <w:numId w:val="22"/>
        </w:numPr>
        <w:rPr>
          <w:lang w:eastAsia="en-AU"/>
        </w:rPr>
      </w:pPr>
      <w:r>
        <w:rPr>
          <w:lang w:eastAsia="en-AU"/>
        </w:rPr>
        <w:t>Safe at Home (refer to the following section) and the Justice Navigator pilot to support victims of sexual assault</w:t>
      </w:r>
    </w:p>
    <w:p w14:paraId="0DAC2A7F" w14:textId="040D6462" w:rsidR="0064038E" w:rsidRDefault="00EF6FC3" w:rsidP="00F375A6">
      <w:pPr>
        <w:pStyle w:val="ARbullet1"/>
        <w:numPr>
          <w:ilvl w:val="0"/>
          <w:numId w:val="22"/>
        </w:numPr>
        <w:rPr>
          <w:lang w:eastAsia="en-AU"/>
        </w:rPr>
      </w:pPr>
      <w:r>
        <w:rPr>
          <w:lang w:eastAsia="en-AU"/>
        </w:rPr>
        <w:t xml:space="preserve">working with Respect Victoria to implement </w:t>
      </w:r>
      <w:r w:rsidRPr="00B55528">
        <w:rPr>
          <w:lang w:eastAsia="en-AU"/>
        </w:rPr>
        <w:t>Respect Ballarat</w:t>
      </w:r>
      <w:r w:rsidRPr="00B90E85">
        <w:rPr>
          <w:lang w:eastAsia="en-AU"/>
        </w:rPr>
        <w:t xml:space="preserve"> </w:t>
      </w:r>
      <w:r>
        <w:rPr>
          <w:lang w:eastAsia="en-AU"/>
        </w:rPr>
        <w:t>– a coordinated approach to preventing family violence</w:t>
      </w:r>
    </w:p>
    <w:p w14:paraId="20E6F9B8" w14:textId="3E95A5EE" w:rsidR="0064038E" w:rsidRDefault="0064038E" w:rsidP="00F375A6">
      <w:pPr>
        <w:pStyle w:val="ARbullet1"/>
        <w:numPr>
          <w:ilvl w:val="0"/>
          <w:numId w:val="22"/>
        </w:numPr>
        <w:rPr>
          <w:lang w:eastAsia="en-AU"/>
        </w:rPr>
      </w:pPr>
      <w:r>
        <w:rPr>
          <w:lang w:eastAsia="en-AU"/>
        </w:rPr>
        <w:t>working with the Department of Justice and Community Safety on a landmark perpetrator</w:t>
      </w:r>
      <w:r w:rsidR="000C34BF">
        <w:rPr>
          <w:lang w:eastAsia="en-AU"/>
        </w:rPr>
        <w:t> </w:t>
      </w:r>
      <w:r>
        <w:rPr>
          <w:lang w:eastAsia="en-AU"/>
        </w:rPr>
        <w:t>study.</w:t>
      </w:r>
    </w:p>
    <w:p w14:paraId="5806C86E" w14:textId="04CCF8D6" w:rsidR="0064038E" w:rsidRDefault="00EB0DCD" w:rsidP="00EB0DCD">
      <w:pPr>
        <w:pStyle w:val="Heading5"/>
        <w:spacing w:before="0"/>
        <w:rPr>
          <w:lang w:eastAsia="en-AU"/>
        </w:rPr>
      </w:pPr>
      <w:r>
        <w:rPr>
          <w:lang w:eastAsia="en-AU"/>
        </w:rPr>
        <w:br w:type="column"/>
      </w:r>
      <w:r w:rsidR="0064038E">
        <w:rPr>
          <w:lang w:eastAsia="en-AU"/>
        </w:rPr>
        <w:t xml:space="preserve">Safe at Home pilot </w:t>
      </w:r>
    </w:p>
    <w:p w14:paraId="174413D5" w14:textId="08ADE887" w:rsidR="0064038E" w:rsidRDefault="0064038E">
      <w:pPr>
        <w:pStyle w:val="ARbody"/>
        <w:rPr>
          <w:lang w:eastAsia="en-AU"/>
        </w:rPr>
      </w:pPr>
      <w:r>
        <w:rPr>
          <w:lang w:eastAsia="en-AU"/>
        </w:rPr>
        <w:t>The Safe at Home pilot removes the person using violence from the home. This allows victim</w:t>
      </w:r>
      <w:r w:rsidR="00494C07">
        <w:rPr>
          <w:lang w:eastAsia="en-AU"/>
        </w:rPr>
        <w:t xml:space="preserve"> </w:t>
      </w:r>
      <w:r>
        <w:rPr>
          <w:lang w:eastAsia="en-AU"/>
        </w:rPr>
        <w:t xml:space="preserve">survivors, including children and young people, to stay safely at home. It is a 3-year trial. </w:t>
      </w:r>
    </w:p>
    <w:p w14:paraId="29B98D20" w14:textId="667235BB" w:rsidR="0064038E" w:rsidRDefault="0064038E">
      <w:pPr>
        <w:pStyle w:val="ARbody"/>
        <w:rPr>
          <w:lang w:eastAsia="en-AU"/>
        </w:rPr>
      </w:pPr>
      <w:r>
        <w:rPr>
          <w:lang w:eastAsia="en-AU"/>
        </w:rPr>
        <w:t>McAuley Community Services for Women developed the pilot in partnership with Meli. The program was informed by research, consultation with victim survivors and collaboration with frontline</w:t>
      </w:r>
      <w:r w:rsidR="000C34BF">
        <w:rPr>
          <w:lang w:eastAsia="en-AU"/>
        </w:rPr>
        <w:t> </w:t>
      </w:r>
      <w:r>
        <w:rPr>
          <w:lang w:eastAsia="en-AU"/>
        </w:rPr>
        <w:t xml:space="preserve">services. </w:t>
      </w:r>
    </w:p>
    <w:p w14:paraId="1B27C977" w14:textId="12BE2DFB" w:rsidR="004E21B8" w:rsidRDefault="0064038E">
      <w:pPr>
        <w:pStyle w:val="ARbody"/>
        <w:rPr>
          <w:lang w:eastAsia="en-AU"/>
        </w:rPr>
      </w:pPr>
      <w:r>
        <w:rPr>
          <w:lang w:eastAsia="en-AU"/>
        </w:rPr>
        <w:t>It will support 54 victim survivors using wrap</w:t>
      </w:r>
      <w:r w:rsidR="00DC6507">
        <w:rPr>
          <w:lang w:eastAsia="en-AU"/>
        </w:rPr>
        <w:t>-</w:t>
      </w:r>
      <w:r>
        <w:rPr>
          <w:lang w:eastAsia="en-AU"/>
        </w:rPr>
        <w:t xml:space="preserve">around services. This includes case management, trauma counselling, legal and financial advice, housing support and flexible funding for specialist needs. </w:t>
      </w:r>
    </w:p>
    <w:p w14:paraId="7E647437" w14:textId="5A84290D" w:rsidR="0064038E" w:rsidRDefault="0064038E">
      <w:pPr>
        <w:pStyle w:val="ARbody"/>
        <w:rPr>
          <w:lang w:eastAsia="en-AU"/>
        </w:rPr>
      </w:pPr>
      <w:r>
        <w:rPr>
          <w:lang w:eastAsia="en-AU"/>
        </w:rPr>
        <w:t xml:space="preserve">The model prioritises ongoing risk assessment and immediate crisis accommodation. It shifts responsibility to the person using violence by moving them away from victim survivors. It supports them to find alternative accommodation and to change their behaviour. The pilot works with Victoria Police, the courts and service providers. It aims to strengthen community connections, reduce homelessness risks and create a more sustainable, victim-centred family violence response. </w:t>
      </w:r>
    </w:p>
    <w:p w14:paraId="6ECB548B" w14:textId="12634FD6" w:rsidR="0064038E" w:rsidRDefault="0064038E">
      <w:pPr>
        <w:pStyle w:val="Heading5"/>
        <w:rPr>
          <w:lang w:eastAsia="en-AU"/>
        </w:rPr>
      </w:pPr>
      <w:r>
        <w:rPr>
          <w:lang w:eastAsia="en-AU"/>
        </w:rPr>
        <w:t>Aboriginal Community Initiatives Fund</w:t>
      </w:r>
    </w:p>
    <w:p w14:paraId="09774E5D" w14:textId="5AACE6C4" w:rsidR="0064038E" w:rsidRDefault="0064038E">
      <w:pPr>
        <w:pStyle w:val="ARbody"/>
        <w:rPr>
          <w:lang w:eastAsia="en-AU"/>
        </w:rPr>
      </w:pPr>
      <w:r>
        <w:rPr>
          <w:lang w:eastAsia="en-AU"/>
        </w:rPr>
        <w:t>The Aboriginal Community Initiatives Fund strengthens Aboriginal-led approaches to preventing and responding to family violence. It is delivered in partnership with Dhelk Dja Koori Regional Action Groups. In 2024–25, the fund supported 27 place-based projects. This included trauma-informed women’s groups, community sports initiatives and Elders gatherings promoting cultural healing and prevention. The project has delivered more than 400 projects over the past</w:t>
      </w:r>
      <w:r w:rsidR="000C34BF">
        <w:rPr>
          <w:lang w:eastAsia="en-AU"/>
        </w:rPr>
        <w:t> </w:t>
      </w:r>
      <w:r>
        <w:rPr>
          <w:lang w:eastAsia="en-AU"/>
        </w:rPr>
        <w:t xml:space="preserve">decade. </w:t>
      </w:r>
    </w:p>
    <w:p w14:paraId="4105EE9F" w14:textId="6984FE8F" w:rsidR="0064038E" w:rsidRDefault="0064038E">
      <w:pPr>
        <w:pStyle w:val="Heading5"/>
        <w:rPr>
          <w:lang w:eastAsia="en-AU"/>
        </w:rPr>
      </w:pPr>
      <w:r>
        <w:rPr>
          <w:lang w:eastAsia="en-AU"/>
        </w:rPr>
        <w:t>Supporting multicultural and faith communities to prevent and respond to family violence</w:t>
      </w:r>
    </w:p>
    <w:p w14:paraId="1BA02361" w14:textId="2769EAE9" w:rsidR="0064038E" w:rsidRDefault="0064038E">
      <w:pPr>
        <w:pStyle w:val="ARbody"/>
        <w:rPr>
          <w:lang w:eastAsia="en-AU"/>
        </w:rPr>
      </w:pPr>
      <w:r>
        <w:rPr>
          <w:lang w:eastAsia="en-AU"/>
        </w:rPr>
        <w:t xml:space="preserve">Guided by the </w:t>
      </w:r>
      <w:r w:rsidRPr="00E6224B">
        <w:rPr>
          <w:rStyle w:val="Emphasis"/>
        </w:rPr>
        <w:t xml:space="preserve">Everybody </w:t>
      </w:r>
      <w:proofErr w:type="gramStart"/>
      <w:r w:rsidRPr="00E6224B">
        <w:rPr>
          <w:rStyle w:val="Emphasis"/>
        </w:rPr>
        <w:t>matters:</w:t>
      </w:r>
      <w:proofErr w:type="gramEnd"/>
      <w:r w:rsidRPr="00E6224B">
        <w:rPr>
          <w:rStyle w:val="Emphasis"/>
        </w:rPr>
        <w:t xml:space="preserve"> inclusion and equity statement</w:t>
      </w:r>
      <w:r>
        <w:rPr>
          <w:lang w:eastAsia="en-AU"/>
        </w:rPr>
        <w:t xml:space="preserve">, the department is building a culturally responsive family violence system. </w:t>
      </w:r>
    </w:p>
    <w:p w14:paraId="6979FD01" w14:textId="0F4EDEC1" w:rsidR="0064038E" w:rsidRDefault="0064038E">
      <w:pPr>
        <w:pStyle w:val="ARbody"/>
        <w:rPr>
          <w:lang w:eastAsia="en-AU"/>
        </w:rPr>
      </w:pPr>
      <w:r>
        <w:rPr>
          <w:lang w:eastAsia="en-AU"/>
        </w:rPr>
        <w:t xml:space="preserve">Since 2021, more than 35,000 people from culturally diverse communities participated in initiatives that improve access to support services. </w:t>
      </w:r>
    </w:p>
    <w:p w14:paraId="07EBF51F" w14:textId="492AE34E" w:rsidR="0064038E" w:rsidRDefault="0064038E">
      <w:pPr>
        <w:pStyle w:val="ARbody"/>
        <w:rPr>
          <w:lang w:eastAsia="en-AU"/>
        </w:rPr>
      </w:pPr>
      <w:r>
        <w:rPr>
          <w:lang w:eastAsia="en-AU"/>
        </w:rPr>
        <w:t xml:space="preserve">Specialist organisations such as InTouch Multicultural Centre Against Family Violence and Wellsprings for Women provide tailored case management. Interpreters work across all services to ensure accessibility. </w:t>
      </w:r>
    </w:p>
    <w:p w14:paraId="1E68A866" w14:textId="24F6ACBC" w:rsidR="00C34CD4" w:rsidRDefault="0064038E">
      <w:pPr>
        <w:pStyle w:val="ARbody"/>
        <w:rPr>
          <w:lang w:eastAsia="en-AU"/>
        </w:rPr>
      </w:pPr>
      <w:r>
        <w:rPr>
          <w:lang w:eastAsia="en-AU"/>
        </w:rPr>
        <w:lastRenderedPageBreak/>
        <w:t>The Working Together: Strengthening Family and Sexual Violence Support with Multicultural Communities program is fostering 17 partnerships. These partnerships are between multicultural organisations and family violence services. Peak bodies, including Safe and Equal and Sexual Assault Services Victoria, are also supporting workforces to embed culturally safe practices.</w:t>
      </w:r>
    </w:p>
    <w:p w14:paraId="38C1CF51" w14:textId="775135F0" w:rsidR="0064038E" w:rsidRDefault="0064038E">
      <w:pPr>
        <w:pStyle w:val="Heading5"/>
        <w:rPr>
          <w:lang w:eastAsia="en-AU"/>
        </w:rPr>
      </w:pPr>
      <w:r>
        <w:rPr>
          <w:lang w:eastAsia="en-AU"/>
        </w:rPr>
        <w:t>Family Violence Multi-Agency Risk Assessment and Management (MARAM)</w:t>
      </w:r>
      <w:r w:rsidR="00947045">
        <w:rPr>
          <w:lang w:eastAsia="en-AU"/>
        </w:rPr>
        <w:t> </w:t>
      </w:r>
      <w:r>
        <w:rPr>
          <w:lang w:eastAsia="en-AU"/>
        </w:rPr>
        <w:t xml:space="preserve">Framework </w:t>
      </w:r>
    </w:p>
    <w:p w14:paraId="7E3B39DB" w14:textId="31B57288" w:rsidR="0064038E" w:rsidRDefault="0064038E">
      <w:pPr>
        <w:pStyle w:val="ARbody"/>
        <w:rPr>
          <w:lang w:eastAsia="en-AU"/>
        </w:rPr>
      </w:pPr>
      <w:r>
        <w:rPr>
          <w:lang w:eastAsia="en-AU"/>
        </w:rPr>
        <w:t xml:space="preserve">The Family Violence Multi-Agency Risk Assessment and Management (MARAM) Framework continues to strengthen Victoria’s system-wide response to family violence. MARAM covers more than 6,500 organisations across health, education, justice and community services. It equips practitioners to identify, assess and manage risk effectively. </w:t>
      </w:r>
    </w:p>
    <w:p w14:paraId="1E2A6737" w14:textId="21969C87" w:rsidR="0050507E" w:rsidRPr="000F7B46" w:rsidRDefault="0050507E" w:rsidP="0050507E">
      <w:pPr>
        <w:pStyle w:val="ARbody"/>
        <w:rPr>
          <w:lang w:eastAsia="en-AU"/>
        </w:rPr>
      </w:pPr>
      <w:r w:rsidRPr="000F7B46">
        <w:rPr>
          <w:lang w:eastAsia="en-AU"/>
        </w:rPr>
        <w:t xml:space="preserve">Statewide, more than 87,000 professionals </w:t>
      </w:r>
      <w:r w:rsidR="009515C6">
        <w:rPr>
          <w:lang w:eastAsia="en-AU"/>
        </w:rPr>
        <w:t xml:space="preserve">across </w:t>
      </w:r>
      <w:r w:rsidR="009515C6" w:rsidRPr="009515C6">
        <w:rPr>
          <w:lang w:eastAsia="en-AU"/>
        </w:rPr>
        <w:t xml:space="preserve">health, education, justice and community services </w:t>
      </w:r>
      <w:r w:rsidRPr="000F7B46">
        <w:rPr>
          <w:lang w:eastAsia="en-AU"/>
        </w:rPr>
        <w:t>participated in MARAM and Information Sharing training in 2024</w:t>
      </w:r>
      <w:r w:rsidR="00B90E85">
        <w:rPr>
          <w:lang w:eastAsia="en-AU"/>
        </w:rPr>
        <w:t>–</w:t>
      </w:r>
      <w:r w:rsidRPr="000F7B46">
        <w:rPr>
          <w:lang w:eastAsia="en-AU"/>
        </w:rPr>
        <w:t>25. Of these, more than 6,000 modules of training on responding to people using violence have been delivered to practitioners statewide. This follows the roll-out of victim survivor-focused MARAM training.</w:t>
      </w:r>
    </w:p>
    <w:p w14:paraId="412778D3" w14:textId="698C0433" w:rsidR="0064038E" w:rsidRDefault="0050507E">
      <w:pPr>
        <w:pStyle w:val="ARbody"/>
        <w:rPr>
          <w:lang w:eastAsia="en-AU"/>
        </w:rPr>
      </w:pPr>
      <w:r w:rsidRPr="000F7B46">
        <w:rPr>
          <w:lang w:eastAsia="en-AU"/>
        </w:rPr>
        <w:t xml:space="preserve">In 2024–25, 137,000 risk assessments and safety plans were completed using MARAM tools on online platforms. </w:t>
      </w:r>
      <w:r w:rsidR="00B90E85">
        <w:rPr>
          <w:lang w:eastAsia="en-AU"/>
        </w:rPr>
        <w:t>This included</w:t>
      </w:r>
      <w:r w:rsidR="00B90E85" w:rsidRPr="000F7B46">
        <w:rPr>
          <w:lang w:eastAsia="en-AU"/>
        </w:rPr>
        <w:t xml:space="preserve"> </w:t>
      </w:r>
      <w:r w:rsidRPr="000F7B46">
        <w:rPr>
          <w:lang w:eastAsia="en-AU"/>
        </w:rPr>
        <w:t>13,287 comprehensive Adult Using Family Violence tools.</w:t>
      </w:r>
      <w:r w:rsidR="00EB0DCD">
        <w:rPr>
          <w:lang w:eastAsia="en-AU"/>
        </w:rPr>
        <w:br w:type="column"/>
      </w:r>
      <w:r w:rsidR="000667C4">
        <w:rPr>
          <w:lang w:eastAsia="en-AU"/>
        </w:rPr>
        <w:t>Departmental</w:t>
      </w:r>
      <w:r w:rsidR="000667C4" w:rsidRPr="000F7B46">
        <w:rPr>
          <w:lang w:eastAsia="en-AU"/>
        </w:rPr>
        <w:t xml:space="preserve"> </w:t>
      </w:r>
      <w:r w:rsidRPr="000F7B46">
        <w:rPr>
          <w:lang w:eastAsia="en-AU"/>
        </w:rPr>
        <w:t xml:space="preserve">staff received training that was co-facilitated by No to Violence and Child Protection or Specialist Family Violence Advisors. Housing, child protection and forensic disability workforces completed Identification and Intermediate levels training. Workforces were also supported with new SharePoint content, communities of practice and practice forums. </w:t>
      </w:r>
    </w:p>
    <w:p w14:paraId="23F5794D" w14:textId="77777777" w:rsidR="00C34CD4" w:rsidRDefault="0064038E" w:rsidP="00C34CD4">
      <w:pPr>
        <w:pStyle w:val="ARbody"/>
        <w:rPr>
          <w:lang w:eastAsia="en-AU"/>
        </w:rPr>
      </w:pPr>
      <w:r>
        <w:rPr>
          <w:lang w:eastAsia="en-AU"/>
        </w:rPr>
        <w:t xml:space="preserve">Recommendations from 2 major 5-year reviews are now being implemented. These include updated guidance on emerging risks and strengthened responses for children and young people. This work further improves coordination and perpetrator accountability across the system. </w:t>
      </w:r>
    </w:p>
    <w:p w14:paraId="67B2432F" w14:textId="7D5A4ECC" w:rsidR="0064038E" w:rsidRDefault="0064038E" w:rsidP="00C34CD4">
      <w:pPr>
        <w:pStyle w:val="Heading5"/>
        <w:rPr>
          <w:lang w:eastAsia="en-AU"/>
        </w:rPr>
      </w:pPr>
      <w:r>
        <w:rPr>
          <w:lang w:eastAsia="en-AU"/>
        </w:rPr>
        <w:t xml:space="preserve">Family violence therapeutic interventions for children and young people </w:t>
      </w:r>
    </w:p>
    <w:p w14:paraId="3CC85996" w14:textId="6E250D8B" w:rsidR="0064038E" w:rsidRDefault="0064038E">
      <w:pPr>
        <w:pStyle w:val="ARbody"/>
        <w:rPr>
          <w:lang w:eastAsia="en-AU"/>
        </w:rPr>
      </w:pPr>
      <w:r>
        <w:rPr>
          <w:lang w:eastAsia="en-AU"/>
        </w:rPr>
        <w:t>Children are significantly affected by family violence. A child is present in 35% of police-</w:t>
      </w:r>
      <w:r w:rsidRPr="00D57F62">
        <w:rPr>
          <w:lang w:eastAsia="en-AU"/>
        </w:rPr>
        <w:t>reported incidents.</w:t>
      </w:r>
      <w:r w:rsidRPr="00D57F62">
        <w:rPr>
          <w:rStyle w:val="FootnoteReference"/>
          <w:lang w:eastAsia="en-AU"/>
        </w:rPr>
        <w:footnoteReference w:id="8"/>
      </w:r>
      <w:r>
        <w:rPr>
          <w:lang w:eastAsia="en-AU"/>
        </w:rPr>
        <w:t xml:space="preserve"> </w:t>
      </w:r>
    </w:p>
    <w:p w14:paraId="6D219E77" w14:textId="27C474F6" w:rsidR="0064038E" w:rsidRDefault="0064038E">
      <w:pPr>
        <w:pStyle w:val="ARbody"/>
        <w:rPr>
          <w:lang w:eastAsia="en-AU"/>
        </w:rPr>
      </w:pPr>
      <w:r>
        <w:rPr>
          <w:lang w:eastAsia="en-AU"/>
        </w:rPr>
        <w:t xml:space="preserve">Evidence shows that young people exposed to violence are 9.2 times more likely to use violence themselves. This means that timely and tailored support for recovery is vital. </w:t>
      </w:r>
    </w:p>
    <w:p w14:paraId="3DC9264E" w14:textId="628A5F96" w:rsidR="0064038E" w:rsidRDefault="0064038E">
      <w:pPr>
        <w:pStyle w:val="ARbody"/>
        <w:rPr>
          <w:lang w:eastAsia="en-AU"/>
        </w:rPr>
      </w:pPr>
      <w:r>
        <w:rPr>
          <w:lang w:eastAsia="en-AU"/>
        </w:rPr>
        <w:t xml:space="preserve">Therapeutic interventions for children and young people recognise the unique experiences of children and young people as victim survivors. Interventions provide tailored, trauma-informed, healing-focused approaches. These approaches foster healing from trauma. They restore stability and mitigate the long-term impacts of violence on health, wellbeing, education and development. </w:t>
      </w:r>
    </w:p>
    <w:p w14:paraId="45EA59B0" w14:textId="788C1C63" w:rsidR="00996EFB" w:rsidRDefault="0064038E">
      <w:pPr>
        <w:pStyle w:val="ARbody"/>
        <w:rPr>
          <w:lang w:eastAsia="en-AU"/>
        </w:rPr>
        <w:sectPr w:rsidR="00996EFB" w:rsidSect="007F43B1">
          <w:endnotePr>
            <w:numFmt w:val="decimal"/>
          </w:endnotePr>
          <w:type w:val="continuous"/>
          <w:pgSz w:w="11900" w:h="16840" w:code="9"/>
          <w:pgMar w:top="1588" w:right="1134" w:bottom="851" w:left="1134" w:header="510" w:footer="340" w:gutter="0"/>
          <w:cols w:num="2" w:space="448"/>
        </w:sectPr>
      </w:pPr>
      <w:r>
        <w:rPr>
          <w:lang w:eastAsia="en-AU"/>
        </w:rPr>
        <w:t>Therapeutic services for children and young people include interventions such as play therapy, art and music therapy and parent–child attachment</w:t>
      </w:r>
      <w:r w:rsidR="000C34BF">
        <w:rPr>
          <w:lang w:eastAsia="en-AU"/>
        </w:rPr>
        <w:t> </w:t>
      </w:r>
      <w:r>
        <w:rPr>
          <w:lang w:eastAsia="en-AU"/>
        </w:rPr>
        <w:t>support.</w:t>
      </w:r>
    </w:p>
    <w:p w14:paraId="4C068F8A" w14:textId="1D6826F7" w:rsidR="0064038E" w:rsidRPr="00FE32C7" w:rsidRDefault="0064038E" w:rsidP="00BB645D">
      <w:pPr>
        <w:pStyle w:val="Heading3"/>
        <w:spacing w:before="0"/>
        <w:rPr>
          <w:highlight w:val="cyan"/>
        </w:rPr>
      </w:pPr>
      <w:r w:rsidRPr="000369B1">
        <w:lastRenderedPageBreak/>
        <w:t xml:space="preserve">Objective: </w:t>
      </w:r>
      <w:r w:rsidRPr="00996EFB">
        <w:t>Safe</w:t>
      </w:r>
      <w:r w:rsidRPr="000369B1">
        <w:t>, fair, inclusive and resilient Victorian</w:t>
      </w:r>
      <w:r w:rsidRPr="00346DF1">
        <w:t xml:space="preserve"> </w:t>
      </w:r>
      <w:r>
        <w:t>c</w:t>
      </w:r>
      <w:r w:rsidRPr="00346DF1">
        <w:t>ommunities</w:t>
      </w:r>
      <w:r w:rsidRPr="00346DF1">
        <w:rPr>
          <w:highlight w:val="cyan"/>
        </w:rPr>
        <w:t xml:space="preserve"> </w:t>
      </w:r>
    </w:p>
    <w:p w14:paraId="6534CA3B" w14:textId="77777777" w:rsidR="000C34BF" w:rsidRDefault="0064038E" w:rsidP="000C34BF">
      <w:pPr>
        <w:pStyle w:val="ARbody"/>
      </w:pPr>
      <w:r>
        <w:t>This objective aims to ensure Victorians are socially connected. Strong communities enhance safety and wellbeing. They are critical to social inclusion and participation. They also keep Victorians from intersectional communities safe. They allow people to safely identify with their culture, express their identity and build support networks.</w:t>
      </w:r>
    </w:p>
    <w:p w14:paraId="2B400754" w14:textId="3E33441D" w:rsidR="0064038E" w:rsidRPr="009B4BD4" w:rsidRDefault="0064038E" w:rsidP="007F1E59">
      <w:pPr>
        <w:pStyle w:val="ARtablecaption"/>
      </w:pPr>
      <w:r w:rsidRPr="009B4BD4">
        <w:t>Indicator results</w:t>
      </w:r>
    </w:p>
    <w:tbl>
      <w:tblPr>
        <w:tblStyle w:val="TableGrid"/>
        <w:tblW w:w="5000" w:type="pct"/>
        <w:tblLayout w:type="fixed"/>
        <w:tblLook w:val="02E0" w:firstRow="1" w:lastRow="1" w:firstColumn="1" w:lastColumn="0" w:noHBand="1" w:noVBand="0"/>
      </w:tblPr>
      <w:tblGrid>
        <w:gridCol w:w="5954"/>
        <w:gridCol w:w="1226"/>
        <w:gridCol w:w="1226"/>
        <w:gridCol w:w="1226"/>
      </w:tblGrid>
      <w:tr w:rsidR="00F33C72" w:rsidRPr="009B4BD4" w14:paraId="7CA1A9DA" w14:textId="77777777" w:rsidTr="00996EFB">
        <w:trPr>
          <w:cnfStyle w:val="100000000000" w:firstRow="1" w:lastRow="0" w:firstColumn="0" w:lastColumn="0" w:oddVBand="0" w:evenVBand="0" w:oddHBand="0" w:evenHBand="0" w:firstRowFirstColumn="0" w:firstRowLastColumn="0" w:lastRowFirstColumn="0" w:lastRowLastColumn="0"/>
        </w:trPr>
        <w:tc>
          <w:tcPr>
            <w:tcW w:w="5954" w:type="dxa"/>
          </w:tcPr>
          <w:p w14:paraId="5265E28D" w14:textId="77777777" w:rsidR="0064038E" w:rsidRPr="009B4BD4" w:rsidRDefault="0064038E">
            <w:pPr>
              <w:pStyle w:val="ARtablecolhead"/>
            </w:pPr>
          </w:p>
        </w:tc>
        <w:tc>
          <w:tcPr>
            <w:cnfStyle w:val="000001000000" w:firstRow="0" w:lastRow="0" w:firstColumn="0" w:lastColumn="0" w:oddVBand="0" w:evenVBand="1" w:oddHBand="0" w:evenHBand="0" w:firstRowFirstColumn="0" w:firstRowLastColumn="0" w:lastRowFirstColumn="0" w:lastRowLastColumn="0"/>
            <w:tcW w:w="1226" w:type="dxa"/>
          </w:tcPr>
          <w:p w14:paraId="29B12E8A" w14:textId="77777777" w:rsidR="0064038E" w:rsidRPr="000C34BF" w:rsidRDefault="0064038E" w:rsidP="000C34BF">
            <w:pPr>
              <w:pStyle w:val="ARtablecolheadright"/>
              <w:rPr>
                <w:rStyle w:val="Emphasis"/>
                <w:i w:val="0"/>
                <w:iCs w:val="0"/>
              </w:rPr>
            </w:pPr>
            <w:r w:rsidRPr="000C34BF">
              <w:t>2022–23</w:t>
            </w:r>
          </w:p>
        </w:tc>
        <w:tc>
          <w:tcPr>
            <w:tcW w:w="1226" w:type="dxa"/>
          </w:tcPr>
          <w:p w14:paraId="0D532C84" w14:textId="77777777" w:rsidR="0064038E" w:rsidRPr="000C34BF" w:rsidRDefault="0064038E" w:rsidP="000C34BF">
            <w:pPr>
              <w:pStyle w:val="ARtablecolheadright"/>
              <w:cnfStyle w:val="100000000000" w:firstRow="1" w:lastRow="0" w:firstColumn="0" w:lastColumn="0" w:oddVBand="0" w:evenVBand="0" w:oddHBand="0" w:evenHBand="0" w:firstRowFirstColumn="0" w:firstRowLastColumn="0" w:lastRowFirstColumn="0" w:lastRowLastColumn="0"/>
              <w:rPr>
                <w:rStyle w:val="Emphasis"/>
                <w:i w:val="0"/>
                <w:iCs w:val="0"/>
              </w:rPr>
            </w:pPr>
            <w:r w:rsidRPr="000C34BF">
              <w:t>2023–24</w:t>
            </w:r>
          </w:p>
        </w:tc>
        <w:tc>
          <w:tcPr>
            <w:cnfStyle w:val="000001000000" w:firstRow="0" w:lastRow="0" w:firstColumn="0" w:lastColumn="0" w:oddVBand="0" w:evenVBand="1" w:oddHBand="0" w:evenHBand="0" w:firstRowFirstColumn="0" w:firstRowLastColumn="0" w:lastRowFirstColumn="0" w:lastRowLastColumn="0"/>
            <w:tcW w:w="1226" w:type="dxa"/>
          </w:tcPr>
          <w:p w14:paraId="4ADF8943" w14:textId="398B528A" w:rsidR="0064038E" w:rsidRPr="000C34BF" w:rsidRDefault="0064038E" w:rsidP="000C34BF">
            <w:pPr>
              <w:pStyle w:val="ARtablecolheadright"/>
              <w:rPr>
                <w:rStyle w:val="Emphasis"/>
                <w:i w:val="0"/>
                <w:iCs w:val="0"/>
              </w:rPr>
            </w:pPr>
            <w:r w:rsidRPr="000C34BF">
              <w:rPr>
                <w:rStyle w:val="Emphasis"/>
                <w:i w:val="0"/>
                <w:iCs w:val="0"/>
              </w:rPr>
              <w:t>2024–25</w:t>
            </w:r>
          </w:p>
        </w:tc>
      </w:tr>
      <w:tr w:rsidR="006D70CE" w:rsidRPr="009B4BD4" w14:paraId="316C06F4" w14:textId="77777777" w:rsidTr="00996EFB">
        <w:tc>
          <w:tcPr>
            <w:tcW w:w="5954" w:type="dxa"/>
          </w:tcPr>
          <w:p w14:paraId="60FDFA38" w14:textId="5E7884F4" w:rsidR="0064038E" w:rsidRPr="009B4BD4" w:rsidRDefault="0064038E">
            <w:pPr>
              <w:pStyle w:val="ARtabletext"/>
            </w:pPr>
            <w:r w:rsidRPr="009B4BD4">
              <w:t>Hours of coordination funding provided to</w:t>
            </w:r>
            <w:r w:rsidR="00996EFB">
              <w:t> </w:t>
            </w:r>
            <w:r w:rsidRPr="009B4BD4">
              <w:t>Neighbourhood Houses</w:t>
            </w:r>
          </w:p>
        </w:tc>
        <w:tc>
          <w:tcPr>
            <w:cnfStyle w:val="000001000000" w:firstRow="0" w:lastRow="0" w:firstColumn="0" w:lastColumn="0" w:oddVBand="0" w:evenVBand="1" w:oddHBand="0" w:evenHBand="0" w:firstRowFirstColumn="0" w:firstRowLastColumn="0" w:lastRowFirstColumn="0" w:lastRowLastColumn="0"/>
            <w:tcW w:w="1226" w:type="dxa"/>
          </w:tcPr>
          <w:p w14:paraId="0A751116" w14:textId="77777777" w:rsidR="0064038E" w:rsidRPr="009B4BD4" w:rsidRDefault="0064038E">
            <w:pPr>
              <w:pStyle w:val="ARtabletextright"/>
              <w:rPr>
                <w:rStyle w:val="Emphasis"/>
                <w:i w:val="0"/>
                <w:iCs w:val="0"/>
              </w:rPr>
            </w:pPr>
            <w:r w:rsidRPr="009B4BD4">
              <w:t>561,320</w:t>
            </w:r>
          </w:p>
        </w:tc>
        <w:tc>
          <w:tcPr>
            <w:tcW w:w="1226" w:type="dxa"/>
          </w:tcPr>
          <w:p w14:paraId="481D2B32" w14:textId="77777777" w:rsidR="0064038E" w:rsidRPr="009B4BD4" w:rsidRDefault="0064038E">
            <w:pPr>
              <w:pStyle w:val="ARtabletextright"/>
              <w:cnfStyle w:val="000000000000" w:firstRow="0" w:lastRow="0" w:firstColumn="0" w:lastColumn="0" w:oddVBand="0" w:evenVBand="0" w:oddHBand="0" w:evenHBand="0" w:firstRowFirstColumn="0" w:firstRowLastColumn="0" w:lastRowFirstColumn="0" w:lastRowLastColumn="0"/>
              <w:rPr>
                <w:rStyle w:val="Emphasis"/>
                <w:i w:val="0"/>
                <w:iCs w:val="0"/>
              </w:rPr>
            </w:pPr>
            <w:r w:rsidRPr="009B4BD4">
              <w:t>561,106</w:t>
            </w:r>
          </w:p>
        </w:tc>
        <w:tc>
          <w:tcPr>
            <w:cnfStyle w:val="000001000000" w:firstRow="0" w:lastRow="0" w:firstColumn="0" w:lastColumn="0" w:oddVBand="0" w:evenVBand="1" w:oddHBand="0" w:evenHBand="0" w:firstRowFirstColumn="0" w:firstRowLastColumn="0" w:lastRowFirstColumn="0" w:lastRowLastColumn="0"/>
            <w:tcW w:w="1226" w:type="dxa"/>
          </w:tcPr>
          <w:p w14:paraId="220EEB77" w14:textId="77777777" w:rsidR="0064038E" w:rsidRPr="00FA16AA" w:rsidRDefault="0064038E" w:rsidP="00FA16AA">
            <w:pPr>
              <w:pStyle w:val="ARtabletextright"/>
            </w:pPr>
            <w:r w:rsidRPr="00FA16AA">
              <w:t>560,351</w:t>
            </w:r>
          </w:p>
        </w:tc>
      </w:tr>
      <w:tr w:rsidR="006D70CE" w:rsidRPr="009B4BD4" w14:paraId="3D035F8F" w14:textId="77777777" w:rsidTr="00996EFB">
        <w:tc>
          <w:tcPr>
            <w:tcW w:w="5954" w:type="dxa"/>
            <w:hideMark/>
          </w:tcPr>
          <w:p w14:paraId="18538680" w14:textId="3B4F15B8" w:rsidR="0064038E" w:rsidRPr="009B4BD4" w:rsidRDefault="0064038E">
            <w:pPr>
              <w:pStyle w:val="ARtabletext"/>
            </w:pPr>
            <w:r w:rsidRPr="009B4BD4">
              <w:t>Number of Disability Advocacy</w:t>
            </w:r>
            <w:r w:rsidR="000C34BF">
              <w:t> </w:t>
            </w:r>
            <w:r w:rsidRPr="009B4BD4">
              <w:t>clients</w:t>
            </w:r>
          </w:p>
        </w:tc>
        <w:tc>
          <w:tcPr>
            <w:cnfStyle w:val="000001000000" w:firstRow="0" w:lastRow="0" w:firstColumn="0" w:lastColumn="0" w:oddVBand="0" w:evenVBand="1" w:oddHBand="0" w:evenHBand="0" w:firstRowFirstColumn="0" w:firstRowLastColumn="0" w:lastRowFirstColumn="0" w:lastRowLastColumn="0"/>
            <w:tcW w:w="1226" w:type="dxa"/>
          </w:tcPr>
          <w:p w14:paraId="575B9764" w14:textId="77777777" w:rsidR="0064038E" w:rsidRPr="009B4BD4" w:rsidRDefault="0064038E">
            <w:pPr>
              <w:pStyle w:val="ARtabletextright"/>
              <w:rPr>
                <w:rStyle w:val="Emphasis"/>
                <w:i w:val="0"/>
                <w:iCs w:val="0"/>
              </w:rPr>
            </w:pPr>
            <w:r w:rsidRPr="009B4BD4">
              <w:t>2,782</w:t>
            </w:r>
          </w:p>
        </w:tc>
        <w:tc>
          <w:tcPr>
            <w:tcW w:w="1226" w:type="dxa"/>
          </w:tcPr>
          <w:p w14:paraId="6FCBCEB0" w14:textId="77777777" w:rsidR="0064038E" w:rsidRPr="009B4BD4" w:rsidRDefault="0064038E">
            <w:pPr>
              <w:pStyle w:val="ARtabletextright"/>
              <w:cnfStyle w:val="000000000000" w:firstRow="0" w:lastRow="0" w:firstColumn="0" w:lastColumn="0" w:oddVBand="0" w:evenVBand="0" w:oddHBand="0" w:evenHBand="0" w:firstRowFirstColumn="0" w:firstRowLastColumn="0" w:lastRowFirstColumn="0" w:lastRowLastColumn="0"/>
              <w:rPr>
                <w:rStyle w:val="Emphasis"/>
                <w:i w:val="0"/>
                <w:iCs w:val="0"/>
              </w:rPr>
            </w:pPr>
            <w:r w:rsidRPr="009B4BD4">
              <w:t>2,821</w:t>
            </w:r>
          </w:p>
        </w:tc>
        <w:tc>
          <w:tcPr>
            <w:cnfStyle w:val="000001000000" w:firstRow="0" w:lastRow="0" w:firstColumn="0" w:lastColumn="0" w:oddVBand="0" w:evenVBand="1" w:oddHBand="0" w:evenHBand="0" w:firstRowFirstColumn="0" w:firstRowLastColumn="0" w:lastRowFirstColumn="0" w:lastRowLastColumn="0"/>
            <w:tcW w:w="1226" w:type="dxa"/>
          </w:tcPr>
          <w:p w14:paraId="78C51D56" w14:textId="1B9882C5" w:rsidR="0064038E" w:rsidRPr="00E46857" w:rsidRDefault="0064038E" w:rsidP="00FA16AA">
            <w:pPr>
              <w:pStyle w:val="ARtabletextright"/>
            </w:pPr>
            <w:r w:rsidRPr="00E46857">
              <w:t>2,8</w:t>
            </w:r>
            <w:r w:rsidR="009D5329" w:rsidRPr="00E46857">
              <w:t>12</w:t>
            </w:r>
          </w:p>
        </w:tc>
      </w:tr>
      <w:tr w:rsidR="006D70CE" w:rsidRPr="009B4BD4" w14:paraId="6692F601" w14:textId="77777777" w:rsidTr="00996EFB">
        <w:tc>
          <w:tcPr>
            <w:tcW w:w="5954" w:type="dxa"/>
          </w:tcPr>
          <w:p w14:paraId="4575B968" w14:textId="3BDA61A8" w:rsidR="0064038E" w:rsidRPr="009B4BD4" w:rsidRDefault="0064038E">
            <w:pPr>
              <w:pStyle w:val="ARtabletext"/>
            </w:pPr>
            <w:r w:rsidRPr="009B4BD4">
              <w:t>Forensic disability residents participating in community reintegration activities</w:t>
            </w:r>
          </w:p>
        </w:tc>
        <w:tc>
          <w:tcPr>
            <w:cnfStyle w:val="000001000000" w:firstRow="0" w:lastRow="0" w:firstColumn="0" w:lastColumn="0" w:oddVBand="0" w:evenVBand="1" w:oddHBand="0" w:evenHBand="0" w:firstRowFirstColumn="0" w:firstRowLastColumn="0" w:lastRowFirstColumn="0" w:lastRowLastColumn="0"/>
            <w:tcW w:w="1226" w:type="dxa"/>
          </w:tcPr>
          <w:p w14:paraId="5056970F" w14:textId="77777777" w:rsidR="0064038E" w:rsidRPr="009B4BD4" w:rsidRDefault="0064038E">
            <w:pPr>
              <w:pStyle w:val="ARtabletextright"/>
              <w:rPr>
                <w:rStyle w:val="Emphasis"/>
                <w:i w:val="0"/>
                <w:iCs w:val="0"/>
              </w:rPr>
            </w:pPr>
            <w:r w:rsidRPr="009B4BD4">
              <w:t>86%</w:t>
            </w:r>
          </w:p>
        </w:tc>
        <w:tc>
          <w:tcPr>
            <w:tcW w:w="1226" w:type="dxa"/>
          </w:tcPr>
          <w:p w14:paraId="24EDF0D8" w14:textId="77777777" w:rsidR="0064038E" w:rsidRPr="009B4BD4" w:rsidRDefault="0064038E">
            <w:pPr>
              <w:pStyle w:val="ARtabletextright"/>
              <w:cnfStyle w:val="000000000000" w:firstRow="0" w:lastRow="0" w:firstColumn="0" w:lastColumn="0" w:oddVBand="0" w:evenVBand="0" w:oddHBand="0" w:evenHBand="0" w:firstRowFirstColumn="0" w:firstRowLastColumn="0" w:lastRowFirstColumn="0" w:lastRowLastColumn="0"/>
              <w:rPr>
                <w:rStyle w:val="Emphasis"/>
                <w:i w:val="0"/>
                <w:iCs w:val="0"/>
              </w:rPr>
            </w:pPr>
            <w:r w:rsidRPr="009B4BD4">
              <w:t>97%</w:t>
            </w:r>
          </w:p>
        </w:tc>
        <w:tc>
          <w:tcPr>
            <w:cnfStyle w:val="000001000000" w:firstRow="0" w:lastRow="0" w:firstColumn="0" w:lastColumn="0" w:oddVBand="0" w:evenVBand="1" w:oddHBand="0" w:evenHBand="0" w:firstRowFirstColumn="0" w:firstRowLastColumn="0" w:lastRowFirstColumn="0" w:lastRowLastColumn="0"/>
            <w:tcW w:w="1226" w:type="dxa"/>
          </w:tcPr>
          <w:p w14:paraId="573D5281" w14:textId="77777777" w:rsidR="0064038E" w:rsidRPr="00FA16AA" w:rsidRDefault="0064038E" w:rsidP="00FA16AA">
            <w:pPr>
              <w:pStyle w:val="ARtabletextright"/>
            </w:pPr>
            <w:r w:rsidRPr="00FA16AA">
              <w:t>97%</w:t>
            </w:r>
          </w:p>
        </w:tc>
      </w:tr>
      <w:tr w:rsidR="006D70CE" w:rsidRPr="009B4BD4" w14:paraId="5206FB03" w14:textId="77777777" w:rsidTr="00996EFB">
        <w:tc>
          <w:tcPr>
            <w:tcW w:w="5954" w:type="dxa"/>
          </w:tcPr>
          <w:p w14:paraId="2EF467B8" w14:textId="77777777" w:rsidR="0064038E" w:rsidRPr="009B4BD4" w:rsidRDefault="0064038E">
            <w:pPr>
              <w:pStyle w:val="ARtabletext"/>
            </w:pPr>
            <w:r w:rsidRPr="009B4BD4">
              <w:t>Senior satisfaction with Victorian Seniors Festival events</w:t>
            </w:r>
          </w:p>
        </w:tc>
        <w:tc>
          <w:tcPr>
            <w:cnfStyle w:val="000001000000" w:firstRow="0" w:lastRow="0" w:firstColumn="0" w:lastColumn="0" w:oddVBand="0" w:evenVBand="1" w:oddHBand="0" w:evenHBand="0" w:firstRowFirstColumn="0" w:firstRowLastColumn="0" w:lastRowFirstColumn="0" w:lastRowLastColumn="0"/>
            <w:tcW w:w="1226" w:type="dxa"/>
          </w:tcPr>
          <w:p w14:paraId="713BD223" w14:textId="77777777" w:rsidR="0064038E" w:rsidRPr="009B4BD4" w:rsidRDefault="0064038E">
            <w:pPr>
              <w:pStyle w:val="ARtabletextright"/>
              <w:rPr>
                <w:rStyle w:val="Emphasis"/>
                <w:i w:val="0"/>
                <w:iCs w:val="0"/>
              </w:rPr>
            </w:pPr>
            <w:r w:rsidRPr="009B4BD4">
              <w:t>96%</w:t>
            </w:r>
          </w:p>
        </w:tc>
        <w:tc>
          <w:tcPr>
            <w:tcW w:w="1226" w:type="dxa"/>
          </w:tcPr>
          <w:p w14:paraId="1EF96FD2" w14:textId="77777777" w:rsidR="0064038E" w:rsidRPr="009B4BD4" w:rsidRDefault="0064038E">
            <w:pPr>
              <w:pStyle w:val="ARtabletextright"/>
              <w:cnfStyle w:val="000000000000" w:firstRow="0" w:lastRow="0" w:firstColumn="0" w:lastColumn="0" w:oddVBand="0" w:evenVBand="0" w:oddHBand="0" w:evenHBand="0" w:firstRowFirstColumn="0" w:firstRowLastColumn="0" w:lastRowFirstColumn="0" w:lastRowLastColumn="0"/>
              <w:rPr>
                <w:rStyle w:val="Emphasis"/>
                <w:i w:val="0"/>
                <w:iCs w:val="0"/>
              </w:rPr>
            </w:pPr>
            <w:r w:rsidRPr="009B4BD4">
              <w:t>90%</w:t>
            </w:r>
          </w:p>
        </w:tc>
        <w:tc>
          <w:tcPr>
            <w:cnfStyle w:val="000001000000" w:firstRow="0" w:lastRow="0" w:firstColumn="0" w:lastColumn="0" w:oddVBand="0" w:evenVBand="1" w:oddHBand="0" w:evenHBand="0" w:firstRowFirstColumn="0" w:firstRowLastColumn="0" w:lastRowFirstColumn="0" w:lastRowLastColumn="0"/>
            <w:tcW w:w="1226" w:type="dxa"/>
          </w:tcPr>
          <w:p w14:paraId="62437C5E" w14:textId="77777777" w:rsidR="0064038E" w:rsidRPr="00FA16AA" w:rsidRDefault="0064038E" w:rsidP="00FA16AA">
            <w:pPr>
              <w:pStyle w:val="ARtabletextright"/>
            </w:pPr>
            <w:r w:rsidRPr="00FA16AA">
              <w:t>90%</w:t>
            </w:r>
          </w:p>
        </w:tc>
      </w:tr>
      <w:tr w:rsidR="006D70CE" w:rsidRPr="009B4BD4" w14:paraId="44A5A472" w14:textId="77777777" w:rsidTr="00996EFB">
        <w:tc>
          <w:tcPr>
            <w:tcW w:w="5954" w:type="dxa"/>
          </w:tcPr>
          <w:p w14:paraId="70D88C43" w14:textId="77777777" w:rsidR="0064038E" w:rsidRPr="009B4BD4" w:rsidRDefault="0064038E">
            <w:pPr>
              <w:pStyle w:val="ARtabletext"/>
            </w:pPr>
            <w:r w:rsidRPr="009B4BD4">
              <w:t>Community engagement – Shrine ceremonial activities, public and student education programs, tours and general visitation</w:t>
            </w:r>
          </w:p>
        </w:tc>
        <w:tc>
          <w:tcPr>
            <w:cnfStyle w:val="000001000000" w:firstRow="0" w:lastRow="0" w:firstColumn="0" w:lastColumn="0" w:oddVBand="0" w:evenVBand="1" w:oddHBand="0" w:evenHBand="0" w:firstRowFirstColumn="0" w:firstRowLastColumn="0" w:lastRowFirstColumn="0" w:lastRowLastColumn="0"/>
            <w:tcW w:w="1226" w:type="dxa"/>
          </w:tcPr>
          <w:p w14:paraId="3E89CEF1" w14:textId="77777777" w:rsidR="0064038E" w:rsidRPr="009B4BD4" w:rsidRDefault="0064038E">
            <w:pPr>
              <w:pStyle w:val="ARtabletextright"/>
              <w:rPr>
                <w:rStyle w:val="Emphasis"/>
                <w:i w:val="0"/>
                <w:iCs w:val="0"/>
              </w:rPr>
            </w:pPr>
            <w:r w:rsidRPr="009B4BD4">
              <w:t>1,201,664</w:t>
            </w:r>
          </w:p>
        </w:tc>
        <w:tc>
          <w:tcPr>
            <w:tcW w:w="1226" w:type="dxa"/>
          </w:tcPr>
          <w:p w14:paraId="47D4BCE8" w14:textId="77777777" w:rsidR="0064038E" w:rsidRPr="009B4BD4" w:rsidRDefault="0064038E">
            <w:pPr>
              <w:pStyle w:val="ARtabletextright"/>
              <w:cnfStyle w:val="000000000000" w:firstRow="0" w:lastRow="0" w:firstColumn="0" w:lastColumn="0" w:oddVBand="0" w:evenVBand="0" w:oddHBand="0" w:evenHBand="0" w:firstRowFirstColumn="0" w:firstRowLastColumn="0" w:lastRowFirstColumn="0" w:lastRowLastColumn="0"/>
              <w:rPr>
                <w:rStyle w:val="Emphasis"/>
                <w:i w:val="0"/>
                <w:iCs w:val="0"/>
              </w:rPr>
            </w:pPr>
            <w:r w:rsidRPr="009B4BD4">
              <w:t>1,777,590</w:t>
            </w:r>
          </w:p>
        </w:tc>
        <w:tc>
          <w:tcPr>
            <w:cnfStyle w:val="000001000000" w:firstRow="0" w:lastRow="0" w:firstColumn="0" w:lastColumn="0" w:oddVBand="0" w:evenVBand="1" w:oddHBand="0" w:evenHBand="0" w:firstRowFirstColumn="0" w:firstRowLastColumn="0" w:lastRowFirstColumn="0" w:lastRowLastColumn="0"/>
            <w:tcW w:w="1226" w:type="dxa"/>
          </w:tcPr>
          <w:p w14:paraId="475FE374" w14:textId="77777777" w:rsidR="0064038E" w:rsidRPr="00FA16AA" w:rsidRDefault="0064038E" w:rsidP="00FA16AA">
            <w:pPr>
              <w:pStyle w:val="ARtabletextright"/>
            </w:pPr>
            <w:r w:rsidRPr="00FA16AA">
              <w:t>1,711,320</w:t>
            </w:r>
          </w:p>
        </w:tc>
      </w:tr>
      <w:tr w:rsidR="006D70CE" w:rsidRPr="009B4BD4" w14:paraId="1E540745" w14:textId="77777777" w:rsidTr="00996EFB">
        <w:tc>
          <w:tcPr>
            <w:tcW w:w="5954" w:type="dxa"/>
          </w:tcPr>
          <w:p w14:paraId="21A271F2" w14:textId="3115B4CB" w:rsidR="0064038E" w:rsidRPr="009B4BD4" w:rsidRDefault="0064038E">
            <w:pPr>
              <w:pStyle w:val="ARtabletext"/>
            </w:pPr>
            <w:r w:rsidRPr="009B4BD4">
              <w:t>Proportion of LGBTIQA+ grant program recipients located in regional and</w:t>
            </w:r>
            <w:r w:rsidR="00996EFB">
              <w:t> </w:t>
            </w:r>
            <w:r w:rsidRPr="009B4BD4">
              <w:t>rural areas</w:t>
            </w:r>
          </w:p>
        </w:tc>
        <w:tc>
          <w:tcPr>
            <w:cnfStyle w:val="000001000000" w:firstRow="0" w:lastRow="0" w:firstColumn="0" w:lastColumn="0" w:oddVBand="0" w:evenVBand="1" w:oddHBand="0" w:evenHBand="0" w:firstRowFirstColumn="0" w:firstRowLastColumn="0" w:lastRowFirstColumn="0" w:lastRowLastColumn="0"/>
            <w:tcW w:w="1226" w:type="dxa"/>
          </w:tcPr>
          <w:p w14:paraId="6FFA2428" w14:textId="77777777" w:rsidR="0064038E" w:rsidRPr="009B4BD4" w:rsidRDefault="0064038E">
            <w:pPr>
              <w:pStyle w:val="ARtabletextright"/>
              <w:rPr>
                <w:rStyle w:val="Emphasis"/>
                <w:i w:val="0"/>
                <w:iCs w:val="0"/>
              </w:rPr>
            </w:pPr>
            <w:r w:rsidRPr="009B4BD4">
              <w:t>52%</w:t>
            </w:r>
          </w:p>
        </w:tc>
        <w:tc>
          <w:tcPr>
            <w:tcW w:w="1226" w:type="dxa"/>
          </w:tcPr>
          <w:p w14:paraId="6A4A0B2A" w14:textId="77777777" w:rsidR="0064038E" w:rsidRPr="009B4BD4" w:rsidRDefault="0064038E">
            <w:pPr>
              <w:pStyle w:val="ARtabletextright"/>
              <w:cnfStyle w:val="000000000000" w:firstRow="0" w:lastRow="0" w:firstColumn="0" w:lastColumn="0" w:oddVBand="0" w:evenVBand="0" w:oddHBand="0" w:evenHBand="0" w:firstRowFirstColumn="0" w:firstRowLastColumn="0" w:lastRowFirstColumn="0" w:lastRowLastColumn="0"/>
              <w:rPr>
                <w:rStyle w:val="Emphasis"/>
                <w:i w:val="0"/>
                <w:iCs w:val="0"/>
              </w:rPr>
            </w:pPr>
            <w:r w:rsidRPr="009B4BD4">
              <w:t>39.7%</w:t>
            </w:r>
          </w:p>
        </w:tc>
        <w:tc>
          <w:tcPr>
            <w:cnfStyle w:val="000001000000" w:firstRow="0" w:lastRow="0" w:firstColumn="0" w:lastColumn="0" w:oddVBand="0" w:evenVBand="1" w:oddHBand="0" w:evenHBand="0" w:firstRowFirstColumn="0" w:firstRowLastColumn="0" w:lastRowFirstColumn="0" w:lastRowLastColumn="0"/>
            <w:tcW w:w="1226" w:type="dxa"/>
          </w:tcPr>
          <w:p w14:paraId="359B352E" w14:textId="5610A8F1" w:rsidR="0064038E" w:rsidRPr="00E46857" w:rsidRDefault="0064038E" w:rsidP="00FA16AA">
            <w:pPr>
              <w:pStyle w:val="ARtabletextright"/>
            </w:pPr>
            <w:r w:rsidRPr="00E46857">
              <w:t>25</w:t>
            </w:r>
            <w:r w:rsidR="00EA3C57" w:rsidRPr="00E46857">
              <w:t>.4</w:t>
            </w:r>
            <w:r w:rsidRPr="00E46857">
              <w:t>%</w:t>
            </w:r>
          </w:p>
        </w:tc>
      </w:tr>
      <w:tr w:rsidR="006D70CE" w:rsidRPr="009B4BD4" w14:paraId="40C8E1C6" w14:textId="77777777" w:rsidTr="00996EFB">
        <w:tc>
          <w:tcPr>
            <w:tcW w:w="5954" w:type="dxa"/>
          </w:tcPr>
          <w:p w14:paraId="18A7A894" w14:textId="35A38CDC" w:rsidR="0064038E" w:rsidRPr="009B4BD4" w:rsidRDefault="0064038E">
            <w:pPr>
              <w:pStyle w:val="ARtabletext"/>
            </w:pPr>
            <w:r w:rsidRPr="009B4BD4">
              <w:t>Participation by young people in</w:t>
            </w:r>
            <w:r w:rsidR="006A7AE7">
              <w:t xml:space="preserve"> </w:t>
            </w:r>
            <w:r w:rsidRPr="009B4BD4">
              <w:t>programs that</w:t>
            </w:r>
            <w:r w:rsidR="00996EFB">
              <w:t> </w:t>
            </w:r>
            <w:r w:rsidRPr="009B4BD4">
              <w:t>provide opportunities to</w:t>
            </w:r>
            <w:r w:rsidR="00A1545C">
              <w:t> </w:t>
            </w:r>
            <w:r w:rsidRPr="009B4BD4">
              <w:t>be involved in social and economic life in their communities</w:t>
            </w:r>
          </w:p>
        </w:tc>
        <w:tc>
          <w:tcPr>
            <w:cnfStyle w:val="000001000000" w:firstRow="0" w:lastRow="0" w:firstColumn="0" w:lastColumn="0" w:oddVBand="0" w:evenVBand="1" w:oddHBand="0" w:evenHBand="0" w:firstRowFirstColumn="0" w:firstRowLastColumn="0" w:lastRowFirstColumn="0" w:lastRowLastColumn="0"/>
            <w:tcW w:w="1226" w:type="dxa"/>
          </w:tcPr>
          <w:p w14:paraId="72FAE651" w14:textId="77777777" w:rsidR="0064038E" w:rsidRPr="009B4BD4" w:rsidRDefault="0064038E">
            <w:pPr>
              <w:pStyle w:val="ARtabletextright"/>
              <w:rPr>
                <w:rStyle w:val="Emphasis"/>
                <w:i w:val="0"/>
                <w:iCs w:val="0"/>
              </w:rPr>
            </w:pPr>
            <w:r w:rsidRPr="009B4BD4">
              <w:rPr>
                <w:szCs w:val="21"/>
              </w:rPr>
              <w:t>305,608</w:t>
            </w:r>
          </w:p>
        </w:tc>
        <w:tc>
          <w:tcPr>
            <w:tcW w:w="1226" w:type="dxa"/>
          </w:tcPr>
          <w:p w14:paraId="1E62A63E" w14:textId="77777777" w:rsidR="0064038E" w:rsidRPr="009B4BD4" w:rsidRDefault="0064038E">
            <w:pPr>
              <w:pStyle w:val="ARtabletextright"/>
              <w:cnfStyle w:val="000000000000" w:firstRow="0" w:lastRow="0" w:firstColumn="0" w:lastColumn="0" w:oddVBand="0" w:evenVBand="0" w:oddHBand="0" w:evenHBand="0" w:firstRowFirstColumn="0" w:firstRowLastColumn="0" w:lastRowFirstColumn="0" w:lastRowLastColumn="0"/>
              <w:rPr>
                <w:rStyle w:val="Emphasis"/>
                <w:i w:val="0"/>
                <w:iCs w:val="0"/>
              </w:rPr>
            </w:pPr>
            <w:r w:rsidRPr="009B4BD4">
              <w:t>389,619</w:t>
            </w:r>
          </w:p>
        </w:tc>
        <w:tc>
          <w:tcPr>
            <w:cnfStyle w:val="000001000000" w:firstRow="0" w:lastRow="0" w:firstColumn="0" w:lastColumn="0" w:oddVBand="0" w:evenVBand="1" w:oddHBand="0" w:evenHBand="0" w:firstRowFirstColumn="0" w:firstRowLastColumn="0" w:lastRowFirstColumn="0" w:lastRowLastColumn="0"/>
            <w:tcW w:w="1226" w:type="dxa"/>
          </w:tcPr>
          <w:p w14:paraId="499052E4" w14:textId="77777777" w:rsidR="0064038E" w:rsidRPr="00B979C0" w:rsidRDefault="0064038E" w:rsidP="00FA16AA">
            <w:pPr>
              <w:pStyle w:val="ARtabletextright"/>
            </w:pPr>
            <w:r w:rsidRPr="00B979C0">
              <w:t>260,780</w:t>
            </w:r>
          </w:p>
        </w:tc>
      </w:tr>
      <w:tr w:rsidR="00F33C72" w:rsidRPr="009B4BD4" w14:paraId="501F8274" w14:textId="77777777" w:rsidTr="00996EFB">
        <w:tc>
          <w:tcPr>
            <w:tcW w:w="5954" w:type="dxa"/>
            <w:tcBorders>
              <w:bottom w:val="single" w:sz="4" w:space="0" w:color="A6A6A6" w:themeColor="accent5"/>
            </w:tcBorders>
          </w:tcPr>
          <w:p w14:paraId="758A46D0" w14:textId="77777777" w:rsidR="0064038E" w:rsidRPr="009B4BD4" w:rsidRDefault="0064038E">
            <w:pPr>
              <w:pStyle w:val="ARtabletext"/>
            </w:pPr>
            <w:r w:rsidRPr="009B4BD4">
              <w:t>Participation by young people in programs that support young people to be involved in decision making in their community</w:t>
            </w:r>
          </w:p>
        </w:tc>
        <w:tc>
          <w:tcPr>
            <w:cnfStyle w:val="000001000000" w:firstRow="0" w:lastRow="0" w:firstColumn="0" w:lastColumn="0" w:oddVBand="0" w:evenVBand="1" w:oddHBand="0" w:evenHBand="0" w:firstRowFirstColumn="0" w:firstRowLastColumn="0" w:lastRowFirstColumn="0" w:lastRowLastColumn="0"/>
            <w:tcW w:w="1226" w:type="dxa"/>
            <w:tcBorders>
              <w:bottom w:val="single" w:sz="4" w:space="0" w:color="A6A6A6" w:themeColor="accent5"/>
            </w:tcBorders>
          </w:tcPr>
          <w:p w14:paraId="54CB8A41" w14:textId="77777777" w:rsidR="0064038E" w:rsidRPr="009B4BD4" w:rsidRDefault="0064038E">
            <w:pPr>
              <w:pStyle w:val="ARtabletextright"/>
              <w:rPr>
                <w:rStyle w:val="Emphasis"/>
                <w:i w:val="0"/>
                <w:iCs w:val="0"/>
              </w:rPr>
            </w:pPr>
            <w:r w:rsidRPr="009B4BD4">
              <w:t>3,631</w:t>
            </w:r>
          </w:p>
        </w:tc>
        <w:tc>
          <w:tcPr>
            <w:tcW w:w="1226" w:type="dxa"/>
            <w:tcBorders>
              <w:bottom w:val="single" w:sz="4" w:space="0" w:color="A6A6A6" w:themeColor="accent5"/>
            </w:tcBorders>
          </w:tcPr>
          <w:p w14:paraId="1F83C0A6" w14:textId="77777777" w:rsidR="0064038E" w:rsidRPr="009B4BD4" w:rsidRDefault="0064038E">
            <w:pPr>
              <w:pStyle w:val="ARtabletextright"/>
              <w:cnfStyle w:val="000000000000" w:firstRow="0" w:lastRow="0" w:firstColumn="0" w:lastColumn="0" w:oddVBand="0" w:evenVBand="0" w:oddHBand="0" w:evenHBand="0" w:firstRowFirstColumn="0" w:firstRowLastColumn="0" w:lastRowFirstColumn="0" w:lastRowLastColumn="0"/>
              <w:rPr>
                <w:rStyle w:val="Emphasis"/>
                <w:i w:val="0"/>
                <w:iCs w:val="0"/>
              </w:rPr>
            </w:pPr>
            <w:r w:rsidRPr="009B4BD4">
              <w:t>4,449</w:t>
            </w:r>
          </w:p>
        </w:tc>
        <w:tc>
          <w:tcPr>
            <w:cnfStyle w:val="000001000000" w:firstRow="0" w:lastRow="0" w:firstColumn="0" w:lastColumn="0" w:oddVBand="0" w:evenVBand="1" w:oddHBand="0" w:evenHBand="0" w:firstRowFirstColumn="0" w:firstRowLastColumn="0" w:lastRowFirstColumn="0" w:lastRowLastColumn="0"/>
            <w:tcW w:w="1226" w:type="dxa"/>
            <w:tcBorders>
              <w:bottom w:val="single" w:sz="4" w:space="0" w:color="A6A6A6" w:themeColor="accent5"/>
            </w:tcBorders>
          </w:tcPr>
          <w:p w14:paraId="1C825C66" w14:textId="6AF1C8B7" w:rsidR="0064038E" w:rsidRPr="00B979C0" w:rsidRDefault="0064038E" w:rsidP="00FA16AA">
            <w:pPr>
              <w:pStyle w:val="ARtabletextright"/>
            </w:pPr>
            <w:r w:rsidRPr="00B979C0">
              <w:t>3,732</w:t>
            </w:r>
          </w:p>
        </w:tc>
      </w:tr>
      <w:tr w:rsidR="00F33C72" w:rsidRPr="00532DAE" w14:paraId="164AD1A7" w14:textId="77777777" w:rsidTr="00996EFB">
        <w:trPr>
          <w:cnfStyle w:val="010000000000" w:firstRow="0" w:lastRow="1" w:firstColumn="0" w:lastColumn="0" w:oddVBand="0" w:evenVBand="0" w:oddHBand="0" w:evenHBand="0" w:firstRowFirstColumn="0" w:firstRowLastColumn="0" w:lastRowFirstColumn="0" w:lastRowLastColumn="0"/>
        </w:trPr>
        <w:tc>
          <w:tcPr>
            <w:tcW w:w="5954" w:type="dxa"/>
            <w:tcBorders>
              <w:top w:val="single" w:sz="4" w:space="0" w:color="A6A6A6" w:themeColor="accent5"/>
            </w:tcBorders>
          </w:tcPr>
          <w:p w14:paraId="0C8952D8" w14:textId="77777777" w:rsidR="0064038E" w:rsidRPr="009B4BD4" w:rsidRDefault="0064038E">
            <w:pPr>
              <w:pStyle w:val="ARtabletext"/>
            </w:pPr>
            <w:r w:rsidRPr="009B4BD4">
              <w:t>Percentage of women on Victorian Government boards</w:t>
            </w:r>
          </w:p>
        </w:tc>
        <w:tc>
          <w:tcPr>
            <w:cnfStyle w:val="000001000000" w:firstRow="0" w:lastRow="0" w:firstColumn="0" w:lastColumn="0" w:oddVBand="0" w:evenVBand="1" w:oddHBand="0" w:evenHBand="0" w:firstRowFirstColumn="0" w:firstRowLastColumn="0" w:lastRowFirstColumn="0" w:lastRowLastColumn="0"/>
            <w:tcW w:w="1226" w:type="dxa"/>
            <w:tcBorders>
              <w:top w:val="single" w:sz="4" w:space="0" w:color="A6A6A6" w:themeColor="accent5"/>
            </w:tcBorders>
          </w:tcPr>
          <w:p w14:paraId="0B3BD9DA" w14:textId="77777777" w:rsidR="0064038E" w:rsidRPr="009B4BD4" w:rsidRDefault="0064038E">
            <w:pPr>
              <w:pStyle w:val="ARtabletextright"/>
              <w:rPr>
                <w:rStyle w:val="Emphasis"/>
                <w:i w:val="0"/>
                <w:iCs w:val="0"/>
              </w:rPr>
            </w:pPr>
            <w:r w:rsidRPr="009B4BD4">
              <w:t>53%</w:t>
            </w:r>
          </w:p>
        </w:tc>
        <w:tc>
          <w:tcPr>
            <w:tcW w:w="1226" w:type="dxa"/>
            <w:tcBorders>
              <w:top w:val="single" w:sz="4" w:space="0" w:color="A6A6A6" w:themeColor="accent5"/>
            </w:tcBorders>
          </w:tcPr>
          <w:p w14:paraId="12212836" w14:textId="77777777" w:rsidR="0064038E" w:rsidRPr="004B1745" w:rsidRDefault="0064038E">
            <w:pPr>
              <w:pStyle w:val="ARtabletextright"/>
              <w:cnfStyle w:val="010000000000" w:firstRow="0" w:lastRow="1" w:firstColumn="0" w:lastColumn="0" w:oddVBand="0" w:evenVBand="0" w:oddHBand="0" w:evenHBand="0" w:firstRowFirstColumn="0" w:firstRowLastColumn="0" w:lastRowFirstColumn="0" w:lastRowLastColumn="0"/>
              <w:rPr>
                <w:rStyle w:val="Emphasis"/>
                <w:i w:val="0"/>
                <w:iCs w:val="0"/>
              </w:rPr>
            </w:pPr>
            <w:r w:rsidRPr="009B4BD4">
              <w:t>53%</w:t>
            </w:r>
          </w:p>
        </w:tc>
        <w:tc>
          <w:tcPr>
            <w:cnfStyle w:val="000001000000" w:firstRow="0" w:lastRow="0" w:firstColumn="0" w:lastColumn="0" w:oddVBand="0" w:evenVBand="1" w:oddHBand="0" w:evenHBand="0" w:firstRowFirstColumn="0" w:firstRowLastColumn="0" w:lastRowFirstColumn="0" w:lastRowLastColumn="0"/>
            <w:tcW w:w="1226" w:type="dxa"/>
            <w:tcBorders>
              <w:top w:val="single" w:sz="4" w:space="0" w:color="A6A6A6" w:themeColor="accent5"/>
            </w:tcBorders>
          </w:tcPr>
          <w:p w14:paraId="1D1052F2" w14:textId="77777777" w:rsidR="0064038E" w:rsidRPr="00FA16AA" w:rsidRDefault="0064038E" w:rsidP="00FA16AA">
            <w:pPr>
              <w:pStyle w:val="ARtabletextright"/>
            </w:pPr>
            <w:r w:rsidRPr="00FA16AA">
              <w:t>53%</w:t>
            </w:r>
          </w:p>
        </w:tc>
      </w:tr>
    </w:tbl>
    <w:p w14:paraId="0DD51E8F" w14:textId="187A2D23" w:rsidR="0064038E" w:rsidRDefault="0064038E" w:rsidP="00C034F7">
      <w:pPr>
        <w:pStyle w:val="Heading4"/>
        <w:spacing w:before="480" w:after="240"/>
      </w:pPr>
      <w:r w:rsidRPr="00532DAE">
        <w:t>Key initiatives and projects</w:t>
      </w:r>
    </w:p>
    <w:p w14:paraId="4401FC69" w14:textId="77777777" w:rsidR="0064038E" w:rsidRDefault="0064038E">
      <w:pPr>
        <w:pStyle w:val="Heading4"/>
        <w:spacing w:after="240"/>
        <w:sectPr w:rsidR="0064038E" w:rsidSect="007F43B1">
          <w:endnotePr>
            <w:numFmt w:val="decimal"/>
          </w:endnotePr>
          <w:pgSz w:w="11900" w:h="16840" w:code="9"/>
          <w:pgMar w:top="1588" w:right="1134" w:bottom="851" w:left="1134" w:header="510" w:footer="340" w:gutter="0"/>
          <w:cols w:space="448"/>
        </w:sectPr>
      </w:pPr>
    </w:p>
    <w:p w14:paraId="1B3D2548" w14:textId="198B9E63" w:rsidR="0064038E" w:rsidRPr="004F4B93" w:rsidRDefault="0064038E">
      <w:pPr>
        <w:pStyle w:val="Heading5"/>
        <w:rPr>
          <w:rFonts w:eastAsia="MS Mincho"/>
        </w:rPr>
      </w:pPr>
      <w:r>
        <w:rPr>
          <w:rFonts w:eastAsia="MS Mincho"/>
        </w:rPr>
        <w:t>Building capability in the disability</w:t>
      </w:r>
      <w:r w:rsidR="000C34BF">
        <w:rPr>
          <w:rFonts w:eastAsia="MS Mincho"/>
        </w:rPr>
        <w:t> </w:t>
      </w:r>
      <w:r w:rsidRPr="004F4B93">
        <w:rPr>
          <w:rFonts w:eastAsia="MS Mincho"/>
        </w:rPr>
        <w:t>workforce</w:t>
      </w:r>
    </w:p>
    <w:p w14:paraId="13CC0C88" w14:textId="12479B43" w:rsidR="0064038E" w:rsidRDefault="0064038E">
      <w:pPr>
        <w:pStyle w:val="ARbody"/>
        <w:rPr>
          <w:lang w:eastAsia="en-AU"/>
        </w:rPr>
      </w:pPr>
      <w:r w:rsidRPr="009D0AC3">
        <w:rPr>
          <w:lang w:eastAsia="en-AU"/>
        </w:rPr>
        <w:t xml:space="preserve">The </w:t>
      </w:r>
      <w:r w:rsidRPr="000C34BF">
        <w:rPr>
          <w:rStyle w:val="Emphasis"/>
        </w:rPr>
        <w:t xml:space="preserve">Inclusive Victoria: state disability plan </w:t>
      </w:r>
      <w:r w:rsidR="00DA434D">
        <w:rPr>
          <w:rStyle w:val="Emphasis"/>
        </w:rPr>
        <w:br/>
      </w:r>
      <w:r w:rsidRPr="000C34BF">
        <w:rPr>
          <w:rStyle w:val="Emphasis"/>
        </w:rPr>
        <w:t>2022–2026</w:t>
      </w:r>
      <w:r>
        <w:rPr>
          <w:lang w:eastAsia="en-AU"/>
        </w:rPr>
        <w:t xml:space="preserve"> aims </w:t>
      </w:r>
      <w:r w:rsidRPr="0AC380D1">
        <w:rPr>
          <w:lang w:eastAsia="en-AU"/>
        </w:rPr>
        <w:t xml:space="preserve">to </w:t>
      </w:r>
      <w:r>
        <w:rPr>
          <w:lang w:eastAsia="en-AU"/>
        </w:rPr>
        <w:t>build the capability of our disability workforce. It does this by supporting training authorities to deliver educational programs for disability workers. Thes</w:t>
      </w:r>
      <w:r w:rsidR="001B27E2">
        <w:rPr>
          <w:lang w:eastAsia="en-AU"/>
        </w:rPr>
        <w:t>e</w:t>
      </w:r>
      <w:r>
        <w:rPr>
          <w:lang w:eastAsia="en-AU"/>
        </w:rPr>
        <w:t xml:space="preserve"> programs promote best practice outcomes for people with disability.</w:t>
      </w:r>
    </w:p>
    <w:p w14:paraId="16097AED" w14:textId="31591F62" w:rsidR="0064038E" w:rsidRDefault="0064038E" w:rsidP="00C034F7">
      <w:pPr>
        <w:pStyle w:val="ARbullet1"/>
        <w:numPr>
          <w:ilvl w:val="0"/>
          <w:numId w:val="0"/>
        </w:numPr>
        <w:spacing w:before="120" w:after="120"/>
        <w:rPr>
          <w:lang w:eastAsia="en-AU"/>
        </w:rPr>
      </w:pPr>
      <w:r>
        <w:rPr>
          <w:lang w:eastAsia="en-AU"/>
        </w:rPr>
        <w:t>In 2024–25, in partnership with the University of Melbourne,</w:t>
      </w:r>
      <w:r w:rsidRPr="0AC380D1">
        <w:rPr>
          <w:lang w:eastAsia="en-AU"/>
        </w:rPr>
        <w:t xml:space="preserve"> </w:t>
      </w:r>
      <w:r>
        <w:rPr>
          <w:lang w:eastAsia="en-AU"/>
        </w:rPr>
        <w:t xml:space="preserve">the department: </w:t>
      </w:r>
    </w:p>
    <w:p w14:paraId="04BD8E73" w14:textId="44D68678" w:rsidR="0064038E" w:rsidRDefault="0064038E" w:rsidP="00F375A6">
      <w:pPr>
        <w:pStyle w:val="ARbullet1"/>
        <w:numPr>
          <w:ilvl w:val="0"/>
          <w:numId w:val="22"/>
        </w:numPr>
        <w:rPr>
          <w:lang w:eastAsia="en-AU"/>
        </w:rPr>
      </w:pPr>
      <w:r>
        <w:rPr>
          <w:lang w:eastAsia="en-AU"/>
        </w:rPr>
        <w:t>d</w:t>
      </w:r>
      <w:r w:rsidRPr="00FF6EAE">
        <w:rPr>
          <w:lang w:eastAsia="en-AU"/>
        </w:rPr>
        <w:t>elivered</w:t>
      </w:r>
      <w:r>
        <w:rPr>
          <w:lang w:eastAsia="en-AU"/>
        </w:rPr>
        <w:t xml:space="preserve"> targeted training to 240 authorised program officers. Authorised program officers work with disability organisations to help them reduce restrictive practices</w:t>
      </w:r>
    </w:p>
    <w:p w14:paraId="770E75AA" w14:textId="0522E438" w:rsidR="0064038E" w:rsidRDefault="001C4149">
      <w:pPr>
        <w:pStyle w:val="ARbullet1"/>
        <w:numPr>
          <w:ilvl w:val="0"/>
          <w:numId w:val="22"/>
        </w:numPr>
        <w:rPr>
          <w:lang w:eastAsia="en-AU"/>
        </w:rPr>
      </w:pPr>
      <w:r>
        <w:rPr>
          <w:lang w:eastAsia="en-AU"/>
        </w:rPr>
        <w:br w:type="column"/>
      </w:r>
      <w:r w:rsidR="0064038E">
        <w:rPr>
          <w:lang w:eastAsia="en-AU"/>
        </w:rPr>
        <w:t>delivered a series of 4 micro-credentialed short courses for 300 positive behaviour support practitioners. Positive behaviour support practitioners undertake behaviour support assessments. They also develop behaviour support plans that may include the use of restrictive practices</w:t>
      </w:r>
    </w:p>
    <w:p w14:paraId="2E252F9B" w14:textId="78BC772F" w:rsidR="001C4149" w:rsidRDefault="0064038E" w:rsidP="001C4149">
      <w:pPr>
        <w:pStyle w:val="ARbullet1"/>
        <w:numPr>
          <w:ilvl w:val="0"/>
          <w:numId w:val="22"/>
        </w:numPr>
        <w:rPr>
          <w:lang w:eastAsia="en-AU"/>
        </w:rPr>
      </w:pPr>
      <w:r>
        <w:rPr>
          <w:lang w:eastAsia="en-AU"/>
        </w:rPr>
        <w:t xml:space="preserve">developed 2 new micro-credentials aimed at specialist-level positive behaviour support practitioners. One micro-credential focused on forensic disability. The other focused on autism spectrum disorder. </w:t>
      </w:r>
      <w:r w:rsidR="001C4149">
        <w:rPr>
          <w:lang w:eastAsia="en-AU"/>
        </w:rPr>
        <w:br w:type="page"/>
      </w:r>
    </w:p>
    <w:p w14:paraId="655457C4" w14:textId="14F61B4C" w:rsidR="0064038E" w:rsidRPr="00FB5282" w:rsidRDefault="0064038E" w:rsidP="00A906A4">
      <w:pPr>
        <w:pStyle w:val="Heading5"/>
        <w:spacing w:before="0"/>
        <w:rPr>
          <w:rFonts w:eastAsia="Times"/>
          <w:lang w:eastAsia="en-AU"/>
        </w:rPr>
      </w:pPr>
      <w:r>
        <w:rPr>
          <w:rFonts w:eastAsia="Times"/>
          <w:lang w:eastAsia="en-AU"/>
        </w:rPr>
        <w:lastRenderedPageBreak/>
        <w:t>Supporting young people with a</w:t>
      </w:r>
      <w:r w:rsidR="000C34BF">
        <w:rPr>
          <w:rFonts w:eastAsia="Times"/>
          <w:lang w:eastAsia="en-AU"/>
        </w:rPr>
        <w:t> </w:t>
      </w:r>
      <w:r>
        <w:rPr>
          <w:rFonts w:eastAsia="Times"/>
          <w:lang w:eastAsia="en-AU"/>
        </w:rPr>
        <w:t>cognitive</w:t>
      </w:r>
      <w:r w:rsidR="000C34BF">
        <w:rPr>
          <w:rFonts w:eastAsia="Times"/>
          <w:lang w:eastAsia="en-AU"/>
        </w:rPr>
        <w:t> </w:t>
      </w:r>
      <w:r>
        <w:rPr>
          <w:rFonts w:eastAsia="Times"/>
          <w:lang w:eastAsia="en-AU"/>
        </w:rPr>
        <w:t>disability</w:t>
      </w:r>
    </w:p>
    <w:p w14:paraId="6FB7E2BA" w14:textId="2020BA4A" w:rsidR="0064038E" w:rsidRDefault="0064038E">
      <w:pPr>
        <w:pStyle w:val="ARbody"/>
        <w:rPr>
          <w:lang w:eastAsia="en-AU"/>
        </w:rPr>
      </w:pPr>
      <w:r>
        <w:rPr>
          <w:lang w:eastAsia="en-AU"/>
        </w:rPr>
        <w:t xml:space="preserve">The Youth Forensic Disability Clinical Service </w:t>
      </w:r>
      <w:r w:rsidRPr="002248A0">
        <w:rPr>
          <w:lang w:eastAsia="en-AU"/>
        </w:rPr>
        <w:t>delivers both family therapy and cognitive behavioural interventions</w:t>
      </w:r>
      <w:r>
        <w:rPr>
          <w:lang w:eastAsia="en-AU"/>
        </w:rPr>
        <w:t xml:space="preserve">. The service </w:t>
      </w:r>
      <w:r w:rsidRPr="002248A0">
        <w:rPr>
          <w:lang w:eastAsia="en-AU"/>
        </w:rPr>
        <w:t>works with a</w:t>
      </w:r>
      <w:r w:rsidR="000C34BF">
        <w:rPr>
          <w:lang w:eastAsia="en-AU"/>
        </w:rPr>
        <w:t> </w:t>
      </w:r>
      <w:r w:rsidRPr="002248A0">
        <w:rPr>
          <w:lang w:eastAsia="en-AU"/>
        </w:rPr>
        <w:t>wide range of behaviours</w:t>
      </w:r>
      <w:r>
        <w:rPr>
          <w:lang w:eastAsia="en-AU"/>
        </w:rPr>
        <w:t>. These include</w:t>
      </w:r>
      <w:r w:rsidRPr="002248A0">
        <w:rPr>
          <w:lang w:eastAsia="en-AU"/>
        </w:rPr>
        <w:t xml:space="preserve"> family violence, harmful sexual behaviour</w:t>
      </w:r>
      <w:r>
        <w:rPr>
          <w:lang w:eastAsia="en-AU"/>
        </w:rPr>
        <w:t xml:space="preserve"> </w:t>
      </w:r>
      <w:r w:rsidRPr="002248A0">
        <w:rPr>
          <w:lang w:eastAsia="en-AU"/>
        </w:rPr>
        <w:t>and arson</w:t>
      </w:r>
      <w:r>
        <w:rPr>
          <w:lang w:eastAsia="en-AU"/>
        </w:rPr>
        <w:t>. The</w:t>
      </w:r>
      <w:r w:rsidR="000C34BF">
        <w:rPr>
          <w:lang w:eastAsia="en-AU"/>
        </w:rPr>
        <w:t> </w:t>
      </w:r>
      <w:r>
        <w:rPr>
          <w:lang w:eastAsia="en-AU"/>
        </w:rPr>
        <w:t xml:space="preserve">service </w:t>
      </w:r>
      <w:r w:rsidRPr="002248A0">
        <w:rPr>
          <w:lang w:eastAsia="en-AU"/>
        </w:rPr>
        <w:t>works closely with child protection, youth justice and community service organisations.</w:t>
      </w:r>
    </w:p>
    <w:p w14:paraId="7C81E251" w14:textId="130DBF1A" w:rsidR="0064038E" w:rsidRDefault="0064038E" w:rsidP="00A906A4">
      <w:pPr>
        <w:pStyle w:val="ARbody"/>
        <w:spacing w:after="240"/>
        <w:rPr>
          <w:lang w:eastAsia="en-AU"/>
        </w:rPr>
      </w:pPr>
      <w:r w:rsidRPr="002248A0">
        <w:rPr>
          <w:lang w:eastAsia="en-AU"/>
        </w:rPr>
        <w:t>In 2024</w:t>
      </w:r>
      <w:r>
        <w:rPr>
          <w:lang w:eastAsia="en-AU"/>
        </w:rPr>
        <w:t>–</w:t>
      </w:r>
      <w:r w:rsidRPr="002248A0">
        <w:rPr>
          <w:lang w:eastAsia="en-AU"/>
        </w:rPr>
        <w:t xml:space="preserve">25, the </w:t>
      </w:r>
      <w:r>
        <w:rPr>
          <w:lang w:eastAsia="en-AU"/>
        </w:rPr>
        <w:t>service employed 3 additional staff to join the 4 existing</w:t>
      </w:r>
      <w:r w:rsidRPr="002248A0">
        <w:rPr>
          <w:lang w:eastAsia="en-AU"/>
        </w:rPr>
        <w:t xml:space="preserve"> clinicians and psychoeducational trainers</w:t>
      </w:r>
      <w:r>
        <w:rPr>
          <w:lang w:eastAsia="en-AU"/>
        </w:rPr>
        <w:t xml:space="preserve">. This work </w:t>
      </w:r>
      <w:r w:rsidRPr="002248A0">
        <w:rPr>
          <w:lang w:eastAsia="en-AU"/>
        </w:rPr>
        <w:t>support</w:t>
      </w:r>
      <w:r>
        <w:rPr>
          <w:lang w:eastAsia="en-AU"/>
        </w:rPr>
        <w:t>s</w:t>
      </w:r>
      <w:r w:rsidRPr="002248A0">
        <w:rPr>
          <w:lang w:eastAsia="en-AU"/>
        </w:rPr>
        <w:t xml:space="preserve"> young people with a cognitive disability involved in, or at risk of involvement with, the criminal justice system.</w:t>
      </w:r>
      <w:r>
        <w:rPr>
          <w:lang w:eastAsia="en-AU"/>
        </w:rPr>
        <w:t xml:space="preserve"> This growth in staff enabled t</w:t>
      </w:r>
      <w:r w:rsidRPr="002248A0">
        <w:rPr>
          <w:lang w:eastAsia="en-AU"/>
        </w:rPr>
        <w:t xml:space="preserve">he service </w:t>
      </w:r>
      <w:r>
        <w:rPr>
          <w:lang w:eastAsia="en-AU"/>
        </w:rPr>
        <w:t>to</w:t>
      </w:r>
      <w:r w:rsidR="000C34BF">
        <w:rPr>
          <w:lang w:eastAsia="en-AU"/>
        </w:rPr>
        <w:t> </w:t>
      </w:r>
      <w:r w:rsidRPr="002248A0">
        <w:rPr>
          <w:lang w:eastAsia="en-AU"/>
        </w:rPr>
        <w:t>support 74 young people with cognitive disability</w:t>
      </w:r>
      <w:r>
        <w:rPr>
          <w:lang w:eastAsia="en-AU"/>
        </w:rPr>
        <w:t xml:space="preserve"> in</w:t>
      </w:r>
      <w:r w:rsidR="000C34BF">
        <w:rPr>
          <w:lang w:eastAsia="en-AU"/>
        </w:rPr>
        <w:t> </w:t>
      </w:r>
      <w:r>
        <w:rPr>
          <w:lang w:eastAsia="en-AU"/>
        </w:rPr>
        <w:t>2024–25.</w:t>
      </w:r>
    </w:p>
    <w:p w14:paraId="1DD43B3C" w14:textId="01F966DD" w:rsidR="0064038E" w:rsidRPr="00711373" w:rsidRDefault="0064038E" w:rsidP="001C4149">
      <w:pPr>
        <w:pStyle w:val="Heading5"/>
        <w:rPr>
          <w:rFonts w:eastAsia="MS Mincho"/>
        </w:rPr>
      </w:pPr>
      <w:bookmarkStart w:id="70" w:name="_Toc173830443"/>
      <w:bookmarkStart w:id="71" w:name="_Hlk202094417"/>
      <w:r w:rsidRPr="00711373">
        <w:rPr>
          <w:rFonts w:eastAsia="MS Mincho"/>
        </w:rPr>
        <w:t>Supporting wellbeing and engagement for culturally diverse young people</w:t>
      </w:r>
      <w:bookmarkEnd w:id="70"/>
    </w:p>
    <w:p w14:paraId="71F11F5F" w14:textId="1CE14763" w:rsidR="0064038E" w:rsidRPr="00711373" w:rsidRDefault="0064038E">
      <w:pPr>
        <w:pStyle w:val="ARbody"/>
      </w:pPr>
      <w:r w:rsidRPr="00711373">
        <w:t>The department continued to support young people from multicultural communities</w:t>
      </w:r>
      <w:r>
        <w:t>. People from these communities</w:t>
      </w:r>
      <w:r w:rsidRPr="00711373">
        <w:t xml:space="preserve"> face additional challenges to achieve </w:t>
      </w:r>
      <w:r>
        <w:t>positive</w:t>
      </w:r>
      <w:r w:rsidRPr="00711373">
        <w:t xml:space="preserve"> social, education and economic outcomes. </w:t>
      </w:r>
    </w:p>
    <w:p w14:paraId="4A4D70A7" w14:textId="22977935" w:rsidR="0064038E" w:rsidRPr="00711373" w:rsidRDefault="0064038E">
      <w:pPr>
        <w:pStyle w:val="ARbody"/>
      </w:pPr>
      <w:r w:rsidRPr="00DC0C71">
        <w:t>The</w:t>
      </w:r>
      <w:r w:rsidRPr="00DC0C71">
        <w:rPr>
          <w:i/>
        </w:rPr>
        <w:t xml:space="preserve"> </w:t>
      </w:r>
      <w:r w:rsidRPr="00DC0C71">
        <w:rPr>
          <w:rStyle w:val="Emphasis"/>
        </w:rPr>
        <w:t>2023–24 State Budget</w:t>
      </w:r>
      <w:r w:rsidRPr="00711373">
        <w:rPr>
          <w:rStyle w:val="Emphasis"/>
        </w:rPr>
        <w:t xml:space="preserve"> </w:t>
      </w:r>
      <w:r w:rsidRPr="00FA16AA">
        <w:t>provided $23.4 million over 4 years for the Investing Early</w:t>
      </w:r>
      <w:r w:rsidRPr="0064038E">
        <w:rPr>
          <w:rStyle w:val="Emphasis"/>
          <w:i w:val="0"/>
          <w:iCs w:val="0"/>
        </w:rPr>
        <w:t xml:space="preserve"> </w:t>
      </w:r>
      <w:r w:rsidRPr="00FA16AA">
        <w:t>W</w:t>
      </w:r>
      <w:r w:rsidRPr="0064038E">
        <w:rPr>
          <w:rStyle w:val="Emphasis"/>
          <w:i w:val="0"/>
          <w:iCs w:val="0"/>
        </w:rPr>
        <w:t xml:space="preserve">here </w:t>
      </w:r>
      <w:r w:rsidRPr="00FA16AA">
        <w:t>It</w:t>
      </w:r>
      <w:r w:rsidRPr="0064038E">
        <w:rPr>
          <w:rStyle w:val="Emphasis"/>
          <w:i w:val="0"/>
          <w:iCs w:val="0"/>
        </w:rPr>
        <w:t xml:space="preserve"> </w:t>
      </w:r>
      <w:r w:rsidRPr="00FA16AA">
        <w:t>Mat</w:t>
      </w:r>
      <w:r w:rsidRPr="0064038E">
        <w:rPr>
          <w:rStyle w:val="Emphasis"/>
          <w:i w:val="0"/>
          <w:iCs w:val="0"/>
        </w:rPr>
        <w:t>ters</w:t>
      </w:r>
      <w:r w:rsidRPr="00E06E63">
        <w:t xml:space="preserve"> </w:t>
      </w:r>
      <w:r w:rsidRPr="00711373">
        <w:t>package</w:t>
      </w:r>
      <w:r>
        <w:t>. This included</w:t>
      </w:r>
      <w:r w:rsidRPr="00711373">
        <w:t xml:space="preserve"> prevention and early intervention initiatives</w:t>
      </w:r>
      <w:r>
        <w:t>. These</w:t>
      </w:r>
      <w:r w:rsidRPr="00711373">
        <w:t xml:space="preserve"> </w:t>
      </w:r>
      <w:r>
        <w:t>supported</w:t>
      </w:r>
      <w:r w:rsidRPr="00711373">
        <w:t xml:space="preserve"> South Sudanese, Somali, Afghan and Pasifika young people and their families</w:t>
      </w:r>
      <w:r>
        <w:t xml:space="preserve">. Highlights for </w:t>
      </w:r>
      <w:r w:rsidR="000C34BF">
        <w:br/>
      </w:r>
      <w:r>
        <w:t>2024–25 included</w:t>
      </w:r>
      <w:r w:rsidRPr="00711373">
        <w:t>:</w:t>
      </w:r>
    </w:p>
    <w:p w14:paraId="17E79B4D" w14:textId="5389FD07" w:rsidR="0064038E" w:rsidRDefault="0064038E" w:rsidP="00F375A6">
      <w:pPr>
        <w:pStyle w:val="ARbullet1"/>
        <w:numPr>
          <w:ilvl w:val="0"/>
          <w:numId w:val="22"/>
        </w:numPr>
      </w:pPr>
      <w:r>
        <w:t>providing 6</w:t>
      </w:r>
      <w:r w:rsidRPr="00711373">
        <w:t xml:space="preserve"> </w:t>
      </w:r>
      <w:r w:rsidR="00613DB4">
        <w:t>C</w:t>
      </w:r>
      <w:r w:rsidRPr="00711373">
        <w:t xml:space="preserve">ommunity </w:t>
      </w:r>
      <w:r w:rsidR="00613DB4">
        <w:t>S</w:t>
      </w:r>
      <w:r w:rsidRPr="00711373">
        <w:t xml:space="preserve">upport </w:t>
      </w:r>
      <w:r w:rsidR="00613DB4">
        <w:t>G</w:t>
      </w:r>
      <w:r w:rsidRPr="00711373">
        <w:t>roups</w:t>
      </w:r>
      <w:r>
        <w:t xml:space="preserve"> that support </w:t>
      </w:r>
      <w:r w:rsidRPr="00711373">
        <w:t>more than 2,500 young people and their families</w:t>
      </w:r>
      <w:r>
        <w:t>. This</w:t>
      </w:r>
      <w:r w:rsidRPr="00711373">
        <w:t xml:space="preserve"> </w:t>
      </w:r>
      <w:r>
        <w:t xml:space="preserve">includes </w:t>
      </w:r>
      <w:r w:rsidRPr="00711373">
        <w:t xml:space="preserve">support and referrals </w:t>
      </w:r>
      <w:r>
        <w:t xml:space="preserve">for education and training, </w:t>
      </w:r>
      <w:r w:rsidRPr="00711373">
        <w:t>mental health and employment</w:t>
      </w:r>
      <w:r>
        <w:t xml:space="preserve">. It also includes </w:t>
      </w:r>
      <w:r w:rsidRPr="00711373">
        <w:t xml:space="preserve">cultural and community activities </w:t>
      </w:r>
      <w:r>
        <w:t xml:space="preserve">that </w:t>
      </w:r>
      <w:r w:rsidRPr="00711373">
        <w:t>foster engagement and participation</w:t>
      </w:r>
    </w:p>
    <w:p w14:paraId="2B3D8A47" w14:textId="101E087A" w:rsidR="0064038E" w:rsidRPr="00711373" w:rsidRDefault="0064038E" w:rsidP="001C4149">
      <w:pPr>
        <w:pStyle w:val="ARbullet1"/>
      </w:pPr>
      <w:r>
        <w:t>t</w:t>
      </w:r>
      <w:r w:rsidRPr="00711373">
        <w:t>he Le Mana Pasifika Project</w:t>
      </w:r>
      <w:r>
        <w:t>. The project</w:t>
      </w:r>
      <w:r w:rsidRPr="00711373">
        <w:t xml:space="preserve"> provide</w:t>
      </w:r>
      <w:r>
        <w:t>s</w:t>
      </w:r>
      <w:r w:rsidRPr="00711373">
        <w:t xml:space="preserve"> targeted supports </w:t>
      </w:r>
      <w:r>
        <w:t>for</w:t>
      </w:r>
      <w:r w:rsidRPr="00711373">
        <w:t xml:space="preserve"> at-risk Pasifika young people</w:t>
      </w:r>
      <w:r>
        <w:t xml:space="preserve">. This includes connecting them </w:t>
      </w:r>
      <w:r w:rsidRPr="00711373">
        <w:t xml:space="preserve">with education, employment, their families, community and support services. </w:t>
      </w:r>
      <w:r>
        <w:t>The project</w:t>
      </w:r>
      <w:r w:rsidRPr="00711373">
        <w:t xml:space="preserve"> supported more than 1,000 Pasifika young people in 2024–25</w:t>
      </w:r>
      <w:r>
        <w:t>. It provided</w:t>
      </w:r>
      <w:r w:rsidRPr="00711373">
        <w:t xml:space="preserve"> in-school programs, cultural capacity building, employment support and </w:t>
      </w:r>
      <w:r>
        <w:t xml:space="preserve">programs fostering </w:t>
      </w:r>
      <w:r w:rsidRPr="00711373">
        <w:t>family and community connection.</w:t>
      </w:r>
    </w:p>
    <w:p w14:paraId="72EE8D32" w14:textId="77777777" w:rsidR="0064038E" w:rsidRPr="001870A8" w:rsidRDefault="0064038E" w:rsidP="00353D9B">
      <w:pPr>
        <w:pStyle w:val="Heading5"/>
        <w:spacing w:before="0"/>
        <w:rPr>
          <w:rFonts w:eastAsia="MS Mincho"/>
        </w:rPr>
      </w:pPr>
      <w:bookmarkStart w:id="72" w:name="_Hlk202094430"/>
      <w:bookmarkEnd w:id="71"/>
      <w:r w:rsidRPr="001870A8">
        <w:rPr>
          <w:rFonts w:eastAsia="MS Mincho"/>
        </w:rPr>
        <w:t>Supporting engagement in education for young people with mental health challenges</w:t>
      </w:r>
    </w:p>
    <w:p w14:paraId="44ABBB56" w14:textId="4A9A7608" w:rsidR="0064038E" w:rsidRPr="001870A8" w:rsidRDefault="0064038E">
      <w:pPr>
        <w:pStyle w:val="ARbody"/>
      </w:pPr>
      <w:r w:rsidRPr="001870A8">
        <w:t>The department continued to support youth engagement through the Living Learning program.</w:t>
      </w:r>
      <w:r>
        <w:t xml:space="preserve"> The program supports young people who experience mental health conditions. It helps them re-engage with education, employment or training.</w:t>
      </w:r>
      <w:r w:rsidRPr="001870A8">
        <w:t xml:space="preserve"> In 2024</w:t>
      </w:r>
      <w:r>
        <w:t>–</w:t>
      </w:r>
      <w:r w:rsidRPr="001870A8">
        <w:t>25</w:t>
      </w:r>
      <w:r>
        <w:t>,</w:t>
      </w:r>
      <w:r w:rsidRPr="001870A8">
        <w:t xml:space="preserve"> the program was extended for a further 12 months</w:t>
      </w:r>
      <w:r>
        <w:t xml:space="preserve"> with an</w:t>
      </w:r>
      <w:r w:rsidRPr="001870A8">
        <w:t xml:space="preserve"> investment of $3.6 million</w:t>
      </w:r>
      <w:r>
        <w:t>.</w:t>
      </w:r>
    </w:p>
    <w:p w14:paraId="0B3EBBF8" w14:textId="2D500634" w:rsidR="0064038E" w:rsidRPr="001870A8" w:rsidRDefault="0064038E">
      <w:pPr>
        <w:pStyle w:val="ARbody"/>
      </w:pPr>
      <w:r w:rsidRPr="001870A8">
        <w:t>The program is delivered at the Hester Hornbrook Academy, an independent school run by Melbourne City Mission. The program provides wrap-around mental health and specialist supports</w:t>
      </w:r>
      <w:r>
        <w:t>. It</w:t>
      </w:r>
      <w:r w:rsidRPr="001870A8">
        <w:t xml:space="preserve"> assist</w:t>
      </w:r>
      <w:r>
        <w:t xml:space="preserve">s </w:t>
      </w:r>
      <w:r w:rsidRPr="001870A8">
        <w:t xml:space="preserve">students </w:t>
      </w:r>
      <w:r>
        <w:t>with</w:t>
      </w:r>
      <w:r w:rsidRPr="001870A8">
        <w:t xml:space="preserve"> their education. </w:t>
      </w:r>
    </w:p>
    <w:p w14:paraId="3765C356" w14:textId="77777777" w:rsidR="00EB0DCD" w:rsidRDefault="0064038E">
      <w:pPr>
        <w:pStyle w:val="ARbody"/>
      </w:pPr>
      <w:r>
        <w:t>E</w:t>
      </w:r>
      <w:r w:rsidRPr="001870A8">
        <w:t xml:space="preserve">valuations </w:t>
      </w:r>
      <w:r>
        <w:t>show</w:t>
      </w:r>
      <w:r w:rsidRPr="001870A8">
        <w:t xml:space="preserve"> the program </w:t>
      </w:r>
      <w:r>
        <w:t>improves</w:t>
      </w:r>
      <w:r w:rsidRPr="001870A8">
        <w:t xml:space="preserve"> young people’s mental and physical health, confidence, self-efficacy and engagement in education, employment and training.</w:t>
      </w:r>
    </w:p>
    <w:p w14:paraId="0E0FDB30" w14:textId="77777777" w:rsidR="0064038E" w:rsidRPr="004F5F36" w:rsidRDefault="0064038E">
      <w:pPr>
        <w:pStyle w:val="Heading5"/>
        <w:rPr>
          <w:rFonts w:eastAsia="MS Mincho"/>
        </w:rPr>
      </w:pPr>
      <w:bookmarkStart w:id="73" w:name="_Toc173832730"/>
      <w:bookmarkEnd w:id="72"/>
      <w:r w:rsidRPr="004F5F36">
        <w:rPr>
          <w:rFonts w:eastAsia="MS Mincho"/>
        </w:rPr>
        <w:t>Delivering the state disability plan to improve access and inclusion for Victorians with disability</w:t>
      </w:r>
      <w:bookmarkEnd w:id="73"/>
    </w:p>
    <w:p w14:paraId="11586B00" w14:textId="1253D352" w:rsidR="0064038E" w:rsidRPr="004F5F36" w:rsidRDefault="0064038E">
      <w:pPr>
        <w:pStyle w:val="ARbody"/>
        <w:spacing w:after="60"/>
      </w:pPr>
      <w:r w:rsidRPr="004F5F36">
        <w:t xml:space="preserve">The department is implementing </w:t>
      </w:r>
      <w:r w:rsidRPr="004F5F36">
        <w:rPr>
          <w:rStyle w:val="Emphasis"/>
        </w:rPr>
        <w:t xml:space="preserve">Inclusive Victoria: state disability plan 2022–2026, </w:t>
      </w:r>
      <w:r w:rsidRPr="004F5F36">
        <w:t xml:space="preserve">released in March 2022. </w:t>
      </w:r>
      <w:r>
        <w:t>This will</w:t>
      </w:r>
      <w:r w:rsidRPr="004F5F36">
        <w:t xml:space="preserve"> allow the next plan to respond to ongoing national reforms. This whole-of-government plan outlines our commitment to building a more inclusive and accessible community. The plan </w:t>
      </w:r>
      <w:r>
        <w:t>sets out</w:t>
      </w:r>
      <w:r w:rsidRPr="004F5F36">
        <w:t xml:space="preserve"> an ambitious reform agenda</w:t>
      </w:r>
      <w:r>
        <w:t>. It</w:t>
      </w:r>
      <w:r w:rsidRPr="004F5F36">
        <w:t xml:space="preserve"> aims to transform the way government</w:t>
      </w:r>
      <w:r w:rsidR="008149F0">
        <w:t> </w:t>
      </w:r>
      <w:r w:rsidRPr="004F5F36">
        <w:t xml:space="preserve">works. </w:t>
      </w:r>
    </w:p>
    <w:p w14:paraId="080DA493" w14:textId="77777777" w:rsidR="0064038E" w:rsidRPr="004F5F36" w:rsidRDefault="0064038E">
      <w:pPr>
        <w:pStyle w:val="ARbody"/>
        <w:spacing w:after="60"/>
      </w:pPr>
      <w:r w:rsidRPr="004F5F36">
        <w:t>It sets out 6 systemic reforms:</w:t>
      </w:r>
    </w:p>
    <w:p w14:paraId="0E6F54C3" w14:textId="77777777" w:rsidR="0064038E" w:rsidRPr="004F5F36" w:rsidRDefault="0064038E" w:rsidP="00F375A6">
      <w:pPr>
        <w:pStyle w:val="ARbullet1"/>
        <w:numPr>
          <w:ilvl w:val="0"/>
          <w:numId w:val="22"/>
        </w:numPr>
      </w:pPr>
      <w:r w:rsidRPr="004F5F36">
        <w:t>co-design with people with disability</w:t>
      </w:r>
    </w:p>
    <w:p w14:paraId="60138542" w14:textId="77777777" w:rsidR="0064038E" w:rsidRPr="004F5F36" w:rsidRDefault="0064038E" w:rsidP="00F375A6">
      <w:pPr>
        <w:pStyle w:val="ARbullet1"/>
        <w:numPr>
          <w:ilvl w:val="0"/>
          <w:numId w:val="22"/>
        </w:numPr>
      </w:pPr>
      <w:r w:rsidRPr="004F5F36">
        <w:t>Aboriginal self-determination</w:t>
      </w:r>
    </w:p>
    <w:p w14:paraId="67EC10F3" w14:textId="77777777" w:rsidR="0064038E" w:rsidRPr="004F5F36" w:rsidRDefault="0064038E" w:rsidP="00F375A6">
      <w:pPr>
        <w:pStyle w:val="ARbullet1"/>
        <w:numPr>
          <w:ilvl w:val="0"/>
          <w:numId w:val="22"/>
        </w:numPr>
      </w:pPr>
      <w:r w:rsidRPr="004F5F36">
        <w:t>intersectional approaches</w:t>
      </w:r>
    </w:p>
    <w:p w14:paraId="665325DF" w14:textId="6E8A18DE" w:rsidR="0064038E" w:rsidRPr="004F5F36" w:rsidRDefault="0064038E" w:rsidP="00F375A6">
      <w:pPr>
        <w:pStyle w:val="ARbullet1"/>
        <w:numPr>
          <w:ilvl w:val="0"/>
          <w:numId w:val="22"/>
        </w:numPr>
      </w:pPr>
      <w:r w:rsidRPr="004F5F36">
        <w:t>universal design and accessible</w:t>
      </w:r>
      <w:r>
        <w:t xml:space="preserve"> </w:t>
      </w:r>
      <w:r w:rsidRPr="004F5F36">
        <w:t>communications</w:t>
      </w:r>
    </w:p>
    <w:p w14:paraId="1EE0D5EC" w14:textId="77777777" w:rsidR="0064038E" w:rsidRPr="004F5F36" w:rsidRDefault="0064038E" w:rsidP="00F375A6">
      <w:pPr>
        <w:pStyle w:val="ARbullet1"/>
        <w:numPr>
          <w:ilvl w:val="0"/>
          <w:numId w:val="22"/>
        </w:numPr>
      </w:pPr>
      <w:r w:rsidRPr="004F5F36">
        <w:t>disability-confident and inclusive workforces</w:t>
      </w:r>
    </w:p>
    <w:p w14:paraId="327B8684" w14:textId="77777777" w:rsidR="0064038E" w:rsidRPr="004F5F36" w:rsidRDefault="0064038E" w:rsidP="00F375A6">
      <w:pPr>
        <w:pStyle w:val="ARbullet1"/>
        <w:numPr>
          <w:ilvl w:val="0"/>
          <w:numId w:val="22"/>
        </w:numPr>
      </w:pPr>
      <w:r w:rsidRPr="004F5F36">
        <w:t>effective data and outcomes reporting.</w:t>
      </w:r>
    </w:p>
    <w:p w14:paraId="47E4503E" w14:textId="77777777" w:rsidR="0064038E" w:rsidRPr="004F5F36" w:rsidRDefault="0064038E">
      <w:pPr>
        <w:pStyle w:val="ARbodyafterbullets"/>
      </w:pPr>
      <w:r w:rsidRPr="004F5F36">
        <w:t>In 2024–25, investments in initiatives under the state disability plan included</w:t>
      </w:r>
      <w:r>
        <w:t xml:space="preserve"> funding for</w:t>
      </w:r>
      <w:r w:rsidRPr="004F5F36">
        <w:t>:</w:t>
      </w:r>
    </w:p>
    <w:p w14:paraId="1CE72FA5" w14:textId="77777777" w:rsidR="0064038E" w:rsidRPr="004F5F36" w:rsidRDefault="0064038E" w:rsidP="00F375A6">
      <w:pPr>
        <w:pStyle w:val="ARbullet1"/>
        <w:numPr>
          <w:ilvl w:val="0"/>
          <w:numId w:val="22"/>
        </w:numPr>
      </w:pPr>
      <w:r>
        <w:t>p</w:t>
      </w:r>
      <w:r w:rsidRPr="009A27C8">
        <w:t>ublicly funded autism assessment grants for people who would otherwise be unable to afford an assessment</w:t>
      </w:r>
    </w:p>
    <w:p w14:paraId="313DD3D9" w14:textId="77777777" w:rsidR="00AF5310" w:rsidRDefault="0064038E" w:rsidP="00F375A6">
      <w:pPr>
        <w:pStyle w:val="ARbullet1"/>
        <w:numPr>
          <w:ilvl w:val="0"/>
          <w:numId w:val="22"/>
        </w:numPr>
      </w:pPr>
      <w:r>
        <w:t>disability liaison officers in health services to improve access to essential health services for people with disability</w:t>
      </w:r>
    </w:p>
    <w:p w14:paraId="6C1B8D9A" w14:textId="0C8DF09F" w:rsidR="0064038E" w:rsidRPr="004F5F36" w:rsidRDefault="00AF5310" w:rsidP="00F375A6">
      <w:pPr>
        <w:pStyle w:val="ARbullet1"/>
        <w:numPr>
          <w:ilvl w:val="0"/>
          <w:numId w:val="22"/>
        </w:numPr>
      </w:pPr>
      <w:r w:rsidRPr="00AF5310">
        <w:t>21 disability advocacy agencies including 2 resource units to assist Victorians with disability through individual and systemic advocacy.</w:t>
      </w:r>
      <w:r w:rsidR="0064038E">
        <w:t xml:space="preserve"> </w:t>
      </w:r>
    </w:p>
    <w:p w14:paraId="781443C7" w14:textId="3A758186" w:rsidR="0064038E" w:rsidRDefault="0064038E">
      <w:pPr>
        <w:pStyle w:val="ARbodyafterbullets"/>
      </w:pPr>
      <w:r w:rsidRPr="004F5F36">
        <w:lastRenderedPageBreak/>
        <w:t xml:space="preserve">In December 2024, the Victorian Government released </w:t>
      </w:r>
      <w:r w:rsidRPr="00FA16AA">
        <w:rPr>
          <w:rStyle w:val="Emphasis"/>
        </w:rPr>
        <w:t xml:space="preserve">Inclusive Victoria: state disability </w:t>
      </w:r>
      <w:proofErr w:type="gramStart"/>
      <w:r w:rsidRPr="00FA16AA">
        <w:rPr>
          <w:rStyle w:val="Emphasis"/>
        </w:rPr>
        <w:t>plan</w:t>
      </w:r>
      <w:proofErr w:type="gramEnd"/>
      <w:r w:rsidRPr="00FA16AA">
        <w:rPr>
          <w:rStyle w:val="Emphasis"/>
        </w:rPr>
        <w:t xml:space="preserve"> midway report 2022–2024.</w:t>
      </w:r>
      <w:r w:rsidRPr="004F5F36">
        <w:rPr>
          <w:b/>
          <w:bCs/>
        </w:rPr>
        <w:t xml:space="preserve"> </w:t>
      </w:r>
      <w:r w:rsidRPr="004F5F36">
        <w:t>The report summarises the progress on implementation of the state disability plan</w:t>
      </w:r>
      <w:r>
        <w:t>. It</w:t>
      </w:r>
      <w:r w:rsidRPr="004F5F36">
        <w:t xml:space="preserve"> identifies additional actions for the final 2 years of the plan.</w:t>
      </w:r>
    </w:p>
    <w:p w14:paraId="3C792CCB" w14:textId="1A22C1B5" w:rsidR="0064038E" w:rsidRPr="004F5F36" w:rsidRDefault="0064038E" w:rsidP="00957EDA">
      <w:pPr>
        <w:pStyle w:val="Heading5"/>
        <w:rPr>
          <w:rFonts w:eastAsia="MS Mincho"/>
        </w:rPr>
      </w:pPr>
      <w:bookmarkStart w:id="74" w:name="_Toc173832731"/>
      <w:r w:rsidRPr="004F5F36">
        <w:rPr>
          <w:rFonts w:eastAsia="MS Mincho"/>
        </w:rPr>
        <w:t xml:space="preserve">Review of the </w:t>
      </w:r>
      <w:r w:rsidRPr="00DA434D">
        <w:rPr>
          <w:rStyle w:val="Emphasis"/>
          <w:rFonts w:eastAsia="MS Mincho"/>
        </w:rPr>
        <w:t>Disability Act 2006</w:t>
      </w:r>
      <w:bookmarkEnd w:id="74"/>
    </w:p>
    <w:p w14:paraId="0FB83932" w14:textId="214FE02D" w:rsidR="0064038E" w:rsidRDefault="0064038E">
      <w:pPr>
        <w:pStyle w:val="ARbody"/>
      </w:pPr>
      <w:r w:rsidRPr="00D85D2F">
        <w:t xml:space="preserve">The department completed </w:t>
      </w:r>
      <w:r>
        <w:t>implementing</w:t>
      </w:r>
      <w:r w:rsidRPr="00D85D2F">
        <w:t xml:space="preserve"> the</w:t>
      </w:r>
      <w:r w:rsidRPr="00D76CDE">
        <w:rPr>
          <w:b/>
        </w:rPr>
        <w:t xml:space="preserve"> </w:t>
      </w:r>
      <w:r w:rsidRPr="00FA16AA">
        <w:rPr>
          <w:rStyle w:val="Emphasis"/>
        </w:rPr>
        <w:t>Disability and Social Services Regulation Amendment Act 2023</w:t>
      </w:r>
      <w:r>
        <w:rPr>
          <w:bCs/>
        </w:rPr>
        <w:t>.</w:t>
      </w:r>
      <w:r w:rsidRPr="00D76CDE">
        <w:rPr>
          <w:b/>
        </w:rPr>
        <w:t xml:space="preserve"> </w:t>
      </w:r>
      <w:r w:rsidRPr="00D85D2F">
        <w:t xml:space="preserve">The Act was </w:t>
      </w:r>
      <w:r>
        <w:t xml:space="preserve">established as </w:t>
      </w:r>
      <w:r w:rsidRPr="00D85D2F">
        <w:t>part of the review of the</w:t>
      </w:r>
      <w:r w:rsidRPr="00D76CDE">
        <w:rPr>
          <w:b/>
        </w:rPr>
        <w:t xml:space="preserve"> </w:t>
      </w:r>
      <w:r w:rsidRPr="00FA16AA">
        <w:rPr>
          <w:rStyle w:val="Emphasis"/>
        </w:rPr>
        <w:t>Disability Act 2006</w:t>
      </w:r>
      <w:r w:rsidRPr="004E085B">
        <w:rPr>
          <w:iCs/>
        </w:rPr>
        <w:t>.</w:t>
      </w:r>
      <w:r w:rsidRPr="0064038E">
        <w:t xml:space="preserve"> It </w:t>
      </w:r>
      <w:r w:rsidRPr="004E085B">
        <w:t>was</w:t>
      </w:r>
      <w:r w:rsidRPr="00D85D2F">
        <w:t xml:space="preserve"> informed by close engagement with disability communities and sector stakeholders. </w:t>
      </w:r>
    </w:p>
    <w:p w14:paraId="6D9538C4" w14:textId="77777777" w:rsidR="00EB0DCD" w:rsidRDefault="0064038E">
      <w:pPr>
        <w:pStyle w:val="ARbody"/>
        <w:rPr>
          <w:b/>
        </w:rPr>
      </w:pPr>
      <w:r w:rsidRPr="00D85D2F">
        <w:t>It introduce</w:t>
      </w:r>
      <w:r>
        <w:t>s</w:t>
      </w:r>
      <w:r w:rsidRPr="00D85D2F">
        <w:t xml:space="preserve"> changes to the </w:t>
      </w:r>
      <w:r w:rsidRPr="00A906A4">
        <w:rPr>
          <w:i/>
        </w:rPr>
        <w:t>Disability Act</w:t>
      </w:r>
      <w:r w:rsidR="00C97EB3">
        <w:rPr>
          <w:i/>
          <w:iCs/>
        </w:rPr>
        <w:t xml:space="preserve"> 2006</w:t>
      </w:r>
      <w:r w:rsidRPr="00D85D2F">
        <w:t>,</w:t>
      </w:r>
      <w:r w:rsidRPr="00D76CDE">
        <w:rPr>
          <w:b/>
        </w:rPr>
        <w:t xml:space="preserve"> </w:t>
      </w:r>
      <w:r w:rsidRPr="00FA16AA">
        <w:rPr>
          <w:rStyle w:val="Emphasis"/>
        </w:rPr>
        <w:t>Residential Tenancies Act 1997</w:t>
      </w:r>
      <w:r w:rsidRPr="00D66B07">
        <w:rPr>
          <w:b/>
          <w:bCs/>
        </w:rPr>
        <w:t xml:space="preserve">, </w:t>
      </w:r>
      <w:r w:rsidRPr="00FA16AA">
        <w:rPr>
          <w:rStyle w:val="Emphasis"/>
        </w:rPr>
        <w:t>Disability Service Safeguards Act 2018</w:t>
      </w:r>
      <w:r w:rsidRPr="00D85D2F">
        <w:t>, and the</w:t>
      </w:r>
      <w:r w:rsidRPr="00D76CDE">
        <w:rPr>
          <w:b/>
        </w:rPr>
        <w:t xml:space="preserve"> </w:t>
      </w:r>
      <w:r w:rsidRPr="00FA16AA">
        <w:rPr>
          <w:rStyle w:val="Emphasis"/>
        </w:rPr>
        <w:t>Social Services Regulation Act 2021</w:t>
      </w:r>
      <w:r w:rsidRPr="0064038E">
        <w:t>.</w:t>
      </w:r>
      <w:r w:rsidRPr="00D76CDE">
        <w:rPr>
          <w:b/>
        </w:rPr>
        <w:t xml:space="preserve"> </w:t>
      </w:r>
    </w:p>
    <w:p w14:paraId="540775E4" w14:textId="10AFA38D" w:rsidR="0064038E" w:rsidRPr="00D76CDE" w:rsidRDefault="0064038E">
      <w:pPr>
        <w:pStyle w:val="ARbody"/>
        <w:rPr>
          <w:highlight w:val="cyan"/>
        </w:rPr>
      </w:pPr>
      <w:r w:rsidRPr="00D85D2F">
        <w:t>The Act strengthen</w:t>
      </w:r>
      <w:r>
        <w:t>s</w:t>
      </w:r>
      <w:r w:rsidRPr="00D85D2F">
        <w:t xml:space="preserve"> rights, protections and safeguards for people with disability in Victoria</w:t>
      </w:r>
      <w:r>
        <w:t>. This</w:t>
      </w:r>
      <w:r w:rsidR="00630D83">
        <w:t> </w:t>
      </w:r>
      <w:r>
        <w:t xml:space="preserve">includes </w:t>
      </w:r>
      <w:r w:rsidRPr="00D85D2F">
        <w:t>residents of specialist disability accommodation.</w:t>
      </w:r>
      <w:r>
        <w:t xml:space="preserve"> The Act </w:t>
      </w:r>
      <w:r w:rsidRPr="00D85D2F">
        <w:t>clarifie</w:t>
      </w:r>
      <w:r>
        <w:t>s</w:t>
      </w:r>
      <w:r w:rsidRPr="00D85D2F">
        <w:t xml:space="preserve"> information</w:t>
      </w:r>
      <w:r>
        <w:t>-</w:t>
      </w:r>
      <w:r w:rsidRPr="00D85D2F">
        <w:t>sharing requirements under the Disability Act</w:t>
      </w:r>
      <w:r>
        <w:t>. It improves ov</w:t>
      </w:r>
      <w:r w:rsidRPr="00D85D2F">
        <w:t>ersight of regulated restrictive practices and compulsory treatment</w:t>
      </w:r>
      <w:r>
        <w:t xml:space="preserve">. It also </w:t>
      </w:r>
      <w:r w:rsidRPr="00D85D2F">
        <w:t>reduce</w:t>
      </w:r>
      <w:r>
        <w:t>s</w:t>
      </w:r>
      <w:r w:rsidRPr="00D85D2F">
        <w:t xml:space="preserve"> duplicative obligations for disability and NDIS service providers.</w:t>
      </w:r>
    </w:p>
    <w:p w14:paraId="3D429CD2" w14:textId="77777777" w:rsidR="0064038E" w:rsidRPr="004F5F36" w:rsidRDefault="0064038E">
      <w:pPr>
        <w:pStyle w:val="Heading5"/>
        <w:rPr>
          <w:rFonts w:eastAsia="MS Mincho"/>
        </w:rPr>
      </w:pPr>
      <w:bookmarkStart w:id="75" w:name="_Toc173832732"/>
      <w:r w:rsidRPr="004F5F36">
        <w:rPr>
          <w:rFonts w:eastAsia="MS Mincho"/>
        </w:rPr>
        <w:t>Supporting organisations through the Victorian Disability Advocacy Program</w:t>
      </w:r>
      <w:bookmarkEnd w:id="75"/>
    </w:p>
    <w:p w14:paraId="3F86FAD5" w14:textId="77777777" w:rsidR="0064038E" w:rsidRDefault="0064038E">
      <w:pPr>
        <w:pStyle w:val="ARbody"/>
      </w:pPr>
      <w:r w:rsidRPr="004F5F36">
        <w:t>Victoria’s disability advocacy organisations help create a safer and fairer Victoria through individual, self and systemic advocacy.</w:t>
      </w:r>
    </w:p>
    <w:p w14:paraId="7D1C911D" w14:textId="34DEB2BA" w:rsidR="00957EDA" w:rsidRDefault="0064038E">
      <w:pPr>
        <w:pStyle w:val="ARbody"/>
      </w:pPr>
      <w:r w:rsidRPr="005E53F4">
        <w:t>The Victorian Disability Advocacy Program provides funding for systemic an</w:t>
      </w:r>
      <w:r>
        <w:t>d</w:t>
      </w:r>
      <w:r w:rsidRPr="005E53F4">
        <w:t xml:space="preserve"> individual advocacy</w:t>
      </w:r>
      <w:r>
        <w:t>. It funds</w:t>
      </w:r>
      <w:r w:rsidRPr="005E53F4">
        <w:t xml:space="preserve"> 21 disability advocacy agencies</w:t>
      </w:r>
      <w:r w:rsidR="001A77C6">
        <w:t>, including</w:t>
      </w:r>
      <w:r w:rsidRPr="005E53F4">
        <w:t xml:space="preserve"> </w:t>
      </w:r>
      <w:r>
        <w:t>2</w:t>
      </w:r>
      <w:r w:rsidRPr="005E53F4">
        <w:t xml:space="preserve"> resource units</w:t>
      </w:r>
      <w:r>
        <w:t xml:space="preserve">. In 2024–25, additional funding enabled </w:t>
      </w:r>
      <w:r w:rsidRPr="004F5F36">
        <w:t xml:space="preserve">organisations to </w:t>
      </w:r>
      <w:r w:rsidR="00397F3F">
        <w:t xml:space="preserve">continue to </w:t>
      </w:r>
      <w:r w:rsidRPr="004F5F36">
        <w:t>assist an additional 800 Victorians with disability</w:t>
      </w:r>
      <w:r>
        <w:t>.</w:t>
      </w:r>
      <w:r w:rsidRPr="004F5F36">
        <w:t xml:space="preserve"> </w:t>
      </w:r>
      <w:r>
        <w:t>This was on top of the base target of 1,700 clients a year</w:t>
      </w:r>
      <w:r w:rsidRPr="004F5F36">
        <w:t>. Organisations exceeded the annual target of assisting 2,500 people by June 2024</w:t>
      </w:r>
      <w:r>
        <w:t xml:space="preserve">. The program assisted </w:t>
      </w:r>
      <w:r w:rsidRPr="004F5F36">
        <w:t xml:space="preserve">a total of 2,812 people </w:t>
      </w:r>
      <w:r>
        <w:t>during the year</w:t>
      </w:r>
      <w:r w:rsidRPr="004F5F36">
        <w:t>.</w:t>
      </w:r>
    </w:p>
    <w:p w14:paraId="2BF53E99" w14:textId="7DAD9239" w:rsidR="0064038E" w:rsidRPr="005E7E9B" w:rsidDel="00BD1EDD" w:rsidRDefault="00EB0DCD" w:rsidP="00EB0DCD">
      <w:pPr>
        <w:pStyle w:val="Heading5"/>
        <w:rPr>
          <w:rFonts w:eastAsia="MS Mincho"/>
        </w:rPr>
      </w:pPr>
      <w:r>
        <w:br w:type="column"/>
      </w:r>
      <w:bookmarkStart w:id="76" w:name="_Toc173832733"/>
      <w:r w:rsidR="0064038E" w:rsidRPr="005E7E9B">
        <w:rPr>
          <w:rFonts w:eastAsia="MS Mincho"/>
        </w:rPr>
        <w:t>Royal Commission into Violence, Abuse, Neglect and Exploitation of People with Disability</w:t>
      </w:r>
      <w:bookmarkEnd w:id="76"/>
    </w:p>
    <w:p w14:paraId="7A6F3152" w14:textId="36B50B54" w:rsidR="0064038E" w:rsidRPr="005E7E9B" w:rsidRDefault="0064038E">
      <w:pPr>
        <w:pStyle w:val="ARbody"/>
      </w:pPr>
      <w:r w:rsidRPr="005E7E9B">
        <w:t xml:space="preserve">The Victorian Government published its response to the Royal Commission into Violence, Abuse, Neglect and Exploitation of People with Disability (Disability Royal Commission) on 31 July 2024. </w:t>
      </w:r>
      <w:r>
        <w:t>The Commonwealth also published a</w:t>
      </w:r>
      <w:r w:rsidRPr="005E7E9B">
        <w:t xml:space="preserve"> joint response to the 85 joint Commonwealth, state and territory recommendations on the same date. Victoria’s response builds on the joint response. </w:t>
      </w:r>
    </w:p>
    <w:p w14:paraId="16C40A68" w14:textId="7BEE6DE1" w:rsidR="0064038E" w:rsidRPr="005E7E9B" w:rsidDel="00FA47EC" w:rsidRDefault="0064038E">
      <w:pPr>
        <w:pStyle w:val="ARbody"/>
      </w:pPr>
      <w:r w:rsidRPr="005E7E9B">
        <w:t>The department</w:t>
      </w:r>
      <w:r>
        <w:t xml:space="preserve"> coordinates</w:t>
      </w:r>
      <w:r w:rsidRPr="005E7E9B">
        <w:t xml:space="preserve"> the Victorian Government response</w:t>
      </w:r>
      <w:r>
        <w:t>. We continue to work</w:t>
      </w:r>
      <w:r w:rsidRPr="005E7E9B">
        <w:t xml:space="preserve"> collaboratively with Victorian Government departments and other jurisdictions</w:t>
      </w:r>
      <w:r>
        <w:t xml:space="preserve"> to implement the recommendations</w:t>
      </w:r>
      <w:r w:rsidRPr="005E7E9B">
        <w:t xml:space="preserve">. </w:t>
      </w:r>
    </w:p>
    <w:p w14:paraId="13B50C71" w14:textId="77777777" w:rsidR="00EB0DCD" w:rsidRDefault="0064038E">
      <w:pPr>
        <w:pStyle w:val="ARbody"/>
      </w:pPr>
      <w:r w:rsidRPr="005E7E9B">
        <w:t xml:space="preserve">The Victorian Government </w:t>
      </w:r>
      <w:r>
        <w:t xml:space="preserve">reports </w:t>
      </w:r>
      <w:r w:rsidRPr="005E7E9B">
        <w:t>on the 130 recommendations within its remit. This includes providing reporting to the Disability Reform Ministerial Council</w:t>
      </w:r>
      <w:r>
        <w:t>. This council oversees</w:t>
      </w:r>
      <w:r w:rsidRPr="005E7E9B">
        <w:t xml:space="preserve"> the implementation of the recommendations. </w:t>
      </w:r>
    </w:p>
    <w:p w14:paraId="3A13828B" w14:textId="47406C2B" w:rsidR="0064038E" w:rsidRPr="00C73D4C" w:rsidRDefault="0064038E">
      <w:pPr>
        <w:pStyle w:val="Heading5"/>
        <w:rPr>
          <w:rFonts w:eastAsia="MS Mincho"/>
        </w:rPr>
      </w:pPr>
      <w:bookmarkStart w:id="77" w:name="_Toc173832734"/>
      <w:r w:rsidRPr="00FF4844">
        <w:rPr>
          <w:rFonts w:eastAsia="MS Mincho"/>
        </w:rPr>
        <w:t xml:space="preserve">NDIS </w:t>
      </w:r>
      <w:r>
        <w:rPr>
          <w:rFonts w:eastAsia="MS Mincho"/>
        </w:rPr>
        <w:t>r</w:t>
      </w:r>
      <w:r w:rsidRPr="00FF4844">
        <w:rPr>
          <w:rFonts w:eastAsia="MS Mincho"/>
        </w:rPr>
        <w:t xml:space="preserve">eview and </w:t>
      </w:r>
      <w:r>
        <w:rPr>
          <w:rFonts w:eastAsia="MS Mincho"/>
        </w:rPr>
        <w:t>f</w:t>
      </w:r>
      <w:r w:rsidRPr="00FF4844">
        <w:rPr>
          <w:rFonts w:eastAsia="MS Mincho"/>
        </w:rPr>
        <w:t xml:space="preserve">oundational </w:t>
      </w:r>
      <w:r>
        <w:rPr>
          <w:rFonts w:eastAsia="MS Mincho"/>
        </w:rPr>
        <w:t>s</w:t>
      </w:r>
      <w:r w:rsidRPr="00FF4844">
        <w:rPr>
          <w:rFonts w:eastAsia="MS Mincho"/>
        </w:rPr>
        <w:t>upports</w:t>
      </w:r>
      <w:bookmarkEnd w:id="77"/>
    </w:p>
    <w:p w14:paraId="1983E68A" w14:textId="25B1271D" w:rsidR="0064038E" w:rsidRPr="00C73D4C" w:rsidRDefault="0064038E">
      <w:pPr>
        <w:pStyle w:val="ARbody"/>
      </w:pPr>
      <w:r w:rsidRPr="00C73D4C">
        <w:t xml:space="preserve">The department </w:t>
      </w:r>
      <w:r>
        <w:t>is working on a response to</w:t>
      </w:r>
      <w:r w:rsidRPr="00C73D4C">
        <w:t xml:space="preserve"> the Independent Review of the NDIS Review (NDIS </w:t>
      </w:r>
      <w:r>
        <w:t>r</w:t>
      </w:r>
      <w:r w:rsidRPr="00C73D4C">
        <w:t>eview)</w:t>
      </w:r>
      <w:r>
        <w:t xml:space="preserve">. We are doing this work together </w:t>
      </w:r>
      <w:r w:rsidRPr="00C73D4C">
        <w:t>with the Commonwealth and other states and territories</w:t>
      </w:r>
      <w:r>
        <w:t xml:space="preserve"> as co-governors of the NDIS. </w:t>
      </w:r>
    </w:p>
    <w:p w14:paraId="707D8905" w14:textId="3C54CC85" w:rsidR="0064038E" w:rsidRPr="00C73D4C" w:rsidRDefault="0064038E">
      <w:pPr>
        <w:pStyle w:val="ARbody"/>
      </w:pPr>
      <w:r w:rsidRPr="00C73D4C">
        <w:t xml:space="preserve">In December 2023, National Cabinet agreed to </w:t>
      </w:r>
      <w:r w:rsidRPr="00C73D4C">
        <w:rPr>
          <w:bCs/>
        </w:rPr>
        <w:t xml:space="preserve">an initial response to the NDIS </w:t>
      </w:r>
      <w:r w:rsidR="009A1420">
        <w:rPr>
          <w:bCs/>
        </w:rPr>
        <w:t>r</w:t>
      </w:r>
      <w:r w:rsidRPr="00C73D4C">
        <w:rPr>
          <w:bCs/>
        </w:rPr>
        <w:t>eview</w:t>
      </w:r>
      <w:r>
        <w:rPr>
          <w:bCs/>
        </w:rPr>
        <w:t>. This included</w:t>
      </w:r>
      <w:r w:rsidRPr="00C73D4C">
        <w:rPr>
          <w:bCs/>
        </w:rPr>
        <w:t xml:space="preserve"> join</w:t>
      </w:r>
      <w:r>
        <w:rPr>
          <w:bCs/>
        </w:rPr>
        <w:t>t</w:t>
      </w:r>
      <w:r w:rsidRPr="00C73D4C">
        <w:rPr>
          <w:bCs/>
        </w:rPr>
        <w:t xml:space="preserve"> design</w:t>
      </w:r>
      <w:r>
        <w:rPr>
          <w:bCs/>
        </w:rPr>
        <w:t xml:space="preserve"> of</w:t>
      </w:r>
      <w:r w:rsidRPr="00C73D4C">
        <w:rPr>
          <w:bCs/>
        </w:rPr>
        <w:t xml:space="preserve"> </w:t>
      </w:r>
      <w:r>
        <w:rPr>
          <w:bCs/>
        </w:rPr>
        <w:t>f</w:t>
      </w:r>
      <w:r w:rsidRPr="00C73D4C">
        <w:rPr>
          <w:bCs/>
        </w:rPr>
        <w:t xml:space="preserve">oundational </w:t>
      </w:r>
      <w:r>
        <w:rPr>
          <w:bCs/>
        </w:rPr>
        <w:t>s</w:t>
      </w:r>
      <w:r w:rsidRPr="00C73D4C">
        <w:rPr>
          <w:bCs/>
        </w:rPr>
        <w:t>upports.</w:t>
      </w:r>
      <w:r w:rsidRPr="00C73D4C">
        <w:t xml:space="preserve"> </w:t>
      </w:r>
      <w:r>
        <w:t>We have been working with</w:t>
      </w:r>
      <w:r w:rsidRPr="00C73D4C">
        <w:t xml:space="preserve"> the Commonwealth Government and other states and territories to </w:t>
      </w:r>
      <w:r w:rsidRPr="00C73D4C">
        <w:rPr>
          <w:bCs/>
        </w:rPr>
        <w:t xml:space="preserve">undertake early design of </w:t>
      </w:r>
      <w:r>
        <w:rPr>
          <w:bCs/>
        </w:rPr>
        <w:t>f</w:t>
      </w:r>
      <w:r w:rsidRPr="00C73D4C">
        <w:rPr>
          <w:bCs/>
        </w:rPr>
        <w:t xml:space="preserve">oundational </w:t>
      </w:r>
      <w:r>
        <w:rPr>
          <w:bCs/>
        </w:rPr>
        <w:t>s</w:t>
      </w:r>
      <w:r w:rsidRPr="00C73D4C">
        <w:rPr>
          <w:bCs/>
        </w:rPr>
        <w:t xml:space="preserve">upports. </w:t>
      </w:r>
    </w:p>
    <w:p w14:paraId="1AFE707E" w14:textId="77777777" w:rsidR="0064038E" w:rsidRPr="00E423FD" w:rsidRDefault="0064038E">
      <w:pPr>
        <w:pStyle w:val="Heading5"/>
        <w:rPr>
          <w:rFonts w:eastAsia="MS Mincho"/>
        </w:rPr>
      </w:pPr>
      <w:r w:rsidRPr="00E423FD">
        <w:rPr>
          <w:rFonts w:eastAsia="MS Mincho"/>
        </w:rPr>
        <w:t xml:space="preserve">Delivering contemporary and innovative specialist disability accommodation </w:t>
      </w:r>
    </w:p>
    <w:p w14:paraId="2E2E4600" w14:textId="3682C5D4" w:rsidR="0064038E" w:rsidRPr="00CA3962" w:rsidRDefault="0064038E">
      <w:pPr>
        <w:pStyle w:val="ARbody"/>
        <w:rPr>
          <w:bCs/>
        </w:rPr>
      </w:pPr>
      <w:r w:rsidRPr="00E423FD">
        <w:rPr>
          <w:bCs/>
        </w:rPr>
        <w:t xml:space="preserve">The department continued its $14.9 million pilot program to build new and innovative specialist disability accommodation. </w:t>
      </w:r>
      <w:r>
        <w:rPr>
          <w:bCs/>
        </w:rPr>
        <w:t>These new</w:t>
      </w:r>
      <w:r w:rsidRPr="00E423FD">
        <w:rPr>
          <w:bCs/>
        </w:rPr>
        <w:t xml:space="preserve"> homes are an alternative to the group home model</w:t>
      </w:r>
      <w:r>
        <w:rPr>
          <w:bCs/>
        </w:rPr>
        <w:t>. They</w:t>
      </w:r>
      <w:r w:rsidRPr="00E423FD">
        <w:rPr>
          <w:bCs/>
        </w:rPr>
        <w:t xml:space="preserve"> are</w:t>
      </w:r>
      <w:r w:rsidR="000C34BF">
        <w:rPr>
          <w:bCs/>
        </w:rPr>
        <w:t> </w:t>
      </w:r>
      <w:r w:rsidRPr="00E423FD">
        <w:rPr>
          <w:bCs/>
        </w:rPr>
        <w:t xml:space="preserve">delivered in partnership with residents, their </w:t>
      </w:r>
      <w:r w:rsidRPr="00E423FD">
        <w:t>support</w:t>
      </w:r>
      <w:r>
        <w:t>s and supported independent living</w:t>
      </w:r>
      <w:r w:rsidR="000C34BF">
        <w:rPr>
          <w:bCs/>
        </w:rPr>
        <w:t> </w:t>
      </w:r>
      <w:r w:rsidRPr="00E423FD">
        <w:rPr>
          <w:bCs/>
        </w:rPr>
        <w:t xml:space="preserve">providers. </w:t>
      </w:r>
    </w:p>
    <w:p w14:paraId="3C778FE6" w14:textId="2C1711F1" w:rsidR="00EB0DCD" w:rsidRDefault="0064038E">
      <w:pPr>
        <w:pStyle w:val="ARbody"/>
        <w:rPr>
          <w:rFonts w:eastAsia="Arial"/>
        </w:rPr>
      </w:pPr>
      <w:r w:rsidRPr="00CA3962">
        <w:rPr>
          <w:rFonts w:eastAsia="Arial"/>
        </w:rPr>
        <w:t>In 2024</w:t>
      </w:r>
      <w:r>
        <w:rPr>
          <w:rFonts w:eastAsia="Arial"/>
        </w:rPr>
        <w:t>–</w:t>
      </w:r>
      <w:r w:rsidRPr="00CA3962">
        <w:rPr>
          <w:rFonts w:eastAsia="Arial"/>
        </w:rPr>
        <w:t xml:space="preserve">25, </w:t>
      </w:r>
      <w:r>
        <w:rPr>
          <w:rFonts w:eastAsia="Arial"/>
        </w:rPr>
        <w:t xml:space="preserve">we completed </w:t>
      </w:r>
      <w:r w:rsidRPr="00C54D96">
        <w:rPr>
          <w:rFonts w:eastAsia="Arial"/>
        </w:rPr>
        <w:t xml:space="preserve">new homes for </w:t>
      </w:r>
      <w:r>
        <w:rPr>
          <w:rFonts w:eastAsia="Arial"/>
        </w:rPr>
        <w:t>5</w:t>
      </w:r>
      <w:r w:rsidR="00D44D4C">
        <w:rPr>
          <w:rFonts w:eastAsia="Arial"/>
        </w:rPr>
        <w:t> </w:t>
      </w:r>
      <w:r w:rsidRPr="00C54D96">
        <w:rPr>
          <w:rFonts w:eastAsia="Arial"/>
        </w:rPr>
        <w:t>residents</w:t>
      </w:r>
      <w:r>
        <w:rPr>
          <w:rFonts w:eastAsia="Arial"/>
        </w:rPr>
        <w:t>. We are constructing places for a</w:t>
      </w:r>
      <w:r w:rsidR="00D44D4C">
        <w:rPr>
          <w:rFonts w:eastAsia="Arial"/>
        </w:rPr>
        <w:t> </w:t>
      </w:r>
      <w:r w:rsidRPr="00C54D96">
        <w:rPr>
          <w:rFonts w:eastAsia="Arial"/>
        </w:rPr>
        <w:t>further</w:t>
      </w:r>
      <w:r w:rsidR="00D44D4C">
        <w:rPr>
          <w:rFonts w:eastAsia="Arial"/>
        </w:rPr>
        <w:t> </w:t>
      </w:r>
      <w:r w:rsidRPr="00C54D96">
        <w:rPr>
          <w:rFonts w:eastAsia="Arial"/>
        </w:rPr>
        <w:t>19 residents</w:t>
      </w:r>
      <w:r>
        <w:rPr>
          <w:rFonts w:eastAsia="Arial"/>
        </w:rPr>
        <w:t>.</w:t>
      </w:r>
      <w:r w:rsidR="00EB0DCD">
        <w:rPr>
          <w:rFonts w:eastAsia="Arial"/>
        </w:rPr>
        <w:br w:type="page"/>
      </w:r>
    </w:p>
    <w:p w14:paraId="17E9B7E1" w14:textId="2CDF098F" w:rsidR="0064038E" w:rsidRPr="00C61EBE" w:rsidRDefault="0064038E">
      <w:pPr>
        <w:pStyle w:val="Heading5"/>
        <w:rPr>
          <w:rFonts w:eastAsia="MS Mincho"/>
        </w:rPr>
      </w:pPr>
      <w:r w:rsidRPr="00C61EBE">
        <w:rPr>
          <w:rFonts w:eastAsia="MS Mincho"/>
        </w:rPr>
        <w:lastRenderedPageBreak/>
        <w:t>Providing relief and social recovery programs after emergencies</w:t>
      </w:r>
    </w:p>
    <w:p w14:paraId="7C4001C9" w14:textId="7F5852F3" w:rsidR="0064038E" w:rsidRPr="00C61EBE" w:rsidRDefault="0064038E">
      <w:pPr>
        <w:pStyle w:val="ARbody"/>
      </w:pPr>
      <w:r w:rsidRPr="00C61EBE">
        <w:t>The department mitigate</w:t>
      </w:r>
      <w:r>
        <w:t>s</w:t>
      </w:r>
      <w:r w:rsidRPr="00C61EBE">
        <w:t xml:space="preserve"> the impact of emergencies on communities and individual</w:t>
      </w:r>
      <w:r>
        <w:t xml:space="preserve">s. We focus on </w:t>
      </w:r>
      <w:r w:rsidRPr="00C61EBE">
        <w:t>Victorians who face greater risk in emergencies.</w:t>
      </w:r>
    </w:p>
    <w:p w14:paraId="3E916E10" w14:textId="77777777" w:rsidR="0064038E" w:rsidRPr="00C61EBE" w:rsidRDefault="0064038E">
      <w:pPr>
        <w:pStyle w:val="ARbody"/>
      </w:pPr>
      <w:r w:rsidRPr="00C61EBE">
        <w:t>Following the Western Victoria Bushfires in December 2024 and January 2025, the department:</w:t>
      </w:r>
    </w:p>
    <w:p w14:paraId="6C3820F8" w14:textId="02A704D1" w:rsidR="0064038E" w:rsidRPr="00C61EBE" w:rsidRDefault="0064038E" w:rsidP="00F375A6">
      <w:pPr>
        <w:pStyle w:val="ARbullet1"/>
        <w:numPr>
          <w:ilvl w:val="0"/>
          <w:numId w:val="22"/>
        </w:numPr>
      </w:pPr>
      <w:r>
        <w:t>w</w:t>
      </w:r>
      <w:r w:rsidRPr="00C61EBE">
        <w:t xml:space="preserve">orked with </w:t>
      </w:r>
      <w:r>
        <w:t>c</w:t>
      </w:r>
      <w:r w:rsidRPr="00C61EBE">
        <w:t xml:space="preserve">ouncils to identify relevant psychosocial supports for </w:t>
      </w:r>
      <w:r>
        <w:t>affected</w:t>
      </w:r>
      <w:r w:rsidRPr="00C61EBE">
        <w:t xml:space="preserve"> communities</w:t>
      </w:r>
      <w:r>
        <w:t>.</w:t>
      </w:r>
      <w:r w:rsidRPr="00C61EBE">
        <w:t xml:space="preserve"> </w:t>
      </w:r>
      <w:r>
        <w:t>S</w:t>
      </w:r>
      <w:r w:rsidRPr="00C61EBE">
        <w:t xml:space="preserve">pecialists from </w:t>
      </w:r>
      <w:r>
        <w:t>the</w:t>
      </w:r>
      <w:r w:rsidRPr="00C61EBE">
        <w:t xml:space="preserve"> Psychosocial Services Panel </w:t>
      </w:r>
      <w:r>
        <w:t>delivered</w:t>
      </w:r>
      <w:r w:rsidRPr="00C61EBE">
        <w:t xml:space="preserve"> customised support for </w:t>
      </w:r>
      <w:r>
        <w:t>people</w:t>
      </w:r>
      <w:r w:rsidRPr="00C61EBE">
        <w:t xml:space="preserve"> affected by the fires</w:t>
      </w:r>
    </w:p>
    <w:p w14:paraId="4055BD09" w14:textId="2B3DCA36" w:rsidR="0064038E" w:rsidRPr="00C61EBE" w:rsidRDefault="0064038E" w:rsidP="00F375A6">
      <w:pPr>
        <w:pStyle w:val="ARbullet1"/>
        <w:numPr>
          <w:ilvl w:val="0"/>
          <w:numId w:val="22"/>
        </w:numPr>
      </w:pPr>
      <w:r>
        <w:t>w</w:t>
      </w:r>
      <w:r w:rsidRPr="00C61EBE">
        <w:t>orked with the Department of Health and Agriculture Victoria to develop and distribute communications packs</w:t>
      </w:r>
      <w:r>
        <w:t xml:space="preserve"> to councils. These packs</w:t>
      </w:r>
      <w:r w:rsidR="00957EDA">
        <w:t> </w:t>
      </w:r>
      <w:r>
        <w:t>focused</w:t>
      </w:r>
      <w:r w:rsidRPr="00C61EBE">
        <w:t xml:space="preserve"> on mental health and wellbeing</w:t>
      </w:r>
      <w:r w:rsidR="00957EDA">
        <w:t> </w:t>
      </w:r>
      <w:r w:rsidRPr="00C61EBE">
        <w:t>supports</w:t>
      </w:r>
    </w:p>
    <w:p w14:paraId="3441CE53" w14:textId="28A141EC" w:rsidR="0064038E" w:rsidRPr="00C61EBE" w:rsidRDefault="0064038E" w:rsidP="00F375A6">
      <w:pPr>
        <w:pStyle w:val="ARbullet1"/>
        <w:numPr>
          <w:ilvl w:val="0"/>
          <w:numId w:val="22"/>
        </w:numPr>
      </w:pPr>
      <w:r>
        <w:t>p</w:t>
      </w:r>
      <w:r w:rsidRPr="00C61EBE">
        <w:t>rovided 1,28</w:t>
      </w:r>
      <w:r w:rsidR="00DA4903">
        <w:t>6</w:t>
      </w:r>
      <w:r w:rsidRPr="00C61EBE">
        <w:t xml:space="preserve"> emergency relief payments totalling $1,4</w:t>
      </w:r>
      <w:r w:rsidR="00DA4903">
        <w:t>19,620</w:t>
      </w:r>
      <w:r w:rsidRPr="00C61EBE">
        <w:t xml:space="preserve"> for eligible residents.</w:t>
      </w:r>
    </w:p>
    <w:p w14:paraId="5B9507A3" w14:textId="271E6B29" w:rsidR="0064038E" w:rsidRPr="00FF4844" w:rsidRDefault="0064038E">
      <w:pPr>
        <w:pStyle w:val="Heading5"/>
        <w:rPr>
          <w:rFonts w:eastAsia="MS Mincho"/>
        </w:rPr>
      </w:pPr>
      <w:r w:rsidRPr="00FF4844">
        <w:rPr>
          <w:rFonts w:eastAsia="MS Mincho"/>
        </w:rPr>
        <w:t>Delivering a C</w:t>
      </w:r>
      <w:r w:rsidRPr="001D4B83">
        <w:rPr>
          <w:rFonts w:eastAsia="MS Mincho"/>
        </w:rPr>
        <w:t>omplex Needs and Forensic Disability Aboriginal</w:t>
      </w:r>
      <w:r w:rsidRPr="00FF4844">
        <w:rPr>
          <w:rFonts w:eastAsia="MS Mincho"/>
        </w:rPr>
        <w:t xml:space="preserve"> </w:t>
      </w:r>
      <w:r w:rsidR="00DB19B1">
        <w:rPr>
          <w:rFonts w:eastAsia="MS Mincho"/>
        </w:rPr>
        <w:t>S</w:t>
      </w:r>
      <w:r w:rsidRPr="001D4B83">
        <w:rPr>
          <w:rFonts w:eastAsia="MS Mincho"/>
        </w:rPr>
        <w:t>elf-</w:t>
      </w:r>
      <w:r w:rsidRPr="00FF4844">
        <w:rPr>
          <w:rFonts w:eastAsia="MS Mincho"/>
        </w:rPr>
        <w:t>d</w:t>
      </w:r>
      <w:r w:rsidRPr="001D4B83">
        <w:rPr>
          <w:rFonts w:eastAsia="MS Mincho"/>
        </w:rPr>
        <w:t xml:space="preserve">etermination </w:t>
      </w:r>
      <w:r w:rsidRPr="00FF4844">
        <w:rPr>
          <w:rFonts w:eastAsia="MS Mincho"/>
        </w:rPr>
        <w:t>S</w:t>
      </w:r>
      <w:r w:rsidRPr="001D4B83">
        <w:rPr>
          <w:rFonts w:eastAsia="MS Mincho"/>
        </w:rPr>
        <w:t>trategy</w:t>
      </w:r>
    </w:p>
    <w:p w14:paraId="7F52EEF9" w14:textId="063976BF" w:rsidR="0064038E" w:rsidRDefault="0064038E">
      <w:pPr>
        <w:pStyle w:val="ARbody"/>
      </w:pPr>
      <w:r>
        <w:t xml:space="preserve">The </w:t>
      </w:r>
      <w:r w:rsidRPr="0081761D">
        <w:rPr>
          <w:rStyle w:val="Emphasis"/>
        </w:rPr>
        <w:t>2023–24 State Budget</w:t>
      </w:r>
      <w:r>
        <w:t xml:space="preserve"> provided $1 million over 2 years to develop and implement an Aboriginal self-determination strategy for people with complex needs. This includes people with cognitive</w:t>
      </w:r>
      <w:r w:rsidR="00EB0DCD">
        <w:t> </w:t>
      </w:r>
      <w:r>
        <w:t xml:space="preserve">disability. </w:t>
      </w:r>
    </w:p>
    <w:p w14:paraId="5995C614" w14:textId="77777777" w:rsidR="0081761D" w:rsidRDefault="00E2083B">
      <w:pPr>
        <w:pStyle w:val="ARbody"/>
      </w:pPr>
      <w:r>
        <w:t xml:space="preserve">In 2024–25, we supported the development of the strategy </w:t>
      </w:r>
      <w:r w:rsidRPr="001D4B83">
        <w:t>to support Aboriginal Victorians with cognitive impairment and complex needs.</w:t>
      </w:r>
      <w:r w:rsidR="0064038E" w:rsidRPr="001D4B83">
        <w:t xml:space="preserve"> It ensure</w:t>
      </w:r>
      <w:r w:rsidR="0064038E">
        <w:t>s</w:t>
      </w:r>
      <w:r w:rsidR="0064038E" w:rsidRPr="001D4B83">
        <w:t xml:space="preserve"> that Aboriginal people receive culturally appropriate services. </w:t>
      </w:r>
      <w:r w:rsidR="0064038E">
        <w:t>The strategy</w:t>
      </w:r>
      <w:r w:rsidR="0064038E" w:rsidRPr="001D4B83">
        <w:t xml:space="preserve"> strengthen</w:t>
      </w:r>
      <w:r w:rsidR="0064038E">
        <w:t>s</w:t>
      </w:r>
      <w:r w:rsidR="0064038E" w:rsidRPr="001D4B83">
        <w:t xml:space="preserve"> self-determinatio</w:t>
      </w:r>
      <w:r w:rsidR="0064038E">
        <w:t xml:space="preserve">n. It aims to </w:t>
      </w:r>
      <w:r w:rsidR="0064038E" w:rsidRPr="001D4B83">
        <w:t xml:space="preserve">empower Aboriginal communities and improve outcomes for </w:t>
      </w:r>
      <w:r w:rsidR="0064038E">
        <w:t>people.</w:t>
      </w:r>
      <w:r w:rsidR="00215B64">
        <w:t xml:space="preserve"> The work was undertaken by an Aboriginal owned consultancy group.</w:t>
      </w:r>
    </w:p>
    <w:p w14:paraId="378D79AA" w14:textId="170CFA4F" w:rsidR="0064038E" w:rsidRPr="001D1308" w:rsidRDefault="0081761D">
      <w:pPr>
        <w:pStyle w:val="Heading5"/>
        <w:rPr>
          <w:rFonts w:eastAsia="MS Mincho"/>
        </w:rPr>
      </w:pPr>
      <w:r>
        <w:br w:type="column"/>
      </w:r>
      <w:bookmarkStart w:id="78" w:name="_Toc173832702"/>
      <w:r w:rsidR="0064038E" w:rsidRPr="001D1308">
        <w:rPr>
          <w:rFonts w:eastAsia="MS Mincho"/>
        </w:rPr>
        <w:t>Delivering the Neighbourhood House Coordination Program</w:t>
      </w:r>
      <w:bookmarkEnd w:id="78"/>
      <w:r w:rsidR="0064038E">
        <w:rPr>
          <w:rFonts w:eastAsia="MS Mincho"/>
        </w:rPr>
        <w:t xml:space="preserve"> and Men’s Shed Funding Program</w:t>
      </w:r>
    </w:p>
    <w:p w14:paraId="49813424" w14:textId="23418BA7" w:rsidR="0064038E" w:rsidRPr="001D1308" w:rsidRDefault="0064038E">
      <w:pPr>
        <w:pStyle w:val="ARbody"/>
      </w:pPr>
      <w:r w:rsidRPr="001D1308">
        <w:t xml:space="preserve">In </w:t>
      </w:r>
      <w:r w:rsidRPr="000C1746">
        <w:rPr>
          <w:bCs/>
        </w:rPr>
        <w:t>2024–25</w:t>
      </w:r>
      <w:r w:rsidRPr="000C1746">
        <w:t xml:space="preserve">, the department continued to deliver the Neighbourhood House Coordination Program. The program </w:t>
      </w:r>
      <w:r w:rsidR="00B7701B">
        <w:t>receives</w:t>
      </w:r>
      <w:r w:rsidR="00B7701B" w:rsidRPr="000C1746">
        <w:t xml:space="preserve"> </w:t>
      </w:r>
      <w:r>
        <w:t xml:space="preserve">more than </w:t>
      </w:r>
      <w:r w:rsidRPr="001D1308">
        <w:t>$43 million annually</w:t>
      </w:r>
      <w:r>
        <w:t xml:space="preserve">. This includes funding for </w:t>
      </w:r>
      <w:r w:rsidRPr="001D1308">
        <w:t>around 400 neighbourhood houses, 16 networks and the peak body, Neighbourhood Houses Victoria.</w:t>
      </w:r>
    </w:p>
    <w:p w14:paraId="7CBA2A8E" w14:textId="7C6C7ED7" w:rsidR="0064038E" w:rsidRPr="001D1308" w:rsidRDefault="0064038E">
      <w:pPr>
        <w:pStyle w:val="ARbody"/>
      </w:pPr>
      <w:r w:rsidRPr="001D1308">
        <w:t xml:space="preserve">Neighbourhood </w:t>
      </w:r>
      <w:r w:rsidRPr="000C1746">
        <w:rPr>
          <w:bCs/>
        </w:rPr>
        <w:t>houses</w:t>
      </w:r>
      <w:r w:rsidRPr="001D1308">
        <w:t xml:space="preserve"> support social inclusion and community connection. They are led by communities and respond to local needs</w:t>
      </w:r>
      <w:r>
        <w:t>. They provide</w:t>
      </w:r>
      <w:r w:rsidRPr="001D1308">
        <w:t xml:space="preserve"> childcare, employment, education, social and volunteering opportunities.</w:t>
      </w:r>
    </w:p>
    <w:p w14:paraId="0CFF95DB" w14:textId="77777777" w:rsidR="0064038E" w:rsidRDefault="0064038E">
      <w:pPr>
        <w:pStyle w:val="ARbody"/>
      </w:pPr>
      <w:r w:rsidRPr="001D1308">
        <w:t xml:space="preserve">In </w:t>
      </w:r>
      <w:r w:rsidRPr="000C1746">
        <w:rPr>
          <w:bCs/>
        </w:rPr>
        <w:t>2024, neighbourhood houses</w:t>
      </w:r>
      <w:r w:rsidRPr="000C1746">
        <w:t xml:space="preserve"> across Victoria reported </w:t>
      </w:r>
      <w:r>
        <w:t>almost</w:t>
      </w:r>
      <w:r w:rsidRPr="001D1308">
        <w:t xml:space="preserve"> 9</w:t>
      </w:r>
      <w:r>
        <w:t>.3</w:t>
      </w:r>
      <w:r w:rsidRPr="001D1308">
        <w:t xml:space="preserve"> million visits and </w:t>
      </w:r>
      <w:r w:rsidRPr="000C1746">
        <w:rPr>
          <w:bCs/>
        </w:rPr>
        <w:t>417</w:t>
      </w:r>
      <w:r w:rsidRPr="000C1746">
        <w:t xml:space="preserve">,000 activity sessions. </w:t>
      </w:r>
    </w:p>
    <w:p w14:paraId="4424A73C" w14:textId="5B778F95" w:rsidR="0064038E" w:rsidRDefault="0064038E">
      <w:pPr>
        <w:pStyle w:val="ARbody"/>
      </w:pPr>
      <w:r>
        <w:t>The department also continued to deliver the Men’s Shed Funding Program in 2024–25. This support</w:t>
      </w:r>
      <w:r w:rsidR="00292F42">
        <w:t>ed</w:t>
      </w:r>
      <w:r>
        <w:t xml:space="preserve"> the Victorian Men’s Shed Association</w:t>
      </w:r>
      <w:r w:rsidR="00292F42">
        <w:t xml:space="preserve"> and provided </w:t>
      </w:r>
      <w:r>
        <w:t>29 grants of up to $100,000 for men’s sheds across the state. Grants can be used to upgrade or build new facilities or purchase new equipment.</w:t>
      </w:r>
    </w:p>
    <w:p w14:paraId="1AF3CDD5" w14:textId="77777777" w:rsidR="00EB0DCD" w:rsidRDefault="0064038E">
      <w:pPr>
        <w:pStyle w:val="ARbody"/>
      </w:pPr>
      <w:r w:rsidRPr="00475246">
        <w:t>These</w:t>
      </w:r>
      <w:r>
        <w:t xml:space="preserve"> social infrastructure programs</w:t>
      </w:r>
      <w:r w:rsidRPr="00475246">
        <w:t xml:space="preserve"> </w:t>
      </w:r>
      <w:r w:rsidRPr="000C1746">
        <w:rPr>
          <w:bCs/>
        </w:rPr>
        <w:t>support</w:t>
      </w:r>
      <w:r w:rsidRPr="00475246">
        <w:t xml:space="preserve"> better</w:t>
      </w:r>
      <w:r w:rsidR="000C34BF">
        <w:t> </w:t>
      </w:r>
      <w:r w:rsidRPr="00475246">
        <w:t>health</w:t>
      </w:r>
      <w:r>
        <w:t xml:space="preserve">, </w:t>
      </w:r>
      <w:r w:rsidRPr="00475246">
        <w:t xml:space="preserve">wellbeing </w:t>
      </w:r>
      <w:r>
        <w:t xml:space="preserve">and social connection </w:t>
      </w:r>
      <w:r w:rsidRPr="00475246">
        <w:t>for</w:t>
      </w:r>
      <w:r w:rsidR="000C34BF">
        <w:t> </w:t>
      </w:r>
      <w:r w:rsidRPr="00475246">
        <w:t>Victorians.</w:t>
      </w:r>
    </w:p>
    <w:p w14:paraId="574D2D31" w14:textId="77777777" w:rsidR="0064038E" w:rsidRPr="00CD0A04" w:rsidRDefault="0064038E">
      <w:pPr>
        <w:pStyle w:val="Heading5"/>
        <w:rPr>
          <w:rFonts w:eastAsia="MS Mincho"/>
        </w:rPr>
      </w:pPr>
      <w:bookmarkStart w:id="79" w:name="_Toc173832704"/>
      <w:r w:rsidRPr="00CD0A04">
        <w:rPr>
          <w:rFonts w:eastAsia="MS Mincho"/>
        </w:rPr>
        <w:t>Delivering food relief to Victorians</w:t>
      </w:r>
      <w:bookmarkEnd w:id="79"/>
    </w:p>
    <w:p w14:paraId="46CB8505" w14:textId="189DFC6C" w:rsidR="0064038E" w:rsidRPr="00CD0A04" w:rsidRDefault="0064038E">
      <w:pPr>
        <w:pStyle w:val="ARbody"/>
      </w:pPr>
      <w:r>
        <w:t xml:space="preserve">The </w:t>
      </w:r>
      <w:r w:rsidRPr="00DA434D">
        <w:rPr>
          <w:rStyle w:val="Emphasis"/>
        </w:rPr>
        <w:t>2024–25 State Budget</w:t>
      </w:r>
      <w:r>
        <w:t xml:space="preserve"> committed $6 million</w:t>
      </w:r>
      <w:r w:rsidRPr="00CD0A04">
        <w:t xml:space="preserve"> to </w:t>
      </w:r>
      <w:r>
        <w:t xml:space="preserve">deliver more </w:t>
      </w:r>
      <w:r w:rsidRPr="00CD0A04">
        <w:t xml:space="preserve">food relief </w:t>
      </w:r>
      <w:r>
        <w:t>to where it is needed most. This work</w:t>
      </w:r>
      <w:r w:rsidRPr="00CD0A04">
        <w:t xml:space="preserve"> </w:t>
      </w:r>
      <w:r>
        <w:t>strengthens Victoria’s food relief sector.</w:t>
      </w:r>
      <w:r w:rsidRPr="00CD0A04">
        <w:t xml:space="preserve"> </w:t>
      </w:r>
      <w:r>
        <w:t>It</w:t>
      </w:r>
      <w:r w:rsidR="008149F0">
        <w:t> </w:t>
      </w:r>
      <w:r>
        <w:t>included</w:t>
      </w:r>
      <w:r w:rsidRPr="00CD0A04">
        <w:t xml:space="preserve"> $1.5 million </w:t>
      </w:r>
      <w:r>
        <w:t xml:space="preserve">for </w:t>
      </w:r>
      <w:r w:rsidRPr="00CD0A04">
        <w:t xml:space="preserve">the state’s </w:t>
      </w:r>
      <w:r>
        <w:t>6</w:t>
      </w:r>
      <w:r w:rsidRPr="00CD0A04">
        <w:t xml:space="preserve"> regional </w:t>
      </w:r>
      <w:proofErr w:type="spellStart"/>
      <w:r w:rsidRPr="00CD0A04">
        <w:t>foodshares</w:t>
      </w:r>
      <w:proofErr w:type="spellEnd"/>
      <w:r w:rsidRPr="00CD0A04">
        <w:t xml:space="preserve"> and shared services</w:t>
      </w:r>
      <w:r>
        <w:t xml:space="preserve"> delivered</w:t>
      </w:r>
      <w:r w:rsidRPr="00CD0A04">
        <w:t xml:space="preserve"> through the Regional Food Security Alliance</w:t>
      </w:r>
      <w:r>
        <w:t>. This promotes</w:t>
      </w:r>
      <w:r w:rsidRPr="00CD0A04">
        <w:t xml:space="preserve"> </w:t>
      </w:r>
      <w:r>
        <w:t>an efficient</w:t>
      </w:r>
      <w:r w:rsidRPr="00CD0A04">
        <w:t xml:space="preserve"> regional food relief system.</w:t>
      </w:r>
    </w:p>
    <w:p w14:paraId="08BAF0F4" w14:textId="31264B9E" w:rsidR="0064038E" w:rsidRDefault="0064038E">
      <w:pPr>
        <w:pStyle w:val="ARbody"/>
      </w:pPr>
      <w:r w:rsidRPr="00CD0A04">
        <w:t xml:space="preserve">The </w:t>
      </w:r>
      <w:r w:rsidRPr="00DA434D">
        <w:rPr>
          <w:rStyle w:val="Emphasis"/>
        </w:rPr>
        <w:t>2024–25 State Budget</w:t>
      </w:r>
      <w:r w:rsidRPr="00CD0A04">
        <w:t xml:space="preserve"> also committed $4.5</w:t>
      </w:r>
      <w:r>
        <w:t> </w:t>
      </w:r>
      <w:r w:rsidRPr="00CD0A04">
        <w:t xml:space="preserve">million </w:t>
      </w:r>
      <w:r>
        <w:t>for the first round of</w:t>
      </w:r>
      <w:r w:rsidRPr="00CD0A04">
        <w:t xml:space="preserve"> the Community Food Relief Program</w:t>
      </w:r>
      <w:r>
        <w:t xml:space="preserve">. This program provides </w:t>
      </w:r>
      <w:r w:rsidRPr="00CD0A04">
        <w:t xml:space="preserve">grants to strengthen local, regional and statewide food relief models. </w:t>
      </w:r>
    </w:p>
    <w:p w14:paraId="06BA75D8" w14:textId="60FCF4EA" w:rsidR="00EA5314" w:rsidRDefault="0064038E">
      <w:pPr>
        <w:pStyle w:val="ARbody"/>
      </w:pPr>
      <w:r w:rsidRPr="00CD0A04">
        <w:t xml:space="preserve">The Local Grants stream </w:t>
      </w:r>
      <w:r>
        <w:t>of the program</w:t>
      </w:r>
      <w:r w:rsidRPr="00CD0A04">
        <w:t xml:space="preserve"> </w:t>
      </w:r>
      <w:r>
        <w:t>provided</w:t>
      </w:r>
      <w:r w:rsidRPr="00CD0A04">
        <w:t xml:space="preserve"> 112 grants across 58 local government areas</w:t>
      </w:r>
      <w:r>
        <w:t>. This work</w:t>
      </w:r>
      <w:r w:rsidRPr="00CD0A04">
        <w:t xml:space="preserve"> </w:t>
      </w:r>
      <w:r>
        <w:t>bolstered</w:t>
      </w:r>
      <w:r w:rsidRPr="00CD0A04">
        <w:t xml:space="preserve"> local food relief supply and capacity. </w:t>
      </w:r>
      <w:r w:rsidR="00EA5314">
        <w:br w:type="page"/>
      </w:r>
    </w:p>
    <w:p w14:paraId="3A479199" w14:textId="70B08B16" w:rsidR="0081761D" w:rsidRDefault="0064038E">
      <w:pPr>
        <w:pStyle w:val="ARbody"/>
      </w:pPr>
      <w:r w:rsidRPr="00871D0F">
        <w:lastRenderedPageBreak/>
        <w:t>For example, Cranbourne Community House purchase</w:t>
      </w:r>
      <w:r>
        <w:t>d</w:t>
      </w:r>
      <w:r w:rsidRPr="00871D0F">
        <w:t xml:space="preserve"> storage equipment and food staples to expand their food pantry operations to support more people in their community</w:t>
      </w:r>
      <w:r>
        <w:t xml:space="preserve">. They </w:t>
      </w:r>
      <w:r w:rsidRPr="00871D0F">
        <w:t>also develop</w:t>
      </w:r>
      <w:r>
        <w:t>ed</w:t>
      </w:r>
      <w:r w:rsidRPr="00871D0F">
        <w:t xml:space="preserve"> sustainable strategies to offer the service in the longer</w:t>
      </w:r>
      <w:r w:rsidR="00A22658">
        <w:t xml:space="preserve"> </w:t>
      </w:r>
      <w:r w:rsidRPr="00871D0F">
        <w:t>term.</w:t>
      </w:r>
    </w:p>
    <w:p w14:paraId="66A961E9" w14:textId="79B68052" w:rsidR="0064038E" w:rsidRDefault="0064038E">
      <w:pPr>
        <w:pStyle w:val="ARbody"/>
      </w:pPr>
      <w:r w:rsidRPr="00CD0A04">
        <w:t xml:space="preserve">The Coordination Grants stream </w:t>
      </w:r>
      <w:r>
        <w:t xml:space="preserve">of the program </w:t>
      </w:r>
      <w:r w:rsidRPr="00CD0A04">
        <w:t xml:space="preserve">delivered </w:t>
      </w:r>
      <w:r>
        <w:t>4</w:t>
      </w:r>
      <w:r w:rsidRPr="00CD0A04">
        <w:t xml:space="preserve"> grants to regional and statewide food relief providers</w:t>
      </w:r>
      <w:r>
        <w:t>. This will</w:t>
      </w:r>
      <w:r w:rsidRPr="00CD0A04">
        <w:t xml:space="preserve"> </w:t>
      </w:r>
      <w:r>
        <w:t>improve</w:t>
      </w:r>
      <w:r w:rsidRPr="00CD0A04">
        <w:t xml:space="preserve"> food relief supply and distribution across Victoria.</w:t>
      </w:r>
    </w:p>
    <w:p w14:paraId="0B1E24DA" w14:textId="01FE10A1" w:rsidR="0064038E" w:rsidRPr="00CD0A04" w:rsidRDefault="0064038E">
      <w:pPr>
        <w:pStyle w:val="ARbody"/>
      </w:pPr>
      <w:r w:rsidRPr="004071F4">
        <w:t xml:space="preserve">For example, Geelong Foodshare has a new distribution process </w:t>
      </w:r>
      <w:r>
        <w:t>for</w:t>
      </w:r>
      <w:r w:rsidRPr="004071F4">
        <w:t xml:space="preserve"> western Victoria</w:t>
      </w:r>
      <w:r>
        <w:t>. This includes</w:t>
      </w:r>
      <w:r w:rsidRPr="004071F4">
        <w:t xml:space="preserve"> Warrnambool, Colac and Golden Plains Shire</w:t>
      </w:r>
      <w:r>
        <w:t>. It helps these areas with</w:t>
      </w:r>
      <w:r w:rsidRPr="004071F4">
        <w:t xml:space="preserve"> more reliable food</w:t>
      </w:r>
      <w:r w:rsidR="000C34BF">
        <w:t> </w:t>
      </w:r>
      <w:r w:rsidRPr="004071F4">
        <w:t>supply</w:t>
      </w:r>
      <w:r>
        <w:t>.</w:t>
      </w:r>
    </w:p>
    <w:p w14:paraId="1E7886AE" w14:textId="732329EA" w:rsidR="0064038E" w:rsidRPr="002737CC" w:rsidRDefault="0064038E">
      <w:pPr>
        <w:pStyle w:val="ARbody"/>
        <w:rPr>
          <w:highlight w:val="cyan"/>
        </w:rPr>
      </w:pPr>
      <w:r w:rsidRPr="00CD0A04">
        <w:t>Th</w:t>
      </w:r>
      <w:r>
        <w:t>ese programs are</w:t>
      </w:r>
      <w:r w:rsidRPr="00CD0A04">
        <w:t xml:space="preserve"> </w:t>
      </w:r>
      <w:r>
        <w:t>just some of the</w:t>
      </w:r>
      <w:r w:rsidRPr="00CD0A04">
        <w:t xml:space="preserve"> initiatives to address food insecurity</w:t>
      </w:r>
      <w:r>
        <w:t xml:space="preserve">. In addition, the department provides $3.3 million a year of recurrent </w:t>
      </w:r>
      <w:r w:rsidRPr="00CD0A04">
        <w:t>funding</w:t>
      </w:r>
      <w:r>
        <w:t xml:space="preserve"> for Foodbank Victoria.</w:t>
      </w:r>
    </w:p>
    <w:p w14:paraId="10D37FA1" w14:textId="7D40EDB7" w:rsidR="0064038E" w:rsidRPr="008448BD" w:rsidRDefault="0064038E">
      <w:pPr>
        <w:pStyle w:val="Heading5"/>
        <w:rPr>
          <w:rFonts w:eastAsia="MS Mincho"/>
        </w:rPr>
      </w:pPr>
      <w:bookmarkStart w:id="80" w:name="_Toc173832705"/>
      <w:r w:rsidRPr="000610EE">
        <w:rPr>
          <w:rFonts w:eastAsia="MS Mincho"/>
        </w:rPr>
        <w:t xml:space="preserve">Delivering the Good Money </w:t>
      </w:r>
      <w:r>
        <w:rPr>
          <w:rFonts w:eastAsia="MS Mincho"/>
        </w:rPr>
        <w:t xml:space="preserve">Program </w:t>
      </w:r>
      <w:r w:rsidRPr="000610EE">
        <w:rPr>
          <w:rFonts w:eastAsia="MS Mincho"/>
        </w:rPr>
        <w:t xml:space="preserve">and </w:t>
      </w:r>
      <w:r w:rsidRPr="008448BD">
        <w:rPr>
          <w:rFonts w:eastAsia="MS Mincho"/>
        </w:rPr>
        <w:t>No</w:t>
      </w:r>
      <w:r w:rsidR="00430C2E">
        <w:rPr>
          <w:rFonts w:eastAsia="MS Mincho"/>
        </w:rPr>
        <w:t>-</w:t>
      </w:r>
      <w:r w:rsidRPr="008448BD">
        <w:rPr>
          <w:rFonts w:eastAsia="MS Mincho"/>
        </w:rPr>
        <w:t xml:space="preserve">Interest Loans Scheme </w:t>
      </w:r>
      <w:bookmarkEnd w:id="80"/>
    </w:p>
    <w:p w14:paraId="1CD402BB" w14:textId="09E09498" w:rsidR="0064038E" w:rsidRPr="008448BD" w:rsidRDefault="0064038E">
      <w:pPr>
        <w:pStyle w:val="ARbody"/>
      </w:pPr>
      <w:r w:rsidRPr="008448BD">
        <w:t xml:space="preserve">The department continued to support the Good Money </w:t>
      </w:r>
      <w:r>
        <w:t>P</w:t>
      </w:r>
      <w:r w:rsidRPr="008448BD">
        <w:t>rogram in 2024</w:t>
      </w:r>
      <w:r>
        <w:t>–</w:t>
      </w:r>
      <w:r w:rsidRPr="008448BD">
        <w:t xml:space="preserve">25. The program provides Victorians facing financial stress with access to </w:t>
      </w:r>
      <w:r>
        <w:br/>
      </w:r>
      <w:r w:rsidRPr="008448BD">
        <w:t>no</w:t>
      </w:r>
      <w:r w:rsidRPr="0064038E">
        <w:t>-</w:t>
      </w:r>
      <w:r w:rsidRPr="008448BD">
        <w:t xml:space="preserve">interest loans, budgeting advice and referrals to other supports. </w:t>
      </w:r>
    </w:p>
    <w:p w14:paraId="74228542" w14:textId="77777777" w:rsidR="00EB0DCD" w:rsidRDefault="0064038E">
      <w:pPr>
        <w:pStyle w:val="ARbody"/>
      </w:pPr>
      <w:r w:rsidRPr="008448BD">
        <w:t>Good Money is delivered by Good Shepherd Australia New Zealand</w:t>
      </w:r>
      <w:r>
        <w:t xml:space="preserve">. It has </w:t>
      </w:r>
      <w:r w:rsidRPr="008448BD">
        <w:t>4 shop fronts in Dandenong, Collingwood, Morwell and Geelong</w:t>
      </w:r>
      <w:r>
        <w:t>. It</w:t>
      </w:r>
      <w:r w:rsidR="00630D83">
        <w:t> </w:t>
      </w:r>
      <w:r>
        <w:t>also has</w:t>
      </w:r>
      <w:r w:rsidRPr="008448BD">
        <w:t xml:space="preserve"> phone and digital services. </w:t>
      </w:r>
      <w:r>
        <w:t xml:space="preserve">In </w:t>
      </w:r>
      <w:r w:rsidRPr="008448BD">
        <w:t>2024–25, Good Money received 17,510 enquiries and approved 2,671 no-interest loans.</w:t>
      </w:r>
    </w:p>
    <w:p w14:paraId="2C0DC0A5" w14:textId="3B09FF9B" w:rsidR="0064038E" w:rsidRPr="008448BD" w:rsidRDefault="0064038E">
      <w:pPr>
        <w:pStyle w:val="ARbody"/>
      </w:pPr>
      <w:r w:rsidRPr="008448BD">
        <w:t xml:space="preserve">Clients can use loans to purchase essential goods and services and other health and education-related expenses. The </w:t>
      </w:r>
      <w:r w:rsidRPr="00DA434D">
        <w:rPr>
          <w:rStyle w:val="Emphasis"/>
        </w:rPr>
        <w:t>2021–22 State Budget</w:t>
      </w:r>
      <w:r w:rsidRPr="008448BD">
        <w:t xml:space="preserve"> allocated $14.55 million over 4 years, including $3.11 million to deliver phone and digital services. </w:t>
      </w:r>
    </w:p>
    <w:p w14:paraId="26A43643" w14:textId="14CC2CBC" w:rsidR="0064038E" w:rsidRDefault="0064038E">
      <w:pPr>
        <w:pStyle w:val="ARbody"/>
      </w:pPr>
      <w:r w:rsidRPr="008448BD">
        <w:t xml:space="preserve">In 2024–25, the department also provided $500,000 to Good Shepherd to increase accessibility of </w:t>
      </w:r>
      <w:r w:rsidR="001D495C">
        <w:t xml:space="preserve">no-interest loans </w:t>
      </w:r>
      <w:r w:rsidRPr="008448BD">
        <w:t>across Victoria</w:t>
      </w:r>
      <w:r>
        <w:t>. It does this</w:t>
      </w:r>
      <w:r w:rsidRPr="008448BD">
        <w:t xml:space="preserve"> via a network of community providers. </w:t>
      </w:r>
      <w:r>
        <w:t>During this period,</w:t>
      </w:r>
      <w:r w:rsidRPr="008448BD">
        <w:t xml:space="preserve"> the community providers’ network received 6,948 enquiries and approved </w:t>
      </w:r>
      <w:r>
        <w:br/>
      </w:r>
      <w:r w:rsidRPr="008448BD">
        <w:t>4,742 no-interest loans.</w:t>
      </w:r>
    </w:p>
    <w:p w14:paraId="04C26449" w14:textId="101E1EE4" w:rsidR="0064038E" w:rsidRPr="008448BD" w:rsidRDefault="0081761D" w:rsidP="0064038E">
      <w:pPr>
        <w:pStyle w:val="Heading5"/>
        <w:rPr>
          <w:rFonts w:eastAsia="MS Mincho"/>
        </w:rPr>
      </w:pPr>
      <w:r>
        <w:br w:type="column"/>
      </w:r>
      <w:r w:rsidR="0064038E" w:rsidRPr="008448BD">
        <w:rPr>
          <w:rFonts w:eastAsia="MS Mincho"/>
        </w:rPr>
        <w:t xml:space="preserve">Seniors Card First Nations </w:t>
      </w:r>
      <w:r w:rsidR="0064038E" w:rsidRPr="0064038E">
        <w:rPr>
          <w:rFonts w:eastAsia="MS Mincho"/>
          <w:color w:val="00645F"/>
        </w:rPr>
        <w:t>eligibility</w:t>
      </w:r>
      <w:r w:rsidR="00947045">
        <w:rPr>
          <w:rFonts w:eastAsia="MS Mincho"/>
        </w:rPr>
        <w:t> </w:t>
      </w:r>
      <w:r w:rsidR="0064038E" w:rsidRPr="008448BD">
        <w:rPr>
          <w:rFonts w:eastAsia="MS Mincho"/>
        </w:rPr>
        <w:t>changes</w:t>
      </w:r>
    </w:p>
    <w:p w14:paraId="308E03FC" w14:textId="0624924A" w:rsidR="0064038E" w:rsidRPr="008448BD" w:rsidRDefault="0064038E" w:rsidP="00FA16AA">
      <w:pPr>
        <w:pStyle w:val="ARbody"/>
      </w:pPr>
      <w:r w:rsidRPr="008448BD">
        <w:t xml:space="preserve">In </w:t>
      </w:r>
      <w:r w:rsidRPr="003248DF">
        <w:t xml:space="preserve">2024–25, </w:t>
      </w:r>
      <w:r w:rsidRPr="008448BD">
        <w:t xml:space="preserve">the Victorian Seniors Card program expanded access to more First Nations </w:t>
      </w:r>
      <w:r>
        <w:t>Victorians.</w:t>
      </w:r>
    </w:p>
    <w:p w14:paraId="533BAE9E" w14:textId="43AA40D2" w:rsidR="0064038E" w:rsidRPr="008448BD" w:rsidRDefault="0064038E" w:rsidP="00FA16AA">
      <w:pPr>
        <w:pStyle w:val="ARbody"/>
      </w:pPr>
      <w:r>
        <w:t>Aboriginal</w:t>
      </w:r>
      <w:r w:rsidRPr="008448BD">
        <w:t xml:space="preserve"> people</w:t>
      </w:r>
      <w:r>
        <w:t xml:space="preserve"> who live in Victoria </w:t>
      </w:r>
      <w:r w:rsidRPr="008448BD">
        <w:t>can now apply for a Victorian Seniors Card from 50 years or over</w:t>
      </w:r>
      <w:r>
        <w:t>. This is</w:t>
      </w:r>
      <w:r w:rsidRPr="008448BD">
        <w:t xml:space="preserve"> effective from 23 June 2025. </w:t>
      </w:r>
      <w:r>
        <w:t>The card provides</w:t>
      </w:r>
      <w:r w:rsidRPr="008448BD">
        <w:t xml:space="preserve"> access </w:t>
      </w:r>
      <w:r>
        <w:t xml:space="preserve">to </w:t>
      </w:r>
      <w:r w:rsidRPr="008448BD">
        <w:t xml:space="preserve">free or concession public transport and </w:t>
      </w:r>
      <w:r>
        <w:t xml:space="preserve">other </w:t>
      </w:r>
      <w:r w:rsidRPr="008448BD">
        <w:t>discounts</w:t>
      </w:r>
      <w:r>
        <w:t>.</w:t>
      </w:r>
    </w:p>
    <w:p w14:paraId="33A6B599" w14:textId="0AD0AA09" w:rsidR="0064038E" w:rsidRDefault="0064038E" w:rsidP="00FA16AA">
      <w:pPr>
        <w:pStyle w:val="ARbody"/>
      </w:pPr>
      <w:r w:rsidRPr="008448BD">
        <w:t xml:space="preserve">The change in age eligibility reflects the </w:t>
      </w:r>
      <w:r>
        <w:t xml:space="preserve">lower </w:t>
      </w:r>
      <w:r w:rsidRPr="008448BD">
        <w:t>life expectancy of First Nations people.</w:t>
      </w:r>
      <w:r>
        <w:t xml:space="preserve"> </w:t>
      </w:r>
      <w:r w:rsidRPr="008448BD">
        <w:t xml:space="preserve">Expanding eligibility is as a key action in </w:t>
      </w:r>
      <w:r w:rsidRPr="00FA16AA">
        <w:rPr>
          <w:rStyle w:val="Emphasis"/>
        </w:rPr>
        <w:t>Ageing well in Victoria</w:t>
      </w:r>
      <w:r>
        <w:t>. This</w:t>
      </w:r>
      <w:r w:rsidRPr="008448BD">
        <w:t xml:space="preserve"> whole-of-government action plan </w:t>
      </w:r>
      <w:r>
        <w:t>aims to strengthen</w:t>
      </w:r>
      <w:r w:rsidRPr="008448BD">
        <w:t xml:space="preserve"> the wellbeing of senior Victorians.</w:t>
      </w:r>
    </w:p>
    <w:p w14:paraId="1D916C07" w14:textId="6E93CD84" w:rsidR="0064038E" w:rsidRPr="00FC6A84" w:rsidRDefault="0064038E">
      <w:pPr>
        <w:pStyle w:val="Heading5"/>
        <w:rPr>
          <w:rFonts w:eastAsia="MS Mincho"/>
        </w:rPr>
      </w:pPr>
      <w:bookmarkStart w:id="81" w:name="_Toc173832706"/>
      <w:r>
        <w:rPr>
          <w:rFonts w:eastAsia="MS Mincho"/>
        </w:rPr>
        <w:t>Celebrating older Victorians through</w:t>
      </w:r>
      <w:r w:rsidRPr="00FC6A84">
        <w:rPr>
          <w:rFonts w:eastAsia="MS Mincho"/>
        </w:rPr>
        <w:t xml:space="preserve"> the 42nd Victorian Seniors Festival</w:t>
      </w:r>
      <w:bookmarkEnd w:id="81"/>
    </w:p>
    <w:p w14:paraId="600FA89F" w14:textId="386E979E" w:rsidR="00957EDA" w:rsidRDefault="0064038E">
      <w:pPr>
        <w:pStyle w:val="ARbody"/>
      </w:pPr>
      <w:r w:rsidRPr="00FC6A84">
        <w:t>In 2024–25, the department hosted the 42nd Victorian Seniors Festival. During October 2024, 154,271 people attended more than 3,750 free or</w:t>
      </w:r>
      <w:r w:rsidR="008149F0">
        <w:t> </w:t>
      </w:r>
      <w:r w:rsidRPr="00FC6A84">
        <w:t xml:space="preserve">low-cost events across the state. </w:t>
      </w:r>
      <w:r>
        <w:t>The festival included e</w:t>
      </w:r>
      <w:r w:rsidRPr="00FC6A84">
        <w:t>vents</w:t>
      </w:r>
      <w:r>
        <w:t xml:space="preserve"> hosted by the department, community organisations and local councils. </w:t>
      </w:r>
    </w:p>
    <w:p w14:paraId="2125A11D" w14:textId="77DCE775" w:rsidR="0064038E" w:rsidRPr="00FC6A84" w:rsidRDefault="0064038E">
      <w:pPr>
        <w:pStyle w:val="ARbody"/>
      </w:pPr>
      <w:r w:rsidRPr="00FC6A84">
        <w:t xml:space="preserve">Local councils offered or supported 2,892 events, representing </w:t>
      </w:r>
      <w:r w:rsidR="00F54FA1">
        <w:t>77</w:t>
      </w:r>
      <w:r w:rsidRPr="00FC6A84">
        <w:t>% of all events offered</w:t>
      </w:r>
      <w:r>
        <w:t xml:space="preserve">. These were </w:t>
      </w:r>
      <w:r w:rsidRPr="00FC6A84">
        <w:t>attended by 91,740 people. The festival opened on Celebration Day at Federation Square</w:t>
      </w:r>
      <w:r>
        <w:t>.</w:t>
      </w:r>
      <w:r w:rsidRPr="00FC6A84">
        <w:t xml:space="preserve"> </w:t>
      </w:r>
      <w:r>
        <w:t xml:space="preserve">More than </w:t>
      </w:r>
      <w:r w:rsidRPr="00FC6A84">
        <w:t xml:space="preserve">16,000 people </w:t>
      </w:r>
      <w:r>
        <w:t>attended</w:t>
      </w:r>
      <w:r w:rsidRPr="00FC6A84">
        <w:t xml:space="preserve">. </w:t>
      </w:r>
      <w:proofErr w:type="gramStart"/>
      <w:r w:rsidRPr="00FC6A84">
        <w:t>Seniors</w:t>
      </w:r>
      <w:proofErr w:type="gramEnd"/>
      <w:r w:rsidRPr="00FC6A84">
        <w:t xml:space="preserve"> Card holders received 8</w:t>
      </w:r>
      <w:r>
        <w:t xml:space="preserve"> </w:t>
      </w:r>
      <w:r w:rsidRPr="00FC6A84">
        <w:t xml:space="preserve">days of free public transport </w:t>
      </w:r>
      <w:r>
        <w:t>during the</w:t>
      </w:r>
      <w:r w:rsidR="000C34BF">
        <w:t> </w:t>
      </w:r>
      <w:r>
        <w:t>festival</w:t>
      </w:r>
      <w:r w:rsidRPr="00FC6A84">
        <w:t>.</w:t>
      </w:r>
    </w:p>
    <w:p w14:paraId="02294979" w14:textId="77777777" w:rsidR="00EB0DCD" w:rsidRDefault="0064038E">
      <w:pPr>
        <w:pStyle w:val="ARbody"/>
      </w:pPr>
      <w:r w:rsidRPr="00FC6A84">
        <w:t>As part of the festival, 6,372 people attended 23</w:t>
      </w:r>
      <w:r w:rsidR="008149F0">
        <w:t> </w:t>
      </w:r>
      <w:r>
        <w:t>concerts</w:t>
      </w:r>
      <w:r w:rsidRPr="00FC6A84">
        <w:t xml:space="preserve"> across the state. The Victorian Seniors Festival Aged Care Tour</w:t>
      </w:r>
      <w:r>
        <w:t xml:space="preserve"> also</w:t>
      </w:r>
      <w:r w:rsidRPr="00FC6A84">
        <w:t xml:space="preserve"> deliver</w:t>
      </w:r>
      <w:r>
        <w:t>ed</w:t>
      </w:r>
      <w:r w:rsidRPr="00FC6A84">
        <w:t xml:space="preserve"> magic, music and entertainment to more than 1,300 senior Victorians living in 32 aged care facilities.</w:t>
      </w:r>
    </w:p>
    <w:p w14:paraId="656F09C2" w14:textId="3EEC7161" w:rsidR="0064038E" w:rsidRPr="00FC6A84" w:rsidRDefault="0064038E">
      <w:pPr>
        <w:pStyle w:val="ARbody"/>
      </w:pPr>
      <w:r w:rsidRPr="00FC6A84">
        <w:t>On 24 October 2024, the Victorian Senior of the Year Awards recognised 15 senior Victorians at Government House. The event was hosted by Lieutenant</w:t>
      </w:r>
      <w:r w:rsidR="00B5559D">
        <w:t xml:space="preserve"> </w:t>
      </w:r>
      <w:r w:rsidRPr="00FC6A84">
        <w:t>Governor Professor James Angus</w:t>
      </w:r>
      <w:r>
        <w:t xml:space="preserve"> AO on </w:t>
      </w:r>
      <w:r w:rsidRPr="00FC6A84">
        <w:t>behalf of Her Excellency Professor the Honourable Margaret Gardner AC, Governor of</w:t>
      </w:r>
      <w:r w:rsidR="009C6A9B">
        <w:t> </w:t>
      </w:r>
      <w:r w:rsidRPr="00FC6A84">
        <w:t xml:space="preserve">Victoria. </w:t>
      </w:r>
    </w:p>
    <w:p w14:paraId="6FD6573A" w14:textId="77777777" w:rsidR="0064038E" w:rsidRPr="002737CC" w:rsidRDefault="0064038E">
      <w:pPr>
        <w:pStyle w:val="ARbody"/>
        <w:rPr>
          <w:highlight w:val="cyan"/>
        </w:rPr>
      </w:pPr>
      <w:r w:rsidRPr="00660025">
        <w:t xml:space="preserve">On 5 May 2025, the department opened nominations for the 2025 Victorian Senior of the Year Awards. These awards recognise and celebrate Victorian seniors who contribute to their community through volunteering. </w:t>
      </w:r>
    </w:p>
    <w:p w14:paraId="0CDD40AA" w14:textId="77777777" w:rsidR="0064038E" w:rsidRPr="004876A3" w:rsidRDefault="0064038E">
      <w:pPr>
        <w:pStyle w:val="Heading5"/>
        <w:rPr>
          <w:rFonts w:eastAsia="MS Mincho"/>
        </w:rPr>
      </w:pPr>
      <w:bookmarkStart w:id="82" w:name="_Toc173832707"/>
      <w:r w:rsidRPr="004876A3">
        <w:rPr>
          <w:rFonts w:eastAsia="MS Mincho"/>
        </w:rPr>
        <w:lastRenderedPageBreak/>
        <w:t>Supporting carers through the Victorian carer strategy</w:t>
      </w:r>
      <w:bookmarkEnd w:id="82"/>
    </w:p>
    <w:p w14:paraId="1F065F26" w14:textId="13FC61BB" w:rsidR="0064038E" w:rsidRPr="004876A3" w:rsidRDefault="0064038E">
      <w:pPr>
        <w:pStyle w:val="ARbody"/>
      </w:pPr>
      <w:r w:rsidRPr="004876A3">
        <w:t xml:space="preserve">In </w:t>
      </w:r>
      <w:r w:rsidRPr="008448BD">
        <w:t>2024–25</w:t>
      </w:r>
      <w:r w:rsidRPr="004876A3">
        <w:t xml:space="preserve">, the department continued delivering against the priorities of the whole-of-government </w:t>
      </w:r>
      <w:r w:rsidRPr="004876A3">
        <w:rPr>
          <w:rStyle w:val="Emphasis"/>
        </w:rPr>
        <w:t>Victorian carer strategy</w:t>
      </w:r>
      <w:r w:rsidRPr="004876A3">
        <w:t xml:space="preserve">. </w:t>
      </w:r>
      <w:r>
        <w:t>We undertook c</w:t>
      </w:r>
      <w:r w:rsidRPr="004876A3">
        <w:t>onsultation to refresh the strategy</w:t>
      </w:r>
      <w:r>
        <w:t>. This was</w:t>
      </w:r>
      <w:r w:rsidRPr="004876A3">
        <w:t xml:space="preserve"> informed by </w:t>
      </w:r>
      <w:proofErr w:type="gramStart"/>
      <w:r w:rsidRPr="004876A3">
        <w:t>carers’</w:t>
      </w:r>
      <w:proofErr w:type="gramEnd"/>
      <w:r w:rsidRPr="004876A3">
        <w:t xml:space="preserve"> lived experience</w:t>
      </w:r>
      <w:r>
        <w:t>.</w:t>
      </w:r>
      <w:r w:rsidRPr="004876A3">
        <w:t xml:space="preserve"> </w:t>
      </w:r>
      <w:r>
        <w:t>The</w:t>
      </w:r>
      <w:r w:rsidRPr="004876A3">
        <w:t xml:space="preserve"> refreshed strategy </w:t>
      </w:r>
      <w:r>
        <w:t>will</w:t>
      </w:r>
      <w:r w:rsidRPr="004876A3">
        <w:t xml:space="preserve"> be released in 2025.</w:t>
      </w:r>
    </w:p>
    <w:p w14:paraId="37CE24BE" w14:textId="77777777" w:rsidR="0081761D" w:rsidRDefault="0064038E">
      <w:pPr>
        <w:pStyle w:val="ARbody"/>
      </w:pPr>
      <w:r w:rsidRPr="004876A3">
        <w:t>The department continued to provide Carers Victoria</w:t>
      </w:r>
      <w:r>
        <w:t xml:space="preserve"> </w:t>
      </w:r>
      <w:r w:rsidRPr="004876A3">
        <w:t>with $2.5 million annually</w:t>
      </w:r>
      <w:r>
        <w:t xml:space="preserve">. This peak body supports </w:t>
      </w:r>
      <w:r w:rsidRPr="004876A3">
        <w:t>carers across the state</w:t>
      </w:r>
      <w:r>
        <w:t xml:space="preserve">. It provides </w:t>
      </w:r>
      <w:r w:rsidRPr="004876A3">
        <w:t>access information, advocacy and help with navigating services. Carers Victoria also provides advice to government on matters of importance for Victoria’s carers.</w:t>
      </w:r>
    </w:p>
    <w:p w14:paraId="2093D98A" w14:textId="27A33B07" w:rsidR="0064038E" w:rsidRPr="004876A3" w:rsidRDefault="0064038E">
      <w:pPr>
        <w:pStyle w:val="ARbody"/>
      </w:pPr>
      <w:r w:rsidRPr="004876A3">
        <w:t xml:space="preserve">The department </w:t>
      </w:r>
      <w:r w:rsidR="006D109D">
        <w:t xml:space="preserve">also </w:t>
      </w:r>
      <w:r w:rsidRPr="004876A3">
        <w:t>funded Carers Victoria to deliver a second round of the Connecting Carers in their Community grants program. This 12-month program delivered $900,000 in grants</w:t>
      </w:r>
      <w:r>
        <w:t>. These</w:t>
      </w:r>
      <w:r w:rsidRPr="004876A3">
        <w:t xml:space="preserve"> projects support</w:t>
      </w:r>
      <w:r>
        <w:t>ed</w:t>
      </w:r>
      <w:r w:rsidRPr="004876A3">
        <w:t xml:space="preserve"> carers in their local communities. Forty-one organisations received grants of up to $</w:t>
      </w:r>
      <w:r>
        <w:t>25,000. P</w:t>
      </w:r>
      <w:r w:rsidRPr="004876A3">
        <w:t xml:space="preserve">rojects </w:t>
      </w:r>
      <w:r>
        <w:t>supported</w:t>
      </w:r>
      <w:r w:rsidRPr="004876A3">
        <w:t xml:space="preserve"> carers from diverse backgrounds, First Nations communities and those living in rural and regional</w:t>
      </w:r>
      <w:r w:rsidR="000C34BF">
        <w:t> </w:t>
      </w:r>
      <w:r w:rsidRPr="004876A3">
        <w:t>areas.</w:t>
      </w:r>
    </w:p>
    <w:p w14:paraId="630D57A6" w14:textId="77777777" w:rsidR="0064038E" w:rsidRPr="004876A3" w:rsidRDefault="0064038E">
      <w:pPr>
        <w:pStyle w:val="Heading5"/>
        <w:rPr>
          <w:rFonts w:eastAsia="MS Mincho"/>
        </w:rPr>
      </w:pPr>
      <w:bookmarkStart w:id="83" w:name="_Toc173832708"/>
      <w:r w:rsidRPr="004876A3">
        <w:rPr>
          <w:rFonts w:eastAsia="MS Mincho"/>
        </w:rPr>
        <w:t>Delivering support and respite for carers</w:t>
      </w:r>
      <w:bookmarkEnd w:id="83"/>
      <w:r w:rsidRPr="004876A3">
        <w:rPr>
          <w:rFonts w:eastAsia="MS Mincho"/>
        </w:rPr>
        <w:t xml:space="preserve"> </w:t>
      </w:r>
    </w:p>
    <w:p w14:paraId="11E87750" w14:textId="77777777" w:rsidR="0064038E" w:rsidRPr="004876A3" w:rsidRDefault="0064038E">
      <w:pPr>
        <w:pStyle w:val="ARbody"/>
      </w:pPr>
      <w:r w:rsidRPr="004876A3">
        <w:t xml:space="preserve">The department continued to administer the Victorian Support for Carers Program, with more than $22.4 million invested annually. </w:t>
      </w:r>
    </w:p>
    <w:p w14:paraId="1E360325" w14:textId="2572565B" w:rsidR="0064038E" w:rsidRPr="004876A3" w:rsidRDefault="0064038E">
      <w:pPr>
        <w:pStyle w:val="ARbody"/>
      </w:pPr>
      <w:r w:rsidRPr="004876A3">
        <w:t>The program operates through 60 providers across the state. It offers one-to-one support, counselling, support groups, information and respite options</w:t>
      </w:r>
      <w:r>
        <w:t>. These are</w:t>
      </w:r>
      <w:r w:rsidRPr="004876A3">
        <w:t xml:space="preserve"> tailored to the needs of Victoria’s unpaid </w:t>
      </w:r>
      <w:r w:rsidRPr="004876A3" w:rsidDel="00320C96">
        <w:t>carers</w:t>
      </w:r>
      <w:r w:rsidRPr="004876A3">
        <w:t>. Some 8,250 carers are supported annually</w:t>
      </w:r>
      <w:r>
        <w:t>. The program provided around</w:t>
      </w:r>
      <w:r w:rsidRPr="004876A3">
        <w:t xml:space="preserve"> 161,250 hours of</w:t>
      </w:r>
      <w:r w:rsidR="00C61E26">
        <w:t> </w:t>
      </w:r>
      <w:r w:rsidRPr="004876A3">
        <w:t xml:space="preserve">support. </w:t>
      </w:r>
    </w:p>
    <w:p w14:paraId="19235612" w14:textId="0B532DE4" w:rsidR="0064038E" w:rsidRDefault="0064038E">
      <w:pPr>
        <w:pStyle w:val="ARbody"/>
        <w:rPr>
          <w:lang w:eastAsia="en-AU"/>
        </w:rPr>
      </w:pPr>
      <w:r>
        <w:t>The</w:t>
      </w:r>
      <w:r w:rsidRPr="004876A3">
        <w:t xml:space="preserve"> </w:t>
      </w:r>
      <w:r w:rsidRPr="00DA434D">
        <w:rPr>
          <w:rStyle w:val="Emphasis"/>
        </w:rPr>
        <w:t>2022–23 State Budget</w:t>
      </w:r>
      <w:r>
        <w:t xml:space="preserve"> invested</w:t>
      </w:r>
      <w:r w:rsidRPr="004876A3">
        <w:t xml:space="preserve"> $38 million over 4 years to provide additional respite for carers. This</w:t>
      </w:r>
      <w:r w:rsidRPr="004876A3" w:rsidDel="00FE4BC9">
        <w:t xml:space="preserve"> </w:t>
      </w:r>
      <w:r w:rsidRPr="004876A3">
        <w:t>enables 5,000 more Victorian carers to access an additional 100,000 hours of respite each year</w:t>
      </w:r>
      <w:r>
        <w:t xml:space="preserve"> to 2026–27. It includes</w:t>
      </w:r>
      <w:r w:rsidRPr="004876A3">
        <w:t xml:space="preserve"> carers in regional and rural Victoria and carers from diverse communities.</w:t>
      </w:r>
    </w:p>
    <w:p w14:paraId="36E3552B" w14:textId="47C46EFC" w:rsidR="0064038E" w:rsidRDefault="0064038E">
      <w:pPr>
        <w:pStyle w:val="ARbody"/>
      </w:pPr>
      <w:r w:rsidRPr="004876A3">
        <w:t xml:space="preserve">In </w:t>
      </w:r>
      <w:r w:rsidRPr="008448BD">
        <w:t>2024–25</w:t>
      </w:r>
      <w:r w:rsidRPr="004876A3">
        <w:t>, the combined Support for Carers Program and additional respite funding exceeded targets</w:t>
      </w:r>
      <w:r>
        <w:t>. The program supported</w:t>
      </w:r>
      <w:r w:rsidRPr="004876A3">
        <w:t xml:space="preserve"> more than </w:t>
      </w:r>
      <w:r>
        <w:t>3</w:t>
      </w:r>
      <w:r w:rsidRPr="000C4531">
        <w:t xml:space="preserve">0,000 carers through more than </w:t>
      </w:r>
      <w:r>
        <w:t>500</w:t>
      </w:r>
      <w:r w:rsidRPr="004876A3">
        <w:t>,000 hours of carer respite and support</w:t>
      </w:r>
      <w:r>
        <w:t xml:space="preserve">. This includes </w:t>
      </w:r>
      <w:r w:rsidRPr="004876A3">
        <w:t>through flexible online engagement.</w:t>
      </w:r>
      <w:r w:rsidR="0081761D">
        <w:br w:type="column"/>
      </w:r>
      <w:r>
        <w:t xml:space="preserve">The department also continued to deliver the </w:t>
      </w:r>
      <w:r w:rsidRPr="000A3CB4">
        <w:t>Victorian Carer Card</w:t>
      </w:r>
      <w:r>
        <w:t xml:space="preserve">. The card provides unpaid carers with </w:t>
      </w:r>
      <w:r w:rsidRPr="008812D4">
        <w:t>free and concessional public transport</w:t>
      </w:r>
      <w:r>
        <w:t xml:space="preserve"> and discounts at thousands of participating</w:t>
      </w:r>
      <w:r w:rsidR="009C6A9B">
        <w:t> </w:t>
      </w:r>
      <w:r>
        <w:t>businesses.</w:t>
      </w:r>
    </w:p>
    <w:p w14:paraId="4A4721AC" w14:textId="2267C92F" w:rsidR="0064038E" w:rsidRDefault="0064038E" w:rsidP="00EB0DCD">
      <w:pPr>
        <w:pStyle w:val="Heading5"/>
        <w:rPr>
          <w:rFonts w:eastAsia="MS Mincho"/>
        </w:rPr>
      </w:pPr>
      <w:bookmarkStart w:id="84" w:name="_Toc173832710"/>
      <w:r w:rsidRPr="00787E5B">
        <w:rPr>
          <w:rFonts w:eastAsia="MS Mincho"/>
        </w:rPr>
        <w:t>Continuing elder abuse initiatives to address family violence for older Victorians</w:t>
      </w:r>
      <w:bookmarkEnd w:id="84"/>
    </w:p>
    <w:p w14:paraId="25E38F2A" w14:textId="451134CB" w:rsidR="0064038E" w:rsidRPr="00AA4F5A" w:rsidRDefault="0064038E">
      <w:pPr>
        <w:pStyle w:val="ARbody"/>
      </w:pPr>
      <w:r w:rsidRPr="00E423FD">
        <w:t xml:space="preserve">The department continued to deliver </w:t>
      </w:r>
      <w:r>
        <w:t>initiatives that</w:t>
      </w:r>
      <w:r w:rsidR="008149F0">
        <w:t> </w:t>
      </w:r>
      <w:r>
        <w:t xml:space="preserve">address elder abuse. This included </w:t>
      </w:r>
      <w:r w:rsidRPr="00E423FD">
        <w:t>awareness raising</w:t>
      </w:r>
      <w:r>
        <w:t>,</w:t>
      </w:r>
      <w:r w:rsidRPr="00E423FD">
        <w:t xml:space="preserve"> primary prevention, early intervention and</w:t>
      </w:r>
      <w:r w:rsidR="00C61E26">
        <w:t> </w:t>
      </w:r>
      <w:r w:rsidRPr="00E423FD">
        <w:t>response</w:t>
      </w:r>
      <w:r>
        <w:t>.</w:t>
      </w:r>
    </w:p>
    <w:p w14:paraId="25F80345" w14:textId="77777777" w:rsidR="0064038E" w:rsidRPr="00E423FD" w:rsidRDefault="0064038E" w:rsidP="0064038E">
      <w:pPr>
        <w:pStyle w:val="ARbody"/>
        <w:keepNext/>
        <w:keepLines/>
      </w:pPr>
      <w:r w:rsidRPr="00E423FD">
        <w:t>These initiatives included:</w:t>
      </w:r>
    </w:p>
    <w:p w14:paraId="36A22CB5" w14:textId="3B415A4B" w:rsidR="0064038E" w:rsidRPr="00E423FD" w:rsidRDefault="0064038E" w:rsidP="00F375A6">
      <w:pPr>
        <w:pStyle w:val="ARbullet1"/>
        <w:numPr>
          <w:ilvl w:val="0"/>
          <w:numId w:val="22"/>
        </w:numPr>
      </w:pPr>
      <w:r w:rsidRPr="00E423FD">
        <w:t>supporting a statewide elder abuse helpline</w:t>
      </w:r>
      <w:r>
        <w:t xml:space="preserve">. This provides </w:t>
      </w:r>
      <w:r w:rsidRPr="00E423FD">
        <w:t>information, referrals, legal casework, education and advocacy</w:t>
      </w:r>
    </w:p>
    <w:p w14:paraId="0699EFE7" w14:textId="14AB6089" w:rsidR="0064038E" w:rsidRPr="00E423FD" w:rsidRDefault="0064038E" w:rsidP="00F375A6">
      <w:pPr>
        <w:pStyle w:val="ARbullet1"/>
        <w:numPr>
          <w:ilvl w:val="0"/>
          <w:numId w:val="22"/>
        </w:numPr>
      </w:pPr>
      <w:r w:rsidRPr="00E423FD">
        <w:t>Elder Abuse Prevention Networks</w:t>
      </w:r>
      <w:r>
        <w:t>. These deliver</w:t>
      </w:r>
      <w:r w:rsidRPr="00E423FD">
        <w:t xml:space="preserve"> local action to raise awareness and stop abuse from occurring</w:t>
      </w:r>
      <w:r>
        <w:t xml:space="preserve">. They use </w:t>
      </w:r>
      <w:r w:rsidRPr="00E423FD">
        <w:t>a primary prevention approach</w:t>
      </w:r>
      <w:r>
        <w:t>. This includes</w:t>
      </w:r>
      <w:r w:rsidRPr="00E423FD">
        <w:t xml:space="preserve"> addressing ageism and</w:t>
      </w:r>
      <w:r w:rsidR="008149F0">
        <w:t> </w:t>
      </w:r>
      <w:r w:rsidRPr="00E423FD">
        <w:t>gender inequality for older women</w:t>
      </w:r>
    </w:p>
    <w:p w14:paraId="5A9523B8" w14:textId="3846C073" w:rsidR="0064038E" w:rsidRPr="00E423FD" w:rsidRDefault="0064038E" w:rsidP="00F375A6">
      <w:pPr>
        <w:pStyle w:val="ARbullet1"/>
        <w:numPr>
          <w:ilvl w:val="0"/>
          <w:numId w:val="22"/>
        </w:numPr>
      </w:pPr>
      <w:r w:rsidRPr="00E423FD">
        <w:t>a counselling and mediation service interfacing with select The Orange Door networks</w:t>
      </w:r>
      <w:r>
        <w:t>. The</w:t>
      </w:r>
      <w:r w:rsidR="008149F0">
        <w:t> </w:t>
      </w:r>
      <w:r>
        <w:t>service provides</w:t>
      </w:r>
      <w:r w:rsidRPr="00E423FD">
        <w:t xml:space="preserve"> therapeutic options for older people seeking assistance</w:t>
      </w:r>
    </w:p>
    <w:p w14:paraId="26882987" w14:textId="2C1ED824" w:rsidR="0064038E" w:rsidRPr="00E423FD" w:rsidRDefault="0064038E" w:rsidP="00F375A6">
      <w:pPr>
        <w:pStyle w:val="ARbullet1"/>
        <w:numPr>
          <w:ilvl w:val="0"/>
          <w:numId w:val="22"/>
        </w:numPr>
      </w:pPr>
      <w:r w:rsidRPr="00E423FD">
        <w:t>a targeted project with ethnic communities</w:t>
      </w:r>
      <w:r>
        <w:t>. The</w:t>
      </w:r>
      <w:r w:rsidR="008149F0">
        <w:t> </w:t>
      </w:r>
      <w:r>
        <w:t xml:space="preserve">project raises </w:t>
      </w:r>
      <w:r w:rsidRPr="00E423FD">
        <w:t xml:space="preserve">awareness of elder abuse and </w:t>
      </w:r>
      <w:r>
        <w:t>how to access</w:t>
      </w:r>
      <w:r w:rsidRPr="00E423FD">
        <w:t xml:space="preserve"> support services</w:t>
      </w:r>
    </w:p>
    <w:p w14:paraId="50ADF828" w14:textId="5207CDD4" w:rsidR="0064038E" w:rsidRPr="00E423FD" w:rsidRDefault="0064038E" w:rsidP="00F375A6">
      <w:pPr>
        <w:pStyle w:val="ARbullet1"/>
        <w:numPr>
          <w:ilvl w:val="0"/>
          <w:numId w:val="22"/>
        </w:numPr>
      </w:pPr>
      <w:r w:rsidRPr="00E423FD">
        <w:t>an Elder Abuse Learning Hub for professionals working with older people</w:t>
      </w:r>
      <w:r>
        <w:t>. This helps professionals</w:t>
      </w:r>
      <w:r w:rsidRPr="00E423FD">
        <w:t xml:space="preserve"> to understand, identify and respond to elder abuse.</w:t>
      </w:r>
    </w:p>
    <w:p w14:paraId="56A3319D" w14:textId="77777777" w:rsidR="00EB0DCD" w:rsidRDefault="0064038E">
      <w:pPr>
        <w:pStyle w:val="ARbodyafterbullets"/>
      </w:pPr>
      <w:r w:rsidRPr="00787E5B">
        <w:t xml:space="preserve">In </w:t>
      </w:r>
      <w:r w:rsidRPr="008448BD">
        <w:t>2024–25</w:t>
      </w:r>
      <w:r w:rsidRPr="00787E5B">
        <w:t xml:space="preserve">, funding </w:t>
      </w:r>
      <w:r>
        <w:t xml:space="preserve">was announced </w:t>
      </w:r>
      <w:r w:rsidRPr="00787E5B">
        <w:t xml:space="preserve">for a </w:t>
      </w:r>
      <w:r>
        <w:t xml:space="preserve">new </w:t>
      </w:r>
      <w:r w:rsidRPr="00787E5B">
        <w:t>capability development program</w:t>
      </w:r>
      <w:r>
        <w:t>. This</w:t>
      </w:r>
      <w:r w:rsidRPr="00787E5B">
        <w:t xml:space="preserve"> will help specialist </w:t>
      </w:r>
      <w:r w:rsidRPr="00E423FD">
        <w:t>family violence practitioners identify and</w:t>
      </w:r>
      <w:r w:rsidR="008149F0">
        <w:t> </w:t>
      </w:r>
      <w:r w:rsidRPr="00E423FD">
        <w:t>respond to elder abuse.</w:t>
      </w:r>
    </w:p>
    <w:p w14:paraId="113415D6" w14:textId="124D3B11" w:rsidR="0064038E" w:rsidRPr="00C61E26" w:rsidRDefault="0064038E" w:rsidP="00C61E26">
      <w:pPr>
        <w:pStyle w:val="Heading5"/>
      </w:pPr>
      <w:r w:rsidRPr="00C61E26">
        <w:rPr>
          <w:rFonts w:eastAsiaTheme="majorEastAsia"/>
        </w:rPr>
        <w:t>Senior Victorians Advisory Committee</w:t>
      </w:r>
    </w:p>
    <w:p w14:paraId="1636785A" w14:textId="4D70ABB1" w:rsidR="0081761D" w:rsidRDefault="0064038E">
      <w:pPr>
        <w:pStyle w:val="ARbody"/>
      </w:pPr>
      <w:r w:rsidRPr="007974C4">
        <w:t>The new Senior Victorians Advisory Committee was</w:t>
      </w:r>
      <w:r w:rsidR="008134E9">
        <w:t> </w:t>
      </w:r>
      <w:r w:rsidRPr="007974C4">
        <w:t>established in December 2024.</w:t>
      </w:r>
      <w:r>
        <w:t xml:space="preserve"> The committee </w:t>
      </w:r>
      <w:r w:rsidRPr="007974C4">
        <w:t xml:space="preserve">provides a voice to the government on the lived experiences of older Victorians. The </w:t>
      </w:r>
      <w:r>
        <w:t>c</w:t>
      </w:r>
      <w:r w:rsidRPr="007974C4">
        <w:t>ommittee will</w:t>
      </w:r>
      <w:r w:rsidR="008134E9">
        <w:t> </w:t>
      </w:r>
      <w:r w:rsidRPr="007974C4">
        <w:t>inform related government policy and programs</w:t>
      </w:r>
      <w:r>
        <w:t>. This includes implementing</w:t>
      </w:r>
      <w:r w:rsidRPr="007974C4">
        <w:t xml:space="preserve"> the </w:t>
      </w:r>
      <w:r w:rsidRPr="00FA16AA">
        <w:rPr>
          <w:rStyle w:val="Emphasis"/>
        </w:rPr>
        <w:t>Ageing well action plan 2022–2026.</w:t>
      </w:r>
      <w:r w:rsidRPr="007974C4">
        <w:t xml:space="preserve"> </w:t>
      </w:r>
      <w:r w:rsidR="0081761D">
        <w:br w:type="page"/>
      </w:r>
    </w:p>
    <w:p w14:paraId="42B3E4B8" w14:textId="552D980C" w:rsidR="0064038E" w:rsidRPr="007974C4" w:rsidRDefault="0064038E">
      <w:pPr>
        <w:pStyle w:val="ARbody"/>
      </w:pPr>
      <w:r w:rsidRPr="007974C4">
        <w:lastRenderedPageBreak/>
        <w:t xml:space="preserve">The </w:t>
      </w:r>
      <w:r>
        <w:t>c</w:t>
      </w:r>
      <w:r w:rsidRPr="007974C4">
        <w:t xml:space="preserve">ommittee </w:t>
      </w:r>
      <w:r>
        <w:t>comprises</w:t>
      </w:r>
      <w:r w:rsidRPr="007974C4">
        <w:t xml:space="preserve"> 8 community members, including the </w:t>
      </w:r>
      <w:r>
        <w:t>c</w:t>
      </w:r>
      <w:r w:rsidRPr="007974C4">
        <w:t xml:space="preserve">hairperson, and 4 sector members. Committee members reflect the diversity and </w:t>
      </w:r>
      <w:proofErr w:type="gramStart"/>
      <w:r w:rsidRPr="007974C4">
        <w:t>lived</w:t>
      </w:r>
      <w:proofErr w:type="gramEnd"/>
      <w:r w:rsidRPr="007974C4">
        <w:t xml:space="preserve"> experience of older Victorians</w:t>
      </w:r>
      <w:r>
        <w:t xml:space="preserve">. They </w:t>
      </w:r>
      <w:r w:rsidRPr="007974C4">
        <w:t>have a wide range of professional skills, volunteering and leadership experience and community connections.</w:t>
      </w:r>
    </w:p>
    <w:p w14:paraId="0A5A4063" w14:textId="512EE8C3" w:rsidR="0064038E" w:rsidRPr="00E423FD" w:rsidRDefault="0064038E">
      <w:pPr>
        <w:pStyle w:val="ARbody"/>
      </w:pPr>
      <w:r w:rsidRPr="007974C4">
        <w:t xml:space="preserve">The </w:t>
      </w:r>
      <w:r>
        <w:t>c</w:t>
      </w:r>
      <w:r w:rsidRPr="007974C4">
        <w:t xml:space="preserve">ommittee is appointed for a </w:t>
      </w:r>
      <w:r>
        <w:t>3</w:t>
      </w:r>
      <w:r w:rsidRPr="007974C4">
        <w:t xml:space="preserve">-year term, which will expire at the end of 2027. </w:t>
      </w:r>
    </w:p>
    <w:p w14:paraId="4364CBC3" w14:textId="77777777" w:rsidR="0064038E" w:rsidRPr="004B6029" w:rsidRDefault="0064038E">
      <w:pPr>
        <w:pStyle w:val="Heading5"/>
        <w:rPr>
          <w:rFonts w:eastAsia="MS Mincho"/>
        </w:rPr>
      </w:pPr>
      <w:r w:rsidRPr="004B6029">
        <w:rPr>
          <w:rFonts w:eastAsia="MS Mincho"/>
        </w:rPr>
        <w:t xml:space="preserve">Delivering </w:t>
      </w:r>
      <w:r>
        <w:rPr>
          <w:rFonts w:eastAsia="MS Mincho"/>
        </w:rPr>
        <w:t>Victoria’s</w:t>
      </w:r>
      <w:r w:rsidRPr="004B6029">
        <w:rPr>
          <w:rFonts w:eastAsia="MS Mincho"/>
        </w:rPr>
        <w:t xml:space="preserve"> gender equality strategy and action plan</w:t>
      </w:r>
    </w:p>
    <w:p w14:paraId="0CE9E1B8" w14:textId="135BCADE" w:rsidR="0064038E" w:rsidRDefault="0064038E">
      <w:pPr>
        <w:pStyle w:val="ARbody"/>
      </w:pPr>
      <w:r w:rsidRPr="00916F9E">
        <w:t xml:space="preserve">The department continues to coordinate implementation of </w:t>
      </w:r>
      <w:r w:rsidRPr="00FA16AA">
        <w:rPr>
          <w:rStyle w:val="Emphasis"/>
        </w:rPr>
        <w:t>Our equal state: Victoria’s gender equality strategy and action plan</w:t>
      </w:r>
      <w:r w:rsidR="000763F6">
        <w:rPr>
          <w:rStyle w:val="Emphasis"/>
        </w:rPr>
        <w:br/>
      </w:r>
      <w:r w:rsidRPr="00FA16AA">
        <w:rPr>
          <w:rStyle w:val="Emphasis"/>
        </w:rPr>
        <w:t xml:space="preserve">2023–2027. </w:t>
      </w:r>
      <w:r w:rsidRPr="00916F9E">
        <w:t>The strategy includes 110 whole-of-government and portfolio-specific actions</w:t>
      </w:r>
      <w:r>
        <w:t>. These actions</w:t>
      </w:r>
      <w:r w:rsidRPr="00916F9E">
        <w:t xml:space="preserve"> embed a shared responsibility for gender equality across government. </w:t>
      </w:r>
    </w:p>
    <w:p w14:paraId="102D7BAD" w14:textId="77777777" w:rsidR="00586CD5" w:rsidRDefault="00586CD5" w:rsidP="00586CD5">
      <w:pPr>
        <w:pStyle w:val="ARbody"/>
      </w:pPr>
      <w:r w:rsidRPr="00A22941">
        <w:t>A reference group provide</w:t>
      </w:r>
      <w:r>
        <w:t>s</w:t>
      </w:r>
      <w:r w:rsidRPr="00A22941">
        <w:t xml:space="preserve"> strategic advice on the implementation of </w:t>
      </w:r>
      <w:r w:rsidRPr="000763F6">
        <w:rPr>
          <w:rStyle w:val="Emphasis"/>
        </w:rPr>
        <w:t xml:space="preserve">Our equal state. </w:t>
      </w:r>
      <w:r>
        <w:t>The group comprises</w:t>
      </w:r>
      <w:r w:rsidRPr="00A22941">
        <w:t xml:space="preserve"> members with gender equality expertise and a deep understanding of intersectionality</w:t>
      </w:r>
      <w:r>
        <w:t>.</w:t>
      </w:r>
      <w:r w:rsidRPr="00A22941">
        <w:t xml:space="preserve"> The group</w:t>
      </w:r>
      <w:r>
        <w:t>’s experience supports</w:t>
      </w:r>
      <w:r w:rsidRPr="00A22941">
        <w:t xml:space="preserve"> progress gender equality </w:t>
      </w:r>
      <w:r>
        <w:t>in Victoria</w:t>
      </w:r>
      <w:r w:rsidRPr="00A22941">
        <w:t>.</w:t>
      </w:r>
    </w:p>
    <w:p w14:paraId="3BEE4EF3" w14:textId="77777777" w:rsidR="00586CD5" w:rsidRPr="00EA639D" w:rsidRDefault="00586CD5" w:rsidP="00586CD5">
      <w:pPr>
        <w:pStyle w:val="ARbody"/>
      </w:pPr>
      <w:r w:rsidRPr="00EA639D">
        <w:t>In the second year of the strategy, we continued to</w:t>
      </w:r>
      <w:r>
        <w:t xml:space="preserve"> drive significant progress on actions. We launched </w:t>
      </w:r>
      <w:r w:rsidRPr="00A2615E">
        <w:rPr>
          <w:i/>
          <w:iCs/>
        </w:rPr>
        <w:t xml:space="preserve">Making it equal: </w:t>
      </w:r>
      <w:r w:rsidRPr="00A2615E">
        <w:rPr>
          <w:i/>
        </w:rPr>
        <w:t xml:space="preserve">Victoria’s </w:t>
      </w:r>
      <w:r w:rsidRPr="00A2615E">
        <w:rPr>
          <w:i/>
          <w:iCs/>
        </w:rPr>
        <w:t>w</w:t>
      </w:r>
      <w:r w:rsidRPr="00A2615E">
        <w:rPr>
          <w:i/>
        </w:rPr>
        <w:t xml:space="preserve">omen in </w:t>
      </w:r>
      <w:r w:rsidRPr="00A2615E">
        <w:rPr>
          <w:i/>
          <w:iCs/>
        </w:rPr>
        <w:t>manufacturing strategy</w:t>
      </w:r>
      <w:r>
        <w:t xml:space="preserve">. We also began the roll-out of the Free Pads and Tampons in Public Places program. </w:t>
      </w:r>
    </w:p>
    <w:p w14:paraId="6D9137E5" w14:textId="77777777" w:rsidR="0081761D" w:rsidRDefault="0064038E" w:rsidP="00CF24F5">
      <w:pPr>
        <w:pStyle w:val="ARbody"/>
      </w:pPr>
      <w:r w:rsidRPr="000763F6">
        <w:rPr>
          <w:rStyle w:val="Emphasis"/>
        </w:rPr>
        <w:t>Our equal state</w:t>
      </w:r>
      <w:r w:rsidRPr="00EA639D">
        <w:t xml:space="preserve"> </w:t>
      </w:r>
      <w:r>
        <w:t>ensures</w:t>
      </w:r>
      <w:r w:rsidRPr="00EA639D">
        <w:t xml:space="preserve"> government elevate</w:t>
      </w:r>
      <w:r>
        <w:t>s</w:t>
      </w:r>
      <w:r w:rsidRPr="00EA639D">
        <w:t xml:space="preserve"> and prioritise</w:t>
      </w:r>
      <w:r>
        <w:t>s</w:t>
      </w:r>
      <w:r w:rsidRPr="00EA639D">
        <w:t xml:space="preserve"> gender equality across all portfolios</w:t>
      </w:r>
      <w:r>
        <w:t>.</w:t>
      </w:r>
      <w:r w:rsidRPr="00EA639D">
        <w:t xml:space="preserve"> </w:t>
      </w:r>
      <w:r>
        <w:t>It</w:t>
      </w:r>
      <w:r w:rsidR="008149F0">
        <w:t> </w:t>
      </w:r>
      <w:r>
        <w:t>is</w:t>
      </w:r>
      <w:r w:rsidR="008149F0">
        <w:t> </w:t>
      </w:r>
      <w:r>
        <w:t>part of</w:t>
      </w:r>
      <w:r w:rsidRPr="00EA639D">
        <w:t xml:space="preserve"> </w:t>
      </w:r>
      <w:r>
        <w:t>real and meaningful change set out in</w:t>
      </w:r>
      <w:r w:rsidR="008149F0">
        <w:t> </w:t>
      </w:r>
      <w:r w:rsidRPr="00EA639D">
        <w:t xml:space="preserve">the </w:t>
      </w:r>
      <w:r w:rsidRPr="000763F6">
        <w:rPr>
          <w:rStyle w:val="Emphasis"/>
        </w:rPr>
        <w:t xml:space="preserve">Gender Equality Act 2020. </w:t>
      </w:r>
      <w:r>
        <w:t>It includes tabling</w:t>
      </w:r>
      <w:r w:rsidRPr="00EA639D">
        <w:t xml:space="preserve"> a</w:t>
      </w:r>
      <w:r w:rsidR="008149F0">
        <w:t> </w:t>
      </w:r>
      <w:r w:rsidRPr="00EA639D">
        <w:t xml:space="preserve">progress report in Parliament after the first </w:t>
      </w:r>
      <w:r>
        <w:t>2</w:t>
      </w:r>
      <w:r w:rsidR="008149F0">
        <w:t> </w:t>
      </w:r>
      <w:r w:rsidRPr="00EA639D">
        <w:t>years.</w:t>
      </w:r>
    </w:p>
    <w:p w14:paraId="25C988B8" w14:textId="074F423E" w:rsidR="0064038E" w:rsidRPr="00B55528" w:rsidRDefault="0081761D" w:rsidP="00C61E26">
      <w:pPr>
        <w:pStyle w:val="Heading5"/>
        <w:rPr>
          <w:rFonts w:eastAsia="MS Mincho"/>
        </w:rPr>
      </w:pPr>
      <w:r>
        <w:br w:type="column"/>
      </w:r>
      <w:bookmarkStart w:id="85" w:name="_Toc173832712"/>
      <w:r w:rsidR="0064038E" w:rsidRPr="008D6ED4">
        <w:rPr>
          <w:rFonts w:eastAsia="MS Mincho"/>
        </w:rPr>
        <w:t xml:space="preserve">Advancing gender equality by implementing the </w:t>
      </w:r>
      <w:r w:rsidR="0064038E" w:rsidRPr="00B55528">
        <w:rPr>
          <w:rFonts w:eastAsia="MS Mincho"/>
        </w:rPr>
        <w:t>Gender Equality Act 2020</w:t>
      </w:r>
      <w:bookmarkEnd w:id="85"/>
    </w:p>
    <w:p w14:paraId="3F8EC925" w14:textId="48429DE8" w:rsidR="0064038E" w:rsidRDefault="0064038E" w:rsidP="002774B2">
      <w:pPr>
        <w:pStyle w:val="ARbody"/>
      </w:pPr>
      <w:r w:rsidRPr="001F30FF">
        <w:rPr>
          <w:rFonts w:eastAsia="Arial"/>
          <w:szCs w:val="20"/>
        </w:rPr>
        <w:t xml:space="preserve">The </w:t>
      </w:r>
      <w:r w:rsidRPr="00A906A4">
        <w:rPr>
          <w:rStyle w:val="Emphasis"/>
          <w:szCs w:val="20"/>
        </w:rPr>
        <w:t>Gender Equality Act 2020</w:t>
      </w:r>
      <w:r w:rsidRPr="00A906A4">
        <w:rPr>
          <w:rFonts w:eastAsia="Arial"/>
          <w:sz w:val="18"/>
          <w:szCs w:val="18"/>
        </w:rPr>
        <w:t xml:space="preserve"> </w:t>
      </w:r>
      <w:r w:rsidRPr="001F30FF">
        <w:rPr>
          <w:rFonts w:eastAsia="Arial"/>
          <w:szCs w:val="20"/>
        </w:rPr>
        <w:t>requires Victorian public</w:t>
      </w:r>
      <w:r w:rsidR="00FD300F">
        <w:rPr>
          <w:rFonts w:eastAsia="Arial"/>
          <w:szCs w:val="20"/>
        </w:rPr>
        <w:t xml:space="preserve"> </w:t>
      </w:r>
      <w:r w:rsidRPr="001F30FF">
        <w:rPr>
          <w:rFonts w:eastAsia="Arial"/>
          <w:szCs w:val="20"/>
        </w:rPr>
        <w:t>sector organisations, universities and councils to measure and improve gender equality. In 2024</w:t>
      </w:r>
      <w:r>
        <w:rPr>
          <w:rFonts w:eastAsia="Arial"/>
          <w:szCs w:val="20"/>
        </w:rPr>
        <w:t>–</w:t>
      </w:r>
      <w:r w:rsidRPr="001F30FF">
        <w:rPr>
          <w:rFonts w:eastAsia="Arial"/>
          <w:szCs w:val="20"/>
        </w:rPr>
        <w:t>25</w:t>
      </w:r>
      <w:r>
        <w:rPr>
          <w:rFonts w:eastAsia="Arial"/>
          <w:szCs w:val="20"/>
        </w:rPr>
        <w:t>,</w:t>
      </w:r>
      <w:r w:rsidRPr="001F30FF">
        <w:rPr>
          <w:rFonts w:eastAsia="Arial"/>
          <w:szCs w:val="20"/>
        </w:rPr>
        <w:t xml:space="preserve"> the </w:t>
      </w:r>
      <w:r w:rsidRPr="3FFD2F0D">
        <w:rPr>
          <w:rFonts w:eastAsia="Arial"/>
          <w:szCs w:val="20"/>
        </w:rPr>
        <w:t>Public Sector Gender Equality Commissioner</w:t>
      </w:r>
      <w:r w:rsidRPr="001F30FF">
        <w:rPr>
          <w:rFonts w:eastAsia="Arial"/>
          <w:szCs w:val="20"/>
        </w:rPr>
        <w:t xml:space="preserve"> launched </w:t>
      </w:r>
      <w:r w:rsidRPr="3FFD2F0D">
        <w:rPr>
          <w:rFonts w:eastAsia="Arial"/>
          <w:szCs w:val="20"/>
        </w:rPr>
        <w:t xml:space="preserve">their </w:t>
      </w:r>
      <w:r w:rsidRPr="001F30FF">
        <w:rPr>
          <w:rFonts w:eastAsia="Arial"/>
          <w:szCs w:val="20"/>
        </w:rPr>
        <w:t>regulatory approach</w:t>
      </w:r>
      <w:r>
        <w:rPr>
          <w:rFonts w:eastAsia="Arial"/>
          <w:szCs w:val="20"/>
        </w:rPr>
        <w:t>. The Commissioner focuses on g</w:t>
      </w:r>
      <w:r w:rsidRPr="001F30FF">
        <w:rPr>
          <w:rFonts w:eastAsia="Arial"/>
          <w:szCs w:val="20"/>
        </w:rPr>
        <w:t>uidance, education and proportionate compliance actions.</w:t>
      </w:r>
    </w:p>
    <w:p w14:paraId="63C76329" w14:textId="77777777" w:rsidR="0064038E" w:rsidRPr="001F30FF" w:rsidRDefault="0064038E" w:rsidP="002774B2">
      <w:pPr>
        <w:pStyle w:val="ARbody"/>
      </w:pPr>
      <w:r w:rsidRPr="001F30FF">
        <w:rPr>
          <w:rFonts w:eastAsia="Arial"/>
          <w:szCs w:val="20"/>
        </w:rPr>
        <w:t>In 2024–25</w:t>
      </w:r>
      <w:r>
        <w:rPr>
          <w:rFonts w:eastAsia="Arial"/>
          <w:szCs w:val="20"/>
        </w:rPr>
        <w:t>,</w:t>
      </w:r>
      <w:r w:rsidRPr="001F30FF">
        <w:rPr>
          <w:rFonts w:eastAsia="Arial"/>
          <w:szCs w:val="20"/>
        </w:rPr>
        <w:t xml:space="preserve"> the </w:t>
      </w:r>
      <w:r w:rsidRPr="3FFD2F0D">
        <w:rPr>
          <w:rFonts w:eastAsia="Arial"/>
          <w:szCs w:val="20"/>
        </w:rPr>
        <w:t xml:space="preserve">Commissioner </w:t>
      </w:r>
      <w:r w:rsidRPr="001F30FF">
        <w:rPr>
          <w:rFonts w:eastAsia="Arial"/>
          <w:szCs w:val="20"/>
        </w:rPr>
        <w:t>delivered:</w:t>
      </w:r>
    </w:p>
    <w:p w14:paraId="73340A1C" w14:textId="64F1CB89" w:rsidR="0064038E" w:rsidRPr="00EB1261" w:rsidRDefault="0064038E" w:rsidP="00F375A6">
      <w:pPr>
        <w:pStyle w:val="ARbullet1"/>
        <w:numPr>
          <w:ilvl w:val="0"/>
          <w:numId w:val="22"/>
        </w:numPr>
      </w:pPr>
      <w:r>
        <w:t xml:space="preserve">detailed guides, templates and video resources. These help duty holders prepare upcoming audits, progress reports and gender equality action plans </w:t>
      </w:r>
    </w:p>
    <w:p w14:paraId="2E74DBCB" w14:textId="250E4A96" w:rsidR="0064038E" w:rsidRPr="00EB1261" w:rsidRDefault="0064038E" w:rsidP="00F375A6">
      <w:pPr>
        <w:pStyle w:val="ARbullet1"/>
        <w:numPr>
          <w:ilvl w:val="0"/>
          <w:numId w:val="22"/>
        </w:numPr>
      </w:pPr>
      <w:r>
        <w:t xml:space="preserve">tailored resources for gender impact assessments in different sectors </w:t>
      </w:r>
    </w:p>
    <w:p w14:paraId="5420CBE4" w14:textId="77777777" w:rsidR="0064038E" w:rsidRPr="00EB1261" w:rsidRDefault="0064038E" w:rsidP="00F375A6">
      <w:pPr>
        <w:pStyle w:val="ARbullet1"/>
        <w:numPr>
          <w:ilvl w:val="0"/>
          <w:numId w:val="22"/>
        </w:numPr>
        <w:rPr>
          <w:rFonts w:eastAsia="Arial"/>
          <w:szCs w:val="20"/>
        </w:rPr>
      </w:pPr>
      <w:r w:rsidRPr="00EB1261">
        <w:rPr>
          <w:rFonts w:eastAsia="Arial"/>
          <w:szCs w:val="20"/>
        </w:rPr>
        <w:t xml:space="preserve">insights </w:t>
      </w:r>
      <w:proofErr w:type="gramStart"/>
      <w:r w:rsidRPr="00EB1261">
        <w:rPr>
          <w:rFonts w:eastAsia="Arial"/>
          <w:szCs w:val="20"/>
        </w:rPr>
        <w:t>reports</w:t>
      </w:r>
      <w:proofErr w:type="gramEnd"/>
      <w:r w:rsidRPr="00EB1261">
        <w:rPr>
          <w:rFonts w:eastAsia="Arial"/>
          <w:szCs w:val="20"/>
        </w:rPr>
        <w:t xml:space="preserve"> on sexual harassment, gender pay gaps and sector</w:t>
      </w:r>
      <w:r w:rsidRPr="00EB1261">
        <w:rPr>
          <w:rFonts w:ascii="Cambria Math" w:eastAsia="Arial" w:hAnsi="Cambria Math" w:cs="Cambria Math"/>
          <w:szCs w:val="20"/>
        </w:rPr>
        <w:t>‑</w:t>
      </w:r>
      <w:r w:rsidRPr="00EB1261">
        <w:rPr>
          <w:rFonts w:eastAsia="Arial"/>
          <w:szCs w:val="20"/>
        </w:rPr>
        <w:t>wide trends.</w:t>
      </w:r>
    </w:p>
    <w:p w14:paraId="093ADF2B" w14:textId="3EB0A912" w:rsidR="0064038E" w:rsidRPr="001F30FF" w:rsidRDefault="001923EE">
      <w:pPr>
        <w:pStyle w:val="ARbodyafterbullets"/>
      </w:pPr>
      <w:r>
        <w:t xml:space="preserve">The </w:t>
      </w:r>
      <w:r w:rsidRPr="00DA434D">
        <w:rPr>
          <w:rStyle w:val="Emphasis"/>
        </w:rPr>
        <w:t>2022–23 State Budget</w:t>
      </w:r>
      <w:r>
        <w:t xml:space="preserve"> provided </w:t>
      </w:r>
      <w:r w:rsidRPr="0F530D23">
        <w:t>$5.1 million</w:t>
      </w:r>
      <w:r>
        <w:t xml:space="preserve"> to fund </w:t>
      </w:r>
      <w:r w:rsidRPr="0F530D23">
        <w:t xml:space="preserve">the development of </w:t>
      </w:r>
      <w:r>
        <w:t xml:space="preserve">gender impact assessment </w:t>
      </w:r>
      <w:r w:rsidRPr="0F530D23">
        <w:t>education tools</w:t>
      </w:r>
      <w:r>
        <w:t>. This supports</w:t>
      </w:r>
      <w:r w:rsidRPr="0F530D23">
        <w:t xml:space="preserve"> </w:t>
      </w:r>
      <w:r>
        <w:t xml:space="preserve">and improves duty-holders’ capacity to </w:t>
      </w:r>
      <w:r w:rsidRPr="0F530D23">
        <w:t>compl</w:t>
      </w:r>
      <w:r>
        <w:t>y with their obligations</w:t>
      </w:r>
      <w:r w:rsidR="0064038E" w:rsidRPr="0F530D23">
        <w:t>.</w:t>
      </w:r>
    </w:p>
    <w:p w14:paraId="32903955" w14:textId="06AD01BE" w:rsidR="0064038E" w:rsidRPr="008B440E" w:rsidRDefault="0064038E">
      <w:pPr>
        <w:pStyle w:val="Heading5"/>
        <w:rPr>
          <w:rFonts w:eastAsia="MS Mincho"/>
        </w:rPr>
      </w:pPr>
      <w:bookmarkStart w:id="86" w:name="_Toc173832713"/>
      <w:r w:rsidRPr="008B440E">
        <w:rPr>
          <w:rFonts w:eastAsia="MS Mincho"/>
        </w:rPr>
        <w:t>Advancing women’s leadership and representation</w:t>
      </w:r>
      <w:bookmarkEnd w:id="86"/>
    </w:p>
    <w:p w14:paraId="61F43B02" w14:textId="01A4E744" w:rsidR="0064038E" w:rsidRPr="008B440E" w:rsidRDefault="0064038E" w:rsidP="00353D9B">
      <w:pPr>
        <w:pStyle w:val="ARbody"/>
      </w:pPr>
      <w:r w:rsidRPr="008B440E">
        <w:t>The department continued to fund programs to increase leadership opportunities for Victorian women</w:t>
      </w:r>
      <w:r>
        <w:t xml:space="preserve">. This work also </w:t>
      </w:r>
      <w:r w:rsidRPr="008B440E">
        <w:t>reduce</w:t>
      </w:r>
      <w:r>
        <w:t>s</w:t>
      </w:r>
      <w:r w:rsidRPr="008B440E">
        <w:t xml:space="preserve"> the barriers </w:t>
      </w:r>
      <w:r>
        <w:t>women</w:t>
      </w:r>
      <w:r w:rsidRPr="008B440E">
        <w:t xml:space="preserve"> often encounter in leadership roles in workplaces and the community.</w:t>
      </w:r>
    </w:p>
    <w:p w14:paraId="7188A05A" w14:textId="761E6C78" w:rsidR="0064038E" w:rsidRPr="008B440E" w:rsidDel="00BD1EDD" w:rsidRDefault="0064038E" w:rsidP="00353D9B">
      <w:pPr>
        <w:pStyle w:val="ARbody"/>
      </w:pPr>
      <w:r w:rsidRPr="008B440E">
        <w:t>The department hosted the annual Victorian Honour Roll of Women</w:t>
      </w:r>
      <w:r w:rsidR="009F3E67">
        <w:t xml:space="preserve"> in October 2024</w:t>
      </w:r>
      <w:r>
        <w:t>. This</w:t>
      </w:r>
      <w:r w:rsidRPr="008B440E">
        <w:t xml:space="preserve"> saw the outstanding contributions of 2</w:t>
      </w:r>
      <w:r>
        <w:t>1</w:t>
      </w:r>
      <w:r w:rsidRPr="008B440E">
        <w:t xml:space="preserve"> Victorian women elevated and celebrated.</w:t>
      </w:r>
    </w:p>
    <w:p w14:paraId="217C9ABA" w14:textId="631B1A0B" w:rsidR="0064038E" w:rsidRDefault="0064038E" w:rsidP="00353D9B">
      <w:pPr>
        <w:pStyle w:val="ARbody"/>
      </w:pPr>
      <w:r w:rsidRPr="008B440E">
        <w:t xml:space="preserve">The department supported </w:t>
      </w:r>
      <w:r>
        <w:t>delivery of</w:t>
      </w:r>
      <w:r w:rsidRPr="008B440E">
        <w:t xml:space="preserve"> </w:t>
      </w:r>
      <w:r>
        <w:t xml:space="preserve">co-designed leadership </w:t>
      </w:r>
      <w:r w:rsidRPr="008B440E">
        <w:t>programs</w:t>
      </w:r>
      <w:r>
        <w:t xml:space="preserve">. This included the </w:t>
      </w:r>
      <w:r w:rsidRPr="008B440E">
        <w:t xml:space="preserve">Women of Colour Executive Leadership </w:t>
      </w:r>
      <w:r>
        <w:t>Program and Elevating Connections Healing Ourselves (</w:t>
      </w:r>
      <w:r w:rsidRPr="008B440E">
        <w:t>ECHO</w:t>
      </w:r>
      <w:r>
        <w:t>)</w:t>
      </w:r>
      <w:r w:rsidRPr="008B440E">
        <w:t xml:space="preserve"> First Nations Women’s Leadership </w:t>
      </w:r>
      <w:r>
        <w:t>Program.</w:t>
      </w:r>
    </w:p>
    <w:p w14:paraId="2E0ECDF6" w14:textId="77777777" w:rsidR="0081761D" w:rsidRDefault="0064038E" w:rsidP="00353D9B">
      <w:pPr>
        <w:pStyle w:val="ARbody"/>
      </w:pPr>
      <w:r w:rsidRPr="00D221C5">
        <w:t>We also</w:t>
      </w:r>
      <w:r>
        <w:t xml:space="preserve"> completed</w:t>
      </w:r>
      <w:r w:rsidRPr="00D221C5">
        <w:t xml:space="preserve"> public engagement for the second round of the Victorian Women’s Public Art Program</w:t>
      </w:r>
      <w:r>
        <w:t xml:space="preserve">. </w:t>
      </w:r>
      <w:r w:rsidR="00AF3F8D">
        <w:t xml:space="preserve">The program </w:t>
      </w:r>
      <w:r w:rsidR="00AF3F8D" w:rsidRPr="00017D80">
        <w:t>aims to address the underrepresentation of women and their achievements through enduring public artworks.</w:t>
      </w:r>
      <w:r w:rsidR="00AF3F8D">
        <w:t xml:space="preserve"> We invited</w:t>
      </w:r>
      <w:r w:rsidR="00AF3F8D" w:rsidRPr="00D221C5">
        <w:t xml:space="preserve"> Victorians to have their say on </w:t>
      </w:r>
      <w:r w:rsidR="00AF3F8D">
        <w:t>13</w:t>
      </w:r>
      <w:r w:rsidR="00E60BCA">
        <w:t> </w:t>
      </w:r>
      <w:r w:rsidR="00AF3F8D" w:rsidRPr="00D221C5">
        <w:t>shortlisted projects</w:t>
      </w:r>
      <w:r w:rsidR="00AF3F8D">
        <w:t xml:space="preserve">. </w:t>
      </w:r>
      <w:r w:rsidR="0081761D">
        <w:br w:type="page"/>
      </w:r>
    </w:p>
    <w:p w14:paraId="44489920" w14:textId="4E7D0AA9" w:rsidR="00C61E26" w:rsidRDefault="00AF3F8D" w:rsidP="00353D9B">
      <w:pPr>
        <w:pStyle w:val="ARbody"/>
      </w:pPr>
      <w:r>
        <w:lastRenderedPageBreak/>
        <w:t xml:space="preserve">This feedback will </w:t>
      </w:r>
      <w:r w:rsidRPr="00D221C5">
        <w:t xml:space="preserve">inform </w:t>
      </w:r>
      <w:r>
        <w:t>6</w:t>
      </w:r>
      <w:r w:rsidR="00E60BCA">
        <w:t> </w:t>
      </w:r>
      <w:r w:rsidRPr="00D221C5">
        <w:t xml:space="preserve">new </w:t>
      </w:r>
      <w:r>
        <w:t>permanent</w:t>
      </w:r>
      <w:r w:rsidRPr="00D221C5">
        <w:t xml:space="preserve"> public artworks to recognise Victorian women who have shaped our state. </w:t>
      </w:r>
      <w:r w:rsidR="0064038E" w:rsidRPr="00D221C5">
        <w:t>The $1.2 million grant program builds on the</w:t>
      </w:r>
      <w:r w:rsidR="008149F0">
        <w:t> </w:t>
      </w:r>
      <w:r w:rsidR="0064038E" w:rsidRPr="00D221C5">
        <w:t xml:space="preserve">success of the </w:t>
      </w:r>
      <w:r w:rsidR="0064038E">
        <w:t>6</w:t>
      </w:r>
      <w:r w:rsidR="0064038E" w:rsidRPr="00D221C5">
        <w:t> artworks unveiled in 2023</w:t>
      </w:r>
      <w:r w:rsidR="0064038E">
        <w:t>.</w:t>
      </w:r>
      <w:r w:rsidR="0064038E" w:rsidRPr="00D221C5">
        <w:t xml:space="preserve"> </w:t>
      </w:r>
      <w:r w:rsidR="0064038E">
        <w:t>It</w:t>
      </w:r>
      <w:r w:rsidR="008149F0">
        <w:t> </w:t>
      </w:r>
      <w:r w:rsidR="0064038E" w:rsidRPr="00D221C5">
        <w:t xml:space="preserve">continues to pay tribute to </w:t>
      </w:r>
      <w:r w:rsidR="0064038E">
        <w:t xml:space="preserve">the </w:t>
      </w:r>
      <w:r w:rsidR="0064038E" w:rsidRPr="00D221C5">
        <w:t>women who made a</w:t>
      </w:r>
      <w:r w:rsidR="008149F0">
        <w:t> </w:t>
      </w:r>
      <w:r w:rsidR="0064038E" w:rsidRPr="00D221C5">
        <w:t>lasting impact on Victoria’s culture, history and development</w:t>
      </w:r>
      <w:r w:rsidR="0064038E">
        <w:t xml:space="preserve"> – with selected sites across metro and</w:t>
      </w:r>
      <w:r w:rsidR="008149F0">
        <w:t> </w:t>
      </w:r>
      <w:r w:rsidR="0064038E">
        <w:t>regional areas</w:t>
      </w:r>
      <w:r w:rsidR="0064038E" w:rsidRPr="00D221C5">
        <w:t>.</w:t>
      </w:r>
    </w:p>
    <w:p w14:paraId="30274C60" w14:textId="77777777" w:rsidR="0064038E" w:rsidRPr="00C61FE8" w:rsidRDefault="0064038E">
      <w:pPr>
        <w:pStyle w:val="Heading5"/>
        <w:rPr>
          <w:rFonts w:eastAsia="MS Mincho"/>
        </w:rPr>
      </w:pPr>
      <w:r w:rsidRPr="00C61FE8">
        <w:rPr>
          <w:rFonts w:eastAsia="MS Mincho"/>
        </w:rPr>
        <w:t xml:space="preserve">Providing a dedicated space for women </w:t>
      </w:r>
      <w:r>
        <w:rPr>
          <w:rFonts w:eastAsia="MS Mincho"/>
        </w:rPr>
        <w:t xml:space="preserve">at </w:t>
      </w:r>
      <w:r w:rsidRPr="00C61FE8">
        <w:rPr>
          <w:rFonts w:eastAsia="MS Mincho"/>
        </w:rPr>
        <w:t>the Queen Victoria Women’s Centre</w:t>
      </w:r>
    </w:p>
    <w:p w14:paraId="6EA9B9FE" w14:textId="77777777" w:rsidR="0064038E" w:rsidRPr="009C0CD9" w:rsidRDefault="0064038E" w:rsidP="00353D9B">
      <w:pPr>
        <w:pStyle w:val="ARbody"/>
      </w:pPr>
      <w:r w:rsidRPr="009C0CD9">
        <w:t>The Queen Victoria Women’s Centre is an iconic venue that promotes gender equality, inclusion and diversity. It delivers cultural and arts activities that bring women together.</w:t>
      </w:r>
      <w:r>
        <w:t xml:space="preserve"> It welcomes approximately 7,000 people annually.</w:t>
      </w:r>
    </w:p>
    <w:p w14:paraId="658B86D7" w14:textId="77777777" w:rsidR="0081761D" w:rsidRDefault="0064038E" w:rsidP="00353D9B">
      <w:pPr>
        <w:pStyle w:val="ARbody"/>
      </w:pPr>
      <w:r w:rsidRPr="009C0CD9">
        <w:t>The Centre also operates a retail space selling products by local women and non-binary artists and designers</w:t>
      </w:r>
      <w:r>
        <w:t xml:space="preserve">. It </w:t>
      </w:r>
      <w:r w:rsidRPr="009C0CD9">
        <w:t>provides venue hire and office space to women’s organisations</w:t>
      </w:r>
      <w:r>
        <w:t xml:space="preserve">, including </w:t>
      </w:r>
      <w:r w:rsidRPr="00FB421B">
        <w:t>CASA House, Council of Single Mothers and their Children and Ovarian Cancer Australia</w:t>
      </w:r>
      <w:r w:rsidRPr="009C0CD9">
        <w:t>.</w:t>
      </w:r>
    </w:p>
    <w:p w14:paraId="44F23863" w14:textId="2270FAEC" w:rsidR="0064038E" w:rsidRDefault="0064038E">
      <w:pPr>
        <w:pStyle w:val="Heading5"/>
        <w:rPr>
          <w:rFonts w:eastAsia="MS Mincho"/>
        </w:rPr>
      </w:pPr>
      <w:r w:rsidRPr="00727B0B">
        <w:rPr>
          <w:rFonts w:eastAsia="MS Mincho"/>
        </w:rPr>
        <w:t xml:space="preserve">Supporting </w:t>
      </w:r>
      <w:r>
        <w:rPr>
          <w:rFonts w:eastAsia="MS Mincho"/>
        </w:rPr>
        <w:t>employment pathways for m</w:t>
      </w:r>
      <w:r w:rsidRPr="00727B0B">
        <w:rPr>
          <w:rFonts w:eastAsia="MS Mincho"/>
        </w:rPr>
        <w:t>igrant</w:t>
      </w:r>
      <w:r>
        <w:rPr>
          <w:rFonts w:eastAsia="MS Mincho"/>
        </w:rPr>
        <w:t>,</w:t>
      </w:r>
      <w:r w:rsidRPr="00727B0B">
        <w:rPr>
          <w:rFonts w:eastAsia="MS Mincho"/>
        </w:rPr>
        <w:t xml:space="preserve"> </w:t>
      </w:r>
      <w:r>
        <w:rPr>
          <w:rFonts w:eastAsia="MS Mincho"/>
        </w:rPr>
        <w:t>r</w:t>
      </w:r>
      <w:r w:rsidRPr="00727B0B">
        <w:rPr>
          <w:rFonts w:eastAsia="MS Mincho"/>
        </w:rPr>
        <w:t xml:space="preserve">efugee </w:t>
      </w:r>
      <w:r>
        <w:rPr>
          <w:rFonts w:eastAsia="MS Mincho"/>
        </w:rPr>
        <w:t>and asylum-seeking</w:t>
      </w:r>
      <w:r w:rsidR="00256293">
        <w:rPr>
          <w:rFonts w:eastAsia="MS Mincho"/>
        </w:rPr>
        <w:t> </w:t>
      </w:r>
      <w:r>
        <w:rPr>
          <w:rFonts w:eastAsia="MS Mincho"/>
        </w:rPr>
        <w:t>w</w:t>
      </w:r>
      <w:r w:rsidRPr="00727B0B">
        <w:rPr>
          <w:rFonts w:eastAsia="MS Mincho"/>
        </w:rPr>
        <w:t xml:space="preserve">omen </w:t>
      </w:r>
    </w:p>
    <w:p w14:paraId="6BC18617" w14:textId="77C615CA" w:rsidR="001568F0" w:rsidRPr="00A66DD6" w:rsidRDefault="001568F0" w:rsidP="001568F0">
      <w:pPr>
        <w:pStyle w:val="ARbody"/>
        <w:rPr>
          <w:specVanish/>
        </w:rPr>
      </w:pPr>
      <w:r>
        <w:t xml:space="preserve">Social enterprise </w:t>
      </w:r>
      <w:proofErr w:type="spellStart"/>
      <w:r w:rsidRPr="00601B68">
        <w:t>SisterWorks</w:t>
      </w:r>
      <w:proofErr w:type="spellEnd"/>
      <w:r w:rsidRPr="00601B68">
        <w:t xml:space="preserve"> received $100,000 in</w:t>
      </w:r>
      <w:r>
        <w:t> </w:t>
      </w:r>
      <w:r w:rsidRPr="00601B68">
        <w:t xml:space="preserve">the </w:t>
      </w:r>
      <w:r w:rsidRPr="00DA434D">
        <w:rPr>
          <w:rStyle w:val="Emphasis"/>
        </w:rPr>
        <w:t>2023–24 State Budget</w:t>
      </w:r>
      <w:r>
        <w:t xml:space="preserve"> </w:t>
      </w:r>
      <w:r w:rsidRPr="00453B77">
        <w:t xml:space="preserve">to </w:t>
      </w:r>
      <w:r>
        <w:t>deliver</w:t>
      </w:r>
      <w:r w:rsidRPr="00453B77">
        <w:t xml:space="preserve"> the </w:t>
      </w:r>
      <w:r w:rsidRPr="00B8500F">
        <w:t xml:space="preserve">Crafted Culture Hospitality </w:t>
      </w:r>
      <w:r w:rsidRPr="00453B77">
        <w:t xml:space="preserve">Employment Pathways </w:t>
      </w:r>
      <w:r w:rsidRPr="00B8500F">
        <w:t>Project</w:t>
      </w:r>
      <w:r>
        <w:t xml:space="preserve">. An additional $100,000 enabled the project to be extended for a year in 2024–25. This project supported 100 women </w:t>
      </w:r>
      <w:r w:rsidRPr="00601B68">
        <w:t xml:space="preserve">to </w:t>
      </w:r>
      <w:r>
        <w:t xml:space="preserve">graduate from the Hospitality Training at the </w:t>
      </w:r>
      <w:proofErr w:type="spellStart"/>
      <w:r w:rsidR="0078360A">
        <w:t>SisterWorks</w:t>
      </w:r>
      <w:proofErr w:type="spellEnd"/>
      <w:r w:rsidR="0078360A">
        <w:t xml:space="preserve"> </w:t>
      </w:r>
      <w:r>
        <w:t>Abbotsford</w:t>
      </w:r>
      <w:r w:rsidR="00B44406">
        <w:t> </w:t>
      </w:r>
      <w:r>
        <w:t xml:space="preserve">Hub. </w:t>
      </w:r>
    </w:p>
    <w:p w14:paraId="7A421CF5" w14:textId="77777777" w:rsidR="001568F0" w:rsidRDefault="001568F0" w:rsidP="001568F0">
      <w:pPr>
        <w:pStyle w:val="ARbody"/>
      </w:pPr>
      <w:r>
        <w:t xml:space="preserve">The Crafted Culture Hospitality Pathways Program </w:t>
      </w:r>
      <w:r w:rsidRPr="00032654">
        <w:t xml:space="preserve">provides </w:t>
      </w:r>
      <w:r>
        <w:t xml:space="preserve">migrant, refugee and asylum-seeking </w:t>
      </w:r>
      <w:r w:rsidRPr="00032654">
        <w:t>women with meaningful job opportunities and hands-on hospitality training</w:t>
      </w:r>
      <w:r>
        <w:t xml:space="preserve">. This helps </w:t>
      </w:r>
      <w:r w:rsidRPr="00032654">
        <w:t>them build brighter futures for themselves and their</w:t>
      </w:r>
      <w:r>
        <w:t> </w:t>
      </w:r>
      <w:r w:rsidRPr="00032654">
        <w:t>families.</w:t>
      </w:r>
    </w:p>
    <w:p w14:paraId="5D82B9F3" w14:textId="2B5579EE" w:rsidR="0064038E" w:rsidRPr="00CB11AC" w:rsidRDefault="0081761D">
      <w:pPr>
        <w:pStyle w:val="Heading5"/>
        <w:rPr>
          <w:rFonts w:eastAsia="MS Mincho"/>
        </w:rPr>
      </w:pPr>
      <w:r>
        <w:br w:type="column"/>
      </w:r>
      <w:bookmarkStart w:id="87" w:name="_Toc173832715"/>
      <w:r w:rsidR="0064038E" w:rsidRPr="00CB11AC">
        <w:rPr>
          <w:rFonts w:eastAsia="MS Mincho"/>
        </w:rPr>
        <w:t>Responding to the Inquiry into Economic Equity for Victorian Women</w:t>
      </w:r>
      <w:bookmarkEnd w:id="87"/>
    </w:p>
    <w:p w14:paraId="7B248DCB" w14:textId="140C84D2" w:rsidR="0064038E" w:rsidRPr="00CB11AC" w:rsidRDefault="0064038E">
      <w:pPr>
        <w:pStyle w:val="ARbody"/>
      </w:pPr>
      <w:r w:rsidRPr="00CB11AC">
        <w:t xml:space="preserve">The department </w:t>
      </w:r>
      <w:r>
        <w:t>invested</w:t>
      </w:r>
      <w:r w:rsidRPr="00CB11AC">
        <w:t xml:space="preserve"> $3 million to </w:t>
      </w:r>
      <w:r>
        <w:t>respond to</w:t>
      </w:r>
      <w:r w:rsidRPr="00CB11AC">
        <w:t xml:space="preserve"> the recommendations of the Inquiry into Economic Equity for Victorian Women.</w:t>
      </w:r>
    </w:p>
    <w:p w14:paraId="4460A1E0" w14:textId="183BD050" w:rsidR="0064038E" w:rsidRPr="00484487" w:rsidRDefault="0064038E">
      <w:pPr>
        <w:pStyle w:val="ARbody"/>
      </w:pPr>
      <w:r>
        <w:t xml:space="preserve">This included </w:t>
      </w:r>
      <w:r w:rsidRPr="00484487">
        <w:t xml:space="preserve">targeted industry strategies for the </w:t>
      </w:r>
      <w:r>
        <w:t xml:space="preserve">manufacturing and energy sectors. These </w:t>
      </w:r>
      <w:r w:rsidRPr="00484487">
        <w:t xml:space="preserve">fast-growing </w:t>
      </w:r>
      <w:r>
        <w:t>sectors are</w:t>
      </w:r>
      <w:r w:rsidRPr="00484487">
        <w:t xml:space="preserve"> historically male</w:t>
      </w:r>
      <w:r>
        <w:t xml:space="preserve"> </w:t>
      </w:r>
      <w:r w:rsidRPr="00484487">
        <w:t>dominated</w:t>
      </w:r>
      <w:r>
        <w:t>.</w:t>
      </w:r>
      <w:r w:rsidRPr="000763F6">
        <w:t xml:space="preserve"> </w:t>
      </w:r>
      <w:r>
        <w:t xml:space="preserve">We launched </w:t>
      </w:r>
      <w:r w:rsidRPr="000763F6">
        <w:rPr>
          <w:rStyle w:val="Emphasis"/>
        </w:rPr>
        <w:t xml:space="preserve">Making it equal: Victoria’s women in manufacturing strategy </w:t>
      </w:r>
      <w:r w:rsidRPr="00484487">
        <w:t xml:space="preserve">in October 2024. </w:t>
      </w:r>
      <w:r w:rsidR="00292A2C" w:rsidRPr="00184407">
        <w:t>Following the launch, we handed over responsibility of the strategy to the Department of Jobs, Skills, Industries and Regions to lead its implementation</w:t>
      </w:r>
      <w:r w:rsidR="00292A2C">
        <w:t xml:space="preserve">. </w:t>
      </w:r>
      <w:r>
        <w:t>We handed over the</w:t>
      </w:r>
      <w:r w:rsidRPr="00484487">
        <w:t xml:space="preserve"> </w:t>
      </w:r>
      <w:r w:rsidRPr="000763F6">
        <w:rPr>
          <w:rStyle w:val="Emphasis"/>
        </w:rPr>
        <w:t xml:space="preserve">Women in energy strategy </w:t>
      </w:r>
      <w:r w:rsidRPr="00484487">
        <w:t>to the Department of Energy, Environment and Climate Action in early 2024</w:t>
      </w:r>
      <w:r>
        <w:t xml:space="preserve">. They will </w:t>
      </w:r>
      <w:r w:rsidRPr="00484487">
        <w:t xml:space="preserve">release </w:t>
      </w:r>
      <w:r>
        <w:t xml:space="preserve">the strategy </w:t>
      </w:r>
      <w:r w:rsidRPr="00484487">
        <w:t>as part of the Vict</w:t>
      </w:r>
      <w:r>
        <w:t>orian</w:t>
      </w:r>
      <w:r w:rsidRPr="00484487">
        <w:t xml:space="preserve"> Energy Jobs</w:t>
      </w:r>
      <w:r w:rsidR="00EB0DCD">
        <w:t> </w:t>
      </w:r>
      <w:r w:rsidRPr="00484487">
        <w:t xml:space="preserve">Plan. </w:t>
      </w:r>
    </w:p>
    <w:p w14:paraId="4A2EF567" w14:textId="74D4E64E" w:rsidR="0064038E" w:rsidRDefault="0064038E">
      <w:pPr>
        <w:pStyle w:val="ARbody"/>
      </w:pPr>
      <w:r w:rsidRPr="00484487">
        <w:t xml:space="preserve">The Women in Energy </w:t>
      </w:r>
      <w:r>
        <w:t xml:space="preserve">and Manufacturing </w:t>
      </w:r>
      <w:r w:rsidRPr="00484487">
        <w:t>Funding Program</w:t>
      </w:r>
      <w:r>
        <w:t xml:space="preserve"> supported the strategies. The program</w:t>
      </w:r>
      <w:r w:rsidRPr="00484487">
        <w:t xml:space="preserve"> </w:t>
      </w:r>
      <w:r>
        <w:t xml:space="preserve">provided more than $2 million in grant funding to deliver industry-led initiatives. These initiatives aimed to </w:t>
      </w:r>
      <w:r w:rsidRPr="00090673">
        <w:t>boost women’s participation and equity in the Victorian energy and manufacturing industries</w:t>
      </w:r>
      <w:r>
        <w:t xml:space="preserve">. Grants focused on </w:t>
      </w:r>
      <w:r w:rsidRPr="00090673">
        <w:t>trade-based and leadership roles</w:t>
      </w:r>
      <w:r>
        <w:t xml:space="preserve"> predominantly occupied by men</w:t>
      </w:r>
      <w:r w:rsidRPr="00090673">
        <w:t>.</w:t>
      </w:r>
      <w:r w:rsidRPr="00484487">
        <w:t xml:space="preserve"> </w:t>
      </w:r>
    </w:p>
    <w:p w14:paraId="068940E5" w14:textId="506E853E" w:rsidR="0064038E" w:rsidRDefault="0064038E">
      <w:pPr>
        <w:pStyle w:val="ARbody"/>
      </w:pPr>
      <w:r w:rsidRPr="00090673">
        <w:t xml:space="preserve">The </w:t>
      </w:r>
      <w:r>
        <w:t>department also</w:t>
      </w:r>
      <w:r w:rsidRPr="00090673">
        <w:t xml:space="preserve"> invested $400,000 over 2</w:t>
      </w:r>
      <w:r>
        <w:t> </w:t>
      </w:r>
      <w:r w:rsidRPr="00090673">
        <w:t xml:space="preserve">years to support </w:t>
      </w:r>
      <w:r>
        <w:t xml:space="preserve">the </w:t>
      </w:r>
      <w:r w:rsidRPr="0064038E">
        <w:rPr>
          <w:rStyle w:val="Emphasis"/>
          <w:i w:val="0"/>
          <w:iCs w:val="0"/>
        </w:rPr>
        <w:t>Sharing Our Expertise</w:t>
      </w:r>
      <w:r w:rsidRPr="000763F6">
        <w:t xml:space="preserve"> </w:t>
      </w:r>
      <w:r w:rsidRPr="00090673">
        <w:t>project</w:t>
      </w:r>
      <w:r>
        <w:t xml:space="preserve">. This was run by </w:t>
      </w:r>
      <w:r w:rsidRPr="00090673">
        <w:t>Women with Disabilities Victoria</w:t>
      </w:r>
      <w:r>
        <w:t>. The project</w:t>
      </w:r>
      <w:r w:rsidRPr="00090673">
        <w:t xml:space="preserve"> work</w:t>
      </w:r>
      <w:r w:rsidR="002A018A">
        <w:t>ed</w:t>
      </w:r>
      <w:r w:rsidRPr="00090673">
        <w:t xml:space="preserve"> with employers in the health, social and disability sectors</w:t>
      </w:r>
      <w:r>
        <w:t>. It aim</w:t>
      </w:r>
      <w:r w:rsidR="00602C40">
        <w:t>ed</w:t>
      </w:r>
      <w:r w:rsidRPr="00090673">
        <w:t xml:space="preserve"> to remove barriers for women with disabilities</w:t>
      </w:r>
      <w:r>
        <w:t xml:space="preserve">. This allows them to pursue </w:t>
      </w:r>
      <w:r w:rsidRPr="00090673">
        <w:t xml:space="preserve">safe, secure and meaningful </w:t>
      </w:r>
      <w:r>
        <w:t>jobs in their field</w:t>
      </w:r>
      <w:r w:rsidRPr="00090673">
        <w:t>.</w:t>
      </w:r>
    </w:p>
    <w:p w14:paraId="5A8B47D0" w14:textId="17036DAC" w:rsidR="0081761D" w:rsidRDefault="0064038E">
      <w:pPr>
        <w:pStyle w:val="ARbody"/>
      </w:pPr>
      <w:r w:rsidRPr="000763F6">
        <w:rPr>
          <w:rStyle w:val="Emphasis"/>
        </w:rPr>
        <w:t xml:space="preserve">Our equal state: Victoria’s gender equality strategy and action plan 2023–2027 </w:t>
      </w:r>
      <w:r>
        <w:t xml:space="preserve">also includes actions that progress recommendations from the inquiry. </w:t>
      </w:r>
      <w:r w:rsidR="0081761D">
        <w:br w:type="page"/>
      </w:r>
    </w:p>
    <w:p w14:paraId="2C4EE05D" w14:textId="77777777" w:rsidR="0064038E" w:rsidRDefault="0064038E">
      <w:pPr>
        <w:pStyle w:val="Heading5"/>
      </w:pPr>
      <w:r w:rsidRPr="002D4416">
        <w:rPr>
          <w:rFonts w:eastAsia="MS Mincho"/>
        </w:rPr>
        <w:lastRenderedPageBreak/>
        <w:t>Supporting women’s health and wellbeing</w:t>
      </w:r>
      <w:r>
        <w:t xml:space="preserve"> </w:t>
      </w:r>
      <w:r w:rsidRPr="00AD0E69">
        <w:rPr>
          <w:rFonts w:eastAsia="MS Mincho"/>
        </w:rPr>
        <w:t>through access to free period products</w:t>
      </w:r>
    </w:p>
    <w:p w14:paraId="6902158B" w14:textId="11722539" w:rsidR="0064038E" w:rsidRDefault="0064038E">
      <w:pPr>
        <w:pStyle w:val="ARbody"/>
      </w:pPr>
      <w:r w:rsidRPr="00F76A9E">
        <w:t xml:space="preserve">The </w:t>
      </w:r>
      <w:r>
        <w:t xml:space="preserve">department is rolling out the Free Pads and Tampons in Public Places program. This $23 million program </w:t>
      </w:r>
      <w:r w:rsidRPr="00F76A9E">
        <w:t>normalise</w:t>
      </w:r>
      <w:r>
        <w:t>s</w:t>
      </w:r>
      <w:r w:rsidRPr="00F76A9E">
        <w:t xml:space="preserve"> menstruatio</w:t>
      </w:r>
      <w:r>
        <w:t>n and</w:t>
      </w:r>
      <w:r w:rsidR="004B682E">
        <w:t> </w:t>
      </w:r>
      <w:r>
        <w:t>eases</w:t>
      </w:r>
      <w:r w:rsidRPr="00F76A9E">
        <w:t xml:space="preserve"> cost-of-living pressures for people who</w:t>
      </w:r>
      <w:r w:rsidR="009870FB">
        <w:t> </w:t>
      </w:r>
      <w:r w:rsidRPr="00F76A9E">
        <w:t>menstruate</w:t>
      </w:r>
      <w:r>
        <w:t>.</w:t>
      </w:r>
    </w:p>
    <w:p w14:paraId="10015376" w14:textId="440DF387" w:rsidR="0064038E" w:rsidRDefault="0064038E">
      <w:pPr>
        <w:pStyle w:val="ARbody"/>
      </w:pPr>
      <w:r>
        <w:t xml:space="preserve">The program includes </w:t>
      </w:r>
      <w:r w:rsidRPr="00736676">
        <w:t>1,500 smart and battery-operated machines in up to 700 venues</w:t>
      </w:r>
      <w:r>
        <w:t xml:space="preserve">. This includes </w:t>
      </w:r>
      <w:r w:rsidRPr="00736676">
        <w:t>libraries, hospitals, TAFEs, staffed train stations and cultural institutions.</w:t>
      </w:r>
    </w:p>
    <w:p w14:paraId="1D8F9074" w14:textId="77777777" w:rsidR="0081761D" w:rsidRDefault="0064038E">
      <w:pPr>
        <w:pStyle w:val="ARbody"/>
      </w:pPr>
      <w:r>
        <w:t xml:space="preserve">The roll-out started in </w:t>
      </w:r>
      <w:r w:rsidRPr="001033DA">
        <w:t>November 2024</w:t>
      </w:r>
      <w:r>
        <w:t xml:space="preserve">. By 30 June 2025, it had installed 313 machines across </w:t>
      </w:r>
      <w:proofErr w:type="gramStart"/>
      <w:r>
        <w:t>Victoria</w:t>
      </w:r>
      <w:r w:rsidR="00D512C9">
        <w:t>, and</w:t>
      </w:r>
      <w:proofErr w:type="gramEnd"/>
      <w:r w:rsidR="00D512C9">
        <w:t xml:space="preserve"> </w:t>
      </w:r>
      <w:r>
        <w:t>provided m</w:t>
      </w:r>
      <w:r w:rsidRPr="001033DA">
        <w:t xml:space="preserve">ore than </w:t>
      </w:r>
      <w:r>
        <w:t>60</w:t>
      </w:r>
      <w:r w:rsidRPr="001033DA">
        <w:t xml:space="preserve">,000 </w:t>
      </w:r>
      <w:r>
        <w:t xml:space="preserve">free </w:t>
      </w:r>
      <w:r w:rsidRPr="001033DA">
        <w:t xml:space="preserve">period products. </w:t>
      </w:r>
      <w:r>
        <w:t>This number will continue to grow a</w:t>
      </w:r>
      <w:r w:rsidRPr="001033DA">
        <w:t xml:space="preserve">s </w:t>
      </w:r>
      <w:r>
        <w:t>the roll-out</w:t>
      </w:r>
      <w:r w:rsidRPr="001033DA">
        <w:t xml:space="preserve"> progresses</w:t>
      </w:r>
      <w:r>
        <w:t>.</w:t>
      </w:r>
    </w:p>
    <w:p w14:paraId="6EB91562" w14:textId="77777777" w:rsidR="0064038E" w:rsidRPr="00150473" w:rsidRDefault="0064038E">
      <w:pPr>
        <w:pStyle w:val="Heading5"/>
      </w:pPr>
      <w:r w:rsidRPr="00150473">
        <w:t xml:space="preserve">Safer workplaces for </w:t>
      </w:r>
      <w:r>
        <w:t>wo</w:t>
      </w:r>
      <w:r w:rsidRPr="00150473">
        <w:t>men</w:t>
      </w:r>
    </w:p>
    <w:p w14:paraId="1A26F55B" w14:textId="77777777" w:rsidR="00662348" w:rsidRDefault="00662348" w:rsidP="00662348">
      <w:pPr>
        <w:pStyle w:val="ARbody"/>
      </w:pPr>
      <w:r>
        <w:t xml:space="preserve">The department’s Safe Workplaces for Women Initiative is </w:t>
      </w:r>
      <w:r w:rsidRPr="00AD0E69">
        <w:t>chang</w:t>
      </w:r>
      <w:r>
        <w:t>ing</w:t>
      </w:r>
      <w:r w:rsidRPr="00AD0E69">
        <w:t xml:space="preserve"> </w:t>
      </w:r>
      <w:r>
        <w:t xml:space="preserve">workplace </w:t>
      </w:r>
      <w:r w:rsidRPr="00AD0E69">
        <w:t>culture and attitudes to women</w:t>
      </w:r>
      <w:r>
        <w:t xml:space="preserve">. It also </w:t>
      </w:r>
      <w:r w:rsidRPr="00DE1A7E">
        <w:t>increa</w:t>
      </w:r>
      <w:r>
        <w:t>ses</w:t>
      </w:r>
      <w:r w:rsidRPr="00DE1A7E">
        <w:t xml:space="preserve"> support available for gendered workplace issues including wage theft, sexual harassment and unfair dismissal</w:t>
      </w:r>
      <w:r>
        <w:t>.</w:t>
      </w:r>
    </w:p>
    <w:p w14:paraId="639F537D" w14:textId="77777777" w:rsidR="00662348" w:rsidRDefault="00662348" w:rsidP="00662348">
      <w:pPr>
        <w:pStyle w:val="ARbody"/>
      </w:pPr>
      <w:r>
        <w:t xml:space="preserve">The initiative is a </w:t>
      </w:r>
      <w:r w:rsidRPr="00A33A3D">
        <w:t xml:space="preserve">partnership </w:t>
      </w:r>
      <w:r>
        <w:t>between</w:t>
      </w:r>
      <w:r w:rsidRPr="00A33A3D">
        <w:t xml:space="preserve"> </w:t>
      </w:r>
      <w:r>
        <w:t xml:space="preserve">organisations representing </w:t>
      </w:r>
      <w:r w:rsidRPr="00A33A3D">
        <w:t>employees and employers through Victorian Trades Hall Council</w:t>
      </w:r>
      <w:r>
        <w:t xml:space="preserve"> and</w:t>
      </w:r>
      <w:r w:rsidRPr="00A33A3D">
        <w:t xml:space="preserve"> the Victorian Chamber of Commerce and </w:t>
      </w:r>
      <w:r>
        <w:t>Industry. It will also enable more women to access in-depth employment law support and advice through</w:t>
      </w:r>
      <w:r w:rsidRPr="00A33A3D">
        <w:t xml:space="preserve"> Working Women’s Centre Victoria</w:t>
      </w:r>
      <w:r>
        <w:t xml:space="preserve"> (WWCV). </w:t>
      </w:r>
    </w:p>
    <w:p w14:paraId="7544CF58" w14:textId="13E96784" w:rsidR="000D273E" w:rsidRDefault="00662348">
      <w:pPr>
        <w:pStyle w:val="ARbody"/>
      </w:pPr>
      <w:r>
        <w:t>Funding through the initiative will support WWCV, which is predominantly funded by the Commonwealth. This will allow the centre to</w:t>
      </w:r>
      <w:r w:rsidRPr="008A532E">
        <w:t xml:space="preserve"> expand </w:t>
      </w:r>
      <w:r>
        <w:t>its</w:t>
      </w:r>
      <w:r w:rsidRPr="008A532E">
        <w:t xml:space="preserve"> </w:t>
      </w:r>
      <w:r>
        <w:t xml:space="preserve">presence in </w:t>
      </w:r>
      <w:r w:rsidRPr="008A532E">
        <w:t xml:space="preserve">rural and regional </w:t>
      </w:r>
      <w:r>
        <w:t>area</w:t>
      </w:r>
      <w:r w:rsidRPr="008A532E">
        <w:t>s</w:t>
      </w:r>
      <w:r>
        <w:t>. This will ensure</w:t>
      </w:r>
      <w:r w:rsidRPr="008A532E">
        <w:t xml:space="preserve"> </w:t>
      </w:r>
      <w:r>
        <w:t xml:space="preserve">access to legal and support services for </w:t>
      </w:r>
      <w:r w:rsidRPr="008A532E">
        <w:t xml:space="preserve">every woman </w:t>
      </w:r>
      <w:r>
        <w:t>in</w:t>
      </w:r>
      <w:r w:rsidRPr="008A532E">
        <w:t xml:space="preserve"> Victoria </w:t>
      </w:r>
      <w:r>
        <w:t>who needs</w:t>
      </w:r>
      <w:r w:rsidR="00EB0DCD">
        <w:t> </w:t>
      </w:r>
      <w:r>
        <w:t>them.</w:t>
      </w:r>
    </w:p>
    <w:p w14:paraId="6BD35A07" w14:textId="0C2A23BA" w:rsidR="0064038E" w:rsidRPr="00FF4844" w:rsidRDefault="0064038E">
      <w:pPr>
        <w:pStyle w:val="Heading5"/>
        <w:rPr>
          <w:rFonts w:eastAsia="MS Mincho"/>
        </w:rPr>
      </w:pPr>
      <w:bookmarkStart w:id="88" w:name="_Toc173832718"/>
      <w:r w:rsidRPr="00FF4844">
        <w:rPr>
          <w:rFonts w:eastAsia="MS Mincho"/>
        </w:rPr>
        <w:t>Championing equality by delivering Victoria’s LGBTIQA+ strategy</w:t>
      </w:r>
      <w:bookmarkEnd w:id="88"/>
    </w:p>
    <w:p w14:paraId="2631B083" w14:textId="636E09FC" w:rsidR="0064038E" w:rsidRPr="00AD31DF" w:rsidRDefault="0064038E">
      <w:pPr>
        <w:pStyle w:val="ARbody"/>
        <w:rPr>
          <w:rStyle w:val="Emphasis"/>
          <w:i w:val="0"/>
          <w:iCs w:val="0"/>
        </w:rPr>
      </w:pPr>
      <w:r w:rsidRPr="00FF4844">
        <w:t xml:space="preserve">The department </w:t>
      </w:r>
      <w:r>
        <w:t>delivers</w:t>
      </w:r>
      <w:r w:rsidRPr="00FF4844">
        <w:t xml:space="preserve"> </w:t>
      </w:r>
      <w:r w:rsidRPr="00FF4844">
        <w:rPr>
          <w:rStyle w:val="Emphasis"/>
        </w:rPr>
        <w:t>Pride in our future: Victoria’s LGBTIQA+ strategy 2022–32.</w:t>
      </w:r>
      <w:r>
        <w:rPr>
          <w:rStyle w:val="Emphasis"/>
        </w:rPr>
        <w:t xml:space="preserve"> </w:t>
      </w:r>
      <w:r w:rsidRPr="00A906A4">
        <w:rPr>
          <w:rStyle w:val="Emphasis"/>
          <w:i w:val="0"/>
          <w:iCs w:val="0"/>
        </w:rPr>
        <w:t xml:space="preserve">This is the Victorian Government’s long-term reform vision for LGBTIQA+ communities. </w:t>
      </w:r>
    </w:p>
    <w:p w14:paraId="5B4D4FB4" w14:textId="6214C83A" w:rsidR="0064038E" w:rsidRPr="00FF4844" w:rsidRDefault="004144E2">
      <w:pPr>
        <w:pStyle w:val="ARbody"/>
      </w:pPr>
      <w:r w:rsidRPr="004144E2">
        <w:t>We work with LGBTIQA+ communities through the Ministerial LGBTIQA+ Taskforce, Justice and Health and Wellbeing Working Groups and the LGBTIQA+ Disability Inclusion Expert Advisory Group. The strategy is overseen by the Interdepartmental Steering Group.</w:t>
      </w:r>
    </w:p>
    <w:p w14:paraId="3FF79C7C" w14:textId="5252468A" w:rsidR="0064038E" w:rsidRDefault="0064038E">
      <w:pPr>
        <w:pStyle w:val="ARbody"/>
      </w:pPr>
      <w:r w:rsidRPr="00FF4844">
        <w:t xml:space="preserve">In the strategy’s </w:t>
      </w:r>
      <w:r w:rsidR="00E805DD">
        <w:t>third</w:t>
      </w:r>
      <w:r w:rsidR="00E805DD" w:rsidRPr="00FF4844">
        <w:t xml:space="preserve"> </w:t>
      </w:r>
      <w:r w:rsidRPr="00FF4844">
        <w:t xml:space="preserve">year of implementation, </w:t>
      </w:r>
      <w:r>
        <w:t>we championed</w:t>
      </w:r>
      <w:r w:rsidRPr="00FF4844">
        <w:t xml:space="preserve"> equitable, inclusive and accessible policy and programs across the government. </w:t>
      </w:r>
      <w:r>
        <w:t xml:space="preserve">We also </w:t>
      </w:r>
      <w:r w:rsidRPr="00FF4844">
        <w:t>worked closely with other departments to address community safety concerns</w:t>
      </w:r>
      <w:r>
        <w:t>. This comes</w:t>
      </w:r>
      <w:r w:rsidRPr="00FF4844">
        <w:t xml:space="preserve"> amid rising</w:t>
      </w:r>
      <w:r>
        <w:t xml:space="preserve"> incidents of</w:t>
      </w:r>
      <w:r w:rsidRPr="00FF4844">
        <w:t xml:space="preserve"> vilification targeting LGBTIQA+ Victorians.</w:t>
      </w:r>
    </w:p>
    <w:p w14:paraId="0153C5B6" w14:textId="77777777" w:rsidR="00D52898" w:rsidRPr="00B979C0" w:rsidRDefault="00D52898" w:rsidP="00B979C0">
      <w:pPr>
        <w:pStyle w:val="Heading5"/>
        <w:rPr>
          <w:rFonts w:eastAsia="MS Mincho"/>
        </w:rPr>
      </w:pPr>
      <w:r w:rsidRPr="00B979C0">
        <w:rPr>
          <w:rFonts w:eastAsia="MS Mincho"/>
        </w:rPr>
        <w:t xml:space="preserve">Driving LGBTIQA+ inclusion in community and health organisations </w:t>
      </w:r>
    </w:p>
    <w:p w14:paraId="05D47E4F" w14:textId="3066AE45" w:rsidR="00D52898" w:rsidRPr="00D52898" w:rsidRDefault="00D52898" w:rsidP="00B979C0">
      <w:pPr>
        <w:pStyle w:val="ARbody"/>
      </w:pPr>
      <w:r w:rsidRPr="00D52898">
        <w:t>The department funds Rainbow Health Australia to</w:t>
      </w:r>
      <w:r w:rsidR="00604001">
        <w:t> </w:t>
      </w:r>
      <w:r w:rsidRPr="00D52898">
        <w:t>support health and community organisations to become safer and more inclusive for LGBTIQA+ people through the Rainbow Tick election</w:t>
      </w:r>
      <w:r w:rsidR="00604001">
        <w:t> </w:t>
      </w:r>
      <w:r w:rsidRPr="00D52898">
        <w:t xml:space="preserve">commitment. </w:t>
      </w:r>
    </w:p>
    <w:p w14:paraId="43FE501A" w14:textId="71B18FCB" w:rsidR="00D52898" w:rsidRPr="00D52898" w:rsidRDefault="00D52898" w:rsidP="00B979C0">
      <w:pPr>
        <w:pStyle w:val="ARbody"/>
      </w:pPr>
      <w:r w:rsidRPr="00D52898">
        <w:t>Rainbow Tick is widely recognised as one of the most meaningful ways to measure and demonstrate LGBTIQ</w:t>
      </w:r>
      <w:r w:rsidR="00196D4E">
        <w:t>A</w:t>
      </w:r>
      <w:r w:rsidRPr="00D52898">
        <w:t>+ inclusion in organisational practices and service delivery.</w:t>
      </w:r>
    </w:p>
    <w:p w14:paraId="69E8D900" w14:textId="71BD7FBA" w:rsidR="00D52898" w:rsidRPr="00FF4844" w:rsidRDefault="00D52898">
      <w:pPr>
        <w:pStyle w:val="ARbody"/>
      </w:pPr>
      <w:r w:rsidRPr="00D52898">
        <w:t xml:space="preserve">In 2024-25, organisations engaged </w:t>
      </w:r>
      <w:r w:rsidR="0098128B">
        <w:t xml:space="preserve">the </w:t>
      </w:r>
      <w:r w:rsidRPr="00D52898">
        <w:t xml:space="preserve">Rainbow Tick accreditation program </w:t>
      </w:r>
      <w:r w:rsidR="002C511D">
        <w:t xml:space="preserve">across </w:t>
      </w:r>
      <w:r w:rsidRPr="00D52898">
        <w:t xml:space="preserve">metropolitan, regional and rural Victoria, including in the regional areas of </w:t>
      </w:r>
      <w:proofErr w:type="spellStart"/>
      <w:r w:rsidRPr="00D52898">
        <w:t>Brimbank</w:t>
      </w:r>
      <w:proofErr w:type="spellEnd"/>
      <w:r w:rsidRPr="00D52898">
        <w:t>, Glenelg, Moira, Hindmarsh and Colac-Otway.</w:t>
      </w:r>
    </w:p>
    <w:p w14:paraId="193B10B3" w14:textId="77777777" w:rsidR="0064038E" w:rsidRPr="0010485B" w:rsidRDefault="0064038E">
      <w:pPr>
        <w:pStyle w:val="Heading5"/>
        <w:rPr>
          <w:rFonts w:eastAsia="MS Mincho"/>
        </w:rPr>
      </w:pPr>
      <w:r w:rsidRPr="0010485B">
        <w:rPr>
          <w:rFonts w:eastAsia="MS Mincho"/>
        </w:rPr>
        <w:t>Supporting older LGBTIQA+ Victorians</w:t>
      </w:r>
    </w:p>
    <w:p w14:paraId="09FC59BB" w14:textId="01734EC9" w:rsidR="0064038E" w:rsidRDefault="0064038E">
      <w:pPr>
        <w:pStyle w:val="ARbody"/>
      </w:pPr>
      <w:r>
        <w:t>The</w:t>
      </w:r>
      <w:r w:rsidRPr="00FF4844">
        <w:t xml:space="preserve"> department </w:t>
      </w:r>
      <w:r>
        <w:t>invested</w:t>
      </w:r>
      <w:r w:rsidRPr="00FF4844">
        <w:t xml:space="preserve"> $4.5 million for Switchboard to deliver the Pride in Ageing program</w:t>
      </w:r>
      <w:r>
        <w:t>. This program</w:t>
      </w:r>
      <w:r w:rsidRPr="00FF4844">
        <w:t xml:space="preserve"> helps older LGBTIQA+ Victorians feel connected, safe and proud to live as their authentic selves. </w:t>
      </w:r>
      <w:r>
        <w:t>The</w:t>
      </w:r>
      <w:r w:rsidRPr="00FF4844">
        <w:t xml:space="preserve"> 4-year initiative is a pilot that will help address the social connection needs of older LGBTIQA+ Victorians</w:t>
      </w:r>
      <w:r>
        <w:t>. It runs</w:t>
      </w:r>
      <w:r w:rsidRPr="00FF4844">
        <w:t xml:space="preserve"> in key </w:t>
      </w:r>
      <w:r w:rsidR="00FC17CD">
        <w:t xml:space="preserve">regional </w:t>
      </w:r>
      <w:r w:rsidRPr="00FF4844">
        <w:t>locations across Victoria</w:t>
      </w:r>
      <w:r>
        <w:t>.</w:t>
      </w:r>
    </w:p>
    <w:p w14:paraId="310AFEFA" w14:textId="4719E28B" w:rsidR="00FA4D5A" w:rsidRDefault="0064038E">
      <w:pPr>
        <w:pStyle w:val="ARbody"/>
      </w:pPr>
      <w:r>
        <w:t>We are also working</w:t>
      </w:r>
      <w:r w:rsidRPr="00FF4844">
        <w:t xml:space="preserve"> with </w:t>
      </w:r>
      <w:r>
        <w:t xml:space="preserve">older </w:t>
      </w:r>
      <w:r w:rsidRPr="00FF4844">
        <w:t>LGBTIQA+ Victorians to co-design tailored supports</w:t>
      </w:r>
      <w:r>
        <w:t xml:space="preserve">. </w:t>
      </w:r>
      <w:r w:rsidRPr="00FF4844">
        <w:t>The program includes peer-led elements to foster increased social connection</w:t>
      </w:r>
      <w:r>
        <w:t>. It also includes</w:t>
      </w:r>
      <w:r w:rsidRPr="00FF4844">
        <w:t xml:space="preserve"> </w:t>
      </w:r>
      <w:r>
        <w:t>improving</w:t>
      </w:r>
      <w:r w:rsidRPr="00FF4844">
        <w:t xml:space="preserve"> inclusion in residential and aged care</w:t>
      </w:r>
      <w:r w:rsidR="00256293">
        <w:t> </w:t>
      </w:r>
      <w:r w:rsidRPr="00FF4844">
        <w:t>settings.</w:t>
      </w:r>
      <w:r w:rsidR="00FA4D5A">
        <w:br w:type="page"/>
      </w:r>
    </w:p>
    <w:p w14:paraId="0DE47E76" w14:textId="14696D7B" w:rsidR="0064038E" w:rsidRPr="00E423FD" w:rsidRDefault="0064038E">
      <w:pPr>
        <w:pStyle w:val="Heading5"/>
        <w:rPr>
          <w:rFonts w:eastAsia="MS Mincho"/>
        </w:rPr>
      </w:pPr>
      <w:bookmarkStart w:id="89" w:name="_Toc173832719"/>
      <w:r w:rsidRPr="00E423FD">
        <w:rPr>
          <w:rFonts w:eastAsia="MS Mincho"/>
        </w:rPr>
        <w:lastRenderedPageBreak/>
        <w:t>Supporting LGBTIQA+ Victorians through</w:t>
      </w:r>
      <w:r w:rsidR="004C2948">
        <w:rPr>
          <w:rFonts w:eastAsia="MS Mincho"/>
        </w:rPr>
        <w:t> </w:t>
      </w:r>
      <w:r w:rsidRPr="00E423FD">
        <w:rPr>
          <w:rFonts w:eastAsia="MS Mincho"/>
        </w:rPr>
        <w:t>grants</w:t>
      </w:r>
      <w:bookmarkEnd w:id="89"/>
    </w:p>
    <w:p w14:paraId="11D42CD7" w14:textId="51E1FD47" w:rsidR="0064038E" w:rsidRPr="00E423FD" w:rsidRDefault="0064038E">
      <w:pPr>
        <w:pStyle w:val="ARbody"/>
      </w:pPr>
      <w:r>
        <w:t xml:space="preserve">The </w:t>
      </w:r>
      <w:r w:rsidRPr="00E423FD">
        <w:t xml:space="preserve">department </w:t>
      </w:r>
      <w:r>
        <w:t>funds 3 competitive grant programs to help</w:t>
      </w:r>
      <w:r w:rsidRPr="00E423FD">
        <w:t xml:space="preserve"> organisations celebrate and empower LGBTIQA+ communities:</w:t>
      </w:r>
    </w:p>
    <w:p w14:paraId="13C901E2" w14:textId="77777777" w:rsidR="0064038E" w:rsidRPr="00E423FD" w:rsidRDefault="0064038E" w:rsidP="00F375A6">
      <w:pPr>
        <w:pStyle w:val="ARbullet1"/>
        <w:numPr>
          <w:ilvl w:val="0"/>
          <w:numId w:val="22"/>
        </w:numPr>
      </w:pPr>
      <w:r w:rsidRPr="00E423FD">
        <w:t>the Pride Events and Festivals Fund</w:t>
      </w:r>
    </w:p>
    <w:p w14:paraId="215A0369" w14:textId="77777777" w:rsidR="0064038E" w:rsidRPr="00E423FD" w:rsidRDefault="0064038E" w:rsidP="00F375A6">
      <w:pPr>
        <w:pStyle w:val="ARbullet1"/>
        <w:numPr>
          <w:ilvl w:val="0"/>
          <w:numId w:val="22"/>
        </w:numPr>
      </w:pPr>
      <w:r w:rsidRPr="00E423FD">
        <w:t>the LGBTIQA+ Organisational Development program</w:t>
      </w:r>
    </w:p>
    <w:p w14:paraId="1541917D" w14:textId="77777777" w:rsidR="0064038E" w:rsidRPr="00E423FD" w:rsidRDefault="0064038E" w:rsidP="00F375A6">
      <w:pPr>
        <w:pStyle w:val="ARbullet1"/>
        <w:numPr>
          <w:ilvl w:val="0"/>
          <w:numId w:val="22"/>
        </w:numPr>
      </w:pPr>
      <w:r w:rsidRPr="00E423FD">
        <w:t>the LGBTIQA+ Sector Strengthening program.</w:t>
      </w:r>
    </w:p>
    <w:p w14:paraId="3F4BC9AF" w14:textId="77777777" w:rsidR="0081761D" w:rsidRDefault="0064038E" w:rsidP="00F85E26">
      <w:pPr>
        <w:pStyle w:val="ARbodyafterbullets"/>
      </w:pPr>
      <w:r w:rsidRPr="00E423FD">
        <w:t xml:space="preserve">In 2024–25, </w:t>
      </w:r>
      <w:r>
        <w:t>these programs</w:t>
      </w:r>
      <w:r w:rsidRPr="00E423FD">
        <w:t xml:space="preserve"> provided $1.6 million to 57 projects.</w:t>
      </w:r>
    </w:p>
    <w:p w14:paraId="682D9CDC" w14:textId="30C783F0" w:rsidR="0064038E" w:rsidRPr="00E423FD" w:rsidRDefault="0064038E" w:rsidP="00F85E26">
      <w:pPr>
        <w:pStyle w:val="ARbodyafterbullets"/>
      </w:pPr>
      <w:r w:rsidRPr="00E423FD">
        <w:t xml:space="preserve">Funded projects include: </w:t>
      </w:r>
    </w:p>
    <w:p w14:paraId="38E7821C" w14:textId="127D36DC" w:rsidR="0064038E" w:rsidRPr="00E423FD" w:rsidRDefault="0064038E" w:rsidP="00F375A6">
      <w:pPr>
        <w:pStyle w:val="ARbullet1"/>
        <w:numPr>
          <w:ilvl w:val="0"/>
          <w:numId w:val="22"/>
        </w:numPr>
      </w:pPr>
      <w:r w:rsidRPr="00E423FD">
        <w:t xml:space="preserve">events that celebrate and strengthen </w:t>
      </w:r>
      <w:r w:rsidR="0081761D">
        <w:br/>
      </w:r>
      <w:r w:rsidRPr="00E423FD">
        <w:t>LGBTIQA+ communities</w:t>
      </w:r>
    </w:p>
    <w:p w14:paraId="24772C03" w14:textId="2C99FF26" w:rsidR="0064038E" w:rsidRPr="00E423FD" w:rsidRDefault="0064038E" w:rsidP="00F375A6">
      <w:pPr>
        <w:pStyle w:val="ARbullet1"/>
        <w:numPr>
          <w:ilvl w:val="0"/>
          <w:numId w:val="22"/>
        </w:numPr>
      </w:pPr>
      <w:r w:rsidRPr="00E423FD">
        <w:t>projects that support LGBTIQA+ groups and organisations to develop their capacity and</w:t>
      </w:r>
      <w:r w:rsidR="00B44406">
        <w:t> </w:t>
      </w:r>
      <w:r w:rsidRPr="00E423FD">
        <w:t>sustainability</w:t>
      </w:r>
    </w:p>
    <w:p w14:paraId="0AE03FA4" w14:textId="77777777" w:rsidR="0064038E" w:rsidRPr="00E423FD" w:rsidRDefault="0064038E" w:rsidP="00F375A6">
      <w:pPr>
        <w:pStyle w:val="ARbullet1"/>
        <w:numPr>
          <w:ilvl w:val="0"/>
          <w:numId w:val="22"/>
        </w:numPr>
      </w:pPr>
      <w:r w:rsidRPr="00E423FD">
        <w:t xml:space="preserve">projects that enable </w:t>
      </w:r>
      <w:r>
        <w:t>critical</w:t>
      </w:r>
      <w:r w:rsidRPr="00E423FD">
        <w:t xml:space="preserve"> support and service delivery for LGBTIQA+ communities.</w:t>
      </w:r>
    </w:p>
    <w:p w14:paraId="57F6342B" w14:textId="77777777" w:rsidR="0064038E" w:rsidRPr="00E423FD" w:rsidRDefault="0064038E">
      <w:pPr>
        <w:pStyle w:val="Heading5"/>
        <w:rPr>
          <w:rFonts w:eastAsia="MS Mincho"/>
        </w:rPr>
      </w:pPr>
      <w:bookmarkStart w:id="90" w:name="_Toc173832720"/>
      <w:r w:rsidRPr="00E423FD">
        <w:rPr>
          <w:rFonts w:eastAsia="MS Mincho"/>
        </w:rPr>
        <w:t>Progressing LGBTIQA+ inclusion in regional and rural communities</w:t>
      </w:r>
      <w:bookmarkEnd w:id="90"/>
    </w:p>
    <w:p w14:paraId="1B3C3B4D" w14:textId="67C813F3" w:rsidR="0064038E" w:rsidRDefault="0064038E">
      <w:pPr>
        <w:pStyle w:val="ARbody"/>
      </w:pPr>
      <w:r>
        <w:t>LGBTIQA+ people in regional and rural areas face</w:t>
      </w:r>
      <w:r w:rsidR="00B44406">
        <w:t> </w:t>
      </w:r>
      <w:r>
        <w:t>unique and compounding barriers to accessing</w:t>
      </w:r>
      <w:r w:rsidR="00B44406">
        <w:t> </w:t>
      </w:r>
      <w:r>
        <w:t>services.</w:t>
      </w:r>
    </w:p>
    <w:p w14:paraId="70BBBF1A" w14:textId="3FB7C27A" w:rsidR="0064038E" w:rsidRDefault="0064038E">
      <w:pPr>
        <w:pStyle w:val="ARbody"/>
      </w:pPr>
      <w:r>
        <w:t>The department’s Equality grant programs prioritise projects and organisations that cater to rural and regional communities.</w:t>
      </w:r>
    </w:p>
    <w:p w14:paraId="6D9F493F" w14:textId="0CDBEA2C" w:rsidR="0064038E" w:rsidRDefault="0064038E">
      <w:pPr>
        <w:pStyle w:val="ARbody"/>
      </w:pPr>
      <w:r>
        <w:t xml:space="preserve">In 2024–25, 25% of projects and organisations funded through the Equality portfolio’s 3 competitive grant programs were based in or directly supported rural and regional communities. This meets the department’s performance measure </w:t>
      </w:r>
      <w:r w:rsidR="00CD6122">
        <w:t xml:space="preserve">target </w:t>
      </w:r>
      <w:r>
        <w:t>of</w:t>
      </w:r>
      <w:r w:rsidR="00256293">
        <w:t> </w:t>
      </w:r>
      <w:r>
        <w:t>25%.</w:t>
      </w:r>
    </w:p>
    <w:p w14:paraId="12C9D905" w14:textId="063FC7EE" w:rsidR="0064038E" w:rsidRDefault="0064038E">
      <w:pPr>
        <w:pStyle w:val="ARbody"/>
      </w:pPr>
      <w:r>
        <w:t>Funded projects included events for regional and rural communities that combat social isolation like festivals, sporting events and social gatherings. It also includes events supporting professionals who work with regional and rural LGBTIQA+ Victorians.</w:t>
      </w:r>
    </w:p>
    <w:p w14:paraId="64975447" w14:textId="1D371F8B" w:rsidR="0064038E" w:rsidRPr="002737CC" w:rsidRDefault="0064038E">
      <w:pPr>
        <w:pStyle w:val="ARbody"/>
        <w:rPr>
          <w:highlight w:val="cyan"/>
        </w:rPr>
      </w:pPr>
      <w:r>
        <w:t>Other funded projects supported regional and rural</w:t>
      </w:r>
      <w:r w:rsidR="00604001">
        <w:t> </w:t>
      </w:r>
      <w:r>
        <w:t>outreach, organisational development and improvements to service delivery.</w:t>
      </w:r>
    </w:p>
    <w:p w14:paraId="1C89223A" w14:textId="77777777" w:rsidR="0064038E" w:rsidRPr="00FF4844" w:rsidRDefault="0064038E">
      <w:pPr>
        <w:pStyle w:val="Heading5"/>
        <w:rPr>
          <w:rFonts w:eastAsia="MS Mincho"/>
        </w:rPr>
      </w:pPr>
      <w:proofErr w:type="spellStart"/>
      <w:r w:rsidRPr="00FF4844">
        <w:rPr>
          <w:rFonts w:eastAsia="MS Mincho"/>
        </w:rPr>
        <w:t>QHubs</w:t>
      </w:r>
      <w:proofErr w:type="spellEnd"/>
      <w:r w:rsidRPr="00FF4844">
        <w:rPr>
          <w:rFonts w:eastAsia="MS Mincho"/>
        </w:rPr>
        <w:t xml:space="preserve">: Creating Safe Spaces for Western Victoria’s LGBTIQA+ young people </w:t>
      </w:r>
    </w:p>
    <w:p w14:paraId="53F2DD44" w14:textId="4B66C9EE" w:rsidR="0064038E" w:rsidRPr="00FF4844" w:rsidRDefault="0064038E">
      <w:pPr>
        <w:pStyle w:val="ARbody"/>
      </w:pPr>
      <w:r w:rsidRPr="00FF4844">
        <w:t>In 2023, the department established a trial of Safe Spaces in Western Victoria</w:t>
      </w:r>
      <w:r>
        <w:t xml:space="preserve">. This </w:t>
      </w:r>
      <w:r w:rsidRPr="00FF4844">
        <w:t xml:space="preserve">place-based </w:t>
      </w:r>
      <w:r>
        <w:t>program</w:t>
      </w:r>
      <w:r w:rsidRPr="00FF4844">
        <w:t xml:space="preserve"> increase</w:t>
      </w:r>
      <w:r>
        <w:t>s</w:t>
      </w:r>
      <w:r w:rsidRPr="00FF4844">
        <w:t xml:space="preserve"> access to mental health support for LGBTIQA+ young people and their families. </w:t>
      </w:r>
      <w:r>
        <w:t>It also fosters social connection.</w:t>
      </w:r>
    </w:p>
    <w:p w14:paraId="271F5D82" w14:textId="3A808DA2" w:rsidR="0064038E" w:rsidRPr="00FF4844" w:rsidRDefault="0064038E">
      <w:pPr>
        <w:pStyle w:val="ARbody"/>
      </w:pPr>
      <w:r w:rsidRPr="00FF4844">
        <w:t>Two sites are in full operation in Ballarat and Geelong</w:t>
      </w:r>
      <w:r>
        <w:t>. They provide</w:t>
      </w:r>
      <w:r w:rsidRPr="00FF4844">
        <w:t xml:space="preserve"> outreach to the Surf Coast area and online. </w:t>
      </w:r>
    </w:p>
    <w:p w14:paraId="0059CA35" w14:textId="77777777" w:rsidR="0081761D" w:rsidRDefault="0064038E">
      <w:pPr>
        <w:pStyle w:val="ARbody"/>
      </w:pPr>
      <w:r>
        <w:t xml:space="preserve">A consortium of </w:t>
      </w:r>
      <w:r w:rsidRPr="00FF4844">
        <w:t>3 community organisations</w:t>
      </w:r>
      <w:r>
        <w:t xml:space="preserve"> delivers the hub. They allow</w:t>
      </w:r>
      <w:r w:rsidRPr="00FF4844">
        <w:t xml:space="preserve"> LGBTIQA+ young people up to the age of 25 </w:t>
      </w:r>
      <w:r>
        <w:t>to</w:t>
      </w:r>
      <w:r w:rsidRPr="00FF4844">
        <w:t xml:space="preserve"> access affirming and inclusive support</w:t>
      </w:r>
      <w:r>
        <w:t xml:space="preserve">. They also promote </w:t>
      </w:r>
      <w:r w:rsidRPr="00FF4844">
        <w:t>connection with peers and older members of the rainbow community.</w:t>
      </w:r>
    </w:p>
    <w:p w14:paraId="0464C779" w14:textId="6BB35746" w:rsidR="0064038E" w:rsidRPr="00E423FD" w:rsidRDefault="0064038E" w:rsidP="0081761D">
      <w:pPr>
        <w:pStyle w:val="Heading5"/>
        <w:rPr>
          <w:rFonts w:eastAsia="MS Mincho"/>
        </w:rPr>
      </w:pPr>
      <w:bookmarkStart w:id="91" w:name="_Toc173832721"/>
      <w:r w:rsidRPr="00E423FD">
        <w:rPr>
          <w:rFonts w:eastAsia="MS Mincho"/>
        </w:rPr>
        <w:t>Victoria’s Pride: a road to pride</w:t>
      </w:r>
      <w:bookmarkEnd w:id="91"/>
    </w:p>
    <w:p w14:paraId="2945206F" w14:textId="54411E6A" w:rsidR="0064038E" w:rsidRPr="00E423FD" w:rsidRDefault="0064038E">
      <w:pPr>
        <w:pStyle w:val="ARbody"/>
      </w:pPr>
      <w:r w:rsidRPr="00E423FD">
        <w:t xml:space="preserve">The Victoria's Pride Street Party and Regional Activation Program continued to drive equality for LGBTIQA+ communities. </w:t>
      </w:r>
      <w:r>
        <w:t>Q</w:t>
      </w:r>
      <w:r w:rsidRPr="00E423FD">
        <w:t xml:space="preserve">ueer arts and cultural organisation </w:t>
      </w:r>
      <w:proofErr w:type="spellStart"/>
      <w:r w:rsidRPr="00E423FD">
        <w:t>Midsumma</w:t>
      </w:r>
      <w:proofErr w:type="spellEnd"/>
      <w:r w:rsidRPr="00E423FD">
        <w:t xml:space="preserve"> delivered the</w:t>
      </w:r>
      <w:r>
        <w:t xml:space="preserve"> Victoria’s Pride</w:t>
      </w:r>
      <w:r w:rsidRPr="00E423FD">
        <w:t xml:space="preserve"> programs for the fourth time in 2024</w:t>
      </w:r>
      <w:r>
        <w:t>–</w:t>
      </w:r>
      <w:r w:rsidRPr="00E423FD">
        <w:t>25.</w:t>
      </w:r>
    </w:p>
    <w:p w14:paraId="5BFA13FF" w14:textId="5737254B" w:rsidR="0064038E" w:rsidRDefault="0064038E">
      <w:pPr>
        <w:pStyle w:val="ARbody"/>
      </w:pPr>
      <w:r w:rsidRPr="00E423FD">
        <w:t xml:space="preserve">The department provided $1.57 million for events across the state. </w:t>
      </w:r>
      <w:r>
        <w:t xml:space="preserve">This included </w:t>
      </w:r>
      <w:r w:rsidRPr="00E423FD">
        <w:t xml:space="preserve">15 regional and rural </w:t>
      </w:r>
      <w:r>
        <w:t>events funded by the Regional Activation Program</w:t>
      </w:r>
      <w:r w:rsidRPr="00E423FD">
        <w:t>.</w:t>
      </w:r>
      <w:r>
        <w:t xml:space="preserve"> </w:t>
      </w:r>
    </w:p>
    <w:p w14:paraId="23DDF707" w14:textId="799E8D7A" w:rsidR="0064038E" w:rsidRPr="00E423FD" w:rsidRDefault="0064038E">
      <w:pPr>
        <w:pStyle w:val="ARbody"/>
      </w:pPr>
      <w:r w:rsidRPr="00E423FD">
        <w:t xml:space="preserve">Victoria’s Pride </w:t>
      </w:r>
      <w:r>
        <w:t>concluded</w:t>
      </w:r>
      <w:r w:rsidRPr="00E423FD">
        <w:t xml:space="preserve"> </w:t>
      </w:r>
      <w:r>
        <w:t>with</w:t>
      </w:r>
      <w:r w:rsidRPr="00E423FD">
        <w:t xml:space="preserve"> the Victoria’s Pride Street Party in Fitzroy on Sunday, 9 February</w:t>
      </w:r>
      <w:r>
        <w:t xml:space="preserve"> 2025</w:t>
      </w:r>
      <w:r w:rsidRPr="00E423FD">
        <w:t>.</w:t>
      </w:r>
    </w:p>
    <w:p w14:paraId="155A95C5" w14:textId="501B6B75" w:rsidR="0064038E" w:rsidRPr="00E423FD" w:rsidRDefault="0064038E">
      <w:pPr>
        <w:pStyle w:val="ARbody"/>
      </w:pPr>
      <w:r w:rsidRPr="00E423FD">
        <w:t>An estimate</w:t>
      </w:r>
      <w:r>
        <w:t xml:space="preserve">d </w:t>
      </w:r>
      <w:r w:rsidRPr="00E423FD">
        <w:t>59,770 people attended the free Street Party</w:t>
      </w:r>
      <w:r>
        <w:t>. This was</w:t>
      </w:r>
      <w:r w:rsidRPr="00E423FD">
        <w:t xml:space="preserve"> a 14% increase in attendance from 2024. Just over 25,000 people attended regional activities held across the state. In</w:t>
      </w:r>
      <w:r w:rsidR="000D273E">
        <w:t> </w:t>
      </w:r>
      <w:r w:rsidRPr="00E423FD">
        <w:t>total, approximately 85,000 people participated in</w:t>
      </w:r>
      <w:r w:rsidR="000D273E">
        <w:t> </w:t>
      </w:r>
      <w:r w:rsidRPr="00E423FD">
        <w:t>Victoria’s Pride in 2024–25.</w:t>
      </w:r>
    </w:p>
    <w:p w14:paraId="4F307251" w14:textId="77777777" w:rsidR="0064038E" w:rsidRPr="00E423FD" w:rsidRDefault="0064038E">
      <w:pPr>
        <w:pStyle w:val="Heading5"/>
        <w:rPr>
          <w:rFonts w:eastAsia="MS Mincho"/>
        </w:rPr>
      </w:pPr>
      <w:bookmarkStart w:id="92" w:name="_Toc173832722"/>
      <w:r w:rsidRPr="00E423FD">
        <w:rPr>
          <w:rFonts w:eastAsia="MS Mincho"/>
        </w:rPr>
        <w:t xml:space="preserve">The Unsaid Says </w:t>
      </w:r>
      <w:proofErr w:type="gramStart"/>
      <w:r>
        <w:rPr>
          <w:rFonts w:eastAsia="MS Mincho"/>
        </w:rPr>
        <w:t>A</w:t>
      </w:r>
      <w:proofErr w:type="gramEnd"/>
      <w:r w:rsidRPr="00E423FD">
        <w:rPr>
          <w:rFonts w:eastAsia="MS Mincho"/>
        </w:rPr>
        <w:t xml:space="preserve"> Lot: Trans and Gender Diverse Awareness Campaign</w:t>
      </w:r>
      <w:bookmarkEnd w:id="92"/>
    </w:p>
    <w:p w14:paraId="109E7FC5" w14:textId="73185D67" w:rsidR="0064038E" w:rsidRDefault="0064038E">
      <w:pPr>
        <w:pStyle w:val="ARbody"/>
      </w:pPr>
      <w:r>
        <w:t xml:space="preserve">The Unsaid Says </w:t>
      </w:r>
      <w:proofErr w:type="gramStart"/>
      <w:r>
        <w:t>A</w:t>
      </w:r>
      <w:proofErr w:type="gramEnd"/>
      <w:r>
        <w:t xml:space="preserve"> Lot campaign took place throughout 2024–25. The campaign was developed by trans and gender diverse community leaders and organisations, and the department. It aimed to</w:t>
      </w:r>
      <w:r w:rsidR="000D273E">
        <w:t> </w:t>
      </w:r>
      <w:r>
        <w:t>raise awareness of non-verbal forms of discrimination that trans and gender diverse people</w:t>
      </w:r>
      <w:r w:rsidR="00657B45">
        <w:t> </w:t>
      </w:r>
      <w:r>
        <w:t>face.</w:t>
      </w:r>
    </w:p>
    <w:p w14:paraId="2B986316" w14:textId="72294C85" w:rsidR="0064038E" w:rsidRDefault="0064038E">
      <w:pPr>
        <w:pStyle w:val="ARbody"/>
      </w:pPr>
      <w:r>
        <w:t>In June 2025, the campaign began a paid advertising component. This included placements in</w:t>
      </w:r>
      <w:r w:rsidR="00037DED">
        <w:t> </w:t>
      </w:r>
      <w:r>
        <w:t>cinemas, on video-on-demand and catch-up TV, on social media and throughout public transport hubs and shopping centres across Victoria. The</w:t>
      </w:r>
      <w:r w:rsidR="00037DED">
        <w:t> </w:t>
      </w:r>
      <w:r>
        <w:t>campaign also expanded into the Australian</w:t>
      </w:r>
      <w:r w:rsidR="00037DED">
        <w:t> </w:t>
      </w:r>
      <w:r>
        <w:t>Capital Territory in mid-June 2025</w:t>
      </w:r>
      <w:r w:rsidR="00BD0C91">
        <w:t xml:space="preserve"> and is expanding into Tasmania in September 202</w:t>
      </w:r>
      <w:r w:rsidR="440308EC">
        <w:t>5</w:t>
      </w:r>
      <w:r>
        <w:t>.</w:t>
      </w:r>
    </w:p>
    <w:p w14:paraId="101E1784" w14:textId="6418C3E1" w:rsidR="0064038E" w:rsidRDefault="0064038E">
      <w:pPr>
        <w:pStyle w:val="ARbody"/>
      </w:pPr>
      <w:r>
        <w:t xml:space="preserve">The campaign is a priority action in Victoria’s whole-of-government LGBTIQA+ strategy, </w:t>
      </w:r>
      <w:r w:rsidRPr="000763F6">
        <w:rPr>
          <w:rStyle w:val="Emphasis"/>
        </w:rPr>
        <w:t>Pride in</w:t>
      </w:r>
      <w:r w:rsidR="00037DED" w:rsidRPr="000763F6">
        <w:rPr>
          <w:rStyle w:val="Emphasis"/>
        </w:rPr>
        <w:t> </w:t>
      </w:r>
      <w:r w:rsidRPr="000763F6">
        <w:rPr>
          <w:rStyle w:val="Emphasis"/>
        </w:rPr>
        <w:t xml:space="preserve">our future: Victoria’s LGBTIQA+ strategy </w:t>
      </w:r>
      <w:r w:rsidR="000763F6">
        <w:rPr>
          <w:rStyle w:val="Emphasis"/>
        </w:rPr>
        <w:br/>
      </w:r>
      <w:r w:rsidRPr="000763F6">
        <w:rPr>
          <w:rStyle w:val="Emphasis"/>
        </w:rPr>
        <w:t>2022–32</w:t>
      </w:r>
      <w:r>
        <w:t>, which promotes inclusion and equality for</w:t>
      </w:r>
      <w:r w:rsidR="00762BC4">
        <w:t> </w:t>
      </w:r>
      <w:r>
        <w:t>all LGBTIQA+ Victorians.</w:t>
      </w:r>
    </w:p>
    <w:p w14:paraId="0D5E246E" w14:textId="77777777" w:rsidR="0040682D" w:rsidRDefault="0040682D">
      <w:pPr>
        <w:rPr>
          <w:rFonts w:ascii="Arial" w:eastAsia="MS Mincho" w:hAnsi="Arial" w:cs="Times New Roman"/>
          <w:b/>
          <w:color w:val="00645F" w:themeColor="text2"/>
          <w:szCs w:val="24"/>
        </w:rPr>
      </w:pPr>
      <w:bookmarkStart w:id="93" w:name="_Toc173832723"/>
      <w:r>
        <w:rPr>
          <w:rFonts w:eastAsia="MS Mincho"/>
        </w:rPr>
        <w:br w:type="page"/>
      </w:r>
    </w:p>
    <w:p w14:paraId="6D78D23B" w14:textId="4649841D" w:rsidR="0064038E" w:rsidRPr="00C60437" w:rsidRDefault="0064038E">
      <w:pPr>
        <w:pStyle w:val="Heading5"/>
        <w:rPr>
          <w:rFonts w:eastAsia="MS Mincho"/>
        </w:rPr>
      </w:pPr>
      <w:r w:rsidRPr="00C60437">
        <w:rPr>
          <w:rFonts w:eastAsia="MS Mincho"/>
        </w:rPr>
        <w:lastRenderedPageBreak/>
        <w:t>Delivering youth infrastructure projects</w:t>
      </w:r>
      <w:bookmarkEnd w:id="93"/>
    </w:p>
    <w:p w14:paraId="4F2612E0" w14:textId="55D613B1" w:rsidR="0064038E" w:rsidRPr="00C60437" w:rsidRDefault="0064038E" w:rsidP="00657B45">
      <w:pPr>
        <w:pStyle w:val="ARbody"/>
        <w:spacing w:line="240" w:lineRule="atLeast"/>
      </w:pPr>
      <w:r w:rsidRPr="00C60437">
        <w:t>The department continue</w:t>
      </w:r>
      <w:r>
        <w:t>d</w:t>
      </w:r>
      <w:r w:rsidRPr="00C60437">
        <w:t xml:space="preserve"> its longstanding partnership with Scouts Victoria, which has been working with young people across the state for </w:t>
      </w:r>
      <w:r>
        <w:t>more than</w:t>
      </w:r>
      <w:r w:rsidRPr="00C60437">
        <w:t xml:space="preserve"> 100 years. </w:t>
      </w:r>
      <w:r>
        <w:t>This</w:t>
      </w:r>
      <w:r w:rsidRPr="00C60437">
        <w:t xml:space="preserve"> collaboration</w:t>
      </w:r>
      <w:r>
        <w:t xml:space="preserve"> has delivered</w:t>
      </w:r>
      <w:r w:rsidRPr="00C60437">
        <w:t xml:space="preserve"> 26 new and upgraded Scout halls </w:t>
      </w:r>
      <w:r>
        <w:t>since 2018.</w:t>
      </w:r>
      <w:r w:rsidRPr="00C60437">
        <w:t xml:space="preserve"> </w:t>
      </w:r>
      <w:r>
        <w:t>A</w:t>
      </w:r>
      <w:r w:rsidRPr="00C60437">
        <w:t xml:space="preserve"> further </w:t>
      </w:r>
      <w:r>
        <w:t>6 will</w:t>
      </w:r>
      <w:r w:rsidRPr="00C60437">
        <w:t xml:space="preserve"> be completed in the coming years.</w:t>
      </w:r>
      <w:r w:rsidRPr="00C60437" w:rsidDel="0067453F">
        <w:t xml:space="preserve"> </w:t>
      </w:r>
      <w:r w:rsidRPr="00C60437">
        <w:t xml:space="preserve">These facilities provide welcoming spaces </w:t>
      </w:r>
      <w:r>
        <w:t>for</w:t>
      </w:r>
      <w:r w:rsidRPr="00C60437">
        <w:t xml:space="preserve"> young people </w:t>
      </w:r>
      <w:r>
        <w:t>to</w:t>
      </w:r>
      <w:r w:rsidRPr="00C60437">
        <w:t xml:space="preserve"> connect, support their mental and physical wellbeing, build friendships and strengthen their ties to community. </w:t>
      </w:r>
    </w:p>
    <w:p w14:paraId="02AEF585" w14:textId="3D7CDF08" w:rsidR="0064038E" w:rsidRPr="007239E0" w:rsidRDefault="0064038E" w:rsidP="00657B45">
      <w:pPr>
        <w:pStyle w:val="ARbody"/>
        <w:spacing w:line="240" w:lineRule="atLeast"/>
      </w:pPr>
      <w:r w:rsidRPr="007239E0">
        <w:t xml:space="preserve">The department </w:t>
      </w:r>
      <w:r>
        <w:t>also</w:t>
      </w:r>
      <w:r w:rsidRPr="007239E0">
        <w:t xml:space="preserve"> partnered with local governments to roll out new or upgraded youth hubs</w:t>
      </w:r>
      <w:r>
        <w:t>. This was an action</w:t>
      </w:r>
      <w:r w:rsidRPr="007239E0">
        <w:t xml:space="preserve"> under </w:t>
      </w:r>
      <w:r w:rsidRPr="007239E0">
        <w:rPr>
          <w:rStyle w:val="Emphasis"/>
        </w:rPr>
        <w:t>Our promise, your future: Victoria’s youth strategy 2022–2027.</w:t>
      </w:r>
      <w:r w:rsidRPr="007239E0">
        <w:t xml:space="preserve"> These hubs </w:t>
      </w:r>
      <w:r>
        <w:t>were</w:t>
      </w:r>
      <w:r w:rsidRPr="007239E0">
        <w:t xml:space="preserve"> co-designed with local young people</w:t>
      </w:r>
      <w:r>
        <w:t>. They</w:t>
      </w:r>
      <w:r w:rsidRPr="007239E0">
        <w:t xml:space="preserve"> will make tailored local services more accessible. </w:t>
      </w:r>
      <w:r>
        <w:t xml:space="preserve">In </w:t>
      </w:r>
      <w:bookmarkStart w:id="94" w:name="_Hlk204950682"/>
      <w:r>
        <w:t>2024–25</w:t>
      </w:r>
      <w:bookmarkEnd w:id="94"/>
      <w:r>
        <w:t xml:space="preserve">, </w:t>
      </w:r>
      <w:r w:rsidRPr="007239E0">
        <w:t xml:space="preserve">hubs </w:t>
      </w:r>
      <w:r>
        <w:t xml:space="preserve">were opened </w:t>
      </w:r>
      <w:r w:rsidRPr="007239E0">
        <w:t>in Nillumbik and Geelong</w:t>
      </w:r>
      <w:r>
        <w:t>.</w:t>
      </w:r>
    </w:p>
    <w:p w14:paraId="0D0D9023" w14:textId="77777777" w:rsidR="0064038E" w:rsidRPr="00C60437" w:rsidRDefault="0064038E">
      <w:pPr>
        <w:pStyle w:val="Heading5"/>
      </w:pPr>
      <w:r w:rsidRPr="00C60437">
        <w:t>Strengthening statewide youth participation and connection</w:t>
      </w:r>
    </w:p>
    <w:p w14:paraId="5C5F579F" w14:textId="4FFD7C75" w:rsidR="0064038E" w:rsidRPr="009A4A6A" w:rsidRDefault="002748B6">
      <w:pPr>
        <w:pStyle w:val="ARbody"/>
      </w:pPr>
      <w:r w:rsidRPr="009A4A6A">
        <w:t xml:space="preserve">The department continued to </w:t>
      </w:r>
      <w:r>
        <w:t>provide</w:t>
      </w:r>
      <w:r w:rsidRPr="009A4A6A">
        <w:t xml:space="preserve"> meaningful opportunities for </w:t>
      </w:r>
      <w:r>
        <w:t>youth participation. This included supporting young people</w:t>
      </w:r>
      <w:r w:rsidRPr="009A4A6A">
        <w:t xml:space="preserve"> to</w:t>
      </w:r>
      <w:r>
        <w:t xml:space="preserve"> be part of</w:t>
      </w:r>
      <w:r w:rsidRPr="009A4A6A">
        <w:t xml:space="preserve"> their community, develop skills and build strong connections</w:t>
      </w:r>
      <w:r>
        <w:t>. It also included</w:t>
      </w:r>
      <w:r w:rsidRPr="009A4A6A">
        <w:t xml:space="preserve"> statewide programs that </w:t>
      </w:r>
      <w:r>
        <w:t>boost</w:t>
      </w:r>
      <w:r w:rsidRPr="009A4A6A">
        <w:t xml:space="preserve"> </w:t>
      </w:r>
      <w:r>
        <w:t>young people’s voices and</w:t>
      </w:r>
      <w:r w:rsidRPr="009A4A6A">
        <w:t xml:space="preserve"> leadership.</w:t>
      </w:r>
      <w:r w:rsidR="0064038E" w:rsidRPr="009A4A6A">
        <w:t xml:space="preserve"> </w:t>
      </w:r>
    </w:p>
    <w:p w14:paraId="50B1557A" w14:textId="142107B2" w:rsidR="0064038E" w:rsidRDefault="0064038E">
      <w:pPr>
        <w:pStyle w:val="ARbody"/>
        <w:rPr>
          <w:rFonts w:eastAsia="Arial"/>
        </w:rPr>
      </w:pPr>
      <w:r w:rsidRPr="009A4A6A">
        <w:rPr>
          <w:rFonts w:eastAsia="Arial"/>
        </w:rPr>
        <w:t>In 2024, the Engage! program supported 100</w:t>
      </w:r>
      <w:r w:rsidR="00037DED">
        <w:rPr>
          <w:rFonts w:eastAsia="Arial"/>
        </w:rPr>
        <w:t> </w:t>
      </w:r>
      <w:r w:rsidRPr="009A4A6A">
        <w:rPr>
          <w:rFonts w:eastAsia="Arial"/>
        </w:rPr>
        <w:t>organisations to co-design and deliver activities</w:t>
      </w:r>
      <w:r w:rsidR="00037DED">
        <w:rPr>
          <w:rFonts w:eastAsia="Arial"/>
        </w:rPr>
        <w:t> </w:t>
      </w:r>
      <w:r w:rsidRPr="009A4A6A">
        <w:rPr>
          <w:rFonts w:eastAsia="Arial"/>
        </w:rPr>
        <w:t>with young people</w:t>
      </w:r>
      <w:r>
        <w:rPr>
          <w:rFonts w:eastAsia="Arial"/>
        </w:rPr>
        <w:t>. This included</w:t>
      </w:r>
      <w:r w:rsidRPr="009A4A6A">
        <w:rPr>
          <w:rFonts w:eastAsia="Arial"/>
        </w:rPr>
        <w:t xml:space="preserve"> mentoring, life skills and leadership development</w:t>
      </w:r>
      <w:r>
        <w:rPr>
          <w:rFonts w:eastAsia="Arial"/>
        </w:rPr>
        <w:t>,</w:t>
      </w:r>
      <w:r w:rsidRPr="009A4A6A">
        <w:rPr>
          <w:rFonts w:eastAsia="Arial"/>
        </w:rPr>
        <w:t xml:space="preserve"> and showcasing creative expression. </w:t>
      </w:r>
    </w:p>
    <w:p w14:paraId="3E291B5D" w14:textId="33B228A1" w:rsidR="0064038E" w:rsidRPr="009A4A6A" w:rsidRDefault="0064038E">
      <w:pPr>
        <w:pStyle w:val="ARbody"/>
        <w:rPr>
          <w:rFonts w:eastAsia="Arial"/>
        </w:rPr>
      </w:pPr>
      <w:r w:rsidRPr="009A4A6A">
        <w:rPr>
          <w:rFonts w:eastAsia="Arial"/>
        </w:rPr>
        <w:t>More than 90,000 young people took part in the program</w:t>
      </w:r>
      <w:r>
        <w:rPr>
          <w:rFonts w:eastAsia="Arial"/>
        </w:rPr>
        <w:t>. They gained</w:t>
      </w:r>
      <w:r w:rsidRPr="009A4A6A">
        <w:rPr>
          <w:rFonts w:eastAsia="Arial"/>
        </w:rPr>
        <w:t xml:space="preserve"> new skills through vocational training workshops, mentoring initiatives, community projects and participation in youth advisory groups. </w:t>
      </w:r>
    </w:p>
    <w:p w14:paraId="4A0B83CB" w14:textId="0A571CA0" w:rsidR="0064038E" w:rsidRDefault="0064038E" w:rsidP="000763F6">
      <w:pPr>
        <w:pStyle w:val="ARbody"/>
      </w:pPr>
      <w:r w:rsidRPr="009A4A6A">
        <w:t xml:space="preserve">The </w:t>
      </w:r>
      <w:proofErr w:type="spellStart"/>
      <w:r w:rsidRPr="009A4A6A">
        <w:t>FReeZA</w:t>
      </w:r>
      <w:proofErr w:type="spellEnd"/>
      <w:r w:rsidRPr="009A4A6A">
        <w:t xml:space="preserve"> program </w:t>
      </w:r>
      <w:r>
        <w:t>(named Amplify from 2025) supported</w:t>
      </w:r>
      <w:r w:rsidRPr="009A4A6A">
        <w:t xml:space="preserve"> 6</w:t>
      </w:r>
      <w:r>
        <w:t>8</w:t>
      </w:r>
      <w:r w:rsidRPr="009A4A6A">
        <w:t xml:space="preserve">0 youth-led music, creative and cultural events. </w:t>
      </w:r>
      <w:r>
        <w:t>Young people planned and delivered t</w:t>
      </w:r>
      <w:r w:rsidRPr="009A4A6A">
        <w:t>hese drug, alcohol and smoke-free</w:t>
      </w:r>
      <w:r>
        <w:t xml:space="preserve"> events in their region. The events provided safe and inclusive spaces to connect, perform and lead. </w:t>
      </w:r>
    </w:p>
    <w:p w14:paraId="36CBE7C0" w14:textId="7982F821" w:rsidR="0064038E" w:rsidRDefault="0064038E" w:rsidP="000763F6">
      <w:pPr>
        <w:pStyle w:val="ARbody"/>
      </w:pPr>
      <w:r>
        <w:t>New funding rounds for Engage! and Amplify commenced in January 2025. Funding until 2027 will continue to support youth-led engagement, leadership and participation opportunities.</w:t>
      </w:r>
    </w:p>
    <w:p w14:paraId="1CF5A7FD" w14:textId="33761E70" w:rsidR="00F2187A" w:rsidRDefault="0064038E" w:rsidP="000763F6">
      <w:pPr>
        <w:pStyle w:val="ARbody"/>
      </w:pPr>
      <w:r w:rsidRPr="004140BF">
        <w:t>Future Ready</w:t>
      </w:r>
      <w:r>
        <w:t xml:space="preserve"> </w:t>
      </w:r>
      <w:r w:rsidRPr="004140BF">
        <w:t>was launched in October 2024 as a</w:t>
      </w:r>
      <w:r w:rsidR="00037DED">
        <w:t> </w:t>
      </w:r>
      <w:r>
        <w:t>new</w:t>
      </w:r>
      <w:r w:rsidRPr="004140BF">
        <w:t xml:space="preserve"> </w:t>
      </w:r>
      <w:r>
        <w:t>2</w:t>
      </w:r>
      <w:r w:rsidRPr="004140BF">
        <w:t>-year program</w:t>
      </w:r>
      <w:r>
        <w:t xml:space="preserve">. It supports priority student cohorts. The program funds </w:t>
      </w:r>
      <w:r w:rsidRPr="008A445C">
        <w:t>government secondary schools, community organisations and social</w:t>
      </w:r>
      <w:r w:rsidR="00F2187A">
        <w:t> </w:t>
      </w:r>
      <w:r w:rsidRPr="008A445C">
        <w:t>enterprises</w:t>
      </w:r>
      <w:r>
        <w:t xml:space="preserve">. </w:t>
      </w:r>
    </w:p>
    <w:p w14:paraId="478684E5" w14:textId="38EDFC52" w:rsidR="0064038E" w:rsidRDefault="0064038E" w:rsidP="000763F6">
      <w:pPr>
        <w:pStyle w:val="ARbody"/>
      </w:pPr>
      <w:r>
        <w:t xml:space="preserve">They deliver </w:t>
      </w:r>
      <w:r w:rsidRPr="0035119D">
        <w:t xml:space="preserve">activities that directly </w:t>
      </w:r>
      <w:r>
        <w:t>connect students</w:t>
      </w:r>
      <w:r w:rsidRPr="0035119D">
        <w:t xml:space="preserve"> to future career pathways</w:t>
      </w:r>
      <w:r>
        <w:t>. They also help</w:t>
      </w:r>
      <w:r w:rsidRPr="0035119D">
        <w:t xml:space="preserve"> </w:t>
      </w:r>
      <w:r>
        <w:t xml:space="preserve">students </w:t>
      </w:r>
      <w:r w:rsidRPr="0035119D">
        <w:t xml:space="preserve">expand </w:t>
      </w:r>
      <w:r>
        <w:t xml:space="preserve">their </w:t>
      </w:r>
      <w:r w:rsidRPr="0035119D">
        <w:t xml:space="preserve">networks to </w:t>
      </w:r>
      <w:r>
        <w:t>support</w:t>
      </w:r>
      <w:r w:rsidRPr="0035119D">
        <w:t xml:space="preserve"> their goals</w:t>
      </w:r>
      <w:r>
        <w:t>. A</w:t>
      </w:r>
      <w:r w:rsidRPr="00C10306">
        <w:t>ctivities include mentoring, accredited training, work placements, community volunteering and leadership opportunities</w:t>
      </w:r>
      <w:r>
        <w:t xml:space="preserve">. </w:t>
      </w:r>
    </w:p>
    <w:p w14:paraId="0EA51E5C" w14:textId="68C57BF9" w:rsidR="0064038E" w:rsidRPr="009A4A6A" w:rsidRDefault="0064038E" w:rsidP="000763F6">
      <w:pPr>
        <w:pStyle w:val="ARbody"/>
      </w:pPr>
      <w:r w:rsidRPr="00103A37">
        <w:t>The Victorian Youth Congress continued to provide advice on issues that matter to young people across the state</w:t>
      </w:r>
      <w:r>
        <w:t>. This included</w:t>
      </w:r>
      <w:r w:rsidRPr="00103A37">
        <w:t xml:space="preserve"> informing the implementation of initiatives under </w:t>
      </w:r>
      <w:r w:rsidRPr="000763F6">
        <w:rPr>
          <w:rStyle w:val="Emphasis"/>
        </w:rPr>
        <w:t>Our promise, your future: Victoria’s youth strategy 2022–2027</w:t>
      </w:r>
      <w:r w:rsidRPr="00103A37">
        <w:t>.</w:t>
      </w:r>
    </w:p>
    <w:p w14:paraId="6F8A68BD" w14:textId="77777777" w:rsidR="0064038E" w:rsidRPr="002905C7" w:rsidRDefault="0064038E">
      <w:pPr>
        <w:pStyle w:val="Heading5"/>
        <w:rPr>
          <w:rFonts w:eastAsia="MS Mincho"/>
        </w:rPr>
      </w:pPr>
      <w:r w:rsidRPr="002905C7">
        <w:rPr>
          <w:rFonts w:eastAsia="MS Mincho"/>
        </w:rPr>
        <w:t>Acknowledging veterans’ service through the Veterans Card – Victoria</w:t>
      </w:r>
    </w:p>
    <w:p w14:paraId="2BE11924" w14:textId="030F486A" w:rsidR="0064038E" w:rsidRDefault="0064038E" w:rsidP="002774B2">
      <w:pPr>
        <w:pStyle w:val="ARbody"/>
      </w:pPr>
      <w:r>
        <w:rPr>
          <w:rFonts w:eastAsia="Arial"/>
          <w:szCs w:val="20"/>
        </w:rPr>
        <w:t xml:space="preserve">In </w:t>
      </w:r>
      <w:r w:rsidRPr="002E18D1">
        <w:rPr>
          <w:rFonts w:eastAsia="Arial"/>
          <w:szCs w:val="20"/>
        </w:rPr>
        <w:t>2024–25</w:t>
      </w:r>
      <w:r>
        <w:rPr>
          <w:rFonts w:eastAsia="Arial"/>
          <w:szCs w:val="20"/>
        </w:rPr>
        <w:t xml:space="preserve">, the </w:t>
      </w:r>
      <w:r w:rsidRPr="002905C7">
        <w:rPr>
          <w:rFonts w:eastAsia="Arial"/>
          <w:szCs w:val="20"/>
        </w:rPr>
        <w:t xml:space="preserve">department </w:t>
      </w:r>
      <w:r>
        <w:rPr>
          <w:rFonts w:eastAsia="Arial"/>
          <w:szCs w:val="20"/>
        </w:rPr>
        <w:t>continued to deliver</w:t>
      </w:r>
      <w:r w:rsidRPr="002905C7">
        <w:rPr>
          <w:rFonts w:eastAsia="Arial"/>
          <w:szCs w:val="20"/>
        </w:rPr>
        <w:t xml:space="preserve"> the</w:t>
      </w:r>
      <w:r w:rsidR="00037DED">
        <w:rPr>
          <w:rFonts w:eastAsia="Arial"/>
          <w:szCs w:val="20"/>
        </w:rPr>
        <w:t> </w:t>
      </w:r>
      <w:r w:rsidRPr="002905C7">
        <w:rPr>
          <w:rFonts w:eastAsia="Arial"/>
          <w:szCs w:val="20"/>
        </w:rPr>
        <w:t>digital Veterans Card – Victoria</w:t>
      </w:r>
      <w:r>
        <w:rPr>
          <w:rFonts w:eastAsia="Arial"/>
          <w:szCs w:val="20"/>
        </w:rPr>
        <w:t>. We did this</w:t>
      </w:r>
      <w:r w:rsidRPr="002905C7">
        <w:rPr>
          <w:rFonts w:eastAsia="Arial"/>
          <w:szCs w:val="20"/>
        </w:rPr>
        <w:t xml:space="preserve"> </w:t>
      </w:r>
      <w:r>
        <w:rPr>
          <w:rFonts w:eastAsia="Arial"/>
          <w:szCs w:val="20"/>
        </w:rPr>
        <w:t>in partnership with Service Victoria.</w:t>
      </w:r>
    </w:p>
    <w:p w14:paraId="758E44EE" w14:textId="0E051267" w:rsidR="0064038E" w:rsidRPr="002905C7" w:rsidRDefault="0064038E" w:rsidP="002774B2">
      <w:pPr>
        <w:pStyle w:val="ARbody"/>
      </w:pPr>
      <w:r w:rsidRPr="002905C7">
        <w:rPr>
          <w:rFonts w:eastAsia="Arial"/>
          <w:szCs w:val="20"/>
        </w:rPr>
        <w:t>The Veterans Card is a groundbreaking Australian first. It acknowledges and thanks our veterans for their service and sacrifice</w:t>
      </w:r>
      <w:r>
        <w:rPr>
          <w:rFonts w:eastAsia="Arial"/>
          <w:szCs w:val="20"/>
        </w:rPr>
        <w:t>.</w:t>
      </w:r>
      <w:r w:rsidRPr="002905C7">
        <w:rPr>
          <w:rFonts w:eastAsia="Arial"/>
          <w:szCs w:val="20"/>
        </w:rPr>
        <w:t xml:space="preserve"> </w:t>
      </w:r>
      <w:r>
        <w:rPr>
          <w:rFonts w:eastAsia="Arial"/>
          <w:szCs w:val="20"/>
        </w:rPr>
        <w:t>It</w:t>
      </w:r>
      <w:r w:rsidRPr="002905C7">
        <w:rPr>
          <w:rFonts w:eastAsia="Arial"/>
          <w:szCs w:val="20"/>
        </w:rPr>
        <w:t xml:space="preserve"> also </w:t>
      </w:r>
      <w:r>
        <w:rPr>
          <w:rFonts w:eastAsia="Arial"/>
          <w:szCs w:val="20"/>
        </w:rPr>
        <w:t>provides</w:t>
      </w:r>
      <w:r w:rsidRPr="002905C7">
        <w:rPr>
          <w:rFonts w:eastAsia="Arial"/>
          <w:szCs w:val="20"/>
        </w:rPr>
        <w:t xml:space="preserve"> a convenient pathway to access veteran-specific savings and services</w:t>
      </w:r>
      <w:r>
        <w:rPr>
          <w:rFonts w:eastAsia="Arial"/>
          <w:szCs w:val="20"/>
        </w:rPr>
        <w:t>. This includes</w:t>
      </w:r>
      <w:r w:rsidRPr="002905C7">
        <w:rPr>
          <w:rFonts w:eastAsia="Arial"/>
          <w:szCs w:val="20"/>
        </w:rPr>
        <w:t xml:space="preserve"> targeted employment programs and supports.</w:t>
      </w:r>
    </w:p>
    <w:p w14:paraId="6DF749E8" w14:textId="77777777" w:rsidR="0064038E" w:rsidRPr="002905C7" w:rsidRDefault="0064038E" w:rsidP="002774B2">
      <w:pPr>
        <w:pStyle w:val="ARbody"/>
      </w:pPr>
      <w:r w:rsidRPr="002905C7">
        <w:rPr>
          <w:rFonts w:eastAsia="Arial"/>
          <w:szCs w:val="20"/>
        </w:rPr>
        <w:t xml:space="preserve">As of 30 June 2025, more than 20,500 Victorian veterans had signed up for </w:t>
      </w:r>
      <w:r>
        <w:rPr>
          <w:rFonts w:eastAsia="Arial"/>
          <w:szCs w:val="20"/>
        </w:rPr>
        <w:t xml:space="preserve">the </w:t>
      </w:r>
      <w:r w:rsidRPr="002905C7">
        <w:rPr>
          <w:rFonts w:eastAsia="Arial"/>
          <w:szCs w:val="20"/>
        </w:rPr>
        <w:t>Veterans Card.</w:t>
      </w:r>
    </w:p>
    <w:p w14:paraId="42DB3567" w14:textId="77777777" w:rsidR="0064038E" w:rsidRPr="002905C7" w:rsidRDefault="0064038E">
      <w:pPr>
        <w:pStyle w:val="Heading5"/>
        <w:rPr>
          <w:rFonts w:eastAsia="MS Mincho"/>
        </w:rPr>
      </w:pPr>
      <w:bookmarkStart w:id="95" w:name="_Toc173832725"/>
      <w:r w:rsidRPr="002905C7">
        <w:rPr>
          <w:rFonts w:eastAsia="MS Mincho"/>
        </w:rPr>
        <w:t>Supporting veterans transition to civilian life through employment and recognition of prior learning</w:t>
      </w:r>
      <w:bookmarkEnd w:id="95"/>
    </w:p>
    <w:p w14:paraId="6E9C8E73" w14:textId="2525222B" w:rsidR="0064038E" w:rsidRPr="002737CC" w:rsidRDefault="0064038E">
      <w:pPr>
        <w:pStyle w:val="ARbody"/>
        <w:rPr>
          <w:highlight w:val="cyan"/>
        </w:rPr>
      </w:pPr>
      <w:r w:rsidRPr="002905C7">
        <w:t xml:space="preserve">Through the Public Sector Veteran Employment Strategy, </w:t>
      </w:r>
      <w:r>
        <w:t>the Victorian public sector employed</w:t>
      </w:r>
      <w:r w:rsidRPr="002905C7">
        <w:t xml:space="preserve"> than 1,8</w:t>
      </w:r>
      <w:r>
        <w:t>6</w:t>
      </w:r>
      <w:r w:rsidRPr="005463F9">
        <w:t>0 veterans between July 2017 and June 202</w:t>
      </w:r>
      <w:r w:rsidR="00671BE8">
        <w:t>5</w:t>
      </w:r>
      <w:r w:rsidRPr="005463F9">
        <w:t xml:space="preserve">. </w:t>
      </w:r>
      <w:r>
        <w:t xml:space="preserve">This exceeds the </w:t>
      </w:r>
      <w:r w:rsidRPr="005463F9">
        <w:t xml:space="preserve">target </w:t>
      </w:r>
      <w:r>
        <w:t xml:space="preserve">of employing 1,800 veterans </w:t>
      </w:r>
      <w:r w:rsidRPr="005463F9">
        <w:t>by June 2025</w:t>
      </w:r>
      <w:r>
        <w:t>. This work is p</w:t>
      </w:r>
      <w:r w:rsidRPr="005463F9">
        <w:t xml:space="preserve">art of Victoria’s commitment to supporting veterans as they transition out of service. The </w:t>
      </w:r>
      <w:r>
        <w:t>s</w:t>
      </w:r>
      <w:r w:rsidRPr="005463F9">
        <w:t xml:space="preserve">trategy </w:t>
      </w:r>
      <w:r w:rsidR="00CD1E72">
        <w:t xml:space="preserve">has been </w:t>
      </w:r>
      <w:r w:rsidRPr="005463F9">
        <w:t xml:space="preserve">extended </w:t>
      </w:r>
      <w:r>
        <w:t xml:space="preserve">to </w:t>
      </w:r>
      <w:r w:rsidRPr="009B679F">
        <w:t>June 2027.</w:t>
      </w:r>
    </w:p>
    <w:p w14:paraId="0711D069" w14:textId="1C9CA444" w:rsidR="0064038E" w:rsidRPr="009B679F" w:rsidRDefault="0064038E">
      <w:pPr>
        <w:pStyle w:val="ARbody"/>
      </w:pPr>
      <w:r w:rsidRPr="009B679F">
        <w:t>The strategy assist</w:t>
      </w:r>
      <w:r>
        <w:t>s</w:t>
      </w:r>
      <w:r w:rsidRPr="009B679F">
        <w:t xml:space="preserve"> veterans with employment</w:t>
      </w:r>
      <w:r>
        <w:t>. It</w:t>
      </w:r>
      <w:r w:rsidR="00037DED">
        <w:t> </w:t>
      </w:r>
      <w:r>
        <w:t xml:space="preserve">provides </w:t>
      </w:r>
      <w:r w:rsidRPr="009B679F">
        <w:t>workshops</w:t>
      </w:r>
      <w:r>
        <w:t xml:space="preserve">. It also includes </w:t>
      </w:r>
      <w:r w:rsidRPr="009B679F">
        <w:t xml:space="preserve">the Veteran Employment Network and </w:t>
      </w:r>
      <w:r w:rsidR="009B1D3D">
        <w:t>m</w:t>
      </w:r>
      <w:r w:rsidRPr="009B679F">
        <w:t>entor program</w:t>
      </w:r>
      <w:r>
        <w:t>. This</w:t>
      </w:r>
      <w:r w:rsidRPr="009B679F">
        <w:t xml:space="preserve"> </w:t>
      </w:r>
      <w:r>
        <w:t>pairs</w:t>
      </w:r>
      <w:r w:rsidRPr="009B679F">
        <w:t xml:space="preserve"> current and former Australian Defence Force members with mentors to help with job applications and career advancement. </w:t>
      </w:r>
    </w:p>
    <w:p w14:paraId="5174FEB8" w14:textId="3579D8A9" w:rsidR="0064038E" w:rsidRDefault="0064038E" w:rsidP="00B879DA">
      <w:pPr>
        <w:pStyle w:val="ARbody"/>
      </w:pPr>
      <w:r w:rsidRPr="009B679F">
        <w:t xml:space="preserve">The department also </w:t>
      </w:r>
      <w:r>
        <w:t>funds</w:t>
      </w:r>
      <w:r w:rsidRPr="009B679F">
        <w:t xml:space="preserve"> a</w:t>
      </w:r>
      <w:r>
        <w:t xml:space="preserve"> pilot program to recognise prior learning for veterans. This is</w:t>
      </w:r>
      <w:r w:rsidRPr="009B679F">
        <w:t xml:space="preserve"> delivered by Wodonga TAFE. </w:t>
      </w:r>
      <w:r>
        <w:t>The program</w:t>
      </w:r>
      <w:r w:rsidRPr="009B679F">
        <w:t xml:space="preserve"> </w:t>
      </w:r>
      <w:r>
        <w:t>helps veterans leverage</w:t>
      </w:r>
      <w:r w:rsidRPr="009B679F">
        <w:t xml:space="preserve"> the skills and knowledge </w:t>
      </w:r>
      <w:r>
        <w:t xml:space="preserve">they </w:t>
      </w:r>
      <w:r w:rsidRPr="009B679F">
        <w:t>gained during military service</w:t>
      </w:r>
      <w:r>
        <w:t xml:space="preserve">. It ensures these skills </w:t>
      </w:r>
      <w:r w:rsidRPr="009B679F">
        <w:t>are reflected in nationally recognised civilian</w:t>
      </w:r>
      <w:r w:rsidR="00037DED">
        <w:t> </w:t>
      </w:r>
      <w:r w:rsidRPr="009B679F">
        <w:t>qualifications</w:t>
      </w:r>
      <w:r>
        <w:t>.</w:t>
      </w:r>
    </w:p>
    <w:p w14:paraId="105CC9FD" w14:textId="77777777" w:rsidR="0064038E" w:rsidRPr="009B679F" w:rsidRDefault="0064038E">
      <w:pPr>
        <w:pStyle w:val="Heading5"/>
        <w:rPr>
          <w:rFonts w:eastAsia="MS Mincho"/>
        </w:rPr>
      </w:pPr>
      <w:bookmarkStart w:id="96" w:name="_Toc173832726"/>
      <w:r w:rsidRPr="009B679F">
        <w:rPr>
          <w:rFonts w:eastAsia="MS Mincho"/>
        </w:rPr>
        <w:lastRenderedPageBreak/>
        <w:t>Delivering grant programs to support veterans’ infrastructure and welfare</w:t>
      </w:r>
      <w:bookmarkEnd w:id="96"/>
    </w:p>
    <w:p w14:paraId="51A3AF46" w14:textId="7B770349" w:rsidR="0064038E" w:rsidRPr="009B679F" w:rsidRDefault="0064038E" w:rsidP="00B879DA">
      <w:pPr>
        <w:pStyle w:val="ARbody"/>
      </w:pPr>
      <w:r w:rsidRPr="009B679F">
        <w:t>The department continued to provide grants to community organisations</w:t>
      </w:r>
      <w:r>
        <w:t>. This included grants</w:t>
      </w:r>
      <w:r w:rsidRPr="009B679F">
        <w:t xml:space="preserve"> for capital works, commemoration and education projects, war memorial restoration and programs that deliver welfare</w:t>
      </w:r>
      <w:r>
        <w:t xml:space="preserve"> and wellbeing</w:t>
      </w:r>
      <w:r w:rsidRPr="009B679F">
        <w:t xml:space="preserve"> support for veterans and </w:t>
      </w:r>
      <w:r w:rsidRPr="00B879DA">
        <w:t>their</w:t>
      </w:r>
      <w:r w:rsidRPr="009B679F">
        <w:t xml:space="preserve"> </w:t>
      </w:r>
      <w:r w:rsidR="006E774C" w:rsidRPr="009B679F">
        <w:t>families. The</w:t>
      </w:r>
      <w:r w:rsidRPr="009B679F">
        <w:t xml:space="preserve"> department delivers funding to the veteran and ex-service community through 4 annual grant programs. In 2024–25, the department allocated $2.6 million across 88 projects:</w:t>
      </w:r>
      <w:r>
        <w:t xml:space="preserve"> These included</w:t>
      </w:r>
    </w:p>
    <w:p w14:paraId="0F87E015" w14:textId="5C45E776" w:rsidR="0064038E" w:rsidRPr="00B879DA" w:rsidRDefault="0064038E" w:rsidP="00B879DA">
      <w:pPr>
        <w:pStyle w:val="ARbullet1"/>
      </w:pPr>
      <w:r w:rsidRPr="009B679F">
        <w:t xml:space="preserve">the Veterans </w:t>
      </w:r>
      <w:r w:rsidRPr="00B879DA">
        <w:t>Capital Works program. This supported 26 organisations to deliver building and facility improvements. It included grants totalling $781,966</w:t>
      </w:r>
    </w:p>
    <w:p w14:paraId="6AAC3C53" w14:textId="77777777" w:rsidR="0064038E" w:rsidRPr="00B879DA" w:rsidRDefault="0064038E" w:rsidP="00B879DA">
      <w:pPr>
        <w:pStyle w:val="ARbullet1"/>
      </w:pPr>
      <w:r w:rsidRPr="00B879DA">
        <w:t>the Anzac Day Proceeds Fund. This contributed $1,019,620 to 18 veteran welfare and wellbeing initiatives</w:t>
      </w:r>
    </w:p>
    <w:p w14:paraId="6C932CEB" w14:textId="693AE61E" w:rsidR="0064038E" w:rsidRPr="00B879DA" w:rsidRDefault="0064038E" w:rsidP="00B879DA">
      <w:pPr>
        <w:pStyle w:val="ARbullet1"/>
      </w:pPr>
      <w:r w:rsidRPr="00B879DA">
        <w:t>Victoria Remembers funded 28 commemorative and educational projects. These totalled more than $487,599</w:t>
      </w:r>
    </w:p>
    <w:p w14:paraId="652F1B5F" w14:textId="77777777" w:rsidR="0064038E" w:rsidRPr="002737CC" w:rsidRDefault="0064038E" w:rsidP="00B879DA">
      <w:pPr>
        <w:pStyle w:val="ARbullet1"/>
      </w:pPr>
      <w:r w:rsidRPr="00B879DA">
        <w:t>the Restoring Community</w:t>
      </w:r>
      <w:r w:rsidRPr="00A9517E">
        <w:t xml:space="preserve"> War Memorials and Avenues of Honour grant program</w:t>
      </w:r>
      <w:r>
        <w:t>. This</w:t>
      </w:r>
      <w:r w:rsidRPr="00A9517E">
        <w:t xml:space="preserve"> allocated $323,403 across 16 projects.</w:t>
      </w:r>
    </w:p>
    <w:p w14:paraId="5B39E9D8" w14:textId="369FE212" w:rsidR="0064038E" w:rsidRPr="006D5302" w:rsidRDefault="0064038E">
      <w:pPr>
        <w:pStyle w:val="Heading5"/>
        <w:rPr>
          <w:rFonts w:eastAsia="MS Mincho"/>
        </w:rPr>
      </w:pPr>
      <w:bookmarkStart w:id="97" w:name="_Toc173832727"/>
      <w:bookmarkStart w:id="98" w:name="_Toc173832728"/>
      <w:r w:rsidRPr="006D5302">
        <w:rPr>
          <w:rFonts w:eastAsia="MS Mincho"/>
        </w:rPr>
        <w:t xml:space="preserve">Encouraging students to learn and appreciate our nation’s Anzac </w:t>
      </w:r>
      <w:r w:rsidR="007F08DF">
        <w:rPr>
          <w:rFonts w:eastAsia="MS Mincho"/>
        </w:rPr>
        <w:t>s</w:t>
      </w:r>
      <w:r w:rsidRPr="006D5302">
        <w:rPr>
          <w:rFonts w:eastAsia="MS Mincho"/>
        </w:rPr>
        <w:t>pirit</w:t>
      </w:r>
      <w:bookmarkEnd w:id="97"/>
    </w:p>
    <w:p w14:paraId="57CCF79B" w14:textId="45301A01" w:rsidR="0064038E" w:rsidRPr="00B879DA" w:rsidRDefault="0064038E" w:rsidP="00B879DA">
      <w:pPr>
        <w:pStyle w:val="ARbody"/>
      </w:pPr>
      <w:r w:rsidRPr="006D5302">
        <w:t xml:space="preserve">The </w:t>
      </w:r>
      <w:r>
        <w:t xml:space="preserve">department delivers the annual </w:t>
      </w:r>
      <w:r w:rsidRPr="006D5302">
        <w:t>Premier’s Spirit</w:t>
      </w:r>
      <w:r w:rsidR="00B879DA">
        <w:t> </w:t>
      </w:r>
      <w:r w:rsidRPr="006D5302">
        <w:t>of Anzac Pri</w:t>
      </w:r>
      <w:r>
        <w:t>z</w:t>
      </w:r>
      <w:r w:rsidRPr="00186C2A">
        <w:t xml:space="preserve">e </w:t>
      </w:r>
      <w:r w:rsidRPr="00B879DA">
        <w:t>competition. This is open to</w:t>
      </w:r>
      <w:r w:rsidR="00B879DA">
        <w:t> </w:t>
      </w:r>
      <w:r w:rsidRPr="00B879DA">
        <w:t>Victorian students enrolled in years 9 to 12.</w:t>
      </w:r>
    </w:p>
    <w:p w14:paraId="6D43E3FA" w14:textId="4056739C" w:rsidR="0064038E" w:rsidRPr="00B879DA" w:rsidDel="00847C6B" w:rsidRDefault="0064038E" w:rsidP="00B879DA">
      <w:pPr>
        <w:pStyle w:val="ARbody"/>
      </w:pPr>
      <w:r w:rsidRPr="00B879DA">
        <w:t xml:space="preserve">The prize gives young Victorians a unique opportunity to experience and learn about Australia’s wartime and peacekeeping history. Recipients receive a fully funded study tour to Türkiye. The tour includes visiting historical sites, </w:t>
      </w:r>
      <w:r w:rsidR="00F7102D" w:rsidRPr="00B879DA">
        <w:t xml:space="preserve">such as </w:t>
      </w:r>
      <w:r w:rsidRPr="00B879DA">
        <w:t>Gallipoli.</w:t>
      </w:r>
    </w:p>
    <w:p w14:paraId="04AD853A" w14:textId="6B2AFA3D" w:rsidR="00A937DD" w:rsidRDefault="0064038E" w:rsidP="00B879DA">
      <w:pPr>
        <w:pStyle w:val="ARbody"/>
      </w:pPr>
      <w:r w:rsidRPr="00B879DA">
        <w:t>The 12 student recipients</w:t>
      </w:r>
      <w:r>
        <w:t xml:space="preserve"> of the </w:t>
      </w:r>
      <w:r w:rsidRPr="00186C2A">
        <w:t xml:space="preserve">2024 </w:t>
      </w:r>
      <w:r>
        <w:t>p</w:t>
      </w:r>
      <w:r w:rsidRPr="00186C2A">
        <w:t xml:space="preserve">rize travelled to Türkiye </w:t>
      </w:r>
      <w:r>
        <w:t xml:space="preserve">in September 2024. The </w:t>
      </w:r>
      <w:r w:rsidRPr="00186C2A">
        <w:t xml:space="preserve">2025 recipients </w:t>
      </w:r>
      <w:r w:rsidR="00681CE9">
        <w:t xml:space="preserve">will travel </w:t>
      </w:r>
      <w:r w:rsidRPr="00186C2A">
        <w:t xml:space="preserve">to Türkiye </w:t>
      </w:r>
      <w:r>
        <w:t>in</w:t>
      </w:r>
      <w:r w:rsidRPr="00186C2A">
        <w:t xml:space="preserve"> September 202</w:t>
      </w:r>
      <w:r>
        <w:t>5</w:t>
      </w:r>
      <w:r w:rsidRPr="00186C2A">
        <w:t>.</w:t>
      </w:r>
    </w:p>
    <w:p w14:paraId="3BD23D51" w14:textId="5EAF4316" w:rsidR="0064038E" w:rsidRPr="003D5D33" w:rsidRDefault="0081761D">
      <w:pPr>
        <w:pStyle w:val="Heading5"/>
        <w:rPr>
          <w:rFonts w:eastAsia="Times"/>
        </w:rPr>
      </w:pPr>
      <w:r>
        <w:br w:type="column"/>
      </w:r>
      <w:r w:rsidR="0064038E" w:rsidRPr="003D5D33">
        <w:rPr>
          <w:rFonts w:eastAsia="MS Mincho"/>
        </w:rPr>
        <w:t>Royal Commission into Defence and Veteran Suicide</w:t>
      </w:r>
      <w:bookmarkEnd w:id="98"/>
    </w:p>
    <w:p w14:paraId="0B870FB7" w14:textId="32A3A78D" w:rsidR="0064038E" w:rsidRPr="00BF6205" w:rsidRDefault="0064038E" w:rsidP="00037DED">
      <w:pPr>
        <w:pStyle w:val="ARbody"/>
        <w:spacing w:line="250" w:lineRule="atLeast"/>
        <w:rPr>
          <w:rFonts w:eastAsia="Arial"/>
        </w:rPr>
      </w:pPr>
      <w:r w:rsidRPr="003D5D33">
        <w:rPr>
          <w:rFonts w:eastAsia="Arial"/>
        </w:rPr>
        <w:t>The Royal Commission into Defence and Veteran Suicide was established in July 2021</w:t>
      </w:r>
      <w:r>
        <w:rPr>
          <w:rFonts w:eastAsia="Arial"/>
        </w:rPr>
        <w:t xml:space="preserve">. </w:t>
      </w:r>
      <w:r w:rsidRPr="003D5D33">
        <w:rPr>
          <w:rFonts w:eastAsia="Arial"/>
        </w:rPr>
        <w:t>Victoria’s Letters Patent were gazetted in December 2021. The Victorian Government responded to more than</w:t>
      </w:r>
      <w:r w:rsidR="00037DED">
        <w:rPr>
          <w:rFonts w:eastAsia="Arial"/>
        </w:rPr>
        <w:t> </w:t>
      </w:r>
      <w:r w:rsidRPr="003D5D33">
        <w:rPr>
          <w:rFonts w:eastAsia="Arial"/>
        </w:rPr>
        <w:t>30 compulsory notices during the Royal</w:t>
      </w:r>
      <w:r w:rsidR="00037DED">
        <w:rPr>
          <w:rFonts w:eastAsia="Arial"/>
        </w:rPr>
        <w:t> </w:t>
      </w:r>
      <w:r w:rsidRPr="003D5D33">
        <w:rPr>
          <w:rFonts w:eastAsia="Arial"/>
        </w:rPr>
        <w:t>Commission.</w:t>
      </w:r>
    </w:p>
    <w:p w14:paraId="5772974D" w14:textId="4DC2E23B" w:rsidR="0064038E" w:rsidRPr="00BF6205" w:rsidRDefault="0064038E" w:rsidP="00037DED">
      <w:pPr>
        <w:pStyle w:val="ARbody"/>
        <w:spacing w:line="250" w:lineRule="atLeast"/>
        <w:rPr>
          <w:rFonts w:eastAsia="Arial"/>
        </w:rPr>
      </w:pPr>
      <w:r w:rsidRPr="00BF6205">
        <w:rPr>
          <w:rFonts w:eastAsia="Arial"/>
        </w:rPr>
        <w:t>The department also coordinated a whole</w:t>
      </w:r>
      <w:r>
        <w:rPr>
          <w:rFonts w:eastAsia="Arial"/>
        </w:rPr>
        <w:t>-</w:t>
      </w:r>
      <w:r w:rsidRPr="00BF6205">
        <w:rPr>
          <w:rFonts w:eastAsia="Arial"/>
        </w:rPr>
        <w:t>of</w:t>
      </w:r>
      <w:r>
        <w:rPr>
          <w:rFonts w:eastAsia="Arial"/>
        </w:rPr>
        <w:t>-</w:t>
      </w:r>
      <w:r w:rsidRPr="00BF6205">
        <w:rPr>
          <w:rFonts w:eastAsia="Arial"/>
        </w:rPr>
        <w:t>government submission</w:t>
      </w:r>
      <w:r>
        <w:rPr>
          <w:rFonts w:eastAsia="Arial"/>
        </w:rPr>
        <w:t xml:space="preserve">. We </w:t>
      </w:r>
      <w:r w:rsidRPr="00BF6205">
        <w:rPr>
          <w:rFonts w:eastAsia="Arial"/>
        </w:rPr>
        <w:t>supported the Premier of Victoria and a senior departmental executive to provide evidence</w:t>
      </w:r>
      <w:r>
        <w:rPr>
          <w:rFonts w:eastAsia="Arial"/>
        </w:rPr>
        <w:t xml:space="preserve">. We also </w:t>
      </w:r>
      <w:r w:rsidRPr="00BF6205">
        <w:rPr>
          <w:rFonts w:eastAsia="Arial"/>
        </w:rPr>
        <w:t xml:space="preserve">supplied feedback on propositions that informed the Royal Commission’s final recommendations. </w:t>
      </w:r>
    </w:p>
    <w:p w14:paraId="62234B2C" w14:textId="0C1FA570" w:rsidR="0064038E" w:rsidRDefault="0064038E" w:rsidP="00037DED">
      <w:pPr>
        <w:pStyle w:val="ARbody"/>
        <w:spacing w:line="250" w:lineRule="atLeast"/>
        <w:rPr>
          <w:rFonts w:eastAsia="Arial"/>
          <w:szCs w:val="20"/>
        </w:rPr>
      </w:pPr>
      <w:r w:rsidRPr="00A91BCB">
        <w:rPr>
          <w:rFonts w:eastAsia="Arial"/>
          <w:szCs w:val="20"/>
        </w:rPr>
        <w:t>The Royal Commission delivered its final report on 9 September 2024</w:t>
      </w:r>
      <w:r>
        <w:rPr>
          <w:rFonts w:eastAsia="Arial"/>
          <w:szCs w:val="20"/>
        </w:rPr>
        <w:t>. T</w:t>
      </w:r>
      <w:r w:rsidRPr="00A91BCB">
        <w:rPr>
          <w:rFonts w:eastAsia="Arial"/>
          <w:szCs w:val="20"/>
        </w:rPr>
        <w:t xml:space="preserve">he Commonwealth </w:t>
      </w:r>
      <w:r>
        <w:rPr>
          <w:rFonts w:eastAsia="Arial"/>
          <w:szCs w:val="20"/>
        </w:rPr>
        <w:t>released</w:t>
      </w:r>
      <w:r w:rsidRPr="00A91BCB">
        <w:rPr>
          <w:rFonts w:eastAsia="Arial"/>
          <w:szCs w:val="20"/>
        </w:rPr>
        <w:t xml:space="preserve"> its response on 2 December 2024. The </w:t>
      </w:r>
      <w:r>
        <w:rPr>
          <w:rFonts w:eastAsia="Arial"/>
          <w:szCs w:val="20"/>
        </w:rPr>
        <w:t>department</w:t>
      </w:r>
      <w:r w:rsidRPr="00A91BCB">
        <w:rPr>
          <w:rFonts w:eastAsia="Arial"/>
          <w:szCs w:val="20"/>
        </w:rPr>
        <w:t xml:space="preserve"> is </w:t>
      </w:r>
      <w:r>
        <w:rPr>
          <w:rFonts w:eastAsia="Arial"/>
          <w:szCs w:val="20"/>
        </w:rPr>
        <w:t>working</w:t>
      </w:r>
      <w:r w:rsidRPr="00A91BCB">
        <w:rPr>
          <w:rFonts w:eastAsia="Arial"/>
          <w:szCs w:val="20"/>
        </w:rPr>
        <w:t xml:space="preserve"> with the Commonwealth and other states and territories </w:t>
      </w:r>
      <w:r>
        <w:rPr>
          <w:rFonts w:eastAsia="Arial"/>
          <w:szCs w:val="20"/>
        </w:rPr>
        <w:t>on how to improve outcomes for</w:t>
      </w:r>
      <w:r w:rsidRPr="00A91BCB">
        <w:rPr>
          <w:rFonts w:eastAsia="Arial"/>
          <w:szCs w:val="20"/>
        </w:rPr>
        <w:t xml:space="preserve"> Victoria’s veterans</w:t>
      </w:r>
      <w:r>
        <w:rPr>
          <w:rFonts w:eastAsia="Arial"/>
          <w:szCs w:val="20"/>
        </w:rPr>
        <w:t>.</w:t>
      </w:r>
    </w:p>
    <w:p w14:paraId="611A6541" w14:textId="77777777" w:rsidR="00A937DD" w:rsidRDefault="00A937DD">
      <w:pPr>
        <w:pStyle w:val="Heading3"/>
        <w:sectPr w:rsidR="00A937DD" w:rsidSect="007F43B1">
          <w:endnotePr>
            <w:numFmt w:val="decimal"/>
          </w:endnotePr>
          <w:type w:val="continuous"/>
          <w:pgSz w:w="11900" w:h="16840" w:code="9"/>
          <w:pgMar w:top="1588" w:right="1134" w:bottom="851" w:left="1134" w:header="510" w:footer="340" w:gutter="0"/>
          <w:cols w:num="2" w:space="448"/>
        </w:sectPr>
      </w:pPr>
    </w:p>
    <w:p w14:paraId="7510D622" w14:textId="77777777" w:rsidR="0064038E" w:rsidRPr="00237727" w:rsidRDefault="0064038E" w:rsidP="00BA07C6">
      <w:pPr>
        <w:pStyle w:val="Heading3"/>
        <w:spacing w:before="0"/>
      </w:pPr>
      <w:r w:rsidRPr="00237727">
        <w:lastRenderedPageBreak/>
        <w:t>Objective: All Victorians have stable, affordable and appropriate housing</w:t>
      </w:r>
    </w:p>
    <w:p w14:paraId="21F3CF10" w14:textId="4390E9B1" w:rsidR="0064038E" w:rsidRPr="00237727" w:rsidRDefault="0064038E">
      <w:pPr>
        <w:pStyle w:val="ARbody"/>
      </w:pPr>
      <w:r w:rsidRPr="00237727">
        <w:t>This objective aims to ensure Victorians have safe homes that provide emotional and physical sanctuary. We want Victorians have security of tenure in</w:t>
      </w:r>
      <w:r>
        <w:t xml:space="preserve"> suitable</w:t>
      </w:r>
      <w:r w:rsidRPr="00237727">
        <w:t xml:space="preserve"> housing</w:t>
      </w:r>
      <w:r>
        <w:t xml:space="preserve">. This includes </w:t>
      </w:r>
      <w:r w:rsidRPr="00237727">
        <w:t>housing that is accessible, high</w:t>
      </w:r>
      <w:r w:rsidR="00762BC4">
        <w:t> </w:t>
      </w:r>
      <w:r w:rsidRPr="00237727">
        <w:t>quality, affordable and tailored to them. This outcome includes supports to address and reduce housing insecurity and homelessness, to enable suitable housing for all.</w:t>
      </w:r>
    </w:p>
    <w:p w14:paraId="215B6444" w14:textId="77777777" w:rsidR="0064038E" w:rsidRPr="00237727" w:rsidRDefault="0064038E">
      <w:pPr>
        <w:pStyle w:val="Heading4"/>
      </w:pPr>
      <w:r w:rsidRPr="00237727">
        <w:t>Indicator results</w:t>
      </w:r>
    </w:p>
    <w:tbl>
      <w:tblPr>
        <w:tblStyle w:val="TableGrid"/>
        <w:tblW w:w="4999" w:type="pct"/>
        <w:tblLook w:val="01E0" w:firstRow="1" w:lastRow="1" w:firstColumn="1" w:lastColumn="1" w:noHBand="0" w:noVBand="0"/>
      </w:tblPr>
      <w:tblGrid>
        <w:gridCol w:w="6231"/>
        <w:gridCol w:w="1133"/>
        <w:gridCol w:w="1133"/>
        <w:gridCol w:w="1133"/>
      </w:tblGrid>
      <w:tr w:rsidR="00F33C72" w:rsidRPr="00237727" w14:paraId="6F078F92" w14:textId="77777777" w:rsidTr="00F97037">
        <w:trPr>
          <w:cnfStyle w:val="100000000000" w:firstRow="1" w:lastRow="0" w:firstColumn="0" w:lastColumn="0" w:oddVBand="0" w:evenVBand="0" w:oddHBand="0" w:evenHBand="0" w:firstRowFirstColumn="0" w:firstRowLastColumn="0" w:lastRowFirstColumn="0" w:lastRowLastColumn="0"/>
          <w:tblHeader/>
        </w:trPr>
        <w:tc>
          <w:tcPr>
            <w:tcW w:w="6231" w:type="dxa"/>
          </w:tcPr>
          <w:p w14:paraId="4A225B2C" w14:textId="77777777" w:rsidR="0064038E" w:rsidRPr="00237727" w:rsidRDefault="0064038E">
            <w:pPr>
              <w:pStyle w:val="ARtablecolhead"/>
            </w:pPr>
          </w:p>
        </w:tc>
        <w:tc>
          <w:tcPr>
            <w:cnfStyle w:val="000001000000" w:firstRow="0" w:lastRow="0" w:firstColumn="0" w:lastColumn="0" w:oddVBand="0" w:evenVBand="1" w:oddHBand="0" w:evenHBand="0" w:firstRowFirstColumn="0" w:firstRowLastColumn="0" w:lastRowFirstColumn="0" w:lastRowLastColumn="0"/>
            <w:tcW w:w="1133" w:type="dxa"/>
          </w:tcPr>
          <w:p w14:paraId="231071FD" w14:textId="77777777" w:rsidR="0064038E" w:rsidRPr="00237727" w:rsidRDefault="0064038E">
            <w:pPr>
              <w:pStyle w:val="ARtablecolheadright"/>
            </w:pPr>
            <w:r w:rsidRPr="00237727">
              <w:t>2022–23</w:t>
            </w:r>
          </w:p>
        </w:tc>
        <w:tc>
          <w:tcPr>
            <w:tcW w:w="1133" w:type="dxa"/>
          </w:tcPr>
          <w:p w14:paraId="48F1C9EE" w14:textId="77777777" w:rsidR="0064038E" w:rsidRPr="00237727" w:rsidRDefault="0064038E">
            <w:pPr>
              <w:pStyle w:val="ARtablecolheadright"/>
              <w:cnfStyle w:val="100000000000" w:firstRow="1" w:lastRow="0" w:firstColumn="0" w:lastColumn="0" w:oddVBand="0" w:evenVBand="0" w:oddHBand="0" w:evenHBand="0" w:firstRowFirstColumn="0" w:firstRowLastColumn="0" w:lastRowFirstColumn="0" w:lastRowLastColumn="0"/>
            </w:pPr>
            <w:r w:rsidRPr="00237727">
              <w:t>2023–24</w:t>
            </w:r>
          </w:p>
        </w:tc>
        <w:tc>
          <w:tcPr>
            <w:cnfStyle w:val="000001000000" w:firstRow="0" w:lastRow="0" w:firstColumn="0" w:lastColumn="0" w:oddVBand="0" w:evenVBand="1" w:oddHBand="0" w:evenHBand="0" w:firstRowFirstColumn="0" w:firstRowLastColumn="0" w:lastRowFirstColumn="0" w:lastRowLastColumn="0"/>
            <w:tcW w:w="1133" w:type="dxa"/>
          </w:tcPr>
          <w:p w14:paraId="7EDC9330" w14:textId="51D4F630" w:rsidR="0064038E" w:rsidRPr="00237727" w:rsidRDefault="0064038E">
            <w:pPr>
              <w:pStyle w:val="ARtablecolheadright"/>
            </w:pPr>
            <w:r w:rsidRPr="00237727">
              <w:t>2024</w:t>
            </w:r>
            <w:r>
              <w:t>–</w:t>
            </w:r>
            <w:r w:rsidRPr="00237727">
              <w:t>25</w:t>
            </w:r>
          </w:p>
        </w:tc>
      </w:tr>
      <w:tr w:rsidR="006D70CE" w:rsidRPr="00237727" w14:paraId="772D1417" w14:textId="77777777" w:rsidTr="0007157A">
        <w:tc>
          <w:tcPr>
            <w:tcW w:w="6231" w:type="dxa"/>
            <w:hideMark/>
          </w:tcPr>
          <w:p w14:paraId="101BCD0D" w14:textId="77777777" w:rsidR="0064038E" w:rsidRPr="00237727" w:rsidRDefault="0064038E">
            <w:pPr>
              <w:pStyle w:val="ARtabletext"/>
            </w:pPr>
            <w:r w:rsidRPr="00237727">
              <w:t>Number of clients assisted to address and prevent homelessness</w:t>
            </w:r>
          </w:p>
        </w:tc>
        <w:tc>
          <w:tcPr>
            <w:cnfStyle w:val="000001000000" w:firstRow="0" w:lastRow="0" w:firstColumn="0" w:lastColumn="0" w:oddVBand="0" w:evenVBand="1" w:oddHBand="0" w:evenHBand="0" w:firstRowFirstColumn="0" w:firstRowLastColumn="0" w:lastRowFirstColumn="0" w:lastRowLastColumn="0"/>
            <w:tcW w:w="1133" w:type="dxa"/>
          </w:tcPr>
          <w:p w14:paraId="15962CB0" w14:textId="77777777" w:rsidR="0064038E" w:rsidRPr="00237727" w:rsidRDefault="0064038E">
            <w:pPr>
              <w:pStyle w:val="ARtabletextright"/>
            </w:pPr>
            <w:r w:rsidRPr="00237727">
              <w:t>98,333</w:t>
            </w:r>
          </w:p>
        </w:tc>
        <w:tc>
          <w:tcPr>
            <w:tcW w:w="1133" w:type="dxa"/>
          </w:tcPr>
          <w:p w14:paraId="3D3D21EC" w14:textId="77777777" w:rsidR="0064038E" w:rsidRPr="00237727" w:rsidRDefault="0064038E">
            <w:pPr>
              <w:pStyle w:val="ARtabletextright"/>
              <w:cnfStyle w:val="000000000000" w:firstRow="0" w:lastRow="0" w:firstColumn="0" w:lastColumn="0" w:oddVBand="0" w:evenVBand="0" w:oddHBand="0" w:evenHBand="0" w:firstRowFirstColumn="0" w:firstRowLastColumn="0" w:lastRowFirstColumn="0" w:lastRowLastColumn="0"/>
            </w:pPr>
            <w:r w:rsidRPr="00237727">
              <w:t>101,804</w:t>
            </w:r>
          </w:p>
        </w:tc>
        <w:tc>
          <w:tcPr>
            <w:cnfStyle w:val="000001000000" w:firstRow="0" w:lastRow="0" w:firstColumn="0" w:lastColumn="0" w:oddVBand="0" w:evenVBand="1" w:oddHBand="0" w:evenHBand="0" w:firstRowFirstColumn="0" w:firstRowLastColumn="0" w:lastRowFirstColumn="0" w:lastRowLastColumn="0"/>
            <w:tcW w:w="1133" w:type="dxa"/>
          </w:tcPr>
          <w:p w14:paraId="6D4B273C" w14:textId="14CDC684" w:rsidR="0064038E" w:rsidRPr="007419A8" w:rsidRDefault="0064038E">
            <w:pPr>
              <w:pStyle w:val="ARtabletextright"/>
            </w:pPr>
            <w:r w:rsidRPr="007419A8">
              <w:t>10</w:t>
            </w:r>
            <w:r w:rsidR="0053765D" w:rsidRPr="007419A8">
              <w:t>2,449</w:t>
            </w:r>
          </w:p>
        </w:tc>
      </w:tr>
      <w:tr w:rsidR="006D70CE" w:rsidRPr="00237727" w14:paraId="56204F4F" w14:textId="77777777" w:rsidTr="0007157A">
        <w:tc>
          <w:tcPr>
            <w:tcW w:w="6231" w:type="dxa"/>
          </w:tcPr>
          <w:p w14:paraId="1768BAC2" w14:textId="77777777" w:rsidR="0064038E" w:rsidRPr="00237727" w:rsidRDefault="0064038E">
            <w:pPr>
              <w:pStyle w:val="ARtabletext"/>
            </w:pPr>
            <w:r w:rsidRPr="00237727">
              <w:t>Number of clients provided with accommodation</w:t>
            </w:r>
          </w:p>
        </w:tc>
        <w:tc>
          <w:tcPr>
            <w:cnfStyle w:val="000001000000" w:firstRow="0" w:lastRow="0" w:firstColumn="0" w:lastColumn="0" w:oddVBand="0" w:evenVBand="1" w:oddHBand="0" w:evenHBand="0" w:firstRowFirstColumn="0" w:firstRowLastColumn="0" w:lastRowFirstColumn="0" w:lastRowLastColumn="0"/>
            <w:tcW w:w="1133" w:type="dxa"/>
          </w:tcPr>
          <w:p w14:paraId="27D15675" w14:textId="77777777" w:rsidR="0064038E" w:rsidRPr="00237727" w:rsidRDefault="0064038E">
            <w:pPr>
              <w:pStyle w:val="ARtabletextright"/>
            </w:pPr>
            <w:r w:rsidRPr="00237727">
              <w:t>29,050</w:t>
            </w:r>
          </w:p>
        </w:tc>
        <w:tc>
          <w:tcPr>
            <w:tcW w:w="1133" w:type="dxa"/>
          </w:tcPr>
          <w:p w14:paraId="24EE7FE7" w14:textId="77777777" w:rsidR="0064038E" w:rsidRPr="00237727" w:rsidRDefault="0064038E">
            <w:pPr>
              <w:pStyle w:val="ARtabletextright"/>
              <w:cnfStyle w:val="000000000000" w:firstRow="0" w:lastRow="0" w:firstColumn="0" w:lastColumn="0" w:oddVBand="0" w:evenVBand="0" w:oddHBand="0" w:evenHBand="0" w:firstRowFirstColumn="0" w:firstRowLastColumn="0" w:lastRowFirstColumn="0" w:lastRowLastColumn="0"/>
            </w:pPr>
            <w:r w:rsidRPr="00237727">
              <w:t>27,882</w:t>
            </w:r>
          </w:p>
        </w:tc>
        <w:tc>
          <w:tcPr>
            <w:cnfStyle w:val="000001000000" w:firstRow="0" w:lastRow="0" w:firstColumn="0" w:lastColumn="0" w:oddVBand="0" w:evenVBand="1" w:oddHBand="0" w:evenHBand="0" w:firstRowFirstColumn="0" w:firstRowLastColumn="0" w:lastRowFirstColumn="0" w:lastRowLastColumn="0"/>
            <w:tcW w:w="1133" w:type="dxa"/>
          </w:tcPr>
          <w:p w14:paraId="6CAD79A3" w14:textId="7B41B13A" w:rsidR="0064038E" w:rsidRPr="0013222F" w:rsidRDefault="008D2D37">
            <w:pPr>
              <w:pStyle w:val="ARtabletextright"/>
            </w:pPr>
            <w:r w:rsidRPr="0013222F">
              <w:t>27,981</w:t>
            </w:r>
          </w:p>
        </w:tc>
      </w:tr>
      <w:tr w:rsidR="006D70CE" w:rsidRPr="00237727" w14:paraId="537B00EC" w14:textId="77777777" w:rsidTr="0007157A">
        <w:tc>
          <w:tcPr>
            <w:tcW w:w="6231" w:type="dxa"/>
          </w:tcPr>
          <w:p w14:paraId="308F7586" w14:textId="77777777" w:rsidR="0064038E" w:rsidRPr="00237727" w:rsidRDefault="0064038E">
            <w:pPr>
              <w:pStyle w:val="ARtabletext"/>
            </w:pPr>
            <w:r w:rsidRPr="00237727">
              <w:t>Number of family violence victim survivors who receive a refuge response</w:t>
            </w:r>
          </w:p>
        </w:tc>
        <w:tc>
          <w:tcPr>
            <w:cnfStyle w:val="000001000000" w:firstRow="0" w:lastRow="0" w:firstColumn="0" w:lastColumn="0" w:oddVBand="0" w:evenVBand="1" w:oddHBand="0" w:evenHBand="0" w:firstRowFirstColumn="0" w:firstRowLastColumn="0" w:lastRowFirstColumn="0" w:lastRowLastColumn="0"/>
            <w:tcW w:w="1133" w:type="dxa"/>
          </w:tcPr>
          <w:p w14:paraId="0A9C57C5" w14:textId="77777777" w:rsidR="0064038E" w:rsidRPr="00237727" w:rsidRDefault="0064038E">
            <w:pPr>
              <w:pStyle w:val="ARtabletextright"/>
            </w:pPr>
            <w:r w:rsidRPr="00237727">
              <w:t>943</w:t>
            </w:r>
          </w:p>
        </w:tc>
        <w:tc>
          <w:tcPr>
            <w:tcW w:w="1133" w:type="dxa"/>
          </w:tcPr>
          <w:p w14:paraId="2ADFDBFC" w14:textId="77777777" w:rsidR="0064038E" w:rsidRPr="00237727" w:rsidRDefault="0064038E">
            <w:pPr>
              <w:pStyle w:val="ARtabletextright"/>
              <w:cnfStyle w:val="000000000000" w:firstRow="0" w:lastRow="0" w:firstColumn="0" w:lastColumn="0" w:oddVBand="0" w:evenVBand="0" w:oddHBand="0" w:evenHBand="0" w:firstRowFirstColumn="0" w:firstRowLastColumn="0" w:lastRowFirstColumn="0" w:lastRowLastColumn="0"/>
            </w:pPr>
            <w:r w:rsidRPr="00237727">
              <w:t>969</w:t>
            </w:r>
          </w:p>
        </w:tc>
        <w:tc>
          <w:tcPr>
            <w:cnfStyle w:val="000001000000" w:firstRow="0" w:lastRow="0" w:firstColumn="0" w:lastColumn="0" w:oddVBand="0" w:evenVBand="1" w:oddHBand="0" w:evenHBand="0" w:firstRowFirstColumn="0" w:firstRowLastColumn="0" w:lastRowFirstColumn="0" w:lastRowLastColumn="0"/>
            <w:tcW w:w="1133" w:type="dxa"/>
          </w:tcPr>
          <w:p w14:paraId="69072DF5" w14:textId="475BDA00" w:rsidR="0064038E" w:rsidRPr="00237727" w:rsidRDefault="008335E0">
            <w:pPr>
              <w:pStyle w:val="ARtabletextright"/>
            </w:pPr>
            <w:r w:rsidRPr="0004352A">
              <w:t>8</w:t>
            </w:r>
            <w:r w:rsidR="002F0B9F" w:rsidRPr="0004352A">
              <w:t>89</w:t>
            </w:r>
          </w:p>
        </w:tc>
      </w:tr>
      <w:tr w:rsidR="006D70CE" w:rsidRPr="00237727" w14:paraId="4DB99128" w14:textId="77777777" w:rsidTr="0007157A">
        <w:tc>
          <w:tcPr>
            <w:tcW w:w="6231" w:type="dxa"/>
          </w:tcPr>
          <w:p w14:paraId="30DF2D4F" w14:textId="77777777" w:rsidR="0064038E" w:rsidRPr="00237727" w:rsidRDefault="0064038E">
            <w:pPr>
              <w:pStyle w:val="ARtabletext"/>
            </w:pPr>
            <w:r w:rsidRPr="00237727">
              <w:t>Number of clients assisted to address and prevent homelessness due to family violence</w:t>
            </w:r>
          </w:p>
        </w:tc>
        <w:tc>
          <w:tcPr>
            <w:cnfStyle w:val="000001000000" w:firstRow="0" w:lastRow="0" w:firstColumn="0" w:lastColumn="0" w:oddVBand="0" w:evenVBand="1" w:oddHBand="0" w:evenHBand="0" w:firstRowFirstColumn="0" w:firstRowLastColumn="0" w:lastRowFirstColumn="0" w:lastRowLastColumn="0"/>
            <w:tcW w:w="1133" w:type="dxa"/>
          </w:tcPr>
          <w:p w14:paraId="7CDA05CA" w14:textId="77777777" w:rsidR="0064038E" w:rsidRPr="00237727" w:rsidRDefault="0064038E">
            <w:pPr>
              <w:pStyle w:val="ARtabletextright"/>
            </w:pPr>
            <w:r w:rsidRPr="00237727">
              <w:t>40,998</w:t>
            </w:r>
          </w:p>
        </w:tc>
        <w:tc>
          <w:tcPr>
            <w:tcW w:w="1133" w:type="dxa"/>
          </w:tcPr>
          <w:p w14:paraId="531D0B45" w14:textId="77777777" w:rsidR="0064038E" w:rsidRPr="00237727" w:rsidRDefault="0064038E">
            <w:pPr>
              <w:pStyle w:val="ARtabletextright"/>
              <w:cnfStyle w:val="000000000000" w:firstRow="0" w:lastRow="0" w:firstColumn="0" w:lastColumn="0" w:oddVBand="0" w:evenVBand="0" w:oddHBand="0" w:evenHBand="0" w:firstRowFirstColumn="0" w:firstRowLastColumn="0" w:lastRowFirstColumn="0" w:lastRowLastColumn="0"/>
            </w:pPr>
            <w:r w:rsidRPr="00237727">
              <w:t>43,778</w:t>
            </w:r>
          </w:p>
        </w:tc>
        <w:tc>
          <w:tcPr>
            <w:cnfStyle w:val="000001000000" w:firstRow="0" w:lastRow="0" w:firstColumn="0" w:lastColumn="0" w:oddVBand="0" w:evenVBand="1" w:oddHBand="0" w:evenHBand="0" w:firstRowFirstColumn="0" w:firstRowLastColumn="0" w:lastRowFirstColumn="0" w:lastRowLastColumn="0"/>
            <w:tcW w:w="1133" w:type="dxa"/>
          </w:tcPr>
          <w:p w14:paraId="1C463DB2" w14:textId="5F029EDF" w:rsidR="0064038E" w:rsidRPr="00773F94" w:rsidRDefault="0064038E">
            <w:pPr>
              <w:pStyle w:val="ARtabletextright"/>
            </w:pPr>
            <w:r w:rsidRPr="00773F94">
              <w:t>44,</w:t>
            </w:r>
            <w:r w:rsidR="00EE155B" w:rsidRPr="00773F94">
              <w:t>319</w:t>
            </w:r>
          </w:p>
        </w:tc>
      </w:tr>
      <w:tr w:rsidR="006D70CE" w:rsidRPr="00237727" w14:paraId="300F3232" w14:textId="77777777" w:rsidTr="0007157A">
        <w:tc>
          <w:tcPr>
            <w:tcW w:w="6231" w:type="dxa"/>
            <w:hideMark/>
          </w:tcPr>
          <w:p w14:paraId="63028DE9" w14:textId="77777777" w:rsidR="0064038E" w:rsidRPr="00237727" w:rsidRDefault="0064038E">
            <w:pPr>
              <w:pStyle w:val="ARtabletext"/>
            </w:pPr>
            <w:r w:rsidRPr="00237727">
              <w:t>Number of bonds issued to low-income Victorians to assist access to the private rental market</w:t>
            </w:r>
          </w:p>
        </w:tc>
        <w:tc>
          <w:tcPr>
            <w:cnfStyle w:val="000001000000" w:firstRow="0" w:lastRow="0" w:firstColumn="0" w:lastColumn="0" w:oddVBand="0" w:evenVBand="1" w:oddHBand="0" w:evenHBand="0" w:firstRowFirstColumn="0" w:firstRowLastColumn="0" w:lastRowFirstColumn="0" w:lastRowLastColumn="0"/>
            <w:tcW w:w="1133" w:type="dxa"/>
          </w:tcPr>
          <w:p w14:paraId="740B1070" w14:textId="77777777" w:rsidR="0064038E" w:rsidRPr="00237727" w:rsidRDefault="0064038E">
            <w:pPr>
              <w:pStyle w:val="ARtabletextright"/>
            </w:pPr>
            <w:r w:rsidRPr="00237727">
              <w:t>7,011</w:t>
            </w:r>
          </w:p>
        </w:tc>
        <w:tc>
          <w:tcPr>
            <w:tcW w:w="1133" w:type="dxa"/>
          </w:tcPr>
          <w:p w14:paraId="67828EFF" w14:textId="77777777" w:rsidR="0064038E" w:rsidRPr="00237727" w:rsidRDefault="0064038E">
            <w:pPr>
              <w:pStyle w:val="ARtabletextright"/>
              <w:cnfStyle w:val="000000000000" w:firstRow="0" w:lastRow="0" w:firstColumn="0" w:lastColumn="0" w:oddVBand="0" w:evenVBand="0" w:oddHBand="0" w:evenHBand="0" w:firstRowFirstColumn="0" w:firstRowLastColumn="0" w:lastRowFirstColumn="0" w:lastRowLastColumn="0"/>
            </w:pPr>
            <w:r w:rsidRPr="00237727">
              <w:t>6,932</w:t>
            </w:r>
          </w:p>
        </w:tc>
        <w:tc>
          <w:tcPr>
            <w:cnfStyle w:val="000001000000" w:firstRow="0" w:lastRow="0" w:firstColumn="0" w:lastColumn="0" w:oddVBand="0" w:evenVBand="1" w:oddHBand="0" w:evenHBand="0" w:firstRowFirstColumn="0" w:firstRowLastColumn="0" w:lastRowFirstColumn="0" w:lastRowLastColumn="0"/>
            <w:tcW w:w="1133" w:type="dxa"/>
          </w:tcPr>
          <w:p w14:paraId="16B4C5A6" w14:textId="77777777" w:rsidR="0064038E" w:rsidRPr="00237727" w:rsidRDefault="0064038E">
            <w:pPr>
              <w:pStyle w:val="ARtabletextright"/>
            </w:pPr>
            <w:r w:rsidRPr="00237727">
              <w:t>8,841</w:t>
            </w:r>
          </w:p>
        </w:tc>
      </w:tr>
      <w:tr w:rsidR="00F33C72" w:rsidRPr="00237727" w14:paraId="61D4AA69" w14:textId="77777777" w:rsidTr="0007157A">
        <w:tc>
          <w:tcPr>
            <w:tcW w:w="6231" w:type="dxa"/>
            <w:tcBorders>
              <w:bottom w:val="single" w:sz="4" w:space="0" w:color="A6A6A6" w:themeColor="accent5"/>
            </w:tcBorders>
          </w:tcPr>
          <w:p w14:paraId="5205672E" w14:textId="77777777" w:rsidR="0064038E" w:rsidRPr="00237727" w:rsidRDefault="0064038E">
            <w:pPr>
              <w:pStyle w:val="ARtabletext"/>
            </w:pPr>
            <w:r w:rsidRPr="00237727">
              <w:t>Average waiting time for long-term social housing for those clients who have received priority access housing allocation or a priority transfer</w:t>
            </w:r>
          </w:p>
        </w:tc>
        <w:tc>
          <w:tcPr>
            <w:cnfStyle w:val="000001000000" w:firstRow="0" w:lastRow="0" w:firstColumn="0" w:lastColumn="0" w:oddVBand="0" w:evenVBand="1" w:oddHBand="0" w:evenHBand="0" w:firstRowFirstColumn="0" w:firstRowLastColumn="0" w:lastRowFirstColumn="0" w:lastRowLastColumn="0"/>
            <w:tcW w:w="1133" w:type="dxa"/>
            <w:tcBorders>
              <w:bottom w:val="single" w:sz="4" w:space="0" w:color="A6A6A6" w:themeColor="accent5"/>
            </w:tcBorders>
          </w:tcPr>
          <w:p w14:paraId="34542056" w14:textId="77777777" w:rsidR="0064038E" w:rsidRPr="00237727" w:rsidRDefault="0064038E">
            <w:pPr>
              <w:pStyle w:val="ARtabletextright"/>
            </w:pPr>
            <w:r w:rsidRPr="00237727">
              <w:t>18.1 months</w:t>
            </w:r>
          </w:p>
        </w:tc>
        <w:tc>
          <w:tcPr>
            <w:tcW w:w="1133" w:type="dxa"/>
            <w:tcBorders>
              <w:bottom w:val="single" w:sz="4" w:space="0" w:color="A6A6A6" w:themeColor="accent5"/>
            </w:tcBorders>
          </w:tcPr>
          <w:p w14:paraId="1A6947CE" w14:textId="77777777" w:rsidR="0064038E" w:rsidRPr="00237727" w:rsidRDefault="0064038E">
            <w:pPr>
              <w:pStyle w:val="ARtabletextright"/>
              <w:cnfStyle w:val="000000000000" w:firstRow="0" w:lastRow="0" w:firstColumn="0" w:lastColumn="0" w:oddVBand="0" w:evenVBand="0" w:oddHBand="0" w:evenHBand="0" w:firstRowFirstColumn="0" w:firstRowLastColumn="0" w:lastRowFirstColumn="0" w:lastRowLastColumn="0"/>
            </w:pPr>
            <w:r w:rsidRPr="00237727">
              <w:t>19.8 months</w:t>
            </w:r>
          </w:p>
        </w:tc>
        <w:tc>
          <w:tcPr>
            <w:cnfStyle w:val="000001000000" w:firstRow="0" w:lastRow="0" w:firstColumn="0" w:lastColumn="0" w:oddVBand="0" w:evenVBand="1" w:oddHBand="0" w:evenHBand="0" w:firstRowFirstColumn="0" w:firstRowLastColumn="0" w:lastRowFirstColumn="0" w:lastRowLastColumn="0"/>
            <w:tcW w:w="1133" w:type="dxa"/>
            <w:tcBorders>
              <w:bottom w:val="single" w:sz="4" w:space="0" w:color="A6A6A6" w:themeColor="accent5"/>
            </w:tcBorders>
          </w:tcPr>
          <w:p w14:paraId="53F46507" w14:textId="77777777" w:rsidR="0064038E" w:rsidRPr="00237727" w:rsidRDefault="0064038E">
            <w:pPr>
              <w:pStyle w:val="ARtabletextright"/>
            </w:pPr>
            <w:r w:rsidRPr="00237727">
              <w:t>17.2 months</w:t>
            </w:r>
          </w:p>
        </w:tc>
      </w:tr>
      <w:tr w:rsidR="00F33C72" w:rsidRPr="00237727" w14:paraId="2A6A750B" w14:textId="77777777" w:rsidTr="0007157A">
        <w:tc>
          <w:tcPr>
            <w:tcW w:w="6231" w:type="dxa"/>
            <w:tcBorders>
              <w:top w:val="single" w:sz="4" w:space="0" w:color="A6A6A6" w:themeColor="accent5"/>
              <w:bottom w:val="single" w:sz="4" w:space="0" w:color="A6A6A6" w:themeColor="accent5"/>
            </w:tcBorders>
          </w:tcPr>
          <w:p w14:paraId="369A7B6D" w14:textId="59D1BE06" w:rsidR="0064038E" w:rsidRPr="00237727" w:rsidRDefault="0064038E">
            <w:pPr>
              <w:pStyle w:val="ARtabletext"/>
            </w:pPr>
            <w:r w:rsidRPr="00237727">
              <w:t>Average waiting time for long-term social housing for those clients who have received a priority access housing allocation or priority transfer due to family</w:t>
            </w:r>
            <w:r w:rsidR="006B40B0">
              <w:t> </w:t>
            </w:r>
            <w:r w:rsidRPr="00237727">
              <w:t>violence</w:t>
            </w:r>
          </w:p>
        </w:tc>
        <w:tc>
          <w:tcPr>
            <w:cnfStyle w:val="000001000000" w:firstRow="0" w:lastRow="0" w:firstColumn="0" w:lastColumn="0" w:oddVBand="0" w:evenVBand="1" w:oddHBand="0" w:evenHBand="0" w:firstRowFirstColumn="0" w:firstRowLastColumn="0" w:lastRowFirstColumn="0" w:lastRowLastColumn="0"/>
            <w:tcW w:w="1133" w:type="dxa"/>
            <w:tcBorders>
              <w:top w:val="single" w:sz="4" w:space="0" w:color="A6A6A6" w:themeColor="accent5"/>
              <w:bottom w:val="single" w:sz="4" w:space="0" w:color="A6A6A6" w:themeColor="accent5"/>
            </w:tcBorders>
          </w:tcPr>
          <w:p w14:paraId="5F7DD30C" w14:textId="77777777" w:rsidR="0064038E" w:rsidRPr="00237727" w:rsidRDefault="0064038E">
            <w:pPr>
              <w:pStyle w:val="ARtabletextright"/>
            </w:pPr>
            <w:r w:rsidRPr="00237727">
              <w:t>23.6 months</w:t>
            </w:r>
          </w:p>
        </w:tc>
        <w:tc>
          <w:tcPr>
            <w:tcW w:w="1133" w:type="dxa"/>
            <w:tcBorders>
              <w:top w:val="single" w:sz="4" w:space="0" w:color="A6A6A6" w:themeColor="accent5"/>
              <w:bottom w:val="single" w:sz="4" w:space="0" w:color="A6A6A6" w:themeColor="accent5"/>
            </w:tcBorders>
          </w:tcPr>
          <w:p w14:paraId="79165404" w14:textId="310708B8" w:rsidR="0064038E" w:rsidRPr="00237727" w:rsidRDefault="0064038E">
            <w:pPr>
              <w:pStyle w:val="ARtabletextright"/>
              <w:cnfStyle w:val="000000000000" w:firstRow="0" w:lastRow="0" w:firstColumn="0" w:lastColumn="0" w:oddVBand="0" w:evenVBand="0" w:oddHBand="0" w:evenHBand="0" w:firstRowFirstColumn="0" w:firstRowLastColumn="0" w:lastRowFirstColumn="0" w:lastRowLastColumn="0"/>
            </w:pPr>
            <w:r w:rsidRPr="00237727">
              <w:t>19.5 month</w:t>
            </w:r>
            <w:r w:rsidR="002836B8">
              <w:t>s</w:t>
            </w:r>
          </w:p>
        </w:tc>
        <w:tc>
          <w:tcPr>
            <w:cnfStyle w:val="000001000000" w:firstRow="0" w:lastRow="0" w:firstColumn="0" w:lastColumn="0" w:oddVBand="0" w:evenVBand="1" w:oddHBand="0" w:evenHBand="0" w:firstRowFirstColumn="0" w:firstRowLastColumn="0" w:lastRowFirstColumn="0" w:lastRowLastColumn="0"/>
            <w:tcW w:w="1133" w:type="dxa"/>
            <w:tcBorders>
              <w:top w:val="single" w:sz="4" w:space="0" w:color="A6A6A6" w:themeColor="accent5"/>
              <w:bottom w:val="single" w:sz="4" w:space="0" w:color="A6A6A6" w:themeColor="accent5"/>
            </w:tcBorders>
          </w:tcPr>
          <w:p w14:paraId="68A2036E" w14:textId="77777777" w:rsidR="0064038E" w:rsidRPr="00237727" w:rsidRDefault="0064038E">
            <w:pPr>
              <w:pStyle w:val="ARtabletextright"/>
            </w:pPr>
            <w:r w:rsidRPr="00237727">
              <w:t>17.3 months</w:t>
            </w:r>
          </w:p>
        </w:tc>
      </w:tr>
      <w:tr w:rsidR="00F33C72" w:rsidRPr="009D085C" w14:paraId="660FFA80" w14:textId="77777777" w:rsidTr="0007157A">
        <w:trPr>
          <w:cnfStyle w:val="010000000000" w:firstRow="0" w:lastRow="1" w:firstColumn="0" w:lastColumn="0" w:oddVBand="0" w:evenVBand="0" w:oddHBand="0" w:evenHBand="0" w:firstRowFirstColumn="0" w:firstRowLastColumn="0" w:lastRowFirstColumn="0" w:lastRowLastColumn="0"/>
        </w:trPr>
        <w:tc>
          <w:tcPr>
            <w:tcW w:w="6231" w:type="dxa"/>
            <w:tcBorders>
              <w:top w:val="single" w:sz="4" w:space="0" w:color="A6A6A6" w:themeColor="accent5"/>
            </w:tcBorders>
          </w:tcPr>
          <w:p w14:paraId="5118F7EB" w14:textId="77777777" w:rsidR="0064038E" w:rsidRPr="00237727" w:rsidRDefault="0064038E">
            <w:pPr>
              <w:pStyle w:val="ARtabletext"/>
            </w:pPr>
            <w:r w:rsidRPr="00237727">
              <w:t>Number of Utility Relief Grants granted to households</w:t>
            </w:r>
          </w:p>
        </w:tc>
        <w:tc>
          <w:tcPr>
            <w:cnfStyle w:val="000001000000" w:firstRow="0" w:lastRow="0" w:firstColumn="0" w:lastColumn="0" w:oddVBand="0" w:evenVBand="1" w:oddHBand="0" w:evenHBand="0" w:firstRowFirstColumn="0" w:firstRowLastColumn="0" w:lastRowFirstColumn="0" w:lastRowLastColumn="0"/>
            <w:tcW w:w="1133" w:type="dxa"/>
            <w:tcBorders>
              <w:top w:val="single" w:sz="4" w:space="0" w:color="A6A6A6" w:themeColor="accent5"/>
            </w:tcBorders>
          </w:tcPr>
          <w:p w14:paraId="45EBD2CE" w14:textId="77777777" w:rsidR="0064038E" w:rsidRPr="00237727" w:rsidRDefault="0064038E">
            <w:pPr>
              <w:pStyle w:val="ARtabletextright"/>
            </w:pPr>
            <w:r w:rsidRPr="00237727">
              <w:t>94,382</w:t>
            </w:r>
          </w:p>
        </w:tc>
        <w:tc>
          <w:tcPr>
            <w:tcW w:w="1133" w:type="dxa"/>
            <w:tcBorders>
              <w:top w:val="single" w:sz="4" w:space="0" w:color="A6A6A6" w:themeColor="accent5"/>
            </w:tcBorders>
          </w:tcPr>
          <w:p w14:paraId="0302F9EA" w14:textId="77777777" w:rsidR="0064038E" w:rsidRPr="00237727" w:rsidRDefault="0064038E">
            <w:pPr>
              <w:pStyle w:val="ARtabletextright"/>
              <w:cnfStyle w:val="010000000000" w:firstRow="0" w:lastRow="1" w:firstColumn="0" w:lastColumn="0" w:oddVBand="0" w:evenVBand="0" w:oddHBand="0" w:evenHBand="0" w:firstRowFirstColumn="0" w:firstRowLastColumn="0" w:lastRowFirstColumn="0" w:lastRowLastColumn="0"/>
            </w:pPr>
            <w:r w:rsidRPr="00237727">
              <w:t>108,487</w:t>
            </w:r>
          </w:p>
        </w:tc>
        <w:tc>
          <w:tcPr>
            <w:cnfStyle w:val="000001000000" w:firstRow="0" w:lastRow="0" w:firstColumn="0" w:lastColumn="0" w:oddVBand="0" w:evenVBand="1" w:oddHBand="0" w:evenHBand="0" w:firstRowFirstColumn="0" w:firstRowLastColumn="0" w:lastRowFirstColumn="0" w:lastRowLastColumn="0"/>
            <w:tcW w:w="1133" w:type="dxa"/>
            <w:tcBorders>
              <w:top w:val="single" w:sz="4" w:space="0" w:color="A6A6A6" w:themeColor="accent5"/>
            </w:tcBorders>
          </w:tcPr>
          <w:p w14:paraId="243A27A7" w14:textId="77777777" w:rsidR="0064038E" w:rsidRPr="00582A68" w:rsidRDefault="0064038E">
            <w:pPr>
              <w:pStyle w:val="ARtabletextright"/>
            </w:pPr>
            <w:r w:rsidRPr="00237727">
              <w:t>231,390</w:t>
            </w:r>
          </w:p>
        </w:tc>
      </w:tr>
    </w:tbl>
    <w:p w14:paraId="2BED2310" w14:textId="165C2F85" w:rsidR="0064038E" w:rsidRDefault="0064038E">
      <w:pPr>
        <w:pStyle w:val="Heading4"/>
        <w:spacing w:after="240"/>
        <w:sectPr w:rsidR="0064038E" w:rsidSect="007F43B1">
          <w:endnotePr>
            <w:numFmt w:val="decimal"/>
          </w:endnotePr>
          <w:pgSz w:w="11900" w:h="16840" w:code="9"/>
          <w:pgMar w:top="1588" w:right="1134" w:bottom="851" w:left="1134" w:header="510" w:footer="340" w:gutter="0"/>
          <w:cols w:space="448"/>
        </w:sectPr>
      </w:pPr>
      <w:r w:rsidRPr="00532DAE">
        <w:t>Key initiatives and projects</w:t>
      </w:r>
    </w:p>
    <w:p w14:paraId="4366E38C" w14:textId="77777777" w:rsidR="0064038E" w:rsidRPr="007561F6" w:rsidRDefault="0064038E">
      <w:pPr>
        <w:pStyle w:val="Heading5"/>
        <w:spacing w:before="120"/>
      </w:pPr>
      <w:r w:rsidRPr="007561F6">
        <w:t xml:space="preserve">More social and affordable housing </w:t>
      </w:r>
    </w:p>
    <w:p w14:paraId="5D343751" w14:textId="2EB0A46E" w:rsidR="0064038E" w:rsidRDefault="0064038E">
      <w:pPr>
        <w:pStyle w:val="ARbody"/>
      </w:pPr>
      <w:r w:rsidRPr="12EF9F82">
        <w:t xml:space="preserve">The </w:t>
      </w:r>
      <w:r>
        <w:t>Victorian Government</w:t>
      </w:r>
      <w:r w:rsidRPr="12EF9F82">
        <w:t xml:space="preserve"> continues to invest record amounts to increase housing supply</w:t>
      </w:r>
      <w:r>
        <w:t>. This work</w:t>
      </w:r>
      <w:r w:rsidRPr="12EF9F82">
        <w:t xml:space="preserve"> ensure</w:t>
      </w:r>
      <w:r>
        <w:t>s</w:t>
      </w:r>
      <w:r w:rsidRPr="12EF9F82">
        <w:t xml:space="preserve"> more Victorians have </w:t>
      </w:r>
      <w:r>
        <w:t>stable,</w:t>
      </w:r>
      <w:r w:rsidR="00203056">
        <w:t xml:space="preserve"> </w:t>
      </w:r>
      <w:r>
        <w:t xml:space="preserve">affordable and appropriate housing. In 2024–25, the department delivered </w:t>
      </w:r>
      <w:r w:rsidRPr="00A85A1A">
        <w:t>2,</w:t>
      </w:r>
      <w:r>
        <w:t xml:space="preserve">392 new social homes and </w:t>
      </w:r>
      <w:r w:rsidRPr="00E25BEF">
        <w:t>286 new affordable homes</w:t>
      </w:r>
      <w:r>
        <w:t>.</w:t>
      </w:r>
      <w:r w:rsidRPr="00E25BEF">
        <w:t xml:space="preserve"> </w:t>
      </w:r>
    </w:p>
    <w:p w14:paraId="373B06E0" w14:textId="01320045" w:rsidR="0064038E" w:rsidRPr="007561F6" w:rsidRDefault="0064038E">
      <w:pPr>
        <w:pStyle w:val="ARbody"/>
      </w:pPr>
      <w:r>
        <w:t>These homes are safe, modern and comfortable. They include</w:t>
      </w:r>
      <w:r w:rsidRPr="00E347DC">
        <w:t xml:space="preserve"> 1,720</w:t>
      </w:r>
      <w:r>
        <w:t xml:space="preserve"> social homes</w:t>
      </w:r>
      <w:r w:rsidRPr="00E347DC">
        <w:t xml:space="preserve"> in metropolitan </w:t>
      </w:r>
      <w:r>
        <w:t>Victoria</w:t>
      </w:r>
      <w:r w:rsidRPr="00E347DC">
        <w:t xml:space="preserve"> and 672 </w:t>
      </w:r>
      <w:r>
        <w:t xml:space="preserve">social homes </w:t>
      </w:r>
      <w:r w:rsidRPr="00E347DC">
        <w:t>in regional Victoria.</w:t>
      </w:r>
      <w:r>
        <w:t xml:space="preserve"> The rest of this section sets out highlights from our key housing programs. </w:t>
      </w:r>
    </w:p>
    <w:p w14:paraId="7208A087" w14:textId="77777777" w:rsidR="006B3B85" w:rsidRDefault="0064038E" w:rsidP="008149F0">
      <w:pPr>
        <w:pStyle w:val="Heading6"/>
      </w:pPr>
      <w:r>
        <w:rPr>
          <w:lang w:val="en-US"/>
        </w:rPr>
        <w:t>Building</w:t>
      </w:r>
      <w:r w:rsidRPr="00BE7441">
        <w:rPr>
          <w:lang w:val="en-US"/>
        </w:rPr>
        <w:t xml:space="preserve"> homes </w:t>
      </w:r>
      <w:r>
        <w:rPr>
          <w:lang w:val="en-US"/>
        </w:rPr>
        <w:t>across Victoria</w:t>
      </w:r>
      <w:r w:rsidRPr="00BE7441">
        <w:rPr>
          <w:lang w:val="en-US"/>
        </w:rPr>
        <w:t xml:space="preserve"> through the $6.3 billion Big Housing </w:t>
      </w:r>
      <w:r w:rsidRPr="00BE7441">
        <w:t>Build and Regional Housing Fund</w:t>
      </w:r>
    </w:p>
    <w:p w14:paraId="4ACA56F2" w14:textId="5EF7DAE6" w:rsidR="0064038E" w:rsidRPr="00BE7441" w:rsidRDefault="0064038E" w:rsidP="002451D2">
      <w:pPr>
        <w:pStyle w:val="ARbody"/>
      </w:pPr>
      <w:r w:rsidRPr="00A906A4">
        <w:t>T</w:t>
      </w:r>
      <w:r w:rsidR="008351AB" w:rsidRPr="00A906A4">
        <w:t xml:space="preserve">hrough the Big Housing Build and Regional Housing Fund, </w:t>
      </w:r>
      <w:r w:rsidR="00760570" w:rsidRPr="00A906A4">
        <w:t>by</w:t>
      </w:r>
      <w:r w:rsidR="00D41290" w:rsidRPr="00A906A4">
        <w:t xml:space="preserve"> June 2025 t</w:t>
      </w:r>
      <w:r w:rsidRPr="00A906A4">
        <w:t>he department ha</w:t>
      </w:r>
      <w:r w:rsidR="00392C8D" w:rsidRPr="00A906A4">
        <w:t>d</w:t>
      </w:r>
      <w:r w:rsidRPr="00A906A4">
        <w:t>:</w:t>
      </w:r>
    </w:p>
    <w:p w14:paraId="4F764C78" w14:textId="34DD4D67" w:rsidR="0064038E" w:rsidRDefault="0064038E" w:rsidP="00F375A6">
      <w:pPr>
        <w:pStyle w:val="ARbullet1"/>
        <w:numPr>
          <w:ilvl w:val="0"/>
          <w:numId w:val="23"/>
        </w:numPr>
      </w:pPr>
      <w:r>
        <w:t xml:space="preserve">commenced </w:t>
      </w:r>
      <w:r w:rsidRPr="002E2F3B">
        <w:t xml:space="preserve">delivery of </w:t>
      </w:r>
      <w:r>
        <w:t xml:space="preserve">more than </w:t>
      </w:r>
      <w:r w:rsidRPr="004A214D">
        <w:t>10,8</w:t>
      </w:r>
      <w:r>
        <w:t>00</w:t>
      </w:r>
      <w:r w:rsidRPr="004A214D">
        <w:t xml:space="preserve"> homes</w:t>
      </w:r>
      <w:r>
        <w:t xml:space="preserve">. This includes </w:t>
      </w:r>
      <w:r w:rsidRPr="002E2F3B">
        <w:t>3,7</w:t>
      </w:r>
      <w:r>
        <w:t>00 homes</w:t>
      </w:r>
      <w:r w:rsidRPr="007C2DD0">
        <w:t xml:space="preserve"> in regional</w:t>
      </w:r>
      <w:r w:rsidR="00657B45">
        <w:t> </w:t>
      </w:r>
      <w:r w:rsidRPr="007C2DD0">
        <w:t>Victoria</w:t>
      </w:r>
    </w:p>
    <w:p w14:paraId="0860672C" w14:textId="24ED63F1" w:rsidR="0064038E" w:rsidRPr="001B17A9" w:rsidRDefault="006B3B85">
      <w:pPr>
        <w:pStyle w:val="ARbullet1"/>
        <w:numPr>
          <w:ilvl w:val="0"/>
          <w:numId w:val="23"/>
        </w:numPr>
      </w:pPr>
      <w:r>
        <w:br w:type="column"/>
      </w:r>
      <w:r w:rsidR="0064038E" w:rsidRPr="001B17A9">
        <w:t>moved</w:t>
      </w:r>
      <w:r w:rsidR="0064038E">
        <w:t xml:space="preserve"> more than </w:t>
      </w:r>
      <w:r w:rsidR="0064038E" w:rsidRPr="002E2F3B">
        <w:t>6,</w:t>
      </w:r>
      <w:r w:rsidR="0064038E">
        <w:t>200</w:t>
      </w:r>
      <w:r w:rsidR="0064038E" w:rsidRPr="001B17A9">
        <w:t xml:space="preserve"> households into modern, accessible and energy efficient homes</w:t>
      </w:r>
      <w:r w:rsidR="0064038E">
        <w:t>. This includes 948</w:t>
      </w:r>
      <w:r w:rsidR="0064038E" w:rsidRPr="006E73B9">
        <w:t xml:space="preserve"> victim survivors of family</w:t>
      </w:r>
      <w:r w:rsidR="00B44406">
        <w:t> </w:t>
      </w:r>
      <w:r w:rsidR="0064038E" w:rsidRPr="006E73B9">
        <w:t>violence</w:t>
      </w:r>
    </w:p>
    <w:p w14:paraId="7562B2B6" w14:textId="58A9565D" w:rsidR="0064038E" w:rsidRPr="006E73B9" w:rsidRDefault="0064038E" w:rsidP="00F375A6">
      <w:pPr>
        <w:pStyle w:val="ARbullet1"/>
        <w:numPr>
          <w:ilvl w:val="0"/>
          <w:numId w:val="23"/>
        </w:numPr>
      </w:pPr>
      <w:r>
        <w:t>started delivering more than</w:t>
      </w:r>
      <w:r w:rsidRPr="006E73B9" w:rsidDel="00AA746A">
        <w:t xml:space="preserve"> </w:t>
      </w:r>
      <w:r>
        <w:t xml:space="preserve">600 </w:t>
      </w:r>
      <w:r w:rsidRPr="006E73B9">
        <w:t>homes for Aboriginal Victorians</w:t>
      </w:r>
      <w:r>
        <w:t>.</w:t>
      </w:r>
    </w:p>
    <w:p w14:paraId="666EE501" w14:textId="610D1B7A" w:rsidR="0064038E" w:rsidRPr="008837ED" w:rsidRDefault="0064038E" w:rsidP="000B1DC6">
      <w:pPr>
        <w:pStyle w:val="ARbodyafterbullets"/>
      </w:pPr>
      <w:r>
        <w:t xml:space="preserve">In addition, the </w:t>
      </w:r>
      <w:r w:rsidRPr="000B1DC6">
        <w:t>project</w:t>
      </w:r>
      <w:r>
        <w:t xml:space="preserve"> created </w:t>
      </w:r>
      <w:r w:rsidRPr="008837ED">
        <w:t xml:space="preserve">more than </w:t>
      </w:r>
      <w:r w:rsidRPr="00A85A1A">
        <w:t>47,000</w:t>
      </w:r>
      <w:r w:rsidRPr="006B0FED">
        <w:t xml:space="preserve"> jobs</w:t>
      </w:r>
      <w:r>
        <w:t>. This boosted the economy and</w:t>
      </w:r>
      <w:r w:rsidRPr="008837ED">
        <w:t xml:space="preserve"> improv</w:t>
      </w:r>
      <w:r>
        <w:t>ed</w:t>
      </w:r>
      <w:r w:rsidRPr="008837ED">
        <w:t xml:space="preserve"> the</w:t>
      </w:r>
      <w:r>
        <w:t xml:space="preserve"> </w:t>
      </w:r>
      <w:r w:rsidRPr="008837ED">
        <w:t xml:space="preserve">livelihoods of </w:t>
      </w:r>
      <w:r>
        <w:t>Victorian communities.</w:t>
      </w:r>
    </w:p>
    <w:p w14:paraId="47543EFD" w14:textId="79FDA3A8" w:rsidR="0064038E" w:rsidRPr="001911A1" w:rsidRDefault="0064038E" w:rsidP="000B1DC6">
      <w:pPr>
        <w:pStyle w:val="ARbody"/>
      </w:pPr>
      <w:r>
        <w:t xml:space="preserve">We completed </w:t>
      </w:r>
      <w:r w:rsidRPr="000B1DC6">
        <w:t>several</w:t>
      </w:r>
      <w:r>
        <w:t xml:space="preserve"> major construction projects during the year:</w:t>
      </w:r>
    </w:p>
    <w:p w14:paraId="060151C5" w14:textId="77777777" w:rsidR="0064038E" w:rsidRPr="005522F7" w:rsidRDefault="0064038E" w:rsidP="00F375A6">
      <w:pPr>
        <w:pStyle w:val="ARbullet1"/>
        <w:numPr>
          <w:ilvl w:val="0"/>
          <w:numId w:val="23"/>
        </w:numPr>
      </w:pPr>
      <w:r w:rsidRPr="005522F7">
        <w:t>169 homes at Harvest Square, Brunswick West</w:t>
      </w:r>
    </w:p>
    <w:p w14:paraId="7BAAAE95" w14:textId="77777777" w:rsidR="0064038E" w:rsidRPr="005522F7" w:rsidRDefault="0064038E" w:rsidP="00F375A6">
      <w:pPr>
        <w:pStyle w:val="ARbullet1"/>
        <w:numPr>
          <w:ilvl w:val="0"/>
          <w:numId w:val="23"/>
        </w:numPr>
      </w:pPr>
      <w:r w:rsidRPr="005522F7">
        <w:t>144 homes at Elizabeth Street, North Richmond</w:t>
      </w:r>
    </w:p>
    <w:p w14:paraId="5DF876EC" w14:textId="77777777" w:rsidR="0064038E" w:rsidRPr="005522F7" w:rsidRDefault="0064038E" w:rsidP="00F375A6">
      <w:pPr>
        <w:pStyle w:val="ARbullet1"/>
        <w:numPr>
          <w:ilvl w:val="0"/>
          <w:numId w:val="23"/>
        </w:numPr>
      </w:pPr>
      <w:r w:rsidRPr="005522F7">
        <w:t>118 homes at Tyner Road, Wantirna South</w:t>
      </w:r>
    </w:p>
    <w:p w14:paraId="1FF7320C" w14:textId="77777777" w:rsidR="0064038E" w:rsidRPr="005522F7" w:rsidRDefault="0064038E" w:rsidP="00F375A6">
      <w:pPr>
        <w:pStyle w:val="ARbullet1"/>
        <w:numPr>
          <w:ilvl w:val="0"/>
          <w:numId w:val="23"/>
        </w:numPr>
      </w:pPr>
      <w:r w:rsidRPr="005522F7">
        <w:t>140 homes at Wardens Walk, Coburg</w:t>
      </w:r>
    </w:p>
    <w:p w14:paraId="6947C8EE" w14:textId="77777777" w:rsidR="0064038E" w:rsidRPr="005522F7" w:rsidRDefault="0064038E" w:rsidP="00F375A6">
      <w:pPr>
        <w:pStyle w:val="ARbullet1"/>
        <w:numPr>
          <w:ilvl w:val="0"/>
          <w:numId w:val="23"/>
        </w:numPr>
      </w:pPr>
      <w:r w:rsidRPr="005522F7">
        <w:t xml:space="preserve">96 homes at High Street, Mount Waverley </w:t>
      </w:r>
    </w:p>
    <w:p w14:paraId="01F432BF" w14:textId="5735A404" w:rsidR="00657B45" w:rsidRDefault="0064038E" w:rsidP="00F375A6">
      <w:pPr>
        <w:pStyle w:val="ARbullet1"/>
        <w:numPr>
          <w:ilvl w:val="0"/>
          <w:numId w:val="23"/>
        </w:numPr>
      </w:pPr>
      <w:r w:rsidRPr="005522F7">
        <w:t xml:space="preserve">35 </w:t>
      </w:r>
      <w:r>
        <w:t xml:space="preserve">homes </w:t>
      </w:r>
      <w:r w:rsidRPr="005522F7">
        <w:t>at Mackenzie Street West, Bendigo</w:t>
      </w:r>
      <w:r w:rsidRPr="0064293E">
        <w:t>.</w:t>
      </w:r>
    </w:p>
    <w:p w14:paraId="3FE1FF80" w14:textId="77777777" w:rsidR="00657B45" w:rsidRDefault="00657B45" w:rsidP="008149F0">
      <w:pPr>
        <w:pStyle w:val="ARbody"/>
      </w:pPr>
      <w:r>
        <w:br w:type="page"/>
      </w:r>
    </w:p>
    <w:p w14:paraId="104B8C87" w14:textId="77777777" w:rsidR="0064038E" w:rsidRDefault="0064038E">
      <w:pPr>
        <w:pStyle w:val="Heading6"/>
        <w:rPr>
          <w:lang w:val="en-US"/>
        </w:rPr>
      </w:pPr>
      <w:r w:rsidRPr="2B4D8164">
        <w:rPr>
          <w:lang w:val="en-US"/>
        </w:rPr>
        <w:lastRenderedPageBreak/>
        <w:t>Growing social housing through the Social Housing Growth Fund</w:t>
      </w:r>
    </w:p>
    <w:p w14:paraId="3D5AC0EE" w14:textId="0D7F1341" w:rsidR="0064038E" w:rsidRDefault="0064038E">
      <w:pPr>
        <w:pStyle w:val="ARbody"/>
      </w:pPr>
      <w:r>
        <w:t xml:space="preserve">The department is </w:t>
      </w:r>
      <w:r w:rsidRPr="001D566E">
        <w:t>creat</w:t>
      </w:r>
      <w:r>
        <w:t>ing a pipeline of new social housing. This work is funded by the Social Housing Growth Fund (SHGF).</w:t>
      </w:r>
      <w:r w:rsidRPr="001D566E">
        <w:t xml:space="preserve"> </w:t>
      </w:r>
      <w:r>
        <w:t xml:space="preserve">We are doing this in partnership with the Department of Treasury and Finance and the community housing sector. This approach means the projects can </w:t>
      </w:r>
      <w:r w:rsidRPr="001D566E">
        <w:t>leverage debt and equity</w:t>
      </w:r>
      <w:r>
        <w:t xml:space="preserve"> from community housing </w:t>
      </w:r>
      <w:r w:rsidRPr="001D566E">
        <w:t>organisations</w:t>
      </w:r>
      <w:r>
        <w:t>. It also means the community housing sector can use</w:t>
      </w:r>
      <w:r w:rsidRPr="001D566E">
        <w:t xml:space="preserve"> </w:t>
      </w:r>
      <w:r>
        <w:t xml:space="preserve">its experience and </w:t>
      </w:r>
      <w:r w:rsidRPr="001D566E">
        <w:t>expertise</w:t>
      </w:r>
      <w:r>
        <w:t xml:space="preserve"> to support renters once they move in.</w:t>
      </w:r>
    </w:p>
    <w:p w14:paraId="5DA8498B" w14:textId="669F9A63" w:rsidR="0064038E" w:rsidRDefault="0064038E">
      <w:pPr>
        <w:pStyle w:val="ARbody"/>
      </w:pPr>
      <w:r>
        <w:t>The SHGF has delivered m</w:t>
      </w:r>
      <w:r w:rsidRPr="007E647D">
        <w:t xml:space="preserve">ore than </w:t>
      </w:r>
      <w:r>
        <w:t xml:space="preserve">3,000 social </w:t>
      </w:r>
      <w:r w:rsidRPr="007E647D">
        <w:t>homes</w:t>
      </w:r>
      <w:r>
        <w:t xml:space="preserve">. This enables </w:t>
      </w:r>
      <w:r w:rsidRPr="007E647D">
        <w:t xml:space="preserve">community housing providers to </w:t>
      </w:r>
      <w:r>
        <w:t xml:space="preserve">provide more </w:t>
      </w:r>
      <w:r w:rsidRPr="007E647D">
        <w:t>housing for low</w:t>
      </w:r>
      <w:r>
        <w:t>-</w:t>
      </w:r>
      <w:r w:rsidRPr="007E647D">
        <w:t xml:space="preserve"> and very low</w:t>
      </w:r>
      <w:r>
        <w:t>-</w:t>
      </w:r>
      <w:r w:rsidRPr="007E647D">
        <w:t>income Victorians</w:t>
      </w:r>
      <w:r w:rsidRPr="000D0C13">
        <w:t>. This includes:</w:t>
      </w:r>
    </w:p>
    <w:p w14:paraId="1C1A4698" w14:textId="77777777" w:rsidR="0064038E" w:rsidRPr="000D0C13" w:rsidRDefault="0064038E" w:rsidP="00F375A6">
      <w:pPr>
        <w:pStyle w:val="ARbullet1"/>
        <w:numPr>
          <w:ilvl w:val="0"/>
          <w:numId w:val="23"/>
        </w:numPr>
      </w:pPr>
      <w:r w:rsidRPr="000D0C13">
        <w:t>44 homes at Templeton Street, Wangaratta</w:t>
      </w:r>
    </w:p>
    <w:p w14:paraId="3712FAAE" w14:textId="77777777" w:rsidR="0064038E" w:rsidRPr="000D0C13" w:rsidRDefault="0064038E" w:rsidP="00F375A6">
      <w:pPr>
        <w:pStyle w:val="ARbullet1"/>
        <w:numPr>
          <w:ilvl w:val="0"/>
          <w:numId w:val="23"/>
        </w:numPr>
      </w:pPr>
      <w:r w:rsidRPr="000D0C13">
        <w:t>116 homes at Centre Road</w:t>
      </w:r>
      <w:r>
        <w:t>,</w:t>
      </w:r>
      <w:r w:rsidRPr="000D0C13">
        <w:t xml:space="preserve"> Brighton East</w:t>
      </w:r>
    </w:p>
    <w:p w14:paraId="6E27A74C" w14:textId="77777777" w:rsidR="0064038E" w:rsidRPr="000D0C13" w:rsidRDefault="0064038E" w:rsidP="00F375A6">
      <w:pPr>
        <w:pStyle w:val="ARbullet1"/>
        <w:numPr>
          <w:ilvl w:val="0"/>
          <w:numId w:val="23"/>
        </w:numPr>
      </w:pPr>
      <w:r w:rsidRPr="000D0C13">
        <w:t xml:space="preserve">41 homes at Unity Drive, Mount </w:t>
      </w:r>
      <w:proofErr w:type="spellStart"/>
      <w:r w:rsidRPr="000D0C13">
        <w:t>Duneed</w:t>
      </w:r>
      <w:proofErr w:type="spellEnd"/>
      <w:r w:rsidRPr="000D0C13">
        <w:t>.</w:t>
      </w:r>
    </w:p>
    <w:p w14:paraId="0249F065" w14:textId="77777777" w:rsidR="0064038E" w:rsidRPr="0063570C" w:rsidRDefault="0064038E">
      <w:pPr>
        <w:pStyle w:val="Heading6"/>
      </w:pPr>
      <w:r>
        <w:t>Progressing</w:t>
      </w:r>
      <w:r w:rsidRPr="0063570C">
        <w:t xml:space="preserve"> the Housing Statement’s High-Rise Redevelopment Program</w:t>
      </w:r>
    </w:p>
    <w:p w14:paraId="699807D0" w14:textId="2D1C97B8" w:rsidR="0064038E" w:rsidRPr="00094463" w:rsidRDefault="0064038E">
      <w:pPr>
        <w:pStyle w:val="ARbody"/>
      </w:pPr>
      <w:r w:rsidRPr="00094463">
        <w:t>As part of Victoria’s Housing Statement, all 44</w:t>
      </w:r>
      <w:r>
        <w:t> </w:t>
      </w:r>
      <w:r w:rsidRPr="00094463">
        <w:t xml:space="preserve">older-style public housing high-rise towers </w:t>
      </w:r>
      <w:r>
        <w:t>will</w:t>
      </w:r>
      <w:r w:rsidRPr="00094463">
        <w:t xml:space="preserve"> be redeveloped</w:t>
      </w:r>
      <w:r>
        <w:t>. These</w:t>
      </w:r>
      <w:r w:rsidRPr="00094463">
        <w:t xml:space="preserve"> are no longer fit for modern living. Once complete</w:t>
      </w:r>
      <w:r>
        <w:t>,</w:t>
      </w:r>
      <w:r w:rsidRPr="00094463">
        <w:t xml:space="preserve"> the redevelopment </w:t>
      </w:r>
      <w:r>
        <w:t>will increase the number of social homes across these sites by at least 10%. The total number of people living on the estates will increase from 10,000 to around 30,000.</w:t>
      </w:r>
    </w:p>
    <w:p w14:paraId="0870AE74" w14:textId="78312126" w:rsidR="0064038E" w:rsidRDefault="0064038E">
      <w:pPr>
        <w:pStyle w:val="ARbody"/>
      </w:pPr>
      <w:proofErr w:type="gramStart"/>
      <w:r>
        <w:t>At</w:t>
      </w:r>
      <w:proofErr w:type="gramEnd"/>
      <w:r>
        <w:t xml:space="preserve"> June 2025, the department’s</w:t>
      </w:r>
      <w:r w:rsidRPr="51B6461D">
        <w:t xml:space="preserve"> dedicated relocations team </w:t>
      </w:r>
      <w:r>
        <w:t>had</w:t>
      </w:r>
      <w:r w:rsidRPr="00E87FB8">
        <w:t xml:space="preserve"> supported </w:t>
      </w:r>
      <w:r>
        <w:t>366</w:t>
      </w:r>
      <w:r w:rsidRPr="00F21940">
        <w:t xml:space="preserve"> </w:t>
      </w:r>
      <w:r w:rsidRPr="00E87FB8">
        <w:t xml:space="preserve">households </w:t>
      </w:r>
      <w:r>
        <w:t xml:space="preserve">from Flemington and North Melbourne </w:t>
      </w:r>
      <w:r w:rsidRPr="00E87FB8">
        <w:t>to move</w:t>
      </w:r>
      <w:r>
        <w:t xml:space="preserve"> to a new home. The team also met with </w:t>
      </w:r>
      <w:r w:rsidRPr="00867169">
        <w:t>99%</w:t>
      </w:r>
      <w:r>
        <w:t xml:space="preserve"> of all households. For the Richmond and South Yarra sites, we met with 93% of all households. We supported 98 households to move to a new home.</w:t>
      </w:r>
    </w:p>
    <w:p w14:paraId="65E1543B" w14:textId="77777777" w:rsidR="0064038E" w:rsidRPr="00BC6682" w:rsidRDefault="0064038E">
      <w:pPr>
        <w:pStyle w:val="Heading6"/>
      </w:pPr>
      <w:r>
        <w:t>Continuing innovative delivery options through the Ground Lease Model</w:t>
      </w:r>
    </w:p>
    <w:p w14:paraId="3310235B" w14:textId="09AE479F" w:rsidR="0064038E" w:rsidRDefault="0064038E">
      <w:pPr>
        <w:pStyle w:val="ARbody"/>
      </w:pPr>
      <w:r>
        <w:t>The</w:t>
      </w:r>
      <w:r w:rsidRPr="00BC6682">
        <w:t xml:space="preserve"> department</w:t>
      </w:r>
      <w:r>
        <w:t xml:space="preserve"> will deliver </w:t>
      </w:r>
      <w:r w:rsidRPr="004328BA">
        <w:t>2,740</w:t>
      </w:r>
      <w:r w:rsidRPr="00FE4BCE">
        <w:t xml:space="preserve"> homes with a mix of social, affordable, market rental and specialist disability accommodation dwellings</w:t>
      </w:r>
      <w:r>
        <w:t xml:space="preserve">. We will do this under the innovative Ground Lease Model (GLM). This model allows </w:t>
      </w:r>
      <w:r w:rsidRPr="00BC6682">
        <w:t xml:space="preserve">Homes Victoria </w:t>
      </w:r>
      <w:r>
        <w:t xml:space="preserve">to </w:t>
      </w:r>
      <w:r w:rsidRPr="00BC6682">
        <w:t>retain ownership of land</w:t>
      </w:r>
      <w:r>
        <w:t xml:space="preserve">. Homes Victoria </w:t>
      </w:r>
      <w:r w:rsidRPr="00BC6682">
        <w:t>partner</w:t>
      </w:r>
      <w:r>
        <w:t>s</w:t>
      </w:r>
      <w:r w:rsidRPr="00BC6682">
        <w:t xml:space="preserve"> with not-for-profit groups </w:t>
      </w:r>
      <w:r>
        <w:t>that</w:t>
      </w:r>
      <w:r w:rsidRPr="00BC6682">
        <w:t xml:space="preserve"> finance, plan, design, build and manage</w:t>
      </w:r>
      <w:r>
        <w:t xml:space="preserve"> the</w:t>
      </w:r>
      <w:r w:rsidRPr="00BC6682">
        <w:t xml:space="preserve"> homes</w:t>
      </w:r>
      <w:r>
        <w:t xml:space="preserve">. After </w:t>
      </w:r>
      <w:r w:rsidRPr="00BC6682">
        <w:t>40 years</w:t>
      </w:r>
      <w:r>
        <w:t>,</w:t>
      </w:r>
      <w:r w:rsidRPr="00BC6682">
        <w:t xml:space="preserve"> </w:t>
      </w:r>
      <w:r>
        <w:t>the d</w:t>
      </w:r>
      <w:r w:rsidRPr="00BC6682">
        <w:t xml:space="preserve">wellings </w:t>
      </w:r>
      <w:r>
        <w:t xml:space="preserve">are handed </w:t>
      </w:r>
      <w:r w:rsidRPr="00BC6682">
        <w:t>back to Homes Victoria.</w:t>
      </w:r>
      <w:r w:rsidR="00657B45">
        <w:br w:type="column"/>
      </w:r>
      <w:r>
        <w:t xml:space="preserve">The first GLM delivered </w:t>
      </w:r>
      <w:r w:rsidRPr="004A214D">
        <w:t>1,084 homes</w:t>
      </w:r>
      <w:r>
        <w:t xml:space="preserve"> in Brighton, Flemington and Prahran. The second GLM has so far seen</w:t>
      </w:r>
      <w:r w:rsidRPr="004A214D">
        <w:t xml:space="preserve"> </w:t>
      </w:r>
      <w:r>
        <w:t xml:space="preserve">delivered </w:t>
      </w:r>
      <w:r w:rsidRPr="00F51BA0">
        <w:t>1,370</w:t>
      </w:r>
      <w:r>
        <w:t xml:space="preserve"> homes. These are in</w:t>
      </w:r>
      <w:r w:rsidDel="36E2107F">
        <w:t xml:space="preserve"> </w:t>
      </w:r>
      <w:r w:rsidRPr="007533F8">
        <w:t>Prahran, South Yarra, Hampton East and Port</w:t>
      </w:r>
      <w:r w:rsidR="00657B45">
        <w:t> </w:t>
      </w:r>
      <w:r w:rsidRPr="007533F8">
        <w:t>Melbourne</w:t>
      </w:r>
      <w:r>
        <w:t>.</w:t>
      </w:r>
    </w:p>
    <w:p w14:paraId="0D292D02" w14:textId="0FC4DA76" w:rsidR="0064038E" w:rsidRDefault="0064038E">
      <w:pPr>
        <w:pStyle w:val="ARbody"/>
      </w:pPr>
      <w:r>
        <w:t>Homes Victoria</w:t>
      </w:r>
      <w:r w:rsidRPr="009B4843">
        <w:t xml:space="preserve"> will continue to pursue innovative delivery programs, such as the </w:t>
      </w:r>
      <w:r>
        <w:t>GLM</w:t>
      </w:r>
      <w:r w:rsidRPr="009B4843">
        <w:t>, acquisition initiatives and modern methods of construction</w:t>
      </w:r>
      <w:r>
        <w:t xml:space="preserve">. This </w:t>
      </w:r>
      <w:r w:rsidRPr="009B4843">
        <w:t>support</w:t>
      </w:r>
      <w:r>
        <w:t>s</w:t>
      </w:r>
      <w:r w:rsidRPr="009B4843">
        <w:t xml:space="preserve"> better outcomes for renters, while fostering stability of construction industries.</w:t>
      </w:r>
    </w:p>
    <w:p w14:paraId="7FB05C1F" w14:textId="77777777" w:rsidR="0064038E" w:rsidRPr="00AB403E" w:rsidRDefault="0064038E">
      <w:pPr>
        <w:pStyle w:val="Heading6"/>
      </w:pPr>
      <w:r w:rsidRPr="00AB403E">
        <w:t>Partner</w:t>
      </w:r>
      <w:r>
        <w:t>ing</w:t>
      </w:r>
      <w:r w:rsidRPr="00AB403E">
        <w:t xml:space="preserve"> </w:t>
      </w:r>
      <w:r>
        <w:t>with the Commonwealth Government to get our share of housing funds</w:t>
      </w:r>
    </w:p>
    <w:p w14:paraId="2BCB0C85" w14:textId="6AF8FBB8" w:rsidR="0064038E" w:rsidRPr="00E0693D" w:rsidRDefault="0064038E">
      <w:pPr>
        <w:pStyle w:val="ARbody"/>
      </w:pPr>
      <w:r>
        <w:t>The department</w:t>
      </w:r>
      <w:r w:rsidRPr="006A5F62">
        <w:t xml:space="preserve"> is </w:t>
      </w:r>
      <w:r>
        <w:t>working</w:t>
      </w:r>
      <w:r w:rsidRPr="006A5F62">
        <w:t xml:space="preserve"> with the Commonwealth Government to deliver</w:t>
      </w:r>
      <w:r>
        <w:t xml:space="preserve"> 797 social housing homes. We are doing this through</w:t>
      </w:r>
      <w:r w:rsidRPr="006A5F62">
        <w:t xml:space="preserve"> the Social Housing Accelerator </w:t>
      </w:r>
      <w:r>
        <w:t>investment. This includes 80 homes for First Peoples</w:t>
      </w:r>
      <w:r w:rsidRPr="00D47E60">
        <w:t>.</w:t>
      </w:r>
      <w:r w:rsidRPr="00933646">
        <w:rPr>
          <w:rFonts w:ascii="Avenir Book" w:eastAsiaTheme="minorHAnsi" w:hAnsi="Avenir Book" w:cstheme="minorBidi"/>
          <w:color w:val="000000"/>
          <w:sz w:val="22"/>
          <w:szCs w:val="22"/>
          <w:shd w:val="clear" w:color="auto" w:fill="FFFFFF"/>
        </w:rPr>
        <w:t xml:space="preserve"> </w:t>
      </w:r>
      <w:r>
        <w:t xml:space="preserve">By June 2025, we had completed 146 homes. In addition, we had started or planned 651 dwellings. This includes </w:t>
      </w:r>
      <w:r w:rsidRPr="00605C08">
        <w:t>the Elgin Towers</w:t>
      </w:r>
      <w:r>
        <w:t xml:space="preserve"> in Carlton, where</w:t>
      </w:r>
      <w:r w:rsidRPr="00E0693D">
        <w:rPr>
          <w:rFonts w:ascii="VIC" w:eastAsia="Times New Roman" w:hAnsi="VIC" w:cs="Times New Roman"/>
          <w:color w:val="000000"/>
          <w:sz w:val="24"/>
          <w:lang w:eastAsia="en-AU"/>
        </w:rPr>
        <w:t xml:space="preserve"> </w:t>
      </w:r>
      <w:r w:rsidRPr="00E0693D">
        <w:t>248 new</w:t>
      </w:r>
      <w:r>
        <w:t xml:space="preserve"> </w:t>
      </w:r>
      <w:r w:rsidRPr="00E0693D">
        <w:t>homes will replace 196 old dwellings that are no longer fit for purpose.</w:t>
      </w:r>
    </w:p>
    <w:p w14:paraId="27AC1C84" w14:textId="110E47D5" w:rsidR="0064038E" w:rsidRDefault="0064038E">
      <w:pPr>
        <w:pStyle w:val="ARbody"/>
      </w:pPr>
      <w:r>
        <w:t xml:space="preserve">The department is also working with the Commonwealth to progress: </w:t>
      </w:r>
    </w:p>
    <w:p w14:paraId="10CEB166" w14:textId="21F067F5" w:rsidR="0064038E" w:rsidRDefault="0064038E" w:rsidP="00F375A6">
      <w:pPr>
        <w:pStyle w:val="ARbullet1"/>
        <w:numPr>
          <w:ilvl w:val="0"/>
          <w:numId w:val="23"/>
        </w:numPr>
      </w:pPr>
      <w:r>
        <w:t>Housing Australia Future Fund Facility and National Housing Accord Facility. These support the delivery of 2,551 social and 2,867 affordable</w:t>
      </w:r>
      <w:r w:rsidR="00657B45">
        <w:t> </w:t>
      </w:r>
      <w:r>
        <w:t>dwellings</w:t>
      </w:r>
    </w:p>
    <w:p w14:paraId="6478476E" w14:textId="1924D46C" w:rsidR="0064038E" w:rsidRDefault="0064038E" w:rsidP="00F375A6">
      <w:pPr>
        <w:pStyle w:val="ARbullet1"/>
        <w:numPr>
          <w:ilvl w:val="0"/>
          <w:numId w:val="23"/>
        </w:numPr>
      </w:pPr>
      <w:r w:rsidRPr="002F2023">
        <w:t xml:space="preserve">Housing Support Program Priority Works </w:t>
      </w:r>
      <w:r>
        <w:t>s</w:t>
      </w:r>
      <w:r w:rsidRPr="002F2023">
        <w:t>tream</w:t>
      </w:r>
      <w:r>
        <w:t>. This</w:t>
      </w:r>
      <w:r w:rsidRPr="002F2023">
        <w:t xml:space="preserve"> support</w:t>
      </w:r>
      <w:r>
        <w:t>s</w:t>
      </w:r>
      <w:r w:rsidRPr="002F2023">
        <w:t xml:space="preserve"> the delivery of around 868</w:t>
      </w:r>
      <w:r w:rsidR="008149F0">
        <w:t> </w:t>
      </w:r>
      <w:r w:rsidRPr="002F2023">
        <w:t>social and affordable homes</w:t>
      </w:r>
      <w:r>
        <w:t>.</w:t>
      </w:r>
    </w:p>
    <w:p w14:paraId="75593BB2" w14:textId="77777777" w:rsidR="0064038E" w:rsidRPr="000150B7" w:rsidRDefault="0064038E">
      <w:pPr>
        <w:pStyle w:val="Heading6"/>
      </w:pPr>
      <w:r>
        <w:t>Transforming housing through the Public Housing Renewal Program</w:t>
      </w:r>
    </w:p>
    <w:p w14:paraId="7B541BB7" w14:textId="74CBCD4A" w:rsidR="0064038E" w:rsidRDefault="0064038E">
      <w:pPr>
        <w:pStyle w:val="ARbody"/>
      </w:pPr>
      <w:r w:rsidRPr="00E15970">
        <w:t>The Public Housing Renewal Program continues to transform some of the oldest public housing estates in metropolitan Melbourne</w:t>
      </w:r>
      <w:r>
        <w:t>.</w:t>
      </w:r>
      <w:r w:rsidRPr="00E15970">
        <w:t xml:space="preserve"> </w:t>
      </w:r>
      <w:r>
        <w:t xml:space="preserve">It will </w:t>
      </w:r>
      <w:r w:rsidRPr="00E15970">
        <w:t xml:space="preserve">deliver vibrant, well-connected communities. </w:t>
      </w:r>
    </w:p>
    <w:p w14:paraId="64B825A7" w14:textId="228C19D8" w:rsidR="0064038E" w:rsidRPr="00E15970" w:rsidRDefault="0064038E">
      <w:pPr>
        <w:pStyle w:val="ARbody"/>
      </w:pPr>
      <w:r w:rsidRPr="00E15970">
        <w:t xml:space="preserve">The program will </w:t>
      </w:r>
      <w:r>
        <w:t xml:space="preserve">provide </w:t>
      </w:r>
      <w:r w:rsidRPr="00E15970">
        <w:t>approximately 1,300 social and market homes</w:t>
      </w:r>
      <w:r>
        <w:t>.</w:t>
      </w:r>
      <w:r w:rsidRPr="00E15970">
        <w:t xml:space="preserve"> </w:t>
      </w:r>
      <w:r>
        <w:t>These dwellings</w:t>
      </w:r>
      <w:r w:rsidRPr="00E15970">
        <w:t xml:space="preserve"> are modern, accessible and energy efficient</w:t>
      </w:r>
      <w:r>
        <w:t>. They are located</w:t>
      </w:r>
      <w:r w:rsidRPr="00E15970">
        <w:t xml:space="preserve"> at sites in North Melbourne, Northcote, Preston and Brunswick West. This will increase the number of social homes at these locations by </w:t>
      </w:r>
      <w:r w:rsidRPr="00E15970" w:rsidDel="00B653A7">
        <w:t>more than 50</w:t>
      </w:r>
      <w:r w:rsidRPr="00E15970">
        <w:t>%.</w:t>
      </w:r>
    </w:p>
    <w:p w14:paraId="07896059" w14:textId="77777777" w:rsidR="0064038E" w:rsidRPr="00BA0F2F" w:rsidRDefault="0064038E">
      <w:pPr>
        <w:pStyle w:val="ARbody"/>
      </w:pPr>
      <w:proofErr w:type="gramStart"/>
      <w:r w:rsidRPr="14769346">
        <w:t>At</w:t>
      </w:r>
      <w:proofErr w:type="gramEnd"/>
      <w:r w:rsidRPr="14769346">
        <w:t xml:space="preserve"> June 2025, </w:t>
      </w:r>
      <w:r>
        <w:t>700</w:t>
      </w:r>
      <w:r w:rsidRPr="14769346">
        <w:t xml:space="preserve"> homes</w:t>
      </w:r>
      <w:r w:rsidRPr="00234827">
        <w:t xml:space="preserve"> </w:t>
      </w:r>
      <w:r w:rsidRPr="14769346">
        <w:t>ha</w:t>
      </w:r>
      <w:r>
        <w:t>ve</w:t>
      </w:r>
      <w:r w:rsidRPr="14769346">
        <w:t xml:space="preserve"> been completed across sites in Preston, Brunswick West, Northcote and North Melbourne. </w:t>
      </w:r>
    </w:p>
    <w:p w14:paraId="3C41E04B" w14:textId="77777777" w:rsidR="0064038E" w:rsidRPr="004006BD" w:rsidRDefault="0064038E">
      <w:pPr>
        <w:pStyle w:val="Heading6"/>
      </w:pPr>
      <w:r w:rsidRPr="004006BD">
        <w:rPr>
          <w:lang w:val="en-US"/>
        </w:rPr>
        <w:lastRenderedPageBreak/>
        <w:t>Addressing affordability through new affordable housing supply</w:t>
      </w:r>
    </w:p>
    <w:p w14:paraId="46466C4C" w14:textId="578DA847" w:rsidR="0064038E" w:rsidRDefault="0064038E">
      <w:pPr>
        <w:pStyle w:val="ARbody"/>
      </w:pPr>
      <w:r w:rsidRPr="004006BD">
        <w:t xml:space="preserve">The Affordable Housing Rental Scheme and Ground </w:t>
      </w:r>
      <w:r>
        <w:t>L</w:t>
      </w:r>
      <w:r w:rsidRPr="004006BD">
        <w:t xml:space="preserve">ease </w:t>
      </w:r>
      <w:r>
        <w:t>M</w:t>
      </w:r>
      <w:r w:rsidRPr="004006BD">
        <w:t xml:space="preserve">odel programs provide </w:t>
      </w:r>
      <w:r>
        <w:t xml:space="preserve">affordable </w:t>
      </w:r>
      <w:r w:rsidRPr="004006BD">
        <w:t>housing</w:t>
      </w:r>
      <w:r>
        <w:t xml:space="preserve"> for </w:t>
      </w:r>
      <w:r w:rsidRPr="004006BD">
        <w:t>low to moderate income households</w:t>
      </w:r>
      <w:r>
        <w:t xml:space="preserve">. Eligible people include </w:t>
      </w:r>
      <w:r w:rsidRPr="004006BD">
        <w:t xml:space="preserve">casual and essential workers </w:t>
      </w:r>
      <w:r>
        <w:t>experiencing</w:t>
      </w:r>
      <w:r w:rsidRPr="004006BD">
        <w:t xml:space="preserve"> rental stress.</w:t>
      </w:r>
    </w:p>
    <w:p w14:paraId="16B56B4A" w14:textId="1A8E924C" w:rsidR="0064038E" w:rsidRPr="004006BD" w:rsidRDefault="0064038E">
      <w:pPr>
        <w:pStyle w:val="ARbody"/>
      </w:pPr>
      <w:r>
        <w:t>These modern,</w:t>
      </w:r>
      <w:r w:rsidRPr="004006BD">
        <w:t xml:space="preserve"> affordable homes are close to shops, transport and workplaces. This creates opportunities for people to connect and participate in their local communities. </w:t>
      </w:r>
      <w:r>
        <w:t>The department</w:t>
      </w:r>
      <w:r w:rsidRPr="004006BD">
        <w:t xml:space="preserve"> </w:t>
      </w:r>
      <w:r>
        <w:t>provides discounts to the local rental market for eligible applicants. The programs ensure</w:t>
      </w:r>
      <w:r w:rsidRPr="004006BD">
        <w:t xml:space="preserve"> security of tenure and </w:t>
      </w:r>
      <w:r>
        <w:t>affordable housing.</w:t>
      </w:r>
    </w:p>
    <w:p w14:paraId="48E1BAE4" w14:textId="0E73D1DD" w:rsidR="0064038E" w:rsidRDefault="0064038E">
      <w:pPr>
        <w:pStyle w:val="ARbody"/>
        <w:rPr>
          <w:color w:val="000000" w:themeColor="text1"/>
        </w:rPr>
      </w:pPr>
      <w:r w:rsidRPr="004006BD">
        <w:t>In 2024</w:t>
      </w:r>
      <w:r>
        <w:t>–</w:t>
      </w:r>
      <w:r w:rsidRPr="004006BD">
        <w:t>25, the department delivered 286 new affordable homes</w:t>
      </w:r>
      <w:r>
        <w:t xml:space="preserve">. This brought </w:t>
      </w:r>
      <w:r w:rsidRPr="004006BD">
        <w:t>the total portfolio to</w:t>
      </w:r>
      <w:r w:rsidR="00B44406">
        <w:t> </w:t>
      </w:r>
      <w:r w:rsidRPr="004006BD">
        <w:t>693</w:t>
      </w:r>
      <w:r w:rsidR="00B44406">
        <w:t> </w:t>
      </w:r>
      <w:r w:rsidRPr="004006BD">
        <w:t>homes.</w:t>
      </w:r>
    </w:p>
    <w:p w14:paraId="16CBA1D6" w14:textId="77777777" w:rsidR="0064038E" w:rsidRPr="003438E5" w:rsidRDefault="0064038E">
      <w:pPr>
        <w:pStyle w:val="Heading6"/>
      </w:pPr>
      <w:r>
        <w:t>Delivering s</w:t>
      </w:r>
      <w:r w:rsidRPr="003438E5">
        <w:t xml:space="preserve">afe and secure housing for victim survivors of family violence </w:t>
      </w:r>
    </w:p>
    <w:p w14:paraId="1D0C3C87" w14:textId="26DE71B1" w:rsidR="0064038E" w:rsidRPr="009B3C70" w:rsidRDefault="0064038E">
      <w:pPr>
        <w:pStyle w:val="ARbody"/>
      </w:pPr>
      <w:r w:rsidRPr="009B3C70">
        <w:t>The department</w:t>
      </w:r>
      <w:r>
        <w:t>’s</w:t>
      </w:r>
      <w:r w:rsidRPr="009B3C70">
        <w:t xml:space="preserve"> Refuge Redevelopment Program </w:t>
      </w:r>
      <w:r>
        <w:t>is</w:t>
      </w:r>
      <w:r w:rsidRPr="009B3C70">
        <w:t xml:space="preserve"> replac</w:t>
      </w:r>
      <w:r>
        <w:t>ing</w:t>
      </w:r>
      <w:r w:rsidRPr="009B3C70">
        <w:t xml:space="preserve"> 17 communal refuges with ‘core and cluster’ designs</w:t>
      </w:r>
      <w:r>
        <w:t>. It is also building</w:t>
      </w:r>
      <w:r w:rsidRPr="009B3C70">
        <w:t xml:space="preserve"> 3 new</w:t>
      </w:r>
      <w:r>
        <w:t xml:space="preserve"> refuges for</w:t>
      </w:r>
      <w:r w:rsidR="00657B45">
        <w:t> </w:t>
      </w:r>
      <w:r w:rsidRPr="009B3C70">
        <w:t xml:space="preserve">Aboriginal </w:t>
      </w:r>
      <w:r>
        <w:t>victim survivors</w:t>
      </w:r>
      <w:r w:rsidRPr="009B3C70">
        <w:t>. A</w:t>
      </w:r>
      <w:r>
        <w:t>t</w:t>
      </w:r>
      <w:r w:rsidRPr="009B3C70">
        <w:t xml:space="preserve"> June 202</w:t>
      </w:r>
      <w:r>
        <w:t>5</w:t>
      </w:r>
      <w:r w:rsidRPr="009B3C70">
        <w:t xml:space="preserve">, </w:t>
      </w:r>
      <w:r w:rsidRPr="00E1007B">
        <w:t>16</w:t>
      </w:r>
      <w:r w:rsidR="00657B45">
        <w:t> </w:t>
      </w:r>
      <w:proofErr w:type="spellStart"/>
      <w:r w:rsidRPr="009B3C70">
        <w:t>refuges</w:t>
      </w:r>
      <w:proofErr w:type="spellEnd"/>
      <w:r w:rsidRPr="009B3C70">
        <w:t xml:space="preserve"> were completed</w:t>
      </w:r>
      <w:r>
        <w:t>. A f</w:t>
      </w:r>
      <w:r w:rsidRPr="009B3C70">
        <w:t xml:space="preserve">urther </w:t>
      </w:r>
      <w:r w:rsidRPr="00E1007B">
        <w:t>4</w:t>
      </w:r>
      <w:r w:rsidRPr="009B3C70">
        <w:t xml:space="preserve"> </w:t>
      </w:r>
      <w:r>
        <w:t>are in</w:t>
      </w:r>
      <w:r w:rsidR="00657B45">
        <w:t> </w:t>
      </w:r>
      <w:r w:rsidRPr="009B3C70">
        <w:t>redevelopment</w:t>
      </w:r>
      <w:r>
        <w:t>.</w:t>
      </w:r>
    </w:p>
    <w:p w14:paraId="797AB9D7" w14:textId="585E88C3" w:rsidR="0064038E" w:rsidRPr="009B3C70" w:rsidRDefault="0064038E">
      <w:pPr>
        <w:pStyle w:val="ARbody"/>
      </w:pPr>
      <w:r w:rsidRPr="009B3C70">
        <w:t>The core and cluster refuges provide separate units</w:t>
      </w:r>
      <w:r>
        <w:t xml:space="preserve"> for victim survivors. They provide</w:t>
      </w:r>
      <w:r w:rsidRPr="009B3C70">
        <w:t xml:space="preserve"> privacy </w:t>
      </w:r>
      <w:r>
        <w:t>as well as</w:t>
      </w:r>
      <w:r w:rsidRPr="009B3C70">
        <w:t xml:space="preserve"> stable, safe and secure accommodation. The units are accessible</w:t>
      </w:r>
      <w:r>
        <w:t>.</w:t>
      </w:r>
      <w:r w:rsidRPr="009B3C70">
        <w:t xml:space="preserve"> </w:t>
      </w:r>
      <w:r>
        <w:t>They are</w:t>
      </w:r>
      <w:r w:rsidRPr="009B3C70">
        <w:t xml:space="preserve"> appropriate for diverse cohorts</w:t>
      </w:r>
      <w:r>
        <w:t>,</w:t>
      </w:r>
      <w:r w:rsidRPr="009B3C70">
        <w:t xml:space="preserve"> including LGBT</w:t>
      </w:r>
      <w:r>
        <w:t>I</w:t>
      </w:r>
      <w:r w:rsidRPr="009B3C70">
        <w:t>QA+ communities and people with disabilities</w:t>
      </w:r>
      <w:r>
        <w:t>. The refuges are staffed</w:t>
      </w:r>
      <w:r w:rsidRPr="009B3C70">
        <w:t xml:space="preserve"> 24</w:t>
      </w:r>
      <w:r w:rsidR="008149F0">
        <w:t> </w:t>
      </w:r>
      <w:r w:rsidRPr="009B3C70">
        <w:t xml:space="preserve">hours a day, 7 days a week. </w:t>
      </w:r>
    </w:p>
    <w:p w14:paraId="74387326" w14:textId="5991FF57" w:rsidR="0064038E" w:rsidRDefault="0064038E">
      <w:pPr>
        <w:pStyle w:val="Heading5"/>
        <w:spacing w:before="120"/>
      </w:pPr>
      <w:r>
        <w:t>Better and more comfortable public</w:t>
      </w:r>
      <w:r w:rsidR="00657B45">
        <w:t> </w:t>
      </w:r>
      <w:r>
        <w:t>housing</w:t>
      </w:r>
    </w:p>
    <w:p w14:paraId="34A6775C" w14:textId="5C881554" w:rsidR="0064038E" w:rsidRDefault="0064038E">
      <w:pPr>
        <w:pStyle w:val="ARbody"/>
      </w:pPr>
      <w:r w:rsidRPr="00904BC4" w:rsidDel="00A50A4D">
        <w:t xml:space="preserve">The </w:t>
      </w:r>
      <w:r>
        <w:t xml:space="preserve">department continues to work hard to ensure renters have a safe and comfortable home. We strive to keep public housing properties </w:t>
      </w:r>
      <w:r w:rsidR="00462409">
        <w:t xml:space="preserve">in </w:t>
      </w:r>
      <w:r>
        <w:t>good</w:t>
      </w:r>
      <w:r w:rsidR="00B44406">
        <w:t> </w:t>
      </w:r>
      <w:r>
        <w:t>repair.</w:t>
      </w:r>
    </w:p>
    <w:p w14:paraId="713DD651" w14:textId="77777777" w:rsidR="0064038E" w:rsidRPr="002E74A2" w:rsidRDefault="0064038E">
      <w:pPr>
        <w:pStyle w:val="Heading6"/>
      </w:pPr>
      <w:r w:rsidRPr="002E74A2">
        <w:rPr>
          <w:lang w:val="en-AU"/>
        </w:rPr>
        <w:t>Delivering high-quality, safe and sustainable</w:t>
      </w:r>
      <w:r>
        <w:rPr>
          <w:lang w:val="en-AU"/>
        </w:rPr>
        <w:t xml:space="preserve"> upgrades to</w:t>
      </w:r>
      <w:r w:rsidRPr="002E74A2">
        <w:rPr>
          <w:lang w:val="en-AU"/>
        </w:rPr>
        <w:t xml:space="preserve"> housing</w:t>
      </w:r>
      <w:r>
        <w:rPr>
          <w:lang w:val="en-AU"/>
        </w:rPr>
        <w:t xml:space="preserve"> </w:t>
      </w:r>
    </w:p>
    <w:p w14:paraId="6654AE11" w14:textId="64E69A2A" w:rsidR="0064038E" w:rsidRDefault="0064038E">
      <w:pPr>
        <w:pStyle w:val="ARbody"/>
      </w:pPr>
      <w:r>
        <w:t>The department undertakes</w:t>
      </w:r>
      <w:r w:rsidRPr="00743751">
        <w:t xml:space="preserve"> over </w:t>
      </w:r>
      <w:r>
        <w:t xml:space="preserve">350,000 </w:t>
      </w:r>
      <w:r w:rsidRPr="00743751">
        <w:t>maintenance activities each year</w:t>
      </w:r>
      <w:r>
        <w:t>. These include</w:t>
      </w:r>
      <w:r w:rsidRPr="00743751">
        <w:t xml:space="preserve"> essential safety, planned, vacant and responsive maintenance</w:t>
      </w:r>
      <w:r>
        <w:t>. This work covers more than 67</w:t>
      </w:r>
      <w:r w:rsidRPr="00743751">
        <w:t xml:space="preserve">,000 </w:t>
      </w:r>
      <w:r>
        <w:t xml:space="preserve">public housing and transitional homes. </w:t>
      </w:r>
      <w:r w:rsidR="000B1DC6">
        <w:br w:type="column"/>
      </w:r>
      <w:r>
        <w:t xml:space="preserve">More than 1,700 public housing properties were upgraded and improved in 2024–25. This means </w:t>
      </w:r>
      <w:r w:rsidRPr="3176711A">
        <w:rPr>
          <w:rFonts w:eastAsia="Arial"/>
        </w:rPr>
        <w:t xml:space="preserve">more </w:t>
      </w:r>
      <w:r w:rsidRPr="0FDE5A77">
        <w:rPr>
          <w:rFonts w:eastAsia="Arial"/>
        </w:rPr>
        <w:t xml:space="preserve">renters have a </w:t>
      </w:r>
      <w:r w:rsidRPr="094AC2FD">
        <w:rPr>
          <w:rFonts w:eastAsia="Arial"/>
        </w:rPr>
        <w:t xml:space="preserve">modern, </w:t>
      </w:r>
      <w:r w:rsidRPr="0FDE5A77">
        <w:rPr>
          <w:rFonts w:eastAsia="Arial"/>
        </w:rPr>
        <w:t>safe</w:t>
      </w:r>
      <w:r w:rsidRPr="094AC2FD">
        <w:rPr>
          <w:rFonts w:eastAsia="Arial"/>
        </w:rPr>
        <w:t xml:space="preserve">, </w:t>
      </w:r>
      <w:r w:rsidRPr="0FDE5A77">
        <w:rPr>
          <w:rFonts w:eastAsia="Arial"/>
        </w:rPr>
        <w:t xml:space="preserve">secure </w:t>
      </w:r>
      <w:r w:rsidRPr="094AC2FD">
        <w:rPr>
          <w:rFonts w:eastAsia="Arial"/>
        </w:rPr>
        <w:t>and energy</w:t>
      </w:r>
      <w:r w:rsidR="00ED624B">
        <w:rPr>
          <w:rFonts w:eastAsia="Arial"/>
        </w:rPr>
        <w:t>-</w:t>
      </w:r>
      <w:r w:rsidRPr="094AC2FD">
        <w:rPr>
          <w:rFonts w:eastAsia="Arial"/>
        </w:rPr>
        <w:t>efficient home</w:t>
      </w:r>
      <w:r>
        <w:rPr>
          <w:rFonts w:eastAsia="Arial"/>
        </w:rPr>
        <w:t>. These homes meet</w:t>
      </w:r>
      <w:r w:rsidRPr="094AC2FD">
        <w:rPr>
          <w:rFonts w:eastAsia="Arial"/>
        </w:rPr>
        <w:t xml:space="preserve">, </w:t>
      </w:r>
      <w:r w:rsidRPr="3176711A">
        <w:rPr>
          <w:rFonts w:eastAsia="Arial"/>
        </w:rPr>
        <w:t>a</w:t>
      </w:r>
      <w:r>
        <w:rPr>
          <w:rFonts w:eastAsia="Arial"/>
        </w:rPr>
        <w:t>t</w:t>
      </w:r>
      <w:r w:rsidRPr="094AC2FD">
        <w:rPr>
          <w:rFonts w:eastAsia="Arial"/>
        </w:rPr>
        <w:t xml:space="preserve"> a minimum,</w:t>
      </w:r>
      <w:r w:rsidRPr="0FDE5A77">
        <w:rPr>
          <w:rFonts w:eastAsia="Arial"/>
        </w:rPr>
        <w:t xml:space="preserve"> condition </w:t>
      </w:r>
      <w:r w:rsidRPr="094AC2FD">
        <w:rPr>
          <w:rFonts w:eastAsia="Arial"/>
        </w:rPr>
        <w:t>standards</w:t>
      </w:r>
      <w:r>
        <w:rPr>
          <w:rFonts w:eastAsia="Arial"/>
        </w:rPr>
        <w:t xml:space="preserve"> set out in</w:t>
      </w:r>
      <w:r w:rsidRPr="0FDE5A77">
        <w:rPr>
          <w:rFonts w:eastAsia="Arial"/>
        </w:rPr>
        <w:t xml:space="preserve"> the </w:t>
      </w:r>
      <w:r w:rsidRPr="000763F6">
        <w:rPr>
          <w:rStyle w:val="Emphasis"/>
        </w:rPr>
        <w:t>Residential Tenancies Act 1997</w:t>
      </w:r>
      <w:r w:rsidRPr="094AC2FD">
        <w:rPr>
          <w:rFonts w:eastAsia="Arial"/>
        </w:rPr>
        <w:t>.</w:t>
      </w:r>
      <w:r w:rsidDel="00646007">
        <w:t xml:space="preserve"> </w:t>
      </w:r>
    </w:p>
    <w:p w14:paraId="59A6B57D" w14:textId="1F2F3E1A" w:rsidR="0064038E" w:rsidRDefault="0064038E">
      <w:pPr>
        <w:pStyle w:val="ARbody"/>
        <w:spacing w:line="250" w:lineRule="atLeast"/>
      </w:pPr>
      <w:r>
        <w:t xml:space="preserve">In addition, the High-Rise Cooling Program is delivering air-conditioning to older-style public housing towers. This program requires significant upgrades to the electrical infrastructure in many of the towers. </w:t>
      </w:r>
      <w:proofErr w:type="gramStart"/>
      <w:r>
        <w:t>At</w:t>
      </w:r>
      <w:proofErr w:type="gramEnd"/>
      <w:r>
        <w:t xml:space="preserve"> June 2025, air conditioners had been installed in 477 homes across 7 towers.</w:t>
      </w:r>
    </w:p>
    <w:p w14:paraId="6B8D6B27" w14:textId="77777777" w:rsidR="0064038E" w:rsidRDefault="0064038E">
      <w:pPr>
        <w:pStyle w:val="Heading6"/>
        <w:rPr>
          <w:lang w:val="en-AU"/>
        </w:rPr>
      </w:pPr>
      <w:r w:rsidRPr="0066174F">
        <w:rPr>
          <w:lang w:val="en-AU"/>
        </w:rPr>
        <w:t>Modernising the delivery of public housing maintenance</w:t>
      </w:r>
      <w:r>
        <w:rPr>
          <w:lang w:val="en-AU"/>
        </w:rPr>
        <w:t xml:space="preserve"> and increasing renter satisfaction</w:t>
      </w:r>
    </w:p>
    <w:p w14:paraId="2B54A2D7" w14:textId="2C1832B0" w:rsidR="0064038E" w:rsidRDefault="0064038E">
      <w:pPr>
        <w:pStyle w:val="ARbody"/>
      </w:pPr>
      <w:r w:rsidRPr="00C22C2B">
        <w:t xml:space="preserve">The department is improving maintenance for renters as part of the </w:t>
      </w:r>
      <w:r>
        <w:t>M</w:t>
      </w:r>
      <w:r w:rsidRPr="00C22C2B">
        <w:t xml:space="preserve">aintenance </w:t>
      </w:r>
      <w:r>
        <w:t>M</w:t>
      </w:r>
      <w:r w:rsidRPr="00C22C2B">
        <w:t xml:space="preserve">odernisation program. </w:t>
      </w:r>
      <w:r>
        <w:t>This includes</w:t>
      </w:r>
      <w:r w:rsidRPr="00C22C2B">
        <w:t xml:space="preserve"> process and system improvements</w:t>
      </w:r>
      <w:r>
        <w:t xml:space="preserve">. These </w:t>
      </w:r>
      <w:r w:rsidRPr="00C22C2B">
        <w:t>support renters and contractors at key points in the maintenance</w:t>
      </w:r>
      <w:r w:rsidR="00657B45">
        <w:t> </w:t>
      </w:r>
      <w:r w:rsidRPr="00C22C2B">
        <w:t xml:space="preserve">process. </w:t>
      </w:r>
    </w:p>
    <w:p w14:paraId="68F7ECB1" w14:textId="2C46BE6A" w:rsidR="0064038E" w:rsidRPr="00C22C2B" w:rsidRDefault="0064038E">
      <w:pPr>
        <w:pStyle w:val="ARbody"/>
      </w:pPr>
      <w:r w:rsidRPr="00C22C2B">
        <w:t xml:space="preserve">Improvements enable renters to raise electronic maintenance requests, attach photographs and track the progress of their </w:t>
      </w:r>
      <w:r>
        <w:t>requests.</w:t>
      </w:r>
      <w:r w:rsidRPr="00C22C2B">
        <w:t xml:space="preserve"> </w:t>
      </w:r>
      <w:r>
        <w:t>The system</w:t>
      </w:r>
      <w:r w:rsidRPr="00C22C2B">
        <w:t xml:space="preserve"> </w:t>
      </w:r>
      <w:r>
        <w:t>also gives</w:t>
      </w:r>
      <w:r w:rsidRPr="00C22C2B">
        <w:t xml:space="preserve"> contractors better information about the job before they arrive</w:t>
      </w:r>
      <w:r>
        <w:t xml:space="preserve">. This allows them </w:t>
      </w:r>
      <w:r w:rsidRPr="00C22C2B">
        <w:t xml:space="preserve">to complete more jobs </w:t>
      </w:r>
      <w:r>
        <w:t>on the first visit. It also gives renters certainty about the timing of the</w:t>
      </w:r>
      <w:r w:rsidRPr="00C22C2B">
        <w:t xml:space="preserve"> work. </w:t>
      </w:r>
    </w:p>
    <w:p w14:paraId="0A40334C" w14:textId="77777777" w:rsidR="0064038E" w:rsidRPr="00EE52A6" w:rsidRDefault="0064038E">
      <w:pPr>
        <w:pStyle w:val="Heading6"/>
      </w:pPr>
      <w:r w:rsidRPr="00EE52A6">
        <w:t>Progressing the Energy Efficiency in Social Housing Program</w:t>
      </w:r>
    </w:p>
    <w:p w14:paraId="5BFC9AC9" w14:textId="5F5FB87D" w:rsidR="0064038E" w:rsidRDefault="0064038E">
      <w:pPr>
        <w:pStyle w:val="ARbody"/>
      </w:pPr>
      <w:r>
        <w:t>The</w:t>
      </w:r>
      <w:r w:rsidRPr="003269ED">
        <w:t xml:space="preserve"> Energy Efficiency in Social Housing Program</w:t>
      </w:r>
      <w:r w:rsidRPr="00BB7C40">
        <w:t xml:space="preserve"> continues to </w:t>
      </w:r>
      <w:r w:rsidRPr="003269ED">
        <w:t>provid</w:t>
      </w:r>
      <w:r>
        <w:t>e</w:t>
      </w:r>
      <w:r w:rsidRPr="003269ED">
        <w:t xml:space="preserve"> energy efficiency upgrades across Victoria</w:t>
      </w:r>
      <w:r>
        <w:t>. This program reduces</w:t>
      </w:r>
      <w:r w:rsidRPr="003269ED">
        <w:t xml:space="preserve"> energy bills for low-income households. </w:t>
      </w:r>
      <w:bookmarkStart w:id="99" w:name="_Hlk204614514"/>
      <w:r>
        <w:t>The program will deliver more than 45,000 individual upgrades. At</w:t>
      </w:r>
      <w:r w:rsidR="008149F0">
        <w:t> </w:t>
      </w:r>
      <w:r>
        <w:t>least 5,000 homes will be fully electrified.</w:t>
      </w:r>
    </w:p>
    <w:p w14:paraId="04CB095C" w14:textId="4FDDA67D" w:rsidR="0064038E" w:rsidRDefault="0064038E">
      <w:pPr>
        <w:pStyle w:val="ARbody"/>
      </w:pPr>
      <w:r>
        <w:t>Works include installing high-efficiency reverse-cycle air conditioners, hot water heat pumps, electric and induction cooktops, draught sealing, ceiling insulation and solar photovoltaic systems.</w:t>
      </w:r>
    </w:p>
    <w:p w14:paraId="7C32B6F4" w14:textId="0548DDDC" w:rsidR="0064038E" w:rsidRDefault="0064038E">
      <w:pPr>
        <w:pStyle w:val="ARbody"/>
      </w:pPr>
      <w:r>
        <w:t>A further $120 million in federal funding was announced in May 2025. This will take the total investment in the program to over $329 million.</w:t>
      </w:r>
    </w:p>
    <w:p w14:paraId="40A1B91C" w14:textId="3D950AE1" w:rsidR="0007157A" w:rsidRDefault="0064038E">
      <w:pPr>
        <w:pStyle w:val="ARbody"/>
      </w:pPr>
      <w:proofErr w:type="gramStart"/>
      <w:r>
        <w:t>At</w:t>
      </w:r>
      <w:proofErr w:type="gramEnd"/>
      <w:r>
        <w:t xml:space="preserve"> June 2025, the department has delivered 21,000 energy</w:t>
      </w:r>
      <w:r w:rsidR="00ED624B">
        <w:t>-</w:t>
      </w:r>
      <w:r>
        <w:t>efficient upgrades. We have fully electrified more than 500 properties. We have also assessed a further 1,100 homes for full electrification.</w:t>
      </w:r>
      <w:r w:rsidR="0007157A">
        <w:br w:type="page"/>
      </w:r>
    </w:p>
    <w:bookmarkEnd w:id="99"/>
    <w:p w14:paraId="1747346D" w14:textId="426D1D40" w:rsidR="0064038E" w:rsidRPr="00C561B2" w:rsidRDefault="0064038E">
      <w:pPr>
        <w:pStyle w:val="Heading5"/>
        <w:rPr>
          <w:rFonts w:eastAsia="MS Mincho"/>
        </w:rPr>
      </w:pPr>
      <w:r w:rsidRPr="004726D4">
        <w:rPr>
          <w:rFonts w:eastAsia="MS Mincho"/>
        </w:rPr>
        <w:lastRenderedPageBreak/>
        <w:t>Reduc</w:t>
      </w:r>
      <w:r>
        <w:rPr>
          <w:rFonts w:eastAsia="MS Mincho"/>
        </w:rPr>
        <w:t>ing</w:t>
      </w:r>
      <w:r w:rsidRPr="004726D4">
        <w:rPr>
          <w:rFonts w:eastAsia="MS Mincho"/>
        </w:rPr>
        <w:t xml:space="preserve"> homelessness through housing and support</w:t>
      </w:r>
    </w:p>
    <w:p w14:paraId="21B2F77E" w14:textId="217685FE" w:rsidR="0064038E" w:rsidRDefault="0064038E">
      <w:pPr>
        <w:pStyle w:val="ARbody"/>
      </w:pPr>
      <w:r>
        <w:t>T</w:t>
      </w:r>
      <w:r w:rsidRPr="420ACC6F">
        <w:t>he department continued to invest in the specialist homelessness system</w:t>
      </w:r>
      <w:r>
        <w:t xml:space="preserve">. We aim </w:t>
      </w:r>
      <w:r w:rsidRPr="420ACC6F">
        <w:t>to make homelessness rare, brief and non-recurring</w:t>
      </w:r>
      <w:r>
        <w:t xml:space="preserve">. </w:t>
      </w:r>
    </w:p>
    <w:p w14:paraId="69CD5198" w14:textId="0AA8AEF0" w:rsidR="0064038E" w:rsidRDefault="0064038E">
      <w:pPr>
        <w:pStyle w:val="ARbody"/>
      </w:pPr>
      <w:r>
        <w:t>These investments have</w:t>
      </w:r>
      <w:r w:rsidRPr="420ACC6F">
        <w:t xml:space="preserve"> assist</w:t>
      </w:r>
      <w:r>
        <w:t>ed</w:t>
      </w:r>
      <w:r w:rsidRPr="420ACC6F">
        <w:t xml:space="preserve"> </w:t>
      </w:r>
      <w:r>
        <w:t xml:space="preserve">an estimated </w:t>
      </w:r>
      <w:r w:rsidRPr="00721636">
        <w:t xml:space="preserve">100,000 </w:t>
      </w:r>
      <w:r>
        <w:t>Victorians. O</w:t>
      </w:r>
      <w:r w:rsidRPr="420ACC6F">
        <w:t xml:space="preserve">f these, </w:t>
      </w:r>
      <w:r w:rsidRPr="00F44149">
        <w:t>around 29,000</w:t>
      </w:r>
      <w:r w:rsidRPr="420ACC6F">
        <w:t xml:space="preserve"> clients were provided with accommodation. </w:t>
      </w:r>
    </w:p>
    <w:p w14:paraId="04C03699" w14:textId="49B39CD2" w:rsidR="0064038E" w:rsidRDefault="0064038E">
      <w:pPr>
        <w:pStyle w:val="ARbody"/>
      </w:pPr>
      <w:r w:rsidRPr="420ACC6F">
        <w:t>The department administers more than $300 million e</w:t>
      </w:r>
      <w:r>
        <w:t>ach</w:t>
      </w:r>
      <w:r w:rsidRPr="420ACC6F">
        <w:t xml:space="preserve"> year to deliver </w:t>
      </w:r>
      <w:r>
        <w:t>a range of programs across the state. This includes initial assessment and planning at homelessness entry points</w:t>
      </w:r>
      <w:r w:rsidR="003B1149">
        <w:t xml:space="preserve"> and</w:t>
      </w:r>
      <w:r>
        <w:t xml:space="preserve"> case management support. It also includes emergency, transitional and supportive housing. We are also funding the Aboriginal Private Rental and mainstream Private Rental programs. These programs help people to maintain their housing. </w:t>
      </w:r>
    </w:p>
    <w:p w14:paraId="5CFB4128" w14:textId="77777777" w:rsidR="0064038E" w:rsidRDefault="0064038E" w:rsidP="0064038E">
      <w:pPr>
        <w:pStyle w:val="Heading6"/>
      </w:pPr>
      <w:r>
        <w:t>Delivering</w:t>
      </w:r>
      <w:r w:rsidRPr="0002455C">
        <w:t xml:space="preserve"> Housing First programs</w:t>
      </w:r>
      <w:r>
        <w:t>,</w:t>
      </w:r>
      <w:r w:rsidRPr="0002455C">
        <w:t xml:space="preserve"> including </w:t>
      </w:r>
      <w:r w:rsidRPr="00B75C7F">
        <w:t>Journey to Social Inclusion</w:t>
      </w:r>
      <w:r>
        <w:t xml:space="preserve"> </w:t>
      </w:r>
      <w:r w:rsidRPr="0011640F">
        <w:t>and</w:t>
      </w:r>
      <w:r w:rsidRPr="678AB67B">
        <w:rPr>
          <w:szCs w:val="20"/>
        </w:rPr>
        <w:t xml:space="preserve"> </w:t>
      </w:r>
      <w:r w:rsidRPr="0002455C">
        <w:t>Homes First</w:t>
      </w:r>
      <w:r w:rsidRPr="0002455C" w:rsidDel="00F44149">
        <w:t xml:space="preserve"> </w:t>
      </w:r>
    </w:p>
    <w:p w14:paraId="2DFF7080" w14:textId="19CF1E3A" w:rsidR="0064038E" w:rsidRDefault="0064038E">
      <w:pPr>
        <w:pStyle w:val="ARbody"/>
      </w:pPr>
      <w:r>
        <w:t>T</w:t>
      </w:r>
      <w:r w:rsidRPr="00536C8F">
        <w:t xml:space="preserve">he </w:t>
      </w:r>
      <w:r>
        <w:t xml:space="preserve">department has expanded the innovative Journey to Social Inclusion program. This program </w:t>
      </w:r>
      <w:r w:rsidRPr="0093072B">
        <w:t>provid</w:t>
      </w:r>
      <w:r>
        <w:t>es</w:t>
      </w:r>
      <w:r w:rsidRPr="0093072B">
        <w:t xml:space="preserve"> </w:t>
      </w:r>
      <w:r>
        <w:t>3</w:t>
      </w:r>
      <w:r w:rsidRPr="0093072B">
        <w:t xml:space="preserve"> years of housing and</w:t>
      </w:r>
      <w:r>
        <w:t xml:space="preserve"> </w:t>
      </w:r>
      <w:r w:rsidRPr="0093072B">
        <w:t>intensive support to people experiencing</w:t>
      </w:r>
      <w:r>
        <w:t xml:space="preserve"> </w:t>
      </w:r>
      <w:r w:rsidRPr="0093072B">
        <w:t>chronic homelessness with complex needs</w:t>
      </w:r>
      <w:r>
        <w:t xml:space="preserve">. </w:t>
      </w:r>
      <w:proofErr w:type="gramStart"/>
      <w:r w:rsidRPr="00B75C7F">
        <w:t>At</w:t>
      </w:r>
      <w:proofErr w:type="gramEnd"/>
      <w:r>
        <w:t xml:space="preserve"> </w:t>
      </w:r>
      <w:r w:rsidRPr="00B75C7F">
        <w:t>June 2025,</w:t>
      </w:r>
      <w:r>
        <w:t xml:space="preserve"> more than </w:t>
      </w:r>
      <w:r w:rsidRPr="5795E43C">
        <w:rPr>
          <w:szCs w:val="20"/>
        </w:rPr>
        <w:t>11</w:t>
      </w:r>
      <w:r>
        <w:rPr>
          <w:szCs w:val="20"/>
        </w:rPr>
        <w:t>0</w:t>
      </w:r>
      <w:r>
        <w:t xml:space="preserve"> people </w:t>
      </w:r>
      <w:r w:rsidRPr="008F335A">
        <w:t>experiencing chronic homelessness</w:t>
      </w:r>
      <w:r>
        <w:t xml:space="preserve"> have been </w:t>
      </w:r>
      <w:r w:rsidRPr="15A90EC8">
        <w:rPr>
          <w:szCs w:val="20"/>
        </w:rPr>
        <w:t>allocated</w:t>
      </w:r>
      <w:r w:rsidRPr="5795E43C">
        <w:rPr>
          <w:szCs w:val="20"/>
        </w:rPr>
        <w:t xml:space="preserve"> support packages</w:t>
      </w:r>
      <w:r>
        <w:rPr>
          <w:szCs w:val="20"/>
        </w:rPr>
        <w:t xml:space="preserve">. This includes </w:t>
      </w:r>
      <w:r w:rsidRPr="00BA4A83">
        <w:t xml:space="preserve">10% </w:t>
      </w:r>
      <w:r>
        <w:t xml:space="preserve">of program funding </w:t>
      </w:r>
      <w:r w:rsidRPr="00BA4A83">
        <w:t>allocated</w:t>
      </w:r>
      <w:r>
        <w:t xml:space="preserve"> </w:t>
      </w:r>
      <w:r w:rsidRPr="00BA4A83">
        <w:t>for Aboriginal</w:t>
      </w:r>
      <w:r w:rsidR="000B251F">
        <w:t>-</w:t>
      </w:r>
      <w:r w:rsidRPr="00BA4A83">
        <w:t>specific Housing First responses</w:t>
      </w:r>
      <w:r>
        <w:t>.</w:t>
      </w:r>
    </w:p>
    <w:p w14:paraId="3B8BB797" w14:textId="39C74B4C" w:rsidR="0064038E" w:rsidRPr="001024E9" w:rsidRDefault="0064038E">
      <w:pPr>
        <w:pStyle w:val="ARbody"/>
      </w:pPr>
      <w:r w:rsidRPr="001024E9">
        <w:t>The</w:t>
      </w:r>
      <w:r w:rsidRPr="001024E9">
        <w:rPr>
          <w:szCs w:val="20"/>
        </w:rPr>
        <w:t xml:space="preserve"> newly rolled</w:t>
      </w:r>
      <w:r w:rsidR="009D009D">
        <w:rPr>
          <w:szCs w:val="20"/>
        </w:rPr>
        <w:t>-</w:t>
      </w:r>
      <w:r w:rsidRPr="001024E9">
        <w:rPr>
          <w:szCs w:val="20"/>
        </w:rPr>
        <w:t xml:space="preserve">out </w:t>
      </w:r>
      <w:r w:rsidRPr="001024E9">
        <w:t xml:space="preserve">Homes First </w:t>
      </w:r>
      <w:r w:rsidRPr="001024E9">
        <w:rPr>
          <w:szCs w:val="20"/>
        </w:rPr>
        <w:t xml:space="preserve">program </w:t>
      </w:r>
      <w:r w:rsidRPr="001024E9">
        <w:t>has also supported more than 340 clients to receive an offer of social housing.</w:t>
      </w:r>
    </w:p>
    <w:p w14:paraId="7A0EF491" w14:textId="77777777" w:rsidR="0064038E" w:rsidRPr="001A5223" w:rsidRDefault="0064038E">
      <w:pPr>
        <w:pStyle w:val="Heading6"/>
      </w:pPr>
      <w:r w:rsidRPr="001A5223">
        <w:t>Delivering the Social Housing Community Support program</w:t>
      </w:r>
    </w:p>
    <w:p w14:paraId="2AC96147" w14:textId="5302AD84" w:rsidR="0064038E" w:rsidRPr="00293DC2" w:rsidRDefault="0064038E">
      <w:pPr>
        <w:pStyle w:val="ARbody"/>
      </w:pPr>
      <w:r>
        <w:t xml:space="preserve">The department has </w:t>
      </w:r>
      <w:r w:rsidRPr="00F44149">
        <w:t>allocated</w:t>
      </w:r>
      <w:r>
        <w:t xml:space="preserve"> more than </w:t>
      </w:r>
      <w:r w:rsidRPr="00293DC2">
        <w:t>$1</w:t>
      </w:r>
      <w:r>
        <w:t> </w:t>
      </w:r>
      <w:r w:rsidRPr="00293DC2">
        <w:t>m</w:t>
      </w:r>
      <w:r>
        <w:t>illion in funding for</w:t>
      </w:r>
      <w:r w:rsidRPr="00293DC2">
        <w:t xml:space="preserve"> </w:t>
      </w:r>
      <w:r w:rsidRPr="00E4637D">
        <w:t>food relief providers</w:t>
      </w:r>
      <w:r>
        <w:t xml:space="preserve">. The </w:t>
      </w:r>
      <w:r w:rsidRPr="0058387B">
        <w:t>Social Housing Community Support</w:t>
      </w:r>
      <w:r>
        <w:t xml:space="preserve"> program supports services </w:t>
      </w:r>
      <w:r w:rsidRPr="00293DC2">
        <w:t>deliver</w:t>
      </w:r>
      <w:r>
        <w:t>ing</w:t>
      </w:r>
      <w:r w:rsidRPr="00293DC2">
        <w:t xml:space="preserve"> food relief </w:t>
      </w:r>
      <w:r>
        <w:t>for</w:t>
      </w:r>
      <w:r w:rsidRPr="00293DC2">
        <w:t xml:space="preserve"> renters in social</w:t>
      </w:r>
      <w:r>
        <w:t xml:space="preserve"> </w:t>
      </w:r>
      <w:r w:rsidRPr="00293DC2">
        <w:t>housing</w:t>
      </w:r>
      <w:r>
        <w:t>. This includes people living in</w:t>
      </w:r>
      <w:r w:rsidRPr="00293DC2">
        <w:t xml:space="preserve"> public housing towers.</w:t>
      </w:r>
      <w:r>
        <w:t xml:space="preserve"> The funding provided additional equipment in some locations including refrigeration and transport.</w:t>
      </w:r>
    </w:p>
    <w:p w14:paraId="0AA5AB5A" w14:textId="77777777" w:rsidR="0064038E" w:rsidRDefault="0064038E">
      <w:pPr>
        <w:pStyle w:val="Heading6"/>
      </w:pPr>
      <w:r w:rsidRPr="00D61DC1">
        <w:t>Preventing youth homelessness</w:t>
      </w:r>
    </w:p>
    <w:p w14:paraId="10AB44E9" w14:textId="101FFE7E" w:rsidR="0064038E" w:rsidRDefault="0064038E">
      <w:pPr>
        <w:pStyle w:val="ARbody"/>
      </w:pPr>
      <w:r w:rsidRPr="51762C29">
        <w:t xml:space="preserve">The department continued </w:t>
      </w:r>
      <w:r>
        <w:t>to fund</w:t>
      </w:r>
      <w:r w:rsidRPr="51762C29">
        <w:t xml:space="preserve"> targeted housing and support</w:t>
      </w:r>
      <w:r>
        <w:t xml:space="preserve"> for young people. It included additional funding for 4</w:t>
      </w:r>
      <w:r w:rsidRPr="51762C29">
        <w:t xml:space="preserve"> programs</w:t>
      </w:r>
      <w:r>
        <w:t>:</w:t>
      </w:r>
    </w:p>
    <w:p w14:paraId="157F4E60" w14:textId="060B1DAA" w:rsidR="0064038E" w:rsidRPr="008A2422" w:rsidRDefault="0064038E" w:rsidP="00F375A6">
      <w:pPr>
        <w:pStyle w:val="ARbullet1"/>
        <w:numPr>
          <w:ilvl w:val="0"/>
          <w:numId w:val="23"/>
        </w:numPr>
      </w:pPr>
      <w:r w:rsidRPr="00264569">
        <w:t>Village 21 Preston</w:t>
      </w:r>
      <w:r>
        <w:t>. This</w:t>
      </w:r>
      <w:r w:rsidRPr="00264569">
        <w:t xml:space="preserve"> </w:t>
      </w:r>
      <w:r>
        <w:t xml:space="preserve">program </w:t>
      </w:r>
      <w:r w:rsidRPr="008A2422">
        <w:t>deliver</w:t>
      </w:r>
      <w:r>
        <w:t>s</w:t>
      </w:r>
      <w:r w:rsidRPr="008A2422">
        <w:t xml:space="preserve"> homelessness and life</w:t>
      </w:r>
      <w:r>
        <w:t xml:space="preserve"> </w:t>
      </w:r>
      <w:r w:rsidRPr="008A2422">
        <w:t>skills support</w:t>
      </w:r>
      <w:r>
        <w:t>. It is</w:t>
      </w:r>
      <w:r w:rsidRPr="008A2422">
        <w:t xml:space="preserve"> f</w:t>
      </w:r>
      <w:r>
        <w:t>or</w:t>
      </w:r>
      <w:r w:rsidRPr="008A2422">
        <w:t xml:space="preserve"> young people exiting out</w:t>
      </w:r>
      <w:r>
        <w:t>-</w:t>
      </w:r>
      <w:r w:rsidRPr="008A2422">
        <w:t>of</w:t>
      </w:r>
      <w:r>
        <w:t>-</w:t>
      </w:r>
      <w:r w:rsidRPr="008A2422">
        <w:t>home care</w:t>
      </w:r>
      <w:r>
        <w:t>. They are supported</w:t>
      </w:r>
      <w:r w:rsidRPr="008A2422">
        <w:t xml:space="preserve"> for up to 3 years</w:t>
      </w:r>
    </w:p>
    <w:p w14:paraId="4FEE8766" w14:textId="737DB82E" w:rsidR="0064038E" w:rsidRPr="008A2422" w:rsidRDefault="0064038E" w:rsidP="00F375A6">
      <w:pPr>
        <w:pStyle w:val="ARbullet1"/>
        <w:numPr>
          <w:ilvl w:val="0"/>
          <w:numId w:val="23"/>
        </w:numPr>
      </w:pPr>
      <w:r w:rsidRPr="008A2422">
        <w:t>Kids Under Cover Studios</w:t>
      </w:r>
      <w:r>
        <w:t>. This program</w:t>
      </w:r>
      <w:r w:rsidRPr="008A2422">
        <w:t xml:space="preserve"> k</w:t>
      </w:r>
      <w:r>
        <w:t>eeps</w:t>
      </w:r>
      <w:r w:rsidRPr="008A2422">
        <w:t xml:space="preserve"> young people at risk of homelessness connected with their families</w:t>
      </w:r>
    </w:p>
    <w:p w14:paraId="0CCD3BAF" w14:textId="2734D00C" w:rsidR="0064038E" w:rsidRPr="00264569" w:rsidRDefault="0064038E" w:rsidP="00F375A6">
      <w:pPr>
        <w:pStyle w:val="ARbullet1"/>
        <w:numPr>
          <w:ilvl w:val="0"/>
          <w:numId w:val="23"/>
        </w:numPr>
      </w:pPr>
      <w:r w:rsidRPr="008A2422">
        <w:t>Holmesglen Education First Youth Foyer site</w:t>
      </w:r>
      <w:r>
        <w:t xml:space="preserve">. This program </w:t>
      </w:r>
      <w:r w:rsidRPr="008A2422">
        <w:t>provides accommodation</w:t>
      </w:r>
      <w:r>
        <w:t xml:space="preserve"> and support for young people. It connects them to </w:t>
      </w:r>
      <w:r w:rsidRPr="008A2422">
        <w:t>education and employment for up to 2</w:t>
      </w:r>
      <w:r w:rsidRPr="00264569">
        <w:t xml:space="preserve"> years</w:t>
      </w:r>
    </w:p>
    <w:p w14:paraId="38776411" w14:textId="78143453" w:rsidR="0064038E" w:rsidRDefault="0064038E" w:rsidP="00F375A6">
      <w:pPr>
        <w:pStyle w:val="ARbullet1"/>
        <w:numPr>
          <w:ilvl w:val="0"/>
          <w:numId w:val="23"/>
        </w:numPr>
      </w:pPr>
      <w:r w:rsidRPr="00264569">
        <w:t>Homelessness Youth Dual Diagnosis Initiative</w:t>
      </w:r>
      <w:r>
        <w:t>. This program</w:t>
      </w:r>
      <w:r w:rsidRPr="00264569">
        <w:t xml:space="preserve"> co-locate</w:t>
      </w:r>
      <w:r>
        <w:t>s</w:t>
      </w:r>
      <w:r w:rsidRPr="00264569">
        <w:t xml:space="preserve"> health clinicians in youth crisis accommodation settings</w:t>
      </w:r>
      <w:r>
        <w:t xml:space="preserve">. It </w:t>
      </w:r>
      <w:r w:rsidRPr="00264569">
        <w:t>support</w:t>
      </w:r>
      <w:r>
        <w:t>s</w:t>
      </w:r>
      <w:r w:rsidRPr="00264569">
        <w:t xml:space="preserve"> young people experiencing or at risk of homelessness who have substance abuse and mental health conditions</w:t>
      </w:r>
      <w:r>
        <w:t>.</w:t>
      </w:r>
    </w:p>
    <w:p w14:paraId="5746C28E" w14:textId="2207E77A" w:rsidR="0064038E" w:rsidRDefault="0064038E" w:rsidP="0064038E">
      <w:pPr>
        <w:pStyle w:val="Heading6"/>
      </w:pPr>
      <w:r>
        <w:t>Delivering reform and</w:t>
      </w:r>
      <w:r w:rsidRPr="001A788F">
        <w:t xml:space="preserve"> </w:t>
      </w:r>
      <w:r w:rsidRPr="0011640F">
        <w:t>improvements</w:t>
      </w:r>
      <w:r w:rsidRPr="001A788F">
        <w:t xml:space="preserve"> for the </w:t>
      </w:r>
      <w:r>
        <w:t>h</w:t>
      </w:r>
      <w:r w:rsidRPr="001A788F">
        <w:t xml:space="preserve">omelessness </w:t>
      </w:r>
      <w:r>
        <w:t>s</w:t>
      </w:r>
      <w:r w:rsidRPr="001A788F">
        <w:t xml:space="preserve">ervices </w:t>
      </w:r>
      <w:r>
        <w:t>s</w:t>
      </w:r>
      <w:r w:rsidRPr="001A788F">
        <w:t>ystem</w:t>
      </w:r>
    </w:p>
    <w:p w14:paraId="50A2AE62" w14:textId="16BBFD5E" w:rsidR="0064038E" w:rsidRDefault="0064038E">
      <w:pPr>
        <w:pStyle w:val="ARbody"/>
      </w:pPr>
      <w:r>
        <w:t>The department worked to reform the homelessness service system. Through Homes Victoria, we</w:t>
      </w:r>
      <w:r w:rsidRPr="003E53F8">
        <w:t xml:space="preserve"> work</w:t>
      </w:r>
      <w:r>
        <w:t>ed</w:t>
      </w:r>
      <w:r w:rsidRPr="003E53F8">
        <w:t xml:space="preserve"> with the Ministerial Homelessness Reform Advisory Group and Homelessness Lived Experience </w:t>
      </w:r>
      <w:r>
        <w:t>Expert Advisory Panel. The groups considered priority</w:t>
      </w:r>
      <w:r w:rsidRPr="003E53F8">
        <w:t xml:space="preserve"> actions to better structure and deliver homelessness services</w:t>
      </w:r>
      <w:r>
        <w:t xml:space="preserve">. </w:t>
      </w:r>
    </w:p>
    <w:p w14:paraId="0C08B58E" w14:textId="3CD92647" w:rsidR="0064038E" w:rsidRDefault="0064038E">
      <w:pPr>
        <w:pStyle w:val="ARbody"/>
      </w:pPr>
      <w:r>
        <w:t>We focused on improvements that</w:t>
      </w:r>
      <w:r w:rsidRPr="003E53F8">
        <w:t xml:space="preserve"> maximise impact on incidence</w:t>
      </w:r>
      <w:r>
        <w:t>s</w:t>
      </w:r>
      <w:r w:rsidRPr="003E53F8">
        <w:t xml:space="preserve"> of homelessness.</w:t>
      </w:r>
      <w:r>
        <w:t xml:space="preserve"> The groups recommended continuing</w:t>
      </w:r>
      <w:r w:rsidRPr="00CF4E4C">
        <w:t xml:space="preserve"> critical programs</w:t>
      </w:r>
      <w:r>
        <w:t xml:space="preserve"> that were due to lapse. These were</w:t>
      </w:r>
      <w:r w:rsidRPr="00CF4E4C">
        <w:t xml:space="preserve"> extended in 2024</w:t>
      </w:r>
      <w:r>
        <w:t>–</w:t>
      </w:r>
      <w:r w:rsidRPr="00CF4E4C">
        <w:t>25</w:t>
      </w:r>
      <w:r>
        <w:t>.</w:t>
      </w:r>
      <w:r w:rsidRPr="00CF4E4C">
        <w:t xml:space="preserve"> </w:t>
      </w:r>
      <w:r>
        <w:t>This provides a</w:t>
      </w:r>
      <w:r w:rsidRPr="00CF4E4C">
        <w:t xml:space="preserve">n important foundation for </w:t>
      </w:r>
      <w:r>
        <w:t>future</w:t>
      </w:r>
      <w:r w:rsidR="00BA07C6">
        <w:t> </w:t>
      </w:r>
      <w:r w:rsidRPr="00CF4E4C">
        <w:t>reforms.</w:t>
      </w:r>
    </w:p>
    <w:p w14:paraId="4529B4CB" w14:textId="77777777" w:rsidR="0064038E" w:rsidRPr="0011640F" w:rsidRDefault="0064038E" w:rsidP="0064038E">
      <w:pPr>
        <w:pStyle w:val="Heading6"/>
      </w:pPr>
      <w:r w:rsidRPr="14AFF7C9">
        <w:t>Supported Residential Services Outreach and Assistance</w:t>
      </w:r>
      <w:r>
        <w:t xml:space="preserve"> </w:t>
      </w:r>
      <w:r w:rsidRPr="14AFF7C9">
        <w:t>Program</w:t>
      </w:r>
    </w:p>
    <w:p w14:paraId="4AB2E60B" w14:textId="021E3D4C" w:rsidR="0064038E" w:rsidRDefault="0064038E">
      <w:pPr>
        <w:pStyle w:val="ARbody"/>
        <w:rPr>
          <w:lang w:val="en-US"/>
        </w:rPr>
      </w:pPr>
      <w:r w:rsidRPr="00293DC2">
        <w:t xml:space="preserve">Supported </w:t>
      </w:r>
      <w:r>
        <w:t>r</w:t>
      </w:r>
      <w:r w:rsidRPr="00293DC2">
        <w:t xml:space="preserve">esidential </w:t>
      </w:r>
      <w:r>
        <w:t>s</w:t>
      </w:r>
      <w:r w:rsidRPr="00293DC2">
        <w:t xml:space="preserve">ervices (SRS) </w:t>
      </w:r>
      <w:r>
        <w:t>provide</w:t>
      </w:r>
      <w:r w:rsidRPr="00293DC2">
        <w:t xml:space="preserve"> accommodation for people with daily living support needs</w:t>
      </w:r>
      <w:r>
        <w:t xml:space="preserve">. This includes </w:t>
      </w:r>
      <w:r w:rsidRPr="00293DC2">
        <w:t>people exiting health, justice and homelessness settings.</w:t>
      </w:r>
      <w:r w:rsidRPr="00BF62A1">
        <w:rPr>
          <w:shd w:val="clear" w:color="auto" w:fill="FFFFFF"/>
        </w:rPr>
        <w:t xml:space="preserve"> </w:t>
      </w:r>
      <w:r w:rsidRPr="00BF62A1">
        <w:t xml:space="preserve">The Victorian Government provides </w:t>
      </w:r>
      <w:r>
        <w:t xml:space="preserve">more than </w:t>
      </w:r>
      <w:r w:rsidRPr="00BF62A1">
        <w:t>$15 million each year</w:t>
      </w:r>
      <w:r>
        <w:t xml:space="preserve"> to funded agencies to support residents in SRSs. This is part of </w:t>
      </w:r>
      <w:r w:rsidRPr="00BF62A1">
        <w:t>the SRS Outreach and Assistance Program</w:t>
      </w:r>
      <w:r>
        <w:t xml:space="preserve">. Under this program, health and community services professionals deliver the support to </w:t>
      </w:r>
      <w:r w:rsidRPr="00EB3724">
        <w:rPr>
          <w:lang w:val="en-US"/>
        </w:rPr>
        <w:t xml:space="preserve">all </w:t>
      </w:r>
      <w:r w:rsidRPr="00F44149">
        <w:rPr>
          <w:lang w:val="en-US"/>
        </w:rPr>
        <w:t>71</w:t>
      </w:r>
      <w:r w:rsidRPr="00EB3724">
        <w:rPr>
          <w:lang w:val="en-US"/>
        </w:rPr>
        <w:t xml:space="preserve"> pension-level SRS</w:t>
      </w:r>
      <w:r>
        <w:rPr>
          <w:lang w:val="en-US"/>
        </w:rPr>
        <w:t>s</w:t>
      </w:r>
      <w:r w:rsidRPr="00EB3724">
        <w:rPr>
          <w:lang w:val="en-US"/>
        </w:rPr>
        <w:t xml:space="preserve"> in Victoria</w:t>
      </w:r>
      <w:r>
        <w:rPr>
          <w:lang w:val="en-US"/>
        </w:rPr>
        <w:t xml:space="preserve">. These provide more than 2,300 beds statewide. </w:t>
      </w:r>
    </w:p>
    <w:p w14:paraId="4C30043E" w14:textId="75C2C9C6" w:rsidR="0007157A" w:rsidRDefault="0064038E">
      <w:pPr>
        <w:pStyle w:val="ARbody"/>
        <w:rPr>
          <w:lang w:val="en-US"/>
        </w:rPr>
      </w:pPr>
      <w:r w:rsidRPr="00EB3724">
        <w:rPr>
          <w:lang w:val="en-US"/>
        </w:rPr>
        <w:t>All pension-level SRS</w:t>
      </w:r>
      <w:r>
        <w:rPr>
          <w:lang w:val="en-US"/>
        </w:rPr>
        <w:t>s</w:t>
      </w:r>
      <w:r w:rsidRPr="00EB3724">
        <w:rPr>
          <w:lang w:val="en-US"/>
        </w:rPr>
        <w:t xml:space="preserve"> </w:t>
      </w:r>
      <w:r>
        <w:rPr>
          <w:lang w:val="en-US"/>
        </w:rPr>
        <w:t xml:space="preserve">also </w:t>
      </w:r>
      <w:r w:rsidRPr="00EB3724">
        <w:rPr>
          <w:lang w:val="en-US"/>
        </w:rPr>
        <w:t>now receive a viability funding supplement, amenity and safety improvements, fresh food funding</w:t>
      </w:r>
      <w:r>
        <w:rPr>
          <w:lang w:val="en-US"/>
        </w:rPr>
        <w:t>,</w:t>
      </w:r>
      <w:r w:rsidRPr="00EB3724">
        <w:rPr>
          <w:lang w:val="en-US"/>
        </w:rPr>
        <w:t xml:space="preserve"> and capacity building and resident outreach services</w:t>
      </w:r>
      <w:r>
        <w:rPr>
          <w:lang w:val="en-US"/>
        </w:rPr>
        <w:t xml:space="preserve">. This supports more than </w:t>
      </w:r>
      <w:r w:rsidRPr="00F44149">
        <w:rPr>
          <w:lang w:val="en-US"/>
        </w:rPr>
        <w:t>1,000</w:t>
      </w:r>
      <w:r w:rsidRPr="00EB3724">
        <w:rPr>
          <w:lang w:val="en-US"/>
        </w:rPr>
        <w:t xml:space="preserve"> residents.</w:t>
      </w:r>
      <w:r w:rsidR="0007157A">
        <w:rPr>
          <w:lang w:val="en-US"/>
        </w:rPr>
        <w:br w:type="page"/>
      </w:r>
    </w:p>
    <w:p w14:paraId="691FACF7" w14:textId="5E691D15" w:rsidR="0064038E" w:rsidRPr="00C561B2" w:rsidRDefault="0064038E">
      <w:pPr>
        <w:pStyle w:val="Heading5"/>
        <w:spacing w:before="120"/>
      </w:pPr>
      <w:r>
        <w:lastRenderedPageBreak/>
        <w:t>Enabling Aboriginal self-determination</w:t>
      </w:r>
    </w:p>
    <w:p w14:paraId="7F3B75E4" w14:textId="16000B84" w:rsidR="0064038E" w:rsidRDefault="0064038E">
      <w:pPr>
        <w:pStyle w:val="ARbody"/>
        <w:rPr>
          <w:rFonts w:eastAsia="Times New Roman" w:cs="Times New Roman"/>
          <w:b/>
          <w:bCs/>
          <w:lang w:val="en-US"/>
        </w:rPr>
      </w:pPr>
      <w:r>
        <w:t>The department is working with Aboriginal housing providers. This ensures housing is designed and delivered by Aboriginal people to meet community needs. It enables self-determination.</w:t>
      </w:r>
    </w:p>
    <w:p w14:paraId="272696D4" w14:textId="5EEB2CFD" w:rsidR="0064038E" w:rsidRPr="008B39FC" w:rsidRDefault="0064038E" w:rsidP="0064038E">
      <w:pPr>
        <w:pStyle w:val="Heading6"/>
      </w:pPr>
      <w:r>
        <w:t>Delivering</w:t>
      </w:r>
      <w:r w:rsidRPr="12461D43">
        <w:t xml:space="preserve"> </w:t>
      </w:r>
      <w:r>
        <w:t>more</w:t>
      </w:r>
      <w:r w:rsidRPr="12461D43" w:rsidDel="00744C69">
        <w:t xml:space="preserve"> </w:t>
      </w:r>
      <w:r w:rsidRPr="12461D43">
        <w:t xml:space="preserve">social homes for </w:t>
      </w:r>
      <w:r w:rsidRPr="00BA07C6">
        <w:rPr>
          <w:sz w:val="18"/>
          <w:szCs w:val="22"/>
        </w:rPr>
        <w:t>Aboriginal</w:t>
      </w:r>
      <w:r w:rsidR="00BA07C6">
        <w:rPr>
          <w:sz w:val="18"/>
          <w:szCs w:val="22"/>
        </w:rPr>
        <w:t> </w:t>
      </w:r>
      <w:r w:rsidRPr="00BA07C6">
        <w:rPr>
          <w:sz w:val="18"/>
          <w:szCs w:val="22"/>
        </w:rPr>
        <w:t>Victorians</w:t>
      </w:r>
      <w:r w:rsidRPr="12461D43">
        <w:t xml:space="preserve"> </w:t>
      </w:r>
    </w:p>
    <w:p w14:paraId="0E75052E" w14:textId="0465441C" w:rsidR="0064038E" w:rsidRPr="00134F0D" w:rsidRDefault="0064038E">
      <w:pPr>
        <w:pStyle w:val="ARbody"/>
      </w:pPr>
      <w:r>
        <w:t>The</w:t>
      </w:r>
      <w:r w:rsidRPr="0075367C">
        <w:t xml:space="preserve"> Big Housing Build, Regional Housing Fund</w:t>
      </w:r>
      <w:r w:rsidRPr="0075367C">
        <w:rPr>
          <w:lang w:val="en-US"/>
        </w:rPr>
        <w:t xml:space="preserve"> and Social Housing Accelerator Fund</w:t>
      </w:r>
      <w:r>
        <w:rPr>
          <w:lang w:val="en-US"/>
        </w:rPr>
        <w:t xml:space="preserve"> ensure</w:t>
      </w:r>
      <w:r w:rsidRPr="0075367C">
        <w:t xml:space="preserve"> 10% of net new social housing will be delivered for Aboriginal Victorians. </w:t>
      </w:r>
      <w:r>
        <w:t>We have completed m</w:t>
      </w:r>
      <w:r w:rsidRPr="0075367C">
        <w:t>ore than 670 new safe, modern and comfortable homes for Aboriginal</w:t>
      </w:r>
      <w:r w:rsidR="00BA07C6">
        <w:t> </w:t>
      </w:r>
      <w:r w:rsidRPr="0075367C">
        <w:t>Victorians.</w:t>
      </w:r>
      <w:r>
        <w:t xml:space="preserve"> </w:t>
      </w:r>
    </w:p>
    <w:p w14:paraId="3A547819" w14:textId="323A4449" w:rsidR="0064038E" w:rsidRPr="0075367C" w:rsidRDefault="0064038E">
      <w:pPr>
        <w:pStyle w:val="Heading6"/>
      </w:pPr>
      <w:r w:rsidRPr="0075367C">
        <w:rPr>
          <w:lang w:val="en-US"/>
        </w:rPr>
        <w:t>Implement</w:t>
      </w:r>
      <w:bookmarkStart w:id="100" w:name="_Hlk204080212"/>
      <w:r>
        <w:rPr>
          <w:lang w:val="en-US"/>
        </w:rPr>
        <w:t>ing</w:t>
      </w:r>
      <w:r w:rsidRPr="0075367C">
        <w:rPr>
          <w:lang w:val="en-US"/>
        </w:rPr>
        <w:t xml:space="preserve"> the Victorian Aboriginal </w:t>
      </w:r>
      <w:r>
        <w:rPr>
          <w:lang w:val="en-US"/>
        </w:rPr>
        <w:t>h</w:t>
      </w:r>
      <w:r w:rsidRPr="0075367C">
        <w:rPr>
          <w:lang w:val="en-US"/>
        </w:rPr>
        <w:t xml:space="preserve">ousing and </w:t>
      </w:r>
      <w:r>
        <w:rPr>
          <w:lang w:val="en-US"/>
        </w:rPr>
        <w:t>homelessness</w:t>
      </w:r>
      <w:r w:rsidRPr="0075367C">
        <w:rPr>
          <w:lang w:val="en-US"/>
        </w:rPr>
        <w:t xml:space="preserve"> framework</w:t>
      </w:r>
      <w:r>
        <w:rPr>
          <w:lang w:val="en-US"/>
        </w:rPr>
        <w:t xml:space="preserve"> and the</w:t>
      </w:r>
      <w:r w:rsidRPr="0075367C" w:rsidDel="00F80027">
        <w:rPr>
          <w:lang w:val="en-US"/>
        </w:rPr>
        <w:t xml:space="preserve"> </w:t>
      </w:r>
      <w:r w:rsidRPr="000763F6">
        <w:rPr>
          <w:rStyle w:val="Emphasis"/>
        </w:rPr>
        <w:t>Blueprint for an Aboriginal-specific homelessness system</w:t>
      </w:r>
    </w:p>
    <w:bookmarkEnd w:id="100"/>
    <w:p w14:paraId="55902E5F" w14:textId="3209F521" w:rsidR="0064038E" w:rsidRDefault="0064038E">
      <w:pPr>
        <w:pStyle w:val="ARbody"/>
      </w:pPr>
      <w:r w:rsidRPr="0075367C">
        <w:t xml:space="preserve">The Victorian Aboriginal community </w:t>
      </w:r>
      <w:r>
        <w:t xml:space="preserve">has </w:t>
      </w:r>
      <w:r w:rsidRPr="0075367C">
        <w:t xml:space="preserve">provided the Victorian Government </w:t>
      </w:r>
      <w:r w:rsidRPr="00E06E63">
        <w:t>with</w:t>
      </w:r>
      <w:r w:rsidRPr="000763F6">
        <w:rPr>
          <w:rStyle w:val="Emphasis"/>
        </w:rPr>
        <w:t xml:space="preserve"> Mana-</w:t>
      </w:r>
      <w:proofErr w:type="spellStart"/>
      <w:r w:rsidRPr="000763F6">
        <w:rPr>
          <w:rStyle w:val="Emphasis"/>
        </w:rPr>
        <w:t>na</w:t>
      </w:r>
      <w:proofErr w:type="spellEnd"/>
      <w:r w:rsidRPr="000763F6">
        <w:rPr>
          <w:rStyle w:val="Emphasis"/>
        </w:rPr>
        <w:t xml:space="preserve"> </w:t>
      </w:r>
      <w:proofErr w:type="spellStart"/>
      <w:r w:rsidRPr="000763F6">
        <w:rPr>
          <w:rStyle w:val="Emphasis"/>
        </w:rPr>
        <w:t>woorn-tyeen</w:t>
      </w:r>
      <w:proofErr w:type="spellEnd"/>
      <w:r w:rsidRPr="000763F6">
        <w:rPr>
          <w:rStyle w:val="Emphasis"/>
        </w:rPr>
        <w:t xml:space="preserve"> maar-</w:t>
      </w:r>
      <w:proofErr w:type="spellStart"/>
      <w:r w:rsidRPr="000763F6">
        <w:rPr>
          <w:rStyle w:val="Emphasis"/>
        </w:rPr>
        <w:t>takoort</w:t>
      </w:r>
      <w:proofErr w:type="spellEnd"/>
      <w:r w:rsidRPr="000763F6">
        <w:rPr>
          <w:rStyle w:val="Emphasis"/>
        </w:rPr>
        <w:t>: Every Aboriginal person has a</w:t>
      </w:r>
      <w:r w:rsidR="00762BC4">
        <w:rPr>
          <w:rStyle w:val="Emphasis"/>
        </w:rPr>
        <w:t> </w:t>
      </w:r>
      <w:r w:rsidRPr="000763F6">
        <w:rPr>
          <w:rStyle w:val="Emphasis"/>
        </w:rPr>
        <w:t xml:space="preserve">home </w:t>
      </w:r>
      <w:r w:rsidRPr="0075367C">
        <w:t xml:space="preserve">– the Victorian Aboriginal housing and homelessness framework (VAHHF) and the </w:t>
      </w:r>
      <w:r w:rsidRPr="000763F6">
        <w:rPr>
          <w:rStyle w:val="Emphasis"/>
        </w:rPr>
        <w:t>Blueprint for an Aboriginal-specific homelessness system</w:t>
      </w:r>
      <w:r w:rsidRPr="0076765E">
        <w:t xml:space="preserve">. The VAHHF </w:t>
      </w:r>
      <w:r>
        <w:t>supports</w:t>
      </w:r>
      <w:r w:rsidRPr="0076765E">
        <w:t xml:space="preserve"> </w:t>
      </w:r>
      <w:r>
        <w:t>the g</w:t>
      </w:r>
      <w:r w:rsidRPr="0076765E">
        <w:t xml:space="preserve">overnment to deliver on Aboriginal self-determination by transitioning power and responsibility over to </w:t>
      </w:r>
      <w:r>
        <w:t>Aboriginal</w:t>
      </w:r>
      <w:r w:rsidRPr="0076765E">
        <w:t xml:space="preserve"> </w:t>
      </w:r>
      <w:r>
        <w:t>c</w:t>
      </w:r>
      <w:r w:rsidRPr="0076765E">
        <w:t>ommunity</w:t>
      </w:r>
      <w:r>
        <w:t xml:space="preserve">. </w:t>
      </w:r>
    </w:p>
    <w:p w14:paraId="174FE3CE" w14:textId="3527FF5C" w:rsidR="0064038E" w:rsidRDefault="0064038E">
      <w:pPr>
        <w:pStyle w:val="ARbody"/>
      </w:pPr>
      <w:r>
        <w:t>In addition, t</w:t>
      </w:r>
      <w:r w:rsidRPr="009018A1">
        <w:t xml:space="preserve">he </w:t>
      </w:r>
      <w:r w:rsidRPr="0076765E">
        <w:t>department participates in the Partnership forum</w:t>
      </w:r>
      <w:r w:rsidRPr="009018A1">
        <w:t xml:space="preserve"> </w:t>
      </w:r>
      <w:r>
        <w:t>for t</w:t>
      </w:r>
      <w:r w:rsidRPr="009018A1">
        <w:t>he National Agreement on Closing the Gap</w:t>
      </w:r>
      <w:r>
        <w:t>.</w:t>
      </w:r>
      <w:r w:rsidRPr="009018A1">
        <w:t xml:space="preserve"> </w:t>
      </w:r>
      <w:r>
        <w:t>This</w:t>
      </w:r>
      <w:r w:rsidRPr="009018A1">
        <w:t xml:space="preserve"> </w:t>
      </w:r>
      <w:r>
        <w:t>commits</w:t>
      </w:r>
      <w:r w:rsidRPr="009018A1">
        <w:t xml:space="preserve"> from all Australian governments and Aboriginal Torres Strait Islander </w:t>
      </w:r>
      <w:r>
        <w:t>representatives</w:t>
      </w:r>
      <w:r w:rsidRPr="009018A1">
        <w:t xml:space="preserve"> to a fundamentally new way of developing and implementing policies and programs that </w:t>
      </w:r>
      <w:r>
        <w:t>affect</w:t>
      </w:r>
      <w:r w:rsidRPr="009018A1">
        <w:t xml:space="preserve"> Aboriginal and Torres Strait Islander people.</w:t>
      </w:r>
      <w:r>
        <w:t xml:space="preserve"> </w:t>
      </w:r>
    </w:p>
    <w:p w14:paraId="6EE321E3" w14:textId="77777777" w:rsidR="0064038E" w:rsidRPr="0023408A" w:rsidRDefault="0064038E">
      <w:pPr>
        <w:pStyle w:val="Heading6"/>
        <w:rPr>
          <w:lang w:val="en-US"/>
        </w:rPr>
      </w:pPr>
      <w:r w:rsidRPr="12461D43">
        <w:rPr>
          <w:lang w:val="en-US"/>
        </w:rPr>
        <w:t>Grow</w:t>
      </w:r>
      <w:r>
        <w:rPr>
          <w:lang w:val="en-US"/>
        </w:rPr>
        <w:t>ing</w:t>
      </w:r>
      <w:r w:rsidRPr="12461D43">
        <w:rPr>
          <w:lang w:val="en-US"/>
        </w:rPr>
        <w:t xml:space="preserve"> a thriving Aboriginal housing sector with capacity initiatives</w:t>
      </w:r>
    </w:p>
    <w:p w14:paraId="1A97E951" w14:textId="7EF430A5" w:rsidR="0064038E" w:rsidRPr="00FF3FF5" w:rsidRDefault="0064038E">
      <w:pPr>
        <w:pStyle w:val="ARbody"/>
      </w:pPr>
      <w:r>
        <w:t xml:space="preserve">Through Homes Victoria, the department supports the growth of the Aboriginal housing sector. There are now 6 registered Aboriginal housing agencies under the </w:t>
      </w:r>
      <w:r w:rsidRPr="000763F6">
        <w:rPr>
          <w:rStyle w:val="Emphasis"/>
        </w:rPr>
        <w:t>Housing Act 1983</w:t>
      </w:r>
      <w:r>
        <w:t>. This is a significant step towards Aboriginal self-determination. It</w:t>
      </w:r>
      <w:r w:rsidR="008149F0">
        <w:t> </w:t>
      </w:r>
      <w:r>
        <w:t xml:space="preserve">enables localised Aboriginal housing and homelessness service responses for communities. </w:t>
      </w:r>
    </w:p>
    <w:p w14:paraId="3CD3170B" w14:textId="77777777" w:rsidR="00BA07C6" w:rsidRDefault="0064038E" w:rsidP="00BA07C6">
      <w:pPr>
        <w:pStyle w:val="ARbody"/>
      </w:pPr>
      <w:r w:rsidRPr="004726D4">
        <w:t xml:space="preserve">The </w:t>
      </w:r>
      <w:r w:rsidRPr="002D43B5">
        <w:t xml:space="preserve">department continues to deliver </w:t>
      </w:r>
      <w:r>
        <w:t>Community Housing Sector Development Fund projects. This builds the capacity of the Aboriginal housing and homelessness sector. The fund</w:t>
      </w:r>
      <w:r w:rsidRPr="00610BD4">
        <w:t xml:space="preserve"> </w:t>
      </w:r>
      <w:r>
        <w:t>assists</w:t>
      </w:r>
      <w:r w:rsidRPr="00610BD4">
        <w:t xml:space="preserve"> not-for-profit community housing providers</w:t>
      </w:r>
      <w:r>
        <w:t>.</w:t>
      </w:r>
      <w:r w:rsidRPr="00610BD4">
        <w:t xml:space="preserve"> </w:t>
      </w:r>
      <w:r>
        <w:t>This helps grow</w:t>
      </w:r>
      <w:r w:rsidRPr="00610BD4">
        <w:t xml:space="preserve"> social and affordable housing under the Big Housing Build</w:t>
      </w:r>
      <w:r>
        <w:t xml:space="preserve">. </w:t>
      </w:r>
    </w:p>
    <w:p w14:paraId="069F6C6A" w14:textId="4900C003" w:rsidR="0064038E" w:rsidRPr="00AD2544" w:rsidRDefault="00BA07C6" w:rsidP="00BA07C6">
      <w:pPr>
        <w:pStyle w:val="Heading6"/>
      </w:pPr>
      <w:r>
        <w:br w:type="column"/>
      </w:r>
      <w:r w:rsidR="0064038E">
        <w:rPr>
          <w:lang w:val="en-US"/>
        </w:rPr>
        <w:t>Building</w:t>
      </w:r>
      <w:r w:rsidR="0064038E" w:rsidRPr="373C09E5">
        <w:rPr>
          <w:lang w:val="en-US"/>
        </w:rPr>
        <w:t xml:space="preserve"> an Aboriginal</w:t>
      </w:r>
      <w:r w:rsidR="0064038E">
        <w:rPr>
          <w:lang w:val="en-US"/>
        </w:rPr>
        <w:t>-</w:t>
      </w:r>
      <w:r w:rsidR="0064038E" w:rsidRPr="373C09E5">
        <w:rPr>
          <w:lang w:val="en-US"/>
        </w:rPr>
        <w:t>specific homelessness</w:t>
      </w:r>
      <w:r>
        <w:rPr>
          <w:lang w:val="en-US"/>
        </w:rPr>
        <w:t> </w:t>
      </w:r>
      <w:r w:rsidR="0064038E" w:rsidRPr="373C09E5">
        <w:rPr>
          <w:lang w:val="en-US"/>
        </w:rPr>
        <w:t>system</w:t>
      </w:r>
    </w:p>
    <w:p w14:paraId="2D0EDDD3" w14:textId="0AB42B33" w:rsidR="0064038E" w:rsidRDefault="0064038E">
      <w:pPr>
        <w:pStyle w:val="ARbody"/>
      </w:pPr>
      <w:r>
        <w:t xml:space="preserve">The </w:t>
      </w:r>
      <w:r w:rsidRPr="003E509C">
        <w:t xml:space="preserve">Aboriginal-specific Homelessness Entry Points </w:t>
      </w:r>
      <w:r>
        <w:t xml:space="preserve">program is </w:t>
      </w:r>
      <w:r w:rsidRPr="003E509C">
        <w:t xml:space="preserve">delivered by </w:t>
      </w:r>
      <w:proofErr w:type="spellStart"/>
      <w:r w:rsidRPr="003E509C">
        <w:t>Ngwala</w:t>
      </w:r>
      <w:proofErr w:type="spellEnd"/>
      <w:r w:rsidRPr="003E509C">
        <w:t xml:space="preserve"> Willumbong Aboriginal Corporation </w:t>
      </w:r>
      <w:r>
        <w:t>(Bayside Peninsula and Melbourne CBD)</w:t>
      </w:r>
      <w:r w:rsidRPr="003E509C">
        <w:t xml:space="preserve"> and Wathaurong Aboriginal </w:t>
      </w:r>
      <w:r w:rsidR="005C1105">
        <w:br/>
      </w:r>
      <w:r w:rsidRPr="003E509C">
        <w:t>Co-operative</w:t>
      </w:r>
      <w:r>
        <w:t xml:space="preserve"> (Barwon Area). It </w:t>
      </w:r>
      <w:r w:rsidRPr="003E509C">
        <w:t>provide</w:t>
      </w:r>
      <w:r>
        <w:t>s</w:t>
      </w:r>
      <w:r w:rsidRPr="003E509C">
        <w:t xml:space="preserve"> access to Aboriginal-led and culturally appropriate Aboriginal </w:t>
      </w:r>
      <w:r>
        <w:t>h</w:t>
      </w:r>
      <w:r w:rsidRPr="003E509C">
        <w:t>omelessness services. </w:t>
      </w:r>
      <w:r>
        <w:t xml:space="preserve">Service delivery includes </w:t>
      </w:r>
      <w:r w:rsidRPr="003E509C">
        <w:t>provid</w:t>
      </w:r>
      <w:r>
        <w:t>ing</w:t>
      </w:r>
      <w:r w:rsidRPr="003E509C">
        <w:t xml:space="preserve"> culturally appropriate initial assessment and planning responses and varied levels and duration of wrap</w:t>
      </w:r>
      <w:r w:rsidR="00DC6507">
        <w:t>-</w:t>
      </w:r>
      <w:r w:rsidRPr="003E509C">
        <w:t>around multidisciplinary support. </w:t>
      </w:r>
    </w:p>
    <w:p w14:paraId="2E60ADC9" w14:textId="42409AC3" w:rsidR="0064038E" w:rsidRPr="00A24072" w:rsidRDefault="0064038E">
      <w:pPr>
        <w:pStyle w:val="ARbody"/>
      </w:pPr>
      <w:r w:rsidRPr="00623EB2">
        <w:t xml:space="preserve">Homes Victoria </w:t>
      </w:r>
      <w:r w:rsidRPr="00A24072">
        <w:t xml:space="preserve">procured the services of </w:t>
      </w:r>
      <w:proofErr w:type="spellStart"/>
      <w:r w:rsidRPr="00A24072">
        <w:t>Yamagigu</w:t>
      </w:r>
      <w:proofErr w:type="spellEnd"/>
      <w:r w:rsidRPr="00A24072">
        <w:t xml:space="preserve"> consulting to undertake an evaluation of Entry Points. The report identified positive outcomes, including support for the continuation of the program</w:t>
      </w:r>
      <w:r>
        <w:t xml:space="preserve">. It demonstrates this cost-effective program is </w:t>
      </w:r>
      <w:r w:rsidRPr="00A24072">
        <w:t>delivering a culturally safe homelessness response.</w:t>
      </w:r>
    </w:p>
    <w:p w14:paraId="4DF7D275" w14:textId="437DF0C0" w:rsidR="0064038E" w:rsidRPr="00B6230D" w:rsidRDefault="0064038E">
      <w:pPr>
        <w:pStyle w:val="Heading6"/>
      </w:pPr>
      <w:r>
        <w:t>Delivering the Aboriginal Private Rental Assistance Program</w:t>
      </w:r>
    </w:p>
    <w:p w14:paraId="3751B58F" w14:textId="4BAE325D" w:rsidR="0064038E" w:rsidRPr="0039289B" w:rsidRDefault="0064038E">
      <w:pPr>
        <w:pStyle w:val="ARbody"/>
      </w:pPr>
      <w:r w:rsidRPr="00B6230D">
        <w:t xml:space="preserve">The Aboriginal Private Rental Assistance Program </w:t>
      </w:r>
      <w:r>
        <w:t xml:space="preserve">(APRAP) </w:t>
      </w:r>
      <w:r w:rsidRPr="00B6230D">
        <w:t>operates across</w:t>
      </w:r>
      <w:r>
        <w:t xml:space="preserve"> 10</w:t>
      </w:r>
      <w:r w:rsidRPr="00B6230D">
        <w:t xml:space="preserve"> sites determined through the </w:t>
      </w:r>
      <w:r>
        <w:t>VAHHF. It is delivered by 8</w:t>
      </w:r>
      <w:r w:rsidR="000D468F">
        <w:t> </w:t>
      </w:r>
      <w:r>
        <w:t xml:space="preserve">ACCOs </w:t>
      </w:r>
      <w:r w:rsidRPr="00B6230D">
        <w:t xml:space="preserve">across </w:t>
      </w:r>
      <w:r w:rsidRPr="006D01AB">
        <w:t xml:space="preserve">Barwon, Bayside Peninsula, </w:t>
      </w:r>
      <w:proofErr w:type="spellStart"/>
      <w:r w:rsidRPr="006D01AB">
        <w:t>Brimbank</w:t>
      </w:r>
      <w:proofErr w:type="spellEnd"/>
      <w:r w:rsidRPr="006D01AB">
        <w:t>–Melton, Northeast Melbourne, Western Melbourne, Goulburn, Loddon, Mallee and Inner and Outer Gippsland.</w:t>
      </w:r>
      <w:r>
        <w:t xml:space="preserve"> The APRAP has assisted more than </w:t>
      </w:r>
      <w:r w:rsidRPr="006D01AB">
        <w:t>2,400</w:t>
      </w:r>
      <w:r w:rsidRPr="00A84F6D">
        <w:t xml:space="preserve"> households</w:t>
      </w:r>
      <w:r>
        <w:t>. N</w:t>
      </w:r>
      <w:r w:rsidRPr="00A84F6D">
        <w:t xml:space="preserve">early </w:t>
      </w:r>
      <w:r w:rsidRPr="006D01AB">
        <w:t>70</w:t>
      </w:r>
      <w:r>
        <w:t xml:space="preserve">% of these </w:t>
      </w:r>
      <w:r w:rsidRPr="00A84F6D">
        <w:t xml:space="preserve">successfully </w:t>
      </w:r>
      <w:r>
        <w:t>found</w:t>
      </w:r>
      <w:r w:rsidRPr="00A84F6D">
        <w:t xml:space="preserve"> or </w:t>
      </w:r>
      <w:r>
        <w:t>kept</w:t>
      </w:r>
      <w:r w:rsidRPr="00A84F6D">
        <w:t xml:space="preserve"> their housing.</w:t>
      </w:r>
    </w:p>
    <w:p w14:paraId="54AF0DBC" w14:textId="7D6E9421" w:rsidR="0064038E" w:rsidRPr="000C55F0" w:rsidRDefault="0064038E">
      <w:pPr>
        <w:pStyle w:val="Heading5"/>
      </w:pPr>
      <w:r>
        <w:t>Supporting low-income households to pay for energy, water and rates</w:t>
      </w:r>
    </w:p>
    <w:p w14:paraId="5AAEB685" w14:textId="27057741" w:rsidR="0064038E" w:rsidRDefault="0064038E">
      <w:pPr>
        <w:pStyle w:val="ARbody"/>
      </w:pPr>
      <w:r>
        <w:t>The Household Concessions Program assists eligible low-income households. It helps them pay for energy, water and municipal rates bills. It also provides grants for Victorians experiencing financial hardship through the Utility Relief Grant Scheme.</w:t>
      </w:r>
    </w:p>
    <w:p w14:paraId="7B9CE241" w14:textId="4E2561F3" w:rsidR="0064038E" w:rsidRDefault="0064038E">
      <w:pPr>
        <w:pStyle w:val="ARbody"/>
      </w:pPr>
      <w:r>
        <w:t>In 2024–25, an estimated 909,690 households in Victoria received a 17.5% discount on their mains electricity bill. Approximately 667,515 households received a 17.5% discount on their mains gas bill.</w:t>
      </w:r>
    </w:p>
    <w:p w14:paraId="4CA0E4ED" w14:textId="17D52330" w:rsidR="0064038E" w:rsidRDefault="0064038E">
      <w:pPr>
        <w:pStyle w:val="ARbody"/>
        <w:sectPr w:rsidR="0064038E" w:rsidSect="007F43B1">
          <w:endnotePr>
            <w:numFmt w:val="decimal"/>
          </w:endnotePr>
          <w:type w:val="continuous"/>
          <w:pgSz w:w="11900" w:h="16840" w:code="9"/>
          <w:pgMar w:top="1588" w:right="1134" w:bottom="851" w:left="1134" w:header="510" w:footer="340" w:gutter="0"/>
          <w:cols w:num="2" w:space="448"/>
        </w:sectPr>
      </w:pPr>
      <w:r>
        <w:t>We delivered around 231,369 utility relief grants in 2024–25. These support Victorian households experiencing financial hardship to pay their water, electricity or gas bills.</w:t>
      </w:r>
    </w:p>
    <w:p w14:paraId="3B8A6F94" w14:textId="5B0B73C9" w:rsidR="0064038E" w:rsidRPr="001E2448" w:rsidRDefault="0064038E" w:rsidP="00BA07C6">
      <w:pPr>
        <w:pStyle w:val="Heading3"/>
        <w:spacing w:before="0"/>
      </w:pPr>
      <w:r w:rsidRPr="004B4085">
        <w:lastRenderedPageBreak/>
        <w:t>Objective</w:t>
      </w:r>
      <w:r>
        <w:t xml:space="preserve">: </w:t>
      </w:r>
      <w:r w:rsidRPr="004B4085">
        <w:t>Aboriginal voice, knowledge and cultural leadership drive Aboriginal policy, legislation and system reform</w:t>
      </w:r>
      <w:r>
        <w:t xml:space="preserve"> </w:t>
      </w:r>
    </w:p>
    <w:p w14:paraId="48E761F3" w14:textId="458FAB24" w:rsidR="0064038E" w:rsidRDefault="0064038E">
      <w:pPr>
        <w:pStyle w:val="ARbody"/>
      </w:pPr>
      <w:r w:rsidRPr="006C0CB2">
        <w:t xml:space="preserve">Self-determination enables the wellbeing of Aboriginal Victorians. </w:t>
      </w:r>
      <w:r>
        <w:t>We actively address s</w:t>
      </w:r>
      <w:r w:rsidRPr="006C0CB2">
        <w:t>ystems and structures that inhibit self-determination</w:t>
      </w:r>
      <w:r>
        <w:t xml:space="preserve">. We work in partnership with and under the </w:t>
      </w:r>
      <w:r w:rsidRPr="006C0CB2">
        <w:t>leadership of the Victorian Aboriginal community.</w:t>
      </w:r>
    </w:p>
    <w:p w14:paraId="6FA5714E" w14:textId="77777777" w:rsidR="0064038E" w:rsidRDefault="0064038E">
      <w:pPr>
        <w:pStyle w:val="Heading4"/>
      </w:pPr>
      <w:r w:rsidRPr="00532DAE">
        <w:t>Key initiatives and projects</w:t>
      </w:r>
    </w:p>
    <w:p w14:paraId="38F8A8DC" w14:textId="77777777" w:rsidR="0064038E" w:rsidRDefault="0064038E">
      <w:pPr>
        <w:pStyle w:val="Heading5"/>
        <w:rPr>
          <w:rFonts w:eastAsia="MS Mincho"/>
        </w:rPr>
        <w:sectPr w:rsidR="0064038E" w:rsidSect="007F43B1">
          <w:endnotePr>
            <w:numFmt w:val="decimal"/>
          </w:endnotePr>
          <w:type w:val="continuous"/>
          <w:pgSz w:w="11900" w:h="16840" w:code="9"/>
          <w:pgMar w:top="1588" w:right="1134" w:bottom="851" w:left="1134" w:header="510" w:footer="340" w:gutter="0"/>
          <w:cols w:space="448"/>
        </w:sectPr>
      </w:pPr>
    </w:p>
    <w:p w14:paraId="3672CC93" w14:textId="33A54EA2" w:rsidR="0064038E" w:rsidRPr="0098274B" w:rsidRDefault="0064038E" w:rsidP="00332390">
      <w:pPr>
        <w:pStyle w:val="Heading5"/>
        <w:spacing w:before="0"/>
        <w:rPr>
          <w:rFonts w:eastAsia="MS Mincho"/>
        </w:rPr>
      </w:pPr>
      <w:r w:rsidRPr="0098274B">
        <w:rPr>
          <w:rFonts w:eastAsia="MS Mincho"/>
        </w:rPr>
        <w:t xml:space="preserve">Aboriginal Self-determination and Outcomes </w:t>
      </w:r>
      <w:r>
        <w:rPr>
          <w:rFonts w:eastAsia="MS Mincho"/>
        </w:rPr>
        <w:t>D</w:t>
      </w:r>
      <w:r w:rsidRPr="0098274B">
        <w:rPr>
          <w:rFonts w:eastAsia="MS Mincho"/>
        </w:rPr>
        <w:t xml:space="preserve">ivision </w:t>
      </w:r>
    </w:p>
    <w:p w14:paraId="6D1EF645" w14:textId="67C66C6C" w:rsidR="0064038E" w:rsidRPr="00FF4844" w:rsidRDefault="0064038E">
      <w:pPr>
        <w:pStyle w:val="ARbody"/>
      </w:pPr>
      <w:r w:rsidRPr="00FF4844">
        <w:t xml:space="preserve">The Aboriginal Self-Determination and Outcomes (ASDO) </w:t>
      </w:r>
      <w:r>
        <w:t>D</w:t>
      </w:r>
      <w:r w:rsidRPr="00FF4844">
        <w:t>ivision is a critical pillar of the department. It has leadership, oversight and coordination functions relating to self-determination, Truth, Treaty and Closing the Gap. </w:t>
      </w:r>
    </w:p>
    <w:p w14:paraId="57DAB139" w14:textId="13355389" w:rsidR="0064038E" w:rsidRPr="00FF4844" w:rsidRDefault="0064038E">
      <w:pPr>
        <w:pStyle w:val="ARbody"/>
      </w:pPr>
      <w:r w:rsidRPr="00FF4844">
        <w:t>ASDO prioritises First Peoples’ expertise, knowledge and experience. The division works in accordance with policy and legislative settings. These include the Victorian Aboriginal Affairs Framework, the National Closing the Gap Agreement, and the Treaty Negotiation</w:t>
      </w:r>
      <w:r w:rsidR="00BA07C6">
        <w:t> </w:t>
      </w:r>
      <w:r w:rsidRPr="00FF4844">
        <w:t>Framework. </w:t>
      </w:r>
    </w:p>
    <w:p w14:paraId="7BCDB0CB" w14:textId="2BD3557C" w:rsidR="0064038E" w:rsidRPr="00A705CF" w:rsidRDefault="0064038E">
      <w:pPr>
        <w:pStyle w:val="ARbody"/>
      </w:pPr>
      <w:r w:rsidRPr="00FF4844">
        <w:t>The division drives Aboriginal self-determination by</w:t>
      </w:r>
      <w:r w:rsidR="00BA07C6">
        <w:t> </w:t>
      </w:r>
      <w:r>
        <w:t>embedding</w:t>
      </w:r>
      <w:r w:rsidRPr="00FF4844">
        <w:t xml:space="preserve"> First Peoples’ voice</w:t>
      </w:r>
      <w:r>
        <w:t xml:space="preserve"> and</w:t>
      </w:r>
      <w:r w:rsidRPr="00FF4844">
        <w:t xml:space="preserve"> ways of</w:t>
      </w:r>
      <w:r w:rsidR="00C07BFC">
        <w:t> </w:t>
      </w:r>
      <w:r w:rsidRPr="00FF4844">
        <w:t xml:space="preserve">knowing, being and doing </w:t>
      </w:r>
      <w:r>
        <w:t>in</w:t>
      </w:r>
      <w:r w:rsidRPr="00FF4844">
        <w:t xml:space="preserve"> decision-making</w:t>
      </w:r>
      <w:r w:rsidR="00BA07C6">
        <w:t> </w:t>
      </w:r>
      <w:r w:rsidRPr="00FF4844">
        <w:t>processes.</w:t>
      </w:r>
    </w:p>
    <w:p w14:paraId="1D045AD4" w14:textId="6FA12A81" w:rsidR="0064038E" w:rsidRPr="006A6DFA" w:rsidRDefault="0064038E">
      <w:pPr>
        <w:pStyle w:val="Heading5"/>
        <w:rPr>
          <w:rFonts w:eastAsia="MS Mincho"/>
        </w:rPr>
      </w:pPr>
      <w:r w:rsidRPr="006A6DFA">
        <w:rPr>
          <w:rFonts w:eastAsia="MS Mincho"/>
        </w:rPr>
        <w:t xml:space="preserve">Response to </w:t>
      </w:r>
      <w:proofErr w:type="spellStart"/>
      <w:r w:rsidRPr="006A6DFA">
        <w:rPr>
          <w:rFonts w:eastAsia="MS Mincho"/>
        </w:rPr>
        <w:t>Yoorrook</w:t>
      </w:r>
      <w:proofErr w:type="spellEnd"/>
      <w:r w:rsidRPr="006A6DFA">
        <w:rPr>
          <w:rFonts w:eastAsia="MS Mincho"/>
        </w:rPr>
        <w:t xml:space="preserve"> Justice</w:t>
      </w:r>
      <w:r w:rsidR="00BA07C6">
        <w:rPr>
          <w:rFonts w:eastAsia="MS Mincho"/>
        </w:rPr>
        <w:t> </w:t>
      </w:r>
      <w:r w:rsidRPr="006A6DFA">
        <w:rPr>
          <w:rFonts w:eastAsia="MS Mincho"/>
        </w:rPr>
        <w:t>Commission </w:t>
      </w:r>
    </w:p>
    <w:p w14:paraId="4B1D2CE4" w14:textId="3929423C" w:rsidR="0064038E" w:rsidRDefault="0064038E">
      <w:pPr>
        <w:pStyle w:val="ARbody"/>
      </w:pPr>
      <w:r w:rsidRPr="005B665C">
        <w:t>In June 2025</w:t>
      </w:r>
      <w:r>
        <w:t>,</w:t>
      </w:r>
      <w:r w:rsidRPr="005B665C">
        <w:t xml:space="preserve"> the </w:t>
      </w:r>
      <w:proofErr w:type="spellStart"/>
      <w:r w:rsidRPr="005B665C">
        <w:t>Yoorrook</w:t>
      </w:r>
      <w:proofErr w:type="spellEnd"/>
      <w:r w:rsidRPr="005B665C">
        <w:t xml:space="preserve"> Justice Commission concluded its truth-telling inquiry</w:t>
      </w:r>
      <w:r>
        <w:t xml:space="preserve">. The inquiry examined </w:t>
      </w:r>
      <w:r w:rsidRPr="005B665C">
        <w:t>historical and ongoing injustices experienced by First Peoples in Victoria since</w:t>
      </w:r>
      <w:r w:rsidR="00BA07C6">
        <w:t> </w:t>
      </w:r>
      <w:r w:rsidRPr="005B665C">
        <w:t>colonisation</w:t>
      </w:r>
      <w:r w:rsidRPr="01D288AC">
        <w:t>.</w:t>
      </w:r>
      <w:r>
        <w:t xml:space="preserve"> </w:t>
      </w:r>
    </w:p>
    <w:p w14:paraId="394FF14F" w14:textId="0A93EE2C" w:rsidR="0064038E" w:rsidRPr="005B665C" w:rsidRDefault="0064038E">
      <w:pPr>
        <w:pStyle w:val="ARbody"/>
      </w:pPr>
      <w:r w:rsidRPr="005B665C">
        <w:t>The Commission</w:t>
      </w:r>
      <w:r>
        <w:t xml:space="preserve"> delivered its</w:t>
      </w:r>
      <w:r w:rsidRPr="005B665C">
        <w:t xml:space="preserve"> final reports to the</w:t>
      </w:r>
      <w:r w:rsidR="00BA07C6">
        <w:t> </w:t>
      </w:r>
      <w:r w:rsidRPr="005B665C">
        <w:t>Governor of Victoria, Margaret Gardner AC, and</w:t>
      </w:r>
      <w:r w:rsidR="00BA07C6">
        <w:t> </w:t>
      </w:r>
      <w:r w:rsidRPr="005B665C">
        <w:t>the</w:t>
      </w:r>
      <w:r w:rsidR="00BA07C6">
        <w:t> </w:t>
      </w:r>
      <w:r w:rsidRPr="005B665C">
        <w:t>Co-Chairs of the First Peoples' Assembly of</w:t>
      </w:r>
      <w:r w:rsidR="00BA07C6">
        <w:t> </w:t>
      </w:r>
      <w:r w:rsidRPr="005B665C">
        <w:t>Victoria, Ngarra Murray and Rueben Berg</w:t>
      </w:r>
      <w:r>
        <w:t>. The</w:t>
      </w:r>
      <w:r w:rsidR="00BA07C6">
        <w:t> </w:t>
      </w:r>
      <w:r>
        <w:t xml:space="preserve">Victorian Government </w:t>
      </w:r>
      <w:r w:rsidRPr="005B665C">
        <w:t>will now consider</w:t>
      </w:r>
      <w:r w:rsidR="00BA07C6">
        <w:t> </w:t>
      </w:r>
      <w:r>
        <w:t>them.</w:t>
      </w:r>
    </w:p>
    <w:p w14:paraId="6E55868C" w14:textId="25822846" w:rsidR="0064038E" w:rsidRPr="005B665C" w:rsidRDefault="0064038E">
      <w:pPr>
        <w:pStyle w:val="ARbody"/>
      </w:pPr>
      <w:r>
        <w:t xml:space="preserve">Before the delivery of the reports, </w:t>
      </w:r>
      <w:r w:rsidRPr="005B665C">
        <w:t xml:space="preserve">Deputy Commissioner and </w:t>
      </w:r>
      <w:proofErr w:type="spellStart"/>
      <w:r w:rsidRPr="005B665C">
        <w:t>Kerrupmara</w:t>
      </w:r>
      <w:proofErr w:type="spellEnd"/>
      <w:r w:rsidRPr="005B665C">
        <w:t xml:space="preserve"> Gunditjmara man, Travis Lovett</w:t>
      </w:r>
      <w:r>
        <w:t>, undertook the</w:t>
      </w:r>
      <w:r w:rsidRPr="005B665C">
        <w:t xml:space="preserve"> 500-kilometre </w:t>
      </w:r>
      <w:r w:rsidRPr="0064038E">
        <w:t>Walk for Truth</w:t>
      </w:r>
      <w:r>
        <w:t xml:space="preserve">. The walk took him </w:t>
      </w:r>
      <w:r w:rsidRPr="005B665C">
        <w:t>from Portland to the steps of Parliament House</w:t>
      </w:r>
      <w:r>
        <w:t>.</w:t>
      </w:r>
      <w:r w:rsidR="00BA07C6">
        <w:br w:type="column"/>
      </w:r>
      <w:r w:rsidRPr="005B665C">
        <w:t xml:space="preserve">Over the course of the Commission’s </w:t>
      </w:r>
      <w:r>
        <w:t>4</w:t>
      </w:r>
      <w:r w:rsidRPr="005B665C">
        <w:t>-year term, the department engaged honestly and transparently to assist the Commission in its important truth-telling mandate</w:t>
      </w:r>
      <w:r>
        <w:t xml:space="preserve">. This included </w:t>
      </w:r>
      <w:r w:rsidRPr="005B665C">
        <w:t>producing documentary and witness evidence relating to the Commission’s key focus areas</w:t>
      </w:r>
      <w:r>
        <w:t xml:space="preserve">. These were </w:t>
      </w:r>
      <w:r w:rsidRPr="005B665C">
        <w:t>child protection, housing and prevention of family</w:t>
      </w:r>
      <w:r w:rsidR="00BA07C6">
        <w:t> </w:t>
      </w:r>
      <w:r w:rsidRPr="005B665C">
        <w:t>violence.</w:t>
      </w:r>
    </w:p>
    <w:p w14:paraId="62179D5F" w14:textId="5642558F" w:rsidR="0064038E" w:rsidRPr="005B665C" w:rsidRDefault="0064038E">
      <w:pPr>
        <w:pStyle w:val="ARbody"/>
      </w:pPr>
      <w:r w:rsidRPr="005B665C">
        <w:t xml:space="preserve">In October 2024, the Victorian Government released </w:t>
      </w:r>
      <w:r>
        <w:t>a progress report on its implementation of</w:t>
      </w:r>
      <w:r w:rsidR="00C07BFC">
        <w:t> </w:t>
      </w:r>
      <w:r>
        <w:t>the Commission’s recommendations. These recommendations were set out in</w:t>
      </w:r>
      <w:r w:rsidRPr="005B665C">
        <w:t xml:space="preserve"> the </w:t>
      </w:r>
      <w:proofErr w:type="spellStart"/>
      <w:r w:rsidRPr="000763F6">
        <w:rPr>
          <w:rStyle w:val="Emphasis"/>
        </w:rPr>
        <w:t>Yoorrook</w:t>
      </w:r>
      <w:proofErr w:type="spellEnd"/>
      <w:r w:rsidRPr="000763F6">
        <w:rPr>
          <w:rStyle w:val="Emphasis"/>
        </w:rPr>
        <w:t xml:space="preserve"> for justice </w:t>
      </w:r>
      <w:r w:rsidRPr="005B665C">
        <w:t>interim report on the child protection and criminal justice system</w:t>
      </w:r>
      <w:r>
        <w:t>. This was</w:t>
      </w:r>
      <w:r w:rsidRPr="005B665C">
        <w:t xml:space="preserve"> released in August 2023. The progress report </w:t>
      </w:r>
      <w:r>
        <w:t>showed what the</w:t>
      </w:r>
      <w:r w:rsidR="00C07BFC">
        <w:t> </w:t>
      </w:r>
      <w:r w:rsidRPr="005B665C">
        <w:t xml:space="preserve">department </w:t>
      </w:r>
      <w:r>
        <w:t>has done to</w:t>
      </w:r>
      <w:r w:rsidRPr="005B665C">
        <w:t xml:space="preserve"> implement </w:t>
      </w:r>
      <w:r>
        <w:t>the r</w:t>
      </w:r>
      <w:r w:rsidRPr="005B665C">
        <w:t xml:space="preserve">ecommendations in </w:t>
      </w:r>
      <w:proofErr w:type="spellStart"/>
      <w:r w:rsidRPr="000763F6">
        <w:rPr>
          <w:rStyle w:val="Emphasis"/>
        </w:rPr>
        <w:t>Yoorrook</w:t>
      </w:r>
      <w:proofErr w:type="spellEnd"/>
      <w:r w:rsidRPr="000763F6">
        <w:rPr>
          <w:rStyle w:val="Emphasis"/>
        </w:rPr>
        <w:t xml:space="preserve"> for justice</w:t>
      </w:r>
      <w:r w:rsidRPr="005B665C">
        <w:t>.</w:t>
      </w:r>
    </w:p>
    <w:p w14:paraId="3EFD30BC" w14:textId="050C4ED1" w:rsidR="0064038E" w:rsidRPr="005B665C" w:rsidRDefault="0064038E">
      <w:pPr>
        <w:pStyle w:val="ARbody"/>
      </w:pPr>
      <w:r w:rsidRPr="005B665C">
        <w:t xml:space="preserve">The department remains committed to the </w:t>
      </w:r>
      <w:r w:rsidR="00BA07C6">
        <w:br/>
      </w:r>
      <w:r>
        <w:t>t</w:t>
      </w:r>
      <w:r w:rsidRPr="005B665C">
        <w:t>ruth-telling process</w:t>
      </w:r>
      <w:r>
        <w:t xml:space="preserve">. We will progress </w:t>
      </w:r>
      <w:r w:rsidRPr="005B665C">
        <w:t xml:space="preserve">the </w:t>
      </w:r>
      <w:r w:rsidR="00BA07C6">
        <w:br/>
      </w:r>
      <w:r w:rsidRPr="005B665C">
        <w:t>important work</w:t>
      </w:r>
      <w:r w:rsidR="00BA07C6">
        <w:t> </w:t>
      </w:r>
      <w:r w:rsidRPr="005B665C">
        <w:t xml:space="preserve">of </w:t>
      </w:r>
      <w:r>
        <w:t>implementing</w:t>
      </w:r>
      <w:r w:rsidRPr="005B665C">
        <w:t xml:space="preserve"> the Commission’s</w:t>
      </w:r>
      <w:r w:rsidR="00BA07C6">
        <w:t> </w:t>
      </w:r>
      <w:r w:rsidRPr="005B665C">
        <w:t>recommendations</w:t>
      </w:r>
      <w:r>
        <w:t>.</w:t>
      </w:r>
    </w:p>
    <w:p w14:paraId="1243735E" w14:textId="77777777" w:rsidR="0064038E" w:rsidRPr="0098274B" w:rsidRDefault="0064038E">
      <w:pPr>
        <w:pStyle w:val="Heading5"/>
        <w:rPr>
          <w:rFonts w:eastAsia="MS Mincho"/>
          <w:b w:val="0"/>
        </w:rPr>
      </w:pPr>
      <w:r w:rsidRPr="0098274B">
        <w:rPr>
          <w:rFonts w:eastAsia="MS Mincho"/>
        </w:rPr>
        <w:t>Treaty</w:t>
      </w:r>
    </w:p>
    <w:p w14:paraId="40AD932C" w14:textId="170F60B9" w:rsidR="0064038E" w:rsidRPr="005B665C" w:rsidRDefault="0064038E">
      <w:pPr>
        <w:pStyle w:val="ARbody"/>
      </w:pPr>
      <w:r>
        <w:t xml:space="preserve">Victoria has </w:t>
      </w:r>
      <w:r w:rsidRPr="005B665C">
        <w:t xml:space="preserve">been on the Truth and Treaty path for nearly </w:t>
      </w:r>
      <w:r>
        <w:t>10</w:t>
      </w:r>
      <w:r w:rsidRPr="005B665C">
        <w:t xml:space="preserve"> years. We have passed legislation twice, developed policies</w:t>
      </w:r>
      <w:r>
        <w:t xml:space="preserve"> </w:t>
      </w:r>
      <w:r w:rsidRPr="005B665C">
        <w:t xml:space="preserve">and made commitments across every level of government. </w:t>
      </w:r>
    </w:p>
    <w:p w14:paraId="5690B59E" w14:textId="79D6068C" w:rsidR="0064038E" w:rsidRDefault="0064038E">
      <w:pPr>
        <w:pStyle w:val="ARbody"/>
      </w:pPr>
      <w:r w:rsidRPr="13D12A54">
        <w:t>Treaty is a pathway to acknowledging the past and</w:t>
      </w:r>
      <w:r w:rsidR="00C07BFC">
        <w:t> </w:t>
      </w:r>
      <w:r w:rsidRPr="13D12A54">
        <w:t xml:space="preserve">making real, practical </w:t>
      </w:r>
      <w:r>
        <w:t>progress</w:t>
      </w:r>
      <w:r w:rsidRPr="13D12A54">
        <w:t xml:space="preserve"> to achieve better outcomes for First Peoples in Victoria and close the</w:t>
      </w:r>
      <w:r w:rsidR="00BA07C6">
        <w:t> </w:t>
      </w:r>
      <w:r w:rsidRPr="13D12A54">
        <w:t>gap.</w:t>
      </w:r>
    </w:p>
    <w:p w14:paraId="08945C06" w14:textId="36AB76D3" w:rsidR="0064038E" w:rsidRPr="005B665C" w:rsidRDefault="0064038E">
      <w:pPr>
        <w:pStyle w:val="ARbody"/>
      </w:pPr>
      <w:r>
        <w:t>The</w:t>
      </w:r>
      <w:r w:rsidRPr="005B665C">
        <w:t xml:space="preserve"> department is working towards Treaty</w:t>
      </w:r>
      <w:r>
        <w:t>.</w:t>
      </w:r>
      <w:r w:rsidRPr="005B665C">
        <w:t xml:space="preserve"> </w:t>
      </w:r>
      <w:r>
        <w:t>We are ensuring</w:t>
      </w:r>
      <w:r w:rsidRPr="005B665C">
        <w:t xml:space="preserve"> all staff are prepared and familiar with the Treaty process. </w:t>
      </w:r>
    </w:p>
    <w:p w14:paraId="3E9AFBB1" w14:textId="564FCF0C" w:rsidR="0064038E" w:rsidRPr="005B665C" w:rsidRDefault="0064038E">
      <w:pPr>
        <w:pStyle w:val="ARbody"/>
      </w:pPr>
      <w:r>
        <w:t>We continue to</w:t>
      </w:r>
      <w:r w:rsidRPr="005B665C">
        <w:t xml:space="preserve"> educate staff at all levels about Treaty and the Treaty process</w:t>
      </w:r>
      <w:r>
        <w:t>. This includes</w:t>
      </w:r>
      <w:r w:rsidRPr="005B665C">
        <w:t xml:space="preserve"> leadership groups, operational staff and staff who contribute to reform and policy initiatives.</w:t>
      </w:r>
    </w:p>
    <w:p w14:paraId="5AB680E7" w14:textId="75032F3E" w:rsidR="0064038E" w:rsidRPr="005B665C" w:rsidRDefault="0064038E">
      <w:pPr>
        <w:pStyle w:val="ARbody"/>
      </w:pPr>
      <w:r w:rsidRPr="005B665C">
        <w:t>The department works closely with the Department of Premier and Cabinet</w:t>
      </w:r>
      <w:r>
        <w:t xml:space="preserve">. This </w:t>
      </w:r>
      <w:r w:rsidRPr="005B665C">
        <w:t>ensure</w:t>
      </w:r>
      <w:r>
        <w:t xml:space="preserve">s </w:t>
      </w:r>
      <w:r w:rsidRPr="005B665C">
        <w:t xml:space="preserve">all Treaty-related work aligns with </w:t>
      </w:r>
      <w:r>
        <w:t xml:space="preserve">whole-of-government </w:t>
      </w:r>
      <w:r w:rsidRPr="005B665C">
        <w:t>best practice guidance</w:t>
      </w:r>
      <w:r>
        <w:t>.</w:t>
      </w:r>
    </w:p>
    <w:p w14:paraId="267C0253" w14:textId="77777777" w:rsidR="0064038E" w:rsidRPr="00170DD1" w:rsidRDefault="0064038E">
      <w:pPr>
        <w:pStyle w:val="Heading5"/>
        <w:rPr>
          <w:rFonts w:eastAsia="MS Mincho"/>
        </w:rPr>
      </w:pPr>
      <w:r w:rsidRPr="0085442B">
        <w:rPr>
          <w:rFonts w:eastAsia="MS Mincho"/>
        </w:rPr>
        <w:lastRenderedPageBreak/>
        <w:t xml:space="preserve">Closing the Gap </w:t>
      </w:r>
    </w:p>
    <w:p w14:paraId="7E71ECE9" w14:textId="74CEE8D5" w:rsidR="0064038E" w:rsidRPr="005B665C" w:rsidRDefault="00360B45">
      <w:pPr>
        <w:pStyle w:val="ARbody"/>
      </w:pPr>
      <w:r w:rsidRPr="00360B45">
        <w:t xml:space="preserve">The department is working with sector partners and stakeholders to contribute to the development of the </w:t>
      </w:r>
      <w:r w:rsidR="00C8397D">
        <w:t>state</w:t>
      </w:r>
      <w:r w:rsidRPr="00360B45">
        <w:t>’s Closing the Gap Implementation Plan.</w:t>
      </w:r>
      <w:r>
        <w:t xml:space="preserve"> </w:t>
      </w:r>
      <w:r w:rsidR="0064038E">
        <w:t xml:space="preserve">This is a partnership </w:t>
      </w:r>
      <w:r w:rsidR="0064038E" w:rsidRPr="005B665C">
        <w:t xml:space="preserve">between the Victorian Government and </w:t>
      </w:r>
      <w:proofErr w:type="spellStart"/>
      <w:r w:rsidR="0064038E" w:rsidRPr="005B665C">
        <w:t>Ngaweeyan</w:t>
      </w:r>
      <w:proofErr w:type="spellEnd"/>
      <w:r w:rsidR="0064038E" w:rsidRPr="005B665C">
        <w:t xml:space="preserve"> </w:t>
      </w:r>
      <w:proofErr w:type="spellStart"/>
      <w:r w:rsidR="0064038E" w:rsidRPr="005B665C">
        <w:t>Maar</w:t>
      </w:r>
      <w:r w:rsidR="00BA731A">
        <w:t>˗</w:t>
      </w:r>
      <w:r w:rsidR="0064038E" w:rsidRPr="005B665C">
        <w:t>oo</w:t>
      </w:r>
      <w:proofErr w:type="spellEnd"/>
      <w:r w:rsidR="0064038E" w:rsidRPr="005B665C">
        <w:t>, the Aboriginal members of the Victorian Closing the Gap Partnership Forum.</w:t>
      </w:r>
    </w:p>
    <w:p w14:paraId="739AA0C6" w14:textId="5E628B73" w:rsidR="0064038E" w:rsidRPr="005B665C" w:rsidRDefault="0064038E">
      <w:pPr>
        <w:pStyle w:val="ARbody"/>
      </w:pPr>
      <w:r>
        <w:t>ASDO</w:t>
      </w:r>
      <w:r w:rsidRPr="005B665C">
        <w:t xml:space="preserve"> </w:t>
      </w:r>
      <w:r>
        <w:t>coordinates work to ensure</w:t>
      </w:r>
      <w:r w:rsidRPr="005B665C">
        <w:t xml:space="preserve"> progress</w:t>
      </w:r>
      <w:r>
        <w:t xml:space="preserve"> ag</w:t>
      </w:r>
      <w:r w:rsidRPr="005B665C">
        <w:t xml:space="preserve">ainst the </w:t>
      </w:r>
      <w:r>
        <w:t>p</w:t>
      </w:r>
      <w:r w:rsidRPr="005B665C">
        <w:t xml:space="preserve">riority </w:t>
      </w:r>
      <w:r>
        <w:t>r</w:t>
      </w:r>
      <w:r w:rsidRPr="005B665C">
        <w:t xml:space="preserve">eform and </w:t>
      </w:r>
      <w:r>
        <w:t>s</w:t>
      </w:r>
      <w:r w:rsidRPr="005B665C">
        <w:t xml:space="preserve">ocioeconomic </w:t>
      </w:r>
      <w:r>
        <w:t>t</w:t>
      </w:r>
      <w:r w:rsidRPr="005B665C">
        <w:t>argets and actions</w:t>
      </w:r>
      <w:r>
        <w:t>. The division also provides</w:t>
      </w:r>
      <w:r w:rsidRPr="005B665C">
        <w:t xml:space="preserve"> quarterly reports to the Victorian Closing the Gap Partnership Forum.</w:t>
      </w:r>
    </w:p>
    <w:p w14:paraId="0E16CF22" w14:textId="77777777" w:rsidR="0064038E" w:rsidRPr="005B665C" w:rsidRDefault="0064038E">
      <w:pPr>
        <w:pStyle w:val="ARbody"/>
      </w:pPr>
      <w:r w:rsidRPr="005B665C">
        <w:t xml:space="preserve">The division supported </w:t>
      </w:r>
      <w:r>
        <w:t xml:space="preserve">2 </w:t>
      </w:r>
      <w:r w:rsidRPr="005B665C">
        <w:t>consultations with key stakeholders</w:t>
      </w:r>
      <w:r>
        <w:t>. These</w:t>
      </w:r>
      <w:r w:rsidRPr="005B665C">
        <w:t xml:space="preserve"> focused on identifying strategic actions and testing draft actions</w:t>
      </w:r>
      <w:r>
        <w:t>. This was done</w:t>
      </w:r>
      <w:r w:rsidRPr="005B665C">
        <w:t xml:space="preserve"> through joint engagement with Aboriginal governance members.</w:t>
      </w:r>
    </w:p>
    <w:p w14:paraId="1C1500EE" w14:textId="77777777" w:rsidR="0064038E" w:rsidRDefault="0064038E">
      <w:pPr>
        <w:pStyle w:val="Heading5"/>
      </w:pPr>
      <w:r w:rsidRPr="009264D2">
        <w:rPr>
          <w:rFonts w:eastAsia="MS Mincho"/>
        </w:rPr>
        <w:t>Aboriginal Strategic Governance Forum</w:t>
      </w:r>
    </w:p>
    <w:p w14:paraId="6CD15910" w14:textId="1A41594C" w:rsidR="0064038E" w:rsidRPr="00A705CF" w:rsidRDefault="0064038E">
      <w:pPr>
        <w:pStyle w:val="ARbody"/>
      </w:pPr>
      <w:r w:rsidRPr="00A705CF">
        <w:t>The Aboriginal Strategic Governance Forum (ASGF) is the department’s Aboriginal-led governance structure</w:t>
      </w:r>
      <w:r>
        <w:t>. The ASGF</w:t>
      </w:r>
      <w:r w:rsidRPr="00A705CF">
        <w:t xml:space="preserve"> sets and oversees strategic direction </w:t>
      </w:r>
      <w:r>
        <w:t>for</w:t>
      </w:r>
      <w:r w:rsidRPr="00A705CF">
        <w:t xml:space="preserve"> system transformation</w:t>
      </w:r>
      <w:r>
        <w:t xml:space="preserve">. This work aligns with </w:t>
      </w:r>
      <w:r w:rsidRPr="000763F6">
        <w:rPr>
          <w:rStyle w:val="Emphasis"/>
        </w:rPr>
        <w:t xml:space="preserve">Korin </w:t>
      </w:r>
      <w:proofErr w:type="spellStart"/>
      <w:r w:rsidRPr="000763F6">
        <w:rPr>
          <w:rStyle w:val="Emphasis"/>
        </w:rPr>
        <w:t>Korin</w:t>
      </w:r>
      <w:proofErr w:type="spellEnd"/>
      <w:r w:rsidRPr="000763F6">
        <w:rPr>
          <w:rStyle w:val="Emphasis"/>
        </w:rPr>
        <w:t xml:space="preserve"> Balit-</w:t>
      </w:r>
      <w:proofErr w:type="spellStart"/>
      <w:r w:rsidRPr="000763F6">
        <w:rPr>
          <w:rStyle w:val="Emphasis"/>
        </w:rPr>
        <w:t>Djak</w:t>
      </w:r>
      <w:proofErr w:type="spellEnd"/>
      <w:r w:rsidRPr="00A705CF">
        <w:t>, the department’s overarching Aboriginal strategy</w:t>
      </w:r>
      <w:r>
        <w:t xml:space="preserve">. It also aligns with other state and national frameworks </w:t>
      </w:r>
      <w:r w:rsidRPr="00A705CF">
        <w:t>including:</w:t>
      </w:r>
    </w:p>
    <w:p w14:paraId="3652BA44" w14:textId="77777777" w:rsidR="0064038E" w:rsidRPr="00FF4844" w:rsidRDefault="0064038E" w:rsidP="00F375A6">
      <w:pPr>
        <w:pStyle w:val="ARbullet1"/>
        <w:numPr>
          <w:ilvl w:val="0"/>
          <w:numId w:val="22"/>
        </w:numPr>
      </w:pPr>
      <w:r w:rsidRPr="006A6DFA">
        <w:t xml:space="preserve">the </w:t>
      </w:r>
      <w:r w:rsidRPr="00FF4844">
        <w:t>Closing the Gap Agreement</w:t>
      </w:r>
    </w:p>
    <w:p w14:paraId="1EC09B7F" w14:textId="77777777" w:rsidR="0064038E" w:rsidRPr="00FF4844" w:rsidRDefault="0064038E" w:rsidP="00F375A6">
      <w:pPr>
        <w:pStyle w:val="ARbullet1"/>
        <w:numPr>
          <w:ilvl w:val="0"/>
          <w:numId w:val="22"/>
        </w:numPr>
      </w:pPr>
      <w:r w:rsidRPr="00FF4844">
        <w:t>Victorian Self-Determination Reform Framework</w:t>
      </w:r>
    </w:p>
    <w:p w14:paraId="5E1A13FA" w14:textId="77777777" w:rsidR="0064038E" w:rsidRPr="00FF4844" w:rsidRDefault="0064038E" w:rsidP="00F375A6">
      <w:pPr>
        <w:pStyle w:val="ARbullet1"/>
        <w:numPr>
          <w:ilvl w:val="0"/>
          <w:numId w:val="22"/>
        </w:numPr>
      </w:pPr>
      <w:r w:rsidRPr="00FF4844">
        <w:t>Victorian Aboriginal Affairs Framework</w:t>
      </w:r>
    </w:p>
    <w:p w14:paraId="297D4A8B" w14:textId="77777777" w:rsidR="0064038E" w:rsidRPr="000763F6" w:rsidRDefault="0064038E" w:rsidP="00F375A6">
      <w:pPr>
        <w:pStyle w:val="ARbullet1"/>
        <w:numPr>
          <w:ilvl w:val="0"/>
          <w:numId w:val="22"/>
        </w:numPr>
        <w:rPr>
          <w:rStyle w:val="Emphasis"/>
        </w:rPr>
      </w:pPr>
      <w:proofErr w:type="spellStart"/>
      <w:r w:rsidRPr="000763F6">
        <w:rPr>
          <w:rStyle w:val="Emphasis"/>
        </w:rPr>
        <w:t>Wungurilwil</w:t>
      </w:r>
      <w:proofErr w:type="spellEnd"/>
      <w:r w:rsidRPr="000763F6">
        <w:rPr>
          <w:rStyle w:val="Emphasis"/>
        </w:rPr>
        <w:t xml:space="preserve"> </w:t>
      </w:r>
      <w:proofErr w:type="spellStart"/>
      <w:r w:rsidRPr="000763F6">
        <w:rPr>
          <w:rStyle w:val="Emphasis"/>
        </w:rPr>
        <w:t>Gapgapduir</w:t>
      </w:r>
      <w:proofErr w:type="spellEnd"/>
    </w:p>
    <w:p w14:paraId="46A17F7A" w14:textId="77777777" w:rsidR="0064038E" w:rsidRPr="000763F6" w:rsidRDefault="0064038E" w:rsidP="00F375A6">
      <w:pPr>
        <w:pStyle w:val="ARbullet1"/>
        <w:numPr>
          <w:ilvl w:val="0"/>
          <w:numId w:val="22"/>
        </w:numPr>
        <w:rPr>
          <w:rStyle w:val="Emphasis"/>
        </w:rPr>
      </w:pPr>
      <w:r w:rsidRPr="000763F6">
        <w:rPr>
          <w:rStyle w:val="Emphasis"/>
        </w:rPr>
        <w:t>Mana-</w:t>
      </w:r>
      <w:proofErr w:type="spellStart"/>
      <w:r w:rsidRPr="000763F6">
        <w:rPr>
          <w:rStyle w:val="Emphasis"/>
        </w:rPr>
        <w:t>na</w:t>
      </w:r>
      <w:proofErr w:type="spellEnd"/>
      <w:r w:rsidRPr="000763F6">
        <w:rPr>
          <w:rStyle w:val="Emphasis"/>
        </w:rPr>
        <w:t>-worn-</w:t>
      </w:r>
      <w:proofErr w:type="spellStart"/>
      <w:r w:rsidRPr="000763F6">
        <w:rPr>
          <w:rStyle w:val="Emphasis"/>
        </w:rPr>
        <w:t>tyeen</w:t>
      </w:r>
      <w:proofErr w:type="spellEnd"/>
      <w:r w:rsidRPr="000763F6">
        <w:rPr>
          <w:rStyle w:val="Emphasis"/>
        </w:rPr>
        <w:t xml:space="preserve"> maar-</w:t>
      </w:r>
      <w:proofErr w:type="spellStart"/>
      <w:r w:rsidRPr="000763F6">
        <w:rPr>
          <w:rStyle w:val="Emphasis"/>
        </w:rPr>
        <w:t>takoort</w:t>
      </w:r>
      <w:proofErr w:type="spellEnd"/>
      <w:r w:rsidRPr="000763F6">
        <w:rPr>
          <w:rStyle w:val="Emphasis"/>
        </w:rPr>
        <w:t xml:space="preserve"> </w:t>
      </w:r>
    </w:p>
    <w:p w14:paraId="3CA44203" w14:textId="74ECE6F1" w:rsidR="0064038E" w:rsidRPr="000763F6" w:rsidRDefault="0064038E" w:rsidP="00F375A6">
      <w:pPr>
        <w:pStyle w:val="ARbullet1"/>
        <w:numPr>
          <w:ilvl w:val="0"/>
          <w:numId w:val="22"/>
        </w:numPr>
        <w:rPr>
          <w:rStyle w:val="Emphasis"/>
        </w:rPr>
      </w:pPr>
      <w:r w:rsidRPr="000763F6">
        <w:rPr>
          <w:rStyle w:val="Emphasis"/>
        </w:rPr>
        <w:t xml:space="preserve">Dhelk Dja: Safe our way. </w:t>
      </w:r>
    </w:p>
    <w:p w14:paraId="08E7BFA9" w14:textId="2601D7DD" w:rsidR="0064038E" w:rsidRDefault="0064038E" w:rsidP="00BA07C6">
      <w:pPr>
        <w:pStyle w:val="ARbodyafterbullets"/>
        <w:rPr>
          <w:lang w:eastAsia="en-AU"/>
        </w:rPr>
      </w:pPr>
      <w:r w:rsidRPr="000274EC">
        <w:rPr>
          <w:lang w:eastAsia="en-AU"/>
        </w:rPr>
        <w:t xml:space="preserve">This </w:t>
      </w:r>
      <w:r w:rsidRPr="005B665C">
        <w:rPr>
          <w:lang w:eastAsia="en-AU"/>
        </w:rPr>
        <w:t xml:space="preserve">division </w:t>
      </w:r>
      <w:r w:rsidRPr="005B665C">
        <w:t xml:space="preserve">works </w:t>
      </w:r>
      <w:r w:rsidRPr="000274EC">
        <w:rPr>
          <w:lang w:eastAsia="en-AU"/>
        </w:rPr>
        <w:t xml:space="preserve">in partnership with the Koorie Caucus of the Aboriginal </w:t>
      </w:r>
      <w:r w:rsidRPr="00BA07C6">
        <w:t>Strategic</w:t>
      </w:r>
      <w:r w:rsidRPr="000274EC">
        <w:rPr>
          <w:lang w:eastAsia="en-AU"/>
        </w:rPr>
        <w:t xml:space="preserve"> Governance Forum</w:t>
      </w:r>
      <w:r>
        <w:rPr>
          <w:lang w:eastAsia="en-AU"/>
        </w:rPr>
        <w:t xml:space="preserve">. This work </w:t>
      </w:r>
      <w:r w:rsidRPr="000274EC">
        <w:rPr>
          <w:lang w:eastAsia="en-AU"/>
        </w:rPr>
        <w:t>embed</w:t>
      </w:r>
      <w:r>
        <w:rPr>
          <w:lang w:eastAsia="en-AU"/>
        </w:rPr>
        <w:t>s</w:t>
      </w:r>
      <w:r w:rsidRPr="000274EC">
        <w:rPr>
          <w:lang w:eastAsia="en-AU"/>
        </w:rPr>
        <w:t xml:space="preserve"> self-determination and </w:t>
      </w:r>
      <w:r w:rsidRPr="005B665C">
        <w:rPr>
          <w:lang w:eastAsia="en-AU"/>
        </w:rPr>
        <w:t>shared</w:t>
      </w:r>
      <w:r w:rsidRPr="000274EC">
        <w:rPr>
          <w:lang w:eastAsia="en-AU"/>
        </w:rPr>
        <w:t xml:space="preserve"> decision</w:t>
      </w:r>
      <w:r>
        <w:rPr>
          <w:lang w:eastAsia="en-AU"/>
        </w:rPr>
        <w:t xml:space="preserve"> </w:t>
      </w:r>
      <w:r w:rsidRPr="000274EC">
        <w:rPr>
          <w:lang w:eastAsia="en-AU"/>
        </w:rPr>
        <w:t xml:space="preserve">making. </w:t>
      </w:r>
      <w:r w:rsidR="00BA07C6">
        <w:rPr>
          <w:lang w:eastAsia="en-AU"/>
        </w:rPr>
        <w:br w:type="column"/>
      </w:r>
      <w:r w:rsidRPr="7C83568F">
        <w:rPr>
          <w:lang w:eastAsia="en-AU"/>
        </w:rPr>
        <w:t xml:space="preserve">Recent </w:t>
      </w:r>
      <w:r>
        <w:t>highlights</w:t>
      </w:r>
      <w:r w:rsidRPr="7C83568F">
        <w:rPr>
          <w:lang w:eastAsia="en-AU"/>
        </w:rPr>
        <w:t xml:space="preserve"> include:</w:t>
      </w:r>
    </w:p>
    <w:p w14:paraId="3DB074E3" w14:textId="4A74CBB2" w:rsidR="0064038E" w:rsidRPr="00A705CF" w:rsidRDefault="0064038E" w:rsidP="00F375A6">
      <w:pPr>
        <w:pStyle w:val="ARbullet1"/>
        <w:numPr>
          <w:ilvl w:val="0"/>
          <w:numId w:val="22"/>
        </w:numPr>
      </w:pPr>
      <w:r>
        <w:rPr>
          <w:lang w:eastAsia="en-AU"/>
        </w:rPr>
        <w:t>agreeing</w:t>
      </w:r>
      <w:r w:rsidRPr="005B665C">
        <w:rPr>
          <w:lang w:eastAsia="en-AU"/>
        </w:rPr>
        <w:t xml:space="preserve"> on the establishment of</w:t>
      </w:r>
      <w:r w:rsidRPr="000274EC">
        <w:rPr>
          <w:lang w:eastAsia="en-AU"/>
        </w:rPr>
        <w:t xml:space="preserve"> </w:t>
      </w:r>
      <w:r>
        <w:rPr>
          <w:lang w:eastAsia="en-AU"/>
        </w:rPr>
        <w:t>p</w:t>
      </w:r>
      <w:r w:rsidRPr="000274EC">
        <w:rPr>
          <w:lang w:eastAsia="en-AU"/>
        </w:rPr>
        <w:t xml:space="preserve">riority </w:t>
      </w:r>
      <w:r>
        <w:rPr>
          <w:lang w:eastAsia="en-AU"/>
        </w:rPr>
        <w:t>r</w:t>
      </w:r>
      <w:r w:rsidRPr="000274EC">
        <w:rPr>
          <w:lang w:eastAsia="en-AU"/>
        </w:rPr>
        <w:t xml:space="preserve">eform </w:t>
      </w:r>
      <w:r>
        <w:rPr>
          <w:lang w:eastAsia="en-AU"/>
        </w:rPr>
        <w:t>w</w:t>
      </w:r>
      <w:r w:rsidRPr="000274EC">
        <w:rPr>
          <w:lang w:eastAsia="en-AU"/>
        </w:rPr>
        <w:t xml:space="preserve">orking </w:t>
      </w:r>
      <w:r>
        <w:rPr>
          <w:lang w:eastAsia="en-AU"/>
        </w:rPr>
        <w:t>g</w:t>
      </w:r>
      <w:r w:rsidRPr="000274EC">
        <w:rPr>
          <w:lang w:eastAsia="en-AU"/>
        </w:rPr>
        <w:t>roups</w:t>
      </w:r>
      <w:r>
        <w:rPr>
          <w:lang w:eastAsia="en-AU"/>
        </w:rPr>
        <w:t xml:space="preserve">. These will </w:t>
      </w:r>
      <w:r w:rsidRPr="000274EC">
        <w:rPr>
          <w:lang w:eastAsia="en-AU"/>
        </w:rPr>
        <w:t xml:space="preserve">drive </w:t>
      </w:r>
      <w:r w:rsidRPr="005B665C">
        <w:rPr>
          <w:lang w:eastAsia="en-AU"/>
        </w:rPr>
        <w:t xml:space="preserve">the </w:t>
      </w:r>
      <w:r w:rsidRPr="00A705CF">
        <w:t xml:space="preserve">department’s work under Closing the Gap </w:t>
      </w:r>
      <w:r>
        <w:t>pr</w:t>
      </w:r>
      <w:r w:rsidRPr="00A705CF">
        <w:t xml:space="preserve">iority </w:t>
      </w:r>
      <w:r>
        <w:t>r</w:t>
      </w:r>
      <w:r w:rsidRPr="00A705CF">
        <w:t xml:space="preserve">eforms. A Koorie Caucus Chair </w:t>
      </w:r>
      <w:r>
        <w:t>will</w:t>
      </w:r>
      <w:r w:rsidRPr="00A705CF">
        <w:t xml:space="preserve"> lead each </w:t>
      </w:r>
      <w:r>
        <w:t>w</w:t>
      </w:r>
      <w:r w:rsidRPr="00A705CF">
        <w:t xml:space="preserve">orking </w:t>
      </w:r>
      <w:r>
        <w:t>g</w:t>
      </w:r>
      <w:r w:rsidRPr="00A705CF">
        <w:t>roup</w:t>
      </w:r>
      <w:r>
        <w:t xml:space="preserve">. A </w:t>
      </w:r>
      <w:r w:rsidR="00480556">
        <w:t>D</w:t>
      </w:r>
      <w:r w:rsidRPr="00A705CF">
        <w:t xml:space="preserve">eputy </w:t>
      </w:r>
      <w:r w:rsidR="00480556">
        <w:t>S</w:t>
      </w:r>
      <w:r>
        <w:t>e</w:t>
      </w:r>
      <w:r w:rsidRPr="00A705CF">
        <w:t xml:space="preserve">cretary </w:t>
      </w:r>
      <w:r>
        <w:t xml:space="preserve">will act as an executive sponsor to </w:t>
      </w:r>
      <w:r w:rsidRPr="00A705CF">
        <w:t xml:space="preserve">support the Chair and the work of each </w:t>
      </w:r>
      <w:r>
        <w:t>w</w:t>
      </w:r>
      <w:r w:rsidRPr="00A705CF">
        <w:t xml:space="preserve">orking </w:t>
      </w:r>
      <w:r>
        <w:t>g</w:t>
      </w:r>
      <w:r w:rsidRPr="00A705CF">
        <w:t>roup</w:t>
      </w:r>
    </w:p>
    <w:p w14:paraId="2E511DE4" w14:textId="04F5FA39" w:rsidR="0064038E" w:rsidRPr="00A705CF" w:rsidRDefault="0064038E" w:rsidP="00F375A6">
      <w:pPr>
        <w:pStyle w:val="ARbullet1"/>
        <w:numPr>
          <w:ilvl w:val="0"/>
          <w:numId w:val="22"/>
        </w:numPr>
      </w:pPr>
      <w:r>
        <w:t xml:space="preserve">establishing working groups to oversee the Aboriginal sector workforce strategy and funding transformation. These working groups are </w:t>
      </w:r>
      <w:r w:rsidRPr="00A705CF">
        <w:t xml:space="preserve">developing workplans against the Closing the Gap </w:t>
      </w:r>
      <w:r>
        <w:t>p</w:t>
      </w:r>
      <w:r w:rsidRPr="00A705CF">
        <w:t xml:space="preserve">riority </w:t>
      </w:r>
      <w:r>
        <w:t>r</w:t>
      </w:r>
      <w:r w:rsidRPr="00A705CF">
        <w:t xml:space="preserve">eforms </w:t>
      </w:r>
      <w:r>
        <w:t>relating to</w:t>
      </w:r>
      <w:r w:rsidRPr="00A705CF">
        <w:t xml:space="preserve"> child protection, family violence and housing</w:t>
      </w:r>
    </w:p>
    <w:p w14:paraId="78F492C2" w14:textId="1FA0BBFE" w:rsidR="0064038E" w:rsidRPr="00A705CF" w:rsidRDefault="0064038E" w:rsidP="00F375A6">
      <w:pPr>
        <w:pStyle w:val="ARbullet1"/>
        <w:numPr>
          <w:ilvl w:val="0"/>
          <w:numId w:val="22"/>
        </w:numPr>
        <w:rPr>
          <w:lang w:eastAsia="en-AU"/>
        </w:rPr>
      </w:pPr>
      <w:r w:rsidRPr="00A705CF">
        <w:t xml:space="preserve">working closely with the ASGF Leadership Group to </w:t>
      </w:r>
      <w:r>
        <w:t>refresh</w:t>
      </w:r>
      <w:r w:rsidRPr="00A705CF">
        <w:t xml:space="preserve"> </w:t>
      </w:r>
      <w:r w:rsidRPr="000763F6">
        <w:rPr>
          <w:rStyle w:val="Emphasis"/>
        </w:rPr>
        <w:t xml:space="preserve">Korin </w:t>
      </w:r>
      <w:proofErr w:type="spellStart"/>
      <w:r w:rsidRPr="000763F6">
        <w:rPr>
          <w:rStyle w:val="Emphasis"/>
        </w:rPr>
        <w:t>Korin</w:t>
      </w:r>
      <w:proofErr w:type="spellEnd"/>
      <w:r w:rsidRPr="000763F6">
        <w:rPr>
          <w:rStyle w:val="Emphasis"/>
        </w:rPr>
        <w:t xml:space="preserve"> Balit-</w:t>
      </w:r>
      <w:proofErr w:type="spellStart"/>
      <w:r w:rsidRPr="000763F6">
        <w:rPr>
          <w:rStyle w:val="Emphasis"/>
        </w:rPr>
        <w:t>Djak</w:t>
      </w:r>
      <w:proofErr w:type="spellEnd"/>
      <w:r>
        <w:t xml:space="preserve">. This work will </w:t>
      </w:r>
      <w:r>
        <w:rPr>
          <w:lang w:eastAsia="en-AU"/>
        </w:rPr>
        <w:t xml:space="preserve">align with the current reform environment. </w:t>
      </w:r>
    </w:p>
    <w:p w14:paraId="59AF21FF" w14:textId="7458C361" w:rsidR="0064038E" w:rsidRPr="005563F1" w:rsidRDefault="0064038E">
      <w:pPr>
        <w:pStyle w:val="Heading5"/>
        <w:rPr>
          <w:rFonts w:eastAsia="MS Mincho"/>
        </w:rPr>
      </w:pPr>
      <w:r w:rsidRPr="005563F1">
        <w:rPr>
          <w:rFonts w:eastAsia="MS Mincho"/>
        </w:rPr>
        <w:t xml:space="preserve">Korin </w:t>
      </w:r>
      <w:proofErr w:type="spellStart"/>
      <w:r w:rsidRPr="005563F1">
        <w:rPr>
          <w:rFonts w:eastAsia="MS Mincho"/>
        </w:rPr>
        <w:t>Korin</w:t>
      </w:r>
      <w:proofErr w:type="spellEnd"/>
      <w:r w:rsidRPr="005563F1">
        <w:rPr>
          <w:rFonts w:eastAsia="MS Mincho"/>
        </w:rPr>
        <w:t xml:space="preserve"> Balit-</w:t>
      </w:r>
      <w:proofErr w:type="spellStart"/>
      <w:r w:rsidRPr="005563F1">
        <w:rPr>
          <w:rFonts w:eastAsia="MS Mincho"/>
        </w:rPr>
        <w:t>Djak</w:t>
      </w:r>
      <w:proofErr w:type="spellEnd"/>
      <w:r w:rsidRPr="005563F1">
        <w:rPr>
          <w:rFonts w:eastAsia="MS Mincho"/>
        </w:rPr>
        <w:t xml:space="preserve"> </w:t>
      </w:r>
      <w:r>
        <w:rPr>
          <w:rFonts w:eastAsia="MS Mincho"/>
        </w:rPr>
        <w:t>f</w:t>
      </w:r>
      <w:r w:rsidRPr="005563F1">
        <w:rPr>
          <w:rFonts w:eastAsia="MS Mincho"/>
        </w:rPr>
        <w:t xml:space="preserve">unding </w:t>
      </w:r>
    </w:p>
    <w:p w14:paraId="2EB827DA" w14:textId="5B676757" w:rsidR="0064038E" w:rsidRPr="00FF4844" w:rsidRDefault="007A0526">
      <w:pPr>
        <w:pStyle w:val="ARbody"/>
      </w:pPr>
      <w:r>
        <w:t>The department administered funding t</w:t>
      </w:r>
      <w:r w:rsidR="0064038E" w:rsidRPr="00FF4844">
        <w:t xml:space="preserve">hrough </w:t>
      </w:r>
      <w:r w:rsidR="0064038E" w:rsidRPr="000763F6">
        <w:rPr>
          <w:rStyle w:val="Emphasis"/>
        </w:rPr>
        <w:t xml:space="preserve">Korin </w:t>
      </w:r>
      <w:proofErr w:type="spellStart"/>
      <w:r w:rsidR="0064038E" w:rsidRPr="000763F6">
        <w:rPr>
          <w:rStyle w:val="Emphasis"/>
        </w:rPr>
        <w:t>Korin</w:t>
      </w:r>
      <w:proofErr w:type="spellEnd"/>
      <w:r w:rsidR="0064038E" w:rsidRPr="000763F6">
        <w:rPr>
          <w:rStyle w:val="Emphasis"/>
        </w:rPr>
        <w:t xml:space="preserve"> Balit-</w:t>
      </w:r>
      <w:proofErr w:type="spellStart"/>
      <w:r w:rsidR="0064038E" w:rsidRPr="000763F6">
        <w:rPr>
          <w:rStyle w:val="Emphasis"/>
        </w:rPr>
        <w:t>Djak</w:t>
      </w:r>
      <w:proofErr w:type="spellEnd"/>
      <w:r w:rsidR="0064038E" w:rsidRPr="00FF4844">
        <w:rPr>
          <w:color w:val="000000" w:themeColor="text1"/>
        </w:rPr>
        <w:t xml:space="preserve"> </w:t>
      </w:r>
      <w:r w:rsidR="0064038E" w:rsidRPr="00FF4844">
        <w:t xml:space="preserve">to support </w:t>
      </w:r>
      <w:r>
        <w:t xml:space="preserve">self-determined </w:t>
      </w:r>
      <w:r w:rsidR="0064038E" w:rsidRPr="00FF4844">
        <w:t>projects</w:t>
      </w:r>
      <w:r w:rsidR="0064038E">
        <w:t>. These projects</w:t>
      </w:r>
      <w:r w:rsidR="0064038E" w:rsidRPr="00FF4844">
        <w:t xml:space="preserve"> promoted Aboriginal community leadership</w:t>
      </w:r>
      <w:r w:rsidR="0064038E">
        <w:t xml:space="preserve"> and </w:t>
      </w:r>
      <w:r w:rsidR="0064038E" w:rsidRPr="00FF4844">
        <w:t>prioritised Aboriginal culture and community</w:t>
      </w:r>
      <w:r w:rsidR="0064038E">
        <w:t>. They also</w:t>
      </w:r>
      <w:r w:rsidR="0064038E" w:rsidRPr="00FF4844">
        <w:t xml:space="preserve"> supported system reform across the health and human services sector, built safe, secure, strong families and individuals, and promoted physically, socially and emotionally healthy Aboriginal communities. </w:t>
      </w:r>
    </w:p>
    <w:p w14:paraId="69DDA578" w14:textId="3DEC75FC" w:rsidR="0064038E" w:rsidRPr="00FF4844" w:rsidRDefault="0064038E">
      <w:pPr>
        <w:pStyle w:val="ARbody"/>
      </w:pPr>
      <w:r w:rsidRPr="00FF4844">
        <w:t xml:space="preserve">Examples </w:t>
      </w:r>
      <w:r>
        <w:t>include</w:t>
      </w:r>
      <w:r w:rsidRPr="00FF4844">
        <w:t>:</w:t>
      </w:r>
    </w:p>
    <w:p w14:paraId="7721CD2C" w14:textId="33771F49" w:rsidR="0064038E" w:rsidRPr="00FF4844" w:rsidRDefault="0064038E" w:rsidP="00F375A6">
      <w:pPr>
        <w:pStyle w:val="ARbullet1"/>
        <w:numPr>
          <w:ilvl w:val="0"/>
          <w:numId w:val="22"/>
        </w:numPr>
      </w:pPr>
      <w:r>
        <w:t>s</w:t>
      </w:r>
      <w:r w:rsidRPr="00FF4844">
        <w:t>upporting Aboriginal women to recover from the trauma and impact of family violence</w:t>
      </w:r>
    </w:p>
    <w:p w14:paraId="66C9165B" w14:textId="6B0ABBC0" w:rsidR="0064038E" w:rsidRPr="00FF4844" w:rsidRDefault="0064038E" w:rsidP="00F375A6">
      <w:pPr>
        <w:pStyle w:val="ARbullet1"/>
        <w:numPr>
          <w:ilvl w:val="0"/>
          <w:numId w:val="22"/>
        </w:numPr>
      </w:pPr>
      <w:r>
        <w:t>p</w:t>
      </w:r>
      <w:r w:rsidRPr="00FF4844">
        <w:t>roviding youth leadership and mentoring</w:t>
      </w:r>
      <w:r w:rsidR="00944782">
        <w:t> </w:t>
      </w:r>
      <w:r w:rsidRPr="00FF4844">
        <w:t>initiatives</w:t>
      </w:r>
    </w:p>
    <w:p w14:paraId="4B6B872F" w14:textId="75F4764A" w:rsidR="0064038E" w:rsidRPr="00FF4844" w:rsidRDefault="0064038E" w:rsidP="00F375A6">
      <w:pPr>
        <w:pStyle w:val="ARbullet1"/>
        <w:numPr>
          <w:ilvl w:val="0"/>
          <w:numId w:val="22"/>
        </w:numPr>
      </w:pPr>
      <w:r>
        <w:t>i</w:t>
      </w:r>
      <w:r w:rsidRPr="00FF4844">
        <w:t>mproving access to early childhood, maternal and child health, and family support services</w:t>
      </w:r>
    </w:p>
    <w:p w14:paraId="772E0604" w14:textId="44ABC081" w:rsidR="00BA07C6" w:rsidRDefault="0064038E" w:rsidP="00F375A6">
      <w:pPr>
        <w:pStyle w:val="ARbullet1"/>
        <w:numPr>
          <w:ilvl w:val="0"/>
          <w:numId w:val="22"/>
        </w:numPr>
      </w:pPr>
      <w:r>
        <w:t>r</w:t>
      </w:r>
      <w:r w:rsidRPr="00FF4844">
        <w:t>esourcing Elders to mentor young Aboriginal people</w:t>
      </w:r>
      <w:r>
        <w:t xml:space="preserve">. This focuses on </w:t>
      </w:r>
      <w:r w:rsidRPr="00FF4844">
        <w:t xml:space="preserve">Aboriginal LGBTIQA+ people, Aboriginal Victorians with disability and Aboriginal children and young people in </w:t>
      </w:r>
      <w:r w:rsidR="008149F0">
        <w:br/>
      </w:r>
      <w:r w:rsidRPr="00FF4844">
        <w:t>out-of-home care.</w:t>
      </w:r>
      <w:r w:rsidR="00BA07C6">
        <w:br w:type="page"/>
      </w:r>
    </w:p>
    <w:p w14:paraId="3BA9AF87" w14:textId="5F202BDC" w:rsidR="0064038E" w:rsidRPr="0098274B" w:rsidRDefault="0064038E" w:rsidP="00BA07C6">
      <w:pPr>
        <w:pStyle w:val="Heading5"/>
        <w:spacing w:before="0"/>
        <w:rPr>
          <w:rFonts w:eastAsia="MS Mincho"/>
        </w:rPr>
      </w:pPr>
      <w:r w:rsidRPr="0098274B">
        <w:rPr>
          <w:rFonts w:eastAsia="MS Mincho"/>
        </w:rPr>
        <w:lastRenderedPageBreak/>
        <w:t xml:space="preserve">Regional </w:t>
      </w:r>
      <w:r>
        <w:rPr>
          <w:rFonts w:eastAsia="MS Mincho"/>
        </w:rPr>
        <w:t>p</w:t>
      </w:r>
      <w:r w:rsidRPr="0098274B">
        <w:rPr>
          <w:rFonts w:eastAsia="MS Mincho"/>
        </w:rPr>
        <w:t xml:space="preserve">artnerships </w:t>
      </w:r>
    </w:p>
    <w:p w14:paraId="77BFB36B" w14:textId="13F92D15" w:rsidR="0064038E" w:rsidRPr="00FF4844" w:rsidRDefault="0064038E">
      <w:pPr>
        <w:pStyle w:val="ARbody"/>
        <w:rPr>
          <w:lang w:val="en-US" w:eastAsia="en-AU"/>
        </w:rPr>
      </w:pPr>
      <w:r w:rsidRPr="00FF4844">
        <w:rPr>
          <w:lang w:val="en-US" w:eastAsia="en-AU"/>
        </w:rPr>
        <w:t xml:space="preserve">The division </w:t>
      </w:r>
      <w:r>
        <w:rPr>
          <w:lang w:val="en-US" w:eastAsia="en-AU"/>
        </w:rPr>
        <w:t xml:space="preserve">works with </w:t>
      </w:r>
      <w:r w:rsidRPr="00FF4844">
        <w:rPr>
          <w:lang w:val="en-US" w:eastAsia="en-AU"/>
        </w:rPr>
        <w:t>Aboriginal communities and the department</w:t>
      </w:r>
      <w:r>
        <w:rPr>
          <w:lang w:val="en-US" w:eastAsia="en-AU"/>
        </w:rPr>
        <w:t xml:space="preserve">. We </w:t>
      </w:r>
      <w:r w:rsidRPr="00FF4844">
        <w:rPr>
          <w:lang w:val="en-US" w:eastAsia="en-AU"/>
        </w:rPr>
        <w:t>amplify the lived experience of Aboriginal people</w:t>
      </w:r>
      <w:r>
        <w:rPr>
          <w:lang w:val="en-US" w:eastAsia="en-AU"/>
        </w:rPr>
        <w:t>. This supports</w:t>
      </w:r>
      <w:r w:rsidRPr="00FF4844">
        <w:rPr>
          <w:lang w:val="en-US" w:eastAsia="en-AU"/>
        </w:rPr>
        <w:t xml:space="preserve"> the department’s policy advice and </w:t>
      </w:r>
      <w:proofErr w:type="gramStart"/>
      <w:r w:rsidRPr="00FF4844">
        <w:rPr>
          <w:lang w:val="en-US" w:eastAsia="en-AU"/>
        </w:rPr>
        <w:t>program delivery</w:t>
      </w:r>
      <w:proofErr w:type="gramEnd"/>
      <w:r w:rsidRPr="00FF4844">
        <w:rPr>
          <w:lang w:val="en-US" w:eastAsia="en-AU"/>
        </w:rPr>
        <w:t xml:space="preserve">. The division’s regional teams in the north, south, east and west have strong relationships with Aboriginal communities and </w:t>
      </w:r>
      <w:proofErr w:type="spellStart"/>
      <w:r w:rsidRPr="00FF4844">
        <w:rPr>
          <w:lang w:val="en-US" w:eastAsia="en-AU"/>
        </w:rPr>
        <w:t>organisations</w:t>
      </w:r>
      <w:proofErr w:type="spellEnd"/>
      <w:r w:rsidRPr="00FF4844">
        <w:rPr>
          <w:lang w:val="en-US" w:eastAsia="en-AU"/>
        </w:rPr>
        <w:t xml:space="preserve">. </w:t>
      </w:r>
    </w:p>
    <w:p w14:paraId="105306DC" w14:textId="354055D0" w:rsidR="0064038E" w:rsidRPr="00FF4844" w:rsidRDefault="0064038E">
      <w:pPr>
        <w:pStyle w:val="ARbody"/>
        <w:rPr>
          <w:u w:val="single"/>
          <w:lang w:val="en-US" w:eastAsia="en-AU"/>
        </w:rPr>
      </w:pPr>
      <w:r w:rsidRPr="00FF4844">
        <w:rPr>
          <w:lang w:val="en-US" w:eastAsia="en-AU"/>
        </w:rPr>
        <w:t xml:space="preserve">These teams work in partnership with Aboriginal </w:t>
      </w:r>
      <w:proofErr w:type="spellStart"/>
      <w:r w:rsidRPr="00FF4844">
        <w:rPr>
          <w:lang w:val="en-US" w:eastAsia="en-AU"/>
        </w:rPr>
        <w:t>organisations</w:t>
      </w:r>
      <w:proofErr w:type="spellEnd"/>
      <w:r>
        <w:rPr>
          <w:lang w:val="en-US" w:eastAsia="en-AU"/>
        </w:rPr>
        <w:t>. They</w:t>
      </w:r>
      <w:r w:rsidRPr="00FF4844">
        <w:rPr>
          <w:lang w:val="en-US" w:eastAsia="en-AU"/>
        </w:rPr>
        <w:t xml:space="preserve"> support and strengthen </w:t>
      </w:r>
      <w:r>
        <w:rPr>
          <w:lang w:val="en-US" w:eastAsia="en-AU"/>
        </w:rPr>
        <w:t>ACCOs’</w:t>
      </w:r>
      <w:r w:rsidRPr="00FF4844">
        <w:rPr>
          <w:lang w:val="en-US" w:eastAsia="en-AU"/>
        </w:rPr>
        <w:t xml:space="preserve"> capacity to provide critical services in Aboriginal communities. The teams collaborate and provide advice to the department’s portfolios areas and divisions</w:t>
      </w:r>
      <w:r>
        <w:rPr>
          <w:lang w:val="en-US" w:eastAsia="en-AU"/>
        </w:rPr>
        <w:t>. This includes</w:t>
      </w:r>
      <w:r w:rsidR="00D444D9">
        <w:rPr>
          <w:lang w:val="en-US" w:eastAsia="en-AU"/>
        </w:rPr>
        <w:t xml:space="preserve"> Community Operations &amp; Practice Leadership</w:t>
      </w:r>
      <w:r w:rsidRPr="00FF4844">
        <w:rPr>
          <w:lang w:val="en-US" w:eastAsia="en-AU"/>
        </w:rPr>
        <w:t>, Family Safety Victoria, Children and Families, Homes Victoria, and Disability, Fairness and Emergency Management</w:t>
      </w:r>
      <w:r w:rsidRPr="0064038E">
        <w:rPr>
          <w:lang w:val="en-US" w:eastAsia="en-AU"/>
        </w:rPr>
        <w:t>.</w:t>
      </w:r>
    </w:p>
    <w:p w14:paraId="5C3AEA7B" w14:textId="3218698F" w:rsidR="0064038E" w:rsidRPr="00FF4844" w:rsidRDefault="0064038E">
      <w:pPr>
        <w:pStyle w:val="ARbody"/>
        <w:rPr>
          <w:color w:val="000000" w:themeColor="text1"/>
        </w:rPr>
      </w:pPr>
      <w:r w:rsidRPr="00FF4844">
        <w:rPr>
          <w:color w:val="000000" w:themeColor="text1"/>
        </w:rPr>
        <w:t xml:space="preserve">The division </w:t>
      </w:r>
      <w:r>
        <w:rPr>
          <w:color w:val="000000" w:themeColor="text1"/>
        </w:rPr>
        <w:t xml:space="preserve">also helped </w:t>
      </w:r>
      <w:r w:rsidR="00FD4673">
        <w:rPr>
          <w:color w:val="000000" w:themeColor="text1"/>
        </w:rPr>
        <w:t>re</w:t>
      </w:r>
      <w:r w:rsidR="00AF71CD">
        <w:rPr>
          <w:color w:val="000000" w:themeColor="text1"/>
        </w:rPr>
        <w:t>-</w:t>
      </w:r>
      <w:r>
        <w:rPr>
          <w:color w:val="000000" w:themeColor="text1"/>
        </w:rPr>
        <w:t xml:space="preserve">establish </w:t>
      </w:r>
      <w:r w:rsidRPr="00FF4844">
        <w:rPr>
          <w:color w:val="000000" w:themeColor="text1"/>
        </w:rPr>
        <w:t xml:space="preserve">metropolitan and regional Aboriginal governance bodies </w:t>
      </w:r>
      <w:r>
        <w:rPr>
          <w:color w:val="000000" w:themeColor="text1"/>
        </w:rPr>
        <w:t>across Victoria</w:t>
      </w:r>
      <w:r w:rsidRPr="00FF4844">
        <w:rPr>
          <w:color w:val="000000" w:themeColor="text1"/>
        </w:rPr>
        <w:t>. These are:</w:t>
      </w:r>
    </w:p>
    <w:p w14:paraId="5B42523D" w14:textId="77777777" w:rsidR="0064038E" w:rsidRPr="00A705CF" w:rsidRDefault="0064038E" w:rsidP="00F375A6">
      <w:pPr>
        <w:pStyle w:val="ARbullet1"/>
        <w:numPr>
          <w:ilvl w:val="0"/>
          <w:numId w:val="22"/>
        </w:numPr>
      </w:pPr>
      <w:r w:rsidRPr="00A705CF">
        <w:t>Gippsland Governance Group</w:t>
      </w:r>
    </w:p>
    <w:p w14:paraId="1A59DB09" w14:textId="77777777" w:rsidR="0064038E" w:rsidRPr="00A705CF" w:rsidRDefault="0064038E" w:rsidP="00F375A6">
      <w:pPr>
        <w:pStyle w:val="ARbullet1"/>
        <w:numPr>
          <w:ilvl w:val="0"/>
          <w:numId w:val="22"/>
        </w:numPr>
      </w:pPr>
      <w:r w:rsidRPr="00A705CF">
        <w:t>Southern Metropolitan Governance</w:t>
      </w:r>
    </w:p>
    <w:p w14:paraId="043498D4" w14:textId="77777777" w:rsidR="0064038E" w:rsidRPr="00A705CF" w:rsidRDefault="0064038E" w:rsidP="00F375A6">
      <w:pPr>
        <w:pStyle w:val="ARbullet1"/>
        <w:numPr>
          <w:ilvl w:val="0"/>
          <w:numId w:val="22"/>
        </w:numPr>
      </w:pPr>
      <w:r w:rsidRPr="00A705CF">
        <w:t>East Metropolitan Governance Group</w:t>
      </w:r>
    </w:p>
    <w:p w14:paraId="70D7A51A" w14:textId="77777777" w:rsidR="0064038E" w:rsidRPr="00A705CF" w:rsidRDefault="0064038E" w:rsidP="00F375A6">
      <w:pPr>
        <w:pStyle w:val="ARbullet1"/>
        <w:numPr>
          <w:ilvl w:val="0"/>
          <w:numId w:val="22"/>
        </w:numPr>
      </w:pPr>
      <w:r w:rsidRPr="00A705CF">
        <w:t>East Regional Governance Group</w:t>
      </w:r>
    </w:p>
    <w:p w14:paraId="1BE5B71B" w14:textId="77777777" w:rsidR="0064038E" w:rsidRPr="00A705CF" w:rsidRDefault="0064038E" w:rsidP="00F375A6">
      <w:pPr>
        <w:pStyle w:val="ARbullet1"/>
        <w:numPr>
          <w:ilvl w:val="0"/>
          <w:numId w:val="22"/>
        </w:numPr>
      </w:pPr>
      <w:r w:rsidRPr="00A705CF">
        <w:t>Loddon Mallee Aboriginal Reference Group</w:t>
      </w:r>
    </w:p>
    <w:p w14:paraId="56AE4692" w14:textId="77777777" w:rsidR="0064038E" w:rsidRPr="00A705CF" w:rsidRDefault="0064038E" w:rsidP="00F375A6">
      <w:pPr>
        <w:pStyle w:val="ARbullet1"/>
        <w:numPr>
          <w:ilvl w:val="0"/>
          <w:numId w:val="22"/>
        </w:numPr>
      </w:pPr>
      <w:r w:rsidRPr="00A705CF">
        <w:t>Northern Metropolitan Aboriginal Strategic Governance Group</w:t>
      </w:r>
    </w:p>
    <w:p w14:paraId="76D63EFB" w14:textId="264EE676" w:rsidR="0064038E" w:rsidRPr="00A705CF" w:rsidRDefault="0064038E" w:rsidP="00F375A6">
      <w:pPr>
        <w:pStyle w:val="ARbullet1"/>
        <w:numPr>
          <w:ilvl w:val="0"/>
          <w:numId w:val="22"/>
        </w:numPr>
      </w:pPr>
      <w:r w:rsidRPr="00A705CF">
        <w:t>West Metropolitan Aboriginal Governance</w:t>
      </w:r>
      <w:r w:rsidR="00944782">
        <w:t> </w:t>
      </w:r>
      <w:r w:rsidRPr="00A705CF">
        <w:t>Group</w:t>
      </w:r>
    </w:p>
    <w:p w14:paraId="143B0B43" w14:textId="77777777" w:rsidR="0064038E" w:rsidRPr="00A705CF" w:rsidRDefault="0064038E" w:rsidP="00F375A6">
      <w:pPr>
        <w:pStyle w:val="ARbullet1"/>
        <w:numPr>
          <w:ilvl w:val="0"/>
          <w:numId w:val="22"/>
        </w:numPr>
      </w:pPr>
      <w:r w:rsidRPr="00A705CF">
        <w:t>Western District ACCO Collective</w:t>
      </w:r>
      <w:r>
        <w:t>.</w:t>
      </w:r>
    </w:p>
    <w:p w14:paraId="02B21BAF" w14:textId="71C07F1E" w:rsidR="0064038E" w:rsidRPr="00FF4844" w:rsidRDefault="0064038E" w:rsidP="00CA3FC2">
      <w:pPr>
        <w:pStyle w:val="ARbody"/>
      </w:pPr>
      <w:r w:rsidRPr="00A705CF">
        <w:t>Regional</w:t>
      </w:r>
      <w:r w:rsidRPr="00116E55">
        <w:t xml:space="preserve"> Aboriginal governance groups are self-governing</w:t>
      </w:r>
      <w:r>
        <w:t>. They are led by</w:t>
      </w:r>
      <w:r w:rsidRPr="00116E55">
        <w:t xml:space="preserve"> ACCO</w:t>
      </w:r>
      <w:r>
        <w:t>s f</w:t>
      </w:r>
      <w:r w:rsidRPr="00116E55">
        <w:t xml:space="preserve">unded to </w:t>
      </w:r>
      <w:r>
        <w:t>administer</w:t>
      </w:r>
      <w:r w:rsidRPr="00116E55">
        <w:t xml:space="preserve"> these governance groups</w:t>
      </w:r>
      <w:r>
        <w:t>.</w:t>
      </w:r>
      <w:r w:rsidRPr="00116E55">
        <w:t xml:space="preserve"> </w:t>
      </w:r>
      <w:r>
        <w:t xml:space="preserve">The groups provide </w:t>
      </w:r>
      <w:r w:rsidRPr="00116E55">
        <w:t xml:space="preserve">advice on </w:t>
      </w:r>
      <w:r>
        <w:t xml:space="preserve">implementing the </w:t>
      </w:r>
      <w:r w:rsidRPr="00116E55">
        <w:t>department’s Aboriginal strategies and frameworks.</w:t>
      </w:r>
      <w:r w:rsidR="00F97037">
        <w:br w:type="column"/>
      </w:r>
      <w:r w:rsidRPr="00FF4844">
        <w:t xml:space="preserve">Chairs of these regional </w:t>
      </w:r>
      <w:r w:rsidRPr="00CA3FC2">
        <w:t>governance</w:t>
      </w:r>
      <w:r w:rsidRPr="00FF4844">
        <w:t xml:space="preserve"> bodies are also members of ASGF Koorie Caucus and the Aboriginal Strategic Governance Forum. They bring place-based knowledge and insights on the specific needs, priorities and lived experiences of Aboriginal Victorians to statewide decision-making forums.</w:t>
      </w:r>
    </w:p>
    <w:p w14:paraId="6A5BB6B2" w14:textId="7288E35F" w:rsidR="00BA07C6" w:rsidRDefault="0064038E">
      <w:pPr>
        <w:pStyle w:val="ARbody"/>
      </w:pPr>
      <w:r w:rsidRPr="00FF4844">
        <w:t>The division also lead</w:t>
      </w:r>
      <w:r>
        <w:t>s</w:t>
      </w:r>
      <w:r w:rsidRPr="00FF4844">
        <w:t xml:space="preserve"> the department’s emergency management work with Aboriginal communities. The regional teams support to ACCOs to identify relief priorities and </w:t>
      </w:r>
      <w:r>
        <w:t xml:space="preserve">make preparedness plans. </w:t>
      </w:r>
      <w:r w:rsidRPr="00FF4844">
        <w:t>The division also works with</w:t>
      </w:r>
      <w:r w:rsidR="008149F0">
        <w:t> </w:t>
      </w:r>
      <w:r w:rsidRPr="00FF4844">
        <w:t>Emergency Recovery Victoria</w:t>
      </w:r>
      <w:r>
        <w:t>. This includes</w:t>
      </w:r>
      <w:r w:rsidRPr="00FF4844">
        <w:t xml:space="preserve"> contributing to statewide planning and quality assurance frameworks.</w:t>
      </w:r>
    </w:p>
    <w:p w14:paraId="02B672EA" w14:textId="24BAAA44" w:rsidR="0064038E" w:rsidRDefault="0064038E" w:rsidP="00BA07C6">
      <w:pPr>
        <w:pStyle w:val="Heading5"/>
        <w:spacing w:before="0"/>
      </w:pPr>
      <w:r>
        <w:t>Supporting representation and participation of First Nations young people</w:t>
      </w:r>
    </w:p>
    <w:p w14:paraId="2C633226" w14:textId="0396956E" w:rsidR="0064038E" w:rsidRPr="00875D3A" w:rsidRDefault="0064038E">
      <w:pPr>
        <w:pStyle w:val="ARbody"/>
      </w:pPr>
      <w:r w:rsidRPr="00875D3A">
        <w:t xml:space="preserve">The department </w:t>
      </w:r>
      <w:r>
        <w:t>supports</w:t>
      </w:r>
      <w:r w:rsidRPr="00875D3A">
        <w:t xml:space="preserve"> First Nations young people to pursue their goals and stay connected to</w:t>
      </w:r>
      <w:r w:rsidR="008149F0">
        <w:t> </w:t>
      </w:r>
      <w:r w:rsidRPr="00875D3A">
        <w:t>culture and community.</w:t>
      </w:r>
    </w:p>
    <w:p w14:paraId="74879A66" w14:textId="472033EB" w:rsidR="0064038E" w:rsidRDefault="0064038E">
      <w:pPr>
        <w:pStyle w:val="ARbody"/>
      </w:pPr>
      <w:r>
        <w:t>The</w:t>
      </w:r>
      <w:r w:rsidRPr="00875D3A">
        <w:t xml:space="preserve"> </w:t>
      </w:r>
      <w:r w:rsidRPr="00CA3FC2">
        <w:rPr>
          <w:rStyle w:val="Emphasis"/>
        </w:rPr>
        <w:t>2024–25 State Budget</w:t>
      </w:r>
      <w:r>
        <w:t xml:space="preserve"> funded a 4-year extension to</w:t>
      </w:r>
      <w:r w:rsidRPr="00875D3A">
        <w:t xml:space="preserve"> the government</w:t>
      </w:r>
      <w:r>
        <w:t xml:space="preserve">’s </w:t>
      </w:r>
      <w:r w:rsidRPr="00875D3A">
        <w:t>partnership with the Koorie Youth Council</w:t>
      </w:r>
      <w:r>
        <w:t>. The council is the</w:t>
      </w:r>
      <w:r w:rsidRPr="00875D3A">
        <w:t xml:space="preserve"> peak body representing Aboriginal young people in Victoria. </w:t>
      </w:r>
    </w:p>
    <w:p w14:paraId="113B26A8" w14:textId="08243FCF" w:rsidR="0064038E" w:rsidRPr="00875D3A" w:rsidRDefault="0064038E">
      <w:pPr>
        <w:pStyle w:val="ARbody"/>
      </w:pPr>
      <w:r w:rsidRPr="00875D3A">
        <w:t>This important partnership embeds a broad, strengths-based, prevention approach</w:t>
      </w:r>
      <w:r>
        <w:t xml:space="preserve">. It </w:t>
      </w:r>
      <w:r w:rsidRPr="00875D3A">
        <w:t>ensure</w:t>
      </w:r>
      <w:r>
        <w:t>s</w:t>
      </w:r>
      <w:r w:rsidRPr="00875D3A">
        <w:t xml:space="preserve"> that </w:t>
      </w:r>
      <w:r>
        <w:t xml:space="preserve">the </w:t>
      </w:r>
      <w:r w:rsidRPr="00875D3A">
        <w:t xml:space="preserve">government and organisations </w:t>
      </w:r>
      <w:r>
        <w:t xml:space="preserve">engage </w:t>
      </w:r>
      <w:r w:rsidRPr="00875D3A">
        <w:t>meaningfully with Aboriginal young people</w:t>
      </w:r>
      <w:r>
        <w:t>. This</w:t>
      </w:r>
      <w:r w:rsidR="008149F0">
        <w:t> </w:t>
      </w:r>
      <w:r>
        <w:t xml:space="preserve">helps the government deliver </w:t>
      </w:r>
      <w:r w:rsidRPr="00875D3A">
        <w:t>tailor</w:t>
      </w:r>
      <w:r>
        <w:t xml:space="preserve">ed </w:t>
      </w:r>
      <w:r w:rsidRPr="00875D3A">
        <w:t xml:space="preserve">support and services that meet </w:t>
      </w:r>
      <w:r>
        <w:t>the</w:t>
      </w:r>
      <w:r w:rsidRPr="00875D3A">
        <w:t xml:space="preserve"> needs and aspirations</w:t>
      </w:r>
      <w:r>
        <w:t xml:space="preserve"> of</w:t>
      </w:r>
      <w:r w:rsidR="008149F0">
        <w:t> </w:t>
      </w:r>
      <w:r>
        <w:t>Aboriginal young people</w:t>
      </w:r>
      <w:r w:rsidRPr="00875D3A">
        <w:t xml:space="preserve">. </w:t>
      </w:r>
    </w:p>
    <w:p w14:paraId="0842EB50" w14:textId="77777777" w:rsidR="00F97037" w:rsidRDefault="0064038E">
      <w:pPr>
        <w:pStyle w:val="ARbody"/>
        <w:sectPr w:rsidR="00F97037" w:rsidSect="007F43B1">
          <w:endnotePr>
            <w:numFmt w:val="decimal"/>
          </w:endnotePr>
          <w:type w:val="continuous"/>
          <w:pgSz w:w="11900" w:h="16840" w:code="9"/>
          <w:pgMar w:top="1588" w:right="1134" w:bottom="851" w:left="1134" w:header="510" w:footer="340" w:gutter="0"/>
          <w:cols w:num="2" w:space="448"/>
        </w:sectPr>
      </w:pPr>
      <w:r w:rsidRPr="00875D3A">
        <w:t xml:space="preserve">In addition, the department </w:t>
      </w:r>
      <w:r>
        <w:t>supported the</w:t>
      </w:r>
      <w:r w:rsidRPr="00875D3A">
        <w:t xml:space="preserve"> Marram </w:t>
      </w:r>
      <w:proofErr w:type="spellStart"/>
      <w:r w:rsidRPr="00875D3A">
        <w:t>Nganyin</w:t>
      </w:r>
      <w:proofErr w:type="spellEnd"/>
      <w:r w:rsidRPr="00875D3A">
        <w:t xml:space="preserve"> Aboriginal Youth Mentoring Program</w:t>
      </w:r>
      <w:r>
        <w:t>. This</w:t>
      </w:r>
      <w:r w:rsidR="008149F0">
        <w:t> </w:t>
      </w:r>
      <w:r w:rsidRPr="00875D3A">
        <w:t xml:space="preserve">is delivered in partnership with the Koorie Youth Council and </w:t>
      </w:r>
      <w:r>
        <w:t>5</w:t>
      </w:r>
      <w:r w:rsidRPr="00875D3A">
        <w:t xml:space="preserve"> local Aboriginal community organisations. The program builds protective factors</w:t>
      </w:r>
      <w:r>
        <w:t xml:space="preserve"> and strengthens</w:t>
      </w:r>
      <w:r w:rsidRPr="00875D3A">
        <w:t xml:space="preserve"> connections to culture and</w:t>
      </w:r>
      <w:r w:rsidR="008149F0">
        <w:t> </w:t>
      </w:r>
      <w:r w:rsidRPr="00875D3A">
        <w:t>communit</w:t>
      </w:r>
      <w:r>
        <w:t xml:space="preserve">y. It </w:t>
      </w:r>
      <w:r w:rsidRPr="00875D3A">
        <w:t>support</w:t>
      </w:r>
      <w:r>
        <w:t>s</w:t>
      </w:r>
      <w:r w:rsidRPr="00875D3A">
        <w:t xml:space="preserve"> wellbeing and life skills, enhancing education outcomes</w:t>
      </w:r>
      <w:r>
        <w:t xml:space="preserve">. It also </w:t>
      </w:r>
      <w:r w:rsidRPr="00875D3A">
        <w:t>creat</w:t>
      </w:r>
      <w:r>
        <w:t xml:space="preserve">es </w:t>
      </w:r>
      <w:r w:rsidRPr="00875D3A">
        <w:t>pathways to training and employment</w:t>
      </w:r>
      <w:r>
        <w:t>.</w:t>
      </w:r>
    </w:p>
    <w:p w14:paraId="13B869D7" w14:textId="7624FC29" w:rsidR="0064038E" w:rsidRDefault="0064038E">
      <w:pPr>
        <w:pStyle w:val="Heading3"/>
        <w:spacing w:before="0"/>
      </w:pPr>
      <w:bookmarkStart w:id="101" w:name="_Hlk202094597"/>
      <w:r w:rsidRPr="00A57FC9">
        <w:lastRenderedPageBreak/>
        <w:t>Objective</w:t>
      </w:r>
      <w:r>
        <w:t>:</w:t>
      </w:r>
      <w:r w:rsidRPr="0087628D">
        <w:t xml:space="preserve"> Our social services system is integrated, effective, person-centred and sustainable</w:t>
      </w:r>
      <w:r w:rsidRPr="00A57FC9">
        <w:t xml:space="preserve"> </w:t>
      </w:r>
    </w:p>
    <w:p w14:paraId="24C10738" w14:textId="77777777" w:rsidR="0064038E" w:rsidRPr="00AA2DFD" w:rsidRDefault="0064038E">
      <w:pPr>
        <w:pStyle w:val="Heading4"/>
        <w:spacing w:after="240"/>
      </w:pPr>
      <w:r w:rsidRPr="00532DAE">
        <w:t>Key initiatives and projects</w:t>
      </w:r>
    </w:p>
    <w:bookmarkEnd w:id="101"/>
    <w:p w14:paraId="1C3EA5F8" w14:textId="77777777" w:rsidR="0064038E" w:rsidRDefault="0064038E">
      <w:pPr>
        <w:pStyle w:val="ARbullet1"/>
        <w:numPr>
          <w:ilvl w:val="0"/>
          <w:numId w:val="0"/>
        </w:numPr>
        <w:rPr>
          <w:highlight w:val="yellow"/>
        </w:rPr>
        <w:sectPr w:rsidR="0064038E" w:rsidSect="007F43B1">
          <w:endnotePr>
            <w:numFmt w:val="decimal"/>
          </w:endnotePr>
          <w:pgSz w:w="11900" w:h="16840" w:code="9"/>
          <w:pgMar w:top="1588" w:right="1134" w:bottom="851" w:left="1134" w:header="510" w:footer="340" w:gutter="0"/>
          <w:cols w:space="448"/>
        </w:sectPr>
      </w:pPr>
    </w:p>
    <w:p w14:paraId="2A71DE88" w14:textId="77777777" w:rsidR="0064038E" w:rsidRDefault="0064038E" w:rsidP="00BA07C6">
      <w:pPr>
        <w:pStyle w:val="Heading5"/>
        <w:spacing w:before="0"/>
        <w:rPr>
          <w:rFonts w:eastAsia="MS Mincho"/>
        </w:rPr>
      </w:pPr>
      <w:r w:rsidRPr="007C3330">
        <w:rPr>
          <w:rFonts w:eastAsia="MS Mincho"/>
        </w:rPr>
        <w:t xml:space="preserve">Supporting </w:t>
      </w:r>
      <w:r>
        <w:rPr>
          <w:rFonts w:eastAsia="MS Mincho"/>
        </w:rPr>
        <w:t>delivery of the social services regulatory scheme</w:t>
      </w:r>
      <w:r w:rsidRPr="007C3330">
        <w:rPr>
          <w:rFonts w:eastAsia="MS Mincho"/>
        </w:rPr>
        <w:t xml:space="preserve"> </w:t>
      </w:r>
    </w:p>
    <w:p w14:paraId="6D72CD29" w14:textId="03EAA51D" w:rsidR="0064038E" w:rsidRDefault="0064038E">
      <w:pPr>
        <w:pStyle w:val="ARbody"/>
      </w:pPr>
      <w:r>
        <w:t xml:space="preserve">The department supported the social services regulatory scheme in its first year. </w:t>
      </w:r>
    </w:p>
    <w:p w14:paraId="6835A237" w14:textId="44A79734" w:rsidR="0064038E" w:rsidRDefault="0064038E">
      <w:pPr>
        <w:pStyle w:val="ARbody"/>
      </w:pPr>
      <w:r>
        <w:t>In consultation with the Social Services Regulator (the Regulator), we developed a new information-sharing protocol. The protocol</w:t>
      </w:r>
      <w:r w:rsidRPr="00E84E19">
        <w:rPr>
          <w:rFonts w:ascii="VIC" w:eastAsiaTheme="minorHAnsi" w:hAnsi="VIC" w:cstheme="minorBidi"/>
          <w:color w:val="1A1A1A"/>
          <w:spacing w:val="5"/>
          <w:sz w:val="22"/>
          <w:szCs w:val="22"/>
          <w:shd w:val="clear" w:color="auto" w:fill="FFFFFF"/>
        </w:rPr>
        <w:t xml:space="preserve"> </w:t>
      </w:r>
      <w:r>
        <w:t>outlines</w:t>
      </w:r>
      <w:r w:rsidRPr="00E84E19">
        <w:t xml:space="preserve"> the way information </w:t>
      </w:r>
      <w:r>
        <w:t>is</w:t>
      </w:r>
      <w:r w:rsidRPr="00E84E19">
        <w:t xml:space="preserve"> shared between the </w:t>
      </w:r>
      <w:r>
        <w:t>Regulator and the department. It sets out agreed principles for efficient, effective and consistent information</w:t>
      </w:r>
      <w:r w:rsidR="00BA07C6">
        <w:t> </w:t>
      </w:r>
      <w:r>
        <w:t xml:space="preserve">sharing. </w:t>
      </w:r>
    </w:p>
    <w:p w14:paraId="6C9D0FCA" w14:textId="3553A7D0" w:rsidR="0064038E" w:rsidRDefault="0064038E">
      <w:pPr>
        <w:pStyle w:val="ARbody"/>
      </w:pPr>
      <w:r>
        <w:t>We also developed a</w:t>
      </w:r>
      <w:r w:rsidRPr="00F30889">
        <w:t xml:space="preserve"> </w:t>
      </w:r>
      <w:r>
        <w:t>s</w:t>
      </w:r>
      <w:r w:rsidRPr="00F30889">
        <w:t xml:space="preserve">tatement of </w:t>
      </w:r>
      <w:r>
        <w:t>r</w:t>
      </w:r>
      <w:r w:rsidRPr="00F30889">
        <w:t xml:space="preserve">oles and </w:t>
      </w:r>
      <w:r>
        <w:t>r</w:t>
      </w:r>
      <w:r w:rsidRPr="00F30889">
        <w:t xml:space="preserve">esponsibilities </w:t>
      </w:r>
      <w:r>
        <w:t>between the department and the</w:t>
      </w:r>
      <w:r w:rsidR="008149F0">
        <w:t> </w:t>
      </w:r>
      <w:r w:rsidRPr="00F30889">
        <w:t xml:space="preserve">Regulator. </w:t>
      </w:r>
      <w:r>
        <w:t>The statement</w:t>
      </w:r>
      <w:r w:rsidRPr="00F30889">
        <w:t xml:space="preserve"> sets out where the</w:t>
      </w:r>
      <w:r w:rsidR="008149F0">
        <w:t> </w:t>
      </w:r>
      <w:r w:rsidRPr="00F30889">
        <w:t>Regulator’s responsibilities will overlap with the</w:t>
      </w:r>
      <w:r w:rsidR="008149F0">
        <w:t> </w:t>
      </w:r>
      <w:r>
        <w:t>d</w:t>
      </w:r>
      <w:r w:rsidRPr="00F30889">
        <w:t>epartment’s service agreement management functions</w:t>
      </w:r>
      <w:r>
        <w:t>. It includes how these overlaps will be</w:t>
      </w:r>
      <w:r w:rsidR="00BA07C6">
        <w:t> </w:t>
      </w:r>
      <w:r>
        <w:t>addressed</w:t>
      </w:r>
      <w:r w:rsidRPr="00F30889">
        <w:t>.</w:t>
      </w:r>
    </w:p>
    <w:p w14:paraId="6073A33B" w14:textId="77777777" w:rsidR="0064038E" w:rsidRPr="00AB3530" w:rsidRDefault="0064038E">
      <w:pPr>
        <w:pStyle w:val="Heading5"/>
        <w:rPr>
          <w:rFonts w:eastAsia="MS Mincho"/>
        </w:rPr>
      </w:pPr>
      <w:r w:rsidRPr="00AB3530">
        <w:rPr>
          <w:rFonts w:eastAsia="MS Mincho"/>
        </w:rPr>
        <w:t xml:space="preserve">Entities reform </w:t>
      </w:r>
    </w:p>
    <w:p w14:paraId="4F49E92C" w14:textId="28F466F3" w:rsidR="0064038E" w:rsidRDefault="0064038E">
      <w:pPr>
        <w:pStyle w:val="ARbody"/>
      </w:pPr>
      <w:r>
        <w:t>The department is working to improve regulatory oversight. This will make the system easier to navigate for people with disability. The Victorian Government announced these reforms in February</w:t>
      </w:r>
      <w:r w:rsidR="00BA07C6">
        <w:t> </w:t>
      </w:r>
      <w:r>
        <w:t>2024.</w:t>
      </w:r>
    </w:p>
    <w:p w14:paraId="6183158C" w14:textId="5EB78FB5" w:rsidR="0064038E" w:rsidRDefault="0064038E">
      <w:pPr>
        <w:pStyle w:val="ARbody"/>
      </w:pPr>
      <w:r>
        <w:t>This year, we undertook targeted consultations with key stakeholders. This included providers and peak bodies in out-of-home care and disability, disability advocates, unions and affected entities.</w:t>
      </w:r>
    </w:p>
    <w:p w14:paraId="09E61D29" w14:textId="431E32CC" w:rsidR="00BA07C6" w:rsidRDefault="0064038E">
      <w:pPr>
        <w:pStyle w:val="ARbody"/>
      </w:pPr>
      <w:r>
        <w:t>Consultation will inform our work to consolidate worker prohibition schemes. These schemes will affect the disability and out-of-home care sector within the Regulator’s remit. This will ensure service users remain protected. The consultation will also inform the design of a complaints function. This will create a one-stop shop for service users to have complaints heard</w:t>
      </w:r>
      <w:r w:rsidR="005D71EA">
        <w:t xml:space="preserve"> and responded to</w:t>
      </w:r>
      <w:r>
        <w:t>.</w:t>
      </w:r>
    </w:p>
    <w:p w14:paraId="015B3768" w14:textId="3B958529" w:rsidR="0064038E" w:rsidRPr="00087673" w:rsidRDefault="00BA07C6" w:rsidP="00BA07C6">
      <w:pPr>
        <w:pStyle w:val="Heading5"/>
        <w:spacing w:before="0"/>
        <w:rPr>
          <w:lang w:eastAsia="en-AU"/>
        </w:rPr>
      </w:pPr>
      <w:r>
        <w:br w:type="column"/>
      </w:r>
      <w:r w:rsidR="0064038E">
        <w:rPr>
          <w:lang w:eastAsia="en-AU"/>
        </w:rPr>
        <w:t>New</w:t>
      </w:r>
      <w:r w:rsidR="0064038E" w:rsidRPr="00087673">
        <w:rPr>
          <w:lang w:eastAsia="en-AU"/>
        </w:rPr>
        <w:t xml:space="preserve"> </w:t>
      </w:r>
      <w:r w:rsidR="0064038E">
        <w:rPr>
          <w:lang w:eastAsia="en-AU"/>
        </w:rPr>
        <w:t>s</w:t>
      </w:r>
      <w:r w:rsidR="0064038E" w:rsidRPr="00087673">
        <w:rPr>
          <w:lang w:eastAsia="en-AU"/>
        </w:rPr>
        <w:t xml:space="preserve">ervice </w:t>
      </w:r>
      <w:r w:rsidR="0064038E">
        <w:rPr>
          <w:lang w:eastAsia="en-AU"/>
        </w:rPr>
        <w:t>a</w:t>
      </w:r>
      <w:r w:rsidR="0064038E" w:rsidRPr="00087673">
        <w:rPr>
          <w:lang w:eastAsia="en-AU"/>
        </w:rPr>
        <w:t>greement</w:t>
      </w:r>
      <w:r w:rsidR="0064038E">
        <w:rPr>
          <w:lang w:eastAsia="en-AU"/>
        </w:rPr>
        <w:t xml:space="preserve"> for department-funded community service organisations</w:t>
      </w:r>
    </w:p>
    <w:p w14:paraId="23693247" w14:textId="5C8A0C07" w:rsidR="0064038E" w:rsidRDefault="0064038E" w:rsidP="00BA07C6">
      <w:pPr>
        <w:pStyle w:val="ARbody"/>
      </w:pPr>
      <w:r w:rsidRPr="00D65C71">
        <w:t xml:space="preserve">The </w:t>
      </w:r>
      <w:r>
        <w:t>s</w:t>
      </w:r>
      <w:r w:rsidRPr="00D65C71">
        <w:t xml:space="preserve">ervice </w:t>
      </w:r>
      <w:r>
        <w:t>a</w:t>
      </w:r>
      <w:r w:rsidRPr="00D65C71">
        <w:t>greement provides the terms and conditions</w:t>
      </w:r>
      <w:r>
        <w:t xml:space="preserve"> for community services organisations to</w:t>
      </w:r>
      <w:r w:rsidR="008149F0">
        <w:t> </w:t>
      </w:r>
      <w:r>
        <w:t xml:space="preserve">use </w:t>
      </w:r>
      <w:r w:rsidRPr="00D65C71">
        <w:t>departmental funding</w:t>
      </w:r>
      <w:r>
        <w:t>.</w:t>
      </w:r>
    </w:p>
    <w:p w14:paraId="15BA88B1" w14:textId="37C7FDA3" w:rsidR="0064038E" w:rsidRPr="00D67AEB" w:rsidRDefault="0064038E" w:rsidP="00BA07C6">
      <w:pPr>
        <w:pStyle w:val="ARbody"/>
      </w:pPr>
      <w:r w:rsidRPr="00D67AEB">
        <w:t>The department led the review and development of</w:t>
      </w:r>
      <w:r w:rsidR="008149F0">
        <w:t> </w:t>
      </w:r>
      <w:r w:rsidRPr="00D67AEB">
        <w:t xml:space="preserve">a new </w:t>
      </w:r>
      <w:r>
        <w:t>4</w:t>
      </w:r>
      <w:r w:rsidRPr="00D67AEB">
        <w:t xml:space="preserve">-year </w:t>
      </w:r>
      <w:r>
        <w:t>s</w:t>
      </w:r>
      <w:r w:rsidRPr="00D67AEB">
        <w:t xml:space="preserve">ervice </w:t>
      </w:r>
      <w:r>
        <w:t>a</w:t>
      </w:r>
      <w:r w:rsidRPr="00D67AEB">
        <w:t xml:space="preserve">greement on behalf of </w:t>
      </w:r>
      <w:r>
        <w:t>the</w:t>
      </w:r>
      <w:r w:rsidR="008149F0">
        <w:t> </w:t>
      </w:r>
      <w:r>
        <w:t>department</w:t>
      </w:r>
      <w:r w:rsidRPr="00D67AEB">
        <w:t xml:space="preserve">, </w:t>
      </w:r>
      <w:r>
        <w:t xml:space="preserve">the </w:t>
      </w:r>
      <w:r w:rsidRPr="00D67AEB">
        <w:t>D</w:t>
      </w:r>
      <w:r>
        <w:t xml:space="preserve">epartment of </w:t>
      </w:r>
      <w:r w:rsidRPr="00D67AEB">
        <w:t>H</w:t>
      </w:r>
      <w:r>
        <w:t>ealth</w:t>
      </w:r>
      <w:r w:rsidRPr="00D67AEB">
        <w:t xml:space="preserve">, </w:t>
      </w:r>
      <w:r>
        <w:t xml:space="preserve">the </w:t>
      </w:r>
      <w:r w:rsidRPr="00D67AEB">
        <w:t>D</w:t>
      </w:r>
      <w:r>
        <w:t xml:space="preserve">epartment of </w:t>
      </w:r>
      <w:r w:rsidRPr="00D67AEB">
        <w:t>J</w:t>
      </w:r>
      <w:r>
        <w:t xml:space="preserve">obs, </w:t>
      </w:r>
      <w:r w:rsidRPr="00D67AEB">
        <w:t>S</w:t>
      </w:r>
      <w:r>
        <w:t xml:space="preserve">kills, </w:t>
      </w:r>
      <w:r w:rsidRPr="00D67AEB">
        <w:t>I</w:t>
      </w:r>
      <w:r>
        <w:t xml:space="preserve">ndustry and </w:t>
      </w:r>
      <w:r w:rsidRPr="00D67AEB">
        <w:t>R</w:t>
      </w:r>
      <w:r>
        <w:t>egions</w:t>
      </w:r>
      <w:r w:rsidRPr="00D67AEB">
        <w:t xml:space="preserve"> and </w:t>
      </w:r>
      <w:r>
        <w:t xml:space="preserve">the </w:t>
      </w:r>
      <w:r w:rsidRPr="00D67AEB">
        <w:t>D</w:t>
      </w:r>
      <w:r>
        <w:t xml:space="preserve">epartment of </w:t>
      </w:r>
      <w:r w:rsidRPr="00D67AEB">
        <w:t>E</w:t>
      </w:r>
      <w:r>
        <w:t>ducation</w:t>
      </w:r>
      <w:r w:rsidRPr="00D67AEB">
        <w:t xml:space="preserve">. </w:t>
      </w:r>
    </w:p>
    <w:p w14:paraId="301AA470" w14:textId="2C65BEBD" w:rsidR="0064038E" w:rsidRPr="006C1A8F" w:rsidRDefault="0064038E" w:rsidP="00BA07C6">
      <w:pPr>
        <w:pStyle w:val="ARbody"/>
        <w:rPr>
          <w:lang w:eastAsia="en-AU"/>
        </w:rPr>
      </w:pPr>
      <w:r>
        <w:rPr>
          <w:lang w:eastAsia="en-AU"/>
        </w:rPr>
        <w:t xml:space="preserve">Peak bodies and funded organisations also provided input to the </w:t>
      </w:r>
      <w:r w:rsidRPr="006C1A8F">
        <w:rPr>
          <w:lang w:eastAsia="en-AU"/>
        </w:rPr>
        <w:t>service agreement</w:t>
      </w:r>
      <w:r>
        <w:rPr>
          <w:lang w:eastAsia="en-AU"/>
        </w:rPr>
        <w:t>.</w:t>
      </w:r>
      <w:r w:rsidRPr="006C1A8F">
        <w:rPr>
          <w:lang w:eastAsia="en-AU"/>
        </w:rPr>
        <w:t xml:space="preserve"> </w:t>
      </w:r>
      <w:r>
        <w:rPr>
          <w:lang w:eastAsia="en-AU"/>
        </w:rPr>
        <w:t xml:space="preserve">This included extensive consultation by the Victorian Council of Social Services. </w:t>
      </w:r>
    </w:p>
    <w:p w14:paraId="09232C61" w14:textId="655996D9" w:rsidR="0064038E" w:rsidRDefault="0064038E" w:rsidP="00BA07C6">
      <w:pPr>
        <w:pStyle w:val="ARbody"/>
        <w:rPr>
          <w:lang w:eastAsia="en-AU"/>
        </w:rPr>
      </w:pPr>
      <w:r w:rsidRPr="006C1A8F">
        <w:rPr>
          <w:lang w:eastAsia="en-AU"/>
        </w:rPr>
        <w:t xml:space="preserve">The new </w:t>
      </w:r>
      <w:r>
        <w:rPr>
          <w:lang w:eastAsia="en-AU"/>
        </w:rPr>
        <w:t>s</w:t>
      </w:r>
      <w:r w:rsidRPr="006C1A8F">
        <w:rPr>
          <w:lang w:eastAsia="en-AU"/>
        </w:rPr>
        <w:t xml:space="preserve">ervice </w:t>
      </w:r>
      <w:r>
        <w:rPr>
          <w:lang w:eastAsia="en-AU"/>
        </w:rPr>
        <w:t>a</w:t>
      </w:r>
      <w:r w:rsidRPr="006C1A8F">
        <w:rPr>
          <w:lang w:eastAsia="en-AU"/>
        </w:rPr>
        <w:t>greement</w:t>
      </w:r>
      <w:r>
        <w:rPr>
          <w:lang w:eastAsia="en-AU"/>
        </w:rPr>
        <w:t xml:space="preserve"> </w:t>
      </w:r>
      <w:r>
        <w:t xml:space="preserve">commenced on </w:t>
      </w:r>
      <w:r w:rsidR="008149F0">
        <w:br/>
      </w:r>
      <w:r>
        <w:t xml:space="preserve">1 July 2024. It </w:t>
      </w:r>
      <w:r w:rsidRPr="006C1A8F">
        <w:rPr>
          <w:lang w:eastAsia="en-AU"/>
        </w:rPr>
        <w:t xml:space="preserve">includes new terms and conditions </w:t>
      </w:r>
      <w:r>
        <w:rPr>
          <w:lang w:eastAsia="en-AU"/>
        </w:rPr>
        <w:t xml:space="preserve">that strengthen protection against fraud and corruption. The agreement also </w:t>
      </w:r>
      <w:r w:rsidRPr="006C1A8F">
        <w:rPr>
          <w:lang w:eastAsia="en-AU"/>
        </w:rPr>
        <w:t>reflect</w:t>
      </w:r>
      <w:r>
        <w:rPr>
          <w:lang w:eastAsia="en-AU"/>
        </w:rPr>
        <w:t>s</w:t>
      </w:r>
      <w:r w:rsidRPr="006C1A8F">
        <w:rPr>
          <w:lang w:eastAsia="en-AU"/>
        </w:rPr>
        <w:t xml:space="preserve"> the introduction of the Regulator in July 2024.</w:t>
      </w:r>
    </w:p>
    <w:p w14:paraId="256A2C3E" w14:textId="5A923B23" w:rsidR="0064038E" w:rsidRPr="00322785" w:rsidRDefault="0064038E">
      <w:pPr>
        <w:pStyle w:val="Heading5"/>
        <w:rPr>
          <w:rFonts w:eastAsia="Times"/>
          <w:lang w:eastAsia="en-AU"/>
        </w:rPr>
      </w:pPr>
      <w:r>
        <w:rPr>
          <w:rFonts w:eastAsia="Times"/>
          <w:lang w:eastAsia="en-AU"/>
        </w:rPr>
        <w:t>L</w:t>
      </w:r>
      <w:r w:rsidRPr="00322785">
        <w:rPr>
          <w:rFonts w:eastAsia="Times"/>
          <w:lang w:eastAsia="en-AU"/>
        </w:rPr>
        <w:t>egislated information</w:t>
      </w:r>
      <w:r>
        <w:rPr>
          <w:rFonts w:eastAsia="Times"/>
          <w:lang w:eastAsia="en-AU"/>
        </w:rPr>
        <w:t>-</w:t>
      </w:r>
      <w:r w:rsidRPr="00322785">
        <w:rPr>
          <w:rFonts w:eastAsia="Times"/>
          <w:lang w:eastAsia="en-AU"/>
        </w:rPr>
        <w:t>sharing reforms</w:t>
      </w:r>
    </w:p>
    <w:p w14:paraId="752FFBAF" w14:textId="38115F58" w:rsidR="0064038E" w:rsidRPr="0035552D" w:rsidRDefault="0064038E">
      <w:pPr>
        <w:pStyle w:val="ARbody"/>
        <w:rPr>
          <w:lang w:eastAsia="en-AU"/>
        </w:rPr>
      </w:pPr>
      <w:r w:rsidRPr="00322785">
        <w:rPr>
          <w:lang w:eastAsia="en-AU"/>
        </w:rPr>
        <w:t xml:space="preserve">The department is </w:t>
      </w:r>
      <w:r>
        <w:rPr>
          <w:lang w:eastAsia="en-AU"/>
        </w:rPr>
        <w:t xml:space="preserve">supporting </w:t>
      </w:r>
      <w:r w:rsidRPr="00322785">
        <w:rPr>
          <w:lang w:eastAsia="en-AU"/>
        </w:rPr>
        <w:t>legislated information</w:t>
      </w:r>
      <w:r>
        <w:rPr>
          <w:lang w:eastAsia="en-AU"/>
        </w:rPr>
        <w:t>-</w:t>
      </w:r>
      <w:r w:rsidRPr="00322785">
        <w:rPr>
          <w:lang w:eastAsia="en-AU"/>
        </w:rPr>
        <w:t>sharing reforms across its programs.</w:t>
      </w:r>
    </w:p>
    <w:p w14:paraId="4CD750C3" w14:textId="37A0DAFD" w:rsidR="0064038E" w:rsidRPr="0035552D" w:rsidRDefault="0064038E">
      <w:pPr>
        <w:pStyle w:val="ARbody"/>
        <w:rPr>
          <w:lang w:eastAsia="en-AU"/>
        </w:rPr>
      </w:pPr>
      <w:r>
        <w:rPr>
          <w:lang w:eastAsia="en-AU"/>
        </w:rPr>
        <w:t>This work included</w:t>
      </w:r>
      <w:r w:rsidRPr="0035552D">
        <w:rPr>
          <w:lang w:eastAsia="en-AU"/>
        </w:rPr>
        <w:t xml:space="preserve"> workshops, information sessions and tailored resources. Staff in </w:t>
      </w:r>
      <w:r>
        <w:rPr>
          <w:lang w:eastAsia="en-AU"/>
        </w:rPr>
        <w:t>c</w:t>
      </w:r>
      <w:r w:rsidRPr="0035552D">
        <w:rPr>
          <w:lang w:eastAsia="en-AU"/>
        </w:rPr>
        <w:t xml:space="preserve">hild </w:t>
      </w:r>
      <w:r>
        <w:rPr>
          <w:lang w:eastAsia="en-AU"/>
        </w:rPr>
        <w:t>p</w:t>
      </w:r>
      <w:r w:rsidRPr="0035552D">
        <w:rPr>
          <w:lang w:eastAsia="en-AU"/>
        </w:rPr>
        <w:t xml:space="preserve">rotection, </w:t>
      </w:r>
      <w:r>
        <w:rPr>
          <w:lang w:eastAsia="en-AU"/>
        </w:rPr>
        <w:t>h</w:t>
      </w:r>
      <w:r w:rsidRPr="0035552D">
        <w:rPr>
          <w:lang w:eastAsia="en-AU"/>
        </w:rPr>
        <w:t>ousing and the Refugee Minor Program participated in the project in 2024</w:t>
      </w:r>
      <w:r>
        <w:rPr>
          <w:lang w:eastAsia="en-AU"/>
        </w:rPr>
        <w:t>–</w:t>
      </w:r>
      <w:r w:rsidRPr="0035552D">
        <w:rPr>
          <w:lang w:eastAsia="en-AU"/>
        </w:rPr>
        <w:t>25. The</w:t>
      </w:r>
      <w:r w:rsidR="008149F0">
        <w:rPr>
          <w:lang w:eastAsia="en-AU"/>
        </w:rPr>
        <w:t> </w:t>
      </w:r>
      <w:r w:rsidRPr="0035552D">
        <w:rPr>
          <w:lang w:eastAsia="en-AU"/>
        </w:rPr>
        <w:t xml:space="preserve">Orange Door will </w:t>
      </w:r>
      <w:r>
        <w:rPr>
          <w:lang w:eastAsia="en-AU"/>
        </w:rPr>
        <w:t>engage</w:t>
      </w:r>
      <w:r w:rsidRPr="0035552D">
        <w:rPr>
          <w:lang w:eastAsia="en-AU"/>
        </w:rPr>
        <w:t xml:space="preserve"> in the project in</w:t>
      </w:r>
      <w:r w:rsidR="008149F0">
        <w:rPr>
          <w:lang w:eastAsia="en-AU"/>
        </w:rPr>
        <w:t> </w:t>
      </w:r>
      <w:r w:rsidRPr="0035552D">
        <w:rPr>
          <w:lang w:eastAsia="en-AU"/>
        </w:rPr>
        <w:t>2025</w:t>
      </w:r>
      <w:r>
        <w:rPr>
          <w:lang w:eastAsia="en-AU"/>
        </w:rPr>
        <w:t>–</w:t>
      </w:r>
      <w:r w:rsidRPr="0035552D">
        <w:rPr>
          <w:lang w:eastAsia="en-AU"/>
        </w:rPr>
        <w:t>26.</w:t>
      </w:r>
    </w:p>
    <w:p w14:paraId="7B422586" w14:textId="58E4DA7B" w:rsidR="0064038E" w:rsidRDefault="0064038E">
      <w:pPr>
        <w:pStyle w:val="ARbody"/>
      </w:pPr>
      <w:r>
        <w:rPr>
          <w:lang w:eastAsia="en-AU"/>
        </w:rPr>
        <w:t>Evaluation showed the project improved staff knowledge</w:t>
      </w:r>
      <w:r w:rsidRPr="0035552D">
        <w:t xml:space="preserve"> of legislated information</w:t>
      </w:r>
      <w:r>
        <w:t>-</w:t>
      </w:r>
      <w:r w:rsidRPr="0035552D">
        <w:t xml:space="preserve">sharing pathways. External stakeholders reported high levels of satisfaction </w:t>
      </w:r>
      <w:r>
        <w:t xml:space="preserve">with the </w:t>
      </w:r>
      <w:r w:rsidRPr="0035552D">
        <w:t>information received from the department.</w:t>
      </w:r>
    </w:p>
    <w:p w14:paraId="33A679F8" w14:textId="75B2E918" w:rsidR="0064038E" w:rsidRPr="00BC24ED" w:rsidRDefault="006648FA">
      <w:pPr>
        <w:pStyle w:val="Heading5"/>
        <w:rPr>
          <w:rFonts w:eastAsia="MS Mincho"/>
        </w:rPr>
      </w:pPr>
      <w:r>
        <w:rPr>
          <w:rFonts w:eastAsia="MS Mincho"/>
        </w:rPr>
        <w:br w:type="column"/>
      </w:r>
      <w:r w:rsidR="0064038E" w:rsidRPr="00BC24ED">
        <w:rPr>
          <w:rFonts w:eastAsia="MS Mincho"/>
        </w:rPr>
        <w:lastRenderedPageBreak/>
        <w:t>Investment to support our skilled community services workforce</w:t>
      </w:r>
    </w:p>
    <w:p w14:paraId="244DC0B5" w14:textId="4D924929" w:rsidR="0064038E" w:rsidRPr="00BC24ED" w:rsidRDefault="0064038E">
      <w:pPr>
        <w:pStyle w:val="ARbody"/>
      </w:pPr>
      <w:r w:rsidRPr="00BC24ED">
        <w:t>The department continues to support the community and social services sector</w:t>
      </w:r>
      <w:r>
        <w:t>’s r</w:t>
      </w:r>
      <w:r w:rsidRPr="00BC24ED">
        <w:t xml:space="preserve">ecruitment and retention strategies and activities. </w:t>
      </w:r>
      <w:r>
        <w:t xml:space="preserve">It does this </w:t>
      </w:r>
      <w:r w:rsidRPr="00BC24ED">
        <w:t>through large-scale recruitment campaigns such as</w:t>
      </w:r>
      <w:r w:rsidR="008149F0">
        <w:t> </w:t>
      </w:r>
      <w:r w:rsidRPr="00BC24ED">
        <w:t>Jobs that Matter, Go Where You’re Needed, and</w:t>
      </w:r>
      <w:r w:rsidR="008149F0">
        <w:t> </w:t>
      </w:r>
      <w:r w:rsidRPr="00BC24ED">
        <w:t>the inaugural Community and Social Services Graduate Program.</w:t>
      </w:r>
    </w:p>
    <w:p w14:paraId="55E698C6" w14:textId="77777777" w:rsidR="0064038E" w:rsidRPr="00BC24ED" w:rsidRDefault="0064038E">
      <w:pPr>
        <w:pStyle w:val="Heading6"/>
        <w:rPr>
          <w:rFonts w:cs="Arial"/>
          <w:szCs w:val="20"/>
        </w:rPr>
      </w:pPr>
      <w:r w:rsidRPr="00BC24ED">
        <w:rPr>
          <w:rFonts w:eastAsia="MS Gothic"/>
        </w:rPr>
        <w:t>Jobs that Matter</w:t>
      </w:r>
      <w:r w:rsidRPr="00BC24ED">
        <w:rPr>
          <w:rFonts w:cs="Arial"/>
          <w:szCs w:val="20"/>
        </w:rPr>
        <w:t xml:space="preserve"> </w:t>
      </w:r>
    </w:p>
    <w:p w14:paraId="0A7FC68A" w14:textId="77777777" w:rsidR="0064038E" w:rsidRPr="00BC24ED" w:rsidRDefault="0064038E">
      <w:pPr>
        <w:pStyle w:val="ARbody"/>
      </w:pPr>
      <w:r w:rsidRPr="00BC24ED">
        <w:t>Jobs that Matter is the department’s whole-of-sector recruitment campaign</w:t>
      </w:r>
      <w:r>
        <w:t>. The campaign aims</w:t>
      </w:r>
      <w:r w:rsidRPr="00BC24ED">
        <w:t xml:space="preserve"> to recruit more people into community and social services roles across the state. This includes roles in child protection, children and families, housing and homelessness, family violence and sexual assault, and disability support sectors. </w:t>
      </w:r>
    </w:p>
    <w:p w14:paraId="62F0511B" w14:textId="2C50DEAE" w:rsidR="0064038E" w:rsidRPr="00BC24ED" w:rsidRDefault="0064038E">
      <w:pPr>
        <w:pStyle w:val="ARbody"/>
      </w:pPr>
      <w:r w:rsidRPr="00BC24ED">
        <w:rPr>
          <w:szCs w:val="20"/>
        </w:rPr>
        <w:t xml:space="preserve">The Victorian Government partnered with community services organisations to help recruit the right people for the sector. </w:t>
      </w:r>
    </w:p>
    <w:p w14:paraId="386462C2" w14:textId="230A8362" w:rsidR="0064038E" w:rsidRPr="00BC24ED" w:rsidRDefault="0064038E">
      <w:pPr>
        <w:pStyle w:val="ARbody"/>
      </w:pPr>
      <w:r w:rsidRPr="00BC24ED">
        <w:t xml:space="preserve">The campaign ran with the </w:t>
      </w:r>
      <w:r w:rsidRPr="006E7825">
        <w:t xml:space="preserve">tagline </w:t>
      </w:r>
      <w:r w:rsidRPr="0064038E">
        <w:rPr>
          <w:rStyle w:val="Emphasis"/>
          <w:i w:val="0"/>
          <w:iCs w:val="0"/>
        </w:rPr>
        <w:t xml:space="preserve">‘Make a difference. Do a job that </w:t>
      </w:r>
      <w:proofErr w:type="gramStart"/>
      <w:r w:rsidRPr="0064038E">
        <w:rPr>
          <w:rStyle w:val="Emphasis"/>
          <w:i w:val="0"/>
          <w:iCs w:val="0"/>
        </w:rPr>
        <w:t>matters’</w:t>
      </w:r>
      <w:proofErr w:type="gramEnd"/>
      <w:r>
        <w:t>. It was featured in</w:t>
      </w:r>
      <w:r w:rsidR="008149F0">
        <w:t> </w:t>
      </w:r>
      <w:r>
        <w:t>ads on t</w:t>
      </w:r>
      <w:r w:rsidRPr="00BC24ED">
        <w:t>elevision, radio, regional newspapers, billboards and digital outdoor advertising, Spotify, cinema</w:t>
      </w:r>
      <w:r>
        <w:t>s</w:t>
      </w:r>
      <w:r w:rsidRPr="00BC24ED">
        <w:t xml:space="preserve">, YouTube, Weibo, Facebook, Instagram and Google search. </w:t>
      </w:r>
    </w:p>
    <w:p w14:paraId="7E2D802B" w14:textId="36B0F3CD" w:rsidR="0064038E" w:rsidRPr="00E25D63" w:rsidRDefault="0064038E">
      <w:pPr>
        <w:pStyle w:val="ARbody"/>
      </w:pPr>
      <w:r w:rsidRPr="00BC24ED">
        <w:t>The campaign roll-out included strategic communic</w:t>
      </w:r>
      <w:r w:rsidRPr="00E25D63">
        <w:t>ations activities and recruitment events.</w:t>
      </w:r>
    </w:p>
    <w:p w14:paraId="329AEDB4" w14:textId="77777777" w:rsidR="0064038E" w:rsidRPr="00E25D63" w:rsidRDefault="0064038E">
      <w:pPr>
        <w:pStyle w:val="Heading6"/>
        <w:rPr>
          <w:rFonts w:cs="Arial"/>
          <w:lang w:val="en-AU"/>
        </w:rPr>
      </w:pPr>
      <w:r w:rsidRPr="00E25D63">
        <w:rPr>
          <w:rFonts w:eastAsia="MS Gothic"/>
          <w:lang w:val="en-AU"/>
        </w:rPr>
        <w:t>Go Where You’re Needed</w:t>
      </w:r>
      <w:r w:rsidRPr="00E25D63">
        <w:rPr>
          <w:rFonts w:cs="Arial"/>
          <w:lang w:val="en-AU"/>
        </w:rPr>
        <w:t xml:space="preserve"> </w:t>
      </w:r>
    </w:p>
    <w:p w14:paraId="7C9DE46F" w14:textId="6D5B99BC" w:rsidR="0064038E" w:rsidRPr="00E25D63" w:rsidRDefault="0064038E">
      <w:pPr>
        <w:pStyle w:val="ARbody"/>
      </w:pPr>
      <w:r w:rsidRPr="00E25D63">
        <w:t>Go Where You’re Needed is an offshoot of the Jobs that Matter campaign</w:t>
      </w:r>
      <w:r>
        <w:t>. It focused only</w:t>
      </w:r>
      <w:r w:rsidRPr="00E25D63">
        <w:t xml:space="preserve"> </w:t>
      </w:r>
      <w:r>
        <w:t>o</w:t>
      </w:r>
      <w:r w:rsidRPr="00E25D63">
        <w:t>n</w:t>
      </w:r>
      <w:r>
        <w:t xml:space="preserve"> </w:t>
      </w:r>
      <w:r w:rsidRPr="00E25D63">
        <w:t xml:space="preserve">recruitment </w:t>
      </w:r>
      <w:r>
        <w:t>for</w:t>
      </w:r>
      <w:r w:rsidRPr="00E25D63">
        <w:t xml:space="preserve"> child protection roles. </w:t>
      </w:r>
    </w:p>
    <w:p w14:paraId="212EE4E4" w14:textId="77777777" w:rsidR="00544EE9" w:rsidRDefault="0064038E" w:rsidP="00BB4B6F">
      <w:pPr>
        <w:pStyle w:val="ARbody"/>
      </w:pPr>
      <w:r w:rsidRPr="00E25D63">
        <w:t>The campaign raise</w:t>
      </w:r>
      <w:r>
        <w:t>d</w:t>
      </w:r>
      <w:r w:rsidRPr="00E25D63">
        <w:t xml:space="preserve"> awareness of the positive difference Victoria’s </w:t>
      </w:r>
      <w:r>
        <w:t>c</w:t>
      </w:r>
      <w:r w:rsidRPr="00E25D63">
        <w:t xml:space="preserve">hild </w:t>
      </w:r>
      <w:r>
        <w:t>p</w:t>
      </w:r>
      <w:r w:rsidRPr="00E25D63">
        <w:t xml:space="preserve">rotection </w:t>
      </w:r>
      <w:r>
        <w:t>workers</w:t>
      </w:r>
      <w:r w:rsidRPr="00E25D63">
        <w:t xml:space="preserve"> make.</w:t>
      </w:r>
      <w:r>
        <w:t xml:space="preserve"> It </w:t>
      </w:r>
      <w:r w:rsidRPr="00E25D63">
        <w:t xml:space="preserve">ran with the tagline ‘Go where you’re needed: Do a job that </w:t>
      </w:r>
      <w:proofErr w:type="gramStart"/>
      <w:r w:rsidRPr="00E25D63">
        <w:t>matters’</w:t>
      </w:r>
      <w:proofErr w:type="gramEnd"/>
      <w:r>
        <w:t>. It was featured in ads on</w:t>
      </w:r>
      <w:r w:rsidRPr="00E25D63">
        <w:t xml:space="preserve"> radio, regional newspapers, billboards and digital outdoor advertising, digital audio including Spotify, online job boards such as Seek, Weibo, Facebook, Instagram, LinkedIn, YouTube and Google search. </w:t>
      </w:r>
    </w:p>
    <w:p w14:paraId="3F633D46" w14:textId="40C7256C" w:rsidR="0064038E" w:rsidRDefault="0064038E" w:rsidP="00BB4B6F">
      <w:pPr>
        <w:pStyle w:val="ARbody"/>
      </w:pPr>
      <w:r w:rsidRPr="00E25D63">
        <w:t xml:space="preserve">The campaign focused on regional locations with the highest vacancy rates. </w:t>
      </w:r>
    </w:p>
    <w:p w14:paraId="5D326DC3" w14:textId="119BA0D4" w:rsidR="0064038E" w:rsidRPr="00FF4844" w:rsidRDefault="00544EE9" w:rsidP="00BA07C6">
      <w:pPr>
        <w:pStyle w:val="Heading6"/>
        <w:rPr>
          <w:rFonts w:cs="Arial"/>
          <w:szCs w:val="20"/>
        </w:rPr>
      </w:pPr>
      <w:r>
        <w:rPr>
          <w:rFonts w:eastAsia="MS Gothic"/>
        </w:rPr>
        <w:br w:type="column"/>
      </w:r>
      <w:r w:rsidR="0064038E" w:rsidRPr="00E25D63">
        <w:rPr>
          <w:rFonts w:eastAsia="MS Gothic"/>
        </w:rPr>
        <w:t>The Community</w:t>
      </w:r>
      <w:r w:rsidR="0064038E" w:rsidRPr="00FF4844">
        <w:rPr>
          <w:rFonts w:eastAsia="MS Gothic"/>
        </w:rPr>
        <w:t xml:space="preserve"> and Social Services Graduate Program</w:t>
      </w:r>
      <w:r w:rsidR="0064038E" w:rsidRPr="00FF4844">
        <w:rPr>
          <w:rFonts w:cs="Arial"/>
          <w:szCs w:val="20"/>
        </w:rPr>
        <w:t xml:space="preserve"> </w:t>
      </w:r>
    </w:p>
    <w:p w14:paraId="72A9A8AE" w14:textId="5791E7A2" w:rsidR="0064038E" w:rsidRPr="00FF4844" w:rsidRDefault="0064038E">
      <w:pPr>
        <w:pStyle w:val="ARbody"/>
      </w:pPr>
      <w:r w:rsidRPr="00FF4844">
        <w:t xml:space="preserve">This program provides a pathway for new graduates to begin work in the Victorian </w:t>
      </w:r>
      <w:r>
        <w:t>community</w:t>
      </w:r>
      <w:r w:rsidRPr="00FF4844">
        <w:t xml:space="preserve"> and social services sector. The program aims to increase the number of graduates entering and staying employed in the sector.</w:t>
      </w:r>
    </w:p>
    <w:p w14:paraId="71B9090E" w14:textId="5E042024" w:rsidR="0064038E" w:rsidRPr="00856EF3" w:rsidRDefault="0064038E">
      <w:pPr>
        <w:pStyle w:val="ARbody"/>
      </w:pPr>
      <w:r w:rsidRPr="00856EF3">
        <w:t>The program is a learning and development opportunity</w:t>
      </w:r>
      <w:r>
        <w:t>. It is open to</w:t>
      </w:r>
      <w:r w:rsidRPr="00856EF3">
        <w:t xml:space="preserve"> graduates </w:t>
      </w:r>
      <w:r>
        <w:t>with</w:t>
      </w:r>
      <w:r w:rsidRPr="00856EF3">
        <w:t xml:space="preserve"> diploma, bachelor and </w:t>
      </w:r>
      <w:proofErr w:type="gramStart"/>
      <w:r w:rsidRPr="00856EF3">
        <w:t>masters</w:t>
      </w:r>
      <w:proofErr w:type="gramEnd"/>
      <w:r w:rsidRPr="00856EF3">
        <w:t xml:space="preserve"> qualifications in community and social services. </w:t>
      </w:r>
    </w:p>
    <w:p w14:paraId="629D4303" w14:textId="328A2EE1" w:rsidR="0064038E" w:rsidRPr="00856EF3" w:rsidRDefault="0064038E">
      <w:pPr>
        <w:pStyle w:val="ARbody"/>
      </w:pPr>
      <w:r w:rsidRPr="00856EF3">
        <w:t xml:space="preserve">The department </w:t>
      </w:r>
      <w:r>
        <w:t>consulted</w:t>
      </w:r>
      <w:r w:rsidRPr="00856EF3">
        <w:t xml:space="preserve"> with social and community services sector peak bodies and employers </w:t>
      </w:r>
      <w:r>
        <w:t xml:space="preserve">to develop the program. It also consulted with the </w:t>
      </w:r>
      <w:r w:rsidRPr="00856EF3">
        <w:t>university and TAFE</w:t>
      </w:r>
      <w:r>
        <w:t xml:space="preserve"> </w:t>
      </w:r>
      <w:r w:rsidRPr="00856EF3">
        <w:t>sector.</w:t>
      </w:r>
    </w:p>
    <w:p w14:paraId="4620BDB4" w14:textId="78C7CD6D" w:rsidR="0064038E" w:rsidRPr="001D5915" w:rsidRDefault="0064038E">
      <w:pPr>
        <w:pStyle w:val="ARbody"/>
      </w:pPr>
      <w:r>
        <w:t>The program matches g</w:t>
      </w:r>
      <w:r w:rsidRPr="00856EF3">
        <w:t xml:space="preserve">raduates with paid roles </w:t>
      </w:r>
      <w:r>
        <w:t>in</w:t>
      </w:r>
      <w:r w:rsidR="008149F0">
        <w:t> </w:t>
      </w:r>
      <w:r w:rsidRPr="00856EF3">
        <w:t xml:space="preserve">community and social services organisations. </w:t>
      </w:r>
      <w:r>
        <w:t>It</w:t>
      </w:r>
      <w:r w:rsidR="008149F0">
        <w:t> </w:t>
      </w:r>
      <w:r>
        <w:t>supports p</w:t>
      </w:r>
      <w:r w:rsidRPr="00856EF3">
        <w:t>articipants with 12 months of learning and professional development</w:t>
      </w:r>
      <w:r>
        <w:t>.</w:t>
      </w:r>
      <w:r w:rsidRPr="00856EF3">
        <w:t xml:space="preserve"> </w:t>
      </w:r>
    </w:p>
    <w:p w14:paraId="761054B3" w14:textId="31FD67F6" w:rsidR="0064038E" w:rsidRDefault="0064038E">
      <w:pPr>
        <w:pStyle w:val="ARbody"/>
      </w:pPr>
      <w:r w:rsidRPr="001D5915">
        <w:t>The first round of the graduate program commenced in September 2024 and a second in</w:t>
      </w:r>
      <w:r w:rsidR="008149F0">
        <w:t> </w:t>
      </w:r>
      <w:r w:rsidRPr="001D5915">
        <w:t>March 2025. Applications for the third round, commencing August 2025, opened in June 2025.</w:t>
      </w:r>
    </w:p>
    <w:p w14:paraId="2998523B" w14:textId="77777777" w:rsidR="00B81B63" w:rsidRDefault="00B81B63">
      <w:pPr>
        <w:pStyle w:val="ARbody"/>
        <w:sectPr w:rsidR="00B81B63" w:rsidSect="007F43B1">
          <w:headerReference w:type="even" r:id="rId69"/>
          <w:footerReference w:type="even" r:id="rId70"/>
          <w:headerReference w:type="first" r:id="rId71"/>
          <w:footerReference w:type="first" r:id="rId72"/>
          <w:endnotePr>
            <w:numFmt w:val="decimal"/>
          </w:endnotePr>
          <w:type w:val="continuous"/>
          <w:pgSz w:w="11900" w:h="16840" w:code="9"/>
          <w:pgMar w:top="1588" w:right="1134" w:bottom="851" w:left="1134" w:header="510" w:footer="340" w:gutter="0"/>
          <w:cols w:num="2" w:space="454"/>
        </w:sectPr>
      </w:pPr>
    </w:p>
    <w:p w14:paraId="536AD20C" w14:textId="1A9A73CD" w:rsidR="0064038E" w:rsidRDefault="0064038E" w:rsidP="006768DE">
      <w:pPr>
        <w:pStyle w:val="Heading2"/>
        <w:spacing w:before="0"/>
      </w:pPr>
      <w:bookmarkStart w:id="102" w:name="_Performance_against_output"/>
      <w:bookmarkStart w:id="103" w:name="_Toc212039523"/>
      <w:bookmarkEnd w:id="102"/>
      <w:r w:rsidRPr="006768DE">
        <w:lastRenderedPageBreak/>
        <w:t>Performance</w:t>
      </w:r>
      <w:r w:rsidRPr="00C3147C">
        <w:t xml:space="preserve"> against output performance</w:t>
      </w:r>
      <w:r w:rsidR="00BA07C6">
        <w:t> </w:t>
      </w:r>
      <w:r w:rsidRPr="00C3147C">
        <w:t>measures</w:t>
      </w:r>
      <w:bookmarkEnd w:id="103"/>
    </w:p>
    <w:p w14:paraId="4408EFD3" w14:textId="77777777" w:rsidR="0064038E" w:rsidRPr="00532DAE" w:rsidRDefault="0064038E">
      <w:pPr>
        <w:pStyle w:val="ARbody"/>
      </w:pPr>
      <w:r w:rsidRPr="00532DAE">
        <w:t>This section provides information about the department</w:t>
      </w:r>
      <w:r>
        <w:t>’</w:t>
      </w:r>
      <w:r w:rsidRPr="00532DAE">
        <w:t>s performance against output performance</w:t>
      </w:r>
      <w:r>
        <w:t> </w:t>
      </w:r>
      <w:r w:rsidRPr="00532DAE">
        <w:t>measures</w:t>
      </w:r>
      <w:r w:rsidRPr="00645AD0">
        <w:t>.</w:t>
      </w:r>
    </w:p>
    <w:p w14:paraId="25E546D9" w14:textId="77777777" w:rsidR="0064038E" w:rsidRPr="00532DAE" w:rsidRDefault="0064038E">
      <w:pPr>
        <w:pStyle w:val="ARbody"/>
      </w:pPr>
      <w:r w:rsidRPr="00532DAE">
        <w:t>Results in the tables below are coded according to:</w:t>
      </w:r>
    </w:p>
    <w:p w14:paraId="67DBBA76" w14:textId="77777777" w:rsidR="0064038E" w:rsidRPr="00532DAE" w:rsidRDefault="0064038E">
      <w:pPr>
        <w:pStyle w:val="ARbody"/>
        <w:ind w:left="397" w:hanging="397"/>
      </w:pPr>
      <w:r w:rsidRPr="00532DAE">
        <w:rPr>
          <w:rFonts w:ascii="Wingdings" w:eastAsia="Wingdings" w:hAnsi="Wingdings" w:cs="Wingdings"/>
        </w:rPr>
        <w:t></w:t>
      </w:r>
      <w:r w:rsidRPr="00532DAE">
        <w:tab/>
        <w:t>Performance target achieved or exceeded</w:t>
      </w:r>
    </w:p>
    <w:p w14:paraId="738D3394" w14:textId="77777777" w:rsidR="0064038E" w:rsidRPr="00532DAE" w:rsidRDefault="0064038E">
      <w:pPr>
        <w:pStyle w:val="ARbody"/>
        <w:ind w:left="397" w:hanging="397"/>
      </w:pPr>
      <w:r w:rsidRPr="00532DAE">
        <w:rPr>
          <w:rFonts w:ascii="Wingdings" w:hAnsi="Wingdings"/>
        </w:rPr>
        <w:t>□</w:t>
      </w:r>
      <w:r w:rsidRPr="00532DAE">
        <w:tab/>
        <w:t xml:space="preserve">Performance target not achieved – within </w:t>
      </w:r>
      <w:r>
        <w:t>5%</w:t>
      </w:r>
      <w:r w:rsidRPr="00532DAE">
        <w:t xml:space="preserve"> variance</w:t>
      </w:r>
    </w:p>
    <w:p w14:paraId="0B00B87E" w14:textId="77777777" w:rsidR="0064038E" w:rsidRPr="00532DAE" w:rsidRDefault="0064038E">
      <w:pPr>
        <w:pStyle w:val="ARbody"/>
        <w:ind w:left="397" w:hanging="397"/>
      </w:pPr>
      <w:r w:rsidRPr="00532DAE">
        <w:rPr>
          <w:rFonts w:ascii="Wingdings" w:eastAsia="Wingdings" w:hAnsi="Wingdings" w:cs="Wingdings"/>
        </w:rPr>
        <w:t></w:t>
      </w:r>
      <w:r w:rsidRPr="00532DAE">
        <w:tab/>
        <w:t xml:space="preserve">Performance target not achieved – exceeds </w:t>
      </w:r>
      <w:r>
        <w:t>5%</w:t>
      </w:r>
      <w:r w:rsidRPr="00532DAE">
        <w:t xml:space="preserve"> variance</w:t>
      </w:r>
    </w:p>
    <w:p w14:paraId="35B279D7" w14:textId="77777777" w:rsidR="0064038E" w:rsidRPr="00532DAE" w:rsidRDefault="0064038E">
      <w:pPr>
        <w:pStyle w:val="ARbodyafterbullets"/>
      </w:pPr>
      <w:r w:rsidRPr="00532DAE">
        <w:t>Note: There may be slight discrepancies in the variation percentage figures due to decimal point rounding.</w:t>
      </w:r>
    </w:p>
    <w:p w14:paraId="1AF8EC33" w14:textId="77777777" w:rsidR="0064038E" w:rsidRPr="00532DAE" w:rsidRDefault="0064038E">
      <w:pPr>
        <w:pStyle w:val="Heading3"/>
      </w:pPr>
      <w:r w:rsidRPr="00532DAE">
        <w:t xml:space="preserve">Child </w:t>
      </w:r>
      <w:r w:rsidRPr="00FD5D62">
        <w:t>protection</w:t>
      </w:r>
      <w:r w:rsidRPr="00532DAE">
        <w:t xml:space="preserve"> and family services</w:t>
      </w:r>
    </w:p>
    <w:p w14:paraId="5A8A11C1" w14:textId="1E8158E1" w:rsidR="0064038E" w:rsidRDefault="0064038E" w:rsidP="00CA3FC2">
      <w:pPr>
        <w:pStyle w:val="ARbody"/>
      </w:pPr>
      <w:r>
        <w:t>This output</w:t>
      </w:r>
      <w:r w:rsidRPr="008F7112">
        <w:t xml:space="preserve"> </w:t>
      </w:r>
      <w:r w:rsidRPr="00561C66">
        <w:t>ensure</w:t>
      </w:r>
      <w:r>
        <w:t xml:space="preserve">s </w:t>
      </w:r>
      <w:r w:rsidRPr="00561C66">
        <w:t xml:space="preserve">the safety and wellbeing of </w:t>
      </w:r>
      <w:r>
        <w:t xml:space="preserve">children and young people </w:t>
      </w:r>
      <w:r w:rsidRPr="00561C66">
        <w:t xml:space="preserve">at risk of harm, abuse and </w:t>
      </w:r>
      <w:r w:rsidRPr="00D0613D">
        <w:t>neglect</w:t>
      </w:r>
      <w:r w:rsidRPr="00561C66">
        <w:t>.</w:t>
      </w:r>
      <w:r>
        <w:t xml:space="preserve"> It does this by</w:t>
      </w:r>
      <w:r w:rsidRPr="00561C66">
        <w:t xml:space="preserve"> funding statutory child protection services, family support and parenting services, care services and specialist support service</w:t>
      </w:r>
      <w:r>
        <w:t>s. This includes services for Aboriginal children and families.</w:t>
      </w:r>
      <w:r w:rsidRPr="00561C66">
        <w:t xml:space="preserve"> </w:t>
      </w:r>
      <w:r>
        <w:t>The</w:t>
      </w:r>
      <w:r w:rsidR="009E4DBB">
        <w:t> </w:t>
      </w:r>
      <w:r w:rsidRPr="00561C66">
        <w:t xml:space="preserve">output aims to make a positive difference to Victorians experiencing disadvantage by </w:t>
      </w:r>
      <w:r w:rsidRPr="00FD5D62">
        <w:t>providing</w:t>
      </w:r>
      <w:r w:rsidRPr="00561C66">
        <w:t xml:space="preserve"> excellent community services to meet clients</w:t>
      </w:r>
      <w:r>
        <w:t>’</w:t>
      </w:r>
      <w:r w:rsidRPr="00561C66">
        <w:t xml:space="preserve"> needs.</w:t>
      </w:r>
    </w:p>
    <w:p w14:paraId="7DD7FFE9" w14:textId="77777777" w:rsidR="0064038E" w:rsidRDefault="0064038E" w:rsidP="00CA3FC2">
      <w:pPr>
        <w:pStyle w:val="ARbody"/>
      </w:pPr>
      <w:r>
        <w:t xml:space="preserve">This output </w:t>
      </w:r>
      <w:r w:rsidRPr="00CA3FC2">
        <w:t>provides</w:t>
      </w:r>
      <w:r>
        <w:t>:</w:t>
      </w:r>
    </w:p>
    <w:p w14:paraId="628195F0" w14:textId="000778DE" w:rsidR="0064038E" w:rsidRDefault="0064038E" w:rsidP="00F375A6">
      <w:pPr>
        <w:pStyle w:val="ARbullet1"/>
        <w:numPr>
          <w:ilvl w:val="0"/>
          <w:numId w:val="22"/>
        </w:numPr>
      </w:pPr>
      <w:r>
        <w:t>child protection services that keep children and young people safe</w:t>
      </w:r>
    </w:p>
    <w:p w14:paraId="2062019D" w14:textId="609C5B31" w:rsidR="0064038E" w:rsidRDefault="0064038E" w:rsidP="00F375A6">
      <w:pPr>
        <w:pStyle w:val="ARbullet1"/>
        <w:numPr>
          <w:ilvl w:val="0"/>
          <w:numId w:val="22"/>
        </w:numPr>
      </w:pPr>
      <w:r>
        <w:t>specialist support and placement services for children and young people who need support to remain with their family or are placed in out of-home care</w:t>
      </w:r>
    </w:p>
    <w:p w14:paraId="6AE4AD50" w14:textId="21741114" w:rsidR="0064038E" w:rsidRDefault="0064038E" w:rsidP="00F375A6">
      <w:pPr>
        <w:pStyle w:val="ARbullet1"/>
        <w:numPr>
          <w:ilvl w:val="0"/>
          <w:numId w:val="22"/>
        </w:numPr>
      </w:pPr>
      <w:r>
        <w:t>earlier intervention services for children, young people and families</w:t>
      </w:r>
    </w:p>
    <w:p w14:paraId="61D9C8A0" w14:textId="77777777" w:rsidR="0064038E" w:rsidRDefault="0064038E" w:rsidP="00F375A6">
      <w:pPr>
        <w:pStyle w:val="ARbullet1"/>
        <w:numPr>
          <w:ilvl w:val="0"/>
          <w:numId w:val="22"/>
        </w:numPr>
      </w:pPr>
      <w:r>
        <w:t>a focus on Aboriginal children, young people, their families and carers.</w:t>
      </w:r>
    </w:p>
    <w:p w14:paraId="7AF297FC" w14:textId="77777777" w:rsidR="0064038E" w:rsidRDefault="0064038E">
      <w:pPr>
        <w:pStyle w:val="ARbody"/>
      </w:pPr>
    </w:p>
    <w:tbl>
      <w:tblPr>
        <w:tblW w:w="5004" w:type="pct"/>
        <w:tblLayout w:type="fixed"/>
        <w:tblCellMar>
          <w:left w:w="0" w:type="dxa"/>
        </w:tblCellMar>
        <w:tblLook w:val="06A0" w:firstRow="1" w:lastRow="0" w:firstColumn="1" w:lastColumn="0" w:noHBand="1" w:noVBand="1"/>
      </w:tblPr>
      <w:tblGrid>
        <w:gridCol w:w="4743"/>
        <w:gridCol w:w="1019"/>
        <w:gridCol w:w="1021"/>
        <w:gridCol w:w="1022"/>
        <w:gridCol w:w="1024"/>
        <w:gridCol w:w="811"/>
      </w:tblGrid>
      <w:tr w:rsidR="00D96ACB" w:rsidRPr="00F07EE7" w14:paraId="777C32E8" w14:textId="77777777" w:rsidTr="00A906A4">
        <w:trPr>
          <w:cantSplit/>
          <w:tblHeader/>
        </w:trPr>
        <w:tc>
          <w:tcPr>
            <w:tcW w:w="4743" w:type="dxa"/>
            <w:tcBorders>
              <w:top w:val="nil"/>
              <w:left w:val="nil"/>
              <w:bottom w:val="single" w:sz="4" w:space="0" w:color="auto"/>
              <w:right w:val="nil"/>
            </w:tcBorders>
            <w:vAlign w:val="bottom"/>
            <w:hideMark/>
          </w:tcPr>
          <w:p w14:paraId="47BD9409" w14:textId="77777777" w:rsidR="0064038E" w:rsidRPr="00F65E9C" w:rsidRDefault="0064038E">
            <w:pPr>
              <w:pStyle w:val="ARtablecolhead"/>
            </w:pPr>
            <w:r w:rsidRPr="00F65E9C">
              <w:t>Performance measures</w:t>
            </w:r>
          </w:p>
        </w:tc>
        <w:tc>
          <w:tcPr>
            <w:tcW w:w="1019" w:type="dxa"/>
            <w:tcBorders>
              <w:top w:val="nil"/>
              <w:left w:val="nil"/>
              <w:bottom w:val="single" w:sz="4" w:space="0" w:color="auto"/>
              <w:right w:val="nil"/>
            </w:tcBorders>
            <w:vAlign w:val="bottom"/>
            <w:hideMark/>
          </w:tcPr>
          <w:p w14:paraId="4EE4EFEA" w14:textId="77777777" w:rsidR="0064038E" w:rsidRPr="00F65E9C" w:rsidRDefault="0064038E">
            <w:pPr>
              <w:pStyle w:val="ARtablecolhead"/>
            </w:pPr>
            <w:r w:rsidRPr="00F65E9C">
              <w:t>Unit of measure</w:t>
            </w:r>
          </w:p>
        </w:tc>
        <w:tc>
          <w:tcPr>
            <w:tcW w:w="1021" w:type="dxa"/>
            <w:tcBorders>
              <w:top w:val="nil"/>
              <w:left w:val="nil"/>
              <w:bottom w:val="single" w:sz="4" w:space="0" w:color="auto"/>
              <w:right w:val="nil"/>
            </w:tcBorders>
            <w:vAlign w:val="bottom"/>
            <w:hideMark/>
          </w:tcPr>
          <w:p w14:paraId="3FD4CB42" w14:textId="77777777" w:rsidR="0064038E" w:rsidRPr="00F65E9C" w:rsidRDefault="0064038E">
            <w:pPr>
              <w:pStyle w:val="ARtablecolheadright"/>
            </w:pPr>
            <w:r w:rsidRPr="00F65E9C">
              <w:t>20</w:t>
            </w:r>
            <w:r>
              <w:t>24</w:t>
            </w:r>
            <w:r w:rsidRPr="00F65E9C">
              <w:t>–2</w:t>
            </w:r>
            <w:r>
              <w:t>5</w:t>
            </w:r>
            <w:r w:rsidRPr="00F65E9C">
              <w:t xml:space="preserve"> target</w:t>
            </w:r>
          </w:p>
        </w:tc>
        <w:tc>
          <w:tcPr>
            <w:tcW w:w="1022" w:type="dxa"/>
            <w:tcBorders>
              <w:top w:val="nil"/>
              <w:left w:val="nil"/>
              <w:bottom w:val="single" w:sz="4" w:space="0" w:color="auto"/>
              <w:right w:val="nil"/>
            </w:tcBorders>
            <w:vAlign w:val="bottom"/>
            <w:hideMark/>
          </w:tcPr>
          <w:p w14:paraId="6186885A" w14:textId="77777777" w:rsidR="0064038E" w:rsidRPr="00F65E9C" w:rsidRDefault="0064038E">
            <w:pPr>
              <w:pStyle w:val="ARtablecolheadright"/>
            </w:pPr>
            <w:r w:rsidRPr="00F65E9C">
              <w:t>202</w:t>
            </w:r>
            <w:r>
              <w:t>4</w:t>
            </w:r>
            <w:r w:rsidRPr="00F65E9C">
              <w:t>–2</w:t>
            </w:r>
            <w:r>
              <w:t>5</w:t>
            </w:r>
            <w:r w:rsidRPr="00F65E9C">
              <w:t xml:space="preserve"> actual</w:t>
            </w:r>
          </w:p>
        </w:tc>
        <w:tc>
          <w:tcPr>
            <w:tcW w:w="1024" w:type="dxa"/>
            <w:tcBorders>
              <w:top w:val="nil"/>
              <w:left w:val="nil"/>
              <w:bottom w:val="single" w:sz="4" w:space="0" w:color="auto"/>
              <w:right w:val="nil"/>
            </w:tcBorders>
            <w:vAlign w:val="bottom"/>
            <w:hideMark/>
          </w:tcPr>
          <w:p w14:paraId="0129DBB0" w14:textId="77777777" w:rsidR="0064038E" w:rsidRPr="00F65E9C" w:rsidRDefault="0064038E">
            <w:pPr>
              <w:pStyle w:val="ARtablecolheadright"/>
            </w:pPr>
            <w:r w:rsidRPr="00F65E9C">
              <w:t xml:space="preserve">Variation </w:t>
            </w:r>
          </w:p>
        </w:tc>
        <w:tc>
          <w:tcPr>
            <w:tcW w:w="811" w:type="dxa"/>
            <w:tcBorders>
              <w:top w:val="nil"/>
              <w:left w:val="nil"/>
              <w:bottom w:val="single" w:sz="4" w:space="0" w:color="auto"/>
              <w:right w:val="nil"/>
            </w:tcBorders>
            <w:vAlign w:val="bottom"/>
            <w:hideMark/>
          </w:tcPr>
          <w:p w14:paraId="3DDD8D22" w14:textId="77777777" w:rsidR="0064038E" w:rsidRPr="00F65E9C" w:rsidRDefault="0064038E">
            <w:pPr>
              <w:pStyle w:val="ARtablecolheadright"/>
            </w:pPr>
            <w:r w:rsidRPr="00F65E9C">
              <w:t>Result</w:t>
            </w:r>
          </w:p>
        </w:tc>
      </w:tr>
      <w:tr w:rsidR="00B76B95" w:rsidRPr="00F07EE7" w14:paraId="60D10A72" w14:textId="77777777" w:rsidTr="00A906A4">
        <w:trPr>
          <w:cantSplit/>
        </w:trPr>
        <w:tc>
          <w:tcPr>
            <w:tcW w:w="9640" w:type="dxa"/>
            <w:gridSpan w:val="6"/>
            <w:tcBorders>
              <w:top w:val="single" w:sz="4" w:space="0" w:color="auto"/>
              <w:left w:val="nil"/>
              <w:bottom w:val="single" w:sz="4" w:space="0" w:color="A6A6A6" w:themeColor="accent5"/>
              <w:right w:val="nil"/>
            </w:tcBorders>
            <w:hideMark/>
          </w:tcPr>
          <w:p w14:paraId="72B9E69D" w14:textId="77777777" w:rsidR="0064038E" w:rsidRPr="00F07EE7" w:rsidRDefault="0064038E">
            <w:pPr>
              <w:pStyle w:val="ARtablegreybold"/>
              <w:rPr>
                <w:highlight w:val="cyan"/>
              </w:rPr>
            </w:pPr>
            <w:r w:rsidRPr="009B575F">
              <w:t>Quantity</w:t>
            </w:r>
          </w:p>
        </w:tc>
      </w:tr>
      <w:tr w:rsidR="0064038E" w:rsidRPr="00F07EE7" w14:paraId="766839A2" w14:textId="77777777" w:rsidTr="00A906A4">
        <w:trPr>
          <w:cantSplit/>
        </w:trPr>
        <w:tc>
          <w:tcPr>
            <w:tcW w:w="4743" w:type="dxa"/>
            <w:tcBorders>
              <w:top w:val="single" w:sz="4" w:space="0" w:color="A6A6A6" w:themeColor="accent5"/>
            </w:tcBorders>
            <w:hideMark/>
          </w:tcPr>
          <w:p w14:paraId="4E8AA987" w14:textId="77777777" w:rsidR="0064038E" w:rsidRPr="00800E89" w:rsidRDefault="0064038E">
            <w:pPr>
              <w:pStyle w:val="ARtabletext"/>
            </w:pPr>
            <w:r w:rsidRPr="00800E89">
              <w:t>Daily average number of children in care placements</w:t>
            </w:r>
          </w:p>
        </w:tc>
        <w:tc>
          <w:tcPr>
            <w:tcW w:w="1019" w:type="dxa"/>
            <w:tcBorders>
              <w:top w:val="single" w:sz="4" w:space="0" w:color="A6A6A6" w:themeColor="accent5"/>
            </w:tcBorders>
            <w:hideMark/>
          </w:tcPr>
          <w:p w14:paraId="38969262" w14:textId="77777777" w:rsidR="0064038E" w:rsidRPr="00800E89" w:rsidRDefault="0064038E">
            <w:pPr>
              <w:pStyle w:val="ARtabletext"/>
            </w:pPr>
            <w:r w:rsidRPr="00800E89">
              <w:t>number</w:t>
            </w:r>
          </w:p>
        </w:tc>
        <w:tc>
          <w:tcPr>
            <w:tcW w:w="1021" w:type="dxa"/>
            <w:tcBorders>
              <w:top w:val="single" w:sz="4" w:space="0" w:color="A6A6A6" w:themeColor="accent5"/>
            </w:tcBorders>
          </w:tcPr>
          <w:p w14:paraId="037A9A7D" w14:textId="77777777" w:rsidR="0064038E" w:rsidRPr="00800E89" w:rsidRDefault="0064038E">
            <w:pPr>
              <w:pStyle w:val="ARtabletextright"/>
            </w:pPr>
            <w:r w:rsidRPr="00800E89">
              <w:t>10,641</w:t>
            </w:r>
          </w:p>
        </w:tc>
        <w:tc>
          <w:tcPr>
            <w:tcW w:w="1022" w:type="dxa"/>
            <w:tcBorders>
              <w:top w:val="single" w:sz="4" w:space="0" w:color="A6A6A6" w:themeColor="accent5"/>
            </w:tcBorders>
          </w:tcPr>
          <w:p w14:paraId="11855B92" w14:textId="77777777" w:rsidR="0064038E" w:rsidRPr="00F07EE7" w:rsidRDefault="0064038E">
            <w:pPr>
              <w:pStyle w:val="ARtabletextright"/>
              <w:rPr>
                <w:highlight w:val="cyan"/>
              </w:rPr>
            </w:pPr>
            <w:r w:rsidRPr="00800E89">
              <w:t>9,288</w:t>
            </w:r>
          </w:p>
        </w:tc>
        <w:tc>
          <w:tcPr>
            <w:tcW w:w="1024" w:type="dxa"/>
            <w:tcBorders>
              <w:top w:val="single" w:sz="4" w:space="0" w:color="A6A6A6" w:themeColor="accent5"/>
            </w:tcBorders>
          </w:tcPr>
          <w:p w14:paraId="44169F52" w14:textId="04D487FA" w:rsidR="0064038E" w:rsidRPr="00F07EE7" w:rsidRDefault="008F4F42">
            <w:pPr>
              <w:pStyle w:val="ARtabletextright"/>
              <w:rPr>
                <w:highlight w:val="cyan"/>
              </w:rPr>
            </w:pPr>
            <w:r>
              <w:t>−</w:t>
            </w:r>
            <w:r w:rsidR="0064038E" w:rsidRPr="00800E89">
              <w:t>12.7%</w:t>
            </w:r>
          </w:p>
        </w:tc>
        <w:tc>
          <w:tcPr>
            <w:tcW w:w="811" w:type="dxa"/>
            <w:tcBorders>
              <w:top w:val="single" w:sz="4" w:space="0" w:color="A6A6A6" w:themeColor="accent5"/>
            </w:tcBorders>
          </w:tcPr>
          <w:p w14:paraId="32EAD7DE" w14:textId="0028D8B2" w:rsidR="0064038E" w:rsidRPr="00F07EE7" w:rsidRDefault="00CB22C6">
            <w:pPr>
              <w:pStyle w:val="ARtableperformancesymbol"/>
              <w:rPr>
                <w:rFonts w:hint="eastAsia"/>
                <w:sz w:val="20"/>
                <w:szCs w:val="20"/>
                <w:highlight w:val="cyan"/>
              </w:rPr>
            </w:pPr>
            <w:r w:rsidRPr="00532DAE">
              <w:rPr>
                <w:rFonts w:eastAsia="Wingdings" w:cs="Wingdings"/>
              </w:rPr>
              <w:t></w:t>
            </w:r>
          </w:p>
        </w:tc>
      </w:tr>
      <w:tr w:rsidR="0064038E" w:rsidRPr="00F07EE7" w14:paraId="71EACCCC" w14:textId="77777777" w:rsidTr="00A906A4">
        <w:trPr>
          <w:cantSplit/>
        </w:trPr>
        <w:tc>
          <w:tcPr>
            <w:tcW w:w="9640" w:type="dxa"/>
            <w:gridSpan w:val="6"/>
            <w:tcBorders>
              <w:bottom w:val="single" w:sz="4" w:space="0" w:color="BFBFBF"/>
            </w:tcBorders>
          </w:tcPr>
          <w:p w14:paraId="177801D3" w14:textId="77777777" w:rsidR="0064038E" w:rsidRPr="00F07EE7" w:rsidRDefault="0064038E" w:rsidP="00130336">
            <w:pPr>
              <w:pStyle w:val="ARtablenoteindent"/>
              <w:rPr>
                <w:highlight w:val="cyan"/>
              </w:rPr>
            </w:pPr>
            <w:r w:rsidRPr="00FD2086">
              <w:t>The 2024</w:t>
            </w:r>
            <w:r>
              <w:t>–</w:t>
            </w:r>
            <w:r w:rsidRPr="00FD2086">
              <w:t>25 result is lower than the 2024</w:t>
            </w:r>
            <w:r>
              <w:t>–</w:t>
            </w:r>
            <w:r w:rsidRPr="00FD2086">
              <w:t xml:space="preserve">25 target, </w:t>
            </w:r>
            <w:r w:rsidRPr="00130336">
              <w:t>reflecting</w:t>
            </w:r>
            <w:r w:rsidRPr="00FD2086">
              <w:t xml:space="preserve"> demand for services. A lower result signifies that fewer care placements are being required (potentially reflecting impacts of early intervention initiatives).</w:t>
            </w:r>
          </w:p>
        </w:tc>
      </w:tr>
      <w:tr w:rsidR="0064038E" w:rsidRPr="00F07EE7" w14:paraId="2B605DE2" w14:textId="77777777" w:rsidTr="00A906A4">
        <w:trPr>
          <w:cantSplit/>
        </w:trPr>
        <w:tc>
          <w:tcPr>
            <w:tcW w:w="4743" w:type="dxa"/>
            <w:tcBorders>
              <w:top w:val="single" w:sz="4" w:space="0" w:color="BFBFBF"/>
            </w:tcBorders>
          </w:tcPr>
          <w:p w14:paraId="57BFA372" w14:textId="77777777" w:rsidR="0064038E" w:rsidRPr="00CB49B7" w:rsidRDefault="0064038E">
            <w:pPr>
              <w:pStyle w:val="ARtabletext"/>
            </w:pPr>
            <w:r w:rsidRPr="00CB49B7">
              <w:t>Daily average number of children in foster care placements</w:t>
            </w:r>
          </w:p>
        </w:tc>
        <w:tc>
          <w:tcPr>
            <w:tcW w:w="1019" w:type="dxa"/>
            <w:tcBorders>
              <w:top w:val="single" w:sz="4" w:space="0" w:color="BFBFBF"/>
            </w:tcBorders>
          </w:tcPr>
          <w:p w14:paraId="6DEE37A2" w14:textId="77777777" w:rsidR="0064038E" w:rsidRPr="00CB49B7" w:rsidRDefault="0064038E">
            <w:pPr>
              <w:pStyle w:val="ARtabletext"/>
            </w:pPr>
            <w:r w:rsidRPr="00CB49B7">
              <w:t>number</w:t>
            </w:r>
          </w:p>
        </w:tc>
        <w:tc>
          <w:tcPr>
            <w:tcW w:w="1021" w:type="dxa"/>
            <w:tcBorders>
              <w:top w:val="single" w:sz="4" w:space="0" w:color="BFBFBF"/>
            </w:tcBorders>
          </w:tcPr>
          <w:p w14:paraId="66D93F48" w14:textId="77777777" w:rsidR="0064038E" w:rsidRPr="00CB49B7" w:rsidRDefault="0064038E">
            <w:pPr>
              <w:pStyle w:val="ARtabletextright"/>
            </w:pPr>
            <w:r w:rsidRPr="00CB49B7">
              <w:t>1,773</w:t>
            </w:r>
          </w:p>
        </w:tc>
        <w:tc>
          <w:tcPr>
            <w:tcW w:w="1022" w:type="dxa"/>
            <w:tcBorders>
              <w:top w:val="single" w:sz="4" w:space="0" w:color="BFBFBF"/>
            </w:tcBorders>
          </w:tcPr>
          <w:p w14:paraId="375D89B2" w14:textId="77777777" w:rsidR="0064038E" w:rsidRPr="00BB0336" w:rsidRDefault="0064038E">
            <w:pPr>
              <w:pStyle w:val="ARtabletextright"/>
            </w:pPr>
            <w:r w:rsidRPr="00BB0336">
              <w:t>1,304</w:t>
            </w:r>
          </w:p>
        </w:tc>
        <w:tc>
          <w:tcPr>
            <w:tcW w:w="1024" w:type="dxa"/>
            <w:tcBorders>
              <w:top w:val="single" w:sz="4" w:space="0" w:color="BFBFBF"/>
            </w:tcBorders>
          </w:tcPr>
          <w:p w14:paraId="1A7831A8" w14:textId="796C3F2F" w:rsidR="0064038E" w:rsidRPr="00BB0336" w:rsidRDefault="00430898">
            <w:pPr>
              <w:pStyle w:val="ARtabletextright"/>
            </w:pPr>
            <w:r>
              <w:t>−</w:t>
            </w:r>
            <w:r w:rsidR="0064038E" w:rsidRPr="00BB0336">
              <w:t>26.5%</w:t>
            </w:r>
          </w:p>
        </w:tc>
        <w:tc>
          <w:tcPr>
            <w:tcW w:w="811" w:type="dxa"/>
            <w:tcBorders>
              <w:top w:val="single" w:sz="4" w:space="0" w:color="BFBFBF"/>
            </w:tcBorders>
          </w:tcPr>
          <w:p w14:paraId="1015B228" w14:textId="3A0DC6C2" w:rsidR="0064038E" w:rsidRPr="00BB0336" w:rsidRDefault="00CB22C6">
            <w:pPr>
              <w:pStyle w:val="ARtableperformancesymbol"/>
              <w:rPr>
                <w:rStyle w:val="CommentReference"/>
                <w:rFonts w:asciiTheme="minorHAnsi" w:hAnsiTheme="minorHAnsi"/>
              </w:rPr>
            </w:pPr>
            <w:r w:rsidRPr="00532DAE">
              <w:rPr>
                <w:rFonts w:eastAsia="Wingdings" w:cs="Wingdings"/>
              </w:rPr>
              <w:t></w:t>
            </w:r>
          </w:p>
        </w:tc>
      </w:tr>
      <w:tr w:rsidR="0064038E" w:rsidRPr="00F07EE7" w14:paraId="7CC89BB5" w14:textId="77777777" w:rsidTr="00A906A4">
        <w:trPr>
          <w:cantSplit/>
        </w:trPr>
        <w:tc>
          <w:tcPr>
            <w:tcW w:w="9640" w:type="dxa"/>
            <w:gridSpan w:val="6"/>
            <w:tcBorders>
              <w:bottom w:val="single" w:sz="4" w:space="0" w:color="BFBFBF"/>
            </w:tcBorders>
          </w:tcPr>
          <w:p w14:paraId="2AFE672B" w14:textId="77777777" w:rsidR="0064038E" w:rsidRPr="00F07EE7" w:rsidRDefault="0064038E" w:rsidP="00130336">
            <w:pPr>
              <w:pStyle w:val="ARtablenoteindent"/>
              <w:rPr>
                <w:highlight w:val="cyan"/>
              </w:rPr>
            </w:pPr>
            <w:r w:rsidRPr="00BB0336">
              <w:t>The 2024</w:t>
            </w:r>
            <w:r>
              <w:t>–</w:t>
            </w:r>
            <w:r w:rsidRPr="00BB0336">
              <w:t>25 result is lower than the 2024</w:t>
            </w:r>
            <w:r>
              <w:t>–</w:t>
            </w:r>
            <w:r w:rsidRPr="00BB0336">
              <w:t xml:space="preserve">25 target, </w:t>
            </w:r>
            <w:r w:rsidRPr="00130336">
              <w:t>potentially</w:t>
            </w:r>
            <w:r w:rsidRPr="00BB0336">
              <w:t xml:space="preserve"> reflecting overall care placements trend, as well the availability of foster carers.</w:t>
            </w:r>
          </w:p>
        </w:tc>
      </w:tr>
      <w:tr w:rsidR="0064038E" w:rsidRPr="00F07EE7" w14:paraId="433FAC72" w14:textId="77777777" w:rsidTr="00A906A4">
        <w:trPr>
          <w:cantSplit/>
        </w:trPr>
        <w:tc>
          <w:tcPr>
            <w:tcW w:w="4743" w:type="dxa"/>
            <w:tcBorders>
              <w:top w:val="single" w:sz="4" w:space="0" w:color="BFBFBF"/>
            </w:tcBorders>
          </w:tcPr>
          <w:p w14:paraId="370A6CB6" w14:textId="77777777" w:rsidR="0064038E" w:rsidRPr="00610C8A" w:rsidRDefault="0064038E">
            <w:pPr>
              <w:pStyle w:val="ARtabletext"/>
            </w:pPr>
            <w:r w:rsidRPr="00610C8A">
              <w:t>Daily average number of children in kinship care placements</w:t>
            </w:r>
          </w:p>
        </w:tc>
        <w:tc>
          <w:tcPr>
            <w:tcW w:w="1019" w:type="dxa"/>
            <w:tcBorders>
              <w:top w:val="single" w:sz="4" w:space="0" w:color="BFBFBF"/>
            </w:tcBorders>
          </w:tcPr>
          <w:p w14:paraId="25F942A2" w14:textId="77777777" w:rsidR="0064038E" w:rsidRPr="00610C8A" w:rsidRDefault="0064038E">
            <w:pPr>
              <w:pStyle w:val="ARtabletext"/>
            </w:pPr>
            <w:r w:rsidRPr="00610C8A">
              <w:t>number</w:t>
            </w:r>
          </w:p>
        </w:tc>
        <w:tc>
          <w:tcPr>
            <w:tcW w:w="1021" w:type="dxa"/>
            <w:tcBorders>
              <w:top w:val="single" w:sz="4" w:space="0" w:color="BFBFBF"/>
            </w:tcBorders>
          </w:tcPr>
          <w:p w14:paraId="667E0363" w14:textId="77777777" w:rsidR="0064038E" w:rsidRPr="00610C8A" w:rsidRDefault="0064038E">
            <w:pPr>
              <w:pStyle w:val="ARtabletextright"/>
            </w:pPr>
            <w:r w:rsidRPr="00610C8A">
              <w:t>8,338</w:t>
            </w:r>
          </w:p>
        </w:tc>
        <w:tc>
          <w:tcPr>
            <w:tcW w:w="1022" w:type="dxa"/>
            <w:tcBorders>
              <w:top w:val="single" w:sz="4" w:space="0" w:color="BFBFBF"/>
            </w:tcBorders>
          </w:tcPr>
          <w:p w14:paraId="0B54D232" w14:textId="77777777" w:rsidR="0064038E" w:rsidRPr="00ED0DBD" w:rsidRDefault="0064038E">
            <w:pPr>
              <w:pStyle w:val="ARtabletextright"/>
            </w:pPr>
            <w:r w:rsidRPr="00ED0DBD">
              <w:t>7,505</w:t>
            </w:r>
          </w:p>
        </w:tc>
        <w:tc>
          <w:tcPr>
            <w:tcW w:w="1024" w:type="dxa"/>
            <w:tcBorders>
              <w:top w:val="single" w:sz="4" w:space="0" w:color="BFBFBF"/>
            </w:tcBorders>
          </w:tcPr>
          <w:p w14:paraId="50108AD9" w14:textId="2A31C62F" w:rsidR="0064038E" w:rsidRPr="00ED0DBD" w:rsidRDefault="00430898">
            <w:pPr>
              <w:pStyle w:val="ARtabletextright"/>
            </w:pPr>
            <w:r>
              <w:t>−</w:t>
            </w:r>
            <w:r w:rsidR="0064038E" w:rsidRPr="00ED0DBD">
              <w:t>10.0%</w:t>
            </w:r>
          </w:p>
        </w:tc>
        <w:tc>
          <w:tcPr>
            <w:tcW w:w="811" w:type="dxa"/>
            <w:tcBorders>
              <w:top w:val="single" w:sz="4" w:space="0" w:color="BFBFBF"/>
            </w:tcBorders>
          </w:tcPr>
          <w:p w14:paraId="25AB9A00" w14:textId="3D8ECCC1" w:rsidR="0064038E" w:rsidRPr="00ED0DBD" w:rsidRDefault="00CB22C6">
            <w:pPr>
              <w:pStyle w:val="ARtableperformancesymbol"/>
              <w:rPr>
                <w:rStyle w:val="CommentReference"/>
                <w:rFonts w:asciiTheme="minorHAnsi" w:hAnsiTheme="minorHAnsi"/>
              </w:rPr>
            </w:pPr>
            <w:r w:rsidRPr="00532DAE">
              <w:rPr>
                <w:rFonts w:eastAsia="Wingdings" w:cs="Wingdings"/>
              </w:rPr>
              <w:t></w:t>
            </w:r>
          </w:p>
        </w:tc>
      </w:tr>
      <w:tr w:rsidR="0064038E" w:rsidRPr="00F07EE7" w14:paraId="07930380" w14:textId="77777777" w:rsidTr="00A906A4">
        <w:trPr>
          <w:cantSplit/>
        </w:trPr>
        <w:tc>
          <w:tcPr>
            <w:tcW w:w="9640" w:type="dxa"/>
            <w:gridSpan w:val="6"/>
            <w:tcBorders>
              <w:bottom w:val="single" w:sz="4" w:space="0" w:color="BFBFBF"/>
            </w:tcBorders>
          </w:tcPr>
          <w:p w14:paraId="7CC75EF6" w14:textId="77777777" w:rsidR="0064038E" w:rsidRPr="00F07EE7" w:rsidRDefault="0064038E" w:rsidP="00130336">
            <w:pPr>
              <w:pStyle w:val="ARtablenoteindent"/>
              <w:rPr>
                <w:highlight w:val="cyan"/>
              </w:rPr>
            </w:pPr>
            <w:r w:rsidRPr="00AA5CBD">
              <w:t>The 2024</w:t>
            </w:r>
            <w:r>
              <w:t>–</w:t>
            </w:r>
            <w:r w:rsidRPr="00AA5CBD">
              <w:t>25 result is lower than the 2024</w:t>
            </w:r>
            <w:r>
              <w:t>–</w:t>
            </w:r>
            <w:r w:rsidRPr="00AA5CBD">
              <w:t xml:space="preserve">25 </w:t>
            </w:r>
            <w:r w:rsidRPr="00130336">
              <w:t>target</w:t>
            </w:r>
            <w:r w:rsidRPr="00AA5CBD">
              <w:t>, potentially reflecting overall care placements trend.</w:t>
            </w:r>
          </w:p>
        </w:tc>
      </w:tr>
      <w:tr w:rsidR="0064038E" w:rsidRPr="00F07EE7" w14:paraId="2D3359C5" w14:textId="77777777" w:rsidTr="00A906A4">
        <w:trPr>
          <w:cantSplit/>
        </w:trPr>
        <w:tc>
          <w:tcPr>
            <w:tcW w:w="4743" w:type="dxa"/>
            <w:tcBorders>
              <w:top w:val="single" w:sz="4" w:space="0" w:color="BFBFBF"/>
            </w:tcBorders>
          </w:tcPr>
          <w:p w14:paraId="2DF9E9FE" w14:textId="77777777" w:rsidR="0064038E" w:rsidRPr="00AA4878" w:rsidRDefault="0064038E">
            <w:pPr>
              <w:pStyle w:val="ARtabletext"/>
            </w:pPr>
            <w:r w:rsidRPr="00AA4878">
              <w:t>Daily average number of children in residential care placements</w:t>
            </w:r>
          </w:p>
        </w:tc>
        <w:tc>
          <w:tcPr>
            <w:tcW w:w="1019" w:type="dxa"/>
            <w:tcBorders>
              <w:top w:val="single" w:sz="4" w:space="0" w:color="BFBFBF"/>
            </w:tcBorders>
          </w:tcPr>
          <w:p w14:paraId="67927A5B" w14:textId="77777777" w:rsidR="0064038E" w:rsidRPr="00AA4878" w:rsidRDefault="0064038E">
            <w:pPr>
              <w:pStyle w:val="ARtabletext"/>
            </w:pPr>
            <w:r w:rsidRPr="00AA4878">
              <w:t>number</w:t>
            </w:r>
          </w:p>
        </w:tc>
        <w:tc>
          <w:tcPr>
            <w:tcW w:w="1021" w:type="dxa"/>
            <w:tcBorders>
              <w:top w:val="single" w:sz="4" w:space="0" w:color="BFBFBF"/>
            </w:tcBorders>
          </w:tcPr>
          <w:p w14:paraId="796CE107" w14:textId="77777777" w:rsidR="0064038E" w:rsidRPr="00AA4878" w:rsidRDefault="0064038E">
            <w:pPr>
              <w:pStyle w:val="ARtabletextright"/>
            </w:pPr>
            <w:r w:rsidRPr="00AA4878">
              <w:t>529</w:t>
            </w:r>
          </w:p>
        </w:tc>
        <w:tc>
          <w:tcPr>
            <w:tcW w:w="1022" w:type="dxa"/>
            <w:tcBorders>
              <w:top w:val="single" w:sz="4" w:space="0" w:color="BFBFBF"/>
            </w:tcBorders>
          </w:tcPr>
          <w:p w14:paraId="6101BFEE" w14:textId="77777777" w:rsidR="0064038E" w:rsidRPr="00AA4878" w:rsidRDefault="0064038E">
            <w:pPr>
              <w:pStyle w:val="ARtabletextright"/>
            </w:pPr>
            <w:r w:rsidRPr="00AA4878">
              <w:t>465</w:t>
            </w:r>
          </w:p>
        </w:tc>
        <w:tc>
          <w:tcPr>
            <w:tcW w:w="1024" w:type="dxa"/>
            <w:tcBorders>
              <w:top w:val="single" w:sz="4" w:space="0" w:color="BFBFBF"/>
            </w:tcBorders>
          </w:tcPr>
          <w:p w14:paraId="1B2CE701" w14:textId="7B7C3B1B" w:rsidR="0064038E" w:rsidRPr="00AA4878" w:rsidRDefault="00430898">
            <w:pPr>
              <w:pStyle w:val="ARtabletextright"/>
            </w:pPr>
            <w:r>
              <w:t>−</w:t>
            </w:r>
            <w:r w:rsidR="0064038E" w:rsidRPr="00AA4878">
              <w:t>12.0%</w:t>
            </w:r>
          </w:p>
        </w:tc>
        <w:tc>
          <w:tcPr>
            <w:tcW w:w="811" w:type="dxa"/>
            <w:tcBorders>
              <w:top w:val="single" w:sz="4" w:space="0" w:color="BFBFBF"/>
            </w:tcBorders>
          </w:tcPr>
          <w:p w14:paraId="24A6C72A" w14:textId="2A51ECE5" w:rsidR="0064038E" w:rsidRPr="00AA4878" w:rsidRDefault="00CB22C6">
            <w:pPr>
              <w:pStyle w:val="ARtableperformancesymbol"/>
              <w:rPr>
                <w:rStyle w:val="CommentReference"/>
                <w:rFonts w:asciiTheme="minorHAnsi" w:hAnsiTheme="minorHAnsi"/>
              </w:rPr>
            </w:pPr>
            <w:r w:rsidRPr="00532DAE">
              <w:rPr>
                <w:rFonts w:eastAsia="Wingdings" w:cs="Wingdings"/>
              </w:rPr>
              <w:t></w:t>
            </w:r>
          </w:p>
        </w:tc>
      </w:tr>
      <w:tr w:rsidR="0064038E" w:rsidRPr="00F07EE7" w14:paraId="0EA9C217" w14:textId="77777777" w:rsidTr="00A906A4">
        <w:trPr>
          <w:cantSplit/>
        </w:trPr>
        <w:tc>
          <w:tcPr>
            <w:tcW w:w="9640" w:type="dxa"/>
            <w:gridSpan w:val="6"/>
            <w:tcBorders>
              <w:bottom w:val="single" w:sz="4" w:space="0" w:color="BFBFBF"/>
            </w:tcBorders>
          </w:tcPr>
          <w:p w14:paraId="2607A74B" w14:textId="77777777" w:rsidR="0064038E" w:rsidRPr="00F07EE7" w:rsidRDefault="0064038E" w:rsidP="00130336">
            <w:pPr>
              <w:pStyle w:val="ARtablenoteindent"/>
              <w:rPr>
                <w:highlight w:val="cyan"/>
              </w:rPr>
            </w:pPr>
            <w:r w:rsidRPr="0077654C">
              <w:t>The 2024</w:t>
            </w:r>
            <w:r>
              <w:t>–</w:t>
            </w:r>
            <w:r w:rsidRPr="0077654C">
              <w:t>25 result is lower than the 2024</w:t>
            </w:r>
            <w:r>
              <w:t>–</w:t>
            </w:r>
            <w:r w:rsidRPr="0077654C">
              <w:t>25 target, potentially reflecting overall care placements trend.</w:t>
            </w:r>
          </w:p>
        </w:tc>
      </w:tr>
      <w:tr w:rsidR="0064038E" w:rsidRPr="00F07EE7" w14:paraId="01C1E337" w14:textId="77777777" w:rsidTr="00CA3FC2">
        <w:trPr>
          <w:cantSplit/>
        </w:trPr>
        <w:tc>
          <w:tcPr>
            <w:tcW w:w="4743" w:type="dxa"/>
            <w:tcBorders>
              <w:top w:val="single" w:sz="4" w:space="0" w:color="BFBFBF"/>
              <w:bottom w:val="single" w:sz="4" w:space="0" w:color="BFBFBF"/>
            </w:tcBorders>
          </w:tcPr>
          <w:p w14:paraId="218797AB" w14:textId="77777777" w:rsidR="0064038E" w:rsidRPr="003906AD" w:rsidRDefault="0064038E">
            <w:pPr>
              <w:pStyle w:val="ARtabletext"/>
            </w:pPr>
            <w:r w:rsidRPr="003906AD">
              <w:t>Daily average number of children subject to permanent care orders</w:t>
            </w:r>
          </w:p>
        </w:tc>
        <w:tc>
          <w:tcPr>
            <w:tcW w:w="1019" w:type="dxa"/>
            <w:tcBorders>
              <w:top w:val="single" w:sz="4" w:space="0" w:color="BFBFBF"/>
              <w:bottom w:val="single" w:sz="4" w:space="0" w:color="BFBFBF"/>
            </w:tcBorders>
          </w:tcPr>
          <w:p w14:paraId="69D22E25" w14:textId="77777777" w:rsidR="0064038E" w:rsidRPr="003906AD" w:rsidRDefault="0064038E">
            <w:pPr>
              <w:pStyle w:val="ARtabletext"/>
            </w:pPr>
            <w:r w:rsidRPr="003906AD">
              <w:t>number</w:t>
            </w:r>
          </w:p>
        </w:tc>
        <w:tc>
          <w:tcPr>
            <w:tcW w:w="1021" w:type="dxa"/>
            <w:tcBorders>
              <w:top w:val="single" w:sz="4" w:space="0" w:color="BFBFBF"/>
              <w:bottom w:val="single" w:sz="4" w:space="0" w:color="BFBFBF"/>
            </w:tcBorders>
          </w:tcPr>
          <w:p w14:paraId="3F413608" w14:textId="77777777" w:rsidR="0064038E" w:rsidRPr="003906AD" w:rsidRDefault="0064038E">
            <w:pPr>
              <w:pStyle w:val="ARtabletextright"/>
            </w:pPr>
            <w:r w:rsidRPr="003906AD">
              <w:t>3,891</w:t>
            </w:r>
          </w:p>
        </w:tc>
        <w:tc>
          <w:tcPr>
            <w:tcW w:w="1022" w:type="dxa"/>
            <w:tcBorders>
              <w:top w:val="single" w:sz="4" w:space="0" w:color="BFBFBF"/>
              <w:bottom w:val="single" w:sz="4" w:space="0" w:color="BFBFBF"/>
            </w:tcBorders>
          </w:tcPr>
          <w:p w14:paraId="43C29CA9" w14:textId="77777777" w:rsidR="0064038E" w:rsidRPr="003906AD" w:rsidRDefault="0064038E">
            <w:pPr>
              <w:pStyle w:val="ARtabletextright"/>
            </w:pPr>
            <w:r w:rsidRPr="003906AD">
              <w:t>3,907</w:t>
            </w:r>
          </w:p>
        </w:tc>
        <w:tc>
          <w:tcPr>
            <w:tcW w:w="1024" w:type="dxa"/>
            <w:tcBorders>
              <w:top w:val="single" w:sz="4" w:space="0" w:color="BFBFBF"/>
              <w:bottom w:val="single" w:sz="4" w:space="0" w:color="BFBFBF"/>
            </w:tcBorders>
          </w:tcPr>
          <w:p w14:paraId="1C00CB60" w14:textId="77777777" w:rsidR="0064038E" w:rsidRPr="003906AD" w:rsidRDefault="0064038E">
            <w:pPr>
              <w:pStyle w:val="ARtabletextright"/>
            </w:pPr>
            <w:r w:rsidRPr="003906AD">
              <w:t>0.4%</w:t>
            </w:r>
          </w:p>
        </w:tc>
        <w:tc>
          <w:tcPr>
            <w:tcW w:w="811" w:type="dxa"/>
            <w:tcBorders>
              <w:top w:val="single" w:sz="4" w:space="0" w:color="BFBFBF"/>
              <w:bottom w:val="single" w:sz="4" w:space="0" w:color="BFBFBF"/>
            </w:tcBorders>
          </w:tcPr>
          <w:p w14:paraId="6586DC64" w14:textId="23F9CC6F" w:rsidR="0064038E" w:rsidRPr="003906AD" w:rsidRDefault="00CB22C6">
            <w:pPr>
              <w:pStyle w:val="ARtableperformancesymbol"/>
              <w:rPr>
                <w:rStyle w:val="CommentReference"/>
                <w:rFonts w:asciiTheme="minorHAnsi" w:hAnsiTheme="minorHAnsi"/>
              </w:rPr>
            </w:pPr>
            <w:r w:rsidRPr="00532DAE">
              <w:t>□</w:t>
            </w:r>
          </w:p>
        </w:tc>
      </w:tr>
      <w:tr w:rsidR="00CA3FC2" w:rsidRPr="00F07EE7" w14:paraId="7E1E9D0A" w14:textId="77777777" w:rsidTr="00CA3FC2">
        <w:trPr>
          <w:cantSplit/>
        </w:trPr>
        <w:tc>
          <w:tcPr>
            <w:tcW w:w="4743" w:type="dxa"/>
            <w:tcBorders>
              <w:top w:val="single" w:sz="4" w:space="0" w:color="BFBFBF"/>
            </w:tcBorders>
          </w:tcPr>
          <w:p w14:paraId="3EC4C9A1" w14:textId="394F8DF7" w:rsidR="00CA3FC2" w:rsidRPr="003906AD" w:rsidRDefault="00CA3FC2" w:rsidP="00CA3FC2">
            <w:pPr>
              <w:pStyle w:val="ARtabletext"/>
              <w:pageBreakBefore/>
            </w:pPr>
            <w:r w:rsidRPr="00865435">
              <w:lastRenderedPageBreak/>
              <w:t>Number of children authorised to an Aboriginal agency under the Aboriginal Children in Aboriginal Care program</w:t>
            </w:r>
          </w:p>
        </w:tc>
        <w:tc>
          <w:tcPr>
            <w:tcW w:w="1019" w:type="dxa"/>
            <w:tcBorders>
              <w:top w:val="single" w:sz="4" w:space="0" w:color="BFBFBF"/>
            </w:tcBorders>
          </w:tcPr>
          <w:p w14:paraId="1E77EEEC" w14:textId="3C0610E0" w:rsidR="00CA3FC2" w:rsidRPr="003906AD" w:rsidRDefault="00CA3FC2" w:rsidP="00CA3FC2">
            <w:pPr>
              <w:pStyle w:val="ARtabletext"/>
            </w:pPr>
            <w:r w:rsidRPr="00865435">
              <w:t>number</w:t>
            </w:r>
          </w:p>
        </w:tc>
        <w:tc>
          <w:tcPr>
            <w:tcW w:w="1021" w:type="dxa"/>
            <w:tcBorders>
              <w:top w:val="single" w:sz="4" w:space="0" w:color="BFBFBF"/>
            </w:tcBorders>
          </w:tcPr>
          <w:p w14:paraId="7A158782" w14:textId="4FC23A8A" w:rsidR="00CA3FC2" w:rsidRPr="003906AD" w:rsidRDefault="00CA3FC2" w:rsidP="00CA3FC2">
            <w:pPr>
              <w:pStyle w:val="ARtabletextright"/>
            </w:pPr>
            <w:r w:rsidRPr="00865435">
              <w:t>341</w:t>
            </w:r>
          </w:p>
        </w:tc>
        <w:tc>
          <w:tcPr>
            <w:tcW w:w="1022" w:type="dxa"/>
            <w:tcBorders>
              <w:top w:val="single" w:sz="4" w:space="0" w:color="BFBFBF"/>
            </w:tcBorders>
          </w:tcPr>
          <w:p w14:paraId="26FC73C6" w14:textId="694C9FD0" w:rsidR="00CA3FC2" w:rsidRPr="003906AD" w:rsidRDefault="00CA3FC2" w:rsidP="00CA3FC2">
            <w:pPr>
              <w:pStyle w:val="ARtabletextright"/>
            </w:pPr>
            <w:r w:rsidRPr="00865435">
              <w:t>449</w:t>
            </w:r>
          </w:p>
        </w:tc>
        <w:tc>
          <w:tcPr>
            <w:tcW w:w="1024" w:type="dxa"/>
            <w:tcBorders>
              <w:top w:val="single" w:sz="4" w:space="0" w:color="BFBFBF"/>
            </w:tcBorders>
          </w:tcPr>
          <w:p w14:paraId="3DF23BFC" w14:textId="3B9BED0B" w:rsidR="00CA3FC2" w:rsidRPr="003906AD" w:rsidRDefault="00CA3FC2" w:rsidP="00CA3FC2">
            <w:pPr>
              <w:pStyle w:val="ARtabletextright"/>
            </w:pPr>
            <w:r w:rsidRPr="00865435">
              <w:t>31.7%</w:t>
            </w:r>
          </w:p>
        </w:tc>
        <w:tc>
          <w:tcPr>
            <w:tcW w:w="811" w:type="dxa"/>
            <w:tcBorders>
              <w:top w:val="single" w:sz="4" w:space="0" w:color="BFBFBF"/>
            </w:tcBorders>
          </w:tcPr>
          <w:p w14:paraId="10F41036" w14:textId="67E189D9" w:rsidR="00CA3FC2" w:rsidRPr="003906AD" w:rsidRDefault="00CA3FC2" w:rsidP="00CA3FC2">
            <w:pPr>
              <w:pStyle w:val="ARtableperformancesymbol"/>
              <w:rPr>
                <w:rFonts w:eastAsia="Wingdings" w:cs="Wingdings"/>
              </w:rPr>
            </w:pPr>
            <w:r w:rsidRPr="00865435">
              <w:rPr>
                <w:rFonts w:eastAsia="Wingdings" w:cs="Wingdings"/>
              </w:rPr>
              <w:t></w:t>
            </w:r>
          </w:p>
        </w:tc>
      </w:tr>
      <w:tr w:rsidR="0064038E" w:rsidRPr="00F07EE7" w14:paraId="5CC1E9D8" w14:textId="77777777" w:rsidTr="00CA3FC2">
        <w:trPr>
          <w:cantSplit/>
        </w:trPr>
        <w:tc>
          <w:tcPr>
            <w:tcW w:w="9640" w:type="dxa"/>
            <w:gridSpan w:val="6"/>
            <w:tcBorders>
              <w:bottom w:val="single" w:sz="4" w:space="0" w:color="BFBFBF"/>
            </w:tcBorders>
          </w:tcPr>
          <w:p w14:paraId="6939781D" w14:textId="32F36565" w:rsidR="0064038E" w:rsidRPr="00865435" w:rsidRDefault="0064038E" w:rsidP="00130336">
            <w:pPr>
              <w:pStyle w:val="ARtablenoteindent"/>
            </w:pPr>
            <w:r w:rsidRPr="00DA6959">
              <w:t>The 2024</w:t>
            </w:r>
            <w:r>
              <w:t>–</w:t>
            </w:r>
            <w:r w:rsidRPr="00DA6959">
              <w:t>25 result is higher than the 2024</w:t>
            </w:r>
            <w:r>
              <w:t>–</w:t>
            </w:r>
            <w:r w:rsidRPr="00DA6959">
              <w:t xml:space="preserve">25 target. This </w:t>
            </w:r>
            <w:proofErr w:type="gramStart"/>
            <w:r w:rsidRPr="00DA6959">
              <w:t>is a reflection of</w:t>
            </w:r>
            <w:proofErr w:type="gramEnd"/>
            <w:r w:rsidRPr="00DA6959">
              <w:t xml:space="preserve"> increased funded capacity in mostly established authorised Aboriginal agencies during 2024</w:t>
            </w:r>
            <w:r>
              <w:t>–</w:t>
            </w:r>
            <w:r w:rsidRPr="00DA6959">
              <w:t xml:space="preserve">25 through the </w:t>
            </w:r>
            <w:r w:rsidRPr="00DA434D">
              <w:rPr>
                <w:rStyle w:val="Emphasis"/>
              </w:rPr>
              <w:t>2023–24 State Budget</w:t>
            </w:r>
            <w:r w:rsidRPr="00DA6959">
              <w:t>. As a result</w:t>
            </w:r>
            <w:r w:rsidR="00780EAC">
              <w:t xml:space="preserve">, </w:t>
            </w:r>
            <w:r w:rsidRPr="00DA6959">
              <w:t xml:space="preserve">these new ACAC teams have been able to </w:t>
            </w:r>
            <w:r w:rsidRPr="00130336">
              <w:t>significantly</w:t>
            </w:r>
            <w:r w:rsidRPr="00DA6959">
              <w:t xml:space="preserve"> increase the number of authorised Aboriginal children supported by an ACCO. The target will be reviewed in 2025</w:t>
            </w:r>
            <w:r>
              <w:t>–</w:t>
            </w:r>
            <w:r w:rsidRPr="00DA6959">
              <w:t>26.</w:t>
            </w:r>
          </w:p>
        </w:tc>
      </w:tr>
      <w:tr w:rsidR="0064038E" w:rsidRPr="00F07EE7" w14:paraId="79011AFB" w14:textId="77777777" w:rsidTr="00A906A4">
        <w:trPr>
          <w:cantSplit/>
        </w:trPr>
        <w:tc>
          <w:tcPr>
            <w:tcW w:w="4743" w:type="dxa"/>
            <w:hideMark/>
          </w:tcPr>
          <w:p w14:paraId="1634E03C" w14:textId="77777777" w:rsidR="0064038E" w:rsidRPr="00A476F8" w:rsidRDefault="0064038E">
            <w:pPr>
              <w:pStyle w:val="ARtabletext"/>
            </w:pPr>
            <w:r w:rsidRPr="00A476F8">
              <w:t>Number of intensive family services cases commencing</w:t>
            </w:r>
          </w:p>
        </w:tc>
        <w:tc>
          <w:tcPr>
            <w:tcW w:w="1019" w:type="dxa"/>
            <w:hideMark/>
          </w:tcPr>
          <w:p w14:paraId="058B0C55" w14:textId="77777777" w:rsidR="0064038E" w:rsidRPr="00A476F8" w:rsidRDefault="0064038E">
            <w:pPr>
              <w:pStyle w:val="ARtabletext"/>
            </w:pPr>
            <w:r w:rsidRPr="00A476F8">
              <w:t>number</w:t>
            </w:r>
          </w:p>
        </w:tc>
        <w:tc>
          <w:tcPr>
            <w:tcW w:w="1021" w:type="dxa"/>
          </w:tcPr>
          <w:p w14:paraId="4264C4A3" w14:textId="77777777" w:rsidR="0064038E" w:rsidRPr="00A476F8" w:rsidRDefault="0064038E">
            <w:pPr>
              <w:pStyle w:val="ARtabletextright"/>
            </w:pPr>
            <w:r w:rsidRPr="00A476F8">
              <w:t>3,310</w:t>
            </w:r>
          </w:p>
        </w:tc>
        <w:tc>
          <w:tcPr>
            <w:tcW w:w="1022" w:type="dxa"/>
          </w:tcPr>
          <w:p w14:paraId="2ED87E0D" w14:textId="77777777" w:rsidR="0064038E" w:rsidRPr="00A476F8" w:rsidRDefault="0064038E">
            <w:pPr>
              <w:pStyle w:val="ARtabletextright"/>
            </w:pPr>
            <w:r w:rsidRPr="00A476F8">
              <w:t>3,260</w:t>
            </w:r>
          </w:p>
        </w:tc>
        <w:tc>
          <w:tcPr>
            <w:tcW w:w="1024" w:type="dxa"/>
          </w:tcPr>
          <w:p w14:paraId="42689496" w14:textId="268DB187" w:rsidR="0064038E" w:rsidRPr="00A476F8" w:rsidRDefault="00430898">
            <w:pPr>
              <w:pStyle w:val="ARtabletextright"/>
            </w:pPr>
            <w:r>
              <w:t>−</w:t>
            </w:r>
            <w:r w:rsidR="0064038E" w:rsidRPr="00A476F8">
              <w:t>1.5%</w:t>
            </w:r>
          </w:p>
        </w:tc>
        <w:tc>
          <w:tcPr>
            <w:tcW w:w="811" w:type="dxa"/>
          </w:tcPr>
          <w:p w14:paraId="41190C7E" w14:textId="77777777" w:rsidR="0064038E" w:rsidRPr="00A476F8" w:rsidRDefault="0064038E">
            <w:pPr>
              <w:pStyle w:val="ARtableperformancesymbol"/>
              <w:rPr>
                <w:rFonts w:hint="eastAsia"/>
              </w:rPr>
            </w:pPr>
            <w:r w:rsidRPr="00A476F8">
              <w:t>□</w:t>
            </w:r>
          </w:p>
        </w:tc>
      </w:tr>
      <w:tr w:rsidR="001C459E" w:rsidRPr="00F07EE7" w14:paraId="71533760" w14:textId="77777777" w:rsidTr="00A906A4">
        <w:trPr>
          <w:cantSplit/>
        </w:trPr>
        <w:tc>
          <w:tcPr>
            <w:tcW w:w="9640" w:type="dxa"/>
            <w:gridSpan w:val="6"/>
            <w:tcBorders>
              <w:bottom w:val="single" w:sz="4" w:space="0" w:color="BFBFBF"/>
            </w:tcBorders>
          </w:tcPr>
          <w:p w14:paraId="0D9A3E43" w14:textId="3E85A045" w:rsidR="001C459E" w:rsidRPr="00F07EE7" w:rsidRDefault="001C459E">
            <w:pPr>
              <w:pStyle w:val="ARtablenoteindent"/>
              <w:rPr>
                <w:rFonts w:eastAsia="Wingdings"/>
                <w:highlight w:val="cyan"/>
              </w:rPr>
            </w:pPr>
            <w:r>
              <w:t xml:space="preserve">This data is lagged </w:t>
            </w:r>
            <w:r w:rsidR="00780EAC">
              <w:t xml:space="preserve">3 </w:t>
            </w:r>
            <w:r>
              <w:t>months to ensure accuracy, due to delays in agency data submission.</w:t>
            </w:r>
          </w:p>
        </w:tc>
      </w:tr>
      <w:tr w:rsidR="0064038E" w:rsidRPr="00F07EE7" w14:paraId="19A9C9E6" w14:textId="77777777" w:rsidTr="00A906A4">
        <w:trPr>
          <w:cantSplit/>
        </w:trPr>
        <w:tc>
          <w:tcPr>
            <w:tcW w:w="4743" w:type="dxa"/>
            <w:tcBorders>
              <w:top w:val="single" w:sz="4" w:space="0" w:color="BFBFBF"/>
            </w:tcBorders>
            <w:hideMark/>
          </w:tcPr>
          <w:p w14:paraId="13258674" w14:textId="7B953B2F" w:rsidR="0064038E" w:rsidRPr="00CD62B1" w:rsidRDefault="0064038E">
            <w:pPr>
              <w:pStyle w:val="ARtabletext"/>
              <w:keepNext/>
            </w:pPr>
            <w:r w:rsidRPr="00CD62B1">
              <w:t xml:space="preserve">Number of intensive support services </w:t>
            </w:r>
            <w:r w:rsidR="00772B58">
              <w:t xml:space="preserve">commencing for </w:t>
            </w:r>
            <w:r w:rsidRPr="00CD62B1">
              <w:t>Aboriginal families</w:t>
            </w:r>
          </w:p>
        </w:tc>
        <w:tc>
          <w:tcPr>
            <w:tcW w:w="1019" w:type="dxa"/>
            <w:tcBorders>
              <w:top w:val="single" w:sz="4" w:space="0" w:color="BFBFBF"/>
            </w:tcBorders>
            <w:hideMark/>
          </w:tcPr>
          <w:p w14:paraId="21A3D8C0" w14:textId="77777777" w:rsidR="0064038E" w:rsidRPr="00CD62B1" w:rsidRDefault="0064038E">
            <w:pPr>
              <w:pStyle w:val="ARtabletext"/>
            </w:pPr>
            <w:r w:rsidRPr="00CD62B1">
              <w:t>number</w:t>
            </w:r>
          </w:p>
        </w:tc>
        <w:tc>
          <w:tcPr>
            <w:tcW w:w="1021" w:type="dxa"/>
            <w:tcBorders>
              <w:top w:val="single" w:sz="4" w:space="0" w:color="BFBFBF"/>
            </w:tcBorders>
            <w:hideMark/>
          </w:tcPr>
          <w:p w14:paraId="25BEF19A" w14:textId="77777777" w:rsidR="0064038E" w:rsidRPr="00CD62B1" w:rsidRDefault="0064038E">
            <w:pPr>
              <w:pStyle w:val="ARtabletextright"/>
            </w:pPr>
            <w:r w:rsidRPr="00CD62B1">
              <w:t>985</w:t>
            </w:r>
          </w:p>
        </w:tc>
        <w:tc>
          <w:tcPr>
            <w:tcW w:w="1022" w:type="dxa"/>
            <w:tcBorders>
              <w:top w:val="single" w:sz="4" w:space="0" w:color="BFBFBF"/>
            </w:tcBorders>
          </w:tcPr>
          <w:p w14:paraId="29476F19" w14:textId="77777777" w:rsidR="0064038E" w:rsidRPr="00CD62B1" w:rsidRDefault="0064038E">
            <w:pPr>
              <w:pStyle w:val="ARtabletextright"/>
            </w:pPr>
            <w:r w:rsidRPr="00CD62B1">
              <w:t>984</w:t>
            </w:r>
          </w:p>
        </w:tc>
        <w:tc>
          <w:tcPr>
            <w:tcW w:w="1024" w:type="dxa"/>
            <w:tcBorders>
              <w:top w:val="single" w:sz="4" w:space="0" w:color="BFBFBF"/>
            </w:tcBorders>
          </w:tcPr>
          <w:p w14:paraId="347DD6DE" w14:textId="4ED01002" w:rsidR="0064038E" w:rsidRPr="00CD62B1" w:rsidRDefault="00430898">
            <w:pPr>
              <w:pStyle w:val="ARtabletextright"/>
            </w:pPr>
            <w:r>
              <w:t>−</w:t>
            </w:r>
            <w:r w:rsidR="0064038E" w:rsidRPr="00CD62B1">
              <w:t>0.1%</w:t>
            </w:r>
          </w:p>
        </w:tc>
        <w:tc>
          <w:tcPr>
            <w:tcW w:w="811" w:type="dxa"/>
            <w:tcBorders>
              <w:top w:val="single" w:sz="4" w:space="0" w:color="BFBFBF"/>
            </w:tcBorders>
          </w:tcPr>
          <w:p w14:paraId="5AA8D2BF" w14:textId="77777777" w:rsidR="0064038E" w:rsidRPr="00CD62B1" w:rsidRDefault="0064038E">
            <w:pPr>
              <w:pStyle w:val="ARtableperformancesymbol"/>
              <w:rPr>
                <w:rFonts w:hint="eastAsia"/>
                <w:lang w:val="en-AU"/>
              </w:rPr>
            </w:pPr>
            <w:r w:rsidRPr="00CD62B1">
              <w:t>□</w:t>
            </w:r>
          </w:p>
        </w:tc>
      </w:tr>
      <w:tr w:rsidR="00313B98" w:rsidRPr="00F07EE7" w14:paraId="48F4735A" w14:textId="77777777" w:rsidTr="00A906A4">
        <w:trPr>
          <w:cantSplit/>
        </w:trPr>
        <w:tc>
          <w:tcPr>
            <w:tcW w:w="9640" w:type="dxa"/>
            <w:gridSpan w:val="6"/>
            <w:tcBorders>
              <w:bottom w:val="single" w:sz="4" w:space="0" w:color="BFBFBF"/>
            </w:tcBorders>
          </w:tcPr>
          <w:p w14:paraId="4E3E594B" w14:textId="70D93AF2" w:rsidR="00313B98" w:rsidRPr="00F07EE7" w:rsidRDefault="00313B98">
            <w:pPr>
              <w:pStyle w:val="ARtablenoteindent"/>
              <w:rPr>
                <w:rFonts w:eastAsia="Wingdings"/>
                <w:highlight w:val="cyan"/>
              </w:rPr>
            </w:pPr>
            <w:r>
              <w:t>This data is lagged three months to ensure accuracy, due to delays in agency data submission.</w:t>
            </w:r>
          </w:p>
        </w:tc>
      </w:tr>
      <w:tr w:rsidR="0064038E" w:rsidRPr="00F07EE7" w14:paraId="5ADB8585" w14:textId="77777777" w:rsidTr="00A906A4">
        <w:trPr>
          <w:cantSplit/>
        </w:trPr>
        <w:tc>
          <w:tcPr>
            <w:tcW w:w="4743" w:type="dxa"/>
            <w:tcBorders>
              <w:top w:val="single" w:sz="4" w:space="0" w:color="BFBFBF"/>
            </w:tcBorders>
            <w:hideMark/>
          </w:tcPr>
          <w:p w14:paraId="21B32E3C" w14:textId="77777777" w:rsidR="0064038E" w:rsidRPr="00524C9C" w:rsidRDefault="0064038E">
            <w:pPr>
              <w:pStyle w:val="ARtabletext"/>
              <w:keepNext/>
            </w:pPr>
            <w:r w:rsidRPr="00524C9C">
              <w:t>Number of investigations from reports to Child Protection Services about the wellbeing and safety of children</w:t>
            </w:r>
          </w:p>
        </w:tc>
        <w:tc>
          <w:tcPr>
            <w:tcW w:w="1019" w:type="dxa"/>
            <w:tcBorders>
              <w:top w:val="single" w:sz="4" w:space="0" w:color="BFBFBF"/>
            </w:tcBorders>
            <w:hideMark/>
          </w:tcPr>
          <w:p w14:paraId="720177AE" w14:textId="77777777" w:rsidR="0064038E" w:rsidRPr="00524C9C" w:rsidRDefault="0064038E">
            <w:pPr>
              <w:pStyle w:val="ARtabletext"/>
            </w:pPr>
            <w:r w:rsidRPr="00524C9C">
              <w:t>number</w:t>
            </w:r>
          </w:p>
        </w:tc>
        <w:tc>
          <w:tcPr>
            <w:tcW w:w="1021" w:type="dxa"/>
            <w:tcBorders>
              <w:top w:val="single" w:sz="4" w:space="0" w:color="BFBFBF"/>
            </w:tcBorders>
            <w:hideMark/>
          </w:tcPr>
          <w:p w14:paraId="3D593DC8" w14:textId="77777777" w:rsidR="0064038E" w:rsidRPr="00524C9C" w:rsidRDefault="0064038E">
            <w:pPr>
              <w:pStyle w:val="ARtabletextright"/>
            </w:pPr>
            <w:r w:rsidRPr="00524C9C">
              <w:t>41,003</w:t>
            </w:r>
          </w:p>
        </w:tc>
        <w:tc>
          <w:tcPr>
            <w:tcW w:w="1022" w:type="dxa"/>
            <w:tcBorders>
              <w:top w:val="single" w:sz="4" w:space="0" w:color="BFBFBF"/>
            </w:tcBorders>
          </w:tcPr>
          <w:p w14:paraId="23A3E6F8" w14:textId="77777777" w:rsidR="0064038E" w:rsidRPr="00524C9C" w:rsidRDefault="0064038E">
            <w:pPr>
              <w:pStyle w:val="ARtabletextright"/>
            </w:pPr>
            <w:r w:rsidRPr="00524C9C">
              <w:t>47,361</w:t>
            </w:r>
          </w:p>
        </w:tc>
        <w:tc>
          <w:tcPr>
            <w:tcW w:w="1024" w:type="dxa"/>
            <w:tcBorders>
              <w:top w:val="single" w:sz="4" w:space="0" w:color="BFBFBF"/>
            </w:tcBorders>
          </w:tcPr>
          <w:p w14:paraId="61E06C3E" w14:textId="77777777" w:rsidR="0064038E" w:rsidRPr="00524C9C" w:rsidRDefault="0064038E">
            <w:pPr>
              <w:pStyle w:val="ARtabletextright"/>
            </w:pPr>
            <w:r w:rsidRPr="00524C9C">
              <w:t>15.5%</w:t>
            </w:r>
          </w:p>
        </w:tc>
        <w:tc>
          <w:tcPr>
            <w:tcW w:w="811" w:type="dxa"/>
            <w:tcBorders>
              <w:top w:val="single" w:sz="4" w:space="0" w:color="BFBFBF"/>
            </w:tcBorders>
          </w:tcPr>
          <w:p w14:paraId="79A5708B" w14:textId="77777777" w:rsidR="0064038E" w:rsidRPr="00524C9C" w:rsidRDefault="0064038E">
            <w:pPr>
              <w:pStyle w:val="ARtableperformancesymbol"/>
              <w:rPr>
                <w:rFonts w:hint="eastAsia"/>
                <w:lang w:val="en-AU"/>
              </w:rPr>
            </w:pPr>
            <w:r w:rsidRPr="00524C9C">
              <w:rPr>
                <w:rFonts w:eastAsia="Wingdings" w:cs="Wingdings"/>
              </w:rPr>
              <w:t></w:t>
            </w:r>
          </w:p>
        </w:tc>
      </w:tr>
      <w:tr w:rsidR="0064038E" w:rsidRPr="00F07EE7" w14:paraId="7AC130F4" w14:textId="77777777" w:rsidTr="00A906A4">
        <w:trPr>
          <w:cantSplit/>
        </w:trPr>
        <w:tc>
          <w:tcPr>
            <w:tcW w:w="9640" w:type="dxa"/>
            <w:gridSpan w:val="6"/>
            <w:tcBorders>
              <w:bottom w:val="single" w:sz="4" w:space="0" w:color="BFBFBF"/>
            </w:tcBorders>
            <w:noWrap/>
            <w:hideMark/>
          </w:tcPr>
          <w:p w14:paraId="329E376D" w14:textId="36C3DAB2" w:rsidR="0064038E" w:rsidRPr="00F07EE7" w:rsidRDefault="0064038E" w:rsidP="00130336">
            <w:pPr>
              <w:pStyle w:val="ARtablenoteindent"/>
              <w:rPr>
                <w:highlight w:val="cyan"/>
              </w:rPr>
            </w:pPr>
            <w:r w:rsidRPr="00524C9C">
              <w:t>The increased 2024</w:t>
            </w:r>
            <w:r w:rsidR="005C1105">
              <w:t>–</w:t>
            </w:r>
            <w:r w:rsidRPr="00524C9C">
              <w:t xml:space="preserve">25 result </w:t>
            </w:r>
            <w:r w:rsidRPr="00130336">
              <w:t>reflects</w:t>
            </w:r>
            <w:r w:rsidRPr="00524C9C">
              <w:t xml:space="preserve"> increased demand, not performance and is consistent with an increase in reports to Child</w:t>
            </w:r>
            <w:r w:rsidR="00026B51">
              <w:t> </w:t>
            </w:r>
            <w:r w:rsidRPr="00524C9C">
              <w:t>Protection.</w:t>
            </w:r>
          </w:p>
        </w:tc>
      </w:tr>
      <w:tr w:rsidR="0064038E" w:rsidRPr="00D846A2" w14:paraId="68E1A9B3" w14:textId="77777777" w:rsidTr="00A906A4">
        <w:trPr>
          <w:cantSplit/>
        </w:trPr>
        <w:tc>
          <w:tcPr>
            <w:tcW w:w="4743" w:type="dxa"/>
            <w:tcBorders>
              <w:top w:val="single" w:sz="4" w:space="0" w:color="BFBFBF"/>
            </w:tcBorders>
            <w:hideMark/>
          </w:tcPr>
          <w:p w14:paraId="607FF11B" w14:textId="77777777" w:rsidR="0064038E" w:rsidRPr="00D846A2" w:rsidRDefault="0064038E">
            <w:pPr>
              <w:pStyle w:val="ARtabletext"/>
              <w:keepNext/>
            </w:pPr>
            <w:r w:rsidRPr="00D846A2">
              <w:t>Number of parents/carers enrolled in Supported Playgroups</w:t>
            </w:r>
          </w:p>
        </w:tc>
        <w:tc>
          <w:tcPr>
            <w:tcW w:w="1019" w:type="dxa"/>
            <w:tcBorders>
              <w:top w:val="single" w:sz="4" w:space="0" w:color="BFBFBF"/>
            </w:tcBorders>
            <w:hideMark/>
          </w:tcPr>
          <w:p w14:paraId="27518B60" w14:textId="77777777" w:rsidR="0064038E" w:rsidRPr="00D846A2" w:rsidRDefault="0064038E">
            <w:pPr>
              <w:pStyle w:val="ARtabletext"/>
            </w:pPr>
            <w:r w:rsidRPr="00D846A2">
              <w:t>number</w:t>
            </w:r>
          </w:p>
        </w:tc>
        <w:tc>
          <w:tcPr>
            <w:tcW w:w="1021" w:type="dxa"/>
            <w:tcBorders>
              <w:top w:val="single" w:sz="4" w:space="0" w:color="BFBFBF"/>
            </w:tcBorders>
          </w:tcPr>
          <w:p w14:paraId="7E5CB14C" w14:textId="77777777" w:rsidR="0064038E" w:rsidRPr="00D846A2" w:rsidRDefault="0064038E">
            <w:pPr>
              <w:pStyle w:val="ARtabletextright"/>
            </w:pPr>
            <w:r w:rsidRPr="00D846A2">
              <w:t>13,120</w:t>
            </w:r>
          </w:p>
        </w:tc>
        <w:tc>
          <w:tcPr>
            <w:tcW w:w="1022" w:type="dxa"/>
            <w:tcBorders>
              <w:top w:val="single" w:sz="4" w:space="0" w:color="BFBFBF"/>
            </w:tcBorders>
          </w:tcPr>
          <w:p w14:paraId="450A9F21" w14:textId="77777777" w:rsidR="0064038E" w:rsidRPr="00D846A2" w:rsidRDefault="0064038E">
            <w:pPr>
              <w:pStyle w:val="ARtabletextright"/>
            </w:pPr>
            <w:r w:rsidRPr="00D846A2">
              <w:t>13,623</w:t>
            </w:r>
          </w:p>
        </w:tc>
        <w:tc>
          <w:tcPr>
            <w:tcW w:w="1024" w:type="dxa"/>
            <w:tcBorders>
              <w:top w:val="single" w:sz="4" w:space="0" w:color="BFBFBF"/>
            </w:tcBorders>
          </w:tcPr>
          <w:p w14:paraId="43878BD5" w14:textId="77777777" w:rsidR="0064038E" w:rsidRPr="00D846A2" w:rsidRDefault="0064038E">
            <w:pPr>
              <w:pStyle w:val="ARtabletextright"/>
            </w:pPr>
            <w:r w:rsidRPr="00D846A2">
              <w:t>3.8%</w:t>
            </w:r>
          </w:p>
        </w:tc>
        <w:tc>
          <w:tcPr>
            <w:tcW w:w="811" w:type="dxa"/>
            <w:tcBorders>
              <w:top w:val="single" w:sz="4" w:space="0" w:color="BFBFBF"/>
            </w:tcBorders>
          </w:tcPr>
          <w:p w14:paraId="420C31DC" w14:textId="77777777" w:rsidR="0064038E" w:rsidRPr="00D846A2" w:rsidRDefault="0064038E">
            <w:pPr>
              <w:pStyle w:val="ARtableperformancesymbol"/>
              <w:rPr>
                <w:rFonts w:hint="eastAsia"/>
                <w:lang w:val="en-AU"/>
              </w:rPr>
            </w:pPr>
            <w:r w:rsidRPr="00D846A2">
              <w:rPr>
                <w:rFonts w:eastAsia="Wingdings" w:cs="Wingdings"/>
              </w:rPr>
              <w:t></w:t>
            </w:r>
          </w:p>
        </w:tc>
      </w:tr>
      <w:tr w:rsidR="0064038E" w:rsidRPr="00F07EE7" w14:paraId="7FE0FF2C" w14:textId="77777777" w:rsidTr="00A906A4">
        <w:trPr>
          <w:cantSplit/>
        </w:trPr>
        <w:tc>
          <w:tcPr>
            <w:tcW w:w="4743" w:type="dxa"/>
            <w:tcBorders>
              <w:top w:val="single" w:sz="4" w:space="0" w:color="BFBFBF"/>
            </w:tcBorders>
            <w:hideMark/>
          </w:tcPr>
          <w:p w14:paraId="34381DA2" w14:textId="77777777" w:rsidR="0064038E" w:rsidRPr="009972BD" w:rsidRDefault="0064038E">
            <w:pPr>
              <w:pStyle w:val="ARtabletext"/>
            </w:pPr>
            <w:r w:rsidRPr="009972BD">
              <w:t>Reports to Child Protection Services about the wellbeing and safety of children</w:t>
            </w:r>
          </w:p>
        </w:tc>
        <w:tc>
          <w:tcPr>
            <w:tcW w:w="1019" w:type="dxa"/>
            <w:tcBorders>
              <w:top w:val="single" w:sz="4" w:space="0" w:color="BFBFBF"/>
            </w:tcBorders>
            <w:hideMark/>
          </w:tcPr>
          <w:p w14:paraId="67D58F04" w14:textId="77777777" w:rsidR="0064038E" w:rsidRPr="009972BD" w:rsidRDefault="0064038E">
            <w:pPr>
              <w:pStyle w:val="ARtabletext"/>
            </w:pPr>
            <w:r w:rsidRPr="009972BD">
              <w:t>number</w:t>
            </w:r>
          </w:p>
        </w:tc>
        <w:tc>
          <w:tcPr>
            <w:tcW w:w="1021" w:type="dxa"/>
            <w:tcBorders>
              <w:top w:val="single" w:sz="4" w:space="0" w:color="BFBFBF"/>
            </w:tcBorders>
          </w:tcPr>
          <w:p w14:paraId="06DC6B04" w14:textId="77777777" w:rsidR="0064038E" w:rsidRPr="009972BD" w:rsidRDefault="0064038E">
            <w:pPr>
              <w:pStyle w:val="ARtabletextright"/>
            </w:pPr>
            <w:r w:rsidRPr="009972BD">
              <w:t>136,677</w:t>
            </w:r>
          </w:p>
        </w:tc>
        <w:tc>
          <w:tcPr>
            <w:tcW w:w="1022" w:type="dxa"/>
            <w:tcBorders>
              <w:top w:val="single" w:sz="4" w:space="0" w:color="BFBFBF"/>
            </w:tcBorders>
          </w:tcPr>
          <w:p w14:paraId="510234C5" w14:textId="77777777" w:rsidR="0064038E" w:rsidRPr="009972BD" w:rsidRDefault="0064038E">
            <w:pPr>
              <w:pStyle w:val="ARtabletextright"/>
            </w:pPr>
            <w:r w:rsidRPr="009972BD">
              <w:t>151,587</w:t>
            </w:r>
          </w:p>
        </w:tc>
        <w:tc>
          <w:tcPr>
            <w:tcW w:w="1024" w:type="dxa"/>
            <w:tcBorders>
              <w:top w:val="single" w:sz="4" w:space="0" w:color="BFBFBF"/>
            </w:tcBorders>
          </w:tcPr>
          <w:p w14:paraId="5CAF4BDF" w14:textId="77777777" w:rsidR="0064038E" w:rsidRPr="009972BD" w:rsidRDefault="0064038E">
            <w:pPr>
              <w:pStyle w:val="ARtabletextright"/>
            </w:pPr>
            <w:r w:rsidRPr="009972BD">
              <w:t>10.9%</w:t>
            </w:r>
          </w:p>
        </w:tc>
        <w:tc>
          <w:tcPr>
            <w:tcW w:w="811" w:type="dxa"/>
            <w:tcBorders>
              <w:top w:val="single" w:sz="4" w:space="0" w:color="BFBFBF"/>
            </w:tcBorders>
          </w:tcPr>
          <w:p w14:paraId="4BFE8FD7" w14:textId="77777777" w:rsidR="0064038E" w:rsidRPr="009972BD" w:rsidRDefault="0064038E">
            <w:pPr>
              <w:pStyle w:val="ARtableperformancesymbol"/>
              <w:rPr>
                <w:rFonts w:hint="eastAsia"/>
                <w:lang w:val="en-AU"/>
              </w:rPr>
            </w:pPr>
            <w:r w:rsidRPr="009972BD">
              <w:rPr>
                <w:rFonts w:eastAsia="Wingdings" w:cs="Wingdings"/>
              </w:rPr>
              <w:t></w:t>
            </w:r>
          </w:p>
        </w:tc>
      </w:tr>
      <w:tr w:rsidR="0064038E" w:rsidRPr="00F07EE7" w14:paraId="1D883F61" w14:textId="77777777" w:rsidTr="00A906A4">
        <w:trPr>
          <w:cantSplit/>
        </w:trPr>
        <w:tc>
          <w:tcPr>
            <w:tcW w:w="9640" w:type="dxa"/>
            <w:gridSpan w:val="6"/>
            <w:tcBorders>
              <w:bottom w:val="single" w:sz="4" w:space="0" w:color="BFBFBF"/>
            </w:tcBorders>
            <w:noWrap/>
            <w:hideMark/>
          </w:tcPr>
          <w:p w14:paraId="75AA338B" w14:textId="77777777" w:rsidR="0064038E" w:rsidRPr="00F07EE7" w:rsidRDefault="0064038E" w:rsidP="00130336">
            <w:pPr>
              <w:pStyle w:val="ARtablenoteindent"/>
              <w:rPr>
                <w:highlight w:val="cyan"/>
              </w:rPr>
            </w:pPr>
            <w:r w:rsidRPr="009972BD">
              <w:t>The increased 2024</w:t>
            </w:r>
            <w:r>
              <w:t>–</w:t>
            </w:r>
            <w:r w:rsidRPr="009972BD">
              <w:t xml:space="preserve">25 result </w:t>
            </w:r>
            <w:r w:rsidRPr="00130336">
              <w:t>reflects</w:t>
            </w:r>
            <w:r w:rsidRPr="009972BD">
              <w:t xml:space="preserve"> increased demand, not performance.</w:t>
            </w:r>
          </w:p>
        </w:tc>
      </w:tr>
      <w:tr w:rsidR="0064038E" w:rsidRPr="00F07EE7" w14:paraId="616B0EF6" w14:textId="77777777" w:rsidTr="00B979C0">
        <w:trPr>
          <w:cantSplit/>
        </w:trPr>
        <w:tc>
          <w:tcPr>
            <w:tcW w:w="4743" w:type="dxa"/>
            <w:tcBorders>
              <w:top w:val="single" w:sz="4" w:space="0" w:color="BFBFBF"/>
            </w:tcBorders>
            <w:hideMark/>
          </w:tcPr>
          <w:p w14:paraId="0EF424AA" w14:textId="2587DE6F" w:rsidR="0064038E" w:rsidRPr="000071DE" w:rsidRDefault="0064038E">
            <w:pPr>
              <w:pStyle w:val="ARtabletext"/>
            </w:pPr>
            <w:r w:rsidRPr="000071DE">
              <w:t xml:space="preserve">Total family services cases </w:t>
            </w:r>
            <w:r w:rsidR="00772B58">
              <w:t>commencing</w:t>
            </w:r>
          </w:p>
        </w:tc>
        <w:tc>
          <w:tcPr>
            <w:tcW w:w="1019" w:type="dxa"/>
            <w:tcBorders>
              <w:top w:val="single" w:sz="4" w:space="0" w:color="BFBFBF"/>
            </w:tcBorders>
            <w:hideMark/>
          </w:tcPr>
          <w:p w14:paraId="472F389E" w14:textId="77777777" w:rsidR="0064038E" w:rsidRPr="000071DE" w:rsidRDefault="0064038E">
            <w:pPr>
              <w:pStyle w:val="ARtabletext"/>
            </w:pPr>
            <w:r w:rsidRPr="000071DE">
              <w:t>number</w:t>
            </w:r>
          </w:p>
        </w:tc>
        <w:tc>
          <w:tcPr>
            <w:tcW w:w="1021" w:type="dxa"/>
            <w:tcBorders>
              <w:top w:val="single" w:sz="4" w:space="0" w:color="BFBFBF"/>
            </w:tcBorders>
          </w:tcPr>
          <w:p w14:paraId="799BDB57" w14:textId="77777777" w:rsidR="0064038E" w:rsidRPr="000071DE" w:rsidRDefault="0064038E">
            <w:pPr>
              <w:pStyle w:val="ARtabletextright"/>
            </w:pPr>
            <w:r w:rsidRPr="000071DE">
              <w:t>16,165</w:t>
            </w:r>
          </w:p>
        </w:tc>
        <w:tc>
          <w:tcPr>
            <w:tcW w:w="1022" w:type="dxa"/>
            <w:tcBorders>
              <w:top w:val="single" w:sz="4" w:space="0" w:color="BFBFBF"/>
            </w:tcBorders>
          </w:tcPr>
          <w:p w14:paraId="6B3A7F8E" w14:textId="77777777" w:rsidR="0064038E" w:rsidRPr="000071DE" w:rsidRDefault="0064038E">
            <w:pPr>
              <w:pStyle w:val="ARtabletextright"/>
            </w:pPr>
            <w:r w:rsidRPr="000071DE">
              <w:t>19,854</w:t>
            </w:r>
          </w:p>
        </w:tc>
        <w:tc>
          <w:tcPr>
            <w:tcW w:w="1024" w:type="dxa"/>
            <w:tcBorders>
              <w:top w:val="single" w:sz="4" w:space="0" w:color="BFBFBF"/>
            </w:tcBorders>
          </w:tcPr>
          <w:p w14:paraId="3E3C5A9B" w14:textId="77777777" w:rsidR="0064038E" w:rsidRPr="000071DE" w:rsidRDefault="0064038E">
            <w:pPr>
              <w:pStyle w:val="ARtabletextright"/>
            </w:pPr>
            <w:r w:rsidRPr="000071DE">
              <w:t>22.8%</w:t>
            </w:r>
          </w:p>
        </w:tc>
        <w:tc>
          <w:tcPr>
            <w:tcW w:w="811" w:type="dxa"/>
            <w:tcBorders>
              <w:top w:val="single" w:sz="4" w:space="0" w:color="BFBFBF"/>
            </w:tcBorders>
          </w:tcPr>
          <w:p w14:paraId="2C6CB511" w14:textId="77777777" w:rsidR="0064038E" w:rsidRPr="000071DE" w:rsidRDefault="0064038E">
            <w:pPr>
              <w:pStyle w:val="ARtableperformancesymbol"/>
              <w:rPr>
                <w:rFonts w:hint="eastAsia"/>
              </w:rPr>
            </w:pPr>
            <w:r w:rsidRPr="000071DE">
              <w:rPr>
                <w:rFonts w:eastAsia="Wingdings" w:cs="Wingdings"/>
              </w:rPr>
              <w:t></w:t>
            </w:r>
          </w:p>
        </w:tc>
      </w:tr>
      <w:tr w:rsidR="0064038E" w:rsidRPr="00F07EE7" w14:paraId="58755C1C" w14:textId="77777777" w:rsidTr="00B979C0">
        <w:trPr>
          <w:cantSplit/>
        </w:trPr>
        <w:tc>
          <w:tcPr>
            <w:tcW w:w="9640" w:type="dxa"/>
            <w:gridSpan w:val="6"/>
            <w:tcBorders>
              <w:bottom w:val="single" w:sz="4" w:space="0" w:color="BFBFBF" w:themeColor="background1" w:themeShade="BF"/>
            </w:tcBorders>
          </w:tcPr>
          <w:p w14:paraId="6329DFA3" w14:textId="3C2F292A" w:rsidR="0064038E" w:rsidRPr="00F07EE7" w:rsidRDefault="0064038E">
            <w:pPr>
              <w:pStyle w:val="ARtablenoteindent"/>
              <w:rPr>
                <w:highlight w:val="cyan"/>
              </w:rPr>
            </w:pPr>
            <w:r w:rsidRPr="009A0A59">
              <w:t>The 2024</w:t>
            </w:r>
            <w:r>
              <w:t>–</w:t>
            </w:r>
            <w:r w:rsidRPr="009A0A59">
              <w:t>25 outcome is higher than the 2024</w:t>
            </w:r>
            <w:r>
              <w:t>–</w:t>
            </w:r>
            <w:r w:rsidRPr="009A0A59">
              <w:t>25 target due to increased numbers of families receiving Early Help Family Services</w:t>
            </w:r>
            <w:r w:rsidR="001408E5">
              <w:t xml:space="preserve">. </w:t>
            </w:r>
            <w:r w:rsidR="00CC04F1">
              <w:t>This data is lagged three months to ensure accuracy, due to delays in agency data submission.</w:t>
            </w:r>
          </w:p>
        </w:tc>
      </w:tr>
      <w:tr w:rsidR="00265138" w:rsidRPr="00F07EE7" w14:paraId="4F1E0350" w14:textId="77777777" w:rsidTr="00B979C0">
        <w:trPr>
          <w:cantSplit/>
        </w:trPr>
        <w:tc>
          <w:tcPr>
            <w:tcW w:w="4743" w:type="dxa"/>
            <w:tcBorders>
              <w:top w:val="single" w:sz="4" w:space="0" w:color="BFBFBF" w:themeColor="background1" w:themeShade="BF"/>
            </w:tcBorders>
            <w:hideMark/>
          </w:tcPr>
          <w:p w14:paraId="3F5D3EEA" w14:textId="77777777" w:rsidR="00265138" w:rsidRPr="00136DB0" w:rsidRDefault="00265138">
            <w:pPr>
              <w:pStyle w:val="ARtabletext"/>
              <w:keepNext/>
            </w:pPr>
            <w:r w:rsidRPr="00136DB0">
              <w:t>Total family services cases commencing for Aboriginal</w:t>
            </w:r>
            <w:r>
              <w:t> </w:t>
            </w:r>
            <w:r w:rsidRPr="00136DB0">
              <w:t>families</w:t>
            </w:r>
          </w:p>
        </w:tc>
        <w:tc>
          <w:tcPr>
            <w:tcW w:w="1019" w:type="dxa"/>
            <w:tcBorders>
              <w:top w:val="single" w:sz="4" w:space="0" w:color="BFBFBF" w:themeColor="background1" w:themeShade="BF"/>
            </w:tcBorders>
            <w:hideMark/>
          </w:tcPr>
          <w:p w14:paraId="774364DB" w14:textId="77777777" w:rsidR="00265138" w:rsidRPr="00136DB0" w:rsidRDefault="00265138">
            <w:pPr>
              <w:pStyle w:val="ARtabletext"/>
            </w:pPr>
            <w:r w:rsidRPr="00136DB0">
              <w:t>number</w:t>
            </w:r>
          </w:p>
        </w:tc>
        <w:tc>
          <w:tcPr>
            <w:tcW w:w="1021" w:type="dxa"/>
            <w:tcBorders>
              <w:top w:val="single" w:sz="4" w:space="0" w:color="BFBFBF" w:themeColor="background1" w:themeShade="BF"/>
            </w:tcBorders>
          </w:tcPr>
          <w:p w14:paraId="6F811B32" w14:textId="77777777" w:rsidR="00265138" w:rsidRPr="00136DB0" w:rsidRDefault="00265138">
            <w:pPr>
              <w:pStyle w:val="ARtabletextright"/>
            </w:pPr>
            <w:r w:rsidRPr="00136DB0">
              <w:t>2,395</w:t>
            </w:r>
          </w:p>
        </w:tc>
        <w:tc>
          <w:tcPr>
            <w:tcW w:w="1022" w:type="dxa"/>
            <w:tcBorders>
              <w:top w:val="single" w:sz="4" w:space="0" w:color="BFBFBF" w:themeColor="background1" w:themeShade="BF"/>
            </w:tcBorders>
          </w:tcPr>
          <w:p w14:paraId="46FD2DE5" w14:textId="77777777" w:rsidR="00265138" w:rsidRPr="00136DB0" w:rsidRDefault="00265138">
            <w:pPr>
              <w:pStyle w:val="ARtabletextright"/>
            </w:pPr>
            <w:r w:rsidRPr="00136DB0">
              <w:t>2,886</w:t>
            </w:r>
          </w:p>
        </w:tc>
        <w:tc>
          <w:tcPr>
            <w:tcW w:w="1024" w:type="dxa"/>
            <w:tcBorders>
              <w:top w:val="single" w:sz="4" w:space="0" w:color="BFBFBF" w:themeColor="background1" w:themeShade="BF"/>
            </w:tcBorders>
          </w:tcPr>
          <w:p w14:paraId="79D69735" w14:textId="77777777" w:rsidR="00265138" w:rsidRPr="00136DB0" w:rsidRDefault="00265138">
            <w:pPr>
              <w:pStyle w:val="ARtabletextright"/>
            </w:pPr>
            <w:r w:rsidRPr="00136DB0">
              <w:t>20.5%</w:t>
            </w:r>
          </w:p>
        </w:tc>
        <w:tc>
          <w:tcPr>
            <w:tcW w:w="811" w:type="dxa"/>
            <w:tcBorders>
              <w:top w:val="single" w:sz="4" w:space="0" w:color="BFBFBF" w:themeColor="background1" w:themeShade="BF"/>
            </w:tcBorders>
          </w:tcPr>
          <w:p w14:paraId="3873D779" w14:textId="77777777" w:rsidR="00265138" w:rsidRPr="00136DB0" w:rsidRDefault="00265138">
            <w:pPr>
              <w:pStyle w:val="ARtableperformancesymbol"/>
              <w:rPr>
                <w:rFonts w:hint="eastAsia"/>
                <w:lang w:val="en-AU"/>
              </w:rPr>
            </w:pPr>
            <w:r w:rsidRPr="00136DB0">
              <w:rPr>
                <w:rFonts w:eastAsia="Wingdings" w:cs="Wingdings"/>
              </w:rPr>
              <w:t></w:t>
            </w:r>
          </w:p>
        </w:tc>
      </w:tr>
      <w:tr w:rsidR="00265138" w:rsidRPr="00F07EE7" w14:paraId="29F9837A" w14:textId="77777777" w:rsidTr="00265138">
        <w:trPr>
          <w:cantSplit/>
        </w:trPr>
        <w:tc>
          <w:tcPr>
            <w:tcW w:w="9640" w:type="dxa"/>
            <w:gridSpan w:val="6"/>
            <w:tcBorders>
              <w:bottom w:val="single" w:sz="4" w:space="0" w:color="BFBFBF"/>
            </w:tcBorders>
          </w:tcPr>
          <w:p w14:paraId="4D720368" w14:textId="77777777" w:rsidR="00265138" w:rsidRPr="00F07EE7" w:rsidRDefault="00265138">
            <w:pPr>
              <w:pStyle w:val="ARtablenoteindent"/>
              <w:rPr>
                <w:rFonts w:eastAsia="Wingdings"/>
                <w:highlight w:val="cyan"/>
              </w:rPr>
            </w:pPr>
            <w:r w:rsidRPr="00A04AC0">
              <w:t>The 2024</w:t>
            </w:r>
            <w:r>
              <w:t>–</w:t>
            </w:r>
            <w:r w:rsidRPr="00A04AC0">
              <w:t>25 outcome is higher than the 2024</w:t>
            </w:r>
            <w:r>
              <w:t>–</w:t>
            </w:r>
            <w:r w:rsidRPr="00A04AC0">
              <w:t xml:space="preserve">25 target due to increased numbers of Aboriginal families receiving family services, including </w:t>
            </w:r>
            <w:r w:rsidRPr="00130336">
              <w:t>Early</w:t>
            </w:r>
            <w:r w:rsidRPr="00A04AC0">
              <w:t xml:space="preserve"> Help Family Services.</w:t>
            </w:r>
            <w:r>
              <w:t xml:space="preserve"> This data is lagged three months to ensure accuracy, due to delays in agency data submission.</w:t>
            </w:r>
          </w:p>
        </w:tc>
      </w:tr>
      <w:tr w:rsidR="00B76B95" w:rsidRPr="00F07EE7" w14:paraId="3853B784" w14:textId="77777777" w:rsidTr="00A906A4">
        <w:trPr>
          <w:cantSplit/>
        </w:trPr>
        <w:tc>
          <w:tcPr>
            <w:tcW w:w="9640" w:type="dxa"/>
            <w:gridSpan w:val="6"/>
            <w:tcBorders>
              <w:top w:val="single" w:sz="4" w:space="0" w:color="auto"/>
              <w:left w:val="nil"/>
              <w:bottom w:val="single" w:sz="4" w:space="0" w:color="A6A6A6" w:themeColor="accent5"/>
              <w:right w:val="nil"/>
            </w:tcBorders>
            <w:hideMark/>
          </w:tcPr>
          <w:p w14:paraId="295B8D98" w14:textId="77777777" w:rsidR="0064038E" w:rsidRPr="00A233CB" w:rsidRDefault="0064038E">
            <w:pPr>
              <w:pStyle w:val="ARtablegreybold"/>
            </w:pPr>
            <w:r w:rsidRPr="00A233CB">
              <w:t>Quality</w:t>
            </w:r>
          </w:p>
        </w:tc>
      </w:tr>
      <w:tr w:rsidR="0064038E" w:rsidRPr="00F07EE7" w14:paraId="78EE1FDD" w14:textId="77777777" w:rsidTr="00A906A4">
        <w:trPr>
          <w:cantSplit/>
        </w:trPr>
        <w:tc>
          <w:tcPr>
            <w:tcW w:w="4743" w:type="dxa"/>
            <w:tcBorders>
              <w:top w:val="single" w:sz="4" w:space="0" w:color="A6A6A6" w:themeColor="accent5"/>
              <w:bottom w:val="single" w:sz="4" w:space="0" w:color="BFBFBF"/>
            </w:tcBorders>
            <w:hideMark/>
          </w:tcPr>
          <w:p w14:paraId="7EB41EBD" w14:textId="729589D4" w:rsidR="0064038E" w:rsidRPr="00A233CB" w:rsidRDefault="0064038E">
            <w:pPr>
              <w:pStyle w:val="ARtabletext"/>
            </w:pPr>
            <w:r w:rsidRPr="00A233CB">
              <w:t xml:space="preserve">Children and young people in care who have had </w:t>
            </w:r>
            <w:r w:rsidR="00617FA9">
              <w:t>two</w:t>
            </w:r>
            <w:r w:rsidR="00617FA9" w:rsidRPr="00A233CB">
              <w:t xml:space="preserve"> </w:t>
            </w:r>
            <w:r w:rsidRPr="00A233CB">
              <w:t xml:space="preserve">or </w:t>
            </w:r>
            <w:r w:rsidR="00617FA9">
              <w:t>less</w:t>
            </w:r>
            <w:r w:rsidR="00617FA9" w:rsidRPr="00A233CB">
              <w:t xml:space="preserve"> </w:t>
            </w:r>
            <w:r w:rsidRPr="00A233CB">
              <w:t>placements in the past 12 months (not including time at home in parental care)</w:t>
            </w:r>
          </w:p>
        </w:tc>
        <w:tc>
          <w:tcPr>
            <w:tcW w:w="1019" w:type="dxa"/>
            <w:tcBorders>
              <w:top w:val="single" w:sz="4" w:space="0" w:color="A6A6A6" w:themeColor="accent5"/>
              <w:bottom w:val="single" w:sz="4" w:space="0" w:color="BFBFBF"/>
            </w:tcBorders>
            <w:hideMark/>
          </w:tcPr>
          <w:p w14:paraId="5F0C260E" w14:textId="77777777" w:rsidR="0064038E" w:rsidRPr="00A233CB" w:rsidRDefault="0064038E">
            <w:pPr>
              <w:pStyle w:val="ARtabletext"/>
            </w:pPr>
            <w:r w:rsidRPr="00A233CB">
              <w:t>per cent</w:t>
            </w:r>
          </w:p>
        </w:tc>
        <w:tc>
          <w:tcPr>
            <w:tcW w:w="1021" w:type="dxa"/>
            <w:tcBorders>
              <w:top w:val="single" w:sz="4" w:space="0" w:color="A6A6A6" w:themeColor="accent5"/>
              <w:bottom w:val="single" w:sz="4" w:space="0" w:color="BFBFBF"/>
            </w:tcBorders>
          </w:tcPr>
          <w:p w14:paraId="701CC86A" w14:textId="77777777" w:rsidR="0064038E" w:rsidRPr="00A233CB" w:rsidRDefault="0064038E">
            <w:pPr>
              <w:pStyle w:val="ARtabletextright"/>
            </w:pPr>
            <w:r w:rsidRPr="00A233CB">
              <w:t>90.0</w:t>
            </w:r>
          </w:p>
        </w:tc>
        <w:tc>
          <w:tcPr>
            <w:tcW w:w="1022" w:type="dxa"/>
            <w:tcBorders>
              <w:top w:val="single" w:sz="4" w:space="0" w:color="A6A6A6" w:themeColor="accent5"/>
              <w:bottom w:val="single" w:sz="4" w:space="0" w:color="BFBFBF"/>
            </w:tcBorders>
          </w:tcPr>
          <w:p w14:paraId="1B4188D7" w14:textId="77777777" w:rsidR="0064038E" w:rsidRPr="00A233CB" w:rsidRDefault="0064038E">
            <w:pPr>
              <w:pStyle w:val="ARtabletextright"/>
            </w:pPr>
            <w:r w:rsidRPr="00A233CB">
              <w:t>94.0</w:t>
            </w:r>
          </w:p>
        </w:tc>
        <w:tc>
          <w:tcPr>
            <w:tcW w:w="1024" w:type="dxa"/>
            <w:tcBorders>
              <w:top w:val="single" w:sz="4" w:space="0" w:color="A6A6A6" w:themeColor="accent5"/>
              <w:bottom w:val="single" w:sz="4" w:space="0" w:color="BFBFBF"/>
            </w:tcBorders>
          </w:tcPr>
          <w:p w14:paraId="3C2B5D2C" w14:textId="77777777" w:rsidR="0064038E" w:rsidRPr="00A233CB" w:rsidRDefault="0064038E">
            <w:pPr>
              <w:pStyle w:val="ARtabletextright"/>
            </w:pPr>
            <w:r w:rsidRPr="00A233CB">
              <w:t>4.4%</w:t>
            </w:r>
          </w:p>
        </w:tc>
        <w:tc>
          <w:tcPr>
            <w:tcW w:w="811" w:type="dxa"/>
            <w:tcBorders>
              <w:top w:val="single" w:sz="4" w:space="0" w:color="A6A6A6" w:themeColor="accent5"/>
              <w:bottom w:val="single" w:sz="4" w:space="0" w:color="BFBFBF"/>
            </w:tcBorders>
          </w:tcPr>
          <w:p w14:paraId="66A23C3F" w14:textId="77777777" w:rsidR="0064038E" w:rsidRPr="00A233CB" w:rsidRDefault="0064038E">
            <w:pPr>
              <w:pStyle w:val="ARtableperformancesymbol"/>
              <w:rPr>
                <w:rFonts w:hint="eastAsia"/>
                <w:lang w:val="en-AU"/>
              </w:rPr>
            </w:pPr>
            <w:r w:rsidRPr="00A233CB">
              <w:rPr>
                <w:rFonts w:eastAsia="Wingdings" w:cs="Wingdings"/>
              </w:rPr>
              <w:t></w:t>
            </w:r>
          </w:p>
        </w:tc>
      </w:tr>
      <w:tr w:rsidR="0064038E" w:rsidRPr="00F07EE7" w14:paraId="2AF3D949" w14:textId="77777777" w:rsidTr="00A906A4">
        <w:trPr>
          <w:cantSplit/>
        </w:trPr>
        <w:tc>
          <w:tcPr>
            <w:tcW w:w="4743" w:type="dxa"/>
            <w:tcBorders>
              <w:top w:val="single" w:sz="4" w:space="0" w:color="BFBFBF"/>
            </w:tcBorders>
          </w:tcPr>
          <w:p w14:paraId="62495F76" w14:textId="77777777" w:rsidR="0064038E" w:rsidRPr="00AF763C" w:rsidRDefault="0064038E">
            <w:pPr>
              <w:pStyle w:val="ARtabletext"/>
            </w:pPr>
            <w:r w:rsidRPr="00AF763C">
              <w:t>Children and young people who were the subject of a substantiated report within 12 months of the closure of a previous substantiated report</w:t>
            </w:r>
          </w:p>
        </w:tc>
        <w:tc>
          <w:tcPr>
            <w:tcW w:w="1019" w:type="dxa"/>
            <w:tcBorders>
              <w:top w:val="single" w:sz="4" w:space="0" w:color="BFBFBF"/>
            </w:tcBorders>
          </w:tcPr>
          <w:p w14:paraId="33E02D93" w14:textId="77777777" w:rsidR="0064038E" w:rsidRPr="00AF763C" w:rsidRDefault="0064038E">
            <w:pPr>
              <w:pStyle w:val="ARtabletext"/>
            </w:pPr>
            <w:r w:rsidRPr="00AF763C">
              <w:t>per cent</w:t>
            </w:r>
          </w:p>
        </w:tc>
        <w:tc>
          <w:tcPr>
            <w:tcW w:w="1021" w:type="dxa"/>
            <w:tcBorders>
              <w:top w:val="single" w:sz="4" w:space="0" w:color="BFBFBF"/>
            </w:tcBorders>
          </w:tcPr>
          <w:p w14:paraId="3A4135F9" w14:textId="77777777" w:rsidR="0064038E" w:rsidRPr="00AF763C" w:rsidRDefault="0064038E">
            <w:pPr>
              <w:pStyle w:val="ARtabletextright"/>
            </w:pPr>
            <w:r w:rsidRPr="00AF763C">
              <w:t>17.5</w:t>
            </w:r>
          </w:p>
        </w:tc>
        <w:tc>
          <w:tcPr>
            <w:tcW w:w="1022" w:type="dxa"/>
            <w:tcBorders>
              <w:top w:val="single" w:sz="4" w:space="0" w:color="BFBFBF"/>
            </w:tcBorders>
          </w:tcPr>
          <w:p w14:paraId="72C05590" w14:textId="6C9359C3" w:rsidR="0064038E" w:rsidRPr="00A906A4" w:rsidRDefault="00EE4506">
            <w:pPr>
              <w:pStyle w:val="ARtabletextright"/>
            </w:pPr>
            <w:r w:rsidRPr="00A906A4">
              <w:t>19.7</w:t>
            </w:r>
          </w:p>
        </w:tc>
        <w:tc>
          <w:tcPr>
            <w:tcW w:w="1024" w:type="dxa"/>
            <w:tcBorders>
              <w:top w:val="single" w:sz="4" w:space="0" w:color="BFBFBF"/>
            </w:tcBorders>
          </w:tcPr>
          <w:p w14:paraId="579F79C9" w14:textId="6DD57A08" w:rsidR="0064038E" w:rsidRPr="00A906A4" w:rsidRDefault="00EE4506">
            <w:pPr>
              <w:pStyle w:val="ARtabletextright"/>
            </w:pPr>
            <w:r w:rsidRPr="00A906A4">
              <w:t>12.</w:t>
            </w:r>
            <w:r w:rsidR="009F6AC4" w:rsidRPr="00A906A4">
              <w:t>6</w:t>
            </w:r>
            <w:r w:rsidR="0064038E" w:rsidRPr="00A906A4">
              <w:t>%</w:t>
            </w:r>
          </w:p>
        </w:tc>
        <w:tc>
          <w:tcPr>
            <w:tcW w:w="811" w:type="dxa"/>
            <w:tcBorders>
              <w:top w:val="single" w:sz="4" w:space="0" w:color="BFBFBF"/>
            </w:tcBorders>
          </w:tcPr>
          <w:p w14:paraId="1C0FF342" w14:textId="77777777" w:rsidR="0064038E" w:rsidRPr="00AF763C" w:rsidRDefault="0064038E">
            <w:pPr>
              <w:pStyle w:val="ARtableperformancesymbol"/>
              <w:rPr>
                <w:rFonts w:hint="eastAsia"/>
                <w:lang w:val="en-AU"/>
              </w:rPr>
            </w:pPr>
            <w:r w:rsidRPr="00AF763C">
              <w:t></w:t>
            </w:r>
          </w:p>
        </w:tc>
      </w:tr>
      <w:tr w:rsidR="0064038E" w:rsidRPr="00F07EE7" w14:paraId="1E1B4F80" w14:textId="77777777" w:rsidTr="00A906A4">
        <w:trPr>
          <w:cantSplit/>
        </w:trPr>
        <w:tc>
          <w:tcPr>
            <w:tcW w:w="9640" w:type="dxa"/>
            <w:gridSpan w:val="6"/>
            <w:tcBorders>
              <w:bottom w:val="single" w:sz="4" w:space="0" w:color="BFBFBF"/>
            </w:tcBorders>
            <w:noWrap/>
          </w:tcPr>
          <w:p w14:paraId="67E382BC" w14:textId="526A6D74" w:rsidR="0064038E" w:rsidRPr="00F07EE7" w:rsidRDefault="0064038E" w:rsidP="00130336">
            <w:pPr>
              <w:pStyle w:val="ARtablenoteindent"/>
              <w:rPr>
                <w:highlight w:val="cyan"/>
              </w:rPr>
            </w:pPr>
            <w:r w:rsidRPr="00AF763C">
              <w:t>The 2024</w:t>
            </w:r>
            <w:r w:rsidR="005C1105">
              <w:t>–</w:t>
            </w:r>
            <w:r w:rsidRPr="00AF763C">
              <w:t>25 outcome is higher than the 2024</w:t>
            </w:r>
            <w:r w:rsidR="005C1105">
              <w:t>–</w:t>
            </w:r>
            <w:r w:rsidRPr="00AF763C">
              <w:t>25 target potentially reflecting changes in a child's circumstances, capacity for families to sustain voluntary engagement, and/or availability of support services. Substantiation decisions are made on the best available evidence at the time.</w:t>
            </w:r>
          </w:p>
        </w:tc>
      </w:tr>
      <w:tr w:rsidR="0064038E" w:rsidRPr="00F07EE7" w14:paraId="065106B8" w14:textId="77777777" w:rsidTr="00A906A4">
        <w:trPr>
          <w:cantSplit/>
        </w:trPr>
        <w:tc>
          <w:tcPr>
            <w:tcW w:w="4743" w:type="dxa"/>
            <w:tcBorders>
              <w:top w:val="single" w:sz="4" w:space="0" w:color="BFBFBF"/>
            </w:tcBorders>
          </w:tcPr>
          <w:p w14:paraId="18C595E1" w14:textId="77777777" w:rsidR="0064038E" w:rsidRPr="00AF763C" w:rsidRDefault="0064038E">
            <w:pPr>
              <w:pStyle w:val="ARtabletext"/>
            </w:pPr>
            <w:r w:rsidRPr="00AF763C">
              <w:t>Children and young people who were the subject of an investigation which led to a decision not to substantiate, who were subsequently the subject of a substantiation within 3 months of case closure</w:t>
            </w:r>
          </w:p>
        </w:tc>
        <w:tc>
          <w:tcPr>
            <w:tcW w:w="1019" w:type="dxa"/>
            <w:tcBorders>
              <w:top w:val="single" w:sz="4" w:space="0" w:color="BFBFBF"/>
            </w:tcBorders>
          </w:tcPr>
          <w:p w14:paraId="6F138AF0" w14:textId="77777777" w:rsidR="0064038E" w:rsidRPr="00AF763C" w:rsidRDefault="0064038E">
            <w:pPr>
              <w:pStyle w:val="ARtabletext"/>
            </w:pPr>
            <w:r w:rsidRPr="00AF763C">
              <w:t>per cent</w:t>
            </w:r>
          </w:p>
        </w:tc>
        <w:tc>
          <w:tcPr>
            <w:tcW w:w="1021" w:type="dxa"/>
            <w:tcBorders>
              <w:top w:val="single" w:sz="4" w:space="0" w:color="BFBFBF"/>
            </w:tcBorders>
          </w:tcPr>
          <w:p w14:paraId="5BC60DD9" w14:textId="77777777" w:rsidR="0064038E" w:rsidRPr="00AF763C" w:rsidRDefault="0064038E">
            <w:pPr>
              <w:pStyle w:val="ARtabletextright"/>
            </w:pPr>
            <w:r w:rsidRPr="00AF763C">
              <w:t>3.0</w:t>
            </w:r>
          </w:p>
        </w:tc>
        <w:tc>
          <w:tcPr>
            <w:tcW w:w="1022" w:type="dxa"/>
            <w:tcBorders>
              <w:top w:val="single" w:sz="4" w:space="0" w:color="BFBFBF"/>
            </w:tcBorders>
          </w:tcPr>
          <w:p w14:paraId="580E36FD" w14:textId="65EAF267" w:rsidR="0064038E" w:rsidRPr="00AF763C" w:rsidRDefault="00A1449B">
            <w:pPr>
              <w:pStyle w:val="ARtabletextright"/>
            </w:pPr>
            <w:r>
              <w:t>4</w:t>
            </w:r>
            <w:r w:rsidR="0064038E" w:rsidRPr="00AF763C">
              <w:t>.</w:t>
            </w:r>
            <w:r>
              <w:t>8</w:t>
            </w:r>
          </w:p>
        </w:tc>
        <w:tc>
          <w:tcPr>
            <w:tcW w:w="1024" w:type="dxa"/>
            <w:tcBorders>
              <w:top w:val="single" w:sz="4" w:space="0" w:color="BFBFBF"/>
            </w:tcBorders>
          </w:tcPr>
          <w:p w14:paraId="34607D19" w14:textId="3323B0CF" w:rsidR="0064038E" w:rsidRPr="00AF763C" w:rsidRDefault="0064038E">
            <w:pPr>
              <w:pStyle w:val="ARtabletextright"/>
            </w:pPr>
            <w:r w:rsidRPr="00AF763C">
              <w:t>6</w:t>
            </w:r>
            <w:r w:rsidR="00A1449B">
              <w:t>0</w:t>
            </w:r>
            <w:r w:rsidRPr="00AF763C">
              <w:t>.</w:t>
            </w:r>
            <w:r w:rsidR="00A1449B">
              <w:t>0</w:t>
            </w:r>
            <w:r w:rsidRPr="00AF763C">
              <w:t>%</w:t>
            </w:r>
          </w:p>
        </w:tc>
        <w:tc>
          <w:tcPr>
            <w:tcW w:w="811" w:type="dxa"/>
            <w:tcBorders>
              <w:top w:val="single" w:sz="4" w:space="0" w:color="BFBFBF"/>
            </w:tcBorders>
          </w:tcPr>
          <w:p w14:paraId="74AC0537" w14:textId="77777777" w:rsidR="0064038E" w:rsidRPr="00AF763C" w:rsidRDefault="0064038E">
            <w:pPr>
              <w:pStyle w:val="ARtableperformancesymbol"/>
              <w:rPr>
                <w:rFonts w:hint="eastAsia"/>
                <w:lang w:val="en-AU"/>
              </w:rPr>
            </w:pPr>
            <w:r w:rsidRPr="00AF763C">
              <w:t></w:t>
            </w:r>
          </w:p>
        </w:tc>
      </w:tr>
      <w:tr w:rsidR="0064038E" w:rsidRPr="00F07EE7" w14:paraId="35B12DE0" w14:textId="77777777" w:rsidTr="00A906A4">
        <w:trPr>
          <w:cantSplit/>
        </w:trPr>
        <w:tc>
          <w:tcPr>
            <w:tcW w:w="9640" w:type="dxa"/>
            <w:gridSpan w:val="6"/>
            <w:tcBorders>
              <w:bottom w:val="single" w:sz="4" w:space="0" w:color="BFBFBF"/>
            </w:tcBorders>
          </w:tcPr>
          <w:p w14:paraId="6D7B7E82" w14:textId="276242F8" w:rsidR="0064038E" w:rsidRPr="00F07EE7" w:rsidRDefault="0064038E" w:rsidP="00130336">
            <w:pPr>
              <w:pStyle w:val="ARtablenoteindent"/>
              <w:rPr>
                <w:highlight w:val="cyan"/>
              </w:rPr>
            </w:pPr>
            <w:r w:rsidRPr="00941EA7">
              <w:t>The 2024</w:t>
            </w:r>
            <w:r w:rsidR="005C1105">
              <w:t>–</w:t>
            </w:r>
            <w:r w:rsidRPr="00941EA7">
              <w:t>25 outcome is higher than the 2024</w:t>
            </w:r>
            <w:r w:rsidR="005C1105">
              <w:t>–</w:t>
            </w:r>
            <w:r w:rsidRPr="00941EA7">
              <w:t>25 target potentially reflecting changes in a child</w:t>
            </w:r>
            <w:r w:rsidR="00780EAC">
              <w:t>’</w:t>
            </w:r>
            <w:r w:rsidRPr="00941EA7">
              <w:t xml:space="preserve">s circumstances, capacity for families to sustain voluntary </w:t>
            </w:r>
            <w:r w:rsidRPr="00130336">
              <w:t>engagement</w:t>
            </w:r>
            <w:r w:rsidRPr="00941EA7">
              <w:t>, and/or availability of support services. Substantiation decisions are made on the best available evidence at the time.</w:t>
            </w:r>
          </w:p>
        </w:tc>
      </w:tr>
      <w:tr w:rsidR="0064038E" w:rsidRPr="00F07EE7" w14:paraId="38D9B0CF" w14:textId="77777777" w:rsidTr="00A906A4">
        <w:trPr>
          <w:cantSplit/>
        </w:trPr>
        <w:tc>
          <w:tcPr>
            <w:tcW w:w="4743" w:type="dxa"/>
            <w:tcBorders>
              <w:top w:val="single" w:sz="4" w:space="0" w:color="BFBFBF"/>
            </w:tcBorders>
          </w:tcPr>
          <w:p w14:paraId="6939AC89" w14:textId="77777777" w:rsidR="0064038E" w:rsidRPr="004D3D22" w:rsidRDefault="0064038E">
            <w:pPr>
              <w:pStyle w:val="ARtabletext"/>
            </w:pPr>
            <w:r w:rsidRPr="004D3D22">
              <w:lastRenderedPageBreak/>
              <w:t>Proportion of Aboriginal children placed with relatives/kin, other Aboriginal carers or in Aboriginal residential care</w:t>
            </w:r>
          </w:p>
        </w:tc>
        <w:tc>
          <w:tcPr>
            <w:tcW w:w="1019" w:type="dxa"/>
            <w:tcBorders>
              <w:top w:val="single" w:sz="4" w:space="0" w:color="BFBFBF"/>
            </w:tcBorders>
          </w:tcPr>
          <w:p w14:paraId="649CEC84" w14:textId="77777777" w:rsidR="0064038E" w:rsidRPr="004D3D22" w:rsidRDefault="0064038E">
            <w:pPr>
              <w:pStyle w:val="ARtabletext"/>
            </w:pPr>
            <w:r w:rsidRPr="004D3D22">
              <w:t>per cent</w:t>
            </w:r>
          </w:p>
        </w:tc>
        <w:tc>
          <w:tcPr>
            <w:tcW w:w="1021" w:type="dxa"/>
            <w:tcBorders>
              <w:top w:val="single" w:sz="4" w:space="0" w:color="BFBFBF"/>
            </w:tcBorders>
          </w:tcPr>
          <w:p w14:paraId="732A819B" w14:textId="77777777" w:rsidR="0064038E" w:rsidRPr="004D3D22" w:rsidRDefault="0064038E">
            <w:pPr>
              <w:pStyle w:val="ARtabletextright"/>
            </w:pPr>
            <w:r w:rsidRPr="004D3D22">
              <w:t>77.0</w:t>
            </w:r>
          </w:p>
        </w:tc>
        <w:tc>
          <w:tcPr>
            <w:tcW w:w="1022" w:type="dxa"/>
            <w:tcBorders>
              <w:top w:val="single" w:sz="4" w:space="0" w:color="BFBFBF"/>
            </w:tcBorders>
          </w:tcPr>
          <w:p w14:paraId="40BB089A" w14:textId="77777777" w:rsidR="0064038E" w:rsidRPr="004D3D22" w:rsidRDefault="0064038E">
            <w:pPr>
              <w:pStyle w:val="ARtabletextright"/>
            </w:pPr>
            <w:r w:rsidRPr="004D3D22">
              <w:t>73.0</w:t>
            </w:r>
          </w:p>
        </w:tc>
        <w:tc>
          <w:tcPr>
            <w:tcW w:w="1024" w:type="dxa"/>
            <w:tcBorders>
              <w:top w:val="single" w:sz="4" w:space="0" w:color="BFBFBF"/>
            </w:tcBorders>
          </w:tcPr>
          <w:p w14:paraId="6245C7FF" w14:textId="4DD9DFF2" w:rsidR="0064038E" w:rsidRPr="004D3D22" w:rsidRDefault="00430898">
            <w:pPr>
              <w:pStyle w:val="ARtabletextright"/>
            </w:pPr>
            <w:r>
              <w:t>−</w:t>
            </w:r>
            <w:r w:rsidR="0064038E" w:rsidRPr="004D3D22">
              <w:t>5.2%</w:t>
            </w:r>
          </w:p>
        </w:tc>
        <w:tc>
          <w:tcPr>
            <w:tcW w:w="811" w:type="dxa"/>
            <w:tcBorders>
              <w:top w:val="single" w:sz="4" w:space="0" w:color="BFBFBF"/>
            </w:tcBorders>
          </w:tcPr>
          <w:p w14:paraId="2A16697D" w14:textId="77777777" w:rsidR="0064038E" w:rsidRPr="004D3D22" w:rsidRDefault="0064038E">
            <w:pPr>
              <w:pStyle w:val="ARtableperformancesymbol"/>
              <w:rPr>
                <w:rFonts w:hint="eastAsia"/>
                <w:lang w:val="en-AU"/>
              </w:rPr>
            </w:pPr>
            <w:r w:rsidRPr="004D3D22">
              <w:t></w:t>
            </w:r>
          </w:p>
        </w:tc>
      </w:tr>
      <w:tr w:rsidR="0064038E" w:rsidRPr="00F07EE7" w14:paraId="2660EAE7" w14:textId="77777777" w:rsidTr="00A906A4">
        <w:trPr>
          <w:cantSplit/>
        </w:trPr>
        <w:tc>
          <w:tcPr>
            <w:tcW w:w="9640" w:type="dxa"/>
            <w:gridSpan w:val="6"/>
            <w:tcBorders>
              <w:bottom w:val="single" w:sz="4" w:space="0" w:color="BFBFBF"/>
            </w:tcBorders>
          </w:tcPr>
          <w:p w14:paraId="1260CB38" w14:textId="4F25C4ED" w:rsidR="0064038E" w:rsidRPr="00F07EE7" w:rsidRDefault="0064038E" w:rsidP="00130336">
            <w:pPr>
              <w:pStyle w:val="ARtablenoteindent"/>
              <w:rPr>
                <w:highlight w:val="cyan"/>
              </w:rPr>
            </w:pPr>
            <w:r w:rsidRPr="00C93CD4">
              <w:t>The 2024</w:t>
            </w:r>
            <w:r w:rsidR="005C1105">
              <w:t>–</w:t>
            </w:r>
            <w:r w:rsidRPr="00C93CD4">
              <w:t xml:space="preserve">25 outcome is lower </w:t>
            </w:r>
            <w:r w:rsidRPr="00130336">
              <w:t>than</w:t>
            </w:r>
            <w:r w:rsidRPr="00C93CD4">
              <w:t xml:space="preserve"> the 2024</w:t>
            </w:r>
            <w:r w:rsidR="005C1105">
              <w:t>–</w:t>
            </w:r>
            <w:r w:rsidRPr="00C93CD4">
              <w:t>2</w:t>
            </w:r>
            <w:r>
              <w:t>5</w:t>
            </w:r>
            <w:r w:rsidRPr="00C93CD4">
              <w:t xml:space="preserve"> target, potentially reflecting overall care placement trends and availability of suitable Aboriginal care placements.</w:t>
            </w:r>
          </w:p>
        </w:tc>
      </w:tr>
      <w:tr w:rsidR="0064038E" w:rsidRPr="00F85F86" w14:paraId="08367966" w14:textId="77777777" w:rsidTr="00A906A4">
        <w:trPr>
          <w:cantSplit/>
        </w:trPr>
        <w:tc>
          <w:tcPr>
            <w:tcW w:w="4743" w:type="dxa"/>
            <w:tcBorders>
              <w:top w:val="single" w:sz="4" w:space="0" w:color="BFBFBF"/>
              <w:bottom w:val="single" w:sz="4" w:space="0" w:color="A6A6A6" w:themeColor="accent5"/>
            </w:tcBorders>
          </w:tcPr>
          <w:p w14:paraId="6F20654D" w14:textId="77777777" w:rsidR="0064038E" w:rsidRPr="00F85F86" w:rsidRDefault="0064038E">
            <w:pPr>
              <w:pStyle w:val="ARtabletext"/>
            </w:pPr>
            <w:r w:rsidRPr="00F85F86">
              <w:t>Proportion of family services cases closing who met an identified goal in their child and family action plans</w:t>
            </w:r>
          </w:p>
        </w:tc>
        <w:tc>
          <w:tcPr>
            <w:tcW w:w="1019" w:type="dxa"/>
            <w:tcBorders>
              <w:top w:val="single" w:sz="4" w:space="0" w:color="BFBFBF"/>
              <w:bottom w:val="single" w:sz="4" w:space="0" w:color="A6A6A6" w:themeColor="accent5"/>
            </w:tcBorders>
          </w:tcPr>
          <w:p w14:paraId="48DB1C74" w14:textId="77777777" w:rsidR="0064038E" w:rsidRPr="00F85F86" w:rsidRDefault="0064038E">
            <w:pPr>
              <w:pStyle w:val="ARtabletext"/>
            </w:pPr>
            <w:r w:rsidRPr="00F85F86">
              <w:t>per cent</w:t>
            </w:r>
          </w:p>
        </w:tc>
        <w:tc>
          <w:tcPr>
            <w:tcW w:w="1021" w:type="dxa"/>
            <w:tcBorders>
              <w:top w:val="single" w:sz="4" w:space="0" w:color="BFBFBF"/>
              <w:bottom w:val="single" w:sz="4" w:space="0" w:color="A6A6A6" w:themeColor="accent5"/>
            </w:tcBorders>
          </w:tcPr>
          <w:p w14:paraId="18DF741F" w14:textId="77777777" w:rsidR="0064038E" w:rsidRPr="00F85F86" w:rsidRDefault="0064038E">
            <w:pPr>
              <w:pStyle w:val="ARtabletextright"/>
            </w:pPr>
            <w:r w:rsidRPr="00F85F86">
              <w:t>70.0</w:t>
            </w:r>
          </w:p>
        </w:tc>
        <w:tc>
          <w:tcPr>
            <w:tcW w:w="1022" w:type="dxa"/>
            <w:tcBorders>
              <w:top w:val="single" w:sz="4" w:space="0" w:color="BFBFBF"/>
              <w:bottom w:val="single" w:sz="4" w:space="0" w:color="A6A6A6" w:themeColor="accent5"/>
            </w:tcBorders>
          </w:tcPr>
          <w:p w14:paraId="4F7684E7" w14:textId="77777777" w:rsidR="0064038E" w:rsidRPr="00F85F86" w:rsidRDefault="0064038E">
            <w:pPr>
              <w:pStyle w:val="ARtabletextright"/>
            </w:pPr>
            <w:r w:rsidRPr="00F85F86">
              <w:t>73.0</w:t>
            </w:r>
          </w:p>
        </w:tc>
        <w:tc>
          <w:tcPr>
            <w:tcW w:w="1024" w:type="dxa"/>
            <w:tcBorders>
              <w:top w:val="single" w:sz="4" w:space="0" w:color="BFBFBF"/>
              <w:bottom w:val="single" w:sz="4" w:space="0" w:color="A6A6A6" w:themeColor="accent5"/>
            </w:tcBorders>
          </w:tcPr>
          <w:p w14:paraId="10D5823D" w14:textId="77777777" w:rsidR="0064038E" w:rsidRPr="00F85F86" w:rsidRDefault="0064038E">
            <w:pPr>
              <w:pStyle w:val="ARtabletextright"/>
            </w:pPr>
            <w:r w:rsidRPr="00F85F86">
              <w:t>4.3%</w:t>
            </w:r>
          </w:p>
        </w:tc>
        <w:tc>
          <w:tcPr>
            <w:tcW w:w="811" w:type="dxa"/>
            <w:tcBorders>
              <w:top w:val="single" w:sz="4" w:space="0" w:color="BFBFBF"/>
              <w:bottom w:val="single" w:sz="4" w:space="0" w:color="A6A6A6" w:themeColor="accent5"/>
            </w:tcBorders>
          </w:tcPr>
          <w:p w14:paraId="69F21C59" w14:textId="77777777" w:rsidR="0064038E" w:rsidRPr="00F85F86" w:rsidRDefault="0064038E">
            <w:pPr>
              <w:pStyle w:val="ARtableperformancesymbol"/>
              <w:rPr>
                <w:rFonts w:hint="eastAsia"/>
              </w:rPr>
            </w:pPr>
            <w:r w:rsidRPr="00F85F86">
              <w:rPr>
                <w:rFonts w:eastAsia="Wingdings" w:cs="Wingdings"/>
              </w:rPr>
              <w:t></w:t>
            </w:r>
          </w:p>
        </w:tc>
      </w:tr>
      <w:tr w:rsidR="0064038E" w:rsidRPr="00F07EE7" w14:paraId="48B8C107" w14:textId="77777777" w:rsidTr="00A906A4">
        <w:trPr>
          <w:cantSplit/>
        </w:trPr>
        <w:tc>
          <w:tcPr>
            <w:tcW w:w="4743" w:type="dxa"/>
            <w:tcBorders>
              <w:top w:val="single" w:sz="4" w:space="0" w:color="A6A6A6" w:themeColor="accent5"/>
              <w:bottom w:val="single" w:sz="4" w:space="0" w:color="BFBFBF"/>
            </w:tcBorders>
          </w:tcPr>
          <w:p w14:paraId="2CDBE338" w14:textId="77777777" w:rsidR="0064038E" w:rsidRPr="00F85F86" w:rsidRDefault="0064038E">
            <w:pPr>
              <w:pStyle w:val="ARtabletext"/>
            </w:pPr>
            <w:r w:rsidRPr="00F85F86">
              <w:t>Proportion of parents who participate in a Supported Playgroup who improved parenting self-efficacy</w:t>
            </w:r>
          </w:p>
        </w:tc>
        <w:tc>
          <w:tcPr>
            <w:tcW w:w="1019" w:type="dxa"/>
            <w:tcBorders>
              <w:top w:val="single" w:sz="4" w:space="0" w:color="A6A6A6" w:themeColor="accent5"/>
              <w:bottom w:val="single" w:sz="4" w:space="0" w:color="BFBFBF"/>
            </w:tcBorders>
          </w:tcPr>
          <w:p w14:paraId="0AA8B8C8" w14:textId="77777777" w:rsidR="0064038E" w:rsidRPr="00F85F86" w:rsidRDefault="0064038E">
            <w:pPr>
              <w:pStyle w:val="ARtabletext"/>
            </w:pPr>
            <w:r w:rsidRPr="00F85F86">
              <w:t>per cent</w:t>
            </w:r>
          </w:p>
        </w:tc>
        <w:tc>
          <w:tcPr>
            <w:tcW w:w="1021" w:type="dxa"/>
            <w:tcBorders>
              <w:top w:val="single" w:sz="4" w:space="0" w:color="A6A6A6" w:themeColor="accent5"/>
              <w:bottom w:val="single" w:sz="4" w:space="0" w:color="BFBFBF"/>
            </w:tcBorders>
          </w:tcPr>
          <w:p w14:paraId="05C5978B" w14:textId="77777777" w:rsidR="0064038E" w:rsidRPr="00F85F86" w:rsidRDefault="0064038E">
            <w:pPr>
              <w:pStyle w:val="ARtabletextright"/>
            </w:pPr>
            <w:r w:rsidRPr="00F85F86">
              <w:t>60.0</w:t>
            </w:r>
          </w:p>
        </w:tc>
        <w:tc>
          <w:tcPr>
            <w:tcW w:w="1022" w:type="dxa"/>
            <w:tcBorders>
              <w:top w:val="single" w:sz="4" w:space="0" w:color="A6A6A6" w:themeColor="accent5"/>
              <w:bottom w:val="single" w:sz="4" w:space="0" w:color="BFBFBF"/>
            </w:tcBorders>
          </w:tcPr>
          <w:p w14:paraId="08535C88" w14:textId="77777777" w:rsidR="0064038E" w:rsidRPr="00F85F86" w:rsidRDefault="0064038E">
            <w:pPr>
              <w:pStyle w:val="ARtabletextright"/>
            </w:pPr>
            <w:r w:rsidRPr="00F85F86">
              <w:t>6</w:t>
            </w:r>
            <w:r>
              <w:t>1.8</w:t>
            </w:r>
          </w:p>
        </w:tc>
        <w:tc>
          <w:tcPr>
            <w:tcW w:w="1024" w:type="dxa"/>
            <w:tcBorders>
              <w:top w:val="single" w:sz="4" w:space="0" w:color="A6A6A6" w:themeColor="accent5"/>
              <w:bottom w:val="single" w:sz="4" w:space="0" w:color="BFBFBF"/>
            </w:tcBorders>
          </w:tcPr>
          <w:p w14:paraId="01118741" w14:textId="7B42BEA0" w:rsidR="0064038E" w:rsidRPr="00F85F86" w:rsidRDefault="0064038E">
            <w:pPr>
              <w:pStyle w:val="ARtabletextright"/>
            </w:pPr>
            <w:r w:rsidRPr="00F85F86">
              <w:t>3.</w:t>
            </w:r>
            <w:r w:rsidR="00234BD2">
              <w:t>0</w:t>
            </w:r>
            <w:r w:rsidRPr="00F85F86">
              <w:t>%</w:t>
            </w:r>
          </w:p>
        </w:tc>
        <w:tc>
          <w:tcPr>
            <w:tcW w:w="811" w:type="dxa"/>
            <w:tcBorders>
              <w:top w:val="single" w:sz="4" w:space="0" w:color="A6A6A6" w:themeColor="accent5"/>
              <w:bottom w:val="single" w:sz="4" w:space="0" w:color="BFBFBF"/>
            </w:tcBorders>
          </w:tcPr>
          <w:p w14:paraId="187E84C9" w14:textId="77777777" w:rsidR="0064038E" w:rsidRPr="00F85F86" w:rsidRDefault="0064038E">
            <w:pPr>
              <w:pStyle w:val="ARtableperformancesymbol"/>
              <w:rPr>
                <w:rFonts w:hint="eastAsia"/>
                <w:lang w:val="en-AU"/>
              </w:rPr>
            </w:pPr>
            <w:r w:rsidRPr="00F85F86">
              <w:rPr>
                <w:rFonts w:eastAsia="Wingdings" w:cs="Wingdings"/>
              </w:rPr>
              <w:t></w:t>
            </w:r>
          </w:p>
        </w:tc>
      </w:tr>
      <w:tr w:rsidR="0064038E" w:rsidRPr="00F07EE7" w14:paraId="79D200CD" w14:textId="77777777" w:rsidTr="00A906A4">
        <w:trPr>
          <w:cantSplit/>
        </w:trPr>
        <w:tc>
          <w:tcPr>
            <w:tcW w:w="4743" w:type="dxa"/>
            <w:tcBorders>
              <w:top w:val="single" w:sz="4" w:space="0" w:color="BFBFBF"/>
            </w:tcBorders>
          </w:tcPr>
          <w:p w14:paraId="72D1FCC0" w14:textId="77777777" w:rsidR="0064038E" w:rsidRPr="001B562F" w:rsidRDefault="0064038E">
            <w:pPr>
              <w:pStyle w:val="ARtabletext"/>
            </w:pPr>
            <w:r w:rsidRPr="001B562F">
              <w:t>Social Service Providers satisfaction with education and guidance provided by the Social Services Regulator.</w:t>
            </w:r>
          </w:p>
        </w:tc>
        <w:tc>
          <w:tcPr>
            <w:tcW w:w="1019" w:type="dxa"/>
            <w:tcBorders>
              <w:top w:val="single" w:sz="4" w:space="0" w:color="BFBFBF"/>
            </w:tcBorders>
          </w:tcPr>
          <w:p w14:paraId="7CDA33C1" w14:textId="77777777" w:rsidR="0064038E" w:rsidRPr="001B562F" w:rsidRDefault="0064038E">
            <w:pPr>
              <w:pStyle w:val="ARtabletext"/>
            </w:pPr>
            <w:r w:rsidRPr="001B562F">
              <w:t>per cent</w:t>
            </w:r>
          </w:p>
        </w:tc>
        <w:tc>
          <w:tcPr>
            <w:tcW w:w="1021" w:type="dxa"/>
            <w:tcBorders>
              <w:top w:val="single" w:sz="4" w:space="0" w:color="BFBFBF"/>
            </w:tcBorders>
          </w:tcPr>
          <w:p w14:paraId="5A00636E" w14:textId="77777777" w:rsidR="0064038E" w:rsidRPr="001B562F" w:rsidRDefault="0064038E">
            <w:pPr>
              <w:pStyle w:val="ARtabletextright"/>
            </w:pPr>
            <w:r w:rsidRPr="001B562F">
              <w:t>75.0</w:t>
            </w:r>
          </w:p>
        </w:tc>
        <w:tc>
          <w:tcPr>
            <w:tcW w:w="1022" w:type="dxa"/>
            <w:tcBorders>
              <w:top w:val="single" w:sz="4" w:space="0" w:color="BFBFBF"/>
            </w:tcBorders>
          </w:tcPr>
          <w:p w14:paraId="5BF35797" w14:textId="77777777" w:rsidR="0064038E" w:rsidRPr="001B562F" w:rsidRDefault="0064038E">
            <w:pPr>
              <w:pStyle w:val="ARtabletextright"/>
            </w:pPr>
            <w:r w:rsidRPr="001B562F">
              <w:t>88.0</w:t>
            </w:r>
          </w:p>
        </w:tc>
        <w:tc>
          <w:tcPr>
            <w:tcW w:w="1024" w:type="dxa"/>
            <w:tcBorders>
              <w:top w:val="single" w:sz="4" w:space="0" w:color="BFBFBF"/>
            </w:tcBorders>
          </w:tcPr>
          <w:p w14:paraId="21741386" w14:textId="77777777" w:rsidR="0064038E" w:rsidRPr="001B562F" w:rsidRDefault="0064038E">
            <w:pPr>
              <w:pStyle w:val="ARtabletextright"/>
            </w:pPr>
            <w:r w:rsidRPr="001B562F">
              <w:t>17.3%</w:t>
            </w:r>
          </w:p>
        </w:tc>
        <w:tc>
          <w:tcPr>
            <w:tcW w:w="811" w:type="dxa"/>
            <w:tcBorders>
              <w:top w:val="single" w:sz="4" w:space="0" w:color="BFBFBF"/>
            </w:tcBorders>
          </w:tcPr>
          <w:p w14:paraId="7D1DC315" w14:textId="77777777" w:rsidR="0064038E" w:rsidRPr="001B562F" w:rsidRDefault="0064038E">
            <w:pPr>
              <w:pStyle w:val="ARtableperformancesymbol"/>
              <w:rPr>
                <w:rFonts w:hint="eastAsia"/>
                <w:lang w:val="en-AU"/>
              </w:rPr>
            </w:pPr>
            <w:r w:rsidRPr="001B562F">
              <w:rPr>
                <w:rFonts w:eastAsia="Wingdings" w:cs="Wingdings"/>
              </w:rPr>
              <w:t></w:t>
            </w:r>
          </w:p>
        </w:tc>
      </w:tr>
      <w:tr w:rsidR="0064038E" w:rsidRPr="00F07EE7" w14:paraId="23DC3D65" w14:textId="77777777" w:rsidTr="00B84A9C">
        <w:trPr>
          <w:cantSplit/>
        </w:trPr>
        <w:tc>
          <w:tcPr>
            <w:tcW w:w="9640" w:type="dxa"/>
            <w:gridSpan w:val="6"/>
            <w:tcBorders>
              <w:bottom w:val="single" w:sz="4" w:space="0" w:color="auto"/>
            </w:tcBorders>
            <w:noWrap/>
          </w:tcPr>
          <w:p w14:paraId="0875A233" w14:textId="05359C1D" w:rsidR="0064038E" w:rsidRPr="00F07EE7" w:rsidRDefault="0064038E" w:rsidP="00130336">
            <w:pPr>
              <w:pStyle w:val="ARtablenoteindent"/>
              <w:rPr>
                <w:highlight w:val="cyan"/>
              </w:rPr>
            </w:pPr>
            <w:r w:rsidRPr="00042CAF">
              <w:t>Social Service Providers reported satisfaction with the education and guidance provided by the</w:t>
            </w:r>
            <w:r w:rsidR="00714656">
              <w:t xml:space="preserve"> Social Services Regulator</w:t>
            </w:r>
            <w:r w:rsidRPr="00042CAF">
              <w:t xml:space="preserve"> </w:t>
            </w:r>
            <w:r w:rsidR="00714656">
              <w:t>(</w:t>
            </w:r>
            <w:r w:rsidRPr="00042CAF">
              <w:t>SSR</w:t>
            </w:r>
            <w:r w:rsidR="00714656">
              <w:t>)</w:t>
            </w:r>
            <w:r w:rsidRPr="00042CAF">
              <w:t>, as reflected in responses to the SSR Annual survey. Not all categories of providers were registered at the time of the annual survey and were therefore not included in the 2024</w:t>
            </w:r>
            <w:r w:rsidR="005C1105">
              <w:t>–</w:t>
            </w:r>
            <w:r w:rsidRPr="00042CAF">
              <w:t>25 sample. The number of registered providers is expected to significantly increase in the 2025</w:t>
            </w:r>
            <w:r w:rsidR="005C1105">
              <w:t>–</w:t>
            </w:r>
            <w:r w:rsidRPr="00042CAF">
              <w:t xml:space="preserve">26, which will offer a more comprehensive picture. </w:t>
            </w:r>
          </w:p>
        </w:tc>
      </w:tr>
      <w:tr w:rsidR="0064038E" w:rsidRPr="00F07EE7" w14:paraId="5C306C0A" w14:textId="77777777" w:rsidTr="00B84A9C">
        <w:trPr>
          <w:cantSplit/>
        </w:trPr>
        <w:tc>
          <w:tcPr>
            <w:tcW w:w="9640" w:type="dxa"/>
            <w:gridSpan w:val="6"/>
            <w:tcBorders>
              <w:top w:val="single" w:sz="4" w:space="0" w:color="auto"/>
              <w:left w:val="nil"/>
              <w:bottom w:val="single" w:sz="4" w:space="0" w:color="A6A6A6" w:themeColor="accent5"/>
              <w:right w:val="nil"/>
            </w:tcBorders>
            <w:hideMark/>
          </w:tcPr>
          <w:p w14:paraId="532C0E60" w14:textId="77777777" w:rsidR="0064038E" w:rsidRPr="0009522C" w:rsidRDefault="0064038E">
            <w:pPr>
              <w:pStyle w:val="ARtablegreybold"/>
            </w:pPr>
            <w:r w:rsidRPr="0009522C">
              <w:t>Timeliness</w:t>
            </w:r>
          </w:p>
        </w:tc>
      </w:tr>
      <w:tr w:rsidR="0064038E" w:rsidRPr="00F07EE7" w14:paraId="06E90944" w14:textId="77777777" w:rsidTr="00B84A9C">
        <w:trPr>
          <w:cantSplit/>
        </w:trPr>
        <w:tc>
          <w:tcPr>
            <w:tcW w:w="4743" w:type="dxa"/>
            <w:tcBorders>
              <w:top w:val="single" w:sz="4" w:space="0" w:color="A6A6A6" w:themeColor="accent5"/>
              <w:bottom w:val="single" w:sz="2" w:space="0" w:color="BFBFBF" w:themeColor="background1" w:themeShade="BF"/>
            </w:tcBorders>
            <w:hideMark/>
          </w:tcPr>
          <w:p w14:paraId="48AD9C71" w14:textId="77777777" w:rsidR="0064038E" w:rsidRPr="0009522C" w:rsidRDefault="0064038E">
            <w:pPr>
              <w:pStyle w:val="ARtabletext"/>
            </w:pPr>
            <w:r w:rsidRPr="0009522C">
              <w:t>Percentage of child protection investigations assessed as urgent, that were visited, or where attempts were made to visit, within 2 days of receipt of the report</w:t>
            </w:r>
          </w:p>
        </w:tc>
        <w:tc>
          <w:tcPr>
            <w:tcW w:w="1019" w:type="dxa"/>
            <w:tcBorders>
              <w:top w:val="single" w:sz="4" w:space="0" w:color="A6A6A6" w:themeColor="accent5"/>
              <w:bottom w:val="single" w:sz="2" w:space="0" w:color="BFBFBF" w:themeColor="background1" w:themeShade="BF"/>
            </w:tcBorders>
            <w:hideMark/>
          </w:tcPr>
          <w:p w14:paraId="4757689A" w14:textId="77777777" w:rsidR="0064038E" w:rsidRPr="0009522C" w:rsidRDefault="0064038E">
            <w:pPr>
              <w:pStyle w:val="ARtabletext"/>
            </w:pPr>
            <w:r w:rsidRPr="0009522C">
              <w:t>per cent</w:t>
            </w:r>
          </w:p>
        </w:tc>
        <w:tc>
          <w:tcPr>
            <w:tcW w:w="1021" w:type="dxa"/>
            <w:tcBorders>
              <w:top w:val="single" w:sz="4" w:space="0" w:color="A6A6A6" w:themeColor="accent5"/>
              <w:bottom w:val="single" w:sz="2" w:space="0" w:color="BFBFBF" w:themeColor="background1" w:themeShade="BF"/>
            </w:tcBorders>
          </w:tcPr>
          <w:p w14:paraId="7F54B5B5" w14:textId="77777777" w:rsidR="0064038E" w:rsidRPr="0009522C" w:rsidRDefault="0064038E">
            <w:pPr>
              <w:pStyle w:val="ARtabletextright"/>
            </w:pPr>
            <w:r w:rsidRPr="0009522C">
              <w:t>97.0</w:t>
            </w:r>
          </w:p>
        </w:tc>
        <w:tc>
          <w:tcPr>
            <w:tcW w:w="1022" w:type="dxa"/>
            <w:tcBorders>
              <w:top w:val="single" w:sz="4" w:space="0" w:color="A6A6A6" w:themeColor="accent5"/>
              <w:bottom w:val="single" w:sz="2" w:space="0" w:color="BFBFBF" w:themeColor="background1" w:themeShade="BF"/>
            </w:tcBorders>
          </w:tcPr>
          <w:p w14:paraId="6FCBD1D1" w14:textId="77777777" w:rsidR="0064038E" w:rsidRPr="0009522C" w:rsidRDefault="0064038E">
            <w:pPr>
              <w:pStyle w:val="ARtabletextright"/>
            </w:pPr>
            <w:r w:rsidRPr="0009522C">
              <w:t>97.0</w:t>
            </w:r>
          </w:p>
        </w:tc>
        <w:tc>
          <w:tcPr>
            <w:tcW w:w="1024" w:type="dxa"/>
            <w:tcBorders>
              <w:top w:val="single" w:sz="4" w:space="0" w:color="A6A6A6" w:themeColor="accent5"/>
              <w:bottom w:val="single" w:sz="2" w:space="0" w:color="BFBFBF" w:themeColor="background1" w:themeShade="BF"/>
            </w:tcBorders>
          </w:tcPr>
          <w:p w14:paraId="793D42DF" w14:textId="77777777" w:rsidR="0064038E" w:rsidRPr="0009522C" w:rsidRDefault="0064038E">
            <w:pPr>
              <w:pStyle w:val="ARtabletextright"/>
            </w:pPr>
            <w:r w:rsidRPr="0009522C">
              <w:t>0.0%</w:t>
            </w:r>
          </w:p>
        </w:tc>
        <w:tc>
          <w:tcPr>
            <w:tcW w:w="811" w:type="dxa"/>
            <w:tcBorders>
              <w:top w:val="single" w:sz="4" w:space="0" w:color="A6A6A6" w:themeColor="accent5"/>
              <w:bottom w:val="single" w:sz="2" w:space="0" w:color="BFBFBF" w:themeColor="background1" w:themeShade="BF"/>
            </w:tcBorders>
          </w:tcPr>
          <w:p w14:paraId="3E3B6045" w14:textId="77777777" w:rsidR="0064038E" w:rsidRPr="0009522C" w:rsidRDefault="0064038E">
            <w:pPr>
              <w:pStyle w:val="ARtableperformancesymbol"/>
              <w:rPr>
                <w:rFonts w:hint="eastAsia"/>
                <w:lang w:val="en-AU"/>
              </w:rPr>
            </w:pPr>
            <w:r w:rsidRPr="0009522C">
              <w:rPr>
                <w:rFonts w:eastAsia="Wingdings" w:cs="Wingdings"/>
              </w:rPr>
              <w:t></w:t>
            </w:r>
          </w:p>
        </w:tc>
      </w:tr>
      <w:tr w:rsidR="0064038E" w:rsidRPr="00F07EE7" w14:paraId="0B07425C" w14:textId="77777777" w:rsidTr="00A906A4">
        <w:trPr>
          <w:cantSplit/>
        </w:trPr>
        <w:tc>
          <w:tcPr>
            <w:tcW w:w="4743" w:type="dxa"/>
            <w:tcBorders>
              <w:top w:val="single" w:sz="2" w:space="0" w:color="BFBFBF" w:themeColor="background1" w:themeShade="BF"/>
            </w:tcBorders>
          </w:tcPr>
          <w:p w14:paraId="35153325" w14:textId="0CA07EC2" w:rsidR="0064038E" w:rsidRPr="00837761" w:rsidRDefault="0064038E">
            <w:pPr>
              <w:pStyle w:val="ARtabletext"/>
              <w:keepNext/>
            </w:pPr>
            <w:r w:rsidRPr="00837761">
              <w:t>Registration applications processed within statutory</w:t>
            </w:r>
            <w:r w:rsidR="006C102A">
              <w:t> </w:t>
            </w:r>
            <w:r w:rsidRPr="00837761">
              <w:t>timelines.</w:t>
            </w:r>
          </w:p>
        </w:tc>
        <w:tc>
          <w:tcPr>
            <w:tcW w:w="1019" w:type="dxa"/>
            <w:tcBorders>
              <w:top w:val="single" w:sz="2" w:space="0" w:color="BFBFBF" w:themeColor="background1" w:themeShade="BF"/>
            </w:tcBorders>
          </w:tcPr>
          <w:p w14:paraId="0957EA30" w14:textId="77777777" w:rsidR="0064038E" w:rsidRPr="00837761" w:rsidRDefault="0064038E">
            <w:pPr>
              <w:pStyle w:val="ARtabletext"/>
            </w:pPr>
            <w:r w:rsidRPr="00837761">
              <w:t>per cent</w:t>
            </w:r>
          </w:p>
        </w:tc>
        <w:tc>
          <w:tcPr>
            <w:tcW w:w="1021" w:type="dxa"/>
            <w:tcBorders>
              <w:top w:val="single" w:sz="2" w:space="0" w:color="BFBFBF" w:themeColor="background1" w:themeShade="BF"/>
            </w:tcBorders>
          </w:tcPr>
          <w:p w14:paraId="0CBFDB74" w14:textId="77777777" w:rsidR="0064038E" w:rsidRPr="00837761" w:rsidRDefault="0064038E">
            <w:pPr>
              <w:pStyle w:val="ARtabletextright"/>
            </w:pPr>
            <w:r w:rsidRPr="00837761">
              <w:t>70.0</w:t>
            </w:r>
          </w:p>
        </w:tc>
        <w:tc>
          <w:tcPr>
            <w:tcW w:w="1022" w:type="dxa"/>
            <w:tcBorders>
              <w:top w:val="single" w:sz="2" w:space="0" w:color="BFBFBF" w:themeColor="background1" w:themeShade="BF"/>
            </w:tcBorders>
          </w:tcPr>
          <w:p w14:paraId="3752A478" w14:textId="77777777" w:rsidR="0064038E" w:rsidRPr="00837761" w:rsidRDefault="0064038E">
            <w:pPr>
              <w:pStyle w:val="ARtabletextright"/>
            </w:pPr>
            <w:r w:rsidRPr="00837761">
              <w:t>98.0</w:t>
            </w:r>
          </w:p>
        </w:tc>
        <w:tc>
          <w:tcPr>
            <w:tcW w:w="1024" w:type="dxa"/>
            <w:tcBorders>
              <w:top w:val="single" w:sz="2" w:space="0" w:color="BFBFBF" w:themeColor="background1" w:themeShade="BF"/>
            </w:tcBorders>
          </w:tcPr>
          <w:p w14:paraId="787C5353" w14:textId="77777777" w:rsidR="0064038E" w:rsidRPr="00837761" w:rsidRDefault="0064038E">
            <w:pPr>
              <w:pStyle w:val="ARtabletextright"/>
            </w:pPr>
            <w:r w:rsidRPr="00837761">
              <w:t>40.0%</w:t>
            </w:r>
          </w:p>
        </w:tc>
        <w:tc>
          <w:tcPr>
            <w:tcW w:w="811" w:type="dxa"/>
            <w:tcBorders>
              <w:top w:val="single" w:sz="2" w:space="0" w:color="BFBFBF" w:themeColor="background1" w:themeShade="BF"/>
            </w:tcBorders>
          </w:tcPr>
          <w:p w14:paraId="54959F25" w14:textId="77777777" w:rsidR="0064038E" w:rsidRPr="00A906A4" w:rsidRDefault="0064038E" w:rsidP="00A906A4">
            <w:pPr>
              <w:pStyle w:val="ARtablecolheadright"/>
              <w:rPr>
                <w:rFonts w:ascii="Wingdings" w:hAnsi="Wingdings"/>
                <w:b w:val="0"/>
                <w:bCs/>
                <w:color w:val="auto"/>
              </w:rPr>
            </w:pPr>
            <w:r w:rsidRPr="00A906A4">
              <w:rPr>
                <w:rFonts w:ascii="Wingdings" w:hAnsi="Wingdings"/>
                <w:b w:val="0"/>
                <w:bCs/>
                <w:color w:val="auto"/>
              </w:rPr>
              <w:t></w:t>
            </w:r>
          </w:p>
        </w:tc>
      </w:tr>
      <w:tr w:rsidR="0064038E" w:rsidRPr="00F07EE7" w14:paraId="24A0475C" w14:textId="77777777" w:rsidTr="00A30475">
        <w:trPr>
          <w:cantSplit/>
        </w:trPr>
        <w:tc>
          <w:tcPr>
            <w:tcW w:w="9640" w:type="dxa"/>
            <w:gridSpan w:val="6"/>
            <w:tcBorders>
              <w:bottom w:val="single" w:sz="4" w:space="0" w:color="auto"/>
            </w:tcBorders>
            <w:noWrap/>
          </w:tcPr>
          <w:p w14:paraId="308976D3" w14:textId="4298B66B" w:rsidR="0064038E" w:rsidRPr="00F07EE7" w:rsidRDefault="008B56DC" w:rsidP="00130336">
            <w:pPr>
              <w:pStyle w:val="ARtablenoteindent"/>
              <w:rPr>
                <w:highlight w:val="cyan"/>
              </w:rPr>
            </w:pPr>
            <w:r>
              <w:t>E</w:t>
            </w:r>
            <w:r w:rsidR="0064038E" w:rsidRPr="00837761">
              <w:t xml:space="preserve">xtensive engagement with providers prior to </w:t>
            </w:r>
            <w:r>
              <w:t>an application</w:t>
            </w:r>
            <w:r w:rsidR="0064038E" w:rsidRPr="00837761">
              <w:t xml:space="preserve"> assessment commencing has enabled a significant number of registration applications to be processed within statutory timelines in </w:t>
            </w:r>
            <w:r w:rsidR="00D16450">
              <w:t>2024</w:t>
            </w:r>
            <w:r w:rsidR="0039538D">
              <w:t>–</w:t>
            </w:r>
            <w:r w:rsidR="00D16450">
              <w:t>25</w:t>
            </w:r>
            <w:r w:rsidR="0064038E" w:rsidRPr="00837761">
              <w:t xml:space="preserve">. </w:t>
            </w:r>
            <w:r w:rsidR="00BE1A23">
              <w:t xml:space="preserve">Fixed-term resourcing </w:t>
            </w:r>
            <w:r w:rsidR="003E297B">
              <w:t>ending in 2025</w:t>
            </w:r>
            <w:r w:rsidR="0039538D">
              <w:t>–</w:t>
            </w:r>
            <w:r w:rsidR="003E297B">
              <w:t>26</w:t>
            </w:r>
            <w:r w:rsidR="0064038E" w:rsidRPr="00837761">
              <w:t xml:space="preserve"> will impact the SSR’s capacity to maintain high level</w:t>
            </w:r>
            <w:r w:rsidR="00E3513B">
              <w:t>s</w:t>
            </w:r>
            <w:r w:rsidR="0064038E" w:rsidRPr="00837761">
              <w:t xml:space="preserve"> of engagement </w:t>
            </w:r>
            <w:r w:rsidR="00A144DE">
              <w:t xml:space="preserve">with </w:t>
            </w:r>
            <w:r w:rsidR="0064038E" w:rsidRPr="00837761">
              <w:t>providers</w:t>
            </w:r>
            <w:r w:rsidR="00E3513B">
              <w:t>, which may impact</w:t>
            </w:r>
            <w:r w:rsidR="0064038E" w:rsidRPr="00837761">
              <w:t xml:space="preserve"> </w:t>
            </w:r>
            <w:r w:rsidR="00A144DE">
              <w:t xml:space="preserve">capacity to sustain these </w:t>
            </w:r>
            <w:r w:rsidR="0064038E" w:rsidRPr="00837761">
              <w:t>outcomes.</w:t>
            </w:r>
          </w:p>
        </w:tc>
      </w:tr>
      <w:tr w:rsidR="0064038E" w:rsidRPr="00F07EE7" w14:paraId="7205EDE3" w14:textId="77777777" w:rsidTr="00A30475">
        <w:trPr>
          <w:cantSplit/>
        </w:trPr>
        <w:tc>
          <w:tcPr>
            <w:tcW w:w="9640" w:type="dxa"/>
            <w:gridSpan w:val="6"/>
            <w:tcBorders>
              <w:top w:val="single" w:sz="4" w:space="0" w:color="auto"/>
              <w:left w:val="nil"/>
              <w:bottom w:val="single" w:sz="4" w:space="0" w:color="auto"/>
              <w:right w:val="nil"/>
            </w:tcBorders>
            <w:hideMark/>
          </w:tcPr>
          <w:p w14:paraId="33DE4B92" w14:textId="77777777" w:rsidR="0064038E" w:rsidRPr="004012CD" w:rsidRDefault="0064038E">
            <w:pPr>
              <w:pStyle w:val="ARtablegreybold"/>
            </w:pPr>
            <w:r w:rsidRPr="004012CD">
              <w:t>Cost</w:t>
            </w:r>
          </w:p>
        </w:tc>
      </w:tr>
      <w:tr w:rsidR="0064038E" w:rsidRPr="00F07EE7" w14:paraId="2D0A8DFB" w14:textId="77777777" w:rsidTr="00A30475">
        <w:trPr>
          <w:cantSplit/>
        </w:trPr>
        <w:tc>
          <w:tcPr>
            <w:tcW w:w="4743" w:type="dxa"/>
            <w:tcBorders>
              <w:top w:val="single" w:sz="4" w:space="0" w:color="auto"/>
            </w:tcBorders>
            <w:hideMark/>
          </w:tcPr>
          <w:p w14:paraId="6884131A" w14:textId="77777777" w:rsidR="0064038E" w:rsidRPr="004012CD" w:rsidRDefault="0064038E">
            <w:pPr>
              <w:pStyle w:val="ARtabletext"/>
              <w:rPr>
                <w:b/>
              </w:rPr>
            </w:pPr>
            <w:r w:rsidRPr="004012CD">
              <w:rPr>
                <w:b/>
              </w:rPr>
              <w:t>Total output cost</w:t>
            </w:r>
          </w:p>
        </w:tc>
        <w:tc>
          <w:tcPr>
            <w:tcW w:w="1019" w:type="dxa"/>
            <w:tcBorders>
              <w:top w:val="single" w:sz="4" w:space="0" w:color="auto"/>
            </w:tcBorders>
            <w:hideMark/>
          </w:tcPr>
          <w:p w14:paraId="2DDDAD2E" w14:textId="77777777" w:rsidR="0064038E" w:rsidRPr="004012CD" w:rsidRDefault="0064038E">
            <w:pPr>
              <w:pStyle w:val="ARtabletext"/>
              <w:rPr>
                <w:b/>
              </w:rPr>
            </w:pPr>
            <w:r w:rsidRPr="004012CD">
              <w:rPr>
                <w:b/>
              </w:rPr>
              <w:t>$ million</w:t>
            </w:r>
          </w:p>
        </w:tc>
        <w:tc>
          <w:tcPr>
            <w:tcW w:w="1021" w:type="dxa"/>
            <w:tcBorders>
              <w:top w:val="single" w:sz="4" w:space="0" w:color="auto"/>
            </w:tcBorders>
          </w:tcPr>
          <w:p w14:paraId="2C49844B" w14:textId="77777777" w:rsidR="0064038E" w:rsidRPr="004012CD" w:rsidRDefault="0064038E">
            <w:pPr>
              <w:pStyle w:val="ARtabletextrightbold"/>
            </w:pPr>
            <w:r w:rsidRPr="004012CD">
              <w:t>2,124.9</w:t>
            </w:r>
          </w:p>
        </w:tc>
        <w:tc>
          <w:tcPr>
            <w:tcW w:w="1022" w:type="dxa"/>
            <w:tcBorders>
              <w:top w:val="single" w:sz="4" w:space="0" w:color="auto"/>
            </w:tcBorders>
          </w:tcPr>
          <w:p w14:paraId="1B650F22" w14:textId="77777777" w:rsidR="0064038E" w:rsidRPr="004012CD" w:rsidRDefault="0064038E">
            <w:pPr>
              <w:pStyle w:val="ARtabletextrightbold"/>
            </w:pPr>
            <w:r w:rsidRPr="004012CD">
              <w:t>2,560.0</w:t>
            </w:r>
          </w:p>
        </w:tc>
        <w:tc>
          <w:tcPr>
            <w:tcW w:w="1024" w:type="dxa"/>
            <w:tcBorders>
              <w:top w:val="single" w:sz="4" w:space="0" w:color="auto"/>
            </w:tcBorders>
          </w:tcPr>
          <w:p w14:paraId="0F0255AF" w14:textId="77777777" w:rsidR="0064038E" w:rsidRPr="004012CD" w:rsidRDefault="0064038E">
            <w:pPr>
              <w:pStyle w:val="ARtabletextrightbold"/>
            </w:pPr>
            <w:r w:rsidRPr="004012CD">
              <w:t>20.5%</w:t>
            </w:r>
          </w:p>
        </w:tc>
        <w:tc>
          <w:tcPr>
            <w:tcW w:w="811" w:type="dxa"/>
            <w:tcBorders>
              <w:top w:val="single" w:sz="4" w:space="0" w:color="auto"/>
            </w:tcBorders>
          </w:tcPr>
          <w:p w14:paraId="679DD53E" w14:textId="77777777" w:rsidR="0064038E" w:rsidRPr="004012CD" w:rsidRDefault="0064038E">
            <w:pPr>
              <w:pStyle w:val="ARtableperformancesymbol"/>
              <w:rPr>
                <w:rFonts w:hint="eastAsia"/>
                <w:b/>
              </w:rPr>
            </w:pPr>
            <w:r w:rsidRPr="004012CD">
              <w:rPr>
                <w:rFonts w:eastAsia="Wingdings" w:cs="Wingdings"/>
              </w:rPr>
              <w:t></w:t>
            </w:r>
          </w:p>
        </w:tc>
      </w:tr>
      <w:tr w:rsidR="0064038E" w:rsidRPr="00F07EE7" w14:paraId="52917D52" w14:textId="77777777" w:rsidTr="00A906A4">
        <w:trPr>
          <w:cantSplit/>
        </w:trPr>
        <w:tc>
          <w:tcPr>
            <w:tcW w:w="9640" w:type="dxa"/>
            <w:gridSpan w:val="6"/>
            <w:tcBorders>
              <w:bottom w:val="single" w:sz="4" w:space="0" w:color="auto"/>
            </w:tcBorders>
          </w:tcPr>
          <w:p w14:paraId="08F5A397" w14:textId="5A6D4869" w:rsidR="0064038E" w:rsidRPr="00F07EE7" w:rsidRDefault="0064038E" w:rsidP="00130336">
            <w:pPr>
              <w:pStyle w:val="ARtablenoteindent"/>
              <w:rPr>
                <w:bCs/>
                <w:highlight w:val="cyan"/>
              </w:rPr>
            </w:pPr>
            <w:r w:rsidRPr="00185680">
              <w:t xml:space="preserve">The higher expenditure reflects insurance claims and premiums as well as expenditure </w:t>
            </w:r>
            <w:r w:rsidRPr="00185680">
              <w:rPr>
                <w:bCs/>
              </w:rPr>
              <w:t xml:space="preserve">drawdown </w:t>
            </w:r>
            <w:r w:rsidRPr="00185680">
              <w:t>for Victorian Redress.</w:t>
            </w:r>
          </w:p>
        </w:tc>
      </w:tr>
    </w:tbl>
    <w:p w14:paraId="7060CD19" w14:textId="77777777" w:rsidR="00130336" w:rsidRPr="00130336" w:rsidRDefault="00130336" w:rsidP="00130336">
      <w:pPr>
        <w:pStyle w:val="ARbody"/>
      </w:pPr>
      <w:r>
        <w:br w:type="page"/>
      </w:r>
    </w:p>
    <w:p w14:paraId="122FC659" w14:textId="171088E7" w:rsidR="0064038E" w:rsidRPr="00A32334" w:rsidRDefault="0064038E">
      <w:pPr>
        <w:pStyle w:val="Heading3"/>
      </w:pPr>
      <w:r w:rsidRPr="00A32334">
        <w:lastRenderedPageBreak/>
        <w:t>Family violence service delivery</w:t>
      </w:r>
    </w:p>
    <w:p w14:paraId="4DD8F017" w14:textId="5534B88F" w:rsidR="0064038E" w:rsidRPr="00F07EE7" w:rsidRDefault="0064038E" w:rsidP="00B84A9C">
      <w:pPr>
        <w:pStyle w:val="ARbodybeforetable"/>
        <w:rPr>
          <w:highlight w:val="cyan"/>
        </w:rPr>
      </w:pPr>
      <w:r>
        <w:t>This output leads and coordinates whole</w:t>
      </w:r>
      <w:r w:rsidR="00CD7EFB">
        <w:t>-</w:t>
      </w:r>
      <w:r>
        <w:t>of</w:t>
      </w:r>
      <w:r w:rsidR="00CD7EFB">
        <w:t>-</w:t>
      </w:r>
      <w:r>
        <w:t xml:space="preserve">government family violence policy. It also implements and delivers the </w:t>
      </w:r>
      <w:r w:rsidR="00464E75">
        <w:t xml:space="preserve">government’s </w:t>
      </w:r>
      <w:r>
        <w:t xml:space="preserve">family violence reform agenda. This includes operating The Orange Door Network, delivering victim </w:t>
      </w:r>
      <w:r w:rsidRPr="00B84A9C">
        <w:t>survivor</w:t>
      </w:r>
      <w:r>
        <w:t xml:space="preserve"> support services, sexual assault support services and perpetrator interventions. It also includes implementing information-sharing legislation, early intervention programs and delivering risk assessment and management programs.</w:t>
      </w:r>
    </w:p>
    <w:tbl>
      <w:tblPr>
        <w:tblW w:w="5000" w:type="pct"/>
        <w:tblLayout w:type="fixed"/>
        <w:tblCellMar>
          <w:left w:w="0" w:type="dxa"/>
        </w:tblCellMar>
        <w:tblLook w:val="06A0" w:firstRow="1" w:lastRow="0" w:firstColumn="1" w:lastColumn="0" w:noHBand="1" w:noVBand="1"/>
      </w:tblPr>
      <w:tblGrid>
        <w:gridCol w:w="4739"/>
        <w:gridCol w:w="10"/>
        <w:gridCol w:w="1007"/>
        <w:gridCol w:w="12"/>
        <w:gridCol w:w="1004"/>
        <w:gridCol w:w="15"/>
        <w:gridCol w:w="1005"/>
        <w:gridCol w:w="14"/>
        <w:gridCol w:w="1023"/>
        <w:gridCol w:w="803"/>
      </w:tblGrid>
      <w:tr w:rsidR="0064038E" w:rsidRPr="00F07EE7" w14:paraId="0C66CF4F" w14:textId="77777777" w:rsidTr="006C102A">
        <w:trPr>
          <w:cantSplit/>
          <w:tblHeader/>
        </w:trPr>
        <w:tc>
          <w:tcPr>
            <w:tcW w:w="4749" w:type="dxa"/>
            <w:gridSpan w:val="2"/>
            <w:tcBorders>
              <w:top w:val="nil"/>
              <w:left w:val="nil"/>
              <w:bottom w:val="single" w:sz="4" w:space="0" w:color="auto"/>
              <w:right w:val="nil"/>
            </w:tcBorders>
            <w:vAlign w:val="bottom"/>
            <w:hideMark/>
          </w:tcPr>
          <w:p w14:paraId="167F7F32" w14:textId="77777777" w:rsidR="0064038E" w:rsidRPr="00CC4F6D" w:rsidRDefault="0064038E">
            <w:pPr>
              <w:pStyle w:val="ARtablecolhead"/>
            </w:pPr>
            <w:r w:rsidRPr="00CC4F6D">
              <w:t>Performance measures</w:t>
            </w:r>
          </w:p>
        </w:tc>
        <w:tc>
          <w:tcPr>
            <w:tcW w:w="1019" w:type="dxa"/>
            <w:gridSpan w:val="2"/>
            <w:tcBorders>
              <w:top w:val="nil"/>
              <w:left w:val="nil"/>
              <w:bottom w:val="single" w:sz="4" w:space="0" w:color="auto"/>
              <w:right w:val="nil"/>
            </w:tcBorders>
            <w:vAlign w:val="bottom"/>
            <w:hideMark/>
          </w:tcPr>
          <w:p w14:paraId="343F56AA" w14:textId="77777777" w:rsidR="0064038E" w:rsidRPr="00CC4F6D" w:rsidRDefault="0064038E">
            <w:pPr>
              <w:pStyle w:val="ARtablecolhead"/>
            </w:pPr>
            <w:r w:rsidRPr="00CC4F6D">
              <w:t>Unit of measure</w:t>
            </w:r>
          </w:p>
        </w:tc>
        <w:tc>
          <w:tcPr>
            <w:tcW w:w="1019" w:type="dxa"/>
            <w:gridSpan w:val="2"/>
            <w:tcBorders>
              <w:top w:val="nil"/>
              <w:left w:val="nil"/>
              <w:bottom w:val="single" w:sz="4" w:space="0" w:color="auto"/>
              <w:right w:val="nil"/>
            </w:tcBorders>
            <w:vAlign w:val="bottom"/>
            <w:hideMark/>
          </w:tcPr>
          <w:p w14:paraId="7CEC85C1" w14:textId="77777777" w:rsidR="0064038E" w:rsidRPr="00CC4F6D" w:rsidRDefault="0064038E">
            <w:pPr>
              <w:pStyle w:val="ARtablecolheadright"/>
            </w:pPr>
            <w:r w:rsidRPr="00CC4F6D">
              <w:t>2024–25 target</w:t>
            </w:r>
          </w:p>
        </w:tc>
        <w:tc>
          <w:tcPr>
            <w:tcW w:w="1019" w:type="dxa"/>
            <w:gridSpan w:val="2"/>
            <w:tcBorders>
              <w:top w:val="nil"/>
              <w:left w:val="nil"/>
              <w:bottom w:val="single" w:sz="4" w:space="0" w:color="auto"/>
              <w:right w:val="nil"/>
            </w:tcBorders>
            <w:vAlign w:val="bottom"/>
            <w:hideMark/>
          </w:tcPr>
          <w:p w14:paraId="18D440B1" w14:textId="77777777" w:rsidR="0064038E" w:rsidRPr="00CC4F6D" w:rsidRDefault="0064038E">
            <w:pPr>
              <w:pStyle w:val="ARtablecolheadright"/>
            </w:pPr>
            <w:r w:rsidRPr="00CC4F6D">
              <w:t>2024–25 actual</w:t>
            </w:r>
          </w:p>
        </w:tc>
        <w:tc>
          <w:tcPr>
            <w:tcW w:w="1023" w:type="dxa"/>
            <w:tcBorders>
              <w:top w:val="nil"/>
              <w:left w:val="nil"/>
              <w:bottom w:val="single" w:sz="4" w:space="0" w:color="auto"/>
              <w:right w:val="nil"/>
            </w:tcBorders>
            <w:vAlign w:val="bottom"/>
            <w:hideMark/>
          </w:tcPr>
          <w:p w14:paraId="21C27848" w14:textId="77777777" w:rsidR="0064038E" w:rsidRPr="00CC4F6D" w:rsidRDefault="0064038E">
            <w:pPr>
              <w:pStyle w:val="ARtablecolheadright"/>
            </w:pPr>
            <w:r w:rsidRPr="00CC4F6D">
              <w:t xml:space="preserve">Variation </w:t>
            </w:r>
          </w:p>
        </w:tc>
        <w:tc>
          <w:tcPr>
            <w:tcW w:w="803" w:type="dxa"/>
            <w:tcBorders>
              <w:top w:val="nil"/>
              <w:left w:val="nil"/>
              <w:bottom w:val="single" w:sz="4" w:space="0" w:color="auto"/>
              <w:right w:val="nil"/>
            </w:tcBorders>
            <w:vAlign w:val="bottom"/>
            <w:hideMark/>
          </w:tcPr>
          <w:p w14:paraId="3C8D1B8D" w14:textId="77777777" w:rsidR="0064038E" w:rsidRPr="00CC4F6D" w:rsidRDefault="0064038E">
            <w:pPr>
              <w:pStyle w:val="ARtablecolheadright"/>
            </w:pPr>
            <w:r w:rsidRPr="00CC4F6D">
              <w:t>Result</w:t>
            </w:r>
          </w:p>
        </w:tc>
      </w:tr>
      <w:tr w:rsidR="0064038E" w:rsidRPr="00F07EE7" w14:paraId="2EE7F7C9" w14:textId="77777777" w:rsidTr="006C102A">
        <w:trPr>
          <w:cantSplit/>
        </w:trPr>
        <w:tc>
          <w:tcPr>
            <w:tcW w:w="9632" w:type="dxa"/>
            <w:gridSpan w:val="10"/>
            <w:tcBorders>
              <w:top w:val="single" w:sz="4" w:space="0" w:color="auto"/>
              <w:left w:val="nil"/>
              <w:bottom w:val="single" w:sz="4" w:space="0" w:color="A6A6A6" w:themeColor="accent5"/>
              <w:right w:val="nil"/>
            </w:tcBorders>
            <w:hideMark/>
          </w:tcPr>
          <w:p w14:paraId="5F2BD06E" w14:textId="77777777" w:rsidR="0064038E" w:rsidRPr="00CC4F6D" w:rsidRDefault="0064038E">
            <w:pPr>
              <w:pStyle w:val="ARtablegreybold"/>
            </w:pPr>
            <w:r w:rsidRPr="00CC4F6D">
              <w:t>Quantity</w:t>
            </w:r>
          </w:p>
        </w:tc>
      </w:tr>
      <w:tr w:rsidR="0064038E" w:rsidRPr="00F07EE7" w14:paraId="5D1267C4" w14:textId="77777777" w:rsidTr="006C102A">
        <w:trPr>
          <w:cantSplit/>
        </w:trPr>
        <w:tc>
          <w:tcPr>
            <w:tcW w:w="4749" w:type="dxa"/>
            <w:gridSpan w:val="2"/>
            <w:tcBorders>
              <w:top w:val="single" w:sz="4" w:space="0" w:color="A6A6A6" w:themeColor="accent5"/>
              <w:bottom w:val="single" w:sz="2" w:space="0" w:color="BFBFBF" w:themeColor="background1" w:themeShade="BF"/>
            </w:tcBorders>
            <w:hideMark/>
          </w:tcPr>
          <w:p w14:paraId="14199C1C" w14:textId="77777777" w:rsidR="0064038E" w:rsidRPr="00CC4F6D" w:rsidRDefault="0064038E">
            <w:pPr>
              <w:pStyle w:val="ARtabletext"/>
              <w:keepNext/>
            </w:pPr>
            <w:r w:rsidRPr="00CC4F6D">
              <w:t>Number of calls responded to by the statewide crisis helpline for victim survivors of family violence</w:t>
            </w:r>
          </w:p>
        </w:tc>
        <w:tc>
          <w:tcPr>
            <w:tcW w:w="1019" w:type="dxa"/>
            <w:gridSpan w:val="2"/>
            <w:tcBorders>
              <w:top w:val="single" w:sz="4" w:space="0" w:color="A6A6A6" w:themeColor="accent5"/>
              <w:bottom w:val="single" w:sz="2" w:space="0" w:color="BFBFBF" w:themeColor="background1" w:themeShade="BF"/>
            </w:tcBorders>
            <w:hideMark/>
          </w:tcPr>
          <w:p w14:paraId="35869997" w14:textId="77777777" w:rsidR="0064038E" w:rsidRPr="00CC4F6D" w:rsidRDefault="0064038E">
            <w:pPr>
              <w:pStyle w:val="ARtabletext"/>
            </w:pPr>
            <w:r>
              <w:t>number</w:t>
            </w:r>
          </w:p>
        </w:tc>
        <w:tc>
          <w:tcPr>
            <w:tcW w:w="1019" w:type="dxa"/>
            <w:gridSpan w:val="2"/>
            <w:tcBorders>
              <w:top w:val="single" w:sz="4" w:space="0" w:color="A6A6A6" w:themeColor="accent5"/>
              <w:bottom w:val="single" w:sz="2" w:space="0" w:color="BFBFBF" w:themeColor="background1" w:themeShade="BF"/>
            </w:tcBorders>
            <w:hideMark/>
          </w:tcPr>
          <w:p w14:paraId="07BF1146" w14:textId="77777777" w:rsidR="0064038E" w:rsidRPr="00CC4F6D" w:rsidRDefault="0064038E">
            <w:pPr>
              <w:pStyle w:val="ARtabletextright"/>
            </w:pPr>
            <w:r w:rsidRPr="00CC4F6D">
              <w:t>60,000</w:t>
            </w:r>
          </w:p>
        </w:tc>
        <w:tc>
          <w:tcPr>
            <w:tcW w:w="1019" w:type="dxa"/>
            <w:gridSpan w:val="2"/>
            <w:tcBorders>
              <w:top w:val="single" w:sz="4" w:space="0" w:color="A6A6A6" w:themeColor="accent5"/>
              <w:bottom w:val="single" w:sz="2" w:space="0" w:color="BFBFBF" w:themeColor="background1" w:themeShade="BF"/>
            </w:tcBorders>
            <w:hideMark/>
          </w:tcPr>
          <w:p w14:paraId="48064E9F" w14:textId="77777777" w:rsidR="0064038E" w:rsidRPr="00CC4F6D" w:rsidRDefault="0064038E">
            <w:pPr>
              <w:pStyle w:val="ARtabletextright"/>
            </w:pPr>
            <w:r w:rsidRPr="00CC4F6D">
              <w:t>62,798</w:t>
            </w:r>
          </w:p>
        </w:tc>
        <w:tc>
          <w:tcPr>
            <w:tcW w:w="1023" w:type="dxa"/>
            <w:tcBorders>
              <w:top w:val="single" w:sz="4" w:space="0" w:color="A6A6A6" w:themeColor="accent5"/>
              <w:bottom w:val="single" w:sz="2" w:space="0" w:color="BFBFBF" w:themeColor="background1" w:themeShade="BF"/>
            </w:tcBorders>
          </w:tcPr>
          <w:p w14:paraId="3502F956" w14:textId="77777777" w:rsidR="0064038E" w:rsidRPr="00CC4F6D" w:rsidRDefault="0064038E">
            <w:pPr>
              <w:pStyle w:val="ARtabletextright"/>
            </w:pPr>
            <w:r w:rsidRPr="00CC4F6D">
              <w:t>4.7%</w:t>
            </w:r>
          </w:p>
        </w:tc>
        <w:tc>
          <w:tcPr>
            <w:tcW w:w="803" w:type="dxa"/>
            <w:tcBorders>
              <w:top w:val="single" w:sz="4" w:space="0" w:color="A6A6A6" w:themeColor="accent5"/>
              <w:bottom w:val="single" w:sz="2" w:space="0" w:color="BFBFBF" w:themeColor="background1" w:themeShade="BF"/>
            </w:tcBorders>
            <w:hideMark/>
          </w:tcPr>
          <w:p w14:paraId="4E242E56" w14:textId="77777777" w:rsidR="0064038E" w:rsidRPr="00CC4F6D" w:rsidRDefault="0064038E">
            <w:pPr>
              <w:pStyle w:val="ARtableperformancesymbol"/>
              <w:rPr>
                <w:rFonts w:hint="eastAsia"/>
                <w:lang w:val="en-AU"/>
              </w:rPr>
            </w:pPr>
            <w:r w:rsidRPr="00CC4F6D">
              <w:rPr>
                <w:rFonts w:eastAsia="Wingdings" w:cs="Wingdings"/>
              </w:rPr>
              <w:t></w:t>
            </w:r>
          </w:p>
        </w:tc>
      </w:tr>
      <w:tr w:rsidR="0064038E" w:rsidRPr="008505D6" w14:paraId="4F3819E4" w14:textId="77777777">
        <w:trPr>
          <w:cantSplit/>
        </w:trPr>
        <w:tc>
          <w:tcPr>
            <w:tcW w:w="4739" w:type="dxa"/>
            <w:tcBorders>
              <w:top w:val="single" w:sz="2" w:space="0" w:color="BFBFBF" w:themeColor="background1" w:themeShade="BF"/>
            </w:tcBorders>
            <w:hideMark/>
          </w:tcPr>
          <w:p w14:paraId="2623B1D5" w14:textId="77777777" w:rsidR="0064038E" w:rsidRPr="008505D6" w:rsidRDefault="0064038E">
            <w:pPr>
              <w:pStyle w:val="ARtabletext"/>
              <w:keepNext/>
              <w:spacing w:line="252" w:lineRule="auto"/>
            </w:pPr>
            <w:r w:rsidRPr="008505D6">
              <w:t>Number of calls responded to by the statewide telephone helpline for men regarding family violence</w:t>
            </w:r>
          </w:p>
        </w:tc>
        <w:tc>
          <w:tcPr>
            <w:tcW w:w="1017" w:type="dxa"/>
            <w:gridSpan w:val="2"/>
            <w:tcBorders>
              <w:top w:val="single" w:sz="2" w:space="0" w:color="BFBFBF" w:themeColor="background1" w:themeShade="BF"/>
            </w:tcBorders>
            <w:hideMark/>
          </w:tcPr>
          <w:p w14:paraId="4269F3DF" w14:textId="77777777" w:rsidR="0064038E" w:rsidRPr="008505D6" w:rsidRDefault="0064038E">
            <w:pPr>
              <w:pStyle w:val="ARtabletext"/>
              <w:spacing w:line="252" w:lineRule="auto"/>
            </w:pPr>
            <w:r>
              <w:t>number</w:t>
            </w:r>
          </w:p>
        </w:tc>
        <w:tc>
          <w:tcPr>
            <w:tcW w:w="1016" w:type="dxa"/>
            <w:gridSpan w:val="2"/>
            <w:tcBorders>
              <w:top w:val="single" w:sz="2" w:space="0" w:color="BFBFBF" w:themeColor="background1" w:themeShade="BF"/>
            </w:tcBorders>
            <w:hideMark/>
          </w:tcPr>
          <w:p w14:paraId="75BD9464" w14:textId="77777777" w:rsidR="0064038E" w:rsidRPr="008505D6" w:rsidRDefault="0064038E">
            <w:pPr>
              <w:pStyle w:val="ARtabletextright"/>
              <w:spacing w:line="252" w:lineRule="auto"/>
            </w:pPr>
            <w:r w:rsidRPr="008505D6">
              <w:t>6,500</w:t>
            </w:r>
          </w:p>
        </w:tc>
        <w:tc>
          <w:tcPr>
            <w:tcW w:w="1020" w:type="dxa"/>
            <w:gridSpan w:val="2"/>
            <w:tcBorders>
              <w:top w:val="single" w:sz="2" w:space="0" w:color="BFBFBF" w:themeColor="background1" w:themeShade="BF"/>
            </w:tcBorders>
            <w:hideMark/>
          </w:tcPr>
          <w:p w14:paraId="04F2AD21" w14:textId="77777777" w:rsidR="0064038E" w:rsidRPr="008505D6" w:rsidRDefault="0064038E">
            <w:pPr>
              <w:pStyle w:val="ARtabletextright"/>
              <w:spacing w:line="252" w:lineRule="auto"/>
            </w:pPr>
            <w:r w:rsidRPr="008505D6">
              <w:t>7,933</w:t>
            </w:r>
          </w:p>
        </w:tc>
        <w:tc>
          <w:tcPr>
            <w:tcW w:w="1037" w:type="dxa"/>
            <w:gridSpan w:val="2"/>
            <w:tcBorders>
              <w:top w:val="single" w:sz="2" w:space="0" w:color="BFBFBF" w:themeColor="background1" w:themeShade="BF"/>
            </w:tcBorders>
          </w:tcPr>
          <w:p w14:paraId="6CE87492" w14:textId="77777777" w:rsidR="0064038E" w:rsidRPr="008505D6" w:rsidRDefault="0064038E">
            <w:pPr>
              <w:pStyle w:val="ARtabletextright"/>
              <w:spacing w:line="252" w:lineRule="auto"/>
            </w:pPr>
            <w:r w:rsidRPr="008505D6">
              <w:t>22.0%</w:t>
            </w:r>
          </w:p>
        </w:tc>
        <w:tc>
          <w:tcPr>
            <w:tcW w:w="803" w:type="dxa"/>
            <w:tcBorders>
              <w:top w:val="single" w:sz="2" w:space="0" w:color="BFBFBF" w:themeColor="background1" w:themeShade="BF"/>
            </w:tcBorders>
            <w:hideMark/>
          </w:tcPr>
          <w:p w14:paraId="2CCCFDFA" w14:textId="77777777" w:rsidR="0064038E" w:rsidRPr="008505D6" w:rsidRDefault="0064038E">
            <w:pPr>
              <w:pStyle w:val="ARtableperformancesymbol"/>
              <w:spacing w:line="252" w:lineRule="auto"/>
              <w:rPr>
                <w:rFonts w:hint="eastAsia"/>
                <w:lang w:val="en-AU"/>
              </w:rPr>
            </w:pPr>
            <w:r w:rsidRPr="008505D6">
              <w:rPr>
                <w:rFonts w:eastAsia="Wingdings" w:cs="Wingdings"/>
              </w:rPr>
              <w:t></w:t>
            </w:r>
          </w:p>
        </w:tc>
      </w:tr>
      <w:tr w:rsidR="0064038E" w:rsidRPr="008505D6" w14:paraId="390335ED" w14:textId="77777777">
        <w:trPr>
          <w:cantSplit/>
        </w:trPr>
        <w:tc>
          <w:tcPr>
            <w:tcW w:w="9632" w:type="dxa"/>
            <w:gridSpan w:val="10"/>
            <w:tcBorders>
              <w:bottom w:val="single" w:sz="4" w:space="0" w:color="BFBFBF"/>
            </w:tcBorders>
            <w:noWrap/>
            <w:hideMark/>
          </w:tcPr>
          <w:p w14:paraId="364610E7" w14:textId="2ACC52DF" w:rsidR="0064038E" w:rsidRPr="008505D6" w:rsidRDefault="002438AC" w:rsidP="00130336">
            <w:pPr>
              <w:pStyle w:val="ARtablenoteindent"/>
            </w:pPr>
            <w:r w:rsidRPr="00296197">
              <w:t>The 2024</w:t>
            </w:r>
            <w:r w:rsidR="00464E75">
              <w:t>–</w:t>
            </w:r>
            <w:r w:rsidRPr="00296197">
              <w:t>25 outcome is higher than the 2024</w:t>
            </w:r>
            <w:r w:rsidR="00464E75">
              <w:t>–</w:t>
            </w:r>
            <w:r w:rsidRPr="00296197">
              <w:t>25 target due to the service provider implementing new systems and practices for data capture and reporting and increasing its promotion of the service which has resulted in more calls being responded to during the reporting period</w:t>
            </w:r>
            <w:r>
              <w:t>.</w:t>
            </w:r>
          </w:p>
        </w:tc>
      </w:tr>
      <w:tr w:rsidR="0064038E" w:rsidRPr="00F07EE7" w14:paraId="34C72A9F" w14:textId="77777777" w:rsidTr="00225B16">
        <w:trPr>
          <w:cantSplit/>
          <w:trHeight w:val="518"/>
        </w:trPr>
        <w:tc>
          <w:tcPr>
            <w:tcW w:w="4739" w:type="dxa"/>
          </w:tcPr>
          <w:p w14:paraId="4B388DED" w14:textId="77777777" w:rsidR="0064038E" w:rsidRPr="00F20C86" w:rsidRDefault="0064038E">
            <w:pPr>
              <w:pStyle w:val="ARtabletext"/>
              <w:spacing w:line="252" w:lineRule="auto"/>
            </w:pPr>
            <w:r w:rsidRPr="00F20C86">
              <w:t>Number of case management responses provided to perpetrators of family violence including those that require individualised support</w:t>
            </w:r>
          </w:p>
        </w:tc>
        <w:tc>
          <w:tcPr>
            <w:tcW w:w="1017" w:type="dxa"/>
            <w:gridSpan w:val="2"/>
          </w:tcPr>
          <w:p w14:paraId="53A9AC37" w14:textId="77777777" w:rsidR="0064038E" w:rsidRPr="00F20C86" w:rsidRDefault="0064038E">
            <w:pPr>
              <w:pStyle w:val="ARtabletext"/>
              <w:spacing w:line="252" w:lineRule="auto"/>
            </w:pPr>
            <w:r w:rsidRPr="00F20C86">
              <w:t>number</w:t>
            </w:r>
          </w:p>
        </w:tc>
        <w:tc>
          <w:tcPr>
            <w:tcW w:w="1016" w:type="dxa"/>
            <w:gridSpan w:val="2"/>
          </w:tcPr>
          <w:p w14:paraId="2F40A222" w14:textId="77777777" w:rsidR="0064038E" w:rsidRPr="00F20C86" w:rsidRDefault="0064038E">
            <w:pPr>
              <w:pStyle w:val="ARtabletextright"/>
              <w:spacing w:line="252" w:lineRule="auto"/>
            </w:pPr>
            <w:r w:rsidRPr="00F20C86">
              <w:t>2,500</w:t>
            </w:r>
          </w:p>
        </w:tc>
        <w:tc>
          <w:tcPr>
            <w:tcW w:w="1020" w:type="dxa"/>
            <w:gridSpan w:val="2"/>
          </w:tcPr>
          <w:p w14:paraId="5D98B842" w14:textId="55ABE99C" w:rsidR="0064038E" w:rsidRPr="00F20C86" w:rsidRDefault="006A597D">
            <w:pPr>
              <w:pStyle w:val="ARtabletextright"/>
              <w:spacing w:line="252" w:lineRule="auto"/>
            </w:pPr>
            <w:r w:rsidRPr="00F20C86">
              <w:t>3,328</w:t>
            </w:r>
          </w:p>
        </w:tc>
        <w:tc>
          <w:tcPr>
            <w:tcW w:w="1037" w:type="dxa"/>
            <w:gridSpan w:val="2"/>
          </w:tcPr>
          <w:p w14:paraId="46E1A7E0" w14:textId="5D162E88" w:rsidR="0064038E" w:rsidRPr="00F20C86" w:rsidRDefault="006A597D">
            <w:pPr>
              <w:pStyle w:val="ARtabletextright"/>
              <w:spacing w:line="252" w:lineRule="auto"/>
            </w:pPr>
            <w:r w:rsidRPr="00F20C86">
              <w:t>33.1</w:t>
            </w:r>
            <w:r w:rsidR="0064038E" w:rsidRPr="00F20C86">
              <w:t>%</w:t>
            </w:r>
          </w:p>
        </w:tc>
        <w:tc>
          <w:tcPr>
            <w:tcW w:w="803" w:type="dxa"/>
          </w:tcPr>
          <w:p w14:paraId="59F2056E" w14:textId="7C14ECF1" w:rsidR="0064038E" w:rsidRPr="00F20C86" w:rsidRDefault="006A597D">
            <w:pPr>
              <w:pStyle w:val="ARtableperformancesymbol"/>
              <w:spacing w:line="252" w:lineRule="auto"/>
              <w:rPr>
                <w:rFonts w:eastAsia="Wingdings" w:cs="Wingdings"/>
              </w:rPr>
            </w:pPr>
            <w:r w:rsidRPr="00F20C86">
              <w:rPr>
                <w:rFonts w:eastAsia="Wingdings" w:cs="Wingdings"/>
              </w:rPr>
              <w:t></w:t>
            </w:r>
          </w:p>
        </w:tc>
      </w:tr>
      <w:tr w:rsidR="0064038E" w:rsidRPr="00F07EE7" w14:paraId="39D17541" w14:textId="77777777" w:rsidTr="00225B16">
        <w:trPr>
          <w:cantSplit/>
          <w:trHeight w:val="95"/>
        </w:trPr>
        <w:tc>
          <w:tcPr>
            <w:tcW w:w="9632" w:type="dxa"/>
            <w:gridSpan w:val="10"/>
            <w:tcBorders>
              <w:bottom w:val="single" w:sz="4" w:space="0" w:color="BFBFBF"/>
            </w:tcBorders>
          </w:tcPr>
          <w:p w14:paraId="57BAF18C" w14:textId="70D68BA8" w:rsidR="0064038E" w:rsidRPr="00F20C86" w:rsidRDefault="006470E2" w:rsidP="00225B16">
            <w:pPr>
              <w:pStyle w:val="ARtablenoteindent"/>
            </w:pPr>
            <w:r w:rsidRPr="00F20C86">
              <w:t>The 2024</w:t>
            </w:r>
            <w:r w:rsidR="005C1105">
              <w:t>–</w:t>
            </w:r>
            <w:r w:rsidRPr="00F20C86">
              <w:t>25 outcome is higher than the 2024</w:t>
            </w:r>
            <w:r w:rsidR="005C1105">
              <w:t>–</w:t>
            </w:r>
            <w:r w:rsidRPr="00F20C86">
              <w:t xml:space="preserve">25 target, due to the target not reflecting all in-scope funding. During the reporting period, the </w:t>
            </w:r>
            <w:r w:rsidRPr="00225B16">
              <w:t>database</w:t>
            </w:r>
            <w:r w:rsidRPr="00F20C86">
              <w:t xml:space="preserve"> used to report on this measure has changed to better capture the cases being delivered in the sector. The counting rule for this measure remains unchanged.</w:t>
            </w:r>
          </w:p>
        </w:tc>
      </w:tr>
      <w:tr w:rsidR="0064038E" w:rsidRPr="00F07EE7" w14:paraId="40BEBB05" w14:textId="77777777">
        <w:trPr>
          <w:cantSplit/>
        </w:trPr>
        <w:tc>
          <w:tcPr>
            <w:tcW w:w="4749" w:type="dxa"/>
            <w:gridSpan w:val="2"/>
          </w:tcPr>
          <w:p w14:paraId="338C1FF2" w14:textId="77777777" w:rsidR="0064038E" w:rsidRPr="00435B82" w:rsidRDefault="0064038E">
            <w:pPr>
              <w:pStyle w:val="ARtabletext"/>
              <w:keepNext/>
              <w:spacing w:line="252" w:lineRule="auto"/>
            </w:pPr>
            <w:r w:rsidRPr="00435B82">
              <w:t>Number of cases of support provided to adolescents using violence in the home</w:t>
            </w:r>
          </w:p>
        </w:tc>
        <w:tc>
          <w:tcPr>
            <w:tcW w:w="1019" w:type="dxa"/>
            <w:gridSpan w:val="2"/>
          </w:tcPr>
          <w:p w14:paraId="21B25EE2" w14:textId="77777777" w:rsidR="0064038E" w:rsidRPr="00435B82" w:rsidRDefault="0064038E">
            <w:pPr>
              <w:pStyle w:val="ARtabletext"/>
              <w:spacing w:line="252" w:lineRule="auto"/>
            </w:pPr>
            <w:r w:rsidRPr="00435B82">
              <w:t>number</w:t>
            </w:r>
          </w:p>
        </w:tc>
        <w:tc>
          <w:tcPr>
            <w:tcW w:w="1019" w:type="dxa"/>
            <w:gridSpan w:val="2"/>
          </w:tcPr>
          <w:p w14:paraId="52EEC104" w14:textId="77777777" w:rsidR="0064038E" w:rsidRPr="00435B82" w:rsidRDefault="0064038E">
            <w:pPr>
              <w:pStyle w:val="ARtabletextright"/>
              <w:spacing w:line="252" w:lineRule="auto"/>
            </w:pPr>
            <w:r w:rsidRPr="00435B82">
              <w:t>1,040</w:t>
            </w:r>
          </w:p>
        </w:tc>
        <w:tc>
          <w:tcPr>
            <w:tcW w:w="1019" w:type="dxa"/>
            <w:gridSpan w:val="2"/>
          </w:tcPr>
          <w:p w14:paraId="2C6FAA25" w14:textId="7DD4D388" w:rsidR="0064038E" w:rsidRPr="00435B82" w:rsidRDefault="0064038E">
            <w:pPr>
              <w:pStyle w:val="ARtabletextright"/>
              <w:spacing w:line="252" w:lineRule="auto"/>
            </w:pPr>
            <w:r w:rsidRPr="00435B82">
              <w:t>1,</w:t>
            </w:r>
            <w:r w:rsidR="006470E2" w:rsidRPr="00435B82">
              <w:t>150</w:t>
            </w:r>
          </w:p>
        </w:tc>
        <w:tc>
          <w:tcPr>
            <w:tcW w:w="1023" w:type="dxa"/>
          </w:tcPr>
          <w:p w14:paraId="52DF124D" w14:textId="64BB4E47" w:rsidR="0064038E" w:rsidRPr="00435B82" w:rsidRDefault="006470E2">
            <w:pPr>
              <w:pStyle w:val="ARtabletextright"/>
              <w:spacing w:line="252" w:lineRule="auto"/>
            </w:pPr>
            <w:r w:rsidRPr="00435B82">
              <w:t>10.6</w:t>
            </w:r>
            <w:r w:rsidR="0064038E" w:rsidRPr="00435B82">
              <w:t>%</w:t>
            </w:r>
          </w:p>
        </w:tc>
        <w:tc>
          <w:tcPr>
            <w:tcW w:w="803" w:type="dxa"/>
          </w:tcPr>
          <w:p w14:paraId="52CDEB0A" w14:textId="77777777" w:rsidR="0064038E" w:rsidRPr="00B35951" w:rsidRDefault="0064038E">
            <w:pPr>
              <w:pStyle w:val="ARtableperformancesymbol"/>
              <w:spacing w:line="252" w:lineRule="auto"/>
              <w:rPr>
                <w:rFonts w:eastAsia="Wingdings" w:cs="Wingdings"/>
                <w:lang w:val="en-AU"/>
              </w:rPr>
            </w:pPr>
            <w:r w:rsidRPr="00435B82">
              <w:rPr>
                <w:rFonts w:eastAsia="Wingdings" w:cs="Wingdings"/>
              </w:rPr>
              <w:t></w:t>
            </w:r>
          </w:p>
        </w:tc>
      </w:tr>
      <w:tr w:rsidR="0064038E" w:rsidRPr="00F07EE7" w14:paraId="1E65C92A" w14:textId="77777777">
        <w:trPr>
          <w:cantSplit/>
        </w:trPr>
        <w:tc>
          <w:tcPr>
            <w:tcW w:w="9632" w:type="dxa"/>
            <w:gridSpan w:val="10"/>
            <w:tcBorders>
              <w:bottom w:val="single" w:sz="4" w:space="0" w:color="BFBFBF"/>
            </w:tcBorders>
            <w:noWrap/>
            <w:hideMark/>
          </w:tcPr>
          <w:p w14:paraId="7019873B" w14:textId="0F0C1E79" w:rsidR="0064038E" w:rsidRPr="00F07EE7" w:rsidRDefault="0064038E" w:rsidP="00130336">
            <w:pPr>
              <w:pStyle w:val="ARtablenoteindent"/>
              <w:rPr>
                <w:highlight w:val="cyan"/>
              </w:rPr>
            </w:pPr>
            <w:r w:rsidRPr="00B35951">
              <w:t>The 2024</w:t>
            </w:r>
            <w:r>
              <w:t>–</w:t>
            </w:r>
            <w:r w:rsidRPr="00B35951">
              <w:t xml:space="preserve">25 outcome is higher </w:t>
            </w:r>
            <w:r w:rsidRPr="00130336">
              <w:t>than</w:t>
            </w:r>
            <w:r w:rsidRPr="00B35951">
              <w:t xml:space="preserve"> the 2024</w:t>
            </w:r>
            <w:r>
              <w:t>–</w:t>
            </w:r>
            <w:r w:rsidRPr="00B35951">
              <w:t>25 target due to increased demand across the state.</w:t>
            </w:r>
          </w:p>
        </w:tc>
      </w:tr>
      <w:tr w:rsidR="0064038E" w:rsidRPr="002E384A" w14:paraId="7FFF2813" w14:textId="77777777">
        <w:trPr>
          <w:cantSplit/>
        </w:trPr>
        <w:tc>
          <w:tcPr>
            <w:tcW w:w="4749" w:type="dxa"/>
            <w:gridSpan w:val="2"/>
            <w:tcBorders>
              <w:top w:val="single" w:sz="4" w:space="0" w:color="BFBFBF" w:themeColor="background1" w:themeShade="BF"/>
            </w:tcBorders>
          </w:tcPr>
          <w:p w14:paraId="41E304EF" w14:textId="77777777" w:rsidR="0064038E" w:rsidRPr="002E384A" w:rsidRDefault="0064038E">
            <w:pPr>
              <w:pStyle w:val="ARtabletext"/>
              <w:keepNext/>
              <w:spacing w:line="252" w:lineRule="auto"/>
            </w:pPr>
            <w:r w:rsidRPr="002E384A">
              <w:t>Number of cases referred to Risk Assessment and Management Panels and managed by the coordinators</w:t>
            </w:r>
          </w:p>
        </w:tc>
        <w:tc>
          <w:tcPr>
            <w:tcW w:w="1019" w:type="dxa"/>
            <w:gridSpan w:val="2"/>
            <w:tcBorders>
              <w:top w:val="single" w:sz="4" w:space="0" w:color="BFBFBF" w:themeColor="background1" w:themeShade="BF"/>
            </w:tcBorders>
          </w:tcPr>
          <w:p w14:paraId="3D4112E6" w14:textId="77777777" w:rsidR="0064038E" w:rsidRPr="002E384A" w:rsidRDefault="0064038E">
            <w:pPr>
              <w:pStyle w:val="ARtabletext"/>
              <w:spacing w:line="252" w:lineRule="auto"/>
            </w:pPr>
            <w:r w:rsidRPr="002E384A">
              <w:t>number</w:t>
            </w:r>
          </w:p>
        </w:tc>
        <w:tc>
          <w:tcPr>
            <w:tcW w:w="1019" w:type="dxa"/>
            <w:gridSpan w:val="2"/>
            <w:tcBorders>
              <w:top w:val="single" w:sz="4" w:space="0" w:color="BFBFBF" w:themeColor="background1" w:themeShade="BF"/>
            </w:tcBorders>
          </w:tcPr>
          <w:p w14:paraId="047EE5BD" w14:textId="77777777" w:rsidR="0064038E" w:rsidRPr="002E384A" w:rsidRDefault="0064038E">
            <w:pPr>
              <w:pStyle w:val="ARtabletextright"/>
              <w:spacing w:line="252" w:lineRule="auto"/>
            </w:pPr>
            <w:r w:rsidRPr="002E384A">
              <w:t>200</w:t>
            </w:r>
          </w:p>
        </w:tc>
        <w:tc>
          <w:tcPr>
            <w:tcW w:w="1019" w:type="dxa"/>
            <w:gridSpan w:val="2"/>
            <w:tcBorders>
              <w:top w:val="single" w:sz="4" w:space="0" w:color="BFBFBF" w:themeColor="background1" w:themeShade="BF"/>
            </w:tcBorders>
          </w:tcPr>
          <w:p w14:paraId="13403185" w14:textId="117EFE2F" w:rsidR="0064038E" w:rsidRPr="002E384A" w:rsidRDefault="0064038E">
            <w:pPr>
              <w:pStyle w:val="ARtabletextright"/>
              <w:spacing w:line="252" w:lineRule="auto"/>
            </w:pPr>
            <w:r w:rsidRPr="002E384A">
              <w:t>23</w:t>
            </w:r>
            <w:r w:rsidR="00EB67AD" w:rsidRPr="002E384A">
              <w:t>2</w:t>
            </w:r>
          </w:p>
        </w:tc>
        <w:tc>
          <w:tcPr>
            <w:tcW w:w="1023" w:type="dxa"/>
            <w:tcBorders>
              <w:top w:val="single" w:sz="4" w:space="0" w:color="BFBFBF" w:themeColor="background1" w:themeShade="BF"/>
            </w:tcBorders>
          </w:tcPr>
          <w:p w14:paraId="20B87517" w14:textId="6269881D" w:rsidR="0064038E" w:rsidRPr="002E384A" w:rsidRDefault="0064038E">
            <w:pPr>
              <w:pStyle w:val="ARtabletextright"/>
              <w:spacing w:line="252" w:lineRule="auto"/>
            </w:pPr>
            <w:r w:rsidRPr="002E384A">
              <w:t>16.</w:t>
            </w:r>
            <w:r w:rsidR="00EB67AD" w:rsidRPr="002E384A">
              <w:t>0</w:t>
            </w:r>
            <w:r w:rsidRPr="002E384A">
              <w:t>%</w:t>
            </w:r>
          </w:p>
        </w:tc>
        <w:tc>
          <w:tcPr>
            <w:tcW w:w="803" w:type="dxa"/>
            <w:tcBorders>
              <w:top w:val="single" w:sz="4" w:space="0" w:color="BFBFBF" w:themeColor="background1" w:themeShade="BF"/>
            </w:tcBorders>
          </w:tcPr>
          <w:p w14:paraId="5F70A88E" w14:textId="77777777" w:rsidR="0064038E" w:rsidRPr="002E384A" w:rsidRDefault="0064038E">
            <w:pPr>
              <w:pStyle w:val="ARtableperformancesymbol"/>
              <w:spacing w:line="252" w:lineRule="auto"/>
              <w:rPr>
                <w:rFonts w:hint="eastAsia"/>
              </w:rPr>
            </w:pPr>
            <w:r w:rsidRPr="002E384A">
              <w:rPr>
                <w:rFonts w:eastAsia="Wingdings" w:cs="Wingdings"/>
              </w:rPr>
              <w:t></w:t>
            </w:r>
          </w:p>
        </w:tc>
      </w:tr>
      <w:tr w:rsidR="0064038E" w:rsidRPr="00F07EE7" w14:paraId="7F211A6C" w14:textId="77777777">
        <w:trPr>
          <w:cantSplit/>
        </w:trPr>
        <w:tc>
          <w:tcPr>
            <w:tcW w:w="9632" w:type="dxa"/>
            <w:gridSpan w:val="10"/>
            <w:tcBorders>
              <w:bottom w:val="single" w:sz="4" w:space="0" w:color="BFBFBF" w:themeColor="background1" w:themeShade="BF"/>
            </w:tcBorders>
          </w:tcPr>
          <w:p w14:paraId="7AB14E98" w14:textId="7B93F958" w:rsidR="0064038E" w:rsidRPr="002E384A" w:rsidRDefault="002C1BCD" w:rsidP="00130336">
            <w:pPr>
              <w:pStyle w:val="ARtablenoteindent"/>
            </w:pPr>
            <w:r w:rsidRPr="002E384A">
              <w:t>The 2024</w:t>
            </w:r>
            <w:r w:rsidR="005C1105">
              <w:t>–</w:t>
            </w:r>
            <w:r w:rsidRPr="002E384A">
              <w:t>25 outcome is higher than the 2024</w:t>
            </w:r>
            <w:r w:rsidR="005C1105">
              <w:t>–</w:t>
            </w:r>
            <w:r w:rsidRPr="002E384A">
              <w:t>25 target due to the improved specialist family violence system that has enabled a proactive engagement of the Risk Assessment and Management Panel (RAMP) Coordinators with the sector to manage risk.</w:t>
            </w:r>
          </w:p>
        </w:tc>
      </w:tr>
      <w:tr w:rsidR="0064038E" w:rsidRPr="00FE703F" w14:paraId="7FA2F3B2" w14:textId="77777777">
        <w:trPr>
          <w:cantSplit/>
        </w:trPr>
        <w:tc>
          <w:tcPr>
            <w:tcW w:w="4749" w:type="dxa"/>
            <w:gridSpan w:val="2"/>
            <w:tcBorders>
              <w:top w:val="single" w:sz="4" w:space="0" w:color="BFBFBF" w:themeColor="background1" w:themeShade="BF"/>
            </w:tcBorders>
            <w:hideMark/>
          </w:tcPr>
          <w:p w14:paraId="33FF8F28" w14:textId="77777777" w:rsidR="0064038E" w:rsidRPr="00FE703F" w:rsidRDefault="0064038E">
            <w:pPr>
              <w:pStyle w:val="ARtabletext"/>
              <w:keepNext/>
              <w:spacing w:line="252" w:lineRule="auto"/>
            </w:pPr>
            <w:r w:rsidRPr="00FE703F">
              <w:t>Number of cases referred to and assisted by a Risk Assessment and Management Panel</w:t>
            </w:r>
          </w:p>
        </w:tc>
        <w:tc>
          <w:tcPr>
            <w:tcW w:w="1019" w:type="dxa"/>
            <w:gridSpan w:val="2"/>
            <w:tcBorders>
              <w:top w:val="single" w:sz="4" w:space="0" w:color="BFBFBF" w:themeColor="background1" w:themeShade="BF"/>
            </w:tcBorders>
            <w:hideMark/>
          </w:tcPr>
          <w:p w14:paraId="6E23B6FD" w14:textId="77777777" w:rsidR="0064038E" w:rsidRPr="00FE703F" w:rsidRDefault="0064038E">
            <w:pPr>
              <w:pStyle w:val="ARtabletext"/>
              <w:spacing w:line="252" w:lineRule="auto"/>
            </w:pPr>
            <w:r w:rsidRPr="00FE703F">
              <w:t>number</w:t>
            </w:r>
          </w:p>
        </w:tc>
        <w:tc>
          <w:tcPr>
            <w:tcW w:w="1019" w:type="dxa"/>
            <w:gridSpan w:val="2"/>
            <w:tcBorders>
              <w:top w:val="single" w:sz="4" w:space="0" w:color="BFBFBF" w:themeColor="background1" w:themeShade="BF"/>
            </w:tcBorders>
            <w:hideMark/>
          </w:tcPr>
          <w:p w14:paraId="6B2FF05C" w14:textId="77777777" w:rsidR="0064038E" w:rsidRPr="00FE703F" w:rsidRDefault="0064038E">
            <w:pPr>
              <w:pStyle w:val="ARtabletextright"/>
              <w:spacing w:line="252" w:lineRule="auto"/>
            </w:pPr>
            <w:r w:rsidRPr="00FE703F">
              <w:t>450</w:t>
            </w:r>
          </w:p>
        </w:tc>
        <w:tc>
          <w:tcPr>
            <w:tcW w:w="1019" w:type="dxa"/>
            <w:gridSpan w:val="2"/>
            <w:tcBorders>
              <w:top w:val="single" w:sz="4" w:space="0" w:color="BFBFBF" w:themeColor="background1" w:themeShade="BF"/>
            </w:tcBorders>
            <w:hideMark/>
          </w:tcPr>
          <w:p w14:paraId="2924DB5B" w14:textId="77777777" w:rsidR="0064038E" w:rsidRPr="00FE703F" w:rsidRDefault="0064038E">
            <w:pPr>
              <w:pStyle w:val="ARtabletextright"/>
              <w:spacing w:line="252" w:lineRule="auto"/>
            </w:pPr>
            <w:r w:rsidRPr="00FE703F">
              <w:t>352</w:t>
            </w:r>
          </w:p>
        </w:tc>
        <w:tc>
          <w:tcPr>
            <w:tcW w:w="1023" w:type="dxa"/>
            <w:tcBorders>
              <w:top w:val="single" w:sz="4" w:space="0" w:color="BFBFBF" w:themeColor="background1" w:themeShade="BF"/>
            </w:tcBorders>
          </w:tcPr>
          <w:p w14:paraId="05FFF520" w14:textId="20980293" w:rsidR="0064038E" w:rsidRPr="00FE703F" w:rsidRDefault="00430898">
            <w:pPr>
              <w:pStyle w:val="ARtabletextright"/>
              <w:spacing w:line="252" w:lineRule="auto"/>
            </w:pPr>
            <w:r>
              <w:t>−</w:t>
            </w:r>
            <w:r w:rsidR="0064038E" w:rsidRPr="00FE703F">
              <w:t>21.8%</w:t>
            </w:r>
          </w:p>
        </w:tc>
        <w:tc>
          <w:tcPr>
            <w:tcW w:w="803" w:type="dxa"/>
            <w:tcBorders>
              <w:top w:val="single" w:sz="4" w:space="0" w:color="BFBFBF" w:themeColor="background1" w:themeShade="BF"/>
            </w:tcBorders>
            <w:hideMark/>
          </w:tcPr>
          <w:p w14:paraId="476B6F8B" w14:textId="77777777" w:rsidR="0064038E" w:rsidRPr="00FE703F" w:rsidRDefault="0064038E">
            <w:pPr>
              <w:pStyle w:val="ARtableperformancesymbol"/>
              <w:spacing w:line="252" w:lineRule="auto"/>
              <w:rPr>
                <w:rFonts w:hint="eastAsia"/>
                <w:lang w:val="en-AU"/>
              </w:rPr>
            </w:pPr>
            <w:r w:rsidRPr="00FE703F">
              <w:rPr>
                <w:rFonts w:eastAsia="Wingdings" w:cs="Wingdings"/>
              </w:rPr>
              <w:t></w:t>
            </w:r>
          </w:p>
        </w:tc>
      </w:tr>
      <w:tr w:rsidR="0064038E" w:rsidRPr="00F07EE7" w14:paraId="2BE7CF4C" w14:textId="77777777">
        <w:trPr>
          <w:cantSplit/>
        </w:trPr>
        <w:tc>
          <w:tcPr>
            <w:tcW w:w="9632" w:type="dxa"/>
            <w:gridSpan w:val="10"/>
            <w:tcBorders>
              <w:bottom w:val="single" w:sz="4" w:space="0" w:color="BFBFBF" w:themeColor="background1" w:themeShade="BF"/>
            </w:tcBorders>
          </w:tcPr>
          <w:p w14:paraId="296BE974" w14:textId="62A0FB37" w:rsidR="0064038E" w:rsidRPr="00FE703F" w:rsidRDefault="0058415F" w:rsidP="00130336">
            <w:pPr>
              <w:pStyle w:val="ARtablenoteindent"/>
            </w:pPr>
            <w:r w:rsidRPr="00FE703F">
              <w:t>The 2024</w:t>
            </w:r>
            <w:r w:rsidR="005C1105">
              <w:t>–</w:t>
            </w:r>
            <w:r w:rsidRPr="00FE703F">
              <w:t>25 outcome is lower than the 2024</w:t>
            </w:r>
            <w:r w:rsidR="005C1105">
              <w:t>–</w:t>
            </w:r>
            <w:r w:rsidRPr="00FE703F">
              <w:t>25 target due to an increased number of cases being managed by the RAMP Coordinators and therefore not progressing to a RAMP.</w:t>
            </w:r>
          </w:p>
        </w:tc>
      </w:tr>
      <w:tr w:rsidR="0064038E" w:rsidRPr="008021E5" w14:paraId="0A82FCD0" w14:textId="77777777">
        <w:trPr>
          <w:cantSplit/>
        </w:trPr>
        <w:tc>
          <w:tcPr>
            <w:tcW w:w="4749" w:type="dxa"/>
            <w:gridSpan w:val="2"/>
            <w:hideMark/>
          </w:tcPr>
          <w:p w14:paraId="77086D60" w14:textId="77777777" w:rsidR="0064038E" w:rsidRPr="008021E5" w:rsidRDefault="0064038E">
            <w:pPr>
              <w:pStyle w:val="ARtabletext"/>
              <w:keepNext/>
              <w:spacing w:line="252" w:lineRule="auto"/>
            </w:pPr>
            <w:r w:rsidRPr="008021E5">
              <w:t>Number of children who receive a Sexually Abusive Behaviours Treatment Service response</w:t>
            </w:r>
          </w:p>
        </w:tc>
        <w:tc>
          <w:tcPr>
            <w:tcW w:w="1019" w:type="dxa"/>
            <w:gridSpan w:val="2"/>
            <w:hideMark/>
          </w:tcPr>
          <w:p w14:paraId="1958E2C1" w14:textId="77777777" w:rsidR="0064038E" w:rsidRPr="008021E5" w:rsidRDefault="0064038E">
            <w:pPr>
              <w:pStyle w:val="ARtabletext"/>
              <w:spacing w:line="252" w:lineRule="auto"/>
            </w:pPr>
            <w:r w:rsidRPr="008021E5">
              <w:t>number</w:t>
            </w:r>
          </w:p>
        </w:tc>
        <w:tc>
          <w:tcPr>
            <w:tcW w:w="1019" w:type="dxa"/>
            <w:gridSpan w:val="2"/>
            <w:hideMark/>
          </w:tcPr>
          <w:p w14:paraId="01FFC8BB" w14:textId="77777777" w:rsidR="0064038E" w:rsidRPr="008021E5" w:rsidRDefault="0064038E">
            <w:pPr>
              <w:pStyle w:val="ARtabletextright"/>
              <w:spacing w:line="252" w:lineRule="auto"/>
            </w:pPr>
            <w:r w:rsidRPr="008021E5">
              <w:t>1,220</w:t>
            </w:r>
          </w:p>
        </w:tc>
        <w:tc>
          <w:tcPr>
            <w:tcW w:w="1019" w:type="dxa"/>
            <w:gridSpan w:val="2"/>
            <w:hideMark/>
          </w:tcPr>
          <w:p w14:paraId="4CC44D67" w14:textId="5A2DD8E4" w:rsidR="0064038E" w:rsidRPr="008021E5" w:rsidRDefault="0058415F">
            <w:pPr>
              <w:pStyle w:val="ARtabletextright"/>
              <w:spacing w:line="252" w:lineRule="auto"/>
            </w:pPr>
            <w:r w:rsidRPr="008021E5">
              <w:t>918</w:t>
            </w:r>
          </w:p>
        </w:tc>
        <w:tc>
          <w:tcPr>
            <w:tcW w:w="1023" w:type="dxa"/>
          </w:tcPr>
          <w:p w14:paraId="21DA4D5A" w14:textId="6D050FDD" w:rsidR="0064038E" w:rsidRPr="008021E5" w:rsidRDefault="00430898">
            <w:pPr>
              <w:pStyle w:val="ARtabletextright"/>
              <w:spacing w:line="252" w:lineRule="auto"/>
            </w:pPr>
            <w:r>
              <w:t>−</w:t>
            </w:r>
            <w:r w:rsidR="0064038E" w:rsidRPr="008021E5">
              <w:t>2</w:t>
            </w:r>
            <w:r w:rsidR="0058415F" w:rsidRPr="008021E5">
              <w:t>4.8</w:t>
            </w:r>
            <w:r w:rsidR="0064038E" w:rsidRPr="008021E5">
              <w:t>%</w:t>
            </w:r>
          </w:p>
        </w:tc>
        <w:tc>
          <w:tcPr>
            <w:tcW w:w="803" w:type="dxa"/>
            <w:hideMark/>
          </w:tcPr>
          <w:p w14:paraId="4ED63383" w14:textId="77777777" w:rsidR="0064038E" w:rsidRPr="008021E5" w:rsidRDefault="0064038E">
            <w:pPr>
              <w:pStyle w:val="ARtableperformancesymbol"/>
              <w:spacing w:line="252" w:lineRule="auto"/>
              <w:rPr>
                <w:rFonts w:hint="eastAsia"/>
                <w:lang w:val="en-AU"/>
              </w:rPr>
            </w:pPr>
            <w:r w:rsidRPr="008021E5">
              <w:rPr>
                <w:rFonts w:eastAsia="Wingdings" w:cs="Wingdings"/>
              </w:rPr>
              <w:t></w:t>
            </w:r>
          </w:p>
        </w:tc>
      </w:tr>
      <w:tr w:rsidR="0064038E" w:rsidRPr="00F07EE7" w14:paraId="76EDA570" w14:textId="77777777">
        <w:trPr>
          <w:cantSplit/>
        </w:trPr>
        <w:tc>
          <w:tcPr>
            <w:tcW w:w="9632" w:type="dxa"/>
            <w:gridSpan w:val="10"/>
            <w:tcBorders>
              <w:bottom w:val="single" w:sz="4" w:space="0" w:color="A6A6A6"/>
            </w:tcBorders>
            <w:noWrap/>
            <w:hideMark/>
          </w:tcPr>
          <w:p w14:paraId="5E297155" w14:textId="5EF9C878" w:rsidR="0064038E" w:rsidRPr="008021E5" w:rsidRDefault="0007482B" w:rsidP="00130336">
            <w:pPr>
              <w:pStyle w:val="ARtablenoteindent"/>
            </w:pPr>
            <w:r w:rsidRPr="008021E5">
              <w:t>The 2024</w:t>
            </w:r>
            <w:r w:rsidR="005C1105">
              <w:t>–</w:t>
            </w:r>
            <w:r w:rsidRPr="008021E5">
              <w:t>25 outcome is lower than the 2024</w:t>
            </w:r>
            <w:r w:rsidR="005C1105">
              <w:t>–</w:t>
            </w:r>
            <w:r w:rsidRPr="008021E5">
              <w:t xml:space="preserve">25 target due to the complexities of working with children and young people who display harmful sexual behaviours and their families. This means that a longer period of engagement may be </w:t>
            </w:r>
            <w:r w:rsidR="00D00804" w:rsidRPr="008021E5">
              <w:t>needed,</w:t>
            </w:r>
            <w:r w:rsidRPr="008021E5">
              <w:t xml:space="preserve"> and agencies can work with young people and their families for up to two years. Where a high proportion of young people require lengthy engagement there is reduced capacity for new cases to be opened. Demand for the program remains strong and the longer-term nature of intervention impacts on the ability of agencies to accept new referrals as evidenced by higher wait lists for</w:t>
            </w:r>
            <w:r w:rsidR="00130336" w:rsidRPr="008021E5">
              <w:t> </w:t>
            </w:r>
            <w:r w:rsidRPr="008021E5">
              <w:t>services.</w:t>
            </w:r>
          </w:p>
        </w:tc>
      </w:tr>
      <w:tr w:rsidR="0064038E" w:rsidRPr="00D14E23" w14:paraId="4BC8EF74" w14:textId="77777777">
        <w:trPr>
          <w:cantSplit/>
        </w:trPr>
        <w:tc>
          <w:tcPr>
            <w:tcW w:w="4749" w:type="dxa"/>
            <w:gridSpan w:val="2"/>
            <w:tcBorders>
              <w:top w:val="single" w:sz="4" w:space="0" w:color="A6A6A6"/>
            </w:tcBorders>
            <w:hideMark/>
          </w:tcPr>
          <w:p w14:paraId="15F0B88B" w14:textId="3DF6A301" w:rsidR="0064038E" w:rsidRPr="00D14E23" w:rsidRDefault="0064038E">
            <w:pPr>
              <w:pStyle w:val="ARtabletext"/>
            </w:pPr>
            <w:r w:rsidRPr="00D14E23">
              <w:t xml:space="preserve">Number of family violence victim survivors who </w:t>
            </w:r>
            <w:r w:rsidR="002A41B7" w:rsidRPr="00D14E23">
              <w:t>received</w:t>
            </w:r>
            <w:r w:rsidR="002A41B7">
              <w:t> </w:t>
            </w:r>
            <w:r w:rsidR="002A41B7" w:rsidRPr="00D14E23">
              <w:t>a</w:t>
            </w:r>
            <w:r w:rsidR="002A41B7">
              <w:t> </w:t>
            </w:r>
            <w:r w:rsidRPr="00D14E23">
              <w:t>refuge response</w:t>
            </w:r>
          </w:p>
        </w:tc>
        <w:tc>
          <w:tcPr>
            <w:tcW w:w="1019" w:type="dxa"/>
            <w:gridSpan w:val="2"/>
            <w:tcBorders>
              <w:top w:val="single" w:sz="4" w:space="0" w:color="A6A6A6"/>
            </w:tcBorders>
            <w:hideMark/>
          </w:tcPr>
          <w:p w14:paraId="4EE473E7" w14:textId="77777777" w:rsidR="0064038E" w:rsidRPr="00D14E23" w:rsidRDefault="0064038E">
            <w:pPr>
              <w:pStyle w:val="ARtabletext"/>
            </w:pPr>
            <w:r w:rsidRPr="00D14E23">
              <w:t>number</w:t>
            </w:r>
          </w:p>
        </w:tc>
        <w:tc>
          <w:tcPr>
            <w:tcW w:w="1019" w:type="dxa"/>
            <w:gridSpan w:val="2"/>
            <w:tcBorders>
              <w:top w:val="single" w:sz="4" w:space="0" w:color="A6A6A6"/>
            </w:tcBorders>
            <w:hideMark/>
          </w:tcPr>
          <w:p w14:paraId="2D3F42BB" w14:textId="77777777" w:rsidR="0064038E" w:rsidRPr="00D14E23" w:rsidRDefault="0064038E">
            <w:pPr>
              <w:pStyle w:val="ARtabletextright"/>
            </w:pPr>
            <w:r w:rsidRPr="00D14E23">
              <w:t>1,061</w:t>
            </w:r>
          </w:p>
        </w:tc>
        <w:tc>
          <w:tcPr>
            <w:tcW w:w="1019" w:type="dxa"/>
            <w:gridSpan w:val="2"/>
            <w:tcBorders>
              <w:top w:val="single" w:sz="4" w:space="0" w:color="A6A6A6"/>
            </w:tcBorders>
            <w:hideMark/>
          </w:tcPr>
          <w:p w14:paraId="6EEFC34B" w14:textId="0860AE15" w:rsidR="0064038E" w:rsidRPr="00D14E23" w:rsidRDefault="0064038E">
            <w:pPr>
              <w:pStyle w:val="ARtabletextright"/>
            </w:pPr>
            <w:r w:rsidRPr="00D14E23">
              <w:t>8</w:t>
            </w:r>
            <w:r w:rsidR="00DD4B74" w:rsidRPr="00D14E23">
              <w:t>89</w:t>
            </w:r>
          </w:p>
        </w:tc>
        <w:tc>
          <w:tcPr>
            <w:tcW w:w="1023" w:type="dxa"/>
            <w:tcBorders>
              <w:top w:val="single" w:sz="4" w:space="0" w:color="A6A6A6"/>
            </w:tcBorders>
          </w:tcPr>
          <w:p w14:paraId="7F23F965" w14:textId="598B6F38" w:rsidR="0064038E" w:rsidRPr="00D14E23" w:rsidRDefault="00430898">
            <w:pPr>
              <w:pStyle w:val="ARtabletextright"/>
            </w:pPr>
            <w:r>
              <w:t>−</w:t>
            </w:r>
            <w:r w:rsidR="0064038E" w:rsidRPr="00D14E23">
              <w:t>1</w:t>
            </w:r>
            <w:r w:rsidR="00DD4B74" w:rsidRPr="00D14E23">
              <w:t>6</w:t>
            </w:r>
            <w:r w:rsidR="0064038E" w:rsidRPr="00D14E23">
              <w:t>.</w:t>
            </w:r>
            <w:r w:rsidR="00DD4B74" w:rsidRPr="00D14E23">
              <w:t>2</w:t>
            </w:r>
            <w:r w:rsidR="0064038E" w:rsidRPr="00D14E23">
              <w:t>%</w:t>
            </w:r>
          </w:p>
        </w:tc>
        <w:tc>
          <w:tcPr>
            <w:tcW w:w="803" w:type="dxa"/>
            <w:tcBorders>
              <w:top w:val="single" w:sz="4" w:space="0" w:color="A6A6A6"/>
            </w:tcBorders>
            <w:hideMark/>
          </w:tcPr>
          <w:p w14:paraId="2223A04A" w14:textId="77777777" w:rsidR="0064038E" w:rsidRPr="00D14E23" w:rsidRDefault="0064038E">
            <w:pPr>
              <w:pStyle w:val="ARtableperformancesymbol"/>
              <w:rPr>
                <w:rFonts w:hint="eastAsia"/>
                <w:lang w:val="en-AU"/>
              </w:rPr>
            </w:pPr>
            <w:r w:rsidRPr="00D14E23">
              <w:rPr>
                <w:rFonts w:eastAsia="Wingdings" w:cs="Wingdings"/>
              </w:rPr>
              <w:t></w:t>
            </w:r>
          </w:p>
        </w:tc>
      </w:tr>
      <w:tr w:rsidR="0064038E" w:rsidRPr="00F07EE7" w14:paraId="1CF29BAD" w14:textId="77777777">
        <w:trPr>
          <w:cantSplit/>
        </w:trPr>
        <w:tc>
          <w:tcPr>
            <w:tcW w:w="9632" w:type="dxa"/>
            <w:gridSpan w:val="10"/>
            <w:tcBorders>
              <w:bottom w:val="single" w:sz="4" w:space="0" w:color="BFBFBF" w:themeColor="background1" w:themeShade="BF"/>
            </w:tcBorders>
          </w:tcPr>
          <w:p w14:paraId="7697144C" w14:textId="39D8200D" w:rsidR="0064038E" w:rsidRPr="00D14E23" w:rsidRDefault="000A3D2D" w:rsidP="00130336">
            <w:pPr>
              <w:pStyle w:val="ARtablenoteindent"/>
            </w:pPr>
            <w:r w:rsidRPr="00D14E23">
              <w:t>The 2024</w:t>
            </w:r>
            <w:r w:rsidR="005C1105">
              <w:t>–</w:t>
            </w:r>
            <w:r w:rsidRPr="00D14E23">
              <w:t xml:space="preserve">25 </w:t>
            </w:r>
            <w:r w:rsidR="00542E7B">
              <w:t>outcome</w:t>
            </w:r>
            <w:r w:rsidR="00542E7B" w:rsidRPr="00D14E23">
              <w:t xml:space="preserve"> </w:t>
            </w:r>
            <w:r w:rsidRPr="00D14E23">
              <w:t>is lower than the 2024</w:t>
            </w:r>
            <w:r w:rsidR="005C1105">
              <w:t>–</w:t>
            </w:r>
            <w:r w:rsidRPr="00D14E23">
              <w:t xml:space="preserve">25 target due to a combination of factors, including maintenance and upgrades works being undertaken on </w:t>
            </w:r>
            <w:proofErr w:type="gramStart"/>
            <w:r w:rsidRPr="00D14E23">
              <w:t>a number of</w:t>
            </w:r>
            <w:proofErr w:type="gramEnd"/>
            <w:r w:rsidRPr="00D14E23">
              <w:t xml:space="preserve"> refuge properties which reduced capacity, as well as under-reporting by agencies. A complex interplay of factors also contributes to longer stays in refuge including housing affordability, a lack of available rental properties, or other suitable exit options for victim survivors.</w:t>
            </w:r>
          </w:p>
        </w:tc>
      </w:tr>
      <w:tr w:rsidR="0064038E" w:rsidRPr="00202A8A" w14:paraId="4ECA7414" w14:textId="77777777">
        <w:trPr>
          <w:cantSplit/>
        </w:trPr>
        <w:tc>
          <w:tcPr>
            <w:tcW w:w="4739" w:type="dxa"/>
            <w:hideMark/>
          </w:tcPr>
          <w:p w14:paraId="224AFD43" w14:textId="77777777" w:rsidR="0064038E" w:rsidRPr="00202A8A" w:rsidRDefault="0064038E" w:rsidP="00130336">
            <w:pPr>
              <w:pStyle w:val="ARtabletext"/>
              <w:pageBreakBefore/>
              <w:spacing w:line="252" w:lineRule="auto"/>
            </w:pPr>
            <w:r w:rsidRPr="00202A8A">
              <w:lastRenderedPageBreak/>
              <w:t>Number of men participating in the Men’s Behaviour Change program</w:t>
            </w:r>
          </w:p>
        </w:tc>
        <w:tc>
          <w:tcPr>
            <w:tcW w:w="1017" w:type="dxa"/>
            <w:gridSpan w:val="2"/>
            <w:hideMark/>
          </w:tcPr>
          <w:p w14:paraId="31E2BCC5" w14:textId="77777777" w:rsidR="0064038E" w:rsidRPr="00202A8A" w:rsidRDefault="0064038E">
            <w:pPr>
              <w:pStyle w:val="ARtabletext"/>
              <w:spacing w:line="252" w:lineRule="auto"/>
            </w:pPr>
            <w:r w:rsidRPr="00202A8A">
              <w:t>number</w:t>
            </w:r>
          </w:p>
        </w:tc>
        <w:tc>
          <w:tcPr>
            <w:tcW w:w="1016" w:type="dxa"/>
            <w:gridSpan w:val="2"/>
            <w:hideMark/>
          </w:tcPr>
          <w:p w14:paraId="6270ABB4" w14:textId="77777777" w:rsidR="0064038E" w:rsidRPr="00202A8A" w:rsidRDefault="0064038E">
            <w:pPr>
              <w:pStyle w:val="ARtabletextright"/>
              <w:spacing w:line="252" w:lineRule="auto"/>
            </w:pPr>
            <w:r w:rsidRPr="00202A8A">
              <w:t>4,400</w:t>
            </w:r>
          </w:p>
        </w:tc>
        <w:tc>
          <w:tcPr>
            <w:tcW w:w="1020" w:type="dxa"/>
            <w:gridSpan w:val="2"/>
            <w:hideMark/>
          </w:tcPr>
          <w:p w14:paraId="177805F0" w14:textId="265211EB" w:rsidR="0064038E" w:rsidRPr="00202A8A" w:rsidRDefault="000A3D2D">
            <w:pPr>
              <w:pStyle w:val="ARtabletextright"/>
              <w:spacing w:line="252" w:lineRule="auto"/>
            </w:pPr>
            <w:r w:rsidRPr="00202A8A">
              <w:t>5,337</w:t>
            </w:r>
          </w:p>
        </w:tc>
        <w:tc>
          <w:tcPr>
            <w:tcW w:w="1037" w:type="dxa"/>
            <w:gridSpan w:val="2"/>
          </w:tcPr>
          <w:p w14:paraId="72889117" w14:textId="7FDB82E2" w:rsidR="0064038E" w:rsidRPr="00202A8A" w:rsidRDefault="000A3D2D">
            <w:pPr>
              <w:pStyle w:val="ARtabletextright"/>
              <w:spacing w:line="252" w:lineRule="auto"/>
            </w:pPr>
            <w:r w:rsidRPr="00202A8A">
              <w:t>21.3</w:t>
            </w:r>
            <w:r w:rsidR="0064038E" w:rsidRPr="00202A8A">
              <w:t>%</w:t>
            </w:r>
          </w:p>
        </w:tc>
        <w:tc>
          <w:tcPr>
            <w:tcW w:w="803" w:type="dxa"/>
            <w:hideMark/>
          </w:tcPr>
          <w:p w14:paraId="7C331570" w14:textId="083A5A16" w:rsidR="0064038E" w:rsidRPr="00202A8A" w:rsidRDefault="0058493F">
            <w:pPr>
              <w:pStyle w:val="ARtableperformancesymbol"/>
              <w:spacing w:line="252" w:lineRule="auto"/>
              <w:rPr>
                <w:rFonts w:hint="eastAsia"/>
                <w:lang w:val="en-AU"/>
              </w:rPr>
            </w:pPr>
            <w:r w:rsidRPr="00202A8A">
              <w:rPr>
                <w:rFonts w:eastAsia="Wingdings" w:cs="Wingdings"/>
              </w:rPr>
              <w:t></w:t>
            </w:r>
          </w:p>
        </w:tc>
      </w:tr>
      <w:tr w:rsidR="0064038E" w:rsidRPr="00F07EE7" w14:paraId="2D7625E4" w14:textId="77777777">
        <w:trPr>
          <w:cantSplit/>
        </w:trPr>
        <w:tc>
          <w:tcPr>
            <w:tcW w:w="9632" w:type="dxa"/>
            <w:gridSpan w:val="10"/>
            <w:tcBorders>
              <w:bottom w:val="single" w:sz="4" w:space="0" w:color="BFBFBF"/>
            </w:tcBorders>
            <w:noWrap/>
            <w:hideMark/>
          </w:tcPr>
          <w:p w14:paraId="47D40FFD" w14:textId="5BF302CF" w:rsidR="0064038E" w:rsidRPr="00202A8A" w:rsidRDefault="00F50C6D" w:rsidP="00130336">
            <w:pPr>
              <w:pStyle w:val="ARtablenoteindent"/>
            </w:pPr>
            <w:r w:rsidRPr="00202A8A">
              <w:t>The 2024</w:t>
            </w:r>
            <w:r w:rsidR="005C1105">
              <w:t>–</w:t>
            </w:r>
            <w:r w:rsidRPr="00202A8A">
              <w:t>25 outcome is higher than the 2024</w:t>
            </w:r>
            <w:r w:rsidR="005C1105">
              <w:t>–</w:t>
            </w:r>
            <w:r w:rsidRPr="00202A8A">
              <w:t>25 target, due to the target not reflecting all in-scope funding. During the reporting period, the database used to report on this measure has changed to better capture the cases being delivered in the sector. The counting rule for this measure remains unchanged.</w:t>
            </w:r>
          </w:p>
        </w:tc>
      </w:tr>
      <w:tr w:rsidR="0064038E" w:rsidRPr="00E41066" w14:paraId="3A0D3FA9" w14:textId="77777777">
        <w:trPr>
          <w:cantSplit/>
        </w:trPr>
        <w:tc>
          <w:tcPr>
            <w:tcW w:w="4739" w:type="dxa"/>
            <w:tcBorders>
              <w:top w:val="single" w:sz="4" w:space="0" w:color="BFBFBF"/>
            </w:tcBorders>
            <w:hideMark/>
          </w:tcPr>
          <w:p w14:paraId="28987286" w14:textId="58AC29EB" w:rsidR="0064038E" w:rsidRPr="00E41066" w:rsidRDefault="0064038E">
            <w:pPr>
              <w:pStyle w:val="ARtabletext"/>
              <w:keepNext/>
              <w:keepLines/>
              <w:spacing w:line="252" w:lineRule="auto"/>
            </w:pPr>
            <w:r w:rsidRPr="00E41066">
              <w:t>Number of new episodes of family violence therapeutic</w:t>
            </w:r>
            <w:r w:rsidR="00026B51" w:rsidRPr="00E41066">
              <w:t> </w:t>
            </w:r>
            <w:r w:rsidRPr="00E41066">
              <w:t>interventions</w:t>
            </w:r>
          </w:p>
        </w:tc>
        <w:tc>
          <w:tcPr>
            <w:tcW w:w="1017" w:type="dxa"/>
            <w:gridSpan w:val="2"/>
            <w:tcBorders>
              <w:top w:val="single" w:sz="4" w:space="0" w:color="BFBFBF"/>
            </w:tcBorders>
            <w:hideMark/>
          </w:tcPr>
          <w:p w14:paraId="7B6E3839" w14:textId="77777777" w:rsidR="0064038E" w:rsidRPr="00E41066" w:rsidRDefault="0064038E">
            <w:pPr>
              <w:pStyle w:val="ARtabletext"/>
              <w:spacing w:line="252" w:lineRule="auto"/>
            </w:pPr>
            <w:r w:rsidRPr="00E41066">
              <w:t>number</w:t>
            </w:r>
          </w:p>
        </w:tc>
        <w:tc>
          <w:tcPr>
            <w:tcW w:w="1016" w:type="dxa"/>
            <w:gridSpan w:val="2"/>
            <w:tcBorders>
              <w:top w:val="single" w:sz="4" w:space="0" w:color="BFBFBF"/>
            </w:tcBorders>
            <w:hideMark/>
          </w:tcPr>
          <w:p w14:paraId="4E6FCFBA" w14:textId="77777777" w:rsidR="0064038E" w:rsidRPr="00E41066" w:rsidRDefault="0064038E">
            <w:pPr>
              <w:pStyle w:val="ARtabletextright"/>
              <w:spacing w:line="252" w:lineRule="auto"/>
            </w:pPr>
            <w:r w:rsidRPr="00E41066">
              <w:t>2,618</w:t>
            </w:r>
          </w:p>
        </w:tc>
        <w:tc>
          <w:tcPr>
            <w:tcW w:w="1020" w:type="dxa"/>
            <w:gridSpan w:val="2"/>
            <w:tcBorders>
              <w:top w:val="single" w:sz="4" w:space="0" w:color="BFBFBF"/>
            </w:tcBorders>
            <w:hideMark/>
          </w:tcPr>
          <w:p w14:paraId="3280F780" w14:textId="67312E12" w:rsidR="0064038E" w:rsidRPr="00E41066" w:rsidRDefault="0064038E">
            <w:pPr>
              <w:pStyle w:val="ARtabletextright"/>
              <w:spacing w:line="252" w:lineRule="auto"/>
            </w:pPr>
            <w:r w:rsidRPr="00E41066">
              <w:t>4,</w:t>
            </w:r>
            <w:r w:rsidR="00F50C6D" w:rsidRPr="00E41066">
              <w:t>280</w:t>
            </w:r>
          </w:p>
        </w:tc>
        <w:tc>
          <w:tcPr>
            <w:tcW w:w="1037" w:type="dxa"/>
            <w:gridSpan w:val="2"/>
            <w:tcBorders>
              <w:top w:val="single" w:sz="4" w:space="0" w:color="BFBFBF"/>
            </w:tcBorders>
          </w:tcPr>
          <w:p w14:paraId="18A3B6AE" w14:textId="7B0CC74A" w:rsidR="0064038E" w:rsidRPr="00E41066" w:rsidRDefault="0064038E">
            <w:pPr>
              <w:pStyle w:val="ARtabletextright"/>
              <w:spacing w:line="252" w:lineRule="auto"/>
            </w:pPr>
            <w:r w:rsidRPr="00E41066">
              <w:t>6</w:t>
            </w:r>
            <w:r w:rsidR="00F50C6D" w:rsidRPr="00E41066">
              <w:t>3.5</w:t>
            </w:r>
            <w:r w:rsidRPr="00E41066">
              <w:t>%</w:t>
            </w:r>
          </w:p>
        </w:tc>
        <w:tc>
          <w:tcPr>
            <w:tcW w:w="803" w:type="dxa"/>
            <w:tcBorders>
              <w:top w:val="single" w:sz="4" w:space="0" w:color="BFBFBF"/>
            </w:tcBorders>
            <w:hideMark/>
          </w:tcPr>
          <w:p w14:paraId="5BA3E822" w14:textId="77777777" w:rsidR="0064038E" w:rsidRPr="00E41066" w:rsidRDefault="0064038E">
            <w:pPr>
              <w:pStyle w:val="ARtableperformancesymbol"/>
              <w:spacing w:line="252" w:lineRule="auto"/>
              <w:rPr>
                <w:rFonts w:hint="eastAsia"/>
                <w:lang w:val="en-AU"/>
              </w:rPr>
            </w:pPr>
            <w:r w:rsidRPr="00E41066">
              <w:rPr>
                <w:rFonts w:eastAsia="Wingdings" w:cs="Wingdings"/>
              </w:rPr>
              <w:t></w:t>
            </w:r>
          </w:p>
        </w:tc>
      </w:tr>
      <w:tr w:rsidR="0064038E" w:rsidRPr="00F07EE7" w14:paraId="7FD09C5C" w14:textId="77777777">
        <w:trPr>
          <w:cantSplit/>
        </w:trPr>
        <w:tc>
          <w:tcPr>
            <w:tcW w:w="9632" w:type="dxa"/>
            <w:gridSpan w:val="10"/>
            <w:tcBorders>
              <w:bottom w:val="single" w:sz="4" w:space="0" w:color="BFBFBF"/>
            </w:tcBorders>
            <w:noWrap/>
            <w:hideMark/>
          </w:tcPr>
          <w:p w14:paraId="29501209" w14:textId="76D197FB" w:rsidR="0064038E" w:rsidRPr="00E41066" w:rsidRDefault="00D71817" w:rsidP="00130336">
            <w:pPr>
              <w:pStyle w:val="ARtablenoteindent"/>
            </w:pPr>
            <w:r w:rsidRPr="00E41066">
              <w:t>The 2024</w:t>
            </w:r>
            <w:r w:rsidR="005C1105">
              <w:t>–</w:t>
            </w:r>
            <w:r w:rsidRPr="00E41066">
              <w:t>25 outcome is higher than the 2024</w:t>
            </w:r>
            <w:r w:rsidR="005C1105">
              <w:t>–</w:t>
            </w:r>
            <w:r w:rsidRPr="00E41066">
              <w:t>25 target due to increased demand across the state. High performance also reflects the basis of the current target being set to align with ongoing funding and not yet adjusted for additional fixed</w:t>
            </w:r>
            <w:r w:rsidR="001F2C79">
              <w:t>-</w:t>
            </w:r>
            <w:r w:rsidRPr="00E41066">
              <w:t>term</w:t>
            </w:r>
            <w:r w:rsidR="00130336" w:rsidRPr="00E41066">
              <w:t> </w:t>
            </w:r>
            <w:r w:rsidRPr="00E41066">
              <w:t>funding.</w:t>
            </w:r>
          </w:p>
        </w:tc>
      </w:tr>
      <w:tr w:rsidR="0064038E" w:rsidRPr="006D41F3" w14:paraId="50BB1E2C" w14:textId="77777777">
        <w:trPr>
          <w:cantSplit/>
        </w:trPr>
        <w:tc>
          <w:tcPr>
            <w:tcW w:w="4739" w:type="dxa"/>
            <w:tcBorders>
              <w:top w:val="single" w:sz="4" w:space="0" w:color="BFBFBF"/>
            </w:tcBorders>
            <w:hideMark/>
          </w:tcPr>
          <w:p w14:paraId="010B855D" w14:textId="77777777" w:rsidR="0064038E" w:rsidRPr="006D41F3" w:rsidRDefault="0064038E">
            <w:pPr>
              <w:pStyle w:val="ARtabletext"/>
              <w:spacing w:line="252" w:lineRule="auto"/>
            </w:pPr>
            <w:r w:rsidRPr="006D41F3">
              <w:t>Number of new periods of family violence case management support provided to victim survivors</w:t>
            </w:r>
          </w:p>
        </w:tc>
        <w:tc>
          <w:tcPr>
            <w:tcW w:w="1017" w:type="dxa"/>
            <w:gridSpan w:val="2"/>
            <w:tcBorders>
              <w:top w:val="single" w:sz="4" w:space="0" w:color="BFBFBF"/>
            </w:tcBorders>
            <w:hideMark/>
          </w:tcPr>
          <w:p w14:paraId="3207F1B7" w14:textId="77777777" w:rsidR="0064038E" w:rsidRPr="006D41F3" w:rsidRDefault="0064038E">
            <w:pPr>
              <w:pStyle w:val="ARtabletext"/>
              <w:spacing w:line="252" w:lineRule="auto"/>
            </w:pPr>
            <w:r w:rsidRPr="006D41F3">
              <w:t>number</w:t>
            </w:r>
          </w:p>
        </w:tc>
        <w:tc>
          <w:tcPr>
            <w:tcW w:w="1016" w:type="dxa"/>
            <w:gridSpan w:val="2"/>
            <w:tcBorders>
              <w:top w:val="single" w:sz="4" w:space="0" w:color="BFBFBF"/>
            </w:tcBorders>
            <w:hideMark/>
          </w:tcPr>
          <w:p w14:paraId="75D0C468" w14:textId="77777777" w:rsidR="0064038E" w:rsidRPr="006D41F3" w:rsidRDefault="0064038E">
            <w:pPr>
              <w:pStyle w:val="ARtabletextright"/>
              <w:spacing w:line="252" w:lineRule="auto"/>
            </w:pPr>
            <w:r w:rsidRPr="006D41F3">
              <w:t>28,297</w:t>
            </w:r>
          </w:p>
        </w:tc>
        <w:tc>
          <w:tcPr>
            <w:tcW w:w="1020" w:type="dxa"/>
            <w:gridSpan w:val="2"/>
            <w:tcBorders>
              <w:top w:val="single" w:sz="4" w:space="0" w:color="BFBFBF"/>
            </w:tcBorders>
            <w:hideMark/>
          </w:tcPr>
          <w:p w14:paraId="650BC7B2" w14:textId="61A106FE" w:rsidR="0064038E" w:rsidRPr="006D41F3" w:rsidRDefault="0064038E">
            <w:pPr>
              <w:pStyle w:val="ARtabletextright"/>
              <w:spacing w:line="252" w:lineRule="auto"/>
            </w:pPr>
            <w:r w:rsidRPr="006D41F3">
              <w:t>33,</w:t>
            </w:r>
            <w:r w:rsidR="00AB7206" w:rsidRPr="006D41F3">
              <w:t>985</w:t>
            </w:r>
          </w:p>
        </w:tc>
        <w:tc>
          <w:tcPr>
            <w:tcW w:w="1037" w:type="dxa"/>
            <w:gridSpan w:val="2"/>
            <w:tcBorders>
              <w:top w:val="single" w:sz="4" w:space="0" w:color="BFBFBF"/>
            </w:tcBorders>
          </w:tcPr>
          <w:p w14:paraId="0FF8EE47" w14:textId="75FDC5DF" w:rsidR="0064038E" w:rsidRPr="006D41F3" w:rsidRDefault="00AB7206">
            <w:pPr>
              <w:pStyle w:val="ARtabletextright"/>
              <w:spacing w:line="252" w:lineRule="auto"/>
            </w:pPr>
            <w:r w:rsidRPr="006D41F3">
              <w:t>20.1</w:t>
            </w:r>
            <w:r w:rsidR="0064038E" w:rsidRPr="006D41F3">
              <w:t>%</w:t>
            </w:r>
          </w:p>
        </w:tc>
        <w:tc>
          <w:tcPr>
            <w:tcW w:w="803" w:type="dxa"/>
            <w:tcBorders>
              <w:top w:val="single" w:sz="4" w:space="0" w:color="BFBFBF"/>
            </w:tcBorders>
            <w:hideMark/>
          </w:tcPr>
          <w:p w14:paraId="5BD9E1DF" w14:textId="77777777" w:rsidR="0064038E" w:rsidRPr="006D41F3" w:rsidRDefault="0064038E">
            <w:pPr>
              <w:pStyle w:val="ARtableperformancesymbol"/>
              <w:spacing w:line="252" w:lineRule="auto"/>
              <w:rPr>
                <w:rFonts w:hint="eastAsia"/>
                <w:lang w:val="en-AU"/>
              </w:rPr>
            </w:pPr>
            <w:r w:rsidRPr="006D41F3">
              <w:rPr>
                <w:rFonts w:eastAsia="Wingdings" w:cs="Wingdings"/>
              </w:rPr>
              <w:t></w:t>
            </w:r>
          </w:p>
        </w:tc>
      </w:tr>
      <w:tr w:rsidR="0064038E" w:rsidRPr="00F07EE7" w14:paraId="40A54DB5" w14:textId="77777777">
        <w:trPr>
          <w:cantSplit/>
        </w:trPr>
        <w:tc>
          <w:tcPr>
            <w:tcW w:w="9632" w:type="dxa"/>
            <w:gridSpan w:val="10"/>
            <w:tcBorders>
              <w:bottom w:val="single" w:sz="4" w:space="0" w:color="BFBFBF"/>
            </w:tcBorders>
            <w:noWrap/>
            <w:hideMark/>
          </w:tcPr>
          <w:p w14:paraId="358168FC" w14:textId="06DD04BF" w:rsidR="0064038E" w:rsidRPr="006D41F3" w:rsidRDefault="001540CF" w:rsidP="00130336">
            <w:pPr>
              <w:pStyle w:val="ARtablenoteindent"/>
            </w:pPr>
            <w:r w:rsidRPr="006D41F3">
              <w:t>The 2024</w:t>
            </w:r>
            <w:r w:rsidR="005C1105">
              <w:t>–</w:t>
            </w:r>
            <w:r w:rsidRPr="006D41F3">
              <w:t>25 outcome is higher than the 2024</w:t>
            </w:r>
            <w:r w:rsidR="005C1105">
              <w:t>–</w:t>
            </w:r>
            <w:r w:rsidRPr="006D41F3">
              <w:t>25 target due to higher demand across the state. High performance also reflects the target being set ahead of additional ongoing funding from the Commonwealth being allocated to agencies to deliver more targets in 2024</w:t>
            </w:r>
            <w:r w:rsidR="005C1105">
              <w:t>–</w:t>
            </w:r>
            <w:r w:rsidRPr="006D41F3">
              <w:t>25.</w:t>
            </w:r>
          </w:p>
        </w:tc>
      </w:tr>
      <w:tr w:rsidR="0064038E" w:rsidRPr="001254EB" w14:paraId="053801B9" w14:textId="77777777">
        <w:trPr>
          <w:cantSplit/>
        </w:trPr>
        <w:tc>
          <w:tcPr>
            <w:tcW w:w="4739" w:type="dxa"/>
            <w:tcBorders>
              <w:top w:val="single" w:sz="4" w:space="0" w:color="BFBFBF"/>
            </w:tcBorders>
            <w:hideMark/>
          </w:tcPr>
          <w:p w14:paraId="20A30182" w14:textId="77777777" w:rsidR="0064038E" w:rsidRPr="001254EB" w:rsidRDefault="0064038E">
            <w:pPr>
              <w:pStyle w:val="ARtabletext"/>
              <w:spacing w:line="252" w:lineRule="auto"/>
            </w:pPr>
            <w:r w:rsidRPr="001254EB">
              <w:t>Number of nights of refuge accommodation provided to victim survivors of family violence</w:t>
            </w:r>
          </w:p>
        </w:tc>
        <w:tc>
          <w:tcPr>
            <w:tcW w:w="1017" w:type="dxa"/>
            <w:gridSpan w:val="2"/>
            <w:tcBorders>
              <w:top w:val="single" w:sz="4" w:space="0" w:color="BFBFBF"/>
            </w:tcBorders>
            <w:hideMark/>
          </w:tcPr>
          <w:p w14:paraId="287D8928" w14:textId="77777777" w:rsidR="0064038E" w:rsidRPr="001254EB" w:rsidRDefault="0064038E">
            <w:pPr>
              <w:pStyle w:val="ARtabletext"/>
              <w:spacing w:line="252" w:lineRule="auto"/>
            </w:pPr>
            <w:r w:rsidRPr="001254EB">
              <w:t>number</w:t>
            </w:r>
          </w:p>
        </w:tc>
        <w:tc>
          <w:tcPr>
            <w:tcW w:w="1016" w:type="dxa"/>
            <w:gridSpan w:val="2"/>
            <w:tcBorders>
              <w:top w:val="single" w:sz="4" w:space="0" w:color="BFBFBF"/>
            </w:tcBorders>
            <w:hideMark/>
          </w:tcPr>
          <w:p w14:paraId="73038E75" w14:textId="77777777" w:rsidR="0064038E" w:rsidRPr="001254EB" w:rsidRDefault="0064038E">
            <w:pPr>
              <w:pStyle w:val="ARtabletextright"/>
              <w:spacing w:line="252" w:lineRule="auto"/>
            </w:pPr>
            <w:r w:rsidRPr="001254EB">
              <w:t>54,109</w:t>
            </w:r>
          </w:p>
        </w:tc>
        <w:tc>
          <w:tcPr>
            <w:tcW w:w="1020" w:type="dxa"/>
            <w:gridSpan w:val="2"/>
            <w:tcBorders>
              <w:top w:val="single" w:sz="4" w:space="0" w:color="BFBFBF"/>
            </w:tcBorders>
            <w:hideMark/>
          </w:tcPr>
          <w:p w14:paraId="6A7D10EB" w14:textId="508CE6CC" w:rsidR="0064038E" w:rsidRPr="001254EB" w:rsidRDefault="0064038E">
            <w:pPr>
              <w:pStyle w:val="ARtabletextright"/>
              <w:spacing w:line="252" w:lineRule="auto"/>
            </w:pPr>
            <w:r w:rsidRPr="001254EB">
              <w:t>50,3</w:t>
            </w:r>
            <w:r w:rsidR="00F329CB" w:rsidRPr="001254EB">
              <w:t>06</w:t>
            </w:r>
          </w:p>
        </w:tc>
        <w:tc>
          <w:tcPr>
            <w:tcW w:w="1037" w:type="dxa"/>
            <w:gridSpan w:val="2"/>
            <w:tcBorders>
              <w:top w:val="single" w:sz="4" w:space="0" w:color="BFBFBF"/>
            </w:tcBorders>
          </w:tcPr>
          <w:p w14:paraId="5AFEEF4C" w14:textId="2B49B448" w:rsidR="0064038E" w:rsidRPr="001254EB" w:rsidRDefault="00430898">
            <w:pPr>
              <w:pStyle w:val="ARtabletextright"/>
              <w:spacing w:line="252" w:lineRule="auto"/>
            </w:pPr>
            <w:r>
              <w:t>−</w:t>
            </w:r>
            <w:r w:rsidR="00F329CB" w:rsidRPr="001254EB">
              <w:t>7.0</w:t>
            </w:r>
            <w:r w:rsidR="0064038E" w:rsidRPr="001254EB">
              <w:t>%</w:t>
            </w:r>
          </w:p>
        </w:tc>
        <w:tc>
          <w:tcPr>
            <w:tcW w:w="803" w:type="dxa"/>
            <w:tcBorders>
              <w:top w:val="single" w:sz="4" w:space="0" w:color="BFBFBF"/>
            </w:tcBorders>
            <w:hideMark/>
          </w:tcPr>
          <w:p w14:paraId="012F0DFB" w14:textId="77777777" w:rsidR="0064038E" w:rsidRPr="001254EB" w:rsidRDefault="0064038E">
            <w:pPr>
              <w:pStyle w:val="ARtableperformancesymbol"/>
              <w:spacing w:line="252" w:lineRule="auto"/>
              <w:rPr>
                <w:rFonts w:hint="eastAsia"/>
                <w:lang w:val="en-AU"/>
              </w:rPr>
            </w:pPr>
            <w:r w:rsidRPr="001254EB">
              <w:rPr>
                <w:rFonts w:eastAsia="Wingdings" w:cs="Wingdings"/>
              </w:rPr>
              <w:t></w:t>
            </w:r>
          </w:p>
        </w:tc>
      </w:tr>
      <w:tr w:rsidR="0064038E" w:rsidRPr="00F07EE7" w14:paraId="26E51AA7" w14:textId="77777777">
        <w:trPr>
          <w:cantSplit/>
        </w:trPr>
        <w:tc>
          <w:tcPr>
            <w:tcW w:w="9632" w:type="dxa"/>
            <w:gridSpan w:val="10"/>
            <w:tcBorders>
              <w:bottom w:val="single" w:sz="4" w:space="0" w:color="BFBFBF"/>
            </w:tcBorders>
            <w:noWrap/>
            <w:hideMark/>
          </w:tcPr>
          <w:p w14:paraId="50A6B7C7" w14:textId="7A27787C" w:rsidR="0064038E" w:rsidRPr="001254EB" w:rsidRDefault="003F5BC5" w:rsidP="00130336">
            <w:pPr>
              <w:pStyle w:val="ARtablenoteindent"/>
            </w:pPr>
            <w:r w:rsidRPr="001254EB">
              <w:t>The 2024</w:t>
            </w:r>
            <w:r w:rsidR="005C1105">
              <w:t>–</w:t>
            </w:r>
            <w:r w:rsidRPr="001254EB">
              <w:t xml:space="preserve">25 </w:t>
            </w:r>
            <w:r w:rsidR="00C118AA">
              <w:t>outcome</w:t>
            </w:r>
            <w:r w:rsidR="00C118AA" w:rsidRPr="001254EB">
              <w:t xml:space="preserve"> </w:t>
            </w:r>
            <w:r w:rsidRPr="001254EB">
              <w:t>is lower than the 2024</w:t>
            </w:r>
            <w:r w:rsidR="005C1105">
              <w:t>–</w:t>
            </w:r>
            <w:r w:rsidRPr="001254EB">
              <w:t xml:space="preserve">25 target due to a combination of factors, including maintenance and upgrades works being undertaken on </w:t>
            </w:r>
            <w:proofErr w:type="gramStart"/>
            <w:r w:rsidRPr="001254EB">
              <w:t>a number of</w:t>
            </w:r>
            <w:proofErr w:type="gramEnd"/>
            <w:r w:rsidRPr="001254EB">
              <w:t xml:space="preserve"> refuge properties which reduced capacity, as well as under-reporting by agencies.</w:t>
            </w:r>
          </w:p>
        </w:tc>
      </w:tr>
      <w:tr w:rsidR="0064038E" w:rsidRPr="001254EB" w14:paraId="3CE36ABD" w14:textId="77777777">
        <w:trPr>
          <w:cantSplit/>
        </w:trPr>
        <w:tc>
          <w:tcPr>
            <w:tcW w:w="4739" w:type="dxa"/>
            <w:tcBorders>
              <w:top w:val="single" w:sz="4" w:space="0" w:color="BFBFBF"/>
            </w:tcBorders>
          </w:tcPr>
          <w:p w14:paraId="3E3C4C97" w14:textId="77777777" w:rsidR="0064038E" w:rsidRPr="001254EB" w:rsidRDefault="0064038E">
            <w:pPr>
              <w:pStyle w:val="ARtabletext"/>
              <w:spacing w:line="252" w:lineRule="auto"/>
            </w:pPr>
            <w:r w:rsidRPr="001254EB">
              <w:t>Number of sexual assault services provided to adults, children and young people</w:t>
            </w:r>
          </w:p>
        </w:tc>
        <w:tc>
          <w:tcPr>
            <w:tcW w:w="1017" w:type="dxa"/>
            <w:gridSpan w:val="2"/>
            <w:tcBorders>
              <w:top w:val="single" w:sz="4" w:space="0" w:color="BFBFBF"/>
            </w:tcBorders>
          </w:tcPr>
          <w:p w14:paraId="2A53011E" w14:textId="77777777" w:rsidR="0064038E" w:rsidRPr="001254EB" w:rsidRDefault="0064038E">
            <w:pPr>
              <w:pStyle w:val="ARtabletext"/>
              <w:spacing w:line="252" w:lineRule="auto"/>
            </w:pPr>
            <w:r w:rsidRPr="001254EB">
              <w:t>number</w:t>
            </w:r>
          </w:p>
        </w:tc>
        <w:tc>
          <w:tcPr>
            <w:tcW w:w="1016" w:type="dxa"/>
            <w:gridSpan w:val="2"/>
            <w:tcBorders>
              <w:top w:val="single" w:sz="4" w:space="0" w:color="BFBFBF"/>
            </w:tcBorders>
          </w:tcPr>
          <w:p w14:paraId="4D5EA195" w14:textId="77777777" w:rsidR="0064038E" w:rsidRPr="001254EB" w:rsidRDefault="0064038E">
            <w:pPr>
              <w:pStyle w:val="ARtabletextright"/>
              <w:spacing w:line="252" w:lineRule="auto"/>
            </w:pPr>
            <w:r w:rsidRPr="001254EB">
              <w:t>19,000</w:t>
            </w:r>
          </w:p>
        </w:tc>
        <w:tc>
          <w:tcPr>
            <w:tcW w:w="1020" w:type="dxa"/>
            <w:gridSpan w:val="2"/>
            <w:tcBorders>
              <w:top w:val="single" w:sz="4" w:space="0" w:color="BFBFBF"/>
            </w:tcBorders>
          </w:tcPr>
          <w:p w14:paraId="4269A81F" w14:textId="09C0F4E7" w:rsidR="0064038E" w:rsidRPr="001254EB" w:rsidRDefault="0064038E">
            <w:pPr>
              <w:pStyle w:val="ARtabletextright"/>
              <w:spacing w:line="252" w:lineRule="auto"/>
            </w:pPr>
            <w:r w:rsidRPr="001254EB">
              <w:t>20,</w:t>
            </w:r>
            <w:r w:rsidR="00590B0F" w:rsidRPr="001254EB">
              <w:t>868</w:t>
            </w:r>
          </w:p>
        </w:tc>
        <w:tc>
          <w:tcPr>
            <w:tcW w:w="1037" w:type="dxa"/>
            <w:gridSpan w:val="2"/>
            <w:tcBorders>
              <w:top w:val="single" w:sz="4" w:space="0" w:color="BFBFBF"/>
            </w:tcBorders>
          </w:tcPr>
          <w:p w14:paraId="6A6382AD" w14:textId="4B11E1BC" w:rsidR="0064038E" w:rsidRPr="001254EB" w:rsidRDefault="00590B0F">
            <w:pPr>
              <w:pStyle w:val="ARtabletextright"/>
              <w:spacing w:line="252" w:lineRule="auto"/>
            </w:pPr>
            <w:r w:rsidRPr="001254EB">
              <w:t>9.8</w:t>
            </w:r>
            <w:r w:rsidR="0064038E" w:rsidRPr="001254EB">
              <w:t>%</w:t>
            </w:r>
          </w:p>
        </w:tc>
        <w:tc>
          <w:tcPr>
            <w:tcW w:w="803" w:type="dxa"/>
            <w:tcBorders>
              <w:top w:val="single" w:sz="4" w:space="0" w:color="BFBFBF"/>
            </w:tcBorders>
          </w:tcPr>
          <w:p w14:paraId="069929C0" w14:textId="77777777" w:rsidR="0064038E" w:rsidRPr="001254EB" w:rsidRDefault="0064038E">
            <w:pPr>
              <w:pStyle w:val="ARtableperformancesymbol"/>
              <w:spacing w:line="252" w:lineRule="auto"/>
              <w:rPr>
                <w:rFonts w:eastAsia="Wingdings" w:cs="Wingdings"/>
              </w:rPr>
            </w:pPr>
            <w:r w:rsidRPr="001254EB">
              <w:rPr>
                <w:rFonts w:eastAsia="Wingdings" w:cs="Wingdings"/>
              </w:rPr>
              <w:t></w:t>
            </w:r>
          </w:p>
        </w:tc>
      </w:tr>
      <w:tr w:rsidR="0064038E" w:rsidRPr="00F07EE7" w14:paraId="601F6E27" w14:textId="77777777">
        <w:trPr>
          <w:cantSplit/>
        </w:trPr>
        <w:tc>
          <w:tcPr>
            <w:tcW w:w="9632" w:type="dxa"/>
            <w:gridSpan w:val="10"/>
          </w:tcPr>
          <w:p w14:paraId="7B82B324" w14:textId="753F1D25" w:rsidR="0064038E" w:rsidRPr="001254EB" w:rsidRDefault="007A0E4C" w:rsidP="00130336">
            <w:pPr>
              <w:pStyle w:val="ARtablenoteindent"/>
            </w:pPr>
            <w:r w:rsidRPr="001254EB">
              <w:t>The 2024</w:t>
            </w:r>
            <w:r w:rsidR="005C1105">
              <w:t>–</w:t>
            </w:r>
            <w:r w:rsidRPr="001254EB">
              <w:t>25 outcome is higher than the 2024</w:t>
            </w:r>
            <w:r w:rsidR="005C1105">
              <w:t>–</w:t>
            </w:r>
            <w:r w:rsidRPr="001254EB">
              <w:t>25 target due to an increase in demand for a sexual assault service response. Increasing community awareness of this program from recent inquiries, commissions, victim survivor advocacy, legal cases, and consent law reform, continues to drive strong demand across the system.</w:t>
            </w:r>
          </w:p>
        </w:tc>
      </w:tr>
      <w:tr w:rsidR="0064038E" w:rsidRPr="00F07EE7" w14:paraId="72C27A97" w14:textId="77777777">
        <w:trPr>
          <w:cantSplit/>
        </w:trPr>
        <w:tc>
          <w:tcPr>
            <w:tcW w:w="4739" w:type="dxa"/>
            <w:tcBorders>
              <w:top w:val="single" w:sz="4" w:space="0" w:color="BFBFBF"/>
            </w:tcBorders>
            <w:hideMark/>
          </w:tcPr>
          <w:p w14:paraId="30D1B499" w14:textId="3543514D" w:rsidR="0064038E" w:rsidRPr="003B14C4" w:rsidRDefault="0064038E">
            <w:pPr>
              <w:pStyle w:val="ARtabletext"/>
              <w:spacing w:line="252" w:lineRule="auto"/>
            </w:pPr>
            <w:r w:rsidRPr="00707B05">
              <w:t>The proportion of clients accessing The Orange Door services by self-referral compared to the total number of</w:t>
            </w:r>
            <w:r w:rsidR="00026B51">
              <w:t> </w:t>
            </w:r>
            <w:r w:rsidRPr="00707B05">
              <w:t>referrals</w:t>
            </w:r>
          </w:p>
        </w:tc>
        <w:tc>
          <w:tcPr>
            <w:tcW w:w="1017" w:type="dxa"/>
            <w:gridSpan w:val="2"/>
            <w:tcBorders>
              <w:top w:val="single" w:sz="4" w:space="0" w:color="BFBFBF"/>
            </w:tcBorders>
            <w:hideMark/>
          </w:tcPr>
          <w:p w14:paraId="780A10AB" w14:textId="77777777" w:rsidR="0064038E" w:rsidRPr="003B14C4" w:rsidRDefault="0064038E">
            <w:pPr>
              <w:pStyle w:val="ARtabletext"/>
              <w:spacing w:line="252" w:lineRule="auto"/>
            </w:pPr>
            <w:r>
              <w:t>per cent</w:t>
            </w:r>
          </w:p>
        </w:tc>
        <w:tc>
          <w:tcPr>
            <w:tcW w:w="1016" w:type="dxa"/>
            <w:gridSpan w:val="2"/>
            <w:tcBorders>
              <w:top w:val="single" w:sz="4" w:space="0" w:color="BFBFBF"/>
            </w:tcBorders>
            <w:hideMark/>
          </w:tcPr>
          <w:p w14:paraId="352E6E14" w14:textId="77777777" w:rsidR="0064038E" w:rsidRPr="003B14C4" w:rsidRDefault="0064038E">
            <w:pPr>
              <w:pStyle w:val="ARtabletextright"/>
              <w:spacing w:line="252" w:lineRule="auto"/>
            </w:pPr>
            <w:r w:rsidRPr="00707B05">
              <w:t>23</w:t>
            </w:r>
          </w:p>
        </w:tc>
        <w:tc>
          <w:tcPr>
            <w:tcW w:w="1020" w:type="dxa"/>
            <w:gridSpan w:val="2"/>
            <w:tcBorders>
              <w:top w:val="single" w:sz="4" w:space="0" w:color="BFBFBF"/>
            </w:tcBorders>
            <w:hideMark/>
          </w:tcPr>
          <w:p w14:paraId="5141B5C7" w14:textId="77777777" w:rsidR="0064038E" w:rsidRPr="003B14C4" w:rsidRDefault="0064038E">
            <w:pPr>
              <w:pStyle w:val="ARtabletextright"/>
              <w:spacing w:line="252" w:lineRule="auto"/>
            </w:pPr>
            <w:r w:rsidRPr="00707B05">
              <w:t>30</w:t>
            </w:r>
          </w:p>
        </w:tc>
        <w:tc>
          <w:tcPr>
            <w:tcW w:w="1037" w:type="dxa"/>
            <w:gridSpan w:val="2"/>
            <w:tcBorders>
              <w:top w:val="single" w:sz="4" w:space="0" w:color="BFBFBF"/>
            </w:tcBorders>
          </w:tcPr>
          <w:p w14:paraId="60E77C31" w14:textId="77777777" w:rsidR="0064038E" w:rsidRPr="003B14C4" w:rsidRDefault="0064038E">
            <w:pPr>
              <w:pStyle w:val="ARtabletextright"/>
              <w:spacing w:line="252" w:lineRule="auto"/>
            </w:pPr>
            <w:r>
              <w:t>30.4%</w:t>
            </w:r>
          </w:p>
        </w:tc>
        <w:tc>
          <w:tcPr>
            <w:tcW w:w="803" w:type="dxa"/>
            <w:tcBorders>
              <w:top w:val="single" w:sz="4" w:space="0" w:color="BFBFBF"/>
            </w:tcBorders>
            <w:hideMark/>
          </w:tcPr>
          <w:p w14:paraId="2B944908" w14:textId="77777777" w:rsidR="0064038E" w:rsidRPr="003B14C4" w:rsidRDefault="0064038E">
            <w:pPr>
              <w:pStyle w:val="ARtableperformancesymbol"/>
              <w:spacing w:line="252" w:lineRule="auto"/>
              <w:rPr>
                <w:rFonts w:hint="eastAsia"/>
                <w:lang w:val="en-AU"/>
              </w:rPr>
            </w:pPr>
            <w:r w:rsidRPr="003B14C4">
              <w:rPr>
                <w:rFonts w:eastAsia="Wingdings" w:cs="Wingdings"/>
              </w:rPr>
              <w:t></w:t>
            </w:r>
          </w:p>
        </w:tc>
      </w:tr>
      <w:tr w:rsidR="0064038E" w:rsidRPr="00F07EE7" w14:paraId="73B62EB2" w14:textId="77777777">
        <w:trPr>
          <w:cantSplit/>
        </w:trPr>
        <w:tc>
          <w:tcPr>
            <w:tcW w:w="9632" w:type="dxa"/>
            <w:gridSpan w:val="10"/>
            <w:tcBorders>
              <w:bottom w:val="single" w:sz="4" w:space="0" w:color="BFBFBF"/>
            </w:tcBorders>
            <w:noWrap/>
            <w:hideMark/>
          </w:tcPr>
          <w:p w14:paraId="29E5E606" w14:textId="574620F6" w:rsidR="0064038E" w:rsidRPr="00F07EE7" w:rsidRDefault="0064038E" w:rsidP="00130336">
            <w:pPr>
              <w:pStyle w:val="ARtablenoteindent"/>
              <w:rPr>
                <w:highlight w:val="cyan"/>
              </w:rPr>
            </w:pPr>
            <w:r w:rsidRPr="00A80690">
              <w:t>The 2024</w:t>
            </w:r>
            <w:r>
              <w:t>–</w:t>
            </w:r>
            <w:r w:rsidRPr="00A80690">
              <w:t xml:space="preserve">25 </w:t>
            </w:r>
            <w:r w:rsidR="00D1105F">
              <w:t>outcome</w:t>
            </w:r>
            <w:r w:rsidR="00D1105F" w:rsidRPr="00A80690">
              <w:t xml:space="preserve"> </w:t>
            </w:r>
            <w:r w:rsidRPr="00A80690">
              <w:t>is higher than the 2024</w:t>
            </w:r>
            <w:r>
              <w:t>–</w:t>
            </w:r>
            <w:r w:rsidRPr="00A80690">
              <w:t xml:space="preserve">25 target due to the target being calculated using data from the first year The Orange Door network was fully operational. Since then, </w:t>
            </w:r>
            <w:r w:rsidRPr="00130336">
              <w:t>The</w:t>
            </w:r>
            <w:r w:rsidRPr="00A80690">
              <w:t xml:space="preserve"> Orange Door has matured and demand has grown, including through greater public awareness of The Orange Door, which has increased self-referrals.</w:t>
            </w:r>
          </w:p>
        </w:tc>
      </w:tr>
      <w:tr w:rsidR="0064038E" w:rsidRPr="00F07EE7" w14:paraId="59DFC508" w14:textId="77777777">
        <w:trPr>
          <w:cantSplit/>
        </w:trPr>
        <w:tc>
          <w:tcPr>
            <w:tcW w:w="4739" w:type="dxa"/>
            <w:tcBorders>
              <w:top w:val="single" w:sz="4" w:space="0" w:color="BFBFBF"/>
            </w:tcBorders>
            <w:hideMark/>
          </w:tcPr>
          <w:p w14:paraId="2F2A5D8C" w14:textId="77777777" w:rsidR="0064038E" w:rsidRPr="003B14C4" w:rsidRDefault="0064038E">
            <w:pPr>
              <w:pStyle w:val="ARtabletext"/>
              <w:spacing w:line="252" w:lineRule="auto"/>
            </w:pPr>
            <w:r w:rsidRPr="000522DD">
              <w:t>The proportion of victim survivors seeking a refuge response that receive this support</w:t>
            </w:r>
          </w:p>
        </w:tc>
        <w:tc>
          <w:tcPr>
            <w:tcW w:w="1017" w:type="dxa"/>
            <w:gridSpan w:val="2"/>
            <w:tcBorders>
              <w:top w:val="single" w:sz="4" w:space="0" w:color="BFBFBF"/>
            </w:tcBorders>
            <w:hideMark/>
          </w:tcPr>
          <w:p w14:paraId="07539982" w14:textId="77777777" w:rsidR="0064038E" w:rsidRPr="003B14C4" w:rsidRDefault="0064038E">
            <w:pPr>
              <w:pStyle w:val="ARtabletext"/>
              <w:spacing w:line="252" w:lineRule="auto"/>
            </w:pPr>
            <w:r>
              <w:t>per cent</w:t>
            </w:r>
          </w:p>
        </w:tc>
        <w:tc>
          <w:tcPr>
            <w:tcW w:w="1016" w:type="dxa"/>
            <w:gridSpan w:val="2"/>
            <w:tcBorders>
              <w:top w:val="single" w:sz="4" w:space="0" w:color="BFBFBF"/>
            </w:tcBorders>
            <w:hideMark/>
          </w:tcPr>
          <w:p w14:paraId="2D34B4F1" w14:textId="77777777" w:rsidR="0064038E" w:rsidRPr="003B14C4" w:rsidRDefault="0064038E">
            <w:pPr>
              <w:pStyle w:val="ARtabletextright"/>
              <w:spacing w:line="252" w:lineRule="auto"/>
            </w:pPr>
            <w:r w:rsidRPr="000522DD">
              <w:t>60</w:t>
            </w:r>
          </w:p>
        </w:tc>
        <w:tc>
          <w:tcPr>
            <w:tcW w:w="1020" w:type="dxa"/>
            <w:gridSpan w:val="2"/>
            <w:tcBorders>
              <w:top w:val="single" w:sz="4" w:space="0" w:color="BFBFBF"/>
            </w:tcBorders>
            <w:hideMark/>
          </w:tcPr>
          <w:p w14:paraId="5A0E5B8A" w14:textId="77777777" w:rsidR="0064038E" w:rsidRPr="003B14C4" w:rsidRDefault="0064038E">
            <w:pPr>
              <w:pStyle w:val="ARtabletextright"/>
              <w:spacing w:line="252" w:lineRule="auto"/>
            </w:pPr>
            <w:r w:rsidRPr="000522DD">
              <w:t>60</w:t>
            </w:r>
          </w:p>
        </w:tc>
        <w:tc>
          <w:tcPr>
            <w:tcW w:w="1037" w:type="dxa"/>
            <w:gridSpan w:val="2"/>
            <w:tcBorders>
              <w:top w:val="single" w:sz="4" w:space="0" w:color="BFBFBF"/>
            </w:tcBorders>
          </w:tcPr>
          <w:p w14:paraId="73DA9CBD" w14:textId="77777777" w:rsidR="0064038E" w:rsidRPr="003B14C4" w:rsidRDefault="0064038E">
            <w:pPr>
              <w:pStyle w:val="ARtabletextright"/>
              <w:spacing w:line="252" w:lineRule="auto"/>
            </w:pPr>
            <w:r>
              <w:t>0.0%</w:t>
            </w:r>
          </w:p>
        </w:tc>
        <w:tc>
          <w:tcPr>
            <w:tcW w:w="803" w:type="dxa"/>
            <w:tcBorders>
              <w:top w:val="single" w:sz="4" w:space="0" w:color="BFBFBF"/>
            </w:tcBorders>
            <w:hideMark/>
          </w:tcPr>
          <w:p w14:paraId="24BBF62C" w14:textId="77777777" w:rsidR="0064038E" w:rsidRPr="003B14C4" w:rsidRDefault="0064038E">
            <w:pPr>
              <w:pStyle w:val="ARtableperformancesymbol"/>
              <w:spacing w:line="252" w:lineRule="auto"/>
              <w:rPr>
                <w:rFonts w:hint="eastAsia"/>
                <w:lang w:val="en-AU"/>
              </w:rPr>
            </w:pPr>
            <w:r w:rsidRPr="003B14C4">
              <w:rPr>
                <w:rFonts w:eastAsia="Wingdings" w:cs="Wingdings"/>
              </w:rPr>
              <w:t></w:t>
            </w:r>
          </w:p>
        </w:tc>
      </w:tr>
      <w:tr w:rsidR="0064038E" w:rsidRPr="00F07EE7" w14:paraId="4CC0C91A" w14:textId="77777777">
        <w:trPr>
          <w:cantSplit/>
        </w:trPr>
        <w:tc>
          <w:tcPr>
            <w:tcW w:w="4749" w:type="dxa"/>
            <w:gridSpan w:val="2"/>
            <w:tcBorders>
              <w:top w:val="single" w:sz="4" w:space="0" w:color="A6A6A6"/>
            </w:tcBorders>
          </w:tcPr>
          <w:p w14:paraId="7896B5F2" w14:textId="7292D878" w:rsidR="0064038E" w:rsidRPr="00A511A3" w:rsidRDefault="0064038E">
            <w:pPr>
              <w:pStyle w:val="ARtabletext"/>
            </w:pPr>
            <w:r w:rsidRPr="00A511A3">
              <w:t>Total assessments undertaken at the Support and Safety</w:t>
            </w:r>
            <w:r w:rsidR="00026B51">
              <w:t> </w:t>
            </w:r>
            <w:r w:rsidRPr="00A511A3">
              <w:t>Hubs</w:t>
            </w:r>
          </w:p>
        </w:tc>
        <w:tc>
          <w:tcPr>
            <w:tcW w:w="1019" w:type="dxa"/>
            <w:gridSpan w:val="2"/>
            <w:tcBorders>
              <w:top w:val="single" w:sz="4" w:space="0" w:color="A6A6A6"/>
            </w:tcBorders>
          </w:tcPr>
          <w:p w14:paraId="48CEF049" w14:textId="77777777" w:rsidR="0064038E" w:rsidRPr="00A511A3" w:rsidRDefault="0064038E">
            <w:pPr>
              <w:pStyle w:val="ARtabletext"/>
            </w:pPr>
            <w:r>
              <w:t>number</w:t>
            </w:r>
          </w:p>
        </w:tc>
        <w:tc>
          <w:tcPr>
            <w:tcW w:w="1019" w:type="dxa"/>
            <w:gridSpan w:val="2"/>
            <w:tcBorders>
              <w:top w:val="single" w:sz="4" w:space="0" w:color="A6A6A6"/>
            </w:tcBorders>
          </w:tcPr>
          <w:p w14:paraId="45E50599" w14:textId="77777777" w:rsidR="0064038E" w:rsidRPr="00A511A3" w:rsidRDefault="0064038E">
            <w:pPr>
              <w:pStyle w:val="ARtabletextright"/>
            </w:pPr>
            <w:r w:rsidRPr="00A511A3">
              <w:t>160,000</w:t>
            </w:r>
          </w:p>
        </w:tc>
        <w:tc>
          <w:tcPr>
            <w:tcW w:w="1019" w:type="dxa"/>
            <w:gridSpan w:val="2"/>
            <w:tcBorders>
              <w:top w:val="single" w:sz="4" w:space="0" w:color="A6A6A6"/>
            </w:tcBorders>
          </w:tcPr>
          <w:p w14:paraId="7E1499B1" w14:textId="77777777" w:rsidR="0064038E" w:rsidRPr="00A511A3" w:rsidRDefault="0064038E">
            <w:pPr>
              <w:pStyle w:val="ARtabletextright"/>
            </w:pPr>
            <w:r w:rsidRPr="00A511A3">
              <w:t>186,524</w:t>
            </w:r>
          </w:p>
        </w:tc>
        <w:tc>
          <w:tcPr>
            <w:tcW w:w="1023" w:type="dxa"/>
            <w:tcBorders>
              <w:top w:val="single" w:sz="4" w:space="0" w:color="A6A6A6"/>
            </w:tcBorders>
          </w:tcPr>
          <w:p w14:paraId="775916B4" w14:textId="77777777" w:rsidR="0064038E" w:rsidRPr="00A511A3" w:rsidRDefault="0064038E">
            <w:pPr>
              <w:pStyle w:val="ARtabletextright"/>
            </w:pPr>
            <w:r w:rsidRPr="00A511A3">
              <w:t>16.6%</w:t>
            </w:r>
          </w:p>
        </w:tc>
        <w:tc>
          <w:tcPr>
            <w:tcW w:w="803" w:type="dxa"/>
            <w:tcBorders>
              <w:top w:val="single" w:sz="4" w:space="0" w:color="A6A6A6"/>
            </w:tcBorders>
          </w:tcPr>
          <w:p w14:paraId="2FC8FDE3" w14:textId="77777777" w:rsidR="0064038E" w:rsidRPr="00A511A3" w:rsidRDefault="0064038E">
            <w:pPr>
              <w:pStyle w:val="ARtableperformancesymbol"/>
              <w:rPr>
                <w:rFonts w:eastAsia="Wingdings" w:cs="Wingdings"/>
                <w:lang w:val="en-AU"/>
              </w:rPr>
            </w:pPr>
            <w:r w:rsidRPr="00A511A3">
              <w:rPr>
                <w:rFonts w:eastAsia="Wingdings" w:cs="Wingdings"/>
              </w:rPr>
              <w:t></w:t>
            </w:r>
          </w:p>
        </w:tc>
      </w:tr>
      <w:tr w:rsidR="0064038E" w:rsidRPr="00F07EE7" w14:paraId="7C218C7D" w14:textId="77777777">
        <w:trPr>
          <w:cantSplit/>
        </w:trPr>
        <w:tc>
          <w:tcPr>
            <w:tcW w:w="9632" w:type="dxa"/>
            <w:gridSpan w:val="10"/>
            <w:tcBorders>
              <w:bottom w:val="single" w:sz="4" w:space="0" w:color="A6A6A6"/>
            </w:tcBorders>
            <w:noWrap/>
            <w:hideMark/>
          </w:tcPr>
          <w:p w14:paraId="1AEFC9E8" w14:textId="386B5735" w:rsidR="0064038E" w:rsidRPr="00F07EE7" w:rsidRDefault="0064038E" w:rsidP="00130336">
            <w:pPr>
              <w:pStyle w:val="ARtablenoteindent"/>
              <w:rPr>
                <w:highlight w:val="cyan"/>
              </w:rPr>
            </w:pPr>
            <w:r w:rsidRPr="004963A2">
              <w:t>The 2024</w:t>
            </w:r>
            <w:r>
              <w:t>–</w:t>
            </w:r>
            <w:r w:rsidRPr="004963A2">
              <w:t xml:space="preserve">25 </w:t>
            </w:r>
            <w:r w:rsidR="003F31AE">
              <w:t>outcome</w:t>
            </w:r>
            <w:r w:rsidR="003F31AE" w:rsidRPr="004963A2">
              <w:t xml:space="preserve"> </w:t>
            </w:r>
            <w:r w:rsidRPr="004963A2">
              <w:t>is higher than the 2024</w:t>
            </w:r>
            <w:r>
              <w:t>–</w:t>
            </w:r>
            <w:r w:rsidRPr="004963A2">
              <w:t>25 target due to the target being calculated using data from the first year The Orange Door network was fully implemented. Since then, The Orange Door has matured and demand has grown, including through greater public awareness of The Orange Door, which has increased self-referrals and L17 referrals.</w:t>
            </w:r>
          </w:p>
        </w:tc>
      </w:tr>
      <w:tr w:rsidR="0064038E" w:rsidRPr="00F07EE7" w14:paraId="640B212B" w14:textId="77777777">
        <w:trPr>
          <w:cantSplit/>
        </w:trPr>
        <w:tc>
          <w:tcPr>
            <w:tcW w:w="4749" w:type="dxa"/>
            <w:gridSpan w:val="2"/>
            <w:tcBorders>
              <w:top w:val="single" w:sz="4" w:space="0" w:color="A6A6A6"/>
            </w:tcBorders>
            <w:hideMark/>
          </w:tcPr>
          <w:p w14:paraId="2E1794FE" w14:textId="77777777" w:rsidR="0064038E" w:rsidRPr="00791D5D" w:rsidRDefault="0064038E">
            <w:pPr>
              <w:pStyle w:val="ARtabletext"/>
              <w:spacing w:line="252" w:lineRule="auto"/>
            </w:pPr>
            <w:r w:rsidRPr="00791D5D">
              <w:t>Total assessments undertaken for children in the Support and Safety Hubs</w:t>
            </w:r>
            <w:r>
              <w:t xml:space="preserve"> / </w:t>
            </w:r>
            <w:r w:rsidRPr="00791D5D">
              <w:t>The Orange Door</w:t>
            </w:r>
          </w:p>
        </w:tc>
        <w:tc>
          <w:tcPr>
            <w:tcW w:w="1019" w:type="dxa"/>
            <w:gridSpan w:val="2"/>
            <w:tcBorders>
              <w:top w:val="single" w:sz="4" w:space="0" w:color="A6A6A6"/>
            </w:tcBorders>
            <w:hideMark/>
          </w:tcPr>
          <w:p w14:paraId="59BB983B" w14:textId="77777777" w:rsidR="0064038E" w:rsidRPr="00791D5D" w:rsidRDefault="0064038E">
            <w:pPr>
              <w:pStyle w:val="ARtabletext"/>
              <w:spacing w:line="252" w:lineRule="auto"/>
            </w:pPr>
            <w:r>
              <w:t>number</w:t>
            </w:r>
          </w:p>
        </w:tc>
        <w:tc>
          <w:tcPr>
            <w:tcW w:w="1019" w:type="dxa"/>
            <w:gridSpan w:val="2"/>
            <w:tcBorders>
              <w:top w:val="single" w:sz="4" w:space="0" w:color="A6A6A6"/>
            </w:tcBorders>
            <w:hideMark/>
          </w:tcPr>
          <w:p w14:paraId="0CCC05F9" w14:textId="77777777" w:rsidR="0064038E" w:rsidRPr="00791D5D" w:rsidRDefault="0064038E">
            <w:pPr>
              <w:pStyle w:val="ARtabletextright"/>
              <w:spacing w:line="252" w:lineRule="auto"/>
            </w:pPr>
            <w:r w:rsidRPr="00791D5D">
              <w:t>84,000</w:t>
            </w:r>
          </w:p>
        </w:tc>
        <w:tc>
          <w:tcPr>
            <w:tcW w:w="1019" w:type="dxa"/>
            <w:gridSpan w:val="2"/>
            <w:tcBorders>
              <w:top w:val="single" w:sz="4" w:space="0" w:color="A6A6A6"/>
            </w:tcBorders>
            <w:hideMark/>
          </w:tcPr>
          <w:p w14:paraId="0A0DE293" w14:textId="77777777" w:rsidR="0064038E" w:rsidRPr="00791D5D" w:rsidRDefault="0064038E">
            <w:pPr>
              <w:pStyle w:val="ARtabletextright"/>
              <w:spacing w:line="252" w:lineRule="auto"/>
            </w:pPr>
            <w:r w:rsidRPr="00791D5D">
              <w:t>106,116</w:t>
            </w:r>
          </w:p>
        </w:tc>
        <w:tc>
          <w:tcPr>
            <w:tcW w:w="1023" w:type="dxa"/>
            <w:tcBorders>
              <w:top w:val="single" w:sz="4" w:space="0" w:color="A6A6A6"/>
            </w:tcBorders>
          </w:tcPr>
          <w:p w14:paraId="51B9CEF5" w14:textId="77777777" w:rsidR="0064038E" w:rsidRPr="00791D5D" w:rsidRDefault="0064038E">
            <w:pPr>
              <w:pStyle w:val="ARtabletextright"/>
              <w:spacing w:line="252" w:lineRule="auto"/>
            </w:pPr>
            <w:r w:rsidRPr="00791D5D">
              <w:t>26.3%</w:t>
            </w:r>
          </w:p>
        </w:tc>
        <w:tc>
          <w:tcPr>
            <w:tcW w:w="803" w:type="dxa"/>
            <w:tcBorders>
              <w:top w:val="single" w:sz="4" w:space="0" w:color="A6A6A6"/>
            </w:tcBorders>
            <w:hideMark/>
          </w:tcPr>
          <w:p w14:paraId="604577A0" w14:textId="77777777" w:rsidR="0064038E" w:rsidRPr="00791D5D" w:rsidRDefault="0064038E">
            <w:pPr>
              <w:pStyle w:val="ARtableperformancesymbol"/>
              <w:spacing w:line="252" w:lineRule="auto"/>
              <w:rPr>
                <w:rFonts w:hint="eastAsia"/>
                <w:lang w:val="en-AU"/>
              </w:rPr>
            </w:pPr>
            <w:r w:rsidRPr="00791D5D">
              <w:rPr>
                <w:rFonts w:eastAsia="Wingdings" w:cs="Wingdings"/>
              </w:rPr>
              <w:t></w:t>
            </w:r>
          </w:p>
        </w:tc>
      </w:tr>
      <w:tr w:rsidR="0064038E" w:rsidRPr="00F07EE7" w14:paraId="36AF2B3D" w14:textId="77777777">
        <w:trPr>
          <w:cantSplit/>
        </w:trPr>
        <w:tc>
          <w:tcPr>
            <w:tcW w:w="9632" w:type="dxa"/>
            <w:gridSpan w:val="10"/>
            <w:tcBorders>
              <w:bottom w:val="single" w:sz="4" w:space="0" w:color="BFBFBF" w:themeColor="background1" w:themeShade="BF"/>
            </w:tcBorders>
            <w:noWrap/>
            <w:hideMark/>
          </w:tcPr>
          <w:p w14:paraId="1A046BFB" w14:textId="08FD5DEE" w:rsidR="0064038E" w:rsidRPr="00F07EE7" w:rsidRDefault="0064038E" w:rsidP="00130336">
            <w:pPr>
              <w:pStyle w:val="ARtablenoteindent"/>
              <w:rPr>
                <w:highlight w:val="cyan"/>
              </w:rPr>
            </w:pPr>
            <w:r w:rsidRPr="005309AF">
              <w:t>The 2024</w:t>
            </w:r>
            <w:r>
              <w:t>–</w:t>
            </w:r>
            <w:r w:rsidRPr="005309AF">
              <w:t xml:space="preserve">25 </w:t>
            </w:r>
            <w:r w:rsidR="00A01CFF">
              <w:t>outcome</w:t>
            </w:r>
            <w:r w:rsidR="00A01CFF" w:rsidRPr="005309AF">
              <w:t xml:space="preserve"> </w:t>
            </w:r>
            <w:r w:rsidRPr="005309AF">
              <w:t>is higher than the 2024</w:t>
            </w:r>
            <w:r>
              <w:t>–</w:t>
            </w:r>
            <w:r w:rsidRPr="005309AF">
              <w:t xml:space="preserve">25 target due to the target being calculated using data from the first year The Orange Door network was fully implemented. Since </w:t>
            </w:r>
            <w:r w:rsidRPr="00130336">
              <w:t>then</w:t>
            </w:r>
            <w:r w:rsidRPr="005309AF">
              <w:t>, The Orange Door has matured and demand has grown, including through greater public awareness of The Orange Door, which has increased self-referrals and L17 referrals.</w:t>
            </w:r>
          </w:p>
        </w:tc>
      </w:tr>
      <w:tr w:rsidR="0064038E" w:rsidRPr="00F07EE7" w14:paraId="0C29118C" w14:textId="77777777">
        <w:trPr>
          <w:cantSplit/>
        </w:trPr>
        <w:tc>
          <w:tcPr>
            <w:tcW w:w="4739" w:type="dxa"/>
            <w:tcBorders>
              <w:top w:val="single" w:sz="4" w:space="0" w:color="BFBFBF"/>
            </w:tcBorders>
            <w:hideMark/>
          </w:tcPr>
          <w:p w14:paraId="791A9FB2" w14:textId="77777777" w:rsidR="0064038E" w:rsidRPr="003B14C4" w:rsidRDefault="0064038E">
            <w:pPr>
              <w:pStyle w:val="ARtabletext"/>
              <w:spacing w:line="252" w:lineRule="auto"/>
            </w:pPr>
            <w:r w:rsidRPr="00225A65">
              <w:t>Total number of Central Information Point reports delivered to CIP requesters</w:t>
            </w:r>
          </w:p>
        </w:tc>
        <w:tc>
          <w:tcPr>
            <w:tcW w:w="1017" w:type="dxa"/>
            <w:gridSpan w:val="2"/>
            <w:tcBorders>
              <w:top w:val="single" w:sz="4" w:space="0" w:color="BFBFBF"/>
            </w:tcBorders>
            <w:hideMark/>
          </w:tcPr>
          <w:p w14:paraId="0D6D5605" w14:textId="77777777" w:rsidR="0064038E" w:rsidRPr="003B14C4" w:rsidRDefault="0064038E">
            <w:pPr>
              <w:pStyle w:val="ARtabletext"/>
              <w:spacing w:line="252" w:lineRule="auto"/>
            </w:pPr>
            <w:r>
              <w:t>number</w:t>
            </w:r>
          </w:p>
        </w:tc>
        <w:tc>
          <w:tcPr>
            <w:tcW w:w="1016" w:type="dxa"/>
            <w:gridSpan w:val="2"/>
            <w:tcBorders>
              <w:top w:val="single" w:sz="4" w:space="0" w:color="BFBFBF"/>
            </w:tcBorders>
            <w:hideMark/>
          </w:tcPr>
          <w:p w14:paraId="3689B617" w14:textId="77777777" w:rsidR="0064038E" w:rsidRPr="003B14C4" w:rsidRDefault="0064038E">
            <w:pPr>
              <w:pStyle w:val="ARtabletextright"/>
              <w:spacing w:line="252" w:lineRule="auto"/>
            </w:pPr>
            <w:r w:rsidRPr="00225A65">
              <w:t>5,329</w:t>
            </w:r>
          </w:p>
        </w:tc>
        <w:tc>
          <w:tcPr>
            <w:tcW w:w="1020" w:type="dxa"/>
            <w:gridSpan w:val="2"/>
            <w:tcBorders>
              <w:top w:val="single" w:sz="4" w:space="0" w:color="BFBFBF"/>
            </w:tcBorders>
            <w:hideMark/>
          </w:tcPr>
          <w:p w14:paraId="5C1B53A4" w14:textId="77777777" w:rsidR="0064038E" w:rsidRPr="003B14C4" w:rsidRDefault="0064038E">
            <w:pPr>
              <w:pStyle w:val="ARtabletextright"/>
              <w:spacing w:line="252" w:lineRule="auto"/>
            </w:pPr>
            <w:r w:rsidRPr="00225A65">
              <w:t>9,847</w:t>
            </w:r>
          </w:p>
        </w:tc>
        <w:tc>
          <w:tcPr>
            <w:tcW w:w="1037" w:type="dxa"/>
            <w:gridSpan w:val="2"/>
            <w:tcBorders>
              <w:top w:val="single" w:sz="4" w:space="0" w:color="BFBFBF"/>
            </w:tcBorders>
          </w:tcPr>
          <w:p w14:paraId="1F6498C4" w14:textId="77777777" w:rsidR="0064038E" w:rsidRPr="003B14C4" w:rsidRDefault="0064038E">
            <w:pPr>
              <w:pStyle w:val="ARtabletextright"/>
              <w:spacing w:line="252" w:lineRule="auto"/>
            </w:pPr>
            <w:r>
              <w:t>84.8%</w:t>
            </w:r>
          </w:p>
        </w:tc>
        <w:tc>
          <w:tcPr>
            <w:tcW w:w="803" w:type="dxa"/>
            <w:tcBorders>
              <w:top w:val="single" w:sz="4" w:space="0" w:color="BFBFBF"/>
            </w:tcBorders>
            <w:hideMark/>
          </w:tcPr>
          <w:p w14:paraId="7145570A" w14:textId="77777777" w:rsidR="0064038E" w:rsidRPr="003B14C4" w:rsidRDefault="0064038E">
            <w:pPr>
              <w:pStyle w:val="ARtableperformancesymbol"/>
              <w:spacing w:line="252" w:lineRule="auto"/>
              <w:rPr>
                <w:rFonts w:hint="eastAsia"/>
                <w:lang w:val="en-AU"/>
              </w:rPr>
            </w:pPr>
            <w:r w:rsidRPr="003B14C4">
              <w:rPr>
                <w:rFonts w:eastAsia="Wingdings" w:cs="Wingdings"/>
              </w:rPr>
              <w:t></w:t>
            </w:r>
          </w:p>
        </w:tc>
      </w:tr>
      <w:tr w:rsidR="0064038E" w:rsidRPr="00F07EE7" w14:paraId="047C3254" w14:textId="77777777">
        <w:trPr>
          <w:cantSplit/>
        </w:trPr>
        <w:tc>
          <w:tcPr>
            <w:tcW w:w="9632" w:type="dxa"/>
            <w:gridSpan w:val="10"/>
            <w:tcBorders>
              <w:bottom w:val="single" w:sz="4" w:space="0" w:color="BFBFBF"/>
            </w:tcBorders>
            <w:noWrap/>
            <w:hideMark/>
          </w:tcPr>
          <w:p w14:paraId="1E92E587" w14:textId="7B09267C" w:rsidR="0064038E" w:rsidRPr="00F07EE7" w:rsidRDefault="0064038E" w:rsidP="00130336">
            <w:pPr>
              <w:pStyle w:val="ARtablenoteindent"/>
              <w:rPr>
                <w:highlight w:val="cyan"/>
              </w:rPr>
            </w:pPr>
            <w:r w:rsidRPr="0062245E">
              <w:t>The 2024</w:t>
            </w:r>
            <w:r>
              <w:t>–</w:t>
            </w:r>
            <w:r w:rsidRPr="0062245E">
              <w:t xml:space="preserve">25 </w:t>
            </w:r>
            <w:r w:rsidR="00EA1E7C">
              <w:t>outcome</w:t>
            </w:r>
            <w:r w:rsidR="00EA1E7C" w:rsidRPr="0062245E">
              <w:t xml:space="preserve"> </w:t>
            </w:r>
            <w:r w:rsidRPr="0062245E">
              <w:t>is higher than the 2024</w:t>
            </w:r>
            <w:r>
              <w:t>–</w:t>
            </w:r>
            <w:r w:rsidRPr="0062245E">
              <w:t>25 target due to an increase in staffing capacity and improved reports.</w:t>
            </w:r>
          </w:p>
        </w:tc>
      </w:tr>
      <w:tr w:rsidR="0064038E" w:rsidRPr="00F07EE7" w14:paraId="2DB75A04" w14:textId="77777777">
        <w:trPr>
          <w:cantSplit/>
        </w:trPr>
        <w:tc>
          <w:tcPr>
            <w:tcW w:w="4739" w:type="dxa"/>
            <w:tcBorders>
              <w:top w:val="single" w:sz="4" w:space="0" w:color="BFBFBF"/>
            </w:tcBorders>
            <w:hideMark/>
          </w:tcPr>
          <w:p w14:paraId="2BA38287" w14:textId="77777777" w:rsidR="0064038E" w:rsidRPr="003B14C4" w:rsidRDefault="0064038E" w:rsidP="00130336">
            <w:pPr>
              <w:pStyle w:val="ARtabletext"/>
              <w:pageBreakBefore/>
              <w:spacing w:line="252" w:lineRule="auto"/>
            </w:pPr>
            <w:r w:rsidRPr="00A66701">
              <w:lastRenderedPageBreak/>
              <w:t>Total number of cases opened at The Orange Door</w:t>
            </w:r>
          </w:p>
        </w:tc>
        <w:tc>
          <w:tcPr>
            <w:tcW w:w="1017" w:type="dxa"/>
            <w:gridSpan w:val="2"/>
            <w:tcBorders>
              <w:top w:val="single" w:sz="4" w:space="0" w:color="BFBFBF"/>
            </w:tcBorders>
            <w:hideMark/>
          </w:tcPr>
          <w:p w14:paraId="3AD34FDB" w14:textId="77777777" w:rsidR="0064038E" w:rsidRPr="003B14C4" w:rsidRDefault="0064038E">
            <w:pPr>
              <w:pStyle w:val="ARtabletext"/>
              <w:spacing w:line="252" w:lineRule="auto"/>
            </w:pPr>
            <w:r>
              <w:t>number</w:t>
            </w:r>
          </w:p>
        </w:tc>
        <w:tc>
          <w:tcPr>
            <w:tcW w:w="1016" w:type="dxa"/>
            <w:gridSpan w:val="2"/>
            <w:tcBorders>
              <w:top w:val="single" w:sz="4" w:space="0" w:color="BFBFBF"/>
            </w:tcBorders>
            <w:hideMark/>
          </w:tcPr>
          <w:p w14:paraId="57AB6417" w14:textId="77777777" w:rsidR="0064038E" w:rsidRPr="003B14C4" w:rsidRDefault="0064038E">
            <w:pPr>
              <w:pStyle w:val="ARtabletextright"/>
              <w:spacing w:line="252" w:lineRule="auto"/>
            </w:pPr>
            <w:r w:rsidRPr="00A66701">
              <w:t>260,000</w:t>
            </w:r>
          </w:p>
        </w:tc>
        <w:tc>
          <w:tcPr>
            <w:tcW w:w="1020" w:type="dxa"/>
            <w:gridSpan w:val="2"/>
            <w:tcBorders>
              <w:top w:val="single" w:sz="4" w:space="0" w:color="BFBFBF"/>
            </w:tcBorders>
            <w:hideMark/>
          </w:tcPr>
          <w:p w14:paraId="652BB6E5" w14:textId="77777777" w:rsidR="0064038E" w:rsidRPr="003B14C4" w:rsidRDefault="0064038E">
            <w:pPr>
              <w:pStyle w:val="ARtabletextright"/>
              <w:spacing w:line="252" w:lineRule="auto"/>
            </w:pPr>
            <w:r w:rsidRPr="00A66701">
              <w:t>301,863</w:t>
            </w:r>
          </w:p>
        </w:tc>
        <w:tc>
          <w:tcPr>
            <w:tcW w:w="1037" w:type="dxa"/>
            <w:gridSpan w:val="2"/>
            <w:tcBorders>
              <w:top w:val="single" w:sz="4" w:space="0" w:color="BFBFBF"/>
            </w:tcBorders>
          </w:tcPr>
          <w:p w14:paraId="591468A6" w14:textId="77777777" w:rsidR="0064038E" w:rsidRPr="003B14C4" w:rsidRDefault="0064038E">
            <w:pPr>
              <w:pStyle w:val="ARtabletextright"/>
              <w:spacing w:line="252" w:lineRule="auto"/>
            </w:pPr>
            <w:r>
              <w:t>16.1%</w:t>
            </w:r>
          </w:p>
        </w:tc>
        <w:tc>
          <w:tcPr>
            <w:tcW w:w="803" w:type="dxa"/>
            <w:tcBorders>
              <w:top w:val="single" w:sz="4" w:space="0" w:color="BFBFBF"/>
            </w:tcBorders>
            <w:hideMark/>
          </w:tcPr>
          <w:p w14:paraId="7EFF9300" w14:textId="77777777" w:rsidR="0064038E" w:rsidRPr="003B14C4" w:rsidRDefault="0064038E">
            <w:pPr>
              <w:pStyle w:val="ARtableperformancesymbol"/>
              <w:spacing w:line="252" w:lineRule="auto"/>
              <w:rPr>
                <w:rFonts w:hint="eastAsia"/>
                <w:lang w:val="en-AU"/>
              </w:rPr>
            </w:pPr>
            <w:r w:rsidRPr="003B14C4">
              <w:rPr>
                <w:rFonts w:eastAsia="Wingdings" w:cs="Wingdings"/>
              </w:rPr>
              <w:t></w:t>
            </w:r>
          </w:p>
        </w:tc>
      </w:tr>
      <w:tr w:rsidR="0064038E" w:rsidRPr="00F07EE7" w14:paraId="556C0BD1" w14:textId="77777777">
        <w:trPr>
          <w:cantSplit/>
        </w:trPr>
        <w:tc>
          <w:tcPr>
            <w:tcW w:w="9632" w:type="dxa"/>
            <w:gridSpan w:val="10"/>
            <w:tcBorders>
              <w:bottom w:val="single" w:sz="4" w:space="0" w:color="BFBFBF"/>
            </w:tcBorders>
            <w:noWrap/>
            <w:hideMark/>
          </w:tcPr>
          <w:p w14:paraId="6E051E65" w14:textId="291657A3" w:rsidR="0064038E" w:rsidRPr="00F07EE7" w:rsidRDefault="0064038E" w:rsidP="00130336">
            <w:pPr>
              <w:pStyle w:val="ARtablenoteindent"/>
              <w:rPr>
                <w:highlight w:val="cyan"/>
              </w:rPr>
            </w:pPr>
            <w:r w:rsidRPr="00EC3C57">
              <w:t>The 2024</w:t>
            </w:r>
            <w:r>
              <w:t>–</w:t>
            </w:r>
            <w:r w:rsidRPr="00EC3C57">
              <w:t xml:space="preserve">25 </w:t>
            </w:r>
            <w:r w:rsidR="00C65F1D">
              <w:t>outcome</w:t>
            </w:r>
            <w:r w:rsidR="00C65F1D" w:rsidRPr="00EC3C57">
              <w:t xml:space="preserve"> </w:t>
            </w:r>
            <w:r w:rsidRPr="00EC3C57">
              <w:t>is higher than the 2024</w:t>
            </w:r>
            <w:r>
              <w:t>–</w:t>
            </w:r>
            <w:r w:rsidRPr="00EC3C57">
              <w:t xml:space="preserve">25 target due to the target being calculated using data from the first year The Orange Door network was fully implemented. Since then, The Orange Door has matured and demand has grown, including through greater public awareness of The </w:t>
            </w:r>
            <w:r w:rsidRPr="00130336">
              <w:t>Orange</w:t>
            </w:r>
            <w:r w:rsidRPr="00EC3C57">
              <w:t xml:space="preserve"> Door, which has increased self-referrals and L17 referrals.</w:t>
            </w:r>
          </w:p>
        </w:tc>
      </w:tr>
      <w:tr w:rsidR="0064038E" w:rsidRPr="00A47451" w14:paraId="37986B80" w14:textId="77777777">
        <w:trPr>
          <w:cantSplit/>
        </w:trPr>
        <w:tc>
          <w:tcPr>
            <w:tcW w:w="4739" w:type="dxa"/>
            <w:tcBorders>
              <w:top w:val="single" w:sz="4" w:space="0" w:color="BFBFBF"/>
            </w:tcBorders>
            <w:hideMark/>
          </w:tcPr>
          <w:p w14:paraId="2D0E25F9" w14:textId="77777777" w:rsidR="0064038E" w:rsidRPr="00A47451" w:rsidRDefault="0064038E">
            <w:pPr>
              <w:pStyle w:val="ARtabletext"/>
              <w:spacing w:line="252" w:lineRule="auto"/>
            </w:pPr>
            <w:r w:rsidRPr="00A47451">
              <w:t xml:space="preserve">Workers trained in the Multi-Agency Risk Management Framework, the Family Violence Information Sharing Scheme and the Child Information Sharing Scheme. </w:t>
            </w:r>
          </w:p>
        </w:tc>
        <w:tc>
          <w:tcPr>
            <w:tcW w:w="1017" w:type="dxa"/>
            <w:gridSpan w:val="2"/>
            <w:tcBorders>
              <w:top w:val="single" w:sz="4" w:space="0" w:color="BFBFBF"/>
            </w:tcBorders>
            <w:hideMark/>
          </w:tcPr>
          <w:p w14:paraId="12D37B28" w14:textId="77777777" w:rsidR="0064038E" w:rsidRPr="00A47451" w:rsidRDefault="0064038E">
            <w:pPr>
              <w:pStyle w:val="ARtabletext"/>
              <w:spacing w:line="252" w:lineRule="auto"/>
            </w:pPr>
            <w:r w:rsidRPr="00A47451">
              <w:t>number</w:t>
            </w:r>
          </w:p>
        </w:tc>
        <w:tc>
          <w:tcPr>
            <w:tcW w:w="1016" w:type="dxa"/>
            <w:gridSpan w:val="2"/>
            <w:tcBorders>
              <w:top w:val="single" w:sz="4" w:space="0" w:color="BFBFBF"/>
            </w:tcBorders>
            <w:hideMark/>
          </w:tcPr>
          <w:p w14:paraId="56285BC3" w14:textId="77777777" w:rsidR="0064038E" w:rsidRPr="00A47451" w:rsidRDefault="0064038E">
            <w:pPr>
              <w:pStyle w:val="ARtabletextright"/>
              <w:spacing w:line="252" w:lineRule="auto"/>
            </w:pPr>
            <w:r w:rsidRPr="00A47451">
              <w:t>12,000</w:t>
            </w:r>
          </w:p>
        </w:tc>
        <w:tc>
          <w:tcPr>
            <w:tcW w:w="1020" w:type="dxa"/>
            <w:gridSpan w:val="2"/>
            <w:tcBorders>
              <w:top w:val="single" w:sz="4" w:space="0" w:color="BFBFBF"/>
            </w:tcBorders>
            <w:hideMark/>
          </w:tcPr>
          <w:p w14:paraId="65552473" w14:textId="6EB9F892" w:rsidR="0064038E" w:rsidRPr="00A47451" w:rsidRDefault="0064038E">
            <w:pPr>
              <w:pStyle w:val="ARtabletextright"/>
              <w:spacing w:line="252" w:lineRule="auto"/>
            </w:pPr>
            <w:r w:rsidRPr="00A47451">
              <w:t>1</w:t>
            </w:r>
            <w:r w:rsidR="00583480" w:rsidRPr="00A47451">
              <w:t>9,425</w:t>
            </w:r>
          </w:p>
        </w:tc>
        <w:tc>
          <w:tcPr>
            <w:tcW w:w="1037" w:type="dxa"/>
            <w:gridSpan w:val="2"/>
            <w:tcBorders>
              <w:top w:val="single" w:sz="4" w:space="0" w:color="BFBFBF"/>
            </w:tcBorders>
          </w:tcPr>
          <w:p w14:paraId="0E643D1A" w14:textId="15231D2B" w:rsidR="0064038E" w:rsidRPr="00A47451" w:rsidRDefault="00583480">
            <w:pPr>
              <w:pStyle w:val="ARtabletextright"/>
              <w:spacing w:line="252" w:lineRule="auto"/>
            </w:pPr>
            <w:r w:rsidRPr="00A47451">
              <w:t>61.9</w:t>
            </w:r>
            <w:r w:rsidR="0064038E" w:rsidRPr="00A47451">
              <w:t>%</w:t>
            </w:r>
          </w:p>
        </w:tc>
        <w:tc>
          <w:tcPr>
            <w:tcW w:w="803" w:type="dxa"/>
            <w:tcBorders>
              <w:top w:val="single" w:sz="4" w:space="0" w:color="BFBFBF"/>
            </w:tcBorders>
            <w:hideMark/>
          </w:tcPr>
          <w:p w14:paraId="3688C272" w14:textId="77777777" w:rsidR="0064038E" w:rsidRPr="00A47451" w:rsidRDefault="0064038E">
            <w:pPr>
              <w:pStyle w:val="ARtableperformancesymbol"/>
              <w:spacing w:line="252" w:lineRule="auto"/>
              <w:rPr>
                <w:rFonts w:hint="eastAsia"/>
                <w:lang w:val="en-AU"/>
              </w:rPr>
            </w:pPr>
            <w:r w:rsidRPr="00A47451">
              <w:rPr>
                <w:rFonts w:eastAsia="Wingdings" w:cs="Wingdings"/>
              </w:rPr>
              <w:t></w:t>
            </w:r>
          </w:p>
        </w:tc>
      </w:tr>
      <w:tr w:rsidR="0064038E" w:rsidRPr="00F07EE7" w14:paraId="3AF396A1" w14:textId="77777777" w:rsidTr="006C102A">
        <w:trPr>
          <w:cantSplit/>
        </w:trPr>
        <w:tc>
          <w:tcPr>
            <w:tcW w:w="9632" w:type="dxa"/>
            <w:gridSpan w:val="10"/>
            <w:tcBorders>
              <w:bottom w:val="single" w:sz="4" w:space="0" w:color="000000" w:themeColor="text1"/>
            </w:tcBorders>
            <w:noWrap/>
            <w:hideMark/>
          </w:tcPr>
          <w:p w14:paraId="6D60F067" w14:textId="265DA81A" w:rsidR="0064038E" w:rsidRPr="00A47451" w:rsidRDefault="00727403" w:rsidP="00130336">
            <w:pPr>
              <w:pStyle w:val="ARtablenoteindent"/>
            </w:pPr>
            <w:r w:rsidRPr="00A47451">
              <w:t>The 2024</w:t>
            </w:r>
            <w:r w:rsidR="005C1105">
              <w:t>–</w:t>
            </w:r>
            <w:r w:rsidRPr="00A47451">
              <w:t>25 outcome is higher than the 2024</w:t>
            </w:r>
            <w:r w:rsidR="005C1105">
              <w:t>–</w:t>
            </w:r>
            <w:r w:rsidRPr="00A47451">
              <w:t>25 target due to ongoing interest in available training programs and steady participation across different learning formats.</w:t>
            </w:r>
          </w:p>
        </w:tc>
      </w:tr>
      <w:tr w:rsidR="0064038E" w:rsidRPr="00F07EE7" w14:paraId="7D9780B4" w14:textId="77777777" w:rsidTr="006C102A">
        <w:trPr>
          <w:cantSplit/>
        </w:trPr>
        <w:tc>
          <w:tcPr>
            <w:tcW w:w="9632" w:type="dxa"/>
            <w:gridSpan w:val="10"/>
            <w:tcBorders>
              <w:top w:val="single" w:sz="4" w:space="0" w:color="000000" w:themeColor="text1"/>
              <w:left w:val="nil"/>
              <w:bottom w:val="single" w:sz="4" w:space="0" w:color="A6A6A6" w:themeColor="accent5"/>
              <w:right w:val="nil"/>
            </w:tcBorders>
            <w:hideMark/>
          </w:tcPr>
          <w:p w14:paraId="2DE67807" w14:textId="77777777" w:rsidR="0064038E" w:rsidRPr="001343E2" w:rsidRDefault="0064038E" w:rsidP="008149F0">
            <w:pPr>
              <w:pStyle w:val="ARtablegreybold"/>
              <w:keepNext/>
              <w:keepLines/>
            </w:pPr>
            <w:r w:rsidRPr="001343E2">
              <w:t>Quality</w:t>
            </w:r>
          </w:p>
        </w:tc>
      </w:tr>
      <w:tr w:rsidR="0064038E" w:rsidRPr="00F07EE7" w14:paraId="29A9FD0B" w14:textId="77777777" w:rsidTr="006C102A">
        <w:trPr>
          <w:cantSplit/>
        </w:trPr>
        <w:tc>
          <w:tcPr>
            <w:tcW w:w="4739" w:type="dxa"/>
            <w:tcBorders>
              <w:top w:val="single" w:sz="4" w:space="0" w:color="A6A6A6" w:themeColor="accent5"/>
            </w:tcBorders>
            <w:hideMark/>
          </w:tcPr>
          <w:p w14:paraId="38316344" w14:textId="1607A422" w:rsidR="0064038E" w:rsidRPr="00D8378C" w:rsidRDefault="0064038E" w:rsidP="00026B51">
            <w:pPr>
              <w:pStyle w:val="ARtabletext"/>
              <w:pageBreakBefore/>
              <w:spacing w:line="252" w:lineRule="auto"/>
            </w:pPr>
            <w:r w:rsidRPr="00D8378C">
              <w:t>Satisfaction of clients with Support and Safety Hubs</w:t>
            </w:r>
            <w:r w:rsidR="00026B51">
              <w:t> </w:t>
            </w:r>
            <w:r w:rsidRPr="00D8378C">
              <w:t>services</w:t>
            </w:r>
          </w:p>
        </w:tc>
        <w:tc>
          <w:tcPr>
            <w:tcW w:w="1017" w:type="dxa"/>
            <w:gridSpan w:val="2"/>
            <w:tcBorders>
              <w:top w:val="single" w:sz="4" w:space="0" w:color="A6A6A6" w:themeColor="accent5"/>
            </w:tcBorders>
            <w:hideMark/>
          </w:tcPr>
          <w:p w14:paraId="59B9F481" w14:textId="77777777" w:rsidR="0064038E" w:rsidRPr="00D8378C" w:rsidRDefault="0064038E">
            <w:pPr>
              <w:pStyle w:val="ARtabletext"/>
              <w:spacing w:line="252" w:lineRule="auto"/>
            </w:pPr>
            <w:r>
              <w:t>per cent</w:t>
            </w:r>
          </w:p>
        </w:tc>
        <w:tc>
          <w:tcPr>
            <w:tcW w:w="1016" w:type="dxa"/>
            <w:gridSpan w:val="2"/>
            <w:tcBorders>
              <w:top w:val="single" w:sz="4" w:space="0" w:color="A6A6A6" w:themeColor="accent5"/>
            </w:tcBorders>
            <w:hideMark/>
          </w:tcPr>
          <w:p w14:paraId="4DE5D9AC" w14:textId="77777777" w:rsidR="0064038E" w:rsidRPr="00D8378C" w:rsidRDefault="0064038E">
            <w:pPr>
              <w:pStyle w:val="ARtabletextright"/>
              <w:spacing w:line="252" w:lineRule="auto"/>
            </w:pPr>
            <w:r w:rsidRPr="00D8378C">
              <w:t>80</w:t>
            </w:r>
          </w:p>
        </w:tc>
        <w:tc>
          <w:tcPr>
            <w:tcW w:w="1020" w:type="dxa"/>
            <w:gridSpan w:val="2"/>
            <w:tcBorders>
              <w:top w:val="single" w:sz="4" w:space="0" w:color="A6A6A6" w:themeColor="accent5"/>
            </w:tcBorders>
            <w:hideMark/>
          </w:tcPr>
          <w:p w14:paraId="05DC690A" w14:textId="77777777" w:rsidR="0064038E" w:rsidRPr="00D8378C" w:rsidRDefault="0064038E">
            <w:pPr>
              <w:pStyle w:val="ARtabletextright"/>
              <w:spacing w:line="252" w:lineRule="auto"/>
            </w:pPr>
            <w:r w:rsidRPr="00D8378C">
              <w:t>88.0</w:t>
            </w:r>
          </w:p>
        </w:tc>
        <w:tc>
          <w:tcPr>
            <w:tcW w:w="1037" w:type="dxa"/>
            <w:gridSpan w:val="2"/>
            <w:tcBorders>
              <w:top w:val="single" w:sz="4" w:space="0" w:color="A6A6A6" w:themeColor="accent5"/>
            </w:tcBorders>
          </w:tcPr>
          <w:p w14:paraId="73B65808" w14:textId="77777777" w:rsidR="0064038E" w:rsidRPr="00D8378C" w:rsidRDefault="0064038E">
            <w:pPr>
              <w:pStyle w:val="ARtabletextright"/>
              <w:spacing w:line="252" w:lineRule="auto"/>
            </w:pPr>
            <w:r w:rsidRPr="00D8378C">
              <w:t>10.0%</w:t>
            </w:r>
          </w:p>
        </w:tc>
        <w:tc>
          <w:tcPr>
            <w:tcW w:w="803" w:type="dxa"/>
            <w:tcBorders>
              <w:top w:val="single" w:sz="4" w:space="0" w:color="A6A6A6" w:themeColor="accent5"/>
            </w:tcBorders>
            <w:hideMark/>
          </w:tcPr>
          <w:p w14:paraId="355C1BF9" w14:textId="77777777" w:rsidR="0064038E" w:rsidRPr="00D8378C" w:rsidRDefault="0064038E">
            <w:pPr>
              <w:pStyle w:val="ARtableperformancesymbol"/>
              <w:spacing w:line="252" w:lineRule="auto"/>
              <w:rPr>
                <w:rFonts w:hint="eastAsia"/>
                <w:lang w:val="en-AU"/>
              </w:rPr>
            </w:pPr>
            <w:r w:rsidRPr="00D8378C">
              <w:rPr>
                <w:rFonts w:eastAsia="Wingdings" w:cs="Wingdings"/>
              </w:rPr>
              <w:t></w:t>
            </w:r>
          </w:p>
        </w:tc>
      </w:tr>
      <w:tr w:rsidR="0064038E" w:rsidRPr="00F07EE7" w14:paraId="0ECB1415" w14:textId="77777777">
        <w:trPr>
          <w:cantSplit/>
        </w:trPr>
        <w:tc>
          <w:tcPr>
            <w:tcW w:w="9632" w:type="dxa"/>
            <w:gridSpan w:val="10"/>
            <w:tcBorders>
              <w:bottom w:val="single" w:sz="4" w:space="0" w:color="BFBFBF"/>
            </w:tcBorders>
            <w:noWrap/>
            <w:hideMark/>
          </w:tcPr>
          <w:p w14:paraId="795D63D0" w14:textId="592CD3F7" w:rsidR="0064038E" w:rsidRPr="00F07EE7" w:rsidRDefault="0064038E" w:rsidP="00130336">
            <w:pPr>
              <w:pStyle w:val="ARtablenoteindent"/>
              <w:rPr>
                <w:highlight w:val="cyan"/>
              </w:rPr>
            </w:pPr>
            <w:r w:rsidRPr="00D8378C">
              <w:t>The 2024</w:t>
            </w:r>
            <w:r>
              <w:t>–</w:t>
            </w:r>
            <w:r w:rsidRPr="00D8378C">
              <w:t xml:space="preserve">25 </w:t>
            </w:r>
            <w:r w:rsidR="00A01CFF">
              <w:t>outcome</w:t>
            </w:r>
            <w:r w:rsidR="00A01CFF" w:rsidRPr="00D8378C">
              <w:t xml:space="preserve"> </w:t>
            </w:r>
            <w:r w:rsidRPr="00D8378C">
              <w:t xml:space="preserve">is higher </w:t>
            </w:r>
            <w:r w:rsidRPr="00130336">
              <w:t>than</w:t>
            </w:r>
            <w:r w:rsidRPr="00D8378C">
              <w:t xml:space="preserve"> the 2024</w:t>
            </w:r>
            <w:r>
              <w:t>–</w:t>
            </w:r>
            <w:r w:rsidRPr="00D8378C">
              <w:t>25 target due to higher-than-expected level of satisfaction among clients of The Orange Door that were surveyed through the Client Voice survey.</w:t>
            </w:r>
          </w:p>
        </w:tc>
      </w:tr>
      <w:tr w:rsidR="0064038E" w:rsidRPr="00701992" w14:paraId="096BBE96" w14:textId="77777777">
        <w:trPr>
          <w:cantSplit/>
        </w:trPr>
        <w:tc>
          <w:tcPr>
            <w:tcW w:w="4739" w:type="dxa"/>
            <w:hideMark/>
          </w:tcPr>
          <w:p w14:paraId="1FCE244D" w14:textId="50EB2451" w:rsidR="0064038E" w:rsidRPr="00701992" w:rsidRDefault="0064038E">
            <w:pPr>
              <w:pStyle w:val="ARtabletext"/>
              <w:spacing w:line="252" w:lineRule="auto"/>
            </w:pPr>
            <w:r w:rsidRPr="00701992">
              <w:t>Satisfaction of workers with the information sharing and</w:t>
            </w:r>
            <w:r w:rsidR="00130336" w:rsidRPr="00701992">
              <w:t> </w:t>
            </w:r>
            <w:r w:rsidRPr="00701992">
              <w:t>family violence risk assessment and risk management training</w:t>
            </w:r>
          </w:p>
        </w:tc>
        <w:tc>
          <w:tcPr>
            <w:tcW w:w="1017" w:type="dxa"/>
            <w:gridSpan w:val="2"/>
            <w:hideMark/>
          </w:tcPr>
          <w:p w14:paraId="42535A11" w14:textId="77777777" w:rsidR="0064038E" w:rsidRPr="00701992" w:rsidRDefault="0064038E">
            <w:pPr>
              <w:pStyle w:val="ARtabletext"/>
              <w:spacing w:line="252" w:lineRule="auto"/>
            </w:pPr>
            <w:r w:rsidRPr="00701992">
              <w:t>per cent</w:t>
            </w:r>
          </w:p>
        </w:tc>
        <w:tc>
          <w:tcPr>
            <w:tcW w:w="1016" w:type="dxa"/>
            <w:gridSpan w:val="2"/>
            <w:hideMark/>
          </w:tcPr>
          <w:p w14:paraId="12B30B94" w14:textId="77777777" w:rsidR="0064038E" w:rsidRPr="00701992" w:rsidRDefault="0064038E">
            <w:pPr>
              <w:pStyle w:val="ARtabletextright"/>
              <w:spacing w:line="252" w:lineRule="auto"/>
            </w:pPr>
            <w:r w:rsidRPr="00701992">
              <w:t>92</w:t>
            </w:r>
          </w:p>
        </w:tc>
        <w:tc>
          <w:tcPr>
            <w:tcW w:w="1020" w:type="dxa"/>
            <w:gridSpan w:val="2"/>
            <w:hideMark/>
          </w:tcPr>
          <w:p w14:paraId="79CFF897" w14:textId="768DA0E4" w:rsidR="0064038E" w:rsidRPr="00701992" w:rsidRDefault="0064038E">
            <w:pPr>
              <w:pStyle w:val="ARtabletextright"/>
              <w:spacing w:line="252" w:lineRule="auto"/>
            </w:pPr>
            <w:r w:rsidRPr="00701992">
              <w:t>9</w:t>
            </w:r>
            <w:r w:rsidR="00BA148B" w:rsidRPr="00701992">
              <w:t>8.9</w:t>
            </w:r>
          </w:p>
        </w:tc>
        <w:tc>
          <w:tcPr>
            <w:tcW w:w="1037" w:type="dxa"/>
            <w:gridSpan w:val="2"/>
          </w:tcPr>
          <w:p w14:paraId="3A80B22A" w14:textId="7FF3A2EE" w:rsidR="0064038E" w:rsidRPr="00701992" w:rsidRDefault="0064038E">
            <w:pPr>
              <w:pStyle w:val="ARtabletextright"/>
              <w:spacing w:line="252" w:lineRule="auto"/>
            </w:pPr>
            <w:r w:rsidRPr="00701992">
              <w:t>7.</w:t>
            </w:r>
            <w:r w:rsidR="00BA148B" w:rsidRPr="00701992">
              <w:t>5</w:t>
            </w:r>
            <w:r w:rsidRPr="00701992">
              <w:t>%</w:t>
            </w:r>
          </w:p>
        </w:tc>
        <w:tc>
          <w:tcPr>
            <w:tcW w:w="803" w:type="dxa"/>
            <w:hideMark/>
          </w:tcPr>
          <w:p w14:paraId="763FD217" w14:textId="77777777" w:rsidR="0064038E" w:rsidRPr="00701992" w:rsidRDefault="0064038E">
            <w:pPr>
              <w:pStyle w:val="ARtableperformancesymbol"/>
              <w:spacing w:line="252" w:lineRule="auto"/>
              <w:rPr>
                <w:rFonts w:hint="eastAsia"/>
                <w:lang w:val="en-AU"/>
              </w:rPr>
            </w:pPr>
            <w:r w:rsidRPr="00701992">
              <w:rPr>
                <w:rFonts w:eastAsia="Wingdings" w:cs="Wingdings"/>
              </w:rPr>
              <w:t></w:t>
            </w:r>
          </w:p>
        </w:tc>
      </w:tr>
      <w:tr w:rsidR="0064038E" w:rsidRPr="00F07EE7" w14:paraId="60C516F0" w14:textId="77777777" w:rsidTr="006C102A">
        <w:trPr>
          <w:cantSplit/>
        </w:trPr>
        <w:tc>
          <w:tcPr>
            <w:tcW w:w="9632" w:type="dxa"/>
            <w:gridSpan w:val="10"/>
            <w:tcBorders>
              <w:bottom w:val="single" w:sz="4" w:space="0" w:color="000000" w:themeColor="text1"/>
            </w:tcBorders>
            <w:noWrap/>
            <w:hideMark/>
          </w:tcPr>
          <w:p w14:paraId="057B2848" w14:textId="4AD59FEF" w:rsidR="0064038E" w:rsidRPr="00701992" w:rsidRDefault="00C30B59" w:rsidP="00130336">
            <w:pPr>
              <w:pStyle w:val="ARtablenoteindent"/>
            </w:pPr>
            <w:r w:rsidRPr="00701992">
              <w:t>The 2024</w:t>
            </w:r>
            <w:r w:rsidR="005C1105">
              <w:t>–</w:t>
            </w:r>
            <w:r w:rsidRPr="00701992">
              <w:t>25 outcome is higher than the 2024</w:t>
            </w:r>
            <w:r w:rsidR="005C1105">
              <w:t>–</w:t>
            </w:r>
            <w:r w:rsidRPr="00701992">
              <w:t>25 target due to higher satisfaction levels, supported by favourable participant experiences and alignment of training with learner expectations and needs.</w:t>
            </w:r>
          </w:p>
        </w:tc>
      </w:tr>
      <w:tr w:rsidR="0064038E" w:rsidRPr="00F07EE7" w14:paraId="25161FD0" w14:textId="77777777" w:rsidTr="006C102A">
        <w:trPr>
          <w:cantSplit/>
        </w:trPr>
        <w:tc>
          <w:tcPr>
            <w:tcW w:w="9632" w:type="dxa"/>
            <w:gridSpan w:val="10"/>
            <w:tcBorders>
              <w:top w:val="single" w:sz="4" w:space="0" w:color="000000" w:themeColor="text1"/>
              <w:left w:val="nil"/>
              <w:bottom w:val="single" w:sz="4" w:space="0" w:color="A6A6A6" w:themeColor="accent5"/>
              <w:right w:val="nil"/>
            </w:tcBorders>
            <w:hideMark/>
          </w:tcPr>
          <w:p w14:paraId="040DEBA7" w14:textId="77777777" w:rsidR="0064038E" w:rsidRPr="001F204E" w:rsidRDefault="0064038E">
            <w:pPr>
              <w:pStyle w:val="ARtablegreybold"/>
            </w:pPr>
            <w:r w:rsidRPr="001F204E">
              <w:t>Timeliness</w:t>
            </w:r>
          </w:p>
        </w:tc>
      </w:tr>
      <w:tr w:rsidR="0064038E" w:rsidRPr="00F07EE7" w14:paraId="4E75C699" w14:textId="77777777" w:rsidTr="006C102A">
        <w:trPr>
          <w:cantSplit/>
        </w:trPr>
        <w:tc>
          <w:tcPr>
            <w:tcW w:w="4749" w:type="dxa"/>
            <w:gridSpan w:val="2"/>
            <w:tcBorders>
              <w:top w:val="single" w:sz="4" w:space="0" w:color="A6A6A6" w:themeColor="accent5"/>
              <w:bottom w:val="single" w:sz="2" w:space="0" w:color="BFBFBF" w:themeColor="background1" w:themeShade="BF"/>
            </w:tcBorders>
            <w:hideMark/>
          </w:tcPr>
          <w:p w14:paraId="5CCF469A" w14:textId="61C0717E" w:rsidR="0064038E" w:rsidRPr="00680302" w:rsidRDefault="0064038E">
            <w:pPr>
              <w:pStyle w:val="ARtabletext"/>
              <w:keepNext/>
              <w:spacing w:line="252" w:lineRule="auto"/>
            </w:pPr>
            <w:r w:rsidRPr="00680302">
              <w:t xml:space="preserve">Assessments undertaken within </w:t>
            </w:r>
            <w:r w:rsidR="00DD4949">
              <w:t>7</w:t>
            </w:r>
            <w:r w:rsidR="00DD4949" w:rsidRPr="00680302">
              <w:t xml:space="preserve"> </w:t>
            </w:r>
            <w:r w:rsidRPr="00680302">
              <w:t>days</w:t>
            </w:r>
          </w:p>
        </w:tc>
        <w:tc>
          <w:tcPr>
            <w:tcW w:w="1019" w:type="dxa"/>
            <w:gridSpan w:val="2"/>
            <w:tcBorders>
              <w:top w:val="single" w:sz="4" w:space="0" w:color="A6A6A6" w:themeColor="accent5"/>
              <w:bottom w:val="single" w:sz="2" w:space="0" w:color="BFBFBF" w:themeColor="background1" w:themeShade="BF"/>
            </w:tcBorders>
            <w:hideMark/>
          </w:tcPr>
          <w:p w14:paraId="16D46C32" w14:textId="77777777" w:rsidR="0064038E" w:rsidRPr="00680302" w:rsidRDefault="0064038E">
            <w:pPr>
              <w:pStyle w:val="ARtabletext"/>
              <w:spacing w:line="252" w:lineRule="auto"/>
            </w:pPr>
            <w:r w:rsidRPr="00680302">
              <w:t>per cent</w:t>
            </w:r>
          </w:p>
        </w:tc>
        <w:tc>
          <w:tcPr>
            <w:tcW w:w="1019" w:type="dxa"/>
            <w:gridSpan w:val="2"/>
            <w:tcBorders>
              <w:top w:val="single" w:sz="4" w:space="0" w:color="A6A6A6" w:themeColor="accent5"/>
              <w:bottom w:val="single" w:sz="2" w:space="0" w:color="BFBFBF" w:themeColor="background1" w:themeShade="BF"/>
            </w:tcBorders>
            <w:hideMark/>
          </w:tcPr>
          <w:p w14:paraId="6E47835E" w14:textId="77777777" w:rsidR="0064038E" w:rsidRPr="00680302" w:rsidRDefault="0064038E">
            <w:pPr>
              <w:pStyle w:val="ARtabletextright"/>
              <w:spacing w:line="252" w:lineRule="auto"/>
            </w:pPr>
            <w:r w:rsidRPr="00680302">
              <w:t>80.0</w:t>
            </w:r>
          </w:p>
        </w:tc>
        <w:tc>
          <w:tcPr>
            <w:tcW w:w="1019" w:type="dxa"/>
            <w:gridSpan w:val="2"/>
            <w:tcBorders>
              <w:top w:val="single" w:sz="4" w:space="0" w:color="A6A6A6" w:themeColor="accent5"/>
              <w:bottom w:val="single" w:sz="2" w:space="0" w:color="BFBFBF" w:themeColor="background1" w:themeShade="BF"/>
            </w:tcBorders>
            <w:hideMark/>
          </w:tcPr>
          <w:p w14:paraId="488798BF" w14:textId="77777777" w:rsidR="0064038E" w:rsidRPr="00680302" w:rsidRDefault="0064038E">
            <w:pPr>
              <w:pStyle w:val="ARtabletextright"/>
              <w:spacing w:line="252" w:lineRule="auto"/>
            </w:pPr>
            <w:r w:rsidRPr="00680302">
              <w:t>77.4</w:t>
            </w:r>
          </w:p>
        </w:tc>
        <w:tc>
          <w:tcPr>
            <w:tcW w:w="1023" w:type="dxa"/>
            <w:tcBorders>
              <w:top w:val="single" w:sz="4" w:space="0" w:color="A6A6A6" w:themeColor="accent5"/>
              <w:bottom w:val="single" w:sz="2" w:space="0" w:color="BFBFBF" w:themeColor="background1" w:themeShade="BF"/>
            </w:tcBorders>
          </w:tcPr>
          <w:p w14:paraId="14FBAAEF" w14:textId="22E3CB2E" w:rsidR="0064038E" w:rsidRPr="00680302" w:rsidRDefault="00430898">
            <w:pPr>
              <w:pStyle w:val="ARtabletextright"/>
              <w:spacing w:line="252" w:lineRule="auto"/>
            </w:pPr>
            <w:r>
              <w:t>−</w:t>
            </w:r>
            <w:r w:rsidR="0064038E" w:rsidRPr="00680302">
              <w:t>3.3%</w:t>
            </w:r>
          </w:p>
        </w:tc>
        <w:tc>
          <w:tcPr>
            <w:tcW w:w="803" w:type="dxa"/>
            <w:tcBorders>
              <w:top w:val="single" w:sz="4" w:space="0" w:color="A6A6A6" w:themeColor="accent5"/>
              <w:bottom w:val="single" w:sz="2" w:space="0" w:color="BFBFBF" w:themeColor="background1" w:themeShade="BF"/>
            </w:tcBorders>
            <w:hideMark/>
          </w:tcPr>
          <w:p w14:paraId="15D95A9C" w14:textId="77777777" w:rsidR="0064038E" w:rsidRPr="00680302" w:rsidRDefault="0064038E">
            <w:pPr>
              <w:pStyle w:val="ARtableperformancesymbol"/>
              <w:spacing w:line="252" w:lineRule="auto"/>
              <w:rPr>
                <w:rFonts w:hint="eastAsia"/>
                <w:lang w:val="en-AU"/>
              </w:rPr>
            </w:pPr>
            <w:r w:rsidRPr="00680302">
              <w:t>□</w:t>
            </w:r>
          </w:p>
        </w:tc>
      </w:tr>
      <w:tr w:rsidR="0064038E" w:rsidRPr="00701992" w14:paraId="0D1D3611" w14:textId="77777777">
        <w:trPr>
          <w:cantSplit/>
        </w:trPr>
        <w:tc>
          <w:tcPr>
            <w:tcW w:w="4749" w:type="dxa"/>
            <w:gridSpan w:val="2"/>
            <w:tcBorders>
              <w:top w:val="single" w:sz="2" w:space="0" w:color="BFBFBF" w:themeColor="background1" w:themeShade="BF"/>
            </w:tcBorders>
            <w:hideMark/>
          </w:tcPr>
          <w:p w14:paraId="1750B0B4" w14:textId="2ECECB9C" w:rsidR="0064038E" w:rsidRPr="00701992" w:rsidRDefault="0064038E">
            <w:pPr>
              <w:pStyle w:val="ARtabletext"/>
              <w:spacing w:line="252" w:lineRule="auto"/>
            </w:pPr>
            <w:r w:rsidRPr="00701992">
              <w:t xml:space="preserve">Sexual assault support services clients receiving an initial response within </w:t>
            </w:r>
            <w:r w:rsidR="00464E75">
              <w:t>5</w:t>
            </w:r>
            <w:r w:rsidR="00464E75" w:rsidRPr="00701992">
              <w:t xml:space="preserve"> </w:t>
            </w:r>
            <w:r w:rsidRPr="00701992">
              <w:t>working days of referral</w:t>
            </w:r>
          </w:p>
        </w:tc>
        <w:tc>
          <w:tcPr>
            <w:tcW w:w="1019" w:type="dxa"/>
            <w:gridSpan w:val="2"/>
            <w:tcBorders>
              <w:top w:val="single" w:sz="2" w:space="0" w:color="BFBFBF" w:themeColor="background1" w:themeShade="BF"/>
            </w:tcBorders>
            <w:hideMark/>
          </w:tcPr>
          <w:p w14:paraId="0D97AA0F" w14:textId="77777777" w:rsidR="0064038E" w:rsidRPr="00701992" w:rsidRDefault="0064038E">
            <w:pPr>
              <w:pStyle w:val="ARtabletext"/>
              <w:spacing w:line="252" w:lineRule="auto"/>
            </w:pPr>
            <w:r w:rsidRPr="00701992">
              <w:t>per cent</w:t>
            </w:r>
          </w:p>
        </w:tc>
        <w:tc>
          <w:tcPr>
            <w:tcW w:w="1019" w:type="dxa"/>
            <w:gridSpan w:val="2"/>
            <w:tcBorders>
              <w:top w:val="single" w:sz="2" w:space="0" w:color="BFBFBF" w:themeColor="background1" w:themeShade="BF"/>
            </w:tcBorders>
            <w:hideMark/>
          </w:tcPr>
          <w:p w14:paraId="0E63AB90" w14:textId="77777777" w:rsidR="0064038E" w:rsidRPr="00701992" w:rsidRDefault="0064038E">
            <w:pPr>
              <w:pStyle w:val="ARtabletextright"/>
              <w:spacing w:line="252" w:lineRule="auto"/>
            </w:pPr>
            <w:r w:rsidRPr="00701992">
              <w:t>98.0</w:t>
            </w:r>
          </w:p>
        </w:tc>
        <w:tc>
          <w:tcPr>
            <w:tcW w:w="1019" w:type="dxa"/>
            <w:gridSpan w:val="2"/>
            <w:tcBorders>
              <w:top w:val="single" w:sz="2" w:space="0" w:color="BFBFBF" w:themeColor="background1" w:themeShade="BF"/>
            </w:tcBorders>
            <w:hideMark/>
          </w:tcPr>
          <w:p w14:paraId="20B969F0" w14:textId="4AD4FBC2" w:rsidR="0064038E" w:rsidRPr="00701992" w:rsidRDefault="0064038E">
            <w:pPr>
              <w:pStyle w:val="ARtabletextright"/>
              <w:spacing w:line="252" w:lineRule="auto"/>
            </w:pPr>
            <w:r w:rsidRPr="00701992">
              <w:t>9</w:t>
            </w:r>
            <w:r w:rsidR="00C30B59" w:rsidRPr="00701992">
              <w:t>3.0</w:t>
            </w:r>
          </w:p>
        </w:tc>
        <w:tc>
          <w:tcPr>
            <w:tcW w:w="1023" w:type="dxa"/>
            <w:tcBorders>
              <w:top w:val="single" w:sz="2" w:space="0" w:color="BFBFBF" w:themeColor="background1" w:themeShade="BF"/>
            </w:tcBorders>
          </w:tcPr>
          <w:p w14:paraId="0421DFA0" w14:textId="62C043FC" w:rsidR="0064038E" w:rsidRPr="00701992" w:rsidRDefault="00430898">
            <w:pPr>
              <w:pStyle w:val="ARtabletextright"/>
              <w:spacing w:line="252" w:lineRule="auto"/>
            </w:pPr>
            <w:r>
              <w:t>−</w:t>
            </w:r>
            <w:r w:rsidR="00697FD3" w:rsidRPr="00701992">
              <w:t>5</w:t>
            </w:r>
            <w:r w:rsidR="0064038E" w:rsidRPr="00701992">
              <w:t>.</w:t>
            </w:r>
            <w:r w:rsidR="00697FD3" w:rsidRPr="00701992">
              <w:t>1</w:t>
            </w:r>
            <w:r w:rsidR="0064038E" w:rsidRPr="00701992">
              <w:t>%</w:t>
            </w:r>
          </w:p>
        </w:tc>
        <w:tc>
          <w:tcPr>
            <w:tcW w:w="803" w:type="dxa"/>
            <w:tcBorders>
              <w:top w:val="single" w:sz="2" w:space="0" w:color="BFBFBF" w:themeColor="background1" w:themeShade="BF"/>
            </w:tcBorders>
            <w:hideMark/>
          </w:tcPr>
          <w:p w14:paraId="228CC2E3" w14:textId="01908840" w:rsidR="0064038E" w:rsidRPr="00701992" w:rsidRDefault="002E72FA">
            <w:pPr>
              <w:pStyle w:val="ARtableperformancesymbol"/>
              <w:spacing w:line="252" w:lineRule="auto"/>
              <w:rPr>
                <w:rFonts w:eastAsia="Wingdings" w:cs="Wingdings"/>
                <w:lang w:val="en-AU"/>
              </w:rPr>
            </w:pPr>
            <w:r w:rsidRPr="00701992">
              <w:rPr>
                <w:rFonts w:eastAsia="Wingdings" w:cs="Wingdings"/>
              </w:rPr>
              <w:t></w:t>
            </w:r>
          </w:p>
        </w:tc>
      </w:tr>
      <w:tr w:rsidR="0064038E" w:rsidRPr="00F07EE7" w14:paraId="588F7015" w14:textId="77777777" w:rsidTr="00026B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2" w:type="dxa"/>
            <w:gridSpan w:val="10"/>
            <w:tcBorders>
              <w:top w:val="nil"/>
              <w:left w:val="nil"/>
              <w:bottom w:val="single" w:sz="4" w:space="0" w:color="auto"/>
              <w:right w:val="nil"/>
            </w:tcBorders>
          </w:tcPr>
          <w:p w14:paraId="34AFD51C" w14:textId="4E65FB89" w:rsidR="0064038E" w:rsidRPr="00701992" w:rsidRDefault="00EA5791" w:rsidP="00130336">
            <w:pPr>
              <w:pStyle w:val="ARtablenoteindent"/>
            </w:pPr>
            <w:r w:rsidRPr="00701992">
              <w:t>The 2024</w:t>
            </w:r>
            <w:r w:rsidR="005C1105">
              <w:t>–</w:t>
            </w:r>
            <w:r w:rsidRPr="00701992">
              <w:t>25 outcome is lower than the 2024</w:t>
            </w:r>
            <w:r w:rsidR="005C1105">
              <w:t>–</w:t>
            </w:r>
            <w:r w:rsidRPr="00701992">
              <w:t>25 target as the increase in adults, children and young people accessing sexual assault support services has impacted on the ability of agencies to provide an initial response within five working days.</w:t>
            </w:r>
            <w:r w:rsidR="00FF1A54">
              <w:t xml:space="preserve"> This data is lagged </w:t>
            </w:r>
            <w:r w:rsidR="00464E75">
              <w:t xml:space="preserve">3 </w:t>
            </w:r>
            <w:r w:rsidR="00FF1A54">
              <w:t>months to ensure accuracy, due to delays in agency data submission.</w:t>
            </w:r>
          </w:p>
        </w:tc>
      </w:tr>
      <w:tr w:rsidR="0064038E" w:rsidRPr="00F07EE7" w14:paraId="625ABD7F" w14:textId="77777777" w:rsidTr="00026B51">
        <w:trPr>
          <w:cantSplit/>
        </w:trPr>
        <w:tc>
          <w:tcPr>
            <w:tcW w:w="4739" w:type="dxa"/>
            <w:tcBorders>
              <w:top w:val="single" w:sz="4" w:space="0" w:color="auto"/>
              <w:bottom w:val="single" w:sz="4" w:space="0" w:color="000000" w:themeColor="text1"/>
            </w:tcBorders>
          </w:tcPr>
          <w:p w14:paraId="11CBB876" w14:textId="77777777" w:rsidR="0064038E" w:rsidRPr="001F204E" w:rsidRDefault="0064038E">
            <w:pPr>
              <w:pStyle w:val="ARtablegreybold"/>
            </w:pPr>
            <w:r w:rsidRPr="001F204E">
              <w:t>Cost</w:t>
            </w:r>
          </w:p>
        </w:tc>
        <w:tc>
          <w:tcPr>
            <w:tcW w:w="1017" w:type="dxa"/>
            <w:gridSpan w:val="2"/>
            <w:tcBorders>
              <w:top w:val="single" w:sz="4" w:space="0" w:color="auto"/>
              <w:bottom w:val="single" w:sz="4" w:space="0" w:color="000000" w:themeColor="text1"/>
            </w:tcBorders>
          </w:tcPr>
          <w:p w14:paraId="4F7050BF" w14:textId="77777777" w:rsidR="0064038E" w:rsidRPr="001F204E" w:rsidRDefault="0064038E">
            <w:pPr>
              <w:pStyle w:val="ARtabletextbold"/>
            </w:pPr>
          </w:p>
        </w:tc>
        <w:tc>
          <w:tcPr>
            <w:tcW w:w="1016" w:type="dxa"/>
            <w:gridSpan w:val="2"/>
            <w:tcBorders>
              <w:top w:val="single" w:sz="4" w:space="0" w:color="auto"/>
              <w:bottom w:val="single" w:sz="4" w:space="0" w:color="000000" w:themeColor="text1"/>
            </w:tcBorders>
          </w:tcPr>
          <w:p w14:paraId="22D68CF9" w14:textId="77777777" w:rsidR="0064038E" w:rsidRPr="001F204E" w:rsidRDefault="0064038E">
            <w:pPr>
              <w:pStyle w:val="ARtabletextrightbold"/>
              <w:spacing w:line="252" w:lineRule="auto"/>
            </w:pPr>
          </w:p>
        </w:tc>
        <w:tc>
          <w:tcPr>
            <w:tcW w:w="1020" w:type="dxa"/>
            <w:gridSpan w:val="2"/>
            <w:tcBorders>
              <w:top w:val="single" w:sz="4" w:space="0" w:color="auto"/>
              <w:bottom w:val="single" w:sz="4" w:space="0" w:color="000000" w:themeColor="text1"/>
            </w:tcBorders>
          </w:tcPr>
          <w:p w14:paraId="1BEB0147" w14:textId="77777777" w:rsidR="0064038E" w:rsidRPr="001F204E" w:rsidRDefault="0064038E">
            <w:pPr>
              <w:pStyle w:val="ARtabletextrightbold"/>
              <w:spacing w:line="252" w:lineRule="auto"/>
            </w:pPr>
          </w:p>
        </w:tc>
        <w:tc>
          <w:tcPr>
            <w:tcW w:w="1037" w:type="dxa"/>
            <w:gridSpan w:val="2"/>
            <w:tcBorders>
              <w:top w:val="single" w:sz="4" w:space="0" w:color="auto"/>
              <w:bottom w:val="single" w:sz="4" w:space="0" w:color="000000" w:themeColor="text1"/>
            </w:tcBorders>
          </w:tcPr>
          <w:p w14:paraId="219CCBF3" w14:textId="77777777" w:rsidR="0064038E" w:rsidRPr="001F204E" w:rsidRDefault="0064038E">
            <w:pPr>
              <w:pStyle w:val="ARtabletextrightbold"/>
              <w:spacing w:line="252" w:lineRule="auto"/>
            </w:pPr>
          </w:p>
        </w:tc>
        <w:tc>
          <w:tcPr>
            <w:tcW w:w="803" w:type="dxa"/>
            <w:tcBorders>
              <w:top w:val="single" w:sz="4" w:space="0" w:color="auto"/>
              <w:bottom w:val="single" w:sz="4" w:space="0" w:color="000000" w:themeColor="text1"/>
            </w:tcBorders>
          </w:tcPr>
          <w:p w14:paraId="1748E3E0" w14:textId="77777777" w:rsidR="0064038E" w:rsidRPr="001F204E" w:rsidRDefault="0064038E">
            <w:pPr>
              <w:pStyle w:val="ARtableperformancesymbol"/>
              <w:spacing w:line="252" w:lineRule="auto"/>
              <w:rPr>
                <w:rFonts w:eastAsia="Wingdings" w:cs="Wingdings"/>
              </w:rPr>
            </w:pPr>
          </w:p>
        </w:tc>
      </w:tr>
      <w:tr w:rsidR="0064038E" w:rsidRPr="00F07EE7" w14:paraId="2A91C2E5" w14:textId="77777777" w:rsidTr="00152046">
        <w:trPr>
          <w:cantSplit/>
          <w:trHeight w:val="159"/>
        </w:trPr>
        <w:tc>
          <w:tcPr>
            <w:tcW w:w="4739" w:type="dxa"/>
            <w:tcBorders>
              <w:top w:val="single" w:sz="4" w:space="0" w:color="000000" w:themeColor="text1"/>
            </w:tcBorders>
            <w:hideMark/>
          </w:tcPr>
          <w:p w14:paraId="4E24A905" w14:textId="77777777" w:rsidR="0064038E" w:rsidRPr="00F07EE7" w:rsidRDefault="0064038E" w:rsidP="00152046">
            <w:pPr>
              <w:pStyle w:val="ARtabletextbold"/>
              <w:rPr>
                <w:highlight w:val="cyan"/>
              </w:rPr>
            </w:pPr>
            <w:r w:rsidRPr="00591A25">
              <w:t>Total output cost</w:t>
            </w:r>
          </w:p>
        </w:tc>
        <w:tc>
          <w:tcPr>
            <w:tcW w:w="1017" w:type="dxa"/>
            <w:gridSpan w:val="2"/>
            <w:tcBorders>
              <w:top w:val="single" w:sz="4" w:space="0" w:color="000000" w:themeColor="text1"/>
            </w:tcBorders>
            <w:hideMark/>
          </w:tcPr>
          <w:p w14:paraId="6F7516A1" w14:textId="77777777" w:rsidR="0064038E" w:rsidRPr="00F07EE7" w:rsidRDefault="0064038E" w:rsidP="00152046">
            <w:pPr>
              <w:pStyle w:val="ARtabletextbold"/>
              <w:rPr>
                <w:highlight w:val="cyan"/>
              </w:rPr>
            </w:pPr>
            <w:r>
              <w:t>$ million</w:t>
            </w:r>
          </w:p>
        </w:tc>
        <w:tc>
          <w:tcPr>
            <w:tcW w:w="1016" w:type="dxa"/>
            <w:gridSpan w:val="2"/>
            <w:tcBorders>
              <w:top w:val="single" w:sz="4" w:space="0" w:color="000000" w:themeColor="text1"/>
            </w:tcBorders>
          </w:tcPr>
          <w:p w14:paraId="79F21B51" w14:textId="77777777" w:rsidR="0064038E" w:rsidRPr="00F07EE7" w:rsidRDefault="0064038E" w:rsidP="00152046">
            <w:pPr>
              <w:pStyle w:val="ARtabletextrightbold"/>
              <w:spacing w:line="252" w:lineRule="auto"/>
              <w:rPr>
                <w:highlight w:val="cyan"/>
              </w:rPr>
            </w:pPr>
            <w:r w:rsidRPr="00591A25">
              <w:t>748.1</w:t>
            </w:r>
          </w:p>
        </w:tc>
        <w:tc>
          <w:tcPr>
            <w:tcW w:w="1020" w:type="dxa"/>
            <w:gridSpan w:val="2"/>
            <w:tcBorders>
              <w:top w:val="single" w:sz="4" w:space="0" w:color="000000" w:themeColor="text1"/>
            </w:tcBorders>
          </w:tcPr>
          <w:p w14:paraId="580EE3F1" w14:textId="77777777" w:rsidR="0064038E" w:rsidRPr="00F07EE7" w:rsidRDefault="0064038E" w:rsidP="00152046">
            <w:pPr>
              <w:pStyle w:val="ARtabletextrightbold"/>
              <w:spacing w:line="252" w:lineRule="auto"/>
              <w:rPr>
                <w:highlight w:val="cyan"/>
              </w:rPr>
            </w:pPr>
            <w:r w:rsidRPr="00591A25">
              <w:t>787.0</w:t>
            </w:r>
          </w:p>
        </w:tc>
        <w:tc>
          <w:tcPr>
            <w:tcW w:w="1037" w:type="dxa"/>
            <w:gridSpan w:val="2"/>
            <w:tcBorders>
              <w:top w:val="single" w:sz="4" w:space="0" w:color="000000" w:themeColor="text1"/>
            </w:tcBorders>
          </w:tcPr>
          <w:p w14:paraId="4E4B7595" w14:textId="77777777" w:rsidR="0064038E" w:rsidRPr="00B744DD" w:rsidRDefault="0064038E" w:rsidP="00152046">
            <w:pPr>
              <w:pStyle w:val="ARtabletextrightbold"/>
              <w:spacing w:line="252" w:lineRule="auto"/>
            </w:pPr>
            <w:r w:rsidRPr="00B744DD">
              <w:t>5.2%</w:t>
            </w:r>
          </w:p>
        </w:tc>
        <w:tc>
          <w:tcPr>
            <w:tcW w:w="803" w:type="dxa"/>
            <w:tcBorders>
              <w:top w:val="single" w:sz="4" w:space="0" w:color="000000" w:themeColor="text1"/>
            </w:tcBorders>
          </w:tcPr>
          <w:p w14:paraId="3FEAB796" w14:textId="77777777" w:rsidR="0064038E" w:rsidRPr="00B744DD" w:rsidRDefault="0064038E" w:rsidP="00152046">
            <w:pPr>
              <w:pStyle w:val="ARtableperformancesymbol"/>
              <w:spacing w:after="60" w:line="252" w:lineRule="auto"/>
              <w:rPr>
                <w:rFonts w:hint="eastAsia"/>
                <w:b/>
              </w:rPr>
            </w:pPr>
            <w:r w:rsidRPr="00B744DD">
              <w:rPr>
                <w:rFonts w:eastAsia="Wingdings" w:cs="Wingdings"/>
              </w:rPr>
              <w:t></w:t>
            </w:r>
          </w:p>
        </w:tc>
      </w:tr>
      <w:tr w:rsidR="0064038E" w:rsidRPr="00F07EE7" w14:paraId="40246DC3" w14:textId="77777777">
        <w:trPr>
          <w:cantSplit/>
        </w:trPr>
        <w:tc>
          <w:tcPr>
            <w:tcW w:w="9632" w:type="dxa"/>
            <w:gridSpan w:val="10"/>
            <w:tcBorders>
              <w:bottom w:val="single" w:sz="4" w:space="0" w:color="auto"/>
            </w:tcBorders>
          </w:tcPr>
          <w:p w14:paraId="34EE9705" w14:textId="77777777" w:rsidR="0064038E" w:rsidRPr="00F07EE7" w:rsidRDefault="0064038E" w:rsidP="00152046">
            <w:pPr>
              <w:pStyle w:val="ARtablenoteindent"/>
              <w:rPr>
                <w:highlight w:val="cyan"/>
              </w:rPr>
            </w:pPr>
            <w:r w:rsidRPr="00033BAA">
              <w:t xml:space="preserve">The higher actual primarily reflects expenditure on Commonwealth funded programs under the National Partnership on Family, Domestic and Sexual </w:t>
            </w:r>
            <w:r w:rsidRPr="00130336">
              <w:t>Violence</w:t>
            </w:r>
            <w:r w:rsidRPr="00033BAA">
              <w:t xml:space="preserve"> responses and the revised delivery timelines for government initiatives.</w:t>
            </w:r>
          </w:p>
        </w:tc>
      </w:tr>
    </w:tbl>
    <w:p w14:paraId="4B8BBF6B" w14:textId="77777777" w:rsidR="00130336" w:rsidRDefault="00130336" w:rsidP="00130336">
      <w:pPr>
        <w:pStyle w:val="ARbody"/>
      </w:pPr>
      <w:r>
        <w:br w:type="page"/>
      </w:r>
    </w:p>
    <w:p w14:paraId="5093AE9A" w14:textId="55FFA5E2" w:rsidR="0064038E" w:rsidRPr="009064E0" w:rsidRDefault="0064038E">
      <w:pPr>
        <w:pStyle w:val="Heading3"/>
      </w:pPr>
      <w:r w:rsidRPr="009064E0">
        <w:lastRenderedPageBreak/>
        <w:t>Primary prevention of family violence</w:t>
      </w:r>
    </w:p>
    <w:p w14:paraId="4C9E1ED7" w14:textId="77777777" w:rsidR="0064038E" w:rsidRPr="00F07EE7" w:rsidRDefault="0064038E">
      <w:pPr>
        <w:pStyle w:val="ARbodybeforetable"/>
        <w:rPr>
          <w:highlight w:val="cyan"/>
        </w:rPr>
      </w:pPr>
      <w:r>
        <w:t>This output provides initiatives that support primary prevention of family violence and all forms of violence against women.</w:t>
      </w:r>
    </w:p>
    <w:tbl>
      <w:tblPr>
        <w:tblW w:w="5000" w:type="pct"/>
        <w:tblLayout w:type="fixed"/>
        <w:tblCellMar>
          <w:left w:w="0" w:type="dxa"/>
        </w:tblCellMar>
        <w:tblLook w:val="06A0" w:firstRow="1" w:lastRow="0" w:firstColumn="1" w:lastColumn="0" w:noHBand="1" w:noVBand="1"/>
      </w:tblPr>
      <w:tblGrid>
        <w:gridCol w:w="4741"/>
        <w:gridCol w:w="1017"/>
        <w:gridCol w:w="1019"/>
        <w:gridCol w:w="1021"/>
        <w:gridCol w:w="1025"/>
        <w:gridCol w:w="801"/>
        <w:gridCol w:w="8"/>
      </w:tblGrid>
      <w:tr w:rsidR="0064038E" w:rsidRPr="00F07EE7" w14:paraId="20489945" w14:textId="77777777" w:rsidTr="006C102A">
        <w:trPr>
          <w:cantSplit/>
          <w:tblHeader/>
        </w:trPr>
        <w:tc>
          <w:tcPr>
            <w:tcW w:w="4741" w:type="dxa"/>
            <w:tcBorders>
              <w:bottom w:val="single" w:sz="4" w:space="0" w:color="auto"/>
            </w:tcBorders>
            <w:vAlign w:val="bottom"/>
            <w:hideMark/>
          </w:tcPr>
          <w:p w14:paraId="6911F03A" w14:textId="77777777" w:rsidR="0064038E" w:rsidRPr="009064E0" w:rsidRDefault="0064038E">
            <w:pPr>
              <w:pStyle w:val="ARtablecolhead"/>
            </w:pPr>
            <w:r w:rsidRPr="009064E0">
              <w:t>Performance measures</w:t>
            </w:r>
          </w:p>
        </w:tc>
        <w:tc>
          <w:tcPr>
            <w:tcW w:w="1017" w:type="dxa"/>
            <w:tcBorders>
              <w:bottom w:val="single" w:sz="4" w:space="0" w:color="auto"/>
            </w:tcBorders>
            <w:vAlign w:val="bottom"/>
            <w:hideMark/>
          </w:tcPr>
          <w:p w14:paraId="7039BDE7" w14:textId="77777777" w:rsidR="0064038E" w:rsidRPr="009064E0" w:rsidRDefault="0064038E">
            <w:pPr>
              <w:pStyle w:val="ARtablecolhead"/>
            </w:pPr>
            <w:r w:rsidRPr="009064E0">
              <w:t>Unit of measure</w:t>
            </w:r>
          </w:p>
        </w:tc>
        <w:tc>
          <w:tcPr>
            <w:tcW w:w="1019" w:type="dxa"/>
            <w:tcBorders>
              <w:bottom w:val="single" w:sz="4" w:space="0" w:color="auto"/>
            </w:tcBorders>
            <w:vAlign w:val="bottom"/>
            <w:hideMark/>
          </w:tcPr>
          <w:p w14:paraId="72374924" w14:textId="77777777" w:rsidR="0064038E" w:rsidRPr="009064E0" w:rsidRDefault="0064038E">
            <w:pPr>
              <w:pStyle w:val="ARtablecolheadright"/>
            </w:pPr>
            <w:r w:rsidRPr="009064E0">
              <w:t>2024–25 target</w:t>
            </w:r>
          </w:p>
        </w:tc>
        <w:tc>
          <w:tcPr>
            <w:tcW w:w="1021" w:type="dxa"/>
            <w:tcBorders>
              <w:bottom w:val="single" w:sz="4" w:space="0" w:color="auto"/>
            </w:tcBorders>
            <w:vAlign w:val="bottom"/>
            <w:hideMark/>
          </w:tcPr>
          <w:p w14:paraId="4DFDDE97" w14:textId="77777777" w:rsidR="0064038E" w:rsidRPr="009064E0" w:rsidRDefault="0064038E">
            <w:pPr>
              <w:pStyle w:val="ARtablecolheadright"/>
            </w:pPr>
            <w:r w:rsidRPr="009064E0">
              <w:t>2024–25 actual</w:t>
            </w:r>
          </w:p>
        </w:tc>
        <w:tc>
          <w:tcPr>
            <w:tcW w:w="1025" w:type="dxa"/>
            <w:tcBorders>
              <w:bottom w:val="single" w:sz="4" w:space="0" w:color="auto"/>
            </w:tcBorders>
            <w:vAlign w:val="bottom"/>
            <w:hideMark/>
          </w:tcPr>
          <w:p w14:paraId="1F513215" w14:textId="77777777" w:rsidR="0064038E" w:rsidRPr="009064E0" w:rsidRDefault="0064038E">
            <w:pPr>
              <w:pStyle w:val="ARtablecolheadright"/>
            </w:pPr>
            <w:r w:rsidRPr="009064E0">
              <w:t xml:space="preserve">Variation </w:t>
            </w:r>
          </w:p>
        </w:tc>
        <w:tc>
          <w:tcPr>
            <w:tcW w:w="809" w:type="dxa"/>
            <w:gridSpan w:val="2"/>
            <w:tcBorders>
              <w:bottom w:val="single" w:sz="4" w:space="0" w:color="auto"/>
            </w:tcBorders>
            <w:vAlign w:val="bottom"/>
            <w:hideMark/>
          </w:tcPr>
          <w:p w14:paraId="08FB0056" w14:textId="77777777" w:rsidR="0064038E" w:rsidRPr="009064E0" w:rsidRDefault="0064038E">
            <w:pPr>
              <w:pStyle w:val="ARtablecolheadright"/>
            </w:pPr>
            <w:r w:rsidRPr="009064E0">
              <w:t>Result</w:t>
            </w:r>
          </w:p>
        </w:tc>
      </w:tr>
      <w:tr w:rsidR="0064038E" w:rsidRPr="00F07EE7" w14:paraId="76BACB9F" w14:textId="77777777" w:rsidTr="006C102A">
        <w:trPr>
          <w:cantSplit/>
        </w:trPr>
        <w:tc>
          <w:tcPr>
            <w:tcW w:w="9632" w:type="dxa"/>
            <w:gridSpan w:val="7"/>
            <w:tcBorders>
              <w:top w:val="single" w:sz="4" w:space="0" w:color="auto"/>
              <w:bottom w:val="single" w:sz="4" w:space="0" w:color="A6A6A6" w:themeColor="accent5"/>
            </w:tcBorders>
            <w:hideMark/>
          </w:tcPr>
          <w:p w14:paraId="1C2C9E1F" w14:textId="77777777" w:rsidR="0064038E" w:rsidRPr="00D51D6D" w:rsidRDefault="0064038E">
            <w:pPr>
              <w:pStyle w:val="ARtablegreybold"/>
            </w:pPr>
            <w:r w:rsidRPr="00D51D6D">
              <w:t>Quantity</w:t>
            </w:r>
          </w:p>
        </w:tc>
      </w:tr>
      <w:tr w:rsidR="0064038E" w:rsidRPr="00F07EE7" w14:paraId="619691BC" w14:textId="77777777" w:rsidTr="006C102A">
        <w:trPr>
          <w:gridAfter w:val="1"/>
          <w:wAfter w:w="8" w:type="dxa"/>
          <w:cantSplit/>
        </w:trPr>
        <w:tc>
          <w:tcPr>
            <w:tcW w:w="4741" w:type="dxa"/>
            <w:tcBorders>
              <w:top w:val="single" w:sz="4" w:space="0" w:color="A6A6A6" w:themeColor="accent5"/>
            </w:tcBorders>
          </w:tcPr>
          <w:p w14:paraId="77229416" w14:textId="77777777" w:rsidR="0064038E" w:rsidRPr="00D51D6D" w:rsidRDefault="0064038E">
            <w:pPr>
              <w:pStyle w:val="ARtabletext"/>
            </w:pPr>
            <w:r w:rsidRPr="00D51D6D">
              <w:t>Number of people participating in funded primary prevention programs</w:t>
            </w:r>
          </w:p>
        </w:tc>
        <w:tc>
          <w:tcPr>
            <w:tcW w:w="1017" w:type="dxa"/>
            <w:tcBorders>
              <w:top w:val="single" w:sz="4" w:space="0" w:color="A6A6A6" w:themeColor="accent5"/>
            </w:tcBorders>
          </w:tcPr>
          <w:p w14:paraId="0497FD9E" w14:textId="77777777" w:rsidR="0064038E" w:rsidRPr="00D51D6D" w:rsidRDefault="0064038E">
            <w:pPr>
              <w:pStyle w:val="ARtabletext"/>
            </w:pPr>
            <w:r>
              <w:t>number</w:t>
            </w:r>
          </w:p>
        </w:tc>
        <w:tc>
          <w:tcPr>
            <w:tcW w:w="1019" w:type="dxa"/>
            <w:tcBorders>
              <w:top w:val="single" w:sz="4" w:space="0" w:color="A6A6A6" w:themeColor="accent5"/>
            </w:tcBorders>
          </w:tcPr>
          <w:p w14:paraId="55E93FFC" w14:textId="77777777" w:rsidR="0064038E" w:rsidRPr="00D51D6D" w:rsidRDefault="0064038E">
            <w:pPr>
              <w:pStyle w:val="ARtabletextright"/>
            </w:pPr>
            <w:r w:rsidRPr="00D51D6D">
              <w:t>20,000</w:t>
            </w:r>
          </w:p>
        </w:tc>
        <w:tc>
          <w:tcPr>
            <w:tcW w:w="1021" w:type="dxa"/>
            <w:tcBorders>
              <w:top w:val="single" w:sz="4" w:space="0" w:color="A6A6A6" w:themeColor="accent5"/>
            </w:tcBorders>
          </w:tcPr>
          <w:p w14:paraId="7048791D" w14:textId="51A7C4F8" w:rsidR="0064038E" w:rsidRPr="00A906A4" w:rsidRDefault="0064038E">
            <w:pPr>
              <w:pStyle w:val="ARtabletextright"/>
            </w:pPr>
            <w:r w:rsidRPr="00A906A4">
              <w:t>6</w:t>
            </w:r>
            <w:r w:rsidR="0008276C" w:rsidRPr="00A906A4">
              <w:t>4</w:t>
            </w:r>
            <w:r w:rsidRPr="00A906A4">
              <w:t>,</w:t>
            </w:r>
            <w:r w:rsidR="003434ED" w:rsidRPr="00A906A4">
              <w:t>92</w:t>
            </w:r>
            <w:r w:rsidRPr="00A906A4">
              <w:t>9</w:t>
            </w:r>
          </w:p>
        </w:tc>
        <w:tc>
          <w:tcPr>
            <w:tcW w:w="1025" w:type="dxa"/>
            <w:tcBorders>
              <w:top w:val="single" w:sz="4" w:space="0" w:color="A6A6A6" w:themeColor="accent5"/>
            </w:tcBorders>
          </w:tcPr>
          <w:p w14:paraId="275B542F" w14:textId="367E756D" w:rsidR="0064038E" w:rsidRPr="00A906A4" w:rsidRDefault="0064038E">
            <w:pPr>
              <w:pStyle w:val="ARtabletextright"/>
            </w:pPr>
            <w:r w:rsidRPr="00A906A4">
              <w:t>2</w:t>
            </w:r>
            <w:r w:rsidR="0008276C" w:rsidRPr="00A906A4">
              <w:t>2</w:t>
            </w:r>
            <w:r w:rsidRPr="00A906A4">
              <w:t>4.</w:t>
            </w:r>
            <w:r w:rsidR="0008276C" w:rsidRPr="00A906A4">
              <w:t>6</w:t>
            </w:r>
            <w:r w:rsidRPr="00A906A4">
              <w:t>%</w:t>
            </w:r>
          </w:p>
        </w:tc>
        <w:tc>
          <w:tcPr>
            <w:tcW w:w="801" w:type="dxa"/>
            <w:tcBorders>
              <w:top w:val="single" w:sz="4" w:space="0" w:color="A6A6A6" w:themeColor="accent5"/>
            </w:tcBorders>
          </w:tcPr>
          <w:p w14:paraId="75B95248" w14:textId="77777777" w:rsidR="0064038E" w:rsidRPr="00D51D6D" w:rsidRDefault="0064038E">
            <w:pPr>
              <w:pStyle w:val="ARtableperformancesymbol"/>
              <w:rPr>
                <w:rFonts w:hint="eastAsia"/>
                <w:lang w:val="en-AU"/>
              </w:rPr>
            </w:pPr>
            <w:r w:rsidRPr="00D51D6D">
              <w:rPr>
                <w:rFonts w:eastAsia="Wingdings" w:cs="Wingdings"/>
              </w:rPr>
              <w:t></w:t>
            </w:r>
          </w:p>
        </w:tc>
      </w:tr>
      <w:tr w:rsidR="0064038E" w:rsidRPr="00F07EE7" w14:paraId="099A7AF0" w14:textId="77777777" w:rsidTr="006C102A">
        <w:trPr>
          <w:gridAfter w:val="1"/>
          <w:wAfter w:w="8" w:type="dxa"/>
          <w:cantSplit/>
        </w:trPr>
        <w:tc>
          <w:tcPr>
            <w:tcW w:w="9624" w:type="dxa"/>
            <w:gridSpan w:val="6"/>
            <w:tcBorders>
              <w:bottom w:val="single" w:sz="4" w:space="0" w:color="auto"/>
            </w:tcBorders>
          </w:tcPr>
          <w:p w14:paraId="6861C39E" w14:textId="1DCF650C" w:rsidR="0064038E" w:rsidRPr="00A906A4" w:rsidRDefault="0064038E" w:rsidP="00130336">
            <w:pPr>
              <w:pStyle w:val="ARtablenoteindent"/>
            </w:pPr>
            <w:r w:rsidRPr="00D51D6D">
              <w:t>The 2024</w:t>
            </w:r>
            <w:r>
              <w:t>–</w:t>
            </w:r>
            <w:r w:rsidRPr="00D51D6D">
              <w:t xml:space="preserve">25 </w:t>
            </w:r>
            <w:r w:rsidRPr="00A906A4">
              <w:t>expected</w:t>
            </w:r>
            <w:r w:rsidRPr="00D51D6D">
              <w:t xml:space="preserve"> </w:t>
            </w:r>
            <w:r w:rsidRPr="00130336">
              <w:t>outcome</w:t>
            </w:r>
            <w:r w:rsidRPr="00D51D6D">
              <w:t xml:space="preserve"> is higher than the 2024</w:t>
            </w:r>
            <w:r>
              <w:t>–</w:t>
            </w:r>
            <w:r w:rsidRPr="00D51D6D">
              <w:t>25 target due to the commencement of new programs with significant reach, and continued improvement in accuracy of reporting and data recording.</w:t>
            </w:r>
          </w:p>
        </w:tc>
      </w:tr>
      <w:tr w:rsidR="0064038E" w:rsidRPr="00F07EE7" w14:paraId="5376FFE4" w14:textId="77777777" w:rsidTr="006C102A">
        <w:trPr>
          <w:gridAfter w:val="1"/>
          <w:wAfter w:w="8" w:type="dxa"/>
          <w:cantSplit/>
        </w:trPr>
        <w:tc>
          <w:tcPr>
            <w:tcW w:w="9624" w:type="dxa"/>
            <w:gridSpan w:val="6"/>
            <w:tcBorders>
              <w:top w:val="single" w:sz="4" w:space="0" w:color="auto"/>
              <w:bottom w:val="single" w:sz="4" w:space="0" w:color="A6A6A6" w:themeColor="accent5"/>
            </w:tcBorders>
          </w:tcPr>
          <w:p w14:paraId="066B0A4E" w14:textId="77777777" w:rsidR="0064038E" w:rsidRPr="00D51D6D" w:rsidRDefault="0064038E">
            <w:pPr>
              <w:pStyle w:val="ARtablegreybold"/>
            </w:pPr>
            <w:r w:rsidRPr="00D51D6D">
              <w:t>Quality</w:t>
            </w:r>
          </w:p>
        </w:tc>
      </w:tr>
      <w:tr w:rsidR="0064038E" w:rsidRPr="00F07EE7" w14:paraId="7BA87AB1" w14:textId="77777777" w:rsidTr="006C102A">
        <w:trPr>
          <w:gridAfter w:val="1"/>
          <w:wAfter w:w="8" w:type="dxa"/>
          <w:cantSplit/>
        </w:trPr>
        <w:tc>
          <w:tcPr>
            <w:tcW w:w="4741" w:type="dxa"/>
            <w:tcBorders>
              <w:top w:val="single" w:sz="4" w:space="0" w:color="A6A6A6" w:themeColor="accent5"/>
            </w:tcBorders>
          </w:tcPr>
          <w:p w14:paraId="1743B874" w14:textId="77777777" w:rsidR="0064038E" w:rsidRPr="00852342" w:rsidRDefault="0064038E">
            <w:pPr>
              <w:pStyle w:val="ARtabletext"/>
            </w:pPr>
            <w:r w:rsidRPr="00852342">
              <w:t>Prevention of family violence grant recipients who met or exceeded contractually agreed outcomes</w:t>
            </w:r>
          </w:p>
        </w:tc>
        <w:tc>
          <w:tcPr>
            <w:tcW w:w="1017" w:type="dxa"/>
            <w:tcBorders>
              <w:top w:val="single" w:sz="4" w:space="0" w:color="A6A6A6" w:themeColor="accent5"/>
            </w:tcBorders>
          </w:tcPr>
          <w:p w14:paraId="1C07FFD4" w14:textId="77777777" w:rsidR="0064038E" w:rsidRPr="00852342" w:rsidRDefault="0064038E">
            <w:pPr>
              <w:pStyle w:val="ARtabletext"/>
            </w:pPr>
            <w:r>
              <w:t>per cent</w:t>
            </w:r>
          </w:p>
        </w:tc>
        <w:tc>
          <w:tcPr>
            <w:tcW w:w="1019" w:type="dxa"/>
            <w:tcBorders>
              <w:top w:val="single" w:sz="4" w:space="0" w:color="A6A6A6" w:themeColor="accent5"/>
            </w:tcBorders>
          </w:tcPr>
          <w:p w14:paraId="79EE18A4" w14:textId="77777777" w:rsidR="0064038E" w:rsidRPr="00852342" w:rsidRDefault="0064038E">
            <w:pPr>
              <w:pStyle w:val="ARtabletextright"/>
            </w:pPr>
            <w:r w:rsidRPr="00852342">
              <w:t>95</w:t>
            </w:r>
          </w:p>
        </w:tc>
        <w:tc>
          <w:tcPr>
            <w:tcW w:w="1021" w:type="dxa"/>
            <w:tcBorders>
              <w:top w:val="single" w:sz="4" w:space="0" w:color="A6A6A6" w:themeColor="accent5"/>
            </w:tcBorders>
          </w:tcPr>
          <w:p w14:paraId="3E34475C" w14:textId="77777777" w:rsidR="0064038E" w:rsidRPr="00852342" w:rsidRDefault="0064038E">
            <w:pPr>
              <w:pStyle w:val="ARtabletextright"/>
            </w:pPr>
            <w:r w:rsidRPr="00852342">
              <w:t>98.0</w:t>
            </w:r>
          </w:p>
        </w:tc>
        <w:tc>
          <w:tcPr>
            <w:tcW w:w="1025" w:type="dxa"/>
            <w:tcBorders>
              <w:top w:val="single" w:sz="4" w:space="0" w:color="A6A6A6" w:themeColor="accent5"/>
            </w:tcBorders>
          </w:tcPr>
          <w:p w14:paraId="76A270F5" w14:textId="77777777" w:rsidR="0064038E" w:rsidRPr="00852342" w:rsidRDefault="0064038E">
            <w:pPr>
              <w:pStyle w:val="ARtabletextright"/>
            </w:pPr>
            <w:r w:rsidRPr="00852342">
              <w:t>3.1%</w:t>
            </w:r>
          </w:p>
        </w:tc>
        <w:tc>
          <w:tcPr>
            <w:tcW w:w="801" w:type="dxa"/>
            <w:tcBorders>
              <w:top w:val="single" w:sz="4" w:space="0" w:color="A6A6A6" w:themeColor="accent5"/>
            </w:tcBorders>
          </w:tcPr>
          <w:p w14:paraId="50D44D5B" w14:textId="77777777" w:rsidR="0064038E" w:rsidRPr="00852342" w:rsidRDefault="0064038E">
            <w:pPr>
              <w:pStyle w:val="ARtableperformancesymbol"/>
              <w:rPr>
                <w:rFonts w:hint="eastAsia"/>
                <w:lang w:val="en-AU"/>
              </w:rPr>
            </w:pPr>
            <w:r w:rsidRPr="00852342">
              <w:rPr>
                <w:rFonts w:eastAsia="Wingdings" w:cs="Wingdings"/>
              </w:rPr>
              <w:t></w:t>
            </w:r>
          </w:p>
        </w:tc>
      </w:tr>
      <w:tr w:rsidR="0064038E" w:rsidRPr="00F07EE7" w14:paraId="5258659C" w14:textId="77777777" w:rsidTr="006C102A">
        <w:trPr>
          <w:cantSplit/>
        </w:trPr>
        <w:tc>
          <w:tcPr>
            <w:tcW w:w="9632" w:type="dxa"/>
            <w:gridSpan w:val="7"/>
            <w:tcBorders>
              <w:top w:val="single" w:sz="4" w:space="0" w:color="auto"/>
              <w:bottom w:val="single" w:sz="4" w:space="0" w:color="A6A6A6" w:themeColor="accent5"/>
            </w:tcBorders>
            <w:hideMark/>
          </w:tcPr>
          <w:p w14:paraId="0977C1F4" w14:textId="77777777" w:rsidR="0064038E" w:rsidRPr="00852342" w:rsidRDefault="0064038E">
            <w:pPr>
              <w:pStyle w:val="ARtablegreybold"/>
              <w:keepNext/>
            </w:pPr>
            <w:r w:rsidRPr="00852342">
              <w:t>Timeliness</w:t>
            </w:r>
          </w:p>
        </w:tc>
      </w:tr>
      <w:tr w:rsidR="0064038E" w:rsidRPr="00F07EE7" w14:paraId="55DAADFE" w14:textId="77777777" w:rsidTr="006C102A">
        <w:trPr>
          <w:gridAfter w:val="1"/>
          <w:wAfter w:w="8" w:type="dxa"/>
          <w:cantSplit/>
        </w:trPr>
        <w:tc>
          <w:tcPr>
            <w:tcW w:w="4741" w:type="dxa"/>
            <w:tcBorders>
              <w:top w:val="single" w:sz="4" w:space="0" w:color="A6A6A6" w:themeColor="accent5"/>
              <w:bottom w:val="single" w:sz="4" w:space="0" w:color="auto"/>
            </w:tcBorders>
          </w:tcPr>
          <w:p w14:paraId="243F05D0" w14:textId="77777777" w:rsidR="0064038E" w:rsidRPr="00632306" w:rsidRDefault="0064038E">
            <w:pPr>
              <w:pStyle w:val="ARtabletext"/>
            </w:pPr>
            <w:r w:rsidRPr="00632306">
              <w:t>Prevention of family violence projects and programs delivered on time</w:t>
            </w:r>
          </w:p>
        </w:tc>
        <w:tc>
          <w:tcPr>
            <w:tcW w:w="1017" w:type="dxa"/>
            <w:tcBorders>
              <w:top w:val="single" w:sz="4" w:space="0" w:color="A6A6A6" w:themeColor="accent5"/>
              <w:bottom w:val="single" w:sz="4" w:space="0" w:color="auto"/>
            </w:tcBorders>
          </w:tcPr>
          <w:p w14:paraId="20CEC4DF" w14:textId="77777777" w:rsidR="0064038E" w:rsidRPr="00632306" w:rsidRDefault="0064038E">
            <w:pPr>
              <w:pStyle w:val="ARtabletext"/>
            </w:pPr>
            <w:r w:rsidRPr="00632306">
              <w:t>per cent</w:t>
            </w:r>
          </w:p>
        </w:tc>
        <w:tc>
          <w:tcPr>
            <w:tcW w:w="1019" w:type="dxa"/>
            <w:tcBorders>
              <w:top w:val="single" w:sz="4" w:space="0" w:color="A6A6A6" w:themeColor="accent5"/>
              <w:bottom w:val="single" w:sz="4" w:space="0" w:color="auto"/>
            </w:tcBorders>
          </w:tcPr>
          <w:p w14:paraId="37635D5A" w14:textId="77777777" w:rsidR="0064038E" w:rsidRPr="00632306" w:rsidRDefault="0064038E">
            <w:pPr>
              <w:pStyle w:val="ARtabletextright"/>
            </w:pPr>
            <w:r w:rsidRPr="00632306">
              <w:t>100</w:t>
            </w:r>
          </w:p>
        </w:tc>
        <w:tc>
          <w:tcPr>
            <w:tcW w:w="1021" w:type="dxa"/>
            <w:tcBorders>
              <w:top w:val="single" w:sz="4" w:space="0" w:color="A6A6A6" w:themeColor="accent5"/>
              <w:bottom w:val="single" w:sz="4" w:space="0" w:color="auto"/>
            </w:tcBorders>
          </w:tcPr>
          <w:p w14:paraId="7A012454" w14:textId="77777777" w:rsidR="0064038E" w:rsidRPr="00632306" w:rsidRDefault="0064038E">
            <w:pPr>
              <w:pStyle w:val="ARtabletextright"/>
            </w:pPr>
            <w:r w:rsidRPr="00632306">
              <w:t>95.8</w:t>
            </w:r>
          </w:p>
        </w:tc>
        <w:tc>
          <w:tcPr>
            <w:tcW w:w="1025" w:type="dxa"/>
            <w:tcBorders>
              <w:top w:val="single" w:sz="4" w:space="0" w:color="A6A6A6" w:themeColor="accent5"/>
              <w:bottom w:val="single" w:sz="4" w:space="0" w:color="auto"/>
            </w:tcBorders>
          </w:tcPr>
          <w:p w14:paraId="18DB942B" w14:textId="78E1B87E" w:rsidR="0064038E" w:rsidRPr="00632306" w:rsidRDefault="00430898">
            <w:pPr>
              <w:pStyle w:val="ARtabletextright"/>
            </w:pPr>
            <w:r>
              <w:t>−</w:t>
            </w:r>
            <w:r w:rsidR="0064038E" w:rsidRPr="00632306">
              <w:t>4.2%</w:t>
            </w:r>
          </w:p>
        </w:tc>
        <w:tc>
          <w:tcPr>
            <w:tcW w:w="801" w:type="dxa"/>
            <w:tcBorders>
              <w:top w:val="single" w:sz="4" w:space="0" w:color="A6A6A6" w:themeColor="accent5"/>
              <w:bottom w:val="single" w:sz="4" w:space="0" w:color="auto"/>
            </w:tcBorders>
          </w:tcPr>
          <w:p w14:paraId="3ACFED98" w14:textId="77777777" w:rsidR="0064038E" w:rsidRPr="00632306" w:rsidRDefault="0064038E">
            <w:pPr>
              <w:pStyle w:val="ARtableperformancesymbol"/>
              <w:rPr>
                <w:rFonts w:hint="eastAsia"/>
                <w:lang w:val="en-AU"/>
              </w:rPr>
            </w:pPr>
            <w:r w:rsidRPr="00632306">
              <w:t>□</w:t>
            </w:r>
          </w:p>
        </w:tc>
      </w:tr>
      <w:tr w:rsidR="0064038E" w:rsidRPr="00F07EE7" w14:paraId="7BD61D40" w14:textId="77777777" w:rsidTr="00026B51">
        <w:trPr>
          <w:cantSplit/>
        </w:trPr>
        <w:tc>
          <w:tcPr>
            <w:tcW w:w="9632" w:type="dxa"/>
            <w:gridSpan w:val="7"/>
            <w:tcBorders>
              <w:top w:val="single" w:sz="4" w:space="0" w:color="auto"/>
              <w:bottom w:val="single" w:sz="4" w:space="0" w:color="000000" w:themeColor="text1"/>
            </w:tcBorders>
            <w:hideMark/>
          </w:tcPr>
          <w:p w14:paraId="4151D7F1" w14:textId="77777777" w:rsidR="0064038E" w:rsidRPr="00E423F1" w:rsidRDefault="0064038E">
            <w:pPr>
              <w:pStyle w:val="ARtablegreybold"/>
            </w:pPr>
            <w:r w:rsidRPr="00E423F1">
              <w:t>Cost</w:t>
            </w:r>
          </w:p>
        </w:tc>
      </w:tr>
      <w:tr w:rsidR="0064038E" w:rsidRPr="00F07EE7" w14:paraId="1473C05E" w14:textId="77777777" w:rsidTr="00026B51">
        <w:trPr>
          <w:cantSplit/>
        </w:trPr>
        <w:tc>
          <w:tcPr>
            <w:tcW w:w="4741" w:type="dxa"/>
            <w:tcBorders>
              <w:top w:val="single" w:sz="4" w:space="0" w:color="000000" w:themeColor="text1"/>
            </w:tcBorders>
            <w:hideMark/>
          </w:tcPr>
          <w:p w14:paraId="602D253F" w14:textId="77777777" w:rsidR="0064038E" w:rsidRPr="00E423F1" w:rsidRDefault="0064038E" w:rsidP="00E835B0">
            <w:pPr>
              <w:pStyle w:val="ARtabletextbold"/>
            </w:pPr>
            <w:r w:rsidRPr="00E423F1">
              <w:t>Total output cost</w:t>
            </w:r>
          </w:p>
        </w:tc>
        <w:tc>
          <w:tcPr>
            <w:tcW w:w="1017" w:type="dxa"/>
            <w:tcBorders>
              <w:top w:val="single" w:sz="4" w:space="0" w:color="000000" w:themeColor="text1"/>
            </w:tcBorders>
            <w:hideMark/>
          </w:tcPr>
          <w:p w14:paraId="3EFACB9C" w14:textId="77777777" w:rsidR="0064038E" w:rsidRPr="00E423F1" w:rsidRDefault="0064038E" w:rsidP="00E835B0">
            <w:pPr>
              <w:pStyle w:val="ARtabletextbold"/>
            </w:pPr>
            <w:r>
              <w:t>$ million</w:t>
            </w:r>
          </w:p>
        </w:tc>
        <w:tc>
          <w:tcPr>
            <w:tcW w:w="1019" w:type="dxa"/>
            <w:tcBorders>
              <w:top w:val="single" w:sz="4" w:space="0" w:color="000000" w:themeColor="text1"/>
            </w:tcBorders>
          </w:tcPr>
          <w:p w14:paraId="366204D3" w14:textId="77777777" w:rsidR="0064038E" w:rsidRPr="00E423F1" w:rsidRDefault="0064038E">
            <w:pPr>
              <w:pStyle w:val="ARtabletextrightbold"/>
            </w:pPr>
            <w:r w:rsidRPr="00E423F1">
              <w:t>30.1</w:t>
            </w:r>
          </w:p>
        </w:tc>
        <w:tc>
          <w:tcPr>
            <w:tcW w:w="1021" w:type="dxa"/>
            <w:tcBorders>
              <w:top w:val="single" w:sz="4" w:space="0" w:color="000000" w:themeColor="text1"/>
            </w:tcBorders>
          </w:tcPr>
          <w:p w14:paraId="695FF4BB" w14:textId="77777777" w:rsidR="0064038E" w:rsidRPr="00E423F1" w:rsidRDefault="0064038E">
            <w:pPr>
              <w:pStyle w:val="ARtabletextrightbold"/>
            </w:pPr>
            <w:r w:rsidRPr="00E423F1">
              <w:t>27.5</w:t>
            </w:r>
          </w:p>
        </w:tc>
        <w:tc>
          <w:tcPr>
            <w:tcW w:w="1025" w:type="dxa"/>
            <w:tcBorders>
              <w:top w:val="single" w:sz="4" w:space="0" w:color="000000" w:themeColor="text1"/>
            </w:tcBorders>
          </w:tcPr>
          <w:p w14:paraId="213CA139" w14:textId="00E7A5EA" w:rsidR="0064038E" w:rsidRPr="00E423F1" w:rsidRDefault="00430898">
            <w:pPr>
              <w:pStyle w:val="ARtabletextrightbold"/>
            </w:pPr>
            <w:r>
              <w:t>−</w:t>
            </w:r>
            <w:r w:rsidR="0064038E" w:rsidRPr="00E423F1">
              <w:t>8.7%</w:t>
            </w:r>
          </w:p>
        </w:tc>
        <w:tc>
          <w:tcPr>
            <w:tcW w:w="809" w:type="dxa"/>
            <w:gridSpan w:val="2"/>
            <w:tcBorders>
              <w:top w:val="single" w:sz="4" w:space="0" w:color="000000" w:themeColor="text1"/>
            </w:tcBorders>
          </w:tcPr>
          <w:p w14:paraId="2E01C1C7" w14:textId="77777777" w:rsidR="0064038E" w:rsidRPr="00E423F1" w:rsidRDefault="0064038E">
            <w:pPr>
              <w:pStyle w:val="ARtableperformancesymbol"/>
              <w:rPr>
                <w:rFonts w:hint="eastAsia"/>
                <w:b/>
              </w:rPr>
            </w:pPr>
            <w:r w:rsidRPr="00E423F1">
              <w:rPr>
                <w:rFonts w:eastAsia="Wingdings" w:cs="Wingdings"/>
              </w:rPr>
              <w:t></w:t>
            </w:r>
          </w:p>
        </w:tc>
      </w:tr>
      <w:tr w:rsidR="0064038E" w:rsidRPr="00F07EE7" w14:paraId="346B2D5D" w14:textId="77777777">
        <w:trPr>
          <w:gridAfter w:val="1"/>
          <w:wAfter w:w="8" w:type="dxa"/>
          <w:cantSplit/>
        </w:trPr>
        <w:tc>
          <w:tcPr>
            <w:tcW w:w="9624" w:type="dxa"/>
            <w:gridSpan w:val="6"/>
            <w:tcBorders>
              <w:bottom w:val="single" w:sz="4" w:space="0" w:color="auto"/>
            </w:tcBorders>
          </w:tcPr>
          <w:p w14:paraId="37A79E28" w14:textId="27CC9D13" w:rsidR="0064038E" w:rsidRPr="00F07EE7" w:rsidRDefault="0064038E" w:rsidP="00130336">
            <w:pPr>
              <w:pStyle w:val="ARtablenoteindent"/>
              <w:rPr>
                <w:highlight w:val="cyan"/>
              </w:rPr>
            </w:pPr>
            <w:r w:rsidRPr="00E93E12">
              <w:t xml:space="preserve">The lower actual </w:t>
            </w:r>
            <w:r w:rsidRPr="00130336">
              <w:t>primarily</w:t>
            </w:r>
            <w:r w:rsidRPr="00E93E12">
              <w:t xml:space="preserve"> reflects revised delivery timelines for government initiatives, where carryover will be sought to deliver programs in future years.</w:t>
            </w:r>
          </w:p>
        </w:tc>
      </w:tr>
    </w:tbl>
    <w:p w14:paraId="14A18D6E" w14:textId="67DD1C80" w:rsidR="0064038E" w:rsidRPr="000B4842" w:rsidRDefault="0064038E">
      <w:pPr>
        <w:pStyle w:val="Heading3"/>
      </w:pPr>
      <w:r w:rsidRPr="000B4842">
        <w:t>Community participation</w:t>
      </w:r>
    </w:p>
    <w:p w14:paraId="14BB7A7F" w14:textId="77777777" w:rsidR="0064038E" w:rsidRPr="000B4842" w:rsidRDefault="0064038E">
      <w:pPr>
        <w:pStyle w:val="ARbodybeforetable"/>
      </w:pPr>
      <w:r>
        <w:t>Community participation programs include the Neighbourhood House Coordination Program, Men’s Sheds, Community Support and Community Finance initiatives. These programs support the social and economic participation of Victorian communities, particularly vulnerable populations.</w:t>
      </w:r>
    </w:p>
    <w:tbl>
      <w:tblPr>
        <w:tblW w:w="5000" w:type="pct"/>
        <w:tblLayout w:type="fixed"/>
        <w:tblCellMar>
          <w:left w:w="0" w:type="dxa"/>
        </w:tblCellMar>
        <w:tblLook w:val="06A0" w:firstRow="1" w:lastRow="0" w:firstColumn="1" w:lastColumn="0" w:noHBand="1" w:noVBand="1"/>
      </w:tblPr>
      <w:tblGrid>
        <w:gridCol w:w="4710"/>
        <w:gridCol w:w="29"/>
        <w:gridCol w:w="1017"/>
        <w:gridCol w:w="17"/>
        <w:gridCol w:w="1002"/>
        <w:gridCol w:w="12"/>
        <w:gridCol w:w="1009"/>
        <w:gridCol w:w="7"/>
        <w:gridCol w:w="1020"/>
        <w:gridCol w:w="792"/>
        <w:gridCol w:w="17"/>
      </w:tblGrid>
      <w:tr w:rsidR="0064038E" w:rsidRPr="00F07EE7" w14:paraId="4190A7AC" w14:textId="77777777">
        <w:trPr>
          <w:cantSplit/>
          <w:tblHeader/>
        </w:trPr>
        <w:tc>
          <w:tcPr>
            <w:tcW w:w="4739" w:type="dxa"/>
            <w:gridSpan w:val="2"/>
            <w:tcBorders>
              <w:bottom w:val="single" w:sz="4" w:space="0" w:color="auto"/>
            </w:tcBorders>
            <w:vAlign w:val="bottom"/>
            <w:hideMark/>
          </w:tcPr>
          <w:p w14:paraId="77572330" w14:textId="77777777" w:rsidR="0064038E" w:rsidRPr="009064E0" w:rsidRDefault="0064038E">
            <w:pPr>
              <w:pStyle w:val="ARtablecolhead"/>
            </w:pPr>
            <w:r w:rsidRPr="009064E0">
              <w:t>Performance measures</w:t>
            </w:r>
          </w:p>
        </w:tc>
        <w:tc>
          <w:tcPr>
            <w:tcW w:w="1017" w:type="dxa"/>
            <w:tcBorders>
              <w:bottom w:val="single" w:sz="4" w:space="0" w:color="auto"/>
            </w:tcBorders>
            <w:vAlign w:val="bottom"/>
            <w:hideMark/>
          </w:tcPr>
          <w:p w14:paraId="64EDEC76" w14:textId="77777777" w:rsidR="0064038E" w:rsidRPr="009064E0" w:rsidRDefault="0064038E">
            <w:pPr>
              <w:pStyle w:val="ARtablecolhead"/>
            </w:pPr>
            <w:r w:rsidRPr="009064E0">
              <w:t>Unit of measure</w:t>
            </w:r>
          </w:p>
        </w:tc>
        <w:tc>
          <w:tcPr>
            <w:tcW w:w="1019" w:type="dxa"/>
            <w:gridSpan w:val="2"/>
            <w:tcBorders>
              <w:bottom w:val="single" w:sz="4" w:space="0" w:color="auto"/>
            </w:tcBorders>
            <w:vAlign w:val="bottom"/>
            <w:hideMark/>
          </w:tcPr>
          <w:p w14:paraId="169546CF" w14:textId="77777777" w:rsidR="0064038E" w:rsidRPr="009064E0" w:rsidRDefault="0064038E">
            <w:pPr>
              <w:pStyle w:val="ARtablecolheadright"/>
            </w:pPr>
            <w:r w:rsidRPr="009064E0">
              <w:t>2024–25 target</w:t>
            </w:r>
          </w:p>
        </w:tc>
        <w:tc>
          <w:tcPr>
            <w:tcW w:w="1021" w:type="dxa"/>
            <w:gridSpan w:val="2"/>
            <w:tcBorders>
              <w:bottom w:val="single" w:sz="4" w:space="0" w:color="auto"/>
            </w:tcBorders>
            <w:vAlign w:val="bottom"/>
            <w:hideMark/>
          </w:tcPr>
          <w:p w14:paraId="77CA21CD" w14:textId="77777777" w:rsidR="0064038E" w:rsidRPr="009064E0" w:rsidRDefault="0064038E">
            <w:pPr>
              <w:pStyle w:val="ARtablecolheadright"/>
            </w:pPr>
            <w:r w:rsidRPr="009064E0">
              <w:t>2024–25 actual</w:t>
            </w:r>
          </w:p>
        </w:tc>
        <w:tc>
          <w:tcPr>
            <w:tcW w:w="1027" w:type="dxa"/>
            <w:gridSpan w:val="2"/>
            <w:tcBorders>
              <w:bottom w:val="single" w:sz="4" w:space="0" w:color="auto"/>
            </w:tcBorders>
            <w:vAlign w:val="bottom"/>
            <w:hideMark/>
          </w:tcPr>
          <w:p w14:paraId="207FB4EE" w14:textId="77777777" w:rsidR="0064038E" w:rsidRPr="009064E0" w:rsidRDefault="0064038E">
            <w:pPr>
              <w:pStyle w:val="ARtablecolheadright"/>
            </w:pPr>
            <w:r w:rsidRPr="009064E0">
              <w:t xml:space="preserve">Variation </w:t>
            </w:r>
          </w:p>
        </w:tc>
        <w:tc>
          <w:tcPr>
            <w:tcW w:w="809" w:type="dxa"/>
            <w:gridSpan w:val="2"/>
            <w:tcBorders>
              <w:bottom w:val="single" w:sz="4" w:space="0" w:color="auto"/>
            </w:tcBorders>
            <w:vAlign w:val="bottom"/>
            <w:hideMark/>
          </w:tcPr>
          <w:p w14:paraId="5E4CC0E3" w14:textId="77777777" w:rsidR="0064038E" w:rsidRPr="009064E0" w:rsidRDefault="0064038E">
            <w:pPr>
              <w:pStyle w:val="ARtablecolheadright"/>
            </w:pPr>
            <w:r w:rsidRPr="009064E0">
              <w:t>Result</w:t>
            </w:r>
          </w:p>
        </w:tc>
      </w:tr>
      <w:tr w:rsidR="0064038E" w:rsidRPr="000B4842" w14:paraId="0FD42274" w14:textId="77777777" w:rsidTr="006C102A">
        <w:trPr>
          <w:gridAfter w:val="1"/>
          <w:wAfter w:w="17" w:type="dxa"/>
          <w:cantSplit/>
        </w:trPr>
        <w:tc>
          <w:tcPr>
            <w:tcW w:w="9615" w:type="dxa"/>
            <w:gridSpan w:val="10"/>
            <w:tcBorders>
              <w:top w:val="single" w:sz="4" w:space="0" w:color="auto"/>
              <w:left w:val="nil"/>
              <w:bottom w:val="single" w:sz="4" w:space="0" w:color="A6A6A6" w:themeColor="accent5"/>
              <w:right w:val="nil"/>
            </w:tcBorders>
            <w:hideMark/>
          </w:tcPr>
          <w:p w14:paraId="657D37D7" w14:textId="77777777" w:rsidR="0064038E" w:rsidRPr="000B4842" w:rsidRDefault="0064038E">
            <w:pPr>
              <w:pStyle w:val="ARtablegreybold"/>
            </w:pPr>
            <w:r w:rsidRPr="000B4842">
              <w:t>Quantity</w:t>
            </w:r>
          </w:p>
        </w:tc>
      </w:tr>
      <w:tr w:rsidR="0064038E" w:rsidRPr="00703E00" w14:paraId="77E6C82F" w14:textId="77777777" w:rsidTr="006C102A">
        <w:trPr>
          <w:gridAfter w:val="1"/>
          <w:wAfter w:w="17" w:type="dxa"/>
          <w:cantSplit/>
        </w:trPr>
        <w:tc>
          <w:tcPr>
            <w:tcW w:w="4710" w:type="dxa"/>
            <w:tcBorders>
              <w:top w:val="single" w:sz="4" w:space="0" w:color="A6A6A6" w:themeColor="accent5"/>
              <w:bottom w:val="single" w:sz="4" w:space="0" w:color="auto"/>
            </w:tcBorders>
            <w:hideMark/>
          </w:tcPr>
          <w:p w14:paraId="583A6C78" w14:textId="118F6727" w:rsidR="0064038E" w:rsidRPr="00703E00" w:rsidRDefault="0064038E">
            <w:pPr>
              <w:pStyle w:val="ARtabletext"/>
            </w:pPr>
            <w:r w:rsidRPr="00703E00">
              <w:t>Hours of coordination funding provided to Neighbourhood</w:t>
            </w:r>
            <w:r w:rsidR="00026B51">
              <w:t> </w:t>
            </w:r>
            <w:r w:rsidRPr="00703E00">
              <w:t>Houses</w:t>
            </w:r>
          </w:p>
        </w:tc>
        <w:tc>
          <w:tcPr>
            <w:tcW w:w="1063" w:type="dxa"/>
            <w:gridSpan w:val="3"/>
            <w:tcBorders>
              <w:top w:val="single" w:sz="4" w:space="0" w:color="A6A6A6" w:themeColor="accent5"/>
              <w:bottom w:val="single" w:sz="4" w:space="0" w:color="auto"/>
            </w:tcBorders>
            <w:hideMark/>
          </w:tcPr>
          <w:p w14:paraId="54601780" w14:textId="77777777" w:rsidR="0064038E" w:rsidRPr="00703E00" w:rsidRDefault="0064038E">
            <w:pPr>
              <w:pStyle w:val="ARtabletext"/>
            </w:pPr>
            <w:r w:rsidRPr="00703E00">
              <w:t>number</w:t>
            </w:r>
          </w:p>
        </w:tc>
        <w:tc>
          <w:tcPr>
            <w:tcW w:w="1014" w:type="dxa"/>
            <w:gridSpan w:val="2"/>
            <w:tcBorders>
              <w:top w:val="single" w:sz="4" w:space="0" w:color="A6A6A6" w:themeColor="accent5"/>
              <w:bottom w:val="single" w:sz="4" w:space="0" w:color="auto"/>
            </w:tcBorders>
            <w:hideMark/>
          </w:tcPr>
          <w:p w14:paraId="05727686" w14:textId="77777777" w:rsidR="0064038E" w:rsidRPr="00703E00" w:rsidRDefault="0064038E">
            <w:pPr>
              <w:pStyle w:val="ARtabletextright"/>
            </w:pPr>
            <w:r w:rsidRPr="00703E00">
              <w:t xml:space="preserve">561,896 </w:t>
            </w:r>
          </w:p>
        </w:tc>
        <w:tc>
          <w:tcPr>
            <w:tcW w:w="1016" w:type="dxa"/>
            <w:gridSpan w:val="2"/>
            <w:tcBorders>
              <w:top w:val="single" w:sz="4" w:space="0" w:color="A6A6A6" w:themeColor="accent5"/>
              <w:bottom w:val="single" w:sz="4" w:space="0" w:color="auto"/>
            </w:tcBorders>
            <w:hideMark/>
          </w:tcPr>
          <w:p w14:paraId="1339B12C" w14:textId="77777777" w:rsidR="0064038E" w:rsidRPr="00703E00" w:rsidRDefault="0064038E">
            <w:pPr>
              <w:pStyle w:val="ARtabletextright"/>
            </w:pPr>
            <w:r w:rsidRPr="00703E00">
              <w:t xml:space="preserve">560,351 </w:t>
            </w:r>
          </w:p>
        </w:tc>
        <w:tc>
          <w:tcPr>
            <w:tcW w:w="1020" w:type="dxa"/>
            <w:tcBorders>
              <w:top w:val="single" w:sz="4" w:space="0" w:color="A6A6A6" w:themeColor="accent5"/>
              <w:bottom w:val="single" w:sz="4" w:space="0" w:color="auto"/>
            </w:tcBorders>
          </w:tcPr>
          <w:p w14:paraId="274EAB32" w14:textId="07C2B79F" w:rsidR="0064038E" w:rsidRPr="00703E00" w:rsidRDefault="00430898">
            <w:pPr>
              <w:pStyle w:val="ARtabletextright"/>
            </w:pPr>
            <w:r>
              <w:t>−</w:t>
            </w:r>
            <w:r w:rsidR="0064038E" w:rsidRPr="00703E00">
              <w:t>0.3%</w:t>
            </w:r>
          </w:p>
        </w:tc>
        <w:tc>
          <w:tcPr>
            <w:tcW w:w="792" w:type="dxa"/>
            <w:tcBorders>
              <w:top w:val="single" w:sz="4" w:space="0" w:color="A6A6A6" w:themeColor="accent5"/>
              <w:bottom w:val="single" w:sz="4" w:space="0" w:color="auto"/>
            </w:tcBorders>
            <w:hideMark/>
          </w:tcPr>
          <w:p w14:paraId="100A5836" w14:textId="77777777" w:rsidR="0064038E" w:rsidRPr="00703E00" w:rsidRDefault="0064038E">
            <w:pPr>
              <w:pStyle w:val="ARtableperformancesymbol"/>
              <w:rPr>
                <w:rFonts w:hint="eastAsia"/>
                <w:lang w:val="en-AU"/>
              </w:rPr>
            </w:pPr>
            <w:r w:rsidRPr="00703E00">
              <w:t>□</w:t>
            </w:r>
          </w:p>
        </w:tc>
      </w:tr>
      <w:tr w:rsidR="0064038E" w:rsidRPr="00703E00" w14:paraId="29A8936F" w14:textId="77777777" w:rsidTr="006C102A">
        <w:trPr>
          <w:gridAfter w:val="1"/>
          <w:wAfter w:w="17" w:type="dxa"/>
          <w:cantSplit/>
        </w:trPr>
        <w:tc>
          <w:tcPr>
            <w:tcW w:w="9615" w:type="dxa"/>
            <w:gridSpan w:val="10"/>
            <w:tcBorders>
              <w:top w:val="single" w:sz="4" w:space="0" w:color="auto"/>
              <w:left w:val="nil"/>
              <w:bottom w:val="single" w:sz="4" w:space="0" w:color="A6A6A6" w:themeColor="accent5"/>
              <w:right w:val="nil"/>
            </w:tcBorders>
            <w:hideMark/>
          </w:tcPr>
          <w:p w14:paraId="6B9AB898" w14:textId="77777777" w:rsidR="0064038E" w:rsidRPr="00703E00" w:rsidRDefault="0064038E">
            <w:pPr>
              <w:pStyle w:val="ARtablegreybold"/>
            </w:pPr>
            <w:r w:rsidRPr="00703E00">
              <w:t>Timeliness</w:t>
            </w:r>
          </w:p>
        </w:tc>
      </w:tr>
      <w:tr w:rsidR="0064038E" w:rsidRPr="00703E00" w14:paraId="614041B9" w14:textId="77777777" w:rsidTr="006C102A">
        <w:trPr>
          <w:gridAfter w:val="1"/>
          <w:wAfter w:w="17" w:type="dxa"/>
          <w:cantSplit/>
        </w:trPr>
        <w:tc>
          <w:tcPr>
            <w:tcW w:w="4710" w:type="dxa"/>
            <w:tcBorders>
              <w:top w:val="single" w:sz="4" w:space="0" w:color="A6A6A6" w:themeColor="accent5"/>
              <w:bottom w:val="single" w:sz="4" w:space="0" w:color="auto"/>
            </w:tcBorders>
            <w:hideMark/>
          </w:tcPr>
          <w:p w14:paraId="432CD8AC" w14:textId="77777777" w:rsidR="0064038E" w:rsidRPr="00703E00" w:rsidRDefault="0064038E">
            <w:pPr>
              <w:pStyle w:val="ARtabletext"/>
            </w:pPr>
            <w:r w:rsidRPr="00703E00">
              <w:t>Grants acquitted within the timeframe specified in the terms and conditions of the funding agreement</w:t>
            </w:r>
          </w:p>
        </w:tc>
        <w:tc>
          <w:tcPr>
            <w:tcW w:w="1063" w:type="dxa"/>
            <w:gridSpan w:val="3"/>
            <w:tcBorders>
              <w:top w:val="single" w:sz="4" w:space="0" w:color="A6A6A6" w:themeColor="accent5"/>
              <w:bottom w:val="single" w:sz="4" w:space="0" w:color="auto"/>
            </w:tcBorders>
            <w:hideMark/>
          </w:tcPr>
          <w:p w14:paraId="2A812609" w14:textId="77777777" w:rsidR="0064038E" w:rsidRPr="00703E00" w:rsidRDefault="0064038E">
            <w:pPr>
              <w:pStyle w:val="ARtabletext"/>
            </w:pPr>
            <w:r w:rsidRPr="00703E00">
              <w:t>per cent</w:t>
            </w:r>
          </w:p>
        </w:tc>
        <w:tc>
          <w:tcPr>
            <w:tcW w:w="1014" w:type="dxa"/>
            <w:gridSpan w:val="2"/>
            <w:tcBorders>
              <w:top w:val="single" w:sz="4" w:space="0" w:color="A6A6A6" w:themeColor="accent5"/>
              <w:bottom w:val="single" w:sz="4" w:space="0" w:color="auto"/>
            </w:tcBorders>
            <w:hideMark/>
          </w:tcPr>
          <w:p w14:paraId="379D0229" w14:textId="77777777" w:rsidR="0064038E" w:rsidRPr="00703E00" w:rsidRDefault="0064038E">
            <w:pPr>
              <w:pStyle w:val="ARtabletextright"/>
            </w:pPr>
            <w:r w:rsidRPr="00703E00">
              <w:t>92</w:t>
            </w:r>
          </w:p>
        </w:tc>
        <w:tc>
          <w:tcPr>
            <w:tcW w:w="1016" w:type="dxa"/>
            <w:gridSpan w:val="2"/>
            <w:tcBorders>
              <w:top w:val="single" w:sz="4" w:space="0" w:color="A6A6A6" w:themeColor="accent5"/>
              <w:bottom w:val="single" w:sz="4" w:space="0" w:color="auto"/>
            </w:tcBorders>
            <w:hideMark/>
          </w:tcPr>
          <w:p w14:paraId="1D689F09" w14:textId="77777777" w:rsidR="0064038E" w:rsidRPr="00703E00" w:rsidRDefault="0064038E">
            <w:pPr>
              <w:pStyle w:val="ARtabletextright"/>
            </w:pPr>
            <w:r w:rsidRPr="00703E00">
              <w:t>90</w:t>
            </w:r>
          </w:p>
        </w:tc>
        <w:tc>
          <w:tcPr>
            <w:tcW w:w="1020" w:type="dxa"/>
            <w:tcBorders>
              <w:top w:val="single" w:sz="4" w:space="0" w:color="A6A6A6" w:themeColor="accent5"/>
              <w:bottom w:val="single" w:sz="4" w:space="0" w:color="auto"/>
            </w:tcBorders>
          </w:tcPr>
          <w:p w14:paraId="51A9E254" w14:textId="46B200B3" w:rsidR="0064038E" w:rsidRPr="00703E00" w:rsidRDefault="00430898">
            <w:pPr>
              <w:pStyle w:val="ARtabletextright"/>
            </w:pPr>
            <w:r>
              <w:t>−</w:t>
            </w:r>
            <w:r w:rsidR="0064038E" w:rsidRPr="00703E00">
              <w:t>2.2%</w:t>
            </w:r>
          </w:p>
        </w:tc>
        <w:tc>
          <w:tcPr>
            <w:tcW w:w="792" w:type="dxa"/>
            <w:tcBorders>
              <w:top w:val="single" w:sz="4" w:space="0" w:color="A6A6A6" w:themeColor="accent5"/>
              <w:bottom w:val="single" w:sz="4" w:space="0" w:color="auto"/>
            </w:tcBorders>
            <w:hideMark/>
          </w:tcPr>
          <w:p w14:paraId="7D5C83FB" w14:textId="77777777" w:rsidR="0064038E" w:rsidRPr="00703E00" w:rsidRDefault="0064038E">
            <w:pPr>
              <w:pStyle w:val="ARtableperformancesymbol"/>
              <w:rPr>
                <w:rFonts w:hint="eastAsia"/>
                <w:lang w:val="en-AU"/>
              </w:rPr>
            </w:pPr>
            <w:r w:rsidRPr="00703E00">
              <w:t>□</w:t>
            </w:r>
          </w:p>
        </w:tc>
      </w:tr>
      <w:tr w:rsidR="0064038E" w:rsidRPr="00703E00" w14:paraId="49C04603" w14:textId="77777777" w:rsidTr="00026B51">
        <w:trPr>
          <w:gridAfter w:val="1"/>
          <w:wAfter w:w="17" w:type="dxa"/>
          <w:cantSplit/>
        </w:trPr>
        <w:tc>
          <w:tcPr>
            <w:tcW w:w="9615" w:type="dxa"/>
            <w:gridSpan w:val="10"/>
            <w:tcBorders>
              <w:top w:val="single" w:sz="4" w:space="0" w:color="auto"/>
              <w:left w:val="nil"/>
              <w:bottom w:val="single" w:sz="4" w:space="0" w:color="000000" w:themeColor="text1"/>
              <w:right w:val="nil"/>
            </w:tcBorders>
            <w:hideMark/>
          </w:tcPr>
          <w:p w14:paraId="792634B0" w14:textId="77777777" w:rsidR="0064038E" w:rsidRPr="00703E00" w:rsidRDefault="0064038E">
            <w:pPr>
              <w:pStyle w:val="ARtablegreybold"/>
            </w:pPr>
            <w:r w:rsidRPr="00703E00">
              <w:t>Cost</w:t>
            </w:r>
          </w:p>
        </w:tc>
      </w:tr>
      <w:tr w:rsidR="0064038E" w:rsidRPr="00F07EE7" w14:paraId="76D2C260" w14:textId="77777777" w:rsidTr="00026B51">
        <w:trPr>
          <w:cantSplit/>
        </w:trPr>
        <w:tc>
          <w:tcPr>
            <w:tcW w:w="4710" w:type="dxa"/>
            <w:tcBorders>
              <w:top w:val="single" w:sz="4" w:space="0" w:color="000000" w:themeColor="text1"/>
              <w:bottom w:val="single" w:sz="4" w:space="0" w:color="auto"/>
            </w:tcBorders>
            <w:hideMark/>
          </w:tcPr>
          <w:p w14:paraId="704AC784" w14:textId="77777777" w:rsidR="0064038E" w:rsidRPr="00703E00" w:rsidRDefault="0064038E" w:rsidP="00E835B0">
            <w:pPr>
              <w:pStyle w:val="ARtabletextbold"/>
            </w:pPr>
            <w:r w:rsidRPr="00703E00">
              <w:t>Total output cost</w:t>
            </w:r>
          </w:p>
        </w:tc>
        <w:tc>
          <w:tcPr>
            <w:tcW w:w="1063" w:type="dxa"/>
            <w:gridSpan w:val="3"/>
            <w:tcBorders>
              <w:top w:val="single" w:sz="4" w:space="0" w:color="000000" w:themeColor="text1"/>
              <w:bottom w:val="single" w:sz="4" w:space="0" w:color="auto"/>
            </w:tcBorders>
            <w:hideMark/>
          </w:tcPr>
          <w:p w14:paraId="7FD4F867" w14:textId="77777777" w:rsidR="0064038E" w:rsidRPr="00703E00" w:rsidRDefault="0064038E">
            <w:pPr>
              <w:pStyle w:val="ARtabletext"/>
              <w:rPr>
                <w:b/>
              </w:rPr>
            </w:pPr>
            <w:r w:rsidRPr="00703E00">
              <w:t>$ million</w:t>
            </w:r>
          </w:p>
        </w:tc>
        <w:tc>
          <w:tcPr>
            <w:tcW w:w="1014" w:type="dxa"/>
            <w:gridSpan w:val="2"/>
            <w:tcBorders>
              <w:top w:val="single" w:sz="4" w:space="0" w:color="000000" w:themeColor="text1"/>
              <w:bottom w:val="single" w:sz="4" w:space="0" w:color="auto"/>
            </w:tcBorders>
          </w:tcPr>
          <w:p w14:paraId="284A8586" w14:textId="77777777" w:rsidR="0064038E" w:rsidRPr="00703E00" w:rsidRDefault="0064038E">
            <w:pPr>
              <w:pStyle w:val="ARtabletextrightbold"/>
            </w:pPr>
            <w:r w:rsidRPr="00703E00">
              <w:t>64.7</w:t>
            </w:r>
          </w:p>
        </w:tc>
        <w:tc>
          <w:tcPr>
            <w:tcW w:w="1016" w:type="dxa"/>
            <w:gridSpan w:val="2"/>
            <w:tcBorders>
              <w:top w:val="single" w:sz="4" w:space="0" w:color="000000" w:themeColor="text1"/>
              <w:bottom w:val="single" w:sz="4" w:space="0" w:color="auto"/>
            </w:tcBorders>
          </w:tcPr>
          <w:p w14:paraId="4DF13421" w14:textId="77777777" w:rsidR="0064038E" w:rsidRPr="00703E00" w:rsidRDefault="0064038E">
            <w:pPr>
              <w:pStyle w:val="ARtabletextrightbold"/>
            </w:pPr>
            <w:r w:rsidRPr="00703E00">
              <w:t>66.4</w:t>
            </w:r>
          </w:p>
        </w:tc>
        <w:tc>
          <w:tcPr>
            <w:tcW w:w="1020" w:type="dxa"/>
            <w:tcBorders>
              <w:top w:val="single" w:sz="4" w:space="0" w:color="000000" w:themeColor="text1"/>
              <w:bottom w:val="single" w:sz="4" w:space="0" w:color="auto"/>
            </w:tcBorders>
          </w:tcPr>
          <w:p w14:paraId="3969B6A6" w14:textId="77777777" w:rsidR="0064038E" w:rsidRPr="00703E00" w:rsidRDefault="0064038E">
            <w:pPr>
              <w:pStyle w:val="ARtabletextrightbold"/>
            </w:pPr>
            <w:r w:rsidRPr="00703E00">
              <w:t>2.6%</w:t>
            </w:r>
          </w:p>
        </w:tc>
        <w:tc>
          <w:tcPr>
            <w:tcW w:w="809" w:type="dxa"/>
            <w:gridSpan w:val="2"/>
            <w:tcBorders>
              <w:top w:val="single" w:sz="4" w:space="0" w:color="000000" w:themeColor="text1"/>
              <w:bottom w:val="single" w:sz="4" w:space="0" w:color="auto"/>
            </w:tcBorders>
          </w:tcPr>
          <w:p w14:paraId="2790BDEC" w14:textId="77777777" w:rsidR="0064038E" w:rsidRPr="00703E00" w:rsidRDefault="0064038E">
            <w:pPr>
              <w:pStyle w:val="ARtableperformancesymbol"/>
              <w:rPr>
                <w:rFonts w:hint="eastAsia"/>
                <w:b/>
              </w:rPr>
            </w:pPr>
            <w:r w:rsidRPr="00703E00">
              <w:rPr>
                <w:rFonts w:eastAsia="Wingdings" w:cs="Wingdings"/>
              </w:rPr>
              <w:t></w:t>
            </w:r>
          </w:p>
        </w:tc>
      </w:tr>
    </w:tbl>
    <w:p w14:paraId="10C126FF" w14:textId="0BEF9DE9" w:rsidR="008149F0" w:rsidRDefault="008149F0" w:rsidP="008149F0">
      <w:pPr>
        <w:pStyle w:val="ARbody"/>
      </w:pPr>
      <w:r>
        <w:br w:type="page"/>
      </w:r>
    </w:p>
    <w:p w14:paraId="2507B56E" w14:textId="2F595290" w:rsidR="0064038E" w:rsidRPr="00703E00" w:rsidRDefault="0064038E" w:rsidP="00026B51">
      <w:pPr>
        <w:pStyle w:val="Heading3"/>
      </w:pPr>
      <w:r w:rsidRPr="00703E00">
        <w:lastRenderedPageBreak/>
        <w:t>Disability services</w:t>
      </w:r>
    </w:p>
    <w:p w14:paraId="33C814A1" w14:textId="33432FF4" w:rsidR="0064038E" w:rsidRPr="00F07EE7" w:rsidRDefault="0064038E" w:rsidP="00B84A9C">
      <w:pPr>
        <w:pStyle w:val="ARbodybeforetable"/>
        <w:rPr>
          <w:highlight w:val="cyan"/>
        </w:rPr>
      </w:pPr>
      <w:r>
        <w:t xml:space="preserve">This output provides services not covered by the National Disability Insurance Scheme for people with disabilities, their </w:t>
      </w:r>
      <w:proofErr w:type="spellStart"/>
      <w:r>
        <w:t>carers</w:t>
      </w:r>
      <w:proofErr w:type="spellEnd"/>
      <w:r>
        <w:t xml:space="preserve"> and their families. It aims to make a positive difference for Victorians experiencing barriers to accessing services and to provide high-quality support to meet clients’ needs. This includes therapeutic services and </w:t>
      </w:r>
      <w:r w:rsidRPr="00B84A9C">
        <w:t>supports</w:t>
      </w:r>
      <w:r>
        <w:t xml:space="preserve"> for people with cognitive disability involved, or at risk of involvement, in Victoria’s criminal justice system.</w:t>
      </w:r>
    </w:p>
    <w:tbl>
      <w:tblPr>
        <w:tblW w:w="5000" w:type="pct"/>
        <w:tblLayout w:type="fixed"/>
        <w:tblCellMar>
          <w:left w:w="0" w:type="dxa"/>
        </w:tblCellMar>
        <w:tblLook w:val="06A0" w:firstRow="1" w:lastRow="0" w:firstColumn="1" w:lastColumn="0" w:noHBand="1" w:noVBand="1"/>
      </w:tblPr>
      <w:tblGrid>
        <w:gridCol w:w="4678"/>
        <w:gridCol w:w="57"/>
        <w:gridCol w:w="1020"/>
        <w:gridCol w:w="70"/>
        <w:gridCol w:w="874"/>
        <w:gridCol w:w="78"/>
        <w:gridCol w:w="1024"/>
        <w:gridCol w:w="63"/>
        <w:gridCol w:w="960"/>
        <w:gridCol w:w="6"/>
        <w:gridCol w:w="54"/>
        <w:gridCol w:w="748"/>
      </w:tblGrid>
      <w:tr w:rsidR="0064038E" w:rsidRPr="00F07EE7" w14:paraId="131CB875" w14:textId="77777777" w:rsidTr="006C102A">
        <w:trPr>
          <w:cantSplit/>
          <w:tblHeader/>
        </w:trPr>
        <w:tc>
          <w:tcPr>
            <w:tcW w:w="4735" w:type="dxa"/>
            <w:gridSpan w:val="2"/>
            <w:tcBorders>
              <w:bottom w:val="single" w:sz="4" w:space="0" w:color="auto"/>
            </w:tcBorders>
            <w:vAlign w:val="bottom"/>
            <w:hideMark/>
          </w:tcPr>
          <w:p w14:paraId="1DCC2BE6" w14:textId="77777777" w:rsidR="0064038E" w:rsidRPr="009064E0" w:rsidRDefault="0064038E">
            <w:pPr>
              <w:pStyle w:val="ARtablecolhead"/>
            </w:pPr>
            <w:r w:rsidRPr="009064E0">
              <w:t>Performance measures</w:t>
            </w:r>
          </w:p>
        </w:tc>
        <w:tc>
          <w:tcPr>
            <w:tcW w:w="1020" w:type="dxa"/>
            <w:tcBorders>
              <w:bottom w:val="single" w:sz="4" w:space="0" w:color="auto"/>
            </w:tcBorders>
            <w:vAlign w:val="bottom"/>
            <w:hideMark/>
          </w:tcPr>
          <w:p w14:paraId="3CBCCE01" w14:textId="77777777" w:rsidR="0064038E" w:rsidRPr="009064E0" w:rsidRDefault="0064038E">
            <w:pPr>
              <w:pStyle w:val="ARtablecolhead"/>
            </w:pPr>
            <w:r w:rsidRPr="009064E0">
              <w:t>Unit of measure</w:t>
            </w:r>
          </w:p>
        </w:tc>
        <w:tc>
          <w:tcPr>
            <w:tcW w:w="1022" w:type="dxa"/>
            <w:gridSpan w:val="3"/>
            <w:tcBorders>
              <w:bottom w:val="single" w:sz="4" w:space="0" w:color="auto"/>
            </w:tcBorders>
            <w:vAlign w:val="bottom"/>
            <w:hideMark/>
          </w:tcPr>
          <w:p w14:paraId="3237BFBA" w14:textId="77777777" w:rsidR="0064038E" w:rsidRPr="009064E0" w:rsidRDefault="0064038E">
            <w:pPr>
              <w:pStyle w:val="ARtablecolheadright"/>
            </w:pPr>
            <w:r w:rsidRPr="009064E0">
              <w:t>2024–25 target</w:t>
            </w:r>
          </w:p>
        </w:tc>
        <w:tc>
          <w:tcPr>
            <w:tcW w:w="1024" w:type="dxa"/>
            <w:tcBorders>
              <w:bottom w:val="single" w:sz="4" w:space="0" w:color="auto"/>
            </w:tcBorders>
            <w:vAlign w:val="bottom"/>
            <w:hideMark/>
          </w:tcPr>
          <w:p w14:paraId="1FC3015D" w14:textId="77777777" w:rsidR="0064038E" w:rsidRPr="009064E0" w:rsidRDefault="0064038E">
            <w:pPr>
              <w:pStyle w:val="ARtablecolheadright"/>
            </w:pPr>
            <w:r w:rsidRPr="009064E0">
              <w:t>2024–25 actual</w:t>
            </w:r>
          </w:p>
        </w:tc>
        <w:tc>
          <w:tcPr>
            <w:tcW w:w="1023" w:type="dxa"/>
            <w:gridSpan w:val="2"/>
            <w:tcBorders>
              <w:bottom w:val="single" w:sz="4" w:space="0" w:color="auto"/>
            </w:tcBorders>
            <w:vAlign w:val="bottom"/>
            <w:hideMark/>
          </w:tcPr>
          <w:p w14:paraId="17180881" w14:textId="77777777" w:rsidR="0064038E" w:rsidRPr="009064E0" w:rsidRDefault="0064038E">
            <w:pPr>
              <w:pStyle w:val="ARtablecolheadright"/>
            </w:pPr>
            <w:r w:rsidRPr="009064E0">
              <w:t xml:space="preserve">Variation </w:t>
            </w:r>
          </w:p>
        </w:tc>
        <w:tc>
          <w:tcPr>
            <w:tcW w:w="808" w:type="dxa"/>
            <w:gridSpan w:val="3"/>
            <w:tcBorders>
              <w:bottom w:val="single" w:sz="4" w:space="0" w:color="auto"/>
            </w:tcBorders>
            <w:vAlign w:val="bottom"/>
            <w:hideMark/>
          </w:tcPr>
          <w:p w14:paraId="100B0DCA" w14:textId="77777777" w:rsidR="0064038E" w:rsidRPr="009064E0" w:rsidRDefault="0064038E">
            <w:pPr>
              <w:pStyle w:val="ARtablecolheadright"/>
            </w:pPr>
            <w:r w:rsidRPr="009064E0">
              <w:t>Result</w:t>
            </w:r>
          </w:p>
        </w:tc>
      </w:tr>
      <w:tr w:rsidR="0064038E" w:rsidRPr="00F07EE7" w14:paraId="6E0404FC" w14:textId="77777777" w:rsidTr="006C102A">
        <w:trPr>
          <w:cantSplit/>
        </w:trPr>
        <w:tc>
          <w:tcPr>
            <w:tcW w:w="9632" w:type="dxa"/>
            <w:gridSpan w:val="12"/>
            <w:tcBorders>
              <w:top w:val="single" w:sz="4" w:space="0" w:color="auto"/>
              <w:left w:val="nil"/>
              <w:bottom w:val="single" w:sz="4" w:space="0" w:color="A6A6A6" w:themeColor="accent5"/>
              <w:right w:val="nil"/>
            </w:tcBorders>
            <w:hideMark/>
          </w:tcPr>
          <w:p w14:paraId="4FDD0B36" w14:textId="77777777" w:rsidR="0064038E" w:rsidRPr="004A665A" w:rsidRDefault="0064038E">
            <w:pPr>
              <w:pStyle w:val="ARtablegreybold"/>
            </w:pPr>
            <w:r w:rsidRPr="004A665A">
              <w:t>Quantity</w:t>
            </w:r>
          </w:p>
        </w:tc>
      </w:tr>
      <w:tr w:rsidR="0064038E" w:rsidRPr="00F07EE7" w14:paraId="65BE16EF" w14:textId="77777777" w:rsidTr="006C102A">
        <w:trPr>
          <w:cantSplit/>
        </w:trPr>
        <w:tc>
          <w:tcPr>
            <w:tcW w:w="4735" w:type="dxa"/>
            <w:gridSpan w:val="2"/>
            <w:tcBorders>
              <w:top w:val="single" w:sz="4" w:space="0" w:color="A6A6A6" w:themeColor="accent5"/>
            </w:tcBorders>
            <w:hideMark/>
          </w:tcPr>
          <w:p w14:paraId="2B4026BE" w14:textId="77777777" w:rsidR="0064038E" w:rsidRPr="004A665A" w:rsidRDefault="0064038E">
            <w:pPr>
              <w:pStyle w:val="ARtabletext"/>
            </w:pPr>
            <w:r w:rsidRPr="004A665A">
              <w:t>Clients receiving forensic disability service</w:t>
            </w:r>
          </w:p>
        </w:tc>
        <w:tc>
          <w:tcPr>
            <w:tcW w:w="1020" w:type="dxa"/>
            <w:tcBorders>
              <w:top w:val="single" w:sz="4" w:space="0" w:color="A6A6A6" w:themeColor="accent5"/>
            </w:tcBorders>
            <w:hideMark/>
          </w:tcPr>
          <w:p w14:paraId="571B0FC7" w14:textId="77777777" w:rsidR="0064038E" w:rsidRPr="004A665A" w:rsidRDefault="0064038E">
            <w:pPr>
              <w:pStyle w:val="ARtabletext"/>
            </w:pPr>
            <w:r>
              <w:t>number</w:t>
            </w:r>
          </w:p>
        </w:tc>
        <w:tc>
          <w:tcPr>
            <w:tcW w:w="1022" w:type="dxa"/>
            <w:gridSpan w:val="3"/>
            <w:tcBorders>
              <w:top w:val="single" w:sz="4" w:space="0" w:color="A6A6A6" w:themeColor="accent5"/>
            </w:tcBorders>
            <w:hideMark/>
          </w:tcPr>
          <w:p w14:paraId="44392D72" w14:textId="77777777" w:rsidR="0064038E" w:rsidRPr="004A665A" w:rsidRDefault="0064038E">
            <w:pPr>
              <w:pStyle w:val="ARtabletextright"/>
            </w:pPr>
            <w:r w:rsidRPr="004A665A">
              <w:t>780</w:t>
            </w:r>
          </w:p>
        </w:tc>
        <w:tc>
          <w:tcPr>
            <w:tcW w:w="1024" w:type="dxa"/>
            <w:tcBorders>
              <w:top w:val="single" w:sz="4" w:space="0" w:color="A6A6A6" w:themeColor="accent5"/>
            </w:tcBorders>
            <w:hideMark/>
          </w:tcPr>
          <w:p w14:paraId="60913452" w14:textId="77777777" w:rsidR="0064038E" w:rsidRPr="004A665A" w:rsidRDefault="0064038E">
            <w:pPr>
              <w:pStyle w:val="ARtabletextright"/>
            </w:pPr>
            <w:r w:rsidRPr="004A665A">
              <w:t>960</w:t>
            </w:r>
          </w:p>
        </w:tc>
        <w:tc>
          <w:tcPr>
            <w:tcW w:w="1029" w:type="dxa"/>
            <w:gridSpan w:val="3"/>
            <w:tcBorders>
              <w:top w:val="single" w:sz="4" w:space="0" w:color="A6A6A6" w:themeColor="accent5"/>
            </w:tcBorders>
          </w:tcPr>
          <w:p w14:paraId="3D9119B0" w14:textId="77777777" w:rsidR="0064038E" w:rsidRPr="004A665A" w:rsidRDefault="0064038E">
            <w:pPr>
              <w:pStyle w:val="ARtabletextright"/>
            </w:pPr>
            <w:r w:rsidRPr="004A665A">
              <w:t>23.1%</w:t>
            </w:r>
          </w:p>
        </w:tc>
        <w:tc>
          <w:tcPr>
            <w:tcW w:w="802" w:type="dxa"/>
            <w:gridSpan w:val="2"/>
            <w:tcBorders>
              <w:top w:val="single" w:sz="4" w:space="0" w:color="A6A6A6" w:themeColor="accent5"/>
            </w:tcBorders>
            <w:hideMark/>
          </w:tcPr>
          <w:p w14:paraId="02933DFF" w14:textId="77777777" w:rsidR="0064038E" w:rsidRPr="004A665A" w:rsidRDefault="0064038E">
            <w:pPr>
              <w:pStyle w:val="ARtableperformancesymbol"/>
              <w:rPr>
                <w:rFonts w:hint="eastAsia"/>
                <w:lang w:val="en-AU"/>
              </w:rPr>
            </w:pPr>
            <w:r w:rsidRPr="004A665A">
              <w:rPr>
                <w:rFonts w:eastAsia="Wingdings" w:cs="Wingdings"/>
              </w:rPr>
              <w:t></w:t>
            </w:r>
          </w:p>
        </w:tc>
      </w:tr>
      <w:tr w:rsidR="0064038E" w:rsidRPr="00F07EE7" w14:paraId="57D82712" w14:textId="77777777" w:rsidTr="006C102A">
        <w:trPr>
          <w:cantSplit/>
        </w:trPr>
        <w:tc>
          <w:tcPr>
            <w:tcW w:w="9632" w:type="dxa"/>
            <w:gridSpan w:val="12"/>
            <w:tcBorders>
              <w:bottom w:val="single" w:sz="4" w:space="0" w:color="auto"/>
            </w:tcBorders>
          </w:tcPr>
          <w:p w14:paraId="4882AA9D" w14:textId="77777777" w:rsidR="0064038E" w:rsidRPr="004A665A" w:rsidRDefault="0064038E" w:rsidP="00130336">
            <w:pPr>
              <w:pStyle w:val="ARtablenoteindent"/>
            </w:pPr>
            <w:r w:rsidRPr="004A665A">
              <w:t>The higher result can be attributed to more clients being serviced due to the Youth Forensic Disability Clinical Service program which commenced in early 2024.</w:t>
            </w:r>
          </w:p>
        </w:tc>
      </w:tr>
      <w:tr w:rsidR="0064038E" w:rsidRPr="00F07EE7" w14:paraId="64CE78A0" w14:textId="77777777" w:rsidTr="006C102A">
        <w:trPr>
          <w:cantSplit/>
        </w:trPr>
        <w:tc>
          <w:tcPr>
            <w:tcW w:w="9632" w:type="dxa"/>
            <w:gridSpan w:val="12"/>
            <w:tcBorders>
              <w:top w:val="single" w:sz="4" w:space="0" w:color="auto"/>
              <w:left w:val="nil"/>
              <w:bottom w:val="single" w:sz="4" w:space="0" w:color="A6A6A6" w:themeColor="accent5"/>
              <w:right w:val="nil"/>
            </w:tcBorders>
            <w:hideMark/>
          </w:tcPr>
          <w:p w14:paraId="1A5FB5CF" w14:textId="77777777" w:rsidR="0064038E" w:rsidRPr="004A665A" w:rsidRDefault="0064038E">
            <w:pPr>
              <w:pStyle w:val="ARtablegreybold"/>
            </w:pPr>
            <w:r w:rsidRPr="004A665A">
              <w:t>Quality</w:t>
            </w:r>
          </w:p>
        </w:tc>
      </w:tr>
      <w:tr w:rsidR="0064038E" w:rsidRPr="00F07EE7" w14:paraId="471116C0" w14:textId="77777777" w:rsidTr="006C102A">
        <w:trPr>
          <w:cantSplit/>
        </w:trPr>
        <w:tc>
          <w:tcPr>
            <w:tcW w:w="4735" w:type="dxa"/>
            <w:gridSpan w:val="2"/>
            <w:tcBorders>
              <w:top w:val="single" w:sz="4" w:space="0" w:color="A6A6A6" w:themeColor="accent5"/>
            </w:tcBorders>
          </w:tcPr>
          <w:p w14:paraId="5FF67554" w14:textId="77777777" w:rsidR="0064038E" w:rsidRPr="004A665A" w:rsidRDefault="0064038E">
            <w:pPr>
              <w:pStyle w:val="ARtabletext"/>
            </w:pPr>
            <w:r w:rsidRPr="004A665A">
              <w:t>Forensic disability residents participating in community reintegration activities</w:t>
            </w:r>
          </w:p>
        </w:tc>
        <w:tc>
          <w:tcPr>
            <w:tcW w:w="1020" w:type="dxa"/>
            <w:tcBorders>
              <w:top w:val="single" w:sz="4" w:space="0" w:color="A6A6A6" w:themeColor="accent5"/>
            </w:tcBorders>
          </w:tcPr>
          <w:p w14:paraId="0D00043D" w14:textId="77777777" w:rsidR="0064038E" w:rsidRPr="004A665A" w:rsidRDefault="0064038E">
            <w:pPr>
              <w:pStyle w:val="ARtabletext"/>
            </w:pPr>
            <w:r>
              <w:t>per cent</w:t>
            </w:r>
          </w:p>
        </w:tc>
        <w:tc>
          <w:tcPr>
            <w:tcW w:w="1022" w:type="dxa"/>
            <w:gridSpan w:val="3"/>
            <w:tcBorders>
              <w:top w:val="single" w:sz="4" w:space="0" w:color="A6A6A6" w:themeColor="accent5"/>
            </w:tcBorders>
          </w:tcPr>
          <w:p w14:paraId="54AF6124" w14:textId="77777777" w:rsidR="0064038E" w:rsidRPr="004A665A" w:rsidRDefault="0064038E">
            <w:pPr>
              <w:pStyle w:val="ARtabletextright"/>
            </w:pPr>
            <w:r w:rsidRPr="004A665A">
              <w:t>90.0</w:t>
            </w:r>
          </w:p>
        </w:tc>
        <w:tc>
          <w:tcPr>
            <w:tcW w:w="1024" w:type="dxa"/>
            <w:tcBorders>
              <w:top w:val="single" w:sz="4" w:space="0" w:color="A6A6A6" w:themeColor="accent5"/>
            </w:tcBorders>
          </w:tcPr>
          <w:p w14:paraId="672E78C5" w14:textId="77777777" w:rsidR="0064038E" w:rsidRPr="004A665A" w:rsidRDefault="0064038E">
            <w:pPr>
              <w:pStyle w:val="ARtabletextright"/>
            </w:pPr>
            <w:r w:rsidRPr="004A665A">
              <w:t>97.0</w:t>
            </w:r>
          </w:p>
        </w:tc>
        <w:tc>
          <w:tcPr>
            <w:tcW w:w="1029" w:type="dxa"/>
            <w:gridSpan w:val="3"/>
            <w:tcBorders>
              <w:top w:val="single" w:sz="4" w:space="0" w:color="A6A6A6" w:themeColor="accent5"/>
            </w:tcBorders>
          </w:tcPr>
          <w:p w14:paraId="7CDBFD79" w14:textId="77777777" w:rsidR="0064038E" w:rsidRPr="004A665A" w:rsidRDefault="0064038E">
            <w:pPr>
              <w:pStyle w:val="ARtabletextright"/>
            </w:pPr>
            <w:r w:rsidRPr="004A665A">
              <w:t>7.8%</w:t>
            </w:r>
          </w:p>
        </w:tc>
        <w:tc>
          <w:tcPr>
            <w:tcW w:w="802" w:type="dxa"/>
            <w:gridSpan w:val="2"/>
            <w:tcBorders>
              <w:top w:val="single" w:sz="4" w:space="0" w:color="A6A6A6" w:themeColor="accent5"/>
            </w:tcBorders>
          </w:tcPr>
          <w:p w14:paraId="1E97F7FB" w14:textId="77777777" w:rsidR="0064038E" w:rsidRPr="004A665A" w:rsidRDefault="0064038E">
            <w:pPr>
              <w:pStyle w:val="ARtableperformancesymbol"/>
              <w:rPr>
                <w:rFonts w:eastAsia="Wingdings" w:cs="Wingdings"/>
                <w:lang w:val="en-AU"/>
              </w:rPr>
            </w:pPr>
            <w:r w:rsidRPr="004A665A">
              <w:rPr>
                <w:rFonts w:eastAsia="Wingdings" w:cs="Wingdings"/>
              </w:rPr>
              <w:t></w:t>
            </w:r>
          </w:p>
        </w:tc>
      </w:tr>
      <w:tr w:rsidR="0064038E" w:rsidRPr="00F07EE7" w14:paraId="789EB161" w14:textId="77777777" w:rsidTr="006C102A">
        <w:trPr>
          <w:cantSplit/>
        </w:trPr>
        <w:tc>
          <w:tcPr>
            <w:tcW w:w="9632" w:type="dxa"/>
            <w:gridSpan w:val="12"/>
            <w:tcBorders>
              <w:bottom w:val="single" w:sz="4" w:space="0" w:color="auto"/>
            </w:tcBorders>
          </w:tcPr>
          <w:p w14:paraId="75A290EC" w14:textId="77777777" w:rsidR="0064038E" w:rsidRPr="00F07EE7" w:rsidRDefault="0064038E" w:rsidP="00130336">
            <w:pPr>
              <w:pStyle w:val="ARtablenoteindent"/>
              <w:rPr>
                <w:highlight w:val="cyan"/>
              </w:rPr>
            </w:pPr>
            <w:r w:rsidRPr="004A665A">
              <w:t xml:space="preserve">The higher result can </w:t>
            </w:r>
            <w:r w:rsidRPr="00130336">
              <w:t>be</w:t>
            </w:r>
            <w:r w:rsidRPr="004A665A">
              <w:t xml:space="preserve"> attributed to the number of residents now having funding through NDIS to enable access to reintegration opportunities.</w:t>
            </w:r>
          </w:p>
        </w:tc>
      </w:tr>
      <w:tr w:rsidR="0064038E" w:rsidRPr="00F07EE7" w14:paraId="778F3539" w14:textId="77777777" w:rsidTr="006C102A">
        <w:trPr>
          <w:cantSplit/>
        </w:trPr>
        <w:tc>
          <w:tcPr>
            <w:tcW w:w="9632" w:type="dxa"/>
            <w:gridSpan w:val="12"/>
            <w:tcBorders>
              <w:top w:val="single" w:sz="4" w:space="0" w:color="auto"/>
              <w:left w:val="nil"/>
              <w:bottom w:val="single" w:sz="4" w:space="0" w:color="A6A6A6" w:themeColor="accent5"/>
              <w:right w:val="nil"/>
            </w:tcBorders>
            <w:hideMark/>
          </w:tcPr>
          <w:p w14:paraId="7B07DBFB" w14:textId="77777777" w:rsidR="0064038E" w:rsidRPr="00E84BA4" w:rsidRDefault="0064038E">
            <w:pPr>
              <w:pStyle w:val="ARtablegreybold"/>
            </w:pPr>
            <w:r w:rsidRPr="00E84BA4">
              <w:t>Timeliness</w:t>
            </w:r>
          </w:p>
        </w:tc>
      </w:tr>
      <w:tr w:rsidR="0064038E" w:rsidRPr="00C36917" w14:paraId="40961684" w14:textId="77777777" w:rsidTr="006C102A">
        <w:trPr>
          <w:cantSplit/>
        </w:trPr>
        <w:tc>
          <w:tcPr>
            <w:tcW w:w="4678" w:type="dxa"/>
            <w:tcBorders>
              <w:top w:val="single" w:sz="4" w:space="0" w:color="A6A6A6" w:themeColor="accent5"/>
            </w:tcBorders>
            <w:noWrap/>
          </w:tcPr>
          <w:p w14:paraId="4BF9D473" w14:textId="7CE0D431" w:rsidR="0064038E" w:rsidRPr="00C36917" w:rsidRDefault="0064038E">
            <w:pPr>
              <w:pStyle w:val="ARtabletext"/>
            </w:pPr>
            <w:r w:rsidRPr="00C36917">
              <w:t>Registration applications processed within statutory</w:t>
            </w:r>
            <w:r w:rsidR="00E835B0">
              <w:t> </w:t>
            </w:r>
            <w:r w:rsidRPr="00C36917">
              <w:t xml:space="preserve">timelines. </w:t>
            </w:r>
          </w:p>
        </w:tc>
        <w:tc>
          <w:tcPr>
            <w:tcW w:w="1147" w:type="dxa"/>
            <w:gridSpan w:val="3"/>
            <w:tcBorders>
              <w:top w:val="single" w:sz="4" w:space="0" w:color="A6A6A6" w:themeColor="accent5"/>
            </w:tcBorders>
          </w:tcPr>
          <w:p w14:paraId="4A582CA6" w14:textId="77777777" w:rsidR="0064038E" w:rsidRPr="00C36917" w:rsidRDefault="0064038E">
            <w:pPr>
              <w:pStyle w:val="ARtabletextright"/>
              <w:jc w:val="left"/>
            </w:pPr>
            <w:r>
              <w:t>per cent</w:t>
            </w:r>
          </w:p>
        </w:tc>
        <w:tc>
          <w:tcPr>
            <w:tcW w:w="874" w:type="dxa"/>
            <w:tcBorders>
              <w:top w:val="single" w:sz="4" w:space="0" w:color="A6A6A6" w:themeColor="accent5"/>
            </w:tcBorders>
          </w:tcPr>
          <w:p w14:paraId="33B5B339" w14:textId="77777777" w:rsidR="0064038E" w:rsidRPr="00C36917" w:rsidRDefault="0064038E">
            <w:pPr>
              <w:pStyle w:val="ARtabletextright"/>
            </w:pPr>
            <w:r w:rsidRPr="00C36917">
              <w:t>70</w:t>
            </w:r>
          </w:p>
        </w:tc>
        <w:tc>
          <w:tcPr>
            <w:tcW w:w="1165" w:type="dxa"/>
            <w:gridSpan w:val="3"/>
            <w:tcBorders>
              <w:top w:val="single" w:sz="4" w:space="0" w:color="A6A6A6" w:themeColor="accent5"/>
            </w:tcBorders>
          </w:tcPr>
          <w:p w14:paraId="5CA96028" w14:textId="77777777" w:rsidR="0064038E" w:rsidRPr="00C36917" w:rsidRDefault="0064038E">
            <w:pPr>
              <w:pStyle w:val="ARtabletextright"/>
            </w:pPr>
            <w:r w:rsidRPr="00C36917">
              <w:t>98</w:t>
            </w:r>
          </w:p>
        </w:tc>
        <w:tc>
          <w:tcPr>
            <w:tcW w:w="1020" w:type="dxa"/>
            <w:gridSpan w:val="3"/>
            <w:tcBorders>
              <w:top w:val="single" w:sz="4" w:space="0" w:color="A6A6A6" w:themeColor="accent5"/>
            </w:tcBorders>
          </w:tcPr>
          <w:p w14:paraId="68DABF30" w14:textId="77777777" w:rsidR="0064038E" w:rsidRPr="00C36917" w:rsidRDefault="0064038E">
            <w:pPr>
              <w:pStyle w:val="ARtabletextright"/>
            </w:pPr>
            <w:r w:rsidRPr="00C36917">
              <w:t>40.0%</w:t>
            </w:r>
          </w:p>
        </w:tc>
        <w:tc>
          <w:tcPr>
            <w:tcW w:w="748" w:type="dxa"/>
            <w:tcBorders>
              <w:top w:val="single" w:sz="4" w:space="0" w:color="A6A6A6" w:themeColor="accent5"/>
            </w:tcBorders>
          </w:tcPr>
          <w:p w14:paraId="2AE57A6B" w14:textId="77777777" w:rsidR="0064038E" w:rsidRPr="00C36917" w:rsidRDefault="0064038E">
            <w:pPr>
              <w:pStyle w:val="ARtabletext"/>
              <w:jc w:val="right"/>
              <w:rPr>
                <w:rFonts w:ascii="Wingdings" w:hAnsi="Wingdings"/>
              </w:rPr>
            </w:pPr>
            <w:r w:rsidRPr="00C36917">
              <w:rPr>
                <w:rFonts w:ascii="Wingdings" w:eastAsia="Wingdings" w:hAnsi="Wingdings" w:cs="Wingdings"/>
              </w:rPr>
              <w:t></w:t>
            </w:r>
          </w:p>
        </w:tc>
      </w:tr>
      <w:tr w:rsidR="0064038E" w:rsidRPr="00C36917" w14:paraId="399F9BD6" w14:textId="77777777">
        <w:trPr>
          <w:cantSplit/>
        </w:trPr>
        <w:tc>
          <w:tcPr>
            <w:tcW w:w="9632" w:type="dxa"/>
            <w:gridSpan w:val="12"/>
            <w:tcBorders>
              <w:bottom w:val="single" w:sz="4" w:space="0" w:color="BFBFBF"/>
            </w:tcBorders>
            <w:noWrap/>
          </w:tcPr>
          <w:p w14:paraId="58EA8FE8" w14:textId="6366B736" w:rsidR="0064038E" w:rsidRPr="00C36917" w:rsidRDefault="0049540B" w:rsidP="00130336">
            <w:pPr>
              <w:pStyle w:val="ARtablenoteindent"/>
            </w:pPr>
            <w:r>
              <w:t>E</w:t>
            </w:r>
            <w:r w:rsidRPr="00837761">
              <w:t xml:space="preserve">xtensive engagement with providers prior to </w:t>
            </w:r>
            <w:r>
              <w:t>an application</w:t>
            </w:r>
            <w:r w:rsidRPr="00837761">
              <w:t xml:space="preserve"> assessment commencing has enabled a significant number of registration applications to be processed within statutory timelines in </w:t>
            </w:r>
            <w:r>
              <w:t>2024</w:t>
            </w:r>
            <w:r w:rsidR="00DD4949">
              <w:t>–</w:t>
            </w:r>
            <w:r>
              <w:t>25</w:t>
            </w:r>
            <w:r w:rsidRPr="00837761">
              <w:t xml:space="preserve">. </w:t>
            </w:r>
            <w:r>
              <w:t>Fixed-term resourcing ending in 2025</w:t>
            </w:r>
            <w:r w:rsidR="00DD4949">
              <w:t>–</w:t>
            </w:r>
            <w:r>
              <w:t xml:space="preserve">26 </w:t>
            </w:r>
            <w:r w:rsidRPr="00837761">
              <w:t>will impact the SSR’s capacity to maintain high level</w:t>
            </w:r>
            <w:r>
              <w:t>s</w:t>
            </w:r>
            <w:r w:rsidRPr="00837761">
              <w:t xml:space="preserve"> of engagement </w:t>
            </w:r>
            <w:r>
              <w:t xml:space="preserve">with </w:t>
            </w:r>
            <w:r w:rsidRPr="00837761">
              <w:t>providers</w:t>
            </w:r>
            <w:r>
              <w:t>, which may impact</w:t>
            </w:r>
            <w:r w:rsidRPr="00837761">
              <w:t xml:space="preserve"> </w:t>
            </w:r>
            <w:r>
              <w:t>capacity to sustain these</w:t>
            </w:r>
            <w:r w:rsidR="00332390">
              <w:t> </w:t>
            </w:r>
            <w:r w:rsidRPr="00837761">
              <w:t>outcomes.</w:t>
            </w:r>
          </w:p>
        </w:tc>
      </w:tr>
      <w:tr w:rsidR="0064038E" w:rsidRPr="00F07EE7" w14:paraId="46113DF4" w14:textId="77777777">
        <w:trPr>
          <w:cantSplit/>
        </w:trPr>
        <w:tc>
          <w:tcPr>
            <w:tcW w:w="4678" w:type="dxa"/>
            <w:noWrap/>
          </w:tcPr>
          <w:p w14:paraId="3B2A3171" w14:textId="77777777" w:rsidR="0064038E" w:rsidRPr="00C36917" w:rsidRDefault="0064038E" w:rsidP="008149F0">
            <w:pPr>
              <w:pStyle w:val="ARtabletext"/>
            </w:pPr>
            <w:r w:rsidRPr="00C36917">
              <w:t xml:space="preserve">Social Service Providers satisfaction with education and guidance provided by the Social Services Regulator. </w:t>
            </w:r>
          </w:p>
        </w:tc>
        <w:tc>
          <w:tcPr>
            <w:tcW w:w="1147" w:type="dxa"/>
            <w:gridSpan w:val="3"/>
          </w:tcPr>
          <w:p w14:paraId="5CB78794" w14:textId="77777777" w:rsidR="0064038E" w:rsidRPr="00C36917" w:rsidRDefault="0064038E">
            <w:pPr>
              <w:pStyle w:val="ARtabletextright"/>
              <w:jc w:val="center"/>
            </w:pPr>
            <w:r>
              <w:t>per cent</w:t>
            </w:r>
          </w:p>
        </w:tc>
        <w:tc>
          <w:tcPr>
            <w:tcW w:w="874" w:type="dxa"/>
          </w:tcPr>
          <w:p w14:paraId="07D91634" w14:textId="77777777" w:rsidR="0064038E" w:rsidRPr="00C36917" w:rsidRDefault="0064038E">
            <w:pPr>
              <w:pStyle w:val="ARtabletextright"/>
            </w:pPr>
            <w:r w:rsidRPr="00C36917">
              <w:t>75</w:t>
            </w:r>
          </w:p>
        </w:tc>
        <w:tc>
          <w:tcPr>
            <w:tcW w:w="1165" w:type="dxa"/>
            <w:gridSpan w:val="3"/>
          </w:tcPr>
          <w:p w14:paraId="2E358FC6" w14:textId="77777777" w:rsidR="0064038E" w:rsidRPr="00C36917" w:rsidRDefault="0064038E">
            <w:pPr>
              <w:pStyle w:val="ARtabletextright"/>
            </w:pPr>
            <w:r w:rsidRPr="00C36917">
              <w:t>88</w:t>
            </w:r>
          </w:p>
        </w:tc>
        <w:tc>
          <w:tcPr>
            <w:tcW w:w="1020" w:type="dxa"/>
            <w:gridSpan w:val="3"/>
          </w:tcPr>
          <w:p w14:paraId="57D97253" w14:textId="77777777" w:rsidR="0064038E" w:rsidRPr="00C36917" w:rsidRDefault="0064038E">
            <w:pPr>
              <w:pStyle w:val="ARtabletextright"/>
            </w:pPr>
            <w:r w:rsidRPr="00C36917">
              <w:t>17.3%</w:t>
            </w:r>
          </w:p>
        </w:tc>
        <w:tc>
          <w:tcPr>
            <w:tcW w:w="748" w:type="dxa"/>
          </w:tcPr>
          <w:p w14:paraId="4C03BA5C" w14:textId="77777777" w:rsidR="0064038E" w:rsidRPr="00C36917" w:rsidRDefault="0064038E">
            <w:pPr>
              <w:pStyle w:val="ARtabletext"/>
              <w:jc w:val="right"/>
              <w:rPr>
                <w:rFonts w:ascii="Wingdings" w:hAnsi="Wingdings"/>
              </w:rPr>
            </w:pPr>
            <w:r w:rsidRPr="00C36917">
              <w:rPr>
                <w:rFonts w:ascii="Wingdings" w:eastAsia="Wingdings" w:hAnsi="Wingdings" w:cs="Wingdings"/>
              </w:rPr>
              <w:t></w:t>
            </w:r>
          </w:p>
        </w:tc>
      </w:tr>
      <w:tr w:rsidR="0064038E" w:rsidRPr="00F07EE7" w14:paraId="118ED0CD" w14:textId="77777777">
        <w:trPr>
          <w:cantSplit/>
        </w:trPr>
        <w:tc>
          <w:tcPr>
            <w:tcW w:w="9632" w:type="dxa"/>
            <w:gridSpan w:val="12"/>
            <w:tcBorders>
              <w:bottom w:val="single" w:sz="4" w:space="0" w:color="BFBFBF"/>
            </w:tcBorders>
            <w:noWrap/>
          </w:tcPr>
          <w:p w14:paraId="1E828E03" w14:textId="691D4ABF" w:rsidR="0064038E" w:rsidRPr="00F07EE7" w:rsidRDefault="00CA4F89" w:rsidP="00130336">
            <w:pPr>
              <w:pStyle w:val="ARtablenoteindent"/>
              <w:rPr>
                <w:highlight w:val="cyan"/>
              </w:rPr>
            </w:pPr>
            <w:r w:rsidRPr="00042CAF">
              <w:t>Social Service Providers reported satisfaction with the education and guidance provided by the SSR, as reflected in responses to the SSR Annual survey. Not all categories of providers were registered at the time of the annual survey and were therefore not included in the 2024</w:t>
            </w:r>
            <w:r>
              <w:t>–</w:t>
            </w:r>
            <w:r w:rsidRPr="00042CAF">
              <w:t>25 sample. The number of registered providers is expected to significantly increase in the 2025</w:t>
            </w:r>
            <w:r>
              <w:t>–</w:t>
            </w:r>
            <w:r w:rsidRPr="00042CAF">
              <w:t>26, which will offer a more comprehensive picture.</w:t>
            </w:r>
          </w:p>
        </w:tc>
      </w:tr>
      <w:tr w:rsidR="0064038E" w:rsidRPr="00F07EE7" w14:paraId="02DEC58B" w14:textId="77777777" w:rsidTr="00026B51">
        <w:trPr>
          <w:cantSplit/>
        </w:trPr>
        <w:tc>
          <w:tcPr>
            <w:tcW w:w="4678" w:type="dxa"/>
            <w:tcBorders>
              <w:bottom w:val="single" w:sz="4" w:space="0" w:color="auto"/>
            </w:tcBorders>
            <w:noWrap/>
          </w:tcPr>
          <w:p w14:paraId="2EECF56E" w14:textId="77777777" w:rsidR="0064038E" w:rsidRPr="009E61F4" w:rsidRDefault="0064038E">
            <w:pPr>
              <w:pStyle w:val="ARtabletext"/>
            </w:pPr>
            <w:r w:rsidRPr="009E61F4">
              <w:t>Forensic disability Target Group Assessments completed within six weeks</w:t>
            </w:r>
          </w:p>
        </w:tc>
        <w:tc>
          <w:tcPr>
            <w:tcW w:w="1147" w:type="dxa"/>
            <w:gridSpan w:val="3"/>
            <w:tcBorders>
              <w:bottom w:val="single" w:sz="4" w:space="0" w:color="auto"/>
            </w:tcBorders>
          </w:tcPr>
          <w:p w14:paraId="53905633" w14:textId="77777777" w:rsidR="0064038E" w:rsidRPr="009E61F4" w:rsidRDefault="0064038E">
            <w:pPr>
              <w:pStyle w:val="ARtabletextright"/>
              <w:jc w:val="center"/>
            </w:pPr>
            <w:r>
              <w:t>per cent</w:t>
            </w:r>
          </w:p>
        </w:tc>
        <w:tc>
          <w:tcPr>
            <w:tcW w:w="874" w:type="dxa"/>
            <w:tcBorders>
              <w:bottom w:val="single" w:sz="4" w:space="0" w:color="auto"/>
            </w:tcBorders>
          </w:tcPr>
          <w:p w14:paraId="6347C92D" w14:textId="77777777" w:rsidR="0064038E" w:rsidRPr="009E61F4" w:rsidRDefault="0064038E">
            <w:pPr>
              <w:pStyle w:val="ARtabletextright"/>
            </w:pPr>
            <w:r w:rsidRPr="009E61F4">
              <w:t>85</w:t>
            </w:r>
          </w:p>
        </w:tc>
        <w:tc>
          <w:tcPr>
            <w:tcW w:w="1165" w:type="dxa"/>
            <w:gridSpan w:val="3"/>
            <w:tcBorders>
              <w:bottom w:val="single" w:sz="4" w:space="0" w:color="auto"/>
            </w:tcBorders>
          </w:tcPr>
          <w:p w14:paraId="53FDBDB4" w14:textId="77777777" w:rsidR="0064038E" w:rsidRPr="009E61F4" w:rsidRDefault="0064038E">
            <w:pPr>
              <w:pStyle w:val="ARtabletextright"/>
            </w:pPr>
            <w:r w:rsidRPr="009E61F4">
              <w:t>89</w:t>
            </w:r>
          </w:p>
        </w:tc>
        <w:tc>
          <w:tcPr>
            <w:tcW w:w="1020" w:type="dxa"/>
            <w:gridSpan w:val="3"/>
            <w:tcBorders>
              <w:bottom w:val="single" w:sz="4" w:space="0" w:color="auto"/>
            </w:tcBorders>
          </w:tcPr>
          <w:p w14:paraId="486393FB" w14:textId="77777777" w:rsidR="0064038E" w:rsidRPr="009E61F4" w:rsidRDefault="0064038E">
            <w:pPr>
              <w:pStyle w:val="ARtabletextright"/>
            </w:pPr>
            <w:r w:rsidRPr="009E61F4">
              <w:t>4.7%</w:t>
            </w:r>
          </w:p>
        </w:tc>
        <w:tc>
          <w:tcPr>
            <w:tcW w:w="748" w:type="dxa"/>
            <w:tcBorders>
              <w:bottom w:val="single" w:sz="4" w:space="0" w:color="auto"/>
            </w:tcBorders>
          </w:tcPr>
          <w:p w14:paraId="2F30EC1C" w14:textId="77777777" w:rsidR="0064038E" w:rsidRPr="009E61F4" w:rsidRDefault="0064038E">
            <w:pPr>
              <w:pStyle w:val="ARtabletext"/>
              <w:jc w:val="right"/>
              <w:rPr>
                <w:rFonts w:ascii="Wingdings" w:hAnsi="Wingdings"/>
              </w:rPr>
            </w:pPr>
            <w:r w:rsidRPr="009E61F4">
              <w:rPr>
                <w:rFonts w:ascii="Wingdings" w:eastAsia="Wingdings" w:hAnsi="Wingdings" w:cs="Wingdings"/>
              </w:rPr>
              <w:t></w:t>
            </w:r>
          </w:p>
        </w:tc>
      </w:tr>
      <w:tr w:rsidR="0064038E" w:rsidRPr="00F07EE7" w14:paraId="229327D8" w14:textId="77777777" w:rsidTr="00026B51">
        <w:trPr>
          <w:cantSplit/>
        </w:trPr>
        <w:tc>
          <w:tcPr>
            <w:tcW w:w="9632" w:type="dxa"/>
            <w:gridSpan w:val="12"/>
            <w:tcBorders>
              <w:top w:val="single" w:sz="4" w:space="0" w:color="auto"/>
              <w:left w:val="nil"/>
              <w:bottom w:val="single" w:sz="4" w:space="0" w:color="000000" w:themeColor="text1"/>
              <w:right w:val="nil"/>
            </w:tcBorders>
            <w:hideMark/>
          </w:tcPr>
          <w:p w14:paraId="374D1108" w14:textId="77777777" w:rsidR="0064038E" w:rsidRPr="00E84BA4" w:rsidRDefault="0064038E">
            <w:pPr>
              <w:pStyle w:val="ARtablegreybold"/>
            </w:pPr>
            <w:r w:rsidRPr="00E84BA4">
              <w:t>Cost</w:t>
            </w:r>
          </w:p>
        </w:tc>
      </w:tr>
      <w:tr w:rsidR="0064038E" w:rsidRPr="00F07EE7" w14:paraId="16561663" w14:textId="77777777" w:rsidTr="00026B51">
        <w:trPr>
          <w:cantSplit/>
        </w:trPr>
        <w:tc>
          <w:tcPr>
            <w:tcW w:w="4735" w:type="dxa"/>
            <w:gridSpan w:val="2"/>
            <w:tcBorders>
              <w:top w:val="single" w:sz="4" w:space="0" w:color="000000" w:themeColor="text1"/>
              <w:bottom w:val="single" w:sz="4" w:space="0" w:color="auto"/>
            </w:tcBorders>
            <w:hideMark/>
          </w:tcPr>
          <w:p w14:paraId="026C3BF9" w14:textId="77777777" w:rsidR="0064038E" w:rsidRPr="00F07EE7" w:rsidRDefault="0064038E">
            <w:pPr>
              <w:pStyle w:val="ARtabletextbold"/>
              <w:rPr>
                <w:highlight w:val="cyan"/>
              </w:rPr>
            </w:pPr>
            <w:r w:rsidRPr="0047559E">
              <w:t>Total output cost</w:t>
            </w:r>
          </w:p>
        </w:tc>
        <w:tc>
          <w:tcPr>
            <w:tcW w:w="1020" w:type="dxa"/>
            <w:tcBorders>
              <w:top w:val="single" w:sz="4" w:space="0" w:color="000000" w:themeColor="text1"/>
              <w:bottom w:val="single" w:sz="4" w:space="0" w:color="auto"/>
            </w:tcBorders>
            <w:hideMark/>
          </w:tcPr>
          <w:p w14:paraId="0D458345" w14:textId="77777777" w:rsidR="0064038E" w:rsidRPr="00F07EE7" w:rsidRDefault="0064038E">
            <w:pPr>
              <w:pStyle w:val="ARtabletextbold"/>
              <w:rPr>
                <w:highlight w:val="cyan"/>
              </w:rPr>
            </w:pPr>
            <w:r>
              <w:t>$ million</w:t>
            </w:r>
          </w:p>
        </w:tc>
        <w:tc>
          <w:tcPr>
            <w:tcW w:w="1022" w:type="dxa"/>
            <w:gridSpan w:val="3"/>
            <w:tcBorders>
              <w:top w:val="single" w:sz="4" w:space="0" w:color="000000" w:themeColor="text1"/>
              <w:bottom w:val="single" w:sz="4" w:space="0" w:color="auto"/>
            </w:tcBorders>
          </w:tcPr>
          <w:p w14:paraId="3EC9B04E" w14:textId="77777777" w:rsidR="0064038E" w:rsidRPr="00F07EE7" w:rsidRDefault="0064038E">
            <w:pPr>
              <w:pStyle w:val="ARtabletextrightbold"/>
              <w:rPr>
                <w:highlight w:val="cyan"/>
              </w:rPr>
            </w:pPr>
            <w:r w:rsidRPr="0047559E">
              <w:t>440.7</w:t>
            </w:r>
          </w:p>
        </w:tc>
        <w:tc>
          <w:tcPr>
            <w:tcW w:w="1024" w:type="dxa"/>
            <w:tcBorders>
              <w:top w:val="single" w:sz="4" w:space="0" w:color="000000" w:themeColor="text1"/>
              <w:bottom w:val="single" w:sz="4" w:space="0" w:color="auto"/>
            </w:tcBorders>
          </w:tcPr>
          <w:p w14:paraId="5A7D80AF" w14:textId="77777777" w:rsidR="0064038E" w:rsidRPr="00F07EE7" w:rsidRDefault="0064038E">
            <w:pPr>
              <w:pStyle w:val="ARtabletextrightbold"/>
              <w:rPr>
                <w:highlight w:val="cyan"/>
              </w:rPr>
            </w:pPr>
            <w:r w:rsidRPr="0047559E">
              <w:t>459.5</w:t>
            </w:r>
          </w:p>
        </w:tc>
        <w:tc>
          <w:tcPr>
            <w:tcW w:w="1029" w:type="dxa"/>
            <w:gridSpan w:val="3"/>
            <w:tcBorders>
              <w:top w:val="single" w:sz="4" w:space="0" w:color="000000" w:themeColor="text1"/>
              <w:bottom w:val="single" w:sz="4" w:space="0" w:color="auto"/>
            </w:tcBorders>
          </w:tcPr>
          <w:p w14:paraId="1BBE9AC2" w14:textId="77777777" w:rsidR="0064038E" w:rsidRPr="00F07EE7" w:rsidRDefault="0064038E">
            <w:pPr>
              <w:pStyle w:val="ARtabletextrightbold"/>
              <w:rPr>
                <w:highlight w:val="cyan"/>
              </w:rPr>
            </w:pPr>
            <w:r w:rsidRPr="0011597D">
              <w:t>4.3%</w:t>
            </w:r>
          </w:p>
        </w:tc>
        <w:tc>
          <w:tcPr>
            <w:tcW w:w="802" w:type="dxa"/>
            <w:gridSpan w:val="2"/>
            <w:tcBorders>
              <w:top w:val="single" w:sz="4" w:space="0" w:color="000000" w:themeColor="text1"/>
              <w:bottom w:val="single" w:sz="4" w:space="0" w:color="auto"/>
            </w:tcBorders>
          </w:tcPr>
          <w:p w14:paraId="7A43CE81" w14:textId="77777777" w:rsidR="0064038E" w:rsidRPr="00F07EE7" w:rsidRDefault="0064038E">
            <w:pPr>
              <w:pStyle w:val="ARtableperformancesymbol"/>
              <w:rPr>
                <w:rFonts w:hint="eastAsia"/>
                <w:b/>
                <w:highlight w:val="cyan"/>
              </w:rPr>
            </w:pPr>
            <w:r w:rsidRPr="009E61F4">
              <w:rPr>
                <w:rFonts w:eastAsia="Wingdings" w:cs="Wingdings"/>
              </w:rPr>
              <w:t></w:t>
            </w:r>
          </w:p>
        </w:tc>
      </w:tr>
    </w:tbl>
    <w:p w14:paraId="494C5CED" w14:textId="77777777" w:rsidR="008149F0" w:rsidRDefault="008149F0" w:rsidP="00130336">
      <w:pPr>
        <w:pStyle w:val="ARbody"/>
      </w:pPr>
      <w:r>
        <w:br w:type="page"/>
      </w:r>
    </w:p>
    <w:p w14:paraId="100FA046" w14:textId="3F864FCE" w:rsidR="0064038E" w:rsidRPr="0011597D" w:rsidRDefault="0064038E">
      <w:pPr>
        <w:pStyle w:val="Heading3"/>
      </w:pPr>
      <w:r w:rsidRPr="0011597D">
        <w:lastRenderedPageBreak/>
        <w:t>Office for Disability</w:t>
      </w:r>
    </w:p>
    <w:p w14:paraId="42844D02" w14:textId="41247D7D" w:rsidR="0064038E" w:rsidRPr="00F07EE7" w:rsidRDefault="0064038E">
      <w:pPr>
        <w:pStyle w:val="ARbodybeforetable"/>
        <w:rPr>
          <w:highlight w:val="cyan"/>
        </w:rPr>
      </w:pPr>
      <w:r>
        <w:t>The Office for Disability leads and coordinates whole-of-government policy, disability action planning and funding. It also supports disability advocacy and self-advocacy organisations so that people with disability experience reduced disadvantage, can fully participate in the community and have their rights upheld.</w:t>
      </w:r>
    </w:p>
    <w:tbl>
      <w:tblPr>
        <w:tblW w:w="5000" w:type="pct"/>
        <w:tblLayout w:type="fixed"/>
        <w:tblCellMar>
          <w:left w:w="0" w:type="dxa"/>
        </w:tblCellMar>
        <w:tblLook w:val="06A0" w:firstRow="1" w:lastRow="0" w:firstColumn="1" w:lastColumn="0" w:noHBand="1" w:noVBand="1"/>
      </w:tblPr>
      <w:tblGrid>
        <w:gridCol w:w="4738"/>
        <w:gridCol w:w="1018"/>
        <w:gridCol w:w="1019"/>
        <w:gridCol w:w="1025"/>
        <w:gridCol w:w="1028"/>
        <w:gridCol w:w="796"/>
        <w:gridCol w:w="8"/>
      </w:tblGrid>
      <w:tr w:rsidR="0064038E" w:rsidRPr="00F07EE7" w14:paraId="00934871" w14:textId="77777777" w:rsidTr="006C102A">
        <w:trPr>
          <w:cantSplit/>
          <w:tblHeader/>
        </w:trPr>
        <w:tc>
          <w:tcPr>
            <w:tcW w:w="4738" w:type="dxa"/>
            <w:tcBorders>
              <w:top w:val="nil"/>
              <w:left w:val="nil"/>
              <w:bottom w:val="single" w:sz="4" w:space="0" w:color="auto"/>
              <w:right w:val="nil"/>
            </w:tcBorders>
            <w:vAlign w:val="bottom"/>
            <w:hideMark/>
          </w:tcPr>
          <w:p w14:paraId="688B2CAD" w14:textId="77777777" w:rsidR="0064038E" w:rsidRPr="00F07EE7" w:rsidRDefault="0064038E">
            <w:pPr>
              <w:pStyle w:val="ARtablecolhead"/>
              <w:rPr>
                <w:highlight w:val="cyan"/>
              </w:rPr>
            </w:pPr>
            <w:r w:rsidRPr="009064E0">
              <w:t>Performance measures</w:t>
            </w:r>
          </w:p>
        </w:tc>
        <w:tc>
          <w:tcPr>
            <w:tcW w:w="1018" w:type="dxa"/>
            <w:tcBorders>
              <w:top w:val="nil"/>
              <w:left w:val="nil"/>
              <w:bottom w:val="single" w:sz="4" w:space="0" w:color="auto"/>
              <w:right w:val="nil"/>
            </w:tcBorders>
            <w:vAlign w:val="bottom"/>
            <w:hideMark/>
          </w:tcPr>
          <w:p w14:paraId="3E3DD8B7" w14:textId="77777777" w:rsidR="0064038E" w:rsidRPr="00F07EE7" w:rsidRDefault="0064038E">
            <w:pPr>
              <w:pStyle w:val="ARtablecolhead"/>
              <w:rPr>
                <w:highlight w:val="cyan"/>
              </w:rPr>
            </w:pPr>
            <w:r w:rsidRPr="009064E0">
              <w:t>Unit of measure</w:t>
            </w:r>
          </w:p>
        </w:tc>
        <w:tc>
          <w:tcPr>
            <w:tcW w:w="1019" w:type="dxa"/>
            <w:tcBorders>
              <w:top w:val="nil"/>
              <w:left w:val="nil"/>
              <w:bottom w:val="single" w:sz="4" w:space="0" w:color="auto"/>
              <w:right w:val="nil"/>
            </w:tcBorders>
            <w:vAlign w:val="bottom"/>
            <w:hideMark/>
          </w:tcPr>
          <w:p w14:paraId="65AFC596" w14:textId="77777777" w:rsidR="0064038E" w:rsidRPr="00F07EE7" w:rsidRDefault="0064038E">
            <w:pPr>
              <w:pStyle w:val="ARtablecolheadright"/>
              <w:rPr>
                <w:highlight w:val="cyan"/>
              </w:rPr>
            </w:pPr>
            <w:r w:rsidRPr="009064E0">
              <w:t>2024–25 target</w:t>
            </w:r>
          </w:p>
        </w:tc>
        <w:tc>
          <w:tcPr>
            <w:tcW w:w="1025" w:type="dxa"/>
            <w:tcBorders>
              <w:top w:val="nil"/>
              <w:left w:val="nil"/>
              <w:bottom w:val="single" w:sz="4" w:space="0" w:color="auto"/>
              <w:right w:val="nil"/>
            </w:tcBorders>
            <w:vAlign w:val="bottom"/>
            <w:hideMark/>
          </w:tcPr>
          <w:p w14:paraId="233BF4EB" w14:textId="77777777" w:rsidR="0064038E" w:rsidRPr="00F07EE7" w:rsidRDefault="0064038E">
            <w:pPr>
              <w:pStyle w:val="ARtablecolheadright"/>
              <w:rPr>
                <w:highlight w:val="cyan"/>
              </w:rPr>
            </w:pPr>
            <w:r w:rsidRPr="009064E0">
              <w:t>2024–25 actual</w:t>
            </w:r>
          </w:p>
        </w:tc>
        <w:tc>
          <w:tcPr>
            <w:tcW w:w="1028" w:type="dxa"/>
            <w:tcBorders>
              <w:top w:val="nil"/>
              <w:left w:val="nil"/>
              <w:bottom w:val="single" w:sz="4" w:space="0" w:color="auto"/>
              <w:right w:val="nil"/>
            </w:tcBorders>
            <w:vAlign w:val="bottom"/>
            <w:hideMark/>
          </w:tcPr>
          <w:p w14:paraId="4E2FA4A7" w14:textId="77777777" w:rsidR="0064038E" w:rsidRPr="00F07EE7" w:rsidRDefault="0064038E">
            <w:pPr>
              <w:pStyle w:val="ARtablecolheadright"/>
              <w:rPr>
                <w:highlight w:val="cyan"/>
              </w:rPr>
            </w:pPr>
            <w:r w:rsidRPr="009064E0">
              <w:t xml:space="preserve">Variation </w:t>
            </w:r>
          </w:p>
        </w:tc>
        <w:tc>
          <w:tcPr>
            <w:tcW w:w="804" w:type="dxa"/>
            <w:gridSpan w:val="2"/>
            <w:tcBorders>
              <w:top w:val="nil"/>
              <w:left w:val="nil"/>
              <w:bottom w:val="single" w:sz="4" w:space="0" w:color="auto"/>
              <w:right w:val="nil"/>
            </w:tcBorders>
            <w:vAlign w:val="bottom"/>
            <w:hideMark/>
          </w:tcPr>
          <w:p w14:paraId="14CC66DF" w14:textId="77777777" w:rsidR="0064038E" w:rsidRPr="00F07EE7" w:rsidRDefault="0064038E">
            <w:pPr>
              <w:pStyle w:val="ARtablecolheadright"/>
              <w:rPr>
                <w:highlight w:val="cyan"/>
              </w:rPr>
            </w:pPr>
            <w:r w:rsidRPr="009064E0">
              <w:t>Result</w:t>
            </w:r>
          </w:p>
        </w:tc>
      </w:tr>
      <w:tr w:rsidR="0064038E" w:rsidRPr="00F07EE7" w14:paraId="40160D3D" w14:textId="77777777" w:rsidTr="006C102A">
        <w:trPr>
          <w:cantSplit/>
        </w:trPr>
        <w:tc>
          <w:tcPr>
            <w:tcW w:w="9632" w:type="dxa"/>
            <w:gridSpan w:val="7"/>
            <w:tcBorders>
              <w:top w:val="single" w:sz="4" w:space="0" w:color="auto"/>
              <w:left w:val="nil"/>
              <w:bottom w:val="single" w:sz="4" w:space="0" w:color="A6A6A6" w:themeColor="accent5"/>
              <w:right w:val="nil"/>
            </w:tcBorders>
            <w:hideMark/>
          </w:tcPr>
          <w:p w14:paraId="2D4EB8D8" w14:textId="77777777" w:rsidR="0064038E" w:rsidRPr="00036D87" w:rsidRDefault="0064038E">
            <w:pPr>
              <w:pStyle w:val="ARtablegreybold"/>
            </w:pPr>
            <w:r w:rsidRPr="00036D87">
              <w:t>Quantity</w:t>
            </w:r>
          </w:p>
        </w:tc>
      </w:tr>
      <w:tr w:rsidR="0064038E" w:rsidRPr="00F07EE7" w14:paraId="2835DC68" w14:textId="77777777" w:rsidTr="006C102A">
        <w:trPr>
          <w:gridAfter w:val="1"/>
          <w:wAfter w:w="8" w:type="dxa"/>
          <w:cantSplit/>
        </w:trPr>
        <w:tc>
          <w:tcPr>
            <w:tcW w:w="4738" w:type="dxa"/>
            <w:tcBorders>
              <w:top w:val="single" w:sz="4" w:space="0" w:color="A6A6A6" w:themeColor="accent5"/>
            </w:tcBorders>
            <w:hideMark/>
          </w:tcPr>
          <w:p w14:paraId="2906A92D" w14:textId="77777777" w:rsidR="0064038E" w:rsidRPr="00036D87" w:rsidRDefault="0064038E">
            <w:pPr>
              <w:pStyle w:val="ARtabletext"/>
            </w:pPr>
            <w:r w:rsidRPr="00036D87">
              <w:t>Number of Disability Advocacy clients</w:t>
            </w:r>
          </w:p>
        </w:tc>
        <w:tc>
          <w:tcPr>
            <w:tcW w:w="1018" w:type="dxa"/>
            <w:tcBorders>
              <w:top w:val="single" w:sz="4" w:space="0" w:color="A6A6A6" w:themeColor="accent5"/>
            </w:tcBorders>
            <w:hideMark/>
          </w:tcPr>
          <w:p w14:paraId="7F94F491" w14:textId="77777777" w:rsidR="0064038E" w:rsidRPr="00036D87" w:rsidRDefault="0064038E">
            <w:pPr>
              <w:pStyle w:val="ARtabletext"/>
            </w:pPr>
            <w:r>
              <w:t>number</w:t>
            </w:r>
          </w:p>
        </w:tc>
        <w:tc>
          <w:tcPr>
            <w:tcW w:w="1019" w:type="dxa"/>
            <w:tcBorders>
              <w:top w:val="single" w:sz="4" w:space="0" w:color="A6A6A6" w:themeColor="accent5"/>
            </w:tcBorders>
            <w:hideMark/>
          </w:tcPr>
          <w:p w14:paraId="10775AFC" w14:textId="77777777" w:rsidR="0064038E" w:rsidRPr="00036D87" w:rsidRDefault="0064038E">
            <w:pPr>
              <w:pStyle w:val="ARtabletextright"/>
            </w:pPr>
            <w:r w:rsidRPr="00036D87">
              <w:t xml:space="preserve">2,500 </w:t>
            </w:r>
          </w:p>
        </w:tc>
        <w:tc>
          <w:tcPr>
            <w:tcW w:w="1025" w:type="dxa"/>
            <w:tcBorders>
              <w:top w:val="single" w:sz="4" w:space="0" w:color="A6A6A6" w:themeColor="accent5"/>
            </w:tcBorders>
            <w:hideMark/>
          </w:tcPr>
          <w:p w14:paraId="4DEA3636" w14:textId="57B543DA" w:rsidR="0064038E" w:rsidRPr="00036D87" w:rsidRDefault="0064038E">
            <w:pPr>
              <w:pStyle w:val="ARtabletextright"/>
            </w:pPr>
            <w:r w:rsidRPr="00164939">
              <w:t>2,</w:t>
            </w:r>
            <w:r w:rsidR="0023409F" w:rsidRPr="00164939">
              <w:t xml:space="preserve">812 </w:t>
            </w:r>
          </w:p>
        </w:tc>
        <w:tc>
          <w:tcPr>
            <w:tcW w:w="1028" w:type="dxa"/>
            <w:tcBorders>
              <w:top w:val="single" w:sz="4" w:space="0" w:color="A6A6A6" w:themeColor="accent5"/>
            </w:tcBorders>
          </w:tcPr>
          <w:p w14:paraId="2D2E8617" w14:textId="4F364564" w:rsidR="0064038E" w:rsidRPr="00036D87" w:rsidRDefault="0064038E">
            <w:pPr>
              <w:pStyle w:val="ARtabletextright"/>
            </w:pPr>
            <w:r w:rsidRPr="00AF069F">
              <w:t>12.</w:t>
            </w:r>
            <w:r w:rsidR="00537446" w:rsidRPr="00AF069F">
              <w:t>5</w:t>
            </w:r>
            <w:r w:rsidRPr="00AF069F">
              <w:t>%</w:t>
            </w:r>
          </w:p>
        </w:tc>
        <w:tc>
          <w:tcPr>
            <w:tcW w:w="796" w:type="dxa"/>
            <w:tcBorders>
              <w:top w:val="single" w:sz="4" w:space="0" w:color="A6A6A6" w:themeColor="accent5"/>
            </w:tcBorders>
            <w:hideMark/>
          </w:tcPr>
          <w:p w14:paraId="6CDAFD57" w14:textId="77777777" w:rsidR="0064038E" w:rsidRPr="00036D87" w:rsidRDefault="0064038E">
            <w:pPr>
              <w:pStyle w:val="ARtableperformancesymbol"/>
              <w:rPr>
                <w:rFonts w:hint="eastAsia"/>
                <w:lang w:val="en-AU"/>
              </w:rPr>
            </w:pPr>
            <w:r w:rsidRPr="00036D87">
              <w:rPr>
                <w:rFonts w:eastAsia="Wingdings" w:cs="Wingdings"/>
              </w:rPr>
              <w:t></w:t>
            </w:r>
          </w:p>
        </w:tc>
      </w:tr>
      <w:tr w:rsidR="0064038E" w:rsidRPr="00F07EE7" w14:paraId="23A65718" w14:textId="77777777">
        <w:trPr>
          <w:gridAfter w:val="1"/>
          <w:wAfter w:w="8" w:type="dxa"/>
          <w:cantSplit/>
        </w:trPr>
        <w:tc>
          <w:tcPr>
            <w:tcW w:w="9624" w:type="dxa"/>
            <w:gridSpan w:val="6"/>
            <w:tcBorders>
              <w:bottom w:val="single" w:sz="4" w:space="0" w:color="A6A6A6" w:themeColor="accent5"/>
            </w:tcBorders>
            <w:noWrap/>
            <w:hideMark/>
          </w:tcPr>
          <w:p w14:paraId="3555478A" w14:textId="7F51C6C5" w:rsidR="0064038E" w:rsidRPr="00F07EE7" w:rsidRDefault="0064038E" w:rsidP="00130336">
            <w:pPr>
              <w:pStyle w:val="ARtablenoteindent"/>
              <w:rPr>
                <w:highlight w:val="cyan"/>
              </w:rPr>
            </w:pPr>
            <w:r w:rsidRPr="00A85BF1">
              <w:t xml:space="preserve">The program continues to experience high demand. One agency will shortly phase out a time-limited </w:t>
            </w:r>
            <w:r w:rsidR="0003644B">
              <w:t xml:space="preserve">Information, Linkages and Capacity-building </w:t>
            </w:r>
            <w:r w:rsidRPr="00A85BF1">
              <w:t>program that has led to a real but temporary increase in advocacy performance.</w:t>
            </w:r>
            <w:r w:rsidR="00FA74F9">
              <w:t xml:space="preserve"> </w:t>
            </w:r>
          </w:p>
        </w:tc>
      </w:tr>
      <w:tr w:rsidR="0064038E" w:rsidRPr="00F07EE7" w14:paraId="180DF99B" w14:textId="77777777">
        <w:trPr>
          <w:cantSplit/>
        </w:trPr>
        <w:tc>
          <w:tcPr>
            <w:tcW w:w="4738" w:type="dxa"/>
            <w:hideMark/>
          </w:tcPr>
          <w:p w14:paraId="3F680504" w14:textId="77777777" w:rsidR="0064038E" w:rsidRPr="00711ED6" w:rsidRDefault="0064038E">
            <w:pPr>
              <w:pStyle w:val="ARtabletext"/>
            </w:pPr>
            <w:r w:rsidRPr="00711ED6">
              <w:t>Victorian Disability Advisory Council meetings</w:t>
            </w:r>
          </w:p>
        </w:tc>
        <w:tc>
          <w:tcPr>
            <w:tcW w:w="1018" w:type="dxa"/>
            <w:hideMark/>
          </w:tcPr>
          <w:p w14:paraId="1495475E" w14:textId="77777777" w:rsidR="0064038E" w:rsidRPr="00711ED6" w:rsidRDefault="0064038E">
            <w:pPr>
              <w:pStyle w:val="ARtabletext"/>
            </w:pPr>
            <w:r>
              <w:t>number</w:t>
            </w:r>
          </w:p>
        </w:tc>
        <w:tc>
          <w:tcPr>
            <w:tcW w:w="1019" w:type="dxa"/>
            <w:hideMark/>
          </w:tcPr>
          <w:p w14:paraId="3DDF9D9E" w14:textId="77777777" w:rsidR="0064038E" w:rsidRPr="00711ED6" w:rsidRDefault="0064038E">
            <w:pPr>
              <w:pStyle w:val="ARtabletextright"/>
            </w:pPr>
            <w:r w:rsidRPr="00711ED6">
              <w:t xml:space="preserve">10 </w:t>
            </w:r>
          </w:p>
        </w:tc>
        <w:tc>
          <w:tcPr>
            <w:tcW w:w="1025" w:type="dxa"/>
            <w:hideMark/>
          </w:tcPr>
          <w:p w14:paraId="46AE8047" w14:textId="77777777" w:rsidR="0064038E" w:rsidRPr="00711ED6" w:rsidRDefault="0064038E">
            <w:pPr>
              <w:pStyle w:val="ARtabletextright"/>
            </w:pPr>
            <w:r w:rsidRPr="00711ED6">
              <w:t xml:space="preserve">17 </w:t>
            </w:r>
          </w:p>
        </w:tc>
        <w:tc>
          <w:tcPr>
            <w:tcW w:w="1028" w:type="dxa"/>
          </w:tcPr>
          <w:p w14:paraId="2F7C0161" w14:textId="77777777" w:rsidR="0064038E" w:rsidRPr="00711ED6" w:rsidRDefault="0064038E">
            <w:pPr>
              <w:pStyle w:val="ARtabletextright"/>
            </w:pPr>
            <w:r w:rsidRPr="00711ED6">
              <w:t>70.0%</w:t>
            </w:r>
          </w:p>
        </w:tc>
        <w:tc>
          <w:tcPr>
            <w:tcW w:w="804" w:type="dxa"/>
            <w:gridSpan w:val="2"/>
            <w:hideMark/>
          </w:tcPr>
          <w:p w14:paraId="434DBB0F" w14:textId="77777777" w:rsidR="0064038E" w:rsidRPr="00711ED6" w:rsidRDefault="0064038E">
            <w:pPr>
              <w:pStyle w:val="ARtableperformancesymbol"/>
              <w:rPr>
                <w:rFonts w:hint="eastAsia"/>
                <w:lang w:val="en-AU"/>
              </w:rPr>
            </w:pPr>
            <w:r w:rsidRPr="00711ED6">
              <w:rPr>
                <w:rFonts w:eastAsia="Wingdings" w:cs="Wingdings"/>
              </w:rPr>
              <w:t></w:t>
            </w:r>
          </w:p>
        </w:tc>
      </w:tr>
      <w:tr w:rsidR="0064038E" w:rsidRPr="00F07EE7" w14:paraId="48449E68" w14:textId="77777777" w:rsidTr="00026B51">
        <w:trPr>
          <w:cantSplit/>
        </w:trPr>
        <w:tc>
          <w:tcPr>
            <w:tcW w:w="9632" w:type="dxa"/>
            <w:gridSpan w:val="7"/>
            <w:tcBorders>
              <w:bottom w:val="single" w:sz="4" w:space="0" w:color="auto"/>
            </w:tcBorders>
            <w:noWrap/>
            <w:hideMark/>
          </w:tcPr>
          <w:p w14:paraId="6B2D69E6" w14:textId="23C96C89" w:rsidR="0064038E" w:rsidRPr="00F07EE7" w:rsidRDefault="0064038E" w:rsidP="00130336">
            <w:pPr>
              <w:pStyle w:val="ARtablenoteindent"/>
              <w:rPr>
                <w:highlight w:val="cyan"/>
              </w:rPr>
            </w:pPr>
            <w:r w:rsidRPr="00711ED6">
              <w:t xml:space="preserve">There were six </w:t>
            </w:r>
            <w:r w:rsidR="00383D34">
              <w:t>o</w:t>
            </w:r>
            <w:r w:rsidRPr="00711ED6">
              <w:t>rdinary meetings and 11 additional meetings on focused topics.</w:t>
            </w:r>
          </w:p>
        </w:tc>
      </w:tr>
      <w:tr w:rsidR="0064038E" w:rsidRPr="00F07EE7" w14:paraId="743CD4A8" w14:textId="77777777" w:rsidTr="00026B51">
        <w:trPr>
          <w:cantSplit/>
        </w:trPr>
        <w:tc>
          <w:tcPr>
            <w:tcW w:w="9632" w:type="dxa"/>
            <w:gridSpan w:val="7"/>
            <w:tcBorders>
              <w:top w:val="single" w:sz="4" w:space="0" w:color="auto"/>
              <w:left w:val="nil"/>
              <w:bottom w:val="single" w:sz="4" w:space="0" w:color="000000" w:themeColor="text1"/>
              <w:right w:val="nil"/>
            </w:tcBorders>
            <w:hideMark/>
          </w:tcPr>
          <w:p w14:paraId="0B7DCD62" w14:textId="77777777" w:rsidR="0064038E" w:rsidRPr="007D7AD6" w:rsidRDefault="0064038E">
            <w:pPr>
              <w:pStyle w:val="ARtablegreybold"/>
            </w:pPr>
            <w:r w:rsidRPr="007D7AD6">
              <w:t>Cost</w:t>
            </w:r>
          </w:p>
        </w:tc>
      </w:tr>
      <w:tr w:rsidR="0064038E" w:rsidRPr="00F07EE7" w14:paraId="30C76AF9" w14:textId="77777777" w:rsidTr="00026B51">
        <w:trPr>
          <w:cantSplit/>
        </w:trPr>
        <w:tc>
          <w:tcPr>
            <w:tcW w:w="4738" w:type="dxa"/>
            <w:tcBorders>
              <w:top w:val="single" w:sz="4" w:space="0" w:color="000000" w:themeColor="text1"/>
            </w:tcBorders>
            <w:hideMark/>
          </w:tcPr>
          <w:p w14:paraId="5CB729BD" w14:textId="77777777" w:rsidR="0064038E" w:rsidRPr="007D7AD6" w:rsidRDefault="0064038E">
            <w:pPr>
              <w:pStyle w:val="ARtabletextbold"/>
            </w:pPr>
            <w:r w:rsidRPr="007D7AD6">
              <w:t>Total output cost</w:t>
            </w:r>
          </w:p>
        </w:tc>
        <w:tc>
          <w:tcPr>
            <w:tcW w:w="1018" w:type="dxa"/>
            <w:tcBorders>
              <w:top w:val="single" w:sz="4" w:space="0" w:color="000000" w:themeColor="text1"/>
            </w:tcBorders>
            <w:hideMark/>
          </w:tcPr>
          <w:p w14:paraId="79C92979" w14:textId="77777777" w:rsidR="0064038E" w:rsidRPr="007D7AD6" w:rsidRDefault="0064038E">
            <w:pPr>
              <w:pStyle w:val="ARtabletextbold"/>
            </w:pPr>
            <w:r>
              <w:t>$ million</w:t>
            </w:r>
          </w:p>
        </w:tc>
        <w:tc>
          <w:tcPr>
            <w:tcW w:w="1019" w:type="dxa"/>
            <w:tcBorders>
              <w:top w:val="single" w:sz="4" w:space="0" w:color="000000" w:themeColor="text1"/>
            </w:tcBorders>
          </w:tcPr>
          <w:p w14:paraId="354903CA" w14:textId="77777777" w:rsidR="0064038E" w:rsidRPr="007D7AD6" w:rsidRDefault="0064038E">
            <w:pPr>
              <w:pStyle w:val="ARtabletextrightbold"/>
            </w:pPr>
            <w:r w:rsidRPr="007D7AD6">
              <w:t>11.7</w:t>
            </w:r>
          </w:p>
        </w:tc>
        <w:tc>
          <w:tcPr>
            <w:tcW w:w="1025" w:type="dxa"/>
            <w:tcBorders>
              <w:top w:val="single" w:sz="4" w:space="0" w:color="000000" w:themeColor="text1"/>
            </w:tcBorders>
          </w:tcPr>
          <w:p w14:paraId="4D232789" w14:textId="77777777" w:rsidR="0064038E" w:rsidRPr="007D7AD6" w:rsidRDefault="0064038E">
            <w:pPr>
              <w:pStyle w:val="ARtabletextrightbold"/>
            </w:pPr>
            <w:r w:rsidRPr="007D7AD6">
              <w:t>14.7</w:t>
            </w:r>
          </w:p>
        </w:tc>
        <w:tc>
          <w:tcPr>
            <w:tcW w:w="1028" w:type="dxa"/>
            <w:tcBorders>
              <w:top w:val="single" w:sz="4" w:space="0" w:color="000000" w:themeColor="text1"/>
            </w:tcBorders>
          </w:tcPr>
          <w:p w14:paraId="58B093BA" w14:textId="77777777" w:rsidR="0064038E" w:rsidRPr="007D7AD6" w:rsidRDefault="0064038E">
            <w:pPr>
              <w:pStyle w:val="ARtabletextrightbold"/>
            </w:pPr>
            <w:r w:rsidRPr="007D7AD6">
              <w:t>25.5%</w:t>
            </w:r>
          </w:p>
        </w:tc>
        <w:tc>
          <w:tcPr>
            <w:tcW w:w="804" w:type="dxa"/>
            <w:gridSpan w:val="2"/>
            <w:tcBorders>
              <w:top w:val="single" w:sz="4" w:space="0" w:color="000000" w:themeColor="text1"/>
            </w:tcBorders>
          </w:tcPr>
          <w:p w14:paraId="09202210" w14:textId="77777777" w:rsidR="0064038E" w:rsidRPr="007D7AD6" w:rsidRDefault="0064038E">
            <w:pPr>
              <w:pStyle w:val="ARtableperformancesymbol"/>
              <w:rPr>
                <w:rFonts w:hint="eastAsia"/>
                <w:b/>
              </w:rPr>
            </w:pPr>
            <w:r w:rsidRPr="007D7AD6">
              <w:rPr>
                <w:rFonts w:eastAsia="Wingdings" w:cs="Wingdings"/>
              </w:rPr>
              <w:t></w:t>
            </w:r>
          </w:p>
        </w:tc>
      </w:tr>
      <w:tr w:rsidR="0064038E" w:rsidRPr="00F07EE7" w14:paraId="0839CA1E" w14:textId="77777777">
        <w:trPr>
          <w:cantSplit/>
        </w:trPr>
        <w:tc>
          <w:tcPr>
            <w:tcW w:w="9632" w:type="dxa"/>
            <w:gridSpan w:val="7"/>
            <w:tcBorders>
              <w:bottom w:val="single" w:sz="4" w:space="0" w:color="000000"/>
            </w:tcBorders>
          </w:tcPr>
          <w:p w14:paraId="6D5F9DE8" w14:textId="77777777" w:rsidR="0064038E" w:rsidRPr="007D7AD6" w:rsidRDefault="0064038E" w:rsidP="00130336">
            <w:pPr>
              <w:pStyle w:val="ARtablenoteindent"/>
              <w:rPr>
                <w:rFonts w:eastAsia="Wingdings"/>
                <w:highlight w:val="cyan"/>
              </w:rPr>
            </w:pPr>
            <w:r w:rsidRPr="007D7AD6">
              <w:t>The higher actual primarily reflects government carryover outcomes and funding transfer from another department.</w:t>
            </w:r>
          </w:p>
        </w:tc>
      </w:tr>
    </w:tbl>
    <w:p w14:paraId="511491E5" w14:textId="77777777" w:rsidR="0064038E" w:rsidRPr="007D7AD6" w:rsidRDefault="0064038E" w:rsidP="00026B51">
      <w:pPr>
        <w:pStyle w:val="Heading3"/>
      </w:pPr>
      <w:proofErr w:type="gramStart"/>
      <w:r w:rsidRPr="007D7AD6">
        <w:t>Seniors</w:t>
      </w:r>
      <w:proofErr w:type="gramEnd"/>
      <w:r w:rsidRPr="007D7AD6">
        <w:t xml:space="preserve"> programs and </w:t>
      </w:r>
      <w:r w:rsidRPr="00026B51">
        <w:t>participation</w:t>
      </w:r>
    </w:p>
    <w:p w14:paraId="0304B9BD" w14:textId="6BA7CA92" w:rsidR="0064038E" w:rsidRPr="00026B51" w:rsidRDefault="0064038E" w:rsidP="00026B51">
      <w:pPr>
        <w:pStyle w:val="ARbodybeforetable"/>
      </w:pPr>
      <w:r>
        <w:t>Support broader community planning processes to facilitate an integrated community planning and response approach aimed at enabling older Victorians to fully participate and engage in the community.</w:t>
      </w:r>
    </w:p>
    <w:tbl>
      <w:tblPr>
        <w:tblW w:w="5000" w:type="pct"/>
        <w:tblBorders>
          <w:top w:val="single" w:sz="4" w:space="0" w:color="auto"/>
          <w:bottom w:val="single" w:sz="4" w:space="0" w:color="auto"/>
          <w:insideH w:val="single" w:sz="4" w:space="0" w:color="auto"/>
        </w:tblBorders>
        <w:tblLayout w:type="fixed"/>
        <w:tblCellMar>
          <w:left w:w="0" w:type="dxa"/>
        </w:tblCellMar>
        <w:tblLook w:val="06A0" w:firstRow="1" w:lastRow="0" w:firstColumn="1" w:lastColumn="0" w:noHBand="1" w:noVBand="1"/>
      </w:tblPr>
      <w:tblGrid>
        <w:gridCol w:w="4744"/>
        <w:gridCol w:w="1018"/>
        <w:gridCol w:w="1020"/>
        <w:gridCol w:w="1022"/>
        <w:gridCol w:w="1026"/>
        <w:gridCol w:w="794"/>
        <w:gridCol w:w="8"/>
      </w:tblGrid>
      <w:tr w:rsidR="0064038E" w:rsidRPr="00F07EE7" w14:paraId="13CC674B" w14:textId="77777777" w:rsidTr="006C102A">
        <w:trPr>
          <w:cantSplit/>
          <w:tblHeader/>
        </w:trPr>
        <w:tc>
          <w:tcPr>
            <w:tcW w:w="4744" w:type="dxa"/>
            <w:tcBorders>
              <w:top w:val="nil"/>
              <w:bottom w:val="single" w:sz="4" w:space="0" w:color="auto"/>
            </w:tcBorders>
            <w:vAlign w:val="bottom"/>
            <w:hideMark/>
          </w:tcPr>
          <w:p w14:paraId="67562CBF" w14:textId="77777777" w:rsidR="0064038E" w:rsidRPr="00F07EE7" w:rsidRDefault="0064038E">
            <w:pPr>
              <w:pStyle w:val="ARtablecolhead"/>
              <w:rPr>
                <w:highlight w:val="cyan"/>
              </w:rPr>
            </w:pPr>
            <w:r w:rsidRPr="009064E0">
              <w:t>Performance measures</w:t>
            </w:r>
          </w:p>
        </w:tc>
        <w:tc>
          <w:tcPr>
            <w:tcW w:w="1018" w:type="dxa"/>
            <w:tcBorders>
              <w:top w:val="nil"/>
              <w:bottom w:val="single" w:sz="4" w:space="0" w:color="auto"/>
            </w:tcBorders>
            <w:vAlign w:val="bottom"/>
            <w:hideMark/>
          </w:tcPr>
          <w:p w14:paraId="6FFF9838" w14:textId="77777777" w:rsidR="0064038E" w:rsidRPr="00F07EE7" w:rsidRDefault="0064038E">
            <w:pPr>
              <w:pStyle w:val="ARtablecolhead"/>
              <w:rPr>
                <w:highlight w:val="cyan"/>
              </w:rPr>
            </w:pPr>
            <w:r w:rsidRPr="009064E0">
              <w:t>Unit of measure</w:t>
            </w:r>
          </w:p>
        </w:tc>
        <w:tc>
          <w:tcPr>
            <w:tcW w:w="1020" w:type="dxa"/>
            <w:tcBorders>
              <w:top w:val="nil"/>
              <w:bottom w:val="single" w:sz="4" w:space="0" w:color="auto"/>
            </w:tcBorders>
            <w:vAlign w:val="bottom"/>
            <w:hideMark/>
          </w:tcPr>
          <w:p w14:paraId="3B7F7E5A" w14:textId="77777777" w:rsidR="0064038E" w:rsidRPr="00F07EE7" w:rsidRDefault="0064038E">
            <w:pPr>
              <w:pStyle w:val="ARtablecolheadright"/>
              <w:rPr>
                <w:highlight w:val="cyan"/>
              </w:rPr>
            </w:pPr>
            <w:r w:rsidRPr="009064E0">
              <w:t>2024–25 target</w:t>
            </w:r>
          </w:p>
        </w:tc>
        <w:tc>
          <w:tcPr>
            <w:tcW w:w="1022" w:type="dxa"/>
            <w:tcBorders>
              <w:top w:val="nil"/>
              <w:bottom w:val="single" w:sz="4" w:space="0" w:color="auto"/>
            </w:tcBorders>
            <w:vAlign w:val="bottom"/>
            <w:hideMark/>
          </w:tcPr>
          <w:p w14:paraId="251F0CA7" w14:textId="77777777" w:rsidR="0064038E" w:rsidRPr="00F07EE7" w:rsidRDefault="0064038E">
            <w:pPr>
              <w:pStyle w:val="ARtablecolheadright"/>
              <w:rPr>
                <w:highlight w:val="cyan"/>
              </w:rPr>
            </w:pPr>
            <w:r w:rsidRPr="009064E0">
              <w:t>2024–25 actual</w:t>
            </w:r>
          </w:p>
        </w:tc>
        <w:tc>
          <w:tcPr>
            <w:tcW w:w="1026" w:type="dxa"/>
            <w:tcBorders>
              <w:top w:val="nil"/>
              <w:bottom w:val="single" w:sz="4" w:space="0" w:color="auto"/>
            </w:tcBorders>
            <w:vAlign w:val="bottom"/>
            <w:hideMark/>
          </w:tcPr>
          <w:p w14:paraId="333520DC" w14:textId="77777777" w:rsidR="0064038E" w:rsidRPr="00F07EE7" w:rsidRDefault="0064038E">
            <w:pPr>
              <w:pStyle w:val="ARtablecolheadright"/>
              <w:rPr>
                <w:highlight w:val="cyan"/>
              </w:rPr>
            </w:pPr>
            <w:r w:rsidRPr="009064E0">
              <w:t xml:space="preserve">Variation </w:t>
            </w:r>
          </w:p>
        </w:tc>
        <w:tc>
          <w:tcPr>
            <w:tcW w:w="802" w:type="dxa"/>
            <w:gridSpan w:val="2"/>
            <w:tcBorders>
              <w:top w:val="nil"/>
              <w:bottom w:val="single" w:sz="4" w:space="0" w:color="auto"/>
            </w:tcBorders>
            <w:vAlign w:val="bottom"/>
            <w:hideMark/>
          </w:tcPr>
          <w:p w14:paraId="183A689F" w14:textId="77777777" w:rsidR="0064038E" w:rsidRPr="00F07EE7" w:rsidRDefault="0064038E">
            <w:pPr>
              <w:pStyle w:val="ARtablecolheadright"/>
              <w:rPr>
                <w:highlight w:val="cyan"/>
              </w:rPr>
            </w:pPr>
            <w:r w:rsidRPr="009064E0">
              <w:t>Result</w:t>
            </w:r>
          </w:p>
        </w:tc>
      </w:tr>
      <w:tr w:rsidR="0064038E" w:rsidRPr="00F07EE7" w14:paraId="4D8C93AC" w14:textId="77777777" w:rsidTr="006C102A">
        <w:trPr>
          <w:cantSplit/>
        </w:trPr>
        <w:tc>
          <w:tcPr>
            <w:tcW w:w="9632" w:type="dxa"/>
            <w:gridSpan w:val="7"/>
            <w:tcBorders>
              <w:bottom w:val="single" w:sz="4" w:space="0" w:color="A6A6A6" w:themeColor="accent5"/>
            </w:tcBorders>
            <w:hideMark/>
          </w:tcPr>
          <w:p w14:paraId="23A35F52" w14:textId="77777777" w:rsidR="0064038E" w:rsidRPr="00EC334D" w:rsidRDefault="0064038E">
            <w:pPr>
              <w:pStyle w:val="ARtablegreybold"/>
            </w:pPr>
            <w:r w:rsidRPr="00EC334D">
              <w:t>Quantity</w:t>
            </w:r>
          </w:p>
        </w:tc>
      </w:tr>
      <w:tr w:rsidR="0064038E" w:rsidRPr="00F07EE7" w14:paraId="08E7A212" w14:textId="77777777" w:rsidTr="006C102A">
        <w:trPr>
          <w:cantSplit/>
        </w:trPr>
        <w:tc>
          <w:tcPr>
            <w:tcW w:w="4744" w:type="dxa"/>
            <w:tcBorders>
              <w:top w:val="single" w:sz="4" w:space="0" w:color="A6A6A6" w:themeColor="accent5"/>
              <w:bottom w:val="single" w:sz="4" w:space="0" w:color="BFBFBF" w:themeColor="background1" w:themeShade="BF"/>
            </w:tcBorders>
          </w:tcPr>
          <w:p w14:paraId="250A00E2" w14:textId="77777777" w:rsidR="0064038E" w:rsidRPr="00EC334D" w:rsidRDefault="0064038E">
            <w:pPr>
              <w:pStyle w:val="ARtabletext"/>
            </w:pPr>
            <w:r w:rsidRPr="00EC334D">
              <w:t>Eligible seniors in the Seniors Card program</w:t>
            </w:r>
          </w:p>
        </w:tc>
        <w:tc>
          <w:tcPr>
            <w:tcW w:w="1018" w:type="dxa"/>
            <w:tcBorders>
              <w:top w:val="single" w:sz="4" w:space="0" w:color="A6A6A6" w:themeColor="accent5"/>
              <w:bottom w:val="single" w:sz="4" w:space="0" w:color="BFBFBF" w:themeColor="background1" w:themeShade="BF"/>
            </w:tcBorders>
          </w:tcPr>
          <w:p w14:paraId="0BD097F3" w14:textId="77777777" w:rsidR="0064038E" w:rsidRPr="00EC334D" w:rsidRDefault="0064038E">
            <w:pPr>
              <w:pStyle w:val="ARtabletext"/>
            </w:pPr>
            <w:r>
              <w:t>per cent</w:t>
            </w:r>
          </w:p>
        </w:tc>
        <w:tc>
          <w:tcPr>
            <w:tcW w:w="1020" w:type="dxa"/>
            <w:tcBorders>
              <w:top w:val="single" w:sz="4" w:space="0" w:color="A6A6A6" w:themeColor="accent5"/>
              <w:bottom w:val="single" w:sz="4" w:space="0" w:color="BFBFBF" w:themeColor="background1" w:themeShade="BF"/>
            </w:tcBorders>
          </w:tcPr>
          <w:p w14:paraId="5C620171" w14:textId="77777777" w:rsidR="0064038E" w:rsidRPr="00EC334D" w:rsidRDefault="0064038E">
            <w:pPr>
              <w:pStyle w:val="ARtabletextright"/>
            </w:pPr>
            <w:r w:rsidRPr="00EC334D">
              <w:t>90</w:t>
            </w:r>
          </w:p>
        </w:tc>
        <w:tc>
          <w:tcPr>
            <w:tcW w:w="1022" w:type="dxa"/>
            <w:tcBorders>
              <w:top w:val="single" w:sz="4" w:space="0" w:color="A6A6A6" w:themeColor="accent5"/>
              <w:bottom w:val="single" w:sz="4" w:space="0" w:color="BFBFBF" w:themeColor="background1" w:themeShade="BF"/>
            </w:tcBorders>
          </w:tcPr>
          <w:p w14:paraId="36DE46C9" w14:textId="77777777" w:rsidR="0064038E" w:rsidRPr="00EC334D" w:rsidRDefault="0064038E">
            <w:pPr>
              <w:pStyle w:val="ARtabletextright"/>
            </w:pPr>
            <w:r w:rsidRPr="00EC334D">
              <w:t>92.1</w:t>
            </w:r>
          </w:p>
        </w:tc>
        <w:tc>
          <w:tcPr>
            <w:tcW w:w="1026" w:type="dxa"/>
            <w:tcBorders>
              <w:top w:val="single" w:sz="4" w:space="0" w:color="A6A6A6" w:themeColor="accent5"/>
              <w:bottom w:val="single" w:sz="4" w:space="0" w:color="BFBFBF" w:themeColor="background1" w:themeShade="BF"/>
            </w:tcBorders>
          </w:tcPr>
          <w:p w14:paraId="084E54BB" w14:textId="77777777" w:rsidR="0064038E" w:rsidRPr="00EC334D" w:rsidRDefault="0064038E">
            <w:pPr>
              <w:pStyle w:val="ARtabletextright"/>
            </w:pPr>
            <w:r w:rsidRPr="00EC334D">
              <w:t>2.3%</w:t>
            </w:r>
          </w:p>
        </w:tc>
        <w:tc>
          <w:tcPr>
            <w:tcW w:w="802" w:type="dxa"/>
            <w:gridSpan w:val="2"/>
            <w:tcBorders>
              <w:top w:val="single" w:sz="4" w:space="0" w:color="A6A6A6" w:themeColor="accent5"/>
              <w:bottom w:val="single" w:sz="4" w:space="0" w:color="BFBFBF" w:themeColor="background1" w:themeShade="BF"/>
            </w:tcBorders>
          </w:tcPr>
          <w:p w14:paraId="401536E4" w14:textId="77777777" w:rsidR="0064038E" w:rsidRPr="00EC334D" w:rsidRDefault="0064038E">
            <w:pPr>
              <w:pStyle w:val="ARtableperformancesymbol"/>
              <w:rPr>
                <w:rFonts w:hint="eastAsia"/>
                <w:lang w:val="en-AU"/>
              </w:rPr>
            </w:pPr>
            <w:r w:rsidRPr="00EC334D">
              <w:rPr>
                <w:rFonts w:eastAsia="Wingdings" w:cs="Wingdings"/>
              </w:rPr>
              <w:t></w:t>
            </w:r>
          </w:p>
        </w:tc>
      </w:tr>
      <w:tr w:rsidR="0064038E" w:rsidRPr="00F07EE7" w14:paraId="5E6C4D16" w14:textId="77777777">
        <w:trPr>
          <w:cantSplit/>
        </w:trPr>
        <w:tc>
          <w:tcPr>
            <w:tcW w:w="4744" w:type="dxa"/>
            <w:tcBorders>
              <w:top w:val="nil"/>
              <w:bottom w:val="nil"/>
            </w:tcBorders>
          </w:tcPr>
          <w:p w14:paraId="39414CD4" w14:textId="77777777" w:rsidR="0064038E" w:rsidRPr="00A906A4" w:rsidRDefault="0064038E">
            <w:pPr>
              <w:pStyle w:val="ARtabletext"/>
            </w:pPr>
            <w:r w:rsidRPr="00AD2366">
              <w:t>Individuals provided with respite and support services</w:t>
            </w:r>
          </w:p>
        </w:tc>
        <w:tc>
          <w:tcPr>
            <w:tcW w:w="1018" w:type="dxa"/>
            <w:tcBorders>
              <w:top w:val="nil"/>
              <w:bottom w:val="nil"/>
            </w:tcBorders>
          </w:tcPr>
          <w:p w14:paraId="192D3503" w14:textId="77777777" w:rsidR="0064038E" w:rsidRPr="00A906A4" w:rsidRDefault="0064038E">
            <w:pPr>
              <w:pStyle w:val="ARtabletext"/>
            </w:pPr>
            <w:r>
              <w:t>number</w:t>
            </w:r>
          </w:p>
        </w:tc>
        <w:tc>
          <w:tcPr>
            <w:tcW w:w="1020" w:type="dxa"/>
            <w:tcBorders>
              <w:top w:val="nil"/>
              <w:bottom w:val="nil"/>
            </w:tcBorders>
          </w:tcPr>
          <w:p w14:paraId="76577F51" w14:textId="77777777" w:rsidR="0064038E" w:rsidRPr="00A906A4" w:rsidRDefault="0064038E">
            <w:pPr>
              <w:pStyle w:val="ARtabletextright"/>
            </w:pPr>
            <w:r w:rsidRPr="00AD2366">
              <w:t xml:space="preserve">13,250 </w:t>
            </w:r>
          </w:p>
        </w:tc>
        <w:tc>
          <w:tcPr>
            <w:tcW w:w="1022" w:type="dxa"/>
            <w:tcBorders>
              <w:top w:val="nil"/>
              <w:bottom w:val="nil"/>
            </w:tcBorders>
          </w:tcPr>
          <w:p w14:paraId="15BC2E5B" w14:textId="341A0A31" w:rsidR="0064038E" w:rsidRPr="00A906A4" w:rsidRDefault="0064038E">
            <w:pPr>
              <w:pStyle w:val="ARtabletextright"/>
            </w:pPr>
            <w:r w:rsidRPr="00AD2366">
              <w:t>30,</w:t>
            </w:r>
            <w:r w:rsidR="00D11DE7" w:rsidRPr="00A906A4">
              <w:t>870</w:t>
            </w:r>
            <w:r w:rsidRPr="00AD2366">
              <w:t xml:space="preserve"> </w:t>
            </w:r>
          </w:p>
        </w:tc>
        <w:tc>
          <w:tcPr>
            <w:tcW w:w="1026" w:type="dxa"/>
            <w:tcBorders>
              <w:top w:val="nil"/>
              <w:bottom w:val="nil"/>
            </w:tcBorders>
          </w:tcPr>
          <w:p w14:paraId="6F4B0A22" w14:textId="617C5036" w:rsidR="0064038E" w:rsidRPr="00A906A4" w:rsidRDefault="0064038E">
            <w:pPr>
              <w:pStyle w:val="ARtabletextright"/>
            </w:pPr>
            <w:r w:rsidRPr="00A906A4">
              <w:t>1</w:t>
            </w:r>
            <w:r w:rsidR="00D20F14" w:rsidRPr="00A906A4">
              <w:t>33.0</w:t>
            </w:r>
            <w:r w:rsidRPr="00A906A4">
              <w:t>%</w:t>
            </w:r>
          </w:p>
        </w:tc>
        <w:tc>
          <w:tcPr>
            <w:tcW w:w="802" w:type="dxa"/>
            <w:gridSpan w:val="2"/>
            <w:tcBorders>
              <w:top w:val="nil"/>
              <w:bottom w:val="nil"/>
            </w:tcBorders>
          </w:tcPr>
          <w:p w14:paraId="2CD0B995" w14:textId="77777777" w:rsidR="0064038E" w:rsidRPr="00F07EE7" w:rsidRDefault="0064038E">
            <w:pPr>
              <w:pStyle w:val="ARtableperformancesymbol"/>
              <w:rPr>
                <w:rFonts w:hint="eastAsia"/>
                <w:highlight w:val="cyan"/>
                <w:lang w:val="en-AU"/>
              </w:rPr>
            </w:pPr>
            <w:r w:rsidRPr="00EC334D">
              <w:rPr>
                <w:rFonts w:eastAsia="Wingdings" w:cs="Wingdings"/>
              </w:rPr>
              <w:t></w:t>
            </w:r>
          </w:p>
        </w:tc>
      </w:tr>
      <w:tr w:rsidR="0064038E" w:rsidRPr="00F07EE7" w14:paraId="64B69184" w14:textId="77777777">
        <w:tblPrEx>
          <w:tblBorders>
            <w:top w:val="none" w:sz="0" w:space="0" w:color="auto"/>
            <w:bottom w:val="none" w:sz="0" w:space="0" w:color="auto"/>
            <w:insideH w:val="none" w:sz="0" w:space="0" w:color="auto"/>
          </w:tblBorders>
        </w:tblPrEx>
        <w:trPr>
          <w:cantSplit/>
        </w:trPr>
        <w:tc>
          <w:tcPr>
            <w:tcW w:w="9632" w:type="dxa"/>
            <w:gridSpan w:val="7"/>
            <w:tcBorders>
              <w:bottom w:val="single" w:sz="4" w:space="0" w:color="BFBFBF" w:themeColor="background1" w:themeShade="BF"/>
            </w:tcBorders>
            <w:noWrap/>
            <w:hideMark/>
          </w:tcPr>
          <w:p w14:paraId="7BD63B87" w14:textId="34376E64" w:rsidR="0064038E" w:rsidRPr="00A906A4" w:rsidRDefault="003C5209" w:rsidP="00130336">
            <w:pPr>
              <w:pStyle w:val="ARtablenoteindent"/>
            </w:pPr>
            <w:r w:rsidRPr="00A906A4">
              <w:t>The 2024</w:t>
            </w:r>
            <w:r w:rsidR="005C1105" w:rsidRPr="00A906A4">
              <w:t>–</w:t>
            </w:r>
            <w:r w:rsidRPr="00A906A4">
              <w:t>25 actual figure is significantly higher than the 2024</w:t>
            </w:r>
            <w:r w:rsidR="005C1105" w:rsidRPr="00A906A4">
              <w:t>–</w:t>
            </w:r>
            <w:r w:rsidRPr="00A906A4">
              <w:t>25 target as it reflects a higher number of carers reached through online group events delivered through both Additional Respite for Carers and Support for Carers programs. This move to online service delivery has persisted beyond the immediate post-pandemic period. To address this, a review of data and reporting systems and frameworks associated with these programs, including counting rules, has been completed and changes to the reporting systems have been implemented for the 2025</w:t>
            </w:r>
            <w:r w:rsidR="005C1105" w:rsidRPr="00A906A4">
              <w:t>–</w:t>
            </w:r>
            <w:r w:rsidRPr="00A906A4">
              <w:t>26 financial year. Measures and targets are also under review for the 2026</w:t>
            </w:r>
            <w:r w:rsidR="005C1105" w:rsidRPr="00A906A4">
              <w:t>–</w:t>
            </w:r>
            <w:r w:rsidRPr="00A906A4">
              <w:t>27 financial year.</w:t>
            </w:r>
          </w:p>
        </w:tc>
      </w:tr>
      <w:tr w:rsidR="0064038E" w:rsidRPr="00F07EE7" w14:paraId="476240E3" w14:textId="77777777">
        <w:trPr>
          <w:cantSplit/>
        </w:trPr>
        <w:tc>
          <w:tcPr>
            <w:tcW w:w="4744" w:type="dxa"/>
            <w:tcBorders>
              <w:top w:val="single" w:sz="4" w:space="0" w:color="BFBFBF" w:themeColor="background1" w:themeShade="BF"/>
              <w:bottom w:val="nil"/>
            </w:tcBorders>
          </w:tcPr>
          <w:p w14:paraId="4AF96F50" w14:textId="77777777" w:rsidR="0064038E" w:rsidRPr="005F6AB1" w:rsidRDefault="0064038E">
            <w:pPr>
              <w:pStyle w:val="ARtabletext"/>
              <w:keepNext/>
            </w:pPr>
            <w:r w:rsidRPr="005F6AB1">
              <w:t>Number of hours of respite and support services</w:t>
            </w:r>
          </w:p>
        </w:tc>
        <w:tc>
          <w:tcPr>
            <w:tcW w:w="1018" w:type="dxa"/>
            <w:tcBorders>
              <w:top w:val="single" w:sz="4" w:space="0" w:color="BFBFBF" w:themeColor="background1" w:themeShade="BF"/>
              <w:bottom w:val="nil"/>
            </w:tcBorders>
          </w:tcPr>
          <w:p w14:paraId="5E301B4A" w14:textId="77777777" w:rsidR="0064038E" w:rsidRPr="005F6AB1" w:rsidRDefault="0064038E">
            <w:pPr>
              <w:pStyle w:val="ARtabletext"/>
            </w:pPr>
            <w:r>
              <w:t>number</w:t>
            </w:r>
          </w:p>
        </w:tc>
        <w:tc>
          <w:tcPr>
            <w:tcW w:w="1020" w:type="dxa"/>
            <w:tcBorders>
              <w:top w:val="single" w:sz="4" w:space="0" w:color="BFBFBF" w:themeColor="background1" w:themeShade="BF"/>
              <w:bottom w:val="nil"/>
            </w:tcBorders>
          </w:tcPr>
          <w:p w14:paraId="7693CDCE" w14:textId="77777777" w:rsidR="0064038E" w:rsidRPr="005F6AB1" w:rsidRDefault="0064038E">
            <w:pPr>
              <w:pStyle w:val="ARtabletextright"/>
            </w:pPr>
            <w:r w:rsidRPr="005F6AB1">
              <w:t xml:space="preserve">261,250 </w:t>
            </w:r>
          </w:p>
        </w:tc>
        <w:tc>
          <w:tcPr>
            <w:tcW w:w="1022" w:type="dxa"/>
            <w:tcBorders>
              <w:top w:val="single" w:sz="4" w:space="0" w:color="BFBFBF" w:themeColor="background1" w:themeShade="BF"/>
              <w:bottom w:val="nil"/>
            </w:tcBorders>
          </w:tcPr>
          <w:p w14:paraId="1F4B5591" w14:textId="6B50A427" w:rsidR="0064038E" w:rsidRPr="005F6AB1" w:rsidRDefault="0064038E">
            <w:pPr>
              <w:pStyle w:val="ARtabletextright"/>
            </w:pPr>
            <w:r w:rsidRPr="00A906A4">
              <w:t>5</w:t>
            </w:r>
            <w:r w:rsidR="00A71C1E" w:rsidRPr="00A906A4">
              <w:t>53,633</w:t>
            </w:r>
            <w:r w:rsidRPr="005F6AB1">
              <w:t xml:space="preserve"> </w:t>
            </w:r>
          </w:p>
        </w:tc>
        <w:tc>
          <w:tcPr>
            <w:tcW w:w="1026" w:type="dxa"/>
            <w:tcBorders>
              <w:top w:val="single" w:sz="4" w:space="0" w:color="BFBFBF" w:themeColor="background1" w:themeShade="BF"/>
              <w:bottom w:val="nil"/>
            </w:tcBorders>
          </w:tcPr>
          <w:p w14:paraId="281E6DB9" w14:textId="48C0095B" w:rsidR="0064038E" w:rsidRPr="005F6AB1" w:rsidRDefault="00A71C1E">
            <w:pPr>
              <w:pStyle w:val="ARtabletextright"/>
            </w:pPr>
            <w:r w:rsidRPr="00A906A4">
              <w:t>111.9</w:t>
            </w:r>
            <w:r w:rsidR="0064038E" w:rsidRPr="005F6AB1">
              <w:t>%</w:t>
            </w:r>
          </w:p>
        </w:tc>
        <w:tc>
          <w:tcPr>
            <w:tcW w:w="802" w:type="dxa"/>
            <w:gridSpan w:val="2"/>
            <w:tcBorders>
              <w:top w:val="single" w:sz="4" w:space="0" w:color="BFBFBF" w:themeColor="background1" w:themeShade="BF"/>
              <w:bottom w:val="nil"/>
            </w:tcBorders>
          </w:tcPr>
          <w:p w14:paraId="32642813" w14:textId="77777777" w:rsidR="0064038E" w:rsidRPr="005F6AB1" w:rsidRDefault="0064038E">
            <w:pPr>
              <w:pStyle w:val="ARtableperformancesymbol"/>
              <w:rPr>
                <w:rFonts w:hint="eastAsia"/>
                <w:lang w:val="en-AU"/>
              </w:rPr>
            </w:pPr>
            <w:r w:rsidRPr="005F6AB1">
              <w:rPr>
                <w:rFonts w:eastAsia="Wingdings" w:cs="Wingdings"/>
              </w:rPr>
              <w:t></w:t>
            </w:r>
          </w:p>
        </w:tc>
      </w:tr>
      <w:tr w:rsidR="0064038E" w:rsidRPr="00F07EE7" w14:paraId="43A2DD17" w14:textId="77777777">
        <w:trPr>
          <w:cantSplit/>
        </w:trPr>
        <w:tc>
          <w:tcPr>
            <w:tcW w:w="9632" w:type="dxa"/>
            <w:gridSpan w:val="7"/>
            <w:tcBorders>
              <w:top w:val="nil"/>
              <w:bottom w:val="nil"/>
            </w:tcBorders>
          </w:tcPr>
          <w:p w14:paraId="1F601218" w14:textId="0ECF2C64" w:rsidR="0064038E" w:rsidRPr="00F07EE7" w:rsidRDefault="00D15154" w:rsidP="00130336">
            <w:pPr>
              <w:pStyle w:val="ARtablenoteindent"/>
              <w:rPr>
                <w:highlight w:val="cyan"/>
              </w:rPr>
            </w:pPr>
            <w:r w:rsidRPr="00A906A4">
              <w:t>The 2024</w:t>
            </w:r>
            <w:r w:rsidR="005C1105" w:rsidRPr="00A906A4">
              <w:t>–</w:t>
            </w:r>
            <w:r w:rsidRPr="00A906A4">
              <w:t>25 actual figure is significantly higher than the 2024</w:t>
            </w:r>
            <w:r w:rsidR="005C1105" w:rsidRPr="00A906A4">
              <w:t>–</w:t>
            </w:r>
            <w:r w:rsidRPr="00A906A4">
              <w:t>25 target as it reflects a higher number of carers reached through online group events delivered through both Additional Respite for Carers and Support for Carers Program. This move to online service delivery has persisted beyond the immediate post-pandemic period. To address this, a review of data and reporting systems and frameworks associated with these programs, including counting rules, has been completed and changes to the reporting systems have been implemented for the 2025</w:t>
            </w:r>
            <w:r w:rsidR="005C1105" w:rsidRPr="00A906A4">
              <w:t>–</w:t>
            </w:r>
            <w:r w:rsidRPr="00A906A4">
              <w:t>26 financial year. Measures and targets are also under review for the 2026</w:t>
            </w:r>
            <w:r w:rsidR="005C1105" w:rsidRPr="00A906A4">
              <w:t>–</w:t>
            </w:r>
            <w:r w:rsidRPr="00A906A4">
              <w:t>27 financial year.</w:t>
            </w:r>
          </w:p>
        </w:tc>
      </w:tr>
      <w:tr w:rsidR="0064038E" w:rsidRPr="00F07EE7" w14:paraId="294DBC53" w14:textId="77777777" w:rsidTr="00B84A9C">
        <w:trPr>
          <w:cantSplit/>
        </w:trPr>
        <w:tc>
          <w:tcPr>
            <w:tcW w:w="4744" w:type="dxa"/>
            <w:tcBorders>
              <w:top w:val="single" w:sz="4" w:space="0" w:color="BFBFBF" w:themeColor="background1" w:themeShade="BF"/>
              <w:bottom w:val="nil"/>
            </w:tcBorders>
          </w:tcPr>
          <w:p w14:paraId="5A0881F0" w14:textId="47EE0B7F" w:rsidR="0064038E" w:rsidRPr="002C779D" w:rsidRDefault="0064038E">
            <w:pPr>
              <w:pStyle w:val="ARtabletext"/>
            </w:pPr>
            <w:r w:rsidRPr="002C779D">
              <w:t>Open rates for Seniors Card e</w:t>
            </w:r>
            <w:r w:rsidR="001F186A">
              <w:t>-</w:t>
            </w:r>
            <w:r w:rsidRPr="002C779D">
              <w:t>Newsletters</w:t>
            </w:r>
          </w:p>
        </w:tc>
        <w:tc>
          <w:tcPr>
            <w:tcW w:w="1018" w:type="dxa"/>
            <w:tcBorders>
              <w:top w:val="single" w:sz="4" w:space="0" w:color="BFBFBF" w:themeColor="background1" w:themeShade="BF"/>
              <w:bottom w:val="nil"/>
            </w:tcBorders>
          </w:tcPr>
          <w:p w14:paraId="136DB213" w14:textId="77777777" w:rsidR="0064038E" w:rsidRPr="002C779D" w:rsidRDefault="0064038E">
            <w:pPr>
              <w:pStyle w:val="ARtabletext"/>
            </w:pPr>
            <w:r>
              <w:t>per cent</w:t>
            </w:r>
          </w:p>
        </w:tc>
        <w:tc>
          <w:tcPr>
            <w:tcW w:w="1020" w:type="dxa"/>
            <w:tcBorders>
              <w:top w:val="single" w:sz="4" w:space="0" w:color="BFBFBF" w:themeColor="background1" w:themeShade="BF"/>
              <w:bottom w:val="nil"/>
            </w:tcBorders>
          </w:tcPr>
          <w:p w14:paraId="72554D3A" w14:textId="77777777" w:rsidR="0064038E" w:rsidRPr="002C779D" w:rsidRDefault="0064038E">
            <w:pPr>
              <w:pStyle w:val="ARtabletextright"/>
            </w:pPr>
            <w:r w:rsidRPr="002C779D">
              <w:t>48</w:t>
            </w:r>
          </w:p>
        </w:tc>
        <w:tc>
          <w:tcPr>
            <w:tcW w:w="1022" w:type="dxa"/>
            <w:tcBorders>
              <w:top w:val="single" w:sz="4" w:space="0" w:color="BFBFBF" w:themeColor="background1" w:themeShade="BF"/>
              <w:bottom w:val="nil"/>
            </w:tcBorders>
          </w:tcPr>
          <w:p w14:paraId="4D80B177" w14:textId="77777777" w:rsidR="0064038E" w:rsidRPr="002C779D" w:rsidRDefault="0064038E">
            <w:pPr>
              <w:pStyle w:val="ARtabletextright"/>
            </w:pPr>
            <w:r w:rsidRPr="002C779D">
              <w:t>60.2</w:t>
            </w:r>
          </w:p>
        </w:tc>
        <w:tc>
          <w:tcPr>
            <w:tcW w:w="1026" w:type="dxa"/>
            <w:tcBorders>
              <w:top w:val="single" w:sz="4" w:space="0" w:color="BFBFBF" w:themeColor="background1" w:themeShade="BF"/>
              <w:bottom w:val="nil"/>
            </w:tcBorders>
          </w:tcPr>
          <w:p w14:paraId="5D2504C2" w14:textId="77777777" w:rsidR="0064038E" w:rsidRPr="002C779D" w:rsidRDefault="0064038E">
            <w:pPr>
              <w:pStyle w:val="ARtabletextright"/>
            </w:pPr>
            <w:r w:rsidRPr="002C779D">
              <w:t>25.4%</w:t>
            </w:r>
          </w:p>
        </w:tc>
        <w:tc>
          <w:tcPr>
            <w:tcW w:w="802" w:type="dxa"/>
            <w:gridSpan w:val="2"/>
            <w:tcBorders>
              <w:top w:val="single" w:sz="4" w:space="0" w:color="BFBFBF" w:themeColor="background1" w:themeShade="BF"/>
              <w:bottom w:val="nil"/>
            </w:tcBorders>
          </w:tcPr>
          <w:p w14:paraId="70348135" w14:textId="77777777" w:rsidR="0064038E" w:rsidRPr="002C779D" w:rsidRDefault="0064038E">
            <w:pPr>
              <w:pStyle w:val="ARtableperformancesymbol"/>
              <w:rPr>
                <w:rFonts w:hint="eastAsia"/>
                <w:lang w:val="en-AU"/>
              </w:rPr>
            </w:pPr>
            <w:r w:rsidRPr="002C779D">
              <w:rPr>
                <w:rFonts w:eastAsia="Wingdings" w:cs="Wingdings"/>
              </w:rPr>
              <w:t></w:t>
            </w:r>
          </w:p>
        </w:tc>
      </w:tr>
      <w:tr w:rsidR="0064038E" w:rsidRPr="00F07EE7" w14:paraId="4915CE11" w14:textId="77777777" w:rsidTr="00B84A9C">
        <w:trPr>
          <w:cantSplit/>
        </w:trPr>
        <w:tc>
          <w:tcPr>
            <w:tcW w:w="9632" w:type="dxa"/>
            <w:gridSpan w:val="7"/>
            <w:tcBorders>
              <w:top w:val="nil"/>
              <w:bottom w:val="single" w:sz="4" w:space="0" w:color="A6A6A6" w:themeColor="accent5"/>
            </w:tcBorders>
          </w:tcPr>
          <w:p w14:paraId="263E8F8D" w14:textId="6202B4CC" w:rsidR="0064038E" w:rsidRPr="00F07EE7" w:rsidRDefault="004C6E5F" w:rsidP="00130336">
            <w:pPr>
              <w:pStyle w:val="ARtablenoteindent"/>
              <w:rPr>
                <w:highlight w:val="cyan"/>
              </w:rPr>
            </w:pPr>
            <w:r w:rsidRPr="00A906A4">
              <w:t>The 2024</w:t>
            </w:r>
            <w:r w:rsidR="005C1105" w:rsidRPr="00A906A4">
              <w:t>–</w:t>
            </w:r>
            <w:r w:rsidRPr="00A906A4">
              <w:t>25 outcome exceeds the 2024</w:t>
            </w:r>
            <w:r w:rsidR="005C1105" w:rsidRPr="00A906A4">
              <w:t>–</w:t>
            </w:r>
            <w:r w:rsidRPr="00A906A4">
              <w:t>25 target due to effective strategies to increase open rates. These strategies include</w:t>
            </w:r>
            <w:r w:rsidR="00130336" w:rsidRPr="00A906A4">
              <w:t> </w:t>
            </w:r>
            <w:r w:rsidRPr="00A906A4">
              <w:t>ticket giveaways in the Seniors Card e-Newsletters, which incentivise recipients to open the emails and engage with the</w:t>
            </w:r>
            <w:r w:rsidR="00130336" w:rsidRPr="00A906A4">
              <w:t> </w:t>
            </w:r>
            <w:r w:rsidRPr="00A906A4">
              <w:t>content.</w:t>
            </w:r>
          </w:p>
        </w:tc>
      </w:tr>
      <w:tr w:rsidR="0064038E" w:rsidRPr="00F07EE7" w14:paraId="020E368F" w14:textId="77777777" w:rsidTr="00B84A9C">
        <w:trPr>
          <w:cantSplit/>
        </w:trPr>
        <w:tc>
          <w:tcPr>
            <w:tcW w:w="4744" w:type="dxa"/>
            <w:tcBorders>
              <w:top w:val="single" w:sz="4" w:space="0" w:color="A6A6A6" w:themeColor="accent5"/>
              <w:bottom w:val="nil"/>
            </w:tcBorders>
          </w:tcPr>
          <w:p w14:paraId="648F44B4" w14:textId="0878CDB6" w:rsidR="0064038E" w:rsidRPr="00D9224D" w:rsidRDefault="0064038E" w:rsidP="00130336">
            <w:pPr>
              <w:pStyle w:val="ARtabletext"/>
              <w:pageBreakBefore/>
            </w:pPr>
            <w:r w:rsidRPr="00D9224D">
              <w:lastRenderedPageBreak/>
              <w:t xml:space="preserve">Pension-level Supported Residential Services residents provided with service coordination and </w:t>
            </w:r>
            <w:r w:rsidR="003863AD">
              <w:br/>
            </w:r>
            <w:r w:rsidRPr="00D9224D">
              <w:t>support/brokerage services</w:t>
            </w:r>
          </w:p>
        </w:tc>
        <w:tc>
          <w:tcPr>
            <w:tcW w:w="1018" w:type="dxa"/>
            <w:tcBorders>
              <w:top w:val="single" w:sz="4" w:space="0" w:color="A6A6A6" w:themeColor="accent5"/>
              <w:bottom w:val="nil"/>
            </w:tcBorders>
          </w:tcPr>
          <w:p w14:paraId="674BA81F" w14:textId="77777777" w:rsidR="0064038E" w:rsidRPr="00D9224D" w:rsidRDefault="0064038E">
            <w:pPr>
              <w:pStyle w:val="ARtabletext"/>
            </w:pPr>
            <w:r>
              <w:t>number</w:t>
            </w:r>
          </w:p>
        </w:tc>
        <w:tc>
          <w:tcPr>
            <w:tcW w:w="1020" w:type="dxa"/>
            <w:tcBorders>
              <w:top w:val="single" w:sz="4" w:space="0" w:color="A6A6A6" w:themeColor="accent5"/>
              <w:bottom w:val="nil"/>
            </w:tcBorders>
          </w:tcPr>
          <w:p w14:paraId="5C7D9B54" w14:textId="77777777" w:rsidR="0064038E" w:rsidRPr="00D9224D" w:rsidRDefault="0064038E">
            <w:pPr>
              <w:pStyle w:val="ARtabletextright"/>
            </w:pPr>
            <w:r w:rsidRPr="00D9224D">
              <w:t>1,040</w:t>
            </w:r>
          </w:p>
        </w:tc>
        <w:tc>
          <w:tcPr>
            <w:tcW w:w="1022" w:type="dxa"/>
            <w:tcBorders>
              <w:top w:val="single" w:sz="4" w:space="0" w:color="A6A6A6" w:themeColor="accent5"/>
              <w:bottom w:val="nil"/>
            </w:tcBorders>
          </w:tcPr>
          <w:p w14:paraId="59BCDF33" w14:textId="77777777" w:rsidR="0064038E" w:rsidRPr="00D9224D" w:rsidRDefault="0064038E">
            <w:pPr>
              <w:pStyle w:val="ARtabletextright"/>
            </w:pPr>
            <w:r w:rsidRPr="00D9224D">
              <w:t>1,144</w:t>
            </w:r>
          </w:p>
        </w:tc>
        <w:tc>
          <w:tcPr>
            <w:tcW w:w="1026" w:type="dxa"/>
            <w:tcBorders>
              <w:top w:val="single" w:sz="4" w:space="0" w:color="A6A6A6" w:themeColor="accent5"/>
              <w:bottom w:val="nil"/>
            </w:tcBorders>
          </w:tcPr>
          <w:p w14:paraId="3DCB80C4" w14:textId="77777777" w:rsidR="0064038E" w:rsidRPr="00D9224D" w:rsidRDefault="0064038E">
            <w:pPr>
              <w:pStyle w:val="ARtabletextright"/>
            </w:pPr>
            <w:r w:rsidRPr="00D9224D">
              <w:t>10.0%</w:t>
            </w:r>
          </w:p>
        </w:tc>
        <w:tc>
          <w:tcPr>
            <w:tcW w:w="802" w:type="dxa"/>
            <w:gridSpan w:val="2"/>
            <w:tcBorders>
              <w:top w:val="single" w:sz="4" w:space="0" w:color="A6A6A6" w:themeColor="accent5"/>
              <w:bottom w:val="nil"/>
            </w:tcBorders>
          </w:tcPr>
          <w:p w14:paraId="4317C5DB" w14:textId="77777777" w:rsidR="0064038E" w:rsidRPr="00D9224D" w:rsidRDefault="0064038E">
            <w:pPr>
              <w:pStyle w:val="ARtableperformancesymbol"/>
              <w:rPr>
                <w:rFonts w:hint="eastAsia"/>
                <w:lang w:val="en-AU"/>
              </w:rPr>
            </w:pPr>
            <w:r w:rsidRPr="00D9224D">
              <w:rPr>
                <w:rFonts w:eastAsia="Wingdings" w:cs="Wingdings"/>
              </w:rPr>
              <w:t></w:t>
            </w:r>
          </w:p>
        </w:tc>
      </w:tr>
      <w:tr w:rsidR="0064038E" w:rsidRPr="00F07EE7" w14:paraId="6A3F037D" w14:textId="77777777">
        <w:trPr>
          <w:cantSplit/>
        </w:trPr>
        <w:tc>
          <w:tcPr>
            <w:tcW w:w="9632" w:type="dxa"/>
            <w:gridSpan w:val="7"/>
            <w:tcBorders>
              <w:top w:val="nil"/>
              <w:bottom w:val="single" w:sz="4" w:space="0" w:color="BFBFBF" w:themeColor="background1" w:themeShade="BF"/>
            </w:tcBorders>
          </w:tcPr>
          <w:p w14:paraId="764FB0D0" w14:textId="77777777" w:rsidR="0064038E" w:rsidRPr="00F07EE7" w:rsidRDefault="0064038E" w:rsidP="00130336">
            <w:pPr>
              <w:pStyle w:val="ARtablenoteindent"/>
              <w:rPr>
                <w:highlight w:val="cyan"/>
              </w:rPr>
            </w:pPr>
            <w:r w:rsidRPr="00D9224D">
              <w:t>The 2024</w:t>
            </w:r>
            <w:r>
              <w:t>–</w:t>
            </w:r>
            <w:r w:rsidRPr="00D9224D">
              <w:t xml:space="preserve">25 result </w:t>
            </w:r>
            <w:r w:rsidRPr="00130336">
              <w:t>exceeded</w:t>
            </w:r>
            <w:r w:rsidRPr="00D9224D">
              <w:t xml:space="preserve"> the </w:t>
            </w:r>
            <w:r w:rsidRPr="00130336">
              <w:t>target</w:t>
            </w:r>
            <w:r w:rsidRPr="00D9224D">
              <w:t xml:space="preserve"> due to implementation of program reforms, including data reporting mechanisms, which improved data recording of actual clients assisted.</w:t>
            </w:r>
          </w:p>
        </w:tc>
      </w:tr>
      <w:tr w:rsidR="0064038E" w:rsidRPr="00F07EE7" w14:paraId="6ABA84D1" w14:textId="77777777">
        <w:trPr>
          <w:cantSplit/>
        </w:trPr>
        <w:tc>
          <w:tcPr>
            <w:tcW w:w="4744" w:type="dxa"/>
            <w:tcBorders>
              <w:top w:val="single" w:sz="4" w:space="0" w:color="BFBFBF" w:themeColor="background1" w:themeShade="BF"/>
              <w:bottom w:val="nil"/>
            </w:tcBorders>
          </w:tcPr>
          <w:p w14:paraId="0E75C0C8" w14:textId="77777777" w:rsidR="0064038E" w:rsidRPr="00CA3D57" w:rsidRDefault="0064038E" w:rsidP="00130336">
            <w:pPr>
              <w:pStyle w:val="ARtabletext"/>
            </w:pPr>
            <w:r w:rsidRPr="00CA3D57">
              <w:t>Pension-level beds available in assisted Supported Residential Services facilities</w:t>
            </w:r>
          </w:p>
        </w:tc>
        <w:tc>
          <w:tcPr>
            <w:tcW w:w="1018" w:type="dxa"/>
            <w:tcBorders>
              <w:top w:val="single" w:sz="4" w:space="0" w:color="BFBFBF" w:themeColor="background1" w:themeShade="BF"/>
              <w:bottom w:val="nil"/>
            </w:tcBorders>
          </w:tcPr>
          <w:p w14:paraId="5671817C" w14:textId="77777777" w:rsidR="0064038E" w:rsidRPr="00CA3D57" w:rsidRDefault="0064038E">
            <w:pPr>
              <w:pStyle w:val="ARtabletext"/>
            </w:pPr>
            <w:r>
              <w:t>number</w:t>
            </w:r>
          </w:p>
        </w:tc>
        <w:tc>
          <w:tcPr>
            <w:tcW w:w="1020" w:type="dxa"/>
            <w:tcBorders>
              <w:top w:val="single" w:sz="4" w:space="0" w:color="BFBFBF" w:themeColor="background1" w:themeShade="BF"/>
              <w:bottom w:val="nil"/>
            </w:tcBorders>
          </w:tcPr>
          <w:p w14:paraId="5B81612A" w14:textId="77777777" w:rsidR="0064038E" w:rsidRPr="00CA3D57" w:rsidRDefault="0064038E">
            <w:pPr>
              <w:pStyle w:val="ARtabletextright"/>
            </w:pPr>
            <w:r w:rsidRPr="00CA3D57">
              <w:t>1,393</w:t>
            </w:r>
          </w:p>
        </w:tc>
        <w:tc>
          <w:tcPr>
            <w:tcW w:w="1022" w:type="dxa"/>
            <w:tcBorders>
              <w:top w:val="single" w:sz="4" w:space="0" w:color="BFBFBF" w:themeColor="background1" w:themeShade="BF"/>
              <w:bottom w:val="nil"/>
            </w:tcBorders>
          </w:tcPr>
          <w:p w14:paraId="0D797069" w14:textId="77777777" w:rsidR="0064038E" w:rsidRPr="00CA3D57" w:rsidRDefault="0064038E">
            <w:pPr>
              <w:pStyle w:val="ARtabletextright"/>
            </w:pPr>
            <w:r w:rsidRPr="00CA3D57">
              <w:t>2,335</w:t>
            </w:r>
          </w:p>
        </w:tc>
        <w:tc>
          <w:tcPr>
            <w:tcW w:w="1026" w:type="dxa"/>
            <w:tcBorders>
              <w:top w:val="single" w:sz="4" w:space="0" w:color="BFBFBF" w:themeColor="background1" w:themeShade="BF"/>
              <w:bottom w:val="nil"/>
            </w:tcBorders>
          </w:tcPr>
          <w:p w14:paraId="06DA320E" w14:textId="77777777" w:rsidR="0064038E" w:rsidRPr="00CA3D57" w:rsidRDefault="0064038E">
            <w:pPr>
              <w:pStyle w:val="ARtabletextright"/>
            </w:pPr>
            <w:r w:rsidRPr="00CA3D57">
              <w:t>67.6%</w:t>
            </w:r>
          </w:p>
        </w:tc>
        <w:tc>
          <w:tcPr>
            <w:tcW w:w="802" w:type="dxa"/>
            <w:gridSpan w:val="2"/>
            <w:tcBorders>
              <w:top w:val="single" w:sz="4" w:space="0" w:color="BFBFBF" w:themeColor="background1" w:themeShade="BF"/>
              <w:bottom w:val="nil"/>
            </w:tcBorders>
          </w:tcPr>
          <w:p w14:paraId="7BBF089E" w14:textId="77777777" w:rsidR="0064038E" w:rsidRPr="00CA3D57" w:rsidRDefault="0064038E">
            <w:pPr>
              <w:pStyle w:val="ARtableperformancesymbol"/>
              <w:rPr>
                <w:rFonts w:hint="eastAsia"/>
                <w:lang w:val="en-AU"/>
              </w:rPr>
            </w:pPr>
            <w:r w:rsidRPr="00CA3D57">
              <w:rPr>
                <w:rFonts w:eastAsia="Wingdings" w:cs="Wingdings"/>
              </w:rPr>
              <w:t></w:t>
            </w:r>
          </w:p>
        </w:tc>
      </w:tr>
      <w:tr w:rsidR="0064038E" w:rsidRPr="00F07EE7" w14:paraId="0512ED27" w14:textId="77777777">
        <w:trPr>
          <w:cantSplit/>
        </w:trPr>
        <w:tc>
          <w:tcPr>
            <w:tcW w:w="9632" w:type="dxa"/>
            <w:gridSpan w:val="7"/>
            <w:tcBorders>
              <w:top w:val="nil"/>
              <w:bottom w:val="single" w:sz="4" w:space="0" w:color="BFBFBF" w:themeColor="background1" w:themeShade="BF"/>
            </w:tcBorders>
          </w:tcPr>
          <w:p w14:paraId="108623AA" w14:textId="77777777" w:rsidR="0064038E" w:rsidRPr="00F07EE7" w:rsidRDefault="0064038E" w:rsidP="00130336">
            <w:pPr>
              <w:pStyle w:val="ARtablenoteindent"/>
              <w:rPr>
                <w:highlight w:val="cyan"/>
              </w:rPr>
            </w:pPr>
            <w:r w:rsidRPr="003A63DD">
              <w:t>The 2024</w:t>
            </w:r>
            <w:r>
              <w:t>–</w:t>
            </w:r>
            <w:r w:rsidRPr="003A63DD">
              <w:t xml:space="preserve">25 result exceeded </w:t>
            </w:r>
            <w:r w:rsidRPr="00130336">
              <w:t>target</w:t>
            </w:r>
            <w:r w:rsidRPr="003A63DD">
              <w:t xml:space="preserve"> due to program reform, within existing budget, that enabled more Supported Residential Services (SRS) to receive </w:t>
            </w:r>
            <w:r w:rsidRPr="008B5DCF">
              <w:t>recurrent</w:t>
            </w:r>
            <w:r w:rsidRPr="003A63DD">
              <w:t xml:space="preserve"> assistance for the first time.</w:t>
            </w:r>
          </w:p>
        </w:tc>
      </w:tr>
      <w:tr w:rsidR="0064038E" w:rsidRPr="00F07EE7" w14:paraId="3A811C75" w14:textId="77777777">
        <w:trPr>
          <w:cantSplit/>
        </w:trPr>
        <w:tc>
          <w:tcPr>
            <w:tcW w:w="4744" w:type="dxa"/>
            <w:tcBorders>
              <w:top w:val="single" w:sz="4" w:space="0" w:color="BFBFBF" w:themeColor="background1" w:themeShade="BF"/>
              <w:bottom w:val="nil"/>
            </w:tcBorders>
          </w:tcPr>
          <w:p w14:paraId="4220B414" w14:textId="77777777" w:rsidR="0064038E" w:rsidRPr="00751B79" w:rsidRDefault="0064038E">
            <w:pPr>
              <w:pStyle w:val="ARtabletext"/>
            </w:pPr>
            <w:r w:rsidRPr="00751B79">
              <w:t>University of the Third Age membership</w:t>
            </w:r>
          </w:p>
        </w:tc>
        <w:tc>
          <w:tcPr>
            <w:tcW w:w="1018" w:type="dxa"/>
            <w:tcBorders>
              <w:top w:val="single" w:sz="4" w:space="0" w:color="BFBFBF" w:themeColor="background1" w:themeShade="BF"/>
              <w:bottom w:val="nil"/>
            </w:tcBorders>
          </w:tcPr>
          <w:p w14:paraId="7BA944F8" w14:textId="77777777" w:rsidR="0064038E" w:rsidRPr="00751B79" w:rsidRDefault="0064038E">
            <w:pPr>
              <w:pStyle w:val="ARtabletext"/>
            </w:pPr>
            <w:r>
              <w:t>number</w:t>
            </w:r>
          </w:p>
        </w:tc>
        <w:tc>
          <w:tcPr>
            <w:tcW w:w="1020" w:type="dxa"/>
            <w:tcBorders>
              <w:top w:val="single" w:sz="4" w:space="0" w:color="BFBFBF" w:themeColor="background1" w:themeShade="BF"/>
              <w:bottom w:val="nil"/>
            </w:tcBorders>
          </w:tcPr>
          <w:p w14:paraId="27C7D8E7" w14:textId="77777777" w:rsidR="0064038E" w:rsidRPr="00751B79" w:rsidRDefault="0064038E">
            <w:pPr>
              <w:pStyle w:val="ARtabletextright"/>
            </w:pPr>
            <w:r w:rsidRPr="00751B79">
              <w:t xml:space="preserve">34,000 </w:t>
            </w:r>
          </w:p>
        </w:tc>
        <w:tc>
          <w:tcPr>
            <w:tcW w:w="1022" w:type="dxa"/>
            <w:tcBorders>
              <w:top w:val="single" w:sz="4" w:space="0" w:color="BFBFBF" w:themeColor="background1" w:themeShade="BF"/>
              <w:bottom w:val="nil"/>
            </w:tcBorders>
          </w:tcPr>
          <w:p w14:paraId="38D8E4AB" w14:textId="77777777" w:rsidR="0064038E" w:rsidRPr="00751B79" w:rsidRDefault="0064038E">
            <w:pPr>
              <w:pStyle w:val="ARtabletextright"/>
            </w:pPr>
            <w:r w:rsidRPr="00751B79">
              <w:t>40,205</w:t>
            </w:r>
          </w:p>
        </w:tc>
        <w:tc>
          <w:tcPr>
            <w:tcW w:w="1026" w:type="dxa"/>
            <w:tcBorders>
              <w:top w:val="single" w:sz="4" w:space="0" w:color="BFBFBF" w:themeColor="background1" w:themeShade="BF"/>
              <w:bottom w:val="nil"/>
            </w:tcBorders>
          </w:tcPr>
          <w:p w14:paraId="73C94A49" w14:textId="77777777" w:rsidR="0064038E" w:rsidRPr="00751B79" w:rsidRDefault="0064038E">
            <w:pPr>
              <w:pStyle w:val="ARtabletextright"/>
            </w:pPr>
            <w:r w:rsidRPr="00751B79">
              <w:t>18.3%</w:t>
            </w:r>
          </w:p>
        </w:tc>
        <w:tc>
          <w:tcPr>
            <w:tcW w:w="802" w:type="dxa"/>
            <w:gridSpan w:val="2"/>
            <w:tcBorders>
              <w:top w:val="single" w:sz="4" w:space="0" w:color="BFBFBF" w:themeColor="background1" w:themeShade="BF"/>
              <w:bottom w:val="nil"/>
            </w:tcBorders>
          </w:tcPr>
          <w:p w14:paraId="0C33CE61" w14:textId="77777777" w:rsidR="0064038E" w:rsidRPr="00751B79" w:rsidRDefault="0064038E">
            <w:pPr>
              <w:pStyle w:val="ARtableperformancesymbol"/>
              <w:rPr>
                <w:rFonts w:hint="eastAsia"/>
                <w:lang w:val="en-AU"/>
              </w:rPr>
            </w:pPr>
            <w:r w:rsidRPr="00751B79">
              <w:rPr>
                <w:rFonts w:eastAsia="Wingdings" w:cs="Wingdings"/>
              </w:rPr>
              <w:t></w:t>
            </w:r>
          </w:p>
        </w:tc>
      </w:tr>
      <w:tr w:rsidR="0064038E" w:rsidRPr="00F07EE7" w14:paraId="19481F59" w14:textId="77777777" w:rsidTr="006C102A">
        <w:tblPrEx>
          <w:tblBorders>
            <w:top w:val="none" w:sz="0" w:space="0" w:color="auto"/>
            <w:bottom w:val="none" w:sz="0" w:space="0" w:color="auto"/>
            <w:insideH w:val="none" w:sz="0" w:space="0" w:color="auto"/>
          </w:tblBorders>
        </w:tblPrEx>
        <w:trPr>
          <w:cantSplit/>
        </w:trPr>
        <w:tc>
          <w:tcPr>
            <w:tcW w:w="9632" w:type="dxa"/>
            <w:gridSpan w:val="7"/>
            <w:tcBorders>
              <w:bottom w:val="single" w:sz="4" w:space="0" w:color="auto"/>
            </w:tcBorders>
            <w:noWrap/>
            <w:hideMark/>
          </w:tcPr>
          <w:p w14:paraId="062D7758" w14:textId="3F33B9F7" w:rsidR="0064038E" w:rsidRPr="00F07EE7" w:rsidRDefault="0064038E" w:rsidP="00130336">
            <w:pPr>
              <w:pStyle w:val="ARtablenoteindent"/>
              <w:rPr>
                <w:highlight w:val="cyan"/>
              </w:rPr>
            </w:pPr>
            <w:r w:rsidRPr="00751B79">
              <w:t>The 2024</w:t>
            </w:r>
            <w:r>
              <w:t>–</w:t>
            </w:r>
            <w:r w:rsidRPr="00751B79">
              <w:t>25 outcome is higher than the 2024</w:t>
            </w:r>
            <w:r>
              <w:t>–</w:t>
            </w:r>
            <w:r w:rsidRPr="00751B79">
              <w:t xml:space="preserve">25 target and reflects older people continuing to engage in social participation and </w:t>
            </w:r>
            <w:proofErr w:type="spellStart"/>
            <w:proofErr w:type="gramStart"/>
            <w:r w:rsidRPr="00751B79">
              <w:t>life long</w:t>
            </w:r>
            <w:proofErr w:type="spellEnd"/>
            <w:proofErr w:type="gramEnd"/>
            <w:r w:rsidRPr="00751B79">
              <w:t xml:space="preserve"> learning activities. Each year U3A </w:t>
            </w:r>
            <w:r w:rsidRPr="00130336">
              <w:t>Network</w:t>
            </w:r>
            <w:r w:rsidRPr="00751B79">
              <w:t xml:space="preserve"> focuses on increasing members across 103 U3A clubs in Victoria.</w:t>
            </w:r>
            <w:r w:rsidR="00FA74F9">
              <w:t xml:space="preserve"> </w:t>
            </w:r>
            <w:r w:rsidRPr="00751B79">
              <w:t>Membership numbers can fluctuate year to year and depend on club offerings and public engagement.</w:t>
            </w:r>
          </w:p>
        </w:tc>
      </w:tr>
      <w:tr w:rsidR="0064038E" w:rsidRPr="004A665A" w14:paraId="0A499513" w14:textId="77777777" w:rsidTr="006C102A">
        <w:tblPrEx>
          <w:tblBorders>
            <w:top w:val="none" w:sz="0" w:space="0" w:color="auto"/>
            <w:bottom w:val="none" w:sz="0" w:space="0" w:color="auto"/>
            <w:insideH w:val="none" w:sz="0" w:space="0" w:color="auto"/>
          </w:tblBorders>
        </w:tblPrEx>
        <w:trPr>
          <w:cantSplit/>
        </w:trPr>
        <w:tc>
          <w:tcPr>
            <w:tcW w:w="9632" w:type="dxa"/>
            <w:gridSpan w:val="7"/>
            <w:tcBorders>
              <w:top w:val="single" w:sz="4" w:space="0" w:color="auto"/>
              <w:left w:val="nil"/>
              <w:bottom w:val="single" w:sz="4" w:space="0" w:color="A6A6A6" w:themeColor="accent5"/>
              <w:right w:val="nil"/>
            </w:tcBorders>
            <w:hideMark/>
          </w:tcPr>
          <w:p w14:paraId="7EE74B88" w14:textId="77777777" w:rsidR="0064038E" w:rsidRPr="004A665A" w:rsidRDefault="0064038E">
            <w:pPr>
              <w:pStyle w:val="ARtablegreybold"/>
            </w:pPr>
            <w:r w:rsidRPr="004A665A">
              <w:t>Quality</w:t>
            </w:r>
          </w:p>
        </w:tc>
      </w:tr>
      <w:tr w:rsidR="0064038E" w:rsidRPr="00F07EE7" w14:paraId="08313834" w14:textId="77777777" w:rsidTr="006C102A">
        <w:trPr>
          <w:gridAfter w:val="1"/>
          <w:wAfter w:w="8" w:type="dxa"/>
          <w:cantSplit/>
        </w:trPr>
        <w:tc>
          <w:tcPr>
            <w:tcW w:w="4744" w:type="dxa"/>
            <w:tcBorders>
              <w:top w:val="single" w:sz="4" w:space="0" w:color="A6A6A6" w:themeColor="accent5"/>
              <w:bottom w:val="nil"/>
            </w:tcBorders>
          </w:tcPr>
          <w:p w14:paraId="43E8A656" w14:textId="77777777" w:rsidR="0064038E" w:rsidRPr="00F07EE7" w:rsidRDefault="0064038E">
            <w:pPr>
              <w:pStyle w:val="ARtabletext"/>
              <w:rPr>
                <w:highlight w:val="cyan"/>
              </w:rPr>
            </w:pPr>
            <w:r w:rsidRPr="00A122EE">
              <w:t>Senior satisfaction with Victorian Seniors Festival events</w:t>
            </w:r>
          </w:p>
        </w:tc>
        <w:tc>
          <w:tcPr>
            <w:tcW w:w="1018" w:type="dxa"/>
            <w:tcBorders>
              <w:top w:val="single" w:sz="4" w:space="0" w:color="A6A6A6" w:themeColor="accent5"/>
              <w:bottom w:val="nil"/>
            </w:tcBorders>
          </w:tcPr>
          <w:p w14:paraId="4F420011" w14:textId="77777777" w:rsidR="0064038E" w:rsidRPr="00F07EE7" w:rsidRDefault="0064038E">
            <w:pPr>
              <w:pStyle w:val="ARtabletext"/>
              <w:rPr>
                <w:highlight w:val="cyan"/>
              </w:rPr>
            </w:pPr>
            <w:r>
              <w:t>per cent</w:t>
            </w:r>
          </w:p>
        </w:tc>
        <w:tc>
          <w:tcPr>
            <w:tcW w:w="1020" w:type="dxa"/>
            <w:tcBorders>
              <w:top w:val="single" w:sz="4" w:space="0" w:color="A6A6A6" w:themeColor="accent5"/>
              <w:bottom w:val="nil"/>
            </w:tcBorders>
          </w:tcPr>
          <w:p w14:paraId="32096950" w14:textId="77777777" w:rsidR="0064038E" w:rsidRPr="00F07EE7" w:rsidRDefault="0064038E">
            <w:pPr>
              <w:pStyle w:val="ARtabletextright"/>
              <w:rPr>
                <w:highlight w:val="cyan"/>
              </w:rPr>
            </w:pPr>
            <w:r w:rsidRPr="00A122EE">
              <w:t>90</w:t>
            </w:r>
            <w:r>
              <w:t>.0</w:t>
            </w:r>
          </w:p>
        </w:tc>
        <w:tc>
          <w:tcPr>
            <w:tcW w:w="1022" w:type="dxa"/>
            <w:tcBorders>
              <w:top w:val="single" w:sz="4" w:space="0" w:color="A6A6A6" w:themeColor="accent5"/>
              <w:bottom w:val="nil"/>
            </w:tcBorders>
          </w:tcPr>
          <w:p w14:paraId="2E19F370" w14:textId="77777777" w:rsidR="0064038E" w:rsidRPr="00F07EE7" w:rsidRDefault="0064038E">
            <w:pPr>
              <w:pStyle w:val="ARtabletextright"/>
              <w:rPr>
                <w:highlight w:val="cyan"/>
              </w:rPr>
            </w:pPr>
            <w:r w:rsidRPr="00A122EE">
              <w:t>90</w:t>
            </w:r>
            <w:r>
              <w:t>.0</w:t>
            </w:r>
          </w:p>
        </w:tc>
        <w:tc>
          <w:tcPr>
            <w:tcW w:w="1026" w:type="dxa"/>
            <w:tcBorders>
              <w:top w:val="single" w:sz="4" w:space="0" w:color="A6A6A6" w:themeColor="accent5"/>
              <w:bottom w:val="nil"/>
            </w:tcBorders>
          </w:tcPr>
          <w:p w14:paraId="349CCD34" w14:textId="77777777" w:rsidR="0064038E" w:rsidRPr="00F07EE7" w:rsidRDefault="0064038E">
            <w:pPr>
              <w:pStyle w:val="ARtabletextright"/>
              <w:rPr>
                <w:highlight w:val="cyan"/>
              </w:rPr>
            </w:pPr>
            <w:r w:rsidRPr="007A48AF">
              <w:t>0</w:t>
            </w:r>
            <w:r>
              <w:t>.0</w:t>
            </w:r>
            <w:r w:rsidRPr="007A48AF">
              <w:t>%</w:t>
            </w:r>
          </w:p>
        </w:tc>
        <w:tc>
          <w:tcPr>
            <w:tcW w:w="794" w:type="dxa"/>
            <w:tcBorders>
              <w:top w:val="single" w:sz="4" w:space="0" w:color="A6A6A6" w:themeColor="accent5"/>
              <w:bottom w:val="nil"/>
            </w:tcBorders>
          </w:tcPr>
          <w:p w14:paraId="7E792299" w14:textId="77777777" w:rsidR="0064038E" w:rsidRPr="00F07EE7" w:rsidRDefault="0064038E">
            <w:pPr>
              <w:pStyle w:val="ARtableperformancesymbol"/>
              <w:rPr>
                <w:rFonts w:hint="eastAsia"/>
                <w:highlight w:val="cyan"/>
                <w:lang w:val="en-AU"/>
              </w:rPr>
            </w:pPr>
            <w:r w:rsidRPr="00E80E4D">
              <w:rPr>
                <w:rFonts w:eastAsia="Wingdings" w:cs="Wingdings"/>
              </w:rPr>
              <w:t></w:t>
            </w:r>
          </w:p>
        </w:tc>
      </w:tr>
      <w:tr w:rsidR="0064038E" w:rsidRPr="00F07EE7" w14:paraId="0949254E" w14:textId="77777777" w:rsidTr="000E6EC6">
        <w:trPr>
          <w:cantSplit/>
        </w:trPr>
        <w:tc>
          <w:tcPr>
            <w:tcW w:w="9632" w:type="dxa"/>
            <w:gridSpan w:val="7"/>
            <w:tcBorders>
              <w:top w:val="single" w:sz="4" w:space="0" w:color="000000" w:themeColor="text1"/>
              <w:bottom w:val="single" w:sz="4" w:space="0" w:color="000000" w:themeColor="text1"/>
              <w:right w:val="nil"/>
            </w:tcBorders>
            <w:hideMark/>
          </w:tcPr>
          <w:p w14:paraId="6345D6AA" w14:textId="77777777" w:rsidR="0064038E" w:rsidRPr="002A21CC" w:rsidRDefault="0064038E">
            <w:pPr>
              <w:pStyle w:val="ARtablegreybold"/>
            </w:pPr>
            <w:r w:rsidRPr="002A21CC">
              <w:t>Cost</w:t>
            </w:r>
          </w:p>
        </w:tc>
      </w:tr>
      <w:tr w:rsidR="0064038E" w:rsidRPr="00F07EE7" w14:paraId="1743CCF0" w14:textId="77777777" w:rsidTr="000E6EC6">
        <w:trPr>
          <w:cantSplit/>
        </w:trPr>
        <w:tc>
          <w:tcPr>
            <w:tcW w:w="4744" w:type="dxa"/>
            <w:tcBorders>
              <w:top w:val="single" w:sz="4" w:space="0" w:color="000000" w:themeColor="text1"/>
              <w:bottom w:val="nil"/>
            </w:tcBorders>
            <w:vAlign w:val="bottom"/>
            <w:hideMark/>
          </w:tcPr>
          <w:p w14:paraId="5628EA3D" w14:textId="77777777" w:rsidR="0064038E" w:rsidRPr="00F07EE7" w:rsidRDefault="0064038E" w:rsidP="000F6AD6">
            <w:pPr>
              <w:pStyle w:val="ARtabletextbold"/>
              <w:rPr>
                <w:highlight w:val="cyan"/>
              </w:rPr>
            </w:pPr>
            <w:r w:rsidRPr="00B15965">
              <w:t>Total output cost</w:t>
            </w:r>
          </w:p>
        </w:tc>
        <w:tc>
          <w:tcPr>
            <w:tcW w:w="1018" w:type="dxa"/>
            <w:tcBorders>
              <w:top w:val="single" w:sz="4" w:space="0" w:color="000000" w:themeColor="text1"/>
              <w:bottom w:val="nil"/>
            </w:tcBorders>
            <w:hideMark/>
          </w:tcPr>
          <w:p w14:paraId="7AAF1C3E" w14:textId="77777777" w:rsidR="0064038E" w:rsidRPr="00F07EE7" w:rsidRDefault="0064038E">
            <w:pPr>
              <w:pStyle w:val="ARtabletext"/>
              <w:rPr>
                <w:b/>
                <w:highlight w:val="cyan"/>
              </w:rPr>
            </w:pPr>
            <w:r w:rsidRPr="009B5071">
              <w:rPr>
                <w:b/>
              </w:rPr>
              <w:t>$ million</w:t>
            </w:r>
          </w:p>
        </w:tc>
        <w:tc>
          <w:tcPr>
            <w:tcW w:w="1020" w:type="dxa"/>
            <w:tcBorders>
              <w:top w:val="single" w:sz="4" w:space="0" w:color="000000" w:themeColor="text1"/>
              <w:bottom w:val="nil"/>
            </w:tcBorders>
          </w:tcPr>
          <w:p w14:paraId="2ADB80EB" w14:textId="77777777" w:rsidR="0064038E" w:rsidRPr="00F07EE7" w:rsidRDefault="0064038E">
            <w:pPr>
              <w:pStyle w:val="ARtabletextrightbold"/>
              <w:rPr>
                <w:highlight w:val="cyan"/>
              </w:rPr>
            </w:pPr>
            <w:r w:rsidRPr="00B15965">
              <w:t>60.8</w:t>
            </w:r>
          </w:p>
        </w:tc>
        <w:tc>
          <w:tcPr>
            <w:tcW w:w="1022" w:type="dxa"/>
            <w:tcBorders>
              <w:top w:val="single" w:sz="4" w:space="0" w:color="000000" w:themeColor="text1"/>
              <w:bottom w:val="nil"/>
            </w:tcBorders>
          </w:tcPr>
          <w:p w14:paraId="41ED7DBB" w14:textId="77777777" w:rsidR="0064038E" w:rsidRPr="00F07EE7" w:rsidRDefault="0064038E">
            <w:pPr>
              <w:pStyle w:val="ARtabletextrightbold"/>
              <w:rPr>
                <w:highlight w:val="cyan"/>
              </w:rPr>
            </w:pPr>
            <w:r w:rsidRPr="00B15965">
              <w:t>65.0</w:t>
            </w:r>
          </w:p>
        </w:tc>
        <w:tc>
          <w:tcPr>
            <w:tcW w:w="1026" w:type="dxa"/>
            <w:tcBorders>
              <w:top w:val="single" w:sz="4" w:space="0" w:color="000000" w:themeColor="text1"/>
              <w:bottom w:val="nil"/>
            </w:tcBorders>
          </w:tcPr>
          <w:p w14:paraId="4EFD37EA" w14:textId="6E303612" w:rsidR="0064038E" w:rsidRPr="00B5241D" w:rsidRDefault="0064038E">
            <w:pPr>
              <w:pStyle w:val="ARtabletextrightbold"/>
              <w:rPr>
                <w:highlight w:val="yellow"/>
              </w:rPr>
            </w:pPr>
            <w:r w:rsidRPr="00A906A4">
              <w:t>7.0%</w:t>
            </w:r>
          </w:p>
        </w:tc>
        <w:tc>
          <w:tcPr>
            <w:tcW w:w="802" w:type="dxa"/>
            <w:gridSpan w:val="2"/>
            <w:tcBorders>
              <w:top w:val="single" w:sz="4" w:space="0" w:color="000000" w:themeColor="text1"/>
              <w:bottom w:val="nil"/>
            </w:tcBorders>
          </w:tcPr>
          <w:p w14:paraId="6356E2B3" w14:textId="77777777" w:rsidR="0064038E" w:rsidRPr="009B5071" w:rsidRDefault="0064038E">
            <w:pPr>
              <w:pStyle w:val="ARtableperformancesymbol"/>
              <w:rPr>
                <w:rFonts w:hint="eastAsia"/>
                <w:highlight w:val="cyan"/>
              </w:rPr>
            </w:pPr>
            <w:r w:rsidRPr="009B5071">
              <w:rPr>
                <w:rFonts w:eastAsia="Wingdings" w:cs="Wingdings"/>
              </w:rPr>
              <w:t></w:t>
            </w:r>
          </w:p>
        </w:tc>
      </w:tr>
      <w:tr w:rsidR="00EA3A68" w:rsidRPr="00F07EE7" w14:paraId="1E4F2490" w14:textId="77777777" w:rsidTr="000E6EC6">
        <w:trPr>
          <w:cantSplit/>
        </w:trPr>
        <w:tc>
          <w:tcPr>
            <w:tcW w:w="9632" w:type="dxa"/>
            <w:gridSpan w:val="7"/>
            <w:tcBorders>
              <w:top w:val="nil"/>
              <w:bottom w:val="single" w:sz="4" w:space="0" w:color="000000" w:themeColor="text1"/>
            </w:tcBorders>
            <w:vAlign w:val="bottom"/>
          </w:tcPr>
          <w:p w14:paraId="3A4FB13C" w14:textId="42D3526A" w:rsidR="00EA3A68" w:rsidRPr="00EA3A68" w:rsidRDefault="00EA3A68" w:rsidP="00130336">
            <w:pPr>
              <w:pStyle w:val="ARtablenoteindent"/>
            </w:pPr>
            <w:r w:rsidRPr="00EA3A68">
              <w:t xml:space="preserve">The higher actual primarily </w:t>
            </w:r>
            <w:r w:rsidRPr="00130336">
              <w:t>reflects</w:t>
            </w:r>
            <w:r w:rsidRPr="00EA3A68">
              <w:t xml:space="preserve"> additional funding for government initiatives.</w:t>
            </w:r>
          </w:p>
        </w:tc>
      </w:tr>
    </w:tbl>
    <w:p w14:paraId="1F19D9D9" w14:textId="77777777" w:rsidR="0064038E" w:rsidRPr="003A4E52" w:rsidRDefault="0064038E">
      <w:pPr>
        <w:pStyle w:val="Heading3"/>
      </w:pPr>
      <w:r w:rsidRPr="003A4E52">
        <w:t>Support to veterans in Victoria</w:t>
      </w:r>
    </w:p>
    <w:p w14:paraId="3DC71853" w14:textId="77777777" w:rsidR="0064038E" w:rsidRPr="003A4E52" w:rsidRDefault="0064038E">
      <w:pPr>
        <w:pStyle w:val="ARbody"/>
      </w:pPr>
      <w:r>
        <w:t>This output provides coordination of veteran-related issues at a state level, especially in relation to commemoration, education programs, grant programs, employment initiatives, research and veteran welfare. This output supports the Shrine of Remembrance and the Victorian Veterans Council.</w:t>
      </w:r>
    </w:p>
    <w:tbl>
      <w:tblPr>
        <w:tblW w:w="9639" w:type="dxa"/>
        <w:tblLayout w:type="fixed"/>
        <w:tblCellMar>
          <w:left w:w="0" w:type="dxa"/>
        </w:tblCellMar>
        <w:tblLook w:val="06A0" w:firstRow="1" w:lastRow="0" w:firstColumn="1" w:lastColumn="0" w:noHBand="1" w:noVBand="1"/>
      </w:tblPr>
      <w:tblGrid>
        <w:gridCol w:w="4747"/>
        <w:gridCol w:w="1018"/>
        <w:gridCol w:w="1021"/>
        <w:gridCol w:w="1023"/>
        <w:gridCol w:w="1027"/>
        <w:gridCol w:w="795"/>
        <w:gridCol w:w="8"/>
      </w:tblGrid>
      <w:tr w:rsidR="0064038E" w:rsidRPr="00F07EE7" w14:paraId="40DFF195" w14:textId="77777777" w:rsidTr="006C102A">
        <w:trPr>
          <w:cantSplit/>
          <w:tblHeader/>
        </w:trPr>
        <w:tc>
          <w:tcPr>
            <w:tcW w:w="4747" w:type="dxa"/>
            <w:tcBorders>
              <w:top w:val="nil"/>
              <w:left w:val="nil"/>
              <w:bottom w:val="single" w:sz="4" w:space="0" w:color="auto"/>
              <w:right w:val="nil"/>
            </w:tcBorders>
            <w:vAlign w:val="bottom"/>
            <w:hideMark/>
          </w:tcPr>
          <w:p w14:paraId="19FCEE5D" w14:textId="77777777" w:rsidR="0064038E" w:rsidRPr="00F07EE7" w:rsidRDefault="0064038E">
            <w:pPr>
              <w:pStyle w:val="ARtablecolhead"/>
              <w:rPr>
                <w:highlight w:val="cyan"/>
              </w:rPr>
            </w:pPr>
            <w:r w:rsidRPr="009064E0">
              <w:t>Performance measures</w:t>
            </w:r>
          </w:p>
        </w:tc>
        <w:tc>
          <w:tcPr>
            <w:tcW w:w="1018" w:type="dxa"/>
            <w:tcBorders>
              <w:top w:val="nil"/>
              <w:left w:val="nil"/>
              <w:bottom w:val="single" w:sz="4" w:space="0" w:color="auto"/>
              <w:right w:val="nil"/>
            </w:tcBorders>
            <w:vAlign w:val="bottom"/>
            <w:hideMark/>
          </w:tcPr>
          <w:p w14:paraId="175120D5" w14:textId="77777777" w:rsidR="0064038E" w:rsidRPr="00F07EE7" w:rsidRDefault="0064038E">
            <w:pPr>
              <w:pStyle w:val="ARtablecolhead"/>
              <w:rPr>
                <w:highlight w:val="cyan"/>
              </w:rPr>
            </w:pPr>
            <w:r w:rsidRPr="009064E0">
              <w:t>Unit of measure</w:t>
            </w:r>
          </w:p>
        </w:tc>
        <w:tc>
          <w:tcPr>
            <w:tcW w:w="1021" w:type="dxa"/>
            <w:tcBorders>
              <w:top w:val="nil"/>
              <w:left w:val="nil"/>
              <w:bottom w:val="single" w:sz="4" w:space="0" w:color="auto"/>
              <w:right w:val="nil"/>
            </w:tcBorders>
            <w:vAlign w:val="bottom"/>
            <w:hideMark/>
          </w:tcPr>
          <w:p w14:paraId="1E6543F4" w14:textId="77777777" w:rsidR="0064038E" w:rsidRPr="00F07EE7" w:rsidRDefault="0064038E">
            <w:pPr>
              <w:pStyle w:val="ARtablecolheadright"/>
              <w:rPr>
                <w:highlight w:val="cyan"/>
              </w:rPr>
            </w:pPr>
            <w:r w:rsidRPr="009064E0">
              <w:t>2024–25 target</w:t>
            </w:r>
          </w:p>
        </w:tc>
        <w:tc>
          <w:tcPr>
            <w:tcW w:w="1023" w:type="dxa"/>
            <w:tcBorders>
              <w:top w:val="nil"/>
              <w:left w:val="nil"/>
              <w:bottom w:val="single" w:sz="4" w:space="0" w:color="auto"/>
              <w:right w:val="nil"/>
            </w:tcBorders>
            <w:vAlign w:val="bottom"/>
            <w:hideMark/>
          </w:tcPr>
          <w:p w14:paraId="2DECA070" w14:textId="77777777" w:rsidR="0064038E" w:rsidRPr="00F07EE7" w:rsidRDefault="0064038E">
            <w:pPr>
              <w:pStyle w:val="ARtablecolheadright"/>
              <w:rPr>
                <w:highlight w:val="cyan"/>
              </w:rPr>
            </w:pPr>
            <w:r w:rsidRPr="009064E0">
              <w:t>2024–25 actual</w:t>
            </w:r>
          </w:p>
        </w:tc>
        <w:tc>
          <w:tcPr>
            <w:tcW w:w="1027" w:type="dxa"/>
            <w:tcBorders>
              <w:top w:val="nil"/>
              <w:left w:val="nil"/>
              <w:bottom w:val="single" w:sz="4" w:space="0" w:color="auto"/>
              <w:right w:val="nil"/>
            </w:tcBorders>
            <w:vAlign w:val="bottom"/>
            <w:hideMark/>
          </w:tcPr>
          <w:p w14:paraId="69D3B663" w14:textId="77777777" w:rsidR="0064038E" w:rsidRPr="00F07EE7" w:rsidRDefault="0064038E">
            <w:pPr>
              <w:pStyle w:val="ARtablecolheadright"/>
              <w:rPr>
                <w:highlight w:val="cyan"/>
              </w:rPr>
            </w:pPr>
            <w:r w:rsidRPr="009064E0">
              <w:t xml:space="preserve">Variation </w:t>
            </w:r>
          </w:p>
        </w:tc>
        <w:tc>
          <w:tcPr>
            <w:tcW w:w="803" w:type="dxa"/>
            <w:gridSpan w:val="2"/>
            <w:tcBorders>
              <w:top w:val="nil"/>
              <w:left w:val="nil"/>
              <w:bottom w:val="single" w:sz="4" w:space="0" w:color="auto"/>
              <w:right w:val="nil"/>
            </w:tcBorders>
            <w:vAlign w:val="bottom"/>
            <w:hideMark/>
          </w:tcPr>
          <w:p w14:paraId="7A08DBAA" w14:textId="77777777" w:rsidR="0064038E" w:rsidRPr="00F07EE7" w:rsidRDefault="0064038E">
            <w:pPr>
              <w:pStyle w:val="ARtablecolheadcentre"/>
              <w:rPr>
                <w:highlight w:val="cyan"/>
              </w:rPr>
            </w:pPr>
            <w:r w:rsidRPr="009064E0">
              <w:t>Result</w:t>
            </w:r>
          </w:p>
        </w:tc>
      </w:tr>
      <w:tr w:rsidR="0064038E" w:rsidRPr="00F07EE7" w14:paraId="44150602" w14:textId="77777777" w:rsidTr="006C102A">
        <w:trPr>
          <w:cantSplit/>
        </w:trPr>
        <w:tc>
          <w:tcPr>
            <w:tcW w:w="9639" w:type="dxa"/>
            <w:gridSpan w:val="7"/>
            <w:tcBorders>
              <w:top w:val="single" w:sz="4" w:space="0" w:color="auto"/>
              <w:bottom w:val="single" w:sz="4" w:space="0" w:color="A6A6A6" w:themeColor="accent5"/>
            </w:tcBorders>
            <w:hideMark/>
          </w:tcPr>
          <w:p w14:paraId="6A43BF76" w14:textId="77777777" w:rsidR="0064038E" w:rsidRPr="003A4E52" w:rsidRDefault="0064038E">
            <w:pPr>
              <w:pStyle w:val="ARtablegreybold"/>
            </w:pPr>
            <w:r w:rsidRPr="003A4E52">
              <w:t>Quantity</w:t>
            </w:r>
          </w:p>
        </w:tc>
      </w:tr>
      <w:tr w:rsidR="0064038E" w:rsidRPr="00F07EE7" w14:paraId="26655623" w14:textId="77777777" w:rsidTr="006C102A">
        <w:trPr>
          <w:cantSplit/>
        </w:trPr>
        <w:tc>
          <w:tcPr>
            <w:tcW w:w="4747" w:type="dxa"/>
            <w:tcBorders>
              <w:top w:val="single" w:sz="4" w:space="0" w:color="A6A6A6" w:themeColor="accent5"/>
            </w:tcBorders>
          </w:tcPr>
          <w:p w14:paraId="75944308" w14:textId="77777777" w:rsidR="0064038E" w:rsidRPr="000436A0" w:rsidRDefault="0064038E">
            <w:pPr>
              <w:pStyle w:val="ARtabletext"/>
              <w:spacing w:line="252" w:lineRule="auto"/>
            </w:pPr>
            <w:r w:rsidRPr="000436A0">
              <w:t>Community engagement – Shrine ceremonial activities, public and student education programs, tours and general visitation</w:t>
            </w:r>
          </w:p>
        </w:tc>
        <w:tc>
          <w:tcPr>
            <w:tcW w:w="1018" w:type="dxa"/>
            <w:tcBorders>
              <w:top w:val="single" w:sz="4" w:space="0" w:color="A6A6A6" w:themeColor="accent5"/>
            </w:tcBorders>
          </w:tcPr>
          <w:p w14:paraId="53DC6E9C" w14:textId="77777777" w:rsidR="0064038E" w:rsidRPr="000436A0" w:rsidRDefault="0064038E">
            <w:pPr>
              <w:pStyle w:val="ARtabletext"/>
              <w:spacing w:line="252" w:lineRule="auto"/>
            </w:pPr>
            <w:r>
              <w:t>number</w:t>
            </w:r>
          </w:p>
        </w:tc>
        <w:tc>
          <w:tcPr>
            <w:tcW w:w="1021" w:type="dxa"/>
            <w:tcBorders>
              <w:top w:val="single" w:sz="4" w:space="0" w:color="A6A6A6" w:themeColor="accent5"/>
            </w:tcBorders>
          </w:tcPr>
          <w:p w14:paraId="4A8C354E" w14:textId="77777777" w:rsidR="0064038E" w:rsidRPr="000436A0" w:rsidRDefault="0064038E">
            <w:pPr>
              <w:pStyle w:val="ARtabletextright"/>
              <w:spacing w:line="252" w:lineRule="auto"/>
            </w:pPr>
            <w:r w:rsidRPr="000436A0">
              <w:t>750,000</w:t>
            </w:r>
          </w:p>
        </w:tc>
        <w:tc>
          <w:tcPr>
            <w:tcW w:w="1023" w:type="dxa"/>
            <w:tcBorders>
              <w:top w:val="single" w:sz="4" w:space="0" w:color="A6A6A6" w:themeColor="accent5"/>
            </w:tcBorders>
          </w:tcPr>
          <w:p w14:paraId="7FE5DAFB" w14:textId="77777777" w:rsidR="0064038E" w:rsidRPr="000436A0" w:rsidRDefault="0064038E">
            <w:pPr>
              <w:pStyle w:val="ARtabletextright"/>
              <w:spacing w:line="252" w:lineRule="auto"/>
            </w:pPr>
            <w:r w:rsidRPr="000436A0">
              <w:t>1,711,320</w:t>
            </w:r>
          </w:p>
        </w:tc>
        <w:tc>
          <w:tcPr>
            <w:tcW w:w="1027" w:type="dxa"/>
            <w:tcBorders>
              <w:top w:val="single" w:sz="4" w:space="0" w:color="A6A6A6" w:themeColor="accent5"/>
            </w:tcBorders>
          </w:tcPr>
          <w:p w14:paraId="300ED3BC" w14:textId="77777777" w:rsidR="0064038E" w:rsidRPr="000436A0" w:rsidRDefault="0064038E">
            <w:pPr>
              <w:pStyle w:val="ARtabletextright"/>
              <w:spacing w:line="252" w:lineRule="auto"/>
            </w:pPr>
            <w:r w:rsidRPr="000436A0">
              <w:t>128.2%</w:t>
            </w:r>
          </w:p>
        </w:tc>
        <w:tc>
          <w:tcPr>
            <w:tcW w:w="803" w:type="dxa"/>
            <w:gridSpan w:val="2"/>
            <w:tcBorders>
              <w:top w:val="single" w:sz="4" w:space="0" w:color="A6A6A6" w:themeColor="accent5"/>
            </w:tcBorders>
          </w:tcPr>
          <w:p w14:paraId="43DD9336" w14:textId="77777777" w:rsidR="0064038E" w:rsidRPr="000436A0" w:rsidRDefault="0064038E">
            <w:pPr>
              <w:pStyle w:val="ARtableperformancesymbol"/>
              <w:spacing w:line="252" w:lineRule="auto"/>
              <w:rPr>
                <w:rFonts w:hint="eastAsia"/>
                <w:lang w:val="en-AU"/>
              </w:rPr>
            </w:pPr>
            <w:r w:rsidRPr="000436A0">
              <w:rPr>
                <w:rFonts w:eastAsia="Wingdings" w:cs="Wingdings"/>
              </w:rPr>
              <w:t></w:t>
            </w:r>
          </w:p>
        </w:tc>
      </w:tr>
      <w:tr w:rsidR="0064038E" w:rsidRPr="00F07EE7" w14:paraId="3B798F21" w14:textId="77777777">
        <w:trPr>
          <w:cantSplit/>
        </w:trPr>
        <w:tc>
          <w:tcPr>
            <w:tcW w:w="9639" w:type="dxa"/>
            <w:gridSpan w:val="7"/>
            <w:tcBorders>
              <w:bottom w:val="single" w:sz="4" w:space="0" w:color="A6A6A6"/>
            </w:tcBorders>
            <w:noWrap/>
            <w:hideMark/>
          </w:tcPr>
          <w:p w14:paraId="18A63630" w14:textId="77777777" w:rsidR="0064038E" w:rsidRPr="00F07EE7" w:rsidRDefault="0064038E" w:rsidP="00130336">
            <w:pPr>
              <w:pStyle w:val="ARtablenoteindent"/>
              <w:rPr>
                <w:highlight w:val="cyan"/>
              </w:rPr>
            </w:pPr>
            <w:r w:rsidRPr="000436A0">
              <w:t>The Shrine</w:t>
            </w:r>
            <w:r>
              <w:t>’</w:t>
            </w:r>
            <w:r w:rsidRPr="000436A0">
              <w:t>s digital channels attracted strong viewership in 2024</w:t>
            </w:r>
            <w:r>
              <w:t>–</w:t>
            </w:r>
            <w:r w:rsidRPr="000436A0">
              <w:t xml:space="preserve">25 resulting in over 1 million people engaging in its website, livestream commemorative services </w:t>
            </w:r>
            <w:r w:rsidRPr="00130336">
              <w:t>and</w:t>
            </w:r>
            <w:r w:rsidRPr="000436A0">
              <w:t>/or social media content.</w:t>
            </w:r>
          </w:p>
        </w:tc>
      </w:tr>
      <w:tr w:rsidR="0064038E" w:rsidRPr="00F07EE7" w14:paraId="74493B10" w14:textId="77777777">
        <w:trPr>
          <w:gridAfter w:val="1"/>
          <w:wAfter w:w="8" w:type="dxa"/>
          <w:cantSplit/>
        </w:trPr>
        <w:tc>
          <w:tcPr>
            <w:tcW w:w="4747" w:type="dxa"/>
          </w:tcPr>
          <w:p w14:paraId="4174A79A" w14:textId="77777777" w:rsidR="0064038E" w:rsidRPr="00033E83" w:rsidRDefault="0064038E">
            <w:pPr>
              <w:pStyle w:val="ARtabletext"/>
            </w:pPr>
            <w:r w:rsidRPr="00033E83">
              <w:t>Entries received – Premier’s Spirit of Anzac Prize</w:t>
            </w:r>
          </w:p>
        </w:tc>
        <w:tc>
          <w:tcPr>
            <w:tcW w:w="1018" w:type="dxa"/>
          </w:tcPr>
          <w:p w14:paraId="334E84C8" w14:textId="77777777" w:rsidR="0064038E" w:rsidRPr="00033E83" w:rsidRDefault="0064038E">
            <w:pPr>
              <w:pStyle w:val="ARtabletext"/>
            </w:pPr>
            <w:r>
              <w:t>number</w:t>
            </w:r>
          </w:p>
        </w:tc>
        <w:tc>
          <w:tcPr>
            <w:tcW w:w="1021" w:type="dxa"/>
          </w:tcPr>
          <w:p w14:paraId="6648AB38" w14:textId="77777777" w:rsidR="0064038E" w:rsidRPr="00033E83" w:rsidRDefault="0064038E">
            <w:pPr>
              <w:pStyle w:val="ARtabletextright"/>
            </w:pPr>
            <w:r w:rsidRPr="00033E83">
              <w:t>100</w:t>
            </w:r>
          </w:p>
        </w:tc>
        <w:tc>
          <w:tcPr>
            <w:tcW w:w="1023" w:type="dxa"/>
          </w:tcPr>
          <w:p w14:paraId="0CDD76E3" w14:textId="77777777" w:rsidR="0064038E" w:rsidRPr="00033E83" w:rsidRDefault="0064038E">
            <w:pPr>
              <w:pStyle w:val="ARtabletextright"/>
            </w:pPr>
            <w:r w:rsidRPr="00033E83">
              <w:t>215</w:t>
            </w:r>
          </w:p>
        </w:tc>
        <w:tc>
          <w:tcPr>
            <w:tcW w:w="1027" w:type="dxa"/>
          </w:tcPr>
          <w:p w14:paraId="27269964" w14:textId="77777777" w:rsidR="0064038E" w:rsidRPr="00033E83" w:rsidRDefault="0064038E">
            <w:pPr>
              <w:pStyle w:val="ARtabletextright"/>
            </w:pPr>
            <w:r w:rsidRPr="00033E83">
              <w:t>115.0%</w:t>
            </w:r>
          </w:p>
        </w:tc>
        <w:tc>
          <w:tcPr>
            <w:tcW w:w="795" w:type="dxa"/>
          </w:tcPr>
          <w:p w14:paraId="0ED74A47" w14:textId="77777777" w:rsidR="0064038E" w:rsidRPr="00033E83" w:rsidRDefault="0064038E">
            <w:pPr>
              <w:pStyle w:val="ARtableperformancesymbol"/>
              <w:rPr>
                <w:rFonts w:hint="eastAsia"/>
                <w:lang w:val="en-AU"/>
              </w:rPr>
            </w:pPr>
            <w:r w:rsidRPr="00033E83">
              <w:rPr>
                <w:rFonts w:eastAsia="Wingdings" w:cs="Wingdings"/>
              </w:rPr>
              <w:t></w:t>
            </w:r>
          </w:p>
        </w:tc>
      </w:tr>
      <w:tr w:rsidR="0064038E" w:rsidRPr="00F07EE7" w14:paraId="1CAF6294" w14:textId="77777777">
        <w:trPr>
          <w:cantSplit/>
        </w:trPr>
        <w:tc>
          <w:tcPr>
            <w:tcW w:w="9639" w:type="dxa"/>
            <w:gridSpan w:val="7"/>
            <w:tcBorders>
              <w:bottom w:val="single" w:sz="4" w:space="0" w:color="BFBFBF" w:themeColor="background1" w:themeShade="BF"/>
            </w:tcBorders>
          </w:tcPr>
          <w:p w14:paraId="386BDAA3" w14:textId="7B2897AE" w:rsidR="0064038E" w:rsidRPr="00F07EE7" w:rsidRDefault="0064038E" w:rsidP="00130336">
            <w:pPr>
              <w:pStyle w:val="ARtablenoteindent"/>
              <w:rPr>
                <w:highlight w:val="cyan"/>
              </w:rPr>
            </w:pPr>
            <w:r w:rsidRPr="00033E83">
              <w:t>The 2024</w:t>
            </w:r>
            <w:r>
              <w:t>–</w:t>
            </w:r>
            <w:r w:rsidRPr="00033E83">
              <w:t xml:space="preserve">25 outcome is higher </w:t>
            </w:r>
            <w:r w:rsidRPr="00130336">
              <w:t>than</w:t>
            </w:r>
            <w:r w:rsidRPr="00033E83">
              <w:t xml:space="preserve"> the 2024</w:t>
            </w:r>
            <w:r>
              <w:t>–</w:t>
            </w:r>
            <w:r w:rsidRPr="00033E83">
              <w:t>25 target due to program and communications enhancements implemented for the 2025 Premier’s Spirit of Anzac Prize competition. This streamlined application requirements and boosted promotional</w:t>
            </w:r>
            <w:r w:rsidR="00130336">
              <w:t> </w:t>
            </w:r>
            <w:r w:rsidRPr="00033E83">
              <w:t>opportunities.</w:t>
            </w:r>
          </w:p>
        </w:tc>
      </w:tr>
      <w:tr w:rsidR="0064038E" w:rsidRPr="00F07EE7" w14:paraId="2951C8A0" w14:textId="77777777" w:rsidTr="00B84A9C">
        <w:trPr>
          <w:cantSplit/>
        </w:trPr>
        <w:tc>
          <w:tcPr>
            <w:tcW w:w="4747" w:type="dxa"/>
            <w:tcBorders>
              <w:top w:val="single" w:sz="4" w:space="0" w:color="A6A6A6"/>
              <w:bottom w:val="single" w:sz="4" w:space="0" w:color="auto"/>
            </w:tcBorders>
          </w:tcPr>
          <w:p w14:paraId="0F65868F" w14:textId="77777777" w:rsidR="0064038E" w:rsidRPr="006240FD" w:rsidRDefault="0064038E">
            <w:pPr>
              <w:pStyle w:val="ARtabletext"/>
              <w:spacing w:line="252" w:lineRule="auto"/>
            </w:pPr>
            <w:r w:rsidRPr="006240FD">
              <w:t>Number of veterans employed annually in the Victorian Public Sector</w:t>
            </w:r>
          </w:p>
        </w:tc>
        <w:tc>
          <w:tcPr>
            <w:tcW w:w="1018" w:type="dxa"/>
            <w:tcBorders>
              <w:top w:val="single" w:sz="4" w:space="0" w:color="A6A6A6"/>
              <w:bottom w:val="single" w:sz="4" w:space="0" w:color="auto"/>
            </w:tcBorders>
          </w:tcPr>
          <w:p w14:paraId="44E7D7AB" w14:textId="77777777" w:rsidR="0064038E" w:rsidRPr="006240FD" w:rsidRDefault="0064038E">
            <w:pPr>
              <w:pStyle w:val="ARtabletext"/>
              <w:spacing w:line="252" w:lineRule="auto"/>
            </w:pPr>
            <w:r>
              <w:t>number</w:t>
            </w:r>
          </w:p>
        </w:tc>
        <w:tc>
          <w:tcPr>
            <w:tcW w:w="1021" w:type="dxa"/>
            <w:tcBorders>
              <w:top w:val="single" w:sz="4" w:space="0" w:color="A6A6A6"/>
              <w:bottom w:val="single" w:sz="4" w:space="0" w:color="auto"/>
            </w:tcBorders>
          </w:tcPr>
          <w:p w14:paraId="0D498C0C" w14:textId="77777777" w:rsidR="0064038E" w:rsidRPr="006240FD" w:rsidRDefault="0064038E">
            <w:pPr>
              <w:pStyle w:val="ARtabletextright"/>
              <w:spacing w:line="252" w:lineRule="auto"/>
            </w:pPr>
            <w:r w:rsidRPr="006240FD">
              <w:t>263</w:t>
            </w:r>
          </w:p>
        </w:tc>
        <w:tc>
          <w:tcPr>
            <w:tcW w:w="1023" w:type="dxa"/>
            <w:tcBorders>
              <w:top w:val="single" w:sz="4" w:space="0" w:color="A6A6A6"/>
              <w:bottom w:val="single" w:sz="4" w:space="0" w:color="auto"/>
            </w:tcBorders>
          </w:tcPr>
          <w:p w14:paraId="598E626D" w14:textId="1E7B6E4F" w:rsidR="0064038E" w:rsidRPr="00A906A4" w:rsidRDefault="0064038E">
            <w:pPr>
              <w:pStyle w:val="ARtabletextright"/>
              <w:spacing w:line="252" w:lineRule="auto"/>
            </w:pPr>
            <w:r w:rsidRPr="00A906A4">
              <w:t>2</w:t>
            </w:r>
            <w:r w:rsidR="00EA3A68" w:rsidRPr="00A906A4">
              <w:t>55</w:t>
            </w:r>
          </w:p>
        </w:tc>
        <w:tc>
          <w:tcPr>
            <w:tcW w:w="1027" w:type="dxa"/>
            <w:tcBorders>
              <w:top w:val="single" w:sz="4" w:space="0" w:color="A6A6A6"/>
              <w:bottom w:val="single" w:sz="4" w:space="0" w:color="auto"/>
            </w:tcBorders>
          </w:tcPr>
          <w:p w14:paraId="4662E709" w14:textId="4A4B9684" w:rsidR="0064038E" w:rsidRPr="00A906A4" w:rsidRDefault="00430898">
            <w:pPr>
              <w:pStyle w:val="ARtabletextright"/>
              <w:spacing w:line="252" w:lineRule="auto"/>
            </w:pPr>
            <w:r>
              <w:t>−</w:t>
            </w:r>
            <w:r w:rsidR="00EA3A68" w:rsidRPr="00A906A4">
              <w:t>3</w:t>
            </w:r>
            <w:r w:rsidR="0064038E" w:rsidRPr="00A906A4">
              <w:t>.0%</w:t>
            </w:r>
          </w:p>
        </w:tc>
        <w:tc>
          <w:tcPr>
            <w:tcW w:w="803" w:type="dxa"/>
            <w:gridSpan w:val="2"/>
            <w:tcBorders>
              <w:top w:val="single" w:sz="4" w:space="0" w:color="A6A6A6"/>
              <w:bottom w:val="single" w:sz="4" w:space="0" w:color="auto"/>
            </w:tcBorders>
          </w:tcPr>
          <w:p w14:paraId="5B460C46" w14:textId="7F437C3B" w:rsidR="0064038E" w:rsidRPr="006240FD" w:rsidRDefault="00FB01ED">
            <w:pPr>
              <w:pStyle w:val="ARtableperformancesymbol"/>
              <w:spacing w:line="252" w:lineRule="auto"/>
              <w:rPr>
                <w:rFonts w:hint="eastAsia"/>
                <w:lang w:val="en-AU"/>
              </w:rPr>
            </w:pPr>
            <w:r w:rsidRPr="00703E00">
              <w:t>□</w:t>
            </w:r>
          </w:p>
        </w:tc>
      </w:tr>
      <w:tr w:rsidR="0064038E" w:rsidRPr="00F07EE7" w14:paraId="1F583145" w14:textId="77777777" w:rsidTr="00B84A9C">
        <w:trPr>
          <w:cantSplit/>
        </w:trPr>
        <w:tc>
          <w:tcPr>
            <w:tcW w:w="9639" w:type="dxa"/>
            <w:gridSpan w:val="7"/>
            <w:tcBorders>
              <w:top w:val="single" w:sz="4" w:space="0" w:color="auto"/>
              <w:bottom w:val="single" w:sz="4" w:space="0" w:color="A6A6A6" w:themeColor="accent5"/>
            </w:tcBorders>
          </w:tcPr>
          <w:p w14:paraId="22A7EDBD" w14:textId="77777777" w:rsidR="0064038E" w:rsidRPr="003A4E52" w:rsidRDefault="0064038E">
            <w:pPr>
              <w:pStyle w:val="ARtablegreybold"/>
              <w:spacing w:line="252" w:lineRule="auto"/>
              <w:rPr>
                <w:b w:val="0"/>
              </w:rPr>
            </w:pPr>
            <w:r w:rsidRPr="003A4E52">
              <w:t>Quality</w:t>
            </w:r>
          </w:p>
        </w:tc>
      </w:tr>
      <w:tr w:rsidR="0064038E" w:rsidRPr="00F07EE7" w14:paraId="3F17FFAB" w14:textId="77777777" w:rsidTr="00B84A9C">
        <w:trPr>
          <w:cantSplit/>
        </w:trPr>
        <w:tc>
          <w:tcPr>
            <w:tcW w:w="4747" w:type="dxa"/>
            <w:tcBorders>
              <w:top w:val="single" w:sz="4" w:space="0" w:color="A6A6A6" w:themeColor="accent5"/>
              <w:bottom w:val="single" w:sz="4" w:space="0" w:color="auto"/>
            </w:tcBorders>
          </w:tcPr>
          <w:p w14:paraId="1566F418" w14:textId="77777777" w:rsidR="0064038E" w:rsidRPr="0050329A" w:rsidRDefault="0064038E">
            <w:pPr>
              <w:pStyle w:val="ARtabletext"/>
              <w:spacing w:line="252" w:lineRule="auto"/>
            </w:pPr>
            <w:r w:rsidRPr="0050329A">
              <w:t>Commemorative and educative projects meet agreed project objectives</w:t>
            </w:r>
          </w:p>
        </w:tc>
        <w:tc>
          <w:tcPr>
            <w:tcW w:w="1018" w:type="dxa"/>
            <w:tcBorders>
              <w:top w:val="single" w:sz="4" w:space="0" w:color="A6A6A6" w:themeColor="accent5"/>
              <w:bottom w:val="single" w:sz="4" w:space="0" w:color="auto"/>
            </w:tcBorders>
          </w:tcPr>
          <w:p w14:paraId="29AEEFE5" w14:textId="77777777" w:rsidR="0064038E" w:rsidRPr="0050329A" w:rsidRDefault="0064038E">
            <w:pPr>
              <w:pStyle w:val="ARtabletext"/>
              <w:spacing w:line="252" w:lineRule="auto"/>
            </w:pPr>
            <w:r>
              <w:t>per cent</w:t>
            </w:r>
          </w:p>
        </w:tc>
        <w:tc>
          <w:tcPr>
            <w:tcW w:w="1021" w:type="dxa"/>
            <w:tcBorders>
              <w:top w:val="single" w:sz="4" w:space="0" w:color="A6A6A6" w:themeColor="accent5"/>
              <w:bottom w:val="single" w:sz="4" w:space="0" w:color="auto"/>
            </w:tcBorders>
          </w:tcPr>
          <w:p w14:paraId="3736005B" w14:textId="77777777" w:rsidR="0064038E" w:rsidRPr="0050329A" w:rsidRDefault="0064038E">
            <w:pPr>
              <w:pStyle w:val="ARtabletextright"/>
              <w:spacing w:line="252" w:lineRule="auto"/>
            </w:pPr>
            <w:r w:rsidRPr="0050329A">
              <w:t>100.0</w:t>
            </w:r>
          </w:p>
        </w:tc>
        <w:tc>
          <w:tcPr>
            <w:tcW w:w="1023" w:type="dxa"/>
            <w:tcBorders>
              <w:top w:val="single" w:sz="4" w:space="0" w:color="A6A6A6" w:themeColor="accent5"/>
              <w:bottom w:val="single" w:sz="4" w:space="0" w:color="auto"/>
            </w:tcBorders>
          </w:tcPr>
          <w:p w14:paraId="2DB86692" w14:textId="77777777" w:rsidR="0064038E" w:rsidRPr="0050329A" w:rsidRDefault="0064038E">
            <w:pPr>
              <w:pStyle w:val="ARtabletextright"/>
              <w:spacing w:line="252" w:lineRule="auto"/>
            </w:pPr>
            <w:r w:rsidRPr="0050329A">
              <w:t>100.0</w:t>
            </w:r>
          </w:p>
        </w:tc>
        <w:tc>
          <w:tcPr>
            <w:tcW w:w="1027" w:type="dxa"/>
            <w:tcBorders>
              <w:top w:val="single" w:sz="4" w:space="0" w:color="A6A6A6" w:themeColor="accent5"/>
              <w:bottom w:val="single" w:sz="4" w:space="0" w:color="auto"/>
            </w:tcBorders>
          </w:tcPr>
          <w:p w14:paraId="1643BBC5" w14:textId="77777777" w:rsidR="0064038E" w:rsidRPr="0050329A" w:rsidRDefault="0064038E">
            <w:pPr>
              <w:pStyle w:val="ARtabletextright"/>
              <w:spacing w:line="252" w:lineRule="auto"/>
            </w:pPr>
            <w:r w:rsidRPr="0050329A">
              <w:t>0%</w:t>
            </w:r>
          </w:p>
        </w:tc>
        <w:tc>
          <w:tcPr>
            <w:tcW w:w="803" w:type="dxa"/>
            <w:gridSpan w:val="2"/>
            <w:tcBorders>
              <w:top w:val="single" w:sz="4" w:space="0" w:color="A6A6A6" w:themeColor="accent5"/>
              <w:bottom w:val="single" w:sz="4" w:space="0" w:color="auto"/>
            </w:tcBorders>
          </w:tcPr>
          <w:p w14:paraId="3F87280B" w14:textId="77777777" w:rsidR="0064038E" w:rsidRPr="0050329A" w:rsidRDefault="0064038E">
            <w:pPr>
              <w:pStyle w:val="ARtableperformancesymbol"/>
              <w:spacing w:line="252" w:lineRule="auto"/>
              <w:rPr>
                <w:rFonts w:hint="eastAsia"/>
                <w:lang w:val="en-AU"/>
              </w:rPr>
            </w:pPr>
            <w:r w:rsidRPr="0050329A">
              <w:rPr>
                <w:rFonts w:eastAsia="Wingdings" w:cs="Wingdings"/>
              </w:rPr>
              <w:t></w:t>
            </w:r>
          </w:p>
        </w:tc>
      </w:tr>
      <w:tr w:rsidR="0064038E" w:rsidRPr="00F07EE7" w14:paraId="302A9BD1" w14:textId="77777777" w:rsidTr="00B84A9C">
        <w:trPr>
          <w:cantSplit/>
        </w:trPr>
        <w:tc>
          <w:tcPr>
            <w:tcW w:w="9639" w:type="dxa"/>
            <w:gridSpan w:val="7"/>
            <w:tcBorders>
              <w:top w:val="single" w:sz="4" w:space="0" w:color="auto"/>
              <w:bottom w:val="single" w:sz="4" w:space="0" w:color="A6A6A6" w:themeColor="accent5"/>
            </w:tcBorders>
            <w:hideMark/>
          </w:tcPr>
          <w:p w14:paraId="16B81C83" w14:textId="77777777" w:rsidR="0064038E" w:rsidRPr="003A4E52" w:rsidRDefault="0064038E">
            <w:pPr>
              <w:pStyle w:val="ARtablegreybold"/>
              <w:spacing w:line="252" w:lineRule="auto"/>
            </w:pPr>
            <w:r w:rsidRPr="003A4E52">
              <w:t>Timeliness</w:t>
            </w:r>
          </w:p>
        </w:tc>
      </w:tr>
      <w:tr w:rsidR="0064038E" w:rsidRPr="00F07EE7" w14:paraId="6A2B2749" w14:textId="77777777" w:rsidTr="00B84A9C">
        <w:trPr>
          <w:gridAfter w:val="1"/>
          <w:wAfter w:w="8" w:type="dxa"/>
          <w:cantSplit/>
        </w:trPr>
        <w:tc>
          <w:tcPr>
            <w:tcW w:w="4747" w:type="dxa"/>
            <w:tcBorders>
              <w:top w:val="single" w:sz="4" w:space="0" w:color="A6A6A6" w:themeColor="accent5"/>
              <w:bottom w:val="single" w:sz="4" w:space="0" w:color="auto"/>
            </w:tcBorders>
          </w:tcPr>
          <w:p w14:paraId="6DA86CAD" w14:textId="77777777" w:rsidR="0064038E" w:rsidRPr="0050329A" w:rsidRDefault="0064038E">
            <w:pPr>
              <w:pStyle w:val="ARtabletext"/>
              <w:spacing w:line="252" w:lineRule="auto"/>
            </w:pPr>
            <w:r w:rsidRPr="0050329A">
              <w:t>Deliver an annual program of grants within agreed, published timelines</w:t>
            </w:r>
          </w:p>
        </w:tc>
        <w:tc>
          <w:tcPr>
            <w:tcW w:w="1018" w:type="dxa"/>
            <w:tcBorders>
              <w:top w:val="single" w:sz="4" w:space="0" w:color="A6A6A6" w:themeColor="accent5"/>
              <w:bottom w:val="single" w:sz="4" w:space="0" w:color="auto"/>
            </w:tcBorders>
          </w:tcPr>
          <w:p w14:paraId="715E1B30" w14:textId="77777777" w:rsidR="0064038E" w:rsidRPr="0050329A" w:rsidRDefault="0064038E">
            <w:pPr>
              <w:pStyle w:val="ARtabletext"/>
              <w:spacing w:line="252" w:lineRule="auto"/>
            </w:pPr>
            <w:r w:rsidRPr="0050329A">
              <w:t>per cent</w:t>
            </w:r>
          </w:p>
        </w:tc>
        <w:tc>
          <w:tcPr>
            <w:tcW w:w="1021" w:type="dxa"/>
            <w:tcBorders>
              <w:top w:val="single" w:sz="4" w:space="0" w:color="A6A6A6" w:themeColor="accent5"/>
              <w:bottom w:val="single" w:sz="4" w:space="0" w:color="auto"/>
            </w:tcBorders>
          </w:tcPr>
          <w:p w14:paraId="4245E178" w14:textId="77777777" w:rsidR="0064038E" w:rsidRPr="0050329A" w:rsidRDefault="0064038E">
            <w:pPr>
              <w:pStyle w:val="ARtabletextright"/>
              <w:spacing w:line="252" w:lineRule="auto"/>
            </w:pPr>
            <w:r w:rsidRPr="0050329A">
              <w:t>100</w:t>
            </w:r>
          </w:p>
        </w:tc>
        <w:tc>
          <w:tcPr>
            <w:tcW w:w="1023" w:type="dxa"/>
            <w:tcBorders>
              <w:top w:val="single" w:sz="4" w:space="0" w:color="A6A6A6" w:themeColor="accent5"/>
              <w:bottom w:val="single" w:sz="4" w:space="0" w:color="auto"/>
            </w:tcBorders>
          </w:tcPr>
          <w:p w14:paraId="0DE79B21" w14:textId="77777777" w:rsidR="0064038E" w:rsidRPr="0050329A" w:rsidRDefault="0064038E">
            <w:pPr>
              <w:pStyle w:val="ARtabletextright"/>
              <w:spacing w:line="252" w:lineRule="auto"/>
            </w:pPr>
            <w:r w:rsidRPr="0050329A">
              <w:t>100</w:t>
            </w:r>
          </w:p>
        </w:tc>
        <w:tc>
          <w:tcPr>
            <w:tcW w:w="1027" w:type="dxa"/>
            <w:tcBorders>
              <w:top w:val="single" w:sz="4" w:space="0" w:color="A6A6A6" w:themeColor="accent5"/>
              <w:bottom w:val="single" w:sz="4" w:space="0" w:color="auto"/>
            </w:tcBorders>
          </w:tcPr>
          <w:p w14:paraId="0936EEFF" w14:textId="77777777" w:rsidR="0064038E" w:rsidRPr="0050329A" w:rsidRDefault="0064038E">
            <w:pPr>
              <w:pStyle w:val="ARtabletextright"/>
              <w:spacing w:line="252" w:lineRule="auto"/>
            </w:pPr>
            <w:r w:rsidRPr="0050329A">
              <w:t>0%</w:t>
            </w:r>
          </w:p>
        </w:tc>
        <w:tc>
          <w:tcPr>
            <w:tcW w:w="795" w:type="dxa"/>
            <w:tcBorders>
              <w:top w:val="single" w:sz="4" w:space="0" w:color="A6A6A6" w:themeColor="accent5"/>
              <w:bottom w:val="single" w:sz="4" w:space="0" w:color="auto"/>
            </w:tcBorders>
          </w:tcPr>
          <w:p w14:paraId="1B7B7458" w14:textId="77777777" w:rsidR="0064038E" w:rsidRPr="0050329A" w:rsidRDefault="0064038E">
            <w:pPr>
              <w:pStyle w:val="ARtableperformancesymbol"/>
              <w:spacing w:line="252" w:lineRule="auto"/>
              <w:rPr>
                <w:rFonts w:hint="eastAsia"/>
                <w:lang w:val="en-AU"/>
              </w:rPr>
            </w:pPr>
            <w:r w:rsidRPr="0050329A">
              <w:rPr>
                <w:rFonts w:eastAsia="Wingdings" w:cs="Wingdings"/>
              </w:rPr>
              <w:t></w:t>
            </w:r>
          </w:p>
        </w:tc>
      </w:tr>
      <w:tr w:rsidR="0064038E" w:rsidRPr="00F07EE7" w14:paraId="51105AEA" w14:textId="77777777" w:rsidTr="00026B51">
        <w:trPr>
          <w:cantSplit/>
        </w:trPr>
        <w:tc>
          <w:tcPr>
            <w:tcW w:w="9639" w:type="dxa"/>
            <w:gridSpan w:val="7"/>
            <w:tcBorders>
              <w:top w:val="single" w:sz="4" w:space="0" w:color="auto"/>
              <w:bottom w:val="single" w:sz="4" w:space="0" w:color="000000" w:themeColor="text1"/>
            </w:tcBorders>
            <w:hideMark/>
          </w:tcPr>
          <w:p w14:paraId="148F1B20" w14:textId="77777777" w:rsidR="0064038E" w:rsidRPr="003A4E52" w:rsidRDefault="0064038E" w:rsidP="00130336">
            <w:pPr>
              <w:pStyle w:val="ARtablegreybold"/>
              <w:pageBreakBefore/>
              <w:spacing w:line="252" w:lineRule="auto"/>
            </w:pPr>
            <w:r w:rsidRPr="003A4E52">
              <w:lastRenderedPageBreak/>
              <w:t>Cost</w:t>
            </w:r>
          </w:p>
        </w:tc>
      </w:tr>
      <w:tr w:rsidR="0064038E" w:rsidRPr="00F07EE7" w14:paraId="546BD7A2" w14:textId="77777777" w:rsidTr="00026B51">
        <w:trPr>
          <w:cantSplit/>
        </w:trPr>
        <w:tc>
          <w:tcPr>
            <w:tcW w:w="4747" w:type="dxa"/>
            <w:tcBorders>
              <w:top w:val="single" w:sz="4" w:space="0" w:color="000000" w:themeColor="text1"/>
            </w:tcBorders>
            <w:hideMark/>
          </w:tcPr>
          <w:p w14:paraId="7B7C9700" w14:textId="77777777" w:rsidR="0064038E" w:rsidRPr="009447B7" w:rsidRDefault="0064038E">
            <w:pPr>
              <w:pStyle w:val="ARtabletext"/>
              <w:keepNext/>
              <w:spacing w:line="252" w:lineRule="auto"/>
              <w:rPr>
                <w:b/>
              </w:rPr>
            </w:pPr>
            <w:r w:rsidRPr="009447B7">
              <w:rPr>
                <w:b/>
              </w:rPr>
              <w:t>Total output cost</w:t>
            </w:r>
          </w:p>
        </w:tc>
        <w:tc>
          <w:tcPr>
            <w:tcW w:w="1018" w:type="dxa"/>
            <w:tcBorders>
              <w:top w:val="single" w:sz="4" w:space="0" w:color="000000" w:themeColor="text1"/>
            </w:tcBorders>
            <w:hideMark/>
          </w:tcPr>
          <w:p w14:paraId="75B9CC97" w14:textId="77777777" w:rsidR="0064038E" w:rsidRPr="009447B7" w:rsidRDefault="0064038E">
            <w:pPr>
              <w:pStyle w:val="ARtabletext"/>
              <w:spacing w:line="252" w:lineRule="auto"/>
              <w:rPr>
                <w:b/>
              </w:rPr>
            </w:pPr>
            <w:r w:rsidRPr="009447B7">
              <w:rPr>
                <w:b/>
              </w:rPr>
              <w:t>$ million</w:t>
            </w:r>
          </w:p>
        </w:tc>
        <w:tc>
          <w:tcPr>
            <w:tcW w:w="1021" w:type="dxa"/>
            <w:tcBorders>
              <w:top w:val="single" w:sz="4" w:space="0" w:color="000000" w:themeColor="text1"/>
            </w:tcBorders>
          </w:tcPr>
          <w:p w14:paraId="73EAA4C7" w14:textId="77777777" w:rsidR="0064038E" w:rsidRPr="009447B7" w:rsidRDefault="0064038E">
            <w:pPr>
              <w:pStyle w:val="ARtabletextrightbold"/>
              <w:spacing w:line="252" w:lineRule="auto"/>
              <w:jc w:val="center"/>
            </w:pPr>
            <w:r w:rsidRPr="009447B7">
              <w:t>14.4</w:t>
            </w:r>
          </w:p>
        </w:tc>
        <w:tc>
          <w:tcPr>
            <w:tcW w:w="1023" w:type="dxa"/>
            <w:tcBorders>
              <w:top w:val="single" w:sz="4" w:space="0" w:color="000000" w:themeColor="text1"/>
            </w:tcBorders>
          </w:tcPr>
          <w:p w14:paraId="0BC0641A" w14:textId="77777777" w:rsidR="0064038E" w:rsidRPr="009447B7" w:rsidRDefault="0064038E">
            <w:pPr>
              <w:pStyle w:val="ARtabletextrightbold"/>
              <w:spacing w:line="252" w:lineRule="auto"/>
            </w:pPr>
            <w:r w:rsidRPr="009447B7">
              <w:t>10.2</w:t>
            </w:r>
          </w:p>
        </w:tc>
        <w:tc>
          <w:tcPr>
            <w:tcW w:w="1027" w:type="dxa"/>
            <w:tcBorders>
              <w:top w:val="single" w:sz="4" w:space="0" w:color="000000" w:themeColor="text1"/>
            </w:tcBorders>
          </w:tcPr>
          <w:p w14:paraId="6ECCEC05" w14:textId="66A53A57" w:rsidR="0064038E" w:rsidRPr="009447B7" w:rsidRDefault="00430898">
            <w:pPr>
              <w:pStyle w:val="ARtabletextrightbold"/>
              <w:spacing w:line="252" w:lineRule="auto"/>
            </w:pPr>
            <w:r>
              <w:t>−</w:t>
            </w:r>
            <w:r w:rsidR="0064038E" w:rsidRPr="009447B7">
              <w:t>29.1%</w:t>
            </w:r>
          </w:p>
        </w:tc>
        <w:tc>
          <w:tcPr>
            <w:tcW w:w="803" w:type="dxa"/>
            <w:gridSpan w:val="2"/>
            <w:tcBorders>
              <w:top w:val="single" w:sz="4" w:space="0" w:color="000000" w:themeColor="text1"/>
            </w:tcBorders>
          </w:tcPr>
          <w:p w14:paraId="46876CF5" w14:textId="77777777" w:rsidR="0064038E" w:rsidRPr="009447B7" w:rsidRDefault="0064038E">
            <w:pPr>
              <w:pStyle w:val="ARtableperformancesymbol"/>
              <w:spacing w:line="252" w:lineRule="auto"/>
              <w:rPr>
                <w:rFonts w:eastAsia="Wingdings" w:cs="Wingdings"/>
              </w:rPr>
            </w:pPr>
            <w:r w:rsidRPr="009447B7">
              <w:rPr>
                <w:rFonts w:eastAsia="Wingdings" w:cs="Wingdings"/>
              </w:rPr>
              <w:t></w:t>
            </w:r>
          </w:p>
        </w:tc>
      </w:tr>
      <w:tr w:rsidR="0064038E" w:rsidRPr="00F07EE7" w14:paraId="49776AB9" w14:textId="77777777">
        <w:trPr>
          <w:cantSplit/>
        </w:trPr>
        <w:tc>
          <w:tcPr>
            <w:tcW w:w="9639" w:type="dxa"/>
            <w:gridSpan w:val="7"/>
            <w:tcBorders>
              <w:bottom w:val="single" w:sz="4" w:space="0" w:color="auto"/>
            </w:tcBorders>
          </w:tcPr>
          <w:p w14:paraId="483C3984" w14:textId="77777777" w:rsidR="0064038E" w:rsidRPr="00F07EE7" w:rsidRDefault="0064038E" w:rsidP="00130336">
            <w:pPr>
              <w:pStyle w:val="ARtablenoteindent"/>
              <w:rPr>
                <w:highlight w:val="cyan"/>
              </w:rPr>
            </w:pPr>
            <w:r w:rsidRPr="009447B7">
              <w:t>The lower actual was due to funding re-cashflow from 2024</w:t>
            </w:r>
            <w:r>
              <w:t>–</w:t>
            </w:r>
            <w:r w:rsidRPr="009447B7">
              <w:t>25 into 2025</w:t>
            </w:r>
            <w:r>
              <w:t>–</w:t>
            </w:r>
            <w:r w:rsidRPr="009447B7">
              <w:t xml:space="preserve">26 to support the </w:t>
            </w:r>
            <w:r w:rsidRPr="00130336">
              <w:t>delivery</w:t>
            </w:r>
            <w:r w:rsidRPr="009447B7">
              <w:t xml:space="preserve"> of government priorities funded in the </w:t>
            </w:r>
            <w:r w:rsidRPr="00DA434D">
              <w:rPr>
                <w:rStyle w:val="Emphasis"/>
              </w:rPr>
              <w:t>2025–26 State Budget</w:t>
            </w:r>
            <w:r w:rsidRPr="009447B7">
              <w:t>, including the Shrine of Remembrance and extending employment supports for veterans.</w:t>
            </w:r>
          </w:p>
        </w:tc>
      </w:tr>
    </w:tbl>
    <w:p w14:paraId="6D3A982D" w14:textId="4F9AF0F0" w:rsidR="0064038E" w:rsidRPr="005D1C9D" w:rsidRDefault="0064038E" w:rsidP="00026B51">
      <w:pPr>
        <w:pStyle w:val="Heading3"/>
      </w:pPr>
      <w:r w:rsidRPr="005D1C9D">
        <w:t>LGBTIQA+ equality policy and programs</w:t>
      </w:r>
    </w:p>
    <w:p w14:paraId="7BECDB7F" w14:textId="77777777" w:rsidR="0064038E" w:rsidRPr="00F07EE7" w:rsidRDefault="0064038E">
      <w:pPr>
        <w:pStyle w:val="ARbody"/>
        <w:rPr>
          <w:highlight w:val="cyan"/>
        </w:rPr>
      </w:pPr>
      <w:r>
        <w:t>This output provides programs and services to promote equality for LGBTIQA+ Victorians and to support the economic, social and civic participation of these communities.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6A0" w:firstRow="1" w:lastRow="0" w:firstColumn="1" w:lastColumn="0" w:noHBand="1" w:noVBand="1"/>
      </w:tblPr>
      <w:tblGrid>
        <w:gridCol w:w="4744"/>
        <w:gridCol w:w="1018"/>
        <w:gridCol w:w="1020"/>
        <w:gridCol w:w="1022"/>
        <w:gridCol w:w="1026"/>
        <w:gridCol w:w="802"/>
      </w:tblGrid>
      <w:tr w:rsidR="0064038E" w:rsidRPr="00F07EE7" w14:paraId="656AD405" w14:textId="77777777" w:rsidTr="006C102A">
        <w:trPr>
          <w:cantSplit/>
          <w:tblHeader/>
        </w:trPr>
        <w:tc>
          <w:tcPr>
            <w:tcW w:w="4744" w:type="dxa"/>
            <w:tcBorders>
              <w:top w:val="nil"/>
              <w:left w:val="nil"/>
              <w:bottom w:val="single" w:sz="4" w:space="0" w:color="auto"/>
              <w:right w:val="nil"/>
            </w:tcBorders>
            <w:vAlign w:val="bottom"/>
            <w:hideMark/>
          </w:tcPr>
          <w:p w14:paraId="48AD9FBB" w14:textId="77777777" w:rsidR="0064038E" w:rsidRPr="00F07EE7" w:rsidRDefault="0064038E">
            <w:pPr>
              <w:pStyle w:val="ARtablecolhead"/>
              <w:spacing w:line="252" w:lineRule="auto"/>
              <w:rPr>
                <w:highlight w:val="cyan"/>
              </w:rPr>
            </w:pPr>
            <w:r w:rsidRPr="009064E0">
              <w:t>Performance measures</w:t>
            </w:r>
          </w:p>
        </w:tc>
        <w:tc>
          <w:tcPr>
            <w:tcW w:w="1018" w:type="dxa"/>
            <w:tcBorders>
              <w:top w:val="nil"/>
              <w:left w:val="nil"/>
              <w:bottom w:val="single" w:sz="4" w:space="0" w:color="auto"/>
              <w:right w:val="nil"/>
            </w:tcBorders>
            <w:vAlign w:val="bottom"/>
            <w:hideMark/>
          </w:tcPr>
          <w:p w14:paraId="47D5A7DE" w14:textId="77777777" w:rsidR="0064038E" w:rsidRPr="00F07EE7" w:rsidRDefault="0064038E">
            <w:pPr>
              <w:pStyle w:val="ARtablecolhead"/>
              <w:spacing w:line="252" w:lineRule="auto"/>
              <w:rPr>
                <w:highlight w:val="cyan"/>
              </w:rPr>
            </w:pPr>
            <w:r w:rsidRPr="009064E0">
              <w:t>Unit of measure</w:t>
            </w:r>
          </w:p>
        </w:tc>
        <w:tc>
          <w:tcPr>
            <w:tcW w:w="1020" w:type="dxa"/>
            <w:tcBorders>
              <w:top w:val="nil"/>
              <w:left w:val="nil"/>
              <w:bottom w:val="single" w:sz="4" w:space="0" w:color="auto"/>
              <w:right w:val="nil"/>
            </w:tcBorders>
            <w:vAlign w:val="bottom"/>
            <w:hideMark/>
          </w:tcPr>
          <w:p w14:paraId="6A95CECE" w14:textId="77777777" w:rsidR="0064038E" w:rsidRPr="00F07EE7" w:rsidRDefault="0064038E">
            <w:pPr>
              <w:pStyle w:val="ARtablecolheadright"/>
              <w:spacing w:line="252" w:lineRule="auto"/>
              <w:rPr>
                <w:highlight w:val="cyan"/>
              </w:rPr>
            </w:pPr>
            <w:r w:rsidRPr="009064E0">
              <w:t>2024–25 target</w:t>
            </w:r>
          </w:p>
        </w:tc>
        <w:tc>
          <w:tcPr>
            <w:tcW w:w="1022" w:type="dxa"/>
            <w:tcBorders>
              <w:top w:val="nil"/>
              <w:left w:val="nil"/>
              <w:bottom w:val="single" w:sz="4" w:space="0" w:color="auto"/>
              <w:right w:val="nil"/>
            </w:tcBorders>
            <w:vAlign w:val="bottom"/>
            <w:hideMark/>
          </w:tcPr>
          <w:p w14:paraId="102BA8E7" w14:textId="77777777" w:rsidR="0064038E" w:rsidRPr="00F07EE7" w:rsidRDefault="0064038E">
            <w:pPr>
              <w:pStyle w:val="ARtablecolheadright"/>
              <w:spacing w:line="252" w:lineRule="auto"/>
              <w:rPr>
                <w:highlight w:val="cyan"/>
              </w:rPr>
            </w:pPr>
            <w:r w:rsidRPr="009064E0">
              <w:t>2024–25 actual</w:t>
            </w:r>
          </w:p>
        </w:tc>
        <w:tc>
          <w:tcPr>
            <w:tcW w:w="1026" w:type="dxa"/>
            <w:tcBorders>
              <w:top w:val="nil"/>
              <w:left w:val="nil"/>
              <w:bottom w:val="single" w:sz="4" w:space="0" w:color="auto"/>
              <w:right w:val="nil"/>
            </w:tcBorders>
            <w:vAlign w:val="bottom"/>
            <w:hideMark/>
          </w:tcPr>
          <w:p w14:paraId="75FB6741" w14:textId="77777777" w:rsidR="0064038E" w:rsidRPr="00F07EE7" w:rsidRDefault="0064038E">
            <w:pPr>
              <w:pStyle w:val="ARtablecolheadright"/>
              <w:spacing w:line="252" w:lineRule="auto"/>
              <w:rPr>
                <w:highlight w:val="cyan"/>
              </w:rPr>
            </w:pPr>
            <w:r w:rsidRPr="009064E0">
              <w:t xml:space="preserve">Variation </w:t>
            </w:r>
          </w:p>
        </w:tc>
        <w:tc>
          <w:tcPr>
            <w:tcW w:w="802" w:type="dxa"/>
            <w:tcBorders>
              <w:top w:val="nil"/>
              <w:left w:val="nil"/>
              <w:bottom w:val="single" w:sz="4" w:space="0" w:color="auto"/>
              <w:right w:val="nil"/>
            </w:tcBorders>
            <w:vAlign w:val="bottom"/>
            <w:hideMark/>
          </w:tcPr>
          <w:p w14:paraId="48B51170" w14:textId="77777777" w:rsidR="0064038E" w:rsidRPr="00F07EE7" w:rsidRDefault="0064038E">
            <w:pPr>
              <w:pStyle w:val="ARtablecolheadright"/>
              <w:rPr>
                <w:highlight w:val="cyan"/>
              </w:rPr>
            </w:pPr>
            <w:r w:rsidRPr="009064E0">
              <w:t>Result</w:t>
            </w:r>
          </w:p>
        </w:tc>
      </w:tr>
      <w:tr w:rsidR="0064038E" w:rsidRPr="00F07EE7" w14:paraId="2321FA50" w14:textId="77777777" w:rsidTr="006C102A">
        <w:trPr>
          <w:cantSplit/>
        </w:trPr>
        <w:tc>
          <w:tcPr>
            <w:tcW w:w="9632" w:type="dxa"/>
            <w:gridSpan w:val="6"/>
            <w:tcBorders>
              <w:top w:val="single" w:sz="4" w:space="0" w:color="auto"/>
              <w:left w:val="nil"/>
              <w:bottom w:val="single" w:sz="4" w:space="0" w:color="A6A6A6" w:themeColor="accent5"/>
              <w:right w:val="nil"/>
            </w:tcBorders>
            <w:hideMark/>
          </w:tcPr>
          <w:p w14:paraId="4E54B7F4" w14:textId="77777777" w:rsidR="0064038E" w:rsidRPr="005D1C9D" w:rsidRDefault="0064038E">
            <w:pPr>
              <w:pStyle w:val="ARtablegreybold"/>
              <w:spacing w:line="252" w:lineRule="auto"/>
            </w:pPr>
            <w:r w:rsidRPr="005D1C9D">
              <w:t>Quantity</w:t>
            </w:r>
          </w:p>
        </w:tc>
      </w:tr>
      <w:tr w:rsidR="0064038E" w:rsidRPr="00F07EE7" w14:paraId="13552803" w14:textId="77777777" w:rsidTr="006C102A">
        <w:trPr>
          <w:cantSplit/>
        </w:trPr>
        <w:tc>
          <w:tcPr>
            <w:tcW w:w="4744" w:type="dxa"/>
            <w:tcBorders>
              <w:top w:val="single" w:sz="4" w:space="0" w:color="A6A6A6" w:themeColor="accent5"/>
              <w:left w:val="nil"/>
              <w:bottom w:val="nil"/>
              <w:right w:val="nil"/>
            </w:tcBorders>
          </w:tcPr>
          <w:p w14:paraId="698C8D67" w14:textId="77777777" w:rsidR="0064038E" w:rsidRPr="003C2F72" w:rsidRDefault="0064038E">
            <w:pPr>
              <w:pStyle w:val="ARtabletext"/>
              <w:spacing w:line="252" w:lineRule="auto"/>
            </w:pPr>
            <w:r w:rsidRPr="003C2F72">
              <w:t>Number of people engaged through a Trans and Gender Diverse Peer Support Program</w:t>
            </w:r>
          </w:p>
        </w:tc>
        <w:tc>
          <w:tcPr>
            <w:tcW w:w="1018" w:type="dxa"/>
            <w:tcBorders>
              <w:top w:val="single" w:sz="4" w:space="0" w:color="A6A6A6" w:themeColor="accent5"/>
              <w:left w:val="nil"/>
              <w:bottom w:val="nil"/>
              <w:right w:val="nil"/>
            </w:tcBorders>
          </w:tcPr>
          <w:p w14:paraId="5019870D" w14:textId="77777777" w:rsidR="0064038E" w:rsidRPr="003C2F72" w:rsidRDefault="0064038E">
            <w:pPr>
              <w:pStyle w:val="ARtabletext"/>
              <w:spacing w:line="252" w:lineRule="auto"/>
            </w:pPr>
            <w:r>
              <w:t>number</w:t>
            </w:r>
          </w:p>
        </w:tc>
        <w:tc>
          <w:tcPr>
            <w:tcW w:w="1020" w:type="dxa"/>
            <w:tcBorders>
              <w:top w:val="single" w:sz="4" w:space="0" w:color="A6A6A6" w:themeColor="accent5"/>
              <w:left w:val="nil"/>
              <w:bottom w:val="nil"/>
              <w:right w:val="nil"/>
            </w:tcBorders>
          </w:tcPr>
          <w:p w14:paraId="7E5EE75E" w14:textId="77777777" w:rsidR="0064038E" w:rsidRPr="003C2F72" w:rsidRDefault="0064038E">
            <w:pPr>
              <w:pStyle w:val="ARtabletextright"/>
              <w:spacing w:line="252" w:lineRule="auto"/>
            </w:pPr>
            <w:r w:rsidRPr="003C2F72">
              <w:t>250</w:t>
            </w:r>
          </w:p>
        </w:tc>
        <w:tc>
          <w:tcPr>
            <w:tcW w:w="1022" w:type="dxa"/>
            <w:tcBorders>
              <w:top w:val="single" w:sz="4" w:space="0" w:color="A6A6A6" w:themeColor="accent5"/>
              <w:left w:val="nil"/>
              <w:bottom w:val="nil"/>
              <w:right w:val="nil"/>
            </w:tcBorders>
          </w:tcPr>
          <w:p w14:paraId="19DF05B3" w14:textId="77777777" w:rsidR="0064038E" w:rsidRPr="003C2F72" w:rsidRDefault="0064038E">
            <w:pPr>
              <w:pStyle w:val="ARtabletextright"/>
              <w:spacing w:line="252" w:lineRule="auto"/>
            </w:pPr>
            <w:r w:rsidRPr="003C2F72">
              <w:t>474</w:t>
            </w:r>
          </w:p>
        </w:tc>
        <w:tc>
          <w:tcPr>
            <w:tcW w:w="1026" w:type="dxa"/>
            <w:tcBorders>
              <w:top w:val="single" w:sz="4" w:space="0" w:color="A6A6A6" w:themeColor="accent5"/>
              <w:left w:val="nil"/>
              <w:bottom w:val="nil"/>
              <w:right w:val="nil"/>
            </w:tcBorders>
          </w:tcPr>
          <w:p w14:paraId="1BEA63F2" w14:textId="77777777" w:rsidR="0064038E" w:rsidRPr="003C2F72" w:rsidRDefault="0064038E">
            <w:pPr>
              <w:pStyle w:val="ARtabletextright"/>
              <w:spacing w:line="252" w:lineRule="auto"/>
            </w:pPr>
            <w:r w:rsidRPr="003C2F72">
              <w:t>89.6%</w:t>
            </w:r>
          </w:p>
        </w:tc>
        <w:tc>
          <w:tcPr>
            <w:tcW w:w="802" w:type="dxa"/>
            <w:tcBorders>
              <w:top w:val="single" w:sz="4" w:space="0" w:color="A6A6A6" w:themeColor="accent5"/>
              <w:left w:val="nil"/>
              <w:bottom w:val="nil"/>
              <w:right w:val="nil"/>
            </w:tcBorders>
          </w:tcPr>
          <w:p w14:paraId="0A08EC12" w14:textId="77777777" w:rsidR="0064038E" w:rsidRPr="003C2F72" w:rsidRDefault="0064038E">
            <w:pPr>
              <w:pStyle w:val="ARtableperformancesymbol"/>
              <w:spacing w:line="252" w:lineRule="auto"/>
              <w:rPr>
                <w:rFonts w:hint="eastAsia"/>
                <w:lang w:val="en-AU"/>
              </w:rPr>
            </w:pPr>
            <w:r w:rsidRPr="003C2F72">
              <w:rPr>
                <w:rFonts w:eastAsia="Wingdings" w:cs="Wingdings"/>
              </w:rPr>
              <w:t></w:t>
            </w:r>
          </w:p>
        </w:tc>
      </w:tr>
      <w:tr w:rsidR="0064038E" w:rsidRPr="00F07EE7" w14:paraId="48C64D44" w14:textId="77777777">
        <w:trPr>
          <w:cantSplit/>
        </w:trPr>
        <w:tc>
          <w:tcPr>
            <w:tcW w:w="9632" w:type="dxa"/>
            <w:gridSpan w:val="6"/>
            <w:tcBorders>
              <w:top w:val="nil"/>
              <w:left w:val="nil"/>
              <w:bottom w:val="single" w:sz="4" w:space="0" w:color="BFBFBF" w:themeColor="background1" w:themeShade="BF"/>
              <w:right w:val="nil"/>
            </w:tcBorders>
          </w:tcPr>
          <w:p w14:paraId="44ECBAC7" w14:textId="4B168C28" w:rsidR="0064038E" w:rsidRPr="00F07EE7" w:rsidRDefault="0064038E" w:rsidP="00130336">
            <w:pPr>
              <w:pStyle w:val="ARtablenoteindent"/>
              <w:rPr>
                <w:highlight w:val="cyan"/>
              </w:rPr>
            </w:pPr>
            <w:r w:rsidRPr="00FF0D92">
              <w:t>The higher</w:t>
            </w:r>
            <w:r w:rsidR="00EB4E7E">
              <w:t>-</w:t>
            </w:r>
            <w:r w:rsidRPr="00FF0D92">
              <w:t>than</w:t>
            </w:r>
            <w:r w:rsidR="00EB4E7E">
              <w:t>-</w:t>
            </w:r>
            <w:r w:rsidRPr="00FF0D92">
              <w:t xml:space="preserve">expected </w:t>
            </w:r>
            <w:r w:rsidRPr="00130336">
              <w:t>performance</w:t>
            </w:r>
            <w:r w:rsidRPr="00FF0D92">
              <w:t xml:space="preserve"> is due to increased engagement with the program </w:t>
            </w:r>
            <w:proofErr w:type="gramStart"/>
            <w:r w:rsidRPr="00FF0D92">
              <w:t>as a result of</w:t>
            </w:r>
            <w:proofErr w:type="gramEnd"/>
            <w:r w:rsidRPr="00FF0D92">
              <w:t xml:space="preserve"> ongoing discrimination and vilification against trans and gender diverse communities.</w:t>
            </w:r>
          </w:p>
        </w:tc>
      </w:tr>
      <w:tr w:rsidR="0064038E" w:rsidRPr="00F07EE7" w14:paraId="435F0E08" w14:textId="77777777">
        <w:trPr>
          <w:cantSplit/>
        </w:trPr>
        <w:tc>
          <w:tcPr>
            <w:tcW w:w="4744" w:type="dxa"/>
            <w:tcBorders>
              <w:top w:val="single" w:sz="4" w:space="0" w:color="BFBFBF" w:themeColor="background1" w:themeShade="BF"/>
              <w:left w:val="nil"/>
              <w:bottom w:val="nil"/>
              <w:right w:val="nil"/>
            </w:tcBorders>
          </w:tcPr>
          <w:p w14:paraId="7A8F15E5" w14:textId="74A46024" w:rsidR="0064038E" w:rsidRPr="003C2F72" w:rsidRDefault="0064038E">
            <w:pPr>
              <w:pStyle w:val="ARtabletext"/>
              <w:spacing w:line="252" w:lineRule="auto"/>
            </w:pPr>
            <w:r w:rsidRPr="003C2F72">
              <w:t xml:space="preserve">Number of services engaged </w:t>
            </w:r>
            <w:r w:rsidRPr="003C2F72" w:rsidDel="00F9087D">
              <w:t xml:space="preserve">for </w:t>
            </w:r>
            <w:r w:rsidRPr="003C2F72">
              <w:t>Rainbow Tick</w:t>
            </w:r>
            <w:r w:rsidR="00E835B0">
              <w:t> </w:t>
            </w:r>
            <w:r w:rsidRPr="003C2F72">
              <w:t xml:space="preserve">accreditation </w:t>
            </w:r>
          </w:p>
        </w:tc>
        <w:tc>
          <w:tcPr>
            <w:tcW w:w="1018" w:type="dxa"/>
            <w:tcBorders>
              <w:top w:val="single" w:sz="4" w:space="0" w:color="BFBFBF" w:themeColor="background1" w:themeShade="BF"/>
              <w:left w:val="nil"/>
              <w:bottom w:val="nil"/>
              <w:right w:val="nil"/>
            </w:tcBorders>
          </w:tcPr>
          <w:p w14:paraId="5E47FD7B" w14:textId="77777777" w:rsidR="0064038E" w:rsidRPr="003C2F72" w:rsidRDefault="0064038E">
            <w:pPr>
              <w:pStyle w:val="ARtabletext"/>
              <w:spacing w:line="252" w:lineRule="auto"/>
            </w:pPr>
            <w:r>
              <w:t>number</w:t>
            </w:r>
          </w:p>
        </w:tc>
        <w:tc>
          <w:tcPr>
            <w:tcW w:w="1020" w:type="dxa"/>
            <w:tcBorders>
              <w:top w:val="single" w:sz="4" w:space="0" w:color="BFBFBF" w:themeColor="background1" w:themeShade="BF"/>
              <w:left w:val="nil"/>
              <w:bottom w:val="nil"/>
              <w:right w:val="nil"/>
            </w:tcBorders>
          </w:tcPr>
          <w:p w14:paraId="0AD44B4D" w14:textId="77777777" w:rsidR="0064038E" w:rsidRPr="003C2F72" w:rsidRDefault="0064038E">
            <w:pPr>
              <w:pStyle w:val="ARtabletextright"/>
              <w:spacing w:line="252" w:lineRule="auto"/>
            </w:pPr>
            <w:r w:rsidRPr="003C2F72">
              <w:t>40</w:t>
            </w:r>
          </w:p>
        </w:tc>
        <w:tc>
          <w:tcPr>
            <w:tcW w:w="1022" w:type="dxa"/>
            <w:tcBorders>
              <w:top w:val="single" w:sz="4" w:space="0" w:color="BFBFBF" w:themeColor="background1" w:themeShade="BF"/>
              <w:left w:val="nil"/>
              <w:bottom w:val="nil"/>
              <w:right w:val="nil"/>
            </w:tcBorders>
          </w:tcPr>
          <w:p w14:paraId="0D5986DE" w14:textId="3227AFC1" w:rsidR="0064038E" w:rsidRPr="00A906A4" w:rsidRDefault="006D7FB1">
            <w:pPr>
              <w:pStyle w:val="ARtabletextright"/>
              <w:spacing w:line="252" w:lineRule="auto"/>
            </w:pPr>
            <w:r>
              <w:t>31</w:t>
            </w:r>
          </w:p>
        </w:tc>
        <w:tc>
          <w:tcPr>
            <w:tcW w:w="1026" w:type="dxa"/>
            <w:tcBorders>
              <w:top w:val="single" w:sz="4" w:space="0" w:color="BFBFBF" w:themeColor="background1" w:themeShade="BF"/>
              <w:left w:val="nil"/>
              <w:bottom w:val="nil"/>
              <w:right w:val="nil"/>
            </w:tcBorders>
          </w:tcPr>
          <w:p w14:paraId="3E97A779" w14:textId="5A646788" w:rsidR="0064038E" w:rsidRPr="00A906A4" w:rsidRDefault="00430898">
            <w:pPr>
              <w:pStyle w:val="ARtabletextright"/>
              <w:spacing w:line="252" w:lineRule="auto"/>
            </w:pPr>
            <w:r>
              <w:t>−</w:t>
            </w:r>
            <w:r w:rsidR="00C27450">
              <w:t>22.5%</w:t>
            </w:r>
          </w:p>
        </w:tc>
        <w:tc>
          <w:tcPr>
            <w:tcW w:w="802" w:type="dxa"/>
            <w:tcBorders>
              <w:top w:val="single" w:sz="4" w:space="0" w:color="BFBFBF" w:themeColor="background1" w:themeShade="BF"/>
              <w:left w:val="nil"/>
              <w:bottom w:val="nil"/>
              <w:right w:val="nil"/>
            </w:tcBorders>
          </w:tcPr>
          <w:p w14:paraId="5B00A8F8" w14:textId="0EE95E94" w:rsidR="0064038E" w:rsidRPr="003C2F72" w:rsidRDefault="00C27450">
            <w:pPr>
              <w:pStyle w:val="ARtableperformancesymbol"/>
              <w:spacing w:line="252" w:lineRule="auto"/>
              <w:rPr>
                <w:rFonts w:hint="eastAsia"/>
                <w:lang w:val="en-AU"/>
              </w:rPr>
            </w:pPr>
            <w:r w:rsidRPr="00E64D44">
              <w:rPr>
                <w:rFonts w:eastAsia="Wingdings" w:cs="Wingdings"/>
              </w:rPr>
              <w:t></w:t>
            </w:r>
          </w:p>
        </w:tc>
      </w:tr>
      <w:tr w:rsidR="0064038E" w:rsidRPr="00F07EE7" w14:paraId="0948F378" w14:textId="77777777">
        <w:trPr>
          <w:cantSplit/>
        </w:trPr>
        <w:tc>
          <w:tcPr>
            <w:tcW w:w="9632" w:type="dxa"/>
            <w:gridSpan w:val="6"/>
            <w:tcBorders>
              <w:top w:val="nil"/>
              <w:left w:val="nil"/>
              <w:bottom w:val="single" w:sz="4" w:space="0" w:color="BFBFBF" w:themeColor="background1" w:themeShade="BF"/>
              <w:right w:val="nil"/>
            </w:tcBorders>
          </w:tcPr>
          <w:p w14:paraId="30AA1DE0" w14:textId="3B0BB293" w:rsidR="0064038E" w:rsidRPr="00F07EE7" w:rsidRDefault="00C27450" w:rsidP="00130336">
            <w:pPr>
              <w:pStyle w:val="ARtablenoteindent"/>
              <w:rPr>
                <w:highlight w:val="cyan"/>
              </w:rPr>
            </w:pPr>
            <w:r w:rsidRPr="00C27450">
              <w:t xml:space="preserve">This lower-than-expected measure reflects organisations </w:t>
            </w:r>
            <w:r w:rsidR="00DD4949">
              <w:t>that</w:t>
            </w:r>
            <w:r w:rsidR="00DD4949" w:rsidRPr="00C27450">
              <w:t xml:space="preserve"> </w:t>
            </w:r>
            <w:r w:rsidRPr="00C27450">
              <w:t xml:space="preserve">have formally executed a contract for Rainbow Tick accreditation. </w:t>
            </w:r>
            <w:r w:rsidR="0092449E">
              <w:t>It does not include the</w:t>
            </w:r>
            <w:r w:rsidRPr="00C27450">
              <w:t xml:space="preserve"> </w:t>
            </w:r>
            <w:r w:rsidR="00D02EEF">
              <w:t>total</w:t>
            </w:r>
            <w:r w:rsidRPr="00C27450">
              <w:t xml:space="preserve"> pipeline of organisations </w:t>
            </w:r>
            <w:r w:rsidR="007C277A">
              <w:t>engaged in the program and working</w:t>
            </w:r>
            <w:r w:rsidRPr="00C27450">
              <w:t xml:space="preserve"> toward their full accreditation.</w:t>
            </w:r>
          </w:p>
        </w:tc>
      </w:tr>
      <w:tr w:rsidR="0064038E" w:rsidRPr="00F07EE7" w14:paraId="22C50E18" w14:textId="77777777" w:rsidTr="00026B51">
        <w:trPr>
          <w:cantSplit/>
        </w:trPr>
        <w:tc>
          <w:tcPr>
            <w:tcW w:w="4744" w:type="dxa"/>
            <w:tcBorders>
              <w:top w:val="single" w:sz="4" w:space="0" w:color="BFBFBF" w:themeColor="background1" w:themeShade="BF"/>
              <w:left w:val="nil"/>
              <w:bottom w:val="single" w:sz="4" w:space="0" w:color="auto"/>
              <w:right w:val="nil"/>
            </w:tcBorders>
          </w:tcPr>
          <w:p w14:paraId="4EB0F4F2" w14:textId="77777777" w:rsidR="0064038E" w:rsidRPr="002D65B1" w:rsidRDefault="0064038E">
            <w:pPr>
              <w:pStyle w:val="ARtabletext"/>
              <w:spacing w:line="252" w:lineRule="auto"/>
            </w:pPr>
            <w:r w:rsidRPr="002D65B1">
              <w:t xml:space="preserve">Proportion of LGBTIQA+ grant program recipients who </w:t>
            </w:r>
            <w:proofErr w:type="gramStart"/>
            <w:r w:rsidRPr="002D65B1">
              <w:t>are located in</w:t>
            </w:r>
            <w:proofErr w:type="gramEnd"/>
            <w:r w:rsidRPr="002D65B1">
              <w:t xml:space="preserve"> regional and rural areas</w:t>
            </w:r>
          </w:p>
        </w:tc>
        <w:tc>
          <w:tcPr>
            <w:tcW w:w="1018" w:type="dxa"/>
            <w:tcBorders>
              <w:top w:val="single" w:sz="4" w:space="0" w:color="BFBFBF" w:themeColor="background1" w:themeShade="BF"/>
              <w:left w:val="nil"/>
              <w:bottom w:val="single" w:sz="4" w:space="0" w:color="auto"/>
              <w:right w:val="nil"/>
            </w:tcBorders>
          </w:tcPr>
          <w:p w14:paraId="75B1C426" w14:textId="77777777" w:rsidR="0064038E" w:rsidRPr="002D65B1" w:rsidRDefault="0064038E">
            <w:pPr>
              <w:pStyle w:val="ARtabletext"/>
              <w:spacing w:line="252" w:lineRule="auto"/>
            </w:pPr>
            <w:r>
              <w:t>per cent</w:t>
            </w:r>
          </w:p>
        </w:tc>
        <w:tc>
          <w:tcPr>
            <w:tcW w:w="1020" w:type="dxa"/>
            <w:tcBorders>
              <w:top w:val="single" w:sz="4" w:space="0" w:color="BFBFBF" w:themeColor="background1" w:themeShade="BF"/>
              <w:left w:val="nil"/>
              <w:bottom w:val="single" w:sz="4" w:space="0" w:color="auto"/>
              <w:right w:val="nil"/>
            </w:tcBorders>
          </w:tcPr>
          <w:p w14:paraId="3FBED6A6" w14:textId="77777777" w:rsidR="0064038E" w:rsidRPr="002D65B1" w:rsidRDefault="0064038E">
            <w:pPr>
              <w:pStyle w:val="ARtabletextright"/>
              <w:spacing w:line="252" w:lineRule="auto"/>
            </w:pPr>
            <w:r w:rsidRPr="002D65B1">
              <w:t>25</w:t>
            </w:r>
          </w:p>
        </w:tc>
        <w:tc>
          <w:tcPr>
            <w:tcW w:w="1022" w:type="dxa"/>
            <w:tcBorders>
              <w:top w:val="single" w:sz="4" w:space="0" w:color="BFBFBF" w:themeColor="background1" w:themeShade="BF"/>
              <w:left w:val="nil"/>
              <w:bottom w:val="single" w:sz="4" w:space="0" w:color="auto"/>
              <w:right w:val="nil"/>
            </w:tcBorders>
          </w:tcPr>
          <w:p w14:paraId="173D6710" w14:textId="77777777" w:rsidR="0064038E" w:rsidRPr="002D65B1" w:rsidRDefault="0064038E">
            <w:pPr>
              <w:pStyle w:val="ARtabletextright"/>
              <w:spacing w:line="252" w:lineRule="auto"/>
            </w:pPr>
            <w:r w:rsidRPr="002D65B1">
              <w:t>25.4</w:t>
            </w:r>
          </w:p>
        </w:tc>
        <w:tc>
          <w:tcPr>
            <w:tcW w:w="1026" w:type="dxa"/>
            <w:tcBorders>
              <w:top w:val="single" w:sz="4" w:space="0" w:color="BFBFBF" w:themeColor="background1" w:themeShade="BF"/>
              <w:left w:val="nil"/>
              <w:bottom w:val="single" w:sz="4" w:space="0" w:color="auto"/>
              <w:right w:val="nil"/>
            </w:tcBorders>
          </w:tcPr>
          <w:p w14:paraId="29A7929A" w14:textId="77777777" w:rsidR="0064038E" w:rsidRPr="002D65B1" w:rsidRDefault="0064038E">
            <w:pPr>
              <w:pStyle w:val="ARtabletextright"/>
              <w:spacing w:line="252" w:lineRule="auto"/>
            </w:pPr>
            <w:r w:rsidRPr="002D65B1">
              <w:t>1.6%</w:t>
            </w:r>
          </w:p>
        </w:tc>
        <w:tc>
          <w:tcPr>
            <w:tcW w:w="802" w:type="dxa"/>
            <w:tcBorders>
              <w:top w:val="single" w:sz="4" w:space="0" w:color="BFBFBF" w:themeColor="background1" w:themeShade="BF"/>
              <w:left w:val="nil"/>
              <w:bottom w:val="single" w:sz="4" w:space="0" w:color="auto"/>
              <w:right w:val="nil"/>
            </w:tcBorders>
          </w:tcPr>
          <w:p w14:paraId="1CAFE3DB" w14:textId="77777777" w:rsidR="0064038E" w:rsidRPr="002D65B1" w:rsidRDefault="0064038E">
            <w:pPr>
              <w:pStyle w:val="ARtableperformancesymbol"/>
              <w:spacing w:line="252" w:lineRule="auto"/>
              <w:rPr>
                <w:rFonts w:hint="eastAsia"/>
                <w:lang w:val="en-AU"/>
              </w:rPr>
            </w:pPr>
            <w:r w:rsidRPr="002D65B1">
              <w:rPr>
                <w:rFonts w:eastAsia="Wingdings" w:cs="Wingdings"/>
              </w:rPr>
              <w:t></w:t>
            </w:r>
          </w:p>
        </w:tc>
      </w:tr>
      <w:tr w:rsidR="0064038E" w:rsidRPr="00F07EE7" w14:paraId="1891C498" w14:textId="77777777" w:rsidTr="00026B51">
        <w:trPr>
          <w:cantSplit/>
        </w:trPr>
        <w:tc>
          <w:tcPr>
            <w:tcW w:w="9632" w:type="dxa"/>
            <w:gridSpan w:val="6"/>
            <w:tcBorders>
              <w:top w:val="single" w:sz="4" w:space="0" w:color="auto"/>
              <w:left w:val="nil"/>
              <w:bottom w:val="single" w:sz="4" w:space="0" w:color="000000" w:themeColor="text1"/>
              <w:right w:val="nil"/>
            </w:tcBorders>
            <w:hideMark/>
          </w:tcPr>
          <w:p w14:paraId="7CBA77C5" w14:textId="77777777" w:rsidR="0064038E" w:rsidRPr="005D1C9D" w:rsidRDefault="0064038E">
            <w:pPr>
              <w:pStyle w:val="ARtablegreybold"/>
            </w:pPr>
            <w:r w:rsidRPr="005D1C9D">
              <w:t>Cost</w:t>
            </w:r>
          </w:p>
        </w:tc>
      </w:tr>
      <w:tr w:rsidR="0064038E" w:rsidRPr="00F07EE7" w14:paraId="322ABBF4" w14:textId="77777777" w:rsidTr="00B979C0">
        <w:trPr>
          <w:cantSplit/>
        </w:trPr>
        <w:tc>
          <w:tcPr>
            <w:tcW w:w="4744" w:type="dxa"/>
            <w:tcBorders>
              <w:top w:val="single" w:sz="4" w:space="0" w:color="000000" w:themeColor="text1"/>
              <w:left w:val="nil"/>
              <w:bottom w:val="single" w:sz="4" w:space="0" w:color="000000" w:themeColor="text1"/>
              <w:right w:val="nil"/>
            </w:tcBorders>
            <w:hideMark/>
          </w:tcPr>
          <w:p w14:paraId="2B2FB0CB" w14:textId="77777777" w:rsidR="0064038E" w:rsidRPr="003C2F72" w:rsidRDefault="0064038E">
            <w:pPr>
              <w:pStyle w:val="ARtabletextbold"/>
            </w:pPr>
            <w:r w:rsidRPr="003C2F72">
              <w:t>Total output cost</w:t>
            </w:r>
          </w:p>
        </w:tc>
        <w:tc>
          <w:tcPr>
            <w:tcW w:w="1018" w:type="dxa"/>
            <w:tcBorders>
              <w:top w:val="single" w:sz="4" w:space="0" w:color="000000" w:themeColor="text1"/>
              <w:left w:val="nil"/>
              <w:bottom w:val="single" w:sz="4" w:space="0" w:color="000000" w:themeColor="text1"/>
              <w:right w:val="nil"/>
            </w:tcBorders>
            <w:hideMark/>
          </w:tcPr>
          <w:p w14:paraId="5F9E30B7" w14:textId="77777777" w:rsidR="0064038E" w:rsidRPr="003C2F72" w:rsidRDefault="0064038E">
            <w:pPr>
              <w:pStyle w:val="ARtabletext"/>
              <w:spacing w:line="252" w:lineRule="auto"/>
              <w:rPr>
                <w:b/>
              </w:rPr>
            </w:pPr>
            <w:r w:rsidRPr="003C2F72">
              <w:rPr>
                <w:b/>
              </w:rPr>
              <w:t>$ million</w:t>
            </w:r>
          </w:p>
        </w:tc>
        <w:tc>
          <w:tcPr>
            <w:tcW w:w="1020" w:type="dxa"/>
            <w:tcBorders>
              <w:top w:val="single" w:sz="4" w:space="0" w:color="000000" w:themeColor="text1"/>
              <w:left w:val="nil"/>
              <w:bottom w:val="single" w:sz="4" w:space="0" w:color="000000" w:themeColor="text1"/>
              <w:right w:val="nil"/>
            </w:tcBorders>
          </w:tcPr>
          <w:p w14:paraId="52BFB592" w14:textId="7452A144" w:rsidR="0064038E" w:rsidRPr="003C2F72" w:rsidRDefault="0064038E">
            <w:pPr>
              <w:pStyle w:val="ARtabletextrightbold"/>
              <w:spacing w:line="252" w:lineRule="auto"/>
            </w:pPr>
            <w:r w:rsidRPr="003C2F72">
              <w:t>1</w:t>
            </w:r>
            <w:r w:rsidR="0031484E">
              <w:t>1</w:t>
            </w:r>
            <w:r w:rsidRPr="003C2F72">
              <w:t>.</w:t>
            </w:r>
            <w:r w:rsidR="0031484E">
              <w:t>1</w:t>
            </w:r>
          </w:p>
        </w:tc>
        <w:tc>
          <w:tcPr>
            <w:tcW w:w="1022" w:type="dxa"/>
            <w:tcBorders>
              <w:top w:val="single" w:sz="4" w:space="0" w:color="000000" w:themeColor="text1"/>
              <w:left w:val="nil"/>
              <w:bottom w:val="single" w:sz="4" w:space="0" w:color="000000" w:themeColor="text1"/>
              <w:right w:val="nil"/>
            </w:tcBorders>
          </w:tcPr>
          <w:p w14:paraId="1FA57AC2" w14:textId="2101AD3C" w:rsidR="0064038E" w:rsidRPr="003C2F72" w:rsidRDefault="00BB4CD6">
            <w:pPr>
              <w:pStyle w:val="ARtabletextrightbold"/>
              <w:spacing w:line="252" w:lineRule="auto"/>
            </w:pPr>
            <w:r>
              <w:t>11.6</w:t>
            </w:r>
          </w:p>
        </w:tc>
        <w:tc>
          <w:tcPr>
            <w:tcW w:w="1026" w:type="dxa"/>
            <w:tcBorders>
              <w:top w:val="single" w:sz="4" w:space="0" w:color="000000" w:themeColor="text1"/>
              <w:left w:val="nil"/>
              <w:bottom w:val="single" w:sz="4" w:space="0" w:color="000000" w:themeColor="text1"/>
              <w:right w:val="nil"/>
            </w:tcBorders>
          </w:tcPr>
          <w:p w14:paraId="2A631A5A" w14:textId="585F9044" w:rsidR="0064038E" w:rsidRPr="003C2F72" w:rsidRDefault="00BB4CD6">
            <w:pPr>
              <w:pStyle w:val="ARtabletextrightbold"/>
              <w:spacing w:line="252" w:lineRule="auto"/>
            </w:pPr>
            <w:r>
              <w:t>4.5</w:t>
            </w:r>
            <w:r w:rsidR="0064038E" w:rsidRPr="003C2F72">
              <w:t>%</w:t>
            </w:r>
          </w:p>
        </w:tc>
        <w:tc>
          <w:tcPr>
            <w:tcW w:w="802" w:type="dxa"/>
            <w:tcBorders>
              <w:top w:val="single" w:sz="4" w:space="0" w:color="000000" w:themeColor="text1"/>
              <w:left w:val="nil"/>
              <w:bottom w:val="single" w:sz="4" w:space="0" w:color="000000" w:themeColor="text1"/>
              <w:right w:val="nil"/>
            </w:tcBorders>
          </w:tcPr>
          <w:p w14:paraId="36F6B92D" w14:textId="77777777" w:rsidR="0064038E" w:rsidRPr="003C2F72" w:rsidRDefault="0064038E">
            <w:pPr>
              <w:pStyle w:val="ARtableperformancesymbol"/>
              <w:spacing w:line="252" w:lineRule="auto"/>
              <w:rPr>
                <w:rFonts w:hint="eastAsia"/>
                <w:b/>
              </w:rPr>
            </w:pPr>
            <w:r w:rsidRPr="003C2F72">
              <w:rPr>
                <w:rFonts w:eastAsia="Wingdings" w:cs="Wingdings"/>
              </w:rPr>
              <w:t></w:t>
            </w:r>
          </w:p>
        </w:tc>
      </w:tr>
    </w:tbl>
    <w:p w14:paraId="586B0DF6" w14:textId="77777777" w:rsidR="0064038E" w:rsidRPr="003C2F72" w:rsidRDefault="0064038E">
      <w:pPr>
        <w:pStyle w:val="Heading3"/>
      </w:pPr>
      <w:r w:rsidRPr="003C2F72">
        <w:t>Women’s policy</w:t>
      </w:r>
    </w:p>
    <w:p w14:paraId="1E036E69" w14:textId="77777777" w:rsidR="0064038E" w:rsidRPr="00F07EE7" w:rsidRDefault="0064038E">
      <w:pPr>
        <w:pStyle w:val="ARbody"/>
        <w:rPr>
          <w:highlight w:val="cyan"/>
        </w:rPr>
      </w:pPr>
      <w:r>
        <w:t>This output provides initiatives that support gender equality and better outcomes for women across all areas of their lives including economic security, safety, leadership, health and wellbeing.</w:t>
      </w:r>
    </w:p>
    <w:tbl>
      <w:tblPr>
        <w:tblW w:w="5000" w:type="pct"/>
        <w:tblLayout w:type="fixed"/>
        <w:tblCellMar>
          <w:left w:w="0" w:type="dxa"/>
        </w:tblCellMar>
        <w:tblLook w:val="06A0" w:firstRow="1" w:lastRow="0" w:firstColumn="1" w:lastColumn="0" w:noHBand="1" w:noVBand="1"/>
      </w:tblPr>
      <w:tblGrid>
        <w:gridCol w:w="4741"/>
        <w:gridCol w:w="1017"/>
        <w:gridCol w:w="1019"/>
        <w:gridCol w:w="1021"/>
        <w:gridCol w:w="1025"/>
        <w:gridCol w:w="801"/>
        <w:gridCol w:w="8"/>
      </w:tblGrid>
      <w:tr w:rsidR="0064038E" w:rsidRPr="00F07EE7" w14:paraId="6DE64656" w14:textId="77777777" w:rsidTr="006C102A">
        <w:trPr>
          <w:cantSplit/>
          <w:tblHeader/>
        </w:trPr>
        <w:tc>
          <w:tcPr>
            <w:tcW w:w="4741" w:type="dxa"/>
            <w:tcBorders>
              <w:bottom w:val="single" w:sz="4" w:space="0" w:color="auto"/>
            </w:tcBorders>
            <w:vAlign w:val="bottom"/>
            <w:hideMark/>
          </w:tcPr>
          <w:p w14:paraId="04AF7609" w14:textId="77777777" w:rsidR="0064038E" w:rsidRPr="00F07EE7" w:rsidRDefault="0064038E">
            <w:pPr>
              <w:pStyle w:val="ARtablecolhead"/>
              <w:rPr>
                <w:highlight w:val="cyan"/>
              </w:rPr>
            </w:pPr>
            <w:r w:rsidRPr="009064E0">
              <w:t>Performance measures</w:t>
            </w:r>
          </w:p>
        </w:tc>
        <w:tc>
          <w:tcPr>
            <w:tcW w:w="1017" w:type="dxa"/>
            <w:tcBorders>
              <w:bottom w:val="single" w:sz="4" w:space="0" w:color="auto"/>
            </w:tcBorders>
            <w:vAlign w:val="bottom"/>
            <w:hideMark/>
          </w:tcPr>
          <w:p w14:paraId="5A4FDA1C" w14:textId="77777777" w:rsidR="0064038E" w:rsidRPr="00F07EE7" w:rsidRDefault="0064038E">
            <w:pPr>
              <w:pStyle w:val="ARtablecolhead"/>
              <w:rPr>
                <w:highlight w:val="cyan"/>
              </w:rPr>
            </w:pPr>
            <w:r w:rsidRPr="009064E0">
              <w:t>Unit of measure</w:t>
            </w:r>
          </w:p>
        </w:tc>
        <w:tc>
          <w:tcPr>
            <w:tcW w:w="1019" w:type="dxa"/>
            <w:tcBorders>
              <w:bottom w:val="single" w:sz="4" w:space="0" w:color="auto"/>
            </w:tcBorders>
            <w:vAlign w:val="bottom"/>
            <w:hideMark/>
          </w:tcPr>
          <w:p w14:paraId="446F4FC5" w14:textId="77777777" w:rsidR="0064038E" w:rsidRPr="00F07EE7" w:rsidRDefault="0064038E">
            <w:pPr>
              <w:pStyle w:val="ARtablecolheadright"/>
              <w:rPr>
                <w:highlight w:val="cyan"/>
              </w:rPr>
            </w:pPr>
            <w:r w:rsidRPr="009064E0">
              <w:t>2024–25 target</w:t>
            </w:r>
          </w:p>
        </w:tc>
        <w:tc>
          <w:tcPr>
            <w:tcW w:w="1021" w:type="dxa"/>
            <w:tcBorders>
              <w:bottom w:val="single" w:sz="4" w:space="0" w:color="auto"/>
            </w:tcBorders>
            <w:vAlign w:val="bottom"/>
            <w:hideMark/>
          </w:tcPr>
          <w:p w14:paraId="7D540C1C" w14:textId="77777777" w:rsidR="0064038E" w:rsidRPr="00F07EE7" w:rsidRDefault="0064038E">
            <w:pPr>
              <w:pStyle w:val="ARtablecolheadright"/>
              <w:rPr>
                <w:highlight w:val="cyan"/>
              </w:rPr>
            </w:pPr>
            <w:r w:rsidRPr="009064E0">
              <w:t>2024–25 actual</w:t>
            </w:r>
          </w:p>
        </w:tc>
        <w:tc>
          <w:tcPr>
            <w:tcW w:w="1025" w:type="dxa"/>
            <w:tcBorders>
              <w:bottom w:val="single" w:sz="4" w:space="0" w:color="auto"/>
            </w:tcBorders>
            <w:vAlign w:val="bottom"/>
            <w:hideMark/>
          </w:tcPr>
          <w:p w14:paraId="1C617C52" w14:textId="77777777" w:rsidR="0064038E" w:rsidRPr="00F07EE7" w:rsidRDefault="0064038E">
            <w:pPr>
              <w:pStyle w:val="ARtablecolheadright"/>
              <w:rPr>
                <w:highlight w:val="cyan"/>
              </w:rPr>
            </w:pPr>
            <w:r w:rsidRPr="009064E0">
              <w:t xml:space="preserve">Variation </w:t>
            </w:r>
          </w:p>
        </w:tc>
        <w:tc>
          <w:tcPr>
            <w:tcW w:w="809" w:type="dxa"/>
            <w:gridSpan w:val="2"/>
            <w:tcBorders>
              <w:bottom w:val="single" w:sz="4" w:space="0" w:color="auto"/>
            </w:tcBorders>
            <w:vAlign w:val="bottom"/>
            <w:hideMark/>
          </w:tcPr>
          <w:p w14:paraId="62EB09DD" w14:textId="77777777" w:rsidR="0064038E" w:rsidRPr="00F07EE7" w:rsidRDefault="0064038E">
            <w:pPr>
              <w:pStyle w:val="ARtablecolheadright"/>
              <w:rPr>
                <w:highlight w:val="cyan"/>
              </w:rPr>
            </w:pPr>
            <w:r w:rsidRPr="009064E0">
              <w:t>Result</w:t>
            </w:r>
          </w:p>
        </w:tc>
      </w:tr>
      <w:tr w:rsidR="0064038E" w:rsidRPr="00F07EE7" w14:paraId="51700BA0" w14:textId="77777777" w:rsidTr="006C102A">
        <w:trPr>
          <w:cantSplit/>
        </w:trPr>
        <w:tc>
          <w:tcPr>
            <w:tcW w:w="9632" w:type="dxa"/>
            <w:gridSpan w:val="7"/>
            <w:tcBorders>
              <w:top w:val="single" w:sz="4" w:space="0" w:color="auto"/>
              <w:bottom w:val="single" w:sz="4" w:space="0" w:color="A6A6A6" w:themeColor="accent5"/>
            </w:tcBorders>
            <w:hideMark/>
          </w:tcPr>
          <w:p w14:paraId="36255664" w14:textId="77777777" w:rsidR="0064038E" w:rsidRPr="00E64D44" w:rsidRDefault="0064038E">
            <w:pPr>
              <w:pStyle w:val="ARtablegreybold"/>
            </w:pPr>
            <w:r w:rsidRPr="00E64D44">
              <w:t>Quantity</w:t>
            </w:r>
          </w:p>
        </w:tc>
      </w:tr>
      <w:tr w:rsidR="0064038E" w:rsidRPr="00F07EE7" w14:paraId="29E018C7" w14:textId="77777777" w:rsidTr="006C102A">
        <w:trPr>
          <w:gridAfter w:val="1"/>
          <w:wAfter w:w="8" w:type="dxa"/>
          <w:cantSplit/>
        </w:trPr>
        <w:tc>
          <w:tcPr>
            <w:tcW w:w="4741" w:type="dxa"/>
            <w:tcBorders>
              <w:top w:val="single" w:sz="4" w:space="0" w:color="A6A6A6" w:themeColor="accent5"/>
            </w:tcBorders>
          </w:tcPr>
          <w:p w14:paraId="527AD609" w14:textId="156E43C6" w:rsidR="0064038E" w:rsidRPr="00E64D44" w:rsidRDefault="0064038E">
            <w:pPr>
              <w:pStyle w:val="ARtabletext"/>
            </w:pPr>
            <w:r w:rsidRPr="00E64D44">
              <w:t>Number of people participating in funded gender equality</w:t>
            </w:r>
            <w:r w:rsidR="006C102A">
              <w:t> </w:t>
            </w:r>
            <w:r w:rsidRPr="00E64D44">
              <w:t>programs</w:t>
            </w:r>
          </w:p>
        </w:tc>
        <w:tc>
          <w:tcPr>
            <w:tcW w:w="1017" w:type="dxa"/>
            <w:tcBorders>
              <w:top w:val="single" w:sz="4" w:space="0" w:color="A6A6A6" w:themeColor="accent5"/>
            </w:tcBorders>
          </w:tcPr>
          <w:p w14:paraId="4D71FA19" w14:textId="77777777" w:rsidR="0064038E" w:rsidRPr="00E64D44" w:rsidRDefault="0064038E">
            <w:pPr>
              <w:pStyle w:val="ARtabletext"/>
            </w:pPr>
            <w:r>
              <w:t>number</w:t>
            </w:r>
          </w:p>
        </w:tc>
        <w:tc>
          <w:tcPr>
            <w:tcW w:w="1019" w:type="dxa"/>
            <w:tcBorders>
              <w:top w:val="single" w:sz="4" w:space="0" w:color="A6A6A6" w:themeColor="accent5"/>
            </w:tcBorders>
          </w:tcPr>
          <w:p w14:paraId="28948154" w14:textId="77777777" w:rsidR="0064038E" w:rsidRPr="00E64D44" w:rsidRDefault="0064038E">
            <w:pPr>
              <w:pStyle w:val="ARtabletextright"/>
            </w:pPr>
            <w:r w:rsidRPr="00E64D44">
              <w:t>6,759</w:t>
            </w:r>
          </w:p>
        </w:tc>
        <w:tc>
          <w:tcPr>
            <w:tcW w:w="1021" w:type="dxa"/>
            <w:tcBorders>
              <w:top w:val="single" w:sz="4" w:space="0" w:color="A6A6A6" w:themeColor="accent5"/>
            </w:tcBorders>
          </w:tcPr>
          <w:p w14:paraId="64322ABC" w14:textId="2079A937" w:rsidR="0064038E" w:rsidRPr="00E64D44" w:rsidRDefault="0064038E">
            <w:pPr>
              <w:pStyle w:val="ARtabletextright"/>
            </w:pPr>
            <w:r w:rsidRPr="00E64D44">
              <w:t>2</w:t>
            </w:r>
            <w:r w:rsidR="00315806">
              <w:t>,</w:t>
            </w:r>
            <w:r w:rsidRPr="00E64D44">
              <w:t>070</w:t>
            </w:r>
          </w:p>
        </w:tc>
        <w:tc>
          <w:tcPr>
            <w:tcW w:w="1025" w:type="dxa"/>
            <w:tcBorders>
              <w:top w:val="single" w:sz="4" w:space="0" w:color="A6A6A6" w:themeColor="accent5"/>
            </w:tcBorders>
          </w:tcPr>
          <w:p w14:paraId="739E697A" w14:textId="56323769" w:rsidR="0064038E" w:rsidRPr="00E64D44" w:rsidRDefault="00430898">
            <w:pPr>
              <w:pStyle w:val="ARtabletextright"/>
            </w:pPr>
            <w:r>
              <w:t>−</w:t>
            </w:r>
            <w:r w:rsidR="0064038E" w:rsidRPr="00E64D44">
              <w:t>69.4%</w:t>
            </w:r>
          </w:p>
        </w:tc>
        <w:tc>
          <w:tcPr>
            <w:tcW w:w="801" w:type="dxa"/>
            <w:tcBorders>
              <w:top w:val="single" w:sz="4" w:space="0" w:color="A6A6A6" w:themeColor="accent5"/>
            </w:tcBorders>
          </w:tcPr>
          <w:p w14:paraId="1F415ED7" w14:textId="77777777" w:rsidR="0064038E" w:rsidRPr="00E64D44" w:rsidRDefault="0064038E">
            <w:pPr>
              <w:pStyle w:val="ARtableperformancesymbol"/>
              <w:rPr>
                <w:rFonts w:hint="eastAsia"/>
                <w:lang w:val="en-AU"/>
              </w:rPr>
            </w:pPr>
            <w:r w:rsidRPr="00E64D44">
              <w:rPr>
                <w:rFonts w:eastAsia="Wingdings" w:cs="Wingdings"/>
              </w:rPr>
              <w:t></w:t>
            </w:r>
          </w:p>
        </w:tc>
      </w:tr>
      <w:tr w:rsidR="0064038E" w:rsidRPr="00F07EE7" w14:paraId="0550115F" w14:textId="77777777">
        <w:trPr>
          <w:gridAfter w:val="1"/>
          <w:wAfter w:w="8" w:type="dxa"/>
          <w:cantSplit/>
        </w:trPr>
        <w:tc>
          <w:tcPr>
            <w:tcW w:w="9624" w:type="dxa"/>
            <w:gridSpan w:val="6"/>
            <w:tcBorders>
              <w:bottom w:val="single" w:sz="4" w:space="0" w:color="BFBFBF" w:themeColor="background1" w:themeShade="BF"/>
            </w:tcBorders>
          </w:tcPr>
          <w:p w14:paraId="15234663" w14:textId="77777777" w:rsidR="0064038E" w:rsidRPr="00F07EE7" w:rsidRDefault="0064038E" w:rsidP="00130336">
            <w:pPr>
              <w:pStyle w:val="ARtablenoteindent"/>
              <w:rPr>
                <w:highlight w:val="cyan"/>
              </w:rPr>
            </w:pPr>
            <w:r w:rsidRPr="00E64D44">
              <w:t>The lower 2024</w:t>
            </w:r>
            <w:r>
              <w:t>–</w:t>
            </w:r>
            <w:r w:rsidRPr="00E64D44">
              <w:t xml:space="preserve">25 outcome </w:t>
            </w:r>
            <w:r w:rsidRPr="00130336">
              <w:t>reflects</w:t>
            </w:r>
            <w:r w:rsidRPr="00E64D44">
              <w:t xml:space="preserve"> a change in programming for the Queen Victoria Women’s Centre (QVWC). QVWC focused on venue leasing and capital works in 2024</w:t>
            </w:r>
            <w:r>
              <w:t>–</w:t>
            </w:r>
            <w:r w:rsidRPr="00E64D44">
              <w:t>25, reducing capacity for program delivery. The 2025</w:t>
            </w:r>
            <w:r>
              <w:t>–</w:t>
            </w:r>
            <w:r w:rsidRPr="00E64D44">
              <w:t>26 target has been reduced to 2,000 to reflect this updated programming approach.</w:t>
            </w:r>
          </w:p>
        </w:tc>
      </w:tr>
      <w:tr w:rsidR="0064038E" w:rsidRPr="00F07EE7" w14:paraId="422BE770" w14:textId="77777777">
        <w:trPr>
          <w:gridAfter w:val="1"/>
          <w:wAfter w:w="8" w:type="dxa"/>
          <w:cantSplit/>
        </w:trPr>
        <w:tc>
          <w:tcPr>
            <w:tcW w:w="4741" w:type="dxa"/>
            <w:tcBorders>
              <w:top w:val="single" w:sz="4" w:space="0" w:color="BFBFBF" w:themeColor="background1" w:themeShade="BF"/>
            </w:tcBorders>
          </w:tcPr>
          <w:p w14:paraId="6BB70EF9" w14:textId="77777777" w:rsidR="0064038E" w:rsidRPr="00D90736" w:rsidRDefault="0064038E">
            <w:pPr>
              <w:pStyle w:val="ARtabletext"/>
            </w:pPr>
            <w:r w:rsidRPr="00D90736">
              <w:t>Percentage of women on Victorian Government boards</w:t>
            </w:r>
          </w:p>
        </w:tc>
        <w:tc>
          <w:tcPr>
            <w:tcW w:w="1017" w:type="dxa"/>
            <w:tcBorders>
              <w:top w:val="single" w:sz="4" w:space="0" w:color="BFBFBF" w:themeColor="background1" w:themeShade="BF"/>
            </w:tcBorders>
          </w:tcPr>
          <w:p w14:paraId="68C65FC4" w14:textId="77777777" w:rsidR="0064038E" w:rsidRPr="00D90736" w:rsidRDefault="0064038E">
            <w:pPr>
              <w:pStyle w:val="ARtabletext"/>
            </w:pPr>
            <w:r w:rsidRPr="00D90736">
              <w:t>per cent</w:t>
            </w:r>
          </w:p>
        </w:tc>
        <w:tc>
          <w:tcPr>
            <w:tcW w:w="1019" w:type="dxa"/>
            <w:tcBorders>
              <w:top w:val="single" w:sz="4" w:space="0" w:color="BFBFBF" w:themeColor="background1" w:themeShade="BF"/>
            </w:tcBorders>
          </w:tcPr>
          <w:p w14:paraId="1D54BF0B" w14:textId="77777777" w:rsidR="0064038E" w:rsidRPr="00D90736" w:rsidRDefault="0064038E">
            <w:pPr>
              <w:pStyle w:val="ARtabletextright"/>
            </w:pPr>
            <w:r w:rsidRPr="00D90736">
              <w:t>50.0</w:t>
            </w:r>
          </w:p>
        </w:tc>
        <w:tc>
          <w:tcPr>
            <w:tcW w:w="1021" w:type="dxa"/>
            <w:tcBorders>
              <w:top w:val="single" w:sz="4" w:space="0" w:color="BFBFBF" w:themeColor="background1" w:themeShade="BF"/>
            </w:tcBorders>
          </w:tcPr>
          <w:p w14:paraId="5731BE7E" w14:textId="77777777" w:rsidR="0064038E" w:rsidRPr="00D90736" w:rsidRDefault="0064038E">
            <w:pPr>
              <w:pStyle w:val="ARtabletextright"/>
            </w:pPr>
            <w:r w:rsidRPr="00D90736">
              <w:t>53.0</w:t>
            </w:r>
          </w:p>
        </w:tc>
        <w:tc>
          <w:tcPr>
            <w:tcW w:w="1025" w:type="dxa"/>
            <w:tcBorders>
              <w:top w:val="single" w:sz="4" w:space="0" w:color="BFBFBF" w:themeColor="background1" w:themeShade="BF"/>
            </w:tcBorders>
          </w:tcPr>
          <w:p w14:paraId="2A65DC24" w14:textId="77777777" w:rsidR="0064038E" w:rsidRPr="00D90736" w:rsidRDefault="0064038E">
            <w:pPr>
              <w:pStyle w:val="ARtabletextright"/>
            </w:pPr>
            <w:r w:rsidRPr="00D90736">
              <w:t>6%</w:t>
            </w:r>
          </w:p>
        </w:tc>
        <w:tc>
          <w:tcPr>
            <w:tcW w:w="801" w:type="dxa"/>
            <w:tcBorders>
              <w:top w:val="single" w:sz="4" w:space="0" w:color="BFBFBF" w:themeColor="background1" w:themeShade="BF"/>
            </w:tcBorders>
          </w:tcPr>
          <w:p w14:paraId="20BB07EE" w14:textId="77777777" w:rsidR="0064038E" w:rsidRPr="00D90736" w:rsidRDefault="0064038E">
            <w:pPr>
              <w:pStyle w:val="ARtableperformancesymbol"/>
              <w:rPr>
                <w:rFonts w:hint="eastAsia"/>
                <w:lang w:val="en-AU"/>
              </w:rPr>
            </w:pPr>
            <w:r w:rsidRPr="00D90736">
              <w:rPr>
                <w:rFonts w:eastAsia="Wingdings" w:cs="Wingdings"/>
              </w:rPr>
              <w:t></w:t>
            </w:r>
          </w:p>
        </w:tc>
      </w:tr>
      <w:tr w:rsidR="0064038E" w:rsidRPr="00F07EE7" w14:paraId="12D75B80" w14:textId="77777777">
        <w:trPr>
          <w:gridAfter w:val="1"/>
          <w:wAfter w:w="8" w:type="dxa"/>
          <w:cantSplit/>
        </w:trPr>
        <w:tc>
          <w:tcPr>
            <w:tcW w:w="9624" w:type="dxa"/>
            <w:gridSpan w:val="6"/>
            <w:tcBorders>
              <w:bottom w:val="single" w:sz="4" w:space="0" w:color="BFBFBF" w:themeColor="background1" w:themeShade="BF"/>
            </w:tcBorders>
          </w:tcPr>
          <w:p w14:paraId="295A9373" w14:textId="77777777" w:rsidR="0064038E" w:rsidRPr="00F07EE7" w:rsidRDefault="0064038E" w:rsidP="00130336">
            <w:pPr>
              <w:pStyle w:val="ARtablenoteindent"/>
              <w:rPr>
                <w:highlight w:val="cyan"/>
              </w:rPr>
            </w:pPr>
            <w:r w:rsidRPr="00201ED2">
              <w:t>The 2024</w:t>
            </w:r>
            <w:r>
              <w:t>–</w:t>
            </w:r>
            <w:r w:rsidRPr="00201ED2">
              <w:t>25 outcome reflects the Victorian Government's commitment to a minimum of 50% of board members being women.</w:t>
            </w:r>
          </w:p>
        </w:tc>
      </w:tr>
      <w:tr w:rsidR="0064038E" w:rsidRPr="00F07EE7" w14:paraId="4C322360" w14:textId="77777777">
        <w:trPr>
          <w:gridAfter w:val="1"/>
          <w:wAfter w:w="8" w:type="dxa"/>
          <w:cantSplit/>
        </w:trPr>
        <w:tc>
          <w:tcPr>
            <w:tcW w:w="4741" w:type="dxa"/>
            <w:tcBorders>
              <w:top w:val="single" w:sz="4" w:space="0" w:color="BFBFBF" w:themeColor="background1" w:themeShade="BF"/>
            </w:tcBorders>
          </w:tcPr>
          <w:p w14:paraId="6ADE043B" w14:textId="77777777" w:rsidR="0064038E" w:rsidRPr="00201ED2" w:rsidRDefault="0064038E">
            <w:pPr>
              <w:pStyle w:val="ARtabletext"/>
              <w:keepNext/>
            </w:pPr>
            <w:r w:rsidRPr="00201ED2">
              <w:t>Gender equality grant recipients who met or exceeded contractually agreed outcomes</w:t>
            </w:r>
          </w:p>
        </w:tc>
        <w:tc>
          <w:tcPr>
            <w:tcW w:w="1017" w:type="dxa"/>
            <w:tcBorders>
              <w:top w:val="single" w:sz="4" w:space="0" w:color="BFBFBF" w:themeColor="background1" w:themeShade="BF"/>
            </w:tcBorders>
          </w:tcPr>
          <w:p w14:paraId="62553741" w14:textId="77777777" w:rsidR="0064038E" w:rsidRPr="00201ED2" w:rsidRDefault="0064038E">
            <w:pPr>
              <w:pStyle w:val="ARtabletext"/>
            </w:pPr>
            <w:r w:rsidRPr="00201ED2">
              <w:t>per cent</w:t>
            </w:r>
          </w:p>
        </w:tc>
        <w:tc>
          <w:tcPr>
            <w:tcW w:w="1019" w:type="dxa"/>
            <w:tcBorders>
              <w:top w:val="single" w:sz="4" w:space="0" w:color="BFBFBF" w:themeColor="background1" w:themeShade="BF"/>
            </w:tcBorders>
          </w:tcPr>
          <w:p w14:paraId="7A35A123" w14:textId="77777777" w:rsidR="0064038E" w:rsidRPr="00201ED2" w:rsidRDefault="0064038E">
            <w:pPr>
              <w:pStyle w:val="ARtabletextright"/>
            </w:pPr>
            <w:r w:rsidRPr="00201ED2">
              <w:t>95.0</w:t>
            </w:r>
          </w:p>
        </w:tc>
        <w:tc>
          <w:tcPr>
            <w:tcW w:w="1021" w:type="dxa"/>
            <w:tcBorders>
              <w:top w:val="single" w:sz="4" w:space="0" w:color="BFBFBF" w:themeColor="background1" w:themeShade="BF"/>
            </w:tcBorders>
          </w:tcPr>
          <w:p w14:paraId="7673A476" w14:textId="77777777" w:rsidR="0064038E" w:rsidRPr="00201ED2" w:rsidRDefault="0064038E">
            <w:pPr>
              <w:pStyle w:val="ARtabletextright"/>
            </w:pPr>
            <w:r w:rsidRPr="00201ED2">
              <w:t>100</w:t>
            </w:r>
          </w:p>
        </w:tc>
        <w:tc>
          <w:tcPr>
            <w:tcW w:w="1025" w:type="dxa"/>
            <w:tcBorders>
              <w:top w:val="single" w:sz="4" w:space="0" w:color="BFBFBF" w:themeColor="background1" w:themeShade="BF"/>
            </w:tcBorders>
          </w:tcPr>
          <w:p w14:paraId="4D7940AC" w14:textId="77777777" w:rsidR="0064038E" w:rsidRPr="00201ED2" w:rsidRDefault="0064038E">
            <w:pPr>
              <w:pStyle w:val="ARtabletextright"/>
            </w:pPr>
            <w:r w:rsidRPr="00201ED2">
              <w:t>5.3%</w:t>
            </w:r>
          </w:p>
        </w:tc>
        <w:tc>
          <w:tcPr>
            <w:tcW w:w="801" w:type="dxa"/>
            <w:tcBorders>
              <w:top w:val="single" w:sz="4" w:space="0" w:color="BFBFBF" w:themeColor="background1" w:themeShade="BF"/>
            </w:tcBorders>
          </w:tcPr>
          <w:p w14:paraId="3FB2DF6D" w14:textId="77777777" w:rsidR="0064038E" w:rsidRPr="00201ED2" w:rsidRDefault="0064038E">
            <w:pPr>
              <w:pStyle w:val="ARtableperformancesymbol"/>
              <w:rPr>
                <w:rFonts w:hint="eastAsia"/>
                <w:lang w:val="en-AU"/>
              </w:rPr>
            </w:pPr>
            <w:r w:rsidRPr="00201ED2">
              <w:rPr>
                <w:rFonts w:eastAsia="Wingdings" w:cs="Wingdings"/>
              </w:rPr>
              <w:t></w:t>
            </w:r>
          </w:p>
        </w:tc>
      </w:tr>
      <w:tr w:rsidR="0064038E" w:rsidRPr="00F07EE7" w14:paraId="74C1B2C9" w14:textId="77777777">
        <w:trPr>
          <w:gridAfter w:val="1"/>
          <w:wAfter w:w="8" w:type="dxa"/>
          <w:cantSplit/>
        </w:trPr>
        <w:tc>
          <w:tcPr>
            <w:tcW w:w="9624" w:type="dxa"/>
            <w:gridSpan w:val="6"/>
            <w:tcBorders>
              <w:bottom w:val="single" w:sz="4" w:space="0" w:color="000000" w:themeColor="text1"/>
            </w:tcBorders>
          </w:tcPr>
          <w:p w14:paraId="3A83FE5B" w14:textId="77777777" w:rsidR="0064038E" w:rsidRPr="00F07EE7" w:rsidRDefault="0064038E" w:rsidP="00130336">
            <w:pPr>
              <w:pStyle w:val="ARtablenoteindent"/>
              <w:rPr>
                <w:highlight w:val="cyan"/>
              </w:rPr>
            </w:pPr>
            <w:r w:rsidRPr="00201ED2">
              <w:t>The 2024</w:t>
            </w:r>
            <w:r>
              <w:t>–</w:t>
            </w:r>
            <w:r w:rsidRPr="00201ED2">
              <w:t>25 outcome is higher than the 2024</w:t>
            </w:r>
            <w:r>
              <w:t>–</w:t>
            </w:r>
            <w:r w:rsidRPr="00201ED2">
              <w:t xml:space="preserve">25 target due to all gender equality grant recipients meeting or exceeding their contractually agreed </w:t>
            </w:r>
            <w:r w:rsidRPr="00130336">
              <w:t>outcomes</w:t>
            </w:r>
            <w:r w:rsidRPr="00201ED2">
              <w:t>.</w:t>
            </w:r>
          </w:p>
        </w:tc>
      </w:tr>
      <w:tr w:rsidR="0064038E" w:rsidRPr="00F07EE7" w14:paraId="5951730A" w14:textId="77777777" w:rsidTr="006C102A">
        <w:trPr>
          <w:cantSplit/>
        </w:trPr>
        <w:tc>
          <w:tcPr>
            <w:tcW w:w="9632" w:type="dxa"/>
            <w:gridSpan w:val="7"/>
            <w:tcBorders>
              <w:bottom w:val="single" w:sz="4" w:space="0" w:color="A6A6A6" w:themeColor="accent5"/>
            </w:tcBorders>
            <w:hideMark/>
          </w:tcPr>
          <w:p w14:paraId="45F4BF08" w14:textId="77777777" w:rsidR="0064038E" w:rsidRPr="00201ED2" w:rsidRDefault="0064038E">
            <w:pPr>
              <w:pStyle w:val="ARtablegreybold"/>
            </w:pPr>
            <w:r w:rsidRPr="00201ED2">
              <w:t>Timeliness</w:t>
            </w:r>
          </w:p>
        </w:tc>
      </w:tr>
      <w:tr w:rsidR="00677A77" w:rsidRPr="00F07EE7" w14:paraId="69A7A21F" w14:textId="77777777" w:rsidTr="00B979C0">
        <w:trPr>
          <w:cantSplit/>
        </w:trPr>
        <w:tc>
          <w:tcPr>
            <w:tcW w:w="4741" w:type="dxa"/>
            <w:tcBorders>
              <w:top w:val="single" w:sz="4" w:space="0" w:color="A6A6A6" w:themeColor="accent5"/>
              <w:bottom w:val="single" w:sz="4" w:space="0" w:color="A6A6A6" w:themeColor="accent5"/>
            </w:tcBorders>
          </w:tcPr>
          <w:p w14:paraId="25EB2506" w14:textId="77777777" w:rsidR="00677A77" w:rsidRPr="001E2444" w:rsidRDefault="00677A77" w:rsidP="00947734">
            <w:pPr>
              <w:pStyle w:val="ARtabletext"/>
              <w:rPr>
                <w:highlight w:val="yellow"/>
              </w:rPr>
            </w:pPr>
            <w:r w:rsidRPr="00E23D07">
              <w:lastRenderedPageBreak/>
              <w:t>Tools, resources and guidelines to support the Gender Equality Act 2020 implementation are completed within agreed timeframes</w:t>
            </w:r>
          </w:p>
        </w:tc>
        <w:tc>
          <w:tcPr>
            <w:tcW w:w="1017" w:type="dxa"/>
            <w:tcBorders>
              <w:top w:val="single" w:sz="4" w:space="0" w:color="A6A6A6" w:themeColor="accent5"/>
              <w:bottom w:val="single" w:sz="4" w:space="0" w:color="A6A6A6" w:themeColor="accent5"/>
            </w:tcBorders>
          </w:tcPr>
          <w:p w14:paraId="48F80E1A" w14:textId="77777777" w:rsidR="00677A77" w:rsidRPr="00EB2273" w:rsidRDefault="00677A77" w:rsidP="00947734">
            <w:pPr>
              <w:pStyle w:val="ARtabletext"/>
            </w:pPr>
            <w:r w:rsidRPr="0069508D">
              <w:t>per cent</w:t>
            </w:r>
          </w:p>
        </w:tc>
        <w:tc>
          <w:tcPr>
            <w:tcW w:w="1019" w:type="dxa"/>
            <w:tcBorders>
              <w:top w:val="single" w:sz="4" w:space="0" w:color="A6A6A6" w:themeColor="accent5"/>
              <w:bottom w:val="single" w:sz="4" w:space="0" w:color="A6A6A6" w:themeColor="accent5"/>
            </w:tcBorders>
          </w:tcPr>
          <w:p w14:paraId="6F41DAC0" w14:textId="77777777" w:rsidR="00677A77" w:rsidRPr="00EB2273" w:rsidRDefault="00677A77" w:rsidP="00947734">
            <w:pPr>
              <w:pStyle w:val="ARtabletextright"/>
            </w:pPr>
            <w:r w:rsidRPr="00EB2273">
              <w:t>100</w:t>
            </w:r>
          </w:p>
        </w:tc>
        <w:tc>
          <w:tcPr>
            <w:tcW w:w="1021" w:type="dxa"/>
            <w:tcBorders>
              <w:top w:val="single" w:sz="4" w:space="0" w:color="A6A6A6" w:themeColor="accent5"/>
              <w:bottom w:val="single" w:sz="4" w:space="0" w:color="A6A6A6" w:themeColor="accent5"/>
            </w:tcBorders>
          </w:tcPr>
          <w:p w14:paraId="4C71F9C0" w14:textId="77777777" w:rsidR="00677A77" w:rsidRPr="00EB2273" w:rsidRDefault="00677A77" w:rsidP="00947734">
            <w:pPr>
              <w:pStyle w:val="ARtabletextright"/>
            </w:pPr>
            <w:r w:rsidRPr="00EB2273">
              <w:t>100</w:t>
            </w:r>
          </w:p>
        </w:tc>
        <w:tc>
          <w:tcPr>
            <w:tcW w:w="1025" w:type="dxa"/>
            <w:tcBorders>
              <w:top w:val="single" w:sz="4" w:space="0" w:color="A6A6A6" w:themeColor="accent5"/>
              <w:bottom w:val="single" w:sz="4" w:space="0" w:color="A6A6A6" w:themeColor="accent5"/>
            </w:tcBorders>
          </w:tcPr>
          <w:p w14:paraId="4B871A48" w14:textId="77777777" w:rsidR="00677A77" w:rsidRPr="00EB2273" w:rsidRDefault="00677A77" w:rsidP="00947734">
            <w:pPr>
              <w:pStyle w:val="ARtabletextright"/>
            </w:pPr>
            <w:r w:rsidRPr="00EB2273">
              <w:t>0%</w:t>
            </w:r>
          </w:p>
        </w:tc>
        <w:tc>
          <w:tcPr>
            <w:tcW w:w="801" w:type="dxa"/>
            <w:gridSpan w:val="2"/>
            <w:tcBorders>
              <w:top w:val="single" w:sz="4" w:space="0" w:color="A6A6A6" w:themeColor="accent5"/>
              <w:bottom w:val="single" w:sz="4" w:space="0" w:color="A6A6A6" w:themeColor="accent5"/>
            </w:tcBorders>
          </w:tcPr>
          <w:p w14:paraId="19082CB4" w14:textId="77777777" w:rsidR="00677A77" w:rsidRPr="00EB2273" w:rsidRDefault="00677A77" w:rsidP="00947734">
            <w:pPr>
              <w:pStyle w:val="ARtableperformancesymbol"/>
              <w:rPr>
                <w:rFonts w:eastAsia="Wingdings" w:cs="Wingdings"/>
              </w:rPr>
            </w:pPr>
            <w:r w:rsidRPr="00EB2273">
              <w:rPr>
                <w:rFonts w:eastAsia="Wingdings" w:cs="Wingdings"/>
              </w:rPr>
              <w:t></w:t>
            </w:r>
          </w:p>
        </w:tc>
      </w:tr>
      <w:tr w:rsidR="0064038E" w:rsidRPr="00F07EE7" w14:paraId="2C4C01B1" w14:textId="77777777" w:rsidTr="006C102A">
        <w:trPr>
          <w:gridAfter w:val="1"/>
          <w:wAfter w:w="8" w:type="dxa"/>
          <w:cantSplit/>
        </w:trPr>
        <w:tc>
          <w:tcPr>
            <w:tcW w:w="4741" w:type="dxa"/>
            <w:tcBorders>
              <w:top w:val="single" w:sz="4" w:space="0" w:color="A6A6A6" w:themeColor="accent5"/>
              <w:bottom w:val="single" w:sz="4" w:space="0" w:color="000000" w:themeColor="text1"/>
            </w:tcBorders>
          </w:tcPr>
          <w:p w14:paraId="24B73E5F" w14:textId="77777777" w:rsidR="0064038E" w:rsidRPr="00201ED2" w:rsidRDefault="0064038E">
            <w:pPr>
              <w:pStyle w:val="ARtabletext"/>
            </w:pPr>
            <w:r w:rsidRPr="00201ED2">
              <w:t>Women’s portfolio projects and programs delivered on time</w:t>
            </w:r>
          </w:p>
        </w:tc>
        <w:tc>
          <w:tcPr>
            <w:tcW w:w="1017" w:type="dxa"/>
            <w:tcBorders>
              <w:top w:val="single" w:sz="4" w:space="0" w:color="A6A6A6" w:themeColor="accent5"/>
              <w:bottom w:val="single" w:sz="4" w:space="0" w:color="000000" w:themeColor="text1"/>
            </w:tcBorders>
          </w:tcPr>
          <w:p w14:paraId="24E08008" w14:textId="77777777" w:rsidR="0064038E" w:rsidRPr="00201ED2" w:rsidRDefault="0064038E">
            <w:pPr>
              <w:pStyle w:val="ARtabletext"/>
            </w:pPr>
            <w:r w:rsidRPr="00201ED2">
              <w:t>per cent</w:t>
            </w:r>
          </w:p>
        </w:tc>
        <w:tc>
          <w:tcPr>
            <w:tcW w:w="1019" w:type="dxa"/>
            <w:tcBorders>
              <w:top w:val="single" w:sz="4" w:space="0" w:color="A6A6A6" w:themeColor="accent5"/>
              <w:bottom w:val="single" w:sz="4" w:space="0" w:color="000000" w:themeColor="text1"/>
            </w:tcBorders>
          </w:tcPr>
          <w:p w14:paraId="539C6B40" w14:textId="77777777" w:rsidR="0064038E" w:rsidRPr="00201ED2" w:rsidRDefault="0064038E">
            <w:pPr>
              <w:pStyle w:val="ARtabletextright"/>
            </w:pPr>
            <w:r w:rsidRPr="00201ED2">
              <w:t>100</w:t>
            </w:r>
          </w:p>
        </w:tc>
        <w:tc>
          <w:tcPr>
            <w:tcW w:w="1021" w:type="dxa"/>
            <w:tcBorders>
              <w:top w:val="single" w:sz="4" w:space="0" w:color="A6A6A6" w:themeColor="accent5"/>
              <w:bottom w:val="single" w:sz="4" w:space="0" w:color="000000" w:themeColor="text1"/>
            </w:tcBorders>
          </w:tcPr>
          <w:p w14:paraId="32CB66DE" w14:textId="77777777" w:rsidR="0064038E" w:rsidRPr="00201ED2" w:rsidRDefault="0064038E">
            <w:pPr>
              <w:pStyle w:val="ARtabletextright"/>
            </w:pPr>
            <w:r w:rsidRPr="00201ED2">
              <w:t>100</w:t>
            </w:r>
          </w:p>
        </w:tc>
        <w:tc>
          <w:tcPr>
            <w:tcW w:w="1025" w:type="dxa"/>
            <w:tcBorders>
              <w:top w:val="single" w:sz="4" w:space="0" w:color="A6A6A6" w:themeColor="accent5"/>
              <w:bottom w:val="single" w:sz="4" w:space="0" w:color="000000" w:themeColor="text1"/>
            </w:tcBorders>
          </w:tcPr>
          <w:p w14:paraId="40362CB6" w14:textId="77777777" w:rsidR="0064038E" w:rsidRPr="00201ED2" w:rsidRDefault="0064038E">
            <w:pPr>
              <w:pStyle w:val="ARtabletextright"/>
            </w:pPr>
            <w:r w:rsidRPr="00201ED2">
              <w:t>0%</w:t>
            </w:r>
          </w:p>
        </w:tc>
        <w:tc>
          <w:tcPr>
            <w:tcW w:w="801" w:type="dxa"/>
            <w:tcBorders>
              <w:top w:val="single" w:sz="4" w:space="0" w:color="A6A6A6" w:themeColor="accent5"/>
              <w:bottom w:val="single" w:sz="4" w:space="0" w:color="000000" w:themeColor="text1"/>
            </w:tcBorders>
          </w:tcPr>
          <w:p w14:paraId="795E28B1" w14:textId="77777777" w:rsidR="0064038E" w:rsidRPr="00201ED2" w:rsidRDefault="0064038E">
            <w:pPr>
              <w:pStyle w:val="ARtableperformancesymbol"/>
              <w:rPr>
                <w:rFonts w:hint="eastAsia"/>
                <w:lang w:val="en-AU"/>
              </w:rPr>
            </w:pPr>
            <w:r w:rsidRPr="00201ED2">
              <w:rPr>
                <w:rFonts w:eastAsia="Wingdings" w:cs="Wingdings"/>
              </w:rPr>
              <w:t></w:t>
            </w:r>
          </w:p>
        </w:tc>
      </w:tr>
      <w:tr w:rsidR="0064038E" w:rsidRPr="00F07EE7" w14:paraId="398313F8" w14:textId="77777777" w:rsidTr="00026B51">
        <w:trPr>
          <w:gridAfter w:val="1"/>
          <w:wAfter w:w="8" w:type="dxa"/>
          <w:cantSplit/>
        </w:trPr>
        <w:tc>
          <w:tcPr>
            <w:tcW w:w="4741" w:type="dxa"/>
            <w:tcBorders>
              <w:top w:val="single" w:sz="4" w:space="0" w:color="000000" w:themeColor="text1"/>
              <w:bottom w:val="single" w:sz="4" w:space="0" w:color="000000" w:themeColor="text1"/>
            </w:tcBorders>
          </w:tcPr>
          <w:p w14:paraId="7AE9B2A6" w14:textId="77777777" w:rsidR="0064038E" w:rsidRPr="00721296" w:rsidRDefault="0064038E">
            <w:pPr>
              <w:pStyle w:val="ARtabletext"/>
              <w:rPr>
                <w:b/>
              </w:rPr>
            </w:pPr>
            <w:r w:rsidRPr="00721296">
              <w:rPr>
                <w:b/>
              </w:rPr>
              <w:t>Cost</w:t>
            </w:r>
          </w:p>
        </w:tc>
        <w:tc>
          <w:tcPr>
            <w:tcW w:w="1017" w:type="dxa"/>
            <w:tcBorders>
              <w:top w:val="single" w:sz="4" w:space="0" w:color="000000" w:themeColor="text1"/>
              <w:bottom w:val="single" w:sz="4" w:space="0" w:color="000000" w:themeColor="text1"/>
            </w:tcBorders>
          </w:tcPr>
          <w:p w14:paraId="727771DA" w14:textId="77777777" w:rsidR="0064038E" w:rsidRPr="00721296" w:rsidRDefault="0064038E">
            <w:pPr>
              <w:pStyle w:val="ARtabletext"/>
            </w:pPr>
          </w:p>
        </w:tc>
        <w:tc>
          <w:tcPr>
            <w:tcW w:w="1019" w:type="dxa"/>
            <w:tcBorders>
              <w:top w:val="single" w:sz="4" w:space="0" w:color="000000" w:themeColor="text1"/>
              <w:bottom w:val="single" w:sz="4" w:space="0" w:color="000000" w:themeColor="text1"/>
            </w:tcBorders>
          </w:tcPr>
          <w:p w14:paraId="6B57B998" w14:textId="77777777" w:rsidR="0064038E" w:rsidRPr="00721296" w:rsidRDefault="0064038E">
            <w:pPr>
              <w:pStyle w:val="ARtabletextright"/>
            </w:pPr>
          </w:p>
        </w:tc>
        <w:tc>
          <w:tcPr>
            <w:tcW w:w="1021" w:type="dxa"/>
            <w:tcBorders>
              <w:top w:val="single" w:sz="4" w:space="0" w:color="000000" w:themeColor="text1"/>
              <w:bottom w:val="single" w:sz="4" w:space="0" w:color="000000" w:themeColor="text1"/>
            </w:tcBorders>
          </w:tcPr>
          <w:p w14:paraId="1F77F0BC" w14:textId="77777777" w:rsidR="0064038E" w:rsidRPr="00721296" w:rsidRDefault="0064038E">
            <w:pPr>
              <w:pStyle w:val="ARtabletextright"/>
            </w:pPr>
          </w:p>
        </w:tc>
        <w:tc>
          <w:tcPr>
            <w:tcW w:w="1025" w:type="dxa"/>
            <w:tcBorders>
              <w:top w:val="single" w:sz="4" w:space="0" w:color="000000" w:themeColor="text1"/>
              <w:bottom w:val="single" w:sz="4" w:space="0" w:color="000000" w:themeColor="text1"/>
            </w:tcBorders>
          </w:tcPr>
          <w:p w14:paraId="575B2128" w14:textId="77777777" w:rsidR="0064038E" w:rsidRPr="00721296" w:rsidRDefault="0064038E">
            <w:pPr>
              <w:pStyle w:val="ARtabletextright"/>
            </w:pPr>
          </w:p>
        </w:tc>
        <w:tc>
          <w:tcPr>
            <w:tcW w:w="801" w:type="dxa"/>
            <w:tcBorders>
              <w:top w:val="single" w:sz="4" w:space="0" w:color="000000" w:themeColor="text1"/>
              <w:bottom w:val="single" w:sz="4" w:space="0" w:color="000000" w:themeColor="text1"/>
            </w:tcBorders>
          </w:tcPr>
          <w:p w14:paraId="5E13D299" w14:textId="77777777" w:rsidR="0064038E" w:rsidRPr="00721296" w:rsidRDefault="0064038E">
            <w:pPr>
              <w:pStyle w:val="ARtableperformancesymbol"/>
              <w:rPr>
                <w:rFonts w:eastAsia="Wingdings" w:cs="Wingdings"/>
              </w:rPr>
            </w:pPr>
          </w:p>
        </w:tc>
      </w:tr>
      <w:tr w:rsidR="0064038E" w:rsidRPr="00F07EE7" w14:paraId="4337BA74" w14:textId="77777777" w:rsidTr="00026B51">
        <w:trPr>
          <w:gridAfter w:val="1"/>
          <w:wAfter w:w="8" w:type="dxa"/>
          <w:cantSplit/>
        </w:trPr>
        <w:tc>
          <w:tcPr>
            <w:tcW w:w="4741" w:type="dxa"/>
            <w:tcBorders>
              <w:top w:val="single" w:sz="4" w:space="0" w:color="000000" w:themeColor="text1"/>
            </w:tcBorders>
          </w:tcPr>
          <w:p w14:paraId="74A1E982" w14:textId="77777777" w:rsidR="0064038E" w:rsidRPr="00721296" w:rsidRDefault="0064038E">
            <w:pPr>
              <w:pStyle w:val="ARtabletext"/>
              <w:rPr>
                <w:b/>
              </w:rPr>
            </w:pPr>
            <w:r w:rsidRPr="00721296">
              <w:rPr>
                <w:b/>
              </w:rPr>
              <w:t>Total output cost</w:t>
            </w:r>
          </w:p>
        </w:tc>
        <w:tc>
          <w:tcPr>
            <w:tcW w:w="1017" w:type="dxa"/>
            <w:tcBorders>
              <w:top w:val="single" w:sz="4" w:space="0" w:color="000000" w:themeColor="text1"/>
            </w:tcBorders>
          </w:tcPr>
          <w:p w14:paraId="028806F5" w14:textId="77777777" w:rsidR="0064038E" w:rsidRPr="00721296" w:rsidRDefault="0064038E">
            <w:pPr>
              <w:pStyle w:val="ARtabletext"/>
              <w:rPr>
                <w:b/>
              </w:rPr>
            </w:pPr>
            <w:r w:rsidRPr="00721296">
              <w:rPr>
                <w:b/>
              </w:rPr>
              <w:t>$ million</w:t>
            </w:r>
          </w:p>
        </w:tc>
        <w:tc>
          <w:tcPr>
            <w:tcW w:w="1019" w:type="dxa"/>
            <w:tcBorders>
              <w:top w:val="single" w:sz="4" w:space="0" w:color="000000" w:themeColor="text1"/>
            </w:tcBorders>
          </w:tcPr>
          <w:p w14:paraId="377F99AE" w14:textId="77777777" w:rsidR="0064038E" w:rsidRPr="00721296" w:rsidRDefault="0064038E">
            <w:pPr>
              <w:pStyle w:val="ARtabletextright"/>
              <w:rPr>
                <w:b/>
              </w:rPr>
            </w:pPr>
            <w:r w:rsidRPr="00B979C0">
              <w:rPr>
                <w:b/>
              </w:rPr>
              <w:t>18.4</w:t>
            </w:r>
          </w:p>
        </w:tc>
        <w:tc>
          <w:tcPr>
            <w:tcW w:w="1021" w:type="dxa"/>
            <w:tcBorders>
              <w:top w:val="single" w:sz="4" w:space="0" w:color="000000" w:themeColor="text1"/>
            </w:tcBorders>
          </w:tcPr>
          <w:p w14:paraId="3537764A" w14:textId="77777777" w:rsidR="0064038E" w:rsidRPr="00B979C0" w:rsidRDefault="0064038E">
            <w:pPr>
              <w:pStyle w:val="ARtabletextright"/>
              <w:rPr>
                <w:b/>
              </w:rPr>
            </w:pPr>
            <w:r w:rsidRPr="00B979C0">
              <w:rPr>
                <w:b/>
              </w:rPr>
              <w:t>24.5</w:t>
            </w:r>
          </w:p>
        </w:tc>
        <w:tc>
          <w:tcPr>
            <w:tcW w:w="1025" w:type="dxa"/>
            <w:tcBorders>
              <w:top w:val="single" w:sz="4" w:space="0" w:color="000000" w:themeColor="text1"/>
            </w:tcBorders>
          </w:tcPr>
          <w:p w14:paraId="2BC1C9B4" w14:textId="77777777" w:rsidR="0064038E" w:rsidRPr="00721296" w:rsidRDefault="0064038E">
            <w:pPr>
              <w:pStyle w:val="ARtabletextright"/>
            </w:pPr>
            <w:r w:rsidRPr="00721296">
              <w:rPr>
                <w:b/>
                <w:bCs/>
              </w:rPr>
              <w:t>32.9%</w:t>
            </w:r>
          </w:p>
        </w:tc>
        <w:tc>
          <w:tcPr>
            <w:tcW w:w="801" w:type="dxa"/>
            <w:tcBorders>
              <w:top w:val="single" w:sz="4" w:space="0" w:color="000000" w:themeColor="text1"/>
            </w:tcBorders>
          </w:tcPr>
          <w:p w14:paraId="4463C98B" w14:textId="77777777" w:rsidR="0064038E" w:rsidRPr="00721296" w:rsidRDefault="0064038E">
            <w:pPr>
              <w:pStyle w:val="ARtableperformancesymbol"/>
              <w:rPr>
                <w:rFonts w:eastAsia="Wingdings" w:cs="Wingdings"/>
              </w:rPr>
            </w:pPr>
            <w:r w:rsidRPr="00721296">
              <w:rPr>
                <w:rFonts w:eastAsia="Wingdings" w:cs="Wingdings"/>
              </w:rPr>
              <w:t></w:t>
            </w:r>
          </w:p>
        </w:tc>
      </w:tr>
      <w:tr w:rsidR="0064038E" w:rsidRPr="00F07EE7" w14:paraId="23422503" w14:textId="77777777">
        <w:trPr>
          <w:gridAfter w:val="1"/>
          <w:wAfter w:w="8" w:type="dxa"/>
          <w:cantSplit/>
        </w:trPr>
        <w:tc>
          <w:tcPr>
            <w:tcW w:w="9624" w:type="dxa"/>
            <w:gridSpan w:val="6"/>
            <w:tcBorders>
              <w:bottom w:val="single" w:sz="4" w:space="0" w:color="000000" w:themeColor="text1"/>
            </w:tcBorders>
          </w:tcPr>
          <w:p w14:paraId="4BF8CFA1" w14:textId="77777777" w:rsidR="0064038E" w:rsidRPr="00F07EE7" w:rsidRDefault="0064038E" w:rsidP="00130336">
            <w:pPr>
              <w:pStyle w:val="ARtablenoteindent"/>
              <w:rPr>
                <w:rFonts w:eastAsia="Wingdings"/>
                <w:highlight w:val="cyan"/>
              </w:rPr>
            </w:pPr>
            <w:r w:rsidRPr="00721296">
              <w:t xml:space="preserve">The higher actual primarily reflects </w:t>
            </w:r>
            <w:r w:rsidRPr="00130336">
              <w:t>government</w:t>
            </w:r>
            <w:r w:rsidRPr="00721296">
              <w:t xml:space="preserve"> carryover and additional funding for government initiatives.</w:t>
            </w:r>
          </w:p>
        </w:tc>
      </w:tr>
    </w:tbl>
    <w:p w14:paraId="05653DF8" w14:textId="77777777" w:rsidR="0064038E" w:rsidRPr="00721296" w:rsidRDefault="0064038E">
      <w:pPr>
        <w:pStyle w:val="Heading3"/>
      </w:pPr>
      <w:r w:rsidRPr="00721296">
        <w:t>Youth</w:t>
      </w:r>
    </w:p>
    <w:p w14:paraId="1806F7BD" w14:textId="6F2E2D4C" w:rsidR="0064038E" w:rsidRPr="00BB4EA8" w:rsidRDefault="0064038E">
      <w:pPr>
        <w:pStyle w:val="ARbody"/>
      </w:pPr>
      <w:r>
        <w:t>This output leads and coordinates whole</w:t>
      </w:r>
      <w:r w:rsidR="00CD7EFB">
        <w:t>-</w:t>
      </w:r>
      <w:r>
        <w:t>of</w:t>
      </w:r>
      <w:r w:rsidR="00CD7EFB">
        <w:t>-</w:t>
      </w:r>
      <w:r>
        <w:t>government policy advice and delivers a range of initiatives for young people aged between 12 and 25 years to gain a range of skills and experiences and to actively participate in their local communities.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6A0" w:firstRow="1" w:lastRow="0" w:firstColumn="1" w:lastColumn="0" w:noHBand="1" w:noVBand="1"/>
      </w:tblPr>
      <w:tblGrid>
        <w:gridCol w:w="4744"/>
        <w:gridCol w:w="1018"/>
        <w:gridCol w:w="1020"/>
        <w:gridCol w:w="1022"/>
        <w:gridCol w:w="1026"/>
        <w:gridCol w:w="794"/>
        <w:gridCol w:w="8"/>
      </w:tblGrid>
      <w:tr w:rsidR="0064038E" w:rsidRPr="00F07EE7" w14:paraId="1C22D2D3" w14:textId="77777777" w:rsidTr="006C102A">
        <w:trPr>
          <w:cantSplit/>
          <w:tblHeader/>
        </w:trPr>
        <w:tc>
          <w:tcPr>
            <w:tcW w:w="4744" w:type="dxa"/>
            <w:tcBorders>
              <w:top w:val="nil"/>
              <w:left w:val="nil"/>
              <w:bottom w:val="single" w:sz="4" w:space="0" w:color="auto"/>
              <w:right w:val="nil"/>
            </w:tcBorders>
            <w:vAlign w:val="bottom"/>
            <w:hideMark/>
          </w:tcPr>
          <w:p w14:paraId="5E5ABA51" w14:textId="77777777" w:rsidR="0064038E" w:rsidRPr="00F07EE7" w:rsidRDefault="0064038E">
            <w:pPr>
              <w:pStyle w:val="ARtablecolhead"/>
              <w:rPr>
                <w:highlight w:val="cyan"/>
              </w:rPr>
            </w:pPr>
            <w:r w:rsidRPr="009064E0">
              <w:t>Performance measures</w:t>
            </w:r>
          </w:p>
        </w:tc>
        <w:tc>
          <w:tcPr>
            <w:tcW w:w="1018" w:type="dxa"/>
            <w:tcBorders>
              <w:top w:val="nil"/>
              <w:left w:val="nil"/>
              <w:bottom w:val="single" w:sz="4" w:space="0" w:color="auto"/>
              <w:right w:val="nil"/>
            </w:tcBorders>
            <w:vAlign w:val="bottom"/>
            <w:hideMark/>
          </w:tcPr>
          <w:p w14:paraId="59AA9927" w14:textId="77777777" w:rsidR="0064038E" w:rsidRPr="00F07EE7" w:rsidRDefault="0064038E">
            <w:pPr>
              <w:pStyle w:val="ARtablecolhead"/>
              <w:rPr>
                <w:highlight w:val="cyan"/>
              </w:rPr>
            </w:pPr>
            <w:r w:rsidRPr="009064E0">
              <w:t>Unit of measure</w:t>
            </w:r>
          </w:p>
        </w:tc>
        <w:tc>
          <w:tcPr>
            <w:tcW w:w="1020" w:type="dxa"/>
            <w:tcBorders>
              <w:top w:val="nil"/>
              <w:left w:val="nil"/>
              <w:bottom w:val="single" w:sz="4" w:space="0" w:color="auto"/>
              <w:right w:val="nil"/>
            </w:tcBorders>
            <w:vAlign w:val="bottom"/>
            <w:hideMark/>
          </w:tcPr>
          <w:p w14:paraId="00C2644F" w14:textId="77777777" w:rsidR="0064038E" w:rsidRPr="00F07EE7" w:rsidRDefault="0064038E">
            <w:pPr>
              <w:pStyle w:val="ARtablecolheadright"/>
              <w:rPr>
                <w:highlight w:val="cyan"/>
              </w:rPr>
            </w:pPr>
            <w:r w:rsidRPr="009064E0">
              <w:t>2024–25 target</w:t>
            </w:r>
          </w:p>
        </w:tc>
        <w:tc>
          <w:tcPr>
            <w:tcW w:w="1022" w:type="dxa"/>
            <w:tcBorders>
              <w:top w:val="nil"/>
              <w:left w:val="nil"/>
              <w:bottom w:val="single" w:sz="4" w:space="0" w:color="auto"/>
              <w:right w:val="nil"/>
            </w:tcBorders>
            <w:vAlign w:val="bottom"/>
            <w:hideMark/>
          </w:tcPr>
          <w:p w14:paraId="3C8ED6D5" w14:textId="77777777" w:rsidR="0064038E" w:rsidRPr="00F07EE7" w:rsidRDefault="0064038E">
            <w:pPr>
              <w:pStyle w:val="ARtablecolheadright"/>
              <w:rPr>
                <w:highlight w:val="cyan"/>
              </w:rPr>
            </w:pPr>
            <w:r w:rsidRPr="009064E0">
              <w:t>2024–25 actual</w:t>
            </w:r>
          </w:p>
        </w:tc>
        <w:tc>
          <w:tcPr>
            <w:tcW w:w="1026" w:type="dxa"/>
            <w:tcBorders>
              <w:top w:val="nil"/>
              <w:left w:val="nil"/>
              <w:bottom w:val="single" w:sz="4" w:space="0" w:color="auto"/>
              <w:right w:val="nil"/>
            </w:tcBorders>
            <w:vAlign w:val="bottom"/>
            <w:hideMark/>
          </w:tcPr>
          <w:p w14:paraId="4ED482B2" w14:textId="77777777" w:rsidR="0064038E" w:rsidRPr="00F07EE7" w:rsidRDefault="0064038E">
            <w:pPr>
              <w:pStyle w:val="ARtablecolheadright"/>
              <w:rPr>
                <w:highlight w:val="cyan"/>
              </w:rPr>
            </w:pPr>
            <w:r w:rsidRPr="009064E0">
              <w:t xml:space="preserve">Variation </w:t>
            </w:r>
          </w:p>
        </w:tc>
        <w:tc>
          <w:tcPr>
            <w:tcW w:w="802" w:type="dxa"/>
            <w:gridSpan w:val="2"/>
            <w:tcBorders>
              <w:top w:val="nil"/>
              <w:left w:val="nil"/>
              <w:bottom w:val="single" w:sz="4" w:space="0" w:color="auto"/>
              <w:right w:val="nil"/>
            </w:tcBorders>
            <w:vAlign w:val="bottom"/>
            <w:hideMark/>
          </w:tcPr>
          <w:p w14:paraId="49A6B962" w14:textId="77777777" w:rsidR="0064038E" w:rsidRPr="00F07EE7" w:rsidRDefault="0064038E">
            <w:pPr>
              <w:pStyle w:val="ARtablecolheadright"/>
              <w:rPr>
                <w:highlight w:val="cyan"/>
              </w:rPr>
            </w:pPr>
            <w:r w:rsidRPr="009064E0">
              <w:t>Result</w:t>
            </w:r>
          </w:p>
        </w:tc>
      </w:tr>
      <w:tr w:rsidR="0064038E" w:rsidRPr="00F07EE7" w14:paraId="09D502DC" w14:textId="77777777" w:rsidTr="006C102A">
        <w:trPr>
          <w:cantSplit/>
        </w:trPr>
        <w:tc>
          <w:tcPr>
            <w:tcW w:w="9632" w:type="dxa"/>
            <w:gridSpan w:val="7"/>
            <w:tcBorders>
              <w:top w:val="single" w:sz="4" w:space="0" w:color="auto"/>
              <w:left w:val="nil"/>
              <w:bottom w:val="single" w:sz="4" w:space="0" w:color="A6A6A6" w:themeColor="accent5"/>
              <w:right w:val="nil"/>
            </w:tcBorders>
            <w:hideMark/>
          </w:tcPr>
          <w:p w14:paraId="7EFEA38B" w14:textId="77777777" w:rsidR="0064038E" w:rsidRPr="00BB4EA8" w:rsidRDefault="0064038E">
            <w:pPr>
              <w:pStyle w:val="ARtablegreybold"/>
            </w:pPr>
            <w:r w:rsidRPr="00BB4EA8">
              <w:t>Quantity</w:t>
            </w:r>
          </w:p>
        </w:tc>
      </w:tr>
      <w:tr w:rsidR="0064038E" w:rsidRPr="00F07EE7" w14:paraId="4D644B43" w14:textId="77777777" w:rsidTr="006C102A">
        <w:trPr>
          <w:cantSplit/>
        </w:trPr>
        <w:tc>
          <w:tcPr>
            <w:tcW w:w="4744" w:type="dxa"/>
            <w:tcBorders>
              <w:top w:val="single" w:sz="4" w:space="0" w:color="A6A6A6" w:themeColor="accent5"/>
              <w:left w:val="nil"/>
              <w:bottom w:val="nil"/>
              <w:right w:val="nil"/>
            </w:tcBorders>
          </w:tcPr>
          <w:p w14:paraId="4BDB7309" w14:textId="77777777" w:rsidR="0064038E" w:rsidRPr="00794990" w:rsidRDefault="0064038E">
            <w:pPr>
              <w:pStyle w:val="ARtabletext"/>
            </w:pPr>
            <w:r w:rsidRPr="00794990">
              <w:t>Number of Scout Hall capital projects completed</w:t>
            </w:r>
          </w:p>
        </w:tc>
        <w:tc>
          <w:tcPr>
            <w:tcW w:w="1018" w:type="dxa"/>
            <w:tcBorders>
              <w:top w:val="single" w:sz="4" w:space="0" w:color="A6A6A6" w:themeColor="accent5"/>
              <w:left w:val="nil"/>
              <w:bottom w:val="nil"/>
              <w:right w:val="nil"/>
            </w:tcBorders>
          </w:tcPr>
          <w:p w14:paraId="3CD8F431" w14:textId="77777777" w:rsidR="0064038E" w:rsidRPr="00794990" w:rsidRDefault="0064038E">
            <w:pPr>
              <w:pStyle w:val="ARtabletext"/>
            </w:pPr>
            <w:r>
              <w:t>number</w:t>
            </w:r>
          </w:p>
        </w:tc>
        <w:tc>
          <w:tcPr>
            <w:tcW w:w="1020" w:type="dxa"/>
            <w:tcBorders>
              <w:top w:val="single" w:sz="4" w:space="0" w:color="A6A6A6" w:themeColor="accent5"/>
              <w:left w:val="nil"/>
              <w:bottom w:val="nil"/>
              <w:right w:val="nil"/>
            </w:tcBorders>
          </w:tcPr>
          <w:p w14:paraId="6A1CC00F" w14:textId="77777777" w:rsidR="0064038E" w:rsidRPr="00794990" w:rsidRDefault="0064038E">
            <w:pPr>
              <w:pStyle w:val="ARtabletextright"/>
            </w:pPr>
            <w:r w:rsidRPr="00794990">
              <w:t>3</w:t>
            </w:r>
          </w:p>
        </w:tc>
        <w:tc>
          <w:tcPr>
            <w:tcW w:w="1022" w:type="dxa"/>
            <w:tcBorders>
              <w:top w:val="single" w:sz="4" w:space="0" w:color="A6A6A6" w:themeColor="accent5"/>
              <w:left w:val="nil"/>
              <w:bottom w:val="nil"/>
              <w:right w:val="nil"/>
            </w:tcBorders>
          </w:tcPr>
          <w:p w14:paraId="6C00EB7E" w14:textId="77777777" w:rsidR="0064038E" w:rsidRPr="00794990" w:rsidRDefault="0064038E">
            <w:pPr>
              <w:pStyle w:val="ARtabletextright"/>
            </w:pPr>
            <w:r w:rsidRPr="00794990">
              <w:t>3</w:t>
            </w:r>
          </w:p>
        </w:tc>
        <w:tc>
          <w:tcPr>
            <w:tcW w:w="1026" w:type="dxa"/>
            <w:tcBorders>
              <w:top w:val="single" w:sz="4" w:space="0" w:color="A6A6A6" w:themeColor="accent5"/>
              <w:left w:val="nil"/>
              <w:bottom w:val="nil"/>
              <w:right w:val="nil"/>
            </w:tcBorders>
          </w:tcPr>
          <w:p w14:paraId="7A573E20" w14:textId="77777777" w:rsidR="0064038E" w:rsidRPr="00794990" w:rsidRDefault="0064038E">
            <w:pPr>
              <w:pStyle w:val="ARtabletextright"/>
            </w:pPr>
            <w:r w:rsidRPr="00794990">
              <w:t>0%</w:t>
            </w:r>
          </w:p>
        </w:tc>
        <w:tc>
          <w:tcPr>
            <w:tcW w:w="802" w:type="dxa"/>
            <w:gridSpan w:val="2"/>
            <w:tcBorders>
              <w:top w:val="single" w:sz="4" w:space="0" w:color="A6A6A6" w:themeColor="accent5"/>
              <w:left w:val="nil"/>
              <w:bottom w:val="nil"/>
              <w:right w:val="nil"/>
            </w:tcBorders>
          </w:tcPr>
          <w:p w14:paraId="7FF74D7A" w14:textId="77777777" w:rsidR="0064038E" w:rsidRPr="00794990" w:rsidRDefault="0064038E">
            <w:pPr>
              <w:pStyle w:val="ARtableperformancesymbol"/>
              <w:rPr>
                <w:rFonts w:hint="eastAsia"/>
                <w:lang w:val="en-AU"/>
              </w:rPr>
            </w:pPr>
            <w:r w:rsidRPr="00794990">
              <w:rPr>
                <w:rFonts w:eastAsia="Wingdings" w:cs="Wingdings"/>
              </w:rPr>
              <w:t></w:t>
            </w:r>
          </w:p>
        </w:tc>
      </w:tr>
      <w:tr w:rsidR="0064038E" w:rsidRPr="00F07EE7" w14:paraId="756C778E" w14:textId="77777777">
        <w:trPr>
          <w:gridAfter w:val="1"/>
          <w:wAfter w:w="8" w:type="dxa"/>
          <w:cantSplit/>
          <w:trHeight w:val="197"/>
        </w:trPr>
        <w:tc>
          <w:tcPr>
            <w:tcW w:w="4744" w:type="dxa"/>
            <w:tcBorders>
              <w:top w:val="single" w:sz="4" w:space="0" w:color="BFBFBF" w:themeColor="background1" w:themeShade="BF"/>
              <w:left w:val="nil"/>
              <w:bottom w:val="nil"/>
              <w:right w:val="nil"/>
            </w:tcBorders>
          </w:tcPr>
          <w:p w14:paraId="1BA8329E" w14:textId="0FBE0955" w:rsidR="0064038E" w:rsidRPr="003449BC" w:rsidRDefault="0064038E">
            <w:pPr>
              <w:pStyle w:val="ARtabletext"/>
            </w:pPr>
            <w:r w:rsidRPr="003449BC">
              <w:t>Participation by young people in programs that provide opportunities to be involved in social and economic life in</w:t>
            </w:r>
            <w:r w:rsidR="003863AD">
              <w:t> </w:t>
            </w:r>
            <w:r w:rsidRPr="003449BC">
              <w:t>their communities</w:t>
            </w:r>
          </w:p>
        </w:tc>
        <w:tc>
          <w:tcPr>
            <w:tcW w:w="1018" w:type="dxa"/>
            <w:tcBorders>
              <w:top w:val="single" w:sz="4" w:space="0" w:color="BFBFBF" w:themeColor="background1" w:themeShade="BF"/>
              <w:left w:val="nil"/>
              <w:bottom w:val="nil"/>
              <w:right w:val="nil"/>
            </w:tcBorders>
          </w:tcPr>
          <w:p w14:paraId="1EAA92BE" w14:textId="77777777" w:rsidR="0064038E" w:rsidRPr="003449BC" w:rsidRDefault="0064038E">
            <w:pPr>
              <w:pStyle w:val="ARtabletext"/>
            </w:pPr>
            <w:r>
              <w:t>number</w:t>
            </w:r>
          </w:p>
        </w:tc>
        <w:tc>
          <w:tcPr>
            <w:tcW w:w="1020" w:type="dxa"/>
            <w:tcBorders>
              <w:top w:val="single" w:sz="4" w:space="0" w:color="BFBFBF" w:themeColor="background1" w:themeShade="BF"/>
              <w:left w:val="nil"/>
              <w:bottom w:val="nil"/>
              <w:right w:val="nil"/>
            </w:tcBorders>
          </w:tcPr>
          <w:p w14:paraId="10CC5779" w14:textId="77777777" w:rsidR="0064038E" w:rsidRPr="003449BC" w:rsidRDefault="0064038E">
            <w:pPr>
              <w:pStyle w:val="ARtabletextright"/>
            </w:pPr>
            <w:r w:rsidRPr="003449BC">
              <w:t>255,000</w:t>
            </w:r>
          </w:p>
        </w:tc>
        <w:tc>
          <w:tcPr>
            <w:tcW w:w="1022" w:type="dxa"/>
            <w:tcBorders>
              <w:top w:val="single" w:sz="4" w:space="0" w:color="BFBFBF" w:themeColor="background1" w:themeShade="BF"/>
              <w:left w:val="nil"/>
              <w:bottom w:val="nil"/>
              <w:right w:val="nil"/>
            </w:tcBorders>
          </w:tcPr>
          <w:p w14:paraId="0A446546" w14:textId="77777777" w:rsidR="0064038E" w:rsidRPr="00A906A4" w:rsidRDefault="0064038E">
            <w:pPr>
              <w:pStyle w:val="ARtabletextright"/>
            </w:pPr>
            <w:r w:rsidRPr="00A906A4">
              <w:t>260,780</w:t>
            </w:r>
          </w:p>
        </w:tc>
        <w:tc>
          <w:tcPr>
            <w:tcW w:w="1026" w:type="dxa"/>
            <w:tcBorders>
              <w:top w:val="single" w:sz="4" w:space="0" w:color="BFBFBF" w:themeColor="background1" w:themeShade="BF"/>
              <w:left w:val="nil"/>
              <w:bottom w:val="nil"/>
              <w:right w:val="nil"/>
            </w:tcBorders>
          </w:tcPr>
          <w:p w14:paraId="7CEDD743" w14:textId="77777777" w:rsidR="0064038E" w:rsidRPr="003449BC" w:rsidRDefault="0064038E">
            <w:pPr>
              <w:pStyle w:val="ARtabletextright"/>
            </w:pPr>
            <w:r w:rsidRPr="00A906A4">
              <w:t>2.3%</w:t>
            </w:r>
          </w:p>
        </w:tc>
        <w:tc>
          <w:tcPr>
            <w:tcW w:w="794" w:type="dxa"/>
            <w:tcBorders>
              <w:top w:val="single" w:sz="4" w:space="0" w:color="BFBFBF" w:themeColor="background1" w:themeShade="BF"/>
              <w:left w:val="nil"/>
              <w:bottom w:val="nil"/>
              <w:right w:val="nil"/>
            </w:tcBorders>
          </w:tcPr>
          <w:p w14:paraId="4B682551" w14:textId="77777777" w:rsidR="0064038E" w:rsidRPr="003449BC" w:rsidRDefault="0064038E">
            <w:pPr>
              <w:pStyle w:val="ARtableperformancesymbol"/>
              <w:rPr>
                <w:rFonts w:hint="eastAsia"/>
                <w:lang w:val="en-AU"/>
              </w:rPr>
            </w:pPr>
            <w:r w:rsidRPr="003449BC">
              <w:rPr>
                <w:rFonts w:eastAsia="Wingdings" w:cs="Wingdings"/>
              </w:rPr>
              <w:t></w:t>
            </w:r>
          </w:p>
        </w:tc>
      </w:tr>
      <w:tr w:rsidR="0064038E" w:rsidRPr="00F07EE7" w14:paraId="18369EDC" w14:textId="77777777">
        <w:trPr>
          <w:cantSplit/>
        </w:trPr>
        <w:tc>
          <w:tcPr>
            <w:tcW w:w="9632" w:type="dxa"/>
            <w:gridSpan w:val="7"/>
            <w:tcBorders>
              <w:top w:val="nil"/>
              <w:left w:val="nil"/>
              <w:bottom w:val="nil"/>
              <w:right w:val="nil"/>
            </w:tcBorders>
          </w:tcPr>
          <w:p w14:paraId="5D336856" w14:textId="4322838B" w:rsidR="0064038E" w:rsidRPr="00686B11" w:rsidRDefault="0064038E" w:rsidP="00130336">
            <w:pPr>
              <w:pStyle w:val="ARtablenoteindent"/>
            </w:pPr>
            <w:r w:rsidRPr="00686B11">
              <w:t>The 2024–25 result is an estimate.</w:t>
            </w:r>
          </w:p>
        </w:tc>
      </w:tr>
      <w:tr w:rsidR="0064038E" w:rsidRPr="00F07EE7" w14:paraId="694DE76C" w14:textId="77777777">
        <w:trPr>
          <w:gridAfter w:val="1"/>
          <w:wAfter w:w="8" w:type="dxa"/>
          <w:cantSplit/>
        </w:trPr>
        <w:tc>
          <w:tcPr>
            <w:tcW w:w="4744" w:type="dxa"/>
            <w:tcBorders>
              <w:top w:val="single" w:sz="4" w:space="0" w:color="BFBFBF" w:themeColor="background1" w:themeShade="BF"/>
              <w:left w:val="nil"/>
              <w:bottom w:val="nil"/>
              <w:right w:val="nil"/>
            </w:tcBorders>
          </w:tcPr>
          <w:p w14:paraId="02791BD1" w14:textId="28880086" w:rsidR="0064038E" w:rsidRPr="00F466D9" w:rsidRDefault="0064038E">
            <w:pPr>
              <w:pStyle w:val="ARtabletext"/>
            </w:pPr>
            <w:r w:rsidRPr="00F466D9">
              <w:t>Participation by young people in programs that support young people to be involved in decision making in their</w:t>
            </w:r>
            <w:r w:rsidR="003863AD">
              <w:t> </w:t>
            </w:r>
            <w:r w:rsidRPr="00F466D9">
              <w:t>community</w:t>
            </w:r>
          </w:p>
        </w:tc>
        <w:tc>
          <w:tcPr>
            <w:tcW w:w="1018" w:type="dxa"/>
            <w:tcBorders>
              <w:top w:val="single" w:sz="4" w:space="0" w:color="BFBFBF" w:themeColor="background1" w:themeShade="BF"/>
              <w:left w:val="nil"/>
              <w:bottom w:val="nil"/>
              <w:right w:val="nil"/>
            </w:tcBorders>
          </w:tcPr>
          <w:p w14:paraId="7B2CD5BF" w14:textId="77777777" w:rsidR="0064038E" w:rsidRPr="00F466D9" w:rsidRDefault="0064038E">
            <w:pPr>
              <w:pStyle w:val="ARtabletext"/>
            </w:pPr>
            <w:r>
              <w:t>number</w:t>
            </w:r>
          </w:p>
        </w:tc>
        <w:tc>
          <w:tcPr>
            <w:tcW w:w="1020" w:type="dxa"/>
            <w:tcBorders>
              <w:top w:val="single" w:sz="4" w:space="0" w:color="BFBFBF" w:themeColor="background1" w:themeShade="BF"/>
              <w:left w:val="nil"/>
              <w:bottom w:val="nil"/>
              <w:right w:val="nil"/>
            </w:tcBorders>
          </w:tcPr>
          <w:p w14:paraId="021102C5" w14:textId="77777777" w:rsidR="0064038E" w:rsidRPr="00F466D9" w:rsidRDefault="0064038E">
            <w:pPr>
              <w:pStyle w:val="ARtabletextright"/>
            </w:pPr>
            <w:r w:rsidRPr="00F466D9">
              <w:t>2,800</w:t>
            </w:r>
          </w:p>
        </w:tc>
        <w:tc>
          <w:tcPr>
            <w:tcW w:w="1022" w:type="dxa"/>
            <w:tcBorders>
              <w:top w:val="single" w:sz="4" w:space="0" w:color="BFBFBF" w:themeColor="background1" w:themeShade="BF"/>
              <w:left w:val="nil"/>
              <w:bottom w:val="nil"/>
              <w:right w:val="nil"/>
            </w:tcBorders>
          </w:tcPr>
          <w:p w14:paraId="61A3E5DA" w14:textId="77777777" w:rsidR="0064038E" w:rsidRPr="00A906A4" w:rsidRDefault="0064038E">
            <w:pPr>
              <w:pStyle w:val="ARtabletextright"/>
            </w:pPr>
            <w:r w:rsidRPr="00A906A4">
              <w:t>3,732</w:t>
            </w:r>
          </w:p>
        </w:tc>
        <w:tc>
          <w:tcPr>
            <w:tcW w:w="1026" w:type="dxa"/>
            <w:tcBorders>
              <w:top w:val="single" w:sz="4" w:space="0" w:color="BFBFBF" w:themeColor="background1" w:themeShade="BF"/>
              <w:left w:val="nil"/>
              <w:bottom w:val="nil"/>
              <w:right w:val="nil"/>
            </w:tcBorders>
          </w:tcPr>
          <w:p w14:paraId="67B5D56E" w14:textId="77777777" w:rsidR="0064038E" w:rsidRPr="00A906A4" w:rsidRDefault="0064038E">
            <w:pPr>
              <w:pStyle w:val="ARtabletextright"/>
            </w:pPr>
            <w:r w:rsidRPr="00A906A4">
              <w:t>33.3%</w:t>
            </w:r>
          </w:p>
        </w:tc>
        <w:tc>
          <w:tcPr>
            <w:tcW w:w="794" w:type="dxa"/>
            <w:tcBorders>
              <w:top w:val="single" w:sz="4" w:space="0" w:color="BFBFBF" w:themeColor="background1" w:themeShade="BF"/>
              <w:left w:val="nil"/>
              <w:bottom w:val="nil"/>
              <w:right w:val="nil"/>
            </w:tcBorders>
          </w:tcPr>
          <w:p w14:paraId="45C9C9C2" w14:textId="77777777" w:rsidR="0064038E" w:rsidRPr="00F466D9" w:rsidRDefault="0064038E">
            <w:pPr>
              <w:pStyle w:val="ARtableperformancesymbol"/>
              <w:rPr>
                <w:rFonts w:eastAsia="Wingdings" w:cs="Wingdings"/>
                <w:lang w:val="en-AU"/>
              </w:rPr>
            </w:pPr>
            <w:r w:rsidRPr="00F466D9">
              <w:rPr>
                <w:rFonts w:eastAsia="Wingdings" w:cs="Wingdings"/>
              </w:rPr>
              <w:t></w:t>
            </w:r>
          </w:p>
        </w:tc>
      </w:tr>
      <w:tr w:rsidR="0064038E" w:rsidRPr="00F07EE7" w14:paraId="535038E7" w14:textId="77777777" w:rsidTr="006C102A">
        <w:trPr>
          <w:cantSplit/>
        </w:trPr>
        <w:tc>
          <w:tcPr>
            <w:tcW w:w="9632" w:type="dxa"/>
            <w:gridSpan w:val="7"/>
            <w:tcBorders>
              <w:top w:val="nil"/>
              <w:left w:val="nil"/>
              <w:bottom w:val="single" w:sz="4" w:space="0" w:color="auto"/>
              <w:right w:val="nil"/>
            </w:tcBorders>
          </w:tcPr>
          <w:p w14:paraId="6CB4132B" w14:textId="075C8781" w:rsidR="0064038E" w:rsidRPr="00F07EE7" w:rsidRDefault="0064038E" w:rsidP="00130336">
            <w:pPr>
              <w:pStyle w:val="ARtablenoteindent"/>
              <w:rPr>
                <w:highlight w:val="cyan"/>
              </w:rPr>
            </w:pPr>
            <w:r w:rsidRPr="00580B10">
              <w:t>The 2024</w:t>
            </w:r>
            <w:r>
              <w:t>–</w:t>
            </w:r>
            <w:r w:rsidRPr="00580B10">
              <w:t xml:space="preserve">25 </w:t>
            </w:r>
            <w:r w:rsidRPr="00B979C0">
              <w:t>expected</w:t>
            </w:r>
            <w:r w:rsidRPr="00580B10">
              <w:t xml:space="preserve"> outcome is higher than the 2024</w:t>
            </w:r>
            <w:r>
              <w:t>–</w:t>
            </w:r>
            <w:r w:rsidRPr="00580B10">
              <w:t>25 target due to higher</w:t>
            </w:r>
            <w:r w:rsidR="00EB4E7E">
              <w:t>-</w:t>
            </w:r>
            <w:r w:rsidRPr="00580B10">
              <w:t>than</w:t>
            </w:r>
            <w:r w:rsidR="00EB4E7E">
              <w:t>-</w:t>
            </w:r>
            <w:r w:rsidRPr="00580B10">
              <w:t xml:space="preserve">expected involvement in </w:t>
            </w:r>
            <w:r w:rsidRPr="00130336">
              <w:t>planning</w:t>
            </w:r>
            <w:r w:rsidRPr="00580B10">
              <w:t xml:space="preserve"> committees for high volume grant programs such as </w:t>
            </w:r>
            <w:r w:rsidR="00D676D5">
              <w:t xml:space="preserve">Victorian </w:t>
            </w:r>
            <w:r w:rsidRPr="00580B10">
              <w:t xml:space="preserve">Youth Fest, as well as high participation in key programs led by funded organisations. </w:t>
            </w:r>
          </w:p>
        </w:tc>
      </w:tr>
      <w:tr w:rsidR="0064038E" w:rsidRPr="00F07EE7" w14:paraId="74C1BBFD" w14:textId="77777777" w:rsidTr="006C102A">
        <w:trPr>
          <w:cantSplit/>
        </w:trPr>
        <w:tc>
          <w:tcPr>
            <w:tcW w:w="9632" w:type="dxa"/>
            <w:gridSpan w:val="7"/>
            <w:tcBorders>
              <w:top w:val="single" w:sz="4" w:space="0" w:color="auto"/>
              <w:left w:val="nil"/>
              <w:bottom w:val="single" w:sz="4" w:space="0" w:color="A6A6A6" w:themeColor="accent5"/>
              <w:right w:val="nil"/>
            </w:tcBorders>
          </w:tcPr>
          <w:p w14:paraId="47A3DF7E" w14:textId="77777777" w:rsidR="0064038E" w:rsidRPr="00BB4EA8" w:rsidRDefault="0064038E">
            <w:pPr>
              <w:pStyle w:val="ARtablegreybold"/>
              <w:rPr>
                <w:b w:val="0"/>
              </w:rPr>
            </w:pPr>
            <w:r w:rsidRPr="00BB4EA8">
              <w:t>Quality</w:t>
            </w:r>
          </w:p>
        </w:tc>
      </w:tr>
      <w:tr w:rsidR="0064038E" w:rsidRPr="00F07EE7" w14:paraId="1EAF4BC7" w14:textId="77777777" w:rsidTr="006C102A">
        <w:trPr>
          <w:cantSplit/>
        </w:trPr>
        <w:tc>
          <w:tcPr>
            <w:tcW w:w="4744" w:type="dxa"/>
            <w:tcBorders>
              <w:top w:val="single" w:sz="4" w:space="0" w:color="A6A6A6" w:themeColor="accent5"/>
              <w:left w:val="nil"/>
              <w:bottom w:val="nil"/>
              <w:right w:val="nil"/>
            </w:tcBorders>
          </w:tcPr>
          <w:p w14:paraId="4755C33C" w14:textId="77777777" w:rsidR="0064038E" w:rsidRPr="005F4841" w:rsidRDefault="0064038E">
            <w:pPr>
              <w:pStyle w:val="ARtabletext"/>
            </w:pPr>
            <w:r w:rsidRPr="005F4841">
              <w:t xml:space="preserve">Percentage of grant recipients who met or exceeded contractually agreed project outcomes </w:t>
            </w:r>
          </w:p>
        </w:tc>
        <w:tc>
          <w:tcPr>
            <w:tcW w:w="1018" w:type="dxa"/>
            <w:tcBorders>
              <w:top w:val="single" w:sz="4" w:space="0" w:color="A6A6A6" w:themeColor="accent5"/>
              <w:left w:val="nil"/>
              <w:bottom w:val="nil"/>
              <w:right w:val="nil"/>
            </w:tcBorders>
          </w:tcPr>
          <w:p w14:paraId="402FA50C" w14:textId="77777777" w:rsidR="0064038E" w:rsidRPr="005F4841" w:rsidRDefault="0064038E">
            <w:pPr>
              <w:pStyle w:val="ARtabletext"/>
            </w:pPr>
            <w:r>
              <w:t>per cent</w:t>
            </w:r>
          </w:p>
        </w:tc>
        <w:tc>
          <w:tcPr>
            <w:tcW w:w="1020" w:type="dxa"/>
            <w:tcBorders>
              <w:top w:val="single" w:sz="4" w:space="0" w:color="A6A6A6" w:themeColor="accent5"/>
              <w:left w:val="nil"/>
              <w:bottom w:val="nil"/>
              <w:right w:val="nil"/>
            </w:tcBorders>
          </w:tcPr>
          <w:p w14:paraId="7EDB8570" w14:textId="77777777" w:rsidR="0064038E" w:rsidRPr="005F4841" w:rsidRDefault="0064038E">
            <w:pPr>
              <w:pStyle w:val="ARtabletextright"/>
            </w:pPr>
            <w:r w:rsidRPr="005F4841">
              <w:t>93</w:t>
            </w:r>
          </w:p>
        </w:tc>
        <w:tc>
          <w:tcPr>
            <w:tcW w:w="1022" w:type="dxa"/>
            <w:tcBorders>
              <w:top w:val="single" w:sz="4" w:space="0" w:color="A6A6A6" w:themeColor="accent5"/>
              <w:left w:val="nil"/>
              <w:bottom w:val="nil"/>
              <w:right w:val="nil"/>
            </w:tcBorders>
          </w:tcPr>
          <w:p w14:paraId="469B0FD9" w14:textId="77777777" w:rsidR="0064038E" w:rsidRPr="00A906A4" w:rsidRDefault="0064038E">
            <w:pPr>
              <w:pStyle w:val="ARtabletextright"/>
            </w:pPr>
            <w:r w:rsidRPr="00A906A4">
              <w:t>97.0</w:t>
            </w:r>
          </w:p>
        </w:tc>
        <w:tc>
          <w:tcPr>
            <w:tcW w:w="1026" w:type="dxa"/>
            <w:tcBorders>
              <w:top w:val="single" w:sz="4" w:space="0" w:color="A6A6A6" w:themeColor="accent5"/>
              <w:left w:val="nil"/>
              <w:bottom w:val="nil"/>
              <w:right w:val="nil"/>
            </w:tcBorders>
          </w:tcPr>
          <w:p w14:paraId="45BBE2E8" w14:textId="77777777" w:rsidR="0064038E" w:rsidRPr="00A906A4" w:rsidRDefault="0064038E">
            <w:pPr>
              <w:pStyle w:val="ARtabletextright"/>
            </w:pPr>
            <w:r w:rsidRPr="00A906A4">
              <w:t>4.3%</w:t>
            </w:r>
          </w:p>
        </w:tc>
        <w:tc>
          <w:tcPr>
            <w:tcW w:w="802" w:type="dxa"/>
            <w:gridSpan w:val="2"/>
            <w:tcBorders>
              <w:top w:val="single" w:sz="4" w:space="0" w:color="A6A6A6" w:themeColor="accent5"/>
              <w:left w:val="nil"/>
              <w:bottom w:val="nil"/>
              <w:right w:val="nil"/>
            </w:tcBorders>
          </w:tcPr>
          <w:p w14:paraId="53FCA769" w14:textId="77777777" w:rsidR="0064038E" w:rsidRPr="005F4841" w:rsidRDefault="0064038E">
            <w:pPr>
              <w:pStyle w:val="ARtableperformancesymbol"/>
              <w:rPr>
                <w:rFonts w:hint="eastAsia"/>
                <w:lang w:val="en-AU"/>
              </w:rPr>
            </w:pPr>
            <w:r w:rsidRPr="005F4841">
              <w:rPr>
                <w:rFonts w:eastAsia="Wingdings" w:cs="Wingdings"/>
              </w:rPr>
              <w:t></w:t>
            </w:r>
          </w:p>
        </w:tc>
      </w:tr>
      <w:tr w:rsidR="0064038E" w:rsidRPr="00F07EE7" w14:paraId="2886E592" w14:textId="77777777" w:rsidTr="006C102A">
        <w:trPr>
          <w:cantSplit/>
        </w:trPr>
        <w:tc>
          <w:tcPr>
            <w:tcW w:w="9632" w:type="dxa"/>
            <w:gridSpan w:val="7"/>
            <w:tcBorders>
              <w:top w:val="single" w:sz="4" w:space="0" w:color="000000" w:themeColor="text1"/>
              <w:left w:val="nil"/>
              <w:bottom w:val="single" w:sz="4" w:space="0" w:color="A6A6A6" w:themeColor="accent5"/>
              <w:right w:val="nil"/>
            </w:tcBorders>
          </w:tcPr>
          <w:p w14:paraId="14FF7DB9" w14:textId="77777777" w:rsidR="0064038E" w:rsidRPr="00BB4EA8" w:rsidRDefault="0064038E" w:rsidP="008149F0">
            <w:pPr>
              <w:pStyle w:val="ARtablegreybold"/>
            </w:pPr>
            <w:r w:rsidRPr="00BB4EA8">
              <w:t>Timeliness</w:t>
            </w:r>
          </w:p>
        </w:tc>
      </w:tr>
      <w:tr w:rsidR="0064038E" w:rsidRPr="00F07EE7" w14:paraId="506BE975" w14:textId="77777777" w:rsidTr="006C102A">
        <w:trPr>
          <w:cantSplit/>
        </w:trPr>
        <w:tc>
          <w:tcPr>
            <w:tcW w:w="4744" w:type="dxa"/>
            <w:tcBorders>
              <w:top w:val="single" w:sz="4" w:space="0" w:color="A6A6A6" w:themeColor="accent5"/>
              <w:left w:val="nil"/>
              <w:bottom w:val="nil"/>
              <w:right w:val="nil"/>
            </w:tcBorders>
          </w:tcPr>
          <w:p w14:paraId="5A21D0D4" w14:textId="77777777" w:rsidR="0064038E" w:rsidRPr="000152C2" w:rsidRDefault="0064038E">
            <w:pPr>
              <w:pStyle w:val="ARtabletext"/>
            </w:pPr>
            <w:r w:rsidRPr="000152C2">
              <w:t>Percentage of programs delivered within agreed timeframes</w:t>
            </w:r>
          </w:p>
        </w:tc>
        <w:tc>
          <w:tcPr>
            <w:tcW w:w="1018" w:type="dxa"/>
            <w:tcBorders>
              <w:top w:val="single" w:sz="4" w:space="0" w:color="A6A6A6" w:themeColor="accent5"/>
              <w:left w:val="nil"/>
              <w:bottom w:val="nil"/>
              <w:right w:val="nil"/>
            </w:tcBorders>
          </w:tcPr>
          <w:p w14:paraId="5E553718" w14:textId="77777777" w:rsidR="0064038E" w:rsidRPr="000152C2" w:rsidRDefault="0064038E">
            <w:pPr>
              <w:pStyle w:val="ARtabletext"/>
            </w:pPr>
            <w:r w:rsidRPr="000152C2">
              <w:t>Timeliness %</w:t>
            </w:r>
          </w:p>
        </w:tc>
        <w:tc>
          <w:tcPr>
            <w:tcW w:w="1020" w:type="dxa"/>
            <w:tcBorders>
              <w:top w:val="single" w:sz="4" w:space="0" w:color="A6A6A6" w:themeColor="accent5"/>
              <w:left w:val="nil"/>
              <w:bottom w:val="nil"/>
              <w:right w:val="nil"/>
            </w:tcBorders>
          </w:tcPr>
          <w:p w14:paraId="062F8B02" w14:textId="77777777" w:rsidR="0064038E" w:rsidRPr="000152C2" w:rsidRDefault="0064038E">
            <w:pPr>
              <w:pStyle w:val="ARtabletextright"/>
            </w:pPr>
            <w:r w:rsidRPr="000152C2">
              <w:t>90.0</w:t>
            </w:r>
          </w:p>
        </w:tc>
        <w:tc>
          <w:tcPr>
            <w:tcW w:w="1022" w:type="dxa"/>
            <w:tcBorders>
              <w:top w:val="single" w:sz="4" w:space="0" w:color="A6A6A6" w:themeColor="accent5"/>
              <w:left w:val="nil"/>
              <w:bottom w:val="nil"/>
              <w:right w:val="nil"/>
            </w:tcBorders>
          </w:tcPr>
          <w:p w14:paraId="68F485CB" w14:textId="77777777" w:rsidR="0064038E" w:rsidRPr="000152C2" w:rsidRDefault="0064038E">
            <w:pPr>
              <w:pStyle w:val="ARtabletextright"/>
            </w:pPr>
            <w:r w:rsidRPr="000152C2">
              <w:t>96.0</w:t>
            </w:r>
          </w:p>
        </w:tc>
        <w:tc>
          <w:tcPr>
            <w:tcW w:w="1026" w:type="dxa"/>
            <w:tcBorders>
              <w:top w:val="single" w:sz="4" w:space="0" w:color="A6A6A6" w:themeColor="accent5"/>
              <w:left w:val="nil"/>
              <w:bottom w:val="nil"/>
              <w:right w:val="nil"/>
            </w:tcBorders>
          </w:tcPr>
          <w:p w14:paraId="07BDB430" w14:textId="77777777" w:rsidR="0064038E" w:rsidRPr="000152C2" w:rsidRDefault="0064038E">
            <w:pPr>
              <w:pStyle w:val="ARtabletextright"/>
            </w:pPr>
            <w:r w:rsidRPr="000152C2">
              <w:t>6.7%</w:t>
            </w:r>
          </w:p>
        </w:tc>
        <w:tc>
          <w:tcPr>
            <w:tcW w:w="802" w:type="dxa"/>
            <w:gridSpan w:val="2"/>
            <w:tcBorders>
              <w:top w:val="single" w:sz="4" w:space="0" w:color="A6A6A6" w:themeColor="accent5"/>
              <w:left w:val="nil"/>
              <w:bottom w:val="nil"/>
              <w:right w:val="nil"/>
            </w:tcBorders>
          </w:tcPr>
          <w:p w14:paraId="13B63715" w14:textId="77777777" w:rsidR="0064038E" w:rsidRPr="000152C2" w:rsidRDefault="0064038E">
            <w:pPr>
              <w:pStyle w:val="ARtableperformancesymbol"/>
              <w:rPr>
                <w:rFonts w:eastAsia="Wingdings" w:cs="Wingdings"/>
                <w:lang w:val="en-AU"/>
              </w:rPr>
            </w:pPr>
            <w:r w:rsidRPr="000152C2">
              <w:rPr>
                <w:rFonts w:eastAsia="Wingdings" w:cs="Wingdings"/>
              </w:rPr>
              <w:t></w:t>
            </w:r>
          </w:p>
        </w:tc>
      </w:tr>
      <w:tr w:rsidR="0064038E" w:rsidRPr="00F07EE7" w14:paraId="219EE7EA" w14:textId="77777777" w:rsidTr="00026B51">
        <w:trPr>
          <w:cantSplit/>
        </w:trPr>
        <w:tc>
          <w:tcPr>
            <w:tcW w:w="9632" w:type="dxa"/>
            <w:gridSpan w:val="7"/>
            <w:tcBorders>
              <w:top w:val="nil"/>
              <w:left w:val="nil"/>
              <w:bottom w:val="single" w:sz="4" w:space="0" w:color="000000" w:themeColor="text1"/>
              <w:right w:val="nil"/>
            </w:tcBorders>
          </w:tcPr>
          <w:p w14:paraId="56E81C9F" w14:textId="05523865" w:rsidR="0064038E" w:rsidRPr="00F07EE7" w:rsidRDefault="00404800" w:rsidP="00130336">
            <w:pPr>
              <w:pStyle w:val="ARtablenoteindent"/>
              <w:rPr>
                <w:highlight w:val="cyan"/>
              </w:rPr>
            </w:pPr>
            <w:r w:rsidRPr="00A906A4">
              <w:t>The 2024</w:t>
            </w:r>
            <w:r w:rsidR="005C1105" w:rsidRPr="00A906A4">
              <w:t>–</w:t>
            </w:r>
            <w:r w:rsidRPr="00A906A4">
              <w:t>25 result is higher than the 2024</w:t>
            </w:r>
            <w:r w:rsidR="005C1105" w:rsidRPr="00A906A4">
              <w:t>–</w:t>
            </w:r>
            <w:r w:rsidRPr="00A906A4">
              <w:t>25 target due to consistent monitoring and communication with funded organisations leading to a higher</w:t>
            </w:r>
            <w:r w:rsidR="00EB4E7E">
              <w:t>-</w:t>
            </w:r>
            <w:r w:rsidRPr="00A906A4">
              <w:t>than</w:t>
            </w:r>
            <w:r w:rsidR="00EB4E7E">
              <w:t>-</w:t>
            </w:r>
            <w:r w:rsidRPr="00A906A4">
              <w:t>expected percentage of programs delivered within agreed timeframe.</w:t>
            </w:r>
          </w:p>
        </w:tc>
      </w:tr>
      <w:tr w:rsidR="0064038E" w:rsidRPr="00F07EE7" w14:paraId="24A319E8" w14:textId="77777777" w:rsidTr="00026B51">
        <w:trPr>
          <w:cantSplit/>
        </w:trPr>
        <w:tc>
          <w:tcPr>
            <w:tcW w:w="9632" w:type="dxa"/>
            <w:gridSpan w:val="7"/>
            <w:tcBorders>
              <w:top w:val="single" w:sz="4" w:space="0" w:color="000000" w:themeColor="text1"/>
              <w:left w:val="nil"/>
              <w:bottom w:val="single" w:sz="4" w:space="0" w:color="000000" w:themeColor="text1"/>
              <w:right w:val="nil"/>
            </w:tcBorders>
            <w:hideMark/>
          </w:tcPr>
          <w:p w14:paraId="6833C1EA" w14:textId="77777777" w:rsidR="0064038E" w:rsidRPr="00BB4EA8" w:rsidRDefault="0064038E">
            <w:pPr>
              <w:pStyle w:val="ARtablegreybold"/>
            </w:pPr>
            <w:r w:rsidRPr="00BB4EA8">
              <w:t>Cost</w:t>
            </w:r>
          </w:p>
        </w:tc>
      </w:tr>
      <w:tr w:rsidR="0064038E" w:rsidRPr="00F07EE7" w14:paraId="01FD93AE" w14:textId="77777777" w:rsidTr="00026B51">
        <w:trPr>
          <w:cantSplit/>
        </w:trPr>
        <w:tc>
          <w:tcPr>
            <w:tcW w:w="4744" w:type="dxa"/>
            <w:tcBorders>
              <w:top w:val="single" w:sz="4" w:space="0" w:color="000000" w:themeColor="text1"/>
              <w:left w:val="nil"/>
              <w:bottom w:val="single" w:sz="4" w:space="0" w:color="auto"/>
              <w:right w:val="nil"/>
            </w:tcBorders>
            <w:hideMark/>
          </w:tcPr>
          <w:p w14:paraId="2025A257" w14:textId="77777777" w:rsidR="0064038E" w:rsidRPr="00F466D9" w:rsidRDefault="0064038E">
            <w:pPr>
              <w:pStyle w:val="ARtabletextbold"/>
            </w:pPr>
            <w:r w:rsidRPr="00F466D9">
              <w:t>Total output cost</w:t>
            </w:r>
          </w:p>
        </w:tc>
        <w:tc>
          <w:tcPr>
            <w:tcW w:w="1018" w:type="dxa"/>
            <w:tcBorders>
              <w:top w:val="single" w:sz="4" w:space="0" w:color="000000" w:themeColor="text1"/>
              <w:left w:val="nil"/>
              <w:bottom w:val="single" w:sz="4" w:space="0" w:color="auto"/>
              <w:right w:val="nil"/>
            </w:tcBorders>
            <w:hideMark/>
          </w:tcPr>
          <w:p w14:paraId="5ED19AE7" w14:textId="77777777" w:rsidR="0064038E" w:rsidRPr="00F466D9" w:rsidRDefault="0064038E">
            <w:pPr>
              <w:pStyle w:val="ARtabletextbold"/>
            </w:pPr>
            <w:r w:rsidRPr="00F466D9">
              <w:t>$ million</w:t>
            </w:r>
          </w:p>
        </w:tc>
        <w:tc>
          <w:tcPr>
            <w:tcW w:w="1020" w:type="dxa"/>
            <w:tcBorders>
              <w:top w:val="single" w:sz="4" w:space="0" w:color="000000" w:themeColor="text1"/>
              <w:left w:val="nil"/>
              <w:bottom w:val="single" w:sz="4" w:space="0" w:color="auto"/>
              <w:right w:val="nil"/>
            </w:tcBorders>
          </w:tcPr>
          <w:p w14:paraId="2A306BB5" w14:textId="77777777" w:rsidR="0064038E" w:rsidRPr="00F466D9" w:rsidRDefault="0064038E">
            <w:pPr>
              <w:pStyle w:val="ARtabletextrightbold"/>
            </w:pPr>
            <w:r w:rsidRPr="00F466D9">
              <w:t>30.5</w:t>
            </w:r>
          </w:p>
        </w:tc>
        <w:tc>
          <w:tcPr>
            <w:tcW w:w="1022" w:type="dxa"/>
            <w:tcBorders>
              <w:top w:val="single" w:sz="4" w:space="0" w:color="000000" w:themeColor="text1"/>
              <w:left w:val="nil"/>
              <w:bottom w:val="single" w:sz="4" w:space="0" w:color="auto"/>
              <w:right w:val="nil"/>
            </w:tcBorders>
          </w:tcPr>
          <w:p w14:paraId="1EA0C5CA" w14:textId="77777777" w:rsidR="0064038E" w:rsidRPr="00F466D9" w:rsidRDefault="0064038E">
            <w:pPr>
              <w:pStyle w:val="ARtabletextrightbold"/>
            </w:pPr>
            <w:r w:rsidRPr="00F466D9">
              <w:t>31.7</w:t>
            </w:r>
          </w:p>
        </w:tc>
        <w:tc>
          <w:tcPr>
            <w:tcW w:w="1026" w:type="dxa"/>
            <w:tcBorders>
              <w:top w:val="single" w:sz="4" w:space="0" w:color="000000" w:themeColor="text1"/>
              <w:left w:val="nil"/>
              <w:bottom w:val="single" w:sz="4" w:space="0" w:color="auto"/>
              <w:right w:val="nil"/>
            </w:tcBorders>
          </w:tcPr>
          <w:p w14:paraId="18D0915B" w14:textId="05162792" w:rsidR="0064038E" w:rsidRPr="00F466D9" w:rsidRDefault="0064038E">
            <w:pPr>
              <w:pStyle w:val="ARtabletextrightbold"/>
            </w:pPr>
            <w:r w:rsidRPr="00F466D9">
              <w:t>4.</w:t>
            </w:r>
            <w:r w:rsidR="001F783D">
              <w:t>0</w:t>
            </w:r>
            <w:r w:rsidRPr="00F466D9">
              <w:t>%</w:t>
            </w:r>
          </w:p>
        </w:tc>
        <w:tc>
          <w:tcPr>
            <w:tcW w:w="802" w:type="dxa"/>
            <w:gridSpan w:val="2"/>
            <w:tcBorders>
              <w:top w:val="single" w:sz="4" w:space="0" w:color="000000" w:themeColor="text1"/>
              <w:left w:val="nil"/>
              <w:bottom w:val="single" w:sz="4" w:space="0" w:color="auto"/>
              <w:right w:val="nil"/>
            </w:tcBorders>
          </w:tcPr>
          <w:p w14:paraId="146501AA" w14:textId="77777777" w:rsidR="0064038E" w:rsidRPr="00F466D9" w:rsidRDefault="0064038E">
            <w:pPr>
              <w:pStyle w:val="ARtableperformancesymbol"/>
              <w:rPr>
                <w:rFonts w:hint="eastAsia"/>
                <w:b/>
              </w:rPr>
            </w:pPr>
            <w:r w:rsidRPr="00F466D9">
              <w:rPr>
                <w:rFonts w:eastAsia="Wingdings" w:cs="Wingdings"/>
              </w:rPr>
              <w:t></w:t>
            </w:r>
          </w:p>
        </w:tc>
      </w:tr>
    </w:tbl>
    <w:p w14:paraId="05439959" w14:textId="77777777" w:rsidR="002774B2" w:rsidRDefault="002774B2" w:rsidP="002774B2">
      <w:pPr>
        <w:pStyle w:val="ARbody"/>
      </w:pPr>
      <w:r>
        <w:br w:type="page"/>
      </w:r>
    </w:p>
    <w:p w14:paraId="2A608036" w14:textId="0FB747A1" w:rsidR="0064038E" w:rsidRPr="00F15627" w:rsidRDefault="0064038E">
      <w:pPr>
        <w:pStyle w:val="Heading3"/>
      </w:pPr>
      <w:r w:rsidRPr="00F15627">
        <w:lastRenderedPageBreak/>
        <w:t>Concessions to pensioners and beneficiaries</w:t>
      </w:r>
    </w:p>
    <w:p w14:paraId="53235F53" w14:textId="70EB914A" w:rsidR="0064038E" w:rsidRPr="000E09E0" w:rsidRDefault="0064038E">
      <w:pPr>
        <w:pStyle w:val="ARbody"/>
      </w:pPr>
      <w:r w:rsidRPr="000E09E0">
        <w:t>This output</w:t>
      </w:r>
      <w:r>
        <w:t xml:space="preserve"> focuses on</w:t>
      </w:r>
      <w:r w:rsidRPr="000E09E0">
        <w:t xml:space="preserve"> the development and coordination of concessions and relief grants to eligible consumers and concession card holders</w:t>
      </w:r>
      <w:r>
        <w:t>. It</w:t>
      </w:r>
      <w:r w:rsidRPr="000E09E0">
        <w:t xml:space="preserve"> aims to make a positive difference for Victorians experiencing disadvantage by providing excellent community services to meet clients’ needs.</w:t>
      </w:r>
    </w:p>
    <w:tbl>
      <w:tblPr>
        <w:tblW w:w="5000" w:type="pct"/>
        <w:tblLayout w:type="fixed"/>
        <w:tblCellMar>
          <w:left w:w="0" w:type="dxa"/>
        </w:tblCellMar>
        <w:tblLook w:val="06E0" w:firstRow="1" w:lastRow="1" w:firstColumn="1" w:lastColumn="0" w:noHBand="1" w:noVBand="1"/>
      </w:tblPr>
      <w:tblGrid>
        <w:gridCol w:w="4749"/>
        <w:gridCol w:w="1020"/>
        <w:gridCol w:w="1019"/>
        <w:gridCol w:w="1019"/>
        <w:gridCol w:w="1022"/>
        <w:gridCol w:w="795"/>
        <w:gridCol w:w="8"/>
      </w:tblGrid>
      <w:tr w:rsidR="0064038E" w:rsidRPr="00F15627" w14:paraId="2522C005" w14:textId="77777777" w:rsidTr="006C102A">
        <w:trPr>
          <w:cantSplit/>
          <w:tblHeader/>
        </w:trPr>
        <w:tc>
          <w:tcPr>
            <w:tcW w:w="4749" w:type="dxa"/>
            <w:tcBorders>
              <w:top w:val="nil"/>
              <w:left w:val="nil"/>
              <w:bottom w:val="single" w:sz="4" w:space="0" w:color="auto"/>
              <w:right w:val="nil"/>
            </w:tcBorders>
            <w:vAlign w:val="bottom"/>
            <w:hideMark/>
          </w:tcPr>
          <w:p w14:paraId="0F0CC67A" w14:textId="77777777" w:rsidR="0064038E" w:rsidRPr="00F15627" w:rsidRDefault="0064038E">
            <w:pPr>
              <w:pStyle w:val="ARtablecolhead"/>
            </w:pPr>
            <w:r w:rsidRPr="00F15627">
              <w:t>Performance measures</w:t>
            </w:r>
          </w:p>
        </w:tc>
        <w:tc>
          <w:tcPr>
            <w:tcW w:w="1020" w:type="dxa"/>
            <w:tcBorders>
              <w:top w:val="nil"/>
              <w:left w:val="nil"/>
              <w:bottom w:val="single" w:sz="4" w:space="0" w:color="auto"/>
              <w:right w:val="nil"/>
            </w:tcBorders>
            <w:vAlign w:val="bottom"/>
            <w:hideMark/>
          </w:tcPr>
          <w:p w14:paraId="7826E932" w14:textId="77777777" w:rsidR="0064038E" w:rsidRPr="00F15627" w:rsidRDefault="0064038E">
            <w:pPr>
              <w:pStyle w:val="ARtablecolhead"/>
            </w:pPr>
            <w:r w:rsidRPr="00F15627">
              <w:t>Unit of measure</w:t>
            </w:r>
          </w:p>
        </w:tc>
        <w:tc>
          <w:tcPr>
            <w:tcW w:w="1019" w:type="dxa"/>
            <w:tcBorders>
              <w:top w:val="nil"/>
              <w:left w:val="nil"/>
              <w:bottom w:val="single" w:sz="4" w:space="0" w:color="auto"/>
              <w:right w:val="nil"/>
            </w:tcBorders>
            <w:vAlign w:val="bottom"/>
            <w:hideMark/>
          </w:tcPr>
          <w:p w14:paraId="07CD09D2" w14:textId="77777777" w:rsidR="0064038E" w:rsidRPr="00F15627" w:rsidRDefault="0064038E">
            <w:pPr>
              <w:pStyle w:val="ARtablecolheadright"/>
            </w:pPr>
            <w:r w:rsidRPr="00F15627">
              <w:t>2024–25 target</w:t>
            </w:r>
          </w:p>
        </w:tc>
        <w:tc>
          <w:tcPr>
            <w:tcW w:w="1019" w:type="dxa"/>
            <w:tcBorders>
              <w:top w:val="nil"/>
              <w:left w:val="nil"/>
              <w:bottom w:val="single" w:sz="4" w:space="0" w:color="auto"/>
              <w:right w:val="nil"/>
            </w:tcBorders>
            <w:vAlign w:val="bottom"/>
            <w:hideMark/>
          </w:tcPr>
          <w:p w14:paraId="5FFE6B12" w14:textId="77777777" w:rsidR="0064038E" w:rsidRPr="00F15627" w:rsidRDefault="0064038E">
            <w:pPr>
              <w:pStyle w:val="ARtablecolheadright"/>
            </w:pPr>
            <w:r w:rsidRPr="00F15627">
              <w:t>2024–25 actual</w:t>
            </w:r>
          </w:p>
        </w:tc>
        <w:tc>
          <w:tcPr>
            <w:tcW w:w="1022" w:type="dxa"/>
            <w:tcBorders>
              <w:top w:val="nil"/>
              <w:left w:val="nil"/>
              <w:bottom w:val="single" w:sz="4" w:space="0" w:color="auto"/>
              <w:right w:val="nil"/>
            </w:tcBorders>
            <w:vAlign w:val="bottom"/>
            <w:hideMark/>
          </w:tcPr>
          <w:p w14:paraId="3E5E6AB4" w14:textId="77777777" w:rsidR="0064038E" w:rsidRPr="00F15627" w:rsidRDefault="0064038E">
            <w:pPr>
              <w:pStyle w:val="ARtablecolheadright"/>
            </w:pPr>
            <w:r w:rsidRPr="00F15627">
              <w:t xml:space="preserve">Variation </w:t>
            </w:r>
          </w:p>
        </w:tc>
        <w:tc>
          <w:tcPr>
            <w:tcW w:w="803" w:type="dxa"/>
            <w:gridSpan w:val="2"/>
            <w:tcBorders>
              <w:top w:val="nil"/>
              <w:left w:val="nil"/>
              <w:bottom w:val="single" w:sz="4" w:space="0" w:color="auto"/>
              <w:right w:val="nil"/>
            </w:tcBorders>
            <w:vAlign w:val="bottom"/>
            <w:hideMark/>
          </w:tcPr>
          <w:p w14:paraId="47305B13" w14:textId="77777777" w:rsidR="0064038E" w:rsidRPr="00F15627" w:rsidRDefault="0064038E">
            <w:pPr>
              <w:pStyle w:val="ARtablecolheadright"/>
            </w:pPr>
            <w:r w:rsidRPr="00F15627">
              <w:t>Result</w:t>
            </w:r>
          </w:p>
        </w:tc>
      </w:tr>
      <w:tr w:rsidR="0064038E" w:rsidRPr="00F15627" w14:paraId="01966D93" w14:textId="77777777" w:rsidTr="006C102A">
        <w:trPr>
          <w:cantSplit/>
        </w:trPr>
        <w:tc>
          <w:tcPr>
            <w:tcW w:w="9632" w:type="dxa"/>
            <w:gridSpan w:val="7"/>
            <w:tcBorders>
              <w:top w:val="single" w:sz="4" w:space="0" w:color="auto"/>
              <w:left w:val="nil"/>
              <w:bottom w:val="single" w:sz="4" w:space="0" w:color="A6A6A6" w:themeColor="accent5"/>
              <w:right w:val="nil"/>
            </w:tcBorders>
            <w:hideMark/>
          </w:tcPr>
          <w:p w14:paraId="412D4AAC" w14:textId="77777777" w:rsidR="0064038E" w:rsidRPr="00F15627" w:rsidRDefault="0064038E">
            <w:pPr>
              <w:pStyle w:val="ARtablegreybold"/>
            </w:pPr>
            <w:r w:rsidRPr="00F15627">
              <w:t>Quantity</w:t>
            </w:r>
          </w:p>
        </w:tc>
      </w:tr>
      <w:tr w:rsidR="0064038E" w:rsidRPr="00F07EE7" w14:paraId="709D7C81" w14:textId="77777777" w:rsidTr="006C102A">
        <w:trPr>
          <w:gridAfter w:val="1"/>
          <w:wAfter w:w="8" w:type="dxa"/>
          <w:cantSplit/>
        </w:trPr>
        <w:tc>
          <w:tcPr>
            <w:tcW w:w="4749" w:type="dxa"/>
            <w:tcBorders>
              <w:top w:val="single" w:sz="4" w:space="0" w:color="A6A6A6" w:themeColor="accent5"/>
              <w:bottom w:val="single" w:sz="4" w:space="0" w:color="BFBFBF" w:themeColor="background1" w:themeShade="BF"/>
            </w:tcBorders>
            <w:hideMark/>
          </w:tcPr>
          <w:p w14:paraId="02F63FA7" w14:textId="77777777" w:rsidR="0064038E" w:rsidRPr="00F07EE7" w:rsidRDefault="0064038E">
            <w:pPr>
              <w:pStyle w:val="ARtabletext"/>
              <w:rPr>
                <w:highlight w:val="cyan"/>
              </w:rPr>
            </w:pPr>
            <w:r w:rsidRPr="00B5215A">
              <w:t>Households receiving mains electricity concessions</w:t>
            </w:r>
          </w:p>
        </w:tc>
        <w:tc>
          <w:tcPr>
            <w:tcW w:w="1020" w:type="dxa"/>
            <w:tcBorders>
              <w:top w:val="single" w:sz="4" w:space="0" w:color="A6A6A6" w:themeColor="accent5"/>
              <w:bottom w:val="single" w:sz="4" w:space="0" w:color="BFBFBF" w:themeColor="background1" w:themeShade="BF"/>
            </w:tcBorders>
            <w:hideMark/>
          </w:tcPr>
          <w:p w14:paraId="3BF49354" w14:textId="77777777" w:rsidR="0064038E" w:rsidRPr="00F07EE7" w:rsidRDefault="0064038E">
            <w:pPr>
              <w:pStyle w:val="ARtabletext"/>
              <w:rPr>
                <w:highlight w:val="cyan"/>
              </w:rPr>
            </w:pPr>
            <w:r>
              <w:t>number</w:t>
            </w:r>
          </w:p>
        </w:tc>
        <w:tc>
          <w:tcPr>
            <w:tcW w:w="1019" w:type="dxa"/>
            <w:tcBorders>
              <w:top w:val="single" w:sz="4" w:space="0" w:color="A6A6A6" w:themeColor="accent5"/>
              <w:bottom w:val="single" w:sz="4" w:space="0" w:color="BFBFBF" w:themeColor="background1" w:themeShade="BF"/>
            </w:tcBorders>
          </w:tcPr>
          <w:p w14:paraId="30C4E28E" w14:textId="77777777" w:rsidR="0064038E" w:rsidRPr="00F07EE7" w:rsidRDefault="0064038E">
            <w:pPr>
              <w:pStyle w:val="ARtabletextright"/>
              <w:rPr>
                <w:highlight w:val="cyan"/>
              </w:rPr>
            </w:pPr>
            <w:r w:rsidRPr="00B5215A">
              <w:t xml:space="preserve">917,237 </w:t>
            </w:r>
          </w:p>
        </w:tc>
        <w:tc>
          <w:tcPr>
            <w:tcW w:w="1019" w:type="dxa"/>
            <w:tcBorders>
              <w:top w:val="single" w:sz="4" w:space="0" w:color="A6A6A6" w:themeColor="accent5"/>
              <w:bottom w:val="single" w:sz="4" w:space="0" w:color="BFBFBF" w:themeColor="background1" w:themeShade="BF"/>
            </w:tcBorders>
          </w:tcPr>
          <w:p w14:paraId="0C34356F" w14:textId="77777777" w:rsidR="0064038E" w:rsidRPr="00F07EE7" w:rsidRDefault="0064038E">
            <w:pPr>
              <w:pStyle w:val="ARtabletextright"/>
              <w:rPr>
                <w:highlight w:val="cyan"/>
              </w:rPr>
            </w:pPr>
            <w:r w:rsidRPr="00B5215A">
              <w:t xml:space="preserve"> 911,109 </w:t>
            </w:r>
          </w:p>
        </w:tc>
        <w:tc>
          <w:tcPr>
            <w:tcW w:w="1022" w:type="dxa"/>
            <w:tcBorders>
              <w:top w:val="single" w:sz="4" w:space="0" w:color="A6A6A6" w:themeColor="accent5"/>
              <w:bottom w:val="single" w:sz="4" w:space="0" w:color="BFBFBF" w:themeColor="background1" w:themeShade="BF"/>
            </w:tcBorders>
          </w:tcPr>
          <w:p w14:paraId="49F2A09E" w14:textId="7FA61815" w:rsidR="0064038E" w:rsidRPr="00441992" w:rsidRDefault="00430898">
            <w:pPr>
              <w:pStyle w:val="ARtabletextright"/>
              <w:jc w:val="center"/>
            </w:pPr>
            <w:r>
              <w:t>−</w:t>
            </w:r>
            <w:r w:rsidR="0064038E" w:rsidRPr="00441992">
              <w:t>0.7%</w:t>
            </w:r>
          </w:p>
        </w:tc>
        <w:tc>
          <w:tcPr>
            <w:tcW w:w="795" w:type="dxa"/>
            <w:tcBorders>
              <w:top w:val="single" w:sz="4" w:space="0" w:color="A6A6A6" w:themeColor="accent5"/>
              <w:bottom w:val="single" w:sz="4" w:space="0" w:color="BFBFBF" w:themeColor="background1" w:themeShade="BF"/>
            </w:tcBorders>
            <w:hideMark/>
          </w:tcPr>
          <w:p w14:paraId="7C089733" w14:textId="77777777" w:rsidR="0064038E" w:rsidRPr="00441992" w:rsidRDefault="0064038E">
            <w:pPr>
              <w:pStyle w:val="ARtableperformancesymbol"/>
              <w:rPr>
                <w:rFonts w:hint="eastAsia"/>
                <w:lang w:val="en-AU"/>
              </w:rPr>
            </w:pPr>
            <w:r w:rsidRPr="00441992">
              <w:t>□</w:t>
            </w:r>
          </w:p>
        </w:tc>
      </w:tr>
      <w:tr w:rsidR="0064038E" w:rsidRPr="00F07EE7" w14:paraId="35233471" w14:textId="77777777">
        <w:trPr>
          <w:gridAfter w:val="1"/>
          <w:wAfter w:w="8" w:type="dxa"/>
          <w:cantSplit/>
        </w:trPr>
        <w:tc>
          <w:tcPr>
            <w:tcW w:w="4749" w:type="dxa"/>
            <w:tcBorders>
              <w:top w:val="single" w:sz="4" w:space="0" w:color="BFBFBF"/>
              <w:bottom w:val="single" w:sz="4" w:space="0" w:color="BFBFBF"/>
            </w:tcBorders>
            <w:hideMark/>
          </w:tcPr>
          <w:p w14:paraId="64BE602A" w14:textId="77777777" w:rsidR="0064038E" w:rsidRPr="00F07EE7" w:rsidRDefault="0064038E">
            <w:pPr>
              <w:pStyle w:val="ARtabletext"/>
              <w:rPr>
                <w:highlight w:val="cyan"/>
              </w:rPr>
            </w:pPr>
            <w:r w:rsidRPr="006650DF">
              <w:t>Households receiving mains gas concessions</w:t>
            </w:r>
          </w:p>
        </w:tc>
        <w:tc>
          <w:tcPr>
            <w:tcW w:w="1020" w:type="dxa"/>
            <w:tcBorders>
              <w:top w:val="single" w:sz="4" w:space="0" w:color="BFBFBF"/>
              <w:bottom w:val="single" w:sz="4" w:space="0" w:color="BFBFBF"/>
            </w:tcBorders>
            <w:hideMark/>
          </w:tcPr>
          <w:p w14:paraId="767C1C79" w14:textId="77777777" w:rsidR="0064038E" w:rsidRPr="00F07EE7" w:rsidRDefault="0064038E">
            <w:pPr>
              <w:pStyle w:val="ARtabletext"/>
              <w:rPr>
                <w:highlight w:val="cyan"/>
              </w:rPr>
            </w:pPr>
            <w:r>
              <w:t>number</w:t>
            </w:r>
          </w:p>
        </w:tc>
        <w:tc>
          <w:tcPr>
            <w:tcW w:w="1019" w:type="dxa"/>
            <w:tcBorders>
              <w:top w:val="single" w:sz="4" w:space="0" w:color="BFBFBF"/>
              <w:bottom w:val="single" w:sz="4" w:space="0" w:color="BFBFBF"/>
            </w:tcBorders>
          </w:tcPr>
          <w:p w14:paraId="125D3968" w14:textId="77777777" w:rsidR="0064038E" w:rsidRPr="00F07EE7" w:rsidRDefault="0064038E">
            <w:pPr>
              <w:pStyle w:val="ARtabletextright"/>
              <w:rPr>
                <w:highlight w:val="cyan"/>
              </w:rPr>
            </w:pPr>
            <w:r w:rsidRPr="006650DF">
              <w:t xml:space="preserve">683,538 </w:t>
            </w:r>
          </w:p>
        </w:tc>
        <w:tc>
          <w:tcPr>
            <w:tcW w:w="1019" w:type="dxa"/>
            <w:tcBorders>
              <w:top w:val="single" w:sz="4" w:space="0" w:color="BFBFBF"/>
              <w:bottom w:val="single" w:sz="4" w:space="0" w:color="BFBFBF"/>
            </w:tcBorders>
          </w:tcPr>
          <w:p w14:paraId="1D70108B" w14:textId="77777777" w:rsidR="0064038E" w:rsidRPr="00F07EE7" w:rsidRDefault="0064038E">
            <w:pPr>
              <w:pStyle w:val="ARtabletextright"/>
              <w:rPr>
                <w:highlight w:val="cyan"/>
              </w:rPr>
            </w:pPr>
            <w:r w:rsidRPr="006650DF">
              <w:t xml:space="preserve"> 664,126 </w:t>
            </w:r>
          </w:p>
        </w:tc>
        <w:tc>
          <w:tcPr>
            <w:tcW w:w="1022" w:type="dxa"/>
            <w:tcBorders>
              <w:top w:val="single" w:sz="4" w:space="0" w:color="BFBFBF"/>
              <w:bottom w:val="single" w:sz="4" w:space="0" w:color="BFBFBF"/>
            </w:tcBorders>
          </w:tcPr>
          <w:p w14:paraId="6F375C17" w14:textId="13C64771" w:rsidR="0064038E" w:rsidRPr="00DB3CC6" w:rsidRDefault="00430898">
            <w:pPr>
              <w:pStyle w:val="ARtabletextright"/>
              <w:jc w:val="center"/>
            </w:pPr>
            <w:r>
              <w:t>−</w:t>
            </w:r>
            <w:r w:rsidR="0064038E" w:rsidRPr="00DB3CC6">
              <w:t>2.8%</w:t>
            </w:r>
          </w:p>
        </w:tc>
        <w:tc>
          <w:tcPr>
            <w:tcW w:w="795" w:type="dxa"/>
            <w:tcBorders>
              <w:top w:val="single" w:sz="4" w:space="0" w:color="BFBFBF"/>
              <w:bottom w:val="single" w:sz="4" w:space="0" w:color="BFBFBF"/>
            </w:tcBorders>
            <w:hideMark/>
          </w:tcPr>
          <w:p w14:paraId="39D4D604" w14:textId="77777777" w:rsidR="0064038E" w:rsidRPr="00DB3CC6" w:rsidRDefault="0064038E">
            <w:pPr>
              <w:pStyle w:val="ARtableperformancesymbol"/>
              <w:rPr>
                <w:rFonts w:hint="eastAsia"/>
                <w:lang w:val="en-AU"/>
              </w:rPr>
            </w:pPr>
            <w:r w:rsidRPr="00DB3CC6">
              <w:t>□</w:t>
            </w:r>
          </w:p>
        </w:tc>
      </w:tr>
      <w:tr w:rsidR="0064038E" w:rsidRPr="00F07EE7" w14:paraId="0B1BBC55" w14:textId="77777777">
        <w:trPr>
          <w:gridAfter w:val="1"/>
          <w:wAfter w:w="8" w:type="dxa"/>
          <w:cantSplit/>
        </w:trPr>
        <w:tc>
          <w:tcPr>
            <w:tcW w:w="4749" w:type="dxa"/>
            <w:tcBorders>
              <w:top w:val="single" w:sz="4" w:space="0" w:color="BFBFBF"/>
            </w:tcBorders>
            <w:hideMark/>
          </w:tcPr>
          <w:p w14:paraId="229F967D" w14:textId="77777777" w:rsidR="0064038E" w:rsidRPr="00F07EE7" w:rsidRDefault="0064038E">
            <w:pPr>
              <w:pStyle w:val="ARtabletext"/>
              <w:keepNext/>
              <w:rPr>
                <w:highlight w:val="cyan"/>
              </w:rPr>
            </w:pPr>
            <w:r w:rsidRPr="00CC7B1D">
              <w:t>Households receiving non-mains energy concessions</w:t>
            </w:r>
          </w:p>
        </w:tc>
        <w:tc>
          <w:tcPr>
            <w:tcW w:w="1020" w:type="dxa"/>
            <w:tcBorders>
              <w:top w:val="single" w:sz="4" w:space="0" w:color="BFBFBF"/>
            </w:tcBorders>
            <w:hideMark/>
          </w:tcPr>
          <w:p w14:paraId="5F5CFF2B" w14:textId="77777777" w:rsidR="0064038E" w:rsidRPr="00F07EE7" w:rsidRDefault="0064038E">
            <w:pPr>
              <w:pStyle w:val="ARtabletext"/>
              <w:rPr>
                <w:highlight w:val="cyan"/>
              </w:rPr>
            </w:pPr>
            <w:r>
              <w:t>number</w:t>
            </w:r>
          </w:p>
        </w:tc>
        <w:tc>
          <w:tcPr>
            <w:tcW w:w="1019" w:type="dxa"/>
            <w:tcBorders>
              <w:top w:val="single" w:sz="4" w:space="0" w:color="BFBFBF"/>
            </w:tcBorders>
          </w:tcPr>
          <w:p w14:paraId="0DB5F296" w14:textId="77777777" w:rsidR="0064038E" w:rsidRPr="00F07EE7" w:rsidRDefault="0064038E">
            <w:pPr>
              <w:pStyle w:val="ARtabletextright"/>
              <w:rPr>
                <w:highlight w:val="cyan"/>
              </w:rPr>
            </w:pPr>
            <w:r w:rsidRPr="00CC7B1D">
              <w:t xml:space="preserve">22,241 </w:t>
            </w:r>
          </w:p>
        </w:tc>
        <w:tc>
          <w:tcPr>
            <w:tcW w:w="1019" w:type="dxa"/>
            <w:tcBorders>
              <w:top w:val="single" w:sz="4" w:space="0" w:color="BFBFBF"/>
            </w:tcBorders>
          </w:tcPr>
          <w:p w14:paraId="18280F6E" w14:textId="77777777" w:rsidR="0064038E" w:rsidRPr="00F07EE7" w:rsidRDefault="0064038E">
            <w:pPr>
              <w:pStyle w:val="ARtabletextright"/>
              <w:rPr>
                <w:highlight w:val="cyan"/>
              </w:rPr>
            </w:pPr>
            <w:r w:rsidRPr="00CC7B1D">
              <w:t xml:space="preserve"> 21,009 </w:t>
            </w:r>
          </w:p>
        </w:tc>
        <w:tc>
          <w:tcPr>
            <w:tcW w:w="1022" w:type="dxa"/>
            <w:tcBorders>
              <w:top w:val="single" w:sz="4" w:space="0" w:color="BFBFBF"/>
            </w:tcBorders>
          </w:tcPr>
          <w:p w14:paraId="53E4A582" w14:textId="3CCD486E" w:rsidR="0064038E" w:rsidRPr="00DB3CC6" w:rsidRDefault="00430898">
            <w:pPr>
              <w:pStyle w:val="ARtabletextright"/>
              <w:jc w:val="center"/>
            </w:pPr>
            <w:r>
              <w:t>−</w:t>
            </w:r>
            <w:r w:rsidR="0064038E" w:rsidRPr="00DB3CC6">
              <w:t>5.5%</w:t>
            </w:r>
          </w:p>
        </w:tc>
        <w:tc>
          <w:tcPr>
            <w:tcW w:w="795" w:type="dxa"/>
            <w:tcBorders>
              <w:top w:val="single" w:sz="4" w:space="0" w:color="BFBFBF"/>
            </w:tcBorders>
            <w:hideMark/>
          </w:tcPr>
          <w:p w14:paraId="05AE4F10" w14:textId="77777777" w:rsidR="0064038E" w:rsidRPr="00DB3CC6" w:rsidRDefault="0064038E">
            <w:pPr>
              <w:pStyle w:val="ARtableperformancesymbol"/>
              <w:rPr>
                <w:rFonts w:hint="eastAsia"/>
                <w:lang w:val="en-AU"/>
              </w:rPr>
            </w:pPr>
            <w:r w:rsidRPr="00DB3CC6">
              <w:rPr>
                <w:rFonts w:eastAsia="Wingdings" w:cs="Wingdings"/>
              </w:rPr>
              <w:t></w:t>
            </w:r>
          </w:p>
        </w:tc>
      </w:tr>
      <w:tr w:rsidR="0064038E" w:rsidRPr="00F07EE7" w14:paraId="311A7A44" w14:textId="77777777">
        <w:trPr>
          <w:gridAfter w:val="1"/>
          <w:wAfter w:w="8" w:type="dxa"/>
          <w:cantSplit/>
        </w:trPr>
        <w:tc>
          <w:tcPr>
            <w:tcW w:w="9624" w:type="dxa"/>
            <w:gridSpan w:val="6"/>
            <w:tcBorders>
              <w:bottom w:val="single" w:sz="4" w:space="0" w:color="BFBFBF"/>
            </w:tcBorders>
          </w:tcPr>
          <w:p w14:paraId="4214C01A" w14:textId="77777777" w:rsidR="0064038E" w:rsidRPr="00DB3CC6" w:rsidRDefault="0064038E">
            <w:pPr>
              <w:pStyle w:val="ARtablenoteindent"/>
            </w:pPr>
            <w:r w:rsidRPr="00DB3CC6">
              <w:t xml:space="preserve">The variance is due to the change in measures for non-mains concessions from </w:t>
            </w:r>
            <w:r>
              <w:t>h</w:t>
            </w:r>
            <w:r w:rsidRPr="00DB3CC6">
              <w:t xml:space="preserve">ouseholds to number of </w:t>
            </w:r>
            <w:r>
              <w:t>c</w:t>
            </w:r>
            <w:r w:rsidRPr="00DB3CC6">
              <w:t>laims. The change is due to limitations of our available data.</w:t>
            </w:r>
          </w:p>
        </w:tc>
      </w:tr>
      <w:tr w:rsidR="0064038E" w:rsidRPr="00F07EE7" w14:paraId="305C9DA4" w14:textId="77777777">
        <w:trPr>
          <w:gridAfter w:val="1"/>
          <w:wAfter w:w="8" w:type="dxa"/>
          <w:cantSplit/>
        </w:trPr>
        <w:tc>
          <w:tcPr>
            <w:tcW w:w="4749" w:type="dxa"/>
            <w:tcBorders>
              <w:top w:val="single" w:sz="4" w:space="0" w:color="BFBFBF"/>
              <w:bottom w:val="single" w:sz="4" w:space="0" w:color="BFBFBF"/>
            </w:tcBorders>
            <w:hideMark/>
          </w:tcPr>
          <w:p w14:paraId="5FD14DDB" w14:textId="77777777" w:rsidR="0064038E" w:rsidRPr="00F07EE7" w:rsidRDefault="0064038E">
            <w:pPr>
              <w:pStyle w:val="ARtabletext"/>
              <w:rPr>
                <w:highlight w:val="cyan"/>
              </w:rPr>
            </w:pPr>
            <w:r w:rsidRPr="005918ED">
              <w:t>Households receiving pensioner concessions for municipal rates and charges</w:t>
            </w:r>
          </w:p>
        </w:tc>
        <w:tc>
          <w:tcPr>
            <w:tcW w:w="1020" w:type="dxa"/>
            <w:tcBorders>
              <w:top w:val="single" w:sz="4" w:space="0" w:color="BFBFBF"/>
              <w:bottom w:val="single" w:sz="4" w:space="0" w:color="BFBFBF"/>
            </w:tcBorders>
            <w:hideMark/>
          </w:tcPr>
          <w:p w14:paraId="7BA4AB83" w14:textId="77777777" w:rsidR="0064038E" w:rsidRPr="00F07EE7" w:rsidRDefault="0064038E">
            <w:pPr>
              <w:pStyle w:val="ARtabletext"/>
              <w:rPr>
                <w:highlight w:val="cyan"/>
              </w:rPr>
            </w:pPr>
            <w:r>
              <w:t>number</w:t>
            </w:r>
          </w:p>
        </w:tc>
        <w:tc>
          <w:tcPr>
            <w:tcW w:w="1019" w:type="dxa"/>
            <w:tcBorders>
              <w:top w:val="single" w:sz="4" w:space="0" w:color="BFBFBF"/>
              <w:bottom w:val="single" w:sz="4" w:space="0" w:color="BFBFBF"/>
            </w:tcBorders>
          </w:tcPr>
          <w:p w14:paraId="7754C270" w14:textId="77777777" w:rsidR="0064038E" w:rsidRPr="00F07EE7" w:rsidRDefault="0064038E">
            <w:pPr>
              <w:pStyle w:val="ARtabletextright"/>
              <w:rPr>
                <w:highlight w:val="cyan"/>
              </w:rPr>
            </w:pPr>
            <w:r w:rsidRPr="005918ED">
              <w:t xml:space="preserve">436,257 </w:t>
            </w:r>
          </w:p>
        </w:tc>
        <w:tc>
          <w:tcPr>
            <w:tcW w:w="1019" w:type="dxa"/>
            <w:tcBorders>
              <w:top w:val="single" w:sz="4" w:space="0" w:color="BFBFBF"/>
              <w:bottom w:val="single" w:sz="4" w:space="0" w:color="BFBFBF"/>
            </w:tcBorders>
          </w:tcPr>
          <w:p w14:paraId="09B43AA7" w14:textId="77777777" w:rsidR="0064038E" w:rsidRPr="00F07EE7" w:rsidRDefault="0064038E">
            <w:pPr>
              <w:pStyle w:val="ARtabletextright"/>
              <w:rPr>
                <w:highlight w:val="cyan"/>
              </w:rPr>
            </w:pPr>
            <w:r w:rsidRPr="005918ED">
              <w:t xml:space="preserve"> 434,703 </w:t>
            </w:r>
          </w:p>
        </w:tc>
        <w:tc>
          <w:tcPr>
            <w:tcW w:w="1022" w:type="dxa"/>
            <w:tcBorders>
              <w:top w:val="single" w:sz="4" w:space="0" w:color="BFBFBF"/>
              <w:bottom w:val="single" w:sz="4" w:space="0" w:color="BFBFBF"/>
            </w:tcBorders>
          </w:tcPr>
          <w:p w14:paraId="623AC4CD" w14:textId="542E42FA" w:rsidR="0064038E" w:rsidRPr="00DB3CC6" w:rsidRDefault="00430898">
            <w:pPr>
              <w:pStyle w:val="ARtabletextright"/>
              <w:jc w:val="center"/>
            </w:pPr>
            <w:r>
              <w:t>−</w:t>
            </w:r>
            <w:r w:rsidR="0064038E" w:rsidRPr="00DB3CC6">
              <w:t>0.4%</w:t>
            </w:r>
          </w:p>
        </w:tc>
        <w:tc>
          <w:tcPr>
            <w:tcW w:w="795" w:type="dxa"/>
            <w:tcBorders>
              <w:top w:val="single" w:sz="4" w:space="0" w:color="BFBFBF"/>
              <w:bottom w:val="single" w:sz="4" w:space="0" w:color="BFBFBF"/>
            </w:tcBorders>
            <w:hideMark/>
          </w:tcPr>
          <w:p w14:paraId="039CC5CB" w14:textId="77777777" w:rsidR="0064038E" w:rsidRPr="00DB3CC6" w:rsidRDefault="0064038E">
            <w:pPr>
              <w:pStyle w:val="ARtableperformancesymbol"/>
              <w:rPr>
                <w:rFonts w:hint="eastAsia"/>
                <w:lang w:val="en-AU"/>
              </w:rPr>
            </w:pPr>
            <w:r w:rsidRPr="00DB3CC6">
              <w:t>□</w:t>
            </w:r>
          </w:p>
        </w:tc>
      </w:tr>
      <w:tr w:rsidR="0064038E" w:rsidRPr="00F07EE7" w14:paraId="29C0114C" w14:textId="77777777">
        <w:trPr>
          <w:gridAfter w:val="1"/>
          <w:wAfter w:w="8" w:type="dxa"/>
          <w:cantSplit/>
        </w:trPr>
        <w:tc>
          <w:tcPr>
            <w:tcW w:w="4749" w:type="dxa"/>
            <w:tcBorders>
              <w:top w:val="single" w:sz="4" w:space="0" w:color="BFBFBF"/>
              <w:bottom w:val="single" w:sz="4" w:space="0" w:color="A6A6A6"/>
            </w:tcBorders>
            <w:hideMark/>
          </w:tcPr>
          <w:p w14:paraId="6C186C73" w14:textId="77777777" w:rsidR="0064038E" w:rsidRPr="00F07EE7" w:rsidRDefault="0064038E">
            <w:pPr>
              <w:pStyle w:val="ARtabletext"/>
              <w:rPr>
                <w:highlight w:val="cyan"/>
              </w:rPr>
            </w:pPr>
            <w:r w:rsidRPr="00FD20FB">
              <w:t>Households receiving water and sewerage concessions</w:t>
            </w:r>
          </w:p>
        </w:tc>
        <w:tc>
          <w:tcPr>
            <w:tcW w:w="1020" w:type="dxa"/>
            <w:tcBorders>
              <w:top w:val="single" w:sz="4" w:space="0" w:color="BFBFBF"/>
              <w:bottom w:val="single" w:sz="4" w:space="0" w:color="A6A6A6"/>
            </w:tcBorders>
            <w:hideMark/>
          </w:tcPr>
          <w:p w14:paraId="000569BF" w14:textId="77777777" w:rsidR="0064038E" w:rsidRPr="00F07EE7" w:rsidRDefault="0064038E">
            <w:pPr>
              <w:pStyle w:val="ARtabletext"/>
              <w:rPr>
                <w:highlight w:val="cyan"/>
              </w:rPr>
            </w:pPr>
            <w:r>
              <w:t>number</w:t>
            </w:r>
          </w:p>
        </w:tc>
        <w:tc>
          <w:tcPr>
            <w:tcW w:w="1019" w:type="dxa"/>
            <w:tcBorders>
              <w:top w:val="single" w:sz="4" w:space="0" w:color="BFBFBF"/>
              <w:bottom w:val="single" w:sz="4" w:space="0" w:color="A6A6A6"/>
            </w:tcBorders>
          </w:tcPr>
          <w:p w14:paraId="6AB68280" w14:textId="77777777" w:rsidR="0064038E" w:rsidRPr="00F07EE7" w:rsidRDefault="0064038E">
            <w:pPr>
              <w:pStyle w:val="ARtabletextright"/>
              <w:rPr>
                <w:highlight w:val="cyan"/>
              </w:rPr>
            </w:pPr>
            <w:r w:rsidRPr="00FD20FB">
              <w:t xml:space="preserve">683,573 </w:t>
            </w:r>
          </w:p>
        </w:tc>
        <w:tc>
          <w:tcPr>
            <w:tcW w:w="1019" w:type="dxa"/>
            <w:tcBorders>
              <w:top w:val="single" w:sz="4" w:space="0" w:color="BFBFBF"/>
              <w:bottom w:val="single" w:sz="4" w:space="0" w:color="A6A6A6"/>
            </w:tcBorders>
          </w:tcPr>
          <w:p w14:paraId="76B95897" w14:textId="77777777" w:rsidR="0064038E" w:rsidRPr="00F07EE7" w:rsidRDefault="0064038E">
            <w:pPr>
              <w:pStyle w:val="ARtabletextright"/>
              <w:rPr>
                <w:highlight w:val="cyan"/>
              </w:rPr>
            </w:pPr>
            <w:r w:rsidRPr="00FD20FB">
              <w:t xml:space="preserve"> 693,040 </w:t>
            </w:r>
          </w:p>
        </w:tc>
        <w:tc>
          <w:tcPr>
            <w:tcW w:w="1022" w:type="dxa"/>
            <w:tcBorders>
              <w:top w:val="single" w:sz="4" w:space="0" w:color="BFBFBF"/>
              <w:bottom w:val="single" w:sz="4" w:space="0" w:color="A6A6A6"/>
            </w:tcBorders>
          </w:tcPr>
          <w:p w14:paraId="3F889CBB" w14:textId="77777777" w:rsidR="0064038E" w:rsidRPr="00DB3CC6" w:rsidRDefault="0064038E">
            <w:pPr>
              <w:pStyle w:val="ARtabletextright"/>
              <w:jc w:val="center"/>
            </w:pPr>
            <w:r w:rsidRPr="00DB3CC6">
              <w:t>1.4%</w:t>
            </w:r>
          </w:p>
        </w:tc>
        <w:tc>
          <w:tcPr>
            <w:tcW w:w="795" w:type="dxa"/>
            <w:tcBorders>
              <w:top w:val="single" w:sz="4" w:space="0" w:color="BFBFBF"/>
              <w:bottom w:val="single" w:sz="4" w:space="0" w:color="A6A6A6"/>
            </w:tcBorders>
            <w:hideMark/>
          </w:tcPr>
          <w:p w14:paraId="76F17FC8" w14:textId="77777777" w:rsidR="0064038E" w:rsidRPr="00DB3CC6" w:rsidRDefault="0064038E">
            <w:pPr>
              <w:pStyle w:val="ARtableperformancesymbol"/>
              <w:rPr>
                <w:rFonts w:hint="eastAsia"/>
                <w:lang w:val="en-AU"/>
              </w:rPr>
            </w:pPr>
            <w:r w:rsidRPr="00DB3CC6">
              <w:rPr>
                <w:rFonts w:eastAsia="Wingdings" w:cs="Wingdings"/>
              </w:rPr>
              <w:t></w:t>
            </w:r>
          </w:p>
        </w:tc>
      </w:tr>
      <w:tr w:rsidR="0064038E" w:rsidRPr="00F07EE7" w14:paraId="57D57C79" w14:textId="77777777">
        <w:trPr>
          <w:gridAfter w:val="1"/>
          <w:wAfter w:w="8" w:type="dxa"/>
          <w:cantSplit/>
        </w:trPr>
        <w:tc>
          <w:tcPr>
            <w:tcW w:w="4749" w:type="dxa"/>
            <w:tcBorders>
              <w:top w:val="single" w:sz="4" w:space="0" w:color="A6A6A6"/>
            </w:tcBorders>
          </w:tcPr>
          <w:p w14:paraId="48644AFA" w14:textId="77777777" w:rsidR="0064038E" w:rsidRPr="00F07EE7" w:rsidRDefault="0064038E">
            <w:pPr>
              <w:pStyle w:val="ARtabletext"/>
              <w:rPr>
                <w:highlight w:val="cyan"/>
              </w:rPr>
            </w:pPr>
            <w:r w:rsidRPr="00253189">
              <w:t>Number of Utility Relief Grants granted to households</w:t>
            </w:r>
          </w:p>
        </w:tc>
        <w:tc>
          <w:tcPr>
            <w:tcW w:w="1020" w:type="dxa"/>
            <w:tcBorders>
              <w:top w:val="single" w:sz="4" w:space="0" w:color="A6A6A6"/>
            </w:tcBorders>
          </w:tcPr>
          <w:p w14:paraId="4A9D45C4" w14:textId="77777777" w:rsidR="0064038E" w:rsidRPr="00F07EE7" w:rsidRDefault="0064038E">
            <w:pPr>
              <w:pStyle w:val="ARtabletext"/>
              <w:rPr>
                <w:highlight w:val="cyan"/>
              </w:rPr>
            </w:pPr>
            <w:r>
              <w:t>number</w:t>
            </w:r>
          </w:p>
        </w:tc>
        <w:tc>
          <w:tcPr>
            <w:tcW w:w="1019" w:type="dxa"/>
            <w:tcBorders>
              <w:top w:val="single" w:sz="4" w:space="0" w:color="A6A6A6"/>
            </w:tcBorders>
          </w:tcPr>
          <w:p w14:paraId="0E8A4E17" w14:textId="77777777" w:rsidR="0064038E" w:rsidRPr="00F07EE7" w:rsidRDefault="0064038E">
            <w:pPr>
              <w:pStyle w:val="ARtabletextright"/>
              <w:rPr>
                <w:highlight w:val="cyan"/>
              </w:rPr>
            </w:pPr>
            <w:r w:rsidRPr="00253189">
              <w:t xml:space="preserve">116,055 </w:t>
            </w:r>
          </w:p>
        </w:tc>
        <w:tc>
          <w:tcPr>
            <w:tcW w:w="1019" w:type="dxa"/>
            <w:tcBorders>
              <w:top w:val="single" w:sz="4" w:space="0" w:color="A6A6A6"/>
            </w:tcBorders>
          </w:tcPr>
          <w:p w14:paraId="6AE292AF" w14:textId="77777777" w:rsidR="0064038E" w:rsidRPr="00F07EE7" w:rsidRDefault="0064038E">
            <w:pPr>
              <w:pStyle w:val="ARtabletextright"/>
              <w:rPr>
                <w:highlight w:val="cyan"/>
              </w:rPr>
            </w:pPr>
            <w:r w:rsidRPr="00253189">
              <w:t xml:space="preserve"> 231,390 </w:t>
            </w:r>
          </w:p>
        </w:tc>
        <w:tc>
          <w:tcPr>
            <w:tcW w:w="1022" w:type="dxa"/>
            <w:tcBorders>
              <w:top w:val="single" w:sz="4" w:space="0" w:color="A6A6A6"/>
            </w:tcBorders>
          </w:tcPr>
          <w:p w14:paraId="1122249C" w14:textId="77777777" w:rsidR="0064038E" w:rsidRPr="00DB3CC6" w:rsidRDefault="0064038E">
            <w:pPr>
              <w:pStyle w:val="ARtabletextright"/>
              <w:jc w:val="center"/>
            </w:pPr>
            <w:r w:rsidRPr="00DB3CC6">
              <w:t>99.4%</w:t>
            </w:r>
          </w:p>
        </w:tc>
        <w:tc>
          <w:tcPr>
            <w:tcW w:w="795" w:type="dxa"/>
            <w:tcBorders>
              <w:top w:val="single" w:sz="4" w:space="0" w:color="A6A6A6"/>
            </w:tcBorders>
          </w:tcPr>
          <w:p w14:paraId="65E330D6" w14:textId="77777777" w:rsidR="0064038E" w:rsidRPr="00DB3CC6" w:rsidRDefault="0064038E">
            <w:pPr>
              <w:pStyle w:val="ARtableperformancesymbol"/>
              <w:rPr>
                <w:rFonts w:eastAsia="Wingdings" w:cs="Wingdings"/>
              </w:rPr>
            </w:pPr>
            <w:r w:rsidRPr="00DB3CC6">
              <w:rPr>
                <w:rFonts w:eastAsia="Wingdings" w:cs="Wingdings"/>
              </w:rPr>
              <w:t></w:t>
            </w:r>
          </w:p>
        </w:tc>
      </w:tr>
      <w:tr w:rsidR="0064038E" w:rsidRPr="00F07EE7" w14:paraId="28E10BDD" w14:textId="77777777">
        <w:trPr>
          <w:gridAfter w:val="1"/>
          <w:wAfter w:w="8" w:type="dxa"/>
          <w:cantSplit/>
        </w:trPr>
        <w:tc>
          <w:tcPr>
            <w:tcW w:w="9624" w:type="dxa"/>
            <w:gridSpan w:val="6"/>
            <w:tcBorders>
              <w:bottom w:val="single" w:sz="4" w:space="0" w:color="BFBFBF"/>
            </w:tcBorders>
          </w:tcPr>
          <w:p w14:paraId="34151C07" w14:textId="77777777" w:rsidR="0064038E" w:rsidRPr="00F07EE7" w:rsidRDefault="0064038E">
            <w:pPr>
              <w:pStyle w:val="ARtablenoteindent"/>
              <w:rPr>
                <w:highlight w:val="cyan"/>
              </w:rPr>
            </w:pPr>
            <w:r w:rsidRPr="00B845DC">
              <w:t>The variance is due to the change in measures for Utility Relief Grants from households to number of claims. The change is due to limitations of our available data.</w:t>
            </w:r>
          </w:p>
        </w:tc>
      </w:tr>
      <w:tr w:rsidR="0064038E" w:rsidRPr="00F07EE7" w14:paraId="09C20902" w14:textId="77777777">
        <w:trPr>
          <w:gridAfter w:val="1"/>
          <w:wAfter w:w="8" w:type="dxa"/>
          <w:cantSplit/>
        </w:trPr>
        <w:tc>
          <w:tcPr>
            <w:tcW w:w="4749" w:type="dxa"/>
            <w:tcBorders>
              <w:top w:val="single" w:sz="4" w:space="0" w:color="A6A6A6"/>
            </w:tcBorders>
          </w:tcPr>
          <w:p w14:paraId="5C90F686" w14:textId="77777777" w:rsidR="0064038E" w:rsidRPr="00047E2D" w:rsidRDefault="0064038E">
            <w:pPr>
              <w:pStyle w:val="ARtabletext"/>
            </w:pPr>
            <w:r w:rsidRPr="00047E2D">
              <w:t>Number of State Trustees clients receiving financial administration services</w:t>
            </w:r>
          </w:p>
        </w:tc>
        <w:tc>
          <w:tcPr>
            <w:tcW w:w="1020" w:type="dxa"/>
            <w:tcBorders>
              <w:top w:val="single" w:sz="4" w:space="0" w:color="A6A6A6"/>
            </w:tcBorders>
          </w:tcPr>
          <w:p w14:paraId="404E5955" w14:textId="77777777" w:rsidR="0064038E" w:rsidRPr="00047E2D" w:rsidRDefault="0064038E">
            <w:pPr>
              <w:pStyle w:val="ARtabletext"/>
            </w:pPr>
            <w:r>
              <w:t>number</w:t>
            </w:r>
          </w:p>
        </w:tc>
        <w:tc>
          <w:tcPr>
            <w:tcW w:w="1019" w:type="dxa"/>
            <w:tcBorders>
              <w:top w:val="single" w:sz="4" w:space="0" w:color="A6A6A6"/>
            </w:tcBorders>
          </w:tcPr>
          <w:p w14:paraId="18C5E5E0" w14:textId="77777777" w:rsidR="0064038E" w:rsidRPr="00047E2D" w:rsidRDefault="0064038E">
            <w:pPr>
              <w:pStyle w:val="ARtabletextright"/>
            </w:pPr>
            <w:r w:rsidRPr="00047E2D">
              <w:t xml:space="preserve">9,000 </w:t>
            </w:r>
          </w:p>
        </w:tc>
        <w:tc>
          <w:tcPr>
            <w:tcW w:w="1019" w:type="dxa"/>
            <w:tcBorders>
              <w:top w:val="single" w:sz="4" w:space="0" w:color="A6A6A6"/>
            </w:tcBorders>
          </w:tcPr>
          <w:p w14:paraId="7B108D9A" w14:textId="58C5C2EB" w:rsidR="0064038E" w:rsidRPr="00047E2D" w:rsidRDefault="00334BA9">
            <w:pPr>
              <w:pStyle w:val="ARtabletextright"/>
            </w:pPr>
            <w:r w:rsidRPr="00A906A4">
              <w:t>9,766</w:t>
            </w:r>
            <w:r w:rsidR="0064038E" w:rsidRPr="00047E2D">
              <w:t xml:space="preserve"> </w:t>
            </w:r>
          </w:p>
        </w:tc>
        <w:tc>
          <w:tcPr>
            <w:tcW w:w="1022" w:type="dxa"/>
            <w:tcBorders>
              <w:top w:val="single" w:sz="4" w:space="0" w:color="A6A6A6"/>
            </w:tcBorders>
          </w:tcPr>
          <w:p w14:paraId="451534DF" w14:textId="024B81E9" w:rsidR="0064038E" w:rsidRPr="00047E2D" w:rsidRDefault="00334BA9">
            <w:pPr>
              <w:pStyle w:val="ARtabletextright"/>
              <w:jc w:val="center"/>
            </w:pPr>
            <w:r w:rsidRPr="00A906A4">
              <w:t>8.5</w:t>
            </w:r>
            <w:r w:rsidR="0064038E" w:rsidRPr="00A906A4">
              <w:t>%</w:t>
            </w:r>
          </w:p>
        </w:tc>
        <w:tc>
          <w:tcPr>
            <w:tcW w:w="795" w:type="dxa"/>
            <w:tcBorders>
              <w:top w:val="single" w:sz="4" w:space="0" w:color="A6A6A6"/>
            </w:tcBorders>
          </w:tcPr>
          <w:p w14:paraId="599A2674" w14:textId="77777777" w:rsidR="0064038E" w:rsidRPr="00047E2D" w:rsidRDefault="0064038E">
            <w:pPr>
              <w:pStyle w:val="ARtableperformancesymbol"/>
              <w:rPr>
                <w:rFonts w:eastAsia="Wingdings" w:cs="Wingdings"/>
              </w:rPr>
            </w:pPr>
            <w:r w:rsidRPr="00047E2D">
              <w:rPr>
                <w:rFonts w:eastAsia="Wingdings" w:cs="Wingdings"/>
              </w:rPr>
              <w:t></w:t>
            </w:r>
          </w:p>
        </w:tc>
      </w:tr>
      <w:tr w:rsidR="0064038E" w:rsidRPr="00F07EE7" w14:paraId="003E5160" w14:textId="77777777">
        <w:trPr>
          <w:gridAfter w:val="1"/>
          <w:wAfter w:w="8" w:type="dxa"/>
          <w:cantSplit/>
        </w:trPr>
        <w:tc>
          <w:tcPr>
            <w:tcW w:w="9624" w:type="dxa"/>
            <w:gridSpan w:val="6"/>
            <w:tcBorders>
              <w:bottom w:val="single" w:sz="4" w:space="0" w:color="BFBFBF"/>
            </w:tcBorders>
          </w:tcPr>
          <w:p w14:paraId="73E05589" w14:textId="3E4A3BE1" w:rsidR="0064038E" w:rsidRPr="00130336" w:rsidRDefault="00073C87" w:rsidP="00130336">
            <w:pPr>
              <w:pStyle w:val="ARtablenoteindent"/>
              <w:rPr>
                <w:highlight w:val="cyan"/>
              </w:rPr>
            </w:pPr>
            <w:r w:rsidRPr="00A906A4">
              <w:t>The 2024</w:t>
            </w:r>
            <w:r w:rsidR="005C1105" w:rsidRPr="00A906A4">
              <w:t>–</w:t>
            </w:r>
            <w:r w:rsidRPr="00A906A4">
              <w:t>25 actual figure is higher than the 2024</w:t>
            </w:r>
            <w:r w:rsidR="005C1105" w:rsidRPr="00A906A4">
              <w:t>–</w:t>
            </w:r>
            <w:r w:rsidRPr="00A906A4">
              <w:t>25 target as the total number of Financial Administration client supported throughout the year increased and includes clients on hand, new clients entering the service, and clients who have left the service during the 2024</w:t>
            </w:r>
            <w:r w:rsidR="00DD4949">
              <w:t>–</w:t>
            </w:r>
            <w:r w:rsidRPr="00A906A4">
              <w:t>25 financial year.</w:t>
            </w:r>
          </w:p>
        </w:tc>
      </w:tr>
      <w:tr w:rsidR="0064038E" w:rsidRPr="00F15627" w14:paraId="187781D3" w14:textId="77777777" w:rsidTr="006C102A">
        <w:trPr>
          <w:cantSplit/>
        </w:trPr>
        <w:tc>
          <w:tcPr>
            <w:tcW w:w="9632" w:type="dxa"/>
            <w:gridSpan w:val="7"/>
            <w:tcBorders>
              <w:top w:val="single" w:sz="4" w:space="0" w:color="auto"/>
              <w:left w:val="nil"/>
              <w:bottom w:val="single" w:sz="4" w:space="0" w:color="A6A6A6" w:themeColor="accent5"/>
              <w:right w:val="nil"/>
            </w:tcBorders>
            <w:hideMark/>
          </w:tcPr>
          <w:p w14:paraId="71C472DD" w14:textId="77777777" w:rsidR="0064038E" w:rsidRPr="00F15627" w:rsidRDefault="0064038E">
            <w:pPr>
              <w:pStyle w:val="ARtablegreybold"/>
            </w:pPr>
            <w:r w:rsidRPr="00F15627">
              <w:t>Quality</w:t>
            </w:r>
          </w:p>
        </w:tc>
      </w:tr>
      <w:tr w:rsidR="0064038E" w:rsidRPr="00F07EE7" w14:paraId="3979F229" w14:textId="77777777" w:rsidTr="006C102A">
        <w:trPr>
          <w:gridAfter w:val="1"/>
          <w:wAfter w:w="8" w:type="dxa"/>
          <w:cantSplit/>
        </w:trPr>
        <w:tc>
          <w:tcPr>
            <w:tcW w:w="4749" w:type="dxa"/>
            <w:tcBorders>
              <w:top w:val="single" w:sz="4" w:space="0" w:color="A6A6A6" w:themeColor="accent5"/>
            </w:tcBorders>
            <w:hideMark/>
          </w:tcPr>
          <w:p w14:paraId="3BBC2EFB" w14:textId="0B8EC64D" w:rsidR="0064038E" w:rsidRPr="00F07EE7" w:rsidRDefault="0064038E">
            <w:pPr>
              <w:pStyle w:val="ARtabletext"/>
              <w:rPr>
                <w:highlight w:val="cyan"/>
              </w:rPr>
            </w:pPr>
            <w:r w:rsidRPr="008D1E42">
              <w:t>State Trustees client experience index (client satisfaction</w:t>
            </w:r>
            <w:r w:rsidR="003863AD">
              <w:t> </w:t>
            </w:r>
            <w:r w:rsidRPr="008D1E42">
              <w:t>measure)</w:t>
            </w:r>
          </w:p>
        </w:tc>
        <w:tc>
          <w:tcPr>
            <w:tcW w:w="1020" w:type="dxa"/>
            <w:tcBorders>
              <w:top w:val="single" w:sz="4" w:space="0" w:color="A6A6A6" w:themeColor="accent5"/>
            </w:tcBorders>
            <w:hideMark/>
          </w:tcPr>
          <w:p w14:paraId="3D6316EB" w14:textId="77777777" w:rsidR="0064038E" w:rsidRPr="00F07EE7" w:rsidRDefault="0064038E">
            <w:pPr>
              <w:pStyle w:val="ARtabletext"/>
              <w:rPr>
                <w:highlight w:val="cyan"/>
              </w:rPr>
            </w:pPr>
            <w:r w:rsidRPr="009B5071">
              <w:t>per cent</w:t>
            </w:r>
          </w:p>
        </w:tc>
        <w:tc>
          <w:tcPr>
            <w:tcW w:w="1019" w:type="dxa"/>
            <w:tcBorders>
              <w:top w:val="single" w:sz="4" w:space="0" w:color="A6A6A6" w:themeColor="accent5"/>
            </w:tcBorders>
          </w:tcPr>
          <w:p w14:paraId="1D731701" w14:textId="32B368FB" w:rsidR="0064038E" w:rsidRPr="00F07EE7" w:rsidRDefault="0064038E">
            <w:pPr>
              <w:pStyle w:val="ARtabletextright"/>
              <w:rPr>
                <w:highlight w:val="cyan"/>
              </w:rPr>
            </w:pPr>
            <w:r w:rsidRPr="008D1E42">
              <w:t xml:space="preserve">80 </w:t>
            </w:r>
          </w:p>
        </w:tc>
        <w:tc>
          <w:tcPr>
            <w:tcW w:w="1019" w:type="dxa"/>
            <w:tcBorders>
              <w:top w:val="single" w:sz="4" w:space="0" w:color="A6A6A6" w:themeColor="accent5"/>
            </w:tcBorders>
          </w:tcPr>
          <w:p w14:paraId="63464ED6" w14:textId="27CF4000" w:rsidR="0064038E" w:rsidRPr="00A906A4" w:rsidRDefault="0064038E">
            <w:pPr>
              <w:pStyle w:val="ARtabletextright"/>
            </w:pPr>
            <w:r w:rsidRPr="00A906A4">
              <w:t>8</w:t>
            </w:r>
            <w:r w:rsidR="00861A6E" w:rsidRPr="00A906A4">
              <w:t>1</w:t>
            </w:r>
            <w:r w:rsidRPr="00A906A4">
              <w:t xml:space="preserve"> </w:t>
            </w:r>
          </w:p>
        </w:tc>
        <w:tc>
          <w:tcPr>
            <w:tcW w:w="1022" w:type="dxa"/>
            <w:tcBorders>
              <w:top w:val="single" w:sz="4" w:space="0" w:color="A6A6A6" w:themeColor="accent5"/>
            </w:tcBorders>
          </w:tcPr>
          <w:p w14:paraId="1B4B60E7" w14:textId="4CCD1C65" w:rsidR="0064038E" w:rsidRPr="00A906A4" w:rsidRDefault="009613C9">
            <w:pPr>
              <w:pStyle w:val="ARtabletextright"/>
              <w:jc w:val="center"/>
            </w:pPr>
            <w:r w:rsidRPr="00A906A4">
              <w:t>1</w:t>
            </w:r>
            <w:r w:rsidR="0064038E" w:rsidRPr="00A906A4">
              <w:t>.</w:t>
            </w:r>
            <w:r w:rsidRPr="00A906A4">
              <w:t>3</w:t>
            </w:r>
            <w:r w:rsidR="0064038E" w:rsidRPr="00A906A4">
              <w:t>%</w:t>
            </w:r>
          </w:p>
        </w:tc>
        <w:tc>
          <w:tcPr>
            <w:tcW w:w="795" w:type="dxa"/>
            <w:tcBorders>
              <w:top w:val="single" w:sz="4" w:space="0" w:color="A6A6A6" w:themeColor="accent5"/>
            </w:tcBorders>
            <w:hideMark/>
          </w:tcPr>
          <w:p w14:paraId="35D14CBE" w14:textId="77777777" w:rsidR="0064038E" w:rsidRPr="00A906A4" w:rsidRDefault="0064038E">
            <w:pPr>
              <w:pStyle w:val="ARtableperformancesymbol"/>
              <w:rPr>
                <w:rFonts w:hint="eastAsia"/>
                <w:lang w:val="en-AU"/>
              </w:rPr>
            </w:pPr>
            <w:r w:rsidRPr="00A906A4">
              <w:rPr>
                <w:rFonts w:eastAsia="Wingdings" w:cs="Wingdings"/>
              </w:rPr>
              <w:t></w:t>
            </w:r>
          </w:p>
        </w:tc>
      </w:tr>
      <w:tr w:rsidR="0064038E" w:rsidRPr="00F15627" w14:paraId="41C0405C" w14:textId="77777777" w:rsidTr="006C102A">
        <w:trPr>
          <w:cantSplit/>
        </w:trPr>
        <w:tc>
          <w:tcPr>
            <w:tcW w:w="9632" w:type="dxa"/>
            <w:gridSpan w:val="7"/>
            <w:tcBorders>
              <w:top w:val="single" w:sz="4" w:space="0" w:color="auto"/>
              <w:left w:val="nil"/>
              <w:bottom w:val="single" w:sz="4" w:space="0" w:color="A6A6A6" w:themeColor="accent5"/>
              <w:right w:val="nil"/>
            </w:tcBorders>
            <w:hideMark/>
          </w:tcPr>
          <w:p w14:paraId="057056D8" w14:textId="77777777" w:rsidR="0064038E" w:rsidRPr="00F15627" w:rsidRDefault="0064038E">
            <w:pPr>
              <w:pStyle w:val="ARtablegreybold"/>
            </w:pPr>
            <w:r w:rsidRPr="00F15627">
              <w:t>Timeliness</w:t>
            </w:r>
          </w:p>
        </w:tc>
      </w:tr>
      <w:tr w:rsidR="0064038E" w:rsidRPr="009B5071" w14:paraId="43EF3417" w14:textId="77777777" w:rsidTr="006C102A">
        <w:trPr>
          <w:gridAfter w:val="1"/>
          <w:wAfter w:w="8" w:type="dxa"/>
          <w:cantSplit/>
        </w:trPr>
        <w:tc>
          <w:tcPr>
            <w:tcW w:w="4749" w:type="dxa"/>
            <w:tcBorders>
              <w:top w:val="single" w:sz="4" w:space="0" w:color="A6A6A6" w:themeColor="accent5"/>
            </w:tcBorders>
            <w:hideMark/>
          </w:tcPr>
          <w:p w14:paraId="0771E37D" w14:textId="41306D3A" w:rsidR="0064038E" w:rsidRPr="009B5071" w:rsidRDefault="0064038E">
            <w:pPr>
              <w:pStyle w:val="ARtabletext"/>
            </w:pPr>
            <w:r w:rsidRPr="009B5071">
              <w:t>Percentage of State Trustees clients onboarded within 45</w:t>
            </w:r>
            <w:r w:rsidR="003863AD">
              <w:t> </w:t>
            </w:r>
            <w:r w:rsidRPr="009B5071">
              <w:t>days</w:t>
            </w:r>
          </w:p>
        </w:tc>
        <w:tc>
          <w:tcPr>
            <w:tcW w:w="1020" w:type="dxa"/>
            <w:tcBorders>
              <w:top w:val="single" w:sz="4" w:space="0" w:color="A6A6A6" w:themeColor="accent5"/>
            </w:tcBorders>
            <w:hideMark/>
          </w:tcPr>
          <w:p w14:paraId="3730F2A0" w14:textId="77777777" w:rsidR="0064038E" w:rsidRPr="009B5071" w:rsidRDefault="0064038E">
            <w:pPr>
              <w:pStyle w:val="ARtabletext"/>
            </w:pPr>
            <w:r w:rsidRPr="009B5071">
              <w:t>per cent</w:t>
            </w:r>
          </w:p>
        </w:tc>
        <w:tc>
          <w:tcPr>
            <w:tcW w:w="1019" w:type="dxa"/>
            <w:tcBorders>
              <w:top w:val="single" w:sz="4" w:space="0" w:color="A6A6A6" w:themeColor="accent5"/>
            </w:tcBorders>
          </w:tcPr>
          <w:p w14:paraId="6BD8B126" w14:textId="77777777" w:rsidR="0064038E" w:rsidRPr="009B5071" w:rsidRDefault="0064038E">
            <w:pPr>
              <w:pStyle w:val="ARtabletextright"/>
            </w:pPr>
            <w:r w:rsidRPr="009B5071">
              <w:t>90.0</w:t>
            </w:r>
          </w:p>
        </w:tc>
        <w:tc>
          <w:tcPr>
            <w:tcW w:w="1019" w:type="dxa"/>
            <w:tcBorders>
              <w:top w:val="single" w:sz="4" w:space="0" w:color="A6A6A6" w:themeColor="accent5"/>
            </w:tcBorders>
          </w:tcPr>
          <w:p w14:paraId="7310F484" w14:textId="2A57B8EF" w:rsidR="0064038E" w:rsidRPr="00A906A4" w:rsidRDefault="0064038E">
            <w:pPr>
              <w:pStyle w:val="ARtabletextright"/>
            </w:pPr>
            <w:r w:rsidRPr="00A906A4">
              <w:t>9</w:t>
            </w:r>
            <w:r w:rsidR="00874C15" w:rsidRPr="00A906A4">
              <w:t>5</w:t>
            </w:r>
            <w:r w:rsidRPr="00A906A4">
              <w:t>.0</w:t>
            </w:r>
          </w:p>
        </w:tc>
        <w:tc>
          <w:tcPr>
            <w:tcW w:w="1022" w:type="dxa"/>
            <w:tcBorders>
              <w:top w:val="single" w:sz="4" w:space="0" w:color="A6A6A6" w:themeColor="accent5"/>
            </w:tcBorders>
          </w:tcPr>
          <w:p w14:paraId="6C815394" w14:textId="6CC5DCA5" w:rsidR="0064038E" w:rsidRPr="00A906A4" w:rsidRDefault="00874C15">
            <w:pPr>
              <w:pStyle w:val="ARtabletextright"/>
              <w:jc w:val="center"/>
            </w:pPr>
            <w:r w:rsidRPr="00A906A4">
              <w:t>5.6</w:t>
            </w:r>
            <w:r w:rsidR="0064038E" w:rsidRPr="00A906A4">
              <w:t>%</w:t>
            </w:r>
          </w:p>
        </w:tc>
        <w:tc>
          <w:tcPr>
            <w:tcW w:w="795" w:type="dxa"/>
            <w:tcBorders>
              <w:top w:val="single" w:sz="4" w:space="0" w:color="A6A6A6" w:themeColor="accent5"/>
            </w:tcBorders>
            <w:hideMark/>
          </w:tcPr>
          <w:p w14:paraId="387036B3" w14:textId="77777777" w:rsidR="0064038E" w:rsidRPr="009B5071" w:rsidRDefault="0064038E">
            <w:pPr>
              <w:pStyle w:val="ARtableperformancesymbol"/>
              <w:rPr>
                <w:rFonts w:hint="eastAsia"/>
                <w:lang w:val="en-AU"/>
              </w:rPr>
            </w:pPr>
            <w:r w:rsidRPr="00A906A4">
              <w:rPr>
                <w:rFonts w:eastAsia="Wingdings" w:cs="Wingdings"/>
              </w:rPr>
              <w:t></w:t>
            </w:r>
          </w:p>
        </w:tc>
      </w:tr>
      <w:tr w:rsidR="0064038E" w:rsidRPr="00F07EE7" w14:paraId="15007C6B" w14:textId="77777777" w:rsidTr="00026B51">
        <w:trPr>
          <w:cantSplit/>
        </w:trPr>
        <w:tc>
          <w:tcPr>
            <w:tcW w:w="9632" w:type="dxa"/>
            <w:gridSpan w:val="7"/>
            <w:tcBorders>
              <w:bottom w:val="single" w:sz="4" w:space="0" w:color="auto"/>
            </w:tcBorders>
            <w:noWrap/>
            <w:hideMark/>
          </w:tcPr>
          <w:p w14:paraId="4AAE1FA3" w14:textId="0F977184" w:rsidR="0064038E" w:rsidRPr="00F07EE7" w:rsidRDefault="00FC34CD" w:rsidP="00130336">
            <w:pPr>
              <w:pStyle w:val="ARtablenoteindent"/>
              <w:rPr>
                <w:highlight w:val="cyan"/>
              </w:rPr>
            </w:pPr>
            <w:r w:rsidRPr="00A906A4">
              <w:t>New client visits enable State Trustees Limited to ensure client's budgets, financial and legal circumstances are well understood and presents the first opportunity to enable conversations on clients will and preferences. Ongoing system improvements continue to uplift State Trustees performance.</w:t>
            </w:r>
          </w:p>
        </w:tc>
      </w:tr>
      <w:tr w:rsidR="0064038E" w:rsidRPr="00F15627" w14:paraId="198FFFC5" w14:textId="77777777" w:rsidTr="00026B51">
        <w:trPr>
          <w:cantSplit/>
        </w:trPr>
        <w:tc>
          <w:tcPr>
            <w:tcW w:w="9632" w:type="dxa"/>
            <w:gridSpan w:val="7"/>
            <w:tcBorders>
              <w:top w:val="single" w:sz="4" w:space="0" w:color="auto"/>
              <w:left w:val="nil"/>
              <w:bottom w:val="single" w:sz="4" w:space="0" w:color="000000" w:themeColor="text1"/>
              <w:right w:val="nil"/>
            </w:tcBorders>
            <w:hideMark/>
          </w:tcPr>
          <w:p w14:paraId="4EB1E44B" w14:textId="77777777" w:rsidR="0064038E" w:rsidRPr="00F15627" w:rsidRDefault="0064038E">
            <w:pPr>
              <w:pStyle w:val="ARtablegreybold"/>
            </w:pPr>
            <w:r w:rsidRPr="00F15627">
              <w:t>Cost</w:t>
            </w:r>
          </w:p>
        </w:tc>
      </w:tr>
      <w:tr w:rsidR="0064038E" w:rsidRPr="009B5071" w14:paraId="5A30AEFC" w14:textId="77777777" w:rsidTr="00026B51">
        <w:trPr>
          <w:cantSplit/>
        </w:trPr>
        <w:tc>
          <w:tcPr>
            <w:tcW w:w="4749" w:type="dxa"/>
            <w:tcBorders>
              <w:top w:val="single" w:sz="4" w:space="0" w:color="000000" w:themeColor="text1"/>
            </w:tcBorders>
            <w:hideMark/>
          </w:tcPr>
          <w:p w14:paraId="4453D8F8" w14:textId="77777777" w:rsidR="0064038E" w:rsidRPr="009B5071" w:rsidRDefault="0064038E">
            <w:pPr>
              <w:pStyle w:val="ARtabletextbold"/>
            </w:pPr>
            <w:r w:rsidRPr="009B5071">
              <w:t>Total output cost</w:t>
            </w:r>
          </w:p>
        </w:tc>
        <w:tc>
          <w:tcPr>
            <w:tcW w:w="1020" w:type="dxa"/>
            <w:tcBorders>
              <w:top w:val="single" w:sz="4" w:space="0" w:color="000000" w:themeColor="text1"/>
            </w:tcBorders>
            <w:hideMark/>
          </w:tcPr>
          <w:p w14:paraId="5FB788F8" w14:textId="77777777" w:rsidR="0064038E" w:rsidRPr="009B5071" w:rsidRDefault="0064038E">
            <w:pPr>
              <w:pStyle w:val="ARtabletext"/>
              <w:rPr>
                <w:b/>
              </w:rPr>
            </w:pPr>
            <w:r w:rsidRPr="009B5071">
              <w:rPr>
                <w:b/>
              </w:rPr>
              <w:t>$ million</w:t>
            </w:r>
          </w:p>
        </w:tc>
        <w:tc>
          <w:tcPr>
            <w:tcW w:w="1019" w:type="dxa"/>
            <w:tcBorders>
              <w:top w:val="single" w:sz="4" w:space="0" w:color="000000" w:themeColor="text1"/>
            </w:tcBorders>
          </w:tcPr>
          <w:p w14:paraId="1F0E7AFF" w14:textId="77777777" w:rsidR="0064038E" w:rsidRPr="009B5071" w:rsidRDefault="0064038E">
            <w:pPr>
              <w:pStyle w:val="ARtabletextrightbold"/>
            </w:pPr>
            <w:r w:rsidRPr="009B5071">
              <w:t>784.4</w:t>
            </w:r>
          </w:p>
        </w:tc>
        <w:tc>
          <w:tcPr>
            <w:tcW w:w="1019" w:type="dxa"/>
            <w:tcBorders>
              <w:top w:val="single" w:sz="4" w:space="0" w:color="000000" w:themeColor="text1"/>
            </w:tcBorders>
          </w:tcPr>
          <w:p w14:paraId="09914781" w14:textId="77777777" w:rsidR="0064038E" w:rsidRPr="009B5071" w:rsidRDefault="0064038E">
            <w:pPr>
              <w:pStyle w:val="ARtabletextrightbold"/>
            </w:pPr>
            <w:r w:rsidRPr="009B5071">
              <w:t>1,536.9</w:t>
            </w:r>
          </w:p>
        </w:tc>
        <w:tc>
          <w:tcPr>
            <w:tcW w:w="1022" w:type="dxa"/>
            <w:tcBorders>
              <w:top w:val="single" w:sz="4" w:space="0" w:color="000000" w:themeColor="text1"/>
            </w:tcBorders>
          </w:tcPr>
          <w:p w14:paraId="2570E28D" w14:textId="3AAC8D77" w:rsidR="0064038E" w:rsidRPr="009B5071" w:rsidRDefault="0064038E">
            <w:pPr>
              <w:pStyle w:val="ARtabletextrightbold"/>
              <w:jc w:val="center"/>
            </w:pPr>
            <w:r w:rsidRPr="009B5071">
              <w:t>95.9%</w:t>
            </w:r>
          </w:p>
        </w:tc>
        <w:tc>
          <w:tcPr>
            <w:tcW w:w="803" w:type="dxa"/>
            <w:gridSpan w:val="2"/>
            <w:tcBorders>
              <w:top w:val="single" w:sz="4" w:space="0" w:color="000000" w:themeColor="text1"/>
            </w:tcBorders>
          </w:tcPr>
          <w:p w14:paraId="76B00805" w14:textId="77777777" w:rsidR="0064038E" w:rsidRPr="009B5071" w:rsidRDefault="0064038E">
            <w:pPr>
              <w:pStyle w:val="ARtableperformancesymbol"/>
              <w:rPr>
                <w:rFonts w:hint="eastAsia"/>
                <w:b/>
              </w:rPr>
            </w:pPr>
            <w:r w:rsidRPr="009B5071">
              <w:rPr>
                <w:rFonts w:eastAsia="Wingdings" w:cs="Wingdings"/>
              </w:rPr>
              <w:t></w:t>
            </w:r>
          </w:p>
        </w:tc>
      </w:tr>
      <w:tr w:rsidR="0064038E" w:rsidRPr="00532DAE" w14:paraId="1663A1A2" w14:textId="77777777">
        <w:trPr>
          <w:cantSplit/>
        </w:trPr>
        <w:tc>
          <w:tcPr>
            <w:tcW w:w="9632" w:type="dxa"/>
            <w:gridSpan w:val="7"/>
            <w:tcBorders>
              <w:bottom w:val="single" w:sz="2" w:space="0" w:color="000000" w:themeColor="text1"/>
            </w:tcBorders>
            <w:noWrap/>
            <w:hideMark/>
          </w:tcPr>
          <w:p w14:paraId="18B5ED77" w14:textId="77777777" w:rsidR="0064038E" w:rsidRPr="00532DAE" w:rsidRDefault="0064038E" w:rsidP="00130336">
            <w:pPr>
              <w:pStyle w:val="ARtablenoteindent"/>
            </w:pPr>
            <w:r w:rsidRPr="009B5071">
              <w:t xml:space="preserve">The higher actual is due to the Commonwealth National </w:t>
            </w:r>
            <w:r w:rsidRPr="00130336">
              <w:t>Partnership</w:t>
            </w:r>
            <w:r w:rsidRPr="009B5071">
              <w:t xml:space="preserve"> Energy Bill Relief Fund expenditure, which is not included in the target.</w:t>
            </w:r>
          </w:p>
        </w:tc>
      </w:tr>
    </w:tbl>
    <w:p w14:paraId="53B06BFD" w14:textId="77777777" w:rsidR="00130336" w:rsidRPr="00130336" w:rsidRDefault="00130336" w:rsidP="00130336">
      <w:pPr>
        <w:pStyle w:val="ARbody"/>
      </w:pPr>
      <w:r>
        <w:br w:type="page"/>
      </w:r>
    </w:p>
    <w:p w14:paraId="3935BB19" w14:textId="6FA62398" w:rsidR="0064038E" w:rsidRPr="00833CFE" w:rsidRDefault="0064038E">
      <w:pPr>
        <w:pStyle w:val="Heading3"/>
      </w:pPr>
      <w:r w:rsidRPr="00833CFE">
        <w:lastRenderedPageBreak/>
        <w:t>Housing assistance</w:t>
      </w:r>
    </w:p>
    <w:p w14:paraId="5D577BEE" w14:textId="34D3FDCB" w:rsidR="0064038E" w:rsidRPr="00F369A5" w:rsidRDefault="0064038E">
      <w:pPr>
        <w:pStyle w:val="ARbody"/>
      </w:pPr>
      <w:r>
        <w:t>This output ensures more Victorians have a place to call home. It provides services and support across the housing continuum. This includes homelessness services, transitional accommodation and wrap-around services and social and affordable housing.</w:t>
      </w:r>
    </w:p>
    <w:tbl>
      <w:tblPr>
        <w:tblW w:w="5000" w:type="pct"/>
        <w:tblBorders>
          <w:top w:val="single" w:sz="4" w:space="0" w:color="auto"/>
          <w:bottom w:val="single" w:sz="4" w:space="0" w:color="auto"/>
        </w:tblBorders>
        <w:tblLayout w:type="fixed"/>
        <w:tblCellMar>
          <w:left w:w="0" w:type="dxa"/>
        </w:tblCellMar>
        <w:tblLook w:val="06A0" w:firstRow="1" w:lastRow="0" w:firstColumn="1" w:lastColumn="0" w:noHBand="1" w:noVBand="1"/>
      </w:tblPr>
      <w:tblGrid>
        <w:gridCol w:w="4745"/>
        <w:gridCol w:w="1019"/>
        <w:gridCol w:w="1018"/>
        <w:gridCol w:w="1018"/>
        <w:gridCol w:w="1023"/>
        <w:gridCol w:w="809"/>
      </w:tblGrid>
      <w:tr w:rsidR="0064038E" w:rsidRPr="00F07EE7" w14:paraId="5685FABD" w14:textId="77777777" w:rsidTr="006C102A">
        <w:trPr>
          <w:cantSplit/>
          <w:tblHeader/>
        </w:trPr>
        <w:tc>
          <w:tcPr>
            <w:tcW w:w="4745" w:type="dxa"/>
            <w:tcBorders>
              <w:top w:val="nil"/>
              <w:bottom w:val="single" w:sz="4" w:space="0" w:color="auto"/>
            </w:tcBorders>
            <w:vAlign w:val="bottom"/>
            <w:hideMark/>
          </w:tcPr>
          <w:p w14:paraId="003A4F1A" w14:textId="77777777" w:rsidR="0064038E" w:rsidRPr="00F07EE7" w:rsidRDefault="0064038E">
            <w:pPr>
              <w:pStyle w:val="ARtablecolhead"/>
              <w:rPr>
                <w:highlight w:val="cyan"/>
              </w:rPr>
            </w:pPr>
            <w:r w:rsidRPr="009064E0">
              <w:t>Performance measures</w:t>
            </w:r>
          </w:p>
        </w:tc>
        <w:tc>
          <w:tcPr>
            <w:tcW w:w="1019" w:type="dxa"/>
            <w:tcBorders>
              <w:top w:val="nil"/>
              <w:bottom w:val="single" w:sz="4" w:space="0" w:color="auto"/>
            </w:tcBorders>
            <w:vAlign w:val="bottom"/>
            <w:hideMark/>
          </w:tcPr>
          <w:p w14:paraId="57F952AA" w14:textId="77777777" w:rsidR="0064038E" w:rsidRPr="00F07EE7" w:rsidRDefault="0064038E">
            <w:pPr>
              <w:pStyle w:val="ARtablecolhead"/>
              <w:rPr>
                <w:highlight w:val="cyan"/>
              </w:rPr>
            </w:pPr>
            <w:r w:rsidRPr="009064E0">
              <w:t>Unit of measure</w:t>
            </w:r>
          </w:p>
        </w:tc>
        <w:tc>
          <w:tcPr>
            <w:tcW w:w="1018" w:type="dxa"/>
            <w:tcBorders>
              <w:top w:val="nil"/>
              <w:bottom w:val="single" w:sz="4" w:space="0" w:color="auto"/>
            </w:tcBorders>
            <w:vAlign w:val="bottom"/>
            <w:hideMark/>
          </w:tcPr>
          <w:p w14:paraId="12E522C5" w14:textId="77777777" w:rsidR="0064038E" w:rsidRPr="00F07EE7" w:rsidRDefault="0064038E">
            <w:pPr>
              <w:pStyle w:val="ARtablecolheadright"/>
              <w:rPr>
                <w:highlight w:val="cyan"/>
              </w:rPr>
            </w:pPr>
            <w:r w:rsidRPr="009064E0">
              <w:t>2024–25 target</w:t>
            </w:r>
          </w:p>
        </w:tc>
        <w:tc>
          <w:tcPr>
            <w:tcW w:w="1018" w:type="dxa"/>
            <w:tcBorders>
              <w:top w:val="nil"/>
              <w:bottom w:val="single" w:sz="4" w:space="0" w:color="auto"/>
            </w:tcBorders>
            <w:vAlign w:val="bottom"/>
            <w:hideMark/>
          </w:tcPr>
          <w:p w14:paraId="7B73ADB7" w14:textId="77777777" w:rsidR="0064038E" w:rsidRPr="00F07EE7" w:rsidRDefault="0064038E">
            <w:pPr>
              <w:pStyle w:val="ARtablecolheadright"/>
              <w:rPr>
                <w:highlight w:val="cyan"/>
              </w:rPr>
            </w:pPr>
            <w:r w:rsidRPr="009064E0">
              <w:t>2024–25 actual</w:t>
            </w:r>
          </w:p>
        </w:tc>
        <w:tc>
          <w:tcPr>
            <w:tcW w:w="1023" w:type="dxa"/>
            <w:tcBorders>
              <w:top w:val="nil"/>
              <w:bottom w:val="single" w:sz="4" w:space="0" w:color="auto"/>
            </w:tcBorders>
            <w:vAlign w:val="bottom"/>
            <w:hideMark/>
          </w:tcPr>
          <w:p w14:paraId="1FDC30A1" w14:textId="77777777" w:rsidR="0064038E" w:rsidRPr="00F07EE7" w:rsidRDefault="0064038E">
            <w:pPr>
              <w:pStyle w:val="ARtablecolheadright"/>
              <w:rPr>
                <w:highlight w:val="cyan"/>
              </w:rPr>
            </w:pPr>
            <w:r w:rsidRPr="009064E0">
              <w:t xml:space="preserve">Variation </w:t>
            </w:r>
          </w:p>
        </w:tc>
        <w:tc>
          <w:tcPr>
            <w:tcW w:w="809" w:type="dxa"/>
            <w:tcBorders>
              <w:top w:val="nil"/>
              <w:bottom w:val="single" w:sz="4" w:space="0" w:color="auto"/>
            </w:tcBorders>
            <w:vAlign w:val="bottom"/>
            <w:hideMark/>
          </w:tcPr>
          <w:p w14:paraId="5D4260BC" w14:textId="77777777" w:rsidR="0064038E" w:rsidRPr="00F07EE7" w:rsidRDefault="0064038E">
            <w:pPr>
              <w:pStyle w:val="ARtablecolheadright"/>
              <w:rPr>
                <w:highlight w:val="cyan"/>
              </w:rPr>
            </w:pPr>
            <w:r w:rsidRPr="009064E0">
              <w:t>Result</w:t>
            </w:r>
          </w:p>
        </w:tc>
      </w:tr>
      <w:tr w:rsidR="0064038E" w:rsidRPr="00F07EE7" w14:paraId="789ED549" w14:textId="77777777" w:rsidTr="006C102A">
        <w:trPr>
          <w:cantSplit/>
        </w:trPr>
        <w:tc>
          <w:tcPr>
            <w:tcW w:w="9632" w:type="dxa"/>
            <w:gridSpan w:val="6"/>
            <w:tcBorders>
              <w:top w:val="single" w:sz="4" w:space="0" w:color="auto"/>
              <w:bottom w:val="single" w:sz="4" w:space="0" w:color="A6A6A6" w:themeColor="accent5"/>
            </w:tcBorders>
            <w:hideMark/>
          </w:tcPr>
          <w:p w14:paraId="6CF11AD2" w14:textId="77777777" w:rsidR="0064038E" w:rsidRPr="00EB1076" w:rsidRDefault="0064038E">
            <w:pPr>
              <w:pStyle w:val="ARtablegreybold"/>
            </w:pPr>
            <w:r w:rsidRPr="00EB1076">
              <w:t>Quantity</w:t>
            </w:r>
          </w:p>
        </w:tc>
      </w:tr>
      <w:tr w:rsidR="0064038E" w:rsidRPr="00F07EE7" w14:paraId="7DA48C56" w14:textId="77777777" w:rsidTr="00452C63">
        <w:trPr>
          <w:cantSplit/>
        </w:trPr>
        <w:tc>
          <w:tcPr>
            <w:tcW w:w="4745" w:type="dxa"/>
            <w:tcBorders>
              <w:top w:val="single" w:sz="4" w:space="0" w:color="A6A6A6" w:themeColor="accent5"/>
              <w:bottom w:val="nil"/>
            </w:tcBorders>
            <w:hideMark/>
          </w:tcPr>
          <w:p w14:paraId="00693A0C" w14:textId="77777777" w:rsidR="0064038E" w:rsidRPr="00A4390C" w:rsidRDefault="0064038E">
            <w:pPr>
              <w:pStyle w:val="ARtabletext"/>
            </w:pPr>
            <w:r w:rsidRPr="00A4390C">
              <w:t>Number of bonds issued to low-income Victorians to assist access to the private rental market</w:t>
            </w:r>
          </w:p>
        </w:tc>
        <w:tc>
          <w:tcPr>
            <w:tcW w:w="1019" w:type="dxa"/>
            <w:tcBorders>
              <w:top w:val="single" w:sz="4" w:space="0" w:color="A6A6A6" w:themeColor="accent5"/>
              <w:bottom w:val="nil"/>
            </w:tcBorders>
            <w:hideMark/>
          </w:tcPr>
          <w:p w14:paraId="5FE4A0D2" w14:textId="77777777" w:rsidR="0064038E" w:rsidRPr="00A4390C" w:rsidRDefault="0064038E">
            <w:pPr>
              <w:pStyle w:val="ARtabletext"/>
            </w:pPr>
            <w:r>
              <w:t>number</w:t>
            </w:r>
          </w:p>
        </w:tc>
        <w:tc>
          <w:tcPr>
            <w:tcW w:w="1018" w:type="dxa"/>
            <w:tcBorders>
              <w:top w:val="single" w:sz="4" w:space="0" w:color="A6A6A6" w:themeColor="accent5"/>
              <w:bottom w:val="nil"/>
            </w:tcBorders>
            <w:hideMark/>
          </w:tcPr>
          <w:p w14:paraId="60FA768C" w14:textId="77777777" w:rsidR="0064038E" w:rsidRPr="00A4390C" w:rsidRDefault="0064038E">
            <w:pPr>
              <w:pStyle w:val="ARtabletextright"/>
            </w:pPr>
            <w:r w:rsidRPr="00A4390C">
              <w:t>7,000</w:t>
            </w:r>
          </w:p>
        </w:tc>
        <w:tc>
          <w:tcPr>
            <w:tcW w:w="1018" w:type="dxa"/>
            <w:tcBorders>
              <w:top w:val="single" w:sz="4" w:space="0" w:color="A6A6A6" w:themeColor="accent5"/>
              <w:bottom w:val="nil"/>
            </w:tcBorders>
            <w:hideMark/>
          </w:tcPr>
          <w:p w14:paraId="03A2D46C" w14:textId="77777777" w:rsidR="0064038E" w:rsidRPr="00A4390C" w:rsidRDefault="0064038E">
            <w:pPr>
              <w:pStyle w:val="ARtabletextright"/>
            </w:pPr>
            <w:r w:rsidRPr="00A4390C">
              <w:t>8,841</w:t>
            </w:r>
          </w:p>
        </w:tc>
        <w:tc>
          <w:tcPr>
            <w:tcW w:w="1023" w:type="dxa"/>
            <w:tcBorders>
              <w:top w:val="single" w:sz="4" w:space="0" w:color="A6A6A6" w:themeColor="accent5"/>
              <w:bottom w:val="nil"/>
            </w:tcBorders>
          </w:tcPr>
          <w:p w14:paraId="18BBD481" w14:textId="77777777" w:rsidR="0064038E" w:rsidRPr="00A4390C" w:rsidRDefault="0064038E">
            <w:pPr>
              <w:pStyle w:val="ARtabletextright"/>
            </w:pPr>
            <w:r w:rsidRPr="00A4390C">
              <w:t>26.3%</w:t>
            </w:r>
          </w:p>
        </w:tc>
        <w:tc>
          <w:tcPr>
            <w:tcW w:w="809" w:type="dxa"/>
            <w:tcBorders>
              <w:top w:val="single" w:sz="4" w:space="0" w:color="A6A6A6" w:themeColor="accent5"/>
              <w:bottom w:val="nil"/>
            </w:tcBorders>
            <w:hideMark/>
          </w:tcPr>
          <w:p w14:paraId="78D42536" w14:textId="77777777" w:rsidR="0064038E" w:rsidRPr="00A4390C" w:rsidRDefault="0064038E">
            <w:pPr>
              <w:pStyle w:val="ARtableperformancesymbol"/>
              <w:rPr>
                <w:rFonts w:hint="eastAsia"/>
                <w:lang w:val="en-AU"/>
              </w:rPr>
            </w:pPr>
            <w:r w:rsidRPr="00A4390C">
              <w:rPr>
                <w:rFonts w:eastAsia="Wingdings" w:cs="Wingdings"/>
              </w:rPr>
              <w:t></w:t>
            </w:r>
          </w:p>
        </w:tc>
      </w:tr>
      <w:tr w:rsidR="0064038E" w:rsidRPr="00F07EE7" w14:paraId="62A8346F" w14:textId="77777777" w:rsidTr="00452C63">
        <w:trPr>
          <w:cantSplit/>
        </w:trPr>
        <w:tc>
          <w:tcPr>
            <w:tcW w:w="9632" w:type="dxa"/>
            <w:gridSpan w:val="6"/>
            <w:tcBorders>
              <w:top w:val="nil"/>
              <w:bottom w:val="single" w:sz="4" w:space="0" w:color="BFBFBF" w:themeColor="background1" w:themeShade="BF"/>
            </w:tcBorders>
            <w:noWrap/>
            <w:hideMark/>
          </w:tcPr>
          <w:p w14:paraId="2CA8CC09" w14:textId="77777777" w:rsidR="0064038E" w:rsidRPr="00F07EE7" w:rsidRDefault="0064038E" w:rsidP="00130336">
            <w:pPr>
              <w:pStyle w:val="ARtablenoteindent"/>
              <w:rPr>
                <w:highlight w:val="cyan"/>
              </w:rPr>
            </w:pPr>
            <w:r w:rsidRPr="0025225A">
              <w:t>The 2024</w:t>
            </w:r>
            <w:r>
              <w:t>–</w:t>
            </w:r>
            <w:r w:rsidRPr="0025225A">
              <w:t>25 result exceeded the target due to a higher number of bond loans provided to people on low income to support access to private rental and community housing.</w:t>
            </w:r>
          </w:p>
        </w:tc>
      </w:tr>
      <w:tr w:rsidR="0064038E" w:rsidRPr="00DB43D2" w14:paraId="0A5BD615" w14:textId="77777777" w:rsidTr="00452C63">
        <w:trPr>
          <w:cantSplit/>
        </w:trPr>
        <w:tc>
          <w:tcPr>
            <w:tcW w:w="4745" w:type="dxa"/>
            <w:tcBorders>
              <w:top w:val="single" w:sz="4" w:space="0" w:color="BFBFBF" w:themeColor="background1" w:themeShade="BF"/>
              <w:bottom w:val="nil"/>
            </w:tcBorders>
            <w:hideMark/>
          </w:tcPr>
          <w:p w14:paraId="69F064E2" w14:textId="77777777" w:rsidR="0064038E" w:rsidRPr="00DB43D2" w:rsidRDefault="0064038E">
            <w:pPr>
              <w:pStyle w:val="ARtabletext"/>
              <w:keepNext/>
            </w:pPr>
            <w:r w:rsidRPr="00DB43D2">
              <w:t>Number of clients assisted to address and prevent homelessness</w:t>
            </w:r>
          </w:p>
        </w:tc>
        <w:tc>
          <w:tcPr>
            <w:tcW w:w="1019" w:type="dxa"/>
            <w:tcBorders>
              <w:top w:val="single" w:sz="4" w:space="0" w:color="BFBFBF" w:themeColor="background1" w:themeShade="BF"/>
              <w:bottom w:val="nil"/>
            </w:tcBorders>
            <w:hideMark/>
          </w:tcPr>
          <w:p w14:paraId="465B14C8" w14:textId="77777777" w:rsidR="0064038E" w:rsidRPr="00DB43D2" w:rsidRDefault="0064038E">
            <w:pPr>
              <w:pStyle w:val="ARtabletext"/>
            </w:pPr>
            <w:r w:rsidRPr="00DB43D2">
              <w:t>number</w:t>
            </w:r>
          </w:p>
        </w:tc>
        <w:tc>
          <w:tcPr>
            <w:tcW w:w="1018" w:type="dxa"/>
            <w:tcBorders>
              <w:top w:val="single" w:sz="4" w:space="0" w:color="BFBFBF" w:themeColor="background1" w:themeShade="BF"/>
              <w:bottom w:val="nil"/>
            </w:tcBorders>
            <w:hideMark/>
          </w:tcPr>
          <w:p w14:paraId="2F391EF7" w14:textId="77777777" w:rsidR="0064038E" w:rsidRPr="00DB43D2" w:rsidRDefault="0064038E">
            <w:pPr>
              <w:pStyle w:val="ARtabletextright"/>
            </w:pPr>
            <w:r w:rsidRPr="00DB43D2">
              <w:t>103,000</w:t>
            </w:r>
          </w:p>
        </w:tc>
        <w:tc>
          <w:tcPr>
            <w:tcW w:w="1018" w:type="dxa"/>
            <w:tcBorders>
              <w:top w:val="single" w:sz="4" w:space="0" w:color="BFBFBF" w:themeColor="background1" w:themeShade="BF"/>
              <w:bottom w:val="nil"/>
            </w:tcBorders>
            <w:hideMark/>
          </w:tcPr>
          <w:p w14:paraId="3D65A932" w14:textId="5E10EE72" w:rsidR="0064038E" w:rsidRPr="00DB43D2" w:rsidRDefault="0064038E">
            <w:pPr>
              <w:pStyle w:val="ARtabletextright"/>
            </w:pPr>
            <w:r w:rsidRPr="00DB43D2">
              <w:t>10</w:t>
            </w:r>
            <w:r w:rsidR="00084882" w:rsidRPr="00DB43D2">
              <w:t>2,449</w:t>
            </w:r>
          </w:p>
        </w:tc>
        <w:tc>
          <w:tcPr>
            <w:tcW w:w="1023" w:type="dxa"/>
            <w:tcBorders>
              <w:top w:val="single" w:sz="4" w:space="0" w:color="BFBFBF" w:themeColor="background1" w:themeShade="BF"/>
              <w:bottom w:val="nil"/>
            </w:tcBorders>
          </w:tcPr>
          <w:p w14:paraId="0018B73D" w14:textId="749201F2" w:rsidR="0064038E" w:rsidRPr="00DB43D2" w:rsidRDefault="00430898">
            <w:pPr>
              <w:pStyle w:val="ARtabletextright"/>
            </w:pPr>
            <w:r>
              <w:t>−</w:t>
            </w:r>
            <w:r w:rsidR="0064038E" w:rsidRPr="00DB43D2">
              <w:t>0.</w:t>
            </w:r>
            <w:r w:rsidR="00E34B61" w:rsidRPr="00DB43D2">
              <w:t>5</w:t>
            </w:r>
            <w:r w:rsidR="0064038E" w:rsidRPr="00DB43D2">
              <w:t>%</w:t>
            </w:r>
          </w:p>
        </w:tc>
        <w:tc>
          <w:tcPr>
            <w:tcW w:w="809" w:type="dxa"/>
            <w:tcBorders>
              <w:top w:val="single" w:sz="4" w:space="0" w:color="BFBFBF" w:themeColor="background1" w:themeShade="BF"/>
              <w:bottom w:val="nil"/>
            </w:tcBorders>
            <w:hideMark/>
          </w:tcPr>
          <w:p w14:paraId="4F3A4AFE" w14:textId="4B76BE73" w:rsidR="0064038E" w:rsidRPr="00DB43D2" w:rsidRDefault="00452C63">
            <w:pPr>
              <w:pStyle w:val="ARtableperformancesymbol"/>
              <w:rPr>
                <w:rFonts w:hint="eastAsia"/>
                <w:lang w:val="en-AU"/>
              </w:rPr>
            </w:pPr>
            <w:r w:rsidRPr="00DB43D2">
              <w:t>□</w:t>
            </w:r>
          </w:p>
        </w:tc>
      </w:tr>
      <w:tr w:rsidR="0064038E" w:rsidRPr="00F07EE7" w14:paraId="5B51AE0B" w14:textId="77777777">
        <w:trPr>
          <w:cantSplit/>
        </w:trPr>
        <w:tc>
          <w:tcPr>
            <w:tcW w:w="4745" w:type="dxa"/>
            <w:tcBorders>
              <w:top w:val="single" w:sz="4" w:space="0" w:color="BFBFBF" w:themeColor="background1" w:themeShade="BF"/>
              <w:bottom w:val="nil"/>
              <w:right w:val="nil"/>
            </w:tcBorders>
          </w:tcPr>
          <w:p w14:paraId="760AD33C" w14:textId="77777777" w:rsidR="0064038E" w:rsidRPr="00DB43D2" w:rsidRDefault="0064038E">
            <w:pPr>
              <w:pStyle w:val="ARtabletext"/>
            </w:pPr>
            <w:r w:rsidRPr="00DB43D2">
              <w:t>Number of clients assisted to address and prevent homelessness due to family violence</w:t>
            </w:r>
          </w:p>
        </w:tc>
        <w:tc>
          <w:tcPr>
            <w:tcW w:w="1019" w:type="dxa"/>
            <w:tcBorders>
              <w:top w:val="single" w:sz="4" w:space="0" w:color="BFBFBF" w:themeColor="background1" w:themeShade="BF"/>
              <w:left w:val="nil"/>
              <w:bottom w:val="nil"/>
              <w:right w:val="nil"/>
            </w:tcBorders>
          </w:tcPr>
          <w:p w14:paraId="185694BE" w14:textId="77777777" w:rsidR="0064038E" w:rsidRPr="00DB43D2" w:rsidRDefault="0064038E">
            <w:pPr>
              <w:pStyle w:val="ARtabletext"/>
            </w:pPr>
            <w:r w:rsidRPr="00DB43D2">
              <w:t>number</w:t>
            </w:r>
          </w:p>
        </w:tc>
        <w:tc>
          <w:tcPr>
            <w:tcW w:w="1018" w:type="dxa"/>
            <w:tcBorders>
              <w:top w:val="single" w:sz="4" w:space="0" w:color="BFBFBF" w:themeColor="background1" w:themeShade="BF"/>
              <w:left w:val="nil"/>
              <w:bottom w:val="nil"/>
              <w:right w:val="nil"/>
            </w:tcBorders>
          </w:tcPr>
          <w:p w14:paraId="4C94FEE3" w14:textId="77777777" w:rsidR="0064038E" w:rsidRPr="00DB43D2" w:rsidRDefault="0064038E">
            <w:pPr>
              <w:pStyle w:val="ARtabletextright"/>
            </w:pPr>
            <w:r w:rsidRPr="00DB43D2">
              <w:t>45,000</w:t>
            </w:r>
          </w:p>
        </w:tc>
        <w:tc>
          <w:tcPr>
            <w:tcW w:w="1018" w:type="dxa"/>
            <w:tcBorders>
              <w:top w:val="single" w:sz="4" w:space="0" w:color="BFBFBF" w:themeColor="background1" w:themeShade="BF"/>
              <w:left w:val="nil"/>
              <w:bottom w:val="nil"/>
              <w:right w:val="nil"/>
            </w:tcBorders>
          </w:tcPr>
          <w:p w14:paraId="0B031758" w14:textId="64A6C154" w:rsidR="0064038E" w:rsidRPr="00DB43D2" w:rsidRDefault="0064038E">
            <w:pPr>
              <w:pStyle w:val="ARtabletextright"/>
            </w:pPr>
            <w:r w:rsidRPr="00DB43D2">
              <w:t>44,</w:t>
            </w:r>
            <w:r w:rsidR="007053E4" w:rsidRPr="00DB43D2">
              <w:t>319</w:t>
            </w:r>
          </w:p>
        </w:tc>
        <w:tc>
          <w:tcPr>
            <w:tcW w:w="1023" w:type="dxa"/>
            <w:tcBorders>
              <w:top w:val="single" w:sz="4" w:space="0" w:color="BFBFBF" w:themeColor="background1" w:themeShade="BF"/>
              <w:left w:val="nil"/>
              <w:bottom w:val="nil"/>
              <w:right w:val="nil"/>
            </w:tcBorders>
          </w:tcPr>
          <w:p w14:paraId="10A34C62" w14:textId="5D57A318" w:rsidR="0064038E" w:rsidRPr="00DB43D2" w:rsidRDefault="00430898">
            <w:pPr>
              <w:pStyle w:val="ARtabletextright"/>
            </w:pPr>
            <w:r>
              <w:t>−</w:t>
            </w:r>
            <w:r w:rsidR="007053E4" w:rsidRPr="00DB43D2">
              <w:t>1.5</w:t>
            </w:r>
            <w:r w:rsidR="0064038E" w:rsidRPr="00DB43D2">
              <w:t>%</w:t>
            </w:r>
          </w:p>
        </w:tc>
        <w:tc>
          <w:tcPr>
            <w:tcW w:w="809" w:type="dxa"/>
            <w:tcBorders>
              <w:top w:val="single" w:sz="4" w:space="0" w:color="BFBFBF" w:themeColor="background1" w:themeShade="BF"/>
              <w:left w:val="nil"/>
              <w:bottom w:val="nil"/>
            </w:tcBorders>
          </w:tcPr>
          <w:p w14:paraId="63B61508" w14:textId="77777777" w:rsidR="0064038E" w:rsidRPr="00DB43D2" w:rsidRDefault="0064038E">
            <w:pPr>
              <w:pStyle w:val="ARtableperformancesymbol"/>
              <w:rPr>
                <w:rFonts w:eastAsia="Wingdings" w:cs="Wingdings"/>
                <w:lang w:val="en-AU"/>
              </w:rPr>
            </w:pPr>
            <w:r w:rsidRPr="00DB43D2">
              <w:t>□</w:t>
            </w:r>
          </w:p>
        </w:tc>
      </w:tr>
      <w:tr w:rsidR="00F9466A" w:rsidRPr="00F07EE7" w14:paraId="4EDE6087" w14:textId="77777777">
        <w:trPr>
          <w:cantSplit/>
        </w:trPr>
        <w:tc>
          <w:tcPr>
            <w:tcW w:w="4745" w:type="dxa"/>
            <w:tcBorders>
              <w:top w:val="single" w:sz="4" w:space="0" w:color="BFBFBF" w:themeColor="background1" w:themeShade="BF"/>
              <w:bottom w:val="nil"/>
              <w:right w:val="nil"/>
            </w:tcBorders>
          </w:tcPr>
          <w:p w14:paraId="7A847D64" w14:textId="5397750D" w:rsidR="00F9466A" w:rsidRPr="00DB43D2" w:rsidRDefault="00F9466A">
            <w:pPr>
              <w:pStyle w:val="ARtabletext"/>
            </w:pPr>
            <w:r>
              <w:t>Number of clients provided with accommodation</w:t>
            </w:r>
          </w:p>
        </w:tc>
        <w:tc>
          <w:tcPr>
            <w:tcW w:w="1019" w:type="dxa"/>
            <w:tcBorders>
              <w:top w:val="single" w:sz="4" w:space="0" w:color="BFBFBF" w:themeColor="background1" w:themeShade="BF"/>
              <w:left w:val="nil"/>
              <w:bottom w:val="nil"/>
              <w:right w:val="nil"/>
            </w:tcBorders>
          </w:tcPr>
          <w:p w14:paraId="47CB4C81" w14:textId="77777777" w:rsidR="00F9466A" w:rsidRPr="00DB43D2" w:rsidRDefault="00F9466A">
            <w:pPr>
              <w:pStyle w:val="ARtabletext"/>
            </w:pPr>
            <w:r w:rsidRPr="00DB43D2">
              <w:t>number</w:t>
            </w:r>
          </w:p>
        </w:tc>
        <w:tc>
          <w:tcPr>
            <w:tcW w:w="1018" w:type="dxa"/>
            <w:tcBorders>
              <w:top w:val="single" w:sz="4" w:space="0" w:color="BFBFBF" w:themeColor="background1" w:themeShade="BF"/>
              <w:left w:val="nil"/>
              <w:bottom w:val="nil"/>
              <w:right w:val="nil"/>
            </w:tcBorders>
          </w:tcPr>
          <w:p w14:paraId="5D42CF59" w14:textId="62FC0C0C" w:rsidR="00F9466A" w:rsidRPr="00DB43D2" w:rsidRDefault="00F9466A">
            <w:pPr>
              <w:pStyle w:val="ARtabletextright"/>
            </w:pPr>
            <w:r>
              <w:t>30,000</w:t>
            </w:r>
          </w:p>
        </w:tc>
        <w:tc>
          <w:tcPr>
            <w:tcW w:w="1018" w:type="dxa"/>
            <w:tcBorders>
              <w:top w:val="single" w:sz="4" w:space="0" w:color="BFBFBF" w:themeColor="background1" w:themeShade="BF"/>
              <w:left w:val="nil"/>
              <w:bottom w:val="nil"/>
              <w:right w:val="nil"/>
            </w:tcBorders>
          </w:tcPr>
          <w:p w14:paraId="6719650B" w14:textId="4D13C71D" w:rsidR="00F9466A" w:rsidRPr="00DB43D2" w:rsidRDefault="0085492C">
            <w:pPr>
              <w:pStyle w:val="ARtabletextright"/>
            </w:pPr>
            <w:r>
              <w:t>27,981</w:t>
            </w:r>
          </w:p>
        </w:tc>
        <w:tc>
          <w:tcPr>
            <w:tcW w:w="1023" w:type="dxa"/>
            <w:tcBorders>
              <w:top w:val="single" w:sz="4" w:space="0" w:color="BFBFBF" w:themeColor="background1" w:themeShade="BF"/>
              <w:left w:val="nil"/>
              <w:bottom w:val="nil"/>
              <w:right w:val="nil"/>
            </w:tcBorders>
          </w:tcPr>
          <w:p w14:paraId="54463D6C" w14:textId="7CD4319B" w:rsidR="00F9466A" w:rsidRPr="00DB43D2" w:rsidRDefault="00430898">
            <w:pPr>
              <w:pStyle w:val="ARtabletextright"/>
            </w:pPr>
            <w:r>
              <w:t>−</w:t>
            </w:r>
            <w:r w:rsidR="0085492C">
              <w:t>6.7%</w:t>
            </w:r>
          </w:p>
        </w:tc>
        <w:tc>
          <w:tcPr>
            <w:tcW w:w="809" w:type="dxa"/>
            <w:tcBorders>
              <w:top w:val="single" w:sz="4" w:space="0" w:color="BFBFBF" w:themeColor="background1" w:themeShade="BF"/>
              <w:left w:val="nil"/>
              <w:bottom w:val="nil"/>
            </w:tcBorders>
          </w:tcPr>
          <w:p w14:paraId="25AF3DB0" w14:textId="3FA695B0" w:rsidR="00F9466A" w:rsidRPr="00DB43D2" w:rsidRDefault="0085492C">
            <w:pPr>
              <w:pStyle w:val="ARtableperformancesymbol"/>
              <w:rPr>
                <w:rFonts w:eastAsia="Wingdings" w:cs="Wingdings"/>
                <w:lang w:val="en-AU"/>
              </w:rPr>
            </w:pPr>
            <w:r w:rsidRPr="00CE1F3A">
              <w:rPr>
                <w:rFonts w:eastAsia="Wingdings" w:cs="Wingdings"/>
              </w:rPr>
              <w:t></w:t>
            </w:r>
          </w:p>
        </w:tc>
      </w:tr>
      <w:tr w:rsidR="0085492C" w:rsidRPr="00F07EE7" w14:paraId="509980EC" w14:textId="77777777">
        <w:trPr>
          <w:cantSplit/>
        </w:trPr>
        <w:tc>
          <w:tcPr>
            <w:tcW w:w="9632" w:type="dxa"/>
            <w:gridSpan w:val="6"/>
            <w:tcBorders>
              <w:top w:val="nil"/>
              <w:bottom w:val="single" w:sz="4" w:space="0" w:color="BFBFBF" w:themeColor="background1" w:themeShade="BF"/>
            </w:tcBorders>
          </w:tcPr>
          <w:p w14:paraId="6506CAA8" w14:textId="40E801A0" w:rsidR="0085492C" w:rsidRPr="00F07EE7" w:rsidRDefault="0085492C">
            <w:pPr>
              <w:pStyle w:val="ARtablenoteindent"/>
              <w:rPr>
                <w:highlight w:val="cyan"/>
              </w:rPr>
            </w:pPr>
            <w:r w:rsidRPr="0085492C">
              <w:t>The 2024</w:t>
            </w:r>
            <w:r w:rsidR="00DD4949">
              <w:t>–</w:t>
            </w:r>
            <w:r w:rsidRPr="0085492C">
              <w:t>25 result is below target due to rising costs of securing accommodation. The ability to meet this target was also limited by the lack of availability of, and access to, affordable short-term accommodation.</w:t>
            </w:r>
          </w:p>
        </w:tc>
      </w:tr>
      <w:tr w:rsidR="0064038E" w:rsidRPr="00F07EE7" w14:paraId="210DC4D7" w14:textId="77777777">
        <w:trPr>
          <w:cantSplit/>
        </w:trPr>
        <w:tc>
          <w:tcPr>
            <w:tcW w:w="4745" w:type="dxa"/>
            <w:tcBorders>
              <w:top w:val="single" w:sz="4" w:space="0" w:color="BFBFBF" w:themeColor="background1" w:themeShade="BF"/>
              <w:bottom w:val="nil"/>
            </w:tcBorders>
          </w:tcPr>
          <w:p w14:paraId="24211925" w14:textId="77777777" w:rsidR="0064038E" w:rsidRPr="00A4390C" w:rsidRDefault="0064038E">
            <w:pPr>
              <w:pStyle w:val="ARtabletext"/>
            </w:pPr>
            <w:r w:rsidRPr="00A4390C">
              <w:t>Number of households assisted with long-term social housing (public, Aboriginal and community long-term tenancies at end of year)</w:t>
            </w:r>
          </w:p>
        </w:tc>
        <w:tc>
          <w:tcPr>
            <w:tcW w:w="1019" w:type="dxa"/>
            <w:tcBorders>
              <w:top w:val="single" w:sz="4" w:space="0" w:color="BFBFBF" w:themeColor="background1" w:themeShade="BF"/>
              <w:bottom w:val="nil"/>
            </w:tcBorders>
          </w:tcPr>
          <w:p w14:paraId="24CE5E1C" w14:textId="77777777" w:rsidR="0064038E" w:rsidRPr="00A4390C" w:rsidRDefault="0064038E">
            <w:pPr>
              <w:pStyle w:val="ARtabletext"/>
            </w:pPr>
            <w:r>
              <w:t>number</w:t>
            </w:r>
          </w:p>
        </w:tc>
        <w:tc>
          <w:tcPr>
            <w:tcW w:w="1018" w:type="dxa"/>
            <w:tcBorders>
              <w:top w:val="single" w:sz="4" w:space="0" w:color="BFBFBF" w:themeColor="background1" w:themeShade="BF"/>
              <w:bottom w:val="nil"/>
            </w:tcBorders>
          </w:tcPr>
          <w:p w14:paraId="1BFD1E75" w14:textId="77777777" w:rsidR="0064038E" w:rsidRPr="00A4390C" w:rsidRDefault="0064038E">
            <w:pPr>
              <w:pStyle w:val="ARtabletextright"/>
            </w:pPr>
            <w:r w:rsidRPr="00A4390C">
              <w:t>77,900</w:t>
            </w:r>
          </w:p>
        </w:tc>
        <w:tc>
          <w:tcPr>
            <w:tcW w:w="1018" w:type="dxa"/>
            <w:tcBorders>
              <w:top w:val="single" w:sz="4" w:space="0" w:color="BFBFBF" w:themeColor="background1" w:themeShade="BF"/>
              <w:bottom w:val="nil"/>
            </w:tcBorders>
          </w:tcPr>
          <w:p w14:paraId="58863084" w14:textId="77777777" w:rsidR="0064038E" w:rsidRPr="00A4390C" w:rsidRDefault="0064038E">
            <w:pPr>
              <w:pStyle w:val="ARtabletextright"/>
            </w:pPr>
            <w:r w:rsidRPr="00A4390C">
              <w:t>83,</w:t>
            </w:r>
            <w:r>
              <w:t>162</w:t>
            </w:r>
          </w:p>
        </w:tc>
        <w:tc>
          <w:tcPr>
            <w:tcW w:w="1023" w:type="dxa"/>
            <w:tcBorders>
              <w:top w:val="single" w:sz="4" w:space="0" w:color="BFBFBF" w:themeColor="background1" w:themeShade="BF"/>
              <w:bottom w:val="nil"/>
            </w:tcBorders>
          </w:tcPr>
          <w:p w14:paraId="2F0012C4" w14:textId="77777777" w:rsidR="0064038E" w:rsidRPr="00A4390C" w:rsidRDefault="0064038E">
            <w:pPr>
              <w:pStyle w:val="ARtabletextright"/>
            </w:pPr>
            <w:r w:rsidRPr="00A4390C">
              <w:t>6.</w:t>
            </w:r>
            <w:r>
              <w:t>8</w:t>
            </w:r>
            <w:r w:rsidRPr="00A4390C">
              <w:t>%</w:t>
            </w:r>
          </w:p>
        </w:tc>
        <w:tc>
          <w:tcPr>
            <w:tcW w:w="809" w:type="dxa"/>
            <w:tcBorders>
              <w:top w:val="single" w:sz="4" w:space="0" w:color="BFBFBF" w:themeColor="background1" w:themeShade="BF"/>
              <w:bottom w:val="nil"/>
            </w:tcBorders>
          </w:tcPr>
          <w:p w14:paraId="30DCC8BD" w14:textId="77777777" w:rsidR="0064038E" w:rsidRPr="00A4390C" w:rsidRDefault="0064038E">
            <w:pPr>
              <w:pStyle w:val="ARtableperformancesymbol"/>
              <w:rPr>
                <w:rFonts w:eastAsia="Wingdings" w:cs="Wingdings"/>
                <w:lang w:val="en-AU"/>
              </w:rPr>
            </w:pPr>
            <w:r w:rsidRPr="00A4390C">
              <w:rPr>
                <w:rFonts w:eastAsia="Wingdings" w:cs="Wingdings"/>
              </w:rPr>
              <w:t></w:t>
            </w:r>
          </w:p>
        </w:tc>
      </w:tr>
      <w:tr w:rsidR="0064038E" w:rsidRPr="00F07EE7" w14:paraId="0396723B" w14:textId="77777777">
        <w:trPr>
          <w:cantSplit/>
        </w:trPr>
        <w:tc>
          <w:tcPr>
            <w:tcW w:w="9632" w:type="dxa"/>
            <w:gridSpan w:val="6"/>
            <w:tcBorders>
              <w:top w:val="nil"/>
              <w:bottom w:val="single" w:sz="4" w:space="0" w:color="BFBFBF" w:themeColor="background1" w:themeShade="BF"/>
            </w:tcBorders>
          </w:tcPr>
          <w:p w14:paraId="28453F34" w14:textId="77777777" w:rsidR="0064038E" w:rsidRPr="00F07EE7" w:rsidRDefault="0064038E" w:rsidP="00130336">
            <w:pPr>
              <w:pStyle w:val="ARtablenoteindent"/>
              <w:rPr>
                <w:highlight w:val="cyan"/>
              </w:rPr>
            </w:pPr>
            <w:r w:rsidRPr="00A4390C">
              <w:t xml:space="preserve">The 2024–25 </w:t>
            </w:r>
            <w:r w:rsidRPr="00130336">
              <w:t>result</w:t>
            </w:r>
            <w:r w:rsidRPr="00A4390C">
              <w:t xml:space="preserve"> is based on an improved and more accurate data collection method than previously relied upon.</w:t>
            </w:r>
          </w:p>
        </w:tc>
      </w:tr>
      <w:tr w:rsidR="0064038E" w:rsidRPr="00F07EE7" w14:paraId="431927D1" w14:textId="77777777" w:rsidTr="00452C63">
        <w:trPr>
          <w:cantSplit/>
        </w:trPr>
        <w:tc>
          <w:tcPr>
            <w:tcW w:w="4745" w:type="dxa"/>
            <w:tcBorders>
              <w:top w:val="nil"/>
              <w:bottom w:val="nil"/>
            </w:tcBorders>
            <w:hideMark/>
          </w:tcPr>
          <w:p w14:paraId="3DA8E7B9" w14:textId="77777777" w:rsidR="0064038E" w:rsidRPr="00992345" w:rsidRDefault="0064038E">
            <w:pPr>
              <w:pStyle w:val="ARtabletext"/>
            </w:pPr>
            <w:r w:rsidRPr="00992345">
              <w:t>Number of public housing dwellings upgraded during year</w:t>
            </w:r>
          </w:p>
        </w:tc>
        <w:tc>
          <w:tcPr>
            <w:tcW w:w="1019" w:type="dxa"/>
            <w:tcBorders>
              <w:top w:val="nil"/>
              <w:bottom w:val="nil"/>
            </w:tcBorders>
            <w:hideMark/>
          </w:tcPr>
          <w:p w14:paraId="13CE7715" w14:textId="77777777" w:rsidR="0064038E" w:rsidRPr="00992345" w:rsidRDefault="0064038E">
            <w:pPr>
              <w:pStyle w:val="ARtabletext"/>
            </w:pPr>
            <w:r>
              <w:t>number</w:t>
            </w:r>
          </w:p>
        </w:tc>
        <w:tc>
          <w:tcPr>
            <w:tcW w:w="1018" w:type="dxa"/>
            <w:tcBorders>
              <w:top w:val="nil"/>
              <w:bottom w:val="nil"/>
            </w:tcBorders>
            <w:hideMark/>
          </w:tcPr>
          <w:p w14:paraId="72BB100E" w14:textId="77777777" w:rsidR="0064038E" w:rsidRPr="00992345" w:rsidRDefault="0064038E">
            <w:pPr>
              <w:pStyle w:val="ARtabletextright"/>
            </w:pPr>
            <w:r w:rsidRPr="00992345">
              <w:t>1,500</w:t>
            </w:r>
          </w:p>
        </w:tc>
        <w:tc>
          <w:tcPr>
            <w:tcW w:w="1018" w:type="dxa"/>
            <w:tcBorders>
              <w:top w:val="nil"/>
              <w:bottom w:val="nil"/>
            </w:tcBorders>
            <w:hideMark/>
          </w:tcPr>
          <w:p w14:paraId="0D63E878" w14:textId="77777777" w:rsidR="0064038E" w:rsidRPr="00992345" w:rsidRDefault="0064038E">
            <w:pPr>
              <w:pStyle w:val="ARtabletextright"/>
            </w:pPr>
            <w:r w:rsidRPr="00992345">
              <w:t>1,716</w:t>
            </w:r>
          </w:p>
        </w:tc>
        <w:tc>
          <w:tcPr>
            <w:tcW w:w="1023" w:type="dxa"/>
            <w:tcBorders>
              <w:top w:val="nil"/>
              <w:bottom w:val="nil"/>
            </w:tcBorders>
          </w:tcPr>
          <w:p w14:paraId="4CD9EEFA" w14:textId="77777777" w:rsidR="0064038E" w:rsidRPr="00992345" w:rsidRDefault="0064038E">
            <w:pPr>
              <w:pStyle w:val="ARtabletextright"/>
            </w:pPr>
            <w:r w:rsidRPr="00992345">
              <w:t>14.4%</w:t>
            </w:r>
          </w:p>
        </w:tc>
        <w:tc>
          <w:tcPr>
            <w:tcW w:w="809" w:type="dxa"/>
            <w:tcBorders>
              <w:top w:val="nil"/>
              <w:bottom w:val="nil"/>
            </w:tcBorders>
            <w:hideMark/>
          </w:tcPr>
          <w:p w14:paraId="5FB1CD2D" w14:textId="77777777" w:rsidR="0064038E" w:rsidRPr="00992345" w:rsidRDefault="0064038E">
            <w:pPr>
              <w:pStyle w:val="ARtableperformancesymbol"/>
              <w:rPr>
                <w:rFonts w:hint="eastAsia"/>
                <w:lang w:val="en-AU"/>
              </w:rPr>
            </w:pPr>
            <w:r w:rsidRPr="00992345">
              <w:rPr>
                <w:rFonts w:eastAsia="Wingdings" w:cs="Wingdings"/>
              </w:rPr>
              <w:t></w:t>
            </w:r>
          </w:p>
        </w:tc>
      </w:tr>
      <w:tr w:rsidR="0064038E" w:rsidRPr="00F07EE7" w14:paraId="6014668A" w14:textId="77777777" w:rsidTr="00452C63">
        <w:trPr>
          <w:cantSplit/>
        </w:trPr>
        <w:tc>
          <w:tcPr>
            <w:tcW w:w="9632" w:type="dxa"/>
            <w:gridSpan w:val="6"/>
            <w:tcBorders>
              <w:top w:val="nil"/>
              <w:bottom w:val="single" w:sz="4" w:space="0" w:color="A6A6A6" w:themeColor="accent5"/>
            </w:tcBorders>
          </w:tcPr>
          <w:p w14:paraId="3719490E" w14:textId="77777777" w:rsidR="0064038E" w:rsidRPr="00F07EE7" w:rsidRDefault="0064038E" w:rsidP="00130336">
            <w:pPr>
              <w:pStyle w:val="ARtablenoteindent"/>
              <w:rPr>
                <w:highlight w:val="cyan"/>
              </w:rPr>
            </w:pPr>
            <w:r w:rsidRPr="00992345">
              <w:t>The 2024</w:t>
            </w:r>
            <w:r>
              <w:t>–</w:t>
            </w:r>
            <w:r w:rsidRPr="00992345">
              <w:t xml:space="preserve">25 result exceeded the target </w:t>
            </w:r>
            <w:r w:rsidRPr="00130336">
              <w:t>due</w:t>
            </w:r>
            <w:r w:rsidRPr="00992345">
              <w:t xml:space="preserve"> to increased government funding which enabled a higher number of vacant homes in poorer condition to be upgraded and to be made available for public housing renters.</w:t>
            </w:r>
          </w:p>
        </w:tc>
      </w:tr>
      <w:tr w:rsidR="0064038E" w:rsidRPr="00F07EE7" w14:paraId="71F13080" w14:textId="77777777" w:rsidTr="00452C63">
        <w:trPr>
          <w:cantSplit/>
        </w:trPr>
        <w:tc>
          <w:tcPr>
            <w:tcW w:w="4745" w:type="dxa"/>
            <w:tcBorders>
              <w:top w:val="single" w:sz="4" w:space="0" w:color="BFBFBF" w:themeColor="background1" w:themeShade="BF"/>
              <w:bottom w:val="nil"/>
            </w:tcBorders>
          </w:tcPr>
          <w:p w14:paraId="09AEAEC7" w14:textId="77777777" w:rsidR="0064038E" w:rsidRPr="00204BBF" w:rsidRDefault="0064038E" w:rsidP="00130336">
            <w:pPr>
              <w:pStyle w:val="ARtabletext"/>
            </w:pPr>
            <w:r w:rsidRPr="00204BBF">
              <w:t>Total number of Victorian Affordable Housing Program (VAHP) affordable housing dwellings</w:t>
            </w:r>
          </w:p>
        </w:tc>
        <w:tc>
          <w:tcPr>
            <w:tcW w:w="1019" w:type="dxa"/>
            <w:tcBorders>
              <w:top w:val="single" w:sz="4" w:space="0" w:color="BFBFBF" w:themeColor="background1" w:themeShade="BF"/>
              <w:bottom w:val="nil"/>
            </w:tcBorders>
          </w:tcPr>
          <w:p w14:paraId="0D73B853" w14:textId="77777777" w:rsidR="0064038E" w:rsidRPr="00204BBF" w:rsidRDefault="0064038E">
            <w:pPr>
              <w:pStyle w:val="ARtabletext"/>
            </w:pPr>
            <w:r>
              <w:t>number</w:t>
            </w:r>
          </w:p>
        </w:tc>
        <w:tc>
          <w:tcPr>
            <w:tcW w:w="1018" w:type="dxa"/>
            <w:tcBorders>
              <w:top w:val="single" w:sz="4" w:space="0" w:color="BFBFBF" w:themeColor="background1" w:themeShade="BF"/>
              <w:bottom w:val="nil"/>
            </w:tcBorders>
          </w:tcPr>
          <w:p w14:paraId="2B730C30" w14:textId="77777777" w:rsidR="0064038E" w:rsidRPr="00204BBF" w:rsidRDefault="0064038E">
            <w:pPr>
              <w:pStyle w:val="ARtabletextright"/>
            </w:pPr>
            <w:r w:rsidRPr="00204BBF">
              <w:t>546</w:t>
            </w:r>
          </w:p>
        </w:tc>
        <w:tc>
          <w:tcPr>
            <w:tcW w:w="1018" w:type="dxa"/>
            <w:tcBorders>
              <w:top w:val="single" w:sz="4" w:space="0" w:color="BFBFBF" w:themeColor="background1" w:themeShade="BF"/>
              <w:bottom w:val="nil"/>
            </w:tcBorders>
          </w:tcPr>
          <w:p w14:paraId="77A76493" w14:textId="77777777" w:rsidR="0064038E" w:rsidRPr="00204BBF" w:rsidRDefault="0064038E">
            <w:pPr>
              <w:pStyle w:val="ARtabletextright"/>
            </w:pPr>
            <w:r>
              <w:t>693</w:t>
            </w:r>
          </w:p>
        </w:tc>
        <w:tc>
          <w:tcPr>
            <w:tcW w:w="1023" w:type="dxa"/>
            <w:tcBorders>
              <w:top w:val="single" w:sz="4" w:space="0" w:color="BFBFBF" w:themeColor="background1" w:themeShade="BF"/>
              <w:bottom w:val="nil"/>
            </w:tcBorders>
          </w:tcPr>
          <w:p w14:paraId="6BCA651E" w14:textId="77777777" w:rsidR="0064038E" w:rsidRPr="00204BBF" w:rsidRDefault="0064038E">
            <w:pPr>
              <w:pStyle w:val="ARtabletextright"/>
            </w:pPr>
            <w:r>
              <w:t>26</w:t>
            </w:r>
            <w:r w:rsidRPr="00204BBF">
              <w:t>.</w:t>
            </w:r>
            <w:r>
              <w:t>9</w:t>
            </w:r>
            <w:r w:rsidRPr="00204BBF">
              <w:t>%</w:t>
            </w:r>
          </w:p>
        </w:tc>
        <w:tc>
          <w:tcPr>
            <w:tcW w:w="809" w:type="dxa"/>
            <w:tcBorders>
              <w:top w:val="single" w:sz="4" w:space="0" w:color="BFBFBF" w:themeColor="background1" w:themeShade="BF"/>
              <w:bottom w:val="nil"/>
            </w:tcBorders>
          </w:tcPr>
          <w:p w14:paraId="4E962AB5" w14:textId="77777777" w:rsidR="0064038E" w:rsidRPr="00204BBF" w:rsidRDefault="0064038E">
            <w:pPr>
              <w:pStyle w:val="ARtableperformancesymbol"/>
              <w:rPr>
                <w:rFonts w:eastAsia="Wingdings" w:cs="Wingdings"/>
              </w:rPr>
            </w:pPr>
            <w:r w:rsidRPr="00204BBF">
              <w:rPr>
                <w:rFonts w:eastAsia="Wingdings" w:cs="Wingdings"/>
              </w:rPr>
              <w:t></w:t>
            </w:r>
          </w:p>
        </w:tc>
      </w:tr>
      <w:tr w:rsidR="0064038E" w:rsidRPr="00F07EE7" w14:paraId="12EE578D" w14:textId="77777777" w:rsidTr="00452C63">
        <w:trPr>
          <w:cantSplit/>
        </w:trPr>
        <w:tc>
          <w:tcPr>
            <w:tcW w:w="9632" w:type="dxa"/>
            <w:gridSpan w:val="6"/>
            <w:tcBorders>
              <w:top w:val="nil"/>
              <w:bottom w:val="single" w:sz="2" w:space="0" w:color="A6A6A6" w:themeColor="accent5"/>
            </w:tcBorders>
          </w:tcPr>
          <w:p w14:paraId="4CDE9B08" w14:textId="77777777" w:rsidR="0064038E" w:rsidRPr="00F07EE7" w:rsidRDefault="0064038E">
            <w:pPr>
              <w:pStyle w:val="ARtablenoteindent"/>
              <w:rPr>
                <w:highlight w:val="cyan"/>
              </w:rPr>
            </w:pPr>
            <w:r w:rsidRPr="00204BBF">
              <w:t>The 2024</w:t>
            </w:r>
            <w:r>
              <w:t>–</w:t>
            </w:r>
            <w:r w:rsidRPr="00204BBF">
              <w:t>25 result exceeded the target due to more affordable homes being completed.</w:t>
            </w:r>
          </w:p>
        </w:tc>
      </w:tr>
      <w:tr w:rsidR="0064038E" w:rsidRPr="00F07EE7" w14:paraId="00DFD176" w14:textId="77777777" w:rsidTr="00452C63">
        <w:trPr>
          <w:cantSplit/>
        </w:trPr>
        <w:tc>
          <w:tcPr>
            <w:tcW w:w="4745" w:type="dxa"/>
            <w:tcBorders>
              <w:top w:val="single" w:sz="4" w:space="0" w:color="BFBFBF" w:themeColor="background1" w:themeShade="BF"/>
              <w:bottom w:val="single" w:sz="4" w:space="0" w:color="BFBFBF" w:themeColor="background1" w:themeShade="BF"/>
            </w:tcBorders>
            <w:hideMark/>
          </w:tcPr>
          <w:p w14:paraId="5CA1874D" w14:textId="77777777" w:rsidR="0064038E" w:rsidRPr="005A3C3B" w:rsidRDefault="0064038E">
            <w:pPr>
              <w:pStyle w:val="ARtabletext"/>
            </w:pPr>
            <w:r w:rsidRPr="005A3C3B">
              <w:t>Total number of social housing dwellings</w:t>
            </w:r>
          </w:p>
        </w:tc>
        <w:tc>
          <w:tcPr>
            <w:tcW w:w="1019" w:type="dxa"/>
            <w:tcBorders>
              <w:top w:val="single" w:sz="4" w:space="0" w:color="BFBFBF" w:themeColor="background1" w:themeShade="BF"/>
              <w:bottom w:val="single" w:sz="4" w:space="0" w:color="BFBFBF" w:themeColor="background1" w:themeShade="BF"/>
            </w:tcBorders>
            <w:hideMark/>
          </w:tcPr>
          <w:p w14:paraId="3BD06EF6" w14:textId="77777777" w:rsidR="0064038E" w:rsidRPr="005A3C3B" w:rsidRDefault="0064038E">
            <w:pPr>
              <w:pStyle w:val="ARtabletext"/>
            </w:pPr>
            <w:r w:rsidRPr="005A3C3B">
              <w:t>number</w:t>
            </w:r>
          </w:p>
        </w:tc>
        <w:tc>
          <w:tcPr>
            <w:tcW w:w="1018" w:type="dxa"/>
            <w:tcBorders>
              <w:top w:val="single" w:sz="4" w:space="0" w:color="BFBFBF" w:themeColor="background1" w:themeShade="BF"/>
              <w:bottom w:val="single" w:sz="4" w:space="0" w:color="BFBFBF" w:themeColor="background1" w:themeShade="BF"/>
            </w:tcBorders>
            <w:hideMark/>
          </w:tcPr>
          <w:p w14:paraId="463DB2FA" w14:textId="77777777" w:rsidR="0064038E" w:rsidRPr="005A3C3B" w:rsidRDefault="0064038E">
            <w:pPr>
              <w:pStyle w:val="ARtabletextright"/>
            </w:pPr>
            <w:r w:rsidRPr="005A3C3B">
              <w:t>91,148</w:t>
            </w:r>
          </w:p>
        </w:tc>
        <w:tc>
          <w:tcPr>
            <w:tcW w:w="1018" w:type="dxa"/>
            <w:tcBorders>
              <w:top w:val="single" w:sz="4" w:space="0" w:color="BFBFBF" w:themeColor="background1" w:themeShade="BF"/>
              <w:bottom w:val="single" w:sz="4" w:space="0" w:color="BFBFBF" w:themeColor="background1" w:themeShade="BF"/>
            </w:tcBorders>
            <w:hideMark/>
          </w:tcPr>
          <w:p w14:paraId="4807F1F8" w14:textId="77777777" w:rsidR="0064038E" w:rsidRPr="005A3C3B" w:rsidRDefault="0064038E">
            <w:pPr>
              <w:pStyle w:val="ARtabletextright"/>
            </w:pPr>
            <w:r w:rsidRPr="005A3C3B">
              <w:t>91,068</w:t>
            </w:r>
          </w:p>
        </w:tc>
        <w:tc>
          <w:tcPr>
            <w:tcW w:w="1023" w:type="dxa"/>
            <w:tcBorders>
              <w:top w:val="single" w:sz="4" w:space="0" w:color="BFBFBF" w:themeColor="background1" w:themeShade="BF"/>
              <w:bottom w:val="single" w:sz="4" w:space="0" w:color="BFBFBF" w:themeColor="background1" w:themeShade="BF"/>
            </w:tcBorders>
          </w:tcPr>
          <w:p w14:paraId="73DA8611" w14:textId="12CF5134" w:rsidR="0064038E" w:rsidRPr="005A3C3B" w:rsidRDefault="00430898">
            <w:pPr>
              <w:pStyle w:val="ARtabletextright"/>
            </w:pPr>
            <w:r>
              <w:t>−</w:t>
            </w:r>
            <w:r w:rsidR="0064038E" w:rsidRPr="005A3C3B">
              <w:t>0.1%</w:t>
            </w:r>
          </w:p>
        </w:tc>
        <w:tc>
          <w:tcPr>
            <w:tcW w:w="809" w:type="dxa"/>
            <w:tcBorders>
              <w:top w:val="single" w:sz="4" w:space="0" w:color="BFBFBF" w:themeColor="background1" w:themeShade="BF"/>
              <w:bottom w:val="single" w:sz="4" w:space="0" w:color="BFBFBF" w:themeColor="background1" w:themeShade="BF"/>
            </w:tcBorders>
            <w:hideMark/>
          </w:tcPr>
          <w:p w14:paraId="21562540" w14:textId="1035B3F2" w:rsidR="0064038E" w:rsidRPr="002E3621" w:rsidRDefault="00DA625C">
            <w:pPr>
              <w:pStyle w:val="ARtableperformancesymbol"/>
              <w:rPr>
                <w:rFonts w:hint="eastAsia"/>
                <w:lang w:val="en-AU"/>
              </w:rPr>
            </w:pPr>
            <w:r w:rsidRPr="005A3C3B">
              <w:t>□</w:t>
            </w:r>
          </w:p>
        </w:tc>
      </w:tr>
      <w:tr w:rsidR="0064038E" w:rsidRPr="00F07EE7" w14:paraId="5DC5D88D" w14:textId="77777777" w:rsidTr="00452C63">
        <w:trPr>
          <w:cantSplit/>
        </w:trPr>
        <w:tc>
          <w:tcPr>
            <w:tcW w:w="4745" w:type="dxa"/>
            <w:tcBorders>
              <w:top w:val="single" w:sz="4" w:space="0" w:color="BFBFBF" w:themeColor="background1" w:themeShade="BF"/>
              <w:bottom w:val="single" w:sz="4" w:space="0" w:color="000000" w:themeColor="text1"/>
            </w:tcBorders>
            <w:hideMark/>
          </w:tcPr>
          <w:p w14:paraId="25733ABD" w14:textId="77777777" w:rsidR="0064038E" w:rsidRPr="00E004BC" w:rsidRDefault="0064038E">
            <w:pPr>
              <w:pStyle w:val="ARtabletext"/>
            </w:pPr>
            <w:r w:rsidRPr="00E004BC">
              <w:t>Total social housing dwellings added during the year</w:t>
            </w:r>
          </w:p>
        </w:tc>
        <w:tc>
          <w:tcPr>
            <w:tcW w:w="1019" w:type="dxa"/>
            <w:tcBorders>
              <w:top w:val="single" w:sz="4" w:space="0" w:color="BFBFBF" w:themeColor="background1" w:themeShade="BF"/>
              <w:bottom w:val="single" w:sz="4" w:space="0" w:color="000000" w:themeColor="text1"/>
            </w:tcBorders>
            <w:hideMark/>
          </w:tcPr>
          <w:p w14:paraId="50A13835" w14:textId="77777777" w:rsidR="0064038E" w:rsidRPr="00E004BC" w:rsidRDefault="0064038E">
            <w:pPr>
              <w:pStyle w:val="ARtabletext"/>
            </w:pPr>
            <w:r>
              <w:t>number</w:t>
            </w:r>
          </w:p>
        </w:tc>
        <w:tc>
          <w:tcPr>
            <w:tcW w:w="1018" w:type="dxa"/>
            <w:tcBorders>
              <w:top w:val="single" w:sz="4" w:space="0" w:color="BFBFBF" w:themeColor="background1" w:themeShade="BF"/>
              <w:bottom w:val="single" w:sz="4" w:space="0" w:color="000000" w:themeColor="text1"/>
            </w:tcBorders>
            <w:hideMark/>
          </w:tcPr>
          <w:p w14:paraId="53F61C89" w14:textId="77777777" w:rsidR="0064038E" w:rsidRPr="00E004BC" w:rsidRDefault="0064038E">
            <w:pPr>
              <w:pStyle w:val="ARtabletextright"/>
            </w:pPr>
            <w:r w:rsidRPr="00E004BC">
              <w:t>2,379</w:t>
            </w:r>
          </w:p>
        </w:tc>
        <w:tc>
          <w:tcPr>
            <w:tcW w:w="1018" w:type="dxa"/>
            <w:tcBorders>
              <w:top w:val="single" w:sz="4" w:space="0" w:color="BFBFBF" w:themeColor="background1" w:themeShade="BF"/>
              <w:bottom w:val="single" w:sz="4" w:space="0" w:color="000000" w:themeColor="text1"/>
            </w:tcBorders>
            <w:hideMark/>
          </w:tcPr>
          <w:p w14:paraId="23B19CAC" w14:textId="77777777" w:rsidR="0064038E" w:rsidRPr="00E004BC" w:rsidRDefault="0064038E">
            <w:pPr>
              <w:pStyle w:val="ARtabletextright"/>
            </w:pPr>
            <w:r w:rsidRPr="00E004BC">
              <w:t>2,</w:t>
            </w:r>
            <w:r>
              <w:t>39</w:t>
            </w:r>
            <w:r w:rsidRPr="00E004BC">
              <w:t>2</w:t>
            </w:r>
          </w:p>
        </w:tc>
        <w:tc>
          <w:tcPr>
            <w:tcW w:w="1023" w:type="dxa"/>
            <w:tcBorders>
              <w:top w:val="single" w:sz="4" w:space="0" w:color="BFBFBF" w:themeColor="background1" w:themeShade="BF"/>
              <w:bottom w:val="single" w:sz="4" w:space="0" w:color="000000" w:themeColor="text1"/>
            </w:tcBorders>
          </w:tcPr>
          <w:p w14:paraId="6FD43159" w14:textId="77777777" w:rsidR="0064038E" w:rsidRPr="00E004BC" w:rsidRDefault="0064038E">
            <w:pPr>
              <w:pStyle w:val="ARtabletextright"/>
            </w:pPr>
            <w:r>
              <w:t>0</w:t>
            </w:r>
            <w:r w:rsidRPr="00E004BC">
              <w:t>.</w:t>
            </w:r>
            <w:r>
              <w:t>5</w:t>
            </w:r>
            <w:r w:rsidRPr="00E004BC">
              <w:t>%</w:t>
            </w:r>
          </w:p>
        </w:tc>
        <w:tc>
          <w:tcPr>
            <w:tcW w:w="809" w:type="dxa"/>
            <w:tcBorders>
              <w:top w:val="single" w:sz="4" w:space="0" w:color="BFBFBF" w:themeColor="background1" w:themeShade="BF"/>
              <w:bottom w:val="single" w:sz="4" w:space="0" w:color="000000" w:themeColor="text1"/>
            </w:tcBorders>
            <w:hideMark/>
          </w:tcPr>
          <w:p w14:paraId="3A760C62" w14:textId="77777777" w:rsidR="0064038E" w:rsidRPr="00E004BC" w:rsidRDefault="0064038E">
            <w:pPr>
              <w:pStyle w:val="ARtableperformancesymbol"/>
              <w:rPr>
                <w:rFonts w:hint="eastAsia"/>
                <w:lang w:val="en-AU"/>
              </w:rPr>
            </w:pPr>
            <w:r w:rsidRPr="00E004BC">
              <w:rPr>
                <w:rFonts w:eastAsia="Wingdings" w:cs="Wingdings"/>
              </w:rPr>
              <w:t></w:t>
            </w:r>
          </w:p>
        </w:tc>
      </w:tr>
      <w:tr w:rsidR="0064038E" w:rsidRPr="00EB1076" w14:paraId="5D99FA67" w14:textId="77777777" w:rsidTr="00452C63">
        <w:trPr>
          <w:cantSplit/>
        </w:trPr>
        <w:tc>
          <w:tcPr>
            <w:tcW w:w="9632" w:type="dxa"/>
            <w:gridSpan w:val="6"/>
            <w:tcBorders>
              <w:top w:val="single" w:sz="4" w:space="0" w:color="000000" w:themeColor="text1"/>
              <w:bottom w:val="single" w:sz="4" w:space="0" w:color="A6A6A6" w:themeColor="accent5"/>
            </w:tcBorders>
            <w:noWrap/>
          </w:tcPr>
          <w:p w14:paraId="0A1187F8" w14:textId="77777777" w:rsidR="0064038E" w:rsidRPr="00EB1076" w:rsidRDefault="0064038E" w:rsidP="00E835B0">
            <w:pPr>
              <w:pStyle w:val="ARtablegreybold"/>
            </w:pPr>
            <w:r w:rsidRPr="00EB1076">
              <w:t>Quality</w:t>
            </w:r>
          </w:p>
        </w:tc>
      </w:tr>
      <w:tr w:rsidR="0064038E" w:rsidRPr="00F07EE7" w14:paraId="024226A4" w14:textId="77777777" w:rsidTr="00452C63">
        <w:trPr>
          <w:cantSplit/>
        </w:trPr>
        <w:tc>
          <w:tcPr>
            <w:tcW w:w="4745" w:type="dxa"/>
            <w:tcBorders>
              <w:top w:val="single" w:sz="4" w:space="0" w:color="A6A6A6" w:themeColor="accent5"/>
              <w:bottom w:val="nil"/>
            </w:tcBorders>
          </w:tcPr>
          <w:p w14:paraId="77281BEE" w14:textId="77777777" w:rsidR="0064038E" w:rsidRPr="005A3C3B" w:rsidRDefault="0064038E">
            <w:pPr>
              <w:pStyle w:val="ARtabletext"/>
            </w:pPr>
            <w:r w:rsidRPr="005A3C3B">
              <w:t>Proportion of homelessness services clients that engage with support services and access or maintain housing </w:t>
            </w:r>
          </w:p>
        </w:tc>
        <w:tc>
          <w:tcPr>
            <w:tcW w:w="1019" w:type="dxa"/>
            <w:tcBorders>
              <w:top w:val="single" w:sz="4" w:space="0" w:color="A6A6A6" w:themeColor="accent5"/>
              <w:bottom w:val="nil"/>
            </w:tcBorders>
          </w:tcPr>
          <w:p w14:paraId="58C4637C" w14:textId="77777777" w:rsidR="0064038E" w:rsidRPr="005A3C3B" w:rsidRDefault="0064038E">
            <w:pPr>
              <w:pStyle w:val="ARtabletext"/>
            </w:pPr>
            <w:r w:rsidRPr="005A3C3B">
              <w:t>per cent</w:t>
            </w:r>
          </w:p>
        </w:tc>
        <w:tc>
          <w:tcPr>
            <w:tcW w:w="1018" w:type="dxa"/>
            <w:tcBorders>
              <w:top w:val="single" w:sz="4" w:space="0" w:color="A6A6A6" w:themeColor="accent5"/>
              <w:bottom w:val="nil"/>
            </w:tcBorders>
          </w:tcPr>
          <w:p w14:paraId="012966CA" w14:textId="77777777" w:rsidR="0064038E" w:rsidRPr="005A3C3B" w:rsidRDefault="0064038E">
            <w:pPr>
              <w:pStyle w:val="ARtabletextright"/>
            </w:pPr>
            <w:r w:rsidRPr="005A3C3B">
              <w:t>77.0</w:t>
            </w:r>
          </w:p>
        </w:tc>
        <w:tc>
          <w:tcPr>
            <w:tcW w:w="1018" w:type="dxa"/>
            <w:tcBorders>
              <w:top w:val="single" w:sz="4" w:space="0" w:color="A6A6A6" w:themeColor="accent5"/>
              <w:bottom w:val="nil"/>
            </w:tcBorders>
          </w:tcPr>
          <w:p w14:paraId="2C590596" w14:textId="1AEA07E9" w:rsidR="0064038E" w:rsidRPr="005A3C3B" w:rsidRDefault="0064038E">
            <w:pPr>
              <w:pStyle w:val="ARtabletextright"/>
            </w:pPr>
            <w:r w:rsidRPr="005A3C3B">
              <w:t>7</w:t>
            </w:r>
            <w:r w:rsidR="009C4C3E" w:rsidRPr="005A3C3B">
              <w:t>6.4</w:t>
            </w:r>
          </w:p>
        </w:tc>
        <w:tc>
          <w:tcPr>
            <w:tcW w:w="1023" w:type="dxa"/>
            <w:tcBorders>
              <w:top w:val="single" w:sz="4" w:space="0" w:color="A6A6A6" w:themeColor="accent5"/>
              <w:bottom w:val="nil"/>
            </w:tcBorders>
          </w:tcPr>
          <w:p w14:paraId="6E3819CA" w14:textId="3FA33D82" w:rsidR="0064038E" w:rsidRPr="005A3C3B" w:rsidRDefault="00430898">
            <w:pPr>
              <w:pStyle w:val="ARtabletextright"/>
            </w:pPr>
            <w:r>
              <w:t>−</w:t>
            </w:r>
            <w:r w:rsidR="0064038E" w:rsidRPr="005A3C3B">
              <w:t>0.</w:t>
            </w:r>
            <w:r w:rsidR="00404167" w:rsidRPr="005A3C3B">
              <w:t>8</w:t>
            </w:r>
            <w:r w:rsidR="0064038E" w:rsidRPr="005A3C3B">
              <w:t>%</w:t>
            </w:r>
          </w:p>
        </w:tc>
        <w:tc>
          <w:tcPr>
            <w:tcW w:w="809" w:type="dxa"/>
            <w:tcBorders>
              <w:top w:val="single" w:sz="4" w:space="0" w:color="A6A6A6" w:themeColor="accent5"/>
              <w:bottom w:val="nil"/>
            </w:tcBorders>
          </w:tcPr>
          <w:p w14:paraId="79425EF7" w14:textId="55BF5359" w:rsidR="0064038E" w:rsidRPr="004A6737" w:rsidRDefault="00404167">
            <w:pPr>
              <w:pStyle w:val="ARtableperformancesymbol"/>
              <w:rPr>
                <w:rFonts w:hint="eastAsia"/>
                <w:lang w:val="en-AU"/>
              </w:rPr>
            </w:pPr>
            <w:r w:rsidRPr="005A3C3B">
              <w:t>□</w:t>
            </w:r>
          </w:p>
        </w:tc>
      </w:tr>
      <w:tr w:rsidR="0064038E" w:rsidRPr="00CE1F3A" w14:paraId="114FE6AD" w14:textId="77777777" w:rsidTr="00452C63">
        <w:trPr>
          <w:cantSplit/>
        </w:trPr>
        <w:tc>
          <w:tcPr>
            <w:tcW w:w="4745" w:type="dxa"/>
            <w:tcBorders>
              <w:top w:val="single" w:sz="4" w:space="0" w:color="D9D9D9" w:themeColor="background1" w:themeShade="D9"/>
              <w:bottom w:val="nil"/>
            </w:tcBorders>
          </w:tcPr>
          <w:p w14:paraId="33607D3E" w14:textId="71AD7958" w:rsidR="0064038E" w:rsidRPr="00CE1F3A" w:rsidRDefault="0064038E">
            <w:pPr>
              <w:pStyle w:val="ARtabletext"/>
            </w:pPr>
            <w:r w:rsidRPr="00CE1F3A">
              <w:t xml:space="preserve">Social housing tenants satisfied with completed </w:t>
            </w:r>
            <w:r w:rsidR="00D1487F">
              <w:br/>
            </w:r>
            <w:r w:rsidRPr="00CE1F3A">
              <w:t>non-urgent maintenance works</w:t>
            </w:r>
          </w:p>
        </w:tc>
        <w:tc>
          <w:tcPr>
            <w:tcW w:w="1019" w:type="dxa"/>
            <w:tcBorders>
              <w:top w:val="single" w:sz="4" w:space="0" w:color="D9D9D9" w:themeColor="background1" w:themeShade="D9"/>
              <w:bottom w:val="nil"/>
            </w:tcBorders>
          </w:tcPr>
          <w:p w14:paraId="17B17816" w14:textId="77777777" w:rsidR="0064038E" w:rsidRPr="00CE1F3A" w:rsidRDefault="0064038E">
            <w:pPr>
              <w:pStyle w:val="ARtabletext"/>
            </w:pPr>
            <w:r>
              <w:t>per cent</w:t>
            </w:r>
          </w:p>
        </w:tc>
        <w:tc>
          <w:tcPr>
            <w:tcW w:w="1018" w:type="dxa"/>
            <w:tcBorders>
              <w:top w:val="single" w:sz="4" w:space="0" w:color="D9D9D9" w:themeColor="background1" w:themeShade="D9"/>
              <w:bottom w:val="nil"/>
            </w:tcBorders>
          </w:tcPr>
          <w:p w14:paraId="0E589F30" w14:textId="77777777" w:rsidR="0064038E" w:rsidRPr="00CE1F3A" w:rsidRDefault="0064038E">
            <w:pPr>
              <w:pStyle w:val="ARtabletextright"/>
            </w:pPr>
            <w:r w:rsidRPr="00CE1F3A">
              <w:t>80.0</w:t>
            </w:r>
          </w:p>
        </w:tc>
        <w:tc>
          <w:tcPr>
            <w:tcW w:w="1018" w:type="dxa"/>
            <w:tcBorders>
              <w:top w:val="single" w:sz="4" w:space="0" w:color="D9D9D9" w:themeColor="background1" w:themeShade="D9"/>
              <w:bottom w:val="nil"/>
            </w:tcBorders>
          </w:tcPr>
          <w:p w14:paraId="78DFBAF1" w14:textId="77777777" w:rsidR="0064038E" w:rsidRPr="00CE1F3A" w:rsidRDefault="0064038E">
            <w:pPr>
              <w:pStyle w:val="ARtabletextright"/>
            </w:pPr>
            <w:r w:rsidRPr="00CE1F3A">
              <w:t>74.0</w:t>
            </w:r>
          </w:p>
        </w:tc>
        <w:tc>
          <w:tcPr>
            <w:tcW w:w="1023" w:type="dxa"/>
            <w:tcBorders>
              <w:top w:val="single" w:sz="4" w:space="0" w:color="D9D9D9" w:themeColor="background1" w:themeShade="D9"/>
              <w:bottom w:val="nil"/>
            </w:tcBorders>
          </w:tcPr>
          <w:p w14:paraId="3A13ACD5" w14:textId="4215D309" w:rsidR="0064038E" w:rsidRPr="00CE1F3A" w:rsidRDefault="00430898">
            <w:pPr>
              <w:pStyle w:val="ARtabletextright"/>
            </w:pPr>
            <w:r>
              <w:t>−</w:t>
            </w:r>
            <w:r w:rsidR="0064038E" w:rsidRPr="00CE1F3A">
              <w:t>7.5%</w:t>
            </w:r>
          </w:p>
        </w:tc>
        <w:tc>
          <w:tcPr>
            <w:tcW w:w="809" w:type="dxa"/>
            <w:tcBorders>
              <w:top w:val="single" w:sz="4" w:space="0" w:color="D9D9D9" w:themeColor="background1" w:themeShade="D9"/>
              <w:bottom w:val="nil"/>
            </w:tcBorders>
          </w:tcPr>
          <w:p w14:paraId="1FDA35D5" w14:textId="77777777" w:rsidR="0064038E" w:rsidRPr="00CE1F3A" w:rsidRDefault="0064038E">
            <w:pPr>
              <w:pStyle w:val="ARtableperformancesymbol"/>
              <w:rPr>
                <w:rFonts w:eastAsia="Wingdings" w:cs="Wingdings"/>
              </w:rPr>
            </w:pPr>
            <w:r w:rsidRPr="00CE1F3A">
              <w:rPr>
                <w:rFonts w:eastAsia="Wingdings" w:cs="Wingdings"/>
              </w:rPr>
              <w:t></w:t>
            </w:r>
          </w:p>
        </w:tc>
      </w:tr>
      <w:tr w:rsidR="0064038E" w:rsidRPr="00F07EE7" w14:paraId="643CA2DF" w14:textId="77777777">
        <w:tblPrEx>
          <w:tblBorders>
            <w:left w:val="single" w:sz="4" w:space="0" w:color="auto"/>
            <w:right w:val="single" w:sz="4" w:space="0" w:color="auto"/>
            <w:insideH w:val="single" w:sz="4" w:space="0" w:color="auto"/>
            <w:insideV w:val="single" w:sz="4" w:space="0" w:color="auto"/>
          </w:tblBorders>
        </w:tblPrEx>
        <w:trPr>
          <w:cantSplit/>
        </w:trPr>
        <w:tc>
          <w:tcPr>
            <w:tcW w:w="9632" w:type="dxa"/>
            <w:gridSpan w:val="6"/>
            <w:tcBorders>
              <w:top w:val="nil"/>
              <w:left w:val="nil"/>
              <w:bottom w:val="single" w:sz="4" w:space="0" w:color="A6A6A6" w:themeColor="background1" w:themeShade="A6"/>
              <w:right w:val="nil"/>
            </w:tcBorders>
          </w:tcPr>
          <w:p w14:paraId="41513A76" w14:textId="77777777" w:rsidR="0064038E" w:rsidRPr="005F4841" w:rsidRDefault="0064038E" w:rsidP="00130336">
            <w:pPr>
              <w:pStyle w:val="ARtablenoteindent"/>
              <w:rPr>
                <w:highlight w:val="yellow"/>
              </w:rPr>
            </w:pPr>
            <w:r w:rsidRPr="00A86630">
              <w:t>The 2024</w:t>
            </w:r>
            <w:r>
              <w:t>–</w:t>
            </w:r>
            <w:r w:rsidRPr="00A86630">
              <w:t xml:space="preserve">25 </w:t>
            </w:r>
            <w:r w:rsidRPr="00130336">
              <w:t>result</w:t>
            </w:r>
            <w:r w:rsidRPr="00A86630">
              <w:t xml:space="preserve"> is lower than the target </w:t>
            </w:r>
            <w:proofErr w:type="gramStart"/>
            <w:r w:rsidRPr="00A86630">
              <w:t>as a result of</w:t>
            </w:r>
            <w:proofErr w:type="gramEnd"/>
            <w:r w:rsidRPr="00A86630">
              <w:t xml:space="preserve"> shifting the methodology for obtaining feedback from outbound phone calls to an SMS survey.</w:t>
            </w:r>
          </w:p>
        </w:tc>
      </w:tr>
      <w:tr w:rsidR="0064038E" w:rsidRPr="00F07EE7" w14:paraId="13D359E0" w14:textId="77777777">
        <w:trPr>
          <w:cantSplit/>
        </w:trPr>
        <w:tc>
          <w:tcPr>
            <w:tcW w:w="4745" w:type="dxa"/>
            <w:tcBorders>
              <w:top w:val="single" w:sz="4" w:space="0" w:color="D9D9D9" w:themeColor="background1" w:themeShade="D9"/>
              <w:bottom w:val="nil"/>
            </w:tcBorders>
            <w:hideMark/>
          </w:tcPr>
          <w:p w14:paraId="05413555" w14:textId="77777777" w:rsidR="0064038E" w:rsidRPr="00CE1F3A" w:rsidRDefault="0064038E">
            <w:pPr>
              <w:pStyle w:val="ARtabletext"/>
            </w:pPr>
            <w:r w:rsidRPr="00CE1F3A">
              <w:t>Social housing tenants satisfied with completed urgent maintenance works</w:t>
            </w:r>
          </w:p>
        </w:tc>
        <w:tc>
          <w:tcPr>
            <w:tcW w:w="1019" w:type="dxa"/>
            <w:tcBorders>
              <w:top w:val="single" w:sz="4" w:space="0" w:color="D9D9D9" w:themeColor="background1" w:themeShade="D9"/>
              <w:bottom w:val="nil"/>
            </w:tcBorders>
            <w:hideMark/>
          </w:tcPr>
          <w:p w14:paraId="31A7BC12" w14:textId="77777777" w:rsidR="0064038E" w:rsidRPr="00CE1F3A" w:rsidRDefault="0064038E">
            <w:pPr>
              <w:pStyle w:val="ARtabletext"/>
            </w:pPr>
            <w:r>
              <w:t>per cent</w:t>
            </w:r>
          </w:p>
        </w:tc>
        <w:tc>
          <w:tcPr>
            <w:tcW w:w="1018" w:type="dxa"/>
            <w:tcBorders>
              <w:top w:val="single" w:sz="4" w:space="0" w:color="D9D9D9" w:themeColor="background1" w:themeShade="D9"/>
              <w:bottom w:val="nil"/>
            </w:tcBorders>
          </w:tcPr>
          <w:p w14:paraId="0AE6CF3E" w14:textId="77777777" w:rsidR="0064038E" w:rsidRPr="00CE1F3A" w:rsidRDefault="0064038E">
            <w:pPr>
              <w:pStyle w:val="ARtabletextright"/>
            </w:pPr>
            <w:r w:rsidRPr="00CE1F3A">
              <w:t>85.0</w:t>
            </w:r>
          </w:p>
        </w:tc>
        <w:tc>
          <w:tcPr>
            <w:tcW w:w="1018" w:type="dxa"/>
            <w:tcBorders>
              <w:top w:val="single" w:sz="4" w:space="0" w:color="A6A6A6" w:themeColor="background1" w:themeShade="A6"/>
              <w:bottom w:val="nil"/>
            </w:tcBorders>
          </w:tcPr>
          <w:p w14:paraId="53A922B0" w14:textId="77777777" w:rsidR="0064038E" w:rsidRPr="00CE1F3A" w:rsidRDefault="0064038E">
            <w:pPr>
              <w:pStyle w:val="ARtabletextright"/>
            </w:pPr>
            <w:r w:rsidRPr="00CE1F3A">
              <w:t>75.0</w:t>
            </w:r>
          </w:p>
        </w:tc>
        <w:tc>
          <w:tcPr>
            <w:tcW w:w="1023" w:type="dxa"/>
            <w:tcBorders>
              <w:top w:val="single" w:sz="4" w:space="0" w:color="A6A6A6" w:themeColor="background1" w:themeShade="A6"/>
              <w:bottom w:val="nil"/>
            </w:tcBorders>
          </w:tcPr>
          <w:p w14:paraId="1AA49760" w14:textId="77D7B44A" w:rsidR="0064038E" w:rsidRPr="00CE1F3A" w:rsidRDefault="00430898">
            <w:pPr>
              <w:pStyle w:val="ARtabletextright"/>
            </w:pPr>
            <w:r>
              <w:t>−</w:t>
            </w:r>
            <w:r w:rsidR="0064038E" w:rsidRPr="00CE1F3A">
              <w:t>11.8%</w:t>
            </w:r>
          </w:p>
        </w:tc>
        <w:tc>
          <w:tcPr>
            <w:tcW w:w="809" w:type="dxa"/>
            <w:tcBorders>
              <w:top w:val="single" w:sz="4" w:space="0" w:color="A6A6A6" w:themeColor="background1" w:themeShade="A6"/>
              <w:bottom w:val="nil"/>
            </w:tcBorders>
            <w:hideMark/>
          </w:tcPr>
          <w:p w14:paraId="375004C2" w14:textId="77777777" w:rsidR="0064038E" w:rsidRPr="00CE1F3A" w:rsidRDefault="0064038E">
            <w:pPr>
              <w:pStyle w:val="ARtableperformancesymbol"/>
              <w:rPr>
                <w:rFonts w:hint="eastAsia"/>
                <w:lang w:val="en-AU"/>
              </w:rPr>
            </w:pPr>
            <w:r w:rsidRPr="00CE1F3A">
              <w:rPr>
                <w:rFonts w:eastAsia="Wingdings" w:cs="Wingdings"/>
              </w:rPr>
              <w:t></w:t>
            </w:r>
          </w:p>
        </w:tc>
      </w:tr>
      <w:tr w:rsidR="0064038E" w:rsidRPr="00F07EE7" w14:paraId="5AAE66E0" w14:textId="77777777" w:rsidTr="006C102A">
        <w:trPr>
          <w:cantSplit/>
        </w:trPr>
        <w:tc>
          <w:tcPr>
            <w:tcW w:w="9632" w:type="dxa"/>
            <w:gridSpan w:val="6"/>
            <w:tcBorders>
              <w:top w:val="nil"/>
              <w:bottom w:val="single" w:sz="4" w:space="0" w:color="000000" w:themeColor="text1"/>
            </w:tcBorders>
            <w:noWrap/>
            <w:hideMark/>
          </w:tcPr>
          <w:p w14:paraId="2E2BA039" w14:textId="77777777" w:rsidR="0064038E" w:rsidRPr="00F07EE7" w:rsidRDefault="0064038E" w:rsidP="00130336">
            <w:pPr>
              <w:pStyle w:val="ARtablenoteindent"/>
              <w:rPr>
                <w:highlight w:val="cyan"/>
              </w:rPr>
            </w:pPr>
            <w:r w:rsidRPr="00E06016">
              <w:t>The 2024</w:t>
            </w:r>
            <w:r>
              <w:t>–</w:t>
            </w:r>
            <w:r w:rsidRPr="00E06016">
              <w:t xml:space="preserve">25 result is </w:t>
            </w:r>
            <w:r w:rsidRPr="00130336">
              <w:t>lower</w:t>
            </w:r>
            <w:r w:rsidRPr="00E06016">
              <w:t xml:space="preserve"> than the target </w:t>
            </w:r>
            <w:proofErr w:type="gramStart"/>
            <w:r w:rsidRPr="00E06016">
              <w:t>as a result of</w:t>
            </w:r>
            <w:proofErr w:type="gramEnd"/>
            <w:r w:rsidRPr="00E06016">
              <w:t xml:space="preserve"> shifting the methodology for obtaining feedback from outbound phone calls to an SMS survey. An increase in the number of jobs raised as urgent has also impacted this outcome.</w:t>
            </w:r>
          </w:p>
        </w:tc>
      </w:tr>
      <w:tr w:rsidR="0064038E" w:rsidRPr="00EB1076" w14:paraId="6C3E2E17" w14:textId="77777777" w:rsidTr="00452C63">
        <w:trPr>
          <w:cantSplit/>
        </w:trPr>
        <w:tc>
          <w:tcPr>
            <w:tcW w:w="9632" w:type="dxa"/>
            <w:gridSpan w:val="6"/>
            <w:tcBorders>
              <w:top w:val="single" w:sz="4" w:space="0" w:color="000000" w:themeColor="text1"/>
              <w:bottom w:val="single" w:sz="4" w:space="0" w:color="A6A6A6" w:themeColor="accent5"/>
            </w:tcBorders>
            <w:noWrap/>
          </w:tcPr>
          <w:p w14:paraId="6FAD73BE" w14:textId="77777777" w:rsidR="0064038E" w:rsidRPr="00EB1076" w:rsidRDefault="0064038E" w:rsidP="00B55528">
            <w:pPr>
              <w:pStyle w:val="ARtablegreybold"/>
              <w:keepNext/>
              <w:keepLines/>
            </w:pPr>
            <w:r w:rsidRPr="00EB1076">
              <w:lastRenderedPageBreak/>
              <w:t>Timeliness</w:t>
            </w:r>
          </w:p>
        </w:tc>
      </w:tr>
      <w:tr w:rsidR="0064038E" w:rsidRPr="00C732B9" w14:paraId="2686E3D6" w14:textId="77777777" w:rsidTr="00452C63">
        <w:trPr>
          <w:cantSplit/>
        </w:trPr>
        <w:tc>
          <w:tcPr>
            <w:tcW w:w="4745" w:type="dxa"/>
            <w:tcBorders>
              <w:top w:val="single" w:sz="4" w:space="0" w:color="A6A6A6" w:themeColor="accent5"/>
              <w:bottom w:val="nil"/>
            </w:tcBorders>
            <w:hideMark/>
          </w:tcPr>
          <w:p w14:paraId="287B221E" w14:textId="77777777" w:rsidR="0064038E" w:rsidRPr="00F07EE7" w:rsidRDefault="0064038E">
            <w:pPr>
              <w:pStyle w:val="ARtabletext"/>
              <w:keepNext/>
              <w:rPr>
                <w:highlight w:val="cyan"/>
              </w:rPr>
            </w:pPr>
            <w:r w:rsidRPr="00C16FB7">
              <w:t>Average waiting time for long-term social housing for clients who have received a priority access housing or priority transfer allocation due to family violence</w:t>
            </w:r>
          </w:p>
        </w:tc>
        <w:tc>
          <w:tcPr>
            <w:tcW w:w="1019" w:type="dxa"/>
            <w:tcBorders>
              <w:top w:val="single" w:sz="4" w:space="0" w:color="A6A6A6" w:themeColor="accent5"/>
              <w:bottom w:val="nil"/>
            </w:tcBorders>
            <w:hideMark/>
          </w:tcPr>
          <w:p w14:paraId="16D892D2" w14:textId="77777777" w:rsidR="0064038E" w:rsidRPr="00F07EE7" w:rsidRDefault="0064038E">
            <w:pPr>
              <w:pStyle w:val="ARtabletext"/>
              <w:rPr>
                <w:highlight w:val="cyan"/>
              </w:rPr>
            </w:pPr>
            <w:r w:rsidRPr="00C16FB7">
              <w:t>Timeliness months</w:t>
            </w:r>
          </w:p>
        </w:tc>
        <w:tc>
          <w:tcPr>
            <w:tcW w:w="1018" w:type="dxa"/>
            <w:tcBorders>
              <w:top w:val="single" w:sz="4" w:space="0" w:color="A6A6A6" w:themeColor="accent5"/>
              <w:bottom w:val="nil"/>
            </w:tcBorders>
          </w:tcPr>
          <w:p w14:paraId="0D85456E" w14:textId="77777777" w:rsidR="0064038E" w:rsidRPr="00F07EE7" w:rsidRDefault="0064038E">
            <w:pPr>
              <w:pStyle w:val="ARtabletextright"/>
              <w:rPr>
                <w:highlight w:val="cyan"/>
              </w:rPr>
            </w:pPr>
            <w:r w:rsidRPr="00C16FB7">
              <w:t>10.5</w:t>
            </w:r>
          </w:p>
        </w:tc>
        <w:tc>
          <w:tcPr>
            <w:tcW w:w="1018" w:type="dxa"/>
            <w:tcBorders>
              <w:top w:val="single" w:sz="4" w:space="0" w:color="A6A6A6" w:themeColor="accent5"/>
              <w:bottom w:val="nil"/>
            </w:tcBorders>
          </w:tcPr>
          <w:p w14:paraId="4CC536D8" w14:textId="77777777" w:rsidR="0064038E" w:rsidRPr="00C732B9" w:rsidRDefault="0064038E">
            <w:pPr>
              <w:pStyle w:val="ARtabletextright"/>
            </w:pPr>
            <w:r w:rsidRPr="00C732B9">
              <w:t>17.3</w:t>
            </w:r>
          </w:p>
        </w:tc>
        <w:tc>
          <w:tcPr>
            <w:tcW w:w="1023" w:type="dxa"/>
            <w:tcBorders>
              <w:top w:val="single" w:sz="4" w:space="0" w:color="A6A6A6" w:themeColor="accent5"/>
              <w:bottom w:val="nil"/>
            </w:tcBorders>
          </w:tcPr>
          <w:p w14:paraId="44D5EAEA" w14:textId="77777777" w:rsidR="0064038E" w:rsidRPr="00C732B9" w:rsidRDefault="0064038E">
            <w:pPr>
              <w:pStyle w:val="ARtabletextright"/>
            </w:pPr>
            <w:r w:rsidRPr="00C732B9">
              <w:t>64.8%</w:t>
            </w:r>
          </w:p>
        </w:tc>
        <w:tc>
          <w:tcPr>
            <w:tcW w:w="809" w:type="dxa"/>
            <w:tcBorders>
              <w:top w:val="single" w:sz="4" w:space="0" w:color="A6A6A6" w:themeColor="accent5"/>
              <w:bottom w:val="nil"/>
            </w:tcBorders>
            <w:hideMark/>
          </w:tcPr>
          <w:p w14:paraId="5DA1E2CE" w14:textId="77777777" w:rsidR="0064038E" w:rsidRPr="00C732B9" w:rsidRDefault="0064038E">
            <w:pPr>
              <w:pStyle w:val="ARtableperformancesymbol"/>
              <w:rPr>
                <w:rFonts w:hint="eastAsia"/>
                <w:lang w:val="en-AU"/>
              </w:rPr>
            </w:pPr>
            <w:r w:rsidRPr="00C732B9">
              <w:rPr>
                <w:rFonts w:eastAsia="Wingdings" w:cs="Wingdings"/>
              </w:rPr>
              <w:t></w:t>
            </w:r>
          </w:p>
        </w:tc>
      </w:tr>
      <w:tr w:rsidR="0064038E" w:rsidRPr="00F07EE7" w14:paraId="544968AB" w14:textId="77777777" w:rsidTr="00452C63">
        <w:trPr>
          <w:cantSplit/>
        </w:trPr>
        <w:tc>
          <w:tcPr>
            <w:tcW w:w="9632" w:type="dxa"/>
            <w:gridSpan w:val="6"/>
            <w:tcBorders>
              <w:top w:val="nil"/>
              <w:bottom w:val="single" w:sz="4" w:space="0" w:color="A6A6A6"/>
            </w:tcBorders>
          </w:tcPr>
          <w:p w14:paraId="1FDF4AE8" w14:textId="77777777" w:rsidR="0064038E" w:rsidRPr="00F07EE7" w:rsidRDefault="0064038E" w:rsidP="00130336">
            <w:pPr>
              <w:pStyle w:val="ARtablenoteindent"/>
              <w:rPr>
                <w:highlight w:val="cyan"/>
              </w:rPr>
            </w:pPr>
            <w:r w:rsidRPr="006D18CC">
              <w:t xml:space="preserve">This measure was introduced </w:t>
            </w:r>
            <w:r w:rsidRPr="00130336">
              <w:t>in</w:t>
            </w:r>
            <w:r w:rsidRPr="006D18CC">
              <w:t xml:space="preserve"> 2024</w:t>
            </w:r>
            <w:r>
              <w:t>–</w:t>
            </w:r>
            <w:r w:rsidRPr="006D18CC">
              <w:t>25 to more accurately reflect waiting times for social housing. Although the 2024</w:t>
            </w:r>
            <w:r>
              <w:t>–</w:t>
            </w:r>
            <w:r w:rsidRPr="006D18CC">
              <w:t>25 result is lower than the target, the waiting time improved over the past year, reflecting new social housing stock coming online.</w:t>
            </w:r>
          </w:p>
        </w:tc>
      </w:tr>
      <w:tr w:rsidR="0064038E" w:rsidRPr="00F07EE7" w14:paraId="0F63A7CD" w14:textId="77777777" w:rsidTr="00452C63">
        <w:trPr>
          <w:cantSplit/>
        </w:trPr>
        <w:tc>
          <w:tcPr>
            <w:tcW w:w="4745" w:type="dxa"/>
            <w:tcBorders>
              <w:top w:val="single" w:sz="4" w:space="0" w:color="A6A6A6"/>
              <w:bottom w:val="nil"/>
            </w:tcBorders>
          </w:tcPr>
          <w:p w14:paraId="1F413F6A" w14:textId="77777777" w:rsidR="0064038E" w:rsidRPr="006D18CC" w:rsidRDefault="0064038E">
            <w:pPr>
              <w:pStyle w:val="ARtabletext"/>
              <w:keepNext/>
            </w:pPr>
            <w:r w:rsidRPr="006D18CC">
              <w:t>Average waiting time for long-term social housing for those clients who have received priority access housing allocation or a priority transfer</w:t>
            </w:r>
          </w:p>
        </w:tc>
        <w:tc>
          <w:tcPr>
            <w:tcW w:w="1019" w:type="dxa"/>
            <w:tcBorders>
              <w:top w:val="single" w:sz="4" w:space="0" w:color="A6A6A6"/>
              <w:bottom w:val="nil"/>
            </w:tcBorders>
          </w:tcPr>
          <w:p w14:paraId="252A9070" w14:textId="77777777" w:rsidR="0064038E" w:rsidRPr="006D18CC" w:rsidRDefault="0064038E">
            <w:pPr>
              <w:pStyle w:val="ARtabletext"/>
            </w:pPr>
            <w:r w:rsidRPr="006D18CC">
              <w:t>Timeliness months</w:t>
            </w:r>
          </w:p>
        </w:tc>
        <w:tc>
          <w:tcPr>
            <w:tcW w:w="1018" w:type="dxa"/>
            <w:tcBorders>
              <w:top w:val="single" w:sz="4" w:space="0" w:color="A6A6A6"/>
              <w:bottom w:val="nil"/>
            </w:tcBorders>
          </w:tcPr>
          <w:p w14:paraId="6CF3E4BD" w14:textId="77777777" w:rsidR="0064038E" w:rsidRPr="006D18CC" w:rsidRDefault="0064038E">
            <w:pPr>
              <w:pStyle w:val="ARtabletextright"/>
            </w:pPr>
            <w:r w:rsidRPr="006D18CC">
              <w:t>10.5</w:t>
            </w:r>
          </w:p>
        </w:tc>
        <w:tc>
          <w:tcPr>
            <w:tcW w:w="1018" w:type="dxa"/>
            <w:tcBorders>
              <w:top w:val="single" w:sz="4" w:space="0" w:color="A6A6A6"/>
              <w:bottom w:val="nil"/>
            </w:tcBorders>
          </w:tcPr>
          <w:p w14:paraId="639B0E82" w14:textId="77777777" w:rsidR="0064038E" w:rsidRPr="006D18CC" w:rsidRDefault="0064038E">
            <w:pPr>
              <w:pStyle w:val="ARtabletextright"/>
            </w:pPr>
            <w:r w:rsidRPr="006D18CC">
              <w:t>17.2</w:t>
            </w:r>
          </w:p>
        </w:tc>
        <w:tc>
          <w:tcPr>
            <w:tcW w:w="1023" w:type="dxa"/>
            <w:tcBorders>
              <w:top w:val="single" w:sz="4" w:space="0" w:color="A6A6A6"/>
              <w:bottom w:val="nil"/>
            </w:tcBorders>
          </w:tcPr>
          <w:p w14:paraId="4E888823" w14:textId="77777777" w:rsidR="0064038E" w:rsidRPr="006D18CC" w:rsidRDefault="0064038E">
            <w:pPr>
              <w:pStyle w:val="ARtabletextright"/>
            </w:pPr>
            <w:r w:rsidRPr="006D18CC">
              <w:t>63.8%</w:t>
            </w:r>
          </w:p>
        </w:tc>
        <w:tc>
          <w:tcPr>
            <w:tcW w:w="809" w:type="dxa"/>
            <w:tcBorders>
              <w:top w:val="single" w:sz="4" w:space="0" w:color="A6A6A6"/>
              <w:bottom w:val="nil"/>
            </w:tcBorders>
          </w:tcPr>
          <w:p w14:paraId="66DB8AAB" w14:textId="77777777" w:rsidR="0064038E" w:rsidRPr="006D18CC" w:rsidRDefault="0064038E">
            <w:pPr>
              <w:pStyle w:val="ARtableperformancesymbol"/>
              <w:rPr>
                <w:rFonts w:eastAsia="Wingdings" w:cs="Wingdings"/>
                <w:lang w:val="en-AU"/>
              </w:rPr>
            </w:pPr>
            <w:r w:rsidRPr="006D18CC">
              <w:rPr>
                <w:rFonts w:eastAsia="Wingdings" w:cs="Wingdings"/>
              </w:rPr>
              <w:t></w:t>
            </w:r>
          </w:p>
        </w:tc>
      </w:tr>
      <w:tr w:rsidR="0064038E" w:rsidRPr="00F07EE7" w14:paraId="2F2DF9C0" w14:textId="77777777" w:rsidTr="00452C63">
        <w:trPr>
          <w:cantSplit/>
        </w:trPr>
        <w:tc>
          <w:tcPr>
            <w:tcW w:w="9632" w:type="dxa"/>
            <w:gridSpan w:val="6"/>
            <w:tcBorders>
              <w:top w:val="nil"/>
              <w:bottom w:val="single" w:sz="4" w:space="0" w:color="BFBFBF" w:themeColor="background1" w:themeShade="BF"/>
            </w:tcBorders>
          </w:tcPr>
          <w:p w14:paraId="7D29299A" w14:textId="77777777" w:rsidR="0064038E" w:rsidRPr="00F07EE7" w:rsidRDefault="0064038E" w:rsidP="00130336">
            <w:pPr>
              <w:pStyle w:val="ARtablenoteindent"/>
              <w:rPr>
                <w:highlight w:val="cyan"/>
              </w:rPr>
            </w:pPr>
            <w:r w:rsidRPr="006D18CC">
              <w:t>This measure was introduced in 2024</w:t>
            </w:r>
            <w:r>
              <w:t>–</w:t>
            </w:r>
            <w:r w:rsidRPr="006D18CC">
              <w:t>25 to more accurately reflect waiting times for social housing. Although the 2024</w:t>
            </w:r>
            <w:r>
              <w:t>–</w:t>
            </w:r>
            <w:r w:rsidRPr="006D18CC">
              <w:t xml:space="preserve">25 result is lower than </w:t>
            </w:r>
            <w:r w:rsidRPr="00130336">
              <w:t>the</w:t>
            </w:r>
            <w:r w:rsidRPr="006D18CC">
              <w:t xml:space="preserve"> target, the waiting time improved over the past year, reflecting new social housing stock coming online.</w:t>
            </w:r>
          </w:p>
        </w:tc>
      </w:tr>
      <w:tr w:rsidR="0064038E" w:rsidRPr="00F07EE7" w14:paraId="652A7F0F" w14:textId="77777777" w:rsidTr="00452C63">
        <w:trPr>
          <w:cantSplit/>
        </w:trPr>
        <w:tc>
          <w:tcPr>
            <w:tcW w:w="4745" w:type="dxa"/>
            <w:tcBorders>
              <w:top w:val="single" w:sz="4" w:space="0" w:color="BFBFBF" w:themeColor="background1" w:themeShade="BF"/>
              <w:bottom w:val="nil"/>
            </w:tcBorders>
            <w:hideMark/>
          </w:tcPr>
          <w:p w14:paraId="11D2F785" w14:textId="77777777" w:rsidR="0064038E" w:rsidRPr="00F07EE7" w:rsidRDefault="0064038E">
            <w:pPr>
              <w:pStyle w:val="ARtabletext"/>
              <w:rPr>
                <w:highlight w:val="cyan"/>
              </w:rPr>
            </w:pPr>
            <w:r w:rsidRPr="00C53471">
              <w:t>Proportion of clients where support to sustain housing tenure was provided or referred</w:t>
            </w:r>
          </w:p>
        </w:tc>
        <w:tc>
          <w:tcPr>
            <w:tcW w:w="1019" w:type="dxa"/>
            <w:tcBorders>
              <w:top w:val="single" w:sz="4" w:space="0" w:color="BFBFBF" w:themeColor="background1" w:themeShade="BF"/>
              <w:bottom w:val="nil"/>
            </w:tcBorders>
            <w:hideMark/>
          </w:tcPr>
          <w:p w14:paraId="656E68B4" w14:textId="77777777" w:rsidR="0064038E" w:rsidRPr="00F07EE7" w:rsidRDefault="0064038E">
            <w:pPr>
              <w:pStyle w:val="ARtabletext"/>
              <w:rPr>
                <w:highlight w:val="cyan"/>
              </w:rPr>
            </w:pPr>
            <w:r w:rsidRPr="00C53471">
              <w:t>Timeliness %</w:t>
            </w:r>
          </w:p>
        </w:tc>
        <w:tc>
          <w:tcPr>
            <w:tcW w:w="1018" w:type="dxa"/>
            <w:tcBorders>
              <w:top w:val="single" w:sz="4" w:space="0" w:color="BFBFBF" w:themeColor="background1" w:themeShade="BF"/>
              <w:bottom w:val="nil"/>
            </w:tcBorders>
            <w:hideMark/>
          </w:tcPr>
          <w:p w14:paraId="57B3B4DB" w14:textId="77777777" w:rsidR="0064038E" w:rsidRPr="00F07EE7" w:rsidRDefault="0064038E">
            <w:pPr>
              <w:pStyle w:val="ARtabletextright"/>
              <w:rPr>
                <w:highlight w:val="cyan"/>
              </w:rPr>
            </w:pPr>
            <w:r w:rsidRPr="00C53471">
              <w:t>85.0</w:t>
            </w:r>
          </w:p>
        </w:tc>
        <w:tc>
          <w:tcPr>
            <w:tcW w:w="1018" w:type="dxa"/>
            <w:tcBorders>
              <w:top w:val="single" w:sz="4" w:space="0" w:color="BFBFBF" w:themeColor="background1" w:themeShade="BF"/>
              <w:bottom w:val="nil"/>
            </w:tcBorders>
            <w:hideMark/>
          </w:tcPr>
          <w:p w14:paraId="242E0BE1" w14:textId="77777777" w:rsidR="0064038E" w:rsidRPr="00F07EE7" w:rsidRDefault="0064038E">
            <w:pPr>
              <w:pStyle w:val="ARtabletextright"/>
              <w:rPr>
                <w:highlight w:val="cyan"/>
              </w:rPr>
            </w:pPr>
            <w:r w:rsidRPr="00C53471">
              <w:t>88.0</w:t>
            </w:r>
          </w:p>
        </w:tc>
        <w:tc>
          <w:tcPr>
            <w:tcW w:w="1023" w:type="dxa"/>
            <w:tcBorders>
              <w:top w:val="single" w:sz="4" w:space="0" w:color="BFBFBF" w:themeColor="background1" w:themeShade="BF"/>
              <w:bottom w:val="nil"/>
            </w:tcBorders>
          </w:tcPr>
          <w:p w14:paraId="158A73CF" w14:textId="77777777" w:rsidR="0064038E" w:rsidRPr="00F07EE7" w:rsidRDefault="0064038E">
            <w:pPr>
              <w:pStyle w:val="ARtabletextright"/>
              <w:rPr>
                <w:highlight w:val="cyan"/>
              </w:rPr>
            </w:pPr>
            <w:r w:rsidRPr="004666B9">
              <w:t>3.5%</w:t>
            </w:r>
          </w:p>
        </w:tc>
        <w:tc>
          <w:tcPr>
            <w:tcW w:w="809" w:type="dxa"/>
            <w:tcBorders>
              <w:top w:val="single" w:sz="4" w:space="0" w:color="BFBFBF" w:themeColor="background1" w:themeShade="BF"/>
              <w:bottom w:val="nil"/>
            </w:tcBorders>
            <w:hideMark/>
          </w:tcPr>
          <w:p w14:paraId="7B898118" w14:textId="77777777" w:rsidR="0064038E" w:rsidRPr="00F07EE7" w:rsidRDefault="0064038E">
            <w:pPr>
              <w:pStyle w:val="ARtableperformancesymbol"/>
              <w:rPr>
                <w:rFonts w:hint="eastAsia"/>
                <w:highlight w:val="cyan"/>
                <w:lang w:val="en-AU"/>
              </w:rPr>
            </w:pPr>
            <w:r w:rsidRPr="004A6737">
              <w:rPr>
                <w:rFonts w:eastAsia="Wingdings" w:cs="Wingdings"/>
              </w:rPr>
              <w:t></w:t>
            </w:r>
          </w:p>
        </w:tc>
      </w:tr>
      <w:tr w:rsidR="0064038E" w:rsidRPr="00F07EE7" w14:paraId="4CE37B97" w14:textId="77777777" w:rsidTr="00026B51">
        <w:trPr>
          <w:cantSplit/>
        </w:trPr>
        <w:tc>
          <w:tcPr>
            <w:tcW w:w="9632" w:type="dxa"/>
            <w:gridSpan w:val="6"/>
            <w:tcBorders>
              <w:top w:val="single" w:sz="4" w:space="0" w:color="auto"/>
              <w:bottom w:val="single" w:sz="4" w:space="0" w:color="000000" w:themeColor="text1"/>
            </w:tcBorders>
            <w:hideMark/>
          </w:tcPr>
          <w:p w14:paraId="3E4A8BD7" w14:textId="77777777" w:rsidR="0064038E" w:rsidRPr="00EB1076" w:rsidRDefault="0064038E" w:rsidP="00696916">
            <w:pPr>
              <w:pStyle w:val="ARtablegreybold"/>
            </w:pPr>
            <w:r w:rsidRPr="00EB1076">
              <w:t>Cost</w:t>
            </w:r>
          </w:p>
        </w:tc>
      </w:tr>
      <w:tr w:rsidR="0064038E" w:rsidRPr="00F07EE7" w14:paraId="0CE23C2D" w14:textId="77777777" w:rsidTr="00026B51">
        <w:trPr>
          <w:cantSplit/>
        </w:trPr>
        <w:tc>
          <w:tcPr>
            <w:tcW w:w="4745" w:type="dxa"/>
            <w:tcBorders>
              <w:top w:val="single" w:sz="4" w:space="0" w:color="000000" w:themeColor="text1"/>
              <w:bottom w:val="nil"/>
            </w:tcBorders>
            <w:hideMark/>
          </w:tcPr>
          <w:p w14:paraId="4E092A71" w14:textId="77777777" w:rsidR="0064038E" w:rsidRPr="00AB7B26" w:rsidRDefault="0064038E">
            <w:pPr>
              <w:pStyle w:val="ARtabletextbold"/>
            </w:pPr>
            <w:r w:rsidRPr="00AB7B26">
              <w:t>Total output cost</w:t>
            </w:r>
          </w:p>
        </w:tc>
        <w:tc>
          <w:tcPr>
            <w:tcW w:w="1019" w:type="dxa"/>
            <w:tcBorders>
              <w:top w:val="single" w:sz="4" w:space="0" w:color="000000" w:themeColor="text1"/>
              <w:bottom w:val="nil"/>
            </w:tcBorders>
            <w:hideMark/>
          </w:tcPr>
          <w:p w14:paraId="50AE220B" w14:textId="77777777" w:rsidR="0064038E" w:rsidRPr="009B5071" w:rsidRDefault="0064038E">
            <w:pPr>
              <w:pStyle w:val="ARtabletext"/>
              <w:rPr>
                <w:b/>
              </w:rPr>
            </w:pPr>
            <w:r w:rsidRPr="009B5071">
              <w:rPr>
                <w:b/>
              </w:rPr>
              <w:t>$ million</w:t>
            </w:r>
          </w:p>
        </w:tc>
        <w:tc>
          <w:tcPr>
            <w:tcW w:w="1018" w:type="dxa"/>
            <w:tcBorders>
              <w:top w:val="single" w:sz="4" w:space="0" w:color="000000" w:themeColor="text1"/>
              <w:bottom w:val="nil"/>
            </w:tcBorders>
          </w:tcPr>
          <w:p w14:paraId="435CD68A" w14:textId="77777777" w:rsidR="0064038E" w:rsidRPr="00AB7B26" w:rsidRDefault="0064038E">
            <w:pPr>
              <w:pStyle w:val="ARtabletextrightbold"/>
            </w:pPr>
            <w:r w:rsidRPr="00AB7B26">
              <w:t>634.3</w:t>
            </w:r>
          </w:p>
        </w:tc>
        <w:tc>
          <w:tcPr>
            <w:tcW w:w="1018" w:type="dxa"/>
            <w:tcBorders>
              <w:top w:val="single" w:sz="4" w:space="0" w:color="000000" w:themeColor="text1"/>
              <w:bottom w:val="nil"/>
            </w:tcBorders>
          </w:tcPr>
          <w:p w14:paraId="5B9F3E1A" w14:textId="77777777" w:rsidR="0064038E" w:rsidRPr="00AB7B26" w:rsidRDefault="0064038E">
            <w:pPr>
              <w:pStyle w:val="ARtabletextrightbold"/>
            </w:pPr>
            <w:r w:rsidRPr="00AB7B26">
              <w:t>788.2</w:t>
            </w:r>
          </w:p>
        </w:tc>
        <w:tc>
          <w:tcPr>
            <w:tcW w:w="1023" w:type="dxa"/>
            <w:tcBorders>
              <w:top w:val="single" w:sz="4" w:space="0" w:color="000000" w:themeColor="text1"/>
              <w:bottom w:val="nil"/>
            </w:tcBorders>
          </w:tcPr>
          <w:p w14:paraId="071E60B6" w14:textId="77777777" w:rsidR="0064038E" w:rsidRPr="00AB7B26" w:rsidRDefault="0064038E">
            <w:pPr>
              <w:pStyle w:val="ARtabletextrightbold"/>
            </w:pPr>
            <w:r w:rsidRPr="00AB7B26">
              <w:t>24.3%</w:t>
            </w:r>
          </w:p>
        </w:tc>
        <w:tc>
          <w:tcPr>
            <w:tcW w:w="809" w:type="dxa"/>
            <w:tcBorders>
              <w:top w:val="single" w:sz="4" w:space="0" w:color="000000" w:themeColor="text1"/>
              <w:bottom w:val="nil"/>
            </w:tcBorders>
          </w:tcPr>
          <w:p w14:paraId="3370E3DC" w14:textId="77777777" w:rsidR="0064038E" w:rsidRPr="00AB7B26" w:rsidRDefault="0064038E">
            <w:pPr>
              <w:pStyle w:val="ARtableperformancesymbol"/>
              <w:rPr>
                <w:rFonts w:hint="eastAsia"/>
                <w:b/>
              </w:rPr>
            </w:pPr>
            <w:r w:rsidRPr="00AB7B26">
              <w:rPr>
                <w:rFonts w:eastAsia="Wingdings" w:cs="Wingdings"/>
              </w:rPr>
              <w:t></w:t>
            </w:r>
          </w:p>
        </w:tc>
      </w:tr>
      <w:tr w:rsidR="0064038E" w:rsidRPr="00F07EE7" w14:paraId="3D7F2759" w14:textId="77777777">
        <w:trPr>
          <w:cantSplit/>
        </w:trPr>
        <w:tc>
          <w:tcPr>
            <w:tcW w:w="9632" w:type="dxa"/>
            <w:gridSpan w:val="6"/>
            <w:tcBorders>
              <w:top w:val="nil"/>
            </w:tcBorders>
          </w:tcPr>
          <w:p w14:paraId="5E2B483D" w14:textId="1F933DA1" w:rsidR="0064038E" w:rsidRPr="00F07EE7" w:rsidRDefault="0064038E" w:rsidP="00130336">
            <w:pPr>
              <w:pStyle w:val="ARtablenoteindent"/>
              <w:rPr>
                <w:highlight w:val="cyan"/>
              </w:rPr>
            </w:pPr>
            <w:r w:rsidRPr="00AB7B26">
              <w:t xml:space="preserve">The higher </w:t>
            </w:r>
            <w:r w:rsidRPr="00130336">
              <w:t>actual</w:t>
            </w:r>
            <w:r w:rsidRPr="00AB7B26">
              <w:t xml:space="preserve"> is due to delivery of government initiatives such as the Big Housing Build, Regional Housing Fund and High</w:t>
            </w:r>
            <w:r w:rsidR="00934C67">
              <w:t>-</w:t>
            </w:r>
            <w:r w:rsidRPr="00AB7B26">
              <w:t>Rise Redevelopment Program initiatives.</w:t>
            </w:r>
          </w:p>
        </w:tc>
      </w:tr>
    </w:tbl>
    <w:p w14:paraId="34CFC436" w14:textId="77777777" w:rsidR="00E16B5E" w:rsidRDefault="00E16B5E">
      <w:pPr>
        <w:rPr>
          <w:rFonts w:ascii="Arial" w:eastAsia="Times" w:hAnsi="Arial" w:cs="Arial"/>
          <w:sz w:val="20"/>
          <w:szCs w:val="24"/>
        </w:rPr>
        <w:sectPr w:rsidR="00E16B5E" w:rsidSect="007F43B1">
          <w:endnotePr>
            <w:numFmt w:val="decimal"/>
          </w:endnotePr>
          <w:pgSz w:w="11900" w:h="16840" w:code="9"/>
          <w:pgMar w:top="1588" w:right="1134" w:bottom="851" w:left="1134" w:header="510" w:footer="340" w:gutter="0"/>
          <w:cols w:space="454"/>
        </w:sectPr>
      </w:pPr>
    </w:p>
    <w:p w14:paraId="557CC92B" w14:textId="77777777" w:rsidR="00D1487F" w:rsidRDefault="0064038E" w:rsidP="00CD257A">
      <w:pPr>
        <w:pStyle w:val="Heading2"/>
        <w:spacing w:before="0"/>
        <w:sectPr w:rsidR="00D1487F" w:rsidSect="007F43B1">
          <w:endnotePr>
            <w:numFmt w:val="decimal"/>
          </w:endnotePr>
          <w:pgSz w:w="11900" w:h="16840" w:code="9"/>
          <w:pgMar w:top="1588" w:right="1134" w:bottom="851" w:left="1134" w:header="510" w:footer="340" w:gutter="0"/>
          <w:cols w:space="454"/>
        </w:sectPr>
      </w:pPr>
      <w:bookmarkStart w:id="104" w:name="_Toc212039524"/>
      <w:r w:rsidRPr="00FF4844">
        <w:lastRenderedPageBreak/>
        <w:t>Discontinued output performance measures</w:t>
      </w:r>
      <w:bookmarkEnd w:id="104"/>
    </w:p>
    <w:p w14:paraId="34BB7957" w14:textId="13E69792" w:rsidR="0064038E" w:rsidRPr="00FF4844" w:rsidRDefault="00071503">
      <w:pPr>
        <w:pStyle w:val="ARbody"/>
      </w:pPr>
      <w:r>
        <w:t>T</w:t>
      </w:r>
      <w:r w:rsidR="0064038E" w:rsidRPr="00FF4844">
        <w:t xml:space="preserve">he department identified 10 performance measures for discontinuation in the </w:t>
      </w:r>
      <w:r w:rsidR="0064038E" w:rsidRPr="00DA434D">
        <w:rPr>
          <w:rStyle w:val="Emphasis"/>
        </w:rPr>
        <w:t>2024–25 State Budget</w:t>
      </w:r>
      <w:r w:rsidR="0064038E" w:rsidRPr="000763F6">
        <w:t>.</w:t>
      </w:r>
    </w:p>
    <w:p w14:paraId="172AD766" w14:textId="20D34987" w:rsidR="0064038E" w:rsidRPr="00FF4844" w:rsidRDefault="0064038E">
      <w:pPr>
        <w:pStyle w:val="ARbody"/>
      </w:pPr>
      <w:r w:rsidRPr="00FF4844">
        <w:t>Four measures were proposed to be discontinued and replaced with more appropriate measures following the establishment of the Social Services</w:t>
      </w:r>
      <w:r w:rsidR="001A614A">
        <w:t> </w:t>
      </w:r>
      <w:r w:rsidRPr="00FF4844">
        <w:t>Regulator:</w:t>
      </w:r>
    </w:p>
    <w:p w14:paraId="619620E5" w14:textId="311CC614" w:rsidR="0064038E" w:rsidRPr="00FF4844" w:rsidRDefault="0064038E" w:rsidP="00F375A6">
      <w:pPr>
        <w:pStyle w:val="ARbullet1"/>
        <w:numPr>
          <w:ilvl w:val="0"/>
          <w:numId w:val="22"/>
        </w:numPr>
      </w:pPr>
      <w:r>
        <w:t>o</w:t>
      </w:r>
      <w:r w:rsidRPr="00E018BC">
        <w:t>rganisations that have successfully completed a certification review (family and community</w:t>
      </w:r>
      <w:r w:rsidR="004021B8">
        <w:t> </w:t>
      </w:r>
      <w:r w:rsidRPr="00E018BC">
        <w:t>services)</w:t>
      </w:r>
    </w:p>
    <w:p w14:paraId="5778DDE9" w14:textId="215D4FD1" w:rsidR="0064038E" w:rsidRPr="00FF4844" w:rsidRDefault="0064038E" w:rsidP="00F375A6">
      <w:pPr>
        <w:pStyle w:val="ARbullet1"/>
        <w:numPr>
          <w:ilvl w:val="0"/>
          <w:numId w:val="22"/>
        </w:numPr>
      </w:pPr>
      <w:r>
        <w:t>o</w:t>
      </w:r>
      <w:r w:rsidRPr="00E018BC">
        <w:t>rganisations that have successfully completed a certification review (specialist support and placement services)</w:t>
      </w:r>
    </w:p>
    <w:p w14:paraId="52E622FD" w14:textId="13CBDB3F" w:rsidR="0064038E" w:rsidRPr="00FF4844" w:rsidRDefault="0064038E" w:rsidP="00F375A6">
      <w:pPr>
        <w:pStyle w:val="ARbullet1"/>
        <w:numPr>
          <w:ilvl w:val="0"/>
          <w:numId w:val="22"/>
        </w:numPr>
      </w:pPr>
      <w:r>
        <w:t>o</w:t>
      </w:r>
      <w:r w:rsidRPr="00E018BC">
        <w:t>rganisations that have successfully completed a certification review (accommodation supports)</w:t>
      </w:r>
    </w:p>
    <w:p w14:paraId="61D91A9A" w14:textId="46F751AB" w:rsidR="0064038E" w:rsidRPr="00FF4844" w:rsidRDefault="0064038E" w:rsidP="00F375A6">
      <w:pPr>
        <w:pStyle w:val="ARbullet1"/>
        <w:numPr>
          <w:ilvl w:val="0"/>
          <w:numId w:val="22"/>
        </w:numPr>
      </w:pPr>
      <w:r>
        <w:t>o</w:t>
      </w:r>
      <w:r w:rsidRPr="00E018BC">
        <w:t>rganisations that have successfully completed a certification review (client services and</w:t>
      </w:r>
      <w:r w:rsidR="004021B8">
        <w:t> </w:t>
      </w:r>
      <w:r w:rsidRPr="00E018BC">
        <w:t>capacity)</w:t>
      </w:r>
      <w:r w:rsidRPr="00FF4844">
        <w:t xml:space="preserve">. </w:t>
      </w:r>
    </w:p>
    <w:p w14:paraId="60DE65DA" w14:textId="77777777" w:rsidR="0064038E" w:rsidRPr="00FF4844" w:rsidRDefault="0064038E" w:rsidP="00860770">
      <w:pPr>
        <w:pStyle w:val="ARbody"/>
      </w:pPr>
      <w:r w:rsidRPr="00FF4844">
        <w:br w:type="column"/>
      </w:r>
      <w:r w:rsidRPr="00FF4844">
        <w:t>Six measures were discontinued and replaced with new measures:</w:t>
      </w:r>
    </w:p>
    <w:p w14:paraId="4EF64937" w14:textId="2DABB7E8" w:rsidR="0064038E" w:rsidRPr="00E018BC" w:rsidRDefault="0064038E" w:rsidP="00F375A6">
      <w:pPr>
        <w:pStyle w:val="ARbullet1"/>
        <w:numPr>
          <w:ilvl w:val="0"/>
          <w:numId w:val="22"/>
        </w:numPr>
      </w:pPr>
      <w:r>
        <w:t>n</w:t>
      </w:r>
      <w:r w:rsidRPr="00E018BC">
        <w:t>umber of family services cases provided to Aboriginal families</w:t>
      </w:r>
    </w:p>
    <w:p w14:paraId="5963A7D5" w14:textId="2FBAFBE6" w:rsidR="0064038E" w:rsidRPr="00E018BC" w:rsidRDefault="0064038E" w:rsidP="00F375A6">
      <w:pPr>
        <w:pStyle w:val="ARbullet1"/>
        <w:numPr>
          <w:ilvl w:val="0"/>
          <w:numId w:val="22"/>
        </w:numPr>
      </w:pPr>
      <w:r>
        <w:t>t</w:t>
      </w:r>
      <w:r w:rsidRPr="00E018BC">
        <w:t>otal number of family services cases provided</w:t>
      </w:r>
    </w:p>
    <w:p w14:paraId="5F2A82F3" w14:textId="65369D45" w:rsidR="0064038E" w:rsidRPr="00E018BC" w:rsidRDefault="0064038E" w:rsidP="00F375A6">
      <w:pPr>
        <w:pStyle w:val="ARbullet1"/>
        <w:numPr>
          <w:ilvl w:val="0"/>
          <w:numId w:val="22"/>
        </w:numPr>
      </w:pPr>
      <w:r>
        <w:t>n</w:t>
      </w:r>
      <w:r w:rsidRPr="00E018BC">
        <w:t>umber of clients self-referring to The Orange</w:t>
      </w:r>
      <w:r w:rsidR="00860770">
        <w:t> </w:t>
      </w:r>
      <w:r w:rsidRPr="00E018BC">
        <w:t>Door</w:t>
      </w:r>
    </w:p>
    <w:p w14:paraId="7CEE85AE" w14:textId="4B22D7DB" w:rsidR="0064038E" w:rsidRPr="00E018BC" w:rsidRDefault="0064038E" w:rsidP="00F375A6">
      <w:pPr>
        <w:pStyle w:val="ARbullet1"/>
        <w:numPr>
          <w:ilvl w:val="0"/>
          <w:numId w:val="22"/>
        </w:numPr>
      </w:pPr>
      <w:r>
        <w:t>p</w:t>
      </w:r>
      <w:r w:rsidRPr="00E018BC">
        <w:t>articipants reporting development of transferable skills supporting positive outcomes for young people</w:t>
      </w:r>
    </w:p>
    <w:p w14:paraId="658B6982" w14:textId="12BFC221" w:rsidR="0064038E" w:rsidRPr="00E018BC" w:rsidRDefault="0064038E" w:rsidP="00F375A6">
      <w:pPr>
        <w:pStyle w:val="ARbullet1"/>
        <w:numPr>
          <w:ilvl w:val="0"/>
          <w:numId w:val="22"/>
        </w:numPr>
      </w:pPr>
      <w:r>
        <w:t>a</w:t>
      </w:r>
      <w:r w:rsidRPr="00E018BC">
        <w:t>verage waiting time for public rental housing for clients who have received a priority access housing or priority transfer allocation due to family violence</w:t>
      </w:r>
    </w:p>
    <w:p w14:paraId="305B7F76" w14:textId="61873019" w:rsidR="0064038E" w:rsidRPr="00FF4844" w:rsidRDefault="0064038E" w:rsidP="00F375A6">
      <w:pPr>
        <w:pStyle w:val="ARbullet1"/>
        <w:numPr>
          <w:ilvl w:val="0"/>
          <w:numId w:val="22"/>
        </w:numPr>
      </w:pPr>
      <w:r>
        <w:t>a</w:t>
      </w:r>
      <w:r w:rsidRPr="00E018BC">
        <w:t>verage waiting time for public rental housing for those clients who have received priority access housing allocation or a priority transfer</w:t>
      </w:r>
      <w:r>
        <w:t>.</w:t>
      </w:r>
    </w:p>
    <w:p w14:paraId="1A02E0B9" w14:textId="77777777" w:rsidR="008149F0" w:rsidRDefault="0064038E" w:rsidP="0064038E">
      <w:pPr>
        <w:pStyle w:val="ARbodyafterbullets"/>
        <w:sectPr w:rsidR="008149F0" w:rsidSect="007F43B1">
          <w:endnotePr>
            <w:numFmt w:val="decimal"/>
          </w:endnotePr>
          <w:type w:val="continuous"/>
          <w:pgSz w:w="11900" w:h="16840" w:code="9"/>
          <w:pgMar w:top="1588" w:right="1134" w:bottom="851" w:left="1134" w:header="510" w:footer="340" w:gutter="0"/>
          <w:cols w:num="2" w:space="454"/>
        </w:sectPr>
      </w:pPr>
      <w:r w:rsidRPr="00FF4844">
        <w:t>The Public Accounts and Estimates Committee supported the department’s rationale for the discontinuation in all cases.</w:t>
      </w:r>
    </w:p>
    <w:p w14:paraId="28FC6025" w14:textId="6202D38C" w:rsidR="0064038E" w:rsidRDefault="0064038E" w:rsidP="008149F0">
      <w:pPr>
        <w:pStyle w:val="Heading2"/>
        <w:spacing w:before="480"/>
      </w:pPr>
      <w:bookmarkStart w:id="105" w:name="_Departmental_financial_summary"/>
      <w:bookmarkStart w:id="106" w:name="_Toc212039525"/>
      <w:bookmarkEnd w:id="105"/>
      <w:r w:rsidRPr="00415E1C">
        <w:t>Departmental financial summary</w:t>
      </w:r>
      <w:bookmarkEnd w:id="106"/>
    </w:p>
    <w:tbl>
      <w:tblPr>
        <w:tblStyle w:val="TableGrid"/>
        <w:tblW w:w="5000" w:type="pct"/>
        <w:tblLook w:val="00E0" w:firstRow="1" w:lastRow="1" w:firstColumn="1" w:lastColumn="0" w:noHBand="0" w:noVBand="0"/>
      </w:tblPr>
      <w:tblGrid>
        <w:gridCol w:w="4647"/>
        <w:gridCol w:w="1247"/>
        <w:gridCol w:w="1246"/>
        <w:gridCol w:w="1246"/>
        <w:gridCol w:w="1246"/>
      </w:tblGrid>
      <w:tr w:rsidR="00F33C72" w:rsidRPr="002029AF" w14:paraId="59E56105" w14:textId="77777777" w:rsidTr="00DD2B79">
        <w:trPr>
          <w:cnfStyle w:val="100000000000" w:firstRow="1" w:lastRow="0" w:firstColumn="0" w:lastColumn="0" w:oddVBand="0" w:evenVBand="0" w:oddHBand="0" w:evenHBand="0" w:firstRowFirstColumn="0" w:firstRowLastColumn="0" w:lastRowFirstColumn="0" w:lastRowLastColumn="0"/>
          <w:trHeight w:val="1"/>
        </w:trPr>
        <w:tc>
          <w:tcPr>
            <w:tcW w:w="2412" w:type="pct"/>
          </w:tcPr>
          <w:p w14:paraId="75014401" w14:textId="77777777" w:rsidR="00DD2B79" w:rsidRPr="002029AF" w:rsidRDefault="00DD2B79" w:rsidP="00E447AC">
            <w:pPr>
              <w:pStyle w:val="ARtablecolhead"/>
              <w:rPr>
                <w:rFonts w:ascii="Calibri" w:hAnsi="Calibri" w:cs="Calibri"/>
              </w:rPr>
            </w:pPr>
            <w:r w:rsidRPr="002029AF">
              <w:t>Five-year financial summary ($ millions)</w:t>
            </w:r>
          </w:p>
        </w:tc>
        <w:tc>
          <w:tcPr>
            <w:cnfStyle w:val="000001000000" w:firstRow="0" w:lastRow="0" w:firstColumn="0" w:lastColumn="0" w:oddVBand="0" w:evenVBand="1" w:oddHBand="0" w:evenHBand="0" w:firstRowFirstColumn="0" w:firstRowLastColumn="0" w:lastRowFirstColumn="0" w:lastRowLastColumn="0"/>
            <w:tcW w:w="647" w:type="pct"/>
          </w:tcPr>
          <w:p w14:paraId="4C9ACF07" w14:textId="77777777" w:rsidR="00DD2B79" w:rsidRDefault="00DD2B79">
            <w:pPr>
              <w:pStyle w:val="ARtablecolheadright"/>
            </w:pPr>
            <w:r>
              <w:t>2025</w:t>
            </w:r>
          </w:p>
        </w:tc>
        <w:tc>
          <w:tcPr>
            <w:tcW w:w="647" w:type="pct"/>
          </w:tcPr>
          <w:p w14:paraId="6A051256" w14:textId="77777777" w:rsidR="00DD2B79" w:rsidRDefault="00DD2B79">
            <w:pPr>
              <w:pStyle w:val="ARtablecolheadright"/>
              <w:cnfStyle w:val="100000000000" w:firstRow="1" w:lastRow="0" w:firstColumn="0" w:lastColumn="0" w:oddVBand="0" w:evenVBand="0" w:oddHBand="0" w:evenHBand="0" w:firstRowFirstColumn="0" w:firstRowLastColumn="0" w:lastRowFirstColumn="0" w:lastRowLastColumn="0"/>
            </w:pPr>
            <w:r>
              <w:t>2024</w:t>
            </w:r>
          </w:p>
        </w:tc>
        <w:tc>
          <w:tcPr>
            <w:cnfStyle w:val="000001000000" w:firstRow="0" w:lastRow="0" w:firstColumn="0" w:lastColumn="0" w:oddVBand="0" w:evenVBand="1" w:oddHBand="0" w:evenHBand="0" w:firstRowFirstColumn="0" w:firstRowLastColumn="0" w:lastRowFirstColumn="0" w:lastRowLastColumn="0"/>
            <w:tcW w:w="647" w:type="pct"/>
          </w:tcPr>
          <w:p w14:paraId="5F9D626E" w14:textId="77777777" w:rsidR="00DD2B79" w:rsidRDefault="00DD2B79">
            <w:pPr>
              <w:pStyle w:val="ARtablecolheadright"/>
            </w:pPr>
            <w:r>
              <w:t xml:space="preserve"> </w:t>
            </w:r>
            <w:r w:rsidRPr="002029AF">
              <w:t>20</w:t>
            </w:r>
            <w:r>
              <w:t>23</w:t>
            </w:r>
          </w:p>
        </w:tc>
        <w:tc>
          <w:tcPr>
            <w:tcW w:w="647" w:type="pct"/>
          </w:tcPr>
          <w:p w14:paraId="33D5F319" w14:textId="77777777" w:rsidR="00DD2B79" w:rsidRDefault="00DD2B79">
            <w:pPr>
              <w:pStyle w:val="ARtablecolheadright"/>
              <w:cnfStyle w:val="100000000000" w:firstRow="1" w:lastRow="0" w:firstColumn="0" w:lastColumn="0" w:oddVBand="0" w:evenVBand="0" w:oddHBand="0" w:evenHBand="0" w:firstRowFirstColumn="0" w:firstRowLastColumn="0" w:lastRowFirstColumn="0" w:lastRowLastColumn="0"/>
            </w:pPr>
            <w:r>
              <w:t>2022</w:t>
            </w:r>
          </w:p>
        </w:tc>
      </w:tr>
      <w:tr w:rsidR="006D70CE" w:rsidRPr="002029AF" w14:paraId="6892B294" w14:textId="77777777" w:rsidTr="00DD2B79">
        <w:trPr>
          <w:trHeight w:val="1"/>
        </w:trPr>
        <w:tc>
          <w:tcPr>
            <w:tcW w:w="2412" w:type="pct"/>
          </w:tcPr>
          <w:p w14:paraId="4FC7DB86" w14:textId="77777777" w:rsidR="00DD2B79" w:rsidRPr="00DE5E1D" w:rsidRDefault="00DD2B79">
            <w:pPr>
              <w:pStyle w:val="ARtabletext"/>
            </w:pPr>
            <w:r w:rsidRPr="00DE5E1D">
              <w:t>Income from government</w:t>
            </w:r>
          </w:p>
        </w:tc>
        <w:tc>
          <w:tcPr>
            <w:cnfStyle w:val="000001000000" w:firstRow="0" w:lastRow="0" w:firstColumn="0" w:lastColumn="0" w:oddVBand="0" w:evenVBand="1" w:oddHBand="0" w:evenHBand="0" w:firstRowFirstColumn="0" w:firstRowLastColumn="0" w:lastRowFirstColumn="0" w:lastRowLastColumn="0"/>
            <w:tcW w:w="647" w:type="pct"/>
          </w:tcPr>
          <w:p w14:paraId="413D944C" w14:textId="77777777" w:rsidR="00DD2B79" w:rsidRPr="009C218D" w:rsidRDefault="00DD2B79">
            <w:pPr>
              <w:pStyle w:val="ARtabletextright"/>
            </w:pPr>
            <w:r w:rsidRPr="009C218D">
              <w:t>6,407.7</w:t>
            </w:r>
          </w:p>
        </w:tc>
        <w:tc>
          <w:tcPr>
            <w:tcW w:w="647" w:type="pct"/>
          </w:tcPr>
          <w:p w14:paraId="726F01AC" w14:textId="77777777" w:rsidR="00DD2B79" w:rsidRPr="009C218D" w:rsidRDefault="00DD2B79">
            <w:pPr>
              <w:pStyle w:val="ARtabletextright"/>
              <w:cnfStyle w:val="000000000000" w:firstRow="0" w:lastRow="0" w:firstColumn="0" w:lastColumn="0" w:oddVBand="0" w:evenVBand="0" w:oddHBand="0" w:evenHBand="0" w:firstRowFirstColumn="0" w:firstRowLastColumn="0" w:lastRowFirstColumn="0" w:lastRowLastColumn="0"/>
            </w:pPr>
            <w:r w:rsidRPr="009C218D">
              <w:t>5,381.7</w:t>
            </w:r>
          </w:p>
        </w:tc>
        <w:tc>
          <w:tcPr>
            <w:cnfStyle w:val="000001000000" w:firstRow="0" w:lastRow="0" w:firstColumn="0" w:lastColumn="0" w:oddVBand="0" w:evenVBand="1" w:oddHBand="0" w:evenHBand="0" w:firstRowFirstColumn="0" w:firstRowLastColumn="0" w:lastRowFirstColumn="0" w:lastRowLastColumn="0"/>
            <w:tcW w:w="647" w:type="pct"/>
          </w:tcPr>
          <w:p w14:paraId="27A00A10" w14:textId="77777777" w:rsidR="00DD2B79" w:rsidRPr="009C218D" w:rsidRDefault="00DD2B79">
            <w:pPr>
              <w:pStyle w:val="ARtabletextright"/>
            </w:pPr>
            <w:r w:rsidRPr="009C218D">
              <w:t>5,047.5</w:t>
            </w:r>
          </w:p>
        </w:tc>
        <w:tc>
          <w:tcPr>
            <w:tcW w:w="647" w:type="pct"/>
          </w:tcPr>
          <w:p w14:paraId="41AED4EA" w14:textId="009884F6" w:rsidR="00DD2B79" w:rsidRPr="009C218D" w:rsidRDefault="00DD2B79">
            <w:pPr>
              <w:pStyle w:val="ARtabletextright"/>
              <w:cnfStyle w:val="000000000000" w:firstRow="0" w:lastRow="0" w:firstColumn="0" w:lastColumn="0" w:oddVBand="0" w:evenVBand="0" w:oddHBand="0" w:evenHBand="0" w:firstRowFirstColumn="0" w:firstRowLastColumn="0" w:lastRowFirstColumn="0" w:lastRowLastColumn="0"/>
            </w:pPr>
            <w:r>
              <w:t xml:space="preserve">6,583.4 </w:t>
            </w:r>
          </w:p>
        </w:tc>
      </w:tr>
      <w:tr w:rsidR="00F33C72" w:rsidRPr="002029AF" w14:paraId="6009A2B4" w14:textId="77777777" w:rsidTr="00DD2B79">
        <w:trPr>
          <w:trHeight w:val="1"/>
        </w:trPr>
        <w:tc>
          <w:tcPr>
            <w:tcW w:w="2412" w:type="pct"/>
            <w:tcBorders>
              <w:bottom w:val="single" w:sz="4" w:space="0" w:color="A6A6A6" w:themeColor="accent5"/>
            </w:tcBorders>
          </w:tcPr>
          <w:p w14:paraId="5ED9D977" w14:textId="77777777" w:rsidR="00DD2B79" w:rsidRPr="00DE5E1D" w:rsidRDefault="00DD2B79">
            <w:pPr>
              <w:pStyle w:val="ARtabletext"/>
            </w:pPr>
            <w:r w:rsidRPr="00DE5E1D">
              <w:t>Total revenue and income from transactions</w:t>
            </w:r>
          </w:p>
        </w:tc>
        <w:tc>
          <w:tcPr>
            <w:cnfStyle w:val="000001000000" w:firstRow="0" w:lastRow="0" w:firstColumn="0" w:lastColumn="0" w:oddVBand="0" w:evenVBand="1" w:oddHBand="0" w:evenHBand="0" w:firstRowFirstColumn="0" w:firstRowLastColumn="0" w:lastRowFirstColumn="0" w:lastRowLastColumn="0"/>
            <w:tcW w:w="647" w:type="pct"/>
            <w:tcBorders>
              <w:bottom w:val="single" w:sz="4" w:space="0" w:color="A6A6A6" w:themeColor="accent5"/>
            </w:tcBorders>
          </w:tcPr>
          <w:p w14:paraId="6678942D" w14:textId="77777777" w:rsidR="00DD2B79" w:rsidRPr="009C218D" w:rsidRDefault="00DD2B79">
            <w:pPr>
              <w:pStyle w:val="ARtabletextright"/>
            </w:pPr>
            <w:r w:rsidRPr="009C218D">
              <w:t>7,341.8</w:t>
            </w:r>
          </w:p>
        </w:tc>
        <w:tc>
          <w:tcPr>
            <w:tcW w:w="647" w:type="pct"/>
            <w:tcBorders>
              <w:bottom w:val="single" w:sz="4" w:space="0" w:color="A6A6A6" w:themeColor="accent5"/>
            </w:tcBorders>
          </w:tcPr>
          <w:p w14:paraId="3AD97C68" w14:textId="77777777" w:rsidR="00DD2B79" w:rsidRPr="009C218D" w:rsidRDefault="00DD2B79">
            <w:pPr>
              <w:pStyle w:val="ARtabletextright"/>
              <w:cnfStyle w:val="000000000000" w:firstRow="0" w:lastRow="0" w:firstColumn="0" w:lastColumn="0" w:oddVBand="0" w:evenVBand="0" w:oddHBand="0" w:evenHBand="0" w:firstRowFirstColumn="0" w:firstRowLastColumn="0" w:lastRowFirstColumn="0" w:lastRowLastColumn="0"/>
            </w:pPr>
            <w:r w:rsidRPr="009C218D">
              <w:t>6,398.0</w:t>
            </w:r>
          </w:p>
        </w:tc>
        <w:tc>
          <w:tcPr>
            <w:cnfStyle w:val="000001000000" w:firstRow="0" w:lastRow="0" w:firstColumn="0" w:lastColumn="0" w:oddVBand="0" w:evenVBand="1" w:oddHBand="0" w:evenHBand="0" w:firstRowFirstColumn="0" w:firstRowLastColumn="0" w:lastRowFirstColumn="0" w:lastRowLastColumn="0"/>
            <w:tcW w:w="647" w:type="pct"/>
            <w:tcBorders>
              <w:bottom w:val="single" w:sz="4" w:space="0" w:color="A6A6A6" w:themeColor="accent5"/>
            </w:tcBorders>
          </w:tcPr>
          <w:p w14:paraId="44867780" w14:textId="77777777" w:rsidR="00DD2B79" w:rsidRPr="009C218D" w:rsidRDefault="00DD2B79">
            <w:pPr>
              <w:pStyle w:val="ARtabletextright"/>
            </w:pPr>
            <w:r w:rsidRPr="009C218D">
              <w:t xml:space="preserve">6,038.0 </w:t>
            </w:r>
          </w:p>
        </w:tc>
        <w:tc>
          <w:tcPr>
            <w:tcW w:w="647" w:type="pct"/>
            <w:tcBorders>
              <w:bottom w:val="single" w:sz="4" w:space="0" w:color="A6A6A6" w:themeColor="accent5"/>
            </w:tcBorders>
          </w:tcPr>
          <w:p w14:paraId="75A33B8B" w14:textId="451F7F67" w:rsidR="00DD2B79" w:rsidRPr="009C218D" w:rsidRDefault="00DD2B79">
            <w:pPr>
              <w:pStyle w:val="ARtabletextright"/>
              <w:cnfStyle w:val="000000000000" w:firstRow="0" w:lastRow="0" w:firstColumn="0" w:lastColumn="0" w:oddVBand="0" w:evenVBand="0" w:oddHBand="0" w:evenHBand="0" w:firstRowFirstColumn="0" w:firstRowLastColumn="0" w:lastRowFirstColumn="0" w:lastRowLastColumn="0"/>
            </w:pPr>
            <w:r>
              <w:t xml:space="preserve"> 8.021.4</w:t>
            </w:r>
          </w:p>
        </w:tc>
      </w:tr>
      <w:tr w:rsidR="00F33C72" w:rsidRPr="002029AF" w14:paraId="5F43FE14" w14:textId="77777777" w:rsidTr="00DD2B79">
        <w:trPr>
          <w:trHeight w:val="73"/>
        </w:trPr>
        <w:tc>
          <w:tcPr>
            <w:tcW w:w="2412" w:type="pct"/>
            <w:tcBorders>
              <w:top w:val="single" w:sz="4" w:space="0" w:color="A6A6A6" w:themeColor="accent5"/>
              <w:bottom w:val="single" w:sz="4" w:space="0" w:color="000000" w:themeColor="text1"/>
            </w:tcBorders>
          </w:tcPr>
          <w:p w14:paraId="6CB3AEF3" w14:textId="77777777" w:rsidR="00DD2B79" w:rsidRPr="00DE5E1D" w:rsidRDefault="00DD2B79">
            <w:pPr>
              <w:pStyle w:val="ARtabletext"/>
            </w:pPr>
            <w:r w:rsidRPr="00DE5E1D">
              <w:t>Total expenses from transactions</w:t>
            </w:r>
          </w:p>
        </w:tc>
        <w:tc>
          <w:tcPr>
            <w:cnfStyle w:val="000001000000" w:firstRow="0" w:lastRow="0" w:firstColumn="0" w:lastColumn="0" w:oddVBand="0" w:evenVBand="1" w:oddHBand="0" w:evenHBand="0" w:firstRowFirstColumn="0" w:firstRowLastColumn="0" w:lastRowFirstColumn="0" w:lastRowLastColumn="0"/>
            <w:tcW w:w="647" w:type="pct"/>
            <w:tcBorders>
              <w:top w:val="single" w:sz="4" w:space="0" w:color="A6A6A6" w:themeColor="accent5"/>
              <w:bottom w:val="single" w:sz="4" w:space="0" w:color="000000" w:themeColor="text1"/>
            </w:tcBorders>
          </w:tcPr>
          <w:p w14:paraId="444B9F22" w14:textId="77777777" w:rsidR="00DD2B79" w:rsidRPr="009C218D" w:rsidRDefault="00DD2B79">
            <w:pPr>
              <w:pStyle w:val="ARtabletextright"/>
            </w:pPr>
            <w:r w:rsidRPr="009C218D">
              <w:t>(7,811.5)</w:t>
            </w:r>
          </w:p>
        </w:tc>
        <w:tc>
          <w:tcPr>
            <w:tcW w:w="647" w:type="pct"/>
            <w:tcBorders>
              <w:top w:val="single" w:sz="4" w:space="0" w:color="A6A6A6" w:themeColor="accent5"/>
              <w:bottom w:val="single" w:sz="4" w:space="0" w:color="000000" w:themeColor="text1"/>
            </w:tcBorders>
          </w:tcPr>
          <w:p w14:paraId="2424A2C3" w14:textId="77777777" w:rsidR="00DD2B79" w:rsidRPr="009C218D" w:rsidRDefault="00DD2B79">
            <w:pPr>
              <w:pStyle w:val="ARtabletextright"/>
              <w:cnfStyle w:val="000000000000" w:firstRow="0" w:lastRow="0" w:firstColumn="0" w:lastColumn="0" w:oddVBand="0" w:evenVBand="0" w:oddHBand="0" w:evenHBand="0" w:firstRowFirstColumn="0" w:firstRowLastColumn="0" w:lastRowFirstColumn="0" w:lastRowLastColumn="0"/>
            </w:pPr>
            <w:r w:rsidRPr="009C218D">
              <w:t>(6,999.7)</w:t>
            </w:r>
          </w:p>
        </w:tc>
        <w:tc>
          <w:tcPr>
            <w:cnfStyle w:val="000001000000" w:firstRow="0" w:lastRow="0" w:firstColumn="0" w:lastColumn="0" w:oddVBand="0" w:evenVBand="1" w:oddHBand="0" w:evenHBand="0" w:firstRowFirstColumn="0" w:firstRowLastColumn="0" w:lastRowFirstColumn="0" w:lastRowLastColumn="0"/>
            <w:tcW w:w="647" w:type="pct"/>
            <w:tcBorders>
              <w:top w:val="single" w:sz="4" w:space="0" w:color="A6A6A6" w:themeColor="accent5"/>
              <w:bottom w:val="single" w:sz="4" w:space="0" w:color="000000" w:themeColor="text1"/>
            </w:tcBorders>
          </w:tcPr>
          <w:p w14:paraId="2C84CA4A" w14:textId="3DEEE21D" w:rsidR="00DD2B79" w:rsidRPr="009C218D" w:rsidRDefault="00DD2B79">
            <w:pPr>
              <w:pStyle w:val="ARtabletextright"/>
            </w:pPr>
            <w:r w:rsidRPr="009C218D">
              <w:t>(6,282.1)</w:t>
            </w:r>
            <w:r>
              <w:t xml:space="preserve"> </w:t>
            </w:r>
          </w:p>
        </w:tc>
        <w:tc>
          <w:tcPr>
            <w:tcW w:w="647" w:type="pct"/>
            <w:tcBorders>
              <w:top w:val="single" w:sz="4" w:space="0" w:color="A6A6A6" w:themeColor="accent5"/>
              <w:bottom w:val="single" w:sz="4" w:space="0" w:color="000000" w:themeColor="text1"/>
            </w:tcBorders>
          </w:tcPr>
          <w:p w14:paraId="7D513C3D" w14:textId="6ED37018" w:rsidR="00DD2B79" w:rsidRPr="009C218D" w:rsidRDefault="00DD2B79">
            <w:pPr>
              <w:pStyle w:val="ARtabletextright"/>
              <w:cnfStyle w:val="000000000000" w:firstRow="0" w:lastRow="0" w:firstColumn="0" w:lastColumn="0" w:oddVBand="0" w:evenVBand="0" w:oddHBand="0" w:evenHBand="0" w:firstRowFirstColumn="0" w:firstRowLastColumn="0" w:lastRowFirstColumn="0" w:lastRowLastColumn="0"/>
            </w:pPr>
            <w:r>
              <w:t>(7,669.5)</w:t>
            </w:r>
          </w:p>
        </w:tc>
      </w:tr>
      <w:tr w:rsidR="00F33C72" w:rsidRPr="002029AF" w14:paraId="7076B61E" w14:textId="77777777" w:rsidTr="00DD2B79">
        <w:trPr>
          <w:trHeight w:val="1"/>
        </w:trPr>
        <w:tc>
          <w:tcPr>
            <w:tcW w:w="2412" w:type="pct"/>
            <w:tcBorders>
              <w:top w:val="single" w:sz="4" w:space="0" w:color="000000" w:themeColor="text1"/>
              <w:bottom w:val="single" w:sz="4" w:space="0" w:color="000000" w:themeColor="text1"/>
            </w:tcBorders>
          </w:tcPr>
          <w:p w14:paraId="4E772420" w14:textId="77777777" w:rsidR="00DD2B79" w:rsidRPr="00DE5E1D" w:rsidRDefault="00DD2B79" w:rsidP="00DD2B79">
            <w:pPr>
              <w:pStyle w:val="ARtabletextbold"/>
            </w:pPr>
            <w:r w:rsidRPr="00DE5E1D">
              <w:t>Net result from transactions</w:t>
            </w:r>
          </w:p>
        </w:tc>
        <w:tc>
          <w:tcPr>
            <w:cnfStyle w:val="000001000000" w:firstRow="0" w:lastRow="0" w:firstColumn="0" w:lastColumn="0" w:oddVBand="0" w:evenVBand="1" w:oddHBand="0" w:evenHBand="0" w:firstRowFirstColumn="0" w:firstRowLastColumn="0" w:lastRowFirstColumn="0" w:lastRowLastColumn="0"/>
            <w:tcW w:w="647" w:type="pct"/>
            <w:tcBorders>
              <w:top w:val="single" w:sz="4" w:space="0" w:color="000000" w:themeColor="text1"/>
              <w:bottom w:val="single" w:sz="4" w:space="0" w:color="000000" w:themeColor="text1"/>
            </w:tcBorders>
          </w:tcPr>
          <w:p w14:paraId="4BB1B7D1" w14:textId="77777777" w:rsidR="00DD2B79" w:rsidRPr="009C218D" w:rsidRDefault="00DD2B79" w:rsidP="00DD2B79">
            <w:pPr>
              <w:pStyle w:val="ARtabletextrightbold"/>
            </w:pPr>
            <w:r w:rsidRPr="009C218D">
              <w:t>(469.7)</w:t>
            </w:r>
          </w:p>
        </w:tc>
        <w:tc>
          <w:tcPr>
            <w:tcW w:w="647" w:type="pct"/>
            <w:tcBorders>
              <w:top w:val="single" w:sz="4" w:space="0" w:color="000000" w:themeColor="text1"/>
              <w:bottom w:val="single" w:sz="4" w:space="0" w:color="000000" w:themeColor="text1"/>
            </w:tcBorders>
          </w:tcPr>
          <w:p w14:paraId="7BE59EBF" w14:textId="77777777" w:rsidR="00DD2B79" w:rsidRPr="009C218D" w:rsidRDefault="00DD2B79" w:rsidP="00DD2B79">
            <w:pPr>
              <w:pStyle w:val="ARtabletextrightbold"/>
              <w:cnfStyle w:val="000000000000" w:firstRow="0" w:lastRow="0" w:firstColumn="0" w:lastColumn="0" w:oddVBand="0" w:evenVBand="0" w:oddHBand="0" w:evenHBand="0" w:firstRowFirstColumn="0" w:firstRowLastColumn="0" w:lastRowFirstColumn="0" w:lastRowLastColumn="0"/>
            </w:pPr>
            <w:r w:rsidRPr="009C218D">
              <w:t>(601.7)</w:t>
            </w:r>
          </w:p>
        </w:tc>
        <w:tc>
          <w:tcPr>
            <w:cnfStyle w:val="000001000000" w:firstRow="0" w:lastRow="0" w:firstColumn="0" w:lastColumn="0" w:oddVBand="0" w:evenVBand="1" w:oddHBand="0" w:evenHBand="0" w:firstRowFirstColumn="0" w:firstRowLastColumn="0" w:lastRowFirstColumn="0" w:lastRowLastColumn="0"/>
            <w:tcW w:w="647" w:type="pct"/>
            <w:tcBorders>
              <w:top w:val="single" w:sz="4" w:space="0" w:color="000000" w:themeColor="text1"/>
              <w:bottom w:val="single" w:sz="4" w:space="0" w:color="000000" w:themeColor="text1"/>
            </w:tcBorders>
          </w:tcPr>
          <w:p w14:paraId="3307ECB7" w14:textId="77777777" w:rsidR="00DD2B79" w:rsidRPr="009C218D" w:rsidRDefault="00DD2B79" w:rsidP="00DD2B79">
            <w:pPr>
              <w:pStyle w:val="ARtabletextrightbold"/>
            </w:pPr>
            <w:r w:rsidRPr="009C218D">
              <w:t>(244.1)</w:t>
            </w:r>
          </w:p>
        </w:tc>
        <w:tc>
          <w:tcPr>
            <w:tcW w:w="647" w:type="pct"/>
            <w:tcBorders>
              <w:top w:val="single" w:sz="4" w:space="0" w:color="000000" w:themeColor="text1"/>
              <w:bottom w:val="single" w:sz="4" w:space="0" w:color="000000" w:themeColor="text1"/>
            </w:tcBorders>
          </w:tcPr>
          <w:p w14:paraId="5210EE8A" w14:textId="40803D62" w:rsidR="00DD2B79" w:rsidRPr="009C218D" w:rsidRDefault="00DD2B79" w:rsidP="00DD2B79">
            <w:pPr>
              <w:pStyle w:val="ARtabletextrightbold"/>
              <w:cnfStyle w:val="000000000000" w:firstRow="0" w:lastRow="0" w:firstColumn="0" w:lastColumn="0" w:oddVBand="0" w:evenVBand="0" w:oddHBand="0" w:evenHBand="0" w:firstRowFirstColumn="0" w:firstRowLastColumn="0" w:lastRowFirstColumn="0" w:lastRowLastColumn="0"/>
            </w:pPr>
            <w:r>
              <w:t>351.8</w:t>
            </w:r>
          </w:p>
        </w:tc>
      </w:tr>
      <w:tr w:rsidR="00F33C72" w:rsidRPr="002029AF" w14:paraId="29E9B629" w14:textId="77777777" w:rsidTr="00DD2B79">
        <w:trPr>
          <w:trHeight w:val="1"/>
        </w:trPr>
        <w:tc>
          <w:tcPr>
            <w:tcW w:w="2412" w:type="pct"/>
            <w:tcBorders>
              <w:top w:val="single" w:sz="4" w:space="0" w:color="000000" w:themeColor="text1"/>
              <w:bottom w:val="single" w:sz="4" w:space="0" w:color="A6A6A6" w:themeColor="accent5"/>
            </w:tcBorders>
          </w:tcPr>
          <w:p w14:paraId="1535A1C0" w14:textId="77777777" w:rsidR="00DD2B79" w:rsidRPr="00DE5E1D" w:rsidRDefault="00DD2B79">
            <w:pPr>
              <w:pStyle w:val="ARtabletext"/>
            </w:pPr>
            <w:r w:rsidRPr="00DE5E1D">
              <w:t>Net result for the period</w:t>
            </w:r>
          </w:p>
        </w:tc>
        <w:tc>
          <w:tcPr>
            <w:cnfStyle w:val="000001000000" w:firstRow="0" w:lastRow="0" w:firstColumn="0" w:lastColumn="0" w:oddVBand="0" w:evenVBand="1" w:oddHBand="0" w:evenHBand="0" w:firstRowFirstColumn="0" w:firstRowLastColumn="0" w:lastRowFirstColumn="0" w:lastRowLastColumn="0"/>
            <w:tcW w:w="647" w:type="pct"/>
            <w:tcBorders>
              <w:top w:val="single" w:sz="4" w:space="0" w:color="000000" w:themeColor="text1"/>
              <w:bottom w:val="single" w:sz="4" w:space="0" w:color="A6A6A6" w:themeColor="accent5"/>
            </w:tcBorders>
          </w:tcPr>
          <w:p w14:paraId="458AF82D" w14:textId="77777777" w:rsidR="00DD2B79" w:rsidRPr="009C218D" w:rsidRDefault="00DD2B79">
            <w:pPr>
              <w:pStyle w:val="ARtabletextright"/>
            </w:pPr>
            <w:r w:rsidRPr="009C218D">
              <w:t>(522.2)</w:t>
            </w:r>
          </w:p>
        </w:tc>
        <w:tc>
          <w:tcPr>
            <w:tcW w:w="647" w:type="pct"/>
            <w:tcBorders>
              <w:top w:val="single" w:sz="4" w:space="0" w:color="000000" w:themeColor="text1"/>
              <w:bottom w:val="single" w:sz="4" w:space="0" w:color="A6A6A6" w:themeColor="accent5"/>
            </w:tcBorders>
          </w:tcPr>
          <w:p w14:paraId="7F5F9D60" w14:textId="77777777" w:rsidR="00DD2B79" w:rsidRPr="009C218D" w:rsidRDefault="00DD2B79">
            <w:pPr>
              <w:pStyle w:val="ARtabletextright"/>
              <w:cnfStyle w:val="000000000000" w:firstRow="0" w:lastRow="0" w:firstColumn="0" w:lastColumn="0" w:oddVBand="0" w:evenVBand="0" w:oddHBand="0" w:evenHBand="0" w:firstRowFirstColumn="0" w:firstRowLastColumn="0" w:lastRowFirstColumn="0" w:lastRowLastColumn="0"/>
            </w:pPr>
            <w:r w:rsidRPr="009C218D">
              <w:t>(638.4)</w:t>
            </w:r>
          </w:p>
        </w:tc>
        <w:tc>
          <w:tcPr>
            <w:cnfStyle w:val="000001000000" w:firstRow="0" w:lastRow="0" w:firstColumn="0" w:lastColumn="0" w:oddVBand="0" w:evenVBand="1" w:oddHBand="0" w:evenHBand="0" w:firstRowFirstColumn="0" w:firstRowLastColumn="0" w:lastRowFirstColumn="0" w:lastRowLastColumn="0"/>
            <w:tcW w:w="647" w:type="pct"/>
            <w:tcBorders>
              <w:top w:val="single" w:sz="4" w:space="0" w:color="000000" w:themeColor="text1"/>
              <w:bottom w:val="single" w:sz="4" w:space="0" w:color="A6A6A6" w:themeColor="accent5"/>
            </w:tcBorders>
          </w:tcPr>
          <w:p w14:paraId="12257393" w14:textId="77777777" w:rsidR="00DD2B79" w:rsidRPr="009C218D" w:rsidRDefault="00DD2B79">
            <w:pPr>
              <w:pStyle w:val="ARtabletextright"/>
            </w:pPr>
            <w:r w:rsidRPr="009C218D">
              <w:t>(264.7)</w:t>
            </w:r>
          </w:p>
        </w:tc>
        <w:tc>
          <w:tcPr>
            <w:tcW w:w="647" w:type="pct"/>
            <w:tcBorders>
              <w:top w:val="single" w:sz="4" w:space="0" w:color="000000" w:themeColor="text1"/>
              <w:bottom w:val="single" w:sz="4" w:space="0" w:color="A6A6A6" w:themeColor="accent5"/>
            </w:tcBorders>
          </w:tcPr>
          <w:p w14:paraId="41CF8014" w14:textId="12BFAB67" w:rsidR="00DD2B79" w:rsidRPr="009C218D" w:rsidRDefault="00DD2B79">
            <w:pPr>
              <w:pStyle w:val="ARtabletextright"/>
              <w:cnfStyle w:val="000000000000" w:firstRow="0" w:lastRow="0" w:firstColumn="0" w:lastColumn="0" w:oddVBand="0" w:evenVBand="0" w:oddHBand="0" w:evenHBand="0" w:firstRowFirstColumn="0" w:firstRowLastColumn="0" w:lastRowFirstColumn="0" w:lastRowLastColumn="0"/>
            </w:pPr>
            <w:r>
              <w:t>335.9</w:t>
            </w:r>
          </w:p>
        </w:tc>
      </w:tr>
      <w:tr w:rsidR="00F33C72" w:rsidRPr="002029AF" w14:paraId="45FC8C47" w14:textId="77777777" w:rsidTr="00DD2B79">
        <w:trPr>
          <w:trHeight w:val="73"/>
        </w:trPr>
        <w:tc>
          <w:tcPr>
            <w:tcW w:w="2412" w:type="pct"/>
            <w:tcBorders>
              <w:top w:val="single" w:sz="4" w:space="0" w:color="A6A6A6" w:themeColor="accent5"/>
              <w:bottom w:val="single" w:sz="4" w:space="0" w:color="000000" w:themeColor="text1"/>
            </w:tcBorders>
          </w:tcPr>
          <w:p w14:paraId="05FE0822" w14:textId="0A77244E" w:rsidR="00DD2B79" w:rsidRPr="00DE5E1D" w:rsidRDefault="00DD2B79">
            <w:pPr>
              <w:pStyle w:val="ARtabletext"/>
            </w:pPr>
            <w:r w:rsidRPr="00DE5E1D">
              <w:t>Net cash flow from operating activities</w:t>
            </w:r>
            <w:r>
              <w:t xml:space="preserve"> </w:t>
            </w:r>
          </w:p>
        </w:tc>
        <w:tc>
          <w:tcPr>
            <w:cnfStyle w:val="000001000000" w:firstRow="0" w:lastRow="0" w:firstColumn="0" w:lastColumn="0" w:oddVBand="0" w:evenVBand="1" w:oddHBand="0" w:evenHBand="0" w:firstRowFirstColumn="0" w:firstRowLastColumn="0" w:lastRowFirstColumn="0" w:lastRowLastColumn="0"/>
            <w:tcW w:w="647" w:type="pct"/>
            <w:tcBorders>
              <w:top w:val="single" w:sz="4" w:space="0" w:color="A6A6A6" w:themeColor="accent5"/>
              <w:bottom w:val="single" w:sz="4" w:space="0" w:color="000000" w:themeColor="text1"/>
            </w:tcBorders>
          </w:tcPr>
          <w:p w14:paraId="7D8AAD88" w14:textId="77777777" w:rsidR="00DD2B79" w:rsidRPr="009C218D" w:rsidRDefault="00DD2B79">
            <w:pPr>
              <w:pStyle w:val="ARtabletextright"/>
            </w:pPr>
            <w:r w:rsidRPr="009C218D">
              <w:t>333.7</w:t>
            </w:r>
          </w:p>
        </w:tc>
        <w:tc>
          <w:tcPr>
            <w:tcW w:w="647" w:type="pct"/>
            <w:tcBorders>
              <w:top w:val="single" w:sz="4" w:space="0" w:color="A6A6A6" w:themeColor="accent5"/>
              <w:bottom w:val="single" w:sz="4" w:space="0" w:color="000000" w:themeColor="text1"/>
            </w:tcBorders>
          </w:tcPr>
          <w:p w14:paraId="4C30288D" w14:textId="77777777" w:rsidR="00DD2B79" w:rsidRPr="009C218D" w:rsidRDefault="00DD2B79">
            <w:pPr>
              <w:pStyle w:val="ARtabletextright"/>
              <w:cnfStyle w:val="000000000000" w:firstRow="0" w:lastRow="0" w:firstColumn="0" w:lastColumn="0" w:oddVBand="0" w:evenVBand="0" w:oddHBand="0" w:evenHBand="0" w:firstRowFirstColumn="0" w:firstRowLastColumn="0" w:lastRowFirstColumn="0" w:lastRowLastColumn="0"/>
            </w:pPr>
            <w:r w:rsidRPr="009C218D">
              <w:t>(103.2)</w:t>
            </w:r>
          </w:p>
        </w:tc>
        <w:tc>
          <w:tcPr>
            <w:cnfStyle w:val="000001000000" w:firstRow="0" w:lastRow="0" w:firstColumn="0" w:lastColumn="0" w:oddVBand="0" w:evenVBand="1" w:oddHBand="0" w:evenHBand="0" w:firstRowFirstColumn="0" w:firstRowLastColumn="0" w:lastRowFirstColumn="0" w:lastRowLastColumn="0"/>
            <w:tcW w:w="647" w:type="pct"/>
            <w:tcBorders>
              <w:top w:val="single" w:sz="4" w:space="0" w:color="A6A6A6" w:themeColor="accent5"/>
              <w:bottom w:val="single" w:sz="4" w:space="0" w:color="000000" w:themeColor="text1"/>
            </w:tcBorders>
          </w:tcPr>
          <w:p w14:paraId="6E9083A9" w14:textId="77777777" w:rsidR="00DD2B79" w:rsidRPr="009C218D" w:rsidRDefault="00DD2B79">
            <w:pPr>
              <w:pStyle w:val="ARtabletextright"/>
            </w:pPr>
            <w:r w:rsidRPr="009C218D">
              <w:t>182.5</w:t>
            </w:r>
          </w:p>
        </w:tc>
        <w:tc>
          <w:tcPr>
            <w:tcW w:w="647" w:type="pct"/>
            <w:tcBorders>
              <w:top w:val="single" w:sz="4" w:space="0" w:color="A6A6A6" w:themeColor="accent5"/>
              <w:bottom w:val="single" w:sz="4" w:space="0" w:color="000000" w:themeColor="text1"/>
            </w:tcBorders>
          </w:tcPr>
          <w:p w14:paraId="3917CD73" w14:textId="5E1F36E1" w:rsidR="00DD2B79" w:rsidRPr="009C218D" w:rsidRDefault="00DD2B79">
            <w:pPr>
              <w:pStyle w:val="ARtabletextright"/>
              <w:cnfStyle w:val="000000000000" w:firstRow="0" w:lastRow="0" w:firstColumn="0" w:lastColumn="0" w:oddVBand="0" w:evenVBand="0" w:oddHBand="0" w:evenHBand="0" w:firstRowFirstColumn="0" w:firstRowLastColumn="0" w:lastRowFirstColumn="0" w:lastRowLastColumn="0"/>
            </w:pPr>
            <w:r>
              <w:t>548.2</w:t>
            </w:r>
          </w:p>
        </w:tc>
      </w:tr>
      <w:tr w:rsidR="00F33C72" w:rsidRPr="002029AF" w14:paraId="0E25D00C" w14:textId="77777777" w:rsidTr="00DD2B79">
        <w:trPr>
          <w:trHeight w:val="1"/>
        </w:trPr>
        <w:tc>
          <w:tcPr>
            <w:tcW w:w="2412" w:type="pct"/>
            <w:tcBorders>
              <w:top w:val="single" w:sz="4" w:space="0" w:color="000000" w:themeColor="text1"/>
              <w:bottom w:val="single" w:sz="4" w:space="0" w:color="000000" w:themeColor="text1"/>
            </w:tcBorders>
          </w:tcPr>
          <w:p w14:paraId="049E4D7F" w14:textId="77777777" w:rsidR="00DD2B79" w:rsidRPr="00DE5E1D" w:rsidRDefault="00DD2B79" w:rsidP="00DD2B79">
            <w:pPr>
              <w:pStyle w:val="ARtabletextbold"/>
            </w:pPr>
            <w:r w:rsidRPr="00DE5E1D">
              <w:t>Total assets</w:t>
            </w:r>
          </w:p>
        </w:tc>
        <w:tc>
          <w:tcPr>
            <w:cnfStyle w:val="000001000000" w:firstRow="0" w:lastRow="0" w:firstColumn="0" w:lastColumn="0" w:oddVBand="0" w:evenVBand="1" w:oddHBand="0" w:evenHBand="0" w:firstRowFirstColumn="0" w:firstRowLastColumn="0" w:lastRowFirstColumn="0" w:lastRowLastColumn="0"/>
            <w:tcW w:w="647" w:type="pct"/>
            <w:tcBorders>
              <w:top w:val="single" w:sz="4" w:space="0" w:color="000000" w:themeColor="text1"/>
              <w:bottom w:val="single" w:sz="4" w:space="0" w:color="000000" w:themeColor="text1"/>
            </w:tcBorders>
          </w:tcPr>
          <w:p w14:paraId="480FC279" w14:textId="77777777" w:rsidR="00DD2B79" w:rsidRPr="009C218D" w:rsidRDefault="00DD2B79" w:rsidP="00DD2B79">
            <w:pPr>
              <w:pStyle w:val="ARtabletextrightbold"/>
            </w:pPr>
            <w:r w:rsidRPr="009C218D">
              <w:t>41,495.7</w:t>
            </w:r>
          </w:p>
        </w:tc>
        <w:tc>
          <w:tcPr>
            <w:tcW w:w="647" w:type="pct"/>
            <w:tcBorders>
              <w:top w:val="single" w:sz="4" w:space="0" w:color="000000" w:themeColor="text1"/>
              <w:bottom w:val="single" w:sz="4" w:space="0" w:color="000000" w:themeColor="text1"/>
            </w:tcBorders>
          </w:tcPr>
          <w:p w14:paraId="1FA484C9" w14:textId="77777777" w:rsidR="00DD2B79" w:rsidRPr="009C218D" w:rsidRDefault="00DD2B79" w:rsidP="00DD2B79">
            <w:pPr>
              <w:pStyle w:val="ARtabletextrightbold"/>
              <w:cnfStyle w:val="000000000000" w:firstRow="0" w:lastRow="0" w:firstColumn="0" w:lastColumn="0" w:oddVBand="0" w:evenVBand="0" w:oddHBand="0" w:evenHBand="0" w:firstRowFirstColumn="0" w:firstRowLastColumn="0" w:lastRowFirstColumn="0" w:lastRowLastColumn="0"/>
            </w:pPr>
            <w:r w:rsidRPr="009C218D">
              <w:t>40,495.4</w:t>
            </w:r>
          </w:p>
        </w:tc>
        <w:tc>
          <w:tcPr>
            <w:cnfStyle w:val="000001000000" w:firstRow="0" w:lastRow="0" w:firstColumn="0" w:lastColumn="0" w:oddVBand="0" w:evenVBand="1" w:oddHBand="0" w:evenHBand="0" w:firstRowFirstColumn="0" w:firstRowLastColumn="0" w:lastRowFirstColumn="0" w:lastRowLastColumn="0"/>
            <w:tcW w:w="647" w:type="pct"/>
            <w:tcBorders>
              <w:top w:val="single" w:sz="4" w:space="0" w:color="000000" w:themeColor="text1"/>
              <w:bottom w:val="single" w:sz="4" w:space="0" w:color="000000" w:themeColor="text1"/>
            </w:tcBorders>
          </w:tcPr>
          <w:p w14:paraId="0586CAEC" w14:textId="77777777" w:rsidR="00DD2B79" w:rsidRPr="009C218D" w:rsidRDefault="00DD2B79" w:rsidP="00DD2B79">
            <w:pPr>
              <w:pStyle w:val="ARtabletextrightbold"/>
            </w:pPr>
            <w:r w:rsidRPr="009C218D">
              <w:t>38,565.6</w:t>
            </w:r>
          </w:p>
        </w:tc>
        <w:tc>
          <w:tcPr>
            <w:tcW w:w="647" w:type="pct"/>
            <w:tcBorders>
              <w:top w:val="single" w:sz="4" w:space="0" w:color="000000" w:themeColor="text1"/>
              <w:bottom w:val="single" w:sz="4" w:space="0" w:color="000000" w:themeColor="text1"/>
            </w:tcBorders>
          </w:tcPr>
          <w:p w14:paraId="1F23602E" w14:textId="6E8932DF" w:rsidR="00DD2B79" w:rsidRPr="009C218D" w:rsidRDefault="00DD2B79" w:rsidP="00DD2B79">
            <w:pPr>
              <w:pStyle w:val="ARtabletextrightbold"/>
              <w:cnfStyle w:val="000000000000" w:firstRow="0" w:lastRow="0" w:firstColumn="0" w:lastColumn="0" w:oddVBand="0" w:evenVBand="0" w:oddHBand="0" w:evenHBand="0" w:firstRowFirstColumn="0" w:firstRowLastColumn="0" w:lastRowFirstColumn="0" w:lastRowLastColumn="0"/>
            </w:pPr>
            <w:r>
              <w:t>38,113.8</w:t>
            </w:r>
          </w:p>
        </w:tc>
      </w:tr>
      <w:tr w:rsidR="006D70CE" w:rsidRPr="002029AF" w14:paraId="3C92C54A" w14:textId="77777777" w:rsidTr="00DD2B79">
        <w:trPr>
          <w:cnfStyle w:val="010000000000" w:firstRow="0" w:lastRow="1" w:firstColumn="0" w:lastColumn="0" w:oddVBand="0" w:evenVBand="0" w:oddHBand="0" w:evenHBand="0" w:firstRowFirstColumn="0" w:firstRowLastColumn="0" w:lastRowFirstColumn="0" w:lastRowLastColumn="0"/>
          <w:trHeight w:val="1"/>
        </w:trPr>
        <w:tc>
          <w:tcPr>
            <w:tcW w:w="2412" w:type="pct"/>
          </w:tcPr>
          <w:p w14:paraId="5BAB1827" w14:textId="77777777" w:rsidR="00DD2B79" w:rsidRPr="00DE5E1D" w:rsidRDefault="00DD2B79" w:rsidP="00DD2B79">
            <w:pPr>
              <w:pStyle w:val="ARtabletextbold"/>
            </w:pPr>
            <w:r w:rsidRPr="00DE5E1D">
              <w:t>Total liabilities</w:t>
            </w:r>
          </w:p>
        </w:tc>
        <w:tc>
          <w:tcPr>
            <w:cnfStyle w:val="000001000000" w:firstRow="0" w:lastRow="0" w:firstColumn="0" w:lastColumn="0" w:oddVBand="0" w:evenVBand="1" w:oddHBand="0" w:evenHBand="0" w:firstRowFirstColumn="0" w:firstRowLastColumn="0" w:lastRowFirstColumn="0" w:lastRowLastColumn="0"/>
            <w:tcW w:w="647" w:type="pct"/>
          </w:tcPr>
          <w:p w14:paraId="4DCA680F" w14:textId="77777777" w:rsidR="00DD2B79" w:rsidRPr="009C218D" w:rsidRDefault="00DD2B79" w:rsidP="00DD2B79">
            <w:pPr>
              <w:pStyle w:val="ARtabletextrightbold"/>
            </w:pPr>
            <w:r w:rsidRPr="009C218D">
              <w:t>2,401.9</w:t>
            </w:r>
          </w:p>
        </w:tc>
        <w:tc>
          <w:tcPr>
            <w:tcW w:w="647" w:type="pct"/>
          </w:tcPr>
          <w:p w14:paraId="6906E3C2" w14:textId="77777777" w:rsidR="00DD2B79" w:rsidRPr="009C218D" w:rsidRDefault="00DD2B79" w:rsidP="00DD2B79">
            <w:pPr>
              <w:pStyle w:val="ARtabletextrightbold"/>
              <w:cnfStyle w:val="010000000000" w:firstRow="0" w:lastRow="1" w:firstColumn="0" w:lastColumn="0" w:oddVBand="0" w:evenVBand="0" w:oddHBand="0" w:evenHBand="0" w:firstRowFirstColumn="0" w:firstRowLastColumn="0" w:lastRowFirstColumn="0" w:lastRowLastColumn="0"/>
            </w:pPr>
            <w:r w:rsidRPr="009C218D">
              <w:t>1,933.1</w:t>
            </w:r>
          </w:p>
        </w:tc>
        <w:tc>
          <w:tcPr>
            <w:cnfStyle w:val="000001000000" w:firstRow="0" w:lastRow="0" w:firstColumn="0" w:lastColumn="0" w:oddVBand="0" w:evenVBand="1" w:oddHBand="0" w:evenHBand="0" w:firstRowFirstColumn="0" w:firstRowLastColumn="0" w:lastRowFirstColumn="0" w:lastRowLastColumn="0"/>
            <w:tcW w:w="647" w:type="pct"/>
          </w:tcPr>
          <w:p w14:paraId="485C8149" w14:textId="77777777" w:rsidR="00DD2B79" w:rsidRPr="009C218D" w:rsidRDefault="00DD2B79" w:rsidP="00DD2B79">
            <w:pPr>
              <w:pStyle w:val="ARtabletextrightbold"/>
            </w:pPr>
            <w:r w:rsidRPr="009C218D">
              <w:t>1,383.6</w:t>
            </w:r>
          </w:p>
        </w:tc>
        <w:tc>
          <w:tcPr>
            <w:tcW w:w="647" w:type="pct"/>
          </w:tcPr>
          <w:p w14:paraId="1FD8B85F" w14:textId="20718CC0" w:rsidR="00DD2B79" w:rsidRPr="009C218D" w:rsidRDefault="00DD2B79" w:rsidP="00DD2B79">
            <w:pPr>
              <w:pStyle w:val="ARtabletextrightbold"/>
              <w:cnfStyle w:val="010000000000" w:firstRow="0" w:lastRow="1" w:firstColumn="0" w:lastColumn="0" w:oddVBand="0" w:evenVBand="0" w:oddHBand="0" w:evenHBand="0" w:firstRowFirstColumn="0" w:firstRowLastColumn="0" w:lastRowFirstColumn="0" w:lastRowLastColumn="0"/>
            </w:pPr>
            <w:r>
              <w:t>1,337.6</w:t>
            </w:r>
          </w:p>
        </w:tc>
      </w:tr>
    </w:tbl>
    <w:p w14:paraId="451AB5CD" w14:textId="77777777" w:rsidR="008149F0" w:rsidRDefault="008149F0" w:rsidP="00E835B0">
      <w:pPr>
        <w:pStyle w:val="ARbody"/>
        <w:spacing w:after="600"/>
        <w:rPr>
          <w:highlight w:val="cyan"/>
        </w:rPr>
        <w:sectPr w:rsidR="008149F0" w:rsidSect="007F43B1">
          <w:footerReference w:type="even" r:id="rId73"/>
          <w:footerReference w:type="default" r:id="rId74"/>
          <w:footerReference w:type="first" r:id="rId75"/>
          <w:endnotePr>
            <w:numFmt w:val="decimal"/>
          </w:endnotePr>
          <w:type w:val="continuous"/>
          <w:pgSz w:w="11900" w:h="16840" w:code="9"/>
          <w:pgMar w:top="1588" w:right="1134" w:bottom="851" w:left="1134" w:header="510" w:footer="340" w:gutter="0"/>
          <w:cols w:space="448"/>
        </w:sectPr>
      </w:pPr>
    </w:p>
    <w:p w14:paraId="430BC8F0" w14:textId="77777777" w:rsidR="0064038E" w:rsidRDefault="0064038E" w:rsidP="00BB645D">
      <w:pPr>
        <w:pStyle w:val="Heading3"/>
        <w:spacing w:before="0"/>
      </w:pPr>
      <w:r w:rsidRPr="00E835B0">
        <w:lastRenderedPageBreak/>
        <w:t>Departmental</w:t>
      </w:r>
      <w:r w:rsidRPr="0064038E">
        <w:t xml:space="preserve"> financial arrangement</w:t>
      </w:r>
      <w:bookmarkStart w:id="107" w:name="_Hlk111823612"/>
      <w:r>
        <w:t>s</w:t>
      </w:r>
    </w:p>
    <w:p w14:paraId="3628834B" w14:textId="3F315F6B" w:rsidR="0064038E" w:rsidRDefault="0064038E">
      <w:pPr>
        <w:pStyle w:val="ARbody"/>
        <w:rPr>
          <w:lang w:eastAsia="en-AU"/>
        </w:rPr>
      </w:pPr>
      <w:r w:rsidRPr="002109F2">
        <w:rPr>
          <w:lang w:eastAsia="en-AU"/>
        </w:rPr>
        <w:t xml:space="preserve">The department’s audited financial statements presented in this annual report </w:t>
      </w:r>
      <w:r>
        <w:rPr>
          <w:lang w:eastAsia="en-AU"/>
        </w:rPr>
        <w:t>include</w:t>
      </w:r>
      <w:r w:rsidRPr="002109F2">
        <w:rPr>
          <w:lang w:eastAsia="en-AU"/>
        </w:rPr>
        <w:t xml:space="preserve"> entities within the department’s portfolio that are not controlled by the department.</w:t>
      </w:r>
    </w:p>
    <w:p w14:paraId="70CEEE6B" w14:textId="223A82D2" w:rsidR="00525FFC" w:rsidRDefault="0064038E">
      <w:pPr>
        <w:pStyle w:val="ARbody"/>
        <w:rPr>
          <w:lang w:eastAsia="en-AU"/>
        </w:rPr>
      </w:pPr>
      <w:r>
        <w:rPr>
          <w:lang w:eastAsia="en-AU"/>
        </w:rPr>
        <w:t>P</w:t>
      </w:r>
      <w:r w:rsidRPr="002109F2">
        <w:rPr>
          <w:lang w:eastAsia="en-AU"/>
        </w:rPr>
        <w:t xml:space="preserve">ursuant to s. 53(1) (b) of the </w:t>
      </w:r>
      <w:r w:rsidRPr="000763F6">
        <w:rPr>
          <w:rStyle w:val="Emphasis"/>
        </w:rPr>
        <w:t>Financial Management Act 1994</w:t>
      </w:r>
      <w:r w:rsidRPr="002109F2">
        <w:rPr>
          <w:lang w:eastAsia="en-AU"/>
        </w:rPr>
        <w:t xml:space="preserve">, the Assistant Treasurer has granted approval for the department to prepare financial statements incorporating the following entities </w:t>
      </w:r>
      <w:r>
        <w:rPr>
          <w:lang w:eastAsia="en-AU"/>
        </w:rPr>
        <w:t>that</w:t>
      </w:r>
      <w:r w:rsidRPr="002109F2">
        <w:rPr>
          <w:lang w:eastAsia="en-AU"/>
        </w:rPr>
        <w:t xml:space="preserve"> form part of the Department of Famil</w:t>
      </w:r>
      <w:r w:rsidR="00002282">
        <w:rPr>
          <w:lang w:eastAsia="en-AU"/>
        </w:rPr>
        <w:t>ies,</w:t>
      </w:r>
      <w:r w:rsidRPr="002109F2">
        <w:rPr>
          <w:lang w:eastAsia="en-AU"/>
        </w:rPr>
        <w:t xml:space="preserve"> Fairness and Housing</w:t>
      </w:r>
      <w:r>
        <w:rPr>
          <w:lang w:eastAsia="en-AU"/>
        </w:rPr>
        <w:t>. This</w:t>
      </w:r>
      <w:r w:rsidRPr="002109F2">
        <w:rPr>
          <w:lang w:eastAsia="en-AU"/>
        </w:rPr>
        <w:t xml:space="preserve"> enable</w:t>
      </w:r>
      <w:r>
        <w:rPr>
          <w:lang w:eastAsia="en-AU"/>
        </w:rPr>
        <w:t>s</w:t>
      </w:r>
      <w:r w:rsidRPr="002109F2">
        <w:rPr>
          <w:lang w:eastAsia="en-AU"/>
        </w:rPr>
        <w:t xml:space="preserve"> efficient production of financial statements for smaller entities within the department’s portfolio</w:t>
      </w:r>
      <w:r>
        <w:rPr>
          <w:lang w:eastAsia="en-AU"/>
        </w:rPr>
        <w:t>. It</w:t>
      </w:r>
      <w:r w:rsidR="00E16B5E">
        <w:rPr>
          <w:lang w:eastAsia="en-AU"/>
        </w:rPr>
        <w:t> </w:t>
      </w:r>
      <w:r>
        <w:rPr>
          <w:lang w:eastAsia="en-AU"/>
        </w:rPr>
        <w:t>also</w:t>
      </w:r>
      <w:r w:rsidRPr="002109F2">
        <w:rPr>
          <w:lang w:eastAsia="en-AU"/>
        </w:rPr>
        <w:t xml:space="preserve"> </w:t>
      </w:r>
      <w:proofErr w:type="gramStart"/>
      <w:r w:rsidRPr="002109F2">
        <w:rPr>
          <w:lang w:eastAsia="en-AU"/>
        </w:rPr>
        <w:t>recognise</w:t>
      </w:r>
      <w:proofErr w:type="gramEnd"/>
      <w:r w:rsidRPr="002109F2">
        <w:rPr>
          <w:lang w:eastAsia="en-AU"/>
        </w:rPr>
        <w:t xml:space="preserve"> the </w:t>
      </w:r>
      <w:r>
        <w:rPr>
          <w:lang w:eastAsia="en-AU"/>
        </w:rPr>
        <w:t>Homes Victoria</w:t>
      </w:r>
      <w:r w:rsidRPr="002109F2">
        <w:rPr>
          <w:lang w:eastAsia="en-AU"/>
        </w:rPr>
        <w:t xml:space="preserve"> entity </w:t>
      </w:r>
      <w:r>
        <w:rPr>
          <w:lang w:eastAsia="en-AU"/>
        </w:rPr>
        <w:t>that operates</w:t>
      </w:r>
      <w:r w:rsidRPr="002109F2">
        <w:rPr>
          <w:lang w:eastAsia="en-AU"/>
        </w:rPr>
        <w:t xml:space="preserve"> within the department’s business</w:t>
      </w:r>
      <w:r w:rsidR="00E16B5E">
        <w:rPr>
          <w:lang w:eastAsia="en-AU"/>
        </w:rPr>
        <w:t> </w:t>
      </w:r>
      <w:r w:rsidRPr="002109F2">
        <w:rPr>
          <w:lang w:eastAsia="en-AU"/>
        </w:rPr>
        <w:t>structure</w:t>
      </w:r>
      <w:r>
        <w:rPr>
          <w:lang w:eastAsia="en-AU"/>
        </w:rPr>
        <w:t xml:space="preserve">. </w:t>
      </w:r>
    </w:p>
    <w:p w14:paraId="4B41A17F" w14:textId="4D9D6C0B" w:rsidR="0064038E" w:rsidRPr="002029AF" w:rsidRDefault="00525FFC">
      <w:pPr>
        <w:pStyle w:val="ARbody"/>
        <w:rPr>
          <w:lang w:eastAsia="en-AU"/>
        </w:rPr>
      </w:pPr>
      <w:r>
        <w:rPr>
          <w:lang w:eastAsia="en-AU"/>
        </w:rPr>
        <w:br w:type="column"/>
      </w:r>
      <w:r w:rsidR="0064038E">
        <w:rPr>
          <w:lang w:eastAsia="en-AU"/>
        </w:rPr>
        <w:t>The entities are:</w:t>
      </w:r>
    </w:p>
    <w:p w14:paraId="2FDD6964" w14:textId="77777777" w:rsidR="0064038E" w:rsidRPr="002029AF" w:rsidRDefault="0064038E" w:rsidP="00F375A6">
      <w:pPr>
        <w:pStyle w:val="ARbullet1"/>
        <w:numPr>
          <w:ilvl w:val="0"/>
          <w:numId w:val="23"/>
        </w:numPr>
        <w:rPr>
          <w:lang w:eastAsia="en-AU"/>
        </w:rPr>
      </w:pPr>
      <w:r>
        <w:rPr>
          <w:lang w:eastAsia="en-AU"/>
        </w:rPr>
        <w:t>Homes Victoria</w:t>
      </w:r>
    </w:p>
    <w:p w14:paraId="5C20FC84" w14:textId="77777777" w:rsidR="0064038E" w:rsidRPr="002029AF" w:rsidRDefault="0064038E" w:rsidP="00F375A6">
      <w:pPr>
        <w:pStyle w:val="ARbullet1"/>
        <w:numPr>
          <w:ilvl w:val="0"/>
          <w:numId w:val="23"/>
        </w:numPr>
        <w:rPr>
          <w:lang w:eastAsia="en-AU"/>
        </w:rPr>
      </w:pPr>
      <w:r w:rsidRPr="002029AF">
        <w:rPr>
          <w:lang w:eastAsia="en-AU"/>
        </w:rPr>
        <w:t>Commission for Children and Young People</w:t>
      </w:r>
    </w:p>
    <w:p w14:paraId="78842FF6" w14:textId="77777777" w:rsidR="0064038E" w:rsidRPr="00A54BEB" w:rsidRDefault="0064038E" w:rsidP="00F375A6">
      <w:pPr>
        <w:pStyle w:val="ARbullet1"/>
        <w:numPr>
          <w:ilvl w:val="0"/>
          <w:numId w:val="23"/>
        </w:numPr>
        <w:rPr>
          <w:color w:val="000000" w:themeColor="text1"/>
          <w:lang w:eastAsia="en-AU"/>
        </w:rPr>
      </w:pPr>
      <w:r w:rsidRPr="00A54BEB">
        <w:rPr>
          <w:color w:val="000000" w:themeColor="text1"/>
          <w:lang w:eastAsia="en-AU"/>
        </w:rPr>
        <w:t>Respect Victoria</w:t>
      </w:r>
    </w:p>
    <w:p w14:paraId="0230F2AC" w14:textId="77777777" w:rsidR="0064038E" w:rsidRDefault="0064038E" w:rsidP="00F375A6">
      <w:pPr>
        <w:pStyle w:val="ARbullet1"/>
        <w:numPr>
          <w:ilvl w:val="0"/>
          <w:numId w:val="23"/>
        </w:numPr>
        <w:rPr>
          <w:lang w:eastAsia="en-AU"/>
        </w:rPr>
      </w:pPr>
      <w:r>
        <w:rPr>
          <w:lang w:eastAsia="en-AU"/>
        </w:rPr>
        <w:t>Victorian Veterans Council</w:t>
      </w:r>
    </w:p>
    <w:p w14:paraId="2ADA5F2B" w14:textId="77777777" w:rsidR="0064038E" w:rsidRDefault="0064038E" w:rsidP="00F375A6">
      <w:pPr>
        <w:pStyle w:val="ARbullet1"/>
        <w:numPr>
          <w:ilvl w:val="0"/>
          <w:numId w:val="23"/>
        </w:numPr>
        <w:rPr>
          <w:lang w:eastAsia="en-AU"/>
        </w:rPr>
      </w:pPr>
      <w:bookmarkStart w:id="108" w:name="_Hlk142913649"/>
      <w:r>
        <w:rPr>
          <w:lang w:eastAsia="en-AU"/>
        </w:rPr>
        <w:t>Victoria Disabilities Workers Commission</w:t>
      </w:r>
    </w:p>
    <w:p w14:paraId="1681AE52" w14:textId="77777777" w:rsidR="0064038E" w:rsidRDefault="0064038E" w:rsidP="00F375A6">
      <w:pPr>
        <w:pStyle w:val="ARbullet1"/>
        <w:numPr>
          <w:ilvl w:val="0"/>
          <w:numId w:val="23"/>
        </w:numPr>
        <w:rPr>
          <w:lang w:eastAsia="en-AU"/>
        </w:rPr>
      </w:pPr>
      <w:bookmarkStart w:id="109" w:name="_Hlk142913619"/>
      <w:bookmarkEnd w:id="108"/>
      <w:r w:rsidRPr="005D1E03">
        <w:rPr>
          <w:lang w:eastAsia="en-AU"/>
        </w:rPr>
        <w:t>Disability Worker Registration Board</w:t>
      </w:r>
    </w:p>
    <w:p w14:paraId="08094507" w14:textId="77777777" w:rsidR="0064038E" w:rsidRDefault="0064038E" w:rsidP="00F375A6">
      <w:pPr>
        <w:pStyle w:val="ARbullet1"/>
        <w:numPr>
          <w:ilvl w:val="0"/>
          <w:numId w:val="23"/>
        </w:numPr>
        <w:rPr>
          <w:lang w:eastAsia="en-AU"/>
        </w:rPr>
      </w:pPr>
      <w:r w:rsidRPr="003E3ADA">
        <w:rPr>
          <w:lang w:eastAsia="en-AU"/>
        </w:rPr>
        <w:t>Social Services Regulator</w:t>
      </w:r>
      <w:r>
        <w:rPr>
          <w:lang w:eastAsia="en-AU"/>
        </w:rPr>
        <w:t>.</w:t>
      </w:r>
    </w:p>
    <w:bookmarkEnd w:id="109"/>
    <w:p w14:paraId="66A9CAB9" w14:textId="099CEEB6" w:rsidR="0064038E" w:rsidRPr="002029AF" w:rsidRDefault="0064038E" w:rsidP="00CE65D5">
      <w:pPr>
        <w:pStyle w:val="ARbodyafterbullets"/>
        <w:rPr>
          <w:lang w:eastAsia="en-AU"/>
        </w:rPr>
      </w:pPr>
      <w:r w:rsidRPr="002109F2">
        <w:rPr>
          <w:lang w:eastAsia="en-AU"/>
        </w:rPr>
        <w:t xml:space="preserve">As a public non-financial corporation, </w:t>
      </w:r>
      <w:proofErr w:type="gramStart"/>
      <w:r w:rsidRPr="002109F2">
        <w:rPr>
          <w:lang w:eastAsia="en-AU"/>
        </w:rPr>
        <w:t>the majority of</w:t>
      </w:r>
      <w:proofErr w:type="gramEnd"/>
      <w:r w:rsidRPr="002109F2">
        <w:rPr>
          <w:lang w:eastAsia="en-AU"/>
        </w:rPr>
        <w:t xml:space="preserve"> income for the </w:t>
      </w:r>
      <w:r>
        <w:rPr>
          <w:lang w:eastAsia="en-AU"/>
        </w:rPr>
        <w:t>Homes Victoria</w:t>
      </w:r>
      <w:r w:rsidRPr="002109F2">
        <w:rPr>
          <w:lang w:eastAsia="en-AU"/>
        </w:rPr>
        <w:t xml:space="preserve"> entity is derived from business operations</w:t>
      </w:r>
      <w:r>
        <w:rPr>
          <w:lang w:eastAsia="en-AU"/>
        </w:rPr>
        <w:t>. This is</w:t>
      </w:r>
      <w:r w:rsidRPr="002109F2">
        <w:rPr>
          <w:lang w:eastAsia="en-AU"/>
        </w:rPr>
        <w:t xml:space="preserve"> primarily in the form of public housing rental</w:t>
      </w:r>
      <w:r>
        <w:rPr>
          <w:lang w:eastAsia="en-AU"/>
        </w:rPr>
        <w:t>. It also includes</w:t>
      </w:r>
      <w:r w:rsidRPr="002109F2">
        <w:rPr>
          <w:lang w:eastAsia="en-AU"/>
        </w:rPr>
        <w:t xml:space="preserve"> revenue provided by government through annual appropriation processes.</w:t>
      </w:r>
    </w:p>
    <w:p w14:paraId="63C511EB" w14:textId="77777777" w:rsidR="00980723" w:rsidRDefault="0064038E">
      <w:pPr>
        <w:pStyle w:val="ARbody"/>
        <w:rPr>
          <w:lang w:eastAsia="en-AU"/>
        </w:rPr>
      </w:pPr>
      <w:r w:rsidRPr="002029AF">
        <w:rPr>
          <w:lang w:eastAsia="en-AU"/>
        </w:rPr>
        <w:t xml:space="preserve">Detailed financial results for </w:t>
      </w:r>
      <w:r>
        <w:rPr>
          <w:lang w:eastAsia="en-AU"/>
        </w:rPr>
        <w:t>Homes Victoria</w:t>
      </w:r>
      <w:r w:rsidRPr="002029AF">
        <w:rPr>
          <w:lang w:eastAsia="en-AU"/>
        </w:rPr>
        <w:t xml:space="preserve"> are included in the appendices of the annual report, following the department</w:t>
      </w:r>
      <w:r>
        <w:rPr>
          <w:lang w:eastAsia="en-AU"/>
        </w:rPr>
        <w:t>’</w:t>
      </w:r>
      <w:r w:rsidRPr="002029AF">
        <w:rPr>
          <w:lang w:eastAsia="en-AU"/>
        </w:rPr>
        <w:t>s audited financial</w:t>
      </w:r>
      <w:r w:rsidR="00980723">
        <w:rPr>
          <w:lang w:eastAsia="en-AU"/>
        </w:rPr>
        <w:t> </w:t>
      </w:r>
      <w:r w:rsidRPr="002029AF">
        <w:rPr>
          <w:lang w:eastAsia="en-AU"/>
        </w:rPr>
        <w:t>statements.</w:t>
      </w:r>
    </w:p>
    <w:p w14:paraId="7F0D29C2" w14:textId="77777777" w:rsidR="008149F0" w:rsidRDefault="008149F0">
      <w:pPr>
        <w:pStyle w:val="ARbody"/>
        <w:rPr>
          <w:lang w:eastAsia="en-AU"/>
        </w:rPr>
        <w:sectPr w:rsidR="008149F0" w:rsidSect="007F43B1">
          <w:endnotePr>
            <w:numFmt w:val="decimal"/>
          </w:endnotePr>
          <w:pgSz w:w="11900" w:h="16840" w:code="9"/>
          <w:pgMar w:top="1588" w:right="1134" w:bottom="851" w:left="1134" w:header="510" w:footer="340" w:gutter="0"/>
          <w:cols w:num="2" w:space="448"/>
        </w:sectPr>
      </w:pPr>
    </w:p>
    <w:p w14:paraId="079D89D6" w14:textId="77777777" w:rsidR="00980723" w:rsidRDefault="0064038E" w:rsidP="008149F0">
      <w:pPr>
        <w:pStyle w:val="Heading2"/>
        <w:rPr>
          <w:lang w:eastAsia="en-AU"/>
        </w:rPr>
        <w:sectPr w:rsidR="00980723" w:rsidSect="007F43B1">
          <w:endnotePr>
            <w:numFmt w:val="decimal"/>
          </w:endnotePr>
          <w:type w:val="continuous"/>
          <w:pgSz w:w="11900" w:h="16840" w:code="9"/>
          <w:pgMar w:top="1588" w:right="1134" w:bottom="851" w:left="1134" w:header="510" w:footer="340" w:gutter="0"/>
          <w:cols w:space="448"/>
        </w:sectPr>
      </w:pPr>
      <w:bookmarkStart w:id="110" w:name="_Current_year_financial"/>
      <w:bookmarkStart w:id="111" w:name="_Toc212039526"/>
      <w:bookmarkEnd w:id="110"/>
      <w:r w:rsidRPr="00A53667">
        <w:rPr>
          <w:lang w:eastAsia="en-AU"/>
        </w:rPr>
        <w:t xml:space="preserve">Current year </w:t>
      </w:r>
      <w:r w:rsidRPr="00F13E21">
        <w:t>financial</w:t>
      </w:r>
      <w:r w:rsidRPr="00A53667">
        <w:rPr>
          <w:lang w:eastAsia="en-AU"/>
        </w:rPr>
        <w:t xml:space="preserve"> summary</w:t>
      </w:r>
      <w:bookmarkEnd w:id="111"/>
    </w:p>
    <w:p w14:paraId="326A4BC9" w14:textId="77777777" w:rsidR="0064038E" w:rsidRPr="002029AF" w:rsidRDefault="0064038E" w:rsidP="00E447AC">
      <w:pPr>
        <w:pStyle w:val="ARbody"/>
        <w:rPr>
          <w:lang w:eastAsia="en-AU"/>
        </w:rPr>
      </w:pPr>
      <w:r w:rsidRPr="002029AF">
        <w:rPr>
          <w:lang w:eastAsia="en-AU"/>
        </w:rPr>
        <w:t xml:space="preserve">The details </w:t>
      </w:r>
      <w:r w:rsidRPr="00E447AC">
        <w:t>below</w:t>
      </w:r>
      <w:r w:rsidRPr="002029AF">
        <w:rPr>
          <w:lang w:eastAsia="en-AU"/>
        </w:rPr>
        <w:t xml:space="preserve"> relate to the department</w:t>
      </w:r>
      <w:r>
        <w:rPr>
          <w:lang w:eastAsia="en-AU"/>
        </w:rPr>
        <w:t>’</w:t>
      </w:r>
      <w:r w:rsidRPr="002029AF">
        <w:rPr>
          <w:lang w:eastAsia="en-AU"/>
        </w:rPr>
        <w:t>s consolidated financial statements including the entities outlined above.</w:t>
      </w:r>
    </w:p>
    <w:p w14:paraId="32EA2E92" w14:textId="6EB00F8B" w:rsidR="0064038E" w:rsidRDefault="0064038E">
      <w:pPr>
        <w:pStyle w:val="ARbody"/>
        <w:rPr>
          <w:lang w:eastAsia="en-AU"/>
        </w:rPr>
      </w:pPr>
      <w:r w:rsidRPr="00B338A1">
        <w:rPr>
          <w:lang w:eastAsia="en-AU"/>
        </w:rPr>
        <w:t xml:space="preserve">The </w:t>
      </w:r>
      <w:r>
        <w:rPr>
          <w:lang w:eastAsia="en-AU"/>
        </w:rPr>
        <w:t>d</w:t>
      </w:r>
      <w:r w:rsidRPr="00B338A1">
        <w:rPr>
          <w:lang w:eastAsia="en-AU"/>
        </w:rPr>
        <w:t>epartment’s net result from transactions for the financial year ended 30 June 202</w:t>
      </w:r>
      <w:r>
        <w:rPr>
          <w:lang w:eastAsia="en-AU"/>
        </w:rPr>
        <w:t>5</w:t>
      </w:r>
      <w:r w:rsidRPr="00B338A1">
        <w:rPr>
          <w:lang w:eastAsia="en-AU"/>
        </w:rPr>
        <w:t xml:space="preserve"> is a deficit of $</w:t>
      </w:r>
      <w:r>
        <w:rPr>
          <w:lang w:eastAsia="en-AU"/>
        </w:rPr>
        <w:t>469.7</w:t>
      </w:r>
      <w:r w:rsidRPr="00B338A1">
        <w:rPr>
          <w:lang w:eastAsia="en-AU"/>
        </w:rPr>
        <w:t xml:space="preserve"> million, compared with a </w:t>
      </w:r>
      <w:r>
        <w:rPr>
          <w:lang w:eastAsia="en-AU"/>
        </w:rPr>
        <w:t>deficit</w:t>
      </w:r>
      <w:r w:rsidRPr="00B338A1">
        <w:rPr>
          <w:lang w:eastAsia="en-AU"/>
        </w:rPr>
        <w:t xml:space="preserve"> of $</w:t>
      </w:r>
      <w:r>
        <w:rPr>
          <w:lang w:eastAsia="en-AU"/>
        </w:rPr>
        <w:t>601.7</w:t>
      </w:r>
      <w:r w:rsidR="00DD4949">
        <w:rPr>
          <w:lang w:eastAsia="en-AU"/>
        </w:rPr>
        <w:t> </w:t>
      </w:r>
      <w:r w:rsidRPr="00B338A1">
        <w:rPr>
          <w:lang w:eastAsia="en-AU"/>
        </w:rPr>
        <w:t>million for 30 June 202</w:t>
      </w:r>
      <w:r>
        <w:rPr>
          <w:lang w:eastAsia="en-AU"/>
        </w:rPr>
        <w:t>4</w:t>
      </w:r>
      <w:r w:rsidRPr="00B338A1">
        <w:rPr>
          <w:lang w:eastAsia="en-AU"/>
        </w:rPr>
        <w:t xml:space="preserve">. </w:t>
      </w:r>
    </w:p>
    <w:p w14:paraId="5D0954A1" w14:textId="6B5EE530" w:rsidR="0064038E" w:rsidRDefault="0064038E">
      <w:pPr>
        <w:pStyle w:val="ARbody"/>
        <w:rPr>
          <w:lang w:eastAsia="en-AU"/>
        </w:rPr>
      </w:pPr>
      <w:r w:rsidRPr="00B338A1">
        <w:rPr>
          <w:lang w:eastAsia="en-AU"/>
        </w:rPr>
        <w:t>With the inclusion of other economic flows of $</w:t>
      </w:r>
      <w:r>
        <w:rPr>
          <w:lang w:eastAsia="en-AU"/>
        </w:rPr>
        <w:t>52.5 </w:t>
      </w:r>
      <w:r w:rsidRPr="00B338A1">
        <w:rPr>
          <w:lang w:eastAsia="en-AU"/>
        </w:rPr>
        <w:t>million deficit, the net result for the financial year is a deficit of $</w:t>
      </w:r>
      <w:r>
        <w:rPr>
          <w:lang w:eastAsia="en-AU"/>
        </w:rPr>
        <w:t>522.2</w:t>
      </w:r>
      <w:r w:rsidRPr="00B338A1">
        <w:rPr>
          <w:lang w:eastAsia="en-AU"/>
        </w:rPr>
        <w:t xml:space="preserve"> million</w:t>
      </w:r>
      <w:r>
        <w:rPr>
          <w:lang w:eastAsia="en-AU"/>
        </w:rPr>
        <w:t>. This</w:t>
      </w:r>
      <w:r w:rsidRPr="00B338A1">
        <w:rPr>
          <w:lang w:eastAsia="en-AU"/>
        </w:rPr>
        <w:t xml:space="preserve"> compare</w:t>
      </w:r>
      <w:r>
        <w:rPr>
          <w:lang w:eastAsia="en-AU"/>
        </w:rPr>
        <w:t>s with a</w:t>
      </w:r>
      <w:r w:rsidRPr="00B338A1">
        <w:rPr>
          <w:lang w:eastAsia="en-AU"/>
        </w:rPr>
        <w:t xml:space="preserve"> </w:t>
      </w:r>
      <w:r>
        <w:rPr>
          <w:lang w:eastAsia="en-AU"/>
        </w:rPr>
        <w:t>deficit</w:t>
      </w:r>
      <w:r w:rsidRPr="00B338A1">
        <w:rPr>
          <w:lang w:eastAsia="en-AU"/>
        </w:rPr>
        <w:t xml:space="preserve"> of $</w:t>
      </w:r>
      <w:r>
        <w:rPr>
          <w:lang w:eastAsia="en-AU"/>
        </w:rPr>
        <w:t>638</w:t>
      </w:r>
      <w:r w:rsidRPr="00B338A1">
        <w:rPr>
          <w:lang w:eastAsia="en-AU"/>
        </w:rPr>
        <w:t>.</w:t>
      </w:r>
      <w:r>
        <w:rPr>
          <w:lang w:eastAsia="en-AU"/>
        </w:rPr>
        <w:t>4</w:t>
      </w:r>
      <w:r w:rsidRPr="00B338A1">
        <w:rPr>
          <w:lang w:eastAsia="en-AU"/>
        </w:rPr>
        <w:t xml:space="preserve"> million in 202</w:t>
      </w:r>
      <w:r>
        <w:rPr>
          <w:lang w:eastAsia="en-AU"/>
        </w:rPr>
        <w:t>4</w:t>
      </w:r>
      <w:r w:rsidRPr="00492C66">
        <w:rPr>
          <w:lang w:eastAsia="en-AU"/>
        </w:rPr>
        <w:t>.</w:t>
      </w:r>
    </w:p>
    <w:p w14:paraId="0F10A6DA" w14:textId="77777777" w:rsidR="00980723" w:rsidRDefault="0064038E">
      <w:pPr>
        <w:pStyle w:val="ARbody"/>
      </w:pPr>
      <w:r w:rsidRPr="00492C66">
        <w:rPr>
          <w:lang w:eastAsia="en-AU"/>
        </w:rPr>
        <w:t xml:space="preserve">The </w:t>
      </w:r>
      <w:r>
        <w:rPr>
          <w:lang w:eastAsia="en-AU"/>
        </w:rPr>
        <w:t>deficit from transactions</w:t>
      </w:r>
      <w:r w:rsidRPr="00492C66">
        <w:rPr>
          <w:lang w:eastAsia="en-AU"/>
        </w:rPr>
        <w:t xml:space="preserve"> primarily relates </w:t>
      </w:r>
      <w:r w:rsidRPr="002E4F7F">
        <w:rPr>
          <w:lang w:eastAsia="en-AU"/>
        </w:rPr>
        <w:t xml:space="preserve">to </w:t>
      </w:r>
      <w:r>
        <w:rPr>
          <w:lang w:eastAsia="en-AU"/>
        </w:rPr>
        <w:t xml:space="preserve">a </w:t>
      </w:r>
      <w:r w:rsidRPr="002E4F7F">
        <w:rPr>
          <w:lang w:eastAsia="en-AU"/>
        </w:rPr>
        <w:t>$</w:t>
      </w:r>
      <w:r>
        <w:rPr>
          <w:lang w:eastAsia="en-AU"/>
        </w:rPr>
        <w:t>344.4</w:t>
      </w:r>
      <w:r w:rsidRPr="002E4F7F">
        <w:rPr>
          <w:lang w:eastAsia="en-AU"/>
        </w:rPr>
        <w:t xml:space="preserve"> million deficit in Homes Victoria</w:t>
      </w:r>
      <w:r>
        <w:rPr>
          <w:lang w:eastAsia="en-AU"/>
        </w:rPr>
        <w:t>. This reflects</w:t>
      </w:r>
      <w:r w:rsidRPr="00FD5B32">
        <w:rPr>
          <w:lang w:eastAsia="en-AU"/>
        </w:rPr>
        <w:t xml:space="preserve"> </w:t>
      </w:r>
      <w:r w:rsidRPr="00FD5B32">
        <w:t xml:space="preserve">the unfunded </w:t>
      </w:r>
      <w:r>
        <w:t>d</w:t>
      </w:r>
      <w:r w:rsidRPr="00FD5B32">
        <w:t>epreciation expense, offset by government investment funding recognised as revenue in 2024–25 to be as part of the Big Housing Build to grow social and affordable housing in Victoria.</w:t>
      </w:r>
      <w:r>
        <w:t xml:space="preserve"> Another main contributor to the net deficit from transactions is a h</w:t>
      </w:r>
      <w:r w:rsidRPr="00EA1CF1">
        <w:t xml:space="preserve">igher insurance expense </w:t>
      </w:r>
      <w:r>
        <w:t xml:space="preserve">in 2024–25, resulting in an </w:t>
      </w:r>
      <w:r w:rsidRPr="00EA1CF1">
        <w:t>increased provision for civil claims</w:t>
      </w:r>
      <w:r>
        <w:t>.</w:t>
      </w:r>
    </w:p>
    <w:p w14:paraId="11C159C2" w14:textId="28E32758" w:rsidR="0064038E" w:rsidRPr="001C00D2" w:rsidRDefault="00980723" w:rsidP="00980723">
      <w:pPr>
        <w:pStyle w:val="Heading3"/>
        <w:spacing w:before="0"/>
      </w:pPr>
      <w:r>
        <w:br w:type="column"/>
      </w:r>
      <w:r w:rsidR="0064038E" w:rsidRPr="001C00D2">
        <w:t xml:space="preserve">Financial </w:t>
      </w:r>
      <w:r w:rsidR="0064038E">
        <w:t>p</w:t>
      </w:r>
      <w:r w:rsidR="0064038E" w:rsidRPr="001C00D2">
        <w:t xml:space="preserve">osition – </w:t>
      </w:r>
      <w:r w:rsidR="0064038E" w:rsidRPr="00F13E21">
        <w:t>balance</w:t>
      </w:r>
      <w:r>
        <w:t> </w:t>
      </w:r>
      <w:r w:rsidR="0064038E" w:rsidRPr="001C00D2">
        <w:t>sheet</w:t>
      </w:r>
    </w:p>
    <w:p w14:paraId="419D1B8D" w14:textId="67D931A9" w:rsidR="0064038E" w:rsidRDefault="0064038E" w:rsidP="008149F0">
      <w:pPr>
        <w:pStyle w:val="ARbody"/>
        <w:spacing w:line="240" w:lineRule="atLeast"/>
        <w:rPr>
          <w:lang w:eastAsia="en-AU"/>
        </w:rPr>
      </w:pPr>
      <w:r>
        <w:rPr>
          <w:lang w:eastAsia="en-AU"/>
        </w:rPr>
        <w:t xml:space="preserve">The department’s net asset base as </w:t>
      </w:r>
      <w:proofErr w:type="gramStart"/>
      <w:r>
        <w:rPr>
          <w:lang w:eastAsia="en-AU"/>
        </w:rPr>
        <w:t>at</w:t>
      </w:r>
      <w:proofErr w:type="gramEnd"/>
      <w:r>
        <w:rPr>
          <w:lang w:eastAsia="en-AU"/>
        </w:rPr>
        <w:t xml:space="preserve"> 30 June 2025 was $39,093.8 million, comprising total assets of $41,495.7 million and total liabilities $2,401.9 million.</w:t>
      </w:r>
    </w:p>
    <w:p w14:paraId="4336D347" w14:textId="5091A1AA" w:rsidR="0064038E" w:rsidRDefault="0064038E" w:rsidP="008149F0">
      <w:pPr>
        <w:pStyle w:val="ARbody"/>
        <w:spacing w:line="240" w:lineRule="atLeast"/>
        <w:rPr>
          <w:lang w:eastAsia="en-AU"/>
        </w:rPr>
      </w:pPr>
      <w:r>
        <w:rPr>
          <w:lang w:eastAsia="en-AU"/>
        </w:rPr>
        <w:t xml:space="preserve">Total assets have increased by $1,000.3 million in 2024–25. This reflects the funding received in 2024–25 that was invested and capitalised in the </w:t>
      </w:r>
      <w:r w:rsidRPr="004B5B01">
        <w:rPr>
          <w:lang w:eastAsia="en-AU"/>
        </w:rPr>
        <w:t>Big Housing Build</w:t>
      </w:r>
      <w:r>
        <w:rPr>
          <w:lang w:eastAsia="en-AU"/>
        </w:rPr>
        <w:t>.</w:t>
      </w:r>
    </w:p>
    <w:p w14:paraId="29542994" w14:textId="73514154" w:rsidR="0064038E" w:rsidRPr="002029AF" w:rsidRDefault="0064038E" w:rsidP="008149F0">
      <w:pPr>
        <w:pStyle w:val="ARbody"/>
        <w:spacing w:line="240" w:lineRule="atLeast"/>
        <w:rPr>
          <w:lang w:eastAsia="en-AU"/>
        </w:rPr>
      </w:pPr>
      <w:r>
        <w:rPr>
          <w:lang w:eastAsia="en-AU"/>
        </w:rPr>
        <w:t xml:space="preserve">Liabilities totalling $2,401.9 million mainly consist of payables, borrowings, employee benefit and other provisions. Total liabilities have increased by $468.8 million compared with 2023–24. This is mainly due to increased </w:t>
      </w:r>
      <w:r w:rsidRPr="0008027A">
        <w:rPr>
          <w:lang w:eastAsia="en-AU"/>
        </w:rPr>
        <w:t>borrowings (service concession liabilities associated with Big Housing Build Program) and other provisions</w:t>
      </w:r>
      <w:r>
        <w:rPr>
          <w:lang w:eastAsia="en-AU"/>
        </w:rPr>
        <w:t>. These</w:t>
      </w:r>
      <w:r w:rsidRPr="0008027A">
        <w:rPr>
          <w:lang w:eastAsia="en-AU"/>
        </w:rPr>
        <w:t xml:space="preserve"> </w:t>
      </w:r>
      <w:r>
        <w:rPr>
          <w:lang w:eastAsia="en-AU"/>
        </w:rPr>
        <w:t xml:space="preserve">include increases in </w:t>
      </w:r>
      <w:r w:rsidRPr="002A18D2">
        <w:rPr>
          <w:lang w:eastAsia="en-AU"/>
        </w:rPr>
        <w:t xml:space="preserve">civil claims associated with historical institutional child abuse and the establishment of Victorian </w:t>
      </w:r>
      <w:r>
        <w:rPr>
          <w:lang w:eastAsia="en-AU"/>
        </w:rPr>
        <w:t>r</w:t>
      </w:r>
      <w:r w:rsidRPr="002A18D2">
        <w:rPr>
          <w:lang w:eastAsia="en-AU"/>
        </w:rPr>
        <w:t>edress</w:t>
      </w:r>
      <w:r>
        <w:rPr>
          <w:lang w:eastAsia="en-AU"/>
        </w:rPr>
        <w:t>.</w:t>
      </w:r>
    </w:p>
    <w:p w14:paraId="1CCBE3FE" w14:textId="77777777" w:rsidR="0064038E" w:rsidRPr="002029AF" w:rsidRDefault="0064038E">
      <w:pPr>
        <w:pStyle w:val="Heading3"/>
      </w:pPr>
      <w:r w:rsidRPr="002029AF">
        <w:t>Cash flows</w:t>
      </w:r>
    </w:p>
    <w:p w14:paraId="54F636DA" w14:textId="1C17A3CE" w:rsidR="0064038E" w:rsidRDefault="0064038E" w:rsidP="008149F0">
      <w:pPr>
        <w:pStyle w:val="ARbody"/>
        <w:spacing w:line="240" w:lineRule="atLeast"/>
        <w:rPr>
          <w:color w:val="000000" w:themeColor="text1"/>
          <w:lang w:eastAsia="en-AU"/>
        </w:rPr>
        <w:sectPr w:rsidR="0064038E" w:rsidSect="007F43B1">
          <w:endnotePr>
            <w:numFmt w:val="decimal"/>
          </w:endnotePr>
          <w:type w:val="continuous"/>
          <w:pgSz w:w="11900" w:h="16840" w:code="9"/>
          <w:pgMar w:top="1588" w:right="1134" w:bottom="851" w:left="1134" w:header="510" w:footer="340" w:gutter="0"/>
          <w:cols w:num="2" w:space="448"/>
        </w:sectPr>
      </w:pPr>
      <w:r w:rsidRPr="00B338A1">
        <w:rPr>
          <w:lang w:eastAsia="en-AU"/>
        </w:rPr>
        <w:t xml:space="preserve">Cash and deposit as at end of the </w:t>
      </w:r>
      <w:r>
        <w:rPr>
          <w:lang w:eastAsia="en-AU"/>
        </w:rPr>
        <w:t>2024</w:t>
      </w:r>
      <w:r w:rsidR="005C1105">
        <w:rPr>
          <w:lang w:eastAsia="en-AU"/>
        </w:rPr>
        <w:t>–</w:t>
      </w:r>
      <w:r>
        <w:rPr>
          <w:lang w:eastAsia="en-AU"/>
        </w:rPr>
        <w:t>25</w:t>
      </w:r>
      <w:r w:rsidRPr="00B338A1">
        <w:rPr>
          <w:lang w:eastAsia="en-AU"/>
        </w:rPr>
        <w:t xml:space="preserve"> financial year was $</w:t>
      </w:r>
      <w:r>
        <w:rPr>
          <w:lang w:eastAsia="en-AU"/>
        </w:rPr>
        <w:t xml:space="preserve">1,312.2 </w:t>
      </w:r>
      <w:r w:rsidRPr="00B338A1">
        <w:rPr>
          <w:lang w:eastAsia="en-AU"/>
        </w:rPr>
        <w:t>million, a</w:t>
      </w:r>
      <w:r>
        <w:rPr>
          <w:lang w:eastAsia="en-AU"/>
        </w:rPr>
        <w:t xml:space="preserve">n increase </w:t>
      </w:r>
      <w:r w:rsidRPr="00B338A1">
        <w:rPr>
          <w:lang w:eastAsia="en-AU"/>
        </w:rPr>
        <w:t>of</w:t>
      </w:r>
      <w:r w:rsidR="00E16B5E">
        <w:rPr>
          <w:lang w:eastAsia="en-AU"/>
        </w:rPr>
        <w:t> </w:t>
      </w:r>
      <w:r w:rsidRPr="00B338A1">
        <w:rPr>
          <w:lang w:eastAsia="en-AU"/>
        </w:rPr>
        <w:t>$</w:t>
      </w:r>
      <w:r>
        <w:rPr>
          <w:lang w:eastAsia="en-AU"/>
        </w:rPr>
        <w:t xml:space="preserve">590.5 </w:t>
      </w:r>
      <w:r w:rsidRPr="00B338A1">
        <w:rPr>
          <w:lang w:eastAsia="en-AU"/>
        </w:rPr>
        <w:t xml:space="preserve">million from the beginning of the financial year. </w:t>
      </w:r>
      <w:r w:rsidRPr="005A3D0D">
        <w:rPr>
          <w:color w:val="000000" w:themeColor="text1"/>
          <w:lang w:eastAsia="en-AU"/>
        </w:rPr>
        <w:t>This is mainly due to the funding received in 2024</w:t>
      </w:r>
      <w:r w:rsidR="005C1105">
        <w:rPr>
          <w:color w:val="000000" w:themeColor="text1"/>
          <w:lang w:eastAsia="en-AU"/>
        </w:rPr>
        <w:t>–</w:t>
      </w:r>
      <w:r w:rsidRPr="005A3D0D">
        <w:rPr>
          <w:color w:val="000000" w:themeColor="text1"/>
          <w:lang w:eastAsia="en-AU"/>
        </w:rPr>
        <w:t>25 that was invested for the Big Housing Build to grow social and affordable housing in</w:t>
      </w:r>
      <w:r w:rsidR="00E16B5E">
        <w:rPr>
          <w:color w:val="000000" w:themeColor="text1"/>
          <w:lang w:eastAsia="en-AU"/>
        </w:rPr>
        <w:t> </w:t>
      </w:r>
      <w:r w:rsidRPr="005A3D0D">
        <w:rPr>
          <w:color w:val="000000" w:themeColor="text1"/>
          <w:lang w:eastAsia="en-AU"/>
        </w:rPr>
        <w:t>Victoria</w:t>
      </w:r>
      <w:r>
        <w:rPr>
          <w:color w:val="000000" w:themeColor="text1"/>
          <w:lang w:eastAsia="en-AU"/>
        </w:rPr>
        <w:t>.</w:t>
      </w:r>
    </w:p>
    <w:p w14:paraId="037AEB50" w14:textId="217A90D5" w:rsidR="0064038E" w:rsidRDefault="0064038E" w:rsidP="00CD257A">
      <w:pPr>
        <w:pStyle w:val="Heading2"/>
        <w:spacing w:before="0"/>
        <w:rPr>
          <w:lang w:eastAsia="en-AU"/>
        </w:rPr>
        <w:sectPr w:rsidR="0064038E" w:rsidSect="007F43B1">
          <w:endnotePr>
            <w:numFmt w:val="decimal"/>
          </w:endnotePr>
          <w:type w:val="continuous"/>
          <w:pgSz w:w="11900" w:h="16840" w:code="9"/>
          <w:pgMar w:top="1588" w:right="1134" w:bottom="851" w:left="1134" w:header="510" w:footer="340" w:gutter="0"/>
          <w:cols w:space="448"/>
        </w:sectPr>
      </w:pPr>
      <w:bookmarkStart w:id="112" w:name="_Budget_portfolio_outcomes"/>
      <w:bookmarkStart w:id="113" w:name="_Toc212039527"/>
      <w:bookmarkEnd w:id="107"/>
      <w:bookmarkEnd w:id="112"/>
      <w:r>
        <w:lastRenderedPageBreak/>
        <w:t>Budget portfolio outcomes</w:t>
      </w:r>
      <w:bookmarkEnd w:id="113"/>
    </w:p>
    <w:p w14:paraId="1DA216CF" w14:textId="0F441AD8" w:rsidR="0064038E" w:rsidRPr="00925B75" w:rsidRDefault="0064038E">
      <w:pPr>
        <w:pStyle w:val="ARbody"/>
        <w:rPr>
          <w:lang w:eastAsia="en-AU"/>
        </w:rPr>
      </w:pPr>
      <w:r w:rsidRPr="00925B75">
        <w:rPr>
          <w:lang w:eastAsia="en-AU"/>
        </w:rPr>
        <w:t xml:space="preserve">The portfolio budget outcomes provide a comparison between the actual financial statements of all general government sector entities within the portfolio and the forecast financial information published in </w:t>
      </w:r>
      <w:r w:rsidRPr="000763F6">
        <w:rPr>
          <w:rStyle w:val="Emphasis"/>
        </w:rPr>
        <w:t>Budget Paper No. 5 – Statement of Finances</w:t>
      </w:r>
      <w:r w:rsidR="007915D5">
        <w:rPr>
          <w:rStyle w:val="Emphasis"/>
        </w:rPr>
        <w:t xml:space="preserve"> 2025</w:t>
      </w:r>
      <w:r w:rsidR="00DD4949">
        <w:rPr>
          <w:rStyle w:val="Emphasis"/>
        </w:rPr>
        <w:t>–</w:t>
      </w:r>
      <w:r w:rsidR="007915D5">
        <w:rPr>
          <w:rStyle w:val="Emphasis"/>
        </w:rPr>
        <w:t>26</w:t>
      </w:r>
      <w:r w:rsidRPr="000763F6">
        <w:rPr>
          <w:rStyle w:val="Emphasis"/>
        </w:rPr>
        <w:t xml:space="preserve"> </w:t>
      </w:r>
      <w:r w:rsidRPr="00925B75">
        <w:rPr>
          <w:lang w:eastAsia="en-AU"/>
        </w:rPr>
        <w:t>(BP5).</w:t>
      </w:r>
    </w:p>
    <w:p w14:paraId="5D162D62" w14:textId="77777777" w:rsidR="00E6224B" w:rsidRDefault="0064038E">
      <w:pPr>
        <w:pStyle w:val="ARbody"/>
        <w:rPr>
          <w:lang w:eastAsia="en-AU"/>
        </w:rPr>
      </w:pPr>
      <w:r w:rsidRPr="00925B75">
        <w:rPr>
          <w:lang w:eastAsia="en-AU"/>
        </w:rPr>
        <w:t>The portfolio budget outcomes comprise the comprehensive operating statement, balance sheet, statement of cash flows, statement of changes in equity, and administered items statement for the financial year 202</w:t>
      </w:r>
      <w:r>
        <w:rPr>
          <w:lang w:eastAsia="en-AU"/>
        </w:rPr>
        <w:t>4–</w:t>
      </w:r>
      <w:r w:rsidRPr="00925B75">
        <w:rPr>
          <w:lang w:eastAsia="en-AU"/>
        </w:rPr>
        <w:t>2</w:t>
      </w:r>
      <w:r>
        <w:rPr>
          <w:lang w:eastAsia="en-AU"/>
        </w:rPr>
        <w:t>5</w:t>
      </w:r>
      <w:r w:rsidRPr="00925B75">
        <w:rPr>
          <w:lang w:eastAsia="en-AU"/>
        </w:rPr>
        <w:t>.</w:t>
      </w:r>
    </w:p>
    <w:p w14:paraId="351C8B80" w14:textId="77777777" w:rsidR="00E6224B" w:rsidRDefault="0064038E">
      <w:pPr>
        <w:pStyle w:val="ARbody"/>
        <w:rPr>
          <w:lang w:eastAsia="en-AU"/>
        </w:rPr>
      </w:pPr>
      <w:r w:rsidRPr="00925B75">
        <w:rPr>
          <w:lang w:eastAsia="en-AU"/>
        </w:rPr>
        <w:t>The portfolio budget outcomes have been prepared on a consolidated basis for the period 1 July 202</w:t>
      </w:r>
      <w:r>
        <w:rPr>
          <w:lang w:eastAsia="en-AU"/>
        </w:rPr>
        <w:t>4</w:t>
      </w:r>
      <w:r w:rsidRPr="00925B75">
        <w:rPr>
          <w:lang w:eastAsia="en-AU"/>
        </w:rPr>
        <w:t xml:space="preserve"> to 30 June 202</w:t>
      </w:r>
      <w:r>
        <w:rPr>
          <w:lang w:eastAsia="en-AU"/>
        </w:rPr>
        <w:t>5.</w:t>
      </w:r>
      <w:r w:rsidRPr="00925B75">
        <w:rPr>
          <w:lang w:eastAsia="en-AU"/>
        </w:rPr>
        <w:t xml:space="preserve"> </w:t>
      </w:r>
      <w:r>
        <w:rPr>
          <w:lang w:eastAsia="en-AU"/>
        </w:rPr>
        <w:t>They</w:t>
      </w:r>
      <w:r w:rsidRPr="00925B75">
        <w:rPr>
          <w:lang w:eastAsia="en-AU"/>
        </w:rPr>
        <w:t xml:space="preserve"> include all general government sector entities within the portfolio. Financial transactions and balances are classified into either controlled or administered categories as agreed with the Treasurer in the context of the published statements in BP5.</w:t>
      </w:r>
    </w:p>
    <w:p w14:paraId="0D23BD1E" w14:textId="77777777" w:rsidR="0064038E" w:rsidRDefault="0064038E">
      <w:pPr>
        <w:pStyle w:val="ARbody"/>
        <w:rPr>
          <w:lang w:eastAsia="en-AU"/>
        </w:rPr>
      </w:pPr>
      <w:r w:rsidRPr="00925B75">
        <w:rPr>
          <w:lang w:eastAsia="en-AU"/>
        </w:rPr>
        <w:t>The portfolio budget outcomes statements are not subject to audit by the Victorian Auditor-General’s Office. They are not prepared on the same basis as the financial statements as they include financial information of the following entities:</w:t>
      </w:r>
    </w:p>
    <w:p w14:paraId="2F1ADEE6" w14:textId="42C69687" w:rsidR="0064038E" w:rsidRPr="007E5E9F" w:rsidRDefault="0064038E" w:rsidP="00F375A6">
      <w:pPr>
        <w:pStyle w:val="ARbullet1"/>
        <w:numPr>
          <w:ilvl w:val="0"/>
          <w:numId w:val="22"/>
        </w:numPr>
        <w:rPr>
          <w:lang w:eastAsia="en-AU"/>
        </w:rPr>
      </w:pPr>
      <w:r w:rsidRPr="007E5E9F">
        <w:rPr>
          <w:lang w:eastAsia="en-AU"/>
        </w:rPr>
        <w:t xml:space="preserve">Department of Families, Fairness and Housing </w:t>
      </w:r>
    </w:p>
    <w:p w14:paraId="34E5DD78" w14:textId="77777777" w:rsidR="0064038E" w:rsidRPr="007E5E9F" w:rsidRDefault="0064038E" w:rsidP="00F375A6">
      <w:pPr>
        <w:pStyle w:val="ARbullet1"/>
        <w:numPr>
          <w:ilvl w:val="0"/>
          <w:numId w:val="22"/>
        </w:numPr>
        <w:rPr>
          <w:lang w:eastAsia="en-AU"/>
        </w:rPr>
      </w:pPr>
      <w:r w:rsidRPr="007E5E9F">
        <w:rPr>
          <w:lang w:eastAsia="en-AU"/>
        </w:rPr>
        <w:t>Victorian Disability Workers Commission</w:t>
      </w:r>
    </w:p>
    <w:p w14:paraId="716E1C1B" w14:textId="77777777" w:rsidR="0064038E" w:rsidRPr="007E5E9F" w:rsidRDefault="0064038E" w:rsidP="00F375A6">
      <w:pPr>
        <w:pStyle w:val="ARbullet1"/>
        <w:numPr>
          <w:ilvl w:val="0"/>
          <w:numId w:val="22"/>
        </w:numPr>
        <w:rPr>
          <w:lang w:eastAsia="en-AU"/>
        </w:rPr>
      </w:pPr>
      <w:r w:rsidRPr="007E5E9F">
        <w:rPr>
          <w:lang w:eastAsia="en-AU"/>
        </w:rPr>
        <w:t>Disability Worker Registration Board</w:t>
      </w:r>
    </w:p>
    <w:p w14:paraId="28393E02" w14:textId="77777777" w:rsidR="0064038E" w:rsidRDefault="0064038E" w:rsidP="00F375A6">
      <w:pPr>
        <w:pStyle w:val="ARbullet1"/>
        <w:numPr>
          <w:ilvl w:val="0"/>
          <w:numId w:val="22"/>
        </w:numPr>
        <w:rPr>
          <w:lang w:eastAsia="en-AU"/>
        </w:rPr>
      </w:pPr>
      <w:r w:rsidRPr="007E5E9F">
        <w:rPr>
          <w:lang w:eastAsia="en-AU"/>
        </w:rPr>
        <w:t>Commission for Children and Young People</w:t>
      </w:r>
    </w:p>
    <w:p w14:paraId="370C927E" w14:textId="77777777" w:rsidR="0064038E" w:rsidRPr="007E5E9F" w:rsidRDefault="0064038E" w:rsidP="00F375A6">
      <w:pPr>
        <w:pStyle w:val="ARbullet1"/>
        <w:numPr>
          <w:ilvl w:val="0"/>
          <w:numId w:val="22"/>
        </w:numPr>
        <w:rPr>
          <w:lang w:eastAsia="en-AU"/>
        </w:rPr>
      </w:pPr>
      <w:r>
        <w:rPr>
          <w:lang w:eastAsia="en-AU"/>
        </w:rPr>
        <w:t>Social Services Regulator</w:t>
      </w:r>
    </w:p>
    <w:p w14:paraId="785CB55A" w14:textId="77777777" w:rsidR="0064038E" w:rsidRPr="007E5E9F" w:rsidRDefault="0064038E" w:rsidP="00F375A6">
      <w:pPr>
        <w:pStyle w:val="ARbullet1"/>
        <w:numPr>
          <w:ilvl w:val="0"/>
          <w:numId w:val="22"/>
        </w:numPr>
        <w:rPr>
          <w:lang w:eastAsia="en-AU"/>
        </w:rPr>
      </w:pPr>
      <w:r w:rsidRPr="00505362">
        <w:rPr>
          <w:lang w:eastAsia="en-AU"/>
        </w:rPr>
        <w:t>Respect Victoria</w:t>
      </w:r>
    </w:p>
    <w:p w14:paraId="17A625C6" w14:textId="77777777" w:rsidR="0064038E" w:rsidRPr="007E5E9F" w:rsidRDefault="0064038E" w:rsidP="00F375A6">
      <w:pPr>
        <w:pStyle w:val="ARbullet1"/>
        <w:numPr>
          <w:ilvl w:val="0"/>
          <w:numId w:val="22"/>
        </w:numPr>
        <w:rPr>
          <w:lang w:eastAsia="en-AU"/>
        </w:rPr>
      </w:pPr>
      <w:r w:rsidRPr="007E5E9F">
        <w:rPr>
          <w:lang w:eastAsia="en-AU"/>
        </w:rPr>
        <w:t>Victorian Veterans Council</w:t>
      </w:r>
    </w:p>
    <w:p w14:paraId="5C03DBF1" w14:textId="77777777" w:rsidR="0064038E" w:rsidRPr="007E5E9F" w:rsidRDefault="0064038E" w:rsidP="00F375A6">
      <w:pPr>
        <w:pStyle w:val="ARbullet1"/>
        <w:numPr>
          <w:ilvl w:val="0"/>
          <w:numId w:val="22"/>
        </w:numPr>
        <w:rPr>
          <w:lang w:eastAsia="en-AU"/>
        </w:rPr>
      </w:pPr>
      <w:r>
        <w:rPr>
          <w:lang w:eastAsia="en-AU"/>
        </w:rPr>
        <w:t>Director of Housing</w:t>
      </w:r>
      <w:r w:rsidRPr="007E5E9F">
        <w:rPr>
          <w:lang w:eastAsia="en-AU"/>
        </w:rPr>
        <w:t xml:space="preserve"> (General Government).</w:t>
      </w:r>
    </w:p>
    <w:p w14:paraId="1B19A38A" w14:textId="05B03636" w:rsidR="0064038E" w:rsidRDefault="0064038E">
      <w:pPr>
        <w:pStyle w:val="ARbodyafterbullets"/>
        <w:rPr>
          <w:lang w:eastAsia="en-AU"/>
        </w:rPr>
      </w:pPr>
      <w:r w:rsidRPr="00925B75">
        <w:rPr>
          <w:lang w:eastAsia="en-AU"/>
        </w:rPr>
        <w:t xml:space="preserve">The portfolio budget outcomes statements include funding from the Commonwealth and revenue from the sale of services attributed to </w:t>
      </w:r>
      <w:r>
        <w:rPr>
          <w:lang w:eastAsia="en-AU"/>
        </w:rPr>
        <w:t>the department</w:t>
      </w:r>
      <w:r w:rsidRPr="00925B75">
        <w:rPr>
          <w:lang w:eastAsia="en-AU"/>
        </w:rPr>
        <w:t xml:space="preserve"> from the state government. They also include income and expenses associated with National Disability Insurance Scheme funding, which are reported in the </w:t>
      </w:r>
      <w:r>
        <w:rPr>
          <w:lang w:eastAsia="en-AU"/>
        </w:rPr>
        <w:t>department’s</w:t>
      </w:r>
      <w:r w:rsidRPr="00925B75">
        <w:rPr>
          <w:lang w:eastAsia="en-AU"/>
        </w:rPr>
        <w:t xml:space="preserve"> administered</w:t>
      </w:r>
      <w:r w:rsidR="00820208">
        <w:rPr>
          <w:lang w:eastAsia="en-AU"/>
        </w:rPr>
        <w:t> </w:t>
      </w:r>
      <w:r w:rsidRPr="00925B75">
        <w:rPr>
          <w:lang w:eastAsia="en-AU"/>
        </w:rPr>
        <w:t>accounts.</w:t>
      </w:r>
    </w:p>
    <w:p w14:paraId="41A3A9B1" w14:textId="512338A4" w:rsidR="0064038E" w:rsidRDefault="00E6224B" w:rsidP="00D4178D">
      <w:pPr>
        <w:pStyle w:val="Heading3"/>
        <w:spacing w:before="0"/>
      </w:pPr>
      <w:r>
        <w:br w:type="column"/>
      </w:r>
      <w:r w:rsidR="0064038E">
        <w:t>Machinery of government</w:t>
      </w:r>
      <w:r w:rsidR="00820208">
        <w:t> </w:t>
      </w:r>
      <w:r w:rsidR="0064038E">
        <w:t>changes</w:t>
      </w:r>
    </w:p>
    <w:p w14:paraId="3EB1CCDC" w14:textId="779EF837" w:rsidR="0064038E" w:rsidRDefault="0064038E">
      <w:pPr>
        <w:pStyle w:val="ARbody"/>
      </w:pPr>
      <w:r>
        <w:t xml:space="preserve">There </w:t>
      </w:r>
      <w:proofErr w:type="gramStart"/>
      <w:r>
        <w:t>were</w:t>
      </w:r>
      <w:proofErr w:type="gramEnd"/>
      <w:r>
        <w:t xml:space="preserve"> no machinery of government changes during the reporting period.</w:t>
      </w:r>
    </w:p>
    <w:p w14:paraId="460CDA6E" w14:textId="749DE6DC" w:rsidR="0064038E" w:rsidRDefault="0064038E" w:rsidP="00E6224B">
      <w:pPr>
        <w:pStyle w:val="Heading3"/>
        <w:spacing w:before="0"/>
      </w:pPr>
      <w:r w:rsidRPr="00BC4493">
        <w:t>Financial performance – operating statement</w:t>
      </w:r>
    </w:p>
    <w:p w14:paraId="762484E0" w14:textId="57B29F37" w:rsidR="0064038E" w:rsidRPr="002E67A5" w:rsidRDefault="0064038E">
      <w:pPr>
        <w:pStyle w:val="ARbody"/>
        <w:rPr>
          <w:lang w:eastAsia="en-AU"/>
        </w:rPr>
      </w:pPr>
      <w:r w:rsidRPr="002E67A5">
        <w:rPr>
          <w:lang w:eastAsia="en-AU"/>
        </w:rPr>
        <w:t>In 2024</w:t>
      </w:r>
      <w:r>
        <w:rPr>
          <w:lang w:eastAsia="en-AU"/>
        </w:rPr>
        <w:t>–</w:t>
      </w:r>
      <w:r w:rsidRPr="002E67A5">
        <w:rPr>
          <w:lang w:eastAsia="en-AU"/>
        </w:rPr>
        <w:t>25</w:t>
      </w:r>
      <w:r>
        <w:rPr>
          <w:lang w:eastAsia="en-AU"/>
        </w:rPr>
        <w:t>,</w:t>
      </w:r>
      <w:r w:rsidRPr="002E67A5">
        <w:rPr>
          <w:lang w:eastAsia="en-AU"/>
        </w:rPr>
        <w:t xml:space="preserve"> the portfolio recorded an actual net result from transactions of a $150 million deficit compared </w:t>
      </w:r>
      <w:r>
        <w:rPr>
          <w:lang w:eastAsia="en-AU"/>
        </w:rPr>
        <w:t>with</w:t>
      </w:r>
      <w:r w:rsidRPr="002E67A5">
        <w:rPr>
          <w:lang w:eastAsia="en-AU"/>
        </w:rPr>
        <w:t xml:space="preserve"> a 2024</w:t>
      </w:r>
      <w:r>
        <w:rPr>
          <w:lang w:eastAsia="en-AU"/>
        </w:rPr>
        <w:t>–</w:t>
      </w:r>
      <w:r w:rsidRPr="002E67A5">
        <w:rPr>
          <w:lang w:eastAsia="en-AU"/>
        </w:rPr>
        <w:t>25 published budgeted deficit of $4 million.</w:t>
      </w:r>
    </w:p>
    <w:p w14:paraId="720A7A2F" w14:textId="56D4EEFD" w:rsidR="0064038E" w:rsidRPr="002E67A5" w:rsidRDefault="0064038E">
      <w:pPr>
        <w:pStyle w:val="ARbody"/>
        <w:rPr>
          <w:lang w:eastAsia="en-AU"/>
        </w:rPr>
      </w:pPr>
      <w:r w:rsidRPr="002E67A5">
        <w:rPr>
          <w:lang w:eastAsia="en-AU"/>
        </w:rPr>
        <w:t>The variance between the budgeted and actual deficit is mainly related to higher insurance claims expense</w:t>
      </w:r>
      <w:r>
        <w:rPr>
          <w:lang w:eastAsia="en-AU"/>
        </w:rPr>
        <w:t>s</w:t>
      </w:r>
      <w:r w:rsidRPr="002E67A5">
        <w:rPr>
          <w:lang w:eastAsia="en-AU"/>
        </w:rPr>
        <w:t xml:space="preserve"> recognised in 2024</w:t>
      </w:r>
      <w:r>
        <w:rPr>
          <w:lang w:eastAsia="en-AU"/>
        </w:rPr>
        <w:t>–</w:t>
      </w:r>
      <w:r w:rsidRPr="002E67A5">
        <w:rPr>
          <w:lang w:eastAsia="en-AU"/>
        </w:rPr>
        <w:t>25</w:t>
      </w:r>
      <w:r>
        <w:rPr>
          <w:lang w:eastAsia="en-AU"/>
        </w:rPr>
        <w:t>. This was</w:t>
      </w:r>
      <w:r w:rsidRPr="002E67A5">
        <w:rPr>
          <w:lang w:eastAsia="en-AU"/>
        </w:rPr>
        <w:t xml:space="preserve"> a result of increased in provisions for civil claims associated with historical institutional child abuse.</w:t>
      </w:r>
    </w:p>
    <w:p w14:paraId="16FE642C" w14:textId="14723B52" w:rsidR="0064038E" w:rsidRDefault="0064038E">
      <w:pPr>
        <w:pStyle w:val="Heading3"/>
      </w:pPr>
      <w:r w:rsidRPr="00BC4493">
        <w:t>Financial position – balance</w:t>
      </w:r>
      <w:r w:rsidR="00820208">
        <w:t> </w:t>
      </w:r>
      <w:r w:rsidRPr="00BC4493">
        <w:t>sheet</w:t>
      </w:r>
    </w:p>
    <w:p w14:paraId="3855B2A4" w14:textId="50583B1C" w:rsidR="0064038E" w:rsidRPr="00174EEF" w:rsidRDefault="0064038E">
      <w:pPr>
        <w:pStyle w:val="ARbody"/>
        <w:rPr>
          <w:lang w:eastAsia="en-AU"/>
        </w:rPr>
      </w:pPr>
      <w:r w:rsidRPr="00174EEF">
        <w:rPr>
          <w:lang w:eastAsia="en-AU"/>
        </w:rPr>
        <w:t>The portfolio’s net assets position is $180 million lower than the published budget in 2024</w:t>
      </w:r>
      <w:r>
        <w:rPr>
          <w:lang w:eastAsia="en-AU"/>
        </w:rPr>
        <w:t>–</w:t>
      </w:r>
      <w:r w:rsidRPr="00174EEF">
        <w:rPr>
          <w:lang w:eastAsia="en-AU"/>
        </w:rPr>
        <w:t xml:space="preserve">25. This is largely attributable to increases in provisions for civil claims associated with historical institutional child abuse and Victorian </w:t>
      </w:r>
      <w:r>
        <w:rPr>
          <w:lang w:eastAsia="en-AU"/>
        </w:rPr>
        <w:t>r</w:t>
      </w:r>
      <w:r w:rsidRPr="00174EEF">
        <w:rPr>
          <w:lang w:eastAsia="en-AU"/>
        </w:rPr>
        <w:t xml:space="preserve">edress. </w:t>
      </w:r>
    </w:p>
    <w:p w14:paraId="4AB3226E" w14:textId="77777777" w:rsidR="0064038E" w:rsidRPr="00BC4493" w:rsidRDefault="0064038E">
      <w:pPr>
        <w:pStyle w:val="Heading3"/>
      </w:pPr>
      <w:r w:rsidRPr="00BC4493">
        <w:t>Cash flows</w:t>
      </w:r>
    </w:p>
    <w:p w14:paraId="553CC288" w14:textId="334B9B25" w:rsidR="0064038E" w:rsidRPr="00FA4F0A" w:rsidRDefault="0064038E">
      <w:pPr>
        <w:pStyle w:val="ARbody"/>
        <w:rPr>
          <w:lang w:eastAsia="en-AU"/>
        </w:rPr>
      </w:pPr>
      <w:r w:rsidRPr="00FA4F0A">
        <w:rPr>
          <w:lang w:eastAsia="en-AU"/>
        </w:rPr>
        <w:t>The overall cash position at the end of the 2024</w:t>
      </w:r>
      <w:r>
        <w:rPr>
          <w:lang w:eastAsia="en-AU"/>
        </w:rPr>
        <w:t>–</w:t>
      </w:r>
      <w:r w:rsidRPr="00FA4F0A">
        <w:rPr>
          <w:lang w:eastAsia="en-AU"/>
        </w:rPr>
        <w:t>25 financial year is $3 million higher than the published</w:t>
      </w:r>
      <w:r w:rsidR="00D0676E">
        <w:rPr>
          <w:lang w:eastAsia="en-AU"/>
        </w:rPr>
        <w:t> </w:t>
      </w:r>
      <w:r w:rsidRPr="00FA4F0A">
        <w:rPr>
          <w:lang w:eastAsia="en-AU"/>
        </w:rPr>
        <w:t xml:space="preserve">budget. </w:t>
      </w:r>
    </w:p>
    <w:p w14:paraId="16FFBCD1" w14:textId="4B66E8A9" w:rsidR="0064038E" w:rsidRPr="00BC4493" w:rsidRDefault="0064038E">
      <w:pPr>
        <w:pStyle w:val="ARbody"/>
        <w:rPr>
          <w:rFonts w:ascii="Calibri" w:eastAsia="DengXian" w:hAnsi="Calibri" w:cs="Times New Roman"/>
          <w:lang w:eastAsia="zh-CN"/>
        </w:rPr>
      </w:pPr>
      <w:r w:rsidRPr="00925B75">
        <w:rPr>
          <w:lang w:eastAsia="en-AU"/>
        </w:rPr>
        <w:t>Detailed financial results for the 202</w:t>
      </w:r>
      <w:r>
        <w:rPr>
          <w:lang w:eastAsia="en-AU"/>
        </w:rPr>
        <w:t>4–</w:t>
      </w:r>
      <w:r w:rsidRPr="00925B75">
        <w:rPr>
          <w:lang w:eastAsia="en-AU"/>
        </w:rPr>
        <w:t>2</w:t>
      </w:r>
      <w:r>
        <w:rPr>
          <w:lang w:eastAsia="en-AU"/>
        </w:rPr>
        <w:t>5</w:t>
      </w:r>
      <w:r w:rsidRPr="00925B75">
        <w:rPr>
          <w:lang w:eastAsia="en-AU"/>
        </w:rPr>
        <w:t xml:space="preserve"> portfolio budget and actual results are included in following</w:t>
      </w:r>
      <w:r w:rsidR="00D0676E">
        <w:rPr>
          <w:lang w:eastAsia="en-AU"/>
        </w:rPr>
        <w:t> </w:t>
      </w:r>
      <w:r w:rsidRPr="00925B75">
        <w:rPr>
          <w:lang w:eastAsia="en-AU"/>
        </w:rPr>
        <w:t>statements.</w:t>
      </w:r>
    </w:p>
    <w:p w14:paraId="45F88079" w14:textId="77777777" w:rsidR="00D0676E" w:rsidRDefault="00D0676E">
      <w:pPr>
        <w:pStyle w:val="ARbody"/>
        <w:sectPr w:rsidR="00D0676E" w:rsidSect="007F43B1">
          <w:endnotePr>
            <w:numFmt w:val="decimal"/>
          </w:endnotePr>
          <w:type w:val="continuous"/>
          <w:pgSz w:w="11900" w:h="16840" w:code="9"/>
          <w:pgMar w:top="1588" w:right="1134" w:bottom="851" w:left="1134" w:header="510" w:footer="340" w:gutter="0"/>
          <w:cols w:num="2" w:space="448"/>
        </w:sectPr>
      </w:pPr>
    </w:p>
    <w:p w14:paraId="0DE83DAA" w14:textId="68BDCF79" w:rsidR="0064038E" w:rsidRDefault="0064038E" w:rsidP="00CD257A">
      <w:pPr>
        <w:pStyle w:val="Heading2"/>
        <w:spacing w:before="0"/>
      </w:pPr>
      <w:bookmarkStart w:id="114" w:name="_Toc212039528"/>
      <w:r>
        <w:lastRenderedPageBreak/>
        <w:t>Capital projects/asset investment programs</w:t>
      </w:r>
      <w:bookmarkEnd w:id="114"/>
    </w:p>
    <w:p w14:paraId="412579DB" w14:textId="0586919E" w:rsidR="00DE1FFC" w:rsidRPr="009C7A40" w:rsidRDefault="00DE1FFC" w:rsidP="00DE1FFC">
      <w:pPr>
        <w:pStyle w:val="ARbody"/>
      </w:pPr>
      <w:r w:rsidRPr="009C7A40">
        <w:t xml:space="preserve">During the financial year ending 30 June 2025, the department </w:t>
      </w:r>
      <w:r w:rsidRPr="00E71BAF">
        <w:rPr>
          <w:b/>
        </w:rPr>
        <w:t>completed</w:t>
      </w:r>
      <w:r w:rsidRPr="009C7A40">
        <w:t xml:space="preserve"> </w:t>
      </w:r>
      <w:proofErr w:type="gramStart"/>
      <w:r w:rsidRPr="009C7A40">
        <w:t>a number of</w:t>
      </w:r>
      <w:proofErr w:type="gramEnd"/>
      <w:r w:rsidRPr="009C7A40">
        <w:t xml:space="preserve"> capital projects with a total estimated investment </w:t>
      </w:r>
      <w:r w:rsidR="00DD4949">
        <w:t>(</w:t>
      </w:r>
      <w:r w:rsidRPr="009C7A40">
        <w:t>TEI</w:t>
      </w:r>
      <w:r w:rsidR="00DD4949">
        <w:t>)</w:t>
      </w:r>
      <w:r w:rsidRPr="009C7A40">
        <w:t xml:space="preserve"> of $10 million or greater. The details related to these projects are reported below.</w:t>
      </w:r>
    </w:p>
    <w:tbl>
      <w:tblPr>
        <w:tblStyle w:val="TableGrid"/>
        <w:tblW w:w="5058" w:type="pct"/>
        <w:tblLayout w:type="fixed"/>
        <w:tblLook w:val="02E0" w:firstRow="1" w:lastRow="1" w:firstColumn="1" w:lastColumn="0" w:noHBand="1" w:noVBand="0"/>
      </w:tblPr>
      <w:tblGrid>
        <w:gridCol w:w="2509"/>
        <w:gridCol w:w="1315"/>
        <w:gridCol w:w="1456"/>
        <w:gridCol w:w="1312"/>
        <w:gridCol w:w="1256"/>
        <w:gridCol w:w="1277"/>
        <w:gridCol w:w="1309"/>
        <w:gridCol w:w="876"/>
        <w:gridCol w:w="1630"/>
        <w:gridCol w:w="1801"/>
      </w:tblGrid>
      <w:tr w:rsidR="00DE1FFC" w:rsidRPr="00F74537" w14:paraId="4B0023A4" w14:textId="77777777" w:rsidTr="004021B8">
        <w:trPr>
          <w:cnfStyle w:val="100000000000" w:firstRow="1" w:lastRow="0" w:firstColumn="0" w:lastColumn="0" w:oddVBand="0" w:evenVBand="0" w:oddHBand="0" w:evenHBand="0" w:firstRowFirstColumn="0" w:firstRowLastColumn="0" w:lastRowFirstColumn="0" w:lastRowLastColumn="0"/>
          <w:tblHeader/>
        </w:trPr>
        <w:tc>
          <w:tcPr>
            <w:tcW w:w="851" w:type="pct"/>
            <w:hideMark/>
          </w:tcPr>
          <w:p w14:paraId="55C0A737" w14:textId="77777777" w:rsidR="00DE1FFC" w:rsidRPr="009C7A40" w:rsidRDefault="00DE1FFC">
            <w:pPr>
              <w:pStyle w:val="ARtablecolhead"/>
            </w:pPr>
            <w:r w:rsidRPr="009C7A40">
              <w:t>Project name</w:t>
            </w:r>
          </w:p>
        </w:tc>
        <w:tc>
          <w:tcPr>
            <w:cnfStyle w:val="000001000000" w:firstRow="0" w:lastRow="0" w:firstColumn="0" w:lastColumn="0" w:oddVBand="0" w:evenVBand="1" w:oddHBand="0" w:evenHBand="0" w:firstRowFirstColumn="0" w:firstRowLastColumn="0" w:lastRowFirstColumn="0" w:lastRowLastColumn="0"/>
            <w:tcW w:w="446" w:type="pct"/>
            <w:hideMark/>
          </w:tcPr>
          <w:p w14:paraId="5ADBCEF5" w14:textId="77777777" w:rsidR="00DE1FFC" w:rsidRPr="009C7A40" w:rsidRDefault="00DE1FFC">
            <w:pPr>
              <w:pStyle w:val="ARtablecolheadright"/>
            </w:pPr>
            <w:r w:rsidRPr="009C7A40">
              <w:t>Original completion date</w:t>
            </w:r>
          </w:p>
        </w:tc>
        <w:tc>
          <w:tcPr>
            <w:tcW w:w="494" w:type="pct"/>
            <w:hideMark/>
          </w:tcPr>
          <w:p w14:paraId="3D9F6F03" w14:textId="77777777" w:rsidR="00DE1FFC" w:rsidRPr="009C7A40" w:rsidRDefault="00DE1FFC">
            <w:pPr>
              <w:pStyle w:val="ARtablecolheadright"/>
              <w:cnfStyle w:val="100000000000" w:firstRow="1" w:lastRow="0" w:firstColumn="0" w:lastColumn="0" w:oddVBand="0" w:evenVBand="0" w:oddHBand="0" w:evenHBand="0" w:firstRowFirstColumn="0" w:firstRowLastColumn="0" w:lastRowFirstColumn="0" w:lastRowLastColumn="0"/>
            </w:pPr>
            <w:r w:rsidRPr="009C7A40">
              <w:t>Latest approved completion date</w:t>
            </w:r>
          </w:p>
        </w:tc>
        <w:tc>
          <w:tcPr>
            <w:cnfStyle w:val="000001000000" w:firstRow="0" w:lastRow="0" w:firstColumn="0" w:lastColumn="0" w:oddVBand="0" w:evenVBand="1" w:oddHBand="0" w:evenHBand="0" w:firstRowFirstColumn="0" w:firstRowLastColumn="0" w:lastRowFirstColumn="0" w:lastRowLastColumn="0"/>
            <w:tcW w:w="445" w:type="pct"/>
            <w:hideMark/>
          </w:tcPr>
          <w:p w14:paraId="2872900C" w14:textId="77777777" w:rsidR="00DE1FFC" w:rsidRPr="009C7A40" w:rsidRDefault="00DE1FFC">
            <w:pPr>
              <w:pStyle w:val="ARtablecolheadright"/>
            </w:pPr>
            <w:r w:rsidRPr="009C7A40">
              <w:t>Prac</w:t>
            </w:r>
            <w:r>
              <w:t>1</w:t>
            </w:r>
            <w:r w:rsidRPr="009C7A40">
              <w:t>tical completion date</w:t>
            </w:r>
          </w:p>
        </w:tc>
        <w:tc>
          <w:tcPr>
            <w:tcW w:w="426" w:type="pct"/>
            <w:hideMark/>
          </w:tcPr>
          <w:p w14:paraId="4E0CDA8D" w14:textId="77777777" w:rsidR="00DE1FFC" w:rsidRPr="009C7A40" w:rsidRDefault="00DE1FFC">
            <w:pPr>
              <w:pStyle w:val="ARtablecolheadright"/>
              <w:cnfStyle w:val="100000000000" w:firstRow="1" w:lastRow="0" w:firstColumn="0" w:lastColumn="0" w:oddVBand="0" w:evenVBand="0" w:oddHBand="0" w:evenHBand="0" w:firstRowFirstColumn="0" w:firstRowLastColumn="0" w:lastRowFirstColumn="0" w:lastRowLastColumn="0"/>
            </w:pPr>
            <w:r w:rsidRPr="009C7A40">
              <w:t>Reason for variance in completion dates</w:t>
            </w:r>
          </w:p>
        </w:tc>
        <w:tc>
          <w:tcPr>
            <w:cnfStyle w:val="000001000000" w:firstRow="0" w:lastRow="0" w:firstColumn="0" w:lastColumn="0" w:oddVBand="0" w:evenVBand="1" w:oddHBand="0" w:evenHBand="0" w:firstRowFirstColumn="0" w:firstRowLastColumn="0" w:lastRowFirstColumn="0" w:lastRowLastColumn="0"/>
            <w:tcW w:w="433" w:type="pct"/>
            <w:hideMark/>
          </w:tcPr>
          <w:p w14:paraId="5E2923EB" w14:textId="77777777" w:rsidR="00DE1FFC" w:rsidRPr="009C7A40" w:rsidRDefault="00DE1FFC">
            <w:pPr>
              <w:pStyle w:val="ARtablecolheadright"/>
            </w:pPr>
            <w:r w:rsidRPr="009C7A40">
              <w:t xml:space="preserve">Original approved </w:t>
            </w:r>
            <w:r w:rsidRPr="009C7A40">
              <w:br/>
              <w:t>TEI budget</w:t>
            </w:r>
          </w:p>
          <w:p w14:paraId="6B53E043" w14:textId="77777777" w:rsidR="00DE1FFC" w:rsidRPr="009C7A40" w:rsidRDefault="00DE1FFC">
            <w:pPr>
              <w:pStyle w:val="ARtablecolheadright"/>
            </w:pPr>
            <w:r w:rsidRPr="009C7A40">
              <w:t>($m)</w:t>
            </w:r>
          </w:p>
        </w:tc>
        <w:tc>
          <w:tcPr>
            <w:tcW w:w="444" w:type="pct"/>
            <w:hideMark/>
          </w:tcPr>
          <w:p w14:paraId="0BCF47C7" w14:textId="77777777" w:rsidR="00DE1FFC" w:rsidRPr="009C7A40" w:rsidRDefault="00DE1FFC">
            <w:pPr>
              <w:pStyle w:val="ARtablecolheadright"/>
              <w:cnfStyle w:val="100000000000" w:firstRow="1" w:lastRow="0" w:firstColumn="0" w:lastColumn="0" w:oddVBand="0" w:evenVBand="0" w:oddHBand="0" w:evenHBand="0" w:firstRowFirstColumn="0" w:firstRowLastColumn="0" w:lastRowFirstColumn="0" w:lastRowLastColumn="0"/>
            </w:pPr>
            <w:r w:rsidRPr="009C7A40">
              <w:t>Latest approved TEI budget</w:t>
            </w:r>
          </w:p>
          <w:p w14:paraId="2A016440" w14:textId="77777777" w:rsidR="00DE1FFC" w:rsidRPr="009C7A40" w:rsidRDefault="00DE1FFC">
            <w:pPr>
              <w:pStyle w:val="ARtablecolheadright"/>
              <w:cnfStyle w:val="100000000000" w:firstRow="1" w:lastRow="0" w:firstColumn="0" w:lastColumn="0" w:oddVBand="0" w:evenVBand="0" w:oddHBand="0" w:evenHBand="0" w:firstRowFirstColumn="0" w:firstRowLastColumn="0" w:lastRowFirstColumn="0" w:lastRowLastColumn="0"/>
            </w:pPr>
            <w:r w:rsidRPr="009C7A40">
              <w:t>($m)</w:t>
            </w:r>
          </w:p>
        </w:tc>
        <w:tc>
          <w:tcPr>
            <w:cnfStyle w:val="000001000000" w:firstRow="0" w:lastRow="0" w:firstColumn="0" w:lastColumn="0" w:oddVBand="0" w:evenVBand="1" w:oddHBand="0" w:evenHBand="0" w:firstRowFirstColumn="0" w:firstRowLastColumn="0" w:lastRowFirstColumn="0" w:lastRowLastColumn="0"/>
            <w:tcW w:w="297" w:type="pct"/>
            <w:hideMark/>
          </w:tcPr>
          <w:p w14:paraId="126FC59E" w14:textId="77777777" w:rsidR="00DE1FFC" w:rsidRPr="009C7A40" w:rsidRDefault="00DE1FFC">
            <w:pPr>
              <w:pStyle w:val="ARtablecolheadright"/>
            </w:pPr>
            <w:r w:rsidRPr="009C7A40">
              <w:t>Actual TEI cost</w:t>
            </w:r>
          </w:p>
          <w:p w14:paraId="64FCF41F" w14:textId="77777777" w:rsidR="00DE1FFC" w:rsidRPr="009C7A40" w:rsidRDefault="00DE1FFC">
            <w:pPr>
              <w:pStyle w:val="ARtablecolheadright"/>
            </w:pPr>
            <w:r w:rsidRPr="009C7A40">
              <w:t>($m)</w:t>
            </w:r>
          </w:p>
        </w:tc>
        <w:tc>
          <w:tcPr>
            <w:tcW w:w="553" w:type="pct"/>
            <w:hideMark/>
          </w:tcPr>
          <w:p w14:paraId="572E2C2A" w14:textId="77777777" w:rsidR="00DE1FFC" w:rsidRPr="009C7A40" w:rsidRDefault="00DE1FFC">
            <w:pPr>
              <w:pStyle w:val="ARtablecolheadright"/>
              <w:cnfStyle w:val="100000000000" w:firstRow="1" w:lastRow="0" w:firstColumn="0" w:lastColumn="0" w:oddVBand="0" w:evenVBand="0" w:oddHBand="0" w:evenHBand="0" w:firstRowFirstColumn="0" w:firstRowLastColumn="0" w:lastRowFirstColumn="0" w:lastRowLastColumn="0"/>
            </w:pPr>
            <w:r w:rsidRPr="009C7A40">
              <w:t>Variation between actual cost and latest approved TEI budget</w:t>
            </w:r>
          </w:p>
          <w:p w14:paraId="21613E79" w14:textId="77777777" w:rsidR="00DE1FFC" w:rsidRPr="009C7A40" w:rsidRDefault="00DE1FFC">
            <w:pPr>
              <w:pStyle w:val="ARtablecolheadright"/>
              <w:cnfStyle w:val="100000000000" w:firstRow="1" w:lastRow="0" w:firstColumn="0" w:lastColumn="0" w:oddVBand="0" w:evenVBand="0" w:oddHBand="0" w:evenHBand="0" w:firstRowFirstColumn="0" w:firstRowLastColumn="0" w:lastRowFirstColumn="0" w:lastRowLastColumn="0"/>
            </w:pPr>
            <w:r w:rsidRPr="009C7A40">
              <w:t>($m)</w:t>
            </w:r>
          </w:p>
        </w:tc>
        <w:tc>
          <w:tcPr>
            <w:cnfStyle w:val="000001000000" w:firstRow="0" w:lastRow="0" w:firstColumn="0" w:lastColumn="0" w:oddVBand="0" w:evenVBand="1" w:oddHBand="0" w:evenHBand="0" w:firstRowFirstColumn="0" w:firstRowLastColumn="0" w:lastRowFirstColumn="0" w:lastRowLastColumn="0"/>
            <w:tcW w:w="611" w:type="pct"/>
            <w:hideMark/>
          </w:tcPr>
          <w:p w14:paraId="2AA65B0F" w14:textId="77777777" w:rsidR="00DE1FFC" w:rsidRPr="009C7A40" w:rsidRDefault="00DE1FFC">
            <w:pPr>
              <w:pStyle w:val="ARtablecolheadcentre"/>
            </w:pPr>
            <w:r w:rsidRPr="009C7A40">
              <w:t>Reason for variance from latest approved TEI budget</w:t>
            </w:r>
          </w:p>
        </w:tc>
      </w:tr>
      <w:tr w:rsidR="00DE1FFC" w:rsidRPr="00F74537" w14:paraId="58C45260" w14:textId="77777777" w:rsidTr="004021B8">
        <w:tc>
          <w:tcPr>
            <w:tcW w:w="851" w:type="pct"/>
          </w:tcPr>
          <w:p w14:paraId="5F643892" w14:textId="77777777" w:rsidR="00DE1FFC" w:rsidRPr="00F36AD0" w:rsidRDefault="00DE1FFC">
            <w:pPr>
              <w:pStyle w:val="ARtabletext"/>
            </w:pPr>
            <w:r w:rsidRPr="00F36AD0">
              <w:t>Building works stimulus (statewide)</w:t>
            </w:r>
          </w:p>
        </w:tc>
        <w:tc>
          <w:tcPr>
            <w:cnfStyle w:val="000001000000" w:firstRow="0" w:lastRow="0" w:firstColumn="0" w:lastColumn="0" w:oddVBand="0" w:evenVBand="1" w:oddHBand="0" w:evenHBand="0" w:firstRowFirstColumn="0" w:firstRowLastColumn="0" w:lastRowFirstColumn="0" w:lastRowLastColumn="0"/>
            <w:tcW w:w="446" w:type="pct"/>
          </w:tcPr>
          <w:p w14:paraId="22DB2BC2" w14:textId="414BE638" w:rsidR="00DE1FFC" w:rsidRPr="00F36AD0" w:rsidRDefault="00DE1FFC">
            <w:pPr>
              <w:pStyle w:val="ARtabletextright"/>
            </w:pPr>
            <w:proofErr w:type="spellStart"/>
            <w:r>
              <w:t>qtr</w:t>
            </w:r>
            <w:proofErr w:type="spellEnd"/>
            <w:r>
              <w:t xml:space="preserve"> 4 2021</w:t>
            </w:r>
            <w:r w:rsidR="005C1105">
              <w:t>–</w:t>
            </w:r>
            <w:r>
              <w:t>22</w:t>
            </w:r>
          </w:p>
        </w:tc>
        <w:tc>
          <w:tcPr>
            <w:tcW w:w="494" w:type="pct"/>
          </w:tcPr>
          <w:p w14:paraId="4D2A6879" w14:textId="00A715C7" w:rsidR="00DE1FFC" w:rsidRPr="00F36AD0" w:rsidRDefault="00DE1FFC">
            <w:pPr>
              <w:pStyle w:val="ARtabletextright"/>
              <w:cnfStyle w:val="000000000000" w:firstRow="0" w:lastRow="0" w:firstColumn="0" w:lastColumn="0" w:oddVBand="0" w:evenVBand="0" w:oddHBand="0" w:evenHBand="0" w:firstRowFirstColumn="0" w:firstRowLastColumn="0" w:lastRowFirstColumn="0" w:lastRowLastColumn="0"/>
            </w:pPr>
            <w:proofErr w:type="spellStart"/>
            <w:r>
              <w:t>qtr</w:t>
            </w:r>
            <w:proofErr w:type="spellEnd"/>
            <w:r>
              <w:t xml:space="preserve"> 2 2024</w:t>
            </w:r>
            <w:r w:rsidR="005C1105">
              <w:t>–</w:t>
            </w:r>
            <w:r>
              <w:t xml:space="preserve">25 </w:t>
            </w:r>
          </w:p>
        </w:tc>
        <w:tc>
          <w:tcPr>
            <w:cnfStyle w:val="000001000000" w:firstRow="0" w:lastRow="0" w:firstColumn="0" w:lastColumn="0" w:oddVBand="0" w:evenVBand="1" w:oddHBand="0" w:evenHBand="0" w:firstRowFirstColumn="0" w:firstRowLastColumn="0" w:lastRowFirstColumn="0" w:lastRowLastColumn="0"/>
            <w:tcW w:w="445" w:type="pct"/>
          </w:tcPr>
          <w:p w14:paraId="6EF6D03B" w14:textId="77777777" w:rsidR="00DE1FFC" w:rsidRPr="00F36AD0" w:rsidRDefault="00DE1FFC">
            <w:pPr>
              <w:pStyle w:val="ARtabletextright"/>
            </w:pPr>
            <w:r>
              <w:t>December 2024</w:t>
            </w:r>
          </w:p>
        </w:tc>
        <w:tc>
          <w:tcPr>
            <w:tcW w:w="426" w:type="pct"/>
          </w:tcPr>
          <w:p w14:paraId="0D9F6551" w14:textId="48B3199D" w:rsidR="00DE1FFC" w:rsidRPr="00F36AD0" w:rsidRDefault="005C1105" w:rsidP="005C1105">
            <w:pPr>
              <w:pStyle w:val="ARtabletextright"/>
              <w:cnfStyle w:val="000000000000" w:firstRow="0" w:lastRow="0" w:firstColumn="0" w:lastColumn="0" w:oddVBand="0" w:evenVBand="0" w:oddHBand="0" w:evenHBand="0" w:firstRowFirstColumn="0" w:firstRowLastColumn="0" w:lastRowFirstColumn="0" w:lastRowLastColumn="0"/>
            </w:pPr>
            <w:r>
              <w:t>–</w:t>
            </w:r>
          </w:p>
        </w:tc>
        <w:tc>
          <w:tcPr>
            <w:cnfStyle w:val="000001000000" w:firstRow="0" w:lastRow="0" w:firstColumn="0" w:lastColumn="0" w:oddVBand="0" w:evenVBand="1" w:oddHBand="0" w:evenHBand="0" w:firstRowFirstColumn="0" w:firstRowLastColumn="0" w:lastRowFirstColumn="0" w:lastRowLastColumn="0"/>
            <w:tcW w:w="433" w:type="pct"/>
          </w:tcPr>
          <w:p w14:paraId="36FE8DE6" w14:textId="77777777" w:rsidR="00DE1FFC" w:rsidRPr="00F36AD0" w:rsidRDefault="00DE1FFC">
            <w:pPr>
              <w:pStyle w:val="ARtabletextright"/>
            </w:pPr>
            <w:r>
              <w:t>155.0</w:t>
            </w:r>
          </w:p>
        </w:tc>
        <w:tc>
          <w:tcPr>
            <w:tcW w:w="444" w:type="pct"/>
          </w:tcPr>
          <w:p w14:paraId="5E96703E" w14:textId="77777777" w:rsidR="00DE1FFC" w:rsidRPr="00F36AD0" w:rsidRDefault="00DE1FFC">
            <w:pPr>
              <w:pStyle w:val="ARtabletextright"/>
              <w:cnfStyle w:val="000000000000" w:firstRow="0" w:lastRow="0" w:firstColumn="0" w:lastColumn="0" w:oddVBand="0" w:evenVBand="0" w:oddHBand="0" w:evenHBand="0" w:firstRowFirstColumn="0" w:firstRowLastColumn="0" w:lastRowFirstColumn="0" w:lastRowLastColumn="0"/>
            </w:pPr>
            <w:r>
              <w:t>177.2</w:t>
            </w:r>
          </w:p>
        </w:tc>
        <w:tc>
          <w:tcPr>
            <w:cnfStyle w:val="000001000000" w:firstRow="0" w:lastRow="0" w:firstColumn="0" w:lastColumn="0" w:oddVBand="0" w:evenVBand="1" w:oddHBand="0" w:evenHBand="0" w:firstRowFirstColumn="0" w:firstRowLastColumn="0" w:lastRowFirstColumn="0" w:lastRowLastColumn="0"/>
            <w:tcW w:w="297" w:type="pct"/>
          </w:tcPr>
          <w:p w14:paraId="4C5CE37F" w14:textId="77777777" w:rsidR="00DE1FFC" w:rsidRPr="00F36AD0" w:rsidRDefault="00DE1FFC">
            <w:pPr>
              <w:pStyle w:val="ARtabletextright"/>
            </w:pPr>
            <w:r>
              <w:t>175.5</w:t>
            </w:r>
          </w:p>
        </w:tc>
        <w:tc>
          <w:tcPr>
            <w:tcW w:w="553" w:type="pct"/>
          </w:tcPr>
          <w:p w14:paraId="22906B56" w14:textId="77777777" w:rsidR="00DE1FFC" w:rsidRPr="00F36AD0" w:rsidRDefault="00DE1FFC">
            <w:pPr>
              <w:pStyle w:val="ARtabletextright"/>
              <w:cnfStyle w:val="000000000000" w:firstRow="0" w:lastRow="0" w:firstColumn="0" w:lastColumn="0" w:oddVBand="0" w:evenVBand="0" w:oddHBand="0" w:evenHBand="0" w:firstRowFirstColumn="0" w:firstRowLastColumn="0" w:lastRowFirstColumn="0" w:lastRowLastColumn="0"/>
            </w:pPr>
            <w:r>
              <w:t>1.7</w:t>
            </w:r>
          </w:p>
        </w:tc>
        <w:tc>
          <w:tcPr>
            <w:cnfStyle w:val="000001000000" w:firstRow="0" w:lastRow="0" w:firstColumn="0" w:lastColumn="0" w:oddVBand="0" w:evenVBand="1" w:oddHBand="0" w:evenHBand="0" w:firstRowFirstColumn="0" w:firstRowLastColumn="0" w:lastRowFirstColumn="0" w:lastRowLastColumn="0"/>
            <w:tcW w:w="611" w:type="pct"/>
          </w:tcPr>
          <w:p w14:paraId="197280CF" w14:textId="5345BDB6" w:rsidR="00DE1FFC" w:rsidRPr="00F36AD0" w:rsidRDefault="00DE1FFC">
            <w:pPr>
              <w:pStyle w:val="ARtabletextcentre"/>
            </w:pPr>
            <w:r>
              <w:t>Variance is less than 1% of TEI with final expenditure expected for projects in 2025</w:t>
            </w:r>
            <w:r w:rsidR="005C1105">
              <w:t>–</w:t>
            </w:r>
            <w:r>
              <w:t>26.</w:t>
            </w:r>
          </w:p>
        </w:tc>
      </w:tr>
      <w:tr w:rsidR="00DE1FFC" w:rsidRPr="00F74537" w14:paraId="66F50F61" w14:textId="77777777" w:rsidTr="004021B8">
        <w:tc>
          <w:tcPr>
            <w:tcW w:w="851" w:type="pct"/>
            <w:tcBorders>
              <w:bottom w:val="single" w:sz="4" w:space="0" w:color="A6A6A6" w:themeColor="accent5"/>
            </w:tcBorders>
          </w:tcPr>
          <w:p w14:paraId="7E990A28" w14:textId="4D13E2E9" w:rsidR="00DE1FFC" w:rsidRPr="00F36AD0" w:rsidRDefault="00DE1FFC">
            <w:pPr>
              <w:pStyle w:val="ARtabletext"/>
            </w:pPr>
            <w:r>
              <w:t>Housing Renewals 2024</w:t>
            </w:r>
            <w:r w:rsidR="005C1105">
              <w:t>–</w:t>
            </w:r>
            <w:r>
              <w:t>25 (statewide)</w:t>
            </w:r>
          </w:p>
        </w:tc>
        <w:tc>
          <w:tcPr>
            <w:cnfStyle w:val="000001000000" w:firstRow="0" w:lastRow="0" w:firstColumn="0" w:lastColumn="0" w:oddVBand="0" w:evenVBand="1" w:oddHBand="0" w:evenHBand="0" w:firstRowFirstColumn="0" w:firstRowLastColumn="0" w:lastRowFirstColumn="0" w:lastRowLastColumn="0"/>
            <w:tcW w:w="446" w:type="pct"/>
            <w:tcBorders>
              <w:bottom w:val="single" w:sz="4" w:space="0" w:color="A6A6A6" w:themeColor="accent5"/>
            </w:tcBorders>
          </w:tcPr>
          <w:p w14:paraId="5027A634" w14:textId="63CE63CB" w:rsidR="00DE1FFC" w:rsidRPr="00F36AD0" w:rsidRDefault="00DE1FFC">
            <w:pPr>
              <w:pStyle w:val="ARtabletextright"/>
            </w:pPr>
            <w:proofErr w:type="spellStart"/>
            <w:r>
              <w:t>qtr</w:t>
            </w:r>
            <w:proofErr w:type="spellEnd"/>
            <w:r>
              <w:t xml:space="preserve"> 4 2024</w:t>
            </w:r>
            <w:r w:rsidR="005C1105">
              <w:t>–</w:t>
            </w:r>
            <w:r>
              <w:t>25</w:t>
            </w:r>
          </w:p>
        </w:tc>
        <w:tc>
          <w:tcPr>
            <w:tcW w:w="494" w:type="pct"/>
            <w:tcBorders>
              <w:bottom w:val="single" w:sz="4" w:space="0" w:color="A6A6A6" w:themeColor="accent5"/>
            </w:tcBorders>
          </w:tcPr>
          <w:p w14:paraId="1C1FF488" w14:textId="028C1204" w:rsidR="00DE1FFC" w:rsidRPr="00F36AD0" w:rsidRDefault="00DE1FFC">
            <w:pPr>
              <w:pStyle w:val="ARtabletextright"/>
              <w:cnfStyle w:val="000000000000" w:firstRow="0" w:lastRow="0" w:firstColumn="0" w:lastColumn="0" w:oddVBand="0" w:evenVBand="0" w:oddHBand="0" w:evenHBand="0" w:firstRowFirstColumn="0" w:firstRowLastColumn="0" w:lastRowFirstColumn="0" w:lastRowLastColumn="0"/>
            </w:pPr>
            <w:proofErr w:type="spellStart"/>
            <w:r>
              <w:t>qtr</w:t>
            </w:r>
            <w:proofErr w:type="spellEnd"/>
            <w:r>
              <w:t xml:space="preserve"> 4 2024</w:t>
            </w:r>
            <w:r w:rsidR="005C1105">
              <w:t>–</w:t>
            </w:r>
            <w:r>
              <w:t>25</w:t>
            </w:r>
          </w:p>
        </w:tc>
        <w:tc>
          <w:tcPr>
            <w:cnfStyle w:val="000001000000" w:firstRow="0" w:lastRow="0" w:firstColumn="0" w:lastColumn="0" w:oddVBand="0" w:evenVBand="1" w:oddHBand="0" w:evenHBand="0" w:firstRowFirstColumn="0" w:firstRowLastColumn="0" w:lastRowFirstColumn="0" w:lastRowLastColumn="0"/>
            <w:tcW w:w="445" w:type="pct"/>
            <w:tcBorders>
              <w:bottom w:val="single" w:sz="4" w:space="0" w:color="A6A6A6" w:themeColor="accent5"/>
            </w:tcBorders>
          </w:tcPr>
          <w:p w14:paraId="10F4BE81" w14:textId="77777777" w:rsidR="00DE1FFC" w:rsidRPr="00F36AD0" w:rsidRDefault="00DE1FFC">
            <w:pPr>
              <w:pStyle w:val="ARtabletextright"/>
            </w:pPr>
            <w:r>
              <w:t>June 2025</w:t>
            </w:r>
          </w:p>
        </w:tc>
        <w:tc>
          <w:tcPr>
            <w:tcW w:w="426" w:type="pct"/>
            <w:tcBorders>
              <w:bottom w:val="single" w:sz="4" w:space="0" w:color="A6A6A6" w:themeColor="accent5"/>
            </w:tcBorders>
          </w:tcPr>
          <w:p w14:paraId="183D1E14" w14:textId="4F45252F" w:rsidR="00DE1FFC" w:rsidRPr="00F36AD0" w:rsidRDefault="005C1105">
            <w:pPr>
              <w:pStyle w:val="ARtabletextright"/>
              <w:cnfStyle w:val="000000000000" w:firstRow="0" w:lastRow="0" w:firstColumn="0" w:lastColumn="0" w:oddVBand="0" w:evenVBand="0" w:oddHBand="0" w:evenHBand="0" w:firstRowFirstColumn="0" w:firstRowLastColumn="0" w:lastRowFirstColumn="0" w:lastRowLastColumn="0"/>
            </w:pPr>
            <w:r>
              <w:t>–</w:t>
            </w:r>
          </w:p>
        </w:tc>
        <w:tc>
          <w:tcPr>
            <w:cnfStyle w:val="000001000000" w:firstRow="0" w:lastRow="0" w:firstColumn="0" w:lastColumn="0" w:oddVBand="0" w:evenVBand="1" w:oddHBand="0" w:evenHBand="0" w:firstRowFirstColumn="0" w:firstRowLastColumn="0" w:lastRowFirstColumn="0" w:lastRowLastColumn="0"/>
            <w:tcW w:w="433" w:type="pct"/>
            <w:tcBorders>
              <w:bottom w:val="single" w:sz="4" w:space="0" w:color="A6A6A6" w:themeColor="accent5"/>
            </w:tcBorders>
          </w:tcPr>
          <w:p w14:paraId="7BB7961E" w14:textId="77777777" w:rsidR="00DE1FFC" w:rsidRPr="00F36AD0" w:rsidRDefault="00DE1FFC">
            <w:pPr>
              <w:pStyle w:val="ARtabletextright"/>
            </w:pPr>
            <w:r>
              <w:t>70.6</w:t>
            </w:r>
          </w:p>
        </w:tc>
        <w:tc>
          <w:tcPr>
            <w:tcW w:w="444" w:type="pct"/>
            <w:tcBorders>
              <w:bottom w:val="single" w:sz="4" w:space="0" w:color="A6A6A6" w:themeColor="accent5"/>
            </w:tcBorders>
          </w:tcPr>
          <w:p w14:paraId="4D06E739" w14:textId="77777777" w:rsidR="00DE1FFC" w:rsidRPr="00F36AD0" w:rsidRDefault="00DE1FFC">
            <w:pPr>
              <w:pStyle w:val="ARtabletextright"/>
              <w:cnfStyle w:val="000000000000" w:firstRow="0" w:lastRow="0" w:firstColumn="0" w:lastColumn="0" w:oddVBand="0" w:evenVBand="0" w:oddHBand="0" w:evenHBand="0" w:firstRowFirstColumn="0" w:firstRowLastColumn="0" w:lastRowFirstColumn="0" w:lastRowLastColumn="0"/>
            </w:pPr>
            <w:r>
              <w:t>18.9</w:t>
            </w:r>
          </w:p>
        </w:tc>
        <w:tc>
          <w:tcPr>
            <w:cnfStyle w:val="000001000000" w:firstRow="0" w:lastRow="0" w:firstColumn="0" w:lastColumn="0" w:oddVBand="0" w:evenVBand="1" w:oddHBand="0" w:evenHBand="0" w:firstRowFirstColumn="0" w:firstRowLastColumn="0" w:lastRowFirstColumn="0" w:lastRowLastColumn="0"/>
            <w:tcW w:w="297" w:type="pct"/>
            <w:tcBorders>
              <w:bottom w:val="single" w:sz="4" w:space="0" w:color="A6A6A6" w:themeColor="accent5"/>
            </w:tcBorders>
          </w:tcPr>
          <w:p w14:paraId="1CE145F5" w14:textId="77777777" w:rsidR="00DE1FFC" w:rsidRPr="00F36AD0" w:rsidRDefault="00DE1FFC">
            <w:pPr>
              <w:pStyle w:val="ARtabletextright"/>
            </w:pPr>
            <w:r>
              <w:t>14.0</w:t>
            </w:r>
          </w:p>
        </w:tc>
        <w:tc>
          <w:tcPr>
            <w:tcW w:w="553" w:type="pct"/>
            <w:tcBorders>
              <w:bottom w:val="single" w:sz="4" w:space="0" w:color="A6A6A6" w:themeColor="accent5"/>
            </w:tcBorders>
          </w:tcPr>
          <w:p w14:paraId="09459017" w14:textId="77777777" w:rsidR="00DE1FFC" w:rsidRPr="00F36AD0" w:rsidRDefault="00DE1FFC">
            <w:pPr>
              <w:pStyle w:val="ARtabletextright"/>
              <w:cnfStyle w:val="000000000000" w:firstRow="0" w:lastRow="0" w:firstColumn="0" w:lastColumn="0" w:oddVBand="0" w:evenVBand="0" w:oddHBand="0" w:evenHBand="0" w:firstRowFirstColumn="0" w:firstRowLastColumn="0" w:lastRowFirstColumn="0" w:lastRowLastColumn="0"/>
            </w:pPr>
            <w:r>
              <w:t>4.9</w:t>
            </w:r>
          </w:p>
        </w:tc>
        <w:tc>
          <w:tcPr>
            <w:cnfStyle w:val="000001000000" w:firstRow="0" w:lastRow="0" w:firstColumn="0" w:lastColumn="0" w:oddVBand="0" w:evenVBand="1" w:oddHBand="0" w:evenHBand="0" w:firstRowFirstColumn="0" w:firstRowLastColumn="0" w:lastRowFirstColumn="0" w:lastRowLastColumn="0"/>
            <w:tcW w:w="611" w:type="pct"/>
            <w:tcBorders>
              <w:bottom w:val="single" w:sz="4" w:space="0" w:color="A6A6A6" w:themeColor="accent5"/>
            </w:tcBorders>
          </w:tcPr>
          <w:p w14:paraId="4CB56BCA" w14:textId="77777777" w:rsidR="00DE1FFC" w:rsidRPr="00F36AD0" w:rsidRDefault="00DE1FFC">
            <w:pPr>
              <w:pStyle w:val="ARtabletextcentre"/>
            </w:pPr>
            <w:r>
              <w:t>Program scope delivered within TEI. Surplus funds were reprioritised.</w:t>
            </w:r>
          </w:p>
        </w:tc>
      </w:tr>
      <w:tr w:rsidR="00DE1FFC" w:rsidRPr="00F74537" w14:paraId="16C2E72B" w14:textId="77777777" w:rsidTr="004021B8">
        <w:tc>
          <w:tcPr>
            <w:tcW w:w="851" w:type="pct"/>
            <w:tcBorders>
              <w:top w:val="single" w:sz="4" w:space="0" w:color="A6A6A6" w:themeColor="accent5"/>
              <w:bottom w:val="single" w:sz="4" w:space="0" w:color="A6A6A6" w:themeColor="accent5"/>
            </w:tcBorders>
          </w:tcPr>
          <w:p w14:paraId="625BE4C3" w14:textId="48D5BF7A" w:rsidR="00DE1FFC" w:rsidRDefault="00DE1FFC">
            <w:pPr>
              <w:pStyle w:val="ARtabletext"/>
            </w:pPr>
            <w:r>
              <w:t>Housing Upgrades 2024</w:t>
            </w:r>
            <w:r w:rsidR="005C1105">
              <w:t>–</w:t>
            </w:r>
            <w:r>
              <w:t>25 (statewide)</w:t>
            </w:r>
          </w:p>
        </w:tc>
        <w:tc>
          <w:tcPr>
            <w:cnfStyle w:val="000001000000" w:firstRow="0" w:lastRow="0" w:firstColumn="0" w:lastColumn="0" w:oddVBand="0" w:evenVBand="1" w:oddHBand="0" w:evenHBand="0" w:firstRowFirstColumn="0" w:firstRowLastColumn="0" w:lastRowFirstColumn="0" w:lastRowLastColumn="0"/>
            <w:tcW w:w="446" w:type="pct"/>
            <w:tcBorders>
              <w:top w:val="single" w:sz="4" w:space="0" w:color="A6A6A6" w:themeColor="accent5"/>
              <w:bottom w:val="single" w:sz="4" w:space="0" w:color="A6A6A6" w:themeColor="accent5"/>
            </w:tcBorders>
          </w:tcPr>
          <w:p w14:paraId="7A63F596" w14:textId="11B1D9AD" w:rsidR="00DE1FFC" w:rsidRPr="00F36AD0" w:rsidRDefault="00DE1FFC">
            <w:pPr>
              <w:pStyle w:val="ARtabletextright"/>
            </w:pPr>
            <w:proofErr w:type="spellStart"/>
            <w:r>
              <w:t>qtr</w:t>
            </w:r>
            <w:proofErr w:type="spellEnd"/>
            <w:r>
              <w:t xml:space="preserve"> 4 2024</w:t>
            </w:r>
            <w:r w:rsidR="005C1105">
              <w:t>–</w:t>
            </w:r>
            <w:r>
              <w:t>25</w:t>
            </w:r>
          </w:p>
        </w:tc>
        <w:tc>
          <w:tcPr>
            <w:tcW w:w="494" w:type="pct"/>
            <w:tcBorders>
              <w:top w:val="single" w:sz="4" w:space="0" w:color="A6A6A6" w:themeColor="accent5"/>
              <w:bottom w:val="single" w:sz="4" w:space="0" w:color="A6A6A6" w:themeColor="accent5"/>
            </w:tcBorders>
          </w:tcPr>
          <w:p w14:paraId="67D17925" w14:textId="4CE20103" w:rsidR="00DE1FFC" w:rsidRPr="00F36AD0" w:rsidRDefault="00DE1FFC">
            <w:pPr>
              <w:pStyle w:val="ARtabletextright"/>
              <w:cnfStyle w:val="000000000000" w:firstRow="0" w:lastRow="0" w:firstColumn="0" w:lastColumn="0" w:oddVBand="0" w:evenVBand="0" w:oddHBand="0" w:evenHBand="0" w:firstRowFirstColumn="0" w:firstRowLastColumn="0" w:lastRowFirstColumn="0" w:lastRowLastColumn="0"/>
            </w:pPr>
            <w:proofErr w:type="spellStart"/>
            <w:r>
              <w:t>qtr</w:t>
            </w:r>
            <w:proofErr w:type="spellEnd"/>
            <w:r>
              <w:t xml:space="preserve"> 4 2024</w:t>
            </w:r>
            <w:r w:rsidR="005C1105">
              <w:t>–</w:t>
            </w:r>
            <w:r>
              <w:t>25</w:t>
            </w:r>
          </w:p>
        </w:tc>
        <w:tc>
          <w:tcPr>
            <w:cnfStyle w:val="000001000000" w:firstRow="0" w:lastRow="0" w:firstColumn="0" w:lastColumn="0" w:oddVBand="0" w:evenVBand="1" w:oddHBand="0" w:evenHBand="0" w:firstRowFirstColumn="0" w:firstRowLastColumn="0" w:lastRowFirstColumn="0" w:lastRowLastColumn="0"/>
            <w:tcW w:w="445" w:type="pct"/>
            <w:tcBorders>
              <w:top w:val="single" w:sz="4" w:space="0" w:color="A6A6A6" w:themeColor="accent5"/>
              <w:bottom w:val="single" w:sz="4" w:space="0" w:color="A6A6A6" w:themeColor="accent5"/>
            </w:tcBorders>
          </w:tcPr>
          <w:p w14:paraId="6A2171CE" w14:textId="77777777" w:rsidR="00DE1FFC" w:rsidRPr="00F36AD0" w:rsidRDefault="00DE1FFC">
            <w:pPr>
              <w:pStyle w:val="ARtabletextright"/>
            </w:pPr>
            <w:r>
              <w:t>June 2025</w:t>
            </w:r>
          </w:p>
        </w:tc>
        <w:tc>
          <w:tcPr>
            <w:tcW w:w="426" w:type="pct"/>
            <w:tcBorders>
              <w:top w:val="single" w:sz="4" w:space="0" w:color="A6A6A6" w:themeColor="accent5"/>
              <w:bottom w:val="single" w:sz="4" w:space="0" w:color="A6A6A6" w:themeColor="accent5"/>
            </w:tcBorders>
          </w:tcPr>
          <w:p w14:paraId="2017E539" w14:textId="6245C10F" w:rsidR="00DE1FFC" w:rsidRPr="00F36AD0" w:rsidRDefault="005C1105">
            <w:pPr>
              <w:pStyle w:val="ARtabletextright"/>
              <w:cnfStyle w:val="000000000000" w:firstRow="0" w:lastRow="0" w:firstColumn="0" w:lastColumn="0" w:oddVBand="0" w:evenVBand="0" w:oddHBand="0" w:evenHBand="0" w:firstRowFirstColumn="0" w:firstRowLastColumn="0" w:lastRowFirstColumn="0" w:lastRowLastColumn="0"/>
            </w:pPr>
            <w:r>
              <w:t>–</w:t>
            </w:r>
          </w:p>
        </w:tc>
        <w:tc>
          <w:tcPr>
            <w:cnfStyle w:val="000001000000" w:firstRow="0" w:lastRow="0" w:firstColumn="0" w:lastColumn="0" w:oddVBand="0" w:evenVBand="1" w:oddHBand="0" w:evenHBand="0" w:firstRowFirstColumn="0" w:firstRowLastColumn="0" w:lastRowFirstColumn="0" w:lastRowLastColumn="0"/>
            <w:tcW w:w="433" w:type="pct"/>
            <w:tcBorders>
              <w:top w:val="single" w:sz="4" w:space="0" w:color="A6A6A6" w:themeColor="accent5"/>
              <w:bottom w:val="single" w:sz="4" w:space="0" w:color="A6A6A6" w:themeColor="accent5"/>
            </w:tcBorders>
          </w:tcPr>
          <w:p w14:paraId="4FC17913" w14:textId="77777777" w:rsidR="00DE1FFC" w:rsidRPr="00F36AD0" w:rsidRDefault="00DE1FFC">
            <w:pPr>
              <w:pStyle w:val="ARtabletextright"/>
            </w:pPr>
            <w:r>
              <w:t>24.5</w:t>
            </w:r>
          </w:p>
        </w:tc>
        <w:tc>
          <w:tcPr>
            <w:tcW w:w="444" w:type="pct"/>
            <w:tcBorders>
              <w:top w:val="single" w:sz="4" w:space="0" w:color="A6A6A6" w:themeColor="accent5"/>
              <w:bottom w:val="single" w:sz="4" w:space="0" w:color="A6A6A6" w:themeColor="accent5"/>
            </w:tcBorders>
          </w:tcPr>
          <w:p w14:paraId="4C4E9EAD" w14:textId="77777777" w:rsidR="00DE1FFC" w:rsidRPr="00F36AD0" w:rsidRDefault="00DE1FFC">
            <w:pPr>
              <w:pStyle w:val="ARtabletextright"/>
              <w:cnfStyle w:val="000000000000" w:firstRow="0" w:lastRow="0" w:firstColumn="0" w:lastColumn="0" w:oddVBand="0" w:evenVBand="0" w:oddHBand="0" w:evenHBand="0" w:firstRowFirstColumn="0" w:firstRowLastColumn="0" w:lastRowFirstColumn="0" w:lastRowLastColumn="0"/>
            </w:pPr>
            <w:r>
              <w:t>28.1</w:t>
            </w:r>
          </w:p>
        </w:tc>
        <w:tc>
          <w:tcPr>
            <w:cnfStyle w:val="000001000000" w:firstRow="0" w:lastRow="0" w:firstColumn="0" w:lastColumn="0" w:oddVBand="0" w:evenVBand="1" w:oddHBand="0" w:evenHBand="0" w:firstRowFirstColumn="0" w:firstRowLastColumn="0" w:lastRowFirstColumn="0" w:lastRowLastColumn="0"/>
            <w:tcW w:w="297" w:type="pct"/>
            <w:tcBorders>
              <w:top w:val="single" w:sz="4" w:space="0" w:color="A6A6A6" w:themeColor="accent5"/>
              <w:bottom w:val="single" w:sz="4" w:space="0" w:color="A6A6A6" w:themeColor="accent5"/>
            </w:tcBorders>
          </w:tcPr>
          <w:p w14:paraId="7F2A2557" w14:textId="77777777" w:rsidR="00DE1FFC" w:rsidRPr="00F36AD0" w:rsidRDefault="00DE1FFC">
            <w:pPr>
              <w:pStyle w:val="ARtabletextright"/>
            </w:pPr>
            <w:r>
              <w:t>28.1</w:t>
            </w:r>
          </w:p>
        </w:tc>
        <w:tc>
          <w:tcPr>
            <w:tcW w:w="553" w:type="pct"/>
            <w:tcBorders>
              <w:top w:val="single" w:sz="4" w:space="0" w:color="A6A6A6" w:themeColor="accent5"/>
              <w:bottom w:val="single" w:sz="4" w:space="0" w:color="A6A6A6" w:themeColor="accent5"/>
            </w:tcBorders>
          </w:tcPr>
          <w:p w14:paraId="0EE77A49" w14:textId="568B2F89" w:rsidR="00DE1FFC" w:rsidRPr="00F36AD0" w:rsidRDefault="005C1105">
            <w:pPr>
              <w:pStyle w:val="ARtabletextright"/>
              <w:cnfStyle w:val="000000000000" w:firstRow="0" w:lastRow="0" w:firstColumn="0" w:lastColumn="0" w:oddVBand="0" w:evenVBand="0" w:oddHBand="0" w:evenHBand="0" w:firstRowFirstColumn="0" w:firstRowLastColumn="0" w:lastRowFirstColumn="0" w:lastRowLastColumn="0"/>
            </w:pPr>
            <w:r>
              <w:t>–</w:t>
            </w:r>
          </w:p>
        </w:tc>
        <w:tc>
          <w:tcPr>
            <w:cnfStyle w:val="000001000000" w:firstRow="0" w:lastRow="0" w:firstColumn="0" w:lastColumn="0" w:oddVBand="0" w:evenVBand="1" w:oddHBand="0" w:evenHBand="0" w:firstRowFirstColumn="0" w:firstRowLastColumn="0" w:lastRowFirstColumn="0" w:lastRowLastColumn="0"/>
            <w:tcW w:w="611" w:type="pct"/>
            <w:tcBorders>
              <w:top w:val="single" w:sz="4" w:space="0" w:color="A6A6A6" w:themeColor="accent5"/>
              <w:bottom w:val="single" w:sz="4" w:space="0" w:color="A6A6A6" w:themeColor="accent5"/>
            </w:tcBorders>
          </w:tcPr>
          <w:p w14:paraId="614B09C6" w14:textId="77777777" w:rsidR="00DE1FFC" w:rsidRPr="00F36AD0" w:rsidRDefault="00DE1FFC">
            <w:pPr>
              <w:pStyle w:val="ARtabletextcentre"/>
            </w:pPr>
            <w:r>
              <w:t>N/A</w:t>
            </w:r>
          </w:p>
        </w:tc>
      </w:tr>
      <w:tr w:rsidR="00DE1FFC" w:rsidRPr="00F74537" w14:paraId="7D86C250" w14:textId="77777777" w:rsidTr="004021B8">
        <w:trPr>
          <w:cnfStyle w:val="010000000000" w:firstRow="0" w:lastRow="1" w:firstColumn="0" w:lastColumn="0" w:oddVBand="0" w:evenVBand="0" w:oddHBand="0" w:evenHBand="0" w:firstRowFirstColumn="0" w:firstRowLastColumn="0" w:lastRowFirstColumn="0" w:lastRowLastColumn="0"/>
        </w:trPr>
        <w:tc>
          <w:tcPr>
            <w:tcW w:w="851" w:type="pct"/>
            <w:tcBorders>
              <w:top w:val="single" w:sz="4" w:space="0" w:color="A6A6A6" w:themeColor="accent5"/>
            </w:tcBorders>
          </w:tcPr>
          <w:p w14:paraId="4E2B2839" w14:textId="77777777" w:rsidR="00DE1FFC" w:rsidRDefault="00DE1FFC">
            <w:pPr>
              <w:pStyle w:val="ARtabletext"/>
            </w:pPr>
            <w:r>
              <w:t>Investing to make homelessness rare, brief and non-recurring (statewide)</w:t>
            </w:r>
          </w:p>
        </w:tc>
        <w:tc>
          <w:tcPr>
            <w:cnfStyle w:val="000001000000" w:firstRow="0" w:lastRow="0" w:firstColumn="0" w:lastColumn="0" w:oddVBand="0" w:evenVBand="1" w:oddHBand="0" w:evenHBand="0" w:firstRowFirstColumn="0" w:firstRowLastColumn="0" w:lastRowFirstColumn="0" w:lastRowLastColumn="0"/>
            <w:tcW w:w="446" w:type="pct"/>
            <w:tcBorders>
              <w:top w:val="single" w:sz="4" w:space="0" w:color="A6A6A6" w:themeColor="accent5"/>
            </w:tcBorders>
          </w:tcPr>
          <w:p w14:paraId="68B2F71C" w14:textId="2FE1DF24" w:rsidR="00DE1FFC" w:rsidRPr="00F36AD0" w:rsidRDefault="00DE1FFC">
            <w:pPr>
              <w:pStyle w:val="ARtabletextright"/>
            </w:pPr>
            <w:proofErr w:type="spellStart"/>
            <w:r>
              <w:t>qtr</w:t>
            </w:r>
            <w:proofErr w:type="spellEnd"/>
            <w:r>
              <w:t xml:space="preserve"> 4 2022</w:t>
            </w:r>
            <w:r w:rsidR="005C1105">
              <w:t>–</w:t>
            </w:r>
            <w:r>
              <w:t>23</w:t>
            </w:r>
          </w:p>
        </w:tc>
        <w:tc>
          <w:tcPr>
            <w:tcW w:w="494" w:type="pct"/>
            <w:tcBorders>
              <w:top w:val="single" w:sz="4" w:space="0" w:color="A6A6A6" w:themeColor="accent5"/>
            </w:tcBorders>
          </w:tcPr>
          <w:p w14:paraId="34BED64C" w14:textId="5CEF14DC" w:rsidR="00DE1FFC" w:rsidRPr="00F36AD0" w:rsidRDefault="00DE1FFC">
            <w:pPr>
              <w:pStyle w:val="ARtabletextright"/>
              <w:cnfStyle w:val="010000000000" w:firstRow="0" w:lastRow="1" w:firstColumn="0" w:lastColumn="0" w:oddVBand="0" w:evenVBand="0" w:oddHBand="0" w:evenHBand="0" w:firstRowFirstColumn="0" w:firstRowLastColumn="0" w:lastRowFirstColumn="0" w:lastRowLastColumn="0"/>
            </w:pPr>
            <w:proofErr w:type="spellStart"/>
            <w:r>
              <w:t>qtr</w:t>
            </w:r>
            <w:proofErr w:type="spellEnd"/>
            <w:r>
              <w:t xml:space="preserve"> 4 2027</w:t>
            </w:r>
            <w:r w:rsidR="005C1105">
              <w:t>–</w:t>
            </w:r>
            <w:r>
              <w:t>28</w:t>
            </w:r>
          </w:p>
        </w:tc>
        <w:tc>
          <w:tcPr>
            <w:cnfStyle w:val="000001000000" w:firstRow="0" w:lastRow="0" w:firstColumn="0" w:lastColumn="0" w:oddVBand="0" w:evenVBand="1" w:oddHBand="0" w:evenHBand="0" w:firstRowFirstColumn="0" w:firstRowLastColumn="0" w:lastRowFirstColumn="0" w:lastRowLastColumn="0"/>
            <w:tcW w:w="445" w:type="pct"/>
            <w:tcBorders>
              <w:top w:val="single" w:sz="4" w:space="0" w:color="A6A6A6" w:themeColor="accent5"/>
            </w:tcBorders>
          </w:tcPr>
          <w:p w14:paraId="182FF562" w14:textId="77777777" w:rsidR="00DE1FFC" w:rsidRPr="00F36AD0" w:rsidRDefault="00DE1FFC">
            <w:pPr>
              <w:pStyle w:val="ARtabletextright"/>
            </w:pPr>
            <w:r>
              <w:t>June 2028</w:t>
            </w:r>
          </w:p>
        </w:tc>
        <w:tc>
          <w:tcPr>
            <w:tcW w:w="426" w:type="pct"/>
            <w:tcBorders>
              <w:top w:val="single" w:sz="4" w:space="0" w:color="A6A6A6" w:themeColor="accent5"/>
            </w:tcBorders>
          </w:tcPr>
          <w:p w14:paraId="02E566EE" w14:textId="2C97B3CA" w:rsidR="00DE1FFC" w:rsidRPr="00F36AD0" w:rsidRDefault="005C1105">
            <w:pPr>
              <w:pStyle w:val="ARtabletextright"/>
              <w:cnfStyle w:val="010000000000" w:firstRow="0" w:lastRow="1" w:firstColumn="0" w:lastColumn="0" w:oddVBand="0" w:evenVBand="0" w:oddHBand="0" w:evenHBand="0" w:firstRowFirstColumn="0" w:firstRowLastColumn="0" w:lastRowFirstColumn="0" w:lastRowLastColumn="0"/>
            </w:pPr>
            <w:r>
              <w:t>–</w:t>
            </w:r>
          </w:p>
        </w:tc>
        <w:tc>
          <w:tcPr>
            <w:cnfStyle w:val="000001000000" w:firstRow="0" w:lastRow="0" w:firstColumn="0" w:lastColumn="0" w:oddVBand="0" w:evenVBand="1" w:oddHBand="0" w:evenHBand="0" w:firstRowFirstColumn="0" w:firstRowLastColumn="0" w:lastRowFirstColumn="0" w:lastRowLastColumn="0"/>
            <w:tcW w:w="433" w:type="pct"/>
            <w:tcBorders>
              <w:top w:val="single" w:sz="4" w:space="0" w:color="A6A6A6" w:themeColor="accent5"/>
            </w:tcBorders>
          </w:tcPr>
          <w:p w14:paraId="35AA6006" w14:textId="77777777" w:rsidR="00DE1FFC" w:rsidRPr="00F36AD0" w:rsidRDefault="00DE1FFC">
            <w:pPr>
              <w:pStyle w:val="ARtabletextright"/>
            </w:pPr>
            <w:r>
              <w:t>24.0</w:t>
            </w:r>
          </w:p>
        </w:tc>
        <w:tc>
          <w:tcPr>
            <w:tcW w:w="444" w:type="pct"/>
            <w:tcBorders>
              <w:top w:val="single" w:sz="4" w:space="0" w:color="A6A6A6" w:themeColor="accent5"/>
            </w:tcBorders>
          </w:tcPr>
          <w:p w14:paraId="64329C6C" w14:textId="77777777" w:rsidR="00DE1FFC" w:rsidRPr="00F36AD0" w:rsidRDefault="00DE1FFC">
            <w:pPr>
              <w:pStyle w:val="ARtabletextright"/>
              <w:cnfStyle w:val="010000000000" w:firstRow="0" w:lastRow="1" w:firstColumn="0" w:lastColumn="0" w:oddVBand="0" w:evenVBand="0" w:oddHBand="0" w:evenHBand="0" w:firstRowFirstColumn="0" w:firstRowLastColumn="0" w:lastRowFirstColumn="0" w:lastRowLastColumn="0"/>
            </w:pPr>
            <w:r>
              <w:t>0.0</w:t>
            </w:r>
          </w:p>
        </w:tc>
        <w:tc>
          <w:tcPr>
            <w:cnfStyle w:val="000001000000" w:firstRow="0" w:lastRow="0" w:firstColumn="0" w:lastColumn="0" w:oddVBand="0" w:evenVBand="1" w:oddHBand="0" w:evenHBand="0" w:firstRowFirstColumn="0" w:firstRowLastColumn="0" w:lastRowFirstColumn="0" w:lastRowLastColumn="0"/>
            <w:tcW w:w="297" w:type="pct"/>
            <w:tcBorders>
              <w:top w:val="single" w:sz="4" w:space="0" w:color="A6A6A6" w:themeColor="accent5"/>
            </w:tcBorders>
          </w:tcPr>
          <w:p w14:paraId="04A7CEB4" w14:textId="77777777" w:rsidR="00DE1FFC" w:rsidRPr="00F36AD0" w:rsidRDefault="00DE1FFC">
            <w:pPr>
              <w:pStyle w:val="ARtabletextright"/>
            </w:pPr>
            <w:r>
              <w:t>0.0</w:t>
            </w:r>
          </w:p>
        </w:tc>
        <w:tc>
          <w:tcPr>
            <w:tcW w:w="553" w:type="pct"/>
            <w:tcBorders>
              <w:top w:val="single" w:sz="4" w:space="0" w:color="A6A6A6" w:themeColor="accent5"/>
            </w:tcBorders>
          </w:tcPr>
          <w:p w14:paraId="34B17F59" w14:textId="6ED2F36E" w:rsidR="00DE1FFC" w:rsidRPr="00F36AD0" w:rsidRDefault="005C1105">
            <w:pPr>
              <w:pStyle w:val="ARtabletextright"/>
              <w:cnfStyle w:val="010000000000" w:firstRow="0" w:lastRow="1" w:firstColumn="0" w:lastColumn="0" w:oddVBand="0" w:evenVBand="0" w:oddHBand="0" w:evenHBand="0" w:firstRowFirstColumn="0" w:firstRowLastColumn="0" w:lastRowFirstColumn="0" w:lastRowLastColumn="0"/>
            </w:pPr>
            <w:r>
              <w:t>–</w:t>
            </w:r>
          </w:p>
        </w:tc>
        <w:tc>
          <w:tcPr>
            <w:cnfStyle w:val="000001000000" w:firstRow="0" w:lastRow="0" w:firstColumn="0" w:lastColumn="0" w:oddVBand="0" w:evenVBand="1" w:oddHBand="0" w:evenHBand="0" w:firstRowFirstColumn="0" w:firstRowLastColumn="0" w:lastRowFirstColumn="0" w:lastRowLastColumn="0"/>
            <w:tcW w:w="611" w:type="pct"/>
            <w:tcBorders>
              <w:top w:val="single" w:sz="4" w:space="0" w:color="A6A6A6" w:themeColor="accent5"/>
            </w:tcBorders>
          </w:tcPr>
          <w:p w14:paraId="186F3667" w14:textId="77777777" w:rsidR="00DE1FFC" w:rsidRPr="00F36AD0" w:rsidRDefault="00DE1FFC">
            <w:pPr>
              <w:pStyle w:val="ARtabletextcentre"/>
            </w:pPr>
          </w:p>
        </w:tc>
      </w:tr>
    </w:tbl>
    <w:p w14:paraId="21925B68" w14:textId="741FEDAB" w:rsidR="0064038E" w:rsidRPr="00415E1C" w:rsidRDefault="0064038E">
      <w:pPr>
        <w:pStyle w:val="ARbody"/>
      </w:pPr>
    </w:p>
    <w:p w14:paraId="14E27EFA" w14:textId="10B86B68" w:rsidR="000E38BD" w:rsidRDefault="000E38BD" w:rsidP="006F0BD4">
      <w:pPr>
        <w:pStyle w:val="ARfintablefootnoteindent"/>
        <w:sectPr w:rsidR="000E38BD" w:rsidSect="007F43B1">
          <w:endnotePr>
            <w:numFmt w:val="decimal"/>
          </w:endnotePr>
          <w:pgSz w:w="16840" w:h="11900" w:orient="landscape" w:code="9"/>
          <w:pgMar w:top="1134" w:right="1134" w:bottom="851" w:left="1134" w:header="510" w:footer="340" w:gutter="0"/>
          <w:cols w:space="448"/>
          <w:docGrid w:linePitch="299"/>
        </w:sectPr>
      </w:pPr>
    </w:p>
    <w:p w14:paraId="3A87AF1A" w14:textId="77777777" w:rsidR="007D61FB" w:rsidRDefault="007D61FB" w:rsidP="00A742C2">
      <w:pPr>
        <w:pStyle w:val="Heading1"/>
      </w:pPr>
      <w:bookmarkStart w:id="115" w:name="_Section_3:_Our"/>
      <w:bookmarkStart w:id="116" w:name="_Toc114491196"/>
      <w:bookmarkStart w:id="117" w:name="_Ref146704120"/>
      <w:bookmarkStart w:id="118" w:name="_Ref178240819"/>
      <w:bookmarkStart w:id="119" w:name="_Toc212039529"/>
      <w:bookmarkStart w:id="120" w:name="_Toc82006198"/>
      <w:bookmarkStart w:id="121" w:name="_Ref492905526"/>
      <w:bookmarkStart w:id="122" w:name="_Toc477967497"/>
      <w:bookmarkEnd w:id="5"/>
      <w:bookmarkEnd w:id="6"/>
      <w:bookmarkEnd w:id="7"/>
      <w:bookmarkEnd w:id="8"/>
      <w:bookmarkEnd w:id="9"/>
      <w:bookmarkEnd w:id="10"/>
      <w:bookmarkEnd w:id="11"/>
      <w:bookmarkEnd w:id="12"/>
      <w:bookmarkEnd w:id="13"/>
      <w:bookmarkEnd w:id="14"/>
      <w:bookmarkEnd w:id="15"/>
      <w:bookmarkEnd w:id="16"/>
      <w:bookmarkEnd w:id="17"/>
      <w:bookmarkEnd w:id="53"/>
      <w:bookmarkEnd w:id="115"/>
      <w:r w:rsidRPr="00A26195">
        <w:lastRenderedPageBreak/>
        <w:t>Section 3: Our workforce</w:t>
      </w:r>
      <w:bookmarkEnd w:id="116"/>
      <w:bookmarkEnd w:id="117"/>
      <w:bookmarkEnd w:id="118"/>
      <w:bookmarkEnd w:id="119"/>
    </w:p>
    <w:p w14:paraId="32A29BD1" w14:textId="2429EEA2" w:rsidR="007D61FB" w:rsidRDefault="007D61FB" w:rsidP="00CD257A">
      <w:pPr>
        <w:pStyle w:val="Heading2"/>
        <w:spacing w:before="0"/>
        <w:rPr>
          <w:color w:val="53565A"/>
        </w:rPr>
      </w:pPr>
      <w:bookmarkStart w:id="123" w:name="_Toc82006197"/>
      <w:bookmarkStart w:id="124" w:name="_Ref111130064"/>
      <w:bookmarkStart w:id="125" w:name="_Ref111194709"/>
      <w:bookmarkStart w:id="126" w:name="_Toc114491197"/>
      <w:bookmarkStart w:id="127" w:name="_Ref178175981"/>
      <w:bookmarkStart w:id="128" w:name="_Toc212039530"/>
      <w:r w:rsidRPr="007D7E50">
        <w:t>Public</w:t>
      </w:r>
      <w:r w:rsidRPr="00A26195">
        <w:t xml:space="preserve"> sector values and employment principles</w:t>
      </w:r>
      <w:bookmarkEnd w:id="123"/>
      <w:bookmarkEnd w:id="124"/>
      <w:bookmarkEnd w:id="125"/>
      <w:bookmarkEnd w:id="126"/>
      <w:bookmarkEnd w:id="127"/>
      <w:bookmarkEnd w:id="128"/>
    </w:p>
    <w:p w14:paraId="1E56AB4A" w14:textId="77777777" w:rsidR="007D61FB" w:rsidRPr="00B3051F" w:rsidRDefault="007D61FB" w:rsidP="007D7E50">
      <w:pPr>
        <w:pStyle w:val="Heading2"/>
        <w:sectPr w:rsidR="007D61FB" w:rsidRPr="00B3051F" w:rsidSect="007F43B1">
          <w:footerReference w:type="default" r:id="rId76"/>
          <w:endnotePr>
            <w:numFmt w:val="decimal"/>
          </w:endnotePr>
          <w:pgSz w:w="11900" w:h="16840" w:code="9"/>
          <w:pgMar w:top="1588" w:right="1134" w:bottom="851" w:left="1134" w:header="510" w:footer="340" w:gutter="0"/>
          <w:cols w:space="448"/>
          <w:docGrid w:linePitch="299"/>
        </w:sectPr>
      </w:pPr>
    </w:p>
    <w:p w14:paraId="66A003F7" w14:textId="77777777" w:rsidR="00F844B4" w:rsidRPr="00DC2A3C" w:rsidRDefault="00F844B4">
      <w:pPr>
        <w:pStyle w:val="ARbody"/>
      </w:pPr>
      <w:r w:rsidRPr="00DC2A3C">
        <w:t xml:space="preserve">The </w:t>
      </w:r>
      <w:bookmarkStart w:id="129" w:name="PAA77"/>
      <w:r w:rsidRPr="000763F6">
        <w:rPr>
          <w:rStyle w:val="Emphasis"/>
        </w:rPr>
        <w:t>Public Administration Act 2004</w:t>
      </w:r>
      <w:bookmarkEnd w:id="129"/>
      <w:r w:rsidRPr="00DC2A3C">
        <w:t xml:space="preserve"> sets out the values and employment principles that apply to the Victorian public sector.</w:t>
      </w:r>
    </w:p>
    <w:p w14:paraId="23C50009" w14:textId="7862D985" w:rsidR="00F844B4" w:rsidRDefault="00F844B4">
      <w:pPr>
        <w:pStyle w:val="ARbody"/>
      </w:pPr>
      <w:r w:rsidRPr="00DC2A3C">
        <w:t>This includes the values of responsiveness, integrity, impartiality, accountability, respect, leadership and human rights. These values underpin our</w:t>
      </w:r>
      <w:r w:rsidR="00B27722">
        <w:t xml:space="preserve"> </w:t>
      </w:r>
      <w:r w:rsidRPr="00DC2A3C">
        <w:t>work</w:t>
      </w:r>
      <w:r>
        <w:t xml:space="preserve"> with</w:t>
      </w:r>
      <w:r w:rsidRPr="00DC2A3C">
        <w:t xml:space="preserve"> colleagues, clients and in</w:t>
      </w:r>
      <w:r w:rsidR="00173979">
        <w:t> </w:t>
      </w:r>
      <w:r w:rsidRPr="00DC2A3C">
        <w:t>the community.</w:t>
      </w:r>
    </w:p>
    <w:p w14:paraId="579F22EC" w14:textId="557F5E01" w:rsidR="00F844B4" w:rsidRPr="00DC2A3C" w:rsidRDefault="00F844B4">
      <w:pPr>
        <w:pStyle w:val="ARbody"/>
      </w:pPr>
      <w:r>
        <w:t>The values</w:t>
      </w:r>
      <w:r w:rsidRPr="00DC2A3C">
        <w:t xml:space="preserve"> define what is important to our organisation and how we do things. They also flow through our governance arrangements</w:t>
      </w:r>
      <w:r>
        <w:t>. Our values</w:t>
      </w:r>
      <w:r w:rsidR="00173979">
        <w:t> </w:t>
      </w:r>
      <w:r w:rsidRPr="00DC2A3C">
        <w:t xml:space="preserve">ensure </w:t>
      </w:r>
      <w:r>
        <w:t>we make decisions</w:t>
      </w:r>
      <w:r w:rsidRPr="00DC2A3C">
        <w:t xml:space="preserve"> based on sound</w:t>
      </w:r>
      <w:r w:rsidR="00173979">
        <w:t> </w:t>
      </w:r>
      <w:r w:rsidRPr="00DC2A3C">
        <w:t>judgements.</w:t>
      </w:r>
    </w:p>
    <w:p w14:paraId="0F0BA6C8" w14:textId="12462F1F" w:rsidR="00F844B4" w:rsidRDefault="00F844B4">
      <w:pPr>
        <w:pStyle w:val="ARbody"/>
      </w:pPr>
      <w:r w:rsidRPr="00DC2A3C">
        <w:t xml:space="preserve">We embed </w:t>
      </w:r>
      <w:r>
        <w:t>the</w:t>
      </w:r>
      <w:r w:rsidRPr="00DC2A3C">
        <w:t xml:space="preserve"> values throughout the department.</w:t>
      </w:r>
    </w:p>
    <w:p w14:paraId="4D0A0179" w14:textId="7AFCCD95" w:rsidR="00F844B4" w:rsidRDefault="00F844B4">
      <w:pPr>
        <w:pStyle w:val="ARbody"/>
      </w:pPr>
      <w:r>
        <w:t>They inform:</w:t>
      </w:r>
      <w:r w:rsidRPr="00DC2A3C">
        <w:t xml:space="preserve"> </w:t>
      </w:r>
    </w:p>
    <w:p w14:paraId="13E76F5A" w14:textId="4F67C6BD" w:rsidR="00F844B4" w:rsidRDefault="00F844B4" w:rsidP="00F375A6">
      <w:pPr>
        <w:pStyle w:val="ARbullet1"/>
        <w:numPr>
          <w:ilvl w:val="0"/>
          <w:numId w:val="22"/>
        </w:numPr>
      </w:pPr>
      <w:r>
        <w:t xml:space="preserve">our </w:t>
      </w:r>
      <w:r w:rsidRPr="00DC2A3C">
        <w:t>response to the annual People Matter Survey results</w:t>
      </w:r>
    </w:p>
    <w:p w14:paraId="30A794DB" w14:textId="5B402164" w:rsidR="00F844B4" w:rsidRDefault="00F844B4" w:rsidP="00F375A6">
      <w:pPr>
        <w:pStyle w:val="ARbullet1"/>
        <w:numPr>
          <w:ilvl w:val="0"/>
          <w:numId w:val="22"/>
        </w:numPr>
      </w:pPr>
      <w:r w:rsidRPr="00DC2A3C">
        <w:t>performance and development planning</w:t>
      </w:r>
    </w:p>
    <w:p w14:paraId="28066223" w14:textId="464DE646" w:rsidR="00F844B4" w:rsidRDefault="00F844B4" w:rsidP="00F375A6">
      <w:pPr>
        <w:pStyle w:val="ARbullet1"/>
        <w:numPr>
          <w:ilvl w:val="0"/>
          <w:numId w:val="22"/>
        </w:numPr>
      </w:pPr>
      <w:r w:rsidRPr="00DC2A3C">
        <w:t>learning and development programs</w:t>
      </w:r>
    </w:p>
    <w:p w14:paraId="17EFA49F" w14:textId="77777777" w:rsidR="00F844B4" w:rsidRDefault="00F844B4" w:rsidP="00F375A6">
      <w:pPr>
        <w:pStyle w:val="ARbullet1"/>
        <w:numPr>
          <w:ilvl w:val="0"/>
          <w:numId w:val="22"/>
        </w:numPr>
      </w:pPr>
      <w:r w:rsidRPr="00DC2A3C">
        <w:t xml:space="preserve">how we resolve workplace issues. </w:t>
      </w:r>
    </w:p>
    <w:p w14:paraId="5F8B1B50" w14:textId="5C20D725" w:rsidR="00F844B4" w:rsidRPr="00DC2A3C" w:rsidRDefault="00F844B4" w:rsidP="005101DA">
      <w:pPr>
        <w:pStyle w:val="ARbodyafterbullets"/>
      </w:pPr>
      <w:r>
        <w:t>We also advise</w:t>
      </w:r>
      <w:r w:rsidRPr="00DC2A3C">
        <w:t xml:space="preserve"> our employees on matters of ethics and integrity</w:t>
      </w:r>
      <w:r>
        <w:t xml:space="preserve">. This includes </w:t>
      </w:r>
      <w:r w:rsidRPr="00DC2A3C">
        <w:t>how to avoid conflicts of interest and how to respond to offers of gifts.</w:t>
      </w:r>
    </w:p>
    <w:p w14:paraId="76A3A4B3" w14:textId="5133DC73" w:rsidR="00F844B4" w:rsidRPr="00DC2A3C" w:rsidRDefault="00F844B4">
      <w:pPr>
        <w:pStyle w:val="ARbody"/>
      </w:pPr>
      <w:r w:rsidRPr="00DC2A3C">
        <w:t xml:space="preserve">The department’s policies and practices are consistent with Victorian public sector employment principles and standards. We </w:t>
      </w:r>
      <w:r>
        <w:t>apply</w:t>
      </w:r>
      <w:r w:rsidRPr="00DC2A3C">
        <w:t xml:space="preserve"> merit and equity principles to</w:t>
      </w:r>
      <w:r>
        <w:t xml:space="preserve"> </w:t>
      </w:r>
      <w:r w:rsidRPr="00DC2A3C">
        <w:t>all employment policies, programs and resources</w:t>
      </w:r>
      <w:r>
        <w:t>. We</w:t>
      </w:r>
      <w:r w:rsidRPr="00DC2A3C">
        <w:t xml:space="preserve"> provide fair treatment and</w:t>
      </w:r>
      <w:r>
        <w:t xml:space="preserve"> </w:t>
      </w:r>
      <w:r w:rsidRPr="00DC2A3C">
        <w:t>career</w:t>
      </w:r>
      <w:r>
        <w:t xml:space="preserve"> </w:t>
      </w:r>
      <w:r w:rsidRPr="00DC2A3C">
        <w:t>opportunities</w:t>
      </w:r>
      <w:r>
        <w:t xml:space="preserve"> for all our staff</w:t>
      </w:r>
      <w:r w:rsidRPr="00DC2A3C">
        <w:t>.</w:t>
      </w:r>
    </w:p>
    <w:p w14:paraId="7EF262A8" w14:textId="77777777" w:rsidR="00F844B4" w:rsidRPr="00DC2A3C" w:rsidRDefault="00F844B4">
      <w:pPr>
        <w:pStyle w:val="Heading3"/>
        <w:rPr>
          <w:rFonts w:cs="Arial"/>
        </w:rPr>
      </w:pPr>
      <w:r w:rsidRPr="00DC2A3C">
        <w:rPr>
          <w:rFonts w:cs="Arial"/>
        </w:rPr>
        <w:t>Our people</w:t>
      </w:r>
    </w:p>
    <w:p w14:paraId="33BFBC25" w14:textId="71107212" w:rsidR="00F844B4" w:rsidRPr="00DC2A3C" w:rsidRDefault="00F844B4">
      <w:pPr>
        <w:pStyle w:val="ARbody"/>
      </w:pPr>
      <w:r w:rsidRPr="00DC2A3C">
        <w:t xml:space="preserve">The department’s people work </w:t>
      </w:r>
      <w:r>
        <w:t>in diverse fields. These include</w:t>
      </w:r>
      <w:r w:rsidRPr="00DC2A3C">
        <w:t xml:space="preserve"> child protection, housing, disability, </w:t>
      </w:r>
      <w:r>
        <w:t>preventing</w:t>
      </w:r>
      <w:r w:rsidRPr="00DC2A3C">
        <w:t xml:space="preserve"> family violence, LGBTIQA+ equality, seniors, carers, veterans, women and youth.</w:t>
      </w:r>
    </w:p>
    <w:p w14:paraId="1E90EF0A" w14:textId="7AF482A7" w:rsidR="00F844B4" w:rsidRPr="00DC2A3C" w:rsidRDefault="00F844B4">
      <w:pPr>
        <w:pStyle w:val="ARbody"/>
      </w:pPr>
      <w:r w:rsidRPr="00DC2A3C">
        <w:t xml:space="preserve">Our </w:t>
      </w:r>
      <w:r w:rsidRPr="000763F6">
        <w:rPr>
          <w:rStyle w:val="Emphasis"/>
        </w:rPr>
        <w:t>People strategy 2024–2026</w:t>
      </w:r>
      <w:r w:rsidRPr="00DC2A3C">
        <w:t xml:space="preserve"> </w:t>
      </w:r>
      <w:r>
        <w:t>sets out our</w:t>
      </w:r>
      <w:r w:rsidRPr="00DC2A3C">
        <w:t xml:space="preserve"> priorities </w:t>
      </w:r>
      <w:r>
        <w:t xml:space="preserve">for </w:t>
      </w:r>
      <w:r w:rsidRPr="00DC2A3C">
        <w:t>address</w:t>
      </w:r>
      <w:r>
        <w:t>ing</w:t>
      </w:r>
      <w:r w:rsidRPr="00DC2A3C">
        <w:t xml:space="preserve"> </w:t>
      </w:r>
      <w:r>
        <w:t xml:space="preserve">our </w:t>
      </w:r>
      <w:r w:rsidRPr="00DC2A3C">
        <w:t xml:space="preserve">challenges. These priorities </w:t>
      </w:r>
      <w:r>
        <w:t>help us maintain</w:t>
      </w:r>
      <w:r w:rsidRPr="00DC2A3C">
        <w:t xml:space="preserve"> a strong organisation</w:t>
      </w:r>
      <w:r>
        <w:t xml:space="preserve">. This means our </w:t>
      </w:r>
      <w:r w:rsidRPr="00DC2A3C">
        <w:t xml:space="preserve">people are safe, roles are </w:t>
      </w:r>
      <w:proofErr w:type="gramStart"/>
      <w:r w:rsidRPr="00DC2A3C">
        <w:t>filled</w:t>
      </w:r>
      <w:proofErr w:type="gramEnd"/>
      <w:r w:rsidRPr="00DC2A3C">
        <w:t xml:space="preserve"> and</w:t>
      </w:r>
      <w:r w:rsidR="00523252">
        <w:t> </w:t>
      </w:r>
      <w:r>
        <w:t>employees</w:t>
      </w:r>
      <w:r w:rsidRPr="00DC2A3C">
        <w:t xml:space="preserve"> stay because of our culture. </w:t>
      </w:r>
      <w:r w:rsidR="007D7E50">
        <w:br w:type="column"/>
      </w:r>
      <w:r w:rsidRPr="00DC2A3C">
        <w:t xml:space="preserve">The strategy </w:t>
      </w:r>
      <w:r>
        <w:t xml:space="preserve">aims to create </w:t>
      </w:r>
      <w:r w:rsidRPr="00DC2A3C">
        <w:t xml:space="preserve">a workforce where </w:t>
      </w:r>
      <w:r>
        <w:t xml:space="preserve">our people have </w:t>
      </w:r>
      <w:r w:rsidRPr="00DC2A3C">
        <w:t xml:space="preserve">positive </w:t>
      </w:r>
      <w:r>
        <w:t xml:space="preserve">experiences. It is a diverse workforce with the </w:t>
      </w:r>
      <w:r w:rsidRPr="00DC2A3C">
        <w:t xml:space="preserve">capacity and capability </w:t>
      </w:r>
      <w:r>
        <w:t>to deliver vital services for all Victorians</w:t>
      </w:r>
      <w:r w:rsidRPr="00DC2A3C">
        <w:t>.</w:t>
      </w:r>
    </w:p>
    <w:p w14:paraId="392F0BA7" w14:textId="77777777" w:rsidR="00F844B4" w:rsidRPr="00DC2A3C" w:rsidRDefault="00F844B4" w:rsidP="00F844B4">
      <w:pPr>
        <w:pStyle w:val="ARbody"/>
        <w:keepNext/>
        <w:keepLines/>
      </w:pPr>
      <w:r w:rsidRPr="00DC2A3C">
        <w:t>Highlights for the year include:</w:t>
      </w:r>
    </w:p>
    <w:p w14:paraId="5CDEE846" w14:textId="1D61AD5B" w:rsidR="00F844B4" w:rsidRPr="00DC2A3C" w:rsidRDefault="00F844B4" w:rsidP="00F375A6">
      <w:pPr>
        <w:pStyle w:val="ARbullet1"/>
        <w:numPr>
          <w:ilvl w:val="0"/>
          <w:numId w:val="22"/>
        </w:numPr>
        <w:spacing w:line="240" w:lineRule="atLeast"/>
      </w:pPr>
      <w:r>
        <w:t>implementing</w:t>
      </w:r>
      <w:r w:rsidRPr="00DC2A3C">
        <w:t xml:space="preserve"> the department’s </w:t>
      </w:r>
      <w:r w:rsidRPr="000763F6">
        <w:rPr>
          <w:rStyle w:val="Emphasis"/>
        </w:rPr>
        <w:t>Aboriginal workforce strategy 2021–2026</w:t>
      </w:r>
      <w:r w:rsidRPr="00DC2A3C">
        <w:t xml:space="preserve"> and Aboriginal and Torres Strait Islander Cultural Safety</w:t>
      </w:r>
      <w:r w:rsidR="00AF1596">
        <w:t> </w:t>
      </w:r>
      <w:r w:rsidRPr="00DC2A3C">
        <w:t>Framework</w:t>
      </w:r>
    </w:p>
    <w:p w14:paraId="6E81A0C4" w14:textId="380BD4F4" w:rsidR="00F844B4" w:rsidRPr="00DC2A3C" w:rsidRDefault="00F844B4" w:rsidP="00F375A6">
      <w:pPr>
        <w:pStyle w:val="ARbullet1"/>
        <w:numPr>
          <w:ilvl w:val="0"/>
          <w:numId w:val="22"/>
        </w:numPr>
        <w:spacing w:line="240" w:lineRule="atLeast"/>
      </w:pPr>
      <w:r>
        <w:t>implementing</w:t>
      </w:r>
      <w:r w:rsidRPr="00DC2A3C">
        <w:t xml:space="preserve"> the </w:t>
      </w:r>
      <w:r w:rsidRPr="000763F6">
        <w:rPr>
          <w:rStyle w:val="Emphasis"/>
        </w:rPr>
        <w:t>Gender equality action plan 2022–2025</w:t>
      </w:r>
      <w:r>
        <w:t xml:space="preserve">. This supports our </w:t>
      </w:r>
      <w:r w:rsidRPr="00DC2A3C">
        <w:t xml:space="preserve">obligations under the </w:t>
      </w:r>
      <w:r w:rsidRPr="000763F6">
        <w:rPr>
          <w:rStyle w:val="Emphasis"/>
        </w:rPr>
        <w:t>Gender Equality Act 2020</w:t>
      </w:r>
      <w:r w:rsidRPr="00DC2A3C">
        <w:t xml:space="preserve"> </w:t>
      </w:r>
    </w:p>
    <w:p w14:paraId="7E016926" w14:textId="36AB43C0" w:rsidR="00F844B4" w:rsidRPr="00DC2A3C" w:rsidRDefault="00F844B4" w:rsidP="00F375A6">
      <w:pPr>
        <w:pStyle w:val="ARbullet1"/>
        <w:numPr>
          <w:ilvl w:val="0"/>
          <w:numId w:val="22"/>
        </w:numPr>
        <w:spacing w:line="240" w:lineRule="atLeast"/>
      </w:pPr>
      <w:r>
        <w:t>delivering</w:t>
      </w:r>
      <w:r w:rsidRPr="00DC2A3C">
        <w:t xml:space="preserve"> programs under the </w:t>
      </w:r>
      <w:r w:rsidRPr="000763F6">
        <w:rPr>
          <w:rStyle w:val="Emphasis"/>
        </w:rPr>
        <w:t>Diversity and inclusion framework 2022–2027</w:t>
      </w:r>
    </w:p>
    <w:p w14:paraId="172BD104" w14:textId="4E024C0B" w:rsidR="00F844B4" w:rsidRPr="00DC2A3C" w:rsidRDefault="00F844B4" w:rsidP="00F375A6">
      <w:pPr>
        <w:pStyle w:val="ARbullet1"/>
        <w:numPr>
          <w:ilvl w:val="0"/>
          <w:numId w:val="22"/>
        </w:numPr>
        <w:spacing w:line="240" w:lineRule="atLeast"/>
      </w:pPr>
      <w:r>
        <w:t xml:space="preserve">responding to </w:t>
      </w:r>
      <w:r w:rsidRPr="00DC2A3C">
        <w:t>the People Matter Survey</w:t>
      </w:r>
      <w:r w:rsidRPr="00DC2A3C" w:rsidDel="00B06286">
        <w:t xml:space="preserve"> </w:t>
      </w:r>
      <w:r w:rsidRPr="00DC2A3C">
        <w:t xml:space="preserve">2024, including </w:t>
      </w:r>
      <w:r>
        <w:t xml:space="preserve">providing </w:t>
      </w:r>
      <w:r w:rsidRPr="00DC2A3C">
        <w:t xml:space="preserve">customised support for teams to </w:t>
      </w:r>
      <w:r>
        <w:t>build</w:t>
      </w:r>
      <w:r w:rsidRPr="00DC2A3C">
        <w:t xml:space="preserve"> workplace culture and improve safety </w:t>
      </w:r>
      <w:r>
        <w:t>and workforce civility</w:t>
      </w:r>
    </w:p>
    <w:p w14:paraId="06FE43D3" w14:textId="77CD5320" w:rsidR="00F844B4" w:rsidRPr="00DC2A3C" w:rsidRDefault="00F844B4" w:rsidP="00F375A6">
      <w:pPr>
        <w:pStyle w:val="ARbullet1"/>
        <w:numPr>
          <w:ilvl w:val="0"/>
          <w:numId w:val="22"/>
        </w:numPr>
        <w:spacing w:line="240" w:lineRule="atLeast"/>
      </w:pPr>
      <w:r w:rsidRPr="00DC2A3C">
        <w:t xml:space="preserve">ensuring </w:t>
      </w:r>
      <w:r>
        <w:t>our people can</w:t>
      </w:r>
      <w:r w:rsidRPr="00DC2A3C">
        <w:t xml:space="preserve"> access learning and career development opportunities through the learning management system and corporate training calendar</w:t>
      </w:r>
    </w:p>
    <w:p w14:paraId="637CA00F" w14:textId="531052D9" w:rsidR="00F844B4" w:rsidRPr="00DC2A3C" w:rsidRDefault="00F844B4" w:rsidP="00F375A6">
      <w:pPr>
        <w:pStyle w:val="ARbullet1"/>
        <w:numPr>
          <w:ilvl w:val="0"/>
          <w:numId w:val="22"/>
        </w:numPr>
        <w:spacing w:line="240" w:lineRule="atLeast"/>
      </w:pPr>
      <w:r>
        <w:t xml:space="preserve">supporting </w:t>
      </w:r>
      <w:r w:rsidRPr="00DC2A3C">
        <w:t xml:space="preserve">employees’ mental health and wellbeing through </w:t>
      </w:r>
      <w:r>
        <w:t>w</w:t>
      </w:r>
      <w:r w:rsidRPr="00DC2A3C">
        <w:t xml:space="preserve">ellbeing </w:t>
      </w:r>
      <w:r>
        <w:t>w</w:t>
      </w:r>
      <w:r w:rsidRPr="00DC2A3C">
        <w:t>ebinars and health, safety and wellbeing programs</w:t>
      </w:r>
    </w:p>
    <w:p w14:paraId="3F15584F" w14:textId="3723A583" w:rsidR="00F844B4" w:rsidRPr="00DC2A3C" w:rsidRDefault="00F844B4" w:rsidP="00F375A6">
      <w:pPr>
        <w:pStyle w:val="ARbullet1"/>
        <w:numPr>
          <w:ilvl w:val="0"/>
          <w:numId w:val="22"/>
        </w:numPr>
        <w:spacing w:line="240" w:lineRule="atLeast"/>
      </w:pPr>
      <w:r>
        <w:t>introducing</w:t>
      </w:r>
      <w:r w:rsidRPr="00DC2A3C">
        <w:t xml:space="preserve"> mandatory goals in </w:t>
      </w:r>
      <w:r>
        <w:t>p</w:t>
      </w:r>
      <w:r w:rsidRPr="00DC2A3C">
        <w:t xml:space="preserve">erformance and </w:t>
      </w:r>
      <w:r>
        <w:t>de</w:t>
      </w:r>
      <w:r w:rsidRPr="00DC2A3C">
        <w:t xml:space="preserve">velopment </w:t>
      </w:r>
      <w:r>
        <w:t>p</w:t>
      </w:r>
      <w:r w:rsidRPr="00DC2A3C">
        <w:t xml:space="preserve">lans (PDPs) to better align </w:t>
      </w:r>
      <w:r>
        <w:t>employee</w:t>
      </w:r>
      <w:r w:rsidRPr="00DC2A3C">
        <w:t xml:space="preserve"> performance and development goals with departmental priorities</w:t>
      </w:r>
    </w:p>
    <w:p w14:paraId="30E9A804" w14:textId="0077D870" w:rsidR="00F844B4" w:rsidRPr="00DC2A3C" w:rsidRDefault="00F844B4" w:rsidP="00F375A6">
      <w:pPr>
        <w:pStyle w:val="ARbullet1"/>
        <w:numPr>
          <w:ilvl w:val="0"/>
          <w:numId w:val="22"/>
        </w:numPr>
        <w:spacing w:line="240" w:lineRule="atLeast"/>
      </w:pPr>
      <w:r w:rsidRPr="00DC2A3C">
        <w:t>linking required Compliance Essentials eLearning modules to PDP outcomes</w:t>
      </w:r>
      <w:r>
        <w:t xml:space="preserve">. This supports </w:t>
      </w:r>
      <w:r w:rsidRPr="00DC2A3C">
        <w:t>staff to complete essential training</w:t>
      </w:r>
    </w:p>
    <w:p w14:paraId="0EDF68B7" w14:textId="0B446FFA" w:rsidR="00F844B4" w:rsidRPr="00DC2A3C" w:rsidRDefault="00F844B4" w:rsidP="00F375A6">
      <w:pPr>
        <w:pStyle w:val="ARbullet1"/>
        <w:numPr>
          <w:ilvl w:val="0"/>
          <w:numId w:val="22"/>
        </w:numPr>
        <w:spacing w:line="240" w:lineRule="atLeast"/>
      </w:pPr>
      <w:r w:rsidRPr="00DC2A3C">
        <w:t>deliver</w:t>
      </w:r>
      <w:r>
        <w:t>ing</w:t>
      </w:r>
      <w:r w:rsidRPr="00DC2A3C">
        <w:t xml:space="preserve"> regular orientation programs and integrity sessions for new starters </w:t>
      </w:r>
    </w:p>
    <w:p w14:paraId="2BC0DDFE" w14:textId="59C638F6" w:rsidR="007D7E50" w:rsidRDefault="00F844B4" w:rsidP="00F375A6">
      <w:pPr>
        <w:pStyle w:val="ARbullet1"/>
        <w:numPr>
          <w:ilvl w:val="0"/>
          <w:numId w:val="22"/>
        </w:numPr>
        <w:spacing w:line="240" w:lineRule="atLeast"/>
      </w:pPr>
      <w:r>
        <w:t>updating and improving</w:t>
      </w:r>
      <w:r w:rsidRPr="00DC2A3C">
        <w:t xml:space="preserve"> </w:t>
      </w:r>
      <w:r>
        <w:t xml:space="preserve">the </w:t>
      </w:r>
      <w:r w:rsidRPr="00DC2A3C">
        <w:t>Change Hub and</w:t>
      </w:r>
      <w:r w:rsidR="00523252">
        <w:t> </w:t>
      </w:r>
      <w:r w:rsidRPr="00DC2A3C">
        <w:t>Careers Support Hub.</w:t>
      </w:r>
      <w:r w:rsidR="007D7E50">
        <w:br w:type="page"/>
      </w:r>
    </w:p>
    <w:p w14:paraId="211124E1" w14:textId="77777777" w:rsidR="00F844B4" w:rsidRPr="00DC2A3C" w:rsidRDefault="00F844B4" w:rsidP="00E736AE">
      <w:pPr>
        <w:pStyle w:val="Heading3"/>
        <w:spacing w:before="100" w:beforeAutospacing="1"/>
        <w:rPr>
          <w:rFonts w:cs="Arial"/>
        </w:rPr>
      </w:pPr>
      <w:r w:rsidRPr="00DC2A3C">
        <w:rPr>
          <w:rFonts w:cs="Arial"/>
        </w:rPr>
        <w:lastRenderedPageBreak/>
        <w:t>Capability development</w:t>
      </w:r>
    </w:p>
    <w:p w14:paraId="29C089C8" w14:textId="1B20158F" w:rsidR="00F844B4" w:rsidRPr="00DC2A3C" w:rsidRDefault="00F844B4">
      <w:pPr>
        <w:pStyle w:val="ARbody"/>
      </w:pPr>
      <w:bookmarkStart w:id="130" w:name="_Ref525208139"/>
      <w:r w:rsidRPr="00DC2A3C">
        <w:t>During 2024</w:t>
      </w:r>
      <w:r>
        <w:t>–</w:t>
      </w:r>
      <w:r w:rsidRPr="00DC2A3C">
        <w:t>25, we delivered 261 corporate learning and development programs and 41</w:t>
      </w:r>
      <w:r>
        <w:t> </w:t>
      </w:r>
      <w:r w:rsidRPr="00DC2A3C">
        <w:t>webinar sessions to</w:t>
      </w:r>
      <w:r>
        <w:t xml:space="preserve"> </w:t>
      </w:r>
      <w:r w:rsidRPr="00DC2A3C">
        <w:t>support staff working remotely.</w:t>
      </w:r>
    </w:p>
    <w:p w14:paraId="5A72806B" w14:textId="32B24C60" w:rsidR="00F844B4" w:rsidRPr="00DC2A3C" w:rsidRDefault="00F844B4">
      <w:pPr>
        <w:pStyle w:val="ARbody"/>
      </w:pPr>
      <w:r w:rsidRPr="00DC2A3C">
        <w:t>Learning and development offerings aim to build the department’s capability and performance</w:t>
      </w:r>
      <w:r>
        <w:t>. This includes</w:t>
      </w:r>
      <w:r w:rsidRPr="00DC2A3C">
        <w:t xml:space="preserve"> in client service delivery, policy implementation, program management and compliance</w:t>
      </w:r>
      <w:r>
        <w:t>. These a</w:t>
      </w:r>
      <w:r w:rsidRPr="00DC2A3C">
        <w:t>re underpinned by the department’s capability framework.</w:t>
      </w:r>
    </w:p>
    <w:p w14:paraId="75B55CA3" w14:textId="235C52AA" w:rsidR="00F844B4" w:rsidRPr="00DC2A3C" w:rsidRDefault="00F844B4">
      <w:pPr>
        <w:pStyle w:val="ARbody"/>
      </w:pPr>
      <w:r>
        <w:t>W</w:t>
      </w:r>
      <w:r w:rsidRPr="00DC2A3C">
        <w:t xml:space="preserve">orkforce capability </w:t>
      </w:r>
      <w:r>
        <w:t>activities focused</w:t>
      </w:r>
      <w:r w:rsidRPr="00DC2A3C">
        <w:t xml:space="preserve"> on:</w:t>
      </w:r>
    </w:p>
    <w:p w14:paraId="49AFDC44" w14:textId="77777777" w:rsidR="00F844B4" w:rsidRPr="00DC2A3C" w:rsidRDefault="00F844B4" w:rsidP="00F375A6">
      <w:pPr>
        <w:pStyle w:val="ARbullet1"/>
        <w:numPr>
          <w:ilvl w:val="0"/>
          <w:numId w:val="22"/>
        </w:numPr>
      </w:pPr>
      <w:r w:rsidRPr="00DC2A3C">
        <w:t>service delivery</w:t>
      </w:r>
    </w:p>
    <w:p w14:paraId="7AA1EAB3" w14:textId="77777777" w:rsidR="00F844B4" w:rsidRPr="00DC2A3C" w:rsidRDefault="00F844B4" w:rsidP="00F375A6">
      <w:pPr>
        <w:pStyle w:val="ARbullet1"/>
        <w:numPr>
          <w:ilvl w:val="0"/>
          <w:numId w:val="22"/>
        </w:numPr>
      </w:pPr>
      <w:r w:rsidRPr="00DC2A3C">
        <w:t>practice development</w:t>
      </w:r>
    </w:p>
    <w:p w14:paraId="30B5D89A" w14:textId="77777777" w:rsidR="00F844B4" w:rsidRPr="00DC2A3C" w:rsidRDefault="00F844B4" w:rsidP="00F375A6">
      <w:pPr>
        <w:pStyle w:val="ARbullet1"/>
        <w:numPr>
          <w:ilvl w:val="0"/>
          <w:numId w:val="22"/>
        </w:numPr>
      </w:pPr>
      <w:r w:rsidRPr="00DC2A3C">
        <w:t>positive workplace culture</w:t>
      </w:r>
    </w:p>
    <w:p w14:paraId="4B436449" w14:textId="77777777" w:rsidR="00F844B4" w:rsidRPr="00DC2A3C" w:rsidRDefault="00F844B4" w:rsidP="00F375A6">
      <w:pPr>
        <w:pStyle w:val="ARbullet1"/>
        <w:numPr>
          <w:ilvl w:val="0"/>
          <w:numId w:val="22"/>
        </w:numPr>
      </w:pPr>
      <w:r w:rsidRPr="00DC2A3C">
        <w:t>health, safety and wellbeing</w:t>
      </w:r>
    </w:p>
    <w:p w14:paraId="736B2446" w14:textId="77777777" w:rsidR="00F844B4" w:rsidRPr="00DC2A3C" w:rsidRDefault="00F844B4" w:rsidP="00F375A6">
      <w:pPr>
        <w:pStyle w:val="ARbullet1"/>
        <w:numPr>
          <w:ilvl w:val="0"/>
          <w:numId w:val="22"/>
        </w:numPr>
      </w:pPr>
      <w:r w:rsidRPr="00DC2A3C">
        <w:t>equality, diversity and inclusion</w:t>
      </w:r>
    </w:p>
    <w:p w14:paraId="705B96E0" w14:textId="77777777" w:rsidR="00F844B4" w:rsidRPr="00DC2A3C" w:rsidRDefault="00F844B4" w:rsidP="00F375A6">
      <w:pPr>
        <w:pStyle w:val="ARbullet1"/>
        <w:numPr>
          <w:ilvl w:val="0"/>
          <w:numId w:val="22"/>
        </w:numPr>
      </w:pPr>
      <w:r w:rsidRPr="00DC2A3C">
        <w:t>Aboriginal cultural safety</w:t>
      </w:r>
    </w:p>
    <w:p w14:paraId="04B7FC8D" w14:textId="77777777" w:rsidR="00F844B4" w:rsidRPr="00DC2A3C" w:rsidRDefault="00F844B4" w:rsidP="00F375A6">
      <w:pPr>
        <w:pStyle w:val="ARbullet1"/>
        <w:numPr>
          <w:ilvl w:val="0"/>
          <w:numId w:val="22"/>
        </w:numPr>
      </w:pPr>
      <w:r w:rsidRPr="00DC2A3C">
        <w:t>leadership and management</w:t>
      </w:r>
    </w:p>
    <w:p w14:paraId="2160535D" w14:textId="77777777" w:rsidR="00F844B4" w:rsidRPr="00DC2A3C" w:rsidRDefault="00F844B4" w:rsidP="00F375A6">
      <w:pPr>
        <w:pStyle w:val="ARbullet1"/>
        <w:numPr>
          <w:ilvl w:val="0"/>
          <w:numId w:val="22"/>
        </w:numPr>
      </w:pPr>
      <w:r w:rsidRPr="00DC2A3C">
        <w:t>writing and communication</w:t>
      </w:r>
    </w:p>
    <w:p w14:paraId="076ADBB9" w14:textId="77777777" w:rsidR="00F844B4" w:rsidRPr="00DC2A3C" w:rsidRDefault="00F844B4" w:rsidP="00F375A6">
      <w:pPr>
        <w:pStyle w:val="ARbullet1"/>
        <w:numPr>
          <w:ilvl w:val="0"/>
          <w:numId w:val="22"/>
        </w:numPr>
      </w:pPr>
      <w:r w:rsidRPr="00DC2A3C">
        <w:t>project management</w:t>
      </w:r>
    </w:p>
    <w:p w14:paraId="297BFFE1" w14:textId="77777777" w:rsidR="00F844B4" w:rsidRPr="00DC2A3C" w:rsidRDefault="00F844B4" w:rsidP="00F375A6">
      <w:pPr>
        <w:pStyle w:val="ARbullet1"/>
        <w:numPr>
          <w:ilvl w:val="0"/>
          <w:numId w:val="22"/>
        </w:numPr>
      </w:pPr>
      <w:r w:rsidRPr="00DC2A3C">
        <w:t>software and systems</w:t>
      </w:r>
    </w:p>
    <w:p w14:paraId="15143302" w14:textId="77777777" w:rsidR="00F844B4" w:rsidRPr="00DC2A3C" w:rsidRDefault="00F844B4" w:rsidP="00F375A6">
      <w:pPr>
        <w:pStyle w:val="ARbullet1"/>
        <w:numPr>
          <w:ilvl w:val="0"/>
          <w:numId w:val="22"/>
        </w:numPr>
      </w:pPr>
      <w:r w:rsidRPr="00DC2A3C">
        <w:t>finance and procurement.</w:t>
      </w:r>
    </w:p>
    <w:p w14:paraId="42F58627" w14:textId="77777777" w:rsidR="00F844B4" w:rsidRPr="00DC2A3C" w:rsidRDefault="00F844B4">
      <w:pPr>
        <w:pStyle w:val="ARbodyafterbullets"/>
      </w:pPr>
      <w:r w:rsidRPr="00DC2A3C">
        <w:t>The department continued to strengthen its leadership capability by:</w:t>
      </w:r>
    </w:p>
    <w:p w14:paraId="6028695F" w14:textId="24CA591A" w:rsidR="00F844B4" w:rsidRPr="00DC2A3C" w:rsidRDefault="00F844B4" w:rsidP="00F375A6">
      <w:pPr>
        <w:pStyle w:val="ARbullet1"/>
        <w:numPr>
          <w:ilvl w:val="0"/>
          <w:numId w:val="22"/>
        </w:numPr>
      </w:pPr>
      <w:r w:rsidRPr="00DC2A3C">
        <w:t xml:space="preserve">embedding </w:t>
      </w:r>
      <w:r>
        <w:t>2</w:t>
      </w:r>
      <w:r w:rsidRPr="00DC2A3C">
        <w:t xml:space="preserve"> mandatory goals </w:t>
      </w:r>
      <w:r>
        <w:t>in</w:t>
      </w:r>
      <w:r w:rsidRPr="00DC2A3C">
        <w:t xml:space="preserve"> all leaders’ PDPs</w:t>
      </w:r>
      <w:r>
        <w:t xml:space="preserve">. These focus on </w:t>
      </w:r>
      <w:r w:rsidRPr="00DC2A3C">
        <w:t>positive workplace culture and supporting performance and delivery</w:t>
      </w:r>
    </w:p>
    <w:p w14:paraId="095F4E3D" w14:textId="168D08C8" w:rsidR="00F844B4" w:rsidRPr="00DC2A3C" w:rsidRDefault="00F844B4" w:rsidP="00F375A6">
      <w:pPr>
        <w:pStyle w:val="ARbullet1"/>
        <w:numPr>
          <w:ilvl w:val="0"/>
          <w:numId w:val="22"/>
        </w:numPr>
      </w:pPr>
      <w:r w:rsidRPr="00DC2A3C">
        <w:t>delivering 183 Leading with Impact sessions</w:t>
      </w:r>
      <w:r>
        <w:t>. This 5-</w:t>
      </w:r>
      <w:r w:rsidRPr="00DC2A3C">
        <w:t>workshop series</w:t>
      </w:r>
      <w:r>
        <w:t xml:space="preserve"> had</w:t>
      </w:r>
      <w:r w:rsidRPr="00DC2A3C">
        <w:t xml:space="preserve"> an average of 20</w:t>
      </w:r>
      <w:r w:rsidR="00E3034F">
        <w:t> </w:t>
      </w:r>
      <w:r w:rsidRPr="00DC2A3C">
        <w:t>attendees per session</w:t>
      </w:r>
      <w:r>
        <w:t>. The program focused</w:t>
      </w:r>
      <w:r w:rsidRPr="00DC2A3C">
        <w:t xml:space="preserve"> on building leadership capabilities in coaching, feedback, performance and delivery, equality, diversity and inclusion, ethics and integrity, and psychological safety</w:t>
      </w:r>
    </w:p>
    <w:p w14:paraId="28491CC7" w14:textId="21592537" w:rsidR="00F844B4" w:rsidRPr="00DC2A3C" w:rsidRDefault="00F844B4" w:rsidP="00F375A6">
      <w:pPr>
        <w:pStyle w:val="ARbullet1"/>
        <w:numPr>
          <w:ilvl w:val="0"/>
          <w:numId w:val="22"/>
        </w:numPr>
      </w:pPr>
      <w:r w:rsidRPr="00DC2A3C">
        <w:t>providing leadership development opportunities</w:t>
      </w:r>
      <w:r>
        <w:t>. This includes</w:t>
      </w:r>
      <w:r w:rsidRPr="00DC2A3C">
        <w:t xml:space="preserve"> advanced communication skills, performance management, parental leave and working parents, and </w:t>
      </w:r>
      <w:r>
        <w:t>supporting</w:t>
      </w:r>
      <w:r w:rsidRPr="00DC2A3C">
        <w:t xml:space="preserve"> employees </w:t>
      </w:r>
      <w:r>
        <w:t>experiencing</w:t>
      </w:r>
      <w:r w:rsidRPr="00DC2A3C">
        <w:t xml:space="preserve"> menopause </w:t>
      </w:r>
    </w:p>
    <w:p w14:paraId="15E125C1" w14:textId="77777777" w:rsidR="007D3013" w:rsidRDefault="00F844B4" w:rsidP="00F375A6">
      <w:pPr>
        <w:pStyle w:val="ARbullet1"/>
        <w:numPr>
          <w:ilvl w:val="0"/>
          <w:numId w:val="22"/>
        </w:numPr>
      </w:pPr>
      <w:r w:rsidRPr="00DC2A3C">
        <w:t>delivering the child protection director leadership development program</w:t>
      </w:r>
      <w:r>
        <w:t>. This</w:t>
      </w:r>
      <w:r w:rsidRPr="00DC2A3C">
        <w:t xml:space="preserve"> strengthen</w:t>
      </w:r>
      <w:r>
        <w:t>s</w:t>
      </w:r>
      <w:r w:rsidRPr="00DC2A3C">
        <w:t xml:space="preserve"> peer learning and development </w:t>
      </w:r>
      <w:r>
        <w:t>around</w:t>
      </w:r>
      <w:r w:rsidRPr="00DC2A3C">
        <w:t xml:space="preserve"> complex leadership challenges</w:t>
      </w:r>
    </w:p>
    <w:p w14:paraId="4DB4A774" w14:textId="12F8C4E7" w:rsidR="00F844B4" w:rsidRPr="00DC2A3C" w:rsidRDefault="00CF2689">
      <w:pPr>
        <w:pStyle w:val="ARbullet1"/>
        <w:numPr>
          <w:ilvl w:val="0"/>
          <w:numId w:val="22"/>
        </w:numPr>
      </w:pPr>
      <w:r>
        <w:br w:type="column"/>
      </w:r>
      <w:r w:rsidR="00F844B4" w:rsidRPr="00DC2A3C">
        <w:t>supporting executives to participate in cross-department leadership and new-to-role programs provided by the Victorian Public Sector Commission, including the Executive Essentials Program</w:t>
      </w:r>
    </w:p>
    <w:p w14:paraId="2688FA2A" w14:textId="4F299964" w:rsidR="00F844B4" w:rsidRPr="00DC2A3C" w:rsidRDefault="00F844B4" w:rsidP="00F375A6">
      <w:pPr>
        <w:pStyle w:val="ARbullet1"/>
        <w:numPr>
          <w:ilvl w:val="0"/>
          <w:numId w:val="22"/>
        </w:numPr>
      </w:pPr>
      <w:r w:rsidRPr="00DC2A3C">
        <w:t>supporting employees to attend high</w:t>
      </w:r>
      <w:r>
        <w:t>-</w:t>
      </w:r>
      <w:r w:rsidRPr="00DC2A3C">
        <w:t>quality public leadership programs aimed at broadening and deepening leadership capabilities and giving participants exposure to peers from other</w:t>
      </w:r>
      <w:r w:rsidR="007D3013">
        <w:t> </w:t>
      </w:r>
      <w:r w:rsidRPr="00DC2A3C">
        <w:t>organisations</w:t>
      </w:r>
    </w:p>
    <w:p w14:paraId="6FF1DBBF" w14:textId="77777777" w:rsidR="00F844B4" w:rsidRPr="00DC2A3C" w:rsidRDefault="00F844B4" w:rsidP="00F375A6">
      <w:pPr>
        <w:pStyle w:val="ARbullet1"/>
        <w:numPr>
          <w:ilvl w:val="0"/>
          <w:numId w:val="22"/>
        </w:numPr>
      </w:pPr>
      <w:r w:rsidRPr="00DC2A3C">
        <w:t>providing peer and experiential learning through structured mentoring and coaching opportunities for leaders across the department.</w:t>
      </w:r>
    </w:p>
    <w:bookmarkEnd w:id="130"/>
    <w:p w14:paraId="2C881AF6" w14:textId="7F1830AD" w:rsidR="00F844B4" w:rsidRPr="00DC2A3C" w:rsidRDefault="00F844B4" w:rsidP="007D3013">
      <w:pPr>
        <w:pStyle w:val="ARbodyafterbullets"/>
      </w:pPr>
      <w:r w:rsidRPr="00DC2A3C">
        <w:t>In 2024</w:t>
      </w:r>
      <w:r>
        <w:t>–</w:t>
      </w:r>
      <w:r w:rsidRPr="00DC2A3C">
        <w:t>25, the department continued to support and expand the learning and development of our frontline workforce by:</w:t>
      </w:r>
    </w:p>
    <w:p w14:paraId="7C7F0A7B" w14:textId="59D9E6B5" w:rsidR="00F844B4" w:rsidRPr="00DC2A3C" w:rsidRDefault="00F844B4" w:rsidP="00F375A6">
      <w:pPr>
        <w:pStyle w:val="ARbullet1"/>
        <w:numPr>
          <w:ilvl w:val="0"/>
          <w:numId w:val="22"/>
        </w:numPr>
      </w:pPr>
      <w:r w:rsidRPr="00DC2A3C">
        <w:t>engaging a First Peoples organisation to review child protection learning programs</w:t>
      </w:r>
      <w:r>
        <w:t xml:space="preserve">. This responds </w:t>
      </w:r>
      <w:r w:rsidRPr="00DC2A3C">
        <w:t xml:space="preserve">to </w:t>
      </w:r>
      <w:r>
        <w:t>r</w:t>
      </w:r>
      <w:r w:rsidRPr="00DC2A3C">
        <w:t xml:space="preserve">ecommendation 5 of the </w:t>
      </w:r>
      <w:proofErr w:type="spellStart"/>
      <w:r w:rsidRPr="000763F6">
        <w:rPr>
          <w:rStyle w:val="Emphasis"/>
        </w:rPr>
        <w:t>Yoorrook</w:t>
      </w:r>
      <w:proofErr w:type="spellEnd"/>
      <w:r w:rsidRPr="000763F6">
        <w:rPr>
          <w:rStyle w:val="Emphasis"/>
        </w:rPr>
        <w:t xml:space="preserve"> for justice</w:t>
      </w:r>
      <w:r w:rsidRPr="00DC2A3C">
        <w:t xml:space="preserve"> </w:t>
      </w:r>
      <w:r>
        <w:t>r</w:t>
      </w:r>
      <w:r w:rsidRPr="00DC2A3C">
        <w:t xml:space="preserve">eport. </w:t>
      </w:r>
      <w:r>
        <w:t>This resulted in a</w:t>
      </w:r>
      <w:r w:rsidRPr="00DC2A3C">
        <w:t xml:space="preserve"> cultural safety framework tool for child protection training programs</w:t>
      </w:r>
      <w:r>
        <w:t>.</w:t>
      </w:r>
      <w:r w:rsidRPr="00DC2A3C">
        <w:t xml:space="preserve"> The review also made recommendations for </w:t>
      </w:r>
      <w:r>
        <w:t xml:space="preserve">things to </w:t>
      </w:r>
      <w:r w:rsidRPr="00DC2A3C">
        <w:t>consider when developing new training programs</w:t>
      </w:r>
    </w:p>
    <w:p w14:paraId="30C21CF3" w14:textId="694C6ED9" w:rsidR="00F844B4" w:rsidRPr="00DC2A3C" w:rsidRDefault="00F844B4" w:rsidP="00F375A6">
      <w:pPr>
        <w:pStyle w:val="ARbullet1"/>
        <w:numPr>
          <w:ilvl w:val="0"/>
          <w:numId w:val="22"/>
        </w:numPr>
      </w:pPr>
      <w:r w:rsidRPr="00DC2A3C">
        <w:t>delivering induction training to commencing</w:t>
      </w:r>
      <w:r w:rsidR="007D3013">
        <w:t> </w:t>
      </w:r>
      <w:r w:rsidRPr="00DC2A3C">
        <w:t>staff:</w:t>
      </w:r>
    </w:p>
    <w:p w14:paraId="21DD7151" w14:textId="77777777" w:rsidR="00F844B4" w:rsidRPr="00DC2A3C" w:rsidRDefault="00F844B4" w:rsidP="00F375A6">
      <w:pPr>
        <w:pStyle w:val="ARbullet2"/>
        <w:numPr>
          <w:ilvl w:val="1"/>
          <w:numId w:val="22"/>
        </w:numPr>
      </w:pPr>
      <w:r w:rsidRPr="00DC2A3C">
        <w:t>513 child protection practitioners</w:t>
      </w:r>
    </w:p>
    <w:p w14:paraId="4750FE80" w14:textId="77777777" w:rsidR="00F844B4" w:rsidRPr="00DC2A3C" w:rsidRDefault="00F844B4" w:rsidP="00F375A6">
      <w:pPr>
        <w:pStyle w:val="ARbullet2"/>
        <w:numPr>
          <w:ilvl w:val="1"/>
          <w:numId w:val="22"/>
        </w:numPr>
      </w:pPr>
      <w:r w:rsidRPr="00DC2A3C">
        <w:t>90 housing services officers</w:t>
      </w:r>
    </w:p>
    <w:p w14:paraId="094058AF" w14:textId="77777777" w:rsidR="00F844B4" w:rsidRPr="00DC2A3C" w:rsidRDefault="00F844B4" w:rsidP="00F375A6">
      <w:pPr>
        <w:pStyle w:val="ARbullet2"/>
        <w:numPr>
          <w:ilvl w:val="1"/>
          <w:numId w:val="22"/>
        </w:numPr>
      </w:pPr>
      <w:r w:rsidRPr="00DC2A3C">
        <w:t>27 forensic residential services staff</w:t>
      </w:r>
    </w:p>
    <w:p w14:paraId="0496DF6F" w14:textId="77777777" w:rsidR="00F844B4" w:rsidRPr="00DC2A3C" w:rsidRDefault="00F844B4" w:rsidP="00F375A6">
      <w:pPr>
        <w:pStyle w:val="ARbullet2"/>
        <w:numPr>
          <w:ilvl w:val="1"/>
          <w:numId w:val="22"/>
        </w:numPr>
      </w:pPr>
      <w:r w:rsidRPr="00DC2A3C">
        <w:t>13 disability justice coordination staff</w:t>
      </w:r>
    </w:p>
    <w:p w14:paraId="2B065F18" w14:textId="77777777" w:rsidR="00F844B4" w:rsidRPr="00DC2A3C" w:rsidRDefault="00F844B4" w:rsidP="00F375A6">
      <w:pPr>
        <w:pStyle w:val="ARbullet1"/>
        <w:numPr>
          <w:ilvl w:val="0"/>
          <w:numId w:val="22"/>
        </w:numPr>
      </w:pPr>
      <w:r w:rsidRPr="00DC2A3C">
        <w:t xml:space="preserve">developing future frontline leaders, with: </w:t>
      </w:r>
    </w:p>
    <w:p w14:paraId="2E7AF748" w14:textId="77777777" w:rsidR="00F844B4" w:rsidRPr="00DC2A3C" w:rsidRDefault="00F844B4" w:rsidP="00F375A6">
      <w:pPr>
        <w:pStyle w:val="ARbullet2"/>
        <w:numPr>
          <w:ilvl w:val="1"/>
          <w:numId w:val="22"/>
        </w:numPr>
      </w:pPr>
      <w:r w:rsidRPr="00DC2A3C">
        <w:t>100 Child Protection Career Advancement Program graduates (CPP3s and CPP4s)</w:t>
      </w:r>
    </w:p>
    <w:p w14:paraId="3E6D5DA6" w14:textId="1774837A" w:rsidR="00F844B4" w:rsidRPr="00DC2A3C" w:rsidRDefault="00F844B4" w:rsidP="00F375A6">
      <w:pPr>
        <w:pStyle w:val="ARbullet2"/>
        <w:numPr>
          <w:ilvl w:val="1"/>
          <w:numId w:val="22"/>
        </w:numPr>
      </w:pPr>
      <w:r w:rsidRPr="00DC2A3C">
        <w:t xml:space="preserve">102 CPP5s enrolled in the new selective entry Child Protection Leadership Program for CPP5 </w:t>
      </w:r>
    </w:p>
    <w:p w14:paraId="04AE70A4" w14:textId="77777777" w:rsidR="00F844B4" w:rsidRPr="00DC2A3C" w:rsidRDefault="00F844B4" w:rsidP="00F375A6">
      <w:pPr>
        <w:pStyle w:val="ARbullet2"/>
        <w:numPr>
          <w:ilvl w:val="1"/>
          <w:numId w:val="22"/>
        </w:numPr>
      </w:pPr>
      <w:r w:rsidRPr="00DC2A3C">
        <w:t xml:space="preserve">392 CPP5s completing modules in the open access Child Protection Leadership and Management Program </w:t>
      </w:r>
    </w:p>
    <w:p w14:paraId="3323F40F" w14:textId="2F00E304" w:rsidR="00240FD5" w:rsidRDefault="00F844B4" w:rsidP="00F375A6">
      <w:pPr>
        <w:pStyle w:val="ARbullet2"/>
        <w:numPr>
          <w:ilvl w:val="1"/>
          <w:numId w:val="22"/>
        </w:numPr>
      </w:pPr>
      <w:r w:rsidRPr="00DC2A3C">
        <w:t xml:space="preserve">20 Child Protection Leading Risk Assessment Practice workshops and 29 Applying Risk Assessment Practice workshops </w:t>
      </w:r>
      <w:r w:rsidR="00240FD5">
        <w:br w:type="page"/>
      </w:r>
    </w:p>
    <w:p w14:paraId="4F08D40B" w14:textId="77777777" w:rsidR="00240FD5" w:rsidRDefault="00F844B4" w:rsidP="00F375A6">
      <w:pPr>
        <w:pStyle w:val="ARbullet2"/>
        <w:numPr>
          <w:ilvl w:val="1"/>
          <w:numId w:val="22"/>
        </w:numPr>
      </w:pPr>
      <w:r w:rsidRPr="00DC2A3C">
        <w:lastRenderedPageBreak/>
        <w:t>10 group coaching sessions for new child protection graduates and their managers/mentors as part of the Community and Social Services Graduate Program</w:t>
      </w:r>
      <w:r>
        <w:t>. This</w:t>
      </w:r>
      <w:r w:rsidR="007D3013">
        <w:t> </w:t>
      </w:r>
      <w:r>
        <w:t>led to</w:t>
      </w:r>
      <w:r w:rsidRPr="00DC2A3C">
        <w:t xml:space="preserve"> 34 graduates</w:t>
      </w:r>
      <w:r>
        <w:t xml:space="preserve"> being</w:t>
      </w:r>
      <w:r w:rsidRPr="00DC2A3C">
        <w:t xml:space="preserve"> matched </w:t>
      </w:r>
      <w:r>
        <w:t>with</w:t>
      </w:r>
      <w:r w:rsidR="007D3013">
        <w:t> </w:t>
      </w:r>
      <w:r>
        <w:t>m</w:t>
      </w:r>
      <w:r w:rsidRPr="00DC2A3C">
        <w:t>entors</w:t>
      </w:r>
    </w:p>
    <w:p w14:paraId="68E8513D" w14:textId="77777777" w:rsidR="00F844B4" w:rsidRPr="00DC2A3C" w:rsidRDefault="00F844B4" w:rsidP="00F375A6">
      <w:pPr>
        <w:pStyle w:val="ARbullet2"/>
        <w:numPr>
          <w:ilvl w:val="1"/>
          <w:numId w:val="22"/>
        </w:numPr>
      </w:pPr>
      <w:r w:rsidRPr="00DC2A3C">
        <w:t>18 Housing Career Advancement Program graduates</w:t>
      </w:r>
    </w:p>
    <w:p w14:paraId="338176C4" w14:textId="66838A4E" w:rsidR="00F844B4" w:rsidRPr="00DC2A3C" w:rsidRDefault="00F844B4" w:rsidP="00F375A6">
      <w:pPr>
        <w:pStyle w:val="ARbullet2"/>
        <w:numPr>
          <w:ilvl w:val="1"/>
          <w:numId w:val="22"/>
        </w:numPr>
      </w:pPr>
      <w:r w:rsidRPr="00DC2A3C">
        <w:t>10 Housing Practice Leadership Program graduates</w:t>
      </w:r>
      <w:r>
        <w:t>.</w:t>
      </w:r>
    </w:p>
    <w:p w14:paraId="08B5FC5F" w14:textId="65136450" w:rsidR="00F844B4" w:rsidRPr="00DC2A3C" w:rsidRDefault="00240FD5">
      <w:pPr>
        <w:pStyle w:val="ARbodyafterbullets"/>
      </w:pPr>
      <w:r>
        <w:br w:type="column"/>
      </w:r>
      <w:r w:rsidR="00F844B4" w:rsidRPr="00DC2A3C">
        <w:t>The department also celebrates the work of frontline staff and excellence in practice through events including:</w:t>
      </w:r>
    </w:p>
    <w:p w14:paraId="489F80B5" w14:textId="77777777" w:rsidR="00F844B4" w:rsidRPr="00DC2A3C" w:rsidRDefault="00F844B4" w:rsidP="00F375A6">
      <w:pPr>
        <w:pStyle w:val="ARbullet1"/>
        <w:numPr>
          <w:ilvl w:val="0"/>
          <w:numId w:val="22"/>
        </w:numPr>
      </w:pPr>
      <w:r w:rsidRPr="00DC2A3C">
        <w:t>Child Protection Week events including the Child Protection Awards and Victorian Protecting Children Awards</w:t>
      </w:r>
    </w:p>
    <w:p w14:paraId="2A198270" w14:textId="3F31C98D" w:rsidR="00F844B4" w:rsidRPr="00DC2A3C" w:rsidRDefault="00F844B4" w:rsidP="00F375A6">
      <w:pPr>
        <w:pStyle w:val="ARbullet1"/>
        <w:numPr>
          <w:ilvl w:val="0"/>
          <w:numId w:val="22"/>
        </w:numPr>
      </w:pPr>
      <w:r w:rsidRPr="00DC2A3C">
        <w:t>the Public Housing Forum and Workforce</w:t>
      </w:r>
      <w:r w:rsidR="00E6224B">
        <w:t> </w:t>
      </w:r>
      <w:r w:rsidRPr="00DC2A3C">
        <w:t>Awards</w:t>
      </w:r>
    </w:p>
    <w:p w14:paraId="66BE93C0" w14:textId="3229FAD3" w:rsidR="00F844B4" w:rsidRDefault="00F844B4" w:rsidP="00F375A6">
      <w:pPr>
        <w:pStyle w:val="ARbullet1"/>
        <w:numPr>
          <w:ilvl w:val="0"/>
          <w:numId w:val="22"/>
        </w:numPr>
      </w:pPr>
      <w:r w:rsidRPr="00DC2A3C">
        <w:t>the Forensic Disability Services Workforce Forum and Awards.</w:t>
      </w:r>
    </w:p>
    <w:p w14:paraId="6D159920" w14:textId="77777777" w:rsidR="007D3013" w:rsidRDefault="007D3013" w:rsidP="007D3013">
      <w:pPr>
        <w:pStyle w:val="ARbullet1"/>
        <w:numPr>
          <w:ilvl w:val="0"/>
          <w:numId w:val="0"/>
        </w:numPr>
        <w:ind w:left="284" w:hanging="284"/>
      </w:pPr>
    </w:p>
    <w:p w14:paraId="2FADBEA2" w14:textId="77777777" w:rsidR="007D3013" w:rsidRPr="00DC2A3C" w:rsidRDefault="007D3013" w:rsidP="007D3013">
      <w:pPr>
        <w:pStyle w:val="ARbullet1"/>
        <w:numPr>
          <w:ilvl w:val="0"/>
          <w:numId w:val="0"/>
        </w:numPr>
        <w:ind w:left="284" w:hanging="284"/>
        <w:sectPr w:rsidR="007D3013" w:rsidRPr="00DC2A3C" w:rsidSect="007F43B1">
          <w:endnotePr>
            <w:numFmt w:val="decimal"/>
          </w:endnotePr>
          <w:type w:val="continuous"/>
          <w:pgSz w:w="11900" w:h="16840" w:code="9"/>
          <w:pgMar w:top="1588" w:right="1134" w:bottom="851" w:left="1134" w:header="510" w:footer="340" w:gutter="0"/>
          <w:cols w:num="2" w:space="448"/>
          <w:docGrid w:linePitch="299"/>
        </w:sectPr>
      </w:pPr>
    </w:p>
    <w:p w14:paraId="6D20537E" w14:textId="77777777" w:rsidR="00F844B4" w:rsidRPr="00DC2A3C" w:rsidRDefault="00F844B4" w:rsidP="00BB645D">
      <w:pPr>
        <w:pStyle w:val="Heading2"/>
      </w:pPr>
      <w:bookmarkStart w:id="131" w:name="_Toc212039531"/>
      <w:r w:rsidRPr="00DC2A3C">
        <w:t xml:space="preserve">Workforce inclusion </w:t>
      </w:r>
      <w:r w:rsidRPr="00BB645D">
        <w:t>policy</w:t>
      </w:r>
      <w:bookmarkEnd w:id="131"/>
    </w:p>
    <w:p w14:paraId="0C300156" w14:textId="77777777" w:rsidR="00F844B4" w:rsidRPr="00DC2A3C" w:rsidRDefault="00F844B4">
      <w:pPr>
        <w:pStyle w:val="ARbodyaftertable"/>
        <w:sectPr w:rsidR="00F844B4" w:rsidRPr="00DC2A3C" w:rsidSect="007F43B1">
          <w:endnotePr>
            <w:numFmt w:val="decimal"/>
          </w:endnotePr>
          <w:type w:val="continuous"/>
          <w:pgSz w:w="11900" w:h="16840" w:code="9"/>
          <w:pgMar w:top="1588" w:right="1134" w:bottom="851" w:left="1134" w:header="510" w:footer="340" w:gutter="0"/>
          <w:cols w:space="448"/>
          <w:docGrid w:linePitch="299"/>
        </w:sectPr>
      </w:pPr>
    </w:p>
    <w:p w14:paraId="28AFFDC3" w14:textId="5F5DB0F8" w:rsidR="00F844B4" w:rsidRPr="00DC2A3C" w:rsidRDefault="00F844B4">
      <w:pPr>
        <w:pStyle w:val="ARbody"/>
      </w:pPr>
      <w:r w:rsidRPr="00DC2A3C">
        <w:t>The department continues to build a diverse, inclusive and culturally safe workplace</w:t>
      </w:r>
      <w:r>
        <w:t xml:space="preserve">. This workplace </w:t>
      </w:r>
      <w:r w:rsidRPr="00DC2A3C">
        <w:t>reflects the communities we serve.</w:t>
      </w:r>
    </w:p>
    <w:p w14:paraId="02A6DA31" w14:textId="77777777" w:rsidR="00F844B4" w:rsidRPr="00DC2A3C" w:rsidRDefault="00F844B4">
      <w:pPr>
        <w:pStyle w:val="ARbody"/>
      </w:pPr>
      <w:r w:rsidRPr="00DC2A3C">
        <w:t>We recognise and value the diverse skills and perspectives people bring to the workplace. These characteristics include their age, caring responsibilities, cultural background, disability, ethnicity, gender, religion, sexual orientation, socioeconomic background and other backgrounds and experiences.</w:t>
      </w:r>
    </w:p>
    <w:p w14:paraId="560D2DB1" w14:textId="2C6E7287" w:rsidR="00F844B4" w:rsidRPr="00DC2A3C" w:rsidRDefault="00F844B4">
      <w:pPr>
        <w:pStyle w:val="ARbody"/>
      </w:pPr>
      <w:r w:rsidRPr="00DC2A3C">
        <w:t>Our strategies elevate and recognise Aboriginal peoples as original custodians of Victoria. We</w:t>
      </w:r>
      <w:r>
        <w:t xml:space="preserve"> </w:t>
      </w:r>
      <w:r w:rsidRPr="00DC2A3C">
        <w:t>embed Aboriginal cultural safety and self-determination in all that we do</w:t>
      </w:r>
      <w:r>
        <w:t xml:space="preserve">. We give </w:t>
      </w:r>
      <w:r w:rsidRPr="00DC2A3C">
        <w:t>Aboriginal Victorians decision-making power and control to determine what is best for them. Aboriginal self-determination is a human right</w:t>
      </w:r>
      <w:r>
        <w:t xml:space="preserve">. This is </w:t>
      </w:r>
      <w:r w:rsidRPr="00DC2A3C">
        <w:t>enshrined in the United Nations Declaration on the Rights of Indigenous Peoples.</w:t>
      </w:r>
    </w:p>
    <w:p w14:paraId="529EB95E" w14:textId="536DFD3D" w:rsidR="00F844B4" w:rsidRDefault="00F844B4">
      <w:pPr>
        <w:pStyle w:val="ARbody"/>
      </w:pPr>
      <w:r>
        <w:t>Diversity</w:t>
      </w:r>
      <w:r w:rsidRPr="00DC2A3C">
        <w:t xml:space="preserve"> and inclusion benefits everyone. It</w:t>
      </w:r>
      <w:r w:rsidR="00294D4F">
        <w:t> </w:t>
      </w:r>
      <w:r w:rsidRPr="00DC2A3C">
        <w:t>promotes a positive and safe workplace culture</w:t>
      </w:r>
      <w:r>
        <w:t>. It</w:t>
      </w:r>
      <w:r w:rsidR="00294D4F">
        <w:t> </w:t>
      </w:r>
      <w:r w:rsidRPr="00DC2A3C">
        <w:t>builds our reputation as an employer of choice</w:t>
      </w:r>
      <w:r>
        <w:t>. It</w:t>
      </w:r>
      <w:r w:rsidR="00294D4F">
        <w:t> </w:t>
      </w:r>
      <w:r w:rsidRPr="00DC2A3C">
        <w:t>helps us to attract and retain talented staff. It</w:t>
      </w:r>
      <w:r w:rsidR="00294D4F">
        <w:t> </w:t>
      </w:r>
      <w:r w:rsidRPr="00DC2A3C">
        <w:t>supports innovation by harnessing the rich and varied perspectives of our people. It also helps us understand and meet the needs of the Victorian</w:t>
      </w:r>
      <w:r w:rsidR="001D338C">
        <w:t> </w:t>
      </w:r>
      <w:r w:rsidRPr="00DC2A3C">
        <w:t>community.</w:t>
      </w:r>
    </w:p>
    <w:p w14:paraId="2E3A225E" w14:textId="6972935D" w:rsidR="00F844B4" w:rsidRPr="00DC2A3C" w:rsidRDefault="001D338C" w:rsidP="001D338C">
      <w:pPr>
        <w:pStyle w:val="Heading3"/>
        <w:spacing w:before="0"/>
      </w:pPr>
      <w:r>
        <w:br w:type="column"/>
      </w:r>
      <w:r w:rsidR="00F844B4" w:rsidRPr="00DC2A3C">
        <w:t>Aboriginal workforce strategy</w:t>
      </w:r>
    </w:p>
    <w:p w14:paraId="0745341D" w14:textId="77777777" w:rsidR="00F844B4" w:rsidRPr="00DC2A3C" w:rsidRDefault="00F844B4">
      <w:pPr>
        <w:pStyle w:val="ARbody"/>
        <w:rPr>
          <w:rFonts w:eastAsia="Arial"/>
          <w:color w:val="000000" w:themeColor="text1"/>
          <w:lang w:val="en-US"/>
        </w:rPr>
      </w:pPr>
      <w:r w:rsidRPr="00DC2A3C">
        <w:t>The department’s</w:t>
      </w:r>
      <w:r w:rsidRPr="00DC2A3C">
        <w:rPr>
          <w:rFonts w:eastAsia="Arial"/>
          <w:color w:val="000000" w:themeColor="text1"/>
          <w:lang w:val="en-US"/>
        </w:rPr>
        <w:t xml:space="preserve"> </w:t>
      </w:r>
      <w:r w:rsidRPr="000763F6">
        <w:rPr>
          <w:rStyle w:val="Emphasis"/>
        </w:rPr>
        <w:t xml:space="preserve">Aboriginal workforce strategy 2021–26 </w:t>
      </w:r>
      <w:r w:rsidRPr="00DC2A3C">
        <w:rPr>
          <w:rFonts w:eastAsia="Arial"/>
          <w:color w:val="000000" w:themeColor="text1"/>
          <w:lang w:val="en-US"/>
        </w:rPr>
        <w:t>has 5 strategic objectives:</w:t>
      </w:r>
    </w:p>
    <w:p w14:paraId="04ECE659" w14:textId="5DB35A17" w:rsidR="00F844B4" w:rsidRPr="00DC2A3C" w:rsidRDefault="00F844B4" w:rsidP="00F375A6">
      <w:pPr>
        <w:pStyle w:val="ARbullet1"/>
        <w:numPr>
          <w:ilvl w:val="0"/>
          <w:numId w:val="22"/>
        </w:numPr>
      </w:pPr>
      <w:r w:rsidRPr="00DC2A3C">
        <w:t>exceed a minimum 3% Aboriginal employment by 2026, with a stretch target of 4%</w:t>
      </w:r>
    </w:p>
    <w:p w14:paraId="0F4DA573" w14:textId="77777777" w:rsidR="00F844B4" w:rsidRPr="00DC2A3C" w:rsidRDefault="00F844B4" w:rsidP="00F375A6">
      <w:pPr>
        <w:pStyle w:val="ARbullet1"/>
        <w:numPr>
          <w:ilvl w:val="0"/>
          <w:numId w:val="22"/>
        </w:numPr>
      </w:pPr>
      <w:r w:rsidRPr="00DC2A3C">
        <w:t>exceed 4% Aboriginal employment at manager and executive level positions by 2026</w:t>
      </w:r>
    </w:p>
    <w:p w14:paraId="30D0DA56" w14:textId="7E099821" w:rsidR="00F844B4" w:rsidRPr="00DC2A3C" w:rsidRDefault="00F844B4" w:rsidP="00F375A6">
      <w:pPr>
        <w:pStyle w:val="ARbullet1"/>
        <w:numPr>
          <w:ilvl w:val="0"/>
          <w:numId w:val="22"/>
        </w:numPr>
      </w:pPr>
      <w:r w:rsidRPr="00DC2A3C">
        <w:t>embed Aboriginal self-determination and cultural safety in all that we do</w:t>
      </w:r>
      <w:r>
        <w:t xml:space="preserve">. This includes </w:t>
      </w:r>
      <w:r w:rsidRPr="00DC2A3C">
        <w:t>empowering and respecting the voice of Traditional Owners, Aboriginal employees, organisations and communities throughout</w:t>
      </w:r>
      <w:r w:rsidR="00D51C98">
        <w:t> </w:t>
      </w:r>
      <w:r w:rsidRPr="00DC2A3C">
        <w:t>Victoria</w:t>
      </w:r>
    </w:p>
    <w:p w14:paraId="5754D980" w14:textId="34F6C3EC" w:rsidR="00F844B4" w:rsidRPr="00DC2A3C" w:rsidRDefault="00F844B4" w:rsidP="00F375A6">
      <w:pPr>
        <w:pStyle w:val="ARbullet1"/>
        <w:numPr>
          <w:ilvl w:val="0"/>
          <w:numId w:val="22"/>
        </w:numPr>
      </w:pPr>
      <w:r w:rsidRPr="00DC2A3C">
        <w:t>ensure the workforce develops a deep understanding of Aboriginal ways of listening, knowing and doing</w:t>
      </w:r>
      <w:r>
        <w:t xml:space="preserve">. The workforce </w:t>
      </w:r>
      <w:r w:rsidRPr="00DC2A3C">
        <w:t>applies this to the workplace, policy, programs and services to improve outcomes for Aboriginal communities</w:t>
      </w:r>
    </w:p>
    <w:p w14:paraId="6D28EF8B" w14:textId="77777777" w:rsidR="00F844B4" w:rsidRPr="00DC2A3C" w:rsidRDefault="00F844B4" w:rsidP="00F375A6">
      <w:pPr>
        <w:pStyle w:val="ARbullet1"/>
        <w:numPr>
          <w:ilvl w:val="0"/>
          <w:numId w:val="22"/>
        </w:numPr>
      </w:pPr>
      <w:r w:rsidRPr="00DC2A3C">
        <w:t>celebrate Aboriginal culture and the achievements of Aboriginal employees, children, families and communities.</w:t>
      </w:r>
    </w:p>
    <w:p w14:paraId="12C13A5B" w14:textId="77777777" w:rsidR="00A0180C" w:rsidRDefault="00F844B4">
      <w:pPr>
        <w:pStyle w:val="ARbodyafterbullets"/>
      </w:pPr>
      <w:r w:rsidRPr="00DC2A3C">
        <w:t>Increasing our Aboriginal workforce improves health and wellbeing</w:t>
      </w:r>
      <w:r>
        <w:t>. I</w:t>
      </w:r>
      <w:r w:rsidRPr="00DC2A3C">
        <w:t>t also improves quality and culturally appropriate services for Victoria’s Aboriginal community.</w:t>
      </w:r>
    </w:p>
    <w:p w14:paraId="3A1314B0" w14:textId="37984D06" w:rsidR="00F844B4" w:rsidRPr="00DC2A3C" w:rsidRDefault="00F844B4">
      <w:pPr>
        <w:pStyle w:val="ARbody"/>
      </w:pPr>
      <w:r w:rsidRPr="00DC2A3C">
        <w:t>Implementation of the strategy is tracking well</w:t>
      </w:r>
      <w:r>
        <w:t>. P</w:t>
      </w:r>
      <w:r w:rsidRPr="00DC2A3C">
        <w:t xml:space="preserve">rogress against targets at the end of June 2025 </w:t>
      </w:r>
      <w:r>
        <w:t>shows</w:t>
      </w:r>
      <w:r w:rsidRPr="00DC2A3C">
        <w:t xml:space="preserve"> that Aboriginal employees comprise more than 2.5% of the department’s workforce. </w:t>
      </w:r>
      <w:r>
        <w:t>This is</w:t>
      </w:r>
      <w:r w:rsidRPr="00DC2A3C">
        <w:t xml:space="preserve"> across all classifications, including in senior and executive roles.</w:t>
      </w:r>
    </w:p>
    <w:p w14:paraId="090D8772" w14:textId="68CFA4A3" w:rsidR="00F844B4" w:rsidRPr="00DC2A3C" w:rsidRDefault="00F844B4">
      <w:pPr>
        <w:pStyle w:val="ARbody"/>
      </w:pPr>
      <w:r w:rsidRPr="00DC2A3C">
        <w:t xml:space="preserve">The Aboriginal leadership target has been exceeded, with </w:t>
      </w:r>
      <w:r>
        <w:t>more than</w:t>
      </w:r>
      <w:r w:rsidRPr="00DC2A3C">
        <w:t xml:space="preserve"> 8% of the executive workforce identifying as Aboriginal. </w:t>
      </w:r>
    </w:p>
    <w:p w14:paraId="7C332FBA" w14:textId="77777777" w:rsidR="00A0180C" w:rsidRDefault="00F844B4">
      <w:pPr>
        <w:pStyle w:val="ARbody"/>
      </w:pPr>
      <w:r w:rsidRPr="00DC2A3C">
        <w:lastRenderedPageBreak/>
        <w:t>The department continues to support more Aboriginal women in leadership roles. The Aboriginal Women in Leadership FastTrack program commenced for 2024–25. In June 2024, the Secretary announced 5 new participants in the Aboriginal Women in Leadership FastTrack Program Manager Stream. Participants completed customised development coaching</w:t>
      </w:r>
      <w:r>
        <w:t>.</w:t>
      </w:r>
      <w:r w:rsidRPr="00DC2A3C">
        <w:t xml:space="preserve"> </w:t>
      </w:r>
      <w:r>
        <w:t>Two</w:t>
      </w:r>
      <w:r w:rsidRPr="00DC2A3C">
        <w:t xml:space="preserve"> have undertaken acting opportunities. Aboriginal women comprise 50% of the Aboriginal executive workforce.</w:t>
      </w:r>
    </w:p>
    <w:p w14:paraId="333C9504" w14:textId="52BAFA1D" w:rsidR="00F844B4" w:rsidRPr="00DC2A3C" w:rsidRDefault="00F844B4">
      <w:pPr>
        <w:pStyle w:val="ARbody"/>
      </w:pPr>
      <w:r>
        <w:t>We work to ensure the department is</w:t>
      </w:r>
      <w:r w:rsidRPr="00DC2A3C">
        <w:t xml:space="preserve"> a culturally safe employer of choice for Aboriginal people. This includes </w:t>
      </w:r>
      <w:proofErr w:type="spellStart"/>
      <w:r w:rsidRPr="00DC2A3C">
        <w:t>CareerTrackers</w:t>
      </w:r>
      <w:proofErr w:type="spellEnd"/>
      <w:r w:rsidRPr="00DC2A3C">
        <w:t xml:space="preserve"> 12-week internships for Aboriginal university students in generalist and child protection program streams</w:t>
      </w:r>
      <w:r>
        <w:t xml:space="preserve">. It also includes </w:t>
      </w:r>
      <w:r w:rsidRPr="00DC2A3C">
        <w:t>the Aboriginal Graduate Program, leadership programs, mentoring for employees</w:t>
      </w:r>
      <w:r>
        <w:t xml:space="preserve"> </w:t>
      </w:r>
      <w:r w:rsidRPr="00DC2A3C">
        <w:t>and strengthening the Aboriginal Staff Network.</w:t>
      </w:r>
    </w:p>
    <w:p w14:paraId="362D92A5" w14:textId="4E3D1E63" w:rsidR="00F844B4" w:rsidRPr="00DC2A3C" w:rsidRDefault="00F844B4">
      <w:pPr>
        <w:pStyle w:val="ARbody"/>
      </w:pPr>
      <w:r w:rsidRPr="00DC2A3C">
        <w:t xml:space="preserve">We </w:t>
      </w:r>
      <w:r>
        <w:t>continue</w:t>
      </w:r>
      <w:r w:rsidRPr="00DC2A3C">
        <w:t xml:space="preserve"> to boost the recruitment and retention of Aboriginal child protection practitioners</w:t>
      </w:r>
      <w:r>
        <w:t>. We do this through</w:t>
      </w:r>
      <w:r w:rsidRPr="00DC2A3C">
        <w:t xml:space="preserve"> regular check-ins with new child protection practitioners</w:t>
      </w:r>
      <w:r>
        <w:t>. We also established the</w:t>
      </w:r>
      <w:r w:rsidRPr="00DC2A3C">
        <w:t xml:space="preserve"> Child Protection Aboriginal Staff Network</w:t>
      </w:r>
      <w:r>
        <w:t xml:space="preserve">, which comprises </w:t>
      </w:r>
      <w:r w:rsidRPr="00DC2A3C">
        <w:t>70 Aboriginal child protection staff. This</w:t>
      </w:r>
      <w:r w:rsidR="007A0427">
        <w:t> </w:t>
      </w:r>
      <w:r w:rsidRPr="00DC2A3C">
        <w:t>represents the highest number of Aboriginal and Torres Strait Islander child protection practitioners ever achieved in the department. Dedicated Child Protection Aboriginal Staff Network sessions provide culturally appropriate and safe employee supports for our Aboriginal child protection workforce.</w:t>
      </w:r>
    </w:p>
    <w:p w14:paraId="370AEF44" w14:textId="29584411" w:rsidR="00E92AED" w:rsidRPr="00A0180C" w:rsidRDefault="00E92AED">
      <w:pPr>
        <w:pStyle w:val="ARbody"/>
      </w:pPr>
      <w:r w:rsidRPr="00A0180C">
        <w:t xml:space="preserve">The department’s </w:t>
      </w:r>
      <w:proofErr w:type="spellStart"/>
      <w:r w:rsidRPr="00A0180C">
        <w:t>Wirrigirri</w:t>
      </w:r>
      <w:proofErr w:type="spellEnd"/>
      <w:r w:rsidRPr="00A0180C">
        <w:t xml:space="preserve"> reconciliation program continues to increase the number of allies for Aboriginal inclusion, awareness of Aboriginal significant dates and events, and cultural safety of workplaces. An Executive Champion has been appointed to boost the allyship and support within the department.</w:t>
      </w:r>
    </w:p>
    <w:p w14:paraId="3989C4BE" w14:textId="77777777" w:rsidR="00E92AED" w:rsidRPr="00A0180C" w:rsidRDefault="00E92AED">
      <w:pPr>
        <w:pStyle w:val="Heading3"/>
      </w:pPr>
      <w:r w:rsidRPr="00A0180C">
        <w:t>Aboriginal and Torres Strait Islander cultural safety</w:t>
      </w:r>
    </w:p>
    <w:p w14:paraId="384D3434" w14:textId="6A5EC77C" w:rsidR="00E92AED" w:rsidRPr="00A0180C" w:rsidRDefault="00E92AED">
      <w:pPr>
        <w:pStyle w:val="ARbody"/>
      </w:pPr>
      <w:r w:rsidRPr="00A0180C">
        <w:t xml:space="preserve">The department continues to implement the </w:t>
      </w:r>
      <w:r w:rsidRPr="00A0180C">
        <w:rPr>
          <w:rStyle w:val="Emphasis"/>
        </w:rPr>
        <w:t>Aboriginal and Torres Strait Islander cultural safety framework</w:t>
      </w:r>
      <w:r w:rsidRPr="00A0180C">
        <w:t xml:space="preserve">. The framework’s vision is to ensure the Victorian community service and housing sectors provide culturally safe practice and service provision that enables optimal health, wellbeing and safety outcomes for Aboriginal people. </w:t>
      </w:r>
      <w:r w:rsidR="001A77E8">
        <w:br w:type="column"/>
      </w:r>
      <w:r w:rsidRPr="00A0180C">
        <w:t>To achieve this vision the framework has 3 domains:</w:t>
      </w:r>
    </w:p>
    <w:p w14:paraId="04D8745A" w14:textId="77777777" w:rsidR="00E92AED" w:rsidRPr="00A0180C" w:rsidRDefault="00E92AED" w:rsidP="00E92AED">
      <w:pPr>
        <w:pStyle w:val="ARbullet1"/>
        <w:numPr>
          <w:ilvl w:val="0"/>
          <w:numId w:val="22"/>
        </w:numPr>
      </w:pPr>
      <w:r w:rsidRPr="00A0180C">
        <w:t>culturally safe workplaces and organisations</w:t>
      </w:r>
    </w:p>
    <w:p w14:paraId="7EF462C7" w14:textId="77777777" w:rsidR="00E92AED" w:rsidRPr="00A0180C" w:rsidRDefault="00E92AED" w:rsidP="00E92AED">
      <w:pPr>
        <w:pStyle w:val="ARbullet1"/>
        <w:numPr>
          <w:ilvl w:val="0"/>
          <w:numId w:val="22"/>
        </w:numPr>
      </w:pPr>
      <w:r w:rsidRPr="00A0180C">
        <w:t>Aboriginal self-determination</w:t>
      </w:r>
    </w:p>
    <w:p w14:paraId="007E7471" w14:textId="77777777" w:rsidR="00E92AED" w:rsidRPr="00A0180C" w:rsidRDefault="00E92AED" w:rsidP="00E92AED">
      <w:pPr>
        <w:pStyle w:val="ARbullet1"/>
        <w:numPr>
          <w:ilvl w:val="0"/>
          <w:numId w:val="22"/>
        </w:numPr>
      </w:pPr>
      <w:r w:rsidRPr="00A0180C">
        <w:t>leadership and accountability.</w:t>
      </w:r>
    </w:p>
    <w:p w14:paraId="0E45C82E" w14:textId="77777777" w:rsidR="00E92AED" w:rsidRPr="00A0180C" w:rsidRDefault="00E92AED" w:rsidP="001A77E8">
      <w:pPr>
        <w:pStyle w:val="ARbodyafterbullets"/>
      </w:pPr>
      <w:r w:rsidRPr="00A0180C">
        <w:t>The department is developing executive leaders and the workforce to take ownership of cultural safety as part of their responsibility to ensure a culturally safe environment for Aboriginal people and to embed self-determination in policy, programs and service provision. We have implemented dedicated learning and development and online resources for staff, managers and executive leaders. This ensures all employees are responsible for how they work with Aboriginal staff, clients and communities.</w:t>
      </w:r>
    </w:p>
    <w:p w14:paraId="17907C23" w14:textId="77777777" w:rsidR="001A77E8" w:rsidRDefault="00E92AED" w:rsidP="001A77E8">
      <w:pPr>
        <w:pStyle w:val="ARbody"/>
      </w:pPr>
      <w:r w:rsidRPr="00A0180C">
        <w:t>A cultural safety working group supports the implementation of the framework throughout the organisation. A dedicated Aboriginal peer-support network uses the principles of self-determination to support the health, wellbeing and safety of our Aboriginal workforce. The Victorian Aboriginal Health Service Employee Assistance program also provides dedicated Aboriginal social and emotional wellbeing supports.</w:t>
      </w:r>
    </w:p>
    <w:p w14:paraId="261D37DF" w14:textId="33588D7B" w:rsidR="00E92AED" w:rsidRPr="00A0180C" w:rsidRDefault="00E92AED" w:rsidP="001A77E8">
      <w:pPr>
        <w:pStyle w:val="ARbody"/>
      </w:pPr>
      <w:r w:rsidRPr="00A0180C">
        <w:t xml:space="preserve">The department has implemented Aboriginal Cultural Safety training aligned with the </w:t>
      </w:r>
      <w:proofErr w:type="spellStart"/>
      <w:r w:rsidRPr="00DA434D">
        <w:rPr>
          <w:rStyle w:val="Emphasis"/>
        </w:rPr>
        <w:t>Yoorrook</w:t>
      </w:r>
      <w:proofErr w:type="spellEnd"/>
      <w:r w:rsidRPr="00DA434D">
        <w:rPr>
          <w:rStyle w:val="Emphasis"/>
        </w:rPr>
        <w:t xml:space="preserve"> for </w:t>
      </w:r>
      <w:r w:rsidR="00D142FD" w:rsidRPr="00DA434D">
        <w:rPr>
          <w:rStyle w:val="Emphasis"/>
        </w:rPr>
        <w:t>justice</w:t>
      </w:r>
      <w:r w:rsidR="00D142FD" w:rsidRPr="00A0180C">
        <w:t xml:space="preserve"> </w:t>
      </w:r>
      <w:r w:rsidR="00D142FD">
        <w:t>r</w:t>
      </w:r>
      <w:r w:rsidRPr="00A0180C">
        <w:t xml:space="preserve">eport </w:t>
      </w:r>
      <w:r w:rsidR="00D142FD">
        <w:t>r</w:t>
      </w:r>
      <w:r w:rsidRPr="00A0180C">
        <w:t xml:space="preserve">ecommendations. The new training, led by a First Nations provider commenced in August 2024. As of 30 June 2025, 11% of People Leaders, and 2% of the workforce have completed the training. </w:t>
      </w:r>
    </w:p>
    <w:p w14:paraId="49F53CF7" w14:textId="1AA8740D" w:rsidR="00E92AED" w:rsidRPr="00A0180C" w:rsidRDefault="00E92AED" w:rsidP="001A77E8">
      <w:pPr>
        <w:pStyle w:val="ARbody"/>
      </w:pPr>
      <w:r w:rsidRPr="00A0180C">
        <w:t xml:space="preserve">The compliance Cultural Safety eLearn was also updated to align with </w:t>
      </w:r>
      <w:proofErr w:type="spellStart"/>
      <w:r w:rsidRPr="00DA434D">
        <w:rPr>
          <w:rStyle w:val="Emphasis"/>
        </w:rPr>
        <w:t>Yoorrook</w:t>
      </w:r>
      <w:proofErr w:type="spellEnd"/>
      <w:r w:rsidRPr="00DA434D">
        <w:rPr>
          <w:rStyle w:val="Emphasis"/>
        </w:rPr>
        <w:t xml:space="preserve"> for </w:t>
      </w:r>
      <w:r w:rsidR="00D142FD" w:rsidRPr="00DA434D">
        <w:rPr>
          <w:rStyle w:val="Emphasis"/>
        </w:rPr>
        <w:t>justice</w:t>
      </w:r>
      <w:r w:rsidR="00D142FD" w:rsidRPr="00A0180C">
        <w:t xml:space="preserve"> </w:t>
      </w:r>
      <w:r w:rsidR="00D142FD">
        <w:t>r</w:t>
      </w:r>
      <w:r w:rsidRPr="00A0180C">
        <w:t xml:space="preserve">eport </w:t>
      </w:r>
      <w:r w:rsidR="00D142FD">
        <w:t>r</w:t>
      </w:r>
      <w:r w:rsidRPr="00A0180C">
        <w:t xml:space="preserve">ecommendations. As of 30 June 2025, 84% of the workforce have completed the eLearn. </w:t>
      </w:r>
    </w:p>
    <w:p w14:paraId="6030B4D8" w14:textId="03044455" w:rsidR="001A77E8" w:rsidRDefault="00E92AED" w:rsidP="001A77E8">
      <w:pPr>
        <w:pStyle w:val="ARbody"/>
        <w:rPr>
          <w:lang w:val="en-US"/>
        </w:rPr>
      </w:pPr>
      <w:r w:rsidRPr="00A0180C">
        <w:rPr>
          <w:lang w:val="en-US"/>
        </w:rPr>
        <w:t>In September 2024, the department launched the Anti-Racism Action Plan. The plan sets out clear action to address all forms of racism in the workplace. In October 2023, the department commenced anti-racism training. This provides an</w:t>
      </w:r>
      <w:r w:rsidR="00482D2C">
        <w:rPr>
          <w:lang w:val="en-US"/>
        </w:rPr>
        <w:t> </w:t>
      </w:r>
      <w:r w:rsidRPr="00A0180C">
        <w:rPr>
          <w:lang w:val="en-US"/>
        </w:rPr>
        <w:t xml:space="preserve">understanding of the effects of systemic racism in the workplace and accountability to address all forms of racism. As of 30 June 2025, 52% of People Leaders have completed the training. </w:t>
      </w:r>
      <w:r w:rsidR="001A77E8">
        <w:rPr>
          <w:lang w:val="en-US"/>
        </w:rPr>
        <w:br w:type="page"/>
      </w:r>
    </w:p>
    <w:p w14:paraId="4796B436" w14:textId="4B78CAB9" w:rsidR="00E92AED" w:rsidRPr="00A0180C" w:rsidRDefault="00E92AED" w:rsidP="001A77E8">
      <w:pPr>
        <w:pStyle w:val="ARbody"/>
        <w:rPr>
          <w:lang w:val="en-US"/>
        </w:rPr>
      </w:pPr>
      <w:r w:rsidRPr="00A0180C">
        <w:lastRenderedPageBreak/>
        <w:t xml:space="preserve">The department also partners with the </w:t>
      </w:r>
      <w:r w:rsidRPr="00A0180C">
        <w:rPr>
          <w:color w:val="000000" w:themeColor="text1"/>
        </w:rPr>
        <w:t xml:space="preserve">University of Melbourne to deliver the Self-determination and Community Services </w:t>
      </w:r>
      <w:r w:rsidRPr="00A0180C">
        <w:t>micro</w:t>
      </w:r>
      <w:r w:rsidR="00C11691">
        <w:t>-</w:t>
      </w:r>
      <w:r w:rsidRPr="00A0180C">
        <w:t>certificate series. The program supports learners to develop advanced knowledge of critical Aboriginal Cultural Safety including understanding concepts of Treaty and Self-determination, Sovereignty and Stolen Generations.</w:t>
      </w:r>
    </w:p>
    <w:p w14:paraId="7B8C4B1D" w14:textId="6619F957" w:rsidR="00E92AED" w:rsidRPr="00A0180C" w:rsidRDefault="00E92AED" w:rsidP="001A77E8">
      <w:pPr>
        <w:pStyle w:val="ARbody"/>
      </w:pPr>
      <w:r w:rsidRPr="00A0180C">
        <w:t>In November 2023, the department undertook the first Aboriginal Cultural Safety Survey, which was open to all staff. The results of the survey have been used to form part of the annual Aboriginal Cultural Workplace Monitoring Tool which provides index ratings on how we are tracking against cultural safety priority areas. The tool enables us to understand where we are doing well and areas for</w:t>
      </w:r>
      <w:r w:rsidR="001A77E8">
        <w:t> </w:t>
      </w:r>
      <w:r w:rsidRPr="00A0180C">
        <w:t>improvement.</w:t>
      </w:r>
      <w:r w:rsidR="00482D2C">
        <w:t xml:space="preserve"> </w:t>
      </w:r>
    </w:p>
    <w:p w14:paraId="502A8D06" w14:textId="77777777" w:rsidR="00E92AED" w:rsidRPr="00A0180C" w:rsidRDefault="00E92AED">
      <w:pPr>
        <w:pStyle w:val="Heading3"/>
      </w:pPr>
      <w:r w:rsidRPr="00A0180C">
        <w:t>Aboriginal Staff Network</w:t>
      </w:r>
    </w:p>
    <w:p w14:paraId="0B70F1D4" w14:textId="77777777" w:rsidR="00E92AED" w:rsidRPr="00A0180C" w:rsidRDefault="00E92AED">
      <w:pPr>
        <w:pStyle w:val="ARbody"/>
      </w:pPr>
      <w:r w:rsidRPr="00A0180C">
        <w:t>The Aboriginal Staff Network offers access to a supportive culturally safe community of practice. It is a place to share good practice and creative ideas, support each other through issues of concern, access opportunities for personal and professional development, and provide input into the department’s work, policies and processes to ensure they are inclusive of Aboriginal people.</w:t>
      </w:r>
    </w:p>
    <w:p w14:paraId="06FA12E8" w14:textId="77777777" w:rsidR="00E92AED" w:rsidRPr="00A0180C" w:rsidRDefault="00E92AED">
      <w:pPr>
        <w:pStyle w:val="ARbody"/>
        <w:rPr>
          <w:szCs w:val="20"/>
          <w:lang w:eastAsia="en-AU"/>
        </w:rPr>
      </w:pPr>
      <w:r w:rsidRPr="00A0180C">
        <w:rPr>
          <w:color w:val="000000"/>
          <w:szCs w:val="20"/>
          <w:shd w:val="clear" w:color="auto" w:fill="FFFFFF"/>
          <w:lang w:val="en-US"/>
        </w:rPr>
        <w:t xml:space="preserve">The department remains committed to </w:t>
      </w:r>
      <w:r w:rsidRPr="00A0180C">
        <w:rPr>
          <w:color w:val="000000"/>
          <w:szCs w:val="20"/>
          <w:shd w:val="clear" w:color="auto" w:fill="FFFFFF"/>
          <w:lang w:val="en-US"/>
        </w:rPr>
        <w:br/>
        <w:t>self-determination, and the Aboriginal Staff Network is an important channel for amplifying Aboriginal voices. The Aboriginal Staff Network is supported by an Executive Champion to bring to the attention of the Board issues impacting the members of the network.</w:t>
      </w:r>
    </w:p>
    <w:p w14:paraId="42B40D4C" w14:textId="77777777" w:rsidR="00E92AED" w:rsidRPr="00A0180C" w:rsidRDefault="00E92AED">
      <w:pPr>
        <w:pStyle w:val="ARbody"/>
        <w:rPr>
          <w:lang w:eastAsia="en-AU"/>
        </w:rPr>
      </w:pPr>
      <w:r w:rsidRPr="00A0180C">
        <w:rPr>
          <w:shd w:val="clear" w:color="auto" w:fill="FFFFFF"/>
          <w:lang w:val="en-US"/>
        </w:rPr>
        <w:t>The Aboriginal Staff Network held its annual conference in May 2025, focused on cultural</w:t>
      </w:r>
      <w:r w:rsidRPr="00A0180C">
        <w:rPr>
          <w:lang w:val="en-US"/>
        </w:rPr>
        <w:t xml:space="preserve"> safety, truth-telling</w:t>
      </w:r>
      <w:r w:rsidRPr="00A0180C">
        <w:rPr>
          <w:shd w:val="clear" w:color="auto" w:fill="FFFFFF"/>
          <w:lang w:val="en-US"/>
        </w:rPr>
        <w:t xml:space="preserve"> and connection. The conference was well attended with 88 Aboriginal employees from the department.</w:t>
      </w:r>
    </w:p>
    <w:p w14:paraId="52D81518" w14:textId="23ECDB27" w:rsidR="003B50F8" w:rsidRDefault="00E92AED">
      <w:pPr>
        <w:pStyle w:val="ARbody"/>
        <w:rPr>
          <w:lang w:val="en-US"/>
        </w:rPr>
      </w:pPr>
      <w:r w:rsidRPr="00A0180C">
        <w:rPr>
          <w:lang w:val="en-US"/>
        </w:rPr>
        <w:t xml:space="preserve">A dedicated Child Protection Aboriginal Staff Network was established to ensure the support and wellbeing of the frontline workforce. It includes </w:t>
      </w:r>
      <w:proofErr w:type="gramStart"/>
      <w:r w:rsidRPr="00A0180C">
        <w:rPr>
          <w:lang w:val="en-US"/>
        </w:rPr>
        <w:t>wellbeing</w:t>
      </w:r>
      <w:proofErr w:type="gramEnd"/>
      <w:r w:rsidRPr="00A0180C">
        <w:rPr>
          <w:lang w:val="en-US"/>
        </w:rPr>
        <w:t xml:space="preserve"> check</w:t>
      </w:r>
      <w:r w:rsidR="000B251F">
        <w:rPr>
          <w:lang w:val="en-US"/>
        </w:rPr>
        <w:t>-</w:t>
      </w:r>
      <w:r w:rsidRPr="00A0180C">
        <w:rPr>
          <w:lang w:val="en-US"/>
        </w:rPr>
        <w:t>ins, and a dedicated one day in</w:t>
      </w:r>
      <w:r w:rsidR="00EB4E7E">
        <w:rPr>
          <w:lang w:val="en-US"/>
        </w:rPr>
        <w:t>-</w:t>
      </w:r>
      <w:r w:rsidRPr="00A0180C">
        <w:rPr>
          <w:lang w:val="en-US"/>
        </w:rPr>
        <w:t xml:space="preserve">person development and connection day. </w:t>
      </w:r>
    </w:p>
    <w:p w14:paraId="0A8FDB5C" w14:textId="3A9D7D66" w:rsidR="00E92AED" w:rsidRPr="00A0180C" w:rsidRDefault="003B50F8">
      <w:pPr>
        <w:pStyle w:val="Heading3"/>
      </w:pPr>
      <w:r>
        <w:rPr>
          <w:lang w:val="en-US"/>
        </w:rPr>
        <w:br w:type="column"/>
      </w:r>
      <w:r w:rsidR="00E92AED" w:rsidRPr="00A0180C">
        <w:t>Diversity and inclusion framework</w:t>
      </w:r>
    </w:p>
    <w:p w14:paraId="4BDF139D" w14:textId="77777777" w:rsidR="00E92AED" w:rsidRPr="00A0180C" w:rsidRDefault="00E92AED">
      <w:pPr>
        <w:pStyle w:val="ARbody"/>
        <w:rPr>
          <w:lang w:eastAsia="en-AU"/>
        </w:rPr>
      </w:pPr>
      <w:r w:rsidRPr="00A0180C">
        <w:rPr>
          <w:lang w:eastAsia="en-AU"/>
        </w:rPr>
        <w:t xml:space="preserve">The department’s </w:t>
      </w:r>
      <w:r w:rsidRPr="00A0180C">
        <w:rPr>
          <w:rStyle w:val="Emphasis"/>
        </w:rPr>
        <w:t>Diversity and inclusion framework 2022–2027</w:t>
      </w:r>
      <w:r w:rsidRPr="00A0180C">
        <w:rPr>
          <w:lang w:eastAsia="en-AU"/>
        </w:rPr>
        <w:t xml:space="preserve"> supports us to become a leading employer in diversity </w:t>
      </w:r>
      <w:r w:rsidRPr="00A0180C">
        <w:t>and</w:t>
      </w:r>
      <w:r w:rsidRPr="00A0180C">
        <w:rPr>
          <w:lang w:eastAsia="en-AU"/>
        </w:rPr>
        <w:t xml:space="preserve"> inclusion. The framework commits the department to:</w:t>
      </w:r>
    </w:p>
    <w:p w14:paraId="48005AE8" w14:textId="77777777" w:rsidR="00E92AED" w:rsidRPr="00A0180C" w:rsidRDefault="00E92AED" w:rsidP="00E92AED">
      <w:pPr>
        <w:pStyle w:val="ARbullet1"/>
        <w:numPr>
          <w:ilvl w:val="0"/>
          <w:numId w:val="22"/>
        </w:numPr>
      </w:pPr>
      <w:r w:rsidRPr="00A0180C">
        <w:t>employing a workforce that reflects Victoria’s communities to better meet community needs</w:t>
      </w:r>
    </w:p>
    <w:p w14:paraId="50AC4D33" w14:textId="77777777" w:rsidR="00E92AED" w:rsidRPr="00A0180C" w:rsidRDefault="00E92AED" w:rsidP="00E92AED">
      <w:pPr>
        <w:pStyle w:val="ARbullet1"/>
        <w:numPr>
          <w:ilvl w:val="0"/>
          <w:numId w:val="22"/>
        </w:numPr>
        <w:rPr>
          <w:lang w:eastAsia="en-AU"/>
        </w:rPr>
      </w:pPr>
      <w:r w:rsidRPr="00A0180C">
        <w:t>building workplaces that are culturally safe and inclusive</w:t>
      </w:r>
      <w:r w:rsidRPr="00A0180C">
        <w:rPr>
          <w:lang w:eastAsia="en-AU"/>
        </w:rPr>
        <w:t xml:space="preserve"> for diverse staff.</w:t>
      </w:r>
    </w:p>
    <w:p w14:paraId="7D1A6BF9" w14:textId="77777777" w:rsidR="00E92AED" w:rsidRPr="00A0180C" w:rsidRDefault="00E92AED">
      <w:pPr>
        <w:pStyle w:val="ARbodyafterbullets"/>
      </w:pPr>
      <w:r w:rsidRPr="00A0180C">
        <w:t xml:space="preserve">The framework takes an intersectional approach. It incorporates strategies to remove workplace barriers for staff affected by systemic, attitudinal, and behavioural barriers and discrimination. </w:t>
      </w:r>
    </w:p>
    <w:p w14:paraId="79AD367A" w14:textId="77777777" w:rsidR="00E92AED" w:rsidRPr="00A0180C" w:rsidRDefault="00E92AED">
      <w:pPr>
        <w:pStyle w:val="ARbodyafterbullets"/>
      </w:pPr>
      <w:r w:rsidRPr="00A0180C">
        <w:t>This includes:</w:t>
      </w:r>
    </w:p>
    <w:p w14:paraId="050FCC74" w14:textId="77777777" w:rsidR="00E92AED" w:rsidRPr="00A0180C" w:rsidRDefault="00E92AED" w:rsidP="00E92AED">
      <w:pPr>
        <w:pStyle w:val="ARbullet1"/>
        <w:numPr>
          <w:ilvl w:val="0"/>
          <w:numId w:val="22"/>
        </w:numPr>
      </w:pPr>
      <w:r w:rsidRPr="00A0180C">
        <w:t>people with disability</w:t>
      </w:r>
    </w:p>
    <w:p w14:paraId="4A23216E" w14:textId="77777777" w:rsidR="00E92AED" w:rsidRPr="00A0180C" w:rsidRDefault="00E92AED" w:rsidP="00E92AED">
      <w:pPr>
        <w:pStyle w:val="ARbullet1"/>
        <w:numPr>
          <w:ilvl w:val="0"/>
          <w:numId w:val="22"/>
        </w:numPr>
      </w:pPr>
      <w:r w:rsidRPr="00A0180C">
        <w:t>people from multicultural and multifaith backgrounds</w:t>
      </w:r>
    </w:p>
    <w:p w14:paraId="40C66801" w14:textId="77777777" w:rsidR="00E92AED" w:rsidRPr="00A0180C" w:rsidRDefault="00E92AED" w:rsidP="00E92AED">
      <w:pPr>
        <w:pStyle w:val="ARbullet1"/>
        <w:numPr>
          <w:ilvl w:val="0"/>
          <w:numId w:val="22"/>
        </w:numPr>
      </w:pPr>
      <w:r w:rsidRPr="00A0180C">
        <w:t>people who are LGBTIQA+</w:t>
      </w:r>
    </w:p>
    <w:p w14:paraId="1690CF8C" w14:textId="77777777" w:rsidR="00E92AED" w:rsidRPr="00A0180C" w:rsidRDefault="00E92AED" w:rsidP="00E92AED">
      <w:pPr>
        <w:pStyle w:val="ARbullet1"/>
        <w:numPr>
          <w:ilvl w:val="0"/>
          <w:numId w:val="22"/>
        </w:numPr>
      </w:pPr>
      <w:r w:rsidRPr="00A0180C">
        <w:t>people with caring responsibilities.</w:t>
      </w:r>
    </w:p>
    <w:p w14:paraId="4C76F7E3" w14:textId="77777777" w:rsidR="00E92AED" w:rsidRPr="00A0180C" w:rsidRDefault="00E92AED">
      <w:pPr>
        <w:pStyle w:val="ARbodyafterbullets"/>
      </w:pPr>
      <w:r w:rsidRPr="00A0180C">
        <w:t>The framework will:</w:t>
      </w:r>
    </w:p>
    <w:p w14:paraId="0B10AAFE" w14:textId="63E0746A" w:rsidR="00E92AED" w:rsidRPr="00A0180C" w:rsidRDefault="00E92AED" w:rsidP="00E92AED">
      <w:pPr>
        <w:pStyle w:val="ARbullet1"/>
        <w:numPr>
          <w:ilvl w:val="0"/>
          <w:numId w:val="22"/>
        </w:numPr>
      </w:pPr>
      <w:r w:rsidRPr="00A0180C">
        <w:t xml:space="preserve">ensure our leadership profile, governance structures and workforce reflect the community’s </w:t>
      </w:r>
      <w:r w:rsidR="007E6ABB" w:rsidRPr="00A0180C">
        <w:t>diversity,</w:t>
      </w:r>
      <w:r w:rsidRPr="00A0180C">
        <w:t xml:space="preserve"> and all employees are accountable for creating inclusive workplaces</w:t>
      </w:r>
    </w:p>
    <w:p w14:paraId="197C787D" w14:textId="77777777" w:rsidR="00E92AED" w:rsidRPr="00A0180C" w:rsidRDefault="00E92AED" w:rsidP="00E92AED">
      <w:pPr>
        <w:pStyle w:val="ARbullet1"/>
        <w:numPr>
          <w:ilvl w:val="0"/>
          <w:numId w:val="22"/>
        </w:numPr>
      </w:pPr>
      <w:r w:rsidRPr="00A0180C">
        <w:t>empower the voices of our diverse workforce, value diversity of thought and create a workplace where all employees are supported to develop and progress their careers</w:t>
      </w:r>
    </w:p>
    <w:p w14:paraId="57271F50" w14:textId="77777777" w:rsidR="00E92AED" w:rsidRPr="00A0180C" w:rsidRDefault="00E92AED" w:rsidP="00E92AED">
      <w:pPr>
        <w:pStyle w:val="ARbullet1"/>
        <w:numPr>
          <w:ilvl w:val="0"/>
          <w:numId w:val="22"/>
        </w:numPr>
      </w:pPr>
      <w:r w:rsidRPr="00A0180C">
        <w:t xml:space="preserve">improve business outcomes by putting diverse </w:t>
      </w:r>
      <w:proofErr w:type="gramStart"/>
      <w:r w:rsidRPr="00A0180C">
        <w:t>people’s</w:t>
      </w:r>
      <w:proofErr w:type="gramEnd"/>
      <w:r w:rsidRPr="00A0180C">
        <w:t xml:space="preserve"> lived experience at the core of policy, programs and services</w:t>
      </w:r>
    </w:p>
    <w:p w14:paraId="12E919FB" w14:textId="77777777" w:rsidR="00E92AED" w:rsidRPr="00A0180C" w:rsidRDefault="00E92AED" w:rsidP="00E92AED">
      <w:pPr>
        <w:pStyle w:val="ARbullet1"/>
        <w:numPr>
          <w:ilvl w:val="0"/>
          <w:numId w:val="22"/>
        </w:numPr>
      </w:pPr>
      <w:r w:rsidRPr="00A0180C">
        <w:t>embed culturally safe actions, systems and practices as the norm</w:t>
      </w:r>
    </w:p>
    <w:p w14:paraId="13966477" w14:textId="77777777" w:rsidR="00E92AED" w:rsidRPr="00A0180C" w:rsidRDefault="00E92AED" w:rsidP="00E92AED">
      <w:pPr>
        <w:pStyle w:val="ARbullet1"/>
        <w:numPr>
          <w:ilvl w:val="0"/>
          <w:numId w:val="22"/>
        </w:numPr>
      </w:pPr>
      <w:r w:rsidRPr="00A0180C">
        <w:t>create work environments that are accessible and safe, with prevention, early intervention and suitable response to all forms of discrimination and inappropriate behaviours</w:t>
      </w:r>
    </w:p>
    <w:p w14:paraId="0B98D824" w14:textId="77777777" w:rsidR="00E92AED" w:rsidRPr="00A0180C" w:rsidRDefault="00E92AED" w:rsidP="00E92AED">
      <w:pPr>
        <w:pStyle w:val="ARbullet1"/>
        <w:numPr>
          <w:ilvl w:val="0"/>
          <w:numId w:val="22"/>
        </w:numPr>
      </w:pPr>
      <w:r w:rsidRPr="00A0180C">
        <w:t>foster transparency, accountability and measurable targets to achieve outcomes.</w:t>
      </w:r>
    </w:p>
    <w:p w14:paraId="2B3857B8" w14:textId="77777777" w:rsidR="003B50F8" w:rsidRDefault="003B50F8">
      <w:pPr>
        <w:pStyle w:val="ARbodyafterbullets"/>
      </w:pPr>
      <w:r>
        <w:br w:type="page"/>
      </w:r>
    </w:p>
    <w:p w14:paraId="01A88552" w14:textId="032E8887" w:rsidR="00E92AED" w:rsidRPr="00A0180C" w:rsidRDefault="00E92AED">
      <w:pPr>
        <w:pStyle w:val="ARbodyafterbullets"/>
      </w:pPr>
      <w:r w:rsidRPr="00A0180C">
        <w:lastRenderedPageBreak/>
        <w:t>Since the launch of the framework, progressed implementation actions include:</w:t>
      </w:r>
    </w:p>
    <w:p w14:paraId="390F3CA8" w14:textId="77777777" w:rsidR="00E92AED" w:rsidRPr="00A0180C" w:rsidRDefault="00E92AED" w:rsidP="00E92AED">
      <w:pPr>
        <w:pStyle w:val="ARbullet1"/>
        <w:numPr>
          <w:ilvl w:val="0"/>
          <w:numId w:val="22"/>
        </w:numPr>
      </w:pPr>
      <w:r w:rsidRPr="00A0180C">
        <w:t>establishing the diverse staff community of practice to provide a safe space for diverse employees</w:t>
      </w:r>
    </w:p>
    <w:p w14:paraId="1896D6C5" w14:textId="77777777" w:rsidR="00E92AED" w:rsidRPr="00A0180C" w:rsidRDefault="00E92AED" w:rsidP="00E92AED">
      <w:pPr>
        <w:pStyle w:val="ARbullet1"/>
        <w:numPr>
          <w:ilvl w:val="0"/>
          <w:numId w:val="22"/>
        </w:numPr>
      </w:pPr>
      <w:r w:rsidRPr="00A0180C">
        <w:t>delivering the annual diversity workforce survey</w:t>
      </w:r>
    </w:p>
    <w:p w14:paraId="6DBA0B6C" w14:textId="77777777" w:rsidR="00E92AED" w:rsidRPr="00A0180C" w:rsidRDefault="00E92AED" w:rsidP="00E92AED">
      <w:pPr>
        <w:pStyle w:val="ARbullet1"/>
        <w:numPr>
          <w:ilvl w:val="0"/>
          <w:numId w:val="22"/>
        </w:numPr>
      </w:pPr>
      <w:r w:rsidRPr="00A0180C">
        <w:t>establishing accessible communications guidelines</w:t>
      </w:r>
    </w:p>
    <w:p w14:paraId="15550F7F" w14:textId="77777777" w:rsidR="00E92AED" w:rsidRPr="00A0180C" w:rsidRDefault="00E92AED" w:rsidP="00E92AED">
      <w:pPr>
        <w:pStyle w:val="ARbullet1"/>
        <w:numPr>
          <w:ilvl w:val="0"/>
          <w:numId w:val="22"/>
        </w:numPr>
      </w:pPr>
      <w:r w:rsidRPr="00A0180C">
        <w:t>building inclusive leadership development into our leadership training</w:t>
      </w:r>
    </w:p>
    <w:p w14:paraId="7B4025EB" w14:textId="77777777" w:rsidR="00E92AED" w:rsidRPr="00A0180C" w:rsidRDefault="00E92AED" w:rsidP="00E92AED">
      <w:pPr>
        <w:pStyle w:val="ARbullet1"/>
        <w:numPr>
          <w:ilvl w:val="0"/>
          <w:numId w:val="22"/>
        </w:numPr>
      </w:pPr>
      <w:r w:rsidRPr="00A0180C">
        <w:t>investing in anti-racism training for people leaders</w:t>
      </w:r>
    </w:p>
    <w:p w14:paraId="66FB9DB5" w14:textId="164E6364" w:rsidR="00E92AED" w:rsidRPr="00A0180C" w:rsidRDefault="00E92AED" w:rsidP="00E92AED">
      <w:pPr>
        <w:pStyle w:val="ARbullet1"/>
        <w:numPr>
          <w:ilvl w:val="0"/>
          <w:numId w:val="22"/>
        </w:numPr>
      </w:pPr>
      <w:r w:rsidRPr="00A0180C">
        <w:t>commencing roll</w:t>
      </w:r>
      <w:r w:rsidR="00DC6507">
        <w:t>-</w:t>
      </w:r>
      <w:r w:rsidRPr="00A0180C">
        <w:t>out of our multifaith prayer space guidelines</w:t>
      </w:r>
    </w:p>
    <w:p w14:paraId="5DDE13FA" w14:textId="77777777" w:rsidR="00E92AED" w:rsidRPr="00A0180C" w:rsidRDefault="00E92AED" w:rsidP="00E92AED">
      <w:pPr>
        <w:pStyle w:val="ARbullet1"/>
        <w:numPr>
          <w:ilvl w:val="0"/>
          <w:numId w:val="22"/>
        </w:numPr>
      </w:pPr>
      <w:r w:rsidRPr="00A0180C">
        <w:t>delivering disability confidence and autism support training</w:t>
      </w:r>
    </w:p>
    <w:p w14:paraId="2BB134E3" w14:textId="77777777" w:rsidR="00E92AED" w:rsidRPr="00A0180C" w:rsidRDefault="00E92AED" w:rsidP="00E92AED">
      <w:pPr>
        <w:pStyle w:val="ARbullet1"/>
        <w:numPr>
          <w:ilvl w:val="0"/>
          <w:numId w:val="22"/>
        </w:numPr>
      </w:pPr>
      <w:r w:rsidRPr="00A0180C">
        <w:t>launching special measures guidelines.</w:t>
      </w:r>
    </w:p>
    <w:p w14:paraId="4846C4DA" w14:textId="50A03804" w:rsidR="00E92AED" w:rsidRPr="00A0180C" w:rsidRDefault="00E92AED">
      <w:pPr>
        <w:pStyle w:val="Heading4"/>
      </w:pPr>
      <w:r w:rsidRPr="00A0180C">
        <w:t>Staff</w:t>
      </w:r>
      <w:r w:rsidR="00C11691">
        <w:t>-</w:t>
      </w:r>
      <w:r w:rsidRPr="00A0180C">
        <w:t>led lived experience networks</w:t>
      </w:r>
    </w:p>
    <w:p w14:paraId="5DFAB79C" w14:textId="02B90EE4" w:rsidR="00E92AED" w:rsidRPr="00A0180C" w:rsidRDefault="00E92AED">
      <w:pPr>
        <w:pStyle w:val="ARbody"/>
      </w:pPr>
      <w:r w:rsidRPr="00A0180C">
        <w:t xml:space="preserve">The department is investing in diverse staff with lived experience and their allies. Staff lived experienced networks are inclusive places for staff to connect and share experiences. As part of the networks, staff are provided opportunities to input into </w:t>
      </w:r>
      <w:r w:rsidR="006355A5">
        <w:t>the department’s</w:t>
      </w:r>
      <w:r w:rsidR="006355A5" w:rsidRPr="00A0180C">
        <w:t xml:space="preserve"> </w:t>
      </w:r>
      <w:r w:rsidRPr="00A0180C">
        <w:t>projects, strategies and</w:t>
      </w:r>
      <w:r w:rsidR="00E16B5E">
        <w:t> </w:t>
      </w:r>
      <w:r w:rsidRPr="00A0180C">
        <w:t xml:space="preserve">training. </w:t>
      </w:r>
    </w:p>
    <w:p w14:paraId="7662C265" w14:textId="4D226E90" w:rsidR="00E92AED" w:rsidRPr="00A0180C" w:rsidRDefault="00E92AED">
      <w:pPr>
        <w:pStyle w:val="ARbody"/>
      </w:pPr>
      <w:r w:rsidRPr="00A0180C">
        <w:t xml:space="preserve">Each network has co-chairs and an appointed Executive Champion accountable for addressing barriers to inclusion. All </w:t>
      </w:r>
      <w:r w:rsidR="00C11691">
        <w:t>n</w:t>
      </w:r>
      <w:r w:rsidR="00C11691" w:rsidRPr="00A0180C">
        <w:t xml:space="preserve">etwork </w:t>
      </w:r>
      <w:r w:rsidRPr="00A0180C">
        <w:t>members meet regularly to progress priorities.</w:t>
      </w:r>
      <w:r w:rsidRPr="00A0180C" w:rsidDel="005D64B3">
        <w:t xml:space="preserve"> </w:t>
      </w:r>
      <w:r w:rsidRPr="00A0180C">
        <w:t xml:space="preserve">In addition to the Enablers, Pride, Aboriginal Staff and </w:t>
      </w:r>
      <w:proofErr w:type="spellStart"/>
      <w:r w:rsidRPr="00A0180C">
        <w:t>Wirrigirri</w:t>
      </w:r>
      <w:proofErr w:type="spellEnd"/>
      <w:r w:rsidRPr="00A0180C">
        <w:t xml:space="preserve"> networks, two new networks were established in 2025, the Women of Colour and Multicultural Staff Networks which are collectives for staff with lived experience and their allies. </w:t>
      </w:r>
    </w:p>
    <w:p w14:paraId="45C89E05" w14:textId="40301CBF" w:rsidR="00E92AED" w:rsidRPr="00A0180C" w:rsidRDefault="00E92AED">
      <w:pPr>
        <w:pStyle w:val="ARbody"/>
      </w:pPr>
      <w:r w:rsidRPr="00A0180C">
        <w:t xml:space="preserve">Network co-chairs completed employee reference group development to support them to effectively navigate their roles. </w:t>
      </w:r>
    </w:p>
    <w:p w14:paraId="3C62ED13" w14:textId="77777777" w:rsidR="00E92AED" w:rsidRPr="00A0180C" w:rsidRDefault="00E92AED">
      <w:pPr>
        <w:pStyle w:val="Heading4"/>
      </w:pPr>
      <w:r w:rsidRPr="00A0180C">
        <w:t>People with disability</w:t>
      </w:r>
    </w:p>
    <w:p w14:paraId="3A2DC1C7" w14:textId="77777777" w:rsidR="00E92AED" w:rsidRPr="00A0180C" w:rsidRDefault="00E92AED">
      <w:pPr>
        <w:pStyle w:val="ARbody"/>
      </w:pPr>
      <w:r w:rsidRPr="00A0180C">
        <w:t xml:space="preserve">In addition to the department’s framework, the department continued to deliver actions under </w:t>
      </w:r>
      <w:r w:rsidRPr="00A0180C">
        <w:rPr>
          <w:rStyle w:val="Emphasis"/>
        </w:rPr>
        <w:t>Getting to work: Victorian public sector disability employment action plan 2018–2025</w:t>
      </w:r>
      <w:r w:rsidRPr="00A0180C">
        <w:t>.</w:t>
      </w:r>
    </w:p>
    <w:p w14:paraId="6792618D" w14:textId="77777777" w:rsidR="003B50F8" w:rsidRDefault="00E92AED">
      <w:pPr>
        <w:pStyle w:val="ARbody"/>
      </w:pPr>
      <w:r w:rsidRPr="00A0180C">
        <w:t xml:space="preserve">The action plan supports increased opportunities for people with disability to work in the department, with targets of 6% employment by 2020 and 12% employment by 2025. In 2025, the People Matter Survey data showed that of the people who completed the survey, 12% of respondents shared they had a disability. </w:t>
      </w:r>
    </w:p>
    <w:p w14:paraId="086FBAE6" w14:textId="2B89FBEC" w:rsidR="00E92AED" w:rsidRPr="00A0180C" w:rsidRDefault="00E92AED">
      <w:pPr>
        <w:pStyle w:val="ARbody"/>
      </w:pPr>
      <w:r w:rsidRPr="00A0180C">
        <w:t>Our department’s 2025 diversity workforce survey was developed with employees with lived experience and showed that 21% of the survey respondents</w:t>
      </w:r>
      <w:r w:rsidRPr="00A0180C" w:rsidDel="000956C4">
        <w:t xml:space="preserve"> </w:t>
      </w:r>
      <w:r w:rsidRPr="00A0180C">
        <w:t>shared they are a person with disability.</w:t>
      </w:r>
    </w:p>
    <w:p w14:paraId="4161C798" w14:textId="77777777" w:rsidR="00E92AED" w:rsidRPr="00A0180C" w:rsidRDefault="00E92AED">
      <w:pPr>
        <w:pStyle w:val="ARbody"/>
      </w:pPr>
      <w:r w:rsidRPr="00A0180C">
        <w:t xml:space="preserve">The department has a dedicated workplace adjustment policy and resources to support the inclusion and participation of employees with disability and build organisational capability. The department has also implemented independent neurodiverse confident services that offer a range of services and support for neurodivergent employees, as well as managers and their teams. </w:t>
      </w:r>
    </w:p>
    <w:p w14:paraId="5F32FB57" w14:textId="77777777" w:rsidR="00E92AED" w:rsidRPr="00A0180C" w:rsidRDefault="00E92AED">
      <w:pPr>
        <w:pStyle w:val="ARbody"/>
      </w:pPr>
      <w:r w:rsidRPr="00A0180C">
        <w:t xml:space="preserve">The Enablers Network for people with disability continued supporting employees with disability to ensure a voice and fair and equitable outcomes. An Executive Champion supports the network and drives organisational inclusion. </w:t>
      </w:r>
    </w:p>
    <w:p w14:paraId="41E132BD" w14:textId="77777777" w:rsidR="00E92AED" w:rsidRPr="00A0180C" w:rsidRDefault="00E92AED">
      <w:pPr>
        <w:pStyle w:val="ARbody"/>
      </w:pPr>
      <w:r w:rsidRPr="00A0180C">
        <w:t>The department also worked with the Australian Disability Network for roundtable opportunities and to provide confidence training for employees with disability.</w:t>
      </w:r>
    </w:p>
    <w:p w14:paraId="77645958" w14:textId="77777777" w:rsidR="00E92AED" w:rsidRPr="00A0180C" w:rsidRDefault="00E92AED">
      <w:pPr>
        <w:pStyle w:val="ARbody"/>
      </w:pPr>
      <w:r w:rsidRPr="00A0180C">
        <w:t>The department continued the Australian Disability Network Internship Program (previously known as Stepping Into) for people with disability. This program provides university students with valuable work experience, confidence and a chance to bridge the gap between university and graduate opportunities.</w:t>
      </w:r>
    </w:p>
    <w:p w14:paraId="5FC47941" w14:textId="7196BC55" w:rsidR="00E92AED" w:rsidRPr="00A0180C" w:rsidRDefault="00E92AED">
      <w:pPr>
        <w:pStyle w:val="ARbody"/>
      </w:pPr>
      <w:r w:rsidRPr="00A0180C">
        <w:t>The department also works with Belonging Matters, which is an employment partner that supports people who have an intellectual disability to gain meaningful employment across Victoria.</w:t>
      </w:r>
    </w:p>
    <w:p w14:paraId="46691EFE" w14:textId="77777777" w:rsidR="000D3421" w:rsidRDefault="00E92AED">
      <w:pPr>
        <w:pStyle w:val="ARbody"/>
      </w:pPr>
      <w:r w:rsidRPr="00A0180C">
        <w:t xml:space="preserve">Lastly, the department is committed to the disability pathway within the Youth Employment Scheme career pathway for young people. </w:t>
      </w:r>
    </w:p>
    <w:p w14:paraId="578AD3CE" w14:textId="77777777" w:rsidR="00E92AED" w:rsidRPr="00A0180C" w:rsidRDefault="00E92AED">
      <w:pPr>
        <w:pStyle w:val="Heading4"/>
      </w:pPr>
      <w:r w:rsidRPr="00A0180C">
        <w:t>People from multicultural and multifaith backgrounds</w:t>
      </w:r>
    </w:p>
    <w:p w14:paraId="03EC6539" w14:textId="250F0F30" w:rsidR="000D3421" w:rsidRDefault="00E92AED">
      <w:pPr>
        <w:pStyle w:val="ARbody"/>
      </w:pPr>
      <w:r w:rsidRPr="00A0180C">
        <w:t>The department has a priority focus on ensuring representation and inclusion of staff from multicultural backgrounds. We have delivered a guide for ensuring prayer spaces in our offices and roll</w:t>
      </w:r>
      <w:r w:rsidR="00DC6507">
        <w:t>-</w:t>
      </w:r>
      <w:r w:rsidRPr="00A0180C">
        <w:t xml:space="preserve">out has continued across offices. We have launched a language allowance policy that ensures we valued the language and cultural expertise our workforce brings. </w:t>
      </w:r>
      <w:r w:rsidR="000D3421">
        <w:br w:type="page"/>
      </w:r>
    </w:p>
    <w:p w14:paraId="1EF3F7F4" w14:textId="6C9AEEE7" w:rsidR="00E92AED" w:rsidRPr="00A0180C" w:rsidRDefault="00E92AED">
      <w:pPr>
        <w:pStyle w:val="ARbody"/>
      </w:pPr>
      <w:r w:rsidRPr="00A0180C">
        <w:lastRenderedPageBreak/>
        <w:t>The department has priority targets to improve the representation of the workforce from non-main</w:t>
      </w:r>
      <w:r w:rsidR="00C11691">
        <w:t>-</w:t>
      </w:r>
      <w:r w:rsidRPr="00A0180C">
        <w:t>English</w:t>
      </w:r>
      <w:r w:rsidR="00C11691">
        <w:t>-</w:t>
      </w:r>
      <w:r w:rsidRPr="00A0180C">
        <w:t>speaking multicultural backgrounds. The</w:t>
      </w:r>
      <w:r w:rsidR="000D3421">
        <w:t> </w:t>
      </w:r>
      <w:r w:rsidRPr="00A0180C">
        <w:t>department’s 2025 diversity workforce survey</w:t>
      </w:r>
      <w:r w:rsidR="000D3421">
        <w:t> </w:t>
      </w:r>
      <w:r w:rsidRPr="00A0180C">
        <w:t>was developed with employees with lived</w:t>
      </w:r>
      <w:r w:rsidR="000D3421">
        <w:t> </w:t>
      </w:r>
      <w:r w:rsidRPr="00A0180C">
        <w:t>experience and showed that 20% of the survey respondents identified from a non-main</w:t>
      </w:r>
      <w:r w:rsidR="00C11691">
        <w:t>-</w:t>
      </w:r>
      <w:r w:rsidRPr="00A0180C">
        <w:t>English</w:t>
      </w:r>
      <w:r w:rsidR="00C11691">
        <w:t>-</w:t>
      </w:r>
      <w:r w:rsidRPr="00A0180C">
        <w:t>speaking</w:t>
      </w:r>
      <w:r w:rsidR="000D3421">
        <w:t> </w:t>
      </w:r>
      <w:r w:rsidRPr="00A0180C">
        <w:t xml:space="preserve">background. </w:t>
      </w:r>
    </w:p>
    <w:p w14:paraId="107C009E" w14:textId="35611F8D" w:rsidR="00E92AED" w:rsidRPr="00A0180C" w:rsidRDefault="00E92AED">
      <w:pPr>
        <w:pStyle w:val="ARbody"/>
      </w:pPr>
      <w:r w:rsidRPr="00A0180C">
        <w:t>The department has established a Multicultural and</w:t>
      </w:r>
      <w:r w:rsidR="000D3421">
        <w:t> </w:t>
      </w:r>
      <w:r w:rsidRPr="00A0180C">
        <w:t>Women of Colour Network. Key members of</w:t>
      </w:r>
      <w:r w:rsidR="000D3421">
        <w:t> </w:t>
      </w:r>
      <w:r w:rsidRPr="00A0180C">
        <w:t>employee-led networks are employed at the department and are supported by a senior Executive Champion to drive organisational</w:t>
      </w:r>
      <w:r w:rsidR="000D3421">
        <w:t> </w:t>
      </w:r>
      <w:r w:rsidRPr="00A0180C">
        <w:t>inclusion.</w:t>
      </w:r>
    </w:p>
    <w:p w14:paraId="003070FD" w14:textId="77777777" w:rsidR="00E92AED" w:rsidRPr="00A0180C" w:rsidRDefault="00E92AED">
      <w:pPr>
        <w:pStyle w:val="Heading4"/>
        <w:spacing w:before="160"/>
      </w:pPr>
      <w:r w:rsidRPr="00A0180C">
        <w:t>LGBTIQA+ people</w:t>
      </w:r>
    </w:p>
    <w:p w14:paraId="5D6B473E" w14:textId="77777777" w:rsidR="00E92AED" w:rsidRPr="00A0180C" w:rsidRDefault="00E92AED">
      <w:pPr>
        <w:pStyle w:val="ARbody"/>
      </w:pPr>
      <w:r w:rsidRPr="00A0180C">
        <w:t>The department continued initiatives and actions under 6 key result areas measured in the Australian Workplace Equality Index:</w:t>
      </w:r>
    </w:p>
    <w:p w14:paraId="7798EB3D" w14:textId="77777777" w:rsidR="00E92AED" w:rsidRPr="00A0180C" w:rsidRDefault="00E92AED" w:rsidP="00E92AED">
      <w:pPr>
        <w:pStyle w:val="ARbullet1"/>
        <w:numPr>
          <w:ilvl w:val="0"/>
          <w:numId w:val="22"/>
        </w:numPr>
      </w:pPr>
      <w:r w:rsidRPr="00A0180C">
        <w:t>inclusive policy and practice</w:t>
      </w:r>
    </w:p>
    <w:p w14:paraId="408589F5" w14:textId="77777777" w:rsidR="00E92AED" w:rsidRPr="00A0180C" w:rsidRDefault="00E92AED" w:rsidP="00E92AED">
      <w:pPr>
        <w:pStyle w:val="ARbullet1"/>
        <w:numPr>
          <w:ilvl w:val="0"/>
          <w:numId w:val="22"/>
        </w:numPr>
      </w:pPr>
      <w:r w:rsidRPr="00A0180C">
        <w:t>strategy and accountability</w:t>
      </w:r>
    </w:p>
    <w:p w14:paraId="5E0A4D26" w14:textId="77777777" w:rsidR="00E92AED" w:rsidRPr="00A0180C" w:rsidRDefault="00E92AED" w:rsidP="00E92AED">
      <w:pPr>
        <w:pStyle w:val="ARbullet1"/>
        <w:numPr>
          <w:ilvl w:val="0"/>
          <w:numId w:val="22"/>
        </w:numPr>
      </w:pPr>
      <w:r w:rsidRPr="00A0180C">
        <w:t>LGBTIQA+ training and education</w:t>
      </w:r>
    </w:p>
    <w:p w14:paraId="4C3EA024" w14:textId="77777777" w:rsidR="00E92AED" w:rsidRPr="00A0180C" w:rsidRDefault="00E92AED" w:rsidP="00E92AED">
      <w:pPr>
        <w:pStyle w:val="ARbullet1"/>
        <w:numPr>
          <w:ilvl w:val="0"/>
          <w:numId w:val="22"/>
        </w:numPr>
      </w:pPr>
      <w:r w:rsidRPr="00A0180C">
        <w:t>LGBTIQA+ employee network</w:t>
      </w:r>
    </w:p>
    <w:p w14:paraId="19927027" w14:textId="77777777" w:rsidR="00E92AED" w:rsidRPr="00A0180C" w:rsidRDefault="00E92AED" w:rsidP="00E92AED">
      <w:pPr>
        <w:pStyle w:val="ARbullet1"/>
        <w:numPr>
          <w:ilvl w:val="0"/>
          <w:numId w:val="22"/>
        </w:numPr>
      </w:pPr>
      <w:r w:rsidRPr="00A0180C">
        <w:t>visibility and inclusion</w:t>
      </w:r>
    </w:p>
    <w:p w14:paraId="21E5514D" w14:textId="77777777" w:rsidR="00E92AED" w:rsidRPr="00A0180C" w:rsidRDefault="00E92AED" w:rsidP="00E92AED">
      <w:pPr>
        <w:pStyle w:val="ARbullet1"/>
        <w:numPr>
          <w:ilvl w:val="0"/>
          <w:numId w:val="22"/>
        </w:numPr>
      </w:pPr>
      <w:r w:rsidRPr="00A0180C">
        <w:t>community engagement.</w:t>
      </w:r>
    </w:p>
    <w:p w14:paraId="756CB53C" w14:textId="0ECC11E0" w:rsidR="00E92AED" w:rsidRPr="00A0180C" w:rsidRDefault="00E92AED">
      <w:pPr>
        <w:pStyle w:val="ARbodyafterbullets"/>
      </w:pPr>
      <w:r w:rsidRPr="00A0180C">
        <w:t>The department has supportive processes for trans and gender</w:t>
      </w:r>
      <w:r w:rsidR="001F2C79">
        <w:t xml:space="preserve"> </w:t>
      </w:r>
      <w:r w:rsidRPr="00A0180C">
        <w:t>diverse employees to affirm their gender identity in the workplace and to ensure their safety and inclusion. The department continued to work with Pride in Diversity to provide employees with training and awareness. We are also submitted for bronze status in the Australian Workplace Equality Index (AWEI).</w:t>
      </w:r>
    </w:p>
    <w:p w14:paraId="6671BCD3" w14:textId="6425F5AB" w:rsidR="00E92AED" w:rsidRPr="00A0180C" w:rsidRDefault="00E92AED">
      <w:pPr>
        <w:pStyle w:val="ARbodyafterbullets"/>
      </w:pPr>
      <w:r w:rsidRPr="00A0180C">
        <w:t>In February 2025, we launched the LGBTIQA+ confidential contacts and grievance officer programs to ensure trained allies and people and culture staff can support the workforce. The department has procured a provider to co-design a</w:t>
      </w:r>
      <w:r w:rsidR="006243DD">
        <w:t> </w:t>
      </w:r>
      <w:r w:rsidRPr="00A0180C">
        <w:t xml:space="preserve">Trans and Gender Diverse eLearn to build the capability of workforce. </w:t>
      </w:r>
    </w:p>
    <w:p w14:paraId="3465D893" w14:textId="2A0E8E95" w:rsidR="00E92AED" w:rsidRPr="00A0180C" w:rsidRDefault="00E92AED">
      <w:pPr>
        <w:pStyle w:val="ARbodyafterbullets"/>
      </w:pPr>
      <w:r w:rsidRPr="00A0180C">
        <w:t>The department’s Pride Network provides a forum for all staff interested in, and supportive of, creating safe and inclusive workplaces for LGBTIQA+ employees. An Executive Champion is appointed to the network to drive organisational inclusion. Part of a broader whole-of-Victorian Government Pride Network, it offers a space for staff to promote positive LGBTIQA+ cultural awareness and sector-wide events, participate in professional development opportunities and contribute to the department’s LGBTIQA+ diversity work.</w:t>
      </w:r>
    </w:p>
    <w:p w14:paraId="423244C9" w14:textId="77777777" w:rsidR="00E92AED" w:rsidRPr="00A0180C" w:rsidRDefault="00E92AED">
      <w:pPr>
        <w:pStyle w:val="Heading4"/>
        <w:spacing w:before="160"/>
      </w:pPr>
      <w:r w:rsidRPr="00A0180C">
        <w:t>People with caring responsibilities</w:t>
      </w:r>
    </w:p>
    <w:p w14:paraId="1D85B481" w14:textId="77777777" w:rsidR="00E92AED" w:rsidRPr="00A0180C" w:rsidRDefault="00E92AED">
      <w:pPr>
        <w:pStyle w:val="ARbody"/>
        <w:rPr>
          <w:rFonts w:cs="Times New Roman"/>
        </w:rPr>
      </w:pPr>
      <w:r w:rsidRPr="00A0180C">
        <w:rPr>
          <w:rFonts w:cs="Times New Roman"/>
        </w:rPr>
        <w:t>The department is committed to supporting staff to balance work and caring responsibilities and has included a range of actions to support carers in its diversity and inclusion framework and gender equality action plan.</w:t>
      </w:r>
    </w:p>
    <w:p w14:paraId="2D6A7867" w14:textId="0B80A5B3" w:rsidR="00E92AED" w:rsidRPr="00A0180C" w:rsidRDefault="00E92AED">
      <w:pPr>
        <w:pStyle w:val="ARbody"/>
        <w:rPr>
          <w:rFonts w:cs="Times New Roman"/>
        </w:rPr>
      </w:pPr>
      <w:r w:rsidRPr="00A0180C">
        <w:rPr>
          <w:rFonts w:cs="Times New Roman"/>
        </w:rPr>
        <w:t>Key activities include the provision of a parental transition support program, promoting equitable access to flexible work arrangements through the development of resources for managers and staff and monitoring uptake of leave for diverse caring, parental and kinship responsibilities through an annual audit to identify and address barriers and trends.</w:t>
      </w:r>
    </w:p>
    <w:p w14:paraId="6899E274" w14:textId="77777777" w:rsidR="00E92AED" w:rsidRPr="00A0180C" w:rsidRDefault="00E92AED">
      <w:pPr>
        <w:pStyle w:val="Heading3"/>
      </w:pPr>
      <w:r w:rsidRPr="00A0180C">
        <w:t>Gender equality</w:t>
      </w:r>
    </w:p>
    <w:p w14:paraId="72917094" w14:textId="77777777" w:rsidR="00E92AED" w:rsidRPr="00A0180C" w:rsidRDefault="00E92AED">
      <w:pPr>
        <w:pStyle w:val="ARbody"/>
      </w:pPr>
      <w:r w:rsidRPr="00A0180C">
        <w:t xml:space="preserve">The department continued to promote workplace gender equality and to meet its requirements under the </w:t>
      </w:r>
      <w:r w:rsidRPr="00A0180C">
        <w:rPr>
          <w:rStyle w:val="Emphasis"/>
        </w:rPr>
        <w:t>Gender Equality Act 2020</w:t>
      </w:r>
      <w:r w:rsidRPr="00A0180C">
        <w:t xml:space="preserve"> (the Act) including through:</w:t>
      </w:r>
    </w:p>
    <w:p w14:paraId="5098C1F2" w14:textId="77777777" w:rsidR="00E92AED" w:rsidRPr="00A0180C" w:rsidRDefault="00E92AED" w:rsidP="00E92AED">
      <w:pPr>
        <w:pStyle w:val="ARbullet1"/>
        <w:numPr>
          <w:ilvl w:val="0"/>
          <w:numId w:val="22"/>
        </w:numPr>
      </w:pPr>
      <w:r w:rsidRPr="00A0180C">
        <w:t xml:space="preserve">implementation of the department’s </w:t>
      </w:r>
      <w:r w:rsidRPr="00482D2C">
        <w:rPr>
          <w:rStyle w:val="Emphasis"/>
        </w:rPr>
        <w:t xml:space="preserve">Gender equality action plan 2022–2025 </w:t>
      </w:r>
      <w:r w:rsidRPr="00A0180C">
        <w:t>(GEAP)</w:t>
      </w:r>
    </w:p>
    <w:p w14:paraId="0F553536" w14:textId="77777777" w:rsidR="00E92AED" w:rsidRPr="00A0180C" w:rsidRDefault="00E92AED" w:rsidP="00E92AED">
      <w:pPr>
        <w:pStyle w:val="ARbullet1"/>
        <w:numPr>
          <w:ilvl w:val="0"/>
          <w:numId w:val="22"/>
        </w:numPr>
      </w:pPr>
      <w:r w:rsidRPr="00A0180C">
        <w:t>conducting Gender Impact Assessments (GIAs) for new policies, programs and services that have a significant impact on the public</w:t>
      </w:r>
    </w:p>
    <w:p w14:paraId="52E7195B" w14:textId="3C52A593" w:rsidR="00E92AED" w:rsidRPr="00A0180C" w:rsidRDefault="00E92AED" w:rsidP="00E92AED">
      <w:pPr>
        <w:pStyle w:val="ARbullet1"/>
        <w:numPr>
          <w:ilvl w:val="0"/>
          <w:numId w:val="22"/>
        </w:numPr>
      </w:pPr>
      <w:r w:rsidRPr="00A0180C">
        <w:t>preparing for the June 2025 workplace gender</w:t>
      </w:r>
      <w:r w:rsidR="000D3421">
        <w:t> </w:t>
      </w:r>
      <w:r w:rsidRPr="00A0180C">
        <w:t>audit.</w:t>
      </w:r>
    </w:p>
    <w:p w14:paraId="06C48F81" w14:textId="77777777" w:rsidR="00E92AED" w:rsidRPr="00A0180C" w:rsidRDefault="00E92AED" w:rsidP="000D3421">
      <w:pPr>
        <w:pStyle w:val="ARbodyafterbullets"/>
      </w:pPr>
      <w:r w:rsidRPr="00A0180C">
        <w:t>The department has progressed activities under the GEAP. This includes updating our sexual harassment policy, developing and delivering Everyday Sexism and Sexual Harassment workshops, providing training and coaching to support parental leave and menopause transition, progressing a job share pilot, establishing a family violence contact officer network and expanding supports for staff experiencing family violence</w:t>
      </w:r>
      <w:r w:rsidRPr="00A0180C" w:rsidDel="00C22930">
        <w:t xml:space="preserve">, </w:t>
      </w:r>
      <w:r w:rsidRPr="00A0180C">
        <w:t>and including model gender equality goals for leaders in the professional development cycle.</w:t>
      </w:r>
    </w:p>
    <w:p w14:paraId="3DC1FA5E" w14:textId="45E9BC8D" w:rsidR="000D3421" w:rsidRDefault="00E92AED">
      <w:pPr>
        <w:pStyle w:val="ARbody"/>
      </w:pPr>
      <w:r w:rsidRPr="00A0180C">
        <w:t>The department has delivered activities to support GIA capability and compliance. This includes expanding the number of GIAs in our central GIA depository, quality assurance of gender responsive budgeting submissions, and providing in-house training to department staff on GIA processes.</w:t>
      </w:r>
      <w:r w:rsidR="000D3421">
        <w:br w:type="page"/>
      </w:r>
    </w:p>
    <w:p w14:paraId="55AEABF5" w14:textId="77777777" w:rsidR="00E92AED" w:rsidRPr="00A0180C" w:rsidRDefault="00E92AED">
      <w:pPr>
        <w:pStyle w:val="Heading3"/>
      </w:pPr>
      <w:r w:rsidRPr="00A0180C">
        <w:lastRenderedPageBreak/>
        <w:t>Youth Employment Scheme</w:t>
      </w:r>
    </w:p>
    <w:p w14:paraId="2907BE9B" w14:textId="77777777" w:rsidR="00E92AED" w:rsidRPr="00A0180C" w:rsidRDefault="00E92AED">
      <w:pPr>
        <w:pStyle w:val="ARbody"/>
      </w:pPr>
      <w:r w:rsidRPr="00A0180C">
        <w:t>The department continued to engage with the Youth Employment Scheme (YES). This initiative of the Department of Jobs, Skills, Industry and Regions (DJSIR) supports young people aged 15 to 29 years to find employment.</w:t>
      </w:r>
    </w:p>
    <w:p w14:paraId="292809AA" w14:textId="77777777" w:rsidR="00E92AED" w:rsidRPr="00A0180C" w:rsidRDefault="00E92AED">
      <w:pPr>
        <w:pStyle w:val="ARbody"/>
      </w:pPr>
      <w:r w:rsidRPr="00A0180C">
        <w:t>The traineeships provide paid employment opportunities while attaining a qualification, with the prospect of further and potentially ongoing employment in the department.</w:t>
      </w:r>
    </w:p>
    <w:p w14:paraId="000791EF" w14:textId="67EC9D91" w:rsidR="00E92AED" w:rsidRPr="00A0180C" w:rsidRDefault="00E92AED">
      <w:pPr>
        <w:pStyle w:val="ARbody"/>
      </w:pPr>
      <w:r w:rsidRPr="00A0180C">
        <w:t>During 2024–25, the department onboarded 27 YES trainees from the general pathway, and this</w:t>
      </w:r>
      <w:r w:rsidR="000D3421">
        <w:t> </w:t>
      </w:r>
      <w:r w:rsidRPr="00A0180C">
        <w:t>included 5 YES trainees from the disability pathway. 93% of departmental trainees are from a</w:t>
      </w:r>
      <w:r w:rsidR="000D3421">
        <w:t> </w:t>
      </w:r>
      <w:r w:rsidRPr="00A0180C">
        <w:t>‘priority group’.</w:t>
      </w:r>
    </w:p>
    <w:p w14:paraId="3D7622C4" w14:textId="77777777" w:rsidR="00E92AED" w:rsidRPr="00A0180C" w:rsidRDefault="00E92AED">
      <w:pPr>
        <w:pStyle w:val="ARbody"/>
      </w:pPr>
      <w:r w:rsidRPr="00A0180C">
        <w:t>Priority groups include:</w:t>
      </w:r>
    </w:p>
    <w:p w14:paraId="782081BB" w14:textId="77777777" w:rsidR="00E92AED" w:rsidRPr="00A0180C" w:rsidRDefault="00E92AED" w:rsidP="00E92AED">
      <w:pPr>
        <w:pStyle w:val="ARbullet1"/>
        <w:numPr>
          <w:ilvl w:val="0"/>
          <w:numId w:val="22"/>
        </w:numPr>
      </w:pPr>
      <w:r w:rsidRPr="00A0180C">
        <w:t>people unemployed for 6 months or at risk of being long-term unemployed</w:t>
      </w:r>
    </w:p>
    <w:p w14:paraId="121DEA2F" w14:textId="77777777" w:rsidR="00E92AED" w:rsidRPr="00A0180C" w:rsidRDefault="00E92AED" w:rsidP="00E92AED">
      <w:pPr>
        <w:pStyle w:val="ARbullet1"/>
        <w:numPr>
          <w:ilvl w:val="0"/>
          <w:numId w:val="22"/>
        </w:numPr>
      </w:pPr>
      <w:r w:rsidRPr="00A0180C">
        <w:t>people with disability</w:t>
      </w:r>
    </w:p>
    <w:p w14:paraId="20ADBB4F" w14:textId="77777777" w:rsidR="00E92AED" w:rsidRPr="00A0180C" w:rsidRDefault="00E92AED" w:rsidP="00E92AED">
      <w:pPr>
        <w:pStyle w:val="ARbullet1"/>
        <w:numPr>
          <w:ilvl w:val="0"/>
          <w:numId w:val="22"/>
        </w:numPr>
      </w:pPr>
      <w:r w:rsidRPr="00A0180C">
        <w:t>Aboriginal and Torres Strait Islander people</w:t>
      </w:r>
    </w:p>
    <w:p w14:paraId="43F77BF3" w14:textId="77777777" w:rsidR="00E92AED" w:rsidRPr="00A0180C" w:rsidRDefault="00E92AED" w:rsidP="00E92AED">
      <w:pPr>
        <w:pStyle w:val="ARbullet1"/>
        <w:numPr>
          <w:ilvl w:val="0"/>
          <w:numId w:val="22"/>
        </w:numPr>
      </w:pPr>
      <w:r w:rsidRPr="00A0180C">
        <w:t>culturally and linguistically diverse communities including humanitarian migrants (asylum seekers and refugees)</w:t>
      </w:r>
    </w:p>
    <w:p w14:paraId="085AE03D" w14:textId="77777777" w:rsidR="00E92AED" w:rsidRPr="00A0180C" w:rsidRDefault="00E92AED" w:rsidP="00E92AED">
      <w:pPr>
        <w:pStyle w:val="ARbullet1"/>
        <w:numPr>
          <w:ilvl w:val="0"/>
          <w:numId w:val="22"/>
        </w:numPr>
      </w:pPr>
      <w:r w:rsidRPr="00A0180C">
        <w:t>public and social housing residents</w:t>
      </w:r>
    </w:p>
    <w:p w14:paraId="2159382A" w14:textId="77777777" w:rsidR="00E92AED" w:rsidRPr="00A0180C" w:rsidRDefault="00E92AED" w:rsidP="00E92AED">
      <w:pPr>
        <w:pStyle w:val="ARbullet1"/>
        <w:numPr>
          <w:ilvl w:val="0"/>
          <w:numId w:val="22"/>
        </w:numPr>
      </w:pPr>
      <w:r w:rsidRPr="00A0180C">
        <w:t>people with experience of homelessness or at risk of homelessness</w:t>
      </w:r>
    </w:p>
    <w:p w14:paraId="76CC58FA" w14:textId="77777777" w:rsidR="00E92AED" w:rsidRPr="00A0180C" w:rsidRDefault="00E92AED" w:rsidP="00E92AED">
      <w:pPr>
        <w:pStyle w:val="ARbullet1"/>
        <w:numPr>
          <w:ilvl w:val="0"/>
          <w:numId w:val="22"/>
        </w:numPr>
      </w:pPr>
      <w:r w:rsidRPr="00A0180C">
        <w:t>people with experience of family violence</w:t>
      </w:r>
    </w:p>
    <w:p w14:paraId="187E7817" w14:textId="77777777" w:rsidR="00E92AED" w:rsidRPr="00A0180C" w:rsidRDefault="00E92AED" w:rsidP="00E92AED">
      <w:pPr>
        <w:pStyle w:val="ARbullet1"/>
        <w:numPr>
          <w:ilvl w:val="0"/>
          <w:numId w:val="22"/>
        </w:numPr>
      </w:pPr>
      <w:r w:rsidRPr="00A0180C">
        <w:t>Youth Justice clients</w:t>
      </w:r>
    </w:p>
    <w:p w14:paraId="46D1DB34" w14:textId="77777777" w:rsidR="00E92AED" w:rsidRPr="00A0180C" w:rsidRDefault="00E92AED" w:rsidP="00E92AED">
      <w:pPr>
        <w:pStyle w:val="ARbullet1"/>
        <w:numPr>
          <w:ilvl w:val="0"/>
          <w:numId w:val="22"/>
        </w:numPr>
      </w:pPr>
      <w:r w:rsidRPr="00A0180C">
        <w:t>young people from out-of-home care</w:t>
      </w:r>
    </w:p>
    <w:p w14:paraId="7BD3335A" w14:textId="77777777" w:rsidR="00E92AED" w:rsidRPr="00A0180C" w:rsidRDefault="00E92AED" w:rsidP="00E92AED">
      <w:pPr>
        <w:pStyle w:val="ARbullet1"/>
        <w:numPr>
          <w:ilvl w:val="0"/>
          <w:numId w:val="22"/>
        </w:numPr>
      </w:pPr>
      <w:r w:rsidRPr="00A0180C">
        <w:t>single parents</w:t>
      </w:r>
    </w:p>
    <w:p w14:paraId="7065FF40" w14:textId="77777777" w:rsidR="00E92AED" w:rsidRPr="00A0180C" w:rsidRDefault="00E92AED" w:rsidP="00E92AED">
      <w:pPr>
        <w:pStyle w:val="ARbullet1"/>
        <w:numPr>
          <w:ilvl w:val="0"/>
          <w:numId w:val="22"/>
        </w:numPr>
      </w:pPr>
      <w:r w:rsidRPr="00A0180C">
        <w:t>people with experience of mental illness.</w:t>
      </w:r>
    </w:p>
    <w:p w14:paraId="13FE2853" w14:textId="77777777" w:rsidR="00E92AED" w:rsidRPr="00A0180C" w:rsidRDefault="00E92AED">
      <w:pPr>
        <w:pStyle w:val="Heading3"/>
      </w:pPr>
      <w:r w:rsidRPr="00A0180C">
        <w:t>Western Chances internship</w:t>
      </w:r>
    </w:p>
    <w:p w14:paraId="185DA530" w14:textId="77777777" w:rsidR="00E92AED" w:rsidRPr="00A0180C" w:rsidRDefault="00E92AED">
      <w:pPr>
        <w:pStyle w:val="ARbody"/>
      </w:pPr>
      <w:r w:rsidRPr="00A0180C">
        <w:t xml:space="preserve">The Western Chances Internship Program matches tertiary scholarship recipients with 12-week paid internships. This internship provides young people facing social or financial barriers with meaningful work experience and an opportunity to develop </w:t>
      </w:r>
      <w:r w:rsidRPr="00A0180C">
        <w:br/>
        <w:t xml:space="preserve">job-ready skills and builds their professional network. </w:t>
      </w:r>
    </w:p>
    <w:p w14:paraId="5B96DC48" w14:textId="77777777" w:rsidR="00E92AED" w:rsidRDefault="00E92AED">
      <w:pPr>
        <w:pStyle w:val="ARbody"/>
      </w:pPr>
      <w:r w:rsidRPr="00A0180C">
        <w:t>The department hosted 15 internships for young people through this employment program within this financial year.</w:t>
      </w:r>
    </w:p>
    <w:p w14:paraId="458D98B0" w14:textId="7E50C4A0" w:rsidR="00E92AED" w:rsidRPr="00A0180C" w:rsidRDefault="00A80C97">
      <w:pPr>
        <w:pStyle w:val="Heading3"/>
      </w:pPr>
      <w:r>
        <w:br w:type="column"/>
      </w:r>
      <w:r w:rsidR="00E92AED" w:rsidRPr="00A0180C">
        <w:t>Graduate recruitment</w:t>
      </w:r>
    </w:p>
    <w:p w14:paraId="64276C4E" w14:textId="20B90213" w:rsidR="00E92AED" w:rsidRPr="00A0180C" w:rsidRDefault="00E92AED">
      <w:pPr>
        <w:pStyle w:val="ARbody"/>
      </w:pPr>
      <w:r w:rsidRPr="00A0180C">
        <w:t>The department has 8 graduates participating in the</w:t>
      </w:r>
      <w:r w:rsidR="006243DD">
        <w:t> </w:t>
      </w:r>
      <w:r w:rsidRPr="00A0180C">
        <w:t>2025 Victorian Government Graduate Program, which is run by the Victorian Public Sector Commission (VPSC).</w:t>
      </w:r>
    </w:p>
    <w:p w14:paraId="5772DA68" w14:textId="77777777" w:rsidR="00E92AED" w:rsidRPr="00A0180C" w:rsidRDefault="00E92AED">
      <w:pPr>
        <w:pStyle w:val="ARbody"/>
      </w:pPr>
      <w:r w:rsidRPr="00A0180C">
        <w:t xml:space="preserve">In the 2025 intake, the department recruited 8 graduates from diverse academic backgrounds, with </w:t>
      </w:r>
      <w:r w:rsidRPr="00A0180C" w:rsidDel="001119C6">
        <w:t>3</w:t>
      </w:r>
      <w:r w:rsidRPr="00A0180C">
        <w:t xml:space="preserve"> graduate employees reaching us through the disability pathway in this program.</w:t>
      </w:r>
    </w:p>
    <w:p w14:paraId="6C319B19" w14:textId="77777777" w:rsidR="00E92AED" w:rsidRPr="00A0180C" w:rsidRDefault="00E92AED">
      <w:pPr>
        <w:pStyle w:val="ARbody"/>
      </w:pPr>
      <w:r w:rsidRPr="00A0180C">
        <w:t>Graduates participating in the 12-month graduate programs complete 3 rotations to develop core skills and gain broad experience working within various business units.</w:t>
      </w:r>
    </w:p>
    <w:p w14:paraId="46180DAF" w14:textId="45D67EE3" w:rsidR="00E92AED" w:rsidRPr="00482D2C" w:rsidRDefault="00E92AED">
      <w:pPr>
        <w:pStyle w:val="ARbody"/>
      </w:pPr>
      <w:r w:rsidRPr="00A0180C">
        <w:t>In addition to the VPSC graduate program, the department hosted 2 positions within the internal Aboriginal Graduate Program. The 2 employees commenced at different dates within the</w:t>
      </w:r>
      <w:r w:rsidR="00482D2C">
        <w:t xml:space="preserve"> </w:t>
      </w:r>
      <w:r w:rsidRPr="00A0180C">
        <w:t>2024–25 financial year.</w:t>
      </w:r>
      <w:r w:rsidRPr="00482D2C">
        <w:t xml:space="preserve"> </w:t>
      </w:r>
      <w:r w:rsidRPr="00A0180C">
        <w:t>The department also administers the Community and Social Services Graduate Program, which saw the department host 14 graduates during the 2024</w:t>
      </w:r>
      <w:r w:rsidR="00A1292C">
        <w:t>–</w:t>
      </w:r>
      <w:r w:rsidRPr="00A0180C">
        <w:t>25 financial year.</w:t>
      </w:r>
    </w:p>
    <w:p w14:paraId="23D1D94E" w14:textId="7CB9D5BE" w:rsidR="00E92AED" w:rsidRPr="00A0180C" w:rsidRDefault="00E92AED">
      <w:pPr>
        <w:pStyle w:val="Heading3"/>
      </w:pPr>
      <w:r w:rsidRPr="00A0180C">
        <w:t>Refugee Youth Employment</w:t>
      </w:r>
      <w:r w:rsidR="00A80C97">
        <w:t> </w:t>
      </w:r>
      <w:r w:rsidRPr="00A0180C">
        <w:t>Program</w:t>
      </w:r>
    </w:p>
    <w:p w14:paraId="448A39F0" w14:textId="63097870" w:rsidR="00E92AED" w:rsidRPr="00A0180C" w:rsidRDefault="00E92AED">
      <w:pPr>
        <w:pStyle w:val="ARbody"/>
      </w:pPr>
      <w:r w:rsidRPr="00A0180C">
        <w:t>The Refugee Minor Program (RMP) delivered by the department supports unaccompanied refugee children and young people in Victoria. In September 2024 the department launched the Refugee Youth Employment Program</w:t>
      </w:r>
      <w:r w:rsidR="00197D2A">
        <w:t xml:space="preserve"> (RYEP)</w:t>
      </w:r>
      <w:r w:rsidRPr="00A0180C">
        <w:t xml:space="preserve">, a tailored employment program designed to support young people aged 16 and over from refugee backgrounds to begin their careers in the Victorian Public Service, reflecting the government’s commitment to fostering diversity and inclusion in its workforce. </w:t>
      </w:r>
    </w:p>
    <w:p w14:paraId="05DD734C" w14:textId="50CEB35D" w:rsidR="00E92AED" w:rsidRPr="00A0180C" w:rsidRDefault="00E92AED">
      <w:pPr>
        <w:pStyle w:val="ARbody"/>
      </w:pPr>
      <w:r w:rsidRPr="00A0180C">
        <w:t xml:space="preserve">The </w:t>
      </w:r>
      <w:r w:rsidR="00BA1791">
        <w:t>RYEP</w:t>
      </w:r>
      <w:r w:rsidRPr="00A0180C">
        <w:t xml:space="preserve"> provides hands</w:t>
      </w:r>
      <w:r w:rsidR="00934C67">
        <w:t>-</w:t>
      </w:r>
      <w:r w:rsidRPr="00A0180C">
        <w:t>on experience through 12-month traineeships with structured career pathways. Participants are equipped with valuable workplace skills and provided with mentoring and professional development opportunities within the public service.</w:t>
      </w:r>
    </w:p>
    <w:p w14:paraId="1B9CEC8C" w14:textId="05C859E2" w:rsidR="00A80C97" w:rsidRDefault="00C11691">
      <w:pPr>
        <w:pStyle w:val="ARbody"/>
      </w:pPr>
      <w:r>
        <w:t>This</w:t>
      </w:r>
      <w:r w:rsidR="00E92AED" w:rsidRPr="00A0180C">
        <w:t xml:space="preserve"> financial year, </w:t>
      </w:r>
      <w:r>
        <w:t>5</w:t>
      </w:r>
      <w:r w:rsidR="00E92AED" w:rsidRPr="00A0180C">
        <w:t xml:space="preserve"> young people </w:t>
      </w:r>
      <w:r w:rsidR="008A70BB">
        <w:t xml:space="preserve">from the RYEP </w:t>
      </w:r>
      <w:r w:rsidR="00E92AED" w:rsidRPr="00A0180C">
        <w:t xml:space="preserve">successfully secured positions across the department </w:t>
      </w:r>
      <w:r w:rsidR="00EB33BF">
        <w:t>and Department of Health</w:t>
      </w:r>
      <w:r w:rsidR="00E92AED" w:rsidRPr="00A0180C">
        <w:t xml:space="preserve">, marking a significant milestone for the pilot program. A further </w:t>
      </w:r>
      <w:r>
        <w:t>4</w:t>
      </w:r>
      <w:r w:rsidRPr="00A0180C">
        <w:t xml:space="preserve"> </w:t>
      </w:r>
      <w:r w:rsidR="00E92AED" w:rsidRPr="00A0180C">
        <w:t xml:space="preserve">young people were progressed to YES traineeships at </w:t>
      </w:r>
      <w:r w:rsidR="006C6DA5">
        <w:t xml:space="preserve">the </w:t>
      </w:r>
      <w:r w:rsidR="00E92AED" w:rsidRPr="00A0180C">
        <w:t>department through referrals from</w:t>
      </w:r>
      <w:r w:rsidR="000A1F55">
        <w:t xml:space="preserve"> the</w:t>
      </w:r>
      <w:r w:rsidR="00E92AED" w:rsidRPr="00A0180C">
        <w:t xml:space="preserve"> RMP. </w:t>
      </w:r>
      <w:r w:rsidR="00A80C97">
        <w:br w:type="page"/>
      </w:r>
    </w:p>
    <w:p w14:paraId="6E2B8AB4" w14:textId="5D0BEC9F" w:rsidR="00E92AED" w:rsidRPr="00A0180C" w:rsidRDefault="00E92AED">
      <w:pPr>
        <w:pStyle w:val="ARbody"/>
      </w:pPr>
      <w:r w:rsidRPr="00A0180C">
        <w:lastRenderedPageBreak/>
        <w:t>This program not only supports the employment aspirations of young refugees but also enriches the</w:t>
      </w:r>
      <w:r w:rsidR="00A80C97">
        <w:t> </w:t>
      </w:r>
      <w:r w:rsidRPr="00A0180C">
        <w:t>public service with diverse perspectives and</w:t>
      </w:r>
      <w:r w:rsidR="00A80C97">
        <w:t> </w:t>
      </w:r>
      <w:r w:rsidRPr="00A0180C">
        <w:t>experiences.</w:t>
      </w:r>
    </w:p>
    <w:p w14:paraId="1774FF0C" w14:textId="77777777" w:rsidR="00E92AED" w:rsidRPr="00A0180C" w:rsidRDefault="00E92AED">
      <w:pPr>
        <w:pStyle w:val="Heading3"/>
      </w:pPr>
      <w:r w:rsidRPr="00A0180C">
        <w:t>Student placement program</w:t>
      </w:r>
    </w:p>
    <w:p w14:paraId="7E69394F" w14:textId="77777777" w:rsidR="00E92AED" w:rsidRPr="00A0180C" w:rsidRDefault="00E92AED">
      <w:pPr>
        <w:pStyle w:val="ARbody"/>
      </w:pPr>
      <w:r w:rsidRPr="00A0180C">
        <w:t>The department offers students undertaking a tertiary qualification the opportunity to complete their fieldwork placement in community services as part of their course.</w:t>
      </w:r>
    </w:p>
    <w:p w14:paraId="25C8969E" w14:textId="0DAED1B0" w:rsidR="00E92AED" w:rsidRPr="00A0180C" w:rsidRDefault="00E92AED">
      <w:pPr>
        <w:pStyle w:val="ARbody"/>
      </w:pPr>
      <w:r w:rsidRPr="00A0180C">
        <w:t>In 2024–25, 255 tertiary students commenced a placement across the department, including placements in child protection, housing, forensic disability services, corporate services and statewide</w:t>
      </w:r>
      <w:r w:rsidR="00A80C97">
        <w:t> </w:t>
      </w:r>
      <w:r w:rsidRPr="00A0180C">
        <w:t>services.</w:t>
      </w:r>
    </w:p>
    <w:p w14:paraId="1B46FC40" w14:textId="77777777" w:rsidR="00E92AED" w:rsidRPr="00A0180C" w:rsidRDefault="00E92AED">
      <w:pPr>
        <w:pStyle w:val="Heading3"/>
      </w:pPr>
      <w:r w:rsidRPr="00A0180C">
        <w:t>Child Protection Employment Program</w:t>
      </w:r>
    </w:p>
    <w:p w14:paraId="0D47D65B" w14:textId="722CED8B" w:rsidR="00E92AED" w:rsidRPr="00A0180C" w:rsidRDefault="00E92AED">
      <w:pPr>
        <w:pStyle w:val="ARbody"/>
      </w:pPr>
      <w:r w:rsidRPr="00A0180C">
        <w:t xml:space="preserve">The Child Protection Employment Program (CPEP) offers 12 weeks full-time or 16 weeks part-time, </w:t>
      </w:r>
      <w:proofErr w:type="gramStart"/>
      <w:r w:rsidRPr="00A0180C">
        <w:t>fixed-term</w:t>
      </w:r>
      <w:proofErr w:type="gramEnd"/>
      <w:r w:rsidRPr="00A0180C">
        <w:t xml:space="preserve"> paid employment to recent graduates and eligible students studying a social work, welfare, community or behavioural qualification.</w:t>
      </w:r>
    </w:p>
    <w:p w14:paraId="17F70FE4" w14:textId="3E585772" w:rsidR="00E92AED" w:rsidRPr="00A0180C" w:rsidRDefault="00E92AED">
      <w:pPr>
        <w:pStyle w:val="ARbody"/>
      </w:pPr>
      <w:r w:rsidRPr="00A0180C">
        <w:t>The rotation-based program enables participants to</w:t>
      </w:r>
      <w:r w:rsidR="00983B23">
        <w:t> </w:t>
      </w:r>
      <w:r w:rsidRPr="00A0180C">
        <w:t>work in a structured and supportive learning environment alongside experienced practitioners to</w:t>
      </w:r>
      <w:r w:rsidR="00A80C97">
        <w:t> </w:t>
      </w:r>
      <w:r w:rsidRPr="00A0180C">
        <w:t>experience the Child Protection Practitioner (CPP)</w:t>
      </w:r>
      <w:r w:rsidR="00A80C97">
        <w:t> </w:t>
      </w:r>
      <w:r w:rsidRPr="00A0180C">
        <w:t>role.</w:t>
      </w:r>
    </w:p>
    <w:p w14:paraId="7C296575" w14:textId="1B2D245F" w:rsidR="00E92AED" w:rsidRPr="00A0180C" w:rsidRDefault="00E92AED">
      <w:pPr>
        <w:pStyle w:val="ARbody"/>
      </w:pPr>
      <w:r w:rsidRPr="00A0180C">
        <w:t>Participants who demonstrate the essential skills and attributes necessary for entry into a CPP role, have completed a recognised qualification and who successfully complete the program may receive an offer of employment for a CPP3 position. Participants that have successfully completed the program and are still completing a recognised qualification may receive a</w:t>
      </w:r>
      <w:r w:rsidR="00A80C97">
        <w:t> </w:t>
      </w:r>
      <w:r w:rsidRPr="00A0180C">
        <w:t>conditional offer of employment at the CPP3 level, subject to the successful completion of their recognised qualification. These participants may commence in the department as a CPP2, enabling them to remain working in child protection while completing their qualification.</w:t>
      </w:r>
    </w:p>
    <w:p w14:paraId="5B262C38" w14:textId="40A1E169" w:rsidR="00E92AED" w:rsidRPr="00A0180C" w:rsidRDefault="00E92AED">
      <w:pPr>
        <w:pStyle w:val="ARbody"/>
      </w:pPr>
      <w:r w:rsidRPr="00A0180C">
        <w:t>At the end of the program in June 2025, 84</w:t>
      </w:r>
      <w:r w:rsidR="0095345E">
        <w:t> </w:t>
      </w:r>
      <w:r w:rsidRPr="00A0180C">
        <w:t>participants in the program were recommended for</w:t>
      </w:r>
      <w:r w:rsidR="00A80C97">
        <w:t> </w:t>
      </w:r>
      <w:r w:rsidRPr="00A0180C">
        <w:t>further employment.</w:t>
      </w:r>
    </w:p>
    <w:p w14:paraId="627B3DC7" w14:textId="4F391DDF" w:rsidR="00E92AED" w:rsidRPr="00A0180C" w:rsidRDefault="00E92AED">
      <w:pPr>
        <w:pStyle w:val="ARbody"/>
        <w:rPr>
          <w:rFonts w:eastAsia="MS Gothic" w:cs="Times New Roman"/>
          <w:color w:val="00645F" w:themeColor="accent1"/>
          <w:sz w:val="32"/>
          <w:szCs w:val="32"/>
          <w:lang w:eastAsia="en-AU"/>
        </w:rPr>
      </w:pPr>
      <w:r w:rsidRPr="00A0180C">
        <w:t xml:space="preserve">Up to 100 CPEP employees are expected to commence </w:t>
      </w:r>
      <w:r w:rsidR="00384563">
        <w:t>from</w:t>
      </w:r>
      <w:r w:rsidRPr="00A0180C">
        <w:t xml:space="preserve"> January 2026. </w:t>
      </w:r>
      <w:r w:rsidRPr="00A0180C">
        <w:br w:type="column"/>
      </w:r>
      <w:r w:rsidRPr="00A0180C">
        <w:rPr>
          <w:rFonts w:eastAsia="MS Gothic" w:cs="Times New Roman"/>
          <w:color w:val="00645F" w:themeColor="accent1"/>
          <w:sz w:val="32"/>
          <w:szCs w:val="32"/>
          <w:lang w:eastAsia="en-AU"/>
        </w:rPr>
        <w:t>Additional employment programs in 2024–25</w:t>
      </w:r>
    </w:p>
    <w:p w14:paraId="2CFDE88A" w14:textId="3AF6C0BC" w:rsidR="00E92AED" w:rsidRPr="00A0180C" w:rsidRDefault="00E92AED">
      <w:pPr>
        <w:pStyle w:val="ARbody"/>
      </w:pPr>
      <w:r w:rsidRPr="00A0180C">
        <w:t xml:space="preserve">The department has additional employment programs that are smaller in scale that contribute to the </w:t>
      </w:r>
      <w:r w:rsidRPr="00482D2C">
        <w:rPr>
          <w:rStyle w:val="Emphasis"/>
        </w:rPr>
        <w:t xml:space="preserve">Diversity and </w:t>
      </w:r>
      <w:r w:rsidR="007539DA">
        <w:rPr>
          <w:rStyle w:val="Emphasis"/>
        </w:rPr>
        <w:t>i</w:t>
      </w:r>
      <w:r w:rsidR="007539DA" w:rsidRPr="00482D2C">
        <w:rPr>
          <w:rStyle w:val="Emphasis"/>
        </w:rPr>
        <w:t xml:space="preserve">nclusion </w:t>
      </w:r>
      <w:r w:rsidR="007539DA">
        <w:rPr>
          <w:rStyle w:val="Emphasis"/>
        </w:rPr>
        <w:t>f</w:t>
      </w:r>
      <w:r w:rsidR="007539DA" w:rsidRPr="00482D2C">
        <w:rPr>
          <w:rStyle w:val="Emphasis"/>
        </w:rPr>
        <w:t xml:space="preserve">ramework </w:t>
      </w:r>
      <w:r w:rsidRPr="00482D2C">
        <w:rPr>
          <w:rStyle w:val="Emphasis"/>
        </w:rPr>
        <w:t>2022</w:t>
      </w:r>
      <w:r w:rsidR="007539DA">
        <w:rPr>
          <w:rStyle w:val="Emphasis"/>
        </w:rPr>
        <w:t>–</w:t>
      </w:r>
      <w:r w:rsidRPr="00482D2C">
        <w:rPr>
          <w:rStyle w:val="Emphasis"/>
        </w:rPr>
        <w:t>2027:</w:t>
      </w:r>
      <w:r w:rsidRPr="00A0180C">
        <w:t xml:space="preserve"> </w:t>
      </w:r>
    </w:p>
    <w:p w14:paraId="23CEC988" w14:textId="497CF472" w:rsidR="00E92AED" w:rsidRPr="00A0180C" w:rsidRDefault="00E92AED" w:rsidP="00E92AED">
      <w:pPr>
        <w:pStyle w:val="ARbullet1"/>
        <w:numPr>
          <w:ilvl w:val="0"/>
          <w:numId w:val="22"/>
        </w:numPr>
      </w:pPr>
      <w:proofErr w:type="spellStart"/>
      <w:r w:rsidRPr="00A0180C">
        <w:t>CareerTrackers</w:t>
      </w:r>
      <w:proofErr w:type="spellEnd"/>
      <w:r w:rsidRPr="00A0180C">
        <w:t xml:space="preserve"> – the department hosted 2 internships this financial year. </w:t>
      </w:r>
      <w:proofErr w:type="spellStart"/>
      <w:r w:rsidRPr="00A0180C">
        <w:t>CareerTrackers</w:t>
      </w:r>
      <w:proofErr w:type="spellEnd"/>
      <w:r w:rsidRPr="00A0180C">
        <w:t xml:space="preserve"> is designed to provide Aboriginal university students paid internship during their studies. This provides participants industry experience and additional preparation for future work upon</w:t>
      </w:r>
      <w:r w:rsidR="00A80C97">
        <w:t> </w:t>
      </w:r>
      <w:r w:rsidRPr="00A0180C">
        <w:t>graduation.</w:t>
      </w:r>
    </w:p>
    <w:p w14:paraId="4F162040" w14:textId="77A1795E" w:rsidR="00E92AED" w:rsidRPr="00A0180C" w:rsidRDefault="00E92AED" w:rsidP="00E92AED">
      <w:pPr>
        <w:pStyle w:val="ARbullet1"/>
        <w:numPr>
          <w:ilvl w:val="0"/>
          <w:numId w:val="22"/>
        </w:numPr>
      </w:pPr>
      <w:r w:rsidRPr="00A0180C">
        <w:t>Belonging Matters – the department had 2 program participants from this employment program that supports participants with an intellectual disability.</w:t>
      </w:r>
    </w:p>
    <w:p w14:paraId="1EE019C8" w14:textId="77777777" w:rsidR="00E92AED" w:rsidRPr="00A0180C" w:rsidRDefault="00E92AED" w:rsidP="00E92AED">
      <w:pPr>
        <w:pStyle w:val="ARbullet1"/>
        <w:numPr>
          <w:ilvl w:val="0"/>
          <w:numId w:val="22"/>
        </w:numPr>
      </w:pPr>
      <w:r w:rsidRPr="00A0180C">
        <w:t>Adult Migrant English Program (AMEP) – the department provided learning opportunities to 4 students within this program, which assists participants in developing their English language skills within the workplace.</w:t>
      </w:r>
    </w:p>
    <w:p w14:paraId="1649E207" w14:textId="34B9A47B" w:rsidR="00E92AED" w:rsidRPr="00A0180C" w:rsidRDefault="00E92AED" w:rsidP="00E92AED">
      <w:pPr>
        <w:pStyle w:val="ARbullet1"/>
        <w:numPr>
          <w:ilvl w:val="0"/>
          <w:numId w:val="22"/>
        </w:numPr>
      </w:pPr>
      <w:proofErr w:type="spellStart"/>
      <w:r w:rsidRPr="00A0180C">
        <w:t>CareerSeekers</w:t>
      </w:r>
      <w:proofErr w:type="spellEnd"/>
      <w:r w:rsidRPr="00A0180C">
        <w:t xml:space="preserve"> – the department hosted 2 internships for participants of this program. </w:t>
      </w:r>
      <w:proofErr w:type="spellStart"/>
      <w:r w:rsidRPr="00A0180C">
        <w:t>CareerSeekers</w:t>
      </w:r>
      <w:proofErr w:type="spellEnd"/>
      <w:r w:rsidRPr="00A0180C">
        <w:t xml:space="preserve"> supports university students and</w:t>
      </w:r>
      <w:r w:rsidR="00F16398">
        <w:t> </w:t>
      </w:r>
      <w:r w:rsidRPr="00A0180C">
        <w:t>midcareer professionals from a refugee background to secure employment</w:t>
      </w:r>
      <w:r w:rsidR="00F16398">
        <w:t> </w:t>
      </w:r>
      <w:r w:rsidRPr="00A0180C">
        <w:t>opportunities.</w:t>
      </w:r>
    </w:p>
    <w:p w14:paraId="2B70EE40" w14:textId="77777777" w:rsidR="00E92AED" w:rsidRPr="00A0180C" w:rsidRDefault="00E92AED" w:rsidP="00E92AED">
      <w:pPr>
        <w:pStyle w:val="ARbullet1"/>
        <w:numPr>
          <w:ilvl w:val="0"/>
          <w:numId w:val="22"/>
        </w:numPr>
      </w:pPr>
      <w:r w:rsidRPr="00A0180C">
        <w:t>PACE – Positive Action towards Career Engagement is a mentorship program through the Australian Disability Network. We had 4 mentors from the department volunteer time over 8 weeks to support people with disability navigate employment challenges in Victoria.</w:t>
      </w:r>
    </w:p>
    <w:p w14:paraId="2670E092" w14:textId="274CBA86" w:rsidR="00E92AED" w:rsidRPr="00A0180C" w:rsidRDefault="00E92AED" w:rsidP="00E92AED">
      <w:pPr>
        <w:pStyle w:val="ARbullet1"/>
        <w:numPr>
          <w:ilvl w:val="0"/>
          <w:numId w:val="22"/>
        </w:numPr>
      </w:pPr>
      <w:r w:rsidRPr="00A0180C">
        <w:t xml:space="preserve">Digital Jobs </w:t>
      </w:r>
      <w:r w:rsidR="0095345E">
        <w:t>–</w:t>
      </w:r>
      <w:r w:rsidR="0095345E" w:rsidRPr="00A0180C">
        <w:t xml:space="preserve"> </w:t>
      </w:r>
      <w:r w:rsidRPr="00A0180C">
        <w:t>in its final year working with Victorian Public Sector agencies, the internship program closed in June 2025. Our department hosted 2 interns within this year.</w:t>
      </w:r>
    </w:p>
    <w:p w14:paraId="2320BDC8" w14:textId="2C16B391" w:rsidR="00F844B4" w:rsidRDefault="00E92AED" w:rsidP="00A906A4">
      <w:pPr>
        <w:pStyle w:val="ARbodyafterbullets"/>
      </w:pPr>
      <w:r w:rsidRPr="00A0180C">
        <w:t xml:space="preserve">The department also administers </w:t>
      </w:r>
      <w:r w:rsidR="00CF60DA">
        <w:t xml:space="preserve">the </w:t>
      </w:r>
      <w:r w:rsidRPr="00A0180C">
        <w:t xml:space="preserve">Community and Social Services </w:t>
      </w:r>
      <w:r w:rsidRPr="00482D2C">
        <w:t>Graduate</w:t>
      </w:r>
      <w:r w:rsidRPr="00A0180C">
        <w:t xml:space="preserve"> Program</w:t>
      </w:r>
      <w:r w:rsidR="00CF60DA">
        <w:t xml:space="preserve">, which commenced </w:t>
      </w:r>
      <w:r w:rsidRPr="00A0180C">
        <w:t xml:space="preserve">128 graduates this financial year. The program provides graduates with opportunities in cross-sector development activities and professional networking to improve graduate job-readiness and retention. </w:t>
      </w:r>
    </w:p>
    <w:p w14:paraId="12496BAC" w14:textId="77777777" w:rsidR="00E92AED" w:rsidRDefault="00E92AED">
      <w:pPr>
        <w:pStyle w:val="ARbody"/>
      </w:pPr>
    </w:p>
    <w:p w14:paraId="0D5F95C4" w14:textId="77777777" w:rsidR="00E92AED" w:rsidRPr="00DC2A3C" w:rsidRDefault="00E92AED">
      <w:pPr>
        <w:pStyle w:val="ARbody"/>
        <w:sectPr w:rsidR="00E92AED" w:rsidRPr="00DC2A3C" w:rsidSect="007F43B1">
          <w:endnotePr>
            <w:numFmt w:val="decimal"/>
          </w:endnotePr>
          <w:type w:val="continuous"/>
          <w:pgSz w:w="11900" w:h="16840" w:code="9"/>
          <w:pgMar w:top="1588" w:right="1134" w:bottom="851" w:left="1134" w:header="510" w:footer="340" w:gutter="0"/>
          <w:cols w:num="2" w:space="448"/>
          <w:docGrid w:linePitch="299"/>
        </w:sectPr>
      </w:pPr>
    </w:p>
    <w:p w14:paraId="2701412B" w14:textId="77777777" w:rsidR="00F844B4" w:rsidRPr="00DC2A3C" w:rsidRDefault="00F844B4" w:rsidP="00CD257A">
      <w:pPr>
        <w:pStyle w:val="Heading2"/>
        <w:spacing w:before="0"/>
      </w:pPr>
      <w:bookmarkStart w:id="132" w:name="_Comparative_workforce_data"/>
      <w:bookmarkStart w:id="133" w:name="_Toc114491199"/>
      <w:bookmarkStart w:id="134" w:name="_Toc212039532"/>
      <w:bookmarkEnd w:id="132"/>
      <w:r w:rsidRPr="00DC2A3C">
        <w:lastRenderedPageBreak/>
        <w:t>Comparative workforce data</w:t>
      </w:r>
      <w:bookmarkEnd w:id="133"/>
      <w:bookmarkEnd w:id="134"/>
    </w:p>
    <w:p w14:paraId="762DD49A" w14:textId="293AB0D2" w:rsidR="00F844B4" w:rsidRPr="00DC2A3C" w:rsidRDefault="00F844B4">
      <w:pPr>
        <w:pStyle w:val="ARbody"/>
      </w:pPr>
      <w:r w:rsidRPr="00DC2A3C">
        <w:t>The following table discloses the head count and full-time staff equivalent (FTE) of all active public service employees of the department, employed in the last full pay period in June of the current reporting period (2025), and in the last full pay period of June in the previous reporting period (2024)</w:t>
      </w:r>
      <w:r w:rsidR="003E5CE6">
        <w:rPr>
          <w:rStyle w:val="FootnoteReference"/>
        </w:rPr>
        <w:footnoteReference w:id="9"/>
      </w:r>
      <w:r w:rsidRPr="00DC2A3C">
        <w:t>.</w:t>
      </w:r>
    </w:p>
    <w:p w14:paraId="57420ACF" w14:textId="77777777" w:rsidR="00F844B4" w:rsidRPr="00DC2A3C" w:rsidRDefault="00F844B4">
      <w:pPr>
        <w:pStyle w:val="ARtablecaption"/>
      </w:pPr>
      <w:r w:rsidRPr="00DC2A3C">
        <w:t>Table 1: Details of employment levels in June 2025 and June 2024</w:t>
      </w:r>
    </w:p>
    <w:tbl>
      <w:tblPr>
        <w:tblStyle w:val="DFFHARtable1"/>
        <w:tblW w:w="5000" w:type="pct"/>
        <w:tblLook w:val="04E0" w:firstRow="1" w:lastRow="1" w:firstColumn="1" w:lastColumn="0" w:noHBand="0" w:noVBand="1"/>
      </w:tblPr>
      <w:tblGrid>
        <w:gridCol w:w="1094"/>
        <w:gridCol w:w="961"/>
        <w:gridCol w:w="963"/>
        <w:gridCol w:w="955"/>
        <w:gridCol w:w="955"/>
        <w:gridCol w:w="963"/>
        <w:gridCol w:w="963"/>
        <w:gridCol w:w="958"/>
        <w:gridCol w:w="963"/>
        <w:gridCol w:w="820"/>
        <w:gridCol w:w="1128"/>
        <w:gridCol w:w="956"/>
        <w:gridCol w:w="964"/>
        <w:gridCol w:w="963"/>
        <w:gridCol w:w="964"/>
      </w:tblGrid>
      <w:tr w:rsidR="00F844B4" w:rsidRPr="00DC2A3C" w14:paraId="0437E03F" w14:textId="77777777" w:rsidTr="00D119D2">
        <w:trPr>
          <w:cnfStyle w:val="100000000000" w:firstRow="1" w:lastRow="0" w:firstColumn="0" w:lastColumn="0" w:oddVBand="0" w:evenVBand="0" w:oddHBand="0" w:evenHBand="0" w:firstRowFirstColumn="0" w:firstRowLastColumn="0" w:lastRowFirstColumn="0" w:lastRowLastColumn="0"/>
          <w:trHeight w:val="180"/>
          <w:tblHeader/>
        </w:trPr>
        <w:tc>
          <w:tcPr>
            <w:tcW w:w="1087" w:type="dxa"/>
            <w:vMerge w:val="restart"/>
            <w:hideMark/>
          </w:tcPr>
          <w:p w14:paraId="1BA59293" w14:textId="77777777" w:rsidR="00F844B4" w:rsidRPr="00DC2A3C" w:rsidRDefault="00F844B4">
            <w:pPr>
              <w:pStyle w:val="ARtablecolheadcentre"/>
              <w:rPr>
                <w:lang w:eastAsia="en-AU"/>
              </w:rPr>
            </w:pPr>
            <w:r w:rsidRPr="00DC2A3C">
              <w:rPr>
                <w:lang w:eastAsia="en-AU"/>
              </w:rPr>
              <w:t> </w:t>
            </w:r>
          </w:p>
        </w:tc>
        <w:tc>
          <w:tcPr>
            <w:tcW w:w="6669" w:type="dxa"/>
            <w:gridSpan w:val="7"/>
            <w:tcBorders>
              <w:top w:val="nil"/>
              <w:bottom w:val="single" w:sz="4" w:space="0" w:color="auto"/>
            </w:tcBorders>
            <w:tcMar>
              <w:right w:w="113" w:type="dxa"/>
            </w:tcMar>
            <w:hideMark/>
          </w:tcPr>
          <w:p w14:paraId="39F4D00B" w14:textId="77777777" w:rsidR="00F844B4" w:rsidRPr="00DC2A3C" w:rsidRDefault="00F844B4">
            <w:pPr>
              <w:pStyle w:val="ARtablecolheadcentre"/>
              <w:rPr>
                <w:lang w:eastAsia="en-AU"/>
              </w:rPr>
            </w:pPr>
            <w:r w:rsidRPr="00DC2A3C">
              <w:rPr>
                <w:lang w:eastAsia="en-AU"/>
              </w:rPr>
              <w:t>June 2025</w:t>
            </w:r>
          </w:p>
        </w:tc>
        <w:tc>
          <w:tcPr>
            <w:tcW w:w="6681" w:type="dxa"/>
            <w:gridSpan w:val="7"/>
            <w:tcBorders>
              <w:top w:val="nil"/>
              <w:bottom w:val="single" w:sz="4" w:space="0" w:color="auto"/>
            </w:tcBorders>
            <w:tcMar>
              <w:right w:w="113" w:type="dxa"/>
            </w:tcMar>
            <w:hideMark/>
          </w:tcPr>
          <w:p w14:paraId="7FDE0A23" w14:textId="77777777" w:rsidR="00F844B4" w:rsidRPr="00DC2A3C" w:rsidRDefault="00F844B4">
            <w:pPr>
              <w:pStyle w:val="ARtablecolheadcentre"/>
              <w:rPr>
                <w:lang w:eastAsia="en-AU"/>
              </w:rPr>
            </w:pPr>
            <w:r w:rsidRPr="00DC2A3C">
              <w:rPr>
                <w:lang w:eastAsia="en-AU"/>
              </w:rPr>
              <w:t>June 2024</w:t>
            </w:r>
          </w:p>
        </w:tc>
      </w:tr>
      <w:tr w:rsidR="00F844B4" w:rsidRPr="00DC2A3C" w14:paraId="107DF6D9" w14:textId="77777777" w:rsidTr="00D119D2">
        <w:trPr>
          <w:cnfStyle w:val="100000000000" w:firstRow="1" w:lastRow="0" w:firstColumn="0" w:lastColumn="0" w:oddVBand="0" w:evenVBand="0" w:oddHBand="0" w:evenHBand="0" w:firstRowFirstColumn="0" w:firstRowLastColumn="0" w:lastRowFirstColumn="0" w:lastRowLastColumn="0"/>
          <w:trHeight w:val="73"/>
          <w:tblHeader/>
        </w:trPr>
        <w:tc>
          <w:tcPr>
            <w:tcW w:w="1087" w:type="dxa"/>
            <w:vMerge/>
            <w:hideMark/>
          </w:tcPr>
          <w:p w14:paraId="6EA28A5B" w14:textId="77777777" w:rsidR="00F844B4" w:rsidRPr="00DC2A3C" w:rsidRDefault="00F844B4">
            <w:pPr>
              <w:pStyle w:val="ARtablecolheadcentre"/>
              <w:rPr>
                <w:lang w:eastAsia="en-AU"/>
              </w:rPr>
            </w:pPr>
          </w:p>
        </w:tc>
        <w:tc>
          <w:tcPr>
            <w:tcW w:w="1910" w:type="dxa"/>
            <w:gridSpan w:val="2"/>
            <w:tcBorders>
              <w:top w:val="single" w:sz="4" w:space="0" w:color="A6A6A6" w:themeColor="accent5"/>
              <w:bottom w:val="single" w:sz="4" w:space="0" w:color="auto"/>
            </w:tcBorders>
            <w:shd w:val="clear" w:color="auto" w:fill="E7E6E6" w:themeFill="background2"/>
            <w:tcMar>
              <w:right w:w="113" w:type="dxa"/>
            </w:tcMar>
            <w:hideMark/>
          </w:tcPr>
          <w:p w14:paraId="6CA2AB1C" w14:textId="77777777" w:rsidR="00F844B4" w:rsidRPr="00C50948" w:rsidRDefault="00F844B4" w:rsidP="00C50948">
            <w:pPr>
              <w:pStyle w:val="ARtablecolheadcentre"/>
            </w:pPr>
            <w:r w:rsidRPr="00C50948">
              <w:t>All employees</w:t>
            </w:r>
          </w:p>
        </w:tc>
        <w:tc>
          <w:tcPr>
            <w:tcW w:w="2852" w:type="dxa"/>
            <w:gridSpan w:val="3"/>
            <w:tcBorders>
              <w:top w:val="single" w:sz="4" w:space="0" w:color="auto"/>
              <w:bottom w:val="single" w:sz="4" w:space="0" w:color="auto"/>
            </w:tcBorders>
            <w:tcMar>
              <w:right w:w="113" w:type="dxa"/>
            </w:tcMar>
            <w:hideMark/>
          </w:tcPr>
          <w:p w14:paraId="378B3A4C" w14:textId="77777777" w:rsidR="00F844B4" w:rsidRPr="00C50948" w:rsidRDefault="00F844B4" w:rsidP="00C50948">
            <w:pPr>
              <w:pStyle w:val="ARtablecolheadcentre"/>
            </w:pPr>
            <w:r w:rsidRPr="00C50948">
              <w:t>Ongoing</w:t>
            </w:r>
          </w:p>
        </w:tc>
        <w:tc>
          <w:tcPr>
            <w:tcW w:w="1907" w:type="dxa"/>
            <w:gridSpan w:val="2"/>
            <w:tcBorders>
              <w:top w:val="single" w:sz="4" w:space="0" w:color="auto"/>
              <w:bottom w:val="single" w:sz="4" w:space="0" w:color="auto"/>
            </w:tcBorders>
            <w:shd w:val="clear" w:color="auto" w:fill="E7E6E6" w:themeFill="background2"/>
            <w:tcMar>
              <w:right w:w="113" w:type="dxa"/>
            </w:tcMar>
            <w:hideMark/>
          </w:tcPr>
          <w:p w14:paraId="73484974" w14:textId="77777777" w:rsidR="00F844B4" w:rsidRPr="00C50948" w:rsidRDefault="00F844B4" w:rsidP="00C50948">
            <w:pPr>
              <w:pStyle w:val="ARtablecolheadcentre"/>
            </w:pPr>
            <w:proofErr w:type="gramStart"/>
            <w:r w:rsidRPr="00C50948">
              <w:t>Fixed-term</w:t>
            </w:r>
            <w:proofErr w:type="gramEnd"/>
            <w:r w:rsidRPr="00C50948">
              <w:t xml:space="preserve"> and casual</w:t>
            </w:r>
          </w:p>
        </w:tc>
        <w:tc>
          <w:tcPr>
            <w:tcW w:w="1742" w:type="dxa"/>
            <w:gridSpan w:val="2"/>
            <w:tcBorders>
              <w:top w:val="single" w:sz="4" w:space="0" w:color="auto"/>
              <w:bottom w:val="single" w:sz="4" w:space="0" w:color="auto"/>
            </w:tcBorders>
            <w:tcMar>
              <w:right w:w="113" w:type="dxa"/>
            </w:tcMar>
            <w:hideMark/>
          </w:tcPr>
          <w:p w14:paraId="3736CACC" w14:textId="77777777" w:rsidR="00F844B4" w:rsidRPr="00C50948" w:rsidRDefault="00F844B4" w:rsidP="00C50948">
            <w:pPr>
              <w:pStyle w:val="ARtablecolheadcentre"/>
            </w:pPr>
            <w:r w:rsidRPr="00C50948">
              <w:t>All employees</w:t>
            </w:r>
          </w:p>
        </w:tc>
        <w:tc>
          <w:tcPr>
            <w:tcW w:w="3026" w:type="dxa"/>
            <w:gridSpan w:val="3"/>
            <w:tcBorders>
              <w:top w:val="single" w:sz="4" w:space="0" w:color="auto"/>
              <w:bottom w:val="single" w:sz="4" w:space="0" w:color="auto"/>
            </w:tcBorders>
            <w:shd w:val="clear" w:color="auto" w:fill="E7E6E6" w:themeFill="background2"/>
            <w:tcMar>
              <w:right w:w="113" w:type="dxa"/>
            </w:tcMar>
            <w:hideMark/>
          </w:tcPr>
          <w:p w14:paraId="4C0EBE10" w14:textId="77777777" w:rsidR="00F844B4" w:rsidRPr="00C50948" w:rsidRDefault="00F844B4" w:rsidP="00C50948">
            <w:pPr>
              <w:pStyle w:val="ARtablecolheadcentre"/>
            </w:pPr>
            <w:r w:rsidRPr="00C50948">
              <w:t>Ongoing</w:t>
            </w:r>
          </w:p>
        </w:tc>
        <w:tc>
          <w:tcPr>
            <w:tcW w:w="1913" w:type="dxa"/>
            <w:gridSpan w:val="2"/>
            <w:tcBorders>
              <w:top w:val="single" w:sz="4" w:space="0" w:color="auto"/>
              <w:bottom w:val="single" w:sz="4" w:space="0" w:color="auto"/>
            </w:tcBorders>
            <w:tcMar>
              <w:right w:w="113" w:type="dxa"/>
            </w:tcMar>
            <w:hideMark/>
          </w:tcPr>
          <w:p w14:paraId="6C9E505D" w14:textId="77777777" w:rsidR="00F844B4" w:rsidRPr="00C50948" w:rsidRDefault="00F844B4" w:rsidP="00C50948">
            <w:pPr>
              <w:pStyle w:val="ARtablecolheadcentre"/>
            </w:pPr>
            <w:proofErr w:type="gramStart"/>
            <w:r w:rsidRPr="00C50948">
              <w:t>Fixed-term</w:t>
            </w:r>
            <w:proofErr w:type="gramEnd"/>
            <w:r w:rsidRPr="00C50948">
              <w:t xml:space="preserve"> and casual</w:t>
            </w:r>
          </w:p>
        </w:tc>
      </w:tr>
      <w:tr w:rsidR="008D68DC" w:rsidRPr="00DC2A3C" w14:paraId="5ADFED69" w14:textId="77777777" w:rsidTr="00D119D2">
        <w:trPr>
          <w:cnfStyle w:val="100000000000" w:firstRow="1" w:lastRow="0" w:firstColumn="0" w:lastColumn="0" w:oddVBand="0" w:evenVBand="0" w:oddHBand="0" w:evenHBand="0" w:firstRowFirstColumn="0" w:firstRowLastColumn="0" w:lastRowFirstColumn="0" w:lastRowLastColumn="0"/>
          <w:trHeight w:val="929"/>
          <w:tblHeader/>
        </w:trPr>
        <w:tc>
          <w:tcPr>
            <w:tcW w:w="1087" w:type="dxa"/>
            <w:vMerge/>
            <w:tcBorders>
              <w:bottom w:val="single" w:sz="4" w:space="0" w:color="auto"/>
            </w:tcBorders>
            <w:hideMark/>
          </w:tcPr>
          <w:p w14:paraId="4B73AE6F" w14:textId="77777777" w:rsidR="00057B13" w:rsidRPr="00DC2A3C" w:rsidRDefault="00057B13">
            <w:pPr>
              <w:pStyle w:val="ARtablecolheadcentre"/>
              <w:rPr>
                <w:lang w:eastAsia="en-AU"/>
              </w:rPr>
            </w:pPr>
          </w:p>
        </w:tc>
        <w:tc>
          <w:tcPr>
            <w:tcW w:w="954" w:type="dxa"/>
            <w:tcBorders>
              <w:top w:val="single" w:sz="4" w:space="0" w:color="auto"/>
              <w:bottom w:val="single" w:sz="4" w:space="0" w:color="auto"/>
            </w:tcBorders>
            <w:shd w:val="clear" w:color="auto" w:fill="E7E6E6" w:themeFill="background2"/>
            <w:tcMar>
              <w:right w:w="113" w:type="dxa"/>
            </w:tcMar>
            <w:hideMark/>
          </w:tcPr>
          <w:p w14:paraId="5AFE3674" w14:textId="77777777" w:rsidR="00057B13" w:rsidRPr="00DC2A3C" w:rsidRDefault="00057B13" w:rsidP="00242F83">
            <w:pPr>
              <w:pStyle w:val="ARtablecolheadright"/>
              <w:rPr>
                <w:lang w:eastAsia="en-AU"/>
              </w:rPr>
            </w:pPr>
            <w:r w:rsidRPr="00DC2A3C">
              <w:rPr>
                <w:lang w:eastAsia="en-AU"/>
              </w:rPr>
              <w:t>Number</w:t>
            </w:r>
          </w:p>
          <w:p w14:paraId="657BD7CE" w14:textId="77777777" w:rsidR="00057B13" w:rsidRPr="00DC2A3C" w:rsidRDefault="00057B13" w:rsidP="00242F83">
            <w:pPr>
              <w:pStyle w:val="ARtablecolheadright"/>
              <w:rPr>
                <w:lang w:eastAsia="en-AU"/>
              </w:rPr>
            </w:pPr>
            <w:r w:rsidRPr="00DC2A3C">
              <w:rPr>
                <w:lang w:eastAsia="en-AU"/>
              </w:rPr>
              <w:t>(</w:t>
            </w:r>
            <w:proofErr w:type="gramStart"/>
            <w:r w:rsidRPr="00DC2A3C">
              <w:rPr>
                <w:lang w:eastAsia="en-AU"/>
              </w:rPr>
              <w:t>head</w:t>
            </w:r>
            <w:proofErr w:type="gramEnd"/>
          </w:p>
          <w:p w14:paraId="2FF7BCBB" w14:textId="5B12E79B" w:rsidR="00057B13" w:rsidRPr="00DC2A3C" w:rsidRDefault="00057B13" w:rsidP="00242F83">
            <w:pPr>
              <w:pStyle w:val="ARtablecolheadright"/>
              <w:rPr>
                <w:lang w:eastAsia="en-AU"/>
              </w:rPr>
            </w:pPr>
            <w:r w:rsidRPr="00DC2A3C">
              <w:rPr>
                <w:lang w:eastAsia="en-AU"/>
              </w:rPr>
              <w:t>count)</w:t>
            </w:r>
          </w:p>
        </w:tc>
        <w:tc>
          <w:tcPr>
            <w:tcW w:w="956" w:type="dxa"/>
            <w:tcBorders>
              <w:top w:val="single" w:sz="4" w:space="0" w:color="auto"/>
              <w:bottom w:val="single" w:sz="4" w:space="0" w:color="auto"/>
            </w:tcBorders>
            <w:shd w:val="clear" w:color="auto" w:fill="E7E6E6" w:themeFill="background2"/>
            <w:tcMar>
              <w:right w:w="113" w:type="dxa"/>
            </w:tcMar>
            <w:hideMark/>
          </w:tcPr>
          <w:p w14:paraId="4E1014B2" w14:textId="77777777" w:rsidR="00057B13" w:rsidRPr="00DC2A3C" w:rsidRDefault="00057B13" w:rsidP="00242F83">
            <w:pPr>
              <w:pStyle w:val="ARtablecolheadright"/>
              <w:rPr>
                <w:lang w:eastAsia="en-AU"/>
              </w:rPr>
            </w:pPr>
            <w:r w:rsidRPr="00DC2A3C">
              <w:rPr>
                <w:lang w:eastAsia="en-AU"/>
              </w:rPr>
              <w:t>FTE</w:t>
            </w:r>
          </w:p>
        </w:tc>
        <w:tc>
          <w:tcPr>
            <w:tcW w:w="948" w:type="dxa"/>
            <w:tcBorders>
              <w:top w:val="single" w:sz="4" w:space="0" w:color="auto"/>
              <w:bottom w:val="single" w:sz="4" w:space="0" w:color="auto"/>
            </w:tcBorders>
            <w:tcMar>
              <w:right w:w="113" w:type="dxa"/>
            </w:tcMar>
            <w:hideMark/>
          </w:tcPr>
          <w:p w14:paraId="4A24AFAB" w14:textId="77777777" w:rsidR="00057B13" w:rsidRPr="00DC2A3C" w:rsidRDefault="00057B13" w:rsidP="00242F83">
            <w:pPr>
              <w:pStyle w:val="ARtablecolheadright"/>
              <w:rPr>
                <w:lang w:eastAsia="en-AU"/>
              </w:rPr>
            </w:pPr>
            <w:r w:rsidRPr="00DC2A3C">
              <w:rPr>
                <w:lang w:eastAsia="en-AU"/>
              </w:rPr>
              <w:t>Full-time</w:t>
            </w:r>
          </w:p>
          <w:p w14:paraId="7C74011E" w14:textId="77777777" w:rsidR="00057B13" w:rsidRPr="00DC2A3C" w:rsidRDefault="00057B13" w:rsidP="00242F83">
            <w:pPr>
              <w:pStyle w:val="ARtablecolheadright"/>
              <w:rPr>
                <w:lang w:eastAsia="en-AU"/>
              </w:rPr>
            </w:pPr>
            <w:r w:rsidRPr="00DC2A3C">
              <w:rPr>
                <w:lang w:eastAsia="en-AU"/>
              </w:rPr>
              <w:t>(</w:t>
            </w:r>
            <w:proofErr w:type="gramStart"/>
            <w:r w:rsidRPr="00DC2A3C">
              <w:rPr>
                <w:lang w:eastAsia="en-AU"/>
              </w:rPr>
              <w:t>head</w:t>
            </w:r>
            <w:proofErr w:type="gramEnd"/>
          </w:p>
          <w:p w14:paraId="59F6C46F" w14:textId="095BDF7A" w:rsidR="00057B13" w:rsidRPr="00DC2A3C" w:rsidRDefault="00057B13" w:rsidP="00242F83">
            <w:pPr>
              <w:pStyle w:val="ARtablecolheadright"/>
              <w:rPr>
                <w:lang w:eastAsia="en-AU"/>
              </w:rPr>
            </w:pPr>
            <w:r w:rsidRPr="00DC2A3C">
              <w:rPr>
                <w:lang w:eastAsia="en-AU"/>
              </w:rPr>
              <w:t>count)</w:t>
            </w:r>
          </w:p>
        </w:tc>
        <w:tc>
          <w:tcPr>
            <w:tcW w:w="948" w:type="dxa"/>
            <w:tcBorders>
              <w:top w:val="single" w:sz="4" w:space="0" w:color="auto"/>
              <w:bottom w:val="single" w:sz="4" w:space="0" w:color="auto"/>
            </w:tcBorders>
            <w:tcMar>
              <w:right w:w="113" w:type="dxa"/>
            </w:tcMar>
            <w:hideMark/>
          </w:tcPr>
          <w:p w14:paraId="3091B5D9" w14:textId="77777777" w:rsidR="00057B13" w:rsidRPr="00DC2A3C" w:rsidRDefault="00057B13" w:rsidP="00242F83">
            <w:pPr>
              <w:pStyle w:val="ARtablecolheadright"/>
              <w:rPr>
                <w:lang w:eastAsia="en-AU"/>
              </w:rPr>
            </w:pPr>
            <w:r w:rsidRPr="00DC2A3C">
              <w:rPr>
                <w:lang w:eastAsia="en-AU"/>
              </w:rPr>
              <w:t>Part-time</w:t>
            </w:r>
          </w:p>
          <w:p w14:paraId="60FA00E0" w14:textId="77777777" w:rsidR="00057B13" w:rsidRPr="00DC2A3C" w:rsidRDefault="00057B13" w:rsidP="00242F83">
            <w:pPr>
              <w:pStyle w:val="ARtablecolheadright"/>
              <w:rPr>
                <w:lang w:eastAsia="en-AU"/>
              </w:rPr>
            </w:pPr>
            <w:r w:rsidRPr="00DC2A3C">
              <w:rPr>
                <w:lang w:eastAsia="en-AU"/>
              </w:rPr>
              <w:t>(</w:t>
            </w:r>
            <w:proofErr w:type="gramStart"/>
            <w:r w:rsidRPr="00DC2A3C">
              <w:rPr>
                <w:lang w:eastAsia="en-AU"/>
              </w:rPr>
              <w:t>head</w:t>
            </w:r>
            <w:proofErr w:type="gramEnd"/>
          </w:p>
          <w:p w14:paraId="6ADAB302" w14:textId="7200704E" w:rsidR="00057B13" w:rsidRPr="00DC2A3C" w:rsidRDefault="00057B13" w:rsidP="00242F83">
            <w:pPr>
              <w:pStyle w:val="ARtablecolheadright"/>
              <w:rPr>
                <w:lang w:eastAsia="en-AU"/>
              </w:rPr>
            </w:pPr>
            <w:r w:rsidRPr="00DC2A3C">
              <w:rPr>
                <w:lang w:eastAsia="en-AU"/>
              </w:rPr>
              <w:t>count)</w:t>
            </w:r>
          </w:p>
        </w:tc>
        <w:tc>
          <w:tcPr>
            <w:tcW w:w="956" w:type="dxa"/>
            <w:tcBorders>
              <w:top w:val="single" w:sz="4" w:space="0" w:color="auto"/>
              <w:bottom w:val="single" w:sz="4" w:space="0" w:color="auto"/>
            </w:tcBorders>
            <w:tcMar>
              <w:right w:w="113" w:type="dxa"/>
            </w:tcMar>
            <w:hideMark/>
          </w:tcPr>
          <w:p w14:paraId="63124803" w14:textId="77777777" w:rsidR="00057B13" w:rsidRPr="00DC2A3C" w:rsidRDefault="00057B13" w:rsidP="00242F83">
            <w:pPr>
              <w:pStyle w:val="ARtablecolheadright"/>
              <w:rPr>
                <w:lang w:eastAsia="en-AU"/>
              </w:rPr>
            </w:pPr>
            <w:r w:rsidRPr="00DC2A3C">
              <w:rPr>
                <w:lang w:eastAsia="en-AU"/>
              </w:rPr>
              <w:t>FTE</w:t>
            </w:r>
          </w:p>
        </w:tc>
        <w:tc>
          <w:tcPr>
            <w:tcW w:w="956" w:type="dxa"/>
            <w:tcBorders>
              <w:top w:val="single" w:sz="4" w:space="0" w:color="auto"/>
              <w:bottom w:val="single" w:sz="4" w:space="0" w:color="auto"/>
            </w:tcBorders>
            <w:shd w:val="clear" w:color="auto" w:fill="E7E6E6" w:themeFill="background2"/>
            <w:tcMar>
              <w:right w:w="113" w:type="dxa"/>
            </w:tcMar>
            <w:hideMark/>
          </w:tcPr>
          <w:p w14:paraId="684B71AA" w14:textId="77777777" w:rsidR="00057B13" w:rsidRPr="00DC2A3C" w:rsidRDefault="00057B13" w:rsidP="00242F83">
            <w:pPr>
              <w:pStyle w:val="ARtablecolheadright"/>
              <w:rPr>
                <w:lang w:eastAsia="en-AU"/>
              </w:rPr>
            </w:pPr>
            <w:r w:rsidRPr="00DC2A3C">
              <w:rPr>
                <w:lang w:eastAsia="en-AU"/>
              </w:rPr>
              <w:t>Number</w:t>
            </w:r>
          </w:p>
          <w:p w14:paraId="31547C65" w14:textId="77777777" w:rsidR="00057B13" w:rsidRPr="00DC2A3C" w:rsidRDefault="00057B13" w:rsidP="00242F83">
            <w:pPr>
              <w:pStyle w:val="ARtablecolheadright"/>
              <w:rPr>
                <w:lang w:eastAsia="en-AU"/>
              </w:rPr>
            </w:pPr>
            <w:r w:rsidRPr="00DC2A3C">
              <w:rPr>
                <w:lang w:eastAsia="en-AU"/>
              </w:rPr>
              <w:t>(</w:t>
            </w:r>
            <w:proofErr w:type="gramStart"/>
            <w:r w:rsidRPr="00DC2A3C">
              <w:rPr>
                <w:lang w:eastAsia="en-AU"/>
              </w:rPr>
              <w:t>head</w:t>
            </w:r>
            <w:proofErr w:type="gramEnd"/>
          </w:p>
          <w:p w14:paraId="4F6197B2" w14:textId="11350F47" w:rsidR="00057B13" w:rsidRPr="00DC2A3C" w:rsidRDefault="00057B13" w:rsidP="00242F83">
            <w:pPr>
              <w:pStyle w:val="ARtablecolheadright"/>
              <w:rPr>
                <w:lang w:eastAsia="en-AU"/>
              </w:rPr>
            </w:pPr>
            <w:r w:rsidRPr="00DC2A3C">
              <w:rPr>
                <w:lang w:eastAsia="en-AU"/>
              </w:rPr>
              <w:t>count)</w:t>
            </w:r>
          </w:p>
        </w:tc>
        <w:tc>
          <w:tcPr>
            <w:tcW w:w="951" w:type="dxa"/>
            <w:tcBorders>
              <w:top w:val="single" w:sz="4" w:space="0" w:color="auto"/>
              <w:bottom w:val="single" w:sz="4" w:space="0" w:color="auto"/>
            </w:tcBorders>
            <w:shd w:val="clear" w:color="auto" w:fill="E7E6E6" w:themeFill="background2"/>
            <w:tcMar>
              <w:right w:w="113" w:type="dxa"/>
            </w:tcMar>
            <w:hideMark/>
          </w:tcPr>
          <w:p w14:paraId="6E056420" w14:textId="77777777" w:rsidR="00057B13" w:rsidRPr="00DC2A3C" w:rsidRDefault="00057B13" w:rsidP="00242F83">
            <w:pPr>
              <w:pStyle w:val="ARtablecolheadright"/>
              <w:rPr>
                <w:lang w:eastAsia="en-AU"/>
              </w:rPr>
            </w:pPr>
            <w:r w:rsidRPr="00DC2A3C">
              <w:rPr>
                <w:lang w:eastAsia="en-AU"/>
              </w:rPr>
              <w:t>FTE</w:t>
            </w:r>
          </w:p>
        </w:tc>
        <w:tc>
          <w:tcPr>
            <w:tcW w:w="956" w:type="dxa"/>
            <w:tcBorders>
              <w:top w:val="single" w:sz="4" w:space="0" w:color="auto"/>
              <w:bottom w:val="single" w:sz="4" w:space="0" w:color="auto"/>
            </w:tcBorders>
            <w:tcMar>
              <w:right w:w="113" w:type="dxa"/>
            </w:tcMar>
            <w:hideMark/>
          </w:tcPr>
          <w:p w14:paraId="5A59485C" w14:textId="77777777" w:rsidR="00057B13" w:rsidRPr="00DC2A3C" w:rsidRDefault="00057B13" w:rsidP="00242F83">
            <w:pPr>
              <w:pStyle w:val="ARtablecolheadright"/>
              <w:rPr>
                <w:lang w:eastAsia="en-AU"/>
              </w:rPr>
            </w:pPr>
            <w:r w:rsidRPr="00DC2A3C">
              <w:rPr>
                <w:lang w:eastAsia="en-AU"/>
              </w:rPr>
              <w:t>Number</w:t>
            </w:r>
          </w:p>
          <w:p w14:paraId="2E39CC9C" w14:textId="77777777" w:rsidR="00057B13" w:rsidRPr="00DC2A3C" w:rsidRDefault="00057B13" w:rsidP="00242F83">
            <w:pPr>
              <w:pStyle w:val="ARtablecolheadright"/>
              <w:rPr>
                <w:lang w:eastAsia="en-AU"/>
              </w:rPr>
            </w:pPr>
            <w:r w:rsidRPr="00DC2A3C">
              <w:rPr>
                <w:lang w:eastAsia="en-AU"/>
              </w:rPr>
              <w:t>(</w:t>
            </w:r>
            <w:proofErr w:type="gramStart"/>
            <w:r w:rsidRPr="00DC2A3C">
              <w:rPr>
                <w:lang w:eastAsia="en-AU"/>
              </w:rPr>
              <w:t>head</w:t>
            </w:r>
            <w:proofErr w:type="gramEnd"/>
          </w:p>
          <w:p w14:paraId="5FDEFF02" w14:textId="7A6B58AE" w:rsidR="00057B13" w:rsidRPr="00DC2A3C" w:rsidRDefault="00057B13" w:rsidP="00242F83">
            <w:pPr>
              <w:pStyle w:val="ARtablecolheadright"/>
              <w:rPr>
                <w:lang w:eastAsia="en-AU"/>
              </w:rPr>
            </w:pPr>
            <w:r w:rsidRPr="00DC2A3C">
              <w:rPr>
                <w:lang w:eastAsia="en-AU"/>
              </w:rPr>
              <w:t>count)</w:t>
            </w:r>
          </w:p>
        </w:tc>
        <w:tc>
          <w:tcPr>
            <w:tcW w:w="786" w:type="dxa"/>
            <w:tcBorders>
              <w:top w:val="single" w:sz="4" w:space="0" w:color="auto"/>
              <w:bottom w:val="single" w:sz="4" w:space="0" w:color="auto"/>
            </w:tcBorders>
            <w:tcMar>
              <w:right w:w="113" w:type="dxa"/>
            </w:tcMar>
            <w:hideMark/>
          </w:tcPr>
          <w:p w14:paraId="08E9D269" w14:textId="77777777" w:rsidR="00057B13" w:rsidRPr="00DC2A3C" w:rsidRDefault="00057B13" w:rsidP="00242F83">
            <w:pPr>
              <w:pStyle w:val="ARtablecolheadright"/>
              <w:rPr>
                <w:lang w:eastAsia="en-AU"/>
              </w:rPr>
            </w:pPr>
            <w:r w:rsidRPr="00DC2A3C">
              <w:rPr>
                <w:lang w:eastAsia="en-AU"/>
              </w:rPr>
              <w:t>FTE</w:t>
            </w:r>
          </w:p>
        </w:tc>
        <w:tc>
          <w:tcPr>
            <w:tcW w:w="1120" w:type="dxa"/>
            <w:tcBorders>
              <w:top w:val="single" w:sz="4" w:space="0" w:color="auto"/>
              <w:bottom w:val="single" w:sz="4" w:space="0" w:color="auto"/>
            </w:tcBorders>
            <w:shd w:val="clear" w:color="auto" w:fill="E7E6E6" w:themeFill="background2"/>
            <w:tcMar>
              <w:right w:w="113" w:type="dxa"/>
            </w:tcMar>
            <w:hideMark/>
          </w:tcPr>
          <w:p w14:paraId="5EA5006D" w14:textId="77777777" w:rsidR="00057B13" w:rsidRPr="00DC2A3C" w:rsidRDefault="00057B13" w:rsidP="00242F83">
            <w:pPr>
              <w:pStyle w:val="ARtablecolheadright"/>
              <w:rPr>
                <w:lang w:eastAsia="en-AU"/>
              </w:rPr>
            </w:pPr>
            <w:r w:rsidRPr="00DC2A3C">
              <w:rPr>
                <w:lang w:eastAsia="en-AU"/>
              </w:rPr>
              <w:t>Full-time</w:t>
            </w:r>
          </w:p>
          <w:p w14:paraId="7B0E3DBF" w14:textId="77777777" w:rsidR="00057B13" w:rsidRPr="00DC2A3C" w:rsidRDefault="00057B13" w:rsidP="00242F83">
            <w:pPr>
              <w:pStyle w:val="ARtablecolheadright"/>
              <w:rPr>
                <w:lang w:eastAsia="en-AU"/>
              </w:rPr>
            </w:pPr>
            <w:r w:rsidRPr="00DC2A3C">
              <w:rPr>
                <w:lang w:eastAsia="en-AU"/>
              </w:rPr>
              <w:t>(</w:t>
            </w:r>
            <w:proofErr w:type="gramStart"/>
            <w:r w:rsidRPr="00DC2A3C">
              <w:rPr>
                <w:lang w:eastAsia="en-AU"/>
              </w:rPr>
              <w:t>head</w:t>
            </w:r>
            <w:proofErr w:type="gramEnd"/>
          </w:p>
          <w:p w14:paraId="0D39C217" w14:textId="6C63B4A8" w:rsidR="00057B13" w:rsidRPr="00DC2A3C" w:rsidRDefault="00057B13" w:rsidP="00242F83">
            <w:pPr>
              <w:pStyle w:val="ARtablecolheadright"/>
              <w:rPr>
                <w:lang w:eastAsia="en-AU"/>
              </w:rPr>
            </w:pPr>
            <w:r w:rsidRPr="00DC2A3C">
              <w:rPr>
                <w:lang w:eastAsia="en-AU"/>
              </w:rPr>
              <w:t>count)</w:t>
            </w:r>
          </w:p>
        </w:tc>
        <w:tc>
          <w:tcPr>
            <w:tcW w:w="949" w:type="dxa"/>
            <w:tcBorders>
              <w:top w:val="single" w:sz="4" w:space="0" w:color="auto"/>
              <w:bottom w:val="single" w:sz="4" w:space="0" w:color="auto"/>
            </w:tcBorders>
            <w:shd w:val="clear" w:color="auto" w:fill="E7E6E6" w:themeFill="background2"/>
            <w:tcMar>
              <w:right w:w="113" w:type="dxa"/>
            </w:tcMar>
            <w:hideMark/>
          </w:tcPr>
          <w:p w14:paraId="7994AF89" w14:textId="77777777" w:rsidR="00057B13" w:rsidRPr="00DC2A3C" w:rsidRDefault="00057B13" w:rsidP="00242F83">
            <w:pPr>
              <w:pStyle w:val="ARtablecolheadright"/>
              <w:rPr>
                <w:lang w:eastAsia="en-AU"/>
              </w:rPr>
            </w:pPr>
            <w:r w:rsidRPr="00DC2A3C">
              <w:rPr>
                <w:lang w:eastAsia="en-AU"/>
              </w:rPr>
              <w:t>Part-time</w:t>
            </w:r>
          </w:p>
          <w:p w14:paraId="581F11C1" w14:textId="77777777" w:rsidR="00057B13" w:rsidRPr="00DC2A3C" w:rsidRDefault="00057B13" w:rsidP="00242F83">
            <w:pPr>
              <w:pStyle w:val="ARtablecolheadright"/>
              <w:rPr>
                <w:lang w:eastAsia="en-AU"/>
              </w:rPr>
            </w:pPr>
            <w:r w:rsidRPr="00DC2A3C">
              <w:rPr>
                <w:lang w:eastAsia="en-AU"/>
              </w:rPr>
              <w:t>(</w:t>
            </w:r>
            <w:proofErr w:type="gramStart"/>
            <w:r w:rsidRPr="00DC2A3C">
              <w:rPr>
                <w:lang w:eastAsia="en-AU"/>
              </w:rPr>
              <w:t>head</w:t>
            </w:r>
            <w:proofErr w:type="gramEnd"/>
          </w:p>
          <w:p w14:paraId="7BD7ABD1" w14:textId="3AF90409" w:rsidR="00057B13" w:rsidRPr="00DC2A3C" w:rsidRDefault="00057B13" w:rsidP="00242F83">
            <w:pPr>
              <w:pStyle w:val="ARtablecolheadright"/>
              <w:rPr>
                <w:lang w:eastAsia="en-AU"/>
              </w:rPr>
            </w:pPr>
            <w:r w:rsidRPr="00DC2A3C">
              <w:rPr>
                <w:lang w:eastAsia="en-AU"/>
              </w:rPr>
              <w:t>count)</w:t>
            </w:r>
          </w:p>
        </w:tc>
        <w:tc>
          <w:tcPr>
            <w:tcW w:w="957" w:type="dxa"/>
            <w:tcBorders>
              <w:top w:val="single" w:sz="4" w:space="0" w:color="auto"/>
              <w:bottom w:val="single" w:sz="4" w:space="0" w:color="auto"/>
            </w:tcBorders>
            <w:shd w:val="clear" w:color="auto" w:fill="E7E6E6" w:themeFill="background2"/>
            <w:tcMar>
              <w:right w:w="113" w:type="dxa"/>
            </w:tcMar>
            <w:hideMark/>
          </w:tcPr>
          <w:p w14:paraId="1BE76B5C" w14:textId="77777777" w:rsidR="00057B13" w:rsidRPr="00DC2A3C" w:rsidRDefault="00057B13" w:rsidP="00242F83">
            <w:pPr>
              <w:pStyle w:val="ARtablecolheadright"/>
              <w:rPr>
                <w:lang w:eastAsia="en-AU"/>
              </w:rPr>
            </w:pPr>
            <w:r w:rsidRPr="00DC2A3C">
              <w:rPr>
                <w:lang w:eastAsia="en-AU"/>
              </w:rPr>
              <w:t>FTE</w:t>
            </w:r>
          </w:p>
        </w:tc>
        <w:tc>
          <w:tcPr>
            <w:tcW w:w="956" w:type="dxa"/>
            <w:tcBorders>
              <w:top w:val="single" w:sz="4" w:space="0" w:color="auto"/>
              <w:bottom w:val="single" w:sz="4" w:space="0" w:color="auto"/>
            </w:tcBorders>
            <w:tcMar>
              <w:right w:w="113" w:type="dxa"/>
            </w:tcMar>
            <w:hideMark/>
          </w:tcPr>
          <w:p w14:paraId="43C1EC4B" w14:textId="77777777" w:rsidR="00057B13" w:rsidRPr="00DC2A3C" w:rsidRDefault="00057B13" w:rsidP="00242F83">
            <w:pPr>
              <w:pStyle w:val="ARtablecolheadright"/>
              <w:rPr>
                <w:lang w:eastAsia="en-AU"/>
              </w:rPr>
            </w:pPr>
            <w:r w:rsidRPr="00DC2A3C">
              <w:rPr>
                <w:lang w:eastAsia="en-AU"/>
              </w:rPr>
              <w:t>Number</w:t>
            </w:r>
          </w:p>
          <w:p w14:paraId="0192C00F" w14:textId="77777777" w:rsidR="00057B13" w:rsidRPr="00DC2A3C" w:rsidRDefault="00057B13" w:rsidP="00242F83">
            <w:pPr>
              <w:pStyle w:val="ARtablecolheadright"/>
              <w:rPr>
                <w:lang w:eastAsia="en-AU"/>
              </w:rPr>
            </w:pPr>
            <w:r w:rsidRPr="00DC2A3C">
              <w:rPr>
                <w:lang w:eastAsia="en-AU"/>
              </w:rPr>
              <w:t>(</w:t>
            </w:r>
            <w:proofErr w:type="gramStart"/>
            <w:r w:rsidRPr="00DC2A3C">
              <w:rPr>
                <w:lang w:eastAsia="en-AU"/>
              </w:rPr>
              <w:t>head</w:t>
            </w:r>
            <w:proofErr w:type="gramEnd"/>
          </w:p>
          <w:p w14:paraId="180E7AC5" w14:textId="75DEA583" w:rsidR="00057B13" w:rsidRPr="00DC2A3C" w:rsidRDefault="00057B13" w:rsidP="00242F83">
            <w:pPr>
              <w:pStyle w:val="ARtablecolheadright"/>
              <w:rPr>
                <w:lang w:eastAsia="en-AU"/>
              </w:rPr>
            </w:pPr>
            <w:r w:rsidRPr="00DC2A3C">
              <w:rPr>
                <w:lang w:eastAsia="en-AU"/>
              </w:rPr>
              <w:t>count)</w:t>
            </w:r>
          </w:p>
        </w:tc>
        <w:tc>
          <w:tcPr>
            <w:tcW w:w="957" w:type="dxa"/>
            <w:tcBorders>
              <w:top w:val="single" w:sz="4" w:space="0" w:color="auto"/>
              <w:bottom w:val="single" w:sz="4" w:space="0" w:color="auto"/>
            </w:tcBorders>
            <w:tcMar>
              <w:right w:w="113" w:type="dxa"/>
            </w:tcMar>
            <w:hideMark/>
          </w:tcPr>
          <w:p w14:paraId="7E88A2F1" w14:textId="77777777" w:rsidR="00057B13" w:rsidRPr="00DC2A3C" w:rsidRDefault="00057B13" w:rsidP="00242F83">
            <w:pPr>
              <w:pStyle w:val="ARtablecolheadright"/>
              <w:rPr>
                <w:lang w:eastAsia="en-AU"/>
              </w:rPr>
            </w:pPr>
            <w:r w:rsidRPr="00DC2A3C">
              <w:rPr>
                <w:lang w:eastAsia="en-AU"/>
              </w:rPr>
              <w:t>FTE</w:t>
            </w:r>
          </w:p>
        </w:tc>
      </w:tr>
      <w:tr w:rsidR="00F844B4" w:rsidRPr="00DC2A3C" w14:paraId="30C153A7" w14:textId="77777777" w:rsidTr="00D119D2">
        <w:trPr>
          <w:cantSplit w:val="0"/>
          <w:trHeight w:val="300"/>
        </w:trPr>
        <w:tc>
          <w:tcPr>
            <w:tcW w:w="14437" w:type="dxa"/>
            <w:gridSpan w:val="15"/>
            <w:tcBorders>
              <w:top w:val="single" w:sz="4" w:space="0" w:color="auto"/>
              <w:bottom w:val="single" w:sz="4" w:space="0" w:color="auto"/>
            </w:tcBorders>
            <w:tcMar>
              <w:right w:w="113" w:type="dxa"/>
            </w:tcMar>
            <w:hideMark/>
          </w:tcPr>
          <w:p w14:paraId="263740E5" w14:textId="77777777" w:rsidR="00F844B4" w:rsidRPr="00DC2A3C" w:rsidRDefault="00F844B4">
            <w:pPr>
              <w:pStyle w:val="ARtabletextbold"/>
            </w:pPr>
            <w:r w:rsidRPr="00DC2A3C">
              <w:t>Part 1: Demographic data</w:t>
            </w:r>
          </w:p>
        </w:tc>
      </w:tr>
      <w:tr w:rsidR="00F844B4" w:rsidRPr="00DC2A3C" w14:paraId="06DD7046" w14:textId="77777777" w:rsidTr="00D119D2">
        <w:trPr>
          <w:cantSplit w:val="0"/>
          <w:trHeight w:val="300"/>
        </w:trPr>
        <w:tc>
          <w:tcPr>
            <w:tcW w:w="14437" w:type="dxa"/>
            <w:gridSpan w:val="15"/>
            <w:tcBorders>
              <w:top w:val="single" w:sz="4" w:space="0" w:color="auto"/>
              <w:bottom w:val="single" w:sz="4" w:space="0" w:color="A6A6A6" w:themeColor="accent5"/>
            </w:tcBorders>
            <w:tcMar>
              <w:right w:w="113" w:type="dxa"/>
            </w:tcMar>
            <w:hideMark/>
          </w:tcPr>
          <w:p w14:paraId="03B30BEF" w14:textId="77777777" w:rsidR="00F844B4" w:rsidRPr="00DC2A3C" w:rsidRDefault="00F844B4" w:rsidP="001D338C">
            <w:pPr>
              <w:pStyle w:val="ARtabletextcolourbold"/>
            </w:pPr>
            <w:r w:rsidRPr="00DC2A3C">
              <w:t>Gender</w:t>
            </w:r>
          </w:p>
        </w:tc>
      </w:tr>
      <w:tr w:rsidR="008D68DC" w:rsidRPr="00DC2A3C" w14:paraId="3E92AC57" w14:textId="77777777" w:rsidTr="00D119D2">
        <w:trPr>
          <w:cantSplit w:val="0"/>
          <w:trHeight w:val="300"/>
        </w:trPr>
        <w:tc>
          <w:tcPr>
            <w:tcW w:w="1087" w:type="dxa"/>
            <w:tcBorders>
              <w:top w:val="single" w:sz="4" w:space="0" w:color="A6A6A6" w:themeColor="accent5"/>
            </w:tcBorders>
            <w:hideMark/>
          </w:tcPr>
          <w:p w14:paraId="7828D37D" w14:textId="77777777" w:rsidR="00F844B4" w:rsidRPr="00DC2A3C" w:rsidRDefault="00F844B4" w:rsidP="00074625">
            <w:pPr>
              <w:pStyle w:val="ARtabletext"/>
            </w:pPr>
            <w:r w:rsidRPr="00DC2A3C">
              <w:t>Women</w:t>
            </w:r>
          </w:p>
        </w:tc>
        <w:tc>
          <w:tcPr>
            <w:tcW w:w="954" w:type="dxa"/>
            <w:tcBorders>
              <w:top w:val="single" w:sz="4" w:space="0" w:color="A6A6A6" w:themeColor="accent5"/>
            </w:tcBorders>
            <w:shd w:val="clear" w:color="auto" w:fill="E7E6E6" w:themeFill="background2"/>
            <w:tcMar>
              <w:right w:w="113" w:type="dxa"/>
            </w:tcMar>
            <w:hideMark/>
          </w:tcPr>
          <w:p w14:paraId="51466D1A" w14:textId="77777777" w:rsidR="00F844B4" w:rsidRPr="00DC2A3C" w:rsidRDefault="00F844B4" w:rsidP="00074625">
            <w:pPr>
              <w:pStyle w:val="ARtabletextright"/>
            </w:pPr>
            <w:r w:rsidRPr="00DC2A3C">
              <w:t>5488</w:t>
            </w:r>
          </w:p>
        </w:tc>
        <w:tc>
          <w:tcPr>
            <w:tcW w:w="956" w:type="dxa"/>
            <w:tcBorders>
              <w:top w:val="single" w:sz="4" w:space="0" w:color="A6A6A6" w:themeColor="accent5"/>
            </w:tcBorders>
            <w:shd w:val="clear" w:color="auto" w:fill="E7E6E6" w:themeFill="background2"/>
            <w:tcMar>
              <w:right w:w="113" w:type="dxa"/>
            </w:tcMar>
            <w:hideMark/>
          </w:tcPr>
          <w:p w14:paraId="15D460AE" w14:textId="77777777" w:rsidR="00F844B4" w:rsidRPr="00DC2A3C" w:rsidRDefault="00F844B4" w:rsidP="00074625">
            <w:pPr>
              <w:pStyle w:val="ARtabletextright"/>
            </w:pPr>
            <w:r w:rsidRPr="00DC2A3C">
              <w:t>5107.65</w:t>
            </w:r>
          </w:p>
        </w:tc>
        <w:tc>
          <w:tcPr>
            <w:tcW w:w="948" w:type="dxa"/>
            <w:tcBorders>
              <w:top w:val="single" w:sz="4" w:space="0" w:color="A6A6A6" w:themeColor="accent5"/>
            </w:tcBorders>
            <w:tcMar>
              <w:right w:w="113" w:type="dxa"/>
            </w:tcMar>
            <w:hideMark/>
          </w:tcPr>
          <w:p w14:paraId="0F8DABB6" w14:textId="77777777" w:rsidR="00F844B4" w:rsidRPr="00DC2A3C" w:rsidRDefault="00F844B4" w:rsidP="00074625">
            <w:pPr>
              <w:pStyle w:val="ARtabletextright"/>
            </w:pPr>
            <w:r w:rsidRPr="00DC2A3C">
              <w:t>3793</w:t>
            </w:r>
          </w:p>
        </w:tc>
        <w:tc>
          <w:tcPr>
            <w:tcW w:w="948" w:type="dxa"/>
            <w:tcBorders>
              <w:top w:val="single" w:sz="4" w:space="0" w:color="A6A6A6" w:themeColor="accent5"/>
            </w:tcBorders>
            <w:tcMar>
              <w:right w:w="113" w:type="dxa"/>
            </w:tcMar>
            <w:hideMark/>
          </w:tcPr>
          <w:p w14:paraId="490116F2" w14:textId="77777777" w:rsidR="00F844B4" w:rsidRPr="00DC2A3C" w:rsidRDefault="00F844B4" w:rsidP="00074625">
            <w:pPr>
              <w:pStyle w:val="ARtabletextright"/>
            </w:pPr>
            <w:r w:rsidRPr="00DC2A3C">
              <w:t>802</w:t>
            </w:r>
          </w:p>
        </w:tc>
        <w:tc>
          <w:tcPr>
            <w:tcW w:w="956" w:type="dxa"/>
            <w:tcBorders>
              <w:top w:val="single" w:sz="4" w:space="0" w:color="A6A6A6" w:themeColor="accent5"/>
            </w:tcBorders>
            <w:tcMar>
              <w:right w:w="113" w:type="dxa"/>
            </w:tcMar>
            <w:hideMark/>
          </w:tcPr>
          <w:p w14:paraId="49DA13BC" w14:textId="77777777" w:rsidR="00F844B4" w:rsidRPr="00DC2A3C" w:rsidRDefault="00F844B4" w:rsidP="00074625">
            <w:pPr>
              <w:pStyle w:val="ARtabletextright"/>
            </w:pPr>
            <w:r w:rsidRPr="00DC2A3C">
              <w:t>4309.07</w:t>
            </w:r>
          </w:p>
        </w:tc>
        <w:tc>
          <w:tcPr>
            <w:tcW w:w="956" w:type="dxa"/>
            <w:tcBorders>
              <w:top w:val="single" w:sz="4" w:space="0" w:color="A6A6A6" w:themeColor="accent5"/>
            </w:tcBorders>
            <w:shd w:val="clear" w:color="auto" w:fill="E7E6E6" w:themeFill="background2"/>
            <w:tcMar>
              <w:right w:w="113" w:type="dxa"/>
            </w:tcMar>
            <w:hideMark/>
          </w:tcPr>
          <w:p w14:paraId="4E33FA9F" w14:textId="77777777" w:rsidR="00F844B4" w:rsidRPr="00DC2A3C" w:rsidRDefault="00F844B4" w:rsidP="00074625">
            <w:pPr>
              <w:pStyle w:val="ARtabletextright"/>
            </w:pPr>
            <w:r w:rsidRPr="00DC2A3C">
              <w:t>893</w:t>
            </w:r>
          </w:p>
        </w:tc>
        <w:tc>
          <w:tcPr>
            <w:tcW w:w="951" w:type="dxa"/>
            <w:tcBorders>
              <w:top w:val="single" w:sz="4" w:space="0" w:color="A6A6A6" w:themeColor="accent5"/>
            </w:tcBorders>
            <w:shd w:val="clear" w:color="auto" w:fill="E7E6E6" w:themeFill="background2"/>
            <w:tcMar>
              <w:right w:w="113" w:type="dxa"/>
            </w:tcMar>
            <w:hideMark/>
          </w:tcPr>
          <w:p w14:paraId="3B22921C" w14:textId="77777777" w:rsidR="00F844B4" w:rsidRPr="00DC2A3C" w:rsidRDefault="00F844B4" w:rsidP="00074625">
            <w:pPr>
              <w:pStyle w:val="ARtabletextright"/>
            </w:pPr>
            <w:r w:rsidRPr="00DC2A3C">
              <w:t>798.58</w:t>
            </w:r>
          </w:p>
        </w:tc>
        <w:tc>
          <w:tcPr>
            <w:tcW w:w="956" w:type="dxa"/>
            <w:tcBorders>
              <w:top w:val="single" w:sz="4" w:space="0" w:color="A6A6A6" w:themeColor="accent5"/>
            </w:tcBorders>
            <w:tcMar>
              <w:right w:w="113" w:type="dxa"/>
            </w:tcMar>
            <w:hideMark/>
          </w:tcPr>
          <w:p w14:paraId="384C08AD" w14:textId="77777777" w:rsidR="00F844B4" w:rsidRPr="00DC2A3C" w:rsidRDefault="00F844B4" w:rsidP="00074625">
            <w:pPr>
              <w:pStyle w:val="ARtabletextright"/>
            </w:pPr>
            <w:r w:rsidRPr="00DC2A3C">
              <w:t>5,494</w:t>
            </w:r>
          </w:p>
        </w:tc>
        <w:tc>
          <w:tcPr>
            <w:tcW w:w="786" w:type="dxa"/>
            <w:tcBorders>
              <w:top w:val="single" w:sz="4" w:space="0" w:color="A6A6A6" w:themeColor="accent5"/>
            </w:tcBorders>
            <w:tcMar>
              <w:right w:w="113" w:type="dxa"/>
            </w:tcMar>
            <w:hideMark/>
          </w:tcPr>
          <w:p w14:paraId="57F599C8" w14:textId="77777777" w:rsidR="00F844B4" w:rsidRPr="00DC2A3C" w:rsidRDefault="00F844B4" w:rsidP="00074625">
            <w:pPr>
              <w:pStyle w:val="ARtabletextright"/>
            </w:pPr>
            <w:r w:rsidRPr="00DC2A3C">
              <w:t>5,079.10</w:t>
            </w:r>
          </w:p>
        </w:tc>
        <w:tc>
          <w:tcPr>
            <w:tcW w:w="1120" w:type="dxa"/>
            <w:tcBorders>
              <w:top w:val="single" w:sz="4" w:space="0" w:color="A6A6A6" w:themeColor="accent5"/>
            </w:tcBorders>
            <w:shd w:val="clear" w:color="auto" w:fill="E7E6E6" w:themeFill="background2"/>
            <w:tcMar>
              <w:right w:w="113" w:type="dxa"/>
            </w:tcMar>
            <w:hideMark/>
          </w:tcPr>
          <w:p w14:paraId="04196BB2" w14:textId="77777777" w:rsidR="00F844B4" w:rsidRPr="00DC2A3C" w:rsidRDefault="00F844B4" w:rsidP="00074625">
            <w:pPr>
              <w:pStyle w:val="ARtabletextright"/>
            </w:pPr>
            <w:r w:rsidRPr="00DC2A3C">
              <w:t>3,630</w:t>
            </w:r>
          </w:p>
        </w:tc>
        <w:tc>
          <w:tcPr>
            <w:tcW w:w="949" w:type="dxa"/>
            <w:tcBorders>
              <w:top w:val="single" w:sz="4" w:space="0" w:color="A6A6A6" w:themeColor="accent5"/>
            </w:tcBorders>
            <w:shd w:val="clear" w:color="auto" w:fill="E7E6E6" w:themeFill="background2"/>
            <w:tcMar>
              <w:right w:w="113" w:type="dxa"/>
            </w:tcMar>
            <w:hideMark/>
          </w:tcPr>
          <w:p w14:paraId="5E453D91" w14:textId="77777777" w:rsidR="00F844B4" w:rsidRPr="00DC2A3C" w:rsidRDefault="00F844B4" w:rsidP="00074625">
            <w:pPr>
              <w:pStyle w:val="ARtabletextright"/>
            </w:pPr>
            <w:r w:rsidRPr="00DC2A3C">
              <w:t>766</w:t>
            </w:r>
          </w:p>
        </w:tc>
        <w:tc>
          <w:tcPr>
            <w:tcW w:w="957" w:type="dxa"/>
            <w:tcBorders>
              <w:top w:val="single" w:sz="4" w:space="0" w:color="A6A6A6" w:themeColor="accent5"/>
            </w:tcBorders>
            <w:shd w:val="clear" w:color="auto" w:fill="E7E6E6" w:themeFill="background2"/>
            <w:tcMar>
              <w:right w:w="113" w:type="dxa"/>
            </w:tcMar>
            <w:hideMark/>
          </w:tcPr>
          <w:p w14:paraId="2157BC78" w14:textId="77777777" w:rsidR="00F844B4" w:rsidRPr="00DC2A3C" w:rsidRDefault="00F844B4" w:rsidP="00074625">
            <w:pPr>
              <w:pStyle w:val="ARtabletextright"/>
            </w:pPr>
            <w:r w:rsidRPr="00DC2A3C">
              <w:t>4,113.80</w:t>
            </w:r>
          </w:p>
        </w:tc>
        <w:tc>
          <w:tcPr>
            <w:tcW w:w="956" w:type="dxa"/>
            <w:tcBorders>
              <w:top w:val="single" w:sz="4" w:space="0" w:color="A6A6A6" w:themeColor="accent5"/>
            </w:tcBorders>
            <w:tcMar>
              <w:right w:w="113" w:type="dxa"/>
            </w:tcMar>
            <w:hideMark/>
          </w:tcPr>
          <w:p w14:paraId="3DE60470" w14:textId="77777777" w:rsidR="00F844B4" w:rsidRPr="00DC2A3C" w:rsidRDefault="00F844B4" w:rsidP="00074625">
            <w:pPr>
              <w:pStyle w:val="ARtabletextright"/>
            </w:pPr>
            <w:r w:rsidRPr="00DC2A3C">
              <w:t>1,098</w:t>
            </w:r>
          </w:p>
        </w:tc>
        <w:tc>
          <w:tcPr>
            <w:tcW w:w="957" w:type="dxa"/>
            <w:tcBorders>
              <w:top w:val="single" w:sz="4" w:space="0" w:color="A6A6A6" w:themeColor="accent5"/>
            </w:tcBorders>
            <w:tcMar>
              <w:right w:w="113" w:type="dxa"/>
            </w:tcMar>
            <w:hideMark/>
          </w:tcPr>
          <w:p w14:paraId="3C45030C" w14:textId="77777777" w:rsidR="00F844B4" w:rsidRPr="00DC2A3C" w:rsidRDefault="00F844B4" w:rsidP="00074625">
            <w:pPr>
              <w:pStyle w:val="ARtabletextright"/>
            </w:pPr>
            <w:r w:rsidRPr="00DC2A3C">
              <w:t>965.3</w:t>
            </w:r>
          </w:p>
        </w:tc>
      </w:tr>
      <w:tr w:rsidR="008D68DC" w:rsidRPr="00DC2A3C" w14:paraId="5B940418" w14:textId="77777777" w:rsidTr="00D119D2">
        <w:trPr>
          <w:cantSplit w:val="0"/>
          <w:trHeight w:val="300"/>
        </w:trPr>
        <w:tc>
          <w:tcPr>
            <w:tcW w:w="1087" w:type="dxa"/>
            <w:tcBorders>
              <w:bottom w:val="single" w:sz="4" w:space="0" w:color="A6A6A6" w:themeColor="accent5"/>
            </w:tcBorders>
            <w:hideMark/>
          </w:tcPr>
          <w:p w14:paraId="1BEA5C4D" w14:textId="77777777" w:rsidR="00F844B4" w:rsidRPr="00DC2A3C" w:rsidRDefault="00F844B4" w:rsidP="00074625">
            <w:pPr>
              <w:pStyle w:val="ARtabletext"/>
            </w:pPr>
            <w:r w:rsidRPr="00DC2A3C">
              <w:t>Men</w:t>
            </w:r>
          </w:p>
        </w:tc>
        <w:tc>
          <w:tcPr>
            <w:tcW w:w="954" w:type="dxa"/>
            <w:tcBorders>
              <w:bottom w:val="single" w:sz="4" w:space="0" w:color="A6A6A6" w:themeColor="accent5"/>
            </w:tcBorders>
            <w:shd w:val="clear" w:color="auto" w:fill="E7E6E6" w:themeFill="background2"/>
            <w:tcMar>
              <w:right w:w="113" w:type="dxa"/>
            </w:tcMar>
            <w:hideMark/>
          </w:tcPr>
          <w:p w14:paraId="08E3AF85" w14:textId="77777777" w:rsidR="00F844B4" w:rsidRPr="00DC2A3C" w:rsidRDefault="00F844B4" w:rsidP="00074625">
            <w:pPr>
              <w:pStyle w:val="ARtabletextright"/>
            </w:pPr>
            <w:r w:rsidRPr="00DC2A3C">
              <w:t>1,620</w:t>
            </w:r>
          </w:p>
        </w:tc>
        <w:tc>
          <w:tcPr>
            <w:tcW w:w="956" w:type="dxa"/>
            <w:tcBorders>
              <w:bottom w:val="single" w:sz="4" w:space="0" w:color="A6A6A6" w:themeColor="accent5"/>
            </w:tcBorders>
            <w:shd w:val="clear" w:color="auto" w:fill="E7E6E6" w:themeFill="background2"/>
            <w:tcMar>
              <w:right w:w="113" w:type="dxa"/>
            </w:tcMar>
            <w:hideMark/>
          </w:tcPr>
          <w:p w14:paraId="21D147FA" w14:textId="77777777" w:rsidR="00F844B4" w:rsidRPr="00DC2A3C" w:rsidRDefault="00F844B4" w:rsidP="00074625">
            <w:pPr>
              <w:pStyle w:val="ARtabletextright"/>
            </w:pPr>
            <w:r w:rsidRPr="00DC2A3C">
              <w:t>1,564.36</w:t>
            </w:r>
          </w:p>
        </w:tc>
        <w:tc>
          <w:tcPr>
            <w:tcW w:w="948" w:type="dxa"/>
            <w:tcBorders>
              <w:bottom w:val="single" w:sz="4" w:space="0" w:color="A6A6A6" w:themeColor="accent5"/>
            </w:tcBorders>
            <w:tcMar>
              <w:right w:w="113" w:type="dxa"/>
            </w:tcMar>
            <w:hideMark/>
          </w:tcPr>
          <w:p w14:paraId="74C3004F" w14:textId="77777777" w:rsidR="00F844B4" w:rsidRPr="00DC2A3C" w:rsidRDefault="00F844B4" w:rsidP="00074625">
            <w:pPr>
              <w:pStyle w:val="ARtabletextright"/>
            </w:pPr>
            <w:r w:rsidRPr="00DC2A3C">
              <w:t>1,164</w:t>
            </w:r>
          </w:p>
        </w:tc>
        <w:tc>
          <w:tcPr>
            <w:tcW w:w="948" w:type="dxa"/>
            <w:tcBorders>
              <w:bottom w:val="single" w:sz="4" w:space="0" w:color="A6A6A6" w:themeColor="accent5"/>
            </w:tcBorders>
            <w:tcMar>
              <w:right w:w="113" w:type="dxa"/>
            </w:tcMar>
            <w:hideMark/>
          </w:tcPr>
          <w:p w14:paraId="77EFC344" w14:textId="77777777" w:rsidR="00F844B4" w:rsidRPr="00DC2A3C" w:rsidRDefault="00F844B4" w:rsidP="00074625">
            <w:pPr>
              <w:pStyle w:val="ARtabletextright"/>
            </w:pPr>
            <w:r w:rsidRPr="00DC2A3C">
              <w:t>80</w:t>
            </w:r>
          </w:p>
        </w:tc>
        <w:tc>
          <w:tcPr>
            <w:tcW w:w="956" w:type="dxa"/>
            <w:tcBorders>
              <w:bottom w:val="single" w:sz="4" w:space="0" w:color="A6A6A6" w:themeColor="accent5"/>
            </w:tcBorders>
            <w:tcMar>
              <w:right w:w="113" w:type="dxa"/>
            </w:tcMar>
            <w:hideMark/>
          </w:tcPr>
          <w:p w14:paraId="44230F8C" w14:textId="77777777" w:rsidR="00F844B4" w:rsidRPr="00DC2A3C" w:rsidRDefault="00F844B4" w:rsidP="00074625">
            <w:pPr>
              <w:pStyle w:val="ARtabletextright"/>
            </w:pPr>
            <w:r w:rsidRPr="00DC2A3C">
              <w:t>1,217.98</w:t>
            </w:r>
          </w:p>
        </w:tc>
        <w:tc>
          <w:tcPr>
            <w:tcW w:w="956" w:type="dxa"/>
            <w:tcBorders>
              <w:bottom w:val="single" w:sz="4" w:space="0" w:color="A6A6A6" w:themeColor="accent5"/>
            </w:tcBorders>
            <w:shd w:val="clear" w:color="auto" w:fill="E7E6E6" w:themeFill="background2"/>
            <w:tcMar>
              <w:right w:w="113" w:type="dxa"/>
            </w:tcMar>
            <w:hideMark/>
          </w:tcPr>
          <w:p w14:paraId="101853D7" w14:textId="77777777" w:rsidR="00F844B4" w:rsidRPr="00DC2A3C" w:rsidRDefault="00F844B4" w:rsidP="00074625">
            <w:pPr>
              <w:pStyle w:val="ARtabletextright"/>
            </w:pPr>
            <w:r w:rsidRPr="00DC2A3C">
              <w:t>376</w:t>
            </w:r>
          </w:p>
        </w:tc>
        <w:tc>
          <w:tcPr>
            <w:tcW w:w="951" w:type="dxa"/>
            <w:tcBorders>
              <w:bottom w:val="single" w:sz="4" w:space="0" w:color="A6A6A6" w:themeColor="accent5"/>
            </w:tcBorders>
            <w:shd w:val="clear" w:color="auto" w:fill="E7E6E6" w:themeFill="background2"/>
            <w:tcMar>
              <w:right w:w="113" w:type="dxa"/>
            </w:tcMar>
            <w:hideMark/>
          </w:tcPr>
          <w:p w14:paraId="10551AC0" w14:textId="77777777" w:rsidR="00F844B4" w:rsidRPr="00DC2A3C" w:rsidRDefault="00F844B4" w:rsidP="00074625">
            <w:pPr>
              <w:pStyle w:val="ARtabletextright"/>
            </w:pPr>
            <w:r w:rsidRPr="00DC2A3C">
              <w:t>346.38</w:t>
            </w:r>
          </w:p>
        </w:tc>
        <w:tc>
          <w:tcPr>
            <w:tcW w:w="956" w:type="dxa"/>
            <w:tcBorders>
              <w:bottom w:val="single" w:sz="4" w:space="0" w:color="A6A6A6" w:themeColor="accent5"/>
            </w:tcBorders>
            <w:tcMar>
              <w:right w:w="113" w:type="dxa"/>
            </w:tcMar>
            <w:hideMark/>
          </w:tcPr>
          <w:p w14:paraId="2BF001B5" w14:textId="77777777" w:rsidR="00F844B4" w:rsidRPr="00DC2A3C" w:rsidRDefault="00F844B4" w:rsidP="00074625">
            <w:pPr>
              <w:pStyle w:val="ARtabletextright"/>
            </w:pPr>
            <w:r w:rsidRPr="00DC2A3C">
              <w:t>1,576</w:t>
            </w:r>
          </w:p>
        </w:tc>
        <w:tc>
          <w:tcPr>
            <w:tcW w:w="786" w:type="dxa"/>
            <w:tcBorders>
              <w:bottom w:val="single" w:sz="4" w:space="0" w:color="A6A6A6" w:themeColor="accent5"/>
            </w:tcBorders>
            <w:tcMar>
              <w:right w:w="113" w:type="dxa"/>
            </w:tcMar>
            <w:hideMark/>
          </w:tcPr>
          <w:p w14:paraId="317E3AF2" w14:textId="77777777" w:rsidR="00F844B4" w:rsidRPr="00DC2A3C" w:rsidRDefault="00F844B4" w:rsidP="00074625">
            <w:pPr>
              <w:pStyle w:val="ARtabletextright"/>
            </w:pPr>
            <w:r w:rsidRPr="00DC2A3C">
              <w:t>1,512.90</w:t>
            </w:r>
          </w:p>
        </w:tc>
        <w:tc>
          <w:tcPr>
            <w:tcW w:w="1120" w:type="dxa"/>
            <w:tcBorders>
              <w:bottom w:val="single" w:sz="4" w:space="0" w:color="A6A6A6" w:themeColor="accent5"/>
            </w:tcBorders>
            <w:shd w:val="clear" w:color="auto" w:fill="E7E6E6" w:themeFill="background2"/>
            <w:tcMar>
              <w:right w:w="113" w:type="dxa"/>
            </w:tcMar>
            <w:hideMark/>
          </w:tcPr>
          <w:p w14:paraId="52A8269C" w14:textId="77777777" w:rsidR="00F844B4" w:rsidRPr="00DC2A3C" w:rsidRDefault="00F844B4" w:rsidP="00074625">
            <w:pPr>
              <w:pStyle w:val="ARtabletextright"/>
            </w:pPr>
            <w:r w:rsidRPr="00DC2A3C">
              <w:t>1,096</w:t>
            </w:r>
          </w:p>
        </w:tc>
        <w:tc>
          <w:tcPr>
            <w:tcW w:w="949" w:type="dxa"/>
            <w:tcBorders>
              <w:bottom w:val="single" w:sz="4" w:space="0" w:color="A6A6A6" w:themeColor="accent5"/>
            </w:tcBorders>
            <w:shd w:val="clear" w:color="auto" w:fill="E7E6E6" w:themeFill="background2"/>
            <w:tcMar>
              <w:right w:w="113" w:type="dxa"/>
            </w:tcMar>
            <w:hideMark/>
          </w:tcPr>
          <w:p w14:paraId="17DE2091" w14:textId="77777777" w:rsidR="00F844B4" w:rsidRPr="00DC2A3C" w:rsidRDefault="00F844B4" w:rsidP="00074625">
            <w:pPr>
              <w:pStyle w:val="ARtabletextright"/>
            </w:pPr>
            <w:r w:rsidRPr="00DC2A3C">
              <w:t>75</w:t>
            </w:r>
          </w:p>
        </w:tc>
        <w:tc>
          <w:tcPr>
            <w:tcW w:w="957" w:type="dxa"/>
            <w:tcBorders>
              <w:bottom w:val="single" w:sz="4" w:space="0" w:color="A6A6A6" w:themeColor="accent5"/>
            </w:tcBorders>
            <w:shd w:val="clear" w:color="auto" w:fill="E7E6E6" w:themeFill="background2"/>
            <w:tcMar>
              <w:right w:w="113" w:type="dxa"/>
            </w:tcMar>
            <w:hideMark/>
          </w:tcPr>
          <w:p w14:paraId="3F9411C0" w14:textId="77777777" w:rsidR="00F844B4" w:rsidRPr="00DC2A3C" w:rsidRDefault="00F844B4" w:rsidP="00074625">
            <w:pPr>
              <w:pStyle w:val="ARtabletextright"/>
            </w:pPr>
            <w:r w:rsidRPr="00DC2A3C">
              <w:t>1,142.40</w:t>
            </w:r>
          </w:p>
        </w:tc>
        <w:tc>
          <w:tcPr>
            <w:tcW w:w="956" w:type="dxa"/>
            <w:tcBorders>
              <w:bottom w:val="single" w:sz="4" w:space="0" w:color="A6A6A6" w:themeColor="accent5"/>
            </w:tcBorders>
            <w:tcMar>
              <w:right w:w="113" w:type="dxa"/>
            </w:tcMar>
            <w:hideMark/>
          </w:tcPr>
          <w:p w14:paraId="2E79B9A2" w14:textId="77777777" w:rsidR="00F844B4" w:rsidRPr="00DC2A3C" w:rsidRDefault="00F844B4" w:rsidP="00074625">
            <w:pPr>
              <w:pStyle w:val="ARtabletextright"/>
            </w:pPr>
            <w:r w:rsidRPr="00DC2A3C">
              <w:t>405</w:t>
            </w:r>
          </w:p>
        </w:tc>
        <w:tc>
          <w:tcPr>
            <w:tcW w:w="957" w:type="dxa"/>
            <w:tcBorders>
              <w:bottom w:val="single" w:sz="4" w:space="0" w:color="A6A6A6" w:themeColor="accent5"/>
            </w:tcBorders>
            <w:tcMar>
              <w:right w:w="113" w:type="dxa"/>
            </w:tcMar>
            <w:hideMark/>
          </w:tcPr>
          <w:p w14:paraId="0ED34F40" w14:textId="77777777" w:rsidR="00F844B4" w:rsidRPr="00DC2A3C" w:rsidRDefault="00F844B4" w:rsidP="00074625">
            <w:pPr>
              <w:pStyle w:val="ARtabletextright"/>
            </w:pPr>
            <w:r w:rsidRPr="00DC2A3C">
              <w:t>370.5</w:t>
            </w:r>
          </w:p>
        </w:tc>
      </w:tr>
      <w:tr w:rsidR="008D68DC" w:rsidRPr="00DC2A3C" w14:paraId="0C66CA12" w14:textId="77777777" w:rsidTr="00D119D2">
        <w:trPr>
          <w:cantSplit w:val="0"/>
          <w:trHeight w:val="470"/>
        </w:trPr>
        <w:tc>
          <w:tcPr>
            <w:tcW w:w="1087" w:type="dxa"/>
            <w:tcBorders>
              <w:top w:val="single" w:sz="4" w:space="0" w:color="A6A6A6" w:themeColor="accent5"/>
              <w:bottom w:val="single" w:sz="4" w:space="0" w:color="auto"/>
            </w:tcBorders>
            <w:hideMark/>
          </w:tcPr>
          <w:p w14:paraId="586DEF40" w14:textId="77777777" w:rsidR="00F844B4" w:rsidRPr="00DC2A3C" w:rsidRDefault="00F844B4" w:rsidP="00074625">
            <w:pPr>
              <w:pStyle w:val="ARtabletext"/>
            </w:pPr>
            <w:r w:rsidRPr="00DC2A3C">
              <w:t>Self-described</w:t>
            </w:r>
          </w:p>
        </w:tc>
        <w:tc>
          <w:tcPr>
            <w:tcW w:w="954" w:type="dxa"/>
            <w:tcBorders>
              <w:top w:val="single" w:sz="4" w:space="0" w:color="A6A6A6" w:themeColor="accent5"/>
              <w:bottom w:val="single" w:sz="4" w:space="0" w:color="auto"/>
            </w:tcBorders>
            <w:shd w:val="clear" w:color="auto" w:fill="E7E6E6" w:themeFill="background2"/>
            <w:tcMar>
              <w:right w:w="113" w:type="dxa"/>
            </w:tcMar>
            <w:hideMark/>
          </w:tcPr>
          <w:p w14:paraId="0C803E9F" w14:textId="77777777" w:rsidR="00F844B4" w:rsidRPr="00DC2A3C" w:rsidRDefault="00F844B4" w:rsidP="00074625">
            <w:pPr>
              <w:pStyle w:val="ARtabletextright"/>
            </w:pPr>
            <w:r w:rsidRPr="00DC2A3C">
              <w:t>105</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2EEF2178" w14:textId="77777777" w:rsidR="00F844B4" w:rsidRPr="00DC2A3C" w:rsidRDefault="00F844B4" w:rsidP="00074625">
            <w:pPr>
              <w:pStyle w:val="ARtabletextright"/>
            </w:pPr>
            <w:r w:rsidRPr="00DC2A3C">
              <w:t>100.26</w:t>
            </w:r>
          </w:p>
        </w:tc>
        <w:tc>
          <w:tcPr>
            <w:tcW w:w="948" w:type="dxa"/>
            <w:tcBorders>
              <w:top w:val="single" w:sz="4" w:space="0" w:color="A6A6A6" w:themeColor="accent5"/>
              <w:bottom w:val="single" w:sz="4" w:space="0" w:color="auto"/>
            </w:tcBorders>
            <w:tcMar>
              <w:right w:w="113" w:type="dxa"/>
            </w:tcMar>
            <w:hideMark/>
          </w:tcPr>
          <w:p w14:paraId="26E3CBEA" w14:textId="77777777" w:rsidR="00F844B4" w:rsidRPr="00DC2A3C" w:rsidRDefault="00F844B4" w:rsidP="00074625">
            <w:pPr>
              <w:pStyle w:val="ARtabletextright"/>
            </w:pPr>
            <w:r w:rsidRPr="00DC2A3C">
              <w:t>65</w:t>
            </w:r>
          </w:p>
        </w:tc>
        <w:tc>
          <w:tcPr>
            <w:tcW w:w="948" w:type="dxa"/>
            <w:tcBorders>
              <w:top w:val="single" w:sz="4" w:space="0" w:color="A6A6A6" w:themeColor="accent5"/>
              <w:bottom w:val="single" w:sz="4" w:space="0" w:color="auto"/>
            </w:tcBorders>
            <w:tcMar>
              <w:right w:w="113" w:type="dxa"/>
            </w:tcMar>
            <w:hideMark/>
          </w:tcPr>
          <w:p w14:paraId="0C12A940" w14:textId="77777777" w:rsidR="00F844B4" w:rsidRPr="00DC2A3C" w:rsidRDefault="00F844B4" w:rsidP="00074625">
            <w:pPr>
              <w:pStyle w:val="ARtabletextright"/>
            </w:pPr>
            <w:r w:rsidRPr="00DC2A3C">
              <w:t>6</w:t>
            </w:r>
          </w:p>
        </w:tc>
        <w:tc>
          <w:tcPr>
            <w:tcW w:w="956" w:type="dxa"/>
            <w:tcBorders>
              <w:top w:val="single" w:sz="4" w:space="0" w:color="A6A6A6" w:themeColor="accent5"/>
              <w:bottom w:val="single" w:sz="4" w:space="0" w:color="auto"/>
            </w:tcBorders>
            <w:tcMar>
              <w:right w:w="113" w:type="dxa"/>
            </w:tcMar>
            <w:hideMark/>
          </w:tcPr>
          <w:p w14:paraId="42F3BC8A" w14:textId="77777777" w:rsidR="00F844B4" w:rsidRPr="00DC2A3C" w:rsidRDefault="00F844B4" w:rsidP="00074625">
            <w:pPr>
              <w:pStyle w:val="ARtabletextright"/>
            </w:pPr>
            <w:r w:rsidRPr="00DC2A3C">
              <w:t>69.19</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1B94CE21" w14:textId="77777777" w:rsidR="00F844B4" w:rsidRPr="00DC2A3C" w:rsidRDefault="00F844B4" w:rsidP="00074625">
            <w:pPr>
              <w:pStyle w:val="ARtabletextright"/>
            </w:pPr>
            <w:r w:rsidRPr="00DC2A3C">
              <w:t>34</w:t>
            </w:r>
          </w:p>
        </w:tc>
        <w:tc>
          <w:tcPr>
            <w:tcW w:w="951" w:type="dxa"/>
            <w:tcBorders>
              <w:top w:val="single" w:sz="4" w:space="0" w:color="A6A6A6" w:themeColor="accent5"/>
              <w:bottom w:val="single" w:sz="4" w:space="0" w:color="auto"/>
            </w:tcBorders>
            <w:shd w:val="clear" w:color="auto" w:fill="E7E6E6" w:themeFill="background2"/>
            <w:tcMar>
              <w:right w:w="113" w:type="dxa"/>
            </w:tcMar>
            <w:hideMark/>
          </w:tcPr>
          <w:p w14:paraId="36B49338" w14:textId="77777777" w:rsidR="00F844B4" w:rsidRPr="00DC2A3C" w:rsidRDefault="00F844B4" w:rsidP="00074625">
            <w:pPr>
              <w:pStyle w:val="ARtabletextright"/>
            </w:pPr>
            <w:r w:rsidRPr="00DC2A3C">
              <w:t>31.07</w:t>
            </w:r>
          </w:p>
        </w:tc>
        <w:tc>
          <w:tcPr>
            <w:tcW w:w="956" w:type="dxa"/>
            <w:tcBorders>
              <w:top w:val="single" w:sz="4" w:space="0" w:color="A6A6A6" w:themeColor="accent5"/>
              <w:bottom w:val="single" w:sz="4" w:space="0" w:color="auto"/>
            </w:tcBorders>
            <w:tcMar>
              <w:right w:w="113" w:type="dxa"/>
            </w:tcMar>
            <w:hideMark/>
          </w:tcPr>
          <w:p w14:paraId="48808CE8" w14:textId="77777777" w:rsidR="00F844B4" w:rsidRPr="00DC2A3C" w:rsidRDefault="00F844B4" w:rsidP="00074625">
            <w:pPr>
              <w:pStyle w:val="ARtabletextright"/>
            </w:pPr>
            <w:r w:rsidRPr="00DC2A3C">
              <w:t>99</w:t>
            </w:r>
          </w:p>
        </w:tc>
        <w:tc>
          <w:tcPr>
            <w:tcW w:w="786" w:type="dxa"/>
            <w:tcBorders>
              <w:top w:val="single" w:sz="4" w:space="0" w:color="A6A6A6" w:themeColor="accent5"/>
              <w:bottom w:val="single" w:sz="4" w:space="0" w:color="auto"/>
            </w:tcBorders>
            <w:tcMar>
              <w:right w:w="113" w:type="dxa"/>
            </w:tcMar>
            <w:hideMark/>
          </w:tcPr>
          <w:p w14:paraId="06AA77A7" w14:textId="77777777" w:rsidR="00F844B4" w:rsidRPr="00DC2A3C" w:rsidRDefault="00F844B4" w:rsidP="00074625">
            <w:pPr>
              <w:pStyle w:val="ARtabletextright"/>
            </w:pPr>
            <w:r w:rsidRPr="00DC2A3C">
              <w:t>92.2</w:t>
            </w:r>
          </w:p>
        </w:tc>
        <w:tc>
          <w:tcPr>
            <w:tcW w:w="1120" w:type="dxa"/>
            <w:tcBorders>
              <w:top w:val="single" w:sz="4" w:space="0" w:color="A6A6A6" w:themeColor="accent5"/>
              <w:bottom w:val="single" w:sz="4" w:space="0" w:color="auto"/>
            </w:tcBorders>
            <w:shd w:val="clear" w:color="auto" w:fill="E7E6E6" w:themeFill="background2"/>
            <w:tcMar>
              <w:right w:w="113" w:type="dxa"/>
            </w:tcMar>
            <w:hideMark/>
          </w:tcPr>
          <w:p w14:paraId="54BCED33" w14:textId="77777777" w:rsidR="00F844B4" w:rsidRPr="00DC2A3C" w:rsidRDefault="00F844B4" w:rsidP="00074625">
            <w:pPr>
              <w:pStyle w:val="ARtabletextright"/>
            </w:pPr>
            <w:r w:rsidRPr="00DC2A3C">
              <w:t>54</w:t>
            </w:r>
          </w:p>
        </w:tc>
        <w:tc>
          <w:tcPr>
            <w:tcW w:w="949" w:type="dxa"/>
            <w:tcBorders>
              <w:top w:val="single" w:sz="4" w:space="0" w:color="A6A6A6" w:themeColor="accent5"/>
              <w:bottom w:val="single" w:sz="4" w:space="0" w:color="auto"/>
            </w:tcBorders>
            <w:shd w:val="clear" w:color="auto" w:fill="E7E6E6" w:themeFill="background2"/>
            <w:tcMar>
              <w:right w:w="113" w:type="dxa"/>
            </w:tcMar>
            <w:hideMark/>
          </w:tcPr>
          <w:p w14:paraId="6EE4ABD2" w14:textId="77777777" w:rsidR="00F844B4" w:rsidRPr="00DC2A3C" w:rsidRDefault="00F844B4" w:rsidP="00074625">
            <w:pPr>
              <w:pStyle w:val="ARtabletextright"/>
            </w:pPr>
            <w:r w:rsidRPr="00DC2A3C">
              <w:t>8</w:t>
            </w:r>
          </w:p>
        </w:tc>
        <w:tc>
          <w:tcPr>
            <w:tcW w:w="957" w:type="dxa"/>
            <w:tcBorders>
              <w:top w:val="single" w:sz="4" w:space="0" w:color="A6A6A6" w:themeColor="accent5"/>
              <w:bottom w:val="single" w:sz="4" w:space="0" w:color="auto"/>
            </w:tcBorders>
            <w:shd w:val="clear" w:color="auto" w:fill="E7E6E6" w:themeFill="background2"/>
            <w:tcMar>
              <w:right w:w="113" w:type="dxa"/>
            </w:tcMar>
            <w:hideMark/>
          </w:tcPr>
          <w:p w14:paraId="55A07F83" w14:textId="77777777" w:rsidR="00F844B4" w:rsidRPr="00DC2A3C" w:rsidRDefault="00F844B4" w:rsidP="00074625">
            <w:pPr>
              <w:pStyle w:val="ARtabletextright"/>
            </w:pPr>
            <w:r w:rsidRPr="00DC2A3C">
              <w:t>59.65</w:t>
            </w:r>
          </w:p>
        </w:tc>
        <w:tc>
          <w:tcPr>
            <w:tcW w:w="956" w:type="dxa"/>
            <w:tcBorders>
              <w:top w:val="single" w:sz="4" w:space="0" w:color="A6A6A6" w:themeColor="accent5"/>
              <w:bottom w:val="single" w:sz="4" w:space="0" w:color="auto"/>
            </w:tcBorders>
            <w:tcMar>
              <w:right w:w="113" w:type="dxa"/>
            </w:tcMar>
            <w:hideMark/>
          </w:tcPr>
          <w:p w14:paraId="0948B7E8" w14:textId="77777777" w:rsidR="00F844B4" w:rsidRPr="00DC2A3C" w:rsidRDefault="00F844B4" w:rsidP="00074625">
            <w:pPr>
              <w:pStyle w:val="ARtabletextright"/>
            </w:pPr>
            <w:r w:rsidRPr="00DC2A3C">
              <w:t>37</w:t>
            </w:r>
          </w:p>
        </w:tc>
        <w:tc>
          <w:tcPr>
            <w:tcW w:w="957" w:type="dxa"/>
            <w:tcBorders>
              <w:top w:val="single" w:sz="4" w:space="0" w:color="A6A6A6" w:themeColor="accent5"/>
              <w:bottom w:val="single" w:sz="4" w:space="0" w:color="auto"/>
            </w:tcBorders>
            <w:tcMar>
              <w:right w:w="113" w:type="dxa"/>
            </w:tcMar>
            <w:hideMark/>
          </w:tcPr>
          <w:p w14:paraId="45C407A9" w14:textId="77777777" w:rsidR="00F844B4" w:rsidRPr="00DC2A3C" w:rsidRDefault="00F844B4" w:rsidP="00074625">
            <w:pPr>
              <w:pStyle w:val="ARtabletextright"/>
            </w:pPr>
            <w:r w:rsidRPr="00DC2A3C">
              <w:t>32.51</w:t>
            </w:r>
          </w:p>
        </w:tc>
      </w:tr>
      <w:tr w:rsidR="00F844B4" w:rsidRPr="00DC2A3C" w14:paraId="0EB9F1F7" w14:textId="77777777" w:rsidTr="00D119D2">
        <w:trPr>
          <w:cantSplit w:val="0"/>
          <w:trHeight w:val="300"/>
        </w:trPr>
        <w:tc>
          <w:tcPr>
            <w:tcW w:w="14437" w:type="dxa"/>
            <w:gridSpan w:val="15"/>
            <w:tcBorders>
              <w:top w:val="single" w:sz="4" w:space="0" w:color="auto"/>
              <w:bottom w:val="single" w:sz="4" w:space="0" w:color="A6A6A6" w:themeColor="accent5"/>
            </w:tcBorders>
            <w:tcMar>
              <w:right w:w="113" w:type="dxa"/>
            </w:tcMar>
            <w:hideMark/>
          </w:tcPr>
          <w:p w14:paraId="5E62C8B0" w14:textId="77777777" w:rsidR="00F844B4" w:rsidRPr="00DC2A3C" w:rsidRDefault="00F844B4" w:rsidP="001D338C">
            <w:pPr>
              <w:pStyle w:val="ARtabletextcolourbold"/>
            </w:pPr>
            <w:r w:rsidRPr="00DC2A3C">
              <w:t>Age</w:t>
            </w:r>
          </w:p>
        </w:tc>
      </w:tr>
      <w:tr w:rsidR="008D68DC" w:rsidRPr="00DC2A3C" w14:paraId="20D13E64" w14:textId="77777777" w:rsidTr="00D119D2">
        <w:trPr>
          <w:cantSplit w:val="0"/>
          <w:trHeight w:val="300"/>
        </w:trPr>
        <w:tc>
          <w:tcPr>
            <w:tcW w:w="1087" w:type="dxa"/>
            <w:tcBorders>
              <w:top w:val="single" w:sz="4" w:space="0" w:color="A6A6A6" w:themeColor="accent5"/>
            </w:tcBorders>
            <w:hideMark/>
          </w:tcPr>
          <w:p w14:paraId="0E844509" w14:textId="77777777" w:rsidR="00F844B4" w:rsidRPr="00DC2A3C" w:rsidRDefault="00F844B4" w:rsidP="00074625">
            <w:pPr>
              <w:pStyle w:val="ARtabletext"/>
            </w:pPr>
            <w:r w:rsidRPr="00DC2A3C">
              <w:t>15–24</w:t>
            </w:r>
          </w:p>
        </w:tc>
        <w:tc>
          <w:tcPr>
            <w:tcW w:w="954" w:type="dxa"/>
            <w:tcBorders>
              <w:top w:val="single" w:sz="4" w:space="0" w:color="A6A6A6" w:themeColor="accent5"/>
            </w:tcBorders>
            <w:shd w:val="clear" w:color="auto" w:fill="E7E6E6" w:themeFill="background2"/>
            <w:tcMar>
              <w:right w:w="113" w:type="dxa"/>
            </w:tcMar>
            <w:hideMark/>
          </w:tcPr>
          <w:p w14:paraId="03591582" w14:textId="77777777" w:rsidR="00F844B4" w:rsidRPr="00DC2A3C" w:rsidRDefault="00F844B4" w:rsidP="00074625">
            <w:pPr>
              <w:pStyle w:val="ARtabletextright"/>
            </w:pPr>
            <w:r w:rsidRPr="00DC2A3C">
              <w:t>280</w:t>
            </w:r>
          </w:p>
        </w:tc>
        <w:tc>
          <w:tcPr>
            <w:tcW w:w="956" w:type="dxa"/>
            <w:tcBorders>
              <w:top w:val="single" w:sz="4" w:space="0" w:color="A6A6A6" w:themeColor="accent5"/>
            </w:tcBorders>
            <w:shd w:val="clear" w:color="auto" w:fill="E7E6E6" w:themeFill="background2"/>
            <w:tcMar>
              <w:right w:w="113" w:type="dxa"/>
            </w:tcMar>
            <w:hideMark/>
          </w:tcPr>
          <w:p w14:paraId="0B9AC84A" w14:textId="77777777" w:rsidR="00F844B4" w:rsidRPr="00DC2A3C" w:rsidRDefault="00F844B4" w:rsidP="00074625">
            <w:pPr>
              <w:pStyle w:val="ARtabletextright"/>
            </w:pPr>
            <w:r w:rsidRPr="00DC2A3C">
              <w:t>250.23</w:t>
            </w:r>
          </w:p>
        </w:tc>
        <w:tc>
          <w:tcPr>
            <w:tcW w:w="948" w:type="dxa"/>
            <w:tcBorders>
              <w:top w:val="single" w:sz="4" w:space="0" w:color="A6A6A6" w:themeColor="accent5"/>
            </w:tcBorders>
            <w:tcMar>
              <w:right w:w="113" w:type="dxa"/>
            </w:tcMar>
            <w:hideMark/>
          </w:tcPr>
          <w:p w14:paraId="4C026ADE" w14:textId="77777777" w:rsidR="00F844B4" w:rsidRPr="00DC2A3C" w:rsidRDefault="00F844B4" w:rsidP="00074625">
            <w:pPr>
              <w:pStyle w:val="ARtabletextright"/>
            </w:pPr>
            <w:r w:rsidRPr="00DC2A3C">
              <w:t>157</w:t>
            </w:r>
          </w:p>
        </w:tc>
        <w:tc>
          <w:tcPr>
            <w:tcW w:w="948" w:type="dxa"/>
            <w:tcBorders>
              <w:top w:val="single" w:sz="4" w:space="0" w:color="A6A6A6" w:themeColor="accent5"/>
            </w:tcBorders>
            <w:tcMar>
              <w:right w:w="113" w:type="dxa"/>
            </w:tcMar>
            <w:hideMark/>
          </w:tcPr>
          <w:p w14:paraId="13CA9208" w14:textId="77777777" w:rsidR="00F844B4" w:rsidRPr="00DC2A3C" w:rsidRDefault="00F844B4" w:rsidP="00074625">
            <w:pPr>
              <w:pStyle w:val="ARtabletextright"/>
            </w:pPr>
            <w:r w:rsidRPr="00DC2A3C">
              <w:t>23</w:t>
            </w:r>
          </w:p>
        </w:tc>
        <w:tc>
          <w:tcPr>
            <w:tcW w:w="956" w:type="dxa"/>
            <w:tcBorders>
              <w:top w:val="single" w:sz="4" w:space="0" w:color="A6A6A6" w:themeColor="accent5"/>
            </w:tcBorders>
            <w:tcMar>
              <w:right w:w="113" w:type="dxa"/>
            </w:tcMar>
            <w:hideMark/>
          </w:tcPr>
          <w:p w14:paraId="5D50E60A" w14:textId="77777777" w:rsidR="00F844B4" w:rsidRPr="00DC2A3C" w:rsidRDefault="00F844B4" w:rsidP="00074625">
            <w:pPr>
              <w:pStyle w:val="ARtabletextright"/>
            </w:pPr>
            <w:r w:rsidRPr="00DC2A3C">
              <w:t>171.54</w:t>
            </w:r>
          </w:p>
        </w:tc>
        <w:tc>
          <w:tcPr>
            <w:tcW w:w="956" w:type="dxa"/>
            <w:tcBorders>
              <w:top w:val="single" w:sz="4" w:space="0" w:color="A6A6A6" w:themeColor="accent5"/>
            </w:tcBorders>
            <w:shd w:val="clear" w:color="auto" w:fill="E7E6E6" w:themeFill="background2"/>
            <w:tcMar>
              <w:right w:w="113" w:type="dxa"/>
            </w:tcMar>
            <w:hideMark/>
          </w:tcPr>
          <w:p w14:paraId="03960320" w14:textId="77777777" w:rsidR="00F844B4" w:rsidRPr="00DC2A3C" w:rsidRDefault="00F844B4" w:rsidP="00074625">
            <w:pPr>
              <w:pStyle w:val="ARtabletextright"/>
            </w:pPr>
            <w:r w:rsidRPr="00DC2A3C">
              <w:t>100</w:t>
            </w:r>
          </w:p>
        </w:tc>
        <w:tc>
          <w:tcPr>
            <w:tcW w:w="951" w:type="dxa"/>
            <w:tcBorders>
              <w:top w:val="single" w:sz="4" w:space="0" w:color="A6A6A6" w:themeColor="accent5"/>
            </w:tcBorders>
            <w:shd w:val="clear" w:color="auto" w:fill="E7E6E6" w:themeFill="background2"/>
            <w:tcMar>
              <w:right w:w="113" w:type="dxa"/>
            </w:tcMar>
            <w:hideMark/>
          </w:tcPr>
          <w:p w14:paraId="2D028EE9" w14:textId="77777777" w:rsidR="00F844B4" w:rsidRPr="00DC2A3C" w:rsidRDefault="00F844B4" w:rsidP="00074625">
            <w:pPr>
              <w:pStyle w:val="ARtabletextright"/>
            </w:pPr>
            <w:r w:rsidRPr="00DC2A3C">
              <w:t>78.69</w:t>
            </w:r>
          </w:p>
        </w:tc>
        <w:tc>
          <w:tcPr>
            <w:tcW w:w="956" w:type="dxa"/>
            <w:tcBorders>
              <w:top w:val="single" w:sz="4" w:space="0" w:color="A6A6A6" w:themeColor="accent5"/>
            </w:tcBorders>
            <w:tcMar>
              <w:right w:w="113" w:type="dxa"/>
            </w:tcMar>
            <w:hideMark/>
          </w:tcPr>
          <w:p w14:paraId="56314188" w14:textId="77777777" w:rsidR="00F844B4" w:rsidRPr="00DC2A3C" w:rsidRDefault="00F844B4" w:rsidP="00074625">
            <w:pPr>
              <w:pStyle w:val="ARtabletextright"/>
            </w:pPr>
            <w:r w:rsidRPr="00DC2A3C">
              <w:t>397</w:t>
            </w:r>
          </w:p>
        </w:tc>
        <w:tc>
          <w:tcPr>
            <w:tcW w:w="786" w:type="dxa"/>
            <w:tcBorders>
              <w:top w:val="single" w:sz="4" w:space="0" w:color="A6A6A6" w:themeColor="accent5"/>
            </w:tcBorders>
            <w:tcMar>
              <w:right w:w="113" w:type="dxa"/>
            </w:tcMar>
            <w:hideMark/>
          </w:tcPr>
          <w:p w14:paraId="3AABE3C9" w14:textId="77777777" w:rsidR="00F844B4" w:rsidRPr="00DC2A3C" w:rsidRDefault="00F844B4" w:rsidP="00074625">
            <w:pPr>
              <w:pStyle w:val="ARtabletextright"/>
            </w:pPr>
            <w:r w:rsidRPr="00DC2A3C">
              <w:t>355.1</w:t>
            </w:r>
          </w:p>
        </w:tc>
        <w:tc>
          <w:tcPr>
            <w:tcW w:w="1120" w:type="dxa"/>
            <w:tcBorders>
              <w:top w:val="single" w:sz="4" w:space="0" w:color="A6A6A6" w:themeColor="accent5"/>
            </w:tcBorders>
            <w:shd w:val="clear" w:color="auto" w:fill="E7E6E6" w:themeFill="background2"/>
            <w:tcMar>
              <w:right w:w="113" w:type="dxa"/>
            </w:tcMar>
            <w:hideMark/>
          </w:tcPr>
          <w:p w14:paraId="6F4E66A4" w14:textId="77777777" w:rsidR="00F844B4" w:rsidRPr="00DC2A3C" w:rsidRDefault="00F844B4" w:rsidP="00074625">
            <w:pPr>
              <w:pStyle w:val="ARtabletextright"/>
            </w:pPr>
            <w:r w:rsidRPr="00DC2A3C">
              <w:t>204</w:t>
            </w:r>
          </w:p>
        </w:tc>
        <w:tc>
          <w:tcPr>
            <w:tcW w:w="949" w:type="dxa"/>
            <w:tcBorders>
              <w:top w:val="single" w:sz="4" w:space="0" w:color="A6A6A6" w:themeColor="accent5"/>
            </w:tcBorders>
            <w:shd w:val="clear" w:color="auto" w:fill="E7E6E6" w:themeFill="background2"/>
            <w:tcMar>
              <w:right w:w="113" w:type="dxa"/>
            </w:tcMar>
            <w:hideMark/>
          </w:tcPr>
          <w:p w14:paraId="2DC48C81" w14:textId="77777777" w:rsidR="00F844B4" w:rsidRPr="00DC2A3C" w:rsidRDefault="00F844B4" w:rsidP="00074625">
            <w:pPr>
              <w:pStyle w:val="ARtabletextright"/>
            </w:pPr>
            <w:r w:rsidRPr="00DC2A3C">
              <w:t>24</w:t>
            </w:r>
          </w:p>
        </w:tc>
        <w:tc>
          <w:tcPr>
            <w:tcW w:w="957" w:type="dxa"/>
            <w:tcBorders>
              <w:top w:val="single" w:sz="4" w:space="0" w:color="A6A6A6" w:themeColor="accent5"/>
            </w:tcBorders>
            <w:shd w:val="clear" w:color="auto" w:fill="E7E6E6" w:themeFill="background2"/>
            <w:tcMar>
              <w:right w:w="113" w:type="dxa"/>
            </w:tcMar>
            <w:hideMark/>
          </w:tcPr>
          <w:p w14:paraId="684EEC21" w14:textId="77777777" w:rsidR="00F844B4" w:rsidRPr="00DC2A3C" w:rsidRDefault="00F844B4" w:rsidP="00074625">
            <w:pPr>
              <w:pStyle w:val="ARtabletextright"/>
            </w:pPr>
            <w:r w:rsidRPr="00DC2A3C">
              <w:t>218.2</w:t>
            </w:r>
          </w:p>
        </w:tc>
        <w:tc>
          <w:tcPr>
            <w:tcW w:w="956" w:type="dxa"/>
            <w:tcBorders>
              <w:top w:val="single" w:sz="4" w:space="0" w:color="A6A6A6" w:themeColor="accent5"/>
            </w:tcBorders>
            <w:tcMar>
              <w:right w:w="113" w:type="dxa"/>
            </w:tcMar>
            <w:hideMark/>
          </w:tcPr>
          <w:p w14:paraId="36C5A1D4" w14:textId="77777777" w:rsidR="00F844B4" w:rsidRPr="00DC2A3C" w:rsidRDefault="00F844B4" w:rsidP="00074625">
            <w:pPr>
              <w:pStyle w:val="ARtabletextright"/>
            </w:pPr>
            <w:r w:rsidRPr="00DC2A3C">
              <w:t>169</w:t>
            </w:r>
          </w:p>
        </w:tc>
        <w:tc>
          <w:tcPr>
            <w:tcW w:w="957" w:type="dxa"/>
            <w:tcBorders>
              <w:top w:val="single" w:sz="4" w:space="0" w:color="A6A6A6" w:themeColor="accent5"/>
            </w:tcBorders>
            <w:tcMar>
              <w:right w:w="113" w:type="dxa"/>
            </w:tcMar>
            <w:hideMark/>
          </w:tcPr>
          <w:p w14:paraId="56DE14CF" w14:textId="77777777" w:rsidR="00F844B4" w:rsidRPr="00DC2A3C" w:rsidRDefault="00F844B4" w:rsidP="00074625">
            <w:pPr>
              <w:pStyle w:val="ARtabletextright"/>
            </w:pPr>
            <w:r w:rsidRPr="00DC2A3C">
              <w:t>136.9</w:t>
            </w:r>
          </w:p>
        </w:tc>
      </w:tr>
      <w:tr w:rsidR="008D68DC" w:rsidRPr="00DC2A3C" w14:paraId="2A763F3B" w14:textId="77777777" w:rsidTr="00D119D2">
        <w:trPr>
          <w:cantSplit w:val="0"/>
          <w:trHeight w:val="300"/>
        </w:trPr>
        <w:tc>
          <w:tcPr>
            <w:tcW w:w="1087" w:type="dxa"/>
            <w:hideMark/>
          </w:tcPr>
          <w:p w14:paraId="1653391B" w14:textId="77777777" w:rsidR="00F844B4" w:rsidRPr="00DC2A3C" w:rsidRDefault="00F844B4" w:rsidP="00074625">
            <w:pPr>
              <w:pStyle w:val="ARtabletext"/>
            </w:pPr>
            <w:r w:rsidRPr="00DC2A3C">
              <w:t>25–34</w:t>
            </w:r>
          </w:p>
        </w:tc>
        <w:tc>
          <w:tcPr>
            <w:tcW w:w="954" w:type="dxa"/>
            <w:shd w:val="clear" w:color="auto" w:fill="E7E6E6" w:themeFill="background2"/>
            <w:tcMar>
              <w:right w:w="113" w:type="dxa"/>
            </w:tcMar>
            <w:hideMark/>
          </w:tcPr>
          <w:p w14:paraId="11C26BD2" w14:textId="77777777" w:rsidR="00F844B4" w:rsidRPr="00DC2A3C" w:rsidRDefault="00F844B4" w:rsidP="00074625">
            <w:pPr>
              <w:pStyle w:val="ARtabletextright"/>
            </w:pPr>
            <w:r w:rsidRPr="00DC2A3C">
              <w:t>1,875</w:t>
            </w:r>
          </w:p>
        </w:tc>
        <w:tc>
          <w:tcPr>
            <w:tcW w:w="956" w:type="dxa"/>
            <w:shd w:val="clear" w:color="auto" w:fill="E7E6E6" w:themeFill="background2"/>
            <w:tcMar>
              <w:right w:w="113" w:type="dxa"/>
            </w:tcMar>
            <w:hideMark/>
          </w:tcPr>
          <w:p w14:paraId="6AAF14CE" w14:textId="77777777" w:rsidR="00F844B4" w:rsidRPr="00DC2A3C" w:rsidRDefault="00F844B4" w:rsidP="00074625">
            <w:pPr>
              <w:pStyle w:val="ARtabletextright"/>
            </w:pPr>
            <w:r w:rsidRPr="00DC2A3C">
              <w:t>1,782.60</w:t>
            </w:r>
          </w:p>
        </w:tc>
        <w:tc>
          <w:tcPr>
            <w:tcW w:w="948" w:type="dxa"/>
            <w:tcMar>
              <w:right w:w="113" w:type="dxa"/>
            </w:tcMar>
            <w:hideMark/>
          </w:tcPr>
          <w:p w14:paraId="59BE018B" w14:textId="77777777" w:rsidR="00F844B4" w:rsidRPr="00DC2A3C" w:rsidRDefault="00F844B4" w:rsidP="00074625">
            <w:pPr>
              <w:pStyle w:val="ARtabletextright"/>
            </w:pPr>
            <w:r w:rsidRPr="00DC2A3C">
              <w:t>1,329</w:t>
            </w:r>
          </w:p>
        </w:tc>
        <w:tc>
          <w:tcPr>
            <w:tcW w:w="948" w:type="dxa"/>
            <w:tcMar>
              <w:right w:w="113" w:type="dxa"/>
            </w:tcMar>
            <w:hideMark/>
          </w:tcPr>
          <w:p w14:paraId="694E221C" w14:textId="77777777" w:rsidR="00F844B4" w:rsidRPr="00DC2A3C" w:rsidRDefault="00F844B4" w:rsidP="00074625">
            <w:pPr>
              <w:pStyle w:val="ARtabletextright"/>
            </w:pPr>
            <w:r w:rsidRPr="00DC2A3C">
              <w:t>148</w:t>
            </w:r>
          </w:p>
        </w:tc>
        <w:tc>
          <w:tcPr>
            <w:tcW w:w="956" w:type="dxa"/>
            <w:tcMar>
              <w:right w:w="113" w:type="dxa"/>
            </w:tcMar>
            <w:hideMark/>
          </w:tcPr>
          <w:p w14:paraId="757F8C99" w14:textId="77777777" w:rsidR="00F844B4" w:rsidRPr="00DC2A3C" w:rsidRDefault="00F844B4" w:rsidP="00074625">
            <w:pPr>
              <w:pStyle w:val="ARtabletextright"/>
            </w:pPr>
            <w:r w:rsidRPr="00DC2A3C">
              <w:t>1,419.66</w:t>
            </w:r>
          </w:p>
        </w:tc>
        <w:tc>
          <w:tcPr>
            <w:tcW w:w="956" w:type="dxa"/>
            <w:shd w:val="clear" w:color="auto" w:fill="E7E6E6" w:themeFill="background2"/>
            <w:tcMar>
              <w:right w:w="113" w:type="dxa"/>
            </w:tcMar>
            <w:hideMark/>
          </w:tcPr>
          <w:p w14:paraId="3941B029" w14:textId="77777777" w:rsidR="00F844B4" w:rsidRPr="00DC2A3C" w:rsidRDefault="00F844B4" w:rsidP="00074625">
            <w:pPr>
              <w:pStyle w:val="ARtabletextright"/>
            </w:pPr>
            <w:r w:rsidRPr="00DC2A3C">
              <w:t>398</w:t>
            </w:r>
          </w:p>
        </w:tc>
        <w:tc>
          <w:tcPr>
            <w:tcW w:w="951" w:type="dxa"/>
            <w:shd w:val="clear" w:color="auto" w:fill="E7E6E6" w:themeFill="background2"/>
            <w:tcMar>
              <w:right w:w="113" w:type="dxa"/>
            </w:tcMar>
            <w:hideMark/>
          </w:tcPr>
          <w:p w14:paraId="280FE1FF" w14:textId="77777777" w:rsidR="00F844B4" w:rsidRPr="00DC2A3C" w:rsidRDefault="00F844B4" w:rsidP="00074625">
            <w:pPr>
              <w:pStyle w:val="ARtabletextright"/>
            </w:pPr>
            <w:r w:rsidRPr="00DC2A3C">
              <w:t>362.94</w:t>
            </w:r>
          </w:p>
        </w:tc>
        <w:tc>
          <w:tcPr>
            <w:tcW w:w="956" w:type="dxa"/>
            <w:tcMar>
              <w:right w:w="113" w:type="dxa"/>
            </w:tcMar>
            <w:hideMark/>
          </w:tcPr>
          <w:p w14:paraId="045DC9F5" w14:textId="77777777" w:rsidR="00F844B4" w:rsidRPr="00DC2A3C" w:rsidRDefault="00F844B4" w:rsidP="00074625">
            <w:pPr>
              <w:pStyle w:val="ARtabletextright"/>
            </w:pPr>
            <w:r w:rsidRPr="00DC2A3C">
              <w:t>1,974</w:t>
            </w:r>
          </w:p>
        </w:tc>
        <w:tc>
          <w:tcPr>
            <w:tcW w:w="786" w:type="dxa"/>
            <w:tcMar>
              <w:right w:w="113" w:type="dxa"/>
            </w:tcMar>
            <w:hideMark/>
          </w:tcPr>
          <w:p w14:paraId="1D197913" w14:textId="77777777" w:rsidR="00F844B4" w:rsidRPr="00DC2A3C" w:rsidRDefault="00F844B4" w:rsidP="00074625">
            <w:pPr>
              <w:pStyle w:val="ARtabletextright"/>
            </w:pPr>
            <w:r w:rsidRPr="00DC2A3C">
              <w:t>1,858.50</w:t>
            </w:r>
          </w:p>
        </w:tc>
        <w:tc>
          <w:tcPr>
            <w:tcW w:w="1120" w:type="dxa"/>
            <w:shd w:val="clear" w:color="auto" w:fill="E7E6E6" w:themeFill="background2"/>
            <w:tcMar>
              <w:right w:w="113" w:type="dxa"/>
            </w:tcMar>
            <w:hideMark/>
          </w:tcPr>
          <w:p w14:paraId="754682CC" w14:textId="77777777" w:rsidR="00F844B4" w:rsidRPr="00DC2A3C" w:rsidRDefault="00F844B4" w:rsidP="00074625">
            <w:pPr>
              <w:pStyle w:val="ARtabletextright"/>
            </w:pPr>
            <w:r w:rsidRPr="00DC2A3C">
              <w:t>1,301</w:t>
            </w:r>
          </w:p>
        </w:tc>
        <w:tc>
          <w:tcPr>
            <w:tcW w:w="949" w:type="dxa"/>
            <w:shd w:val="clear" w:color="auto" w:fill="E7E6E6" w:themeFill="background2"/>
            <w:tcMar>
              <w:right w:w="113" w:type="dxa"/>
            </w:tcMar>
            <w:hideMark/>
          </w:tcPr>
          <w:p w14:paraId="2D14D574" w14:textId="77777777" w:rsidR="00F844B4" w:rsidRPr="00DC2A3C" w:rsidRDefault="00F844B4" w:rsidP="00074625">
            <w:pPr>
              <w:pStyle w:val="ARtabletextright"/>
            </w:pPr>
            <w:r w:rsidRPr="00DC2A3C">
              <w:t>171</w:t>
            </w:r>
          </w:p>
        </w:tc>
        <w:tc>
          <w:tcPr>
            <w:tcW w:w="957" w:type="dxa"/>
            <w:shd w:val="clear" w:color="auto" w:fill="E7E6E6" w:themeFill="background2"/>
            <w:tcMar>
              <w:right w:w="113" w:type="dxa"/>
            </w:tcMar>
            <w:hideMark/>
          </w:tcPr>
          <w:p w14:paraId="134D9B09" w14:textId="77777777" w:rsidR="00F844B4" w:rsidRPr="00DC2A3C" w:rsidRDefault="00F844B4" w:rsidP="00074625">
            <w:pPr>
              <w:pStyle w:val="ARtabletextright"/>
            </w:pPr>
            <w:r w:rsidRPr="00DC2A3C">
              <w:t>1,407.60</w:t>
            </w:r>
          </w:p>
        </w:tc>
        <w:tc>
          <w:tcPr>
            <w:tcW w:w="956" w:type="dxa"/>
            <w:tcMar>
              <w:right w:w="113" w:type="dxa"/>
            </w:tcMar>
            <w:hideMark/>
          </w:tcPr>
          <w:p w14:paraId="23415E38" w14:textId="77777777" w:rsidR="00F844B4" w:rsidRPr="00DC2A3C" w:rsidRDefault="00F844B4" w:rsidP="00074625">
            <w:pPr>
              <w:pStyle w:val="ARtabletextright"/>
            </w:pPr>
            <w:r w:rsidRPr="00DC2A3C">
              <w:t>502</w:t>
            </w:r>
          </w:p>
        </w:tc>
        <w:tc>
          <w:tcPr>
            <w:tcW w:w="957" w:type="dxa"/>
            <w:tcMar>
              <w:right w:w="113" w:type="dxa"/>
            </w:tcMar>
            <w:hideMark/>
          </w:tcPr>
          <w:p w14:paraId="1DC85BCB" w14:textId="77777777" w:rsidR="00F844B4" w:rsidRPr="00DC2A3C" w:rsidRDefault="00F844B4" w:rsidP="00074625">
            <w:pPr>
              <w:pStyle w:val="ARtabletextright"/>
            </w:pPr>
            <w:r w:rsidRPr="00DC2A3C">
              <w:t>451</w:t>
            </w:r>
          </w:p>
        </w:tc>
      </w:tr>
      <w:tr w:rsidR="008D68DC" w:rsidRPr="00DC2A3C" w14:paraId="444A3DDF" w14:textId="77777777" w:rsidTr="00D119D2">
        <w:trPr>
          <w:cantSplit w:val="0"/>
          <w:trHeight w:val="300"/>
        </w:trPr>
        <w:tc>
          <w:tcPr>
            <w:tcW w:w="1087" w:type="dxa"/>
            <w:hideMark/>
          </w:tcPr>
          <w:p w14:paraId="15649506" w14:textId="77777777" w:rsidR="00F844B4" w:rsidRPr="00DC2A3C" w:rsidRDefault="00F844B4" w:rsidP="00074625">
            <w:pPr>
              <w:pStyle w:val="ARtabletext"/>
            </w:pPr>
            <w:r w:rsidRPr="00DC2A3C">
              <w:t>35–44</w:t>
            </w:r>
          </w:p>
        </w:tc>
        <w:tc>
          <w:tcPr>
            <w:tcW w:w="954" w:type="dxa"/>
            <w:shd w:val="clear" w:color="auto" w:fill="E7E6E6" w:themeFill="background2"/>
            <w:tcMar>
              <w:right w:w="113" w:type="dxa"/>
            </w:tcMar>
            <w:hideMark/>
          </w:tcPr>
          <w:p w14:paraId="4EB5D1CF" w14:textId="77777777" w:rsidR="00F844B4" w:rsidRPr="00DC2A3C" w:rsidRDefault="00F844B4" w:rsidP="00074625">
            <w:pPr>
              <w:pStyle w:val="ARtabletextright"/>
            </w:pPr>
            <w:r w:rsidRPr="00DC2A3C">
              <w:t>2,061</w:t>
            </w:r>
          </w:p>
        </w:tc>
        <w:tc>
          <w:tcPr>
            <w:tcW w:w="956" w:type="dxa"/>
            <w:shd w:val="clear" w:color="auto" w:fill="E7E6E6" w:themeFill="background2"/>
            <w:tcMar>
              <w:right w:w="113" w:type="dxa"/>
            </w:tcMar>
            <w:hideMark/>
          </w:tcPr>
          <w:p w14:paraId="303EC8BE" w14:textId="77777777" w:rsidR="00F844B4" w:rsidRPr="00DC2A3C" w:rsidRDefault="00F844B4" w:rsidP="00074625">
            <w:pPr>
              <w:pStyle w:val="ARtabletextright"/>
            </w:pPr>
            <w:r w:rsidRPr="00DC2A3C">
              <w:t>1,903.26</w:t>
            </w:r>
          </w:p>
        </w:tc>
        <w:tc>
          <w:tcPr>
            <w:tcW w:w="948" w:type="dxa"/>
            <w:tcMar>
              <w:right w:w="113" w:type="dxa"/>
            </w:tcMar>
            <w:hideMark/>
          </w:tcPr>
          <w:p w14:paraId="73A7F2FE" w14:textId="77777777" w:rsidR="00F844B4" w:rsidRPr="00DC2A3C" w:rsidRDefault="00F844B4" w:rsidP="00074625">
            <w:pPr>
              <w:pStyle w:val="ARtabletextright"/>
            </w:pPr>
            <w:r w:rsidRPr="00DC2A3C">
              <w:t>1,379</w:t>
            </w:r>
          </w:p>
        </w:tc>
        <w:tc>
          <w:tcPr>
            <w:tcW w:w="948" w:type="dxa"/>
            <w:tcMar>
              <w:right w:w="113" w:type="dxa"/>
            </w:tcMar>
            <w:hideMark/>
          </w:tcPr>
          <w:p w14:paraId="0D21EF8A" w14:textId="77777777" w:rsidR="00F844B4" w:rsidRPr="00DC2A3C" w:rsidRDefault="00F844B4" w:rsidP="00074625">
            <w:pPr>
              <w:pStyle w:val="ARtabletextright"/>
            </w:pPr>
            <w:r w:rsidRPr="00DC2A3C">
              <w:t>325</w:t>
            </w:r>
          </w:p>
        </w:tc>
        <w:tc>
          <w:tcPr>
            <w:tcW w:w="956" w:type="dxa"/>
            <w:tcMar>
              <w:right w:w="113" w:type="dxa"/>
            </w:tcMar>
            <w:hideMark/>
          </w:tcPr>
          <w:p w14:paraId="69EF3EF2" w14:textId="77777777" w:rsidR="00F844B4" w:rsidRPr="00DC2A3C" w:rsidRDefault="00F844B4" w:rsidP="00074625">
            <w:pPr>
              <w:pStyle w:val="ARtabletextright"/>
            </w:pPr>
            <w:r w:rsidRPr="00DC2A3C">
              <w:t>1,581.72</w:t>
            </w:r>
          </w:p>
        </w:tc>
        <w:tc>
          <w:tcPr>
            <w:tcW w:w="956" w:type="dxa"/>
            <w:shd w:val="clear" w:color="auto" w:fill="E7E6E6" w:themeFill="background2"/>
            <w:tcMar>
              <w:right w:w="113" w:type="dxa"/>
            </w:tcMar>
            <w:hideMark/>
          </w:tcPr>
          <w:p w14:paraId="1A4EC480" w14:textId="77777777" w:rsidR="00F844B4" w:rsidRPr="00DC2A3C" w:rsidRDefault="00F844B4" w:rsidP="00074625">
            <w:pPr>
              <w:pStyle w:val="ARtabletextright"/>
            </w:pPr>
            <w:r w:rsidRPr="00DC2A3C">
              <w:t>357</w:t>
            </w:r>
          </w:p>
        </w:tc>
        <w:tc>
          <w:tcPr>
            <w:tcW w:w="951" w:type="dxa"/>
            <w:shd w:val="clear" w:color="auto" w:fill="E7E6E6" w:themeFill="background2"/>
            <w:tcMar>
              <w:right w:w="113" w:type="dxa"/>
            </w:tcMar>
            <w:hideMark/>
          </w:tcPr>
          <w:p w14:paraId="5AD51C45" w14:textId="77777777" w:rsidR="00F844B4" w:rsidRPr="00DC2A3C" w:rsidRDefault="00F844B4" w:rsidP="00074625">
            <w:pPr>
              <w:pStyle w:val="ARtabletextright"/>
            </w:pPr>
            <w:r w:rsidRPr="00DC2A3C">
              <w:t>321.54</w:t>
            </w:r>
          </w:p>
        </w:tc>
        <w:tc>
          <w:tcPr>
            <w:tcW w:w="956" w:type="dxa"/>
            <w:tcMar>
              <w:right w:w="113" w:type="dxa"/>
            </w:tcMar>
            <w:hideMark/>
          </w:tcPr>
          <w:p w14:paraId="3CAA5EA1" w14:textId="77777777" w:rsidR="00F844B4" w:rsidRPr="00DC2A3C" w:rsidRDefault="00F844B4" w:rsidP="00074625">
            <w:pPr>
              <w:pStyle w:val="ARtabletextright"/>
            </w:pPr>
            <w:r w:rsidRPr="00DC2A3C">
              <w:t>2,002</w:t>
            </w:r>
          </w:p>
        </w:tc>
        <w:tc>
          <w:tcPr>
            <w:tcW w:w="786" w:type="dxa"/>
            <w:tcMar>
              <w:right w:w="113" w:type="dxa"/>
            </w:tcMar>
            <w:hideMark/>
          </w:tcPr>
          <w:p w14:paraId="6EFD1EFA" w14:textId="77777777" w:rsidR="00F844B4" w:rsidRPr="00DC2A3C" w:rsidRDefault="00F844B4" w:rsidP="00074625">
            <w:pPr>
              <w:pStyle w:val="ARtabletextright"/>
            </w:pPr>
            <w:r w:rsidRPr="00DC2A3C">
              <w:t>1,837.60</w:t>
            </w:r>
          </w:p>
        </w:tc>
        <w:tc>
          <w:tcPr>
            <w:tcW w:w="1120" w:type="dxa"/>
            <w:shd w:val="clear" w:color="auto" w:fill="E7E6E6" w:themeFill="background2"/>
            <w:tcMar>
              <w:right w:w="113" w:type="dxa"/>
            </w:tcMar>
            <w:hideMark/>
          </w:tcPr>
          <w:p w14:paraId="7F9A4A83" w14:textId="77777777" w:rsidR="00F844B4" w:rsidRPr="00DC2A3C" w:rsidRDefault="00F844B4" w:rsidP="00074625">
            <w:pPr>
              <w:pStyle w:val="ARtabletextright"/>
            </w:pPr>
            <w:r w:rsidRPr="00DC2A3C">
              <w:t>1,293</w:t>
            </w:r>
          </w:p>
        </w:tc>
        <w:tc>
          <w:tcPr>
            <w:tcW w:w="949" w:type="dxa"/>
            <w:shd w:val="clear" w:color="auto" w:fill="E7E6E6" w:themeFill="background2"/>
            <w:tcMar>
              <w:right w:w="113" w:type="dxa"/>
            </w:tcMar>
            <w:hideMark/>
          </w:tcPr>
          <w:p w14:paraId="5D2980CB" w14:textId="77777777" w:rsidR="00F844B4" w:rsidRPr="00DC2A3C" w:rsidRDefault="00F844B4" w:rsidP="00074625">
            <w:pPr>
              <w:pStyle w:val="ARtabletextright"/>
            </w:pPr>
            <w:r w:rsidRPr="00DC2A3C">
              <w:t>299</w:t>
            </w:r>
          </w:p>
        </w:tc>
        <w:tc>
          <w:tcPr>
            <w:tcW w:w="957" w:type="dxa"/>
            <w:shd w:val="clear" w:color="auto" w:fill="E7E6E6" w:themeFill="background2"/>
            <w:tcMar>
              <w:right w:w="113" w:type="dxa"/>
            </w:tcMar>
            <w:hideMark/>
          </w:tcPr>
          <w:p w14:paraId="1C3ED9AB" w14:textId="77777777" w:rsidR="00F844B4" w:rsidRPr="00DC2A3C" w:rsidRDefault="00F844B4" w:rsidP="00074625">
            <w:pPr>
              <w:pStyle w:val="ARtabletextright"/>
            </w:pPr>
            <w:r w:rsidRPr="00DC2A3C">
              <w:t>1,472.80</w:t>
            </w:r>
          </w:p>
        </w:tc>
        <w:tc>
          <w:tcPr>
            <w:tcW w:w="956" w:type="dxa"/>
            <w:tcMar>
              <w:right w:w="113" w:type="dxa"/>
            </w:tcMar>
            <w:hideMark/>
          </w:tcPr>
          <w:p w14:paraId="32313A82" w14:textId="77777777" w:rsidR="00F844B4" w:rsidRPr="00DC2A3C" w:rsidRDefault="00F844B4" w:rsidP="00074625">
            <w:pPr>
              <w:pStyle w:val="ARtabletextright"/>
            </w:pPr>
            <w:r w:rsidRPr="00DC2A3C">
              <w:t>410</w:t>
            </w:r>
          </w:p>
        </w:tc>
        <w:tc>
          <w:tcPr>
            <w:tcW w:w="957" w:type="dxa"/>
            <w:tcMar>
              <w:right w:w="113" w:type="dxa"/>
            </w:tcMar>
            <w:hideMark/>
          </w:tcPr>
          <w:p w14:paraId="259E4859" w14:textId="77777777" w:rsidR="00F844B4" w:rsidRPr="00DC2A3C" w:rsidRDefault="00F844B4" w:rsidP="00074625">
            <w:pPr>
              <w:pStyle w:val="ARtabletextright"/>
            </w:pPr>
            <w:r w:rsidRPr="00DC2A3C">
              <w:t>364.7</w:t>
            </w:r>
          </w:p>
        </w:tc>
      </w:tr>
      <w:tr w:rsidR="008D68DC" w:rsidRPr="00DC2A3C" w14:paraId="099F602A" w14:textId="77777777" w:rsidTr="00D119D2">
        <w:trPr>
          <w:cantSplit w:val="0"/>
          <w:trHeight w:val="300"/>
        </w:trPr>
        <w:tc>
          <w:tcPr>
            <w:tcW w:w="1087" w:type="dxa"/>
            <w:hideMark/>
          </w:tcPr>
          <w:p w14:paraId="6F346F0C" w14:textId="77777777" w:rsidR="00F844B4" w:rsidRPr="00DC2A3C" w:rsidRDefault="00F844B4" w:rsidP="00074625">
            <w:pPr>
              <w:pStyle w:val="ARtabletext"/>
            </w:pPr>
            <w:r w:rsidRPr="00DC2A3C">
              <w:t>45–54</w:t>
            </w:r>
          </w:p>
        </w:tc>
        <w:tc>
          <w:tcPr>
            <w:tcW w:w="954" w:type="dxa"/>
            <w:shd w:val="clear" w:color="auto" w:fill="E7E6E6" w:themeFill="background2"/>
            <w:tcMar>
              <w:right w:w="113" w:type="dxa"/>
            </w:tcMar>
            <w:hideMark/>
          </w:tcPr>
          <w:p w14:paraId="499513CC" w14:textId="77777777" w:rsidR="00F844B4" w:rsidRPr="00DC2A3C" w:rsidRDefault="00F844B4" w:rsidP="00074625">
            <w:pPr>
              <w:pStyle w:val="ARtabletextright"/>
            </w:pPr>
            <w:r w:rsidRPr="00DC2A3C">
              <w:t>1,659</w:t>
            </w:r>
          </w:p>
        </w:tc>
        <w:tc>
          <w:tcPr>
            <w:tcW w:w="956" w:type="dxa"/>
            <w:shd w:val="clear" w:color="auto" w:fill="E7E6E6" w:themeFill="background2"/>
            <w:tcMar>
              <w:right w:w="113" w:type="dxa"/>
            </w:tcMar>
            <w:hideMark/>
          </w:tcPr>
          <w:p w14:paraId="77255D6F" w14:textId="77777777" w:rsidR="00F844B4" w:rsidRPr="00DC2A3C" w:rsidRDefault="00F844B4" w:rsidP="00074625">
            <w:pPr>
              <w:pStyle w:val="ARtabletextright"/>
            </w:pPr>
            <w:r w:rsidRPr="00DC2A3C">
              <w:t>1,573.36</w:t>
            </w:r>
          </w:p>
        </w:tc>
        <w:tc>
          <w:tcPr>
            <w:tcW w:w="948" w:type="dxa"/>
            <w:tcMar>
              <w:right w:w="113" w:type="dxa"/>
            </w:tcMar>
            <w:hideMark/>
          </w:tcPr>
          <w:p w14:paraId="6F7E73D7" w14:textId="77777777" w:rsidR="00F844B4" w:rsidRPr="00DC2A3C" w:rsidRDefault="00F844B4" w:rsidP="00074625">
            <w:pPr>
              <w:pStyle w:val="ARtabletextright"/>
            </w:pPr>
            <w:r w:rsidRPr="00DC2A3C">
              <w:t>1,169</w:t>
            </w:r>
          </w:p>
        </w:tc>
        <w:tc>
          <w:tcPr>
            <w:tcW w:w="948" w:type="dxa"/>
            <w:tcMar>
              <w:right w:w="113" w:type="dxa"/>
            </w:tcMar>
            <w:hideMark/>
          </w:tcPr>
          <w:p w14:paraId="612EFD82" w14:textId="77777777" w:rsidR="00F844B4" w:rsidRPr="00DC2A3C" w:rsidRDefault="00F844B4" w:rsidP="00074625">
            <w:pPr>
              <w:pStyle w:val="ARtabletextright"/>
            </w:pPr>
            <w:r w:rsidRPr="00DC2A3C">
              <w:t>202</w:t>
            </w:r>
          </w:p>
        </w:tc>
        <w:tc>
          <w:tcPr>
            <w:tcW w:w="956" w:type="dxa"/>
            <w:tcMar>
              <w:right w:w="113" w:type="dxa"/>
            </w:tcMar>
            <w:hideMark/>
          </w:tcPr>
          <w:p w14:paraId="62C04E8C" w14:textId="77777777" w:rsidR="00F844B4" w:rsidRPr="00DC2A3C" w:rsidRDefault="00F844B4" w:rsidP="00074625">
            <w:pPr>
              <w:pStyle w:val="ARtabletextright"/>
            </w:pPr>
            <w:r w:rsidRPr="00DC2A3C">
              <w:t>1,308.02</w:t>
            </w:r>
          </w:p>
        </w:tc>
        <w:tc>
          <w:tcPr>
            <w:tcW w:w="956" w:type="dxa"/>
            <w:shd w:val="clear" w:color="auto" w:fill="E7E6E6" w:themeFill="background2"/>
            <w:tcMar>
              <w:right w:w="113" w:type="dxa"/>
            </w:tcMar>
            <w:hideMark/>
          </w:tcPr>
          <w:p w14:paraId="06924766" w14:textId="77777777" w:rsidR="00F844B4" w:rsidRPr="00DC2A3C" w:rsidRDefault="00F844B4" w:rsidP="00074625">
            <w:pPr>
              <w:pStyle w:val="ARtabletextright"/>
            </w:pPr>
            <w:r w:rsidRPr="00DC2A3C">
              <w:t>288</w:t>
            </w:r>
          </w:p>
        </w:tc>
        <w:tc>
          <w:tcPr>
            <w:tcW w:w="951" w:type="dxa"/>
            <w:shd w:val="clear" w:color="auto" w:fill="E7E6E6" w:themeFill="background2"/>
            <w:tcMar>
              <w:right w:w="113" w:type="dxa"/>
            </w:tcMar>
            <w:hideMark/>
          </w:tcPr>
          <w:p w14:paraId="34C9D52B" w14:textId="77777777" w:rsidR="00F844B4" w:rsidRPr="00DC2A3C" w:rsidRDefault="00F844B4" w:rsidP="00074625">
            <w:pPr>
              <w:pStyle w:val="ARtabletextright"/>
            </w:pPr>
            <w:r w:rsidRPr="00DC2A3C">
              <w:t>265.34</w:t>
            </w:r>
          </w:p>
        </w:tc>
        <w:tc>
          <w:tcPr>
            <w:tcW w:w="956" w:type="dxa"/>
            <w:tcMar>
              <w:right w:w="113" w:type="dxa"/>
            </w:tcMar>
            <w:hideMark/>
          </w:tcPr>
          <w:p w14:paraId="3E03A68B" w14:textId="77777777" w:rsidR="00F844B4" w:rsidRPr="00DC2A3C" w:rsidRDefault="00F844B4" w:rsidP="00074625">
            <w:pPr>
              <w:pStyle w:val="ARtabletextright"/>
            </w:pPr>
            <w:r w:rsidRPr="00DC2A3C">
              <w:t>1,596</w:t>
            </w:r>
          </w:p>
        </w:tc>
        <w:tc>
          <w:tcPr>
            <w:tcW w:w="786" w:type="dxa"/>
            <w:tcMar>
              <w:right w:w="113" w:type="dxa"/>
            </w:tcMar>
            <w:hideMark/>
          </w:tcPr>
          <w:p w14:paraId="2D18E6C2" w14:textId="77777777" w:rsidR="00F844B4" w:rsidRPr="00DC2A3C" w:rsidRDefault="00F844B4" w:rsidP="00074625">
            <w:pPr>
              <w:pStyle w:val="ARtabletextright"/>
            </w:pPr>
            <w:r w:rsidRPr="00DC2A3C">
              <w:t>1,508.30</w:t>
            </w:r>
          </w:p>
        </w:tc>
        <w:tc>
          <w:tcPr>
            <w:tcW w:w="1120" w:type="dxa"/>
            <w:shd w:val="clear" w:color="auto" w:fill="E7E6E6" w:themeFill="background2"/>
            <w:tcMar>
              <w:right w:w="113" w:type="dxa"/>
            </w:tcMar>
            <w:hideMark/>
          </w:tcPr>
          <w:p w14:paraId="2F596629" w14:textId="77777777" w:rsidR="00F844B4" w:rsidRPr="00DC2A3C" w:rsidRDefault="00F844B4" w:rsidP="00074625">
            <w:pPr>
              <w:pStyle w:val="ARtabletextright"/>
            </w:pPr>
            <w:r w:rsidRPr="00DC2A3C">
              <w:t>1,133</w:t>
            </w:r>
          </w:p>
        </w:tc>
        <w:tc>
          <w:tcPr>
            <w:tcW w:w="949" w:type="dxa"/>
            <w:shd w:val="clear" w:color="auto" w:fill="E7E6E6" w:themeFill="background2"/>
            <w:tcMar>
              <w:right w:w="113" w:type="dxa"/>
            </w:tcMar>
            <w:hideMark/>
          </w:tcPr>
          <w:p w14:paraId="13B109E4" w14:textId="77777777" w:rsidR="00F844B4" w:rsidRPr="00DC2A3C" w:rsidRDefault="00F844B4" w:rsidP="00074625">
            <w:pPr>
              <w:pStyle w:val="ARtabletextright"/>
            </w:pPr>
            <w:r w:rsidRPr="00DC2A3C">
              <w:t>186</w:t>
            </w:r>
          </w:p>
        </w:tc>
        <w:tc>
          <w:tcPr>
            <w:tcW w:w="957" w:type="dxa"/>
            <w:shd w:val="clear" w:color="auto" w:fill="E7E6E6" w:themeFill="background2"/>
            <w:tcMar>
              <w:right w:w="113" w:type="dxa"/>
            </w:tcMar>
            <w:hideMark/>
          </w:tcPr>
          <w:p w14:paraId="09D51EE3" w14:textId="77777777" w:rsidR="00F844B4" w:rsidRPr="00DC2A3C" w:rsidRDefault="00F844B4" w:rsidP="00074625">
            <w:pPr>
              <w:pStyle w:val="ARtabletextright"/>
            </w:pPr>
            <w:r w:rsidRPr="00DC2A3C">
              <w:t>1,253.50</w:t>
            </w:r>
          </w:p>
        </w:tc>
        <w:tc>
          <w:tcPr>
            <w:tcW w:w="956" w:type="dxa"/>
            <w:tcMar>
              <w:right w:w="113" w:type="dxa"/>
            </w:tcMar>
            <w:hideMark/>
          </w:tcPr>
          <w:p w14:paraId="500EA0A3" w14:textId="77777777" w:rsidR="00F844B4" w:rsidRPr="00DC2A3C" w:rsidRDefault="00F844B4" w:rsidP="00074625">
            <w:pPr>
              <w:pStyle w:val="ARtabletextright"/>
            </w:pPr>
            <w:r w:rsidRPr="00DC2A3C">
              <w:t>277</w:t>
            </w:r>
          </w:p>
        </w:tc>
        <w:tc>
          <w:tcPr>
            <w:tcW w:w="957" w:type="dxa"/>
            <w:tcMar>
              <w:right w:w="113" w:type="dxa"/>
            </w:tcMar>
            <w:hideMark/>
          </w:tcPr>
          <w:p w14:paraId="5C357391" w14:textId="77777777" w:rsidR="00F844B4" w:rsidRPr="00DC2A3C" w:rsidRDefault="00F844B4" w:rsidP="00074625">
            <w:pPr>
              <w:pStyle w:val="ARtabletextright"/>
            </w:pPr>
            <w:r w:rsidRPr="00DC2A3C">
              <w:t>254.8</w:t>
            </w:r>
          </w:p>
        </w:tc>
      </w:tr>
      <w:tr w:rsidR="008D68DC" w:rsidRPr="00DC2A3C" w14:paraId="0EC1240E" w14:textId="77777777" w:rsidTr="00D119D2">
        <w:trPr>
          <w:cantSplit w:val="0"/>
          <w:trHeight w:val="300"/>
        </w:trPr>
        <w:tc>
          <w:tcPr>
            <w:tcW w:w="1087" w:type="dxa"/>
            <w:tcBorders>
              <w:bottom w:val="single" w:sz="4" w:space="0" w:color="A6A6A6" w:themeColor="accent5"/>
            </w:tcBorders>
            <w:hideMark/>
          </w:tcPr>
          <w:p w14:paraId="4238E09B" w14:textId="77777777" w:rsidR="00F844B4" w:rsidRPr="00DC2A3C" w:rsidRDefault="00F844B4" w:rsidP="00074625">
            <w:pPr>
              <w:pStyle w:val="ARtabletext"/>
            </w:pPr>
            <w:r w:rsidRPr="00DC2A3C">
              <w:t>55–64</w:t>
            </w:r>
          </w:p>
        </w:tc>
        <w:tc>
          <w:tcPr>
            <w:tcW w:w="954" w:type="dxa"/>
            <w:tcBorders>
              <w:bottom w:val="single" w:sz="4" w:space="0" w:color="A6A6A6" w:themeColor="accent5"/>
            </w:tcBorders>
            <w:shd w:val="clear" w:color="auto" w:fill="E7E6E6" w:themeFill="background2"/>
            <w:tcMar>
              <w:right w:w="113" w:type="dxa"/>
            </w:tcMar>
            <w:hideMark/>
          </w:tcPr>
          <w:p w14:paraId="1B0D80BD" w14:textId="77777777" w:rsidR="00F844B4" w:rsidRPr="00DC2A3C" w:rsidRDefault="00F844B4" w:rsidP="00074625">
            <w:pPr>
              <w:pStyle w:val="ARtabletextright"/>
            </w:pPr>
            <w:r w:rsidRPr="00DC2A3C">
              <w:t>1,104</w:t>
            </w:r>
          </w:p>
        </w:tc>
        <w:tc>
          <w:tcPr>
            <w:tcW w:w="956" w:type="dxa"/>
            <w:tcBorders>
              <w:bottom w:val="single" w:sz="4" w:space="0" w:color="A6A6A6" w:themeColor="accent5"/>
            </w:tcBorders>
            <w:shd w:val="clear" w:color="auto" w:fill="E7E6E6" w:themeFill="background2"/>
            <w:tcMar>
              <w:right w:w="113" w:type="dxa"/>
            </w:tcMar>
            <w:hideMark/>
          </w:tcPr>
          <w:p w14:paraId="701091BF" w14:textId="77777777" w:rsidR="00F844B4" w:rsidRPr="00DC2A3C" w:rsidRDefault="00F844B4" w:rsidP="00074625">
            <w:pPr>
              <w:pStyle w:val="ARtabletextright"/>
            </w:pPr>
            <w:r w:rsidRPr="00DC2A3C">
              <w:t>1050.35</w:t>
            </w:r>
          </w:p>
        </w:tc>
        <w:tc>
          <w:tcPr>
            <w:tcW w:w="948" w:type="dxa"/>
            <w:tcBorders>
              <w:bottom w:val="single" w:sz="4" w:space="0" w:color="A6A6A6" w:themeColor="accent5"/>
            </w:tcBorders>
            <w:tcMar>
              <w:right w:w="113" w:type="dxa"/>
            </w:tcMar>
            <w:hideMark/>
          </w:tcPr>
          <w:p w14:paraId="46B44A57" w14:textId="77777777" w:rsidR="00F844B4" w:rsidRPr="00DC2A3C" w:rsidRDefault="00F844B4" w:rsidP="00074625">
            <w:pPr>
              <w:pStyle w:val="ARtabletextright"/>
            </w:pPr>
            <w:r w:rsidRPr="00DC2A3C">
              <w:t>824</w:t>
            </w:r>
          </w:p>
        </w:tc>
        <w:tc>
          <w:tcPr>
            <w:tcW w:w="948" w:type="dxa"/>
            <w:tcBorders>
              <w:bottom w:val="single" w:sz="4" w:space="0" w:color="A6A6A6" w:themeColor="accent5"/>
            </w:tcBorders>
            <w:tcMar>
              <w:right w:w="113" w:type="dxa"/>
            </w:tcMar>
            <w:hideMark/>
          </w:tcPr>
          <w:p w14:paraId="0D94D27C" w14:textId="77777777" w:rsidR="00F844B4" w:rsidRPr="00DC2A3C" w:rsidRDefault="00F844B4" w:rsidP="00074625">
            <w:pPr>
              <w:pStyle w:val="ARtabletextright"/>
            </w:pPr>
            <w:r w:rsidRPr="00DC2A3C">
              <w:t>138</w:t>
            </w:r>
          </w:p>
        </w:tc>
        <w:tc>
          <w:tcPr>
            <w:tcW w:w="956" w:type="dxa"/>
            <w:tcBorders>
              <w:bottom w:val="single" w:sz="4" w:space="0" w:color="A6A6A6" w:themeColor="accent5"/>
            </w:tcBorders>
            <w:tcMar>
              <w:right w:w="113" w:type="dxa"/>
            </w:tcMar>
            <w:hideMark/>
          </w:tcPr>
          <w:p w14:paraId="215BA196" w14:textId="77777777" w:rsidR="00F844B4" w:rsidRPr="00DC2A3C" w:rsidRDefault="00F844B4" w:rsidP="00074625">
            <w:pPr>
              <w:pStyle w:val="ARtabletextright"/>
            </w:pPr>
            <w:r w:rsidRPr="00DC2A3C">
              <w:t>917.62</w:t>
            </w:r>
          </w:p>
        </w:tc>
        <w:tc>
          <w:tcPr>
            <w:tcW w:w="956" w:type="dxa"/>
            <w:tcBorders>
              <w:bottom w:val="single" w:sz="4" w:space="0" w:color="A6A6A6" w:themeColor="accent5"/>
            </w:tcBorders>
            <w:shd w:val="clear" w:color="auto" w:fill="E7E6E6" w:themeFill="background2"/>
            <w:tcMar>
              <w:right w:w="113" w:type="dxa"/>
            </w:tcMar>
            <w:hideMark/>
          </w:tcPr>
          <w:p w14:paraId="5352B65B" w14:textId="77777777" w:rsidR="00F844B4" w:rsidRPr="00DC2A3C" w:rsidRDefault="00F844B4" w:rsidP="00074625">
            <w:pPr>
              <w:pStyle w:val="ARtabletextright"/>
            </w:pPr>
            <w:r w:rsidRPr="00DC2A3C">
              <w:t>142</w:t>
            </w:r>
          </w:p>
        </w:tc>
        <w:tc>
          <w:tcPr>
            <w:tcW w:w="951" w:type="dxa"/>
            <w:tcBorders>
              <w:bottom w:val="single" w:sz="4" w:space="0" w:color="A6A6A6" w:themeColor="accent5"/>
            </w:tcBorders>
            <w:shd w:val="clear" w:color="auto" w:fill="E7E6E6" w:themeFill="background2"/>
            <w:tcMar>
              <w:right w:w="113" w:type="dxa"/>
            </w:tcMar>
            <w:hideMark/>
          </w:tcPr>
          <w:p w14:paraId="272AAA1C" w14:textId="77777777" w:rsidR="00F844B4" w:rsidRPr="00DC2A3C" w:rsidRDefault="00F844B4" w:rsidP="00074625">
            <w:pPr>
              <w:pStyle w:val="ARtabletextright"/>
            </w:pPr>
            <w:r w:rsidRPr="00DC2A3C">
              <w:t>132.73</w:t>
            </w:r>
          </w:p>
        </w:tc>
        <w:tc>
          <w:tcPr>
            <w:tcW w:w="956" w:type="dxa"/>
            <w:tcBorders>
              <w:bottom w:val="single" w:sz="4" w:space="0" w:color="A6A6A6" w:themeColor="accent5"/>
            </w:tcBorders>
            <w:tcMar>
              <w:right w:w="113" w:type="dxa"/>
            </w:tcMar>
            <w:hideMark/>
          </w:tcPr>
          <w:p w14:paraId="2ACCC0FA" w14:textId="77777777" w:rsidR="00F844B4" w:rsidRPr="00DC2A3C" w:rsidRDefault="00F844B4" w:rsidP="00074625">
            <w:pPr>
              <w:pStyle w:val="ARtabletextright"/>
            </w:pPr>
            <w:r w:rsidRPr="00DC2A3C">
              <w:t>1,028</w:t>
            </w:r>
          </w:p>
        </w:tc>
        <w:tc>
          <w:tcPr>
            <w:tcW w:w="786" w:type="dxa"/>
            <w:tcBorders>
              <w:bottom w:val="single" w:sz="4" w:space="0" w:color="A6A6A6" w:themeColor="accent5"/>
            </w:tcBorders>
            <w:tcMar>
              <w:right w:w="113" w:type="dxa"/>
            </w:tcMar>
            <w:hideMark/>
          </w:tcPr>
          <w:p w14:paraId="0C13F145" w14:textId="77777777" w:rsidR="00F844B4" w:rsidRPr="00DC2A3C" w:rsidRDefault="00F844B4" w:rsidP="00074625">
            <w:pPr>
              <w:pStyle w:val="ARtabletextright"/>
            </w:pPr>
            <w:r w:rsidRPr="00DC2A3C">
              <w:t>967.8</w:t>
            </w:r>
          </w:p>
        </w:tc>
        <w:tc>
          <w:tcPr>
            <w:tcW w:w="1120" w:type="dxa"/>
            <w:tcBorders>
              <w:bottom w:val="single" w:sz="4" w:space="0" w:color="A6A6A6" w:themeColor="accent5"/>
            </w:tcBorders>
            <w:shd w:val="clear" w:color="auto" w:fill="E7E6E6" w:themeFill="background2"/>
            <w:tcMar>
              <w:right w:w="113" w:type="dxa"/>
            </w:tcMar>
            <w:hideMark/>
          </w:tcPr>
          <w:p w14:paraId="741B8B40" w14:textId="77777777" w:rsidR="00F844B4" w:rsidRPr="00DC2A3C" w:rsidRDefault="00F844B4" w:rsidP="00074625">
            <w:pPr>
              <w:pStyle w:val="ARtabletextright"/>
            </w:pPr>
            <w:r w:rsidRPr="00DC2A3C">
              <w:t>725</w:t>
            </w:r>
          </w:p>
        </w:tc>
        <w:tc>
          <w:tcPr>
            <w:tcW w:w="949" w:type="dxa"/>
            <w:tcBorders>
              <w:bottom w:val="single" w:sz="4" w:space="0" w:color="A6A6A6" w:themeColor="accent5"/>
            </w:tcBorders>
            <w:shd w:val="clear" w:color="auto" w:fill="E7E6E6" w:themeFill="background2"/>
            <w:tcMar>
              <w:right w:w="113" w:type="dxa"/>
            </w:tcMar>
            <w:hideMark/>
          </w:tcPr>
          <w:p w14:paraId="5FBA1660" w14:textId="77777777" w:rsidR="00F844B4" w:rsidRPr="00DC2A3C" w:rsidRDefault="00F844B4" w:rsidP="00074625">
            <w:pPr>
              <w:pStyle w:val="ARtabletextright"/>
            </w:pPr>
            <w:r w:rsidRPr="00DC2A3C">
              <w:t>135</w:t>
            </w:r>
          </w:p>
        </w:tc>
        <w:tc>
          <w:tcPr>
            <w:tcW w:w="957" w:type="dxa"/>
            <w:tcBorders>
              <w:bottom w:val="single" w:sz="4" w:space="0" w:color="A6A6A6" w:themeColor="accent5"/>
            </w:tcBorders>
            <w:shd w:val="clear" w:color="auto" w:fill="E7E6E6" w:themeFill="background2"/>
            <w:tcMar>
              <w:right w:w="113" w:type="dxa"/>
            </w:tcMar>
            <w:hideMark/>
          </w:tcPr>
          <w:p w14:paraId="00F95219" w14:textId="77777777" w:rsidR="00F844B4" w:rsidRPr="00DC2A3C" w:rsidRDefault="00F844B4" w:rsidP="00074625">
            <w:pPr>
              <w:pStyle w:val="ARtabletextright"/>
            </w:pPr>
            <w:r w:rsidRPr="00DC2A3C">
              <w:t>816.6</w:t>
            </w:r>
          </w:p>
        </w:tc>
        <w:tc>
          <w:tcPr>
            <w:tcW w:w="956" w:type="dxa"/>
            <w:tcBorders>
              <w:bottom w:val="single" w:sz="4" w:space="0" w:color="A6A6A6" w:themeColor="accent5"/>
            </w:tcBorders>
            <w:tcMar>
              <w:right w:w="113" w:type="dxa"/>
            </w:tcMar>
            <w:hideMark/>
          </w:tcPr>
          <w:p w14:paraId="77CF27CD" w14:textId="77777777" w:rsidR="00F844B4" w:rsidRPr="00DC2A3C" w:rsidRDefault="00F844B4" w:rsidP="00074625">
            <w:pPr>
              <w:pStyle w:val="ARtabletextright"/>
            </w:pPr>
            <w:r w:rsidRPr="00DC2A3C">
              <w:t>168</w:t>
            </w:r>
          </w:p>
        </w:tc>
        <w:tc>
          <w:tcPr>
            <w:tcW w:w="957" w:type="dxa"/>
            <w:tcBorders>
              <w:bottom w:val="single" w:sz="4" w:space="0" w:color="A6A6A6" w:themeColor="accent5"/>
            </w:tcBorders>
            <w:tcMar>
              <w:right w:w="113" w:type="dxa"/>
            </w:tcMar>
            <w:hideMark/>
          </w:tcPr>
          <w:p w14:paraId="6136CF72" w14:textId="77777777" w:rsidR="00F844B4" w:rsidRPr="00DC2A3C" w:rsidRDefault="00F844B4" w:rsidP="00074625">
            <w:pPr>
              <w:pStyle w:val="ARtabletextright"/>
            </w:pPr>
            <w:r w:rsidRPr="00DC2A3C">
              <w:t>151.2</w:t>
            </w:r>
          </w:p>
        </w:tc>
      </w:tr>
      <w:tr w:rsidR="008D68DC" w:rsidRPr="00DC2A3C" w14:paraId="641F995E" w14:textId="77777777" w:rsidTr="00D119D2">
        <w:trPr>
          <w:cantSplit w:val="0"/>
          <w:trHeight w:val="300"/>
        </w:trPr>
        <w:tc>
          <w:tcPr>
            <w:tcW w:w="1087" w:type="dxa"/>
            <w:tcBorders>
              <w:top w:val="single" w:sz="4" w:space="0" w:color="A6A6A6" w:themeColor="accent5"/>
              <w:bottom w:val="single" w:sz="4" w:space="0" w:color="auto"/>
            </w:tcBorders>
            <w:hideMark/>
          </w:tcPr>
          <w:p w14:paraId="2290E62F" w14:textId="77777777" w:rsidR="00F844B4" w:rsidRPr="00DC2A3C" w:rsidRDefault="00F844B4" w:rsidP="00074625">
            <w:pPr>
              <w:pStyle w:val="ARtabletext"/>
            </w:pPr>
            <w:r w:rsidRPr="00DC2A3C">
              <w:t>65+</w:t>
            </w:r>
          </w:p>
        </w:tc>
        <w:tc>
          <w:tcPr>
            <w:tcW w:w="954" w:type="dxa"/>
            <w:tcBorders>
              <w:top w:val="single" w:sz="4" w:space="0" w:color="A6A6A6" w:themeColor="accent5"/>
              <w:bottom w:val="single" w:sz="4" w:space="0" w:color="auto"/>
            </w:tcBorders>
            <w:shd w:val="clear" w:color="auto" w:fill="E7E6E6" w:themeFill="background2"/>
            <w:tcMar>
              <w:right w:w="113" w:type="dxa"/>
            </w:tcMar>
            <w:hideMark/>
          </w:tcPr>
          <w:p w14:paraId="2BDB5C49" w14:textId="77777777" w:rsidR="00F844B4" w:rsidRPr="00DC2A3C" w:rsidRDefault="00F844B4" w:rsidP="00074625">
            <w:pPr>
              <w:pStyle w:val="ARtabletextright"/>
            </w:pPr>
            <w:r w:rsidRPr="00DC2A3C">
              <w:t>234</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197033BD" w14:textId="77777777" w:rsidR="00F844B4" w:rsidRPr="00DC2A3C" w:rsidRDefault="00F844B4" w:rsidP="00074625">
            <w:pPr>
              <w:pStyle w:val="ARtabletextright"/>
            </w:pPr>
            <w:r w:rsidRPr="00DC2A3C">
              <w:t>212.47</w:t>
            </w:r>
          </w:p>
        </w:tc>
        <w:tc>
          <w:tcPr>
            <w:tcW w:w="948" w:type="dxa"/>
            <w:tcBorders>
              <w:top w:val="single" w:sz="4" w:space="0" w:color="A6A6A6" w:themeColor="accent5"/>
              <w:bottom w:val="single" w:sz="4" w:space="0" w:color="auto"/>
            </w:tcBorders>
            <w:tcMar>
              <w:right w:w="113" w:type="dxa"/>
            </w:tcMar>
            <w:hideMark/>
          </w:tcPr>
          <w:p w14:paraId="007D9DA0" w14:textId="77777777" w:rsidR="00F844B4" w:rsidRPr="00DC2A3C" w:rsidRDefault="00F844B4" w:rsidP="00074625">
            <w:pPr>
              <w:pStyle w:val="ARtabletextright"/>
            </w:pPr>
            <w:r w:rsidRPr="00DC2A3C">
              <w:t>164</w:t>
            </w:r>
          </w:p>
        </w:tc>
        <w:tc>
          <w:tcPr>
            <w:tcW w:w="948" w:type="dxa"/>
            <w:tcBorders>
              <w:top w:val="single" w:sz="4" w:space="0" w:color="A6A6A6" w:themeColor="accent5"/>
              <w:bottom w:val="single" w:sz="4" w:space="0" w:color="auto"/>
            </w:tcBorders>
            <w:tcMar>
              <w:right w:w="113" w:type="dxa"/>
            </w:tcMar>
            <w:hideMark/>
          </w:tcPr>
          <w:p w14:paraId="6E14ACEF" w14:textId="77777777" w:rsidR="00F844B4" w:rsidRPr="00DC2A3C" w:rsidRDefault="00F844B4" w:rsidP="00074625">
            <w:pPr>
              <w:pStyle w:val="ARtabletextright"/>
            </w:pPr>
            <w:r w:rsidRPr="00DC2A3C">
              <w:t>52</w:t>
            </w:r>
          </w:p>
        </w:tc>
        <w:tc>
          <w:tcPr>
            <w:tcW w:w="956" w:type="dxa"/>
            <w:tcBorders>
              <w:top w:val="single" w:sz="4" w:space="0" w:color="A6A6A6" w:themeColor="accent5"/>
              <w:bottom w:val="single" w:sz="4" w:space="0" w:color="auto"/>
            </w:tcBorders>
            <w:tcMar>
              <w:right w:w="113" w:type="dxa"/>
            </w:tcMar>
            <w:hideMark/>
          </w:tcPr>
          <w:p w14:paraId="2A3B344E" w14:textId="77777777" w:rsidR="00F844B4" w:rsidRPr="00DC2A3C" w:rsidRDefault="00F844B4" w:rsidP="00074625">
            <w:pPr>
              <w:pStyle w:val="ARtabletextright"/>
            </w:pPr>
            <w:r w:rsidRPr="00DC2A3C">
              <w:t>197.68</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3C524D82" w14:textId="77777777" w:rsidR="00F844B4" w:rsidRPr="00DC2A3C" w:rsidRDefault="00F844B4" w:rsidP="00074625">
            <w:pPr>
              <w:pStyle w:val="ARtabletextright"/>
            </w:pPr>
            <w:r w:rsidRPr="00DC2A3C">
              <w:t>18</w:t>
            </w:r>
          </w:p>
        </w:tc>
        <w:tc>
          <w:tcPr>
            <w:tcW w:w="951" w:type="dxa"/>
            <w:tcBorders>
              <w:top w:val="single" w:sz="4" w:space="0" w:color="A6A6A6" w:themeColor="accent5"/>
              <w:bottom w:val="single" w:sz="4" w:space="0" w:color="auto"/>
            </w:tcBorders>
            <w:shd w:val="clear" w:color="auto" w:fill="E7E6E6" w:themeFill="background2"/>
            <w:tcMar>
              <w:right w:w="113" w:type="dxa"/>
            </w:tcMar>
            <w:hideMark/>
          </w:tcPr>
          <w:p w14:paraId="3C743E68" w14:textId="77777777" w:rsidR="00F844B4" w:rsidRPr="00DC2A3C" w:rsidRDefault="00F844B4" w:rsidP="00074625">
            <w:pPr>
              <w:pStyle w:val="ARtabletextright"/>
            </w:pPr>
            <w:r w:rsidRPr="00DC2A3C">
              <w:t>14.79</w:t>
            </w:r>
          </w:p>
        </w:tc>
        <w:tc>
          <w:tcPr>
            <w:tcW w:w="956" w:type="dxa"/>
            <w:tcBorders>
              <w:top w:val="single" w:sz="4" w:space="0" w:color="A6A6A6" w:themeColor="accent5"/>
              <w:bottom w:val="single" w:sz="4" w:space="0" w:color="auto"/>
            </w:tcBorders>
            <w:tcMar>
              <w:right w:w="113" w:type="dxa"/>
            </w:tcMar>
            <w:hideMark/>
          </w:tcPr>
          <w:p w14:paraId="528AEEE0" w14:textId="77777777" w:rsidR="00F844B4" w:rsidRPr="00DC2A3C" w:rsidRDefault="00F844B4" w:rsidP="00074625">
            <w:pPr>
              <w:pStyle w:val="ARtabletextright"/>
            </w:pPr>
            <w:r w:rsidRPr="00DC2A3C">
              <w:t>172</w:t>
            </w:r>
          </w:p>
        </w:tc>
        <w:tc>
          <w:tcPr>
            <w:tcW w:w="786" w:type="dxa"/>
            <w:tcBorders>
              <w:top w:val="single" w:sz="4" w:space="0" w:color="A6A6A6" w:themeColor="accent5"/>
              <w:bottom w:val="single" w:sz="4" w:space="0" w:color="auto"/>
            </w:tcBorders>
            <w:tcMar>
              <w:right w:w="113" w:type="dxa"/>
            </w:tcMar>
            <w:hideMark/>
          </w:tcPr>
          <w:p w14:paraId="36FAF213" w14:textId="77777777" w:rsidR="00F844B4" w:rsidRPr="00DC2A3C" w:rsidRDefault="00F844B4" w:rsidP="00074625">
            <w:pPr>
              <w:pStyle w:val="ARtabletextright"/>
            </w:pPr>
            <w:r w:rsidRPr="00DC2A3C">
              <w:t>156.8</w:t>
            </w:r>
          </w:p>
        </w:tc>
        <w:tc>
          <w:tcPr>
            <w:tcW w:w="1120" w:type="dxa"/>
            <w:tcBorders>
              <w:top w:val="single" w:sz="4" w:space="0" w:color="A6A6A6" w:themeColor="accent5"/>
              <w:bottom w:val="single" w:sz="4" w:space="0" w:color="auto"/>
            </w:tcBorders>
            <w:shd w:val="clear" w:color="auto" w:fill="E7E6E6" w:themeFill="background2"/>
            <w:tcMar>
              <w:right w:w="113" w:type="dxa"/>
            </w:tcMar>
            <w:hideMark/>
          </w:tcPr>
          <w:p w14:paraId="54258F8E" w14:textId="77777777" w:rsidR="00F844B4" w:rsidRPr="00DC2A3C" w:rsidRDefault="00F844B4" w:rsidP="00074625">
            <w:pPr>
              <w:pStyle w:val="ARtabletextright"/>
            </w:pPr>
            <w:r w:rsidRPr="00DC2A3C">
              <w:t>124</w:t>
            </w:r>
          </w:p>
        </w:tc>
        <w:tc>
          <w:tcPr>
            <w:tcW w:w="949" w:type="dxa"/>
            <w:tcBorders>
              <w:top w:val="single" w:sz="4" w:space="0" w:color="A6A6A6" w:themeColor="accent5"/>
              <w:bottom w:val="single" w:sz="4" w:space="0" w:color="auto"/>
            </w:tcBorders>
            <w:shd w:val="clear" w:color="auto" w:fill="E7E6E6" w:themeFill="background2"/>
            <w:tcMar>
              <w:right w:w="113" w:type="dxa"/>
            </w:tcMar>
            <w:hideMark/>
          </w:tcPr>
          <w:p w14:paraId="40010D75" w14:textId="77777777" w:rsidR="00F844B4" w:rsidRPr="00DC2A3C" w:rsidRDefault="00F844B4" w:rsidP="00074625">
            <w:pPr>
              <w:pStyle w:val="ARtabletextright"/>
            </w:pPr>
            <w:r w:rsidRPr="00DC2A3C">
              <w:t>34</w:t>
            </w:r>
          </w:p>
        </w:tc>
        <w:tc>
          <w:tcPr>
            <w:tcW w:w="957" w:type="dxa"/>
            <w:tcBorders>
              <w:top w:val="single" w:sz="4" w:space="0" w:color="A6A6A6" w:themeColor="accent5"/>
              <w:bottom w:val="single" w:sz="4" w:space="0" w:color="auto"/>
            </w:tcBorders>
            <w:shd w:val="clear" w:color="auto" w:fill="E7E6E6" w:themeFill="background2"/>
            <w:tcMar>
              <w:right w:w="113" w:type="dxa"/>
            </w:tcMar>
            <w:hideMark/>
          </w:tcPr>
          <w:p w14:paraId="036E174D" w14:textId="77777777" w:rsidR="00F844B4" w:rsidRPr="00DC2A3C" w:rsidRDefault="00F844B4" w:rsidP="00074625">
            <w:pPr>
              <w:pStyle w:val="ARtabletextright"/>
            </w:pPr>
            <w:r w:rsidRPr="00DC2A3C">
              <w:t>147.1</w:t>
            </w:r>
          </w:p>
        </w:tc>
        <w:tc>
          <w:tcPr>
            <w:tcW w:w="956" w:type="dxa"/>
            <w:tcBorders>
              <w:top w:val="single" w:sz="4" w:space="0" w:color="A6A6A6" w:themeColor="accent5"/>
              <w:bottom w:val="single" w:sz="4" w:space="0" w:color="auto"/>
            </w:tcBorders>
            <w:tcMar>
              <w:right w:w="113" w:type="dxa"/>
            </w:tcMar>
            <w:hideMark/>
          </w:tcPr>
          <w:p w14:paraId="318097A0" w14:textId="77777777" w:rsidR="00F844B4" w:rsidRPr="00DC2A3C" w:rsidRDefault="00F844B4" w:rsidP="00074625">
            <w:pPr>
              <w:pStyle w:val="ARtabletextright"/>
            </w:pPr>
            <w:r w:rsidRPr="00DC2A3C">
              <w:t>14</w:t>
            </w:r>
          </w:p>
        </w:tc>
        <w:tc>
          <w:tcPr>
            <w:tcW w:w="957" w:type="dxa"/>
            <w:tcBorders>
              <w:top w:val="single" w:sz="4" w:space="0" w:color="A6A6A6" w:themeColor="accent5"/>
              <w:bottom w:val="single" w:sz="4" w:space="0" w:color="auto"/>
            </w:tcBorders>
            <w:tcMar>
              <w:right w:w="113" w:type="dxa"/>
            </w:tcMar>
            <w:hideMark/>
          </w:tcPr>
          <w:p w14:paraId="2D45A6E0" w14:textId="77777777" w:rsidR="00F844B4" w:rsidRPr="00DC2A3C" w:rsidRDefault="00F844B4" w:rsidP="00074625">
            <w:pPr>
              <w:pStyle w:val="ARtabletextright"/>
            </w:pPr>
            <w:r w:rsidRPr="00DC2A3C">
              <w:t>9.7</w:t>
            </w:r>
          </w:p>
        </w:tc>
      </w:tr>
      <w:tr w:rsidR="00F844B4" w:rsidRPr="00DC2A3C" w14:paraId="0E9DC887" w14:textId="77777777" w:rsidTr="00D119D2">
        <w:trPr>
          <w:cantSplit w:val="0"/>
          <w:trHeight w:val="300"/>
        </w:trPr>
        <w:tc>
          <w:tcPr>
            <w:tcW w:w="14437" w:type="dxa"/>
            <w:gridSpan w:val="15"/>
            <w:tcBorders>
              <w:top w:val="single" w:sz="4" w:space="0" w:color="auto"/>
              <w:bottom w:val="single" w:sz="4" w:space="0" w:color="auto"/>
            </w:tcBorders>
            <w:tcMar>
              <w:right w:w="113" w:type="dxa"/>
            </w:tcMar>
            <w:hideMark/>
          </w:tcPr>
          <w:p w14:paraId="2B4B9B9E" w14:textId="77777777" w:rsidR="00F844B4" w:rsidRPr="00DC2A3C" w:rsidRDefault="00F844B4" w:rsidP="00EB30BC">
            <w:pPr>
              <w:pStyle w:val="ARtabletextbold"/>
              <w:pageBreakBefore/>
            </w:pPr>
            <w:r w:rsidRPr="00DC2A3C">
              <w:lastRenderedPageBreak/>
              <w:t>Part 2: Classification data</w:t>
            </w:r>
          </w:p>
        </w:tc>
      </w:tr>
      <w:tr w:rsidR="00F844B4" w:rsidRPr="00DC2A3C" w14:paraId="0B1A19C8" w14:textId="77777777" w:rsidTr="00D119D2">
        <w:trPr>
          <w:cantSplit w:val="0"/>
          <w:trHeight w:val="300"/>
        </w:trPr>
        <w:tc>
          <w:tcPr>
            <w:tcW w:w="14437" w:type="dxa"/>
            <w:gridSpan w:val="15"/>
            <w:tcBorders>
              <w:top w:val="single" w:sz="4" w:space="0" w:color="auto"/>
              <w:bottom w:val="single" w:sz="4" w:space="0" w:color="A6A6A6" w:themeColor="accent5"/>
            </w:tcBorders>
            <w:tcMar>
              <w:right w:w="113" w:type="dxa"/>
            </w:tcMar>
            <w:hideMark/>
          </w:tcPr>
          <w:p w14:paraId="5622AB7F" w14:textId="77777777" w:rsidR="00F844B4" w:rsidRPr="00DC2A3C" w:rsidRDefault="00F844B4" w:rsidP="001D338C">
            <w:pPr>
              <w:pStyle w:val="ARtabletextcolourbold"/>
            </w:pPr>
            <w:r w:rsidRPr="00DC2A3C">
              <w:t>VPS 1–6 grades</w:t>
            </w:r>
          </w:p>
        </w:tc>
      </w:tr>
      <w:tr w:rsidR="008D68DC" w:rsidRPr="00DC2A3C" w14:paraId="6A17B968" w14:textId="77777777" w:rsidTr="00D119D2">
        <w:trPr>
          <w:cantSplit w:val="0"/>
          <w:trHeight w:val="300"/>
        </w:trPr>
        <w:tc>
          <w:tcPr>
            <w:tcW w:w="1087" w:type="dxa"/>
            <w:tcBorders>
              <w:top w:val="single" w:sz="4" w:space="0" w:color="A6A6A6" w:themeColor="accent5"/>
            </w:tcBorders>
            <w:hideMark/>
          </w:tcPr>
          <w:p w14:paraId="035BBDB0" w14:textId="77777777" w:rsidR="00F844B4" w:rsidRPr="00DC2A3C" w:rsidRDefault="00F844B4" w:rsidP="00074625">
            <w:pPr>
              <w:pStyle w:val="ARtabletext"/>
            </w:pPr>
            <w:r w:rsidRPr="00DC2A3C">
              <w:t>VPS 1</w:t>
            </w:r>
          </w:p>
        </w:tc>
        <w:tc>
          <w:tcPr>
            <w:tcW w:w="954" w:type="dxa"/>
            <w:tcBorders>
              <w:top w:val="single" w:sz="4" w:space="0" w:color="A6A6A6" w:themeColor="accent5"/>
            </w:tcBorders>
            <w:shd w:val="clear" w:color="auto" w:fill="E7E6E6" w:themeFill="background2"/>
            <w:tcMar>
              <w:right w:w="113" w:type="dxa"/>
            </w:tcMar>
            <w:hideMark/>
          </w:tcPr>
          <w:p w14:paraId="7188CCF8" w14:textId="77777777" w:rsidR="00F844B4" w:rsidRPr="00DC2A3C" w:rsidRDefault="00F844B4" w:rsidP="00074625">
            <w:pPr>
              <w:pStyle w:val="ARtabletextright"/>
            </w:pPr>
            <w:r w:rsidRPr="00DC2A3C">
              <w:t>19</w:t>
            </w:r>
          </w:p>
        </w:tc>
        <w:tc>
          <w:tcPr>
            <w:tcW w:w="956" w:type="dxa"/>
            <w:tcBorders>
              <w:top w:val="single" w:sz="4" w:space="0" w:color="A6A6A6" w:themeColor="accent5"/>
            </w:tcBorders>
            <w:shd w:val="clear" w:color="auto" w:fill="E7E6E6" w:themeFill="background2"/>
            <w:tcMar>
              <w:right w:w="113" w:type="dxa"/>
            </w:tcMar>
            <w:hideMark/>
          </w:tcPr>
          <w:p w14:paraId="282C439A" w14:textId="77777777" w:rsidR="00F844B4" w:rsidRPr="00DC2A3C" w:rsidRDefault="00F844B4" w:rsidP="00074625">
            <w:pPr>
              <w:pStyle w:val="ARtabletextright"/>
            </w:pPr>
            <w:r w:rsidRPr="00DC2A3C">
              <w:t>19</w:t>
            </w:r>
          </w:p>
        </w:tc>
        <w:tc>
          <w:tcPr>
            <w:tcW w:w="948" w:type="dxa"/>
            <w:tcBorders>
              <w:top w:val="single" w:sz="4" w:space="0" w:color="A6A6A6" w:themeColor="accent5"/>
            </w:tcBorders>
            <w:tcMar>
              <w:right w:w="113" w:type="dxa"/>
            </w:tcMar>
            <w:hideMark/>
          </w:tcPr>
          <w:p w14:paraId="452A2803" w14:textId="77777777" w:rsidR="00F844B4" w:rsidRPr="00DC2A3C" w:rsidRDefault="00F844B4" w:rsidP="00074625">
            <w:pPr>
              <w:pStyle w:val="ARtabletextright"/>
            </w:pPr>
            <w:r w:rsidRPr="00DC2A3C">
              <w:t>1</w:t>
            </w:r>
          </w:p>
        </w:tc>
        <w:tc>
          <w:tcPr>
            <w:tcW w:w="948" w:type="dxa"/>
            <w:tcBorders>
              <w:top w:val="single" w:sz="4" w:space="0" w:color="A6A6A6" w:themeColor="accent5"/>
            </w:tcBorders>
            <w:tcMar>
              <w:right w:w="113" w:type="dxa"/>
            </w:tcMar>
            <w:hideMark/>
          </w:tcPr>
          <w:p w14:paraId="7D4DD659" w14:textId="77777777" w:rsidR="00F844B4" w:rsidRPr="00DC2A3C" w:rsidRDefault="00F844B4" w:rsidP="00074625">
            <w:pPr>
              <w:pStyle w:val="ARtabletextright"/>
            </w:pPr>
            <w:r w:rsidRPr="00DC2A3C">
              <w:t>0</w:t>
            </w:r>
          </w:p>
        </w:tc>
        <w:tc>
          <w:tcPr>
            <w:tcW w:w="956" w:type="dxa"/>
            <w:tcBorders>
              <w:top w:val="single" w:sz="4" w:space="0" w:color="A6A6A6" w:themeColor="accent5"/>
            </w:tcBorders>
            <w:tcMar>
              <w:right w:w="113" w:type="dxa"/>
            </w:tcMar>
            <w:hideMark/>
          </w:tcPr>
          <w:p w14:paraId="2E251DAD" w14:textId="77777777" w:rsidR="00F844B4" w:rsidRPr="00DC2A3C" w:rsidRDefault="00F844B4" w:rsidP="00074625">
            <w:pPr>
              <w:pStyle w:val="ARtabletextright"/>
            </w:pPr>
            <w:r w:rsidRPr="00DC2A3C">
              <w:t>1</w:t>
            </w:r>
          </w:p>
        </w:tc>
        <w:tc>
          <w:tcPr>
            <w:tcW w:w="956" w:type="dxa"/>
            <w:tcBorders>
              <w:top w:val="single" w:sz="4" w:space="0" w:color="A6A6A6" w:themeColor="accent5"/>
            </w:tcBorders>
            <w:shd w:val="clear" w:color="auto" w:fill="E7E6E6" w:themeFill="background2"/>
            <w:tcMar>
              <w:right w:w="113" w:type="dxa"/>
            </w:tcMar>
            <w:hideMark/>
          </w:tcPr>
          <w:p w14:paraId="60F04DBD" w14:textId="77777777" w:rsidR="00F844B4" w:rsidRPr="00DC2A3C" w:rsidRDefault="00F844B4" w:rsidP="00074625">
            <w:pPr>
              <w:pStyle w:val="ARtabletextright"/>
            </w:pPr>
            <w:r w:rsidRPr="00DC2A3C">
              <w:t>18</w:t>
            </w:r>
          </w:p>
        </w:tc>
        <w:tc>
          <w:tcPr>
            <w:tcW w:w="951" w:type="dxa"/>
            <w:tcBorders>
              <w:top w:val="single" w:sz="4" w:space="0" w:color="A6A6A6" w:themeColor="accent5"/>
            </w:tcBorders>
            <w:shd w:val="clear" w:color="auto" w:fill="E7E6E6" w:themeFill="background2"/>
            <w:tcMar>
              <w:right w:w="113" w:type="dxa"/>
            </w:tcMar>
            <w:hideMark/>
          </w:tcPr>
          <w:p w14:paraId="7DE327F8" w14:textId="77777777" w:rsidR="00F844B4" w:rsidRPr="00DC2A3C" w:rsidRDefault="00F844B4" w:rsidP="00074625">
            <w:pPr>
              <w:pStyle w:val="ARtabletextright"/>
            </w:pPr>
            <w:r w:rsidRPr="00DC2A3C">
              <w:t>18</w:t>
            </w:r>
          </w:p>
        </w:tc>
        <w:tc>
          <w:tcPr>
            <w:tcW w:w="956" w:type="dxa"/>
            <w:tcBorders>
              <w:top w:val="single" w:sz="4" w:space="0" w:color="A6A6A6" w:themeColor="accent5"/>
            </w:tcBorders>
            <w:tcMar>
              <w:right w:w="113" w:type="dxa"/>
            </w:tcMar>
            <w:hideMark/>
          </w:tcPr>
          <w:p w14:paraId="0E814CE8" w14:textId="77777777" w:rsidR="00F844B4" w:rsidRPr="00DC2A3C" w:rsidRDefault="00F844B4" w:rsidP="00074625">
            <w:pPr>
              <w:pStyle w:val="ARtabletextright"/>
            </w:pPr>
            <w:r w:rsidRPr="00DC2A3C">
              <w:t>4</w:t>
            </w:r>
          </w:p>
        </w:tc>
        <w:tc>
          <w:tcPr>
            <w:tcW w:w="786" w:type="dxa"/>
            <w:tcBorders>
              <w:top w:val="single" w:sz="4" w:space="0" w:color="A6A6A6" w:themeColor="accent5"/>
            </w:tcBorders>
            <w:tcMar>
              <w:right w:w="113" w:type="dxa"/>
            </w:tcMar>
            <w:hideMark/>
          </w:tcPr>
          <w:p w14:paraId="117024D8" w14:textId="77777777" w:rsidR="00F844B4" w:rsidRPr="00DC2A3C" w:rsidRDefault="00F844B4" w:rsidP="00074625">
            <w:pPr>
              <w:pStyle w:val="ARtabletextright"/>
            </w:pPr>
            <w:r w:rsidRPr="00DC2A3C">
              <w:t>4</w:t>
            </w:r>
          </w:p>
        </w:tc>
        <w:tc>
          <w:tcPr>
            <w:tcW w:w="1120" w:type="dxa"/>
            <w:tcBorders>
              <w:top w:val="single" w:sz="4" w:space="0" w:color="A6A6A6" w:themeColor="accent5"/>
            </w:tcBorders>
            <w:shd w:val="clear" w:color="auto" w:fill="E7E6E6" w:themeFill="background2"/>
            <w:tcMar>
              <w:right w:w="113" w:type="dxa"/>
            </w:tcMar>
            <w:hideMark/>
          </w:tcPr>
          <w:p w14:paraId="16422DAA" w14:textId="77777777" w:rsidR="00F844B4" w:rsidRPr="00DC2A3C" w:rsidRDefault="00F844B4" w:rsidP="00074625">
            <w:pPr>
              <w:pStyle w:val="ARtabletextright"/>
            </w:pPr>
            <w:r w:rsidRPr="00DC2A3C">
              <w:t>0</w:t>
            </w:r>
          </w:p>
        </w:tc>
        <w:tc>
          <w:tcPr>
            <w:tcW w:w="949" w:type="dxa"/>
            <w:tcBorders>
              <w:top w:val="single" w:sz="4" w:space="0" w:color="A6A6A6" w:themeColor="accent5"/>
            </w:tcBorders>
            <w:shd w:val="clear" w:color="auto" w:fill="E7E6E6" w:themeFill="background2"/>
            <w:tcMar>
              <w:right w:w="113" w:type="dxa"/>
            </w:tcMar>
            <w:hideMark/>
          </w:tcPr>
          <w:p w14:paraId="03DE9945" w14:textId="77777777" w:rsidR="00F844B4" w:rsidRPr="00DC2A3C" w:rsidRDefault="00F844B4" w:rsidP="00074625">
            <w:pPr>
              <w:pStyle w:val="ARtabletextright"/>
            </w:pPr>
            <w:r w:rsidRPr="00DC2A3C">
              <w:t>0</w:t>
            </w:r>
          </w:p>
        </w:tc>
        <w:tc>
          <w:tcPr>
            <w:tcW w:w="957" w:type="dxa"/>
            <w:tcBorders>
              <w:top w:val="single" w:sz="4" w:space="0" w:color="A6A6A6" w:themeColor="accent5"/>
            </w:tcBorders>
            <w:shd w:val="clear" w:color="auto" w:fill="E7E6E6" w:themeFill="background2"/>
            <w:tcMar>
              <w:right w:w="113" w:type="dxa"/>
            </w:tcMar>
            <w:hideMark/>
          </w:tcPr>
          <w:p w14:paraId="0DAA9CA0" w14:textId="77777777" w:rsidR="00F844B4" w:rsidRPr="00DC2A3C" w:rsidRDefault="00F844B4" w:rsidP="00074625">
            <w:pPr>
              <w:pStyle w:val="ARtabletextright"/>
            </w:pPr>
            <w:r w:rsidRPr="00DC2A3C">
              <w:t>0</w:t>
            </w:r>
          </w:p>
        </w:tc>
        <w:tc>
          <w:tcPr>
            <w:tcW w:w="956" w:type="dxa"/>
            <w:tcBorders>
              <w:top w:val="single" w:sz="4" w:space="0" w:color="A6A6A6" w:themeColor="accent5"/>
            </w:tcBorders>
            <w:tcMar>
              <w:right w:w="113" w:type="dxa"/>
            </w:tcMar>
            <w:hideMark/>
          </w:tcPr>
          <w:p w14:paraId="65474E36" w14:textId="77777777" w:rsidR="00F844B4" w:rsidRPr="00DC2A3C" w:rsidRDefault="00F844B4" w:rsidP="00074625">
            <w:pPr>
              <w:pStyle w:val="ARtabletextright"/>
            </w:pPr>
            <w:r w:rsidRPr="00DC2A3C">
              <w:t>4</w:t>
            </w:r>
          </w:p>
        </w:tc>
        <w:tc>
          <w:tcPr>
            <w:tcW w:w="957" w:type="dxa"/>
            <w:tcBorders>
              <w:top w:val="single" w:sz="4" w:space="0" w:color="A6A6A6" w:themeColor="accent5"/>
            </w:tcBorders>
            <w:tcMar>
              <w:right w:w="113" w:type="dxa"/>
            </w:tcMar>
            <w:hideMark/>
          </w:tcPr>
          <w:p w14:paraId="7B904E45" w14:textId="77777777" w:rsidR="00F844B4" w:rsidRPr="00DC2A3C" w:rsidRDefault="00F844B4" w:rsidP="00074625">
            <w:pPr>
              <w:pStyle w:val="ARtabletextright"/>
            </w:pPr>
            <w:r w:rsidRPr="00DC2A3C">
              <w:t>4</w:t>
            </w:r>
          </w:p>
        </w:tc>
      </w:tr>
      <w:tr w:rsidR="008D68DC" w:rsidRPr="00DC2A3C" w14:paraId="4AB73A9D" w14:textId="77777777" w:rsidTr="00D119D2">
        <w:trPr>
          <w:cantSplit w:val="0"/>
          <w:trHeight w:val="300"/>
        </w:trPr>
        <w:tc>
          <w:tcPr>
            <w:tcW w:w="1087" w:type="dxa"/>
            <w:hideMark/>
          </w:tcPr>
          <w:p w14:paraId="2B30ACDD" w14:textId="77777777" w:rsidR="00F844B4" w:rsidRPr="00DC2A3C" w:rsidRDefault="00F844B4" w:rsidP="00074625">
            <w:pPr>
              <w:pStyle w:val="ARtabletext"/>
            </w:pPr>
            <w:r w:rsidRPr="00DC2A3C">
              <w:t>VPS 2</w:t>
            </w:r>
          </w:p>
        </w:tc>
        <w:tc>
          <w:tcPr>
            <w:tcW w:w="954" w:type="dxa"/>
            <w:shd w:val="clear" w:color="auto" w:fill="E7E6E6" w:themeFill="background2"/>
            <w:tcMar>
              <w:right w:w="113" w:type="dxa"/>
            </w:tcMar>
            <w:hideMark/>
          </w:tcPr>
          <w:p w14:paraId="05646B36" w14:textId="77777777" w:rsidR="00F844B4" w:rsidRPr="00DC2A3C" w:rsidRDefault="00F844B4" w:rsidP="00074625">
            <w:pPr>
              <w:pStyle w:val="ARtabletextright"/>
            </w:pPr>
            <w:r w:rsidRPr="00DC2A3C">
              <w:t>264</w:t>
            </w:r>
          </w:p>
        </w:tc>
        <w:tc>
          <w:tcPr>
            <w:tcW w:w="956" w:type="dxa"/>
            <w:shd w:val="clear" w:color="auto" w:fill="E7E6E6" w:themeFill="background2"/>
            <w:tcMar>
              <w:right w:w="113" w:type="dxa"/>
            </w:tcMar>
            <w:hideMark/>
          </w:tcPr>
          <w:p w14:paraId="7871B0AF" w14:textId="77777777" w:rsidR="00F844B4" w:rsidRPr="00DC2A3C" w:rsidRDefault="00F844B4" w:rsidP="00074625">
            <w:pPr>
              <w:pStyle w:val="ARtabletextright"/>
            </w:pPr>
            <w:r w:rsidRPr="00DC2A3C">
              <w:t>224.37</w:t>
            </w:r>
          </w:p>
        </w:tc>
        <w:tc>
          <w:tcPr>
            <w:tcW w:w="948" w:type="dxa"/>
            <w:tcMar>
              <w:right w:w="113" w:type="dxa"/>
            </w:tcMar>
            <w:hideMark/>
          </w:tcPr>
          <w:p w14:paraId="3C942103" w14:textId="77777777" w:rsidR="00F844B4" w:rsidRPr="00DC2A3C" w:rsidRDefault="00F844B4" w:rsidP="00074625">
            <w:pPr>
              <w:pStyle w:val="ARtabletextright"/>
            </w:pPr>
            <w:r w:rsidRPr="00DC2A3C">
              <w:t>147</w:t>
            </w:r>
          </w:p>
        </w:tc>
        <w:tc>
          <w:tcPr>
            <w:tcW w:w="948" w:type="dxa"/>
            <w:tcMar>
              <w:right w:w="113" w:type="dxa"/>
            </w:tcMar>
            <w:hideMark/>
          </w:tcPr>
          <w:p w14:paraId="19C33840" w14:textId="77777777" w:rsidR="00F844B4" w:rsidRPr="00DC2A3C" w:rsidRDefault="00F844B4" w:rsidP="00074625">
            <w:pPr>
              <w:pStyle w:val="ARtabletextright"/>
            </w:pPr>
            <w:r w:rsidRPr="00DC2A3C">
              <w:t>52</w:t>
            </w:r>
          </w:p>
        </w:tc>
        <w:tc>
          <w:tcPr>
            <w:tcW w:w="956" w:type="dxa"/>
            <w:tcMar>
              <w:right w:w="113" w:type="dxa"/>
            </w:tcMar>
            <w:hideMark/>
          </w:tcPr>
          <w:p w14:paraId="71519FA7" w14:textId="77777777" w:rsidR="00F844B4" w:rsidRPr="00DC2A3C" w:rsidRDefault="00F844B4" w:rsidP="00074625">
            <w:pPr>
              <w:pStyle w:val="ARtabletextright"/>
            </w:pPr>
            <w:r w:rsidRPr="00DC2A3C">
              <w:t>180.06</w:t>
            </w:r>
          </w:p>
        </w:tc>
        <w:tc>
          <w:tcPr>
            <w:tcW w:w="956" w:type="dxa"/>
            <w:shd w:val="clear" w:color="auto" w:fill="E7E6E6" w:themeFill="background2"/>
            <w:tcMar>
              <w:right w:w="113" w:type="dxa"/>
            </w:tcMar>
            <w:hideMark/>
          </w:tcPr>
          <w:p w14:paraId="6366B08B" w14:textId="77777777" w:rsidR="00F844B4" w:rsidRPr="00DC2A3C" w:rsidRDefault="00F844B4" w:rsidP="00074625">
            <w:pPr>
              <w:pStyle w:val="ARtabletextright"/>
            </w:pPr>
            <w:r w:rsidRPr="00DC2A3C">
              <w:t>65</w:t>
            </w:r>
          </w:p>
        </w:tc>
        <w:tc>
          <w:tcPr>
            <w:tcW w:w="951" w:type="dxa"/>
            <w:shd w:val="clear" w:color="auto" w:fill="E7E6E6" w:themeFill="background2"/>
            <w:tcMar>
              <w:right w:w="113" w:type="dxa"/>
            </w:tcMar>
            <w:hideMark/>
          </w:tcPr>
          <w:p w14:paraId="758FAD78" w14:textId="77777777" w:rsidR="00F844B4" w:rsidRPr="00DC2A3C" w:rsidRDefault="00F844B4" w:rsidP="00074625">
            <w:pPr>
              <w:pStyle w:val="ARtabletextright"/>
            </w:pPr>
            <w:r w:rsidRPr="00DC2A3C">
              <w:t>44.31</w:t>
            </w:r>
          </w:p>
        </w:tc>
        <w:tc>
          <w:tcPr>
            <w:tcW w:w="956" w:type="dxa"/>
            <w:tcMar>
              <w:right w:w="113" w:type="dxa"/>
            </w:tcMar>
            <w:hideMark/>
          </w:tcPr>
          <w:p w14:paraId="23FEC0CB" w14:textId="77777777" w:rsidR="00F844B4" w:rsidRPr="00DC2A3C" w:rsidRDefault="00F844B4" w:rsidP="00074625">
            <w:pPr>
              <w:pStyle w:val="ARtabletextright"/>
            </w:pPr>
            <w:r w:rsidRPr="00DC2A3C">
              <w:t>260</w:t>
            </w:r>
          </w:p>
        </w:tc>
        <w:tc>
          <w:tcPr>
            <w:tcW w:w="786" w:type="dxa"/>
            <w:tcMar>
              <w:right w:w="113" w:type="dxa"/>
            </w:tcMar>
            <w:hideMark/>
          </w:tcPr>
          <w:p w14:paraId="7F36EA4F" w14:textId="77777777" w:rsidR="00F844B4" w:rsidRPr="00DC2A3C" w:rsidRDefault="00F844B4" w:rsidP="00074625">
            <w:pPr>
              <w:pStyle w:val="ARtabletextright"/>
            </w:pPr>
            <w:r w:rsidRPr="00DC2A3C">
              <w:t>224.2</w:t>
            </w:r>
          </w:p>
        </w:tc>
        <w:tc>
          <w:tcPr>
            <w:tcW w:w="1120" w:type="dxa"/>
            <w:shd w:val="clear" w:color="auto" w:fill="E7E6E6" w:themeFill="background2"/>
            <w:tcMar>
              <w:right w:w="113" w:type="dxa"/>
            </w:tcMar>
            <w:hideMark/>
          </w:tcPr>
          <w:p w14:paraId="78C7CC3C" w14:textId="77777777" w:rsidR="00F844B4" w:rsidRPr="00DC2A3C" w:rsidRDefault="00F844B4" w:rsidP="00074625">
            <w:pPr>
              <w:pStyle w:val="ARtabletextright"/>
            </w:pPr>
            <w:r w:rsidRPr="00DC2A3C">
              <w:t>143</w:t>
            </w:r>
          </w:p>
        </w:tc>
        <w:tc>
          <w:tcPr>
            <w:tcW w:w="949" w:type="dxa"/>
            <w:shd w:val="clear" w:color="auto" w:fill="E7E6E6" w:themeFill="background2"/>
            <w:tcMar>
              <w:right w:w="113" w:type="dxa"/>
            </w:tcMar>
            <w:hideMark/>
          </w:tcPr>
          <w:p w14:paraId="23F31D99" w14:textId="77777777" w:rsidR="00F844B4" w:rsidRPr="00DC2A3C" w:rsidRDefault="00F844B4" w:rsidP="00074625">
            <w:pPr>
              <w:pStyle w:val="ARtabletextright"/>
            </w:pPr>
            <w:r w:rsidRPr="00DC2A3C">
              <w:t>55</w:t>
            </w:r>
          </w:p>
        </w:tc>
        <w:tc>
          <w:tcPr>
            <w:tcW w:w="957" w:type="dxa"/>
            <w:shd w:val="clear" w:color="auto" w:fill="E7E6E6" w:themeFill="background2"/>
            <w:tcMar>
              <w:right w:w="113" w:type="dxa"/>
            </w:tcMar>
            <w:hideMark/>
          </w:tcPr>
          <w:p w14:paraId="40C33D8A" w14:textId="77777777" w:rsidR="00F844B4" w:rsidRPr="00DC2A3C" w:rsidRDefault="00F844B4" w:rsidP="00074625">
            <w:pPr>
              <w:pStyle w:val="ARtabletextright"/>
            </w:pPr>
            <w:r w:rsidRPr="00DC2A3C">
              <w:t>178.1</w:t>
            </w:r>
          </w:p>
        </w:tc>
        <w:tc>
          <w:tcPr>
            <w:tcW w:w="956" w:type="dxa"/>
            <w:tcMar>
              <w:right w:w="113" w:type="dxa"/>
            </w:tcMar>
            <w:hideMark/>
          </w:tcPr>
          <w:p w14:paraId="1D1CB180" w14:textId="77777777" w:rsidR="00F844B4" w:rsidRPr="00DC2A3C" w:rsidRDefault="00F844B4" w:rsidP="00074625">
            <w:pPr>
              <w:pStyle w:val="ARtabletextright"/>
            </w:pPr>
            <w:r w:rsidRPr="00DC2A3C">
              <w:t>62</w:t>
            </w:r>
          </w:p>
        </w:tc>
        <w:tc>
          <w:tcPr>
            <w:tcW w:w="957" w:type="dxa"/>
            <w:tcMar>
              <w:right w:w="113" w:type="dxa"/>
            </w:tcMar>
            <w:hideMark/>
          </w:tcPr>
          <w:p w14:paraId="70D23139" w14:textId="77777777" w:rsidR="00F844B4" w:rsidRPr="00DC2A3C" w:rsidRDefault="00F844B4" w:rsidP="00074625">
            <w:pPr>
              <w:pStyle w:val="ARtabletextright"/>
            </w:pPr>
            <w:r w:rsidRPr="00DC2A3C">
              <w:t>46.1</w:t>
            </w:r>
          </w:p>
        </w:tc>
      </w:tr>
      <w:tr w:rsidR="008D68DC" w:rsidRPr="00DC2A3C" w14:paraId="6BF3475D" w14:textId="77777777" w:rsidTr="00D119D2">
        <w:trPr>
          <w:cantSplit w:val="0"/>
          <w:trHeight w:val="300"/>
        </w:trPr>
        <w:tc>
          <w:tcPr>
            <w:tcW w:w="1087" w:type="dxa"/>
            <w:hideMark/>
          </w:tcPr>
          <w:p w14:paraId="725069E1" w14:textId="77777777" w:rsidR="00F844B4" w:rsidRPr="00DC2A3C" w:rsidRDefault="00F844B4" w:rsidP="00074625">
            <w:pPr>
              <w:pStyle w:val="ARtabletext"/>
            </w:pPr>
            <w:r w:rsidRPr="00DC2A3C">
              <w:t>VPS 3</w:t>
            </w:r>
          </w:p>
        </w:tc>
        <w:tc>
          <w:tcPr>
            <w:tcW w:w="954" w:type="dxa"/>
            <w:shd w:val="clear" w:color="auto" w:fill="E7E6E6" w:themeFill="background2"/>
            <w:tcMar>
              <w:right w:w="113" w:type="dxa"/>
            </w:tcMar>
            <w:hideMark/>
          </w:tcPr>
          <w:p w14:paraId="11FADC92" w14:textId="77777777" w:rsidR="00F844B4" w:rsidRPr="00DC2A3C" w:rsidRDefault="00F844B4" w:rsidP="00242F83">
            <w:pPr>
              <w:pStyle w:val="ARtabletextright"/>
            </w:pPr>
            <w:r w:rsidRPr="00DC2A3C">
              <w:t>387</w:t>
            </w:r>
          </w:p>
        </w:tc>
        <w:tc>
          <w:tcPr>
            <w:tcW w:w="956" w:type="dxa"/>
            <w:shd w:val="clear" w:color="auto" w:fill="E7E6E6" w:themeFill="background2"/>
            <w:tcMar>
              <w:right w:w="113" w:type="dxa"/>
            </w:tcMar>
            <w:hideMark/>
          </w:tcPr>
          <w:p w14:paraId="5FEC7C04" w14:textId="77777777" w:rsidR="00F844B4" w:rsidRPr="00DC2A3C" w:rsidRDefault="00F844B4" w:rsidP="00242F83">
            <w:pPr>
              <w:pStyle w:val="ARtabletextright"/>
            </w:pPr>
            <w:r w:rsidRPr="00DC2A3C">
              <w:t>363.34</w:t>
            </w:r>
          </w:p>
        </w:tc>
        <w:tc>
          <w:tcPr>
            <w:tcW w:w="948" w:type="dxa"/>
            <w:tcMar>
              <w:right w:w="113" w:type="dxa"/>
            </w:tcMar>
            <w:hideMark/>
          </w:tcPr>
          <w:p w14:paraId="0E5EA163" w14:textId="77777777" w:rsidR="00F844B4" w:rsidRPr="00DC2A3C" w:rsidRDefault="00F844B4" w:rsidP="00242F83">
            <w:pPr>
              <w:pStyle w:val="ARtabletextright"/>
            </w:pPr>
            <w:r w:rsidRPr="00DC2A3C">
              <w:t>262</w:t>
            </w:r>
          </w:p>
        </w:tc>
        <w:tc>
          <w:tcPr>
            <w:tcW w:w="948" w:type="dxa"/>
            <w:tcMar>
              <w:right w:w="113" w:type="dxa"/>
            </w:tcMar>
            <w:hideMark/>
          </w:tcPr>
          <w:p w14:paraId="5F621713" w14:textId="77777777" w:rsidR="00F844B4" w:rsidRPr="00DC2A3C" w:rsidRDefault="00F844B4" w:rsidP="00242F83">
            <w:pPr>
              <w:pStyle w:val="ARtabletextright"/>
            </w:pPr>
            <w:r w:rsidRPr="00DC2A3C">
              <w:t>51</w:t>
            </w:r>
          </w:p>
        </w:tc>
        <w:tc>
          <w:tcPr>
            <w:tcW w:w="956" w:type="dxa"/>
            <w:tcMar>
              <w:right w:w="113" w:type="dxa"/>
            </w:tcMar>
            <w:hideMark/>
          </w:tcPr>
          <w:p w14:paraId="511C1203" w14:textId="77777777" w:rsidR="00F844B4" w:rsidRPr="00DC2A3C" w:rsidRDefault="00F844B4" w:rsidP="00242F83">
            <w:pPr>
              <w:pStyle w:val="ARtabletextright"/>
            </w:pPr>
            <w:r w:rsidRPr="00DC2A3C">
              <w:t>296.64</w:t>
            </w:r>
          </w:p>
        </w:tc>
        <w:tc>
          <w:tcPr>
            <w:tcW w:w="956" w:type="dxa"/>
            <w:shd w:val="clear" w:color="auto" w:fill="E7E6E6" w:themeFill="background2"/>
            <w:tcMar>
              <w:right w:w="113" w:type="dxa"/>
            </w:tcMar>
            <w:hideMark/>
          </w:tcPr>
          <w:p w14:paraId="3CEBDC53" w14:textId="77777777" w:rsidR="00F844B4" w:rsidRPr="00DC2A3C" w:rsidRDefault="00F844B4" w:rsidP="00242F83">
            <w:pPr>
              <w:pStyle w:val="ARtabletextright"/>
            </w:pPr>
            <w:r w:rsidRPr="00DC2A3C">
              <w:t>74</w:t>
            </w:r>
          </w:p>
        </w:tc>
        <w:tc>
          <w:tcPr>
            <w:tcW w:w="951" w:type="dxa"/>
            <w:shd w:val="clear" w:color="auto" w:fill="E7E6E6" w:themeFill="background2"/>
            <w:tcMar>
              <w:right w:w="113" w:type="dxa"/>
            </w:tcMar>
            <w:hideMark/>
          </w:tcPr>
          <w:p w14:paraId="3F7030D2" w14:textId="77777777" w:rsidR="00F844B4" w:rsidRPr="00DC2A3C" w:rsidRDefault="00F844B4" w:rsidP="00242F83">
            <w:pPr>
              <w:pStyle w:val="ARtabletextright"/>
            </w:pPr>
            <w:r w:rsidRPr="00DC2A3C">
              <w:t>66.7</w:t>
            </w:r>
          </w:p>
        </w:tc>
        <w:tc>
          <w:tcPr>
            <w:tcW w:w="956" w:type="dxa"/>
            <w:tcMar>
              <w:right w:w="113" w:type="dxa"/>
            </w:tcMar>
            <w:hideMark/>
          </w:tcPr>
          <w:p w14:paraId="4E0DCBDE" w14:textId="77777777" w:rsidR="00F844B4" w:rsidRPr="00DC2A3C" w:rsidRDefault="00F844B4" w:rsidP="00242F83">
            <w:pPr>
              <w:pStyle w:val="ARtabletextright"/>
            </w:pPr>
            <w:r w:rsidRPr="00DC2A3C">
              <w:t>368</w:t>
            </w:r>
          </w:p>
        </w:tc>
        <w:tc>
          <w:tcPr>
            <w:tcW w:w="786" w:type="dxa"/>
            <w:tcMar>
              <w:right w:w="113" w:type="dxa"/>
            </w:tcMar>
            <w:hideMark/>
          </w:tcPr>
          <w:p w14:paraId="0252ECDA" w14:textId="77777777" w:rsidR="00F844B4" w:rsidRPr="00DC2A3C" w:rsidRDefault="00F844B4" w:rsidP="00242F83">
            <w:pPr>
              <w:pStyle w:val="ARtabletextright"/>
            </w:pPr>
            <w:r w:rsidRPr="00DC2A3C">
              <w:t>344.5</w:t>
            </w:r>
          </w:p>
        </w:tc>
        <w:tc>
          <w:tcPr>
            <w:tcW w:w="1120" w:type="dxa"/>
            <w:shd w:val="clear" w:color="auto" w:fill="E7E6E6" w:themeFill="background2"/>
            <w:tcMar>
              <w:right w:w="113" w:type="dxa"/>
            </w:tcMar>
            <w:hideMark/>
          </w:tcPr>
          <w:p w14:paraId="42551B92" w14:textId="77777777" w:rsidR="00F844B4" w:rsidRPr="00DC2A3C" w:rsidRDefault="00F844B4" w:rsidP="00242F83">
            <w:pPr>
              <w:pStyle w:val="ARtabletextright"/>
            </w:pPr>
            <w:r w:rsidRPr="00DC2A3C">
              <w:t>247</w:t>
            </w:r>
          </w:p>
        </w:tc>
        <w:tc>
          <w:tcPr>
            <w:tcW w:w="949" w:type="dxa"/>
            <w:shd w:val="clear" w:color="auto" w:fill="E7E6E6" w:themeFill="background2"/>
            <w:tcMar>
              <w:right w:w="113" w:type="dxa"/>
            </w:tcMar>
            <w:hideMark/>
          </w:tcPr>
          <w:p w14:paraId="560F889B" w14:textId="77777777" w:rsidR="00F844B4" w:rsidRPr="00DC2A3C" w:rsidRDefault="00F844B4" w:rsidP="00242F83">
            <w:pPr>
              <w:pStyle w:val="ARtabletextright"/>
            </w:pPr>
            <w:r w:rsidRPr="00DC2A3C">
              <w:t>50</w:t>
            </w:r>
          </w:p>
        </w:tc>
        <w:tc>
          <w:tcPr>
            <w:tcW w:w="957" w:type="dxa"/>
            <w:shd w:val="clear" w:color="auto" w:fill="E7E6E6" w:themeFill="background2"/>
            <w:tcMar>
              <w:right w:w="113" w:type="dxa"/>
            </w:tcMar>
            <w:hideMark/>
          </w:tcPr>
          <w:p w14:paraId="2CF8879D" w14:textId="77777777" w:rsidR="00F844B4" w:rsidRPr="00DC2A3C" w:rsidRDefault="00F844B4" w:rsidP="00242F83">
            <w:pPr>
              <w:pStyle w:val="ARtabletextright"/>
            </w:pPr>
            <w:r w:rsidRPr="00DC2A3C">
              <w:t>279.4</w:t>
            </w:r>
          </w:p>
        </w:tc>
        <w:tc>
          <w:tcPr>
            <w:tcW w:w="956" w:type="dxa"/>
            <w:tcMar>
              <w:right w:w="113" w:type="dxa"/>
            </w:tcMar>
            <w:hideMark/>
          </w:tcPr>
          <w:p w14:paraId="55775BB0" w14:textId="77777777" w:rsidR="00F844B4" w:rsidRPr="00DC2A3C" w:rsidRDefault="00F844B4" w:rsidP="00242F83">
            <w:pPr>
              <w:pStyle w:val="ARtabletextright"/>
            </w:pPr>
            <w:r w:rsidRPr="00DC2A3C">
              <w:t>71</w:t>
            </w:r>
          </w:p>
        </w:tc>
        <w:tc>
          <w:tcPr>
            <w:tcW w:w="957" w:type="dxa"/>
            <w:tcMar>
              <w:right w:w="113" w:type="dxa"/>
            </w:tcMar>
            <w:hideMark/>
          </w:tcPr>
          <w:p w14:paraId="5F055DFB" w14:textId="77777777" w:rsidR="00F844B4" w:rsidRPr="00DC2A3C" w:rsidRDefault="00F844B4" w:rsidP="00242F83">
            <w:pPr>
              <w:pStyle w:val="ARtabletextright"/>
            </w:pPr>
            <w:r w:rsidRPr="00DC2A3C">
              <w:t>65.1</w:t>
            </w:r>
          </w:p>
        </w:tc>
      </w:tr>
      <w:tr w:rsidR="008D68DC" w:rsidRPr="00DC2A3C" w14:paraId="4B44D996" w14:textId="77777777" w:rsidTr="00D119D2">
        <w:trPr>
          <w:cantSplit w:val="0"/>
          <w:trHeight w:val="300"/>
        </w:trPr>
        <w:tc>
          <w:tcPr>
            <w:tcW w:w="1087" w:type="dxa"/>
            <w:hideMark/>
          </w:tcPr>
          <w:p w14:paraId="6F05AB2D" w14:textId="77777777" w:rsidR="00F844B4" w:rsidRPr="00DC2A3C" w:rsidRDefault="00F844B4" w:rsidP="00074625">
            <w:pPr>
              <w:pStyle w:val="ARtabletext"/>
            </w:pPr>
            <w:r w:rsidRPr="00DC2A3C">
              <w:t>VPS 4</w:t>
            </w:r>
          </w:p>
        </w:tc>
        <w:tc>
          <w:tcPr>
            <w:tcW w:w="954" w:type="dxa"/>
            <w:shd w:val="clear" w:color="auto" w:fill="E7E6E6" w:themeFill="background2"/>
            <w:tcMar>
              <w:right w:w="113" w:type="dxa"/>
            </w:tcMar>
            <w:hideMark/>
          </w:tcPr>
          <w:p w14:paraId="4784C8DF" w14:textId="77777777" w:rsidR="00F844B4" w:rsidRPr="00DC2A3C" w:rsidRDefault="00F844B4" w:rsidP="00242F83">
            <w:pPr>
              <w:pStyle w:val="ARtabletextright"/>
            </w:pPr>
            <w:r w:rsidRPr="00DC2A3C">
              <w:t>643</w:t>
            </w:r>
          </w:p>
        </w:tc>
        <w:tc>
          <w:tcPr>
            <w:tcW w:w="956" w:type="dxa"/>
            <w:shd w:val="clear" w:color="auto" w:fill="E7E6E6" w:themeFill="background2"/>
            <w:tcMar>
              <w:right w:w="113" w:type="dxa"/>
            </w:tcMar>
            <w:hideMark/>
          </w:tcPr>
          <w:p w14:paraId="4C1ADFAA" w14:textId="77777777" w:rsidR="00F844B4" w:rsidRPr="00DC2A3C" w:rsidRDefault="00F844B4" w:rsidP="00242F83">
            <w:pPr>
              <w:pStyle w:val="ARtabletextright"/>
            </w:pPr>
            <w:r w:rsidRPr="00DC2A3C">
              <w:t>619.43</w:t>
            </w:r>
          </w:p>
        </w:tc>
        <w:tc>
          <w:tcPr>
            <w:tcW w:w="948" w:type="dxa"/>
            <w:tcMar>
              <w:right w:w="113" w:type="dxa"/>
            </w:tcMar>
            <w:hideMark/>
          </w:tcPr>
          <w:p w14:paraId="3E034FA1" w14:textId="77777777" w:rsidR="00F844B4" w:rsidRPr="00DC2A3C" w:rsidRDefault="00F844B4" w:rsidP="00242F83">
            <w:pPr>
              <w:pStyle w:val="ARtabletextright"/>
            </w:pPr>
            <w:r w:rsidRPr="00DC2A3C">
              <w:t>418</w:t>
            </w:r>
          </w:p>
        </w:tc>
        <w:tc>
          <w:tcPr>
            <w:tcW w:w="948" w:type="dxa"/>
            <w:tcMar>
              <w:right w:w="113" w:type="dxa"/>
            </w:tcMar>
            <w:hideMark/>
          </w:tcPr>
          <w:p w14:paraId="2012A949" w14:textId="77777777" w:rsidR="00F844B4" w:rsidRPr="00DC2A3C" w:rsidRDefault="00F844B4" w:rsidP="00242F83">
            <w:pPr>
              <w:pStyle w:val="ARtabletextright"/>
            </w:pPr>
            <w:r w:rsidRPr="00DC2A3C">
              <w:t>62</w:t>
            </w:r>
          </w:p>
        </w:tc>
        <w:tc>
          <w:tcPr>
            <w:tcW w:w="956" w:type="dxa"/>
            <w:tcMar>
              <w:right w:w="113" w:type="dxa"/>
            </w:tcMar>
            <w:hideMark/>
          </w:tcPr>
          <w:p w14:paraId="06F5082D" w14:textId="77777777" w:rsidR="00F844B4" w:rsidRPr="00DC2A3C" w:rsidRDefault="00F844B4" w:rsidP="00242F83">
            <w:pPr>
              <w:pStyle w:val="ARtabletextright"/>
            </w:pPr>
            <w:r w:rsidRPr="00DC2A3C">
              <w:t>461.67</w:t>
            </w:r>
          </w:p>
        </w:tc>
        <w:tc>
          <w:tcPr>
            <w:tcW w:w="956" w:type="dxa"/>
            <w:shd w:val="clear" w:color="auto" w:fill="E7E6E6" w:themeFill="background2"/>
            <w:tcMar>
              <w:right w:w="113" w:type="dxa"/>
            </w:tcMar>
            <w:hideMark/>
          </w:tcPr>
          <w:p w14:paraId="014751BC" w14:textId="77777777" w:rsidR="00F844B4" w:rsidRPr="00DC2A3C" w:rsidRDefault="00F844B4" w:rsidP="00242F83">
            <w:pPr>
              <w:pStyle w:val="ARtabletextright"/>
            </w:pPr>
            <w:r w:rsidRPr="00DC2A3C">
              <w:t>163</w:t>
            </w:r>
          </w:p>
        </w:tc>
        <w:tc>
          <w:tcPr>
            <w:tcW w:w="951" w:type="dxa"/>
            <w:shd w:val="clear" w:color="auto" w:fill="E7E6E6" w:themeFill="background2"/>
            <w:tcMar>
              <w:right w:w="113" w:type="dxa"/>
            </w:tcMar>
            <w:hideMark/>
          </w:tcPr>
          <w:p w14:paraId="2817534B" w14:textId="77777777" w:rsidR="00F844B4" w:rsidRPr="00DC2A3C" w:rsidRDefault="00F844B4" w:rsidP="00242F83">
            <w:pPr>
              <w:pStyle w:val="ARtabletextright"/>
            </w:pPr>
            <w:r w:rsidRPr="00DC2A3C">
              <w:t>157.76</w:t>
            </w:r>
          </w:p>
        </w:tc>
        <w:tc>
          <w:tcPr>
            <w:tcW w:w="956" w:type="dxa"/>
            <w:tcMar>
              <w:right w:w="113" w:type="dxa"/>
            </w:tcMar>
            <w:hideMark/>
          </w:tcPr>
          <w:p w14:paraId="21E32E5A" w14:textId="77777777" w:rsidR="00F844B4" w:rsidRPr="00DC2A3C" w:rsidRDefault="00F844B4" w:rsidP="00242F83">
            <w:pPr>
              <w:pStyle w:val="ARtabletextright"/>
            </w:pPr>
            <w:r w:rsidRPr="00DC2A3C">
              <w:t>566</w:t>
            </w:r>
          </w:p>
        </w:tc>
        <w:tc>
          <w:tcPr>
            <w:tcW w:w="786" w:type="dxa"/>
            <w:tcMar>
              <w:right w:w="113" w:type="dxa"/>
            </w:tcMar>
            <w:hideMark/>
          </w:tcPr>
          <w:p w14:paraId="23760A53" w14:textId="77777777" w:rsidR="00F844B4" w:rsidRPr="00DC2A3C" w:rsidRDefault="00F844B4" w:rsidP="00242F83">
            <w:pPr>
              <w:pStyle w:val="ARtabletextright"/>
            </w:pPr>
            <w:r w:rsidRPr="00DC2A3C">
              <w:t>547</w:t>
            </w:r>
          </w:p>
        </w:tc>
        <w:tc>
          <w:tcPr>
            <w:tcW w:w="1120" w:type="dxa"/>
            <w:shd w:val="clear" w:color="auto" w:fill="E7E6E6" w:themeFill="background2"/>
            <w:tcMar>
              <w:right w:w="113" w:type="dxa"/>
            </w:tcMar>
            <w:hideMark/>
          </w:tcPr>
          <w:p w14:paraId="0276E943" w14:textId="77777777" w:rsidR="00F844B4" w:rsidRPr="00DC2A3C" w:rsidRDefault="00F844B4" w:rsidP="00242F83">
            <w:pPr>
              <w:pStyle w:val="ARtabletextright"/>
            </w:pPr>
            <w:r w:rsidRPr="00DC2A3C">
              <w:t>369</w:t>
            </w:r>
          </w:p>
        </w:tc>
        <w:tc>
          <w:tcPr>
            <w:tcW w:w="949" w:type="dxa"/>
            <w:shd w:val="clear" w:color="auto" w:fill="E7E6E6" w:themeFill="background2"/>
            <w:tcMar>
              <w:right w:w="113" w:type="dxa"/>
            </w:tcMar>
            <w:hideMark/>
          </w:tcPr>
          <w:p w14:paraId="26DF55AB" w14:textId="77777777" w:rsidR="00F844B4" w:rsidRPr="00DC2A3C" w:rsidRDefault="00F844B4" w:rsidP="00242F83">
            <w:pPr>
              <w:pStyle w:val="ARtabletextright"/>
            </w:pPr>
            <w:r w:rsidRPr="00DC2A3C">
              <w:t>54</w:t>
            </w:r>
          </w:p>
        </w:tc>
        <w:tc>
          <w:tcPr>
            <w:tcW w:w="957" w:type="dxa"/>
            <w:shd w:val="clear" w:color="auto" w:fill="E7E6E6" w:themeFill="background2"/>
            <w:tcMar>
              <w:right w:w="113" w:type="dxa"/>
            </w:tcMar>
            <w:hideMark/>
          </w:tcPr>
          <w:p w14:paraId="60E6444C" w14:textId="77777777" w:rsidR="00F844B4" w:rsidRPr="00DC2A3C" w:rsidRDefault="00F844B4" w:rsidP="00242F83">
            <w:pPr>
              <w:pStyle w:val="ARtabletextright"/>
            </w:pPr>
            <w:r w:rsidRPr="00DC2A3C">
              <w:t>407.2</w:t>
            </w:r>
          </w:p>
        </w:tc>
        <w:tc>
          <w:tcPr>
            <w:tcW w:w="956" w:type="dxa"/>
            <w:tcMar>
              <w:right w:w="113" w:type="dxa"/>
            </w:tcMar>
            <w:hideMark/>
          </w:tcPr>
          <w:p w14:paraId="7CD6EF29" w14:textId="77777777" w:rsidR="00F844B4" w:rsidRPr="00DC2A3C" w:rsidRDefault="00F844B4" w:rsidP="00242F83">
            <w:pPr>
              <w:pStyle w:val="ARtabletextright"/>
            </w:pPr>
            <w:r w:rsidRPr="00DC2A3C">
              <w:t>143</w:t>
            </w:r>
          </w:p>
        </w:tc>
        <w:tc>
          <w:tcPr>
            <w:tcW w:w="957" w:type="dxa"/>
            <w:tcMar>
              <w:right w:w="113" w:type="dxa"/>
            </w:tcMar>
            <w:hideMark/>
          </w:tcPr>
          <w:p w14:paraId="5CA1EE6E" w14:textId="77777777" w:rsidR="00F844B4" w:rsidRPr="00DC2A3C" w:rsidRDefault="00F844B4" w:rsidP="00242F83">
            <w:pPr>
              <w:pStyle w:val="ARtabletextright"/>
            </w:pPr>
            <w:r w:rsidRPr="00DC2A3C">
              <w:t>139.8</w:t>
            </w:r>
          </w:p>
        </w:tc>
      </w:tr>
      <w:tr w:rsidR="008D68DC" w:rsidRPr="00DC2A3C" w14:paraId="71B95886" w14:textId="77777777" w:rsidTr="00D119D2">
        <w:trPr>
          <w:cantSplit w:val="0"/>
          <w:trHeight w:val="300"/>
        </w:trPr>
        <w:tc>
          <w:tcPr>
            <w:tcW w:w="1087" w:type="dxa"/>
            <w:tcBorders>
              <w:bottom w:val="single" w:sz="4" w:space="0" w:color="A6A6A6" w:themeColor="accent5"/>
            </w:tcBorders>
            <w:hideMark/>
          </w:tcPr>
          <w:p w14:paraId="2B5C315A" w14:textId="77777777" w:rsidR="00F844B4" w:rsidRPr="00DC2A3C" w:rsidRDefault="00F844B4" w:rsidP="00074625">
            <w:pPr>
              <w:pStyle w:val="ARtabletext"/>
            </w:pPr>
            <w:r w:rsidRPr="00DC2A3C">
              <w:t>VPS 5</w:t>
            </w:r>
          </w:p>
        </w:tc>
        <w:tc>
          <w:tcPr>
            <w:tcW w:w="954" w:type="dxa"/>
            <w:tcBorders>
              <w:bottom w:val="single" w:sz="4" w:space="0" w:color="A6A6A6" w:themeColor="accent5"/>
            </w:tcBorders>
            <w:shd w:val="clear" w:color="auto" w:fill="E7E6E6" w:themeFill="background2"/>
            <w:tcMar>
              <w:right w:w="113" w:type="dxa"/>
            </w:tcMar>
            <w:hideMark/>
          </w:tcPr>
          <w:p w14:paraId="0ADE05B7" w14:textId="77777777" w:rsidR="00F844B4" w:rsidRPr="00DC2A3C" w:rsidRDefault="00F844B4" w:rsidP="00242F83">
            <w:pPr>
              <w:pStyle w:val="ARtabletextright"/>
            </w:pPr>
            <w:r w:rsidRPr="00DC2A3C">
              <w:t>1,152</w:t>
            </w:r>
          </w:p>
        </w:tc>
        <w:tc>
          <w:tcPr>
            <w:tcW w:w="956" w:type="dxa"/>
            <w:tcBorders>
              <w:bottom w:val="single" w:sz="4" w:space="0" w:color="A6A6A6" w:themeColor="accent5"/>
            </w:tcBorders>
            <w:shd w:val="clear" w:color="auto" w:fill="E7E6E6" w:themeFill="background2"/>
            <w:tcMar>
              <w:right w:w="113" w:type="dxa"/>
            </w:tcMar>
            <w:hideMark/>
          </w:tcPr>
          <w:p w14:paraId="028E03EB" w14:textId="77777777" w:rsidR="00F844B4" w:rsidRPr="00DC2A3C" w:rsidRDefault="00F844B4" w:rsidP="00242F83">
            <w:pPr>
              <w:pStyle w:val="ARtabletextright"/>
            </w:pPr>
            <w:r w:rsidRPr="00DC2A3C">
              <w:t>1,109.27</w:t>
            </w:r>
          </w:p>
        </w:tc>
        <w:tc>
          <w:tcPr>
            <w:tcW w:w="948" w:type="dxa"/>
            <w:tcBorders>
              <w:bottom w:val="single" w:sz="4" w:space="0" w:color="A6A6A6" w:themeColor="accent5"/>
            </w:tcBorders>
            <w:tcMar>
              <w:right w:w="113" w:type="dxa"/>
            </w:tcMar>
            <w:hideMark/>
          </w:tcPr>
          <w:p w14:paraId="1D38F7F5" w14:textId="77777777" w:rsidR="00F844B4" w:rsidRPr="00DC2A3C" w:rsidRDefault="00F844B4" w:rsidP="00242F83">
            <w:pPr>
              <w:pStyle w:val="ARtabletextright"/>
            </w:pPr>
            <w:r w:rsidRPr="00DC2A3C">
              <w:t>814</w:t>
            </w:r>
          </w:p>
        </w:tc>
        <w:tc>
          <w:tcPr>
            <w:tcW w:w="948" w:type="dxa"/>
            <w:tcBorders>
              <w:bottom w:val="single" w:sz="4" w:space="0" w:color="A6A6A6" w:themeColor="accent5"/>
            </w:tcBorders>
            <w:tcMar>
              <w:right w:w="113" w:type="dxa"/>
            </w:tcMar>
            <w:hideMark/>
          </w:tcPr>
          <w:p w14:paraId="2D8D4494" w14:textId="77777777" w:rsidR="00F844B4" w:rsidRPr="00DC2A3C" w:rsidRDefault="00F844B4" w:rsidP="00242F83">
            <w:pPr>
              <w:pStyle w:val="ARtabletextright"/>
            </w:pPr>
            <w:r w:rsidRPr="00DC2A3C">
              <w:t>118</w:t>
            </w:r>
          </w:p>
        </w:tc>
        <w:tc>
          <w:tcPr>
            <w:tcW w:w="956" w:type="dxa"/>
            <w:tcBorders>
              <w:bottom w:val="single" w:sz="4" w:space="0" w:color="A6A6A6" w:themeColor="accent5"/>
            </w:tcBorders>
            <w:tcMar>
              <w:right w:w="113" w:type="dxa"/>
            </w:tcMar>
            <w:hideMark/>
          </w:tcPr>
          <w:p w14:paraId="1F8CB2B1" w14:textId="77777777" w:rsidR="00F844B4" w:rsidRPr="00DC2A3C" w:rsidRDefault="00F844B4" w:rsidP="00242F83">
            <w:pPr>
              <w:pStyle w:val="ARtabletextright"/>
            </w:pPr>
            <w:r w:rsidRPr="00DC2A3C">
              <w:t>896.07</w:t>
            </w:r>
          </w:p>
        </w:tc>
        <w:tc>
          <w:tcPr>
            <w:tcW w:w="956" w:type="dxa"/>
            <w:tcBorders>
              <w:bottom w:val="single" w:sz="4" w:space="0" w:color="A6A6A6" w:themeColor="accent5"/>
            </w:tcBorders>
            <w:shd w:val="clear" w:color="auto" w:fill="E7E6E6" w:themeFill="background2"/>
            <w:tcMar>
              <w:right w:w="113" w:type="dxa"/>
            </w:tcMar>
            <w:hideMark/>
          </w:tcPr>
          <w:p w14:paraId="73AFEA5E" w14:textId="77777777" w:rsidR="00F844B4" w:rsidRPr="00DC2A3C" w:rsidRDefault="00F844B4" w:rsidP="00242F83">
            <w:pPr>
              <w:pStyle w:val="ARtabletextright"/>
            </w:pPr>
            <w:r w:rsidRPr="00DC2A3C">
              <w:t>220</w:t>
            </w:r>
          </w:p>
        </w:tc>
        <w:tc>
          <w:tcPr>
            <w:tcW w:w="951" w:type="dxa"/>
            <w:tcBorders>
              <w:bottom w:val="single" w:sz="4" w:space="0" w:color="A6A6A6" w:themeColor="accent5"/>
            </w:tcBorders>
            <w:shd w:val="clear" w:color="auto" w:fill="E7E6E6" w:themeFill="background2"/>
            <w:tcMar>
              <w:right w:w="113" w:type="dxa"/>
            </w:tcMar>
            <w:hideMark/>
          </w:tcPr>
          <w:p w14:paraId="3EBF0F96" w14:textId="77777777" w:rsidR="00F844B4" w:rsidRPr="00DC2A3C" w:rsidRDefault="00F844B4" w:rsidP="00242F83">
            <w:pPr>
              <w:pStyle w:val="ARtabletextright"/>
            </w:pPr>
            <w:r w:rsidRPr="00DC2A3C">
              <w:t>213.2</w:t>
            </w:r>
          </w:p>
        </w:tc>
        <w:tc>
          <w:tcPr>
            <w:tcW w:w="956" w:type="dxa"/>
            <w:tcBorders>
              <w:bottom w:val="single" w:sz="4" w:space="0" w:color="A6A6A6" w:themeColor="accent5"/>
            </w:tcBorders>
            <w:tcMar>
              <w:right w:w="113" w:type="dxa"/>
            </w:tcMar>
            <w:hideMark/>
          </w:tcPr>
          <w:p w14:paraId="42C5B5A6" w14:textId="77777777" w:rsidR="00F844B4" w:rsidRPr="00DC2A3C" w:rsidRDefault="00F844B4" w:rsidP="00242F83">
            <w:pPr>
              <w:pStyle w:val="ARtabletextright"/>
            </w:pPr>
            <w:r w:rsidRPr="00DC2A3C">
              <w:t>1,112</w:t>
            </w:r>
          </w:p>
        </w:tc>
        <w:tc>
          <w:tcPr>
            <w:tcW w:w="786" w:type="dxa"/>
            <w:tcBorders>
              <w:bottom w:val="single" w:sz="4" w:space="0" w:color="A6A6A6" w:themeColor="accent5"/>
            </w:tcBorders>
            <w:tcMar>
              <w:right w:w="113" w:type="dxa"/>
            </w:tcMar>
            <w:hideMark/>
          </w:tcPr>
          <w:p w14:paraId="35D67813" w14:textId="77777777" w:rsidR="00F844B4" w:rsidRPr="00DC2A3C" w:rsidRDefault="00F844B4" w:rsidP="00242F83">
            <w:pPr>
              <w:pStyle w:val="ARtabletextright"/>
            </w:pPr>
            <w:r w:rsidRPr="00DC2A3C">
              <w:t>1,069.30</w:t>
            </w:r>
          </w:p>
        </w:tc>
        <w:tc>
          <w:tcPr>
            <w:tcW w:w="1120" w:type="dxa"/>
            <w:tcBorders>
              <w:bottom w:val="single" w:sz="4" w:space="0" w:color="A6A6A6" w:themeColor="accent5"/>
            </w:tcBorders>
            <w:shd w:val="clear" w:color="auto" w:fill="E7E6E6" w:themeFill="background2"/>
            <w:tcMar>
              <w:right w:w="113" w:type="dxa"/>
            </w:tcMar>
            <w:hideMark/>
          </w:tcPr>
          <w:p w14:paraId="7FC93169" w14:textId="77777777" w:rsidR="00F844B4" w:rsidRPr="00DC2A3C" w:rsidRDefault="00F844B4" w:rsidP="00242F83">
            <w:pPr>
              <w:pStyle w:val="ARtabletextright"/>
            </w:pPr>
            <w:r w:rsidRPr="00DC2A3C">
              <w:t>753</w:t>
            </w:r>
          </w:p>
        </w:tc>
        <w:tc>
          <w:tcPr>
            <w:tcW w:w="949" w:type="dxa"/>
            <w:tcBorders>
              <w:bottom w:val="single" w:sz="4" w:space="0" w:color="A6A6A6" w:themeColor="accent5"/>
            </w:tcBorders>
            <w:shd w:val="clear" w:color="auto" w:fill="E7E6E6" w:themeFill="background2"/>
            <w:tcMar>
              <w:right w:w="113" w:type="dxa"/>
            </w:tcMar>
            <w:hideMark/>
          </w:tcPr>
          <w:p w14:paraId="64799868" w14:textId="77777777" w:rsidR="00F844B4" w:rsidRPr="00DC2A3C" w:rsidRDefault="00F844B4" w:rsidP="00242F83">
            <w:pPr>
              <w:pStyle w:val="ARtabletextright"/>
            </w:pPr>
            <w:r w:rsidRPr="00DC2A3C">
              <w:t>111</w:t>
            </w:r>
          </w:p>
        </w:tc>
        <w:tc>
          <w:tcPr>
            <w:tcW w:w="957" w:type="dxa"/>
            <w:tcBorders>
              <w:bottom w:val="single" w:sz="4" w:space="0" w:color="A6A6A6" w:themeColor="accent5"/>
            </w:tcBorders>
            <w:shd w:val="clear" w:color="auto" w:fill="E7E6E6" w:themeFill="background2"/>
            <w:tcMar>
              <w:right w:w="113" w:type="dxa"/>
            </w:tcMar>
            <w:hideMark/>
          </w:tcPr>
          <w:p w14:paraId="27D8B303" w14:textId="77777777" w:rsidR="00F844B4" w:rsidRPr="00DC2A3C" w:rsidRDefault="00F844B4" w:rsidP="00242F83">
            <w:pPr>
              <w:pStyle w:val="ARtabletextright"/>
            </w:pPr>
            <w:r w:rsidRPr="00DC2A3C">
              <w:t>828.3</w:t>
            </w:r>
          </w:p>
        </w:tc>
        <w:tc>
          <w:tcPr>
            <w:tcW w:w="956" w:type="dxa"/>
            <w:tcBorders>
              <w:bottom w:val="single" w:sz="4" w:space="0" w:color="A6A6A6" w:themeColor="accent5"/>
            </w:tcBorders>
            <w:tcMar>
              <w:right w:w="113" w:type="dxa"/>
            </w:tcMar>
            <w:hideMark/>
          </w:tcPr>
          <w:p w14:paraId="3F583CC7" w14:textId="77777777" w:rsidR="00F844B4" w:rsidRPr="00DC2A3C" w:rsidRDefault="00F844B4" w:rsidP="00242F83">
            <w:pPr>
              <w:pStyle w:val="ARtabletextright"/>
            </w:pPr>
            <w:r w:rsidRPr="00DC2A3C">
              <w:t>248</w:t>
            </w:r>
          </w:p>
        </w:tc>
        <w:tc>
          <w:tcPr>
            <w:tcW w:w="957" w:type="dxa"/>
            <w:tcBorders>
              <w:bottom w:val="single" w:sz="4" w:space="0" w:color="A6A6A6" w:themeColor="accent5"/>
            </w:tcBorders>
            <w:tcMar>
              <w:right w:w="113" w:type="dxa"/>
            </w:tcMar>
            <w:hideMark/>
          </w:tcPr>
          <w:p w14:paraId="37206B18" w14:textId="77777777" w:rsidR="00F844B4" w:rsidRPr="00DC2A3C" w:rsidRDefault="00F844B4" w:rsidP="00242F83">
            <w:pPr>
              <w:pStyle w:val="ARtabletextright"/>
            </w:pPr>
            <w:r w:rsidRPr="00DC2A3C">
              <w:t>241</w:t>
            </w:r>
          </w:p>
        </w:tc>
      </w:tr>
      <w:tr w:rsidR="008D68DC" w:rsidRPr="00DC2A3C" w14:paraId="6E9A7A31" w14:textId="77777777" w:rsidTr="00D119D2">
        <w:trPr>
          <w:cantSplit w:val="0"/>
          <w:trHeight w:val="300"/>
        </w:trPr>
        <w:tc>
          <w:tcPr>
            <w:tcW w:w="1087" w:type="dxa"/>
            <w:tcBorders>
              <w:top w:val="single" w:sz="4" w:space="0" w:color="A6A6A6" w:themeColor="accent5"/>
              <w:bottom w:val="single" w:sz="4" w:space="0" w:color="auto"/>
            </w:tcBorders>
            <w:hideMark/>
          </w:tcPr>
          <w:p w14:paraId="6E860097" w14:textId="77777777" w:rsidR="00F844B4" w:rsidRPr="00DC2A3C" w:rsidRDefault="00F844B4" w:rsidP="00074625">
            <w:pPr>
              <w:pStyle w:val="ARtabletext"/>
            </w:pPr>
            <w:r w:rsidRPr="00DC2A3C">
              <w:t>VPS 6</w:t>
            </w:r>
          </w:p>
        </w:tc>
        <w:tc>
          <w:tcPr>
            <w:tcW w:w="954" w:type="dxa"/>
            <w:tcBorders>
              <w:top w:val="single" w:sz="4" w:space="0" w:color="A6A6A6" w:themeColor="accent5"/>
              <w:bottom w:val="single" w:sz="4" w:space="0" w:color="auto"/>
            </w:tcBorders>
            <w:shd w:val="clear" w:color="auto" w:fill="E7E6E6" w:themeFill="background2"/>
            <w:tcMar>
              <w:right w:w="113" w:type="dxa"/>
            </w:tcMar>
            <w:hideMark/>
          </w:tcPr>
          <w:p w14:paraId="25D1A10F" w14:textId="77777777" w:rsidR="00F844B4" w:rsidRPr="00DC2A3C" w:rsidRDefault="00F844B4" w:rsidP="00242F83">
            <w:pPr>
              <w:pStyle w:val="ARtabletextright"/>
            </w:pPr>
            <w:r w:rsidRPr="00DC2A3C">
              <w:t>710</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761C8E31" w14:textId="77777777" w:rsidR="00F844B4" w:rsidRPr="00DC2A3C" w:rsidRDefault="00F844B4" w:rsidP="00242F83">
            <w:pPr>
              <w:pStyle w:val="ARtabletextright"/>
            </w:pPr>
            <w:r w:rsidRPr="00DC2A3C">
              <w:t>694.04</w:t>
            </w:r>
          </w:p>
        </w:tc>
        <w:tc>
          <w:tcPr>
            <w:tcW w:w="948" w:type="dxa"/>
            <w:tcBorders>
              <w:top w:val="single" w:sz="4" w:space="0" w:color="A6A6A6" w:themeColor="accent5"/>
              <w:bottom w:val="single" w:sz="4" w:space="0" w:color="auto"/>
            </w:tcBorders>
            <w:tcMar>
              <w:right w:w="113" w:type="dxa"/>
            </w:tcMar>
            <w:hideMark/>
          </w:tcPr>
          <w:p w14:paraId="4087F486" w14:textId="77777777" w:rsidR="00F844B4" w:rsidRPr="00DC2A3C" w:rsidRDefault="00F844B4" w:rsidP="00242F83">
            <w:pPr>
              <w:pStyle w:val="ARtabletextright"/>
            </w:pPr>
            <w:r w:rsidRPr="00DC2A3C">
              <w:t>545</w:t>
            </w:r>
          </w:p>
        </w:tc>
        <w:tc>
          <w:tcPr>
            <w:tcW w:w="948" w:type="dxa"/>
            <w:tcBorders>
              <w:top w:val="single" w:sz="4" w:space="0" w:color="A6A6A6" w:themeColor="accent5"/>
              <w:bottom w:val="single" w:sz="4" w:space="0" w:color="auto"/>
            </w:tcBorders>
            <w:tcMar>
              <w:right w:w="113" w:type="dxa"/>
            </w:tcMar>
            <w:hideMark/>
          </w:tcPr>
          <w:p w14:paraId="3ABC82EF" w14:textId="77777777" w:rsidR="00F844B4" w:rsidRPr="00DC2A3C" w:rsidRDefault="00F844B4" w:rsidP="00242F83">
            <w:pPr>
              <w:pStyle w:val="ARtabletextright"/>
            </w:pPr>
            <w:r w:rsidRPr="00DC2A3C">
              <w:t>55</w:t>
            </w:r>
          </w:p>
        </w:tc>
        <w:tc>
          <w:tcPr>
            <w:tcW w:w="956" w:type="dxa"/>
            <w:tcBorders>
              <w:top w:val="single" w:sz="4" w:space="0" w:color="A6A6A6" w:themeColor="accent5"/>
              <w:bottom w:val="single" w:sz="4" w:space="0" w:color="auto"/>
            </w:tcBorders>
            <w:tcMar>
              <w:right w:w="113" w:type="dxa"/>
            </w:tcMar>
            <w:hideMark/>
          </w:tcPr>
          <w:p w14:paraId="6CF7E4E3" w14:textId="77777777" w:rsidR="00F844B4" w:rsidRPr="00DC2A3C" w:rsidRDefault="00F844B4" w:rsidP="00242F83">
            <w:pPr>
              <w:pStyle w:val="ARtabletextright"/>
            </w:pPr>
            <w:r w:rsidRPr="00DC2A3C">
              <w:t>586.47</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7D14BF0A" w14:textId="77777777" w:rsidR="00F844B4" w:rsidRPr="00DC2A3C" w:rsidRDefault="00F844B4" w:rsidP="00242F83">
            <w:pPr>
              <w:pStyle w:val="ARtabletextright"/>
            </w:pPr>
            <w:r w:rsidRPr="00DC2A3C">
              <w:t>110</w:t>
            </w:r>
          </w:p>
        </w:tc>
        <w:tc>
          <w:tcPr>
            <w:tcW w:w="951" w:type="dxa"/>
            <w:tcBorders>
              <w:top w:val="single" w:sz="4" w:space="0" w:color="A6A6A6" w:themeColor="accent5"/>
              <w:bottom w:val="single" w:sz="4" w:space="0" w:color="auto"/>
            </w:tcBorders>
            <w:shd w:val="clear" w:color="auto" w:fill="E7E6E6" w:themeFill="background2"/>
            <w:tcMar>
              <w:right w:w="113" w:type="dxa"/>
            </w:tcMar>
            <w:hideMark/>
          </w:tcPr>
          <w:p w14:paraId="1FF1D619" w14:textId="77777777" w:rsidR="00F844B4" w:rsidRPr="00DC2A3C" w:rsidRDefault="00F844B4" w:rsidP="00242F83">
            <w:pPr>
              <w:pStyle w:val="ARtabletextright"/>
            </w:pPr>
            <w:r w:rsidRPr="00DC2A3C">
              <w:t>107.57</w:t>
            </w:r>
          </w:p>
        </w:tc>
        <w:tc>
          <w:tcPr>
            <w:tcW w:w="956" w:type="dxa"/>
            <w:tcBorders>
              <w:top w:val="single" w:sz="4" w:space="0" w:color="A6A6A6" w:themeColor="accent5"/>
              <w:bottom w:val="single" w:sz="4" w:space="0" w:color="auto"/>
            </w:tcBorders>
            <w:tcMar>
              <w:right w:w="113" w:type="dxa"/>
            </w:tcMar>
            <w:hideMark/>
          </w:tcPr>
          <w:p w14:paraId="1BAF537A" w14:textId="77777777" w:rsidR="00F844B4" w:rsidRPr="00DC2A3C" w:rsidRDefault="00F844B4" w:rsidP="00242F83">
            <w:pPr>
              <w:pStyle w:val="ARtabletextright"/>
            </w:pPr>
            <w:r w:rsidRPr="00DC2A3C">
              <w:t>699</w:t>
            </w:r>
          </w:p>
        </w:tc>
        <w:tc>
          <w:tcPr>
            <w:tcW w:w="786" w:type="dxa"/>
            <w:tcBorders>
              <w:top w:val="single" w:sz="4" w:space="0" w:color="A6A6A6" w:themeColor="accent5"/>
              <w:bottom w:val="single" w:sz="4" w:space="0" w:color="auto"/>
            </w:tcBorders>
            <w:tcMar>
              <w:right w:w="113" w:type="dxa"/>
            </w:tcMar>
            <w:hideMark/>
          </w:tcPr>
          <w:p w14:paraId="3022335B" w14:textId="77777777" w:rsidR="00F844B4" w:rsidRPr="00DC2A3C" w:rsidRDefault="00F844B4" w:rsidP="00242F83">
            <w:pPr>
              <w:pStyle w:val="ARtabletextright"/>
            </w:pPr>
            <w:r w:rsidRPr="00DC2A3C">
              <w:t>679.9</w:t>
            </w:r>
          </w:p>
        </w:tc>
        <w:tc>
          <w:tcPr>
            <w:tcW w:w="1120" w:type="dxa"/>
            <w:tcBorders>
              <w:top w:val="single" w:sz="4" w:space="0" w:color="A6A6A6" w:themeColor="accent5"/>
              <w:bottom w:val="single" w:sz="4" w:space="0" w:color="auto"/>
            </w:tcBorders>
            <w:shd w:val="clear" w:color="auto" w:fill="E7E6E6" w:themeFill="background2"/>
            <w:tcMar>
              <w:right w:w="113" w:type="dxa"/>
            </w:tcMar>
            <w:hideMark/>
          </w:tcPr>
          <w:p w14:paraId="2B190134" w14:textId="77777777" w:rsidR="00F844B4" w:rsidRPr="00DC2A3C" w:rsidRDefault="00F844B4" w:rsidP="00242F83">
            <w:pPr>
              <w:pStyle w:val="ARtabletextright"/>
            </w:pPr>
            <w:r w:rsidRPr="00DC2A3C">
              <w:t>532</w:t>
            </w:r>
          </w:p>
        </w:tc>
        <w:tc>
          <w:tcPr>
            <w:tcW w:w="949" w:type="dxa"/>
            <w:tcBorders>
              <w:top w:val="single" w:sz="4" w:space="0" w:color="A6A6A6" w:themeColor="accent5"/>
              <w:bottom w:val="single" w:sz="4" w:space="0" w:color="auto"/>
            </w:tcBorders>
            <w:shd w:val="clear" w:color="auto" w:fill="E7E6E6" w:themeFill="background2"/>
            <w:tcMar>
              <w:right w:w="113" w:type="dxa"/>
            </w:tcMar>
            <w:hideMark/>
          </w:tcPr>
          <w:p w14:paraId="794FE4E1" w14:textId="77777777" w:rsidR="00F844B4" w:rsidRPr="00DC2A3C" w:rsidRDefault="00F844B4" w:rsidP="00242F83">
            <w:pPr>
              <w:pStyle w:val="ARtabletextright"/>
            </w:pPr>
            <w:r w:rsidRPr="00DC2A3C">
              <w:t>58</w:t>
            </w:r>
          </w:p>
        </w:tc>
        <w:tc>
          <w:tcPr>
            <w:tcW w:w="957" w:type="dxa"/>
            <w:tcBorders>
              <w:top w:val="single" w:sz="4" w:space="0" w:color="A6A6A6" w:themeColor="accent5"/>
              <w:bottom w:val="single" w:sz="4" w:space="0" w:color="auto"/>
            </w:tcBorders>
            <w:shd w:val="clear" w:color="auto" w:fill="E7E6E6" w:themeFill="background2"/>
            <w:tcMar>
              <w:right w:w="113" w:type="dxa"/>
            </w:tcMar>
            <w:hideMark/>
          </w:tcPr>
          <w:p w14:paraId="090C8666" w14:textId="77777777" w:rsidR="00F844B4" w:rsidRPr="00DC2A3C" w:rsidRDefault="00F844B4" w:rsidP="00242F83">
            <w:pPr>
              <w:pStyle w:val="ARtabletextright"/>
            </w:pPr>
            <w:r w:rsidRPr="00DC2A3C">
              <w:t>575</w:t>
            </w:r>
          </w:p>
        </w:tc>
        <w:tc>
          <w:tcPr>
            <w:tcW w:w="956" w:type="dxa"/>
            <w:tcBorders>
              <w:top w:val="single" w:sz="4" w:space="0" w:color="A6A6A6" w:themeColor="accent5"/>
              <w:bottom w:val="single" w:sz="4" w:space="0" w:color="auto"/>
            </w:tcBorders>
            <w:tcMar>
              <w:right w:w="113" w:type="dxa"/>
            </w:tcMar>
            <w:hideMark/>
          </w:tcPr>
          <w:p w14:paraId="408CB7DE" w14:textId="77777777" w:rsidR="00F844B4" w:rsidRPr="00DC2A3C" w:rsidRDefault="00F844B4" w:rsidP="00242F83">
            <w:pPr>
              <w:pStyle w:val="ARtabletextright"/>
            </w:pPr>
            <w:r w:rsidRPr="00DC2A3C">
              <w:t>109</w:t>
            </w:r>
          </w:p>
        </w:tc>
        <w:tc>
          <w:tcPr>
            <w:tcW w:w="957" w:type="dxa"/>
            <w:tcBorders>
              <w:top w:val="single" w:sz="4" w:space="0" w:color="A6A6A6" w:themeColor="accent5"/>
              <w:bottom w:val="single" w:sz="4" w:space="0" w:color="auto"/>
            </w:tcBorders>
            <w:tcMar>
              <w:right w:w="113" w:type="dxa"/>
            </w:tcMar>
            <w:hideMark/>
          </w:tcPr>
          <w:p w14:paraId="71769E0E" w14:textId="77777777" w:rsidR="00F844B4" w:rsidRPr="00DC2A3C" w:rsidRDefault="00F844B4" w:rsidP="00242F83">
            <w:pPr>
              <w:pStyle w:val="ARtabletextright"/>
            </w:pPr>
            <w:r w:rsidRPr="00DC2A3C">
              <w:t>104.9</w:t>
            </w:r>
          </w:p>
        </w:tc>
      </w:tr>
      <w:tr w:rsidR="008D68DC" w:rsidRPr="00DC2A3C" w14:paraId="51A4E328" w14:textId="77777777" w:rsidTr="00D119D2">
        <w:trPr>
          <w:cantSplit w:val="0"/>
          <w:trHeight w:val="300"/>
        </w:trPr>
        <w:tc>
          <w:tcPr>
            <w:tcW w:w="1087" w:type="dxa"/>
            <w:tcBorders>
              <w:top w:val="single" w:sz="4" w:space="0" w:color="auto"/>
              <w:bottom w:val="single" w:sz="4" w:space="0" w:color="auto"/>
            </w:tcBorders>
            <w:hideMark/>
          </w:tcPr>
          <w:p w14:paraId="374E946D" w14:textId="77777777" w:rsidR="00F844B4" w:rsidRPr="00DC2A3C" w:rsidRDefault="00F844B4" w:rsidP="00074625">
            <w:pPr>
              <w:pStyle w:val="ARtabletextbold"/>
            </w:pPr>
            <w:r w:rsidRPr="00DC2A3C">
              <w:t>Total</w:t>
            </w:r>
          </w:p>
        </w:tc>
        <w:tc>
          <w:tcPr>
            <w:tcW w:w="954" w:type="dxa"/>
            <w:tcBorders>
              <w:top w:val="single" w:sz="4" w:space="0" w:color="auto"/>
              <w:bottom w:val="single" w:sz="4" w:space="0" w:color="auto"/>
            </w:tcBorders>
            <w:shd w:val="clear" w:color="auto" w:fill="E7E6E6" w:themeFill="background2"/>
            <w:tcMar>
              <w:right w:w="113" w:type="dxa"/>
            </w:tcMar>
            <w:hideMark/>
          </w:tcPr>
          <w:p w14:paraId="5CA0DF5B" w14:textId="77777777" w:rsidR="00F844B4" w:rsidRPr="00DC2A3C" w:rsidRDefault="00F844B4" w:rsidP="00074625">
            <w:pPr>
              <w:pStyle w:val="ARtabletextrightbold"/>
            </w:pPr>
            <w:r w:rsidRPr="00DC2A3C">
              <w:t>3,175</w:t>
            </w:r>
          </w:p>
        </w:tc>
        <w:tc>
          <w:tcPr>
            <w:tcW w:w="956" w:type="dxa"/>
            <w:tcBorders>
              <w:top w:val="single" w:sz="4" w:space="0" w:color="auto"/>
              <w:bottom w:val="single" w:sz="4" w:space="0" w:color="auto"/>
            </w:tcBorders>
            <w:shd w:val="clear" w:color="auto" w:fill="E7E6E6" w:themeFill="background2"/>
            <w:tcMar>
              <w:right w:w="113" w:type="dxa"/>
            </w:tcMar>
            <w:hideMark/>
          </w:tcPr>
          <w:p w14:paraId="22A58405" w14:textId="77777777" w:rsidR="00F844B4" w:rsidRPr="00DC2A3C" w:rsidRDefault="00F844B4" w:rsidP="00074625">
            <w:pPr>
              <w:pStyle w:val="ARtabletextrightbold"/>
            </w:pPr>
            <w:r w:rsidRPr="00DC2A3C">
              <w:t>3,029.45</w:t>
            </w:r>
          </w:p>
        </w:tc>
        <w:tc>
          <w:tcPr>
            <w:tcW w:w="948" w:type="dxa"/>
            <w:tcBorders>
              <w:top w:val="single" w:sz="4" w:space="0" w:color="auto"/>
              <w:bottom w:val="single" w:sz="4" w:space="0" w:color="auto"/>
            </w:tcBorders>
            <w:tcMar>
              <w:right w:w="113" w:type="dxa"/>
            </w:tcMar>
            <w:hideMark/>
          </w:tcPr>
          <w:p w14:paraId="42C6851D" w14:textId="77777777" w:rsidR="00F844B4" w:rsidRPr="00DC2A3C" w:rsidRDefault="00F844B4" w:rsidP="00074625">
            <w:pPr>
              <w:pStyle w:val="ARtabletextrightbold"/>
            </w:pPr>
            <w:r w:rsidRPr="00DC2A3C">
              <w:t>2,187</w:t>
            </w:r>
          </w:p>
        </w:tc>
        <w:tc>
          <w:tcPr>
            <w:tcW w:w="948" w:type="dxa"/>
            <w:tcBorders>
              <w:top w:val="single" w:sz="4" w:space="0" w:color="auto"/>
              <w:bottom w:val="single" w:sz="4" w:space="0" w:color="auto"/>
            </w:tcBorders>
            <w:tcMar>
              <w:right w:w="113" w:type="dxa"/>
            </w:tcMar>
            <w:hideMark/>
          </w:tcPr>
          <w:p w14:paraId="54ED8672" w14:textId="77777777" w:rsidR="00F844B4" w:rsidRPr="00DC2A3C" w:rsidRDefault="00F844B4" w:rsidP="00074625">
            <w:pPr>
              <w:pStyle w:val="ARtabletextrightbold"/>
            </w:pPr>
            <w:r w:rsidRPr="00DC2A3C">
              <w:t>338</w:t>
            </w:r>
          </w:p>
        </w:tc>
        <w:tc>
          <w:tcPr>
            <w:tcW w:w="956" w:type="dxa"/>
            <w:tcBorders>
              <w:top w:val="single" w:sz="4" w:space="0" w:color="auto"/>
              <w:bottom w:val="single" w:sz="4" w:space="0" w:color="auto"/>
            </w:tcBorders>
            <w:tcMar>
              <w:right w:w="113" w:type="dxa"/>
            </w:tcMar>
            <w:hideMark/>
          </w:tcPr>
          <w:p w14:paraId="374BA63F" w14:textId="77777777" w:rsidR="00F844B4" w:rsidRPr="00DC2A3C" w:rsidRDefault="00F844B4" w:rsidP="00074625">
            <w:pPr>
              <w:pStyle w:val="ARtabletextrightbold"/>
            </w:pPr>
            <w:r w:rsidRPr="00DC2A3C">
              <w:t>2,421.91</w:t>
            </w:r>
          </w:p>
        </w:tc>
        <w:tc>
          <w:tcPr>
            <w:tcW w:w="956" w:type="dxa"/>
            <w:tcBorders>
              <w:top w:val="single" w:sz="4" w:space="0" w:color="auto"/>
              <w:bottom w:val="single" w:sz="4" w:space="0" w:color="auto"/>
            </w:tcBorders>
            <w:shd w:val="clear" w:color="auto" w:fill="E7E6E6" w:themeFill="background2"/>
            <w:tcMar>
              <w:right w:w="113" w:type="dxa"/>
            </w:tcMar>
            <w:hideMark/>
          </w:tcPr>
          <w:p w14:paraId="6C3588C3" w14:textId="77777777" w:rsidR="00F844B4" w:rsidRPr="00DC2A3C" w:rsidRDefault="00F844B4" w:rsidP="00074625">
            <w:pPr>
              <w:pStyle w:val="ARtabletextrightbold"/>
            </w:pPr>
            <w:r w:rsidRPr="00DC2A3C">
              <w:t>650</w:t>
            </w:r>
          </w:p>
        </w:tc>
        <w:tc>
          <w:tcPr>
            <w:tcW w:w="951" w:type="dxa"/>
            <w:tcBorders>
              <w:top w:val="single" w:sz="4" w:space="0" w:color="auto"/>
              <w:bottom w:val="single" w:sz="4" w:space="0" w:color="auto"/>
            </w:tcBorders>
            <w:shd w:val="clear" w:color="auto" w:fill="E7E6E6" w:themeFill="background2"/>
            <w:tcMar>
              <w:right w:w="113" w:type="dxa"/>
            </w:tcMar>
            <w:hideMark/>
          </w:tcPr>
          <w:p w14:paraId="5CCCA4CA" w14:textId="77777777" w:rsidR="00F844B4" w:rsidRPr="00DC2A3C" w:rsidRDefault="00F844B4" w:rsidP="00074625">
            <w:pPr>
              <w:pStyle w:val="ARtabletextrightbold"/>
            </w:pPr>
            <w:r w:rsidRPr="00DC2A3C">
              <w:t>607.54</w:t>
            </w:r>
          </w:p>
        </w:tc>
        <w:tc>
          <w:tcPr>
            <w:tcW w:w="956" w:type="dxa"/>
            <w:tcBorders>
              <w:top w:val="single" w:sz="4" w:space="0" w:color="auto"/>
              <w:bottom w:val="single" w:sz="4" w:space="0" w:color="auto"/>
            </w:tcBorders>
            <w:tcMar>
              <w:right w:w="113" w:type="dxa"/>
            </w:tcMar>
            <w:hideMark/>
          </w:tcPr>
          <w:p w14:paraId="31DAAE47" w14:textId="77777777" w:rsidR="00F844B4" w:rsidRPr="00DC2A3C" w:rsidRDefault="00F844B4" w:rsidP="00074625">
            <w:pPr>
              <w:pStyle w:val="ARtabletextrightbold"/>
            </w:pPr>
            <w:r w:rsidRPr="00DC2A3C">
              <w:t>3,009</w:t>
            </w:r>
          </w:p>
        </w:tc>
        <w:tc>
          <w:tcPr>
            <w:tcW w:w="786" w:type="dxa"/>
            <w:tcBorders>
              <w:top w:val="single" w:sz="4" w:space="0" w:color="auto"/>
              <w:bottom w:val="single" w:sz="4" w:space="0" w:color="auto"/>
            </w:tcBorders>
            <w:tcMar>
              <w:right w:w="113" w:type="dxa"/>
            </w:tcMar>
            <w:hideMark/>
          </w:tcPr>
          <w:p w14:paraId="2D5CABEA" w14:textId="77777777" w:rsidR="00F844B4" w:rsidRPr="00DC2A3C" w:rsidRDefault="00F844B4" w:rsidP="00074625">
            <w:pPr>
              <w:pStyle w:val="ARtabletextrightbold"/>
            </w:pPr>
            <w:r w:rsidRPr="00DC2A3C">
              <w:t>2,868.90</w:t>
            </w:r>
          </w:p>
        </w:tc>
        <w:tc>
          <w:tcPr>
            <w:tcW w:w="1120" w:type="dxa"/>
            <w:tcBorders>
              <w:top w:val="single" w:sz="4" w:space="0" w:color="auto"/>
              <w:bottom w:val="single" w:sz="4" w:space="0" w:color="auto"/>
            </w:tcBorders>
            <w:shd w:val="clear" w:color="auto" w:fill="E7E6E6" w:themeFill="background2"/>
            <w:tcMar>
              <w:right w:w="113" w:type="dxa"/>
            </w:tcMar>
            <w:hideMark/>
          </w:tcPr>
          <w:p w14:paraId="573C0CD8" w14:textId="77777777" w:rsidR="00F844B4" w:rsidRPr="00DC2A3C" w:rsidRDefault="00F844B4" w:rsidP="00074625">
            <w:pPr>
              <w:pStyle w:val="ARtabletextrightbold"/>
            </w:pPr>
            <w:r w:rsidRPr="00DC2A3C">
              <w:t>2,044</w:t>
            </w:r>
          </w:p>
        </w:tc>
        <w:tc>
          <w:tcPr>
            <w:tcW w:w="949" w:type="dxa"/>
            <w:tcBorders>
              <w:top w:val="single" w:sz="4" w:space="0" w:color="auto"/>
              <w:bottom w:val="single" w:sz="4" w:space="0" w:color="auto"/>
            </w:tcBorders>
            <w:shd w:val="clear" w:color="auto" w:fill="E7E6E6" w:themeFill="background2"/>
            <w:tcMar>
              <w:right w:w="113" w:type="dxa"/>
            </w:tcMar>
            <w:hideMark/>
          </w:tcPr>
          <w:p w14:paraId="35C59655" w14:textId="77777777" w:rsidR="00F844B4" w:rsidRPr="00DC2A3C" w:rsidRDefault="00F844B4" w:rsidP="00074625">
            <w:pPr>
              <w:pStyle w:val="ARtabletextrightbold"/>
            </w:pPr>
            <w:r w:rsidRPr="00DC2A3C">
              <w:t>328</w:t>
            </w:r>
          </w:p>
        </w:tc>
        <w:tc>
          <w:tcPr>
            <w:tcW w:w="957" w:type="dxa"/>
            <w:tcBorders>
              <w:top w:val="single" w:sz="4" w:space="0" w:color="auto"/>
              <w:bottom w:val="single" w:sz="4" w:space="0" w:color="auto"/>
            </w:tcBorders>
            <w:shd w:val="clear" w:color="auto" w:fill="E7E6E6" w:themeFill="background2"/>
            <w:tcMar>
              <w:right w:w="113" w:type="dxa"/>
            </w:tcMar>
            <w:hideMark/>
          </w:tcPr>
          <w:p w14:paraId="782508E0" w14:textId="77777777" w:rsidR="00F844B4" w:rsidRPr="00DC2A3C" w:rsidRDefault="00F844B4" w:rsidP="00074625">
            <w:pPr>
              <w:pStyle w:val="ARtabletextrightbold"/>
            </w:pPr>
            <w:r w:rsidRPr="00DC2A3C">
              <w:t>2,267.90</w:t>
            </w:r>
          </w:p>
        </w:tc>
        <w:tc>
          <w:tcPr>
            <w:tcW w:w="956" w:type="dxa"/>
            <w:tcBorders>
              <w:top w:val="single" w:sz="4" w:space="0" w:color="auto"/>
              <w:bottom w:val="single" w:sz="4" w:space="0" w:color="auto"/>
            </w:tcBorders>
            <w:tcMar>
              <w:right w:w="113" w:type="dxa"/>
            </w:tcMar>
            <w:hideMark/>
          </w:tcPr>
          <w:p w14:paraId="3FD27CF3" w14:textId="77777777" w:rsidR="00F844B4" w:rsidRPr="00DC2A3C" w:rsidRDefault="00F844B4" w:rsidP="00074625">
            <w:pPr>
              <w:pStyle w:val="ARtabletextrightbold"/>
            </w:pPr>
            <w:r w:rsidRPr="00DC2A3C">
              <w:t>637</w:t>
            </w:r>
          </w:p>
        </w:tc>
        <w:tc>
          <w:tcPr>
            <w:tcW w:w="957" w:type="dxa"/>
            <w:tcBorders>
              <w:top w:val="single" w:sz="4" w:space="0" w:color="auto"/>
              <w:bottom w:val="single" w:sz="4" w:space="0" w:color="auto"/>
            </w:tcBorders>
            <w:tcMar>
              <w:right w:w="113" w:type="dxa"/>
            </w:tcMar>
            <w:hideMark/>
          </w:tcPr>
          <w:p w14:paraId="09104E9F" w14:textId="77777777" w:rsidR="00F844B4" w:rsidRPr="00DC2A3C" w:rsidRDefault="00F844B4" w:rsidP="00074625">
            <w:pPr>
              <w:pStyle w:val="ARtabletextrightbold"/>
            </w:pPr>
            <w:r w:rsidRPr="00DC2A3C">
              <w:t>600.9</w:t>
            </w:r>
          </w:p>
        </w:tc>
      </w:tr>
      <w:tr w:rsidR="00F844B4" w:rsidRPr="00DC2A3C" w14:paraId="70D9F821" w14:textId="77777777" w:rsidTr="00D119D2">
        <w:trPr>
          <w:cantSplit w:val="0"/>
          <w:trHeight w:val="300"/>
        </w:trPr>
        <w:tc>
          <w:tcPr>
            <w:tcW w:w="14437" w:type="dxa"/>
            <w:gridSpan w:val="15"/>
            <w:tcBorders>
              <w:top w:val="single" w:sz="4" w:space="0" w:color="auto"/>
              <w:bottom w:val="single" w:sz="4" w:space="0" w:color="A6A6A6" w:themeColor="accent5"/>
            </w:tcBorders>
            <w:tcMar>
              <w:right w:w="113" w:type="dxa"/>
            </w:tcMar>
            <w:hideMark/>
          </w:tcPr>
          <w:p w14:paraId="3DAB549E" w14:textId="77777777" w:rsidR="00F844B4" w:rsidRPr="00DC2A3C" w:rsidRDefault="00F844B4" w:rsidP="00074625">
            <w:pPr>
              <w:pStyle w:val="ARtabletextcolourbold"/>
            </w:pPr>
            <w:r w:rsidRPr="00DC2A3C">
              <w:t>Child Protection Practitioner</w:t>
            </w:r>
          </w:p>
        </w:tc>
      </w:tr>
      <w:tr w:rsidR="008D68DC" w:rsidRPr="00DC2A3C" w14:paraId="5086A7D2" w14:textId="77777777" w:rsidTr="00D119D2">
        <w:trPr>
          <w:cantSplit w:val="0"/>
          <w:trHeight w:val="300"/>
        </w:trPr>
        <w:tc>
          <w:tcPr>
            <w:tcW w:w="1087" w:type="dxa"/>
            <w:tcBorders>
              <w:top w:val="single" w:sz="4" w:space="0" w:color="A6A6A6" w:themeColor="accent5"/>
            </w:tcBorders>
            <w:hideMark/>
          </w:tcPr>
          <w:p w14:paraId="7510F5CF" w14:textId="77777777" w:rsidR="00F844B4" w:rsidRPr="00DC2A3C" w:rsidRDefault="00F844B4" w:rsidP="00074625">
            <w:pPr>
              <w:pStyle w:val="ARtabletext"/>
            </w:pPr>
            <w:r w:rsidRPr="00DC2A3C">
              <w:t>CPP 2</w:t>
            </w:r>
          </w:p>
        </w:tc>
        <w:tc>
          <w:tcPr>
            <w:tcW w:w="954" w:type="dxa"/>
            <w:tcBorders>
              <w:top w:val="single" w:sz="4" w:space="0" w:color="A6A6A6" w:themeColor="accent5"/>
            </w:tcBorders>
            <w:shd w:val="clear" w:color="auto" w:fill="E7E6E6" w:themeFill="background2"/>
            <w:tcMar>
              <w:right w:w="113" w:type="dxa"/>
            </w:tcMar>
            <w:hideMark/>
          </w:tcPr>
          <w:p w14:paraId="26B2EEBA" w14:textId="77777777" w:rsidR="00F844B4" w:rsidRPr="00DC2A3C" w:rsidRDefault="00F844B4" w:rsidP="00074625">
            <w:pPr>
              <w:pStyle w:val="ARtabletextright"/>
            </w:pPr>
            <w:r w:rsidRPr="00DC2A3C">
              <w:t>299</w:t>
            </w:r>
          </w:p>
        </w:tc>
        <w:tc>
          <w:tcPr>
            <w:tcW w:w="956" w:type="dxa"/>
            <w:tcBorders>
              <w:top w:val="single" w:sz="4" w:space="0" w:color="A6A6A6" w:themeColor="accent5"/>
            </w:tcBorders>
            <w:shd w:val="clear" w:color="auto" w:fill="E7E6E6" w:themeFill="background2"/>
            <w:tcMar>
              <w:right w:w="113" w:type="dxa"/>
            </w:tcMar>
            <w:hideMark/>
          </w:tcPr>
          <w:p w14:paraId="397D1808" w14:textId="77777777" w:rsidR="00F844B4" w:rsidRPr="00DC2A3C" w:rsidRDefault="00F844B4" w:rsidP="00074625">
            <w:pPr>
              <w:pStyle w:val="ARtabletextright"/>
            </w:pPr>
            <w:r w:rsidRPr="00DC2A3C">
              <w:t>253.23</w:t>
            </w:r>
          </w:p>
        </w:tc>
        <w:tc>
          <w:tcPr>
            <w:tcW w:w="948" w:type="dxa"/>
            <w:tcBorders>
              <w:top w:val="single" w:sz="4" w:space="0" w:color="A6A6A6" w:themeColor="accent5"/>
            </w:tcBorders>
            <w:tcMar>
              <w:right w:w="113" w:type="dxa"/>
            </w:tcMar>
            <w:hideMark/>
          </w:tcPr>
          <w:p w14:paraId="0F0FC92B" w14:textId="77777777" w:rsidR="00F844B4" w:rsidRPr="00DC2A3C" w:rsidRDefault="00F844B4" w:rsidP="00074625">
            <w:pPr>
              <w:pStyle w:val="ARtabletextright"/>
            </w:pPr>
            <w:r w:rsidRPr="00DC2A3C">
              <w:t>138</w:t>
            </w:r>
          </w:p>
        </w:tc>
        <w:tc>
          <w:tcPr>
            <w:tcW w:w="948" w:type="dxa"/>
            <w:tcBorders>
              <w:top w:val="single" w:sz="4" w:space="0" w:color="A6A6A6" w:themeColor="accent5"/>
            </w:tcBorders>
            <w:tcMar>
              <w:right w:w="113" w:type="dxa"/>
            </w:tcMar>
            <w:hideMark/>
          </w:tcPr>
          <w:p w14:paraId="6BA53D6D" w14:textId="77777777" w:rsidR="00F844B4" w:rsidRPr="00DC2A3C" w:rsidRDefault="00F844B4" w:rsidP="00074625">
            <w:pPr>
              <w:pStyle w:val="ARtabletextright"/>
            </w:pPr>
            <w:r w:rsidRPr="00DC2A3C">
              <w:t>55</w:t>
            </w:r>
          </w:p>
        </w:tc>
        <w:tc>
          <w:tcPr>
            <w:tcW w:w="956" w:type="dxa"/>
            <w:tcBorders>
              <w:top w:val="single" w:sz="4" w:space="0" w:color="A6A6A6" w:themeColor="accent5"/>
            </w:tcBorders>
            <w:tcMar>
              <w:right w:w="113" w:type="dxa"/>
            </w:tcMar>
            <w:hideMark/>
          </w:tcPr>
          <w:p w14:paraId="3D327163" w14:textId="77777777" w:rsidR="00F844B4" w:rsidRPr="00DC2A3C" w:rsidRDefault="00F844B4" w:rsidP="00074625">
            <w:pPr>
              <w:pStyle w:val="ARtabletextright"/>
            </w:pPr>
            <w:r w:rsidRPr="00DC2A3C">
              <w:t>172.39</w:t>
            </w:r>
          </w:p>
        </w:tc>
        <w:tc>
          <w:tcPr>
            <w:tcW w:w="956" w:type="dxa"/>
            <w:tcBorders>
              <w:top w:val="single" w:sz="4" w:space="0" w:color="A6A6A6" w:themeColor="accent5"/>
            </w:tcBorders>
            <w:shd w:val="clear" w:color="auto" w:fill="E7E6E6" w:themeFill="background2"/>
            <w:tcMar>
              <w:right w:w="113" w:type="dxa"/>
            </w:tcMar>
            <w:hideMark/>
          </w:tcPr>
          <w:p w14:paraId="5334C74B" w14:textId="77777777" w:rsidR="00F844B4" w:rsidRPr="00DC2A3C" w:rsidRDefault="00F844B4" w:rsidP="00074625">
            <w:pPr>
              <w:pStyle w:val="ARtabletextright"/>
            </w:pPr>
            <w:r w:rsidRPr="00DC2A3C">
              <w:t>106</w:t>
            </w:r>
          </w:p>
        </w:tc>
        <w:tc>
          <w:tcPr>
            <w:tcW w:w="951" w:type="dxa"/>
            <w:tcBorders>
              <w:top w:val="single" w:sz="4" w:space="0" w:color="A6A6A6" w:themeColor="accent5"/>
            </w:tcBorders>
            <w:shd w:val="clear" w:color="auto" w:fill="E7E6E6" w:themeFill="background2"/>
            <w:tcMar>
              <w:right w:w="113" w:type="dxa"/>
            </w:tcMar>
            <w:hideMark/>
          </w:tcPr>
          <w:p w14:paraId="2ACE6A67" w14:textId="77777777" w:rsidR="00F844B4" w:rsidRPr="00DC2A3C" w:rsidRDefault="00F844B4" w:rsidP="00074625">
            <w:pPr>
              <w:pStyle w:val="ARtabletextright"/>
            </w:pPr>
            <w:r w:rsidRPr="00DC2A3C">
              <w:t>80.84</w:t>
            </w:r>
          </w:p>
        </w:tc>
        <w:tc>
          <w:tcPr>
            <w:tcW w:w="956" w:type="dxa"/>
            <w:tcBorders>
              <w:top w:val="single" w:sz="4" w:space="0" w:color="A6A6A6" w:themeColor="accent5"/>
            </w:tcBorders>
            <w:tcMar>
              <w:right w:w="113" w:type="dxa"/>
            </w:tcMar>
            <w:hideMark/>
          </w:tcPr>
          <w:p w14:paraId="4BD4C94F" w14:textId="77777777" w:rsidR="00F844B4" w:rsidRPr="00DC2A3C" w:rsidRDefault="00F844B4" w:rsidP="00074625">
            <w:pPr>
              <w:pStyle w:val="ARtabletextright"/>
            </w:pPr>
            <w:r w:rsidRPr="00DC2A3C">
              <w:t>437</w:t>
            </w:r>
          </w:p>
        </w:tc>
        <w:tc>
          <w:tcPr>
            <w:tcW w:w="786" w:type="dxa"/>
            <w:tcBorders>
              <w:top w:val="single" w:sz="4" w:space="0" w:color="A6A6A6" w:themeColor="accent5"/>
            </w:tcBorders>
            <w:tcMar>
              <w:right w:w="113" w:type="dxa"/>
            </w:tcMar>
            <w:hideMark/>
          </w:tcPr>
          <w:p w14:paraId="3D3BB803" w14:textId="77777777" w:rsidR="00F844B4" w:rsidRPr="00DC2A3C" w:rsidRDefault="00F844B4" w:rsidP="00074625">
            <w:pPr>
              <w:pStyle w:val="ARtabletextright"/>
            </w:pPr>
            <w:r w:rsidRPr="00DC2A3C">
              <w:t>362.5</w:t>
            </w:r>
          </w:p>
        </w:tc>
        <w:tc>
          <w:tcPr>
            <w:tcW w:w="1120" w:type="dxa"/>
            <w:tcBorders>
              <w:top w:val="single" w:sz="4" w:space="0" w:color="A6A6A6" w:themeColor="accent5"/>
            </w:tcBorders>
            <w:shd w:val="clear" w:color="auto" w:fill="E7E6E6" w:themeFill="background2"/>
            <w:tcMar>
              <w:right w:w="113" w:type="dxa"/>
            </w:tcMar>
            <w:hideMark/>
          </w:tcPr>
          <w:p w14:paraId="370F1C8A" w14:textId="77777777" w:rsidR="00F844B4" w:rsidRPr="00DC2A3C" w:rsidRDefault="00F844B4" w:rsidP="00074625">
            <w:pPr>
              <w:pStyle w:val="ARtabletextright"/>
            </w:pPr>
            <w:r w:rsidRPr="00DC2A3C">
              <w:t>144</w:t>
            </w:r>
          </w:p>
        </w:tc>
        <w:tc>
          <w:tcPr>
            <w:tcW w:w="949" w:type="dxa"/>
            <w:tcBorders>
              <w:top w:val="single" w:sz="4" w:space="0" w:color="A6A6A6" w:themeColor="accent5"/>
            </w:tcBorders>
            <w:shd w:val="clear" w:color="auto" w:fill="E7E6E6" w:themeFill="background2"/>
            <w:tcMar>
              <w:right w:w="113" w:type="dxa"/>
            </w:tcMar>
            <w:hideMark/>
          </w:tcPr>
          <w:p w14:paraId="59C69E9E" w14:textId="77777777" w:rsidR="00F844B4" w:rsidRPr="00DC2A3C" w:rsidRDefault="00F844B4" w:rsidP="00074625">
            <w:pPr>
              <w:pStyle w:val="ARtabletextright"/>
            </w:pPr>
            <w:r w:rsidRPr="00DC2A3C">
              <w:t>52</w:t>
            </w:r>
          </w:p>
        </w:tc>
        <w:tc>
          <w:tcPr>
            <w:tcW w:w="957" w:type="dxa"/>
            <w:tcBorders>
              <w:top w:val="single" w:sz="4" w:space="0" w:color="A6A6A6" w:themeColor="accent5"/>
            </w:tcBorders>
            <w:shd w:val="clear" w:color="auto" w:fill="E7E6E6" w:themeFill="background2"/>
            <w:tcMar>
              <w:right w:w="113" w:type="dxa"/>
            </w:tcMar>
            <w:hideMark/>
          </w:tcPr>
          <w:p w14:paraId="33BFEDFD" w14:textId="77777777" w:rsidR="00F844B4" w:rsidRPr="00DC2A3C" w:rsidRDefault="00F844B4" w:rsidP="00074625">
            <w:pPr>
              <w:pStyle w:val="ARtabletextright"/>
            </w:pPr>
            <w:r w:rsidRPr="00DC2A3C">
              <w:t>177.7</w:t>
            </w:r>
          </w:p>
        </w:tc>
        <w:tc>
          <w:tcPr>
            <w:tcW w:w="956" w:type="dxa"/>
            <w:tcBorders>
              <w:top w:val="single" w:sz="4" w:space="0" w:color="A6A6A6" w:themeColor="accent5"/>
            </w:tcBorders>
            <w:tcMar>
              <w:right w:w="113" w:type="dxa"/>
            </w:tcMar>
            <w:hideMark/>
          </w:tcPr>
          <w:p w14:paraId="6519CD89" w14:textId="77777777" w:rsidR="00F844B4" w:rsidRPr="00DC2A3C" w:rsidRDefault="00F844B4" w:rsidP="00074625">
            <w:pPr>
              <w:pStyle w:val="ARtabletextright"/>
            </w:pPr>
            <w:r w:rsidRPr="00DC2A3C">
              <w:t>241</w:t>
            </w:r>
          </w:p>
        </w:tc>
        <w:tc>
          <w:tcPr>
            <w:tcW w:w="957" w:type="dxa"/>
            <w:tcBorders>
              <w:top w:val="single" w:sz="4" w:space="0" w:color="A6A6A6" w:themeColor="accent5"/>
            </w:tcBorders>
            <w:tcMar>
              <w:right w:w="113" w:type="dxa"/>
            </w:tcMar>
            <w:hideMark/>
          </w:tcPr>
          <w:p w14:paraId="29EEFDAD" w14:textId="77777777" w:rsidR="00F844B4" w:rsidRPr="00DC2A3C" w:rsidRDefault="00F844B4" w:rsidP="00074625">
            <w:pPr>
              <w:pStyle w:val="ARtabletextright"/>
            </w:pPr>
            <w:r w:rsidRPr="00DC2A3C">
              <w:t>184.8</w:t>
            </w:r>
          </w:p>
        </w:tc>
      </w:tr>
      <w:tr w:rsidR="008D68DC" w:rsidRPr="00DC2A3C" w14:paraId="0649C2EC" w14:textId="77777777" w:rsidTr="00D119D2">
        <w:trPr>
          <w:cantSplit w:val="0"/>
          <w:trHeight w:val="300"/>
        </w:trPr>
        <w:tc>
          <w:tcPr>
            <w:tcW w:w="1087" w:type="dxa"/>
            <w:hideMark/>
          </w:tcPr>
          <w:p w14:paraId="58E0F230" w14:textId="77777777" w:rsidR="00F844B4" w:rsidRPr="00DC2A3C" w:rsidRDefault="00F844B4" w:rsidP="00074625">
            <w:pPr>
              <w:pStyle w:val="ARtabletext"/>
            </w:pPr>
            <w:r w:rsidRPr="00DC2A3C">
              <w:t>CPP 3</w:t>
            </w:r>
          </w:p>
        </w:tc>
        <w:tc>
          <w:tcPr>
            <w:tcW w:w="954" w:type="dxa"/>
            <w:shd w:val="clear" w:color="auto" w:fill="E7E6E6" w:themeFill="background2"/>
            <w:tcMar>
              <w:right w:w="113" w:type="dxa"/>
            </w:tcMar>
            <w:hideMark/>
          </w:tcPr>
          <w:p w14:paraId="48B7FF8B" w14:textId="77777777" w:rsidR="00F844B4" w:rsidRPr="00DC2A3C" w:rsidRDefault="00F844B4" w:rsidP="00074625">
            <w:pPr>
              <w:pStyle w:val="ARtabletextright"/>
            </w:pPr>
            <w:r w:rsidRPr="00DC2A3C">
              <w:t>575</w:t>
            </w:r>
          </w:p>
        </w:tc>
        <w:tc>
          <w:tcPr>
            <w:tcW w:w="956" w:type="dxa"/>
            <w:shd w:val="clear" w:color="auto" w:fill="E7E6E6" w:themeFill="background2"/>
            <w:tcMar>
              <w:right w:w="113" w:type="dxa"/>
            </w:tcMar>
            <w:hideMark/>
          </w:tcPr>
          <w:p w14:paraId="55D344BF" w14:textId="77777777" w:rsidR="00F844B4" w:rsidRPr="00DC2A3C" w:rsidRDefault="00F844B4" w:rsidP="00074625">
            <w:pPr>
              <w:pStyle w:val="ARtabletextright"/>
            </w:pPr>
            <w:r w:rsidRPr="00DC2A3C">
              <w:t>553.62</w:t>
            </w:r>
          </w:p>
        </w:tc>
        <w:tc>
          <w:tcPr>
            <w:tcW w:w="948" w:type="dxa"/>
            <w:tcMar>
              <w:right w:w="113" w:type="dxa"/>
            </w:tcMar>
            <w:hideMark/>
          </w:tcPr>
          <w:p w14:paraId="250137A5" w14:textId="77777777" w:rsidR="00F844B4" w:rsidRPr="00DC2A3C" w:rsidRDefault="00F844B4" w:rsidP="00074625">
            <w:pPr>
              <w:pStyle w:val="ARtabletextright"/>
            </w:pPr>
            <w:r w:rsidRPr="00DC2A3C">
              <w:t>450</w:t>
            </w:r>
          </w:p>
        </w:tc>
        <w:tc>
          <w:tcPr>
            <w:tcW w:w="948" w:type="dxa"/>
            <w:tcMar>
              <w:right w:w="113" w:type="dxa"/>
            </w:tcMar>
            <w:hideMark/>
          </w:tcPr>
          <w:p w14:paraId="3AC069C4" w14:textId="77777777" w:rsidR="00F844B4" w:rsidRPr="00DC2A3C" w:rsidRDefault="00F844B4" w:rsidP="00074625">
            <w:pPr>
              <w:pStyle w:val="ARtabletextright"/>
            </w:pPr>
            <w:r w:rsidRPr="00DC2A3C">
              <w:t>64</w:t>
            </w:r>
          </w:p>
        </w:tc>
        <w:tc>
          <w:tcPr>
            <w:tcW w:w="956" w:type="dxa"/>
            <w:tcMar>
              <w:right w:w="113" w:type="dxa"/>
            </w:tcMar>
            <w:hideMark/>
          </w:tcPr>
          <w:p w14:paraId="02A66038" w14:textId="77777777" w:rsidR="00F844B4" w:rsidRPr="00DC2A3C" w:rsidRDefault="00F844B4" w:rsidP="00074625">
            <w:pPr>
              <w:pStyle w:val="ARtabletextright"/>
            </w:pPr>
            <w:r w:rsidRPr="00DC2A3C">
              <w:t>493.38</w:t>
            </w:r>
          </w:p>
        </w:tc>
        <w:tc>
          <w:tcPr>
            <w:tcW w:w="956" w:type="dxa"/>
            <w:shd w:val="clear" w:color="auto" w:fill="E7E6E6" w:themeFill="background2"/>
            <w:tcMar>
              <w:right w:w="113" w:type="dxa"/>
            </w:tcMar>
            <w:hideMark/>
          </w:tcPr>
          <w:p w14:paraId="43C5F9EB" w14:textId="77777777" w:rsidR="00F844B4" w:rsidRPr="00DC2A3C" w:rsidRDefault="00F844B4" w:rsidP="00074625">
            <w:pPr>
              <w:pStyle w:val="ARtabletextright"/>
            </w:pPr>
            <w:r w:rsidRPr="00DC2A3C">
              <w:t>61</w:t>
            </w:r>
          </w:p>
        </w:tc>
        <w:tc>
          <w:tcPr>
            <w:tcW w:w="951" w:type="dxa"/>
            <w:shd w:val="clear" w:color="auto" w:fill="E7E6E6" w:themeFill="background2"/>
            <w:tcMar>
              <w:right w:w="113" w:type="dxa"/>
            </w:tcMar>
            <w:hideMark/>
          </w:tcPr>
          <w:p w14:paraId="1D118158" w14:textId="77777777" w:rsidR="00F844B4" w:rsidRPr="00DC2A3C" w:rsidRDefault="00F844B4" w:rsidP="00074625">
            <w:pPr>
              <w:pStyle w:val="ARtabletextright"/>
            </w:pPr>
            <w:r w:rsidRPr="00DC2A3C">
              <w:t>60.24</w:t>
            </w:r>
          </w:p>
        </w:tc>
        <w:tc>
          <w:tcPr>
            <w:tcW w:w="956" w:type="dxa"/>
            <w:tcMar>
              <w:right w:w="113" w:type="dxa"/>
            </w:tcMar>
            <w:hideMark/>
          </w:tcPr>
          <w:p w14:paraId="439BD6B3" w14:textId="77777777" w:rsidR="00F844B4" w:rsidRPr="00DC2A3C" w:rsidRDefault="00F844B4" w:rsidP="00074625">
            <w:pPr>
              <w:pStyle w:val="ARtabletextright"/>
            </w:pPr>
            <w:r w:rsidRPr="00DC2A3C">
              <w:t>671</w:t>
            </w:r>
          </w:p>
        </w:tc>
        <w:tc>
          <w:tcPr>
            <w:tcW w:w="786" w:type="dxa"/>
            <w:tcMar>
              <w:right w:w="113" w:type="dxa"/>
            </w:tcMar>
            <w:hideMark/>
          </w:tcPr>
          <w:p w14:paraId="4C8860AD" w14:textId="77777777" w:rsidR="00F844B4" w:rsidRPr="00DC2A3C" w:rsidRDefault="00F844B4" w:rsidP="00074625">
            <w:pPr>
              <w:pStyle w:val="ARtabletextright"/>
            </w:pPr>
            <w:r w:rsidRPr="00DC2A3C">
              <w:t>639.1</w:t>
            </w:r>
          </w:p>
        </w:tc>
        <w:tc>
          <w:tcPr>
            <w:tcW w:w="1120" w:type="dxa"/>
            <w:shd w:val="clear" w:color="auto" w:fill="E7E6E6" w:themeFill="background2"/>
            <w:tcMar>
              <w:right w:w="113" w:type="dxa"/>
            </w:tcMar>
            <w:hideMark/>
          </w:tcPr>
          <w:p w14:paraId="26F1A9E9" w14:textId="77777777" w:rsidR="00F844B4" w:rsidRPr="00DC2A3C" w:rsidRDefault="00F844B4" w:rsidP="00074625">
            <w:pPr>
              <w:pStyle w:val="ARtabletextright"/>
            </w:pPr>
            <w:r w:rsidRPr="00DC2A3C">
              <w:t>475</w:t>
            </w:r>
          </w:p>
        </w:tc>
        <w:tc>
          <w:tcPr>
            <w:tcW w:w="949" w:type="dxa"/>
            <w:shd w:val="clear" w:color="auto" w:fill="E7E6E6" w:themeFill="background2"/>
            <w:tcMar>
              <w:right w:w="113" w:type="dxa"/>
            </w:tcMar>
            <w:hideMark/>
          </w:tcPr>
          <w:p w14:paraId="20101A0D" w14:textId="77777777" w:rsidR="00F844B4" w:rsidRPr="00DC2A3C" w:rsidRDefault="00F844B4" w:rsidP="00074625">
            <w:pPr>
              <w:pStyle w:val="ARtabletextright"/>
            </w:pPr>
            <w:r w:rsidRPr="00DC2A3C">
              <w:t>62</w:t>
            </w:r>
          </w:p>
        </w:tc>
        <w:tc>
          <w:tcPr>
            <w:tcW w:w="957" w:type="dxa"/>
            <w:shd w:val="clear" w:color="auto" w:fill="E7E6E6" w:themeFill="background2"/>
            <w:tcMar>
              <w:right w:w="113" w:type="dxa"/>
            </w:tcMar>
            <w:hideMark/>
          </w:tcPr>
          <w:p w14:paraId="24C4265D" w14:textId="77777777" w:rsidR="00F844B4" w:rsidRPr="00DC2A3C" w:rsidRDefault="00F844B4" w:rsidP="00074625">
            <w:pPr>
              <w:pStyle w:val="ARtabletextright"/>
            </w:pPr>
            <w:r w:rsidRPr="00DC2A3C">
              <w:t>513.1</w:t>
            </w:r>
          </w:p>
        </w:tc>
        <w:tc>
          <w:tcPr>
            <w:tcW w:w="956" w:type="dxa"/>
            <w:tcMar>
              <w:right w:w="113" w:type="dxa"/>
            </w:tcMar>
            <w:hideMark/>
          </w:tcPr>
          <w:p w14:paraId="140075C2" w14:textId="77777777" w:rsidR="00F844B4" w:rsidRPr="00DC2A3C" w:rsidRDefault="00F844B4" w:rsidP="00074625">
            <w:pPr>
              <w:pStyle w:val="ARtabletextright"/>
            </w:pPr>
            <w:r w:rsidRPr="00DC2A3C">
              <w:t>134</w:t>
            </w:r>
          </w:p>
        </w:tc>
        <w:tc>
          <w:tcPr>
            <w:tcW w:w="957" w:type="dxa"/>
            <w:tcMar>
              <w:right w:w="113" w:type="dxa"/>
            </w:tcMar>
            <w:hideMark/>
          </w:tcPr>
          <w:p w14:paraId="70B26140" w14:textId="77777777" w:rsidR="00F844B4" w:rsidRPr="00DC2A3C" w:rsidRDefault="00F844B4" w:rsidP="00074625">
            <w:pPr>
              <w:pStyle w:val="ARtabletextright"/>
            </w:pPr>
            <w:r w:rsidRPr="00DC2A3C">
              <w:t>126</w:t>
            </w:r>
          </w:p>
        </w:tc>
      </w:tr>
      <w:tr w:rsidR="008D68DC" w:rsidRPr="00DC2A3C" w14:paraId="30F06225" w14:textId="77777777" w:rsidTr="00D119D2">
        <w:trPr>
          <w:cantSplit w:val="0"/>
          <w:trHeight w:val="300"/>
        </w:trPr>
        <w:tc>
          <w:tcPr>
            <w:tcW w:w="1087" w:type="dxa"/>
            <w:hideMark/>
          </w:tcPr>
          <w:p w14:paraId="56C79626" w14:textId="77777777" w:rsidR="00F844B4" w:rsidRPr="00DC2A3C" w:rsidRDefault="00F844B4" w:rsidP="00074625">
            <w:pPr>
              <w:pStyle w:val="ARtabletext"/>
            </w:pPr>
            <w:r w:rsidRPr="00DC2A3C">
              <w:t>CPP 4</w:t>
            </w:r>
          </w:p>
        </w:tc>
        <w:tc>
          <w:tcPr>
            <w:tcW w:w="954" w:type="dxa"/>
            <w:shd w:val="clear" w:color="auto" w:fill="E7E6E6" w:themeFill="background2"/>
            <w:tcMar>
              <w:right w:w="113" w:type="dxa"/>
            </w:tcMar>
            <w:hideMark/>
          </w:tcPr>
          <w:p w14:paraId="41D81568" w14:textId="77777777" w:rsidR="00F844B4" w:rsidRPr="00DC2A3C" w:rsidRDefault="00F844B4" w:rsidP="00074625">
            <w:pPr>
              <w:pStyle w:val="ARtabletextright"/>
            </w:pPr>
            <w:r w:rsidRPr="00DC2A3C">
              <w:t>754</w:t>
            </w:r>
          </w:p>
        </w:tc>
        <w:tc>
          <w:tcPr>
            <w:tcW w:w="956" w:type="dxa"/>
            <w:shd w:val="clear" w:color="auto" w:fill="E7E6E6" w:themeFill="background2"/>
            <w:tcMar>
              <w:right w:w="113" w:type="dxa"/>
            </w:tcMar>
            <w:hideMark/>
          </w:tcPr>
          <w:p w14:paraId="19BA1C50" w14:textId="77777777" w:rsidR="00F844B4" w:rsidRPr="00DC2A3C" w:rsidRDefault="00F844B4" w:rsidP="00074625">
            <w:pPr>
              <w:pStyle w:val="ARtabletextright"/>
            </w:pPr>
            <w:r w:rsidRPr="00DC2A3C">
              <w:t>678.42</w:t>
            </w:r>
          </w:p>
        </w:tc>
        <w:tc>
          <w:tcPr>
            <w:tcW w:w="948" w:type="dxa"/>
            <w:tcMar>
              <w:right w:w="113" w:type="dxa"/>
            </w:tcMar>
            <w:hideMark/>
          </w:tcPr>
          <w:p w14:paraId="13DCE143" w14:textId="77777777" w:rsidR="00F844B4" w:rsidRPr="00DC2A3C" w:rsidRDefault="00F844B4" w:rsidP="00074625">
            <w:pPr>
              <w:pStyle w:val="ARtabletextright"/>
            </w:pPr>
            <w:r w:rsidRPr="00DC2A3C">
              <w:t>587</w:t>
            </w:r>
          </w:p>
        </w:tc>
        <w:tc>
          <w:tcPr>
            <w:tcW w:w="948" w:type="dxa"/>
            <w:tcMar>
              <w:right w:w="113" w:type="dxa"/>
            </w:tcMar>
            <w:hideMark/>
          </w:tcPr>
          <w:p w14:paraId="1BBA83A9" w14:textId="77777777" w:rsidR="00F844B4" w:rsidRPr="00DC2A3C" w:rsidRDefault="00F844B4" w:rsidP="00074625">
            <w:pPr>
              <w:pStyle w:val="ARtabletextright"/>
            </w:pPr>
            <w:r w:rsidRPr="00DC2A3C">
              <w:t>133</w:t>
            </w:r>
          </w:p>
        </w:tc>
        <w:tc>
          <w:tcPr>
            <w:tcW w:w="956" w:type="dxa"/>
            <w:tcMar>
              <w:right w:w="113" w:type="dxa"/>
            </w:tcMar>
            <w:hideMark/>
          </w:tcPr>
          <w:p w14:paraId="5D59A656" w14:textId="77777777" w:rsidR="00F844B4" w:rsidRPr="00DC2A3C" w:rsidRDefault="00F844B4" w:rsidP="00074625">
            <w:pPr>
              <w:pStyle w:val="ARtabletextright"/>
            </w:pPr>
            <w:r w:rsidRPr="00DC2A3C">
              <w:t>658.63</w:t>
            </w:r>
          </w:p>
        </w:tc>
        <w:tc>
          <w:tcPr>
            <w:tcW w:w="956" w:type="dxa"/>
            <w:shd w:val="clear" w:color="auto" w:fill="E7E6E6" w:themeFill="background2"/>
            <w:tcMar>
              <w:right w:w="113" w:type="dxa"/>
            </w:tcMar>
            <w:hideMark/>
          </w:tcPr>
          <w:p w14:paraId="534F1712" w14:textId="77777777" w:rsidR="00F844B4" w:rsidRPr="00DC2A3C" w:rsidRDefault="00F844B4" w:rsidP="00074625">
            <w:pPr>
              <w:pStyle w:val="ARtabletextright"/>
            </w:pPr>
            <w:r w:rsidRPr="00DC2A3C">
              <w:t>34</w:t>
            </w:r>
          </w:p>
        </w:tc>
        <w:tc>
          <w:tcPr>
            <w:tcW w:w="951" w:type="dxa"/>
            <w:shd w:val="clear" w:color="auto" w:fill="E7E6E6" w:themeFill="background2"/>
            <w:tcMar>
              <w:right w:w="113" w:type="dxa"/>
            </w:tcMar>
            <w:hideMark/>
          </w:tcPr>
          <w:p w14:paraId="1C34E19C" w14:textId="77777777" w:rsidR="00F844B4" w:rsidRPr="00DC2A3C" w:rsidRDefault="00F844B4" w:rsidP="00074625">
            <w:pPr>
              <w:pStyle w:val="ARtabletextright"/>
            </w:pPr>
            <w:r w:rsidRPr="00DC2A3C">
              <w:t>19.79</w:t>
            </w:r>
          </w:p>
        </w:tc>
        <w:tc>
          <w:tcPr>
            <w:tcW w:w="956" w:type="dxa"/>
            <w:tcMar>
              <w:right w:w="113" w:type="dxa"/>
            </w:tcMar>
            <w:hideMark/>
          </w:tcPr>
          <w:p w14:paraId="33BFEFDF" w14:textId="77777777" w:rsidR="00F844B4" w:rsidRPr="00DC2A3C" w:rsidRDefault="00F844B4" w:rsidP="00074625">
            <w:pPr>
              <w:pStyle w:val="ARtabletextright"/>
            </w:pPr>
            <w:r w:rsidRPr="00DC2A3C">
              <w:t>695</w:t>
            </w:r>
          </w:p>
        </w:tc>
        <w:tc>
          <w:tcPr>
            <w:tcW w:w="786" w:type="dxa"/>
            <w:tcMar>
              <w:right w:w="113" w:type="dxa"/>
            </w:tcMar>
            <w:hideMark/>
          </w:tcPr>
          <w:p w14:paraId="6561FB73" w14:textId="77777777" w:rsidR="00F844B4" w:rsidRPr="00DC2A3C" w:rsidRDefault="00F844B4" w:rsidP="00074625">
            <w:pPr>
              <w:pStyle w:val="ARtabletextright"/>
            </w:pPr>
            <w:r w:rsidRPr="00DC2A3C">
              <w:t>621.5</w:t>
            </w:r>
          </w:p>
        </w:tc>
        <w:tc>
          <w:tcPr>
            <w:tcW w:w="1120" w:type="dxa"/>
            <w:shd w:val="clear" w:color="auto" w:fill="E7E6E6" w:themeFill="background2"/>
            <w:tcMar>
              <w:right w:w="113" w:type="dxa"/>
            </w:tcMar>
            <w:hideMark/>
          </w:tcPr>
          <w:p w14:paraId="7AF868E1" w14:textId="77777777" w:rsidR="00F844B4" w:rsidRPr="00DC2A3C" w:rsidRDefault="00F844B4" w:rsidP="00074625">
            <w:pPr>
              <w:pStyle w:val="ARtabletextright"/>
            </w:pPr>
            <w:r w:rsidRPr="00DC2A3C">
              <w:t>547</w:t>
            </w:r>
          </w:p>
        </w:tc>
        <w:tc>
          <w:tcPr>
            <w:tcW w:w="949" w:type="dxa"/>
            <w:shd w:val="clear" w:color="auto" w:fill="E7E6E6" w:themeFill="background2"/>
            <w:tcMar>
              <w:right w:w="113" w:type="dxa"/>
            </w:tcMar>
            <w:hideMark/>
          </w:tcPr>
          <w:p w14:paraId="26DC747A" w14:textId="77777777" w:rsidR="00F844B4" w:rsidRPr="00DC2A3C" w:rsidRDefault="00F844B4" w:rsidP="00074625">
            <w:pPr>
              <w:pStyle w:val="ARtabletextright"/>
            </w:pPr>
            <w:r w:rsidRPr="00DC2A3C">
              <w:t>108</w:t>
            </w:r>
          </w:p>
        </w:tc>
        <w:tc>
          <w:tcPr>
            <w:tcW w:w="957" w:type="dxa"/>
            <w:shd w:val="clear" w:color="auto" w:fill="E7E6E6" w:themeFill="background2"/>
            <w:tcMar>
              <w:right w:w="113" w:type="dxa"/>
            </w:tcMar>
            <w:hideMark/>
          </w:tcPr>
          <w:p w14:paraId="726D4628" w14:textId="77777777" w:rsidR="00F844B4" w:rsidRPr="00DC2A3C" w:rsidRDefault="00F844B4" w:rsidP="00074625">
            <w:pPr>
              <w:pStyle w:val="ARtabletextright"/>
            </w:pPr>
            <w:r w:rsidRPr="00DC2A3C">
              <w:t>600.6</w:t>
            </w:r>
          </w:p>
        </w:tc>
        <w:tc>
          <w:tcPr>
            <w:tcW w:w="956" w:type="dxa"/>
            <w:tcMar>
              <w:right w:w="113" w:type="dxa"/>
            </w:tcMar>
            <w:hideMark/>
          </w:tcPr>
          <w:p w14:paraId="65296490" w14:textId="77777777" w:rsidR="00F844B4" w:rsidRPr="00DC2A3C" w:rsidRDefault="00F844B4" w:rsidP="00074625">
            <w:pPr>
              <w:pStyle w:val="ARtabletextright"/>
            </w:pPr>
            <w:r w:rsidRPr="00DC2A3C">
              <w:t>40</w:t>
            </w:r>
          </w:p>
        </w:tc>
        <w:tc>
          <w:tcPr>
            <w:tcW w:w="957" w:type="dxa"/>
            <w:tcMar>
              <w:right w:w="113" w:type="dxa"/>
            </w:tcMar>
            <w:hideMark/>
          </w:tcPr>
          <w:p w14:paraId="0003E838" w14:textId="77777777" w:rsidR="00F844B4" w:rsidRPr="00DC2A3C" w:rsidRDefault="00F844B4" w:rsidP="00074625">
            <w:pPr>
              <w:pStyle w:val="ARtabletextright"/>
            </w:pPr>
            <w:r w:rsidRPr="00DC2A3C">
              <w:t>20.9</w:t>
            </w:r>
          </w:p>
        </w:tc>
      </w:tr>
      <w:tr w:rsidR="008D68DC" w:rsidRPr="00DC2A3C" w14:paraId="280B63D4" w14:textId="77777777" w:rsidTr="00D119D2">
        <w:trPr>
          <w:cantSplit w:val="0"/>
          <w:trHeight w:val="300"/>
        </w:trPr>
        <w:tc>
          <w:tcPr>
            <w:tcW w:w="1087" w:type="dxa"/>
            <w:hideMark/>
          </w:tcPr>
          <w:p w14:paraId="10F1E8F5" w14:textId="77777777" w:rsidR="00F844B4" w:rsidRPr="00DC2A3C" w:rsidRDefault="00F844B4" w:rsidP="00074625">
            <w:pPr>
              <w:pStyle w:val="ARtabletext"/>
            </w:pPr>
            <w:r w:rsidRPr="00DC2A3C">
              <w:t>CPP 5</w:t>
            </w:r>
          </w:p>
        </w:tc>
        <w:tc>
          <w:tcPr>
            <w:tcW w:w="954" w:type="dxa"/>
            <w:shd w:val="clear" w:color="auto" w:fill="E7E6E6" w:themeFill="background2"/>
            <w:tcMar>
              <w:right w:w="113" w:type="dxa"/>
            </w:tcMar>
            <w:hideMark/>
          </w:tcPr>
          <w:p w14:paraId="2B82B331" w14:textId="77777777" w:rsidR="00F844B4" w:rsidRPr="00DC2A3C" w:rsidRDefault="00F844B4" w:rsidP="00074625">
            <w:pPr>
              <w:pStyle w:val="ARtabletextright"/>
            </w:pPr>
            <w:r w:rsidRPr="00DC2A3C">
              <w:t>868</w:t>
            </w:r>
          </w:p>
        </w:tc>
        <w:tc>
          <w:tcPr>
            <w:tcW w:w="956" w:type="dxa"/>
            <w:shd w:val="clear" w:color="auto" w:fill="E7E6E6" w:themeFill="background2"/>
            <w:tcMar>
              <w:right w:w="113" w:type="dxa"/>
            </w:tcMar>
            <w:hideMark/>
          </w:tcPr>
          <w:p w14:paraId="50213920" w14:textId="77777777" w:rsidR="00F844B4" w:rsidRPr="00DC2A3C" w:rsidRDefault="00F844B4" w:rsidP="00074625">
            <w:pPr>
              <w:pStyle w:val="ARtabletextright"/>
            </w:pPr>
            <w:r w:rsidRPr="00DC2A3C">
              <w:t>814.47</w:t>
            </w:r>
          </w:p>
        </w:tc>
        <w:tc>
          <w:tcPr>
            <w:tcW w:w="948" w:type="dxa"/>
            <w:tcMar>
              <w:right w:w="113" w:type="dxa"/>
            </w:tcMar>
            <w:hideMark/>
          </w:tcPr>
          <w:p w14:paraId="25996C69" w14:textId="77777777" w:rsidR="00F844B4" w:rsidRPr="00DC2A3C" w:rsidRDefault="00F844B4" w:rsidP="00074625">
            <w:pPr>
              <w:pStyle w:val="ARtabletextright"/>
            </w:pPr>
            <w:r w:rsidRPr="00DC2A3C">
              <w:t>718</w:t>
            </w:r>
          </w:p>
        </w:tc>
        <w:tc>
          <w:tcPr>
            <w:tcW w:w="948" w:type="dxa"/>
            <w:tcMar>
              <w:right w:w="113" w:type="dxa"/>
            </w:tcMar>
            <w:hideMark/>
          </w:tcPr>
          <w:p w14:paraId="09E0C9F8" w14:textId="77777777" w:rsidR="00F844B4" w:rsidRPr="00DC2A3C" w:rsidRDefault="00F844B4" w:rsidP="00074625">
            <w:pPr>
              <w:pStyle w:val="ARtabletextright"/>
            </w:pPr>
            <w:r w:rsidRPr="00DC2A3C">
              <w:t>128</w:t>
            </w:r>
          </w:p>
        </w:tc>
        <w:tc>
          <w:tcPr>
            <w:tcW w:w="956" w:type="dxa"/>
            <w:tcMar>
              <w:right w:w="113" w:type="dxa"/>
            </w:tcMar>
            <w:hideMark/>
          </w:tcPr>
          <w:p w14:paraId="0FB0F00F" w14:textId="77777777" w:rsidR="00F844B4" w:rsidRPr="00DC2A3C" w:rsidRDefault="00F844B4" w:rsidP="00074625">
            <w:pPr>
              <w:pStyle w:val="ARtabletextright"/>
            </w:pPr>
            <w:r w:rsidRPr="00DC2A3C">
              <w:t>796.11</w:t>
            </w:r>
          </w:p>
        </w:tc>
        <w:tc>
          <w:tcPr>
            <w:tcW w:w="956" w:type="dxa"/>
            <w:shd w:val="clear" w:color="auto" w:fill="E7E6E6" w:themeFill="background2"/>
            <w:tcMar>
              <w:right w:w="113" w:type="dxa"/>
            </w:tcMar>
            <w:hideMark/>
          </w:tcPr>
          <w:p w14:paraId="11F6356F" w14:textId="77777777" w:rsidR="00F844B4" w:rsidRPr="00DC2A3C" w:rsidRDefault="00F844B4" w:rsidP="00074625">
            <w:pPr>
              <w:pStyle w:val="ARtabletextright"/>
            </w:pPr>
            <w:r w:rsidRPr="00DC2A3C">
              <w:t>22</w:t>
            </w:r>
          </w:p>
        </w:tc>
        <w:tc>
          <w:tcPr>
            <w:tcW w:w="951" w:type="dxa"/>
            <w:shd w:val="clear" w:color="auto" w:fill="E7E6E6" w:themeFill="background2"/>
            <w:tcMar>
              <w:right w:w="113" w:type="dxa"/>
            </w:tcMar>
            <w:hideMark/>
          </w:tcPr>
          <w:p w14:paraId="2D6CAFD4" w14:textId="77777777" w:rsidR="00F844B4" w:rsidRPr="00DC2A3C" w:rsidRDefault="00F844B4" w:rsidP="00074625">
            <w:pPr>
              <w:pStyle w:val="ARtabletextright"/>
            </w:pPr>
            <w:r w:rsidRPr="00DC2A3C">
              <w:t>18.36</w:t>
            </w:r>
          </w:p>
        </w:tc>
        <w:tc>
          <w:tcPr>
            <w:tcW w:w="956" w:type="dxa"/>
            <w:tcMar>
              <w:right w:w="113" w:type="dxa"/>
            </w:tcMar>
            <w:hideMark/>
          </w:tcPr>
          <w:p w14:paraId="3DA21CF3" w14:textId="77777777" w:rsidR="00F844B4" w:rsidRPr="00DC2A3C" w:rsidRDefault="00F844B4" w:rsidP="00074625">
            <w:pPr>
              <w:pStyle w:val="ARtabletextright"/>
            </w:pPr>
            <w:r w:rsidRPr="00DC2A3C">
              <w:t>858</w:t>
            </w:r>
          </w:p>
        </w:tc>
        <w:tc>
          <w:tcPr>
            <w:tcW w:w="786" w:type="dxa"/>
            <w:tcMar>
              <w:right w:w="113" w:type="dxa"/>
            </w:tcMar>
            <w:hideMark/>
          </w:tcPr>
          <w:p w14:paraId="0F3D7451" w14:textId="77777777" w:rsidR="00F844B4" w:rsidRPr="00DC2A3C" w:rsidRDefault="00F844B4" w:rsidP="00074625">
            <w:pPr>
              <w:pStyle w:val="ARtabletextright"/>
            </w:pPr>
            <w:r w:rsidRPr="00DC2A3C">
              <w:t>797.2</w:t>
            </w:r>
          </w:p>
        </w:tc>
        <w:tc>
          <w:tcPr>
            <w:tcW w:w="1120" w:type="dxa"/>
            <w:shd w:val="clear" w:color="auto" w:fill="E7E6E6" w:themeFill="background2"/>
            <w:tcMar>
              <w:right w:w="113" w:type="dxa"/>
            </w:tcMar>
            <w:hideMark/>
          </w:tcPr>
          <w:p w14:paraId="43A3F954" w14:textId="77777777" w:rsidR="00F844B4" w:rsidRPr="00DC2A3C" w:rsidRDefault="00F844B4" w:rsidP="00074625">
            <w:pPr>
              <w:pStyle w:val="ARtabletextright"/>
            </w:pPr>
            <w:r w:rsidRPr="00DC2A3C">
              <w:t>703</w:t>
            </w:r>
          </w:p>
        </w:tc>
        <w:tc>
          <w:tcPr>
            <w:tcW w:w="949" w:type="dxa"/>
            <w:shd w:val="clear" w:color="auto" w:fill="E7E6E6" w:themeFill="background2"/>
            <w:tcMar>
              <w:right w:w="113" w:type="dxa"/>
            </w:tcMar>
            <w:hideMark/>
          </w:tcPr>
          <w:p w14:paraId="04A0E44F" w14:textId="77777777" w:rsidR="00F844B4" w:rsidRPr="00DC2A3C" w:rsidRDefault="00F844B4" w:rsidP="00074625">
            <w:pPr>
              <w:pStyle w:val="ARtabletextright"/>
            </w:pPr>
            <w:r w:rsidRPr="00DC2A3C">
              <w:t>123</w:t>
            </w:r>
          </w:p>
        </w:tc>
        <w:tc>
          <w:tcPr>
            <w:tcW w:w="957" w:type="dxa"/>
            <w:shd w:val="clear" w:color="auto" w:fill="E7E6E6" w:themeFill="background2"/>
            <w:tcMar>
              <w:right w:w="113" w:type="dxa"/>
            </w:tcMar>
            <w:hideMark/>
          </w:tcPr>
          <w:p w14:paraId="2B63678B" w14:textId="77777777" w:rsidR="00F844B4" w:rsidRPr="00DC2A3C" w:rsidRDefault="00F844B4" w:rsidP="00074625">
            <w:pPr>
              <w:pStyle w:val="ARtabletextright"/>
            </w:pPr>
            <w:r w:rsidRPr="00DC2A3C">
              <w:t>771.8</w:t>
            </w:r>
          </w:p>
        </w:tc>
        <w:tc>
          <w:tcPr>
            <w:tcW w:w="956" w:type="dxa"/>
            <w:tcMar>
              <w:right w:w="113" w:type="dxa"/>
            </w:tcMar>
            <w:hideMark/>
          </w:tcPr>
          <w:p w14:paraId="1F8805DB" w14:textId="77777777" w:rsidR="00F844B4" w:rsidRPr="00DC2A3C" w:rsidRDefault="00F844B4" w:rsidP="00074625">
            <w:pPr>
              <w:pStyle w:val="ARtabletextright"/>
            </w:pPr>
            <w:r w:rsidRPr="00DC2A3C">
              <w:t>32</w:t>
            </w:r>
          </w:p>
        </w:tc>
        <w:tc>
          <w:tcPr>
            <w:tcW w:w="957" w:type="dxa"/>
            <w:tcMar>
              <w:right w:w="113" w:type="dxa"/>
            </w:tcMar>
            <w:hideMark/>
          </w:tcPr>
          <w:p w14:paraId="40556B8A" w14:textId="77777777" w:rsidR="00F844B4" w:rsidRPr="00DC2A3C" w:rsidRDefault="00F844B4" w:rsidP="00074625">
            <w:pPr>
              <w:pStyle w:val="ARtabletextright"/>
            </w:pPr>
            <w:r w:rsidRPr="00DC2A3C">
              <w:t>25.5</w:t>
            </w:r>
          </w:p>
        </w:tc>
      </w:tr>
      <w:tr w:rsidR="008D68DC" w:rsidRPr="00DC2A3C" w14:paraId="6578517B" w14:textId="77777777" w:rsidTr="00D119D2">
        <w:trPr>
          <w:cantSplit w:val="0"/>
          <w:trHeight w:val="300"/>
        </w:trPr>
        <w:tc>
          <w:tcPr>
            <w:tcW w:w="1087" w:type="dxa"/>
            <w:tcBorders>
              <w:bottom w:val="single" w:sz="4" w:space="0" w:color="A6A6A6" w:themeColor="accent5"/>
            </w:tcBorders>
            <w:hideMark/>
          </w:tcPr>
          <w:p w14:paraId="5801758F" w14:textId="77777777" w:rsidR="00F844B4" w:rsidRPr="00DC2A3C" w:rsidRDefault="00F844B4" w:rsidP="00074625">
            <w:pPr>
              <w:pStyle w:val="ARtabletext"/>
            </w:pPr>
            <w:r w:rsidRPr="00DC2A3C">
              <w:t>CPP 6</w:t>
            </w:r>
          </w:p>
        </w:tc>
        <w:tc>
          <w:tcPr>
            <w:tcW w:w="954" w:type="dxa"/>
            <w:tcBorders>
              <w:bottom w:val="single" w:sz="4" w:space="0" w:color="A6A6A6" w:themeColor="accent5"/>
            </w:tcBorders>
            <w:shd w:val="clear" w:color="auto" w:fill="E7E6E6" w:themeFill="background2"/>
            <w:tcMar>
              <w:right w:w="113" w:type="dxa"/>
            </w:tcMar>
            <w:hideMark/>
          </w:tcPr>
          <w:p w14:paraId="4B07DBF8" w14:textId="77777777" w:rsidR="00F844B4" w:rsidRPr="00DC2A3C" w:rsidRDefault="00F844B4" w:rsidP="00074625">
            <w:pPr>
              <w:pStyle w:val="ARtabletextright"/>
            </w:pPr>
            <w:r w:rsidRPr="00DC2A3C">
              <w:t>128</w:t>
            </w:r>
          </w:p>
        </w:tc>
        <w:tc>
          <w:tcPr>
            <w:tcW w:w="956" w:type="dxa"/>
            <w:tcBorders>
              <w:bottom w:val="single" w:sz="4" w:space="0" w:color="A6A6A6" w:themeColor="accent5"/>
            </w:tcBorders>
            <w:shd w:val="clear" w:color="auto" w:fill="E7E6E6" w:themeFill="background2"/>
            <w:tcMar>
              <w:right w:w="113" w:type="dxa"/>
            </w:tcMar>
            <w:hideMark/>
          </w:tcPr>
          <w:p w14:paraId="078E9DF3" w14:textId="77777777" w:rsidR="00F844B4" w:rsidRPr="00DC2A3C" w:rsidRDefault="00F844B4" w:rsidP="00074625">
            <w:pPr>
              <w:pStyle w:val="ARtabletextright"/>
            </w:pPr>
            <w:r w:rsidRPr="00DC2A3C">
              <w:t>125.18</w:t>
            </w:r>
          </w:p>
        </w:tc>
        <w:tc>
          <w:tcPr>
            <w:tcW w:w="948" w:type="dxa"/>
            <w:tcBorders>
              <w:bottom w:val="single" w:sz="4" w:space="0" w:color="A6A6A6" w:themeColor="accent5"/>
            </w:tcBorders>
            <w:tcMar>
              <w:right w:w="113" w:type="dxa"/>
            </w:tcMar>
            <w:hideMark/>
          </w:tcPr>
          <w:p w14:paraId="054E397D" w14:textId="77777777" w:rsidR="00F844B4" w:rsidRPr="00DC2A3C" w:rsidRDefault="00F844B4" w:rsidP="00074625">
            <w:pPr>
              <w:pStyle w:val="ARtabletextright"/>
            </w:pPr>
            <w:r w:rsidRPr="00DC2A3C">
              <w:t>118</w:t>
            </w:r>
          </w:p>
        </w:tc>
        <w:tc>
          <w:tcPr>
            <w:tcW w:w="948" w:type="dxa"/>
            <w:tcBorders>
              <w:bottom w:val="single" w:sz="4" w:space="0" w:color="A6A6A6" w:themeColor="accent5"/>
            </w:tcBorders>
            <w:tcMar>
              <w:right w:w="113" w:type="dxa"/>
            </w:tcMar>
            <w:hideMark/>
          </w:tcPr>
          <w:p w14:paraId="25002B75" w14:textId="77777777" w:rsidR="00F844B4" w:rsidRPr="00DC2A3C" w:rsidRDefault="00F844B4" w:rsidP="00074625">
            <w:pPr>
              <w:pStyle w:val="ARtabletextright"/>
            </w:pPr>
            <w:r w:rsidRPr="00DC2A3C">
              <w:t>7</w:t>
            </w:r>
          </w:p>
        </w:tc>
        <w:tc>
          <w:tcPr>
            <w:tcW w:w="956" w:type="dxa"/>
            <w:tcBorders>
              <w:bottom w:val="single" w:sz="4" w:space="0" w:color="A6A6A6" w:themeColor="accent5"/>
            </w:tcBorders>
            <w:tcMar>
              <w:right w:w="113" w:type="dxa"/>
            </w:tcMar>
            <w:hideMark/>
          </w:tcPr>
          <w:p w14:paraId="128FE014" w14:textId="77777777" w:rsidR="00F844B4" w:rsidRPr="00DC2A3C" w:rsidRDefault="00F844B4" w:rsidP="00074625">
            <w:pPr>
              <w:pStyle w:val="ARtabletextright"/>
            </w:pPr>
            <w:r w:rsidRPr="00DC2A3C">
              <w:t>122.18</w:t>
            </w:r>
          </w:p>
        </w:tc>
        <w:tc>
          <w:tcPr>
            <w:tcW w:w="956" w:type="dxa"/>
            <w:tcBorders>
              <w:bottom w:val="single" w:sz="4" w:space="0" w:color="A6A6A6" w:themeColor="accent5"/>
            </w:tcBorders>
            <w:shd w:val="clear" w:color="auto" w:fill="E7E6E6" w:themeFill="background2"/>
            <w:tcMar>
              <w:right w:w="113" w:type="dxa"/>
            </w:tcMar>
            <w:hideMark/>
          </w:tcPr>
          <w:p w14:paraId="34941810" w14:textId="77777777" w:rsidR="00F844B4" w:rsidRPr="00DC2A3C" w:rsidRDefault="00F844B4" w:rsidP="00074625">
            <w:pPr>
              <w:pStyle w:val="ARtabletextright"/>
            </w:pPr>
            <w:r w:rsidRPr="00DC2A3C">
              <w:t>3</w:t>
            </w:r>
          </w:p>
        </w:tc>
        <w:tc>
          <w:tcPr>
            <w:tcW w:w="951" w:type="dxa"/>
            <w:tcBorders>
              <w:bottom w:val="single" w:sz="4" w:space="0" w:color="A6A6A6" w:themeColor="accent5"/>
            </w:tcBorders>
            <w:shd w:val="clear" w:color="auto" w:fill="E7E6E6" w:themeFill="background2"/>
            <w:tcMar>
              <w:right w:w="113" w:type="dxa"/>
            </w:tcMar>
            <w:hideMark/>
          </w:tcPr>
          <w:p w14:paraId="306BEB84" w14:textId="77777777" w:rsidR="00F844B4" w:rsidRPr="00DC2A3C" w:rsidRDefault="00F844B4" w:rsidP="00074625">
            <w:pPr>
              <w:pStyle w:val="ARtabletextright"/>
            </w:pPr>
            <w:r w:rsidRPr="00DC2A3C">
              <w:t>3</w:t>
            </w:r>
          </w:p>
        </w:tc>
        <w:tc>
          <w:tcPr>
            <w:tcW w:w="956" w:type="dxa"/>
            <w:tcBorders>
              <w:bottom w:val="single" w:sz="4" w:space="0" w:color="A6A6A6" w:themeColor="accent5"/>
            </w:tcBorders>
            <w:tcMar>
              <w:right w:w="113" w:type="dxa"/>
            </w:tcMar>
            <w:hideMark/>
          </w:tcPr>
          <w:p w14:paraId="3736E84B" w14:textId="77777777" w:rsidR="00F844B4" w:rsidRPr="00DC2A3C" w:rsidRDefault="00F844B4" w:rsidP="00074625">
            <w:pPr>
              <w:pStyle w:val="ARtabletextright"/>
            </w:pPr>
            <w:r w:rsidRPr="00DC2A3C">
              <w:t>108</w:t>
            </w:r>
          </w:p>
        </w:tc>
        <w:tc>
          <w:tcPr>
            <w:tcW w:w="786" w:type="dxa"/>
            <w:tcBorders>
              <w:bottom w:val="single" w:sz="4" w:space="0" w:color="A6A6A6" w:themeColor="accent5"/>
            </w:tcBorders>
            <w:tcMar>
              <w:right w:w="113" w:type="dxa"/>
            </w:tcMar>
            <w:hideMark/>
          </w:tcPr>
          <w:p w14:paraId="507A47B5" w14:textId="77777777" w:rsidR="00F844B4" w:rsidRPr="00DC2A3C" w:rsidRDefault="00F844B4" w:rsidP="00074625">
            <w:pPr>
              <w:pStyle w:val="ARtabletextright"/>
            </w:pPr>
            <w:r w:rsidRPr="00DC2A3C">
              <w:t>104.9</w:t>
            </w:r>
          </w:p>
        </w:tc>
        <w:tc>
          <w:tcPr>
            <w:tcW w:w="1120" w:type="dxa"/>
            <w:tcBorders>
              <w:bottom w:val="single" w:sz="4" w:space="0" w:color="A6A6A6" w:themeColor="accent5"/>
            </w:tcBorders>
            <w:shd w:val="clear" w:color="auto" w:fill="E7E6E6" w:themeFill="background2"/>
            <w:tcMar>
              <w:right w:w="113" w:type="dxa"/>
            </w:tcMar>
            <w:hideMark/>
          </w:tcPr>
          <w:p w14:paraId="7E1DC903" w14:textId="77777777" w:rsidR="00F844B4" w:rsidRPr="00DC2A3C" w:rsidRDefault="00F844B4" w:rsidP="00074625">
            <w:pPr>
              <w:pStyle w:val="ARtabletextright"/>
            </w:pPr>
            <w:r w:rsidRPr="00DC2A3C">
              <w:t>98</w:t>
            </w:r>
          </w:p>
        </w:tc>
        <w:tc>
          <w:tcPr>
            <w:tcW w:w="949" w:type="dxa"/>
            <w:tcBorders>
              <w:bottom w:val="single" w:sz="4" w:space="0" w:color="A6A6A6" w:themeColor="accent5"/>
            </w:tcBorders>
            <w:shd w:val="clear" w:color="auto" w:fill="E7E6E6" w:themeFill="background2"/>
            <w:tcMar>
              <w:right w:w="113" w:type="dxa"/>
            </w:tcMar>
            <w:hideMark/>
          </w:tcPr>
          <w:p w14:paraId="57B56542" w14:textId="77777777" w:rsidR="00F844B4" w:rsidRPr="00DC2A3C" w:rsidRDefault="00F844B4" w:rsidP="00074625">
            <w:pPr>
              <w:pStyle w:val="ARtabletextright"/>
            </w:pPr>
            <w:r w:rsidRPr="00DC2A3C">
              <w:t>8</w:t>
            </w:r>
          </w:p>
        </w:tc>
        <w:tc>
          <w:tcPr>
            <w:tcW w:w="957" w:type="dxa"/>
            <w:tcBorders>
              <w:bottom w:val="single" w:sz="4" w:space="0" w:color="A6A6A6" w:themeColor="accent5"/>
            </w:tcBorders>
            <w:shd w:val="clear" w:color="auto" w:fill="E7E6E6" w:themeFill="background2"/>
            <w:tcMar>
              <w:right w:w="113" w:type="dxa"/>
            </w:tcMar>
            <w:hideMark/>
          </w:tcPr>
          <w:p w14:paraId="64FA87D7" w14:textId="77777777" w:rsidR="00F844B4" w:rsidRPr="00DC2A3C" w:rsidRDefault="00F844B4" w:rsidP="00074625">
            <w:pPr>
              <w:pStyle w:val="ARtabletextright"/>
            </w:pPr>
            <w:r w:rsidRPr="00DC2A3C">
              <w:t>102.9</w:t>
            </w:r>
          </w:p>
        </w:tc>
        <w:tc>
          <w:tcPr>
            <w:tcW w:w="956" w:type="dxa"/>
            <w:tcBorders>
              <w:bottom w:val="single" w:sz="4" w:space="0" w:color="A6A6A6" w:themeColor="accent5"/>
            </w:tcBorders>
            <w:tcMar>
              <w:right w:w="113" w:type="dxa"/>
            </w:tcMar>
            <w:hideMark/>
          </w:tcPr>
          <w:p w14:paraId="7A3A2E66" w14:textId="77777777" w:rsidR="00F844B4" w:rsidRPr="00DC2A3C" w:rsidRDefault="00F844B4" w:rsidP="00074625">
            <w:pPr>
              <w:pStyle w:val="ARtabletextright"/>
            </w:pPr>
            <w:r w:rsidRPr="00DC2A3C">
              <w:t>2</w:t>
            </w:r>
          </w:p>
        </w:tc>
        <w:tc>
          <w:tcPr>
            <w:tcW w:w="957" w:type="dxa"/>
            <w:tcBorders>
              <w:bottom w:val="single" w:sz="4" w:space="0" w:color="A6A6A6" w:themeColor="accent5"/>
            </w:tcBorders>
            <w:tcMar>
              <w:right w:w="113" w:type="dxa"/>
            </w:tcMar>
            <w:hideMark/>
          </w:tcPr>
          <w:p w14:paraId="25130374" w14:textId="77777777" w:rsidR="00F844B4" w:rsidRPr="00DC2A3C" w:rsidRDefault="00F844B4" w:rsidP="00074625">
            <w:pPr>
              <w:pStyle w:val="ARtabletextright"/>
            </w:pPr>
            <w:r w:rsidRPr="00DC2A3C">
              <w:t>2</w:t>
            </w:r>
          </w:p>
        </w:tc>
      </w:tr>
      <w:tr w:rsidR="008D68DC" w:rsidRPr="00DC2A3C" w14:paraId="28DD926E" w14:textId="77777777" w:rsidTr="00D119D2">
        <w:trPr>
          <w:cantSplit w:val="0"/>
          <w:trHeight w:val="300"/>
        </w:trPr>
        <w:tc>
          <w:tcPr>
            <w:tcW w:w="1087" w:type="dxa"/>
            <w:tcBorders>
              <w:top w:val="single" w:sz="4" w:space="0" w:color="A6A6A6" w:themeColor="accent5"/>
              <w:bottom w:val="single" w:sz="4" w:space="0" w:color="auto"/>
            </w:tcBorders>
            <w:hideMark/>
          </w:tcPr>
          <w:p w14:paraId="53DABB71" w14:textId="77777777" w:rsidR="00F844B4" w:rsidRPr="00DC2A3C" w:rsidRDefault="00F844B4" w:rsidP="00074625">
            <w:pPr>
              <w:pStyle w:val="ARtabletextbold"/>
            </w:pPr>
            <w:r w:rsidRPr="00DC2A3C">
              <w:t>Total</w:t>
            </w:r>
          </w:p>
        </w:tc>
        <w:tc>
          <w:tcPr>
            <w:tcW w:w="954" w:type="dxa"/>
            <w:tcBorders>
              <w:top w:val="single" w:sz="4" w:space="0" w:color="A6A6A6" w:themeColor="accent5"/>
              <w:bottom w:val="single" w:sz="4" w:space="0" w:color="auto"/>
            </w:tcBorders>
            <w:shd w:val="clear" w:color="auto" w:fill="E7E6E6" w:themeFill="background2"/>
            <w:tcMar>
              <w:right w:w="113" w:type="dxa"/>
            </w:tcMar>
            <w:hideMark/>
          </w:tcPr>
          <w:p w14:paraId="0955BD23" w14:textId="77777777" w:rsidR="00F844B4" w:rsidRPr="00DC2A3C" w:rsidRDefault="00F844B4" w:rsidP="00074625">
            <w:pPr>
              <w:pStyle w:val="ARtabletextrightbold"/>
            </w:pPr>
            <w:r w:rsidRPr="00DC2A3C">
              <w:t>2,624</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3945AE73" w14:textId="77777777" w:rsidR="00F844B4" w:rsidRPr="00DC2A3C" w:rsidRDefault="00F844B4" w:rsidP="00074625">
            <w:pPr>
              <w:pStyle w:val="ARtabletextrightbold"/>
            </w:pPr>
            <w:r w:rsidRPr="00DC2A3C">
              <w:t>2,424.92</w:t>
            </w:r>
          </w:p>
        </w:tc>
        <w:tc>
          <w:tcPr>
            <w:tcW w:w="948" w:type="dxa"/>
            <w:tcBorders>
              <w:top w:val="single" w:sz="4" w:space="0" w:color="A6A6A6" w:themeColor="accent5"/>
              <w:bottom w:val="single" w:sz="4" w:space="0" w:color="auto"/>
            </w:tcBorders>
            <w:tcMar>
              <w:right w:w="113" w:type="dxa"/>
            </w:tcMar>
            <w:hideMark/>
          </w:tcPr>
          <w:p w14:paraId="4142373C" w14:textId="77777777" w:rsidR="00F844B4" w:rsidRPr="00DC2A3C" w:rsidRDefault="00F844B4" w:rsidP="00074625">
            <w:pPr>
              <w:pStyle w:val="ARtabletextrightbold"/>
            </w:pPr>
            <w:r w:rsidRPr="00DC2A3C">
              <w:t>2,011</w:t>
            </w:r>
          </w:p>
        </w:tc>
        <w:tc>
          <w:tcPr>
            <w:tcW w:w="948" w:type="dxa"/>
            <w:tcBorders>
              <w:top w:val="single" w:sz="4" w:space="0" w:color="A6A6A6" w:themeColor="accent5"/>
              <w:bottom w:val="single" w:sz="4" w:space="0" w:color="auto"/>
            </w:tcBorders>
            <w:tcMar>
              <w:right w:w="113" w:type="dxa"/>
            </w:tcMar>
            <w:hideMark/>
          </w:tcPr>
          <w:p w14:paraId="244DE140" w14:textId="77777777" w:rsidR="00F844B4" w:rsidRPr="00DC2A3C" w:rsidRDefault="00F844B4" w:rsidP="00074625">
            <w:pPr>
              <w:pStyle w:val="ARtabletextrightbold"/>
            </w:pPr>
            <w:r w:rsidRPr="00DC2A3C">
              <w:t>387</w:t>
            </w:r>
          </w:p>
        </w:tc>
        <w:tc>
          <w:tcPr>
            <w:tcW w:w="956" w:type="dxa"/>
            <w:tcBorders>
              <w:top w:val="single" w:sz="4" w:space="0" w:color="A6A6A6" w:themeColor="accent5"/>
              <w:bottom w:val="single" w:sz="4" w:space="0" w:color="auto"/>
            </w:tcBorders>
            <w:tcMar>
              <w:right w:w="113" w:type="dxa"/>
            </w:tcMar>
            <w:hideMark/>
          </w:tcPr>
          <w:p w14:paraId="5AC70FAB" w14:textId="77777777" w:rsidR="00F844B4" w:rsidRPr="00DC2A3C" w:rsidRDefault="00F844B4" w:rsidP="00074625">
            <w:pPr>
              <w:pStyle w:val="ARtabletextrightbold"/>
            </w:pPr>
            <w:r w:rsidRPr="00DC2A3C">
              <w:t>2,242.69</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21B0EE89" w14:textId="77777777" w:rsidR="00F844B4" w:rsidRPr="00DC2A3C" w:rsidRDefault="00F844B4" w:rsidP="00074625">
            <w:pPr>
              <w:pStyle w:val="ARtabletextrightbold"/>
            </w:pPr>
            <w:r w:rsidRPr="00DC2A3C">
              <w:t>226</w:t>
            </w:r>
          </w:p>
        </w:tc>
        <w:tc>
          <w:tcPr>
            <w:tcW w:w="951" w:type="dxa"/>
            <w:tcBorders>
              <w:top w:val="single" w:sz="4" w:space="0" w:color="A6A6A6" w:themeColor="accent5"/>
              <w:bottom w:val="single" w:sz="4" w:space="0" w:color="auto"/>
            </w:tcBorders>
            <w:shd w:val="clear" w:color="auto" w:fill="E7E6E6" w:themeFill="background2"/>
            <w:tcMar>
              <w:right w:w="113" w:type="dxa"/>
            </w:tcMar>
            <w:hideMark/>
          </w:tcPr>
          <w:p w14:paraId="1BBBC853" w14:textId="77777777" w:rsidR="00F844B4" w:rsidRPr="00DC2A3C" w:rsidRDefault="00F844B4" w:rsidP="00074625">
            <w:pPr>
              <w:pStyle w:val="ARtabletextrightbold"/>
            </w:pPr>
            <w:r w:rsidRPr="00DC2A3C">
              <w:t>182.23</w:t>
            </w:r>
          </w:p>
        </w:tc>
        <w:tc>
          <w:tcPr>
            <w:tcW w:w="956" w:type="dxa"/>
            <w:tcBorders>
              <w:top w:val="single" w:sz="4" w:space="0" w:color="A6A6A6" w:themeColor="accent5"/>
              <w:bottom w:val="single" w:sz="4" w:space="0" w:color="auto"/>
            </w:tcBorders>
            <w:tcMar>
              <w:right w:w="113" w:type="dxa"/>
            </w:tcMar>
            <w:hideMark/>
          </w:tcPr>
          <w:p w14:paraId="0E00E7BB" w14:textId="77777777" w:rsidR="00F844B4" w:rsidRPr="00DC2A3C" w:rsidRDefault="00F844B4" w:rsidP="00074625">
            <w:pPr>
              <w:pStyle w:val="ARtabletextrightbold"/>
            </w:pPr>
            <w:r w:rsidRPr="00DC2A3C">
              <w:t>2,769</w:t>
            </w:r>
          </w:p>
        </w:tc>
        <w:tc>
          <w:tcPr>
            <w:tcW w:w="786" w:type="dxa"/>
            <w:tcBorders>
              <w:top w:val="single" w:sz="4" w:space="0" w:color="A6A6A6" w:themeColor="accent5"/>
              <w:bottom w:val="single" w:sz="4" w:space="0" w:color="auto"/>
            </w:tcBorders>
            <w:tcMar>
              <w:right w:w="113" w:type="dxa"/>
            </w:tcMar>
            <w:hideMark/>
          </w:tcPr>
          <w:p w14:paraId="53C6A0A9" w14:textId="77777777" w:rsidR="00F844B4" w:rsidRPr="00DC2A3C" w:rsidRDefault="00F844B4" w:rsidP="00074625">
            <w:pPr>
              <w:pStyle w:val="ARtabletextrightbold"/>
            </w:pPr>
            <w:r w:rsidRPr="00DC2A3C">
              <w:t>2,525.20</w:t>
            </w:r>
          </w:p>
        </w:tc>
        <w:tc>
          <w:tcPr>
            <w:tcW w:w="1120" w:type="dxa"/>
            <w:tcBorders>
              <w:top w:val="single" w:sz="4" w:space="0" w:color="A6A6A6" w:themeColor="accent5"/>
              <w:bottom w:val="single" w:sz="4" w:space="0" w:color="auto"/>
            </w:tcBorders>
            <w:shd w:val="clear" w:color="auto" w:fill="E7E6E6" w:themeFill="background2"/>
            <w:tcMar>
              <w:right w:w="113" w:type="dxa"/>
            </w:tcMar>
            <w:hideMark/>
          </w:tcPr>
          <w:p w14:paraId="060E6849" w14:textId="77777777" w:rsidR="00F844B4" w:rsidRPr="00DC2A3C" w:rsidRDefault="00F844B4" w:rsidP="00074625">
            <w:pPr>
              <w:pStyle w:val="ARtabletextrightbold"/>
            </w:pPr>
            <w:r w:rsidRPr="00DC2A3C">
              <w:t>1,967</w:t>
            </w:r>
          </w:p>
        </w:tc>
        <w:tc>
          <w:tcPr>
            <w:tcW w:w="949" w:type="dxa"/>
            <w:tcBorders>
              <w:top w:val="single" w:sz="4" w:space="0" w:color="A6A6A6" w:themeColor="accent5"/>
              <w:bottom w:val="single" w:sz="4" w:space="0" w:color="auto"/>
            </w:tcBorders>
            <w:shd w:val="clear" w:color="auto" w:fill="E7E6E6" w:themeFill="background2"/>
            <w:tcMar>
              <w:right w:w="113" w:type="dxa"/>
            </w:tcMar>
            <w:hideMark/>
          </w:tcPr>
          <w:p w14:paraId="71C379C8" w14:textId="77777777" w:rsidR="00F844B4" w:rsidRPr="00DC2A3C" w:rsidRDefault="00F844B4" w:rsidP="00074625">
            <w:pPr>
              <w:pStyle w:val="ARtabletextrightbold"/>
            </w:pPr>
            <w:r w:rsidRPr="00DC2A3C">
              <w:t>353</w:t>
            </w:r>
          </w:p>
        </w:tc>
        <w:tc>
          <w:tcPr>
            <w:tcW w:w="957" w:type="dxa"/>
            <w:tcBorders>
              <w:top w:val="single" w:sz="4" w:space="0" w:color="A6A6A6" w:themeColor="accent5"/>
              <w:bottom w:val="single" w:sz="4" w:space="0" w:color="auto"/>
            </w:tcBorders>
            <w:shd w:val="clear" w:color="auto" w:fill="E7E6E6" w:themeFill="background2"/>
            <w:tcMar>
              <w:right w:w="113" w:type="dxa"/>
            </w:tcMar>
            <w:hideMark/>
          </w:tcPr>
          <w:p w14:paraId="7323CF83" w14:textId="77777777" w:rsidR="00F844B4" w:rsidRPr="00DC2A3C" w:rsidRDefault="00F844B4" w:rsidP="00074625">
            <w:pPr>
              <w:pStyle w:val="ARtabletextrightbold"/>
            </w:pPr>
            <w:r w:rsidRPr="00DC2A3C">
              <w:t>2,166.10</w:t>
            </w:r>
          </w:p>
        </w:tc>
        <w:tc>
          <w:tcPr>
            <w:tcW w:w="956" w:type="dxa"/>
            <w:tcBorders>
              <w:top w:val="single" w:sz="4" w:space="0" w:color="A6A6A6" w:themeColor="accent5"/>
              <w:bottom w:val="single" w:sz="4" w:space="0" w:color="auto"/>
            </w:tcBorders>
            <w:tcMar>
              <w:right w:w="113" w:type="dxa"/>
            </w:tcMar>
            <w:hideMark/>
          </w:tcPr>
          <w:p w14:paraId="3FDCB71F" w14:textId="77777777" w:rsidR="00F844B4" w:rsidRPr="00DC2A3C" w:rsidRDefault="00F844B4" w:rsidP="00074625">
            <w:pPr>
              <w:pStyle w:val="ARtabletextrightbold"/>
            </w:pPr>
            <w:r w:rsidRPr="00DC2A3C">
              <w:t>449</w:t>
            </w:r>
          </w:p>
        </w:tc>
        <w:tc>
          <w:tcPr>
            <w:tcW w:w="957" w:type="dxa"/>
            <w:tcBorders>
              <w:top w:val="single" w:sz="4" w:space="0" w:color="A6A6A6" w:themeColor="accent5"/>
              <w:bottom w:val="single" w:sz="4" w:space="0" w:color="auto"/>
            </w:tcBorders>
            <w:tcMar>
              <w:right w:w="113" w:type="dxa"/>
            </w:tcMar>
            <w:hideMark/>
          </w:tcPr>
          <w:p w14:paraId="1169F4B6" w14:textId="77777777" w:rsidR="00F844B4" w:rsidRPr="00DC2A3C" w:rsidRDefault="00F844B4" w:rsidP="00074625">
            <w:pPr>
              <w:pStyle w:val="ARtabletextrightbold"/>
            </w:pPr>
            <w:r w:rsidRPr="00DC2A3C">
              <w:t>359.1</w:t>
            </w:r>
          </w:p>
        </w:tc>
      </w:tr>
      <w:tr w:rsidR="00F844B4" w:rsidRPr="00DC2A3C" w14:paraId="669ADF82" w14:textId="77777777" w:rsidTr="00D119D2">
        <w:trPr>
          <w:cantSplit w:val="0"/>
          <w:trHeight w:val="300"/>
        </w:trPr>
        <w:tc>
          <w:tcPr>
            <w:tcW w:w="14437" w:type="dxa"/>
            <w:gridSpan w:val="15"/>
            <w:tcBorders>
              <w:top w:val="single" w:sz="4" w:space="0" w:color="auto"/>
              <w:bottom w:val="single" w:sz="4" w:space="0" w:color="A6A6A6" w:themeColor="accent5"/>
            </w:tcBorders>
            <w:tcMar>
              <w:right w:w="113" w:type="dxa"/>
            </w:tcMar>
            <w:hideMark/>
          </w:tcPr>
          <w:p w14:paraId="57475529" w14:textId="77777777" w:rsidR="00F844B4" w:rsidRPr="00DC2A3C" w:rsidRDefault="00F844B4" w:rsidP="00AF1596">
            <w:pPr>
              <w:pStyle w:val="ARtabletextcolourbold"/>
              <w:pageBreakBefore/>
            </w:pPr>
            <w:r w:rsidRPr="00DC2A3C">
              <w:lastRenderedPageBreak/>
              <w:t>Children, Youth and Families</w:t>
            </w:r>
          </w:p>
        </w:tc>
      </w:tr>
      <w:tr w:rsidR="008D68DC" w:rsidRPr="00DC2A3C" w14:paraId="6B86D06B" w14:textId="77777777" w:rsidTr="00D119D2">
        <w:trPr>
          <w:cantSplit w:val="0"/>
          <w:trHeight w:val="300"/>
        </w:trPr>
        <w:tc>
          <w:tcPr>
            <w:tcW w:w="1087" w:type="dxa"/>
            <w:tcBorders>
              <w:top w:val="single" w:sz="4" w:space="0" w:color="A6A6A6" w:themeColor="accent5"/>
            </w:tcBorders>
            <w:hideMark/>
          </w:tcPr>
          <w:p w14:paraId="5E7D615B" w14:textId="77777777" w:rsidR="00F844B4" w:rsidRPr="00DC2A3C" w:rsidRDefault="00F844B4" w:rsidP="00074625">
            <w:pPr>
              <w:pStyle w:val="ARtabletext"/>
            </w:pPr>
            <w:r w:rsidRPr="00DC2A3C">
              <w:t>CYF 1</w:t>
            </w:r>
          </w:p>
        </w:tc>
        <w:tc>
          <w:tcPr>
            <w:tcW w:w="954" w:type="dxa"/>
            <w:tcBorders>
              <w:top w:val="single" w:sz="4" w:space="0" w:color="A6A6A6" w:themeColor="accent5"/>
            </w:tcBorders>
            <w:shd w:val="clear" w:color="auto" w:fill="E7E6E6" w:themeFill="background2"/>
            <w:tcMar>
              <w:right w:w="113" w:type="dxa"/>
            </w:tcMar>
            <w:hideMark/>
          </w:tcPr>
          <w:p w14:paraId="0B0CC5D1" w14:textId="77777777" w:rsidR="00F844B4" w:rsidRPr="00DC2A3C" w:rsidRDefault="00F844B4" w:rsidP="00074625">
            <w:pPr>
              <w:pStyle w:val="ARtabletextright"/>
            </w:pPr>
            <w:r w:rsidRPr="00DC2A3C">
              <w:t>1</w:t>
            </w:r>
          </w:p>
        </w:tc>
        <w:tc>
          <w:tcPr>
            <w:tcW w:w="956" w:type="dxa"/>
            <w:tcBorders>
              <w:top w:val="single" w:sz="4" w:space="0" w:color="A6A6A6" w:themeColor="accent5"/>
            </w:tcBorders>
            <w:shd w:val="clear" w:color="auto" w:fill="E7E6E6" w:themeFill="background2"/>
            <w:tcMar>
              <w:right w:w="113" w:type="dxa"/>
            </w:tcMar>
            <w:hideMark/>
          </w:tcPr>
          <w:p w14:paraId="040D89AB" w14:textId="77777777" w:rsidR="00F844B4" w:rsidRPr="00DC2A3C" w:rsidRDefault="00F844B4" w:rsidP="00074625">
            <w:pPr>
              <w:pStyle w:val="ARtabletextright"/>
            </w:pPr>
            <w:r w:rsidRPr="00DC2A3C">
              <w:t>0.58</w:t>
            </w:r>
          </w:p>
        </w:tc>
        <w:tc>
          <w:tcPr>
            <w:tcW w:w="948" w:type="dxa"/>
            <w:tcBorders>
              <w:top w:val="single" w:sz="4" w:space="0" w:color="A6A6A6" w:themeColor="accent5"/>
            </w:tcBorders>
            <w:tcMar>
              <w:right w:w="113" w:type="dxa"/>
            </w:tcMar>
            <w:hideMark/>
          </w:tcPr>
          <w:p w14:paraId="16671514" w14:textId="77777777" w:rsidR="00F844B4" w:rsidRPr="00DC2A3C" w:rsidRDefault="00F844B4" w:rsidP="00074625">
            <w:pPr>
              <w:pStyle w:val="ARtabletextright"/>
            </w:pPr>
            <w:r w:rsidRPr="00DC2A3C">
              <w:t>0</w:t>
            </w:r>
          </w:p>
        </w:tc>
        <w:tc>
          <w:tcPr>
            <w:tcW w:w="948" w:type="dxa"/>
            <w:tcBorders>
              <w:top w:val="single" w:sz="4" w:space="0" w:color="A6A6A6" w:themeColor="accent5"/>
            </w:tcBorders>
            <w:tcMar>
              <w:right w:w="113" w:type="dxa"/>
            </w:tcMar>
            <w:hideMark/>
          </w:tcPr>
          <w:p w14:paraId="0BA05D56" w14:textId="77777777" w:rsidR="00F844B4" w:rsidRPr="00DC2A3C" w:rsidRDefault="00F844B4" w:rsidP="00074625">
            <w:pPr>
              <w:pStyle w:val="ARtabletextright"/>
            </w:pPr>
            <w:r w:rsidRPr="00DC2A3C">
              <w:t>0</w:t>
            </w:r>
          </w:p>
        </w:tc>
        <w:tc>
          <w:tcPr>
            <w:tcW w:w="956" w:type="dxa"/>
            <w:tcBorders>
              <w:top w:val="single" w:sz="4" w:space="0" w:color="A6A6A6" w:themeColor="accent5"/>
            </w:tcBorders>
            <w:tcMar>
              <w:right w:w="113" w:type="dxa"/>
            </w:tcMar>
            <w:hideMark/>
          </w:tcPr>
          <w:p w14:paraId="22296125" w14:textId="77777777" w:rsidR="00F844B4" w:rsidRPr="00DC2A3C" w:rsidRDefault="00F844B4" w:rsidP="00074625">
            <w:pPr>
              <w:pStyle w:val="ARtabletextright"/>
            </w:pPr>
            <w:r w:rsidRPr="00DC2A3C">
              <w:t>0</w:t>
            </w:r>
          </w:p>
        </w:tc>
        <w:tc>
          <w:tcPr>
            <w:tcW w:w="956" w:type="dxa"/>
            <w:tcBorders>
              <w:top w:val="single" w:sz="4" w:space="0" w:color="A6A6A6" w:themeColor="accent5"/>
            </w:tcBorders>
            <w:shd w:val="clear" w:color="auto" w:fill="E7E6E6" w:themeFill="background2"/>
            <w:tcMar>
              <w:right w:w="113" w:type="dxa"/>
            </w:tcMar>
            <w:hideMark/>
          </w:tcPr>
          <w:p w14:paraId="2880850F" w14:textId="77777777" w:rsidR="00F844B4" w:rsidRPr="00DC2A3C" w:rsidRDefault="00F844B4" w:rsidP="00074625">
            <w:pPr>
              <w:pStyle w:val="ARtabletextright"/>
            </w:pPr>
            <w:r w:rsidRPr="00DC2A3C">
              <w:t>1</w:t>
            </w:r>
          </w:p>
        </w:tc>
        <w:tc>
          <w:tcPr>
            <w:tcW w:w="951" w:type="dxa"/>
            <w:tcBorders>
              <w:top w:val="single" w:sz="4" w:space="0" w:color="A6A6A6" w:themeColor="accent5"/>
            </w:tcBorders>
            <w:shd w:val="clear" w:color="auto" w:fill="E7E6E6" w:themeFill="background2"/>
            <w:tcMar>
              <w:right w:w="113" w:type="dxa"/>
            </w:tcMar>
            <w:hideMark/>
          </w:tcPr>
          <w:p w14:paraId="657D6843" w14:textId="77777777" w:rsidR="00F844B4" w:rsidRPr="00DC2A3C" w:rsidRDefault="00F844B4" w:rsidP="00074625">
            <w:pPr>
              <w:pStyle w:val="ARtabletextright"/>
            </w:pPr>
            <w:r w:rsidRPr="00DC2A3C">
              <w:t>0.58</w:t>
            </w:r>
          </w:p>
        </w:tc>
        <w:tc>
          <w:tcPr>
            <w:tcW w:w="956" w:type="dxa"/>
            <w:tcBorders>
              <w:top w:val="single" w:sz="4" w:space="0" w:color="A6A6A6" w:themeColor="accent5"/>
            </w:tcBorders>
            <w:tcMar>
              <w:right w:w="113" w:type="dxa"/>
            </w:tcMar>
            <w:hideMark/>
          </w:tcPr>
          <w:p w14:paraId="1715CE0D" w14:textId="77777777" w:rsidR="00F844B4" w:rsidRPr="00DC2A3C" w:rsidRDefault="00F844B4" w:rsidP="00074625">
            <w:pPr>
              <w:pStyle w:val="ARtabletextright"/>
            </w:pPr>
            <w:r w:rsidRPr="00DC2A3C">
              <w:t>32</w:t>
            </w:r>
          </w:p>
        </w:tc>
        <w:tc>
          <w:tcPr>
            <w:tcW w:w="786" w:type="dxa"/>
            <w:tcBorders>
              <w:top w:val="single" w:sz="4" w:space="0" w:color="A6A6A6" w:themeColor="accent5"/>
            </w:tcBorders>
            <w:tcMar>
              <w:right w:w="113" w:type="dxa"/>
            </w:tcMar>
            <w:hideMark/>
          </w:tcPr>
          <w:p w14:paraId="3A8E77EE" w14:textId="77777777" w:rsidR="00F844B4" w:rsidRPr="00DC2A3C" w:rsidRDefault="00F844B4" w:rsidP="00074625">
            <w:pPr>
              <w:pStyle w:val="ARtabletextright"/>
            </w:pPr>
            <w:r w:rsidRPr="00DC2A3C">
              <w:t>27.6</w:t>
            </w:r>
          </w:p>
        </w:tc>
        <w:tc>
          <w:tcPr>
            <w:tcW w:w="1120" w:type="dxa"/>
            <w:tcBorders>
              <w:top w:val="single" w:sz="4" w:space="0" w:color="A6A6A6" w:themeColor="accent5"/>
            </w:tcBorders>
            <w:shd w:val="clear" w:color="auto" w:fill="E7E6E6" w:themeFill="background2"/>
            <w:tcMar>
              <w:right w:w="113" w:type="dxa"/>
            </w:tcMar>
            <w:hideMark/>
          </w:tcPr>
          <w:p w14:paraId="069BA993" w14:textId="77777777" w:rsidR="00F844B4" w:rsidRPr="00DC2A3C" w:rsidRDefault="00F844B4" w:rsidP="00074625">
            <w:pPr>
              <w:pStyle w:val="ARtabletextright"/>
            </w:pPr>
            <w:r w:rsidRPr="00DC2A3C">
              <w:t>16</w:t>
            </w:r>
          </w:p>
        </w:tc>
        <w:tc>
          <w:tcPr>
            <w:tcW w:w="949" w:type="dxa"/>
            <w:tcBorders>
              <w:top w:val="single" w:sz="4" w:space="0" w:color="A6A6A6" w:themeColor="accent5"/>
            </w:tcBorders>
            <w:shd w:val="clear" w:color="auto" w:fill="E7E6E6" w:themeFill="background2"/>
            <w:tcMar>
              <w:right w:w="113" w:type="dxa"/>
            </w:tcMar>
            <w:hideMark/>
          </w:tcPr>
          <w:p w14:paraId="1CC52427" w14:textId="77777777" w:rsidR="00F844B4" w:rsidRPr="00DC2A3C" w:rsidRDefault="00F844B4" w:rsidP="00074625">
            <w:pPr>
              <w:pStyle w:val="ARtabletextright"/>
            </w:pPr>
            <w:r w:rsidRPr="00DC2A3C">
              <w:t>0</w:t>
            </w:r>
          </w:p>
        </w:tc>
        <w:tc>
          <w:tcPr>
            <w:tcW w:w="957" w:type="dxa"/>
            <w:tcBorders>
              <w:top w:val="single" w:sz="4" w:space="0" w:color="A6A6A6" w:themeColor="accent5"/>
            </w:tcBorders>
            <w:shd w:val="clear" w:color="auto" w:fill="E7E6E6" w:themeFill="background2"/>
            <w:tcMar>
              <w:right w:w="113" w:type="dxa"/>
            </w:tcMar>
            <w:hideMark/>
          </w:tcPr>
          <w:p w14:paraId="5208A50A" w14:textId="77777777" w:rsidR="00F844B4" w:rsidRPr="00DC2A3C" w:rsidRDefault="00F844B4" w:rsidP="00074625">
            <w:pPr>
              <w:pStyle w:val="ARtabletextright"/>
            </w:pPr>
            <w:r w:rsidRPr="00DC2A3C">
              <w:t>16</w:t>
            </w:r>
          </w:p>
        </w:tc>
        <w:tc>
          <w:tcPr>
            <w:tcW w:w="956" w:type="dxa"/>
            <w:tcBorders>
              <w:top w:val="single" w:sz="4" w:space="0" w:color="A6A6A6" w:themeColor="accent5"/>
            </w:tcBorders>
            <w:tcMar>
              <w:right w:w="113" w:type="dxa"/>
            </w:tcMar>
            <w:hideMark/>
          </w:tcPr>
          <w:p w14:paraId="30B0454E" w14:textId="77777777" w:rsidR="00F844B4" w:rsidRPr="00DC2A3C" w:rsidRDefault="00F844B4" w:rsidP="00074625">
            <w:pPr>
              <w:pStyle w:val="ARtabletextright"/>
            </w:pPr>
            <w:r w:rsidRPr="00DC2A3C">
              <w:t>16</w:t>
            </w:r>
          </w:p>
        </w:tc>
        <w:tc>
          <w:tcPr>
            <w:tcW w:w="957" w:type="dxa"/>
            <w:tcBorders>
              <w:top w:val="single" w:sz="4" w:space="0" w:color="A6A6A6" w:themeColor="accent5"/>
            </w:tcBorders>
            <w:tcMar>
              <w:right w:w="113" w:type="dxa"/>
            </w:tcMar>
            <w:hideMark/>
          </w:tcPr>
          <w:p w14:paraId="755F7E8D" w14:textId="77777777" w:rsidR="00F844B4" w:rsidRPr="00DC2A3C" w:rsidRDefault="00F844B4" w:rsidP="00074625">
            <w:pPr>
              <w:pStyle w:val="ARtabletextright"/>
            </w:pPr>
            <w:r w:rsidRPr="00DC2A3C">
              <w:t>11.6</w:t>
            </w:r>
          </w:p>
        </w:tc>
      </w:tr>
      <w:tr w:rsidR="008D68DC" w:rsidRPr="00DC2A3C" w14:paraId="0FD44428" w14:textId="77777777" w:rsidTr="00D119D2">
        <w:trPr>
          <w:cantSplit w:val="0"/>
          <w:trHeight w:val="300"/>
        </w:trPr>
        <w:tc>
          <w:tcPr>
            <w:tcW w:w="1087" w:type="dxa"/>
            <w:hideMark/>
          </w:tcPr>
          <w:p w14:paraId="2DF699F9" w14:textId="77777777" w:rsidR="00F844B4" w:rsidRPr="00DC2A3C" w:rsidRDefault="00F844B4" w:rsidP="00074625">
            <w:pPr>
              <w:pStyle w:val="ARtabletext"/>
            </w:pPr>
            <w:r w:rsidRPr="00DC2A3C">
              <w:t>CYF 2</w:t>
            </w:r>
          </w:p>
        </w:tc>
        <w:tc>
          <w:tcPr>
            <w:tcW w:w="954" w:type="dxa"/>
            <w:shd w:val="clear" w:color="auto" w:fill="E7E6E6" w:themeFill="background2"/>
            <w:tcMar>
              <w:right w:w="113" w:type="dxa"/>
            </w:tcMar>
            <w:hideMark/>
          </w:tcPr>
          <w:p w14:paraId="687DBE18" w14:textId="77777777" w:rsidR="00F844B4" w:rsidRPr="00DC2A3C" w:rsidRDefault="00F844B4" w:rsidP="00074625">
            <w:pPr>
              <w:pStyle w:val="ARtabletextright"/>
            </w:pPr>
            <w:r w:rsidRPr="00DC2A3C">
              <w:t>91</w:t>
            </w:r>
          </w:p>
        </w:tc>
        <w:tc>
          <w:tcPr>
            <w:tcW w:w="956" w:type="dxa"/>
            <w:shd w:val="clear" w:color="auto" w:fill="E7E6E6" w:themeFill="background2"/>
            <w:tcMar>
              <w:right w:w="113" w:type="dxa"/>
            </w:tcMar>
            <w:hideMark/>
          </w:tcPr>
          <w:p w14:paraId="3AF29A5A" w14:textId="77777777" w:rsidR="00F844B4" w:rsidRPr="00DC2A3C" w:rsidRDefault="00F844B4" w:rsidP="00074625">
            <w:pPr>
              <w:pStyle w:val="ARtabletextright"/>
            </w:pPr>
            <w:r w:rsidRPr="00DC2A3C">
              <w:t>74.32</w:t>
            </w:r>
          </w:p>
        </w:tc>
        <w:tc>
          <w:tcPr>
            <w:tcW w:w="948" w:type="dxa"/>
            <w:tcMar>
              <w:right w:w="113" w:type="dxa"/>
            </w:tcMar>
            <w:hideMark/>
          </w:tcPr>
          <w:p w14:paraId="08183D4D" w14:textId="77777777" w:rsidR="00F844B4" w:rsidRPr="00DC2A3C" w:rsidRDefault="00F844B4" w:rsidP="00074625">
            <w:pPr>
              <w:pStyle w:val="ARtabletextright"/>
            </w:pPr>
            <w:r w:rsidRPr="00DC2A3C">
              <w:t>46</w:t>
            </w:r>
          </w:p>
        </w:tc>
        <w:tc>
          <w:tcPr>
            <w:tcW w:w="948" w:type="dxa"/>
            <w:tcMar>
              <w:right w:w="113" w:type="dxa"/>
            </w:tcMar>
            <w:hideMark/>
          </w:tcPr>
          <w:p w14:paraId="24F454D8" w14:textId="77777777" w:rsidR="00F844B4" w:rsidRPr="00DC2A3C" w:rsidRDefault="00F844B4" w:rsidP="00074625">
            <w:pPr>
              <w:pStyle w:val="ARtabletextright"/>
            </w:pPr>
            <w:r w:rsidRPr="00DC2A3C">
              <w:t>10</w:t>
            </w:r>
          </w:p>
        </w:tc>
        <w:tc>
          <w:tcPr>
            <w:tcW w:w="956" w:type="dxa"/>
            <w:tcMar>
              <w:right w:w="113" w:type="dxa"/>
            </w:tcMar>
            <w:hideMark/>
          </w:tcPr>
          <w:p w14:paraId="4C6799D7" w14:textId="77777777" w:rsidR="00F844B4" w:rsidRPr="00DC2A3C" w:rsidRDefault="00F844B4" w:rsidP="00074625">
            <w:pPr>
              <w:pStyle w:val="ARtabletextright"/>
            </w:pPr>
            <w:r w:rsidRPr="00DC2A3C">
              <w:t>52.33</w:t>
            </w:r>
          </w:p>
        </w:tc>
        <w:tc>
          <w:tcPr>
            <w:tcW w:w="956" w:type="dxa"/>
            <w:shd w:val="clear" w:color="auto" w:fill="E7E6E6" w:themeFill="background2"/>
            <w:tcMar>
              <w:right w:w="113" w:type="dxa"/>
            </w:tcMar>
            <w:hideMark/>
          </w:tcPr>
          <w:p w14:paraId="3D85AFDD" w14:textId="77777777" w:rsidR="00F844B4" w:rsidRPr="00DC2A3C" w:rsidRDefault="00F844B4" w:rsidP="00074625">
            <w:pPr>
              <w:pStyle w:val="ARtabletextright"/>
            </w:pPr>
            <w:r w:rsidRPr="00DC2A3C">
              <w:t>35</w:t>
            </w:r>
          </w:p>
        </w:tc>
        <w:tc>
          <w:tcPr>
            <w:tcW w:w="951" w:type="dxa"/>
            <w:shd w:val="clear" w:color="auto" w:fill="E7E6E6" w:themeFill="background2"/>
            <w:tcMar>
              <w:right w:w="113" w:type="dxa"/>
            </w:tcMar>
            <w:hideMark/>
          </w:tcPr>
          <w:p w14:paraId="4CB87432" w14:textId="77777777" w:rsidR="00F844B4" w:rsidRPr="00DC2A3C" w:rsidRDefault="00F844B4" w:rsidP="00074625">
            <w:pPr>
              <w:pStyle w:val="ARtabletextright"/>
            </w:pPr>
            <w:r w:rsidRPr="00DC2A3C">
              <w:t>21.99</w:t>
            </w:r>
          </w:p>
        </w:tc>
        <w:tc>
          <w:tcPr>
            <w:tcW w:w="956" w:type="dxa"/>
            <w:tcMar>
              <w:right w:w="113" w:type="dxa"/>
            </w:tcMar>
            <w:hideMark/>
          </w:tcPr>
          <w:p w14:paraId="5B4E83DF" w14:textId="77777777" w:rsidR="00F844B4" w:rsidRPr="00DC2A3C" w:rsidRDefault="00F844B4" w:rsidP="00074625">
            <w:pPr>
              <w:pStyle w:val="ARtabletextright"/>
            </w:pPr>
            <w:r w:rsidRPr="00DC2A3C">
              <w:t>43</w:t>
            </w:r>
          </w:p>
        </w:tc>
        <w:tc>
          <w:tcPr>
            <w:tcW w:w="786" w:type="dxa"/>
            <w:tcMar>
              <w:right w:w="113" w:type="dxa"/>
            </w:tcMar>
            <w:hideMark/>
          </w:tcPr>
          <w:p w14:paraId="6E25D674" w14:textId="77777777" w:rsidR="00F844B4" w:rsidRPr="00DC2A3C" w:rsidRDefault="00F844B4" w:rsidP="00074625">
            <w:pPr>
              <w:pStyle w:val="ARtabletextright"/>
            </w:pPr>
            <w:r w:rsidRPr="00DC2A3C">
              <w:t>36.1</w:t>
            </w:r>
          </w:p>
        </w:tc>
        <w:tc>
          <w:tcPr>
            <w:tcW w:w="1120" w:type="dxa"/>
            <w:shd w:val="clear" w:color="auto" w:fill="E7E6E6" w:themeFill="background2"/>
            <w:tcMar>
              <w:right w:w="113" w:type="dxa"/>
            </w:tcMar>
            <w:hideMark/>
          </w:tcPr>
          <w:p w14:paraId="3CA1152E" w14:textId="77777777" w:rsidR="00F844B4" w:rsidRPr="00DC2A3C" w:rsidRDefault="00F844B4" w:rsidP="00074625">
            <w:pPr>
              <w:pStyle w:val="ARtabletextright"/>
            </w:pPr>
            <w:r w:rsidRPr="00DC2A3C">
              <w:t>11</w:t>
            </w:r>
          </w:p>
        </w:tc>
        <w:tc>
          <w:tcPr>
            <w:tcW w:w="949" w:type="dxa"/>
            <w:shd w:val="clear" w:color="auto" w:fill="E7E6E6" w:themeFill="background2"/>
            <w:tcMar>
              <w:right w:w="113" w:type="dxa"/>
            </w:tcMar>
            <w:hideMark/>
          </w:tcPr>
          <w:p w14:paraId="0AB65510" w14:textId="77777777" w:rsidR="00F844B4" w:rsidRPr="00DC2A3C" w:rsidRDefault="00F844B4" w:rsidP="00074625">
            <w:pPr>
              <w:pStyle w:val="ARtabletextright"/>
            </w:pPr>
            <w:r w:rsidRPr="00DC2A3C">
              <w:t>9</w:t>
            </w:r>
          </w:p>
        </w:tc>
        <w:tc>
          <w:tcPr>
            <w:tcW w:w="957" w:type="dxa"/>
            <w:shd w:val="clear" w:color="auto" w:fill="E7E6E6" w:themeFill="background2"/>
            <w:tcMar>
              <w:right w:w="113" w:type="dxa"/>
            </w:tcMar>
            <w:hideMark/>
          </w:tcPr>
          <w:p w14:paraId="0FEA0801" w14:textId="77777777" w:rsidR="00F844B4" w:rsidRPr="00DC2A3C" w:rsidRDefault="00F844B4" w:rsidP="00074625">
            <w:pPr>
              <w:pStyle w:val="ARtabletextright"/>
            </w:pPr>
            <w:r w:rsidRPr="00DC2A3C">
              <w:t>17</w:t>
            </w:r>
          </w:p>
        </w:tc>
        <w:tc>
          <w:tcPr>
            <w:tcW w:w="956" w:type="dxa"/>
            <w:tcMar>
              <w:right w:w="113" w:type="dxa"/>
            </w:tcMar>
            <w:hideMark/>
          </w:tcPr>
          <w:p w14:paraId="2041C2E4" w14:textId="77777777" w:rsidR="00F844B4" w:rsidRPr="00DC2A3C" w:rsidRDefault="00F844B4" w:rsidP="00074625">
            <w:pPr>
              <w:pStyle w:val="ARtabletextright"/>
            </w:pPr>
            <w:r w:rsidRPr="00DC2A3C">
              <w:t>23</w:t>
            </w:r>
          </w:p>
        </w:tc>
        <w:tc>
          <w:tcPr>
            <w:tcW w:w="957" w:type="dxa"/>
            <w:tcMar>
              <w:right w:w="113" w:type="dxa"/>
            </w:tcMar>
            <w:hideMark/>
          </w:tcPr>
          <w:p w14:paraId="15DE64F8" w14:textId="77777777" w:rsidR="00F844B4" w:rsidRPr="00DC2A3C" w:rsidRDefault="00F844B4" w:rsidP="00074625">
            <w:pPr>
              <w:pStyle w:val="ARtabletextright"/>
            </w:pPr>
            <w:r w:rsidRPr="00DC2A3C">
              <w:t>19.1</w:t>
            </w:r>
          </w:p>
        </w:tc>
      </w:tr>
      <w:tr w:rsidR="008D68DC" w:rsidRPr="00DC2A3C" w14:paraId="222730DC" w14:textId="77777777" w:rsidTr="00D119D2">
        <w:trPr>
          <w:cantSplit w:val="0"/>
          <w:trHeight w:val="300"/>
        </w:trPr>
        <w:tc>
          <w:tcPr>
            <w:tcW w:w="1087" w:type="dxa"/>
            <w:hideMark/>
          </w:tcPr>
          <w:p w14:paraId="5D475FA3" w14:textId="77777777" w:rsidR="00F844B4" w:rsidRPr="00DC2A3C" w:rsidRDefault="00F844B4" w:rsidP="00074625">
            <w:pPr>
              <w:pStyle w:val="ARtabletext"/>
            </w:pPr>
            <w:r w:rsidRPr="00DC2A3C">
              <w:t>CYF 3</w:t>
            </w:r>
          </w:p>
        </w:tc>
        <w:tc>
          <w:tcPr>
            <w:tcW w:w="954" w:type="dxa"/>
            <w:shd w:val="clear" w:color="auto" w:fill="E7E6E6" w:themeFill="background2"/>
            <w:tcMar>
              <w:right w:w="113" w:type="dxa"/>
            </w:tcMar>
            <w:hideMark/>
          </w:tcPr>
          <w:p w14:paraId="162CD765" w14:textId="77777777" w:rsidR="00F844B4" w:rsidRPr="00DC2A3C" w:rsidRDefault="00F844B4" w:rsidP="00074625">
            <w:pPr>
              <w:pStyle w:val="ARtabletextright"/>
            </w:pPr>
            <w:r w:rsidRPr="00DC2A3C">
              <w:t>35</w:t>
            </w:r>
          </w:p>
        </w:tc>
        <w:tc>
          <w:tcPr>
            <w:tcW w:w="956" w:type="dxa"/>
            <w:shd w:val="clear" w:color="auto" w:fill="E7E6E6" w:themeFill="background2"/>
            <w:tcMar>
              <w:right w:w="113" w:type="dxa"/>
            </w:tcMar>
            <w:hideMark/>
          </w:tcPr>
          <w:p w14:paraId="514FF5BD" w14:textId="77777777" w:rsidR="00F844B4" w:rsidRPr="00DC2A3C" w:rsidRDefault="00F844B4" w:rsidP="00074625">
            <w:pPr>
              <w:pStyle w:val="ARtabletextright"/>
            </w:pPr>
            <w:r w:rsidRPr="00DC2A3C">
              <w:t>32.52</w:t>
            </w:r>
          </w:p>
        </w:tc>
        <w:tc>
          <w:tcPr>
            <w:tcW w:w="948" w:type="dxa"/>
            <w:tcMar>
              <w:right w:w="113" w:type="dxa"/>
            </w:tcMar>
            <w:hideMark/>
          </w:tcPr>
          <w:p w14:paraId="03932868" w14:textId="77777777" w:rsidR="00F844B4" w:rsidRPr="00DC2A3C" w:rsidRDefault="00F844B4" w:rsidP="00074625">
            <w:pPr>
              <w:pStyle w:val="ARtabletextright"/>
            </w:pPr>
            <w:r w:rsidRPr="00DC2A3C">
              <w:t>24</w:t>
            </w:r>
          </w:p>
        </w:tc>
        <w:tc>
          <w:tcPr>
            <w:tcW w:w="948" w:type="dxa"/>
            <w:tcMar>
              <w:right w:w="113" w:type="dxa"/>
            </w:tcMar>
            <w:hideMark/>
          </w:tcPr>
          <w:p w14:paraId="3F81E1F7" w14:textId="77777777" w:rsidR="00F844B4" w:rsidRPr="00DC2A3C" w:rsidRDefault="00F844B4" w:rsidP="00074625">
            <w:pPr>
              <w:pStyle w:val="ARtabletextright"/>
            </w:pPr>
            <w:r w:rsidRPr="00DC2A3C">
              <w:t>8</w:t>
            </w:r>
          </w:p>
        </w:tc>
        <w:tc>
          <w:tcPr>
            <w:tcW w:w="956" w:type="dxa"/>
            <w:tcMar>
              <w:right w:w="113" w:type="dxa"/>
            </w:tcMar>
            <w:hideMark/>
          </w:tcPr>
          <w:p w14:paraId="74C6A5CE" w14:textId="77777777" w:rsidR="00F844B4" w:rsidRPr="00DC2A3C" w:rsidRDefault="00F844B4" w:rsidP="00074625">
            <w:pPr>
              <w:pStyle w:val="ARtabletextright"/>
            </w:pPr>
            <w:r w:rsidRPr="00DC2A3C">
              <w:t>29.52</w:t>
            </w:r>
          </w:p>
        </w:tc>
        <w:tc>
          <w:tcPr>
            <w:tcW w:w="956" w:type="dxa"/>
            <w:shd w:val="clear" w:color="auto" w:fill="E7E6E6" w:themeFill="background2"/>
            <w:tcMar>
              <w:right w:w="113" w:type="dxa"/>
            </w:tcMar>
            <w:hideMark/>
          </w:tcPr>
          <w:p w14:paraId="03D3D151" w14:textId="77777777" w:rsidR="00F844B4" w:rsidRPr="00DC2A3C" w:rsidRDefault="00F844B4" w:rsidP="00074625">
            <w:pPr>
              <w:pStyle w:val="ARtabletextright"/>
            </w:pPr>
            <w:r w:rsidRPr="00DC2A3C">
              <w:t>3</w:t>
            </w:r>
          </w:p>
        </w:tc>
        <w:tc>
          <w:tcPr>
            <w:tcW w:w="951" w:type="dxa"/>
            <w:shd w:val="clear" w:color="auto" w:fill="E7E6E6" w:themeFill="background2"/>
            <w:tcMar>
              <w:right w:w="113" w:type="dxa"/>
            </w:tcMar>
            <w:hideMark/>
          </w:tcPr>
          <w:p w14:paraId="7011BF1A" w14:textId="77777777" w:rsidR="00F844B4" w:rsidRPr="00DC2A3C" w:rsidRDefault="00F844B4" w:rsidP="00074625">
            <w:pPr>
              <w:pStyle w:val="ARtabletextright"/>
            </w:pPr>
            <w:r w:rsidRPr="00DC2A3C">
              <w:t>3</w:t>
            </w:r>
          </w:p>
        </w:tc>
        <w:tc>
          <w:tcPr>
            <w:tcW w:w="956" w:type="dxa"/>
            <w:tcMar>
              <w:right w:w="113" w:type="dxa"/>
            </w:tcMar>
            <w:hideMark/>
          </w:tcPr>
          <w:p w14:paraId="73DD4EDD" w14:textId="77777777" w:rsidR="00F844B4" w:rsidRPr="00DC2A3C" w:rsidRDefault="00F844B4" w:rsidP="00074625">
            <w:pPr>
              <w:pStyle w:val="ARtabletextright"/>
            </w:pPr>
            <w:r w:rsidRPr="00DC2A3C">
              <w:t>71</w:t>
            </w:r>
          </w:p>
        </w:tc>
        <w:tc>
          <w:tcPr>
            <w:tcW w:w="786" w:type="dxa"/>
            <w:tcMar>
              <w:right w:w="113" w:type="dxa"/>
            </w:tcMar>
            <w:hideMark/>
          </w:tcPr>
          <w:p w14:paraId="0C276F65" w14:textId="77777777" w:rsidR="00F844B4" w:rsidRPr="00DC2A3C" w:rsidRDefault="00F844B4" w:rsidP="00074625">
            <w:pPr>
              <w:pStyle w:val="ARtabletextright"/>
            </w:pPr>
            <w:r w:rsidRPr="00DC2A3C">
              <w:t>66.2</w:t>
            </w:r>
          </w:p>
        </w:tc>
        <w:tc>
          <w:tcPr>
            <w:tcW w:w="1120" w:type="dxa"/>
            <w:shd w:val="clear" w:color="auto" w:fill="E7E6E6" w:themeFill="background2"/>
            <w:tcMar>
              <w:right w:w="113" w:type="dxa"/>
            </w:tcMar>
            <w:hideMark/>
          </w:tcPr>
          <w:p w14:paraId="5FE939F3" w14:textId="77777777" w:rsidR="00F844B4" w:rsidRPr="00DC2A3C" w:rsidRDefault="00F844B4" w:rsidP="00074625">
            <w:pPr>
              <w:pStyle w:val="ARtabletextright"/>
            </w:pPr>
            <w:r w:rsidRPr="00DC2A3C">
              <w:t>42</w:t>
            </w:r>
          </w:p>
        </w:tc>
        <w:tc>
          <w:tcPr>
            <w:tcW w:w="949" w:type="dxa"/>
            <w:shd w:val="clear" w:color="auto" w:fill="E7E6E6" w:themeFill="background2"/>
            <w:tcMar>
              <w:right w:w="113" w:type="dxa"/>
            </w:tcMar>
            <w:hideMark/>
          </w:tcPr>
          <w:p w14:paraId="11610B54" w14:textId="77777777" w:rsidR="00F844B4" w:rsidRPr="00DC2A3C" w:rsidRDefault="00F844B4" w:rsidP="00074625">
            <w:pPr>
              <w:pStyle w:val="ARtabletextright"/>
            </w:pPr>
            <w:r w:rsidRPr="00DC2A3C">
              <w:t>15</w:t>
            </w:r>
          </w:p>
        </w:tc>
        <w:tc>
          <w:tcPr>
            <w:tcW w:w="957" w:type="dxa"/>
            <w:shd w:val="clear" w:color="auto" w:fill="E7E6E6" w:themeFill="background2"/>
            <w:tcMar>
              <w:right w:w="113" w:type="dxa"/>
            </w:tcMar>
            <w:hideMark/>
          </w:tcPr>
          <w:p w14:paraId="52FC4625" w14:textId="77777777" w:rsidR="00F844B4" w:rsidRPr="00DC2A3C" w:rsidRDefault="00F844B4" w:rsidP="00074625">
            <w:pPr>
              <w:pStyle w:val="ARtabletextright"/>
            </w:pPr>
            <w:r w:rsidRPr="00DC2A3C">
              <w:t>52.2</w:t>
            </w:r>
          </w:p>
        </w:tc>
        <w:tc>
          <w:tcPr>
            <w:tcW w:w="956" w:type="dxa"/>
            <w:tcMar>
              <w:right w:w="113" w:type="dxa"/>
            </w:tcMar>
            <w:hideMark/>
          </w:tcPr>
          <w:p w14:paraId="331BCEDC" w14:textId="77777777" w:rsidR="00F844B4" w:rsidRPr="00DC2A3C" w:rsidRDefault="00F844B4" w:rsidP="00074625">
            <w:pPr>
              <w:pStyle w:val="ARtabletextright"/>
            </w:pPr>
            <w:r w:rsidRPr="00DC2A3C">
              <w:t>14</w:t>
            </w:r>
          </w:p>
        </w:tc>
        <w:tc>
          <w:tcPr>
            <w:tcW w:w="957" w:type="dxa"/>
            <w:tcMar>
              <w:right w:w="113" w:type="dxa"/>
            </w:tcMar>
            <w:hideMark/>
          </w:tcPr>
          <w:p w14:paraId="4CDBAA75" w14:textId="77777777" w:rsidR="00F844B4" w:rsidRPr="00DC2A3C" w:rsidRDefault="00F844B4" w:rsidP="00074625">
            <w:pPr>
              <w:pStyle w:val="ARtabletextright"/>
            </w:pPr>
            <w:r w:rsidRPr="00DC2A3C">
              <w:t>14</w:t>
            </w:r>
          </w:p>
        </w:tc>
      </w:tr>
      <w:tr w:rsidR="008D68DC" w:rsidRPr="00DC2A3C" w14:paraId="54AE64E0" w14:textId="77777777" w:rsidTr="00D119D2">
        <w:trPr>
          <w:cantSplit w:val="0"/>
          <w:trHeight w:val="300"/>
        </w:trPr>
        <w:tc>
          <w:tcPr>
            <w:tcW w:w="1087" w:type="dxa"/>
            <w:hideMark/>
          </w:tcPr>
          <w:p w14:paraId="548A200B" w14:textId="77777777" w:rsidR="00F844B4" w:rsidRPr="00DC2A3C" w:rsidRDefault="00F844B4" w:rsidP="00074625">
            <w:pPr>
              <w:pStyle w:val="ARtabletext"/>
            </w:pPr>
            <w:r w:rsidRPr="00DC2A3C">
              <w:t>CYF 4</w:t>
            </w:r>
          </w:p>
        </w:tc>
        <w:tc>
          <w:tcPr>
            <w:tcW w:w="954" w:type="dxa"/>
            <w:shd w:val="clear" w:color="auto" w:fill="E7E6E6" w:themeFill="background2"/>
            <w:tcMar>
              <w:right w:w="113" w:type="dxa"/>
            </w:tcMar>
            <w:hideMark/>
          </w:tcPr>
          <w:p w14:paraId="51FC21B5" w14:textId="77777777" w:rsidR="00F844B4" w:rsidRPr="00DC2A3C" w:rsidRDefault="00F844B4" w:rsidP="00074625">
            <w:pPr>
              <w:pStyle w:val="ARtabletextright"/>
            </w:pPr>
            <w:r w:rsidRPr="00DC2A3C">
              <w:t>100</w:t>
            </w:r>
          </w:p>
        </w:tc>
        <w:tc>
          <w:tcPr>
            <w:tcW w:w="956" w:type="dxa"/>
            <w:shd w:val="clear" w:color="auto" w:fill="E7E6E6" w:themeFill="background2"/>
            <w:tcMar>
              <w:right w:w="113" w:type="dxa"/>
            </w:tcMar>
            <w:hideMark/>
          </w:tcPr>
          <w:p w14:paraId="50A6032E" w14:textId="77777777" w:rsidR="00F844B4" w:rsidRPr="00DC2A3C" w:rsidRDefault="00F844B4" w:rsidP="00074625">
            <w:pPr>
              <w:pStyle w:val="ARtabletextright"/>
            </w:pPr>
            <w:r w:rsidRPr="00DC2A3C">
              <w:t>94.91</w:t>
            </w:r>
          </w:p>
        </w:tc>
        <w:tc>
          <w:tcPr>
            <w:tcW w:w="948" w:type="dxa"/>
            <w:tcMar>
              <w:right w:w="113" w:type="dxa"/>
            </w:tcMar>
            <w:hideMark/>
          </w:tcPr>
          <w:p w14:paraId="0BD4E12B" w14:textId="77777777" w:rsidR="00F844B4" w:rsidRPr="00DC2A3C" w:rsidRDefault="00F844B4" w:rsidP="00074625">
            <w:pPr>
              <w:pStyle w:val="ARtabletextright"/>
            </w:pPr>
            <w:r w:rsidRPr="00DC2A3C">
              <w:t>71</w:t>
            </w:r>
          </w:p>
        </w:tc>
        <w:tc>
          <w:tcPr>
            <w:tcW w:w="948" w:type="dxa"/>
            <w:tcMar>
              <w:right w:w="113" w:type="dxa"/>
            </w:tcMar>
            <w:hideMark/>
          </w:tcPr>
          <w:p w14:paraId="00CEDFDA" w14:textId="77777777" w:rsidR="00F844B4" w:rsidRPr="00DC2A3C" w:rsidRDefault="00F844B4" w:rsidP="00074625">
            <w:pPr>
              <w:pStyle w:val="ARtabletextright"/>
            </w:pPr>
            <w:r w:rsidRPr="00DC2A3C">
              <w:t>12</w:t>
            </w:r>
          </w:p>
        </w:tc>
        <w:tc>
          <w:tcPr>
            <w:tcW w:w="956" w:type="dxa"/>
            <w:tcMar>
              <w:right w:w="113" w:type="dxa"/>
            </w:tcMar>
            <w:hideMark/>
          </w:tcPr>
          <w:p w14:paraId="1B6E6EA3" w14:textId="77777777" w:rsidR="00F844B4" w:rsidRPr="00DC2A3C" w:rsidRDefault="00F844B4" w:rsidP="00074625">
            <w:pPr>
              <w:pStyle w:val="ARtabletextright"/>
            </w:pPr>
            <w:r w:rsidRPr="00DC2A3C">
              <w:t>78.61</w:t>
            </w:r>
          </w:p>
        </w:tc>
        <w:tc>
          <w:tcPr>
            <w:tcW w:w="956" w:type="dxa"/>
            <w:shd w:val="clear" w:color="auto" w:fill="E7E6E6" w:themeFill="background2"/>
            <w:tcMar>
              <w:right w:w="113" w:type="dxa"/>
            </w:tcMar>
            <w:hideMark/>
          </w:tcPr>
          <w:p w14:paraId="76971EC8" w14:textId="77777777" w:rsidR="00F844B4" w:rsidRPr="00DC2A3C" w:rsidRDefault="00F844B4" w:rsidP="00074625">
            <w:pPr>
              <w:pStyle w:val="ARtabletextright"/>
            </w:pPr>
            <w:r w:rsidRPr="00DC2A3C">
              <w:t>17</w:t>
            </w:r>
          </w:p>
        </w:tc>
        <w:tc>
          <w:tcPr>
            <w:tcW w:w="951" w:type="dxa"/>
            <w:shd w:val="clear" w:color="auto" w:fill="E7E6E6" w:themeFill="background2"/>
            <w:tcMar>
              <w:right w:w="113" w:type="dxa"/>
            </w:tcMar>
            <w:hideMark/>
          </w:tcPr>
          <w:p w14:paraId="1E84D382" w14:textId="77777777" w:rsidR="00F844B4" w:rsidRPr="00DC2A3C" w:rsidRDefault="00F844B4" w:rsidP="00074625">
            <w:pPr>
              <w:pStyle w:val="ARtabletextright"/>
            </w:pPr>
            <w:r w:rsidRPr="00DC2A3C">
              <w:t>16.3</w:t>
            </w:r>
          </w:p>
        </w:tc>
        <w:tc>
          <w:tcPr>
            <w:tcW w:w="956" w:type="dxa"/>
            <w:tcMar>
              <w:right w:w="113" w:type="dxa"/>
            </w:tcMar>
            <w:hideMark/>
          </w:tcPr>
          <w:p w14:paraId="68B2F339" w14:textId="77777777" w:rsidR="00F844B4" w:rsidRPr="00DC2A3C" w:rsidRDefault="00F844B4" w:rsidP="00074625">
            <w:pPr>
              <w:pStyle w:val="ARtabletextright"/>
            </w:pPr>
            <w:r w:rsidRPr="00DC2A3C">
              <w:t>58</w:t>
            </w:r>
          </w:p>
        </w:tc>
        <w:tc>
          <w:tcPr>
            <w:tcW w:w="786" w:type="dxa"/>
            <w:tcMar>
              <w:right w:w="113" w:type="dxa"/>
            </w:tcMar>
            <w:hideMark/>
          </w:tcPr>
          <w:p w14:paraId="3429B91C" w14:textId="77777777" w:rsidR="00F844B4" w:rsidRPr="00DC2A3C" w:rsidRDefault="00F844B4" w:rsidP="00074625">
            <w:pPr>
              <w:pStyle w:val="ARtabletextright"/>
            </w:pPr>
            <w:r w:rsidRPr="00DC2A3C">
              <w:t>55.2</w:t>
            </w:r>
          </w:p>
        </w:tc>
        <w:tc>
          <w:tcPr>
            <w:tcW w:w="1120" w:type="dxa"/>
            <w:shd w:val="clear" w:color="auto" w:fill="E7E6E6" w:themeFill="background2"/>
            <w:tcMar>
              <w:right w:w="113" w:type="dxa"/>
            </w:tcMar>
            <w:hideMark/>
          </w:tcPr>
          <w:p w14:paraId="3FAF3420" w14:textId="77777777" w:rsidR="00F844B4" w:rsidRPr="00DC2A3C" w:rsidRDefault="00F844B4" w:rsidP="00074625">
            <w:pPr>
              <w:pStyle w:val="ARtabletextright"/>
            </w:pPr>
            <w:r w:rsidRPr="00DC2A3C">
              <w:t>40</w:t>
            </w:r>
          </w:p>
        </w:tc>
        <w:tc>
          <w:tcPr>
            <w:tcW w:w="949" w:type="dxa"/>
            <w:shd w:val="clear" w:color="auto" w:fill="E7E6E6" w:themeFill="background2"/>
            <w:tcMar>
              <w:right w:w="113" w:type="dxa"/>
            </w:tcMar>
            <w:hideMark/>
          </w:tcPr>
          <w:p w14:paraId="3F6F7802" w14:textId="77777777" w:rsidR="00F844B4" w:rsidRPr="00DC2A3C" w:rsidRDefault="00F844B4" w:rsidP="00074625">
            <w:pPr>
              <w:pStyle w:val="ARtabletextright"/>
            </w:pPr>
            <w:r w:rsidRPr="00DC2A3C">
              <w:t>9</w:t>
            </w:r>
          </w:p>
        </w:tc>
        <w:tc>
          <w:tcPr>
            <w:tcW w:w="957" w:type="dxa"/>
            <w:shd w:val="clear" w:color="auto" w:fill="E7E6E6" w:themeFill="background2"/>
            <w:tcMar>
              <w:right w:w="113" w:type="dxa"/>
            </w:tcMar>
            <w:hideMark/>
          </w:tcPr>
          <w:p w14:paraId="325BAA09" w14:textId="77777777" w:rsidR="00F844B4" w:rsidRPr="00DC2A3C" w:rsidRDefault="00F844B4" w:rsidP="00074625">
            <w:pPr>
              <w:pStyle w:val="ARtabletextright"/>
            </w:pPr>
            <w:r w:rsidRPr="00DC2A3C">
              <w:t>46.3</w:t>
            </w:r>
          </w:p>
        </w:tc>
        <w:tc>
          <w:tcPr>
            <w:tcW w:w="956" w:type="dxa"/>
            <w:tcMar>
              <w:right w:w="113" w:type="dxa"/>
            </w:tcMar>
            <w:hideMark/>
          </w:tcPr>
          <w:p w14:paraId="0196F5C9" w14:textId="77777777" w:rsidR="00F844B4" w:rsidRPr="00DC2A3C" w:rsidRDefault="00F844B4" w:rsidP="00074625">
            <w:pPr>
              <w:pStyle w:val="ARtabletextright"/>
            </w:pPr>
            <w:r w:rsidRPr="00DC2A3C">
              <w:t>9</w:t>
            </w:r>
          </w:p>
        </w:tc>
        <w:tc>
          <w:tcPr>
            <w:tcW w:w="957" w:type="dxa"/>
            <w:tcMar>
              <w:right w:w="113" w:type="dxa"/>
            </w:tcMar>
            <w:hideMark/>
          </w:tcPr>
          <w:p w14:paraId="175FE3AF" w14:textId="77777777" w:rsidR="00F844B4" w:rsidRPr="00DC2A3C" w:rsidRDefault="00F844B4" w:rsidP="00074625">
            <w:pPr>
              <w:pStyle w:val="ARtabletextright"/>
            </w:pPr>
            <w:r w:rsidRPr="00DC2A3C">
              <w:t>8.9</w:t>
            </w:r>
          </w:p>
        </w:tc>
      </w:tr>
      <w:tr w:rsidR="008D68DC" w:rsidRPr="00DC2A3C" w14:paraId="34DA2D90" w14:textId="77777777" w:rsidTr="00D119D2">
        <w:trPr>
          <w:cantSplit w:val="0"/>
          <w:trHeight w:val="300"/>
        </w:trPr>
        <w:tc>
          <w:tcPr>
            <w:tcW w:w="1087" w:type="dxa"/>
            <w:tcBorders>
              <w:bottom w:val="single" w:sz="4" w:space="0" w:color="A6A6A6" w:themeColor="accent5"/>
            </w:tcBorders>
            <w:hideMark/>
          </w:tcPr>
          <w:p w14:paraId="4160C279" w14:textId="77777777" w:rsidR="00F844B4" w:rsidRPr="00DC2A3C" w:rsidRDefault="00F844B4" w:rsidP="00074625">
            <w:pPr>
              <w:pStyle w:val="ARtabletext"/>
            </w:pPr>
            <w:r w:rsidRPr="00DC2A3C">
              <w:t>CYF 5</w:t>
            </w:r>
          </w:p>
        </w:tc>
        <w:tc>
          <w:tcPr>
            <w:tcW w:w="954" w:type="dxa"/>
            <w:tcBorders>
              <w:bottom w:val="single" w:sz="4" w:space="0" w:color="A6A6A6" w:themeColor="accent5"/>
            </w:tcBorders>
            <w:shd w:val="clear" w:color="auto" w:fill="E7E6E6" w:themeFill="background2"/>
            <w:tcMar>
              <w:right w:w="113" w:type="dxa"/>
            </w:tcMar>
            <w:hideMark/>
          </w:tcPr>
          <w:p w14:paraId="38117D11" w14:textId="77777777" w:rsidR="00F844B4" w:rsidRPr="00DC2A3C" w:rsidRDefault="00F844B4" w:rsidP="00074625">
            <w:pPr>
              <w:pStyle w:val="ARtabletextright"/>
            </w:pPr>
            <w:r w:rsidRPr="00DC2A3C">
              <w:t>102</w:t>
            </w:r>
          </w:p>
        </w:tc>
        <w:tc>
          <w:tcPr>
            <w:tcW w:w="956" w:type="dxa"/>
            <w:tcBorders>
              <w:bottom w:val="single" w:sz="4" w:space="0" w:color="A6A6A6" w:themeColor="accent5"/>
            </w:tcBorders>
            <w:shd w:val="clear" w:color="auto" w:fill="E7E6E6" w:themeFill="background2"/>
            <w:tcMar>
              <w:right w:w="113" w:type="dxa"/>
            </w:tcMar>
            <w:hideMark/>
          </w:tcPr>
          <w:p w14:paraId="11F7B83D" w14:textId="77777777" w:rsidR="00F844B4" w:rsidRPr="00DC2A3C" w:rsidRDefault="00F844B4" w:rsidP="00074625">
            <w:pPr>
              <w:pStyle w:val="ARtabletextright"/>
            </w:pPr>
            <w:r w:rsidRPr="00DC2A3C">
              <w:t>97.08</w:t>
            </w:r>
          </w:p>
        </w:tc>
        <w:tc>
          <w:tcPr>
            <w:tcW w:w="948" w:type="dxa"/>
            <w:tcBorders>
              <w:bottom w:val="single" w:sz="4" w:space="0" w:color="A6A6A6" w:themeColor="accent5"/>
            </w:tcBorders>
            <w:tcMar>
              <w:right w:w="113" w:type="dxa"/>
            </w:tcMar>
            <w:hideMark/>
          </w:tcPr>
          <w:p w14:paraId="6763C570" w14:textId="77777777" w:rsidR="00F844B4" w:rsidRPr="00DC2A3C" w:rsidRDefault="00F844B4" w:rsidP="00074625">
            <w:pPr>
              <w:pStyle w:val="ARtabletextright"/>
            </w:pPr>
            <w:r w:rsidRPr="00DC2A3C">
              <w:t>62</w:t>
            </w:r>
          </w:p>
        </w:tc>
        <w:tc>
          <w:tcPr>
            <w:tcW w:w="948" w:type="dxa"/>
            <w:tcBorders>
              <w:bottom w:val="single" w:sz="4" w:space="0" w:color="A6A6A6" w:themeColor="accent5"/>
            </w:tcBorders>
            <w:tcMar>
              <w:right w:w="113" w:type="dxa"/>
            </w:tcMar>
            <w:hideMark/>
          </w:tcPr>
          <w:p w14:paraId="799A4C40" w14:textId="77777777" w:rsidR="00F844B4" w:rsidRPr="00DC2A3C" w:rsidRDefault="00F844B4" w:rsidP="00074625">
            <w:pPr>
              <w:pStyle w:val="ARtabletextright"/>
            </w:pPr>
            <w:r w:rsidRPr="00DC2A3C">
              <w:t>12</w:t>
            </w:r>
          </w:p>
        </w:tc>
        <w:tc>
          <w:tcPr>
            <w:tcW w:w="956" w:type="dxa"/>
            <w:tcBorders>
              <w:bottom w:val="single" w:sz="4" w:space="0" w:color="A6A6A6" w:themeColor="accent5"/>
            </w:tcBorders>
            <w:tcMar>
              <w:right w:w="113" w:type="dxa"/>
            </w:tcMar>
            <w:hideMark/>
          </w:tcPr>
          <w:p w14:paraId="2F6C290A" w14:textId="77777777" w:rsidR="00F844B4" w:rsidRPr="00DC2A3C" w:rsidRDefault="00F844B4" w:rsidP="00074625">
            <w:pPr>
              <w:pStyle w:val="ARtabletextright"/>
            </w:pPr>
            <w:r w:rsidRPr="00DC2A3C">
              <w:t>70.82</w:t>
            </w:r>
          </w:p>
        </w:tc>
        <w:tc>
          <w:tcPr>
            <w:tcW w:w="956" w:type="dxa"/>
            <w:tcBorders>
              <w:bottom w:val="single" w:sz="4" w:space="0" w:color="A6A6A6" w:themeColor="accent5"/>
            </w:tcBorders>
            <w:shd w:val="clear" w:color="auto" w:fill="E7E6E6" w:themeFill="background2"/>
            <w:tcMar>
              <w:right w:w="113" w:type="dxa"/>
            </w:tcMar>
            <w:hideMark/>
          </w:tcPr>
          <w:p w14:paraId="636F2CC9" w14:textId="77777777" w:rsidR="00F844B4" w:rsidRPr="00DC2A3C" w:rsidRDefault="00F844B4" w:rsidP="00074625">
            <w:pPr>
              <w:pStyle w:val="ARtabletextright"/>
            </w:pPr>
            <w:r w:rsidRPr="00DC2A3C">
              <w:t>28</w:t>
            </w:r>
          </w:p>
        </w:tc>
        <w:tc>
          <w:tcPr>
            <w:tcW w:w="951" w:type="dxa"/>
            <w:tcBorders>
              <w:bottom w:val="single" w:sz="4" w:space="0" w:color="A6A6A6" w:themeColor="accent5"/>
            </w:tcBorders>
            <w:shd w:val="clear" w:color="auto" w:fill="E7E6E6" w:themeFill="background2"/>
            <w:tcMar>
              <w:right w:w="113" w:type="dxa"/>
            </w:tcMar>
            <w:hideMark/>
          </w:tcPr>
          <w:p w14:paraId="3B161827" w14:textId="77777777" w:rsidR="00F844B4" w:rsidRPr="00DC2A3C" w:rsidRDefault="00F844B4" w:rsidP="00074625">
            <w:pPr>
              <w:pStyle w:val="ARtabletextright"/>
            </w:pPr>
            <w:r w:rsidRPr="00DC2A3C">
              <w:t>26.26</w:t>
            </w:r>
          </w:p>
        </w:tc>
        <w:tc>
          <w:tcPr>
            <w:tcW w:w="956" w:type="dxa"/>
            <w:tcBorders>
              <w:bottom w:val="single" w:sz="4" w:space="0" w:color="A6A6A6" w:themeColor="accent5"/>
            </w:tcBorders>
            <w:tcMar>
              <w:right w:w="113" w:type="dxa"/>
            </w:tcMar>
            <w:hideMark/>
          </w:tcPr>
          <w:p w14:paraId="59A950AE" w14:textId="77777777" w:rsidR="00F844B4" w:rsidRPr="00DC2A3C" w:rsidRDefault="00F844B4" w:rsidP="00074625">
            <w:pPr>
              <w:pStyle w:val="ARtabletextright"/>
            </w:pPr>
            <w:r w:rsidRPr="00DC2A3C">
              <w:t>82</w:t>
            </w:r>
          </w:p>
        </w:tc>
        <w:tc>
          <w:tcPr>
            <w:tcW w:w="786" w:type="dxa"/>
            <w:tcBorders>
              <w:bottom w:val="single" w:sz="4" w:space="0" w:color="A6A6A6" w:themeColor="accent5"/>
            </w:tcBorders>
            <w:tcMar>
              <w:right w:w="113" w:type="dxa"/>
            </w:tcMar>
            <w:hideMark/>
          </w:tcPr>
          <w:p w14:paraId="4F890C1C" w14:textId="77777777" w:rsidR="00F844B4" w:rsidRPr="00DC2A3C" w:rsidRDefault="00F844B4" w:rsidP="00074625">
            <w:pPr>
              <w:pStyle w:val="ARtabletextright"/>
            </w:pPr>
            <w:r w:rsidRPr="00DC2A3C">
              <w:t>78.9</w:t>
            </w:r>
          </w:p>
        </w:tc>
        <w:tc>
          <w:tcPr>
            <w:tcW w:w="1120" w:type="dxa"/>
            <w:tcBorders>
              <w:bottom w:val="single" w:sz="4" w:space="0" w:color="A6A6A6" w:themeColor="accent5"/>
            </w:tcBorders>
            <w:shd w:val="clear" w:color="auto" w:fill="E7E6E6" w:themeFill="background2"/>
            <w:tcMar>
              <w:right w:w="113" w:type="dxa"/>
            </w:tcMar>
            <w:hideMark/>
          </w:tcPr>
          <w:p w14:paraId="57A27366" w14:textId="77777777" w:rsidR="00F844B4" w:rsidRPr="00DC2A3C" w:rsidRDefault="00F844B4" w:rsidP="00074625">
            <w:pPr>
              <w:pStyle w:val="ARtabletextright"/>
            </w:pPr>
            <w:r w:rsidRPr="00DC2A3C">
              <w:t>56</w:t>
            </w:r>
          </w:p>
        </w:tc>
        <w:tc>
          <w:tcPr>
            <w:tcW w:w="949" w:type="dxa"/>
            <w:tcBorders>
              <w:bottom w:val="single" w:sz="4" w:space="0" w:color="A6A6A6" w:themeColor="accent5"/>
            </w:tcBorders>
            <w:shd w:val="clear" w:color="auto" w:fill="E7E6E6" w:themeFill="background2"/>
            <w:tcMar>
              <w:right w:w="113" w:type="dxa"/>
            </w:tcMar>
            <w:hideMark/>
          </w:tcPr>
          <w:p w14:paraId="0E31F91C" w14:textId="77777777" w:rsidR="00F844B4" w:rsidRPr="00DC2A3C" w:rsidRDefault="00F844B4" w:rsidP="00074625">
            <w:pPr>
              <w:pStyle w:val="ARtabletextright"/>
            </w:pPr>
            <w:r w:rsidRPr="00DC2A3C">
              <w:t>6</w:t>
            </w:r>
          </w:p>
        </w:tc>
        <w:tc>
          <w:tcPr>
            <w:tcW w:w="957" w:type="dxa"/>
            <w:tcBorders>
              <w:bottom w:val="single" w:sz="4" w:space="0" w:color="A6A6A6" w:themeColor="accent5"/>
            </w:tcBorders>
            <w:shd w:val="clear" w:color="auto" w:fill="E7E6E6" w:themeFill="background2"/>
            <w:tcMar>
              <w:right w:w="113" w:type="dxa"/>
            </w:tcMar>
            <w:hideMark/>
          </w:tcPr>
          <w:p w14:paraId="2E2E4D9D" w14:textId="77777777" w:rsidR="00F844B4" w:rsidRPr="00DC2A3C" w:rsidRDefault="00F844B4" w:rsidP="00074625">
            <w:pPr>
              <w:pStyle w:val="ARtabletextright"/>
            </w:pPr>
            <w:r w:rsidRPr="00DC2A3C">
              <w:t>59.9</w:t>
            </w:r>
          </w:p>
        </w:tc>
        <w:tc>
          <w:tcPr>
            <w:tcW w:w="956" w:type="dxa"/>
            <w:tcBorders>
              <w:bottom w:val="single" w:sz="4" w:space="0" w:color="A6A6A6" w:themeColor="accent5"/>
            </w:tcBorders>
            <w:tcMar>
              <w:right w:w="113" w:type="dxa"/>
            </w:tcMar>
            <w:hideMark/>
          </w:tcPr>
          <w:p w14:paraId="41643A7B" w14:textId="77777777" w:rsidR="00F844B4" w:rsidRPr="00DC2A3C" w:rsidRDefault="00F844B4" w:rsidP="00074625">
            <w:pPr>
              <w:pStyle w:val="ARtabletextright"/>
            </w:pPr>
            <w:r w:rsidRPr="00DC2A3C">
              <w:t>20</w:t>
            </w:r>
          </w:p>
        </w:tc>
        <w:tc>
          <w:tcPr>
            <w:tcW w:w="957" w:type="dxa"/>
            <w:tcBorders>
              <w:bottom w:val="single" w:sz="4" w:space="0" w:color="A6A6A6" w:themeColor="accent5"/>
            </w:tcBorders>
            <w:tcMar>
              <w:right w:w="113" w:type="dxa"/>
            </w:tcMar>
            <w:hideMark/>
          </w:tcPr>
          <w:p w14:paraId="3D244E3C" w14:textId="77777777" w:rsidR="00F844B4" w:rsidRPr="00DC2A3C" w:rsidRDefault="00F844B4" w:rsidP="00074625">
            <w:pPr>
              <w:pStyle w:val="ARtabletextright"/>
            </w:pPr>
            <w:r w:rsidRPr="00DC2A3C">
              <w:t>19</w:t>
            </w:r>
          </w:p>
        </w:tc>
      </w:tr>
      <w:tr w:rsidR="008D68DC" w:rsidRPr="00DC2A3C" w14:paraId="59FACFB0" w14:textId="77777777" w:rsidTr="00D119D2">
        <w:trPr>
          <w:cantSplit w:val="0"/>
          <w:trHeight w:val="300"/>
        </w:trPr>
        <w:tc>
          <w:tcPr>
            <w:tcW w:w="1087" w:type="dxa"/>
            <w:tcBorders>
              <w:top w:val="single" w:sz="4" w:space="0" w:color="A6A6A6" w:themeColor="accent5"/>
              <w:bottom w:val="single" w:sz="4" w:space="0" w:color="auto"/>
            </w:tcBorders>
            <w:hideMark/>
          </w:tcPr>
          <w:p w14:paraId="3112B804" w14:textId="77777777" w:rsidR="00F844B4" w:rsidRPr="00DC2A3C" w:rsidRDefault="00F844B4" w:rsidP="00074625">
            <w:pPr>
              <w:pStyle w:val="ARtabletext"/>
            </w:pPr>
            <w:r w:rsidRPr="00DC2A3C">
              <w:t>CYF 6</w:t>
            </w:r>
          </w:p>
        </w:tc>
        <w:tc>
          <w:tcPr>
            <w:tcW w:w="954" w:type="dxa"/>
            <w:tcBorders>
              <w:top w:val="single" w:sz="4" w:space="0" w:color="A6A6A6" w:themeColor="accent5"/>
              <w:bottom w:val="single" w:sz="4" w:space="0" w:color="auto"/>
            </w:tcBorders>
            <w:shd w:val="clear" w:color="auto" w:fill="E7E6E6" w:themeFill="background2"/>
            <w:tcMar>
              <w:right w:w="113" w:type="dxa"/>
            </w:tcMar>
            <w:hideMark/>
          </w:tcPr>
          <w:p w14:paraId="362A4EF7" w14:textId="77777777" w:rsidR="00F844B4" w:rsidRPr="00DC2A3C" w:rsidRDefault="00F844B4" w:rsidP="00074625">
            <w:pPr>
              <w:pStyle w:val="ARtabletextright"/>
            </w:pPr>
            <w:r w:rsidRPr="00DC2A3C">
              <w:t>12</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10242796" w14:textId="77777777" w:rsidR="00F844B4" w:rsidRPr="00DC2A3C" w:rsidRDefault="00F844B4" w:rsidP="00074625">
            <w:pPr>
              <w:pStyle w:val="ARtabletextright"/>
            </w:pPr>
            <w:r w:rsidRPr="00DC2A3C">
              <w:t>12</w:t>
            </w:r>
          </w:p>
        </w:tc>
        <w:tc>
          <w:tcPr>
            <w:tcW w:w="948" w:type="dxa"/>
            <w:tcBorders>
              <w:top w:val="single" w:sz="4" w:space="0" w:color="A6A6A6" w:themeColor="accent5"/>
              <w:bottom w:val="single" w:sz="4" w:space="0" w:color="auto"/>
            </w:tcBorders>
            <w:tcMar>
              <w:right w:w="113" w:type="dxa"/>
            </w:tcMar>
            <w:hideMark/>
          </w:tcPr>
          <w:p w14:paraId="560F4E67" w14:textId="77777777" w:rsidR="00F844B4" w:rsidRPr="00DC2A3C" w:rsidRDefault="00F844B4" w:rsidP="00074625">
            <w:pPr>
              <w:pStyle w:val="ARtabletextright"/>
            </w:pPr>
            <w:r w:rsidRPr="00DC2A3C">
              <w:t>12</w:t>
            </w:r>
          </w:p>
        </w:tc>
        <w:tc>
          <w:tcPr>
            <w:tcW w:w="948" w:type="dxa"/>
            <w:tcBorders>
              <w:top w:val="single" w:sz="4" w:space="0" w:color="A6A6A6" w:themeColor="accent5"/>
              <w:bottom w:val="single" w:sz="4" w:space="0" w:color="auto"/>
            </w:tcBorders>
            <w:tcMar>
              <w:right w:w="113" w:type="dxa"/>
            </w:tcMar>
            <w:hideMark/>
          </w:tcPr>
          <w:p w14:paraId="243FA601" w14:textId="77777777" w:rsidR="00F844B4" w:rsidRPr="00DC2A3C" w:rsidRDefault="00F844B4" w:rsidP="00074625">
            <w:pPr>
              <w:pStyle w:val="ARtabletextright"/>
            </w:pPr>
            <w:r w:rsidRPr="00DC2A3C">
              <w:t>0</w:t>
            </w:r>
          </w:p>
        </w:tc>
        <w:tc>
          <w:tcPr>
            <w:tcW w:w="956" w:type="dxa"/>
            <w:tcBorders>
              <w:top w:val="single" w:sz="4" w:space="0" w:color="A6A6A6" w:themeColor="accent5"/>
              <w:bottom w:val="single" w:sz="4" w:space="0" w:color="auto"/>
            </w:tcBorders>
            <w:tcMar>
              <w:right w:w="113" w:type="dxa"/>
            </w:tcMar>
            <w:hideMark/>
          </w:tcPr>
          <w:p w14:paraId="38D02D03" w14:textId="77777777" w:rsidR="00F844B4" w:rsidRPr="00DC2A3C" w:rsidRDefault="00F844B4" w:rsidP="00074625">
            <w:pPr>
              <w:pStyle w:val="ARtabletextright"/>
            </w:pPr>
            <w:r w:rsidRPr="00DC2A3C">
              <w:t>12</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255B8BDB" w14:textId="77777777" w:rsidR="00F844B4" w:rsidRPr="00DC2A3C" w:rsidRDefault="00F844B4" w:rsidP="00074625">
            <w:pPr>
              <w:pStyle w:val="ARtabletextright"/>
            </w:pPr>
            <w:r w:rsidRPr="00DC2A3C">
              <w:t>0</w:t>
            </w:r>
          </w:p>
        </w:tc>
        <w:tc>
          <w:tcPr>
            <w:tcW w:w="951" w:type="dxa"/>
            <w:tcBorders>
              <w:top w:val="single" w:sz="4" w:space="0" w:color="A6A6A6" w:themeColor="accent5"/>
              <w:bottom w:val="single" w:sz="4" w:space="0" w:color="auto"/>
            </w:tcBorders>
            <w:shd w:val="clear" w:color="auto" w:fill="E7E6E6" w:themeFill="background2"/>
            <w:tcMar>
              <w:right w:w="113" w:type="dxa"/>
            </w:tcMar>
            <w:hideMark/>
          </w:tcPr>
          <w:p w14:paraId="44111A23" w14:textId="77777777" w:rsidR="00F844B4" w:rsidRPr="00DC2A3C" w:rsidRDefault="00F844B4" w:rsidP="00074625">
            <w:pPr>
              <w:pStyle w:val="ARtabletextright"/>
            </w:pPr>
            <w:r w:rsidRPr="00DC2A3C">
              <w:t>0</w:t>
            </w:r>
          </w:p>
        </w:tc>
        <w:tc>
          <w:tcPr>
            <w:tcW w:w="956" w:type="dxa"/>
            <w:tcBorders>
              <w:top w:val="single" w:sz="4" w:space="0" w:color="A6A6A6" w:themeColor="accent5"/>
              <w:bottom w:val="single" w:sz="4" w:space="0" w:color="auto"/>
            </w:tcBorders>
            <w:tcMar>
              <w:right w:w="113" w:type="dxa"/>
            </w:tcMar>
            <w:hideMark/>
          </w:tcPr>
          <w:p w14:paraId="5F2498CA" w14:textId="77777777" w:rsidR="00F844B4" w:rsidRPr="00DC2A3C" w:rsidRDefault="00F844B4" w:rsidP="00074625">
            <w:pPr>
              <w:pStyle w:val="ARtabletextright"/>
            </w:pPr>
            <w:r w:rsidRPr="00DC2A3C">
              <w:t>9</w:t>
            </w:r>
          </w:p>
        </w:tc>
        <w:tc>
          <w:tcPr>
            <w:tcW w:w="786" w:type="dxa"/>
            <w:tcBorders>
              <w:top w:val="single" w:sz="4" w:space="0" w:color="A6A6A6" w:themeColor="accent5"/>
              <w:bottom w:val="single" w:sz="4" w:space="0" w:color="auto"/>
            </w:tcBorders>
            <w:tcMar>
              <w:right w:w="113" w:type="dxa"/>
            </w:tcMar>
            <w:hideMark/>
          </w:tcPr>
          <w:p w14:paraId="1A0662B0" w14:textId="77777777" w:rsidR="00F844B4" w:rsidRPr="00DC2A3C" w:rsidRDefault="00F844B4" w:rsidP="00074625">
            <w:pPr>
              <w:pStyle w:val="ARtabletextright"/>
            </w:pPr>
            <w:r w:rsidRPr="00DC2A3C">
              <w:t>9</w:t>
            </w:r>
          </w:p>
        </w:tc>
        <w:tc>
          <w:tcPr>
            <w:tcW w:w="1120" w:type="dxa"/>
            <w:tcBorders>
              <w:top w:val="single" w:sz="4" w:space="0" w:color="A6A6A6" w:themeColor="accent5"/>
              <w:bottom w:val="single" w:sz="4" w:space="0" w:color="auto"/>
            </w:tcBorders>
            <w:shd w:val="clear" w:color="auto" w:fill="E7E6E6" w:themeFill="background2"/>
            <w:tcMar>
              <w:right w:w="113" w:type="dxa"/>
            </w:tcMar>
            <w:hideMark/>
          </w:tcPr>
          <w:p w14:paraId="0204C399" w14:textId="77777777" w:rsidR="00F844B4" w:rsidRPr="00DC2A3C" w:rsidRDefault="00F844B4" w:rsidP="00074625">
            <w:pPr>
              <w:pStyle w:val="ARtabletextright"/>
            </w:pPr>
            <w:r w:rsidRPr="00DC2A3C">
              <w:t>7</w:t>
            </w:r>
          </w:p>
        </w:tc>
        <w:tc>
          <w:tcPr>
            <w:tcW w:w="949" w:type="dxa"/>
            <w:tcBorders>
              <w:top w:val="single" w:sz="4" w:space="0" w:color="A6A6A6" w:themeColor="accent5"/>
              <w:bottom w:val="single" w:sz="4" w:space="0" w:color="auto"/>
            </w:tcBorders>
            <w:shd w:val="clear" w:color="auto" w:fill="E7E6E6" w:themeFill="background2"/>
            <w:tcMar>
              <w:right w:w="113" w:type="dxa"/>
            </w:tcMar>
            <w:hideMark/>
          </w:tcPr>
          <w:p w14:paraId="0BD066E7" w14:textId="77777777" w:rsidR="00F844B4" w:rsidRPr="00DC2A3C" w:rsidRDefault="00F844B4" w:rsidP="00074625">
            <w:pPr>
              <w:pStyle w:val="ARtabletextright"/>
            </w:pPr>
            <w:r w:rsidRPr="00DC2A3C">
              <w:t>0</w:t>
            </w:r>
          </w:p>
        </w:tc>
        <w:tc>
          <w:tcPr>
            <w:tcW w:w="957" w:type="dxa"/>
            <w:tcBorders>
              <w:top w:val="single" w:sz="4" w:space="0" w:color="A6A6A6" w:themeColor="accent5"/>
              <w:bottom w:val="single" w:sz="4" w:space="0" w:color="auto"/>
            </w:tcBorders>
            <w:shd w:val="clear" w:color="auto" w:fill="E7E6E6" w:themeFill="background2"/>
            <w:tcMar>
              <w:right w:w="113" w:type="dxa"/>
            </w:tcMar>
            <w:hideMark/>
          </w:tcPr>
          <w:p w14:paraId="550866BD" w14:textId="77777777" w:rsidR="00F844B4" w:rsidRPr="00DC2A3C" w:rsidRDefault="00F844B4" w:rsidP="00074625">
            <w:pPr>
              <w:pStyle w:val="ARtabletextright"/>
            </w:pPr>
            <w:r w:rsidRPr="00DC2A3C">
              <w:t>7</w:t>
            </w:r>
          </w:p>
        </w:tc>
        <w:tc>
          <w:tcPr>
            <w:tcW w:w="956" w:type="dxa"/>
            <w:tcBorders>
              <w:top w:val="single" w:sz="4" w:space="0" w:color="A6A6A6" w:themeColor="accent5"/>
              <w:bottom w:val="single" w:sz="4" w:space="0" w:color="auto"/>
            </w:tcBorders>
            <w:tcMar>
              <w:right w:w="113" w:type="dxa"/>
            </w:tcMar>
            <w:hideMark/>
          </w:tcPr>
          <w:p w14:paraId="3E5A41AF" w14:textId="77777777" w:rsidR="00F844B4" w:rsidRPr="00DC2A3C" w:rsidRDefault="00F844B4" w:rsidP="00074625">
            <w:pPr>
              <w:pStyle w:val="ARtabletextright"/>
            </w:pPr>
            <w:r w:rsidRPr="00DC2A3C">
              <w:t>2</w:t>
            </w:r>
          </w:p>
        </w:tc>
        <w:tc>
          <w:tcPr>
            <w:tcW w:w="957" w:type="dxa"/>
            <w:tcBorders>
              <w:top w:val="single" w:sz="4" w:space="0" w:color="A6A6A6" w:themeColor="accent5"/>
              <w:bottom w:val="single" w:sz="4" w:space="0" w:color="auto"/>
            </w:tcBorders>
            <w:tcMar>
              <w:right w:w="113" w:type="dxa"/>
            </w:tcMar>
            <w:hideMark/>
          </w:tcPr>
          <w:p w14:paraId="2796A9BF" w14:textId="77777777" w:rsidR="00F844B4" w:rsidRPr="00DC2A3C" w:rsidRDefault="00F844B4" w:rsidP="00074625">
            <w:pPr>
              <w:pStyle w:val="ARtabletextright"/>
            </w:pPr>
            <w:r w:rsidRPr="00DC2A3C">
              <w:t>2</w:t>
            </w:r>
          </w:p>
        </w:tc>
      </w:tr>
      <w:tr w:rsidR="008D68DC" w:rsidRPr="00DC2A3C" w14:paraId="1C3B50D4" w14:textId="77777777" w:rsidTr="00D119D2">
        <w:trPr>
          <w:cantSplit w:val="0"/>
          <w:trHeight w:val="300"/>
        </w:trPr>
        <w:tc>
          <w:tcPr>
            <w:tcW w:w="1087" w:type="dxa"/>
            <w:tcBorders>
              <w:top w:val="single" w:sz="4" w:space="0" w:color="auto"/>
              <w:bottom w:val="single" w:sz="4" w:space="0" w:color="auto"/>
            </w:tcBorders>
            <w:hideMark/>
          </w:tcPr>
          <w:p w14:paraId="05FE81D6" w14:textId="77777777" w:rsidR="00F844B4" w:rsidRPr="00DC2A3C" w:rsidRDefault="00F844B4" w:rsidP="00074625">
            <w:pPr>
              <w:pStyle w:val="ARtabletextbold"/>
            </w:pPr>
            <w:r w:rsidRPr="00DC2A3C">
              <w:t>Total</w:t>
            </w:r>
          </w:p>
        </w:tc>
        <w:tc>
          <w:tcPr>
            <w:tcW w:w="954" w:type="dxa"/>
            <w:tcBorders>
              <w:top w:val="single" w:sz="4" w:space="0" w:color="auto"/>
              <w:bottom w:val="single" w:sz="4" w:space="0" w:color="auto"/>
            </w:tcBorders>
            <w:shd w:val="clear" w:color="auto" w:fill="E7E6E6" w:themeFill="background2"/>
            <w:tcMar>
              <w:right w:w="113" w:type="dxa"/>
            </w:tcMar>
            <w:hideMark/>
          </w:tcPr>
          <w:p w14:paraId="0FC79BA1" w14:textId="77777777" w:rsidR="00F844B4" w:rsidRPr="00DC2A3C" w:rsidRDefault="00F844B4" w:rsidP="00074625">
            <w:pPr>
              <w:pStyle w:val="ARtabletextrightbold"/>
            </w:pPr>
            <w:r w:rsidRPr="00DC2A3C">
              <w:t>341</w:t>
            </w:r>
          </w:p>
        </w:tc>
        <w:tc>
          <w:tcPr>
            <w:tcW w:w="956" w:type="dxa"/>
            <w:tcBorders>
              <w:top w:val="single" w:sz="4" w:space="0" w:color="auto"/>
              <w:bottom w:val="single" w:sz="4" w:space="0" w:color="auto"/>
            </w:tcBorders>
            <w:shd w:val="clear" w:color="auto" w:fill="E7E6E6" w:themeFill="background2"/>
            <w:tcMar>
              <w:right w:w="113" w:type="dxa"/>
            </w:tcMar>
            <w:hideMark/>
          </w:tcPr>
          <w:p w14:paraId="77AA1B65" w14:textId="77777777" w:rsidR="00F844B4" w:rsidRPr="00DC2A3C" w:rsidRDefault="00F844B4" w:rsidP="00074625">
            <w:pPr>
              <w:pStyle w:val="ARtabletextrightbold"/>
            </w:pPr>
            <w:r w:rsidRPr="00DC2A3C">
              <w:t>311.41</w:t>
            </w:r>
          </w:p>
        </w:tc>
        <w:tc>
          <w:tcPr>
            <w:tcW w:w="948" w:type="dxa"/>
            <w:tcBorders>
              <w:top w:val="single" w:sz="4" w:space="0" w:color="auto"/>
              <w:bottom w:val="single" w:sz="4" w:space="0" w:color="auto"/>
            </w:tcBorders>
            <w:tcMar>
              <w:right w:w="113" w:type="dxa"/>
            </w:tcMar>
            <w:hideMark/>
          </w:tcPr>
          <w:p w14:paraId="53E9DC77" w14:textId="77777777" w:rsidR="00F844B4" w:rsidRPr="00DC2A3C" w:rsidRDefault="00F844B4" w:rsidP="00074625">
            <w:pPr>
              <w:pStyle w:val="ARtabletextrightbold"/>
            </w:pPr>
            <w:r w:rsidRPr="00DC2A3C">
              <w:t>215</w:t>
            </w:r>
          </w:p>
        </w:tc>
        <w:tc>
          <w:tcPr>
            <w:tcW w:w="948" w:type="dxa"/>
            <w:tcBorders>
              <w:top w:val="single" w:sz="4" w:space="0" w:color="auto"/>
              <w:bottom w:val="single" w:sz="4" w:space="0" w:color="auto"/>
            </w:tcBorders>
            <w:tcMar>
              <w:right w:w="113" w:type="dxa"/>
            </w:tcMar>
            <w:hideMark/>
          </w:tcPr>
          <w:p w14:paraId="4DBB94ED" w14:textId="77777777" w:rsidR="00F844B4" w:rsidRPr="00DC2A3C" w:rsidRDefault="00F844B4" w:rsidP="00074625">
            <w:pPr>
              <w:pStyle w:val="ARtabletextrightbold"/>
            </w:pPr>
            <w:r w:rsidRPr="00DC2A3C">
              <w:t>42</w:t>
            </w:r>
          </w:p>
        </w:tc>
        <w:tc>
          <w:tcPr>
            <w:tcW w:w="956" w:type="dxa"/>
            <w:tcBorders>
              <w:top w:val="single" w:sz="4" w:space="0" w:color="auto"/>
              <w:bottom w:val="single" w:sz="4" w:space="0" w:color="auto"/>
            </w:tcBorders>
            <w:tcMar>
              <w:right w:w="113" w:type="dxa"/>
            </w:tcMar>
            <w:hideMark/>
          </w:tcPr>
          <w:p w14:paraId="304D1DD1" w14:textId="77777777" w:rsidR="00F844B4" w:rsidRPr="00DC2A3C" w:rsidRDefault="00F844B4" w:rsidP="00074625">
            <w:pPr>
              <w:pStyle w:val="ARtabletextrightbold"/>
            </w:pPr>
            <w:r w:rsidRPr="00DC2A3C">
              <w:t>243.28</w:t>
            </w:r>
          </w:p>
        </w:tc>
        <w:tc>
          <w:tcPr>
            <w:tcW w:w="956" w:type="dxa"/>
            <w:tcBorders>
              <w:top w:val="single" w:sz="4" w:space="0" w:color="auto"/>
              <w:bottom w:val="single" w:sz="4" w:space="0" w:color="auto"/>
            </w:tcBorders>
            <w:shd w:val="clear" w:color="auto" w:fill="E7E6E6" w:themeFill="background2"/>
            <w:tcMar>
              <w:right w:w="113" w:type="dxa"/>
            </w:tcMar>
            <w:hideMark/>
          </w:tcPr>
          <w:p w14:paraId="197DACFA" w14:textId="77777777" w:rsidR="00F844B4" w:rsidRPr="00DC2A3C" w:rsidRDefault="00F844B4" w:rsidP="00074625">
            <w:pPr>
              <w:pStyle w:val="ARtabletextrightbold"/>
            </w:pPr>
            <w:r w:rsidRPr="00DC2A3C">
              <w:t>84</w:t>
            </w:r>
          </w:p>
        </w:tc>
        <w:tc>
          <w:tcPr>
            <w:tcW w:w="951" w:type="dxa"/>
            <w:tcBorders>
              <w:top w:val="single" w:sz="4" w:space="0" w:color="auto"/>
              <w:bottom w:val="single" w:sz="4" w:space="0" w:color="auto"/>
            </w:tcBorders>
            <w:shd w:val="clear" w:color="auto" w:fill="E7E6E6" w:themeFill="background2"/>
            <w:tcMar>
              <w:right w:w="113" w:type="dxa"/>
            </w:tcMar>
            <w:hideMark/>
          </w:tcPr>
          <w:p w14:paraId="0561A254" w14:textId="77777777" w:rsidR="00F844B4" w:rsidRPr="00DC2A3C" w:rsidRDefault="00F844B4" w:rsidP="00074625">
            <w:pPr>
              <w:pStyle w:val="ARtabletextrightbold"/>
            </w:pPr>
            <w:r w:rsidRPr="00DC2A3C">
              <w:t>68.13</w:t>
            </w:r>
          </w:p>
        </w:tc>
        <w:tc>
          <w:tcPr>
            <w:tcW w:w="956" w:type="dxa"/>
            <w:tcBorders>
              <w:top w:val="single" w:sz="4" w:space="0" w:color="auto"/>
              <w:bottom w:val="single" w:sz="4" w:space="0" w:color="auto"/>
            </w:tcBorders>
            <w:tcMar>
              <w:right w:w="113" w:type="dxa"/>
            </w:tcMar>
            <w:hideMark/>
          </w:tcPr>
          <w:p w14:paraId="0D9D2A24" w14:textId="77777777" w:rsidR="00F844B4" w:rsidRPr="00DC2A3C" w:rsidRDefault="00F844B4" w:rsidP="00074625">
            <w:pPr>
              <w:pStyle w:val="ARtabletextrightbold"/>
            </w:pPr>
            <w:r w:rsidRPr="00DC2A3C">
              <w:t>295</w:t>
            </w:r>
          </w:p>
        </w:tc>
        <w:tc>
          <w:tcPr>
            <w:tcW w:w="786" w:type="dxa"/>
            <w:tcBorders>
              <w:top w:val="single" w:sz="4" w:space="0" w:color="auto"/>
              <w:bottom w:val="single" w:sz="4" w:space="0" w:color="auto"/>
            </w:tcBorders>
            <w:tcMar>
              <w:right w:w="113" w:type="dxa"/>
            </w:tcMar>
            <w:hideMark/>
          </w:tcPr>
          <w:p w14:paraId="61664E57" w14:textId="77777777" w:rsidR="00F844B4" w:rsidRPr="00DC2A3C" w:rsidRDefault="00F844B4" w:rsidP="00074625">
            <w:pPr>
              <w:pStyle w:val="ARtabletextrightbold"/>
            </w:pPr>
            <w:r w:rsidRPr="00DC2A3C">
              <w:t>273.1</w:t>
            </w:r>
          </w:p>
        </w:tc>
        <w:tc>
          <w:tcPr>
            <w:tcW w:w="1120" w:type="dxa"/>
            <w:tcBorders>
              <w:top w:val="single" w:sz="4" w:space="0" w:color="auto"/>
              <w:bottom w:val="single" w:sz="4" w:space="0" w:color="auto"/>
            </w:tcBorders>
            <w:shd w:val="clear" w:color="auto" w:fill="E7E6E6" w:themeFill="background2"/>
            <w:tcMar>
              <w:right w:w="113" w:type="dxa"/>
            </w:tcMar>
            <w:hideMark/>
          </w:tcPr>
          <w:p w14:paraId="2CD84057" w14:textId="77777777" w:rsidR="00F844B4" w:rsidRPr="00DC2A3C" w:rsidRDefault="00F844B4" w:rsidP="00074625">
            <w:pPr>
              <w:pStyle w:val="ARtabletextrightbold"/>
            </w:pPr>
            <w:r w:rsidRPr="00DC2A3C">
              <w:t>172</w:t>
            </w:r>
          </w:p>
        </w:tc>
        <w:tc>
          <w:tcPr>
            <w:tcW w:w="949" w:type="dxa"/>
            <w:tcBorders>
              <w:top w:val="single" w:sz="4" w:space="0" w:color="auto"/>
              <w:bottom w:val="single" w:sz="4" w:space="0" w:color="auto"/>
            </w:tcBorders>
            <w:shd w:val="clear" w:color="auto" w:fill="E7E6E6" w:themeFill="background2"/>
            <w:tcMar>
              <w:right w:w="113" w:type="dxa"/>
            </w:tcMar>
            <w:hideMark/>
          </w:tcPr>
          <w:p w14:paraId="7F29102F" w14:textId="77777777" w:rsidR="00F844B4" w:rsidRPr="00DC2A3C" w:rsidRDefault="00F844B4" w:rsidP="00074625">
            <w:pPr>
              <w:pStyle w:val="ARtabletextrightbold"/>
            </w:pPr>
            <w:r w:rsidRPr="00DC2A3C">
              <w:t>39</w:t>
            </w:r>
          </w:p>
        </w:tc>
        <w:tc>
          <w:tcPr>
            <w:tcW w:w="957" w:type="dxa"/>
            <w:tcBorders>
              <w:top w:val="single" w:sz="4" w:space="0" w:color="auto"/>
              <w:bottom w:val="single" w:sz="4" w:space="0" w:color="auto"/>
            </w:tcBorders>
            <w:shd w:val="clear" w:color="auto" w:fill="E7E6E6" w:themeFill="background2"/>
            <w:tcMar>
              <w:right w:w="113" w:type="dxa"/>
            </w:tcMar>
            <w:hideMark/>
          </w:tcPr>
          <w:p w14:paraId="655EDF52" w14:textId="77777777" w:rsidR="00F844B4" w:rsidRPr="00DC2A3C" w:rsidRDefault="00F844B4" w:rsidP="00074625">
            <w:pPr>
              <w:pStyle w:val="ARtabletextrightbold"/>
            </w:pPr>
            <w:r w:rsidRPr="00DC2A3C">
              <w:t>198.5</w:t>
            </w:r>
          </w:p>
        </w:tc>
        <w:tc>
          <w:tcPr>
            <w:tcW w:w="956" w:type="dxa"/>
            <w:tcBorders>
              <w:top w:val="single" w:sz="4" w:space="0" w:color="auto"/>
              <w:bottom w:val="single" w:sz="4" w:space="0" w:color="auto"/>
            </w:tcBorders>
            <w:tcMar>
              <w:right w:w="113" w:type="dxa"/>
            </w:tcMar>
            <w:hideMark/>
          </w:tcPr>
          <w:p w14:paraId="03AA3D8F" w14:textId="77777777" w:rsidR="00F844B4" w:rsidRPr="00DC2A3C" w:rsidRDefault="00F844B4" w:rsidP="00074625">
            <w:pPr>
              <w:pStyle w:val="ARtabletextrightbold"/>
            </w:pPr>
            <w:r w:rsidRPr="00DC2A3C">
              <w:t>84</w:t>
            </w:r>
          </w:p>
        </w:tc>
        <w:tc>
          <w:tcPr>
            <w:tcW w:w="957" w:type="dxa"/>
            <w:tcBorders>
              <w:top w:val="single" w:sz="4" w:space="0" w:color="auto"/>
              <w:bottom w:val="single" w:sz="4" w:space="0" w:color="auto"/>
            </w:tcBorders>
            <w:tcMar>
              <w:right w:w="113" w:type="dxa"/>
            </w:tcMar>
            <w:hideMark/>
          </w:tcPr>
          <w:p w14:paraId="35085896" w14:textId="77777777" w:rsidR="00F844B4" w:rsidRPr="00DC2A3C" w:rsidRDefault="00F844B4" w:rsidP="00074625">
            <w:pPr>
              <w:pStyle w:val="ARtabletextrightbold"/>
            </w:pPr>
            <w:r w:rsidRPr="00DC2A3C">
              <w:t>74.6</w:t>
            </w:r>
          </w:p>
        </w:tc>
      </w:tr>
      <w:tr w:rsidR="00F844B4" w:rsidRPr="00DC2A3C" w14:paraId="3CAA0E0D" w14:textId="77777777" w:rsidTr="00D119D2">
        <w:trPr>
          <w:cantSplit w:val="0"/>
          <w:trHeight w:val="300"/>
        </w:trPr>
        <w:tc>
          <w:tcPr>
            <w:tcW w:w="14437" w:type="dxa"/>
            <w:gridSpan w:val="15"/>
            <w:tcBorders>
              <w:top w:val="single" w:sz="4" w:space="0" w:color="auto"/>
              <w:bottom w:val="single" w:sz="4" w:space="0" w:color="A6A6A6" w:themeColor="accent5"/>
            </w:tcBorders>
            <w:tcMar>
              <w:right w:w="113" w:type="dxa"/>
            </w:tcMar>
            <w:hideMark/>
          </w:tcPr>
          <w:p w14:paraId="2A98A2CB" w14:textId="77777777" w:rsidR="00F844B4" w:rsidRPr="00DC2A3C" w:rsidRDefault="00F844B4" w:rsidP="00EB30BC">
            <w:pPr>
              <w:pStyle w:val="ARtabletextcolourbold"/>
            </w:pPr>
            <w:r w:rsidRPr="00DC2A3C">
              <w:t>Allied Health</w:t>
            </w:r>
          </w:p>
        </w:tc>
      </w:tr>
      <w:tr w:rsidR="008D68DC" w:rsidRPr="00DC2A3C" w14:paraId="5A17DE6C" w14:textId="77777777" w:rsidTr="00D119D2">
        <w:trPr>
          <w:cantSplit w:val="0"/>
          <w:trHeight w:val="300"/>
        </w:trPr>
        <w:tc>
          <w:tcPr>
            <w:tcW w:w="1087" w:type="dxa"/>
            <w:tcBorders>
              <w:top w:val="single" w:sz="4" w:space="0" w:color="A6A6A6" w:themeColor="accent5"/>
            </w:tcBorders>
            <w:hideMark/>
          </w:tcPr>
          <w:p w14:paraId="62E9ED6D" w14:textId="77777777" w:rsidR="00F844B4" w:rsidRPr="00DC2A3C" w:rsidRDefault="00F844B4" w:rsidP="00074625">
            <w:pPr>
              <w:pStyle w:val="ARtabletext"/>
            </w:pPr>
            <w:r w:rsidRPr="00DC2A3C">
              <w:t>AH 2</w:t>
            </w:r>
          </w:p>
        </w:tc>
        <w:tc>
          <w:tcPr>
            <w:tcW w:w="954" w:type="dxa"/>
            <w:tcBorders>
              <w:top w:val="single" w:sz="4" w:space="0" w:color="A6A6A6" w:themeColor="accent5"/>
            </w:tcBorders>
            <w:shd w:val="clear" w:color="auto" w:fill="E7E6E6" w:themeFill="background2"/>
            <w:tcMar>
              <w:right w:w="113" w:type="dxa"/>
            </w:tcMar>
            <w:hideMark/>
          </w:tcPr>
          <w:p w14:paraId="43464D3B" w14:textId="77777777" w:rsidR="00F844B4" w:rsidRPr="00DC2A3C" w:rsidRDefault="00F844B4" w:rsidP="00074625">
            <w:pPr>
              <w:pStyle w:val="ARtabletextright"/>
            </w:pPr>
            <w:r w:rsidRPr="00DC2A3C">
              <w:t>8</w:t>
            </w:r>
          </w:p>
        </w:tc>
        <w:tc>
          <w:tcPr>
            <w:tcW w:w="956" w:type="dxa"/>
            <w:tcBorders>
              <w:top w:val="single" w:sz="4" w:space="0" w:color="A6A6A6" w:themeColor="accent5"/>
            </w:tcBorders>
            <w:shd w:val="clear" w:color="auto" w:fill="E7E6E6" w:themeFill="background2"/>
            <w:tcMar>
              <w:right w:w="113" w:type="dxa"/>
            </w:tcMar>
            <w:hideMark/>
          </w:tcPr>
          <w:p w14:paraId="7B0DBA14" w14:textId="77777777" w:rsidR="00F844B4" w:rsidRPr="00DC2A3C" w:rsidRDefault="00F844B4" w:rsidP="00074625">
            <w:pPr>
              <w:pStyle w:val="ARtabletextright"/>
            </w:pPr>
            <w:r w:rsidRPr="00DC2A3C">
              <w:t>7.6</w:t>
            </w:r>
          </w:p>
        </w:tc>
        <w:tc>
          <w:tcPr>
            <w:tcW w:w="948" w:type="dxa"/>
            <w:tcBorders>
              <w:top w:val="single" w:sz="4" w:space="0" w:color="A6A6A6" w:themeColor="accent5"/>
            </w:tcBorders>
            <w:tcMar>
              <w:right w:w="113" w:type="dxa"/>
            </w:tcMar>
            <w:hideMark/>
          </w:tcPr>
          <w:p w14:paraId="58A895D0" w14:textId="77777777" w:rsidR="00F844B4" w:rsidRPr="00DC2A3C" w:rsidRDefault="00F844B4" w:rsidP="00074625">
            <w:pPr>
              <w:pStyle w:val="ARtabletextright"/>
            </w:pPr>
            <w:r w:rsidRPr="00DC2A3C">
              <w:t>5</w:t>
            </w:r>
          </w:p>
        </w:tc>
        <w:tc>
          <w:tcPr>
            <w:tcW w:w="948" w:type="dxa"/>
            <w:tcBorders>
              <w:top w:val="single" w:sz="4" w:space="0" w:color="A6A6A6" w:themeColor="accent5"/>
            </w:tcBorders>
            <w:tcMar>
              <w:right w:w="113" w:type="dxa"/>
            </w:tcMar>
            <w:hideMark/>
          </w:tcPr>
          <w:p w14:paraId="568832D7" w14:textId="77777777" w:rsidR="00F844B4" w:rsidRPr="00DC2A3C" w:rsidRDefault="00F844B4" w:rsidP="00074625">
            <w:pPr>
              <w:pStyle w:val="ARtabletextright"/>
            </w:pPr>
            <w:r w:rsidRPr="00DC2A3C">
              <w:t>1</w:t>
            </w:r>
          </w:p>
        </w:tc>
        <w:tc>
          <w:tcPr>
            <w:tcW w:w="956" w:type="dxa"/>
            <w:tcBorders>
              <w:top w:val="single" w:sz="4" w:space="0" w:color="A6A6A6" w:themeColor="accent5"/>
            </w:tcBorders>
            <w:tcMar>
              <w:right w:w="113" w:type="dxa"/>
            </w:tcMar>
            <w:hideMark/>
          </w:tcPr>
          <w:p w14:paraId="4213399F" w14:textId="77777777" w:rsidR="00F844B4" w:rsidRPr="00DC2A3C" w:rsidRDefault="00F844B4" w:rsidP="00074625">
            <w:pPr>
              <w:pStyle w:val="ARtabletextright"/>
            </w:pPr>
            <w:r w:rsidRPr="00DC2A3C">
              <w:t>5.6</w:t>
            </w:r>
          </w:p>
        </w:tc>
        <w:tc>
          <w:tcPr>
            <w:tcW w:w="956" w:type="dxa"/>
            <w:tcBorders>
              <w:top w:val="single" w:sz="4" w:space="0" w:color="A6A6A6" w:themeColor="accent5"/>
            </w:tcBorders>
            <w:shd w:val="clear" w:color="auto" w:fill="E7E6E6" w:themeFill="background2"/>
            <w:tcMar>
              <w:right w:w="113" w:type="dxa"/>
            </w:tcMar>
            <w:hideMark/>
          </w:tcPr>
          <w:p w14:paraId="76966898" w14:textId="77777777" w:rsidR="00F844B4" w:rsidRPr="00DC2A3C" w:rsidRDefault="00F844B4" w:rsidP="00074625">
            <w:pPr>
              <w:pStyle w:val="ARtabletextright"/>
            </w:pPr>
            <w:r w:rsidRPr="00DC2A3C">
              <w:t>2</w:t>
            </w:r>
          </w:p>
        </w:tc>
        <w:tc>
          <w:tcPr>
            <w:tcW w:w="951" w:type="dxa"/>
            <w:tcBorders>
              <w:top w:val="single" w:sz="4" w:space="0" w:color="A6A6A6" w:themeColor="accent5"/>
            </w:tcBorders>
            <w:shd w:val="clear" w:color="auto" w:fill="E7E6E6" w:themeFill="background2"/>
            <w:tcMar>
              <w:right w:w="113" w:type="dxa"/>
            </w:tcMar>
            <w:hideMark/>
          </w:tcPr>
          <w:p w14:paraId="03377546" w14:textId="77777777" w:rsidR="00F844B4" w:rsidRPr="00DC2A3C" w:rsidRDefault="00F844B4" w:rsidP="00074625">
            <w:pPr>
              <w:pStyle w:val="ARtabletextright"/>
            </w:pPr>
            <w:r w:rsidRPr="00DC2A3C">
              <w:t>2</w:t>
            </w:r>
          </w:p>
        </w:tc>
        <w:tc>
          <w:tcPr>
            <w:tcW w:w="956" w:type="dxa"/>
            <w:tcBorders>
              <w:top w:val="single" w:sz="4" w:space="0" w:color="A6A6A6" w:themeColor="accent5"/>
            </w:tcBorders>
            <w:tcMar>
              <w:right w:w="113" w:type="dxa"/>
            </w:tcMar>
            <w:hideMark/>
          </w:tcPr>
          <w:p w14:paraId="019AC132" w14:textId="77777777" w:rsidR="00F844B4" w:rsidRPr="00DC2A3C" w:rsidRDefault="00F844B4" w:rsidP="00074625">
            <w:pPr>
              <w:pStyle w:val="ARtabletextright"/>
            </w:pPr>
            <w:r w:rsidRPr="00DC2A3C">
              <w:t>8</w:t>
            </w:r>
          </w:p>
        </w:tc>
        <w:tc>
          <w:tcPr>
            <w:tcW w:w="786" w:type="dxa"/>
            <w:tcBorders>
              <w:top w:val="single" w:sz="4" w:space="0" w:color="A6A6A6" w:themeColor="accent5"/>
            </w:tcBorders>
            <w:tcMar>
              <w:right w:w="113" w:type="dxa"/>
            </w:tcMar>
            <w:hideMark/>
          </w:tcPr>
          <w:p w14:paraId="28F24893" w14:textId="77777777" w:rsidR="00F844B4" w:rsidRPr="00DC2A3C" w:rsidRDefault="00F844B4" w:rsidP="00074625">
            <w:pPr>
              <w:pStyle w:val="ARtabletextright"/>
            </w:pPr>
            <w:r w:rsidRPr="00DC2A3C">
              <w:t>7.2</w:t>
            </w:r>
          </w:p>
        </w:tc>
        <w:tc>
          <w:tcPr>
            <w:tcW w:w="1120" w:type="dxa"/>
            <w:tcBorders>
              <w:top w:val="single" w:sz="4" w:space="0" w:color="A6A6A6" w:themeColor="accent5"/>
            </w:tcBorders>
            <w:shd w:val="clear" w:color="auto" w:fill="E7E6E6" w:themeFill="background2"/>
            <w:tcMar>
              <w:right w:w="113" w:type="dxa"/>
            </w:tcMar>
            <w:hideMark/>
          </w:tcPr>
          <w:p w14:paraId="71D6FCB8" w14:textId="77777777" w:rsidR="00F844B4" w:rsidRPr="00DC2A3C" w:rsidRDefault="00F844B4" w:rsidP="00074625">
            <w:pPr>
              <w:pStyle w:val="ARtabletextright"/>
            </w:pPr>
            <w:r w:rsidRPr="00DC2A3C">
              <w:t>7</w:t>
            </w:r>
          </w:p>
        </w:tc>
        <w:tc>
          <w:tcPr>
            <w:tcW w:w="949" w:type="dxa"/>
            <w:tcBorders>
              <w:top w:val="single" w:sz="4" w:space="0" w:color="A6A6A6" w:themeColor="accent5"/>
            </w:tcBorders>
            <w:shd w:val="clear" w:color="auto" w:fill="E7E6E6" w:themeFill="background2"/>
            <w:tcMar>
              <w:right w:w="113" w:type="dxa"/>
            </w:tcMar>
            <w:hideMark/>
          </w:tcPr>
          <w:p w14:paraId="5FAA1D49" w14:textId="77777777" w:rsidR="00F844B4" w:rsidRPr="00DC2A3C" w:rsidRDefault="00F844B4" w:rsidP="00074625">
            <w:pPr>
              <w:pStyle w:val="ARtabletextright"/>
            </w:pPr>
            <w:r w:rsidRPr="00DC2A3C">
              <w:t>1</w:t>
            </w:r>
          </w:p>
        </w:tc>
        <w:tc>
          <w:tcPr>
            <w:tcW w:w="957" w:type="dxa"/>
            <w:tcBorders>
              <w:top w:val="single" w:sz="4" w:space="0" w:color="A6A6A6" w:themeColor="accent5"/>
            </w:tcBorders>
            <w:shd w:val="clear" w:color="auto" w:fill="E7E6E6" w:themeFill="background2"/>
            <w:tcMar>
              <w:right w:w="113" w:type="dxa"/>
            </w:tcMar>
            <w:hideMark/>
          </w:tcPr>
          <w:p w14:paraId="1C32541C" w14:textId="77777777" w:rsidR="00F844B4" w:rsidRPr="00DC2A3C" w:rsidRDefault="00F844B4" w:rsidP="00074625">
            <w:pPr>
              <w:pStyle w:val="ARtabletextright"/>
            </w:pPr>
            <w:r w:rsidRPr="00DC2A3C">
              <w:t>7.2</w:t>
            </w:r>
          </w:p>
        </w:tc>
        <w:tc>
          <w:tcPr>
            <w:tcW w:w="956" w:type="dxa"/>
            <w:tcBorders>
              <w:top w:val="single" w:sz="4" w:space="0" w:color="A6A6A6" w:themeColor="accent5"/>
            </w:tcBorders>
            <w:tcMar>
              <w:right w:w="113" w:type="dxa"/>
            </w:tcMar>
            <w:hideMark/>
          </w:tcPr>
          <w:p w14:paraId="51D180CD" w14:textId="77777777" w:rsidR="00F844B4" w:rsidRPr="00DC2A3C" w:rsidRDefault="00F844B4" w:rsidP="00074625">
            <w:pPr>
              <w:pStyle w:val="ARtabletextright"/>
            </w:pPr>
            <w:r w:rsidRPr="00DC2A3C">
              <w:t>0</w:t>
            </w:r>
          </w:p>
        </w:tc>
        <w:tc>
          <w:tcPr>
            <w:tcW w:w="957" w:type="dxa"/>
            <w:tcBorders>
              <w:top w:val="single" w:sz="4" w:space="0" w:color="A6A6A6" w:themeColor="accent5"/>
            </w:tcBorders>
            <w:tcMar>
              <w:right w:w="113" w:type="dxa"/>
            </w:tcMar>
            <w:hideMark/>
          </w:tcPr>
          <w:p w14:paraId="6D470F03" w14:textId="77777777" w:rsidR="00F844B4" w:rsidRPr="00DC2A3C" w:rsidRDefault="00F844B4" w:rsidP="00074625">
            <w:pPr>
              <w:pStyle w:val="ARtabletextright"/>
            </w:pPr>
            <w:r w:rsidRPr="00DC2A3C">
              <w:t>0</w:t>
            </w:r>
          </w:p>
        </w:tc>
      </w:tr>
      <w:tr w:rsidR="008D68DC" w:rsidRPr="00DC2A3C" w14:paraId="0B39D9FE" w14:textId="77777777" w:rsidTr="00D119D2">
        <w:trPr>
          <w:cantSplit w:val="0"/>
          <w:trHeight w:val="300"/>
        </w:trPr>
        <w:tc>
          <w:tcPr>
            <w:tcW w:w="1087" w:type="dxa"/>
            <w:tcBorders>
              <w:bottom w:val="single" w:sz="4" w:space="0" w:color="A6A6A6" w:themeColor="accent5"/>
            </w:tcBorders>
            <w:hideMark/>
          </w:tcPr>
          <w:p w14:paraId="60BCCAA5" w14:textId="77777777" w:rsidR="00F844B4" w:rsidRPr="00DC2A3C" w:rsidRDefault="00F844B4" w:rsidP="00074625">
            <w:pPr>
              <w:pStyle w:val="ARtabletext"/>
            </w:pPr>
            <w:r w:rsidRPr="00DC2A3C">
              <w:t>AH 3</w:t>
            </w:r>
          </w:p>
        </w:tc>
        <w:tc>
          <w:tcPr>
            <w:tcW w:w="954" w:type="dxa"/>
            <w:tcBorders>
              <w:bottom w:val="single" w:sz="4" w:space="0" w:color="A6A6A6" w:themeColor="accent5"/>
            </w:tcBorders>
            <w:shd w:val="clear" w:color="auto" w:fill="E7E6E6" w:themeFill="background2"/>
            <w:tcMar>
              <w:right w:w="113" w:type="dxa"/>
            </w:tcMar>
            <w:hideMark/>
          </w:tcPr>
          <w:p w14:paraId="45B70DFB" w14:textId="77777777" w:rsidR="00F844B4" w:rsidRPr="00DC2A3C" w:rsidRDefault="00F844B4" w:rsidP="00074625">
            <w:pPr>
              <w:pStyle w:val="ARtabletextright"/>
            </w:pPr>
            <w:r w:rsidRPr="00DC2A3C">
              <w:t>37</w:t>
            </w:r>
          </w:p>
        </w:tc>
        <w:tc>
          <w:tcPr>
            <w:tcW w:w="956" w:type="dxa"/>
            <w:tcBorders>
              <w:bottom w:val="single" w:sz="4" w:space="0" w:color="A6A6A6" w:themeColor="accent5"/>
            </w:tcBorders>
            <w:shd w:val="clear" w:color="auto" w:fill="E7E6E6" w:themeFill="background2"/>
            <w:tcMar>
              <w:right w:w="113" w:type="dxa"/>
            </w:tcMar>
            <w:hideMark/>
          </w:tcPr>
          <w:p w14:paraId="1AA0418F" w14:textId="77777777" w:rsidR="00F844B4" w:rsidRPr="00DC2A3C" w:rsidRDefault="00F844B4" w:rsidP="00074625">
            <w:pPr>
              <w:pStyle w:val="ARtabletextright"/>
            </w:pPr>
            <w:r w:rsidRPr="00DC2A3C">
              <w:t>25.83</w:t>
            </w:r>
          </w:p>
        </w:tc>
        <w:tc>
          <w:tcPr>
            <w:tcW w:w="948" w:type="dxa"/>
            <w:tcBorders>
              <w:bottom w:val="single" w:sz="4" w:space="0" w:color="A6A6A6" w:themeColor="accent5"/>
            </w:tcBorders>
            <w:tcMar>
              <w:right w:w="113" w:type="dxa"/>
            </w:tcMar>
            <w:hideMark/>
          </w:tcPr>
          <w:p w14:paraId="10FFC998" w14:textId="77777777" w:rsidR="00F844B4" w:rsidRPr="00DC2A3C" w:rsidRDefault="00F844B4" w:rsidP="00074625">
            <w:pPr>
              <w:pStyle w:val="ARtabletextright"/>
            </w:pPr>
            <w:r w:rsidRPr="00DC2A3C">
              <w:t>10</w:t>
            </w:r>
          </w:p>
        </w:tc>
        <w:tc>
          <w:tcPr>
            <w:tcW w:w="948" w:type="dxa"/>
            <w:tcBorders>
              <w:bottom w:val="single" w:sz="4" w:space="0" w:color="A6A6A6" w:themeColor="accent5"/>
            </w:tcBorders>
            <w:tcMar>
              <w:right w:w="113" w:type="dxa"/>
            </w:tcMar>
            <w:hideMark/>
          </w:tcPr>
          <w:p w14:paraId="3FE57A00" w14:textId="77777777" w:rsidR="00F844B4" w:rsidRPr="00DC2A3C" w:rsidRDefault="00F844B4" w:rsidP="00074625">
            <w:pPr>
              <w:pStyle w:val="ARtabletextright"/>
            </w:pPr>
            <w:r w:rsidRPr="00DC2A3C">
              <w:t>16</w:t>
            </w:r>
          </w:p>
        </w:tc>
        <w:tc>
          <w:tcPr>
            <w:tcW w:w="956" w:type="dxa"/>
            <w:tcBorders>
              <w:bottom w:val="single" w:sz="4" w:space="0" w:color="A6A6A6" w:themeColor="accent5"/>
            </w:tcBorders>
            <w:tcMar>
              <w:right w:w="113" w:type="dxa"/>
            </w:tcMar>
            <w:hideMark/>
          </w:tcPr>
          <w:p w14:paraId="61862B2A" w14:textId="77777777" w:rsidR="00F844B4" w:rsidRPr="00DC2A3C" w:rsidRDefault="00F844B4" w:rsidP="00074625">
            <w:pPr>
              <w:pStyle w:val="ARtabletextright"/>
            </w:pPr>
            <w:r w:rsidRPr="00DC2A3C">
              <w:t>18.28</w:t>
            </w:r>
          </w:p>
        </w:tc>
        <w:tc>
          <w:tcPr>
            <w:tcW w:w="956" w:type="dxa"/>
            <w:tcBorders>
              <w:bottom w:val="single" w:sz="4" w:space="0" w:color="A6A6A6" w:themeColor="accent5"/>
            </w:tcBorders>
            <w:shd w:val="clear" w:color="auto" w:fill="E7E6E6" w:themeFill="background2"/>
            <w:tcMar>
              <w:right w:w="113" w:type="dxa"/>
            </w:tcMar>
            <w:hideMark/>
          </w:tcPr>
          <w:p w14:paraId="7332C9F0" w14:textId="77777777" w:rsidR="00F844B4" w:rsidRPr="00DC2A3C" w:rsidRDefault="00F844B4" w:rsidP="00074625">
            <w:pPr>
              <w:pStyle w:val="ARtabletextright"/>
            </w:pPr>
            <w:r w:rsidRPr="00DC2A3C">
              <w:t>11</w:t>
            </w:r>
          </w:p>
        </w:tc>
        <w:tc>
          <w:tcPr>
            <w:tcW w:w="951" w:type="dxa"/>
            <w:tcBorders>
              <w:bottom w:val="single" w:sz="4" w:space="0" w:color="A6A6A6" w:themeColor="accent5"/>
            </w:tcBorders>
            <w:shd w:val="clear" w:color="auto" w:fill="E7E6E6" w:themeFill="background2"/>
            <w:tcMar>
              <w:right w:w="113" w:type="dxa"/>
            </w:tcMar>
            <w:hideMark/>
          </w:tcPr>
          <w:p w14:paraId="7E79FAAA" w14:textId="77777777" w:rsidR="00F844B4" w:rsidRPr="00DC2A3C" w:rsidRDefault="00F844B4" w:rsidP="00074625">
            <w:pPr>
              <w:pStyle w:val="ARtabletextright"/>
            </w:pPr>
            <w:r w:rsidRPr="00DC2A3C">
              <w:t>7.55</w:t>
            </w:r>
          </w:p>
        </w:tc>
        <w:tc>
          <w:tcPr>
            <w:tcW w:w="956" w:type="dxa"/>
            <w:tcBorders>
              <w:bottom w:val="single" w:sz="4" w:space="0" w:color="A6A6A6" w:themeColor="accent5"/>
            </w:tcBorders>
            <w:tcMar>
              <w:right w:w="113" w:type="dxa"/>
            </w:tcMar>
            <w:hideMark/>
          </w:tcPr>
          <w:p w14:paraId="28923CFA" w14:textId="77777777" w:rsidR="00F844B4" w:rsidRPr="00DC2A3C" w:rsidRDefault="00F844B4" w:rsidP="00074625">
            <w:pPr>
              <w:pStyle w:val="ARtabletextright"/>
            </w:pPr>
            <w:r w:rsidRPr="00DC2A3C">
              <w:t>32</w:t>
            </w:r>
          </w:p>
        </w:tc>
        <w:tc>
          <w:tcPr>
            <w:tcW w:w="786" w:type="dxa"/>
            <w:tcBorders>
              <w:bottom w:val="single" w:sz="4" w:space="0" w:color="A6A6A6" w:themeColor="accent5"/>
            </w:tcBorders>
            <w:tcMar>
              <w:right w:w="113" w:type="dxa"/>
            </w:tcMar>
            <w:hideMark/>
          </w:tcPr>
          <w:p w14:paraId="0D3A07FC" w14:textId="77777777" w:rsidR="00F844B4" w:rsidRPr="00DC2A3C" w:rsidRDefault="00F844B4" w:rsidP="00074625">
            <w:pPr>
              <w:pStyle w:val="ARtabletextright"/>
            </w:pPr>
            <w:r w:rsidRPr="00DC2A3C">
              <w:t>23.8</w:t>
            </w:r>
          </w:p>
        </w:tc>
        <w:tc>
          <w:tcPr>
            <w:tcW w:w="1120" w:type="dxa"/>
            <w:tcBorders>
              <w:bottom w:val="single" w:sz="4" w:space="0" w:color="A6A6A6" w:themeColor="accent5"/>
            </w:tcBorders>
            <w:shd w:val="clear" w:color="auto" w:fill="E7E6E6" w:themeFill="background2"/>
            <w:tcMar>
              <w:right w:w="113" w:type="dxa"/>
            </w:tcMar>
            <w:hideMark/>
          </w:tcPr>
          <w:p w14:paraId="0650F4C4" w14:textId="77777777" w:rsidR="00F844B4" w:rsidRPr="00DC2A3C" w:rsidRDefault="00F844B4" w:rsidP="00074625">
            <w:pPr>
              <w:pStyle w:val="ARtabletextright"/>
            </w:pPr>
            <w:r w:rsidRPr="00DC2A3C">
              <w:t>10</w:t>
            </w:r>
          </w:p>
        </w:tc>
        <w:tc>
          <w:tcPr>
            <w:tcW w:w="949" w:type="dxa"/>
            <w:tcBorders>
              <w:bottom w:val="single" w:sz="4" w:space="0" w:color="A6A6A6" w:themeColor="accent5"/>
            </w:tcBorders>
            <w:shd w:val="clear" w:color="auto" w:fill="E7E6E6" w:themeFill="background2"/>
            <w:tcMar>
              <w:right w:w="113" w:type="dxa"/>
            </w:tcMar>
            <w:hideMark/>
          </w:tcPr>
          <w:p w14:paraId="6ACAA8BD" w14:textId="77777777" w:rsidR="00F844B4" w:rsidRPr="00DC2A3C" w:rsidRDefault="00F844B4" w:rsidP="00074625">
            <w:pPr>
              <w:pStyle w:val="ARtabletextright"/>
            </w:pPr>
            <w:r w:rsidRPr="00DC2A3C">
              <w:t>13</w:t>
            </w:r>
          </w:p>
        </w:tc>
        <w:tc>
          <w:tcPr>
            <w:tcW w:w="957" w:type="dxa"/>
            <w:tcBorders>
              <w:bottom w:val="single" w:sz="4" w:space="0" w:color="A6A6A6" w:themeColor="accent5"/>
            </w:tcBorders>
            <w:shd w:val="clear" w:color="auto" w:fill="E7E6E6" w:themeFill="background2"/>
            <w:tcMar>
              <w:right w:w="113" w:type="dxa"/>
            </w:tcMar>
            <w:hideMark/>
          </w:tcPr>
          <w:p w14:paraId="7BB85AEF" w14:textId="77777777" w:rsidR="00F844B4" w:rsidRPr="00DC2A3C" w:rsidRDefault="00F844B4" w:rsidP="00074625">
            <w:pPr>
              <w:pStyle w:val="ARtabletextright"/>
            </w:pPr>
            <w:r w:rsidRPr="00DC2A3C">
              <w:t>16.6</w:t>
            </w:r>
          </w:p>
        </w:tc>
        <w:tc>
          <w:tcPr>
            <w:tcW w:w="956" w:type="dxa"/>
            <w:tcBorders>
              <w:bottom w:val="single" w:sz="4" w:space="0" w:color="A6A6A6" w:themeColor="accent5"/>
            </w:tcBorders>
            <w:tcMar>
              <w:right w:w="113" w:type="dxa"/>
            </w:tcMar>
            <w:hideMark/>
          </w:tcPr>
          <w:p w14:paraId="6A8581D3" w14:textId="77777777" w:rsidR="00F844B4" w:rsidRPr="00DC2A3C" w:rsidRDefault="00F844B4" w:rsidP="00074625">
            <w:pPr>
              <w:pStyle w:val="ARtabletextright"/>
            </w:pPr>
            <w:r w:rsidRPr="00DC2A3C">
              <w:t>9</w:t>
            </w:r>
          </w:p>
        </w:tc>
        <w:tc>
          <w:tcPr>
            <w:tcW w:w="957" w:type="dxa"/>
            <w:tcBorders>
              <w:bottom w:val="single" w:sz="4" w:space="0" w:color="A6A6A6" w:themeColor="accent5"/>
            </w:tcBorders>
            <w:tcMar>
              <w:right w:w="113" w:type="dxa"/>
            </w:tcMar>
            <w:hideMark/>
          </w:tcPr>
          <w:p w14:paraId="1ED2775C" w14:textId="77777777" w:rsidR="00F844B4" w:rsidRPr="00DC2A3C" w:rsidRDefault="00F844B4" w:rsidP="00074625">
            <w:pPr>
              <w:pStyle w:val="ARtabletextright"/>
            </w:pPr>
            <w:r w:rsidRPr="00DC2A3C">
              <w:t>7.3</w:t>
            </w:r>
          </w:p>
        </w:tc>
      </w:tr>
      <w:tr w:rsidR="008D68DC" w:rsidRPr="00DC2A3C" w14:paraId="557550A4" w14:textId="77777777" w:rsidTr="00D119D2">
        <w:trPr>
          <w:cantSplit w:val="0"/>
          <w:trHeight w:val="300"/>
        </w:trPr>
        <w:tc>
          <w:tcPr>
            <w:tcW w:w="1087" w:type="dxa"/>
            <w:tcBorders>
              <w:top w:val="single" w:sz="4" w:space="0" w:color="A6A6A6" w:themeColor="accent5"/>
              <w:bottom w:val="single" w:sz="4" w:space="0" w:color="auto"/>
            </w:tcBorders>
            <w:hideMark/>
          </w:tcPr>
          <w:p w14:paraId="456CA962" w14:textId="77777777" w:rsidR="00F844B4" w:rsidRPr="00DC2A3C" w:rsidRDefault="00F844B4" w:rsidP="00074625">
            <w:pPr>
              <w:pStyle w:val="ARtabletext"/>
            </w:pPr>
            <w:r w:rsidRPr="00DC2A3C">
              <w:t>AH 4</w:t>
            </w:r>
          </w:p>
        </w:tc>
        <w:tc>
          <w:tcPr>
            <w:tcW w:w="954" w:type="dxa"/>
            <w:tcBorders>
              <w:top w:val="single" w:sz="4" w:space="0" w:color="A6A6A6" w:themeColor="accent5"/>
              <w:bottom w:val="single" w:sz="4" w:space="0" w:color="auto"/>
            </w:tcBorders>
            <w:shd w:val="clear" w:color="auto" w:fill="E7E6E6" w:themeFill="background2"/>
            <w:tcMar>
              <w:right w:w="113" w:type="dxa"/>
            </w:tcMar>
            <w:hideMark/>
          </w:tcPr>
          <w:p w14:paraId="74AAF2B5" w14:textId="77777777" w:rsidR="00F844B4" w:rsidRPr="00DC2A3C" w:rsidRDefault="00F844B4" w:rsidP="00074625">
            <w:pPr>
              <w:pStyle w:val="ARtabletextright"/>
            </w:pPr>
            <w:r w:rsidRPr="00DC2A3C">
              <w:t>4</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5D2E0F59" w14:textId="77777777" w:rsidR="00F844B4" w:rsidRPr="00DC2A3C" w:rsidRDefault="00F844B4" w:rsidP="00074625">
            <w:pPr>
              <w:pStyle w:val="ARtabletextright"/>
            </w:pPr>
            <w:r w:rsidRPr="00DC2A3C">
              <w:t>4</w:t>
            </w:r>
          </w:p>
        </w:tc>
        <w:tc>
          <w:tcPr>
            <w:tcW w:w="948" w:type="dxa"/>
            <w:tcBorders>
              <w:top w:val="single" w:sz="4" w:space="0" w:color="A6A6A6" w:themeColor="accent5"/>
              <w:bottom w:val="single" w:sz="4" w:space="0" w:color="auto"/>
            </w:tcBorders>
            <w:tcMar>
              <w:right w:w="113" w:type="dxa"/>
            </w:tcMar>
            <w:hideMark/>
          </w:tcPr>
          <w:p w14:paraId="4B0FC470" w14:textId="77777777" w:rsidR="00F844B4" w:rsidRPr="00DC2A3C" w:rsidRDefault="00F844B4" w:rsidP="00074625">
            <w:pPr>
              <w:pStyle w:val="ARtabletextright"/>
            </w:pPr>
            <w:r w:rsidRPr="00DC2A3C">
              <w:t>3</w:t>
            </w:r>
          </w:p>
        </w:tc>
        <w:tc>
          <w:tcPr>
            <w:tcW w:w="948" w:type="dxa"/>
            <w:tcBorders>
              <w:top w:val="single" w:sz="4" w:space="0" w:color="A6A6A6" w:themeColor="accent5"/>
              <w:bottom w:val="single" w:sz="4" w:space="0" w:color="auto"/>
            </w:tcBorders>
            <w:tcMar>
              <w:right w:w="113" w:type="dxa"/>
            </w:tcMar>
            <w:hideMark/>
          </w:tcPr>
          <w:p w14:paraId="36EFE73D" w14:textId="77777777" w:rsidR="00F844B4" w:rsidRPr="00DC2A3C" w:rsidRDefault="00F844B4" w:rsidP="00074625">
            <w:pPr>
              <w:pStyle w:val="ARtabletextright"/>
            </w:pPr>
            <w:r w:rsidRPr="00DC2A3C">
              <w:t>0</w:t>
            </w:r>
          </w:p>
        </w:tc>
        <w:tc>
          <w:tcPr>
            <w:tcW w:w="956" w:type="dxa"/>
            <w:tcBorders>
              <w:top w:val="single" w:sz="4" w:space="0" w:color="A6A6A6" w:themeColor="accent5"/>
              <w:bottom w:val="single" w:sz="4" w:space="0" w:color="auto"/>
            </w:tcBorders>
            <w:tcMar>
              <w:right w:w="113" w:type="dxa"/>
            </w:tcMar>
            <w:hideMark/>
          </w:tcPr>
          <w:p w14:paraId="2C86CDE0" w14:textId="77777777" w:rsidR="00F844B4" w:rsidRPr="00DC2A3C" w:rsidRDefault="00F844B4" w:rsidP="00074625">
            <w:pPr>
              <w:pStyle w:val="ARtabletextright"/>
            </w:pPr>
            <w:r w:rsidRPr="00DC2A3C">
              <w:t>3</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4A94E57D" w14:textId="77777777" w:rsidR="00F844B4" w:rsidRPr="00DC2A3C" w:rsidRDefault="00F844B4" w:rsidP="00074625">
            <w:pPr>
              <w:pStyle w:val="ARtabletextright"/>
            </w:pPr>
            <w:r w:rsidRPr="00DC2A3C">
              <w:t>1</w:t>
            </w:r>
          </w:p>
        </w:tc>
        <w:tc>
          <w:tcPr>
            <w:tcW w:w="951" w:type="dxa"/>
            <w:tcBorders>
              <w:top w:val="single" w:sz="4" w:space="0" w:color="A6A6A6" w:themeColor="accent5"/>
              <w:bottom w:val="single" w:sz="4" w:space="0" w:color="auto"/>
            </w:tcBorders>
            <w:shd w:val="clear" w:color="auto" w:fill="E7E6E6" w:themeFill="background2"/>
            <w:tcMar>
              <w:right w:w="113" w:type="dxa"/>
            </w:tcMar>
            <w:hideMark/>
          </w:tcPr>
          <w:p w14:paraId="4D34C174" w14:textId="77777777" w:rsidR="00F844B4" w:rsidRPr="00DC2A3C" w:rsidRDefault="00F844B4" w:rsidP="00074625">
            <w:pPr>
              <w:pStyle w:val="ARtabletextright"/>
            </w:pPr>
            <w:r w:rsidRPr="00DC2A3C">
              <w:t>1</w:t>
            </w:r>
          </w:p>
        </w:tc>
        <w:tc>
          <w:tcPr>
            <w:tcW w:w="956" w:type="dxa"/>
            <w:tcBorders>
              <w:top w:val="single" w:sz="4" w:space="0" w:color="A6A6A6" w:themeColor="accent5"/>
              <w:bottom w:val="single" w:sz="4" w:space="0" w:color="auto"/>
            </w:tcBorders>
            <w:tcMar>
              <w:right w:w="113" w:type="dxa"/>
            </w:tcMar>
            <w:hideMark/>
          </w:tcPr>
          <w:p w14:paraId="7BEE5F32" w14:textId="77777777" w:rsidR="00F844B4" w:rsidRPr="00DC2A3C" w:rsidRDefault="00F844B4" w:rsidP="00074625">
            <w:pPr>
              <w:pStyle w:val="ARtabletextright"/>
            </w:pPr>
            <w:r w:rsidRPr="00DC2A3C">
              <w:t>4</w:t>
            </w:r>
          </w:p>
        </w:tc>
        <w:tc>
          <w:tcPr>
            <w:tcW w:w="786" w:type="dxa"/>
            <w:tcBorders>
              <w:top w:val="single" w:sz="4" w:space="0" w:color="A6A6A6" w:themeColor="accent5"/>
              <w:bottom w:val="single" w:sz="4" w:space="0" w:color="auto"/>
            </w:tcBorders>
            <w:tcMar>
              <w:right w:w="113" w:type="dxa"/>
            </w:tcMar>
            <w:hideMark/>
          </w:tcPr>
          <w:p w14:paraId="02C6FC20" w14:textId="77777777" w:rsidR="00F844B4" w:rsidRPr="00DC2A3C" w:rsidRDefault="00F844B4" w:rsidP="00074625">
            <w:pPr>
              <w:pStyle w:val="ARtabletextright"/>
            </w:pPr>
            <w:r w:rsidRPr="00DC2A3C">
              <w:t>4</w:t>
            </w:r>
          </w:p>
        </w:tc>
        <w:tc>
          <w:tcPr>
            <w:tcW w:w="1120" w:type="dxa"/>
            <w:tcBorders>
              <w:top w:val="single" w:sz="4" w:space="0" w:color="A6A6A6" w:themeColor="accent5"/>
              <w:bottom w:val="single" w:sz="4" w:space="0" w:color="auto"/>
            </w:tcBorders>
            <w:shd w:val="clear" w:color="auto" w:fill="E7E6E6" w:themeFill="background2"/>
            <w:tcMar>
              <w:right w:w="113" w:type="dxa"/>
            </w:tcMar>
            <w:hideMark/>
          </w:tcPr>
          <w:p w14:paraId="26C30DF3" w14:textId="77777777" w:rsidR="00F844B4" w:rsidRPr="00DC2A3C" w:rsidRDefault="00F844B4" w:rsidP="00074625">
            <w:pPr>
              <w:pStyle w:val="ARtabletextright"/>
            </w:pPr>
            <w:r w:rsidRPr="00DC2A3C">
              <w:t>3</w:t>
            </w:r>
          </w:p>
        </w:tc>
        <w:tc>
          <w:tcPr>
            <w:tcW w:w="949" w:type="dxa"/>
            <w:tcBorders>
              <w:top w:val="single" w:sz="4" w:space="0" w:color="A6A6A6" w:themeColor="accent5"/>
              <w:bottom w:val="single" w:sz="4" w:space="0" w:color="auto"/>
            </w:tcBorders>
            <w:shd w:val="clear" w:color="auto" w:fill="E7E6E6" w:themeFill="background2"/>
            <w:tcMar>
              <w:right w:w="113" w:type="dxa"/>
            </w:tcMar>
            <w:hideMark/>
          </w:tcPr>
          <w:p w14:paraId="23FAF135" w14:textId="77777777" w:rsidR="00F844B4" w:rsidRPr="00DC2A3C" w:rsidRDefault="00F844B4" w:rsidP="00074625">
            <w:pPr>
              <w:pStyle w:val="ARtabletextright"/>
            </w:pPr>
            <w:r w:rsidRPr="00DC2A3C">
              <w:t>0</w:t>
            </w:r>
          </w:p>
        </w:tc>
        <w:tc>
          <w:tcPr>
            <w:tcW w:w="957" w:type="dxa"/>
            <w:tcBorders>
              <w:top w:val="single" w:sz="4" w:space="0" w:color="A6A6A6" w:themeColor="accent5"/>
              <w:bottom w:val="single" w:sz="4" w:space="0" w:color="auto"/>
            </w:tcBorders>
            <w:shd w:val="clear" w:color="auto" w:fill="E7E6E6" w:themeFill="background2"/>
            <w:tcMar>
              <w:right w:w="113" w:type="dxa"/>
            </w:tcMar>
            <w:hideMark/>
          </w:tcPr>
          <w:p w14:paraId="6D044522" w14:textId="77777777" w:rsidR="00F844B4" w:rsidRPr="00DC2A3C" w:rsidRDefault="00F844B4" w:rsidP="00074625">
            <w:pPr>
              <w:pStyle w:val="ARtabletextright"/>
            </w:pPr>
            <w:r w:rsidRPr="00DC2A3C">
              <w:t>3</w:t>
            </w:r>
          </w:p>
        </w:tc>
        <w:tc>
          <w:tcPr>
            <w:tcW w:w="956" w:type="dxa"/>
            <w:tcBorders>
              <w:top w:val="single" w:sz="4" w:space="0" w:color="A6A6A6" w:themeColor="accent5"/>
              <w:bottom w:val="single" w:sz="4" w:space="0" w:color="auto"/>
            </w:tcBorders>
            <w:tcMar>
              <w:right w:w="113" w:type="dxa"/>
            </w:tcMar>
            <w:hideMark/>
          </w:tcPr>
          <w:p w14:paraId="57DD231C" w14:textId="77777777" w:rsidR="00F844B4" w:rsidRPr="00DC2A3C" w:rsidRDefault="00F844B4" w:rsidP="00074625">
            <w:pPr>
              <w:pStyle w:val="ARtabletextright"/>
            </w:pPr>
            <w:r w:rsidRPr="00DC2A3C">
              <w:t>1</w:t>
            </w:r>
          </w:p>
        </w:tc>
        <w:tc>
          <w:tcPr>
            <w:tcW w:w="957" w:type="dxa"/>
            <w:tcBorders>
              <w:top w:val="single" w:sz="4" w:space="0" w:color="A6A6A6" w:themeColor="accent5"/>
              <w:bottom w:val="single" w:sz="4" w:space="0" w:color="auto"/>
            </w:tcBorders>
            <w:tcMar>
              <w:right w:w="113" w:type="dxa"/>
            </w:tcMar>
            <w:hideMark/>
          </w:tcPr>
          <w:p w14:paraId="5998C974" w14:textId="77777777" w:rsidR="00F844B4" w:rsidRPr="00DC2A3C" w:rsidRDefault="00F844B4" w:rsidP="00074625">
            <w:pPr>
              <w:pStyle w:val="ARtabletextright"/>
            </w:pPr>
            <w:r w:rsidRPr="00DC2A3C">
              <w:t>1</w:t>
            </w:r>
          </w:p>
        </w:tc>
      </w:tr>
      <w:tr w:rsidR="008D68DC" w:rsidRPr="00DC2A3C" w14:paraId="18278DE7" w14:textId="77777777" w:rsidTr="00D119D2">
        <w:trPr>
          <w:cantSplit w:val="0"/>
          <w:trHeight w:val="300"/>
        </w:trPr>
        <w:tc>
          <w:tcPr>
            <w:tcW w:w="1087" w:type="dxa"/>
            <w:tcBorders>
              <w:top w:val="single" w:sz="4" w:space="0" w:color="auto"/>
              <w:bottom w:val="single" w:sz="4" w:space="0" w:color="auto"/>
            </w:tcBorders>
            <w:hideMark/>
          </w:tcPr>
          <w:p w14:paraId="10A373D4" w14:textId="77777777" w:rsidR="00F844B4" w:rsidRPr="00DC2A3C" w:rsidRDefault="00F844B4" w:rsidP="00074625">
            <w:pPr>
              <w:pStyle w:val="ARtabletextbold"/>
            </w:pPr>
            <w:r w:rsidRPr="00DC2A3C">
              <w:t>Total</w:t>
            </w:r>
          </w:p>
        </w:tc>
        <w:tc>
          <w:tcPr>
            <w:tcW w:w="954" w:type="dxa"/>
            <w:tcBorders>
              <w:top w:val="single" w:sz="4" w:space="0" w:color="auto"/>
              <w:bottom w:val="single" w:sz="4" w:space="0" w:color="auto"/>
            </w:tcBorders>
            <w:shd w:val="clear" w:color="auto" w:fill="E7E6E6" w:themeFill="background2"/>
            <w:tcMar>
              <w:right w:w="113" w:type="dxa"/>
            </w:tcMar>
            <w:hideMark/>
          </w:tcPr>
          <w:p w14:paraId="699F5418" w14:textId="77777777" w:rsidR="00F844B4" w:rsidRPr="00DC2A3C" w:rsidRDefault="00F844B4" w:rsidP="00074625">
            <w:pPr>
              <w:pStyle w:val="ARtabletextrightbold"/>
            </w:pPr>
            <w:r w:rsidRPr="00DC2A3C">
              <w:t>49</w:t>
            </w:r>
          </w:p>
        </w:tc>
        <w:tc>
          <w:tcPr>
            <w:tcW w:w="956" w:type="dxa"/>
            <w:tcBorders>
              <w:top w:val="single" w:sz="4" w:space="0" w:color="auto"/>
              <w:bottom w:val="single" w:sz="4" w:space="0" w:color="auto"/>
            </w:tcBorders>
            <w:shd w:val="clear" w:color="auto" w:fill="E7E6E6" w:themeFill="background2"/>
            <w:tcMar>
              <w:right w:w="113" w:type="dxa"/>
            </w:tcMar>
            <w:hideMark/>
          </w:tcPr>
          <w:p w14:paraId="206A12E2" w14:textId="77777777" w:rsidR="00F844B4" w:rsidRPr="00DC2A3C" w:rsidRDefault="00F844B4" w:rsidP="00074625">
            <w:pPr>
              <w:pStyle w:val="ARtabletextrightbold"/>
            </w:pPr>
            <w:r w:rsidRPr="00DC2A3C">
              <w:t>37.43</w:t>
            </w:r>
          </w:p>
        </w:tc>
        <w:tc>
          <w:tcPr>
            <w:tcW w:w="948" w:type="dxa"/>
            <w:tcBorders>
              <w:top w:val="single" w:sz="4" w:space="0" w:color="auto"/>
              <w:bottom w:val="single" w:sz="4" w:space="0" w:color="auto"/>
            </w:tcBorders>
            <w:tcMar>
              <w:right w:w="113" w:type="dxa"/>
            </w:tcMar>
            <w:hideMark/>
          </w:tcPr>
          <w:p w14:paraId="20632CBD" w14:textId="77777777" w:rsidR="00F844B4" w:rsidRPr="00DC2A3C" w:rsidRDefault="00F844B4" w:rsidP="00074625">
            <w:pPr>
              <w:pStyle w:val="ARtabletextrightbold"/>
            </w:pPr>
            <w:r w:rsidRPr="00DC2A3C">
              <w:t>18</w:t>
            </w:r>
          </w:p>
        </w:tc>
        <w:tc>
          <w:tcPr>
            <w:tcW w:w="948" w:type="dxa"/>
            <w:tcBorders>
              <w:top w:val="single" w:sz="4" w:space="0" w:color="auto"/>
              <w:bottom w:val="single" w:sz="4" w:space="0" w:color="auto"/>
            </w:tcBorders>
            <w:tcMar>
              <w:right w:w="113" w:type="dxa"/>
            </w:tcMar>
            <w:hideMark/>
          </w:tcPr>
          <w:p w14:paraId="17B810D3" w14:textId="77777777" w:rsidR="00F844B4" w:rsidRPr="00DC2A3C" w:rsidRDefault="00F844B4" w:rsidP="00074625">
            <w:pPr>
              <w:pStyle w:val="ARtabletextrightbold"/>
            </w:pPr>
            <w:r w:rsidRPr="00DC2A3C">
              <w:t>17</w:t>
            </w:r>
          </w:p>
        </w:tc>
        <w:tc>
          <w:tcPr>
            <w:tcW w:w="956" w:type="dxa"/>
            <w:tcBorders>
              <w:top w:val="single" w:sz="4" w:space="0" w:color="auto"/>
              <w:bottom w:val="single" w:sz="4" w:space="0" w:color="auto"/>
            </w:tcBorders>
            <w:tcMar>
              <w:right w:w="113" w:type="dxa"/>
            </w:tcMar>
            <w:hideMark/>
          </w:tcPr>
          <w:p w14:paraId="0B6A310B" w14:textId="77777777" w:rsidR="00F844B4" w:rsidRPr="00DC2A3C" w:rsidRDefault="00F844B4" w:rsidP="00074625">
            <w:pPr>
              <w:pStyle w:val="ARtabletextrightbold"/>
            </w:pPr>
            <w:r w:rsidRPr="00DC2A3C">
              <w:t>26.88</w:t>
            </w:r>
          </w:p>
        </w:tc>
        <w:tc>
          <w:tcPr>
            <w:tcW w:w="956" w:type="dxa"/>
            <w:tcBorders>
              <w:top w:val="single" w:sz="4" w:space="0" w:color="auto"/>
              <w:bottom w:val="single" w:sz="4" w:space="0" w:color="auto"/>
            </w:tcBorders>
            <w:shd w:val="clear" w:color="auto" w:fill="E7E6E6" w:themeFill="background2"/>
            <w:tcMar>
              <w:right w:w="113" w:type="dxa"/>
            </w:tcMar>
            <w:hideMark/>
          </w:tcPr>
          <w:p w14:paraId="03E823EE" w14:textId="77777777" w:rsidR="00F844B4" w:rsidRPr="00DC2A3C" w:rsidRDefault="00F844B4" w:rsidP="00074625">
            <w:pPr>
              <w:pStyle w:val="ARtabletextrightbold"/>
            </w:pPr>
            <w:r w:rsidRPr="00DC2A3C">
              <w:t>14</w:t>
            </w:r>
          </w:p>
        </w:tc>
        <w:tc>
          <w:tcPr>
            <w:tcW w:w="951" w:type="dxa"/>
            <w:tcBorders>
              <w:top w:val="single" w:sz="4" w:space="0" w:color="auto"/>
              <w:bottom w:val="single" w:sz="4" w:space="0" w:color="auto"/>
            </w:tcBorders>
            <w:shd w:val="clear" w:color="auto" w:fill="E7E6E6" w:themeFill="background2"/>
            <w:tcMar>
              <w:right w:w="113" w:type="dxa"/>
            </w:tcMar>
            <w:hideMark/>
          </w:tcPr>
          <w:p w14:paraId="7BB70606" w14:textId="77777777" w:rsidR="00F844B4" w:rsidRPr="00DC2A3C" w:rsidRDefault="00F844B4" w:rsidP="00074625">
            <w:pPr>
              <w:pStyle w:val="ARtabletextrightbold"/>
            </w:pPr>
            <w:r w:rsidRPr="00DC2A3C">
              <w:t>10.55</w:t>
            </w:r>
          </w:p>
        </w:tc>
        <w:tc>
          <w:tcPr>
            <w:tcW w:w="956" w:type="dxa"/>
            <w:tcBorders>
              <w:top w:val="single" w:sz="4" w:space="0" w:color="auto"/>
              <w:bottom w:val="single" w:sz="4" w:space="0" w:color="auto"/>
            </w:tcBorders>
            <w:tcMar>
              <w:right w:w="113" w:type="dxa"/>
            </w:tcMar>
            <w:hideMark/>
          </w:tcPr>
          <w:p w14:paraId="376F0699" w14:textId="77777777" w:rsidR="00F844B4" w:rsidRPr="00DC2A3C" w:rsidRDefault="00F844B4" w:rsidP="00074625">
            <w:pPr>
              <w:pStyle w:val="ARtabletextrightbold"/>
            </w:pPr>
            <w:r w:rsidRPr="00DC2A3C">
              <w:t>44</w:t>
            </w:r>
          </w:p>
        </w:tc>
        <w:tc>
          <w:tcPr>
            <w:tcW w:w="786" w:type="dxa"/>
            <w:tcBorders>
              <w:top w:val="single" w:sz="4" w:space="0" w:color="auto"/>
              <w:bottom w:val="single" w:sz="4" w:space="0" w:color="auto"/>
            </w:tcBorders>
            <w:tcMar>
              <w:right w:w="113" w:type="dxa"/>
            </w:tcMar>
            <w:hideMark/>
          </w:tcPr>
          <w:p w14:paraId="395CDD25" w14:textId="77777777" w:rsidR="00F844B4" w:rsidRPr="00DC2A3C" w:rsidRDefault="00F844B4" w:rsidP="00074625">
            <w:pPr>
              <w:pStyle w:val="ARtabletextrightbold"/>
            </w:pPr>
            <w:r w:rsidRPr="00DC2A3C">
              <w:t>35</w:t>
            </w:r>
          </w:p>
        </w:tc>
        <w:tc>
          <w:tcPr>
            <w:tcW w:w="1120" w:type="dxa"/>
            <w:tcBorders>
              <w:top w:val="single" w:sz="4" w:space="0" w:color="auto"/>
              <w:bottom w:val="single" w:sz="4" w:space="0" w:color="auto"/>
            </w:tcBorders>
            <w:shd w:val="clear" w:color="auto" w:fill="E7E6E6" w:themeFill="background2"/>
            <w:tcMar>
              <w:right w:w="113" w:type="dxa"/>
            </w:tcMar>
            <w:hideMark/>
          </w:tcPr>
          <w:p w14:paraId="3A9CABCF" w14:textId="77777777" w:rsidR="00F844B4" w:rsidRPr="00DC2A3C" w:rsidRDefault="00F844B4" w:rsidP="00074625">
            <w:pPr>
              <w:pStyle w:val="ARtabletextrightbold"/>
            </w:pPr>
            <w:r w:rsidRPr="00DC2A3C">
              <w:t>20</w:t>
            </w:r>
          </w:p>
        </w:tc>
        <w:tc>
          <w:tcPr>
            <w:tcW w:w="949" w:type="dxa"/>
            <w:tcBorders>
              <w:top w:val="single" w:sz="4" w:space="0" w:color="auto"/>
              <w:bottom w:val="single" w:sz="4" w:space="0" w:color="auto"/>
            </w:tcBorders>
            <w:shd w:val="clear" w:color="auto" w:fill="E7E6E6" w:themeFill="background2"/>
            <w:tcMar>
              <w:right w:w="113" w:type="dxa"/>
            </w:tcMar>
            <w:hideMark/>
          </w:tcPr>
          <w:p w14:paraId="2777F619" w14:textId="77777777" w:rsidR="00F844B4" w:rsidRPr="00DC2A3C" w:rsidRDefault="00F844B4" w:rsidP="00074625">
            <w:pPr>
              <w:pStyle w:val="ARtabletextrightbold"/>
            </w:pPr>
            <w:r w:rsidRPr="00DC2A3C">
              <w:t>14</w:t>
            </w:r>
          </w:p>
        </w:tc>
        <w:tc>
          <w:tcPr>
            <w:tcW w:w="957" w:type="dxa"/>
            <w:tcBorders>
              <w:top w:val="single" w:sz="4" w:space="0" w:color="auto"/>
              <w:bottom w:val="single" w:sz="4" w:space="0" w:color="auto"/>
            </w:tcBorders>
            <w:shd w:val="clear" w:color="auto" w:fill="E7E6E6" w:themeFill="background2"/>
            <w:tcMar>
              <w:right w:w="113" w:type="dxa"/>
            </w:tcMar>
            <w:hideMark/>
          </w:tcPr>
          <w:p w14:paraId="4028E503" w14:textId="77777777" w:rsidR="00F844B4" w:rsidRPr="00DC2A3C" w:rsidRDefault="00F844B4" w:rsidP="00074625">
            <w:pPr>
              <w:pStyle w:val="ARtabletextrightbold"/>
            </w:pPr>
            <w:r w:rsidRPr="00DC2A3C">
              <w:t>26.8</w:t>
            </w:r>
          </w:p>
        </w:tc>
        <w:tc>
          <w:tcPr>
            <w:tcW w:w="956" w:type="dxa"/>
            <w:tcBorders>
              <w:top w:val="single" w:sz="4" w:space="0" w:color="auto"/>
              <w:bottom w:val="single" w:sz="4" w:space="0" w:color="auto"/>
            </w:tcBorders>
            <w:tcMar>
              <w:right w:w="113" w:type="dxa"/>
            </w:tcMar>
            <w:hideMark/>
          </w:tcPr>
          <w:p w14:paraId="7BE68C50" w14:textId="77777777" w:rsidR="00F844B4" w:rsidRPr="00DC2A3C" w:rsidRDefault="00F844B4" w:rsidP="00074625">
            <w:pPr>
              <w:pStyle w:val="ARtabletextrightbold"/>
            </w:pPr>
            <w:r w:rsidRPr="00DC2A3C">
              <w:t>10</w:t>
            </w:r>
          </w:p>
        </w:tc>
        <w:tc>
          <w:tcPr>
            <w:tcW w:w="957" w:type="dxa"/>
            <w:tcBorders>
              <w:top w:val="single" w:sz="4" w:space="0" w:color="auto"/>
              <w:bottom w:val="single" w:sz="4" w:space="0" w:color="auto"/>
            </w:tcBorders>
            <w:tcMar>
              <w:right w:w="113" w:type="dxa"/>
            </w:tcMar>
            <w:hideMark/>
          </w:tcPr>
          <w:p w14:paraId="56A1CC4D" w14:textId="77777777" w:rsidR="00F844B4" w:rsidRPr="00DC2A3C" w:rsidRDefault="00F844B4" w:rsidP="00074625">
            <w:pPr>
              <w:pStyle w:val="ARtabletextrightbold"/>
            </w:pPr>
            <w:r w:rsidRPr="00DC2A3C">
              <w:t>8.3</w:t>
            </w:r>
          </w:p>
        </w:tc>
      </w:tr>
      <w:tr w:rsidR="00F844B4" w:rsidRPr="00DC2A3C" w14:paraId="5E1A3AA1" w14:textId="77777777" w:rsidTr="00D119D2">
        <w:trPr>
          <w:cantSplit w:val="0"/>
          <w:trHeight w:val="300"/>
        </w:trPr>
        <w:tc>
          <w:tcPr>
            <w:tcW w:w="14437" w:type="dxa"/>
            <w:gridSpan w:val="15"/>
            <w:tcBorders>
              <w:top w:val="single" w:sz="4" w:space="0" w:color="auto"/>
              <w:bottom w:val="single" w:sz="4" w:space="0" w:color="A6A6A6" w:themeColor="accent5"/>
            </w:tcBorders>
            <w:tcMar>
              <w:right w:w="113" w:type="dxa"/>
            </w:tcMar>
            <w:hideMark/>
          </w:tcPr>
          <w:p w14:paraId="407B87EC" w14:textId="77777777" w:rsidR="00F844B4" w:rsidRPr="00DC2A3C" w:rsidRDefault="00F844B4" w:rsidP="00074625">
            <w:pPr>
              <w:pStyle w:val="ARtabletextcolourbold"/>
            </w:pPr>
            <w:r w:rsidRPr="00DC2A3C">
              <w:t>Disability Services</w:t>
            </w:r>
          </w:p>
        </w:tc>
      </w:tr>
      <w:tr w:rsidR="008D68DC" w:rsidRPr="00DC2A3C" w14:paraId="64E967C2" w14:textId="77777777" w:rsidTr="00D119D2">
        <w:trPr>
          <w:cantSplit w:val="0"/>
          <w:trHeight w:val="300"/>
        </w:trPr>
        <w:tc>
          <w:tcPr>
            <w:tcW w:w="1087" w:type="dxa"/>
            <w:tcBorders>
              <w:top w:val="single" w:sz="4" w:space="0" w:color="A6A6A6" w:themeColor="accent5"/>
            </w:tcBorders>
            <w:hideMark/>
          </w:tcPr>
          <w:p w14:paraId="2F4820C9" w14:textId="77777777" w:rsidR="00F844B4" w:rsidRPr="00DC2A3C" w:rsidRDefault="00F844B4" w:rsidP="00074625">
            <w:pPr>
              <w:pStyle w:val="ARtabletext"/>
            </w:pPr>
            <w:r w:rsidRPr="00DC2A3C">
              <w:t>DDSO-1</w:t>
            </w:r>
          </w:p>
        </w:tc>
        <w:tc>
          <w:tcPr>
            <w:tcW w:w="954" w:type="dxa"/>
            <w:tcBorders>
              <w:top w:val="single" w:sz="4" w:space="0" w:color="A6A6A6" w:themeColor="accent5"/>
            </w:tcBorders>
            <w:shd w:val="clear" w:color="auto" w:fill="E7E6E6" w:themeFill="background2"/>
            <w:tcMar>
              <w:right w:w="113" w:type="dxa"/>
            </w:tcMar>
            <w:hideMark/>
          </w:tcPr>
          <w:p w14:paraId="7D1E80E1" w14:textId="77777777" w:rsidR="00F844B4" w:rsidRPr="00DC2A3C" w:rsidRDefault="00F844B4" w:rsidP="00074625">
            <w:pPr>
              <w:pStyle w:val="ARtabletextright"/>
            </w:pPr>
            <w:r w:rsidRPr="00DC2A3C">
              <w:t>8</w:t>
            </w:r>
          </w:p>
        </w:tc>
        <w:tc>
          <w:tcPr>
            <w:tcW w:w="956" w:type="dxa"/>
            <w:tcBorders>
              <w:top w:val="single" w:sz="4" w:space="0" w:color="A6A6A6" w:themeColor="accent5"/>
            </w:tcBorders>
            <w:shd w:val="clear" w:color="auto" w:fill="E7E6E6" w:themeFill="background2"/>
            <w:tcMar>
              <w:right w:w="113" w:type="dxa"/>
            </w:tcMar>
            <w:hideMark/>
          </w:tcPr>
          <w:p w14:paraId="16432AFB" w14:textId="77777777" w:rsidR="00F844B4" w:rsidRPr="00DC2A3C" w:rsidRDefault="00F844B4" w:rsidP="00074625">
            <w:pPr>
              <w:pStyle w:val="ARtabletextright"/>
            </w:pPr>
            <w:r w:rsidRPr="00DC2A3C">
              <w:t>6</w:t>
            </w:r>
          </w:p>
        </w:tc>
        <w:tc>
          <w:tcPr>
            <w:tcW w:w="948" w:type="dxa"/>
            <w:tcBorders>
              <w:top w:val="single" w:sz="4" w:space="0" w:color="A6A6A6" w:themeColor="accent5"/>
            </w:tcBorders>
            <w:tcMar>
              <w:right w:w="113" w:type="dxa"/>
            </w:tcMar>
            <w:hideMark/>
          </w:tcPr>
          <w:p w14:paraId="29D4A0BF" w14:textId="77777777" w:rsidR="00F844B4" w:rsidRPr="00DC2A3C" w:rsidRDefault="00F844B4" w:rsidP="00074625">
            <w:pPr>
              <w:pStyle w:val="ARtabletextright"/>
            </w:pPr>
            <w:r w:rsidRPr="00DC2A3C">
              <w:t>3</w:t>
            </w:r>
          </w:p>
        </w:tc>
        <w:tc>
          <w:tcPr>
            <w:tcW w:w="948" w:type="dxa"/>
            <w:tcBorders>
              <w:top w:val="single" w:sz="4" w:space="0" w:color="A6A6A6" w:themeColor="accent5"/>
            </w:tcBorders>
            <w:tcMar>
              <w:right w:w="113" w:type="dxa"/>
            </w:tcMar>
            <w:hideMark/>
          </w:tcPr>
          <w:p w14:paraId="5D2796C0" w14:textId="77777777" w:rsidR="00F844B4" w:rsidRPr="00DC2A3C" w:rsidRDefault="00F844B4" w:rsidP="00074625">
            <w:pPr>
              <w:pStyle w:val="ARtabletextright"/>
            </w:pPr>
            <w:r w:rsidRPr="00DC2A3C">
              <w:t>2</w:t>
            </w:r>
          </w:p>
        </w:tc>
        <w:tc>
          <w:tcPr>
            <w:tcW w:w="956" w:type="dxa"/>
            <w:tcBorders>
              <w:top w:val="single" w:sz="4" w:space="0" w:color="A6A6A6" w:themeColor="accent5"/>
            </w:tcBorders>
            <w:tcMar>
              <w:right w:w="113" w:type="dxa"/>
            </w:tcMar>
            <w:hideMark/>
          </w:tcPr>
          <w:p w14:paraId="52CF3C02" w14:textId="77777777" w:rsidR="00F844B4" w:rsidRPr="00DC2A3C" w:rsidRDefault="00F844B4" w:rsidP="00074625">
            <w:pPr>
              <w:pStyle w:val="ARtabletextright"/>
            </w:pPr>
            <w:r w:rsidRPr="00DC2A3C">
              <w:t>4.63</w:t>
            </w:r>
          </w:p>
        </w:tc>
        <w:tc>
          <w:tcPr>
            <w:tcW w:w="956" w:type="dxa"/>
            <w:tcBorders>
              <w:top w:val="single" w:sz="4" w:space="0" w:color="A6A6A6" w:themeColor="accent5"/>
            </w:tcBorders>
            <w:shd w:val="clear" w:color="auto" w:fill="E7E6E6" w:themeFill="background2"/>
            <w:tcMar>
              <w:right w:w="113" w:type="dxa"/>
            </w:tcMar>
            <w:hideMark/>
          </w:tcPr>
          <w:p w14:paraId="733E0705" w14:textId="77777777" w:rsidR="00F844B4" w:rsidRPr="00DC2A3C" w:rsidRDefault="00F844B4" w:rsidP="00074625">
            <w:pPr>
              <w:pStyle w:val="ARtabletextright"/>
            </w:pPr>
            <w:r w:rsidRPr="00DC2A3C">
              <w:t>3</w:t>
            </w:r>
          </w:p>
        </w:tc>
        <w:tc>
          <w:tcPr>
            <w:tcW w:w="951" w:type="dxa"/>
            <w:tcBorders>
              <w:top w:val="single" w:sz="4" w:space="0" w:color="A6A6A6" w:themeColor="accent5"/>
            </w:tcBorders>
            <w:shd w:val="clear" w:color="auto" w:fill="E7E6E6" w:themeFill="background2"/>
            <w:tcMar>
              <w:right w:w="113" w:type="dxa"/>
            </w:tcMar>
            <w:hideMark/>
          </w:tcPr>
          <w:p w14:paraId="2DA0330B" w14:textId="77777777" w:rsidR="00F844B4" w:rsidRPr="00DC2A3C" w:rsidRDefault="00F844B4" w:rsidP="00074625">
            <w:pPr>
              <w:pStyle w:val="ARtabletextright"/>
            </w:pPr>
            <w:r w:rsidRPr="00DC2A3C">
              <w:t>1.37</w:t>
            </w:r>
          </w:p>
        </w:tc>
        <w:tc>
          <w:tcPr>
            <w:tcW w:w="956" w:type="dxa"/>
            <w:tcBorders>
              <w:top w:val="single" w:sz="4" w:space="0" w:color="A6A6A6" w:themeColor="accent5"/>
            </w:tcBorders>
            <w:tcMar>
              <w:right w:w="113" w:type="dxa"/>
            </w:tcMar>
            <w:hideMark/>
          </w:tcPr>
          <w:p w14:paraId="75D2F9F2" w14:textId="77777777" w:rsidR="00F844B4" w:rsidRPr="00DC2A3C" w:rsidRDefault="00F844B4" w:rsidP="00074625">
            <w:pPr>
              <w:pStyle w:val="ARtabletextright"/>
            </w:pPr>
            <w:r w:rsidRPr="00DC2A3C">
              <w:t>86</w:t>
            </w:r>
          </w:p>
        </w:tc>
        <w:tc>
          <w:tcPr>
            <w:tcW w:w="786" w:type="dxa"/>
            <w:tcBorders>
              <w:top w:val="single" w:sz="4" w:space="0" w:color="A6A6A6" w:themeColor="accent5"/>
            </w:tcBorders>
            <w:tcMar>
              <w:right w:w="113" w:type="dxa"/>
            </w:tcMar>
            <w:hideMark/>
          </w:tcPr>
          <w:p w14:paraId="39CBA7A9" w14:textId="77777777" w:rsidR="00F844B4" w:rsidRPr="00DC2A3C" w:rsidRDefault="00F844B4" w:rsidP="00074625">
            <w:pPr>
              <w:pStyle w:val="ARtabletextright"/>
            </w:pPr>
            <w:r w:rsidRPr="00DC2A3C">
              <w:t>68.4</w:t>
            </w:r>
          </w:p>
        </w:tc>
        <w:tc>
          <w:tcPr>
            <w:tcW w:w="1120" w:type="dxa"/>
            <w:tcBorders>
              <w:top w:val="single" w:sz="4" w:space="0" w:color="A6A6A6" w:themeColor="accent5"/>
            </w:tcBorders>
            <w:shd w:val="clear" w:color="auto" w:fill="E7E6E6" w:themeFill="background2"/>
            <w:tcMar>
              <w:right w:w="113" w:type="dxa"/>
            </w:tcMar>
            <w:hideMark/>
          </w:tcPr>
          <w:p w14:paraId="54EBC3DA" w14:textId="77777777" w:rsidR="00F844B4" w:rsidRPr="00DC2A3C" w:rsidRDefault="00F844B4" w:rsidP="00074625">
            <w:pPr>
              <w:pStyle w:val="ARtabletextright"/>
            </w:pPr>
            <w:r w:rsidRPr="00DC2A3C">
              <w:t>35</w:t>
            </w:r>
          </w:p>
        </w:tc>
        <w:tc>
          <w:tcPr>
            <w:tcW w:w="949" w:type="dxa"/>
            <w:tcBorders>
              <w:top w:val="single" w:sz="4" w:space="0" w:color="A6A6A6" w:themeColor="accent5"/>
            </w:tcBorders>
            <w:shd w:val="clear" w:color="auto" w:fill="E7E6E6" w:themeFill="background2"/>
            <w:tcMar>
              <w:right w:w="113" w:type="dxa"/>
            </w:tcMar>
            <w:hideMark/>
          </w:tcPr>
          <w:p w14:paraId="73C56AA4" w14:textId="77777777" w:rsidR="00F844B4" w:rsidRPr="00DC2A3C" w:rsidRDefault="00F844B4" w:rsidP="00074625">
            <w:pPr>
              <w:pStyle w:val="ARtabletextright"/>
            </w:pPr>
            <w:r w:rsidRPr="00DC2A3C">
              <w:t>7</w:t>
            </w:r>
          </w:p>
        </w:tc>
        <w:tc>
          <w:tcPr>
            <w:tcW w:w="957" w:type="dxa"/>
            <w:tcBorders>
              <w:top w:val="single" w:sz="4" w:space="0" w:color="A6A6A6" w:themeColor="accent5"/>
            </w:tcBorders>
            <w:shd w:val="clear" w:color="auto" w:fill="E7E6E6" w:themeFill="background2"/>
            <w:tcMar>
              <w:right w:w="113" w:type="dxa"/>
            </w:tcMar>
            <w:hideMark/>
          </w:tcPr>
          <w:p w14:paraId="77991DB8" w14:textId="77777777" w:rsidR="00F844B4" w:rsidRPr="00DC2A3C" w:rsidRDefault="00F844B4" w:rsidP="00074625">
            <w:pPr>
              <w:pStyle w:val="ARtabletextright"/>
            </w:pPr>
            <w:r w:rsidRPr="00DC2A3C">
              <w:t>40.2</w:t>
            </w:r>
          </w:p>
        </w:tc>
        <w:tc>
          <w:tcPr>
            <w:tcW w:w="956" w:type="dxa"/>
            <w:tcBorders>
              <w:top w:val="single" w:sz="4" w:space="0" w:color="A6A6A6" w:themeColor="accent5"/>
            </w:tcBorders>
            <w:tcMar>
              <w:right w:w="113" w:type="dxa"/>
            </w:tcMar>
            <w:hideMark/>
          </w:tcPr>
          <w:p w14:paraId="48161DB2" w14:textId="77777777" w:rsidR="00F844B4" w:rsidRPr="00DC2A3C" w:rsidRDefault="00F844B4" w:rsidP="00074625">
            <w:pPr>
              <w:pStyle w:val="ARtabletextright"/>
            </w:pPr>
            <w:r w:rsidRPr="00DC2A3C">
              <w:t>44</w:t>
            </w:r>
          </w:p>
        </w:tc>
        <w:tc>
          <w:tcPr>
            <w:tcW w:w="957" w:type="dxa"/>
            <w:tcBorders>
              <w:top w:val="single" w:sz="4" w:space="0" w:color="A6A6A6" w:themeColor="accent5"/>
            </w:tcBorders>
            <w:tcMar>
              <w:right w:w="113" w:type="dxa"/>
            </w:tcMar>
            <w:hideMark/>
          </w:tcPr>
          <w:p w14:paraId="137E0744" w14:textId="77777777" w:rsidR="00F844B4" w:rsidRPr="00DC2A3C" w:rsidRDefault="00F844B4" w:rsidP="00074625">
            <w:pPr>
              <w:pStyle w:val="ARtabletextright"/>
            </w:pPr>
            <w:r w:rsidRPr="00DC2A3C">
              <w:t>28.2</w:t>
            </w:r>
          </w:p>
        </w:tc>
      </w:tr>
      <w:tr w:rsidR="008D68DC" w:rsidRPr="00DC2A3C" w14:paraId="43040FE1" w14:textId="77777777" w:rsidTr="00D119D2">
        <w:trPr>
          <w:cantSplit w:val="0"/>
          <w:trHeight w:val="300"/>
        </w:trPr>
        <w:tc>
          <w:tcPr>
            <w:tcW w:w="1087" w:type="dxa"/>
            <w:hideMark/>
          </w:tcPr>
          <w:p w14:paraId="693E762F" w14:textId="77777777" w:rsidR="00F844B4" w:rsidRPr="00DC2A3C" w:rsidRDefault="00F844B4" w:rsidP="00074625">
            <w:pPr>
              <w:pStyle w:val="ARtabletext"/>
            </w:pPr>
            <w:r w:rsidRPr="00DC2A3C">
              <w:t>DDSO-2</w:t>
            </w:r>
          </w:p>
        </w:tc>
        <w:tc>
          <w:tcPr>
            <w:tcW w:w="954" w:type="dxa"/>
            <w:shd w:val="clear" w:color="auto" w:fill="E7E6E6" w:themeFill="background2"/>
            <w:tcMar>
              <w:right w:w="113" w:type="dxa"/>
            </w:tcMar>
            <w:hideMark/>
          </w:tcPr>
          <w:p w14:paraId="1C48DAD1" w14:textId="77777777" w:rsidR="00F844B4" w:rsidRPr="00DC2A3C" w:rsidRDefault="00F844B4" w:rsidP="00074625">
            <w:pPr>
              <w:pStyle w:val="ARtabletextright"/>
            </w:pPr>
            <w:r w:rsidRPr="00DC2A3C">
              <w:t>93</w:t>
            </w:r>
          </w:p>
        </w:tc>
        <w:tc>
          <w:tcPr>
            <w:tcW w:w="956" w:type="dxa"/>
            <w:shd w:val="clear" w:color="auto" w:fill="E7E6E6" w:themeFill="background2"/>
            <w:tcMar>
              <w:right w:w="113" w:type="dxa"/>
            </w:tcMar>
            <w:hideMark/>
          </w:tcPr>
          <w:p w14:paraId="31FF536D" w14:textId="77777777" w:rsidR="00F844B4" w:rsidRPr="00DC2A3C" w:rsidRDefault="00F844B4" w:rsidP="00074625">
            <w:pPr>
              <w:pStyle w:val="ARtabletextright"/>
            </w:pPr>
            <w:r w:rsidRPr="00DC2A3C">
              <w:t>78.42</w:t>
            </w:r>
          </w:p>
        </w:tc>
        <w:tc>
          <w:tcPr>
            <w:tcW w:w="948" w:type="dxa"/>
            <w:tcMar>
              <w:right w:w="113" w:type="dxa"/>
            </w:tcMar>
            <w:hideMark/>
          </w:tcPr>
          <w:p w14:paraId="2B304BB9" w14:textId="77777777" w:rsidR="00F844B4" w:rsidRPr="00DC2A3C" w:rsidRDefault="00F844B4" w:rsidP="00074625">
            <w:pPr>
              <w:pStyle w:val="ARtabletextright"/>
            </w:pPr>
            <w:r w:rsidRPr="00DC2A3C">
              <w:t>40</w:t>
            </w:r>
          </w:p>
        </w:tc>
        <w:tc>
          <w:tcPr>
            <w:tcW w:w="948" w:type="dxa"/>
            <w:tcMar>
              <w:right w:w="113" w:type="dxa"/>
            </w:tcMar>
            <w:hideMark/>
          </w:tcPr>
          <w:p w14:paraId="76D5CADA" w14:textId="77777777" w:rsidR="00F844B4" w:rsidRPr="00DC2A3C" w:rsidRDefault="00F844B4" w:rsidP="00074625">
            <w:pPr>
              <w:pStyle w:val="ARtabletextright"/>
            </w:pPr>
            <w:r w:rsidRPr="00DC2A3C">
              <w:t>6</w:t>
            </w:r>
          </w:p>
        </w:tc>
        <w:tc>
          <w:tcPr>
            <w:tcW w:w="956" w:type="dxa"/>
            <w:tcMar>
              <w:right w:w="113" w:type="dxa"/>
            </w:tcMar>
            <w:hideMark/>
          </w:tcPr>
          <w:p w14:paraId="02D3F473" w14:textId="77777777" w:rsidR="00F844B4" w:rsidRPr="00DC2A3C" w:rsidRDefault="00F844B4" w:rsidP="00074625">
            <w:pPr>
              <w:pStyle w:val="ARtabletextright"/>
            </w:pPr>
            <w:r w:rsidRPr="00DC2A3C">
              <w:t>43.27</w:t>
            </w:r>
          </w:p>
        </w:tc>
        <w:tc>
          <w:tcPr>
            <w:tcW w:w="956" w:type="dxa"/>
            <w:shd w:val="clear" w:color="auto" w:fill="E7E6E6" w:themeFill="background2"/>
            <w:tcMar>
              <w:right w:w="113" w:type="dxa"/>
            </w:tcMar>
            <w:hideMark/>
          </w:tcPr>
          <w:p w14:paraId="18559EF2" w14:textId="77777777" w:rsidR="00F844B4" w:rsidRPr="00DC2A3C" w:rsidRDefault="00F844B4" w:rsidP="00074625">
            <w:pPr>
              <w:pStyle w:val="ARtabletextright"/>
            </w:pPr>
            <w:r w:rsidRPr="00DC2A3C">
              <w:t>47</w:t>
            </w:r>
          </w:p>
        </w:tc>
        <w:tc>
          <w:tcPr>
            <w:tcW w:w="951" w:type="dxa"/>
            <w:shd w:val="clear" w:color="auto" w:fill="E7E6E6" w:themeFill="background2"/>
            <w:tcMar>
              <w:right w:w="113" w:type="dxa"/>
            </w:tcMar>
            <w:hideMark/>
          </w:tcPr>
          <w:p w14:paraId="27BF621D" w14:textId="77777777" w:rsidR="00F844B4" w:rsidRPr="00DC2A3C" w:rsidRDefault="00F844B4" w:rsidP="00074625">
            <w:pPr>
              <w:pStyle w:val="ARtabletextright"/>
            </w:pPr>
            <w:r w:rsidRPr="00DC2A3C">
              <w:t>35.15</w:t>
            </w:r>
          </w:p>
        </w:tc>
        <w:tc>
          <w:tcPr>
            <w:tcW w:w="956" w:type="dxa"/>
            <w:tcMar>
              <w:right w:w="113" w:type="dxa"/>
            </w:tcMar>
            <w:hideMark/>
          </w:tcPr>
          <w:p w14:paraId="7423C5DA" w14:textId="77777777" w:rsidR="00F844B4" w:rsidRPr="00DC2A3C" w:rsidRDefault="00F844B4" w:rsidP="00074625">
            <w:pPr>
              <w:pStyle w:val="ARtabletextright"/>
            </w:pPr>
            <w:r w:rsidRPr="00DC2A3C">
              <w:t>15</w:t>
            </w:r>
          </w:p>
        </w:tc>
        <w:tc>
          <w:tcPr>
            <w:tcW w:w="786" w:type="dxa"/>
            <w:tcMar>
              <w:right w:w="113" w:type="dxa"/>
            </w:tcMar>
            <w:hideMark/>
          </w:tcPr>
          <w:p w14:paraId="1B6A3BCD" w14:textId="77777777" w:rsidR="00F844B4" w:rsidRPr="00DC2A3C" w:rsidRDefault="00F844B4" w:rsidP="00074625">
            <w:pPr>
              <w:pStyle w:val="ARtabletextright"/>
            </w:pPr>
            <w:r w:rsidRPr="00DC2A3C">
              <w:t>14.4</w:t>
            </w:r>
          </w:p>
        </w:tc>
        <w:tc>
          <w:tcPr>
            <w:tcW w:w="1120" w:type="dxa"/>
            <w:shd w:val="clear" w:color="auto" w:fill="E7E6E6" w:themeFill="background2"/>
            <w:tcMar>
              <w:right w:w="113" w:type="dxa"/>
            </w:tcMar>
            <w:hideMark/>
          </w:tcPr>
          <w:p w14:paraId="5584E7D6" w14:textId="77777777" w:rsidR="00F844B4" w:rsidRPr="00DC2A3C" w:rsidRDefault="00F844B4" w:rsidP="00074625">
            <w:pPr>
              <w:pStyle w:val="ARtabletextright"/>
            </w:pPr>
            <w:r w:rsidRPr="00DC2A3C">
              <w:t>9</w:t>
            </w:r>
          </w:p>
        </w:tc>
        <w:tc>
          <w:tcPr>
            <w:tcW w:w="949" w:type="dxa"/>
            <w:shd w:val="clear" w:color="auto" w:fill="E7E6E6" w:themeFill="background2"/>
            <w:tcMar>
              <w:right w:w="113" w:type="dxa"/>
            </w:tcMar>
            <w:hideMark/>
          </w:tcPr>
          <w:p w14:paraId="66BED7B4" w14:textId="77777777" w:rsidR="00F844B4" w:rsidRPr="00DC2A3C" w:rsidRDefault="00F844B4" w:rsidP="00074625">
            <w:pPr>
              <w:pStyle w:val="ARtabletextright"/>
            </w:pPr>
            <w:r w:rsidRPr="00DC2A3C">
              <w:t>0</w:t>
            </w:r>
          </w:p>
        </w:tc>
        <w:tc>
          <w:tcPr>
            <w:tcW w:w="957" w:type="dxa"/>
            <w:shd w:val="clear" w:color="auto" w:fill="E7E6E6" w:themeFill="background2"/>
            <w:tcMar>
              <w:right w:w="113" w:type="dxa"/>
            </w:tcMar>
            <w:hideMark/>
          </w:tcPr>
          <w:p w14:paraId="426601DC" w14:textId="77777777" w:rsidR="00F844B4" w:rsidRPr="00DC2A3C" w:rsidRDefault="00F844B4" w:rsidP="00074625">
            <w:pPr>
              <w:pStyle w:val="ARtabletextright"/>
            </w:pPr>
            <w:r w:rsidRPr="00DC2A3C">
              <w:t>8.5</w:t>
            </w:r>
          </w:p>
        </w:tc>
        <w:tc>
          <w:tcPr>
            <w:tcW w:w="956" w:type="dxa"/>
            <w:tcMar>
              <w:right w:w="113" w:type="dxa"/>
            </w:tcMar>
            <w:hideMark/>
          </w:tcPr>
          <w:p w14:paraId="5E623D38" w14:textId="77777777" w:rsidR="00F844B4" w:rsidRPr="00DC2A3C" w:rsidRDefault="00F844B4" w:rsidP="00074625">
            <w:pPr>
              <w:pStyle w:val="ARtabletextright"/>
            </w:pPr>
            <w:r w:rsidRPr="00DC2A3C">
              <w:t>6</w:t>
            </w:r>
          </w:p>
        </w:tc>
        <w:tc>
          <w:tcPr>
            <w:tcW w:w="957" w:type="dxa"/>
            <w:tcMar>
              <w:right w:w="113" w:type="dxa"/>
            </w:tcMar>
            <w:hideMark/>
          </w:tcPr>
          <w:p w14:paraId="79D3878C" w14:textId="77777777" w:rsidR="00F844B4" w:rsidRPr="00DC2A3C" w:rsidRDefault="00F844B4" w:rsidP="00074625">
            <w:pPr>
              <w:pStyle w:val="ARtabletextright"/>
            </w:pPr>
            <w:r w:rsidRPr="00DC2A3C">
              <w:t>5.9</w:t>
            </w:r>
          </w:p>
        </w:tc>
      </w:tr>
      <w:tr w:rsidR="008D68DC" w:rsidRPr="00DC2A3C" w14:paraId="18E9EDEA" w14:textId="77777777" w:rsidTr="00D119D2">
        <w:trPr>
          <w:cantSplit w:val="0"/>
          <w:trHeight w:val="300"/>
        </w:trPr>
        <w:tc>
          <w:tcPr>
            <w:tcW w:w="1087" w:type="dxa"/>
            <w:hideMark/>
          </w:tcPr>
          <w:p w14:paraId="0DE1F4B2" w14:textId="77777777" w:rsidR="00F844B4" w:rsidRPr="00DC2A3C" w:rsidRDefault="00F844B4" w:rsidP="00074625">
            <w:pPr>
              <w:pStyle w:val="ARtabletext"/>
            </w:pPr>
            <w:r w:rsidRPr="00DC2A3C">
              <w:t>DDSO-3</w:t>
            </w:r>
          </w:p>
        </w:tc>
        <w:tc>
          <w:tcPr>
            <w:tcW w:w="954" w:type="dxa"/>
            <w:shd w:val="clear" w:color="auto" w:fill="E7E6E6" w:themeFill="background2"/>
            <w:tcMar>
              <w:right w:w="113" w:type="dxa"/>
            </w:tcMar>
            <w:hideMark/>
          </w:tcPr>
          <w:p w14:paraId="30750EDB" w14:textId="77777777" w:rsidR="00F844B4" w:rsidRPr="00DC2A3C" w:rsidRDefault="00F844B4" w:rsidP="00074625">
            <w:pPr>
              <w:pStyle w:val="ARtabletextright"/>
            </w:pPr>
            <w:r w:rsidRPr="00DC2A3C">
              <w:t>35</w:t>
            </w:r>
          </w:p>
        </w:tc>
        <w:tc>
          <w:tcPr>
            <w:tcW w:w="956" w:type="dxa"/>
            <w:shd w:val="clear" w:color="auto" w:fill="E7E6E6" w:themeFill="background2"/>
            <w:tcMar>
              <w:right w:w="113" w:type="dxa"/>
            </w:tcMar>
            <w:hideMark/>
          </w:tcPr>
          <w:p w14:paraId="15C7B842" w14:textId="77777777" w:rsidR="00F844B4" w:rsidRPr="00DC2A3C" w:rsidRDefault="00F844B4" w:rsidP="00074625">
            <w:pPr>
              <w:pStyle w:val="ARtabletextright"/>
            </w:pPr>
            <w:r w:rsidRPr="00DC2A3C">
              <w:t>31.9</w:t>
            </w:r>
          </w:p>
        </w:tc>
        <w:tc>
          <w:tcPr>
            <w:tcW w:w="948" w:type="dxa"/>
            <w:tcMar>
              <w:right w:w="113" w:type="dxa"/>
            </w:tcMar>
            <w:hideMark/>
          </w:tcPr>
          <w:p w14:paraId="29F48782" w14:textId="77777777" w:rsidR="00F844B4" w:rsidRPr="00DC2A3C" w:rsidRDefault="00F844B4" w:rsidP="00074625">
            <w:pPr>
              <w:pStyle w:val="ARtabletextright"/>
            </w:pPr>
            <w:r w:rsidRPr="00DC2A3C">
              <w:t>21</w:t>
            </w:r>
          </w:p>
        </w:tc>
        <w:tc>
          <w:tcPr>
            <w:tcW w:w="948" w:type="dxa"/>
            <w:tcMar>
              <w:right w:w="113" w:type="dxa"/>
            </w:tcMar>
            <w:hideMark/>
          </w:tcPr>
          <w:p w14:paraId="24FF3D4D" w14:textId="77777777" w:rsidR="00F844B4" w:rsidRPr="00DC2A3C" w:rsidRDefault="00F844B4" w:rsidP="00074625">
            <w:pPr>
              <w:pStyle w:val="ARtabletextright"/>
            </w:pPr>
            <w:r w:rsidRPr="00DC2A3C">
              <w:t>7</w:t>
            </w:r>
          </w:p>
        </w:tc>
        <w:tc>
          <w:tcPr>
            <w:tcW w:w="956" w:type="dxa"/>
            <w:tcMar>
              <w:right w:w="113" w:type="dxa"/>
            </w:tcMar>
            <w:hideMark/>
          </w:tcPr>
          <w:p w14:paraId="6EDF79DA" w14:textId="77777777" w:rsidR="00F844B4" w:rsidRPr="00DC2A3C" w:rsidRDefault="00F844B4" w:rsidP="00074625">
            <w:pPr>
              <w:pStyle w:val="ARtabletextright"/>
            </w:pPr>
            <w:r w:rsidRPr="00DC2A3C">
              <w:t>26.3</w:t>
            </w:r>
          </w:p>
        </w:tc>
        <w:tc>
          <w:tcPr>
            <w:tcW w:w="956" w:type="dxa"/>
            <w:shd w:val="clear" w:color="auto" w:fill="E7E6E6" w:themeFill="background2"/>
            <w:tcMar>
              <w:right w:w="113" w:type="dxa"/>
            </w:tcMar>
            <w:hideMark/>
          </w:tcPr>
          <w:p w14:paraId="0E5299F5" w14:textId="77777777" w:rsidR="00F844B4" w:rsidRPr="00DC2A3C" w:rsidRDefault="00F844B4" w:rsidP="00074625">
            <w:pPr>
              <w:pStyle w:val="ARtabletextright"/>
            </w:pPr>
            <w:r w:rsidRPr="00DC2A3C">
              <w:t>7</w:t>
            </w:r>
          </w:p>
        </w:tc>
        <w:tc>
          <w:tcPr>
            <w:tcW w:w="951" w:type="dxa"/>
            <w:shd w:val="clear" w:color="auto" w:fill="E7E6E6" w:themeFill="background2"/>
            <w:tcMar>
              <w:right w:w="113" w:type="dxa"/>
            </w:tcMar>
            <w:hideMark/>
          </w:tcPr>
          <w:p w14:paraId="11E905ED" w14:textId="77777777" w:rsidR="00F844B4" w:rsidRPr="00DC2A3C" w:rsidRDefault="00F844B4" w:rsidP="00074625">
            <w:pPr>
              <w:pStyle w:val="ARtabletextright"/>
            </w:pPr>
            <w:r w:rsidRPr="00DC2A3C">
              <w:t>5.6</w:t>
            </w:r>
          </w:p>
        </w:tc>
        <w:tc>
          <w:tcPr>
            <w:tcW w:w="956" w:type="dxa"/>
            <w:tcMar>
              <w:right w:w="113" w:type="dxa"/>
            </w:tcMar>
            <w:hideMark/>
          </w:tcPr>
          <w:p w14:paraId="3395183C" w14:textId="77777777" w:rsidR="00F844B4" w:rsidRPr="00DC2A3C" w:rsidRDefault="00F844B4" w:rsidP="00074625">
            <w:pPr>
              <w:pStyle w:val="ARtabletextright"/>
            </w:pPr>
            <w:r w:rsidRPr="00DC2A3C">
              <w:t>47</w:t>
            </w:r>
          </w:p>
        </w:tc>
        <w:tc>
          <w:tcPr>
            <w:tcW w:w="786" w:type="dxa"/>
            <w:tcMar>
              <w:right w:w="113" w:type="dxa"/>
            </w:tcMar>
            <w:hideMark/>
          </w:tcPr>
          <w:p w14:paraId="79CF860B" w14:textId="77777777" w:rsidR="00F844B4" w:rsidRPr="00DC2A3C" w:rsidRDefault="00F844B4" w:rsidP="00074625">
            <w:pPr>
              <w:pStyle w:val="ARtabletextright"/>
            </w:pPr>
            <w:r w:rsidRPr="00DC2A3C">
              <w:t>44.1</w:t>
            </w:r>
          </w:p>
        </w:tc>
        <w:tc>
          <w:tcPr>
            <w:tcW w:w="1120" w:type="dxa"/>
            <w:shd w:val="clear" w:color="auto" w:fill="E7E6E6" w:themeFill="background2"/>
            <w:tcMar>
              <w:right w:w="113" w:type="dxa"/>
            </w:tcMar>
            <w:hideMark/>
          </w:tcPr>
          <w:p w14:paraId="29564271" w14:textId="77777777" w:rsidR="00F844B4" w:rsidRPr="00DC2A3C" w:rsidRDefault="00F844B4" w:rsidP="00074625">
            <w:pPr>
              <w:pStyle w:val="ARtabletextright"/>
            </w:pPr>
            <w:r w:rsidRPr="00DC2A3C">
              <w:t>29</w:t>
            </w:r>
          </w:p>
        </w:tc>
        <w:tc>
          <w:tcPr>
            <w:tcW w:w="949" w:type="dxa"/>
            <w:shd w:val="clear" w:color="auto" w:fill="E7E6E6" w:themeFill="background2"/>
            <w:tcMar>
              <w:right w:w="113" w:type="dxa"/>
            </w:tcMar>
            <w:hideMark/>
          </w:tcPr>
          <w:p w14:paraId="6D3FB8FF" w14:textId="77777777" w:rsidR="00F844B4" w:rsidRPr="00DC2A3C" w:rsidRDefault="00F844B4" w:rsidP="00074625">
            <w:pPr>
              <w:pStyle w:val="ARtabletextright"/>
            </w:pPr>
            <w:r w:rsidRPr="00DC2A3C">
              <w:t>8</w:t>
            </w:r>
          </w:p>
        </w:tc>
        <w:tc>
          <w:tcPr>
            <w:tcW w:w="957" w:type="dxa"/>
            <w:shd w:val="clear" w:color="auto" w:fill="E7E6E6" w:themeFill="background2"/>
            <w:tcMar>
              <w:right w:w="113" w:type="dxa"/>
            </w:tcMar>
            <w:hideMark/>
          </w:tcPr>
          <w:p w14:paraId="40A90792" w14:textId="77777777" w:rsidR="00F844B4" w:rsidRPr="00DC2A3C" w:rsidRDefault="00F844B4" w:rsidP="00074625">
            <w:pPr>
              <w:pStyle w:val="ARtabletextright"/>
            </w:pPr>
            <w:r w:rsidRPr="00DC2A3C">
              <w:t>34.5</w:t>
            </w:r>
          </w:p>
        </w:tc>
        <w:tc>
          <w:tcPr>
            <w:tcW w:w="956" w:type="dxa"/>
            <w:tcMar>
              <w:right w:w="113" w:type="dxa"/>
            </w:tcMar>
            <w:hideMark/>
          </w:tcPr>
          <w:p w14:paraId="2F944C79" w14:textId="77777777" w:rsidR="00F844B4" w:rsidRPr="00DC2A3C" w:rsidRDefault="00F844B4" w:rsidP="00074625">
            <w:pPr>
              <w:pStyle w:val="ARtabletextright"/>
            </w:pPr>
            <w:r w:rsidRPr="00DC2A3C">
              <w:t>10</w:t>
            </w:r>
          </w:p>
        </w:tc>
        <w:tc>
          <w:tcPr>
            <w:tcW w:w="957" w:type="dxa"/>
            <w:tcMar>
              <w:right w:w="113" w:type="dxa"/>
            </w:tcMar>
            <w:hideMark/>
          </w:tcPr>
          <w:p w14:paraId="67468F07" w14:textId="77777777" w:rsidR="00F844B4" w:rsidRPr="00DC2A3C" w:rsidRDefault="00F844B4" w:rsidP="00074625">
            <w:pPr>
              <w:pStyle w:val="ARtabletextright"/>
            </w:pPr>
            <w:r w:rsidRPr="00DC2A3C">
              <w:t>9.6</w:t>
            </w:r>
          </w:p>
        </w:tc>
      </w:tr>
      <w:tr w:rsidR="008D68DC" w:rsidRPr="00DC2A3C" w14:paraId="7AF18375" w14:textId="77777777" w:rsidTr="00D119D2">
        <w:trPr>
          <w:cantSplit w:val="0"/>
          <w:trHeight w:val="300"/>
        </w:trPr>
        <w:tc>
          <w:tcPr>
            <w:tcW w:w="1087" w:type="dxa"/>
            <w:hideMark/>
          </w:tcPr>
          <w:p w14:paraId="6158F2D6" w14:textId="77777777" w:rsidR="00F844B4" w:rsidRPr="00DC2A3C" w:rsidRDefault="00F844B4" w:rsidP="00074625">
            <w:pPr>
              <w:pStyle w:val="ARtabletext"/>
            </w:pPr>
            <w:r w:rsidRPr="00DC2A3C">
              <w:t>DDSO-4</w:t>
            </w:r>
          </w:p>
        </w:tc>
        <w:tc>
          <w:tcPr>
            <w:tcW w:w="954" w:type="dxa"/>
            <w:shd w:val="clear" w:color="auto" w:fill="E7E6E6" w:themeFill="background2"/>
            <w:tcMar>
              <w:right w:w="113" w:type="dxa"/>
            </w:tcMar>
            <w:hideMark/>
          </w:tcPr>
          <w:p w14:paraId="2C68EADD" w14:textId="77777777" w:rsidR="00F844B4" w:rsidRPr="00DC2A3C" w:rsidRDefault="00F844B4" w:rsidP="00074625">
            <w:pPr>
              <w:pStyle w:val="ARtabletextright"/>
            </w:pPr>
            <w:r w:rsidRPr="00DC2A3C">
              <w:t>20</w:t>
            </w:r>
          </w:p>
        </w:tc>
        <w:tc>
          <w:tcPr>
            <w:tcW w:w="956" w:type="dxa"/>
            <w:shd w:val="clear" w:color="auto" w:fill="E7E6E6" w:themeFill="background2"/>
            <w:tcMar>
              <w:right w:w="113" w:type="dxa"/>
            </w:tcMar>
            <w:hideMark/>
          </w:tcPr>
          <w:p w14:paraId="5006E212" w14:textId="77777777" w:rsidR="00F844B4" w:rsidRPr="00DC2A3C" w:rsidRDefault="00F844B4" w:rsidP="00074625">
            <w:pPr>
              <w:pStyle w:val="ARtabletextright"/>
            </w:pPr>
            <w:r w:rsidRPr="00DC2A3C">
              <w:t>19.1</w:t>
            </w:r>
          </w:p>
        </w:tc>
        <w:tc>
          <w:tcPr>
            <w:tcW w:w="948" w:type="dxa"/>
            <w:tcMar>
              <w:right w:w="113" w:type="dxa"/>
            </w:tcMar>
            <w:hideMark/>
          </w:tcPr>
          <w:p w14:paraId="331BB8D0" w14:textId="77777777" w:rsidR="00F844B4" w:rsidRPr="00DC2A3C" w:rsidRDefault="00F844B4" w:rsidP="00074625">
            <w:pPr>
              <w:pStyle w:val="ARtabletextright"/>
            </w:pPr>
            <w:r w:rsidRPr="00DC2A3C">
              <w:t>14</w:t>
            </w:r>
          </w:p>
        </w:tc>
        <w:tc>
          <w:tcPr>
            <w:tcW w:w="948" w:type="dxa"/>
            <w:tcMar>
              <w:right w:w="113" w:type="dxa"/>
            </w:tcMar>
            <w:hideMark/>
          </w:tcPr>
          <w:p w14:paraId="498DC918" w14:textId="77777777" w:rsidR="00F844B4" w:rsidRPr="00DC2A3C" w:rsidRDefault="00F844B4" w:rsidP="00074625">
            <w:pPr>
              <w:pStyle w:val="ARtabletextright"/>
            </w:pPr>
            <w:r w:rsidRPr="00DC2A3C">
              <w:t>4</w:t>
            </w:r>
          </w:p>
        </w:tc>
        <w:tc>
          <w:tcPr>
            <w:tcW w:w="956" w:type="dxa"/>
            <w:tcMar>
              <w:right w:w="113" w:type="dxa"/>
            </w:tcMar>
            <w:hideMark/>
          </w:tcPr>
          <w:p w14:paraId="5F688D23" w14:textId="77777777" w:rsidR="00F844B4" w:rsidRPr="00DC2A3C" w:rsidRDefault="00F844B4" w:rsidP="00074625">
            <w:pPr>
              <w:pStyle w:val="ARtabletextright"/>
            </w:pPr>
            <w:r w:rsidRPr="00DC2A3C">
              <w:t>17.1</w:t>
            </w:r>
          </w:p>
        </w:tc>
        <w:tc>
          <w:tcPr>
            <w:tcW w:w="956" w:type="dxa"/>
            <w:shd w:val="clear" w:color="auto" w:fill="E7E6E6" w:themeFill="background2"/>
            <w:tcMar>
              <w:right w:w="113" w:type="dxa"/>
            </w:tcMar>
            <w:hideMark/>
          </w:tcPr>
          <w:p w14:paraId="48FB5560" w14:textId="77777777" w:rsidR="00F844B4" w:rsidRPr="00DC2A3C" w:rsidRDefault="00F844B4" w:rsidP="00074625">
            <w:pPr>
              <w:pStyle w:val="ARtabletextright"/>
            </w:pPr>
            <w:r w:rsidRPr="00DC2A3C">
              <w:t>2</w:t>
            </w:r>
          </w:p>
        </w:tc>
        <w:tc>
          <w:tcPr>
            <w:tcW w:w="951" w:type="dxa"/>
            <w:shd w:val="clear" w:color="auto" w:fill="E7E6E6" w:themeFill="background2"/>
            <w:tcMar>
              <w:right w:w="113" w:type="dxa"/>
            </w:tcMar>
            <w:hideMark/>
          </w:tcPr>
          <w:p w14:paraId="6D071FA9" w14:textId="77777777" w:rsidR="00F844B4" w:rsidRPr="00DC2A3C" w:rsidRDefault="00F844B4" w:rsidP="00074625">
            <w:pPr>
              <w:pStyle w:val="ARtabletextright"/>
            </w:pPr>
            <w:r w:rsidRPr="00DC2A3C">
              <w:t>2</w:t>
            </w:r>
          </w:p>
        </w:tc>
        <w:tc>
          <w:tcPr>
            <w:tcW w:w="956" w:type="dxa"/>
            <w:tcMar>
              <w:right w:w="113" w:type="dxa"/>
            </w:tcMar>
            <w:hideMark/>
          </w:tcPr>
          <w:p w14:paraId="455683CA" w14:textId="77777777" w:rsidR="00F844B4" w:rsidRPr="00DC2A3C" w:rsidRDefault="00F844B4" w:rsidP="00074625">
            <w:pPr>
              <w:pStyle w:val="ARtabletextright"/>
            </w:pPr>
            <w:r w:rsidRPr="00DC2A3C">
              <w:t>12</w:t>
            </w:r>
          </w:p>
        </w:tc>
        <w:tc>
          <w:tcPr>
            <w:tcW w:w="786" w:type="dxa"/>
            <w:tcMar>
              <w:right w:w="113" w:type="dxa"/>
            </w:tcMar>
            <w:hideMark/>
          </w:tcPr>
          <w:p w14:paraId="230ABDB7" w14:textId="77777777" w:rsidR="00F844B4" w:rsidRPr="00DC2A3C" w:rsidRDefault="00F844B4" w:rsidP="00074625">
            <w:pPr>
              <w:pStyle w:val="ARtabletextright"/>
            </w:pPr>
            <w:r w:rsidRPr="00DC2A3C">
              <w:t>11.6</w:t>
            </w:r>
          </w:p>
        </w:tc>
        <w:tc>
          <w:tcPr>
            <w:tcW w:w="1120" w:type="dxa"/>
            <w:shd w:val="clear" w:color="auto" w:fill="E7E6E6" w:themeFill="background2"/>
            <w:tcMar>
              <w:right w:w="113" w:type="dxa"/>
            </w:tcMar>
            <w:hideMark/>
          </w:tcPr>
          <w:p w14:paraId="6E1CED72" w14:textId="77777777" w:rsidR="00F844B4" w:rsidRPr="00DC2A3C" w:rsidRDefault="00F844B4" w:rsidP="00074625">
            <w:pPr>
              <w:pStyle w:val="ARtabletextright"/>
            </w:pPr>
            <w:r w:rsidRPr="00DC2A3C">
              <w:t>7</w:t>
            </w:r>
          </w:p>
        </w:tc>
        <w:tc>
          <w:tcPr>
            <w:tcW w:w="949" w:type="dxa"/>
            <w:shd w:val="clear" w:color="auto" w:fill="E7E6E6" w:themeFill="background2"/>
            <w:tcMar>
              <w:right w:w="113" w:type="dxa"/>
            </w:tcMar>
            <w:hideMark/>
          </w:tcPr>
          <w:p w14:paraId="66CE11B1" w14:textId="77777777" w:rsidR="00F844B4" w:rsidRPr="00DC2A3C" w:rsidRDefault="00F844B4" w:rsidP="00074625">
            <w:pPr>
              <w:pStyle w:val="ARtabletextright"/>
            </w:pPr>
            <w:r w:rsidRPr="00DC2A3C">
              <w:t>4</w:t>
            </w:r>
          </w:p>
        </w:tc>
        <w:tc>
          <w:tcPr>
            <w:tcW w:w="957" w:type="dxa"/>
            <w:shd w:val="clear" w:color="auto" w:fill="E7E6E6" w:themeFill="background2"/>
            <w:tcMar>
              <w:right w:w="113" w:type="dxa"/>
            </w:tcMar>
            <w:hideMark/>
          </w:tcPr>
          <w:p w14:paraId="0A89A712" w14:textId="77777777" w:rsidR="00F844B4" w:rsidRPr="00DC2A3C" w:rsidRDefault="00F844B4" w:rsidP="00074625">
            <w:pPr>
              <w:pStyle w:val="ARtabletextright"/>
            </w:pPr>
            <w:r w:rsidRPr="00DC2A3C">
              <w:t>10.6</w:t>
            </w:r>
          </w:p>
        </w:tc>
        <w:tc>
          <w:tcPr>
            <w:tcW w:w="956" w:type="dxa"/>
            <w:tcMar>
              <w:right w:w="113" w:type="dxa"/>
            </w:tcMar>
            <w:hideMark/>
          </w:tcPr>
          <w:p w14:paraId="5DDB0300" w14:textId="77777777" w:rsidR="00F844B4" w:rsidRPr="00DC2A3C" w:rsidRDefault="00F844B4" w:rsidP="00074625">
            <w:pPr>
              <w:pStyle w:val="ARtabletextright"/>
            </w:pPr>
            <w:r w:rsidRPr="00DC2A3C">
              <w:t>1</w:t>
            </w:r>
          </w:p>
        </w:tc>
        <w:tc>
          <w:tcPr>
            <w:tcW w:w="957" w:type="dxa"/>
            <w:tcMar>
              <w:right w:w="113" w:type="dxa"/>
            </w:tcMar>
            <w:hideMark/>
          </w:tcPr>
          <w:p w14:paraId="360F104F" w14:textId="77777777" w:rsidR="00F844B4" w:rsidRPr="00DC2A3C" w:rsidRDefault="00F844B4" w:rsidP="00074625">
            <w:pPr>
              <w:pStyle w:val="ARtabletextright"/>
            </w:pPr>
            <w:r w:rsidRPr="00DC2A3C">
              <w:t>1</w:t>
            </w:r>
          </w:p>
        </w:tc>
      </w:tr>
      <w:tr w:rsidR="008D68DC" w:rsidRPr="00DC2A3C" w14:paraId="67B883B2" w14:textId="77777777" w:rsidTr="00D119D2">
        <w:trPr>
          <w:cantSplit w:val="0"/>
          <w:trHeight w:val="300"/>
        </w:trPr>
        <w:tc>
          <w:tcPr>
            <w:tcW w:w="1087" w:type="dxa"/>
            <w:tcBorders>
              <w:bottom w:val="single" w:sz="4" w:space="0" w:color="A6A6A6" w:themeColor="accent5"/>
            </w:tcBorders>
            <w:hideMark/>
          </w:tcPr>
          <w:p w14:paraId="1E4D1AC3" w14:textId="77777777" w:rsidR="00F844B4" w:rsidRPr="00DC2A3C" w:rsidRDefault="00F844B4" w:rsidP="00074625">
            <w:pPr>
              <w:pStyle w:val="ARtabletext"/>
            </w:pPr>
            <w:r w:rsidRPr="00DC2A3C">
              <w:t>DDSO-5</w:t>
            </w:r>
          </w:p>
        </w:tc>
        <w:tc>
          <w:tcPr>
            <w:tcW w:w="954" w:type="dxa"/>
            <w:tcBorders>
              <w:bottom w:val="single" w:sz="4" w:space="0" w:color="A6A6A6" w:themeColor="accent5"/>
            </w:tcBorders>
            <w:shd w:val="clear" w:color="auto" w:fill="E7E6E6" w:themeFill="background2"/>
            <w:tcMar>
              <w:right w:w="113" w:type="dxa"/>
            </w:tcMar>
            <w:hideMark/>
          </w:tcPr>
          <w:p w14:paraId="0F087D0A" w14:textId="77777777" w:rsidR="00F844B4" w:rsidRPr="00DC2A3C" w:rsidRDefault="00F844B4" w:rsidP="00074625">
            <w:pPr>
              <w:pStyle w:val="ARtabletextright"/>
            </w:pPr>
            <w:r w:rsidRPr="00DC2A3C">
              <w:t>4</w:t>
            </w:r>
          </w:p>
        </w:tc>
        <w:tc>
          <w:tcPr>
            <w:tcW w:w="956" w:type="dxa"/>
            <w:tcBorders>
              <w:bottom w:val="single" w:sz="4" w:space="0" w:color="A6A6A6" w:themeColor="accent5"/>
            </w:tcBorders>
            <w:shd w:val="clear" w:color="auto" w:fill="E7E6E6" w:themeFill="background2"/>
            <w:tcMar>
              <w:right w:w="113" w:type="dxa"/>
            </w:tcMar>
            <w:hideMark/>
          </w:tcPr>
          <w:p w14:paraId="53B1A613" w14:textId="77777777" w:rsidR="00F844B4" w:rsidRPr="00DC2A3C" w:rsidRDefault="00F844B4" w:rsidP="00074625">
            <w:pPr>
              <w:pStyle w:val="ARtabletextright"/>
            </w:pPr>
            <w:r w:rsidRPr="00DC2A3C">
              <w:t>4</w:t>
            </w:r>
          </w:p>
        </w:tc>
        <w:tc>
          <w:tcPr>
            <w:tcW w:w="948" w:type="dxa"/>
            <w:tcBorders>
              <w:bottom w:val="single" w:sz="4" w:space="0" w:color="A6A6A6" w:themeColor="accent5"/>
            </w:tcBorders>
            <w:tcMar>
              <w:right w:w="113" w:type="dxa"/>
            </w:tcMar>
            <w:hideMark/>
          </w:tcPr>
          <w:p w14:paraId="613CFEA4" w14:textId="77777777" w:rsidR="00F844B4" w:rsidRPr="00DC2A3C" w:rsidRDefault="00F844B4" w:rsidP="00074625">
            <w:pPr>
              <w:pStyle w:val="ARtabletextright"/>
            </w:pPr>
            <w:r w:rsidRPr="00DC2A3C">
              <w:t>4</w:t>
            </w:r>
          </w:p>
        </w:tc>
        <w:tc>
          <w:tcPr>
            <w:tcW w:w="948" w:type="dxa"/>
            <w:tcBorders>
              <w:bottom w:val="single" w:sz="4" w:space="0" w:color="A6A6A6" w:themeColor="accent5"/>
            </w:tcBorders>
            <w:tcMar>
              <w:right w:w="113" w:type="dxa"/>
            </w:tcMar>
            <w:hideMark/>
          </w:tcPr>
          <w:p w14:paraId="7C01CE50" w14:textId="77777777" w:rsidR="00F844B4" w:rsidRPr="00DC2A3C" w:rsidRDefault="00F844B4" w:rsidP="00074625">
            <w:pPr>
              <w:pStyle w:val="ARtabletextright"/>
            </w:pPr>
            <w:r w:rsidRPr="00DC2A3C">
              <w:t>0</w:t>
            </w:r>
          </w:p>
        </w:tc>
        <w:tc>
          <w:tcPr>
            <w:tcW w:w="956" w:type="dxa"/>
            <w:tcBorders>
              <w:bottom w:val="single" w:sz="4" w:space="0" w:color="A6A6A6" w:themeColor="accent5"/>
            </w:tcBorders>
            <w:tcMar>
              <w:right w:w="113" w:type="dxa"/>
            </w:tcMar>
            <w:hideMark/>
          </w:tcPr>
          <w:p w14:paraId="6C54D31D" w14:textId="77777777" w:rsidR="00F844B4" w:rsidRPr="00DC2A3C" w:rsidRDefault="00F844B4" w:rsidP="00074625">
            <w:pPr>
              <w:pStyle w:val="ARtabletextright"/>
            </w:pPr>
            <w:r w:rsidRPr="00DC2A3C">
              <w:t>4</w:t>
            </w:r>
          </w:p>
        </w:tc>
        <w:tc>
          <w:tcPr>
            <w:tcW w:w="956" w:type="dxa"/>
            <w:tcBorders>
              <w:bottom w:val="single" w:sz="4" w:space="0" w:color="A6A6A6" w:themeColor="accent5"/>
            </w:tcBorders>
            <w:shd w:val="clear" w:color="auto" w:fill="E7E6E6" w:themeFill="background2"/>
            <w:tcMar>
              <w:right w:w="113" w:type="dxa"/>
            </w:tcMar>
            <w:hideMark/>
          </w:tcPr>
          <w:p w14:paraId="0D33E9B6" w14:textId="77777777" w:rsidR="00F844B4" w:rsidRPr="00DC2A3C" w:rsidRDefault="00F844B4" w:rsidP="00074625">
            <w:pPr>
              <w:pStyle w:val="ARtabletextright"/>
            </w:pPr>
            <w:r w:rsidRPr="00DC2A3C">
              <w:t>0</w:t>
            </w:r>
          </w:p>
        </w:tc>
        <w:tc>
          <w:tcPr>
            <w:tcW w:w="951" w:type="dxa"/>
            <w:tcBorders>
              <w:bottom w:val="single" w:sz="4" w:space="0" w:color="A6A6A6" w:themeColor="accent5"/>
            </w:tcBorders>
            <w:shd w:val="clear" w:color="auto" w:fill="E7E6E6" w:themeFill="background2"/>
            <w:tcMar>
              <w:right w:w="113" w:type="dxa"/>
            </w:tcMar>
            <w:hideMark/>
          </w:tcPr>
          <w:p w14:paraId="1B99AD6E" w14:textId="77777777" w:rsidR="00F844B4" w:rsidRPr="00DC2A3C" w:rsidRDefault="00F844B4" w:rsidP="00074625">
            <w:pPr>
              <w:pStyle w:val="ARtabletextright"/>
            </w:pPr>
            <w:r w:rsidRPr="00DC2A3C">
              <w:t>0</w:t>
            </w:r>
          </w:p>
        </w:tc>
        <w:tc>
          <w:tcPr>
            <w:tcW w:w="956" w:type="dxa"/>
            <w:tcBorders>
              <w:bottom w:val="single" w:sz="4" w:space="0" w:color="A6A6A6" w:themeColor="accent5"/>
            </w:tcBorders>
            <w:tcMar>
              <w:right w:w="113" w:type="dxa"/>
            </w:tcMar>
            <w:hideMark/>
          </w:tcPr>
          <w:p w14:paraId="719F2548" w14:textId="77777777" w:rsidR="00F844B4" w:rsidRPr="00DC2A3C" w:rsidRDefault="00F844B4" w:rsidP="00074625">
            <w:pPr>
              <w:pStyle w:val="ARtabletextright"/>
            </w:pPr>
            <w:r w:rsidRPr="00DC2A3C">
              <w:t>2</w:t>
            </w:r>
          </w:p>
        </w:tc>
        <w:tc>
          <w:tcPr>
            <w:tcW w:w="786" w:type="dxa"/>
            <w:tcBorders>
              <w:bottom w:val="single" w:sz="4" w:space="0" w:color="A6A6A6" w:themeColor="accent5"/>
            </w:tcBorders>
            <w:tcMar>
              <w:right w:w="113" w:type="dxa"/>
            </w:tcMar>
            <w:hideMark/>
          </w:tcPr>
          <w:p w14:paraId="01663093" w14:textId="77777777" w:rsidR="00F844B4" w:rsidRPr="00DC2A3C" w:rsidRDefault="00F844B4" w:rsidP="00074625">
            <w:pPr>
              <w:pStyle w:val="ARtabletextright"/>
            </w:pPr>
            <w:r w:rsidRPr="00DC2A3C">
              <w:t>2</w:t>
            </w:r>
          </w:p>
        </w:tc>
        <w:tc>
          <w:tcPr>
            <w:tcW w:w="1120" w:type="dxa"/>
            <w:tcBorders>
              <w:bottom w:val="single" w:sz="4" w:space="0" w:color="A6A6A6" w:themeColor="accent5"/>
            </w:tcBorders>
            <w:shd w:val="clear" w:color="auto" w:fill="E7E6E6" w:themeFill="background2"/>
            <w:tcMar>
              <w:right w:w="113" w:type="dxa"/>
            </w:tcMar>
            <w:hideMark/>
          </w:tcPr>
          <w:p w14:paraId="48621CCB" w14:textId="77777777" w:rsidR="00F844B4" w:rsidRPr="00DC2A3C" w:rsidRDefault="00F844B4" w:rsidP="00074625">
            <w:pPr>
              <w:pStyle w:val="ARtabletextright"/>
            </w:pPr>
            <w:r w:rsidRPr="00DC2A3C">
              <w:t>2</w:t>
            </w:r>
          </w:p>
        </w:tc>
        <w:tc>
          <w:tcPr>
            <w:tcW w:w="949" w:type="dxa"/>
            <w:tcBorders>
              <w:bottom w:val="single" w:sz="4" w:space="0" w:color="A6A6A6" w:themeColor="accent5"/>
            </w:tcBorders>
            <w:shd w:val="clear" w:color="auto" w:fill="E7E6E6" w:themeFill="background2"/>
            <w:tcMar>
              <w:right w:w="113" w:type="dxa"/>
            </w:tcMar>
            <w:hideMark/>
          </w:tcPr>
          <w:p w14:paraId="76F763B9" w14:textId="77777777" w:rsidR="00F844B4" w:rsidRPr="00DC2A3C" w:rsidRDefault="00F844B4" w:rsidP="00074625">
            <w:pPr>
              <w:pStyle w:val="ARtabletextright"/>
            </w:pPr>
            <w:r w:rsidRPr="00DC2A3C">
              <w:t>0</w:t>
            </w:r>
          </w:p>
        </w:tc>
        <w:tc>
          <w:tcPr>
            <w:tcW w:w="957" w:type="dxa"/>
            <w:tcBorders>
              <w:bottom w:val="single" w:sz="4" w:space="0" w:color="A6A6A6" w:themeColor="accent5"/>
            </w:tcBorders>
            <w:shd w:val="clear" w:color="auto" w:fill="E7E6E6" w:themeFill="background2"/>
            <w:tcMar>
              <w:right w:w="113" w:type="dxa"/>
            </w:tcMar>
            <w:hideMark/>
          </w:tcPr>
          <w:p w14:paraId="0BB99C8F" w14:textId="77777777" w:rsidR="00F844B4" w:rsidRPr="00DC2A3C" w:rsidRDefault="00F844B4" w:rsidP="00074625">
            <w:pPr>
              <w:pStyle w:val="ARtabletextright"/>
            </w:pPr>
            <w:r w:rsidRPr="00DC2A3C">
              <w:t>2</w:t>
            </w:r>
          </w:p>
        </w:tc>
        <w:tc>
          <w:tcPr>
            <w:tcW w:w="956" w:type="dxa"/>
            <w:tcBorders>
              <w:bottom w:val="single" w:sz="4" w:space="0" w:color="A6A6A6" w:themeColor="accent5"/>
            </w:tcBorders>
            <w:tcMar>
              <w:right w:w="113" w:type="dxa"/>
            </w:tcMar>
            <w:hideMark/>
          </w:tcPr>
          <w:p w14:paraId="6AB7C03C" w14:textId="77777777" w:rsidR="00F844B4" w:rsidRPr="00DC2A3C" w:rsidRDefault="00F844B4" w:rsidP="00074625">
            <w:pPr>
              <w:pStyle w:val="ARtabletextright"/>
            </w:pPr>
            <w:r w:rsidRPr="00DC2A3C">
              <w:t>0</w:t>
            </w:r>
          </w:p>
        </w:tc>
        <w:tc>
          <w:tcPr>
            <w:tcW w:w="957" w:type="dxa"/>
            <w:tcBorders>
              <w:bottom w:val="single" w:sz="4" w:space="0" w:color="A6A6A6" w:themeColor="accent5"/>
            </w:tcBorders>
            <w:tcMar>
              <w:right w:w="113" w:type="dxa"/>
            </w:tcMar>
            <w:hideMark/>
          </w:tcPr>
          <w:p w14:paraId="2656B708" w14:textId="77777777" w:rsidR="00F844B4" w:rsidRPr="00DC2A3C" w:rsidRDefault="00F844B4" w:rsidP="00074625">
            <w:pPr>
              <w:pStyle w:val="ARtabletextright"/>
            </w:pPr>
            <w:r w:rsidRPr="00DC2A3C">
              <w:t>0</w:t>
            </w:r>
          </w:p>
        </w:tc>
      </w:tr>
      <w:tr w:rsidR="008D68DC" w:rsidRPr="00DC2A3C" w14:paraId="5A339406" w14:textId="77777777" w:rsidTr="00D119D2">
        <w:trPr>
          <w:cantSplit w:val="0"/>
          <w:trHeight w:val="300"/>
        </w:trPr>
        <w:tc>
          <w:tcPr>
            <w:tcW w:w="1087" w:type="dxa"/>
            <w:tcBorders>
              <w:top w:val="single" w:sz="4" w:space="0" w:color="A6A6A6" w:themeColor="accent5"/>
              <w:bottom w:val="single" w:sz="4" w:space="0" w:color="auto"/>
            </w:tcBorders>
            <w:hideMark/>
          </w:tcPr>
          <w:p w14:paraId="2CA1430B" w14:textId="77777777" w:rsidR="00F844B4" w:rsidRPr="00DC2A3C" w:rsidRDefault="00F844B4" w:rsidP="00074625">
            <w:pPr>
              <w:pStyle w:val="ARtabletext"/>
            </w:pPr>
            <w:r w:rsidRPr="00DC2A3C">
              <w:t>DDSO-6</w:t>
            </w:r>
          </w:p>
        </w:tc>
        <w:tc>
          <w:tcPr>
            <w:tcW w:w="954" w:type="dxa"/>
            <w:tcBorders>
              <w:top w:val="single" w:sz="4" w:space="0" w:color="A6A6A6" w:themeColor="accent5"/>
              <w:bottom w:val="single" w:sz="4" w:space="0" w:color="auto"/>
            </w:tcBorders>
            <w:shd w:val="clear" w:color="auto" w:fill="E7E6E6" w:themeFill="background2"/>
            <w:tcMar>
              <w:right w:w="113" w:type="dxa"/>
            </w:tcMar>
            <w:hideMark/>
          </w:tcPr>
          <w:p w14:paraId="4195CEBE" w14:textId="77777777" w:rsidR="00F844B4" w:rsidRPr="00DC2A3C" w:rsidRDefault="00F844B4" w:rsidP="00074625">
            <w:pPr>
              <w:pStyle w:val="ARtabletextright"/>
            </w:pPr>
            <w:r w:rsidRPr="00DC2A3C">
              <w:t>0</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2B292F62" w14:textId="77777777" w:rsidR="00F844B4" w:rsidRPr="00DC2A3C" w:rsidRDefault="00F844B4" w:rsidP="00074625">
            <w:pPr>
              <w:pStyle w:val="ARtabletextright"/>
            </w:pPr>
            <w:r w:rsidRPr="00DC2A3C">
              <w:t>0</w:t>
            </w:r>
          </w:p>
        </w:tc>
        <w:tc>
          <w:tcPr>
            <w:tcW w:w="948" w:type="dxa"/>
            <w:tcBorders>
              <w:top w:val="single" w:sz="4" w:space="0" w:color="A6A6A6" w:themeColor="accent5"/>
              <w:bottom w:val="single" w:sz="4" w:space="0" w:color="auto"/>
            </w:tcBorders>
            <w:tcMar>
              <w:right w:w="113" w:type="dxa"/>
            </w:tcMar>
            <w:hideMark/>
          </w:tcPr>
          <w:p w14:paraId="660B8CB4" w14:textId="77777777" w:rsidR="00F844B4" w:rsidRPr="00DC2A3C" w:rsidRDefault="00F844B4" w:rsidP="00074625">
            <w:pPr>
              <w:pStyle w:val="ARtabletextright"/>
            </w:pPr>
            <w:r w:rsidRPr="00DC2A3C">
              <w:t>0</w:t>
            </w:r>
          </w:p>
        </w:tc>
        <w:tc>
          <w:tcPr>
            <w:tcW w:w="948" w:type="dxa"/>
            <w:tcBorders>
              <w:top w:val="single" w:sz="4" w:space="0" w:color="A6A6A6" w:themeColor="accent5"/>
              <w:bottom w:val="single" w:sz="4" w:space="0" w:color="auto"/>
            </w:tcBorders>
            <w:tcMar>
              <w:right w:w="113" w:type="dxa"/>
            </w:tcMar>
            <w:hideMark/>
          </w:tcPr>
          <w:p w14:paraId="6421C7E1" w14:textId="77777777" w:rsidR="00F844B4" w:rsidRPr="00DC2A3C" w:rsidRDefault="00F844B4" w:rsidP="00074625">
            <w:pPr>
              <w:pStyle w:val="ARtabletextright"/>
            </w:pPr>
            <w:r w:rsidRPr="00DC2A3C">
              <w:t>0</w:t>
            </w:r>
          </w:p>
        </w:tc>
        <w:tc>
          <w:tcPr>
            <w:tcW w:w="956" w:type="dxa"/>
            <w:tcBorders>
              <w:top w:val="single" w:sz="4" w:space="0" w:color="A6A6A6" w:themeColor="accent5"/>
              <w:bottom w:val="single" w:sz="4" w:space="0" w:color="auto"/>
            </w:tcBorders>
            <w:tcMar>
              <w:right w:w="113" w:type="dxa"/>
            </w:tcMar>
            <w:hideMark/>
          </w:tcPr>
          <w:p w14:paraId="7EFDF18E" w14:textId="77777777" w:rsidR="00F844B4" w:rsidRPr="00DC2A3C" w:rsidRDefault="00F844B4" w:rsidP="00074625">
            <w:pPr>
              <w:pStyle w:val="ARtabletextright"/>
            </w:pPr>
            <w:r w:rsidRPr="00DC2A3C">
              <w:t>0</w:t>
            </w:r>
          </w:p>
        </w:tc>
        <w:tc>
          <w:tcPr>
            <w:tcW w:w="956" w:type="dxa"/>
            <w:tcBorders>
              <w:top w:val="single" w:sz="4" w:space="0" w:color="A6A6A6" w:themeColor="accent5"/>
              <w:bottom w:val="single" w:sz="4" w:space="0" w:color="auto"/>
            </w:tcBorders>
            <w:shd w:val="clear" w:color="auto" w:fill="E7E6E6" w:themeFill="background2"/>
            <w:tcMar>
              <w:right w:w="113" w:type="dxa"/>
            </w:tcMar>
            <w:hideMark/>
          </w:tcPr>
          <w:p w14:paraId="6F28C739" w14:textId="77777777" w:rsidR="00F844B4" w:rsidRPr="00DC2A3C" w:rsidRDefault="00F844B4" w:rsidP="00074625">
            <w:pPr>
              <w:pStyle w:val="ARtabletextright"/>
            </w:pPr>
            <w:r w:rsidRPr="00DC2A3C">
              <w:t>0</w:t>
            </w:r>
          </w:p>
        </w:tc>
        <w:tc>
          <w:tcPr>
            <w:tcW w:w="951" w:type="dxa"/>
            <w:tcBorders>
              <w:top w:val="single" w:sz="4" w:space="0" w:color="A6A6A6" w:themeColor="accent5"/>
              <w:bottom w:val="single" w:sz="4" w:space="0" w:color="auto"/>
            </w:tcBorders>
            <w:shd w:val="clear" w:color="auto" w:fill="E7E6E6" w:themeFill="background2"/>
            <w:tcMar>
              <w:right w:w="113" w:type="dxa"/>
            </w:tcMar>
            <w:hideMark/>
          </w:tcPr>
          <w:p w14:paraId="0A6FD29E" w14:textId="77777777" w:rsidR="00F844B4" w:rsidRPr="00DC2A3C" w:rsidRDefault="00F844B4" w:rsidP="00074625">
            <w:pPr>
              <w:pStyle w:val="ARtabletextright"/>
            </w:pPr>
            <w:r w:rsidRPr="00DC2A3C">
              <w:t>0</w:t>
            </w:r>
          </w:p>
        </w:tc>
        <w:tc>
          <w:tcPr>
            <w:tcW w:w="956" w:type="dxa"/>
            <w:tcBorders>
              <w:top w:val="single" w:sz="4" w:space="0" w:color="A6A6A6" w:themeColor="accent5"/>
              <w:bottom w:val="single" w:sz="4" w:space="0" w:color="auto"/>
            </w:tcBorders>
            <w:tcMar>
              <w:right w:w="113" w:type="dxa"/>
            </w:tcMar>
            <w:hideMark/>
          </w:tcPr>
          <w:p w14:paraId="7EEFA314" w14:textId="77777777" w:rsidR="00F844B4" w:rsidRPr="00DC2A3C" w:rsidRDefault="00F844B4" w:rsidP="00074625">
            <w:pPr>
              <w:pStyle w:val="ARtabletextright"/>
            </w:pPr>
            <w:r w:rsidRPr="00DC2A3C">
              <w:t>0</w:t>
            </w:r>
          </w:p>
        </w:tc>
        <w:tc>
          <w:tcPr>
            <w:tcW w:w="786" w:type="dxa"/>
            <w:tcBorders>
              <w:top w:val="single" w:sz="4" w:space="0" w:color="A6A6A6" w:themeColor="accent5"/>
              <w:bottom w:val="single" w:sz="4" w:space="0" w:color="auto"/>
            </w:tcBorders>
            <w:tcMar>
              <w:right w:w="113" w:type="dxa"/>
            </w:tcMar>
            <w:hideMark/>
          </w:tcPr>
          <w:p w14:paraId="4A50327F" w14:textId="77777777" w:rsidR="00F844B4" w:rsidRPr="00DC2A3C" w:rsidRDefault="00F844B4" w:rsidP="00074625">
            <w:pPr>
              <w:pStyle w:val="ARtabletextright"/>
            </w:pPr>
            <w:r w:rsidRPr="00DC2A3C">
              <w:t>0</w:t>
            </w:r>
          </w:p>
        </w:tc>
        <w:tc>
          <w:tcPr>
            <w:tcW w:w="1120" w:type="dxa"/>
            <w:tcBorders>
              <w:top w:val="single" w:sz="4" w:space="0" w:color="A6A6A6" w:themeColor="accent5"/>
              <w:bottom w:val="single" w:sz="4" w:space="0" w:color="auto"/>
            </w:tcBorders>
            <w:shd w:val="clear" w:color="auto" w:fill="E7E6E6" w:themeFill="background2"/>
            <w:tcMar>
              <w:right w:w="113" w:type="dxa"/>
            </w:tcMar>
            <w:hideMark/>
          </w:tcPr>
          <w:p w14:paraId="01AE1246" w14:textId="77777777" w:rsidR="00F844B4" w:rsidRPr="00DC2A3C" w:rsidRDefault="00F844B4" w:rsidP="00074625">
            <w:pPr>
              <w:pStyle w:val="ARtabletextright"/>
            </w:pPr>
            <w:r w:rsidRPr="00DC2A3C">
              <w:t>0</w:t>
            </w:r>
          </w:p>
        </w:tc>
        <w:tc>
          <w:tcPr>
            <w:tcW w:w="949" w:type="dxa"/>
            <w:tcBorders>
              <w:top w:val="single" w:sz="4" w:space="0" w:color="A6A6A6" w:themeColor="accent5"/>
              <w:bottom w:val="single" w:sz="4" w:space="0" w:color="auto"/>
            </w:tcBorders>
            <w:shd w:val="clear" w:color="auto" w:fill="E7E6E6" w:themeFill="background2"/>
            <w:tcMar>
              <w:right w:w="113" w:type="dxa"/>
            </w:tcMar>
            <w:hideMark/>
          </w:tcPr>
          <w:p w14:paraId="0DFFBCA2" w14:textId="77777777" w:rsidR="00F844B4" w:rsidRPr="00DC2A3C" w:rsidRDefault="00F844B4" w:rsidP="00074625">
            <w:pPr>
              <w:pStyle w:val="ARtabletextright"/>
            </w:pPr>
            <w:r w:rsidRPr="00DC2A3C">
              <w:t>0</w:t>
            </w:r>
          </w:p>
        </w:tc>
        <w:tc>
          <w:tcPr>
            <w:tcW w:w="957" w:type="dxa"/>
            <w:tcBorders>
              <w:top w:val="single" w:sz="4" w:space="0" w:color="A6A6A6" w:themeColor="accent5"/>
              <w:bottom w:val="single" w:sz="4" w:space="0" w:color="auto"/>
            </w:tcBorders>
            <w:shd w:val="clear" w:color="auto" w:fill="E7E6E6" w:themeFill="background2"/>
            <w:tcMar>
              <w:right w:w="113" w:type="dxa"/>
            </w:tcMar>
            <w:hideMark/>
          </w:tcPr>
          <w:p w14:paraId="26F444FC" w14:textId="77777777" w:rsidR="00F844B4" w:rsidRPr="00DC2A3C" w:rsidRDefault="00F844B4" w:rsidP="00074625">
            <w:pPr>
              <w:pStyle w:val="ARtabletextright"/>
            </w:pPr>
            <w:r w:rsidRPr="00DC2A3C">
              <w:t>0</w:t>
            </w:r>
          </w:p>
        </w:tc>
        <w:tc>
          <w:tcPr>
            <w:tcW w:w="956" w:type="dxa"/>
            <w:tcBorders>
              <w:top w:val="single" w:sz="4" w:space="0" w:color="A6A6A6" w:themeColor="accent5"/>
              <w:bottom w:val="single" w:sz="4" w:space="0" w:color="auto"/>
            </w:tcBorders>
            <w:tcMar>
              <w:right w:w="113" w:type="dxa"/>
            </w:tcMar>
            <w:hideMark/>
          </w:tcPr>
          <w:p w14:paraId="04072F86" w14:textId="77777777" w:rsidR="00F844B4" w:rsidRPr="00DC2A3C" w:rsidRDefault="00F844B4" w:rsidP="00074625">
            <w:pPr>
              <w:pStyle w:val="ARtabletextright"/>
            </w:pPr>
            <w:r w:rsidRPr="00DC2A3C">
              <w:t>0</w:t>
            </w:r>
          </w:p>
        </w:tc>
        <w:tc>
          <w:tcPr>
            <w:tcW w:w="957" w:type="dxa"/>
            <w:tcBorders>
              <w:top w:val="single" w:sz="4" w:space="0" w:color="A6A6A6" w:themeColor="accent5"/>
              <w:bottom w:val="single" w:sz="4" w:space="0" w:color="auto"/>
            </w:tcBorders>
            <w:tcMar>
              <w:right w:w="113" w:type="dxa"/>
            </w:tcMar>
            <w:hideMark/>
          </w:tcPr>
          <w:p w14:paraId="22B6CF18" w14:textId="77777777" w:rsidR="00F844B4" w:rsidRPr="00DC2A3C" w:rsidRDefault="00F844B4" w:rsidP="00074625">
            <w:pPr>
              <w:pStyle w:val="ARtabletextright"/>
            </w:pPr>
            <w:r w:rsidRPr="00DC2A3C">
              <w:t>0</w:t>
            </w:r>
          </w:p>
        </w:tc>
      </w:tr>
      <w:tr w:rsidR="008D68DC" w:rsidRPr="00DC2A3C" w14:paraId="54FE7C49" w14:textId="77777777" w:rsidTr="00D119D2">
        <w:trPr>
          <w:cantSplit w:val="0"/>
          <w:trHeight w:val="300"/>
        </w:trPr>
        <w:tc>
          <w:tcPr>
            <w:tcW w:w="1087" w:type="dxa"/>
            <w:tcBorders>
              <w:top w:val="single" w:sz="4" w:space="0" w:color="auto"/>
              <w:bottom w:val="single" w:sz="4" w:space="0" w:color="auto"/>
            </w:tcBorders>
            <w:hideMark/>
          </w:tcPr>
          <w:p w14:paraId="07C28EE3" w14:textId="77777777" w:rsidR="00F844B4" w:rsidRPr="00DC2A3C" w:rsidRDefault="00F844B4" w:rsidP="00074625">
            <w:pPr>
              <w:pStyle w:val="ARtabletextbold"/>
            </w:pPr>
            <w:r w:rsidRPr="00DC2A3C">
              <w:t>Total</w:t>
            </w:r>
          </w:p>
        </w:tc>
        <w:tc>
          <w:tcPr>
            <w:tcW w:w="954" w:type="dxa"/>
            <w:tcBorders>
              <w:top w:val="single" w:sz="4" w:space="0" w:color="auto"/>
              <w:bottom w:val="single" w:sz="4" w:space="0" w:color="auto"/>
            </w:tcBorders>
            <w:shd w:val="clear" w:color="auto" w:fill="E7E6E6" w:themeFill="background2"/>
            <w:tcMar>
              <w:right w:w="113" w:type="dxa"/>
            </w:tcMar>
            <w:hideMark/>
          </w:tcPr>
          <w:p w14:paraId="4DF052BC" w14:textId="77777777" w:rsidR="00F844B4" w:rsidRPr="00DC2A3C" w:rsidRDefault="00F844B4" w:rsidP="00074625">
            <w:pPr>
              <w:pStyle w:val="ARtabletextrightbold"/>
            </w:pPr>
            <w:r w:rsidRPr="00DC2A3C">
              <w:t>160</w:t>
            </w:r>
          </w:p>
        </w:tc>
        <w:tc>
          <w:tcPr>
            <w:tcW w:w="956" w:type="dxa"/>
            <w:tcBorders>
              <w:top w:val="single" w:sz="4" w:space="0" w:color="auto"/>
              <w:bottom w:val="single" w:sz="4" w:space="0" w:color="auto"/>
            </w:tcBorders>
            <w:shd w:val="clear" w:color="auto" w:fill="E7E6E6" w:themeFill="background2"/>
            <w:tcMar>
              <w:right w:w="113" w:type="dxa"/>
            </w:tcMar>
            <w:hideMark/>
          </w:tcPr>
          <w:p w14:paraId="17A2DFF3" w14:textId="77777777" w:rsidR="00F844B4" w:rsidRPr="00DC2A3C" w:rsidRDefault="00F844B4" w:rsidP="00074625">
            <w:pPr>
              <w:pStyle w:val="ARtabletextrightbold"/>
            </w:pPr>
            <w:r w:rsidRPr="00DC2A3C">
              <w:t>139.42</w:t>
            </w:r>
          </w:p>
        </w:tc>
        <w:tc>
          <w:tcPr>
            <w:tcW w:w="948" w:type="dxa"/>
            <w:tcBorders>
              <w:top w:val="single" w:sz="4" w:space="0" w:color="auto"/>
              <w:bottom w:val="single" w:sz="4" w:space="0" w:color="auto"/>
            </w:tcBorders>
            <w:tcMar>
              <w:right w:w="113" w:type="dxa"/>
            </w:tcMar>
            <w:hideMark/>
          </w:tcPr>
          <w:p w14:paraId="5E762519" w14:textId="77777777" w:rsidR="00F844B4" w:rsidRPr="00DC2A3C" w:rsidRDefault="00F844B4" w:rsidP="00074625">
            <w:pPr>
              <w:pStyle w:val="ARtabletextrightbold"/>
            </w:pPr>
            <w:r w:rsidRPr="00DC2A3C">
              <w:t>82</w:t>
            </w:r>
          </w:p>
        </w:tc>
        <w:tc>
          <w:tcPr>
            <w:tcW w:w="948" w:type="dxa"/>
            <w:tcBorders>
              <w:top w:val="single" w:sz="4" w:space="0" w:color="auto"/>
              <w:bottom w:val="single" w:sz="4" w:space="0" w:color="auto"/>
            </w:tcBorders>
            <w:tcMar>
              <w:right w:w="113" w:type="dxa"/>
            </w:tcMar>
            <w:hideMark/>
          </w:tcPr>
          <w:p w14:paraId="757A1648" w14:textId="77777777" w:rsidR="00F844B4" w:rsidRPr="00DC2A3C" w:rsidRDefault="00F844B4" w:rsidP="00074625">
            <w:pPr>
              <w:pStyle w:val="ARtabletextrightbold"/>
            </w:pPr>
            <w:r w:rsidRPr="00DC2A3C">
              <w:t>19</w:t>
            </w:r>
          </w:p>
        </w:tc>
        <w:tc>
          <w:tcPr>
            <w:tcW w:w="956" w:type="dxa"/>
            <w:tcBorders>
              <w:top w:val="single" w:sz="4" w:space="0" w:color="auto"/>
              <w:bottom w:val="single" w:sz="4" w:space="0" w:color="auto"/>
            </w:tcBorders>
            <w:tcMar>
              <w:right w:w="113" w:type="dxa"/>
            </w:tcMar>
            <w:hideMark/>
          </w:tcPr>
          <w:p w14:paraId="67B5BF11" w14:textId="77777777" w:rsidR="00F844B4" w:rsidRPr="00DC2A3C" w:rsidRDefault="00F844B4" w:rsidP="00074625">
            <w:pPr>
              <w:pStyle w:val="ARtabletextrightbold"/>
            </w:pPr>
            <w:r w:rsidRPr="00DC2A3C">
              <w:t>95.3</w:t>
            </w:r>
          </w:p>
        </w:tc>
        <w:tc>
          <w:tcPr>
            <w:tcW w:w="956" w:type="dxa"/>
            <w:tcBorders>
              <w:top w:val="single" w:sz="4" w:space="0" w:color="auto"/>
              <w:bottom w:val="single" w:sz="4" w:space="0" w:color="auto"/>
            </w:tcBorders>
            <w:shd w:val="clear" w:color="auto" w:fill="E7E6E6" w:themeFill="background2"/>
            <w:tcMar>
              <w:right w:w="113" w:type="dxa"/>
            </w:tcMar>
            <w:hideMark/>
          </w:tcPr>
          <w:p w14:paraId="426FD335" w14:textId="77777777" w:rsidR="00F844B4" w:rsidRPr="00DC2A3C" w:rsidRDefault="00F844B4" w:rsidP="00074625">
            <w:pPr>
              <w:pStyle w:val="ARtabletextrightbold"/>
            </w:pPr>
            <w:r w:rsidRPr="00DC2A3C">
              <w:t>59</w:t>
            </w:r>
          </w:p>
        </w:tc>
        <w:tc>
          <w:tcPr>
            <w:tcW w:w="951" w:type="dxa"/>
            <w:tcBorders>
              <w:top w:val="single" w:sz="4" w:space="0" w:color="auto"/>
              <w:bottom w:val="single" w:sz="4" w:space="0" w:color="auto"/>
            </w:tcBorders>
            <w:shd w:val="clear" w:color="auto" w:fill="E7E6E6" w:themeFill="background2"/>
            <w:tcMar>
              <w:right w:w="113" w:type="dxa"/>
            </w:tcMar>
            <w:hideMark/>
          </w:tcPr>
          <w:p w14:paraId="57065E89" w14:textId="77777777" w:rsidR="00F844B4" w:rsidRPr="00DC2A3C" w:rsidRDefault="00F844B4" w:rsidP="00074625">
            <w:pPr>
              <w:pStyle w:val="ARtabletextrightbold"/>
            </w:pPr>
            <w:r w:rsidRPr="00DC2A3C">
              <w:t>44.12</w:t>
            </w:r>
          </w:p>
        </w:tc>
        <w:tc>
          <w:tcPr>
            <w:tcW w:w="956" w:type="dxa"/>
            <w:tcBorders>
              <w:top w:val="single" w:sz="4" w:space="0" w:color="auto"/>
              <w:bottom w:val="single" w:sz="4" w:space="0" w:color="auto"/>
            </w:tcBorders>
            <w:tcMar>
              <w:right w:w="113" w:type="dxa"/>
            </w:tcMar>
            <w:hideMark/>
          </w:tcPr>
          <w:p w14:paraId="2A659625" w14:textId="77777777" w:rsidR="00F844B4" w:rsidRPr="00DC2A3C" w:rsidRDefault="00F844B4" w:rsidP="00074625">
            <w:pPr>
              <w:pStyle w:val="ARtabletextrightbold"/>
            </w:pPr>
            <w:r w:rsidRPr="00DC2A3C">
              <w:t>162</w:t>
            </w:r>
          </w:p>
        </w:tc>
        <w:tc>
          <w:tcPr>
            <w:tcW w:w="786" w:type="dxa"/>
            <w:tcBorders>
              <w:top w:val="single" w:sz="4" w:space="0" w:color="auto"/>
              <w:bottom w:val="single" w:sz="4" w:space="0" w:color="auto"/>
            </w:tcBorders>
            <w:tcMar>
              <w:right w:w="113" w:type="dxa"/>
            </w:tcMar>
            <w:hideMark/>
          </w:tcPr>
          <w:p w14:paraId="163DE442" w14:textId="77777777" w:rsidR="00F844B4" w:rsidRPr="00DC2A3C" w:rsidRDefault="00F844B4" w:rsidP="00074625">
            <w:pPr>
              <w:pStyle w:val="ARtabletextrightbold"/>
            </w:pPr>
            <w:r w:rsidRPr="00DC2A3C">
              <w:t>140.4</w:t>
            </w:r>
          </w:p>
        </w:tc>
        <w:tc>
          <w:tcPr>
            <w:tcW w:w="1120" w:type="dxa"/>
            <w:tcBorders>
              <w:top w:val="single" w:sz="4" w:space="0" w:color="auto"/>
              <w:bottom w:val="single" w:sz="4" w:space="0" w:color="auto"/>
            </w:tcBorders>
            <w:shd w:val="clear" w:color="auto" w:fill="E7E6E6" w:themeFill="background2"/>
            <w:tcMar>
              <w:right w:w="113" w:type="dxa"/>
            </w:tcMar>
            <w:hideMark/>
          </w:tcPr>
          <w:p w14:paraId="5F6A7125" w14:textId="77777777" w:rsidR="00F844B4" w:rsidRPr="00DC2A3C" w:rsidRDefault="00F844B4" w:rsidP="00074625">
            <w:pPr>
              <w:pStyle w:val="ARtabletextrightbold"/>
            </w:pPr>
            <w:r w:rsidRPr="00DC2A3C">
              <w:t>82</w:t>
            </w:r>
          </w:p>
        </w:tc>
        <w:tc>
          <w:tcPr>
            <w:tcW w:w="949" w:type="dxa"/>
            <w:tcBorders>
              <w:top w:val="single" w:sz="4" w:space="0" w:color="auto"/>
              <w:bottom w:val="single" w:sz="4" w:space="0" w:color="auto"/>
            </w:tcBorders>
            <w:shd w:val="clear" w:color="auto" w:fill="E7E6E6" w:themeFill="background2"/>
            <w:tcMar>
              <w:right w:w="113" w:type="dxa"/>
            </w:tcMar>
            <w:hideMark/>
          </w:tcPr>
          <w:p w14:paraId="118388FD" w14:textId="77777777" w:rsidR="00F844B4" w:rsidRPr="00DC2A3C" w:rsidRDefault="00F844B4" w:rsidP="00074625">
            <w:pPr>
              <w:pStyle w:val="ARtabletextrightbold"/>
            </w:pPr>
            <w:r w:rsidRPr="00DC2A3C">
              <w:t>19</w:t>
            </w:r>
          </w:p>
        </w:tc>
        <w:tc>
          <w:tcPr>
            <w:tcW w:w="957" w:type="dxa"/>
            <w:tcBorders>
              <w:top w:val="single" w:sz="4" w:space="0" w:color="auto"/>
              <w:bottom w:val="single" w:sz="4" w:space="0" w:color="auto"/>
            </w:tcBorders>
            <w:shd w:val="clear" w:color="auto" w:fill="E7E6E6" w:themeFill="background2"/>
            <w:tcMar>
              <w:right w:w="113" w:type="dxa"/>
            </w:tcMar>
            <w:hideMark/>
          </w:tcPr>
          <w:p w14:paraId="7E2AFEA4" w14:textId="77777777" w:rsidR="00F844B4" w:rsidRPr="00DC2A3C" w:rsidRDefault="00F844B4" w:rsidP="00074625">
            <w:pPr>
              <w:pStyle w:val="ARtabletextrightbold"/>
            </w:pPr>
            <w:r w:rsidRPr="00DC2A3C">
              <w:t>95.8</w:t>
            </w:r>
          </w:p>
        </w:tc>
        <w:tc>
          <w:tcPr>
            <w:tcW w:w="956" w:type="dxa"/>
            <w:tcBorders>
              <w:top w:val="single" w:sz="4" w:space="0" w:color="auto"/>
              <w:bottom w:val="single" w:sz="4" w:space="0" w:color="auto"/>
            </w:tcBorders>
            <w:tcMar>
              <w:right w:w="113" w:type="dxa"/>
            </w:tcMar>
            <w:hideMark/>
          </w:tcPr>
          <w:p w14:paraId="5277C446" w14:textId="77777777" w:rsidR="00F844B4" w:rsidRPr="00DC2A3C" w:rsidRDefault="00F844B4" w:rsidP="00074625">
            <w:pPr>
              <w:pStyle w:val="ARtabletextrightbold"/>
            </w:pPr>
            <w:r w:rsidRPr="00DC2A3C">
              <w:t>61</w:t>
            </w:r>
          </w:p>
        </w:tc>
        <w:tc>
          <w:tcPr>
            <w:tcW w:w="957" w:type="dxa"/>
            <w:tcBorders>
              <w:top w:val="single" w:sz="4" w:space="0" w:color="auto"/>
              <w:bottom w:val="single" w:sz="4" w:space="0" w:color="auto"/>
            </w:tcBorders>
            <w:tcMar>
              <w:right w:w="113" w:type="dxa"/>
            </w:tcMar>
            <w:hideMark/>
          </w:tcPr>
          <w:p w14:paraId="57B1A472" w14:textId="77777777" w:rsidR="00F844B4" w:rsidRPr="00DC2A3C" w:rsidRDefault="00F844B4" w:rsidP="00074625">
            <w:pPr>
              <w:pStyle w:val="ARtabletextrightbold"/>
            </w:pPr>
            <w:r w:rsidRPr="00DC2A3C">
              <w:t>44.7</w:t>
            </w:r>
          </w:p>
        </w:tc>
      </w:tr>
      <w:tr w:rsidR="00F844B4" w:rsidRPr="00DC2A3C" w14:paraId="1B7B2014" w14:textId="77777777" w:rsidTr="00D119D2">
        <w:trPr>
          <w:cantSplit w:val="0"/>
          <w:trHeight w:val="300"/>
        </w:trPr>
        <w:tc>
          <w:tcPr>
            <w:tcW w:w="14437" w:type="dxa"/>
            <w:gridSpan w:val="15"/>
            <w:tcBorders>
              <w:top w:val="single" w:sz="4" w:space="0" w:color="auto"/>
              <w:bottom w:val="single" w:sz="4" w:space="0" w:color="A6A6A6" w:themeColor="accent5"/>
            </w:tcBorders>
            <w:tcMar>
              <w:right w:w="113" w:type="dxa"/>
            </w:tcMar>
            <w:hideMark/>
          </w:tcPr>
          <w:p w14:paraId="41F2D250" w14:textId="77777777" w:rsidR="00F844B4" w:rsidRPr="00DC2A3C" w:rsidRDefault="00F844B4" w:rsidP="00074625">
            <w:pPr>
              <w:pStyle w:val="ARtabletextcolourbold"/>
            </w:pPr>
            <w:r w:rsidRPr="00074625">
              <w:lastRenderedPageBreak/>
              <w:t>Housing</w:t>
            </w:r>
            <w:r w:rsidRPr="00DC2A3C">
              <w:t xml:space="preserve"> Services</w:t>
            </w:r>
          </w:p>
        </w:tc>
      </w:tr>
      <w:tr w:rsidR="008D68DC" w:rsidRPr="00DC2A3C" w14:paraId="431BACC1" w14:textId="77777777" w:rsidTr="00D119D2">
        <w:trPr>
          <w:cantSplit w:val="0"/>
          <w:trHeight w:val="300"/>
        </w:trPr>
        <w:tc>
          <w:tcPr>
            <w:tcW w:w="1087" w:type="dxa"/>
            <w:tcBorders>
              <w:top w:val="single" w:sz="4" w:space="0" w:color="A6A6A6" w:themeColor="accent5"/>
            </w:tcBorders>
            <w:hideMark/>
          </w:tcPr>
          <w:p w14:paraId="5D8A7103" w14:textId="77777777" w:rsidR="00F844B4" w:rsidRPr="00DC2A3C" w:rsidRDefault="00F844B4" w:rsidP="00074625">
            <w:pPr>
              <w:pStyle w:val="ARtabletext"/>
            </w:pPr>
            <w:r w:rsidRPr="00DC2A3C">
              <w:t>HCSOQ1</w:t>
            </w:r>
          </w:p>
        </w:tc>
        <w:tc>
          <w:tcPr>
            <w:tcW w:w="954" w:type="dxa"/>
            <w:tcBorders>
              <w:top w:val="single" w:sz="4" w:space="0" w:color="A6A6A6" w:themeColor="accent5"/>
            </w:tcBorders>
            <w:shd w:val="clear" w:color="auto" w:fill="E7E6E6" w:themeFill="background2"/>
            <w:tcMar>
              <w:right w:w="113" w:type="dxa"/>
            </w:tcMar>
            <w:hideMark/>
          </w:tcPr>
          <w:p w14:paraId="231E6073" w14:textId="77777777" w:rsidR="00F844B4" w:rsidRPr="00DC2A3C" w:rsidRDefault="00F844B4" w:rsidP="00074625">
            <w:pPr>
              <w:pStyle w:val="ARtabletextright"/>
            </w:pPr>
            <w:r w:rsidRPr="00DC2A3C">
              <w:t>0</w:t>
            </w:r>
          </w:p>
        </w:tc>
        <w:tc>
          <w:tcPr>
            <w:tcW w:w="956" w:type="dxa"/>
            <w:tcBorders>
              <w:top w:val="single" w:sz="4" w:space="0" w:color="A6A6A6" w:themeColor="accent5"/>
            </w:tcBorders>
            <w:shd w:val="clear" w:color="auto" w:fill="E7E6E6" w:themeFill="background2"/>
            <w:tcMar>
              <w:right w:w="113" w:type="dxa"/>
            </w:tcMar>
            <w:hideMark/>
          </w:tcPr>
          <w:p w14:paraId="5F66E5E1" w14:textId="77777777" w:rsidR="00F844B4" w:rsidRPr="00DC2A3C" w:rsidRDefault="00F844B4" w:rsidP="00074625">
            <w:pPr>
              <w:pStyle w:val="ARtabletextright"/>
            </w:pPr>
            <w:r w:rsidRPr="00DC2A3C">
              <w:t>0</w:t>
            </w:r>
          </w:p>
        </w:tc>
        <w:tc>
          <w:tcPr>
            <w:tcW w:w="948" w:type="dxa"/>
            <w:tcBorders>
              <w:top w:val="single" w:sz="4" w:space="0" w:color="A6A6A6" w:themeColor="accent5"/>
            </w:tcBorders>
            <w:tcMar>
              <w:right w:w="113" w:type="dxa"/>
            </w:tcMar>
            <w:hideMark/>
          </w:tcPr>
          <w:p w14:paraId="098DDB3B" w14:textId="77777777" w:rsidR="00F844B4" w:rsidRPr="00DC2A3C" w:rsidRDefault="00F844B4" w:rsidP="00074625">
            <w:pPr>
              <w:pStyle w:val="ARtabletextright"/>
            </w:pPr>
            <w:r w:rsidRPr="00DC2A3C">
              <w:t>0</w:t>
            </w:r>
          </w:p>
        </w:tc>
        <w:tc>
          <w:tcPr>
            <w:tcW w:w="948" w:type="dxa"/>
            <w:tcBorders>
              <w:top w:val="single" w:sz="4" w:space="0" w:color="A6A6A6" w:themeColor="accent5"/>
            </w:tcBorders>
            <w:tcMar>
              <w:right w:w="113" w:type="dxa"/>
            </w:tcMar>
            <w:hideMark/>
          </w:tcPr>
          <w:p w14:paraId="22202EE4" w14:textId="77777777" w:rsidR="00F844B4" w:rsidRPr="00DC2A3C" w:rsidRDefault="00F844B4" w:rsidP="00074625">
            <w:pPr>
              <w:pStyle w:val="ARtabletextright"/>
            </w:pPr>
            <w:r w:rsidRPr="00DC2A3C">
              <w:t>0</w:t>
            </w:r>
          </w:p>
        </w:tc>
        <w:tc>
          <w:tcPr>
            <w:tcW w:w="956" w:type="dxa"/>
            <w:tcBorders>
              <w:top w:val="single" w:sz="4" w:space="0" w:color="A6A6A6" w:themeColor="accent5"/>
            </w:tcBorders>
            <w:tcMar>
              <w:right w:w="113" w:type="dxa"/>
            </w:tcMar>
            <w:hideMark/>
          </w:tcPr>
          <w:p w14:paraId="47B3AD1B" w14:textId="77777777" w:rsidR="00F844B4" w:rsidRPr="00DC2A3C" w:rsidRDefault="00F844B4" w:rsidP="00074625">
            <w:pPr>
              <w:pStyle w:val="ARtabletextright"/>
            </w:pPr>
            <w:r w:rsidRPr="00DC2A3C">
              <w:t>0</w:t>
            </w:r>
          </w:p>
        </w:tc>
        <w:tc>
          <w:tcPr>
            <w:tcW w:w="956" w:type="dxa"/>
            <w:tcBorders>
              <w:top w:val="single" w:sz="4" w:space="0" w:color="A6A6A6" w:themeColor="accent5"/>
            </w:tcBorders>
            <w:shd w:val="clear" w:color="auto" w:fill="E7E6E6" w:themeFill="background2"/>
            <w:tcMar>
              <w:right w:w="113" w:type="dxa"/>
            </w:tcMar>
            <w:hideMark/>
          </w:tcPr>
          <w:p w14:paraId="5304BB33" w14:textId="77777777" w:rsidR="00F844B4" w:rsidRPr="00DC2A3C" w:rsidRDefault="00F844B4" w:rsidP="00074625">
            <w:pPr>
              <w:pStyle w:val="ARtabletextright"/>
            </w:pPr>
            <w:r w:rsidRPr="00DC2A3C">
              <w:t>0</w:t>
            </w:r>
          </w:p>
        </w:tc>
        <w:tc>
          <w:tcPr>
            <w:tcW w:w="951" w:type="dxa"/>
            <w:tcBorders>
              <w:top w:val="single" w:sz="4" w:space="0" w:color="A6A6A6" w:themeColor="accent5"/>
            </w:tcBorders>
            <w:shd w:val="clear" w:color="auto" w:fill="E7E6E6" w:themeFill="background2"/>
            <w:tcMar>
              <w:right w:w="113" w:type="dxa"/>
            </w:tcMar>
            <w:hideMark/>
          </w:tcPr>
          <w:p w14:paraId="778E7DEC" w14:textId="77777777" w:rsidR="00F844B4" w:rsidRPr="00DC2A3C" w:rsidRDefault="00F844B4" w:rsidP="00074625">
            <w:pPr>
              <w:pStyle w:val="ARtabletextright"/>
            </w:pPr>
            <w:r w:rsidRPr="00DC2A3C">
              <w:t>0</w:t>
            </w:r>
          </w:p>
        </w:tc>
        <w:tc>
          <w:tcPr>
            <w:tcW w:w="956" w:type="dxa"/>
            <w:tcBorders>
              <w:top w:val="single" w:sz="4" w:space="0" w:color="A6A6A6" w:themeColor="accent5"/>
            </w:tcBorders>
            <w:tcMar>
              <w:right w:w="113" w:type="dxa"/>
            </w:tcMar>
            <w:hideMark/>
          </w:tcPr>
          <w:p w14:paraId="3081C43E" w14:textId="77777777" w:rsidR="00F844B4" w:rsidRPr="00DC2A3C" w:rsidRDefault="00F844B4" w:rsidP="00074625">
            <w:pPr>
              <w:pStyle w:val="ARtabletextright"/>
            </w:pPr>
            <w:r w:rsidRPr="00DC2A3C">
              <w:t>29</w:t>
            </w:r>
          </w:p>
        </w:tc>
        <w:tc>
          <w:tcPr>
            <w:tcW w:w="786" w:type="dxa"/>
            <w:tcBorders>
              <w:top w:val="single" w:sz="4" w:space="0" w:color="A6A6A6" w:themeColor="accent5"/>
            </w:tcBorders>
            <w:tcMar>
              <w:right w:w="113" w:type="dxa"/>
            </w:tcMar>
            <w:hideMark/>
          </w:tcPr>
          <w:p w14:paraId="7D523B96" w14:textId="77777777" w:rsidR="00F844B4" w:rsidRPr="00DC2A3C" w:rsidRDefault="00F844B4" w:rsidP="00074625">
            <w:pPr>
              <w:pStyle w:val="ARtabletextright"/>
            </w:pPr>
            <w:r w:rsidRPr="00DC2A3C">
              <w:t>24.6</w:t>
            </w:r>
          </w:p>
        </w:tc>
        <w:tc>
          <w:tcPr>
            <w:tcW w:w="1120" w:type="dxa"/>
            <w:tcBorders>
              <w:top w:val="single" w:sz="4" w:space="0" w:color="A6A6A6" w:themeColor="accent5"/>
            </w:tcBorders>
            <w:shd w:val="clear" w:color="auto" w:fill="E7E6E6" w:themeFill="background2"/>
            <w:tcMar>
              <w:right w:w="113" w:type="dxa"/>
            </w:tcMar>
            <w:hideMark/>
          </w:tcPr>
          <w:p w14:paraId="56C4EB1E" w14:textId="77777777" w:rsidR="00F844B4" w:rsidRPr="00DC2A3C" w:rsidRDefault="00F844B4" w:rsidP="00074625">
            <w:pPr>
              <w:pStyle w:val="ARtabletextright"/>
            </w:pPr>
            <w:r w:rsidRPr="00DC2A3C">
              <w:t>10</w:t>
            </w:r>
          </w:p>
        </w:tc>
        <w:tc>
          <w:tcPr>
            <w:tcW w:w="949" w:type="dxa"/>
            <w:tcBorders>
              <w:top w:val="single" w:sz="4" w:space="0" w:color="A6A6A6" w:themeColor="accent5"/>
            </w:tcBorders>
            <w:shd w:val="clear" w:color="auto" w:fill="E7E6E6" w:themeFill="background2"/>
            <w:tcMar>
              <w:right w:w="113" w:type="dxa"/>
            </w:tcMar>
            <w:hideMark/>
          </w:tcPr>
          <w:p w14:paraId="5B7CC107" w14:textId="77777777" w:rsidR="00F844B4" w:rsidRPr="00DC2A3C" w:rsidRDefault="00F844B4" w:rsidP="00074625">
            <w:pPr>
              <w:pStyle w:val="ARtabletextright"/>
            </w:pPr>
            <w:r w:rsidRPr="00DC2A3C">
              <w:t>15</w:t>
            </w:r>
          </w:p>
        </w:tc>
        <w:tc>
          <w:tcPr>
            <w:tcW w:w="957" w:type="dxa"/>
            <w:tcBorders>
              <w:top w:val="single" w:sz="4" w:space="0" w:color="A6A6A6" w:themeColor="accent5"/>
            </w:tcBorders>
            <w:shd w:val="clear" w:color="auto" w:fill="E7E6E6" w:themeFill="background2"/>
            <w:tcMar>
              <w:right w:w="113" w:type="dxa"/>
            </w:tcMar>
            <w:hideMark/>
          </w:tcPr>
          <w:p w14:paraId="5C060F4B" w14:textId="77777777" w:rsidR="00F844B4" w:rsidRPr="00DC2A3C" w:rsidRDefault="00F844B4" w:rsidP="00074625">
            <w:pPr>
              <w:pStyle w:val="ARtabletextright"/>
            </w:pPr>
            <w:r w:rsidRPr="00DC2A3C">
              <w:t>20.8</w:t>
            </w:r>
          </w:p>
        </w:tc>
        <w:tc>
          <w:tcPr>
            <w:tcW w:w="956" w:type="dxa"/>
            <w:tcBorders>
              <w:top w:val="single" w:sz="4" w:space="0" w:color="A6A6A6" w:themeColor="accent5"/>
            </w:tcBorders>
            <w:tcMar>
              <w:right w:w="113" w:type="dxa"/>
            </w:tcMar>
            <w:hideMark/>
          </w:tcPr>
          <w:p w14:paraId="6F85A3B5" w14:textId="77777777" w:rsidR="00F844B4" w:rsidRPr="00DC2A3C" w:rsidRDefault="00F844B4" w:rsidP="00074625">
            <w:pPr>
              <w:pStyle w:val="ARtabletextright"/>
            </w:pPr>
            <w:r w:rsidRPr="00DC2A3C">
              <w:t>4</w:t>
            </w:r>
          </w:p>
        </w:tc>
        <w:tc>
          <w:tcPr>
            <w:tcW w:w="957" w:type="dxa"/>
            <w:tcBorders>
              <w:top w:val="single" w:sz="4" w:space="0" w:color="A6A6A6" w:themeColor="accent5"/>
            </w:tcBorders>
            <w:tcMar>
              <w:right w:w="113" w:type="dxa"/>
            </w:tcMar>
            <w:hideMark/>
          </w:tcPr>
          <w:p w14:paraId="74E6536F" w14:textId="77777777" w:rsidR="00F844B4" w:rsidRPr="00DC2A3C" w:rsidRDefault="00F844B4" w:rsidP="00074625">
            <w:pPr>
              <w:pStyle w:val="ARtabletextright"/>
            </w:pPr>
            <w:r w:rsidRPr="00DC2A3C">
              <w:t>3.8</w:t>
            </w:r>
          </w:p>
        </w:tc>
      </w:tr>
      <w:tr w:rsidR="008D68DC" w:rsidRPr="00DC2A3C" w14:paraId="02B6E841" w14:textId="77777777" w:rsidTr="00D119D2">
        <w:trPr>
          <w:cantSplit w:val="0"/>
          <w:trHeight w:val="300"/>
        </w:trPr>
        <w:tc>
          <w:tcPr>
            <w:tcW w:w="1087" w:type="dxa"/>
            <w:hideMark/>
          </w:tcPr>
          <w:p w14:paraId="17BF4374" w14:textId="77777777" w:rsidR="00F844B4" w:rsidRPr="00DC2A3C" w:rsidRDefault="00F844B4" w:rsidP="00074625">
            <w:pPr>
              <w:pStyle w:val="ARtabletext"/>
            </w:pPr>
            <w:r w:rsidRPr="00DC2A3C">
              <w:t>HCSOQ2</w:t>
            </w:r>
          </w:p>
        </w:tc>
        <w:tc>
          <w:tcPr>
            <w:tcW w:w="954" w:type="dxa"/>
            <w:shd w:val="clear" w:color="auto" w:fill="E7E6E6" w:themeFill="background2"/>
            <w:tcMar>
              <w:right w:w="113" w:type="dxa"/>
            </w:tcMar>
            <w:hideMark/>
          </w:tcPr>
          <w:p w14:paraId="1F8B7CBA" w14:textId="77777777" w:rsidR="00F844B4" w:rsidRPr="00DC2A3C" w:rsidRDefault="00F844B4" w:rsidP="00074625">
            <w:pPr>
              <w:pStyle w:val="ARtabletextright"/>
            </w:pPr>
            <w:r w:rsidRPr="00DC2A3C">
              <w:t>0</w:t>
            </w:r>
          </w:p>
        </w:tc>
        <w:tc>
          <w:tcPr>
            <w:tcW w:w="956" w:type="dxa"/>
            <w:shd w:val="clear" w:color="auto" w:fill="E7E6E6" w:themeFill="background2"/>
            <w:tcMar>
              <w:right w:w="113" w:type="dxa"/>
            </w:tcMar>
            <w:hideMark/>
          </w:tcPr>
          <w:p w14:paraId="453CBF44" w14:textId="77777777" w:rsidR="00F844B4" w:rsidRPr="00DC2A3C" w:rsidRDefault="00F844B4" w:rsidP="00074625">
            <w:pPr>
              <w:pStyle w:val="ARtabletextright"/>
            </w:pPr>
            <w:r w:rsidRPr="00DC2A3C">
              <w:t>0</w:t>
            </w:r>
          </w:p>
        </w:tc>
        <w:tc>
          <w:tcPr>
            <w:tcW w:w="948" w:type="dxa"/>
            <w:tcMar>
              <w:right w:w="113" w:type="dxa"/>
            </w:tcMar>
            <w:hideMark/>
          </w:tcPr>
          <w:p w14:paraId="4682696C" w14:textId="77777777" w:rsidR="00F844B4" w:rsidRPr="00DC2A3C" w:rsidRDefault="00F844B4" w:rsidP="00074625">
            <w:pPr>
              <w:pStyle w:val="ARtabletextright"/>
            </w:pPr>
            <w:r w:rsidRPr="00DC2A3C">
              <w:t>0</w:t>
            </w:r>
          </w:p>
        </w:tc>
        <w:tc>
          <w:tcPr>
            <w:tcW w:w="948" w:type="dxa"/>
            <w:tcMar>
              <w:right w:w="113" w:type="dxa"/>
            </w:tcMar>
            <w:hideMark/>
          </w:tcPr>
          <w:p w14:paraId="14132649" w14:textId="77777777" w:rsidR="00F844B4" w:rsidRPr="00DC2A3C" w:rsidRDefault="00F844B4" w:rsidP="00074625">
            <w:pPr>
              <w:pStyle w:val="ARtabletextright"/>
            </w:pPr>
            <w:r w:rsidRPr="00DC2A3C">
              <w:t>0</w:t>
            </w:r>
          </w:p>
        </w:tc>
        <w:tc>
          <w:tcPr>
            <w:tcW w:w="956" w:type="dxa"/>
            <w:tcMar>
              <w:right w:w="113" w:type="dxa"/>
            </w:tcMar>
            <w:hideMark/>
          </w:tcPr>
          <w:p w14:paraId="3DB06E06" w14:textId="77777777" w:rsidR="00F844B4" w:rsidRPr="00DC2A3C" w:rsidRDefault="00F844B4" w:rsidP="00074625">
            <w:pPr>
              <w:pStyle w:val="ARtabletextright"/>
            </w:pPr>
            <w:r w:rsidRPr="00DC2A3C">
              <w:t>0</w:t>
            </w:r>
          </w:p>
        </w:tc>
        <w:tc>
          <w:tcPr>
            <w:tcW w:w="956" w:type="dxa"/>
            <w:shd w:val="clear" w:color="auto" w:fill="E7E6E6" w:themeFill="background2"/>
            <w:tcMar>
              <w:right w:w="113" w:type="dxa"/>
            </w:tcMar>
            <w:hideMark/>
          </w:tcPr>
          <w:p w14:paraId="3479BC2A" w14:textId="77777777" w:rsidR="00F844B4" w:rsidRPr="00DC2A3C" w:rsidRDefault="00F844B4" w:rsidP="00074625">
            <w:pPr>
              <w:pStyle w:val="ARtabletextright"/>
            </w:pPr>
            <w:r w:rsidRPr="00DC2A3C">
              <w:t>0</w:t>
            </w:r>
          </w:p>
        </w:tc>
        <w:tc>
          <w:tcPr>
            <w:tcW w:w="951" w:type="dxa"/>
            <w:shd w:val="clear" w:color="auto" w:fill="E7E6E6" w:themeFill="background2"/>
            <w:tcMar>
              <w:right w:w="113" w:type="dxa"/>
            </w:tcMar>
            <w:hideMark/>
          </w:tcPr>
          <w:p w14:paraId="3D3464E2" w14:textId="77777777" w:rsidR="00F844B4" w:rsidRPr="00DC2A3C" w:rsidRDefault="00F844B4" w:rsidP="00074625">
            <w:pPr>
              <w:pStyle w:val="ARtabletextright"/>
            </w:pPr>
            <w:r w:rsidRPr="00DC2A3C">
              <w:t>0</w:t>
            </w:r>
          </w:p>
        </w:tc>
        <w:tc>
          <w:tcPr>
            <w:tcW w:w="956" w:type="dxa"/>
            <w:tcMar>
              <w:right w:w="113" w:type="dxa"/>
            </w:tcMar>
            <w:hideMark/>
          </w:tcPr>
          <w:p w14:paraId="1E0F12D6" w14:textId="77777777" w:rsidR="00F844B4" w:rsidRPr="00DC2A3C" w:rsidRDefault="00F844B4" w:rsidP="00074625">
            <w:pPr>
              <w:pStyle w:val="ARtabletextright"/>
            </w:pPr>
            <w:r w:rsidRPr="00DC2A3C">
              <w:t>17</w:t>
            </w:r>
          </w:p>
        </w:tc>
        <w:tc>
          <w:tcPr>
            <w:tcW w:w="786" w:type="dxa"/>
            <w:tcMar>
              <w:right w:w="113" w:type="dxa"/>
            </w:tcMar>
            <w:hideMark/>
          </w:tcPr>
          <w:p w14:paraId="43526253" w14:textId="77777777" w:rsidR="00F844B4" w:rsidRPr="00DC2A3C" w:rsidRDefault="00F844B4" w:rsidP="00074625">
            <w:pPr>
              <w:pStyle w:val="ARtabletextright"/>
            </w:pPr>
            <w:r w:rsidRPr="00DC2A3C">
              <w:t>16</w:t>
            </w:r>
          </w:p>
        </w:tc>
        <w:tc>
          <w:tcPr>
            <w:tcW w:w="1120" w:type="dxa"/>
            <w:shd w:val="clear" w:color="auto" w:fill="E7E6E6" w:themeFill="background2"/>
            <w:tcMar>
              <w:right w:w="113" w:type="dxa"/>
            </w:tcMar>
            <w:hideMark/>
          </w:tcPr>
          <w:p w14:paraId="4A92E80A" w14:textId="77777777" w:rsidR="00F844B4" w:rsidRPr="00DC2A3C" w:rsidRDefault="00F844B4" w:rsidP="00074625">
            <w:pPr>
              <w:pStyle w:val="ARtabletextright"/>
            </w:pPr>
            <w:r w:rsidRPr="00DC2A3C">
              <w:t>9</w:t>
            </w:r>
          </w:p>
        </w:tc>
        <w:tc>
          <w:tcPr>
            <w:tcW w:w="949" w:type="dxa"/>
            <w:shd w:val="clear" w:color="auto" w:fill="E7E6E6" w:themeFill="background2"/>
            <w:tcMar>
              <w:right w:w="113" w:type="dxa"/>
            </w:tcMar>
            <w:hideMark/>
          </w:tcPr>
          <w:p w14:paraId="00DC91F7" w14:textId="77777777" w:rsidR="00F844B4" w:rsidRPr="00DC2A3C" w:rsidRDefault="00F844B4" w:rsidP="00074625">
            <w:pPr>
              <w:pStyle w:val="ARtabletextright"/>
            </w:pPr>
            <w:r w:rsidRPr="00DC2A3C">
              <w:t>1</w:t>
            </w:r>
          </w:p>
        </w:tc>
        <w:tc>
          <w:tcPr>
            <w:tcW w:w="957" w:type="dxa"/>
            <w:shd w:val="clear" w:color="auto" w:fill="E7E6E6" w:themeFill="background2"/>
            <w:tcMar>
              <w:right w:w="113" w:type="dxa"/>
            </w:tcMar>
            <w:hideMark/>
          </w:tcPr>
          <w:p w14:paraId="28D86B67" w14:textId="77777777" w:rsidR="00F844B4" w:rsidRPr="00DC2A3C" w:rsidRDefault="00F844B4" w:rsidP="00074625">
            <w:pPr>
              <w:pStyle w:val="ARtabletextright"/>
            </w:pPr>
            <w:r w:rsidRPr="00DC2A3C">
              <w:t>9</w:t>
            </w:r>
          </w:p>
        </w:tc>
        <w:tc>
          <w:tcPr>
            <w:tcW w:w="956" w:type="dxa"/>
            <w:tcMar>
              <w:right w:w="113" w:type="dxa"/>
            </w:tcMar>
            <w:hideMark/>
          </w:tcPr>
          <w:p w14:paraId="119D0A84" w14:textId="77777777" w:rsidR="00F844B4" w:rsidRPr="00DC2A3C" w:rsidRDefault="00F844B4" w:rsidP="00074625">
            <w:pPr>
              <w:pStyle w:val="ARtabletextright"/>
            </w:pPr>
            <w:r w:rsidRPr="00DC2A3C">
              <w:t>7</w:t>
            </w:r>
          </w:p>
        </w:tc>
        <w:tc>
          <w:tcPr>
            <w:tcW w:w="957" w:type="dxa"/>
            <w:tcMar>
              <w:right w:w="113" w:type="dxa"/>
            </w:tcMar>
            <w:hideMark/>
          </w:tcPr>
          <w:p w14:paraId="50A91C7E" w14:textId="77777777" w:rsidR="00F844B4" w:rsidRPr="00DC2A3C" w:rsidRDefault="00F844B4" w:rsidP="00074625">
            <w:pPr>
              <w:pStyle w:val="ARtabletextright"/>
            </w:pPr>
            <w:r w:rsidRPr="00DC2A3C">
              <w:t>7</w:t>
            </w:r>
          </w:p>
        </w:tc>
      </w:tr>
      <w:tr w:rsidR="008D68DC" w:rsidRPr="00DC2A3C" w14:paraId="07FA52F2" w14:textId="77777777" w:rsidTr="00D119D2">
        <w:trPr>
          <w:cantSplit w:val="0"/>
          <w:trHeight w:val="300"/>
        </w:trPr>
        <w:tc>
          <w:tcPr>
            <w:tcW w:w="1087" w:type="dxa"/>
            <w:hideMark/>
          </w:tcPr>
          <w:p w14:paraId="3DF8B292" w14:textId="77777777" w:rsidR="00F844B4" w:rsidRPr="00DC2A3C" w:rsidRDefault="00F844B4" w:rsidP="00074625">
            <w:pPr>
              <w:pStyle w:val="ARtabletext"/>
            </w:pPr>
            <w:r w:rsidRPr="00DC2A3C">
              <w:t>HCSOQU</w:t>
            </w:r>
          </w:p>
        </w:tc>
        <w:tc>
          <w:tcPr>
            <w:tcW w:w="954" w:type="dxa"/>
            <w:shd w:val="clear" w:color="auto" w:fill="E7E6E6" w:themeFill="background2"/>
            <w:tcMar>
              <w:right w:w="113" w:type="dxa"/>
            </w:tcMar>
            <w:hideMark/>
          </w:tcPr>
          <w:p w14:paraId="08E76449" w14:textId="77777777" w:rsidR="00F844B4" w:rsidRPr="00DC2A3C" w:rsidRDefault="00F844B4" w:rsidP="00074625">
            <w:pPr>
              <w:pStyle w:val="ARtabletextright"/>
            </w:pPr>
            <w:r w:rsidRPr="00DC2A3C">
              <w:t>0</w:t>
            </w:r>
          </w:p>
        </w:tc>
        <w:tc>
          <w:tcPr>
            <w:tcW w:w="956" w:type="dxa"/>
            <w:shd w:val="clear" w:color="auto" w:fill="E7E6E6" w:themeFill="background2"/>
            <w:tcMar>
              <w:right w:w="113" w:type="dxa"/>
            </w:tcMar>
            <w:hideMark/>
          </w:tcPr>
          <w:p w14:paraId="2FFEF573" w14:textId="77777777" w:rsidR="00F844B4" w:rsidRPr="00DC2A3C" w:rsidRDefault="00F844B4" w:rsidP="00074625">
            <w:pPr>
              <w:pStyle w:val="ARtabletextright"/>
            </w:pPr>
            <w:r w:rsidRPr="00DC2A3C">
              <w:t>0</w:t>
            </w:r>
          </w:p>
        </w:tc>
        <w:tc>
          <w:tcPr>
            <w:tcW w:w="948" w:type="dxa"/>
            <w:tcMar>
              <w:right w:w="113" w:type="dxa"/>
            </w:tcMar>
            <w:hideMark/>
          </w:tcPr>
          <w:p w14:paraId="631B07B4" w14:textId="77777777" w:rsidR="00F844B4" w:rsidRPr="00DC2A3C" w:rsidRDefault="00F844B4" w:rsidP="00074625">
            <w:pPr>
              <w:pStyle w:val="ARtabletextright"/>
            </w:pPr>
            <w:r w:rsidRPr="00DC2A3C">
              <w:t>0</w:t>
            </w:r>
          </w:p>
        </w:tc>
        <w:tc>
          <w:tcPr>
            <w:tcW w:w="948" w:type="dxa"/>
            <w:tcMar>
              <w:right w:w="113" w:type="dxa"/>
            </w:tcMar>
            <w:hideMark/>
          </w:tcPr>
          <w:p w14:paraId="1F0376CF" w14:textId="77777777" w:rsidR="00F844B4" w:rsidRPr="00DC2A3C" w:rsidRDefault="00F844B4" w:rsidP="00074625">
            <w:pPr>
              <w:pStyle w:val="ARtabletextright"/>
            </w:pPr>
            <w:r w:rsidRPr="00DC2A3C">
              <w:t>0</w:t>
            </w:r>
          </w:p>
        </w:tc>
        <w:tc>
          <w:tcPr>
            <w:tcW w:w="956" w:type="dxa"/>
            <w:tcMar>
              <w:right w:w="113" w:type="dxa"/>
            </w:tcMar>
            <w:hideMark/>
          </w:tcPr>
          <w:p w14:paraId="62F1A4AF" w14:textId="77777777" w:rsidR="00F844B4" w:rsidRPr="00DC2A3C" w:rsidRDefault="00F844B4" w:rsidP="00074625">
            <w:pPr>
              <w:pStyle w:val="ARtabletextright"/>
            </w:pPr>
            <w:r w:rsidRPr="00DC2A3C">
              <w:t>0</w:t>
            </w:r>
          </w:p>
        </w:tc>
        <w:tc>
          <w:tcPr>
            <w:tcW w:w="956" w:type="dxa"/>
            <w:shd w:val="clear" w:color="auto" w:fill="E7E6E6" w:themeFill="background2"/>
            <w:tcMar>
              <w:right w:w="113" w:type="dxa"/>
            </w:tcMar>
            <w:hideMark/>
          </w:tcPr>
          <w:p w14:paraId="6B47C455" w14:textId="77777777" w:rsidR="00F844B4" w:rsidRPr="00DC2A3C" w:rsidRDefault="00F844B4" w:rsidP="00074625">
            <w:pPr>
              <w:pStyle w:val="ARtabletextright"/>
            </w:pPr>
            <w:r w:rsidRPr="00DC2A3C">
              <w:t>0</w:t>
            </w:r>
          </w:p>
        </w:tc>
        <w:tc>
          <w:tcPr>
            <w:tcW w:w="951" w:type="dxa"/>
            <w:shd w:val="clear" w:color="auto" w:fill="E7E6E6" w:themeFill="background2"/>
            <w:tcMar>
              <w:right w:w="113" w:type="dxa"/>
            </w:tcMar>
            <w:hideMark/>
          </w:tcPr>
          <w:p w14:paraId="3B43ED43" w14:textId="77777777" w:rsidR="00F844B4" w:rsidRPr="00DC2A3C" w:rsidRDefault="00F844B4" w:rsidP="00074625">
            <w:pPr>
              <w:pStyle w:val="ARtabletextright"/>
            </w:pPr>
            <w:r w:rsidRPr="00DC2A3C">
              <w:t>0</w:t>
            </w:r>
          </w:p>
        </w:tc>
        <w:tc>
          <w:tcPr>
            <w:tcW w:w="956" w:type="dxa"/>
            <w:tcMar>
              <w:right w:w="113" w:type="dxa"/>
            </w:tcMar>
            <w:hideMark/>
          </w:tcPr>
          <w:p w14:paraId="37F1EAE6" w14:textId="77777777" w:rsidR="00F844B4" w:rsidRPr="00DC2A3C" w:rsidRDefault="00F844B4" w:rsidP="00074625">
            <w:pPr>
              <w:pStyle w:val="ARtabletextright"/>
            </w:pPr>
            <w:r w:rsidRPr="00DC2A3C">
              <w:t>66</w:t>
            </w:r>
          </w:p>
        </w:tc>
        <w:tc>
          <w:tcPr>
            <w:tcW w:w="786" w:type="dxa"/>
            <w:tcMar>
              <w:right w:w="113" w:type="dxa"/>
            </w:tcMar>
            <w:hideMark/>
          </w:tcPr>
          <w:p w14:paraId="56CD3EF0" w14:textId="77777777" w:rsidR="00F844B4" w:rsidRPr="00DC2A3C" w:rsidRDefault="00F844B4" w:rsidP="00074625">
            <w:pPr>
              <w:pStyle w:val="ARtabletextright"/>
            </w:pPr>
            <w:r w:rsidRPr="00DC2A3C">
              <w:t>48.8</w:t>
            </w:r>
          </w:p>
        </w:tc>
        <w:tc>
          <w:tcPr>
            <w:tcW w:w="1120" w:type="dxa"/>
            <w:shd w:val="clear" w:color="auto" w:fill="E7E6E6" w:themeFill="background2"/>
            <w:tcMar>
              <w:right w:w="113" w:type="dxa"/>
            </w:tcMar>
            <w:hideMark/>
          </w:tcPr>
          <w:p w14:paraId="1AF45EAC" w14:textId="77777777" w:rsidR="00F844B4" w:rsidRPr="00DC2A3C" w:rsidRDefault="00F844B4" w:rsidP="00074625">
            <w:pPr>
              <w:pStyle w:val="ARtabletextright"/>
            </w:pPr>
            <w:r w:rsidRPr="00DC2A3C">
              <w:t>20</w:t>
            </w:r>
          </w:p>
        </w:tc>
        <w:tc>
          <w:tcPr>
            <w:tcW w:w="949" w:type="dxa"/>
            <w:shd w:val="clear" w:color="auto" w:fill="E7E6E6" w:themeFill="background2"/>
            <w:tcMar>
              <w:right w:w="113" w:type="dxa"/>
            </w:tcMar>
            <w:hideMark/>
          </w:tcPr>
          <w:p w14:paraId="2BE0AC06" w14:textId="77777777" w:rsidR="00F844B4" w:rsidRPr="00DC2A3C" w:rsidRDefault="00F844B4" w:rsidP="00074625">
            <w:pPr>
              <w:pStyle w:val="ARtabletextright"/>
            </w:pPr>
            <w:r w:rsidRPr="00DC2A3C">
              <w:t>13</w:t>
            </w:r>
          </w:p>
        </w:tc>
        <w:tc>
          <w:tcPr>
            <w:tcW w:w="957" w:type="dxa"/>
            <w:shd w:val="clear" w:color="auto" w:fill="E7E6E6" w:themeFill="background2"/>
            <w:tcMar>
              <w:right w:w="113" w:type="dxa"/>
            </w:tcMar>
            <w:hideMark/>
          </w:tcPr>
          <w:p w14:paraId="65343D37" w14:textId="77777777" w:rsidR="00F844B4" w:rsidRPr="00DC2A3C" w:rsidRDefault="00F844B4" w:rsidP="00074625">
            <w:pPr>
              <w:pStyle w:val="ARtabletextright"/>
            </w:pPr>
            <w:r w:rsidRPr="00DC2A3C">
              <w:t>29.8</w:t>
            </w:r>
          </w:p>
        </w:tc>
        <w:tc>
          <w:tcPr>
            <w:tcW w:w="956" w:type="dxa"/>
            <w:tcMar>
              <w:right w:w="113" w:type="dxa"/>
            </w:tcMar>
            <w:hideMark/>
          </w:tcPr>
          <w:p w14:paraId="201D5B6C" w14:textId="77777777" w:rsidR="00F844B4" w:rsidRPr="00DC2A3C" w:rsidRDefault="00F844B4" w:rsidP="00074625">
            <w:pPr>
              <w:pStyle w:val="ARtabletextright"/>
            </w:pPr>
            <w:r w:rsidRPr="00DC2A3C">
              <w:t>33</w:t>
            </w:r>
          </w:p>
        </w:tc>
        <w:tc>
          <w:tcPr>
            <w:tcW w:w="957" w:type="dxa"/>
            <w:tcMar>
              <w:right w:w="113" w:type="dxa"/>
            </w:tcMar>
            <w:hideMark/>
          </w:tcPr>
          <w:p w14:paraId="2148FC0D" w14:textId="77777777" w:rsidR="00F844B4" w:rsidRPr="00DC2A3C" w:rsidRDefault="00F844B4" w:rsidP="00074625">
            <w:pPr>
              <w:pStyle w:val="ARtabletextright"/>
            </w:pPr>
            <w:r w:rsidRPr="00DC2A3C">
              <w:t>18.9</w:t>
            </w:r>
          </w:p>
        </w:tc>
      </w:tr>
      <w:tr w:rsidR="008D68DC" w:rsidRPr="00DC2A3C" w14:paraId="4074A5B1" w14:textId="77777777" w:rsidTr="00D119D2">
        <w:trPr>
          <w:cantSplit w:val="0"/>
          <w:trHeight w:val="300"/>
        </w:trPr>
        <w:tc>
          <w:tcPr>
            <w:tcW w:w="1087" w:type="dxa"/>
            <w:hideMark/>
          </w:tcPr>
          <w:p w14:paraId="294CC7AF" w14:textId="77777777" w:rsidR="00F844B4" w:rsidRPr="00DC2A3C" w:rsidRDefault="00F844B4" w:rsidP="00074625">
            <w:pPr>
              <w:pStyle w:val="ARtabletext"/>
            </w:pPr>
            <w:r w:rsidRPr="00DC2A3C">
              <w:t>HCSO</w:t>
            </w:r>
          </w:p>
        </w:tc>
        <w:tc>
          <w:tcPr>
            <w:tcW w:w="954" w:type="dxa"/>
            <w:shd w:val="clear" w:color="auto" w:fill="E7E6E6" w:themeFill="background2"/>
            <w:tcMar>
              <w:right w:w="113" w:type="dxa"/>
            </w:tcMar>
            <w:hideMark/>
          </w:tcPr>
          <w:p w14:paraId="01956024" w14:textId="77777777" w:rsidR="00F844B4" w:rsidRPr="00DC2A3C" w:rsidRDefault="00F844B4" w:rsidP="00074625">
            <w:pPr>
              <w:pStyle w:val="ARtabletextright"/>
            </w:pPr>
            <w:r w:rsidRPr="00DC2A3C">
              <w:t>105</w:t>
            </w:r>
          </w:p>
        </w:tc>
        <w:tc>
          <w:tcPr>
            <w:tcW w:w="956" w:type="dxa"/>
            <w:shd w:val="clear" w:color="auto" w:fill="E7E6E6" w:themeFill="background2"/>
            <w:tcMar>
              <w:right w:w="113" w:type="dxa"/>
            </w:tcMar>
            <w:hideMark/>
          </w:tcPr>
          <w:p w14:paraId="5A95F734" w14:textId="77777777" w:rsidR="00F844B4" w:rsidRPr="00DC2A3C" w:rsidRDefault="00F844B4" w:rsidP="00074625">
            <w:pPr>
              <w:pStyle w:val="ARtabletextright"/>
            </w:pPr>
            <w:r w:rsidRPr="00DC2A3C">
              <w:t>97.02</w:t>
            </w:r>
          </w:p>
        </w:tc>
        <w:tc>
          <w:tcPr>
            <w:tcW w:w="948" w:type="dxa"/>
            <w:tcMar>
              <w:right w:w="113" w:type="dxa"/>
            </w:tcMar>
            <w:hideMark/>
          </w:tcPr>
          <w:p w14:paraId="46397396" w14:textId="77777777" w:rsidR="00F844B4" w:rsidRPr="00DC2A3C" w:rsidRDefault="00F844B4" w:rsidP="00074625">
            <w:pPr>
              <w:pStyle w:val="ARtabletextright"/>
            </w:pPr>
            <w:r w:rsidRPr="00DC2A3C">
              <w:t>54</w:t>
            </w:r>
          </w:p>
        </w:tc>
        <w:tc>
          <w:tcPr>
            <w:tcW w:w="948" w:type="dxa"/>
            <w:tcMar>
              <w:right w:w="113" w:type="dxa"/>
            </w:tcMar>
            <w:hideMark/>
          </w:tcPr>
          <w:p w14:paraId="251423CD" w14:textId="77777777" w:rsidR="00F844B4" w:rsidRPr="00DC2A3C" w:rsidRDefault="00F844B4" w:rsidP="00074625">
            <w:pPr>
              <w:pStyle w:val="ARtabletextright"/>
            </w:pPr>
            <w:r w:rsidRPr="00DC2A3C">
              <w:t>25</w:t>
            </w:r>
          </w:p>
        </w:tc>
        <w:tc>
          <w:tcPr>
            <w:tcW w:w="956" w:type="dxa"/>
            <w:tcMar>
              <w:right w:w="113" w:type="dxa"/>
            </w:tcMar>
            <w:hideMark/>
          </w:tcPr>
          <w:p w14:paraId="10AE2EF1" w14:textId="77777777" w:rsidR="00F844B4" w:rsidRPr="00DC2A3C" w:rsidRDefault="00F844B4" w:rsidP="00074625">
            <w:pPr>
              <w:pStyle w:val="ARtabletextright"/>
            </w:pPr>
            <w:r w:rsidRPr="00DC2A3C">
              <w:t>71.8</w:t>
            </w:r>
          </w:p>
        </w:tc>
        <w:tc>
          <w:tcPr>
            <w:tcW w:w="956" w:type="dxa"/>
            <w:shd w:val="clear" w:color="auto" w:fill="E7E6E6" w:themeFill="background2"/>
            <w:tcMar>
              <w:right w:w="113" w:type="dxa"/>
            </w:tcMar>
            <w:hideMark/>
          </w:tcPr>
          <w:p w14:paraId="054B8143" w14:textId="77777777" w:rsidR="00F844B4" w:rsidRPr="00DC2A3C" w:rsidRDefault="00F844B4" w:rsidP="00074625">
            <w:pPr>
              <w:pStyle w:val="ARtabletextright"/>
            </w:pPr>
            <w:r w:rsidRPr="00DC2A3C">
              <w:t>26</w:t>
            </w:r>
          </w:p>
        </w:tc>
        <w:tc>
          <w:tcPr>
            <w:tcW w:w="951" w:type="dxa"/>
            <w:shd w:val="clear" w:color="auto" w:fill="E7E6E6" w:themeFill="background2"/>
            <w:tcMar>
              <w:right w:w="113" w:type="dxa"/>
            </w:tcMar>
            <w:hideMark/>
          </w:tcPr>
          <w:p w14:paraId="3CAA932C" w14:textId="77777777" w:rsidR="00F844B4" w:rsidRPr="00DC2A3C" w:rsidRDefault="00F844B4" w:rsidP="00074625">
            <w:pPr>
              <w:pStyle w:val="ARtabletextright"/>
            </w:pPr>
            <w:r w:rsidRPr="00DC2A3C">
              <w:t>25.22</w:t>
            </w:r>
          </w:p>
        </w:tc>
        <w:tc>
          <w:tcPr>
            <w:tcW w:w="956" w:type="dxa"/>
            <w:tcMar>
              <w:right w:w="113" w:type="dxa"/>
            </w:tcMar>
            <w:hideMark/>
          </w:tcPr>
          <w:p w14:paraId="76DCE2C9" w14:textId="77777777" w:rsidR="00F844B4" w:rsidRPr="00DC2A3C" w:rsidRDefault="00F844B4" w:rsidP="00074625">
            <w:pPr>
              <w:pStyle w:val="ARtabletextright"/>
            </w:pPr>
            <w:r w:rsidRPr="00DC2A3C">
              <w:t>0</w:t>
            </w:r>
          </w:p>
        </w:tc>
        <w:tc>
          <w:tcPr>
            <w:tcW w:w="786" w:type="dxa"/>
            <w:tcMar>
              <w:right w:w="113" w:type="dxa"/>
            </w:tcMar>
            <w:hideMark/>
          </w:tcPr>
          <w:p w14:paraId="12F53720" w14:textId="77777777" w:rsidR="00F844B4" w:rsidRPr="00DC2A3C" w:rsidRDefault="00F844B4" w:rsidP="00074625">
            <w:pPr>
              <w:pStyle w:val="ARtabletextright"/>
            </w:pPr>
            <w:r w:rsidRPr="00DC2A3C">
              <w:t>0</w:t>
            </w:r>
          </w:p>
        </w:tc>
        <w:tc>
          <w:tcPr>
            <w:tcW w:w="1120" w:type="dxa"/>
            <w:shd w:val="clear" w:color="auto" w:fill="E7E6E6" w:themeFill="background2"/>
            <w:tcMar>
              <w:right w:w="113" w:type="dxa"/>
            </w:tcMar>
            <w:hideMark/>
          </w:tcPr>
          <w:p w14:paraId="64509513" w14:textId="77777777" w:rsidR="00F844B4" w:rsidRPr="00DC2A3C" w:rsidRDefault="00F844B4" w:rsidP="00074625">
            <w:pPr>
              <w:pStyle w:val="ARtabletextright"/>
            </w:pPr>
            <w:r w:rsidRPr="00DC2A3C">
              <w:t>0</w:t>
            </w:r>
          </w:p>
        </w:tc>
        <w:tc>
          <w:tcPr>
            <w:tcW w:w="949" w:type="dxa"/>
            <w:shd w:val="clear" w:color="auto" w:fill="E7E6E6" w:themeFill="background2"/>
            <w:tcMar>
              <w:right w:w="113" w:type="dxa"/>
            </w:tcMar>
            <w:hideMark/>
          </w:tcPr>
          <w:p w14:paraId="0273DA90" w14:textId="77777777" w:rsidR="00F844B4" w:rsidRPr="00DC2A3C" w:rsidRDefault="00F844B4" w:rsidP="00074625">
            <w:pPr>
              <w:pStyle w:val="ARtabletextright"/>
            </w:pPr>
            <w:r w:rsidRPr="00DC2A3C">
              <w:t>0</w:t>
            </w:r>
          </w:p>
        </w:tc>
        <w:tc>
          <w:tcPr>
            <w:tcW w:w="957" w:type="dxa"/>
            <w:shd w:val="clear" w:color="auto" w:fill="E7E6E6" w:themeFill="background2"/>
            <w:tcMar>
              <w:right w:w="113" w:type="dxa"/>
            </w:tcMar>
            <w:hideMark/>
          </w:tcPr>
          <w:p w14:paraId="319485EE" w14:textId="77777777" w:rsidR="00F844B4" w:rsidRPr="00DC2A3C" w:rsidRDefault="00F844B4" w:rsidP="00074625">
            <w:pPr>
              <w:pStyle w:val="ARtabletextright"/>
            </w:pPr>
            <w:r w:rsidRPr="00DC2A3C">
              <w:t>0</w:t>
            </w:r>
          </w:p>
        </w:tc>
        <w:tc>
          <w:tcPr>
            <w:tcW w:w="956" w:type="dxa"/>
            <w:tcMar>
              <w:right w:w="113" w:type="dxa"/>
            </w:tcMar>
            <w:hideMark/>
          </w:tcPr>
          <w:p w14:paraId="29E2B71C" w14:textId="77777777" w:rsidR="00F844B4" w:rsidRPr="00DC2A3C" w:rsidRDefault="00F844B4" w:rsidP="00074625">
            <w:pPr>
              <w:pStyle w:val="ARtabletextright"/>
            </w:pPr>
            <w:r w:rsidRPr="00DC2A3C">
              <w:t>0</w:t>
            </w:r>
          </w:p>
        </w:tc>
        <w:tc>
          <w:tcPr>
            <w:tcW w:w="957" w:type="dxa"/>
            <w:tcMar>
              <w:right w:w="113" w:type="dxa"/>
            </w:tcMar>
            <w:hideMark/>
          </w:tcPr>
          <w:p w14:paraId="799767C3" w14:textId="77777777" w:rsidR="00F844B4" w:rsidRPr="00DC2A3C" w:rsidRDefault="00F844B4" w:rsidP="00074625">
            <w:pPr>
              <w:pStyle w:val="ARtabletextright"/>
            </w:pPr>
            <w:r w:rsidRPr="00DC2A3C">
              <w:t>0</w:t>
            </w:r>
          </w:p>
        </w:tc>
      </w:tr>
      <w:tr w:rsidR="008D68DC" w:rsidRPr="00DC2A3C" w14:paraId="7E3AC9A3" w14:textId="77777777" w:rsidTr="00D119D2">
        <w:trPr>
          <w:cantSplit w:val="0"/>
          <w:trHeight w:val="300"/>
        </w:trPr>
        <w:tc>
          <w:tcPr>
            <w:tcW w:w="1087" w:type="dxa"/>
            <w:hideMark/>
          </w:tcPr>
          <w:p w14:paraId="560548E6" w14:textId="77777777" w:rsidR="00F844B4" w:rsidRPr="00DC2A3C" w:rsidRDefault="00F844B4" w:rsidP="00074625">
            <w:pPr>
              <w:pStyle w:val="ARtabletext"/>
            </w:pPr>
            <w:r w:rsidRPr="00DC2A3C">
              <w:t>HSO-1</w:t>
            </w:r>
          </w:p>
        </w:tc>
        <w:tc>
          <w:tcPr>
            <w:tcW w:w="954" w:type="dxa"/>
            <w:shd w:val="clear" w:color="auto" w:fill="E7E6E6" w:themeFill="background2"/>
            <w:tcMar>
              <w:right w:w="113" w:type="dxa"/>
            </w:tcMar>
            <w:hideMark/>
          </w:tcPr>
          <w:p w14:paraId="23CA71FA" w14:textId="77777777" w:rsidR="00F844B4" w:rsidRPr="00DC2A3C" w:rsidRDefault="00F844B4" w:rsidP="00074625">
            <w:pPr>
              <w:pStyle w:val="ARtabletextright"/>
            </w:pPr>
            <w:r w:rsidRPr="00DC2A3C">
              <w:t>5</w:t>
            </w:r>
          </w:p>
        </w:tc>
        <w:tc>
          <w:tcPr>
            <w:tcW w:w="956" w:type="dxa"/>
            <w:shd w:val="clear" w:color="auto" w:fill="E7E6E6" w:themeFill="background2"/>
            <w:tcMar>
              <w:right w:w="113" w:type="dxa"/>
            </w:tcMar>
            <w:hideMark/>
          </w:tcPr>
          <w:p w14:paraId="2883562B" w14:textId="77777777" w:rsidR="00F844B4" w:rsidRPr="00DC2A3C" w:rsidRDefault="00F844B4" w:rsidP="00074625">
            <w:pPr>
              <w:pStyle w:val="ARtabletextright"/>
            </w:pPr>
            <w:r w:rsidRPr="00DC2A3C">
              <w:t>5</w:t>
            </w:r>
          </w:p>
        </w:tc>
        <w:tc>
          <w:tcPr>
            <w:tcW w:w="948" w:type="dxa"/>
            <w:tcMar>
              <w:right w:w="113" w:type="dxa"/>
            </w:tcMar>
            <w:hideMark/>
          </w:tcPr>
          <w:p w14:paraId="518D7B00" w14:textId="77777777" w:rsidR="00F844B4" w:rsidRPr="00DC2A3C" w:rsidRDefault="00F844B4" w:rsidP="00074625">
            <w:pPr>
              <w:pStyle w:val="ARtabletextright"/>
            </w:pPr>
            <w:r w:rsidRPr="00DC2A3C">
              <w:t>2</w:t>
            </w:r>
          </w:p>
        </w:tc>
        <w:tc>
          <w:tcPr>
            <w:tcW w:w="948" w:type="dxa"/>
            <w:tcMar>
              <w:right w:w="113" w:type="dxa"/>
            </w:tcMar>
            <w:hideMark/>
          </w:tcPr>
          <w:p w14:paraId="3BB47E80" w14:textId="77777777" w:rsidR="00F844B4" w:rsidRPr="00DC2A3C" w:rsidRDefault="00F844B4" w:rsidP="00074625">
            <w:pPr>
              <w:pStyle w:val="ARtabletextright"/>
            </w:pPr>
            <w:r w:rsidRPr="00DC2A3C">
              <w:t>0</w:t>
            </w:r>
          </w:p>
        </w:tc>
        <w:tc>
          <w:tcPr>
            <w:tcW w:w="956" w:type="dxa"/>
            <w:tcMar>
              <w:right w:w="113" w:type="dxa"/>
            </w:tcMar>
            <w:hideMark/>
          </w:tcPr>
          <w:p w14:paraId="1665C3A1" w14:textId="77777777" w:rsidR="00F844B4" w:rsidRPr="00DC2A3C" w:rsidRDefault="00F844B4" w:rsidP="00074625">
            <w:pPr>
              <w:pStyle w:val="ARtabletextright"/>
            </w:pPr>
            <w:r w:rsidRPr="00DC2A3C">
              <w:t>2</w:t>
            </w:r>
          </w:p>
        </w:tc>
        <w:tc>
          <w:tcPr>
            <w:tcW w:w="956" w:type="dxa"/>
            <w:shd w:val="clear" w:color="auto" w:fill="E7E6E6" w:themeFill="background2"/>
            <w:tcMar>
              <w:right w:w="113" w:type="dxa"/>
            </w:tcMar>
            <w:hideMark/>
          </w:tcPr>
          <w:p w14:paraId="590EA3C5" w14:textId="77777777" w:rsidR="00F844B4" w:rsidRPr="00DC2A3C" w:rsidRDefault="00F844B4" w:rsidP="00074625">
            <w:pPr>
              <w:pStyle w:val="ARtabletextright"/>
            </w:pPr>
            <w:r w:rsidRPr="00DC2A3C">
              <w:t>3</w:t>
            </w:r>
          </w:p>
        </w:tc>
        <w:tc>
          <w:tcPr>
            <w:tcW w:w="951" w:type="dxa"/>
            <w:shd w:val="clear" w:color="auto" w:fill="E7E6E6" w:themeFill="background2"/>
            <w:tcMar>
              <w:right w:w="113" w:type="dxa"/>
            </w:tcMar>
            <w:hideMark/>
          </w:tcPr>
          <w:p w14:paraId="21ADA3D2" w14:textId="77777777" w:rsidR="00F844B4" w:rsidRPr="00DC2A3C" w:rsidRDefault="00F844B4" w:rsidP="00074625">
            <w:pPr>
              <w:pStyle w:val="ARtabletextright"/>
            </w:pPr>
            <w:r w:rsidRPr="00DC2A3C">
              <w:t>3</w:t>
            </w:r>
          </w:p>
        </w:tc>
        <w:tc>
          <w:tcPr>
            <w:tcW w:w="956" w:type="dxa"/>
            <w:tcMar>
              <w:right w:w="113" w:type="dxa"/>
            </w:tcMar>
            <w:hideMark/>
          </w:tcPr>
          <w:p w14:paraId="1D726E4E" w14:textId="77777777" w:rsidR="00F844B4" w:rsidRPr="00DC2A3C" w:rsidRDefault="00F844B4" w:rsidP="00074625">
            <w:pPr>
              <w:pStyle w:val="ARtabletextright"/>
            </w:pPr>
            <w:r w:rsidRPr="00DC2A3C">
              <w:t>9</w:t>
            </w:r>
          </w:p>
        </w:tc>
        <w:tc>
          <w:tcPr>
            <w:tcW w:w="786" w:type="dxa"/>
            <w:tcMar>
              <w:right w:w="113" w:type="dxa"/>
            </w:tcMar>
            <w:hideMark/>
          </w:tcPr>
          <w:p w14:paraId="49FE76F5" w14:textId="77777777" w:rsidR="00F844B4" w:rsidRPr="00DC2A3C" w:rsidRDefault="00F844B4" w:rsidP="00074625">
            <w:pPr>
              <w:pStyle w:val="ARtabletextright"/>
            </w:pPr>
            <w:r w:rsidRPr="00DC2A3C">
              <w:t>8</w:t>
            </w:r>
          </w:p>
        </w:tc>
        <w:tc>
          <w:tcPr>
            <w:tcW w:w="1120" w:type="dxa"/>
            <w:shd w:val="clear" w:color="auto" w:fill="E7E6E6" w:themeFill="background2"/>
            <w:tcMar>
              <w:right w:w="113" w:type="dxa"/>
            </w:tcMar>
            <w:hideMark/>
          </w:tcPr>
          <w:p w14:paraId="42267FED" w14:textId="77777777" w:rsidR="00F844B4" w:rsidRPr="00DC2A3C" w:rsidRDefault="00F844B4" w:rsidP="00074625">
            <w:pPr>
              <w:pStyle w:val="ARtabletextright"/>
            </w:pPr>
            <w:r w:rsidRPr="00DC2A3C">
              <w:t>1</w:t>
            </w:r>
          </w:p>
        </w:tc>
        <w:tc>
          <w:tcPr>
            <w:tcW w:w="949" w:type="dxa"/>
            <w:shd w:val="clear" w:color="auto" w:fill="E7E6E6" w:themeFill="background2"/>
            <w:tcMar>
              <w:right w:w="113" w:type="dxa"/>
            </w:tcMar>
            <w:hideMark/>
          </w:tcPr>
          <w:p w14:paraId="5A0688A7" w14:textId="77777777" w:rsidR="00F844B4" w:rsidRPr="00DC2A3C" w:rsidRDefault="00F844B4" w:rsidP="00074625">
            <w:pPr>
              <w:pStyle w:val="ARtabletextright"/>
            </w:pPr>
            <w:r w:rsidRPr="00DC2A3C">
              <w:t>2</w:t>
            </w:r>
          </w:p>
        </w:tc>
        <w:tc>
          <w:tcPr>
            <w:tcW w:w="957" w:type="dxa"/>
            <w:shd w:val="clear" w:color="auto" w:fill="E7E6E6" w:themeFill="background2"/>
            <w:tcMar>
              <w:right w:w="113" w:type="dxa"/>
            </w:tcMar>
            <w:hideMark/>
          </w:tcPr>
          <w:p w14:paraId="47B55B8A" w14:textId="77777777" w:rsidR="00F844B4" w:rsidRPr="00DC2A3C" w:rsidRDefault="00F844B4" w:rsidP="00074625">
            <w:pPr>
              <w:pStyle w:val="ARtabletextright"/>
            </w:pPr>
            <w:r w:rsidRPr="00DC2A3C">
              <w:t>2</w:t>
            </w:r>
          </w:p>
        </w:tc>
        <w:tc>
          <w:tcPr>
            <w:tcW w:w="956" w:type="dxa"/>
            <w:tcMar>
              <w:right w:w="113" w:type="dxa"/>
            </w:tcMar>
            <w:hideMark/>
          </w:tcPr>
          <w:p w14:paraId="1385940D" w14:textId="77777777" w:rsidR="00F844B4" w:rsidRPr="00DC2A3C" w:rsidRDefault="00F844B4" w:rsidP="00074625">
            <w:pPr>
              <w:pStyle w:val="ARtabletextright"/>
            </w:pPr>
            <w:r w:rsidRPr="00DC2A3C">
              <w:t>6</w:t>
            </w:r>
          </w:p>
        </w:tc>
        <w:tc>
          <w:tcPr>
            <w:tcW w:w="957" w:type="dxa"/>
            <w:tcMar>
              <w:right w:w="113" w:type="dxa"/>
            </w:tcMar>
            <w:hideMark/>
          </w:tcPr>
          <w:p w14:paraId="068D852D" w14:textId="77777777" w:rsidR="00F844B4" w:rsidRPr="00DC2A3C" w:rsidRDefault="00F844B4" w:rsidP="00074625">
            <w:pPr>
              <w:pStyle w:val="ARtabletextright"/>
            </w:pPr>
            <w:r w:rsidRPr="00DC2A3C">
              <w:t>6</w:t>
            </w:r>
          </w:p>
        </w:tc>
      </w:tr>
      <w:tr w:rsidR="008D68DC" w:rsidRPr="00DC2A3C" w14:paraId="7ED31470" w14:textId="77777777" w:rsidTr="00D119D2">
        <w:trPr>
          <w:cantSplit w:val="0"/>
          <w:trHeight w:val="300"/>
        </w:trPr>
        <w:tc>
          <w:tcPr>
            <w:tcW w:w="1087" w:type="dxa"/>
            <w:hideMark/>
          </w:tcPr>
          <w:p w14:paraId="30567E8F" w14:textId="77777777" w:rsidR="00F844B4" w:rsidRPr="00DC2A3C" w:rsidRDefault="00F844B4" w:rsidP="00074625">
            <w:pPr>
              <w:pStyle w:val="ARtabletext"/>
            </w:pPr>
            <w:r w:rsidRPr="00DC2A3C">
              <w:t>HSO-2</w:t>
            </w:r>
          </w:p>
        </w:tc>
        <w:tc>
          <w:tcPr>
            <w:tcW w:w="954" w:type="dxa"/>
            <w:shd w:val="clear" w:color="auto" w:fill="E7E6E6" w:themeFill="background2"/>
            <w:tcMar>
              <w:right w:w="113" w:type="dxa"/>
            </w:tcMar>
            <w:hideMark/>
          </w:tcPr>
          <w:p w14:paraId="0141EFAC" w14:textId="77777777" w:rsidR="00F844B4" w:rsidRPr="00DC2A3C" w:rsidRDefault="00F844B4" w:rsidP="00074625">
            <w:pPr>
              <w:pStyle w:val="ARtabletextright"/>
            </w:pPr>
            <w:r w:rsidRPr="00DC2A3C">
              <w:t>365</w:t>
            </w:r>
          </w:p>
        </w:tc>
        <w:tc>
          <w:tcPr>
            <w:tcW w:w="956" w:type="dxa"/>
            <w:shd w:val="clear" w:color="auto" w:fill="E7E6E6" w:themeFill="background2"/>
            <w:tcMar>
              <w:right w:w="113" w:type="dxa"/>
            </w:tcMar>
            <w:hideMark/>
          </w:tcPr>
          <w:p w14:paraId="5994440B" w14:textId="77777777" w:rsidR="00F844B4" w:rsidRPr="00DC2A3C" w:rsidRDefault="00F844B4" w:rsidP="00074625">
            <w:pPr>
              <w:pStyle w:val="ARtabletextright"/>
            </w:pPr>
            <w:r w:rsidRPr="00DC2A3C">
              <w:t>349.04</w:t>
            </w:r>
          </w:p>
        </w:tc>
        <w:tc>
          <w:tcPr>
            <w:tcW w:w="948" w:type="dxa"/>
            <w:tcMar>
              <w:right w:w="113" w:type="dxa"/>
            </w:tcMar>
            <w:hideMark/>
          </w:tcPr>
          <w:p w14:paraId="28033A6F" w14:textId="77777777" w:rsidR="00F844B4" w:rsidRPr="00DC2A3C" w:rsidRDefault="00F844B4" w:rsidP="00074625">
            <w:pPr>
              <w:pStyle w:val="ARtabletextright"/>
            </w:pPr>
            <w:r w:rsidRPr="00DC2A3C">
              <w:t>295</w:t>
            </w:r>
          </w:p>
        </w:tc>
        <w:tc>
          <w:tcPr>
            <w:tcW w:w="948" w:type="dxa"/>
            <w:tcMar>
              <w:right w:w="113" w:type="dxa"/>
            </w:tcMar>
            <w:hideMark/>
          </w:tcPr>
          <w:p w14:paraId="1EE56A80" w14:textId="77777777" w:rsidR="00F844B4" w:rsidRPr="00DC2A3C" w:rsidRDefault="00F844B4" w:rsidP="00074625">
            <w:pPr>
              <w:pStyle w:val="ARtabletextright"/>
            </w:pPr>
            <w:r w:rsidRPr="00DC2A3C">
              <w:t>42</w:t>
            </w:r>
          </w:p>
        </w:tc>
        <w:tc>
          <w:tcPr>
            <w:tcW w:w="956" w:type="dxa"/>
            <w:tcMar>
              <w:right w:w="113" w:type="dxa"/>
            </w:tcMar>
            <w:hideMark/>
          </w:tcPr>
          <w:p w14:paraId="6233707D" w14:textId="77777777" w:rsidR="00F844B4" w:rsidRPr="00DC2A3C" w:rsidRDefault="00F844B4" w:rsidP="00074625">
            <w:pPr>
              <w:pStyle w:val="ARtabletextright"/>
            </w:pPr>
            <w:r w:rsidRPr="00DC2A3C">
              <w:t>322.04</w:t>
            </w:r>
          </w:p>
        </w:tc>
        <w:tc>
          <w:tcPr>
            <w:tcW w:w="956" w:type="dxa"/>
            <w:shd w:val="clear" w:color="auto" w:fill="E7E6E6" w:themeFill="background2"/>
            <w:tcMar>
              <w:right w:w="113" w:type="dxa"/>
            </w:tcMar>
            <w:hideMark/>
          </w:tcPr>
          <w:p w14:paraId="6A6F49E4" w14:textId="77777777" w:rsidR="00F844B4" w:rsidRPr="00DC2A3C" w:rsidRDefault="00F844B4" w:rsidP="00074625">
            <w:pPr>
              <w:pStyle w:val="ARtabletextright"/>
            </w:pPr>
            <w:r w:rsidRPr="00DC2A3C">
              <w:t>28</w:t>
            </w:r>
          </w:p>
        </w:tc>
        <w:tc>
          <w:tcPr>
            <w:tcW w:w="951" w:type="dxa"/>
            <w:shd w:val="clear" w:color="auto" w:fill="E7E6E6" w:themeFill="background2"/>
            <w:tcMar>
              <w:right w:w="113" w:type="dxa"/>
            </w:tcMar>
            <w:hideMark/>
          </w:tcPr>
          <w:p w14:paraId="4A72B1E7" w14:textId="77777777" w:rsidR="00F844B4" w:rsidRPr="00DC2A3C" w:rsidRDefault="00F844B4" w:rsidP="00074625">
            <w:pPr>
              <w:pStyle w:val="ARtabletextright"/>
            </w:pPr>
            <w:r w:rsidRPr="00DC2A3C">
              <w:t>27</w:t>
            </w:r>
          </w:p>
        </w:tc>
        <w:tc>
          <w:tcPr>
            <w:tcW w:w="956" w:type="dxa"/>
            <w:tcMar>
              <w:right w:w="113" w:type="dxa"/>
            </w:tcMar>
            <w:hideMark/>
          </w:tcPr>
          <w:p w14:paraId="2D1FD159" w14:textId="77777777" w:rsidR="00F844B4" w:rsidRPr="00DC2A3C" w:rsidRDefault="00F844B4" w:rsidP="00074625">
            <w:pPr>
              <w:pStyle w:val="ARtabletextright"/>
            </w:pPr>
            <w:r w:rsidRPr="00DC2A3C">
              <w:t>396</w:t>
            </w:r>
          </w:p>
        </w:tc>
        <w:tc>
          <w:tcPr>
            <w:tcW w:w="786" w:type="dxa"/>
            <w:tcMar>
              <w:right w:w="113" w:type="dxa"/>
            </w:tcMar>
            <w:hideMark/>
          </w:tcPr>
          <w:p w14:paraId="38AF026C" w14:textId="77777777" w:rsidR="00F844B4" w:rsidRPr="00DC2A3C" w:rsidRDefault="00F844B4" w:rsidP="00074625">
            <w:pPr>
              <w:pStyle w:val="ARtabletextright"/>
            </w:pPr>
            <w:r w:rsidRPr="00DC2A3C">
              <w:t>379.3</w:t>
            </w:r>
          </w:p>
        </w:tc>
        <w:tc>
          <w:tcPr>
            <w:tcW w:w="1120" w:type="dxa"/>
            <w:shd w:val="clear" w:color="auto" w:fill="E7E6E6" w:themeFill="background2"/>
            <w:tcMar>
              <w:right w:w="113" w:type="dxa"/>
            </w:tcMar>
            <w:hideMark/>
          </w:tcPr>
          <w:p w14:paraId="2CFCC0D4" w14:textId="77777777" w:rsidR="00F844B4" w:rsidRPr="00DC2A3C" w:rsidRDefault="00F844B4" w:rsidP="00074625">
            <w:pPr>
              <w:pStyle w:val="ARtabletextright"/>
            </w:pPr>
            <w:r w:rsidRPr="00DC2A3C">
              <w:t>299</w:t>
            </w:r>
          </w:p>
        </w:tc>
        <w:tc>
          <w:tcPr>
            <w:tcW w:w="949" w:type="dxa"/>
            <w:shd w:val="clear" w:color="auto" w:fill="E7E6E6" w:themeFill="background2"/>
            <w:tcMar>
              <w:right w:w="113" w:type="dxa"/>
            </w:tcMar>
            <w:hideMark/>
          </w:tcPr>
          <w:p w14:paraId="777E4573" w14:textId="77777777" w:rsidR="00F844B4" w:rsidRPr="00DC2A3C" w:rsidRDefault="00F844B4" w:rsidP="00074625">
            <w:pPr>
              <w:pStyle w:val="ARtabletextright"/>
            </w:pPr>
            <w:r w:rsidRPr="00DC2A3C">
              <w:t>47</w:t>
            </w:r>
          </w:p>
        </w:tc>
        <w:tc>
          <w:tcPr>
            <w:tcW w:w="957" w:type="dxa"/>
            <w:shd w:val="clear" w:color="auto" w:fill="E7E6E6" w:themeFill="background2"/>
            <w:tcMar>
              <w:right w:w="113" w:type="dxa"/>
            </w:tcMar>
            <w:hideMark/>
          </w:tcPr>
          <w:p w14:paraId="423B5512" w14:textId="77777777" w:rsidR="00F844B4" w:rsidRPr="00DC2A3C" w:rsidRDefault="00F844B4" w:rsidP="00074625">
            <w:pPr>
              <w:pStyle w:val="ARtabletextright"/>
            </w:pPr>
            <w:r w:rsidRPr="00DC2A3C">
              <w:t>331</w:t>
            </w:r>
          </w:p>
        </w:tc>
        <w:tc>
          <w:tcPr>
            <w:tcW w:w="956" w:type="dxa"/>
            <w:tcMar>
              <w:right w:w="113" w:type="dxa"/>
            </w:tcMar>
            <w:hideMark/>
          </w:tcPr>
          <w:p w14:paraId="793B7CF6" w14:textId="77777777" w:rsidR="00F844B4" w:rsidRPr="00DC2A3C" w:rsidRDefault="00F844B4" w:rsidP="00074625">
            <w:pPr>
              <w:pStyle w:val="ARtabletextright"/>
            </w:pPr>
            <w:r w:rsidRPr="00DC2A3C">
              <w:t>50</w:t>
            </w:r>
          </w:p>
        </w:tc>
        <w:tc>
          <w:tcPr>
            <w:tcW w:w="957" w:type="dxa"/>
            <w:tcMar>
              <w:right w:w="113" w:type="dxa"/>
            </w:tcMar>
            <w:hideMark/>
          </w:tcPr>
          <w:p w14:paraId="7A35D902" w14:textId="77777777" w:rsidR="00F844B4" w:rsidRPr="00DC2A3C" w:rsidRDefault="00F844B4" w:rsidP="00074625">
            <w:pPr>
              <w:pStyle w:val="ARtabletextright"/>
            </w:pPr>
            <w:r w:rsidRPr="00DC2A3C">
              <w:t>48.3</w:t>
            </w:r>
          </w:p>
        </w:tc>
      </w:tr>
      <w:tr w:rsidR="008D68DC" w:rsidRPr="00DC2A3C" w14:paraId="39A4F61A" w14:textId="77777777" w:rsidTr="00D119D2">
        <w:trPr>
          <w:cantSplit w:val="0"/>
          <w:trHeight w:val="300"/>
        </w:trPr>
        <w:tc>
          <w:tcPr>
            <w:tcW w:w="1087" w:type="dxa"/>
            <w:tcBorders>
              <w:bottom w:val="single" w:sz="4" w:space="0" w:color="A6A6A6" w:themeColor="accent5"/>
            </w:tcBorders>
            <w:hideMark/>
          </w:tcPr>
          <w:p w14:paraId="02C4107E" w14:textId="77777777" w:rsidR="00F844B4" w:rsidRPr="00DC2A3C" w:rsidRDefault="00F844B4" w:rsidP="00074625">
            <w:pPr>
              <w:pStyle w:val="ARtabletext"/>
            </w:pPr>
            <w:r w:rsidRPr="00DC2A3C">
              <w:t>HSO-3</w:t>
            </w:r>
          </w:p>
        </w:tc>
        <w:tc>
          <w:tcPr>
            <w:tcW w:w="954" w:type="dxa"/>
            <w:tcBorders>
              <w:bottom w:val="single" w:sz="4" w:space="0" w:color="A6A6A6" w:themeColor="accent5"/>
            </w:tcBorders>
            <w:shd w:val="clear" w:color="auto" w:fill="E7E6E6" w:themeFill="background2"/>
            <w:tcMar>
              <w:right w:w="113" w:type="dxa"/>
            </w:tcMar>
            <w:hideMark/>
          </w:tcPr>
          <w:p w14:paraId="36B9525E" w14:textId="77777777" w:rsidR="00F844B4" w:rsidRPr="00DC2A3C" w:rsidRDefault="00F844B4" w:rsidP="00074625">
            <w:pPr>
              <w:pStyle w:val="ARtabletextright"/>
            </w:pPr>
            <w:r w:rsidRPr="00DC2A3C">
              <w:t>66</w:t>
            </w:r>
          </w:p>
        </w:tc>
        <w:tc>
          <w:tcPr>
            <w:tcW w:w="956" w:type="dxa"/>
            <w:tcBorders>
              <w:bottom w:val="single" w:sz="4" w:space="0" w:color="A6A6A6" w:themeColor="accent5"/>
            </w:tcBorders>
            <w:shd w:val="clear" w:color="auto" w:fill="E7E6E6" w:themeFill="background2"/>
            <w:tcMar>
              <w:right w:w="113" w:type="dxa"/>
            </w:tcMar>
            <w:hideMark/>
          </w:tcPr>
          <w:p w14:paraId="7E99BA83" w14:textId="77777777" w:rsidR="00F844B4" w:rsidRPr="00DC2A3C" w:rsidRDefault="00F844B4" w:rsidP="00074625">
            <w:pPr>
              <w:pStyle w:val="ARtabletextright"/>
            </w:pPr>
            <w:r w:rsidRPr="00DC2A3C">
              <w:t>64.33</w:t>
            </w:r>
          </w:p>
        </w:tc>
        <w:tc>
          <w:tcPr>
            <w:tcW w:w="948" w:type="dxa"/>
            <w:tcBorders>
              <w:bottom w:val="single" w:sz="4" w:space="0" w:color="A6A6A6" w:themeColor="accent5"/>
            </w:tcBorders>
            <w:tcMar>
              <w:right w:w="113" w:type="dxa"/>
            </w:tcMar>
            <w:hideMark/>
          </w:tcPr>
          <w:p w14:paraId="6A9526AD" w14:textId="77777777" w:rsidR="00F844B4" w:rsidRPr="00DC2A3C" w:rsidRDefault="00F844B4" w:rsidP="00074625">
            <w:pPr>
              <w:pStyle w:val="ARtabletextright"/>
            </w:pPr>
            <w:r w:rsidRPr="00DC2A3C">
              <w:t>59</w:t>
            </w:r>
          </w:p>
        </w:tc>
        <w:tc>
          <w:tcPr>
            <w:tcW w:w="948" w:type="dxa"/>
            <w:tcBorders>
              <w:bottom w:val="single" w:sz="4" w:space="0" w:color="A6A6A6" w:themeColor="accent5"/>
            </w:tcBorders>
            <w:tcMar>
              <w:right w:w="113" w:type="dxa"/>
            </w:tcMar>
            <w:hideMark/>
          </w:tcPr>
          <w:p w14:paraId="76F9BB0C" w14:textId="77777777" w:rsidR="00F844B4" w:rsidRPr="00DC2A3C" w:rsidRDefault="00F844B4" w:rsidP="00074625">
            <w:pPr>
              <w:pStyle w:val="ARtabletextright"/>
            </w:pPr>
            <w:r w:rsidRPr="00DC2A3C">
              <w:t>7</w:t>
            </w:r>
          </w:p>
        </w:tc>
        <w:tc>
          <w:tcPr>
            <w:tcW w:w="956" w:type="dxa"/>
            <w:tcBorders>
              <w:bottom w:val="single" w:sz="4" w:space="0" w:color="A6A6A6" w:themeColor="accent5"/>
            </w:tcBorders>
            <w:tcMar>
              <w:right w:w="113" w:type="dxa"/>
            </w:tcMar>
            <w:hideMark/>
          </w:tcPr>
          <w:p w14:paraId="6589B364" w14:textId="77777777" w:rsidR="00F844B4" w:rsidRPr="00DC2A3C" w:rsidRDefault="00F844B4" w:rsidP="00074625">
            <w:pPr>
              <w:pStyle w:val="ARtabletextright"/>
            </w:pPr>
            <w:r w:rsidRPr="00DC2A3C">
              <w:t>64.33</w:t>
            </w:r>
          </w:p>
        </w:tc>
        <w:tc>
          <w:tcPr>
            <w:tcW w:w="956" w:type="dxa"/>
            <w:tcBorders>
              <w:bottom w:val="single" w:sz="4" w:space="0" w:color="A6A6A6" w:themeColor="accent5"/>
            </w:tcBorders>
            <w:shd w:val="clear" w:color="auto" w:fill="E7E6E6" w:themeFill="background2"/>
            <w:tcMar>
              <w:right w:w="113" w:type="dxa"/>
            </w:tcMar>
            <w:hideMark/>
          </w:tcPr>
          <w:p w14:paraId="6EB4033A" w14:textId="77777777" w:rsidR="00F844B4" w:rsidRPr="00DC2A3C" w:rsidRDefault="00F844B4" w:rsidP="00074625">
            <w:pPr>
              <w:pStyle w:val="ARtabletextright"/>
            </w:pPr>
            <w:r w:rsidRPr="00DC2A3C">
              <w:t>0</w:t>
            </w:r>
          </w:p>
        </w:tc>
        <w:tc>
          <w:tcPr>
            <w:tcW w:w="951" w:type="dxa"/>
            <w:tcBorders>
              <w:bottom w:val="single" w:sz="4" w:space="0" w:color="A6A6A6" w:themeColor="accent5"/>
            </w:tcBorders>
            <w:shd w:val="clear" w:color="auto" w:fill="E7E6E6" w:themeFill="background2"/>
            <w:tcMar>
              <w:right w:w="113" w:type="dxa"/>
            </w:tcMar>
            <w:hideMark/>
          </w:tcPr>
          <w:p w14:paraId="0AECCA99" w14:textId="77777777" w:rsidR="00F844B4" w:rsidRPr="00DC2A3C" w:rsidRDefault="00F844B4" w:rsidP="00074625">
            <w:pPr>
              <w:pStyle w:val="ARtabletextright"/>
            </w:pPr>
            <w:r w:rsidRPr="00DC2A3C">
              <w:t>0</w:t>
            </w:r>
          </w:p>
        </w:tc>
        <w:tc>
          <w:tcPr>
            <w:tcW w:w="956" w:type="dxa"/>
            <w:tcBorders>
              <w:bottom w:val="single" w:sz="4" w:space="0" w:color="A6A6A6" w:themeColor="accent5"/>
            </w:tcBorders>
            <w:tcMar>
              <w:right w:w="113" w:type="dxa"/>
            </w:tcMar>
            <w:hideMark/>
          </w:tcPr>
          <w:p w14:paraId="3925133E" w14:textId="77777777" w:rsidR="00F844B4" w:rsidRPr="00DC2A3C" w:rsidRDefault="00F844B4" w:rsidP="00074625">
            <w:pPr>
              <w:pStyle w:val="ARtabletextright"/>
            </w:pPr>
            <w:r w:rsidRPr="00DC2A3C">
              <w:t>66</w:t>
            </w:r>
          </w:p>
        </w:tc>
        <w:tc>
          <w:tcPr>
            <w:tcW w:w="786" w:type="dxa"/>
            <w:tcBorders>
              <w:bottom w:val="single" w:sz="4" w:space="0" w:color="A6A6A6" w:themeColor="accent5"/>
            </w:tcBorders>
            <w:tcMar>
              <w:right w:w="113" w:type="dxa"/>
            </w:tcMar>
            <w:hideMark/>
          </w:tcPr>
          <w:p w14:paraId="5E600C2F" w14:textId="77777777" w:rsidR="00F844B4" w:rsidRPr="00DC2A3C" w:rsidRDefault="00F844B4" w:rsidP="00074625">
            <w:pPr>
              <w:pStyle w:val="ARtabletextright"/>
            </w:pPr>
            <w:r w:rsidRPr="00DC2A3C">
              <w:t>64.6</w:t>
            </w:r>
          </w:p>
        </w:tc>
        <w:tc>
          <w:tcPr>
            <w:tcW w:w="1120" w:type="dxa"/>
            <w:tcBorders>
              <w:bottom w:val="single" w:sz="4" w:space="0" w:color="A6A6A6" w:themeColor="accent5"/>
            </w:tcBorders>
            <w:shd w:val="clear" w:color="auto" w:fill="E7E6E6" w:themeFill="background2"/>
            <w:tcMar>
              <w:right w:w="113" w:type="dxa"/>
            </w:tcMar>
            <w:hideMark/>
          </w:tcPr>
          <w:p w14:paraId="25C05F09" w14:textId="77777777" w:rsidR="00F844B4" w:rsidRPr="00DC2A3C" w:rsidRDefault="00F844B4" w:rsidP="00074625">
            <w:pPr>
              <w:pStyle w:val="ARtabletextright"/>
            </w:pPr>
            <w:r w:rsidRPr="00DC2A3C">
              <w:t>60</w:t>
            </w:r>
          </w:p>
        </w:tc>
        <w:tc>
          <w:tcPr>
            <w:tcW w:w="949" w:type="dxa"/>
            <w:tcBorders>
              <w:bottom w:val="single" w:sz="4" w:space="0" w:color="A6A6A6" w:themeColor="accent5"/>
            </w:tcBorders>
            <w:shd w:val="clear" w:color="auto" w:fill="E7E6E6" w:themeFill="background2"/>
            <w:tcMar>
              <w:right w:w="113" w:type="dxa"/>
            </w:tcMar>
            <w:hideMark/>
          </w:tcPr>
          <w:p w14:paraId="600AAEB0" w14:textId="77777777" w:rsidR="00F844B4" w:rsidRPr="00DC2A3C" w:rsidRDefault="00F844B4" w:rsidP="00074625">
            <w:pPr>
              <w:pStyle w:val="ARtabletextright"/>
            </w:pPr>
            <w:r w:rsidRPr="00DC2A3C">
              <w:t>6</w:t>
            </w:r>
          </w:p>
        </w:tc>
        <w:tc>
          <w:tcPr>
            <w:tcW w:w="957" w:type="dxa"/>
            <w:tcBorders>
              <w:bottom w:val="single" w:sz="4" w:space="0" w:color="A6A6A6" w:themeColor="accent5"/>
            </w:tcBorders>
            <w:shd w:val="clear" w:color="auto" w:fill="E7E6E6" w:themeFill="background2"/>
            <w:tcMar>
              <w:right w:w="113" w:type="dxa"/>
            </w:tcMar>
            <w:hideMark/>
          </w:tcPr>
          <w:p w14:paraId="14DC8EA6" w14:textId="77777777" w:rsidR="00F844B4" w:rsidRPr="00DC2A3C" w:rsidRDefault="00F844B4" w:rsidP="00074625">
            <w:pPr>
              <w:pStyle w:val="ARtabletextright"/>
            </w:pPr>
            <w:r w:rsidRPr="00DC2A3C">
              <w:t>64.6</w:t>
            </w:r>
          </w:p>
        </w:tc>
        <w:tc>
          <w:tcPr>
            <w:tcW w:w="956" w:type="dxa"/>
            <w:tcBorders>
              <w:bottom w:val="single" w:sz="4" w:space="0" w:color="A6A6A6" w:themeColor="accent5"/>
            </w:tcBorders>
            <w:tcMar>
              <w:right w:w="113" w:type="dxa"/>
            </w:tcMar>
            <w:hideMark/>
          </w:tcPr>
          <w:p w14:paraId="6C5941AE" w14:textId="77777777" w:rsidR="00F844B4" w:rsidRPr="00DC2A3C" w:rsidRDefault="00F844B4" w:rsidP="00074625">
            <w:pPr>
              <w:pStyle w:val="ARtabletextright"/>
            </w:pPr>
            <w:r w:rsidRPr="00DC2A3C">
              <w:t>0</w:t>
            </w:r>
          </w:p>
        </w:tc>
        <w:tc>
          <w:tcPr>
            <w:tcW w:w="957" w:type="dxa"/>
            <w:tcBorders>
              <w:bottom w:val="single" w:sz="4" w:space="0" w:color="A6A6A6" w:themeColor="accent5"/>
            </w:tcBorders>
            <w:tcMar>
              <w:right w:w="113" w:type="dxa"/>
            </w:tcMar>
            <w:hideMark/>
          </w:tcPr>
          <w:p w14:paraId="3739A613" w14:textId="77777777" w:rsidR="00F844B4" w:rsidRPr="00DC2A3C" w:rsidRDefault="00F844B4" w:rsidP="00074625">
            <w:pPr>
              <w:pStyle w:val="ARtabletextright"/>
            </w:pPr>
            <w:r w:rsidRPr="00DC2A3C">
              <w:t>0</w:t>
            </w:r>
          </w:p>
        </w:tc>
      </w:tr>
      <w:tr w:rsidR="008D68DC" w:rsidRPr="00DC2A3C" w14:paraId="4C88D577" w14:textId="77777777" w:rsidTr="00D119D2">
        <w:trPr>
          <w:cantSplit w:val="0"/>
          <w:trHeight w:val="300"/>
        </w:trPr>
        <w:tc>
          <w:tcPr>
            <w:tcW w:w="1087" w:type="dxa"/>
            <w:tcBorders>
              <w:top w:val="single" w:sz="4" w:space="0" w:color="A6A6A6" w:themeColor="accent5"/>
              <w:bottom w:val="single" w:sz="4" w:space="0" w:color="000000" w:themeColor="text1"/>
            </w:tcBorders>
            <w:hideMark/>
          </w:tcPr>
          <w:p w14:paraId="08821D10" w14:textId="77777777" w:rsidR="00F844B4" w:rsidRPr="00DC2A3C" w:rsidRDefault="00F844B4" w:rsidP="00074625">
            <w:pPr>
              <w:pStyle w:val="ARtabletextbold"/>
            </w:pPr>
            <w:r w:rsidRPr="00DC2A3C">
              <w:t>Total</w:t>
            </w:r>
          </w:p>
        </w:tc>
        <w:tc>
          <w:tcPr>
            <w:tcW w:w="954" w:type="dxa"/>
            <w:tcBorders>
              <w:top w:val="single" w:sz="4" w:space="0" w:color="A6A6A6" w:themeColor="accent5"/>
              <w:bottom w:val="single" w:sz="4" w:space="0" w:color="000000" w:themeColor="text1"/>
            </w:tcBorders>
            <w:shd w:val="clear" w:color="auto" w:fill="E7E6E6" w:themeFill="background2"/>
            <w:tcMar>
              <w:right w:w="113" w:type="dxa"/>
            </w:tcMar>
            <w:hideMark/>
          </w:tcPr>
          <w:p w14:paraId="02A1AB95" w14:textId="77777777" w:rsidR="00F844B4" w:rsidRPr="00DC2A3C" w:rsidRDefault="00F844B4" w:rsidP="00074625">
            <w:pPr>
              <w:pStyle w:val="ARtabletextrightbold"/>
            </w:pPr>
            <w:r w:rsidRPr="00DC2A3C">
              <w:t>541</w:t>
            </w:r>
          </w:p>
        </w:tc>
        <w:tc>
          <w:tcPr>
            <w:tcW w:w="956" w:type="dxa"/>
            <w:tcBorders>
              <w:top w:val="single" w:sz="4" w:space="0" w:color="A6A6A6" w:themeColor="accent5"/>
              <w:bottom w:val="single" w:sz="4" w:space="0" w:color="000000" w:themeColor="text1"/>
            </w:tcBorders>
            <w:shd w:val="clear" w:color="auto" w:fill="E7E6E6" w:themeFill="background2"/>
            <w:tcMar>
              <w:right w:w="113" w:type="dxa"/>
            </w:tcMar>
            <w:hideMark/>
          </w:tcPr>
          <w:p w14:paraId="0F403286" w14:textId="77777777" w:rsidR="00F844B4" w:rsidRPr="00DC2A3C" w:rsidRDefault="00F844B4" w:rsidP="00074625">
            <w:pPr>
              <w:pStyle w:val="ARtabletextrightbold"/>
            </w:pPr>
            <w:r w:rsidRPr="00DC2A3C">
              <w:t>515.39</w:t>
            </w:r>
          </w:p>
        </w:tc>
        <w:tc>
          <w:tcPr>
            <w:tcW w:w="948" w:type="dxa"/>
            <w:tcBorders>
              <w:top w:val="single" w:sz="4" w:space="0" w:color="A6A6A6" w:themeColor="accent5"/>
              <w:bottom w:val="single" w:sz="4" w:space="0" w:color="000000" w:themeColor="text1"/>
            </w:tcBorders>
            <w:tcMar>
              <w:right w:w="113" w:type="dxa"/>
            </w:tcMar>
            <w:hideMark/>
          </w:tcPr>
          <w:p w14:paraId="2CDEE56C" w14:textId="77777777" w:rsidR="00F844B4" w:rsidRPr="00DC2A3C" w:rsidRDefault="00F844B4" w:rsidP="00074625">
            <w:pPr>
              <w:pStyle w:val="ARtabletextrightbold"/>
            </w:pPr>
            <w:r w:rsidRPr="00DC2A3C">
              <w:t>410</w:t>
            </w:r>
          </w:p>
        </w:tc>
        <w:tc>
          <w:tcPr>
            <w:tcW w:w="948" w:type="dxa"/>
            <w:tcBorders>
              <w:top w:val="single" w:sz="4" w:space="0" w:color="A6A6A6" w:themeColor="accent5"/>
              <w:bottom w:val="single" w:sz="4" w:space="0" w:color="000000" w:themeColor="text1"/>
            </w:tcBorders>
            <w:tcMar>
              <w:right w:w="113" w:type="dxa"/>
            </w:tcMar>
            <w:hideMark/>
          </w:tcPr>
          <w:p w14:paraId="7E142730" w14:textId="77777777" w:rsidR="00F844B4" w:rsidRPr="00DC2A3C" w:rsidRDefault="00F844B4" w:rsidP="00074625">
            <w:pPr>
              <w:pStyle w:val="ARtabletextrightbold"/>
            </w:pPr>
            <w:r w:rsidRPr="00DC2A3C">
              <w:t>74</w:t>
            </w:r>
          </w:p>
        </w:tc>
        <w:tc>
          <w:tcPr>
            <w:tcW w:w="956" w:type="dxa"/>
            <w:tcBorders>
              <w:top w:val="single" w:sz="4" w:space="0" w:color="A6A6A6" w:themeColor="accent5"/>
              <w:bottom w:val="single" w:sz="4" w:space="0" w:color="000000" w:themeColor="text1"/>
            </w:tcBorders>
            <w:tcMar>
              <w:right w:w="113" w:type="dxa"/>
            </w:tcMar>
            <w:hideMark/>
          </w:tcPr>
          <w:p w14:paraId="66305D2A" w14:textId="77777777" w:rsidR="00F844B4" w:rsidRPr="00DC2A3C" w:rsidRDefault="00F844B4" w:rsidP="00074625">
            <w:pPr>
              <w:pStyle w:val="ARtabletextrightbold"/>
            </w:pPr>
            <w:r w:rsidRPr="00DC2A3C">
              <w:t>460.17</w:t>
            </w:r>
          </w:p>
        </w:tc>
        <w:tc>
          <w:tcPr>
            <w:tcW w:w="956" w:type="dxa"/>
            <w:tcBorders>
              <w:top w:val="single" w:sz="4" w:space="0" w:color="A6A6A6" w:themeColor="accent5"/>
              <w:bottom w:val="single" w:sz="4" w:space="0" w:color="000000" w:themeColor="text1"/>
            </w:tcBorders>
            <w:shd w:val="clear" w:color="auto" w:fill="E7E6E6" w:themeFill="background2"/>
            <w:tcMar>
              <w:right w:w="113" w:type="dxa"/>
            </w:tcMar>
            <w:hideMark/>
          </w:tcPr>
          <w:p w14:paraId="6872F07E" w14:textId="77777777" w:rsidR="00F844B4" w:rsidRPr="00DC2A3C" w:rsidRDefault="00F844B4" w:rsidP="00074625">
            <w:pPr>
              <w:pStyle w:val="ARtabletextrightbold"/>
            </w:pPr>
            <w:r w:rsidRPr="00DC2A3C">
              <w:t>57</w:t>
            </w:r>
          </w:p>
        </w:tc>
        <w:tc>
          <w:tcPr>
            <w:tcW w:w="951" w:type="dxa"/>
            <w:tcBorders>
              <w:top w:val="single" w:sz="4" w:space="0" w:color="A6A6A6" w:themeColor="accent5"/>
              <w:bottom w:val="single" w:sz="4" w:space="0" w:color="000000" w:themeColor="text1"/>
            </w:tcBorders>
            <w:shd w:val="clear" w:color="auto" w:fill="E7E6E6" w:themeFill="background2"/>
            <w:tcMar>
              <w:right w:w="113" w:type="dxa"/>
            </w:tcMar>
            <w:hideMark/>
          </w:tcPr>
          <w:p w14:paraId="1C81029E" w14:textId="77777777" w:rsidR="00F844B4" w:rsidRPr="00DC2A3C" w:rsidRDefault="00F844B4" w:rsidP="00074625">
            <w:pPr>
              <w:pStyle w:val="ARtabletextrightbold"/>
            </w:pPr>
            <w:r w:rsidRPr="00DC2A3C">
              <w:t>55.22</w:t>
            </w:r>
          </w:p>
        </w:tc>
        <w:tc>
          <w:tcPr>
            <w:tcW w:w="956" w:type="dxa"/>
            <w:tcBorders>
              <w:top w:val="single" w:sz="4" w:space="0" w:color="A6A6A6" w:themeColor="accent5"/>
              <w:bottom w:val="single" w:sz="4" w:space="0" w:color="000000" w:themeColor="text1"/>
            </w:tcBorders>
            <w:tcMar>
              <w:right w:w="113" w:type="dxa"/>
            </w:tcMar>
            <w:hideMark/>
          </w:tcPr>
          <w:p w14:paraId="1C4E3002" w14:textId="77777777" w:rsidR="00F844B4" w:rsidRPr="00DC2A3C" w:rsidRDefault="00F844B4" w:rsidP="00074625">
            <w:pPr>
              <w:pStyle w:val="ARtabletextrightbold"/>
            </w:pPr>
            <w:r w:rsidRPr="00DC2A3C">
              <w:t>583</w:t>
            </w:r>
          </w:p>
        </w:tc>
        <w:tc>
          <w:tcPr>
            <w:tcW w:w="786" w:type="dxa"/>
            <w:tcBorders>
              <w:top w:val="single" w:sz="4" w:space="0" w:color="A6A6A6" w:themeColor="accent5"/>
              <w:bottom w:val="single" w:sz="4" w:space="0" w:color="000000" w:themeColor="text1"/>
            </w:tcBorders>
            <w:tcMar>
              <w:right w:w="113" w:type="dxa"/>
            </w:tcMar>
            <w:hideMark/>
          </w:tcPr>
          <w:p w14:paraId="7E947093" w14:textId="77777777" w:rsidR="00F844B4" w:rsidRPr="00DC2A3C" w:rsidRDefault="00F844B4" w:rsidP="00074625">
            <w:pPr>
              <w:pStyle w:val="ARtabletextrightbold"/>
            </w:pPr>
            <w:r w:rsidRPr="00DC2A3C">
              <w:t>541.3</w:t>
            </w:r>
          </w:p>
        </w:tc>
        <w:tc>
          <w:tcPr>
            <w:tcW w:w="1120" w:type="dxa"/>
            <w:tcBorders>
              <w:top w:val="single" w:sz="4" w:space="0" w:color="A6A6A6" w:themeColor="accent5"/>
              <w:bottom w:val="single" w:sz="4" w:space="0" w:color="000000" w:themeColor="text1"/>
            </w:tcBorders>
            <w:shd w:val="clear" w:color="auto" w:fill="E7E6E6" w:themeFill="background2"/>
            <w:tcMar>
              <w:right w:w="113" w:type="dxa"/>
            </w:tcMar>
            <w:hideMark/>
          </w:tcPr>
          <w:p w14:paraId="1FAFABEB" w14:textId="77777777" w:rsidR="00F844B4" w:rsidRPr="00DC2A3C" w:rsidRDefault="00F844B4" w:rsidP="00074625">
            <w:pPr>
              <w:pStyle w:val="ARtabletextrightbold"/>
            </w:pPr>
            <w:r w:rsidRPr="00DC2A3C">
              <w:t>399</w:t>
            </w:r>
          </w:p>
        </w:tc>
        <w:tc>
          <w:tcPr>
            <w:tcW w:w="949" w:type="dxa"/>
            <w:tcBorders>
              <w:top w:val="single" w:sz="4" w:space="0" w:color="A6A6A6" w:themeColor="accent5"/>
              <w:bottom w:val="single" w:sz="4" w:space="0" w:color="000000" w:themeColor="text1"/>
            </w:tcBorders>
            <w:shd w:val="clear" w:color="auto" w:fill="E7E6E6" w:themeFill="background2"/>
            <w:tcMar>
              <w:right w:w="113" w:type="dxa"/>
            </w:tcMar>
            <w:hideMark/>
          </w:tcPr>
          <w:p w14:paraId="31631B3B" w14:textId="77777777" w:rsidR="00F844B4" w:rsidRPr="00DC2A3C" w:rsidRDefault="00F844B4" w:rsidP="00074625">
            <w:pPr>
              <w:pStyle w:val="ARtabletextrightbold"/>
            </w:pPr>
            <w:r w:rsidRPr="00DC2A3C">
              <w:t>84</w:t>
            </w:r>
          </w:p>
        </w:tc>
        <w:tc>
          <w:tcPr>
            <w:tcW w:w="957" w:type="dxa"/>
            <w:tcBorders>
              <w:top w:val="single" w:sz="4" w:space="0" w:color="A6A6A6" w:themeColor="accent5"/>
              <w:bottom w:val="single" w:sz="4" w:space="0" w:color="000000" w:themeColor="text1"/>
            </w:tcBorders>
            <w:shd w:val="clear" w:color="auto" w:fill="E7E6E6" w:themeFill="background2"/>
            <w:tcMar>
              <w:right w:w="113" w:type="dxa"/>
            </w:tcMar>
            <w:hideMark/>
          </w:tcPr>
          <w:p w14:paraId="42187D80" w14:textId="77777777" w:rsidR="00F844B4" w:rsidRPr="00DC2A3C" w:rsidRDefault="00F844B4" w:rsidP="00074625">
            <w:pPr>
              <w:pStyle w:val="ARtabletextrightbold"/>
            </w:pPr>
            <w:r w:rsidRPr="00DC2A3C">
              <w:t>457.2</w:t>
            </w:r>
          </w:p>
        </w:tc>
        <w:tc>
          <w:tcPr>
            <w:tcW w:w="956" w:type="dxa"/>
            <w:tcBorders>
              <w:top w:val="single" w:sz="4" w:space="0" w:color="A6A6A6" w:themeColor="accent5"/>
              <w:bottom w:val="single" w:sz="4" w:space="0" w:color="000000" w:themeColor="text1"/>
            </w:tcBorders>
            <w:tcMar>
              <w:right w:w="113" w:type="dxa"/>
            </w:tcMar>
            <w:hideMark/>
          </w:tcPr>
          <w:p w14:paraId="409373E3" w14:textId="77777777" w:rsidR="00F844B4" w:rsidRPr="00DC2A3C" w:rsidRDefault="00F844B4" w:rsidP="00074625">
            <w:pPr>
              <w:pStyle w:val="ARtabletextrightbold"/>
            </w:pPr>
            <w:r w:rsidRPr="00DC2A3C">
              <w:t>100</w:t>
            </w:r>
          </w:p>
        </w:tc>
        <w:tc>
          <w:tcPr>
            <w:tcW w:w="957" w:type="dxa"/>
            <w:tcBorders>
              <w:top w:val="single" w:sz="4" w:space="0" w:color="A6A6A6" w:themeColor="accent5"/>
              <w:bottom w:val="single" w:sz="4" w:space="0" w:color="000000" w:themeColor="text1"/>
            </w:tcBorders>
            <w:tcMar>
              <w:right w:w="113" w:type="dxa"/>
            </w:tcMar>
            <w:hideMark/>
          </w:tcPr>
          <w:p w14:paraId="73D1A3E1" w14:textId="77777777" w:rsidR="00F844B4" w:rsidRPr="00DC2A3C" w:rsidRDefault="00F844B4" w:rsidP="00074625">
            <w:pPr>
              <w:pStyle w:val="ARtabletextrightbold"/>
            </w:pPr>
            <w:r w:rsidRPr="00DC2A3C">
              <w:t>84</w:t>
            </w:r>
          </w:p>
        </w:tc>
      </w:tr>
      <w:tr w:rsidR="008D68DC" w:rsidRPr="00DC2A3C" w14:paraId="07BAC955" w14:textId="77777777" w:rsidTr="00D119D2">
        <w:trPr>
          <w:cantSplit w:val="0"/>
          <w:trHeight w:val="300"/>
        </w:trPr>
        <w:tc>
          <w:tcPr>
            <w:tcW w:w="1087" w:type="dxa"/>
            <w:tcBorders>
              <w:top w:val="single" w:sz="4" w:space="0" w:color="000000" w:themeColor="text1"/>
              <w:bottom w:val="single" w:sz="4" w:space="0" w:color="auto"/>
            </w:tcBorders>
            <w:hideMark/>
          </w:tcPr>
          <w:p w14:paraId="38721145" w14:textId="0534AB34" w:rsidR="00F844B4" w:rsidRPr="00DC2A3C" w:rsidRDefault="00F844B4" w:rsidP="00074625">
            <w:pPr>
              <w:pStyle w:val="ARtabletext"/>
              <w:rPr>
                <w:color w:val="467886"/>
                <w:u w:val="single"/>
              </w:rPr>
            </w:pPr>
            <w:r w:rsidRPr="00DC2A3C">
              <w:t>Other</w:t>
            </w:r>
          </w:p>
        </w:tc>
        <w:tc>
          <w:tcPr>
            <w:tcW w:w="954" w:type="dxa"/>
            <w:tcBorders>
              <w:top w:val="single" w:sz="4" w:space="0" w:color="000000" w:themeColor="text1"/>
              <w:bottom w:val="single" w:sz="4" w:space="0" w:color="auto"/>
            </w:tcBorders>
            <w:shd w:val="clear" w:color="auto" w:fill="E7E6E6" w:themeFill="background2"/>
            <w:tcMar>
              <w:right w:w="113" w:type="dxa"/>
            </w:tcMar>
            <w:hideMark/>
          </w:tcPr>
          <w:p w14:paraId="0B0D5225" w14:textId="77777777" w:rsidR="00F844B4" w:rsidRPr="00DC2A3C" w:rsidRDefault="00F844B4" w:rsidP="00074625">
            <w:pPr>
              <w:pStyle w:val="ARtabletextright"/>
            </w:pPr>
            <w:r w:rsidRPr="00DC2A3C">
              <w:t>114</w:t>
            </w:r>
          </w:p>
        </w:tc>
        <w:tc>
          <w:tcPr>
            <w:tcW w:w="956" w:type="dxa"/>
            <w:tcBorders>
              <w:top w:val="single" w:sz="4" w:space="0" w:color="000000" w:themeColor="text1"/>
              <w:bottom w:val="single" w:sz="4" w:space="0" w:color="auto"/>
            </w:tcBorders>
            <w:shd w:val="clear" w:color="auto" w:fill="E7E6E6" w:themeFill="background2"/>
            <w:tcMar>
              <w:right w:w="113" w:type="dxa"/>
            </w:tcMar>
            <w:hideMark/>
          </w:tcPr>
          <w:p w14:paraId="19151343" w14:textId="77777777" w:rsidR="00F844B4" w:rsidRPr="00DC2A3C" w:rsidRDefault="00F844B4" w:rsidP="00074625">
            <w:pPr>
              <w:pStyle w:val="ARtabletextright"/>
            </w:pPr>
            <w:r w:rsidRPr="00DC2A3C">
              <w:t>108.11</w:t>
            </w:r>
          </w:p>
        </w:tc>
        <w:tc>
          <w:tcPr>
            <w:tcW w:w="948" w:type="dxa"/>
            <w:tcBorders>
              <w:top w:val="single" w:sz="4" w:space="0" w:color="000000" w:themeColor="text1"/>
              <w:bottom w:val="single" w:sz="4" w:space="0" w:color="auto"/>
            </w:tcBorders>
            <w:tcMar>
              <w:right w:w="113" w:type="dxa"/>
            </w:tcMar>
            <w:hideMark/>
          </w:tcPr>
          <w:p w14:paraId="58909F32" w14:textId="77777777" w:rsidR="00F844B4" w:rsidRPr="00DC2A3C" w:rsidRDefault="00F844B4" w:rsidP="00074625">
            <w:pPr>
              <w:pStyle w:val="ARtabletextright"/>
            </w:pPr>
            <w:r w:rsidRPr="00DC2A3C">
              <w:t>86</w:t>
            </w:r>
          </w:p>
        </w:tc>
        <w:tc>
          <w:tcPr>
            <w:tcW w:w="948" w:type="dxa"/>
            <w:tcBorders>
              <w:top w:val="single" w:sz="4" w:space="0" w:color="000000" w:themeColor="text1"/>
              <w:bottom w:val="single" w:sz="4" w:space="0" w:color="auto"/>
            </w:tcBorders>
            <w:tcMar>
              <w:right w:w="113" w:type="dxa"/>
            </w:tcMar>
            <w:hideMark/>
          </w:tcPr>
          <w:p w14:paraId="3F38214C" w14:textId="77777777" w:rsidR="00F844B4" w:rsidRPr="00DC2A3C" w:rsidRDefault="00F844B4" w:rsidP="00074625">
            <w:pPr>
              <w:pStyle w:val="ARtabletextright"/>
            </w:pPr>
            <w:r w:rsidRPr="00DC2A3C">
              <w:t>9</w:t>
            </w:r>
          </w:p>
        </w:tc>
        <w:tc>
          <w:tcPr>
            <w:tcW w:w="956" w:type="dxa"/>
            <w:tcBorders>
              <w:top w:val="single" w:sz="4" w:space="0" w:color="000000" w:themeColor="text1"/>
              <w:bottom w:val="single" w:sz="4" w:space="0" w:color="auto"/>
            </w:tcBorders>
            <w:tcMar>
              <w:right w:w="113" w:type="dxa"/>
            </w:tcMar>
            <w:hideMark/>
          </w:tcPr>
          <w:p w14:paraId="67623C2B" w14:textId="77777777" w:rsidR="00F844B4" w:rsidRPr="00DC2A3C" w:rsidRDefault="00F844B4" w:rsidP="00074625">
            <w:pPr>
              <w:pStyle w:val="ARtabletextright"/>
            </w:pPr>
            <w:r w:rsidRPr="00DC2A3C">
              <w:t>91.31</w:t>
            </w:r>
          </w:p>
        </w:tc>
        <w:tc>
          <w:tcPr>
            <w:tcW w:w="956" w:type="dxa"/>
            <w:tcBorders>
              <w:top w:val="single" w:sz="4" w:space="0" w:color="000000" w:themeColor="text1"/>
              <w:bottom w:val="single" w:sz="4" w:space="0" w:color="auto"/>
            </w:tcBorders>
            <w:shd w:val="clear" w:color="auto" w:fill="E7E6E6" w:themeFill="background2"/>
            <w:tcMar>
              <w:right w:w="113" w:type="dxa"/>
            </w:tcMar>
            <w:hideMark/>
          </w:tcPr>
          <w:p w14:paraId="3EAB3C7A" w14:textId="77777777" w:rsidR="00F844B4" w:rsidRPr="00DC2A3C" w:rsidRDefault="00F844B4" w:rsidP="00074625">
            <w:pPr>
              <w:pStyle w:val="ARtabletextright"/>
            </w:pPr>
            <w:r w:rsidRPr="00DC2A3C">
              <w:t>19</w:t>
            </w:r>
          </w:p>
        </w:tc>
        <w:tc>
          <w:tcPr>
            <w:tcW w:w="951" w:type="dxa"/>
            <w:tcBorders>
              <w:top w:val="single" w:sz="4" w:space="0" w:color="000000" w:themeColor="text1"/>
              <w:bottom w:val="single" w:sz="4" w:space="0" w:color="auto"/>
            </w:tcBorders>
            <w:shd w:val="clear" w:color="auto" w:fill="E7E6E6" w:themeFill="background2"/>
            <w:tcMar>
              <w:right w:w="113" w:type="dxa"/>
            </w:tcMar>
            <w:hideMark/>
          </w:tcPr>
          <w:p w14:paraId="4A3BDBA7" w14:textId="77777777" w:rsidR="00F844B4" w:rsidRPr="00DC2A3C" w:rsidRDefault="00F844B4" w:rsidP="00074625">
            <w:pPr>
              <w:pStyle w:val="ARtabletextright"/>
            </w:pPr>
            <w:r w:rsidRPr="00DC2A3C">
              <w:t>16.8</w:t>
            </w:r>
          </w:p>
        </w:tc>
        <w:tc>
          <w:tcPr>
            <w:tcW w:w="956" w:type="dxa"/>
            <w:tcBorders>
              <w:top w:val="single" w:sz="4" w:space="0" w:color="000000" w:themeColor="text1"/>
              <w:bottom w:val="single" w:sz="4" w:space="0" w:color="auto"/>
            </w:tcBorders>
            <w:tcMar>
              <w:right w:w="113" w:type="dxa"/>
            </w:tcMar>
            <w:hideMark/>
          </w:tcPr>
          <w:p w14:paraId="75666C82" w14:textId="77777777" w:rsidR="00F844B4" w:rsidRPr="00DC2A3C" w:rsidRDefault="00F844B4" w:rsidP="00074625">
            <w:pPr>
              <w:pStyle w:val="ARtabletextright"/>
            </w:pPr>
            <w:r w:rsidRPr="00DC2A3C">
              <w:t>106</w:t>
            </w:r>
          </w:p>
        </w:tc>
        <w:tc>
          <w:tcPr>
            <w:tcW w:w="786" w:type="dxa"/>
            <w:tcBorders>
              <w:top w:val="single" w:sz="4" w:space="0" w:color="000000" w:themeColor="text1"/>
              <w:bottom w:val="single" w:sz="4" w:space="0" w:color="auto"/>
            </w:tcBorders>
            <w:tcMar>
              <w:right w:w="113" w:type="dxa"/>
            </w:tcMar>
            <w:hideMark/>
          </w:tcPr>
          <w:p w14:paraId="755DA512" w14:textId="77777777" w:rsidR="00F844B4" w:rsidRPr="00DC2A3C" w:rsidRDefault="00F844B4" w:rsidP="00074625">
            <w:pPr>
              <w:pStyle w:val="ARtabletextright"/>
            </w:pPr>
            <w:r w:rsidRPr="00DC2A3C">
              <w:t>101.75</w:t>
            </w:r>
          </w:p>
        </w:tc>
        <w:tc>
          <w:tcPr>
            <w:tcW w:w="1120" w:type="dxa"/>
            <w:tcBorders>
              <w:top w:val="single" w:sz="4" w:space="0" w:color="000000" w:themeColor="text1"/>
              <w:bottom w:val="single" w:sz="4" w:space="0" w:color="auto"/>
            </w:tcBorders>
            <w:shd w:val="clear" w:color="auto" w:fill="E7E6E6" w:themeFill="background2"/>
            <w:tcMar>
              <w:right w:w="113" w:type="dxa"/>
            </w:tcMar>
            <w:hideMark/>
          </w:tcPr>
          <w:p w14:paraId="24928878" w14:textId="77777777" w:rsidR="00F844B4" w:rsidRPr="00DC2A3C" w:rsidRDefault="00F844B4" w:rsidP="00074625">
            <w:pPr>
              <w:pStyle w:val="ARtabletextright"/>
            </w:pPr>
            <w:r w:rsidRPr="00DC2A3C">
              <w:t>83</w:t>
            </w:r>
          </w:p>
        </w:tc>
        <w:tc>
          <w:tcPr>
            <w:tcW w:w="949" w:type="dxa"/>
            <w:tcBorders>
              <w:top w:val="single" w:sz="4" w:space="0" w:color="000000" w:themeColor="text1"/>
              <w:bottom w:val="single" w:sz="4" w:space="0" w:color="auto"/>
            </w:tcBorders>
            <w:shd w:val="clear" w:color="auto" w:fill="E7E6E6" w:themeFill="background2"/>
            <w:tcMar>
              <w:right w:w="113" w:type="dxa"/>
            </w:tcMar>
            <w:hideMark/>
          </w:tcPr>
          <w:p w14:paraId="248A30D9" w14:textId="77777777" w:rsidR="00F844B4" w:rsidRPr="00DC2A3C" w:rsidRDefault="00F844B4" w:rsidP="00074625">
            <w:pPr>
              <w:pStyle w:val="ARtabletextright"/>
            </w:pPr>
            <w:r w:rsidRPr="00DC2A3C">
              <w:t>10</w:t>
            </w:r>
          </w:p>
        </w:tc>
        <w:tc>
          <w:tcPr>
            <w:tcW w:w="957" w:type="dxa"/>
            <w:tcBorders>
              <w:top w:val="single" w:sz="4" w:space="0" w:color="000000" w:themeColor="text1"/>
              <w:bottom w:val="single" w:sz="4" w:space="0" w:color="auto"/>
            </w:tcBorders>
            <w:shd w:val="clear" w:color="auto" w:fill="E7E6E6" w:themeFill="background2"/>
            <w:tcMar>
              <w:right w:w="113" w:type="dxa"/>
            </w:tcMar>
            <w:hideMark/>
          </w:tcPr>
          <w:p w14:paraId="6480B2B9" w14:textId="77777777" w:rsidR="00F844B4" w:rsidRPr="00DC2A3C" w:rsidRDefault="00F844B4" w:rsidP="00074625">
            <w:pPr>
              <w:pStyle w:val="ARtabletextright"/>
            </w:pPr>
            <w:r w:rsidRPr="00DC2A3C">
              <w:t>89.25</w:t>
            </w:r>
          </w:p>
        </w:tc>
        <w:tc>
          <w:tcPr>
            <w:tcW w:w="956" w:type="dxa"/>
            <w:tcBorders>
              <w:top w:val="single" w:sz="4" w:space="0" w:color="000000" w:themeColor="text1"/>
              <w:bottom w:val="single" w:sz="4" w:space="0" w:color="auto"/>
            </w:tcBorders>
            <w:tcMar>
              <w:right w:w="113" w:type="dxa"/>
            </w:tcMar>
            <w:hideMark/>
          </w:tcPr>
          <w:p w14:paraId="38553E65" w14:textId="77777777" w:rsidR="00F844B4" w:rsidRPr="00DC2A3C" w:rsidRDefault="00F844B4" w:rsidP="00074625">
            <w:pPr>
              <w:pStyle w:val="ARtabletextright"/>
            </w:pPr>
            <w:r w:rsidRPr="00DC2A3C">
              <w:t>13</w:t>
            </w:r>
          </w:p>
        </w:tc>
        <w:tc>
          <w:tcPr>
            <w:tcW w:w="957" w:type="dxa"/>
            <w:tcBorders>
              <w:top w:val="single" w:sz="4" w:space="0" w:color="000000" w:themeColor="text1"/>
              <w:bottom w:val="single" w:sz="4" w:space="0" w:color="auto"/>
            </w:tcBorders>
            <w:tcMar>
              <w:right w:w="113" w:type="dxa"/>
            </w:tcMar>
            <w:hideMark/>
          </w:tcPr>
          <w:p w14:paraId="394784B4" w14:textId="77777777" w:rsidR="00F844B4" w:rsidRPr="00DC2A3C" w:rsidRDefault="00F844B4" w:rsidP="00074625">
            <w:pPr>
              <w:pStyle w:val="ARtabletextright"/>
            </w:pPr>
            <w:r w:rsidRPr="00DC2A3C">
              <w:t>12.5</w:t>
            </w:r>
          </w:p>
        </w:tc>
      </w:tr>
      <w:tr w:rsidR="00F844B4" w:rsidRPr="00DC2A3C" w14:paraId="284A1E23" w14:textId="77777777" w:rsidTr="00D119D2">
        <w:trPr>
          <w:cantSplit w:val="0"/>
          <w:trHeight w:val="300"/>
        </w:trPr>
        <w:tc>
          <w:tcPr>
            <w:tcW w:w="14437" w:type="dxa"/>
            <w:gridSpan w:val="15"/>
            <w:tcBorders>
              <w:top w:val="single" w:sz="4" w:space="0" w:color="auto"/>
              <w:bottom w:val="single" w:sz="4" w:space="0" w:color="A6A6A6" w:themeColor="accent5"/>
            </w:tcBorders>
            <w:tcMar>
              <w:right w:w="113" w:type="dxa"/>
            </w:tcMar>
            <w:hideMark/>
          </w:tcPr>
          <w:p w14:paraId="23CA707D" w14:textId="77777777" w:rsidR="00F844B4" w:rsidRPr="00DC2A3C" w:rsidRDefault="00F844B4" w:rsidP="00074625">
            <w:pPr>
              <w:pStyle w:val="ARtabletextcolourbold"/>
            </w:pPr>
            <w:r w:rsidRPr="00DC2A3C">
              <w:t>Senior employees</w:t>
            </w:r>
          </w:p>
        </w:tc>
      </w:tr>
      <w:tr w:rsidR="008D68DC" w:rsidRPr="00DC2A3C" w14:paraId="088C42DA" w14:textId="77777777" w:rsidTr="00D119D2">
        <w:trPr>
          <w:cantSplit w:val="0"/>
          <w:trHeight w:val="337"/>
        </w:trPr>
        <w:tc>
          <w:tcPr>
            <w:tcW w:w="1087" w:type="dxa"/>
            <w:tcBorders>
              <w:top w:val="single" w:sz="4" w:space="0" w:color="A6A6A6" w:themeColor="accent5"/>
            </w:tcBorders>
            <w:hideMark/>
          </w:tcPr>
          <w:p w14:paraId="3E72FD6E" w14:textId="77777777" w:rsidR="00F844B4" w:rsidRPr="00DC2A3C" w:rsidRDefault="00F844B4" w:rsidP="00074625">
            <w:pPr>
              <w:pStyle w:val="ARtabletext"/>
              <w:rPr>
                <w:color w:val="467886"/>
                <w:u w:val="single"/>
              </w:rPr>
            </w:pPr>
            <w:r w:rsidRPr="00DC2A3C">
              <w:t>Executives</w:t>
            </w:r>
          </w:p>
        </w:tc>
        <w:tc>
          <w:tcPr>
            <w:tcW w:w="954" w:type="dxa"/>
            <w:tcBorders>
              <w:top w:val="single" w:sz="4" w:space="0" w:color="A6A6A6" w:themeColor="accent5"/>
            </w:tcBorders>
            <w:shd w:val="clear" w:color="auto" w:fill="E7E6E6" w:themeFill="background2"/>
            <w:tcMar>
              <w:right w:w="113" w:type="dxa"/>
            </w:tcMar>
            <w:hideMark/>
          </w:tcPr>
          <w:p w14:paraId="5C714132" w14:textId="77777777" w:rsidR="00F844B4" w:rsidRPr="00DC2A3C" w:rsidRDefault="00F844B4" w:rsidP="00074625">
            <w:pPr>
              <w:pStyle w:val="ARtabletextright"/>
            </w:pPr>
            <w:r w:rsidRPr="00DC2A3C">
              <w:t>186</w:t>
            </w:r>
          </w:p>
        </w:tc>
        <w:tc>
          <w:tcPr>
            <w:tcW w:w="956" w:type="dxa"/>
            <w:tcBorders>
              <w:top w:val="single" w:sz="4" w:space="0" w:color="A6A6A6" w:themeColor="accent5"/>
            </w:tcBorders>
            <w:shd w:val="clear" w:color="auto" w:fill="E7E6E6" w:themeFill="background2"/>
            <w:tcMar>
              <w:right w:w="113" w:type="dxa"/>
            </w:tcMar>
            <w:hideMark/>
          </w:tcPr>
          <w:p w14:paraId="7FDF0C01" w14:textId="77777777" w:rsidR="00F844B4" w:rsidRPr="00DC2A3C" w:rsidRDefault="00F844B4" w:rsidP="00074625">
            <w:pPr>
              <w:pStyle w:val="ARtabletextright"/>
            </w:pPr>
            <w:r w:rsidRPr="00DC2A3C">
              <w:t>183.64</w:t>
            </w:r>
          </w:p>
        </w:tc>
        <w:tc>
          <w:tcPr>
            <w:tcW w:w="948" w:type="dxa"/>
            <w:tcBorders>
              <w:top w:val="single" w:sz="4" w:space="0" w:color="A6A6A6" w:themeColor="accent5"/>
            </w:tcBorders>
            <w:tcMar>
              <w:right w:w="113" w:type="dxa"/>
            </w:tcMar>
            <w:hideMark/>
          </w:tcPr>
          <w:p w14:paraId="2ADC7155" w14:textId="77777777" w:rsidR="00F844B4" w:rsidRPr="00DC2A3C" w:rsidRDefault="00F844B4" w:rsidP="00074625">
            <w:pPr>
              <w:pStyle w:val="ARtabletextright"/>
            </w:pPr>
            <w:r w:rsidRPr="00DC2A3C">
              <w:t>1</w:t>
            </w:r>
          </w:p>
        </w:tc>
        <w:tc>
          <w:tcPr>
            <w:tcW w:w="948" w:type="dxa"/>
            <w:tcBorders>
              <w:top w:val="single" w:sz="4" w:space="0" w:color="A6A6A6" w:themeColor="accent5"/>
            </w:tcBorders>
            <w:tcMar>
              <w:right w:w="113" w:type="dxa"/>
            </w:tcMar>
            <w:hideMark/>
          </w:tcPr>
          <w:p w14:paraId="65F4A42A" w14:textId="77777777" w:rsidR="00F844B4" w:rsidRPr="00DC2A3C" w:rsidRDefault="00F844B4" w:rsidP="00074625">
            <w:pPr>
              <w:pStyle w:val="ARtabletextright"/>
              <w:rPr>
                <w:b/>
                <w:bCs/>
              </w:rPr>
            </w:pPr>
            <w:r w:rsidRPr="00DC2A3C">
              <w:rPr>
                <w:b/>
                <w:bCs/>
              </w:rPr>
              <w:t>0</w:t>
            </w:r>
          </w:p>
        </w:tc>
        <w:tc>
          <w:tcPr>
            <w:tcW w:w="956" w:type="dxa"/>
            <w:tcBorders>
              <w:top w:val="single" w:sz="4" w:space="0" w:color="A6A6A6" w:themeColor="accent5"/>
            </w:tcBorders>
            <w:tcMar>
              <w:right w:w="113" w:type="dxa"/>
            </w:tcMar>
            <w:hideMark/>
          </w:tcPr>
          <w:p w14:paraId="754ADABD" w14:textId="77777777" w:rsidR="00F844B4" w:rsidRPr="00DC2A3C" w:rsidRDefault="00F844B4" w:rsidP="00074625">
            <w:pPr>
              <w:pStyle w:val="ARtabletextright"/>
            </w:pPr>
            <w:r w:rsidRPr="00DC2A3C">
              <w:t>1</w:t>
            </w:r>
          </w:p>
        </w:tc>
        <w:tc>
          <w:tcPr>
            <w:tcW w:w="956" w:type="dxa"/>
            <w:tcBorders>
              <w:top w:val="single" w:sz="4" w:space="0" w:color="A6A6A6" w:themeColor="accent5"/>
            </w:tcBorders>
            <w:shd w:val="clear" w:color="auto" w:fill="E7E6E6" w:themeFill="background2"/>
            <w:tcMar>
              <w:right w:w="113" w:type="dxa"/>
            </w:tcMar>
            <w:hideMark/>
          </w:tcPr>
          <w:p w14:paraId="53B66BB0" w14:textId="77777777" w:rsidR="00F844B4" w:rsidRPr="00DC2A3C" w:rsidRDefault="00F844B4" w:rsidP="00074625">
            <w:pPr>
              <w:pStyle w:val="ARtabletextright"/>
            </w:pPr>
            <w:r w:rsidRPr="00DC2A3C">
              <w:t>185</w:t>
            </w:r>
          </w:p>
        </w:tc>
        <w:tc>
          <w:tcPr>
            <w:tcW w:w="951" w:type="dxa"/>
            <w:tcBorders>
              <w:top w:val="single" w:sz="4" w:space="0" w:color="A6A6A6" w:themeColor="accent5"/>
            </w:tcBorders>
            <w:shd w:val="clear" w:color="auto" w:fill="E7E6E6" w:themeFill="background2"/>
            <w:tcMar>
              <w:right w:w="113" w:type="dxa"/>
            </w:tcMar>
            <w:hideMark/>
          </w:tcPr>
          <w:p w14:paraId="184E0F7D" w14:textId="77777777" w:rsidR="00F844B4" w:rsidRPr="00DC2A3C" w:rsidRDefault="00F844B4" w:rsidP="00074625">
            <w:pPr>
              <w:pStyle w:val="ARtabletextright"/>
            </w:pPr>
            <w:r w:rsidRPr="00DC2A3C">
              <w:t>182.64</w:t>
            </w:r>
          </w:p>
        </w:tc>
        <w:tc>
          <w:tcPr>
            <w:tcW w:w="956" w:type="dxa"/>
            <w:tcBorders>
              <w:top w:val="single" w:sz="4" w:space="0" w:color="A6A6A6" w:themeColor="accent5"/>
            </w:tcBorders>
            <w:tcMar>
              <w:right w:w="113" w:type="dxa"/>
            </w:tcMar>
            <w:hideMark/>
          </w:tcPr>
          <w:p w14:paraId="05B4EC01" w14:textId="77777777" w:rsidR="00F844B4" w:rsidRPr="00DC2A3C" w:rsidRDefault="00F844B4" w:rsidP="00074625">
            <w:pPr>
              <w:pStyle w:val="ARtabletextright"/>
            </w:pPr>
            <w:r w:rsidRPr="00DC2A3C">
              <w:t>179</w:t>
            </w:r>
          </w:p>
        </w:tc>
        <w:tc>
          <w:tcPr>
            <w:tcW w:w="786" w:type="dxa"/>
            <w:tcBorders>
              <w:top w:val="single" w:sz="4" w:space="0" w:color="A6A6A6" w:themeColor="accent5"/>
            </w:tcBorders>
            <w:tcMar>
              <w:right w:w="113" w:type="dxa"/>
            </w:tcMar>
            <w:hideMark/>
          </w:tcPr>
          <w:p w14:paraId="08CEA1AE" w14:textId="77777777" w:rsidR="00F844B4" w:rsidRPr="00DC2A3C" w:rsidRDefault="00F844B4" w:rsidP="00074625">
            <w:pPr>
              <w:pStyle w:val="ARtabletextright"/>
            </w:pPr>
            <w:r w:rsidRPr="00DC2A3C">
              <w:t>177.2</w:t>
            </w:r>
          </w:p>
        </w:tc>
        <w:tc>
          <w:tcPr>
            <w:tcW w:w="1120" w:type="dxa"/>
            <w:tcBorders>
              <w:top w:val="single" w:sz="4" w:space="0" w:color="A6A6A6" w:themeColor="accent5"/>
            </w:tcBorders>
            <w:shd w:val="clear" w:color="auto" w:fill="E7E6E6" w:themeFill="background2"/>
            <w:tcMar>
              <w:right w:w="113" w:type="dxa"/>
            </w:tcMar>
            <w:hideMark/>
          </w:tcPr>
          <w:p w14:paraId="7A1D5657" w14:textId="77777777" w:rsidR="00F844B4" w:rsidRPr="00DC2A3C" w:rsidRDefault="00F844B4" w:rsidP="00074625">
            <w:pPr>
              <w:pStyle w:val="ARtabletextright"/>
            </w:pPr>
            <w:r w:rsidRPr="00DC2A3C">
              <w:t>1</w:t>
            </w:r>
          </w:p>
        </w:tc>
        <w:tc>
          <w:tcPr>
            <w:tcW w:w="949" w:type="dxa"/>
            <w:tcBorders>
              <w:top w:val="single" w:sz="4" w:space="0" w:color="A6A6A6" w:themeColor="accent5"/>
            </w:tcBorders>
            <w:shd w:val="clear" w:color="auto" w:fill="E7E6E6" w:themeFill="background2"/>
            <w:tcMar>
              <w:right w:w="113" w:type="dxa"/>
            </w:tcMar>
            <w:hideMark/>
          </w:tcPr>
          <w:p w14:paraId="52864868" w14:textId="77777777" w:rsidR="00F844B4" w:rsidRPr="00DC2A3C" w:rsidRDefault="00F844B4" w:rsidP="00074625">
            <w:pPr>
              <w:pStyle w:val="ARtabletextright"/>
            </w:pPr>
            <w:r w:rsidRPr="00DC2A3C">
              <w:t>0 </w:t>
            </w:r>
          </w:p>
        </w:tc>
        <w:tc>
          <w:tcPr>
            <w:tcW w:w="957" w:type="dxa"/>
            <w:tcBorders>
              <w:top w:val="single" w:sz="4" w:space="0" w:color="A6A6A6" w:themeColor="accent5"/>
            </w:tcBorders>
            <w:shd w:val="clear" w:color="auto" w:fill="E7E6E6" w:themeFill="background2"/>
            <w:tcMar>
              <w:right w:w="113" w:type="dxa"/>
            </w:tcMar>
            <w:hideMark/>
          </w:tcPr>
          <w:p w14:paraId="0494A0EA" w14:textId="77777777" w:rsidR="00F844B4" w:rsidRPr="00DC2A3C" w:rsidRDefault="00F844B4" w:rsidP="00074625">
            <w:pPr>
              <w:pStyle w:val="ARtabletextright"/>
            </w:pPr>
            <w:r w:rsidRPr="00DC2A3C">
              <w:t>1</w:t>
            </w:r>
          </w:p>
        </w:tc>
        <w:tc>
          <w:tcPr>
            <w:tcW w:w="956" w:type="dxa"/>
            <w:tcBorders>
              <w:top w:val="single" w:sz="4" w:space="0" w:color="A6A6A6" w:themeColor="accent5"/>
            </w:tcBorders>
            <w:tcMar>
              <w:right w:w="113" w:type="dxa"/>
            </w:tcMar>
            <w:hideMark/>
          </w:tcPr>
          <w:p w14:paraId="54EDF065" w14:textId="77777777" w:rsidR="00F844B4" w:rsidRPr="00DC2A3C" w:rsidRDefault="00F844B4" w:rsidP="00074625">
            <w:pPr>
              <w:pStyle w:val="ARtabletextright"/>
            </w:pPr>
            <w:r w:rsidRPr="00DC2A3C">
              <w:t>178</w:t>
            </w:r>
          </w:p>
        </w:tc>
        <w:tc>
          <w:tcPr>
            <w:tcW w:w="957" w:type="dxa"/>
            <w:tcBorders>
              <w:top w:val="single" w:sz="4" w:space="0" w:color="A6A6A6" w:themeColor="accent5"/>
            </w:tcBorders>
            <w:tcMar>
              <w:right w:w="113" w:type="dxa"/>
            </w:tcMar>
            <w:hideMark/>
          </w:tcPr>
          <w:p w14:paraId="472C4628" w14:textId="77777777" w:rsidR="00F844B4" w:rsidRPr="00DC2A3C" w:rsidRDefault="00F844B4" w:rsidP="00074625">
            <w:pPr>
              <w:pStyle w:val="ARtabletextright"/>
            </w:pPr>
            <w:r w:rsidRPr="00DC2A3C">
              <w:t>176.2</w:t>
            </w:r>
          </w:p>
        </w:tc>
      </w:tr>
      <w:tr w:rsidR="008D68DC" w:rsidRPr="00DC2A3C" w14:paraId="0AE6A37A" w14:textId="77777777" w:rsidTr="00D119D2">
        <w:trPr>
          <w:cantSplit w:val="0"/>
          <w:trHeight w:val="300"/>
        </w:trPr>
        <w:tc>
          <w:tcPr>
            <w:tcW w:w="1087" w:type="dxa"/>
            <w:hideMark/>
          </w:tcPr>
          <w:p w14:paraId="07ED6244" w14:textId="6BA56645" w:rsidR="00F844B4" w:rsidRPr="00DC2A3C" w:rsidRDefault="00F844B4" w:rsidP="00074625">
            <w:pPr>
              <w:pStyle w:val="ARtabletext"/>
            </w:pPr>
            <w:r w:rsidRPr="00DC2A3C">
              <w:t>STS</w:t>
            </w:r>
          </w:p>
        </w:tc>
        <w:tc>
          <w:tcPr>
            <w:tcW w:w="954" w:type="dxa"/>
            <w:shd w:val="clear" w:color="auto" w:fill="E7E6E6" w:themeFill="background2"/>
            <w:tcMar>
              <w:right w:w="113" w:type="dxa"/>
            </w:tcMar>
            <w:hideMark/>
          </w:tcPr>
          <w:p w14:paraId="38DF7F9A" w14:textId="77777777" w:rsidR="00F844B4" w:rsidRPr="00DC2A3C" w:rsidRDefault="00F844B4" w:rsidP="00074625">
            <w:pPr>
              <w:pStyle w:val="ARtabletextright"/>
            </w:pPr>
            <w:r w:rsidRPr="00DC2A3C">
              <w:t>23</w:t>
            </w:r>
          </w:p>
        </w:tc>
        <w:tc>
          <w:tcPr>
            <w:tcW w:w="956" w:type="dxa"/>
            <w:shd w:val="clear" w:color="auto" w:fill="E7E6E6" w:themeFill="background2"/>
            <w:tcMar>
              <w:right w:w="113" w:type="dxa"/>
            </w:tcMar>
            <w:hideMark/>
          </w:tcPr>
          <w:p w14:paraId="712F19EC" w14:textId="77777777" w:rsidR="00F844B4" w:rsidRPr="00DC2A3C" w:rsidRDefault="00F844B4" w:rsidP="00074625">
            <w:pPr>
              <w:pStyle w:val="ARtabletextright"/>
            </w:pPr>
            <w:r w:rsidRPr="00DC2A3C">
              <w:t>22.5</w:t>
            </w:r>
          </w:p>
        </w:tc>
        <w:tc>
          <w:tcPr>
            <w:tcW w:w="948" w:type="dxa"/>
            <w:tcMar>
              <w:right w:w="113" w:type="dxa"/>
            </w:tcMar>
            <w:hideMark/>
          </w:tcPr>
          <w:p w14:paraId="370270EA" w14:textId="77777777" w:rsidR="00F844B4" w:rsidRPr="00DC2A3C" w:rsidRDefault="00F844B4" w:rsidP="00074625">
            <w:pPr>
              <w:pStyle w:val="ARtabletextright"/>
            </w:pPr>
            <w:r w:rsidRPr="00DC2A3C">
              <w:t>12</w:t>
            </w:r>
          </w:p>
        </w:tc>
        <w:tc>
          <w:tcPr>
            <w:tcW w:w="948" w:type="dxa"/>
            <w:tcMar>
              <w:right w:w="113" w:type="dxa"/>
            </w:tcMar>
            <w:hideMark/>
          </w:tcPr>
          <w:p w14:paraId="73B29659" w14:textId="77777777" w:rsidR="00F844B4" w:rsidRPr="00DC2A3C" w:rsidRDefault="00F844B4" w:rsidP="00074625">
            <w:pPr>
              <w:pStyle w:val="ARtabletextright"/>
            </w:pPr>
            <w:r w:rsidRPr="00DC2A3C">
              <w:t>2</w:t>
            </w:r>
          </w:p>
        </w:tc>
        <w:tc>
          <w:tcPr>
            <w:tcW w:w="956" w:type="dxa"/>
            <w:tcMar>
              <w:right w:w="113" w:type="dxa"/>
            </w:tcMar>
            <w:hideMark/>
          </w:tcPr>
          <w:p w14:paraId="253ED044" w14:textId="77777777" w:rsidR="00F844B4" w:rsidRPr="00DC2A3C" w:rsidRDefault="00F844B4" w:rsidP="00074625">
            <w:pPr>
              <w:pStyle w:val="ARtabletextright"/>
            </w:pPr>
            <w:r w:rsidRPr="00DC2A3C">
              <w:t>13.7</w:t>
            </w:r>
          </w:p>
        </w:tc>
        <w:tc>
          <w:tcPr>
            <w:tcW w:w="956" w:type="dxa"/>
            <w:shd w:val="clear" w:color="auto" w:fill="E7E6E6" w:themeFill="background2"/>
            <w:tcMar>
              <w:right w:w="113" w:type="dxa"/>
            </w:tcMar>
            <w:hideMark/>
          </w:tcPr>
          <w:p w14:paraId="75C884F6" w14:textId="77777777" w:rsidR="00F844B4" w:rsidRPr="00DC2A3C" w:rsidRDefault="00F844B4" w:rsidP="00074625">
            <w:pPr>
              <w:pStyle w:val="ARtabletextright"/>
            </w:pPr>
            <w:r w:rsidRPr="00DC2A3C">
              <w:t>9</w:t>
            </w:r>
          </w:p>
        </w:tc>
        <w:tc>
          <w:tcPr>
            <w:tcW w:w="951" w:type="dxa"/>
            <w:shd w:val="clear" w:color="auto" w:fill="E7E6E6" w:themeFill="background2"/>
            <w:tcMar>
              <w:right w:w="113" w:type="dxa"/>
            </w:tcMar>
            <w:hideMark/>
          </w:tcPr>
          <w:p w14:paraId="28A1BD6A" w14:textId="77777777" w:rsidR="00F844B4" w:rsidRPr="00DC2A3C" w:rsidRDefault="00F844B4" w:rsidP="00074625">
            <w:pPr>
              <w:pStyle w:val="ARtabletextright"/>
            </w:pPr>
            <w:r w:rsidRPr="00DC2A3C">
              <w:t>8.8</w:t>
            </w:r>
          </w:p>
        </w:tc>
        <w:tc>
          <w:tcPr>
            <w:tcW w:w="956" w:type="dxa"/>
            <w:tcMar>
              <w:right w:w="113" w:type="dxa"/>
            </w:tcMar>
            <w:hideMark/>
          </w:tcPr>
          <w:p w14:paraId="5FEC62A6" w14:textId="77777777" w:rsidR="00F844B4" w:rsidRPr="00DC2A3C" w:rsidRDefault="00F844B4" w:rsidP="00074625">
            <w:pPr>
              <w:pStyle w:val="ARtabletextright"/>
            </w:pPr>
            <w:r w:rsidRPr="00DC2A3C">
              <w:t>22</w:t>
            </w:r>
          </w:p>
        </w:tc>
        <w:tc>
          <w:tcPr>
            <w:tcW w:w="786" w:type="dxa"/>
            <w:tcMar>
              <w:right w:w="113" w:type="dxa"/>
            </w:tcMar>
            <w:hideMark/>
          </w:tcPr>
          <w:p w14:paraId="0A915DAA" w14:textId="77777777" w:rsidR="00F844B4" w:rsidRPr="00DC2A3C" w:rsidRDefault="00F844B4" w:rsidP="00074625">
            <w:pPr>
              <w:pStyle w:val="ARtabletextright"/>
            </w:pPr>
            <w:r w:rsidRPr="00DC2A3C">
              <w:t>21.36</w:t>
            </w:r>
          </w:p>
        </w:tc>
        <w:tc>
          <w:tcPr>
            <w:tcW w:w="1120" w:type="dxa"/>
            <w:shd w:val="clear" w:color="auto" w:fill="E7E6E6" w:themeFill="background2"/>
            <w:tcMar>
              <w:right w:w="113" w:type="dxa"/>
            </w:tcMar>
            <w:hideMark/>
          </w:tcPr>
          <w:p w14:paraId="05C2F0B1" w14:textId="77777777" w:rsidR="00F844B4" w:rsidRPr="00DC2A3C" w:rsidRDefault="00F844B4" w:rsidP="00074625">
            <w:pPr>
              <w:pStyle w:val="ARtabletextright"/>
            </w:pPr>
            <w:r w:rsidRPr="00DC2A3C">
              <w:t>12</w:t>
            </w:r>
          </w:p>
        </w:tc>
        <w:tc>
          <w:tcPr>
            <w:tcW w:w="949" w:type="dxa"/>
            <w:shd w:val="clear" w:color="auto" w:fill="E7E6E6" w:themeFill="background2"/>
            <w:tcMar>
              <w:right w:w="113" w:type="dxa"/>
            </w:tcMar>
            <w:hideMark/>
          </w:tcPr>
          <w:p w14:paraId="2298770A" w14:textId="77777777" w:rsidR="00F844B4" w:rsidRPr="00DC2A3C" w:rsidRDefault="00F844B4" w:rsidP="00074625">
            <w:pPr>
              <w:pStyle w:val="ARtabletextright"/>
            </w:pPr>
            <w:r w:rsidRPr="00DC2A3C">
              <w:t>2</w:t>
            </w:r>
          </w:p>
        </w:tc>
        <w:tc>
          <w:tcPr>
            <w:tcW w:w="957" w:type="dxa"/>
            <w:shd w:val="clear" w:color="auto" w:fill="E7E6E6" w:themeFill="background2"/>
            <w:tcMar>
              <w:right w:w="113" w:type="dxa"/>
            </w:tcMar>
            <w:hideMark/>
          </w:tcPr>
          <w:p w14:paraId="4E1B9213" w14:textId="77777777" w:rsidR="00F844B4" w:rsidRPr="00DC2A3C" w:rsidRDefault="00F844B4" w:rsidP="00074625">
            <w:pPr>
              <w:pStyle w:val="ARtabletextright"/>
            </w:pPr>
            <w:r w:rsidRPr="00DC2A3C">
              <w:t>13.36</w:t>
            </w:r>
          </w:p>
        </w:tc>
        <w:tc>
          <w:tcPr>
            <w:tcW w:w="956" w:type="dxa"/>
            <w:tcMar>
              <w:right w:w="113" w:type="dxa"/>
            </w:tcMar>
            <w:hideMark/>
          </w:tcPr>
          <w:p w14:paraId="12BFBBC5" w14:textId="77777777" w:rsidR="00F844B4" w:rsidRPr="00DC2A3C" w:rsidRDefault="00F844B4" w:rsidP="00074625">
            <w:pPr>
              <w:pStyle w:val="ARtabletextright"/>
            </w:pPr>
            <w:r w:rsidRPr="00DC2A3C">
              <w:t>8</w:t>
            </w:r>
          </w:p>
        </w:tc>
        <w:tc>
          <w:tcPr>
            <w:tcW w:w="957" w:type="dxa"/>
            <w:tcMar>
              <w:right w:w="113" w:type="dxa"/>
            </w:tcMar>
            <w:hideMark/>
          </w:tcPr>
          <w:p w14:paraId="60933860" w14:textId="77777777" w:rsidR="00F844B4" w:rsidRPr="00DC2A3C" w:rsidRDefault="00F844B4" w:rsidP="00074625">
            <w:pPr>
              <w:pStyle w:val="ARtabletextright"/>
            </w:pPr>
            <w:r w:rsidRPr="00DC2A3C">
              <w:t>8</w:t>
            </w:r>
          </w:p>
        </w:tc>
      </w:tr>
      <w:tr w:rsidR="008D68DC" w:rsidRPr="00DC2A3C" w14:paraId="6F4E80E0" w14:textId="77777777" w:rsidTr="00D119D2">
        <w:trPr>
          <w:cantSplit w:val="0"/>
          <w:trHeight w:val="300"/>
        </w:trPr>
        <w:tc>
          <w:tcPr>
            <w:tcW w:w="1087" w:type="dxa"/>
            <w:hideMark/>
          </w:tcPr>
          <w:p w14:paraId="4D1A48AD" w14:textId="21F4F8DB" w:rsidR="00F844B4" w:rsidRPr="00DC2A3C" w:rsidRDefault="00F844B4" w:rsidP="00074625">
            <w:pPr>
              <w:pStyle w:val="ARtabletext"/>
            </w:pPr>
            <w:r w:rsidRPr="00DC2A3C">
              <w:t>SMA</w:t>
            </w:r>
          </w:p>
        </w:tc>
        <w:tc>
          <w:tcPr>
            <w:tcW w:w="954" w:type="dxa"/>
            <w:shd w:val="clear" w:color="auto" w:fill="E7E6E6" w:themeFill="background2"/>
            <w:tcMar>
              <w:right w:w="113" w:type="dxa"/>
            </w:tcMar>
            <w:hideMark/>
          </w:tcPr>
          <w:p w14:paraId="0462E806" w14:textId="77777777" w:rsidR="00F844B4" w:rsidRPr="00DC2A3C" w:rsidRDefault="00F844B4" w:rsidP="00074625">
            <w:pPr>
              <w:pStyle w:val="ARtabletextright"/>
            </w:pPr>
            <w:r w:rsidRPr="00DC2A3C">
              <w:t>0</w:t>
            </w:r>
          </w:p>
        </w:tc>
        <w:tc>
          <w:tcPr>
            <w:tcW w:w="956" w:type="dxa"/>
            <w:shd w:val="clear" w:color="auto" w:fill="E7E6E6" w:themeFill="background2"/>
            <w:tcMar>
              <w:right w:w="113" w:type="dxa"/>
            </w:tcMar>
            <w:hideMark/>
          </w:tcPr>
          <w:p w14:paraId="616BD31E" w14:textId="77777777" w:rsidR="00F844B4" w:rsidRPr="00DC2A3C" w:rsidRDefault="00F844B4" w:rsidP="00074625">
            <w:pPr>
              <w:pStyle w:val="ARtabletextright"/>
            </w:pPr>
            <w:r w:rsidRPr="00DC2A3C">
              <w:t>0</w:t>
            </w:r>
          </w:p>
        </w:tc>
        <w:tc>
          <w:tcPr>
            <w:tcW w:w="948" w:type="dxa"/>
            <w:tcMar>
              <w:right w:w="113" w:type="dxa"/>
            </w:tcMar>
            <w:hideMark/>
          </w:tcPr>
          <w:p w14:paraId="008F14CC" w14:textId="77777777" w:rsidR="00F844B4" w:rsidRPr="00DC2A3C" w:rsidRDefault="00F844B4" w:rsidP="00074625">
            <w:pPr>
              <w:pStyle w:val="ARtabletextright"/>
            </w:pPr>
            <w:r w:rsidRPr="00DC2A3C">
              <w:t>0</w:t>
            </w:r>
          </w:p>
        </w:tc>
        <w:tc>
          <w:tcPr>
            <w:tcW w:w="948" w:type="dxa"/>
            <w:tcMar>
              <w:right w:w="113" w:type="dxa"/>
            </w:tcMar>
            <w:hideMark/>
          </w:tcPr>
          <w:p w14:paraId="0C1D82FF" w14:textId="77777777" w:rsidR="00F844B4" w:rsidRPr="00DC2A3C" w:rsidRDefault="00F844B4" w:rsidP="00074625">
            <w:pPr>
              <w:pStyle w:val="ARtabletextright"/>
            </w:pPr>
            <w:r w:rsidRPr="00DC2A3C">
              <w:t>0</w:t>
            </w:r>
          </w:p>
        </w:tc>
        <w:tc>
          <w:tcPr>
            <w:tcW w:w="956" w:type="dxa"/>
            <w:tcMar>
              <w:right w:w="113" w:type="dxa"/>
            </w:tcMar>
            <w:hideMark/>
          </w:tcPr>
          <w:p w14:paraId="63371C8B" w14:textId="77777777" w:rsidR="00F844B4" w:rsidRPr="00DC2A3C" w:rsidRDefault="00F844B4" w:rsidP="00074625">
            <w:pPr>
              <w:pStyle w:val="ARtabletextright"/>
            </w:pPr>
            <w:r w:rsidRPr="00DC2A3C">
              <w:t>0</w:t>
            </w:r>
          </w:p>
        </w:tc>
        <w:tc>
          <w:tcPr>
            <w:tcW w:w="956" w:type="dxa"/>
            <w:shd w:val="clear" w:color="auto" w:fill="E7E6E6" w:themeFill="background2"/>
            <w:tcMar>
              <w:right w:w="113" w:type="dxa"/>
            </w:tcMar>
            <w:hideMark/>
          </w:tcPr>
          <w:p w14:paraId="544EF6C5" w14:textId="77777777" w:rsidR="00F844B4" w:rsidRPr="00DC2A3C" w:rsidRDefault="00F844B4" w:rsidP="00074625">
            <w:pPr>
              <w:pStyle w:val="ARtabletextright"/>
            </w:pPr>
            <w:r w:rsidRPr="00DC2A3C">
              <w:t>0</w:t>
            </w:r>
          </w:p>
        </w:tc>
        <w:tc>
          <w:tcPr>
            <w:tcW w:w="951" w:type="dxa"/>
            <w:shd w:val="clear" w:color="auto" w:fill="E7E6E6" w:themeFill="background2"/>
            <w:tcMar>
              <w:right w:w="113" w:type="dxa"/>
            </w:tcMar>
            <w:hideMark/>
          </w:tcPr>
          <w:p w14:paraId="745DC5DF" w14:textId="77777777" w:rsidR="00F844B4" w:rsidRPr="00DC2A3C" w:rsidRDefault="00F844B4" w:rsidP="00074625">
            <w:pPr>
              <w:pStyle w:val="ARtabletextright"/>
            </w:pPr>
            <w:r w:rsidRPr="00DC2A3C">
              <w:t>0</w:t>
            </w:r>
          </w:p>
        </w:tc>
        <w:tc>
          <w:tcPr>
            <w:tcW w:w="956" w:type="dxa"/>
            <w:tcMar>
              <w:right w:w="113" w:type="dxa"/>
            </w:tcMar>
            <w:hideMark/>
          </w:tcPr>
          <w:p w14:paraId="4C7CE1D7" w14:textId="77777777" w:rsidR="00F844B4" w:rsidRPr="00DC2A3C" w:rsidRDefault="00F844B4" w:rsidP="00074625">
            <w:pPr>
              <w:pStyle w:val="ARtabletextright"/>
            </w:pPr>
            <w:r w:rsidRPr="00DC2A3C">
              <w:t>0</w:t>
            </w:r>
          </w:p>
        </w:tc>
        <w:tc>
          <w:tcPr>
            <w:tcW w:w="786" w:type="dxa"/>
            <w:tcMar>
              <w:right w:w="113" w:type="dxa"/>
            </w:tcMar>
            <w:hideMark/>
          </w:tcPr>
          <w:p w14:paraId="6DF0C93F" w14:textId="77777777" w:rsidR="00F844B4" w:rsidRPr="00DC2A3C" w:rsidRDefault="00F844B4" w:rsidP="00074625">
            <w:pPr>
              <w:pStyle w:val="ARtabletextright"/>
            </w:pPr>
            <w:r w:rsidRPr="00DC2A3C">
              <w:t>0</w:t>
            </w:r>
          </w:p>
        </w:tc>
        <w:tc>
          <w:tcPr>
            <w:tcW w:w="1120" w:type="dxa"/>
            <w:shd w:val="clear" w:color="auto" w:fill="E7E6E6" w:themeFill="background2"/>
            <w:tcMar>
              <w:right w:w="113" w:type="dxa"/>
            </w:tcMar>
            <w:hideMark/>
          </w:tcPr>
          <w:p w14:paraId="4965756A" w14:textId="77777777" w:rsidR="00F844B4" w:rsidRPr="00DC2A3C" w:rsidRDefault="00F844B4" w:rsidP="00074625">
            <w:pPr>
              <w:pStyle w:val="ARtabletextright"/>
            </w:pPr>
            <w:r w:rsidRPr="00DC2A3C">
              <w:t>0</w:t>
            </w:r>
          </w:p>
        </w:tc>
        <w:tc>
          <w:tcPr>
            <w:tcW w:w="949" w:type="dxa"/>
            <w:shd w:val="clear" w:color="auto" w:fill="E7E6E6" w:themeFill="background2"/>
            <w:tcMar>
              <w:right w:w="113" w:type="dxa"/>
            </w:tcMar>
            <w:hideMark/>
          </w:tcPr>
          <w:p w14:paraId="54564357" w14:textId="77777777" w:rsidR="00F844B4" w:rsidRPr="00DC2A3C" w:rsidRDefault="00F844B4" w:rsidP="00074625">
            <w:pPr>
              <w:pStyle w:val="ARtabletextright"/>
            </w:pPr>
            <w:r w:rsidRPr="00DC2A3C">
              <w:t>0</w:t>
            </w:r>
          </w:p>
        </w:tc>
        <w:tc>
          <w:tcPr>
            <w:tcW w:w="957" w:type="dxa"/>
            <w:shd w:val="clear" w:color="auto" w:fill="E7E6E6" w:themeFill="background2"/>
            <w:tcMar>
              <w:right w:w="113" w:type="dxa"/>
            </w:tcMar>
            <w:hideMark/>
          </w:tcPr>
          <w:p w14:paraId="0C6246A9" w14:textId="77777777" w:rsidR="00F844B4" w:rsidRPr="00DC2A3C" w:rsidRDefault="00F844B4" w:rsidP="00074625">
            <w:pPr>
              <w:pStyle w:val="ARtabletextright"/>
            </w:pPr>
            <w:r w:rsidRPr="00DC2A3C">
              <w:t>0</w:t>
            </w:r>
          </w:p>
        </w:tc>
        <w:tc>
          <w:tcPr>
            <w:tcW w:w="956" w:type="dxa"/>
            <w:tcMar>
              <w:right w:w="113" w:type="dxa"/>
            </w:tcMar>
            <w:hideMark/>
          </w:tcPr>
          <w:p w14:paraId="313D8402" w14:textId="77777777" w:rsidR="00F844B4" w:rsidRPr="00DC2A3C" w:rsidRDefault="00F844B4" w:rsidP="00074625">
            <w:pPr>
              <w:pStyle w:val="ARtabletextright"/>
            </w:pPr>
            <w:r w:rsidRPr="00DC2A3C">
              <w:t>0</w:t>
            </w:r>
          </w:p>
        </w:tc>
        <w:tc>
          <w:tcPr>
            <w:tcW w:w="957" w:type="dxa"/>
            <w:tcMar>
              <w:right w:w="113" w:type="dxa"/>
            </w:tcMar>
            <w:hideMark/>
          </w:tcPr>
          <w:p w14:paraId="1FFE0690" w14:textId="77777777" w:rsidR="00F844B4" w:rsidRPr="00DC2A3C" w:rsidRDefault="00F844B4" w:rsidP="00074625">
            <w:pPr>
              <w:pStyle w:val="ARtabletextright"/>
            </w:pPr>
            <w:r w:rsidRPr="00DC2A3C">
              <w:t>0</w:t>
            </w:r>
          </w:p>
        </w:tc>
      </w:tr>
      <w:tr w:rsidR="008D68DC" w:rsidRPr="00DC2A3C" w14:paraId="47F8FBD5" w14:textId="77777777" w:rsidTr="00D119D2">
        <w:trPr>
          <w:cnfStyle w:val="010000000000" w:firstRow="0" w:lastRow="1" w:firstColumn="0" w:lastColumn="0" w:oddVBand="0" w:evenVBand="0" w:oddHBand="0" w:evenHBand="0" w:firstRowFirstColumn="0" w:firstRowLastColumn="0" w:lastRowFirstColumn="0" w:lastRowLastColumn="0"/>
          <w:cantSplit w:val="0"/>
          <w:trHeight w:val="190"/>
        </w:trPr>
        <w:tc>
          <w:tcPr>
            <w:tcW w:w="1087" w:type="dxa"/>
            <w:hideMark/>
          </w:tcPr>
          <w:p w14:paraId="31B304EA" w14:textId="77777777" w:rsidR="00F844B4" w:rsidRPr="00DC2A3C" w:rsidRDefault="00F844B4" w:rsidP="00074625">
            <w:pPr>
              <w:pStyle w:val="ARtabletextbold"/>
              <w:rPr>
                <w:rFonts w:eastAsia="Times New Roman"/>
                <w:color w:val="000000"/>
              </w:rPr>
            </w:pPr>
            <w:hyperlink r:id="rId77" w:anchor="RANGE!_ftn5" w:history="1">
              <w:r w:rsidRPr="00DC2A3C">
                <w:rPr>
                  <w:rFonts w:eastAsia="Times New Roman"/>
                  <w:color w:val="000000"/>
                </w:rPr>
                <w:t>Total employees</w:t>
              </w:r>
            </w:hyperlink>
          </w:p>
        </w:tc>
        <w:tc>
          <w:tcPr>
            <w:tcW w:w="954" w:type="dxa"/>
            <w:shd w:val="clear" w:color="auto" w:fill="E7E6E6" w:themeFill="background2"/>
            <w:tcMar>
              <w:right w:w="113" w:type="dxa"/>
            </w:tcMar>
            <w:hideMark/>
          </w:tcPr>
          <w:p w14:paraId="3BD06272" w14:textId="77777777" w:rsidR="00F844B4" w:rsidRPr="00DC2A3C" w:rsidRDefault="00F844B4" w:rsidP="00074625">
            <w:pPr>
              <w:pStyle w:val="ARtabletextrightbold"/>
            </w:pPr>
            <w:r w:rsidRPr="00DC2A3C">
              <w:t>7,213</w:t>
            </w:r>
          </w:p>
        </w:tc>
        <w:tc>
          <w:tcPr>
            <w:tcW w:w="956" w:type="dxa"/>
            <w:shd w:val="clear" w:color="auto" w:fill="E7E6E6" w:themeFill="background2"/>
            <w:tcMar>
              <w:right w:w="113" w:type="dxa"/>
            </w:tcMar>
            <w:hideMark/>
          </w:tcPr>
          <w:p w14:paraId="445D764C" w14:textId="77777777" w:rsidR="00F844B4" w:rsidRPr="00DC2A3C" w:rsidRDefault="00F844B4" w:rsidP="00074625">
            <w:pPr>
              <w:pStyle w:val="ARtabletextrightbold"/>
            </w:pPr>
            <w:r w:rsidRPr="00DC2A3C">
              <w:t>6,772.3</w:t>
            </w:r>
          </w:p>
        </w:tc>
        <w:tc>
          <w:tcPr>
            <w:tcW w:w="948" w:type="dxa"/>
            <w:tcMar>
              <w:right w:w="113" w:type="dxa"/>
            </w:tcMar>
            <w:hideMark/>
          </w:tcPr>
          <w:p w14:paraId="50901501" w14:textId="77777777" w:rsidR="00F844B4" w:rsidRPr="00DC2A3C" w:rsidRDefault="00F844B4" w:rsidP="00074625">
            <w:pPr>
              <w:pStyle w:val="ARtabletextrightbold"/>
            </w:pPr>
            <w:r w:rsidRPr="00DC2A3C">
              <w:t>5,022</w:t>
            </w:r>
          </w:p>
        </w:tc>
        <w:tc>
          <w:tcPr>
            <w:tcW w:w="948" w:type="dxa"/>
            <w:tcMar>
              <w:right w:w="113" w:type="dxa"/>
            </w:tcMar>
            <w:hideMark/>
          </w:tcPr>
          <w:p w14:paraId="4282A792" w14:textId="77777777" w:rsidR="00F844B4" w:rsidRPr="00DC2A3C" w:rsidRDefault="00F844B4" w:rsidP="00074625">
            <w:pPr>
              <w:pStyle w:val="ARtabletextrightbold"/>
            </w:pPr>
            <w:r w:rsidRPr="00DC2A3C">
              <w:t>888</w:t>
            </w:r>
          </w:p>
        </w:tc>
        <w:tc>
          <w:tcPr>
            <w:tcW w:w="956" w:type="dxa"/>
            <w:tcMar>
              <w:right w:w="113" w:type="dxa"/>
            </w:tcMar>
            <w:hideMark/>
          </w:tcPr>
          <w:p w14:paraId="29636E92" w14:textId="77777777" w:rsidR="00F844B4" w:rsidRPr="00DC2A3C" w:rsidRDefault="00F844B4" w:rsidP="00074625">
            <w:pPr>
              <w:pStyle w:val="ARtabletextrightbold"/>
            </w:pPr>
            <w:r w:rsidRPr="00DC2A3C">
              <w:t>5,596.2</w:t>
            </w:r>
          </w:p>
        </w:tc>
        <w:tc>
          <w:tcPr>
            <w:tcW w:w="956" w:type="dxa"/>
            <w:shd w:val="clear" w:color="auto" w:fill="E7E6E6" w:themeFill="background2"/>
            <w:tcMar>
              <w:right w:w="113" w:type="dxa"/>
            </w:tcMar>
            <w:hideMark/>
          </w:tcPr>
          <w:p w14:paraId="6695AB68" w14:textId="77777777" w:rsidR="00F844B4" w:rsidRPr="00DC2A3C" w:rsidRDefault="00F844B4" w:rsidP="00074625">
            <w:pPr>
              <w:pStyle w:val="ARtabletextrightbold"/>
            </w:pPr>
            <w:r w:rsidRPr="00DC2A3C">
              <w:t>1,303</w:t>
            </w:r>
          </w:p>
        </w:tc>
        <w:tc>
          <w:tcPr>
            <w:tcW w:w="951" w:type="dxa"/>
            <w:shd w:val="clear" w:color="auto" w:fill="E7E6E6" w:themeFill="background2"/>
            <w:tcMar>
              <w:right w:w="113" w:type="dxa"/>
            </w:tcMar>
            <w:hideMark/>
          </w:tcPr>
          <w:p w14:paraId="16DDA2DB" w14:textId="77777777" w:rsidR="00F844B4" w:rsidRPr="00DC2A3C" w:rsidRDefault="00F844B4" w:rsidP="00074625">
            <w:pPr>
              <w:pStyle w:val="ARtabletextrightbold"/>
            </w:pPr>
            <w:r w:rsidRPr="00DC2A3C">
              <w:t>1,176.0</w:t>
            </w:r>
          </w:p>
        </w:tc>
        <w:tc>
          <w:tcPr>
            <w:tcW w:w="956" w:type="dxa"/>
            <w:tcMar>
              <w:right w:w="113" w:type="dxa"/>
            </w:tcMar>
            <w:hideMark/>
          </w:tcPr>
          <w:p w14:paraId="4FBD5884" w14:textId="77777777" w:rsidR="00F844B4" w:rsidRPr="00DC2A3C" w:rsidRDefault="00F844B4" w:rsidP="00074625">
            <w:pPr>
              <w:pStyle w:val="ARtabletextrightbold"/>
            </w:pPr>
            <w:r w:rsidRPr="00DC2A3C">
              <w:t>7,169</w:t>
            </w:r>
          </w:p>
        </w:tc>
        <w:tc>
          <w:tcPr>
            <w:tcW w:w="786" w:type="dxa"/>
            <w:tcMar>
              <w:right w:w="113" w:type="dxa"/>
            </w:tcMar>
            <w:hideMark/>
          </w:tcPr>
          <w:p w14:paraId="2DF99932" w14:textId="77777777" w:rsidR="00F844B4" w:rsidRPr="00DC2A3C" w:rsidRDefault="00F844B4" w:rsidP="00074625">
            <w:pPr>
              <w:pStyle w:val="ARtabletextrightbold"/>
            </w:pPr>
            <w:r w:rsidRPr="00DC2A3C">
              <w:t>6,684.10</w:t>
            </w:r>
          </w:p>
        </w:tc>
        <w:tc>
          <w:tcPr>
            <w:tcW w:w="1120" w:type="dxa"/>
            <w:shd w:val="clear" w:color="auto" w:fill="E7E6E6" w:themeFill="background2"/>
            <w:tcMar>
              <w:right w:w="113" w:type="dxa"/>
            </w:tcMar>
            <w:hideMark/>
          </w:tcPr>
          <w:p w14:paraId="5B76D374" w14:textId="77777777" w:rsidR="00F844B4" w:rsidRPr="00DC2A3C" w:rsidRDefault="00F844B4" w:rsidP="00074625">
            <w:pPr>
              <w:pStyle w:val="ARtabletextrightbold"/>
            </w:pPr>
            <w:r w:rsidRPr="00DC2A3C">
              <w:t>4,780</w:t>
            </w:r>
          </w:p>
        </w:tc>
        <w:tc>
          <w:tcPr>
            <w:tcW w:w="949" w:type="dxa"/>
            <w:shd w:val="clear" w:color="auto" w:fill="E7E6E6" w:themeFill="background2"/>
            <w:tcMar>
              <w:right w:w="113" w:type="dxa"/>
            </w:tcMar>
            <w:hideMark/>
          </w:tcPr>
          <w:p w14:paraId="789ADD22" w14:textId="77777777" w:rsidR="00F844B4" w:rsidRPr="00DC2A3C" w:rsidRDefault="00F844B4" w:rsidP="00074625">
            <w:pPr>
              <w:pStyle w:val="ARtabletextrightbold"/>
            </w:pPr>
            <w:r w:rsidRPr="00DC2A3C">
              <w:t>849</w:t>
            </w:r>
          </w:p>
        </w:tc>
        <w:tc>
          <w:tcPr>
            <w:tcW w:w="957" w:type="dxa"/>
            <w:shd w:val="clear" w:color="auto" w:fill="E7E6E6" w:themeFill="background2"/>
            <w:tcMar>
              <w:right w:w="113" w:type="dxa"/>
            </w:tcMar>
            <w:hideMark/>
          </w:tcPr>
          <w:p w14:paraId="682252F1" w14:textId="77777777" w:rsidR="00F844B4" w:rsidRPr="00DC2A3C" w:rsidRDefault="00F844B4" w:rsidP="00074625">
            <w:pPr>
              <w:pStyle w:val="ARtabletextrightbold"/>
            </w:pPr>
            <w:r w:rsidRPr="00DC2A3C">
              <w:t>5,315.90</w:t>
            </w:r>
          </w:p>
        </w:tc>
        <w:tc>
          <w:tcPr>
            <w:tcW w:w="956" w:type="dxa"/>
            <w:tcMar>
              <w:right w:w="113" w:type="dxa"/>
            </w:tcMar>
            <w:hideMark/>
          </w:tcPr>
          <w:p w14:paraId="07D4CF7B" w14:textId="77777777" w:rsidR="00F844B4" w:rsidRPr="00DC2A3C" w:rsidRDefault="00F844B4" w:rsidP="00074625">
            <w:pPr>
              <w:pStyle w:val="ARtabletextrightbold"/>
            </w:pPr>
            <w:r w:rsidRPr="00DC2A3C">
              <w:t>1,540</w:t>
            </w:r>
          </w:p>
        </w:tc>
        <w:tc>
          <w:tcPr>
            <w:tcW w:w="957" w:type="dxa"/>
            <w:tcMar>
              <w:right w:w="113" w:type="dxa"/>
            </w:tcMar>
            <w:hideMark/>
          </w:tcPr>
          <w:p w14:paraId="0A2852B1" w14:textId="77777777" w:rsidR="00F844B4" w:rsidRPr="00DC2A3C" w:rsidRDefault="00F844B4" w:rsidP="00074625">
            <w:pPr>
              <w:pStyle w:val="ARtabletextrightbold"/>
            </w:pPr>
            <w:r w:rsidRPr="00DC2A3C">
              <w:t>1,368.30</w:t>
            </w:r>
          </w:p>
        </w:tc>
      </w:tr>
    </w:tbl>
    <w:p w14:paraId="5C6990FE" w14:textId="0BDD401A" w:rsidR="00F844B4" w:rsidRPr="00DC2A3C" w:rsidRDefault="00F844B4" w:rsidP="008149F0">
      <w:pPr>
        <w:pStyle w:val="ARtablefootnote"/>
      </w:pPr>
      <w:r w:rsidRPr="00DC2A3C">
        <w:t xml:space="preserve">The data source for the table above is </w:t>
      </w:r>
      <w:r w:rsidR="009201DE">
        <w:t>Common Corporate Support Branch</w:t>
      </w:r>
      <w:r w:rsidR="001D5C52">
        <w:t>.</w:t>
      </w:r>
      <w:r w:rsidRPr="00DC2A3C">
        <w:t xml:space="preserve"> A similar data cut is used for the </w:t>
      </w:r>
      <w:r>
        <w:t>Victorian Public Sector Commission</w:t>
      </w:r>
      <w:r w:rsidRPr="00DC2A3C">
        <w:t xml:space="preserve"> submission.</w:t>
      </w:r>
    </w:p>
    <w:p w14:paraId="58EC480C" w14:textId="459C726F" w:rsidR="00F844B4" w:rsidRPr="00DC2A3C" w:rsidRDefault="00F844B4" w:rsidP="008149F0">
      <w:pPr>
        <w:pStyle w:val="ARtablefootnote"/>
      </w:pPr>
      <w:r w:rsidRPr="00DC2A3C">
        <w:t>In the previous financial year, classifications HCSOQ1, HCSOQ2 and HCSOQU were reported separately. These are now grouped under the HCSO classification.</w:t>
      </w:r>
    </w:p>
    <w:p w14:paraId="7B94E426" w14:textId="77777777" w:rsidR="00F844B4" w:rsidRPr="00DC2A3C" w:rsidRDefault="00F844B4" w:rsidP="008149F0">
      <w:pPr>
        <w:pStyle w:val="ARtablefootnote"/>
        <w:sectPr w:rsidR="00F844B4" w:rsidRPr="00DC2A3C" w:rsidSect="007F43B1">
          <w:headerReference w:type="even" r:id="rId78"/>
          <w:footerReference w:type="even" r:id="rId79"/>
          <w:footerReference w:type="default" r:id="rId80"/>
          <w:headerReference w:type="first" r:id="rId81"/>
          <w:footerReference w:type="first" r:id="rId82"/>
          <w:endnotePr>
            <w:numFmt w:val="decimal"/>
          </w:endnotePr>
          <w:pgSz w:w="16838" w:h="11906" w:orient="landscape" w:code="9"/>
          <w:pgMar w:top="1134" w:right="1134" w:bottom="851" w:left="1134" w:header="510" w:footer="340" w:gutter="0"/>
          <w:cols w:space="454"/>
          <w:docGrid w:linePitch="360"/>
        </w:sectPr>
      </w:pPr>
      <w:r w:rsidRPr="00DC2A3C">
        <w:t>Executive figures include Accountable Officers, namely the Secretary and CEO of Homes Victoria.</w:t>
      </w:r>
    </w:p>
    <w:p w14:paraId="1A01864F" w14:textId="77777777" w:rsidR="00F844B4" w:rsidRPr="00A97E5A" w:rsidRDefault="00F844B4">
      <w:pPr>
        <w:pStyle w:val="ARbody"/>
      </w:pPr>
      <w:r w:rsidRPr="00A97E5A">
        <w:lastRenderedPageBreak/>
        <w:t>The following table discloses the annualised total salary for senior employees of the department, categorised by classification. The salary amount is reported as the full-time annualised salary.</w:t>
      </w:r>
    </w:p>
    <w:p w14:paraId="478A4BF5" w14:textId="77777777" w:rsidR="00F844B4" w:rsidRPr="00A97E5A" w:rsidRDefault="00F844B4">
      <w:pPr>
        <w:pStyle w:val="ARtablecaption"/>
      </w:pPr>
      <w:r w:rsidRPr="00A97E5A">
        <w:t xml:space="preserve">Table 2: Annualised total salary, by $20,000 bands, for executives and other senior </w:t>
      </w:r>
      <w:r w:rsidRPr="00A97E5A">
        <w:br/>
        <w:t xml:space="preserve">non-executive staff </w:t>
      </w:r>
    </w:p>
    <w:tbl>
      <w:tblPr>
        <w:tblStyle w:val="TableGrid"/>
        <w:tblW w:w="5000" w:type="pct"/>
        <w:tblLook w:val="00E0" w:firstRow="1" w:lastRow="1" w:firstColumn="1" w:lastColumn="0" w:noHBand="0" w:noVBand="0"/>
      </w:tblPr>
      <w:tblGrid>
        <w:gridCol w:w="3969"/>
        <w:gridCol w:w="1887"/>
        <w:gridCol w:w="1888"/>
        <w:gridCol w:w="1888"/>
      </w:tblGrid>
      <w:tr w:rsidR="00F33C72" w:rsidRPr="000D1985" w14:paraId="5E9E01F7" w14:textId="77777777" w:rsidTr="00DD2B79">
        <w:trPr>
          <w:cnfStyle w:val="100000000000" w:firstRow="1" w:lastRow="0" w:firstColumn="0" w:lastColumn="0" w:oddVBand="0" w:evenVBand="0" w:oddHBand="0" w:evenHBand="0" w:firstRowFirstColumn="0" w:firstRowLastColumn="0" w:lastRowFirstColumn="0" w:lastRowLastColumn="0"/>
          <w:trHeight w:val="83"/>
          <w:tblHeader/>
        </w:trPr>
        <w:tc>
          <w:tcPr>
            <w:tcW w:w="3969" w:type="dxa"/>
            <w:hideMark/>
          </w:tcPr>
          <w:p w14:paraId="1F90C5E1" w14:textId="77777777" w:rsidR="00F844B4" w:rsidRPr="000D1985" w:rsidRDefault="00F844B4" w:rsidP="000F6AD6">
            <w:pPr>
              <w:pStyle w:val="ARtablecolhead"/>
            </w:pPr>
            <w:r w:rsidRPr="000D1985">
              <w:t>Income band (</w:t>
            </w:r>
            <w:r w:rsidRPr="000F6AD6">
              <w:t>salary</w:t>
            </w:r>
            <w:r w:rsidRPr="000D1985">
              <w:t>)</w:t>
            </w:r>
          </w:p>
        </w:tc>
        <w:tc>
          <w:tcPr>
            <w:cnfStyle w:val="000001000000" w:firstRow="0" w:lastRow="0" w:firstColumn="0" w:lastColumn="0" w:oddVBand="0" w:evenVBand="1" w:oddHBand="0" w:evenHBand="0" w:firstRowFirstColumn="0" w:firstRowLastColumn="0" w:lastRowFirstColumn="0" w:lastRowLastColumn="0"/>
            <w:tcW w:w="1887" w:type="dxa"/>
            <w:hideMark/>
          </w:tcPr>
          <w:p w14:paraId="10041458" w14:textId="77777777" w:rsidR="00F844B4" w:rsidRPr="000D1985" w:rsidRDefault="00F844B4" w:rsidP="00AF1596">
            <w:pPr>
              <w:pStyle w:val="ARtablecolheadright"/>
            </w:pPr>
            <w:r w:rsidRPr="000D1985">
              <w:t>Executives</w:t>
            </w:r>
          </w:p>
        </w:tc>
        <w:tc>
          <w:tcPr>
            <w:tcW w:w="1888" w:type="dxa"/>
            <w:hideMark/>
          </w:tcPr>
          <w:p w14:paraId="078D3203" w14:textId="77777777" w:rsidR="00F844B4" w:rsidRPr="000D1985" w:rsidRDefault="00F844B4" w:rsidP="00AF1596">
            <w:pPr>
              <w:pStyle w:val="ARtablecolheadright"/>
              <w:cnfStyle w:val="100000000000" w:firstRow="1" w:lastRow="0" w:firstColumn="0" w:lastColumn="0" w:oddVBand="0" w:evenVBand="0" w:oddHBand="0" w:evenHBand="0" w:firstRowFirstColumn="0" w:firstRowLastColumn="0" w:lastRowFirstColumn="0" w:lastRowLastColumn="0"/>
            </w:pPr>
            <w:r w:rsidRPr="000D1985">
              <w:t>STS</w:t>
            </w:r>
          </w:p>
        </w:tc>
        <w:tc>
          <w:tcPr>
            <w:cnfStyle w:val="000001000000" w:firstRow="0" w:lastRow="0" w:firstColumn="0" w:lastColumn="0" w:oddVBand="0" w:evenVBand="1" w:oddHBand="0" w:evenHBand="0" w:firstRowFirstColumn="0" w:firstRowLastColumn="0" w:lastRowFirstColumn="0" w:lastRowLastColumn="0"/>
            <w:tcW w:w="1888" w:type="dxa"/>
            <w:hideMark/>
          </w:tcPr>
          <w:p w14:paraId="4EC45FDA" w14:textId="77777777" w:rsidR="00F844B4" w:rsidRPr="000D1985" w:rsidRDefault="00F844B4" w:rsidP="00AF1596">
            <w:pPr>
              <w:pStyle w:val="ARtablecolheadright"/>
            </w:pPr>
            <w:r w:rsidRPr="000D1985">
              <w:t>SMA</w:t>
            </w:r>
          </w:p>
        </w:tc>
      </w:tr>
      <w:tr w:rsidR="006D70CE" w:rsidRPr="000D1985" w14:paraId="5A52D5EA" w14:textId="77777777" w:rsidTr="000F6AD6">
        <w:trPr>
          <w:trHeight w:val="300"/>
        </w:trPr>
        <w:tc>
          <w:tcPr>
            <w:tcW w:w="3969" w:type="dxa"/>
            <w:hideMark/>
          </w:tcPr>
          <w:p w14:paraId="6EBE3D6A" w14:textId="77777777" w:rsidR="00F844B4" w:rsidRPr="000D1985" w:rsidRDefault="00F844B4" w:rsidP="00AF1596">
            <w:pPr>
              <w:pStyle w:val="ARtabletext"/>
            </w:pPr>
            <w:r w:rsidRPr="000D1985">
              <w:t>$160,000–$179,999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1346FFCD" w14:textId="77777777" w:rsidR="00F844B4" w:rsidRPr="000D1985" w:rsidRDefault="00F844B4" w:rsidP="00AF1596">
            <w:pPr>
              <w:pStyle w:val="ARtabletextright"/>
            </w:pPr>
            <w:r w:rsidRPr="000D1985">
              <w:t>0</w:t>
            </w:r>
          </w:p>
        </w:tc>
        <w:tc>
          <w:tcPr>
            <w:tcW w:w="1888" w:type="dxa"/>
            <w:hideMark/>
          </w:tcPr>
          <w:p w14:paraId="25D00B5B"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39505828" w14:textId="77777777" w:rsidR="00F844B4" w:rsidRPr="000D1985" w:rsidRDefault="00F844B4" w:rsidP="00AF1596">
            <w:pPr>
              <w:pStyle w:val="ARtabletextright"/>
            </w:pPr>
            <w:r w:rsidRPr="000D1985">
              <w:t>0</w:t>
            </w:r>
          </w:p>
        </w:tc>
      </w:tr>
      <w:tr w:rsidR="006D70CE" w:rsidRPr="000D1985" w14:paraId="7A2DF81A" w14:textId="77777777" w:rsidTr="000F6AD6">
        <w:trPr>
          <w:trHeight w:val="300"/>
        </w:trPr>
        <w:tc>
          <w:tcPr>
            <w:tcW w:w="3969" w:type="dxa"/>
            <w:hideMark/>
          </w:tcPr>
          <w:p w14:paraId="36E5549D" w14:textId="77777777" w:rsidR="00F844B4" w:rsidRPr="000D1985" w:rsidRDefault="00F844B4" w:rsidP="00AF1596">
            <w:pPr>
              <w:pStyle w:val="ARtabletext"/>
            </w:pPr>
            <w:r w:rsidRPr="000D1985">
              <w:t>$180,000–$199,999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16EBE660" w14:textId="77777777" w:rsidR="00F844B4" w:rsidRPr="000D1985" w:rsidRDefault="00F844B4" w:rsidP="00AF1596">
            <w:pPr>
              <w:pStyle w:val="ARtabletextright"/>
            </w:pPr>
            <w:r w:rsidRPr="000D1985">
              <w:t>0</w:t>
            </w:r>
          </w:p>
        </w:tc>
        <w:tc>
          <w:tcPr>
            <w:tcW w:w="1888" w:type="dxa"/>
            <w:hideMark/>
          </w:tcPr>
          <w:p w14:paraId="72F1B475"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4</w:t>
            </w:r>
          </w:p>
        </w:tc>
        <w:tc>
          <w:tcPr>
            <w:cnfStyle w:val="000001000000" w:firstRow="0" w:lastRow="0" w:firstColumn="0" w:lastColumn="0" w:oddVBand="0" w:evenVBand="1" w:oddHBand="0" w:evenHBand="0" w:firstRowFirstColumn="0" w:firstRowLastColumn="0" w:lastRowFirstColumn="0" w:lastRowLastColumn="0"/>
            <w:tcW w:w="1888" w:type="dxa"/>
            <w:hideMark/>
          </w:tcPr>
          <w:p w14:paraId="3DA4E690" w14:textId="77777777" w:rsidR="00F844B4" w:rsidRPr="000D1985" w:rsidRDefault="00F844B4" w:rsidP="00AF1596">
            <w:pPr>
              <w:pStyle w:val="ARtabletextright"/>
            </w:pPr>
            <w:r w:rsidRPr="000D1985">
              <w:t>0</w:t>
            </w:r>
          </w:p>
        </w:tc>
      </w:tr>
      <w:tr w:rsidR="006D70CE" w:rsidRPr="000D1985" w14:paraId="430AEC2A" w14:textId="77777777" w:rsidTr="000F6AD6">
        <w:trPr>
          <w:trHeight w:val="300"/>
        </w:trPr>
        <w:tc>
          <w:tcPr>
            <w:tcW w:w="3969" w:type="dxa"/>
            <w:hideMark/>
          </w:tcPr>
          <w:p w14:paraId="5093FCD3" w14:textId="77777777" w:rsidR="00F844B4" w:rsidRPr="000D1985" w:rsidRDefault="00F844B4" w:rsidP="00AF1596">
            <w:pPr>
              <w:pStyle w:val="ARtabletext"/>
            </w:pPr>
            <w:r w:rsidRPr="000D1985">
              <w:t>$200,000–$219,999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5856FC66" w14:textId="77777777" w:rsidR="00F844B4" w:rsidRPr="000D1985" w:rsidRDefault="00F844B4" w:rsidP="00AF1596">
            <w:pPr>
              <w:pStyle w:val="ARtabletextright"/>
            </w:pPr>
            <w:r w:rsidRPr="000D1985">
              <w:t>0</w:t>
            </w:r>
          </w:p>
        </w:tc>
        <w:tc>
          <w:tcPr>
            <w:tcW w:w="1888" w:type="dxa"/>
            <w:hideMark/>
          </w:tcPr>
          <w:p w14:paraId="1C1DB56A"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13</w:t>
            </w:r>
          </w:p>
        </w:tc>
        <w:tc>
          <w:tcPr>
            <w:cnfStyle w:val="000001000000" w:firstRow="0" w:lastRow="0" w:firstColumn="0" w:lastColumn="0" w:oddVBand="0" w:evenVBand="1" w:oddHBand="0" w:evenHBand="0" w:firstRowFirstColumn="0" w:firstRowLastColumn="0" w:lastRowFirstColumn="0" w:lastRowLastColumn="0"/>
            <w:tcW w:w="1888" w:type="dxa"/>
            <w:hideMark/>
          </w:tcPr>
          <w:p w14:paraId="3AC56D9D" w14:textId="77777777" w:rsidR="00F844B4" w:rsidRPr="000D1985" w:rsidRDefault="00F844B4" w:rsidP="00AF1596">
            <w:pPr>
              <w:pStyle w:val="ARtabletextright"/>
            </w:pPr>
            <w:r w:rsidRPr="000D1985">
              <w:t>0</w:t>
            </w:r>
          </w:p>
        </w:tc>
      </w:tr>
      <w:tr w:rsidR="006D70CE" w:rsidRPr="000D1985" w14:paraId="732BF580" w14:textId="77777777" w:rsidTr="000F6AD6">
        <w:trPr>
          <w:trHeight w:val="300"/>
        </w:trPr>
        <w:tc>
          <w:tcPr>
            <w:tcW w:w="3969" w:type="dxa"/>
            <w:hideMark/>
          </w:tcPr>
          <w:p w14:paraId="1512CFB7" w14:textId="77777777" w:rsidR="00F844B4" w:rsidRPr="000D1985" w:rsidRDefault="00F844B4" w:rsidP="00AF1596">
            <w:pPr>
              <w:pStyle w:val="ARtabletext"/>
            </w:pPr>
            <w:r w:rsidRPr="000D1985">
              <w:t>$220,000–$239,999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0DB76BC3" w14:textId="77777777" w:rsidR="00F844B4" w:rsidRPr="000D1985" w:rsidRDefault="00F844B4" w:rsidP="00AF1596">
            <w:pPr>
              <w:pStyle w:val="ARtabletextright"/>
            </w:pPr>
            <w:r w:rsidRPr="000D1985">
              <w:t>76</w:t>
            </w:r>
          </w:p>
        </w:tc>
        <w:tc>
          <w:tcPr>
            <w:tcW w:w="1888" w:type="dxa"/>
            <w:hideMark/>
          </w:tcPr>
          <w:p w14:paraId="50ADC7DE"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4</w:t>
            </w:r>
          </w:p>
        </w:tc>
        <w:tc>
          <w:tcPr>
            <w:cnfStyle w:val="000001000000" w:firstRow="0" w:lastRow="0" w:firstColumn="0" w:lastColumn="0" w:oddVBand="0" w:evenVBand="1" w:oddHBand="0" w:evenHBand="0" w:firstRowFirstColumn="0" w:firstRowLastColumn="0" w:lastRowFirstColumn="0" w:lastRowLastColumn="0"/>
            <w:tcW w:w="1888" w:type="dxa"/>
            <w:hideMark/>
          </w:tcPr>
          <w:p w14:paraId="35D97A0C" w14:textId="77777777" w:rsidR="00F844B4" w:rsidRPr="000D1985" w:rsidRDefault="00F844B4" w:rsidP="00AF1596">
            <w:pPr>
              <w:pStyle w:val="ARtabletextright"/>
            </w:pPr>
            <w:r w:rsidRPr="000D1985">
              <w:t>0</w:t>
            </w:r>
          </w:p>
        </w:tc>
      </w:tr>
      <w:tr w:rsidR="006D70CE" w:rsidRPr="000D1985" w14:paraId="337DD209" w14:textId="77777777" w:rsidTr="000F6AD6">
        <w:trPr>
          <w:trHeight w:val="300"/>
        </w:trPr>
        <w:tc>
          <w:tcPr>
            <w:tcW w:w="3969" w:type="dxa"/>
            <w:hideMark/>
          </w:tcPr>
          <w:p w14:paraId="787612DA" w14:textId="77777777" w:rsidR="00F844B4" w:rsidRPr="000D1985" w:rsidRDefault="00F844B4" w:rsidP="00AF1596">
            <w:pPr>
              <w:pStyle w:val="ARtabletext"/>
            </w:pPr>
            <w:r w:rsidRPr="000D1985">
              <w:t>$240,000–$259,999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64BE3000" w14:textId="77777777" w:rsidR="00F844B4" w:rsidRPr="000D1985" w:rsidRDefault="00F844B4" w:rsidP="00AF1596">
            <w:pPr>
              <w:pStyle w:val="ARtabletextright"/>
            </w:pPr>
            <w:r w:rsidRPr="000D1985">
              <w:t>24</w:t>
            </w:r>
          </w:p>
        </w:tc>
        <w:tc>
          <w:tcPr>
            <w:tcW w:w="1888" w:type="dxa"/>
            <w:hideMark/>
          </w:tcPr>
          <w:p w14:paraId="6F44651C"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2</w:t>
            </w:r>
          </w:p>
        </w:tc>
        <w:tc>
          <w:tcPr>
            <w:cnfStyle w:val="000001000000" w:firstRow="0" w:lastRow="0" w:firstColumn="0" w:lastColumn="0" w:oddVBand="0" w:evenVBand="1" w:oddHBand="0" w:evenHBand="0" w:firstRowFirstColumn="0" w:firstRowLastColumn="0" w:lastRowFirstColumn="0" w:lastRowLastColumn="0"/>
            <w:tcW w:w="1888" w:type="dxa"/>
            <w:hideMark/>
          </w:tcPr>
          <w:p w14:paraId="2DE7DFB4" w14:textId="77777777" w:rsidR="00F844B4" w:rsidRPr="000D1985" w:rsidRDefault="00F844B4" w:rsidP="00AF1596">
            <w:pPr>
              <w:pStyle w:val="ARtabletextright"/>
            </w:pPr>
            <w:r w:rsidRPr="000D1985">
              <w:t>0</w:t>
            </w:r>
          </w:p>
        </w:tc>
      </w:tr>
      <w:tr w:rsidR="006D70CE" w:rsidRPr="000D1985" w14:paraId="213064C2" w14:textId="77777777" w:rsidTr="000F6AD6">
        <w:trPr>
          <w:trHeight w:val="300"/>
        </w:trPr>
        <w:tc>
          <w:tcPr>
            <w:tcW w:w="3969" w:type="dxa"/>
            <w:hideMark/>
          </w:tcPr>
          <w:p w14:paraId="7CEF6E58" w14:textId="77777777" w:rsidR="00F844B4" w:rsidRPr="000D1985" w:rsidRDefault="00F844B4" w:rsidP="00AF1596">
            <w:pPr>
              <w:pStyle w:val="ARtabletext"/>
            </w:pPr>
            <w:r w:rsidRPr="000D1985">
              <w:t>$260,000–$279,999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08692653" w14:textId="77777777" w:rsidR="00F844B4" w:rsidRPr="000D1985" w:rsidRDefault="00F844B4" w:rsidP="00AF1596">
            <w:pPr>
              <w:pStyle w:val="ARtabletextright"/>
            </w:pPr>
            <w:r w:rsidRPr="000D1985">
              <w:t>9</w:t>
            </w:r>
          </w:p>
        </w:tc>
        <w:tc>
          <w:tcPr>
            <w:tcW w:w="1888" w:type="dxa"/>
            <w:hideMark/>
          </w:tcPr>
          <w:p w14:paraId="44EFF779"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44F5B513" w14:textId="77777777" w:rsidR="00F844B4" w:rsidRPr="000D1985" w:rsidRDefault="00F844B4" w:rsidP="00AF1596">
            <w:pPr>
              <w:pStyle w:val="ARtabletextright"/>
            </w:pPr>
            <w:r w:rsidRPr="000D1985">
              <w:t>0</w:t>
            </w:r>
          </w:p>
        </w:tc>
      </w:tr>
      <w:tr w:rsidR="006D70CE" w:rsidRPr="000D1985" w14:paraId="05765E9E" w14:textId="77777777" w:rsidTr="000F6AD6">
        <w:trPr>
          <w:trHeight w:val="300"/>
        </w:trPr>
        <w:tc>
          <w:tcPr>
            <w:tcW w:w="3969" w:type="dxa"/>
            <w:hideMark/>
          </w:tcPr>
          <w:p w14:paraId="58962B8F" w14:textId="77777777" w:rsidR="00F844B4" w:rsidRPr="000D1985" w:rsidRDefault="00F844B4" w:rsidP="00AF1596">
            <w:pPr>
              <w:pStyle w:val="ARtabletext"/>
            </w:pPr>
            <w:r w:rsidRPr="000D1985">
              <w:t>$280,000–$299,999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1411F8ED" w14:textId="77777777" w:rsidR="00F844B4" w:rsidRPr="000D1985" w:rsidRDefault="00F844B4" w:rsidP="00AF1596">
            <w:pPr>
              <w:pStyle w:val="ARtabletextright"/>
            </w:pPr>
            <w:r w:rsidRPr="000D1985">
              <w:t>33</w:t>
            </w:r>
          </w:p>
        </w:tc>
        <w:tc>
          <w:tcPr>
            <w:tcW w:w="1888" w:type="dxa"/>
            <w:hideMark/>
          </w:tcPr>
          <w:p w14:paraId="108745C3"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308BFD04" w14:textId="77777777" w:rsidR="00F844B4" w:rsidRPr="000D1985" w:rsidRDefault="00F844B4" w:rsidP="00AF1596">
            <w:pPr>
              <w:pStyle w:val="ARtabletextright"/>
            </w:pPr>
            <w:r w:rsidRPr="000D1985">
              <w:t>0</w:t>
            </w:r>
          </w:p>
        </w:tc>
      </w:tr>
      <w:tr w:rsidR="006D70CE" w:rsidRPr="000D1985" w14:paraId="62129489" w14:textId="77777777" w:rsidTr="000F6AD6">
        <w:trPr>
          <w:trHeight w:val="300"/>
        </w:trPr>
        <w:tc>
          <w:tcPr>
            <w:tcW w:w="3969" w:type="dxa"/>
            <w:hideMark/>
          </w:tcPr>
          <w:p w14:paraId="291896E9" w14:textId="77777777" w:rsidR="00F844B4" w:rsidRPr="000D1985" w:rsidRDefault="00F844B4" w:rsidP="00AF1596">
            <w:pPr>
              <w:pStyle w:val="ARtabletext"/>
            </w:pPr>
            <w:r w:rsidRPr="000D1985">
              <w:t>$300,000–$319,999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2F62355F" w14:textId="77777777" w:rsidR="00F844B4" w:rsidRPr="000D1985" w:rsidRDefault="00F844B4" w:rsidP="00AF1596">
            <w:pPr>
              <w:pStyle w:val="ARtabletextright"/>
            </w:pPr>
            <w:r w:rsidRPr="000D1985">
              <w:t>17</w:t>
            </w:r>
          </w:p>
        </w:tc>
        <w:tc>
          <w:tcPr>
            <w:tcW w:w="1888" w:type="dxa"/>
            <w:hideMark/>
          </w:tcPr>
          <w:p w14:paraId="65A65759"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3971E95E" w14:textId="77777777" w:rsidR="00F844B4" w:rsidRPr="000D1985" w:rsidRDefault="00F844B4" w:rsidP="00AF1596">
            <w:pPr>
              <w:pStyle w:val="ARtabletextright"/>
            </w:pPr>
            <w:r w:rsidRPr="000D1985">
              <w:t>0</w:t>
            </w:r>
          </w:p>
        </w:tc>
      </w:tr>
      <w:tr w:rsidR="006D70CE" w:rsidRPr="000D1985" w14:paraId="0AD087AF" w14:textId="77777777" w:rsidTr="000F6AD6">
        <w:trPr>
          <w:trHeight w:val="300"/>
        </w:trPr>
        <w:tc>
          <w:tcPr>
            <w:tcW w:w="3969" w:type="dxa"/>
            <w:hideMark/>
          </w:tcPr>
          <w:p w14:paraId="7DD9405B" w14:textId="77777777" w:rsidR="00F844B4" w:rsidRPr="000D1985" w:rsidRDefault="00F844B4" w:rsidP="00AF1596">
            <w:pPr>
              <w:pStyle w:val="ARtabletext"/>
            </w:pPr>
            <w:r w:rsidRPr="000D1985">
              <w:t>$320,000–$339,999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1286D52D" w14:textId="77777777" w:rsidR="00F844B4" w:rsidRPr="000D1985" w:rsidRDefault="00F844B4" w:rsidP="00AF1596">
            <w:pPr>
              <w:pStyle w:val="ARtabletextright"/>
            </w:pPr>
            <w:r w:rsidRPr="000D1985">
              <w:t>4</w:t>
            </w:r>
          </w:p>
        </w:tc>
        <w:tc>
          <w:tcPr>
            <w:tcW w:w="1888" w:type="dxa"/>
            <w:hideMark/>
          </w:tcPr>
          <w:p w14:paraId="59ACEB66"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59CF8FE7" w14:textId="77777777" w:rsidR="00F844B4" w:rsidRPr="000D1985" w:rsidRDefault="00F844B4" w:rsidP="00AF1596">
            <w:pPr>
              <w:pStyle w:val="ARtabletextright"/>
            </w:pPr>
            <w:r w:rsidRPr="000D1985">
              <w:t>0</w:t>
            </w:r>
          </w:p>
        </w:tc>
      </w:tr>
      <w:tr w:rsidR="006D70CE" w:rsidRPr="000D1985" w14:paraId="59088E88" w14:textId="77777777" w:rsidTr="000F6AD6">
        <w:trPr>
          <w:trHeight w:val="300"/>
        </w:trPr>
        <w:tc>
          <w:tcPr>
            <w:tcW w:w="3969" w:type="dxa"/>
            <w:hideMark/>
          </w:tcPr>
          <w:p w14:paraId="7CF1F43A" w14:textId="77777777" w:rsidR="00F844B4" w:rsidRPr="000D1985" w:rsidRDefault="00F844B4" w:rsidP="00AF1596">
            <w:pPr>
              <w:pStyle w:val="ARtabletext"/>
            </w:pPr>
            <w:r w:rsidRPr="000D1985">
              <w:t>$340,000–$359,999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693342FD" w14:textId="77777777" w:rsidR="00F844B4" w:rsidRPr="000D1985" w:rsidRDefault="00F844B4" w:rsidP="00AF1596">
            <w:pPr>
              <w:pStyle w:val="ARtabletextright"/>
            </w:pPr>
            <w:r w:rsidRPr="000D1985">
              <w:t>5</w:t>
            </w:r>
          </w:p>
        </w:tc>
        <w:tc>
          <w:tcPr>
            <w:tcW w:w="1888" w:type="dxa"/>
            <w:hideMark/>
          </w:tcPr>
          <w:p w14:paraId="6E9DCFBB"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37372162" w14:textId="77777777" w:rsidR="00F844B4" w:rsidRPr="000D1985" w:rsidRDefault="00F844B4" w:rsidP="00AF1596">
            <w:pPr>
              <w:pStyle w:val="ARtabletextright"/>
            </w:pPr>
            <w:r w:rsidRPr="000D1985">
              <w:t>0</w:t>
            </w:r>
          </w:p>
        </w:tc>
      </w:tr>
      <w:tr w:rsidR="006D70CE" w:rsidRPr="000D1985" w14:paraId="29EDA184" w14:textId="77777777" w:rsidTr="000F6AD6">
        <w:trPr>
          <w:trHeight w:val="300"/>
        </w:trPr>
        <w:tc>
          <w:tcPr>
            <w:tcW w:w="3969" w:type="dxa"/>
            <w:hideMark/>
          </w:tcPr>
          <w:p w14:paraId="3850E0C2" w14:textId="60649498" w:rsidR="00F844B4" w:rsidRPr="000D1985" w:rsidRDefault="00F844B4" w:rsidP="00AF1596">
            <w:pPr>
              <w:pStyle w:val="ARtabletext"/>
            </w:pPr>
            <w:r w:rsidRPr="000D1985">
              <w:t>$360,000</w:t>
            </w:r>
            <w:r w:rsidR="005C1105">
              <w:t>–</w:t>
            </w:r>
            <w:r w:rsidRPr="000D1985">
              <w:t>$399,999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11CB34CB" w14:textId="77777777" w:rsidR="00F844B4" w:rsidRPr="000D1985" w:rsidRDefault="00F844B4" w:rsidP="00AF1596">
            <w:pPr>
              <w:pStyle w:val="ARtabletextright"/>
            </w:pPr>
            <w:r w:rsidRPr="000D1985">
              <w:t>7</w:t>
            </w:r>
          </w:p>
        </w:tc>
        <w:tc>
          <w:tcPr>
            <w:tcW w:w="1888" w:type="dxa"/>
            <w:hideMark/>
          </w:tcPr>
          <w:p w14:paraId="3BB4F9B5" w14:textId="4F8F59D4"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28DC63CE" w14:textId="5D3BE60D" w:rsidR="00F844B4" w:rsidRPr="000D1985" w:rsidRDefault="0066616E" w:rsidP="00AF1596">
            <w:pPr>
              <w:pStyle w:val="ARtabletextright"/>
            </w:pPr>
            <w:r>
              <w:t>0</w:t>
            </w:r>
          </w:p>
        </w:tc>
      </w:tr>
      <w:tr w:rsidR="006D70CE" w:rsidRPr="000D1985" w14:paraId="1C813EDA" w14:textId="77777777" w:rsidTr="000F6AD6">
        <w:trPr>
          <w:trHeight w:val="300"/>
        </w:trPr>
        <w:tc>
          <w:tcPr>
            <w:tcW w:w="3969" w:type="dxa"/>
            <w:hideMark/>
          </w:tcPr>
          <w:p w14:paraId="1C5A09F7" w14:textId="77777777" w:rsidR="00F844B4" w:rsidRPr="000D1985" w:rsidRDefault="00F844B4" w:rsidP="00AF1596">
            <w:pPr>
              <w:pStyle w:val="ARtabletext"/>
            </w:pPr>
            <w:r w:rsidRPr="000D1985">
              <w:t>$400,000–$419,999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453D075F" w14:textId="77777777" w:rsidR="00F844B4" w:rsidRPr="000D1985" w:rsidRDefault="00F844B4" w:rsidP="00AF1596">
            <w:pPr>
              <w:pStyle w:val="ARtabletextright"/>
            </w:pPr>
            <w:r w:rsidRPr="000D1985">
              <w:t>3</w:t>
            </w:r>
          </w:p>
        </w:tc>
        <w:tc>
          <w:tcPr>
            <w:tcW w:w="1888" w:type="dxa"/>
            <w:hideMark/>
          </w:tcPr>
          <w:p w14:paraId="51509BA8"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1C705533" w14:textId="77777777" w:rsidR="00F844B4" w:rsidRPr="000D1985" w:rsidRDefault="00F844B4" w:rsidP="00AF1596">
            <w:pPr>
              <w:pStyle w:val="ARtabletextright"/>
            </w:pPr>
            <w:r w:rsidRPr="000D1985">
              <w:t>0</w:t>
            </w:r>
          </w:p>
        </w:tc>
      </w:tr>
      <w:tr w:rsidR="006D70CE" w:rsidRPr="000D1985" w14:paraId="35B0D9A2" w14:textId="77777777" w:rsidTr="000F6AD6">
        <w:trPr>
          <w:trHeight w:val="300"/>
        </w:trPr>
        <w:tc>
          <w:tcPr>
            <w:tcW w:w="3969" w:type="dxa"/>
            <w:hideMark/>
          </w:tcPr>
          <w:p w14:paraId="2554E2F3" w14:textId="77777777" w:rsidR="00F844B4" w:rsidRPr="000D1985" w:rsidRDefault="00F844B4" w:rsidP="00AF1596">
            <w:pPr>
              <w:pStyle w:val="ARtabletext"/>
            </w:pPr>
            <w:r w:rsidRPr="000D1985">
              <w:t>$420,000–$439,999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44934F21" w14:textId="77777777" w:rsidR="00F844B4" w:rsidRPr="000D1985" w:rsidRDefault="00F844B4" w:rsidP="00AF1596">
            <w:pPr>
              <w:pStyle w:val="ARtabletextright"/>
            </w:pPr>
            <w:r w:rsidRPr="000D1985">
              <w:t>1</w:t>
            </w:r>
          </w:p>
        </w:tc>
        <w:tc>
          <w:tcPr>
            <w:tcW w:w="1888" w:type="dxa"/>
            <w:hideMark/>
          </w:tcPr>
          <w:p w14:paraId="624F906F"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2164DE4C" w14:textId="77777777" w:rsidR="00F844B4" w:rsidRPr="000D1985" w:rsidRDefault="00F844B4" w:rsidP="00AF1596">
            <w:pPr>
              <w:pStyle w:val="ARtabletextright"/>
            </w:pPr>
            <w:r w:rsidRPr="000D1985">
              <w:t>0</w:t>
            </w:r>
          </w:p>
        </w:tc>
      </w:tr>
      <w:tr w:rsidR="006D70CE" w:rsidRPr="000D1985" w14:paraId="37FCBDBA" w14:textId="77777777" w:rsidTr="000F6AD6">
        <w:trPr>
          <w:trHeight w:val="300"/>
        </w:trPr>
        <w:tc>
          <w:tcPr>
            <w:tcW w:w="3969" w:type="dxa"/>
            <w:hideMark/>
          </w:tcPr>
          <w:p w14:paraId="5C99F564" w14:textId="77777777" w:rsidR="00F844B4" w:rsidRPr="000D1985" w:rsidRDefault="00F844B4" w:rsidP="00AF1596">
            <w:pPr>
              <w:pStyle w:val="ARtabletext"/>
            </w:pPr>
            <w:r w:rsidRPr="000D1985">
              <w:t>$440,000–$459,999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1967D97E" w14:textId="77777777" w:rsidR="00F844B4" w:rsidRPr="000D1985" w:rsidRDefault="00F844B4" w:rsidP="00AF1596">
            <w:pPr>
              <w:pStyle w:val="ARtabletextright"/>
            </w:pPr>
            <w:r w:rsidRPr="000D1985">
              <w:t>4</w:t>
            </w:r>
          </w:p>
        </w:tc>
        <w:tc>
          <w:tcPr>
            <w:tcW w:w="1888" w:type="dxa"/>
            <w:hideMark/>
          </w:tcPr>
          <w:p w14:paraId="400F7A49"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2CD30F3F" w14:textId="77777777" w:rsidR="00F844B4" w:rsidRPr="000D1985" w:rsidRDefault="00F844B4" w:rsidP="00AF1596">
            <w:pPr>
              <w:pStyle w:val="ARtabletextright"/>
            </w:pPr>
            <w:r w:rsidRPr="000D1985">
              <w:t>0</w:t>
            </w:r>
          </w:p>
        </w:tc>
      </w:tr>
      <w:tr w:rsidR="006D70CE" w:rsidRPr="000D1985" w14:paraId="6A5E9C17" w14:textId="77777777" w:rsidTr="000F6AD6">
        <w:trPr>
          <w:trHeight w:val="300"/>
        </w:trPr>
        <w:tc>
          <w:tcPr>
            <w:tcW w:w="3969" w:type="dxa"/>
            <w:hideMark/>
          </w:tcPr>
          <w:p w14:paraId="76075A3D" w14:textId="77777777" w:rsidR="00F844B4" w:rsidRPr="000D1985" w:rsidRDefault="00F844B4" w:rsidP="00AF1596">
            <w:pPr>
              <w:pStyle w:val="ARtabletext"/>
            </w:pPr>
            <w:r w:rsidRPr="000D1985">
              <w:t>$460,000–$499,999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131DD5EA" w14:textId="77777777" w:rsidR="00F844B4" w:rsidRPr="000D1985" w:rsidRDefault="00F844B4" w:rsidP="00AF1596">
            <w:pPr>
              <w:pStyle w:val="ARtabletextright"/>
            </w:pPr>
            <w:r w:rsidRPr="000D1985">
              <w:t>0</w:t>
            </w:r>
          </w:p>
        </w:tc>
        <w:tc>
          <w:tcPr>
            <w:tcW w:w="1888" w:type="dxa"/>
            <w:hideMark/>
          </w:tcPr>
          <w:p w14:paraId="7AA4404E"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0A43E96C" w14:textId="5DF56C18" w:rsidR="00F844B4" w:rsidRPr="000D1985" w:rsidRDefault="0066616E" w:rsidP="00AF1596">
            <w:pPr>
              <w:pStyle w:val="ARtabletextright"/>
            </w:pPr>
            <w:r>
              <w:t>0</w:t>
            </w:r>
          </w:p>
        </w:tc>
      </w:tr>
      <w:tr w:rsidR="006D70CE" w:rsidRPr="000D1985" w14:paraId="22E4570D" w14:textId="77777777" w:rsidTr="000F6AD6">
        <w:trPr>
          <w:trHeight w:val="300"/>
        </w:trPr>
        <w:tc>
          <w:tcPr>
            <w:tcW w:w="3969" w:type="dxa"/>
            <w:hideMark/>
          </w:tcPr>
          <w:p w14:paraId="4A96FF9D" w14:textId="77777777" w:rsidR="00F844B4" w:rsidRPr="000D1985" w:rsidRDefault="00F844B4" w:rsidP="00AF1596">
            <w:pPr>
              <w:pStyle w:val="ARtabletext"/>
            </w:pPr>
            <w:r w:rsidRPr="000D1985">
              <w:t>$500,000–$559,999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1DD8FB09" w14:textId="77777777" w:rsidR="00F844B4" w:rsidRPr="000D1985" w:rsidRDefault="00F844B4" w:rsidP="00AF1596">
            <w:pPr>
              <w:pStyle w:val="ARtabletextright"/>
            </w:pPr>
            <w:r w:rsidRPr="000D1985">
              <w:t>1</w:t>
            </w:r>
          </w:p>
        </w:tc>
        <w:tc>
          <w:tcPr>
            <w:tcW w:w="1888" w:type="dxa"/>
            <w:hideMark/>
          </w:tcPr>
          <w:p w14:paraId="2823494F"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6CC028A6" w14:textId="77777777" w:rsidR="00F844B4" w:rsidRPr="000D1985" w:rsidRDefault="00F844B4" w:rsidP="00AF1596">
            <w:pPr>
              <w:pStyle w:val="ARtabletextright"/>
            </w:pPr>
            <w:r w:rsidRPr="000D1985">
              <w:t>0</w:t>
            </w:r>
          </w:p>
        </w:tc>
      </w:tr>
      <w:tr w:rsidR="006D70CE" w:rsidRPr="000D1985" w14:paraId="1A1B0266" w14:textId="77777777" w:rsidTr="000F6AD6">
        <w:trPr>
          <w:trHeight w:val="300"/>
        </w:trPr>
        <w:tc>
          <w:tcPr>
            <w:tcW w:w="3969" w:type="dxa"/>
            <w:hideMark/>
          </w:tcPr>
          <w:p w14:paraId="2CEC532F" w14:textId="1E845237" w:rsidR="00F844B4" w:rsidRPr="000D1985" w:rsidRDefault="00F844B4" w:rsidP="00AF1596">
            <w:pPr>
              <w:pStyle w:val="ARtabletext"/>
            </w:pPr>
            <w:r w:rsidRPr="000D1985">
              <w:t>$560,000</w:t>
            </w:r>
            <w:r w:rsidR="005C1105">
              <w:t>–</w:t>
            </w:r>
            <w:r w:rsidRPr="000D1985">
              <w:t>$579,999</w:t>
            </w:r>
          </w:p>
        </w:tc>
        <w:tc>
          <w:tcPr>
            <w:cnfStyle w:val="000001000000" w:firstRow="0" w:lastRow="0" w:firstColumn="0" w:lastColumn="0" w:oddVBand="0" w:evenVBand="1" w:oddHBand="0" w:evenHBand="0" w:firstRowFirstColumn="0" w:firstRowLastColumn="0" w:lastRowFirstColumn="0" w:lastRowLastColumn="0"/>
            <w:tcW w:w="1887" w:type="dxa"/>
            <w:hideMark/>
          </w:tcPr>
          <w:p w14:paraId="013FF42A" w14:textId="77777777" w:rsidR="00F844B4" w:rsidRPr="000D1985" w:rsidRDefault="00F844B4" w:rsidP="00AF1596">
            <w:pPr>
              <w:pStyle w:val="ARtabletextright"/>
            </w:pPr>
            <w:r w:rsidRPr="000D1985">
              <w:t>1</w:t>
            </w:r>
          </w:p>
        </w:tc>
        <w:tc>
          <w:tcPr>
            <w:tcW w:w="1888" w:type="dxa"/>
            <w:hideMark/>
          </w:tcPr>
          <w:p w14:paraId="0D86AAAE"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024E8A44" w14:textId="77777777" w:rsidR="00F844B4" w:rsidRPr="000D1985" w:rsidRDefault="00F844B4" w:rsidP="00AF1596">
            <w:pPr>
              <w:pStyle w:val="ARtabletextright"/>
            </w:pPr>
            <w:r w:rsidRPr="000D1985">
              <w:t>0</w:t>
            </w:r>
          </w:p>
        </w:tc>
      </w:tr>
      <w:tr w:rsidR="006D70CE" w:rsidRPr="000D1985" w14:paraId="6E867106" w14:textId="77777777" w:rsidTr="000F6AD6">
        <w:trPr>
          <w:trHeight w:val="290"/>
        </w:trPr>
        <w:tc>
          <w:tcPr>
            <w:tcW w:w="3969" w:type="dxa"/>
            <w:hideMark/>
          </w:tcPr>
          <w:p w14:paraId="1937BAEB" w14:textId="666375D5" w:rsidR="00F844B4" w:rsidRPr="000D1985" w:rsidRDefault="00F844B4" w:rsidP="00AF1596">
            <w:pPr>
              <w:pStyle w:val="ARtabletext"/>
            </w:pPr>
            <w:r w:rsidRPr="000D1985">
              <w:t>$600,000</w:t>
            </w:r>
            <w:r w:rsidR="005C1105">
              <w:t>–</w:t>
            </w:r>
            <w:r w:rsidRPr="000D1985">
              <w:t>$620,000</w:t>
            </w:r>
          </w:p>
        </w:tc>
        <w:tc>
          <w:tcPr>
            <w:cnfStyle w:val="000001000000" w:firstRow="0" w:lastRow="0" w:firstColumn="0" w:lastColumn="0" w:oddVBand="0" w:evenVBand="1" w:oddHBand="0" w:evenHBand="0" w:firstRowFirstColumn="0" w:firstRowLastColumn="0" w:lastRowFirstColumn="0" w:lastRowLastColumn="0"/>
            <w:tcW w:w="1887" w:type="dxa"/>
            <w:hideMark/>
          </w:tcPr>
          <w:p w14:paraId="0A0A9085" w14:textId="77777777" w:rsidR="00F844B4" w:rsidRPr="000D1985" w:rsidRDefault="00F844B4" w:rsidP="00AF1596">
            <w:pPr>
              <w:pStyle w:val="ARtabletextright"/>
            </w:pPr>
            <w:r w:rsidRPr="000D1985">
              <w:t>1</w:t>
            </w:r>
          </w:p>
        </w:tc>
        <w:tc>
          <w:tcPr>
            <w:tcW w:w="1888" w:type="dxa"/>
            <w:hideMark/>
          </w:tcPr>
          <w:p w14:paraId="5256F08E" w14:textId="77777777" w:rsidR="00F844B4" w:rsidRPr="000D1985" w:rsidRDefault="00F844B4" w:rsidP="00AF1596">
            <w:pPr>
              <w:pStyle w:val="ARtabletextright"/>
              <w:cnfStyle w:val="000000000000" w:firstRow="0" w:lastRow="0" w:firstColumn="0" w:lastColumn="0" w:oddVBand="0" w:evenVBand="0" w:oddHBand="0" w:evenHBand="0" w:firstRowFirstColumn="0" w:firstRowLastColumn="0" w:lastRowFirstColumn="0" w:lastRowLastColumn="0"/>
            </w:pPr>
            <w:r w:rsidRPr="000D1985">
              <w:t>0</w:t>
            </w:r>
          </w:p>
        </w:tc>
        <w:tc>
          <w:tcPr>
            <w:cnfStyle w:val="000001000000" w:firstRow="0" w:lastRow="0" w:firstColumn="0" w:lastColumn="0" w:oddVBand="0" w:evenVBand="1" w:oddHBand="0" w:evenHBand="0" w:firstRowFirstColumn="0" w:firstRowLastColumn="0" w:lastRowFirstColumn="0" w:lastRowLastColumn="0"/>
            <w:tcW w:w="1888" w:type="dxa"/>
            <w:hideMark/>
          </w:tcPr>
          <w:p w14:paraId="6C575C8D" w14:textId="77777777" w:rsidR="00F844B4" w:rsidRPr="000D1985" w:rsidRDefault="00F844B4" w:rsidP="00AF1596">
            <w:pPr>
              <w:pStyle w:val="ARtabletextright"/>
            </w:pPr>
            <w:r w:rsidRPr="000D1985">
              <w:t>0</w:t>
            </w:r>
          </w:p>
        </w:tc>
      </w:tr>
      <w:tr w:rsidR="006D70CE" w:rsidRPr="000D1985" w14:paraId="20C63194" w14:textId="77777777" w:rsidTr="000F6AD6">
        <w:trPr>
          <w:cnfStyle w:val="010000000000" w:firstRow="0" w:lastRow="1" w:firstColumn="0" w:lastColumn="0" w:oddVBand="0" w:evenVBand="0" w:oddHBand="0" w:evenHBand="0" w:firstRowFirstColumn="0" w:firstRowLastColumn="0" w:lastRowFirstColumn="0" w:lastRowLastColumn="0"/>
          <w:trHeight w:val="290"/>
        </w:trPr>
        <w:tc>
          <w:tcPr>
            <w:tcW w:w="3969" w:type="dxa"/>
            <w:hideMark/>
          </w:tcPr>
          <w:p w14:paraId="36AAF149" w14:textId="77777777" w:rsidR="00F844B4" w:rsidRPr="000D1985" w:rsidRDefault="00F844B4" w:rsidP="00AF1596">
            <w:pPr>
              <w:pStyle w:val="ARtabletextbold"/>
            </w:pPr>
            <w:r w:rsidRPr="000D1985">
              <w:t>Total</w:t>
            </w:r>
          </w:p>
        </w:tc>
        <w:tc>
          <w:tcPr>
            <w:cnfStyle w:val="000001000000" w:firstRow="0" w:lastRow="0" w:firstColumn="0" w:lastColumn="0" w:oddVBand="0" w:evenVBand="1" w:oddHBand="0" w:evenHBand="0" w:firstRowFirstColumn="0" w:firstRowLastColumn="0" w:lastRowFirstColumn="0" w:lastRowLastColumn="0"/>
            <w:tcW w:w="1887" w:type="dxa"/>
            <w:hideMark/>
          </w:tcPr>
          <w:p w14:paraId="56F74BF8" w14:textId="77777777" w:rsidR="00F844B4" w:rsidRPr="000D1985" w:rsidRDefault="00F844B4" w:rsidP="00AF1596">
            <w:pPr>
              <w:pStyle w:val="ARtabletextrightbold"/>
            </w:pPr>
            <w:r w:rsidRPr="000D1985">
              <w:t>186</w:t>
            </w:r>
          </w:p>
        </w:tc>
        <w:tc>
          <w:tcPr>
            <w:tcW w:w="1888" w:type="dxa"/>
            <w:hideMark/>
          </w:tcPr>
          <w:p w14:paraId="682A49C0" w14:textId="77777777" w:rsidR="00F844B4" w:rsidRPr="000D1985" w:rsidRDefault="00F844B4" w:rsidP="00AF1596">
            <w:pPr>
              <w:pStyle w:val="ARtabletextrightbold"/>
              <w:cnfStyle w:val="010000000000" w:firstRow="0" w:lastRow="1" w:firstColumn="0" w:lastColumn="0" w:oddVBand="0" w:evenVBand="0" w:oddHBand="0" w:evenHBand="0" w:firstRowFirstColumn="0" w:firstRowLastColumn="0" w:lastRowFirstColumn="0" w:lastRowLastColumn="0"/>
            </w:pPr>
            <w:r w:rsidRPr="000D1985">
              <w:t>23</w:t>
            </w:r>
          </w:p>
        </w:tc>
        <w:tc>
          <w:tcPr>
            <w:cnfStyle w:val="000001000000" w:firstRow="0" w:lastRow="0" w:firstColumn="0" w:lastColumn="0" w:oddVBand="0" w:evenVBand="1" w:oddHBand="0" w:evenHBand="0" w:firstRowFirstColumn="0" w:firstRowLastColumn="0" w:lastRowFirstColumn="0" w:lastRowLastColumn="0"/>
            <w:tcW w:w="1888" w:type="dxa"/>
            <w:hideMark/>
          </w:tcPr>
          <w:p w14:paraId="395C30BA" w14:textId="77777777" w:rsidR="00F844B4" w:rsidRPr="000D1985" w:rsidRDefault="00F844B4" w:rsidP="00AF1596">
            <w:pPr>
              <w:pStyle w:val="ARtabletextrightbold"/>
            </w:pPr>
            <w:r w:rsidRPr="000D1985">
              <w:t>0</w:t>
            </w:r>
          </w:p>
        </w:tc>
      </w:tr>
    </w:tbl>
    <w:p w14:paraId="3F6F38E7" w14:textId="77777777" w:rsidR="00F844B4" w:rsidRPr="00DC18C7" w:rsidRDefault="00F844B4">
      <w:pPr>
        <w:pStyle w:val="Heading3"/>
      </w:pPr>
      <w:r w:rsidRPr="00DC18C7">
        <w:t>Workforce data for the department’s portfolio entities</w:t>
      </w:r>
    </w:p>
    <w:p w14:paraId="28E6CF62" w14:textId="7EC55DF5" w:rsidR="00F844B4" w:rsidRPr="00DC18C7" w:rsidRDefault="00F844B4">
      <w:pPr>
        <w:pStyle w:val="ARbody"/>
      </w:pPr>
      <w:r w:rsidRPr="00DC18C7">
        <w:t xml:space="preserve">The department </w:t>
      </w:r>
      <w:r>
        <w:t>includes</w:t>
      </w:r>
      <w:r w:rsidRPr="00DC18C7">
        <w:t xml:space="preserve"> the following entities that employ public service employees independently of the department’s Secretary:</w:t>
      </w:r>
    </w:p>
    <w:p w14:paraId="39AEB7CC" w14:textId="77777777" w:rsidR="00F844B4" w:rsidRPr="00F13A9E" w:rsidRDefault="00F844B4" w:rsidP="00F375A6">
      <w:pPr>
        <w:pStyle w:val="ARbullet1"/>
        <w:numPr>
          <w:ilvl w:val="0"/>
          <w:numId w:val="22"/>
        </w:numPr>
      </w:pPr>
      <w:r w:rsidRPr="00F13A9E">
        <w:t>Commission for Children and Young People</w:t>
      </w:r>
    </w:p>
    <w:p w14:paraId="7ECDD4BD" w14:textId="77777777" w:rsidR="00F844B4" w:rsidRPr="00F13A9E" w:rsidRDefault="00F844B4" w:rsidP="00F375A6">
      <w:pPr>
        <w:pStyle w:val="ARbullet1"/>
        <w:numPr>
          <w:ilvl w:val="0"/>
          <w:numId w:val="22"/>
        </w:numPr>
      </w:pPr>
      <w:r w:rsidRPr="00F13A9E">
        <w:t>Queen Victoria Women’s Centre Trust</w:t>
      </w:r>
    </w:p>
    <w:p w14:paraId="39674960" w14:textId="77777777" w:rsidR="00F844B4" w:rsidRPr="00F13A9E" w:rsidRDefault="00F844B4" w:rsidP="00F375A6">
      <w:pPr>
        <w:pStyle w:val="ARbullet1"/>
        <w:numPr>
          <w:ilvl w:val="0"/>
          <w:numId w:val="22"/>
        </w:numPr>
      </w:pPr>
      <w:r w:rsidRPr="00F13A9E">
        <w:t>Respect Victoria</w:t>
      </w:r>
    </w:p>
    <w:p w14:paraId="4A76C54F" w14:textId="77777777" w:rsidR="00F844B4" w:rsidRPr="00F13A9E" w:rsidRDefault="00F844B4" w:rsidP="00F375A6">
      <w:pPr>
        <w:pStyle w:val="ARbullet1"/>
        <w:numPr>
          <w:ilvl w:val="0"/>
          <w:numId w:val="22"/>
        </w:numPr>
      </w:pPr>
      <w:r w:rsidRPr="00F13A9E">
        <w:t>Shrine of Remembrance Trustees</w:t>
      </w:r>
    </w:p>
    <w:p w14:paraId="497C54F2" w14:textId="77777777" w:rsidR="00F844B4" w:rsidRPr="00F13A9E" w:rsidRDefault="00F844B4" w:rsidP="00F375A6">
      <w:pPr>
        <w:pStyle w:val="ARbullet1"/>
        <w:numPr>
          <w:ilvl w:val="0"/>
          <w:numId w:val="22"/>
        </w:numPr>
      </w:pPr>
      <w:r w:rsidRPr="00F13A9E">
        <w:t>Victorian Disability Worker Commission.</w:t>
      </w:r>
    </w:p>
    <w:p w14:paraId="41D39B4F" w14:textId="74B28A2B" w:rsidR="00F844B4" w:rsidRPr="00F13A9E" w:rsidRDefault="00F844B4">
      <w:pPr>
        <w:pStyle w:val="ARbodyafterbullets"/>
        <w:rPr>
          <w:color w:val="000000" w:themeColor="text1"/>
        </w:rPr>
      </w:pPr>
      <w:r w:rsidRPr="00F13A9E">
        <w:t>These portfolio entities produce their own annual report</w:t>
      </w:r>
      <w:r>
        <w:t>s. T</w:t>
      </w:r>
      <w:r w:rsidRPr="00F13A9E">
        <w:t>herefore</w:t>
      </w:r>
      <w:r>
        <w:t>,</w:t>
      </w:r>
      <w:r w:rsidRPr="00F13A9E">
        <w:t xml:space="preserve"> comparative workforce data for these entities are included in their annual reports. The department does, however, disclose the number of executives for these portfolio entities in the </w:t>
      </w:r>
      <w:r>
        <w:t>‘</w:t>
      </w:r>
      <w:r w:rsidRPr="00F13A9E">
        <w:t>Executive data</w:t>
      </w:r>
      <w:r>
        <w:t>’</w:t>
      </w:r>
      <w:r w:rsidRPr="00F13A9E">
        <w:t xml:space="preserve"> section of this report</w:t>
      </w:r>
      <w:r w:rsidRPr="00F13A9E">
        <w:rPr>
          <w:color w:val="000000" w:themeColor="text1"/>
        </w:rPr>
        <w:t>.</w:t>
      </w:r>
    </w:p>
    <w:p w14:paraId="6DFA05E8" w14:textId="77777777" w:rsidR="00F844B4" w:rsidRDefault="00F844B4">
      <w:pPr>
        <w:pStyle w:val="ARbodyafterbullets"/>
        <w:sectPr w:rsidR="00F844B4" w:rsidSect="007F43B1">
          <w:endnotePr>
            <w:numFmt w:val="decimal"/>
          </w:endnotePr>
          <w:pgSz w:w="11900" w:h="16840" w:code="9"/>
          <w:pgMar w:top="1588" w:right="1134" w:bottom="851" w:left="1134" w:header="510" w:footer="340" w:gutter="0"/>
          <w:cols w:space="448"/>
          <w:docGrid w:linePitch="299"/>
        </w:sectPr>
      </w:pPr>
    </w:p>
    <w:p w14:paraId="2BC177D0" w14:textId="77777777" w:rsidR="00F844B4" w:rsidRPr="004C0CA0" w:rsidRDefault="00F844B4" w:rsidP="008C17D9">
      <w:pPr>
        <w:pStyle w:val="Heading2"/>
        <w:spacing w:before="0"/>
        <w:rPr>
          <w:rFonts w:cs="Arial"/>
          <w:sz w:val="20"/>
          <w:szCs w:val="20"/>
        </w:rPr>
      </w:pPr>
      <w:bookmarkStart w:id="135" w:name="_Executive_data"/>
      <w:bookmarkStart w:id="136" w:name="_Toc114491200"/>
      <w:bookmarkStart w:id="137" w:name="_Toc212039533"/>
      <w:bookmarkEnd w:id="135"/>
      <w:r w:rsidRPr="004C0CA0">
        <w:lastRenderedPageBreak/>
        <w:t>Executive data</w:t>
      </w:r>
      <w:bookmarkEnd w:id="136"/>
      <w:bookmarkEnd w:id="137"/>
    </w:p>
    <w:p w14:paraId="381E3B02" w14:textId="77777777" w:rsidR="00F844B4" w:rsidRPr="004C0CA0" w:rsidRDefault="00F844B4">
      <w:pPr>
        <w:pStyle w:val="ARbody"/>
      </w:pPr>
      <w:r w:rsidRPr="004C0CA0">
        <w:t>The following tables disclose the Senior Executive Service (SES) numbers for the department and its portfolio entities for 30 June 2025.</w:t>
      </w:r>
    </w:p>
    <w:p w14:paraId="7ACA8A66" w14:textId="091CE2DC" w:rsidR="00F844B4" w:rsidRPr="004C0CA0" w:rsidRDefault="00F844B4" w:rsidP="00F375A6">
      <w:pPr>
        <w:pStyle w:val="ARbullet1"/>
        <w:numPr>
          <w:ilvl w:val="0"/>
          <w:numId w:val="22"/>
        </w:numPr>
      </w:pPr>
      <w:r w:rsidRPr="004C0CA0">
        <w:t xml:space="preserve">For the department, a member of the SES is defined as a person employed as an executive under </w:t>
      </w:r>
      <w:r>
        <w:t>p</w:t>
      </w:r>
      <w:r w:rsidRPr="004C0CA0">
        <w:t xml:space="preserve">art 3 of the </w:t>
      </w:r>
      <w:bookmarkStart w:id="138" w:name="PAA91"/>
      <w:r w:rsidRPr="000763F6">
        <w:rPr>
          <w:rStyle w:val="Emphasis"/>
        </w:rPr>
        <w:t>Public Administration Act 2004</w:t>
      </w:r>
      <w:bookmarkEnd w:id="138"/>
      <w:r w:rsidRPr="000763F6">
        <w:rPr>
          <w:rStyle w:val="Emphasis"/>
        </w:rPr>
        <w:t xml:space="preserve"> (PAA)</w:t>
      </w:r>
      <w:r w:rsidRPr="004C0CA0">
        <w:t>.</w:t>
      </w:r>
    </w:p>
    <w:p w14:paraId="472C609E" w14:textId="39C25B05" w:rsidR="00F844B4" w:rsidRPr="004C0CA0" w:rsidRDefault="00F844B4" w:rsidP="00F375A6">
      <w:pPr>
        <w:pStyle w:val="ARbullet1"/>
        <w:numPr>
          <w:ilvl w:val="0"/>
          <w:numId w:val="22"/>
        </w:numPr>
      </w:pPr>
      <w:r w:rsidRPr="004C0CA0">
        <w:t xml:space="preserve">For a public body, an executive is defined under </w:t>
      </w:r>
      <w:r>
        <w:t>p</w:t>
      </w:r>
      <w:r w:rsidRPr="004C0CA0">
        <w:t xml:space="preserve">art 3 of the PAA or a person to whom the Victorian Government’s </w:t>
      </w:r>
      <w:r w:rsidRPr="000763F6">
        <w:rPr>
          <w:rStyle w:val="Emphasis"/>
        </w:rPr>
        <w:t xml:space="preserve">Public Entity Executive Remuneration Policy </w:t>
      </w:r>
      <w:r w:rsidRPr="004C0CA0">
        <w:t>applies.</w:t>
      </w:r>
    </w:p>
    <w:p w14:paraId="0C836717" w14:textId="77777777" w:rsidR="00F844B4" w:rsidRPr="004C0CA0" w:rsidRDefault="00F844B4" w:rsidP="00F375A6">
      <w:pPr>
        <w:pStyle w:val="ARbullet1"/>
        <w:numPr>
          <w:ilvl w:val="0"/>
          <w:numId w:val="22"/>
        </w:numPr>
      </w:pPr>
      <w:r w:rsidRPr="004C0CA0">
        <w:t>All figures reflect employment levels at the last full pay period in June of the current and corresponding previous reporting year.</w:t>
      </w:r>
    </w:p>
    <w:p w14:paraId="2816A118" w14:textId="77777777" w:rsidR="00F844B4" w:rsidRPr="004C0CA0" w:rsidRDefault="00F844B4" w:rsidP="00F375A6">
      <w:pPr>
        <w:pStyle w:val="ARbullet1"/>
        <w:numPr>
          <w:ilvl w:val="0"/>
          <w:numId w:val="22"/>
        </w:numPr>
      </w:pPr>
      <w:r w:rsidRPr="004C0CA0">
        <w:t>The definition of an SES does not include a statutory office holder or an Accountable Officer.</w:t>
      </w:r>
    </w:p>
    <w:p w14:paraId="072ED0FE" w14:textId="77777777" w:rsidR="00F844B4" w:rsidRPr="004C0CA0" w:rsidRDefault="00F844B4">
      <w:pPr>
        <w:pStyle w:val="ARbodyafterbullets"/>
        <w:rPr>
          <w:lang w:eastAsia="en-AU"/>
        </w:rPr>
      </w:pPr>
      <w:r w:rsidRPr="004C0CA0">
        <w:rPr>
          <w:lang w:eastAsia="en-AU"/>
        </w:rPr>
        <w:t xml:space="preserve">The following </w:t>
      </w:r>
      <w:r w:rsidRPr="004C0CA0">
        <w:t>table</w:t>
      </w:r>
      <w:r w:rsidRPr="004C0CA0">
        <w:rPr>
          <w:lang w:eastAsia="en-AU"/>
        </w:rPr>
        <w:t xml:space="preserve"> discloses the variations between the currenting reporting period (2025) and previous reporting period (2024).</w:t>
      </w:r>
    </w:p>
    <w:p w14:paraId="2A144763" w14:textId="77777777" w:rsidR="00F844B4" w:rsidRPr="004C0CA0" w:rsidRDefault="00F844B4">
      <w:pPr>
        <w:pStyle w:val="ARtablecaption"/>
      </w:pPr>
      <w:r w:rsidRPr="004C0CA0">
        <w:t>Table 3: Number of SES for the department broken down by gender</w:t>
      </w:r>
    </w:p>
    <w:tbl>
      <w:tblPr>
        <w:tblStyle w:val="TableGrid"/>
        <w:tblW w:w="5000" w:type="pct"/>
        <w:tblLook w:val="01E0" w:firstRow="1" w:lastRow="1" w:firstColumn="1" w:lastColumn="1" w:noHBand="0" w:noVBand="0"/>
      </w:tblPr>
      <w:tblGrid>
        <w:gridCol w:w="1231"/>
        <w:gridCol w:w="1034"/>
        <w:gridCol w:w="1034"/>
        <w:gridCol w:w="1033"/>
        <w:gridCol w:w="1033"/>
        <w:gridCol w:w="1032"/>
        <w:gridCol w:w="1033"/>
        <w:gridCol w:w="1101"/>
        <w:gridCol w:w="1101"/>
      </w:tblGrid>
      <w:tr w:rsidR="00F33C72" w:rsidRPr="00F42A30" w14:paraId="7A411C40" w14:textId="77777777" w:rsidTr="002774B2">
        <w:trPr>
          <w:cnfStyle w:val="100000000000" w:firstRow="1" w:lastRow="0" w:firstColumn="0" w:lastColumn="0" w:oddVBand="0" w:evenVBand="0" w:oddHBand="0" w:evenHBand="0" w:firstRowFirstColumn="0" w:firstRowLastColumn="0" w:lastRowFirstColumn="0" w:lastRowLastColumn="0"/>
          <w:trHeight w:val="300"/>
          <w:tblHeader/>
        </w:trPr>
        <w:tc>
          <w:tcPr>
            <w:tcW w:w="1231" w:type="dxa"/>
            <w:vMerge w:val="restart"/>
            <w:hideMark/>
          </w:tcPr>
          <w:p w14:paraId="670373C2" w14:textId="77777777" w:rsidR="00F844B4" w:rsidRPr="00F42A30" w:rsidRDefault="00F844B4" w:rsidP="000F6AD6">
            <w:pPr>
              <w:pStyle w:val="ARtablecolhead"/>
            </w:pPr>
            <w:r w:rsidRPr="00F42A30">
              <w:t>Class</w:t>
            </w:r>
          </w:p>
        </w:tc>
        <w:tc>
          <w:tcPr>
            <w:cnfStyle w:val="000001000000" w:firstRow="0" w:lastRow="0" w:firstColumn="0" w:lastColumn="0" w:oddVBand="0" w:evenVBand="1" w:oddHBand="0" w:evenHBand="0" w:firstRowFirstColumn="0" w:firstRowLastColumn="0" w:lastRowFirstColumn="0" w:lastRowLastColumn="0"/>
            <w:tcW w:w="2068" w:type="dxa"/>
            <w:gridSpan w:val="2"/>
            <w:tcBorders>
              <w:top w:val="nil"/>
              <w:bottom w:val="single" w:sz="4" w:space="0" w:color="000000" w:themeColor="text1"/>
            </w:tcBorders>
            <w:hideMark/>
          </w:tcPr>
          <w:p w14:paraId="0A7CCEAB" w14:textId="77777777" w:rsidR="00F844B4" w:rsidRPr="00F42A30" w:rsidRDefault="00F844B4" w:rsidP="000F6AD6">
            <w:pPr>
              <w:pStyle w:val="ARtablecolheadcentre"/>
            </w:pPr>
            <w:r w:rsidRPr="00F42A30">
              <w:t>Total</w:t>
            </w:r>
          </w:p>
        </w:tc>
        <w:tc>
          <w:tcPr>
            <w:tcW w:w="2066" w:type="dxa"/>
            <w:gridSpan w:val="2"/>
            <w:tcBorders>
              <w:top w:val="nil"/>
              <w:bottom w:val="single" w:sz="4" w:space="0" w:color="000000" w:themeColor="text1"/>
            </w:tcBorders>
            <w:hideMark/>
          </w:tcPr>
          <w:p w14:paraId="71112CE4" w14:textId="77777777" w:rsidR="00F844B4" w:rsidRPr="00F42A30" w:rsidRDefault="00F844B4" w:rsidP="000F6AD6">
            <w:pPr>
              <w:pStyle w:val="ARtablecolheadcentre"/>
              <w:cnfStyle w:val="100000000000" w:firstRow="1" w:lastRow="0" w:firstColumn="0" w:lastColumn="0" w:oddVBand="0" w:evenVBand="0" w:oddHBand="0" w:evenHBand="0" w:firstRowFirstColumn="0" w:firstRowLastColumn="0" w:lastRowFirstColumn="0" w:lastRowLastColumn="0"/>
            </w:pPr>
            <w:r w:rsidRPr="00F42A30">
              <w:t>Women</w:t>
            </w:r>
          </w:p>
        </w:tc>
        <w:tc>
          <w:tcPr>
            <w:cnfStyle w:val="000001000000" w:firstRow="0" w:lastRow="0" w:firstColumn="0" w:lastColumn="0" w:oddVBand="0" w:evenVBand="1" w:oddHBand="0" w:evenHBand="0" w:firstRowFirstColumn="0" w:firstRowLastColumn="0" w:lastRowFirstColumn="0" w:lastRowLastColumn="0"/>
            <w:tcW w:w="2065" w:type="dxa"/>
            <w:gridSpan w:val="2"/>
            <w:tcBorders>
              <w:top w:val="nil"/>
              <w:bottom w:val="single" w:sz="4" w:space="0" w:color="000000" w:themeColor="text1"/>
            </w:tcBorders>
            <w:hideMark/>
          </w:tcPr>
          <w:p w14:paraId="3AF41E90" w14:textId="77777777" w:rsidR="00F844B4" w:rsidRPr="00F42A30" w:rsidRDefault="00F844B4" w:rsidP="000F6AD6">
            <w:pPr>
              <w:pStyle w:val="ARtablecolheadcentre"/>
            </w:pPr>
            <w:r w:rsidRPr="00F42A30">
              <w:t>Men</w:t>
            </w:r>
          </w:p>
        </w:tc>
        <w:tc>
          <w:tcPr>
            <w:tcW w:w="2202" w:type="dxa"/>
            <w:gridSpan w:val="2"/>
            <w:tcBorders>
              <w:top w:val="nil"/>
              <w:bottom w:val="single" w:sz="4" w:space="0" w:color="000000" w:themeColor="text1"/>
            </w:tcBorders>
            <w:hideMark/>
          </w:tcPr>
          <w:p w14:paraId="42455E58" w14:textId="77777777" w:rsidR="00F844B4" w:rsidRPr="00F42A30" w:rsidRDefault="00F844B4" w:rsidP="000F6AD6">
            <w:pPr>
              <w:pStyle w:val="ARtablecolheadcentre"/>
              <w:cnfStyle w:val="100000000000" w:firstRow="1" w:lastRow="0" w:firstColumn="0" w:lastColumn="0" w:oddVBand="0" w:evenVBand="0" w:oddHBand="0" w:evenHBand="0" w:firstRowFirstColumn="0" w:firstRowLastColumn="0" w:lastRowFirstColumn="0" w:lastRowLastColumn="0"/>
            </w:pPr>
            <w:r w:rsidRPr="00F42A30">
              <w:t>Self-described</w:t>
            </w:r>
          </w:p>
        </w:tc>
      </w:tr>
      <w:tr w:rsidR="008B2EBE" w:rsidRPr="00F42A30" w14:paraId="5EAC8AEF" w14:textId="77777777" w:rsidTr="002774B2">
        <w:trPr>
          <w:cnfStyle w:val="100000000000" w:firstRow="1" w:lastRow="0" w:firstColumn="0" w:lastColumn="0" w:oddVBand="0" w:evenVBand="0" w:oddHBand="0" w:evenHBand="0" w:firstRowFirstColumn="0" w:firstRowLastColumn="0" w:lastRowFirstColumn="0" w:lastRowLastColumn="0"/>
          <w:trHeight w:val="300"/>
          <w:tblHeader/>
        </w:trPr>
        <w:tc>
          <w:tcPr>
            <w:tcW w:w="1231" w:type="dxa"/>
            <w:vMerge/>
            <w:hideMark/>
          </w:tcPr>
          <w:p w14:paraId="2EE5ABA0" w14:textId="77777777" w:rsidR="00F844B4" w:rsidRPr="00F42A30" w:rsidRDefault="00F844B4" w:rsidP="000F6AD6">
            <w:pPr>
              <w:pStyle w:val="ARtablecolheadright"/>
            </w:pPr>
          </w:p>
        </w:tc>
        <w:tc>
          <w:tcPr>
            <w:cnfStyle w:val="000001000000" w:firstRow="0" w:lastRow="0" w:firstColumn="0" w:lastColumn="0" w:oddVBand="0" w:evenVBand="1" w:oddHBand="0" w:evenHBand="0" w:firstRowFirstColumn="0" w:firstRowLastColumn="0" w:lastRowFirstColumn="0" w:lastRowLastColumn="0"/>
            <w:tcW w:w="1034" w:type="dxa"/>
            <w:tcBorders>
              <w:top w:val="single" w:sz="4" w:space="0" w:color="000000" w:themeColor="text1"/>
            </w:tcBorders>
            <w:hideMark/>
          </w:tcPr>
          <w:p w14:paraId="3BF5F403" w14:textId="77777777" w:rsidR="00F844B4" w:rsidRPr="00F42A30" w:rsidRDefault="00F844B4" w:rsidP="000F6AD6">
            <w:pPr>
              <w:pStyle w:val="ARtablecolheadright"/>
            </w:pPr>
            <w:r w:rsidRPr="00F42A30">
              <w:t>No.</w:t>
            </w:r>
          </w:p>
        </w:tc>
        <w:tc>
          <w:tcPr>
            <w:tcW w:w="1034" w:type="dxa"/>
            <w:tcBorders>
              <w:top w:val="single" w:sz="4" w:space="0" w:color="000000" w:themeColor="text1"/>
            </w:tcBorders>
            <w:shd w:val="clear" w:color="auto" w:fill="E7E6E6" w:themeFill="background2"/>
            <w:hideMark/>
          </w:tcPr>
          <w:p w14:paraId="659EFD97" w14:textId="77777777" w:rsidR="00F844B4" w:rsidRPr="00F42A30" w:rsidRDefault="00F844B4" w:rsidP="000F6AD6">
            <w:pPr>
              <w:pStyle w:val="ARtablecolheadright"/>
              <w:cnfStyle w:val="100000000000" w:firstRow="1" w:lastRow="0" w:firstColumn="0" w:lastColumn="0" w:oddVBand="0" w:evenVBand="0" w:oddHBand="0" w:evenHBand="0" w:firstRowFirstColumn="0" w:firstRowLastColumn="0" w:lastRowFirstColumn="0" w:lastRowLastColumn="0"/>
            </w:pPr>
            <w:r w:rsidRPr="00F42A30">
              <w:t>Var.</w:t>
            </w:r>
          </w:p>
        </w:tc>
        <w:tc>
          <w:tcPr>
            <w:cnfStyle w:val="000001000000" w:firstRow="0" w:lastRow="0" w:firstColumn="0" w:lastColumn="0" w:oddVBand="0" w:evenVBand="1" w:oddHBand="0" w:evenHBand="0" w:firstRowFirstColumn="0" w:firstRowLastColumn="0" w:lastRowFirstColumn="0" w:lastRowLastColumn="0"/>
            <w:tcW w:w="1033" w:type="dxa"/>
            <w:tcBorders>
              <w:top w:val="single" w:sz="4" w:space="0" w:color="000000" w:themeColor="text1"/>
            </w:tcBorders>
            <w:shd w:val="clear" w:color="auto" w:fill="auto"/>
            <w:hideMark/>
          </w:tcPr>
          <w:p w14:paraId="1F737647" w14:textId="77777777" w:rsidR="00F844B4" w:rsidRPr="00F42A30" w:rsidRDefault="00F844B4" w:rsidP="000F6AD6">
            <w:pPr>
              <w:pStyle w:val="ARtablecolheadright"/>
            </w:pPr>
            <w:r w:rsidRPr="00F42A30">
              <w:t>No.</w:t>
            </w:r>
          </w:p>
        </w:tc>
        <w:tc>
          <w:tcPr>
            <w:tcW w:w="1033" w:type="dxa"/>
            <w:tcBorders>
              <w:top w:val="single" w:sz="4" w:space="0" w:color="000000" w:themeColor="text1"/>
            </w:tcBorders>
            <w:hideMark/>
          </w:tcPr>
          <w:p w14:paraId="2B8D5544" w14:textId="77777777" w:rsidR="00F844B4" w:rsidRPr="00F42A30" w:rsidRDefault="00F844B4" w:rsidP="000F6AD6">
            <w:pPr>
              <w:pStyle w:val="ARtablecolheadright"/>
              <w:cnfStyle w:val="100000000000" w:firstRow="1" w:lastRow="0" w:firstColumn="0" w:lastColumn="0" w:oddVBand="0" w:evenVBand="0" w:oddHBand="0" w:evenHBand="0" w:firstRowFirstColumn="0" w:firstRowLastColumn="0" w:lastRowFirstColumn="0" w:lastRowLastColumn="0"/>
            </w:pPr>
            <w:r w:rsidRPr="00F42A30">
              <w:t>Var.</w:t>
            </w:r>
          </w:p>
        </w:tc>
        <w:tc>
          <w:tcPr>
            <w:cnfStyle w:val="000001000000" w:firstRow="0" w:lastRow="0" w:firstColumn="0" w:lastColumn="0" w:oddVBand="0" w:evenVBand="1" w:oddHBand="0" w:evenHBand="0" w:firstRowFirstColumn="0" w:firstRowLastColumn="0" w:lastRowFirstColumn="0" w:lastRowLastColumn="0"/>
            <w:tcW w:w="1032" w:type="dxa"/>
            <w:tcBorders>
              <w:top w:val="single" w:sz="4" w:space="0" w:color="000000" w:themeColor="text1"/>
            </w:tcBorders>
            <w:hideMark/>
          </w:tcPr>
          <w:p w14:paraId="680CD284" w14:textId="77777777" w:rsidR="00F844B4" w:rsidRPr="00F42A30" w:rsidRDefault="00F844B4" w:rsidP="000F6AD6">
            <w:pPr>
              <w:pStyle w:val="ARtablecolheadright"/>
            </w:pPr>
            <w:r w:rsidRPr="00F42A30">
              <w:t>No.</w:t>
            </w:r>
          </w:p>
        </w:tc>
        <w:tc>
          <w:tcPr>
            <w:tcW w:w="1033" w:type="dxa"/>
            <w:tcBorders>
              <w:top w:val="single" w:sz="4" w:space="0" w:color="000000" w:themeColor="text1"/>
            </w:tcBorders>
            <w:shd w:val="clear" w:color="auto" w:fill="E7E6E6" w:themeFill="background2"/>
            <w:hideMark/>
          </w:tcPr>
          <w:p w14:paraId="4EF4F05D" w14:textId="77777777" w:rsidR="00F844B4" w:rsidRPr="00F42A30" w:rsidRDefault="00F844B4" w:rsidP="000F6AD6">
            <w:pPr>
              <w:pStyle w:val="ARtablecolheadright"/>
              <w:cnfStyle w:val="100000000000" w:firstRow="1" w:lastRow="0" w:firstColumn="0" w:lastColumn="0" w:oddVBand="0" w:evenVBand="0" w:oddHBand="0" w:evenHBand="0" w:firstRowFirstColumn="0" w:firstRowLastColumn="0" w:lastRowFirstColumn="0" w:lastRowLastColumn="0"/>
            </w:pPr>
            <w:r w:rsidRPr="00F42A30">
              <w:t>Var.</w:t>
            </w:r>
          </w:p>
        </w:tc>
        <w:tc>
          <w:tcPr>
            <w:cnfStyle w:val="000001000000" w:firstRow="0" w:lastRow="0" w:firstColumn="0" w:lastColumn="0" w:oddVBand="0" w:evenVBand="1" w:oddHBand="0" w:evenHBand="0" w:firstRowFirstColumn="0" w:firstRowLastColumn="0" w:lastRowFirstColumn="0" w:lastRowLastColumn="0"/>
            <w:tcW w:w="1101" w:type="dxa"/>
            <w:tcBorders>
              <w:top w:val="single" w:sz="4" w:space="0" w:color="000000" w:themeColor="text1"/>
            </w:tcBorders>
            <w:shd w:val="clear" w:color="auto" w:fill="auto"/>
            <w:hideMark/>
          </w:tcPr>
          <w:p w14:paraId="25B5F488" w14:textId="77777777" w:rsidR="00F844B4" w:rsidRPr="00F42A30" w:rsidRDefault="00F844B4" w:rsidP="000F6AD6">
            <w:pPr>
              <w:pStyle w:val="ARtablecolheadright"/>
            </w:pPr>
            <w:r w:rsidRPr="00F42A30">
              <w:t>No.</w:t>
            </w:r>
          </w:p>
        </w:tc>
        <w:tc>
          <w:tcPr>
            <w:tcW w:w="1101" w:type="dxa"/>
            <w:tcBorders>
              <w:top w:val="single" w:sz="4" w:space="0" w:color="000000" w:themeColor="text1"/>
            </w:tcBorders>
            <w:hideMark/>
          </w:tcPr>
          <w:p w14:paraId="5072C997" w14:textId="77777777" w:rsidR="00F844B4" w:rsidRPr="00F42A30" w:rsidRDefault="00F844B4" w:rsidP="000F6AD6">
            <w:pPr>
              <w:pStyle w:val="ARtablecolheadright"/>
              <w:cnfStyle w:val="100000000000" w:firstRow="1" w:lastRow="0" w:firstColumn="0" w:lastColumn="0" w:oddVBand="0" w:evenVBand="0" w:oddHBand="0" w:evenHBand="0" w:firstRowFirstColumn="0" w:firstRowLastColumn="0" w:lastRowFirstColumn="0" w:lastRowLastColumn="0"/>
            </w:pPr>
            <w:r w:rsidRPr="00F42A30">
              <w:t>Var.</w:t>
            </w:r>
          </w:p>
        </w:tc>
      </w:tr>
      <w:tr w:rsidR="008B2EBE" w:rsidRPr="00F42A30" w14:paraId="3EC60AAC" w14:textId="77777777" w:rsidTr="002774B2">
        <w:trPr>
          <w:trHeight w:val="300"/>
        </w:trPr>
        <w:tc>
          <w:tcPr>
            <w:tcW w:w="1231" w:type="dxa"/>
            <w:hideMark/>
          </w:tcPr>
          <w:p w14:paraId="1C5ACDF1" w14:textId="77777777" w:rsidR="00F844B4" w:rsidRPr="00F42A30" w:rsidRDefault="00F844B4" w:rsidP="000F6AD6">
            <w:pPr>
              <w:pStyle w:val="ARtabletext"/>
            </w:pPr>
            <w:r w:rsidRPr="00F42A30">
              <w:t>SES-3</w:t>
            </w:r>
          </w:p>
        </w:tc>
        <w:tc>
          <w:tcPr>
            <w:cnfStyle w:val="000001000000" w:firstRow="0" w:lastRow="0" w:firstColumn="0" w:lastColumn="0" w:oddVBand="0" w:evenVBand="1" w:oddHBand="0" w:evenHBand="0" w:firstRowFirstColumn="0" w:firstRowLastColumn="0" w:lastRowFirstColumn="0" w:lastRowLastColumn="0"/>
            <w:tcW w:w="1034" w:type="dxa"/>
            <w:hideMark/>
          </w:tcPr>
          <w:p w14:paraId="629B453B" w14:textId="77777777" w:rsidR="00F844B4" w:rsidRPr="00F42A30" w:rsidRDefault="00F844B4" w:rsidP="000F6AD6">
            <w:pPr>
              <w:pStyle w:val="ARtabletextright"/>
            </w:pPr>
            <w:r w:rsidRPr="00F42A30">
              <w:t>9</w:t>
            </w:r>
          </w:p>
        </w:tc>
        <w:tc>
          <w:tcPr>
            <w:tcW w:w="1034" w:type="dxa"/>
            <w:shd w:val="clear" w:color="auto" w:fill="E7E6E6" w:themeFill="background2"/>
            <w:hideMark/>
          </w:tcPr>
          <w:p w14:paraId="79BBC87D" w14:textId="28C020A8" w:rsidR="00F844B4" w:rsidRPr="00F42A30" w:rsidRDefault="00430898" w:rsidP="000F6AD6">
            <w:pPr>
              <w:pStyle w:val="ARtabletextright"/>
              <w:cnfStyle w:val="000000000000" w:firstRow="0" w:lastRow="0" w:firstColumn="0" w:lastColumn="0" w:oddVBand="0" w:evenVBand="0" w:oddHBand="0" w:evenHBand="0" w:firstRowFirstColumn="0" w:firstRowLastColumn="0" w:lastRowFirstColumn="0" w:lastRowLastColumn="0"/>
            </w:pPr>
            <w:r>
              <w:t>−</w:t>
            </w:r>
            <w:r w:rsidR="00F844B4" w:rsidRPr="00F42A30">
              <w:t>1</w:t>
            </w:r>
          </w:p>
        </w:tc>
        <w:tc>
          <w:tcPr>
            <w:cnfStyle w:val="000001000000" w:firstRow="0" w:lastRow="0" w:firstColumn="0" w:lastColumn="0" w:oddVBand="0" w:evenVBand="1" w:oddHBand="0" w:evenHBand="0" w:firstRowFirstColumn="0" w:firstRowLastColumn="0" w:lastRowFirstColumn="0" w:lastRowLastColumn="0"/>
            <w:tcW w:w="1033" w:type="dxa"/>
            <w:shd w:val="clear" w:color="auto" w:fill="auto"/>
            <w:hideMark/>
          </w:tcPr>
          <w:p w14:paraId="34075E5E" w14:textId="77777777" w:rsidR="00F844B4" w:rsidRPr="00F42A30" w:rsidRDefault="00F844B4" w:rsidP="000F6AD6">
            <w:pPr>
              <w:pStyle w:val="ARtabletextright"/>
            </w:pPr>
            <w:r w:rsidRPr="00F42A30">
              <w:t>6</w:t>
            </w:r>
          </w:p>
        </w:tc>
        <w:tc>
          <w:tcPr>
            <w:tcW w:w="1033" w:type="dxa"/>
            <w:hideMark/>
          </w:tcPr>
          <w:p w14:paraId="19BC18D6" w14:textId="51B4FDB2" w:rsidR="00F844B4" w:rsidRPr="00F42A30" w:rsidRDefault="00430898" w:rsidP="000F6AD6">
            <w:pPr>
              <w:pStyle w:val="ARtabletextright"/>
              <w:cnfStyle w:val="000000000000" w:firstRow="0" w:lastRow="0" w:firstColumn="0" w:lastColumn="0" w:oddVBand="0" w:evenVBand="0" w:oddHBand="0" w:evenHBand="0" w:firstRowFirstColumn="0" w:firstRowLastColumn="0" w:lastRowFirstColumn="0" w:lastRowLastColumn="0"/>
            </w:pPr>
            <w:r>
              <w:t>−</w:t>
            </w:r>
            <w:r w:rsidR="00F844B4" w:rsidRPr="00F42A30">
              <w:t>1</w:t>
            </w:r>
          </w:p>
        </w:tc>
        <w:tc>
          <w:tcPr>
            <w:cnfStyle w:val="000001000000" w:firstRow="0" w:lastRow="0" w:firstColumn="0" w:lastColumn="0" w:oddVBand="0" w:evenVBand="1" w:oddHBand="0" w:evenHBand="0" w:firstRowFirstColumn="0" w:firstRowLastColumn="0" w:lastRowFirstColumn="0" w:lastRowLastColumn="0"/>
            <w:tcW w:w="1032" w:type="dxa"/>
            <w:hideMark/>
          </w:tcPr>
          <w:p w14:paraId="601197AA" w14:textId="77777777" w:rsidR="00F844B4" w:rsidRPr="00F42A30" w:rsidRDefault="00F844B4" w:rsidP="000F6AD6">
            <w:pPr>
              <w:pStyle w:val="ARtabletextright"/>
            </w:pPr>
            <w:r w:rsidRPr="00F42A30">
              <w:t>3</w:t>
            </w:r>
          </w:p>
        </w:tc>
        <w:tc>
          <w:tcPr>
            <w:tcW w:w="1033" w:type="dxa"/>
            <w:shd w:val="clear" w:color="auto" w:fill="E7E6E6" w:themeFill="background2"/>
            <w:hideMark/>
          </w:tcPr>
          <w:p w14:paraId="1DF4515E"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0</w:t>
            </w:r>
          </w:p>
        </w:tc>
        <w:tc>
          <w:tcPr>
            <w:cnfStyle w:val="000001000000" w:firstRow="0" w:lastRow="0" w:firstColumn="0" w:lastColumn="0" w:oddVBand="0" w:evenVBand="1" w:oddHBand="0" w:evenHBand="0" w:firstRowFirstColumn="0" w:firstRowLastColumn="0" w:lastRowFirstColumn="0" w:lastRowLastColumn="0"/>
            <w:tcW w:w="1101" w:type="dxa"/>
            <w:shd w:val="clear" w:color="auto" w:fill="auto"/>
            <w:hideMark/>
          </w:tcPr>
          <w:p w14:paraId="40E2393F" w14:textId="77777777" w:rsidR="00F844B4" w:rsidRPr="00F42A30" w:rsidRDefault="00F844B4" w:rsidP="000F6AD6">
            <w:pPr>
              <w:pStyle w:val="ARtabletextright"/>
            </w:pPr>
            <w:r w:rsidRPr="00F42A30">
              <w:t>0</w:t>
            </w:r>
          </w:p>
        </w:tc>
        <w:tc>
          <w:tcPr>
            <w:tcW w:w="1101" w:type="dxa"/>
            <w:hideMark/>
          </w:tcPr>
          <w:p w14:paraId="41BB0545"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0</w:t>
            </w:r>
          </w:p>
        </w:tc>
      </w:tr>
      <w:tr w:rsidR="008B2EBE" w:rsidRPr="00F42A30" w14:paraId="686526F5" w14:textId="77777777" w:rsidTr="002774B2">
        <w:trPr>
          <w:trHeight w:val="300"/>
        </w:trPr>
        <w:tc>
          <w:tcPr>
            <w:tcW w:w="1231" w:type="dxa"/>
            <w:hideMark/>
          </w:tcPr>
          <w:p w14:paraId="4E9443D2" w14:textId="77777777" w:rsidR="00F844B4" w:rsidRPr="00F42A30" w:rsidRDefault="00F844B4" w:rsidP="000F6AD6">
            <w:pPr>
              <w:pStyle w:val="ARtabletext"/>
            </w:pPr>
            <w:r w:rsidRPr="00F42A30">
              <w:t>SES-2</w:t>
            </w:r>
          </w:p>
        </w:tc>
        <w:tc>
          <w:tcPr>
            <w:cnfStyle w:val="000001000000" w:firstRow="0" w:lastRow="0" w:firstColumn="0" w:lastColumn="0" w:oddVBand="0" w:evenVBand="1" w:oddHBand="0" w:evenHBand="0" w:firstRowFirstColumn="0" w:firstRowLastColumn="0" w:lastRowFirstColumn="0" w:lastRowLastColumn="0"/>
            <w:tcW w:w="1034" w:type="dxa"/>
            <w:hideMark/>
          </w:tcPr>
          <w:p w14:paraId="28FAB93D" w14:textId="77777777" w:rsidR="00F844B4" w:rsidRPr="00F42A30" w:rsidRDefault="00F844B4" w:rsidP="000F6AD6">
            <w:pPr>
              <w:pStyle w:val="ARtabletextright"/>
            </w:pPr>
            <w:r w:rsidRPr="00F42A30">
              <w:t>61</w:t>
            </w:r>
          </w:p>
        </w:tc>
        <w:tc>
          <w:tcPr>
            <w:tcW w:w="1034" w:type="dxa"/>
            <w:shd w:val="clear" w:color="auto" w:fill="E7E6E6" w:themeFill="background2"/>
            <w:hideMark/>
          </w:tcPr>
          <w:p w14:paraId="35A12CDB"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0</w:t>
            </w:r>
          </w:p>
        </w:tc>
        <w:tc>
          <w:tcPr>
            <w:cnfStyle w:val="000001000000" w:firstRow="0" w:lastRow="0" w:firstColumn="0" w:lastColumn="0" w:oddVBand="0" w:evenVBand="1" w:oddHBand="0" w:evenHBand="0" w:firstRowFirstColumn="0" w:firstRowLastColumn="0" w:lastRowFirstColumn="0" w:lastRowLastColumn="0"/>
            <w:tcW w:w="1033" w:type="dxa"/>
            <w:shd w:val="clear" w:color="auto" w:fill="auto"/>
            <w:hideMark/>
          </w:tcPr>
          <w:p w14:paraId="0342A348" w14:textId="77777777" w:rsidR="00F844B4" w:rsidRPr="00F42A30" w:rsidRDefault="00F844B4" w:rsidP="000F6AD6">
            <w:pPr>
              <w:pStyle w:val="ARtabletextright"/>
            </w:pPr>
            <w:r w:rsidRPr="00F42A30">
              <w:t>46</w:t>
            </w:r>
          </w:p>
        </w:tc>
        <w:tc>
          <w:tcPr>
            <w:tcW w:w="1033" w:type="dxa"/>
            <w:hideMark/>
          </w:tcPr>
          <w:p w14:paraId="2E7EACD7"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2</w:t>
            </w:r>
          </w:p>
        </w:tc>
        <w:tc>
          <w:tcPr>
            <w:cnfStyle w:val="000001000000" w:firstRow="0" w:lastRow="0" w:firstColumn="0" w:lastColumn="0" w:oddVBand="0" w:evenVBand="1" w:oddHBand="0" w:evenHBand="0" w:firstRowFirstColumn="0" w:firstRowLastColumn="0" w:lastRowFirstColumn="0" w:lastRowLastColumn="0"/>
            <w:tcW w:w="1032" w:type="dxa"/>
            <w:hideMark/>
          </w:tcPr>
          <w:p w14:paraId="4CB989FA" w14:textId="77777777" w:rsidR="00F844B4" w:rsidRPr="00F42A30" w:rsidRDefault="00F844B4" w:rsidP="000F6AD6">
            <w:pPr>
              <w:pStyle w:val="ARtabletextright"/>
            </w:pPr>
            <w:r w:rsidRPr="00F42A30">
              <w:t>15</w:t>
            </w:r>
          </w:p>
        </w:tc>
        <w:tc>
          <w:tcPr>
            <w:tcW w:w="1033" w:type="dxa"/>
            <w:shd w:val="clear" w:color="auto" w:fill="E7E6E6" w:themeFill="background2"/>
            <w:hideMark/>
          </w:tcPr>
          <w:p w14:paraId="04EF0C72" w14:textId="5E018805" w:rsidR="00F844B4" w:rsidRPr="00F42A30" w:rsidRDefault="00430898" w:rsidP="000F6AD6">
            <w:pPr>
              <w:pStyle w:val="ARtabletextright"/>
              <w:cnfStyle w:val="000000000000" w:firstRow="0" w:lastRow="0" w:firstColumn="0" w:lastColumn="0" w:oddVBand="0" w:evenVBand="0" w:oddHBand="0" w:evenHBand="0" w:firstRowFirstColumn="0" w:firstRowLastColumn="0" w:lastRowFirstColumn="0" w:lastRowLastColumn="0"/>
            </w:pPr>
            <w:r>
              <w:t>−</w:t>
            </w:r>
            <w:r w:rsidR="00F844B4" w:rsidRPr="00F42A30">
              <w:t>2</w:t>
            </w:r>
          </w:p>
        </w:tc>
        <w:tc>
          <w:tcPr>
            <w:cnfStyle w:val="000001000000" w:firstRow="0" w:lastRow="0" w:firstColumn="0" w:lastColumn="0" w:oddVBand="0" w:evenVBand="1" w:oddHBand="0" w:evenHBand="0" w:firstRowFirstColumn="0" w:firstRowLastColumn="0" w:lastRowFirstColumn="0" w:lastRowLastColumn="0"/>
            <w:tcW w:w="1101" w:type="dxa"/>
            <w:shd w:val="clear" w:color="auto" w:fill="auto"/>
            <w:hideMark/>
          </w:tcPr>
          <w:p w14:paraId="61BD35F9" w14:textId="77777777" w:rsidR="00F844B4" w:rsidRPr="00F42A30" w:rsidRDefault="00F844B4" w:rsidP="000F6AD6">
            <w:pPr>
              <w:pStyle w:val="ARtabletextright"/>
            </w:pPr>
            <w:r w:rsidRPr="00F42A30">
              <w:t>0</w:t>
            </w:r>
          </w:p>
        </w:tc>
        <w:tc>
          <w:tcPr>
            <w:tcW w:w="1101" w:type="dxa"/>
            <w:hideMark/>
          </w:tcPr>
          <w:p w14:paraId="32CC7304"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0</w:t>
            </w:r>
          </w:p>
        </w:tc>
      </w:tr>
      <w:tr w:rsidR="008B2EBE" w:rsidRPr="00F42A30" w14:paraId="7C45B103" w14:textId="77777777" w:rsidTr="002774B2">
        <w:trPr>
          <w:trHeight w:val="300"/>
        </w:trPr>
        <w:tc>
          <w:tcPr>
            <w:tcW w:w="1231" w:type="dxa"/>
            <w:hideMark/>
          </w:tcPr>
          <w:p w14:paraId="0B94824A" w14:textId="77777777" w:rsidR="00F844B4" w:rsidRPr="00F42A30" w:rsidRDefault="00F844B4" w:rsidP="000F6AD6">
            <w:pPr>
              <w:pStyle w:val="ARtabletext"/>
            </w:pPr>
            <w:r w:rsidRPr="00F42A30">
              <w:t>SES-1</w:t>
            </w:r>
          </w:p>
        </w:tc>
        <w:tc>
          <w:tcPr>
            <w:cnfStyle w:val="000001000000" w:firstRow="0" w:lastRow="0" w:firstColumn="0" w:lastColumn="0" w:oddVBand="0" w:evenVBand="1" w:oddHBand="0" w:evenHBand="0" w:firstRowFirstColumn="0" w:firstRowLastColumn="0" w:lastRowFirstColumn="0" w:lastRowLastColumn="0"/>
            <w:tcW w:w="1034" w:type="dxa"/>
            <w:hideMark/>
          </w:tcPr>
          <w:p w14:paraId="5B56F8F8" w14:textId="77777777" w:rsidR="00F844B4" w:rsidRPr="00F42A30" w:rsidRDefault="00F844B4" w:rsidP="000F6AD6">
            <w:pPr>
              <w:pStyle w:val="ARtabletextright"/>
            </w:pPr>
            <w:r w:rsidRPr="00F42A30">
              <w:t>114</w:t>
            </w:r>
          </w:p>
        </w:tc>
        <w:tc>
          <w:tcPr>
            <w:tcW w:w="1034" w:type="dxa"/>
            <w:shd w:val="clear" w:color="auto" w:fill="E7E6E6" w:themeFill="background2"/>
            <w:hideMark/>
          </w:tcPr>
          <w:p w14:paraId="329A22C1"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6</w:t>
            </w:r>
          </w:p>
        </w:tc>
        <w:tc>
          <w:tcPr>
            <w:cnfStyle w:val="000001000000" w:firstRow="0" w:lastRow="0" w:firstColumn="0" w:lastColumn="0" w:oddVBand="0" w:evenVBand="1" w:oddHBand="0" w:evenHBand="0" w:firstRowFirstColumn="0" w:firstRowLastColumn="0" w:lastRowFirstColumn="0" w:lastRowLastColumn="0"/>
            <w:tcW w:w="1033" w:type="dxa"/>
            <w:shd w:val="clear" w:color="auto" w:fill="auto"/>
            <w:hideMark/>
          </w:tcPr>
          <w:p w14:paraId="5E3405BA" w14:textId="77777777" w:rsidR="00F844B4" w:rsidRPr="00F42A30" w:rsidRDefault="00F844B4" w:rsidP="000F6AD6">
            <w:pPr>
              <w:pStyle w:val="ARtabletextright"/>
            </w:pPr>
            <w:r w:rsidRPr="00F42A30">
              <w:t>74</w:t>
            </w:r>
          </w:p>
        </w:tc>
        <w:tc>
          <w:tcPr>
            <w:tcW w:w="1033" w:type="dxa"/>
            <w:hideMark/>
          </w:tcPr>
          <w:p w14:paraId="0CCC9294"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3</w:t>
            </w:r>
          </w:p>
        </w:tc>
        <w:tc>
          <w:tcPr>
            <w:cnfStyle w:val="000001000000" w:firstRow="0" w:lastRow="0" w:firstColumn="0" w:lastColumn="0" w:oddVBand="0" w:evenVBand="1" w:oddHBand="0" w:evenHBand="0" w:firstRowFirstColumn="0" w:firstRowLastColumn="0" w:lastRowFirstColumn="0" w:lastRowLastColumn="0"/>
            <w:tcW w:w="1032" w:type="dxa"/>
            <w:hideMark/>
          </w:tcPr>
          <w:p w14:paraId="1F2001B9" w14:textId="77777777" w:rsidR="00F844B4" w:rsidRPr="00F42A30" w:rsidRDefault="00F844B4" w:rsidP="000F6AD6">
            <w:pPr>
              <w:pStyle w:val="ARtabletextright"/>
            </w:pPr>
            <w:r w:rsidRPr="00F42A30">
              <w:t>37</w:t>
            </w:r>
          </w:p>
        </w:tc>
        <w:tc>
          <w:tcPr>
            <w:tcW w:w="1033" w:type="dxa"/>
            <w:shd w:val="clear" w:color="auto" w:fill="E7E6E6" w:themeFill="background2"/>
            <w:hideMark/>
          </w:tcPr>
          <w:p w14:paraId="29EED466"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3</w:t>
            </w:r>
          </w:p>
        </w:tc>
        <w:tc>
          <w:tcPr>
            <w:cnfStyle w:val="000001000000" w:firstRow="0" w:lastRow="0" w:firstColumn="0" w:lastColumn="0" w:oddVBand="0" w:evenVBand="1" w:oddHBand="0" w:evenHBand="0" w:firstRowFirstColumn="0" w:firstRowLastColumn="0" w:lastRowFirstColumn="0" w:lastRowLastColumn="0"/>
            <w:tcW w:w="1101" w:type="dxa"/>
            <w:shd w:val="clear" w:color="auto" w:fill="auto"/>
            <w:hideMark/>
          </w:tcPr>
          <w:p w14:paraId="4A571DC1" w14:textId="77777777" w:rsidR="00F844B4" w:rsidRPr="00F42A30" w:rsidRDefault="00F844B4" w:rsidP="000F6AD6">
            <w:pPr>
              <w:pStyle w:val="ARtabletextright"/>
            </w:pPr>
            <w:r w:rsidRPr="00F42A30">
              <w:t>3</w:t>
            </w:r>
          </w:p>
        </w:tc>
        <w:tc>
          <w:tcPr>
            <w:tcW w:w="1101" w:type="dxa"/>
            <w:hideMark/>
          </w:tcPr>
          <w:p w14:paraId="0B1D40A5"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0</w:t>
            </w:r>
          </w:p>
        </w:tc>
      </w:tr>
      <w:tr w:rsidR="008B2EBE" w:rsidRPr="00F42A30" w14:paraId="2B1DBF10" w14:textId="77777777" w:rsidTr="002774B2">
        <w:trPr>
          <w:cnfStyle w:val="010000000000" w:firstRow="0" w:lastRow="1" w:firstColumn="0" w:lastColumn="0" w:oddVBand="0" w:evenVBand="0" w:oddHBand="0" w:evenHBand="0" w:firstRowFirstColumn="0" w:firstRowLastColumn="0" w:lastRowFirstColumn="0" w:lastRowLastColumn="0"/>
          <w:trHeight w:val="300"/>
        </w:trPr>
        <w:tc>
          <w:tcPr>
            <w:tcW w:w="1231" w:type="dxa"/>
            <w:hideMark/>
          </w:tcPr>
          <w:p w14:paraId="18A4AD57" w14:textId="77777777" w:rsidR="00F844B4" w:rsidRPr="00F42A30" w:rsidRDefault="00F844B4" w:rsidP="000F6AD6">
            <w:pPr>
              <w:pStyle w:val="ARtabletextbold"/>
            </w:pPr>
            <w:r w:rsidRPr="00F42A30">
              <w:t>Total</w:t>
            </w:r>
          </w:p>
        </w:tc>
        <w:tc>
          <w:tcPr>
            <w:cnfStyle w:val="000001000000" w:firstRow="0" w:lastRow="0" w:firstColumn="0" w:lastColumn="0" w:oddVBand="0" w:evenVBand="1" w:oddHBand="0" w:evenHBand="0" w:firstRowFirstColumn="0" w:firstRowLastColumn="0" w:lastRowFirstColumn="0" w:lastRowLastColumn="0"/>
            <w:tcW w:w="1034" w:type="dxa"/>
            <w:hideMark/>
          </w:tcPr>
          <w:p w14:paraId="009A8FCB" w14:textId="77777777" w:rsidR="00F844B4" w:rsidRPr="00A03632" w:rsidRDefault="00F844B4" w:rsidP="000F6AD6">
            <w:pPr>
              <w:pStyle w:val="ARtabletextrightbold"/>
            </w:pPr>
            <w:r w:rsidRPr="00A03632">
              <w:t>184</w:t>
            </w:r>
          </w:p>
        </w:tc>
        <w:tc>
          <w:tcPr>
            <w:tcW w:w="1034" w:type="dxa"/>
            <w:shd w:val="clear" w:color="auto" w:fill="E7E6E6" w:themeFill="background2"/>
            <w:hideMark/>
          </w:tcPr>
          <w:p w14:paraId="448B002A" w14:textId="77777777" w:rsidR="00F844B4" w:rsidRPr="00F42A30" w:rsidRDefault="00F844B4" w:rsidP="000F6AD6">
            <w:pPr>
              <w:pStyle w:val="ARtabletextrightbold"/>
              <w:cnfStyle w:val="010000000000" w:firstRow="0" w:lastRow="1" w:firstColumn="0" w:lastColumn="0" w:oddVBand="0" w:evenVBand="0" w:oddHBand="0" w:evenHBand="0" w:firstRowFirstColumn="0" w:firstRowLastColumn="0" w:lastRowFirstColumn="0" w:lastRowLastColumn="0"/>
            </w:pPr>
            <w:r w:rsidRPr="00966595">
              <w:rPr>
                <w:color w:val="000000" w:themeColor="text1"/>
              </w:rPr>
              <w:t>5</w:t>
            </w:r>
          </w:p>
        </w:tc>
        <w:tc>
          <w:tcPr>
            <w:cnfStyle w:val="000001000000" w:firstRow="0" w:lastRow="0" w:firstColumn="0" w:lastColumn="0" w:oddVBand="0" w:evenVBand="1" w:oddHBand="0" w:evenHBand="0" w:firstRowFirstColumn="0" w:firstRowLastColumn="0" w:lastRowFirstColumn="0" w:lastRowLastColumn="0"/>
            <w:tcW w:w="1033" w:type="dxa"/>
            <w:shd w:val="clear" w:color="auto" w:fill="auto"/>
            <w:hideMark/>
          </w:tcPr>
          <w:p w14:paraId="2392258D" w14:textId="57D19792" w:rsidR="00F844B4" w:rsidRPr="00F42A30" w:rsidRDefault="00F844B4" w:rsidP="000F6AD6">
            <w:pPr>
              <w:pStyle w:val="ARtabletextrightbold"/>
            </w:pPr>
            <w:r w:rsidRPr="00F42A30">
              <w:t>126</w:t>
            </w:r>
          </w:p>
        </w:tc>
        <w:tc>
          <w:tcPr>
            <w:tcW w:w="1033" w:type="dxa"/>
            <w:hideMark/>
          </w:tcPr>
          <w:p w14:paraId="38B74C71" w14:textId="77777777" w:rsidR="00F844B4" w:rsidRPr="00F42A30" w:rsidRDefault="00F844B4" w:rsidP="000F6AD6">
            <w:pPr>
              <w:pStyle w:val="ARtabletextrightbold"/>
              <w:cnfStyle w:val="010000000000" w:firstRow="0" w:lastRow="1" w:firstColumn="0" w:lastColumn="0" w:oddVBand="0" w:evenVBand="0" w:oddHBand="0" w:evenHBand="0" w:firstRowFirstColumn="0" w:firstRowLastColumn="0" w:lastRowFirstColumn="0" w:lastRowLastColumn="0"/>
            </w:pPr>
            <w:r w:rsidRPr="00F42A30">
              <w:t>4</w:t>
            </w:r>
          </w:p>
        </w:tc>
        <w:tc>
          <w:tcPr>
            <w:cnfStyle w:val="000001000000" w:firstRow="0" w:lastRow="0" w:firstColumn="0" w:lastColumn="0" w:oddVBand="0" w:evenVBand="1" w:oddHBand="0" w:evenHBand="0" w:firstRowFirstColumn="0" w:firstRowLastColumn="0" w:lastRowFirstColumn="0" w:lastRowLastColumn="0"/>
            <w:tcW w:w="1032" w:type="dxa"/>
            <w:hideMark/>
          </w:tcPr>
          <w:p w14:paraId="6AFC6A0F" w14:textId="77777777" w:rsidR="00F844B4" w:rsidRPr="00F42A30" w:rsidRDefault="00F844B4" w:rsidP="000F6AD6">
            <w:pPr>
              <w:pStyle w:val="ARtabletextrightbold"/>
            </w:pPr>
            <w:r w:rsidRPr="00F42A30">
              <w:t>55</w:t>
            </w:r>
          </w:p>
        </w:tc>
        <w:tc>
          <w:tcPr>
            <w:tcW w:w="1033" w:type="dxa"/>
            <w:shd w:val="clear" w:color="auto" w:fill="E7E6E6" w:themeFill="background2"/>
            <w:hideMark/>
          </w:tcPr>
          <w:p w14:paraId="707DA793" w14:textId="77777777" w:rsidR="00F844B4" w:rsidRPr="00F42A30" w:rsidRDefault="00F844B4" w:rsidP="000F6AD6">
            <w:pPr>
              <w:pStyle w:val="ARtabletextrightbold"/>
              <w:cnfStyle w:val="010000000000" w:firstRow="0" w:lastRow="1" w:firstColumn="0" w:lastColumn="0" w:oddVBand="0" w:evenVBand="0" w:oddHBand="0" w:evenHBand="0" w:firstRowFirstColumn="0" w:firstRowLastColumn="0" w:lastRowFirstColumn="0" w:lastRowLastColumn="0"/>
            </w:pPr>
            <w:r w:rsidRPr="00966595">
              <w:rPr>
                <w:color w:val="000000" w:themeColor="text1"/>
              </w:rPr>
              <w:t>1</w:t>
            </w:r>
          </w:p>
        </w:tc>
        <w:tc>
          <w:tcPr>
            <w:cnfStyle w:val="000001000000" w:firstRow="0" w:lastRow="0" w:firstColumn="0" w:lastColumn="0" w:oddVBand="0" w:evenVBand="1" w:oddHBand="0" w:evenHBand="0" w:firstRowFirstColumn="0" w:firstRowLastColumn="0" w:lastRowFirstColumn="0" w:lastRowLastColumn="0"/>
            <w:tcW w:w="1101" w:type="dxa"/>
            <w:shd w:val="clear" w:color="auto" w:fill="auto"/>
            <w:hideMark/>
          </w:tcPr>
          <w:p w14:paraId="1F92A26C" w14:textId="77777777" w:rsidR="00F844B4" w:rsidRPr="00F42A30" w:rsidRDefault="00F844B4" w:rsidP="000F6AD6">
            <w:pPr>
              <w:pStyle w:val="ARtabletextrightbold"/>
            </w:pPr>
            <w:r w:rsidRPr="00F42A30">
              <w:t>3</w:t>
            </w:r>
          </w:p>
        </w:tc>
        <w:tc>
          <w:tcPr>
            <w:tcW w:w="1101" w:type="dxa"/>
            <w:hideMark/>
          </w:tcPr>
          <w:p w14:paraId="576DD1FD" w14:textId="77777777" w:rsidR="00F844B4" w:rsidRPr="00F42A30" w:rsidRDefault="00F844B4" w:rsidP="000F6AD6">
            <w:pPr>
              <w:pStyle w:val="ARtabletextrightbold"/>
              <w:cnfStyle w:val="010000000000" w:firstRow="0" w:lastRow="1" w:firstColumn="0" w:lastColumn="0" w:oddVBand="0" w:evenVBand="0" w:oddHBand="0" w:evenHBand="0" w:firstRowFirstColumn="0" w:firstRowLastColumn="0" w:lastRowFirstColumn="0" w:lastRowLastColumn="0"/>
            </w:pPr>
            <w:r w:rsidRPr="00F42A30">
              <w:t>0</w:t>
            </w:r>
          </w:p>
        </w:tc>
      </w:tr>
    </w:tbl>
    <w:p w14:paraId="2F378EB9" w14:textId="77777777" w:rsidR="00F844B4" w:rsidRPr="004C0CA0" w:rsidRDefault="00F844B4">
      <w:pPr>
        <w:pStyle w:val="ARbodyaftertable"/>
      </w:pPr>
      <w:r w:rsidRPr="004C0CA0">
        <w:t>The number of executives in Table 4 below is based on the number of executive positions that are occupied at the end of the financial year. Note 9.7 in the financial statements lists the actual number of SES and the total remuneration paid to SES over the course of the reporting period. The financial statements note does not include the Accountable Officer, nor does it distinguish between executive levels or disclose separations. Separations are executives who have left the department during the relevant reporting period. To assist readers, these 2 disclosures are reconciled below.</w:t>
      </w:r>
    </w:p>
    <w:p w14:paraId="016B14BF" w14:textId="77777777" w:rsidR="00F844B4" w:rsidRPr="004C0CA0" w:rsidRDefault="00F844B4">
      <w:pPr>
        <w:pStyle w:val="ARtablecaption"/>
      </w:pPr>
      <w:r w:rsidRPr="004C0CA0">
        <w:t>Table 4: Reconciliation of executive numbers for the department</w:t>
      </w:r>
    </w:p>
    <w:tbl>
      <w:tblPr>
        <w:tblStyle w:val="TableGrid"/>
        <w:tblW w:w="5000" w:type="pct"/>
        <w:tblLook w:val="01E0" w:firstRow="1" w:lastRow="1" w:firstColumn="1" w:lastColumn="1" w:noHBand="0" w:noVBand="0"/>
      </w:tblPr>
      <w:tblGrid>
        <w:gridCol w:w="4589"/>
        <w:gridCol w:w="1681"/>
        <w:gridCol w:w="1681"/>
        <w:gridCol w:w="1681"/>
      </w:tblGrid>
      <w:tr w:rsidR="00F33C72" w:rsidRPr="00F42A30" w14:paraId="45F07F21" w14:textId="77777777" w:rsidTr="00DD2B79">
        <w:trPr>
          <w:cnfStyle w:val="100000000000" w:firstRow="1" w:lastRow="0" w:firstColumn="0" w:lastColumn="0" w:oddVBand="0" w:evenVBand="0" w:oddHBand="0" w:evenHBand="0" w:firstRowFirstColumn="0" w:firstRowLastColumn="0" w:lastRowFirstColumn="0" w:lastRowLastColumn="0"/>
          <w:trHeight w:val="300"/>
          <w:tblHeader/>
        </w:trPr>
        <w:tc>
          <w:tcPr>
            <w:tcW w:w="2620" w:type="dxa"/>
            <w:hideMark/>
          </w:tcPr>
          <w:p w14:paraId="04078615" w14:textId="77777777" w:rsidR="00F844B4" w:rsidRPr="00F42A30" w:rsidRDefault="00F844B4" w:rsidP="000F6AD6">
            <w:pPr>
              <w:pStyle w:val="ARtablecolhead"/>
            </w:pPr>
            <w:r w:rsidRPr="00F42A30">
              <w:t> </w:t>
            </w:r>
          </w:p>
        </w:tc>
        <w:tc>
          <w:tcPr>
            <w:cnfStyle w:val="000001000000" w:firstRow="0" w:lastRow="0" w:firstColumn="0" w:lastColumn="0" w:oddVBand="0" w:evenVBand="1" w:oddHBand="0" w:evenHBand="0" w:firstRowFirstColumn="0" w:firstRowLastColumn="0" w:lastRowFirstColumn="0" w:lastRowLastColumn="0"/>
            <w:tcW w:w="960" w:type="dxa"/>
            <w:hideMark/>
          </w:tcPr>
          <w:p w14:paraId="2FAF8AEE" w14:textId="77777777" w:rsidR="00F844B4" w:rsidRPr="00F42A30" w:rsidRDefault="00F844B4" w:rsidP="000F6AD6">
            <w:pPr>
              <w:pStyle w:val="ARtablecolheadright"/>
            </w:pPr>
            <w:r w:rsidRPr="00F42A30">
              <w:t>2025</w:t>
            </w:r>
          </w:p>
        </w:tc>
        <w:tc>
          <w:tcPr>
            <w:tcW w:w="960" w:type="dxa"/>
            <w:hideMark/>
          </w:tcPr>
          <w:p w14:paraId="7C718D61" w14:textId="77777777" w:rsidR="00F844B4" w:rsidRPr="00F42A30" w:rsidRDefault="00F844B4" w:rsidP="000F6AD6">
            <w:pPr>
              <w:pStyle w:val="ARtablecolheadright"/>
              <w:cnfStyle w:val="100000000000" w:firstRow="1" w:lastRow="0" w:firstColumn="0" w:lastColumn="0" w:oddVBand="0" w:evenVBand="0" w:oddHBand="0" w:evenHBand="0" w:firstRowFirstColumn="0" w:firstRowLastColumn="0" w:lastRowFirstColumn="0" w:lastRowLastColumn="0"/>
            </w:pPr>
            <w:r w:rsidRPr="00F42A30">
              <w:t>2024</w:t>
            </w:r>
          </w:p>
        </w:tc>
        <w:tc>
          <w:tcPr>
            <w:cnfStyle w:val="000001000000" w:firstRow="0" w:lastRow="0" w:firstColumn="0" w:lastColumn="0" w:oddVBand="0" w:evenVBand="1" w:oddHBand="0" w:evenHBand="0" w:firstRowFirstColumn="0" w:firstRowLastColumn="0" w:lastRowFirstColumn="0" w:lastRowLastColumn="0"/>
            <w:tcW w:w="960" w:type="dxa"/>
            <w:hideMark/>
          </w:tcPr>
          <w:p w14:paraId="2B49B6A4" w14:textId="77777777" w:rsidR="00F844B4" w:rsidRPr="00F42A30" w:rsidRDefault="00F844B4" w:rsidP="000F6AD6">
            <w:pPr>
              <w:pStyle w:val="ARtablecolheadright"/>
            </w:pPr>
            <w:r w:rsidRPr="00F42A30">
              <w:t>Var.</w:t>
            </w:r>
          </w:p>
        </w:tc>
      </w:tr>
      <w:tr w:rsidR="006D70CE" w:rsidRPr="00F42A30" w14:paraId="4FA6BE7B" w14:textId="77777777" w:rsidTr="000F6AD6">
        <w:trPr>
          <w:trHeight w:val="20"/>
        </w:trPr>
        <w:tc>
          <w:tcPr>
            <w:tcW w:w="2620" w:type="dxa"/>
            <w:hideMark/>
          </w:tcPr>
          <w:p w14:paraId="3649EEC1" w14:textId="77777777" w:rsidR="00F844B4" w:rsidRPr="00F42A30" w:rsidRDefault="00F844B4" w:rsidP="000F6AD6">
            <w:pPr>
              <w:pStyle w:val="ARtabletext"/>
            </w:pPr>
            <w:r w:rsidRPr="00F42A30">
              <w:t>Executives</w:t>
            </w:r>
          </w:p>
        </w:tc>
        <w:tc>
          <w:tcPr>
            <w:cnfStyle w:val="000001000000" w:firstRow="0" w:lastRow="0" w:firstColumn="0" w:lastColumn="0" w:oddVBand="0" w:evenVBand="1" w:oddHBand="0" w:evenHBand="0" w:firstRowFirstColumn="0" w:firstRowLastColumn="0" w:lastRowFirstColumn="0" w:lastRowLastColumn="0"/>
            <w:tcW w:w="960" w:type="dxa"/>
            <w:hideMark/>
          </w:tcPr>
          <w:p w14:paraId="4D592CD1" w14:textId="77777777" w:rsidR="00F844B4" w:rsidRPr="00F42A30" w:rsidRDefault="00F844B4" w:rsidP="000F6AD6">
            <w:pPr>
              <w:pStyle w:val="ARtabletextright"/>
            </w:pPr>
            <w:r w:rsidRPr="00F42A30">
              <w:t>184</w:t>
            </w:r>
          </w:p>
        </w:tc>
        <w:tc>
          <w:tcPr>
            <w:tcW w:w="960" w:type="dxa"/>
            <w:hideMark/>
          </w:tcPr>
          <w:p w14:paraId="71192B6F"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179</w:t>
            </w:r>
          </w:p>
        </w:tc>
        <w:tc>
          <w:tcPr>
            <w:cnfStyle w:val="000001000000" w:firstRow="0" w:lastRow="0" w:firstColumn="0" w:lastColumn="0" w:oddVBand="0" w:evenVBand="1" w:oddHBand="0" w:evenHBand="0" w:firstRowFirstColumn="0" w:firstRowLastColumn="0" w:lastRowFirstColumn="0" w:lastRowLastColumn="0"/>
            <w:tcW w:w="960" w:type="dxa"/>
            <w:hideMark/>
          </w:tcPr>
          <w:p w14:paraId="6DA43589" w14:textId="77777777" w:rsidR="00F844B4" w:rsidRPr="00F42A30" w:rsidRDefault="00F844B4" w:rsidP="000F6AD6">
            <w:pPr>
              <w:pStyle w:val="ARtabletextright"/>
            </w:pPr>
            <w:r w:rsidRPr="00F42A30">
              <w:t>5</w:t>
            </w:r>
          </w:p>
        </w:tc>
      </w:tr>
      <w:tr w:rsidR="006D70CE" w:rsidRPr="00F42A30" w14:paraId="574D36FE" w14:textId="77777777" w:rsidTr="000F6AD6">
        <w:trPr>
          <w:trHeight w:val="20"/>
        </w:trPr>
        <w:tc>
          <w:tcPr>
            <w:tcW w:w="2620" w:type="dxa"/>
            <w:hideMark/>
          </w:tcPr>
          <w:p w14:paraId="4AE65C4F" w14:textId="77777777" w:rsidR="00F844B4" w:rsidRPr="00F42A30" w:rsidRDefault="00F844B4" w:rsidP="000F6AD6">
            <w:pPr>
              <w:pStyle w:val="ARtabletext"/>
            </w:pPr>
            <w:r w:rsidRPr="00F42A30">
              <w:t>Accountable Officer (Secretary)</w:t>
            </w:r>
          </w:p>
        </w:tc>
        <w:tc>
          <w:tcPr>
            <w:cnfStyle w:val="000001000000" w:firstRow="0" w:lastRow="0" w:firstColumn="0" w:lastColumn="0" w:oddVBand="0" w:evenVBand="1" w:oddHBand="0" w:evenHBand="0" w:firstRowFirstColumn="0" w:firstRowLastColumn="0" w:lastRowFirstColumn="0" w:lastRowLastColumn="0"/>
            <w:tcW w:w="960" w:type="dxa"/>
            <w:hideMark/>
          </w:tcPr>
          <w:p w14:paraId="0270248F" w14:textId="77777777" w:rsidR="00F844B4" w:rsidRPr="00F42A30" w:rsidRDefault="00F844B4" w:rsidP="000F6AD6">
            <w:pPr>
              <w:pStyle w:val="ARtabletextright"/>
            </w:pPr>
            <w:r w:rsidRPr="00F42A30">
              <w:t>1</w:t>
            </w:r>
          </w:p>
        </w:tc>
        <w:tc>
          <w:tcPr>
            <w:tcW w:w="960" w:type="dxa"/>
            <w:hideMark/>
          </w:tcPr>
          <w:p w14:paraId="23373DF8"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1</w:t>
            </w:r>
          </w:p>
        </w:tc>
        <w:tc>
          <w:tcPr>
            <w:cnfStyle w:val="000001000000" w:firstRow="0" w:lastRow="0" w:firstColumn="0" w:lastColumn="0" w:oddVBand="0" w:evenVBand="1" w:oddHBand="0" w:evenHBand="0" w:firstRowFirstColumn="0" w:firstRowLastColumn="0" w:lastRowFirstColumn="0" w:lastRowLastColumn="0"/>
            <w:tcW w:w="960" w:type="dxa"/>
            <w:hideMark/>
          </w:tcPr>
          <w:p w14:paraId="19511988" w14:textId="77777777" w:rsidR="00F844B4" w:rsidRPr="00F42A30" w:rsidRDefault="00F844B4" w:rsidP="000F6AD6">
            <w:pPr>
              <w:pStyle w:val="ARtabletextright"/>
            </w:pPr>
            <w:r w:rsidRPr="00F42A30">
              <w:t>0</w:t>
            </w:r>
          </w:p>
        </w:tc>
      </w:tr>
      <w:tr w:rsidR="006D70CE" w:rsidRPr="00F42A30" w14:paraId="32116FDC" w14:textId="77777777" w:rsidTr="000F6AD6">
        <w:trPr>
          <w:trHeight w:val="20"/>
        </w:trPr>
        <w:tc>
          <w:tcPr>
            <w:tcW w:w="2620" w:type="dxa"/>
            <w:hideMark/>
          </w:tcPr>
          <w:p w14:paraId="48439E24" w14:textId="77777777" w:rsidR="00F844B4" w:rsidRPr="00F42A30" w:rsidRDefault="00F844B4" w:rsidP="000F6AD6">
            <w:pPr>
              <w:pStyle w:val="ARtabletext"/>
            </w:pPr>
            <w:r w:rsidRPr="00F42A30">
              <w:t>Accountable Officer (Director of Housing)</w:t>
            </w:r>
          </w:p>
        </w:tc>
        <w:tc>
          <w:tcPr>
            <w:cnfStyle w:val="000001000000" w:firstRow="0" w:lastRow="0" w:firstColumn="0" w:lastColumn="0" w:oddVBand="0" w:evenVBand="1" w:oddHBand="0" w:evenHBand="0" w:firstRowFirstColumn="0" w:firstRowLastColumn="0" w:lastRowFirstColumn="0" w:lastRowLastColumn="0"/>
            <w:tcW w:w="960" w:type="dxa"/>
            <w:hideMark/>
          </w:tcPr>
          <w:p w14:paraId="6516AC2F" w14:textId="77777777" w:rsidR="00F844B4" w:rsidRPr="00F42A30" w:rsidRDefault="00F844B4" w:rsidP="000F6AD6">
            <w:pPr>
              <w:pStyle w:val="ARtabletextright"/>
            </w:pPr>
            <w:r w:rsidRPr="00F42A30">
              <w:t>1</w:t>
            </w:r>
          </w:p>
        </w:tc>
        <w:tc>
          <w:tcPr>
            <w:tcW w:w="960" w:type="dxa"/>
            <w:hideMark/>
          </w:tcPr>
          <w:p w14:paraId="31D87080"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1</w:t>
            </w:r>
          </w:p>
        </w:tc>
        <w:tc>
          <w:tcPr>
            <w:cnfStyle w:val="000001000000" w:firstRow="0" w:lastRow="0" w:firstColumn="0" w:lastColumn="0" w:oddVBand="0" w:evenVBand="1" w:oddHBand="0" w:evenHBand="0" w:firstRowFirstColumn="0" w:firstRowLastColumn="0" w:lastRowFirstColumn="0" w:lastRowLastColumn="0"/>
            <w:tcW w:w="960" w:type="dxa"/>
            <w:hideMark/>
          </w:tcPr>
          <w:p w14:paraId="5760A7C7" w14:textId="77777777" w:rsidR="00F844B4" w:rsidRPr="00F42A30" w:rsidRDefault="00F844B4" w:rsidP="000F6AD6">
            <w:pPr>
              <w:pStyle w:val="ARtabletextright"/>
            </w:pPr>
            <w:r w:rsidRPr="00F42A30">
              <w:t>0</w:t>
            </w:r>
          </w:p>
        </w:tc>
      </w:tr>
      <w:tr w:rsidR="006D70CE" w:rsidRPr="00F42A30" w14:paraId="2254D69C" w14:textId="77777777" w:rsidTr="000F6AD6">
        <w:trPr>
          <w:trHeight w:val="20"/>
        </w:trPr>
        <w:tc>
          <w:tcPr>
            <w:tcW w:w="2620" w:type="dxa"/>
            <w:hideMark/>
          </w:tcPr>
          <w:p w14:paraId="61FD1A58" w14:textId="77777777" w:rsidR="00F844B4" w:rsidRPr="00F42A30" w:rsidRDefault="00F844B4" w:rsidP="000F6AD6">
            <w:pPr>
              <w:pStyle w:val="ARtabletext"/>
            </w:pPr>
            <w:r w:rsidRPr="00F42A30">
              <w:t>Less separations</w:t>
            </w:r>
          </w:p>
        </w:tc>
        <w:tc>
          <w:tcPr>
            <w:cnfStyle w:val="000001000000" w:firstRow="0" w:lastRow="0" w:firstColumn="0" w:lastColumn="0" w:oddVBand="0" w:evenVBand="1" w:oddHBand="0" w:evenHBand="0" w:firstRowFirstColumn="0" w:firstRowLastColumn="0" w:lastRowFirstColumn="0" w:lastRowLastColumn="0"/>
            <w:tcW w:w="960" w:type="dxa"/>
            <w:hideMark/>
          </w:tcPr>
          <w:p w14:paraId="45E8907D" w14:textId="77777777" w:rsidR="00F844B4" w:rsidRPr="00F42A30" w:rsidRDefault="00F844B4" w:rsidP="000F6AD6">
            <w:pPr>
              <w:pStyle w:val="ARtabletextright"/>
            </w:pPr>
            <w:r w:rsidRPr="00F42A30">
              <w:t>14</w:t>
            </w:r>
          </w:p>
        </w:tc>
        <w:tc>
          <w:tcPr>
            <w:tcW w:w="960" w:type="dxa"/>
            <w:hideMark/>
          </w:tcPr>
          <w:p w14:paraId="05FBE22E"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44</w:t>
            </w:r>
          </w:p>
        </w:tc>
        <w:tc>
          <w:tcPr>
            <w:cnfStyle w:val="000001000000" w:firstRow="0" w:lastRow="0" w:firstColumn="0" w:lastColumn="0" w:oddVBand="0" w:evenVBand="1" w:oddHBand="0" w:evenHBand="0" w:firstRowFirstColumn="0" w:firstRowLastColumn="0" w:lastRowFirstColumn="0" w:lastRowLastColumn="0"/>
            <w:tcW w:w="960" w:type="dxa"/>
            <w:hideMark/>
          </w:tcPr>
          <w:p w14:paraId="2B20BF3A" w14:textId="5C851A69" w:rsidR="00F844B4" w:rsidRPr="00F42A30" w:rsidRDefault="00430898" w:rsidP="000F6AD6">
            <w:pPr>
              <w:pStyle w:val="ARtabletextright"/>
            </w:pPr>
            <w:r>
              <w:t>−</w:t>
            </w:r>
            <w:r w:rsidR="00F844B4" w:rsidRPr="00F42A30">
              <w:t>30</w:t>
            </w:r>
          </w:p>
        </w:tc>
      </w:tr>
      <w:tr w:rsidR="006D70CE" w:rsidRPr="00F42A30" w14:paraId="6DD609CE" w14:textId="77777777" w:rsidTr="000F6AD6">
        <w:trPr>
          <w:trHeight w:val="20"/>
        </w:trPr>
        <w:tc>
          <w:tcPr>
            <w:tcW w:w="2620" w:type="dxa"/>
            <w:hideMark/>
          </w:tcPr>
          <w:p w14:paraId="2BB9DD8A" w14:textId="77777777" w:rsidR="00F844B4" w:rsidRPr="00F42A30" w:rsidRDefault="00F844B4" w:rsidP="000F6AD6">
            <w:pPr>
              <w:pStyle w:val="ARtabletext"/>
            </w:pPr>
            <w:r w:rsidRPr="00F42A30">
              <w:t>Leave without pay</w:t>
            </w:r>
          </w:p>
        </w:tc>
        <w:tc>
          <w:tcPr>
            <w:cnfStyle w:val="000001000000" w:firstRow="0" w:lastRow="0" w:firstColumn="0" w:lastColumn="0" w:oddVBand="0" w:evenVBand="1" w:oddHBand="0" w:evenHBand="0" w:firstRowFirstColumn="0" w:firstRowLastColumn="0" w:lastRowFirstColumn="0" w:lastRowLastColumn="0"/>
            <w:tcW w:w="960" w:type="dxa"/>
            <w:hideMark/>
          </w:tcPr>
          <w:p w14:paraId="1474B9D2" w14:textId="77777777" w:rsidR="00F844B4" w:rsidRPr="00F42A30" w:rsidRDefault="00F844B4" w:rsidP="000F6AD6">
            <w:pPr>
              <w:pStyle w:val="ARtabletextright"/>
            </w:pPr>
            <w:r w:rsidRPr="00F42A30">
              <w:t>5</w:t>
            </w:r>
          </w:p>
        </w:tc>
        <w:tc>
          <w:tcPr>
            <w:tcW w:w="960" w:type="dxa"/>
            <w:hideMark/>
          </w:tcPr>
          <w:p w14:paraId="5D097A17"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0</w:t>
            </w:r>
          </w:p>
        </w:tc>
        <w:tc>
          <w:tcPr>
            <w:cnfStyle w:val="000001000000" w:firstRow="0" w:lastRow="0" w:firstColumn="0" w:lastColumn="0" w:oddVBand="0" w:evenVBand="1" w:oddHBand="0" w:evenHBand="0" w:firstRowFirstColumn="0" w:firstRowLastColumn="0" w:lastRowFirstColumn="0" w:lastRowLastColumn="0"/>
            <w:tcW w:w="960" w:type="dxa"/>
            <w:hideMark/>
          </w:tcPr>
          <w:p w14:paraId="4F9DA52A" w14:textId="77777777" w:rsidR="00F844B4" w:rsidRPr="00F42A30" w:rsidRDefault="00F844B4" w:rsidP="000F6AD6">
            <w:pPr>
              <w:pStyle w:val="ARtabletextright"/>
            </w:pPr>
            <w:r w:rsidRPr="00F42A30">
              <w:t>5</w:t>
            </w:r>
          </w:p>
        </w:tc>
      </w:tr>
      <w:tr w:rsidR="006D70CE" w:rsidRPr="00F42A30" w14:paraId="47E249A4" w14:textId="77777777" w:rsidTr="000F6AD6">
        <w:trPr>
          <w:trHeight w:val="20"/>
        </w:trPr>
        <w:tc>
          <w:tcPr>
            <w:tcW w:w="2620" w:type="dxa"/>
            <w:hideMark/>
          </w:tcPr>
          <w:p w14:paraId="474323F7" w14:textId="77777777" w:rsidR="00F844B4" w:rsidRPr="00F42A30" w:rsidRDefault="00F844B4" w:rsidP="000F6AD6">
            <w:pPr>
              <w:pStyle w:val="ARtabletext"/>
            </w:pPr>
            <w:r w:rsidRPr="00F42A30">
              <w:t>Less executives paid by other departments</w:t>
            </w:r>
          </w:p>
        </w:tc>
        <w:tc>
          <w:tcPr>
            <w:cnfStyle w:val="000001000000" w:firstRow="0" w:lastRow="0" w:firstColumn="0" w:lastColumn="0" w:oddVBand="0" w:evenVBand="1" w:oddHBand="0" w:evenHBand="0" w:firstRowFirstColumn="0" w:firstRowLastColumn="0" w:lastRowFirstColumn="0" w:lastRowLastColumn="0"/>
            <w:tcW w:w="960" w:type="dxa"/>
            <w:hideMark/>
          </w:tcPr>
          <w:p w14:paraId="75C78595" w14:textId="77777777" w:rsidR="00F844B4" w:rsidRPr="00F42A30" w:rsidRDefault="00F844B4" w:rsidP="000F6AD6">
            <w:pPr>
              <w:pStyle w:val="ARtabletextright"/>
            </w:pPr>
            <w:r w:rsidRPr="00F42A30">
              <w:t>0</w:t>
            </w:r>
          </w:p>
        </w:tc>
        <w:tc>
          <w:tcPr>
            <w:tcW w:w="960" w:type="dxa"/>
            <w:hideMark/>
          </w:tcPr>
          <w:p w14:paraId="025C9095" w14:textId="77777777" w:rsidR="00F844B4" w:rsidRPr="00F42A30"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F42A30">
              <w:t>0</w:t>
            </w:r>
          </w:p>
        </w:tc>
        <w:tc>
          <w:tcPr>
            <w:cnfStyle w:val="000001000000" w:firstRow="0" w:lastRow="0" w:firstColumn="0" w:lastColumn="0" w:oddVBand="0" w:evenVBand="1" w:oddHBand="0" w:evenHBand="0" w:firstRowFirstColumn="0" w:firstRowLastColumn="0" w:lastRowFirstColumn="0" w:lastRowLastColumn="0"/>
            <w:tcW w:w="960" w:type="dxa"/>
            <w:hideMark/>
          </w:tcPr>
          <w:p w14:paraId="34234386" w14:textId="77777777" w:rsidR="00F844B4" w:rsidRPr="00F42A30" w:rsidRDefault="00F844B4" w:rsidP="000F6AD6">
            <w:pPr>
              <w:pStyle w:val="ARtabletextright"/>
            </w:pPr>
            <w:r w:rsidRPr="00F42A30">
              <w:t>0</w:t>
            </w:r>
          </w:p>
        </w:tc>
      </w:tr>
      <w:tr w:rsidR="006D70CE" w:rsidRPr="00F42A30" w14:paraId="1B2A6304" w14:textId="77777777" w:rsidTr="000F6AD6">
        <w:trPr>
          <w:cnfStyle w:val="010000000000" w:firstRow="0" w:lastRow="1" w:firstColumn="0" w:lastColumn="0" w:oddVBand="0" w:evenVBand="0" w:oddHBand="0" w:evenHBand="0" w:firstRowFirstColumn="0" w:firstRowLastColumn="0" w:lastRowFirstColumn="0" w:lastRowLastColumn="0"/>
          <w:trHeight w:val="20"/>
        </w:trPr>
        <w:tc>
          <w:tcPr>
            <w:tcW w:w="2620" w:type="dxa"/>
            <w:hideMark/>
          </w:tcPr>
          <w:p w14:paraId="4F3000E1" w14:textId="77777777" w:rsidR="00F844B4" w:rsidRPr="00F42A30" w:rsidRDefault="00F844B4" w:rsidP="000F6AD6">
            <w:pPr>
              <w:pStyle w:val="ARtabletextbold"/>
            </w:pPr>
            <w:r w:rsidRPr="00F42A30">
              <w:t xml:space="preserve">Total executive numbers </w:t>
            </w:r>
            <w:proofErr w:type="gramStart"/>
            <w:r w:rsidRPr="00F42A30">
              <w:t>at</w:t>
            </w:r>
            <w:proofErr w:type="gramEnd"/>
            <w:r w:rsidRPr="00F42A30">
              <w:t xml:space="preserve"> 30 June</w:t>
            </w:r>
          </w:p>
        </w:tc>
        <w:tc>
          <w:tcPr>
            <w:cnfStyle w:val="000001000000" w:firstRow="0" w:lastRow="0" w:firstColumn="0" w:lastColumn="0" w:oddVBand="0" w:evenVBand="1" w:oddHBand="0" w:evenHBand="0" w:firstRowFirstColumn="0" w:firstRowLastColumn="0" w:lastRowFirstColumn="0" w:lastRowLastColumn="0"/>
            <w:tcW w:w="960" w:type="dxa"/>
            <w:hideMark/>
          </w:tcPr>
          <w:p w14:paraId="7F9E8B94" w14:textId="77777777" w:rsidR="00F844B4" w:rsidRPr="00F42A30" w:rsidRDefault="00F844B4" w:rsidP="000F6AD6">
            <w:pPr>
              <w:pStyle w:val="ARtabletextrightbold"/>
            </w:pPr>
            <w:r w:rsidRPr="00F42A30">
              <w:t>184</w:t>
            </w:r>
          </w:p>
        </w:tc>
        <w:tc>
          <w:tcPr>
            <w:tcW w:w="960" w:type="dxa"/>
            <w:hideMark/>
          </w:tcPr>
          <w:p w14:paraId="005DB6CA" w14:textId="77777777" w:rsidR="00F844B4" w:rsidRPr="00F42A30" w:rsidRDefault="00F844B4" w:rsidP="000F6AD6">
            <w:pPr>
              <w:pStyle w:val="ARtabletextrightbold"/>
              <w:cnfStyle w:val="010000000000" w:firstRow="0" w:lastRow="1" w:firstColumn="0" w:lastColumn="0" w:oddVBand="0" w:evenVBand="0" w:oddHBand="0" w:evenHBand="0" w:firstRowFirstColumn="0" w:firstRowLastColumn="0" w:lastRowFirstColumn="0" w:lastRowLastColumn="0"/>
            </w:pPr>
            <w:r w:rsidRPr="00F42A30">
              <w:t>179</w:t>
            </w:r>
          </w:p>
        </w:tc>
        <w:tc>
          <w:tcPr>
            <w:cnfStyle w:val="000001000000" w:firstRow="0" w:lastRow="0" w:firstColumn="0" w:lastColumn="0" w:oddVBand="0" w:evenVBand="1" w:oddHBand="0" w:evenHBand="0" w:firstRowFirstColumn="0" w:firstRowLastColumn="0" w:lastRowFirstColumn="0" w:lastRowLastColumn="0"/>
            <w:tcW w:w="960" w:type="dxa"/>
            <w:hideMark/>
          </w:tcPr>
          <w:p w14:paraId="263A06FA" w14:textId="77777777" w:rsidR="00F844B4" w:rsidRPr="00A03632" w:rsidRDefault="00F844B4" w:rsidP="000F6AD6">
            <w:pPr>
              <w:pStyle w:val="ARtabletextrightbold"/>
            </w:pPr>
            <w:r w:rsidRPr="00A03632">
              <w:t>5</w:t>
            </w:r>
          </w:p>
        </w:tc>
      </w:tr>
    </w:tbl>
    <w:p w14:paraId="4425492D" w14:textId="77777777" w:rsidR="00F844B4" w:rsidRPr="00D00F3E" w:rsidRDefault="00F844B4">
      <w:pPr>
        <w:pStyle w:val="ARbody"/>
        <w:rPr>
          <w:highlight w:val="cyan"/>
        </w:rPr>
      </w:pPr>
      <w:r w:rsidRPr="00D00F3E">
        <w:rPr>
          <w:highlight w:val="cyan"/>
        </w:rPr>
        <w:br w:type="page"/>
      </w:r>
    </w:p>
    <w:p w14:paraId="65750A14" w14:textId="77777777" w:rsidR="00F844B4" w:rsidRPr="004C0CA0" w:rsidRDefault="00F844B4">
      <w:pPr>
        <w:pStyle w:val="ARtablecaption"/>
      </w:pPr>
      <w:r w:rsidRPr="004C0CA0">
        <w:lastRenderedPageBreak/>
        <w:t>Table 5: Number of executives for the department’s portfolio entities broken down by gender</w:t>
      </w:r>
    </w:p>
    <w:tbl>
      <w:tblPr>
        <w:tblStyle w:val="TableGrid"/>
        <w:tblW w:w="5000" w:type="pct"/>
        <w:tblLook w:val="01E0" w:firstRow="1" w:lastRow="1" w:firstColumn="1" w:lastColumn="1" w:noHBand="0" w:noVBand="0"/>
      </w:tblPr>
      <w:tblGrid>
        <w:gridCol w:w="3813"/>
        <w:gridCol w:w="727"/>
        <w:gridCol w:w="728"/>
        <w:gridCol w:w="726"/>
        <w:gridCol w:w="730"/>
        <w:gridCol w:w="726"/>
        <w:gridCol w:w="728"/>
        <w:gridCol w:w="726"/>
        <w:gridCol w:w="728"/>
      </w:tblGrid>
      <w:tr w:rsidR="00C76725" w:rsidRPr="0091707B" w14:paraId="0C3E7A8D" w14:textId="77777777" w:rsidTr="00A17C7A">
        <w:trPr>
          <w:cnfStyle w:val="100000000000" w:firstRow="1" w:lastRow="0" w:firstColumn="0" w:lastColumn="0" w:oddVBand="0" w:evenVBand="0" w:oddHBand="0" w:evenHBand="0" w:firstRowFirstColumn="0" w:firstRowLastColumn="0" w:lastRowFirstColumn="0" w:lastRowLastColumn="0"/>
          <w:trHeight w:val="300"/>
        </w:trPr>
        <w:tc>
          <w:tcPr>
            <w:tcW w:w="1979" w:type="pct"/>
            <w:vMerge w:val="restart"/>
            <w:tcBorders>
              <w:top w:val="nil"/>
            </w:tcBorders>
            <w:hideMark/>
          </w:tcPr>
          <w:p w14:paraId="56108D16" w14:textId="1F3046FD" w:rsidR="00F844B4" w:rsidRPr="0091707B" w:rsidRDefault="00F844B4" w:rsidP="000F6AD6">
            <w:pPr>
              <w:pStyle w:val="ARtablecolhead"/>
            </w:pPr>
            <w:r w:rsidRPr="0091707B">
              <w:t>Portfolio entities</w:t>
            </w:r>
          </w:p>
        </w:tc>
        <w:tc>
          <w:tcPr>
            <w:cnfStyle w:val="000001000000" w:firstRow="0" w:lastRow="0" w:firstColumn="0" w:lastColumn="0" w:oddVBand="0" w:evenVBand="1" w:oddHBand="0" w:evenHBand="0" w:firstRowFirstColumn="0" w:firstRowLastColumn="0" w:lastRowFirstColumn="0" w:lastRowLastColumn="0"/>
            <w:tcW w:w="0" w:type="pct"/>
            <w:gridSpan w:val="2"/>
            <w:tcBorders>
              <w:top w:val="nil"/>
            </w:tcBorders>
            <w:hideMark/>
          </w:tcPr>
          <w:p w14:paraId="54016D71" w14:textId="77777777" w:rsidR="00F844B4" w:rsidRPr="0091707B" w:rsidRDefault="00F844B4" w:rsidP="000F6AD6">
            <w:pPr>
              <w:pStyle w:val="ARtablecolheadcentre"/>
            </w:pPr>
            <w:r w:rsidRPr="0091707B">
              <w:t>Total</w:t>
            </w:r>
          </w:p>
        </w:tc>
        <w:tc>
          <w:tcPr>
            <w:tcW w:w="756" w:type="pct"/>
            <w:gridSpan w:val="2"/>
            <w:tcBorders>
              <w:top w:val="nil"/>
            </w:tcBorders>
            <w:hideMark/>
          </w:tcPr>
          <w:p w14:paraId="55D069D5" w14:textId="77777777" w:rsidR="00F844B4" w:rsidRPr="0091707B" w:rsidRDefault="00F844B4" w:rsidP="000F6AD6">
            <w:pPr>
              <w:pStyle w:val="ARtablecolheadcentre"/>
              <w:cnfStyle w:val="100000000000" w:firstRow="1" w:lastRow="0" w:firstColumn="0" w:lastColumn="0" w:oddVBand="0" w:evenVBand="0" w:oddHBand="0" w:evenHBand="0" w:firstRowFirstColumn="0" w:firstRowLastColumn="0" w:lastRowFirstColumn="0" w:lastRowLastColumn="0"/>
            </w:pPr>
            <w:r w:rsidRPr="0091707B">
              <w:t>Women</w:t>
            </w:r>
          </w:p>
        </w:tc>
        <w:tc>
          <w:tcPr>
            <w:cnfStyle w:val="000001000000" w:firstRow="0" w:lastRow="0" w:firstColumn="0" w:lastColumn="0" w:oddVBand="0" w:evenVBand="1" w:oddHBand="0" w:evenHBand="0" w:firstRowFirstColumn="0" w:firstRowLastColumn="0" w:lastRowFirstColumn="0" w:lastRowLastColumn="0"/>
            <w:tcW w:w="0" w:type="pct"/>
            <w:gridSpan w:val="2"/>
            <w:tcBorders>
              <w:top w:val="nil"/>
            </w:tcBorders>
            <w:hideMark/>
          </w:tcPr>
          <w:p w14:paraId="3778EBCB" w14:textId="77777777" w:rsidR="00F844B4" w:rsidRPr="0091707B" w:rsidRDefault="00F844B4" w:rsidP="000F6AD6">
            <w:pPr>
              <w:pStyle w:val="ARtablecolheadcentre"/>
            </w:pPr>
            <w:r w:rsidRPr="0091707B">
              <w:t>Men</w:t>
            </w:r>
          </w:p>
        </w:tc>
        <w:tc>
          <w:tcPr>
            <w:tcW w:w="0" w:type="pct"/>
            <w:gridSpan w:val="2"/>
            <w:tcBorders>
              <w:top w:val="nil"/>
            </w:tcBorders>
            <w:hideMark/>
          </w:tcPr>
          <w:p w14:paraId="34FA954D" w14:textId="77777777" w:rsidR="00F844B4" w:rsidRPr="0091707B" w:rsidRDefault="00F844B4" w:rsidP="000F6AD6">
            <w:pPr>
              <w:pStyle w:val="ARtablecolheadcentre"/>
              <w:cnfStyle w:val="100000000000" w:firstRow="1" w:lastRow="0" w:firstColumn="0" w:lastColumn="0" w:oddVBand="0" w:evenVBand="0" w:oddHBand="0" w:evenHBand="0" w:firstRowFirstColumn="0" w:firstRowLastColumn="0" w:lastRowFirstColumn="0" w:lastRowLastColumn="0"/>
            </w:pPr>
            <w:r w:rsidRPr="0091707B">
              <w:t>Self-described</w:t>
            </w:r>
          </w:p>
        </w:tc>
      </w:tr>
      <w:tr w:rsidR="00BB4B6F" w:rsidRPr="0091707B" w14:paraId="4B5E924F" w14:textId="77777777" w:rsidTr="002774B2">
        <w:trPr>
          <w:trHeight w:val="300"/>
        </w:trPr>
        <w:tc>
          <w:tcPr>
            <w:tcW w:w="1979" w:type="pct"/>
            <w:vMerge/>
            <w:tcBorders>
              <w:top w:val="single" w:sz="4" w:space="0" w:color="000000" w:themeColor="text1"/>
              <w:bottom w:val="single" w:sz="4" w:space="0" w:color="000000" w:themeColor="text1"/>
            </w:tcBorders>
            <w:hideMark/>
          </w:tcPr>
          <w:p w14:paraId="53F022F3" w14:textId="77777777" w:rsidR="00F844B4" w:rsidRPr="0091707B" w:rsidRDefault="00F844B4" w:rsidP="000F6AD6">
            <w:pPr>
              <w:pStyle w:val="ARtablecolheadright"/>
            </w:pPr>
          </w:p>
        </w:tc>
        <w:tc>
          <w:tcPr>
            <w:cnfStyle w:val="000001000000" w:firstRow="0" w:lastRow="0" w:firstColumn="0" w:lastColumn="0" w:oddVBand="0" w:evenVBand="1" w:oddHBand="0" w:evenHBand="0" w:firstRowFirstColumn="0" w:firstRowLastColumn="0" w:lastRowFirstColumn="0" w:lastRowLastColumn="0"/>
            <w:tcW w:w="377" w:type="pct"/>
            <w:tcBorders>
              <w:top w:val="single" w:sz="4" w:space="0" w:color="000000" w:themeColor="text1"/>
              <w:bottom w:val="single" w:sz="4" w:space="0" w:color="000000" w:themeColor="text1"/>
            </w:tcBorders>
            <w:hideMark/>
          </w:tcPr>
          <w:p w14:paraId="3E79B92A" w14:textId="77777777" w:rsidR="00F844B4" w:rsidRPr="0091707B" w:rsidRDefault="00F844B4" w:rsidP="000F6AD6">
            <w:pPr>
              <w:pStyle w:val="ARtablecolheadright"/>
            </w:pPr>
            <w:r w:rsidRPr="0091707B">
              <w:t>No.</w:t>
            </w:r>
          </w:p>
        </w:tc>
        <w:tc>
          <w:tcPr>
            <w:tcW w:w="378" w:type="pct"/>
            <w:tcBorders>
              <w:top w:val="single" w:sz="4" w:space="0" w:color="000000" w:themeColor="text1"/>
              <w:bottom w:val="single" w:sz="4" w:space="0" w:color="000000" w:themeColor="text1"/>
            </w:tcBorders>
            <w:shd w:val="clear" w:color="auto" w:fill="E7E6E6" w:themeFill="background2"/>
            <w:hideMark/>
          </w:tcPr>
          <w:p w14:paraId="5EC167E2" w14:textId="77777777" w:rsidR="00F844B4" w:rsidRPr="0091707B" w:rsidRDefault="00F844B4" w:rsidP="000F6AD6">
            <w:pPr>
              <w:pStyle w:val="ARtablecolheadright"/>
              <w:cnfStyle w:val="000000000000" w:firstRow="0" w:lastRow="0" w:firstColumn="0" w:lastColumn="0" w:oddVBand="0" w:evenVBand="0" w:oddHBand="0" w:evenHBand="0" w:firstRowFirstColumn="0" w:firstRowLastColumn="0" w:lastRowFirstColumn="0" w:lastRowLastColumn="0"/>
            </w:pPr>
            <w:r w:rsidRPr="0091707B">
              <w:t>Var.</w:t>
            </w:r>
          </w:p>
        </w:tc>
        <w:tc>
          <w:tcPr>
            <w:cnfStyle w:val="000001000000" w:firstRow="0" w:lastRow="0" w:firstColumn="0" w:lastColumn="0" w:oddVBand="0" w:evenVBand="1" w:oddHBand="0" w:evenHBand="0" w:firstRowFirstColumn="0" w:firstRowLastColumn="0" w:lastRowFirstColumn="0" w:lastRowLastColumn="0"/>
            <w:tcW w:w="377" w:type="pct"/>
            <w:tcBorders>
              <w:top w:val="single" w:sz="4" w:space="0" w:color="000000" w:themeColor="text1"/>
              <w:bottom w:val="single" w:sz="4" w:space="0" w:color="000000" w:themeColor="text1"/>
            </w:tcBorders>
            <w:shd w:val="clear" w:color="auto" w:fill="auto"/>
            <w:hideMark/>
          </w:tcPr>
          <w:p w14:paraId="3CBB2AF5" w14:textId="77777777" w:rsidR="00F844B4" w:rsidRPr="0091707B" w:rsidRDefault="00F844B4" w:rsidP="000F6AD6">
            <w:pPr>
              <w:pStyle w:val="ARtablecolheadright"/>
            </w:pPr>
            <w:r w:rsidRPr="0091707B">
              <w:t>No.</w:t>
            </w:r>
          </w:p>
        </w:tc>
        <w:tc>
          <w:tcPr>
            <w:tcW w:w="378" w:type="pct"/>
            <w:tcBorders>
              <w:top w:val="single" w:sz="4" w:space="0" w:color="000000" w:themeColor="text1"/>
              <w:bottom w:val="single" w:sz="4" w:space="0" w:color="000000" w:themeColor="text1"/>
            </w:tcBorders>
            <w:hideMark/>
          </w:tcPr>
          <w:p w14:paraId="736BDB62" w14:textId="77777777" w:rsidR="00F844B4" w:rsidRPr="0091707B" w:rsidRDefault="00F844B4" w:rsidP="000F6AD6">
            <w:pPr>
              <w:pStyle w:val="ARtablecolheadright"/>
              <w:cnfStyle w:val="000000000000" w:firstRow="0" w:lastRow="0" w:firstColumn="0" w:lastColumn="0" w:oddVBand="0" w:evenVBand="0" w:oddHBand="0" w:evenHBand="0" w:firstRowFirstColumn="0" w:firstRowLastColumn="0" w:lastRowFirstColumn="0" w:lastRowLastColumn="0"/>
            </w:pPr>
            <w:r w:rsidRPr="0091707B">
              <w:t>Var.</w:t>
            </w:r>
          </w:p>
        </w:tc>
        <w:tc>
          <w:tcPr>
            <w:cnfStyle w:val="000001000000" w:firstRow="0" w:lastRow="0" w:firstColumn="0" w:lastColumn="0" w:oddVBand="0" w:evenVBand="1" w:oddHBand="0" w:evenHBand="0" w:firstRowFirstColumn="0" w:firstRowLastColumn="0" w:lastRowFirstColumn="0" w:lastRowLastColumn="0"/>
            <w:tcW w:w="377" w:type="pct"/>
            <w:tcBorders>
              <w:top w:val="single" w:sz="4" w:space="0" w:color="000000" w:themeColor="text1"/>
              <w:bottom w:val="single" w:sz="4" w:space="0" w:color="000000" w:themeColor="text1"/>
            </w:tcBorders>
            <w:hideMark/>
          </w:tcPr>
          <w:p w14:paraId="0BCC2B67" w14:textId="77777777" w:rsidR="00F844B4" w:rsidRPr="0091707B" w:rsidRDefault="00F844B4" w:rsidP="000F6AD6">
            <w:pPr>
              <w:pStyle w:val="ARtablecolheadright"/>
            </w:pPr>
            <w:r w:rsidRPr="0091707B">
              <w:t>No.</w:t>
            </w:r>
          </w:p>
        </w:tc>
        <w:tc>
          <w:tcPr>
            <w:tcW w:w="378" w:type="pct"/>
            <w:tcBorders>
              <w:top w:val="single" w:sz="4" w:space="0" w:color="000000" w:themeColor="text1"/>
              <w:bottom w:val="single" w:sz="4" w:space="0" w:color="000000" w:themeColor="text1"/>
            </w:tcBorders>
            <w:shd w:val="clear" w:color="auto" w:fill="E7E6E6" w:themeFill="background2"/>
            <w:hideMark/>
          </w:tcPr>
          <w:p w14:paraId="32A9B801" w14:textId="77777777" w:rsidR="00F844B4" w:rsidRPr="0091707B" w:rsidRDefault="00F844B4" w:rsidP="000F6AD6">
            <w:pPr>
              <w:pStyle w:val="ARtablecolheadright"/>
              <w:cnfStyle w:val="000000000000" w:firstRow="0" w:lastRow="0" w:firstColumn="0" w:lastColumn="0" w:oddVBand="0" w:evenVBand="0" w:oddHBand="0" w:evenHBand="0" w:firstRowFirstColumn="0" w:firstRowLastColumn="0" w:lastRowFirstColumn="0" w:lastRowLastColumn="0"/>
            </w:pPr>
            <w:r w:rsidRPr="0091707B">
              <w:t>Var.</w:t>
            </w:r>
          </w:p>
        </w:tc>
        <w:tc>
          <w:tcPr>
            <w:cnfStyle w:val="000001000000" w:firstRow="0" w:lastRow="0" w:firstColumn="0" w:lastColumn="0" w:oddVBand="0" w:evenVBand="1" w:oddHBand="0" w:evenHBand="0" w:firstRowFirstColumn="0" w:firstRowLastColumn="0" w:lastRowFirstColumn="0" w:lastRowLastColumn="0"/>
            <w:tcW w:w="377" w:type="pct"/>
            <w:tcBorders>
              <w:top w:val="single" w:sz="4" w:space="0" w:color="000000" w:themeColor="text1"/>
              <w:bottom w:val="single" w:sz="4" w:space="0" w:color="000000" w:themeColor="text1"/>
            </w:tcBorders>
            <w:shd w:val="clear" w:color="auto" w:fill="auto"/>
            <w:hideMark/>
          </w:tcPr>
          <w:p w14:paraId="3404D0EF" w14:textId="77777777" w:rsidR="00F844B4" w:rsidRPr="0091707B" w:rsidRDefault="00F844B4" w:rsidP="000F6AD6">
            <w:pPr>
              <w:pStyle w:val="ARtablecolheadright"/>
            </w:pPr>
            <w:r w:rsidRPr="0091707B">
              <w:t>No.</w:t>
            </w:r>
          </w:p>
        </w:tc>
        <w:tc>
          <w:tcPr>
            <w:tcW w:w="378" w:type="pct"/>
            <w:tcBorders>
              <w:top w:val="single" w:sz="4" w:space="0" w:color="000000" w:themeColor="text1"/>
              <w:bottom w:val="single" w:sz="4" w:space="0" w:color="000000" w:themeColor="text1"/>
            </w:tcBorders>
            <w:hideMark/>
          </w:tcPr>
          <w:p w14:paraId="37D0411C" w14:textId="77777777" w:rsidR="00F844B4" w:rsidRPr="0091707B" w:rsidRDefault="00F844B4" w:rsidP="000F6AD6">
            <w:pPr>
              <w:pStyle w:val="ARtablecolheadright"/>
              <w:cnfStyle w:val="000000000000" w:firstRow="0" w:lastRow="0" w:firstColumn="0" w:lastColumn="0" w:oddVBand="0" w:evenVBand="0" w:oddHBand="0" w:evenHBand="0" w:firstRowFirstColumn="0" w:firstRowLastColumn="0" w:lastRowFirstColumn="0" w:lastRowLastColumn="0"/>
            </w:pPr>
            <w:r w:rsidRPr="0091707B">
              <w:t>Var.</w:t>
            </w:r>
          </w:p>
        </w:tc>
      </w:tr>
      <w:tr w:rsidR="00BB4B6F" w:rsidRPr="0091707B" w14:paraId="282C8719" w14:textId="77777777" w:rsidTr="002774B2">
        <w:trPr>
          <w:trHeight w:val="300"/>
        </w:trPr>
        <w:tc>
          <w:tcPr>
            <w:tcW w:w="1979" w:type="pct"/>
            <w:tcBorders>
              <w:top w:val="single" w:sz="4" w:space="0" w:color="000000" w:themeColor="text1"/>
              <w:bottom w:val="single" w:sz="4" w:space="0" w:color="A6A6A6" w:themeColor="accent5"/>
            </w:tcBorders>
            <w:hideMark/>
          </w:tcPr>
          <w:p w14:paraId="061FB0F4" w14:textId="77777777" w:rsidR="00F844B4" w:rsidRPr="0091707B" w:rsidRDefault="00F844B4" w:rsidP="000F6AD6">
            <w:pPr>
              <w:pStyle w:val="ARtabletext"/>
            </w:pPr>
            <w:r w:rsidRPr="0091707B">
              <w:t>Commission for Children and Young People</w:t>
            </w:r>
          </w:p>
        </w:tc>
        <w:tc>
          <w:tcPr>
            <w:cnfStyle w:val="000001000000" w:firstRow="0" w:lastRow="0" w:firstColumn="0" w:lastColumn="0" w:oddVBand="0" w:evenVBand="1" w:oddHBand="0" w:evenHBand="0" w:firstRowFirstColumn="0" w:firstRowLastColumn="0" w:lastRowFirstColumn="0" w:lastRowLastColumn="0"/>
            <w:tcW w:w="377" w:type="pct"/>
            <w:tcBorders>
              <w:top w:val="single" w:sz="4" w:space="0" w:color="000000" w:themeColor="text1"/>
              <w:bottom w:val="single" w:sz="4" w:space="0" w:color="A6A6A6" w:themeColor="accent5"/>
            </w:tcBorders>
            <w:hideMark/>
          </w:tcPr>
          <w:p w14:paraId="08D4225D" w14:textId="77777777" w:rsidR="00F844B4" w:rsidRPr="0091707B" w:rsidRDefault="00F844B4" w:rsidP="000F6AD6">
            <w:pPr>
              <w:pStyle w:val="ARtabletextright"/>
            </w:pPr>
            <w:r w:rsidRPr="0091707B">
              <w:t>3</w:t>
            </w:r>
          </w:p>
        </w:tc>
        <w:tc>
          <w:tcPr>
            <w:tcW w:w="378" w:type="pct"/>
            <w:tcBorders>
              <w:top w:val="single" w:sz="4" w:space="0" w:color="000000" w:themeColor="text1"/>
              <w:bottom w:val="single" w:sz="4" w:space="0" w:color="A6A6A6" w:themeColor="accent5"/>
            </w:tcBorders>
            <w:shd w:val="clear" w:color="auto" w:fill="E7E6E6" w:themeFill="background2"/>
            <w:hideMark/>
          </w:tcPr>
          <w:p w14:paraId="4D36F338"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tcBorders>
              <w:top w:val="single" w:sz="4" w:space="0" w:color="000000" w:themeColor="text1"/>
              <w:bottom w:val="single" w:sz="4" w:space="0" w:color="A6A6A6" w:themeColor="accent5"/>
            </w:tcBorders>
            <w:shd w:val="clear" w:color="auto" w:fill="auto"/>
            <w:hideMark/>
          </w:tcPr>
          <w:p w14:paraId="501D9657" w14:textId="77777777" w:rsidR="00F844B4" w:rsidRPr="0091707B" w:rsidRDefault="00F844B4" w:rsidP="000F6AD6">
            <w:pPr>
              <w:pStyle w:val="ARtabletextright"/>
            </w:pPr>
            <w:r w:rsidRPr="0091707B">
              <w:t>3</w:t>
            </w:r>
          </w:p>
        </w:tc>
        <w:tc>
          <w:tcPr>
            <w:tcW w:w="378" w:type="pct"/>
            <w:tcBorders>
              <w:top w:val="single" w:sz="4" w:space="0" w:color="000000" w:themeColor="text1"/>
              <w:bottom w:val="single" w:sz="4" w:space="0" w:color="A6A6A6" w:themeColor="accent5"/>
            </w:tcBorders>
            <w:hideMark/>
          </w:tcPr>
          <w:p w14:paraId="1A1D7022"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tcBorders>
              <w:top w:val="single" w:sz="4" w:space="0" w:color="000000" w:themeColor="text1"/>
              <w:bottom w:val="single" w:sz="4" w:space="0" w:color="A6A6A6" w:themeColor="accent5"/>
            </w:tcBorders>
            <w:hideMark/>
          </w:tcPr>
          <w:p w14:paraId="76638ABC" w14:textId="77777777" w:rsidR="00F844B4" w:rsidRPr="0091707B" w:rsidRDefault="00F844B4" w:rsidP="000F6AD6">
            <w:pPr>
              <w:pStyle w:val="ARtabletextright"/>
            </w:pPr>
            <w:r w:rsidRPr="0091707B">
              <w:t>0</w:t>
            </w:r>
          </w:p>
        </w:tc>
        <w:tc>
          <w:tcPr>
            <w:tcW w:w="378" w:type="pct"/>
            <w:tcBorders>
              <w:top w:val="single" w:sz="4" w:space="0" w:color="000000" w:themeColor="text1"/>
              <w:bottom w:val="single" w:sz="4" w:space="0" w:color="A6A6A6" w:themeColor="accent5"/>
            </w:tcBorders>
            <w:shd w:val="clear" w:color="auto" w:fill="E7E6E6" w:themeFill="background2"/>
            <w:hideMark/>
          </w:tcPr>
          <w:p w14:paraId="63CE4BF3"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tcBorders>
              <w:top w:val="single" w:sz="4" w:space="0" w:color="000000" w:themeColor="text1"/>
              <w:bottom w:val="single" w:sz="4" w:space="0" w:color="A6A6A6" w:themeColor="accent5"/>
            </w:tcBorders>
            <w:shd w:val="clear" w:color="auto" w:fill="auto"/>
            <w:hideMark/>
          </w:tcPr>
          <w:p w14:paraId="7C449AA4" w14:textId="77777777" w:rsidR="00F844B4" w:rsidRPr="0091707B" w:rsidRDefault="00F844B4" w:rsidP="000F6AD6">
            <w:pPr>
              <w:pStyle w:val="ARtabletextright"/>
            </w:pPr>
            <w:r w:rsidRPr="0091707B">
              <w:t>0</w:t>
            </w:r>
          </w:p>
        </w:tc>
        <w:tc>
          <w:tcPr>
            <w:tcW w:w="378" w:type="pct"/>
            <w:tcBorders>
              <w:top w:val="single" w:sz="4" w:space="0" w:color="000000" w:themeColor="text1"/>
              <w:bottom w:val="single" w:sz="4" w:space="0" w:color="A6A6A6" w:themeColor="accent5"/>
            </w:tcBorders>
            <w:hideMark/>
          </w:tcPr>
          <w:p w14:paraId="6EED7EF6"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r>
      <w:tr w:rsidR="00BB4B6F" w:rsidRPr="0091707B" w14:paraId="2D2A7D3B" w14:textId="77777777" w:rsidTr="002774B2">
        <w:trPr>
          <w:trHeight w:val="300"/>
        </w:trPr>
        <w:tc>
          <w:tcPr>
            <w:tcW w:w="1979" w:type="pct"/>
            <w:tcBorders>
              <w:top w:val="single" w:sz="4" w:space="0" w:color="A6A6A6" w:themeColor="accent5"/>
            </w:tcBorders>
            <w:hideMark/>
          </w:tcPr>
          <w:p w14:paraId="4F479AEE" w14:textId="77777777" w:rsidR="00F844B4" w:rsidRPr="0091707B" w:rsidRDefault="00F844B4" w:rsidP="000F6AD6">
            <w:pPr>
              <w:pStyle w:val="ARtabletext"/>
            </w:pPr>
            <w:r w:rsidRPr="0091707B">
              <w:t xml:space="preserve">Disability Services Commissioner </w:t>
            </w:r>
          </w:p>
        </w:tc>
        <w:tc>
          <w:tcPr>
            <w:cnfStyle w:val="000001000000" w:firstRow="0" w:lastRow="0" w:firstColumn="0" w:lastColumn="0" w:oddVBand="0" w:evenVBand="1" w:oddHBand="0" w:evenHBand="0" w:firstRowFirstColumn="0" w:firstRowLastColumn="0" w:lastRowFirstColumn="0" w:lastRowLastColumn="0"/>
            <w:tcW w:w="377" w:type="pct"/>
            <w:tcBorders>
              <w:top w:val="single" w:sz="4" w:space="0" w:color="A6A6A6" w:themeColor="accent5"/>
            </w:tcBorders>
            <w:hideMark/>
          </w:tcPr>
          <w:p w14:paraId="090F75EE" w14:textId="77777777" w:rsidR="00F844B4" w:rsidRPr="0091707B" w:rsidRDefault="00F844B4" w:rsidP="000F6AD6">
            <w:pPr>
              <w:pStyle w:val="ARtabletextright"/>
            </w:pPr>
            <w:r w:rsidRPr="0091707B">
              <w:t>1</w:t>
            </w:r>
          </w:p>
        </w:tc>
        <w:tc>
          <w:tcPr>
            <w:tcW w:w="378" w:type="pct"/>
            <w:tcBorders>
              <w:top w:val="single" w:sz="4" w:space="0" w:color="A6A6A6" w:themeColor="accent5"/>
            </w:tcBorders>
            <w:shd w:val="clear" w:color="auto" w:fill="E7E6E6" w:themeFill="background2"/>
            <w:hideMark/>
          </w:tcPr>
          <w:p w14:paraId="312BDA4B"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tcBorders>
              <w:top w:val="single" w:sz="4" w:space="0" w:color="A6A6A6" w:themeColor="accent5"/>
            </w:tcBorders>
            <w:shd w:val="clear" w:color="auto" w:fill="auto"/>
            <w:hideMark/>
          </w:tcPr>
          <w:p w14:paraId="7A6236E0" w14:textId="77777777" w:rsidR="00F844B4" w:rsidRPr="0091707B" w:rsidRDefault="00F844B4" w:rsidP="000F6AD6">
            <w:pPr>
              <w:pStyle w:val="ARtabletextright"/>
            </w:pPr>
            <w:r w:rsidRPr="0091707B">
              <w:t>1</w:t>
            </w:r>
          </w:p>
        </w:tc>
        <w:tc>
          <w:tcPr>
            <w:tcW w:w="378" w:type="pct"/>
            <w:tcBorders>
              <w:top w:val="single" w:sz="4" w:space="0" w:color="A6A6A6" w:themeColor="accent5"/>
            </w:tcBorders>
            <w:hideMark/>
          </w:tcPr>
          <w:p w14:paraId="24E02218"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tcBorders>
              <w:top w:val="single" w:sz="4" w:space="0" w:color="A6A6A6" w:themeColor="accent5"/>
            </w:tcBorders>
            <w:hideMark/>
          </w:tcPr>
          <w:p w14:paraId="4588A9CB" w14:textId="77777777" w:rsidR="00F844B4" w:rsidRPr="0091707B" w:rsidRDefault="00F844B4" w:rsidP="000F6AD6">
            <w:pPr>
              <w:pStyle w:val="ARtabletextright"/>
            </w:pPr>
            <w:r w:rsidRPr="0091707B">
              <w:t>0</w:t>
            </w:r>
          </w:p>
        </w:tc>
        <w:tc>
          <w:tcPr>
            <w:tcW w:w="378" w:type="pct"/>
            <w:tcBorders>
              <w:top w:val="single" w:sz="4" w:space="0" w:color="A6A6A6" w:themeColor="accent5"/>
            </w:tcBorders>
            <w:shd w:val="clear" w:color="auto" w:fill="E7E6E6" w:themeFill="background2"/>
            <w:hideMark/>
          </w:tcPr>
          <w:p w14:paraId="26E697A1"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tcBorders>
              <w:top w:val="single" w:sz="4" w:space="0" w:color="A6A6A6" w:themeColor="accent5"/>
            </w:tcBorders>
            <w:shd w:val="clear" w:color="auto" w:fill="auto"/>
            <w:hideMark/>
          </w:tcPr>
          <w:p w14:paraId="7753CEE1" w14:textId="77777777" w:rsidR="00F844B4" w:rsidRPr="0091707B" w:rsidRDefault="00F844B4" w:rsidP="000F6AD6">
            <w:pPr>
              <w:pStyle w:val="ARtabletextright"/>
            </w:pPr>
            <w:r w:rsidRPr="0091707B">
              <w:t>0</w:t>
            </w:r>
          </w:p>
        </w:tc>
        <w:tc>
          <w:tcPr>
            <w:tcW w:w="378" w:type="pct"/>
            <w:tcBorders>
              <w:top w:val="single" w:sz="4" w:space="0" w:color="A6A6A6" w:themeColor="accent5"/>
            </w:tcBorders>
            <w:hideMark/>
          </w:tcPr>
          <w:p w14:paraId="6534944F"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r>
      <w:tr w:rsidR="00BB4B6F" w:rsidRPr="0091707B" w14:paraId="4AE06A4D" w14:textId="77777777" w:rsidTr="002774B2">
        <w:trPr>
          <w:trHeight w:val="300"/>
        </w:trPr>
        <w:tc>
          <w:tcPr>
            <w:tcW w:w="1979" w:type="pct"/>
            <w:hideMark/>
          </w:tcPr>
          <w:p w14:paraId="521314CD" w14:textId="77777777" w:rsidR="00F844B4" w:rsidRPr="0091707B" w:rsidRDefault="00F844B4" w:rsidP="000F6AD6">
            <w:pPr>
              <w:pStyle w:val="ARtabletext"/>
            </w:pPr>
            <w:r w:rsidRPr="0091707B">
              <w:t>Queen Victoria Women’s Centre Trust</w:t>
            </w:r>
          </w:p>
        </w:tc>
        <w:tc>
          <w:tcPr>
            <w:cnfStyle w:val="000001000000" w:firstRow="0" w:lastRow="0" w:firstColumn="0" w:lastColumn="0" w:oddVBand="0" w:evenVBand="1" w:oddHBand="0" w:evenHBand="0" w:firstRowFirstColumn="0" w:firstRowLastColumn="0" w:lastRowFirstColumn="0" w:lastRowLastColumn="0"/>
            <w:tcW w:w="377" w:type="pct"/>
            <w:hideMark/>
          </w:tcPr>
          <w:p w14:paraId="4111EA8B" w14:textId="77777777" w:rsidR="00F844B4" w:rsidRPr="0091707B" w:rsidRDefault="00F844B4" w:rsidP="000F6AD6">
            <w:pPr>
              <w:pStyle w:val="ARtabletextright"/>
            </w:pPr>
            <w:r w:rsidRPr="0091707B">
              <w:t>1</w:t>
            </w:r>
          </w:p>
        </w:tc>
        <w:tc>
          <w:tcPr>
            <w:tcW w:w="378" w:type="pct"/>
            <w:shd w:val="clear" w:color="auto" w:fill="E7E6E6" w:themeFill="background2"/>
            <w:hideMark/>
          </w:tcPr>
          <w:p w14:paraId="675FA9D0"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shd w:val="clear" w:color="auto" w:fill="auto"/>
            <w:hideMark/>
          </w:tcPr>
          <w:p w14:paraId="5C02902A" w14:textId="77777777" w:rsidR="00F844B4" w:rsidRPr="0091707B" w:rsidRDefault="00F844B4" w:rsidP="000F6AD6">
            <w:pPr>
              <w:pStyle w:val="ARtabletextright"/>
            </w:pPr>
            <w:r w:rsidRPr="0091707B">
              <w:t>1</w:t>
            </w:r>
          </w:p>
        </w:tc>
        <w:tc>
          <w:tcPr>
            <w:tcW w:w="378" w:type="pct"/>
            <w:hideMark/>
          </w:tcPr>
          <w:p w14:paraId="696181E8"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hideMark/>
          </w:tcPr>
          <w:p w14:paraId="5CC19BA3" w14:textId="77777777" w:rsidR="00F844B4" w:rsidRPr="0091707B" w:rsidRDefault="00F844B4" w:rsidP="000F6AD6">
            <w:pPr>
              <w:pStyle w:val="ARtabletextright"/>
            </w:pPr>
            <w:r w:rsidRPr="0091707B">
              <w:t>0</w:t>
            </w:r>
          </w:p>
        </w:tc>
        <w:tc>
          <w:tcPr>
            <w:tcW w:w="378" w:type="pct"/>
            <w:shd w:val="clear" w:color="auto" w:fill="E7E6E6" w:themeFill="background2"/>
            <w:hideMark/>
          </w:tcPr>
          <w:p w14:paraId="0A7CADCF"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shd w:val="clear" w:color="auto" w:fill="auto"/>
            <w:hideMark/>
          </w:tcPr>
          <w:p w14:paraId="6C249FC2" w14:textId="77777777" w:rsidR="00F844B4" w:rsidRPr="0091707B" w:rsidRDefault="00F844B4" w:rsidP="000F6AD6">
            <w:pPr>
              <w:pStyle w:val="ARtabletextright"/>
            </w:pPr>
            <w:r w:rsidRPr="0091707B">
              <w:t>0</w:t>
            </w:r>
          </w:p>
        </w:tc>
        <w:tc>
          <w:tcPr>
            <w:tcW w:w="378" w:type="pct"/>
            <w:hideMark/>
          </w:tcPr>
          <w:p w14:paraId="5411D335"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r>
      <w:tr w:rsidR="00BB4B6F" w:rsidRPr="0091707B" w14:paraId="6769D051" w14:textId="77777777" w:rsidTr="002774B2">
        <w:trPr>
          <w:trHeight w:val="300"/>
        </w:trPr>
        <w:tc>
          <w:tcPr>
            <w:tcW w:w="1979" w:type="pct"/>
            <w:hideMark/>
          </w:tcPr>
          <w:p w14:paraId="1E5AE1D8" w14:textId="77777777" w:rsidR="00F844B4" w:rsidRPr="0091707B" w:rsidRDefault="00F844B4" w:rsidP="000F6AD6">
            <w:pPr>
              <w:pStyle w:val="ARtabletext"/>
            </w:pPr>
            <w:r w:rsidRPr="0091707B">
              <w:t>Respect Victoria</w:t>
            </w:r>
          </w:p>
        </w:tc>
        <w:tc>
          <w:tcPr>
            <w:cnfStyle w:val="000001000000" w:firstRow="0" w:lastRow="0" w:firstColumn="0" w:lastColumn="0" w:oddVBand="0" w:evenVBand="1" w:oddHBand="0" w:evenHBand="0" w:firstRowFirstColumn="0" w:firstRowLastColumn="0" w:lastRowFirstColumn="0" w:lastRowLastColumn="0"/>
            <w:tcW w:w="377" w:type="pct"/>
            <w:hideMark/>
          </w:tcPr>
          <w:p w14:paraId="1F96D517" w14:textId="77777777" w:rsidR="00F844B4" w:rsidRPr="0091707B" w:rsidRDefault="00F844B4" w:rsidP="000F6AD6">
            <w:pPr>
              <w:pStyle w:val="ARtabletextright"/>
            </w:pPr>
            <w:r w:rsidRPr="0091707B">
              <w:t>3</w:t>
            </w:r>
          </w:p>
        </w:tc>
        <w:tc>
          <w:tcPr>
            <w:tcW w:w="378" w:type="pct"/>
            <w:shd w:val="clear" w:color="auto" w:fill="E7E6E6" w:themeFill="background2"/>
            <w:hideMark/>
          </w:tcPr>
          <w:p w14:paraId="7879A0FA"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t>0</w:t>
            </w:r>
          </w:p>
        </w:tc>
        <w:tc>
          <w:tcPr>
            <w:cnfStyle w:val="000001000000" w:firstRow="0" w:lastRow="0" w:firstColumn="0" w:lastColumn="0" w:oddVBand="0" w:evenVBand="1" w:oddHBand="0" w:evenHBand="0" w:firstRowFirstColumn="0" w:firstRowLastColumn="0" w:lastRowFirstColumn="0" w:lastRowLastColumn="0"/>
            <w:tcW w:w="377" w:type="pct"/>
            <w:shd w:val="clear" w:color="auto" w:fill="auto"/>
            <w:hideMark/>
          </w:tcPr>
          <w:p w14:paraId="6D219DEA" w14:textId="77777777" w:rsidR="00F844B4" w:rsidRPr="0091707B" w:rsidRDefault="00F844B4" w:rsidP="000F6AD6">
            <w:pPr>
              <w:pStyle w:val="ARtabletextright"/>
            </w:pPr>
            <w:r w:rsidRPr="0091707B">
              <w:t>3</w:t>
            </w:r>
          </w:p>
        </w:tc>
        <w:tc>
          <w:tcPr>
            <w:tcW w:w="378" w:type="pct"/>
            <w:hideMark/>
          </w:tcPr>
          <w:p w14:paraId="3DB40707"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t>0</w:t>
            </w:r>
          </w:p>
        </w:tc>
        <w:tc>
          <w:tcPr>
            <w:cnfStyle w:val="000001000000" w:firstRow="0" w:lastRow="0" w:firstColumn="0" w:lastColumn="0" w:oddVBand="0" w:evenVBand="1" w:oddHBand="0" w:evenHBand="0" w:firstRowFirstColumn="0" w:firstRowLastColumn="0" w:lastRowFirstColumn="0" w:lastRowLastColumn="0"/>
            <w:tcW w:w="377" w:type="pct"/>
            <w:hideMark/>
          </w:tcPr>
          <w:p w14:paraId="3E7E7C79" w14:textId="77777777" w:rsidR="00F844B4" w:rsidRPr="0091707B" w:rsidRDefault="00F844B4" w:rsidP="000F6AD6">
            <w:pPr>
              <w:pStyle w:val="ARtabletextright"/>
            </w:pPr>
            <w:r w:rsidRPr="0091707B">
              <w:t>0</w:t>
            </w:r>
          </w:p>
        </w:tc>
        <w:tc>
          <w:tcPr>
            <w:tcW w:w="378" w:type="pct"/>
            <w:shd w:val="clear" w:color="auto" w:fill="E7E6E6" w:themeFill="background2"/>
            <w:hideMark/>
          </w:tcPr>
          <w:p w14:paraId="1579FB23"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shd w:val="clear" w:color="auto" w:fill="auto"/>
            <w:hideMark/>
          </w:tcPr>
          <w:p w14:paraId="03A424A4" w14:textId="77777777" w:rsidR="00F844B4" w:rsidRPr="0091707B" w:rsidRDefault="00F844B4" w:rsidP="000F6AD6">
            <w:pPr>
              <w:pStyle w:val="ARtabletextright"/>
            </w:pPr>
            <w:r w:rsidRPr="0091707B">
              <w:t>0</w:t>
            </w:r>
          </w:p>
        </w:tc>
        <w:tc>
          <w:tcPr>
            <w:tcW w:w="378" w:type="pct"/>
            <w:hideMark/>
          </w:tcPr>
          <w:p w14:paraId="4B1E6086"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t>0</w:t>
            </w:r>
          </w:p>
        </w:tc>
      </w:tr>
      <w:tr w:rsidR="00BB4B6F" w:rsidRPr="0091707B" w14:paraId="14D996B0" w14:textId="77777777" w:rsidTr="002774B2">
        <w:trPr>
          <w:trHeight w:val="300"/>
        </w:trPr>
        <w:tc>
          <w:tcPr>
            <w:tcW w:w="1979" w:type="pct"/>
            <w:hideMark/>
          </w:tcPr>
          <w:p w14:paraId="616992E2" w14:textId="77777777" w:rsidR="00F844B4" w:rsidRPr="0091707B" w:rsidRDefault="00F844B4" w:rsidP="000F6AD6">
            <w:pPr>
              <w:pStyle w:val="ARtabletext"/>
            </w:pPr>
            <w:r w:rsidRPr="0091707B">
              <w:t>Shrine of Remembrance Trustees</w:t>
            </w:r>
          </w:p>
        </w:tc>
        <w:tc>
          <w:tcPr>
            <w:cnfStyle w:val="000001000000" w:firstRow="0" w:lastRow="0" w:firstColumn="0" w:lastColumn="0" w:oddVBand="0" w:evenVBand="1" w:oddHBand="0" w:evenHBand="0" w:firstRowFirstColumn="0" w:firstRowLastColumn="0" w:lastRowFirstColumn="0" w:lastRowLastColumn="0"/>
            <w:tcW w:w="377" w:type="pct"/>
            <w:hideMark/>
          </w:tcPr>
          <w:p w14:paraId="2A34D1AD" w14:textId="77777777" w:rsidR="00F844B4" w:rsidRPr="0091707B" w:rsidRDefault="00F844B4" w:rsidP="000F6AD6">
            <w:pPr>
              <w:pStyle w:val="ARtabletextright"/>
            </w:pPr>
            <w:r w:rsidRPr="0091707B">
              <w:t>4</w:t>
            </w:r>
          </w:p>
        </w:tc>
        <w:tc>
          <w:tcPr>
            <w:tcW w:w="378" w:type="pct"/>
            <w:shd w:val="clear" w:color="auto" w:fill="E7E6E6" w:themeFill="background2"/>
            <w:hideMark/>
          </w:tcPr>
          <w:p w14:paraId="475CB110"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shd w:val="clear" w:color="auto" w:fill="auto"/>
            <w:hideMark/>
          </w:tcPr>
          <w:p w14:paraId="4A019D23" w14:textId="77777777" w:rsidR="00F844B4" w:rsidRPr="0091707B" w:rsidRDefault="00F844B4" w:rsidP="000F6AD6">
            <w:pPr>
              <w:pStyle w:val="ARtabletextright"/>
            </w:pPr>
            <w:r w:rsidRPr="0091707B">
              <w:t>1</w:t>
            </w:r>
          </w:p>
        </w:tc>
        <w:tc>
          <w:tcPr>
            <w:tcW w:w="378" w:type="pct"/>
            <w:hideMark/>
          </w:tcPr>
          <w:p w14:paraId="3AF617E4"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hideMark/>
          </w:tcPr>
          <w:p w14:paraId="0DFF46F2" w14:textId="77777777" w:rsidR="00F844B4" w:rsidRPr="0091707B" w:rsidRDefault="00F844B4" w:rsidP="000F6AD6">
            <w:pPr>
              <w:pStyle w:val="ARtabletextright"/>
            </w:pPr>
            <w:r w:rsidRPr="0091707B">
              <w:t>3</w:t>
            </w:r>
          </w:p>
        </w:tc>
        <w:tc>
          <w:tcPr>
            <w:tcW w:w="378" w:type="pct"/>
            <w:shd w:val="clear" w:color="auto" w:fill="E7E6E6" w:themeFill="background2"/>
            <w:hideMark/>
          </w:tcPr>
          <w:p w14:paraId="15515F79"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shd w:val="clear" w:color="auto" w:fill="auto"/>
            <w:hideMark/>
          </w:tcPr>
          <w:p w14:paraId="6DC86937" w14:textId="77777777" w:rsidR="00F844B4" w:rsidRPr="0091707B" w:rsidRDefault="00F844B4" w:rsidP="000F6AD6">
            <w:pPr>
              <w:pStyle w:val="ARtabletextright"/>
            </w:pPr>
            <w:r w:rsidRPr="0091707B">
              <w:t>0</w:t>
            </w:r>
          </w:p>
        </w:tc>
        <w:tc>
          <w:tcPr>
            <w:tcW w:w="378" w:type="pct"/>
            <w:hideMark/>
          </w:tcPr>
          <w:p w14:paraId="3C794F07"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r>
      <w:tr w:rsidR="00BB4B6F" w:rsidRPr="0091707B" w14:paraId="7A752B8E" w14:textId="77777777" w:rsidTr="002774B2">
        <w:trPr>
          <w:trHeight w:val="300"/>
        </w:trPr>
        <w:tc>
          <w:tcPr>
            <w:tcW w:w="1979" w:type="pct"/>
          </w:tcPr>
          <w:p w14:paraId="0F588343" w14:textId="77777777" w:rsidR="00A17C7A" w:rsidRPr="0091707B" w:rsidRDefault="00A17C7A">
            <w:pPr>
              <w:pStyle w:val="ARtabletext"/>
            </w:pPr>
            <w:r>
              <w:t>Social Services Regulator</w:t>
            </w:r>
          </w:p>
        </w:tc>
        <w:tc>
          <w:tcPr>
            <w:cnfStyle w:val="000001000000" w:firstRow="0" w:lastRow="0" w:firstColumn="0" w:lastColumn="0" w:oddVBand="0" w:evenVBand="1" w:oddHBand="0" w:evenHBand="0" w:firstRowFirstColumn="0" w:firstRowLastColumn="0" w:lastRowFirstColumn="0" w:lastRowLastColumn="0"/>
            <w:tcW w:w="375" w:type="pct"/>
          </w:tcPr>
          <w:p w14:paraId="51B058B6" w14:textId="77777777" w:rsidR="00A17C7A" w:rsidRPr="0091707B" w:rsidRDefault="00A17C7A">
            <w:pPr>
              <w:pStyle w:val="ARtabletextright"/>
            </w:pPr>
            <w:r>
              <w:t>2</w:t>
            </w:r>
          </w:p>
        </w:tc>
        <w:tc>
          <w:tcPr>
            <w:tcW w:w="377" w:type="pct"/>
            <w:shd w:val="clear" w:color="auto" w:fill="E7E6E6" w:themeFill="background2"/>
          </w:tcPr>
          <w:p w14:paraId="754820DF" w14:textId="77777777" w:rsidR="00A17C7A" w:rsidRPr="0091707B" w:rsidRDefault="00A17C7A">
            <w:pPr>
              <w:pStyle w:val="ARtabletextright"/>
              <w:cnfStyle w:val="000000000000" w:firstRow="0" w:lastRow="0" w:firstColumn="0" w:lastColumn="0" w:oddVBand="0" w:evenVBand="0" w:oddHBand="0" w:evenHBand="0" w:firstRowFirstColumn="0" w:firstRowLastColumn="0" w:lastRowFirstColumn="0" w:lastRowLastColumn="0"/>
            </w:pPr>
            <w:r>
              <w:t>N/A</w:t>
            </w:r>
          </w:p>
        </w:tc>
        <w:tc>
          <w:tcPr>
            <w:cnfStyle w:val="000001000000" w:firstRow="0" w:lastRow="0" w:firstColumn="0" w:lastColumn="0" w:oddVBand="0" w:evenVBand="1" w:oddHBand="0" w:evenHBand="0" w:firstRowFirstColumn="0" w:firstRowLastColumn="0" w:lastRowFirstColumn="0" w:lastRowLastColumn="0"/>
            <w:tcW w:w="375" w:type="pct"/>
            <w:shd w:val="clear" w:color="auto" w:fill="auto"/>
          </w:tcPr>
          <w:p w14:paraId="6B21F449" w14:textId="77777777" w:rsidR="00A17C7A" w:rsidRPr="0091707B" w:rsidRDefault="00A17C7A">
            <w:pPr>
              <w:pStyle w:val="ARtabletextright"/>
            </w:pPr>
            <w:r>
              <w:t>0</w:t>
            </w:r>
          </w:p>
        </w:tc>
        <w:tc>
          <w:tcPr>
            <w:tcW w:w="377" w:type="pct"/>
          </w:tcPr>
          <w:p w14:paraId="10A5764E" w14:textId="77777777" w:rsidR="00A17C7A" w:rsidRPr="0091707B" w:rsidRDefault="00A17C7A">
            <w:pPr>
              <w:pStyle w:val="ARtabletextright"/>
              <w:cnfStyle w:val="000000000000" w:firstRow="0" w:lastRow="0" w:firstColumn="0" w:lastColumn="0" w:oddVBand="0" w:evenVBand="0" w:oddHBand="0" w:evenHBand="0" w:firstRowFirstColumn="0" w:firstRowLastColumn="0" w:lastRowFirstColumn="0" w:lastRowLastColumn="0"/>
            </w:pPr>
            <w:r>
              <w:t>N/A</w:t>
            </w:r>
          </w:p>
        </w:tc>
        <w:tc>
          <w:tcPr>
            <w:cnfStyle w:val="000001000000" w:firstRow="0" w:lastRow="0" w:firstColumn="0" w:lastColumn="0" w:oddVBand="0" w:evenVBand="1" w:oddHBand="0" w:evenHBand="0" w:firstRowFirstColumn="0" w:firstRowLastColumn="0" w:lastRowFirstColumn="0" w:lastRowLastColumn="0"/>
            <w:tcW w:w="376" w:type="pct"/>
          </w:tcPr>
          <w:p w14:paraId="36B84376" w14:textId="77777777" w:rsidR="00A17C7A" w:rsidRPr="0091707B" w:rsidRDefault="00A17C7A">
            <w:pPr>
              <w:pStyle w:val="ARtabletextright"/>
            </w:pPr>
            <w:r>
              <w:t>2</w:t>
            </w:r>
          </w:p>
        </w:tc>
        <w:tc>
          <w:tcPr>
            <w:tcW w:w="377" w:type="pct"/>
            <w:shd w:val="clear" w:color="auto" w:fill="E7E6E6" w:themeFill="background2"/>
          </w:tcPr>
          <w:p w14:paraId="5600D763" w14:textId="77777777" w:rsidR="00A17C7A" w:rsidRPr="0091707B" w:rsidRDefault="00A17C7A">
            <w:pPr>
              <w:pStyle w:val="ARtabletextright"/>
              <w:cnfStyle w:val="000000000000" w:firstRow="0" w:lastRow="0" w:firstColumn="0" w:lastColumn="0" w:oddVBand="0" w:evenVBand="0" w:oddHBand="0" w:evenHBand="0" w:firstRowFirstColumn="0" w:firstRowLastColumn="0" w:lastRowFirstColumn="0" w:lastRowLastColumn="0"/>
            </w:pPr>
            <w:r>
              <w:t>N/A</w:t>
            </w:r>
          </w:p>
        </w:tc>
        <w:tc>
          <w:tcPr>
            <w:cnfStyle w:val="000001000000" w:firstRow="0" w:lastRow="0" w:firstColumn="0" w:lastColumn="0" w:oddVBand="0" w:evenVBand="1" w:oddHBand="0" w:evenHBand="0" w:firstRowFirstColumn="0" w:firstRowLastColumn="0" w:lastRowFirstColumn="0" w:lastRowLastColumn="0"/>
            <w:tcW w:w="376" w:type="pct"/>
            <w:shd w:val="clear" w:color="auto" w:fill="auto"/>
          </w:tcPr>
          <w:p w14:paraId="7953E2C7" w14:textId="77777777" w:rsidR="00A17C7A" w:rsidRPr="0091707B" w:rsidRDefault="00A17C7A">
            <w:pPr>
              <w:pStyle w:val="ARtabletextright"/>
            </w:pPr>
            <w:r>
              <w:t>0</w:t>
            </w:r>
          </w:p>
        </w:tc>
        <w:tc>
          <w:tcPr>
            <w:tcW w:w="387" w:type="pct"/>
          </w:tcPr>
          <w:p w14:paraId="222FE920" w14:textId="77777777" w:rsidR="00A17C7A" w:rsidRPr="0091707B" w:rsidRDefault="00A17C7A">
            <w:pPr>
              <w:pStyle w:val="ARtabletextright"/>
              <w:cnfStyle w:val="000000000000" w:firstRow="0" w:lastRow="0" w:firstColumn="0" w:lastColumn="0" w:oddVBand="0" w:evenVBand="0" w:oddHBand="0" w:evenHBand="0" w:firstRowFirstColumn="0" w:firstRowLastColumn="0" w:lastRowFirstColumn="0" w:lastRowLastColumn="0"/>
            </w:pPr>
            <w:r>
              <w:t>N/A</w:t>
            </w:r>
          </w:p>
        </w:tc>
      </w:tr>
      <w:tr w:rsidR="00BB4B6F" w:rsidRPr="0091707B" w14:paraId="4CC8CCA0" w14:textId="77777777" w:rsidTr="002774B2">
        <w:trPr>
          <w:trHeight w:val="300"/>
        </w:trPr>
        <w:tc>
          <w:tcPr>
            <w:tcW w:w="1979" w:type="pct"/>
            <w:hideMark/>
          </w:tcPr>
          <w:p w14:paraId="7A769AED" w14:textId="77777777" w:rsidR="00F844B4" w:rsidRPr="0091707B" w:rsidRDefault="00F844B4" w:rsidP="000F6AD6">
            <w:pPr>
              <w:pStyle w:val="ARtabletext"/>
            </w:pPr>
            <w:r w:rsidRPr="0091707B">
              <w:t>Victorian Disability Worker Commission</w:t>
            </w:r>
          </w:p>
        </w:tc>
        <w:tc>
          <w:tcPr>
            <w:cnfStyle w:val="000001000000" w:firstRow="0" w:lastRow="0" w:firstColumn="0" w:lastColumn="0" w:oddVBand="0" w:evenVBand="1" w:oddHBand="0" w:evenHBand="0" w:firstRowFirstColumn="0" w:firstRowLastColumn="0" w:lastRowFirstColumn="0" w:lastRowLastColumn="0"/>
            <w:tcW w:w="377" w:type="pct"/>
            <w:hideMark/>
          </w:tcPr>
          <w:p w14:paraId="332270C2" w14:textId="77777777" w:rsidR="00F844B4" w:rsidRPr="0091707B" w:rsidRDefault="00F844B4" w:rsidP="000F6AD6">
            <w:pPr>
              <w:pStyle w:val="ARtabletextright"/>
            </w:pPr>
            <w:r w:rsidRPr="0091707B">
              <w:t>1</w:t>
            </w:r>
          </w:p>
        </w:tc>
        <w:tc>
          <w:tcPr>
            <w:tcW w:w="378" w:type="pct"/>
            <w:shd w:val="clear" w:color="auto" w:fill="E7E6E6" w:themeFill="background2"/>
            <w:hideMark/>
          </w:tcPr>
          <w:p w14:paraId="4B4C834A"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shd w:val="clear" w:color="auto" w:fill="auto"/>
            <w:hideMark/>
          </w:tcPr>
          <w:p w14:paraId="51558C4B" w14:textId="77777777" w:rsidR="00F844B4" w:rsidRPr="0091707B" w:rsidRDefault="00F844B4" w:rsidP="000F6AD6">
            <w:pPr>
              <w:pStyle w:val="ARtabletextright"/>
            </w:pPr>
            <w:r w:rsidRPr="0091707B">
              <w:t>1</w:t>
            </w:r>
          </w:p>
        </w:tc>
        <w:tc>
          <w:tcPr>
            <w:tcW w:w="378" w:type="pct"/>
            <w:hideMark/>
          </w:tcPr>
          <w:p w14:paraId="59F3EDFD"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hideMark/>
          </w:tcPr>
          <w:p w14:paraId="7DFDED74" w14:textId="77777777" w:rsidR="00F844B4" w:rsidRPr="0091707B" w:rsidRDefault="00F844B4" w:rsidP="000F6AD6">
            <w:pPr>
              <w:pStyle w:val="ARtabletextright"/>
            </w:pPr>
            <w:r w:rsidRPr="0091707B">
              <w:t>0</w:t>
            </w:r>
          </w:p>
        </w:tc>
        <w:tc>
          <w:tcPr>
            <w:tcW w:w="378" w:type="pct"/>
            <w:shd w:val="clear" w:color="auto" w:fill="E7E6E6" w:themeFill="background2"/>
            <w:hideMark/>
          </w:tcPr>
          <w:p w14:paraId="118B8696"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shd w:val="clear" w:color="auto" w:fill="auto"/>
            <w:hideMark/>
          </w:tcPr>
          <w:p w14:paraId="30B6DD51" w14:textId="77777777" w:rsidR="00F844B4" w:rsidRPr="0091707B" w:rsidRDefault="00F844B4" w:rsidP="000F6AD6">
            <w:pPr>
              <w:pStyle w:val="ARtabletextright"/>
            </w:pPr>
            <w:r w:rsidRPr="0091707B">
              <w:t>0</w:t>
            </w:r>
          </w:p>
        </w:tc>
        <w:tc>
          <w:tcPr>
            <w:tcW w:w="378" w:type="pct"/>
            <w:hideMark/>
          </w:tcPr>
          <w:p w14:paraId="7255486F" w14:textId="77777777" w:rsidR="00F844B4" w:rsidRPr="0091707B" w:rsidRDefault="00F844B4" w:rsidP="000F6AD6">
            <w:pPr>
              <w:pStyle w:val="ARtabletextright"/>
              <w:cnfStyle w:val="000000000000" w:firstRow="0" w:lastRow="0" w:firstColumn="0" w:lastColumn="0" w:oddVBand="0" w:evenVBand="0" w:oddHBand="0" w:evenHBand="0" w:firstRowFirstColumn="0" w:firstRowLastColumn="0" w:lastRowFirstColumn="0" w:lastRowLastColumn="0"/>
            </w:pPr>
            <w:r w:rsidRPr="0091707B">
              <w:t>0</w:t>
            </w:r>
          </w:p>
        </w:tc>
      </w:tr>
      <w:tr w:rsidR="00BB4B6F" w:rsidRPr="0091707B" w14:paraId="21DE09DB" w14:textId="77777777" w:rsidTr="002774B2">
        <w:trPr>
          <w:cnfStyle w:val="010000000000" w:firstRow="0" w:lastRow="1" w:firstColumn="0" w:lastColumn="0" w:oddVBand="0" w:evenVBand="0" w:oddHBand="0" w:evenHBand="0" w:firstRowFirstColumn="0" w:firstRowLastColumn="0" w:lastRowFirstColumn="0" w:lastRowLastColumn="0"/>
          <w:trHeight w:val="300"/>
        </w:trPr>
        <w:tc>
          <w:tcPr>
            <w:tcW w:w="1979" w:type="pct"/>
            <w:hideMark/>
          </w:tcPr>
          <w:p w14:paraId="4E5EEB2B" w14:textId="77777777" w:rsidR="00F844B4" w:rsidRPr="0091707B" w:rsidRDefault="00F844B4" w:rsidP="000F6AD6">
            <w:pPr>
              <w:pStyle w:val="ARtabletextbold"/>
            </w:pPr>
            <w:r w:rsidRPr="0091707B">
              <w:t>Total</w:t>
            </w:r>
          </w:p>
        </w:tc>
        <w:tc>
          <w:tcPr>
            <w:cnfStyle w:val="000001000000" w:firstRow="0" w:lastRow="0" w:firstColumn="0" w:lastColumn="0" w:oddVBand="0" w:evenVBand="1" w:oddHBand="0" w:evenHBand="0" w:firstRowFirstColumn="0" w:firstRowLastColumn="0" w:lastRowFirstColumn="0" w:lastRowLastColumn="0"/>
            <w:tcW w:w="377" w:type="pct"/>
            <w:hideMark/>
          </w:tcPr>
          <w:p w14:paraId="2A70B0AE" w14:textId="77777777" w:rsidR="00F844B4" w:rsidRPr="0091707B" w:rsidRDefault="00F844B4" w:rsidP="000F6AD6">
            <w:pPr>
              <w:pStyle w:val="ARtabletextrightbold"/>
            </w:pPr>
            <w:r w:rsidRPr="0091707B">
              <w:t>13</w:t>
            </w:r>
          </w:p>
        </w:tc>
        <w:tc>
          <w:tcPr>
            <w:tcW w:w="378" w:type="pct"/>
            <w:shd w:val="clear" w:color="auto" w:fill="E7E6E6" w:themeFill="background2"/>
            <w:hideMark/>
          </w:tcPr>
          <w:p w14:paraId="4036D7CE" w14:textId="77777777" w:rsidR="00F844B4" w:rsidRPr="0091707B" w:rsidRDefault="00F844B4" w:rsidP="000F6AD6">
            <w:pPr>
              <w:pStyle w:val="ARtabletextrightbold"/>
              <w:cnfStyle w:val="010000000000" w:firstRow="0" w:lastRow="1" w:firstColumn="0" w:lastColumn="0" w:oddVBand="0" w:evenVBand="0" w:oddHBand="0" w:evenHBand="0" w:firstRowFirstColumn="0" w:firstRowLastColumn="0" w:lastRowFirstColumn="0" w:lastRowLastColumn="0"/>
            </w:pPr>
            <w:r>
              <w:t>0</w:t>
            </w:r>
          </w:p>
        </w:tc>
        <w:tc>
          <w:tcPr>
            <w:cnfStyle w:val="000001000000" w:firstRow="0" w:lastRow="0" w:firstColumn="0" w:lastColumn="0" w:oddVBand="0" w:evenVBand="1" w:oddHBand="0" w:evenHBand="0" w:firstRowFirstColumn="0" w:firstRowLastColumn="0" w:lastRowFirstColumn="0" w:lastRowLastColumn="0"/>
            <w:tcW w:w="377" w:type="pct"/>
            <w:shd w:val="clear" w:color="auto" w:fill="auto"/>
            <w:hideMark/>
          </w:tcPr>
          <w:p w14:paraId="1301D673" w14:textId="0E06759F" w:rsidR="00F844B4" w:rsidRPr="0091707B" w:rsidRDefault="00F844B4" w:rsidP="000F6AD6">
            <w:pPr>
              <w:pStyle w:val="ARtabletextrightbold"/>
            </w:pPr>
            <w:r w:rsidRPr="0091707B">
              <w:t>10</w:t>
            </w:r>
          </w:p>
        </w:tc>
        <w:tc>
          <w:tcPr>
            <w:tcW w:w="378" w:type="pct"/>
            <w:hideMark/>
          </w:tcPr>
          <w:p w14:paraId="488CC0BC" w14:textId="77777777" w:rsidR="00F844B4" w:rsidRPr="0091707B" w:rsidRDefault="00F844B4" w:rsidP="000F6AD6">
            <w:pPr>
              <w:pStyle w:val="ARtabletextrightbold"/>
              <w:cnfStyle w:val="010000000000" w:firstRow="0" w:lastRow="1" w:firstColumn="0" w:lastColumn="0" w:oddVBand="0" w:evenVBand="0" w:oddHBand="0" w:evenHBand="0" w:firstRowFirstColumn="0" w:firstRowLastColumn="0" w:lastRowFirstColumn="0" w:lastRowLastColumn="0"/>
            </w:pPr>
            <w:r>
              <w:t>0</w:t>
            </w:r>
          </w:p>
        </w:tc>
        <w:tc>
          <w:tcPr>
            <w:cnfStyle w:val="000001000000" w:firstRow="0" w:lastRow="0" w:firstColumn="0" w:lastColumn="0" w:oddVBand="0" w:evenVBand="1" w:oddHBand="0" w:evenHBand="0" w:firstRowFirstColumn="0" w:firstRowLastColumn="0" w:lastRowFirstColumn="0" w:lastRowLastColumn="0"/>
            <w:tcW w:w="377" w:type="pct"/>
            <w:hideMark/>
          </w:tcPr>
          <w:p w14:paraId="5ACAC6A9" w14:textId="77777777" w:rsidR="00F844B4" w:rsidRPr="0091707B" w:rsidRDefault="00F844B4" w:rsidP="000F6AD6">
            <w:pPr>
              <w:pStyle w:val="ARtabletextrightbold"/>
            </w:pPr>
            <w:r w:rsidRPr="0091707B">
              <w:t>3</w:t>
            </w:r>
          </w:p>
        </w:tc>
        <w:tc>
          <w:tcPr>
            <w:tcW w:w="378" w:type="pct"/>
            <w:shd w:val="clear" w:color="auto" w:fill="E7E6E6" w:themeFill="background2"/>
            <w:hideMark/>
          </w:tcPr>
          <w:p w14:paraId="30341D7C" w14:textId="77777777" w:rsidR="00F844B4" w:rsidRPr="0091707B" w:rsidRDefault="00F844B4" w:rsidP="000F6AD6">
            <w:pPr>
              <w:pStyle w:val="ARtabletextrightbold"/>
              <w:cnfStyle w:val="010000000000" w:firstRow="0" w:lastRow="1" w:firstColumn="0" w:lastColumn="0" w:oddVBand="0" w:evenVBand="0" w:oddHBand="0" w:evenHBand="0" w:firstRowFirstColumn="0" w:firstRowLastColumn="0" w:lastRowFirstColumn="0" w:lastRowLastColumn="0"/>
            </w:pPr>
            <w:r w:rsidRPr="0091707B">
              <w:t>0</w:t>
            </w:r>
          </w:p>
        </w:tc>
        <w:tc>
          <w:tcPr>
            <w:cnfStyle w:val="000001000000" w:firstRow="0" w:lastRow="0" w:firstColumn="0" w:lastColumn="0" w:oddVBand="0" w:evenVBand="1" w:oddHBand="0" w:evenHBand="0" w:firstRowFirstColumn="0" w:firstRowLastColumn="0" w:lastRowFirstColumn="0" w:lastRowLastColumn="0"/>
            <w:tcW w:w="377" w:type="pct"/>
            <w:shd w:val="clear" w:color="auto" w:fill="auto"/>
            <w:hideMark/>
          </w:tcPr>
          <w:p w14:paraId="5A5BDA96" w14:textId="77777777" w:rsidR="00F844B4" w:rsidRPr="0091707B" w:rsidRDefault="00F844B4" w:rsidP="000F6AD6">
            <w:pPr>
              <w:pStyle w:val="ARtabletextrightbold"/>
            </w:pPr>
            <w:r w:rsidRPr="0091707B">
              <w:t>0</w:t>
            </w:r>
          </w:p>
        </w:tc>
        <w:tc>
          <w:tcPr>
            <w:tcW w:w="378" w:type="pct"/>
            <w:hideMark/>
          </w:tcPr>
          <w:p w14:paraId="10DDA3B5" w14:textId="77777777" w:rsidR="00F844B4" w:rsidRPr="0091707B" w:rsidRDefault="00F844B4" w:rsidP="000F6AD6">
            <w:pPr>
              <w:pStyle w:val="ARtabletextrightbold"/>
              <w:cnfStyle w:val="010000000000" w:firstRow="0" w:lastRow="1" w:firstColumn="0" w:lastColumn="0" w:oddVBand="0" w:evenVBand="0" w:oddHBand="0" w:evenHBand="0" w:firstRowFirstColumn="0" w:firstRowLastColumn="0" w:lastRowFirstColumn="0" w:lastRowLastColumn="0"/>
            </w:pPr>
            <w:r>
              <w:t>0</w:t>
            </w:r>
          </w:p>
        </w:tc>
      </w:tr>
    </w:tbl>
    <w:p w14:paraId="7C5D12BE" w14:textId="77777777" w:rsidR="00F844B4" w:rsidRPr="004C0CA0" w:rsidRDefault="00F844B4" w:rsidP="008149F0">
      <w:pPr>
        <w:pStyle w:val="ARtablefootnote"/>
      </w:pPr>
      <w:r w:rsidRPr="004C0CA0">
        <w:t>Notes:</w:t>
      </w:r>
    </w:p>
    <w:p w14:paraId="19A4F5BE" w14:textId="77777777" w:rsidR="00F844B4" w:rsidRPr="004C0CA0" w:rsidRDefault="00F844B4" w:rsidP="008149F0">
      <w:pPr>
        <w:pStyle w:val="ARtablefootnote"/>
      </w:pPr>
      <w:r w:rsidRPr="004C0CA0">
        <w:t>All figures reflect employment levels as at the final pay period in June 2025, and variance is compared with June 2024.</w:t>
      </w:r>
    </w:p>
    <w:p w14:paraId="68743118" w14:textId="77777777" w:rsidR="00F844B4" w:rsidRDefault="00F844B4" w:rsidP="008149F0">
      <w:pPr>
        <w:pStyle w:val="ARtablefootnote"/>
      </w:pPr>
      <w:r w:rsidRPr="004C0CA0">
        <w:t>Excluded are those on leave without pay or absent on secondment, external contractors / consultants and temporary staff employed by employment agencies.</w:t>
      </w:r>
    </w:p>
    <w:p w14:paraId="31172720" w14:textId="68B59EB1" w:rsidR="00CF27FD" w:rsidRPr="007846EE" w:rsidRDefault="00CF27FD" w:rsidP="008149F0">
      <w:pPr>
        <w:pStyle w:val="ARtablefootnote"/>
      </w:pPr>
      <w:r>
        <w:t xml:space="preserve">Variation figures are not applicable to the Social Services Regulator as </w:t>
      </w:r>
      <w:r w:rsidR="006255FB">
        <w:t>it was established on 1 July 2024.</w:t>
      </w:r>
    </w:p>
    <w:p w14:paraId="2BBCF843" w14:textId="77777777" w:rsidR="00767ED9" w:rsidRDefault="00F844B4" w:rsidP="00BB645D">
      <w:pPr>
        <w:pStyle w:val="Heading2"/>
        <w:sectPr w:rsidR="00767ED9" w:rsidSect="007F43B1">
          <w:footerReference w:type="default" r:id="rId83"/>
          <w:endnotePr>
            <w:numFmt w:val="decimal"/>
          </w:endnotePr>
          <w:pgSz w:w="11900" w:h="16840" w:code="9"/>
          <w:pgMar w:top="1588" w:right="1134" w:bottom="851" w:left="1134" w:header="510" w:footer="340" w:gutter="0"/>
          <w:cols w:space="448"/>
          <w:docGrid w:linePitch="299"/>
        </w:sectPr>
      </w:pPr>
      <w:bookmarkStart w:id="139" w:name="_Employee_health,_safety"/>
      <w:bookmarkStart w:id="140" w:name="_Toc212039534"/>
      <w:bookmarkStart w:id="141" w:name="_Ref85113300"/>
      <w:bookmarkStart w:id="142" w:name="_Toc114491201"/>
      <w:bookmarkEnd w:id="139"/>
      <w:r w:rsidRPr="00DB2016">
        <w:t xml:space="preserve">Employee health, safety </w:t>
      </w:r>
      <w:r w:rsidRPr="00BB645D">
        <w:t>and</w:t>
      </w:r>
      <w:r w:rsidRPr="00DB2016">
        <w:t xml:space="preserve"> wellbeing</w:t>
      </w:r>
      <w:bookmarkEnd w:id="140"/>
    </w:p>
    <w:p w14:paraId="42CD28D5" w14:textId="390415C8" w:rsidR="00F844B4" w:rsidRPr="00DB2016" w:rsidRDefault="00F844B4">
      <w:pPr>
        <w:pStyle w:val="ARbody"/>
      </w:pPr>
      <w:r w:rsidRPr="00DB2016">
        <w:t xml:space="preserve">The department is committed to safeguarding the health, safety and wellbeing (HSW) of all employees and others when conducting work on behalf of the department or in a department workplace. The department has expressed this commitment in its </w:t>
      </w:r>
      <w:r w:rsidRPr="000763F6">
        <w:rPr>
          <w:rStyle w:val="Emphasis"/>
        </w:rPr>
        <w:t>Health, safety and wellbeing</w:t>
      </w:r>
      <w:r w:rsidR="00767ED9">
        <w:rPr>
          <w:rStyle w:val="Emphasis"/>
        </w:rPr>
        <w:t> </w:t>
      </w:r>
      <w:r w:rsidRPr="000763F6">
        <w:rPr>
          <w:rStyle w:val="Emphasis"/>
        </w:rPr>
        <w:t>policy</w:t>
      </w:r>
      <w:r w:rsidRPr="00DB2016">
        <w:t>.</w:t>
      </w:r>
    </w:p>
    <w:p w14:paraId="7B878128" w14:textId="77777777" w:rsidR="00F844B4" w:rsidRPr="00DB2016" w:rsidRDefault="00F844B4">
      <w:pPr>
        <w:pStyle w:val="Heading3"/>
        <w:spacing w:before="0"/>
      </w:pPr>
      <w:r w:rsidRPr="00DB2016">
        <w:t>Employee health and safety</w:t>
      </w:r>
    </w:p>
    <w:p w14:paraId="1872D538" w14:textId="3437C014" w:rsidR="00F844B4" w:rsidRPr="00DB2016" w:rsidRDefault="00F844B4">
      <w:pPr>
        <w:pStyle w:val="ARbody"/>
      </w:pPr>
      <w:r w:rsidRPr="00DB2016">
        <w:t xml:space="preserve">During </w:t>
      </w:r>
      <w:r w:rsidRPr="007A7C22">
        <w:rPr>
          <w:lang w:eastAsia="en-AU"/>
        </w:rPr>
        <w:t>2024–25</w:t>
      </w:r>
      <w:r w:rsidRPr="00DB2016">
        <w:t xml:space="preserve">, the department </w:t>
      </w:r>
      <w:r>
        <w:t>implemented</w:t>
      </w:r>
      <w:r w:rsidRPr="00DB2016">
        <w:t xml:space="preserve"> its </w:t>
      </w:r>
      <w:r w:rsidRPr="000763F6">
        <w:rPr>
          <w:rStyle w:val="Emphasis"/>
        </w:rPr>
        <w:t xml:space="preserve">Health, safety and wellbeing strategy 2024 to 2027 </w:t>
      </w:r>
      <w:r w:rsidRPr="00DB2016">
        <w:t>(HSW</w:t>
      </w:r>
      <w:r w:rsidR="000F7284">
        <w:t xml:space="preserve"> strategy</w:t>
      </w:r>
      <w:r w:rsidRPr="00DB2016">
        <w:t>).</w:t>
      </w:r>
      <w:r w:rsidR="00F44569">
        <w:t xml:space="preserve"> </w:t>
      </w:r>
      <w:r w:rsidRPr="00DB2016">
        <w:t xml:space="preserve">The </w:t>
      </w:r>
      <w:r w:rsidRPr="007A7C22">
        <w:t>strategy</w:t>
      </w:r>
      <w:r w:rsidRPr="00DB2016">
        <w:t xml:space="preserve"> </w:t>
      </w:r>
      <w:r>
        <w:t>aims</w:t>
      </w:r>
      <w:r w:rsidRPr="00DB2016">
        <w:t xml:space="preserve"> to create a safe and</w:t>
      </w:r>
      <w:r w:rsidRPr="007A7C22">
        <w:t xml:space="preserve"> </w:t>
      </w:r>
      <w:r w:rsidRPr="00DB2016">
        <w:t>psychologically healthy workplace</w:t>
      </w:r>
      <w:r>
        <w:t>. This includes</w:t>
      </w:r>
      <w:r w:rsidRPr="00DB2016">
        <w:t xml:space="preserve"> prevent</w:t>
      </w:r>
      <w:r>
        <w:t>ing</w:t>
      </w:r>
      <w:r w:rsidRPr="00DB2016">
        <w:t xml:space="preserve"> injury and illness in the workplace.</w:t>
      </w:r>
    </w:p>
    <w:p w14:paraId="086A7839" w14:textId="77777777" w:rsidR="00F844B4" w:rsidRPr="00DB2016" w:rsidRDefault="00F844B4">
      <w:pPr>
        <w:pStyle w:val="ARbody"/>
      </w:pPr>
      <w:r w:rsidRPr="00DB2016">
        <w:t>Supporting the HSW strategy is a program of work that focuses the department’s resources on key priority areas to achieve the strategic objectives to:</w:t>
      </w:r>
    </w:p>
    <w:p w14:paraId="7792E2FE" w14:textId="77777777" w:rsidR="00F844B4" w:rsidRPr="00DB2016" w:rsidRDefault="00F844B4" w:rsidP="00F375A6">
      <w:pPr>
        <w:pStyle w:val="ARbullet1"/>
        <w:numPr>
          <w:ilvl w:val="0"/>
          <w:numId w:val="22"/>
        </w:numPr>
      </w:pPr>
      <w:r w:rsidRPr="00DB2016">
        <w:t>promote employee health, safety and wellbeing</w:t>
      </w:r>
    </w:p>
    <w:p w14:paraId="591B24A1" w14:textId="77777777" w:rsidR="00F844B4" w:rsidRPr="00DB2016" w:rsidRDefault="00F844B4" w:rsidP="00F375A6">
      <w:pPr>
        <w:pStyle w:val="ARbullet1"/>
        <w:numPr>
          <w:ilvl w:val="0"/>
          <w:numId w:val="22"/>
        </w:numPr>
      </w:pPr>
      <w:r w:rsidRPr="00DB2016">
        <w:t>prevent work-related injury and illness</w:t>
      </w:r>
    </w:p>
    <w:p w14:paraId="01592629" w14:textId="77777777" w:rsidR="00F844B4" w:rsidRPr="00DB2016" w:rsidRDefault="00F844B4" w:rsidP="00F375A6">
      <w:pPr>
        <w:pStyle w:val="ARbullet1"/>
        <w:numPr>
          <w:ilvl w:val="0"/>
          <w:numId w:val="22"/>
        </w:numPr>
      </w:pPr>
      <w:r w:rsidRPr="00DB2016">
        <w:t xml:space="preserve">support employees with an injury or illness to recover at work or to return to work early, safely and sustainably. </w:t>
      </w:r>
    </w:p>
    <w:p w14:paraId="74785A0E" w14:textId="7F71ADC2" w:rsidR="00F844B4" w:rsidRPr="00DB2016" w:rsidRDefault="00F844B4" w:rsidP="00C77F68">
      <w:pPr>
        <w:pStyle w:val="ARbodyafterbullets"/>
      </w:pPr>
      <w:r w:rsidRPr="00DB2016">
        <w:t xml:space="preserve">The department’s Health and Safety Management System </w:t>
      </w:r>
      <w:r w:rsidRPr="00406DE3">
        <w:t>provides</w:t>
      </w:r>
      <w:r w:rsidRPr="00DB2016">
        <w:t xml:space="preserve"> information to support employee health and safety at work</w:t>
      </w:r>
      <w:r>
        <w:t>. It also</w:t>
      </w:r>
      <w:r w:rsidRPr="00DB2016">
        <w:t xml:space="preserve"> help</w:t>
      </w:r>
      <w:r>
        <w:t>s</w:t>
      </w:r>
      <w:r w:rsidRPr="00DB2016">
        <w:t xml:space="preserve"> prevent injury and illness from workplace operations.</w:t>
      </w:r>
      <w:r w:rsidR="00C77F68">
        <w:br w:type="column"/>
      </w:r>
      <w:r>
        <w:t>HSW</w:t>
      </w:r>
      <w:r w:rsidRPr="00DB2016">
        <w:t xml:space="preserve"> representation </w:t>
      </w:r>
      <w:r>
        <w:t>gives employees</w:t>
      </w:r>
      <w:r w:rsidRPr="00DB2016">
        <w:t xml:space="preserve"> a voice </w:t>
      </w:r>
      <w:r>
        <w:t>on</w:t>
      </w:r>
      <w:r w:rsidRPr="00DB2016">
        <w:t xml:space="preserve"> health and safety. The department has </w:t>
      </w:r>
      <w:r>
        <w:t xml:space="preserve">a </w:t>
      </w:r>
      <w:r w:rsidRPr="00DB2016">
        <w:t xml:space="preserve">network of </w:t>
      </w:r>
      <w:r>
        <w:t>HSW</w:t>
      </w:r>
      <w:r w:rsidRPr="00DB2016">
        <w:t xml:space="preserve"> representatives and designated management representatives</w:t>
      </w:r>
      <w:r>
        <w:t>. Representatives</w:t>
      </w:r>
      <w:r w:rsidRPr="00DB2016">
        <w:t xml:space="preserve"> participate in health and safety committees and work collaboratively to improve HSW outcomes.</w:t>
      </w:r>
    </w:p>
    <w:p w14:paraId="4823CF2F" w14:textId="77777777" w:rsidR="00F844B4" w:rsidRPr="00DB2016" w:rsidRDefault="00F844B4">
      <w:pPr>
        <w:pStyle w:val="ARbodybold"/>
      </w:pPr>
      <w:r w:rsidRPr="00DB2016">
        <w:t xml:space="preserve">Improvement measures in </w:t>
      </w:r>
      <w:r w:rsidRPr="00C60691">
        <w:t>2024–25</w:t>
      </w:r>
      <w:r w:rsidRPr="00DB2016">
        <w:t xml:space="preserve"> included:</w:t>
      </w:r>
    </w:p>
    <w:p w14:paraId="20D020E8" w14:textId="09CE53FD" w:rsidR="00F844B4" w:rsidRDefault="00F844B4" w:rsidP="00F375A6">
      <w:pPr>
        <w:pStyle w:val="ARbullet1"/>
        <w:numPr>
          <w:ilvl w:val="0"/>
          <w:numId w:val="22"/>
        </w:numPr>
      </w:pPr>
      <w:r>
        <w:t>developing an upgraded health and safety incident and hazard reporting system (</w:t>
      </w:r>
      <w:proofErr w:type="spellStart"/>
      <w:r>
        <w:t>OurSafety</w:t>
      </w:r>
      <w:proofErr w:type="spellEnd"/>
      <w:r>
        <w:t>) (for deployment from 1 July 2025) to</w:t>
      </w:r>
      <w:r w:rsidR="00A76D9E">
        <w:t> </w:t>
      </w:r>
      <w:r>
        <w:t>improve the end user experience and provide more informed data, particularly in relation to psychosocial hazards</w:t>
      </w:r>
    </w:p>
    <w:p w14:paraId="6B8B2E29" w14:textId="017BC0AC" w:rsidR="00F844B4" w:rsidRDefault="00F844B4" w:rsidP="00F375A6">
      <w:pPr>
        <w:pStyle w:val="ARbullet1"/>
        <w:numPr>
          <w:ilvl w:val="0"/>
          <w:numId w:val="22"/>
        </w:numPr>
      </w:pPr>
      <w:r>
        <w:t>improving the HSW risk management framework to better reflect and enable capture of psychosocial risks</w:t>
      </w:r>
    </w:p>
    <w:p w14:paraId="5576B87B" w14:textId="4D65EFEE" w:rsidR="00F844B4" w:rsidRDefault="00F844B4" w:rsidP="00F375A6">
      <w:pPr>
        <w:pStyle w:val="ARbullet1"/>
        <w:numPr>
          <w:ilvl w:val="0"/>
          <w:numId w:val="22"/>
        </w:numPr>
      </w:pPr>
      <w:r>
        <w:t>conducting enterprise-level risk assessments for</w:t>
      </w:r>
      <w:r w:rsidR="00A76D9E">
        <w:t> </w:t>
      </w:r>
      <w:r>
        <w:t>key psychosocial risks. This helps us understand risks and undertake local risk</w:t>
      </w:r>
      <w:r w:rsidR="00A76D9E">
        <w:t> </w:t>
      </w:r>
      <w:r>
        <w:t>assessments</w:t>
      </w:r>
    </w:p>
    <w:p w14:paraId="46901B94" w14:textId="4425EB43" w:rsidR="00F844B4" w:rsidRPr="00C60691" w:rsidRDefault="00F844B4" w:rsidP="00F375A6">
      <w:pPr>
        <w:pStyle w:val="ARbullet1"/>
        <w:numPr>
          <w:ilvl w:val="0"/>
          <w:numId w:val="22"/>
        </w:numPr>
      </w:pPr>
      <w:r>
        <w:t>piloting</w:t>
      </w:r>
      <w:r w:rsidDel="004904BD">
        <w:t xml:space="preserve"> </w:t>
      </w:r>
      <w:r>
        <w:t>a de-escalation training program to support frontline staff facing violence and aggression at work</w:t>
      </w:r>
    </w:p>
    <w:p w14:paraId="217ECEE4" w14:textId="06886EBE" w:rsidR="00F844B4" w:rsidRPr="00B74147" w:rsidRDefault="00F844B4" w:rsidP="00F375A6">
      <w:pPr>
        <w:pStyle w:val="ARbullet1"/>
        <w:numPr>
          <w:ilvl w:val="0"/>
          <w:numId w:val="22"/>
        </w:numPr>
      </w:pPr>
      <w:r>
        <w:t>mapping</w:t>
      </w:r>
      <w:r w:rsidRPr="00397FF8">
        <w:t xml:space="preserve"> work-related violence (WRV) controls and </w:t>
      </w:r>
      <w:r>
        <w:t>identifying</w:t>
      </w:r>
      <w:r w:rsidRPr="00397FF8">
        <w:t xml:space="preserve"> further potential treatments to</w:t>
      </w:r>
      <w:r>
        <w:t xml:space="preserve"> </w:t>
      </w:r>
      <w:r w:rsidRPr="00397FF8">
        <w:t>manage WRV risks</w:t>
      </w:r>
    </w:p>
    <w:p w14:paraId="18D3B74E" w14:textId="3660463A" w:rsidR="00F844B4" w:rsidRPr="00DB2016" w:rsidRDefault="00F844B4" w:rsidP="00F375A6">
      <w:pPr>
        <w:pStyle w:val="ARbullet1"/>
        <w:numPr>
          <w:ilvl w:val="0"/>
          <w:numId w:val="22"/>
        </w:numPr>
      </w:pPr>
      <w:r>
        <w:t>continuing to implement</w:t>
      </w:r>
      <w:r w:rsidRPr="00DB2016">
        <w:t xml:space="preserve"> HSW accountabilities through performance development plans for VPS and executive employees</w:t>
      </w:r>
    </w:p>
    <w:p w14:paraId="0D2BE0D7" w14:textId="2CBB01FD" w:rsidR="00F844B4" w:rsidRPr="00337DD1" w:rsidRDefault="00F844B4" w:rsidP="00F375A6">
      <w:pPr>
        <w:pStyle w:val="ARbullet1"/>
        <w:numPr>
          <w:ilvl w:val="0"/>
          <w:numId w:val="22"/>
        </w:numPr>
      </w:pPr>
      <w:r>
        <w:lastRenderedPageBreak/>
        <w:t>improving</w:t>
      </w:r>
      <w:r w:rsidRPr="00DB2016">
        <w:t xml:space="preserve"> the HSW SharePoint site to </w:t>
      </w:r>
      <w:r>
        <w:t xml:space="preserve">give staff better </w:t>
      </w:r>
      <w:r w:rsidRPr="00DB2016">
        <w:t xml:space="preserve">access to </w:t>
      </w:r>
      <w:r w:rsidRPr="00F12284">
        <w:t xml:space="preserve">current </w:t>
      </w:r>
      <w:r w:rsidRPr="00DB2016">
        <w:t xml:space="preserve">HSW information </w:t>
      </w:r>
    </w:p>
    <w:p w14:paraId="675D3FBE" w14:textId="085FEC6E" w:rsidR="00F844B4" w:rsidRPr="00337DD1" w:rsidRDefault="00F844B4" w:rsidP="00F375A6">
      <w:pPr>
        <w:pStyle w:val="ARbullet1"/>
        <w:numPr>
          <w:ilvl w:val="0"/>
          <w:numId w:val="22"/>
        </w:numPr>
      </w:pPr>
      <w:r>
        <w:t>providing</w:t>
      </w:r>
      <w:r w:rsidRPr="00337DD1">
        <w:t xml:space="preserve"> specialist ergonomic assessments to </w:t>
      </w:r>
      <w:r w:rsidRPr="00C07153" w:rsidDel="00815251">
        <w:t>184</w:t>
      </w:r>
      <w:r w:rsidRPr="00337DD1" w:rsidDel="00815251">
        <w:t xml:space="preserve"> </w:t>
      </w:r>
      <w:r>
        <w:t>employees</w:t>
      </w:r>
      <w:r w:rsidRPr="00337DD1">
        <w:t xml:space="preserve"> </w:t>
      </w:r>
      <w:r>
        <w:t>who needed</w:t>
      </w:r>
      <w:r w:rsidRPr="00337DD1">
        <w:t xml:space="preserve"> additional support to set up their workstation to prevent injury</w:t>
      </w:r>
    </w:p>
    <w:p w14:paraId="7F63393B" w14:textId="5279F6A0" w:rsidR="00F844B4" w:rsidRPr="00256738" w:rsidRDefault="00F844B4" w:rsidP="00F375A6">
      <w:pPr>
        <w:pStyle w:val="ARbullet1"/>
        <w:numPr>
          <w:ilvl w:val="0"/>
          <w:numId w:val="22"/>
        </w:numPr>
      </w:pPr>
      <w:r>
        <w:t>providing influenza vaccines to 2,693 employees through the annual department vaccine</w:t>
      </w:r>
      <w:r w:rsidR="00A76D9E">
        <w:t> </w:t>
      </w:r>
      <w:r>
        <w:t>program.</w:t>
      </w:r>
    </w:p>
    <w:p w14:paraId="1C978B24" w14:textId="09C57DD4" w:rsidR="00F844B4" w:rsidRPr="00337DD1" w:rsidRDefault="00F844B4">
      <w:pPr>
        <w:pStyle w:val="Heading3"/>
      </w:pPr>
      <w:r w:rsidRPr="00337DD1">
        <w:t>Employee wellbeing and</w:t>
      </w:r>
      <w:r w:rsidR="000F6AD6">
        <w:t> </w:t>
      </w:r>
      <w:r w:rsidRPr="00337DD1">
        <w:t>support</w:t>
      </w:r>
    </w:p>
    <w:p w14:paraId="7CC19D8B" w14:textId="0A1F48B7" w:rsidR="00F844B4" w:rsidRPr="003B2CB2" w:rsidRDefault="00F844B4">
      <w:pPr>
        <w:pStyle w:val="ARbody"/>
        <w:rPr>
          <w:highlight w:val="cyan"/>
        </w:rPr>
      </w:pPr>
      <w:r w:rsidRPr="00337DD1">
        <w:t xml:space="preserve">The department </w:t>
      </w:r>
      <w:r w:rsidRPr="00384C2B">
        <w:t>continues to focus</w:t>
      </w:r>
      <w:r w:rsidRPr="00337DD1">
        <w:t xml:space="preserve"> on providing a psychologically </w:t>
      </w:r>
      <w:r w:rsidRPr="00384C2B">
        <w:t>health</w:t>
      </w:r>
      <w:r>
        <w:t>y</w:t>
      </w:r>
      <w:r w:rsidRPr="00337DD1">
        <w:t xml:space="preserve"> workplace</w:t>
      </w:r>
      <w:r>
        <w:t>. We</w:t>
      </w:r>
      <w:r w:rsidRPr="00337DD1">
        <w:t xml:space="preserve"> </w:t>
      </w:r>
      <w:r>
        <w:t>recognise</w:t>
      </w:r>
      <w:r w:rsidRPr="00337DD1">
        <w:t xml:space="preserve"> that everyone benefits from a workplace where the wellbeing of </w:t>
      </w:r>
      <w:r>
        <w:t>employees</w:t>
      </w:r>
      <w:r w:rsidRPr="00337DD1">
        <w:t xml:space="preserve"> is a priority.</w:t>
      </w:r>
    </w:p>
    <w:p w14:paraId="2AC5E9EA" w14:textId="68FFE1D3" w:rsidR="00F844B4" w:rsidRPr="0069249F" w:rsidRDefault="00F844B4">
      <w:pPr>
        <w:pStyle w:val="ARbody"/>
      </w:pPr>
      <w:r w:rsidRPr="0069249F">
        <w:t>The department provides employee supports</w:t>
      </w:r>
      <w:r w:rsidR="00A76D9E">
        <w:t> </w:t>
      </w:r>
      <w:r w:rsidRPr="0069249F">
        <w:t>including:</w:t>
      </w:r>
    </w:p>
    <w:p w14:paraId="05AB78C6" w14:textId="77777777" w:rsidR="00F844B4" w:rsidRPr="0069249F" w:rsidRDefault="00F844B4" w:rsidP="00F375A6">
      <w:pPr>
        <w:pStyle w:val="ARbullet1"/>
        <w:numPr>
          <w:ilvl w:val="0"/>
          <w:numId w:val="22"/>
        </w:numPr>
      </w:pPr>
      <w:r w:rsidRPr="0069249F">
        <w:t>Employee Wellbeing and Support Program</w:t>
      </w:r>
    </w:p>
    <w:p w14:paraId="1E44F157" w14:textId="23FD2E4A" w:rsidR="00F844B4" w:rsidRPr="0069249F" w:rsidRDefault="00F844B4" w:rsidP="00F375A6">
      <w:pPr>
        <w:pStyle w:val="ARbullet1"/>
        <w:numPr>
          <w:ilvl w:val="0"/>
          <w:numId w:val="22"/>
        </w:numPr>
      </w:pPr>
      <w:r w:rsidRPr="0069249F">
        <w:t>Aboriginal Social and Emotional Wellbeing</w:t>
      </w:r>
      <w:r w:rsidR="00E16B5E">
        <w:t> </w:t>
      </w:r>
      <w:r w:rsidRPr="0069249F">
        <w:t>Program</w:t>
      </w:r>
    </w:p>
    <w:p w14:paraId="55EB4CED" w14:textId="77777777" w:rsidR="00F844B4" w:rsidRPr="002335CA" w:rsidRDefault="00F844B4" w:rsidP="00F375A6">
      <w:pPr>
        <w:pStyle w:val="ARbullet1"/>
        <w:numPr>
          <w:ilvl w:val="0"/>
          <w:numId w:val="22"/>
        </w:numPr>
      </w:pPr>
      <w:r w:rsidRPr="002335CA">
        <w:t>Child Protection Wellbeing Program</w:t>
      </w:r>
    </w:p>
    <w:p w14:paraId="3EF31463" w14:textId="77777777" w:rsidR="00F844B4" w:rsidRPr="0069249F" w:rsidRDefault="00F844B4" w:rsidP="00F375A6">
      <w:pPr>
        <w:pStyle w:val="ARbullet1"/>
        <w:numPr>
          <w:ilvl w:val="0"/>
          <w:numId w:val="22"/>
        </w:numPr>
      </w:pPr>
      <w:r w:rsidRPr="0069249F">
        <w:t>Peer-Support Network</w:t>
      </w:r>
    </w:p>
    <w:p w14:paraId="0E61F036" w14:textId="77777777" w:rsidR="00F844B4" w:rsidRPr="0069249F" w:rsidRDefault="00F844B4" w:rsidP="00F375A6">
      <w:pPr>
        <w:pStyle w:val="ARbullet1"/>
        <w:numPr>
          <w:ilvl w:val="0"/>
          <w:numId w:val="22"/>
        </w:numPr>
      </w:pPr>
      <w:r w:rsidRPr="0069249F">
        <w:t>Critical Incident Support</w:t>
      </w:r>
    </w:p>
    <w:p w14:paraId="5E48FDB7" w14:textId="77777777" w:rsidR="00F844B4" w:rsidRPr="002335CA" w:rsidRDefault="00F844B4" w:rsidP="00F375A6">
      <w:pPr>
        <w:pStyle w:val="ARbullet1"/>
        <w:numPr>
          <w:ilvl w:val="0"/>
          <w:numId w:val="22"/>
        </w:numPr>
      </w:pPr>
      <w:r w:rsidRPr="002335CA">
        <w:t>Fitness Passport</w:t>
      </w:r>
      <w:r>
        <w:t>.</w:t>
      </w:r>
    </w:p>
    <w:p w14:paraId="313A34DE" w14:textId="33384F98" w:rsidR="00F844B4" w:rsidRPr="00292E7B" w:rsidRDefault="00F844B4" w:rsidP="00A76D9E">
      <w:pPr>
        <w:pStyle w:val="ARbodyafterbullets"/>
      </w:pPr>
      <w:r w:rsidRPr="0069249F">
        <w:t>The department continues to have high workforce engagement with its Employee Wellbeing and Support Program</w:t>
      </w:r>
      <w:r>
        <w:t xml:space="preserve">. This saw </w:t>
      </w:r>
      <w:r w:rsidRPr="0069249F">
        <w:t xml:space="preserve">an annual utilisation rate of </w:t>
      </w:r>
      <w:r w:rsidRPr="00A4799B">
        <w:t>26</w:t>
      </w:r>
      <w:r w:rsidRPr="00292E7B">
        <w:t>.4%. This shows positive employee engagement in wellbeing.</w:t>
      </w:r>
    </w:p>
    <w:p w14:paraId="210AE4E5" w14:textId="20CCB9FF" w:rsidR="00F844B4" w:rsidRPr="00622FF4" w:rsidRDefault="00F844B4">
      <w:pPr>
        <w:pStyle w:val="ARbody"/>
      </w:pPr>
      <w:r w:rsidRPr="00AF5B63">
        <w:t xml:space="preserve">The department launched the </w:t>
      </w:r>
      <w:r w:rsidRPr="000763F6">
        <w:rPr>
          <w:rStyle w:val="Emphasis"/>
        </w:rPr>
        <w:t>Child protection mental health and wellbeing plan 2024–26</w:t>
      </w:r>
      <w:r>
        <w:t>. This</w:t>
      </w:r>
      <w:r w:rsidRPr="00AF5B63">
        <w:t xml:space="preserve"> promotes wellbeing services to child protection employees</w:t>
      </w:r>
      <w:r>
        <w:t>. It also</w:t>
      </w:r>
      <w:r w:rsidRPr="00AF5B63">
        <w:t xml:space="preserve"> supports workplace safety activities using </w:t>
      </w:r>
      <w:r>
        <w:t>the 4</w:t>
      </w:r>
      <w:r w:rsidRPr="00AF5B63">
        <w:t xml:space="preserve"> pillars of leadership, learning, systems and</w:t>
      </w:r>
      <w:r>
        <w:t xml:space="preserve"> </w:t>
      </w:r>
      <w:r w:rsidRPr="00622FF4">
        <w:t>supports.</w:t>
      </w:r>
    </w:p>
    <w:p w14:paraId="39FBDA2B" w14:textId="781DED4F" w:rsidR="00F844B4" w:rsidRPr="00AD2FAA" w:rsidRDefault="00F844B4">
      <w:pPr>
        <w:pStyle w:val="ARbody"/>
      </w:pPr>
      <w:r w:rsidRPr="00DB2016">
        <w:t xml:space="preserve">The department </w:t>
      </w:r>
      <w:r>
        <w:t>procured a new support provider for</w:t>
      </w:r>
      <w:r w:rsidRPr="00DB2016">
        <w:t xml:space="preserve"> its Peer Support Network </w:t>
      </w:r>
      <w:r>
        <w:t xml:space="preserve">(PSN) </w:t>
      </w:r>
      <w:r w:rsidRPr="00DB2016">
        <w:t xml:space="preserve">during </w:t>
      </w:r>
      <w:r w:rsidR="00A76D9E">
        <w:br/>
      </w:r>
      <w:r>
        <w:t>2024–25. The PSN provides</w:t>
      </w:r>
      <w:r w:rsidRPr="00DB2016">
        <w:t xml:space="preserve"> </w:t>
      </w:r>
      <w:r>
        <w:t>recruitment</w:t>
      </w:r>
      <w:r w:rsidRPr="00DB2016">
        <w:t xml:space="preserve"> and </w:t>
      </w:r>
      <w:r>
        <w:t>selection advice. It also provides training and supervision</w:t>
      </w:r>
      <w:r w:rsidRPr="00DB2016">
        <w:t xml:space="preserve"> to</w:t>
      </w:r>
      <w:r w:rsidR="00A76D9E">
        <w:t> </w:t>
      </w:r>
      <w:r>
        <w:t>improve the competency and confidence of peer supporters.</w:t>
      </w:r>
    </w:p>
    <w:p w14:paraId="679D2FF2" w14:textId="263B52D9" w:rsidR="00F844B4" w:rsidRPr="00337DD1" w:rsidRDefault="00F844B4">
      <w:pPr>
        <w:pStyle w:val="ARbody"/>
      </w:pPr>
      <w:r w:rsidRPr="00DB2016">
        <w:t xml:space="preserve">The </w:t>
      </w:r>
      <w:r>
        <w:t>PSN</w:t>
      </w:r>
      <w:r w:rsidRPr="00DB2016">
        <w:t xml:space="preserve"> </w:t>
      </w:r>
      <w:r w:rsidRPr="00AD2FAA">
        <w:t xml:space="preserve">increased by </w:t>
      </w:r>
      <w:r w:rsidRPr="001B1F00">
        <w:t>13</w:t>
      </w:r>
      <w:r w:rsidRPr="00AD2FAA">
        <w:t xml:space="preserve"> peer supporters this</w:t>
      </w:r>
      <w:r w:rsidR="00A76D9E">
        <w:t> </w:t>
      </w:r>
      <w:r w:rsidRPr="00AD2FAA">
        <w:t>year</w:t>
      </w:r>
      <w:r>
        <w:t>. It</w:t>
      </w:r>
      <w:r w:rsidRPr="00AD2FAA">
        <w:t xml:space="preserve"> now has </w:t>
      </w:r>
      <w:r w:rsidRPr="001B1F00">
        <w:t>56</w:t>
      </w:r>
      <w:r w:rsidRPr="00AD2FAA">
        <w:t xml:space="preserve"> peer supporters. </w:t>
      </w:r>
      <w:r w:rsidR="005101DA">
        <w:br w:type="column"/>
      </w:r>
      <w:r w:rsidRPr="00337DD1">
        <w:t xml:space="preserve">Critical Incident Support </w:t>
      </w:r>
      <w:r w:rsidRPr="005F59F7">
        <w:t xml:space="preserve">assists </w:t>
      </w:r>
      <w:r w:rsidRPr="00337DD1">
        <w:t>employees who have witnessed or have been involved in a critical incident in the course of their work. The model of support is based on psychological first aid</w:t>
      </w:r>
      <w:r>
        <w:t>. This</w:t>
      </w:r>
      <w:r w:rsidRPr="00337DD1">
        <w:t xml:space="preserve"> provides support and care to meet an employee’s</w:t>
      </w:r>
      <w:r w:rsidRPr="005F59F7">
        <w:t xml:space="preserve"> </w:t>
      </w:r>
      <w:r w:rsidRPr="00337DD1">
        <w:t>immediate needs and minimise negative reactions following exposure to</w:t>
      </w:r>
      <w:r>
        <w:t xml:space="preserve"> </w:t>
      </w:r>
      <w:r w:rsidRPr="00337DD1">
        <w:t>a</w:t>
      </w:r>
      <w:r>
        <w:t xml:space="preserve"> </w:t>
      </w:r>
      <w:r w:rsidRPr="00337DD1">
        <w:t>critical incident.</w:t>
      </w:r>
    </w:p>
    <w:p w14:paraId="14455300" w14:textId="77777777" w:rsidR="00F844B4" w:rsidRPr="005F59F7" w:rsidRDefault="00F844B4">
      <w:pPr>
        <w:pStyle w:val="ARbodybold"/>
      </w:pPr>
      <w:r w:rsidRPr="00337DD1">
        <w:t xml:space="preserve">Improvement measures in </w:t>
      </w:r>
      <w:r w:rsidRPr="00704B72">
        <w:t>2024–25</w:t>
      </w:r>
      <w:r w:rsidRPr="00337DD1">
        <w:t xml:space="preserve"> included:</w:t>
      </w:r>
    </w:p>
    <w:p w14:paraId="428DD2AF" w14:textId="590BD2F1" w:rsidR="00F844B4" w:rsidRDefault="00F844B4" w:rsidP="00F375A6">
      <w:pPr>
        <w:pStyle w:val="ARbullet1"/>
        <w:numPr>
          <w:ilvl w:val="0"/>
          <w:numId w:val="22"/>
        </w:numPr>
      </w:pPr>
      <w:r>
        <w:t>improving the wellbeing service from the Employee Wellbeing and Support Program</w:t>
      </w:r>
    </w:p>
    <w:p w14:paraId="55D85971" w14:textId="35A83BEC" w:rsidR="00F844B4" w:rsidRDefault="00F844B4" w:rsidP="00A76D9E">
      <w:pPr>
        <w:pStyle w:val="ARbullet1"/>
      </w:pPr>
      <w:r>
        <w:t>publishing</w:t>
      </w:r>
      <w:r w:rsidRPr="00337DD1">
        <w:t xml:space="preserve"> suicide </w:t>
      </w:r>
      <w:r>
        <w:t xml:space="preserve">prevention and </w:t>
      </w:r>
      <w:r w:rsidRPr="00292E7B">
        <w:t>awareness</w:t>
      </w:r>
      <w:r>
        <w:t xml:space="preserve"> resources </w:t>
      </w:r>
      <w:r w:rsidRPr="00292E7B">
        <w:t>to</w:t>
      </w:r>
      <w:r>
        <w:t>:</w:t>
      </w:r>
      <w:r w:rsidRPr="00292E7B">
        <w:t xml:space="preserve"> </w:t>
      </w:r>
    </w:p>
    <w:p w14:paraId="67EC2408" w14:textId="3A7CAC07" w:rsidR="00F844B4" w:rsidRPr="00A76D9E" w:rsidRDefault="00F844B4" w:rsidP="00A76D9E">
      <w:pPr>
        <w:pStyle w:val="ARbullet2"/>
      </w:pPr>
      <w:r w:rsidRPr="00292E7B">
        <w:t xml:space="preserve">equip managers and </w:t>
      </w:r>
      <w:r>
        <w:t>employees</w:t>
      </w:r>
      <w:r w:rsidRPr="00292E7B">
        <w:t xml:space="preserve"> </w:t>
      </w:r>
      <w:r>
        <w:t xml:space="preserve">with </w:t>
      </w:r>
      <w:r w:rsidRPr="00A76D9E">
        <w:t xml:space="preserve">information to support employees who might be experiencing thoughts of suicide and </w:t>
      </w:r>
      <w:r w:rsidR="00A76D9E" w:rsidRPr="00A76D9E">
        <w:br/>
      </w:r>
      <w:r w:rsidRPr="00A76D9E">
        <w:t>self-harm</w:t>
      </w:r>
    </w:p>
    <w:p w14:paraId="692F3AE5" w14:textId="59A8C439" w:rsidR="00F844B4" w:rsidRPr="0069249F" w:rsidRDefault="00F844B4" w:rsidP="00A76D9E">
      <w:pPr>
        <w:pStyle w:val="ARbullet2"/>
      </w:pPr>
      <w:r w:rsidRPr="00A76D9E">
        <w:t>reduce</w:t>
      </w:r>
      <w:r>
        <w:t xml:space="preserve"> associated stigma with suicide and</w:t>
      </w:r>
      <w:r w:rsidR="00A76D9E">
        <w:t> </w:t>
      </w:r>
      <w:r>
        <w:t>self-harm</w:t>
      </w:r>
    </w:p>
    <w:p w14:paraId="53F343EC" w14:textId="7A35C3C0" w:rsidR="00F844B4" w:rsidRPr="005F59F7" w:rsidRDefault="00F844B4" w:rsidP="00F375A6">
      <w:pPr>
        <w:pStyle w:val="ARbullet1"/>
        <w:numPr>
          <w:ilvl w:val="0"/>
          <w:numId w:val="22"/>
        </w:numPr>
      </w:pPr>
      <w:r w:rsidRPr="005F59F7">
        <w:t>establish</w:t>
      </w:r>
      <w:r>
        <w:t>ing</w:t>
      </w:r>
      <w:r w:rsidRPr="005F59F7">
        <w:t xml:space="preserve"> the new Peer Support Network </w:t>
      </w:r>
    </w:p>
    <w:p w14:paraId="3681A1AE" w14:textId="009261B6" w:rsidR="00F844B4" w:rsidRPr="0069249F" w:rsidRDefault="00F844B4" w:rsidP="00F375A6">
      <w:pPr>
        <w:pStyle w:val="ARbullet1"/>
        <w:numPr>
          <w:ilvl w:val="0"/>
          <w:numId w:val="22"/>
        </w:numPr>
      </w:pPr>
      <w:r>
        <w:t>providing training on the impact of</w:t>
      </w:r>
      <w:r w:rsidRPr="00337DD1">
        <w:t xml:space="preserve"> </w:t>
      </w:r>
      <w:r w:rsidRPr="00AD3702">
        <w:t>traumatic</w:t>
      </w:r>
      <w:r>
        <w:t xml:space="preserve"> events and content</w:t>
      </w:r>
      <w:r w:rsidRPr="00AD3702">
        <w:t xml:space="preserve"> </w:t>
      </w:r>
      <w:r>
        <w:t>(including</w:t>
      </w:r>
      <w:r w:rsidRPr="00AD3702">
        <w:t xml:space="preserve"> </w:t>
      </w:r>
      <w:r w:rsidRPr="0069249F">
        <w:t>vicarious trauma</w:t>
      </w:r>
      <w:r>
        <w:t>). This included how to manage</w:t>
      </w:r>
      <w:r w:rsidRPr="0069249F">
        <w:t xml:space="preserve"> this hazard proactively in the workplace</w:t>
      </w:r>
    </w:p>
    <w:p w14:paraId="26246E19" w14:textId="6FA8816A" w:rsidR="00F844B4" w:rsidRPr="0069249F" w:rsidRDefault="00F844B4" w:rsidP="00F375A6">
      <w:pPr>
        <w:pStyle w:val="ARbullet1"/>
        <w:numPr>
          <w:ilvl w:val="0"/>
          <w:numId w:val="22"/>
        </w:numPr>
      </w:pPr>
      <w:r>
        <w:t>provided</w:t>
      </w:r>
      <w:r w:rsidRPr="0069249F">
        <w:t xml:space="preserve"> Fitness Passport</w:t>
      </w:r>
      <w:r>
        <w:t>, which gives</w:t>
      </w:r>
      <w:r w:rsidRPr="0069249F">
        <w:t xml:space="preserve"> employees and their family discounted membership and access to fitness and lifestyle facilities across Victoria.</w:t>
      </w:r>
    </w:p>
    <w:p w14:paraId="5EA07F69" w14:textId="77777777" w:rsidR="00F844B4" w:rsidRPr="0069249F" w:rsidRDefault="00F844B4">
      <w:pPr>
        <w:pStyle w:val="Heading3"/>
      </w:pPr>
      <w:r w:rsidRPr="0069249F">
        <w:t>Incident and injury management</w:t>
      </w:r>
    </w:p>
    <w:p w14:paraId="4E44C02D" w14:textId="77777777" w:rsidR="00F844B4" w:rsidRPr="003B2CB2" w:rsidRDefault="00F844B4">
      <w:pPr>
        <w:pStyle w:val="ARbody"/>
        <w:rPr>
          <w:highlight w:val="cyan"/>
        </w:rPr>
      </w:pPr>
      <w:r w:rsidRPr="005966B1">
        <w:rPr>
          <w:lang w:eastAsia="en-AU"/>
        </w:rPr>
        <w:t>In 2024–25, the department experienced a</w:t>
      </w:r>
      <w:r w:rsidRPr="004A2AAE">
        <w:rPr>
          <w:lang w:eastAsia="en-AU"/>
        </w:rPr>
        <w:t xml:space="preserve">n </w:t>
      </w:r>
      <w:r w:rsidRPr="00BB70E8">
        <w:t xml:space="preserve">11.6% increase in incidents reported </w:t>
      </w:r>
      <w:r w:rsidRPr="00F71432">
        <w:rPr>
          <w:lang w:eastAsia="en-AU"/>
        </w:rPr>
        <w:t xml:space="preserve">by employees compared with 2023–24. </w:t>
      </w:r>
      <w:r w:rsidRPr="00540EA8">
        <w:rPr>
          <w:lang w:eastAsia="en-AU"/>
        </w:rPr>
        <w:t>The rate of incident reporting</w:t>
      </w:r>
      <w:r w:rsidRPr="00540EA8" w:rsidDel="00E44B94">
        <w:rPr>
          <w:lang w:eastAsia="en-AU"/>
        </w:rPr>
        <w:t xml:space="preserve"> </w:t>
      </w:r>
      <w:r w:rsidRPr="00540EA8">
        <w:t>increased by 11%.</w:t>
      </w:r>
    </w:p>
    <w:p w14:paraId="3E8D60CE" w14:textId="77777777" w:rsidR="00F844B4" w:rsidRPr="00E0016C" w:rsidRDefault="00F844B4">
      <w:pPr>
        <w:pStyle w:val="ARbody"/>
        <w:rPr>
          <w:highlight w:val="yellow"/>
        </w:rPr>
      </w:pPr>
      <w:r w:rsidRPr="00540EA8">
        <w:rPr>
          <w:lang w:eastAsia="en-AU"/>
        </w:rPr>
        <w:t xml:space="preserve">There was also an </w:t>
      </w:r>
      <w:r w:rsidRPr="00540EA8">
        <w:t xml:space="preserve">increase in the number of hazards reported in </w:t>
      </w:r>
      <w:r w:rsidRPr="00540EA8">
        <w:rPr>
          <w:lang w:eastAsia="en-AU"/>
        </w:rPr>
        <w:t xml:space="preserve">2024–25 compared with the prior year of </w:t>
      </w:r>
      <w:r w:rsidRPr="00540EA8">
        <w:t>4.9%, and an increase in the rate of hazard reporting of 4.4%.</w:t>
      </w:r>
    </w:p>
    <w:p w14:paraId="50C78C3C" w14:textId="310CEA30" w:rsidR="005101DA" w:rsidRDefault="00F844B4">
      <w:pPr>
        <w:pStyle w:val="ARbody"/>
      </w:pPr>
      <w:r w:rsidRPr="00E0016C">
        <w:t>The department strongly encourages employees to</w:t>
      </w:r>
      <w:r w:rsidR="00A76D9E">
        <w:t> </w:t>
      </w:r>
      <w:r w:rsidRPr="00E0016C">
        <w:t xml:space="preserve">report hazards and incidents so </w:t>
      </w:r>
      <w:r>
        <w:t>we can respond</w:t>
      </w:r>
      <w:r w:rsidRPr="00E0016C">
        <w:t xml:space="preserve"> either at the local level or across the department. This assists </w:t>
      </w:r>
      <w:r>
        <w:t>us</w:t>
      </w:r>
      <w:r w:rsidRPr="00E0016C">
        <w:t xml:space="preserve"> to identify employees at risk of injury and to intervene early to prevent injury or illness or to prevent further exacerbation of injury or</w:t>
      </w:r>
      <w:r>
        <w:rPr>
          <w:lang w:eastAsia="en-AU"/>
        </w:rPr>
        <w:t xml:space="preserve"> </w:t>
      </w:r>
      <w:r w:rsidRPr="00E0016C">
        <w:t xml:space="preserve">illness. </w:t>
      </w:r>
      <w:r w:rsidR="005101DA">
        <w:br w:type="page"/>
      </w:r>
    </w:p>
    <w:p w14:paraId="125BCBFE" w14:textId="17BD647B" w:rsidR="00F844B4" w:rsidRPr="00540EA8" w:rsidRDefault="00F844B4">
      <w:pPr>
        <w:pStyle w:val="ARbody"/>
        <w:rPr>
          <w:lang w:eastAsia="en-AU"/>
        </w:rPr>
      </w:pPr>
      <w:r w:rsidRPr="00540EA8">
        <w:rPr>
          <w:lang w:eastAsia="en-AU"/>
        </w:rPr>
        <w:lastRenderedPageBreak/>
        <w:t>The department has a defined procedure for incident reporting and investigation</w:t>
      </w:r>
      <w:r>
        <w:rPr>
          <w:lang w:eastAsia="en-AU"/>
        </w:rPr>
        <w:t>. This</w:t>
      </w:r>
      <w:r w:rsidRPr="00540EA8">
        <w:rPr>
          <w:lang w:eastAsia="en-AU"/>
        </w:rPr>
        <w:t xml:space="preserve"> requires </w:t>
      </w:r>
      <w:r>
        <w:rPr>
          <w:lang w:eastAsia="en-AU"/>
        </w:rPr>
        <w:t>assessing</w:t>
      </w:r>
      <w:r w:rsidRPr="00540EA8">
        <w:rPr>
          <w:lang w:eastAsia="en-AU"/>
        </w:rPr>
        <w:t xml:space="preserve"> the risk and develo</w:t>
      </w:r>
      <w:r>
        <w:rPr>
          <w:lang w:eastAsia="en-AU"/>
        </w:rPr>
        <w:t>ping</w:t>
      </w:r>
      <w:r w:rsidRPr="00540EA8">
        <w:rPr>
          <w:lang w:eastAsia="en-AU"/>
        </w:rPr>
        <w:t xml:space="preserve"> corrective actions for all incidents reported. Some incidents require further investigation. During 2024–25, </w:t>
      </w:r>
      <w:r w:rsidRPr="00540EA8">
        <w:t>211</w:t>
      </w:r>
      <w:r w:rsidR="00A76D9E">
        <w:t> </w:t>
      </w:r>
      <w:r w:rsidRPr="00540EA8">
        <w:t xml:space="preserve">reported incidents </w:t>
      </w:r>
      <w:r>
        <w:t xml:space="preserve">or hazards </w:t>
      </w:r>
      <w:r w:rsidRPr="00540EA8">
        <w:t>(6.2%) required further investigation</w:t>
      </w:r>
      <w:r w:rsidRPr="00540EA8">
        <w:rPr>
          <w:lang w:eastAsia="en-AU"/>
        </w:rPr>
        <w:t>. The department notified WorkSafe Victoria of</w:t>
      </w:r>
      <w:r>
        <w:rPr>
          <w:lang w:eastAsia="en-AU"/>
        </w:rPr>
        <w:t xml:space="preserve"> </w:t>
      </w:r>
      <w:r w:rsidRPr="004D6800">
        <w:t>11</w:t>
      </w:r>
      <w:r w:rsidRPr="00540EA8" w:rsidDel="00886F76">
        <w:t xml:space="preserve"> </w:t>
      </w:r>
      <w:r>
        <w:t>n</w:t>
      </w:r>
      <w:r w:rsidRPr="00540EA8">
        <w:t>otifiable incidents</w:t>
      </w:r>
      <w:r>
        <w:rPr>
          <w:rStyle w:val="FootnoteReference"/>
        </w:rPr>
        <w:footnoteReference w:id="10"/>
      </w:r>
      <w:r w:rsidRPr="00540EA8">
        <w:t>.</w:t>
      </w:r>
    </w:p>
    <w:p w14:paraId="66AD7BDB" w14:textId="31ED79B9" w:rsidR="00F844B4" w:rsidRPr="00622FF4" w:rsidRDefault="00F844B4">
      <w:pPr>
        <w:pStyle w:val="ARbody"/>
        <w:rPr>
          <w:lang w:eastAsia="en-AU"/>
        </w:rPr>
      </w:pPr>
      <w:r w:rsidRPr="00AF5B63">
        <w:rPr>
          <w:lang w:eastAsia="en-AU"/>
        </w:rPr>
        <w:t xml:space="preserve">The department has experienced a </w:t>
      </w:r>
      <w:r>
        <w:rPr>
          <w:lang w:eastAsia="en-AU"/>
        </w:rPr>
        <w:t>1.5% decrease</w:t>
      </w:r>
      <w:r w:rsidDel="00B5101F">
        <w:t xml:space="preserve"> </w:t>
      </w:r>
      <w:r>
        <w:t>i</w:t>
      </w:r>
      <w:r w:rsidRPr="00AF5B63">
        <w:t>n the rate of</w:t>
      </w:r>
      <w:r w:rsidRPr="00AF5B63">
        <w:rPr>
          <w:lang w:eastAsia="en-AU"/>
        </w:rPr>
        <w:t xml:space="preserve"> standard claims per 100 FTE, with:</w:t>
      </w:r>
    </w:p>
    <w:p w14:paraId="28755D52" w14:textId="77777777" w:rsidR="00F844B4" w:rsidRPr="00AF5B63" w:rsidRDefault="00F844B4" w:rsidP="00F375A6">
      <w:pPr>
        <w:pStyle w:val="ARbullet1"/>
        <w:numPr>
          <w:ilvl w:val="0"/>
          <w:numId w:val="22"/>
        </w:numPr>
        <w:rPr>
          <w:lang w:eastAsia="en-AU"/>
        </w:rPr>
      </w:pPr>
      <w:r>
        <w:t xml:space="preserve">a </w:t>
      </w:r>
      <w:r w:rsidRPr="00AF5B63">
        <w:t xml:space="preserve">13.1% increase </w:t>
      </w:r>
      <w:r w:rsidRPr="00AF5B63">
        <w:rPr>
          <w:lang w:eastAsia="en-AU"/>
        </w:rPr>
        <w:t>in stress-related standard claims per 100 FTE</w:t>
      </w:r>
    </w:p>
    <w:p w14:paraId="3989E7AF" w14:textId="77777777" w:rsidR="00F844B4" w:rsidRPr="00AF5B63" w:rsidRDefault="00F844B4" w:rsidP="00F375A6">
      <w:pPr>
        <w:pStyle w:val="ARbullet1"/>
        <w:numPr>
          <w:ilvl w:val="0"/>
          <w:numId w:val="22"/>
        </w:numPr>
        <w:rPr>
          <w:lang w:eastAsia="en-AU"/>
        </w:rPr>
      </w:pPr>
      <w:r w:rsidRPr="00AF5B63">
        <w:t xml:space="preserve">44.1% decrease </w:t>
      </w:r>
      <w:r w:rsidRPr="00AF5B63">
        <w:rPr>
          <w:lang w:eastAsia="en-AU"/>
        </w:rPr>
        <w:t>in musculoskeletal</w:t>
      </w:r>
      <w:r>
        <w:rPr>
          <w:lang w:eastAsia="en-AU"/>
        </w:rPr>
        <w:t xml:space="preserve"> </w:t>
      </w:r>
      <w:r w:rsidRPr="00AF5B63">
        <w:rPr>
          <w:lang w:eastAsia="en-AU"/>
        </w:rPr>
        <w:t>disorder-related standard claims per 100 FTE</w:t>
      </w:r>
    </w:p>
    <w:p w14:paraId="7A89F6B1" w14:textId="427A0E1D" w:rsidR="00F844B4" w:rsidRPr="00AF5B63" w:rsidRDefault="00F844B4" w:rsidP="00F375A6">
      <w:pPr>
        <w:pStyle w:val="ARbullet1"/>
        <w:numPr>
          <w:ilvl w:val="0"/>
          <w:numId w:val="22"/>
        </w:numPr>
        <w:rPr>
          <w:lang w:eastAsia="en-AU"/>
        </w:rPr>
      </w:pPr>
      <w:r w:rsidRPr="00AF5B63">
        <w:t xml:space="preserve">25.6% decrease </w:t>
      </w:r>
      <w:r w:rsidRPr="00AF5B63">
        <w:rPr>
          <w:lang w:eastAsia="en-AU"/>
        </w:rPr>
        <w:t>in lost time standard claims per</w:t>
      </w:r>
      <w:r w:rsidR="00A76D9E">
        <w:rPr>
          <w:lang w:eastAsia="en-AU"/>
        </w:rPr>
        <w:t> </w:t>
      </w:r>
      <w:r w:rsidRPr="00AF5B63">
        <w:rPr>
          <w:lang w:eastAsia="en-AU"/>
        </w:rPr>
        <w:t>100 FTE</w:t>
      </w:r>
    </w:p>
    <w:p w14:paraId="19C9E781" w14:textId="3BFA532E" w:rsidR="00F844B4" w:rsidRPr="00AF5B63" w:rsidRDefault="00F844B4" w:rsidP="00F375A6">
      <w:pPr>
        <w:pStyle w:val="ARbullet1"/>
        <w:numPr>
          <w:ilvl w:val="0"/>
          <w:numId w:val="22"/>
        </w:numPr>
        <w:spacing w:after="120"/>
      </w:pPr>
      <w:r w:rsidRPr="00AF5B63">
        <w:t xml:space="preserve">10.9% decrease </w:t>
      </w:r>
      <w:r w:rsidRPr="00AF5B63">
        <w:rPr>
          <w:lang w:eastAsia="en-AU"/>
        </w:rPr>
        <w:t>in 13-week standard claims per</w:t>
      </w:r>
      <w:r w:rsidR="00A76D9E">
        <w:rPr>
          <w:lang w:eastAsia="en-AU"/>
        </w:rPr>
        <w:t> </w:t>
      </w:r>
      <w:r w:rsidRPr="00AF5B63">
        <w:rPr>
          <w:lang w:eastAsia="en-AU"/>
        </w:rPr>
        <w:t>100 FTE.</w:t>
      </w:r>
    </w:p>
    <w:p w14:paraId="71C2F56F" w14:textId="38125643" w:rsidR="00F844B4" w:rsidRPr="00622FF4" w:rsidRDefault="00A50FB0">
      <w:pPr>
        <w:pStyle w:val="ARbodybold"/>
      </w:pPr>
      <w:r>
        <w:br w:type="column"/>
      </w:r>
      <w:r w:rsidR="00F844B4" w:rsidRPr="005F59F7">
        <w:t>Improvement measures in 202</w:t>
      </w:r>
      <w:r w:rsidR="00F844B4">
        <w:t>4</w:t>
      </w:r>
      <w:r w:rsidR="00F844B4" w:rsidRPr="00622FF4">
        <w:t>–2</w:t>
      </w:r>
      <w:r w:rsidR="00F844B4">
        <w:t>5</w:t>
      </w:r>
      <w:r w:rsidR="00F844B4" w:rsidRPr="00622FF4">
        <w:t xml:space="preserve"> included:</w:t>
      </w:r>
    </w:p>
    <w:p w14:paraId="5F4E9EA8" w14:textId="61F778CC" w:rsidR="00F844B4" w:rsidRPr="00E0016C" w:rsidRDefault="00F844B4" w:rsidP="00F375A6">
      <w:pPr>
        <w:pStyle w:val="ARbullet1"/>
        <w:numPr>
          <w:ilvl w:val="0"/>
          <w:numId w:val="22"/>
        </w:numPr>
      </w:pPr>
      <w:r w:rsidRPr="00E0016C">
        <w:t xml:space="preserve">working with managers and </w:t>
      </w:r>
      <w:r>
        <w:t xml:space="preserve">employees </w:t>
      </w:r>
      <w:r w:rsidRPr="00E0016C">
        <w:t>to remain and recover at work or return to work early, safely and sustainably</w:t>
      </w:r>
    </w:p>
    <w:p w14:paraId="66296C45" w14:textId="6DE2212B" w:rsidR="00F844B4" w:rsidRPr="00E0016C" w:rsidRDefault="00F844B4" w:rsidP="00F375A6">
      <w:pPr>
        <w:pStyle w:val="ARbullet1"/>
        <w:numPr>
          <w:ilvl w:val="0"/>
          <w:numId w:val="22"/>
        </w:numPr>
      </w:pPr>
      <w:r>
        <w:t xml:space="preserve">continuing to </w:t>
      </w:r>
      <w:r w:rsidRPr="00E0016C">
        <w:t>improve analysis of workers compensation, return to work and employee support data</w:t>
      </w:r>
      <w:r>
        <w:t>. We did this</w:t>
      </w:r>
      <w:r w:rsidRPr="00E0016C">
        <w:t xml:space="preserve"> in collaboration with our insurer</w:t>
      </w:r>
      <w:r w:rsidRPr="005A5E7C">
        <w:t>,</w:t>
      </w:r>
      <w:r w:rsidRPr="00E0016C">
        <w:t xml:space="preserve"> WorkSafe and employee support provider</w:t>
      </w:r>
      <w:r>
        <w:t>. This helps us</w:t>
      </w:r>
      <w:r w:rsidRPr="00E0016C">
        <w:t xml:space="preserve"> identify trends, provide insights and inform decision making</w:t>
      </w:r>
    </w:p>
    <w:p w14:paraId="5E2B79B7" w14:textId="4E8F0CB8" w:rsidR="00F844B4" w:rsidRPr="00E0016C" w:rsidRDefault="00F844B4" w:rsidP="00F375A6">
      <w:pPr>
        <w:pStyle w:val="ARbullet1"/>
        <w:numPr>
          <w:ilvl w:val="0"/>
          <w:numId w:val="22"/>
        </w:numPr>
      </w:pPr>
      <w:r>
        <w:t>offers of</w:t>
      </w:r>
      <w:r w:rsidRPr="00E0016C">
        <w:t xml:space="preserve"> </w:t>
      </w:r>
      <w:r>
        <w:t xml:space="preserve">support through </w:t>
      </w:r>
      <w:proofErr w:type="spellStart"/>
      <w:r>
        <w:t>MAXHealth</w:t>
      </w:r>
      <w:proofErr w:type="spellEnd"/>
      <w:r w:rsidRPr="00E0016C">
        <w:t xml:space="preserve"> to provide early support for </w:t>
      </w:r>
      <w:r>
        <w:t>employees</w:t>
      </w:r>
      <w:r w:rsidRPr="00E0016C">
        <w:t xml:space="preserve"> who are injured at</w:t>
      </w:r>
      <w:r w:rsidR="00C07BFC">
        <w:t> </w:t>
      </w:r>
      <w:r w:rsidRPr="00E0016C">
        <w:t>work</w:t>
      </w:r>
      <w:r>
        <w:t>. This</w:t>
      </w:r>
      <w:r w:rsidRPr="00E0016C">
        <w:t xml:space="preserve"> </w:t>
      </w:r>
      <w:r>
        <w:t>helps people</w:t>
      </w:r>
      <w:r w:rsidRPr="00E0016C">
        <w:t xml:space="preserve"> </w:t>
      </w:r>
      <w:r>
        <w:t>recover</w:t>
      </w:r>
      <w:r w:rsidRPr="00E0016C">
        <w:t xml:space="preserve"> and return to</w:t>
      </w:r>
      <w:r w:rsidR="00A76D9E">
        <w:t> </w:t>
      </w:r>
      <w:r w:rsidRPr="00E0016C">
        <w:t xml:space="preserve">work </w:t>
      </w:r>
    </w:p>
    <w:p w14:paraId="44E95BD7" w14:textId="655D0BBC" w:rsidR="00F844B4" w:rsidRDefault="00F844B4" w:rsidP="00F375A6">
      <w:pPr>
        <w:pStyle w:val="ARbullet1"/>
        <w:numPr>
          <w:ilvl w:val="0"/>
          <w:numId w:val="22"/>
        </w:numPr>
      </w:pPr>
      <w:r w:rsidRPr="00E0016C">
        <w:t xml:space="preserve">tailored advice and support </w:t>
      </w:r>
      <w:r>
        <w:t>for</w:t>
      </w:r>
      <w:r w:rsidRPr="00E0016C">
        <w:t xml:space="preserve"> managers </w:t>
      </w:r>
      <w:r>
        <w:t>managing staff with</w:t>
      </w:r>
      <w:r w:rsidRPr="00E0016C">
        <w:t xml:space="preserve"> complex injuries and claims</w:t>
      </w:r>
    </w:p>
    <w:p w14:paraId="47751255" w14:textId="11B2A036" w:rsidR="00F844B4" w:rsidRDefault="00F844B4" w:rsidP="00F375A6">
      <w:pPr>
        <w:pStyle w:val="ARbullet1"/>
        <w:numPr>
          <w:ilvl w:val="0"/>
          <w:numId w:val="22"/>
        </w:numPr>
      </w:pPr>
      <w:r w:rsidRPr="0050226C">
        <w:t xml:space="preserve">early intervention services in the pending phase of a </w:t>
      </w:r>
      <w:r>
        <w:t xml:space="preserve">compensation </w:t>
      </w:r>
      <w:r w:rsidRPr="0050226C">
        <w:t>claim</w:t>
      </w:r>
      <w:r>
        <w:t xml:space="preserve"> through the department’s</w:t>
      </w:r>
      <w:r w:rsidRPr="0050226C">
        <w:t xml:space="preserve"> </w:t>
      </w:r>
      <w:proofErr w:type="spellStart"/>
      <w:r w:rsidRPr="0050226C">
        <w:t>WorkCover</w:t>
      </w:r>
      <w:proofErr w:type="spellEnd"/>
      <w:r w:rsidRPr="0050226C">
        <w:t xml:space="preserve"> insure</w:t>
      </w:r>
      <w:r>
        <w:t>r</w:t>
      </w:r>
    </w:p>
    <w:p w14:paraId="714D2ECD" w14:textId="72643D48" w:rsidR="00F844B4" w:rsidRPr="00540EA8" w:rsidRDefault="00F844B4" w:rsidP="00F375A6">
      <w:pPr>
        <w:pStyle w:val="ARbullet1"/>
        <w:numPr>
          <w:ilvl w:val="0"/>
          <w:numId w:val="22"/>
        </w:numPr>
      </w:pPr>
      <w:r>
        <w:t xml:space="preserve">development and launch of </w:t>
      </w:r>
      <w:proofErr w:type="gramStart"/>
      <w:r>
        <w:t xml:space="preserve">an </w:t>
      </w:r>
      <w:r w:rsidRPr="0050226C">
        <w:t>alternative duties</w:t>
      </w:r>
      <w:proofErr w:type="gramEnd"/>
      <w:r w:rsidRPr="0050226C">
        <w:t xml:space="preserve"> register</w:t>
      </w:r>
      <w:r>
        <w:t xml:space="preserve"> to support short-term placement opportunities for injured employees with a</w:t>
      </w:r>
      <w:r w:rsidR="00C07BFC">
        <w:t> </w:t>
      </w:r>
      <w:r>
        <w:t>capacity to work.</w:t>
      </w:r>
    </w:p>
    <w:p w14:paraId="39096C34" w14:textId="77777777" w:rsidR="00F844B4" w:rsidRPr="003B2CB2" w:rsidRDefault="00F844B4">
      <w:pPr>
        <w:pStyle w:val="ARbody"/>
        <w:rPr>
          <w:highlight w:val="cyan"/>
        </w:rPr>
      </w:pPr>
      <w:r w:rsidRPr="003B2CB2">
        <w:rPr>
          <w:highlight w:val="cyan"/>
        </w:rPr>
        <w:br w:type="page"/>
      </w:r>
    </w:p>
    <w:p w14:paraId="3988D8F0" w14:textId="77777777" w:rsidR="00F844B4" w:rsidRPr="003B2CB2" w:rsidRDefault="00F844B4">
      <w:pPr>
        <w:pStyle w:val="ARbody"/>
        <w:keepNext/>
        <w:rPr>
          <w:highlight w:val="cyan"/>
        </w:rPr>
        <w:sectPr w:rsidR="00F844B4" w:rsidRPr="003B2CB2" w:rsidSect="007F43B1">
          <w:endnotePr>
            <w:numFmt w:val="decimal"/>
          </w:endnotePr>
          <w:type w:val="continuous"/>
          <w:pgSz w:w="11900" w:h="16840" w:code="9"/>
          <w:pgMar w:top="1588" w:right="1134" w:bottom="851" w:left="1134" w:header="510" w:footer="340" w:gutter="0"/>
          <w:cols w:num="2" w:space="448"/>
          <w:docGrid w:linePitch="299"/>
        </w:sectPr>
      </w:pPr>
    </w:p>
    <w:p w14:paraId="51F7450E" w14:textId="77777777" w:rsidR="00F844B4" w:rsidRPr="009C6941" w:rsidRDefault="00F844B4">
      <w:pPr>
        <w:pStyle w:val="ARtablecaption"/>
      </w:pPr>
      <w:r w:rsidRPr="009C6941">
        <w:lastRenderedPageBreak/>
        <w:t>Table 6: The department’s performance against health and safety management measures</w:t>
      </w:r>
    </w:p>
    <w:tbl>
      <w:tblPr>
        <w:tblStyle w:val="TableGrid"/>
        <w:tblW w:w="5000" w:type="pct"/>
        <w:tblLayout w:type="fixed"/>
        <w:tblLook w:val="02A0" w:firstRow="1" w:lastRow="0" w:firstColumn="1" w:lastColumn="0" w:noHBand="1" w:noVBand="0"/>
      </w:tblPr>
      <w:tblGrid>
        <w:gridCol w:w="1284"/>
        <w:gridCol w:w="4469"/>
        <w:gridCol w:w="1293"/>
        <w:gridCol w:w="1293"/>
        <w:gridCol w:w="1293"/>
      </w:tblGrid>
      <w:tr w:rsidR="00F33C72" w:rsidRPr="003B2CB2" w14:paraId="21ABD190" w14:textId="77777777" w:rsidTr="00BD6E2F">
        <w:trPr>
          <w:cnfStyle w:val="100000000000" w:firstRow="1" w:lastRow="0" w:firstColumn="0" w:lastColumn="0" w:oddVBand="0" w:evenVBand="0" w:oddHBand="0" w:evenHBand="0" w:firstRowFirstColumn="0" w:firstRowLastColumn="0" w:lastRowFirstColumn="0" w:lastRowLastColumn="0"/>
          <w:tblHeader/>
        </w:trPr>
        <w:tc>
          <w:tcPr>
            <w:tcW w:w="666" w:type="pct"/>
          </w:tcPr>
          <w:p w14:paraId="16210A12" w14:textId="77777777" w:rsidR="00F844B4" w:rsidRPr="009C6941" w:rsidRDefault="00F844B4">
            <w:pPr>
              <w:pStyle w:val="ARtablecolhead"/>
            </w:pPr>
            <w:r w:rsidRPr="009C6941">
              <w:t>Measure</w:t>
            </w:r>
          </w:p>
        </w:tc>
        <w:tc>
          <w:tcPr>
            <w:cnfStyle w:val="000001000000" w:firstRow="0" w:lastRow="0" w:firstColumn="0" w:lastColumn="0" w:oddVBand="0" w:evenVBand="1" w:oddHBand="0" w:evenHBand="0" w:firstRowFirstColumn="0" w:firstRowLastColumn="0" w:lastRowFirstColumn="0" w:lastRowLastColumn="0"/>
            <w:tcW w:w="2320" w:type="pct"/>
            <w:tcMar>
              <w:left w:w="113" w:type="dxa"/>
            </w:tcMar>
          </w:tcPr>
          <w:p w14:paraId="0C8C222B" w14:textId="77777777" w:rsidR="00F844B4" w:rsidRPr="009C6941" w:rsidRDefault="00F844B4">
            <w:pPr>
              <w:pStyle w:val="ARtablecolhead"/>
            </w:pPr>
            <w:r w:rsidRPr="009C6941">
              <w:t>Key performance indicator</w:t>
            </w:r>
          </w:p>
        </w:tc>
        <w:tc>
          <w:tcPr>
            <w:tcW w:w="671" w:type="pct"/>
          </w:tcPr>
          <w:p w14:paraId="770785FD" w14:textId="77777777" w:rsidR="00F844B4" w:rsidRPr="009C6941" w:rsidRDefault="00F844B4">
            <w:pPr>
              <w:pStyle w:val="ARtablecolheadright"/>
              <w:cnfStyle w:val="100000000000" w:firstRow="1" w:lastRow="0" w:firstColumn="0" w:lastColumn="0" w:oddVBand="0" w:evenVBand="0" w:oddHBand="0" w:evenHBand="0" w:firstRowFirstColumn="0" w:firstRowLastColumn="0" w:lastRowFirstColumn="0" w:lastRowLastColumn="0"/>
            </w:pPr>
            <w:r w:rsidRPr="00874F32">
              <w:t>2022–23</w:t>
            </w:r>
          </w:p>
        </w:tc>
        <w:tc>
          <w:tcPr>
            <w:cnfStyle w:val="000001000000" w:firstRow="0" w:lastRow="0" w:firstColumn="0" w:lastColumn="0" w:oddVBand="0" w:evenVBand="1" w:oddHBand="0" w:evenHBand="0" w:firstRowFirstColumn="0" w:firstRowLastColumn="0" w:lastRowFirstColumn="0" w:lastRowLastColumn="0"/>
            <w:tcW w:w="671" w:type="pct"/>
          </w:tcPr>
          <w:p w14:paraId="76AC27DA" w14:textId="77777777" w:rsidR="00F844B4" w:rsidRPr="009C6941" w:rsidRDefault="00F844B4">
            <w:pPr>
              <w:pStyle w:val="ARtablecolheadright"/>
            </w:pPr>
            <w:r w:rsidRPr="00874F32">
              <w:t>2023–24</w:t>
            </w:r>
          </w:p>
        </w:tc>
        <w:tc>
          <w:tcPr>
            <w:tcW w:w="671" w:type="pct"/>
          </w:tcPr>
          <w:p w14:paraId="4581DA98" w14:textId="3E05AD62" w:rsidR="00F844B4" w:rsidRPr="009C6941" w:rsidRDefault="00F844B4">
            <w:pPr>
              <w:pStyle w:val="ARtablecolheadright"/>
              <w:cnfStyle w:val="100000000000" w:firstRow="1" w:lastRow="0" w:firstColumn="0" w:lastColumn="0" w:oddVBand="0" w:evenVBand="0" w:oddHBand="0" w:evenHBand="0" w:firstRowFirstColumn="0" w:firstRowLastColumn="0" w:lastRowFirstColumn="0" w:lastRowLastColumn="0"/>
            </w:pPr>
            <w:r w:rsidRPr="00874F32">
              <w:t>2024</w:t>
            </w:r>
            <w:r w:rsidR="005C1105">
              <w:t>–</w:t>
            </w:r>
            <w:r w:rsidRPr="00874F32">
              <w:t>25</w:t>
            </w:r>
          </w:p>
        </w:tc>
      </w:tr>
      <w:tr w:rsidR="00F33C72" w:rsidRPr="003B2CB2" w14:paraId="0E42D1A0" w14:textId="77777777" w:rsidTr="00BD6E2F">
        <w:trPr>
          <w:cantSplit w:val="0"/>
        </w:trPr>
        <w:tc>
          <w:tcPr>
            <w:tcW w:w="666" w:type="pct"/>
            <w:vMerge w:val="restart"/>
            <w:tcBorders>
              <w:top w:val="single" w:sz="4" w:space="0" w:color="000000" w:themeColor="text1"/>
              <w:bottom w:val="single" w:sz="4" w:space="0" w:color="A6A6A6" w:themeColor="accent5"/>
            </w:tcBorders>
          </w:tcPr>
          <w:p w14:paraId="57933AB5" w14:textId="77777777" w:rsidR="00F844B4" w:rsidRPr="009C6941" w:rsidRDefault="00F844B4">
            <w:pPr>
              <w:pStyle w:val="ARtabletext"/>
            </w:pPr>
            <w:r w:rsidRPr="009C6941">
              <w:t>Hazards</w:t>
            </w:r>
          </w:p>
        </w:tc>
        <w:tc>
          <w:tcPr>
            <w:cnfStyle w:val="000001000000" w:firstRow="0" w:lastRow="0" w:firstColumn="0" w:lastColumn="0" w:oddVBand="0" w:evenVBand="1" w:oddHBand="0" w:evenHBand="0" w:firstRowFirstColumn="0" w:firstRowLastColumn="0" w:lastRowFirstColumn="0" w:lastRowLastColumn="0"/>
            <w:tcW w:w="2320" w:type="pct"/>
            <w:tcBorders>
              <w:bottom w:val="single" w:sz="4" w:space="0" w:color="A6A6A6" w:themeColor="accent5"/>
            </w:tcBorders>
            <w:tcMar>
              <w:left w:w="113" w:type="dxa"/>
            </w:tcMar>
          </w:tcPr>
          <w:p w14:paraId="464010D6" w14:textId="77777777" w:rsidR="00F844B4" w:rsidRPr="009C6941" w:rsidRDefault="00F844B4">
            <w:pPr>
              <w:pStyle w:val="ARtabletext"/>
            </w:pPr>
            <w:r w:rsidRPr="009C6941">
              <w:t>Number of hazards</w:t>
            </w:r>
          </w:p>
        </w:tc>
        <w:tc>
          <w:tcPr>
            <w:tcW w:w="671" w:type="pct"/>
            <w:tcBorders>
              <w:bottom w:val="single" w:sz="4" w:space="0" w:color="A6A6A6" w:themeColor="accent5"/>
            </w:tcBorders>
          </w:tcPr>
          <w:p w14:paraId="22D2CED7" w14:textId="77777777" w:rsidR="00F844B4" w:rsidRPr="009C6941"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874F32">
              <w:t>734</w:t>
            </w:r>
          </w:p>
        </w:tc>
        <w:tc>
          <w:tcPr>
            <w:cnfStyle w:val="000001000000" w:firstRow="0" w:lastRow="0" w:firstColumn="0" w:lastColumn="0" w:oddVBand="0" w:evenVBand="1" w:oddHBand="0" w:evenHBand="0" w:firstRowFirstColumn="0" w:firstRowLastColumn="0" w:lastRowFirstColumn="0" w:lastRowLastColumn="0"/>
            <w:tcW w:w="671" w:type="pct"/>
            <w:tcBorders>
              <w:bottom w:val="single" w:sz="4" w:space="0" w:color="A6A6A6" w:themeColor="accent5"/>
            </w:tcBorders>
          </w:tcPr>
          <w:p w14:paraId="0C55D391" w14:textId="77777777" w:rsidR="00F844B4" w:rsidRPr="009C6941" w:rsidRDefault="00F844B4">
            <w:pPr>
              <w:pStyle w:val="ARtabletextright"/>
            </w:pPr>
            <w:r w:rsidRPr="00874F32">
              <w:t>774</w:t>
            </w:r>
          </w:p>
        </w:tc>
        <w:tc>
          <w:tcPr>
            <w:tcW w:w="671" w:type="pct"/>
            <w:tcBorders>
              <w:bottom w:val="single" w:sz="4" w:space="0" w:color="A6A6A6" w:themeColor="accent5"/>
            </w:tcBorders>
          </w:tcPr>
          <w:p w14:paraId="53A223C3" w14:textId="77777777" w:rsidR="00F844B4" w:rsidRPr="00622FF4"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8C7DE5">
              <w:t>812</w:t>
            </w:r>
          </w:p>
        </w:tc>
      </w:tr>
      <w:tr w:rsidR="001C5BB8" w:rsidRPr="003B2CB2" w14:paraId="3A33AA9C" w14:textId="77777777" w:rsidTr="00BD6E2F">
        <w:trPr>
          <w:cantSplit w:val="0"/>
        </w:trPr>
        <w:tc>
          <w:tcPr>
            <w:tcW w:w="666" w:type="pct"/>
            <w:vMerge/>
            <w:tcBorders>
              <w:top w:val="single" w:sz="4" w:space="0" w:color="000000" w:themeColor="text1"/>
              <w:bottom w:val="single" w:sz="4" w:space="0" w:color="A6A6A6" w:themeColor="accent5"/>
            </w:tcBorders>
          </w:tcPr>
          <w:p w14:paraId="34709C2D" w14:textId="77777777" w:rsidR="00F844B4" w:rsidRPr="00622FF4" w:rsidRDefault="00F844B4">
            <w:pPr>
              <w:pStyle w:val="ARtabletext"/>
            </w:pP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A6A6A6" w:themeColor="accent5"/>
              <w:bottom w:val="single" w:sz="4" w:space="0" w:color="000000" w:themeColor="text1"/>
            </w:tcBorders>
            <w:tcMar>
              <w:left w:w="113" w:type="dxa"/>
            </w:tcMar>
          </w:tcPr>
          <w:p w14:paraId="5F2434E6" w14:textId="77777777" w:rsidR="00F844B4" w:rsidRPr="00622FF4" w:rsidRDefault="00F844B4">
            <w:pPr>
              <w:pStyle w:val="ARtabletext"/>
            </w:pPr>
            <w:r w:rsidRPr="00622FF4">
              <w:t>Rate per 100 FTE</w:t>
            </w:r>
          </w:p>
        </w:tc>
        <w:tc>
          <w:tcPr>
            <w:tcW w:w="671" w:type="pct"/>
            <w:tcBorders>
              <w:top w:val="single" w:sz="4" w:space="0" w:color="A6A6A6" w:themeColor="accent5"/>
              <w:bottom w:val="single" w:sz="4" w:space="0" w:color="000000" w:themeColor="text1"/>
            </w:tcBorders>
          </w:tcPr>
          <w:p w14:paraId="0B0E517F" w14:textId="77777777" w:rsidR="00F844B4" w:rsidRPr="009C6941"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9C6941">
              <w:t>10.86</w:t>
            </w: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A6A6A6" w:themeColor="accent5"/>
              <w:bottom w:val="single" w:sz="4" w:space="0" w:color="000000" w:themeColor="text1"/>
            </w:tcBorders>
          </w:tcPr>
          <w:p w14:paraId="3F5924DE" w14:textId="77777777" w:rsidR="00F844B4" w:rsidRPr="009C6941" w:rsidRDefault="00F844B4">
            <w:pPr>
              <w:pStyle w:val="ARtabletextright"/>
            </w:pPr>
            <w:r w:rsidRPr="009C6941">
              <w:t>11.59</w:t>
            </w:r>
          </w:p>
        </w:tc>
        <w:tc>
          <w:tcPr>
            <w:tcW w:w="671" w:type="pct"/>
            <w:tcBorders>
              <w:top w:val="single" w:sz="4" w:space="0" w:color="A6A6A6" w:themeColor="accent5"/>
              <w:bottom w:val="single" w:sz="4" w:space="0" w:color="000000" w:themeColor="text1"/>
            </w:tcBorders>
          </w:tcPr>
          <w:p w14:paraId="59E8272C" w14:textId="77777777" w:rsidR="00F844B4" w:rsidRPr="00622FF4"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8C7DE5">
              <w:t>12.10</w:t>
            </w:r>
          </w:p>
        </w:tc>
      </w:tr>
      <w:tr w:rsidR="00F33C72" w:rsidRPr="003B2CB2" w14:paraId="621E358C" w14:textId="77777777" w:rsidTr="00BD6E2F">
        <w:trPr>
          <w:cantSplit w:val="0"/>
        </w:trPr>
        <w:tc>
          <w:tcPr>
            <w:tcW w:w="666" w:type="pct"/>
            <w:vMerge w:val="restart"/>
            <w:tcBorders>
              <w:top w:val="single" w:sz="4" w:space="0" w:color="000000" w:themeColor="text1"/>
              <w:bottom w:val="single" w:sz="4" w:space="0" w:color="A6A6A6" w:themeColor="accent5"/>
            </w:tcBorders>
          </w:tcPr>
          <w:p w14:paraId="6B250487" w14:textId="77777777" w:rsidR="00F844B4" w:rsidRPr="009C6941" w:rsidRDefault="00F844B4">
            <w:pPr>
              <w:pStyle w:val="ARtabletext"/>
            </w:pPr>
            <w:r w:rsidRPr="009C6941">
              <w:t>Incidents</w:t>
            </w: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000000" w:themeColor="text1"/>
              <w:bottom w:val="single" w:sz="4" w:space="0" w:color="A6A6A6" w:themeColor="accent5"/>
            </w:tcBorders>
            <w:tcMar>
              <w:left w:w="113" w:type="dxa"/>
            </w:tcMar>
          </w:tcPr>
          <w:p w14:paraId="062B916D" w14:textId="77777777" w:rsidR="00F844B4" w:rsidRPr="009C6941" w:rsidRDefault="00F844B4">
            <w:pPr>
              <w:pStyle w:val="ARtabletext"/>
            </w:pPr>
            <w:r w:rsidRPr="009C6941">
              <w:t>Number of incidents</w:t>
            </w:r>
          </w:p>
        </w:tc>
        <w:tc>
          <w:tcPr>
            <w:tcW w:w="671" w:type="pct"/>
            <w:tcBorders>
              <w:top w:val="single" w:sz="4" w:space="0" w:color="000000" w:themeColor="text1"/>
              <w:bottom w:val="single" w:sz="4" w:space="0" w:color="A6A6A6" w:themeColor="accent5"/>
            </w:tcBorders>
          </w:tcPr>
          <w:p w14:paraId="5076C91B" w14:textId="77777777" w:rsidR="00F844B4" w:rsidRPr="009C6941"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874F32">
              <w:t>2,007</w:t>
            </w: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000000" w:themeColor="text1"/>
              <w:bottom w:val="single" w:sz="4" w:space="0" w:color="A6A6A6" w:themeColor="accent5"/>
            </w:tcBorders>
          </w:tcPr>
          <w:p w14:paraId="780DE7B9" w14:textId="77777777" w:rsidR="00F844B4" w:rsidRPr="009C6941" w:rsidRDefault="00F844B4">
            <w:pPr>
              <w:pStyle w:val="ARtabletextright"/>
            </w:pPr>
            <w:r w:rsidRPr="009C6941">
              <w:t>2,</w:t>
            </w:r>
            <w:r w:rsidRPr="00874F32">
              <w:t>302</w:t>
            </w:r>
          </w:p>
        </w:tc>
        <w:tc>
          <w:tcPr>
            <w:tcW w:w="671" w:type="pct"/>
            <w:tcBorders>
              <w:top w:val="single" w:sz="4" w:space="0" w:color="000000" w:themeColor="text1"/>
              <w:bottom w:val="single" w:sz="4" w:space="0" w:color="A6A6A6" w:themeColor="accent5"/>
            </w:tcBorders>
          </w:tcPr>
          <w:p w14:paraId="487F9905" w14:textId="77777777" w:rsidR="00F844B4" w:rsidRPr="0041305A"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8C7DE5">
              <w:t>2,569</w:t>
            </w:r>
          </w:p>
        </w:tc>
      </w:tr>
      <w:tr w:rsidR="001C5BB8" w:rsidRPr="003B2CB2" w14:paraId="1F6B24DD" w14:textId="77777777" w:rsidTr="00BD6E2F">
        <w:trPr>
          <w:cantSplit w:val="0"/>
        </w:trPr>
        <w:tc>
          <w:tcPr>
            <w:tcW w:w="666" w:type="pct"/>
            <w:vMerge/>
            <w:tcBorders>
              <w:top w:val="single" w:sz="4" w:space="0" w:color="000000" w:themeColor="text1"/>
              <w:bottom w:val="single" w:sz="4" w:space="0" w:color="A6A6A6" w:themeColor="accent5"/>
            </w:tcBorders>
          </w:tcPr>
          <w:p w14:paraId="3BF928CE" w14:textId="77777777" w:rsidR="00F844B4" w:rsidRPr="00622FF4" w:rsidRDefault="00F844B4">
            <w:pPr>
              <w:pStyle w:val="ARtabletext"/>
            </w:pP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A6A6A6" w:themeColor="accent5"/>
              <w:bottom w:val="single" w:sz="4" w:space="0" w:color="A6A6A6" w:themeColor="accent5"/>
            </w:tcBorders>
            <w:tcMar>
              <w:left w:w="113" w:type="dxa"/>
            </w:tcMar>
          </w:tcPr>
          <w:p w14:paraId="609F44B8" w14:textId="77777777" w:rsidR="00F844B4" w:rsidRPr="00622FF4" w:rsidRDefault="00F844B4">
            <w:pPr>
              <w:pStyle w:val="ARtabletext"/>
            </w:pPr>
            <w:r w:rsidRPr="00622FF4">
              <w:t>Rate per 100 FTE</w:t>
            </w:r>
          </w:p>
        </w:tc>
        <w:tc>
          <w:tcPr>
            <w:tcW w:w="671" w:type="pct"/>
            <w:tcBorders>
              <w:top w:val="single" w:sz="4" w:space="0" w:color="A6A6A6" w:themeColor="accent5"/>
              <w:bottom w:val="single" w:sz="4" w:space="0" w:color="A6A6A6" w:themeColor="accent5"/>
            </w:tcBorders>
          </w:tcPr>
          <w:p w14:paraId="591C3789" w14:textId="77777777" w:rsidR="00F844B4" w:rsidRPr="009C6941"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9C6941">
              <w:t>29.69</w:t>
            </w: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A6A6A6" w:themeColor="accent5"/>
              <w:bottom w:val="single" w:sz="4" w:space="0" w:color="A6A6A6" w:themeColor="accent5"/>
            </w:tcBorders>
          </w:tcPr>
          <w:p w14:paraId="2A8B63CE" w14:textId="77777777" w:rsidR="00F844B4" w:rsidRPr="009C6941" w:rsidRDefault="00F844B4">
            <w:pPr>
              <w:pStyle w:val="ARtabletextright"/>
            </w:pPr>
            <w:r w:rsidRPr="009C6941">
              <w:t>34.49</w:t>
            </w:r>
          </w:p>
        </w:tc>
        <w:tc>
          <w:tcPr>
            <w:tcW w:w="671" w:type="pct"/>
            <w:tcBorders>
              <w:top w:val="single" w:sz="4" w:space="0" w:color="A6A6A6" w:themeColor="accent5"/>
              <w:bottom w:val="single" w:sz="4" w:space="0" w:color="A6A6A6" w:themeColor="accent5"/>
            </w:tcBorders>
          </w:tcPr>
          <w:p w14:paraId="408091EE" w14:textId="77777777" w:rsidR="00F844B4" w:rsidRPr="00622FF4" w:rsidRDefault="00F844B4">
            <w:pPr>
              <w:pStyle w:val="ARtabletextright"/>
              <w:cnfStyle w:val="000000000000" w:firstRow="0" w:lastRow="0" w:firstColumn="0" w:lastColumn="0" w:oddVBand="0" w:evenVBand="0" w:oddHBand="0" w:evenHBand="0" w:firstRowFirstColumn="0" w:firstRowLastColumn="0" w:lastRowFirstColumn="0" w:lastRowLastColumn="0"/>
            </w:pPr>
            <w:r>
              <w:t>38.29</w:t>
            </w:r>
          </w:p>
        </w:tc>
      </w:tr>
      <w:tr w:rsidR="001C5BB8" w:rsidRPr="000B360F" w14:paraId="70788937" w14:textId="77777777" w:rsidTr="00BD6E2F">
        <w:trPr>
          <w:cantSplit w:val="0"/>
        </w:trPr>
        <w:tc>
          <w:tcPr>
            <w:tcW w:w="666" w:type="pct"/>
            <w:vMerge/>
            <w:tcBorders>
              <w:top w:val="single" w:sz="4" w:space="0" w:color="000000" w:themeColor="text1"/>
              <w:bottom w:val="single" w:sz="4" w:space="0" w:color="A6A6A6" w:themeColor="accent5"/>
            </w:tcBorders>
          </w:tcPr>
          <w:p w14:paraId="6C71FE1C" w14:textId="77777777" w:rsidR="00F844B4" w:rsidRPr="00622FF4" w:rsidRDefault="00F844B4">
            <w:pPr>
              <w:pStyle w:val="ARtabletext"/>
            </w:pP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A6A6A6" w:themeColor="accent5"/>
              <w:bottom w:val="single" w:sz="4" w:space="0" w:color="000000" w:themeColor="text1"/>
            </w:tcBorders>
            <w:tcMar>
              <w:left w:w="113" w:type="dxa"/>
            </w:tcMar>
          </w:tcPr>
          <w:p w14:paraId="6C2E717A" w14:textId="77777777" w:rsidR="00F844B4" w:rsidRPr="009C6941" w:rsidRDefault="00F844B4">
            <w:pPr>
              <w:pStyle w:val="ARtabletext"/>
              <w:rPr>
                <w:vertAlign w:val="superscript"/>
              </w:rPr>
            </w:pPr>
            <w:r w:rsidRPr="00622FF4">
              <w:t>Number of incidents requiring first aid and/or further medical treatment</w:t>
            </w:r>
          </w:p>
        </w:tc>
        <w:tc>
          <w:tcPr>
            <w:tcW w:w="671" w:type="pct"/>
            <w:tcBorders>
              <w:top w:val="single" w:sz="4" w:space="0" w:color="A6A6A6" w:themeColor="accent5"/>
              <w:bottom w:val="single" w:sz="4" w:space="0" w:color="000000" w:themeColor="text1"/>
            </w:tcBorders>
          </w:tcPr>
          <w:p w14:paraId="4CC45885" w14:textId="77777777" w:rsidR="00F844B4" w:rsidRPr="009C6941"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874F32">
              <w:t>275</w:t>
            </w: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A6A6A6" w:themeColor="accent5"/>
              <w:bottom w:val="single" w:sz="4" w:space="0" w:color="000000" w:themeColor="text1"/>
            </w:tcBorders>
          </w:tcPr>
          <w:p w14:paraId="2384C241" w14:textId="77777777" w:rsidR="00F844B4" w:rsidRPr="009C6941" w:rsidRDefault="00F844B4">
            <w:pPr>
              <w:pStyle w:val="ARtabletextright"/>
            </w:pPr>
            <w:r w:rsidRPr="00874F32">
              <w:t>234</w:t>
            </w:r>
          </w:p>
        </w:tc>
        <w:tc>
          <w:tcPr>
            <w:tcW w:w="671" w:type="pct"/>
            <w:tcBorders>
              <w:top w:val="single" w:sz="4" w:space="0" w:color="A6A6A6" w:themeColor="accent5"/>
              <w:bottom w:val="single" w:sz="4" w:space="0" w:color="000000" w:themeColor="text1"/>
            </w:tcBorders>
          </w:tcPr>
          <w:p w14:paraId="371D0C95" w14:textId="77777777" w:rsidR="00F844B4" w:rsidRPr="0041305A"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41305A">
              <w:t>394</w:t>
            </w:r>
          </w:p>
        </w:tc>
      </w:tr>
      <w:tr w:rsidR="00F33C72" w:rsidRPr="003B2CB2" w14:paraId="16BA7FEC" w14:textId="77777777" w:rsidTr="00BD6E2F">
        <w:trPr>
          <w:cantSplit w:val="0"/>
        </w:trPr>
        <w:tc>
          <w:tcPr>
            <w:tcW w:w="666" w:type="pct"/>
            <w:vMerge w:val="restart"/>
            <w:tcBorders>
              <w:top w:val="single" w:sz="4" w:space="0" w:color="000000" w:themeColor="text1"/>
              <w:bottom w:val="single" w:sz="4" w:space="0" w:color="A6A6A6" w:themeColor="accent5"/>
            </w:tcBorders>
          </w:tcPr>
          <w:p w14:paraId="5B35020F" w14:textId="77777777" w:rsidR="00F844B4" w:rsidRPr="009C6941" w:rsidRDefault="00F844B4">
            <w:pPr>
              <w:pStyle w:val="ARtabletext"/>
            </w:pPr>
            <w:r w:rsidRPr="009C6941">
              <w:t>Claims</w:t>
            </w: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000000" w:themeColor="text1"/>
              <w:bottom w:val="single" w:sz="4" w:space="0" w:color="A6A6A6" w:themeColor="accent5"/>
            </w:tcBorders>
            <w:tcMar>
              <w:left w:w="113" w:type="dxa"/>
            </w:tcMar>
          </w:tcPr>
          <w:p w14:paraId="1B9CD5B0" w14:textId="77777777" w:rsidR="00F844B4" w:rsidRPr="009C6941" w:rsidRDefault="00F844B4">
            <w:pPr>
              <w:pStyle w:val="ARtabletext"/>
            </w:pPr>
            <w:r w:rsidRPr="009C6941">
              <w:t xml:space="preserve">Number of standard claims </w:t>
            </w:r>
            <w:r w:rsidRPr="009C6941">
              <w:rPr>
                <w:rStyle w:val="FootnoteReference"/>
              </w:rPr>
              <w:footnoteReference w:id="11"/>
            </w:r>
          </w:p>
        </w:tc>
        <w:tc>
          <w:tcPr>
            <w:tcW w:w="671" w:type="pct"/>
            <w:tcBorders>
              <w:top w:val="single" w:sz="4" w:space="0" w:color="000000" w:themeColor="text1"/>
              <w:bottom w:val="single" w:sz="4" w:space="0" w:color="A6A6A6" w:themeColor="accent5"/>
            </w:tcBorders>
          </w:tcPr>
          <w:p w14:paraId="6ABE8B6A" w14:textId="77777777" w:rsidR="00F844B4" w:rsidRPr="009C6941"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874F32">
              <w:t>82</w:t>
            </w: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000000" w:themeColor="text1"/>
              <w:bottom w:val="single" w:sz="4" w:space="0" w:color="A6A6A6" w:themeColor="accent5"/>
            </w:tcBorders>
          </w:tcPr>
          <w:p w14:paraId="2AF7507A" w14:textId="77777777" w:rsidR="00F844B4" w:rsidRPr="009C6941" w:rsidRDefault="00F844B4">
            <w:pPr>
              <w:pStyle w:val="ARtabletextright"/>
            </w:pPr>
            <w:r w:rsidRPr="00874F32">
              <w:t>92</w:t>
            </w:r>
          </w:p>
        </w:tc>
        <w:tc>
          <w:tcPr>
            <w:tcW w:w="671" w:type="pct"/>
            <w:tcBorders>
              <w:top w:val="single" w:sz="4" w:space="0" w:color="000000" w:themeColor="text1"/>
              <w:bottom w:val="single" w:sz="4" w:space="0" w:color="A6A6A6" w:themeColor="accent5"/>
            </w:tcBorders>
          </w:tcPr>
          <w:p w14:paraId="6CD73288" w14:textId="77777777" w:rsidR="00F844B4" w:rsidRPr="009C6941" w:rsidRDefault="00F844B4">
            <w:pPr>
              <w:pStyle w:val="ARtabletextright"/>
              <w:cnfStyle w:val="000000000000" w:firstRow="0" w:lastRow="0" w:firstColumn="0" w:lastColumn="0" w:oddVBand="0" w:evenVBand="0" w:oddHBand="0" w:evenHBand="0" w:firstRowFirstColumn="0" w:firstRowLastColumn="0" w:lastRowFirstColumn="0" w:lastRowLastColumn="0"/>
              <w:rPr>
                <w:highlight w:val="yellow"/>
              </w:rPr>
            </w:pPr>
            <w:r w:rsidRPr="00A3006A">
              <w:t>91</w:t>
            </w:r>
          </w:p>
        </w:tc>
      </w:tr>
      <w:tr w:rsidR="001C5BB8" w:rsidRPr="003B2CB2" w14:paraId="1546954B" w14:textId="77777777" w:rsidTr="00BD6E2F">
        <w:trPr>
          <w:cantSplit w:val="0"/>
        </w:trPr>
        <w:tc>
          <w:tcPr>
            <w:tcW w:w="666" w:type="pct"/>
            <w:vMerge/>
            <w:tcBorders>
              <w:top w:val="single" w:sz="4" w:space="0" w:color="000000" w:themeColor="text1"/>
              <w:bottom w:val="single" w:sz="4" w:space="0" w:color="A6A6A6" w:themeColor="accent5"/>
            </w:tcBorders>
          </w:tcPr>
          <w:p w14:paraId="0BCA4599" w14:textId="77777777" w:rsidR="00F844B4" w:rsidRPr="00622FF4" w:rsidRDefault="00F844B4">
            <w:pPr>
              <w:pStyle w:val="ARtabletext"/>
            </w:pP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A6A6A6" w:themeColor="accent5"/>
            </w:tcBorders>
            <w:tcMar>
              <w:left w:w="113" w:type="dxa"/>
            </w:tcMar>
          </w:tcPr>
          <w:p w14:paraId="69DCAF48" w14:textId="77777777" w:rsidR="00F844B4" w:rsidRPr="00622FF4" w:rsidRDefault="00F844B4">
            <w:pPr>
              <w:pStyle w:val="ARtabletext"/>
            </w:pPr>
            <w:r w:rsidRPr="00622FF4">
              <w:t>Rate per 100 FTE</w:t>
            </w:r>
          </w:p>
        </w:tc>
        <w:tc>
          <w:tcPr>
            <w:tcW w:w="671" w:type="pct"/>
            <w:tcBorders>
              <w:top w:val="single" w:sz="4" w:space="0" w:color="A6A6A6" w:themeColor="accent5"/>
            </w:tcBorders>
          </w:tcPr>
          <w:p w14:paraId="523D5FE8" w14:textId="77777777" w:rsidR="00F844B4" w:rsidRPr="009C6941"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3130BF">
              <w:t>1.</w:t>
            </w:r>
            <w:r w:rsidRPr="00874F32">
              <w:t>20</w:t>
            </w: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A6A6A6" w:themeColor="accent5"/>
            </w:tcBorders>
          </w:tcPr>
          <w:p w14:paraId="17951FB3" w14:textId="77777777" w:rsidR="00F844B4" w:rsidRPr="00800D5A" w:rsidRDefault="00F844B4">
            <w:pPr>
              <w:pStyle w:val="ARtabletextright"/>
            </w:pPr>
            <w:r w:rsidRPr="009C6941">
              <w:t>1.</w:t>
            </w:r>
            <w:r w:rsidRPr="00874F32">
              <w:t>38</w:t>
            </w:r>
          </w:p>
        </w:tc>
        <w:tc>
          <w:tcPr>
            <w:tcW w:w="671" w:type="pct"/>
            <w:tcBorders>
              <w:top w:val="single" w:sz="4" w:space="0" w:color="A6A6A6" w:themeColor="accent5"/>
            </w:tcBorders>
          </w:tcPr>
          <w:p w14:paraId="4EEDD664" w14:textId="77777777" w:rsidR="00F844B4" w:rsidRPr="00800D5A" w:rsidRDefault="00F844B4">
            <w:pPr>
              <w:pStyle w:val="ARtabletextright"/>
              <w:cnfStyle w:val="000000000000" w:firstRow="0" w:lastRow="0" w:firstColumn="0" w:lastColumn="0" w:oddVBand="0" w:evenVBand="0" w:oddHBand="0" w:evenHBand="0" w:firstRowFirstColumn="0" w:firstRowLastColumn="0" w:lastRowFirstColumn="0" w:lastRowLastColumn="0"/>
              <w:rPr>
                <w:highlight w:val="yellow"/>
              </w:rPr>
            </w:pPr>
            <w:r w:rsidRPr="00A3006A">
              <w:t>1.36</w:t>
            </w:r>
          </w:p>
        </w:tc>
      </w:tr>
      <w:tr w:rsidR="00F33C72" w:rsidRPr="003B2CB2" w14:paraId="7AEF1CCD" w14:textId="77777777" w:rsidTr="00BD6E2F">
        <w:trPr>
          <w:cantSplit w:val="0"/>
        </w:trPr>
        <w:tc>
          <w:tcPr>
            <w:tcW w:w="666" w:type="pct"/>
            <w:vMerge/>
            <w:tcBorders>
              <w:top w:val="single" w:sz="4" w:space="0" w:color="000000" w:themeColor="text1"/>
              <w:bottom w:val="single" w:sz="4" w:space="0" w:color="A6A6A6" w:themeColor="accent5"/>
            </w:tcBorders>
          </w:tcPr>
          <w:p w14:paraId="4FDA255A" w14:textId="77777777" w:rsidR="00F844B4" w:rsidRPr="00622FF4" w:rsidRDefault="00F844B4">
            <w:pPr>
              <w:pStyle w:val="ARtabletext"/>
            </w:pPr>
          </w:p>
        </w:tc>
        <w:tc>
          <w:tcPr>
            <w:cnfStyle w:val="000001000000" w:firstRow="0" w:lastRow="0" w:firstColumn="0" w:lastColumn="0" w:oddVBand="0" w:evenVBand="1" w:oddHBand="0" w:evenHBand="0" w:firstRowFirstColumn="0" w:firstRowLastColumn="0" w:lastRowFirstColumn="0" w:lastRowLastColumn="0"/>
            <w:tcW w:w="2320" w:type="pct"/>
            <w:tcMar>
              <w:left w:w="113" w:type="dxa"/>
            </w:tcMar>
          </w:tcPr>
          <w:p w14:paraId="7ED7D5FE" w14:textId="77777777" w:rsidR="00F844B4" w:rsidRPr="00622FF4" w:rsidRDefault="00F844B4">
            <w:pPr>
              <w:pStyle w:val="ARtabletext"/>
            </w:pPr>
            <w:r w:rsidRPr="00622FF4">
              <w:t>Number of lost time claims</w:t>
            </w:r>
          </w:p>
        </w:tc>
        <w:tc>
          <w:tcPr>
            <w:tcW w:w="671" w:type="pct"/>
          </w:tcPr>
          <w:p w14:paraId="39396B7B" w14:textId="77777777" w:rsidR="00F844B4" w:rsidRPr="00800D5A"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874F32">
              <w:t>51</w:t>
            </w:r>
          </w:p>
        </w:tc>
        <w:tc>
          <w:tcPr>
            <w:cnfStyle w:val="000001000000" w:firstRow="0" w:lastRow="0" w:firstColumn="0" w:lastColumn="0" w:oddVBand="0" w:evenVBand="1" w:oddHBand="0" w:evenHBand="0" w:firstRowFirstColumn="0" w:firstRowLastColumn="0" w:lastRowFirstColumn="0" w:lastRowLastColumn="0"/>
            <w:tcW w:w="671" w:type="pct"/>
          </w:tcPr>
          <w:p w14:paraId="6ADD3169" w14:textId="77777777" w:rsidR="00F844B4" w:rsidRPr="00800D5A" w:rsidRDefault="00F844B4">
            <w:pPr>
              <w:pStyle w:val="ARtabletextright"/>
            </w:pPr>
            <w:r w:rsidRPr="00874F32">
              <w:t>52</w:t>
            </w:r>
          </w:p>
        </w:tc>
        <w:tc>
          <w:tcPr>
            <w:tcW w:w="671" w:type="pct"/>
          </w:tcPr>
          <w:p w14:paraId="42BD8048" w14:textId="77777777" w:rsidR="00F844B4" w:rsidRPr="00800D5A" w:rsidRDefault="00F844B4">
            <w:pPr>
              <w:pStyle w:val="ARtabletextright"/>
              <w:cnfStyle w:val="000000000000" w:firstRow="0" w:lastRow="0" w:firstColumn="0" w:lastColumn="0" w:oddVBand="0" w:evenVBand="0" w:oddHBand="0" w:evenHBand="0" w:firstRowFirstColumn="0" w:firstRowLastColumn="0" w:lastRowFirstColumn="0" w:lastRowLastColumn="0"/>
              <w:rPr>
                <w:highlight w:val="yellow"/>
              </w:rPr>
            </w:pPr>
            <w:r w:rsidRPr="00A3006A">
              <w:t>39</w:t>
            </w:r>
          </w:p>
        </w:tc>
      </w:tr>
      <w:tr w:rsidR="00F33C72" w:rsidRPr="003B2CB2" w14:paraId="47643C01" w14:textId="77777777" w:rsidTr="00BD6E2F">
        <w:trPr>
          <w:cantSplit w:val="0"/>
        </w:trPr>
        <w:tc>
          <w:tcPr>
            <w:tcW w:w="666" w:type="pct"/>
            <w:vMerge/>
            <w:tcBorders>
              <w:top w:val="single" w:sz="4" w:space="0" w:color="000000" w:themeColor="text1"/>
              <w:bottom w:val="single" w:sz="4" w:space="0" w:color="A6A6A6" w:themeColor="accent5"/>
            </w:tcBorders>
          </w:tcPr>
          <w:p w14:paraId="4230CBB9" w14:textId="77777777" w:rsidR="00F844B4" w:rsidRPr="00622FF4" w:rsidRDefault="00F844B4">
            <w:pPr>
              <w:pStyle w:val="ARtabletext"/>
            </w:pPr>
          </w:p>
        </w:tc>
        <w:tc>
          <w:tcPr>
            <w:cnfStyle w:val="000001000000" w:firstRow="0" w:lastRow="0" w:firstColumn="0" w:lastColumn="0" w:oddVBand="0" w:evenVBand="1" w:oddHBand="0" w:evenHBand="0" w:firstRowFirstColumn="0" w:firstRowLastColumn="0" w:lastRowFirstColumn="0" w:lastRowLastColumn="0"/>
            <w:tcW w:w="2320" w:type="pct"/>
            <w:tcMar>
              <w:left w:w="113" w:type="dxa"/>
            </w:tcMar>
          </w:tcPr>
          <w:p w14:paraId="65045DBC" w14:textId="77777777" w:rsidR="00F844B4" w:rsidRPr="00622FF4" w:rsidRDefault="00F844B4">
            <w:pPr>
              <w:pStyle w:val="ARtabletext"/>
            </w:pPr>
            <w:r w:rsidRPr="00622FF4">
              <w:t>Rate per 100 FTE</w:t>
            </w:r>
          </w:p>
        </w:tc>
        <w:tc>
          <w:tcPr>
            <w:tcW w:w="671" w:type="pct"/>
          </w:tcPr>
          <w:p w14:paraId="738CD3DB" w14:textId="77777777" w:rsidR="00F844B4" w:rsidRPr="00800D5A"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3130BF">
              <w:t>0.</w:t>
            </w:r>
            <w:r w:rsidRPr="00874F32">
              <w:t>75</w:t>
            </w:r>
          </w:p>
        </w:tc>
        <w:tc>
          <w:tcPr>
            <w:cnfStyle w:val="000001000000" w:firstRow="0" w:lastRow="0" w:firstColumn="0" w:lastColumn="0" w:oddVBand="0" w:evenVBand="1" w:oddHBand="0" w:evenHBand="0" w:firstRowFirstColumn="0" w:firstRowLastColumn="0" w:lastRowFirstColumn="0" w:lastRowLastColumn="0"/>
            <w:tcW w:w="671" w:type="pct"/>
          </w:tcPr>
          <w:p w14:paraId="7CA85B3C" w14:textId="77777777" w:rsidR="00F844B4" w:rsidRPr="00800D5A" w:rsidRDefault="00F844B4">
            <w:pPr>
              <w:pStyle w:val="ARtabletextright"/>
            </w:pPr>
            <w:r w:rsidRPr="00800D5A">
              <w:t>0.</w:t>
            </w:r>
            <w:r w:rsidRPr="00874F32">
              <w:t>78</w:t>
            </w:r>
          </w:p>
        </w:tc>
        <w:tc>
          <w:tcPr>
            <w:tcW w:w="671" w:type="pct"/>
          </w:tcPr>
          <w:p w14:paraId="61C1158A" w14:textId="77777777" w:rsidR="00F844B4" w:rsidRPr="00800D5A" w:rsidRDefault="00F844B4">
            <w:pPr>
              <w:pStyle w:val="ARtabletextright"/>
              <w:cnfStyle w:val="000000000000" w:firstRow="0" w:lastRow="0" w:firstColumn="0" w:lastColumn="0" w:oddVBand="0" w:evenVBand="0" w:oddHBand="0" w:evenHBand="0" w:firstRowFirstColumn="0" w:firstRowLastColumn="0" w:lastRowFirstColumn="0" w:lastRowLastColumn="0"/>
              <w:rPr>
                <w:highlight w:val="yellow"/>
              </w:rPr>
            </w:pPr>
            <w:r w:rsidRPr="00A3006A">
              <w:t>0.58</w:t>
            </w:r>
          </w:p>
        </w:tc>
      </w:tr>
      <w:tr w:rsidR="00F33C72" w:rsidRPr="003B2CB2" w14:paraId="5D254FFF" w14:textId="77777777" w:rsidTr="00BD6E2F">
        <w:trPr>
          <w:cantSplit w:val="0"/>
        </w:trPr>
        <w:tc>
          <w:tcPr>
            <w:tcW w:w="666" w:type="pct"/>
            <w:vMerge/>
            <w:tcBorders>
              <w:top w:val="single" w:sz="4" w:space="0" w:color="000000" w:themeColor="text1"/>
              <w:bottom w:val="single" w:sz="4" w:space="0" w:color="A6A6A6" w:themeColor="accent5"/>
            </w:tcBorders>
          </w:tcPr>
          <w:p w14:paraId="6B5EC947" w14:textId="77777777" w:rsidR="00F844B4" w:rsidRPr="00622FF4" w:rsidRDefault="00F844B4">
            <w:pPr>
              <w:pStyle w:val="ARtabletext"/>
            </w:pPr>
          </w:p>
        </w:tc>
        <w:tc>
          <w:tcPr>
            <w:cnfStyle w:val="000001000000" w:firstRow="0" w:lastRow="0" w:firstColumn="0" w:lastColumn="0" w:oddVBand="0" w:evenVBand="1" w:oddHBand="0" w:evenHBand="0" w:firstRowFirstColumn="0" w:firstRowLastColumn="0" w:lastRowFirstColumn="0" w:lastRowLastColumn="0"/>
            <w:tcW w:w="2320" w:type="pct"/>
            <w:tcBorders>
              <w:bottom w:val="single" w:sz="4" w:space="0" w:color="A6A6A6" w:themeColor="accent5"/>
            </w:tcBorders>
            <w:tcMar>
              <w:left w:w="113" w:type="dxa"/>
            </w:tcMar>
          </w:tcPr>
          <w:p w14:paraId="2E5C9D9C" w14:textId="77777777" w:rsidR="00F844B4" w:rsidRPr="00800D5A" w:rsidRDefault="00F844B4">
            <w:pPr>
              <w:pStyle w:val="ARtabletext"/>
            </w:pPr>
            <w:r w:rsidRPr="00622FF4">
              <w:t xml:space="preserve">Number of claims exceeding 13 weeks </w:t>
            </w:r>
            <w:r w:rsidRPr="00800D5A">
              <w:rPr>
                <w:rStyle w:val="FootnoteReference"/>
              </w:rPr>
              <w:footnoteReference w:id="12"/>
            </w:r>
          </w:p>
        </w:tc>
        <w:tc>
          <w:tcPr>
            <w:tcW w:w="671" w:type="pct"/>
            <w:tcBorders>
              <w:bottom w:val="single" w:sz="4" w:space="0" w:color="A6A6A6" w:themeColor="accent5"/>
            </w:tcBorders>
          </w:tcPr>
          <w:p w14:paraId="3217240B" w14:textId="77777777" w:rsidR="00F844B4" w:rsidRPr="00800D5A"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874F32">
              <w:t>36</w:t>
            </w:r>
          </w:p>
        </w:tc>
        <w:tc>
          <w:tcPr>
            <w:cnfStyle w:val="000001000000" w:firstRow="0" w:lastRow="0" w:firstColumn="0" w:lastColumn="0" w:oddVBand="0" w:evenVBand="1" w:oddHBand="0" w:evenHBand="0" w:firstRowFirstColumn="0" w:firstRowLastColumn="0" w:lastRowFirstColumn="0" w:lastRowLastColumn="0"/>
            <w:tcW w:w="671" w:type="pct"/>
            <w:tcBorders>
              <w:bottom w:val="single" w:sz="4" w:space="0" w:color="A6A6A6" w:themeColor="accent5"/>
            </w:tcBorders>
          </w:tcPr>
          <w:p w14:paraId="3CCE8094" w14:textId="77777777" w:rsidR="00F844B4" w:rsidRPr="00800D5A" w:rsidRDefault="00F844B4">
            <w:pPr>
              <w:pStyle w:val="ARtabletextright"/>
            </w:pPr>
            <w:r w:rsidRPr="00874F32">
              <w:t>43</w:t>
            </w:r>
          </w:p>
        </w:tc>
        <w:tc>
          <w:tcPr>
            <w:tcW w:w="671" w:type="pct"/>
            <w:tcBorders>
              <w:bottom w:val="single" w:sz="4" w:space="0" w:color="A6A6A6" w:themeColor="accent5"/>
            </w:tcBorders>
          </w:tcPr>
          <w:p w14:paraId="59278BA6" w14:textId="77777777" w:rsidR="00F844B4" w:rsidRPr="00800D5A" w:rsidRDefault="00F844B4">
            <w:pPr>
              <w:pStyle w:val="ARtabletextright"/>
              <w:cnfStyle w:val="000000000000" w:firstRow="0" w:lastRow="0" w:firstColumn="0" w:lastColumn="0" w:oddVBand="0" w:evenVBand="0" w:oddHBand="0" w:evenHBand="0" w:firstRowFirstColumn="0" w:firstRowLastColumn="0" w:lastRowFirstColumn="0" w:lastRowLastColumn="0"/>
              <w:rPr>
                <w:highlight w:val="yellow"/>
              </w:rPr>
            </w:pPr>
            <w:r w:rsidRPr="00A3006A">
              <w:t>38</w:t>
            </w:r>
          </w:p>
        </w:tc>
      </w:tr>
      <w:tr w:rsidR="001C5BB8" w:rsidRPr="003B2CB2" w14:paraId="5973FC1D" w14:textId="77777777" w:rsidTr="00BD6E2F">
        <w:trPr>
          <w:cantSplit w:val="0"/>
        </w:trPr>
        <w:tc>
          <w:tcPr>
            <w:tcW w:w="666" w:type="pct"/>
            <w:vMerge/>
            <w:tcBorders>
              <w:top w:val="single" w:sz="4" w:space="0" w:color="000000" w:themeColor="text1"/>
              <w:bottom w:val="single" w:sz="4" w:space="0" w:color="A6A6A6" w:themeColor="accent5"/>
            </w:tcBorders>
          </w:tcPr>
          <w:p w14:paraId="7B7ACAAA" w14:textId="77777777" w:rsidR="00F844B4" w:rsidRPr="00622FF4" w:rsidRDefault="00F844B4">
            <w:pPr>
              <w:pStyle w:val="ARtabletext"/>
            </w:pP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A6A6A6" w:themeColor="accent5"/>
              <w:bottom w:val="single" w:sz="4" w:space="0" w:color="000000" w:themeColor="text1"/>
            </w:tcBorders>
            <w:tcMar>
              <w:left w:w="113" w:type="dxa"/>
            </w:tcMar>
          </w:tcPr>
          <w:p w14:paraId="30BDE494" w14:textId="77777777" w:rsidR="00F844B4" w:rsidRPr="00622FF4" w:rsidRDefault="00F844B4">
            <w:pPr>
              <w:pStyle w:val="ARtabletext"/>
            </w:pPr>
            <w:r w:rsidRPr="00622FF4">
              <w:t>Rate per 100 FTE</w:t>
            </w:r>
          </w:p>
        </w:tc>
        <w:tc>
          <w:tcPr>
            <w:tcW w:w="671" w:type="pct"/>
            <w:tcBorders>
              <w:top w:val="single" w:sz="4" w:space="0" w:color="A6A6A6" w:themeColor="accent5"/>
              <w:bottom w:val="single" w:sz="4" w:space="0" w:color="000000" w:themeColor="text1"/>
            </w:tcBorders>
          </w:tcPr>
          <w:p w14:paraId="7FF6CF50" w14:textId="77777777" w:rsidR="00F844B4" w:rsidRPr="00800D5A"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3130BF">
              <w:t>0.</w:t>
            </w:r>
            <w:r w:rsidRPr="00874F32">
              <w:t>53</w:t>
            </w: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A6A6A6" w:themeColor="accent5"/>
              <w:bottom w:val="single" w:sz="4" w:space="0" w:color="000000" w:themeColor="text1"/>
            </w:tcBorders>
          </w:tcPr>
          <w:p w14:paraId="3A7C3031" w14:textId="77777777" w:rsidR="00F844B4" w:rsidRPr="00800D5A" w:rsidRDefault="00F844B4">
            <w:pPr>
              <w:pStyle w:val="ARtabletextright"/>
            </w:pPr>
            <w:r w:rsidRPr="00800D5A">
              <w:t>0.</w:t>
            </w:r>
            <w:r w:rsidRPr="00874F32">
              <w:t>64</w:t>
            </w:r>
          </w:p>
        </w:tc>
        <w:tc>
          <w:tcPr>
            <w:tcW w:w="671" w:type="pct"/>
            <w:tcBorders>
              <w:top w:val="single" w:sz="4" w:space="0" w:color="A6A6A6" w:themeColor="accent5"/>
              <w:bottom w:val="single" w:sz="4" w:space="0" w:color="000000" w:themeColor="text1"/>
            </w:tcBorders>
          </w:tcPr>
          <w:p w14:paraId="495192A7" w14:textId="77777777" w:rsidR="00F844B4" w:rsidRPr="00A3006A"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A3006A">
              <w:t>0.57</w:t>
            </w:r>
          </w:p>
        </w:tc>
      </w:tr>
      <w:tr w:rsidR="00F33C72" w:rsidRPr="003B2CB2" w14:paraId="0044F33E" w14:textId="77777777" w:rsidTr="00BD6E2F">
        <w:trPr>
          <w:cantSplit w:val="0"/>
        </w:trPr>
        <w:tc>
          <w:tcPr>
            <w:tcW w:w="666" w:type="pct"/>
            <w:vMerge w:val="restart"/>
            <w:tcBorders>
              <w:top w:val="single" w:sz="4" w:space="0" w:color="000000" w:themeColor="text1"/>
              <w:bottom w:val="single" w:sz="4" w:space="0" w:color="A6A6A6" w:themeColor="accent5"/>
            </w:tcBorders>
          </w:tcPr>
          <w:p w14:paraId="519BD082" w14:textId="77777777" w:rsidR="00F844B4" w:rsidRPr="00800D5A" w:rsidRDefault="00F844B4">
            <w:pPr>
              <w:pStyle w:val="ARtabletext"/>
              <w:keepNext/>
              <w:keepLines/>
            </w:pPr>
            <w:r w:rsidRPr="00BD6E2F">
              <w:rPr>
                <w:spacing w:val="-6"/>
              </w:rPr>
              <w:t>Absenteeism</w:t>
            </w:r>
            <w:r w:rsidRPr="00EA38E7">
              <w:t xml:space="preserve"> </w:t>
            </w:r>
            <w:r w:rsidRPr="00BD6E2F">
              <w:rPr>
                <w:rStyle w:val="FootnoteReference"/>
                <w:spacing w:val="-6"/>
              </w:rPr>
              <w:footnoteReference w:id="13"/>
            </w: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000000" w:themeColor="text1"/>
              <w:bottom w:val="single" w:sz="4" w:space="0" w:color="A6A6A6" w:themeColor="accent5"/>
            </w:tcBorders>
            <w:tcMar>
              <w:left w:w="113" w:type="dxa"/>
            </w:tcMar>
          </w:tcPr>
          <w:p w14:paraId="619ADB40" w14:textId="77777777" w:rsidR="00F844B4" w:rsidRPr="00800D5A" w:rsidRDefault="00F844B4">
            <w:pPr>
              <w:pStyle w:val="ARtabletext"/>
              <w:keepNext/>
              <w:keepLines/>
            </w:pPr>
            <w:r w:rsidRPr="00800D5A">
              <w:t>Total number of days absence due to injury or</w:t>
            </w:r>
            <w:r>
              <w:t xml:space="preserve"> </w:t>
            </w:r>
            <w:r w:rsidRPr="00800D5A">
              <w:t>illness</w:t>
            </w:r>
          </w:p>
        </w:tc>
        <w:tc>
          <w:tcPr>
            <w:tcW w:w="671" w:type="pct"/>
            <w:tcBorders>
              <w:top w:val="single" w:sz="4" w:space="0" w:color="000000" w:themeColor="text1"/>
              <w:bottom w:val="single" w:sz="4" w:space="0" w:color="A6A6A6" w:themeColor="accent5"/>
            </w:tcBorders>
          </w:tcPr>
          <w:p w14:paraId="0CD9FFCB" w14:textId="77777777" w:rsidR="00F844B4" w:rsidRPr="00EA38E7" w:rsidDel="00FA770C"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EA38E7">
              <w:t>47,790.29</w:t>
            </w: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000000" w:themeColor="text1"/>
              <w:bottom w:val="single" w:sz="4" w:space="0" w:color="A6A6A6" w:themeColor="accent5"/>
            </w:tcBorders>
          </w:tcPr>
          <w:p w14:paraId="2236C48C" w14:textId="77777777" w:rsidR="00F844B4" w:rsidRPr="00EA38E7" w:rsidRDefault="00F844B4">
            <w:pPr>
              <w:pStyle w:val="ARtabletextright"/>
            </w:pPr>
            <w:r w:rsidRPr="00EA38E7">
              <w:t>59,524.87</w:t>
            </w:r>
          </w:p>
        </w:tc>
        <w:tc>
          <w:tcPr>
            <w:tcW w:w="671" w:type="pct"/>
            <w:tcBorders>
              <w:top w:val="single" w:sz="4" w:space="0" w:color="000000" w:themeColor="text1"/>
              <w:bottom w:val="single" w:sz="4" w:space="0" w:color="A6A6A6" w:themeColor="accent5"/>
            </w:tcBorders>
          </w:tcPr>
          <w:p w14:paraId="2A1EF25F" w14:textId="77777777" w:rsidR="00F844B4" w:rsidRPr="00EA38E7" w:rsidRDefault="00F844B4">
            <w:pPr>
              <w:pStyle w:val="ARtabletextright"/>
              <w:cnfStyle w:val="000000000000" w:firstRow="0" w:lastRow="0" w:firstColumn="0" w:lastColumn="0" w:oddVBand="0" w:evenVBand="0" w:oddHBand="0" w:evenHBand="0" w:firstRowFirstColumn="0" w:firstRowLastColumn="0" w:lastRowFirstColumn="0" w:lastRowLastColumn="0"/>
              <w:rPr>
                <w:highlight w:val="yellow"/>
              </w:rPr>
            </w:pPr>
            <w:r>
              <w:t>69,778</w:t>
            </w:r>
          </w:p>
        </w:tc>
      </w:tr>
      <w:tr w:rsidR="001C5BB8" w:rsidRPr="003B2CB2" w14:paraId="7FA80865" w14:textId="77777777" w:rsidTr="00BD6E2F">
        <w:trPr>
          <w:cantSplit w:val="0"/>
        </w:trPr>
        <w:tc>
          <w:tcPr>
            <w:tcW w:w="666" w:type="pct"/>
            <w:vMerge/>
            <w:tcBorders>
              <w:top w:val="single" w:sz="4" w:space="0" w:color="000000" w:themeColor="text1"/>
              <w:bottom w:val="single" w:sz="4" w:space="0" w:color="A6A6A6" w:themeColor="accent5"/>
            </w:tcBorders>
          </w:tcPr>
          <w:p w14:paraId="703444FF" w14:textId="77777777" w:rsidR="00F844B4" w:rsidRPr="00622FF4" w:rsidRDefault="00F844B4">
            <w:pPr>
              <w:pStyle w:val="ARtabletext"/>
              <w:keepNext/>
              <w:keepLines/>
            </w:pP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A6A6A6" w:themeColor="accent5"/>
              <w:bottom w:val="single" w:sz="4" w:space="0" w:color="000000" w:themeColor="text1"/>
            </w:tcBorders>
            <w:tcMar>
              <w:left w:w="113" w:type="dxa"/>
            </w:tcMar>
          </w:tcPr>
          <w:p w14:paraId="2047E2AD" w14:textId="77777777" w:rsidR="00F844B4" w:rsidRPr="00AF6C4E" w:rsidRDefault="00F844B4">
            <w:pPr>
              <w:pStyle w:val="ARtabletext"/>
              <w:keepNext/>
              <w:keepLines/>
            </w:pPr>
            <w:r w:rsidRPr="00AF6C4E">
              <w:t>Rate per 100 FTE</w:t>
            </w:r>
          </w:p>
        </w:tc>
        <w:tc>
          <w:tcPr>
            <w:tcW w:w="671" w:type="pct"/>
            <w:tcBorders>
              <w:top w:val="single" w:sz="4" w:space="0" w:color="A6A6A6" w:themeColor="accent5"/>
              <w:bottom w:val="single" w:sz="4" w:space="0" w:color="000000" w:themeColor="text1"/>
            </w:tcBorders>
          </w:tcPr>
          <w:p w14:paraId="00CFC844" w14:textId="77777777" w:rsidR="00F844B4" w:rsidRPr="00EA38E7" w:rsidDel="00FA770C"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EA38E7">
              <w:t>706.93</w:t>
            </w: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A6A6A6" w:themeColor="accent5"/>
              <w:bottom w:val="single" w:sz="4" w:space="0" w:color="000000" w:themeColor="text1"/>
            </w:tcBorders>
          </w:tcPr>
          <w:p w14:paraId="3E427BC5" w14:textId="77777777" w:rsidR="00F844B4" w:rsidRPr="00EA38E7" w:rsidRDefault="00F844B4">
            <w:pPr>
              <w:pStyle w:val="ARtabletextright"/>
            </w:pPr>
            <w:r w:rsidRPr="00EA38E7">
              <w:t>892.03</w:t>
            </w:r>
          </w:p>
        </w:tc>
        <w:tc>
          <w:tcPr>
            <w:tcW w:w="671" w:type="pct"/>
            <w:tcBorders>
              <w:top w:val="single" w:sz="4" w:space="0" w:color="A6A6A6" w:themeColor="accent5"/>
              <w:bottom w:val="single" w:sz="4" w:space="0" w:color="000000" w:themeColor="text1"/>
            </w:tcBorders>
          </w:tcPr>
          <w:p w14:paraId="17930EB6" w14:textId="77777777" w:rsidR="00F844B4" w:rsidRPr="00EA38E7" w:rsidRDefault="00F844B4">
            <w:pPr>
              <w:pStyle w:val="ARtabletextright"/>
              <w:cnfStyle w:val="000000000000" w:firstRow="0" w:lastRow="0" w:firstColumn="0" w:lastColumn="0" w:oddVBand="0" w:evenVBand="0" w:oddHBand="0" w:evenHBand="0" w:firstRowFirstColumn="0" w:firstRowLastColumn="0" w:lastRowFirstColumn="0" w:lastRowLastColumn="0"/>
              <w:rPr>
                <w:highlight w:val="yellow"/>
              </w:rPr>
            </w:pPr>
            <w:r>
              <w:t>1,039.91</w:t>
            </w:r>
          </w:p>
        </w:tc>
      </w:tr>
      <w:tr w:rsidR="001C5BB8" w:rsidRPr="003B2CB2" w14:paraId="52A5FE34" w14:textId="77777777" w:rsidTr="00BD6E2F">
        <w:trPr>
          <w:cantSplit w:val="0"/>
        </w:trPr>
        <w:tc>
          <w:tcPr>
            <w:tcW w:w="666" w:type="pct"/>
            <w:tcBorders>
              <w:top w:val="single" w:sz="4" w:space="0" w:color="000000" w:themeColor="text1"/>
              <w:bottom w:val="single" w:sz="4" w:space="0" w:color="A6A6A6" w:themeColor="accent5"/>
            </w:tcBorders>
          </w:tcPr>
          <w:p w14:paraId="6C57184E" w14:textId="77777777" w:rsidR="00F844B4" w:rsidRPr="00EA38E7" w:rsidRDefault="00F844B4">
            <w:pPr>
              <w:pStyle w:val="ARtabletext"/>
            </w:pPr>
            <w:r w:rsidRPr="00EA38E7">
              <w:t>Fatalities</w:t>
            </w: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000000" w:themeColor="text1"/>
              <w:bottom w:val="single" w:sz="4" w:space="0" w:color="000000" w:themeColor="text1"/>
            </w:tcBorders>
            <w:tcMar>
              <w:left w:w="113" w:type="dxa"/>
            </w:tcMar>
          </w:tcPr>
          <w:p w14:paraId="644C4DDD" w14:textId="77777777" w:rsidR="00F844B4" w:rsidRPr="00EA38E7" w:rsidRDefault="00F844B4">
            <w:pPr>
              <w:pStyle w:val="ARtabletext"/>
            </w:pPr>
            <w:r w:rsidRPr="00EA38E7">
              <w:t>Number of fatalities</w:t>
            </w:r>
          </w:p>
        </w:tc>
        <w:tc>
          <w:tcPr>
            <w:tcW w:w="671" w:type="pct"/>
            <w:tcBorders>
              <w:top w:val="single" w:sz="4" w:space="0" w:color="000000" w:themeColor="text1"/>
              <w:bottom w:val="single" w:sz="4" w:space="0" w:color="000000" w:themeColor="text1"/>
            </w:tcBorders>
          </w:tcPr>
          <w:p w14:paraId="5E53F5EB" w14:textId="77777777" w:rsidR="00F844B4" w:rsidRPr="00EA38E7"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EA38E7">
              <w:t>0</w:t>
            </w: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000000" w:themeColor="text1"/>
              <w:bottom w:val="single" w:sz="4" w:space="0" w:color="000000" w:themeColor="text1"/>
            </w:tcBorders>
          </w:tcPr>
          <w:p w14:paraId="560E2205" w14:textId="77777777" w:rsidR="00F844B4" w:rsidRPr="00EA38E7" w:rsidRDefault="00F844B4">
            <w:pPr>
              <w:pStyle w:val="ARtabletextright"/>
            </w:pPr>
            <w:r w:rsidRPr="00EA38E7">
              <w:t>0</w:t>
            </w:r>
          </w:p>
        </w:tc>
        <w:tc>
          <w:tcPr>
            <w:tcW w:w="671" w:type="pct"/>
            <w:tcBorders>
              <w:top w:val="single" w:sz="4" w:space="0" w:color="000000" w:themeColor="text1"/>
              <w:bottom w:val="single" w:sz="4" w:space="0" w:color="000000" w:themeColor="text1"/>
            </w:tcBorders>
          </w:tcPr>
          <w:p w14:paraId="773BF800" w14:textId="77777777" w:rsidR="00F844B4" w:rsidRPr="00214100"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214100">
              <w:t>0</w:t>
            </w:r>
          </w:p>
        </w:tc>
      </w:tr>
      <w:tr w:rsidR="001C5BB8" w:rsidRPr="003B2CB2" w14:paraId="4DDF999E" w14:textId="77777777" w:rsidTr="00BD6E2F">
        <w:trPr>
          <w:cantSplit w:val="0"/>
        </w:trPr>
        <w:tc>
          <w:tcPr>
            <w:tcW w:w="666" w:type="pct"/>
            <w:tcBorders>
              <w:top w:val="single" w:sz="4" w:space="0" w:color="000000" w:themeColor="text1"/>
              <w:bottom w:val="single" w:sz="4" w:space="0" w:color="A6A6A6" w:themeColor="accent5"/>
            </w:tcBorders>
          </w:tcPr>
          <w:p w14:paraId="4515E170" w14:textId="77777777" w:rsidR="00F844B4" w:rsidRPr="00EA38E7" w:rsidRDefault="00F844B4">
            <w:pPr>
              <w:pStyle w:val="ARtabletext"/>
            </w:pPr>
            <w:r w:rsidRPr="00EA38E7">
              <w:t>Prosecutions</w:t>
            </w: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000000" w:themeColor="text1"/>
              <w:bottom w:val="single" w:sz="4" w:space="0" w:color="000000" w:themeColor="text1"/>
            </w:tcBorders>
            <w:tcMar>
              <w:left w:w="113" w:type="dxa"/>
            </w:tcMar>
          </w:tcPr>
          <w:p w14:paraId="737669A4" w14:textId="77777777" w:rsidR="00F844B4" w:rsidRPr="00EA38E7" w:rsidRDefault="00F844B4">
            <w:pPr>
              <w:pStyle w:val="ARtabletext"/>
            </w:pPr>
            <w:r w:rsidRPr="00EA38E7">
              <w:t xml:space="preserve">Total number of prosecutions </w:t>
            </w:r>
            <w:r w:rsidRPr="00EA38E7">
              <w:rPr>
                <w:rStyle w:val="FootnoteReference"/>
              </w:rPr>
              <w:footnoteReference w:id="14"/>
            </w:r>
          </w:p>
        </w:tc>
        <w:tc>
          <w:tcPr>
            <w:tcW w:w="671" w:type="pct"/>
            <w:tcBorders>
              <w:top w:val="single" w:sz="4" w:space="0" w:color="000000" w:themeColor="text1"/>
              <w:bottom w:val="single" w:sz="4" w:space="0" w:color="000000" w:themeColor="text1"/>
            </w:tcBorders>
          </w:tcPr>
          <w:p w14:paraId="20BF9E42" w14:textId="77777777" w:rsidR="00F844B4" w:rsidRPr="00EA38E7" w:rsidDel="00FA770C"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EA38E7">
              <w:t>0</w:t>
            </w: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000000" w:themeColor="text1"/>
              <w:bottom w:val="single" w:sz="4" w:space="0" w:color="000000" w:themeColor="text1"/>
            </w:tcBorders>
          </w:tcPr>
          <w:p w14:paraId="7227102E" w14:textId="77777777" w:rsidR="00F844B4" w:rsidRPr="00EA38E7" w:rsidRDefault="00F844B4">
            <w:pPr>
              <w:pStyle w:val="ARtabletextright"/>
            </w:pPr>
            <w:r w:rsidRPr="00EA38E7">
              <w:t>0</w:t>
            </w:r>
          </w:p>
        </w:tc>
        <w:tc>
          <w:tcPr>
            <w:tcW w:w="671" w:type="pct"/>
            <w:tcBorders>
              <w:top w:val="single" w:sz="4" w:space="0" w:color="000000" w:themeColor="text1"/>
              <w:bottom w:val="single" w:sz="4" w:space="0" w:color="000000" w:themeColor="text1"/>
            </w:tcBorders>
          </w:tcPr>
          <w:p w14:paraId="5FA4BC7B" w14:textId="77777777" w:rsidR="00F844B4" w:rsidRPr="002D0528"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2D0528">
              <w:t>0</w:t>
            </w:r>
          </w:p>
        </w:tc>
      </w:tr>
      <w:tr w:rsidR="00F33C72" w:rsidRPr="003B2CB2" w14:paraId="127673D6" w14:textId="77777777" w:rsidTr="00BD6E2F">
        <w:trPr>
          <w:cantSplit w:val="0"/>
        </w:trPr>
        <w:tc>
          <w:tcPr>
            <w:tcW w:w="666" w:type="pct"/>
            <w:tcBorders>
              <w:top w:val="single" w:sz="4" w:space="0" w:color="000000" w:themeColor="text1"/>
              <w:bottom w:val="single" w:sz="4" w:space="0" w:color="000000" w:themeColor="text1"/>
            </w:tcBorders>
          </w:tcPr>
          <w:p w14:paraId="1615218F" w14:textId="77777777" w:rsidR="00F844B4" w:rsidRPr="00EA38E7" w:rsidRDefault="00F844B4">
            <w:pPr>
              <w:pStyle w:val="ARtabletext"/>
            </w:pPr>
            <w:r w:rsidRPr="00EA38E7">
              <w:t xml:space="preserve">Claims costs </w:t>
            </w: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000000" w:themeColor="text1"/>
              <w:bottom w:val="single" w:sz="4" w:space="0" w:color="000000" w:themeColor="text1"/>
            </w:tcBorders>
            <w:tcMar>
              <w:left w:w="113" w:type="dxa"/>
            </w:tcMar>
          </w:tcPr>
          <w:p w14:paraId="43B538A6" w14:textId="77777777" w:rsidR="00F844B4" w:rsidRPr="00EA38E7" w:rsidRDefault="00F844B4">
            <w:pPr>
              <w:pStyle w:val="ARtabletext"/>
            </w:pPr>
            <w:r w:rsidRPr="00EA38E7">
              <w:t xml:space="preserve">Average cost per standard claim </w:t>
            </w:r>
            <w:r w:rsidRPr="00EA38E7">
              <w:rPr>
                <w:rStyle w:val="FootnoteReference"/>
              </w:rPr>
              <w:footnoteReference w:id="15"/>
            </w:r>
          </w:p>
        </w:tc>
        <w:tc>
          <w:tcPr>
            <w:tcW w:w="671" w:type="pct"/>
            <w:tcBorders>
              <w:top w:val="single" w:sz="4" w:space="0" w:color="000000" w:themeColor="text1"/>
              <w:bottom w:val="single" w:sz="4" w:space="0" w:color="000000" w:themeColor="text1"/>
            </w:tcBorders>
          </w:tcPr>
          <w:p w14:paraId="1A4B2002" w14:textId="77777777" w:rsidR="00F844B4" w:rsidRPr="00EA38E7"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EA38E7">
              <w:t>$</w:t>
            </w:r>
            <w:r w:rsidRPr="00874F32">
              <w:t>227,465</w:t>
            </w: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000000" w:themeColor="text1"/>
              <w:bottom w:val="single" w:sz="4" w:space="0" w:color="000000" w:themeColor="text1"/>
            </w:tcBorders>
          </w:tcPr>
          <w:p w14:paraId="4F17AF30" w14:textId="77777777" w:rsidR="00F844B4" w:rsidRPr="00EA38E7" w:rsidRDefault="00F844B4">
            <w:pPr>
              <w:pStyle w:val="ARtabletextright"/>
            </w:pPr>
            <w:r w:rsidRPr="00EA38E7">
              <w:t>$</w:t>
            </w:r>
            <w:r w:rsidRPr="00874F32">
              <w:t>270,363</w:t>
            </w:r>
          </w:p>
        </w:tc>
        <w:tc>
          <w:tcPr>
            <w:tcW w:w="671" w:type="pct"/>
            <w:tcBorders>
              <w:top w:val="single" w:sz="4" w:space="0" w:color="000000" w:themeColor="text1"/>
              <w:bottom w:val="single" w:sz="4" w:space="0" w:color="000000" w:themeColor="text1"/>
            </w:tcBorders>
          </w:tcPr>
          <w:p w14:paraId="5AA8A2B2" w14:textId="77777777" w:rsidR="00F844B4" w:rsidRPr="00A3006A"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A3006A">
              <w:t>$200,887</w:t>
            </w:r>
          </w:p>
        </w:tc>
      </w:tr>
      <w:tr w:rsidR="001C5BB8" w:rsidRPr="003B2CB2" w14:paraId="21B9ECB2" w14:textId="77777777" w:rsidTr="00BD6E2F">
        <w:trPr>
          <w:cantSplit w:val="0"/>
        </w:trPr>
        <w:tc>
          <w:tcPr>
            <w:tcW w:w="666" w:type="pct"/>
            <w:vMerge w:val="restart"/>
            <w:tcBorders>
              <w:top w:val="single" w:sz="4" w:space="0" w:color="000000" w:themeColor="text1"/>
              <w:bottom w:val="single" w:sz="4" w:space="0" w:color="000000" w:themeColor="text1"/>
            </w:tcBorders>
          </w:tcPr>
          <w:p w14:paraId="6546A52B" w14:textId="77777777" w:rsidR="00F844B4" w:rsidRPr="00EA38E7" w:rsidRDefault="00F844B4">
            <w:pPr>
              <w:pStyle w:val="ARtabletext"/>
            </w:pPr>
            <w:r w:rsidRPr="00EA38E7">
              <w:t>Consultation and participation</w:t>
            </w: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000000" w:themeColor="text1"/>
              <w:bottom w:val="single" w:sz="4" w:space="0" w:color="A6A6A6" w:themeColor="accent5"/>
            </w:tcBorders>
            <w:tcMar>
              <w:left w:w="113" w:type="dxa"/>
            </w:tcMar>
          </w:tcPr>
          <w:p w14:paraId="623B46F3" w14:textId="77777777" w:rsidR="00F844B4" w:rsidRPr="00EA38E7" w:rsidRDefault="00F844B4">
            <w:pPr>
              <w:pStyle w:val="ARtabletext"/>
            </w:pPr>
            <w:r w:rsidRPr="00EA38E7">
              <w:t>Number of People and Culture Committee</w:t>
            </w:r>
            <w:r>
              <w:t xml:space="preserve"> </w:t>
            </w:r>
            <w:r w:rsidRPr="00EA38E7">
              <w:t xml:space="preserve">meetings </w:t>
            </w:r>
            <w:r w:rsidRPr="00EA38E7">
              <w:rPr>
                <w:rStyle w:val="FootnoteReference"/>
              </w:rPr>
              <w:footnoteReference w:id="16"/>
            </w:r>
          </w:p>
        </w:tc>
        <w:tc>
          <w:tcPr>
            <w:tcW w:w="671" w:type="pct"/>
            <w:tcBorders>
              <w:top w:val="single" w:sz="4" w:space="0" w:color="000000" w:themeColor="text1"/>
              <w:bottom w:val="single" w:sz="4" w:space="0" w:color="A6A6A6" w:themeColor="accent5"/>
            </w:tcBorders>
          </w:tcPr>
          <w:p w14:paraId="171DBA70" w14:textId="77777777" w:rsidR="00F844B4" w:rsidRPr="003B2CB2" w:rsidRDefault="00F844B4">
            <w:pPr>
              <w:pStyle w:val="ARtabletextright"/>
              <w:cnfStyle w:val="000000000000" w:firstRow="0" w:lastRow="0" w:firstColumn="0" w:lastColumn="0" w:oddVBand="0" w:evenVBand="0" w:oddHBand="0" w:evenHBand="0" w:firstRowFirstColumn="0" w:firstRowLastColumn="0" w:lastRowFirstColumn="0" w:lastRowLastColumn="0"/>
              <w:rPr>
                <w:highlight w:val="cyan"/>
              </w:rPr>
            </w:pP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000000" w:themeColor="text1"/>
              <w:bottom w:val="single" w:sz="4" w:space="0" w:color="A6A6A6" w:themeColor="accent5"/>
            </w:tcBorders>
          </w:tcPr>
          <w:p w14:paraId="6A860C36" w14:textId="77777777" w:rsidR="00F844B4" w:rsidRPr="003B2CB2" w:rsidRDefault="00F844B4">
            <w:pPr>
              <w:pStyle w:val="ARtabletextright"/>
              <w:rPr>
                <w:highlight w:val="cyan"/>
              </w:rPr>
            </w:pPr>
            <w:r w:rsidRPr="00874F32">
              <w:t>11</w:t>
            </w:r>
          </w:p>
        </w:tc>
        <w:tc>
          <w:tcPr>
            <w:tcW w:w="671" w:type="pct"/>
            <w:tcBorders>
              <w:top w:val="single" w:sz="4" w:space="0" w:color="000000" w:themeColor="text1"/>
              <w:bottom w:val="single" w:sz="4" w:space="0" w:color="A6A6A6" w:themeColor="accent5"/>
            </w:tcBorders>
          </w:tcPr>
          <w:p w14:paraId="338F764B" w14:textId="77777777" w:rsidR="00F844B4" w:rsidRPr="00622FF4"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1834C3">
              <w:t>9</w:t>
            </w:r>
          </w:p>
        </w:tc>
      </w:tr>
      <w:tr w:rsidR="001C5BB8" w:rsidRPr="003B2CB2" w14:paraId="14C4164D" w14:textId="77777777" w:rsidTr="00BD6E2F">
        <w:trPr>
          <w:cantSplit w:val="0"/>
        </w:trPr>
        <w:tc>
          <w:tcPr>
            <w:tcW w:w="666" w:type="pct"/>
            <w:vMerge/>
            <w:tcBorders>
              <w:top w:val="single" w:sz="4" w:space="0" w:color="000000" w:themeColor="text1"/>
              <w:bottom w:val="single" w:sz="4" w:space="0" w:color="000000" w:themeColor="text1"/>
            </w:tcBorders>
          </w:tcPr>
          <w:p w14:paraId="74BA2D25" w14:textId="77777777" w:rsidR="00F844B4" w:rsidRPr="00622FF4" w:rsidRDefault="00F844B4">
            <w:pPr>
              <w:pStyle w:val="ARtabletext"/>
            </w:pPr>
          </w:p>
        </w:tc>
        <w:tc>
          <w:tcPr>
            <w:cnfStyle w:val="000001000000" w:firstRow="0" w:lastRow="0" w:firstColumn="0" w:lastColumn="0" w:oddVBand="0" w:evenVBand="1" w:oddHBand="0" w:evenHBand="0" w:firstRowFirstColumn="0" w:firstRowLastColumn="0" w:lastRowFirstColumn="0" w:lastRowLastColumn="0"/>
            <w:tcW w:w="2320" w:type="pct"/>
            <w:tcBorders>
              <w:top w:val="single" w:sz="4" w:space="0" w:color="A6A6A6" w:themeColor="accent5"/>
              <w:bottom w:val="single" w:sz="4" w:space="0" w:color="000000" w:themeColor="text1"/>
            </w:tcBorders>
            <w:tcMar>
              <w:left w:w="113" w:type="dxa"/>
            </w:tcMar>
          </w:tcPr>
          <w:p w14:paraId="2562E565" w14:textId="1E099740" w:rsidR="00F844B4" w:rsidRPr="00EA38E7" w:rsidRDefault="00F844B4">
            <w:pPr>
              <w:pStyle w:val="ARtabletext"/>
            </w:pPr>
            <w:r w:rsidRPr="00622FF4">
              <w:t xml:space="preserve">Number of quarterly </w:t>
            </w:r>
            <w:r>
              <w:t>d</w:t>
            </w:r>
            <w:r w:rsidRPr="00622FF4">
              <w:t xml:space="preserve">ivisional and </w:t>
            </w:r>
            <w:r>
              <w:t>a</w:t>
            </w:r>
            <w:r w:rsidRPr="00622FF4">
              <w:t xml:space="preserve">rea HSW </w:t>
            </w:r>
            <w:r>
              <w:t>c</w:t>
            </w:r>
            <w:r w:rsidRPr="00622FF4">
              <w:t xml:space="preserve">ommittee meetings </w:t>
            </w:r>
            <w:r w:rsidRPr="00EA38E7">
              <w:rPr>
                <w:rStyle w:val="FootnoteReference"/>
              </w:rPr>
              <w:footnoteReference w:id="17"/>
            </w:r>
          </w:p>
        </w:tc>
        <w:tc>
          <w:tcPr>
            <w:tcW w:w="671" w:type="pct"/>
            <w:tcBorders>
              <w:top w:val="single" w:sz="4" w:space="0" w:color="A6A6A6" w:themeColor="accent5"/>
              <w:bottom w:val="single" w:sz="4" w:space="0" w:color="000000" w:themeColor="text1"/>
            </w:tcBorders>
          </w:tcPr>
          <w:p w14:paraId="5E071E65" w14:textId="77777777" w:rsidR="00F844B4" w:rsidRPr="003B2CB2" w:rsidRDefault="00F844B4">
            <w:pPr>
              <w:pStyle w:val="ARtabletextright"/>
              <w:cnfStyle w:val="000000000000" w:firstRow="0" w:lastRow="0" w:firstColumn="0" w:lastColumn="0" w:oddVBand="0" w:evenVBand="0" w:oddHBand="0" w:evenHBand="0" w:firstRowFirstColumn="0" w:firstRowLastColumn="0" w:lastRowFirstColumn="0" w:lastRowLastColumn="0"/>
              <w:rPr>
                <w:highlight w:val="cyan"/>
              </w:rPr>
            </w:pPr>
          </w:p>
        </w:tc>
        <w:tc>
          <w:tcPr>
            <w:cnfStyle w:val="000001000000" w:firstRow="0" w:lastRow="0" w:firstColumn="0" w:lastColumn="0" w:oddVBand="0" w:evenVBand="1" w:oddHBand="0" w:evenHBand="0" w:firstRowFirstColumn="0" w:firstRowLastColumn="0" w:lastRowFirstColumn="0" w:lastRowLastColumn="0"/>
            <w:tcW w:w="671" w:type="pct"/>
            <w:tcBorders>
              <w:top w:val="single" w:sz="4" w:space="0" w:color="A6A6A6" w:themeColor="accent5"/>
              <w:bottom w:val="single" w:sz="4" w:space="0" w:color="000000" w:themeColor="text1"/>
            </w:tcBorders>
          </w:tcPr>
          <w:p w14:paraId="5225E633" w14:textId="77777777" w:rsidR="00F844B4" w:rsidRPr="003B2CB2" w:rsidRDefault="00F844B4">
            <w:pPr>
              <w:pStyle w:val="ARtabletextright"/>
              <w:rPr>
                <w:highlight w:val="cyan"/>
              </w:rPr>
            </w:pPr>
            <w:r w:rsidRPr="00874F32">
              <w:t>111</w:t>
            </w:r>
          </w:p>
        </w:tc>
        <w:tc>
          <w:tcPr>
            <w:tcW w:w="671" w:type="pct"/>
            <w:tcBorders>
              <w:top w:val="single" w:sz="4" w:space="0" w:color="A6A6A6" w:themeColor="accent5"/>
              <w:bottom w:val="single" w:sz="4" w:space="0" w:color="000000" w:themeColor="text1"/>
            </w:tcBorders>
          </w:tcPr>
          <w:p w14:paraId="12FD26BF" w14:textId="77777777" w:rsidR="00F844B4" w:rsidRPr="00D53430" w:rsidRDefault="00F844B4">
            <w:pPr>
              <w:pStyle w:val="ARtabletextright"/>
              <w:cnfStyle w:val="000000000000" w:firstRow="0" w:lastRow="0" w:firstColumn="0" w:lastColumn="0" w:oddVBand="0" w:evenVBand="0" w:oddHBand="0" w:evenHBand="0" w:firstRowFirstColumn="0" w:firstRowLastColumn="0" w:lastRowFirstColumn="0" w:lastRowLastColumn="0"/>
            </w:pPr>
            <w:r w:rsidRPr="00D53430">
              <w:t>114</w:t>
            </w:r>
          </w:p>
        </w:tc>
      </w:tr>
    </w:tbl>
    <w:p w14:paraId="41984231" w14:textId="77777777" w:rsidR="00F844B4" w:rsidRPr="00D53430" w:rsidRDefault="00F844B4" w:rsidP="008149F0">
      <w:pPr>
        <w:pStyle w:val="ARtablefootnote"/>
      </w:pPr>
      <w:r w:rsidRPr="00D53430">
        <w:t xml:space="preserve">A time-lost claim is one with one or more days compensation paid by the Victorian </w:t>
      </w:r>
      <w:proofErr w:type="spellStart"/>
      <w:r w:rsidRPr="00D53430">
        <w:t>WorkCover</w:t>
      </w:r>
      <w:proofErr w:type="spellEnd"/>
      <w:r w:rsidRPr="00D53430">
        <w:t xml:space="preserve"> Authority (that is, once the employer has</w:t>
      </w:r>
      <w:r>
        <w:t xml:space="preserve"> </w:t>
      </w:r>
      <w:r w:rsidRPr="00D53430">
        <w:t>paid the 10-day excess) at the time of extraction.</w:t>
      </w:r>
    </w:p>
    <w:p w14:paraId="093030D0" w14:textId="798415F8" w:rsidR="0028469F" w:rsidRDefault="00F844B4" w:rsidP="008149F0">
      <w:pPr>
        <w:pStyle w:val="ARtablefootnote"/>
      </w:pPr>
      <w:r w:rsidRPr="00D53430">
        <w:t>Thirteen-week claims are claims that involve 13 weeks or more of weekly benefits paid. The 13-week measure begins at day one (that</w:t>
      </w:r>
      <w:r>
        <w:t xml:space="preserve"> </w:t>
      </w:r>
      <w:r w:rsidRPr="00D53430">
        <w:t xml:space="preserve">is, employer excess and Victorian </w:t>
      </w:r>
      <w:proofErr w:type="spellStart"/>
      <w:r w:rsidRPr="00D53430">
        <w:t>WorkCover</w:t>
      </w:r>
      <w:proofErr w:type="spellEnd"/>
      <w:r w:rsidRPr="00D53430">
        <w:t xml:space="preserve"> Authority payments).</w:t>
      </w:r>
    </w:p>
    <w:p w14:paraId="5B4BC2D4" w14:textId="77777777" w:rsidR="0028469F" w:rsidRDefault="0028469F">
      <w:pPr>
        <w:rPr>
          <w:rFonts w:ascii="Arial" w:eastAsiaTheme="minorEastAsia" w:hAnsi="Arial"/>
          <w:sz w:val="16"/>
          <w:szCs w:val="16"/>
        </w:rPr>
      </w:pPr>
      <w:r>
        <w:br w:type="page"/>
      </w:r>
    </w:p>
    <w:p w14:paraId="18CD5B54" w14:textId="77777777" w:rsidR="00F844B4" w:rsidRPr="0029253F" w:rsidRDefault="00F844B4">
      <w:pPr>
        <w:pStyle w:val="ARtablecaption"/>
      </w:pPr>
      <w:r w:rsidRPr="0029253F">
        <w:lastRenderedPageBreak/>
        <w:t>Table 7: The department’s performance against health and safety management measures</w:t>
      </w:r>
    </w:p>
    <w:tbl>
      <w:tblPr>
        <w:tblStyle w:val="TableGrid"/>
        <w:tblW w:w="5000" w:type="pct"/>
        <w:tblLook w:val="01E0" w:firstRow="1" w:lastRow="1" w:firstColumn="1" w:lastColumn="1" w:noHBand="0" w:noVBand="0"/>
      </w:tblPr>
      <w:tblGrid>
        <w:gridCol w:w="1276"/>
        <w:gridCol w:w="2547"/>
        <w:gridCol w:w="5809"/>
      </w:tblGrid>
      <w:tr w:rsidR="00F844B4" w:rsidRPr="003B2CB2" w14:paraId="1008D461" w14:textId="77777777" w:rsidTr="0028469F">
        <w:trPr>
          <w:cnfStyle w:val="100000000000" w:firstRow="1" w:lastRow="0" w:firstColumn="0" w:lastColumn="0" w:oddVBand="0" w:evenVBand="0" w:oddHBand="0" w:evenHBand="0" w:firstRowFirstColumn="0" w:firstRowLastColumn="0" w:lastRowFirstColumn="0" w:lastRowLastColumn="0"/>
          <w:tblHeader/>
        </w:trPr>
        <w:tc>
          <w:tcPr>
            <w:tcW w:w="1276" w:type="dxa"/>
          </w:tcPr>
          <w:p w14:paraId="19356F19" w14:textId="77777777" w:rsidR="00F844B4" w:rsidRPr="0029253F" w:rsidRDefault="00F844B4">
            <w:pPr>
              <w:pStyle w:val="ARtablecolhead"/>
            </w:pPr>
            <w:r w:rsidRPr="0029253F">
              <w:t>Measure</w:t>
            </w:r>
          </w:p>
        </w:tc>
        <w:tc>
          <w:tcPr>
            <w:cnfStyle w:val="000001000000" w:firstRow="0" w:lastRow="0" w:firstColumn="0" w:lastColumn="0" w:oddVBand="0" w:evenVBand="1" w:oddHBand="0" w:evenHBand="0" w:firstRowFirstColumn="0" w:firstRowLastColumn="0" w:lastRowFirstColumn="0" w:lastRowLastColumn="0"/>
            <w:tcW w:w="2547" w:type="dxa"/>
            <w:tcMar>
              <w:left w:w="113" w:type="dxa"/>
            </w:tcMar>
          </w:tcPr>
          <w:p w14:paraId="31F3D3CC" w14:textId="77777777" w:rsidR="00F844B4" w:rsidRPr="0029253F" w:rsidRDefault="00F844B4">
            <w:pPr>
              <w:pStyle w:val="ARtablecolhead"/>
            </w:pPr>
            <w:r w:rsidRPr="0029253F">
              <w:t>Key performance indicator</w:t>
            </w:r>
          </w:p>
        </w:tc>
        <w:tc>
          <w:tcPr>
            <w:tcW w:w="5809" w:type="dxa"/>
            <w:tcMar>
              <w:left w:w="113" w:type="dxa"/>
            </w:tcMar>
          </w:tcPr>
          <w:p w14:paraId="7210F80C" w14:textId="77777777" w:rsidR="00F844B4" w:rsidRPr="0029253F" w:rsidRDefault="00F844B4">
            <w:pPr>
              <w:pStyle w:val="ARtablecolhead"/>
              <w:cnfStyle w:val="100000000000" w:firstRow="1" w:lastRow="0" w:firstColumn="0" w:lastColumn="0" w:oddVBand="0" w:evenVBand="0" w:oddHBand="0" w:evenHBand="0" w:firstRowFirstColumn="0" w:firstRowLastColumn="0" w:lastRowFirstColumn="0" w:lastRowLastColumn="0"/>
            </w:pPr>
            <w:r w:rsidRPr="0029253F">
              <w:t>Performance</w:t>
            </w:r>
          </w:p>
        </w:tc>
      </w:tr>
      <w:tr w:rsidR="006D70CE" w:rsidRPr="003B2CB2" w14:paraId="670E35FB" w14:textId="77777777" w:rsidTr="0028469F">
        <w:trPr>
          <w:trHeight w:val="220"/>
        </w:trPr>
        <w:tc>
          <w:tcPr>
            <w:tcW w:w="1276" w:type="dxa"/>
            <w:tcBorders>
              <w:top w:val="single" w:sz="4" w:space="0" w:color="000000" w:themeColor="text1"/>
              <w:bottom w:val="single" w:sz="4" w:space="0" w:color="A6A6A6" w:themeColor="accent5"/>
            </w:tcBorders>
          </w:tcPr>
          <w:p w14:paraId="3DC855FE" w14:textId="77777777" w:rsidR="00F844B4" w:rsidRPr="0029253F" w:rsidRDefault="00F844B4" w:rsidP="0028469F">
            <w:pPr>
              <w:pStyle w:val="ARtabletextbold"/>
            </w:pPr>
            <w:r w:rsidRPr="0029253F">
              <w:t>Management commitment</w:t>
            </w:r>
          </w:p>
        </w:tc>
        <w:tc>
          <w:tcPr>
            <w:cnfStyle w:val="000001000000" w:firstRow="0" w:lastRow="0" w:firstColumn="0" w:lastColumn="0" w:oddVBand="0" w:evenVBand="1" w:oddHBand="0" w:evenHBand="0" w:firstRowFirstColumn="0" w:firstRowLastColumn="0" w:lastRowFirstColumn="0" w:lastRowLastColumn="0"/>
            <w:tcW w:w="2547" w:type="dxa"/>
            <w:tcBorders>
              <w:top w:val="single" w:sz="4" w:space="0" w:color="000000" w:themeColor="text1"/>
              <w:bottom w:val="single" w:sz="4" w:space="0" w:color="A6A6A6" w:themeColor="accent5"/>
            </w:tcBorders>
            <w:tcMar>
              <w:left w:w="113" w:type="dxa"/>
            </w:tcMar>
          </w:tcPr>
          <w:p w14:paraId="4997D96C" w14:textId="77777777" w:rsidR="00F844B4" w:rsidRPr="0029253F" w:rsidRDefault="00F844B4">
            <w:pPr>
              <w:pStyle w:val="ARtabletext"/>
            </w:pPr>
            <w:r w:rsidRPr="0029253F">
              <w:t>OHS policy statement and</w:t>
            </w:r>
            <w:r w:rsidRPr="00FC7CC7">
              <w:t xml:space="preserve"> </w:t>
            </w:r>
            <w:r w:rsidRPr="0029253F">
              <w:t>OHS criteria</w:t>
            </w:r>
          </w:p>
        </w:tc>
        <w:tc>
          <w:tcPr>
            <w:tcW w:w="5809" w:type="dxa"/>
            <w:tcBorders>
              <w:top w:val="single" w:sz="4" w:space="0" w:color="000000" w:themeColor="text1"/>
              <w:bottom w:val="single" w:sz="4" w:space="0" w:color="A6A6A6" w:themeColor="accent5"/>
            </w:tcBorders>
            <w:tcMar>
              <w:left w:w="113" w:type="dxa"/>
            </w:tcMar>
          </w:tcPr>
          <w:p w14:paraId="617CF081" w14:textId="77777777" w:rsidR="00F844B4" w:rsidRPr="0029253F" w:rsidRDefault="00F844B4">
            <w:pPr>
              <w:pStyle w:val="ARTabletextlessleading"/>
              <w:cnfStyle w:val="000000000000" w:firstRow="0" w:lastRow="0" w:firstColumn="0" w:lastColumn="0" w:oddVBand="0" w:evenVBand="0" w:oddHBand="0" w:evenHBand="0" w:firstRowFirstColumn="0" w:firstRowLastColumn="0" w:lastRowFirstColumn="0" w:lastRowLastColumn="0"/>
            </w:pPr>
            <w:r w:rsidRPr="0029253F">
              <w:t xml:space="preserve">The department’s </w:t>
            </w:r>
            <w:r w:rsidRPr="000763F6">
              <w:rPr>
                <w:rStyle w:val="Emphasis"/>
              </w:rPr>
              <w:t>Health, safety and wellbeing policy</w:t>
            </w:r>
            <w:r w:rsidRPr="0029253F">
              <w:t xml:space="preserve"> details its commitment to providing employees with a work environment and experience that is safe and supports and promotes optimum health, safety and wellbeing.</w:t>
            </w:r>
          </w:p>
          <w:p w14:paraId="112370C3" w14:textId="77777777" w:rsidR="00F844B4" w:rsidRPr="0029253F" w:rsidRDefault="00F844B4">
            <w:pPr>
              <w:pStyle w:val="ARTabletextlessleading"/>
              <w:cnfStyle w:val="000000000000" w:firstRow="0" w:lastRow="0" w:firstColumn="0" w:lastColumn="0" w:oddVBand="0" w:evenVBand="0" w:oddHBand="0" w:evenHBand="0" w:firstRowFirstColumn="0" w:firstRowLastColumn="0" w:lastRowFirstColumn="0" w:lastRowLastColumn="0"/>
            </w:pPr>
            <w:r w:rsidRPr="0029253F">
              <w:t>Responsibility for health, safety and wellbeing is an inherent part of every employee’s role. Specific accountabilities for all employees and additional accountabilities for managers and leaders are defined and documented to provide and maintain a healthy and safe workplace. Specific HSW performance goals are included in all department employee performance plans.</w:t>
            </w:r>
          </w:p>
          <w:p w14:paraId="17A9B1E6" w14:textId="77777777" w:rsidR="00F844B4" w:rsidRPr="0029253F" w:rsidRDefault="00F844B4">
            <w:pPr>
              <w:pStyle w:val="ARTabletextlessleading"/>
              <w:cnfStyle w:val="000000000000" w:firstRow="0" w:lastRow="0" w:firstColumn="0" w:lastColumn="0" w:oddVBand="0" w:evenVBand="0" w:oddHBand="0" w:evenHBand="0" w:firstRowFirstColumn="0" w:firstRowLastColumn="0" w:lastRowFirstColumn="0" w:lastRowLastColumn="0"/>
            </w:pPr>
            <w:r w:rsidRPr="0029253F">
              <w:t>The department monitors its HSW performance against a defined Outcomes Framework and reports performance results to a range of</w:t>
            </w:r>
            <w:r w:rsidRPr="00FC7CC7">
              <w:rPr>
                <w:iCs/>
              </w:rPr>
              <w:t xml:space="preserve"> </w:t>
            </w:r>
            <w:r w:rsidRPr="0029253F">
              <w:t>governance and consultative committees.</w:t>
            </w:r>
          </w:p>
          <w:p w14:paraId="641A7BDA" w14:textId="77777777" w:rsidR="00F844B4" w:rsidRPr="00F40A64" w:rsidRDefault="00F844B4">
            <w:pPr>
              <w:pStyle w:val="ARTabletextlessleading"/>
              <w:cnfStyle w:val="000000000000" w:firstRow="0" w:lastRow="0" w:firstColumn="0" w:lastColumn="0" w:oddVBand="0" w:evenVBand="0" w:oddHBand="0" w:evenHBand="0" w:firstRowFirstColumn="0" w:firstRowLastColumn="0" w:lastRowFirstColumn="0" w:lastRowLastColumn="0"/>
            </w:pPr>
            <w:r w:rsidRPr="0029253F">
              <w:t xml:space="preserve">The department actively participates in Victorian Public Service HSW governance bodies including the OHS Leadership Group, the OHS Executive Group and the OHS Project Review Board. </w:t>
            </w:r>
          </w:p>
        </w:tc>
      </w:tr>
      <w:tr w:rsidR="00F844B4" w:rsidRPr="003B2CB2" w14:paraId="57D2C4EC" w14:textId="77777777" w:rsidTr="0028469F">
        <w:trPr>
          <w:trHeight w:val="130"/>
        </w:trPr>
        <w:tc>
          <w:tcPr>
            <w:tcW w:w="1276" w:type="dxa"/>
            <w:tcBorders>
              <w:top w:val="single" w:sz="4" w:space="0" w:color="A6A6A6" w:themeColor="accent5"/>
              <w:bottom w:val="single" w:sz="4" w:space="0" w:color="A6A6A6" w:themeColor="accent5"/>
            </w:tcBorders>
          </w:tcPr>
          <w:p w14:paraId="2739CB95" w14:textId="77777777" w:rsidR="00F844B4" w:rsidRPr="0029253F" w:rsidRDefault="00F844B4" w:rsidP="0028469F">
            <w:pPr>
              <w:pStyle w:val="ARtabletextbold"/>
            </w:pPr>
            <w:r w:rsidRPr="0029253F">
              <w:t>Consultation and participation</w:t>
            </w:r>
          </w:p>
        </w:tc>
        <w:tc>
          <w:tcPr>
            <w:cnfStyle w:val="000001000000" w:firstRow="0" w:lastRow="0" w:firstColumn="0" w:lastColumn="0" w:oddVBand="0" w:evenVBand="1" w:oddHBand="0" w:evenHBand="0" w:firstRowFirstColumn="0" w:firstRowLastColumn="0" w:lastRowFirstColumn="0" w:lastRowLastColumn="0"/>
            <w:tcW w:w="2547" w:type="dxa"/>
            <w:tcBorders>
              <w:top w:val="single" w:sz="4" w:space="0" w:color="A6A6A6" w:themeColor="accent5"/>
              <w:bottom w:val="single" w:sz="4" w:space="0" w:color="A6A6A6" w:themeColor="accent5"/>
            </w:tcBorders>
            <w:tcMar>
              <w:left w:w="113" w:type="dxa"/>
            </w:tcMar>
          </w:tcPr>
          <w:p w14:paraId="6F43CE18" w14:textId="77777777" w:rsidR="00F844B4" w:rsidRPr="0029253F" w:rsidRDefault="00F844B4">
            <w:pPr>
              <w:pStyle w:val="ARtabletext"/>
            </w:pPr>
            <w:r w:rsidRPr="0029253F">
              <w:t>Designated work group structures and issue resolution procedures</w:t>
            </w:r>
          </w:p>
        </w:tc>
        <w:tc>
          <w:tcPr>
            <w:tcW w:w="5809" w:type="dxa"/>
            <w:tcBorders>
              <w:top w:val="single" w:sz="4" w:space="0" w:color="A6A6A6" w:themeColor="accent5"/>
              <w:bottom w:val="single" w:sz="4" w:space="0" w:color="A6A6A6" w:themeColor="accent5"/>
            </w:tcBorders>
            <w:tcMar>
              <w:left w:w="113" w:type="dxa"/>
            </w:tcMar>
          </w:tcPr>
          <w:p w14:paraId="17466D0D" w14:textId="77777777" w:rsidR="00F844B4" w:rsidRPr="0029253F" w:rsidRDefault="00F844B4">
            <w:pPr>
              <w:pStyle w:val="ARTabletextlessleading"/>
              <w:cnfStyle w:val="000000000000" w:firstRow="0" w:lastRow="0" w:firstColumn="0" w:lastColumn="0" w:oddVBand="0" w:evenVBand="0" w:oddHBand="0" w:evenHBand="0" w:firstRowFirstColumn="0" w:firstRowLastColumn="0" w:lastRowFirstColumn="0" w:lastRowLastColumn="0"/>
            </w:pPr>
            <w:r w:rsidRPr="0029253F">
              <w:t xml:space="preserve">The department’s extensive network of </w:t>
            </w:r>
            <w:r w:rsidRPr="006E4A21">
              <w:t>137</w:t>
            </w:r>
            <w:r w:rsidRPr="00556EEC">
              <w:t xml:space="preserve"> designated</w:t>
            </w:r>
            <w:r w:rsidRPr="0029253F">
              <w:t xml:space="preserve"> work groups, </w:t>
            </w:r>
            <w:r>
              <w:t>197</w:t>
            </w:r>
            <w:r w:rsidRPr="0029253F">
              <w:t xml:space="preserve"> health and safety representatives (HSRs) (including deputy health and safety representatives) and </w:t>
            </w:r>
            <w:r>
              <w:t>103</w:t>
            </w:r>
            <w:r w:rsidRPr="0029253F">
              <w:t xml:space="preserve"> designated management representatives (DMRs) </w:t>
            </w:r>
            <w:r>
              <w:t>provide</w:t>
            </w:r>
            <w:r w:rsidRPr="0029253F" w:rsidDel="00396579">
              <w:t xml:space="preserve"> </w:t>
            </w:r>
            <w:r w:rsidRPr="0029253F">
              <w:t>an avenue</w:t>
            </w:r>
            <w:r>
              <w:t xml:space="preserve"> for </w:t>
            </w:r>
            <w:r w:rsidRPr="0029253F">
              <w:t>employees to be heard on health and safety matters in the workplace.</w:t>
            </w:r>
          </w:p>
          <w:p w14:paraId="03D248CB" w14:textId="445AD799" w:rsidR="00F844B4" w:rsidRPr="0029253F" w:rsidRDefault="00F844B4">
            <w:pPr>
              <w:pStyle w:val="ARTabletextlessleading"/>
              <w:cnfStyle w:val="000000000000" w:firstRow="0" w:lastRow="0" w:firstColumn="0" w:lastColumn="0" w:oddVBand="0" w:evenVBand="0" w:oddHBand="0" w:evenHBand="0" w:firstRowFirstColumn="0" w:firstRowLastColumn="0" w:lastRowFirstColumn="0" w:lastRowLastColumn="0"/>
            </w:pPr>
            <w:r w:rsidRPr="0029253F">
              <w:t xml:space="preserve">The department has a comprehensive health and safety consultation structure in place comprising committees at the area and divisional level. The People and Culture Committee is a subcommittee of the </w:t>
            </w:r>
            <w:r>
              <w:t>b</w:t>
            </w:r>
            <w:r w:rsidRPr="0029253F">
              <w:t>oar</w:t>
            </w:r>
            <w:r>
              <w:t xml:space="preserve">d. It </w:t>
            </w:r>
            <w:r w:rsidRPr="0029253F">
              <w:t>monitors the HSW performance of the department. This</w:t>
            </w:r>
            <w:r w:rsidRPr="00045ACF">
              <w:t xml:space="preserve"> </w:t>
            </w:r>
            <w:r w:rsidRPr="0029253F">
              <w:t xml:space="preserve">committee met </w:t>
            </w:r>
            <w:r>
              <w:t>9</w:t>
            </w:r>
            <w:r w:rsidRPr="0029253F">
              <w:t xml:space="preserve"> times during 202</w:t>
            </w:r>
            <w:r>
              <w:t>4</w:t>
            </w:r>
            <w:r w:rsidRPr="0029253F">
              <w:t>–2</w:t>
            </w:r>
            <w:r>
              <w:t>5</w:t>
            </w:r>
            <w:r w:rsidRPr="0029253F">
              <w:t>.</w:t>
            </w:r>
          </w:p>
          <w:p w14:paraId="353F48A5" w14:textId="77777777" w:rsidR="00F844B4" w:rsidRPr="003B2CB2" w:rsidRDefault="00F844B4">
            <w:pPr>
              <w:pStyle w:val="ARTabletextlessleading"/>
              <w:cnfStyle w:val="000000000000" w:firstRow="0" w:lastRow="0" w:firstColumn="0" w:lastColumn="0" w:oddVBand="0" w:evenVBand="0" w:oddHBand="0" w:evenHBand="0" w:firstRowFirstColumn="0" w:firstRowLastColumn="0" w:lastRowFirstColumn="0" w:lastRowLastColumn="0"/>
              <w:rPr>
                <w:highlight w:val="cyan"/>
              </w:rPr>
            </w:pPr>
            <w:r w:rsidRPr="0029253F">
              <w:t xml:space="preserve">Divisional and </w:t>
            </w:r>
            <w:r>
              <w:t>a</w:t>
            </w:r>
            <w:r w:rsidRPr="0029253F">
              <w:t>rea HSW committees play a key consultative role in improving health and safety</w:t>
            </w:r>
            <w:r w:rsidRPr="0029253F" w:rsidDel="00694A90">
              <w:t xml:space="preserve"> </w:t>
            </w:r>
            <w:r w:rsidRPr="0029253F">
              <w:t xml:space="preserve">by providing a forum for HSRs and DMRs to meet regularly and work collaboratively to plan and develop solutions to improve HSW outcomes. There were </w:t>
            </w:r>
            <w:r>
              <w:t>114</w:t>
            </w:r>
            <w:r w:rsidRPr="0029253F">
              <w:t xml:space="preserve"> </w:t>
            </w:r>
            <w:r>
              <w:t>d</w:t>
            </w:r>
            <w:r w:rsidRPr="0029253F">
              <w:t xml:space="preserve">ivisional and </w:t>
            </w:r>
            <w:r>
              <w:t>a</w:t>
            </w:r>
            <w:r w:rsidRPr="0029253F">
              <w:t xml:space="preserve">rea HSW committee meetings during </w:t>
            </w:r>
            <w:r w:rsidRPr="00045ACF">
              <w:t>202</w:t>
            </w:r>
            <w:r>
              <w:t>4</w:t>
            </w:r>
            <w:r w:rsidRPr="00045ACF">
              <w:t>–2</w:t>
            </w:r>
            <w:r>
              <w:t>5</w:t>
            </w:r>
            <w:r w:rsidRPr="0029253F">
              <w:t>. The issue resolution guide outlines the department’s process for managers and employees to follow to resolve health and safety issues identified in department workplaces.</w:t>
            </w:r>
          </w:p>
        </w:tc>
      </w:tr>
      <w:tr w:rsidR="00F844B4" w:rsidRPr="003B2CB2" w14:paraId="6B524566" w14:textId="77777777" w:rsidTr="0028469F">
        <w:trPr>
          <w:trHeight w:val="340"/>
        </w:trPr>
        <w:tc>
          <w:tcPr>
            <w:tcW w:w="1276" w:type="dxa"/>
            <w:tcBorders>
              <w:top w:val="single" w:sz="4" w:space="0" w:color="A6A6A6" w:themeColor="accent5"/>
              <w:bottom w:val="single" w:sz="4" w:space="0" w:color="A6A6A6" w:themeColor="accent5"/>
            </w:tcBorders>
          </w:tcPr>
          <w:p w14:paraId="4BD9698D" w14:textId="77777777" w:rsidR="00F844B4" w:rsidRPr="00574654" w:rsidRDefault="00F844B4" w:rsidP="0028469F">
            <w:pPr>
              <w:pStyle w:val="ARtabletextbold"/>
            </w:pPr>
            <w:r w:rsidRPr="00574654">
              <w:t>Risk management</w:t>
            </w:r>
          </w:p>
        </w:tc>
        <w:tc>
          <w:tcPr>
            <w:cnfStyle w:val="000001000000" w:firstRow="0" w:lastRow="0" w:firstColumn="0" w:lastColumn="0" w:oddVBand="0" w:evenVBand="1" w:oddHBand="0" w:evenHBand="0" w:firstRowFirstColumn="0" w:firstRowLastColumn="0" w:lastRowFirstColumn="0" w:lastRowLastColumn="0"/>
            <w:tcW w:w="2547" w:type="dxa"/>
            <w:tcBorders>
              <w:top w:val="single" w:sz="4" w:space="0" w:color="A6A6A6" w:themeColor="accent5"/>
              <w:bottom w:val="single" w:sz="4" w:space="0" w:color="A6A6A6" w:themeColor="accent5"/>
            </w:tcBorders>
            <w:tcMar>
              <w:left w:w="113" w:type="dxa"/>
            </w:tcMar>
          </w:tcPr>
          <w:p w14:paraId="6EB31B90" w14:textId="77777777" w:rsidR="00F844B4" w:rsidRPr="00574654" w:rsidRDefault="00F844B4">
            <w:pPr>
              <w:pStyle w:val="ARtabletext"/>
            </w:pPr>
            <w:r w:rsidRPr="00574654">
              <w:t>Regular risk assessments and internal audits conducted. Issues identified</w:t>
            </w:r>
            <w:r>
              <w:t xml:space="preserve"> </w:t>
            </w:r>
            <w:r w:rsidRPr="00574654">
              <w:t>and actioned</w:t>
            </w:r>
          </w:p>
        </w:tc>
        <w:tc>
          <w:tcPr>
            <w:tcW w:w="5809" w:type="dxa"/>
            <w:tcBorders>
              <w:top w:val="single" w:sz="4" w:space="0" w:color="A6A6A6" w:themeColor="accent5"/>
              <w:bottom w:val="single" w:sz="4" w:space="0" w:color="A6A6A6" w:themeColor="accent5"/>
            </w:tcBorders>
            <w:tcMar>
              <w:left w:w="113" w:type="dxa"/>
            </w:tcMar>
          </w:tcPr>
          <w:p w14:paraId="68355F3E" w14:textId="2849054F" w:rsidR="00F844B4" w:rsidRPr="00574654" w:rsidRDefault="00F844B4">
            <w:pPr>
              <w:pStyle w:val="ARTabletextlessleading"/>
              <w:cnfStyle w:val="000000000000" w:firstRow="0" w:lastRow="0" w:firstColumn="0" w:lastColumn="0" w:oddVBand="0" w:evenVBand="0" w:oddHBand="0" w:evenHBand="0" w:firstRowFirstColumn="0" w:firstRowLastColumn="0" w:lastRowFirstColumn="0" w:lastRowLastColumn="0"/>
            </w:pPr>
            <w:proofErr w:type="spellStart"/>
            <w:r w:rsidRPr="00574654">
              <w:t>eDINMAR</w:t>
            </w:r>
            <w:proofErr w:type="spellEnd"/>
            <w:r w:rsidRPr="00574654">
              <w:t xml:space="preserve"> (electronic disease, injury, near miss, accident report) is the department’s</w:t>
            </w:r>
            <w:r>
              <w:t xml:space="preserve"> </w:t>
            </w:r>
            <w:r w:rsidRPr="00574654">
              <w:t>online</w:t>
            </w:r>
            <w:r>
              <w:t xml:space="preserve"> health and safety</w:t>
            </w:r>
            <w:r w:rsidRPr="00574654">
              <w:t xml:space="preserve"> hazard and incident reporting system (replaced with </w:t>
            </w:r>
            <w:proofErr w:type="spellStart"/>
            <w:r w:rsidRPr="00574654">
              <w:t>OurSafe</w:t>
            </w:r>
            <w:r>
              <w:t>t</w:t>
            </w:r>
            <w:r w:rsidRPr="00574654">
              <w:t>y</w:t>
            </w:r>
            <w:proofErr w:type="spellEnd"/>
            <w:r w:rsidRPr="00574654">
              <w:t xml:space="preserve"> from 1 July 2025). All</w:t>
            </w:r>
            <w:r>
              <w:t xml:space="preserve"> </w:t>
            </w:r>
            <w:r w:rsidRPr="00574654">
              <w:t xml:space="preserve">employees are encouraged to report </w:t>
            </w:r>
            <w:r>
              <w:t xml:space="preserve">work-related </w:t>
            </w:r>
            <w:r w:rsidRPr="00574654">
              <w:t>incidents and hazards</w:t>
            </w:r>
            <w:r>
              <w:t>.</w:t>
            </w:r>
            <w:r w:rsidRPr="00574654">
              <w:t xml:space="preserve"> </w:t>
            </w:r>
            <w:r>
              <w:t>This helps us</w:t>
            </w:r>
            <w:r w:rsidRPr="00574654">
              <w:t xml:space="preserve"> understand risks and </w:t>
            </w:r>
            <w:r>
              <w:t>respond</w:t>
            </w:r>
            <w:r w:rsidRPr="00574654">
              <w:t xml:space="preserve"> </w:t>
            </w:r>
            <w:r>
              <w:t xml:space="preserve">quickly and effectively </w:t>
            </w:r>
            <w:r w:rsidRPr="00574654">
              <w:t>(including incident investigation and implementation of</w:t>
            </w:r>
            <w:r w:rsidR="004C0D42">
              <w:t> </w:t>
            </w:r>
            <w:r w:rsidRPr="00574654">
              <w:t>controls).</w:t>
            </w:r>
          </w:p>
          <w:p w14:paraId="6293B825" w14:textId="77777777" w:rsidR="00F844B4" w:rsidRPr="00574654" w:rsidRDefault="00F844B4">
            <w:pPr>
              <w:pStyle w:val="ARTabletextlessleading"/>
              <w:cnfStyle w:val="000000000000" w:firstRow="0" w:lastRow="0" w:firstColumn="0" w:lastColumn="0" w:oddVBand="0" w:evenVBand="0" w:oddHBand="0" w:evenHBand="0" w:firstRowFirstColumn="0" w:firstRowLastColumn="0" w:lastRowFirstColumn="0" w:lastRowLastColumn="0"/>
            </w:pPr>
            <w:r w:rsidRPr="00574654">
              <w:t xml:space="preserve">The department has comprehensive procedures and tools for assessing and managing key HSW hazards </w:t>
            </w:r>
            <w:r>
              <w:t xml:space="preserve">and risk </w:t>
            </w:r>
            <w:r w:rsidRPr="00574654">
              <w:t>and for undertaking workplace inspections.</w:t>
            </w:r>
          </w:p>
          <w:p w14:paraId="580C4F7D" w14:textId="4623606A" w:rsidR="00F844B4" w:rsidRPr="003B2CB2" w:rsidRDefault="00F844B4">
            <w:pPr>
              <w:pStyle w:val="ARTabletextlessleading"/>
              <w:cnfStyle w:val="000000000000" w:firstRow="0" w:lastRow="0" w:firstColumn="0" w:lastColumn="0" w:oddVBand="0" w:evenVBand="0" w:oddHBand="0" w:evenHBand="0" w:firstRowFirstColumn="0" w:firstRowLastColumn="0" w:lastRowFirstColumn="0" w:lastRowLastColumn="0"/>
              <w:rPr>
                <w:highlight w:val="cyan"/>
              </w:rPr>
            </w:pPr>
            <w:r w:rsidRPr="0035152C">
              <w:t xml:space="preserve">WorkSafe made </w:t>
            </w:r>
            <w:r>
              <w:t>35</w:t>
            </w:r>
            <w:r w:rsidRPr="00DD6CC2">
              <w:t xml:space="preserve"> visits </w:t>
            </w:r>
            <w:r w:rsidRPr="0035152C">
              <w:t>to department workplaces</w:t>
            </w:r>
            <w:r>
              <w:t>.</w:t>
            </w:r>
            <w:r w:rsidRPr="0035152C">
              <w:t xml:space="preserve"> </w:t>
            </w:r>
            <w:r>
              <w:t>It</w:t>
            </w:r>
            <w:r w:rsidRPr="0035152C">
              <w:t xml:space="preserve"> </w:t>
            </w:r>
            <w:r>
              <w:t xml:space="preserve">issued one </w:t>
            </w:r>
            <w:r w:rsidRPr="00622FF4">
              <w:t>improvement notice</w:t>
            </w:r>
            <w:r w:rsidRPr="0035152C">
              <w:t xml:space="preserve"> </w:t>
            </w:r>
            <w:r>
              <w:t>between</w:t>
            </w:r>
            <w:r w:rsidRPr="0035152C">
              <w:t xml:space="preserve"> 1 July 2024 </w:t>
            </w:r>
            <w:r>
              <w:t>and</w:t>
            </w:r>
            <w:r w:rsidRPr="0035152C">
              <w:t xml:space="preserve"> 30 June 2025</w:t>
            </w:r>
            <w:r>
              <w:t>.</w:t>
            </w:r>
            <w:r>
              <w:rPr>
                <w:rStyle w:val="FootnoteReference"/>
              </w:rPr>
              <w:footnoteReference w:id="18"/>
            </w:r>
            <w:r w:rsidRPr="0035152C">
              <w:t xml:space="preserve"> There were </w:t>
            </w:r>
            <w:r>
              <w:t>3</w:t>
            </w:r>
            <w:r w:rsidRPr="00521C32">
              <w:t xml:space="preserve"> provisional improvement notices</w:t>
            </w:r>
            <w:r w:rsidRPr="00EF02F8">
              <w:t xml:space="preserve"> issued</w:t>
            </w:r>
            <w:r>
              <w:t xml:space="preserve"> by HSRs</w:t>
            </w:r>
            <w:r w:rsidRPr="00EF02F8">
              <w:t>.</w:t>
            </w:r>
            <w:r w:rsidRPr="0035152C">
              <w:t xml:space="preserve"> </w:t>
            </w:r>
          </w:p>
        </w:tc>
      </w:tr>
      <w:tr w:rsidR="00F844B4" w:rsidRPr="003B2CB2" w14:paraId="45BB90A0" w14:textId="77777777" w:rsidTr="0028469F">
        <w:trPr>
          <w:cnfStyle w:val="010000000000" w:firstRow="0" w:lastRow="1" w:firstColumn="0" w:lastColumn="0" w:oddVBand="0" w:evenVBand="0" w:oddHBand="0" w:evenHBand="0" w:firstRowFirstColumn="0" w:firstRowLastColumn="0" w:lastRowFirstColumn="0" w:lastRowLastColumn="0"/>
          <w:trHeight w:val="402"/>
        </w:trPr>
        <w:tc>
          <w:tcPr>
            <w:tcW w:w="1276" w:type="dxa"/>
            <w:tcBorders>
              <w:top w:val="single" w:sz="4" w:space="0" w:color="A6A6A6" w:themeColor="accent5"/>
            </w:tcBorders>
          </w:tcPr>
          <w:p w14:paraId="4E3D55D6" w14:textId="77777777" w:rsidR="00F844B4" w:rsidRPr="00357FF7" w:rsidRDefault="00F844B4" w:rsidP="0028469F">
            <w:pPr>
              <w:pStyle w:val="ARtabletextbold"/>
            </w:pPr>
            <w:r w:rsidRPr="00357FF7">
              <w:lastRenderedPageBreak/>
              <w:t>Training</w:t>
            </w:r>
          </w:p>
        </w:tc>
        <w:tc>
          <w:tcPr>
            <w:cnfStyle w:val="000001000000" w:firstRow="0" w:lastRow="0" w:firstColumn="0" w:lastColumn="0" w:oddVBand="0" w:evenVBand="1" w:oddHBand="0" w:evenHBand="0" w:firstRowFirstColumn="0" w:firstRowLastColumn="0" w:lastRowFirstColumn="0" w:lastRowLastColumn="0"/>
            <w:tcW w:w="2547" w:type="dxa"/>
            <w:tcBorders>
              <w:top w:val="single" w:sz="4" w:space="0" w:color="A6A6A6" w:themeColor="accent5"/>
            </w:tcBorders>
            <w:tcMar>
              <w:left w:w="113" w:type="dxa"/>
            </w:tcMar>
          </w:tcPr>
          <w:p w14:paraId="2212CF48" w14:textId="77777777" w:rsidR="00F844B4" w:rsidRPr="00357FF7" w:rsidRDefault="00F844B4">
            <w:pPr>
              <w:pStyle w:val="ARtabletext"/>
            </w:pPr>
            <w:r w:rsidRPr="00357FF7">
              <w:t>Managers, health and safety representatives and other staff trained</w:t>
            </w:r>
          </w:p>
        </w:tc>
        <w:tc>
          <w:tcPr>
            <w:tcW w:w="5809" w:type="dxa"/>
            <w:tcBorders>
              <w:top w:val="single" w:sz="4" w:space="0" w:color="A6A6A6" w:themeColor="accent5"/>
            </w:tcBorders>
            <w:tcMar>
              <w:left w:w="113" w:type="dxa"/>
            </w:tcMar>
          </w:tcPr>
          <w:p w14:paraId="46A6BD25" w14:textId="782104B1" w:rsidR="00F844B4" w:rsidRPr="00357FF7" w:rsidRDefault="00F844B4">
            <w:pPr>
              <w:pStyle w:val="ARTabletextlessleading"/>
              <w:cnfStyle w:val="010000000000" w:firstRow="0" w:lastRow="1" w:firstColumn="0" w:lastColumn="0" w:oddVBand="0" w:evenVBand="0" w:oddHBand="0" w:evenHBand="0" w:firstRowFirstColumn="0" w:firstRowLastColumn="0" w:lastRowFirstColumn="0" w:lastRowLastColumn="0"/>
            </w:pPr>
            <w:r w:rsidRPr="00357FF7">
              <w:t>A</w:t>
            </w:r>
            <w:r w:rsidRPr="00357FF7" w:rsidDel="00AA5BD7">
              <w:t xml:space="preserve"> </w:t>
            </w:r>
            <w:r w:rsidRPr="00357FF7">
              <w:t>range of HSW</w:t>
            </w:r>
            <w:r>
              <w:t>-related</w:t>
            </w:r>
            <w:r w:rsidRPr="00357FF7">
              <w:t xml:space="preserve"> training </w:t>
            </w:r>
            <w:r>
              <w:t>was</w:t>
            </w:r>
            <w:r w:rsidRPr="00357FF7">
              <w:t xml:space="preserve"> available to managers and employees</w:t>
            </w:r>
            <w:r>
              <w:t xml:space="preserve">. This covered topics including mental health and wellbeing, psychological first aid, </w:t>
            </w:r>
            <w:proofErr w:type="spellStart"/>
            <w:r>
              <w:t>eDINMAR</w:t>
            </w:r>
            <w:proofErr w:type="spellEnd"/>
            <w:r>
              <w:t>, vicarious trauma, suicide awareness and work-related violence</w:t>
            </w:r>
            <w:r w:rsidRPr="00357FF7">
              <w:t xml:space="preserve">. </w:t>
            </w:r>
            <w:r>
              <w:t xml:space="preserve">Training occurred face-to-face, virtually and via </w:t>
            </w:r>
            <w:proofErr w:type="spellStart"/>
            <w:r>
              <w:t>eLearns</w:t>
            </w:r>
            <w:proofErr w:type="spellEnd"/>
            <w:r>
              <w:t>. Some programs were available to all employees. Others were tailored to frontline employee groups. A</w:t>
            </w:r>
            <w:r w:rsidRPr="00357FF7">
              <w:t xml:space="preserve">pproximately </w:t>
            </w:r>
            <w:r>
              <w:t>2,500 employees participated in HSW-related training specific to frontline roles. More than 6,100 employees completed</w:t>
            </w:r>
            <w:r w:rsidRPr="00357FF7" w:rsidDel="0041272F">
              <w:t xml:space="preserve"> </w:t>
            </w:r>
            <w:r>
              <w:t xml:space="preserve">mandatory HSW-related </w:t>
            </w:r>
            <w:proofErr w:type="spellStart"/>
            <w:r>
              <w:t>eLearns</w:t>
            </w:r>
            <w:proofErr w:type="spellEnd"/>
            <w:r>
              <w:t>. More than 300 employees participated</w:t>
            </w:r>
            <w:r w:rsidRPr="00357FF7">
              <w:t xml:space="preserve"> </w:t>
            </w:r>
            <w:r>
              <w:t xml:space="preserve">in </w:t>
            </w:r>
            <w:r w:rsidRPr="00357FF7">
              <w:t>department-</w:t>
            </w:r>
            <w:r>
              <w:t>wide</w:t>
            </w:r>
            <w:r w:rsidRPr="00357FF7">
              <w:t xml:space="preserve"> HSW</w:t>
            </w:r>
            <w:r>
              <w:t>-related</w:t>
            </w:r>
            <w:r w:rsidRPr="00357FF7">
              <w:t xml:space="preserve"> training</w:t>
            </w:r>
            <w:r w:rsidRPr="00357FF7" w:rsidDel="00353F27">
              <w:t xml:space="preserve"> </w:t>
            </w:r>
            <w:r w:rsidRPr="00357FF7">
              <w:t>during the</w:t>
            </w:r>
            <w:r w:rsidR="00DC288A">
              <w:t> </w:t>
            </w:r>
            <w:r w:rsidRPr="00357FF7">
              <w:t>year.</w:t>
            </w:r>
            <w:r>
              <w:rPr>
                <w:rStyle w:val="FootnoteReference"/>
              </w:rPr>
              <w:footnoteReference w:id="19"/>
            </w:r>
          </w:p>
          <w:p w14:paraId="05B312EE" w14:textId="01B92E2F" w:rsidR="00F844B4" w:rsidRPr="00357FF7" w:rsidRDefault="00F844B4">
            <w:pPr>
              <w:pStyle w:val="ARTabletextlessleading"/>
              <w:cnfStyle w:val="010000000000" w:firstRow="0" w:lastRow="1" w:firstColumn="0" w:lastColumn="0" w:oddVBand="0" w:evenVBand="0" w:oddHBand="0" w:evenHBand="0" w:firstRowFirstColumn="0" w:firstRowLastColumn="0" w:lastRowFirstColumn="0" w:lastRowLastColumn="0"/>
            </w:pPr>
            <w:r w:rsidRPr="00357FF7">
              <w:t xml:space="preserve">All </w:t>
            </w:r>
            <w:r>
              <w:t>HSRs</w:t>
            </w:r>
            <w:r w:rsidRPr="00357FF7">
              <w:t xml:space="preserve"> elected were encouraged and supported by the department to undertake the 5-day health and safety representative training</w:t>
            </w:r>
            <w:r w:rsidR="005C1105">
              <w:t> </w:t>
            </w:r>
            <w:r w:rsidRPr="00357FF7">
              <w:t>program.</w:t>
            </w:r>
          </w:p>
          <w:p w14:paraId="41E9E9CF" w14:textId="4F1E56ED" w:rsidR="00F844B4" w:rsidRPr="003B2CB2" w:rsidRDefault="00F844B4">
            <w:pPr>
              <w:pStyle w:val="ARTabletextlessleading"/>
              <w:cnfStyle w:val="010000000000" w:firstRow="0" w:lastRow="1" w:firstColumn="0" w:lastColumn="0" w:oddVBand="0" w:evenVBand="0" w:oddHBand="0" w:evenHBand="0" w:firstRowFirstColumn="0" w:firstRowLastColumn="0" w:lastRowFirstColumn="0" w:lastRowLastColumn="0"/>
              <w:rPr>
                <w:highlight w:val="cyan"/>
              </w:rPr>
            </w:pPr>
            <w:r w:rsidRPr="00C83CB6">
              <w:t xml:space="preserve">The department delivered a range of HSW sessions and initiatives during HSW Month held during October. </w:t>
            </w:r>
            <w:r>
              <w:t xml:space="preserve">There were </w:t>
            </w:r>
            <w:r w:rsidRPr="00C83CB6">
              <w:t xml:space="preserve">21 events </w:t>
            </w:r>
            <w:r w:rsidRPr="0029253F">
              <w:t xml:space="preserve">offered in </w:t>
            </w:r>
            <w:r w:rsidRPr="00A86176">
              <w:t>2024</w:t>
            </w:r>
            <w:r>
              <w:t>. There were varying levels of participation at each event. The opening event had more than 490 attendees and the HSR forum had approximately 90 attendees. All online events were recorded for employees who could not attend the live event.</w:t>
            </w:r>
          </w:p>
        </w:tc>
      </w:tr>
    </w:tbl>
    <w:p w14:paraId="47A82F94" w14:textId="77777777" w:rsidR="00F844B4" w:rsidRPr="003B2CB2" w:rsidRDefault="00F844B4">
      <w:pPr>
        <w:pStyle w:val="ARbody"/>
        <w:rPr>
          <w:highlight w:val="cyan"/>
        </w:rPr>
        <w:sectPr w:rsidR="00F844B4" w:rsidRPr="003B2CB2" w:rsidSect="007F43B1">
          <w:headerReference w:type="even" r:id="rId84"/>
          <w:footerReference w:type="even" r:id="rId85"/>
          <w:footerReference w:type="default" r:id="rId86"/>
          <w:headerReference w:type="first" r:id="rId87"/>
          <w:footerReference w:type="first" r:id="rId88"/>
          <w:endnotePr>
            <w:numFmt w:val="decimal"/>
          </w:endnotePr>
          <w:type w:val="continuous"/>
          <w:pgSz w:w="11900" w:h="16840" w:code="9"/>
          <w:pgMar w:top="1588" w:right="1134" w:bottom="851" w:left="1134" w:header="510" w:footer="340" w:gutter="0"/>
          <w:cols w:space="454"/>
        </w:sectPr>
      </w:pPr>
    </w:p>
    <w:p w14:paraId="18E18094" w14:textId="77777777" w:rsidR="00AC3C57" w:rsidRPr="00532DAE" w:rsidRDefault="00AC3C57" w:rsidP="0081234A">
      <w:pPr>
        <w:pStyle w:val="Heading1"/>
      </w:pPr>
      <w:bookmarkStart w:id="143" w:name="_Hlk108096166"/>
      <w:bookmarkStart w:id="144" w:name="_Toc149587049"/>
      <w:bookmarkStart w:id="145" w:name="_Toc212039535"/>
      <w:bookmarkEnd w:id="120"/>
      <w:bookmarkEnd w:id="121"/>
      <w:bookmarkEnd w:id="122"/>
      <w:bookmarkEnd w:id="141"/>
      <w:bookmarkEnd w:id="142"/>
      <w:r w:rsidRPr="00532DAE">
        <w:lastRenderedPageBreak/>
        <w:t>Section 4: Other d</w:t>
      </w:r>
      <w:bookmarkEnd w:id="143"/>
      <w:r w:rsidRPr="00532DAE">
        <w:t>isclosures</w:t>
      </w:r>
      <w:bookmarkStart w:id="146" w:name="_Toc82006218"/>
      <w:bookmarkEnd w:id="144"/>
      <w:bookmarkEnd w:id="145"/>
    </w:p>
    <w:p w14:paraId="1E0E7B78" w14:textId="77777777" w:rsidR="00AC3C57" w:rsidRPr="00DE15DB" w:rsidRDefault="00AC3C57" w:rsidP="0081234A">
      <w:pPr>
        <w:pStyle w:val="Heading2"/>
        <w:spacing w:after="160"/>
      </w:pPr>
      <w:bookmarkStart w:id="147" w:name="_Local_Jobs_First"/>
      <w:bookmarkStart w:id="148" w:name="_Toc82006203"/>
      <w:bookmarkStart w:id="149" w:name="_Ref85114030"/>
      <w:bookmarkStart w:id="150" w:name="_Ref85118306"/>
      <w:bookmarkStart w:id="151" w:name="_Toc114491203"/>
      <w:bookmarkStart w:id="152" w:name="_Toc149587050"/>
      <w:bookmarkStart w:id="153" w:name="_Toc212039536"/>
      <w:bookmarkEnd w:id="147"/>
      <w:r w:rsidRPr="00DE15DB">
        <w:t>Local Jobs First</w:t>
      </w:r>
      <w:bookmarkEnd w:id="148"/>
      <w:bookmarkEnd w:id="149"/>
      <w:bookmarkEnd w:id="150"/>
      <w:bookmarkEnd w:id="151"/>
      <w:bookmarkEnd w:id="152"/>
      <w:bookmarkEnd w:id="153"/>
    </w:p>
    <w:p w14:paraId="2CA36BEF" w14:textId="77777777" w:rsidR="00AC3C57" w:rsidRPr="00DE15DB" w:rsidRDefault="00AC3C57" w:rsidP="00314E1D">
      <w:pPr>
        <w:pStyle w:val="Heading2"/>
        <w:sectPr w:rsidR="00AC3C57" w:rsidRPr="00DE15DB" w:rsidSect="007F43B1">
          <w:endnotePr>
            <w:numFmt w:val="decimal"/>
          </w:endnotePr>
          <w:pgSz w:w="11900" w:h="16840" w:code="9"/>
          <w:pgMar w:top="1588" w:right="1134" w:bottom="851" w:left="1134" w:header="510" w:footer="340" w:gutter="0"/>
          <w:cols w:space="454"/>
        </w:sectPr>
      </w:pPr>
    </w:p>
    <w:p w14:paraId="1470724A" w14:textId="26FFCFC5" w:rsidR="00AC3C57" w:rsidRPr="00DB74CC" w:rsidRDefault="00AC3C57">
      <w:pPr>
        <w:pStyle w:val="ARbody"/>
      </w:pPr>
      <w:bookmarkStart w:id="154" w:name="_Toc82006210"/>
      <w:bookmarkStart w:id="155" w:name="_Ref85113823"/>
      <w:bookmarkStart w:id="156" w:name="_Toc114491204"/>
      <w:bookmarkEnd w:id="146"/>
      <w:bookmarkEnd w:id="154"/>
      <w:bookmarkEnd w:id="155"/>
      <w:bookmarkEnd w:id="156"/>
      <w:r w:rsidRPr="00DE15DB">
        <w:t xml:space="preserve">The </w:t>
      </w:r>
      <w:r w:rsidRPr="00DE15DB">
        <w:rPr>
          <w:rStyle w:val="Emphasis"/>
        </w:rPr>
        <w:t>Local Jobs First Act 2003</w:t>
      </w:r>
      <w:r>
        <w:t xml:space="preserve"> was </w:t>
      </w:r>
      <w:r w:rsidRPr="00DB74CC">
        <w:t>strengthened in</w:t>
      </w:r>
      <w:r w:rsidR="009A0D1C">
        <w:t> </w:t>
      </w:r>
      <w:r w:rsidRPr="00DB74CC">
        <w:t>August 2018</w:t>
      </w:r>
      <w:r>
        <w:t xml:space="preserve">. It </w:t>
      </w:r>
      <w:r w:rsidRPr="00DB74CC">
        <w:t>bring</w:t>
      </w:r>
      <w:r>
        <w:t>s</w:t>
      </w:r>
      <w:r w:rsidRPr="00DB74CC">
        <w:t xml:space="preserve"> together the </w:t>
      </w:r>
      <w:bookmarkStart w:id="157" w:name="VIPP98"/>
      <w:r w:rsidRPr="00DB74CC">
        <w:t xml:space="preserve">Victorian Industry Participation Policy (VIPP) </w:t>
      </w:r>
      <w:bookmarkEnd w:id="157"/>
      <w:r w:rsidRPr="00DB74CC">
        <w:t>and Major Project Skills Guarantee (MPSG) policy</w:t>
      </w:r>
      <w:r>
        <w:t>. These</w:t>
      </w:r>
      <w:r w:rsidRPr="00DB74CC">
        <w:t xml:space="preserve"> were previously administered separately.</w:t>
      </w:r>
    </w:p>
    <w:p w14:paraId="38DD38C8" w14:textId="3DC6F011" w:rsidR="00AC3C57" w:rsidRDefault="00AC3C57">
      <w:pPr>
        <w:pStyle w:val="ARbody"/>
      </w:pPr>
      <w:r w:rsidRPr="00DB74CC">
        <w:t>Departments and public sector bodies</w:t>
      </w:r>
      <w:r>
        <w:t xml:space="preserve"> must</w:t>
      </w:r>
      <w:r w:rsidRPr="00DB74CC">
        <w:t xml:space="preserve"> apply the Local Jobs First policy to</w:t>
      </w:r>
      <w:r>
        <w:t xml:space="preserve"> projects valued</w:t>
      </w:r>
      <w:r w:rsidR="008F053D">
        <w:t> </w:t>
      </w:r>
      <w:r>
        <w:t>at:</w:t>
      </w:r>
    </w:p>
    <w:p w14:paraId="19D81777" w14:textId="2C2E1526" w:rsidR="00AC3C57" w:rsidRDefault="00AC3C57">
      <w:pPr>
        <w:pStyle w:val="ARbullet1"/>
      </w:pPr>
      <w:r w:rsidRPr="00DB74CC">
        <w:t>$3 million or more in metropolitan Melbourne or</w:t>
      </w:r>
      <w:r w:rsidR="009A0D1C">
        <w:t> </w:t>
      </w:r>
      <w:r w:rsidRPr="00DB74CC">
        <w:t>for statewide projects</w:t>
      </w:r>
    </w:p>
    <w:p w14:paraId="1208FCA9" w14:textId="77777777" w:rsidR="00AC3C57" w:rsidRPr="00DB74CC" w:rsidRDefault="00AC3C57">
      <w:pPr>
        <w:pStyle w:val="ARbullet1"/>
      </w:pPr>
      <w:r w:rsidRPr="00DB74CC">
        <w:t>$1 million or more in regional Victoria.</w:t>
      </w:r>
    </w:p>
    <w:p w14:paraId="7DD19D5B" w14:textId="77777777" w:rsidR="00AC3C57" w:rsidRPr="00DB74CC" w:rsidRDefault="00AC3C57" w:rsidP="008F053D">
      <w:pPr>
        <w:pStyle w:val="ARbodyafterbullets"/>
      </w:pPr>
      <w:r w:rsidRPr="00DB74CC">
        <w:t>MPSG applies to all construction projects valued at $20 million or more.</w:t>
      </w:r>
    </w:p>
    <w:p w14:paraId="6D8EB493" w14:textId="77777777" w:rsidR="00AC3C57" w:rsidRPr="00DB74CC" w:rsidRDefault="00AC3C57">
      <w:pPr>
        <w:pStyle w:val="ARbody"/>
      </w:pPr>
      <w:r w:rsidRPr="00DB74CC">
        <w:t xml:space="preserve">Every Victorian Government department and agency </w:t>
      </w:r>
      <w:r>
        <w:t>must</w:t>
      </w:r>
      <w:r w:rsidRPr="00DB74CC">
        <w:t xml:space="preserve"> report on compliance with Local Jobs First in their annual report.</w:t>
      </w:r>
    </w:p>
    <w:p w14:paraId="16B269CF" w14:textId="77777777" w:rsidR="00AC3C57" w:rsidRDefault="00AC3C57">
      <w:pPr>
        <w:pStyle w:val="ARbody"/>
      </w:pPr>
      <w:r w:rsidRPr="00DB74CC">
        <w:t>Under the</w:t>
      </w:r>
      <w:r w:rsidRPr="00DE15DB">
        <w:rPr>
          <w:rStyle w:val="Emphasis"/>
        </w:rPr>
        <w:t xml:space="preserve"> Local Jobs First Act 2003</w:t>
      </w:r>
      <w:r w:rsidRPr="00DE15DB">
        <w:t xml:space="preserve">, </w:t>
      </w:r>
      <w:r w:rsidRPr="00DB74CC">
        <w:t>projects and activities valued at less than $50 million are considered standard projects</w:t>
      </w:r>
      <w:r>
        <w:t>.</w:t>
      </w:r>
      <w:r w:rsidRPr="00DB74CC">
        <w:t xml:space="preserve"> </w:t>
      </w:r>
      <w:r>
        <w:t>P</w:t>
      </w:r>
      <w:r w:rsidRPr="00DB74CC">
        <w:t>rojects or activities valued at more than $50 million are considered strategic projects.</w:t>
      </w:r>
    </w:p>
    <w:p w14:paraId="5591EE28" w14:textId="77777777" w:rsidR="00AC3C57" w:rsidRPr="00DB74CC" w:rsidRDefault="00AC3C57">
      <w:pPr>
        <w:pStyle w:val="ARbody"/>
      </w:pPr>
      <w:r w:rsidRPr="00DB74CC">
        <w:t>These are reported on separately below.</w:t>
      </w:r>
    </w:p>
    <w:p w14:paraId="5A6A6B11" w14:textId="77777777" w:rsidR="00AC3C57" w:rsidRPr="00DB74CC" w:rsidRDefault="00AC3C57">
      <w:pPr>
        <w:pStyle w:val="ARbody"/>
      </w:pPr>
      <w:r w:rsidRPr="00DB74CC">
        <w:t>The MPSG guidelines and VIPP guidelines apply to MPSG-applicable and VIPP-applicable projects respectively where contracts have been entered prior to 15 August 2018.</w:t>
      </w:r>
    </w:p>
    <w:p w14:paraId="3F9A52A7" w14:textId="77777777" w:rsidR="00AC3C57" w:rsidRPr="00DE15DB" w:rsidRDefault="00AC3C57">
      <w:pPr>
        <w:pStyle w:val="Heading3"/>
      </w:pPr>
      <w:bookmarkStart w:id="158" w:name="_Ref178664003"/>
      <w:r w:rsidRPr="00DE15DB">
        <w:t xml:space="preserve">Projects </w:t>
      </w:r>
      <w:r w:rsidRPr="00DB74CC">
        <w:t>commenced</w:t>
      </w:r>
      <w:r w:rsidRPr="00DE15DB">
        <w:t xml:space="preserve"> – Local Jobs First Standard</w:t>
      </w:r>
      <w:bookmarkEnd w:id="158"/>
    </w:p>
    <w:p w14:paraId="1E61A497" w14:textId="77777777" w:rsidR="00AC3C57" w:rsidRDefault="00AC3C57">
      <w:pPr>
        <w:pStyle w:val="ARbody"/>
      </w:pPr>
      <w:r w:rsidRPr="00DB74CC">
        <w:t>During 2024–25, the department commenced 22</w:t>
      </w:r>
      <w:r>
        <w:t> </w:t>
      </w:r>
      <w:r w:rsidRPr="00DB74CC">
        <w:t>Local Jobs First Standard projects totalling $53.22 million. Of th</w:t>
      </w:r>
      <w:r>
        <w:t>e</w:t>
      </w:r>
      <w:r w:rsidRPr="00DB74CC">
        <w:t>se projects</w:t>
      </w:r>
      <w:r>
        <w:t>:</w:t>
      </w:r>
    </w:p>
    <w:p w14:paraId="22F3F91E" w14:textId="77777777" w:rsidR="00AC3C57" w:rsidRDefault="00AC3C57">
      <w:pPr>
        <w:pStyle w:val="ARbullet1"/>
      </w:pPr>
      <w:r w:rsidRPr="00DB74CC">
        <w:t>7 were in regional Victoria</w:t>
      </w:r>
      <w:r>
        <w:t>. These</w:t>
      </w:r>
      <w:r w:rsidRPr="00DB74CC">
        <w:t xml:space="preserve"> </w:t>
      </w:r>
      <w:r>
        <w:t>had</w:t>
      </w:r>
      <w:r w:rsidRPr="00DB74CC">
        <w:t xml:space="preserve"> an average commitment of 95% of local content</w:t>
      </w:r>
    </w:p>
    <w:p w14:paraId="04A8B996" w14:textId="77777777" w:rsidR="00AC3C57" w:rsidRDefault="00AC3C57">
      <w:pPr>
        <w:pStyle w:val="ARbullet1"/>
      </w:pPr>
      <w:r w:rsidRPr="00DB74CC">
        <w:t>6</w:t>
      </w:r>
      <w:r>
        <w:t xml:space="preserve"> were</w:t>
      </w:r>
      <w:r w:rsidRPr="00DB74CC">
        <w:t xml:space="preserve"> in metropolitan Melbourne</w:t>
      </w:r>
      <w:r>
        <w:t>. These had</w:t>
      </w:r>
      <w:r w:rsidRPr="00DB74CC">
        <w:t xml:space="preserve"> an average commitment of 63% local content</w:t>
      </w:r>
    </w:p>
    <w:p w14:paraId="57E4601F" w14:textId="0C9DF140" w:rsidR="00AC3C57" w:rsidRPr="00454CAF" w:rsidRDefault="00AC3C57">
      <w:pPr>
        <w:pStyle w:val="ARbullet1"/>
      </w:pPr>
      <w:r w:rsidRPr="00DB74CC">
        <w:t xml:space="preserve">9 </w:t>
      </w:r>
      <w:r>
        <w:t xml:space="preserve">were </w:t>
      </w:r>
      <w:r w:rsidRPr="00DB74CC">
        <w:t>statewide</w:t>
      </w:r>
      <w:r>
        <w:t xml:space="preserve"> projects. These had</w:t>
      </w:r>
      <w:r w:rsidRPr="00DB74CC">
        <w:t xml:space="preserve"> an average commitment of 94% local content. The</w:t>
      </w:r>
      <w:r w:rsidR="00286DD6">
        <w:t> </w:t>
      </w:r>
      <w:r w:rsidRPr="00DB74CC">
        <w:t>MPSG applied to 3 of these projects.</w:t>
      </w:r>
    </w:p>
    <w:p w14:paraId="6F485AAD" w14:textId="127BD351" w:rsidR="00AC3C57" w:rsidRPr="00DB74CC" w:rsidRDefault="008F053D" w:rsidP="008F053D">
      <w:pPr>
        <w:pStyle w:val="ARbodyafterbullets"/>
      </w:pPr>
      <w:r>
        <w:br w:type="column"/>
      </w:r>
      <w:r w:rsidR="00AC3C57" w:rsidRPr="00DB74CC">
        <w:t>The outcomes expected from</w:t>
      </w:r>
      <w:r w:rsidR="00AC3C57">
        <w:t xml:space="preserve"> these projects in relation to Local Jobs First are: </w:t>
      </w:r>
    </w:p>
    <w:p w14:paraId="45CBA1BF" w14:textId="77777777" w:rsidR="00AC3C57" w:rsidRPr="00DB74CC" w:rsidRDefault="00AC3C57">
      <w:pPr>
        <w:pStyle w:val="ARbullet1"/>
      </w:pPr>
      <w:r w:rsidRPr="00DB74CC">
        <w:t xml:space="preserve">an average of 91% of local content </w:t>
      </w:r>
    </w:p>
    <w:p w14:paraId="300902D1" w14:textId="77777777" w:rsidR="00AC3C57" w:rsidRPr="00DB74CC" w:rsidRDefault="00AC3C57">
      <w:pPr>
        <w:pStyle w:val="ARbullet1"/>
      </w:pPr>
      <w:r w:rsidRPr="00DB74CC">
        <w:t>261.74 annualised employee equivalent jobs (AEE)</w:t>
      </w:r>
      <w:r>
        <w:t>. This includes</w:t>
      </w:r>
      <w:r w:rsidRPr="00DB74CC">
        <w:t xml:space="preserve"> 134.88 new jobs and retention of 126.87 existing jobs (AEE)</w:t>
      </w:r>
    </w:p>
    <w:p w14:paraId="64BDCB03" w14:textId="77777777" w:rsidR="00AC3C57" w:rsidRPr="00DB74CC" w:rsidRDefault="00AC3C57">
      <w:pPr>
        <w:pStyle w:val="ARbullet1"/>
      </w:pPr>
      <w:r w:rsidRPr="00DB74CC">
        <w:t>44.06 positions for apprentices, trainees and cadets</w:t>
      </w:r>
      <w:r>
        <w:t xml:space="preserve">. This includes </w:t>
      </w:r>
      <w:r w:rsidRPr="00DB74CC">
        <w:t>34.11 new apprenticeships, traineeships and cadets</w:t>
      </w:r>
      <w:r>
        <w:t xml:space="preserve">. It also includes retaining the </w:t>
      </w:r>
      <w:r w:rsidRPr="00DB74CC">
        <w:t>remaining 9.95 existing apprenticeships, traineeships and cadets</w:t>
      </w:r>
    </w:p>
    <w:p w14:paraId="6022300B" w14:textId="77777777" w:rsidR="00AC3C57" w:rsidRPr="00DB74CC" w:rsidRDefault="00AC3C57">
      <w:pPr>
        <w:pStyle w:val="ARbullet1"/>
      </w:pPr>
      <w:r w:rsidRPr="00DB74CC">
        <w:t xml:space="preserve">MPSG-applicable projects </w:t>
      </w:r>
      <w:r>
        <w:t>will e</w:t>
      </w:r>
      <w:r w:rsidRPr="00DB74CC">
        <w:t>ngag</w:t>
      </w:r>
      <w:r>
        <w:t>e</w:t>
      </w:r>
      <w:r w:rsidRPr="00DB74CC">
        <w:t xml:space="preserve"> 2.75 apprentices, trainees and cadets</w:t>
      </w:r>
    </w:p>
    <w:p w14:paraId="1A99FCCD" w14:textId="77777777" w:rsidR="00AC3C57" w:rsidRPr="005238D8" w:rsidRDefault="00AC3C57">
      <w:pPr>
        <w:pStyle w:val="ARbullet1"/>
      </w:pPr>
      <w:r w:rsidRPr="00DB74CC">
        <w:t>1,509 small</w:t>
      </w:r>
      <w:r>
        <w:t>-</w:t>
      </w:r>
      <w:r w:rsidRPr="00DB74CC">
        <w:t xml:space="preserve"> to medium-sized businesses were engaged through the supply chain on Local Jobs First pro</w:t>
      </w:r>
      <w:r w:rsidRPr="005238D8">
        <w:t>jects.</w:t>
      </w:r>
    </w:p>
    <w:p w14:paraId="2084000B" w14:textId="77777777" w:rsidR="00AC3C57" w:rsidRPr="0008560B" w:rsidRDefault="00AC3C57">
      <w:pPr>
        <w:pStyle w:val="Heading3"/>
      </w:pPr>
      <w:r w:rsidRPr="0008560B">
        <w:t>Projects completed – Local Jobs First Standard</w:t>
      </w:r>
    </w:p>
    <w:p w14:paraId="030268FC" w14:textId="158E57F0" w:rsidR="00AC3C57" w:rsidRPr="000105DB" w:rsidRDefault="00AC3C57">
      <w:pPr>
        <w:pStyle w:val="ARbody"/>
      </w:pPr>
      <w:r>
        <w:t xml:space="preserve">During 2024–25, the department completed one Local Jobs First Standard project, totalling $1.20 million. This project was in regional Victoria. The </w:t>
      </w:r>
      <w:r w:rsidR="00DB2150">
        <w:t xml:space="preserve">MPSG </w:t>
      </w:r>
      <w:r>
        <w:t>did not apply to this project.</w:t>
      </w:r>
    </w:p>
    <w:p w14:paraId="0E824DDD" w14:textId="77777777" w:rsidR="00AC3C57" w:rsidRPr="000105DB" w:rsidRDefault="00AC3C57">
      <w:pPr>
        <w:pStyle w:val="ARbody"/>
      </w:pPr>
      <w:r>
        <w:t>The outcomes expected from this project in relation to Local Jobs First include:</w:t>
      </w:r>
    </w:p>
    <w:p w14:paraId="37F1C140" w14:textId="77777777" w:rsidR="00AC3C57" w:rsidRPr="00DB74CC" w:rsidRDefault="00AC3C57">
      <w:pPr>
        <w:pStyle w:val="ARbullet1"/>
      </w:pPr>
      <w:r w:rsidRPr="00DB74CC">
        <w:t xml:space="preserve">82.62% local content </w:t>
      </w:r>
    </w:p>
    <w:p w14:paraId="508F73F0" w14:textId="77777777" w:rsidR="00AC3C57" w:rsidRPr="00D135A0" w:rsidRDefault="00AC3C57">
      <w:pPr>
        <w:pStyle w:val="ARbullet1"/>
      </w:pPr>
      <w:r w:rsidRPr="00DB74CC">
        <w:t>129 small to medium-sized businesses were engaged through the supply chain</w:t>
      </w:r>
      <w:r>
        <w:t>.</w:t>
      </w:r>
    </w:p>
    <w:p w14:paraId="2A5FA72A" w14:textId="77777777" w:rsidR="00AC3C57" w:rsidRPr="00CE72C2" w:rsidRDefault="00AC3C57" w:rsidP="008F053D">
      <w:pPr>
        <w:pStyle w:val="Heading3"/>
      </w:pPr>
      <w:r w:rsidRPr="00CE72C2">
        <w:t>Projects commenced – Local </w:t>
      </w:r>
      <w:r w:rsidRPr="008F053D">
        <w:t>Jobs</w:t>
      </w:r>
      <w:r w:rsidRPr="00CE72C2">
        <w:t xml:space="preserve"> First Strategic</w:t>
      </w:r>
    </w:p>
    <w:p w14:paraId="329CBC18" w14:textId="77777777" w:rsidR="00AC3C57" w:rsidRDefault="00AC3C57">
      <w:pPr>
        <w:pStyle w:val="ARbody"/>
      </w:pPr>
      <w:r w:rsidRPr="009B12A9">
        <w:t xml:space="preserve">During 2024–25, the department commenced </w:t>
      </w:r>
      <w:r>
        <w:t>8</w:t>
      </w:r>
      <w:r w:rsidRPr="009B12A9">
        <w:t xml:space="preserve"> Local Jobs First Strategic </w:t>
      </w:r>
      <w:r>
        <w:t>p</w:t>
      </w:r>
      <w:r w:rsidRPr="009B12A9">
        <w:t>rojects</w:t>
      </w:r>
      <w:r>
        <w:t>. These were</w:t>
      </w:r>
      <w:r w:rsidRPr="009B12A9">
        <w:t xml:space="preserve"> valued at $</w:t>
      </w:r>
      <w:r>
        <w:t>327.62</w:t>
      </w:r>
      <w:r w:rsidRPr="009B12A9">
        <w:t xml:space="preserve"> million. </w:t>
      </w:r>
    </w:p>
    <w:p w14:paraId="41E8A349" w14:textId="35162387" w:rsidR="008F053D" w:rsidRDefault="00AC3C57">
      <w:pPr>
        <w:pStyle w:val="ARbody"/>
      </w:pPr>
      <w:r w:rsidRPr="009B12A9">
        <w:t>Of th</w:t>
      </w:r>
      <w:r>
        <w:t>e</w:t>
      </w:r>
      <w:r w:rsidRPr="009B12A9">
        <w:t>se projects</w:t>
      </w:r>
      <w:r>
        <w:t>, 3</w:t>
      </w:r>
      <w:r w:rsidRPr="009B12A9">
        <w:t xml:space="preserve"> </w:t>
      </w:r>
      <w:r>
        <w:t xml:space="preserve">were </w:t>
      </w:r>
      <w:r w:rsidRPr="009B12A9">
        <w:t xml:space="preserve">in metropolitan Melbourne and </w:t>
      </w:r>
      <w:r>
        <w:t>5</w:t>
      </w:r>
      <w:r w:rsidRPr="009B12A9">
        <w:t xml:space="preserve"> </w:t>
      </w:r>
      <w:r>
        <w:t xml:space="preserve">were </w:t>
      </w:r>
      <w:r w:rsidRPr="009B12A9">
        <w:t>statewide</w:t>
      </w:r>
      <w:r>
        <w:t>. Together, they had</w:t>
      </w:r>
      <w:r w:rsidRPr="009B12A9">
        <w:t xml:space="preserve"> an average commitment of </w:t>
      </w:r>
      <w:r>
        <w:t>93</w:t>
      </w:r>
      <w:r w:rsidRPr="009B12A9">
        <w:t xml:space="preserve">% local content. The MPSG applied to </w:t>
      </w:r>
      <w:r>
        <w:t>5</w:t>
      </w:r>
      <w:r w:rsidRPr="009B12A9">
        <w:t xml:space="preserve"> of these projects.</w:t>
      </w:r>
      <w:r w:rsidR="008F053D">
        <w:br w:type="page"/>
      </w:r>
    </w:p>
    <w:p w14:paraId="14CCF4B3" w14:textId="77777777" w:rsidR="00AC3C57" w:rsidRPr="009B12A9" w:rsidRDefault="00AC3C57">
      <w:pPr>
        <w:pStyle w:val="ARbody"/>
      </w:pPr>
      <w:r w:rsidRPr="009B12A9">
        <w:lastRenderedPageBreak/>
        <w:t xml:space="preserve">The outcomes expected from </w:t>
      </w:r>
      <w:r>
        <w:t>these projects in relation to Local Jobs First include:</w:t>
      </w:r>
    </w:p>
    <w:p w14:paraId="15D42DF4" w14:textId="241299A5" w:rsidR="00AC3C57" w:rsidRPr="00DE1428" w:rsidRDefault="00AC3C57">
      <w:pPr>
        <w:pStyle w:val="ARbullet1"/>
      </w:pPr>
      <w:r w:rsidRPr="00DE1428">
        <w:t>452.61 AEE</w:t>
      </w:r>
      <w:r>
        <w:t>. This includes</w:t>
      </w:r>
      <w:r w:rsidRPr="00DE1428">
        <w:t xml:space="preserve"> 99.65 new jobs and retention of 352.95 existing jobs (AEE)</w:t>
      </w:r>
    </w:p>
    <w:p w14:paraId="07F3A297" w14:textId="77777777" w:rsidR="00AC3C57" w:rsidRPr="00DE1428" w:rsidRDefault="00AC3C57">
      <w:pPr>
        <w:pStyle w:val="ARbullet1"/>
      </w:pPr>
      <w:r w:rsidRPr="00DE1428">
        <w:t>56.51 positions for apprentices, trainees and cadets</w:t>
      </w:r>
      <w:r>
        <w:t xml:space="preserve">. This includes </w:t>
      </w:r>
      <w:r w:rsidRPr="00DE1428">
        <w:t>22.59 new apprenticeships, traineeships and cadets</w:t>
      </w:r>
      <w:r>
        <w:t>.</w:t>
      </w:r>
      <w:r w:rsidRPr="00DE1428">
        <w:t xml:space="preserve"> </w:t>
      </w:r>
      <w:r>
        <w:t>It also includes retention of</w:t>
      </w:r>
      <w:r w:rsidRPr="00DE1428">
        <w:t xml:space="preserve"> 33.92 existing apprenticeships, traineeships and cadets</w:t>
      </w:r>
    </w:p>
    <w:p w14:paraId="28B13022" w14:textId="14BC5A45" w:rsidR="00AC3C57" w:rsidRDefault="00AC3C57">
      <w:pPr>
        <w:pStyle w:val="ARbullet1"/>
      </w:pPr>
      <w:r w:rsidRPr="00DE1428">
        <w:t xml:space="preserve">MPSG-applicable projects </w:t>
      </w:r>
      <w:r>
        <w:t>will engage</w:t>
      </w:r>
      <w:r w:rsidRPr="00DE1428">
        <w:t xml:space="preserve"> 56.05</w:t>
      </w:r>
      <w:r w:rsidR="00286DD6">
        <w:t> </w:t>
      </w:r>
      <w:r w:rsidRPr="00DE1428">
        <w:t>apprentices, trainees and cadets</w:t>
      </w:r>
    </w:p>
    <w:p w14:paraId="30904173" w14:textId="77777777" w:rsidR="00AC3C57" w:rsidRDefault="00AC3C57">
      <w:pPr>
        <w:pStyle w:val="ARbullet1"/>
      </w:pPr>
      <w:r w:rsidRPr="003E6733">
        <w:t>1</w:t>
      </w:r>
      <w:r>
        <w:t>,</w:t>
      </w:r>
      <w:r w:rsidRPr="003E6733">
        <w:t>765 small to medium-sized businesses were engaged through the supply chain on Local Jobs First projects.</w:t>
      </w:r>
    </w:p>
    <w:p w14:paraId="292B9BFD" w14:textId="77777777" w:rsidR="00AC3C57" w:rsidRPr="003E6733" w:rsidRDefault="00AC3C57">
      <w:pPr>
        <w:pStyle w:val="Heading3"/>
      </w:pPr>
      <w:bookmarkStart w:id="159" w:name="_Ref178664015"/>
      <w:r w:rsidRPr="00CD2B42">
        <w:t>Projects completed – Local Jobs First Strategic</w:t>
      </w:r>
      <w:bookmarkEnd w:id="159"/>
    </w:p>
    <w:p w14:paraId="090C1021" w14:textId="77777777" w:rsidR="00AC3C57" w:rsidRPr="00E6683A" w:rsidRDefault="00AC3C57">
      <w:pPr>
        <w:pStyle w:val="ARbullet1"/>
        <w:numPr>
          <w:ilvl w:val="0"/>
          <w:numId w:val="0"/>
        </w:numPr>
      </w:pPr>
      <w:r w:rsidRPr="00E6683A">
        <w:t>No</w:t>
      </w:r>
      <w:r>
        <w:t xml:space="preserve"> </w:t>
      </w:r>
      <w:r w:rsidRPr="00E6683A">
        <w:t xml:space="preserve">Local Jobs First Strategic </w:t>
      </w:r>
      <w:r>
        <w:t>p</w:t>
      </w:r>
      <w:r w:rsidRPr="00E6683A">
        <w:t>rojects were completed during 2024–25.</w:t>
      </w:r>
    </w:p>
    <w:p w14:paraId="2ED385F3" w14:textId="77777777" w:rsidR="00AC3C57" w:rsidRPr="00C44AAC" w:rsidRDefault="00AC3C57">
      <w:pPr>
        <w:pStyle w:val="Heading3"/>
      </w:pPr>
      <w:r w:rsidRPr="00C44AAC">
        <w:t>Reporting requirements – grants</w:t>
      </w:r>
    </w:p>
    <w:p w14:paraId="03C68B74" w14:textId="77777777" w:rsidR="00AC3C57" w:rsidRDefault="00AC3C57">
      <w:pPr>
        <w:pStyle w:val="ARbody"/>
        <w:sectPr w:rsidR="00AC3C57" w:rsidSect="007F43B1">
          <w:headerReference w:type="even" r:id="rId89"/>
          <w:footerReference w:type="even" r:id="rId90"/>
          <w:footerReference w:type="default" r:id="rId91"/>
          <w:headerReference w:type="first" r:id="rId92"/>
          <w:footerReference w:type="first" r:id="rId93"/>
          <w:endnotePr>
            <w:numFmt w:val="decimal"/>
          </w:endnotePr>
          <w:type w:val="continuous"/>
          <w:pgSz w:w="11900" w:h="16840" w:code="9"/>
          <w:pgMar w:top="1588" w:right="1134" w:bottom="851" w:left="1134" w:header="510" w:footer="340" w:gutter="0"/>
          <w:cols w:num="2" w:space="454"/>
          <w:docGrid w:linePitch="326"/>
        </w:sectPr>
      </w:pPr>
      <w:r w:rsidRPr="00C44AAC">
        <w:t>For grants provided during 202</w:t>
      </w:r>
      <w:r>
        <w:t>4</w:t>
      </w:r>
      <w:r w:rsidRPr="00C44AAC">
        <w:t>–2</w:t>
      </w:r>
      <w:r>
        <w:t>5</w:t>
      </w:r>
      <w:r w:rsidRPr="00C44AAC">
        <w:t>, no interaction reference numbers were required.</w:t>
      </w:r>
    </w:p>
    <w:p w14:paraId="72E0A240" w14:textId="77777777" w:rsidR="00AC3C57" w:rsidRPr="00717E43" w:rsidRDefault="00AC3C57" w:rsidP="00BB645D">
      <w:pPr>
        <w:pStyle w:val="Heading2"/>
        <w:rPr>
          <w:highlight w:val="cyan"/>
        </w:rPr>
      </w:pPr>
      <w:bookmarkStart w:id="160" w:name="_Competitive_neutrality_policy"/>
      <w:bookmarkStart w:id="161" w:name="_Toc149587051"/>
      <w:bookmarkStart w:id="162" w:name="_Toc212039537"/>
      <w:bookmarkEnd w:id="160"/>
      <w:r w:rsidRPr="002F6316">
        <w:t xml:space="preserve">Competitive neutrality </w:t>
      </w:r>
      <w:r w:rsidRPr="00BB645D">
        <w:t>policy</w:t>
      </w:r>
      <w:bookmarkEnd w:id="161"/>
      <w:bookmarkEnd w:id="162"/>
    </w:p>
    <w:p w14:paraId="2EBD6B89" w14:textId="77777777" w:rsidR="00AC3C57" w:rsidRPr="00717E43" w:rsidRDefault="00AC3C57">
      <w:pPr>
        <w:pStyle w:val="Heading2"/>
        <w:rPr>
          <w:highlight w:val="cyan"/>
        </w:rPr>
        <w:sectPr w:rsidR="00AC3C57" w:rsidRPr="00717E43" w:rsidSect="007F43B1">
          <w:headerReference w:type="even" r:id="rId94"/>
          <w:headerReference w:type="default" r:id="rId95"/>
          <w:footerReference w:type="even" r:id="rId96"/>
          <w:footerReference w:type="default" r:id="rId97"/>
          <w:headerReference w:type="first" r:id="rId98"/>
          <w:footerReference w:type="first" r:id="rId99"/>
          <w:endnotePr>
            <w:numFmt w:val="decimal"/>
          </w:endnotePr>
          <w:type w:val="continuous"/>
          <w:pgSz w:w="11900" w:h="16840" w:code="9"/>
          <w:pgMar w:top="1588" w:right="1134" w:bottom="851" w:left="1134" w:header="510" w:footer="340" w:gutter="0"/>
          <w:cols w:space="454"/>
          <w:docGrid w:linePitch="326"/>
        </w:sectPr>
      </w:pPr>
    </w:p>
    <w:p w14:paraId="47269797" w14:textId="1BD663CC" w:rsidR="00AC3C57" w:rsidRDefault="00AC3C57">
      <w:pPr>
        <w:pStyle w:val="ARbody"/>
      </w:pPr>
      <w:r w:rsidRPr="002F6316">
        <w:t xml:space="preserve">Competitive neutrality </w:t>
      </w:r>
      <w:r>
        <w:t>is making sure government businesses do not have an unfair advantage over private businesses. It means that if a</w:t>
      </w:r>
      <w:r w:rsidRPr="002F6316">
        <w:t xml:space="preserve"> </w:t>
      </w:r>
      <w:r>
        <w:t xml:space="preserve">government </w:t>
      </w:r>
      <w:r w:rsidRPr="002F6316">
        <w:t>service compete</w:t>
      </w:r>
      <w:r>
        <w:t xml:space="preserve">s </w:t>
      </w:r>
      <w:r w:rsidRPr="002F6316">
        <w:t xml:space="preserve">with the private sector, any advantage arising solely from government ownership </w:t>
      </w:r>
      <w:r>
        <w:t xml:space="preserve">must </w:t>
      </w:r>
      <w:r w:rsidRPr="002F6316">
        <w:t xml:space="preserve">be removed if it is not in the public interest. Government businesses </w:t>
      </w:r>
      <w:r>
        <w:t>must</w:t>
      </w:r>
      <w:r w:rsidRPr="002F6316">
        <w:t> cost and price these services as if they were privately</w:t>
      </w:r>
      <w:r w:rsidR="00242C36">
        <w:t> </w:t>
      </w:r>
      <w:r w:rsidRPr="002F6316">
        <w:t>owned.</w:t>
      </w:r>
      <w:r w:rsidR="00B41F2A">
        <w:br w:type="column"/>
      </w:r>
      <w:r>
        <w:t>The c</w:t>
      </w:r>
      <w:r w:rsidRPr="002F6316">
        <w:t>ompetitive neutrality policy supports fair competition between public and private businesses</w:t>
      </w:r>
      <w:r>
        <w:t xml:space="preserve">. It </w:t>
      </w:r>
      <w:r w:rsidRPr="002F6316">
        <w:t>provides government businesses</w:t>
      </w:r>
      <w:r>
        <w:t xml:space="preserve"> </w:t>
      </w:r>
      <w:r w:rsidRPr="002F6316">
        <w:t xml:space="preserve">with a tool to </w:t>
      </w:r>
      <w:r>
        <w:t>make</w:t>
      </w:r>
      <w:r w:rsidRPr="002F6316">
        <w:t xml:space="preserve"> decisions </w:t>
      </w:r>
      <w:r>
        <w:t>about</w:t>
      </w:r>
      <w:r w:rsidRPr="002F6316">
        <w:t xml:space="preserve"> resource allocation. This</w:t>
      </w:r>
      <w:r>
        <w:t xml:space="preserve"> </w:t>
      </w:r>
      <w:r w:rsidRPr="002F6316">
        <w:t>policy does not override other policy objectives of government</w:t>
      </w:r>
      <w:r>
        <w:t xml:space="preserve">. It </w:t>
      </w:r>
      <w:r w:rsidRPr="002F6316">
        <w:t>focuses on efficiency in the provision of service.</w:t>
      </w:r>
    </w:p>
    <w:p w14:paraId="2E9252D9" w14:textId="77777777" w:rsidR="00AC3C57" w:rsidRDefault="00AC3C57">
      <w:pPr>
        <w:pStyle w:val="ARbody"/>
      </w:pPr>
      <w:r>
        <w:t>The department ensures Victoria fulfils its requirements on competitive neutrality reporting. This is required under the Competition Principles Agreement and Competition and Infrastructure Reform Agreement.</w:t>
      </w:r>
    </w:p>
    <w:p w14:paraId="3E812440" w14:textId="77777777" w:rsidR="00AC3C57" w:rsidRDefault="00AC3C57">
      <w:pPr>
        <w:pStyle w:val="ARbody"/>
      </w:pPr>
    </w:p>
    <w:p w14:paraId="7B5887C8" w14:textId="77777777" w:rsidR="00AC3C57" w:rsidRDefault="00AC3C57">
      <w:pPr>
        <w:pStyle w:val="ARbody"/>
        <w:sectPr w:rsidR="00AC3C57" w:rsidSect="007F43B1">
          <w:endnotePr>
            <w:numFmt w:val="decimal"/>
          </w:endnotePr>
          <w:type w:val="continuous"/>
          <w:pgSz w:w="11900" w:h="16840" w:code="9"/>
          <w:pgMar w:top="1588" w:right="1134" w:bottom="851" w:left="1134" w:header="510" w:footer="340" w:gutter="0"/>
          <w:cols w:num="2" w:space="454"/>
          <w:docGrid w:linePitch="326"/>
        </w:sectPr>
      </w:pPr>
    </w:p>
    <w:p w14:paraId="0E5E1060" w14:textId="77777777" w:rsidR="00AC3C57" w:rsidRPr="007C7AC0" w:rsidRDefault="00AC3C57" w:rsidP="0084661C">
      <w:pPr>
        <w:pStyle w:val="Heading2"/>
        <w:spacing w:before="0"/>
      </w:pPr>
      <w:bookmarkStart w:id="163" w:name="_Government_advertising_expenditure"/>
      <w:bookmarkStart w:id="164" w:name="_Toc114491207"/>
      <w:bookmarkStart w:id="165" w:name="_Toc149587056"/>
      <w:bookmarkStart w:id="166" w:name="_Toc212039538"/>
      <w:bookmarkEnd w:id="163"/>
      <w:r w:rsidRPr="007C7AC0">
        <w:lastRenderedPageBreak/>
        <w:t>Government advertising expenditure</w:t>
      </w:r>
      <w:bookmarkEnd w:id="164"/>
      <w:bookmarkEnd w:id="165"/>
      <w:bookmarkEnd w:id="166"/>
    </w:p>
    <w:p w14:paraId="49A6EB25" w14:textId="77777777" w:rsidR="00AC3C57" w:rsidRPr="007C7AC0" w:rsidRDefault="00AC3C57">
      <w:pPr>
        <w:pStyle w:val="ARbody"/>
      </w:pPr>
      <w:r>
        <w:t>For the 2024–25 reporting period, there were 4 government advertising campaigns with total media spend of $100,000 or greater (exclusive of GST). Table 8 sets out details of the campaigns.</w:t>
      </w:r>
    </w:p>
    <w:p w14:paraId="2397D418" w14:textId="77777777" w:rsidR="00AC3C57" w:rsidRPr="007C7AC0" w:rsidRDefault="00AC3C57">
      <w:pPr>
        <w:pStyle w:val="ARtablecaption"/>
      </w:pPr>
      <w:r w:rsidRPr="007C7AC0">
        <w:t xml:space="preserve">Table 8: Details of government advertising </w:t>
      </w:r>
      <w:r w:rsidRPr="00C22CED">
        <w:t>expenditure</w:t>
      </w:r>
    </w:p>
    <w:tbl>
      <w:tblPr>
        <w:tblStyle w:val="TableGrid"/>
        <w:tblW w:w="14595" w:type="dxa"/>
        <w:tblLayout w:type="fixed"/>
        <w:tblLook w:val="06E0" w:firstRow="1" w:lastRow="1" w:firstColumn="1" w:lastColumn="0" w:noHBand="1" w:noVBand="1"/>
      </w:tblPr>
      <w:tblGrid>
        <w:gridCol w:w="2410"/>
        <w:gridCol w:w="2268"/>
        <w:gridCol w:w="1413"/>
        <w:gridCol w:w="1417"/>
        <w:gridCol w:w="1418"/>
        <w:gridCol w:w="1417"/>
        <w:gridCol w:w="1417"/>
        <w:gridCol w:w="1276"/>
        <w:gridCol w:w="1559"/>
      </w:tblGrid>
      <w:tr w:rsidR="00737EC8" w:rsidRPr="0021427F" w14:paraId="68121217" w14:textId="77777777" w:rsidTr="0084661C">
        <w:trPr>
          <w:cnfStyle w:val="100000000000" w:firstRow="1" w:lastRow="0" w:firstColumn="0" w:lastColumn="0" w:oddVBand="0" w:evenVBand="0" w:oddHBand="0" w:evenHBand="0" w:firstRowFirstColumn="0" w:firstRowLastColumn="0" w:lastRowFirstColumn="0" w:lastRowLastColumn="0"/>
          <w:trHeight w:val="300"/>
          <w:tblHeader/>
        </w:trPr>
        <w:tc>
          <w:tcPr>
            <w:tcW w:w="2410" w:type="dxa"/>
          </w:tcPr>
          <w:p w14:paraId="12B0548B" w14:textId="77777777" w:rsidR="00AC3C57" w:rsidRPr="00CC45F4" w:rsidRDefault="00AC3C57">
            <w:pPr>
              <w:pStyle w:val="ARtablecolhead"/>
            </w:pPr>
            <w:r w:rsidRPr="00CC45F4">
              <w:t>Name of campaign</w:t>
            </w:r>
          </w:p>
        </w:tc>
        <w:tc>
          <w:tcPr>
            <w:tcW w:w="2268" w:type="dxa"/>
            <w:shd w:val="clear" w:color="auto" w:fill="E7E6E6" w:themeFill="background2"/>
            <w:tcMar>
              <w:left w:w="113" w:type="dxa"/>
            </w:tcMar>
          </w:tcPr>
          <w:p w14:paraId="11A81857" w14:textId="77777777" w:rsidR="00AC3C57" w:rsidRPr="00CC45F4" w:rsidRDefault="00AC3C57">
            <w:pPr>
              <w:pStyle w:val="ARtablecolhead"/>
            </w:pPr>
            <w:r w:rsidRPr="00CC45F4">
              <w:t>Campaign summary</w:t>
            </w:r>
          </w:p>
        </w:tc>
        <w:tc>
          <w:tcPr>
            <w:tcW w:w="1413" w:type="dxa"/>
            <w:tcMar>
              <w:left w:w="113" w:type="dxa"/>
            </w:tcMar>
          </w:tcPr>
          <w:p w14:paraId="78BA6BC9" w14:textId="77777777" w:rsidR="00AC3C57" w:rsidRPr="00286DD6" w:rsidRDefault="00AC3C57" w:rsidP="00286DD6">
            <w:pPr>
              <w:pStyle w:val="ARtablecolheadright"/>
            </w:pPr>
            <w:r w:rsidRPr="00286DD6">
              <w:t>Start/end date</w:t>
            </w:r>
          </w:p>
        </w:tc>
        <w:tc>
          <w:tcPr>
            <w:tcW w:w="1417" w:type="dxa"/>
            <w:shd w:val="clear" w:color="auto" w:fill="E7E6E6" w:themeFill="background2"/>
          </w:tcPr>
          <w:p w14:paraId="4F65D143" w14:textId="77777777" w:rsidR="00B62650" w:rsidRDefault="00AC3C57" w:rsidP="00286DD6">
            <w:pPr>
              <w:pStyle w:val="ARtablecolheadright"/>
            </w:pPr>
            <w:r w:rsidRPr="00286DD6">
              <w:t>Advertising (media) expenditure</w:t>
            </w:r>
          </w:p>
          <w:p w14:paraId="22C60857" w14:textId="1019E5CA" w:rsidR="00AC3C57" w:rsidRPr="00286DD6" w:rsidRDefault="00AC3C57" w:rsidP="00286DD6">
            <w:pPr>
              <w:pStyle w:val="ARtablecolheadright"/>
            </w:pPr>
            <w:r w:rsidRPr="00286DD6">
              <w:t>($ excl. GST)</w:t>
            </w:r>
          </w:p>
        </w:tc>
        <w:tc>
          <w:tcPr>
            <w:tcW w:w="1418" w:type="dxa"/>
          </w:tcPr>
          <w:p w14:paraId="35078314" w14:textId="77777777" w:rsidR="00B62650" w:rsidRDefault="00AC3C57" w:rsidP="00286DD6">
            <w:pPr>
              <w:pStyle w:val="ARtablecolheadright"/>
            </w:pPr>
            <w:r w:rsidRPr="00286DD6">
              <w:t>Creative and campaign development expenditure</w:t>
            </w:r>
          </w:p>
          <w:p w14:paraId="223AB112" w14:textId="78A65186" w:rsidR="00AC3C57" w:rsidRPr="00286DD6" w:rsidRDefault="00AC3C57" w:rsidP="00286DD6">
            <w:pPr>
              <w:pStyle w:val="ARtablecolheadright"/>
            </w:pPr>
            <w:r w:rsidRPr="00286DD6">
              <w:t>($ excl. GST)</w:t>
            </w:r>
          </w:p>
        </w:tc>
        <w:tc>
          <w:tcPr>
            <w:tcW w:w="1417" w:type="dxa"/>
            <w:shd w:val="clear" w:color="auto" w:fill="E7E6E6" w:themeFill="background2"/>
          </w:tcPr>
          <w:p w14:paraId="767E7FEC" w14:textId="77777777" w:rsidR="00B62650" w:rsidRDefault="00AC3C57" w:rsidP="00286DD6">
            <w:pPr>
              <w:pStyle w:val="ARtablecolheadright"/>
            </w:pPr>
            <w:r w:rsidRPr="00286DD6">
              <w:t>Research and evaluation expenditure</w:t>
            </w:r>
          </w:p>
          <w:p w14:paraId="40A7D39C" w14:textId="6BBEFCF3" w:rsidR="00AC3C57" w:rsidRPr="00286DD6" w:rsidRDefault="00AC3C57" w:rsidP="00286DD6">
            <w:pPr>
              <w:pStyle w:val="ARtablecolheadright"/>
            </w:pPr>
            <w:r w:rsidRPr="00286DD6">
              <w:t>($ excl. GST)</w:t>
            </w:r>
          </w:p>
        </w:tc>
        <w:tc>
          <w:tcPr>
            <w:tcW w:w="1417" w:type="dxa"/>
          </w:tcPr>
          <w:p w14:paraId="31C18396" w14:textId="77777777" w:rsidR="0070614F" w:rsidRDefault="00AC3C57" w:rsidP="00286DD6">
            <w:pPr>
              <w:pStyle w:val="ARtablecolheadright"/>
            </w:pPr>
            <w:r w:rsidRPr="00286DD6">
              <w:t>Print and collateral expenditure</w:t>
            </w:r>
          </w:p>
          <w:p w14:paraId="016DD9DF" w14:textId="67E1D9F2" w:rsidR="00AC3C57" w:rsidRPr="00286DD6" w:rsidRDefault="00AC3C57" w:rsidP="00286DD6">
            <w:pPr>
              <w:pStyle w:val="ARtablecolheadright"/>
            </w:pPr>
            <w:r w:rsidRPr="00286DD6">
              <w:t>($ excl. GST)</w:t>
            </w:r>
          </w:p>
        </w:tc>
        <w:tc>
          <w:tcPr>
            <w:tcW w:w="1276" w:type="dxa"/>
            <w:shd w:val="clear" w:color="auto" w:fill="E7E6E6" w:themeFill="background2"/>
          </w:tcPr>
          <w:p w14:paraId="53578D38" w14:textId="77777777" w:rsidR="0070614F" w:rsidRDefault="00AC3C57" w:rsidP="00286DD6">
            <w:pPr>
              <w:pStyle w:val="ARtablecolheadright"/>
            </w:pPr>
            <w:r w:rsidRPr="00286DD6">
              <w:t>Other campaign expenditure</w:t>
            </w:r>
          </w:p>
          <w:p w14:paraId="6E4BFD73" w14:textId="7E8F1CFA" w:rsidR="00AC3C57" w:rsidRPr="00286DD6" w:rsidRDefault="00AC3C57" w:rsidP="00286DD6">
            <w:pPr>
              <w:pStyle w:val="ARtablecolheadright"/>
            </w:pPr>
            <w:r w:rsidRPr="00286DD6">
              <w:t>($ excl. GST)</w:t>
            </w:r>
          </w:p>
        </w:tc>
        <w:tc>
          <w:tcPr>
            <w:tcW w:w="1559" w:type="dxa"/>
          </w:tcPr>
          <w:p w14:paraId="5E6E9C66" w14:textId="77777777" w:rsidR="0070614F" w:rsidRDefault="00AC3C57" w:rsidP="00286DD6">
            <w:pPr>
              <w:pStyle w:val="ARtablecolheadright"/>
            </w:pPr>
            <w:r w:rsidRPr="00286DD6">
              <w:t>Total</w:t>
            </w:r>
          </w:p>
          <w:p w14:paraId="744722E1" w14:textId="5472EFB6" w:rsidR="00AC3C57" w:rsidRPr="00286DD6" w:rsidRDefault="00AC3C57" w:rsidP="00286DD6">
            <w:pPr>
              <w:pStyle w:val="ARtablecolheadright"/>
            </w:pPr>
            <w:r w:rsidRPr="00286DD6">
              <w:t>($ excl. GST)</w:t>
            </w:r>
          </w:p>
        </w:tc>
      </w:tr>
      <w:tr w:rsidR="00AC3C57" w14:paraId="136EE82D" w14:textId="77777777" w:rsidTr="0084661C">
        <w:trPr>
          <w:cantSplit w:val="0"/>
          <w:trHeight w:val="300"/>
        </w:trPr>
        <w:tc>
          <w:tcPr>
            <w:tcW w:w="2410" w:type="dxa"/>
          </w:tcPr>
          <w:p w14:paraId="184CDC0B" w14:textId="77777777" w:rsidR="00AC3C57" w:rsidRDefault="00AC3C57">
            <w:pPr>
              <w:pStyle w:val="ARfintablebody"/>
            </w:pPr>
            <w:r>
              <w:t>Go Where You’re Needed</w:t>
            </w:r>
          </w:p>
        </w:tc>
        <w:tc>
          <w:tcPr>
            <w:tcW w:w="2268" w:type="dxa"/>
            <w:shd w:val="clear" w:color="auto" w:fill="E7E6E6" w:themeFill="background2"/>
            <w:tcMar>
              <w:left w:w="113" w:type="dxa"/>
            </w:tcMar>
          </w:tcPr>
          <w:p w14:paraId="57A243BF" w14:textId="77777777" w:rsidR="00AC3C57" w:rsidRDefault="00AC3C57">
            <w:pPr>
              <w:pStyle w:val="ARfintablebody"/>
            </w:pPr>
            <w:r>
              <w:t>Child protection workforce recruitment campaign</w:t>
            </w:r>
          </w:p>
        </w:tc>
        <w:tc>
          <w:tcPr>
            <w:tcW w:w="1413" w:type="dxa"/>
            <w:tcMar>
              <w:left w:w="113" w:type="dxa"/>
            </w:tcMar>
          </w:tcPr>
          <w:p w14:paraId="070DE79B" w14:textId="77777777" w:rsidR="00AC3C57" w:rsidRPr="0084661C" w:rsidRDefault="00AC3C57" w:rsidP="0084661C">
            <w:pPr>
              <w:pStyle w:val="ARfintablebodyright"/>
            </w:pPr>
            <w:r w:rsidRPr="0084661C">
              <w:t>16/03/2025 –13/04/2025</w:t>
            </w:r>
          </w:p>
        </w:tc>
        <w:tc>
          <w:tcPr>
            <w:tcW w:w="1417" w:type="dxa"/>
            <w:shd w:val="clear" w:color="auto" w:fill="E7E6E6" w:themeFill="background2"/>
          </w:tcPr>
          <w:p w14:paraId="3B7AEA65" w14:textId="77777777" w:rsidR="00AC3C57" w:rsidRDefault="00AC3C57">
            <w:pPr>
              <w:pStyle w:val="ARfintablebodyright"/>
              <w:rPr>
                <w:highlight w:val="yellow"/>
              </w:rPr>
            </w:pPr>
            <w:r>
              <w:t>$175,000</w:t>
            </w:r>
          </w:p>
        </w:tc>
        <w:tc>
          <w:tcPr>
            <w:tcW w:w="1418" w:type="dxa"/>
          </w:tcPr>
          <w:p w14:paraId="757EEA4C" w14:textId="77777777" w:rsidR="00AC3C57" w:rsidRDefault="00AC3C57">
            <w:pPr>
              <w:pStyle w:val="ARfintablebodyright"/>
            </w:pPr>
            <w:r>
              <w:t>$0</w:t>
            </w:r>
          </w:p>
        </w:tc>
        <w:tc>
          <w:tcPr>
            <w:tcW w:w="1417" w:type="dxa"/>
            <w:shd w:val="clear" w:color="auto" w:fill="E7E6E6" w:themeFill="background2"/>
          </w:tcPr>
          <w:p w14:paraId="20EF5C00" w14:textId="77777777" w:rsidR="00AC3C57" w:rsidRDefault="00AC3C57">
            <w:pPr>
              <w:pStyle w:val="ARfintablebodyright"/>
            </w:pPr>
            <w:r>
              <w:t>$0</w:t>
            </w:r>
          </w:p>
        </w:tc>
        <w:tc>
          <w:tcPr>
            <w:tcW w:w="1417" w:type="dxa"/>
          </w:tcPr>
          <w:p w14:paraId="19A91F2E" w14:textId="77777777" w:rsidR="00AC3C57" w:rsidRDefault="00AC3C57">
            <w:pPr>
              <w:pStyle w:val="ARfintablebodyright"/>
            </w:pPr>
            <w:r>
              <w:t>$0</w:t>
            </w:r>
          </w:p>
        </w:tc>
        <w:tc>
          <w:tcPr>
            <w:tcW w:w="1276" w:type="dxa"/>
            <w:shd w:val="clear" w:color="auto" w:fill="E7E6E6" w:themeFill="background2"/>
          </w:tcPr>
          <w:p w14:paraId="081DDD83" w14:textId="77777777" w:rsidR="00AC3C57" w:rsidRDefault="00AC3C57">
            <w:pPr>
              <w:pStyle w:val="ARfintablebodyright"/>
            </w:pPr>
            <w:r>
              <w:t>$0</w:t>
            </w:r>
          </w:p>
        </w:tc>
        <w:tc>
          <w:tcPr>
            <w:tcW w:w="1559" w:type="dxa"/>
          </w:tcPr>
          <w:p w14:paraId="7CC7AE19" w14:textId="77777777" w:rsidR="00AC3C57" w:rsidRDefault="00AC3C57">
            <w:pPr>
              <w:pStyle w:val="ARfintablebodyright"/>
            </w:pPr>
            <w:r>
              <w:t>$175,000</w:t>
            </w:r>
          </w:p>
        </w:tc>
      </w:tr>
      <w:tr w:rsidR="00AC3C57" w14:paraId="2E3858B4" w14:textId="77777777" w:rsidTr="0084661C">
        <w:trPr>
          <w:cantSplit w:val="0"/>
          <w:trHeight w:val="300"/>
        </w:trPr>
        <w:tc>
          <w:tcPr>
            <w:tcW w:w="2410" w:type="dxa"/>
            <w:tcBorders>
              <w:bottom w:val="single" w:sz="4" w:space="0" w:color="A6A6A6" w:themeColor="accent5"/>
            </w:tcBorders>
          </w:tcPr>
          <w:p w14:paraId="20CDB9D3" w14:textId="77777777" w:rsidR="00AC3C57" w:rsidRDefault="00AC3C57">
            <w:pPr>
              <w:pStyle w:val="ARfintablebody"/>
            </w:pPr>
            <w:r>
              <w:t>The Unsaid Says a Lot</w:t>
            </w:r>
          </w:p>
        </w:tc>
        <w:tc>
          <w:tcPr>
            <w:tcW w:w="2268" w:type="dxa"/>
            <w:tcBorders>
              <w:bottom w:val="single" w:sz="4" w:space="0" w:color="A6A6A6" w:themeColor="accent5"/>
            </w:tcBorders>
            <w:shd w:val="clear" w:color="auto" w:fill="E7E6E6" w:themeFill="background2"/>
            <w:tcMar>
              <w:left w:w="113" w:type="dxa"/>
            </w:tcMar>
          </w:tcPr>
          <w:p w14:paraId="0F5EA554" w14:textId="77777777" w:rsidR="00AC3C57" w:rsidRDefault="00AC3C57">
            <w:pPr>
              <w:pStyle w:val="ARfintablebody"/>
            </w:pPr>
            <w:r>
              <w:t>Trans and gender diverse awareness campaign</w:t>
            </w:r>
          </w:p>
        </w:tc>
        <w:tc>
          <w:tcPr>
            <w:tcW w:w="1413" w:type="dxa"/>
            <w:tcBorders>
              <w:bottom w:val="single" w:sz="4" w:space="0" w:color="A6A6A6" w:themeColor="accent5"/>
            </w:tcBorders>
            <w:tcMar>
              <w:left w:w="113" w:type="dxa"/>
            </w:tcMar>
          </w:tcPr>
          <w:p w14:paraId="3CF93A8B" w14:textId="77777777" w:rsidR="00AC3C57" w:rsidRPr="0084661C" w:rsidRDefault="00AC3C57" w:rsidP="0084661C">
            <w:pPr>
              <w:pStyle w:val="ARfintablebodyright"/>
            </w:pPr>
            <w:r w:rsidRPr="0084661C">
              <w:t>01/06/2025 – 29/06/2025</w:t>
            </w:r>
          </w:p>
        </w:tc>
        <w:tc>
          <w:tcPr>
            <w:tcW w:w="1417" w:type="dxa"/>
            <w:tcBorders>
              <w:bottom w:val="single" w:sz="4" w:space="0" w:color="A6A6A6" w:themeColor="accent5"/>
            </w:tcBorders>
            <w:shd w:val="clear" w:color="auto" w:fill="E7E6E6" w:themeFill="background2"/>
          </w:tcPr>
          <w:p w14:paraId="4047B4B9" w14:textId="77777777" w:rsidR="00AC3C57" w:rsidRDefault="00AC3C57">
            <w:pPr>
              <w:pStyle w:val="ARfintablebodyright"/>
            </w:pPr>
            <w:r>
              <w:t>$124,961</w:t>
            </w:r>
          </w:p>
        </w:tc>
        <w:tc>
          <w:tcPr>
            <w:tcW w:w="1418" w:type="dxa"/>
            <w:tcBorders>
              <w:bottom w:val="single" w:sz="4" w:space="0" w:color="A6A6A6" w:themeColor="accent5"/>
            </w:tcBorders>
          </w:tcPr>
          <w:p w14:paraId="19ECE8F6" w14:textId="77777777" w:rsidR="00AC3C57" w:rsidRDefault="00AC3C57">
            <w:pPr>
              <w:pStyle w:val="ARfintablebodyright"/>
            </w:pPr>
            <w:r>
              <w:t>$109,922.50</w:t>
            </w:r>
          </w:p>
        </w:tc>
        <w:tc>
          <w:tcPr>
            <w:tcW w:w="1417" w:type="dxa"/>
            <w:tcBorders>
              <w:bottom w:val="single" w:sz="4" w:space="0" w:color="A6A6A6" w:themeColor="accent5"/>
            </w:tcBorders>
            <w:shd w:val="clear" w:color="auto" w:fill="E7E6E6" w:themeFill="background2"/>
          </w:tcPr>
          <w:p w14:paraId="30B1F159" w14:textId="77777777" w:rsidR="00AC3C57" w:rsidRDefault="00AC3C57">
            <w:pPr>
              <w:pStyle w:val="ARfintablebodyright"/>
            </w:pPr>
            <w:r>
              <w:t>$0</w:t>
            </w:r>
          </w:p>
        </w:tc>
        <w:tc>
          <w:tcPr>
            <w:tcW w:w="1417" w:type="dxa"/>
            <w:tcBorders>
              <w:bottom w:val="single" w:sz="4" w:space="0" w:color="A6A6A6" w:themeColor="accent5"/>
            </w:tcBorders>
          </w:tcPr>
          <w:p w14:paraId="35849DDA" w14:textId="77777777" w:rsidR="00AC3C57" w:rsidRDefault="00AC3C57">
            <w:pPr>
              <w:pStyle w:val="ARfintablebodyright"/>
            </w:pPr>
            <w:r>
              <w:t>$0</w:t>
            </w:r>
          </w:p>
        </w:tc>
        <w:tc>
          <w:tcPr>
            <w:tcW w:w="1276" w:type="dxa"/>
            <w:tcBorders>
              <w:bottom w:val="single" w:sz="4" w:space="0" w:color="A6A6A6" w:themeColor="accent5"/>
            </w:tcBorders>
            <w:shd w:val="clear" w:color="auto" w:fill="E7E6E6" w:themeFill="background2"/>
          </w:tcPr>
          <w:p w14:paraId="3BA888B7" w14:textId="77777777" w:rsidR="00AC3C57" w:rsidRDefault="00AC3C57">
            <w:pPr>
              <w:pStyle w:val="ARfintablebodyright"/>
            </w:pPr>
            <w:r>
              <w:t>$0</w:t>
            </w:r>
          </w:p>
        </w:tc>
        <w:tc>
          <w:tcPr>
            <w:tcW w:w="1559" w:type="dxa"/>
            <w:tcBorders>
              <w:bottom w:val="single" w:sz="4" w:space="0" w:color="A6A6A6" w:themeColor="accent5"/>
            </w:tcBorders>
          </w:tcPr>
          <w:p w14:paraId="4B91AA20" w14:textId="77777777" w:rsidR="00AC3C57" w:rsidRDefault="00AC3C57">
            <w:pPr>
              <w:pStyle w:val="ARfintablebodyright"/>
            </w:pPr>
            <w:r>
              <w:t>$234,883.50</w:t>
            </w:r>
          </w:p>
        </w:tc>
      </w:tr>
      <w:tr w:rsidR="00AC3C57" w14:paraId="0625060D" w14:textId="77777777" w:rsidTr="0084661C">
        <w:trPr>
          <w:cantSplit w:val="0"/>
          <w:trHeight w:val="300"/>
        </w:trPr>
        <w:tc>
          <w:tcPr>
            <w:tcW w:w="2410" w:type="dxa"/>
            <w:tcBorders>
              <w:top w:val="single" w:sz="4" w:space="0" w:color="A6A6A6" w:themeColor="accent5"/>
              <w:bottom w:val="single" w:sz="4" w:space="0" w:color="A6A6A6" w:themeColor="accent5"/>
            </w:tcBorders>
          </w:tcPr>
          <w:p w14:paraId="42AFCB61" w14:textId="77777777" w:rsidR="00AC3C57" w:rsidRDefault="00AC3C57">
            <w:pPr>
              <w:pStyle w:val="ARfintablebody"/>
            </w:pPr>
            <w:r>
              <w:t>Big Housing Build</w:t>
            </w:r>
          </w:p>
        </w:tc>
        <w:tc>
          <w:tcPr>
            <w:tcW w:w="2268" w:type="dxa"/>
            <w:tcBorders>
              <w:top w:val="single" w:sz="4" w:space="0" w:color="A6A6A6" w:themeColor="accent5"/>
              <w:bottom w:val="single" w:sz="4" w:space="0" w:color="A6A6A6" w:themeColor="accent5"/>
            </w:tcBorders>
            <w:shd w:val="clear" w:color="auto" w:fill="E7E6E6" w:themeFill="background2"/>
            <w:tcMar>
              <w:left w:w="113" w:type="dxa"/>
            </w:tcMar>
          </w:tcPr>
          <w:p w14:paraId="6D1A27D8" w14:textId="77777777" w:rsidR="00AC3C57" w:rsidRDefault="00AC3C57">
            <w:pPr>
              <w:pStyle w:val="ARfintablebody"/>
            </w:pPr>
            <w:r>
              <w:t>Program awareness raising campaign</w:t>
            </w:r>
          </w:p>
        </w:tc>
        <w:tc>
          <w:tcPr>
            <w:tcW w:w="1413" w:type="dxa"/>
            <w:tcBorders>
              <w:top w:val="single" w:sz="4" w:space="0" w:color="A6A6A6" w:themeColor="accent5"/>
              <w:bottom w:val="single" w:sz="4" w:space="0" w:color="A6A6A6" w:themeColor="accent5"/>
            </w:tcBorders>
            <w:tcMar>
              <w:left w:w="113" w:type="dxa"/>
            </w:tcMar>
          </w:tcPr>
          <w:p w14:paraId="1F7780FB" w14:textId="77777777" w:rsidR="00AC3C57" w:rsidRPr="0084661C" w:rsidRDefault="00AC3C57" w:rsidP="0084661C">
            <w:pPr>
              <w:pStyle w:val="ARfintablebodyright"/>
            </w:pPr>
            <w:r w:rsidRPr="0084661C">
              <w:t>16/06/2025 –30/06/2025</w:t>
            </w:r>
          </w:p>
        </w:tc>
        <w:tc>
          <w:tcPr>
            <w:tcW w:w="1417" w:type="dxa"/>
            <w:tcBorders>
              <w:top w:val="single" w:sz="4" w:space="0" w:color="A6A6A6" w:themeColor="accent5"/>
              <w:bottom w:val="single" w:sz="4" w:space="0" w:color="A6A6A6" w:themeColor="accent5"/>
            </w:tcBorders>
            <w:shd w:val="clear" w:color="auto" w:fill="E7E6E6" w:themeFill="background2"/>
          </w:tcPr>
          <w:p w14:paraId="469BEC3C" w14:textId="77777777" w:rsidR="00AC3C57" w:rsidRDefault="00AC3C57">
            <w:pPr>
              <w:pStyle w:val="ARfintablebodyright"/>
            </w:pPr>
            <w:r>
              <w:t>$127,432</w:t>
            </w:r>
          </w:p>
        </w:tc>
        <w:tc>
          <w:tcPr>
            <w:tcW w:w="1418" w:type="dxa"/>
            <w:tcBorders>
              <w:top w:val="single" w:sz="4" w:space="0" w:color="A6A6A6" w:themeColor="accent5"/>
              <w:bottom w:val="single" w:sz="4" w:space="0" w:color="A6A6A6" w:themeColor="accent5"/>
            </w:tcBorders>
          </w:tcPr>
          <w:p w14:paraId="4F875E54" w14:textId="613017ED" w:rsidR="00AC3C57" w:rsidRDefault="00AC3C57" w:rsidP="000C235D">
            <w:pPr>
              <w:pStyle w:val="ARfintablebodyright"/>
            </w:pPr>
            <w:r>
              <w:t>$133,429.40</w:t>
            </w:r>
          </w:p>
        </w:tc>
        <w:tc>
          <w:tcPr>
            <w:tcW w:w="1417" w:type="dxa"/>
            <w:tcBorders>
              <w:top w:val="single" w:sz="4" w:space="0" w:color="A6A6A6" w:themeColor="accent5"/>
              <w:bottom w:val="single" w:sz="4" w:space="0" w:color="A6A6A6" w:themeColor="accent5"/>
            </w:tcBorders>
            <w:shd w:val="clear" w:color="auto" w:fill="E7E6E6" w:themeFill="background2"/>
          </w:tcPr>
          <w:p w14:paraId="173AA186" w14:textId="77777777" w:rsidR="00AC3C57" w:rsidRDefault="00AC3C57">
            <w:pPr>
              <w:pStyle w:val="ARfintablebodyright"/>
            </w:pPr>
            <w:r>
              <w:t>$0</w:t>
            </w:r>
          </w:p>
        </w:tc>
        <w:tc>
          <w:tcPr>
            <w:tcW w:w="1417" w:type="dxa"/>
            <w:tcBorders>
              <w:top w:val="single" w:sz="4" w:space="0" w:color="A6A6A6" w:themeColor="accent5"/>
              <w:bottom w:val="single" w:sz="4" w:space="0" w:color="A6A6A6" w:themeColor="accent5"/>
            </w:tcBorders>
          </w:tcPr>
          <w:p w14:paraId="3F533F76" w14:textId="77777777" w:rsidR="00AC3C57" w:rsidRDefault="00AC3C57">
            <w:pPr>
              <w:pStyle w:val="ARfintablebodyright"/>
            </w:pPr>
            <w:r>
              <w:t>$0</w:t>
            </w:r>
          </w:p>
        </w:tc>
        <w:tc>
          <w:tcPr>
            <w:tcW w:w="1276" w:type="dxa"/>
            <w:tcBorders>
              <w:top w:val="single" w:sz="4" w:space="0" w:color="A6A6A6" w:themeColor="accent5"/>
              <w:bottom w:val="single" w:sz="4" w:space="0" w:color="A6A6A6" w:themeColor="accent5"/>
            </w:tcBorders>
            <w:shd w:val="clear" w:color="auto" w:fill="E7E6E6" w:themeFill="background2"/>
          </w:tcPr>
          <w:p w14:paraId="77B66B07" w14:textId="77777777" w:rsidR="00AC3C57" w:rsidRDefault="00AC3C57">
            <w:pPr>
              <w:pStyle w:val="ARfintablebodyright"/>
            </w:pPr>
            <w:r>
              <w:t>$0</w:t>
            </w:r>
          </w:p>
        </w:tc>
        <w:tc>
          <w:tcPr>
            <w:tcW w:w="1559" w:type="dxa"/>
            <w:tcBorders>
              <w:top w:val="single" w:sz="4" w:space="0" w:color="A6A6A6" w:themeColor="accent5"/>
              <w:bottom w:val="single" w:sz="4" w:space="0" w:color="A6A6A6" w:themeColor="accent5"/>
            </w:tcBorders>
          </w:tcPr>
          <w:p w14:paraId="2C34F197" w14:textId="77777777" w:rsidR="00AC3C57" w:rsidRDefault="00AC3C57">
            <w:pPr>
              <w:pStyle w:val="ARfintablebodyright"/>
            </w:pPr>
            <w:r>
              <w:t>$260,861.40</w:t>
            </w:r>
          </w:p>
        </w:tc>
      </w:tr>
      <w:tr w:rsidR="00AC3C57" w:rsidRPr="00532DAE" w14:paraId="7CB412E9" w14:textId="77777777" w:rsidTr="0084661C">
        <w:trPr>
          <w:cnfStyle w:val="010000000000" w:firstRow="0" w:lastRow="1" w:firstColumn="0" w:lastColumn="0" w:oddVBand="0" w:evenVBand="0" w:oddHBand="0" w:evenHBand="0" w:firstRowFirstColumn="0" w:firstRowLastColumn="0" w:lastRowFirstColumn="0" w:lastRowLastColumn="0"/>
          <w:cantSplit w:val="0"/>
          <w:trHeight w:val="300"/>
        </w:trPr>
        <w:tc>
          <w:tcPr>
            <w:tcW w:w="2410" w:type="dxa"/>
            <w:tcBorders>
              <w:top w:val="single" w:sz="4" w:space="0" w:color="A6A6A6" w:themeColor="accent5"/>
            </w:tcBorders>
          </w:tcPr>
          <w:p w14:paraId="5565CC2E" w14:textId="77777777" w:rsidR="00AC3C57" w:rsidRPr="00B21193" w:rsidRDefault="00AC3C57">
            <w:pPr>
              <w:pStyle w:val="ARfintablebody"/>
            </w:pPr>
            <w:r w:rsidRPr="005A7059">
              <w:t>Fostering Connections</w:t>
            </w:r>
          </w:p>
        </w:tc>
        <w:tc>
          <w:tcPr>
            <w:tcW w:w="2268" w:type="dxa"/>
            <w:tcBorders>
              <w:top w:val="single" w:sz="4" w:space="0" w:color="A6A6A6" w:themeColor="accent5"/>
            </w:tcBorders>
            <w:shd w:val="clear" w:color="auto" w:fill="E7E6E6" w:themeFill="background2"/>
            <w:tcMar>
              <w:left w:w="113" w:type="dxa"/>
            </w:tcMar>
          </w:tcPr>
          <w:p w14:paraId="3D56E80A" w14:textId="77777777" w:rsidR="00AC3C57" w:rsidRPr="00B21193" w:rsidRDefault="00AC3C57">
            <w:pPr>
              <w:pStyle w:val="ARfintablebody"/>
            </w:pPr>
            <w:r>
              <w:t>Foster care recruitment</w:t>
            </w:r>
          </w:p>
        </w:tc>
        <w:tc>
          <w:tcPr>
            <w:tcW w:w="1413" w:type="dxa"/>
            <w:tcBorders>
              <w:top w:val="single" w:sz="4" w:space="0" w:color="A6A6A6" w:themeColor="accent5"/>
            </w:tcBorders>
            <w:tcMar>
              <w:left w:w="113" w:type="dxa"/>
            </w:tcMar>
          </w:tcPr>
          <w:p w14:paraId="4A108D9E" w14:textId="77777777" w:rsidR="00AC3C57" w:rsidRPr="0084661C" w:rsidRDefault="00AC3C57" w:rsidP="0084661C">
            <w:pPr>
              <w:pStyle w:val="ARfintablebodyright"/>
            </w:pPr>
            <w:r w:rsidRPr="0084661C">
              <w:t>07/07/2024 – 30/06/2025</w:t>
            </w:r>
          </w:p>
        </w:tc>
        <w:tc>
          <w:tcPr>
            <w:tcW w:w="1417" w:type="dxa"/>
            <w:tcBorders>
              <w:top w:val="single" w:sz="4" w:space="0" w:color="A6A6A6" w:themeColor="accent5"/>
            </w:tcBorders>
            <w:shd w:val="clear" w:color="auto" w:fill="E7E6E6" w:themeFill="background2"/>
          </w:tcPr>
          <w:p w14:paraId="7815B2E6" w14:textId="77777777" w:rsidR="00AC3C57" w:rsidRDefault="00AC3C57">
            <w:pPr>
              <w:pStyle w:val="ARfintablebodyright"/>
            </w:pPr>
            <w:r>
              <w:t>$681,818</w:t>
            </w:r>
          </w:p>
        </w:tc>
        <w:tc>
          <w:tcPr>
            <w:tcW w:w="1418" w:type="dxa"/>
            <w:tcBorders>
              <w:top w:val="single" w:sz="4" w:space="0" w:color="A6A6A6" w:themeColor="accent5"/>
            </w:tcBorders>
          </w:tcPr>
          <w:p w14:paraId="737D0CD9" w14:textId="77777777" w:rsidR="00AC3C57" w:rsidRPr="00B21193" w:rsidRDefault="00AC3C57">
            <w:pPr>
              <w:pStyle w:val="ARfintablebodyright"/>
            </w:pPr>
            <w:r>
              <w:t>$0</w:t>
            </w:r>
          </w:p>
        </w:tc>
        <w:tc>
          <w:tcPr>
            <w:tcW w:w="1417" w:type="dxa"/>
            <w:tcBorders>
              <w:top w:val="single" w:sz="4" w:space="0" w:color="A6A6A6" w:themeColor="accent5"/>
            </w:tcBorders>
            <w:shd w:val="clear" w:color="auto" w:fill="E7E6E6" w:themeFill="background2"/>
          </w:tcPr>
          <w:p w14:paraId="1F62E53C" w14:textId="77777777" w:rsidR="00AC3C57" w:rsidRPr="00B21193" w:rsidRDefault="00AC3C57">
            <w:pPr>
              <w:pStyle w:val="ARfintablebodyright"/>
            </w:pPr>
            <w:r>
              <w:t>$0</w:t>
            </w:r>
          </w:p>
        </w:tc>
        <w:tc>
          <w:tcPr>
            <w:tcW w:w="1417" w:type="dxa"/>
            <w:tcBorders>
              <w:top w:val="single" w:sz="4" w:space="0" w:color="A6A6A6" w:themeColor="accent5"/>
            </w:tcBorders>
          </w:tcPr>
          <w:p w14:paraId="3000E0C6" w14:textId="77777777" w:rsidR="00AC3C57" w:rsidRPr="00B21193" w:rsidRDefault="00AC3C57">
            <w:pPr>
              <w:pStyle w:val="ARfintablebodyright"/>
            </w:pPr>
            <w:r>
              <w:t>$0</w:t>
            </w:r>
          </w:p>
        </w:tc>
        <w:tc>
          <w:tcPr>
            <w:tcW w:w="1276" w:type="dxa"/>
            <w:tcBorders>
              <w:top w:val="single" w:sz="4" w:space="0" w:color="A6A6A6" w:themeColor="accent5"/>
            </w:tcBorders>
            <w:shd w:val="clear" w:color="auto" w:fill="E7E6E6" w:themeFill="background2"/>
          </w:tcPr>
          <w:p w14:paraId="2CBBEBB1" w14:textId="77777777" w:rsidR="00AC3C57" w:rsidRPr="00B21193" w:rsidRDefault="00AC3C57">
            <w:pPr>
              <w:pStyle w:val="ARfintablebodyright"/>
            </w:pPr>
            <w:r>
              <w:t>$0</w:t>
            </w:r>
          </w:p>
        </w:tc>
        <w:tc>
          <w:tcPr>
            <w:tcW w:w="1559" w:type="dxa"/>
            <w:tcBorders>
              <w:top w:val="single" w:sz="4" w:space="0" w:color="A6A6A6" w:themeColor="accent5"/>
            </w:tcBorders>
          </w:tcPr>
          <w:p w14:paraId="404D9E06" w14:textId="77777777" w:rsidR="00AC3C57" w:rsidRPr="002B7E0B" w:rsidRDefault="00AC3C57">
            <w:pPr>
              <w:pStyle w:val="ARfintablebodyright"/>
            </w:pPr>
            <w:r>
              <w:t>$681,818</w:t>
            </w:r>
          </w:p>
        </w:tc>
      </w:tr>
    </w:tbl>
    <w:p w14:paraId="5DEF9DC1" w14:textId="77777777" w:rsidR="00AC3C57" w:rsidRPr="0084661C" w:rsidRDefault="00AC3C57" w:rsidP="0084661C">
      <w:pPr>
        <w:pStyle w:val="ARbody"/>
      </w:pPr>
    </w:p>
    <w:p w14:paraId="4C83DDDD" w14:textId="77777777" w:rsidR="00AC3C57" w:rsidRDefault="00AC3C57">
      <w:pPr>
        <w:pStyle w:val="ARbody"/>
        <w:sectPr w:rsidR="00AC3C57" w:rsidSect="007F43B1">
          <w:endnotePr>
            <w:numFmt w:val="decimal"/>
          </w:endnotePr>
          <w:pgSz w:w="16840" w:h="11900" w:orient="landscape" w:code="9"/>
          <w:pgMar w:top="1134" w:right="1134" w:bottom="851" w:left="1134" w:header="510" w:footer="340" w:gutter="0"/>
          <w:cols w:space="454"/>
          <w:docGrid w:linePitch="326"/>
        </w:sectPr>
      </w:pPr>
    </w:p>
    <w:p w14:paraId="79E33E93" w14:textId="77777777" w:rsidR="00AC3C57" w:rsidRDefault="00AC3C57" w:rsidP="0084661C">
      <w:pPr>
        <w:pStyle w:val="Heading2"/>
        <w:spacing w:before="0"/>
      </w:pPr>
      <w:bookmarkStart w:id="167" w:name="_Ref52285882"/>
      <w:bookmarkStart w:id="168" w:name="_Toc54690787"/>
      <w:bookmarkStart w:id="169" w:name="_Toc82006205"/>
      <w:bookmarkStart w:id="170" w:name="_Toc114491205"/>
      <w:bookmarkStart w:id="171" w:name="_Toc149587052"/>
      <w:bookmarkStart w:id="172" w:name="_Toc212039539"/>
      <w:bookmarkStart w:id="173" w:name="_Ref21862226"/>
      <w:r w:rsidRPr="00532DAE">
        <w:lastRenderedPageBreak/>
        <w:t>Consultanc</w:t>
      </w:r>
      <w:bookmarkEnd w:id="167"/>
      <w:bookmarkEnd w:id="168"/>
      <w:r w:rsidRPr="00532DAE">
        <w:t>y expenditure</w:t>
      </w:r>
      <w:bookmarkEnd w:id="169"/>
      <w:bookmarkEnd w:id="170"/>
      <w:bookmarkEnd w:id="171"/>
      <w:bookmarkEnd w:id="172"/>
    </w:p>
    <w:p w14:paraId="1DE47EB2" w14:textId="77777777" w:rsidR="00AC3C57" w:rsidRPr="00061106" w:rsidRDefault="00AC3C57">
      <w:pPr>
        <w:pStyle w:val="Heading3"/>
      </w:pPr>
      <w:bookmarkStart w:id="174" w:name="_Consultancies_(valued_at"/>
      <w:bookmarkStart w:id="175" w:name="_Ref178179920"/>
      <w:bookmarkEnd w:id="174"/>
      <w:r w:rsidRPr="00061106">
        <w:t>Consultancies (valued at $10,000 or greater)</w:t>
      </w:r>
      <w:bookmarkEnd w:id="175"/>
    </w:p>
    <w:p w14:paraId="61DD3EB7" w14:textId="77777777" w:rsidR="00AC3C57" w:rsidRPr="00F4452B" w:rsidRDefault="00AC3C57">
      <w:pPr>
        <w:pStyle w:val="ARbody"/>
      </w:pPr>
      <w:r w:rsidRPr="00F4452B">
        <w:t>In 202</w:t>
      </w:r>
      <w:r>
        <w:t>4–</w:t>
      </w:r>
      <w:r w:rsidRPr="00F4452B">
        <w:t>2</w:t>
      </w:r>
      <w:r>
        <w:t>5,</w:t>
      </w:r>
      <w:r w:rsidRPr="00F4452B">
        <w:t xml:space="preserve"> </w:t>
      </w:r>
      <w:r>
        <w:t xml:space="preserve">the department engaged </w:t>
      </w:r>
      <w:r w:rsidRPr="007B23C8">
        <w:t>6</w:t>
      </w:r>
      <w:r>
        <w:t>6</w:t>
      </w:r>
      <w:r w:rsidRPr="00F4452B">
        <w:t xml:space="preserve"> consultancies </w:t>
      </w:r>
      <w:r>
        <w:t>valued at</w:t>
      </w:r>
      <w:r w:rsidRPr="00F4452B">
        <w:t xml:space="preserve"> $10,000 </w:t>
      </w:r>
      <w:r>
        <w:t>or more</w:t>
      </w:r>
      <w:r w:rsidRPr="00F4452B">
        <w:t xml:space="preserve">. </w:t>
      </w:r>
      <w:r>
        <w:t>The department spent</w:t>
      </w:r>
      <w:r w:rsidRPr="00F4452B">
        <w:t xml:space="preserve"> </w:t>
      </w:r>
      <w:r w:rsidRPr="004763E6">
        <w:t>$</w:t>
      </w:r>
      <w:r w:rsidRPr="004763E6">
        <w:rPr>
          <w:color w:val="000000" w:themeColor="text1"/>
        </w:rPr>
        <w:t xml:space="preserve">10.87 </w:t>
      </w:r>
      <w:r w:rsidRPr="00F4452B">
        <w:t>million (excluding GST)</w:t>
      </w:r>
      <w:r>
        <w:t xml:space="preserve"> on these consultancies</w:t>
      </w:r>
      <w:r w:rsidRPr="00F4452B">
        <w:t xml:space="preserve">. </w:t>
      </w:r>
      <w:r>
        <w:t>Table 9 sets out the details of these consultancies</w:t>
      </w:r>
      <w:r w:rsidRPr="00F4452B">
        <w:t>.</w:t>
      </w:r>
    </w:p>
    <w:p w14:paraId="7FBBDA54" w14:textId="77777777" w:rsidR="00AC3C57" w:rsidRPr="00F4452B" w:rsidRDefault="00AC3C57">
      <w:pPr>
        <w:pStyle w:val="ARtablecaption"/>
      </w:pPr>
      <w:bookmarkStart w:id="176" w:name="_Ref178180184"/>
      <w:r w:rsidRPr="00F4452B">
        <w:t>Table 9: Details of consultancies (value of $10,000 or greater)</w:t>
      </w:r>
    </w:p>
    <w:tbl>
      <w:tblPr>
        <w:tblStyle w:val="TableGrid"/>
        <w:tblW w:w="5000" w:type="pct"/>
        <w:tblLayout w:type="fixed"/>
        <w:tblLook w:val="06E0" w:firstRow="1" w:lastRow="1" w:firstColumn="1" w:lastColumn="0" w:noHBand="1" w:noVBand="1"/>
      </w:tblPr>
      <w:tblGrid>
        <w:gridCol w:w="1927"/>
        <w:gridCol w:w="3177"/>
        <w:gridCol w:w="1560"/>
        <w:gridCol w:w="1558"/>
        <w:gridCol w:w="1410"/>
      </w:tblGrid>
      <w:tr w:rsidR="00336F56" w:rsidRPr="00F4452B" w14:paraId="51C5D28A" w14:textId="77777777" w:rsidTr="00A940AB">
        <w:trPr>
          <w:cnfStyle w:val="100000000000" w:firstRow="1" w:lastRow="0" w:firstColumn="0" w:lastColumn="0" w:oddVBand="0" w:evenVBand="0" w:oddHBand="0" w:evenHBand="0" w:firstRowFirstColumn="0" w:firstRowLastColumn="0" w:lastRowFirstColumn="0" w:lastRowLastColumn="0"/>
          <w:trHeight w:val="300"/>
          <w:tblHeader/>
        </w:trPr>
        <w:tc>
          <w:tcPr>
            <w:tcW w:w="1000" w:type="pct"/>
            <w:tcBorders>
              <w:top w:val="nil"/>
            </w:tcBorders>
          </w:tcPr>
          <w:p w14:paraId="64B3BF46" w14:textId="77777777" w:rsidR="00AC3C57" w:rsidRPr="0043732A" w:rsidRDefault="00AC3C57">
            <w:pPr>
              <w:pStyle w:val="ARtablecolhead"/>
            </w:pPr>
            <w:r w:rsidRPr="0043732A">
              <w:t>Consultant</w:t>
            </w:r>
          </w:p>
        </w:tc>
        <w:tc>
          <w:tcPr>
            <w:tcW w:w="1649" w:type="pct"/>
            <w:shd w:val="clear" w:color="auto" w:fill="E7E6E6" w:themeFill="background2"/>
            <w:tcMar>
              <w:left w:w="113" w:type="dxa"/>
            </w:tcMar>
          </w:tcPr>
          <w:p w14:paraId="5EBDDCE2" w14:textId="77777777" w:rsidR="00AC3C57" w:rsidRPr="0043732A" w:rsidRDefault="00AC3C57">
            <w:pPr>
              <w:pStyle w:val="ARtablecolhead"/>
            </w:pPr>
            <w:r w:rsidRPr="0043732A">
              <w:t>Purpose of consultancy</w:t>
            </w:r>
          </w:p>
        </w:tc>
        <w:tc>
          <w:tcPr>
            <w:tcW w:w="810" w:type="pct"/>
          </w:tcPr>
          <w:p w14:paraId="34CFBEFE" w14:textId="77777777" w:rsidR="00AC3C57" w:rsidRPr="0043732A" w:rsidRDefault="00AC3C57">
            <w:pPr>
              <w:pStyle w:val="ARtablecolheadright"/>
            </w:pPr>
            <w:r w:rsidRPr="0043732A">
              <w:t>Total approved project fee</w:t>
            </w:r>
          </w:p>
          <w:p w14:paraId="20DED78A" w14:textId="77777777" w:rsidR="00AC3C57" w:rsidRPr="0043732A" w:rsidRDefault="00AC3C57">
            <w:pPr>
              <w:pStyle w:val="ARtablecolheadright"/>
            </w:pPr>
            <w:r w:rsidRPr="0043732A">
              <w:t>($ excl. GST)</w:t>
            </w:r>
          </w:p>
        </w:tc>
        <w:tc>
          <w:tcPr>
            <w:tcW w:w="809" w:type="pct"/>
            <w:shd w:val="clear" w:color="auto" w:fill="E7E6E6" w:themeFill="background2"/>
          </w:tcPr>
          <w:p w14:paraId="1FFF84A1" w14:textId="77777777" w:rsidR="00AC3C57" w:rsidRPr="0043732A" w:rsidRDefault="00AC3C57">
            <w:pPr>
              <w:pStyle w:val="ARtablecolheadright"/>
            </w:pPr>
            <w:r w:rsidRPr="0043732A">
              <w:t>Expenditure</w:t>
            </w:r>
          </w:p>
          <w:p w14:paraId="288FD082" w14:textId="77777777" w:rsidR="00AC3C57" w:rsidRPr="0043732A" w:rsidRDefault="00AC3C57">
            <w:pPr>
              <w:pStyle w:val="ARtablecolheadright"/>
            </w:pPr>
            <w:r w:rsidRPr="0043732A">
              <w:t>($ excl. GST)</w:t>
            </w:r>
          </w:p>
        </w:tc>
        <w:tc>
          <w:tcPr>
            <w:tcW w:w="732" w:type="pct"/>
          </w:tcPr>
          <w:p w14:paraId="303ED1A9" w14:textId="255533F1" w:rsidR="00AC3C57" w:rsidRPr="0043732A" w:rsidRDefault="00AC3C57">
            <w:pPr>
              <w:pStyle w:val="ARtablecolheadright"/>
            </w:pPr>
            <w:r w:rsidRPr="0043732A">
              <w:t xml:space="preserve">Future </w:t>
            </w:r>
            <w:r w:rsidR="00A940AB">
              <w:br/>
            </w:r>
            <w:r w:rsidRPr="0043732A">
              <w:t>expenditure</w:t>
            </w:r>
          </w:p>
          <w:p w14:paraId="74FE1057" w14:textId="77777777" w:rsidR="00AC3C57" w:rsidRPr="0043732A" w:rsidRDefault="00AC3C57">
            <w:pPr>
              <w:pStyle w:val="ARtablecolheadright"/>
            </w:pPr>
            <w:r w:rsidRPr="0043732A">
              <w:t>($ excl. GST)</w:t>
            </w:r>
          </w:p>
        </w:tc>
      </w:tr>
      <w:tr w:rsidR="00AC3C57" w:rsidRPr="00F4452B" w14:paraId="7398344A" w14:textId="77777777" w:rsidTr="00A940AB">
        <w:trPr>
          <w:trHeight w:val="300"/>
        </w:trPr>
        <w:tc>
          <w:tcPr>
            <w:tcW w:w="1000" w:type="pct"/>
            <w:tcBorders>
              <w:top w:val="single" w:sz="4" w:space="0" w:color="000000" w:themeColor="text1"/>
              <w:bottom w:val="single" w:sz="4" w:space="0" w:color="A6A6A6" w:themeColor="accent5"/>
            </w:tcBorders>
          </w:tcPr>
          <w:p w14:paraId="2D2AD891" w14:textId="77777777" w:rsidR="00AC3C57" w:rsidRPr="00F4452B" w:rsidRDefault="00AC3C57" w:rsidP="00A940AB">
            <w:pPr>
              <w:pStyle w:val="ARtabletextbold"/>
            </w:pPr>
            <w:proofErr w:type="spellStart"/>
            <w:r w:rsidRPr="00F4452B">
              <w:t>Ontoit</w:t>
            </w:r>
            <w:proofErr w:type="spellEnd"/>
          </w:p>
        </w:tc>
        <w:tc>
          <w:tcPr>
            <w:tcW w:w="1649" w:type="pct"/>
            <w:shd w:val="clear" w:color="auto" w:fill="E7E6E6" w:themeFill="background2"/>
            <w:tcMar>
              <w:left w:w="113" w:type="dxa"/>
            </w:tcMar>
          </w:tcPr>
          <w:p w14:paraId="5FC303BF" w14:textId="77777777" w:rsidR="00AC3C57" w:rsidRPr="00F4452B" w:rsidRDefault="00AC3C57">
            <w:pPr>
              <w:pStyle w:val="ARtabletext"/>
              <w:spacing w:line="220" w:lineRule="atLeast"/>
            </w:pPr>
            <w:r w:rsidRPr="00F4452B">
              <w:t>Transaction services for Towers Revitalisation Program</w:t>
            </w:r>
          </w:p>
        </w:tc>
        <w:tc>
          <w:tcPr>
            <w:tcW w:w="810" w:type="pct"/>
          </w:tcPr>
          <w:p w14:paraId="5773A4C1" w14:textId="77777777" w:rsidR="00AC3C57" w:rsidRPr="00F4452B" w:rsidRDefault="00AC3C57">
            <w:pPr>
              <w:pStyle w:val="ARtabletextright"/>
            </w:pPr>
            <w:r w:rsidRPr="00F4452B">
              <w:t>$6,982,932</w:t>
            </w:r>
          </w:p>
        </w:tc>
        <w:tc>
          <w:tcPr>
            <w:tcW w:w="809" w:type="pct"/>
            <w:shd w:val="clear" w:color="auto" w:fill="E7E6E6" w:themeFill="background2"/>
          </w:tcPr>
          <w:p w14:paraId="0A846F4F" w14:textId="77777777" w:rsidR="00AC3C57" w:rsidRPr="00F4452B" w:rsidRDefault="00AC3C57">
            <w:pPr>
              <w:pStyle w:val="ARtabletextright"/>
            </w:pPr>
            <w:r w:rsidRPr="00F4452B">
              <w:t>$</w:t>
            </w:r>
            <w:r w:rsidRPr="00C93F45">
              <w:t>3</w:t>
            </w:r>
            <w:r>
              <w:t>,</w:t>
            </w:r>
            <w:r w:rsidRPr="00C93F45">
              <w:t>257</w:t>
            </w:r>
            <w:r>
              <w:t>,</w:t>
            </w:r>
            <w:r w:rsidRPr="00C93F45">
              <w:t>79</w:t>
            </w:r>
            <w:r>
              <w:t>4</w:t>
            </w:r>
          </w:p>
        </w:tc>
        <w:tc>
          <w:tcPr>
            <w:tcW w:w="732" w:type="pct"/>
          </w:tcPr>
          <w:p w14:paraId="15AEF275" w14:textId="77777777" w:rsidR="00AC3C57" w:rsidRPr="00F4452B" w:rsidRDefault="00AC3C57">
            <w:pPr>
              <w:pStyle w:val="ARtabletextright"/>
              <w:rPr>
                <w:rFonts w:eastAsia="MS Mincho"/>
                <w:szCs w:val="16"/>
              </w:rPr>
            </w:pPr>
            <w:r w:rsidRPr="00F4452B">
              <w:t>$</w:t>
            </w:r>
            <w:r w:rsidRPr="00816163">
              <w:t>1</w:t>
            </w:r>
            <w:r>
              <w:t>,</w:t>
            </w:r>
            <w:r w:rsidRPr="00816163">
              <w:t>989</w:t>
            </w:r>
            <w:r>
              <w:t>,</w:t>
            </w:r>
            <w:r w:rsidRPr="00816163">
              <w:t>723</w:t>
            </w:r>
          </w:p>
        </w:tc>
      </w:tr>
      <w:tr w:rsidR="00AC3C57" w:rsidRPr="00F4452B" w14:paraId="2F10C280" w14:textId="77777777" w:rsidTr="00A940AB">
        <w:trPr>
          <w:trHeight w:val="300"/>
        </w:trPr>
        <w:tc>
          <w:tcPr>
            <w:tcW w:w="1000" w:type="pct"/>
            <w:tcBorders>
              <w:top w:val="single" w:sz="4" w:space="0" w:color="A6A6A6" w:themeColor="accent5"/>
              <w:bottom w:val="single" w:sz="4" w:space="0" w:color="A6A6A6" w:themeColor="accent5"/>
            </w:tcBorders>
          </w:tcPr>
          <w:p w14:paraId="311AE728" w14:textId="77777777" w:rsidR="00AC3C57" w:rsidRPr="00F4452B" w:rsidRDefault="00AC3C57" w:rsidP="00A940AB">
            <w:pPr>
              <w:pStyle w:val="ARtabletextbold"/>
            </w:pPr>
            <w:r w:rsidRPr="00F4452B">
              <w:t>KPMG</w:t>
            </w:r>
          </w:p>
        </w:tc>
        <w:tc>
          <w:tcPr>
            <w:tcW w:w="1649" w:type="pct"/>
            <w:shd w:val="clear" w:color="auto" w:fill="E7E6E6" w:themeFill="background2"/>
            <w:tcMar>
              <w:left w:w="113" w:type="dxa"/>
            </w:tcMar>
          </w:tcPr>
          <w:p w14:paraId="7022AF23" w14:textId="77777777" w:rsidR="00AC3C57" w:rsidRPr="00F4452B" w:rsidRDefault="00AC3C57">
            <w:pPr>
              <w:pStyle w:val="ARtabletext"/>
              <w:spacing w:line="220" w:lineRule="atLeast"/>
            </w:pPr>
            <w:r w:rsidRPr="00F4452B">
              <w:t xml:space="preserve">Towers Redevelopment Program </w:t>
            </w:r>
            <w:r>
              <w:t>i</w:t>
            </w:r>
            <w:r w:rsidRPr="00F4452B">
              <w:t xml:space="preserve">nvestment </w:t>
            </w:r>
            <w:r>
              <w:t>c</w:t>
            </w:r>
            <w:r w:rsidRPr="00F4452B">
              <w:t xml:space="preserve">ase </w:t>
            </w:r>
            <w:r>
              <w:t>a</w:t>
            </w:r>
            <w:r w:rsidRPr="00F4452B">
              <w:t xml:space="preserve">dvisory </w:t>
            </w:r>
            <w:r>
              <w:t>s</w:t>
            </w:r>
            <w:r w:rsidRPr="00F4452B">
              <w:t>ervices</w:t>
            </w:r>
          </w:p>
        </w:tc>
        <w:tc>
          <w:tcPr>
            <w:tcW w:w="810" w:type="pct"/>
          </w:tcPr>
          <w:p w14:paraId="7DA5C819" w14:textId="77777777" w:rsidR="00AC3C57" w:rsidRPr="00F4452B" w:rsidRDefault="00AC3C57">
            <w:pPr>
              <w:pStyle w:val="ARtabletextright"/>
            </w:pPr>
            <w:r w:rsidRPr="00F4452B">
              <w:t>$</w:t>
            </w:r>
            <w:r>
              <w:t>1,946</w:t>
            </w:r>
            <w:r w:rsidRPr="00F4452B">
              <w:t>,</w:t>
            </w:r>
            <w:r>
              <w:t>778</w:t>
            </w:r>
          </w:p>
        </w:tc>
        <w:tc>
          <w:tcPr>
            <w:tcW w:w="809" w:type="pct"/>
            <w:shd w:val="clear" w:color="auto" w:fill="E7E6E6" w:themeFill="background2"/>
          </w:tcPr>
          <w:p w14:paraId="5BFA66FC" w14:textId="77777777" w:rsidR="00AC3C57" w:rsidRPr="00F4452B" w:rsidRDefault="00AC3C57">
            <w:pPr>
              <w:pStyle w:val="ARtabletextright"/>
            </w:pPr>
            <w:r w:rsidRPr="00F4452B">
              <w:t>$</w:t>
            </w:r>
            <w:r>
              <w:t>1,191,914</w:t>
            </w:r>
          </w:p>
        </w:tc>
        <w:tc>
          <w:tcPr>
            <w:tcW w:w="732" w:type="pct"/>
          </w:tcPr>
          <w:p w14:paraId="304DADC9" w14:textId="4064B359" w:rsidR="00AC3C57" w:rsidRPr="00F4452B" w:rsidRDefault="005C1105">
            <w:pPr>
              <w:pStyle w:val="ARtabletextright"/>
            </w:pPr>
            <w:r>
              <w:t>–</w:t>
            </w:r>
          </w:p>
        </w:tc>
      </w:tr>
      <w:tr w:rsidR="00AC3C57" w:rsidRPr="00F4452B" w14:paraId="36A86711" w14:textId="77777777" w:rsidTr="00A940AB">
        <w:trPr>
          <w:trHeight w:val="300"/>
        </w:trPr>
        <w:tc>
          <w:tcPr>
            <w:tcW w:w="1000" w:type="pct"/>
            <w:tcBorders>
              <w:top w:val="single" w:sz="4" w:space="0" w:color="A6A6A6" w:themeColor="accent5"/>
              <w:bottom w:val="single" w:sz="4" w:space="0" w:color="A6A6A6" w:themeColor="accent5"/>
            </w:tcBorders>
          </w:tcPr>
          <w:p w14:paraId="3102711B" w14:textId="77777777" w:rsidR="00AC3C57" w:rsidRPr="00F4452B" w:rsidRDefault="00AC3C57" w:rsidP="00A940AB">
            <w:pPr>
              <w:pStyle w:val="ARtabletextbold"/>
            </w:pPr>
            <w:proofErr w:type="spellStart"/>
            <w:r>
              <w:t>Abstarr</w:t>
            </w:r>
            <w:proofErr w:type="spellEnd"/>
            <w:r>
              <w:t xml:space="preserve"> Consulting Pty Ltd</w:t>
            </w:r>
          </w:p>
        </w:tc>
        <w:tc>
          <w:tcPr>
            <w:tcW w:w="1649" w:type="pct"/>
            <w:shd w:val="clear" w:color="auto" w:fill="E7E6E6" w:themeFill="background2"/>
            <w:tcMar>
              <w:left w:w="113" w:type="dxa"/>
            </w:tcMar>
          </w:tcPr>
          <w:p w14:paraId="45B9F306" w14:textId="77777777" w:rsidR="00AC3C57" w:rsidRPr="00F4452B" w:rsidRDefault="00AC3C57">
            <w:pPr>
              <w:pStyle w:val="ARtabletext"/>
              <w:spacing w:line="220" w:lineRule="atLeast"/>
            </w:pPr>
            <w:r w:rsidRPr="00000330">
              <w:t>Strategy to support Aboriginal Victorians with cognitive disability and/or complex needs</w:t>
            </w:r>
          </w:p>
        </w:tc>
        <w:tc>
          <w:tcPr>
            <w:tcW w:w="810" w:type="pct"/>
          </w:tcPr>
          <w:p w14:paraId="09ACFB55" w14:textId="77777777" w:rsidR="00AC3C57" w:rsidRPr="00F4452B" w:rsidRDefault="00AC3C57">
            <w:pPr>
              <w:pStyle w:val="ARtabletextright"/>
            </w:pPr>
            <w:r>
              <w:t>$</w:t>
            </w:r>
            <w:r w:rsidRPr="00000330">
              <w:t>444</w:t>
            </w:r>
            <w:r>
              <w:t>,</w:t>
            </w:r>
            <w:r w:rsidRPr="00000330">
              <w:t>200</w:t>
            </w:r>
          </w:p>
        </w:tc>
        <w:tc>
          <w:tcPr>
            <w:tcW w:w="809" w:type="pct"/>
            <w:shd w:val="clear" w:color="auto" w:fill="E7E6E6" w:themeFill="background2"/>
          </w:tcPr>
          <w:p w14:paraId="4C32B0AA" w14:textId="77777777" w:rsidR="00AC3C57" w:rsidRPr="00F4452B" w:rsidRDefault="00AC3C57">
            <w:pPr>
              <w:pStyle w:val="ARtabletextright"/>
            </w:pPr>
            <w:r>
              <w:t>$</w:t>
            </w:r>
            <w:r w:rsidRPr="00000330">
              <w:t>444</w:t>
            </w:r>
            <w:r>
              <w:t>,</w:t>
            </w:r>
            <w:r w:rsidRPr="00000330">
              <w:t>200</w:t>
            </w:r>
          </w:p>
        </w:tc>
        <w:tc>
          <w:tcPr>
            <w:tcW w:w="732" w:type="pct"/>
          </w:tcPr>
          <w:p w14:paraId="4FB039DB" w14:textId="4C33360B" w:rsidR="00AC3C57" w:rsidRDefault="005C1105">
            <w:pPr>
              <w:pStyle w:val="ARtabletextright"/>
            </w:pPr>
            <w:r>
              <w:t>–</w:t>
            </w:r>
          </w:p>
        </w:tc>
      </w:tr>
      <w:tr w:rsidR="00AC3C57" w:rsidRPr="00F4452B" w14:paraId="7E64C05B" w14:textId="77777777" w:rsidTr="00A940AB">
        <w:trPr>
          <w:trHeight w:val="300"/>
        </w:trPr>
        <w:tc>
          <w:tcPr>
            <w:tcW w:w="1000" w:type="pct"/>
            <w:tcBorders>
              <w:top w:val="single" w:sz="4" w:space="0" w:color="A6A6A6" w:themeColor="accent5"/>
              <w:bottom w:val="single" w:sz="4" w:space="0" w:color="A6A6A6" w:themeColor="accent5"/>
            </w:tcBorders>
          </w:tcPr>
          <w:p w14:paraId="7586CF37" w14:textId="77777777" w:rsidR="00AC3C57" w:rsidRDefault="00AC3C57" w:rsidP="00A940AB">
            <w:pPr>
              <w:pStyle w:val="ARtabletextbold"/>
            </w:pPr>
            <w:r>
              <w:t>Senate SHJ</w:t>
            </w:r>
          </w:p>
        </w:tc>
        <w:tc>
          <w:tcPr>
            <w:tcW w:w="1649" w:type="pct"/>
            <w:shd w:val="clear" w:color="auto" w:fill="E7E6E6" w:themeFill="background2"/>
            <w:tcMar>
              <w:left w:w="113" w:type="dxa"/>
            </w:tcMar>
          </w:tcPr>
          <w:p w14:paraId="4FC85B3A" w14:textId="77777777" w:rsidR="00AC3C57" w:rsidRPr="00000330" w:rsidRDefault="00AC3C57">
            <w:pPr>
              <w:pStyle w:val="ARtabletext"/>
              <w:spacing w:line="220" w:lineRule="atLeast"/>
            </w:pPr>
            <w:r w:rsidRPr="00683A3C">
              <w:t xml:space="preserve">Roundtable </w:t>
            </w:r>
            <w:r>
              <w:t>e</w:t>
            </w:r>
            <w:r w:rsidRPr="00683A3C">
              <w:t xml:space="preserve">ngagement </w:t>
            </w:r>
            <w:r>
              <w:t>s</w:t>
            </w:r>
            <w:r w:rsidRPr="00683A3C">
              <w:t>eries</w:t>
            </w:r>
          </w:p>
        </w:tc>
        <w:tc>
          <w:tcPr>
            <w:tcW w:w="810" w:type="pct"/>
          </w:tcPr>
          <w:p w14:paraId="5460AFCA" w14:textId="77777777" w:rsidR="00AC3C57" w:rsidRDefault="00AC3C57">
            <w:pPr>
              <w:pStyle w:val="ARtabletextright"/>
            </w:pPr>
            <w:r>
              <w:t>$406,460</w:t>
            </w:r>
          </w:p>
        </w:tc>
        <w:tc>
          <w:tcPr>
            <w:tcW w:w="809" w:type="pct"/>
            <w:shd w:val="clear" w:color="auto" w:fill="E7E6E6" w:themeFill="background2"/>
          </w:tcPr>
          <w:p w14:paraId="1C44AB8E" w14:textId="77777777" w:rsidR="00AC3C57" w:rsidRDefault="00AC3C57">
            <w:pPr>
              <w:pStyle w:val="ARtabletextright"/>
            </w:pPr>
            <w:r>
              <w:t>$398,646</w:t>
            </w:r>
          </w:p>
        </w:tc>
        <w:tc>
          <w:tcPr>
            <w:tcW w:w="732" w:type="pct"/>
          </w:tcPr>
          <w:p w14:paraId="117631E4" w14:textId="0283F63F" w:rsidR="00AC3C57" w:rsidRDefault="005C1105">
            <w:pPr>
              <w:pStyle w:val="ARtabletextright"/>
            </w:pPr>
            <w:r>
              <w:t>–</w:t>
            </w:r>
          </w:p>
        </w:tc>
      </w:tr>
      <w:tr w:rsidR="00AC3C57" w:rsidRPr="00F4452B" w14:paraId="1A16F595" w14:textId="77777777" w:rsidTr="00A940AB">
        <w:trPr>
          <w:trHeight w:val="300"/>
        </w:trPr>
        <w:tc>
          <w:tcPr>
            <w:tcW w:w="1000" w:type="pct"/>
            <w:tcBorders>
              <w:top w:val="single" w:sz="4" w:space="0" w:color="A6A6A6" w:themeColor="accent5"/>
              <w:bottom w:val="single" w:sz="4" w:space="0" w:color="A6A6A6" w:themeColor="accent5"/>
            </w:tcBorders>
          </w:tcPr>
          <w:p w14:paraId="7A345CAA" w14:textId="77777777" w:rsidR="00AC3C57" w:rsidRDefault="00AC3C57" w:rsidP="00A940AB">
            <w:pPr>
              <w:pStyle w:val="ARtabletextbold"/>
            </w:pPr>
            <w:r>
              <w:t>Price Waterhouse Coopers Indigenous Consulting</w:t>
            </w:r>
          </w:p>
        </w:tc>
        <w:tc>
          <w:tcPr>
            <w:tcW w:w="1649" w:type="pct"/>
            <w:shd w:val="clear" w:color="auto" w:fill="E7E6E6" w:themeFill="background2"/>
            <w:tcMar>
              <w:left w:w="113" w:type="dxa"/>
            </w:tcMar>
          </w:tcPr>
          <w:p w14:paraId="45D3DE78" w14:textId="77777777" w:rsidR="00AC3C57" w:rsidRPr="00000330" w:rsidRDefault="00AC3C57">
            <w:pPr>
              <w:pStyle w:val="ARtabletext"/>
              <w:spacing w:line="220" w:lineRule="atLeast"/>
            </w:pPr>
            <w:r>
              <w:t>E</w:t>
            </w:r>
            <w:r w:rsidRPr="00727B55">
              <w:t>valuation of the Aboriginal-specific entry point and multidisciplinary team pilot sites</w:t>
            </w:r>
          </w:p>
        </w:tc>
        <w:tc>
          <w:tcPr>
            <w:tcW w:w="810" w:type="pct"/>
          </w:tcPr>
          <w:p w14:paraId="6C0A6D0B" w14:textId="77777777" w:rsidR="00AC3C57" w:rsidRPr="00113907" w:rsidRDefault="00AC3C57">
            <w:pPr>
              <w:pStyle w:val="ARtabletextright"/>
            </w:pPr>
            <w:r w:rsidRPr="00113907">
              <w:t>$389,719</w:t>
            </w:r>
          </w:p>
        </w:tc>
        <w:tc>
          <w:tcPr>
            <w:tcW w:w="809" w:type="pct"/>
            <w:shd w:val="clear" w:color="auto" w:fill="E7E6E6" w:themeFill="background2"/>
          </w:tcPr>
          <w:p w14:paraId="67063BD3" w14:textId="77777777" w:rsidR="00AC3C57" w:rsidRDefault="00AC3C57">
            <w:pPr>
              <w:pStyle w:val="ARtabletextright"/>
            </w:pPr>
            <w:r w:rsidRPr="00D029D1">
              <w:t>$389,719</w:t>
            </w:r>
          </w:p>
        </w:tc>
        <w:tc>
          <w:tcPr>
            <w:tcW w:w="732" w:type="pct"/>
          </w:tcPr>
          <w:p w14:paraId="7531FF2A" w14:textId="2C983160" w:rsidR="00AC3C57" w:rsidRDefault="005C1105">
            <w:pPr>
              <w:pStyle w:val="ARtabletextright"/>
            </w:pPr>
            <w:r>
              <w:t>–</w:t>
            </w:r>
          </w:p>
        </w:tc>
      </w:tr>
      <w:tr w:rsidR="00AC3C57" w:rsidRPr="00F4452B" w14:paraId="093C6668" w14:textId="77777777" w:rsidTr="00A940AB">
        <w:trPr>
          <w:trHeight w:val="300"/>
        </w:trPr>
        <w:tc>
          <w:tcPr>
            <w:tcW w:w="1000" w:type="pct"/>
            <w:tcBorders>
              <w:top w:val="single" w:sz="4" w:space="0" w:color="A6A6A6" w:themeColor="accent5"/>
              <w:bottom w:val="single" w:sz="4" w:space="0" w:color="A6A6A6" w:themeColor="accent5"/>
            </w:tcBorders>
          </w:tcPr>
          <w:p w14:paraId="7DD80A66" w14:textId="77777777" w:rsidR="00AC3C57" w:rsidRDefault="00AC3C57" w:rsidP="00A940AB">
            <w:pPr>
              <w:pStyle w:val="ARtabletextbold"/>
            </w:pPr>
            <w:r w:rsidRPr="00F4452B">
              <w:t>Right Lane Consulting Pty</w:t>
            </w:r>
            <w:r>
              <w:t xml:space="preserve"> </w:t>
            </w:r>
            <w:r w:rsidRPr="00F4452B">
              <w:t>Ltd</w:t>
            </w:r>
          </w:p>
        </w:tc>
        <w:tc>
          <w:tcPr>
            <w:tcW w:w="1649" w:type="pct"/>
            <w:shd w:val="clear" w:color="auto" w:fill="E7E6E6" w:themeFill="background2"/>
            <w:tcMar>
              <w:left w:w="113" w:type="dxa"/>
            </w:tcMar>
          </w:tcPr>
          <w:p w14:paraId="6413F0E0" w14:textId="77777777" w:rsidR="00AC3C57" w:rsidRDefault="00AC3C57">
            <w:pPr>
              <w:pStyle w:val="ARtabletext"/>
              <w:spacing w:line="220" w:lineRule="atLeast"/>
            </w:pPr>
            <w:r w:rsidRPr="00331504">
              <w:t xml:space="preserve">Specialist </w:t>
            </w:r>
            <w:r>
              <w:t>d</w:t>
            </w:r>
            <w:r w:rsidRPr="00331504">
              <w:t xml:space="preserve">isability </w:t>
            </w:r>
            <w:r>
              <w:t>a</w:t>
            </w:r>
            <w:r w:rsidRPr="00331504">
              <w:t xml:space="preserve">ccommodation </w:t>
            </w:r>
            <w:r>
              <w:t>v</w:t>
            </w:r>
            <w:r w:rsidRPr="00331504">
              <w:t xml:space="preserve">acancy </w:t>
            </w:r>
            <w:r>
              <w:t>m</w:t>
            </w:r>
            <w:r w:rsidRPr="00331504">
              <w:t xml:space="preserve">anagement </w:t>
            </w:r>
            <w:r>
              <w:t>p</w:t>
            </w:r>
            <w:r w:rsidRPr="00331504">
              <w:t xml:space="preserve">olicy and </w:t>
            </w:r>
            <w:r>
              <w:t>p</w:t>
            </w:r>
            <w:r w:rsidRPr="00331504">
              <w:t xml:space="preserve">rocess </w:t>
            </w:r>
            <w:r>
              <w:t>r</w:t>
            </w:r>
            <w:r w:rsidRPr="00331504">
              <w:t>eform</w:t>
            </w:r>
          </w:p>
        </w:tc>
        <w:tc>
          <w:tcPr>
            <w:tcW w:w="810" w:type="pct"/>
          </w:tcPr>
          <w:p w14:paraId="6C0CAB19" w14:textId="77777777" w:rsidR="00AC3C57" w:rsidRPr="00113907" w:rsidRDefault="00AC3C57">
            <w:pPr>
              <w:pStyle w:val="ARtabletextright"/>
            </w:pPr>
            <w:r>
              <w:t>$</w:t>
            </w:r>
            <w:r w:rsidRPr="00E608CF">
              <w:t>299</w:t>
            </w:r>
            <w:r>
              <w:t>,</w:t>
            </w:r>
            <w:r w:rsidRPr="00E608CF">
              <w:t>035</w:t>
            </w:r>
          </w:p>
        </w:tc>
        <w:tc>
          <w:tcPr>
            <w:tcW w:w="809" w:type="pct"/>
            <w:shd w:val="clear" w:color="auto" w:fill="E7E6E6" w:themeFill="background2"/>
          </w:tcPr>
          <w:p w14:paraId="3D0CC33C" w14:textId="77777777" w:rsidR="00AC3C57" w:rsidRPr="00113907" w:rsidRDefault="00AC3C57">
            <w:pPr>
              <w:pStyle w:val="ARtabletextright"/>
            </w:pPr>
            <w:r>
              <w:t>$</w:t>
            </w:r>
            <w:r w:rsidRPr="00E608CF">
              <w:t>299</w:t>
            </w:r>
            <w:r>
              <w:t>,</w:t>
            </w:r>
            <w:r w:rsidRPr="00E608CF">
              <w:t>035</w:t>
            </w:r>
          </w:p>
        </w:tc>
        <w:tc>
          <w:tcPr>
            <w:tcW w:w="732" w:type="pct"/>
          </w:tcPr>
          <w:p w14:paraId="2DAAB708" w14:textId="69145787" w:rsidR="00AC3C57" w:rsidRDefault="005C1105">
            <w:pPr>
              <w:pStyle w:val="ARtabletextright"/>
            </w:pPr>
            <w:r>
              <w:t>–</w:t>
            </w:r>
          </w:p>
        </w:tc>
      </w:tr>
      <w:tr w:rsidR="00AC3C57" w:rsidRPr="00F4452B" w14:paraId="0830752B" w14:textId="77777777" w:rsidTr="00A940AB">
        <w:trPr>
          <w:trHeight w:val="300"/>
        </w:trPr>
        <w:tc>
          <w:tcPr>
            <w:tcW w:w="1000" w:type="pct"/>
            <w:tcBorders>
              <w:top w:val="single" w:sz="4" w:space="0" w:color="A6A6A6" w:themeColor="accent5"/>
              <w:bottom w:val="single" w:sz="4" w:space="0" w:color="A6A6A6" w:themeColor="accent5"/>
            </w:tcBorders>
          </w:tcPr>
          <w:p w14:paraId="6D31559B" w14:textId="77777777" w:rsidR="00AC3C57" w:rsidRPr="00F4452B" w:rsidRDefault="00AC3C57" w:rsidP="00A940AB">
            <w:pPr>
              <w:pStyle w:val="ARtabletextbold"/>
            </w:pPr>
            <w:r w:rsidRPr="009B1B78">
              <w:t>C</w:t>
            </w:r>
            <w:r>
              <w:t>harter X Pty Ltd</w:t>
            </w:r>
          </w:p>
        </w:tc>
        <w:tc>
          <w:tcPr>
            <w:tcW w:w="1649" w:type="pct"/>
            <w:shd w:val="clear" w:color="auto" w:fill="E7E6E6" w:themeFill="background2"/>
            <w:tcMar>
              <w:left w:w="113" w:type="dxa"/>
            </w:tcMar>
          </w:tcPr>
          <w:p w14:paraId="18AE137F" w14:textId="77777777" w:rsidR="00AC3C57" w:rsidRPr="00331504" w:rsidRDefault="00AC3C57">
            <w:pPr>
              <w:pStyle w:val="ARtabletext"/>
              <w:spacing w:line="220" w:lineRule="atLeast"/>
            </w:pPr>
            <w:r w:rsidRPr="006E1803">
              <w:t xml:space="preserve">ICT road map and options analysis for business case re </w:t>
            </w:r>
            <w:r>
              <w:t>a</w:t>
            </w:r>
            <w:r w:rsidRPr="006E1803">
              <w:t xml:space="preserve">geing </w:t>
            </w:r>
            <w:r>
              <w:t>i</w:t>
            </w:r>
            <w:r w:rsidRPr="006E1803">
              <w:t>nfrastructure</w:t>
            </w:r>
          </w:p>
        </w:tc>
        <w:tc>
          <w:tcPr>
            <w:tcW w:w="810" w:type="pct"/>
          </w:tcPr>
          <w:p w14:paraId="692EB019" w14:textId="77777777" w:rsidR="00AC3C57" w:rsidRPr="00D942A9" w:rsidRDefault="00AC3C57">
            <w:pPr>
              <w:pStyle w:val="ARtabletextright"/>
            </w:pPr>
            <w:r w:rsidRPr="00D942A9">
              <w:t>$264,723</w:t>
            </w:r>
          </w:p>
        </w:tc>
        <w:tc>
          <w:tcPr>
            <w:tcW w:w="809" w:type="pct"/>
            <w:shd w:val="clear" w:color="auto" w:fill="E7E6E6" w:themeFill="background2"/>
          </w:tcPr>
          <w:p w14:paraId="3F269B6E" w14:textId="77777777" w:rsidR="00AC3C57" w:rsidRPr="00D942A9" w:rsidRDefault="00AC3C57">
            <w:pPr>
              <w:pStyle w:val="ARtabletextright"/>
            </w:pPr>
            <w:r w:rsidRPr="00D942A9">
              <w:t>$264,723</w:t>
            </w:r>
          </w:p>
        </w:tc>
        <w:tc>
          <w:tcPr>
            <w:tcW w:w="732" w:type="pct"/>
          </w:tcPr>
          <w:p w14:paraId="47259776" w14:textId="5035820E" w:rsidR="00AC3C57" w:rsidRPr="00D942A9" w:rsidRDefault="005C1105">
            <w:pPr>
              <w:pStyle w:val="ARtabletextright"/>
            </w:pPr>
            <w:r>
              <w:t>–</w:t>
            </w:r>
          </w:p>
        </w:tc>
      </w:tr>
      <w:tr w:rsidR="00AC3C57" w:rsidRPr="00F4452B" w14:paraId="587BB8E9" w14:textId="77777777" w:rsidTr="00A940AB">
        <w:trPr>
          <w:trHeight w:val="300"/>
        </w:trPr>
        <w:tc>
          <w:tcPr>
            <w:tcW w:w="1000" w:type="pct"/>
            <w:tcBorders>
              <w:top w:val="single" w:sz="4" w:space="0" w:color="A6A6A6" w:themeColor="accent5"/>
              <w:bottom w:val="single" w:sz="4" w:space="0" w:color="A6A6A6" w:themeColor="accent5"/>
            </w:tcBorders>
          </w:tcPr>
          <w:p w14:paraId="460BAA4B" w14:textId="4D0D6F20" w:rsidR="00AC3C57" w:rsidRPr="00F4452B" w:rsidRDefault="00B93C09" w:rsidP="00A940AB">
            <w:pPr>
              <w:pStyle w:val="ARtabletextbold"/>
            </w:pPr>
            <w:r>
              <w:t>Ernst &amp; Young Services Pty Ltd</w:t>
            </w:r>
          </w:p>
        </w:tc>
        <w:tc>
          <w:tcPr>
            <w:tcW w:w="1649" w:type="pct"/>
            <w:tcBorders>
              <w:bottom w:val="single" w:sz="4" w:space="0" w:color="A6A6A6" w:themeColor="accent5"/>
            </w:tcBorders>
            <w:shd w:val="clear" w:color="auto" w:fill="E7E6E6" w:themeFill="background2"/>
            <w:tcMar>
              <w:left w:w="113" w:type="dxa"/>
            </w:tcMar>
          </w:tcPr>
          <w:p w14:paraId="4890D783" w14:textId="77777777" w:rsidR="00AC3C57" w:rsidRPr="00331504" w:rsidRDefault="00AC3C57">
            <w:pPr>
              <w:pStyle w:val="ARtabletext"/>
              <w:spacing w:line="220" w:lineRule="atLeast"/>
            </w:pPr>
            <w:r w:rsidRPr="00390979">
              <w:t xml:space="preserve">Adolescent Family Violence in the Home </w:t>
            </w:r>
            <w:r>
              <w:t>–</w:t>
            </w:r>
            <w:r w:rsidRPr="00390979">
              <w:t xml:space="preserve"> </w:t>
            </w:r>
            <w:r>
              <w:t>l</w:t>
            </w:r>
            <w:r w:rsidRPr="00390979">
              <w:t xml:space="preserve">apsing </w:t>
            </w:r>
            <w:r>
              <w:t>p</w:t>
            </w:r>
            <w:r w:rsidRPr="00390979">
              <w:t xml:space="preserve">rogram </w:t>
            </w:r>
            <w:r>
              <w:t>e</w:t>
            </w:r>
            <w:r w:rsidRPr="00390979">
              <w:t>valuation</w:t>
            </w:r>
          </w:p>
        </w:tc>
        <w:tc>
          <w:tcPr>
            <w:tcW w:w="810" w:type="pct"/>
            <w:tcBorders>
              <w:bottom w:val="single" w:sz="4" w:space="0" w:color="A6A6A6" w:themeColor="accent5"/>
            </w:tcBorders>
          </w:tcPr>
          <w:p w14:paraId="77A89560" w14:textId="77777777" w:rsidR="00AC3C57" w:rsidRDefault="00AC3C57">
            <w:pPr>
              <w:pStyle w:val="ARtabletextright"/>
            </w:pPr>
            <w:r>
              <w:t>$</w:t>
            </w:r>
            <w:r w:rsidRPr="00325144">
              <w:t>509</w:t>
            </w:r>
            <w:r>
              <w:t>,</w:t>
            </w:r>
            <w:r w:rsidRPr="00325144">
              <w:t>659</w:t>
            </w:r>
          </w:p>
        </w:tc>
        <w:tc>
          <w:tcPr>
            <w:tcW w:w="809" w:type="pct"/>
            <w:tcBorders>
              <w:bottom w:val="single" w:sz="4" w:space="0" w:color="A6A6A6" w:themeColor="accent5"/>
            </w:tcBorders>
            <w:shd w:val="clear" w:color="auto" w:fill="E7E6E6" w:themeFill="background2"/>
          </w:tcPr>
          <w:p w14:paraId="19778D72" w14:textId="77777777" w:rsidR="00AC3C57" w:rsidRDefault="00AC3C57">
            <w:pPr>
              <w:pStyle w:val="ARtabletextright"/>
            </w:pPr>
            <w:r>
              <w:t>$</w:t>
            </w:r>
            <w:r w:rsidRPr="00325144">
              <w:t>270</w:t>
            </w:r>
            <w:r>
              <w:t>,</w:t>
            </w:r>
            <w:r w:rsidRPr="00325144">
              <w:t>522</w:t>
            </w:r>
          </w:p>
        </w:tc>
        <w:tc>
          <w:tcPr>
            <w:tcW w:w="732" w:type="pct"/>
            <w:tcBorders>
              <w:bottom w:val="single" w:sz="4" w:space="0" w:color="A6A6A6" w:themeColor="accent5"/>
            </w:tcBorders>
          </w:tcPr>
          <w:p w14:paraId="1A7A14C6" w14:textId="1F707E51" w:rsidR="00AC3C57" w:rsidRDefault="005C1105">
            <w:pPr>
              <w:pStyle w:val="ARtabletextright"/>
            </w:pPr>
            <w:r>
              <w:t>–</w:t>
            </w:r>
          </w:p>
        </w:tc>
      </w:tr>
      <w:tr w:rsidR="00AC3C57" w:rsidRPr="00F4452B" w14:paraId="05F5E9CF" w14:textId="77777777" w:rsidTr="00A940AB">
        <w:trPr>
          <w:trHeight w:val="300"/>
        </w:trPr>
        <w:tc>
          <w:tcPr>
            <w:tcW w:w="1000" w:type="pct"/>
            <w:tcBorders>
              <w:top w:val="single" w:sz="4" w:space="0" w:color="A6A6A6" w:themeColor="accent5"/>
              <w:bottom w:val="single" w:sz="4" w:space="0" w:color="A6A6A6" w:themeColor="accent5"/>
            </w:tcBorders>
          </w:tcPr>
          <w:p w14:paraId="1D719957" w14:textId="77777777" w:rsidR="00AC3C57" w:rsidRPr="00F4452B" w:rsidRDefault="00AC3C57" w:rsidP="00A940AB">
            <w:pPr>
              <w:pStyle w:val="ARtabletextbold"/>
            </w:pPr>
            <w:r w:rsidRPr="00F4452B">
              <w:t>Nous Group Pty Ltd</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2A145827" w14:textId="1C23B345" w:rsidR="00AC3C57" w:rsidRPr="00331504" w:rsidRDefault="00D43AA4">
            <w:pPr>
              <w:pStyle w:val="ARtabletext"/>
              <w:spacing w:line="220" w:lineRule="atLeast"/>
            </w:pPr>
            <w:r w:rsidRPr="00605B12">
              <w:t xml:space="preserve">The Orange Door </w:t>
            </w:r>
            <w:r>
              <w:t>Governance and Accountability review</w:t>
            </w:r>
          </w:p>
        </w:tc>
        <w:tc>
          <w:tcPr>
            <w:tcW w:w="810" w:type="pct"/>
            <w:tcBorders>
              <w:top w:val="single" w:sz="4" w:space="0" w:color="A6A6A6" w:themeColor="accent5"/>
              <w:bottom w:val="single" w:sz="4" w:space="0" w:color="A6A6A6" w:themeColor="accent5"/>
            </w:tcBorders>
          </w:tcPr>
          <w:p w14:paraId="698696D3" w14:textId="77777777" w:rsidR="00AC3C57" w:rsidRDefault="00AC3C57">
            <w:pPr>
              <w:pStyle w:val="ARtabletextright"/>
            </w:pPr>
            <w:r>
              <w:t>$</w:t>
            </w:r>
            <w:r w:rsidRPr="0080645D">
              <w:t>263</w:t>
            </w:r>
            <w:r>
              <w:t>,</w:t>
            </w:r>
            <w:r w:rsidRPr="0080645D">
              <w:t>600</w:t>
            </w:r>
          </w:p>
        </w:tc>
        <w:tc>
          <w:tcPr>
            <w:tcW w:w="809" w:type="pct"/>
            <w:tcBorders>
              <w:top w:val="single" w:sz="4" w:space="0" w:color="A6A6A6" w:themeColor="accent5"/>
              <w:bottom w:val="single" w:sz="4" w:space="0" w:color="A6A6A6" w:themeColor="accent5"/>
            </w:tcBorders>
            <w:shd w:val="clear" w:color="auto" w:fill="E7E6E6" w:themeFill="background2"/>
          </w:tcPr>
          <w:p w14:paraId="6B550181" w14:textId="77777777" w:rsidR="00AC3C57" w:rsidRDefault="00AC3C57">
            <w:pPr>
              <w:pStyle w:val="ARtabletextright"/>
            </w:pPr>
            <w:r>
              <w:t>$</w:t>
            </w:r>
            <w:r w:rsidRPr="0080645D">
              <w:t>263</w:t>
            </w:r>
            <w:r>
              <w:t>,</w:t>
            </w:r>
            <w:r w:rsidRPr="0080645D">
              <w:t>600</w:t>
            </w:r>
          </w:p>
        </w:tc>
        <w:tc>
          <w:tcPr>
            <w:tcW w:w="732" w:type="pct"/>
            <w:tcBorders>
              <w:top w:val="single" w:sz="4" w:space="0" w:color="A6A6A6" w:themeColor="accent5"/>
              <w:bottom w:val="single" w:sz="4" w:space="0" w:color="A6A6A6" w:themeColor="accent5"/>
            </w:tcBorders>
          </w:tcPr>
          <w:p w14:paraId="37279E6F" w14:textId="63AAE08F" w:rsidR="00AC3C57" w:rsidRDefault="005C1105">
            <w:pPr>
              <w:pStyle w:val="ARtabletextright"/>
            </w:pPr>
            <w:r>
              <w:t>–</w:t>
            </w:r>
          </w:p>
        </w:tc>
      </w:tr>
      <w:tr w:rsidR="00AC3C57" w:rsidRPr="00F4452B" w14:paraId="0AAECE1B" w14:textId="77777777" w:rsidTr="00A940AB">
        <w:trPr>
          <w:trHeight w:val="300"/>
        </w:trPr>
        <w:tc>
          <w:tcPr>
            <w:tcW w:w="1000" w:type="pct"/>
            <w:tcBorders>
              <w:top w:val="single" w:sz="4" w:space="0" w:color="A6A6A6" w:themeColor="accent5"/>
              <w:bottom w:val="single" w:sz="4" w:space="0" w:color="A6A6A6" w:themeColor="accent5"/>
            </w:tcBorders>
          </w:tcPr>
          <w:p w14:paraId="461769BD" w14:textId="77777777" w:rsidR="00AC3C57" w:rsidRPr="00F4452B" w:rsidRDefault="00AC3C57" w:rsidP="00A940AB">
            <w:pPr>
              <w:pStyle w:val="ARtabletextbold"/>
            </w:pPr>
            <w:r w:rsidRPr="00F4452B">
              <w:t>Lionheart Consulting Australia</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0B4052B4" w14:textId="77777777" w:rsidR="00AC3C57" w:rsidRPr="00331504" w:rsidRDefault="00AC3C57">
            <w:pPr>
              <w:pStyle w:val="ARtabletext"/>
              <w:spacing w:line="220" w:lineRule="atLeast"/>
            </w:pPr>
            <w:r w:rsidRPr="00495D8A">
              <w:t>Drafting the third family violence Rolling Action Plan and project support for The Orange Door governance project</w:t>
            </w:r>
          </w:p>
        </w:tc>
        <w:tc>
          <w:tcPr>
            <w:tcW w:w="810" w:type="pct"/>
            <w:tcBorders>
              <w:top w:val="single" w:sz="4" w:space="0" w:color="A6A6A6" w:themeColor="accent5"/>
              <w:bottom w:val="single" w:sz="4" w:space="0" w:color="A6A6A6" w:themeColor="accent5"/>
            </w:tcBorders>
          </w:tcPr>
          <w:p w14:paraId="3DB16B1A" w14:textId="77777777" w:rsidR="00AC3C57" w:rsidRDefault="00AC3C57">
            <w:pPr>
              <w:pStyle w:val="ARtabletextright"/>
            </w:pPr>
            <w:r>
              <w:t>$</w:t>
            </w:r>
            <w:r w:rsidRPr="00D2405C">
              <w:t>386</w:t>
            </w:r>
            <w:r>
              <w:t>,</w:t>
            </w:r>
            <w:r w:rsidRPr="00D2405C">
              <w:t>650</w:t>
            </w:r>
          </w:p>
        </w:tc>
        <w:tc>
          <w:tcPr>
            <w:tcW w:w="809" w:type="pct"/>
            <w:tcBorders>
              <w:top w:val="single" w:sz="4" w:space="0" w:color="A6A6A6" w:themeColor="accent5"/>
              <w:bottom w:val="single" w:sz="4" w:space="0" w:color="A6A6A6" w:themeColor="accent5"/>
            </w:tcBorders>
            <w:shd w:val="clear" w:color="auto" w:fill="E7E6E6" w:themeFill="background2"/>
          </w:tcPr>
          <w:p w14:paraId="5A66A8A0" w14:textId="77777777" w:rsidR="00AC3C57" w:rsidRDefault="00AC3C57">
            <w:pPr>
              <w:pStyle w:val="ARtabletextright"/>
            </w:pPr>
            <w:r>
              <w:t>$</w:t>
            </w:r>
            <w:r w:rsidRPr="00D2405C">
              <w:t>260</w:t>
            </w:r>
            <w:r>
              <w:t>,</w:t>
            </w:r>
            <w:r w:rsidRPr="00D2405C">
              <w:t>644</w:t>
            </w:r>
          </w:p>
        </w:tc>
        <w:tc>
          <w:tcPr>
            <w:tcW w:w="732" w:type="pct"/>
            <w:tcBorders>
              <w:top w:val="single" w:sz="4" w:space="0" w:color="A6A6A6" w:themeColor="accent5"/>
              <w:bottom w:val="single" w:sz="4" w:space="0" w:color="A6A6A6" w:themeColor="accent5"/>
            </w:tcBorders>
          </w:tcPr>
          <w:p w14:paraId="2F5FD659" w14:textId="77777777" w:rsidR="00AC3C57" w:rsidRDefault="00AC3C57">
            <w:pPr>
              <w:pStyle w:val="ARtabletextright"/>
            </w:pPr>
            <w:r>
              <w:t>$</w:t>
            </w:r>
            <w:r w:rsidRPr="00D32381">
              <w:t>126</w:t>
            </w:r>
            <w:r>
              <w:t>,</w:t>
            </w:r>
            <w:r w:rsidRPr="00D32381">
              <w:t>006</w:t>
            </w:r>
          </w:p>
        </w:tc>
      </w:tr>
      <w:tr w:rsidR="00AC3C57" w:rsidRPr="00F4452B" w14:paraId="61E318A3" w14:textId="77777777" w:rsidTr="00A940AB">
        <w:trPr>
          <w:trHeight w:val="300"/>
        </w:trPr>
        <w:tc>
          <w:tcPr>
            <w:tcW w:w="1000" w:type="pct"/>
            <w:tcBorders>
              <w:top w:val="single" w:sz="4" w:space="0" w:color="A6A6A6" w:themeColor="accent5"/>
              <w:bottom w:val="single" w:sz="4" w:space="0" w:color="A6A6A6" w:themeColor="accent5"/>
            </w:tcBorders>
          </w:tcPr>
          <w:p w14:paraId="6F259701" w14:textId="77777777" w:rsidR="00AC3C57" w:rsidRPr="00F4452B" w:rsidRDefault="00AC3C57" w:rsidP="00A940AB">
            <w:pPr>
              <w:pStyle w:val="ARtabletextbold"/>
            </w:pPr>
            <w:proofErr w:type="spellStart"/>
            <w:r>
              <w:t>Abstarr</w:t>
            </w:r>
            <w:proofErr w:type="spellEnd"/>
            <w:r>
              <w:t xml:space="preserve"> </w:t>
            </w:r>
            <w:r w:rsidRPr="002D081E">
              <w:t>C</w:t>
            </w:r>
            <w:r>
              <w:t xml:space="preserve">onsulting </w:t>
            </w:r>
            <w:r w:rsidRPr="002D081E">
              <w:t>P</w:t>
            </w:r>
            <w:r>
              <w:t xml:space="preserve">ty </w:t>
            </w:r>
            <w:r w:rsidRPr="002D081E">
              <w:t>L</w:t>
            </w:r>
            <w:r>
              <w:t>td</w:t>
            </w:r>
          </w:p>
        </w:tc>
        <w:tc>
          <w:tcPr>
            <w:tcW w:w="1649" w:type="pct"/>
            <w:tcBorders>
              <w:top w:val="single" w:sz="4" w:space="0" w:color="A6A6A6" w:themeColor="accent5"/>
            </w:tcBorders>
            <w:shd w:val="clear" w:color="auto" w:fill="E7E6E6" w:themeFill="background2"/>
            <w:tcMar>
              <w:left w:w="113" w:type="dxa"/>
            </w:tcMar>
          </w:tcPr>
          <w:p w14:paraId="101F0038" w14:textId="22E8D9E1" w:rsidR="00AC3C57" w:rsidRPr="00331504" w:rsidRDefault="00AC3C57">
            <w:pPr>
              <w:pStyle w:val="ARtabletext"/>
              <w:spacing w:line="220" w:lineRule="atLeast"/>
            </w:pPr>
            <w:r w:rsidRPr="00461321">
              <w:t xml:space="preserve">DFFH Aboriginal </w:t>
            </w:r>
            <w:r>
              <w:t>s</w:t>
            </w:r>
            <w:r w:rsidRPr="00461321">
              <w:t xml:space="preserve">ector </w:t>
            </w:r>
            <w:r>
              <w:t>w</w:t>
            </w:r>
            <w:r w:rsidRPr="00461321">
              <w:t>orkforce</w:t>
            </w:r>
            <w:r w:rsidR="000C235D">
              <w:t> </w:t>
            </w:r>
            <w:r>
              <w:t>s</w:t>
            </w:r>
            <w:r w:rsidRPr="00461321">
              <w:t>trategy</w:t>
            </w:r>
          </w:p>
        </w:tc>
        <w:tc>
          <w:tcPr>
            <w:tcW w:w="810" w:type="pct"/>
            <w:tcBorders>
              <w:top w:val="single" w:sz="4" w:space="0" w:color="A6A6A6" w:themeColor="accent5"/>
            </w:tcBorders>
          </w:tcPr>
          <w:p w14:paraId="10582BC1" w14:textId="77777777" w:rsidR="00AC3C57" w:rsidRDefault="00AC3C57">
            <w:pPr>
              <w:pStyle w:val="ARtabletextright"/>
            </w:pPr>
            <w:r>
              <w:t>$</w:t>
            </w:r>
            <w:r w:rsidRPr="00461321">
              <w:t>338</w:t>
            </w:r>
            <w:r>
              <w:t>,</w:t>
            </w:r>
            <w:r w:rsidRPr="00461321">
              <w:t>920</w:t>
            </w:r>
          </w:p>
        </w:tc>
        <w:tc>
          <w:tcPr>
            <w:tcW w:w="809" w:type="pct"/>
            <w:tcBorders>
              <w:top w:val="single" w:sz="4" w:space="0" w:color="A6A6A6" w:themeColor="accent5"/>
            </w:tcBorders>
            <w:shd w:val="clear" w:color="auto" w:fill="E7E6E6" w:themeFill="background2"/>
          </w:tcPr>
          <w:p w14:paraId="21934290" w14:textId="77777777" w:rsidR="00AC3C57" w:rsidRDefault="00AC3C57">
            <w:pPr>
              <w:pStyle w:val="ARtabletextright"/>
            </w:pPr>
            <w:r>
              <w:t>$</w:t>
            </w:r>
            <w:r w:rsidRPr="00EA393C">
              <w:t>238</w:t>
            </w:r>
            <w:r>
              <w:t>,</w:t>
            </w:r>
            <w:r w:rsidRPr="00EA393C">
              <w:t>920</w:t>
            </w:r>
          </w:p>
        </w:tc>
        <w:tc>
          <w:tcPr>
            <w:tcW w:w="732" w:type="pct"/>
            <w:tcBorders>
              <w:top w:val="single" w:sz="4" w:space="0" w:color="A6A6A6" w:themeColor="accent5"/>
            </w:tcBorders>
          </w:tcPr>
          <w:p w14:paraId="296D51AD" w14:textId="77777777" w:rsidR="00AC3C57" w:rsidRDefault="00AC3C57">
            <w:pPr>
              <w:pStyle w:val="ARtabletextright"/>
            </w:pPr>
            <w:r>
              <w:t>$</w:t>
            </w:r>
            <w:r w:rsidRPr="00EA393C">
              <w:t>100</w:t>
            </w:r>
            <w:r>
              <w:t>,</w:t>
            </w:r>
            <w:r w:rsidRPr="00EA393C">
              <w:t>000</w:t>
            </w:r>
          </w:p>
        </w:tc>
      </w:tr>
      <w:tr w:rsidR="00AC3C57" w:rsidRPr="00F4452B" w14:paraId="4D78666F" w14:textId="77777777" w:rsidTr="00A940AB">
        <w:trPr>
          <w:trHeight w:val="300"/>
        </w:trPr>
        <w:tc>
          <w:tcPr>
            <w:tcW w:w="1000" w:type="pct"/>
            <w:tcBorders>
              <w:top w:val="single" w:sz="4" w:space="0" w:color="A6A6A6" w:themeColor="accent5"/>
              <w:bottom w:val="single" w:sz="4" w:space="0" w:color="A6A6A6" w:themeColor="accent5"/>
            </w:tcBorders>
          </w:tcPr>
          <w:p w14:paraId="6035074B" w14:textId="77777777" w:rsidR="00AC3C57" w:rsidRPr="00F4452B" w:rsidRDefault="00AC3C57" w:rsidP="00A940AB">
            <w:pPr>
              <w:pStyle w:val="ARtabletextbold"/>
            </w:pPr>
            <w:r w:rsidRPr="00A54EA9">
              <w:t>Deloitte Touche Tohmatsu</w:t>
            </w:r>
          </w:p>
        </w:tc>
        <w:tc>
          <w:tcPr>
            <w:tcW w:w="1649" w:type="pct"/>
            <w:shd w:val="clear" w:color="auto" w:fill="E7E6E6" w:themeFill="background2"/>
            <w:tcMar>
              <w:left w:w="113" w:type="dxa"/>
            </w:tcMar>
          </w:tcPr>
          <w:p w14:paraId="6D65BF88" w14:textId="79578C15" w:rsidR="00AC3C57" w:rsidRPr="00331504" w:rsidRDefault="00F30376">
            <w:pPr>
              <w:pStyle w:val="ARtabletext"/>
              <w:spacing w:line="220" w:lineRule="atLeast"/>
            </w:pPr>
            <w:r w:rsidRPr="00A906A4">
              <w:t xml:space="preserve">Evaluations of </w:t>
            </w:r>
            <w:r w:rsidRPr="00F30376">
              <w:t xml:space="preserve">Community </w:t>
            </w:r>
            <w:r w:rsidRPr="00A906A4">
              <w:t>S</w:t>
            </w:r>
            <w:r w:rsidRPr="00C63558">
              <w:t xml:space="preserve">upport </w:t>
            </w:r>
            <w:r w:rsidRPr="00A906A4">
              <w:t>G</w:t>
            </w:r>
            <w:r w:rsidRPr="00C63558">
              <w:t>roups</w:t>
            </w:r>
            <w:r w:rsidRPr="00F30376">
              <w:t xml:space="preserve"> and Le Mana Pasifika Project evaluation 2024 </w:t>
            </w:r>
          </w:p>
        </w:tc>
        <w:tc>
          <w:tcPr>
            <w:tcW w:w="810" w:type="pct"/>
          </w:tcPr>
          <w:p w14:paraId="7371A4D6" w14:textId="77777777" w:rsidR="00AC3C57" w:rsidRDefault="00AC3C57">
            <w:pPr>
              <w:pStyle w:val="ARtabletextright"/>
            </w:pPr>
            <w:r>
              <w:rPr>
                <w:color w:val="000000"/>
              </w:rPr>
              <w:t>$222,007</w:t>
            </w:r>
          </w:p>
        </w:tc>
        <w:tc>
          <w:tcPr>
            <w:tcW w:w="809" w:type="pct"/>
            <w:shd w:val="clear" w:color="auto" w:fill="E7E6E6" w:themeFill="background2"/>
          </w:tcPr>
          <w:p w14:paraId="69CD9D40" w14:textId="77777777" w:rsidR="00AC3C57" w:rsidRDefault="00AC3C57">
            <w:pPr>
              <w:pStyle w:val="ARtabletextright"/>
            </w:pPr>
            <w:r>
              <w:rPr>
                <w:color w:val="000000"/>
              </w:rPr>
              <w:t>$222,007</w:t>
            </w:r>
          </w:p>
        </w:tc>
        <w:tc>
          <w:tcPr>
            <w:tcW w:w="732" w:type="pct"/>
          </w:tcPr>
          <w:p w14:paraId="101695AA" w14:textId="18C93E7E" w:rsidR="00AC3C57" w:rsidRDefault="005C1105">
            <w:pPr>
              <w:pStyle w:val="ARtabletextright"/>
            </w:pPr>
            <w:r>
              <w:t>–</w:t>
            </w:r>
          </w:p>
        </w:tc>
      </w:tr>
      <w:tr w:rsidR="00AC3C57" w:rsidRPr="00F4452B" w14:paraId="3C7DDDFF" w14:textId="77777777" w:rsidTr="00A940AB">
        <w:trPr>
          <w:trHeight w:val="300"/>
        </w:trPr>
        <w:tc>
          <w:tcPr>
            <w:tcW w:w="1000" w:type="pct"/>
            <w:tcBorders>
              <w:top w:val="single" w:sz="4" w:space="0" w:color="A6A6A6" w:themeColor="accent5"/>
              <w:bottom w:val="single" w:sz="4" w:space="0" w:color="A6A6A6" w:themeColor="accent5"/>
            </w:tcBorders>
          </w:tcPr>
          <w:p w14:paraId="1EFE9BB3" w14:textId="77777777" w:rsidR="00AC3C57" w:rsidRPr="00F4452B" w:rsidRDefault="00AC3C57" w:rsidP="00A940AB">
            <w:pPr>
              <w:pStyle w:val="ARtabletextbold"/>
            </w:pPr>
            <w:r w:rsidRPr="00F4452B">
              <w:t>The University of Melbourne</w:t>
            </w:r>
          </w:p>
        </w:tc>
        <w:tc>
          <w:tcPr>
            <w:tcW w:w="1649" w:type="pct"/>
            <w:shd w:val="clear" w:color="auto" w:fill="E7E6E6" w:themeFill="background2"/>
            <w:tcMar>
              <w:left w:w="113" w:type="dxa"/>
            </w:tcMar>
          </w:tcPr>
          <w:p w14:paraId="28A7E0AB" w14:textId="77777777" w:rsidR="00AC3C57" w:rsidRPr="00331504" w:rsidRDefault="00AC3C57">
            <w:pPr>
              <w:pStyle w:val="ARtabletext"/>
              <w:spacing w:line="220" w:lineRule="atLeast"/>
            </w:pPr>
            <w:r w:rsidRPr="00F4452B">
              <w:t xml:space="preserve">Beginning Practice Program </w:t>
            </w:r>
            <w:r>
              <w:t>t</w:t>
            </w:r>
            <w:r w:rsidRPr="00F4452B">
              <w:t>raining and</w:t>
            </w:r>
            <w:r>
              <w:t xml:space="preserve"> d</w:t>
            </w:r>
            <w:r w:rsidRPr="00F4452B">
              <w:t>evelopment</w:t>
            </w:r>
          </w:p>
        </w:tc>
        <w:tc>
          <w:tcPr>
            <w:tcW w:w="810" w:type="pct"/>
          </w:tcPr>
          <w:p w14:paraId="4B62D444" w14:textId="77777777" w:rsidR="00AC3C57" w:rsidRDefault="00AC3C57">
            <w:pPr>
              <w:pStyle w:val="ARtabletextright"/>
            </w:pPr>
            <w:r>
              <w:t>$834,088</w:t>
            </w:r>
          </w:p>
        </w:tc>
        <w:tc>
          <w:tcPr>
            <w:tcW w:w="809" w:type="pct"/>
            <w:shd w:val="clear" w:color="auto" w:fill="E7E6E6" w:themeFill="background2"/>
          </w:tcPr>
          <w:p w14:paraId="29760DDF" w14:textId="77777777" w:rsidR="00AC3C57" w:rsidRDefault="00AC3C57">
            <w:pPr>
              <w:pStyle w:val="ARtabletextright"/>
            </w:pPr>
            <w:r>
              <w:t>$210,892</w:t>
            </w:r>
          </w:p>
        </w:tc>
        <w:tc>
          <w:tcPr>
            <w:tcW w:w="732" w:type="pct"/>
          </w:tcPr>
          <w:p w14:paraId="30FEDD55" w14:textId="73077A4E" w:rsidR="00AC3C57" w:rsidRDefault="005C1105">
            <w:pPr>
              <w:pStyle w:val="ARtabletextright"/>
            </w:pPr>
            <w:r>
              <w:t>–</w:t>
            </w:r>
          </w:p>
        </w:tc>
      </w:tr>
      <w:tr w:rsidR="00AC3C57" w:rsidRPr="00F4452B" w14:paraId="259E1DAA" w14:textId="77777777" w:rsidTr="00A940AB">
        <w:trPr>
          <w:trHeight w:val="300"/>
        </w:trPr>
        <w:tc>
          <w:tcPr>
            <w:tcW w:w="1000" w:type="pct"/>
            <w:tcBorders>
              <w:top w:val="single" w:sz="4" w:space="0" w:color="A6A6A6" w:themeColor="accent5"/>
              <w:bottom w:val="single" w:sz="4" w:space="0" w:color="A6A6A6" w:themeColor="accent5"/>
            </w:tcBorders>
          </w:tcPr>
          <w:p w14:paraId="43BA4A7D" w14:textId="77777777" w:rsidR="00AC3C57" w:rsidRPr="00F4452B" w:rsidRDefault="00AC3C57" w:rsidP="00A940AB">
            <w:pPr>
              <w:pStyle w:val="ARtabletextbold"/>
            </w:pPr>
            <w:r w:rsidRPr="00A54EA9">
              <w:t>Deloitte Touche Tohmatsu</w:t>
            </w:r>
          </w:p>
        </w:tc>
        <w:tc>
          <w:tcPr>
            <w:tcW w:w="1649" w:type="pct"/>
            <w:shd w:val="clear" w:color="auto" w:fill="E7E6E6" w:themeFill="background2"/>
            <w:tcMar>
              <w:left w:w="113" w:type="dxa"/>
            </w:tcMar>
          </w:tcPr>
          <w:p w14:paraId="5CC888DB" w14:textId="77777777" w:rsidR="00AC3C57" w:rsidRPr="00331504" w:rsidRDefault="00AC3C57">
            <w:pPr>
              <w:pStyle w:val="ARtabletext"/>
              <w:spacing w:line="220" w:lineRule="atLeast"/>
            </w:pPr>
            <w:r w:rsidRPr="005F29E4">
              <w:t xml:space="preserve">Minimum </w:t>
            </w:r>
            <w:r>
              <w:t>e</w:t>
            </w:r>
            <w:r w:rsidRPr="005F29E4">
              <w:t xml:space="preserve">nergy </w:t>
            </w:r>
            <w:r>
              <w:t>e</w:t>
            </w:r>
            <w:r w:rsidRPr="005F29E4">
              <w:t xml:space="preserve">fficiency </w:t>
            </w:r>
            <w:r>
              <w:t>s</w:t>
            </w:r>
            <w:r w:rsidRPr="005F29E4">
              <w:t xml:space="preserve">tandards </w:t>
            </w:r>
            <w:r>
              <w:t>c</w:t>
            </w:r>
            <w:r w:rsidRPr="005F29E4">
              <w:t>ost</w:t>
            </w:r>
            <w:r>
              <w:t>–b</w:t>
            </w:r>
            <w:r w:rsidRPr="005F29E4">
              <w:t xml:space="preserve">enefit </w:t>
            </w:r>
            <w:r>
              <w:t>a</w:t>
            </w:r>
            <w:r w:rsidRPr="005F29E4">
              <w:t>nalysis</w:t>
            </w:r>
          </w:p>
        </w:tc>
        <w:tc>
          <w:tcPr>
            <w:tcW w:w="810" w:type="pct"/>
          </w:tcPr>
          <w:p w14:paraId="14372589" w14:textId="77777777" w:rsidR="00AC3C57" w:rsidRDefault="00AC3C57">
            <w:pPr>
              <w:pStyle w:val="ARtabletextright"/>
            </w:pPr>
            <w:r>
              <w:t>$</w:t>
            </w:r>
            <w:r w:rsidRPr="005F29E4">
              <w:t>164</w:t>
            </w:r>
            <w:r>
              <w:t>,</w:t>
            </w:r>
            <w:r w:rsidRPr="005F29E4">
              <w:t>133</w:t>
            </w:r>
          </w:p>
        </w:tc>
        <w:tc>
          <w:tcPr>
            <w:tcW w:w="809" w:type="pct"/>
            <w:shd w:val="clear" w:color="auto" w:fill="E7E6E6" w:themeFill="background2"/>
          </w:tcPr>
          <w:p w14:paraId="22A7A26F" w14:textId="77777777" w:rsidR="00AC3C57" w:rsidRDefault="00AC3C57">
            <w:pPr>
              <w:pStyle w:val="ARtabletextright"/>
            </w:pPr>
            <w:r>
              <w:t>$</w:t>
            </w:r>
            <w:r w:rsidRPr="00A96564">
              <w:t>164</w:t>
            </w:r>
            <w:r>
              <w:t>,</w:t>
            </w:r>
            <w:r w:rsidRPr="00A96564">
              <w:t>133</w:t>
            </w:r>
          </w:p>
        </w:tc>
        <w:tc>
          <w:tcPr>
            <w:tcW w:w="732" w:type="pct"/>
          </w:tcPr>
          <w:p w14:paraId="140F2F81" w14:textId="75A9623A" w:rsidR="00AC3C57" w:rsidRDefault="005C1105">
            <w:pPr>
              <w:pStyle w:val="ARtabletextright"/>
            </w:pPr>
            <w:r>
              <w:t>–</w:t>
            </w:r>
          </w:p>
        </w:tc>
      </w:tr>
      <w:tr w:rsidR="00AC3C57" w:rsidRPr="00F4452B" w14:paraId="3E30A89B" w14:textId="77777777" w:rsidTr="00A940AB">
        <w:trPr>
          <w:trHeight w:val="300"/>
        </w:trPr>
        <w:tc>
          <w:tcPr>
            <w:tcW w:w="1000" w:type="pct"/>
            <w:tcBorders>
              <w:top w:val="single" w:sz="4" w:space="0" w:color="A6A6A6" w:themeColor="accent5"/>
              <w:bottom w:val="single" w:sz="4" w:space="0" w:color="A6A6A6" w:themeColor="accent5"/>
            </w:tcBorders>
          </w:tcPr>
          <w:p w14:paraId="3DE4C645" w14:textId="77777777" w:rsidR="00AC3C57" w:rsidRPr="00F4452B" w:rsidRDefault="00AC3C57" w:rsidP="00A940AB">
            <w:pPr>
              <w:pStyle w:val="ARtabletextbold"/>
            </w:pPr>
            <w:r>
              <w:t>Urbis</w:t>
            </w:r>
          </w:p>
        </w:tc>
        <w:tc>
          <w:tcPr>
            <w:tcW w:w="1649" w:type="pct"/>
            <w:tcBorders>
              <w:bottom w:val="single" w:sz="4" w:space="0" w:color="A6A6A6" w:themeColor="accent5"/>
            </w:tcBorders>
            <w:shd w:val="clear" w:color="auto" w:fill="E7E6E6" w:themeFill="background2"/>
            <w:tcMar>
              <w:left w:w="113" w:type="dxa"/>
            </w:tcMar>
          </w:tcPr>
          <w:p w14:paraId="0C9711CC" w14:textId="77777777" w:rsidR="00AC3C57" w:rsidRPr="00331504" w:rsidRDefault="00AC3C57">
            <w:pPr>
              <w:pStyle w:val="ARtabletext"/>
              <w:spacing w:line="220" w:lineRule="atLeast"/>
            </w:pPr>
            <w:r>
              <w:t>Child and family services employment-based Master of Social Work monitoring and evaluation</w:t>
            </w:r>
          </w:p>
        </w:tc>
        <w:tc>
          <w:tcPr>
            <w:tcW w:w="810" w:type="pct"/>
            <w:tcBorders>
              <w:bottom w:val="single" w:sz="4" w:space="0" w:color="A6A6A6" w:themeColor="accent5"/>
            </w:tcBorders>
          </w:tcPr>
          <w:p w14:paraId="1A927296" w14:textId="77777777" w:rsidR="00AC3C57" w:rsidRDefault="00AC3C57">
            <w:pPr>
              <w:pStyle w:val="ARtabletextright"/>
            </w:pPr>
            <w:r>
              <w:t>$</w:t>
            </w:r>
            <w:r w:rsidRPr="0091128F">
              <w:t>473</w:t>
            </w:r>
            <w:r>
              <w:t>,</w:t>
            </w:r>
            <w:r w:rsidRPr="0091128F">
              <w:t>965</w:t>
            </w:r>
          </w:p>
        </w:tc>
        <w:tc>
          <w:tcPr>
            <w:tcW w:w="809" w:type="pct"/>
            <w:tcBorders>
              <w:bottom w:val="single" w:sz="4" w:space="0" w:color="A6A6A6" w:themeColor="accent5"/>
            </w:tcBorders>
            <w:shd w:val="clear" w:color="auto" w:fill="E7E6E6" w:themeFill="background2"/>
          </w:tcPr>
          <w:p w14:paraId="7F42B629" w14:textId="77777777" w:rsidR="00AC3C57" w:rsidRDefault="00AC3C57">
            <w:pPr>
              <w:pStyle w:val="ARtabletextright"/>
            </w:pPr>
            <w:r>
              <w:t>$130,670</w:t>
            </w:r>
          </w:p>
        </w:tc>
        <w:tc>
          <w:tcPr>
            <w:tcW w:w="732" w:type="pct"/>
            <w:tcBorders>
              <w:bottom w:val="single" w:sz="4" w:space="0" w:color="A6A6A6" w:themeColor="accent5"/>
            </w:tcBorders>
          </w:tcPr>
          <w:p w14:paraId="3D5342A6" w14:textId="77777777" w:rsidR="00AC3C57" w:rsidRDefault="00AC3C57">
            <w:pPr>
              <w:pStyle w:val="ARtabletextright"/>
            </w:pPr>
            <w:r>
              <w:t>$94,716</w:t>
            </w:r>
          </w:p>
        </w:tc>
      </w:tr>
      <w:tr w:rsidR="00AC3C57" w:rsidRPr="00F4452B" w14:paraId="5CFC6846" w14:textId="77777777" w:rsidTr="00A940AB">
        <w:trPr>
          <w:trHeight w:val="300"/>
        </w:trPr>
        <w:tc>
          <w:tcPr>
            <w:tcW w:w="1000" w:type="pct"/>
            <w:tcBorders>
              <w:top w:val="single" w:sz="4" w:space="0" w:color="A6A6A6" w:themeColor="accent5"/>
              <w:bottom w:val="single" w:sz="4" w:space="0" w:color="A6A6A6" w:themeColor="accent5"/>
            </w:tcBorders>
          </w:tcPr>
          <w:p w14:paraId="6BC11507" w14:textId="77777777" w:rsidR="00AC3C57" w:rsidRPr="00F4452B" w:rsidRDefault="00AC3C57" w:rsidP="00A940AB">
            <w:pPr>
              <w:pStyle w:val="ARtabletextbold"/>
            </w:pPr>
            <w:r w:rsidRPr="00F4452B">
              <w:t>Nous Group Pty Ltd</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69509BC3" w14:textId="1F74D7C5" w:rsidR="00AC3C57" w:rsidRPr="00331504" w:rsidRDefault="00AC3C57">
            <w:pPr>
              <w:pStyle w:val="ARtabletext"/>
              <w:spacing w:line="220" w:lineRule="atLeast"/>
            </w:pPr>
            <w:r w:rsidRPr="00F4452B">
              <w:t xml:space="preserve">Evaluation of </w:t>
            </w:r>
            <w:proofErr w:type="spellStart"/>
            <w:r w:rsidRPr="00F4452B">
              <w:t>QHub</w:t>
            </w:r>
            <w:proofErr w:type="spellEnd"/>
            <w:r w:rsidRPr="00F4452B">
              <w:t xml:space="preserve"> (LGBTIQA+ youth safe spaces for </w:t>
            </w:r>
            <w:r>
              <w:t>w</w:t>
            </w:r>
            <w:r w:rsidRPr="00F4452B">
              <w:t>estern</w:t>
            </w:r>
            <w:r w:rsidR="00473A02">
              <w:t> </w:t>
            </w:r>
            <w:r w:rsidRPr="00F4452B">
              <w:t>Victoria)</w:t>
            </w:r>
          </w:p>
        </w:tc>
        <w:tc>
          <w:tcPr>
            <w:tcW w:w="810" w:type="pct"/>
            <w:tcBorders>
              <w:top w:val="single" w:sz="4" w:space="0" w:color="A6A6A6" w:themeColor="accent5"/>
              <w:bottom w:val="single" w:sz="4" w:space="0" w:color="A6A6A6" w:themeColor="accent5"/>
            </w:tcBorders>
          </w:tcPr>
          <w:p w14:paraId="5474692C" w14:textId="77777777" w:rsidR="00AC3C57" w:rsidRDefault="00AC3C57">
            <w:pPr>
              <w:pStyle w:val="ARtabletextright"/>
            </w:pPr>
            <w:r>
              <w:t>$206,909</w:t>
            </w:r>
          </w:p>
        </w:tc>
        <w:tc>
          <w:tcPr>
            <w:tcW w:w="809" w:type="pct"/>
            <w:tcBorders>
              <w:top w:val="single" w:sz="4" w:space="0" w:color="A6A6A6" w:themeColor="accent5"/>
              <w:bottom w:val="single" w:sz="4" w:space="0" w:color="A6A6A6" w:themeColor="accent5"/>
            </w:tcBorders>
            <w:shd w:val="clear" w:color="auto" w:fill="E7E6E6" w:themeFill="background2"/>
          </w:tcPr>
          <w:p w14:paraId="10F394F4" w14:textId="77777777" w:rsidR="00AC3C57" w:rsidRDefault="00AC3C57">
            <w:pPr>
              <w:pStyle w:val="ARtabletextright"/>
            </w:pPr>
            <w:r>
              <w:t>$127,750</w:t>
            </w:r>
          </w:p>
        </w:tc>
        <w:tc>
          <w:tcPr>
            <w:tcW w:w="732" w:type="pct"/>
            <w:tcBorders>
              <w:top w:val="single" w:sz="4" w:space="0" w:color="A6A6A6" w:themeColor="accent5"/>
              <w:bottom w:val="single" w:sz="4" w:space="0" w:color="A6A6A6" w:themeColor="accent5"/>
            </w:tcBorders>
          </w:tcPr>
          <w:p w14:paraId="6BA6118E" w14:textId="35C7CE77" w:rsidR="00AC3C57" w:rsidRDefault="005C1105">
            <w:pPr>
              <w:pStyle w:val="ARtabletextright"/>
            </w:pPr>
            <w:r>
              <w:t>–</w:t>
            </w:r>
          </w:p>
        </w:tc>
      </w:tr>
      <w:tr w:rsidR="00AC3C57" w:rsidRPr="00F4452B" w14:paraId="39C7362E" w14:textId="77777777" w:rsidTr="00A940AB">
        <w:trPr>
          <w:trHeight w:val="300"/>
        </w:trPr>
        <w:tc>
          <w:tcPr>
            <w:tcW w:w="1000" w:type="pct"/>
            <w:tcBorders>
              <w:top w:val="single" w:sz="4" w:space="0" w:color="A6A6A6" w:themeColor="accent5"/>
              <w:bottom w:val="single" w:sz="4" w:space="0" w:color="A6A6A6" w:themeColor="accent5"/>
            </w:tcBorders>
          </w:tcPr>
          <w:p w14:paraId="5A3930A7" w14:textId="77777777" w:rsidR="00AC3C57" w:rsidRPr="00F4452B" w:rsidRDefault="00AC3C57" w:rsidP="00A940AB">
            <w:pPr>
              <w:pStyle w:val="ARtabletextbold"/>
            </w:pPr>
            <w:proofErr w:type="spellStart"/>
            <w:r w:rsidRPr="004A7814">
              <w:lastRenderedPageBreak/>
              <w:t>Karabena</w:t>
            </w:r>
            <w:proofErr w:type="spellEnd"/>
            <w:r w:rsidRPr="004A7814">
              <w:t xml:space="preserve"> </w:t>
            </w:r>
            <w:r>
              <w:t>C</w:t>
            </w:r>
            <w:r w:rsidRPr="004A7814">
              <w:t>onsulting</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5F0C4DBC" w14:textId="77777777" w:rsidR="00AC3C57" w:rsidRPr="00331504" w:rsidRDefault="00AC3C57">
            <w:pPr>
              <w:pStyle w:val="ARtabletext"/>
              <w:spacing w:line="220" w:lineRule="atLeast"/>
            </w:pPr>
            <w:r w:rsidRPr="00335772">
              <w:t xml:space="preserve">Review of </w:t>
            </w:r>
            <w:r>
              <w:t>c</w:t>
            </w:r>
            <w:r w:rsidRPr="00335772">
              <w:t xml:space="preserve">hild </w:t>
            </w:r>
            <w:r>
              <w:t>p</w:t>
            </w:r>
            <w:r w:rsidRPr="00335772">
              <w:t xml:space="preserve">rotection </w:t>
            </w:r>
            <w:r>
              <w:t>l</w:t>
            </w:r>
            <w:r w:rsidRPr="00335772">
              <w:t xml:space="preserve">earning </w:t>
            </w:r>
            <w:r>
              <w:t>p</w:t>
            </w:r>
            <w:r w:rsidRPr="00335772">
              <w:t xml:space="preserve">rograms to </w:t>
            </w:r>
            <w:r>
              <w:t>s</w:t>
            </w:r>
            <w:r w:rsidRPr="00335772">
              <w:t xml:space="preserve">upport </w:t>
            </w:r>
            <w:r>
              <w:t>c</w:t>
            </w:r>
            <w:r w:rsidRPr="00335772">
              <w:t xml:space="preserve">ompetency in Aboriginal </w:t>
            </w:r>
            <w:r>
              <w:t>c</w:t>
            </w:r>
            <w:r w:rsidRPr="00335772">
              <w:t xml:space="preserve">ultural </w:t>
            </w:r>
            <w:r>
              <w:t>r</w:t>
            </w:r>
            <w:r w:rsidRPr="00335772">
              <w:t>ights</w:t>
            </w:r>
          </w:p>
        </w:tc>
        <w:tc>
          <w:tcPr>
            <w:tcW w:w="810" w:type="pct"/>
            <w:tcBorders>
              <w:top w:val="single" w:sz="4" w:space="0" w:color="A6A6A6" w:themeColor="accent5"/>
              <w:bottom w:val="single" w:sz="4" w:space="0" w:color="A6A6A6" w:themeColor="accent5"/>
            </w:tcBorders>
          </w:tcPr>
          <w:p w14:paraId="760F01AE" w14:textId="77777777" w:rsidR="00AC3C57" w:rsidRDefault="00AC3C57">
            <w:pPr>
              <w:pStyle w:val="ARtabletextright"/>
            </w:pPr>
            <w:r>
              <w:t>$124,987</w:t>
            </w:r>
          </w:p>
        </w:tc>
        <w:tc>
          <w:tcPr>
            <w:tcW w:w="809" w:type="pct"/>
            <w:tcBorders>
              <w:top w:val="single" w:sz="4" w:space="0" w:color="A6A6A6" w:themeColor="accent5"/>
              <w:bottom w:val="single" w:sz="4" w:space="0" w:color="A6A6A6" w:themeColor="accent5"/>
            </w:tcBorders>
            <w:shd w:val="clear" w:color="auto" w:fill="E7E6E6" w:themeFill="background2"/>
          </w:tcPr>
          <w:p w14:paraId="38C06EFE" w14:textId="77777777" w:rsidR="00AC3C57" w:rsidRDefault="00AC3C57">
            <w:pPr>
              <w:pStyle w:val="ARtabletextright"/>
            </w:pPr>
            <w:r>
              <w:t>$124,987</w:t>
            </w:r>
          </w:p>
        </w:tc>
        <w:tc>
          <w:tcPr>
            <w:tcW w:w="732" w:type="pct"/>
            <w:tcBorders>
              <w:top w:val="single" w:sz="4" w:space="0" w:color="A6A6A6" w:themeColor="accent5"/>
              <w:bottom w:val="single" w:sz="4" w:space="0" w:color="A6A6A6" w:themeColor="accent5"/>
            </w:tcBorders>
          </w:tcPr>
          <w:p w14:paraId="496EC6A3" w14:textId="6DE1865A" w:rsidR="00AC3C57" w:rsidRDefault="005C1105">
            <w:pPr>
              <w:pStyle w:val="ARtabletextright"/>
            </w:pPr>
            <w:r>
              <w:t>–</w:t>
            </w:r>
          </w:p>
        </w:tc>
      </w:tr>
      <w:tr w:rsidR="00AC3C57" w:rsidRPr="00F4452B" w14:paraId="19DFD8EF" w14:textId="77777777" w:rsidTr="00A940AB">
        <w:trPr>
          <w:trHeight w:val="300"/>
        </w:trPr>
        <w:tc>
          <w:tcPr>
            <w:tcW w:w="1000" w:type="pct"/>
            <w:tcBorders>
              <w:top w:val="single" w:sz="4" w:space="0" w:color="A6A6A6" w:themeColor="accent5"/>
              <w:bottom w:val="single" w:sz="4" w:space="0" w:color="A6A6A6" w:themeColor="accent5"/>
            </w:tcBorders>
          </w:tcPr>
          <w:p w14:paraId="2A7649D2" w14:textId="77777777" w:rsidR="00AC3C57" w:rsidRPr="00F4452B" w:rsidRDefault="00AC3C57" w:rsidP="00A940AB">
            <w:pPr>
              <w:pStyle w:val="ARtabletextbold"/>
            </w:pPr>
            <w:r w:rsidRPr="00F4452B">
              <w:t>Social Research Centre</w:t>
            </w:r>
          </w:p>
        </w:tc>
        <w:tc>
          <w:tcPr>
            <w:tcW w:w="1649" w:type="pct"/>
            <w:tcBorders>
              <w:top w:val="single" w:sz="4" w:space="0" w:color="A6A6A6" w:themeColor="accent5"/>
            </w:tcBorders>
            <w:shd w:val="clear" w:color="auto" w:fill="E7E6E6" w:themeFill="background2"/>
            <w:tcMar>
              <w:left w:w="113" w:type="dxa"/>
            </w:tcMar>
          </w:tcPr>
          <w:p w14:paraId="16FABF3B" w14:textId="77777777" w:rsidR="00AC3C57" w:rsidRPr="00331504" w:rsidRDefault="00AC3C57">
            <w:pPr>
              <w:pStyle w:val="ARtabletext"/>
              <w:spacing w:line="220" w:lineRule="atLeast"/>
            </w:pPr>
            <w:r w:rsidRPr="00F4452B">
              <w:rPr>
                <w:color w:val="000000" w:themeColor="text1"/>
              </w:rPr>
              <w:t xml:space="preserve">Supporting </w:t>
            </w:r>
            <w:r>
              <w:rPr>
                <w:color w:val="000000" w:themeColor="text1"/>
              </w:rPr>
              <w:t>y</w:t>
            </w:r>
            <w:r w:rsidRPr="00F4452B">
              <w:rPr>
                <w:color w:val="000000" w:themeColor="text1"/>
              </w:rPr>
              <w:t xml:space="preserve">oung </w:t>
            </w:r>
            <w:r>
              <w:rPr>
                <w:color w:val="000000" w:themeColor="text1"/>
              </w:rPr>
              <w:t>p</w:t>
            </w:r>
            <w:r w:rsidRPr="00F4452B">
              <w:rPr>
                <w:color w:val="000000" w:themeColor="text1"/>
              </w:rPr>
              <w:t xml:space="preserve">eople to </w:t>
            </w:r>
            <w:r>
              <w:rPr>
                <w:color w:val="000000" w:themeColor="text1"/>
              </w:rPr>
              <w:t>u</w:t>
            </w:r>
            <w:r w:rsidRPr="00F4452B">
              <w:rPr>
                <w:color w:val="000000" w:themeColor="text1"/>
              </w:rPr>
              <w:t xml:space="preserve">nderstand </w:t>
            </w:r>
            <w:r>
              <w:rPr>
                <w:color w:val="000000" w:themeColor="text1"/>
              </w:rPr>
              <w:t>a</w:t>
            </w:r>
            <w:r w:rsidRPr="00F4452B">
              <w:rPr>
                <w:color w:val="000000" w:themeColor="text1"/>
              </w:rPr>
              <w:t xml:space="preserve">ffirmative </w:t>
            </w:r>
            <w:r>
              <w:rPr>
                <w:color w:val="000000" w:themeColor="text1"/>
              </w:rPr>
              <w:t>c</w:t>
            </w:r>
            <w:r w:rsidRPr="00F4452B">
              <w:rPr>
                <w:color w:val="000000" w:themeColor="text1"/>
              </w:rPr>
              <w:t xml:space="preserve">onsent </w:t>
            </w:r>
            <w:r>
              <w:rPr>
                <w:color w:val="000000" w:themeColor="text1"/>
              </w:rPr>
              <w:t>p</w:t>
            </w:r>
            <w:r w:rsidRPr="00F4452B">
              <w:rPr>
                <w:color w:val="000000" w:themeColor="text1"/>
              </w:rPr>
              <w:t>rogram evaluation</w:t>
            </w:r>
          </w:p>
        </w:tc>
        <w:tc>
          <w:tcPr>
            <w:tcW w:w="810" w:type="pct"/>
            <w:tcBorders>
              <w:top w:val="single" w:sz="4" w:space="0" w:color="A6A6A6" w:themeColor="accent5"/>
            </w:tcBorders>
          </w:tcPr>
          <w:p w14:paraId="2C86E7EB" w14:textId="77777777" w:rsidR="00AC3C57" w:rsidRDefault="00AC3C57">
            <w:pPr>
              <w:pStyle w:val="ARtabletextright"/>
            </w:pPr>
            <w:r>
              <w:t>$</w:t>
            </w:r>
            <w:r w:rsidRPr="00A1553A">
              <w:t>531</w:t>
            </w:r>
            <w:r>
              <w:t>,</w:t>
            </w:r>
            <w:r w:rsidRPr="00A1553A">
              <w:t>009</w:t>
            </w:r>
          </w:p>
        </w:tc>
        <w:tc>
          <w:tcPr>
            <w:tcW w:w="809" w:type="pct"/>
            <w:tcBorders>
              <w:top w:val="single" w:sz="4" w:space="0" w:color="A6A6A6" w:themeColor="accent5"/>
            </w:tcBorders>
            <w:shd w:val="clear" w:color="auto" w:fill="E7E6E6" w:themeFill="background2"/>
          </w:tcPr>
          <w:p w14:paraId="4E7BDFA9" w14:textId="77777777" w:rsidR="00AC3C57" w:rsidRDefault="00AC3C57">
            <w:pPr>
              <w:pStyle w:val="ARtabletextright"/>
            </w:pPr>
            <w:r>
              <w:t>$118,294</w:t>
            </w:r>
          </w:p>
        </w:tc>
        <w:tc>
          <w:tcPr>
            <w:tcW w:w="732" w:type="pct"/>
            <w:tcBorders>
              <w:top w:val="single" w:sz="4" w:space="0" w:color="A6A6A6" w:themeColor="accent5"/>
            </w:tcBorders>
          </w:tcPr>
          <w:p w14:paraId="01404691" w14:textId="77777777" w:rsidR="00AC3C57" w:rsidRDefault="00AC3C57">
            <w:pPr>
              <w:pStyle w:val="ARtabletextright"/>
            </w:pPr>
            <w:r>
              <w:t>$56,587</w:t>
            </w:r>
          </w:p>
        </w:tc>
      </w:tr>
      <w:tr w:rsidR="00AC3C57" w:rsidRPr="00F4452B" w14:paraId="1523CC53" w14:textId="77777777" w:rsidTr="00A940AB">
        <w:trPr>
          <w:trHeight w:val="300"/>
        </w:trPr>
        <w:tc>
          <w:tcPr>
            <w:tcW w:w="1000" w:type="pct"/>
            <w:tcBorders>
              <w:top w:val="single" w:sz="4" w:space="0" w:color="A6A6A6" w:themeColor="accent5"/>
              <w:bottom w:val="single" w:sz="4" w:space="0" w:color="A6A6A6" w:themeColor="accent5"/>
            </w:tcBorders>
          </w:tcPr>
          <w:p w14:paraId="3B91FB67" w14:textId="77777777" w:rsidR="00AC3C57" w:rsidRPr="00F4452B" w:rsidRDefault="00AC3C57" w:rsidP="00A940AB">
            <w:pPr>
              <w:pStyle w:val="ARtabletextbold"/>
            </w:pPr>
            <w:r w:rsidRPr="00F4452B">
              <w:t>The University of Melbourne</w:t>
            </w:r>
          </w:p>
        </w:tc>
        <w:tc>
          <w:tcPr>
            <w:tcW w:w="1649" w:type="pct"/>
            <w:tcBorders>
              <w:bottom w:val="single" w:sz="4" w:space="0" w:color="A6A6A6" w:themeColor="accent5"/>
            </w:tcBorders>
            <w:shd w:val="clear" w:color="auto" w:fill="E7E6E6" w:themeFill="background2"/>
            <w:tcMar>
              <w:left w:w="113" w:type="dxa"/>
            </w:tcMar>
          </w:tcPr>
          <w:p w14:paraId="6A6674B2" w14:textId="7187659F" w:rsidR="00AC3C57" w:rsidRPr="00331504" w:rsidRDefault="00AC3C57">
            <w:pPr>
              <w:pStyle w:val="ARtabletext"/>
              <w:spacing w:line="220" w:lineRule="atLeast"/>
            </w:pPr>
            <w:r w:rsidRPr="003876E7">
              <w:t xml:space="preserve">Children </w:t>
            </w:r>
            <w:r>
              <w:t>b</w:t>
            </w:r>
            <w:r w:rsidRPr="003876E7">
              <w:t xml:space="preserve">ereaved by </w:t>
            </w:r>
            <w:r>
              <w:t>f</w:t>
            </w:r>
            <w:r w:rsidRPr="003876E7">
              <w:t xml:space="preserve">amily </w:t>
            </w:r>
            <w:r>
              <w:t>v</w:t>
            </w:r>
            <w:r w:rsidRPr="003876E7">
              <w:t>iolence</w:t>
            </w:r>
            <w:r w:rsidR="00CE403C">
              <w:t> </w:t>
            </w:r>
            <w:r>
              <w:t>h</w:t>
            </w:r>
            <w:r w:rsidRPr="003876E7">
              <w:t>omicide</w:t>
            </w:r>
          </w:p>
        </w:tc>
        <w:tc>
          <w:tcPr>
            <w:tcW w:w="810" w:type="pct"/>
            <w:tcBorders>
              <w:bottom w:val="single" w:sz="4" w:space="0" w:color="A6A6A6" w:themeColor="accent5"/>
            </w:tcBorders>
          </w:tcPr>
          <w:p w14:paraId="7797C3C0" w14:textId="77777777" w:rsidR="00AC3C57" w:rsidRDefault="00AC3C57">
            <w:pPr>
              <w:pStyle w:val="ARtabletextright"/>
            </w:pPr>
            <w:r>
              <w:t>$</w:t>
            </w:r>
            <w:r w:rsidRPr="003876E7">
              <w:t>115</w:t>
            </w:r>
            <w:r>
              <w:t>,</w:t>
            </w:r>
            <w:r w:rsidRPr="003876E7">
              <w:t>000</w:t>
            </w:r>
          </w:p>
        </w:tc>
        <w:tc>
          <w:tcPr>
            <w:tcW w:w="809" w:type="pct"/>
            <w:tcBorders>
              <w:bottom w:val="single" w:sz="4" w:space="0" w:color="A6A6A6" w:themeColor="accent5"/>
            </w:tcBorders>
            <w:shd w:val="clear" w:color="auto" w:fill="E7E6E6" w:themeFill="background2"/>
          </w:tcPr>
          <w:p w14:paraId="143D9CF5" w14:textId="77777777" w:rsidR="00AC3C57" w:rsidRDefault="00AC3C57">
            <w:pPr>
              <w:pStyle w:val="ARtabletextright"/>
            </w:pPr>
            <w:r>
              <w:t>$</w:t>
            </w:r>
            <w:r w:rsidRPr="00B1412A">
              <w:t>114</w:t>
            </w:r>
            <w:r>
              <w:t>,</w:t>
            </w:r>
            <w:r w:rsidRPr="00B1412A">
              <w:t>120</w:t>
            </w:r>
          </w:p>
        </w:tc>
        <w:tc>
          <w:tcPr>
            <w:tcW w:w="732" w:type="pct"/>
            <w:tcBorders>
              <w:bottom w:val="single" w:sz="4" w:space="0" w:color="A6A6A6" w:themeColor="accent5"/>
            </w:tcBorders>
          </w:tcPr>
          <w:p w14:paraId="1ABB0E64" w14:textId="77777777" w:rsidR="00AC3C57" w:rsidRDefault="00AC3C57">
            <w:pPr>
              <w:pStyle w:val="ARtabletextright"/>
            </w:pPr>
            <w:r>
              <w:t>$880</w:t>
            </w:r>
          </w:p>
        </w:tc>
      </w:tr>
      <w:tr w:rsidR="00AC3C57" w:rsidRPr="00F4452B" w14:paraId="7B6287C4" w14:textId="77777777" w:rsidTr="00A940AB">
        <w:trPr>
          <w:trHeight w:val="300"/>
        </w:trPr>
        <w:tc>
          <w:tcPr>
            <w:tcW w:w="1000" w:type="pct"/>
            <w:tcBorders>
              <w:top w:val="single" w:sz="4" w:space="0" w:color="A6A6A6" w:themeColor="accent5"/>
              <w:bottom w:val="single" w:sz="4" w:space="0" w:color="A6A6A6" w:themeColor="accent5"/>
            </w:tcBorders>
          </w:tcPr>
          <w:p w14:paraId="19625642" w14:textId="77777777" w:rsidR="00AC3C57" w:rsidRPr="00F4452B" w:rsidRDefault="00AC3C57" w:rsidP="00A940AB">
            <w:pPr>
              <w:pStyle w:val="ARtabletextbold"/>
            </w:pPr>
            <w:r>
              <w:t>ARTD Pty Ltd</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6C93EE1A" w14:textId="60066908" w:rsidR="00AC3C57" w:rsidRPr="00331504" w:rsidRDefault="00AC3C57">
            <w:pPr>
              <w:pStyle w:val="ARtabletext"/>
              <w:spacing w:line="220" w:lineRule="atLeast"/>
            </w:pPr>
            <w:r w:rsidRPr="00F4452B">
              <w:t xml:space="preserve">Evaluation </w:t>
            </w:r>
            <w:r>
              <w:t>of</w:t>
            </w:r>
            <w:r w:rsidRPr="00F4452B">
              <w:t xml:space="preserve"> </w:t>
            </w:r>
            <w:r>
              <w:t>t</w:t>
            </w:r>
            <w:r w:rsidRPr="00F4452B">
              <w:t xml:space="preserve">argeted early intervention with boys and young men to address violence </w:t>
            </w:r>
            <w:r w:rsidRPr="00CE403C">
              <w:t>against</w:t>
            </w:r>
            <w:r w:rsidR="00CE403C">
              <w:t> </w:t>
            </w:r>
            <w:r w:rsidRPr="00CE403C">
              <w:t>women</w:t>
            </w:r>
          </w:p>
        </w:tc>
        <w:tc>
          <w:tcPr>
            <w:tcW w:w="810" w:type="pct"/>
            <w:tcBorders>
              <w:top w:val="single" w:sz="4" w:space="0" w:color="A6A6A6" w:themeColor="accent5"/>
              <w:bottom w:val="single" w:sz="4" w:space="0" w:color="A6A6A6" w:themeColor="accent5"/>
            </w:tcBorders>
          </w:tcPr>
          <w:p w14:paraId="02224A45" w14:textId="77777777" w:rsidR="00AC3C57" w:rsidRDefault="00AC3C57">
            <w:pPr>
              <w:pStyle w:val="ARtabletextright"/>
            </w:pPr>
            <w:r>
              <w:t>$</w:t>
            </w:r>
            <w:r w:rsidRPr="00DC274F">
              <w:t>509</w:t>
            </w:r>
            <w:r>
              <w:t>,</w:t>
            </w:r>
            <w:r w:rsidRPr="00DC274F">
              <w:t>927</w:t>
            </w:r>
          </w:p>
        </w:tc>
        <w:tc>
          <w:tcPr>
            <w:tcW w:w="809" w:type="pct"/>
            <w:tcBorders>
              <w:top w:val="single" w:sz="4" w:space="0" w:color="A6A6A6" w:themeColor="accent5"/>
              <w:bottom w:val="single" w:sz="4" w:space="0" w:color="A6A6A6" w:themeColor="accent5"/>
            </w:tcBorders>
            <w:shd w:val="clear" w:color="auto" w:fill="E7E6E6" w:themeFill="background2"/>
          </w:tcPr>
          <w:p w14:paraId="7887DF0D" w14:textId="77777777" w:rsidR="00AC3C57" w:rsidRDefault="00AC3C57">
            <w:pPr>
              <w:pStyle w:val="ARtabletextright"/>
            </w:pPr>
            <w:r>
              <w:t>$111,245</w:t>
            </w:r>
          </w:p>
        </w:tc>
        <w:tc>
          <w:tcPr>
            <w:tcW w:w="732" w:type="pct"/>
            <w:tcBorders>
              <w:top w:val="single" w:sz="4" w:space="0" w:color="A6A6A6" w:themeColor="accent5"/>
              <w:bottom w:val="single" w:sz="4" w:space="0" w:color="A6A6A6" w:themeColor="accent5"/>
            </w:tcBorders>
          </w:tcPr>
          <w:p w14:paraId="0F84F974" w14:textId="77777777" w:rsidR="00AC3C57" w:rsidRDefault="00AC3C57">
            <w:pPr>
              <w:pStyle w:val="ARtabletextright"/>
            </w:pPr>
            <w:r>
              <w:t>$</w:t>
            </w:r>
            <w:r w:rsidRPr="00AD4CF3">
              <w:t>9</w:t>
            </w:r>
            <w:r>
              <w:t>,</w:t>
            </w:r>
            <w:r w:rsidRPr="00AD4CF3">
              <w:t>0</w:t>
            </w:r>
            <w:r>
              <w:t>91</w:t>
            </w:r>
          </w:p>
        </w:tc>
      </w:tr>
      <w:tr w:rsidR="00AC3C57" w:rsidRPr="00F4452B" w14:paraId="70146BCE" w14:textId="77777777" w:rsidTr="00A940AB">
        <w:trPr>
          <w:trHeight w:val="300"/>
        </w:trPr>
        <w:tc>
          <w:tcPr>
            <w:tcW w:w="1000" w:type="pct"/>
            <w:tcBorders>
              <w:top w:val="single" w:sz="4" w:space="0" w:color="A6A6A6" w:themeColor="accent5"/>
              <w:bottom w:val="single" w:sz="4" w:space="0" w:color="A6A6A6" w:themeColor="accent5"/>
            </w:tcBorders>
          </w:tcPr>
          <w:p w14:paraId="0DFF65FD" w14:textId="77777777" w:rsidR="00AC3C57" w:rsidRPr="00F4452B" w:rsidRDefault="00AC3C57" w:rsidP="00A940AB">
            <w:pPr>
              <w:pStyle w:val="ARtabletextbold"/>
            </w:pPr>
            <w:r w:rsidRPr="00F4452B">
              <w:t>Right Lane Consulting Pty</w:t>
            </w:r>
            <w:r>
              <w:t xml:space="preserve"> </w:t>
            </w:r>
            <w:r w:rsidRPr="00F4452B">
              <w:t>Ltd</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19F85116" w14:textId="77777777" w:rsidR="00AC3C57" w:rsidRPr="00331504" w:rsidRDefault="00AC3C57">
            <w:pPr>
              <w:pStyle w:val="ARtabletext"/>
              <w:spacing w:line="220" w:lineRule="atLeast"/>
            </w:pPr>
            <w:r w:rsidRPr="007A7C67">
              <w:t>Evaluation and strategic planning for the Commission for Gender Equality in the Public Sector</w:t>
            </w:r>
          </w:p>
        </w:tc>
        <w:tc>
          <w:tcPr>
            <w:tcW w:w="810" w:type="pct"/>
            <w:tcBorders>
              <w:top w:val="single" w:sz="4" w:space="0" w:color="A6A6A6" w:themeColor="accent5"/>
              <w:bottom w:val="single" w:sz="4" w:space="0" w:color="A6A6A6" w:themeColor="accent5"/>
            </w:tcBorders>
          </w:tcPr>
          <w:p w14:paraId="664B78FB" w14:textId="77777777" w:rsidR="00AC3C57" w:rsidRDefault="00AC3C57">
            <w:pPr>
              <w:pStyle w:val="ARtabletextright"/>
            </w:pPr>
            <w:r>
              <w:t>$</w:t>
            </w:r>
            <w:r w:rsidRPr="007A7C67">
              <w:t>109</w:t>
            </w:r>
            <w:r>
              <w:t>,</w:t>
            </w:r>
            <w:r w:rsidRPr="007A7C67">
              <w:t>000</w:t>
            </w:r>
          </w:p>
        </w:tc>
        <w:tc>
          <w:tcPr>
            <w:tcW w:w="809" w:type="pct"/>
            <w:tcBorders>
              <w:top w:val="single" w:sz="4" w:space="0" w:color="A6A6A6" w:themeColor="accent5"/>
              <w:bottom w:val="single" w:sz="4" w:space="0" w:color="A6A6A6" w:themeColor="accent5"/>
            </w:tcBorders>
            <w:shd w:val="clear" w:color="auto" w:fill="E7E6E6" w:themeFill="background2"/>
          </w:tcPr>
          <w:p w14:paraId="786D13AA" w14:textId="77777777" w:rsidR="00AC3C57" w:rsidRDefault="00AC3C57">
            <w:pPr>
              <w:pStyle w:val="ARtabletextright"/>
            </w:pPr>
            <w:r>
              <w:t>$</w:t>
            </w:r>
            <w:r w:rsidRPr="007A7C67">
              <w:t>109</w:t>
            </w:r>
            <w:r>
              <w:t>,</w:t>
            </w:r>
            <w:r w:rsidRPr="007A7C67">
              <w:t>000</w:t>
            </w:r>
          </w:p>
        </w:tc>
        <w:tc>
          <w:tcPr>
            <w:tcW w:w="732" w:type="pct"/>
            <w:tcBorders>
              <w:top w:val="single" w:sz="4" w:space="0" w:color="A6A6A6" w:themeColor="accent5"/>
              <w:bottom w:val="single" w:sz="4" w:space="0" w:color="A6A6A6" w:themeColor="accent5"/>
            </w:tcBorders>
          </w:tcPr>
          <w:p w14:paraId="0B9862D6" w14:textId="211CD7FA" w:rsidR="00AC3C57" w:rsidRDefault="005C1105">
            <w:pPr>
              <w:pStyle w:val="ARtabletextright"/>
            </w:pPr>
            <w:r>
              <w:t>–</w:t>
            </w:r>
          </w:p>
        </w:tc>
      </w:tr>
      <w:tr w:rsidR="00AC3C57" w:rsidRPr="00F4452B" w14:paraId="16259D67" w14:textId="77777777" w:rsidTr="00A940AB">
        <w:trPr>
          <w:trHeight w:val="300"/>
        </w:trPr>
        <w:tc>
          <w:tcPr>
            <w:tcW w:w="1000" w:type="pct"/>
            <w:tcBorders>
              <w:top w:val="single" w:sz="4" w:space="0" w:color="A6A6A6" w:themeColor="accent5"/>
              <w:bottom w:val="single" w:sz="4" w:space="0" w:color="A6A6A6" w:themeColor="accent5"/>
            </w:tcBorders>
          </w:tcPr>
          <w:p w14:paraId="5A78A34A" w14:textId="77777777" w:rsidR="00AC3C57" w:rsidRPr="00F4452B" w:rsidRDefault="00AC3C57" w:rsidP="00A940AB">
            <w:pPr>
              <w:pStyle w:val="ARtabletextbold"/>
            </w:pPr>
            <w:r w:rsidRPr="00F4452B">
              <w:t>Nous Group Pty Ltd</w:t>
            </w:r>
          </w:p>
        </w:tc>
        <w:tc>
          <w:tcPr>
            <w:tcW w:w="1649" w:type="pct"/>
            <w:tcBorders>
              <w:top w:val="single" w:sz="4" w:space="0" w:color="A6A6A6" w:themeColor="accent5"/>
            </w:tcBorders>
            <w:shd w:val="clear" w:color="auto" w:fill="E7E6E6" w:themeFill="background2"/>
            <w:tcMar>
              <w:left w:w="113" w:type="dxa"/>
            </w:tcMar>
          </w:tcPr>
          <w:p w14:paraId="611D259F" w14:textId="6CC393E3" w:rsidR="00AC3C57" w:rsidRPr="00331504" w:rsidRDefault="00AC3C57">
            <w:pPr>
              <w:pStyle w:val="ARtabletext"/>
              <w:spacing w:line="220" w:lineRule="atLeast"/>
            </w:pPr>
            <w:r w:rsidRPr="008856AE">
              <w:t>Evaluation of the Multiple and Complex Needs Initiative and the</w:t>
            </w:r>
            <w:r w:rsidR="00CE403C">
              <w:t> </w:t>
            </w:r>
            <w:r w:rsidRPr="008856AE">
              <w:t>Support for High</w:t>
            </w:r>
            <w:r>
              <w:t>-</w:t>
            </w:r>
            <w:r w:rsidRPr="008856AE">
              <w:t>Risk Tenancies</w:t>
            </w:r>
            <w:r w:rsidR="00CE403C">
              <w:t> </w:t>
            </w:r>
            <w:r w:rsidRPr="008856AE">
              <w:t>program</w:t>
            </w:r>
          </w:p>
        </w:tc>
        <w:tc>
          <w:tcPr>
            <w:tcW w:w="810" w:type="pct"/>
            <w:tcBorders>
              <w:top w:val="single" w:sz="4" w:space="0" w:color="A6A6A6" w:themeColor="accent5"/>
            </w:tcBorders>
          </w:tcPr>
          <w:p w14:paraId="36393980" w14:textId="77777777" w:rsidR="00AC3C57" w:rsidRDefault="00AC3C57">
            <w:pPr>
              <w:pStyle w:val="ARtabletextright"/>
            </w:pPr>
            <w:r>
              <w:t>$288,000</w:t>
            </w:r>
          </w:p>
        </w:tc>
        <w:tc>
          <w:tcPr>
            <w:tcW w:w="809" w:type="pct"/>
            <w:tcBorders>
              <w:top w:val="single" w:sz="4" w:space="0" w:color="A6A6A6" w:themeColor="accent5"/>
            </w:tcBorders>
            <w:shd w:val="clear" w:color="auto" w:fill="E7E6E6" w:themeFill="background2"/>
          </w:tcPr>
          <w:p w14:paraId="4C5FBD30" w14:textId="77777777" w:rsidR="00AC3C57" w:rsidRDefault="00AC3C57">
            <w:pPr>
              <w:pStyle w:val="ARtabletextright"/>
            </w:pPr>
            <w:r>
              <w:t>$102,186</w:t>
            </w:r>
          </w:p>
        </w:tc>
        <w:tc>
          <w:tcPr>
            <w:tcW w:w="732" w:type="pct"/>
            <w:tcBorders>
              <w:top w:val="single" w:sz="4" w:space="0" w:color="A6A6A6" w:themeColor="accent5"/>
            </w:tcBorders>
          </w:tcPr>
          <w:p w14:paraId="0FE9C48A" w14:textId="77777777" w:rsidR="00AC3C57" w:rsidRDefault="00AC3C57">
            <w:pPr>
              <w:pStyle w:val="ARtabletextright"/>
            </w:pPr>
            <w:r>
              <w:t>$185,814</w:t>
            </w:r>
          </w:p>
        </w:tc>
      </w:tr>
      <w:tr w:rsidR="00AC3C57" w:rsidRPr="00F4452B" w14:paraId="6987748B" w14:textId="77777777" w:rsidTr="00A940AB">
        <w:trPr>
          <w:trHeight w:val="300"/>
        </w:trPr>
        <w:tc>
          <w:tcPr>
            <w:tcW w:w="1000" w:type="pct"/>
            <w:tcBorders>
              <w:top w:val="single" w:sz="4" w:space="0" w:color="A6A6A6" w:themeColor="accent5"/>
              <w:bottom w:val="single" w:sz="4" w:space="0" w:color="A6A6A6" w:themeColor="accent5"/>
            </w:tcBorders>
          </w:tcPr>
          <w:p w14:paraId="3C1445E5" w14:textId="77777777" w:rsidR="00AC3C57" w:rsidRPr="00F4452B" w:rsidRDefault="00AC3C57" w:rsidP="00A940AB">
            <w:pPr>
              <w:pStyle w:val="ARtabletextbold"/>
            </w:pPr>
            <w:r>
              <w:t>Cube Group</w:t>
            </w:r>
          </w:p>
        </w:tc>
        <w:tc>
          <w:tcPr>
            <w:tcW w:w="1649" w:type="pct"/>
            <w:shd w:val="clear" w:color="auto" w:fill="E7E6E6" w:themeFill="background2"/>
            <w:tcMar>
              <w:left w:w="113" w:type="dxa"/>
            </w:tcMar>
          </w:tcPr>
          <w:p w14:paraId="70CA34FC" w14:textId="77777777" w:rsidR="00AC3C57" w:rsidRPr="00E06E63" w:rsidRDefault="00AC3C57">
            <w:pPr>
              <w:pStyle w:val="ARtabletext"/>
              <w:spacing w:line="220" w:lineRule="atLeast"/>
              <w:rPr>
                <w:rStyle w:val="Emphasis"/>
              </w:rPr>
            </w:pPr>
            <w:r w:rsidRPr="00FA757F">
              <w:t xml:space="preserve">Statutory review of the </w:t>
            </w:r>
            <w:r w:rsidRPr="00E06E63">
              <w:rPr>
                <w:rStyle w:val="Emphasis"/>
              </w:rPr>
              <w:t>Gender Equality Act 2020</w:t>
            </w:r>
          </w:p>
        </w:tc>
        <w:tc>
          <w:tcPr>
            <w:tcW w:w="810" w:type="pct"/>
          </w:tcPr>
          <w:p w14:paraId="185F9CBD" w14:textId="77777777" w:rsidR="00AC3C57" w:rsidRDefault="00AC3C57">
            <w:pPr>
              <w:pStyle w:val="ARtabletextright"/>
            </w:pPr>
            <w:r>
              <w:t>$148,087</w:t>
            </w:r>
          </w:p>
        </w:tc>
        <w:tc>
          <w:tcPr>
            <w:tcW w:w="809" w:type="pct"/>
            <w:shd w:val="clear" w:color="auto" w:fill="E7E6E6" w:themeFill="background2"/>
          </w:tcPr>
          <w:p w14:paraId="270CB56F" w14:textId="77777777" w:rsidR="00AC3C57" w:rsidRDefault="00AC3C57">
            <w:pPr>
              <w:pStyle w:val="ARtabletextright"/>
            </w:pPr>
            <w:r>
              <w:t>$100,000</w:t>
            </w:r>
          </w:p>
        </w:tc>
        <w:tc>
          <w:tcPr>
            <w:tcW w:w="732" w:type="pct"/>
          </w:tcPr>
          <w:p w14:paraId="2D9934B3" w14:textId="77777777" w:rsidR="00AC3C57" w:rsidRDefault="00AC3C57">
            <w:pPr>
              <w:pStyle w:val="ARtabletextright"/>
            </w:pPr>
            <w:r>
              <w:t>$48,087</w:t>
            </w:r>
          </w:p>
        </w:tc>
      </w:tr>
      <w:tr w:rsidR="00AC3C57" w:rsidRPr="00F4452B" w14:paraId="0E76D38B" w14:textId="77777777" w:rsidTr="00A940AB">
        <w:trPr>
          <w:trHeight w:val="300"/>
        </w:trPr>
        <w:tc>
          <w:tcPr>
            <w:tcW w:w="1000" w:type="pct"/>
            <w:tcBorders>
              <w:top w:val="single" w:sz="4" w:space="0" w:color="A6A6A6" w:themeColor="accent5"/>
              <w:bottom w:val="single" w:sz="4" w:space="0" w:color="A6A6A6" w:themeColor="accent5"/>
            </w:tcBorders>
          </w:tcPr>
          <w:p w14:paraId="0C8ED735" w14:textId="77777777" w:rsidR="00AC3C57" w:rsidRPr="00F4452B" w:rsidRDefault="00AC3C57" w:rsidP="00A940AB">
            <w:pPr>
              <w:pStyle w:val="ARtabletextbold"/>
            </w:pPr>
            <w:r>
              <w:t>Urbis</w:t>
            </w:r>
          </w:p>
        </w:tc>
        <w:tc>
          <w:tcPr>
            <w:tcW w:w="1649" w:type="pct"/>
            <w:shd w:val="clear" w:color="auto" w:fill="E7E6E6" w:themeFill="background2"/>
            <w:tcMar>
              <w:left w:w="113" w:type="dxa"/>
            </w:tcMar>
          </w:tcPr>
          <w:p w14:paraId="5EE2D682" w14:textId="77777777" w:rsidR="00AC3C57" w:rsidRPr="00331504" w:rsidRDefault="00AC3C57">
            <w:pPr>
              <w:pStyle w:val="ARtabletext"/>
              <w:spacing w:line="220" w:lineRule="atLeast"/>
            </w:pPr>
            <w:r w:rsidRPr="005C483D">
              <w:t>Evaluation of Renter Voice Mechanisms Established (Paving the Way Forward Program)</w:t>
            </w:r>
          </w:p>
        </w:tc>
        <w:tc>
          <w:tcPr>
            <w:tcW w:w="810" w:type="pct"/>
          </w:tcPr>
          <w:p w14:paraId="3F4C134A" w14:textId="77777777" w:rsidR="00AC3C57" w:rsidRPr="0090286B" w:rsidRDefault="00AC3C57">
            <w:pPr>
              <w:pStyle w:val="ARtabletextright"/>
              <w:rPr>
                <w:highlight w:val="yellow"/>
              </w:rPr>
            </w:pPr>
            <w:r>
              <w:t>$</w:t>
            </w:r>
            <w:r w:rsidRPr="005554EF">
              <w:t>94</w:t>
            </w:r>
            <w:r>
              <w:t>,</w:t>
            </w:r>
            <w:r w:rsidRPr="005554EF">
              <w:t>33</w:t>
            </w:r>
            <w:r>
              <w:t>6</w:t>
            </w:r>
          </w:p>
        </w:tc>
        <w:tc>
          <w:tcPr>
            <w:tcW w:w="809" w:type="pct"/>
            <w:shd w:val="clear" w:color="auto" w:fill="E7E6E6" w:themeFill="background2"/>
          </w:tcPr>
          <w:p w14:paraId="648CE475" w14:textId="77777777" w:rsidR="00AC3C57" w:rsidRPr="0090286B" w:rsidRDefault="00AC3C57">
            <w:pPr>
              <w:pStyle w:val="ARtabletextright"/>
              <w:rPr>
                <w:highlight w:val="yellow"/>
              </w:rPr>
            </w:pPr>
            <w:r>
              <w:t>$</w:t>
            </w:r>
            <w:r w:rsidRPr="005554EF">
              <w:t>94</w:t>
            </w:r>
            <w:r>
              <w:t>,</w:t>
            </w:r>
            <w:r w:rsidRPr="005554EF">
              <w:t>33</w:t>
            </w:r>
            <w:r>
              <w:t>6</w:t>
            </w:r>
          </w:p>
        </w:tc>
        <w:tc>
          <w:tcPr>
            <w:tcW w:w="732" w:type="pct"/>
          </w:tcPr>
          <w:p w14:paraId="0C254FE6" w14:textId="25F257FC" w:rsidR="00AC3C57" w:rsidRPr="0090286B" w:rsidRDefault="005C1105">
            <w:pPr>
              <w:pStyle w:val="ARtabletextright"/>
              <w:rPr>
                <w:highlight w:val="yellow"/>
              </w:rPr>
            </w:pPr>
            <w:r>
              <w:t>–</w:t>
            </w:r>
          </w:p>
        </w:tc>
      </w:tr>
      <w:tr w:rsidR="00AC3C57" w:rsidRPr="00F4452B" w14:paraId="0636DB80" w14:textId="77777777" w:rsidTr="00A940AB">
        <w:trPr>
          <w:trHeight w:val="300"/>
        </w:trPr>
        <w:tc>
          <w:tcPr>
            <w:tcW w:w="1000" w:type="pct"/>
            <w:tcBorders>
              <w:top w:val="single" w:sz="4" w:space="0" w:color="A6A6A6" w:themeColor="accent5"/>
              <w:bottom w:val="single" w:sz="4" w:space="0" w:color="A6A6A6" w:themeColor="accent5"/>
            </w:tcBorders>
          </w:tcPr>
          <w:p w14:paraId="7F9E3CAE" w14:textId="77777777" w:rsidR="00AC3C57" w:rsidRPr="00F4452B" w:rsidRDefault="00AC3C57" w:rsidP="00A940AB">
            <w:pPr>
              <w:pStyle w:val="ARtabletextbold"/>
            </w:pPr>
            <w:r w:rsidRPr="00B176FC">
              <w:t>A</w:t>
            </w:r>
            <w:r>
              <w:t>ccenture</w:t>
            </w:r>
          </w:p>
        </w:tc>
        <w:tc>
          <w:tcPr>
            <w:tcW w:w="1649" w:type="pct"/>
            <w:shd w:val="clear" w:color="auto" w:fill="E7E6E6" w:themeFill="background2"/>
            <w:tcMar>
              <w:left w:w="113" w:type="dxa"/>
            </w:tcMar>
          </w:tcPr>
          <w:p w14:paraId="748AE076" w14:textId="77777777" w:rsidR="00AC3C57" w:rsidRPr="00331504" w:rsidRDefault="00AC3C57">
            <w:pPr>
              <w:pStyle w:val="ARtabletext"/>
              <w:spacing w:line="220" w:lineRule="atLeast"/>
            </w:pPr>
            <w:r>
              <w:t>I</w:t>
            </w:r>
            <w:r w:rsidRPr="00714905">
              <w:t xml:space="preserve">dentity and </w:t>
            </w:r>
            <w:r>
              <w:t>a</w:t>
            </w:r>
            <w:r w:rsidRPr="00714905">
              <w:t xml:space="preserve">ccess </w:t>
            </w:r>
            <w:r>
              <w:t>m</w:t>
            </w:r>
            <w:r w:rsidRPr="00714905">
              <w:t xml:space="preserve">anagement </w:t>
            </w:r>
            <w:r>
              <w:t>c</w:t>
            </w:r>
            <w:r w:rsidRPr="00714905">
              <w:t xml:space="preserve">urrent </w:t>
            </w:r>
            <w:r>
              <w:t>s</w:t>
            </w:r>
            <w:r w:rsidRPr="00714905">
              <w:t xml:space="preserve">tate </w:t>
            </w:r>
            <w:r>
              <w:t>a</w:t>
            </w:r>
            <w:r w:rsidRPr="00714905">
              <w:t xml:space="preserve">ssessment </w:t>
            </w:r>
            <w:r>
              <w:t>e</w:t>
            </w:r>
            <w:r w:rsidRPr="00714905">
              <w:t>valuation</w:t>
            </w:r>
          </w:p>
        </w:tc>
        <w:tc>
          <w:tcPr>
            <w:tcW w:w="810" w:type="pct"/>
          </w:tcPr>
          <w:p w14:paraId="0ED1F573" w14:textId="77777777" w:rsidR="00AC3C57" w:rsidRDefault="00AC3C57">
            <w:pPr>
              <w:pStyle w:val="ARtabletextright"/>
            </w:pPr>
            <w:r>
              <w:t>$</w:t>
            </w:r>
            <w:r w:rsidRPr="003C3101">
              <w:t>180</w:t>
            </w:r>
            <w:r>
              <w:t>,</w:t>
            </w:r>
            <w:r w:rsidRPr="003C3101">
              <w:t>900</w:t>
            </w:r>
          </w:p>
        </w:tc>
        <w:tc>
          <w:tcPr>
            <w:tcW w:w="809" w:type="pct"/>
            <w:shd w:val="clear" w:color="auto" w:fill="E7E6E6" w:themeFill="background2"/>
          </w:tcPr>
          <w:p w14:paraId="27C1E384" w14:textId="77777777" w:rsidR="00AC3C57" w:rsidRDefault="00AC3C57">
            <w:pPr>
              <w:pStyle w:val="ARtabletextright"/>
            </w:pPr>
            <w:r>
              <w:t>$</w:t>
            </w:r>
            <w:r w:rsidRPr="003C3101">
              <w:t>91</w:t>
            </w:r>
            <w:r>
              <w:t>,</w:t>
            </w:r>
            <w:r w:rsidRPr="003C3101">
              <w:t>68</w:t>
            </w:r>
            <w:r>
              <w:t>7</w:t>
            </w:r>
          </w:p>
        </w:tc>
        <w:tc>
          <w:tcPr>
            <w:tcW w:w="732" w:type="pct"/>
          </w:tcPr>
          <w:p w14:paraId="54421545" w14:textId="77777777" w:rsidR="00AC3C57" w:rsidRDefault="00AC3C57">
            <w:pPr>
              <w:pStyle w:val="ARtabletextright"/>
            </w:pPr>
            <w:r>
              <w:t>$</w:t>
            </w:r>
            <w:r w:rsidRPr="00AD1499">
              <w:t>89</w:t>
            </w:r>
            <w:r>
              <w:t>,</w:t>
            </w:r>
            <w:r w:rsidRPr="00AD1499">
              <w:t>213</w:t>
            </w:r>
          </w:p>
        </w:tc>
      </w:tr>
      <w:tr w:rsidR="00AC3C57" w:rsidRPr="000F5474" w14:paraId="1FFDCED7" w14:textId="77777777" w:rsidTr="00A940AB">
        <w:trPr>
          <w:trHeight w:val="300"/>
        </w:trPr>
        <w:tc>
          <w:tcPr>
            <w:tcW w:w="1000" w:type="pct"/>
            <w:tcBorders>
              <w:top w:val="single" w:sz="4" w:space="0" w:color="A6A6A6" w:themeColor="accent5"/>
              <w:bottom w:val="single" w:sz="4" w:space="0" w:color="A6A6A6" w:themeColor="accent5"/>
            </w:tcBorders>
          </w:tcPr>
          <w:p w14:paraId="018F7267" w14:textId="77777777" w:rsidR="00AC3C57" w:rsidRPr="00E565B4" w:rsidRDefault="00AC3C57" w:rsidP="00A940AB">
            <w:pPr>
              <w:pStyle w:val="ARtabletextbold"/>
              <w:rPr>
                <w:i/>
                <w:iCs/>
              </w:rPr>
            </w:pPr>
            <w:r>
              <w:t>Urbis</w:t>
            </w:r>
          </w:p>
        </w:tc>
        <w:tc>
          <w:tcPr>
            <w:tcW w:w="1649" w:type="pct"/>
            <w:shd w:val="clear" w:color="auto" w:fill="E7E6E6" w:themeFill="background2"/>
            <w:tcMar>
              <w:left w:w="113" w:type="dxa"/>
            </w:tcMar>
          </w:tcPr>
          <w:p w14:paraId="77249608" w14:textId="69A68AEF" w:rsidR="00AC3C57" w:rsidRPr="000F5474" w:rsidRDefault="00AC3C57">
            <w:pPr>
              <w:pStyle w:val="ARtabletext"/>
              <w:spacing w:line="220" w:lineRule="atLeast"/>
            </w:pPr>
            <w:r w:rsidRPr="000F5474">
              <w:t>Evaluation for the Free from Violence Local Government Grant</w:t>
            </w:r>
            <w:r w:rsidR="00CE403C">
              <w:t> </w:t>
            </w:r>
            <w:r w:rsidRPr="000F5474">
              <w:t>Program</w:t>
            </w:r>
          </w:p>
        </w:tc>
        <w:tc>
          <w:tcPr>
            <w:tcW w:w="810" w:type="pct"/>
          </w:tcPr>
          <w:p w14:paraId="519CAF16" w14:textId="77777777" w:rsidR="00AC3C57" w:rsidRPr="000F5474" w:rsidRDefault="00AC3C57">
            <w:pPr>
              <w:pStyle w:val="ARtabletextright"/>
            </w:pPr>
            <w:r>
              <w:t>$</w:t>
            </w:r>
            <w:r w:rsidRPr="000F5474">
              <w:t>566</w:t>
            </w:r>
            <w:r>
              <w:t>,</w:t>
            </w:r>
            <w:r w:rsidRPr="000F5474">
              <w:t>27</w:t>
            </w:r>
            <w:r>
              <w:t>6</w:t>
            </w:r>
          </w:p>
        </w:tc>
        <w:tc>
          <w:tcPr>
            <w:tcW w:w="809" w:type="pct"/>
            <w:shd w:val="clear" w:color="auto" w:fill="E7E6E6" w:themeFill="background2"/>
          </w:tcPr>
          <w:p w14:paraId="02F5BFE1" w14:textId="77777777" w:rsidR="00AC3C57" w:rsidRPr="000F5474" w:rsidRDefault="00AC3C57">
            <w:pPr>
              <w:pStyle w:val="ARtabletextright"/>
            </w:pPr>
            <w:r>
              <w:t>$90,909</w:t>
            </w:r>
          </w:p>
        </w:tc>
        <w:tc>
          <w:tcPr>
            <w:tcW w:w="732" w:type="pct"/>
          </w:tcPr>
          <w:p w14:paraId="28CEC8E5" w14:textId="77777777" w:rsidR="00AC3C57" w:rsidRPr="000F5474" w:rsidRDefault="00AC3C57">
            <w:pPr>
              <w:pStyle w:val="ARtabletextright"/>
            </w:pPr>
            <w:r>
              <w:t>$248,000</w:t>
            </w:r>
          </w:p>
        </w:tc>
      </w:tr>
      <w:tr w:rsidR="00AC3C57" w:rsidRPr="00F4452B" w14:paraId="705357A7" w14:textId="77777777" w:rsidTr="00A940AB">
        <w:trPr>
          <w:trHeight w:val="300"/>
        </w:trPr>
        <w:tc>
          <w:tcPr>
            <w:tcW w:w="1000" w:type="pct"/>
            <w:tcBorders>
              <w:top w:val="single" w:sz="4" w:space="0" w:color="A6A6A6" w:themeColor="accent5"/>
              <w:bottom w:val="single" w:sz="4" w:space="0" w:color="A6A6A6" w:themeColor="accent5"/>
            </w:tcBorders>
          </w:tcPr>
          <w:p w14:paraId="66F4C9D2" w14:textId="77777777" w:rsidR="00AC3C57" w:rsidRPr="00F4452B" w:rsidRDefault="00AC3C57" w:rsidP="00A940AB">
            <w:pPr>
              <w:pStyle w:val="ARtabletextbold"/>
            </w:pPr>
            <w:r w:rsidRPr="00F4452B">
              <w:t>Right Lane Consulting Pty</w:t>
            </w:r>
            <w:r>
              <w:t xml:space="preserve"> </w:t>
            </w:r>
            <w:r w:rsidRPr="00F4452B">
              <w:t>Ltd</w:t>
            </w:r>
          </w:p>
        </w:tc>
        <w:tc>
          <w:tcPr>
            <w:tcW w:w="1649" w:type="pct"/>
            <w:shd w:val="clear" w:color="auto" w:fill="E7E6E6" w:themeFill="background2"/>
            <w:tcMar>
              <w:left w:w="113" w:type="dxa"/>
            </w:tcMar>
          </w:tcPr>
          <w:p w14:paraId="57EF7493" w14:textId="77777777" w:rsidR="00AC3C57" w:rsidRPr="00331504" w:rsidRDefault="00AC3C57">
            <w:pPr>
              <w:pStyle w:val="ARtabletext"/>
              <w:spacing w:line="220" w:lineRule="atLeast"/>
            </w:pPr>
            <w:r w:rsidRPr="009B7168">
              <w:t xml:space="preserve">Public </w:t>
            </w:r>
            <w:r>
              <w:t>s</w:t>
            </w:r>
            <w:r w:rsidRPr="009B7168">
              <w:t xml:space="preserve">ervice </w:t>
            </w:r>
            <w:r>
              <w:t>g</w:t>
            </w:r>
            <w:r w:rsidRPr="009B7168">
              <w:t xml:space="preserve">ender </w:t>
            </w:r>
            <w:r>
              <w:t>i</w:t>
            </w:r>
            <w:r w:rsidRPr="009B7168">
              <w:t xml:space="preserve">mpact </w:t>
            </w:r>
            <w:r>
              <w:t>a</w:t>
            </w:r>
            <w:r w:rsidRPr="009B7168">
              <w:t xml:space="preserve">ssessments </w:t>
            </w:r>
            <w:r>
              <w:t>r</w:t>
            </w:r>
            <w:r w:rsidRPr="009B7168">
              <w:t>esources</w:t>
            </w:r>
          </w:p>
        </w:tc>
        <w:tc>
          <w:tcPr>
            <w:tcW w:w="810" w:type="pct"/>
          </w:tcPr>
          <w:p w14:paraId="18580BD6" w14:textId="77777777" w:rsidR="00AC3C57" w:rsidRDefault="00AC3C57">
            <w:pPr>
              <w:pStyle w:val="ARtabletextright"/>
            </w:pPr>
            <w:r>
              <w:t>$90,500</w:t>
            </w:r>
          </w:p>
        </w:tc>
        <w:tc>
          <w:tcPr>
            <w:tcW w:w="809" w:type="pct"/>
            <w:shd w:val="clear" w:color="auto" w:fill="E7E6E6" w:themeFill="background2"/>
          </w:tcPr>
          <w:p w14:paraId="04CAE1D2" w14:textId="77777777" w:rsidR="00AC3C57" w:rsidRDefault="00AC3C57">
            <w:pPr>
              <w:pStyle w:val="ARtabletextright"/>
            </w:pPr>
            <w:r>
              <w:t>$90,500</w:t>
            </w:r>
          </w:p>
        </w:tc>
        <w:tc>
          <w:tcPr>
            <w:tcW w:w="732" w:type="pct"/>
          </w:tcPr>
          <w:p w14:paraId="7645D6EE" w14:textId="1B9C1EAD" w:rsidR="00AC3C57" w:rsidRDefault="005C1105">
            <w:pPr>
              <w:pStyle w:val="ARtabletextright"/>
            </w:pPr>
            <w:r>
              <w:t>–</w:t>
            </w:r>
          </w:p>
        </w:tc>
      </w:tr>
      <w:tr w:rsidR="00AC3C57" w:rsidRPr="00F4452B" w14:paraId="248EE09F" w14:textId="77777777" w:rsidTr="00A940AB">
        <w:trPr>
          <w:trHeight w:val="300"/>
        </w:trPr>
        <w:tc>
          <w:tcPr>
            <w:tcW w:w="1000" w:type="pct"/>
            <w:tcBorders>
              <w:top w:val="single" w:sz="4" w:space="0" w:color="A6A6A6" w:themeColor="accent5"/>
              <w:bottom w:val="single" w:sz="4" w:space="0" w:color="A6A6A6" w:themeColor="accent5"/>
            </w:tcBorders>
          </w:tcPr>
          <w:p w14:paraId="485690C9" w14:textId="77777777" w:rsidR="00AC3C57" w:rsidRPr="00F4452B" w:rsidRDefault="00AC3C57" w:rsidP="00A940AB">
            <w:pPr>
              <w:pStyle w:val="ARtabletextbold"/>
            </w:pPr>
            <w:r w:rsidRPr="00E01402">
              <w:t>Publicis Sapient</w:t>
            </w:r>
          </w:p>
        </w:tc>
        <w:tc>
          <w:tcPr>
            <w:tcW w:w="1649" w:type="pct"/>
            <w:shd w:val="clear" w:color="auto" w:fill="E7E6E6" w:themeFill="background2"/>
            <w:tcMar>
              <w:left w:w="113" w:type="dxa"/>
            </w:tcMar>
          </w:tcPr>
          <w:p w14:paraId="3BFD573F" w14:textId="77777777" w:rsidR="00AC3C57" w:rsidRPr="00331504" w:rsidRDefault="00AC3C57">
            <w:pPr>
              <w:pStyle w:val="ARtabletext"/>
              <w:spacing w:line="220" w:lineRule="atLeast"/>
            </w:pPr>
            <w:r w:rsidRPr="00E01402">
              <w:t xml:space="preserve">Relocations </w:t>
            </w:r>
            <w:r>
              <w:t>d</w:t>
            </w:r>
            <w:r w:rsidRPr="00E01402">
              <w:t xml:space="preserve">ata </w:t>
            </w:r>
            <w:r>
              <w:t>m</w:t>
            </w:r>
            <w:r w:rsidRPr="00E01402">
              <w:t xml:space="preserve">anagement </w:t>
            </w:r>
            <w:r>
              <w:t>t</w:t>
            </w:r>
            <w:r w:rsidRPr="00E01402">
              <w:t>ool (</w:t>
            </w:r>
            <w:r>
              <w:t>h</w:t>
            </w:r>
            <w:r w:rsidRPr="00E01402">
              <w:t>igh-</w:t>
            </w:r>
            <w:r>
              <w:t>r</w:t>
            </w:r>
            <w:r w:rsidRPr="00E01402">
              <w:t xml:space="preserve">ise </w:t>
            </w:r>
            <w:r>
              <w:t>r</w:t>
            </w:r>
            <w:r w:rsidRPr="00E01402">
              <w:t>edevelopment)</w:t>
            </w:r>
          </w:p>
        </w:tc>
        <w:tc>
          <w:tcPr>
            <w:tcW w:w="810" w:type="pct"/>
          </w:tcPr>
          <w:p w14:paraId="0108D8C4" w14:textId="77777777" w:rsidR="00AC3C57" w:rsidRDefault="00AC3C57">
            <w:pPr>
              <w:pStyle w:val="ARtabletextright"/>
            </w:pPr>
            <w:r>
              <w:t>$</w:t>
            </w:r>
            <w:r w:rsidRPr="00B80C4B">
              <w:t>90</w:t>
            </w:r>
            <w:r>
              <w:t>,</w:t>
            </w:r>
            <w:r w:rsidRPr="00B80C4B">
              <w:t>000</w:t>
            </w:r>
          </w:p>
        </w:tc>
        <w:tc>
          <w:tcPr>
            <w:tcW w:w="809" w:type="pct"/>
            <w:shd w:val="clear" w:color="auto" w:fill="E7E6E6" w:themeFill="background2"/>
          </w:tcPr>
          <w:p w14:paraId="4B70989D" w14:textId="77777777" w:rsidR="00AC3C57" w:rsidRPr="00D029D1" w:rsidRDefault="00AC3C57">
            <w:pPr>
              <w:pStyle w:val="ARtabletextright"/>
            </w:pPr>
            <w:r w:rsidRPr="00D029D1">
              <w:t>$90,000</w:t>
            </w:r>
          </w:p>
        </w:tc>
        <w:tc>
          <w:tcPr>
            <w:tcW w:w="732" w:type="pct"/>
          </w:tcPr>
          <w:p w14:paraId="399BAED4" w14:textId="0A077CE0" w:rsidR="00AC3C57" w:rsidRPr="00D029D1" w:rsidRDefault="005C1105">
            <w:pPr>
              <w:pStyle w:val="ARtabletextright"/>
            </w:pPr>
            <w:r>
              <w:t>–</w:t>
            </w:r>
          </w:p>
        </w:tc>
      </w:tr>
      <w:tr w:rsidR="00AC3C57" w:rsidRPr="00F4452B" w14:paraId="603899E1" w14:textId="77777777" w:rsidTr="00A940AB">
        <w:trPr>
          <w:trHeight w:val="300"/>
        </w:trPr>
        <w:tc>
          <w:tcPr>
            <w:tcW w:w="1000" w:type="pct"/>
            <w:tcBorders>
              <w:top w:val="single" w:sz="4" w:space="0" w:color="A6A6A6" w:themeColor="accent5"/>
              <w:bottom w:val="single" w:sz="4" w:space="0" w:color="A6A6A6" w:themeColor="accent5"/>
            </w:tcBorders>
          </w:tcPr>
          <w:p w14:paraId="184BF2EE" w14:textId="77777777" w:rsidR="00AC3C57" w:rsidRPr="00F4452B" w:rsidRDefault="00AC3C57" w:rsidP="00A940AB">
            <w:pPr>
              <w:pStyle w:val="ARtabletextbold"/>
            </w:pPr>
            <w:r w:rsidRPr="008D347B">
              <w:t>RMIT University</w:t>
            </w:r>
          </w:p>
        </w:tc>
        <w:tc>
          <w:tcPr>
            <w:tcW w:w="1649" w:type="pct"/>
            <w:shd w:val="clear" w:color="auto" w:fill="E7E6E6" w:themeFill="background2"/>
            <w:tcMar>
              <w:left w:w="113" w:type="dxa"/>
            </w:tcMar>
          </w:tcPr>
          <w:p w14:paraId="34B34CA8" w14:textId="77777777" w:rsidR="00AC3C57" w:rsidRPr="00331504" w:rsidRDefault="00AC3C57">
            <w:pPr>
              <w:pStyle w:val="ARtabletext"/>
              <w:spacing w:line="220" w:lineRule="atLeast"/>
            </w:pPr>
            <w:r w:rsidRPr="00452400">
              <w:t xml:space="preserve">Serious-risk Adults Using Family Violence Program </w:t>
            </w:r>
            <w:r>
              <w:t>e</w:t>
            </w:r>
            <w:r w:rsidRPr="00452400">
              <w:t>valuation</w:t>
            </w:r>
          </w:p>
        </w:tc>
        <w:tc>
          <w:tcPr>
            <w:tcW w:w="810" w:type="pct"/>
          </w:tcPr>
          <w:p w14:paraId="5D90ABB6" w14:textId="77777777" w:rsidR="00AC3C57" w:rsidRDefault="00AC3C57">
            <w:pPr>
              <w:pStyle w:val="ARtabletextright"/>
            </w:pPr>
            <w:r>
              <w:t>$</w:t>
            </w:r>
            <w:r w:rsidRPr="00CB1131">
              <w:t>456</w:t>
            </w:r>
            <w:r>
              <w:t>,</w:t>
            </w:r>
            <w:r w:rsidRPr="00CB1131">
              <w:t>70</w:t>
            </w:r>
            <w:r>
              <w:t>0</w:t>
            </w:r>
          </w:p>
        </w:tc>
        <w:tc>
          <w:tcPr>
            <w:tcW w:w="809" w:type="pct"/>
            <w:shd w:val="clear" w:color="auto" w:fill="E7E6E6" w:themeFill="background2"/>
          </w:tcPr>
          <w:p w14:paraId="1218476D" w14:textId="77777777" w:rsidR="00AC3C57" w:rsidRDefault="00AC3C57">
            <w:pPr>
              <w:pStyle w:val="ARtabletextright"/>
            </w:pPr>
            <w:r>
              <w:t>$</w:t>
            </w:r>
            <w:r w:rsidRPr="00CB1131">
              <w:t>89</w:t>
            </w:r>
            <w:r>
              <w:t>,</w:t>
            </w:r>
            <w:r w:rsidRPr="00CB1131">
              <w:t>638</w:t>
            </w:r>
          </w:p>
        </w:tc>
        <w:tc>
          <w:tcPr>
            <w:tcW w:w="732" w:type="pct"/>
          </w:tcPr>
          <w:p w14:paraId="4878E010" w14:textId="77777777" w:rsidR="00AC3C57" w:rsidRDefault="00AC3C57">
            <w:pPr>
              <w:pStyle w:val="ARtabletextright"/>
            </w:pPr>
            <w:r>
              <w:t>$</w:t>
            </w:r>
            <w:r w:rsidRPr="005036DF">
              <w:t>367</w:t>
            </w:r>
            <w:r>
              <w:t>,</w:t>
            </w:r>
            <w:r w:rsidRPr="005036DF">
              <w:t>06</w:t>
            </w:r>
            <w:r>
              <w:t>2</w:t>
            </w:r>
          </w:p>
        </w:tc>
      </w:tr>
      <w:tr w:rsidR="00AC3C57" w:rsidRPr="00F4452B" w14:paraId="139783AA" w14:textId="77777777" w:rsidTr="00A940AB">
        <w:trPr>
          <w:trHeight w:val="300"/>
        </w:trPr>
        <w:tc>
          <w:tcPr>
            <w:tcW w:w="1000" w:type="pct"/>
            <w:tcBorders>
              <w:top w:val="single" w:sz="4" w:space="0" w:color="A6A6A6" w:themeColor="accent5"/>
              <w:bottom w:val="single" w:sz="4" w:space="0" w:color="A6A6A6" w:themeColor="accent5"/>
            </w:tcBorders>
          </w:tcPr>
          <w:p w14:paraId="7674454B" w14:textId="77777777" w:rsidR="00AC3C57" w:rsidRPr="00F4452B" w:rsidRDefault="00AC3C57" w:rsidP="00A940AB">
            <w:pPr>
              <w:pStyle w:val="ARtabletextbold"/>
            </w:pPr>
            <w:r w:rsidRPr="00F4452B">
              <w:t>The University of Melbourne</w:t>
            </w:r>
          </w:p>
        </w:tc>
        <w:tc>
          <w:tcPr>
            <w:tcW w:w="1649" w:type="pct"/>
            <w:shd w:val="clear" w:color="auto" w:fill="E7E6E6" w:themeFill="background2"/>
            <w:tcMar>
              <w:left w:w="113" w:type="dxa"/>
            </w:tcMar>
          </w:tcPr>
          <w:p w14:paraId="65935869" w14:textId="1820C8F8" w:rsidR="00AC3C57" w:rsidRPr="00331504" w:rsidRDefault="00AC3C57">
            <w:pPr>
              <w:pStyle w:val="ARtabletext"/>
              <w:spacing w:line="220" w:lineRule="atLeast"/>
            </w:pPr>
            <w:r w:rsidRPr="008A7E88">
              <w:t xml:space="preserve">Community Protecting </w:t>
            </w:r>
            <w:proofErr w:type="spellStart"/>
            <w:r w:rsidRPr="008A7E88">
              <w:t>Boorais</w:t>
            </w:r>
            <w:proofErr w:type="spellEnd"/>
            <w:r w:rsidRPr="008A7E88">
              <w:t xml:space="preserve"> Pilot</w:t>
            </w:r>
            <w:r w:rsidR="00CE403C">
              <w:t> </w:t>
            </w:r>
            <w:r>
              <w:t>e</w:t>
            </w:r>
            <w:r w:rsidRPr="008A7E88">
              <w:t>valuation</w:t>
            </w:r>
          </w:p>
        </w:tc>
        <w:tc>
          <w:tcPr>
            <w:tcW w:w="810" w:type="pct"/>
          </w:tcPr>
          <w:p w14:paraId="60B3B23F" w14:textId="77777777" w:rsidR="00AC3C57" w:rsidRDefault="00AC3C57">
            <w:pPr>
              <w:pStyle w:val="ARtabletextright"/>
            </w:pPr>
            <w:r>
              <w:t>$</w:t>
            </w:r>
            <w:r w:rsidRPr="003276E4">
              <w:t>712</w:t>
            </w:r>
            <w:r>
              <w:t>,</w:t>
            </w:r>
            <w:r w:rsidRPr="003276E4">
              <w:t>40</w:t>
            </w:r>
            <w:r>
              <w:t>5</w:t>
            </w:r>
          </w:p>
        </w:tc>
        <w:tc>
          <w:tcPr>
            <w:tcW w:w="809" w:type="pct"/>
            <w:shd w:val="clear" w:color="auto" w:fill="E7E6E6" w:themeFill="background2"/>
          </w:tcPr>
          <w:p w14:paraId="68CA0F9F" w14:textId="77777777" w:rsidR="00AC3C57" w:rsidRDefault="00AC3C57">
            <w:pPr>
              <w:pStyle w:val="ARtabletextright"/>
            </w:pPr>
            <w:r>
              <w:t>$</w:t>
            </w:r>
            <w:r w:rsidRPr="004928B5">
              <w:t>73</w:t>
            </w:r>
            <w:r>
              <w:t>,</w:t>
            </w:r>
            <w:r w:rsidRPr="004928B5">
              <w:t>120</w:t>
            </w:r>
          </w:p>
        </w:tc>
        <w:tc>
          <w:tcPr>
            <w:tcW w:w="732" w:type="pct"/>
          </w:tcPr>
          <w:p w14:paraId="2AC646D1" w14:textId="77777777" w:rsidR="00AC3C57" w:rsidRDefault="00AC3C57">
            <w:pPr>
              <w:pStyle w:val="ARtabletextright"/>
            </w:pPr>
            <w:r>
              <w:t>$</w:t>
            </w:r>
            <w:r w:rsidRPr="004928B5">
              <w:t>639</w:t>
            </w:r>
            <w:r>
              <w:t>,</w:t>
            </w:r>
            <w:r w:rsidRPr="004928B5">
              <w:t>28</w:t>
            </w:r>
            <w:r>
              <w:t>5</w:t>
            </w:r>
          </w:p>
        </w:tc>
      </w:tr>
      <w:tr w:rsidR="00AC3C57" w:rsidRPr="00F4452B" w14:paraId="007ADEE7" w14:textId="77777777" w:rsidTr="00A940AB">
        <w:trPr>
          <w:trHeight w:val="300"/>
        </w:trPr>
        <w:tc>
          <w:tcPr>
            <w:tcW w:w="1000" w:type="pct"/>
            <w:tcBorders>
              <w:top w:val="single" w:sz="4" w:space="0" w:color="A6A6A6" w:themeColor="accent5"/>
              <w:bottom w:val="single" w:sz="4" w:space="0" w:color="A6A6A6" w:themeColor="accent5"/>
            </w:tcBorders>
          </w:tcPr>
          <w:p w14:paraId="36A2CC07" w14:textId="77777777" w:rsidR="00AC3C57" w:rsidRPr="00F4452B" w:rsidRDefault="00AC3C57" w:rsidP="00A940AB">
            <w:pPr>
              <w:pStyle w:val="ARtabletextbold"/>
            </w:pPr>
            <w:r w:rsidRPr="001242DE">
              <w:t>Allen and Clarke Consulting Pty Ltd</w:t>
            </w:r>
          </w:p>
        </w:tc>
        <w:tc>
          <w:tcPr>
            <w:tcW w:w="1649" w:type="pct"/>
            <w:tcBorders>
              <w:bottom w:val="single" w:sz="4" w:space="0" w:color="A6A6A6" w:themeColor="accent5"/>
            </w:tcBorders>
            <w:shd w:val="clear" w:color="auto" w:fill="E7E6E6" w:themeFill="background2"/>
            <w:tcMar>
              <w:left w:w="113" w:type="dxa"/>
            </w:tcMar>
          </w:tcPr>
          <w:p w14:paraId="1E79F605" w14:textId="410B5CDB" w:rsidR="00AC3C57" w:rsidRPr="00331504" w:rsidRDefault="00AC3C57">
            <w:pPr>
              <w:pStyle w:val="ARtabletext"/>
              <w:spacing w:line="220" w:lineRule="atLeast"/>
            </w:pPr>
            <w:r w:rsidRPr="00F11311">
              <w:t>Evaluation of the Crisis Response Model, including core and cluster</w:t>
            </w:r>
            <w:r w:rsidR="00CE403C">
              <w:t> </w:t>
            </w:r>
            <w:r w:rsidRPr="00F11311">
              <w:t>refuges</w:t>
            </w:r>
          </w:p>
        </w:tc>
        <w:tc>
          <w:tcPr>
            <w:tcW w:w="810" w:type="pct"/>
            <w:tcBorders>
              <w:bottom w:val="single" w:sz="4" w:space="0" w:color="A6A6A6" w:themeColor="accent5"/>
            </w:tcBorders>
          </w:tcPr>
          <w:p w14:paraId="47DFF09D" w14:textId="77777777" w:rsidR="00AC3C57" w:rsidRDefault="00AC3C57">
            <w:pPr>
              <w:pStyle w:val="ARtabletextright"/>
            </w:pPr>
            <w:r>
              <w:t>$623,333</w:t>
            </w:r>
          </w:p>
        </w:tc>
        <w:tc>
          <w:tcPr>
            <w:tcW w:w="809" w:type="pct"/>
            <w:tcBorders>
              <w:bottom w:val="single" w:sz="4" w:space="0" w:color="A6A6A6" w:themeColor="accent5"/>
            </w:tcBorders>
            <w:shd w:val="clear" w:color="auto" w:fill="E7E6E6" w:themeFill="background2"/>
          </w:tcPr>
          <w:p w14:paraId="751E85DB" w14:textId="77777777" w:rsidR="00AC3C57" w:rsidRDefault="00AC3C57">
            <w:pPr>
              <w:pStyle w:val="ARtabletextright"/>
            </w:pPr>
            <w:r>
              <w:t>$71,742</w:t>
            </w:r>
          </w:p>
        </w:tc>
        <w:tc>
          <w:tcPr>
            <w:tcW w:w="732" w:type="pct"/>
            <w:tcBorders>
              <w:bottom w:val="single" w:sz="4" w:space="0" w:color="A6A6A6" w:themeColor="accent5"/>
            </w:tcBorders>
          </w:tcPr>
          <w:p w14:paraId="2F02260F" w14:textId="77777777" w:rsidR="00AC3C57" w:rsidRDefault="00AC3C57">
            <w:pPr>
              <w:pStyle w:val="ARtabletextright"/>
            </w:pPr>
            <w:r>
              <w:t>$319,553</w:t>
            </w:r>
          </w:p>
        </w:tc>
      </w:tr>
      <w:tr w:rsidR="00AC3C57" w:rsidRPr="00F4452B" w14:paraId="50A10060" w14:textId="77777777" w:rsidTr="00A940AB">
        <w:trPr>
          <w:trHeight w:val="300"/>
        </w:trPr>
        <w:tc>
          <w:tcPr>
            <w:tcW w:w="1000" w:type="pct"/>
            <w:tcBorders>
              <w:top w:val="single" w:sz="4" w:space="0" w:color="A6A6A6" w:themeColor="accent5"/>
              <w:bottom w:val="single" w:sz="4" w:space="0" w:color="A6A6A6" w:themeColor="accent5"/>
            </w:tcBorders>
          </w:tcPr>
          <w:p w14:paraId="04C5E20B" w14:textId="77777777" w:rsidR="00AC3C57" w:rsidRPr="00F4452B" w:rsidRDefault="00AC3C57" w:rsidP="00A940AB">
            <w:pPr>
              <w:pStyle w:val="ARtabletextbold"/>
            </w:pPr>
            <w:r w:rsidRPr="00F4452B">
              <w:t>Nous Group Pty Ltd</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367D7439" w14:textId="53966059" w:rsidR="00AC3C57" w:rsidRPr="00331504" w:rsidRDefault="00AC3C57">
            <w:pPr>
              <w:pStyle w:val="ARtabletext"/>
              <w:spacing w:line="220" w:lineRule="atLeast"/>
            </w:pPr>
            <w:r w:rsidRPr="001E2ABC">
              <w:t>Home-based care</w:t>
            </w:r>
            <w:r w:rsidR="00A940AB">
              <w:t> </w:t>
            </w:r>
            <w:r>
              <w:t>review</w:t>
            </w:r>
          </w:p>
        </w:tc>
        <w:tc>
          <w:tcPr>
            <w:tcW w:w="810" w:type="pct"/>
            <w:tcBorders>
              <w:top w:val="single" w:sz="4" w:space="0" w:color="A6A6A6" w:themeColor="accent5"/>
              <w:bottom w:val="single" w:sz="4" w:space="0" w:color="A6A6A6" w:themeColor="accent5"/>
            </w:tcBorders>
          </w:tcPr>
          <w:p w14:paraId="05E084D6" w14:textId="77777777" w:rsidR="00AC3C57" w:rsidRDefault="00AC3C57">
            <w:pPr>
              <w:pStyle w:val="ARtabletextright"/>
            </w:pPr>
            <w:r>
              <w:t>$</w:t>
            </w:r>
            <w:r w:rsidRPr="007C7413">
              <w:t>264</w:t>
            </w:r>
            <w:r>
              <w:t>,</w:t>
            </w:r>
            <w:r w:rsidRPr="007C7413">
              <w:t>00</w:t>
            </w:r>
            <w:r>
              <w:t>6</w:t>
            </w:r>
          </w:p>
        </w:tc>
        <w:tc>
          <w:tcPr>
            <w:tcW w:w="809" w:type="pct"/>
            <w:tcBorders>
              <w:top w:val="single" w:sz="4" w:space="0" w:color="A6A6A6" w:themeColor="accent5"/>
              <w:bottom w:val="single" w:sz="4" w:space="0" w:color="A6A6A6" w:themeColor="accent5"/>
            </w:tcBorders>
            <w:shd w:val="clear" w:color="auto" w:fill="E7E6E6" w:themeFill="background2"/>
          </w:tcPr>
          <w:p w14:paraId="1154BCF8" w14:textId="77777777" w:rsidR="00AC3C57" w:rsidRDefault="00AC3C57">
            <w:pPr>
              <w:pStyle w:val="ARtabletextright"/>
            </w:pPr>
            <w:r>
              <w:t>$71,571</w:t>
            </w:r>
          </w:p>
        </w:tc>
        <w:tc>
          <w:tcPr>
            <w:tcW w:w="732" w:type="pct"/>
            <w:tcBorders>
              <w:top w:val="single" w:sz="4" w:space="0" w:color="A6A6A6" w:themeColor="accent5"/>
              <w:bottom w:val="single" w:sz="4" w:space="0" w:color="A6A6A6" w:themeColor="accent5"/>
            </w:tcBorders>
          </w:tcPr>
          <w:p w14:paraId="7AE2248C" w14:textId="4192231D" w:rsidR="00AC3C57" w:rsidRDefault="005C1105">
            <w:pPr>
              <w:pStyle w:val="ARtabletextright"/>
            </w:pPr>
            <w:r>
              <w:t>–</w:t>
            </w:r>
          </w:p>
        </w:tc>
      </w:tr>
      <w:tr w:rsidR="00AC3C57" w:rsidRPr="00F4452B" w14:paraId="079DA572" w14:textId="77777777" w:rsidTr="00A940AB">
        <w:trPr>
          <w:trHeight w:val="300"/>
        </w:trPr>
        <w:tc>
          <w:tcPr>
            <w:tcW w:w="1000" w:type="pct"/>
            <w:tcBorders>
              <w:top w:val="single" w:sz="4" w:space="0" w:color="A6A6A6" w:themeColor="accent5"/>
              <w:bottom w:val="single" w:sz="4" w:space="0" w:color="A6A6A6" w:themeColor="accent5"/>
            </w:tcBorders>
          </w:tcPr>
          <w:p w14:paraId="4B9843E8" w14:textId="77777777" w:rsidR="00AC3C57" w:rsidRPr="00F4452B" w:rsidRDefault="00AC3C57" w:rsidP="00A940AB">
            <w:pPr>
              <w:pStyle w:val="ARtabletextbold"/>
            </w:pPr>
            <w:r>
              <w:t>ARTD Pty Ltd</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2B71FDBD" w14:textId="77777777" w:rsidR="00AC3C57" w:rsidRPr="00331504" w:rsidRDefault="00AC3C57">
            <w:pPr>
              <w:pStyle w:val="ARtabletext"/>
              <w:spacing w:line="220" w:lineRule="atLeast"/>
            </w:pPr>
            <w:r w:rsidRPr="00095C6F">
              <w:t xml:space="preserve">Family Violence Disability Practice Leaders Initiative </w:t>
            </w:r>
            <w:r>
              <w:t>e</w:t>
            </w:r>
            <w:r w:rsidRPr="00095C6F">
              <w:t>valuation</w:t>
            </w:r>
          </w:p>
        </w:tc>
        <w:tc>
          <w:tcPr>
            <w:tcW w:w="810" w:type="pct"/>
            <w:tcBorders>
              <w:top w:val="single" w:sz="4" w:space="0" w:color="A6A6A6" w:themeColor="accent5"/>
              <w:bottom w:val="single" w:sz="4" w:space="0" w:color="A6A6A6" w:themeColor="accent5"/>
            </w:tcBorders>
          </w:tcPr>
          <w:p w14:paraId="4F20090F" w14:textId="77777777" w:rsidR="00AC3C57" w:rsidRDefault="00AC3C57">
            <w:pPr>
              <w:pStyle w:val="ARtabletextright"/>
            </w:pPr>
            <w:r>
              <w:t>$</w:t>
            </w:r>
            <w:r w:rsidRPr="00095C6F">
              <w:t>219</w:t>
            </w:r>
            <w:r>
              <w:t>,</w:t>
            </w:r>
            <w:r w:rsidRPr="00095C6F">
              <w:t>413</w:t>
            </w:r>
          </w:p>
        </w:tc>
        <w:tc>
          <w:tcPr>
            <w:tcW w:w="809" w:type="pct"/>
            <w:tcBorders>
              <w:top w:val="single" w:sz="4" w:space="0" w:color="A6A6A6" w:themeColor="accent5"/>
              <w:bottom w:val="single" w:sz="4" w:space="0" w:color="A6A6A6" w:themeColor="accent5"/>
            </w:tcBorders>
            <w:shd w:val="clear" w:color="auto" w:fill="E7E6E6" w:themeFill="background2"/>
          </w:tcPr>
          <w:p w14:paraId="1B0876A4" w14:textId="77777777" w:rsidR="00AC3C57" w:rsidRDefault="00AC3C57">
            <w:pPr>
              <w:pStyle w:val="ARtabletextright"/>
            </w:pPr>
            <w:r>
              <w:t>$</w:t>
            </w:r>
            <w:r w:rsidRPr="00E130B1">
              <w:t>69</w:t>
            </w:r>
            <w:r>
              <w:t>,</w:t>
            </w:r>
            <w:r w:rsidRPr="00E130B1">
              <w:t>413</w:t>
            </w:r>
          </w:p>
        </w:tc>
        <w:tc>
          <w:tcPr>
            <w:tcW w:w="732" w:type="pct"/>
            <w:tcBorders>
              <w:top w:val="single" w:sz="4" w:space="0" w:color="A6A6A6" w:themeColor="accent5"/>
              <w:bottom w:val="single" w:sz="4" w:space="0" w:color="A6A6A6" w:themeColor="accent5"/>
            </w:tcBorders>
          </w:tcPr>
          <w:p w14:paraId="2EBC4486" w14:textId="77473CFB" w:rsidR="00AC3C57" w:rsidRDefault="005C1105">
            <w:pPr>
              <w:pStyle w:val="ARtabletextright"/>
            </w:pPr>
            <w:r>
              <w:t>–</w:t>
            </w:r>
          </w:p>
        </w:tc>
      </w:tr>
      <w:tr w:rsidR="00AC3C57" w:rsidRPr="00F4452B" w14:paraId="29863D42"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45E0B4F2" w14:textId="77777777" w:rsidR="00AC3C57" w:rsidRPr="00F4452B" w:rsidRDefault="00AC3C57" w:rsidP="00A940AB">
            <w:pPr>
              <w:pStyle w:val="ARtabletextbold"/>
            </w:pPr>
            <w:proofErr w:type="spellStart"/>
            <w:r w:rsidRPr="00E130B1">
              <w:t>Fromhereon</w:t>
            </w:r>
            <w:proofErr w:type="spellEnd"/>
            <w:r w:rsidRPr="00E130B1">
              <w:t xml:space="preserve"> Pty Ltd</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588A7A09" w14:textId="77777777" w:rsidR="00AC3C57" w:rsidRPr="00331504" w:rsidRDefault="00AC3C57">
            <w:pPr>
              <w:pStyle w:val="ARtabletext"/>
              <w:spacing w:line="220" w:lineRule="atLeast"/>
            </w:pPr>
            <w:r>
              <w:rPr>
                <w:color w:val="000000"/>
              </w:rPr>
              <w:t>Advisory services for Information Management Roadmap</w:t>
            </w:r>
          </w:p>
        </w:tc>
        <w:tc>
          <w:tcPr>
            <w:tcW w:w="810" w:type="pct"/>
            <w:tcBorders>
              <w:top w:val="single" w:sz="4" w:space="0" w:color="A6A6A6" w:themeColor="accent5"/>
              <w:bottom w:val="single" w:sz="4" w:space="0" w:color="A6A6A6" w:themeColor="accent5"/>
            </w:tcBorders>
          </w:tcPr>
          <w:p w14:paraId="5378881B" w14:textId="77777777" w:rsidR="00AC3C57" w:rsidRDefault="00AC3C57">
            <w:pPr>
              <w:pStyle w:val="ARtabletextright"/>
            </w:pPr>
            <w:r w:rsidRPr="00ED5A1D">
              <w:t>$134,500</w:t>
            </w:r>
          </w:p>
        </w:tc>
        <w:tc>
          <w:tcPr>
            <w:tcW w:w="809" w:type="pct"/>
            <w:tcBorders>
              <w:top w:val="single" w:sz="4" w:space="0" w:color="A6A6A6" w:themeColor="accent5"/>
              <w:bottom w:val="single" w:sz="4" w:space="0" w:color="A6A6A6" w:themeColor="accent5"/>
            </w:tcBorders>
            <w:shd w:val="clear" w:color="auto" w:fill="E7E6E6" w:themeFill="background2"/>
          </w:tcPr>
          <w:p w14:paraId="520A4FAB" w14:textId="77777777" w:rsidR="00AC3C57" w:rsidRDefault="00AC3C57">
            <w:pPr>
              <w:pStyle w:val="ARtabletextright"/>
            </w:pPr>
            <w:r w:rsidRPr="00DA6057">
              <w:t>$68,510</w:t>
            </w:r>
          </w:p>
        </w:tc>
        <w:tc>
          <w:tcPr>
            <w:tcW w:w="732" w:type="pct"/>
            <w:tcBorders>
              <w:top w:val="single" w:sz="4" w:space="0" w:color="A6A6A6" w:themeColor="accent5"/>
              <w:bottom w:val="single" w:sz="4" w:space="0" w:color="A6A6A6" w:themeColor="accent5"/>
            </w:tcBorders>
          </w:tcPr>
          <w:p w14:paraId="709F477B" w14:textId="77777777" w:rsidR="00AC3C57" w:rsidRDefault="00AC3C57">
            <w:pPr>
              <w:pStyle w:val="ARtabletextright"/>
            </w:pPr>
            <w:r w:rsidRPr="00600945">
              <w:t>$65,990</w:t>
            </w:r>
          </w:p>
        </w:tc>
      </w:tr>
      <w:tr w:rsidR="00AC3C57" w:rsidRPr="00F4452B" w14:paraId="628BE65D"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1DE8E552" w14:textId="77777777" w:rsidR="00AC3C57" w:rsidRPr="00F4452B" w:rsidRDefault="00AC3C57" w:rsidP="00A940AB">
            <w:pPr>
              <w:pStyle w:val="ARtabletextbold"/>
            </w:pPr>
            <w:r w:rsidRPr="00102CA3">
              <w:t xml:space="preserve">Institute </w:t>
            </w:r>
            <w:r>
              <w:t>f</w:t>
            </w:r>
            <w:r w:rsidRPr="00102CA3">
              <w:t>or Healthy Communities Australia</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0AB23430" w14:textId="77777777" w:rsidR="00AC3C57" w:rsidRPr="00331504" w:rsidRDefault="00AC3C57">
            <w:pPr>
              <w:pStyle w:val="ARtabletext"/>
              <w:spacing w:line="220" w:lineRule="atLeast"/>
            </w:pPr>
            <w:r>
              <w:rPr>
                <w:color w:val="000000"/>
              </w:rPr>
              <w:t>Pre-audit review of compliance with the NDIS practice standards and quality indicators</w:t>
            </w:r>
          </w:p>
        </w:tc>
        <w:tc>
          <w:tcPr>
            <w:tcW w:w="810" w:type="pct"/>
            <w:tcBorders>
              <w:top w:val="single" w:sz="4" w:space="0" w:color="A6A6A6" w:themeColor="accent5"/>
              <w:bottom w:val="single" w:sz="4" w:space="0" w:color="A6A6A6" w:themeColor="accent5"/>
            </w:tcBorders>
          </w:tcPr>
          <w:p w14:paraId="7188CE28" w14:textId="77777777" w:rsidR="00AC3C57" w:rsidRDefault="00AC3C57">
            <w:pPr>
              <w:pStyle w:val="ARtabletextright"/>
            </w:pPr>
            <w:r w:rsidRPr="00ED5A1D">
              <w:t>$61,720</w:t>
            </w:r>
          </w:p>
        </w:tc>
        <w:tc>
          <w:tcPr>
            <w:tcW w:w="809" w:type="pct"/>
            <w:tcBorders>
              <w:top w:val="single" w:sz="4" w:space="0" w:color="A6A6A6" w:themeColor="accent5"/>
              <w:bottom w:val="single" w:sz="4" w:space="0" w:color="A6A6A6" w:themeColor="accent5"/>
            </w:tcBorders>
            <w:shd w:val="clear" w:color="auto" w:fill="E7E6E6" w:themeFill="background2"/>
          </w:tcPr>
          <w:p w14:paraId="2859C1A1" w14:textId="77777777" w:rsidR="00AC3C57" w:rsidRDefault="00AC3C57">
            <w:pPr>
              <w:pStyle w:val="ARtabletextright"/>
            </w:pPr>
            <w:r w:rsidRPr="00DA6057">
              <w:t>$61,720</w:t>
            </w:r>
          </w:p>
        </w:tc>
        <w:tc>
          <w:tcPr>
            <w:tcW w:w="732" w:type="pct"/>
            <w:tcBorders>
              <w:top w:val="single" w:sz="4" w:space="0" w:color="A6A6A6" w:themeColor="accent5"/>
              <w:bottom w:val="single" w:sz="4" w:space="0" w:color="A6A6A6" w:themeColor="accent5"/>
            </w:tcBorders>
          </w:tcPr>
          <w:p w14:paraId="166602F3" w14:textId="7EB3F2FD" w:rsidR="00AC3C57" w:rsidRDefault="005C1105">
            <w:pPr>
              <w:pStyle w:val="ARtabletextright"/>
            </w:pPr>
            <w:r>
              <w:t>–</w:t>
            </w:r>
          </w:p>
        </w:tc>
      </w:tr>
      <w:tr w:rsidR="00AC3C57" w:rsidRPr="00F4452B" w14:paraId="0EDB4837"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2C115F91" w14:textId="77777777" w:rsidR="00AC3C57" w:rsidRPr="00F4452B" w:rsidRDefault="00AC3C57" w:rsidP="00A940AB">
            <w:pPr>
              <w:pStyle w:val="ARtabletextbold"/>
            </w:pPr>
            <w:proofErr w:type="spellStart"/>
            <w:r>
              <w:lastRenderedPageBreak/>
              <w:t>Matryx</w:t>
            </w:r>
            <w:proofErr w:type="spellEnd"/>
            <w:r>
              <w:t xml:space="preserve"> Consulting</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318C1917" w14:textId="1BB04C76" w:rsidR="00AC3C57" w:rsidRPr="00331504" w:rsidRDefault="00AC3C57">
            <w:pPr>
              <w:pStyle w:val="ARtabletext"/>
              <w:spacing w:line="220" w:lineRule="atLeast"/>
            </w:pPr>
            <w:r>
              <w:rPr>
                <w:color w:val="000000"/>
              </w:rPr>
              <w:t>Security review engagement of</w:t>
            </w:r>
            <w:r w:rsidR="003A600C">
              <w:rPr>
                <w:color w:val="000000"/>
              </w:rPr>
              <w:t> </w:t>
            </w:r>
            <w:r>
              <w:rPr>
                <w:color w:val="000000"/>
              </w:rPr>
              <w:t>consultant</w:t>
            </w:r>
          </w:p>
        </w:tc>
        <w:tc>
          <w:tcPr>
            <w:tcW w:w="810" w:type="pct"/>
            <w:tcBorders>
              <w:top w:val="single" w:sz="4" w:space="0" w:color="A6A6A6" w:themeColor="accent5"/>
              <w:bottom w:val="single" w:sz="4" w:space="0" w:color="A6A6A6" w:themeColor="accent5"/>
            </w:tcBorders>
          </w:tcPr>
          <w:p w14:paraId="66AB51E8" w14:textId="77777777" w:rsidR="00AC3C57" w:rsidRDefault="00AC3C57">
            <w:pPr>
              <w:pStyle w:val="ARtabletextright"/>
            </w:pPr>
            <w:r w:rsidRPr="00ED5A1D">
              <w:t>$118,740</w:t>
            </w:r>
          </w:p>
        </w:tc>
        <w:tc>
          <w:tcPr>
            <w:tcW w:w="809" w:type="pct"/>
            <w:tcBorders>
              <w:top w:val="single" w:sz="4" w:space="0" w:color="A6A6A6" w:themeColor="accent5"/>
              <w:bottom w:val="single" w:sz="4" w:space="0" w:color="A6A6A6" w:themeColor="accent5"/>
            </w:tcBorders>
            <w:shd w:val="clear" w:color="auto" w:fill="E7E6E6" w:themeFill="background2"/>
          </w:tcPr>
          <w:p w14:paraId="55722738" w14:textId="77777777" w:rsidR="00AC3C57" w:rsidRDefault="00AC3C57">
            <w:pPr>
              <w:pStyle w:val="ARtabletextright"/>
            </w:pPr>
            <w:r w:rsidRPr="00DA6057">
              <w:t>$58,710</w:t>
            </w:r>
          </w:p>
        </w:tc>
        <w:tc>
          <w:tcPr>
            <w:tcW w:w="732" w:type="pct"/>
            <w:tcBorders>
              <w:top w:val="single" w:sz="4" w:space="0" w:color="A6A6A6" w:themeColor="accent5"/>
              <w:bottom w:val="single" w:sz="4" w:space="0" w:color="A6A6A6" w:themeColor="accent5"/>
            </w:tcBorders>
          </w:tcPr>
          <w:p w14:paraId="17576570" w14:textId="77777777" w:rsidR="00AC3C57" w:rsidRDefault="00AC3C57">
            <w:pPr>
              <w:pStyle w:val="ARtabletextright"/>
            </w:pPr>
            <w:r>
              <w:t>$60,030</w:t>
            </w:r>
          </w:p>
        </w:tc>
      </w:tr>
      <w:tr w:rsidR="00AC3C57" w:rsidRPr="00F4452B" w14:paraId="3301892F"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0D6E273F" w14:textId="1F8538AE" w:rsidR="00AC3C57" w:rsidRPr="00F4452B" w:rsidRDefault="00AC3C57" w:rsidP="00A940AB">
            <w:pPr>
              <w:pStyle w:val="ARtabletextbold"/>
            </w:pPr>
            <w:proofErr w:type="spellStart"/>
            <w:r w:rsidRPr="00102CA3">
              <w:t>Scyne</w:t>
            </w:r>
            <w:proofErr w:type="spellEnd"/>
            <w:r w:rsidRPr="00102CA3">
              <w:t xml:space="preserve"> Advisory Pty</w:t>
            </w:r>
            <w:r w:rsidR="00A940AB">
              <w:t> </w:t>
            </w:r>
            <w:r w:rsidRPr="00102CA3">
              <w:t>Ltd</w:t>
            </w:r>
          </w:p>
        </w:tc>
        <w:tc>
          <w:tcPr>
            <w:tcW w:w="1649" w:type="pct"/>
            <w:tcBorders>
              <w:top w:val="single" w:sz="4" w:space="0" w:color="A6A6A6" w:themeColor="accent5"/>
            </w:tcBorders>
            <w:shd w:val="clear" w:color="auto" w:fill="E7E6E6" w:themeFill="background2"/>
            <w:tcMar>
              <w:left w:w="113" w:type="dxa"/>
            </w:tcMar>
          </w:tcPr>
          <w:p w14:paraId="55E45761" w14:textId="77777777" w:rsidR="00AC3C57" w:rsidRPr="00331504" w:rsidRDefault="00AC3C57">
            <w:pPr>
              <w:pStyle w:val="ARtabletext"/>
              <w:spacing w:line="220" w:lineRule="atLeast"/>
            </w:pPr>
            <w:r>
              <w:rPr>
                <w:color w:val="000000"/>
              </w:rPr>
              <w:t>Health, safety and wellbeing risk management (psychosocial hazards)</w:t>
            </w:r>
          </w:p>
        </w:tc>
        <w:tc>
          <w:tcPr>
            <w:tcW w:w="810" w:type="pct"/>
            <w:tcBorders>
              <w:top w:val="single" w:sz="4" w:space="0" w:color="A6A6A6" w:themeColor="accent5"/>
            </w:tcBorders>
          </w:tcPr>
          <w:p w14:paraId="33F9069F" w14:textId="77777777" w:rsidR="00AC3C57" w:rsidRDefault="00AC3C57">
            <w:pPr>
              <w:pStyle w:val="ARtabletextright"/>
            </w:pPr>
            <w:r w:rsidRPr="00ED5A1D">
              <w:t>$50,611</w:t>
            </w:r>
          </w:p>
        </w:tc>
        <w:tc>
          <w:tcPr>
            <w:tcW w:w="809" w:type="pct"/>
            <w:tcBorders>
              <w:top w:val="single" w:sz="4" w:space="0" w:color="A6A6A6" w:themeColor="accent5"/>
            </w:tcBorders>
            <w:shd w:val="clear" w:color="auto" w:fill="E7E6E6" w:themeFill="background2"/>
          </w:tcPr>
          <w:p w14:paraId="737FC831" w14:textId="77777777" w:rsidR="00AC3C57" w:rsidRDefault="00AC3C57">
            <w:pPr>
              <w:pStyle w:val="ARtabletextright"/>
            </w:pPr>
            <w:r w:rsidRPr="00DA6057">
              <w:t>$50,611</w:t>
            </w:r>
          </w:p>
        </w:tc>
        <w:tc>
          <w:tcPr>
            <w:tcW w:w="732" w:type="pct"/>
            <w:tcBorders>
              <w:top w:val="single" w:sz="4" w:space="0" w:color="A6A6A6" w:themeColor="accent5"/>
            </w:tcBorders>
          </w:tcPr>
          <w:p w14:paraId="082FF61E" w14:textId="6E0E677B" w:rsidR="00AC3C57" w:rsidRDefault="005C1105">
            <w:pPr>
              <w:pStyle w:val="ARtabletextright"/>
            </w:pPr>
            <w:r>
              <w:t>–</w:t>
            </w:r>
          </w:p>
        </w:tc>
      </w:tr>
      <w:tr w:rsidR="00AC3C57" w:rsidRPr="00F4452B" w14:paraId="466012CB"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5CF890F6" w14:textId="77777777" w:rsidR="00AC3C57" w:rsidRPr="00F4452B" w:rsidRDefault="00AC3C57" w:rsidP="00A940AB">
            <w:pPr>
              <w:pStyle w:val="ARtabletextbold"/>
            </w:pPr>
            <w:r w:rsidRPr="00102CA3">
              <w:t>Cube Group</w:t>
            </w:r>
          </w:p>
        </w:tc>
        <w:tc>
          <w:tcPr>
            <w:tcW w:w="1649" w:type="pct"/>
            <w:shd w:val="clear" w:color="auto" w:fill="E7E6E6" w:themeFill="background2"/>
            <w:tcMar>
              <w:left w:w="113" w:type="dxa"/>
            </w:tcMar>
          </w:tcPr>
          <w:p w14:paraId="46DE12BF" w14:textId="77777777" w:rsidR="00AC3C57" w:rsidRPr="00331504" w:rsidRDefault="00AC3C57">
            <w:pPr>
              <w:pStyle w:val="ARtabletext"/>
              <w:spacing w:line="220" w:lineRule="atLeast"/>
            </w:pPr>
            <w:r>
              <w:rPr>
                <w:color w:val="000000"/>
              </w:rPr>
              <w:t>Operating model review – Social Services Regulator</w:t>
            </w:r>
          </w:p>
        </w:tc>
        <w:tc>
          <w:tcPr>
            <w:tcW w:w="810" w:type="pct"/>
          </w:tcPr>
          <w:p w14:paraId="5081FA02" w14:textId="77777777" w:rsidR="00AC3C57" w:rsidRDefault="00AC3C57">
            <w:pPr>
              <w:pStyle w:val="ARtabletextright"/>
            </w:pPr>
            <w:r w:rsidRPr="00ED5A1D">
              <w:t>$300,000</w:t>
            </w:r>
          </w:p>
        </w:tc>
        <w:tc>
          <w:tcPr>
            <w:tcW w:w="809" w:type="pct"/>
            <w:shd w:val="clear" w:color="auto" w:fill="E7E6E6" w:themeFill="background2"/>
          </w:tcPr>
          <w:p w14:paraId="256109A7" w14:textId="77777777" w:rsidR="00AC3C57" w:rsidRDefault="00AC3C57">
            <w:pPr>
              <w:pStyle w:val="ARtabletextright"/>
            </w:pPr>
            <w:r w:rsidRPr="00DA6057">
              <w:t>$50,132</w:t>
            </w:r>
          </w:p>
        </w:tc>
        <w:tc>
          <w:tcPr>
            <w:tcW w:w="732" w:type="pct"/>
          </w:tcPr>
          <w:p w14:paraId="16BC06DD" w14:textId="77777777" w:rsidR="00AC3C57" w:rsidRDefault="00AC3C57">
            <w:pPr>
              <w:pStyle w:val="ARtabletextright"/>
            </w:pPr>
            <w:r w:rsidRPr="00600945">
              <w:t>$249,86</w:t>
            </w:r>
            <w:r>
              <w:t>8</w:t>
            </w:r>
          </w:p>
        </w:tc>
      </w:tr>
      <w:tr w:rsidR="00AC3C57" w:rsidRPr="00F4452B" w14:paraId="74A8C1E3"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6EBDCCA9" w14:textId="77777777" w:rsidR="00AC3C57" w:rsidRPr="00F4452B" w:rsidRDefault="00AC3C57" w:rsidP="00A940AB">
            <w:pPr>
              <w:pStyle w:val="ARtabletextbold"/>
            </w:pPr>
            <w:r w:rsidRPr="009F6C94">
              <w:t>With Purpose Solutions</w:t>
            </w:r>
          </w:p>
        </w:tc>
        <w:tc>
          <w:tcPr>
            <w:tcW w:w="1649" w:type="pct"/>
            <w:shd w:val="clear" w:color="auto" w:fill="E7E6E6" w:themeFill="background2"/>
            <w:tcMar>
              <w:left w:w="113" w:type="dxa"/>
            </w:tcMar>
          </w:tcPr>
          <w:p w14:paraId="02616436" w14:textId="5C9E8232" w:rsidR="00AC3C57" w:rsidRPr="00331504" w:rsidRDefault="00AC3C57">
            <w:pPr>
              <w:pStyle w:val="ARtabletext"/>
              <w:spacing w:line="220" w:lineRule="atLeast"/>
            </w:pPr>
            <w:r>
              <w:rPr>
                <w:color w:val="000000"/>
              </w:rPr>
              <w:t>Regulatory approach and strategy</w:t>
            </w:r>
            <w:r w:rsidR="00CE403C">
              <w:rPr>
                <w:color w:val="000000"/>
              </w:rPr>
              <w:t> </w:t>
            </w:r>
            <w:r>
              <w:rPr>
                <w:color w:val="000000"/>
              </w:rPr>
              <w:t>support</w:t>
            </w:r>
          </w:p>
        </w:tc>
        <w:tc>
          <w:tcPr>
            <w:tcW w:w="810" w:type="pct"/>
          </w:tcPr>
          <w:p w14:paraId="6D4E25FC" w14:textId="77777777" w:rsidR="00AC3C57" w:rsidRDefault="00AC3C57">
            <w:pPr>
              <w:pStyle w:val="ARtabletextright"/>
            </w:pPr>
            <w:r w:rsidRPr="00ED5A1D">
              <w:t>$45,455</w:t>
            </w:r>
          </w:p>
        </w:tc>
        <w:tc>
          <w:tcPr>
            <w:tcW w:w="809" w:type="pct"/>
            <w:shd w:val="clear" w:color="auto" w:fill="E7E6E6" w:themeFill="background2"/>
          </w:tcPr>
          <w:p w14:paraId="6A14217E" w14:textId="77777777" w:rsidR="00AC3C57" w:rsidRDefault="00AC3C57">
            <w:pPr>
              <w:pStyle w:val="ARtabletextright"/>
            </w:pPr>
            <w:r w:rsidRPr="00DA6057">
              <w:t>$45,455</w:t>
            </w:r>
          </w:p>
        </w:tc>
        <w:tc>
          <w:tcPr>
            <w:tcW w:w="732" w:type="pct"/>
          </w:tcPr>
          <w:p w14:paraId="2155D3BD" w14:textId="02E61B0C" w:rsidR="00AC3C57" w:rsidRDefault="005C1105">
            <w:pPr>
              <w:pStyle w:val="ARtabletextright"/>
            </w:pPr>
            <w:r>
              <w:t>–</w:t>
            </w:r>
          </w:p>
        </w:tc>
      </w:tr>
      <w:tr w:rsidR="00AC3C57" w:rsidRPr="00F4452B" w14:paraId="283C22D2"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09232591" w14:textId="77777777" w:rsidR="00AC3C57" w:rsidRPr="00F4452B" w:rsidRDefault="00AC3C57" w:rsidP="00A940AB">
            <w:pPr>
              <w:pStyle w:val="ARtabletextbold"/>
            </w:pPr>
            <w:r w:rsidRPr="009F6C94">
              <w:t>Urbis</w:t>
            </w:r>
          </w:p>
        </w:tc>
        <w:tc>
          <w:tcPr>
            <w:tcW w:w="1649" w:type="pct"/>
            <w:shd w:val="clear" w:color="auto" w:fill="E7E6E6" w:themeFill="background2"/>
            <w:tcMar>
              <w:left w:w="113" w:type="dxa"/>
            </w:tcMar>
          </w:tcPr>
          <w:p w14:paraId="2464E825" w14:textId="77777777" w:rsidR="00AC3C57" w:rsidRPr="00331504" w:rsidRDefault="00AC3C57">
            <w:pPr>
              <w:pStyle w:val="ARtabletext"/>
              <w:spacing w:line="220" w:lineRule="atLeast"/>
            </w:pPr>
            <w:r>
              <w:rPr>
                <w:color w:val="000000"/>
              </w:rPr>
              <w:t>Evaluation of the Supporting Multicultural and Faith Communities to Prevent Family Violence: 2021 Grant Program</w:t>
            </w:r>
          </w:p>
        </w:tc>
        <w:tc>
          <w:tcPr>
            <w:tcW w:w="810" w:type="pct"/>
          </w:tcPr>
          <w:p w14:paraId="4E2A9D52" w14:textId="77777777" w:rsidR="00AC3C57" w:rsidRDefault="00AC3C57">
            <w:pPr>
              <w:pStyle w:val="ARtabletextright"/>
            </w:pPr>
            <w:r w:rsidRPr="00ED5A1D">
              <w:t>$399,695</w:t>
            </w:r>
          </w:p>
        </w:tc>
        <w:tc>
          <w:tcPr>
            <w:tcW w:w="809" w:type="pct"/>
            <w:shd w:val="clear" w:color="auto" w:fill="E7E6E6" w:themeFill="background2"/>
          </w:tcPr>
          <w:p w14:paraId="53E23060" w14:textId="77777777" w:rsidR="00AC3C57" w:rsidRDefault="00AC3C57">
            <w:pPr>
              <w:pStyle w:val="ARtabletextright"/>
            </w:pPr>
            <w:r w:rsidRPr="00DA6057">
              <w:t>$45,454</w:t>
            </w:r>
          </w:p>
        </w:tc>
        <w:tc>
          <w:tcPr>
            <w:tcW w:w="732" w:type="pct"/>
          </w:tcPr>
          <w:p w14:paraId="2766A7B2" w14:textId="650D4C18" w:rsidR="00AC3C57" w:rsidRDefault="005C1105">
            <w:pPr>
              <w:pStyle w:val="ARtabletextright"/>
            </w:pPr>
            <w:r>
              <w:t>–</w:t>
            </w:r>
          </w:p>
        </w:tc>
      </w:tr>
      <w:tr w:rsidR="00AC3C57" w:rsidRPr="00F4452B" w14:paraId="4A116F71"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26108CE3" w14:textId="77777777" w:rsidR="00AC3C57" w:rsidRPr="00F4452B" w:rsidRDefault="00AC3C57" w:rsidP="00A940AB">
            <w:pPr>
              <w:pStyle w:val="ARtabletextbold"/>
            </w:pPr>
            <w:r w:rsidRPr="009F6C94">
              <w:t>Fujitsu Australia Ltd</w:t>
            </w:r>
          </w:p>
        </w:tc>
        <w:tc>
          <w:tcPr>
            <w:tcW w:w="1649" w:type="pct"/>
            <w:shd w:val="clear" w:color="auto" w:fill="E7E6E6" w:themeFill="background2"/>
            <w:tcMar>
              <w:left w:w="113" w:type="dxa"/>
            </w:tcMar>
          </w:tcPr>
          <w:p w14:paraId="63F99596" w14:textId="77777777" w:rsidR="00AC3C57" w:rsidRPr="00331504" w:rsidRDefault="00AC3C57">
            <w:pPr>
              <w:pStyle w:val="ARtabletext"/>
              <w:spacing w:line="220" w:lineRule="atLeast"/>
            </w:pPr>
            <w:r w:rsidRPr="0013020D">
              <w:rPr>
                <w:color w:val="000000" w:themeColor="text1"/>
              </w:rPr>
              <w:t>Options assessment to resolve Homes Victoria Ageing Infrastructure</w:t>
            </w:r>
          </w:p>
        </w:tc>
        <w:tc>
          <w:tcPr>
            <w:tcW w:w="810" w:type="pct"/>
          </w:tcPr>
          <w:p w14:paraId="78EC9360" w14:textId="77777777" w:rsidR="00AC3C57" w:rsidRDefault="00AC3C57">
            <w:pPr>
              <w:pStyle w:val="ARtabletextright"/>
            </w:pPr>
            <w:r w:rsidRPr="00ED5A1D">
              <w:t>$290,440</w:t>
            </w:r>
          </w:p>
        </w:tc>
        <w:tc>
          <w:tcPr>
            <w:tcW w:w="809" w:type="pct"/>
            <w:shd w:val="clear" w:color="auto" w:fill="E7E6E6" w:themeFill="background2"/>
          </w:tcPr>
          <w:p w14:paraId="26DEBBB1" w14:textId="77777777" w:rsidR="00AC3C57" w:rsidRDefault="00AC3C57">
            <w:pPr>
              <w:pStyle w:val="ARtabletextright"/>
            </w:pPr>
            <w:r w:rsidRPr="00DA6057">
              <w:t>$45,000</w:t>
            </w:r>
          </w:p>
        </w:tc>
        <w:tc>
          <w:tcPr>
            <w:tcW w:w="732" w:type="pct"/>
          </w:tcPr>
          <w:p w14:paraId="49D34BD8" w14:textId="4096B2F6" w:rsidR="00AC3C57" w:rsidRDefault="005C1105">
            <w:pPr>
              <w:pStyle w:val="ARtabletextright"/>
            </w:pPr>
            <w:r>
              <w:t>–</w:t>
            </w:r>
          </w:p>
        </w:tc>
      </w:tr>
      <w:tr w:rsidR="00AC3C57" w:rsidRPr="00F4452B" w14:paraId="0D000EBF"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19ED10F4" w14:textId="77777777" w:rsidR="00AC3C57" w:rsidRPr="00F4452B" w:rsidRDefault="00AC3C57" w:rsidP="00A940AB">
            <w:pPr>
              <w:pStyle w:val="ARtabletextbold"/>
            </w:pPr>
            <w:r w:rsidRPr="009F6C94">
              <w:t>Social Research Centre</w:t>
            </w:r>
          </w:p>
        </w:tc>
        <w:tc>
          <w:tcPr>
            <w:tcW w:w="1649" w:type="pct"/>
            <w:tcBorders>
              <w:bottom w:val="single" w:sz="4" w:space="0" w:color="A6A6A6" w:themeColor="accent5"/>
            </w:tcBorders>
            <w:shd w:val="clear" w:color="auto" w:fill="E7E6E6" w:themeFill="background2"/>
            <w:tcMar>
              <w:left w:w="113" w:type="dxa"/>
            </w:tcMar>
          </w:tcPr>
          <w:p w14:paraId="36B01E62" w14:textId="77777777" w:rsidR="00AC3C57" w:rsidRPr="00331504" w:rsidRDefault="00AC3C57">
            <w:pPr>
              <w:pStyle w:val="ARtabletext"/>
              <w:spacing w:line="220" w:lineRule="atLeast"/>
            </w:pPr>
            <w:r>
              <w:rPr>
                <w:color w:val="000000"/>
              </w:rPr>
              <w:t>Exit pathways from refuge and crisis accommodation for victim survivors of family violence</w:t>
            </w:r>
          </w:p>
        </w:tc>
        <w:tc>
          <w:tcPr>
            <w:tcW w:w="810" w:type="pct"/>
            <w:tcBorders>
              <w:bottom w:val="single" w:sz="4" w:space="0" w:color="A6A6A6" w:themeColor="accent5"/>
            </w:tcBorders>
          </w:tcPr>
          <w:p w14:paraId="1D8A62DB" w14:textId="77777777" w:rsidR="00AC3C57" w:rsidRDefault="00AC3C57">
            <w:pPr>
              <w:pStyle w:val="ARtabletextright"/>
            </w:pPr>
            <w:r w:rsidRPr="00ED5A1D">
              <w:t>$271,744</w:t>
            </w:r>
          </w:p>
        </w:tc>
        <w:tc>
          <w:tcPr>
            <w:tcW w:w="809" w:type="pct"/>
            <w:tcBorders>
              <w:bottom w:val="single" w:sz="4" w:space="0" w:color="A6A6A6" w:themeColor="accent5"/>
            </w:tcBorders>
            <w:shd w:val="clear" w:color="auto" w:fill="E7E6E6" w:themeFill="background2"/>
          </w:tcPr>
          <w:p w14:paraId="60FF2973" w14:textId="77777777" w:rsidR="00AC3C57" w:rsidRDefault="00AC3C57">
            <w:pPr>
              <w:pStyle w:val="ARtabletextright"/>
            </w:pPr>
            <w:r w:rsidRPr="00DA6057">
              <w:t>$41,524</w:t>
            </w:r>
          </w:p>
        </w:tc>
        <w:tc>
          <w:tcPr>
            <w:tcW w:w="732" w:type="pct"/>
            <w:tcBorders>
              <w:bottom w:val="single" w:sz="4" w:space="0" w:color="A6A6A6" w:themeColor="accent5"/>
            </w:tcBorders>
          </w:tcPr>
          <w:p w14:paraId="37E5FBF7" w14:textId="242F32BD" w:rsidR="00AC3C57" w:rsidRDefault="005C1105">
            <w:pPr>
              <w:pStyle w:val="ARtabletextright"/>
            </w:pPr>
            <w:r>
              <w:t>–</w:t>
            </w:r>
          </w:p>
        </w:tc>
      </w:tr>
      <w:tr w:rsidR="00AC3C57" w:rsidRPr="00F4452B" w14:paraId="4C3EA6FB"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56426AF6" w14:textId="77777777" w:rsidR="00AC3C57" w:rsidRPr="00F4452B" w:rsidRDefault="00AC3C57" w:rsidP="00A940AB">
            <w:pPr>
              <w:pStyle w:val="ARtabletextbold"/>
            </w:pPr>
            <w:r w:rsidRPr="006C6FA2">
              <w:t>Publicis Sapient</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4D0E3456" w14:textId="77777777" w:rsidR="00AC3C57" w:rsidRPr="00331504" w:rsidRDefault="00AC3C57">
            <w:pPr>
              <w:pStyle w:val="ARtabletext"/>
              <w:spacing w:line="220" w:lineRule="atLeast"/>
            </w:pPr>
            <w:r>
              <w:rPr>
                <w:color w:val="000000"/>
              </w:rPr>
              <w:t>Child protection planning future state experience design</w:t>
            </w:r>
          </w:p>
        </w:tc>
        <w:tc>
          <w:tcPr>
            <w:tcW w:w="810" w:type="pct"/>
            <w:tcBorders>
              <w:top w:val="single" w:sz="4" w:space="0" w:color="A6A6A6" w:themeColor="accent5"/>
              <w:bottom w:val="single" w:sz="4" w:space="0" w:color="A6A6A6" w:themeColor="accent5"/>
            </w:tcBorders>
          </w:tcPr>
          <w:p w14:paraId="34FAA055" w14:textId="77777777" w:rsidR="00AC3C57" w:rsidRDefault="00AC3C57">
            <w:pPr>
              <w:pStyle w:val="ARtabletextright"/>
            </w:pPr>
            <w:r w:rsidRPr="00ED5A1D">
              <w:t>$287,350</w:t>
            </w:r>
          </w:p>
        </w:tc>
        <w:tc>
          <w:tcPr>
            <w:tcW w:w="809" w:type="pct"/>
            <w:tcBorders>
              <w:top w:val="single" w:sz="4" w:space="0" w:color="A6A6A6" w:themeColor="accent5"/>
              <w:bottom w:val="single" w:sz="4" w:space="0" w:color="A6A6A6" w:themeColor="accent5"/>
            </w:tcBorders>
            <w:shd w:val="clear" w:color="auto" w:fill="E7E6E6" w:themeFill="background2"/>
          </w:tcPr>
          <w:p w14:paraId="0DE5B599" w14:textId="77777777" w:rsidR="00AC3C57" w:rsidRDefault="00AC3C57">
            <w:pPr>
              <w:pStyle w:val="ARtabletextright"/>
            </w:pPr>
            <w:r w:rsidRPr="00DA6057">
              <w:t>$40,250</w:t>
            </w:r>
          </w:p>
        </w:tc>
        <w:tc>
          <w:tcPr>
            <w:tcW w:w="732" w:type="pct"/>
            <w:tcBorders>
              <w:top w:val="single" w:sz="4" w:space="0" w:color="A6A6A6" w:themeColor="accent5"/>
              <w:bottom w:val="single" w:sz="4" w:space="0" w:color="A6A6A6" w:themeColor="accent5"/>
            </w:tcBorders>
          </w:tcPr>
          <w:p w14:paraId="40746475" w14:textId="1F037E52" w:rsidR="00AC3C57" w:rsidRDefault="005C1105">
            <w:pPr>
              <w:pStyle w:val="ARtabletextright"/>
            </w:pPr>
            <w:r>
              <w:t>–</w:t>
            </w:r>
          </w:p>
        </w:tc>
      </w:tr>
      <w:tr w:rsidR="003A2252" w:rsidRPr="00F4452B" w14:paraId="4C7AE111"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1A98DA28" w14:textId="77777777" w:rsidR="00AC3C57" w:rsidRPr="00F4452B" w:rsidRDefault="00AC3C57" w:rsidP="00A940AB">
            <w:pPr>
              <w:pStyle w:val="ARtabletextbold"/>
            </w:pPr>
            <w:r w:rsidRPr="006C6FA2">
              <w:t>Dandolo Partners</w:t>
            </w:r>
          </w:p>
        </w:tc>
        <w:tc>
          <w:tcPr>
            <w:tcW w:w="1649" w:type="pct"/>
            <w:tcBorders>
              <w:top w:val="single" w:sz="4" w:space="0" w:color="A6A6A6" w:themeColor="accent5"/>
              <w:left w:val="nil"/>
              <w:bottom w:val="single" w:sz="4" w:space="0" w:color="A6A6A6" w:themeColor="accent5"/>
            </w:tcBorders>
            <w:shd w:val="clear" w:color="auto" w:fill="E7E6E6" w:themeFill="background2"/>
            <w:tcMar>
              <w:left w:w="113" w:type="dxa"/>
            </w:tcMar>
          </w:tcPr>
          <w:p w14:paraId="74F5E461" w14:textId="789D05F0" w:rsidR="00AC3C57" w:rsidRPr="00331504" w:rsidRDefault="00AC3C57">
            <w:pPr>
              <w:pStyle w:val="ARtabletext"/>
              <w:spacing w:line="220" w:lineRule="atLeast"/>
            </w:pPr>
            <w:r>
              <w:rPr>
                <w:color w:val="000000"/>
              </w:rPr>
              <w:t>Strategic plan 2024–27, first-year business plan 2024–25 and review of theory of change</w:t>
            </w:r>
          </w:p>
        </w:tc>
        <w:tc>
          <w:tcPr>
            <w:tcW w:w="810" w:type="pct"/>
            <w:tcBorders>
              <w:top w:val="single" w:sz="4" w:space="0" w:color="A6A6A6" w:themeColor="accent5"/>
              <w:bottom w:val="single" w:sz="4" w:space="0" w:color="A6A6A6" w:themeColor="accent5"/>
            </w:tcBorders>
          </w:tcPr>
          <w:p w14:paraId="184751C1" w14:textId="77777777" w:rsidR="00AC3C57" w:rsidRDefault="00AC3C57">
            <w:pPr>
              <w:pStyle w:val="ARtabletextright"/>
            </w:pPr>
            <w:r w:rsidRPr="00ED5A1D">
              <w:t>$75,896</w:t>
            </w:r>
          </w:p>
        </w:tc>
        <w:tc>
          <w:tcPr>
            <w:tcW w:w="809" w:type="pct"/>
            <w:tcBorders>
              <w:top w:val="single" w:sz="4" w:space="0" w:color="A6A6A6" w:themeColor="accent5"/>
              <w:bottom w:val="single" w:sz="4" w:space="0" w:color="A6A6A6" w:themeColor="accent5"/>
            </w:tcBorders>
            <w:shd w:val="clear" w:color="auto" w:fill="E7E6E6" w:themeFill="background2"/>
          </w:tcPr>
          <w:p w14:paraId="03181DFA" w14:textId="77777777" w:rsidR="00AC3C57" w:rsidRDefault="00AC3C57">
            <w:pPr>
              <w:pStyle w:val="ARtabletextright"/>
            </w:pPr>
            <w:r w:rsidRPr="00DA6057">
              <w:t>$38,639</w:t>
            </w:r>
          </w:p>
        </w:tc>
        <w:tc>
          <w:tcPr>
            <w:tcW w:w="732" w:type="pct"/>
            <w:tcBorders>
              <w:top w:val="single" w:sz="4" w:space="0" w:color="A6A6A6" w:themeColor="accent5"/>
              <w:bottom w:val="single" w:sz="4" w:space="0" w:color="A6A6A6" w:themeColor="accent5"/>
            </w:tcBorders>
          </w:tcPr>
          <w:p w14:paraId="4F42B086" w14:textId="1A098788" w:rsidR="00AC3C57" w:rsidRDefault="005C1105">
            <w:pPr>
              <w:pStyle w:val="ARtabletextright"/>
            </w:pPr>
            <w:r>
              <w:t>–</w:t>
            </w:r>
          </w:p>
        </w:tc>
      </w:tr>
      <w:tr w:rsidR="00AC3C57" w:rsidRPr="00F4452B" w14:paraId="3B1B94C3"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21193899" w14:textId="2EA60D26" w:rsidR="00AC3C57" w:rsidRPr="00DD4F75" w:rsidRDefault="005A7032" w:rsidP="00A940AB">
            <w:pPr>
              <w:pStyle w:val="ARtabletextbold"/>
            </w:pPr>
            <w:r w:rsidRPr="00B55528">
              <w:rPr>
                <w:bCs/>
              </w:rPr>
              <w:t>Independent Review Panel member</w:t>
            </w:r>
          </w:p>
        </w:tc>
        <w:tc>
          <w:tcPr>
            <w:tcW w:w="1649" w:type="pct"/>
            <w:tcBorders>
              <w:top w:val="single" w:sz="4" w:space="0" w:color="A6A6A6" w:themeColor="accent5"/>
            </w:tcBorders>
            <w:shd w:val="clear" w:color="auto" w:fill="E7E6E6" w:themeFill="background2"/>
            <w:tcMar>
              <w:left w:w="113" w:type="dxa"/>
            </w:tcMar>
          </w:tcPr>
          <w:p w14:paraId="5F9CFCE1" w14:textId="375B8F15" w:rsidR="00AC3C57" w:rsidRPr="00331504" w:rsidRDefault="00AC3C57">
            <w:pPr>
              <w:pStyle w:val="ARtabletext"/>
              <w:spacing w:line="220" w:lineRule="atLeast"/>
            </w:pPr>
            <w:r w:rsidDel="00F07AA9">
              <w:rPr>
                <w:color w:val="000000"/>
              </w:rPr>
              <w:t xml:space="preserve">Alternative </w:t>
            </w:r>
            <w:r>
              <w:rPr>
                <w:color w:val="000000"/>
              </w:rPr>
              <w:t>s</w:t>
            </w:r>
            <w:r w:rsidDel="00F07AA9">
              <w:rPr>
                <w:color w:val="000000"/>
              </w:rPr>
              <w:t xml:space="preserve">ervice </w:t>
            </w:r>
            <w:r>
              <w:rPr>
                <w:color w:val="000000"/>
              </w:rPr>
              <w:t>m</w:t>
            </w:r>
            <w:r w:rsidDel="00F07AA9">
              <w:rPr>
                <w:color w:val="000000"/>
              </w:rPr>
              <w:t xml:space="preserve">odel </w:t>
            </w:r>
            <w:r>
              <w:rPr>
                <w:color w:val="000000"/>
              </w:rPr>
              <w:t>–</w:t>
            </w:r>
            <w:r w:rsidDel="00F07AA9">
              <w:rPr>
                <w:color w:val="000000"/>
              </w:rPr>
              <w:t xml:space="preserve"> Independent Review Panel</w:t>
            </w:r>
            <w:r w:rsidR="00CE403C">
              <w:rPr>
                <w:color w:val="000000"/>
              </w:rPr>
              <w:t> </w:t>
            </w:r>
            <w:r w:rsidDel="00F07AA9">
              <w:rPr>
                <w:color w:val="000000"/>
              </w:rPr>
              <w:t>engagement</w:t>
            </w:r>
          </w:p>
        </w:tc>
        <w:tc>
          <w:tcPr>
            <w:tcW w:w="810" w:type="pct"/>
            <w:tcBorders>
              <w:top w:val="single" w:sz="4" w:space="0" w:color="A6A6A6" w:themeColor="accent5"/>
            </w:tcBorders>
          </w:tcPr>
          <w:p w14:paraId="249E1F87" w14:textId="77777777" w:rsidR="00AC3C57" w:rsidRDefault="00AC3C57">
            <w:pPr>
              <w:pStyle w:val="ARtabletextright"/>
            </w:pPr>
            <w:r>
              <w:t>$90,909</w:t>
            </w:r>
          </w:p>
        </w:tc>
        <w:tc>
          <w:tcPr>
            <w:tcW w:w="809" w:type="pct"/>
            <w:tcBorders>
              <w:top w:val="single" w:sz="4" w:space="0" w:color="A6A6A6" w:themeColor="accent5"/>
            </w:tcBorders>
            <w:shd w:val="clear" w:color="auto" w:fill="E7E6E6" w:themeFill="background2"/>
          </w:tcPr>
          <w:p w14:paraId="612C4513" w14:textId="77777777" w:rsidR="00AC3C57" w:rsidRDefault="00AC3C57">
            <w:pPr>
              <w:pStyle w:val="ARtabletextright"/>
            </w:pPr>
            <w:r w:rsidRPr="00DA6057" w:rsidDel="00F07AA9">
              <w:t>$38,000</w:t>
            </w:r>
          </w:p>
        </w:tc>
        <w:tc>
          <w:tcPr>
            <w:tcW w:w="732" w:type="pct"/>
            <w:tcBorders>
              <w:top w:val="single" w:sz="4" w:space="0" w:color="A6A6A6" w:themeColor="accent5"/>
            </w:tcBorders>
          </w:tcPr>
          <w:p w14:paraId="7A62CB3B" w14:textId="134267EA" w:rsidR="00AC3C57" w:rsidRDefault="005C1105">
            <w:pPr>
              <w:pStyle w:val="ARtabletextright"/>
            </w:pPr>
            <w:r>
              <w:t>–</w:t>
            </w:r>
          </w:p>
        </w:tc>
      </w:tr>
      <w:tr w:rsidR="00AC3C57" w:rsidRPr="00F4452B" w14:paraId="0E5DF01E"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2C26E045" w14:textId="77777777" w:rsidR="00AC3C57" w:rsidRPr="00F4452B" w:rsidRDefault="00AC3C57" w:rsidP="00A940AB">
            <w:pPr>
              <w:pStyle w:val="ARtabletextbold"/>
            </w:pPr>
            <w:r w:rsidRPr="006C6FA2">
              <w:t xml:space="preserve">University </w:t>
            </w:r>
            <w:r>
              <w:t>o</w:t>
            </w:r>
            <w:r w:rsidRPr="006C6FA2">
              <w:t>f Canberra</w:t>
            </w:r>
          </w:p>
        </w:tc>
        <w:tc>
          <w:tcPr>
            <w:tcW w:w="1649" w:type="pct"/>
            <w:shd w:val="clear" w:color="auto" w:fill="E7E6E6" w:themeFill="background2"/>
            <w:tcMar>
              <w:left w:w="113" w:type="dxa"/>
            </w:tcMar>
          </w:tcPr>
          <w:p w14:paraId="6A769254" w14:textId="77777777" w:rsidR="00AC3C57" w:rsidRPr="00331504" w:rsidRDefault="00AC3C57">
            <w:pPr>
              <w:pStyle w:val="ARtabletext"/>
              <w:spacing w:line="220" w:lineRule="atLeast"/>
            </w:pPr>
            <w:r>
              <w:rPr>
                <w:color w:val="000000"/>
              </w:rPr>
              <w:t>Commission for Gender Equality in the Public Sector progress measures identification</w:t>
            </w:r>
          </w:p>
        </w:tc>
        <w:tc>
          <w:tcPr>
            <w:tcW w:w="810" w:type="pct"/>
          </w:tcPr>
          <w:p w14:paraId="61D8837F" w14:textId="77777777" w:rsidR="00AC3C57" w:rsidRDefault="00AC3C57">
            <w:pPr>
              <w:pStyle w:val="ARtabletextright"/>
            </w:pPr>
            <w:r w:rsidRPr="00ED5A1D">
              <w:t>$38,000</w:t>
            </w:r>
          </w:p>
        </w:tc>
        <w:tc>
          <w:tcPr>
            <w:tcW w:w="809" w:type="pct"/>
            <w:shd w:val="clear" w:color="auto" w:fill="E7E6E6" w:themeFill="background2"/>
          </w:tcPr>
          <w:p w14:paraId="4A3976F4" w14:textId="77777777" w:rsidR="00AC3C57" w:rsidRDefault="00AC3C57">
            <w:pPr>
              <w:pStyle w:val="ARtabletextright"/>
            </w:pPr>
            <w:r w:rsidRPr="00DA6057">
              <w:t>$38,000</w:t>
            </w:r>
          </w:p>
        </w:tc>
        <w:tc>
          <w:tcPr>
            <w:tcW w:w="732" w:type="pct"/>
          </w:tcPr>
          <w:p w14:paraId="199543FD" w14:textId="10917BCB" w:rsidR="00AC3C57" w:rsidRDefault="005C1105">
            <w:pPr>
              <w:pStyle w:val="ARtabletextright"/>
            </w:pPr>
            <w:r>
              <w:t>–</w:t>
            </w:r>
          </w:p>
        </w:tc>
      </w:tr>
      <w:tr w:rsidR="00AC3C57" w:rsidRPr="00F4452B" w14:paraId="5D608D1C"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44D17302" w14:textId="77777777" w:rsidR="00AC3C57" w:rsidRPr="00F4452B" w:rsidRDefault="00AC3C57" w:rsidP="00A940AB">
            <w:pPr>
              <w:pStyle w:val="ARtabletextbold"/>
            </w:pPr>
            <w:r w:rsidRPr="00235840">
              <w:t>Urbis</w:t>
            </w:r>
          </w:p>
        </w:tc>
        <w:tc>
          <w:tcPr>
            <w:tcW w:w="1649" w:type="pct"/>
            <w:tcBorders>
              <w:bottom w:val="single" w:sz="4" w:space="0" w:color="A6A6A6" w:themeColor="accent5"/>
            </w:tcBorders>
            <w:shd w:val="clear" w:color="auto" w:fill="E7E6E6" w:themeFill="background2"/>
            <w:tcMar>
              <w:left w:w="113" w:type="dxa"/>
            </w:tcMar>
          </w:tcPr>
          <w:p w14:paraId="3235F1D6" w14:textId="77777777" w:rsidR="00AC3C57" w:rsidRPr="00331504" w:rsidRDefault="00AC3C57">
            <w:pPr>
              <w:pStyle w:val="ARtabletext"/>
              <w:spacing w:line="220" w:lineRule="atLeast"/>
            </w:pPr>
            <w:r>
              <w:rPr>
                <w:color w:val="000000"/>
              </w:rPr>
              <w:t xml:space="preserve">Indigenous Family Violence Primary Prevention Framework refresh </w:t>
            </w:r>
          </w:p>
        </w:tc>
        <w:tc>
          <w:tcPr>
            <w:tcW w:w="810" w:type="pct"/>
            <w:tcBorders>
              <w:bottom w:val="single" w:sz="4" w:space="0" w:color="A6A6A6" w:themeColor="accent5"/>
            </w:tcBorders>
          </w:tcPr>
          <w:p w14:paraId="5A8B7DFA" w14:textId="77777777" w:rsidR="00AC3C57" w:rsidRDefault="00AC3C57">
            <w:pPr>
              <w:pStyle w:val="ARtabletextright"/>
            </w:pPr>
            <w:r w:rsidRPr="00ED5A1D">
              <w:t>$90,842</w:t>
            </w:r>
          </w:p>
        </w:tc>
        <w:tc>
          <w:tcPr>
            <w:tcW w:w="809" w:type="pct"/>
            <w:tcBorders>
              <w:bottom w:val="single" w:sz="4" w:space="0" w:color="A6A6A6" w:themeColor="accent5"/>
            </w:tcBorders>
            <w:shd w:val="clear" w:color="auto" w:fill="E7E6E6" w:themeFill="background2"/>
          </w:tcPr>
          <w:p w14:paraId="346CB47E" w14:textId="61843AD9" w:rsidR="00AC3C57" w:rsidRDefault="00AC3C57">
            <w:pPr>
              <w:pStyle w:val="ARtabletextright"/>
            </w:pPr>
            <w:r>
              <w:t>$</w:t>
            </w:r>
            <w:r w:rsidR="00580A9D">
              <w:t>36</w:t>
            </w:r>
            <w:r>
              <w:t>,</w:t>
            </w:r>
            <w:r w:rsidR="00580A9D">
              <w:t>980</w:t>
            </w:r>
          </w:p>
        </w:tc>
        <w:tc>
          <w:tcPr>
            <w:tcW w:w="732" w:type="pct"/>
            <w:tcBorders>
              <w:bottom w:val="single" w:sz="4" w:space="0" w:color="A6A6A6" w:themeColor="accent5"/>
            </w:tcBorders>
          </w:tcPr>
          <w:p w14:paraId="495502FD" w14:textId="0DB8C586" w:rsidR="00AC3C57" w:rsidRDefault="005C1105">
            <w:pPr>
              <w:pStyle w:val="ARtabletextright"/>
            </w:pPr>
            <w:r>
              <w:t>–</w:t>
            </w:r>
          </w:p>
        </w:tc>
      </w:tr>
      <w:tr w:rsidR="00AC3C57" w:rsidRPr="00F4452B" w14:paraId="14C92FAA"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5C1245E9" w14:textId="77777777" w:rsidR="00AC3C57" w:rsidRPr="00F4452B" w:rsidRDefault="00AC3C57" w:rsidP="00A940AB">
            <w:pPr>
              <w:pStyle w:val="ARtabletextbold"/>
            </w:pPr>
            <w:r>
              <w:t>Deakin University</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4410D436" w14:textId="77777777" w:rsidR="00AC3C57" w:rsidRPr="00331504" w:rsidRDefault="00AC3C57">
            <w:pPr>
              <w:pStyle w:val="ARtabletext"/>
              <w:spacing w:line="220" w:lineRule="atLeast"/>
            </w:pPr>
            <w:r>
              <w:rPr>
                <w:color w:val="000000"/>
              </w:rPr>
              <w:t>Community and Social Services Graduate Program – professional learning design</w:t>
            </w:r>
          </w:p>
        </w:tc>
        <w:tc>
          <w:tcPr>
            <w:tcW w:w="810" w:type="pct"/>
            <w:tcBorders>
              <w:top w:val="single" w:sz="4" w:space="0" w:color="A6A6A6" w:themeColor="accent5"/>
              <w:bottom w:val="single" w:sz="4" w:space="0" w:color="A6A6A6" w:themeColor="accent5"/>
            </w:tcBorders>
          </w:tcPr>
          <w:p w14:paraId="54A9E9EB" w14:textId="77777777" w:rsidR="00AC3C57" w:rsidRDefault="00AC3C57">
            <w:pPr>
              <w:pStyle w:val="ARtabletextright"/>
            </w:pPr>
            <w:r w:rsidRPr="00ED5A1D">
              <w:t>$139,746</w:t>
            </w:r>
          </w:p>
        </w:tc>
        <w:tc>
          <w:tcPr>
            <w:tcW w:w="809" w:type="pct"/>
            <w:tcBorders>
              <w:top w:val="single" w:sz="4" w:space="0" w:color="A6A6A6" w:themeColor="accent5"/>
              <w:bottom w:val="single" w:sz="4" w:space="0" w:color="A6A6A6" w:themeColor="accent5"/>
            </w:tcBorders>
            <w:shd w:val="clear" w:color="auto" w:fill="E7E6E6" w:themeFill="background2"/>
          </w:tcPr>
          <w:p w14:paraId="157FAF18" w14:textId="77777777" w:rsidR="00AC3C57" w:rsidRDefault="00AC3C57">
            <w:pPr>
              <w:pStyle w:val="ARtabletextright"/>
            </w:pPr>
            <w:r w:rsidRPr="00DA6057">
              <w:t>$34,937</w:t>
            </w:r>
          </w:p>
        </w:tc>
        <w:tc>
          <w:tcPr>
            <w:tcW w:w="732" w:type="pct"/>
            <w:tcBorders>
              <w:top w:val="single" w:sz="4" w:space="0" w:color="A6A6A6" w:themeColor="accent5"/>
              <w:bottom w:val="single" w:sz="4" w:space="0" w:color="A6A6A6" w:themeColor="accent5"/>
            </w:tcBorders>
          </w:tcPr>
          <w:p w14:paraId="5E6CF393" w14:textId="7D886CB3" w:rsidR="00AC3C57" w:rsidRDefault="005C1105">
            <w:pPr>
              <w:pStyle w:val="ARtabletextright"/>
            </w:pPr>
            <w:r>
              <w:t>–</w:t>
            </w:r>
          </w:p>
        </w:tc>
      </w:tr>
      <w:tr w:rsidR="00AC3C57" w:rsidRPr="00F4452B" w14:paraId="0D66A598"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05363765" w14:textId="77777777" w:rsidR="00AC3C57" w:rsidRPr="00F4452B" w:rsidRDefault="00AC3C57" w:rsidP="00A940AB">
            <w:pPr>
              <w:pStyle w:val="ARtabletextbold"/>
            </w:pPr>
            <w:proofErr w:type="spellStart"/>
            <w:r>
              <w:t>Hentys</w:t>
            </w:r>
            <w:proofErr w:type="spellEnd"/>
            <w:r>
              <w:t xml:space="preserve"> Lawyers</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0BF7DEBC" w14:textId="0E504D83" w:rsidR="00AC3C57" w:rsidRPr="00331504" w:rsidRDefault="00AC3C57">
            <w:pPr>
              <w:pStyle w:val="ARtabletext"/>
              <w:spacing w:line="220" w:lineRule="atLeast"/>
            </w:pPr>
            <w:r>
              <w:rPr>
                <w:color w:val="000000"/>
              </w:rPr>
              <w:t>Critical Issues Audit and Training</w:t>
            </w:r>
            <w:r w:rsidR="00CE403C">
              <w:rPr>
                <w:color w:val="000000"/>
              </w:rPr>
              <w:t> </w:t>
            </w:r>
            <w:r>
              <w:rPr>
                <w:color w:val="000000"/>
              </w:rPr>
              <w:t>Program</w:t>
            </w:r>
          </w:p>
        </w:tc>
        <w:tc>
          <w:tcPr>
            <w:tcW w:w="810" w:type="pct"/>
            <w:tcBorders>
              <w:top w:val="single" w:sz="4" w:space="0" w:color="A6A6A6" w:themeColor="accent5"/>
              <w:bottom w:val="single" w:sz="4" w:space="0" w:color="A6A6A6" w:themeColor="accent5"/>
            </w:tcBorders>
          </w:tcPr>
          <w:p w14:paraId="3F2878E3" w14:textId="77777777" w:rsidR="00AC3C57" w:rsidRDefault="00AC3C57">
            <w:pPr>
              <w:pStyle w:val="ARtabletextright"/>
            </w:pPr>
            <w:r w:rsidRPr="00ED5A1D">
              <w:t>$32,889</w:t>
            </w:r>
          </w:p>
        </w:tc>
        <w:tc>
          <w:tcPr>
            <w:tcW w:w="809" w:type="pct"/>
            <w:tcBorders>
              <w:top w:val="single" w:sz="4" w:space="0" w:color="A6A6A6" w:themeColor="accent5"/>
              <w:bottom w:val="single" w:sz="4" w:space="0" w:color="A6A6A6" w:themeColor="accent5"/>
            </w:tcBorders>
            <w:shd w:val="clear" w:color="auto" w:fill="E7E6E6" w:themeFill="background2"/>
          </w:tcPr>
          <w:p w14:paraId="0EB264D9" w14:textId="77777777" w:rsidR="00AC3C57" w:rsidRDefault="00AC3C57">
            <w:pPr>
              <w:pStyle w:val="ARtabletextright"/>
            </w:pPr>
            <w:r w:rsidRPr="00DA6057">
              <w:t>$32,889</w:t>
            </w:r>
          </w:p>
        </w:tc>
        <w:tc>
          <w:tcPr>
            <w:tcW w:w="732" w:type="pct"/>
            <w:tcBorders>
              <w:top w:val="single" w:sz="4" w:space="0" w:color="A6A6A6" w:themeColor="accent5"/>
              <w:bottom w:val="single" w:sz="4" w:space="0" w:color="A6A6A6" w:themeColor="accent5"/>
            </w:tcBorders>
          </w:tcPr>
          <w:p w14:paraId="6CD39E23" w14:textId="3EFA0DB2" w:rsidR="00AC3C57" w:rsidRDefault="005C1105">
            <w:pPr>
              <w:pStyle w:val="ARtabletextright"/>
            </w:pPr>
            <w:r>
              <w:t>–</w:t>
            </w:r>
          </w:p>
        </w:tc>
      </w:tr>
      <w:tr w:rsidR="00AC3C57" w:rsidRPr="00F4452B" w14:paraId="26A9D496"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35EB7BE1" w14:textId="77777777" w:rsidR="00AC3C57" w:rsidRPr="00F4452B" w:rsidRDefault="00AC3C57" w:rsidP="00A940AB">
            <w:pPr>
              <w:pStyle w:val="ARtabletextbold"/>
            </w:pPr>
            <w:r>
              <w:t>RMIT University</w:t>
            </w:r>
          </w:p>
        </w:tc>
        <w:tc>
          <w:tcPr>
            <w:tcW w:w="1649" w:type="pct"/>
            <w:tcBorders>
              <w:top w:val="single" w:sz="4" w:space="0" w:color="A6A6A6" w:themeColor="accent5"/>
            </w:tcBorders>
            <w:shd w:val="clear" w:color="auto" w:fill="E7E6E6" w:themeFill="background2"/>
            <w:tcMar>
              <w:left w:w="113" w:type="dxa"/>
            </w:tcMar>
          </w:tcPr>
          <w:p w14:paraId="25FC4167" w14:textId="77777777" w:rsidR="00AC3C57" w:rsidRPr="00331504" w:rsidRDefault="00AC3C57">
            <w:pPr>
              <w:pStyle w:val="ARtabletext"/>
              <w:spacing w:line="220" w:lineRule="atLeast"/>
            </w:pPr>
            <w:r>
              <w:rPr>
                <w:color w:val="000000"/>
              </w:rPr>
              <w:t>Review of the implementation of supervised treatment orders</w:t>
            </w:r>
          </w:p>
        </w:tc>
        <w:tc>
          <w:tcPr>
            <w:tcW w:w="810" w:type="pct"/>
            <w:tcBorders>
              <w:top w:val="single" w:sz="4" w:space="0" w:color="A6A6A6" w:themeColor="accent5"/>
            </w:tcBorders>
          </w:tcPr>
          <w:p w14:paraId="5965DE03" w14:textId="77777777" w:rsidR="00AC3C57" w:rsidRDefault="00AC3C57">
            <w:pPr>
              <w:pStyle w:val="ARtabletextright"/>
            </w:pPr>
            <w:r w:rsidRPr="00ED5A1D">
              <w:t>$315,427</w:t>
            </w:r>
          </w:p>
        </w:tc>
        <w:tc>
          <w:tcPr>
            <w:tcW w:w="809" w:type="pct"/>
            <w:tcBorders>
              <w:top w:val="single" w:sz="4" w:space="0" w:color="A6A6A6" w:themeColor="accent5"/>
            </w:tcBorders>
            <w:shd w:val="clear" w:color="auto" w:fill="E7E6E6" w:themeFill="background2"/>
          </w:tcPr>
          <w:p w14:paraId="340311E0" w14:textId="77777777" w:rsidR="00AC3C57" w:rsidRDefault="00AC3C57">
            <w:pPr>
              <w:pStyle w:val="ARtabletextright"/>
            </w:pPr>
            <w:r w:rsidRPr="00DA6057">
              <w:t>$32,234</w:t>
            </w:r>
          </w:p>
        </w:tc>
        <w:tc>
          <w:tcPr>
            <w:tcW w:w="732" w:type="pct"/>
            <w:tcBorders>
              <w:top w:val="single" w:sz="4" w:space="0" w:color="A6A6A6" w:themeColor="accent5"/>
            </w:tcBorders>
          </w:tcPr>
          <w:p w14:paraId="74D190B8" w14:textId="77777777" w:rsidR="00AC3C57" w:rsidRDefault="00AC3C57">
            <w:pPr>
              <w:pStyle w:val="ARtabletextright"/>
            </w:pPr>
            <w:r w:rsidRPr="00600945">
              <w:t>$30,753</w:t>
            </w:r>
          </w:p>
        </w:tc>
      </w:tr>
      <w:tr w:rsidR="00AC3C57" w:rsidRPr="00F4452B" w14:paraId="46479C6C"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5C4D4E24" w14:textId="77777777" w:rsidR="00AC3C57" w:rsidRPr="00F4452B" w:rsidRDefault="00AC3C57" w:rsidP="00A940AB">
            <w:pPr>
              <w:pStyle w:val="ARtabletextbold"/>
            </w:pPr>
            <w:r>
              <w:t>Zing &amp; Co Pty Ltd</w:t>
            </w:r>
          </w:p>
        </w:tc>
        <w:tc>
          <w:tcPr>
            <w:tcW w:w="1649" w:type="pct"/>
            <w:shd w:val="clear" w:color="auto" w:fill="E7E6E6" w:themeFill="background2"/>
            <w:tcMar>
              <w:left w:w="113" w:type="dxa"/>
            </w:tcMar>
          </w:tcPr>
          <w:p w14:paraId="1CBB9824" w14:textId="335326AC" w:rsidR="00AC3C57" w:rsidRPr="00331504" w:rsidRDefault="00C956B8">
            <w:pPr>
              <w:pStyle w:val="ARtabletext"/>
              <w:spacing w:line="220" w:lineRule="atLeast"/>
            </w:pPr>
            <w:r w:rsidRPr="00C956B8">
              <w:rPr>
                <w:color w:val="000000"/>
              </w:rPr>
              <w:t xml:space="preserve">Family Safety Victoria </w:t>
            </w:r>
            <w:r w:rsidRPr="00B55528">
              <w:rPr>
                <w:color w:val="000000"/>
              </w:rPr>
              <w:t xml:space="preserve">governance </w:t>
            </w:r>
            <w:proofErr w:type="gramStart"/>
            <w:r w:rsidRPr="00B55528">
              <w:rPr>
                <w:color w:val="000000"/>
              </w:rPr>
              <w:t>review</w:t>
            </w:r>
            <w:proofErr w:type="gramEnd"/>
            <w:r w:rsidR="00142A4D" w:rsidRPr="00B55528">
              <w:rPr>
                <w:color w:val="000000"/>
              </w:rPr>
              <w:t xml:space="preserve"> </w:t>
            </w:r>
            <w:r w:rsidRPr="00C956B8">
              <w:rPr>
                <w:color w:val="000000"/>
              </w:rPr>
              <w:t>executive workshops </w:t>
            </w:r>
          </w:p>
        </w:tc>
        <w:tc>
          <w:tcPr>
            <w:tcW w:w="810" w:type="pct"/>
          </w:tcPr>
          <w:p w14:paraId="63C8677B" w14:textId="77777777" w:rsidR="00AC3C57" w:rsidRDefault="00AC3C57">
            <w:pPr>
              <w:pStyle w:val="ARtabletextright"/>
            </w:pPr>
            <w:r w:rsidRPr="00ED5A1D">
              <w:t>$46,573</w:t>
            </w:r>
          </w:p>
        </w:tc>
        <w:tc>
          <w:tcPr>
            <w:tcW w:w="809" w:type="pct"/>
            <w:shd w:val="clear" w:color="auto" w:fill="E7E6E6" w:themeFill="background2"/>
          </w:tcPr>
          <w:p w14:paraId="1A36C1B0" w14:textId="77777777" w:rsidR="00AC3C57" w:rsidRDefault="00AC3C57">
            <w:pPr>
              <w:pStyle w:val="ARtabletextright"/>
            </w:pPr>
            <w:r w:rsidRPr="00DA6057">
              <w:t>$31,997</w:t>
            </w:r>
          </w:p>
        </w:tc>
        <w:tc>
          <w:tcPr>
            <w:tcW w:w="732" w:type="pct"/>
          </w:tcPr>
          <w:p w14:paraId="41B134E9" w14:textId="77777777" w:rsidR="00AC3C57" w:rsidRDefault="00AC3C57">
            <w:pPr>
              <w:pStyle w:val="ARtabletextright"/>
            </w:pPr>
            <w:r w:rsidRPr="00600945">
              <w:t>$14,576</w:t>
            </w:r>
          </w:p>
        </w:tc>
      </w:tr>
      <w:tr w:rsidR="00AC3C57" w:rsidRPr="00F4452B" w14:paraId="3216637D"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4448A38A" w14:textId="77777777" w:rsidR="00AC3C57" w:rsidRPr="00F4452B" w:rsidRDefault="00AC3C57" w:rsidP="00A940AB">
            <w:pPr>
              <w:pStyle w:val="ARtabletextbold"/>
            </w:pPr>
            <w:proofErr w:type="spellStart"/>
            <w:r>
              <w:t>Karabena</w:t>
            </w:r>
            <w:proofErr w:type="spellEnd"/>
            <w:r>
              <w:t xml:space="preserve"> Consulting</w:t>
            </w:r>
          </w:p>
        </w:tc>
        <w:tc>
          <w:tcPr>
            <w:tcW w:w="1649" w:type="pct"/>
            <w:shd w:val="clear" w:color="auto" w:fill="E7E6E6" w:themeFill="background2"/>
            <w:tcMar>
              <w:left w:w="113" w:type="dxa"/>
            </w:tcMar>
          </w:tcPr>
          <w:p w14:paraId="31B6C9D6" w14:textId="77777777" w:rsidR="00AC3C57" w:rsidRPr="00331504" w:rsidRDefault="00AC3C57">
            <w:pPr>
              <w:pStyle w:val="ARtabletext"/>
              <w:spacing w:line="220" w:lineRule="atLeast"/>
            </w:pPr>
            <w:r>
              <w:rPr>
                <w:color w:val="000000"/>
              </w:rPr>
              <w:t>SAFER Children Framework – First Peoples evaluation</w:t>
            </w:r>
          </w:p>
        </w:tc>
        <w:tc>
          <w:tcPr>
            <w:tcW w:w="810" w:type="pct"/>
          </w:tcPr>
          <w:p w14:paraId="4C69F560" w14:textId="77777777" w:rsidR="00AC3C57" w:rsidRDefault="00AC3C57">
            <w:pPr>
              <w:pStyle w:val="ARtabletextright"/>
            </w:pPr>
            <w:r w:rsidRPr="00ED5A1D">
              <w:t>$178,013</w:t>
            </w:r>
          </w:p>
        </w:tc>
        <w:tc>
          <w:tcPr>
            <w:tcW w:w="809" w:type="pct"/>
            <w:shd w:val="clear" w:color="auto" w:fill="E7E6E6" w:themeFill="background2"/>
          </w:tcPr>
          <w:p w14:paraId="17F74D87" w14:textId="77777777" w:rsidR="00AC3C57" w:rsidRDefault="00AC3C57">
            <w:pPr>
              <w:pStyle w:val="ARtabletextright"/>
            </w:pPr>
            <w:r w:rsidRPr="00DA6057">
              <w:t>$31,818</w:t>
            </w:r>
          </w:p>
        </w:tc>
        <w:tc>
          <w:tcPr>
            <w:tcW w:w="732" w:type="pct"/>
          </w:tcPr>
          <w:p w14:paraId="0565EBDE" w14:textId="77777777" w:rsidR="00AC3C57" w:rsidRDefault="00AC3C57">
            <w:pPr>
              <w:pStyle w:val="ARtabletextright"/>
            </w:pPr>
            <w:r w:rsidRPr="00600945">
              <w:t>$146,195</w:t>
            </w:r>
          </w:p>
        </w:tc>
      </w:tr>
      <w:tr w:rsidR="00AC3C57" w:rsidRPr="00F4452B" w14:paraId="4ECB63DB"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1FF382F6" w14:textId="3DF8CF29" w:rsidR="00AC3C57" w:rsidRPr="00DD4F75" w:rsidRDefault="00744DFA" w:rsidP="00A940AB">
            <w:pPr>
              <w:pStyle w:val="ARtabletextbold"/>
            </w:pPr>
            <w:r w:rsidRPr="00B55528">
              <w:rPr>
                <w:bCs/>
              </w:rPr>
              <w:t>Independent Review Panel member</w:t>
            </w:r>
          </w:p>
        </w:tc>
        <w:tc>
          <w:tcPr>
            <w:tcW w:w="1649" w:type="pct"/>
            <w:shd w:val="clear" w:color="auto" w:fill="E7E6E6" w:themeFill="background2"/>
            <w:tcMar>
              <w:left w:w="113" w:type="dxa"/>
            </w:tcMar>
          </w:tcPr>
          <w:p w14:paraId="5BF3D4F5" w14:textId="77777777" w:rsidR="00AC3C57" w:rsidRPr="00331504" w:rsidRDefault="00AC3C57">
            <w:pPr>
              <w:pStyle w:val="ARtabletext"/>
              <w:spacing w:line="220" w:lineRule="atLeast"/>
            </w:pPr>
            <w:r w:rsidDel="00117034">
              <w:rPr>
                <w:color w:val="000000"/>
              </w:rPr>
              <w:t xml:space="preserve">Alternative </w:t>
            </w:r>
            <w:r>
              <w:rPr>
                <w:color w:val="000000"/>
              </w:rPr>
              <w:t>s</w:t>
            </w:r>
            <w:r w:rsidDel="00117034">
              <w:rPr>
                <w:color w:val="000000"/>
              </w:rPr>
              <w:t xml:space="preserve">ervice </w:t>
            </w:r>
            <w:r>
              <w:rPr>
                <w:color w:val="000000"/>
              </w:rPr>
              <w:t>m</w:t>
            </w:r>
            <w:r w:rsidDel="00117034">
              <w:rPr>
                <w:color w:val="000000"/>
              </w:rPr>
              <w:t xml:space="preserve">odel </w:t>
            </w:r>
            <w:r>
              <w:rPr>
                <w:color w:val="000000"/>
              </w:rPr>
              <w:t>–</w:t>
            </w:r>
            <w:r w:rsidDel="00117034">
              <w:rPr>
                <w:color w:val="000000"/>
              </w:rPr>
              <w:t xml:space="preserve"> Independent Review Panel engagement</w:t>
            </w:r>
          </w:p>
        </w:tc>
        <w:tc>
          <w:tcPr>
            <w:tcW w:w="810" w:type="pct"/>
          </w:tcPr>
          <w:p w14:paraId="343DA0AF" w14:textId="77777777" w:rsidR="00AC3C57" w:rsidRDefault="00AC3C57">
            <w:pPr>
              <w:pStyle w:val="ARtabletextright"/>
            </w:pPr>
            <w:r w:rsidRPr="00ED5A1D" w:rsidDel="00117034">
              <w:t>$90,909</w:t>
            </w:r>
          </w:p>
        </w:tc>
        <w:tc>
          <w:tcPr>
            <w:tcW w:w="809" w:type="pct"/>
            <w:shd w:val="clear" w:color="auto" w:fill="E7E6E6" w:themeFill="background2"/>
          </w:tcPr>
          <w:p w14:paraId="3B4A1FB5" w14:textId="77777777" w:rsidR="00AC3C57" w:rsidRDefault="00AC3C57">
            <w:pPr>
              <w:pStyle w:val="ARtabletextright"/>
            </w:pPr>
            <w:r w:rsidRPr="00DA6057" w:rsidDel="00117034">
              <w:t>$31,000</w:t>
            </w:r>
          </w:p>
        </w:tc>
        <w:tc>
          <w:tcPr>
            <w:tcW w:w="732" w:type="pct"/>
          </w:tcPr>
          <w:p w14:paraId="25AF3D32" w14:textId="181C003A" w:rsidR="00AC3C57" w:rsidRDefault="005C1105">
            <w:pPr>
              <w:pStyle w:val="ARtabletextright"/>
            </w:pPr>
            <w:r>
              <w:t>–</w:t>
            </w:r>
          </w:p>
        </w:tc>
      </w:tr>
      <w:tr w:rsidR="00AC3C57" w:rsidRPr="00F4452B" w14:paraId="01807557"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6BC2A757" w14:textId="77777777" w:rsidR="00AC3C57" w:rsidRPr="00F4452B" w:rsidRDefault="00AC3C57" w:rsidP="00A940AB">
            <w:pPr>
              <w:pStyle w:val="ARtabletextbold"/>
            </w:pPr>
            <w:r>
              <w:t>Ernst &amp; Young Services Pty Ltd</w:t>
            </w:r>
          </w:p>
        </w:tc>
        <w:tc>
          <w:tcPr>
            <w:tcW w:w="1649" w:type="pct"/>
            <w:tcBorders>
              <w:bottom w:val="single" w:sz="4" w:space="0" w:color="A6A6A6" w:themeColor="accent5"/>
            </w:tcBorders>
            <w:shd w:val="clear" w:color="auto" w:fill="E7E6E6" w:themeFill="background2"/>
            <w:tcMar>
              <w:left w:w="113" w:type="dxa"/>
            </w:tcMar>
          </w:tcPr>
          <w:p w14:paraId="259AAC31" w14:textId="77777777" w:rsidR="00AC3C57" w:rsidRPr="00331504" w:rsidRDefault="00AC3C57">
            <w:pPr>
              <w:pStyle w:val="ARtabletext"/>
              <w:spacing w:line="220" w:lineRule="atLeast"/>
            </w:pPr>
            <w:r>
              <w:rPr>
                <w:color w:val="000000"/>
              </w:rPr>
              <w:t xml:space="preserve">Ground Lease Model 1 – Flemington 2A/2B modification – commercial and financial advisory services </w:t>
            </w:r>
          </w:p>
        </w:tc>
        <w:tc>
          <w:tcPr>
            <w:tcW w:w="810" w:type="pct"/>
            <w:tcBorders>
              <w:bottom w:val="single" w:sz="4" w:space="0" w:color="A6A6A6" w:themeColor="accent5"/>
            </w:tcBorders>
          </w:tcPr>
          <w:p w14:paraId="39CCA9BF" w14:textId="77777777" w:rsidR="00AC3C57" w:rsidRDefault="00AC3C57">
            <w:pPr>
              <w:pStyle w:val="ARtabletextright"/>
            </w:pPr>
            <w:r w:rsidRPr="00ED5A1D">
              <w:t>$184,742</w:t>
            </w:r>
          </w:p>
        </w:tc>
        <w:tc>
          <w:tcPr>
            <w:tcW w:w="809" w:type="pct"/>
            <w:tcBorders>
              <w:bottom w:val="single" w:sz="4" w:space="0" w:color="A6A6A6" w:themeColor="accent5"/>
            </w:tcBorders>
            <w:shd w:val="clear" w:color="auto" w:fill="E7E6E6" w:themeFill="background2"/>
          </w:tcPr>
          <w:p w14:paraId="7B98C4F9" w14:textId="77777777" w:rsidR="00AC3C57" w:rsidRDefault="00AC3C57">
            <w:pPr>
              <w:pStyle w:val="ARtabletextright"/>
            </w:pPr>
            <w:r w:rsidRPr="00DA6057">
              <w:t>$29,566</w:t>
            </w:r>
          </w:p>
        </w:tc>
        <w:tc>
          <w:tcPr>
            <w:tcW w:w="732" w:type="pct"/>
            <w:tcBorders>
              <w:bottom w:val="single" w:sz="4" w:space="0" w:color="A6A6A6" w:themeColor="accent5"/>
            </w:tcBorders>
          </w:tcPr>
          <w:p w14:paraId="2EC97454" w14:textId="3A30CFB8" w:rsidR="00AC3C57" w:rsidRDefault="005C1105">
            <w:pPr>
              <w:pStyle w:val="ARtabletextright"/>
            </w:pPr>
            <w:r>
              <w:t>–</w:t>
            </w:r>
          </w:p>
        </w:tc>
      </w:tr>
      <w:tr w:rsidR="00AC3C57" w:rsidRPr="00F4452B" w14:paraId="4E3FA436"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38222E46" w14:textId="77777777" w:rsidR="00AC3C57" w:rsidRPr="00F4452B" w:rsidRDefault="00AC3C57" w:rsidP="00A940AB">
            <w:pPr>
              <w:pStyle w:val="ARtabletextbold"/>
            </w:pPr>
            <w:r>
              <w:lastRenderedPageBreak/>
              <w:t>Blue Bike Solutions Aust Pty Ltd</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1255F898" w14:textId="77777777" w:rsidR="00AC3C57" w:rsidRPr="00331504" w:rsidRDefault="00AC3C57">
            <w:pPr>
              <w:pStyle w:val="ARtabletext"/>
              <w:spacing w:line="220" w:lineRule="atLeast"/>
            </w:pPr>
            <w:r>
              <w:rPr>
                <w:color w:val="000000"/>
              </w:rPr>
              <w:t>Child data analysis requirement</w:t>
            </w:r>
          </w:p>
        </w:tc>
        <w:tc>
          <w:tcPr>
            <w:tcW w:w="810" w:type="pct"/>
            <w:tcBorders>
              <w:top w:val="single" w:sz="4" w:space="0" w:color="A6A6A6" w:themeColor="accent5"/>
              <w:bottom w:val="single" w:sz="4" w:space="0" w:color="A6A6A6" w:themeColor="accent5"/>
            </w:tcBorders>
          </w:tcPr>
          <w:p w14:paraId="072E90E6" w14:textId="77777777" w:rsidR="00AC3C57" w:rsidRDefault="00AC3C57">
            <w:pPr>
              <w:pStyle w:val="ARtabletextright"/>
            </w:pPr>
            <w:r w:rsidRPr="00ED5A1D">
              <w:t>$27,000</w:t>
            </w:r>
          </w:p>
        </w:tc>
        <w:tc>
          <w:tcPr>
            <w:tcW w:w="809" w:type="pct"/>
            <w:tcBorders>
              <w:top w:val="single" w:sz="4" w:space="0" w:color="A6A6A6" w:themeColor="accent5"/>
              <w:bottom w:val="single" w:sz="4" w:space="0" w:color="A6A6A6" w:themeColor="accent5"/>
            </w:tcBorders>
            <w:shd w:val="clear" w:color="auto" w:fill="E7E6E6" w:themeFill="background2"/>
          </w:tcPr>
          <w:p w14:paraId="20798B71" w14:textId="77777777" w:rsidR="00AC3C57" w:rsidRDefault="00AC3C57">
            <w:pPr>
              <w:pStyle w:val="ARtabletextright"/>
            </w:pPr>
            <w:r w:rsidRPr="00DA6057">
              <w:t>$27,000</w:t>
            </w:r>
          </w:p>
        </w:tc>
        <w:tc>
          <w:tcPr>
            <w:tcW w:w="732" w:type="pct"/>
            <w:tcBorders>
              <w:top w:val="single" w:sz="4" w:space="0" w:color="A6A6A6" w:themeColor="accent5"/>
              <w:bottom w:val="single" w:sz="4" w:space="0" w:color="A6A6A6" w:themeColor="accent5"/>
            </w:tcBorders>
          </w:tcPr>
          <w:p w14:paraId="71E73741" w14:textId="23264CB2" w:rsidR="00AC3C57" w:rsidRDefault="005C1105">
            <w:pPr>
              <w:pStyle w:val="ARtabletextright"/>
            </w:pPr>
            <w:r>
              <w:t>–</w:t>
            </w:r>
          </w:p>
        </w:tc>
      </w:tr>
      <w:tr w:rsidR="00AC3C57" w:rsidRPr="00F4452B" w14:paraId="76191A95"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7A8B7F29" w14:textId="77777777" w:rsidR="00AC3C57" w:rsidRPr="00F4452B" w:rsidRDefault="00AC3C57" w:rsidP="00A940AB">
            <w:pPr>
              <w:pStyle w:val="ARtabletextbold"/>
            </w:pPr>
            <w:r>
              <w:t>Anne Dalton &amp; Associates</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549A360A" w14:textId="353EE814" w:rsidR="00AC3C57" w:rsidRPr="00331504" w:rsidRDefault="00AC3C57">
            <w:pPr>
              <w:pStyle w:val="ARtabletext"/>
              <w:spacing w:line="220" w:lineRule="atLeast"/>
            </w:pPr>
            <w:r>
              <w:rPr>
                <w:color w:val="000000"/>
              </w:rPr>
              <w:t>Probity consultant, towers redevelopment project tranche 1</w:t>
            </w:r>
            <w:r w:rsidR="003A600C">
              <w:rPr>
                <w:color w:val="000000"/>
              </w:rPr>
              <w:t> </w:t>
            </w:r>
            <w:r>
              <w:rPr>
                <w:color w:val="000000"/>
              </w:rPr>
              <w:t>and</w:t>
            </w:r>
            <w:r w:rsidR="003A600C">
              <w:rPr>
                <w:color w:val="000000"/>
              </w:rPr>
              <w:t> </w:t>
            </w:r>
            <w:r>
              <w:rPr>
                <w:color w:val="000000"/>
              </w:rPr>
              <w:t>2</w:t>
            </w:r>
          </w:p>
        </w:tc>
        <w:tc>
          <w:tcPr>
            <w:tcW w:w="810" w:type="pct"/>
            <w:tcBorders>
              <w:top w:val="single" w:sz="4" w:space="0" w:color="A6A6A6" w:themeColor="accent5"/>
              <w:bottom w:val="single" w:sz="4" w:space="0" w:color="A6A6A6" w:themeColor="accent5"/>
            </w:tcBorders>
          </w:tcPr>
          <w:p w14:paraId="3B17F812" w14:textId="77777777" w:rsidR="00AC3C57" w:rsidRDefault="00AC3C57">
            <w:pPr>
              <w:pStyle w:val="ARtabletextright"/>
            </w:pPr>
            <w:r w:rsidRPr="00ED5A1D">
              <w:t>$254,545</w:t>
            </w:r>
          </w:p>
        </w:tc>
        <w:tc>
          <w:tcPr>
            <w:tcW w:w="809" w:type="pct"/>
            <w:tcBorders>
              <w:top w:val="single" w:sz="4" w:space="0" w:color="A6A6A6" w:themeColor="accent5"/>
              <w:bottom w:val="single" w:sz="4" w:space="0" w:color="A6A6A6" w:themeColor="accent5"/>
            </w:tcBorders>
            <w:shd w:val="clear" w:color="auto" w:fill="E7E6E6" w:themeFill="background2"/>
          </w:tcPr>
          <w:p w14:paraId="2194AD99" w14:textId="77777777" w:rsidR="00AC3C57" w:rsidRDefault="00AC3C57">
            <w:pPr>
              <w:pStyle w:val="ARtabletextright"/>
            </w:pPr>
            <w:r w:rsidRPr="00DA6057">
              <w:t>$25,373</w:t>
            </w:r>
          </w:p>
        </w:tc>
        <w:tc>
          <w:tcPr>
            <w:tcW w:w="732" w:type="pct"/>
            <w:tcBorders>
              <w:top w:val="single" w:sz="4" w:space="0" w:color="A6A6A6" w:themeColor="accent5"/>
              <w:bottom w:val="single" w:sz="4" w:space="0" w:color="A6A6A6" w:themeColor="accent5"/>
            </w:tcBorders>
          </w:tcPr>
          <w:p w14:paraId="5FD47F00" w14:textId="77777777" w:rsidR="00AC3C57" w:rsidRDefault="00AC3C57">
            <w:pPr>
              <w:pStyle w:val="ARtabletextright"/>
            </w:pPr>
            <w:r w:rsidRPr="00600945">
              <w:t>$215,517</w:t>
            </w:r>
          </w:p>
        </w:tc>
      </w:tr>
      <w:tr w:rsidR="00AC3C57" w:rsidRPr="00F4452B" w14:paraId="17343DEF"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3C1DC26F" w14:textId="77777777" w:rsidR="00AC3C57" w:rsidRPr="00F4452B" w:rsidRDefault="00AC3C57" w:rsidP="00A940AB">
            <w:pPr>
              <w:pStyle w:val="ARtabletextbold"/>
            </w:pPr>
            <w:r>
              <w:t>Inner Circle Consulting Pty Ltd</w:t>
            </w:r>
          </w:p>
        </w:tc>
        <w:tc>
          <w:tcPr>
            <w:tcW w:w="1649" w:type="pct"/>
            <w:tcBorders>
              <w:top w:val="single" w:sz="4" w:space="0" w:color="A6A6A6" w:themeColor="accent5"/>
            </w:tcBorders>
            <w:shd w:val="clear" w:color="auto" w:fill="E7E6E6" w:themeFill="background2"/>
            <w:tcMar>
              <w:left w:w="113" w:type="dxa"/>
            </w:tcMar>
          </w:tcPr>
          <w:p w14:paraId="5CB90359" w14:textId="77777777" w:rsidR="00AC3C57" w:rsidRPr="00331504" w:rsidRDefault="00AC3C57">
            <w:pPr>
              <w:pStyle w:val="ARtabletext"/>
              <w:spacing w:line="220" w:lineRule="atLeast"/>
            </w:pPr>
            <w:r>
              <w:rPr>
                <w:color w:val="000000"/>
              </w:rPr>
              <w:t>Strategic advisory services for information technology services executive</w:t>
            </w:r>
          </w:p>
        </w:tc>
        <w:tc>
          <w:tcPr>
            <w:tcW w:w="810" w:type="pct"/>
            <w:tcBorders>
              <w:top w:val="single" w:sz="4" w:space="0" w:color="A6A6A6" w:themeColor="accent5"/>
            </w:tcBorders>
          </w:tcPr>
          <w:p w14:paraId="40C2642B" w14:textId="77777777" w:rsidR="00AC3C57" w:rsidRDefault="00AC3C57">
            <w:pPr>
              <w:pStyle w:val="ARtabletextright"/>
            </w:pPr>
            <w:r w:rsidRPr="00ED5A1D">
              <w:t>$24,000</w:t>
            </w:r>
          </w:p>
        </w:tc>
        <w:tc>
          <w:tcPr>
            <w:tcW w:w="809" w:type="pct"/>
            <w:tcBorders>
              <w:top w:val="single" w:sz="4" w:space="0" w:color="A6A6A6" w:themeColor="accent5"/>
            </w:tcBorders>
            <w:shd w:val="clear" w:color="auto" w:fill="E7E6E6" w:themeFill="background2"/>
          </w:tcPr>
          <w:p w14:paraId="7C89A29B" w14:textId="77777777" w:rsidR="00AC3C57" w:rsidRDefault="00AC3C57">
            <w:pPr>
              <w:pStyle w:val="ARtabletextright"/>
            </w:pPr>
            <w:r w:rsidRPr="00DA6057">
              <w:t>$24,000</w:t>
            </w:r>
          </w:p>
        </w:tc>
        <w:tc>
          <w:tcPr>
            <w:tcW w:w="732" w:type="pct"/>
            <w:tcBorders>
              <w:top w:val="single" w:sz="4" w:space="0" w:color="A6A6A6" w:themeColor="accent5"/>
            </w:tcBorders>
          </w:tcPr>
          <w:p w14:paraId="472FFE1B" w14:textId="67D89431" w:rsidR="00AC3C57" w:rsidRDefault="005C1105">
            <w:pPr>
              <w:pStyle w:val="ARtabletextright"/>
            </w:pPr>
            <w:r>
              <w:t>–</w:t>
            </w:r>
          </w:p>
        </w:tc>
      </w:tr>
      <w:tr w:rsidR="00AC3C57" w:rsidRPr="00F4452B" w14:paraId="186A3104"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4A38B16C" w14:textId="1EFED02B" w:rsidR="00AC3C57" w:rsidRPr="00F4452B" w:rsidRDefault="00AC3C57" w:rsidP="00A940AB">
            <w:pPr>
              <w:pStyle w:val="ARtabletextbold"/>
            </w:pPr>
            <w:r>
              <w:t>FTI Consulting Pty</w:t>
            </w:r>
            <w:r w:rsidR="00A940AB">
              <w:t> </w:t>
            </w:r>
            <w:r>
              <w:t>Ltd</w:t>
            </w:r>
          </w:p>
        </w:tc>
        <w:tc>
          <w:tcPr>
            <w:tcW w:w="1649" w:type="pct"/>
            <w:shd w:val="clear" w:color="auto" w:fill="E7E6E6" w:themeFill="background2"/>
            <w:tcMar>
              <w:left w:w="113" w:type="dxa"/>
            </w:tcMar>
          </w:tcPr>
          <w:p w14:paraId="7BFB4D87" w14:textId="77777777" w:rsidR="00AC3C57" w:rsidRPr="00331504" w:rsidRDefault="00AC3C57">
            <w:pPr>
              <w:pStyle w:val="ARtabletext"/>
              <w:spacing w:line="220" w:lineRule="atLeast"/>
            </w:pPr>
            <w:r>
              <w:rPr>
                <w:color w:val="000000"/>
              </w:rPr>
              <w:t>Service performance benchmarking</w:t>
            </w:r>
          </w:p>
        </w:tc>
        <w:tc>
          <w:tcPr>
            <w:tcW w:w="810" w:type="pct"/>
          </w:tcPr>
          <w:p w14:paraId="72DA3751" w14:textId="77777777" w:rsidR="00AC3C57" w:rsidRDefault="00AC3C57">
            <w:pPr>
              <w:pStyle w:val="ARtabletextright"/>
            </w:pPr>
            <w:r w:rsidRPr="00ED5A1D">
              <w:t>$22,937</w:t>
            </w:r>
          </w:p>
        </w:tc>
        <w:tc>
          <w:tcPr>
            <w:tcW w:w="809" w:type="pct"/>
            <w:shd w:val="clear" w:color="auto" w:fill="E7E6E6" w:themeFill="background2"/>
          </w:tcPr>
          <w:p w14:paraId="38890142" w14:textId="77777777" w:rsidR="00AC3C57" w:rsidRDefault="00AC3C57">
            <w:pPr>
              <w:pStyle w:val="ARtabletextright"/>
            </w:pPr>
            <w:r w:rsidRPr="00DA6057">
              <w:t>$22,937</w:t>
            </w:r>
          </w:p>
        </w:tc>
        <w:tc>
          <w:tcPr>
            <w:tcW w:w="732" w:type="pct"/>
          </w:tcPr>
          <w:p w14:paraId="7B020AED" w14:textId="4CE3114C" w:rsidR="00AC3C57" w:rsidRDefault="005C1105">
            <w:pPr>
              <w:pStyle w:val="ARtabletextright"/>
            </w:pPr>
            <w:r>
              <w:t>–</w:t>
            </w:r>
          </w:p>
        </w:tc>
      </w:tr>
      <w:tr w:rsidR="00AC3C57" w:rsidRPr="00F4452B" w14:paraId="60B431AA"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3CE7374D" w14:textId="77777777" w:rsidR="00AC3C57" w:rsidRPr="00F4452B" w:rsidRDefault="00AC3C57" w:rsidP="00A940AB">
            <w:pPr>
              <w:pStyle w:val="ARtabletextbold"/>
            </w:pPr>
            <w:r>
              <w:t>Cube Group</w:t>
            </w:r>
          </w:p>
        </w:tc>
        <w:tc>
          <w:tcPr>
            <w:tcW w:w="1649" w:type="pct"/>
            <w:shd w:val="clear" w:color="auto" w:fill="E7E6E6" w:themeFill="background2"/>
            <w:tcMar>
              <w:left w:w="113" w:type="dxa"/>
            </w:tcMar>
          </w:tcPr>
          <w:p w14:paraId="0D415E71" w14:textId="77777777" w:rsidR="00AC3C57" w:rsidRPr="00331504" w:rsidRDefault="00AC3C57">
            <w:pPr>
              <w:pStyle w:val="ARtabletext"/>
              <w:spacing w:line="220" w:lineRule="atLeast"/>
            </w:pPr>
            <w:r w:rsidRPr="576AE016">
              <w:rPr>
                <w:color w:val="000000" w:themeColor="text1"/>
              </w:rPr>
              <w:t>Review of CIMS investigation and review requirements</w:t>
            </w:r>
          </w:p>
        </w:tc>
        <w:tc>
          <w:tcPr>
            <w:tcW w:w="810" w:type="pct"/>
          </w:tcPr>
          <w:p w14:paraId="1FD0C3E2" w14:textId="77777777" w:rsidR="00AC3C57" w:rsidRDefault="00AC3C57">
            <w:pPr>
              <w:pStyle w:val="ARtabletextright"/>
            </w:pPr>
            <w:r>
              <w:t>$117,764</w:t>
            </w:r>
          </w:p>
        </w:tc>
        <w:tc>
          <w:tcPr>
            <w:tcW w:w="809" w:type="pct"/>
            <w:shd w:val="clear" w:color="auto" w:fill="E7E6E6" w:themeFill="background2"/>
          </w:tcPr>
          <w:p w14:paraId="26F77CBC" w14:textId="77777777" w:rsidR="00AC3C57" w:rsidRDefault="00AC3C57">
            <w:pPr>
              <w:pStyle w:val="ARtabletextright"/>
            </w:pPr>
            <w:r>
              <w:t>$21,982</w:t>
            </w:r>
          </w:p>
        </w:tc>
        <w:tc>
          <w:tcPr>
            <w:tcW w:w="732" w:type="pct"/>
          </w:tcPr>
          <w:p w14:paraId="7F7904A5" w14:textId="402DE8A7" w:rsidR="00AC3C57" w:rsidRDefault="005C1105">
            <w:pPr>
              <w:pStyle w:val="ARtabletextright"/>
            </w:pPr>
            <w:r>
              <w:t>–</w:t>
            </w:r>
          </w:p>
        </w:tc>
      </w:tr>
      <w:tr w:rsidR="00AC3C57" w:rsidRPr="00F4452B" w14:paraId="28570757"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7BE22D2E" w14:textId="77777777" w:rsidR="00AC3C57" w:rsidRPr="00F4452B" w:rsidRDefault="00AC3C57" w:rsidP="00A940AB">
            <w:pPr>
              <w:pStyle w:val="ARtabletextbold"/>
            </w:pPr>
            <w:r>
              <w:t>Ernst &amp; Young Services Pty Ltd</w:t>
            </w:r>
          </w:p>
        </w:tc>
        <w:tc>
          <w:tcPr>
            <w:tcW w:w="1649" w:type="pct"/>
            <w:shd w:val="clear" w:color="auto" w:fill="E7E6E6" w:themeFill="background2"/>
            <w:tcMar>
              <w:left w:w="113" w:type="dxa"/>
            </w:tcMar>
          </w:tcPr>
          <w:p w14:paraId="2EEC4987" w14:textId="77777777" w:rsidR="00AC3C57" w:rsidRPr="00331504" w:rsidRDefault="00AC3C57">
            <w:pPr>
              <w:pStyle w:val="ARtabletext"/>
              <w:spacing w:line="220" w:lineRule="atLeast"/>
            </w:pPr>
            <w:r>
              <w:rPr>
                <w:color w:val="000000"/>
              </w:rPr>
              <w:t>Advisor for Homes Victoria facilitated placements modification for Ground Lease Model 1 towers redevelopment</w:t>
            </w:r>
          </w:p>
        </w:tc>
        <w:tc>
          <w:tcPr>
            <w:tcW w:w="810" w:type="pct"/>
          </w:tcPr>
          <w:p w14:paraId="39CD97C9" w14:textId="77777777" w:rsidR="00AC3C57" w:rsidRDefault="00AC3C57">
            <w:pPr>
              <w:pStyle w:val="ARtabletextright"/>
            </w:pPr>
            <w:r w:rsidRPr="00ED5A1D">
              <w:t>$231,073</w:t>
            </w:r>
          </w:p>
        </w:tc>
        <w:tc>
          <w:tcPr>
            <w:tcW w:w="809" w:type="pct"/>
            <w:shd w:val="clear" w:color="auto" w:fill="E7E6E6" w:themeFill="background2"/>
          </w:tcPr>
          <w:p w14:paraId="1F44C866" w14:textId="77777777" w:rsidR="00AC3C57" w:rsidRDefault="00AC3C57">
            <w:pPr>
              <w:pStyle w:val="ARtabletextright"/>
            </w:pPr>
            <w:r w:rsidRPr="00DA6057">
              <w:t>$19,846</w:t>
            </w:r>
          </w:p>
        </w:tc>
        <w:tc>
          <w:tcPr>
            <w:tcW w:w="732" w:type="pct"/>
          </w:tcPr>
          <w:p w14:paraId="2CC8A462" w14:textId="77777777" w:rsidR="00AC3C57" w:rsidRDefault="00AC3C57">
            <w:pPr>
              <w:pStyle w:val="ARtabletextright"/>
            </w:pPr>
            <w:r w:rsidRPr="00600945">
              <w:t>$211,227</w:t>
            </w:r>
          </w:p>
        </w:tc>
      </w:tr>
      <w:tr w:rsidR="00AC3C57" w:rsidRPr="00F4452B" w14:paraId="5555948D"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2DC14FE0" w14:textId="77777777" w:rsidR="00AC3C57" w:rsidRPr="00F4452B" w:rsidRDefault="00AC3C57" w:rsidP="00A940AB">
            <w:pPr>
              <w:pStyle w:val="ARtabletextbold"/>
            </w:pPr>
            <w:r>
              <w:t>Right Lane Consulting Pty Ltd</w:t>
            </w:r>
          </w:p>
        </w:tc>
        <w:tc>
          <w:tcPr>
            <w:tcW w:w="1649" w:type="pct"/>
            <w:shd w:val="clear" w:color="auto" w:fill="E7E6E6" w:themeFill="background2"/>
            <w:tcMar>
              <w:left w:w="113" w:type="dxa"/>
            </w:tcMar>
          </w:tcPr>
          <w:p w14:paraId="6C2211D9" w14:textId="77777777" w:rsidR="00AC3C57" w:rsidRPr="00331504" w:rsidRDefault="00AC3C57">
            <w:pPr>
              <w:pStyle w:val="ARtabletext"/>
              <w:spacing w:line="220" w:lineRule="atLeast"/>
            </w:pPr>
            <w:r>
              <w:rPr>
                <w:color w:val="000000"/>
              </w:rPr>
              <w:t>Gender impact assessment research in hospitals and local councils in rural and regional Victoria</w:t>
            </w:r>
          </w:p>
        </w:tc>
        <w:tc>
          <w:tcPr>
            <w:tcW w:w="810" w:type="pct"/>
          </w:tcPr>
          <w:p w14:paraId="7213AAFD" w14:textId="77777777" w:rsidR="00AC3C57" w:rsidRDefault="00AC3C57">
            <w:pPr>
              <w:pStyle w:val="ARtabletextright"/>
            </w:pPr>
            <w:r w:rsidRPr="00ED5A1D">
              <w:t>$96,591</w:t>
            </w:r>
          </w:p>
        </w:tc>
        <w:tc>
          <w:tcPr>
            <w:tcW w:w="809" w:type="pct"/>
            <w:shd w:val="clear" w:color="auto" w:fill="E7E6E6" w:themeFill="background2"/>
          </w:tcPr>
          <w:p w14:paraId="7793A12B" w14:textId="77777777" w:rsidR="00AC3C57" w:rsidRDefault="00AC3C57">
            <w:pPr>
              <w:pStyle w:val="ARtabletextright"/>
            </w:pPr>
            <w:r w:rsidRPr="00DA6057">
              <w:t>$19,318</w:t>
            </w:r>
          </w:p>
        </w:tc>
        <w:tc>
          <w:tcPr>
            <w:tcW w:w="732" w:type="pct"/>
          </w:tcPr>
          <w:p w14:paraId="759AF929" w14:textId="761724AC" w:rsidR="00AC3C57" w:rsidRDefault="005C1105">
            <w:pPr>
              <w:pStyle w:val="ARtabletextright"/>
            </w:pPr>
            <w:r>
              <w:t>–</w:t>
            </w:r>
          </w:p>
        </w:tc>
      </w:tr>
      <w:tr w:rsidR="00AC3C57" w:rsidRPr="00F4452B" w14:paraId="3DC71C3D"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4F30CC66" w14:textId="77777777" w:rsidR="00AC3C57" w:rsidRPr="00F4452B" w:rsidRDefault="00AC3C57" w:rsidP="00A940AB">
            <w:pPr>
              <w:pStyle w:val="ARtabletextbold"/>
            </w:pPr>
            <w:r>
              <w:t>Allen And Clarke Consulting Pty Ltd</w:t>
            </w:r>
          </w:p>
        </w:tc>
        <w:tc>
          <w:tcPr>
            <w:tcW w:w="1649" w:type="pct"/>
            <w:shd w:val="clear" w:color="auto" w:fill="E7E6E6" w:themeFill="background2"/>
            <w:tcMar>
              <w:left w:w="113" w:type="dxa"/>
            </w:tcMar>
          </w:tcPr>
          <w:p w14:paraId="1E1E4377" w14:textId="77777777" w:rsidR="00AC3C57" w:rsidRPr="00331504" w:rsidRDefault="00AC3C57">
            <w:pPr>
              <w:pStyle w:val="ARtabletext"/>
              <w:spacing w:line="220" w:lineRule="atLeast"/>
            </w:pPr>
            <w:r>
              <w:rPr>
                <w:color w:val="000000"/>
              </w:rPr>
              <w:t>Evaluation of the Workforce Vacancies Demonstration Program and other past workforce development programs</w:t>
            </w:r>
          </w:p>
        </w:tc>
        <w:tc>
          <w:tcPr>
            <w:tcW w:w="810" w:type="pct"/>
          </w:tcPr>
          <w:p w14:paraId="0A0F00FA" w14:textId="77777777" w:rsidR="00AC3C57" w:rsidRDefault="00AC3C57">
            <w:pPr>
              <w:pStyle w:val="ARtabletextright"/>
            </w:pPr>
            <w:r w:rsidRPr="00ED5A1D">
              <w:t>$201,191</w:t>
            </w:r>
          </w:p>
        </w:tc>
        <w:tc>
          <w:tcPr>
            <w:tcW w:w="809" w:type="pct"/>
            <w:shd w:val="clear" w:color="auto" w:fill="E7E6E6" w:themeFill="background2"/>
          </w:tcPr>
          <w:p w14:paraId="7CA53B00" w14:textId="77777777" w:rsidR="00AC3C57" w:rsidRDefault="00AC3C57">
            <w:pPr>
              <w:pStyle w:val="ARtabletextright"/>
            </w:pPr>
            <w:r w:rsidRPr="00DA6057">
              <w:t>$18,182</w:t>
            </w:r>
          </w:p>
        </w:tc>
        <w:tc>
          <w:tcPr>
            <w:tcW w:w="732" w:type="pct"/>
          </w:tcPr>
          <w:p w14:paraId="69D57A70" w14:textId="77777777" w:rsidR="00AC3C57" w:rsidRDefault="00AC3C57">
            <w:pPr>
              <w:pStyle w:val="ARtabletextright"/>
            </w:pPr>
            <w:r w:rsidRPr="00600945">
              <w:t>$183,009</w:t>
            </w:r>
          </w:p>
        </w:tc>
      </w:tr>
      <w:tr w:rsidR="00AC3C57" w:rsidRPr="00F4452B" w14:paraId="4A076B4B"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1A932C2D" w14:textId="77777777" w:rsidR="00AC3C57" w:rsidRPr="00F4452B" w:rsidRDefault="00AC3C57" w:rsidP="00A940AB">
            <w:pPr>
              <w:pStyle w:val="ARtabletextbold"/>
            </w:pPr>
            <w:proofErr w:type="spellStart"/>
            <w:r>
              <w:t>Genderworks</w:t>
            </w:r>
            <w:proofErr w:type="spellEnd"/>
            <w:r>
              <w:t xml:space="preserve"> Australia</w:t>
            </w:r>
          </w:p>
        </w:tc>
        <w:tc>
          <w:tcPr>
            <w:tcW w:w="1649" w:type="pct"/>
            <w:shd w:val="clear" w:color="auto" w:fill="E7E6E6" w:themeFill="background2"/>
            <w:tcMar>
              <w:left w:w="113" w:type="dxa"/>
            </w:tcMar>
          </w:tcPr>
          <w:p w14:paraId="1B126FED" w14:textId="77777777" w:rsidR="00AC3C57" w:rsidRPr="00331504" w:rsidRDefault="00AC3C57">
            <w:pPr>
              <w:pStyle w:val="ARtabletext"/>
              <w:spacing w:line="220" w:lineRule="atLeast"/>
            </w:pPr>
            <w:r>
              <w:rPr>
                <w:color w:val="000000"/>
              </w:rPr>
              <w:t>Gender impact assessment education and engagement tools</w:t>
            </w:r>
          </w:p>
        </w:tc>
        <w:tc>
          <w:tcPr>
            <w:tcW w:w="810" w:type="pct"/>
          </w:tcPr>
          <w:p w14:paraId="2D5C85B4" w14:textId="77777777" w:rsidR="00AC3C57" w:rsidRDefault="00AC3C57">
            <w:pPr>
              <w:pStyle w:val="ARtabletextright"/>
            </w:pPr>
            <w:r w:rsidRPr="00ED5A1D">
              <w:t>$78,000</w:t>
            </w:r>
          </w:p>
        </w:tc>
        <w:tc>
          <w:tcPr>
            <w:tcW w:w="809" w:type="pct"/>
            <w:shd w:val="clear" w:color="auto" w:fill="E7E6E6" w:themeFill="background2"/>
          </w:tcPr>
          <w:p w14:paraId="5182237B" w14:textId="77777777" w:rsidR="00AC3C57" w:rsidRDefault="00AC3C57">
            <w:pPr>
              <w:pStyle w:val="ARtabletextright"/>
            </w:pPr>
            <w:r w:rsidRPr="00DA6057">
              <w:t>$15,600</w:t>
            </w:r>
          </w:p>
        </w:tc>
        <w:tc>
          <w:tcPr>
            <w:tcW w:w="732" w:type="pct"/>
          </w:tcPr>
          <w:p w14:paraId="0897FE67" w14:textId="63EA5D7A" w:rsidR="00AC3C57" w:rsidRDefault="005C1105">
            <w:pPr>
              <w:pStyle w:val="ARtabletextright"/>
            </w:pPr>
            <w:r>
              <w:t>–</w:t>
            </w:r>
          </w:p>
        </w:tc>
      </w:tr>
      <w:tr w:rsidR="00AC3C57" w:rsidRPr="00F4452B" w14:paraId="49575B8D"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19ABE6BA" w14:textId="77777777" w:rsidR="00AC3C57" w:rsidRPr="00F4452B" w:rsidRDefault="00AC3C57" w:rsidP="00A940AB">
            <w:pPr>
              <w:pStyle w:val="ARtabletextbold"/>
            </w:pPr>
            <w:r>
              <w:t>Lighthouse Advisory Pty Ltd</w:t>
            </w:r>
          </w:p>
        </w:tc>
        <w:tc>
          <w:tcPr>
            <w:tcW w:w="1649" w:type="pct"/>
            <w:tcBorders>
              <w:bottom w:val="single" w:sz="4" w:space="0" w:color="A6A6A6" w:themeColor="accent5"/>
            </w:tcBorders>
            <w:shd w:val="clear" w:color="auto" w:fill="E7E6E6" w:themeFill="background2"/>
            <w:tcMar>
              <w:left w:w="113" w:type="dxa"/>
            </w:tcMar>
          </w:tcPr>
          <w:p w14:paraId="72BF362C" w14:textId="77777777" w:rsidR="00AC3C57" w:rsidRPr="00331504" w:rsidRDefault="00AC3C57">
            <w:pPr>
              <w:pStyle w:val="ARtabletext"/>
              <w:spacing w:line="220" w:lineRule="atLeast"/>
            </w:pPr>
            <w:r>
              <w:rPr>
                <w:color w:val="000000"/>
              </w:rPr>
              <w:t>Board of management risk workshop</w:t>
            </w:r>
          </w:p>
        </w:tc>
        <w:tc>
          <w:tcPr>
            <w:tcW w:w="810" w:type="pct"/>
            <w:tcBorders>
              <w:bottom w:val="single" w:sz="4" w:space="0" w:color="A6A6A6" w:themeColor="accent5"/>
            </w:tcBorders>
          </w:tcPr>
          <w:p w14:paraId="2C8E3690" w14:textId="77777777" w:rsidR="00AC3C57" w:rsidRDefault="00AC3C57">
            <w:pPr>
              <w:pStyle w:val="ARtabletextright"/>
            </w:pPr>
            <w:r w:rsidRPr="00ED5A1D">
              <w:t>$15,399</w:t>
            </w:r>
          </w:p>
        </w:tc>
        <w:tc>
          <w:tcPr>
            <w:tcW w:w="809" w:type="pct"/>
            <w:tcBorders>
              <w:bottom w:val="single" w:sz="4" w:space="0" w:color="A6A6A6" w:themeColor="accent5"/>
            </w:tcBorders>
            <w:shd w:val="clear" w:color="auto" w:fill="E7E6E6" w:themeFill="background2"/>
          </w:tcPr>
          <w:p w14:paraId="66D00076" w14:textId="77777777" w:rsidR="00AC3C57" w:rsidRDefault="00AC3C57">
            <w:pPr>
              <w:pStyle w:val="ARtabletextright"/>
            </w:pPr>
            <w:r w:rsidRPr="00DA6057">
              <w:t>$15,399</w:t>
            </w:r>
          </w:p>
        </w:tc>
        <w:tc>
          <w:tcPr>
            <w:tcW w:w="732" w:type="pct"/>
            <w:tcBorders>
              <w:bottom w:val="single" w:sz="4" w:space="0" w:color="A6A6A6" w:themeColor="accent5"/>
            </w:tcBorders>
          </w:tcPr>
          <w:p w14:paraId="54AE9A04" w14:textId="71315487" w:rsidR="00AC3C57" w:rsidRDefault="005C1105">
            <w:pPr>
              <w:pStyle w:val="ARtabletextright"/>
            </w:pPr>
            <w:r>
              <w:t>–</w:t>
            </w:r>
          </w:p>
        </w:tc>
      </w:tr>
      <w:tr w:rsidR="00AC3C57" w:rsidRPr="00F4452B" w14:paraId="17A31C46" w14:textId="77777777" w:rsidTr="00A940AB">
        <w:trPr>
          <w:trHeight w:val="300"/>
        </w:trPr>
        <w:tc>
          <w:tcPr>
            <w:tcW w:w="1000" w:type="pct"/>
            <w:tcBorders>
              <w:top w:val="single" w:sz="4" w:space="0" w:color="A6A6A6" w:themeColor="accent5"/>
              <w:left w:val="nil"/>
              <w:bottom w:val="single" w:sz="4" w:space="0" w:color="A6A6A6" w:themeColor="accent5"/>
              <w:right w:val="nil"/>
            </w:tcBorders>
          </w:tcPr>
          <w:p w14:paraId="376010BB" w14:textId="0D3029B8" w:rsidR="00AC3C57" w:rsidRPr="005845EC" w:rsidRDefault="00FA4382" w:rsidP="00A940AB">
            <w:pPr>
              <w:pStyle w:val="ARtabletextbold"/>
            </w:pPr>
            <w:r w:rsidRPr="00B55528">
              <w:rPr>
                <w:bCs/>
              </w:rPr>
              <w:t>Independent Review Panel member</w:t>
            </w:r>
          </w:p>
        </w:tc>
        <w:tc>
          <w:tcPr>
            <w:tcW w:w="1649" w:type="pct"/>
            <w:tcBorders>
              <w:top w:val="single" w:sz="4" w:space="0" w:color="A6A6A6" w:themeColor="accent5"/>
              <w:bottom w:val="single" w:sz="4" w:space="0" w:color="A6A6A6" w:themeColor="accent5"/>
            </w:tcBorders>
            <w:shd w:val="clear" w:color="auto" w:fill="E7E6E6" w:themeFill="background2"/>
            <w:tcMar>
              <w:left w:w="113" w:type="dxa"/>
            </w:tcMar>
          </w:tcPr>
          <w:p w14:paraId="7B6EADF9" w14:textId="77777777" w:rsidR="00AC3C57" w:rsidRPr="00331504" w:rsidRDefault="00AC3C57">
            <w:pPr>
              <w:pStyle w:val="ARtabletext"/>
              <w:spacing w:line="220" w:lineRule="atLeast"/>
            </w:pPr>
            <w:r w:rsidDel="00117034">
              <w:rPr>
                <w:color w:val="000000"/>
              </w:rPr>
              <w:t xml:space="preserve">Alternative </w:t>
            </w:r>
            <w:r>
              <w:rPr>
                <w:color w:val="000000"/>
              </w:rPr>
              <w:t>s</w:t>
            </w:r>
            <w:r w:rsidDel="00117034">
              <w:rPr>
                <w:color w:val="000000"/>
              </w:rPr>
              <w:t xml:space="preserve">ervice </w:t>
            </w:r>
            <w:r>
              <w:rPr>
                <w:color w:val="000000"/>
              </w:rPr>
              <w:t>m</w:t>
            </w:r>
            <w:r w:rsidDel="00117034">
              <w:rPr>
                <w:color w:val="000000"/>
              </w:rPr>
              <w:t xml:space="preserve">odel </w:t>
            </w:r>
            <w:r>
              <w:rPr>
                <w:color w:val="000000"/>
              </w:rPr>
              <w:t>–</w:t>
            </w:r>
            <w:r w:rsidDel="00117034">
              <w:rPr>
                <w:color w:val="000000"/>
              </w:rPr>
              <w:t xml:space="preserve"> Independent Review Panel engagement</w:t>
            </w:r>
          </w:p>
        </w:tc>
        <w:tc>
          <w:tcPr>
            <w:tcW w:w="810" w:type="pct"/>
            <w:tcBorders>
              <w:top w:val="single" w:sz="4" w:space="0" w:color="A6A6A6" w:themeColor="accent5"/>
              <w:bottom w:val="single" w:sz="4" w:space="0" w:color="A6A6A6" w:themeColor="accent5"/>
            </w:tcBorders>
          </w:tcPr>
          <w:p w14:paraId="601513B4" w14:textId="77777777" w:rsidR="00AC3C57" w:rsidRDefault="00AC3C57">
            <w:pPr>
              <w:pStyle w:val="ARtabletextright"/>
            </w:pPr>
            <w:r w:rsidRPr="00ED5A1D" w:rsidDel="00117034">
              <w:t>$90,909</w:t>
            </w:r>
          </w:p>
        </w:tc>
        <w:tc>
          <w:tcPr>
            <w:tcW w:w="809" w:type="pct"/>
            <w:tcBorders>
              <w:top w:val="single" w:sz="4" w:space="0" w:color="A6A6A6" w:themeColor="accent5"/>
              <w:bottom w:val="single" w:sz="4" w:space="0" w:color="A6A6A6" w:themeColor="accent5"/>
            </w:tcBorders>
            <w:shd w:val="clear" w:color="auto" w:fill="E7E6E6" w:themeFill="background2"/>
          </w:tcPr>
          <w:p w14:paraId="23A1D01C" w14:textId="77777777" w:rsidR="00AC3C57" w:rsidRDefault="00AC3C57">
            <w:pPr>
              <w:pStyle w:val="ARtabletextright"/>
            </w:pPr>
            <w:r w:rsidRPr="00DA6057" w:rsidDel="00117034">
              <w:t>$14,000</w:t>
            </w:r>
          </w:p>
        </w:tc>
        <w:tc>
          <w:tcPr>
            <w:tcW w:w="732" w:type="pct"/>
            <w:tcBorders>
              <w:top w:val="single" w:sz="4" w:space="0" w:color="A6A6A6" w:themeColor="accent5"/>
              <w:bottom w:val="single" w:sz="4" w:space="0" w:color="A6A6A6" w:themeColor="accent5"/>
            </w:tcBorders>
          </w:tcPr>
          <w:p w14:paraId="11B99558" w14:textId="5C675D19" w:rsidR="00AC3C57" w:rsidRDefault="005C1105">
            <w:pPr>
              <w:pStyle w:val="ARtabletextright"/>
            </w:pPr>
            <w:r>
              <w:t>–</w:t>
            </w:r>
          </w:p>
        </w:tc>
      </w:tr>
      <w:tr w:rsidR="00AC3C57" w:rsidRPr="00F4452B" w14:paraId="795BC87E" w14:textId="77777777" w:rsidTr="00A940AB">
        <w:trPr>
          <w:cnfStyle w:val="010000000000" w:firstRow="0" w:lastRow="1" w:firstColumn="0" w:lastColumn="0" w:oddVBand="0" w:evenVBand="0" w:oddHBand="0" w:evenHBand="0" w:firstRowFirstColumn="0" w:firstRowLastColumn="0" w:lastRowFirstColumn="0" w:lastRowLastColumn="0"/>
          <w:trHeight w:val="300"/>
        </w:trPr>
        <w:tc>
          <w:tcPr>
            <w:tcW w:w="1000" w:type="pct"/>
            <w:tcBorders>
              <w:top w:val="single" w:sz="4" w:space="0" w:color="A6A6A6" w:themeColor="accent5"/>
              <w:left w:val="nil"/>
              <w:bottom w:val="single" w:sz="4" w:space="0" w:color="auto"/>
              <w:right w:val="nil"/>
            </w:tcBorders>
          </w:tcPr>
          <w:p w14:paraId="678071F5" w14:textId="0BBD38CF" w:rsidR="00AC3C57" w:rsidRPr="005845EC" w:rsidRDefault="00FA4382" w:rsidP="00A940AB">
            <w:pPr>
              <w:pStyle w:val="ARtabletextbold"/>
            </w:pPr>
            <w:r w:rsidRPr="00B55528">
              <w:rPr>
                <w:bCs/>
              </w:rPr>
              <w:t>Independent Review Panel member</w:t>
            </w:r>
          </w:p>
        </w:tc>
        <w:tc>
          <w:tcPr>
            <w:tcW w:w="1649" w:type="pct"/>
            <w:tcBorders>
              <w:top w:val="single" w:sz="4" w:space="0" w:color="A6A6A6" w:themeColor="accent5"/>
            </w:tcBorders>
            <w:shd w:val="clear" w:color="auto" w:fill="E7E6E6" w:themeFill="background2"/>
            <w:tcMar>
              <w:left w:w="113" w:type="dxa"/>
            </w:tcMar>
          </w:tcPr>
          <w:p w14:paraId="45A0BD9D" w14:textId="3DFDD512" w:rsidR="00AC3C57" w:rsidRDefault="00AC3C57">
            <w:pPr>
              <w:pStyle w:val="ARtabletext"/>
              <w:spacing w:line="220" w:lineRule="atLeast"/>
              <w:rPr>
                <w:color w:val="000000"/>
              </w:rPr>
            </w:pPr>
            <w:r w:rsidDel="00117034">
              <w:rPr>
                <w:color w:val="000000"/>
              </w:rPr>
              <w:t>Alternative</w:t>
            </w:r>
            <w:r>
              <w:rPr>
                <w:color w:val="000000"/>
              </w:rPr>
              <w:t xml:space="preserve"> s</w:t>
            </w:r>
            <w:r w:rsidDel="00117034">
              <w:rPr>
                <w:color w:val="000000"/>
              </w:rPr>
              <w:t xml:space="preserve">ervice </w:t>
            </w:r>
            <w:r>
              <w:rPr>
                <w:color w:val="000000"/>
              </w:rPr>
              <w:t>m</w:t>
            </w:r>
            <w:r w:rsidDel="00117034">
              <w:rPr>
                <w:color w:val="000000"/>
              </w:rPr>
              <w:t xml:space="preserve">odel </w:t>
            </w:r>
            <w:r>
              <w:rPr>
                <w:color w:val="000000"/>
              </w:rPr>
              <w:t>–</w:t>
            </w:r>
            <w:r w:rsidDel="00117034">
              <w:rPr>
                <w:color w:val="000000"/>
              </w:rPr>
              <w:t xml:space="preserve"> Independent Review Panel</w:t>
            </w:r>
            <w:r w:rsidR="00CE403C">
              <w:rPr>
                <w:color w:val="000000"/>
              </w:rPr>
              <w:t> </w:t>
            </w:r>
            <w:r w:rsidDel="00117034">
              <w:rPr>
                <w:color w:val="000000"/>
              </w:rPr>
              <w:t>engagement</w:t>
            </w:r>
          </w:p>
        </w:tc>
        <w:tc>
          <w:tcPr>
            <w:tcW w:w="810" w:type="pct"/>
            <w:tcBorders>
              <w:top w:val="single" w:sz="4" w:space="0" w:color="A6A6A6" w:themeColor="accent5"/>
            </w:tcBorders>
          </w:tcPr>
          <w:p w14:paraId="4297024E" w14:textId="77777777" w:rsidR="00AC3C57" w:rsidRPr="00ED5A1D" w:rsidRDefault="00AC3C57">
            <w:pPr>
              <w:pStyle w:val="ARtabletextright"/>
            </w:pPr>
            <w:r w:rsidRPr="00ED5A1D" w:rsidDel="00117034">
              <w:t>$90,909</w:t>
            </w:r>
          </w:p>
        </w:tc>
        <w:tc>
          <w:tcPr>
            <w:tcW w:w="809" w:type="pct"/>
            <w:tcBorders>
              <w:top w:val="single" w:sz="4" w:space="0" w:color="A6A6A6" w:themeColor="accent5"/>
            </w:tcBorders>
            <w:shd w:val="clear" w:color="auto" w:fill="E7E6E6" w:themeFill="background2"/>
          </w:tcPr>
          <w:p w14:paraId="3640551C" w14:textId="77777777" w:rsidR="00AC3C57" w:rsidRPr="00DA6057" w:rsidRDefault="00AC3C57">
            <w:pPr>
              <w:pStyle w:val="ARtabletextright"/>
            </w:pPr>
            <w:r w:rsidRPr="00DA6057" w:rsidDel="00117034">
              <w:t>$14,000</w:t>
            </w:r>
          </w:p>
        </w:tc>
        <w:tc>
          <w:tcPr>
            <w:tcW w:w="732" w:type="pct"/>
            <w:tcBorders>
              <w:top w:val="single" w:sz="4" w:space="0" w:color="A6A6A6" w:themeColor="accent5"/>
            </w:tcBorders>
          </w:tcPr>
          <w:p w14:paraId="5D0DE6CA" w14:textId="270E471B" w:rsidR="00AC3C57" w:rsidRDefault="005C1105">
            <w:pPr>
              <w:pStyle w:val="ARtabletextright"/>
            </w:pPr>
            <w:r>
              <w:t>–</w:t>
            </w:r>
          </w:p>
        </w:tc>
      </w:tr>
    </w:tbl>
    <w:p w14:paraId="5127864E" w14:textId="77777777" w:rsidR="00AC3C57" w:rsidRPr="00A940AB" w:rsidRDefault="00AC3C57" w:rsidP="006B2F85">
      <w:pPr>
        <w:pStyle w:val="Heading3"/>
        <w:rPr>
          <w:highlight w:val="yellow"/>
        </w:rPr>
      </w:pPr>
      <w:bookmarkStart w:id="177" w:name="_Details_of_consultancies"/>
      <w:bookmarkEnd w:id="173"/>
      <w:bookmarkEnd w:id="176"/>
      <w:bookmarkEnd w:id="177"/>
      <w:r>
        <w:t>Details of consultancies (</w:t>
      </w:r>
      <w:r w:rsidRPr="006B2F85">
        <w:t>value</w:t>
      </w:r>
      <w:r>
        <w:t xml:space="preserve"> under $10,000)</w:t>
      </w:r>
    </w:p>
    <w:p w14:paraId="745833FA" w14:textId="77777777" w:rsidR="00AC3C57" w:rsidRDefault="00AC3C57">
      <w:pPr>
        <w:pStyle w:val="ARbody"/>
        <w:sectPr w:rsidR="00AC3C57" w:rsidSect="007F43B1">
          <w:headerReference w:type="even" r:id="rId100"/>
          <w:headerReference w:type="default" r:id="rId101"/>
          <w:footerReference w:type="even" r:id="rId102"/>
          <w:headerReference w:type="first" r:id="rId103"/>
          <w:footerReference w:type="first" r:id="rId104"/>
          <w:endnotePr>
            <w:numFmt w:val="decimal"/>
          </w:endnotePr>
          <w:pgSz w:w="11900" w:h="16840" w:code="9"/>
          <w:pgMar w:top="1588" w:right="1134" w:bottom="851" w:left="1134" w:header="510" w:footer="340" w:gutter="0"/>
          <w:cols w:space="454"/>
        </w:sectPr>
      </w:pPr>
      <w:r w:rsidRPr="00F4452B">
        <w:t>In 202</w:t>
      </w:r>
      <w:r>
        <w:t>4</w:t>
      </w:r>
      <w:r w:rsidRPr="00F4452B">
        <w:t>–2</w:t>
      </w:r>
      <w:r>
        <w:t>5</w:t>
      </w:r>
      <w:r w:rsidRPr="00F4452B">
        <w:t xml:space="preserve">, </w:t>
      </w:r>
      <w:r>
        <w:t>the department engaged</w:t>
      </w:r>
      <w:r w:rsidRPr="00F4452B">
        <w:t xml:space="preserve"> </w:t>
      </w:r>
      <w:r>
        <w:t xml:space="preserve">8 </w:t>
      </w:r>
      <w:r w:rsidRPr="00F4452B">
        <w:t>consultancies</w:t>
      </w:r>
      <w:r w:rsidRPr="00F4452B">
        <w:rPr>
          <w:color w:val="FF0000"/>
        </w:rPr>
        <w:t xml:space="preserve"> </w:t>
      </w:r>
      <w:r>
        <w:t>valued at</w:t>
      </w:r>
      <w:r w:rsidRPr="00F4452B">
        <w:t xml:space="preserve"> less than $10,000. </w:t>
      </w:r>
      <w:r>
        <w:t>The department spent</w:t>
      </w:r>
      <w:r w:rsidRPr="00F4452B">
        <w:t xml:space="preserve"> $</w:t>
      </w:r>
      <w:r>
        <w:t>47</w:t>
      </w:r>
      <w:r w:rsidRPr="00F4452B">
        <w:t>,</w:t>
      </w:r>
      <w:r>
        <w:t>296</w:t>
      </w:r>
      <w:r w:rsidRPr="00F4452B">
        <w:t xml:space="preserve"> (excluding GST)</w:t>
      </w:r>
      <w:r>
        <w:t xml:space="preserve"> on these consultancies</w:t>
      </w:r>
      <w:r w:rsidRPr="00F4452B">
        <w:t>.</w:t>
      </w:r>
    </w:p>
    <w:p w14:paraId="76CEEF42" w14:textId="77777777" w:rsidR="00AC3C57" w:rsidRPr="00066515" w:rsidRDefault="00AC3C57" w:rsidP="00A940AB">
      <w:pPr>
        <w:pStyle w:val="Heading2"/>
        <w:spacing w:before="0"/>
        <w:rPr>
          <w:rFonts w:cs="Arial"/>
          <w:sz w:val="40"/>
        </w:rPr>
      </w:pPr>
      <w:bookmarkStart w:id="178" w:name="_Review_and_study"/>
      <w:bookmarkStart w:id="179" w:name="_Toc212039540"/>
      <w:bookmarkEnd w:id="178"/>
      <w:r w:rsidRPr="00066515">
        <w:rPr>
          <w:rFonts w:cs="Arial"/>
          <w:sz w:val="40"/>
        </w:rPr>
        <w:lastRenderedPageBreak/>
        <w:t>Review and study expenditure</w:t>
      </w:r>
      <w:bookmarkEnd w:id="179"/>
    </w:p>
    <w:p w14:paraId="7BBDB77A" w14:textId="77777777" w:rsidR="00AC3C57" w:rsidRPr="00D1525E" w:rsidRDefault="00AC3C57" w:rsidP="006B3B85">
      <w:pPr>
        <w:pStyle w:val="ARbody"/>
        <w:rPr>
          <w:szCs w:val="20"/>
        </w:rPr>
      </w:pPr>
      <w:r w:rsidRPr="00D1525E">
        <w:t>During 2024–25, there were 4</w:t>
      </w:r>
      <w:r>
        <w:t>8</w:t>
      </w:r>
      <w:r w:rsidRPr="00D1525E">
        <w:t xml:space="preserve"> reviews and studies undertaken with a total cost of $</w:t>
      </w:r>
      <w:r>
        <w:t>5</w:t>
      </w:r>
      <w:r w:rsidRPr="00D1525E">
        <w:t>,</w:t>
      </w:r>
      <w:r>
        <w:t>062</w:t>
      </w:r>
      <w:r w:rsidRPr="00D1525E">
        <w:t xml:space="preserve">,000. </w:t>
      </w:r>
      <w:r>
        <w:t>Table 10 sets out d</w:t>
      </w:r>
      <w:r w:rsidRPr="00D1525E">
        <w:t>etails of reviews and studies.</w:t>
      </w:r>
      <w:r w:rsidRPr="00D1525E">
        <w:rPr>
          <w:szCs w:val="20"/>
        </w:rPr>
        <w:t xml:space="preserve"> </w:t>
      </w:r>
    </w:p>
    <w:p w14:paraId="3834B0F1" w14:textId="77777777" w:rsidR="00AC3C57" w:rsidRPr="00066515" w:rsidRDefault="00AC3C57" w:rsidP="006B3B85">
      <w:pPr>
        <w:pStyle w:val="ARtablecaption"/>
      </w:pPr>
      <w:r w:rsidRPr="00D1525E">
        <w:t>Table 1</w:t>
      </w:r>
      <w:r>
        <w:t>0</w:t>
      </w:r>
      <w:r w:rsidRPr="00D1525E">
        <w:t>: Review and study expenditure</w:t>
      </w:r>
    </w:p>
    <w:tbl>
      <w:tblPr>
        <w:tblStyle w:val="TableGrid"/>
        <w:tblW w:w="5000" w:type="pct"/>
        <w:tblBorders>
          <w:bottom w:val="single" w:sz="4" w:space="0" w:color="000000" w:themeColor="text1"/>
        </w:tblBorders>
        <w:tblLayout w:type="fixed"/>
        <w:tblLook w:val="04E0" w:firstRow="1" w:lastRow="1" w:firstColumn="1" w:lastColumn="0" w:noHBand="0" w:noVBand="1"/>
      </w:tblPr>
      <w:tblGrid>
        <w:gridCol w:w="1845"/>
        <w:gridCol w:w="2692"/>
        <w:gridCol w:w="2693"/>
        <w:gridCol w:w="2693"/>
        <w:gridCol w:w="1293"/>
        <w:gridCol w:w="1293"/>
        <w:gridCol w:w="2063"/>
      </w:tblGrid>
      <w:tr w:rsidR="00737EC8" w:rsidRPr="00066515" w14:paraId="30DF9A94" w14:textId="77777777" w:rsidTr="0008394E">
        <w:trPr>
          <w:cnfStyle w:val="100000000000" w:firstRow="1" w:lastRow="0" w:firstColumn="0" w:lastColumn="0" w:oddVBand="0" w:evenVBand="0" w:oddHBand="0" w:evenHBand="0" w:firstRowFirstColumn="0" w:firstRowLastColumn="0" w:lastRowFirstColumn="0" w:lastRowLastColumn="0"/>
          <w:tblHeader/>
        </w:trPr>
        <w:tc>
          <w:tcPr>
            <w:tcW w:w="1845" w:type="dxa"/>
            <w:tcBorders>
              <w:top w:val="nil"/>
            </w:tcBorders>
            <w:hideMark/>
          </w:tcPr>
          <w:p w14:paraId="5874DD80" w14:textId="77777777" w:rsidR="00AC3C57" w:rsidRPr="00066515" w:rsidRDefault="00AC3C57" w:rsidP="0081090F">
            <w:pPr>
              <w:pStyle w:val="ARtablecolhead"/>
            </w:pPr>
            <w:r w:rsidRPr="00066515">
              <w:t>Name of the review (portfolio(s) and output(s)/agency responsible)</w:t>
            </w:r>
          </w:p>
        </w:tc>
        <w:tc>
          <w:tcPr>
            <w:tcW w:w="2692" w:type="dxa"/>
            <w:tcBorders>
              <w:top w:val="nil"/>
            </w:tcBorders>
            <w:shd w:val="clear" w:color="auto" w:fill="E7E6E6" w:themeFill="background2"/>
            <w:tcMar>
              <w:left w:w="113" w:type="dxa"/>
            </w:tcMar>
            <w:hideMark/>
          </w:tcPr>
          <w:p w14:paraId="16624A13" w14:textId="77777777" w:rsidR="00AC3C57" w:rsidRPr="00066515" w:rsidRDefault="00AC3C57">
            <w:pPr>
              <w:pStyle w:val="ARtablecolhead"/>
            </w:pPr>
            <w:r w:rsidRPr="00066515">
              <w:t>Reasons for review/study</w:t>
            </w:r>
          </w:p>
        </w:tc>
        <w:tc>
          <w:tcPr>
            <w:tcW w:w="2693" w:type="dxa"/>
            <w:tcBorders>
              <w:top w:val="nil"/>
            </w:tcBorders>
            <w:tcMar>
              <w:left w:w="113" w:type="dxa"/>
            </w:tcMar>
            <w:hideMark/>
          </w:tcPr>
          <w:p w14:paraId="53C074D2" w14:textId="77777777" w:rsidR="00AC3C57" w:rsidRPr="00066515" w:rsidRDefault="00AC3C57">
            <w:pPr>
              <w:pStyle w:val="ARtablecolhead"/>
            </w:pPr>
            <w:r w:rsidRPr="00066515">
              <w:t>Terms of reference/scope</w:t>
            </w:r>
          </w:p>
        </w:tc>
        <w:tc>
          <w:tcPr>
            <w:tcW w:w="2693" w:type="dxa"/>
            <w:tcBorders>
              <w:top w:val="nil"/>
            </w:tcBorders>
            <w:shd w:val="clear" w:color="auto" w:fill="E7E6E6" w:themeFill="background2"/>
            <w:tcMar>
              <w:left w:w="113" w:type="dxa"/>
            </w:tcMar>
            <w:hideMark/>
          </w:tcPr>
          <w:p w14:paraId="194E85CA" w14:textId="77777777" w:rsidR="00AC3C57" w:rsidRPr="00066515" w:rsidRDefault="00AC3C57">
            <w:pPr>
              <w:pStyle w:val="ARtablecolhead"/>
            </w:pPr>
            <w:r w:rsidRPr="00066515">
              <w:t>Anticipated outcomes</w:t>
            </w:r>
          </w:p>
        </w:tc>
        <w:tc>
          <w:tcPr>
            <w:tcW w:w="1293" w:type="dxa"/>
            <w:tcBorders>
              <w:top w:val="nil"/>
            </w:tcBorders>
            <w:tcMar>
              <w:left w:w="113" w:type="dxa"/>
            </w:tcMar>
            <w:hideMark/>
          </w:tcPr>
          <w:p w14:paraId="746F66A1" w14:textId="77777777" w:rsidR="00AC3C57" w:rsidRPr="00066515" w:rsidRDefault="00AC3C57" w:rsidP="0081090F">
            <w:pPr>
              <w:pStyle w:val="ARtablecolheadright"/>
            </w:pPr>
            <w:r w:rsidRPr="00066515">
              <w:t>Estimated cost for the year (excl. GST) $ thousand</w:t>
            </w:r>
          </w:p>
        </w:tc>
        <w:tc>
          <w:tcPr>
            <w:tcW w:w="1293" w:type="dxa"/>
            <w:tcBorders>
              <w:top w:val="nil"/>
            </w:tcBorders>
            <w:shd w:val="clear" w:color="auto" w:fill="E7E6E6" w:themeFill="background2"/>
            <w:tcMar>
              <w:left w:w="113" w:type="dxa"/>
            </w:tcMar>
            <w:hideMark/>
          </w:tcPr>
          <w:p w14:paraId="70C11CEE" w14:textId="77777777" w:rsidR="00AC3C57" w:rsidRPr="00066515" w:rsidRDefault="00AC3C57" w:rsidP="0081090F">
            <w:pPr>
              <w:pStyle w:val="ARtablecolheadright"/>
            </w:pPr>
            <w:r w:rsidRPr="00066515">
              <w:t>Final cost if completed (excl. GST) $ thousand</w:t>
            </w:r>
          </w:p>
        </w:tc>
        <w:tc>
          <w:tcPr>
            <w:tcW w:w="2063" w:type="dxa"/>
            <w:tcBorders>
              <w:top w:val="nil"/>
            </w:tcBorders>
            <w:tcMar>
              <w:left w:w="113" w:type="dxa"/>
            </w:tcMar>
            <w:hideMark/>
          </w:tcPr>
          <w:p w14:paraId="3B7FCCC6" w14:textId="77777777" w:rsidR="00AC3C57" w:rsidRPr="00066515" w:rsidRDefault="00AC3C57" w:rsidP="0081090F">
            <w:pPr>
              <w:pStyle w:val="ARtablecolhead"/>
            </w:pPr>
            <w:r w:rsidRPr="00066515">
              <w:t>Publicly available (Y/N) and URL</w:t>
            </w:r>
          </w:p>
        </w:tc>
      </w:tr>
      <w:tr w:rsidR="0081090F" w:rsidRPr="00066515" w14:paraId="49707BC0" w14:textId="77777777" w:rsidTr="0008394E">
        <w:tc>
          <w:tcPr>
            <w:tcW w:w="1845" w:type="dxa"/>
            <w:tcBorders>
              <w:top w:val="single" w:sz="4" w:space="0" w:color="000000" w:themeColor="text1"/>
              <w:bottom w:val="single" w:sz="4" w:space="0" w:color="A6A6A6" w:themeColor="accent5"/>
            </w:tcBorders>
            <w:hideMark/>
          </w:tcPr>
          <w:p w14:paraId="0D39E0A8" w14:textId="77777777" w:rsidR="00AC3C57" w:rsidRPr="00066515" w:rsidRDefault="00AC3C57" w:rsidP="0081090F">
            <w:pPr>
              <w:pStyle w:val="ARtabletextbold"/>
            </w:pPr>
            <w:r w:rsidRPr="00066515">
              <w:t>CIMS review</w:t>
            </w:r>
          </w:p>
        </w:tc>
        <w:tc>
          <w:tcPr>
            <w:tcW w:w="2692" w:type="dxa"/>
            <w:tcBorders>
              <w:top w:val="single" w:sz="4" w:space="0" w:color="000000" w:themeColor="text1"/>
              <w:bottom w:val="single" w:sz="4" w:space="0" w:color="A6A6A6" w:themeColor="accent5"/>
            </w:tcBorders>
            <w:shd w:val="clear" w:color="auto" w:fill="E7E6E6" w:themeFill="background2"/>
            <w:tcMar>
              <w:left w:w="113" w:type="dxa"/>
            </w:tcMar>
            <w:hideMark/>
          </w:tcPr>
          <w:p w14:paraId="006C4C0D" w14:textId="77777777" w:rsidR="00AC3C57" w:rsidRPr="00066515" w:rsidRDefault="00AC3C57">
            <w:pPr>
              <w:pStyle w:val="ARtabletext"/>
            </w:pPr>
            <w:r w:rsidRPr="00066515">
              <w:t>To improve quality and safety of services for service users</w:t>
            </w:r>
          </w:p>
        </w:tc>
        <w:tc>
          <w:tcPr>
            <w:tcW w:w="2693" w:type="dxa"/>
            <w:tcBorders>
              <w:top w:val="single" w:sz="4" w:space="0" w:color="000000" w:themeColor="text1"/>
              <w:bottom w:val="single" w:sz="4" w:space="0" w:color="A6A6A6" w:themeColor="accent5"/>
            </w:tcBorders>
            <w:tcMar>
              <w:left w:w="113" w:type="dxa"/>
            </w:tcMar>
            <w:hideMark/>
          </w:tcPr>
          <w:p w14:paraId="55AE38FB" w14:textId="17AAB7CD" w:rsidR="00AC3C57" w:rsidRPr="00066515" w:rsidRDefault="00AC3C57">
            <w:pPr>
              <w:pStyle w:val="ARtabletext"/>
            </w:pPr>
            <w:r w:rsidRPr="00066515">
              <w:t>Review of CIMS policy, implementation, oversight and learning, and the IT</w:t>
            </w:r>
            <w:r w:rsidR="00A940AB">
              <w:t> </w:t>
            </w:r>
            <w:r w:rsidRPr="00066515">
              <w:t>platform</w:t>
            </w:r>
          </w:p>
        </w:tc>
        <w:tc>
          <w:tcPr>
            <w:tcW w:w="2693" w:type="dxa"/>
            <w:tcBorders>
              <w:top w:val="single" w:sz="4" w:space="0" w:color="000000" w:themeColor="text1"/>
              <w:bottom w:val="single" w:sz="4" w:space="0" w:color="A6A6A6" w:themeColor="accent5"/>
            </w:tcBorders>
            <w:shd w:val="clear" w:color="auto" w:fill="E7E6E6" w:themeFill="background2"/>
            <w:tcMar>
              <w:left w:w="113" w:type="dxa"/>
            </w:tcMar>
            <w:hideMark/>
          </w:tcPr>
          <w:p w14:paraId="17CCE01C" w14:textId="77777777" w:rsidR="00AC3C57" w:rsidRPr="00066515" w:rsidRDefault="00AC3C57">
            <w:pPr>
              <w:pStyle w:val="ARtabletext"/>
            </w:pPr>
            <w:r w:rsidRPr="00066515">
              <w:t>Streamlined processes that make the best use of department and sector resources</w:t>
            </w:r>
          </w:p>
        </w:tc>
        <w:tc>
          <w:tcPr>
            <w:tcW w:w="1293" w:type="dxa"/>
            <w:tcBorders>
              <w:top w:val="single" w:sz="4" w:space="0" w:color="000000" w:themeColor="text1"/>
              <w:bottom w:val="single" w:sz="4" w:space="0" w:color="A6A6A6" w:themeColor="accent5"/>
            </w:tcBorders>
            <w:tcMar>
              <w:left w:w="113" w:type="dxa"/>
            </w:tcMar>
            <w:hideMark/>
          </w:tcPr>
          <w:p w14:paraId="29BE58D5" w14:textId="77777777" w:rsidR="00AC3C57" w:rsidRPr="00066515" w:rsidRDefault="00AC3C57" w:rsidP="0081090F">
            <w:pPr>
              <w:pStyle w:val="ARtabletextright"/>
            </w:pPr>
            <w:r w:rsidRPr="00066515">
              <w:t>359</w:t>
            </w:r>
          </w:p>
        </w:tc>
        <w:tc>
          <w:tcPr>
            <w:tcW w:w="1293" w:type="dxa"/>
            <w:tcBorders>
              <w:top w:val="single" w:sz="4" w:space="0" w:color="000000" w:themeColor="text1"/>
              <w:bottom w:val="single" w:sz="4" w:space="0" w:color="A6A6A6" w:themeColor="accent5"/>
            </w:tcBorders>
            <w:shd w:val="clear" w:color="auto" w:fill="E7E6E6" w:themeFill="background2"/>
            <w:tcMar>
              <w:left w:w="113" w:type="dxa"/>
            </w:tcMar>
            <w:hideMark/>
          </w:tcPr>
          <w:p w14:paraId="0662A1DF" w14:textId="77777777" w:rsidR="00AC3C57" w:rsidRPr="00066515" w:rsidRDefault="00AC3C57" w:rsidP="0081090F">
            <w:pPr>
              <w:pStyle w:val="ARtabletextright"/>
            </w:pPr>
            <w:r w:rsidRPr="008F0C2D">
              <w:t>1</w:t>
            </w:r>
            <w:r>
              <w:t>,</w:t>
            </w:r>
            <w:r w:rsidRPr="008F0C2D">
              <w:t>200</w:t>
            </w:r>
          </w:p>
        </w:tc>
        <w:tc>
          <w:tcPr>
            <w:tcW w:w="2063" w:type="dxa"/>
            <w:tcBorders>
              <w:top w:val="single" w:sz="4" w:space="0" w:color="000000" w:themeColor="text1"/>
              <w:bottom w:val="single" w:sz="4" w:space="0" w:color="A6A6A6" w:themeColor="accent5"/>
            </w:tcBorders>
            <w:tcMar>
              <w:left w:w="113" w:type="dxa"/>
            </w:tcMar>
            <w:hideMark/>
          </w:tcPr>
          <w:p w14:paraId="067A8C6D" w14:textId="77777777" w:rsidR="009F36DE" w:rsidRDefault="00AC3C57" w:rsidP="009A471D">
            <w:pPr>
              <w:pStyle w:val="ARtabletext"/>
            </w:pPr>
            <w:r w:rsidRPr="00066515">
              <w:t xml:space="preserve">Y </w:t>
            </w:r>
          </w:p>
          <w:p w14:paraId="10E8AE39" w14:textId="45044FFC" w:rsidR="00AC3C57" w:rsidRPr="00066515" w:rsidRDefault="009F36DE" w:rsidP="009A471D">
            <w:pPr>
              <w:pStyle w:val="ARtabletext"/>
            </w:pPr>
            <w:hyperlink r:id="rId105" w:history="1">
              <w:r w:rsidRPr="009F36DE">
                <w:rPr>
                  <w:rStyle w:val="Hyperlink"/>
                </w:rPr>
                <w:t>CIMS policy</w:t>
              </w:r>
            </w:hyperlink>
            <w:r>
              <w:rPr>
                <w:rStyle w:val="FootnoteReference"/>
              </w:rPr>
              <w:footnoteReference w:id="20"/>
            </w:r>
          </w:p>
        </w:tc>
      </w:tr>
      <w:tr w:rsidR="0081090F" w:rsidRPr="00066515" w14:paraId="30DC1745" w14:textId="77777777" w:rsidTr="0008394E">
        <w:tc>
          <w:tcPr>
            <w:tcW w:w="1845" w:type="dxa"/>
            <w:tcBorders>
              <w:top w:val="single" w:sz="4" w:space="0" w:color="A6A6A6" w:themeColor="accent5"/>
              <w:bottom w:val="single" w:sz="4" w:space="0" w:color="A6A6A6" w:themeColor="accent5"/>
            </w:tcBorders>
            <w:hideMark/>
          </w:tcPr>
          <w:p w14:paraId="7B4853AE" w14:textId="015B4822" w:rsidR="00AC3C57" w:rsidRPr="00066515" w:rsidRDefault="00AC3C57" w:rsidP="0081090F">
            <w:pPr>
              <w:pStyle w:val="ARtabletextbold"/>
            </w:pPr>
            <w:r w:rsidRPr="00066515">
              <w:t>Process evaluation of progress reporting obligations under the Gender Equality</w:t>
            </w:r>
            <w:r w:rsidR="00E512F5">
              <w:t> </w:t>
            </w:r>
            <w:r w:rsidRPr="00066515">
              <w:t>Act</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20BF3FBC" w14:textId="77777777" w:rsidR="00AC3C57" w:rsidRPr="00E06E63" w:rsidRDefault="00AC3C57">
            <w:pPr>
              <w:pStyle w:val="ARtabletext"/>
              <w:rPr>
                <w:rStyle w:val="Emphasis"/>
              </w:rPr>
            </w:pPr>
            <w:r w:rsidRPr="00066515">
              <w:t xml:space="preserve">To support the implementation of the </w:t>
            </w:r>
            <w:r w:rsidRPr="00E06E63">
              <w:rPr>
                <w:rStyle w:val="Emphasis"/>
              </w:rPr>
              <w:t>Gender Equality Act 2020</w:t>
            </w:r>
          </w:p>
        </w:tc>
        <w:tc>
          <w:tcPr>
            <w:tcW w:w="2693" w:type="dxa"/>
            <w:tcBorders>
              <w:top w:val="single" w:sz="4" w:space="0" w:color="A6A6A6" w:themeColor="accent5"/>
              <w:bottom w:val="single" w:sz="4" w:space="0" w:color="A6A6A6" w:themeColor="accent5"/>
            </w:tcBorders>
            <w:tcMar>
              <w:left w:w="113" w:type="dxa"/>
            </w:tcMar>
            <w:hideMark/>
          </w:tcPr>
          <w:p w14:paraId="63FCDD25" w14:textId="77777777" w:rsidR="00AC3C57" w:rsidRPr="00E06E63" w:rsidRDefault="00AC3C57">
            <w:pPr>
              <w:pStyle w:val="ARtabletext"/>
              <w:rPr>
                <w:rStyle w:val="Emphasis"/>
              </w:rPr>
            </w:pPr>
            <w:r w:rsidRPr="00066515">
              <w:t xml:space="preserve">Process evaluation of the first progress reporting cycle under the </w:t>
            </w:r>
            <w:r w:rsidRPr="00E06E63">
              <w:rPr>
                <w:rStyle w:val="Emphasis"/>
              </w:rPr>
              <w:t>Gender Equality Act 2020</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76BCCA13" w14:textId="77777777" w:rsidR="00AC3C57" w:rsidRPr="00066515" w:rsidRDefault="00AC3C57">
            <w:pPr>
              <w:pStyle w:val="ARtabletext"/>
            </w:pPr>
            <w:r w:rsidRPr="00066515">
              <w:t>Improved and more efficient reporting processes and systems, and more effective support and education for defined entities</w:t>
            </w:r>
          </w:p>
        </w:tc>
        <w:tc>
          <w:tcPr>
            <w:tcW w:w="1293" w:type="dxa"/>
            <w:tcBorders>
              <w:top w:val="single" w:sz="4" w:space="0" w:color="A6A6A6" w:themeColor="accent5"/>
              <w:bottom w:val="single" w:sz="4" w:space="0" w:color="A6A6A6" w:themeColor="accent5"/>
            </w:tcBorders>
            <w:tcMar>
              <w:left w:w="113" w:type="dxa"/>
            </w:tcMar>
            <w:hideMark/>
          </w:tcPr>
          <w:p w14:paraId="43A141D9" w14:textId="77777777" w:rsidR="00AC3C57" w:rsidRPr="0093256C" w:rsidRDefault="00AC3C57" w:rsidP="0081090F">
            <w:pPr>
              <w:pStyle w:val="ARtabletextright"/>
              <w:rPr>
                <w:rFonts w:eastAsia="Times New Roman"/>
                <w:color w:val="000000"/>
              </w:rPr>
            </w:pPr>
            <w:r w:rsidRPr="0093256C">
              <w:rPr>
                <w:rFonts w:eastAsia="Times New Roman"/>
                <w:color w:val="000000"/>
              </w:rPr>
              <w:t>0</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C6800EB" w14:textId="77777777" w:rsidR="00AC3C57" w:rsidRPr="00066515" w:rsidRDefault="00AC3C57" w:rsidP="0081090F">
            <w:pPr>
              <w:pStyle w:val="ARtabletextright"/>
              <w:rPr>
                <w:rFonts w:eastAsia="Times New Roman"/>
                <w:color w:val="000000"/>
              </w:rPr>
            </w:pPr>
            <w:r w:rsidRPr="00066515">
              <w:rPr>
                <w:rFonts w:eastAsia="Times New Roman"/>
                <w:color w:val="000000"/>
              </w:rPr>
              <w:t>47</w:t>
            </w:r>
          </w:p>
        </w:tc>
        <w:tc>
          <w:tcPr>
            <w:tcW w:w="2063" w:type="dxa"/>
            <w:tcBorders>
              <w:top w:val="single" w:sz="4" w:space="0" w:color="A6A6A6" w:themeColor="accent5"/>
              <w:bottom w:val="single" w:sz="4" w:space="0" w:color="A6A6A6" w:themeColor="accent5"/>
            </w:tcBorders>
            <w:tcMar>
              <w:left w:w="113" w:type="dxa"/>
            </w:tcMar>
            <w:hideMark/>
          </w:tcPr>
          <w:p w14:paraId="3C0B6745" w14:textId="77777777" w:rsidR="0081090F" w:rsidRDefault="00AC3C57" w:rsidP="009A471D">
            <w:pPr>
              <w:pStyle w:val="ARtabletext"/>
              <w:rPr>
                <w:rFonts w:eastAsia="Times New Roman"/>
                <w:color w:val="000000"/>
              </w:rPr>
            </w:pPr>
            <w:r w:rsidRPr="00066515">
              <w:rPr>
                <w:rFonts w:eastAsia="Times New Roman"/>
                <w:color w:val="000000"/>
              </w:rPr>
              <w:t>Y</w:t>
            </w:r>
          </w:p>
          <w:p w14:paraId="5CF7FE1A" w14:textId="4A0812C6" w:rsidR="00AC3C57" w:rsidRPr="00066515" w:rsidRDefault="00D96FC9" w:rsidP="00D96FC9">
            <w:pPr>
              <w:pStyle w:val="ARtabletext"/>
              <w:rPr>
                <w:rFonts w:eastAsia="Times New Roman"/>
                <w:color w:val="000000"/>
              </w:rPr>
            </w:pPr>
            <w:hyperlink r:id="rId106" w:history="1">
              <w:r w:rsidRPr="00D96FC9">
                <w:rPr>
                  <w:rStyle w:val="Hyperlink"/>
                  <w:rFonts w:eastAsia="Times New Roman"/>
                </w:rPr>
                <w:t>Gender Equality Commission Independent review of the 2023 reporting process webpage</w:t>
              </w:r>
            </w:hyperlink>
            <w:r w:rsidR="00FD10B2">
              <w:rPr>
                <w:rStyle w:val="FootnoteReference"/>
              </w:rPr>
              <w:footnoteReference w:id="21"/>
            </w:r>
            <w:r>
              <w:rPr>
                <w:rFonts w:eastAsia="Times New Roman"/>
                <w:color w:val="000000"/>
              </w:rPr>
              <w:t xml:space="preserve"> </w:t>
            </w:r>
          </w:p>
        </w:tc>
      </w:tr>
      <w:tr w:rsidR="0081090F" w:rsidRPr="00066515" w14:paraId="51581ED0" w14:textId="77777777" w:rsidTr="0008394E">
        <w:tc>
          <w:tcPr>
            <w:tcW w:w="1845" w:type="dxa"/>
            <w:tcBorders>
              <w:top w:val="single" w:sz="4" w:space="0" w:color="A6A6A6" w:themeColor="accent5"/>
              <w:bottom w:val="single" w:sz="4" w:space="0" w:color="A6A6A6" w:themeColor="accent5"/>
            </w:tcBorders>
            <w:hideMark/>
          </w:tcPr>
          <w:p w14:paraId="06757428" w14:textId="77777777" w:rsidR="00AC3C57" w:rsidRPr="00066515" w:rsidRDefault="00AC3C57" w:rsidP="0081090F">
            <w:pPr>
              <w:pStyle w:val="ARtabletextbold"/>
            </w:pPr>
            <w:r w:rsidRPr="00066515">
              <w:t>CGEPS Targets Pilot Research Funding 2024 (Commission for Gender Equality in the Public Sector)</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62F5DDF3" w14:textId="77777777" w:rsidR="00AC3C57" w:rsidRPr="00066515" w:rsidRDefault="00AC3C57">
            <w:pPr>
              <w:pStyle w:val="ARtabletext"/>
            </w:pPr>
            <w:r w:rsidRPr="00066515">
              <w:t>To improve gender equality outcomes in public sector organisations</w:t>
            </w:r>
          </w:p>
        </w:tc>
        <w:tc>
          <w:tcPr>
            <w:tcW w:w="2693" w:type="dxa"/>
            <w:tcBorders>
              <w:top w:val="single" w:sz="4" w:space="0" w:color="A6A6A6" w:themeColor="accent5"/>
              <w:bottom w:val="single" w:sz="4" w:space="0" w:color="A6A6A6" w:themeColor="accent5"/>
            </w:tcBorders>
            <w:tcMar>
              <w:left w:w="113" w:type="dxa"/>
            </w:tcMar>
            <w:hideMark/>
          </w:tcPr>
          <w:p w14:paraId="0D508EB1" w14:textId="77777777" w:rsidR="00AC3C57" w:rsidRPr="00066515" w:rsidRDefault="00AC3C57">
            <w:pPr>
              <w:pStyle w:val="ARtabletext"/>
            </w:pPr>
            <w:r w:rsidRPr="00066515">
              <w:t xml:space="preserve">Research to determine effective strategies and methods to drive progress towards meeting the 3 gender equality targets from </w:t>
            </w:r>
            <w:r w:rsidRPr="00E06E63">
              <w:rPr>
                <w:rStyle w:val="Emphasis"/>
              </w:rPr>
              <w:t xml:space="preserve">Our equal state </w:t>
            </w:r>
            <w:r w:rsidRPr="00066515">
              <w:t>(action 94, action 96 and action 97) within public sector organisations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667EE6DA" w14:textId="77777777" w:rsidR="00AC3C57" w:rsidRPr="00E06E63" w:rsidRDefault="00AC3C57">
            <w:pPr>
              <w:pStyle w:val="ARtabletext"/>
              <w:rPr>
                <w:rStyle w:val="Emphasis"/>
              </w:rPr>
            </w:pPr>
            <w:r w:rsidRPr="00066515">
              <w:t xml:space="preserve">Evidence to support public sector organisations to improve gender equality outcomes in their workplaces, to meet the goals of </w:t>
            </w:r>
            <w:r w:rsidRPr="00E06E63">
              <w:rPr>
                <w:rStyle w:val="Emphasis"/>
              </w:rPr>
              <w:t xml:space="preserve">Our equal state </w:t>
            </w:r>
            <w:r w:rsidRPr="00066515">
              <w:t xml:space="preserve">and legislative obligations under the </w:t>
            </w:r>
            <w:r w:rsidRPr="00E06E63">
              <w:rPr>
                <w:rStyle w:val="Emphasis"/>
              </w:rPr>
              <w:t>Gender Equality Act 2020</w:t>
            </w:r>
          </w:p>
        </w:tc>
        <w:tc>
          <w:tcPr>
            <w:tcW w:w="1293" w:type="dxa"/>
            <w:tcBorders>
              <w:top w:val="single" w:sz="4" w:space="0" w:color="A6A6A6" w:themeColor="accent5"/>
              <w:bottom w:val="single" w:sz="4" w:space="0" w:color="A6A6A6" w:themeColor="accent5"/>
            </w:tcBorders>
            <w:tcMar>
              <w:left w:w="113" w:type="dxa"/>
            </w:tcMar>
            <w:hideMark/>
          </w:tcPr>
          <w:p w14:paraId="2D6B2F22" w14:textId="77777777" w:rsidR="00AC3C57" w:rsidRPr="0093256C" w:rsidRDefault="00AC3C57" w:rsidP="0081090F">
            <w:pPr>
              <w:pStyle w:val="ARtabletextright"/>
              <w:rPr>
                <w:rFonts w:eastAsia="Times New Roman"/>
                <w:color w:val="000000"/>
              </w:rPr>
            </w:pPr>
            <w:r w:rsidRPr="0093256C">
              <w:rPr>
                <w:rFonts w:eastAsia="Times New Roman"/>
                <w:color w:val="000000"/>
              </w:rPr>
              <w:t>0</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03FC0173" w14:textId="77777777" w:rsidR="00AC3C57" w:rsidRPr="00066515" w:rsidRDefault="00AC3C57" w:rsidP="0081090F">
            <w:pPr>
              <w:pStyle w:val="ARtabletextright"/>
              <w:rPr>
                <w:rFonts w:eastAsia="Times New Roman"/>
                <w:color w:val="000000"/>
              </w:rPr>
            </w:pPr>
            <w:r w:rsidRPr="00066515">
              <w:rPr>
                <w:rFonts w:eastAsia="Times New Roman"/>
                <w:color w:val="000000"/>
              </w:rPr>
              <w:t>398</w:t>
            </w:r>
          </w:p>
        </w:tc>
        <w:tc>
          <w:tcPr>
            <w:tcW w:w="2063" w:type="dxa"/>
            <w:tcBorders>
              <w:top w:val="single" w:sz="4" w:space="0" w:color="A6A6A6" w:themeColor="accent5"/>
              <w:bottom w:val="single" w:sz="4" w:space="0" w:color="A6A6A6" w:themeColor="accent5"/>
            </w:tcBorders>
            <w:tcMar>
              <w:left w:w="113" w:type="dxa"/>
            </w:tcMar>
            <w:hideMark/>
          </w:tcPr>
          <w:p w14:paraId="75D040F0"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770F398C" w14:textId="77777777" w:rsidTr="0008394E">
        <w:tc>
          <w:tcPr>
            <w:tcW w:w="1845" w:type="dxa"/>
            <w:tcBorders>
              <w:top w:val="single" w:sz="4" w:space="0" w:color="A6A6A6" w:themeColor="accent5"/>
              <w:bottom w:val="single" w:sz="4" w:space="0" w:color="A6A6A6" w:themeColor="accent5"/>
            </w:tcBorders>
            <w:hideMark/>
          </w:tcPr>
          <w:p w14:paraId="3CA2F37F" w14:textId="77777777" w:rsidR="00AC3C57" w:rsidRPr="00066515" w:rsidRDefault="00AC3C57" w:rsidP="0081090F">
            <w:pPr>
              <w:pStyle w:val="ARtabletextbold"/>
            </w:pPr>
            <w:r w:rsidRPr="00066515">
              <w:rPr>
                <w:color w:val="000000" w:themeColor="text1"/>
              </w:rPr>
              <w:lastRenderedPageBreak/>
              <w:t xml:space="preserve">Better Futures and Home Stretch </w:t>
            </w:r>
            <w:r>
              <w:rPr>
                <w:color w:val="000000" w:themeColor="text1"/>
              </w:rPr>
              <w:t>s</w:t>
            </w:r>
            <w:r w:rsidRPr="00066515">
              <w:rPr>
                <w:color w:val="000000" w:themeColor="text1"/>
              </w:rPr>
              <w:t xml:space="preserve">tage 2 </w:t>
            </w:r>
            <w:r>
              <w:rPr>
                <w:color w:val="000000" w:themeColor="text1"/>
              </w:rPr>
              <w:t>e</w:t>
            </w:r>
            <w:r w:rsidRPr="00066515">
              <w:rPr>
                <w:color w:val="000000" w:themeColor="text1"/>
              </w:rPr>
              <w:t xml:space="preserve">valuation – First Nations </w:t>
            </w:r>
            <w:r>
              <w:rPr>
                <w:color w:val="000000" w:themeColor="text1"/>
              </w:rPr>
              <w:t>e</w:t>
            </w:r>
            <w:r w:rsidRPr="00066515">
              <w:rPr>
                <w:color w:val="000000" w:themeColor="text1"/>
              </w:rPr>
              <w:t xml:space="preserve">xperience </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5264121F" w14:textId="77777777" w:rsidR="00AC3C57" w:rsidRPr="00066515" w:rsidRDefault="00AC3C57">
            <w:pPr>
              <w:pStyle w:val="ARtabletext"/>
            </w:pPr>
            <w:r w:rsidRPr="00066515">
              <w:t>To engage community and providers to document the experience First Nations people are having of the Better Futures and Home Stretch programs</w:t>
            </w:r>
          </w:p>
        </w:tc>
        <w:tc>
          <w:tcPr>
            <w:tcW w:w="2693" w:type="dxa"/>
            <w:tcBorders>
              <w:top w:val="single" w:sz="4" w:space="0" w:color="A6A6A6" w:themeColor="accent5"/>
              <w:bottom w:val="single" w:sz="4" w:space="0" w:color="A6A6A6" w:themeColor="accent5"/>
            </w:tcBorders>
            <w:tcMar>
              <w:left w:w="113" w:type="dxa"/>
            </w:tcMar>
            <w:hideMark/>
          </w:tcPr>
          <w:p w14:paraId="641817EF" w14:textId="77777777" w:rsidR="00AC3C57" w:rsidRPr="00066515" w:rsidRDefault="00AC3C57">
            <w:pPr>
              <w:pStyle w:val="ARtabletext"/>
            </w:pPr>
            <w:r w:rsidRPr="00066515">
              <w:t>An evaluation of the Better Futures Our Way Aboriginal-led program to support Aboriginal young people leaving care. This supplements the department’s (Centre for Evaluation and Research Evidence) evaluation of the overall Better Futures and Home Stretch programs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0B5B2284" w14:textId="77777777" w:rsidR="00AC3C57" w:rsidRPr="00066515" w:rsidRDefault="00AC3C57">
            <w:pPr>
              <w:pStyle w:val="ARtabletext"/>
            </w:pPr>
            <w:r w:rsidRPr="00066515">
              <w:t>Evidence of implementation, maturation and experience to inform future service model improvements</w:t>
            </w:r>
          </w:p>
        </w:tc>
        <w:tc>
          <w:tcPr>
            <w:tcW w:w="1293" w:type="dxa"/>
            <w:tcBorders>
              <w:top w:val="single" w:sz="4" w:space="0" w:color="A6A6A6" w:themeColor="accent5"/>
              <w:bottom w:val="single" w:sz="4" w:space="0" w:color="A6A6A6" w:themeColor="accent5"/>
            </w:tcBorders>
            <w:tcMar>
              <w:left w:w="113" w:type="dxa"/>
            </w:tcMar>
            <w:hideMark/>
          </w:tcPr>
          <w:p w14:paraId="4247CAA4" w14:textId="77777777" w:rsidR="00AC3C57" w:rsidRPr="00066515" w:rsidRDefault="00AC3C57" w:rsidP="0081090F">
            <w:pPr>
              <w:pStyle w:val="ARtabletextright"/>
              <w:rPr>
                <w:rFonts w:eastAsia="Times New Roman"/>
                <w:color w:val="000000"/>
              </w:rPr>
            </w:pPr>
            <w:r w:rsidRPr="00066515">
              <w:rPr>
                <w:rFonts w:eastAsia="Times New Roman"/>
                <w:color w:val="000000"/>
              </w:rPr>
              <w:t>136</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5735C141" w14:textId="77777777" w:rsidR="00AC3C57" w:rsidRPr="00066515" w:rsidRDefault="00AC3C57" w:rsidP="0081090F">
            <w:pPr>
              <w:pStyle w:val="ARtabletextright"/>
              <w:rPr>
                <w:rFonts w:eastAsia="Times New Roman"/>
                <w:color w:val="000000"/>
              </w:rPr>
            </w:pPr>
            <w:r w:rsidRPr="00066515">
              <w:rPr>
                <w:rFonts w:eastAsia="Times New Roman"/>
                <w:color w:val="000000"/>
              </w:rPr>
              <w:t>173</w:t>
            </w:r>
          </w:p>
        </w:tc>
        <w:tc>
          <w:tcPr>
            <w:tcW w:w="2063" w:type="dxa"/>
            <w:tcBorders>
              <w:top w:val="single" w:sz="4" w:space="0" w:color="A6A6A6" w:themeColor="accent5"/>
              <w:bottom w:val="single" w:sz="4" w:space="0" w:color="A6A6A6" w:themeColor="accent5"/>
            </w:tcBorders>
            <w:tcMar>
              <w:left w:w="113" w:type="dxa"/>
            </w:tcMar>
            <w:hideMark/>
          </w:tcPr>
          <w:p w14:paraId="4443C5FC"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644BF8B7" w14:textId="77777777" w:rsidTr="0008394E">
        <w:tc>
          <w:tcPr>
            <w:tcW w:w="1845" w:type="dxa"/>
            <w:tcBorders>
              <w:top w:val="single" w:sz="4" w:space="0" w:color="A6A6A6" w:themeColor="accent5"/>
            </w:tcBorders>
            <w:hideMark/>
          </w:tcPr>
          <w:p w14:paraId="1E1FAA5F" w14:textId="77777777" w:rsidR="00AC3C57" w:rsidRPr="00066515" w:rsidRDefault="00AC3C57" w:rsidP="0081090F">
            <w:pPr>
              <w:pStyle w:val="ARtabletextbold"/>
            </w:pPr>
            <w:r w:rsidRPr="00066515">
              <w:rPr>
                <w:color w:val="000000" w:themeColor="text1"/>
              </w:rPr>
              <w:t>Evaluation of Switch to Social Work</w:t>
            </w:r>
          </w:p>
        </w:tc>
        <w:tc>
          <w:tcPr>
            <w:tcW w:w="2692" w:type="dxa"/>
            <w:tcBorders>
              <w:top w:val="single" w:sz="4" w:space="0" w:color="A6A6A6" w:themeColor="accent5"/>
            </w:tcBorders>
            <w:shd w:val="clear" w:color="auto" w:fill="E7E6E6" w:themeFill="background2"/>
            <w:tcMar>
              <w:left w:w="113" w:type="dxa"/>
            </w:tcMar>
            <w:hideMark/>
          </w:tcPr>
          <w:p w14:paraId="3FD7B163" w14:textId="77777777" w:rsidR="00AC3C57" w:rsidRPr="00066515" w:rsidRDefault="00AC3C57">
            <w:pPr>
              <w:pStyle w:val="ARtabletext"/>
            </w:pPr>
            <w:r w:rsidRPr="00066515">
              <w:t>To understand the impact of the Switch to Social Work program in building a new community services sector workforce pipeline</w:t>
            </w:r>
          </w:p>
        </w:tc>
        <w:tc>
          <w:tcPr>
            <w:tcW w:w="2693" w:type="dxa"/>
            <w:tcBorders>
              <w:top w:val="single" w:sz="4" w:space="0" w:color="A6A6A6" w:themeColor="accent5"/>
            </w:tcBorders>
            <w:tcMar>
              <w:left w:w="113" w:type="dxa"/>
            </w:tcMar>
            <w:hideMark/>
          </w:tcPr>
          <w:p w14:paraId="50BD099E" w14:textId="77777777" w:rsidR="00AC3C57" w:rsidRPr="00066515" w:rsidRDefault="00AC3C57">
            <w:pPr>
              <w:pStyle w:val="ARtabletext"/>
            </w:pPr>
            <w:r w:rsidRPr="00066515">
              <w:t>A comprehensive outcomes evaluation of the Switch to Social Work program against its objectives</w:t>
            </w:r>
          </w:p>
        </w:tc>
        <w:tc>
          <w:tcPr>
            <w:tcW w:w="2693" w:type="dxa"/>
            <w:tcBorders>
              <w:top w:val="single" w:sz="4" w:space="0" w:color="A6A6A6" w:themeColor="accent5"/>
            </w:tcBorders>
            <w:shd w:val="clear" w:color="auto" w:fill="E7E6E6" w:themeFill="background2"/>
            <w:tcMar>
              <w:left w:w="113" w:type="dxa"/>
            </w:tcMar>
            <w:hideMark/>
          </w:tcPr>
          <w:p w14:paraId="7F26C664" w14:textId="77777777" w:rsidR="00AC3C57" w:rsidRPr="00066515" w:rsidRDefault="00AC3C57">
            <w:pPr>
              <w:pStyle w:val="ARtabletext"/>
            </w:pPr>
            <w:r w:rsidRPr="00066515">
              <w:t>Identify opportunities for scalability of elements to support a new community services sector workforce pipeline</w:t>
            </w:r>
          </w:p>
        </w:tc>
        <w:tc>
          <w:tcPr>
            <w:tcW w:w="1293" w:type="dxa"/>
            <w:tcBorders>
              <w:top w:val="single" w:sz="4" w:space="0" w:color="A6A6A6" w:themeColor="accent5"/>
            </w:tcBorders>
            <w:tcMar>
              <w:left w:w="113" w:type="dxa"/>
            </w:tcMar>
            <w:hideMark/>
          </w:tcPr>
          <w:p w14:paraId="0D95DBEC" w14:textId="77777777" w:rsidR="00AC3C57" w:rsidRPr="00066515" w:rsidRDefault="00AC3C57" w:rsidP="0081090F">
            <w:pPr>
              <w:pStyle w:val="ARtabletextright"/>
              <w:rPr>
                <w:rFonts w:eastAsia="Times New Roman"/>
                <w:color w:val="000000"/>
              </w:rPr>
            </w:pPr>
            <w:r w:rsidRPr="00066515">
              <w:rPr>
                <w:rFonts w:eastAsia="Times New Roman"/>
                <w:color w:val="000000"/>
              </w:rPr>
              <w:t>103</w:t>
            </w:r>
          </w:p>
        </w:tc>
        <w:tc>
          <w:tcPr>
            <w:tcW w:w="1293" w:type="dxa"/>
            <w:tcBorders>
              <w:top w:val="single" w:sz="4" w:space="0" w:color="A6A6A6" w:themeColor="accent5"/>
            </w:tcBorders>
            <w:shd w:val="clear" w:color="auto" w:fill="E7E6E6" w:themeFill="background2"/>
            <w:tcMar>
              <w:left w:w="113" w:type="dxa"/>
            </w:tcMar>
            <w:hideMark/>
          </w:tcPr>
          <w:p w14:paraId="4922AE4C" w14:textId="77777777" w:rsidR="00AC3C57" w:rsidRPr="00066515" w:rsidRDefault="00AC3C57" w:rsidP="0081090F">
            <w:pPr>
              <w:pStyle w:val="ARtabletextright"/>
              <w:rPr>
                <w:rFonts w:eastAsia="Times New Roman"/>
                <w:color w:val="000000"/>
              </w:rPr>
            </w:pPr>
            <w:r w:rsidRPr="00066515">
              <w:rPr>
                <w:rFonts w:eastAsia="Times New Roman"/>
                <w:color w:val="000000"/>
              </w:rPr>
              <w:t>416</w:t>
            </w:r>
          </w:p>
        </w:tc>
        <w:tc>
          <w:tcPr>
            <w:tcW w:w="2063" w:type="dxa"/>
            <w:tcBorders>
              <w:top w:val="single" w:sz="4" w:space="0" w:color="A6A6A6" w:themeColor="accent5"/>
            </w:tcBorders>
            <w:tcMar>
              <w:left w:w="113" w:type="dxa"/>
            </w:tcMar>
            <w:hideMark/>
          </w:tcPr>
          <w:p w14:paraId="528570FA"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3DAFA024" w14:textId="77777777" w:rsidTr="0008394E">
        <w:tc>
          <w:tcPr>
            <w:tcW w:w="1845" w:type="dxa"/>
            <w:tcBorders>
              <w:bottom w:val="single" w:sz="4" w:space="0" w:color="A6A6A6" w:themeColor="accent5"/>
            </w:tcBorders>
            <w:hideMark/>
          </w:tcPr>
          <w:p w14:paraId="519172C6" w14:textId="7C265F9B" w:rsidR="00AC3C57" w:rsidRPr="00066515" w:rsidRDefault="00AC3C57" w:rsidP="0081090F">
            <w:pPr>
              <w:pStyle w:val="ARtabletextbold"/>
            </w:pPr>
            <w:r w:rsidRPr="00066515">
              <w:rPr>
                <w:color w:val="000000" w:themeColor="text1"/>
              </w:rPr>
              <w:t>Evaluation of Switch to Child Protection</w:t>
            </w:r>
            <w:r w:rsidR="00F07E6E">
              <w:t xml:space="preserve"> </w:t>
            </w:r>
          </w:p>
        </w:tc>
        <w:tc>
          <w:tcPr>
            <w:tcW w:w="2692" w:type="dxa"/>
            <w:tcBorders>
              <w:bottom w:val="single" w:sz="4" w:space="0" w:color="A6A6A6" w:themeColor="accent5"/>
            </w:tcBorders>
            <w:shd w:val="clear" w:color="auto" w:fill="E7E6E6" w:themeFill="background2"/>
            <w:tcMar>
              <w:left w:w="113" w:type="dxa"/>
            </w:tcMar>
            <w:hideMark/>
          </w:tcPr>
          <w:p w14:paraId="53ECFE27" w14:textId="77777777" w:rsidR="00AC3C57" w:rsidRPr="00066515" w:rsidRDefault="00AC3C57">
            <w:pPr>
              <w:pStyle w:val="ARtabletext"/>
            </w:pPr>
            <w:r w:rsidRPr="00066515">
              <w:t>To understand the impact of the Switch to Child Protection program in supporting a new mid-level entry workforce pipeline for child protection</w:t>
            </w:r>
          </w:p>
        </w:tc>
        <w:tc>
          <w:tcPr>
            <w:tcW w:w="2693" w:type="dxa"/>
            <w:tcBorders>
              <w:bottom w:val="single" w:sz="4" w:space="0" w:color="A6A6A6" w:themeColor="accent5"/>
            </w:tcBorders>
            <w:tcMar>
              <w:left w:w="113" w:type="dxa"/>
            </w:tcMar>
            <w:hideMark/>
          </w:tcPr>
          <w:p w14:paraId="45DF1168" w14:textId="77777777" w:rsidR="00AC3C57" w:rsidRPr="00066515" w:rsidRDefault="00AC3C57">
            <w:pPr>
              <w:pStyle w:val="ARtabletext"/>
            </w:pPr>
            <w:r w:rsidRPr="00066515">
              <w:t>A comprehensive outcomes evaluation of the Switch to Child Protection program against its objectives</w:t>
            </w:r>
          </w:p>
        </w:tc>
        <w:tc>
          <w:tcPr>
            <w:tcW w:w="2693" w:type="dxa"/>
            <w:tcBorders>
              <w:bottom w:val="single" w:sz="4" w:space="0" w:color="A6A6A6" w:themeColor="accent5"/>
            </w:tcBorders>
            <w:shd w:val="clear" w:color="auto" w:fill="E7E6E6" w:themeFill="background2"/>
            <w:tcMar>
              <w:left w:w="113" w:type="dxa"/>
            </w:tcMar>
            <w:hideMark/>
          </w:tcPr>
          <w:p w14:paraId="19ABAA8F" w14:textId="77777777" w:rsidR="00AC3C57" w:rsidRPr="00066515" w:rsidRDefault="00AC3C57">
            <w:pPr>
              <w:pStyle w:val="ARtabletext"/>
            </w:pPr>
            <w:r w:rsidRPr="00066515">
              <w:t xml:space="preserve">Identify opportunities for scalability and embedding as </w:t>
            </w:r>
            <w:r>
              <w:t>business-as-usual</w:t>
            </w:r>
            <w:r w:rsidRPr="00066515">
              <w:t xml:space="preserve"> recruitment practices to support a new mid-level entry workforce pipeline for child protection</w:t>
            </w:r>
          </w:p>
        </w:tc>
        <w:tc>
          <w:tcPr>
            <w:tcW w:w="1293" w:type="dxa"/>
            <w:tcBorders>
              <w:bottom w:val="single" w:sz="4" w:space="0" w:color="A6A6A6" w:themeColor="accent5"/>
            </w:tcBorders>
            <w:tcMar>
              <w:left w:w="113" w:type="dxa"/>
            </w:tcMar>
            <w:hideMark/>
          </w:tcPr>
          <w:p w14:paraId="69BAF960" w14:textId="77777777" w:rsidR="00AC3C57" w:rsidRPr="00066515" w:rsidRDefault="00AC3C57" w:rsidP="0081090F">
            <w:pPr>
              <w:pStyle w:val="ARtabletextright"/>
              <w:rPr>
                <w:rFonts w:eastAsia="Times New Roman"/>
                <w:color w:val="000000"/>
              </w:rPr>
            </w:pPr>
            <w:r w:rsidRPr="00066515">
              <w:rPr>
                <w:rFonts w:eastAsia="Times New Roman"/>
                <w:color w:val="000000"/>
              </w:rPr>
              <w:t>28</w:t>
            </w:r>
          </w:p>
        </w:tc>
        <w:tc>
          <w:tcPr>
            <w:tcW w:w="1293" w:type="dxa"/>
            <w:tcBorders>
              <w:bottom w:val="single" w:sz="4" w:space="0" w:color="A6A6A6" w:themeColor="accent5"/>
            </w:tcBorders>
            <w:shd w:val="clear" w:color="auto" w:fill="E7E6E6" w:themeFill="background2"/>
            <w:tcMar>
              <w:left w:w="113" w:type="dxa"/>
            </w:tcMar>
            <w:hideMark/>
          </w:tcPr>
          <w:p w14:paraId="44FDD861" w14:textId="77777777" w:rsidR="00AC3C57" w:rsidRPr="00066515" w:rsidRDefault="00AC3C57" w:rsidP="0081090F">
            <w:pPr>
              <w:pStyle w:val="ARtabletextright"/>
              <w:rPr>
                <w:rFonts w:eastAsia="Times New Roman"/>
                <w:color w:val="000000"/>
              </w:rPr>
            </w:pPr>
            <w:r w:rsidRPr="00066515">
              <w:rPr>
                <w:rFonts w:eastAsia="Times New Roman"/>
                <w:color w:val="000000"/>
              </w:rPr>
              <w:t>57</w:t>
            </w:r>
          </w:p>
        </w:tc>
        <w:tc>
          <w:tcPr>
            <w:tcW w:w="2063" w:type="dxa"/>
            <w:tcBorders>
              <w:bottom w:val="single" w:sz="4" w:space="0" w:color="A6A6A6" w:themeColor="accent5"/>
            </w:tcBorders>
            <w:tcMar>
              <w:left w:w="113" w:type="dxa"/>
            </w:tcMar>
            <w:hideMark/>
          </w:tcPr>
          <w:p w14:paraId="5962C86B"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51894B37" w14:textId="77777777" w:rsidTr="0008394E">
        <w:tc>
          <w:tcPr>
            <w:tcW w:w="1845" w:type="dxa"/>
            <w:tcBorders>
              <w:top w:val="single" w:sz="4" w:space="0" w:color="A6A6A6" w:themeColor="accent5"/>
              <w:bottom w:val="single" w:sz="4" w:space="0" w:color="A6A6A6" w:themeColor="accent5"/>
            </w:tcBorders>
            <w:hideMark/>
          </w:tcPr>
          <w:p w14:paraId="159F54CE" w14:textId="4094B73B" w:rsidR="00AC3C57" w:rsidRPr="00066515" w:rsidRDefault="00AC3C57" w:rsidP="0081090F">
            <w:pPr>
              <w:pStyle w:val="ARtabletextbold"/>
            </w:pPr>
            <w:r w:rsidRPr="00066515">
              <w:t xml:space="preserve">Evaluations of the Community Support Groups and Le Mana Pasifika Project </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C852081" w14:textId="77777777" w:rsidR="00AC3C57" w:rsidRPr="00066515" w:rsidRDefault="00AC3C57">
            <w:pPr>
              <w:pStyle w:val="ARtabletext"/>
            </w:pPr>
            <w:r w:rsidRPr="00066515">
              <w:t>To meet lapsing program evaluation requirements and inform future funding consideration</w:t>
            </w:r>
          </w:p>
        </w:tc>
        <w:tc>
          <w:tcPr>
            <w:tcW w:w="2693" w:type="dxa"/>
            <w:tcBorders>
              <w:top w:val="single" w:sz="4" w:space="0" w:color="A6A6A6" w:themeColor="accent5"/>
              <w:bottom w:val="single" w:sz="4" w:space="0" w:color="A6A6A6" w:themeColor="accent5"/>
            </w:tcBorders>
            <w:tcMar>
              <w:left w:w="113" w:type="dxa"/>
            </w:tcMar>
            <w:hideMark/>
          </w:tcPr>
          <w:p w14:paraId="3A3CBB26" w14:textId="77777777" w:rsidR="00AC3C57" w:rsidRPr="00066515" w:rsidRDefault="00AC3C57">
            <w:pPr>
              <w:pStyle w:val="ARtabletext"/>
            </w:pPr>
            <w:r w:rsidRPr="00066515">
              <w:t>Evaluate the programs’ appropriateness, effectiveness, efficiency and impacts, and identify continuous improvement opportunities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46E462D1" w14:textId="77777777" w:rsidR="00AC3C57" w:rsidRPr="00066515" w:rsidRDefault="00AC3C57">
            <w:pPr>
              <w:pStyle w:val="ARtabletext"/>
            </w:pPr>
            <w:r w:rsidRPr="00066515">
              <w:t>Two evaluation reports for each program, consisting of a full report and an executive summary, detailing key findings, cost</w:t>
            </w:r>
            <w:r>
              <w:t>–</w:t>
            </w:r>
            <w:r w:rsidRPr="00066515">
              <w:t>benefit analysis of investment and recommendations for improvements</w:t>
            </w:r>
          </w:p>
        </w:tc>
        <w:tc>
          <w:tcPr>
            <w:tcW w:w="1293" w:type="dxa"/>
            <w:tcBorders>
              <w:top w:val="single" w:sz="4" w:space="0" w:color="A6A6A6" w:themeColor="accent5"/>
              <w:bottom w:val="single" w:sz="4" w:space="0" w:color="A6A6A6" w:themeColor="accent5"/>
            </w:tcBorders>
            <w:tcMar>
              <w:left w:w="113" w:type="dxa"/>
            </w:tcMar>
            <w:hideMark/>
          </w:tcPr>
          <w:p w14:paraId="42AFC6BD" w14:textId="77777777" w:rsidR="00AC3C57" w:rsidRPr="00066515" w:rsidRDefault="00AC3C57" w:rsidP="0081090F">
            <w:pPr>
              <w:pStyle w:val="ARtabletextright"/>
              <w:rPr>
                <w:rFonts w:eastAsia="Times New Roman"/>
                <w:color w:val="000000"/>
              </w:rPr>
            </w:pPr>
            <w:r w:rsidRPr="00066515">
              <w:rPr>
                <w:rFonts w:eastAsia="Times New Roman"/>
                <w:color w:val="000000"/>
              </w:rPr>
              <w:t>250</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6C682031" w14:textId="77777777" w:rsidR="00AC3C57" w:rsidRPr="00066515" w:rsidRDefault="00AC3C57" w:rsidP="0081090F">
            <w:pPr>
              <w:pStyle w:val="ARtabletextright"/>
              <w:rPr>
                <w:rFonts w:eastAsia="Times New Roman"/>
                <w:color w:val="000000"/>
              </w:rPr>
            </w:pPr>
            <w:r w:rsidRPr="00066515">
              <w:rPr>
                <w:rFonts w:eastAsia="Times New Roman"/>
                <w:color w:val="000000"/>
              </w:rPr>
              <w:t>222</w:t>
            </w:r>
          </w:p>
        </w:tc>
        <w:tc>
          <w:tcPr>
            <w:tcW w:w="2063" w:type="dxa"/>
            <w:tcBorders>
              <w:top w:val="single" w:sz="4" w:space="0" w:color="A6A6A6" w:themeColor="accent5"/>
              <w:bottom w:val="single" w:sz="4" w:space="0" w:color="A6A6A6" w:themeColor="accent5"/>
            </w:tcBorders>
            <w:tcMar>
              <w:left w:w="113" w:type="dxa"/>
            </w:tcMar>
            <w:hideMark/>
          </w:tcPr>
          <w:p w14:paraId="71A7E857"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7F8B4E0F" w14:textId="77777777" w:rsidTr="0008394E">
        <w:tc>
          <w:tcPr>
            <w:tcW w:w="1845" w:type="dxa"/>
            <w:tcBorders>
              <w:top w:val="single" w:sz="4" w:space="0" w:color="A6A6A6" w:themeColor="accent5"/>
              <w:bottom w:val="single" w:sz="4" w:space="0" w:color="A6A6A6" w:themeColor="accent5"/>
            </w:tcBorders>
            <w:hideMark/>
          </w:tcPr>
          <w:p w14:paraId="1B174F54" w14:textId="77777777" w:rsidR="00AC3C57" w:rsidRPr="00066515" w:rsidRDefault="00AC3C57" w:rsidP="0081090F">
            <w:pPr>
              <w:pStyle w:val="ARtabletextbold"/>
            </w:pPr>
            <w:r w:rsidRPr="00066515">
              <w:lastRenderedPageBreak/>
              <w:t xml:space="preserve">Complex Needs Project </w:t>
            </w:r>
            <w:r>
              <w:t>e</w:t>
            </w:r>
            <w:r w:rsidRPr="00066515">
              <w:t>valuation</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684B14E4" w14:textId="77777777" w:rsidR="00AC3C57" w:rsidRPr="00066515" w:rsidRDefault="00AC3C57">
            <w:pPr>
              <w:pStyle w:val="ARtabletext"/>
            </w:pPr>
            <w:r w:rsidRPr="00066515">
              <w:t>To test the design and assumptions made within the Complex Needs Project pilot</w:t>
            </w:r>
          </w:p>
        </w:tc>
        <w:tc>
          <w:tcPr>
            <w:tcW w:w="2693" w:type="dxa"/>
            <w:tcBorders>
              <w:top w:val="single" w:sz="4" w:space="0" w:color="A6A6A6" w:themeColor="accent5"/>
              <w:bottom w:val="single" w:sz="4" w:space="0" w:color="A6A6A6" w:themeColor="accent5"/>
            </w:tcBorders>
            <w:tcMar>
              <w:left w:w="113" w:type="dxa"/>
            </w:tcMar>
            <w:hideMark/>
          </w:tcPr>
          <w:p w14:paraId="236D64B1" w14:textId="77777777" w:rsidR="00AC3C57" w:rsidRPr="00066515" w:rsidRDefault="00AC3C57">
            <w:pPr>
              <w:pStyle w:val="ARtabletext"/>
            </w:pPr>
            <w:r w:rsidRPr="00066515">
              <w:t>Evaluating the Complex Needs Project pilot models to determine the most cost-effective models and identify potential improvements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6BCA96D" w14:textId="77777777" w:rsidR="00AC3C57" w:rsidRPr="00066515" w:rsidRDefault="00AC3C57">
            <w:pPr>
              <w:pStyle w:val="ARtabletext"/>
            </w:pPr>
            <w:r w:rsidRPr="00066515">
              <w:t>A final report to provide an evidence-based approach to develop future options and inform and improve policy related to the provision of supports to individuals with complex needs</w:t>
            </w:r>
          </w:p>
        </w:tc>
        <w:tc>
          <w:tcPr>
            <w:tcW w:w="1293" w:type="dxa"/>
            <w:tcBorders>
              <w:top w:val="single" w:sz="4" w:space="0" w:color="A6A6A6" w:themeColor="accent5"/>
              <w:bottom w:val="single" w:sz="4" w:space="0" w:color="A6A6A6" w:themeColor="accent5"/>
            </w:tcBorders>
            <w:tcMar>
              <w:left w:w="113" w:type="dxa"/>
            </w:tcMar>
            <w:hideMark/>
          </w:tcPr>
          <w:p w14:paraId="7EBC8D3D" w14:textId="77777777" w:rsidR="00AC3C57" w:rsidRPr="00066515" w:rsidRDefault="00AC3C57" w:rsidP="0081090F">
            <w:pPr>
              <w:pStyle w:val="ARtabletextright"/>
              <w:rPr>
                <w:rFonts w:eastAsia="Times New Roman"/>
                <w:color w:val="000000"/>
              </w:rPr>
            </w:pPr>
            <w:r w:rsidRPr="00066515">
              <w:rPr>
                <w:rFonts w:eastAsia="Times New Roman"/>
                <w:color w:val="000000"/>
              </w:rPr>
              <w:t>363</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22836AC7" w14:textId="77777777" w:rsidR="00AC3C57" w:rsidRPr="00066515" w:rsidRDefault="00AC3C57" w:rsidP="0081090F">
            <w:pPr>
              <w:pStyle w:val="ARtabletextright"/>
              <w:rPr>
                <w:rFonts w:eastAsia="Times New Roman"/>
                <w:color w:val="000000"/>
              </w:rPr>
            </w:pPr>
            <w:r w:rsidRPr="00066515">
              <w:rPr>
                <w:rFonts w:eastAsia="Times New Roman"/>
                <w:color w:val="000000"/>
              </w:rPr>
              <w:t>479</w:t>
            </w:r>
          </w:p>
        </w:tc>
        <w:tc>
          <w:tcPr>
            <w:tcW w:w="2063" w:type="dxa"/>
            <w:tcBorders>
              <w:top w:val="single" w:sz="4" w:space="0" w:color="A6A6A6" w:themeColor="accent5"/>
              <w:bottom w:val="single" w:sz="4" w:space="0" w:color="A6A6A6" w:themeColor="accent5"/>
            </w:tcBorders>
            <w:tcMar>
              <w:left w:w="113" w:type="dxa"/>
            </w:tcMar>
            <w:hideMark/>
          </w:tcPr>
          <w:p w14:paraId="26A41376"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289C45F8" w14:textId="77777777" w:rsidTr="0008394E">
        <w:tc>
          <w:tcPr>
            <w:tcW w:w="1845" w:type="dxa"/>
            <w:tcBorders>
              <w:top w:val="single" w:sz="4" w:space="0" w:color="A6A6A6" w:themeColor="accent5"/>
            </w:tcBorders>
            <w:hideMark/>
          </w:tcPr>
          <w:p w14:paraId="1E3E9E7F" w14:textId="77777777" w:rsidR="00AC3C57" w:rsidRPr="00066515" w:rsidRDefault="00AC3C57" w:rsidP="0081090F">
            <w:pPr>
              <w:pStyle w:val="ARtabletextbold"/>
            </w:pPr>
            <w:r w:rsidRPr="00066515">
              <w:t>Evaluation of the Multiple and Complex Needs Initiative (MACNI) and Support for High</w:t>
            </w:r>
            <w:r>
              <w:t>-</w:t>
            </w:r>
            <w:r w:rsidRPr="00066515">
              <w:t>Risk Tenancies (</w:t>
            </w:r>
            <w:proofErr w:type="spellStart"/>
            <w:r w:rsidRPr="00066515">
              <w:t>SfHRT</w:t>
            </w:r>
            <w:proofErr w:type="spellEnd"/>
            <w:r w:rsidRPr="00066515">
              <w:t>) programs</w:t>
            </w:r>
          </w:p>
        </w:tc>
        <w:tc>
          <w:tcPr>
            <w:tcW w:w="2692" w:type="dxa"/>
            <w:tcBorders>
              <w:top w:val="single" w:sz="4" w:space="0" w:color="A6A6A6" w:themeColor="accent5"/>
            </w:tcBorders>
            <w:shd w:val="clear" w:color="auto" w:fill="E7E6E6" w:themeFill="background2"/>
            <w:tcMar>
              <w:left w:w="113" w:type="dxa"/>
            </w:tcMar>
            <w:hideMark/>
          </w:tcPr>
          <w:p w14:paraId="63532A27" w14:textId="02A5854A" w:rsidR="00AC3C57" w:rsidRPr="00066515" w:rsidRDefault="00AC3C57">
            <w:pPr>
              <w:pStyle w:val="ARtabletext"/>
            </w:pPr>
            <w:r w:rsidRPr="00066515">
              <w:t xml:space="preserve">Evaluating the MACNI and </w:t>
            </w:r>
            <w:proofErr w:type="spellStart"/>
            <w:r w:rsidRPr="00066515">
              <w:t>SfHRT</w:t>
            </w:r>
            <w:proofErr w:type="spellEnd"/>
            <w:r w:rsidRPr="00066515">
              <w:t xml:space="preserve"> programs is required due to considerable changes since these program’s inception. The complexity and demand for services have increased amid tighter fiscal</w:t>
            </w:r>
            <w:r w:rsidR="00EC2960">
              <w:t> </w:t>
            </w:r>
            <w:r w:rsidRPr="00066515">
              <w:t>conditions</w:t>
            </w:r>
          </w:p>
        </w:tc>
        <w:tc>
          <w:tcPr>
            <w:tcW w:w="2693" w:type="dxa"/>
            <w:tcBorders>
              <w:top w:val="single" w:sz="4" w:space="0" w:color="A6A6A6" w:themeColor="accent5"/>
            </w:tcBorders>
            <w:tcMar>
              <w:left w:w="113" w:type="dxa"/>
            </w:tcMar>
            <w:hideMark/>
          </w:tcPr>
          <w:p w14:paraId="088506F8" w14:textId="416ADFC2" w:rsidR="00AC3C57" w:rsidRPr="00066515" w:rsidRDefault="00AC3C57">
            <w:pPr>
              <w:pStyle w:val="ARtabletext"/>
            </w:pPr>
            <w:r w:rsidRPr="00066515">
              <w:t xml:space="preserve">A holistic assessment of the effectiveness of MACNI and </w:t>
            </w:r>
            <w:proofErr w:type="spellStart"/>
            <w:r w:rsidRPr="00066515">
              <w:t>SfHRT</w:t>
            </w:r>
            <w:proofErr w:type="spellEnd"/>
            <w:r w:rsidRPr="00066515">
              <w:t>, determining if the programs are delivering on their intended outcomes and how they could be improved, an assessment of program efficiency, including through a</w:t>
            </w:r>
            <w:r w:rsidR="00E512F5">
              <w:t> </w:t>
            </w:r>
            <w:r w:rsidRPr="00066515">
              <w:t>cost</w:t>
            </w:r>
            <w:r>
              <w:t>–</w:t>
            </w:r>
            <w:r w:rsidRPr="00066515">
              <w:t>benefit assessment that can support future business cases</w:t>
            </w:r>
          </w:p>
        </w:tc>
        <w:tc>
          <w:tcPr>
            <w:tcW w:w="2693" w:type="dxa"/>
            <w:tcBorders>
              <w:top w:val="single" w:sz="4" w:space="0" w:color="A6A6A6" w:themeColor="accent5"/>
            </w:tcBorders>
            <w:shd w:val="clear" w:color="auto" w:fill="E7E6E6" w:themeFill="background2"/>
            <w:tcMar>
              <w:left w:w="113" w:type="dxa"/>
            </w:tcMar>
            <w:hideMark/>
          </w:tcPr>
          <w:p w14:paraId="726901AD" w14:textId="77777777" w:rsidR="00AC3C57" w:rsidRPr="00066515" w:rsidRDefault="00AC3C57">
            <w:pPr>
              <w:pStyle w:val="ARtabletext"/>
            </w:pPr>
            <w:r w:rsidRPr="00066515">
              <w:t xml:space="preserve">Two progress reports and one final report </w:t>
            </w:r>
            <w:r>
              <w:t>on</w:t>
            </w:r>
            <w:r w:rsidRPr="00066515">
              <w:t xml:space="preserve"> the appropriateness and effectiveness of MACNI and </w:t>
            </w:r>
            <w:proofErr w:type="spellStart"/>
            <w:r w:rsidRPr="00066515">
              <w:t>SfHRT</w:t>
            </w:r>
            <w:proofErr w:type="spellEnd"/>
            <w:r w:rsidRPr="00066515">
              <w:t>, with recommendations on how the programs could be improved to align with the current/future operating environment</w:t>
            </w:r>
          </w:p>
        </w:tc>
        <w:tc>
          <w:tcPr>
            <w:tcW w:w="1293" w:type="dxa"/>
            <w:tcBorders>
              <w:top w:val="single" w:sz="4" w:space="0" w:color="A6A6A6" w:themeColor="accent5"/>
            </w:tcBorders>
            <w:tcMar>
              <w:left w:w="113" w:type="dxa"/>
            </w:tcMar>
            <w:hideMark/>
          </w:tcPr>
          <w:p w14:paraId="417242C8" w14:textId="77777777" w:rsidR="00AC3C57" w:rsidRPr="00066515" w:rsidRDefault="00AC3C57" w:rsidP="0081090F">
            <w:pPr>
              <w:pStyle w:val="ARtabletextright"/>
              <w:rPr>
                <w:rFonts w:eastAsia="Times New Roman"/>
                <w:color w:val="000000"/>
              </w:rPr>
            </w:pPr>
            <w:r w:rsidRPr="00066515">
              <w:rPr>
                <w:rFonts w:eastAsia="Times New Roman"/>
                <w:color w:val="000000"/>
              </w:rPr>
              <w:t>112</w:t>
            </w:r>
          </w:p>
        </w:tc>
        <w:tc>
          <w:tcPr>
            <w:tcW w:w="1293" w:type="dxa"/>
            <w:tcBorders>
              <w:top w:val="single" w:sz="4" w:space="0" w:color="A6A6A6" w:themeColor="accent5"/>
            </w:tcBorders>
            <w:shd w:val="clear" w:color="auto" w:fill="E7E6E6" w:themeFill="background2"/>
            <w:tcMar>
              <w:left w:w="113" w:type="dxa"/>
            </w:tcMar>
            <w:hideMark/>
          </w:tcPr>
          <w:p w14:paraId="5778D316" w14:textId="77777777" w:rsidR="00AC3C57" w:rsidRPr="00066515" w:rsidRDefault="00AC3C57" w:rsidP="0081090F">
            <w:pPr>
              <w:pStyle w:val="ARtabletextright"/>
              <w:rPr>
                <w:rFonts w:eastAsia="Times New Roman"/>
                <w:color w:val="000000"/>
              </w:rPr>
            </w:pPr>
            <w:r w:rsidRPr="00066515">
              <w:rPr>
                <w:rFonts w:eastAsia="Times New Roman"/>
                <w:color w:val="000000"/>
              </w:rPr>
              <w:t>317</w:t>
            </w:r>
          </w:p>
        </w:tc>
        <w:tc>
          <w:tcPr>
            <w:tcW w:w="2063" w:type="dxa"/>
            <w:tcBorders>
              <w:top w:val="single" w:sz="4" w:space="0" w:color="A6A6A6" w:themeColor="accent5"/>
            </w:tcBorders>
            <w:tcMar>
              <w:left w:w="113" w:type="dxa"/>
            </w:tcMar>
            <w:hideMark/>
          </w:tcPr>
          <w:p w14:paraId="5146EA6D"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155A5078" w14:textId="77777777" w:rsidTr="0008394E">
        <w:tc>
          <w:tcPr>
            <w:tcW w:w="1845" w:type="dxa"/>
            <w:tcBorders>
              <w:bottom w:val="single" w:sz="4" w:space="0" w:color="A6A6A6" w:themeColor="accent5"/>
            </w:tcBorders>
            <w:hideMark/>
          </w:tcPr>
          <w:p w14:paraId="0E3503ED" w14:textId="77777777" w:rsidR="00AC3C57" w:rsidRPr="00066515" w:rsidRDefault="00AC3C57" w:rsidP="0081090F">
            <w:pPr>
              <w:pStyle w:val="ARtabletextbold"/>
            </w:pPr>
            <w:r w:rsidRPr="00066515">
              <w:t>Evaluation of Forensic Disability Services</w:t>
            </w:r>
          </w:p>
        </w:tc>
        <w:tc>
          <w:tcPr>
            <w:tcW w:w="2692" w:type="dxa"/>
            <w:tcBorders>
              <w:bottom w:val="single" w:sz="4" w:space="0" w:color="A6A6A6" w:themeColor="accent5"/>
            </w:tcBorders>
            <w:shd w:val="clear" w:color="auto" w:fill="E7E6E6" w:themeFill="background2"/>
            <w:tcMar>
              <w:left w:w="113" w:type="dxa"/>
            </w:tcMar>
            <w:hideMark/>
          </w:tcPr>
          <w:p w14:paraId="22E463DB" w14:textId="77777777" w:rsidR="00AC3C57" w:rsidRPr="00066515" w:rsidRDefault="00AC3C57">
            <w:pPr>
              <w:pStyle w:val="ARtabletext"/>
            </w:pPr>
            <w:r w:rsidRPr="00066515">
              <w:t>To review the appropriateness, effectiveness and efficiency of Forensic Disability Services</w:t>
            </w:r>
          </w:p>
        </w:tc>
        <w:tc>
          <w:tcPr>
            <w:tcW w:w="2693" w:type="dxa"/>
            <w:tcBorders>
              <w:bottom w:val="single" w:sz="4" w:space="0" w:color="A6A6A6" w:themeColor="accent5"/>
            </w:tcBorders>
            <w:tcMar>
              <w:left w:w="113" w:type="dxa"/>
            </w:tcMar>
            <w:hideMark/>
          </w:tcPr>
          <w:p w14:paraId="2ED78A59" w14:textId="13717B24" w:rsidR="00AC3C57" w:rsidRPr="00066515" w:rsidRDefault="00AC3C57">
            <w:pPr>
              <w:pStyle w:val="ARtabletext"/>
            </w:pPr>
            <w:r w:rsidRPr="00066515">
              <w:t>Forensic Disability Services delivered in Victoria</w:t>
            </w:r>
          </w:p>
        </w:tc>
        <w:tc>
          <w:tcPr>
            <w:tcW w:w="2693" w:type="dxa"/>
            <w:tcBorders>
              <w:bottom w:val="single" w:sz="4" w:space="0" w:color="A6A6A6" w:themeColor="accent5"/>
            </w:tcBorders>
            <w:shd w:val="clear" w:color="auto" w:fill="E7E6E6" w:themeFill="background2"/>
            <w:tcMar>
              <w:left w:w="113" w:type="dxa"/>
            </w:tcMar>
            <w:hideMark/>
          </w:tcPr>
          <w:p w14:paraId="1DE33E3E" w14:textId="77777777" w:rsidR="00AC3C57" w:rsidRPr="00066515" w:rsidRDefault="00AC3C57">
            <w:pPr>
              <w:pStyle w:val="ARtabletext"/>
            </w:pPr>
            <w:r w:rsidRPr="00066515">
              <w:t>A final report outlining what is working well within Forensic Disability Services and identifying future opportunities for improvement</w:t>
            </w:r>
          </w:p>
        </w:tc>
        <w:tc>
          <w:tcPr>
            <w:tcW w:w="1293" w:type="dxa"/>
            <w:tcBorders>
              <w:bottom w:val="single" w:sz="4" w:space="0" w:color="A6A6A6" w:themeColor="accent5"/>
            </w:tcBorders>
            <w:tcMar>
              <w:left w:w="113" w:type="dxa"/>
            </w:tcMar>
            <w:hideMark/>
          </w:tcPr>
          <w:p w14:paraId="31D7960F" w14:textId="77777777" w:rsidR="00AC3C57" w:rsidRPr="00066515" w:rsidRDefault="00AC3C57" w:rsidP="0081090F">
            <w:pPr>
              <w:pStyle w:val="ARtabletextright"/>
              <w:rPr>
                <w:rFonts w:eastAsia="Times New Roman"/>
                <w:color w:val="000000"/>
              </w:rPr>
            </w:pPr>
            <w:r>
              <w:rPr>
                <w:rFonts w:eastAsia="Times New Roman"/>
                <w:color w:val="000000"/>
              </w:rPr>
              <w:t>100</w:t>
            </w:r>
          </w:p>
        </w:tc>
        <w:tc>
          <w:tcPr>
            <w:tcW w:w="1293" w:type="dxa"/>
            <w:tcBorders>
              <w:bottom w:val="single" w:sz="4" w:space="0" w:color="A6A6A6" w:themeColor="accent5"/>
            </w:tcBorders>
            <w:shd w:val="clear" w:color="auto" w:fill="E7E6E6" w:themeFill="background2"/>
            <w:tcMar>
              <w:left w:w="113" w:type="dxa"/>
            </w:tcMar>
            <w:hideMark/>
          </w:tcPr>
          <w:p w14:paraId="36A48681" w14:textId="77777777" w:rsidR="00AC3C57" w:rsidRPr="00066515" w:rsidRDefault="00AC3C57" w:rsidP="0081090F">
            <w:pPr>
              <w:pStyle w:val="ARtabletextright"/>
              <w:rPr>
                <w:rFonts w:eastAsia="Times New Roman"/>
                <w:color w:val="000000"/>
              </w:rPr>
            </w:pPr>
            <w:r w:rsidRPr="00066515">
              <w:rPr>
                <w:rFonts w:eastAsia="Times New Roman"/>
                <w:color w:val="000000"/>
              </w:rPr>
              <w:t>200</w:t>
            </w:r>
          </w:p>
        </w:tc>
        <w:tc>
          <w:tcPr>
            <w:tcW w:w="2063" w:type="dxa"/>
            <w:tcBorders>
              <w:bottom w:val="single" w:sz="4" w:space="0" w:color="A6A6A6" w:themeColor="accent5"/>
            </w:tcBorders>
            <w:tcMar>
              <w:left w:w="113" w:type="dxa"/>
            </w:tcMar>
            <w:hideMark/>
          </w:tcPr>
          <w:p w14:paraId="60C8E086"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6EC594AE" w14:textId="77777777" w:rsidTr="0008394E">
        <w:tc>
          <w:tcPr>
            <w:tcW w:w="1845" w:type="dxa"/>
            <w:tcBorders>
              <w:top w:val="single" w:sz="4" w:space="0" w:color="A6A6A6" w:themeColor="accent5"/>
              <w:bottom w:val="single" w:sz="4" w:space="0" w:color="A6A6A6" w:themeColor="accent5"/>
            </w:tcBorders>
            <w:hideMark/>
          </w:tcPr>
          <w:p w14:paraId="44CDD2A0" w14:textId="77777777" w:rsidR="00AC3C57" w:rsidRPr="00066515" w:rsidRDefault="00AC3C57" w:rsidP="0081090F">
            <w:pPr>
              <w:pStyle w:val="ARtabletextbold"/>
            </w:pPr>
            <w:r w:rsidRPr="00066515">
              <w:t>Disability Terminology Research Project</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27162575" w14:textId="77777777" w:rsidR="00AC3C57" w:rsidRPr="00066515" w:rsidRDefault="00AC3C57">
            <w:pPr>
              <w:pStyle w:val="ARtabletext"/>
            </w:pPr>
            <w:r w:rsidRPr="00066515">
              <w:t>To provide advice to the department on the appropriate language to describe the forensic disability client cohort</w:t>
            </w:r>
          </w:p>
        </w:tc>
        <w:tc>
          <w:tcPr>
            <w:tcW w:w="2693" w:type="dxa"/>
            <w:tcBorders>
              <w:top w:val="single" w:sz="4" w:space="0" w:color="A6A6A6" w:themeColor="accent5"/>
              <w:bottom w:val="single" w:sz="4" w:space="0" w:color="A6A6A6" w:themeColor="accent5"/>
            </w:tcBorders>
            <w:tcMar>
              <w:left w:w="113" w:type="dxa"/>
            </w:tcMar>
            <w:hideMark/>
          </w:tcPr>
          <w:p w14:paraId="17A7D179" w14:textId="6F3C0A12" w:rsidR="00AC3C57" w:rsidRPr="00066515" w:rsidRDefault="00AC3C57">
            <w:pPr>
              <w:pStyle w:val="ARtabletext"/>
            </w:pPr>
            <w:r w:rsidRPr="00066515">
              <w:t>Explore how the Forensic Disability Services client population is identified, the role of language in shaping attitudes towards disability and how language used to describe this cohort may affect rehabilitation and community inclusion of people with disability in the criminal justice</w:t>
            </w:r>
            <w:r w:rsidR="0081090F">
              <w:t> </w:t>
            </w:r>
            <w:r w:rsidRPr="00066515">
              <w:t>system</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C1BCBE0" w14:textId="77777777" w:rsidR="00AC3C57" w:rsidRPr="00066515" w:rsidRDefault="00AC3C57">
            <w:pPr>
              <w:pStyle w:val="ARtabletext"/>
            </w:pPr>
            <w:r w:rsidRPr="00066515">
              <w:t>A final report providing recommendations to the department about how to adopt more contemporary, respectful and affirming language regarding disability, as well as to inform legislative and policy and program development</w:t>
            </w:r>
          </w:p>
        </w:tc>
        <w:tc>
          <w:tcPr>
            <w:tcW w:w="1293" w:type="dxa"/>
            <w:tcBorders>
              <w:top w:val="single" w:sz="4" w:space="0" w:color="A6A6A6" w:themeColor="accent5"/>
              <w:bottom w:val="single" w:sz="4" w:space="0" w:color="A6A6A6" w:themeColor="accent5"/>
            </w:tcBorders>
            <w:tcMar>
              <w:left w:w="113" w:type="dxa"/>
            </w:tcMar>
            <w:hideMark/>
          </w:tcPr>
          <w:p w14:paraId="71691DB3" w14:textId="77777777" w:rsidR="00AC3C57" w:rsidRPr="00066515" w:rsidRDefault="00AC3C57" w:rsidP="0081090F">
            <w:pPr>
              <w:pStyle w:val="ARtabletextright"/>
              <w:rPr>
                <w:rFonts w:eastAsia="Times New Roman"/>
                <w:color w:val="000000"/>
              </w:rPr>
            </w:pPr>
            <w:r w:rsidRPr="00066515">
              <w:rPr>
                <w:rFonts w:eastAsia="Times New Roman"/>
                <w:color w:val="000000"/>
              </w:rPr>
              <w:t>22</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68A5473F" w14:textId="77777777" w:rsidR="00AC3C57" w:rsidRPr="00066515" w:rsidRDefault="00AC3C57" w:rsidP="0081090F">
            <w:pPr>
              <w:pStyle w:val="ARtabletextright"/>
              <w:rPr>
                <w:rFonts w:eastAsia="Times New Roman"/>
                <w:color w:val="000000"/>
              </w:rPr>
            </w:pPr>
            <w:r w:rsidRPr="00066515">
              <w:rPr>
                <w:rFonts w:eastAsia="Times New Roman"/>
                <w:color w:val="000000"/>
              </w:rPr>
              <w:t>22</w:t>
            </w:r>
          </w:p>
        </w:tc>
        <w:tc>
          <w:tcPr>
            <w:tcW w:w="2063" w:type="dxa"/>
            <w:tcBorders>
              <w:top w:val="single" w:sz="4" w:space="0" w:color="A6A6A6" w:themeColor="accent5"/>
              <w:bottom w:val="single" w:sz="4" w:space="0" w:color="A6A6A6" w:themeColor="accent5"/>
            </w:tcBorders>
            <w:tcMar>
              <w:left w:w="113" w:type="dxa"/>
            </w:tcMar>
            <w:hideMark/>
          </w:tcPr>
          <w:p w14:paraId="27AB3965"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6DD432D0" w14:textId="77777777" w:rsidTr="0008394E">
        <w:tc>
          <w:tcPr>
            <w:tcW w:w="1845" w:type="dxa"/>
            <w:tcBorders>
              <w:top w:val="single" w:sz="4" w:space="0" w:color="A6A6A6" w:themeColor="accent5"/>
              <w:bottom w:val="single" w:sz="4" w:space="0" w:color="A6A6A6" w:themeColor="accent5"/>
            </w:tcBorders>
            <w:hideMark/>
          </w:tcPr>
          <w:p w14:paraId="2CE5D1DF" w14:textId="77777777" w:rsidR="00AC3C57" w:rsidRPr="00066515" w:rsidRDefault="00AC3C57" w:rsidP="0081090F">
            <w:pPr>
              <w:pStyle w:val="ARtabletextbold"/>
            </w:pPr>
            <w:r w:rsidRPr="00066515">
              <w:lastRenderedPageBreak/>
              <w:t xml:space="preserve">The Orange Door Governance and Accountability Review </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07B118D4" w14:textId="62892040" w:rsidR="00AC3C57" w:rsidRPr="00066515" w:rsidRDefault="00AC3C57">
            <w:pPr>
              <w:pStyle w:val="ARtabletext"/>
            </w:pPr>
            <w:r w:rsidRPr="00066515">
              <w:t xml:space="preserve">The </w:t>
            </w:r>
            <w:r>
              <w:t>r</w:t>
            </w:r>
            <w:r w:rsidRPr="00066515">
              <w:t>eview was in response to</w:t>
            </w:r>
            <w:r w:rsidR="00E512F5">
              <w:t> </w:t>
            </w:r>
            <w:r w:rsidRPr="00066515">
              <w:t>operational and risk management challenges</w:t>
            </w:r>
          </w:p>
        </w:tc>
        <w:tc>
          <w:tcPr>
            <w:tcW w:w="2693" w:type="dxa"/>
            <w:tcBorders>
              <w:top w:val="single" w:sz="4" w:space="0" w:color="A6A6A6" w:themeColor="accent5"/>
              <w:bottom w:val="single" w:sz="4" w:space="0" w:color="A6A6A6" w:themeColor="accent5"/>
            </w:tcBorders>
            <w:tcMar>
              <w:left w:w="113" w:type="dxa"/>
            </w:tcMar>
            <w:hideMark/>
          </w:tcPr>
          <w:p w14:paraId="30123510" w14:textId="6192C86E" w:rsidR="00AC3C57" w:rsidRPr="00066515" w:rsidRDefault="00AC3C57">
            <w:pPr>
              <w:pStyle w:val="ARtabletext"/>
            </w:pPr>
            <w:r w:rsidRPr="00066515">
              <w:t>Assess the strengths and gaps of</w:t>
            </w:r>
            <w:r w:rsidR="0081090F">
              <w:t> </w:t>
            </w:r>
            <w:r w:rsidRPr="00066515">
              <w:t xml:space="preserve">existing The Orange Door </w:t>
            </w:r>
            <w:r>
              <w:t>g</w:t>
            </w:r>
            <w:r w:rsidRPr="00066515">
              <w:t xml:space="preserve">overnance and accountability arrangements </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458A7B8E" w14:textId="20338824" w:rsidR="00AC3C57" w:rsidRPr="00066515" w:rsidRDefault="00AC3C57">
            <w:pPr>
              <w:pStyle w:val="ARtabletext"/>
            </w:pPr>
            <w:r w:rsidRPr="00066515">
              <w:t>Identify and prioritise areas for improvement as identified by the review to address gaps</w:t>
            </w:r>
            <w:r w:rsidR="000C235D">
              <w:t> </w:t>
            </w:r>
            <w:r w:rsidRPr="00066515">
              <w:t>and harness strengths</w:t>
            </w:r>
            <w:r w:rsidR="000C235D">
              <w:t> </w:t>
            </w:r>
            <w:r w:rsidRPr="00066515">
              <w:t>identified</w:t>
            </w:r>
          </w:p>
        </w:tc>
        <w:tc>
          <w:tcPr>
            <w:tcW w:w="1293" w:type="dxa"/>
            <w:tcBorders>
              <w:top w:val="single" w:sz="4" w:space="0" w:color="A6A6A6" w:themeColor="accent5"/>
              <w:bottom w:val="single" w:sz="4" w:space="0" w:color="A6A6A6" w:themeColor="accent5"/>
            </w:tcBorders>
            <w:tcMar>
              <w:left w:w="113" w:type="dxa"/>
            </w:tcMar>
            <w:hideMark/>
          </w:tcPr>
          <w:p w14:paraId="6CB2E122" w14:textId="77777777" w:rsidR="00AC3C57" w:rsidRPr="00066515" w:rsidRDefault="00AC3C57" w:rsidP="0081090F">
            <w:pPr>
              <w:pStyle w:val="ARtabletextright"/>
              <w:rPr>
                <w:rFonts w:eastAsia="Times New Roman"/>
                <w:color w:val="000000"/>
              </w:rPr>
            </w:pPr>
            <w:r>
              <w:rPr>
                <w:rFonts w:eastAsia="Times New Roman"/>
                <w:color w:val="000000"/>
              </w:rPr>
              <w:t>190</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2573BA6F" w14:textId="77777777" w:rsidR="00AC3C57" w:rsidRPr="00066515" w:rsidRDefault="00AC3C57" w:rsidP="0081090F">
            <w:pPr>
              <w:pStyle w:val="ARtabletextright"/>
              <w:rPr>
                <w:rFonts w:eastAsia="Times New Roman"/>
                <w:color w:val="000000"/>
              </w:rPr>
            </w:pPr>
            <w:r>
              <w:rPr>
                <w:rFonts w:eastAsia="Times New Roman"/>
                <w:color w:val="000000"/>
              </w:rPr>
              <w:t>264</w:t>
            </w:r>
          </w:p>
        </w:tc>
        <w:tc>
          <w:tcPr>
            <w:tcW w:w="2063" w:type="dxa"/>
            <w:tcBorders>
              <w:top w:val="single" w:sz="4" w:space="0" w:color="A6A6A6" w:themeColor="accent5"/>
              <w:bottom w:val="single" w:sz="4" w:space="0" w:color="A6A6A6" w:themeColor="accent5"/>
            </w:tcBorders>
            <w:tcMar>
              <w:left w:w="113" w:type="dxa"/>
            </w:tcMar>
            <w:hideMark/>
          </w:tcPr>
          <w:p w14:paraId="63C3E926" w14:textId="32C50F65" w:rsidR="00AC3C57" w:rsidRPr="00066515" w:rsidRDefault="004F562B" w:rsidP="009A471D">
            <w:pPr>
              <w:pStyle w:val="ARtabletext"/>
              <w:rPr>
                <w:rFonts w:eastAsia="Times New Roman"/>
                <w:color w:val="000000"/>
              </w:rPr>
            </w:pPr>
            <w:r>
              <w:rPr>
                <w:rFonts w:eastAsia="Times New Roman"/>
                <w:color w:val="000000"/>
              </w:rPr>
              <w:t xml:space="preserve">Y </w:t>
            </w:r>
            <w:r w:rsidR="009F36DE">
              <w:rPr>
                <w:rFonts w:eastAsia="Times New Roman"/>
                <w:color w:val="000000"/>
              </w:rPr>
              <w:t xml:space="preserve">– </w:t>
            </w:r>
            <w:r w:rsidR="00AC3C57" w:rsidRPr="00066515">
              <w:rPr>
                <w:rFonts w:eastAsia="Times New Roman"/>
                <w:color w:val="000000"/>
              </w:rPr>
              <w:t>Report has been made available to key stakeholders including peak bodies and The Orange Door partner agencies</w:t>
            </w:r>
          </w:p>
        </w:tc>
      </w:tr>
      <w:tr w:rsidR="0081090F" w:rsidRPr="00066515" w14:paraId="59AB4ADA" w14:textId="77777777" w:rsidTr="0008394E">
        <w:tc>
          <w:tcPr>
            <w:tcW w:w="1845" w:type="dxa"/>
            <w:tcBorders>
              <w:top w:val="single" w:sz="4" w:space="0" w:color="A6A6A6" w:themeColor="accent5"/>
              <w:bottom w:val="single" w:sz="4" w:space="0" w:color="A6A6A6" w:themeColor="accent5"/>
            </w:tcBorders>
            <w:hideMark/>
          </w:tcPr>
          <w:p w14:paraId="00AE57DE" w14:textId="77777777" w:rsidR="00AC3C57" w:rsidRPr="00066515" w:rsidRDefault="00AC3C57" w:rsidP="0081090F">
            <w:pPr>
              <w:pStyle w:val="ARtabletextbold"/>
            </w:pPr>
            <w:r w:rsidRPr="00066515">
              <w:t>Evaluation of the Supporting Multicultural and Faith Communities to Prevent Family Violence Grants Program</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B6D8E54" w14:textId="4261245B" w:rsidR="00AC3C57" w:rsidRPr="00066515" w:rsidRDefault="00AC3C57">
            <w:pPr>
              <w:pStyle w:val="ARtabletext"/>
            </w:pPr>
            <w:r w:rsidRPr="00066515">
              <w:t>Seeking insights to inform program delivery and decision making about the future of the</w:t>
            </w:r>
            <w:r w:rsidR="00E512F5">
              <w:t> </w:t>
            </w:r>
            <w:r w:rsidRPr="00066515">
              <w:t>program</w:t>
            </w:r>
          </w:p>
        </w:tc>
        <w:tc>
          <w:tcPr>
            <w:tcW w:w="2693" w:type="dxa"/>
            <w:tcBorders>
              <w:top w:val="single" w:sz="4" w:space="0" w:color="A6A6A6" w:themeColor="accent5"/>
              <w:bottom w:val="single" w:sz="4" w:space="0" w:color="A6A6A6" w:themeColor="accent5"/>
            </w:tcBorders>
            <w:tcMar>
              <w:left w:w="113" w:type="dxa"/>
            </w:tcMar>
            <w:hideMark/>
          </w:tcPr>
          <w:p w14:paraId="74FA0C92" w14:textId="77777777" w:rsidR="00AC3C57" w:rsidRDefault="00AC3C57">
            <w:pPr>
              <w:pStyle w:val="ARtabletext"/>
            </w:pPr>
            <w:r w:rsidRPr="00066515">
              <w:t xml:space="preserve">Evaluate whether the program was working as intended and achieving its intended outcomes </w:t>
            </w:r>
          </w:p>
          <w:p w14:paraId="37C14376" w14:textId="77777777" w:rsidR="00AC3C57" w:rsidRDefault="00AC3C57">
            <w:pPr>
              <w:pStyle w:val="ARtabletext"/>
            </w:pPr>
            <w:r w:rsidRPr="00066515">
              <w:t>Build the evidence base on what works to intervene early and prevent family violence and all forms of violence against women in multicultural and faith communities</w:t>
            </w:r>
          </w:p>
          <w:p w14:paraId="0C45DA9D" w14:textId="10F63CEC" w:rsidR="00AC3C57" w:rsidRDefault="00AC3C57">
            <w:pPr>
              <w:pStyle w:val="ARtabletext"/>
            </w:pPr>
            <w:r w:rsidRPr="00066515">
              <w:t>Make recommendations to government on the future of</w:t>
            </w:r>
            <w:r w:rsidR="00E512F5">
              <w:t> </w:t>
            </w:r>
            <w:r w:rsidRPr="00066515">
              <w:t>this</w:t>
            </w:r>
            <w:r w:rsidR="0081090F">
              <w:t> </w:t>
            </w:r>
            <w:r w:rsidRPr="00066515">
              <w:t>wor</w:t>
            </w:r>
            <w:r>
              <w:t>k</w:t>
            </w:r>
          </w:p>
          <w:p w14:paraId="6EE07D38" w14:textId="77777777" w:rsidR="00AC3C57" w:rsidRPr="00066515" w:rsidRDefault="00AC3C57">
            <w:pPr>
              <w:pStyle w:val="ARtabletext"/>
            </w:pPr>
            <w:r w:rsidRPr="00066515">
              <w:t>Strengthen the monitoring and evaluation capabilities of funded organisations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530B26C" w14:textId="70D9E2F0" w:rsidR="00AC3C57" w:rsidRDefault="00AC3C57">
            <w:pPr>
              <w:pStyle w:val="ARtabletext"/>
            </w:pPr>
            <w:r w:rsidRPr="00066515">
              <w:t>Improved prevention project delivery and more informed decision making on future</w:t>
            </w:r>
            <w:r w:rsidR="000C235D">
              <w:t> </w:t>
            </w:r>
            <w:r w:rsidRPr="00066515">
              <w:t>delivery</w:t>
            </w:r>
          </w:p>
          <w:p w14:paraId="2839B46D" w14:textId="77777777" w:rsidR="00AC3C57" w:rsidRPr="00066515" w:rsidRDefault="00AC3C57">
            <w:pPr>
              <w:pStyle w:val="ARtabletext"/>
            </w:pPr>
            <w:r w:rsidRPr="00066515">
              <w:t>Improve capability of organisations to plan, collect data, monitor progress and report on outcomes</w:t>
            </w:r>
          </w:p>
        </w:tc>
        <w:tc>
          <w:tcPr>
            <w:tcW w:w="1293" w:type="dxa"/>
            <w:tcBorders>
              <w:top w:val="single" w:sz="4" w:space="0" w:color="A6A6A6" w:themeColor="accent5"/>
              <w:bottom w:val="single" w:sz="4" w:space="0" w:color="A6A6A6" w:themeColor="accent5"/>
            </w:tcBorders>
            <w:tcMar>
              <w:left w:w="113" w:type="dxa"/>
            </w:tcMar>
            <w:hideMark/>
          </w:tcPr>
          <w:p w14:paraId="48CB6F3F" w14:textId="77777777" w:rsidR="00AC3C57" w:rsidRPr="00066515" w:rsidRDefault="00AC3C57" w:rsidP="0081090F">
            <w:pPr>
              <w:pStyle w:val="ARtabletextright"/>
              <w:rPr>
                <w:rFonts w:eastAsia="Times New Roman"/>
                <w:color w:val="000000"/>
              </w:rPr>
            </w:pPr>
            <w:r>
              <w:rPr>
                <w:rFonts w:eastAsia="Times New Roman"/>
                <w:color w:val="000000"/>
              </w:rPr>
              <w:t>45</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F779FD3" w14:textId="77777777" w:rsidR="00AC3C57" w:rsidRPr="00066515" w:rsidRDefault="00AC3C57" w:rsidP="0081090F">
            <w:pPr>
              <w:pStyle w:val="ARtabletextright"/>
              <w:rPr>
                <w:rFonts w:eastAsia="Times New Roman"/>
                <w:color w:val="000000"/>
              </w:rPr>
            </w:pPr>
            <w:r>
              <w:rPr>
                <w:rFonts w:eastAsia="Times New Roman"/>
                <w:color w:val="000000"/>
              </w:rPr>
              <w:t>400</w:t>
            </w:r>
          </w:p>
        </w:tc>
        <w:tc>
          <w:tcPr>
            <w:tcW w:w="2063" w:type="dxa"/>
            <w:tcBorders>
              <w:top w:val="single" w:sz="4" w:space="0" w:color="A6A6A6" w:themeColor="accent5"/>
              <w:bottom w:val="single" w:sz="4" w:space="0" w:color="A6A6A6" w:themeColor="accent5"/>
            </w:tcBorders>
            <w:tcMar>
              <w:left w:w="113" w:type="dxa"/>
            </w:tcMar>
            <w:hideMark/>
          </w:tcPr>
          <w:p w14:paraId="6B3B369E" w14:textId="24463AF6" w:rsidR="00AC3C57" w:rsidRPr="00066515" w:rsidRDefault="00AC3C57" w:rsidP="009A471D">
            <w:pPr>
              <w:pStyle w:val="ARtabletext"/>
              <w:rPr>
                <w:rFonts w:eastAsia="Times New Roman"/>
                <w:color w:val="000000"/>
              </w:rPr>
            </w:pPr>
            <w:r w:rsidRPr="00066515">
              <w:rPr>
                <w:rFonts w:eastAsia="Times New Roman"/>
                <w:color w:val="000000"/>
              </w:rPr>
              <w:t>N</w:t>
            </w:r>
          </w:p>
        </w:tc>
      </w:tr>
      <w:tr w:rsidR="006171D5" w:rsidRPr="00E24A1E" w14:paraId="1DD3472F" w14:textId="77777777" w:rsidTr="0008394E">
        <w:tc>
          <w:tcPr>
            <w:tcW w:w="1845" w:type="dxa"/>
            <w:tcBorders>
              <w:top w:val="single" w:sz="4" w:space="0" w:color="A6A6A6" w:themeColor="accent5"/>
              <w:bottom w:val="single" w:sz="4" w:space="0" w:color="A6A6A6" w:themeColor="accent5"/>
            </w:tcBorders>
          </w:tcPr>
          <w:p w14:paraId="1A9EE392" w14:textId="4BC545F0" w:rsidR="006171D5" w:rsidRPr="00A906A4" w:rsidRDefault="006171D5" w:rsidP="006171D5">
            <w:pPr>
              <w:pStyle w:val="ARtabletextbold"/>
              <w:rPr>
                <w:rFonts w:asciiTheme="minorHAnsi" w:hAnsiTheme="minorHAnsi" w:cstheme="minorHAnsi"/>
              </w:rPr>
            </w:pPr>
            <w:r w:rsidRPr="00A906A4">
              <w:t>Evaluation of the Family Violence Disability Practice Leader Initiative</w:t>
            </w:r>
            <w:r w:rsidRPr="00A906A4">
              <w:rPr>
                <w:rFonts w:asciiTheme="minorHAnsi" w:hAnsiTheme="minorHAnsi" w:cstheme="minorHAnsi"/>
                <w:b w:val="0"/>
                <w:bCs/>
                <w:color w:val="C239B3"/>
              </w:rPr>
              <w:t> </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tcPr>
          <w:p w14:paraId="5C8D1A93" w14:textId="789C9B09" w:rsidR="006171D5" w:rsidRPr="00E24A1E" w:rsidRDefault="006171D5" w:rsidP="006171D5">
            <w:pPr>
              <w:pStyle w:val="ARtabletext"/>
            </w:pPr>
            <w:r w:rsidRPr="00A906A4">
              <w:t>Seeking insights to inform program delivery and decision making about the future of the</w:t>
            </w:r>
            <w:r w:rsidR="0098762A">
              <w:t> </w:t>
            </w:r>
            <w:r w:rsidRPr="00A906A4">
              <w:t>program. </w:t>
            </w:r>
          </w:p>
        </w:tc>
        <w:tc>
          <w:tcPr>
            <w:tcW w:w="2693" w:type="dxa"/>
            <w:tcBorders>
              <w:top w:val="single" w:sz="4" w:space="0" w:color="A6A6A6" w:themeColor="accent5"/>
              <w:bottom w:val="single" w:sz="4" w:space="0" w:color="A6A6A6" w:themeColor="accent5"/>
            </w:tcBorders>
            <w:tcMar>
              <w:left w:w="113" w:type="dxa"/>
            </w:tcMar>
          </w:tcPr>
          <w:p w14:paraId="352D31F5" w14:textId="08A54D95" w:rsidR="006171D5" w:rsidRPr="00A906A4" w:rsidRDefault="006171D5" w:rsidP="00A906A4">
            <w:pPr>
              <w:pStyle w:val="ARtabletext"/>
              <w:divId w:val="1786578132"/>
            </w:pPr>
            <w:r w:rsidRPr="00A906A4">
              <w:t>Evaluate whether the program was working as intended, achieving its intended outcomes, and on-track to deliver longer-term,</w:t>
            </w:r>
            <w:r w:rsidR="001C2F92">
              <w:t xml:space="preserve"> </w:t>
            </w:r>
            <w:r w:rsidRPr="00A906A4">
              <w:t>sustainable change. </w:t>
            </w:r>
          </w:p>
          <w:p w14:paraId="2C415EA2" w14:textId="21E265DD" w:rsidR="006171D5" w:rsidRPr="00E24A1E" w:rsidRDefault="006171D5" w:rsidP="006171D5">
            <w:pPr>
              <w:pStyle w:val="ARtabletext"/>
            </w:pPr>
            <w:r w:rsidRPr="00A906A4">
              <w:t>Make recommendations to government on the future of this work. </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tcPr>
          <w:p w14:paraId="62D82F89" w14:textId="4A6ED159" w:rsidR="006171D5" w:rsidRPr="00E24A1E" w:rsidRDefault="006171D5" w:rsidP="001C2F92">
            <w:pPr>
              <w:pStyle w:val="ARtabletext"/>
              <w:divId w:val="2129426366"/>
            </w:pPr>
            <w:r w:rsidRPr="00A906A4">
              <w:t>Improved delivery and more informed decision making on future delivery. </w:t>
            </w:r>
          </w:p>
        </w:tc>
        <w:tc>
          <w:tcPr>
            <w:tcW w:w="1293" w:type="dxa"/>
            <w:tcBorders>
              <w:top w:val="single" w:sz="4" w:space="0" w:color="A6A6A6" w:themeColor="accent5"/>
              <w:bottom w:val="single" w:sz="4" w:space="0" w:color="A6A6A6" w:themeColor="accent5"/>
            </w:tcBorders>
            <w:tcMar>
              <w:left w:w="113" w:type="dxa"/>
            </w:tcMar>
          </w:tcPr>
          <w:p w14:paraId="1AA48DF0" w14:textId="0831ED39" w:rsidR="006171D5" w:rsidRPr="00702CA8" w:rsidRDefault="006171D5" w:rsidP="0098762A">
            <w:pPr>
              <w:pStyle w:val="ARtabletextright"/>
              <w:divId w:val="333804554"/>
              <w:rPr>
                <w:rFonts w:eastAsia="Times New Roman"/>
                <w:color w:val="000000"/>
              </w:rPr>
            </w:pPr>
            <w:r w:rsidRPr="00A906A4">
              <w:rPr>
                <w:rFonts w:eastAsia="Times New Roman"/>
                <w:color w:val="000000"/>
              </w:rPr>
              <w:t>69 </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tcPr>
          <w:p w14:paraId="35E5EAA2" w14:textId="7D239B6F" w:rsidR="006171D5" w:rsidRPr="0098762A" w:rsidRDefault="006171D5" w:rsidP="0098762A">
            <w:pPr>
              <w:pStyle w:val="ARtabletextright"/>
              <w:divId w:val="430276422"/>
              <w:rPr>
                <w:color w:val="000000"/>
              </w:rPr>
            </w:pPr>
            <w:r w:rsidRPr="00A906A4">
              <w:rPr>
                <w:rFonts w:eastAsia="Times New Roman"/>
                <w:color w:val="000000"/>
              </w:rPr>
              <w:t>219</w:t>
            </w:r>
          </w:p>
        </w:tc>
        <w:tc>
          <w:tcPr>
            <w:tcW w:w="2063" w:type="dxa"/>
            <w:tcBorders>
              <w:top w:val="single" w:sz="4" w:space="0" w:color="A6A6A6" w:themeColor="accent5"/>
              <w:bottom w:val="single" w:sz="4" w:space="0" w:color="A6A6A6" w:themeColor="accent5"/>
            </w:tcBorders>
            <w:tcMar>
              <w:left w:w="113" w:type="dxa"/>
            </w:tcMar>
          </w:tcPr>
          <w:p w14:paraId="50671667" w14:textId="1EE36F8B" w:rsidR="006171D5" w:rsidRPr="00A906A4" w:rsidRDefault="006171D5" w:rsidP="0098762A">
            <w:pPr>
              <w:pStyle w:val="ARtabletext"/>
              <w:divId w:val="1339113968"/>
              <w:rPr>
                <w:rFonts w:asciiTheme="minorHAnsi" w:eastAsia="Times New Roman" w:hAnsiTheme="minorHAnsi" w:cstheme="minorHAnsi"/>
                <w:color w:val="000000"/>
              </w:rPr>
            </w:pPr>
            <w:r w:rsidRPr="00A906A4">
              <w:rPr>
                <w:rFonts w:eastAsia="Times New Roman"/>
                <w:color w:val="000000"/>
              </w:rPr>
              <w:t>N</w:t>
            </w:r>
          </w:p>
        </w:tc>
      </w:tr>
      <w:tr w:rsidR="0081090F" w:rsidRPr="00066515" w14:paraId="2087F339" w14:textId="77777777" w:rsidTr="0008394E">
        <w:tc>
          <w:tcPr>
            <w:tcW w:w="1845" w:type="dxa"/>
            <w:tcBorders>
              <w:top w:val="single" w:sz="4" w:space="0" w:color="A6A6A6" w:themeColor="accent5"/>
              <w:bottom w:val="single" w:sz="4" w:space="0" w:color="A6A6A6" w:themeColor="accent5"/>
            </w:tcBorders>
            <w:hideMark/>
          </w:tcPr>
          <w:p w14:paraId="1B6365FD" w14:textId="77777777" w:rsidR="00AC3C57" w:rsidRPr="00066515" w:rsidRDefault="00AC3C57" w:rsidP="0081090F">
            <w:pPr>
              <w:pStyle w:val="ARtabletextbold"/>
            </w:pPr>
            <w:r w:rsidRPr="00066515">
              <w:lastRenderedPageBreak/>
              <w:t>Child and young person-focused MARAM tool development</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4F4C57C0" w14:textId="77777777" w:rsidR="00AC3C57" w:rsidRPr="00066515" w:rsidRDefault="00AC3C57">
            <w:pPr>
              <w:pStyle w:val="ARtabletext"/>
            </w:pPr>
            <w:r w:rsidRPr="00066515">
              <w:t>Research approach taken to develop new family violence risk and wellbeing identification and assessment tools</w:t>
            </w:r>
          </w:p>
        </w:tc>
        <w:tc>
          <w:tcPr>
            <w:tcW w:w="2693" w:type="dxa"/>
            <w:tcBorders>
              <w:top w:val="single" w:sz="4" w:space="0" w:color="A6A6A6" w:themeColor="accent5"/>
              <w:bottom w:val="single" w:sz="4" w:space="0" w:color="A6A6A6" w:themeColor="accent5"/>
            </w:tcBorders>
            <w:tcMar>
              <w:left w:w="113" w:type="dxa"/>
            </w:tcMar>
            <w:hideMark/>
          </w:tcPr>
          <w:p w14:paraId="3ECF4D79" w14:textId="534E8FC4" w:rsidR="00AC3C57" w:rsidRPr="00066515" w:rsidRDefault="00AC3C57">
            <w:pPr>
              <w:pStyle w:val="ARtabletext"/>
            </w:pPr>
            <w:r w:rsidRPr="00066515">
              <w:t>Undertake a literature review of current evidence base. Undertake a Delphi study to reach consensus on wellbeing and family violence risk factors to include across the range of tools developed, as well as design of tools. Provide F</w:t>
            </w:r>
            <w:r w:rsidR="00622B72">
              <w:t xml:space="preserve">amily </w:t>
            </w:r>
            <w:r w:rsidRPr="00066515">
              <w:t>S</w:t>
            </w:r>
            <w:r w:rsidR="00622B72">
              <w:t xml:space="preserve">afety </w:t>
            </w:r>
            <w:r w:rsidRPr="00066515">
              <w:t>V</w:t>
            </w:r>
            <w:r w:rsidR="00622B72">
              <w:t>ictoria</w:t>
            </w:r>
            <w:r w:rsidRPr="00066515">
              <w:t xml:space="preserve"> with a final report documenting the research and</w:t>
            </w:r>
            <w:r w:rsidR="0081090F">
              <w:t> </w:t>
            </w:r>
            <w:r w:rsidRPr="00066515">
              <w:t>findings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1DBE3F0" w14:textId="77777777" w:rsidR="00AC3C57" w:rsidRPr="00066515" w:rsidRDefault="00AC3C57">
            <w:pPr>
              <w:pStyle w:val="ARtabletext"/>
            </w:pPr>
            <w:r w:rsidRPr="00066515">
              <w:t>Final family violence risk and wellbeing tools for working with children and young people published under the MARAM Framework</w:t>
            </w:r>
          </w:p>
        </w:tc>
        <w:tc>
          <w:tcPr>
            <w:tcW w:w="1293" w:type="dxa"/>
            <w:tcBorders>
              <w:top w:val="single" w:sz="4" w:space="0" w:color="A6A6A6" w:themeColor="accent5"/>
              <w:bottom w:val="single" w:sz="4" w:space="0" w:color="A6A6A6" w:themeColor="accent5"/>
            </w:tcBorders>
            <w:tcMar>
              <w:left w:w="113" w:type="dxa"/>
            </w:tcMar>
            <w:hideMark/>
          </w:tcPr>
          <w:p w14:paraId="5BC444E1" w14:textId="77777777" w:rsidR="00AC3C57" w:rsidRPr="00066515" w:rsidRDefault="00AC3C57" w:rsidP="0081090F">
            <w:pPr>
              <w:pStyle w:val="ARtabletextright"/>
              <w:rPr>
                <w:rFonts w:eastAsia="Times New Roman"/>
                <w:color w:val="000000"/>
              </w:rPr>
            </w:pPr>
            <w:r>
              <w:rPr>
                <w:rFonts w:eastAsia="Times New Roman"/>
                <w:color w:val="000000"/>
              </w:rPr>
              <w:t>32</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3934BA6" w14:textId="77777777" w:rsidR="00AC3C57" w:rsidRPr="00066515" w:rsidRDefault="00AC3C57" w:rsidP="0081090F">
            <w:pPr>
              <w:pStyle w:val="ARtabletextright"/>
              <w:rPr>
                <w:rFonts w:eastAsia="Times New Roman"/>
                <w:color w:val="000000"/>
              </w:rPr>
            </w:pPr>
            <w:r>
              <w:rPr>
                <w:rFonts w:eastAsia="Times New Roman"/>
                <w:color w:val="000000"/>
              </w:rPr>
              <w:t>225</w:t>
            </w:r>
          </w:p>
        </w:tc>
        <w:tc>
          <w:tcPr>
            <w:tcW w:w="2063" w:type="dxa"/>
            <w:tcBorders>
              <w:top w:val="single" w:sz="4" w:space="0" w:color="A6A6A6" w:themeColor="accent5"/>
              <w:bottom w:val="single" w:sz="4" w:space="0" w:color="A6A6A6" w:themeColor="accent5"/>
            </w:tcBorders>
            <w:tcMar>
              <w:left w:w="113" w:type="dxa"/>
            </w:tcMar>
            <w:hideMark/>
          </w:tcPr>
          <w:p w14:paraId="14C9E5F7" w14:textId="3550B1C1"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7ABFF379" w14:textId="77777777" w:rsidTr="0008394E">
        <w:tc>
          <w:tcPr>
            <w:tcW w:w="1845" w:type="dxa"/>
            <w:tcBorders>
              <w:top w:val="single" w:sz="4" w:space="0" w:color="A6A6A6" w:themeColor="accent5"/>
              <w:bottom w:val="single" w:sz="4" w:space="0" w:color="A6A6A6" w:themeColor="accent5"/>
            </w:tcBorders>
            <w:hideMark/>
          </w:tcPr>
          <w:p w14:paraId="1A8A97EB" w14:textId="77777777" w:rsidR="00AC3C57" w:rsidRPr="00066515" w:rsidRDefault="00AC3C57" w:rsidP="0081090F">
            <w:pPr>
              <w:pStyle w:val="ARtabletextbold"/>
            </w:pPr>
            <w:r w:rsidRPr="00066515">
              <w:t>Evaluation of the Supporting Young People to Understand Affirmative Consent Program</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51F2CD6A" w14:textId="77777777" w:rsidR="00AC3C57" w:rsidRPr="00066515" w:rsidRDefault="00AC3C57">
            <w:pPr>
              <w:pStyle w:val="ARtabletext"/>
            </w:pPr>
            <w:r w:rsidRPr="00066515">
              <w:t>Seeking insights to understand the impact of the program and support decision making about future programs to engage young people and their key influencers</w:t>
            </w:r>
            <w:r w:rsidRPr="00E06E63">
              <w:t xml:space="preserve"> </w:t>
            </w:r>
            <w:r w:rsidRPr="00066515">
              <w:t>in affirmative consent education</w:t>
            </w:r>
          </w:p>
        </w:tc>
        <w:tc>
          <w:tcPr>
            <w:tcW w:w="2693" w:type="dxa"/>
            <w:tcBorders>
              <w:top w:val="single" w:sz="4" w:space="0" w:color="A6A6A6" w:themeColor="accent5"/>
              <w:bottom w:val="single" w:sz="4" w:space="0" w:color="A6A6A6" w:themeColor="accent5"/>
            </w:tcBorders>
            <w:tcMar>
              <w:left w:w="113" w:type="dxa"/>
            </w:tcMar>
            <w:hideMark/>
          </w:tcPr>
          <w:p w14:paraId="6ABF3A71" w14:textId="77777777" w:rsidR="00AC3C57" w:rsidRPr="00E06E63" w:rsidRDefault="00AC3C57">
            <w:pPr>
              <w:pStyle w:val="ARtabletext"/>
            </w:pPr>
            <w:r w:rsidRPr="00066515">
              <w:t>To evaluate the appropriateness, efficiency, effectiveness and value for money of the program.</w:t>
            </w:r>
            <w:r w:rsidRPr="00E06E63">
              <w:t xml:space="preserve"> </w:t>
            </w:r>
          </w:p>
          <w:p w14:paraId="4531E036" w14:textId="3DCB9A33" w:rsidR="00AC3C57" w:rsidRPr="00D17E03" w:rsidRDefault="00AC3C57">
            <w:pPr>
              <w:pStyle w:val="ARtabletext"/>
            </w:pPr>
            <w:r w:rsidRPr="00D17E03">
              <w:t>Make recommendations to government on the future of this</w:t>
            </w:r>
            <w:r w:rsidR="0081090F">
              <w:t> </w:t>
            </w:r>
            <w:r w:rsidRPr="00D17E03">
              <w:t>work</w:t>
            </w:r>
          </w:p>
          <w:p w14:paraId="25734552" w14:textId="3809AD62" w:rsidR="00AC3C57" w:rsidRPr="00066515" w:rsidRDefault="00AC3C57">
            <w:pPr>
              <w:pStyle w:val="ARtabletext"/>
            </w:pPr>
            <w:r w:rsidRPr="00D17E03">
              <w:t>Strengthen the monitoring and</w:t>
            </w:r>
            <w:r w:rsidR="004430F9">
              <w:t> </w:t>
            </w:r>
            <w:r w:rsidRPr="00D17E03">
              <w:t>evaluation capabilities of</w:t>
            </w:r>
            <w:r w:rsidR="004430F9">
              <w:t> </w:t>
            </w:r>
            <w:r w:rsidRPr="00D17E03">
              <w:t>funded</w:t>
            </w:r>
            <w:r w:rsidR="00F9300C">
              <w:t> </w:t>
            </w:r>
            <w:r w:rsidRPr="00D17E03">
              <w:t>organisations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52371C20" w14:textId="77777777" w:rsidR="00AC3C57" w:rsidRPr="00066515" w:rsidRDefault="00AC3C57">
            <w:pPr>
              <w:pStyle w:val="ARtabletext"/>
            </w:pPr>
            <w:r w:rsidRPr="00066515">
              <w:t>Strengthened evidence base about what works. Findings used to inform future strategic and programmatic directions</w:t>
            </w:r>
          </w:p>
        </w:tc>
        <w:tc>
          <w:tcPr>
            <w:tcW w:w="1293" w:type="dxa"/>
            <w:tcBorders>
              <w:top w:val="single" w:sz="4" w:space="0" w:color="A6A6A6" w:themeColor="accent5"/>
              <w:bottom w:val="single" w:sz="4" w:space="0" w:color="A6A6A6" w:themeColor="accent5"/>
            </w:tcBorders>
            <w:tcMar>
              <w:left w:w="113" w:type="dxa"/>
            </w:tcMar>
            <w:hideMark/>
          </w:tcPr>
          <w:p w14:paraId="273EE074" w14:textId="77777777" w:rsidR="00AC3C57" w:rsidRPr="00066515" w:rsidRDefault="00AC3C57" w:rsidP="0081090F">
            <w:pPr>
              <w:pStyle w:val="ARtabletextright"/>
              <w:rPr>
                <w:rFonts w:eastAsia="Times New Roman"/>
                <w:color w:val="000000"/>
              </w:rPr>
            </w:pPr>
            <w:r>
              <w:rPr>
                <w:rFonts w:eastAsia="Times New Roman"/>
                <w:color w:val="000000"/>
              </w:rPr>
              <w:t>118</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2357A0A" w14:textId="77777777" w:rsidR="00AC3C57" w:rsidRPr="00066515" w:rsidRDefault="00AC3C57" w:rsidP="0081090F">
            <w:pPr>
              <w:pStyle w:val="ARtabletextright"/>
              <w:rPr>
                <w:rFonts w:eastAsia="Times New Roman"/>
                <w:color w:val="000000"/>
              </w:rPr>
            </w:pPr>
            <w:r>
              <w:rPr>
                <w:rFonts w:eastAsia="Times New Roman"/>
                <w:color w:val="000000"/>
              </w:rPr>
              <w:t>531</w:t>
            </w:r>
          </w:p>
        </w:tc>
        <w:tc>
          <w:tcPr>
            <w:tcW w:w="2063" w:type="dxa"/>
            <w:tcBorders>
              <w:top w:val="single" w:sz="4" w:space="0" w:color="A6A6A6" w:themeColor="accent5"/>
              <w:bottom w:val="single" w:sz="4" w:space="0" w:color="A6A6A6" w:themeColor="accent5"/>
            </w:tcBorders>
            <w:tcMar>
              <w:left w:w="113" w:type="dxa"/>
            </w:tcMar>
            <w:hideMark/>
          </w:tcPr>
          <w:p w14:paraId="48979871" w14:textId="73C0106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0C3174E6" w14:textId="77777777" w:rsidTr="0008394E">
        <w:tc>
          <w:tcPr>
            <w:tcW w:w="1845" w:type="dxa"/>
            <w:tcBorders>
              <w:top w:val="single" w:sz="4" w:space="0" w:color="A6A6A6" w:themeColor="accent5"/>
              <w:bottom w:val="single" w:sz="4" w:space="0" w:color="A6A6A6" w:themeColor="accent5"/>
            </w:tcBorders>
            <w:hideMark/>
          </w:tcPr>
          <w:p w14:paraId="30EC73A7" w14:textId="77777777" w:rsidR="00AC3C57" w:rsidRPr="00066515" w:rsidRDefault="00AC3C57" w:rsidP="0081090F">
            <w:pPr>
              <w:pStyle w:val="ARtabletextbold"/>
            </w:pPr>
            <w:r w:rsidRPr="00066515">
              <w:t xml:space="preserve">Family Violence Multi Agency Risk Assessment and Management (MARAM) 5-year evidence review – </w:t>
            </w:r>
            <w:r>
              <w:t>d</w:t>
            </w:r>
            <w:r w:rsidRPr="00066515">
              <w:t xml:space="preserve">ate review </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7A1D8988" w14:textId="77777777" w:rsidR="00AC3C57" w:rsidRPr="00E06E63" w:rsidRDefault="00AC3C57">
            <w:pPr>
              <w:pStyle w:val="ARtabletext"/>
              <w:rPr>
                <w:rStyle w:val="Emphasis"/>
              </w:rPr>
            </w:pPr>
            <w:r w:rsidRPr="00066515">
              <w:t xml:space="preserve">Part 2 of 5-year evidence review of MARAM required under the </w:t>
            </w:r>
            <w:r w:rsidRPr="00E06E63">
              <w:rPr>
                <w:rStyle w:val="Emphasis"/>
              </w:rPr>
              <w:t>Family Violence Protection Act 2008</w:t>
            </w:r>
          </w:p>
        </w:tc>
        <w:tc>
          <w:tcPr>
            <w:tcW w:w="2693" w:type="dxa"/>
            <w:tcBorders>
              <w:top w:val="single" w:sz="4" w:space="0" w:color="A6A6A6" w:themeColor="accent5"/>
              <w:bottom w:val="single" w:sz="4" w:space="0" w:color="A6A6A6" w:themeColor="accent5"/>
            </w:tcBorders>
            <w:tcMar>
              <w:left w:w="113" w:type="dxa"/>
            </w:tcMar>
            <w:hideMark/>
          </w:tcPr>
          <w:p w14:paraId="5A322BA1" w14:textId="5D76A187" w:rsidR="00AC3C57" w:rsidRPr="00066515" w:rsidRDefault="00AC3C57">
            <w:pPr>
              <w:pStyle w:val="ARtabletext"/>
            </w:pPr>
            <w:r w:rsidRPr="00066515">
              <w:t>Using identified data sources, review MARAM evidence-based risk factors for their alignment to seriousness of</w:t>
            </w:r>
            <w:r w:rsidR="00F07E6E">
              <w:t xml:space="preserve"> </w:t>
            </w:r>
            <w:r w:rsidRPr="00066515">
              <w:t>family violence risk</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51C097D4" w14:textId="414535CE" w:rsidR="00AC3C57" w:rsidRPr="00066515" w:rsidRDefault="00AC3C57">
            <w:pPr>
              <w:pStyle w:val="ARtabletext"/>
            </w:pPr>
            <w:r w:rsidRPr="00066515">
              <w:t>Findings seek to validate the data and evidence underpinning the MARAM family violence risk factors and</w:t>
            </w:r>
            <w:r w:rsidR="00C7167C">
              <w:t> </w:t>
            </w:r>
            <w:r w:rsidRPr="00066515">
              <w:t>contribute to updating legislated MARAM Framework</w:t>
            </w:r>
          </w:p>
        </w:tc>
        <w:tc>
          <w:tcPr>
            <w:tcW w:w="1293" w:type="dxa"/>
            <w:tcBorders>
              <w:top w:val="single" w:sz="4" w:space="0" w:color="A6A6A6" w:themeColor="accent5"/>
              <w:bottom w:val="single" w:sz="4" w:space="0" w:color="A6A6A6" w:themeColor="accent5"/>
            </w:tcBorders>
            <w:tcMar>
              <w:left w:w="113" w:type="dxa"/>
            </w:tcMar>
            <w:hideMark/>
          </w:tcPr>
          <w:p w14:paraId="648D7FC6" w14:textId="77777777" w:rsidR="00AC3C57" w:rsidRPr="00066515" w:rsidRDefault="00AC3C57" w:rsidP="0081090F">
            <w:pPr>
              <w:pStyle w:val="ARtabletextright"/>
              <w:rPr>
                <w:rFonts w:eastAsia="Times New Roman"/>
                <w:color w:val="000000"/>
              </w:rPr>
            </w:pPr>
            <w:r>
              <w:rPr>
                <w:rFonts w:eastAsia="Times New Roman"/>
                <w:color w:val="000000"/>
              </w:rPr>
              <w:t>18</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236BAE04" w14:textId="77777777" w:rsidR="00AC3C57" w:rsidRPr="00066515" w:rsidRDefault="00AC3C57" w:rsidP="0081090F">
            <w:pPr>
              <w:pStyle w:val="ARtabletextright"/>
              <w:rPr>
                <w:rFonts w:eastAsia="Times New Roman"/>
                <w:color w:val="000000"/>
              </w:rPr>
            </w:pPr>
            <w:r>
              <w:rPr>
                <w:rFonts w:eastAsia="Times New Roman"/>
                <w:color w:val="000000"/>
              </w:rPr>
              <w:t>58</w:t>
            </w:r>
          </w:p>
        </w:tc>
        <w:tc>
          <w:tcPr>
            <w:tcW w:w="2063" w:type="dxa"/>
            <w:tcBorders>
              <w:top w:val="single" w:sz="4" w:space="0" w:color="A6A6A6" w:themeColor="accent5"/>
              <w:bottom w:val="single" w:sz="4" w:space="0" w:color="A6A6A6" w:themeColor="accent5"/>
            </w:tcBorders>
            <w:tcMar>
              <w:left w:w="113" w:type="dxa"/>
            </w:tcMar>
            <w:hideMark/>
          </w:tcPr>
          <w:p w14:paraId="74FF962F" w14:textId="2A4230B6"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08B79CC2" w14:textId="77777777" w:rsidTr="0008394E">
        <w:tc>
          <w:tcPr>
            <w:tcW w:w="1845" w:type="dxa"/>
            <w:tcBorders>
              <w:top w:val="single" w:sz="4" w:space="0" w:color="A6A6A6" w:themeColor="accent5"/>
              <w:bottom w:val="single" w:sz="4" w:space="0" w:color="A6A6A6" w:themeColor="accent5"/>
            </w:tcBorders>
            <w:hideMark/>
          </w:tcPr>
          <w:p w14:paraId="605E5DB7" w14:textId="77777777" w:rsidR="00AC3C57" w:rsidRPr="00066515" w:rsidRDefault="00AC3C57" w:rsidP="0081090F">
            <w:pPr>
              <w:pStyle w:val="ARtabletextbold"/>
            </w:pPr>
            <w:r w:rsidRPr="00066515">
              <w:lastRenderedPageBreak/>
              <w:t>Evaluation of the Free from Violence Local Government Program 2022</w:t>
            </w:r>
            <w:r>
              <w:t>–</w:t>
            </w:r>
            <w:r w:rsidRPr="00066515">
              <w:t>25 and 2024</w:t>
            </w:r>
            <w:r>
              <w:t>–</w:t>
            </w:r>
            <w:r w:rsidRPr="00066515">
              <w:t>27</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F3E1E3C" w14:textId="3F8D54FC" w:rsidR="00AC3C57" w:rsidRPr="00066515" w:rsidRDefault="00AC3C57">
            <w:pPr>
              <w:pStyle w:val="ARtabletext"/>
            </w:pPr>
            <w:r w:rsidRPr="00066515">
              <w:t>Seeking insights to understand the impact of the program and decision making about the future of</w:t>
            </w:r>
            <w:r w:rsidR="0008394E">
              <w:t> </w:t>
            </w:r>
            <w:r w:rsidRPr="00066515">
              <w:t>the program</w:t>
            </w:r>
          </w:p>
        </w:tc>
        <w:tc>
          <w:tcPr>
            <w:tcW w:w="2693" w:type="dxa"/>
            <w:tcBorders>
              <w:top w:val="single" w:sz="4" w:space="0" w:color="A6A6A6" w:themeColor="accent5"/>
              <w:bottom w:val="single" w:sz="4" w:space="0" w:color="A6A6A6" w:themeColor="accent5"/>
            </w:tcBorders>
            <w:tcMar>
              <w:left w:w="113" w:type="dxa"/>
            </w:tcMar>
            <w:hideMark/>
          </w:tcPr>
          <w:p w14:paraId="2D1A94BA" w14:textId="7BA447D6" w:rsidR="00AC3C57" w:rsidRDefault="00AC3C57">
            <w:pPr>
              <w:pStyle w:val="ARtabletext"/>
            </w:pPr>
            <w:r w:rsidRPr="00066515">
              <w:t>Assess the appropriateness, effectiveness, impact, and value for money of the</w:t>
            </w:r>
            <w:r w:rsidR="00C77F68">
              <w:t> </w:t>
            </w:r>
            <w:r w:rsidRPr="00066515">
              <w:t>program</w:t>
            </w:r>
          </w:p>
          <w:p w14:paraId="6FC86E7F" w14:textId="77777777" w:rsidR="00AC3C57" w:rsidRDefault="00AC3C57">
            <w:pPr>
              <w:pStyle w:val="ARtabletext"/>
            </w:pPr>
            <w:r w:rsidRPr="00066515">
              <w:t>Assess the effectiveness and uptake of identified resources across councils, to inform improvements</w:t>
            </w:r>
          </w:p>
          <w:p w14:paraId="7743F08D" w14:textId="77777777" w:rsidR="00AC3C57" w:rsidRPr="00066515" w:rsidRDefault="00AC3C57">
            <w:pPr>
              <w:pStyle w:val="ARtabletext"/>
            </w:pPr>
            <w:r w:rsidRPr="00066515">
              <w:t>Provide directions on whether and how the program should be replicated and scaled up in the future</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04703927" w14:textId="47F7CB42" w:rsidR="00AC3C57" w:rsidRDefault="00AC3C57">
            <w:pPr>
              <w:pStyle w:val="ARtabletext"/>
            </w:pPr>
            <w:r w:rsidRPr="00066515">
              <w:t>Strengthened evidence base about what works to prevent gender-based violence at the local government</w:t>
            </w:r>
            <w:r w:rsidR="00F9300C">
              <w:t> </w:t>
            </w:r>
            <w:r w:rsidRPr="00066515">
              <w:t>level</w:t>
            </w:r>
          </w:p>
          <w:p w14:paraId="604D3E3F" w14:textId="77777777" w:rsidR="00AC3C57" w:rsidRDefault="00AC3C57">
            <w:pPr>
              <w:pStyle w:val="ARtabletext"/>
            </w:pPr>
            <w:r w:rsidRPr="00066515">
              <w:t>Findings will inform future strategic and programmatic directions</w:t>
            </w:r>
          </w:p>
          <w:p w14:paraId="0E59CFC1" w14:textId="77777777" w:rsidR="00AC3C57" w:rsidRPr="00066515" w:rsidRDefault="00AC3C57">
            <w:pPr>
              <w:pStyle w:val="ARtabletext"/>
            </w:pPr>
            <w:r w:rsidRPr="00066515">
              <w:t>Building Victorian councils’ capability to plan, collect data, monitor progress and report outcomes</w:t>
            </w:r>
          </w:p>
        </w:tc>
        <w:tc>
          <w:tcPr>
            <w:tcW w:w="1293" w:type="dxa"/>
            <w:tcBorders>
              <w:top w:val="single" w:sz="4" w:space="0" w:color="A6A6A6" w:themeColor="accent5"/>
              <w:bottom w:val="single" w:sz="4" w:space="0" w:color="A6A6A6" w:themeColor="accent5"/>
            </w:tcBorders>
            <w:tcMar>
              <w:left w:w="113" w:type="dxa"/>
            </w:tcMar>
            <w:hideMark/>
          </w:tcPr>
          <w:p w14:paraId="2683E2ED" w14:textId="77777777" w:rsidR="00AC3C57" w:rsidRPr="00066515" w:rsidRDefault="00AC3C57" w:rsidP="0081090F">
            <w:pPr>
              <w:pStyle w:val="ARtabletextright"/>
              <w:rPr>
                <w:rFonts w:eastAsia="Times New Roman"/>
                <w:color w:val="000000"/>
              </w:rPr>
            </w:pPr>
            <w:r>
              <w:rPr>
                <w:rFonts w:eastAsia="Times New Roman"/>
                <w:color w:val="000000"/>
              </w:rPr>
              <w:t>91</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2CA56056" w14:textId="77777777" w:rsidR="00AC3C57" w:rsidRPr="00066515" w:rsidRDefault="00AC3C57" w:rsidP="0081090F">
            <w:pPr>
              <w:pStyle w:val="ARtabletextright"/>
              <w:rPr>
                <w:rFonts w:eastAsia="Times New Roman"/>
                <w:color w:val="000000"/>
              </w:rPr>
            </w:pPr>
            <w:r>
              <w:rPr>
                <w:rFonts w:eastAsia="Times New Roman"/>
                <w:color w:val="000000"/>
              </w:rPr>
              <w:t>566</w:t>
            </w:r>
          </w:p>
        </w:tc>
        <w:tc>
          <w:tcPr>
            <w:tcW w:w="2063" w:type="dxa"/>
            <w:tcBorders>
              <w:top w:val="single" w:sz="4" w:space="0" w:color="A6A6A6" w:themeColor="accent5"/>
              <w:bottom w:val="single" w:sz="4" w:space="0" w:color="A6A6A6" w:themeColor="accent5"/>
            </w:tcBorders>
            <w:tcMar>
              <w:left w:w="113" w:type="dxa"/>
            </w:tcMar>
            <w:hideMark/>
          </w:tcPr>
          <w:p w14:paraId="5F6D8C98" w14:textId="46B59379"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4E4C9EB5" w14:textId="77777777" w:rsidTr="0008394E">
        <w:tc>
          <w:tcPr>
            <w:tcW w:w="1845" w:type="dxa"/>
            <w:tcBorders>
              <w:top w:val="single" w:sz="4" w:space="0" w:color="A6A6A6" w:themeColor="accent5"/>
              <w:bottom w:val="single" w:sz="4" w:space="0" w:color="A6A6A6" w:themeColor="accent5"/>
            </w:tcBorders>
            <w:hideMark/>
          </w:tcPr>
          <w:p w14:paraId="0705636C" w14:textId="77777777" w:rsidR="00AC3C57" w:rsidRPr="00066515" w:rsidRDefault="00AC3C57" w:rsidP="0081090F">
            <w:pPr>
              <w:pStyle w:val="ARtabletextbold"/>
            </w:pPr>
            <w:r w:rsidRPr="00066515">
              <w:t>Market research on sexual violence, masculinity and pornography</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74C3C866" w14:textId="77777777" w:rsidR="00AC3C57" w:rsidRPr="00066515" w:rsidRDefault="00AC3C57">
            <w:pPr>
              <w:pStyle w:val="ARtabletext"/>
            </w:pPr>
            <w:r w:rsidRPr="00066515">
              <w:t>To assist in the development of program and policy responses</w:t>
            </w:r>
          </w:p>
        </w:tc>
        <w:tc>
          <w:tcPr>
            <w:tcW w:w="2693" w:type="dxa"/>
            <w:tcBorders>
              <w:top w:val="single" w:sz="4" w:space="0" w:color="A6A6A6" w:themeColor="accent5"/>
              <w:bottom w:val="single" w:sz="4" w:space="0" w:color="A6A6A6" w:themeColor="accent5"/>
            </w:tcBorders>
            <w:tcMar>
              <w:left w:w="113" w:type="dxa"/>
            </w:tcMar>
            <w:hideMark/>
          </w:tcPr>
          <w:p w14:paraId="15EBEAAB" w14:textId="74945D12" w:rsidR="00AC3C57" w:rsidRPr="00066515" w:rsidRDefault="00AC3C57">
            <w:pPr>
              <w:pStyle w:val="ARtabletext"/>
            </w:pPr>
            <w:r w:rsidRPr="00066515">
              <w:t>Qualitative and quantitative market research to identify and refine the target audiences, identify and test messaging and identify insights and opportunities to inform and guide campaigns, policies and</w:t>
            </w:r>
            <w:r w:rsidR="006616D8">
              <w:t> </w:t>
            </w:r>
            <w:r w:rsidRPr="00066515">
              <w:t>program</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6964E1B" w14:textId="77777777" w:rsidR="00AC3C57" w:rsidRPr="00066515" w:rsidRDefault="00AC3C57">
            <w:pPr>
              <w:pStyle w:val="ARtabletext"/>
            </w:pPr>
            <w:r w:rsidRPr="00066515">
              <w:t>Research to inform effective approaches to engage with key identified audiences</w:t>
            </w:r>
          </w:p>
        </w:tc>
        <w:tc>
          <w:tcPr>
            <w:tcW w:w="1293" w:type="dxa"/>
            <w:tcBorders>
              <w:top w:val="single" w:sz="4" w:space="0" w:color="A6A6A6" w:themeColor="accent5"/>
              <w:bottom w:val="single" w:sz="4" w:space="0" w:color="A6A6A6" w:themeColor="accent5"/>
            </w:tcBorders>
            <w:tcMar>
              <w:left w:w="113" w:type="dxa"/>
            </w:tcMar>
            <w:hideMark/>
          </w:tcPr>
          <w:p w14:paraId="1F3F2D30" w14:textId="77777777" w:rsidR="00AC3C57" w:rsidRPr="00066515" w:rsidRDefault="00AC3C57" w:rsidP="0081090F">
            <w:pPr>
              <w:pStyle w:val="ARtabletextright"/>
              <w:rPr>
                <w:rFonts w:eastAsia="Times New Roman"/>
                <w:color w:val="000000"/>
              </w:rPr>
            </w:pPr>
            <w:r>
              <w:rPr>
                <w:rFonts w:eastAsia="Times New Roman"/>
                <w:color w:val="000000"/>
              </w:rPr>
              <w:t>51</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55B559EF" w14:textId="77777777" w:rsidR="00AC3C57" w:rsidRPr="00066515" w:rsidRDefault="00AC3C57" w:rsidP="0081090F">
            <w:pPr>
              <w:pStyle w:val="ARtabletextright"/>
              <w:rPr>
                <w:rFonts w:eastAsia="Times New Roman"/>
                <w:color w:val="000000"/>
              </w:rPr>
            </w:pPr>
            <w:r>
              <w:rPr>
                <w:rFonts w:eastAsia="Times New Roman"/>
                <w:color w:val="000000"/>
              </w:rPr>
              <w:t>515</w:t>
            </w:r>
          </w:p>
        </w:tc>
        <w:tc>
          <w:tcPr>
            <w:tcW w:w="2063" w:type="dxa"/>
            <w:tcBorders>
              <w:top w:val="single" w:sz="4" w:space="0" w:color="A6A6A6" w:themeColor="accent5"/>
              <w:bottom w:val="single" w:sz="4" w:space="0" w:color="A6A6A6" w:themeColor="accent5"/>
            </w:tcBorders>
            <w:tcMar>
              <w:left w:w="113" w:type="dxa"/>
            </w:tcMar>
            <w:hideMark/>
          </w:tcPr>
          <w:p w14:paraId="29481B50" w14:textId="3EE7595B"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6064EA3A" w14:textId="77777777" w:rsidTr="0008394E">
        <w:tc>
          <w:tcPr>
            <w:tcW w:w="1845" w:type="dxa"/>
            <w:tcBorders>
              <w:top w:val="single" w:sz="4" w:space="0" w:color="A6A6A6" w:themeColor="accent5"/>
              <w:bottom w:val="single" w:sz="4" w:space="0" w:color="A6A6A6" w:themeColor="accent5"/>
            </w:tcBorders>
            <w:hideMark/>
          </w:tcPr>
          <w:p w14:paraId="6C716D01" w14:textId="77777777" w:rsidR="00AC3C57" w:rsidRPr="00066515" w:rsidRDefault="00AC3C57" w:rsidP="0081090F">
            <w:pPr>
              <w:pStyle w:val="ARtabletextbold"/>
            </w:pPr>
            <w:r w:rsidRPr="00066515">
              <w:t>Evaluation of the Change Makers early intervention project</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566FA4BD" w14:textId="77777777" w:rsidR="00AC3C57" w:rsidRPr="00066515" w:rsidRDefault="00AC3C57">
            <w:pPr>
              <w:pStyle w:val="ARtabletext"/>
            </w:pPr>
            <w:r w:rsidRPr="00066515">
              <w:t>The evaluation seeks to understand what aspects of the program are working, for whom and why</w:t>
            </w:r>
          </w:p>
        </w:tc>
        <w:tc>
          <w:tcPr>
            <w:tcW w:w="2693" w:type="dxa"/>
            <w:tcBorders>
              <w:top w:val="single" w:sz="4" w:space="0" w:color="A6A6A6" w:themeColor="accent5"/>
              <w:bottom w:val="single" w:sz="4" w:space="0" w:color="A6A6A6" w:themeColor="accent5"/>
            </w:tcBorders>
            <w:tcMar>
              <w:left w:w="113" w:type="dxa"/>
            </w:tcMar>
            <w:hideMark/>
          </w:tcPr>
          <w:p w14:paraId="140FDDB9" w14:textId="56ED74C1" w:rsidR="00AC3C57" w:rsidRDefault="00AC3C57">
            <w:pPr>
              <w:pStyle w:val="ARtabletext"/>
            </w:pPr>
            <w:r w:rsidRPr="00066515">
              <w:t>Evaluation to examine how the</w:t>
            </w:r>
            <w:r w:rsidR="00C7167C">
              <w:t> </w:t>
            </w:r>
            <w:r w:rsidRPr="00066515">
              <w:t>program is delivered across different</w:t>
            </w:r>
            <w:r w:rsidR="0008394E">
              <w:t> </w:t>
            </w:r>
            <w:r w:rsidRPr="00066515">
              <w:t>settings</w:t>
            </w:r>
          </w:p>
          <w:p w14:paraId="3FB9CDBC" w14:textId="63D8BCD2" w:rsidR="00AC3C57" w:rsidRDefault="00AC3C57">
            <w:pPr>
              <w:pStyle w:val="ARtabletext"/>
            </w:pPr>
            <w:r>
              <w:t>Ve</w:t>
            </w:r>
            <w:r w:rsidRPr="00066515">
              <w:t>rify the link between program activities and</w:t>
            </w:r>
            <w:r w:rsidR="0008394E">
              <w:t> </w:t>
            </w:r>
            <w:r w:rsidRPr="00066515">
              <w:t xml:space="preserve">outcomes </w:t>
            </w:r>
          </w:p>
          <w:p w14:paraId="561682BB" w14:textId="77777777" w:rsidR="00AC3C57" w:rsidRPr="00066515" w:rsidRDefault="00AC3C57">
            <w:pPr>
              <w:pStyle w:val="ARtabletext"/>
            </w:pPr>
            <w:r>
              <w:t>I</w:t>
            </w:r>
            <w:r w:rsidRPr="00066515">
              <w:t>dentify and measure and the program’s economic costs and benefits and its sustainability</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8A22D2E" w14:textId="77777777" w:rsidR="00AC3C57" w:rsidRPr="00066515" w:rsidRDefault="00AC3C57">
            <w:pPr>
              <w:pStyle w:val="ARtabletext"/>
            </w:pPr>
            <w:r w:rsidRPr="00066515">
              <w:t>Build the evidence base to understand what types of interventions are effective to guide future investment</w:t>
            </w:r>
          </w:p>
          <w:p w14:paraId="40AC111B" w14:textId="5E1665C4" w:rsidR="00AC3C57" w:rsidRPr="00066515" w:rsidRDefault="00AC3C57">
            <w:pPr>
              <w:pStyle w:val="ARtabletext"/>
            </w:pPr>
            <w:r w:rsidRPr="00066515">
              <w:t>Determine value for money and how</w:t>
            </w:r>
            <w:r w:rsidR="0008394E">
              <w:t> </w:t>
            </w:r>
            <w:r w:rsidRPr="00066515">
              <w:t>the program can be improved to</w:t>
            </w:r>
            <w:r w:rsidR="0008394E">
              <w:t> </w:t>
            </w:r>
            <w:r w:rsidRPr="00066515">
              <w:t>maximise impact and ongoing</w:t>
            </w:r>
            <w:r w:rsidR="0008394E">
              <w:t> </w:t>
            </w:r>
            <w:r w:rsidRPr="00066515">
              <w:t>sustainability</w:t>
            </w:r>
          </w:p>
        </w:tc>
        <w:tc>
          <w:tcPr>
            <w:tcW w:w="1293" w:type="dxa"/>
            <w:tcBorders>
              <w:top w:val="single" w:sz="4" w:space="0" w:color="A6A6A6" w:themeColor="accent5"/>
              <w:bottom w:val="single" w:sz="4" w:space="0" w:color="A6A6A6" w:themeColor="accent5"/>
            </w:tcBorders>
            <w:tcMar>
              <w:left w:w="113" w:type="dxa"/>
            </w:tcMar>
            <w:hideMark/>
          </w:tcPr>
          <w:p w14:paraId="24191905" w14:textId="77777777" w:rsidR="00AC3C57" w:rsidRPr="00066515" w:rsidRDefault="00AC3C57" w:rsidP="0081090F">
            <w:pPr>
              <w:pStyle w:val="ARtabletextright"/>
              <w:rPr>
                <w:rFonts w:eastAsia="Times New Roman"/>
                <w:color w:val="000000"/>
              </w:rPr>
            </w:pPr>
            <w:r>
              <w:rPr>
                <w:rFonts w:eastAsia="Times New Roman"/>
                <w:color w:val="000000"/>
              </w:rPr>
              <w:t>111</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71E190FB" w14:textId="77777777" w:rsidR="00AC3C57" w:rsidRPr="00066515" w:rsidRDefault="00AC3C57" w:rsidP="0081090F">
            <w:pPr>
              <w:pStyle w:val="ARtabletextright"/>
              <w:rPr>
                <w:rFonts w:eastAsia="Times New Roman"/>
                <w:color w:val="000000"/>
              </w:rPr>
            </w:pPr>
            <w:r>
              <w:rPr>
                <w:rFonts w:eastAsia="Times New Roman"/>
                <w:color w:val="000000"/>
              </w:rPr>
              <w:t>510</w:t>
            </w:r>
          </w:p>
        </w:tc>
        <w:tc>
          <w:tcPr>
            <w:tcW w:w="2063" w:type="dxa"/>
            <w:tcBorders>
              <w:top w:val="single" w:sz="4" w:space="0" w:color="A6A6A6" w:themeColor="accent5"/>
              <w:bottom w:val="single" w:sz="4" w:space="0" w:color="A6A6A6" w:themeColor="accent5"/>
            </w:tcBorders>
            <w:tcMar>
              <w:left w:w="113" w:type="dxa"/>
            </w:tcMar>
            <w:hideMark/>
          </w:tcPr>
          <w:p w14:paraId="7583E7EA" w14:textId="4C5BCE13"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7A531A23" w14:textId="77777777" w:rsidTr="0008394E">
        <w:tc>
          <w:tcPr>
            <w:tcW w:w="1845" w:type="dxa"/>
            <w:tcBorders>
              <w:top w:val="single" w:sz="4" w:space="0" w:color="A6A6A6" w:themeColor="accent5"/>
              <w:bottom w:val="single" w:sz="4" w:space="0" w:color="A6A6A6" w:themeColor="accent5"/>
            </w:tcBorders>
            <w:hideMark/>
          </w:tcPr>
          <w:p w14:paraId="1A7A9468" w14:textId="77777777" w:rsidR="00AC3C57" w:rsidRPr="00066515" w:rsidRDefault="00AC3C57" w:rsidP="0081090F">
            <w:pPr>
              <w:pStyle w:val="ARtabletextbold"/>
            </w:pPr>
            <w:r w:rsidRPr="00066515">
              <w:lastRenderedPageBreak/>
              <w:t>Serious</w:t>
            </w:r>
            <w:r>
              <w:t>-</w:t>
            </w:r>
            <w:r w:rsidRPr="00066515">
              <w:t xml:space="preserve">risk adults using family violence (Changing Ways) </w:t>
            </w:r>
            <w:r>
              <w:t>p</w:t>
            </w:r>
            <w:r w:rsidRPr="00066515">
              <w:t xml:space="preserve">rogram </w:t>
            </w:r>
            <w:r>
              <w:t>e</w:t>
            </w:r>
            <w:r w:rsidRPr="00066515">
              <w:t xml:space="preserve">valuation </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6B9C0B62" w14:textId="7E069CE7" w:rsidR="00AC3C57" w:rsidRPr="00066515" w:rsidRDefault="00AC3C57">
            <w:pPr>
              <w:pStyle w:val="ARtabletext"/>
            </w:pPr>
            <w:r w:rsidRPr="00066515">
              <w:t>Seeking insights to inform program delivery and decision making about the future of the</w:t>
            </w:r>
            <w:r w:rsidR="00EC2960">
              <w:t> </w:t>
            </w:r>
            <w:r w:rsidRPr="00066515">
              <w:t>program</w:t>
            </w:r>
          </w:p>
        </w:tc>
        <w:tc>
          <w:tcPr>
            <w:tcW w:w="2693" w:type="dxa"/>
            <w:tcBorders>
              <w:top w:val="single" w:sz="4" w:space="0" w:color="A6A6A6" w:themeColor="accent5"/>
              <w:bottom w:val="single" w:sz="4" w:space="0" w:color="A6A6A6" w:themeColor="accent5"/>
            </w:tcBorders>
            <w:tcMar>
              <w:left w:w="113" w:type="dxa"/>
            </w:tcMar>
            <w:hideMark/>
          </w:tcPr>
          <w:p w14:paraId="5C6D91E1" w14:textId="77777777" w:rsidR="00AC3C57" w:rsidRDefault="00AC3C57">
            <w:pPr>
              <w:pStyle w:val="ARtabletext"/>
            </w:pPr>
            <w:r w:rsidRPr="00066515">
              <w:t>Assess and articulate the effectiveness of the program</w:t>
            </w:r>
          </w:p>
          <w:p w14:paraId="72825880" w14:textId="77777777" w:rsidR="00AC3C57" w:rsidRDefault="00AC3C57">
            <w:pPr>
              <w:pStyle w:val="ARtabletext"/>
            </w:pPr>
            <w:r>
              <w:t>S</w:t>
            </w:r>
            <w:r w:rsidRPr="00066515">
              <w:t>trengthen the design and delivery of the program</w:t>
            </w:r>
          </w:p>
          <w:p w14:paraId="0D8A18B2" w14:textId="3B404BAC" w:rsidR="00AC3C57" w:rsidRPr="00066515" w:rsidRDefault="00AC3C57">
            <w:pPr>
              <w:pStyle w:val="ARtabletext"/>
            </w:pPr>
            <w:r>
              <w:t>C</w:t>
            </w:r>
            <w:r w:rsidRPr="00066515">
              <w:t>ontribute to the wider evidence</w:t>
            </w:r>
            <w:r w:rsidR="00F9300C">
              <w:t> </w:t>
            </w:r>
            <w:r w:rsidRPr="00066515">
              <w:t>base</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05E21140" w14:textId="0733F69C" w:rsidR="00AC3C57" w:rsidRPr="00066515" w:rsidRDefault="00AC3C57">
            <w:pPr>
              <w:pStyle w:val="ARtabletext"/>
            </w:pPr>
            <w:r w:rsidRPr="00066515">
              <w:t>Improved understanding of the effectiveness, impact and outcomes achieved through the implementation of the</w:t>
            </w:r>
            <w:r w:rsidR="0098762A">
              <w:t> </w:t>
            </w:r>
            <w:r w:rsidRPr="00066515">
              <w:t>program</w:t>
            </w:r>
          </w:p>
        </w:tc>
        <w:tc>
          <w:tcPr>
            <w:tcW w:w="1293" w:type="dxa"/>
            <w:tcBorders>
              <w:top w:val="single" w:sz="4" w:space="0" w:color="A6A6A6" w:themeColor="accent5"/>
              <w:bottom w:val="single" w:sz="4" w:space="0" w:color="A6A6A6" w:themeColor="accent5"/>
            </w:tcBorders>
            <w:tcMar>
              <w:left w:w="113" w:type="dxa"/>
            </w:tcMar>
            <w:hideMark/>
          </w:tcPr>
          <w:p w14:paraId="4CBC7AA6" w14:textId="77777777" w:rsidR="00AC3C57" w:rsidRPr="00066515" w:rsidRDefault="00AC3C57" w:rsidP="0081090F">
            <w:pPr>
              <w:pStyle w:val="ARtabletextright"/>
              <w:rPr>
                <w:rFonts w:eastAsia="Times New Roman"/>
                <w:color w:val="000000"/>
              </w:rPr>
            </w:pPr>
            <w:r>
              <w:rPr>
                <w:rFonts w:eastAsia="Times New Roman"/>
                <w:color w:val="000000"/>
              </w:rPr>
              <w:t>90</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75BA0732" w14:textId="77777777" w:rsidR="00AC3C57" w:rsidRPr="00066515" w:rsidRDefault="00AC3C57" w:rsidP="0081090F">
            <w:pPr>
              <w:pStyle w:val="ARtabletextright"/>
              <w:rPr>
                <w:rFonts w:eastAsia="Times New Roman"/>
                <w:color w:val="000000"/>
              </w:rPr>
            </w:pPr>
            <w:r>
              <w:rPr>
                <w:rFonts w:eastAsia="Times New Roman"/>
                <w:color w:val="000000"/>
              </w:rPr>
              <w:t>456</w:t>
            </w:r>
          </w:p>
        </w:tc>
        <w:tc>
          <w:tcPr>
            <w:tcW w:w="2063" w:type="dxa"/>
            <w:tcBorders>
              <w:top w:val="single" w:sz="4" w:space="0" w:color="A6A6A6" w:themeColor="accent5"/>
              <w:bottom w:val="single" w:sz="4" w:space="0" w:color="A6A6A6" w:themeColor="accent5"/>
            </w:tcBorders>
            <w:tcMar>
              <w:left w:w="113" w:type="dxa"/>
            </w:tcMar>
            <w:hideMark/>
          </w:tcPr>
          <w:p w14:paraId="7CB301A5" w14:textId="78FD9CD2"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6B1002D6" w14:textId="77777777" w:rsidTr="0008394E">
        <w:tc>
          <w:tcPr>
            <w:tcW w:w="1845" w:type="dxa"/>
            <w:tcBorders>
              <w:top w:val="single" w:sz="4" w:space="0" w:color="A6A6A6" w:themeColor="accent5"/>
            </w:tcBorders>
            <w:hideMark/>
          </w:tcPr>
          <w:p w14:paraId="71C6757E" w14:textId="383086B4" w:rsidR="00AC3C57" w:rsidRPr="00066515" w:rsidRDefault="00AC3C57" w:rsidP="0081090F">
            <w:pPr>
              <w:pStyle w:val="ARtabletextbold"/>
            </w:pPr>
            <w:r w:rsidRPr="00066515">
              <w:t xml:space="preserve">Evaluation of the Crisis Response Model, including </w:t>
            </w:r>
            <w:r>
              <w:t>c</w:t>
            </w:r>
            <w:r w:rsidRPr="00066515">
              <w:t xml:space="preserve">ore and </w:t>
            </w:r>
            <w:r>
              <w:t>c</w:t>
            </w:r>
            <w:r w:rsidRPr="00066515">
              <w:t xml:space="preserve">luster </w:t>
            </w:r>
            <w:r>
              <w:t>r</w:t>
            </w:r>
            <w:r w:rsidRPr="00066515">
              <w:t>efuges</w:t>
            </w:r>
          </w:p>
        </w:tc>
        <w:tc>
          <w:tcPr>
            <w:tcW w:w="2692" w:type="dxa"/>
            <w:tcBorders>
              <w:top w:val="single" w:sz="4" w:space="0" w:color="A6A6A6" w:themeColor="accent5"/>
            </w:tcBorders>
            <w:shd w:val="clear" w:color="auto" w:fill="E7E6E6" w:themeFill="background2"/>
            <w:tcMar>
              <w:left w:w="113" w:type="dxa"/>
            </w:tcMar>
            <w:hideMark/>
          </w:tcPr>
          <w:p w14:paraId="65966931" w14:textId="77777777" w:rsidR="00AC3C57" w:rsidRPr="00066515" w:rsidRDefault="00AC3C57">
            <w:pPr>
              <w:pStyle w:val="ARtabletext"/>
            </w:pPr>
            <w:r w:rsidRPr="00066515">
              <w:t>To evaluate the extent to which the model is effectively achieving its stated objectives by assessing progress against short to medium-term outcomes</w:t>
            </w:r>
          </w:p>
        </w:tc>
        <w:tc>
          <w:tcPr>
            <w:tcW w:w="2693" w:type="dxa"/>
            <w:tcBorders>
              <w:top w:val="single" w:sz="4" w:space="0" w:color="A6A6A6" w:themeColor="accent5"/>
            </w:tcBorders>
            <w:tcMar>
              <w:left w:w="113" w:type="dxa"/>
            </w:tcMar>
            <w:hideMark/>
          </w:tcPr>
          <w:p w14:paraId="564E77E8" w14:textId="77777777" w:rsidR="00AC3C57" w:rsidRPr="00066515" w:rsidRDefault="00AC3C57">
            <w:pPr>
              <w:pStyle w:val="ARtabletext"/>
            </w:pPr>
            <w:r w:rsidRPr="00066515">
              <w:t>System</w:t>
            </w:r>
            <w:r>
              <w:t>-</w:t>
            </w:r>
            <w:r w:rsidRPr="00066515">
              <w:t>level evaluation of the crisis response model as well as lapsing program evaluations (initial plus updated) of core and cluster refuges, family violence crisis brokerage and case management</w:t>
            </w:r>
          </w:p>
        </w:tc>
        <w:tc>
          <w:tcPr>
            <w:tcW w:w="2693" w:type="dxa"/>
            <w:tcBorders>
              <w:top w:val="single" w:sz="4" w:space="0" w:color="A6A6A6" w:themeColor="accent5"/>
            </w:tcBorders>
            <w:shd w:val="clear" w:color="auto" w:fill="E7E6E6" w:themeFill="background2"/>
            <w:tcMar>
              <w:left w:w="113" w:type="dxa"/>
            </w:tcMar>
            <w:hideMark/>
          </w:tcPr>
          <w:p w14:paraId="1B5AE9D5" w14:textId="77777777" w:rsidR="00AC3C57" w:rsidRDefault="00AC3C57">
            <w:pPr>
              <w:pStyle w:val="ARtabletext"/>
            </w:pPr>
            <w:r w:rsidRPr="00066515">
              <w:t>Evidence of each program component</w:t>
            </w:r>
            <w:r>
              <w:t>’</w:t>
            </w:r>
            <w:r w:rsidRPr="00066515">
              <w:t>s efficacy and efficiency, including cost</w:t>
            </w:r>
            <w:r>
              <w:t>–</w:t>
            </w:r>
            <w:r w:rsidRPr="00066515">
              <w:t xml:space="preserve">benefit analysis </w:t>
            </w:r>
          </w:p>
          <w:p w14:paraId="09C94F19" w14:textId="77777777" w:rsidR="00AC3C57" w:rsidRPr="00066515" w:rsidRDefault="00AC3C57">
            <w:pPr>
              <w:pStyle w:val="ARtabletext"/>
            </w:pPr>
            <w:r>
              <w:t>I</w:t>
            </w:r>
            <w:r w:rsidRPr="00066515">
              <w:t>nform an overall understanding of the operation of the crisis response model for family violence victim survivors</w:t>
            </w:r>
          </w:p>
        </w:tc>
        <w:tc>
          <w:tcPr>
            <w:tcW w:w="1293" w:type="dxa"/>
            <w:tcBorders>
              <w:top w:val="single" w:sz="4" w:space="0" w:color="A6A6A6" w:themeColor="accent5"/>
            </w:tcBorders>
            <w:tcMar>
              <w:left w:w="113" w:type="dxa"/>
            </w:tcMar>
            <w:hideMark/>
          </w:tcPr>
          <w:p w14:paraId="0AEC26D6" w14:textId="77777777" w:rsidR="00AC3C57" w:rsidRPr="00066515" w:rsidRDefault="00AC3C57" w:rsidP="0081090F">
            <w:pPr>
              <w:pStyle w:val="ARtabletextright"/>
              <w:rPr>
                <w:rFonts w:eastAsia="Times New Roman"/>
                <w:color w:val="000000"/>
              </w:rPr>
            </w:pPr>
            <w:r w:rsidRPr="00066515">
              <w:rPr>
                <w:rFonts w:eastAsia="Times New Roman"/>
                <w:color w:val="000000"/>
              </w:rPr>
              <w:t>72</w:t>
            </w:r>
          </w:p>
        </w:tc>
        <w:tc>
          <w:tcPr>
            <w:tcW w:w="1293" w:type="dxa"/>
            <w:tcBorders>
              <w:top w:val="single" w:sz="4" w:space="0" w:color="A6A6A6" w:themeColor="accent5"/>
            </w:tcBorders>
            <w:shd w:val="clear" w:color="auto" w:fill="E7E6E6" w:themeFill="background2"/>
            <w:tcMar>
              <w:left w:w="113" w:type="dxa"/>
            </w:tcMar>
            <w:hideMark/>
          </w:tcPr>
          <w:p w14:paraId="209A8E6D" w14:textId="77777777" w:rsidR="00AC3C57" w:rsidRPr="00017570" w:rsidRDefault="00AC3C57" w:rsidP="0081090F">
            <w:pPr>
              <w:pStyle w:val="ARtabletextright"/>
              <w:rPr>
                <w:rFonts w:eastAsia="Times New Roman"/>
                <w:color w:val="000000"/>
              </w:rPr>
            </w:pPr>
            <w:r w:rsidRPr="00017570">
              <w:rPr>
                <w:rFonts w:eastAsia="Times New Roman"/>
                <w:color w:val="000000"/>
              </w:rPr>
              <w:t xml:space="preserve"> 624</w:t>
            </w:r>
          </w:p>
        </w:tc>
        <w:tc>
          <w:tcPr>
            <w:tcW w:w="2063" w:type="dxa"/>
            <w:tcBorders>
              <w:top w:val="single" w:sz="4" w:space="0" w:color="A6A6A6" w:themeColor="accent5"/>
            </w:tcBorders>
            <w:tcMar>
              <w:left w:w="113" w:type="dxa"/>
            </w:tcMar>
            <w:hideMark/>
          </w:tcPr>
          <w:p w14:paraId="6456A54A" w14:textId="7508AAD3" w:rsidR="00AC3C57" w:rsidRPr="00066515" w:rsidRDefault="00AC3C57" w:rsidP="009A471D">
            <w:pPr>
              <w:pStyle w:val="ARtabletext"/>
              <w:rPr>
                <w:rFonts w:eastAsia="Times New Roman"/>
                <w:color w:val="000000"/>
              </w:rPr>
            </w:pPr>
            <w:r w:rsidRPr="00066515">
              <w:rPr>
                <w:rFonts w:eastAsia="Times New Roman"/>
                <w:color w:val="000000"/>
              </w:rPr>
              <w:t>N</w:t>
            </w:r>
            <w:r w:rsidR="00F07E6E">
              <w:rPr>
                <w:rFonts w:eastAsia="Times New Roman"/>
                <w:color w:val="000000"/>
              </w:rPr>
              <w:t xml:space="preserve"> </w:t>
            </w:r>
          </w:p>
        </w:tc>
      </w:tr>
      <w:tr w:rsidR="0081090F" w:rsidRPr="00066515" w14:paraId="7B176E23" w14:textId="77777777" w:rsidTr="0008394E">
        <w:tc>
          <w:tcPr>
            <w:tcW w:w="1845" w:type="dxa"/>
            <w:tcBorders>
              <w:bottom w:val="single" w:sz="4" w:space="0" w:color="A6A6A6" w:themeColor="accent5"/>
            </w:tcBorders>
            <w:hideMark/>
          </w:tcPr>
          <w:p w14:paraId="6049CEB7" w14:textId="77777777" w:rsidR="00AC3C57" w:rsidRPr="00066515" w:rsidRDefault="00AC3C57" w:rsidP="0081090F">
            <w:pPr>
              <w:pStyle w:val="ARtabletextbold"/>
            </w:pPr>
            <w:r w:rsidRPr="00066515">
              <w:t>Evaluation of Exit Pathways from Refuges and Crisis Accommodation for Victim Survivors of Family Violence</w:t>
            </w:r>
          </w:p>
        </w:tc>
        <w:tc>
          <w:tcPr>
            <w:tcW w:w="2692" w:type="dxa"/>
            <w:tcBorders>
              <w:bottom w:val="single" w:sz="4" w:space="0" w:color="A6A6A6" w:themeColor="accent5"/>
            </w:tcBorders>
            <w:shd w:val="clear" w:color="auto" w:fill="E7E6E6" w:themeFill="background2"/>
            <w:tcMar>
              <w:left w:w="113" w:type="dxa"/>
            </w:tcMar>
            <w:hideMark/>
          </w:tcPr>
          <w:p w14:paraId="0A8C2FCE" w14:textId="05BBA33A" w:rsidR="00AC3C57" w:rsidRPr="00066515" w:rsidRDefault="00AC3C57">
            <w:pPr>
              <w:pStyle w:val="ARtabletext"/>
            </w:pPr>
            <w:r w:rsidRPr="00066515">
              <w:t>Seeking insights to understand the impact of the program and support decision making about future programs for victim survivors exiting</w:t>
            </w:r>
            <w:r w:rsidR="0008394E">
              <w:t> </w:t>
            </w:r>
            <w:r w:rsidRPr="00066515">
              <w:t>crisis accommodation</w:t>
            </w:r>
          </w:p>
        </w:tc>
        <w:tc>
          <w:tcPr>
            <w:tcW w:w="2693" w:type="dxa"/>
            <w:tcBorders>
              <w:bottom w:val="single" w:sz="4" w:space="0" w:color="A6A6A6" w:themeColor="accent5"/>
            </w:tcBorders>
            <w:tcMar>
              <w:left w:w="113" w:type="dxa"/>
            </w:tcMar>
            <w:hideMark/>
          </w:tcPr>
          <w:p w14:paraId="3F12A5D6" w14:textId="77777777" w:rsidR="00AC3C57" w:rsidRPr="00066515" w:rsidRDefault="00AC3C57">
            <w:pPr>
              <w:pStyle w:val="ARtabletext"/>
            </w:pPr>
            <w:r w:rsidRPr="00066515">
              <w:t>Assess the extent to which the program provides an appropriate effective service response that meets the needs of adult and child victims of family violence</w:t>
            </w:r>
          </w:p>
        </w:tc>
        <w:tc>
          <w:tcPr>
            <w:tcW w:w="2693" w:type="dxa"/>
            <w:tcBorders>
              <w:bottom w:val="single" w:sz="4" w:space="0" w:color="A6A6A6" w:themeColor="accent5"/>
            </w:tcBorders>
            <w:shd w:val="clear" w:color="auto" w:fill="E7E6E6" w:themeFill="background2"/>
            <w:tcMar>
              <w:left w:w="113" w:type="dxa"/>
            </w:tcMar>
            <w:hideMark/>
          </w:tcPr>
          <w:p w14:paraId="4970DED4" w14:textId="77777777" w:rsidR="00AC3C57" w:rsidRDefault="00AC3C57">
            <w:pPr>
              <w:pStyle w:val="ARtabletext"/>
            </w:pPr>
            <w:r w:rsidRPr="00066515">
              <w:t>Understanding the effectiveness and impact of the program</w:t>
            </w:r>
          </w:p>
          <w:p w14:paraId="0A214DED" w14:textId="77777777" w:rsidR="00AC3C57" w:rsidRPr="00066515" w:rsidRDefault="00AC3C57">
            <w:pPr>
              <w:pStyle w:val="ARtabletext"/>
            </w:pPr>
            <w:r w:rsidRPr="00066515">
              <w:t>Build the evidence base to understand what types of models are effective, and potential improvements to guide future policy and investment decisions</w:t>
            </w:r>
          </w:p>
        </w:tc>
        <w:tc>
          <w:tcPr>
            <w:tcW w:w="1293" w:type="dxa"/>
            <w:tcBorders>
              <w:bottom w:val="single" w:sz="4" w:space="0" w:color="A6A6A6" w:themeColor="accent5"/>
            </w:tcBorders>
            <w:tcMar>
              <w:left w:w="113" w:type="dxa"/>
            </w:tcMar>
            <w:hideMark/>
          </w:tcPr>
          <w:p w14:paraId="3AB72795" w14:textId="77777777" w:rsidR="00AC3C57" w:rsidRPr="00066515" w:rsidRDefault="00AC3C57" w:rsidP="0081090F">
            <w:pPr>
              <w:pStyle w:val="ARtabletextright"/>
              <w:rPr>
                <w:rFonts w:eastAsia="Times New Roman"/>
                <w:color w:val="000000"/>
              </w:rPr>
            </w:pPr>
            <w:r>
              <w:rPr>
                <w:rFonts w:eastAsia="Times New Roman"/>
                <w:color w:val="000000"/>
              </w:rPr>
              <w:t>42</w:t>
            </w:r>
          </w:p>
        </w:tc>
        <w:tc>
          <w:tcPr>
            <w:tcW w:w="1293" w:type="dxa"/>
            <w:tcBorders>
              <w:bottom w:val="single" w:sz="4" w:space="0" w:color="A6A6A6" w:themeColor="accent5"/>
            </w:tcBorders>
            <w:shd w:val="clear" w:color="auto" w:fill="E7E6E6" w:themeFill="background2"/>
            <w:tcMar>
              <w:left w:w="113" w:type="dxa"/>
            </w:tcMar>
            <w:hideMark/>
          </w:tcPr>
          <w:p w14:paraId="1F765898" w14:textId="77777777" w:rsidR="00AC3C57" w:rsidRPr="00017570" w:rsidRDefault="00AC3C57" w:rsidP="0081090F">
            <w:pPr>
              <w:pStyle w:val="ARtabletextright"/>
              <w:rPr>
                <w:rFonts w:eastAsia="Times New Roman"/>
                <w:color w:val="000000"/>
              </w:rPr>
            </w:pPr>
            <w:r w:rsidRPr="00017570">
              <w:rPr>
                <w:rFonts w:eastAsia="Times New Roman"/>
                <w:color w:val="000000"/>
              </w:rPr>
              <w:t>262</w:t>
            </w:r>
          </w:p>
        </w:tc>
        <w:tc>
          <w:tcPr>
            <w:tcW w:w="2063" w:type="dxa"/>
            <w:tcBorders>
              <w:bottom w:val="single" w:sz="4" w:space="0" w:color="A6A6A6" w:themeColor="accent5"/>
            </w:tcBorders>
            <w:tcMar>
              <w:left w:w="113" w:type="dxa"/>
            </w:tcMar>
            <w:hideMark/>
          </w:tcPr>
          <w:p w14:paraId="1A31946A" w14:textId="75297CE6" w:rsidR="00AC3C57" w:rsidRPr="00066515" w:rsidRDefault="00AC3C57" w:rsidP="009A471D">
            <w:pPr>
              <w:pStyle w:val="ARtabletext"/>
              <w:rPr>
                <w:rFonts w:eastAsia="Times New Roman"/>
                <w:color w:val="000000"/>
              </w:rPr>
            </w:pPr>
            <w:r w:rsidRPr="00066515">
              <w:rPr>
                <w:rFonts w:eastAsia="Times New Roman"/>
                <w:color w:val="000000"/>
              </w:rPr>
              <w:t>N</w:t>
            </w:r>
            <w:r w:rsidR="00F07E6E">
              <w:rPr>
                <w:rFonts w:eastAsia="Times New Roman"/>
                <w:color w:val="000000"/>
              </w:rPr>
              <w:t xml:space="preserve"> </w:t>
            </w:r>
          </w:p>
        </w:tc>
      </w:tr>
      <w:tr w:rsidR="0081090F" w:rsidRPr="00066515" w14:paraId="1C6D44E7" w14:textId="77777777" w:rsidTr="0008394E">
        <w:tc>
          <w:tcPr>
            <w:tcW w:w="1845" w:type="dxa"/>
            <w:tcBorders>
              <w:top w:val="single" w:sz="4" w:space="0" w:color="A6A6A6" w:themeColor="accent5"/>
              <w:bottom w:val="single" w:sz="4" w:space="0" w:color="A6A6A6" w:themeColor="accent5"/>
            </w:tcBorders>
            <w:hideMark/>
          </w:tcPr>
          <w:p w14:paraId="4CE9276E" w14:textId="77777777" w:rsidR="00AC3C57" w:rsidRPr="00066515" w:rsidRDefault="00AC3C57" w:rsidP="0081090F">
            <w:pPr>
              <w:pStyle w:val="ARtabletextbold"/>
            </w:pPr>
            <w:r w:rsidRPr="00066515">
              <w:t xml:space="preserve">Lapsing </w:t>
            </w:r>
            <w:r>
              <w:t>p</w:t>
            </w:r>
            <w:r w:rsidRPr="00066515">
              <w:t>rogram evaluation of the Adolescent Family Violence in the Home (AFVITH) program</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279A8466" w14:textId="77777777" w:rsidR="00AC3C57" w:rsidRPr="00066515" w:rsidRDefault="00AC3C57">
            <w:pPr>
              <w:pStyle w:val="ARtabletext"/>
            </w:pPr>
            <w:r w:rsidRPr="00066515">
              <w:t xml:space="preserve">An independent evaluation delivered by Ernst &amp; Young for the purpose of evaluating the effectiveness and outcomes of the statewide expansion of the AFVITH program and new AFVITH </w:t>
            </w:r>
            <w:r>
              <w:t>m</w:t>
            </w:r>
            <w:r w:rsidRPr="00066515">
              <w:t xml:space="preserve">odel of </w:t>
            </w:r>
            <w:r>
              <w:t>c</w:t>
            </w:r>
            <w:r w:rsidRPr="00066515">
              <w:t>are</w:t>
            </w:r>
          </w:p>
        </w:tc>
        <w:tc>
          <w:tcPr>
            <w:tcW w:w="2693" w:type="dxa"/>
            <w:tcBorders>
              <w:top w:val="single" w:sz="4" w:space="0" w:color="A6A6A6" w:themeColor="accent5"/>
              <w:bottom w:val="single" w:sz="4" w:space="0" w:color="A6A6A6" w:themeColor="accent5"/>
            </w:tcBorders>
            <w:tcMar>
              <w:left w:w="113" w:type="dxa"/>
            </w:tcMar>
            <w:hideMark/>
          </w:tcPr>
          <w:p w14:paraId="6DD603EF" w14:textId="77777777" w:rsidR="00AC3C57" w:rsidRDefault="00AC3C57">
            <w:pPr>
              <w:pStyle w:val="ARtabletext"/>
            </w:pPr>
            <w:r w:rsidRPr="00066515">
              <w:t xml:space="preserve">A lapsing program evaluation of the statewide expansion of the AFVITH program and new AFVITH </w:t>
            </w:r>
            <w:r>
              <w:t>m</w:t>
            </w:r>
            <w:r w:rsidRPr="00066515">
              <w:t xml:space="preserve">odel of </w:t>
            </w:r>
            <w:r>
              <w:t>c</w:t>
            </w:r>
            <w:r w:rsidRPr="00066515">
              <w:t>ar</w:t>
            </w:r>
            <w:r>
              <w:t>e</w:t>
            </w:r>
            <w:r w:rsidRPr="00066515">
              <w:t xml:space="preserve"> </w:t>
            </w:r>
          </w:p>
          <w:p w14:paraId="4661E195" w14:textId="77777777" w:rsidR="00AC3C57" w:rsidRPr="00066515" w:rsidRDefault="00AC3C57">
            <w:pPr>
              <w:pStyle w:val="ARtabletext"/>
            </w:pPr>
            <w:r w:rsidRPr="00066515">
              <w:t>All AFVITH service providers who receive fixed-term funding to deliver AFVITH programs were in scope of this evaluation</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417F16A" w14:textId="77777777" w:rsidR="00AC3C57" w:rsidRPr="00066515" w:rsidRDefault="00AC3C57">
            <w:pPr>
              <w:pStyle w:val="ARtabletext"/>
            </w:pPr>
            <w:r w:rsidRPr="00066515">
              <w:t xml:space="preserve">Understanding the effectiveness, impact and outcomes of the AFVITH program and the implementation of new AFVITH </w:t>
            </w:r>
            <w:r>
              <w:t>m</w:t>
            </w:r>
            <w:r w:rsidRPr="00066515">
              <w:t xml:space="preserve">odel of </w:t>
            </w:r>
            <w:r>
              <w:t>c</w:t>
            </w:r>
            <w:r w:rsidRPr="00066515">
              <w:t>are, including the voices of young people who use violence, and their families</w:t>
            </w:r>
          </w:p>
        </w:tc>
        <w:tc>
          <w:tcPr>
            <w:tcW w:w="1293" w:type="dxa"/>
            <w:tcBorders>
              <w:top w:val="single" w:sz="4" w:space="0" w:color="A6A6A6" w:themeColor="accent5"/>
              <w:bottom w:val="single" w:sz="4" w:space="0" w:color="A6A6A6" w:themeColor="accent5"/>
            </w:tcBorders>
            <w:tcMar>
              <w:left w:w="113" w:type="dxa"/>
            </w:tcMar>
            <w:hideMark/>
          </w:tcPr>
          <w:p w14:paraId="159532A5" w14:textId="77777777" w:rsidR="00AC3C57" w:rsidRPr="00066515" w:rsidRDefault="00AC3C57" w:rsidP="0081090F">
            <w:pPr>
              <w:pStyle w:val="ARtabletextright"/>
              <w:rPr>
                <w:rFonts w:eastAsia="Times New Roman"/>
                <w:color w:val="000000"/>
              </w:rPr>
            </w:pPr>
            <w:r>
              <w:rPr>
                <w:rFonts w:eastAsia="Times New Roman"/>
                <w:color w:val="000000"/>
              </w:rPr>
              <w:t>270</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7C4B431" w14:textId="77777777" w:rsidR="00AC3C57" w:rsidRPr="00DA0A69" w:rsidRDefault="00AC3C57" w:rsidP="0081090F">
            <w:pPr>
              <w:pStyle w:val="ARtabletextright"/>
              <w:rPr>
                <w:rFonts w:eastAsia="Times New Roman"/>
                <w:color w:val="000000"/>
              </w:rPr>
            </w:pPr>
            <w:r w:rsidRPr="00DA0A69">
              <w:rPr>
                <w:rFonts w:eastAsia="Times New Roman"/>
                <w:color w:val="000000"/>
              </w:rPr>
              <w:t>473</w:t>
            </w:r>
          </w:p>
        </w:tc>
        <w:tc>
          <w:tcPr>
            <w:tcW w:w="2063" w:type="dxa"/>
            <w:tcBorders>
              <w:top w:val="single" w:sz="4" w:space="0" w:color="A6A6A6" w:themeColor="accent5"/>
              <w:bottom w:val="single" w:sz="4" w:space="0" w:color="A6A6A6" w:themeColor="accent5"/>
            </w:tcBorders>
            <w:tcMar>
              <w:left w:w="113" w:type="dxa"/>
            </w:tcMar>
            <w:hideMark/>
          </w:tcPr>
          <w:p w14:paraId="704183E1" w14:textId="29BD54D0" w:rsidR="00AC3C57" w:rsidRPr="00066515" w:rsidRDefault="00AC3C57" w:rsidP="009A471D">
            <w:pPr>
              <w:pStyle w:val="ARtabletext"/>
              <w:rPr>
                <w:rFonts w:eastAsia="Times New Roman"/>
                <w:color w:val="000000"/>
              </w:rPr>
            </w:pPr>
            <w:r w:rsidRPr="00066515">
              <w:rPr>
                <w:rFonts w:eastAsia="Times New Roman"/>
                <w:color w:val="000000"/>
              </w:rPr>
              <w:t>N</w:t>
            </w:r>
            <w:r w:rsidR="00F07E6E">
              <w:rPr>
                <w:rFonts w:eastAsia="Times New Roman"/>
                <w:color w:val="000000"/>
              </w:rPr>
              <w:t xml:space="preserve"> </w:t>
            </w:r>
          </w:p>
        </w:tc>
      </w:tr>
      <w:tr w:rsidR="0081090F" w:rsidRPr="00066515" w14:paraId="349D2601" w14:textId="77777777" w:rsidTr="0008394E">
        <w:tc>
          <w:tcPr>
            <w:tcW w:w="1845" w:type="dxa"/>
            <w:tcBorders>
              <w:top w:val="single" w:sz="4" w:space="0" w:color="A6A6A6" w:themeColor="accent5"/>
              <w:bottom w:val="single" w:sz="4" w:space="0" w:color="A6A6A6" w:themeColor="accent5"/>
            </w:tcBorders>
            <w:hideMark/>
          </w:tcPr>
          <w:p w14:paraId="26F916A1" w14:textId="77777777" w:rsidR="00AC3C57" w:rsidRPr="00066515" w:rsidRDefault="00AC3C57" w:rsidP="0081090F">
            <w:pPr>
              <w:pStyle w:val="ARtabletextbold"/>
            </w:pPr>
            <w:r w:rsidRPr="00066515">
              <w:lastRenderedPageBreak/>
              <w:t xml:space="preserve">SAFER Children Framework – </w:t>
            </w:r>
            <w:r>
              <w:t>l</w:t>
            </w:r>
            <w:r w:rsidRPr="00066515">
              <w:t>iterature </w:t>
            </w:r>
            <w:r>
              <w:t>r</w:t>
            </w:r>
            <w:r w:rsidRPr="00066515">
              <w:t>eview</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CE5E79E" w14:textId="420D4B2E" w:rsidR="00AC3C57" w:rsidRPr="00066515" w:rsidRDefault="00AC3C57">
            <w:pPr>
              <w:pStyle w:val="ARtabletext"/>
            </w:pPr>
            <w:r w:rsidRPr="00066515">
              <w:t xml:space="preserve">Literature </w:t>
            </w:r>
            <w:r>
              <w:t>r</w:t>
            </w:r>
            <w:r w:rsidRPr="00066515">
              <w:t>eview</w:t>
            </w:r>
            <w:r>
              <w:t xml:space="preserve"> on c</w:t>
            </w:r>
            <w:r w:rsidRPr="00066515">
              <w:t>ontemporary risk, strength and protection factors that keep Victorian children and their families</w:t>
            </w:r>
            <w:r w:rsidR="0008394E">
              <w:t> </w:t>
            </w:r>
            <w:r w:rsidRPr="00066515">
              <w:t>safe</w:t>
            </w:r>
          </w:p>
        </w:tc>
        <w:tc>
          <w:tcPr>
            <w:tcW w:w="2693" w:type="dxa"/>
            <w:tcBorders>
              <w:top w:val="single" w:sz="4" w:space="0" w:color="A6A6A6" w:themeColor="accent5"/>
              <w:bottom w:val="single" w:sz="4" w:space="0" w:color="A6A6A6" w:themeColor="accent5"/>
            </w:tcBorders>
            <w:tcMar>
              <w:left w:w="113" w:type="dxa"/>
            </w:tcMar>
            <w:hideMark/>
          </w:tcPr>
          <w:p w14:paraId="5AF37D07" w14:textId="77777777" w:rsidR="00AC3C57" w:rsidRPr="00066515" w:rsidRDefault="00AC3C57">
            <w:pPr>
              <w:pStyle w:val="ARtabletext"/>
            </w:pPr>
            <w:r w:rsidRPr="00066515">
              <w:t>A literature review service with associated planning, consultation, research, and publication</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4A104D35" w14:textId="77777777" w:rsidR="00AC3C57" w:rsidRPr="00066515" w:rsidRDefault="00AC3C57">
            <w:pPr>
              <w:pStyle w:val="ARtabletext"/>
            </w:pPr>
            <w:r w:rsidRPr="00066515">
              <w:t>Findings to inform the SAFER Framework</w:t>
            </w:r>
          </w:p>
        </w:tc>
        <w:tc>
          <w:tcPr>
            <w:tcW w:w="1293" w:type="dxa"/>
            <w:tcBorders>
              <w:top w:val="single" w:sz="4" w:space="0" w:color="A6A6A6" w:themeColor="accent5"/>
              <w:bottom w:val="single" w:sz="4" w:space="0" w:color="A6A6A6" w:themeColor="accent5"/>
            </w:tcBorders>
            <w:tcMar>
              <w:left w:w="113" w:type="dxa"/>
            </w:tcMar>
            <w:hideMark/>
          </w:tcPr>
          <w:p w14:paraId="6E6ED805" w14:textId="77777777" w:rsidR="00AC3C57" w:rsidRPr="00066515" w:rsidRDefault="00AC3C57" w:rsidP="0081090F">
            <w:pPr>
              <w:pStyle w:val="ARtabletextright"/>
              <w:rPr>
                <w:rFonts w:eastAsia="Times New Roman"/>
                <w:color w:val="000000"/>
              </w:rPr>
            </w:pPr>
            <w:r>
              <w:rPr>
                <w:rFonts w:eastAsia="Times New Roman"/>
                <w:color w:val="000000"/>
              </w:rPr>
              <w:t>77</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2D623BFE" w14:textId="77777777" w:rsidR="00AC3C57" w:rsidRPr="00066515" w:rsidRDefault="00AC3C57" w:rsidP="0081090F">
            <w:pPr>
              <w:pStyle w:val="ARtabletextright"/>
              <w:rPr>
                <w:rFonts w:eastAsia="Times New Roman"/>
                <w:color w:val="000000"/>
              </w:rPr>
            </w:pPr>
            <w:r w:rsidRPr="00066515">
              <w:rPr>
                <w:rFonts w:eastAsia="Times New Roman"/>
                <w:color w:val="000000"/>
              </w:rPr>
              <w:t>7</w:t>
            </w:r>
            <w:r>
              <w:rPr>
                <w:rFonts w:eastAsia="Times New Roman"/>
                <w:color w:val="000000"/>
              </w:rPr>
              <w:t>7</w:t>
            </w:r>
          </w:p>
        </w:tc>
        <w:tc>
          <w:tcPr>
            <w:tcW w:w="2063" w:type="dxa"/>
            <w:tcBorders>
              <w:top w:val="single" w:sz="4" w:space="0" w:color="A6A6A6" w:themeColor="accent5"/>
              <w:bottom w:val="single" w:sz="4" w:space="0" w:color="A6A6A6" w:themeColor="accent5"/>
            </w:tcBorders>
            <w:tcMar>
              <w:left w:w="113" w:type="dxa"/>
            </w:tcMar>
            <w:hideMark/>
          </w:tcPr>
          <w:p w14:paraId="2CA442A3"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63FA6117" w14:textId="77777777" w:rsidTr="0008394E">
        <w:tc>
          <w:tcPr>
            <w:tcW w:w="1845" w:type="dxa"/>
            <w:tcBorders>
              <w:top w:val="single" w:sz="4" w:space="0" w:color="A6A6A6" w:themeColor="accent5"/>
            </w:tcBorders>
            <w:hideMark/>
          </w:tcPr>
          <w:p w14:paraId="0BC7D673" w14:textId="77777777" w:rsidR="00AC3C57" w:rsidRPr="00066515" w:rsidRDefault="00AC3C57" w:rsidP="0081090F">
            <w:pPr>
              <w:pStyle w:val="ARtabletextbold"/>
            </w:pPr>
            <w:r w:rsidRPr="00066515">
              <w:t xml:space="preserve">DICE </w:t>
            </w:r>
            <w:r>
              <w:t>p</w:t>
            </w:r>
            <w:r w:rsidRPr="00066515">
              <w:t>roject</w:t>
            </w:r>
          </w:p>
        </w:tc>
        <w:tc>
          <w:tcPr>
            <w:tcW w:w="2692" w:type="dxa"/>
            <w:tcBorders>
              <w:top w:val="single" w:sz="4" w:space="0" w:color="A6A6A6" w:themeColor="accent5"/>
            </w:tcBorders>
            <w:shd w:val="clear" w:color="auto" w:fill="E7E6E6" w:themeFill="background2"/>
            <w:tcMar>
              <w:left w:w="113" w:type="dxa"/>
            </w:tcMar>
            <w:hideMark/>
          </w:tcPr>
          <w:p w14:paraId="0C7AA457" w14:textId="7D92A457" w:rsidR="00AC3C57" w:rsidRPr="00066515" w:rsidRDefault="00AC3C57">
            <w:pPr>
              <w:pStyle w:val="ARtabletext"/>
            </w:pPr>
            <w:r w:rsidRPr="00066515">
              <w:t>The Disrupting Child Sexual Exploitation (DICE) project is a</w:t>
            </w:r>
            <w:r w:rsidR="0008394E">
              <w:t> </w:t>
            </w:r>
            <w:r w:rsidRPr="00066515">
              <w:t>3-year multiagency and interjurisdictional project to explore an enhanced child</w:t>
            </w:r>
            <w:r w:rsidR="0008394E">
              <w:t> </w:t>
            </w:r>
            <w:r w:rsidRPr="00066515">
              <w:t>sexual exploitation</w:t>
            </w:r>
            <w:r w:rsidR="0008394E">
              <w:t xml:space="preserve"> </w:t>
            </w:r>
            <w:r w:rsidRPr="00066515">
              <w:t>response</w:t>
            </w:r>
          </w:p>
        </w:tc>
        <w:tc>
          <w:tcPr>
            <w:tcW w:w="2693" w:type="dxa"/>
            <w:tcBorders>
              <w:top w:val="single" w:sz="4" w:space="0" w:color="A6A6A6" w:themeColor="accent5"/>
            </w:tcBorders>
            <w:tcMar>
              <w:left w:w="113" w:type="dxa"/>
            </w:tcMar>
            <w:hideMark/>
          </w:tcPr>
          <w:p w14:paraId="57FF57AC" w14:textId="77777777" w:rsidR="00AC3C57" w:rsidRDefault="00AC3C57">
            <w:pPr>
              <w:pStyle w:val="ARtabletext"/>
            </w:pPr>
            <w:r w:rsidRPr="00066515">
              <w:t>Develop an implementation plan to strengthen a child sexual exploitation multiagency system response</w:t>
            </w:r>
          </w:p>
          <w:p w14:paraId="79D358EB" w14:textId="77777777" w:rsidR="00AC3C57" w:rsidRPr="00066515" w:rsidRDefault="00AC3C57">
            <w:pPr>
              <w:pStyle w:val="ARtabletext"/>
            </w:pPr>
            <w:r>
              <w:t>I</w:t>
            </w:r>
            <w:r w:rsidRPr="00066515">
              <w:t>ncluding trauma-informed disruptive policing</w:t>
            </w:r>
            <w:r>
              <w:t>,</w:t>
            </w:r>
            <w:r w:rsidRPr="00066515">
              <w:t xml:space="preserve"> multiagency working</w:t>
            </w:r>
            <w:r>
              <w:t>,</w:t>
            </w:r>
            <w:r w:rsidRPr="00066515">
              <w:t xml:space="preserve"> and attention to children and young people going missing from residential and home-based statutory care </w:t>
            </w:r>
            <w:r>
              <w:t>due to</w:t>
            </w:r>
            <w:r w:rsidRPr="00066515">
              <w:t xml:space="preserve"> child sexual exploitation</w:t>
            </w:r>
          </w:p>
        </w:tc>
        <w:tc>
          <w:tcPr>
            <w:tcW w:w="2693" w:type="dxa"/>
            <w:tcBorders>
              <w:top w:val="single" w:sz="4" w:space="0" w:color="A6A6A6" w:themeColor="accent5"/>
            </w:tcBorders>
            <w:shd w:val="clear" w:color="auto" w:fill="E7E6E6" w:themeFill="background2"/>
            <w:tcMar>
              <w:left w:w="113" w:type="dxa"/>
            </w:tcMar>
            <w:hideMark/>
          </w:tcPr>
          <w:p w14:paraId="3C071DBE" w14:textId="77777777" w:rsidR="00AC3C57" w:rsidRPr="00066515" w:rsidRDefault="00AC3C57">
            <w:pPr>
              <w:pStyle w:val="ARtabletext"/>
            </w:pPr>
            <w:r w:rsidRPr="00066515">
              <w:t>Improve multiagency response to children living in residential care experiencing sexual exploitation</w:t>
            </w:r>
          </w:p>
        </w:tc>
        <w:tc>
          <w:tcPr>
            <w:tcW w:w="1293" w:type="dxa"/>
            <w:tcBorders>
              <w:top w:val="single" w:sz="4" w:space="0" w:color="A6A6A6" w:themeColor="accent5"/>
            </w:tcBorders>
            <w:tcMar>
              <w:left w:w="113" w:type="dxa"/>
            </w:tcMar>
            <w:hideMark/>
          </w:tcPr>
          <w:p w14:paraId="780CCAED" w14:textId="77777777" w:rsidR="00AC3C57" w:rsidRPr="00066515" w:rsidRDefault="00AC3C57" w:rsidP="0081090F">
            <w:pPr>
              <w:pStyle w:val="ARtabletextright"/>
              <w:rPr>
                <w:rFonts w:eastAsia="Times New Roman"/>
                <w:color w:val="000000"/>
              </w:rPr>
            </w:pPr>
            <w:r>
              <w:rPr>
                <w:rFonts w:eastAsia="Times New Roman"/>
                <w:color w:val="000000"/>
              </w:rPr>
              <w:t>60</w:t>
            </w:r>
          </w:p>
        </w:tc>
        <w:tc>
          <w:tcPr>
            <w:tcW w:w="1293" w:type="dxa"/>
            <w:tcBorders>
              <w:top w:val="single" w:sz="4" w:space="0" w:color="A6A6A6" w:themeColor="accent5"/>
            </w:tcBorders>
            <w:shd w:val="clear" w:color="auto" w:fill="E7E6E6" w:themeFill="background2"/>
            <w:tcMar>
              <w:left w:w="113" w:type="dxa"/>
            </w:tcMar>
            <w:hideMark/>
          </w:tcPr>
          <w:p w14:paraId="1DD1DC30" w14:textId="77777777" w:rsidR="00AC3C57" w:rsidRPr="00066515" w:rsidRDefault="00AC3C57" w:rsidP="0081090F">
            <w:pPr>
              <w:pStyle w:val="ARtabletextright"/>
              <w:rPr>
                <w:rFonts w:eastAsia="Times New Roman"/>
                <w:color w:val="000000"/>
              </w:rPr>
            </w:pPr>
            <w:r w:rsidRPr="00066515">
              <w:rPr>
                <w:rFonts w:eastAsia="Times New Roman"/>
                <w:color w:val="000000"/>
              </w:rPr>
              <w:t>60</w:t>
            </w:r>
          </w:p>
        </w:tc>
        <w:tc>
          <w:tcPr>
            <w:tcW w:w="2063" w:type="dxa"/>
            <w:tcBorders>
              <w:top w:val="single" w:sz="4" w:space="0" w:color="A6A6A6" w:themeColor="accent5"/>
            </w:tcBorders>
            <w:tcMar>
              <w:left w:w="113" w:type="dxa"/>
            </w:tcMar>
            <w:hideMark/>
          </w:tcPr>
          <w:p w14:paraId="16F8DB1B"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71F9E796" w14:textId="77777777" w:rsidTr="0008394E">
        <w:tc>
          <w:tcPr>
            <w:tcW w:w="1845" w:type="dxa"/>
            <w:tcBorders>
              <w:bottom w:val="single" w:sz="4" w:space="0" w:color="A6A6A6" w:themeColor="accent5"/>
            </w:tcBorders>
            <w:hideMark/>
          </w:tcPr>
          <w:p w14:paraId="176B97BC" w14:textId="77777777" w:rsidR="00AC3C57" w:rsidRPr="00066515" w:rsidRDefault="00AC3C57" w:rsidP="0081090F">
            <w:pPr>
              <w:pStyle w:val="ARtabletextbold"/>
            </w:pPr>
            <w:r w:rsidRPr="00066515">
              <w:t>Intervention for young offenders with a cognitive disability</w:t>
            </w:r>
          </w:p>
        </w:tc>
        <w:tc>
          <w:tcPr>
            <w:tcW w:w="2692" w:type="dxa"/>
            <w:tcBorders>
              <w:bottom w:val="single" w:sz="4" w:space="0" w:color="A6A6A6" w:themeColor="accent5"/>
            </w:tcBorders>
            <w:shd w:val="clear" w:color="auto" w:fill="E7E6E6" w:themeFill="background2"/>
            <w:tcMar>
              <w:left w:w="113" w:type="dxa"/>
            </w:tcMar>
            <w:hideMark/>
          </w:tcPr>
          <w:p w14:paraId="15A8BBC0" w14:textId="77777777" w:rsidR="00AC3C57" w:rsidRPr="00066515" w:rsidRDefault="00AC3C57">
            <w:pPr>
              <w:pStyle w:val="ARtabletext"/>
            </w:pPr>
            <w:r w:rsidRPr="00066515">
              <w:t>Identify evidence</w:t>
            </w:r>
            <w:r>
              <w:t>-</w:t>
            </w:r>
            <w:r w:rsidRPr="00066515">
              <w:t>based interventions to inform approach to service delivery in the youth forensic disability clinical service</w:t>
            </w:r>
          </w:p>
        </w:tc>
        <w:tc>
          <w:tcPr>
            <w:tcW w:w="2693" w:type="dxa"/>
            <w:tcBorders>
              <w:bottom w:val="single" w:sz="4" w:space="0" w:color="A6A6A6" w:themeColor="accent5"/>
            </w:tcBorders>
            <w:tcMar>
              <w:left w:w="113" w:type="dxa"/>
            </w:tcMar>
            <w:hideMark/>
          </w:tcPr>
          <w:p w14:paraId="05376DED" w14:textId="77777777" w:rsidR="00AC3C57" w:rsidRPr="00066515" w:rsidRDefault="00AC3C57">
            <w:pPr>
              <w:pStyle w:val="ARtabletext"/>
            </w:pPr>
            <w:r w:rsidRPr="00066515">
              <w:t>Literature review of peer</w:t>
            </w:r>
            <w:r>
              <w:t>-</w:t>
            </w:r>
            <w:r w:rsidRPr="00066515">
              <w:t>reviewed and grey literature of cognitive behaviour therapy interventions for offending behaviour targeted at young people with a cognitive disability</w:t>
            </w:r>
          </w:p>
        </w:tc>
        <w:tc>
          <w:tcPr>
            <w:tcW w:w="2693" w:type="dxa"/>
            <w:tcBorders>
              <w:bottom w:val="single" w:sz="4" w:space="0" w:color="A6A6A6" w:themeColor="accent5"/>
            </w:tcBorders>
            <w:shd w:val="clear" w:color="auto" w:fill="E7E6E6" w:themeFill="background2"/>
            <w:tcMar>
              <w:left w:w="113" w:type="dxa"/>
            </w:tcMar>
            <w:hideMark/>
          </w:tcPr>
          <w:p w14:paraId="3A80C0EA" w14:textId="04AD3867" w:rsidR="00AC3C57" w:rsidRPr="00066515" w:rsidRDefault="00AC3C57">
            <w:pPr>
              <w:pStyle w:val="ARtabletext"/>
            </w:pPr>
            <w:r w:rsidRPr="00066515">
              <w:t>Identification of effective interventions the service can</w:t>
            </w:r>
            <w:r w:rsidR="00B53C6A">
              <w:t> </w:t>
            </w:r>
            <w:r w:rsidRPr="00066515">
              <w:t>apply</w:t>
            </w:r>
          </w:p>
        </w:tc>
        <w:tc>
          <w:tcPr>
            <w:tcW w:w="1293" w:type="dxa"/>
            <w:tcBorders>
              <w:bottom w:val="single" w:sz="4" w:space="0" w:color="A6A6A6" w:themeColor="accent5"/>
            </w:tcBorders>
            <w:tcMar>
              <w:left w:w="113" w:type="dxa"/>
            </w:tcMar>
            <w:hideMark/>
          </w:tcPr>
          <w:p w14:paraId="7875A41A" w14:textId="77777777" w:rsidR="00AC3C57" w:rsidRPr="00066515" w:rsidRDefault="00AC3C57" w:rsidP="0081090F">
            <w:pPr>
              <w:pStyle w:val="ARtabletextright"/>
              <w:rPr>
                <w:rFonts w:eastAsia="Times New Roman"/>
                <w:color w:val="000000"/>
              </w:rPr>
            </w:pPr>
            <w:r>
              <w:rPr>
                <w:rFonts w:eastAsia="Times New Roman"/>
                <w:color w:val="000000"/>
              </w:rPr>
              <w:t>50</w:t>
            </w:r>
          </w:p>
        </w:tc>
        <w:tc>
          <w:tcPr>
            <w:tcW w:w="1293" w:type="dxa"/>
            <w:tcBorders>
              <w:bottom w:val="single" w:sz="4" w:space="0" w:color="A6A6A6" w:themeColor="accent5"/>
            </w:tcBorders>
            <w:shd w:val="clear" w:color="auto" w:fill="E7E6E6" w:themeFill="background2"/>
            <w:tcMar>
              <w:left w:w="113" w:type="dxa"/>
            </w:tcMar>
            <w:hideMark/>
          </w:tcPr>
          <w:p w14:paraId="54256424" w14:textId="77777777" w:rsidR="00AC3C57" w:rsidRPr="00066515" w:rsidRDefault="00AC3C57" w:rsidP="0081090F">
            <w:pPr>
              <w:pStyle w:val="ARtabletextright"/>
              <w:rPr>
                <w:rFonts w:eastAsia="Times New Roman"/>
                <w:color w:val="000000"/>
              </w:rPr>
            </w:pPr>
            <w:r w:rsidRPr="00066515">
              <w:rPr>
                <w:rFonts w:eastAsia="Times New Roman"/>
                <w:color w:val="000000"/>
              </w:rPr>
              <w:t>50</w:t>
            </w:r>
          </w:p>
        </w:tc>
        <w:tc>
          <w:tcPr>
            <w:tcW w:w="2063" w:type="dxa"/>
            <w:tcBorders>
              <w:bottom w:val="single" w:sz="4" w:space="0" w:color="A6A6A6" w:themeColor="accent5"/>
            </w:tcBorders>
            <w:tcMar>
              <w:left w:w="113" w:type="dxa"/>
            </w:tcMar>
            <w:hideMark/>
          </w:tcPr>
          <w:p w14:paraId="397FAC18"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5A9BB39F" w14:textId="77777777" w:rsidTr="0008394E">
        <w:tc>
          <w:tcPr>
            <w:tcW w:w="1845" w:type="dxa"/>
            <w:tcBorders>
              <w:top w:val="single" w:sz="4" w:space="0" w:color="A6A6A6" w:themeColor="accent5"/>
              <w:bottom w:val="single" w:sz="4" w:space="0" w:color="A6A6A6" w:themeColor="accent5"/>
            </w:tcBorders>
            <w:hideMark/>
          </w:tcPr>
          <w:p w14:paraId="1B3661A7" w14:textId="77777777" w:rsidR="00AC3C57" w:rsidRPr="00066515" w:rsidRDefault="00AC3C57" w:rsidP="0081090F">
            <w:pPr>
              <w:pStyle w:val="ARtabletextbold"/>
            </w:pPr>
            <w:r w:rsidRPr="00066515">
              <w:t xml:space="preserve">National Connect for Safety </w:t>
            </w:r>
            <w:r>
              <w:t>e</w:t>
            </w:r>
            <w:r w:rsidRPr="00066515">
              <w:t>valuation</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04CF666" w14:textId="0754D9AD" w:rsidR="00AC3C57" w:rsidRPr="00066515" w:rsidRDefault="00AC3C57">
            <w:pPr>
              <w:pStyle w:val="ARtabletext"/>
            </w:pPr>
            <w:r w:rsidRPr="00066515">
              <w:t>Assess systems performance to address Royal Commission into Institutional Responses to</w:t>
            </w:r>
            <w:r w:rsidR="0008394E">
              <w:t> </w:t>
            </w:r>
            <w:r w:rsidRPr="00066515">
              <w:t>Child Sexual Abuse (</w:t>
            </w:r>
            <w:r>
              <w:t>r</w:t>
            </w:r>
            <w:r w:rsidRPr="00066515">
              <w:t>ecommendations 8.6</w:t>
            </w:r>
            <w:r>
              <w:t>–</w:t>
            </w:r>
            <w:r w:rsidRPr="00066515">
              <w:t>8.8)</w:t>
            </w:r>
          </w:p>
        </w:tc>
        <w:tc>
          <w:tcPr>
            <w:tcW w:w="2693" w:type="dxa"/>
            <w:tcBorders>
              <w:top w:val="single" w:sz="4" w:space="0" w:color="A6A6A6" w:themeColor="accent5"/>
              <w:bottom w:val="single" w:sz="4" w:space="0" w:color="A6A6A6" w:themeColor="accent5"/>
            </w:tcBorders>
            <w:tcMar>
              <w:left w:w="113" w:type="dxa"/>
            </w:tcMar>
            <w:hideMark/>
          </w:tcPr>
          <w:p w14:paraId="73955967" w14:textId="77777777" w:rsidR="00AC3C57" w:rsidRPr="00066515" w:rsidRDefault="00AC3C57">
            <w:pPr>
              <w:pStyle w:val="ARtabletext"/>
            </w:pPr>
            <w:r w:rsidRPr="00066515">
              <w:t>Qualitative and quantitative data analysis to evaluate the performance of the Connect for Safety system</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4393C705" w14:textId="77777777" w:rsidR="00AC3C57" w:rsidRPr="00066515" w:rsidRDefault="00AC3C57">
            <w:pPr>
              <w:pStyle w:val="ARtabletext"/>
            </w:pPr>
            <w:r w:rsidRPr="00066515">
              <w:t>Identification of strategies to enhance the systems current performance and to make improvement recommendations</w:t>
            </w:r>
          </w:p>
        </w:tc>
        <w:tc>
          <w:tcPr>
            <w:tcW w:w="1293" w:type="dxa"/>
            <w:tcBorders>
              <w:top w:val="single" w:sz="4" w:space="0" w:color="A6A6A6" w:themeColor="accent5"/>
              <w:bottom w:val="single" w:sz="4" w:space="0" w:color="A6A6A6" w:themeColor="accent5"/>
            </w:tcBorders>
            <w:tcMar>
              <w:left w:w="113" w:type="dxa"/>
            </w:tcMar>
            <w:hideMark/>
          </w:tcPr>
          <w:p w14:paraId="1746D55F" w14:textId="77777777" w:rsidR="00AC3C57" w:rsidRPr="00D60AA9" w:rsidRDefault="00AC3C57" w:rsidP="0081090F">
            <w:pPr>
              <w:pStyle w:val="ARtabletextright"/>
              <w:rPr>
                <w:rFonts w:eastAsia="Times New Roman"/>
                <w:color w:val="000000"/>
              </w:rPr>
            </w:pPr>
            <w:r w:rsidRPr="00D60AA9">
              <w:rPr>
                <w:rFonts w:eastAsia="Times New Roman"/>
                <w:color w:val="000000"/>
              </w:rPr>
              <w:t xml:space="preserve">38 </w:t>
            </w:r>
          </w:p>
          <w:p w14:paraId="13746D17" w14:textId="4CEC6AE2" w:rsidR="00AC3C57" w:rsidRPr="00066515" w:rsidRDefault="00AC3C57" w:rsidP="0081090F">
            <w:pPr>
              <w:pStyle w:val="ARtabletextright"/>
              <w:rPr>
                <w:rFonts w:eastAsia="Times New Roman"/>
                <w:color w:val="000000"/>
              </w:rPr>
            </w:pPr>
            <w:r w:rsidRPr="00D60AA9">
              <w:rPr>
                <w:rFonts w:eastAsia="Times New Roman"/>
                <w:color w:val="000000"/>
              </w:rPr>
              <w:t xml:space="preserve">(Victorian </w:t>
            </w:r>
            <w:r w:rsidR="000667C4">
              <w:rPr>
                <w:rFonts w:eastAsia="Times New Roman"/>
                <w:color w:val="000000"/>
              </w:rPr>
              <w:t>c</w:t>
            </w:r>
            <w:r w:rsidR="000667C4" w:rsidRPr="00D60AA9">
              <w:rPr>
                <w:rFonts w:eastAsia="Times New Roman"/>
                <w:color w:val="000000"/>
              </w:rPr>
              <w:t>ontribution</w:t>
            </w:r>
            <w:r w:rsidRPr="00D60AA9">
              <w:rPr>
                <w:rFonts w:eastAsia="Times New Roman"/>
                <w:color w:val="000000"/>
              </w:rPr>
              <w:t>)</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7489BB15" w14:textId="77777777" w:rsidR="00AC3C57" w:rsidRDefault="00AC3C57" w:rsidP="0081090F">
            <w:pPr>
              <w:pStyle w:val="ARtabletextright"/>
              <w:rPr>
                <w:rFonts w:eastAsia="Times New Roman"/>
                <w:color w:val="000000"/>
              </w:rPr>
            </w:pPr>
            <w:r w:rsidRPr="00066515">
              <w:rPr>
                <w:rFonts w:eastAsia="Times New Roman"/>
                <w:color w:val="000000"/>
              </w:rPr>
              <w:t xml:space="preserve">38 </w:t>
            </w:r>
          </w:p>
          <w:p w14:paraId="62DB0984" w14:textId="24CD4E19" w:rsidR="00AC3C57" w:rsidRPr="00066515" w:rsidRDefault="00AC3C57" w:rsidP="0081090F">
            <w:pPr>
              <w:pStyle w:val="ARtabletextright"/>
              <w:rPr>
                <w:rFonts w:eastAsia="Times New Roman"/>
                <w:color w:val="000000"/>
              </w:rPr>
            </w:pPr>
            <w:r w:rsidRPr="00066515">
              <w:rPr>
                <w:rFonts w:eastAsia="Times New Roman"/>
                <w:color w:val="000000"/>
              </w:rPr>
              <w:t xml:space="preserve">(Victorian </w:t>
            </w:r>
            <w:r w:rsidR="000667C4">
              <w:rPr>
                <w:rFonts w:eastAsia="Times New Roman"/>
                <w:color w:val="000000"/>
              </w:rPr>
              <w:t>c</w:t>
            </w:r>
            <w:r w:rsidRPr="00066515">
              <w:rPr>
                <w:rFonts w:eastAsia="Times New Roman"/>
                <w:color w:val="000000"/>
              </w:rPr>
              <w:t>ontribution)</w:t>
            </w:r>
          </w:p>
        </w:tc>
        <w:tc>
          <w:tcPr>
            <w:tcW w:w="2063" w:type="dxa"/>
            <w:tcBorders>
              <w:top w:val="single" w:sz="4" w:space="0" w:color="A6A6A6" w:themeColor="accent5"/>
              <w:bottom w:val="single" w:sz="4" w:space="0" w:color="A6A6A6" w:themeColor="accent5"/>
            </w:tcBorders>
            <w:tcMar>
              <w:left w:w="113" w:type="dxa"/>
            </w:tcMar>
            <w:hideMark/>
          </w:tcPr>
          <w:p w14:paraId="0808F495"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5F738545" w14:textId="77777777" w:rsidTr="0008394E">
        <w:tc>
          <w:tcPr>
            <w:tcW w:w="1845" w:type="dxa"/>
            <w:tcBorders>
              <w:top w:val="single" w:sz="4" w:space="0" w:color="A6A6A6" w:themeColor="accent5"/>
              <w:bottom w:val="single" w:sz="4" w:space="0" w:color="A6A6A6" w:themeColor="accent5"/>
            </w:tcBorders>
            <w:hideMark/>
          </w:tcPr>
          <w:p w14:paraId="2246BD25" w14:textId="77CC74DC" w:rsidR="00AC3C57" w:rsidRPr="00066515" w:rsidRDefault="00AC3C57" w:rsidP="0081090F">
            <w:pPr>
              <w:pStyle w:val="ARtabletextbold"/>
            </w:pPr>
            <w:r w:rsidRPr="00066515">
              <w:lastRenderedPageBreak/>
              <w:t>Review of child protection learning to support competency in Aboriginal cultural</w:t>
            </w:r>
            <w:r w:rsidR="00B53C6A">
              <w:t> </w:t>
            </w:r>
            <w:r w:rsidRPr="00066515">
              <w:t>rights</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0ED2FAE1" w14:textId="7339E16E" w:rsidR="00AC3C57" w:rsidRPr="00066515" w:rsidRDefault="00AC3C57">
            <w:pPr>
              <w:pStyle w:val="ARtabletext"/>
            </w:pPr>
            <w:r w:rsidRPr="00066515">
              <w:t xml:space="preserve">Response to recommendation 5 </w:t>
            </w:r>
            <w:proofErr w:type="spellStart"/>
            <w:r w:rsidR="00D142FD" w:rsidRPr="00DA434D">
              <w:rPr>
                <w:rStyle w:val="Emphasis"/>
              </w:rPr>
              <w:t>Yoorrook</w:t>
            </w:r>
            <w:proofErr w:type="spellEnd"/>
            <w:r w:rsidR="00D142FD" w:rsidRPr="00DA434D">
              <w:rPr>
                <w:rStyle w:val="Emphasis"/>
              </w:rPr>
              <w:t xml:space="preserve"> for Justice</w:t>
            </w:r>
            <w:r w:rsidR="00D142FD" w:rsidRPr="00066515">
              <w:t xml:space="preserve"> </w:t>
            </w:r>
            <w:r w:rsidRPr="00066515">
              <w:t>report</w:t>
            </w:r>
          </w:p>
        </w:tc>
        <w:tc>
          <w:tcPr>
            <w:tcW w:w="2693" w:type="dxa"/>
            <w:tcBorders>
              <w:top w:val="single" w:sz="4" w:space="0" w:color="A6A6A6" w:themeColor="accent5"/>
              <w:bottom w:val="single" w:sz="4" w:space="0" w:color="A6A6A6" w:themeColor="accent5"/>
            </w:tcBorders>
            <w:tcMar>
              <w:left w:w="113" w:type="dxa"/>
            </w:tcMar>
            <w:hideMark/>
          </w:tcPr>
          <w:p w14:paraId="4EEF3353" w14:textId="77777777" w:rsidR="00AC3C57" w:rsidRPr="00066515" w:rsidRDefault="00AC3C57">
            <w:pPr>
              <w:pStyle w:val="ARtabletext"/>
            </w:pPr>
            <w:r w:rsidRPr="00066515">
              <w:t>Comprehensive review of training programs to examine the extent to which they support staff meet their legal, ethical and cultural obligations when working with Aboriginal children and families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4990C9B9" w14:textId="77777777" w:rsidR="00AC3C57" w:rsidRPr="00066515" w:rsidRDefault="00AC3C57">
            <w:pPr>
              <w:pStyle w:val="ARtabletext"/>
            </w:pPr>
            <w:r w:rsidRPr="00066515">
              <w:t>Recommendations for enhancement of current programs and development of cultural safety tool for future reviews and development of training programs</w:t>
            </w:r>
          </w:p>
        </w:tc>
        <w:tc>
          <w:tcPr>
            <w:tcW w:w="1293" w:type="dxa"/>
            <w:tcBorders>
              <w:top w:val="single" w:sz="4" w:space="0" w:color="A6A6A6" w:themeColor="accent5"/>
              <w:bottom w:val="single" w:sz="4" w:space="0" w:color="A6A6A6" w:themeColor="accent5"/>
            </w:tcBorders>
            <w:tcMar>
              <w:left w:w="113" w:type="dxa"/>
            </w:tcMar>
            <w:hideMark/>
          </w:tcPr>
          <w:p w14:paraId="52979E7D" w14:textId="77777777" w:rsidR="00AC3C57" w:rsidRPr="00066515" w:rsidRDefault="00AC3C57" w:rsidP="0081090F">
            <w:pPr>
              <w:pStyle w:val="ARtabletextright"/>
              <w:rPr>
                <w:rFonts w:eastAsia="Times New Roman"/>
                <w:color w:val="000000"/>
              </w:rPr>
            </w:pPr>
            <w:r>
              <w:rPr>
                <w:rFonts w:eastAsia="Times New Roman"/>
                <w:color w:val="000000"/>
              </w:rPr>
              <w:t>124</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DA80AE9" w14:textId="77777777" w:rsidR="00AC3C57" w:rsidRPr="00066515" w:rsidRDefault="00AC3C57" w:rsidP="0081090F">
            <w:pPr>
              <w:pStyle w:val="ARtabletextright"/>
              <w:rPr>
                <w:rFonts w:eastAsia="Times New Roman"/>
                <w:color w:val="000000"/>
              </w:rPr>
            </w:pPr>
            <w:r>
              <w:rPr>
                <w:rFonts w:eastAsia="Times New Roman"/>
                <w:color w:val="000000"/>
              </w:rPr>
              <w:t>124</w:t>
            </w:r>
          </w:p>
        </w:tc>
        <w:tc>
          <w:tcPr>
            <w:tcW w:w="2063" w:type="dxa"/>
            <w:tcBorders>
              <w:top w:val="single" w:sz="4" w:space="0" w:color="A6A6A6" w:themeColor="accent5"/>
              <w:bottom w:val="single" w:sz="4" w:space="0" w:color="A6A6A6" w:themeColor="accent5"/>
            </w:tcBorders>
            <w:tcMar>
              <w:left w:w="113" w:type="dxa"/>
            </w:tcMar>
            <w:hideMark/>
          </w:tcPr>
          <w:p w14:paraId="52B75CE4"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68F2C25E" w14:textId="77777777" w:rsidTr="0008394E">
        <w:tc>
          <w:tcPr>
            <w:tcW w:w="1845" w:type="dxa"/>
            <w:tcBorders>
              <w:top w:val="single" w:sz="4" w:space="0" w:color="A6A6A6" w:themeColor="accent5"/>
            </w:tcBorders>
            <w:hideMark/>
          </w:tcPr>
          <w:p w14:paraId="6DCC9E3A" w14:textId="57E62495" w:rsidR="00AC3C57" w:rsidRPr="00066515" w:rsidRDefault="00AC3C57" w:rsidP="0081090F">
            <w:pPr>
              <w:pStyle w:val="ARtabletextbold"/>
            </w:pPr>
            <w:r w:rsidRPr="00066515">
              <w:t>Review of the implementation of</w:t>
            </w:r>
            <w:r w:rsidR="00C00537">
              <w:t> </w:t>
            </w:r>
            <w:r>
              <w:t>s</w:t>
            </w:r>
            <w:r w:rsidRPr="00066515">
              <w:t xml:space="preserve">upervised </w:t>
            </w:r>
            <w:r>
              <w:t>t</w:t>
            </w:r>
            <w:r w:rsidRPr="00066515">
              <w:t xml:space="preserve">reatment </w:t>
            </w:r>
            <w:r>
              <w:t>o</w:t>
            </w:r>
            <w:r w:rsidRPr="00066515">
              <w:t>rders</w:t>
            </w:r>
          </w:p>
        </w:tc>
        <w:tc>
          <w:tcPr>
            <w:tcW w:w="2692" w:type="dxa"/>
            <w:tcBorders>
              <w:top w:val="single" w:sz="4" w:space="0" w:color="A6A6A6" w:themeColor="accent5"/>
            </w:tcBorders>
            <w:shd w:val="clear" w:color="auto" w:fill="E7E6E6" w:themeFill="background2"/>
            <w:tcMar>
              <w:left w:w="113" w:type="dxa"/>
            </w:tcMar>
            <w:hideMark/>
          </w:tcPr>
          <w:p w14:paraId="5DDF0211" w14:textId="01CE7628" w:rsidR="00AC3C57" w:rsidRPr="00066515" w:rsidRDefault="00AC3C57">
            <w:pPr>
              <w:pStyle w:val="ARtabletext"/>
            </w:pPr>
            <w:r w:rsidRPr="00066515">
              <w:t>Examine the implementation of</w:t>
            </w:r>
            <w:r w:rsidR="0008394E">
              <w:t> </w:t>
            </w:r>
            <w:r>
              <w:t>s</w:t>
            </w:r>
            <w:r w:rsidRPr="00066515">
              <w:t xml:space="preserve">upervised </w:t>
            </w:r>
            <w:r>
              <w:t>tr</w:t>
            </w:r>
            <w:r w:rsidRPr="00066515">
              <w:t xml:space="preserve">eatment </w:t>
            </w:r>
            <w:r>
              <w:t>o</w:t>
            </w:r>
            <w:r w:rsidRPr="00066515">
              <w:t>rders to understand impediments to transition, with a view to reducing their long-term use</w:t>
            </w:r>
          </w:p>
        </w:tc>
        <w:tc>
          <w:tcPr>
            <w:tcW w:w="2693" w:type="dxa"/>
            <w:tcBorders>
              <w:top w:val="single" w:sz="4" w:space="0" w:color="A6A6A6" w:themeColor="accent5"/>
            </w:tcBorders>
            <w:tcMar>
              <w:left w:w="113" w:type="dxa"/>
            </w:tcMar>
            <w:hideMark/>
          </w:tcPr>
          <w:p w14:paraId="4F5F2EB3" w14:textId="77777777" w:rsidR="00AC3C57" w:rsidRPr="00066515" w:rsidRDefault="00AC3C57">
            <w:pPr>
              <w:pStyle w:val="ARtabletext"/>
            </w:pPr>
            <w:r w:rsidRPr="00066515">
              <w:t>Literature review, qualitative and quantitative data analysis</w:t>
            </w:r>
          </w:p>
        </w:tc>
        <w:tc>
          <w:tcPr>
            <w:tcW w:w="2693" w:type="dxa"/>
            <w:tcBorders>
              <w:top w:val="single" w:sz="4" w:space="0" w:color="A6A6A6" w:themeColor="accent5"/>
            </w:tcBorders>
            <w:shd w:val="clear" w:color="auto" w:fill="E7E6E6" w:themeFill="background2"/>
            <w:tcMar>
              <w:left w:w="113" w:type="dxa"/>
            </w:tcMar>
            <w:hideMark/>
          </w:tcPr>
          <w:p w14:paraId="118F71C8" w14:textId="77777777" w:rsidR="00AC3C57" w:rsidRPr="00066515" w:rsidRDefault="00AC3C57">
            <w:pPr>
              <w:pStyle w:val="ARtabletext"/>
            </w:pPr>
            <w:r w:rsidRPr="00066515">
              <w:t xml:space="preserve">Identification of strategies to enhance and improve processes underpinning implementation of </w:t>
            </w:r>
            <w:r>
              <w:t>s</w:t>
            </w:r>
            <w:r w:rsidRPr="00066515">
              <w:t xml:space="preserve">upervised </w:t>
            </w:r>
            <w:r>
              <w:t>t</w:t>
            </w:r>
            <w:r w:rsidRPr="00066515">
              <w:t xml:space="preserve">reatment </w:t>
            </w:r>
            <w:r>
              <w:t>o</w:t>
            </w:r>
            <w:r w:rsidRPr="00066515">
              <w:t>rders</w:t>
            </w:r>
          </w:p>
        </w:tc>
        <w:tc>
          <w:tcPr>
            <w:tcW w:w="1293" w:type="dxa"/>
            <w:tcBorders>
              <w:top w:val="single" w:sz="4" w:space="0" w:color="A6A6A6" w:themeColor="accent5"/>
            </w:tcBorders>
            <w:tcMar>
              <w:left w:w="113" w:type="dxa"/>
            </w:tcMar>
            <w:hideMark/>
          </w:tcPr>
          <w:p w14:paraId="470CB696" w14:textId="77777777" w:rsidR="00AC3C57" w:rsidRPr="00066515" w:rsidRDefault="00AC3C57" w:rsidP="0081090F">
            <w:pPr>
              <w:pStyle w:val="ARtabletextright"/>
              <w:rPr>
                <w:rFonts w:eastAsia="Times New Roman"/>
                <w:color w:val="000000"/>
              </w:rPr>
            </w:pPr>
            <w:r>
              <w:rPr>
                <w:rFonts w:eastAsia="Times New Roman"/>
                <w:color w:val="000000"/>
              </w:rPr>
              <w:t>124</w:t>
            </w:r>
          </w:p>
        </w:tc>
        <w:tc>
          <w:tcPr>
            <w:tcW w:w="1293" w:type="dxa"/>
            <w:tcBorders>
              <w:top w:val="single" w:sz="4" w:space="0" w:color="A6A6A6" w:themeColor="accent5"/>
            </w:tcBorders>
            <w:shd w:val="clear" w:color="auto" w:fill="E7E6E6" w:themeFill="background2"/>
            <w:tcMar>
              <w:left w:w="113" w:type="dxa"/>
            </w:tcMar>
            <w:hideMark/>
          </w:tcPr>
          <w:p w14:paraId="4DC5636C" w14:textId="77777777" w:rsidR="00AC3C57" w:rsidRPr="00066515" w:rsidRDefault="00AC3C57" w:rsidP="0081090F">
            <w:pPr>
              <w:pStyle w:val="ARtabletextright"/>
              <w:rPr>
                <w:rFonts w:eastAsia="Times New Roman"/>
                <w:color w:val="000000"/>
              </w:rPr>
            </w:pPr>
            <w:r w:rsidRPr="00066515">
              <w:rPr>
                <w:rFonts w:eastAsia="Times New Roman"/>
                <w:color w:val="000000"/>
              </w:rPr>
              <w:t>124</w:t>
            </w:r>
          </w:p>
        </w:tc>
        <w:tc>
          <w:tcPr>
            <w:tcW w:w="2063" w:type="dxa"/>
            <w:tcBorders>
              <w:top w:val="single" w:sz="4" w:space="0" w:color="A6A6A6" w:themeColor="accent5"/>
            </w:tcBorders>
            <w:tcMar>
              <w:left w:w="113" w:type="dxa"/>
            </w:tcMar>
            <w:hideMark/>
          </w:tcPr>
          <w:p w14:paraId="2883F24A"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5AB3AE7A" w14:textId="77777777" w:rsidTr="0008394E">
        <w:tc>
          <w:tcPr>
            <w:tcW w:w="1845" w:type="dxa"/>
            <w:tcBorders>
              <w:bottom w:val="single" w:sz="4" w:space="0" w:color="A6A6A6" w:themeColor="accent5"/>
            </w:tcBorders>
            <w:hideMark/>
          </w:tcPr>
          <w:p w14:paraId="441786E9" w14:textId="77777777" w:rsidR="00AC3C57" w:rsidRPr="00066515" w:rsidRDefault="00AC3C57" w:rsidP="0081090F">
            <w:pPr>
              <w:pStyle w:val="ARtabletextbold"/>
            </w:pPr>
            <w:r w:rsidRPr="00066515">
              <w:t>Barriers to integrating people with intellectual disability at risk of offending into the community</w:t>
            </w:r>
          </w:p>
        </w:tc>
        <w:tc>
          <w:tcPr>
            <w:tcW w:w="2692" w:type="dxa"/>
            <w:tcBorders>
              <w:bottom w:val="single" w:sz="4" w:space="0" w:color="A6A6A6" w:themeColor="accent5"/>
            </w:tcBorders>
            <w:shd w:val="clear" w:color="auto" w:fill="E7E6E6" w:themeFill="background2"/>
            <w:tcMar>
              <w:left w:w="113" w:type="dxa"/>
            </w:tcMar>
            <w:hideMark/>
          </w:tcPr>
          <w:p w14:paraId="559F6EA9" w14:textId="0E8A3CB0" w:rsidR="00AC3C57" w:rsidRPr="00066515" w:rsidRDefault="00AC3C57">
            <w:pPr>
              <w:pStyle w:val="ARtabletext"/>
            </w:pPr>
            <w:r w:rsidRPr="00066515">
              <w:t>Review the implementation of</w:t>
            </w:r>
            <w:r w:rsidR="0008394E">
              <w:t> </w:t>
            </w:r>
            <w:r w:rsidRPr="00066515">
              <w:t>legislation, policies and practices in Australian jurisdictions that are aimed at</w:t>
            </w:r>
            <w:r w:rsidR="005C1105">
              <w:t> </w:t>
            </w:r>
            <w:r w:rsidRPr="00066515">
              <w:t xml:space="preserve">preventing offending or integrating people at risk of </w:t>
            </w:r>
            <w:r w:rsidR="005C1105">
              <w:br/>
            </w:r>
            <w:r w:rsidRPr="00066515">
              <w:t>reoffending with intellectual disability back into their communities</w:t>
            </w:r>
          </w:p>
        </w:tc>
        <w:tc>
          <w:tcPr>
            <w:tcW w:w="2693" w:type="dxa"/>
            <w:tcBorders>
              <w:bottom w:val="single" w:sz="4" w:space="0" w:color="A6A6A6" w:themeColor="accent5"/>
            </w:tcBorders>
            <w:tcMar>
              <w:left w:w="113" w:type="dxa"/>
            </w:tcMar>
            <w:hideMark/>
          </w:tcPr>
          <w:p w14:paraId="60653750" w14:textId="77777777" w:rsidR="00AC3C57" w:rsidRPr="00066515" w:rsidRDefault="00AC3C57">
            <w:pPr>
              <w:pStyle w:val="ARtabletext"/>
            </w:pPr>
            <w:r w:rsidRPr="00066515">
              <w:t>Literature review, qualitative and quantitative data analysis</w:t>
            </w:r>
          </w:p>
        </w:tc>
        <w:tc>
          <w:tcPr>
            <w:tcW w:w="2693" w:type="dxa"/>
            <w:tcBorders>
              <w:bottom w:val="single" w:sz="4" w:space="0" w:color="A6A6A6" w:themeColor="accent5"/>
            </w:tcBorders>
            <w:shd w:val="clear" w:color="auto" w:fill="E7E6E6" w:themeFill="background2"/>
            <w:tcMar>
              <w:left w:w="113" w:type="dxa"/>
            </w:tcMar>
            <w:hideMark/>
          </w:tcPr>
          <w:p w14:paraId="2607E3D0" w14:textId="77777777" w:rsidR="00AC3C57" w:rsidRPr="00066515" w:rsidRDefault="00AC3C57">
            <w:pPr>
              <w:pStyle w:val="ARtabletext"/>
            </w:pPr>
            <w:r w:rsidRPr="00066515">
              <w:t>Identify systemic issues that lead to ongoing supervision, restriction, and environmental restraint of people with intellectual disabilities which impact on their autonomy and freedom across Australia</w:t>
            </w:r>
          </w:p>
        </w:tc>
        <w:tc>
          <w:tcPr>
            <w:tcW w:w="1293" w:type="dxa"/>
            <w:tcBorders>
              <w:bottom w:val="single" w:sz="4" w:space="0" w:color="A6A6A6" w:themeColor="accent5"/>
            </w:tcBorders>
            <w:tcMar>
              <w:left w:w="113" w:type="dxa"/>
            </w:tcMar>
            <w:hideMark/>
          </w:tcPr>
          <w:p w14:paraId="17BB5DAF" w14:textId="77777777" w:rsidR="00AC3C57" w:rsidRPr="00066515" w:rsidRDefault="00AC3C57" w:rsidP="0081090F">
            <w:pPr>
              <w:pStyle w:val="ARtabletextright"/>
              <w:rPr>
                <w:rFonts w:eastAsia="Times New Roman"/>
                <w:color w:val="000000"/>
              </w:rPr>
            </w:pPr>
            <w:r>
              <w:rPr>
                <w:rFonts w:eastAsia="Times New Roman"/>
                <w:color w:val="000000"/>
              </w:rPr>
              <w:t>124</w:t>
            </w:r>
          </w:p>
        </w:tc>
        <w:tc>
          <w:tcPr>
            <w:tcW w:w="1293" w:type="dxa"/>
            <w:tcBorders>
              <w:bottom w:val="single" w:sz="4" w:space="0" w:color="A6A6A6" w:themeColor="accent5"/>
            </w:tcBorders>
            <w:shd w:val="clear" w:color="auto" w:fill="E7E6E6" w:themeFill="background2"/>
            <w:tcMar>
              <w:left w:w="113" w:type="dxa"/>
            </w:tcMar>
            <w:hideMark/>
          </w:tcPr>
          <w:p w14:paraId="0A05C21E" w14:textId="77777777" w:rsidR="00AC3C57" w:rsidRPr="00066515" w:rsidRDefault="00AC3C57" w:rsidP="0081090F">
            <w:pPr>
              <w:pStyle w:val="ARtabletextright"/>
              <w:rPr>
                <w:rFonts w:eastAsia="Times New Roman"/>
                <w:color w:val="000000"/>
              </w:rPr>
            </w:pPr>
            <w:r w:rsidRPr="00066515">
              <w:rPr>
                <w:rFonts w:eastAsia="Times New Roman"/>
                <w:color w:val="000000"/>
              </w:rPr>
              <w:t>124</w:t>
            </w:r>
          </w:p>
        </w:tc>
        <w:tc>
          <w:tcPr>
            <w:tcW w:w="2063" w:type="dxa"/>
            <w:tcBorders>
              <w:bottom w:val="single" w:sz="4" w:space="0" w:color="A6A6A6" w:themeColor="accent5"/>
            </w:tcBorders>
            <w:tcMar>
              <w:left w:w="113" w:type="dxa"/>
            </w:tcMar>
            <w:hideMark/>
          </w:tcPr>
          <w:p w14:paraId="19F4AD93"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6ECC4728" w14:textId="77777777" w:rsidTr="0008394E">
        <w:tc>
          <w:tcPr>
            <w:tcW w:w="1845" w:type="dxa"/>
            <w:tcBorders>
              <w:top w:val="single" w:sz="4" w:space="0" w:color="A6A6A6" w:themeColor="accent5"/>
              <w:bottom w:val="single" w:sz="4" w:space="0" w:color="A6A6A6" w:themeColor="accent5"/>
            </w:tcBorders>
            <w:hideMark/>
          </w:tcPr>
          <w:p w14:paraId="3A396280" w14:textId="77777777" w:rsidR="00AC3C57" w:rsidRPr="00066515" w:rsidRDefault="00AC3C57" w:rsidP="0081090F">
            <w:pPr>
              <w:pStyle w:val="ARtabletextbold"/>
            </w:pPr>
            <w:r w:rsidRPr="00066515">
              <w:t xml:space="preserve">Client </w:t>
            </w:r>
            <w:r>
              <w:t>v</w:t>
            </w:r>
            <w:r w:rsidRPr="00066515">
              <w:t>oice</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46849CB8" w14:textId="77777777" w:rsidR="00AC3C57" w:rsidRPr="00066515" w:rsidRDefault="00AC3C57">
            <w:pPr>
              <w:pStyle w:val="ARtabletext"/>
            </w:pPr>
            <w:r w:rsidRPr="00066515">
              <w:t xml:space="preserve">Develop a safe, sustainable, and implementable client voice framework for the Victorian Senior Practitioner </w:t>
            </w:r>
          </w:p>
        </w:tc>
        <w:tc>
          <w:tcPr>
            <w:tcW w:w="2693" w:type="dxa"/>
            <w:tcBorders>
              <w:top w:val="single" w:sz="4" w:space="0" w:color="A6A6A6" w:themeColor="accent5"/>
              <w:bottom w:val="single" w:sz="4" w:space="0" w:color="A6A6A6" w:themeColor="accent5"/>
            </w:tcBorders>
            <w:tcMar>
              <w:left w:w="113" w:type="dxa"/>
            </w:tcMar>
            <w:hideMark/>
          </w:tcPr>
          <w:p w14:paraId="687D1EF9" w14:textId="77777777" w:rsidR="00AC3C57" w:rsidRPr="00066515" w:rsidRDefault="00AC3C57">
            <w:pPr>
              <w:pStyle w:val="ARtabletext"/>
            </w:pPr>
            <w:r w:rsidRPr="00066515">
              <w:t>Literature review, qualitative and quantitative data analysis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231A3863" w14:textId="6319903F" w:rsidR="00AC3C57" w:rsidRPr="00066515" w:rsidRDefault="00AC3C57">
            <w:pPr>
              <w:pStyle w:val="ARtabletext"/>
            </w:pPr>
            <w:r>
              <w:t>Identify</w:t>
            </w:r>
            <w:r w:rsidRPr="00066515">
              <w:t xml:space="preserve"> strategies to ensure lived experience informs design and delivery of its Victorian Senior Practitioner’s services, programs and</w:t>
            </w:r>
            <w:r w:rsidR="0098762A">
              <w:t> </w:t>
            </w:r>
            <w:r w:rsidRPr="00066515">
              <w:t>practices</w:t>
            </w:r>
          </w:p>
        </w:tc>
        <w:tc>
          <w:tcPr>
            <w:tcW w:w="1293" w:type="dxa"/>
            <w:tcBorders>
              <w:top w:val="single" w:sz="4" w:space="0" w:color="A6A6A6" w:themeColor="accent5"/>
              <w:bottom w:val="single" w:sz="4" w:space="0" w:color="A6A6A6" w:themeColor="accent5"/>
            </w:tcBorders>
            <w:tcMar>
              <w:left w:w="113" w:type="dxa"/>
            </w:tcMar>
            <w:hideMark/>
          </w:tcPr>
          <w:p w14:paraId="3FF1E018" w14:textId="77777777" w:rsidR="00AC3C57" w:rsidRPr="00066515" w:rsidRDefault="00AC3C57" w:rsidP="0081090F">
            <w:pPr>
              <w:pStyle w:val="ARtabletextright"/>
              <w:rPr>
                <w:rFonts w:eastAsia="Times New Roman"/>
                <w:color w:val="000000"/>
              </w:rPr>
            </w:pPr>
            <w:r w:rsidRPr="00066515">
              <w:rPr>
                <w:rFonts w:eastAsia="Times New Roman"/>
                <w:color w:val="000000"/>
              </w:rPr>
              <w:t>56</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D2EC00D" w14:textId="77777777" w:rsidR="00AC3C57" w:rsidRPr="00066515" w:rsidRDefault="00AC3C57" w:rsidP="0081090F">
            <w:pPr>
              <w:pStyle w:val="ARtabletextright"/>
              <w:rPr>
                <w:rFonts w:eastAsia="Times New Roman"/>
                <w:color w:val="000000"/>
              </w:rPr>
            </w:pPr>
            <w:r>
              <w:rPr>
                <w:rFonts w:eastAsia="Times New Roman"/>
                <w:color w:val="000000"/>
              </w:rPr>
              <w:t>N/A</w:t>
            </w:r>
          </w:p>
        </w:tc>
        <w:tc>
          <w:tcPr>
            <w:tcW w:w="2063" w:type="dxa"/>
            <w:tcBorders>
              <w:top w:val="single" w:sz="4" w:space="0" w:color="A6A6A6" w:themeColor="accent5"/>
              <w:bottom w:val="single" w:sz="4" w:space="0" w:color="A6A6A6" w:themeColor="accent5"/>
            </w:tcBorders>
            <w:tcMar>
              <w:left w:w="113" w:type="dxa"/>
            </w:tcMar>
            <w:hideMark/>
          </w:tcPr>
          <w:p w14:paraId="458A8991"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50739467" w14:textId="77777777" w:rsidTr="0008394E">
        <w:tc>
          <w:tcPr>
            <w:tcW w:w="1845" w:type="dxa"/>
            <w:tcBorders>
              <w:top w:val="single" w:sz="4" w:space="0" w:color="A6A6A6" w:themeColor="accent5"/>
              <w:bottom w:val="single" w:sz="4" w:space="0" w:color="A6A6A6" w:themeColor="accent5"/>
            </w:tcBorders>
            <w:hideMark/>
          </w:tcPr>
          <w:p w14:paraId="2DD2AE50" w14:textId="77777777" w:rsidR="00AC3C57" w:rsidRPr="00066515" w:rsidRDefault="00AC3C57" w:rsidP="0081090F">
            <w:pPr>
              <w:pStyle w:val="ARtabletextbold"/>
            </w:pPr>
            <w:r w:rsidRPr="00066515">
              <w:t xml:space="preserve">Review of the physical restraint direction paper </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0675F261" w14:textId="08769BFA" w:rsidR="00AC3C57" w:rsidRPr="00066515" w:rsidRDefault="00AC3C57">
            <w:pPr>
              <w:pStyle w:val="ARtabletext"/>
            </w:pPr>
            <w:r w:rsidRPr="00066515">
              <w:t>A</w:t>
            </w:r>
            <w:r w:rsidRPr="00066515">
              <w:rPr>
                <w:b/>
                <w:bCs/>
              </w:rPr>
              <w:t xml:space="preserve"> </w:t>
            </w:r>
            <w:r w:rsidRPr="00066515">
              <w:t xml:space="preserve">comprehensive </w:t>
            </w:r>
            <w:r>
              <w:t>10</w:t>
            </w:r>
            <w:r w:rsidRPr="00066515">
              <w:t>-year review of</w:t>
            </w:r>
            <w:r w:rsidR="0008394E">
              <w:t> </w:t>
            </w:r>
            <w:r w:rsidRPr="00066515">
              <w:t xml:space="preserve">the physical restraint direction paper </w:t>
            </w:r>
          </w:p>
        </w:tc>
        <w:tc>
          <w:tcPr>
            <w:tcW w:w="2693" w:type="dxa"/>
            <w:tcBorders>
              <w:top w:val="single" w:sz="4" w:space="0" w:color="A6A6A6" w:themeColor="accent5"/>
              <w:bottom w:val="single" w:sz="4" w:space="0" w:color="A6A6A6" w:themeColor="accent5"/>
            </w:tcBorders>
            <w:tcMar>
              <w:left w:w="113" w:type="dxa"/>
            </w:tcMar>
            <w:hideMark/>
          </w:tcPr>
          <w:p w14:paraId="75E0395E" w14:textId="77777777" w:rsidR="00AC3C57" w:rsidRPr="00066515" w:rsidRDefault="00AC3C57">
            <w:pPr>
              <w:pStyle w:val="ARtabletext"/>
            </w:pPr>
            <w:r w:rsidRPr="00066515">
              <w:t>Literature review, qualitative and quantitative data analysis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605CBF3" w14:textId="77777777" w:rsidR="00AC3C57" w:rsidRPr="00066515" w:rsidRDefault="00AC3C57">
            <w:pPr>
              <w:pStyle w:val="ARtabletext"/>
            </w:pPr>
            <w:r w:rsidRPr="00066515">
              <w:t>A stronger framework for the oversight and use of physical restraint in the disability sector</w:t>
            </w:r>
          </w:p>
        </w:tc>
        <w:tc>
          <w:tcPr>
            <w:tcW w:w="1293" w:type="dxa"/>
            <w:tcBorders>
              <w:top w:val="single" w:sz="4" w:space="0" w:color="A6A6A6" w:themeColor="accent5"/>
              <w:bottom w:val="single" w:sz="4" w:space="0" w:color="A6A6A6" w:themeColor="accent5"/>
            </w:tcBorders>
            <w:tcMar>
              <w:left w:w="113" w:type="dxa"/>
            </w:tcMar>
            <w:hideMark/>
          </w:tcPr>
          <w:p w14:paraId="176E0C69" w14:textId="77777777" w:rsidR="00AC3C57" w:rsidRPr="00066515" w:rsidRDefault="00AC3C57" w:rsidP="0081090F">
            <w:pPr>
              <w:pStyle w:val="ARtabletextright"/>
              <w:rPr>
                <w:rFonts w:eastAsia="Times New Roman"/>
                <w:color w:val="000000"/>
              </w:rPr>
            </w:pPr>
            <w:r w:rsidRPr="00066515">
              <w:rPr>
                <w:rFonts w:eastAsia="Times New Roman"/>
                <w:color w:val="000000"/>
              </w:rPr>
              <w:t>122</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73DED788" w14:textId="77777777" w:rsidR="00AC3C57" w:rsidRPr="00066515" w:rsidRDefault="00AC3C57" w:rsidP="0081090F">
            <w:pPr>
              <w:pStyle w:val="ARtabletextright"/>
              <w:rPr>
                <w:rFonts w:eastAsia="Times New Roman"/>
                <w:color w:val="000000"/>
              </w:rPr>
            </w:pPr>
            <w:r>
              <w:rPr>
                <w:rFonts w:eastAsia="Times New Roman"/>
                <w:color w:val="000000"/>
              </w:rPr>
              <w:t>N/A</w:t>
            </w:r>
          </w:p>
        </w:tc>
        <w:tc>
          <w:tcPr>
            <w:tcW w:w="2063" w:type="dxa"/>
            <w:tcBorders>
              <w:top w:val="single" w:sz="4" w:space="0" w:color="A6A6A6" w:themeColor="accent5"/>
              <w:bottom w:val="single" w:sz="4" w:space="0" w:color="A6A6A6" w:themeColor="accent5"/>
            </w:tcBorders>
            <w:tcMar>
              <w:left w:w="113" w:type="dxa"/>
            </w:tcMar>
            <w:hideMark/>
          </w:tcPr>
          <w:p w14:paraId="46FF6FDF"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7BB1DEDF" w14:textId="77777777" w:rsidTr="0008394E">
        <w:tc>
          <w:tcPr>
            <w:tcW w:w="1845" w:type="dxa"/>
            <w:tcBorders>
              <w:top w:val="single" w:sz="4" w:space="0" w:color="A6A6A6" w:themeColor="accent5"/>
            </w:tcBorders>
            <w:hideMark/>
          </w:tcPr>
          <w:p w14:paraId="7D111DD0" w14:textId="77777777" w:rsidR="00AC3C57" w:rsidRPr="00066515" w:rsidRDefault="00AC3C57" w:rsidP="0081090F">
            <w:pPr>
              <w:pStyle w:val="ARtabletextbold"/>
            </w:pPr>
            <w:r w:rsidRPr="00066515">
              <w:lastRenderedPageBreak/>
              <w:t>Building foundations for rights-based behaviour support in the disability sector</w:t>
            </w:r>
          </w:p>
        </w:tc>
        <w:tc>
          <w:tcPr>
            <w:tcW w:w="2692" w:type="dxa"/>
            <w:tcBorders>
              <w:top w:val="single" w:sz="4" w:space="0" w:color="A6A6A6" w:themeColor="accent5"/>
            </w:tcBorders>
            <w:shd w:val="clear" w:color="auto" w:fill="E7E6E6" w:themeFill="background2"/>
            <w:tcMar>
              <w:left w:w="113" w:type="dxa"/>
            </w:tcMar>
            <w:hideMark/>
          </w:tcPr>
          <w:p w14:paraId="14B1B212" w14:textId="0353B0FB" w:rsidR="00AC3C57" w:rsidRPr="00066515" w:rsidRDefault="00AC3C57">
            <w:pPr>
              <w:pStyle w:val="ARtabletext"/>
            </w:pPr>
            <w:r w:rsidRPr="00066515">
              <w:t>Build the capacity of service provider to create environments that respect a person’s rights and dignity and ultimately improve the quality of life for</w:t>
            </w:r>
            <w:r w:rsidR="0008394E">
              <w:t> </w:t>
            </w:r>
            <w:r w:rsidRPr="00066515">
              <w:t>people with disability</w:t>
            </w:r>
          </w:p>
        </w:tc>
        <w:tc>
          <w:tcPr>
            <w:tcW w:w="2693" w:type="dxa"/>
            <w:tcBorders>
              <w:top w:val="single" w:sz="4" w:space="0" w:color="A6A6A6" w:themeColor="accent5"/>
            </w:tcBorders>
            <w:tcMar>
              <w:left w:w="113" w:type="dxa"/>
            </w:tcMar>
            <w:hideMark/>
          </w:tcPr>
          <w:p w14:paraId="0009199C" w14:textId="77777777" w:rsidR="00AC3C57" w:rsidRPr="00066515" w:rsidRDefault="00AC3C57">
            <w:pPr>
              <w:pStyle w:val="ARtabletext"/>
            </w:pPr>
            <w:r w:rsidRPr="00066515">
              <w:t>Literature review, qualitative and quantitative data analysis</w:t>
            </w:r>
          </w:p>
        </w:tc>
        <w:tc>
          <w:tcPr>
            <w:tcW w:w="2693" w:type="dxa"/>
            <w:tcBorders>
              <w:top w:val="single" w:sz="4" w:space="0" w:color="A6A6A6" w:themeColor="accent5"/>
            </w:tcBorders>
            <w:shd w:val="clear" w:color="auto" w:fill="E7E6E6" w:themeFill="background2"/>
            <w:tcMar>
              <w:left w:w="113" w:type="dxa"/>
            </w:tcMar>
            <w:hideMark/>
          </w:tcPr>
          <w:p w14:paraId="78282A91" w14:textId="77777777" w:rsidR="00AC3C57" w:rsidRPr="00066515" w:rsidRDefault="00AC3C57">
            <w:pPr>
              <w:pStyle w:val="ARtabletext"/>
            </w:pPr>
            <w:r w:rsidRPr="00066515">
              <w:t xml:space="preserve">Develop evidence-based service guidelines (minimum expectations) for rights-based behaviour support for disabled people in </w:t>
            </w:r>
            <w:r>
              <w:t>s</w:t>
            </w:r>
            <w:r w:rsidRPr="00066515">
              <w:t xml:space="preserve">upported </w:t>
            </w:r>
            <w:r>
              <w:t>i</w:t>
            </w:r>
            <w:r w:rsidRPr="00066515">
              <w:t xml:space="preserve">ndependent </w:t>
            </w:r>
            <w:r>
              <w:t>l</w:t>
            </w:r>
            <w:r w:rsidRPr="00066515">
              <w:t>iving (SIL)</w:t>
            </w:r>
          </w:p>
        </w:tc>
        <w:tc>
          <w:tcPr>
            <w:tcW w:w="1293" w:type="dxa"/>
            <w:tcBorders>
              <w:top w:val="single" w:sz="4" w:space="0" w:color="A6A6A6" w:themeColor="accent5"/>
            </w:tcBorders>
            <w:tcMar>
              <w:left w:w="113" w:type="dxa"/>
            </w:tcMar>
            <w:hideMark/>
          </w:tcPr>
          <w:p w14:paraId="37F60606" w14:textId="77777777" w:rsidR="00AC3C57" w:rsidRPr="00066515" w:rsidRDefault="00AC3C57" w:rsidP="0081090F">
            <w:pPr>
              <w:pStyle w:val="ARtabletextright"/>
              <w:rPr>
                <w:rFonts w:eastAsia="Times New Roman"/>
                <w:color w:val="000000"/>
              </w:rPr>
            </w:pPr>
            <w:r w:rsidRPr="00066515">
              <w:rPr>
                <w:rFonts w:eastAsia="Times New Roman"/>
                <w:color w:val="000000"/>
              </w:rPr>
              <w:t>20</w:t>
            </w:r>
          </w:p>
        </w:tc>
        <w:tc>
          <w:tcPr>
            <w:tcW w:w="1293" w:type="dxa"/>
            <w:tcBorders>
              <w:top w:val="single" w:sz="4" w:space="0" w:color="A6A6A6" w:themeColor="accent5"/>
            </w:tcBorders>
            <w:shd w:val="clear" w:color="auto" w:fill="E7E6E6" w:themeFill="background2"/>
            <w:tcMar>
              <w:left w:w="113" w:type="dxa"/>
            </w:tcMar>
            <w:hideMark/>
          </w:tcPr>
          <w:p w14:paraId="7451D357" w14:textId="77777777" w:rsidR="00AC3C57" w:rsidRPr="00066515" w:rsidRDefault="00AC3C57" w:rsidP="0081090F">
            <w:pPr>
              <w:pStyle w:val="ARtabletextright"/>
              <w:rPr>
                <w:rFonts w:eastAsia="Times New Roman"/>
                <w:color w:val="000000"/>
              </w:rPr>
            </w:pPr>
            <w:r>
              <w:rPr>
                <w:rFonts w:eastAsia="Times New Roman"/>
                <w:color w:val="000000"/>
              </w:rPr>
              <w:t>N/A</w:t>
            </w:r>
          </w:p>
        </w:tc>
        <w:tc>
          <w:tcPr>
            <w:tcW w:w="2063" w:type="dxa"/>
            <w:tcBorders>
              <w:top w:val="single" w:sz="4" w:space="0" w:color="A6A6A6" w:themeColor="accent5"/>
            </w:tcBorders>
            <w:tcMar>
              <w:left w:w="113" w:type="dxa"/>
            </w:tcMar>
            <w:hideMark/>
          </w:tcPr>
          <w:p w14:paraId="0225B588"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4E74F925" w14:textId="77777777" w:rsidTr="0008394E">
        <w:tc>
          <w:tcPr>
            <w:tcW w:w="1845" w:type="dxa"/>
            <w:tcBorders>
              <w:bottom w:val="single" w:sz="4" w:space="0" w:color="A6A6A6" w:themeColor="accent5"/>
            </w:tcBorders>
            <w:hideMark/>
          </w:tcPr>
          <w:p w14:paraId="71C00141" w14:textId="77777777" w:rsidR="00AC3C57" w:rsidRPr="00066515" w:rsidRDefault="00AC3C57" w:rsidP="0081090F">
            <w:pPr>
              <w:pStyle w:val="ARtabletextbold"/>
            </w:pPr>
            <w:r w:rsidRPr="00066515">
              <w:t>Monitoring of psychotropic medications in children and adolescents with developmental disorders</w:t>
            </w:r>
          </w:p>
        </w:tc>
        <w:tc>
          <w:tcPr>
            <w:tcW w:w="2692" w:type="dxa"/>
            <w:tcBorders>
              <w:bottom w:val="single" w:sz="4" w:space="0" w:color="A6A6A6" w:themeColor="accent5"/>
            </w:tcBorders>
            <w:shd w:val="clear" w:color="auto" w:fill="E7E6E6" w:themeFill="background2"/>
            <w:tcMar>
              <w:left w:w="113" w:type="dxa"/>
            </w:tcMar>
            <w:hideMark/>
          </w:tcPr>
          <w:p w14:paraId="6DFD0F46" w14:textId="77777777" w:rsidR="00AC3C57" w:rsidRPr="00066515" w:rsidRDefault="00AC3C57">
            <w:pPr>
              <w:pStyle w:val="ARtabletext"/>
            </w:pPr>
            <w:r w:rsidRPr="00066515">
              <w:t xml:space="preserve">Examine whether adolescents with intellectual disabilities who are treated with psychotropic medications at </w:t>
            </w:r>
            <w:r>
              <w:t>the Royal Children’s Hospital</w:t>
            </w:r>
            <w:r w:rsidRPr="00066515">
              <w:t xml:space="preserve"> Melbourne receive appropriate monitoring for effectiveness and adverse effects</w:t>
            </w:r>
          </w:p>
        </w:tc>
        <w:tc>
          <w:tcPr>
            <w:tcW w:w="2693" w:type="dxa"/>
            <w:tcBorders>
              <w:bottom w:val="single" w:sz="4" w:space="0" w:color="A6A6A6" w:themeColor="accent5"/>
            </w:tcBorders>
            <w:tcMar>
              <w:left w:w="113" w:type="dxa"/>
            </w:tcMar>
            <w:hideMark/>
          </w:tcPr>
          <w:p w14:paraId="203FE997" w14:textId="77777777" w:rsidR="00AC3C57" w:rsidRPr="00066515" w:rsidRDefault="00AC3C57">
            <w:pPr>
              <w:pStyle w:val="ARtabletext"/>
            </w:pPr>
            <w:r w:rsidRPr="00066515">
              <w:t>Literature review, quantitative data analysis</w:t>
            </w:r>
          </w:p>
        </w:tc>
        <w:tc>
          <w:tcPr>
            <w:tcW w:w="2693" w:type="dxa"/>
            <w:tcBorders>
              <w:bottom w:val="single" w:sz="4" w:space="0" w:color="A6A6A6" w:themeColor="accent5"/>
            </w:tcBorders>
            <w:shd w:val="clear" w:color="auto" w:fill="E7E6E6" w:themeFill="background2"/>
            <w:tcMar>
              <w:left w:w="113" w:type="dxa"/>
            </w:tcMar>
            <w:hideMark/>
          </w:tcPr>
          <w:p w14:paraId="4EF114C1" w14:textId="63B5F42A" w:rsidR="00AC3C57" w:rsidRPr="00066515" w:rsidRDefault="00AC3C57">
            <w:pPr>
              <w:pStyle w:val="ARtabletext"/>
            </w:pPr>
            <w:r w:rsidRPr="00066515">
              <w:t>Improved understanding of quality of monitoring relative to best practice standards and identification of effective interventions that can be</w:t>
            </w:r>
            <w:r w:rsidR="0098762A">
              <w:t> </w:t>
            </w:r>
            <w:r w:rsidRPr="00066515">
              <w:t>applied</w:t>
            </w:r>
          </w:p>
        </w:tc>
        <w:tc>
          <w:tcPr>
            <w:tcW w:w="1293" w:type="dxa"/>
            <w:tcBorders>
              <w:bottom w:val="single" w:sz="4" w:space="0" w:color="A6A6A6" w:themeColor="accent5"/>
            </w:tcBorders>
            <w:tcMar>
              <w:left w:w="113" w:type="dxa"/>
            </w:tcMar>
            <w:hideMark/>
          </w:tcPr>
          <w:p w14:paraId="11B61438" w14:textId="77777777" w:rsidR="00AC3C57" w:rsidRPr="00066515" w:rsidRDefault="00AC3C57" w:rsidP="0081090F">
            <w:pPr>
              <w:pStyle w:val="ARtabletextright"/>
              <w:rPr>
                <w:rFonts w:eastAsia="Times New Roman"/>
                <w:color w:val="000000"/>
              </w:rPr>
            </w:pPr>
            <w:r w:rsidRPr="00066515">
              <w:rPr>
                <w:rFonts w:eastAsia="Times New Roman"/>
                <w:color w:val="000000"/>
              </w:rPr>
              <w:t>76</w:t>
            </w:r>
          </w:p>
        </w:tc>
        <w:tc>
          <w:tcPr>
            <w:tcW w:w="1293" w:type="dxa"/>
            <w:tcBorders>
              <w:bottom w:val="single" w:sz="4" w:space="0" w:color="A6A6A6" w:themeColor="accent5"/>
            </w:tcBorders>
            <w:shd w:val="clear" w:color="auto" w:fill="E7E6E6" w:themeFill="background2"/>
            <w:tcMar>
              <w:left w:w="113" w:type="dxa"/>
            </w:tcMar>
            <w:hideMark/>
          </w:tcPr>
          <w:p w14:paraId="11327599" w14:textId="77777777" w:rsidR="00AC3C57" w:rsidRPr="00066515" w:rsidRDefault="00AC3C57" w:rsidP="0081090F">
            <w:pPr>
              <w:pStyle w:val="ARtabletextright"/>
              <w:rPr>
                <w:rFonts w:eastAsia="Times New Roman"/>
                <w:color w:val="000000"/>
              </w:rPr>
            </w:pPr>
            <w:r>
              <w:rPr>
                <w:rFonts w:eastAsia="Times New Roman"/>
                <w:color w:val="000000"/>
              </w:rPr>
              <w:t>N/A</w:t>
            </w:r>
          </w:p>
        </w:tc>
        <w:tc>
          <w:tcPr>
            <w:tcW w:w="2063" w:type="dxa"/>
            <w:tcBorders>
              <w:bottom w:val="single" w:sz="4" w:space="0" w:color="A6A6A6" w:themeColor="accent5"/>
            </w:tcBorders>
            <w:tcMar>
              <w:left w:w="113" w:type="dxa"/>
            </w:tcMar>
            <w:hideMark/>
          </w:tcPr>
          <w:p w14:paraId="57D62C79"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4F8926FD" w14:textId="77777777" w:rsidTr="0008394E">
        <w:tc>
          <w:tcPr>
            <w:tcW w:w="1845" w:type="dxa"/>
            <w:tcBorders>
              <w:top w:val="single" w:sz="4" w:space="0" w:color="A6A6A6" w:themeColor="accent5"/>
              <w:bottom w:val="single" w:sz="4" w:space="0" w:color="A6A6A6" w:themeColor="accent5"/>
            </w:tcBorders>
            <w:hideMark/>
          </w:tcPr>
          <w:p w14:paraId="7886DC73" w14:textId="52CD4D8E" w:rsidR="00AC3C57" w:rsidRPr="00066515" w:rsidRDefault="00AC3C57" w:rsidP="0081090F">
            <w:pPr>
              <w:pStyle w:val="ARtabletextbold"/>
            </w:pPr>
            <w:r w:rsidRPr="00066515">
              <w:t>Consultation with people with disability about the</w:t>
            </w:r>
            <w:r w:rsidR="00C00537">
              <w:t> </w:t>
            </w:r>
            <w:r w:rsidRPr="00066515">
              <w:t>utility of the Assessment of</w:t>
            </w:r>
            <w:r w:rsidR="00C00537">
              <w:t> </w:t>
            </w:r>
            <w:r w:rsidRPr="00066515">
              <w:t>Sexual Knowledge</w:t>
            </w:r>
            <w:r w:rsidR="00C00537">
              <w:t> </w:t>
            </w:r>
            <w:r w:rsidRPr="00066515">
              <w:t>tool</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68C42A13" w14:textId="77777777" w:rsidR="00AC3C57" w:rsidRPr="00066515" w:rsidRDefault="00AC3C57">
            <w:pPr>
              <w:pStyle w:val="ARtabletext"/>
            </w:pPr>
            <w:r w:rsidRPr="00066515">
              <w:t xml:space="preserve">Stakeholder consultation with end users and the beneficiaries of the Assessment of Sexual Knowledge tool </w:t>
            </w:r>
          </w:p>
        </w:tc>
        <w:tc>
          <w:tcPr>
            <w:tcW w:w="2693" w:type="dxa"/>
            <w:tcBorders>
              <w:top w:val="single" w:sz="4" w:space="0" w:color="A6A6A6" w:themeColor="accent5"/>
              <w:bottom w:val="single" w:sz="4" w:space="0" w:color="A6A6A6" w:themeColor="accent5"/>
            </w:tcBorders>
            <w:tcMar>
              <w:left w:w="113" w:type="dxa"/>
            </w:tcMar>
            <w:hideMark/>
          </w:tcPr>
          <w:p w14:paraId="488F164F" w14:textId="77777777" w:rsidR="00AC3C57" w:rsidRPr="00066515" w:rsidRDefault="00AC3C57">
            <w:pPr>
              <w:pStyle w:val="ARtabletext"/>
            </w:pPr>
            <w:r w:rsidRPr="00066515">
              <w:t>Qualitative data analysis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457B4C2" w14:textId="77777777" w:rsidR="00AC3C57" w:rsidRPr="00066515" w:rsidRDefault="00AC3C57">
            <w:pPr>
              <w:pStyle w:val="ARtabletext"/>
            </w:pPr>
            <w:r w:rsidRPr="00066515">
              <w:t>Revise and redevelop the Assessment of Sexual Knowledge to align tool with the changed social mores </w:t>
            </w:r>
          </w:p>
        </w:tc>
        <w:tc>
          <w:tcPr>
            <w:tcW w:w="1293" w:type="dxa"/>
            <w:tcBorders>
              <w:top w:val="single" w:sz="4" w:space="0" w:color="A6A6A6" w:themeColor="accent5"/>
              <w:bottom w:val="single" w:sz="4" w:space="0" w:color="A6A6A6" w:themeColor="accent5"/>
            </w:tcBorders>
            <w:tcMar>
              <w:left w:w="113" w:type="dxa"/>
            </w:tcMar>
            <w:hideMark/>
          </w:tcPr>
          <w:p w14:paraId="23BE4B13" w14:textId="77777777" w:rsidR="00AC3C57" w:rsidRPr="00066515" w:rsidRDefault="00AC3C57" w:rsidP="0081090F">
            <w:pPr>
              <w:pStyle w:val="ARtabletextright"/>
              <w:rPr>
                <w:rFonts w:eastAsia="Times New Roman"/>
                <w:color w:val="000000"/>
              </w:rPr>
            </w:pPr>
            <w:r>
              <w:rPr>
                <w:rFonts w:eastAsia="Times New Roman"/>
                <w:color w:val="000000"/>
              </w:rPr>
              <w:t>24</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5652CE26" w14:textId="77777777" w:rsidR="00AC3C57" w:rsidRPr="00066515" w:rsidRDefault="00AC3C57" w:rsidP="0081090F">
            <w:pPr>
              <w:pStyle w:val="ARtabletextright"/>
              <w:rPr>
                <w:rFonts w:eastAsia="Times New Roman"/>
                <w:color w:val="000000"/>
              </w:rPr>
            </w:pPr>
            <w:r w:rsidRPr="00066515">
              <w:rPr>
                <w:rFonts w:eastAsia="Times New Roman"/>
                <w:color w:val="000000"/>
              </w:rPr>
              <w:t>60</w:t>
            </w:r>
          </w:p>
        </w:tc>
        <w:tc>
          <w:tcPr>
            <w:tcW w:w="2063" w:type="dxa"/>
            <w:tcBorders>
              <w:top w:val="single" w:sz="4" w:space="0" w:color="A6A6A6" w:themeColor="accent5"/>
              <w:bottom w:val="single" w:sz="4" w:space="0" w:color="A6A6A6" w:themeColor="accent5"/>
            </w:tcBorders>
            <w:tcMar>
              <w:left w:w="113" w:type="dxa"/>
            </w:tcMar>
            <w:hideMark/>
          </w:tcPr>
          <w:p w14:paraId="41BB7520"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257675B1" w14:textId="77777777" w:rsidTr="0008394E">
        <w:tc>
          <w:tcPr>
            <w:tcW w:w="1845" w:type="dxa"/>
            <w:tcBorders>
              <w:top w:val="single" w:sz="4" w:space="0" w:color="A6A6A6" w:themeColor="accent5"/>
              <w:bottom w:val="single" w:sz="4" w:space="0" w:color="A6A6A6" w:themeColor="accent5"/>
            </w:tcBorders>
            <w:hideMark/>
          </w:tcPr>
          <w:p w14:paraId="5BA993FF" w14:textId="6A766DF4" w:rsidR="00AC3C57" w:rsidRPr="00066515" w:rsidRDefault="00AC3C57" w:rsidP="0081090F">
            <w:pPr>
              <w:pStyle w:val="ARtabletextbold"/>
            </w:pPr>
            <w:r w:rsidRPr="00066515">
              <w:t>Evaluation of North Richmond Precinct Initiative 2022</w:t>
            </w:r>
            <w:r>
              <w:t>–</w:t>
            </w:r>
            <w:r w:rsidRPr="00066515">
              <w:t>23 to</w:t>
            </w:r>
            <w:r w:rsidR="00F01FDD">
              <w:t> </w:t>
            </w:r>
            <w:r w:rsidRPr="00066515">
              <w:t>2024</w:t>
            </w:r>
            <w:r>
              <w:t>–</w:t>
            </w:r>
            <w:r w:rsidRPr="00066515">
              <w:t>25</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39F808C" w14:textId="3535FED0" w:rsidR="00AC3C57" w:rsidRDefault="00AC3C57">
            <w:pPr>
              <w:pStyle w:val="ARtabletext"/>
            </w:pPr>
            <w:r w:rsidRPr="00066515">
              <w:t>Identify evidence on the appropriateness of a collaborative place-based</w:t>
            </w:r>
            <w:r w:rsidR="006616D8">
              <w:t> </w:t>
            </w:r>
            <w:r w:rsidRPr="00066515">
              <w:t>approach</w:t>
            </w:r>
          </w:p>
          <w:p w14:paraId="69132557" w14:textId="6846EC00" w:rsidR="00AC3C57" w:rsidRPr="00066515" w:rsidRDefault="00AC3C57">
            <w:pPr>
              <w:pStyle w:val="ARtabletext"/>
            </w:pPr>
            <w:r w:rsidRPr="00066515">
              <w:t xml:space="preserve">Acquit </w:t>
            </w:r>
            <w:r w:rsidR="00D54EA4">
              <w:t>Department of Treasury and Finance</w:t>
            </w:r>
            <w:r w:rsidR="00D54EA4" w:rsidRPr="00066515">
              <w:t xml:space="preserve"> </w:t>
            </w:r>
            <w:r w:rsidRPr="00066515">
              <w:t xml:space="preserve">evaluation requirements on a lapsing funding program </w:t>
            </w:r>
          </w:p>
        </w:tc>
        <w:tc>
          <w:tcPr>
            <w:tcW w:w="2693" w:type="dxa"/>
            <w:tcBorders>
              <w:top w:val="single" w:sz="4" w:space="0" w:color="A6A6A6" w:themeColor="accent5"/>
              <w:bottom w:val="single" w:sz="4" w:space="0" w:color="A6A6A6" w:themeColor="accent5"/>
            </w:tcBorders>
            <w:tcMar>
              <w:left w:w="113" w:type="dxa"/>
            </w:tcMar>
            <w:hideMark/>
          </w:tcPr>
          <w:p w14:paraId="1E8C7A6F" w14:textId="77777777" w:rsidR="00AC3C57" w:rsidRDefault="00AC3C57">
            <w:pPr>
              <w:pStyle w:val="ARtabletext"/>
            </w:pPr>
            <w:r w:rsidRPr="00066515">
              <w:t xml:space="preserve">Activities delivered under the </w:t>
            </w:r>
            <w:r w:rsidRPr="00E06E63">
              <w:rPr>
                <w:rStyle w:val="Emphasis"/>
              </w:rPr>
              <w:t xml:space="preserve">Investing in a Thriving North Richmond </w:t>
            </w:r>
            <w:r w:rsidRPr="00066515">
              <w:t>package</w:t>
            </w:r>
          </w:p>
          <w:p w14:paraId="0E41C985" w14:textId="77777777" w:rsidR="00AC3C57" w:rsidRPr="00066515" w:rsidRDefault="00AC3C57">
            <w:pPr>
              <w:pStyle w:val="ARtabletext"/>
            </w:pPr>
            <w:r w:rsidRPr="00066515">
              <w:t>Lapsing</w:t>
            </w:r>
            <w:r>
              <w:t xml:space="preserve"> </w:t>
            </w:r>
            <w:r w:rsidRPr="00066515">
              <w:t>funding evaluation focuses on components delivered under the Community Governance Program only</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0CDCBAF4" w14:textId="77777777" w:rsidR="00AC3C57" w:rsidRPr="00066515" w:rsidRDefault="00AC3C57">
            <w:pPr>
              <w:pStyle w:val="ARtabletext"/>
            </w:pPr>
            <w:r w:rsidRPr="00066515">
              <w:t>Findings to inform and improve future place-based program delivery in North Richmond</w:t>
            </w:r>
          </w:p>
        </w:tc>
        <w:tc>
          <w:tcPr>
            <w:tcW w:w="1293" w:type="dxa"/>
            <w:tcBorders>
              <w:top w:val="single" w:sz="4" w:space="0" w:color="A6A6A6" w:themeColor="accent5"/>
              <w:bottom w:val="single" w:sz="4" w:space="0" w:color="A6A6A6" w:themeColor="accent5"/>
            </w:tcBorders>
            <w:tcMar>
              <w:left w:w="113" w:type="dxa"/>
            </w:tcMar>
            <w:hideMark/>
          </w:tcPr>
          <w:p w14:paraId="0AFCC8A2" w14:textId="77777777" w:rsidR="00AC3C57" w:rsidRPr="00066515" w:rsidRDefault="00AC3C57" w:rsidP="0081090F">
            <w:pPr>
              <w:pStyle w:val="ARtabletextright"/>
              <w:rPr>
                <w:rFonts w:eastAsia="Times New Roman"/>
                <w:color w:val="000000"/>
              </w:rPr>
            </w:pPr>
            <w:r>
              <w:rPr>
                <w:rFonts w:eastAsia="Times New Roman"/>
                <w:color w:val="000000"/>
              </w:rPr>
              <w:t>176</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EA9A5DA" w14:textId="77777777" w:rsidR="00AC3C57" w:rsidRPr="00066515" w:rsidRDefault="00AC3C57" w:rsidP="0081090F">
            <w:pPr>
              <w:pStyle w:val="ARtabletextright"/>
              <w:rPr>
                <w:rFonts w:eastAsia="Times New Roman"/>
                <w:color w:val="000000"/>
              </w:rPr>
            </w:pPr>
            <w:r w:rsidRPr="00066515">
              <w:rPr>
                <w:rFonts w:eastAsia="Times New Roman"/>
                <w:color w:val="000000"/>
              </w:rPr>
              <w:t>176</w:t>
            </w:r>
          </w:p>
        </w:tc>
        <w:tc>
          <w:tcPr>
            <w:tcW w:w="2063" w:type="dxa"/>
            <w:tcBorders>
              <w:top w:val="single" w:sz="4" w:space="0" w:color="A6A6A6" w:themeColor="accent5"/>
              <w:bottom w:val="single" w:sz="4" w:space="0" w:color="A6A6A6" w:themeColor="accent5"/>
            </w:tcBorders>
            <w:tcMar>
              <w:left w:w="113" w:type="dxa"/>
            </w:tcMar>
            <w:hideMark/>
          </w:tcPr>
          <w:p w14:paraId="6D4C5C1B"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1C3AC9F3" w14:textId="77777777" w:rsidTr="0008394E">
        <w:tc>
          <w:tcPr>
            <w:tcW w:w="1845" w:type="dxa"/>
            <w:tcBorders>
              <w:top w:val="single" w:sz="4" w:space="0" w:color="A6A6A6" w:themeColor="accent5"/>
              <w:bottom w:val="single" w:sz="4" w:space="0" w:color="A6A6A6" w:themeColor="accent5"/>
            </w:tcBorders>
            <w:hideMark/>
          </w:tcPr>
          <w:p w14:paraId="4C8DC0C5" w14:textId="77777777" w:rsidR="00AC3C57" w:rsidRPr="00066515" w:rsidRDefault="00AC3C57" w:rsidP="0081090F">
            <w:pPr>
              <w:pStyle w:val="ARtabletextbold"/>
            </w:pPr>
            <w:r w:rsidRPr="00066515">
              <w:lastRenderedPageBreak/>
              <w:t xml:space="preserve">Ovens Murray Youth and Vulnerability Research Project </w:t>
            </w:r>
            <w:r>
              <w:t>(l</w:t>
            </w:r>
            <w:r w:rsidRPr="00066515">
              <w:t>ed by</w:t>
            </w:r>
            <w:r>
              <w:t xml:space="preserve"> the department’s</w:t>
            </w:r>
            <w:r w:rsidRPr="00066515">
              <w:t xml:space="preserve"> Ovens Murray Area on behalf of the Ovens Murray Local Site Executive Committee</w:t>
            </w:r>
            <w:r>
              <w:t>)</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75292B9E" w14:textId="77777777" w:rsidR="00AC3C57" w:rsidRPr="00066515" w:rsidRDefault="00AC3C57">
            <w:pPr>
              <w:pStyle w:val="ARtabletext"/>
            </w:pPr>
            <w:r w:rsidRPr="00066515">
              <w:t>Analysis of local data, policy and literature, to understand the drivers of young people using violence, and how best to disrupt trajectories of young people at risk of future statutory interventions</w:t>
            </w:r>
          </w:p>
        </w:tc>
        <w:tc>
          <w:tcPr>
            <w:tcW w:w="2693" w:type="dxa"/>
            <w:tcBorders>
              <w:top w:val="single" w:sz="4" w:space="0" w:color="A6A6A6" w:themeColor="accent5"/>
              <w:bottom w:val="single" w:sz="4" w:space="0" w:color="A6A6A6" w:themeColor="accent5"/>
            </w:tcBorders>
            <w:tcMar>
              <w:left w:w="113" w:type="dxa"/>
            </w:tcMar>
            <w:hideMark/>
          </w:tcPr>
          <w:p w14:paraId="477B355F" w14:textId="74FCAEF2" w:rsidR="00AC3C57" w:rsidRPr="00066515" w:rsidRDefault="00AC3C57">
            <w:pPr>
              <w:pStyle w:val="ARtabletext"/>
            </w:pPr>
            <w:r w:rsidRPr="00066515">
              <w:t>Focused on young people in Wodonga aged 10</w:t>
            </w:r>
            <w:r>
              <w:t>–</w:t>
            </w:r>
            <w:r w:rsidRPr="00066515">
              <w:t>16 years at</w:t>
            </w:r>
            <w:r w:rsidR="0008394E">
              <w:t> </w:t>
            </w:r>
            <w:r w:rsidRPr="00066515">
              <w:t>risk, La Trobe University compiled an evidence base for</w:t>
            </w:r>
            <w:r w:rsidR="0008394E">
              <w:t> </w:t>
            </w:r>
            <w:r w:rsidRPr="00066515">
              <w:t>local consideration of best practice in early intervention strategies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5CBB69C8" w14:textId="77777777" w:rsidR="00AC3C57" w:rsidRPr="00066515" w:rsidRDefault="00AC3C57">
            <w:pPr>
              <w:pStyle w:val="ARtabletext"/>
            </w:pPr>
            <w:r w:rsidRPr="00066515">
              <w:t>The data and frameworks provided in this research report provide a basis for engagement with regional government and community service organisation partners to strengthen collaboration and target interventions to youth and families most at risk</w:t>
            </w:r>
          </w:p>
        </w:tc>
        <w:tc>
          <w:tcPr>
            <w:tcW w:w="1293" w:type="dxa"/>
            <w:tcBorders>
              <w:top w:val="single" w:sz="4" w:space="0" w:color="A6A6A6" w:themeColor="accent5"/>
              <w:bottom w:val="single" w:sz="4" w:space="0" w:color="A6A6A6" w:themeColor="accent5"/>
            </w:tcBorders>
            <w:tcMar>
              <w:left w:w="113" w:type="dxa"/>
            </w:tcMar>
            <w:hideMark/>
          </w:tcPr>
          <w:p w14:paraId="1CD6098E" w14:textId="77777777" w:rsidR="00AC3C57" w:rsidRPr="00066515" w:rsidRDefault="00AC3C57" w:rsidP="0081090F">
            <w:pPr>
              <w:pStyle w:val="ARtabletextright"/>
              <w:rPr>
                <w:rFonts w:eastAsia="Times New Roman"/>
                <w:color w:val="000000"/>
              </w:rPr>
            </w:pPr>
            <w:r>
              <w:rPr>
                <w:rFonts w:eastAsia="Times New Roman"/>
                <w:color w:val="000000"/>
              </w:rPr>
              <w:t>39</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5A3955A4" w14:textId="77777777" w:rsidR="00AC3C57" w:rsidRPr="00066515" w:rsidRDefault="00AC3C57" w:rsidP="0081090F">
            <w:pPr>
              <w:pStyle w:val="ARtabletextright"/>
              <w:rPr>
                <w:rFonts w:eastAsia="Times New Roman"/>
                <w:color w:val="000000"/>
              </w:rPr>
            </w:pPr>
            <w:r w:rsidRPr="00066515">
              <w:rPr>
                <w:rFonts w:eastAsia="Times New Roman"/>
                <w:color w:val="000000"/>
              </w:rPr>
              <w:t>39</w:t>
            </w:r>
          </w:p>
        </w:tc>
        <w:tc>
          <w:tcPr>
            <w:tcW w:w="2063" w:type="dxa"/>
            <w:tcBorders>
              <w:top w:val="single" w:sz="4" w:space="0" w:color="A6A6A6" w:themeColor="accent5"/>
              <w:bottom w:val="single" w:sz="4" w:space="0" w:color="A6A6A6" w:themeColor="accent5"/>
            </w:tcBorders>
            <w:tcMar>
              <w:left w:w="113" w:type="dxa"/>
            </w:tcMar>
            <w:hideMark/>
          </w:tcPr>
          <w:p w14:paraId="375EBDF1" w14:textId="77777777" w:rsidR="00CB26A9" w:rsidRDefault="00AC3C57" w:rsidP="009A471D">
            <w:pPr>
              <w:pStyle w:val="ARtabletext"/>
              <w:rPr>
                <w:rFonts w:eastAsia="Times New Roman"/>
                <w:color w:val="000000"/>
              </w:rPr>
            </w:pPr>
            <w:r w:rsidRPr="00066515">
              <w:rPr>
                <w:rFonts w:eastAsia="Times New Roman"/>
                <w:color w:val="000000"/>
              </w:rPr>
              <w:t xml:space="preserve">Y </w:t>
            </w:r>
          </w:p>
          <w:p w14:paraId="2D8F389B" w14:textId="77777777" w:rsidR="00CB26A9" w:rsidRDefault="00AC3C57" w:rsidP="009A471D">
            <w:pPr>
              <w:pStyle w:val="ARtabletext"/>
              <w:rPr>
                <w:rFonts w:eastAsia="Times New Roman"/>
                <w:color w:val="000000"/>
              </w:rPr>
            </w:pPr>
            <w:r w:rsidRPr="00066515">
              <w:rPr>
                <w:rFonts w:eastAsia="Times New Roman"/>
                <w:color w:val="000000"/>
              </w:rPr>
              <w:t>(redacted version)</w:t>
            </w:r>
          </w:p>
          <w:p w14:paraId="6497523D" w14:textId="58B61719" w:rsidR="00AC3C57" w:rsidRPr="00066515" w:rsidRDefault="009F36DE" w:rsidP="009A471D">
            <w:pPr>
              <w:pStyle w:val="ARtabletext"/>
              <w:rPr>
                <w:rFonts w:eastAsia="Times New Roman"/>
                <w:color w:val="000000"/>
              </w:rPr>
            </w:pPr>
            <w:hyperlink r:id="rId107" w:history="1">
              <w:r w:rsidRPr="009F36DE">
                <w:rPr>
                  <w:rStyle w:val="Hyperlink"/>
                  <w:rFonts w:eastAsia="Times New Roman"/>
                </w:rPr>
                <w:t>Youth violence report</w:t>
              </w:r>
            </w:hyperlink>
            <w:r>
              <w:rPr>
                <w:rStyle w:val="FootnoteReference"/>
                <w:rFonts w:eastAsia="Times New Roman"/>
                <w:color w:val="000000"/>
              </w:rPr>
              <w:footnoteReference w:id="22"/>
            </w:r>
          </w:p>
        </w:tc>
      </w:tr>
      <w:tr w:rsidR="0081090F" w:rsidRPr="00066515" w14:paraId="4A21C779" w14:textId="77777777" w:rsidTr="0008394E">
        <w:tc>
          <w:tcPr>
            <w:tcW w:w="1845" w:type="dxa"/>
            <w:tcBorders>
              <w:top w:val="single" w:sz="4" w:space="0" w:color="A6A6A6" w:themeColor="accent5"/>
              <w:bottom w:val="single" w:sz="4" w:space="0" w:color="A6A6A6" w:themeColor="accent5"/>
            </w:tcBorders>
            <w:hideMark/>
          </w:tcPr>
          <w:p w14:paraId="16623650" w14:textId="77777777" w:rsidR="00AC3C57" w:rsidRPr="00066515" w:rsidRDefault="00AC3C57" w:rsidP="0081090F">
            <w:pPr>
              <w:pStyle w:val="ARtabletextbold"/>
            </w:pPr>
            <w:r w:rsidRPr="00066515">
              <w:t xml:space="preserve">Secure Care Service </w:t>
            </w:r>
            <w:r>
              <w:t xml:space="preserve">– </w:t>
            </w:r>
            <w:r w:rsidRPr="00066515">
              <w:t xml:space="preserve">Preventing Occupational Violence Framework and </w:t>
            </w:r>
            <w:r>
              <w:t>t</w:t>
            </w:r>
            <w:r w:rsidRPr="00066515">
              <w:t xml:space="preserve">raining </w:t>
            </w:r>
            <w:r>
              <w:t>r</w:t>
            </w:r>
            <w:r w:rsidRPr="00066515">
              <w:t xml:space="preserve">eview </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50CA5608" w14:textId="77777777" w:rsidR="00AC3C57" w:rsidRPr="00066515" w:rsidRDefault="00AC3C57">
            <w:pPr>
              <w:pStyle w:val="ARtabletext"/>
            </w:pPr>
            <w:r w:rsidRPr="00066515">
              <w:t>A review of the existing Preventing Occupational Violence framework and training program to ensure it is contemporary, aligns with best practices and is designed to support a reduction in incidents</w:t>
            </w:r>
          </w:p>
        </w:tc>
        <w:tc>
          <w:tcPr>
            <w:tcW w:w="2693" w:type="dxa"/>
            <w:tcBorders>
              <w:top w:val="single" w:sz="4" w:space="0" w:color="A6A6A6" w:themeColor="accent5"/>
              <w:bottom w:val="single" w:sz="4" w:space="0" w:color="A6A6A6" w:themeColor="accent5"/>
            </w:tcBorders>
            <w:tcMar>
              <w:left w:w="113" w:type="dxa"/>
            </w:tcMar>
            <w:hideMark/>
          </w:tcPr>
          <w:p w14:paraId="7D5348DE" w14:textId="77777777" w:rsidR="00AC3C57" w:rsidRPr="00066515" w:rsidRDefault="00AC3C57">
            <w:pPr>
              <w:pStyle w:val="ARtabletext"/>
            </w:pPr>
            <w:r w:rsidRPr="00066515">
              <w:t>Literature review, review of current framework, and how this is operationalised and works in practice, and development of recommendations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7F1F764A" w14:textId="3DB7ABA6" w:rsidR="00AC3C57" w:rsidRDefault="00AC3C57">
            <w:pPr>
              <w:pStyle w:val="ARtabletext"/>
            </w:pPr>
            <w:r w:rsidRPr="00066515">
              <w:t>Improve current practice and</w:t>
            </w:r>
            <w:r w:rsidR="004B3AFE">
              <w:t> </w:t>
            </w:r>
            <w:r w:rsidRPr="00066515">
              <w:t>framework</w:t>
            </w:r>
          </w:p>
          <w:p w14:paraId="7509E8A5" w14:textId="77777777" w:rsidR="00AC3C57" w:rsidRPr="00066515" w:rsidRDefault="00AC3C57">
            <w:pPr>
              <w:pStyle w:val="ARtabletext"/>
            </w:pPr>
            <w:r w:rsidRPr="00066515">
              <w:t>Identify any client/staff/organisational risks</w:t>
            </w:r>
          </w:p>
        </w:tc>
        <w:tc>
          <w:tcPr>
            <w:tcW w:w="1293" w:type="dxa"/>
            <w:tcBorders>
              <w:top w:val="single" w:sz="4" w:space="0" w:color="A6A6A6" w:themeColor="accent5"/>
              <w:bottom w:val="single" w:sz="4" w:space="0" w:color="A6A6A6" w:themeColor="accent5"/>
            </w:tcBorders>
            <w:tcMar>
              <w:left w:w="113" w:type="dxa"/>
            </w:tcMar>
            <w:hideMark/>
          </w:tcPr>
          <w:p w14:paraId="182EF436" w14:textId="77777777" w:rsidR="00AC3C57" w:rsidRDefault="00AC3C57" w:rsidP="0081090F">
            <w:pPr>
              <w:pStyle w:val="ARtabletextright"/>
              <w:rPr>
                <w:rFonts w:eastAsia="Times New Roman"/>
                <w:color w:val="000000"/>
              </w:rPr>
            </w:pPr>
            <w:r>
              <w:rPr>
                <w:rFonts w:eastAsia="Times New Roman"/>
                <w:color w:val="000000"/>
              </w:rPr>
              <w:t>72</w:t>
            </w:r>
          </w:p>
          <w:p w14:paraId="5C5B6F3E" w14:textId="77777777" w:rsidR="00AC3C57" w:rsidRPr="00066515" w:rsidRDefault="00AC3C57" w:rsidP="0081090F">
            <w:pPr>
              <w:pStyle w:val="ARtabletextright"/>
              <w:rPr>
                <w:rFonts w:eastAsia="Times New Roman"/>
                <w:color w:val="000000"/>
              </w:rPr>
            </w:pP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AC77D22" w14:textId="77777777" w:rsidR="00AC3C57" w:rsidRPr="00066515" w:rsidRDefault="00AC3C57" w:rsidP="0081090F">
            <w:pPr>
              <w:pStyle w:val="ARtabletextright"/>
              <w:rPr>
                <w:rFonts w:eastAsia="Times New Roman"/>
                <w:color w:val="000000"/>
              </w:rPr>
            </w:pPr>
            <w:r w:rsidRPr="00066515">
              <w:rPr>
                <w:rFonts w:eastAsia="Times New Roman"/>
                <w:color w:val="000000"/>
              </w:rPr>
              <w:t>80</w:t>
            </w:r>
          </w:p>
        </w:tc>
        <w:tc>
          <w:tcPr>
            <w:tcW w:w="2063" w:type="dxa"/>
            <w:tcBorders>
              <w:top w:val="single" w:sz="4" w:space="0" w:color="A6A6A6" w:themeColor="accent5"/>
              <w:bottom w:val="single" w:sz="4" w:space="0" w:color="A6A6A6" w:themeColor="accent5"/>
            </w:tcBorders>
            <w:tcMar>
              <w:left w:w="113" w:type="dxa"/>
            </w:tcMar>
            <w:hideMark/>
          </w:tcPr>
          <w:p w14:paraId="12185281"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736A4C74" w14:textId="77777777" w:rsidTr="0008394E">
        <w:tc>
          <w:tcPr>
            <w:tcW w:w="1845" w:type="dxa"/>
            <w:tcBorders>
              <w:top w:val="single" w:sz="4" w:space="0" w:color="A6A6A6" w:themeColor="accent5"/>
              <w:bottom w:val="single" w:sz="4" w:space="0" w:color="A6A6A6" w:themeColor="accent5"/>
            </w:tcBorders>
            <w:hideMark/>
          </w:tcPr>
          <w:p w14:paraId="0CEE5808" w14:textId="77777777" w:rsidR="00AC3C57" w:rsidRPr="00066515" w:rsidRDefault="00AC3C57" w:rsidP="0081090F">
            <w:pPr>
              <w:pStyle w:val="ARtabletextbold"/>
            </w:pPr>
            <w:r w:rsidRPr="00066515">
              <w:t>After Hours Service Improvement Review</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2EB3F40A" w14:textId="3FB9ED9C" w:rsidR="00AC3C57" w:rsidRPr="00066515" w:rsidRDefault="005A6010">
            <w:pPr>
              <w:pStyle w:val="ARtabletext"/>
            </w:pPr>
            <w:r w:rsidRPr="005A6010">
              <w:t xml:space="preserve">A requirement of the </w:t>
            </w:r>
            <w:r w:rsidRPr="00D40D10">
              <w:rPr>
                <w:rStyle w:val="Emphasis"/>
              </w:rPr>
              <w:t>Victorian Public Service Enterprise Bargaining Agreement 2024</w:t>
            </w:r>
            <w:r w:rsidRPr="005A6010">
              <w:t xml:space="preserve"> is that as described under Appendix 4, clause 17.4, an external reviewer is engaged to provide advice regarding new rosters (as part of a new Child Protection operating model) for rural based staff and teams.</w:t>
            </w:r>
            <w:r w:rsidR="00AC3C57" w:rsidRPr="00066515">
              <w:t xml:space="preserve"> </w:t>
            </w:r>
          </w:p>
        </w:tc>
        <w:tc>
          <w:tcPr>
            <w:tcW w:w="2693" w:type="dxa"/>
            <w:tcBorders>
              <w:top w:val="single" w:sz="4" w:space="0" w:color="A6A6A6" w:themeColor="accent5"/>
              <w:bottom w:val="single" w:sz="4" w:space="0" w:color="A6A6A6" w:themeColor="accent5"/>
            </w:tcBorders>
            <w:tcMar>
              <w:left w:w="113" w:type="dxa"/>
            </w:tcMar>
            <w:hideMark/>
          </w:tcPr>
          <w:p w14:paraId="48A5E1E6" w14:textId="00C3158D" w:rsidR="00AC3C57" w:rsidRPr="00066515" w:rsidRDefault="00121B09">
            <w:pPr>
              <w:pStyle w:val="ARtabletext"/>
            </w:pPr>
            <w:r w:rsidRPr="00121B09">
              <w:t xml:space="preserve">Review the Child Protection After Hours Service rural rosters, considering specific items raised by the </w:t>
            </w:r>
            <w:r w:rsidR="00AA240B">
              <w:t>Community and Public Sector Union</w:t>
            </w:r>
            <w:r w:rsidR="002C65FA">
              <w:t>,</w:t>
            </w:r>
            <w:r w:rsidRPr="00121B09">
              <w:t xml:space="preserve"> including distance driving, length of shifts and night shifts</w:t>
            </w:r>
            <w:r>
              <w:t>.</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ED80C39" w14:textId="1E26D68E" w:rsidR="00AC3C57" w:rsidRPr="00066515" w:rsidRDefault="003A08F3">
            <w:pPr>
              <w:pStyle w:val="ARtabletext"/>
            </w:pPr>
            <w:r w:rsidRPr="003A08F3">
              <w:t>The review will provide recommendations on what action, if any, the department should take to strengthen rosters and associated process/procedures.</w:t>
            </w:r>
          </w:p>
        </w:tc>
        <w:tc>
          <w:tcPr>
            <w:tcW w:w="1293" w:type="dxa"/>
            <w:tcBorders>
              <w:top w:val="single" w:sz="4" w:space="0" w:color="A6A6A6" w:themeColor="accent5"/>
              <w:bottom w:val="single" w:sz="4" w:space="0" w:color="A6A6A6" w:themeColor="accent5"/>
            </w:tcBorders>
            <w:tcMar>
              <w:left w:w="113" w:type="dxa"/>
            </w:tcMar>
            <w:hideMark/>
          </w:tcPr>
          <w:p w14:paraId="6159AE1D" w14:textId="77777777" w:rsidR="00AC3C57" w:rsidRPr="00066515" w:rsidRDefault="00AC3C57" w:rsidP="0081090F">
            <w:pPr>
              <w:pStyle w:val="ARtabletextright"/>
              <w:rPr>
                <w:rFonts w:eastAsia="Times New Roman"/>
                <w:color w:val="000000"/>
              </w:rPr>
            </w:pPr>
            <w:r>
              <w:rPr>
                <w:rFonts w:eastAsia="Times New Roman"/>
                <w:color w:val="000000"/>
              </w:rPr>
              <w:t>49</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48796C58" w14:textId="77777777" w:rsidR="00AC3C57" w:rsidRPr="00066515" w:rsidRDefault="00AC3C57" w:rsidP="0081090F">
            <w:pPr>
              <w:pStyle w:val="ARtabletextright"/>
              <w:rPr>
                <w:rFonts w:eastAsia="Times New Roman"/>
                <w:color w:val="000000"/>
              </w:rPr>
            </w:pPr>
            <w:r w:rsidRPr="00066515">
              <w:rPr>
                <w:rFonts w:eastAsia="Times New Roman"/>
                <w:color w:val="000000"/>
              </w:rPr>
              <w:t>50</w:t>
            </w:r>
          </w:p>
        </w:tc>
        <w:tc>
          <w:tcPr>
            <w:tcW w:w="2063" w:type="dxa"/>
            <w:tcBorders>
              <w:top w:val="single" w:sz="4" w:space="0" w:color="A6A6A6" w:themeColor="accent5"/>
              <w:bottom w:val="single" w:sz="4" w:space="0" w:color="A6A6A6" w:themeColor="accent5"/>
            </w:tcBorders>
            <w:tcMar>
              <w:left w:w="113" w:type="dxa"/>
            </w:tcMar>
            <w:hideMark/>
          </w:tcPr>
          <w:p w14:paraId="753E55B1"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6960C73D" w14:textId="77777777" w:rsidTr="0008394E">
        <w:tc>
          <w:tcPr>
            <w:tcW w:w="1845" w:type="dxa"/>
            <w:tcBorders>
              <w:top w:val="single" w:sz="4" w:space="0" w:color="A6A6A6" w:themeColor="accent5"/>
              <w:bottom w:val="single" w:sz="4" w:space="0" w:color="A6A6A6" w:themeColor="accent5"/>
            </w:tcBorders>
            <w:hideMark/>
          </w:tcPr>
          <w:p w14:paraId="5003E05F" w14:textId="77777777" w:rsidR="00AC3C57" w:rsidRPr="00066515" w:rsidRDefault="00AC3C57" w:rsidP="0081090F">
            <w:pPr>
              <w:pStyle w:val="ARtabletextbold"/>
            </w:pPr>
            <w:r w:rsidRPr="00066515">
              <w:lastRenderedPageBreak/>
              <w:t>Review of the Homes Victoria ICT portfolio and delivery model</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FC37B72" w14:textId="77777777" w:rsidR="00AC3C57" w:rsidRPr="00066515" w:rsidRDefault="00AC3C57">
            <w:pPr>
              <w:pStyle w:val="ARtabletext"/>
            </w:pPr>
            <w:r w:rsidRPr="00066515">
              <w:t>To provide clarity of roles and responsibilities, governance, identify any potential duplication of roles, funding transparency and ways of working between the Information Technology Services (ITS) branch, Homes Victoria (HV) Business Systems and the eHealth project delivery unit</w:t>
            </w:r>
          </w:p>
        </w:tc>
        <w:tc>
          <w:tcPr>
            <w:tcW w:w="2693" w:type="dxa"/>
            <w:tcBorders>
              <w:top w:val="single" w:sz="4" w:space="0" w:color="A6A6A6" w:themeColor="accent5"/>
              <w:bottom w:val="single" w:sz="4" w:space="0" w:color="A6A6A6" w:themeColor="accent5"/>
            </w:tcBorders>
            <w:tcMar>
              <w:left w:w="113" w:type="dxa"/>
            </w:tcMar>
            <w:hideMark/>
          </w:tcPr>
          <w:p w14:paraId="4963A393" w14:textId="77777777" w:rsidR="00AC3C57" w:rsidRDefault="00AC3C57">
            <w:pPr>
              <w:pStyle w:val="ARtabletext"/>
            </w:pPr>
            <w:r w:rsidRPr="00066515">
              <w:t>Ensure application of the ITS Ways of Working</w:t>
            </w:r>
          </w:p>
          <w:p w14:paraId="0E870C1B" w14:textId="3A328A6C" w:rsidR="00AC3C57" w:rsidRPr="00066515" w:rsidRDefault="00AC3C57">
            <w:pPr>
              <w:pStyle w:val="ARtabletext"/>
            </w:pPr>
            <w:r w:rsidRPr="00066515">
              <w:t xml:space="preserve">Perform the </w:t>
            </w:r>
            <w:r w:rsidR="0033681F">
              <w:t>department’s</w:t>
            </w:r>
            <w:r w:rsidR="0033681F" w:rsidRPr="00066515">
              <w:t xml:space="preserve"> </w:t>
            </w:r>
            <w:r w:rsidRPr="00066515">
              <w:t>ICT Strategy refresh</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6DE82925" w14:textId="77777777" w:rsidR="00AC3C57" w:rsidRDefault="00AC3C57">
            <w:pPr>
              <w:pStyle w:val="ARtabletext"/>
            </w:pPr>
            <w:r>
              <w:t xml:space="preserve">To examine and develop a </w:t>
            </w:r>
            <w:r w:rsidRPr="00066515">
              <w:t>preferred HV ICT operating model in detail, including processes, roles and responsibilities</w:t>
            </w:r>
          </w:p>
          <w:p w14:paraId="7E7F5943" w14:textId="3FF5138C" w:rsidR="00AC3C57" w:rsidRPr="00066515" w:rsidRDefault="00AC3C57">
            <w:pPr>
              <w:pStyle w:val="ARtabletext"/>
            </w:pPr>
            <w:r w:rsidRPr="00066515">
              <w:t xml:space="preserve">Refreshed and endorsed ICT Strategy </w:t>
            </w:r>
          </w:p>
        </w:tc>
        <w:tc>
          <w:tcPr>
            <w:tcW w:w="1293" w:type="dxa"/>
            <w:tcBorders>
              <w:top w:val="single" w:sz="4" w:space="0" w:color="A6A6A6" w:themeColor="accent5"/>
              <w:bottom w:val="single" w:sz="4" w:space="0" w:color="A6A6A6" w:themeColor="accent5"/>
            </w:tcBorders>
            <w:tcMar>
              <w:left w:w="113" w:type="dxa"/>
            </w:tcMar>
            <w:hideMark/>
          </w:tcPr>
          <w:p w14:paraId="76906409" w14:textId="77777777" w:rsidR="00AC3C57" w:rsidRPr="00D17E03" w:rsidRDefault="00AC3C57" w:rsidP="0081090F">
            <w:pPr>
              <w:pStyle w:val="ARtabletextright"/>
              <w:rPr>
                <w:rFonts w:eastAsia="Times New Roman"/>
                <w:color w:val="000000"/>
              </w:rPr>
            </w:pPr>
            <w:r w:rsidRPr="00D17E03">
              <w:rPr>
                <w:rFonts w:eastAsia="Times New Roman"/>
                <w:color w:val="000000"/>
              </w:rPr>
              <w:t>304</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C5AA17C" w14:textId="77777777" w:rsidR="00AC3C57" w:rsidRPr="00D17E03" w:rsidRDefault="00AC3C57" w:rsidP="0081090F">
            <w:pPr>
              <w:pStyle w:val="ARtabletextright"/>
              <w:rPr>
                <w:rFonts w:eastAsia="Times New Roman"/>
                <w:color w:val="000000"/>
              </w:rPr>
            </w:pPr>
            <w:r w:rsidRPr="00D17E03">
              <w:rPr>
                <w:rFonts w:eastAsia="Times New Roman"/>
                <w:color w:val="000000"/>
              </w:rPr>
              <w:t>304</w:t>
            </w:r>
          </w:p>
        </w:tc>
        <w:tc>
          <w:tcPr>
            <w:tcW w:w="2063" w:type="dxa"/>
            <w:tcBorders>
              <w:top w:val="single" w:sz="4" w:space="0" w:color="A6A6A6" w:themeColor="accent5"/>
              <w:bottom w:val="single" w:sz="4" w:space="0" w:color="A6A6A6" w:themeColor="accent5"/>
            </w:tcBorders>
            <w:tcMar>
              <w:left w:w="113" w:type="dxa"/>
            </w:tcMar>
            <w:hideMark/>
          </w:tcPr>
          <w:p w14:paraId="5BF1E165"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331A77F6" w14:textId="77777777" w:rsidTr="0008394E">
        <w:tc>
          <w:tcPr>
            <w:tcW w:w="1845" w:type="dxa"/>
            <w:tcBorders>
              <w:top w:val="single" w:sz="4" w:space="0" w:color="A6A6A6" w:themeColor="accent5"/>
              <w:bottom w:val="single" w:sz="4" w:space="0" w:color="A6A6A6" w:themeColor="accent5"/>
            </w:tcBorders>
            <w:hideMark/>
          </w:tcPr>
          <w:p w14:paraId="40C87069" w14:textId="77777777" w:rsidR="00AC3C57" w:rsidRPr="00066515" w:rsidRDefault="00AC3C57" w:rsidP="0081090F">
            <w:pPr>
              <w:pStyle w:val="ARtabletextbold"/>
            </w:pPr>
            <w:r w:rsidRPr="00066515">
              <w:t>Evaluation of the Aboriginal-specific entry points and multidisciplinary team pilot sites </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648D52A5" w14:textId="77777777" w:rsidR="00AC3C57" w:rsidRPr="00066515" w:rsidRDefault="00AC3C57">
            <w:pPr>
              <w:pStyle w:val="ARtabletext"/>
            </w:pPr>
            <w:r w:rsidRPr="00066515">
              <w:t>To assess whether the pilot is providing value for money and any recommendations for continuation/ expansion of the pilot in line with the Department of Treasury and Finance requirements for lapsing program evaluations </w:t>
            </w:r>
          </w:p>
        </w:tc>
        <w:tc>
          <w:tcPr>
            <w:tcW w:w="2693" w:type="dxa"/>
            <w:tcBorders>
              <w:top w:val="single" w:sz="4" w:space="0" w:color="A6A6A6" w:themeColor="accent5"/>
              <w:bottom w:val="single" w:sz="4" w:space="0" w:color="A6A6A6" w:themeColor="accent5"/>
            </w:tcBorders>
            <w:tcMar>
              <w:left w:w="113" w:type="dxa"/>
            </w:tcMar>
            <w:hideMark/>
          </w:tcPr>
          <w:p w14:paraId="1CA8705D" w14:textId="5F5F9E1C" w:rsidR="00AC3C57" w:rsidRPr="00066515" w:rsidRDefault="00AC3C57">
            <w:pPr>
              <w:pStyle w:val="ARtabletext"/>
            </w:pPr>
            <w:r w:rsidRPr="00066515">
              <w:t>Build evidence for determining what works and what is different in the delivery of</w:t>
            </w:r>
            <w:r w:rsidR="0008394E">
              <w:t> </w:t>
            </w:r>
            <w:r w:rsidRPr="00066515">
              <w:t>an Aboriginal-specific homelessness entry point and</w:t>
            </w:r>
            <w:r w:rsidR="0008394E">
              <w:t> </w:t>
            </w:r>
            <w:r w:rsidRPr="00066515">
              <w:t>Housing First Teams Pilot,</w:t>
            </w:r>
            <w:r w:rsidR="0008394E">
              <w:t> </w:t>
            </w:r>
            <w:r w:rsidRPr="00066515">
              <w:t>and</w:t>
            </w:r>
            <w:r w:rsidR="0008394E">
              <w:t> </w:t>
            </w:r>
            <w:r w:rsidRPr="00066515">
              <w:t>provide evidence for</w:t>
            </w:r>
            <w:r w:rsidR="0008394E">
              <w:t> </w:t>
            </w:r>
            <w:r w:rsidRPr="00066515">
              <w:t>replication or expansion</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04EB7342" w14:textId="77777777" w:rsidR="00AC3C57" w:rsidRPr="00066515" w:rsidRDefault="00AC3C57">
            <w:pPr>
              <w:pStyle w:val="ARtabletext"/>
            </w:pPr>
            <w:r w:rsidRPr="00066515">
              <w:t>More informed decision making on future program funding </w:t>
            </w:r>
          </w:p>
        </w:tc>
        <w:tc>
          <w:tcPr>
            <w:tcW w:w="1293" w:type="dxa"/>
            <w:tcBorders>
              <w:top w:val="single" w:sz="4" w:space="0" w:color="A6A6A6" w:themeColor="accent5"/>
              <w:bottom w:val="single" w:sz="4" w:space="0" w:color="A6A6A6" w:themeColor="accent5"/>
            </w:tcBorders>
            <w:tcMar>
              <w:left w:w="113" w:type="dxa"/>
            </w:tcMar>
            <w:hideMark/>
          </w:tcPr>
          <w:p w14:paraId="57B16BCA" w14:textId="77777777" w:rsidR="00AC3C57" w:rsidRPr="00BA7451" w:rsidRDefault="00AC3C57" w:rsidP="0081090F">
            <w:pPr>
              <w:pStyle w:val="ARtabletextright"/>
              <w:rPr>
                <w:rFonts w:eastAsia="Times New Roman"/>
                <w:color w:val="000000"/>
              </w:rPr>
            </w:pPr>
            <w:r w:rsidRPr="00BA7451">
              <w:rPr>
                <w:rFonts w:eastAsia="Times New Roman"/>
                <w:color w:val="000000" w:themeColor="text1"/>
              </w:rPr>
              <w:t>390</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4C8102CB" w14:textId="77777777" w:rsidR="00AC3C57" w:rsidRPr="00BA7451" w:rsidRDefault="00AC3C57" w:rsidP="0081090F">
            <w:pPr>
              <w:pStyle w:val="ARtabletextright"/>
              <w:rPr>
                <w:rFonts w:eastAsia="Times New Roman"/>
                <w:color w:val="000000"/>
              </w:rPr>
            </w:pPr>
            <w:r w:rsidRPr="00BA7451">
              <w:rPr>
                <w:rFonts w:eastAsia="Times New Roman"/>
                <w:color w:val="000000" w:themeColor="text1"/>
              </w:rPr>
              <w:t>390</w:t>
            </w:r>
          </w:p>
        </w:tc>
        <w:tc>
          <w:tcPr>
            <w:tcW w:w="2063" w:type="dxa"/>
            <w:tcBorders>
              <w:top w:val="single" w:sz="4" w:space="0" w:color="A6A6A6" w:themeColor="accent5"/>
              <w:bottom w:val="single" w:sz="4" w:space="0" w:color="A6A6A6" w:themeColor="accent5"/>
            </w:tcBorders>
            <w:tcMar>
              <w:left w:w="113" w:type="dxa"/>
            </w:tcMar>
            <w:hideMark/>
          </w:tcPr>
          <w:p w14:paraId="0C54FA7E"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1546DC2A" w14:textId="77777777" w:rsidTr="0008394E">
        <w:tc>
          <w:tcPr>
            <w:tcW w:w="1845" w:type="dxa"/>
            <w:tcBorders>
              <w:top w:val="single" w:sz="4" w:space="0" w:color="A6A6A6" w:themeColor="accent5"/>
              <w:bottom w:val="single" w:sz="4" w:space="0" w:color="A6A6A6" w:themeColor="accent5"/>
            </w:tcBorders>
            <w:hideMark/>
          </w:tcPr>
          <w:p w14:paraId="1978D716" w14:textId="77777777" w:rsidR="00AC3C57" w:rsidRPr="00066515" w:rsidRDefault="00AC3C57" w:rsidP="0081090F">
            <w:pPr>
              <w:pStyle w:val="ARtabletextbold"/>
            </w:pPr>
            <w:r w:rsidRPr="00066515">
              <w:t>Cooling our public housing towers program renter survey</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4BE01BBE" w14:textId="77777777" w:rsidR="00AC3C57" w:rsidRDefault="00AC3C57">
            <w:pPr>
              <w:pStyle w:val="ARtabletext"/>
            </w:pPr>
            <w:r>
              <w:t>A</w:t>
            </w:r>
            <w:r w:rsidRPr="00066515">
              <w:t>ssess renter satisfaction with installed air conditioners</w:t>
            </w:r>
          </w:p>
          <w:p w14:paraId="6F951D11" w14:textId="3F375125" w:rsidR="00AC3C57" w:rsidRDefault="00AC3C57">
            <w:pPr>
              <w:pStyle w:val="ARtabletext"/>
            </w:pPr>
            <w:r>
              <w:t>D</w:t>
            </w:r>
            <w:r w:rsidRPr="00066515">
              <w:t>etermine the need for additional core hole installations to offer flexible</w:t>
            </w:r>
            <w:r w:rsidR="0008394E">
              <w:t> </w:t>
            </w:r>
            <w:r w:rsidRPr="00066515">
              <w:t>use</w:t>
            </w:r>
          </w:p>
          <w:p w14:paraId="4688F53C" w14:textId="77777777" w:rsidR="00AC3C57" w:rsidRPr="00066515" w:rsidRDefault="00AC3C57">
            <w:pPr>
              <w:pStyle w:val="ARtabletext"/>
            </w:pPr>
            <w:r>
              <w:t>I</w:t>
            </w:r>
            <w:r w:rsidRPr="00066515">
              <w:t>dentify areas for service improvement in future installations</w:t>
            </w:r>
          </w:p>
        </w:tc>
        <w:tc>
          <w:tcPr>
            <w:tcW w:w="2693" w:type="dxa"/>
            <w:tcBorders>
              <w:top w:val="single" w:sz="4" w:space="0" w:color="A6A6A6" w:themeColor="accent5"/>
              <w:bottom w:val="single" w:sz="4" w:space="0" w:color="A6A6A6" w:themeColor="accent5"/>
            </w:tcBorders>
            <w:tcMar>
              <w:left w:w="113" w:type="dxa"/>
            </w:tcMar>
            <w:hideMark/>
          </w:tcPr>
          <w:p w14:paraId="0F34D38B" w14:textId="77777777" w:rsidR="00AC3C57" w:rsidRPr="00066515" w:rsidRDefault="00AC3C57">
            <w:pPr>
              <w:pStyle w:val="ARtabletext"/>
            </w:pPr>
            <w:r w:rsidRPr="00066515">
              <w:t>A 5</w:t>
            </w:r>
            <w:r>
              <w:t>-</w:t>
            </w:r>
            <w:r w:rsidRPr="00066515">
              <w:t>question survey of renters with installed units across 4 older</w:t>
            </w:r>
            <w:r>
              <w:t>-</w:t>
            </w:r>
            <w:r w:rsidRPr="00066515">
              <w:t>person towers (stage 1 of the installation program)</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78A43FAD" w14:textId="7F17B192" w:rsidR="00AC3C57" w:rsidRPr="00066515" w:rsidRDefault="00AC3C57">
            <w:pPr>
              <w:pStyle w:val="ARtabletext"/>
            </w:pPr>
            <w:r w:rsidRPr="00066515">
              <w:t>Renter satisfaction regarding the installed portable air conditioner and feedback to</w:t>
            </w:r>
            <w:r w:rsidR="0008394E">
              <w:t> </w:t>
            </w:r>
            <w:r w:rsidRPr="00066515">
              <w:t>improve the installation</w:t>
            </w:r>
            <w:r w:rsidR="0008394E">
              <w:t> </w:t>
            </w:r>
            <w:r w:rsidRPr="00066515">
              <w:t>process</w:t>
            </w:r>
          </w:p>
        </w:tc>
        <w:tc>
          <w:tcPr>
            <w:tcW w:w="1293" w:type="dxa"/>
            <w:tcBorders>
              <w:top w:val="single" w:sz="4" w:space="0" w:color="A6A6A6" w:themeColor="accent5"/>
              <w:bottom w:val="single" w:sz="4" w:space="0" w:color="A6A6A6" w:themeColor="accent5"/>
            </w:tcBorders>
            <w:tcMar>
              <w:left w:w="113" w:type="dxa"/>
            </w:tcMar>
            <w:hideMark/>
          </w:tcPr>
          <w:p w14:paraId="502BDB4A" w14:textId="77777777" w:rsidR="00AC3C57" w:rsidRPr="00066515" w:rsidRDefault="00AC3C57" w:rsidP="0081090F">
            <w:pPr>
              <w:pStyle w:val="ARtabletextright"/>
              <w:rPr>
                <w:rFonts w:eastAsia="Times New Roman"/>
                <w:color w:val="000000"/>
              </w:rPr>
            </w:pPr>
            <w:r w:rsidRPr="00066515">
              <w:rPr>
                <w:rFonts w:eastAsia="Times New Roman"/>
                <w:color w:val="000000"/>
              </w:rPr>
              <w:t>15</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D888112" w14:textId="77777777" w:rsidR="00AC3C57" w:rsidRPr="00066515" w:rsidRDefault="00AC3C57" w:rsidP="0081090F">
            <w:pPr>
              <w:pStyle w:val="ARtabletextright"/>
              <w:rPr>
                <w:rFonts w:eastAsia="Times New Roman"/>
                <w:color w:val="000000"/>
              </w:rPr>
            </w:pPr>
            <w:r w:rsidRPr="00066515">
              <w:rPr>
                <w:rFonts w:eastAsia="Times New Roman"/>
                <w:color w:val="000000"/>
              </w:rPr>
              <w:t>15</w:t>
            </w:r>
          </w:p>
        </w:tc>
        <w:tc>
          <w:tcPr>
            <w:tcW w:w="2063" w:type="dxa"/>
            <w:tcBorders>
              <w:top w:val="single" w:sz="4" w:space="0" w:color="A6A6A6" w:themeColor="accent5"/>
              <w:bottom w:val="single" w:sz="4" w:space="0" w:color="A6A6A6" w:themeColor="accent5"/>
            </w:tcBorders>
            <w:tcMar>
              <w:left w:w="113" w:type="dxa"/>
            </w:tcMar>
            <w:hideMark/>
          </w:tcPr>
          <w:p w14:paraId="38CC6B8D"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049CDB08" w14:textId="77777777" w:rsidTr="0008394E">
        <w:tc>
          <w:tcPr>
            <w:tcW w:w="1845" w:type="dxa"/>
            <w:tcBorders>
              <w:top w:val="single" w:sz="4" w:space="0" w:color="A6A6A6" w:themeColor="accent5"/>
            </w:tcBorders>
            <w:hideMark/>
          </w:tcPr>
          <w:p w14:paraId="5A78E5DD" w14:textId="37FBB22F" w:rsidR="00AC3C57" w:rsidRPr="00066515" w:rsidRDefault="00AC3C57" w:rsidP="0081090F">
            <w:pPr>
              <w:pStyle w:val="ARtabletextbold"/>
            </w:pPr>
            <w:r w:rsidRPr="00066515">
              <w:t>Sewer stack study in high</w:t>
            </w:r>
            <w:r w:rsidR="00934C67">
              <w:t>-</w:t>
            </w:r>
            <w:r w:rsidRPr="00066515">
              <w:t>rise</w:t>
            </w:r>
          </w:p>
        </w:tc>
        <w:tc>
          <w:tcPr>
            <w:tcW w:w="2692" w:type="dxa"/>
            <w:tcBorders>
              <w:top w:val="single" w:sz="4" w:space="0" w:color="A6A6A6" w:themeColor="accent5"/>
            </w:tcBorders>
            <w:shd w:val="clear" w:color="auto" w:fill="E7E6E6" w:themeFill="background2"/>
            <w:tcMar>
              <w:left w:w="113" w:type="dxa"/>
            </w:tcMar>
            <w:hideMark/>
          </w:tcPr>
          <w:p w14:paraId="6B17285F" w14:textId="77777777" w:rsidR="00AC3C57" w:rsidRPr="00066515" w:rsidRDefault="00AC3C57">
            <w:pPr>
              <w:pStyle w:val="ARtabletext"/>
            </w:pPr>
            <w:r w:rsidRPr="00066515">
              <w:t>Sewer stacks leak in high</w:t>
            </w:r>
            <w:r>
              <w:t>-</w:t>
            </w:r>
            <w:r w:rsidRPr="00066515">
              <w:t>rise buildings due to the age of the assets leading to safety concerns and buildings becoming inhabitable</w:t>
            </w:r>
          </w:p>
        </w:tc>
        <w:tc>
          <w:tcPr>
            <w:tcW w:w="2693" w:type="dxa"/>
            <w:tcBorders>
              <w:top w:val="single" w:sz="4" w:space="0" w:color="A6A6A6" w:themeColor="accent5"/>
            </w:tcBorders>
            <w:tcMar>
              <w:left w:w="113" w:type="dxa"/>
            </w:tcMar>
            <w:hideMark/>
          </w:tcPr>
          <w:p w14:paraId="7274C396" w14:textId="794D688D" w:rsidR="00AC3C57" w:rsidRPr="00066515" w:rsidRDefault="00AC3C57">
            <w:pPr>
              <w:pStyle w:val="ARtabletext"/>
            </w:pPr>
            <w:r w:rsidRPr="00066515">
              <w:t>Assess ag</w:t>
            </w:r>
            <w:r>
              <w:t>e</w:t>
            </w:r>
            <w:r w:rsidRPr="00066515">
              <w:t>ing sewer stacks</w:t>
            </w:r>
            <w:r w:rsidR="0008394E">
              <w:t> </w:t>
            </w:r>
            <w:r w:rsidRPr="00066515">
              <w:t>and develop a plan</w:t>
            </w:r>
            <w:r w:rsidR="0008394E">
              <w:t> </w:t>
            </w:r>
            <w:r w:rsidRPr="00066515">
              <w:t>for</w:t>
            </w:r>
            <w:r w:rsidR="0008394E">
              <w:t> </w:t>
            </w:r>
            <w:r w:rsidRPr="00066515">
              <w:t>upgrade</w:t>
            </w:r>
          </w:p>
        </w:tc>
        <w:tc>
          <w:tcPr>
            <w:tcW w:w="2693" w:type="dxa"/>
            <w:tcBorders>
              <w:top w:val="single" w:sz="4" w:space="0" w:color="A6A6A6" w:themeColor="accent5"/>
            </w:tcBorders>
            <w:shd w:val="clear" w:color="auto" w:fill="E7E6E6" w:themeFill="background2"/>
            <w:tcMar>
              <w:left w:w="113" w:type="dxa"/>
            </w:tcMar>
            <w:hideMark/>
          </w:tcPr>
          <w:p w14:paraId="04805419" w14:textId="549DDDDD" w:rsidR="00AC3C57" w:rsidRPr="00066515" w:rsidRDefault="00AC3C57">
            <w:pPr>
              <w:pStyle w:val="ARtabletext"/>
            </w:pPr>
            <w:r w:rsidRPr="00066515">
              <w:t>Develop a capital plan for</w:t>
            </w:r>
            <w:r w:rsidR="0008394E">
              <w:t> </w:t>
            </w:r>
            <w:r w:rsidRPr="00066515">
              <w:t>delivery of upgrade of</w:t>
            </w:r>
            <w:r w:rsidR="0008394E">
              <w:t> </w:t>
            </w:r>
            <w:r w:rsidRPr="00066515">
              <w:t>the</w:t>
            </w:r>
            <w:r w:rsidR="0008394E">
              <w:t> </w:t>
            </w:r>
            <w:r w:rsidRPr="00066515">
              <w:t>asset</w:t>
            </w:r>
          </w:p>
        </w:tc>
        <w:tc>
          <w:tcPr>
            <w:tcW w:w="1293" w:type="dxa"/>
            <w:tcBorders>
              <w:top w:val="single" w:sz="4" w:space="0" w:color="A6A6A6" w:themeColor="accent5"/>
            </w:tcBorders>
            <w:tcMar>
              <w:left w:w="113" w:type="dxa"/>
            </w:tcMar>
            <w:hideMark/>
          </w:tcPr>
          <w:p w14:paraId="4A26E746" w14:textId="77777777" w:rsidR="00AC3C57" w:rsidRPr="00066515" w:rsidRDefault="00AC3C57" w:rsidP="0081090F">
            <w:pPr>
              <w:pStyle w:val="ARtabletextright"/>
              <w:rPr>
                <w:rFonts w:eastAsia="Times New Roman"/>
                <w:color w:val="000000"/>
              </w:rPr>
            </w:pPr>
            <w:r w:rsidRPr="00066515">
              <w:rPr>
                <w:rFonts w:eastAsia="Times New Roman"/>
                <w:color w:val="000000"/>
              </w:rPr>
              <w:t>95</w:t>
            </w:r>
          </w:p>
        </w:tc>
        <w:tc>
          <w:tcPr>
            <w:tcW w:w="1293" w:type="dxa"/>
            <w:tcBorders>
              <w:top w:val="single" w:sz="4" w:space="0" w:color="A6A6A6" w:themeColor="accent5"/>
            </w:tcBorders>
            <w:shd w:val="clear" w:color="auto" w:fill="E7E6E6" w:themeFill="background2"/>
            <w:tcMar>
              <w:left w:w="113" w:type="dxa"/>
            </w:tcMar>
            <w:hideMark/>
          </w:tcPr>
          <w:p w14:paraId="51833801" w14:textId="77777777" w:rsidR="00AC3C57" w:rsidRPr="00066515" w:rsidRDefault="00AC3C57" w:rsidP="0081090F">
            <w:pPr>
              <w:pStyle w:val="ARtabletextright"/>
              <w:rPr>
                <w:rFonts w:eastAsia="Times New Roman"/>
                <w:color w:val="000000"/>
              </w:rPr>
            </w:pPr>
            <w:r w:rsidRPr="00066515">
              <w:rPr>
                <w:rFonts w:eastAsia="Times New Roman"/>
                <w:color w:val="000000"/>
              </w:rPr>
              <w:t>95</w:t>
            </w:r>
          </w:p>
        </w:tc>
        <w:tc>
          <w:tcPr>
            <w:tcW w:w="2063" w:type="dxa"/>
            <w:tcBorders>
              <w:top w:val="single" w:sz="4" w:space="0" w:color="A6A6A6" w:themeColor="accent5"/>
            </w:tcBorders>
            <w:tcMar>
              <w:left w:w="113" w:type="dxa"/>
            </w:tcMar>
            <w:hideMark/>
          </w:tcPr>
          <w:p w14:paraId="32085475"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08394E" w:rsidRPr="00066515" w14:paraId="14DE564D" w14:textId="77777777" w:rsidTr="0008394E">
        <w:tc>
          <w:tcPr>
            <w:tcW w:w="1845" w:type="dxa"/>
            <w:hideMark/>
          </w:tcPr>
          <w:p w14:paraId="108B832C" w14:textId="77777777" w:rsidR="00AC3C57" w:rsidRPr="00066515" w:rsidRDefault="00AC3C57" w:rsidP="0081090F">
            <w:pPr>
              <w:pStyle w:val="ARtabletextbold"/>
            </w:pPr>
            <w:r w:rsidRPr="00066515">
              <w:lastRenderedPageBreak/>
              <w:t>CCTV enhancement study in North Richmond</w:t>
            </w:r>
          </w:p>
        </w:tc>
        <w:tc>
          <w:tcPr>
            <w:tcW w:w="2692" w:type="dxa"/>
            <w:shd w:val="clear" w:color="auto" w:fill="E7E6E6" w:themeFill="background2"/>
            <w:tcMar>
              <w:left w:w="113" w:type="dxa"/>
            </w:tcMar>
            <w:hideMark/>
          </w:tcPr>
          <w:p w14:paraId="5333EA7A" w14:textId="77777777" w:rsidR="00AC3C57" w:rsidRPr="00066515" w:rsidRDefault="00AC3C57">
            <w:pPr>
              <w:pStyle w:val="ARtabletext"/>
            </w:pPr>
            <w:r>
              <w:t>Rise in a</w:t>
            </w:r>
            <w:r w:rsidRPr="00066515">
              <w:t xml:space="preserve">nti-social behaviour </w:t>
            </w:r>
            <w:r>
              <w:t>on</w:t>
            </w:r>
            <w:r w:rsidRPr="00066515">
              <w:t xml:space="preserve"> the estate </w:t>
            </w:r>
            <w:r>
              <w:t>has led to</w:t>
            </w:r>
            <w:r w:rsidRPr="00066515">
              <w:t xml:space="preserve"> requests for enhanced surveillance by local housing office and police</w:t>
            </w:r>
          </w:p>
        </w:tc>
        <w:tc>
          <w:tcPr>
            <w:tcW w:w="2693" w:type="dxa"/>
            <w:tcMar>
              <w:left w:w="113" w:type="dxa"/>
            </w:tcMar>
            <w:hideMark/>
          </w:tcPr>
          <w:p w14:paraId="09B72CB4" w14:textId="77777777" w:rsidR="00AC3C57" w:rsidRPr="00066515" w:rsidRDefault="00AC3C57">
            <w:pPr>
              <w:pStyle w:val="ARtabletext"/>
            </w:pPr>
            <w:r w:rsidRPr="00066515">
              <w:t>Assess existing network and expand surveillance to minimise blind spots and increase visibility to evidence gathering for reporting</w:t>
            </w:r>
          </w:p>
        </w:tc>
        <w:tc>
          <w:tcPr>
            <w:tcW w:w="2693" w:type="dxa"/>
            <w:shd w:val="clear" w:color="auto" w:fill="E7E6E6" w:themeFill="background2"/>
            <w:tcMar>
              <w:left w:w="113" w:type="dxa"/>
            </w:tcMar>
            <w:hideMark/>
          </w:tcPr>
          <w:p w14:paraId="533ABBD3" w14:textId="56F1D7AE" w:rsidR="00AC3C57" w:rsidRPr="00066515" w:rsidRDefault="00AC3C57">
            <w:pPr>
              <w:pStyle w:val="ARtabletext"/>
            </w:pPr>
            <w:r w:rsidRPr="00066515">
              <w:t>Develop a plan to improve</w:t>
            </w:r>
            <w:r w:rsidR="00E512F5">
              <w:t> </w:t>
            </w:r>
            <w:r w:rsidRPr="00066515">
              <w:t>surveillance</w:t>
            </w:r>
          </w:p>
        </w:tc>
        <w:tc>
          <w:tcPr>
            <w:tcW w:w="1293" w:type="dxa"/>
            <w:tcMar>
              <w:left w:w="113" w:type="dxa"/>
            </w:tcMar>
            <w:hideMark/>
          </w:tcPr>
          <w:p w14:paraId="0F445D9B" w14:textId="77777777" w:rsidR="00AC3C57" w:rsidRPr="00066515" w:rsidRDefault="00AC3C57" w:rsidP="0081090F">
            <w:pPr>
              <w:pStyle w:val="ARtabletextright"/>
              <w:rPr>
                <w:rFonts w:eastAsia="Times New Roman"/>
                <w:color w:val="000000"/>
              </w:rPr>
            </w:pPr>
            <w:r w:rsidRPr="00066515">
              <w:rPr>
                <w:rFonts w:eastAsia="Times New Roman"/>
                <w:color w:val="000000"/>
              </w:rPr>
              <w:t>25</w:t>
            </w:r>
          </w:p>
        </w:tc>
        <w:tc>
          <w:tcPr>
            <w:tcW w:w="1293" w:type="dxa"/>
            <w:shd w:val="clear" w:color="auto" w:fill="E7E6E6" w:themeFill="background2"/>
            <w:tcMar>
              <w:left w:w="113" w:type="dxa"/>
            </w:tcMar>
            <w:hideMark/>
          </w:tcPr>
          <w:p w14:paraId="4CC7AF84" w14:textId="77777777" w:rsidR="00AC3C57" w:rsidRPr="00066515" w:rsidRDefault="00AC3C57" w:rsidP="0081090F">
            <w:pPr>
              <w:pStyle w:val="ARtabletextright"/>
              <w:rPr>
                <w:rFonts w:eastAsia="Times New Roman"/>
                <w:color w:val="000000"/>
              </w:rPr>
            </w:pPr>
            <w:r w:rsidRPr="00066515">
              <w:rPr>
                <w:rFonts w:eastAsia="Times New Roman"/>
                <w:color w:val="000000"/>
              </w:rPr>
              <w:t>25</w:t>
            </w:r>
          </w:p>
        </w:tc>
        <w:tc>
          <w:tcPr>
            <w:tcW w:w="2063" w:type="dxa"/>
            <w:tcMar>
              <w:left w:w="113" w:type="dxa"/>
            </w:tcMar>
            <w:hideMark/>
          </w:tcPr>
          <w:p w14:paraId="23A53B3D"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373A9E72" w14:textId="77777777" w:rsidTr="0008394E">
        <w:tc>
          <w:tcPr>
            <w:tcW w:w="1845" w:type="dxa"/>
            <w:tcBorders>
              <w:bottom w:val="single" w:sz="4" w:space="0" w:color="A6A6A6" w:themeColor="accent5"/>
            </w:tcBorders>
            <w:hideMark/>
          </w:tcPr>
          <w:p w14:paraId="30A171DC" w14:textId="77777777" w:rsidR="00AC3C57" w:rsidRPr="00066515" w:rsidRDefault="00AC3C57" w:rsidP="0081090F">
            <w:pPr>
              <w:pStyle w:val="ARtabletextbold"/>
            </w:pPr>
            <w:r w:rsidRPr="00066515">
              <w:rPr>
                <w:rFonts w:eastAsia="Arial"/>
              </w:rPr>
              <w:t xml:space="preserve">Public </w:t>
            </w:r>
            <w:r>
              <w:rPr>
                <w:rFonts w:eastAsia="Arial"/>
              </w:rPr>
              <w:t>h</w:t>
            </w:r>
            <w:r w:rsidRPr="00066515">
              <w:rPr>
                <w:rFonts w:eastAsia="Arial"/>
              </w:rPr>
              <w:t xml:space="preserve">ousing </w:t>
            </w:r>
            <w:r>
              <w:rPr>
                <w:rFonts w:eastAsia="Arial"/>
              </w:rPr>
              <w:t>f</w:t>
            </w:r>
            <w:r w:rsidRPr="00066515">
              <w:rPr>
                <w:rFonts w:eastAsia="Arial"/>
              </w:rPr>
              <w:t xml:space="preserve">ire </w:t>
            </w:r>
            <w:r>
              <w:rPr>
                <w:rFonts w:eastAsia="Arial"/>
              </w:rPr>
              <w:t>s</w:t>
            </w:r>
            <w:r w:rsidRPr="00066515">
              <w:rPr>
                <w:rFonts w:eastAsia="Arial"/>
              </w:rPr>
              <w:t xml:space="preserve">prinkler </w:t>
            </w:r>
            <w:r>
              <w:rPr>
                <w:rFonts w:eastAsia="Arial"/>
              </w:rPr>
              <w:t>f</w:t>
            </w:r>
            <w:r w:rsidRPr="00066515">
              <w:rPr>
                <w:rFonts w:eastAsia="Arial"/>
              </w:rPr>
              <w:t xml:space="preserve">easibility </w:t>
            </w:r>
            <w:r>
              <w:rPr>
                <w:rFonts w:eastAsia="Arial"/>
              </w:rPr>
              <w:t>s</w:t>
            </w:r>
            <w:r w:rsidRPr="00066515">
              <w:rPr>
                <w:rFonts w:eastAsia="Arial"/>
              </w:rPr>
              <w:t>tudy</w:t>
            </w:r>
          </w:p>
        </w:tc>
        <w:tc>
          <w:tcPr>
            <w:tcW w:w="2692" w:type="dxa"/>
            <w:tcBorders>
              <w:bottom w:val="single" w:sz="4" w:space="0" w:color="A6A6A6" w:themeColor="accent5"/>
            </w:tcBorders>
            <w:shd w:val="clear" w:color="auto" w:fill="E7E6E6" w:themeFill="background2"/>
            <w:tcMar>
              <w:left w:w="113" w:type="dxa"/>
            </w:tcMar>
            <w:hideMark/>
          </w:tcPr>
          <w:p w14:paraId="3C99CD01" w14:textId="144202DB" w:rsidR="00AC3C57" w:rsidRPr="00066515" w:rsidRDefault="00AC3C57">
            <w:pPr>
              <w:pStyle w:val="ARtabletext"/>
            </w:pPr>
            <w:r w:rsidRPr="00066515">
              <w:rPr>
                <w:rFonts w:eastAsia="Arial"/>
              </w:rPr>
              <w:t>Response to Coroner’s Court</w:t>
            </w:r>
            <w:r w:rsidR="0008394E">
              <w:rPr>
                <w:rFonts w:eastAsia="Arial"/>
              </w:rPr>
              <w:t> </w:t>
            </w:r>
            <w:r w:rsidRPr="00066515">
              <w:rPr>
                <w:rFonts w:eastAsia="Arial"/>
              </w:rPr>
              <w:t>request</w:t>
            </w:r>
          </w:p>
        </w:tc>
        <w:tc>
          <w:tcPr>
            <w:tcW w:w="2693" w:type="dxa"/>
            <w:tcBorders>
              <w:bottom w:val="single" w:sz="4" w:space="0" w:color="A6A6A6" w:themeColor="accent5"/>
            </w:tcBorders>
            <w:tcMar>
              <w:left w:w="113" w:type="dxa"/>
            </w:tcMar>
            <w:hideMark/>
          </w:tcPr>
          <w:p w14:paraId="735A6F29" w14:textId="77777777" w:rsidR="00AC3C57" w:rsidRPr="00066515" w:rsidRDefault="00AC3C57">
            <w:pPr>
              <w:pStyle w:val="ARtabletext"/>
            </w:pPr>
            <w:r w:rsidRPr="00066515">
              <w:rPr>
                <w:rFonts w:eastAsia="Arial"/>
              </w:rPr>
              <w:t>Feasibility study to assess the cost</w:t>
            </w:r>
            <w:r>
              <w:rPr>
                <w:rFonts w:eastAsia="Arial"/>
              </w:rPr>
              <w:t>–</w:t>
            </w:r>
            <w:r w:rsidRPr="00066515">
              <w:rPr>
                <w:rFonts w:eastAsia="Arial"/>
              </w:rPr>
              <w:t>benefit installing fire sprinklers in public housing</w:t>
            </w:r>
          </w:p>
        </w:tc>
        <w:tc>
          <w:tcPr>
            <w:tcW w:w="2693" w:type="dxa"/>
            <w:tcBorders>
              <w:bottom w:val="single" w:sz="4" w:space="0" w:color="A6A6A6" w:themeColor="accent5"/>
            </w:tcBorders>
            <w:shd w:val="clear" w:color="auto" w:fill="E7E6E6" w:themeFill="background2"/>
            <w:tcMar>
              <w:left w:w="113" w:type="dxa"/>
            </w:tcMar>
            <w:hideMark/>
          </w:tcPr>
          <w:p w14:paraId="6F6762E4" w14:textId="760CDB3B" w:rsidR="00AC3C57" w:rsidRPr="00066515" w:rsidRDefault="00AC3C57">
            <w:pPr>
              <w:pStyle w:val="ARtabletext"/>
            </w:pPr>
            <w:r w:rsidRPr="00066515">
              <w:rPr>
                <w:rFonts w:eastAsia="Arial"/>
              </w:rPr>
              <w:t xml:space="preserve">Assess the feasibility of installing sprinklers in </w:t>
            </w:r>
            <w:r w:rsidRPr="0008394E">
              <w:t>public</w:t>
            </w:r>
            <w:r w:rsidR="0008394E">
              <w:t> </w:t>
            </w:r>
            <w:r w:rsidRPr="0008394E">
              <w:t>housing</w:t>
            </w:r>
          </w:p>
        </w:tc>
        <w:tc>
          <w:tcPr>
            <w:tcW w:w="1293" w:type="dxa"/>
            <w:tcBorders>
              <w:bottom w:val="single" w:sz="4" w:space="0" w:color="A6A6A6" w:themeColor="accent5"/>
            </w:tcBorders>
            <w:tcMar>
              <w:left w:w="113" w:type="dxa"/>
            </w:tcMar>
            <w:hideMark/>
          </w:tcPr>
          <w:p w14:paraId="6C49AD5A" w14:textId="77777777" w:rsidR="00AC3C57" w:rsidRPr="00066515" w:rsidRDefault="00AC3C57" w:rsidP="0081090F">
            <w:pPr>
              <w:pStyle w:val="ARtabletextright"/>
              <w:rPr>
                <w:rFonts w:eastAsia="Times New Roman"/>
                <w:color w:val="000000"/>
              </w:rPr>
            </w:pPr>
            <w:r w:rsidRPr="00066515">
              <w:rPr>
                <w:rFonts w:eastAsia="Times New Roman"/>
                <w:color w:val="000000"/>
              </w:rPr>
              <w:t>135</w:t>
            </w:r>
          </w:p>
        </w:tc>
        <w:tc>
          <w:tcPr>
            <w:tcW w:w="1293" w:type="dxa"/>
            <w:tcBorders>
              <w:bottom w:val="single" w:sz="4" w:space="0" w:color="A6A6A6" w:themeColor="accent5"/>
            </w:tcBorders>
            <w:shd w:val="clear" w:color="auto" w:fill="E7E6E6" w:themeFill="background2"/>
            <w:tcMar>
              <w:left w:w="113" w:type="dxa"/>
            </w:tcMar>
            <w:hideMark/>
          </w:tcPr>
          <w:p w14:paraId="618C3E85" w14:textId="77777777" w:rsidR="00AC3C57" w:rsidRPr="00066515" w:rsidRDefault="00AC3C57" w:rsidP="0081090F">
            <w:pPr>
              <w:pStyle w:val="ARtabletextright"/>
              <w:rPr>
                <w:rFonts w:eastAsia="Times New Roman"/>
                <w:color w:val="000000"/>
              </w:rPr>
            </w:pPr>
            <w:r w:rsidRPr="00066515">
              <w:rPr>
                <w:rFonts w:eastAsia="Arial"/>
                <w:color w:val="000000"/>
              </w:rPr>
              <w:t>146</w:t>
            </w:r>
          </w:p>
        </w:tc>
        <w:tc>
          <w:tcPr>
            <w:tcW w:w="2063" w:type="dxa"/>
            <w:tcBorders>
              <w:bottom w:val="single" w:sz="4" w:space="0" w:color="A6A6A6" w:themeColor="accent5"/>
            </w:tcBorders>
            <w:tcMar>
              <w:left w:w="113" w:type="dxa"/>
            </w:tcMar>
            <w:hideMark/>
          </w:tcPr>
          <w:p w14:paraId="5C4752A6" w14:textId="77777777" w:rsidR="00AC3C57" w:rsidRPr="00066515" w:rsidRDefault="00AC3C57" w:rsidP="009A471D">
            <w:pPr>
              <w:pStyle w:val="ARtabletext"/>
              <w:rPr>
                <w:rFonts w:eastAsia="Times New Roman"/>
                <w:color w:val="000000"/>
              </w:rPr>
            </w:pPr>
            <w:r w:rsidRPr="00066515">
              <w:rPr>
                <w:rFonts w:eastAsia="Arial"/>
                <w:color w:val="000000"/>
              </w:rPr>
              <w:t>N</w:t>
            </w:r>
          </w:p>
        </w:tc>
      </w:tr>
      <w:tr w:rsidR="0081090F" w:rsidRPr="00066515" w14:paraId="5C932ABB" w14:textId="77777777" w:rsidTr="0008394E">
        <w:tc>
          <w:tcPr>
            <w:tcW w:w="1845" w:type="dxa"/>
            <w:tcBorders>
              <w:top w:val="single" w:sz="4" w:space="0" w:color="A6A6A6" w:themeColor="accent5"/>
              <w:bottom w:val="single" w:sz="4" w:space="0" w:color="A6A6A6" w:themeColor="accent5"/>
            </w:tcBorders>
            <w:hideMark/>
          </w:tcPr>
          <w:p w14:paraId="5EDD43B8" w14:textId="77777777" w:rsidR="00AC3C57" w:rsidRPr="00066515" w:rsidRDefault="00AC3C57" w:rsidP="0081090F">
            <w:pPr>
              <w:pStyle w:val="ARtabletextbold"/>
            </w:pPr>
            <w:r w:rsidRPr="00066515">
              <w:t>High</w:t>
            </w:r>
            <w:r>
              <w:t>-r</w:t>
            </w:r>
            <w:r w:rsidRPr="00066515">
              <w:t xml:space="preserve">ise </w:t>
            </w:r>
            <w:r>
              <w:t>f</w:t>
            </w:r>
            <w:r w:rsidRPr="00066515">
              <w:t xml:space="preserve">ire </w:t>
            </w:r>
            <w:r>
              <w:t>e</w:t>
            </w:r>
            <w:r w:rsidRPr="00066515">
              <w:t>ngineering</w:t>
            </w:r>
            <w:r>
              <w:t xml:space="preserve"> b</w:t>
            </w:r>
            <w:r w:rsidRPr="00066515">
              <w:t xml:space="preserve">rief </w:t>
            </w:r>
            <w:r>
              <w:t>u</w:t>
            </w:r>
            <w:r w:rsidRPr="00066515">
              <w:t>pdate</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697BCE8C" w14:textId="77777777" w:rsidR="00AC3C57" w:rsidRPr="00066515" w:rsidRDefault="00AC3C57">
            <w:pPr>
              <w:pStyle w:val="ARtabletext"/>
            </w:pPr>
            <w:r w:rsidRPr="00066515">
              <w:t>5</w:t>
            </w:r>
            <w:r>
              <w:t>-</w:t>
            </w:r>
            <w:r w:rsidRPr="00066515">
              <w:t>yearly audit of fire strategy for high-rise public housing</w:t>
            </w:r>
          </w:p>
        </w:tc>
        <w:tc>
          <w:tcPr>
            <w:tcW w:w="2693" w:type="dxa"/>
            <w:tcBorders>
              <w:top w:val="single" w:sz="4" w:space="0" w:color="A6A6A6" w:themeColor="accent5"/>
              <w:bottom w:val="single" w:sz="4" w:space="0" w:color="A6A6A6" w:themeColor="accent5"/>
            </w:tcBorders>
            <w:tcMar>
              <w:left w:w="113" w:type="dxa"/>
            </w:tcMar>
            <w:hideMark/>
          </w:tcPr>
          <w:p w14:paraId="4DAFAF7E" w14:textId="77777777" w:rsidR="00AC3C57" w:rsidRPr="00E06E63" w:rsidRDefault="00AC3C57">
            <w:pPr>
              <w:pStyle w:val="ARtabletext"/>
              <w:rPr>
                <w:rStyle w:val="Emphasis"/>
              </w:rPr>
            </w:pPr>
            <w:r w:rsidRPr="00066515">
              <w:t xml:space="preserve">Requirement of the </w:t>
            </w:r>
            <w:r w:rsidRPr="00E06E63">
              <w:rPr>
                <w:rStyle w:val="Emphasis"/>
              </w:rPr>
              <w:t>Capital development guidelines</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67EC5E6C" w14:textId="40610895" w:rsidR="00AC3C57" w:rsidRPr="00066515" w:rsidRDefault="00AC3C57">
            <w:pPr>
              <w:pStyle w:val="ARtabletext"/>
            </w:pPr>
            <w:r w:rsidRPr="00066515">
              <w:t>Review fire safety strategy for</w:t>
            </w:r>
            <w:r w:rsidR="0008394E">
              <w:t> </w:t>
            </w:r>
            <w:r>
              <w:t>hi</w:t>
            </w:r>
            <w:r w:rsidRPr="00066515">
              <w:t>g</w:t>
            </w:r>
            <w:r>
              <w:t>h-</w:t>
            </w:r>
            <w:r w:rsidRPr="00066515">
              <w:t>rise towers</w:t>
            </w:r>
          </w:p>
        </w:tc>
        <w:tc>
          <w:tcPr>
            <w:tcW w:w="1293" w:type="dxa"/>
            <w:tcBorders>
              <w:top w:val="single" w:sz="4" w:space="0" w:color="A6A6A6" w:themeColor="accent5"/>
              <w:bottom w:val="single" w:sz="4" w:space="0" w:color="A6A6A6" w:themeColor="accent5"/>
            </w:tcBorders>
            <w:tcMar>
              <w:left w:w="113" w:type="dxa"/>
            </w:tcMar>
            <w:hideMark/>
          </w:tcPr>
          <w:p w14:paraId="71EF336B" w14:textId="77777777" w:rsidR="00AC3C57" w:rsidRPr="00066515" w:rsidRDefault="00AC3C57" w:rsidP="0081090F">
            <w:pPr>
              <w:pStyle w:val="ARtabletextright"/>
              <w:rPr>
                <w:rFonts w:eastAsia="Times New Roman"/>
                <w:color w:val="000000"/>
              </w:rPr>
            </w:pPr>
            <w:r w:rsidRPr="00066515">
              <w:rPr>
                <w:rFonts w:eastAsia="Times New Roman"/>
                <w:color w:val="000000"/>
              </w:rPr>
              <w:t>53</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00947614" w14:textId="77777777" w:rsidR="00AC3C57" w:rsidRPr="00066515" w:rsidRDefault="00AC3C57" w:rsidP="0081090F">
            <w:pPr>
              <w:pStyle w:val="ARtabletextright"/>
              <w:rPr>
                <w:rFonts w:eastAsia="Times New Roman"/>
                <w:color w:val="000000"/>
              </w:rPr>
            </w:pPr>
            <w:r w:rsidRPr="00066515">
              <w:rPr>
                <w:rFonts w:eastAsia="Times New Roman"/>
                <w:color w:val="000000"/>
              </w:rPr>
              <w:t>53</w:t>
            </w:r>
          </w:p>
        </w:tc>
        <w:tc>
          <w:tcPr>
            <w:tcW w:w="2063" w:type="dxa"/>
            <w:tcBorders>
              <w:top w:val="single" w:sz="4" w:space="0" w:color="A6A6A6" w:themeColor="accent5"/>
              <w:bottom w:val="single" w:sz="4" w:space="0" w:color="A6A6A6" w:themeColor="accent5"/>
            </w:tcBorders>
            <w:tcMar>
              <w:left w:w="113" w:type="dxa"/>
            </w:tcMar>
            <w:hideMark/>
          </w:tcPr>
          <w:p w14:paraId="5A828773"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78611FBB" w14:textId="77777777" w:rsidTr="0008394E">
        <w:tc>
          <w:tcPr>
            <w:tcW w:w="1845" w:type="dxa"/>
            <w:tcBorders>
              <w:top w:val="single" w:sz="4" w:space="0" w:color="A6A6A6" w:themeColor="accent5"/>
              <w:bottom w:val="single" w:sz="4" w:space="0" w:color="A6A6A6" w:themeColor="accent5"/>
            </w:tcBorders>
            <w:hideMark/>
          </w:tcPr>
          <w:p w14:paraId="14DB3914" w14:textId="77777777" w:rsidR="00AC3C57" w:rsidRPr="00066515" w:rsidRDefault="00AC3C57" w:rsidP="0081090F">
            <w:pPr>
              <w:pStyle w:val="ARtabletextbold"/>
            </w:pPr>
            <w:r w:rsidRPr="00066515">
              <w:t>Probity advice for Homes First and Aboriginal Homes First procurement</w:t>
            </w:r>
          </w:p>
        </w:tc>
        <w:tc>
          <w:tcPr>
            <w:tcW w:w="2692"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39297262" w14:textId="77777777" w:rsidR="00AC3C57" w:rsidRPr="00066515" w:rsidRDefault="00AC3C57">
            <w:pPr>
              <w:pStyle w:val="ARtabletext"/>
            </w:pPr>
            <w:r w:rsidRPr="00066515">
              <w:t>To provide advice to finalise Homes First Procurement and to advise Blueprint Steering Committee on probity considerations in determining a direct allocation approach for the self-determined Homes First program</w:t>
            </w:r>
          </w:p>
        </w:tc>
        <w:tc>
          <w:tcPr>
            <w:tcW w:w="2693" w:type="dxa"/>
            <w:tcBorders>
              <w:top w:val="single" w:sz="4" w:space="0" w:color="A6A6A6" w:themeColor="accent5"/>
              <w:bottom w:val="single" w:sz="4" w:space="0" w:color="A6A6A6" w:themeColor="accent5"/>
            </w:tcBorders>
            <w:tcMar>
              <w:left w:w="113" w:type="dxa"/>
            </w:tcMar>
            <w:hideMark/>
          </w:tcPr>
          <w:p w14:paraId="0615E356" w14:textId="77777777" w:rsidR="00AC3C57" w:rsidRPr="00066515" w:rsidRDefault="00AC3C57">
            <w:pPr>
              <w:pStyle w:val="ARtabletext"/>
            </w:pPr>
            <w:r w:rsidRPr="00066515">
              <w:t>Independent probity advice and overview</w:t>
            </w:r>
          </w:p>
        </w:tc>
        <w:tc>
          <w:tcPr>
            <w:tcW w:w="26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10BF0388" w14:textId="77777777" w:rsidR="00AC3C57" w:rsidRPr="00066515" w:rsidRDefault="00AC3C57">
            <w:pPr>
              <w:pStyle w:val="ARtabletext"/>
            </w:pPr>
            <w:r w:rsidRPr="00066515">
              <w:t>Ensure probity is upheld in high</w:t>
            </w:r>
            <w:r>
              <w:t>-</w:t>
            </w:r>
            <w:r w:rsidRPr="00066515">
              <w:t>profile and complex procurement processes</w:t>
            </w:r>
          </w:p>
        </w:tc>
        <w:tc>
          <w:tcPr>
            <w:tcW w:w="1293" w:type="dxa"/>
            <w:tcBorders>
              <w:top w:val="single" w:sz="4" w:space="0" w:color="A6A6A6" w:themeColor="accent5"/>
              <w:bottom w:val="single" w:sz="4" w:space="0" w:color="A6A6A6" w:themeColor="accent5"/>
            </w:tcBorders>
            <w:tcMar>
              <w:left w:w="113" w:type="dxa"/>
            </w:tcMar>
            <w:hideMark/>
          </w:tcPr>
          <w:p w14:paraId="0AF72F1C" w14:textId="77777777" w:rsidR="00AC3C57" w:rsidRPr="00066515" w:rsidRDefault="00AC3C57" w:rsidP="0081090F">
            <w:pPr>
              <w:pStyle w:val="ARtabletextright"/>
              <w:rPr>
                <w:rFonts w:eastAsia="Times New Roman"/>
                <w:color w:val="000000"/>
              </w:rPr>
            </w:pPr>
            <w:r w:rsidRPr="00066515">
              <w:rPr>
                <w:rFonts w:eastAsia="Times New Roman"/>
                <w:color w:val="000000"/>
              </w:rPr>
              <w:t>11</w:t>
            </w:r>
          </w:p>
        </w:tc>
        <w:tc>
          <w:tcPr>
            <w:tcW w:w="1293" w:type="dxa"/>
            <w:tcBorders>
              <w:top w:val="single" w:sz="4" w:space="0" w:color="A6A6A6" w:themeColor="accent5"/>
              <w:bottom w:val="single" w:sz="4" w:space="0" w:color="A6A6A6" w:themeColor="accent5"/>
            </w:tcBorders>
            <w:shd w:val="clear" w:color="auto" w:fill="E7E6E6" w:themeFill="background2"/>
            <w:tcMar>
              <w:left w:w="113" w:type="dxa"/>
            </w:tcMar>
            <w:hideMark/>
          </w:tcPr>
          <w:p w14:paraId="47D6E936" w14:textId="77777777" w:rsidR="00AC3C57" w:rsidRPr="00066515" w:rsidRDefault="00AC3C57" w:rsidP="0081090F">
            <w:pPr>
              <w:pStyle w:val="ARtabletextright"/>
              <w:rPr>
                <w:rFonts w:eastAsia="Times New Roman"/>
                <w:color w:val="000000"/>
              </w:rPr>
            </w:pPr>
            <w:r w:rsidRPr="00066515">
              <w:rPr>
                <w:rFonts w:eastAsia="Times New Roman"/>
                <w:color w:val="000000"/>
              </w:rPr>
              <w:t>27</w:t>
            </w:r>
          </w:p>
        </w:tc>
        <w:tc>
          <w:tcPr>
            <w:tcW w:w="2063" w:type="dxa"/>
            <w:tcBorders>
              <w:top w:val="single" w:sz="4" w:space="0" w:color="A6A6A6" w:themeColor="accent5"/>
              <w:bottom w:val="single" w:sz="4" w:space="0" w:color="A6A6A6" w:themeColor="accent5"/>
            </w:tcBorders>
            <w:tcMar>
              <w:left w:w="113" w:type="dxa"/>
            </w:tcMar>
            <w:hideMark/>
          </w:tcPr>
          <w:p w14:paraId="1ABDA49F"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r w:rsidR="0081090F" w:rsidRPr="00066515" w14:paraId="193CBA1E" w14:textId="77777777" w:rsidTr="0008394E">
        <w:trPr>
          <w:cnfStyle w:val="010000000000" w:firstRow="0" w:lastRow="1" w:firstColumn="0" w:lastColumn="0" w:oddVBand="0" w:evenVBand="0" w:oddHBand="0" w:evenHBand="0" w:firstRowFirstColumn="0" w:firstRowLastColumn="0" w:lastRowFirstColumn="0" w:lastRowLastColumn="0"/>
        </w:trPr>
        <w:tc>
          <w:tcPr>
            <w:tcW w:w="1845" w:type="dxa"/>
            <w:tcBorders>
              <w:top w:val="single" w:sz="4" w:space="0" w:color="A6A6A6" w:themeColor="accent5"/>
            </w:tcBorders>
            <w:hideMark/>
          </w:tcPr>
          <w:p w14:paraId="410B3D13" w14:textId="77777777" w:rsidR="00AC3C57" w:rsidRPr="00066515" w:rsidRDefault="00AC3C57" w:rsidP="0081090F">
            <w:pPr>
              <w:pStyle w:val="ARtabletextbold"/>
            </w:pPr>
            <w:r w:rsidRPr="00066515">
              <w:t xml:space="preserve">High-rise redevelopment </w:t>
            </w:r>
            <w:r>
              <w:t>r</w:t>
            </w:r>
            <w:r w:rsidRPr="00066515">
              <w:t>esident and community understanding (market research)</w:t>
            </w:r>
          </w:p>
        </w:tc>
        <w:tc>
          <w:tcPr>
            <w:tcW w:w="2692" w:type="dxa"/>
            <w:tcBorders>
              <w:top w:val="single" w:sz="4" w:space="0" w:color="A6A6A6" w:themeColor="accent5"/>
            </w:tcBorders>
            <w:shd w:val="clear" w:color="auto" w:fill="E7E6E6" w:themeFill="background2"/>
            <w:tcMar>
              <w:left w:w="113" w:type="dxa"/>
            </w:tcMar>
            <w:hideMark/>
          </w:tcPr>
          <w:p w14:paraId="6732CA5B" w14:textId="77777777" w:rsidR="00AC3C57" w:rsidRPr="00066515" w:rsidRDefault="00AC3C57" w:rsidP="0098762A">
            <w:pPr>
              <w:pStyle w:val="ARtabletext"/>
            </w:pPr>
            <w:r w:rsidRPr="00066515">
              <w:t>Ensure communications and engagement increases program awareness and understanding with a focus on supporting high-</w:t>
            </w:r>
            <w:r w:rsidRPr="0098762A">
              <w:t>rise</w:t>
            </w:r>
            <w:r w:rsidRPr="00066515">
              <w:t xml:space="preserve"> residents and surrounding communities through different stages of program delivery</w:t>
            </w:r>
          </w:p>
        </w:tc>
        <w:tc>
          <w:tcPr>
            <w:tcW w:w="2693" w:type="dxa"/>
            <w:tcBorders>
              <w:top w:val="single" w:sz="4" w:space="0" w:color="A6A6A6" w:themeColor="accent5"/>
            </w:tcBorders>
            <w:tcMar>
              <w:left w:w="113" w:type="dxa"/>
            </w:tcMar>
            <w:hideMark/>
          </w:tcPr>
          <w:p w14:paraId="2289F7B3" w14:textId="77777777" w:rsidR="00AC3C57" w:rsidRPr="00066515" w:rsidRDefault="00AC3C57">
            <w:pPr>
              <w:pStyle w:val="ARtabletext"/>
            </w:pPr>
            <w:r w:rsidRPr="00066515">
              <w:t>Measure a baseline level of awareness and understanding of the high-rise redevelopment program across high-rise residents and surrounding communities</w:t>
            </w:r>
          </w:p>
        </w:tc>
        <w:tc>
          <w:tcPr>
            <w:tcW w:w="2693" w:type="dxa"/>
            <w:tcBorders>
              <w:top w:val="single" w:sz="4" w:space="0" w:color="A6A6A6" w:themeColor="accent5"/>
            </w:tcBorders>
            <w:shd w:val="clear" w:color="auto" w:fill="E7E6E6" w:themeFill="background2"/>
            <w:tcMar>
              <w:left w:w="113" w:type="dxa"/>
            </w:tcMar>
            <w:hideMark/>
          </w:tcPr>
          <w:p w14:paraId="21F0646C" w14:textId="77777777" w:rsidR="00AC3C57" w:rsidRPr="00066515" w:rsidRDefault="00AC3C57">
            <w:pPr>
              <w:pStyle w:val="ARtabletext"/>
            </w:pPr>
            <w:r w:rsidRPr="00066515">
              <w:t>Assessment of current levels of awareness and understanding, as well as feedback and insights from high-rise residents and surrounding communities</w:t>
            </w:r>
          </w:p>
        </w:tc>
        <w:tc>
          <w:tcPr>
            <w:tcW w:w="1293" w:type="dxa"/>
            <w:tcBorders>
              <w:top w:val="single" w:sz="4" w:space="0" w:color="A6A6A6" w:themeColor="accent5"/>
            </w:tcBorders>
            <w:tcMar>
              <w:left w:w="113" w:type="dxa"/>
            </w:tcMar>
            <w:hideMark/>
          </w:tcPr>
          <w:p w14:paraId="1E494746" w14:textId="77777777" w:rsidR="00AC3C57" w:rsidRPr="00066515" w:rsidRDefault="00AC3C57" w:rsidP="0081090F">
            <w:pPr>
              <w:pStyle w:val="ARtabletextright"/>
              <w:rPr>
                <w:rFonts w:eastAsia="Times New Roman"/>
                <w:color w:val="000000"/>
              </w:rPr>
            </w:pPr>
            <w:r w:rsidRPr="00066515">
              <w:rPr>
                <w:rFonts w:eastAsia="Times New Roman"/>
                <w:color w:val="000000"/>
              </w:rPr>
              <w:t>200</w:t>
            </w:r>
          </w:p>
        </w:tc>
        <w:tc>
          <w:tcPr>
            <w:tcW w:w="1293" w:type="dxa"/>
            <w:tcBorders>
              <w:top w:val="single" w:sz="4" w:space="0" w:color="A6A6A6" w:themeColor="accent5"/>
            </w:tcBorders>
            <w:shd w:val="clear" w:color="auto" w:fill="E7E6E6" w:themeFill="background2"/>
            <w:tcMar>
              <w:left w:w="113" w:type="dxa"/>
            </w:tcMar>
            <w:hideMark/>
          </w:tcPr>
          <w:p w14:paraId="7C3FF934" w14:textId="77777777" w:rsidR="00AC3C57" w:rsidRPr="00066515" w:rsidRDefault="00AC3C57" w:rsidP="0081090F">
            <w:pPr>
              <w:pStyle w:val="ARtabletextright"/>
              <w:rPr>
                <w:rFonts w:eastAsia="Times New Roman"/>
                <w:color w:val="000000"/>
              </w:rPr>
            </w:pPr>
            <w:r w:rsidRPr="00066515">
              <w:rPr>
                <w:rFonts w:eastAsia="Times New Roman"/>
                <w:color w:val="000000"/>
              </w:rPr>
              <w:t>249</w:t>
            </w:r>
          </w:p>
        </w:tc>
        <w:tc>
          <w:tcPr>
            <w:tcW w:w="2063" w:type="dxa"/>
            <w:tcBorders>
              <w:top w:val="single" w:sz="4" w:space="0" w:color="A6A6A6" w:themeColor="accent5"/>
            </w:tcBorders>
            <w:tcMar>
              <w:left w:w="113" w:type="dxa"/>
            </w:tcMar>
            <w:hideMark/>
          </w:tcPr>
          <w:p w14:paraId="3D48499C" w14:textId="77777777" w:rsidR="00AC3C57" w:rsidRPr="00066515" w:rsidRDefault="00AC3C57" w:rsidP="009A471D">
            <w:pPr>
              <w:pStyle w:val="ARtabletext"/>
              <w:rPr>
                <w:rFonts w:eastAsia="Times New Roman"/>
                <w:color w:val="000000"/>
              </w:rPr>
            </w:pPr>
            <w:r w:rsidRPr="00066515">
              <w:rPr>
                <w:rFonts w:eastAsia="Times New Roman"/>
                <w:color w:val="000000"/>
              </w:rPr>
              <w:t>N</w:t>
            </w:r>
          </w:p>
        </w:tc>
      </w:tr>
    </w:tbl>
    <w:p w14:paraId="49BCDF93" w14:textId="77777777" w:rsidR="00AC3C57" w:rsidRDefault="00AC3C57" w:rsidP="000E392F">
      <w:pPr>
        <w:pStyle w:val="ARbody"/>
      </w:pPr>
    </w:p>
    <w:p w14:paraId="6DD9D999" w14:textId="77777777" w:rsidR="00AC3C57" w:rsidRDefault="00AC3C57" w:rsidP="000E392F">
      <w:pPr>
        <w:pStyle w:val="ARbody"/>
        <w:sectPr w:rsidR="00AC3C57" w:rsidSect="007F43B1">
          <w:endnotePr>
            <w:numFmt w:val="decimal"/>
          </w:endnotePr>
          <w:pgSz w:w="16840" w:h="11900" w:orient="landscape" w:code="9"/>
          <w:pgMar w:top="1134" w:right="1134" w:bottom="851" w:left="1134" w:header="510" w:footer="340" w:gutter="0"/>
          <w:cols w:space="454"/>
          <w:docGrid w:linePitch="299"/>
        </w:sectPr>
      </w:pPr>
    </w:p>
    <w:p w14:paraId="597DC28F" w14:textId="4E6C4C1A" w:rsidR="00AC3C57" w:rsidRPr="00E74193" w:rsidRDefault="00AC3C57" w:rsidP="00CB26A9">
      <w:pPr>
        <w:pStyle w:val="Heading2"/>
        <w:spacing w:before="0"/>
      </w:pPr>
      <w:bookmarkStart w:id="180" w:name="_Information_and_communication"/>
      <w:bookmarkStart w:id="181" w:name="_Toc212039541"/>
      <w:bookmarkEnd w:id="180"/>
      <w:r w:rsidRPr="00E74193">
        <w:lastRenderedPageBreak/>
        <w:t>Information and communication technology</w:t>
      </w:r>
      <w:r w:rsidR="0089246F">
        <w:t> </w:t>
      </w:r>
      <w:r w:rsidRPr="00E74193">
        <w:t>expenditure</w:t>
      </w:r>
      <w:bookmarkEnd w:id="181"/>
    </w:p>
    <w:p w14:paraId="489DCB14" w14:textId="77777777" w:rsidR="00AC3C57" w:rsidRPr="00E74193" w:rsidRDefault="00AC3C57">
      <w:pPr>
        <w:pStyle w:val="ARbody"/>
      </w:pPr>
      <w:r w:rsidRPr="00E74193">
        <w:t>For the 202</w:t>
      </w:r>
      <w:r>
        <w:t>4–25</w:t>
      </w:r>
      <w:r w:rsidRPr="00E74193">
        <w:t xml:space="preserve"> reporting period, the department</w:t>
      </w:r>
      <w:r>
        <w:t>’s</w:t>
      </w:r>
      <w:r w:rsidRPr="00E74193">
        <w:t xml:space="preserve"> total ICT expenditure </w:t>
      </w:r>
      <w:r>
        <w:t>was</w:t>
      </w:r>
      <w:r w:rsidRPr="00E74193">
        <w:t xml:space="preserve"> $</w:t>
      </w:r>
      <w:r>
        <w:t>62,222,294</w:t>
      </w:r>
      <w:r w:rsidRPr="00E74193">
        <w:t>.</w:t>
      </w:r>
    </w:p>
    <w:p w14:paraId="6884A404" w14:textId="77777777" w:rsidR="00AC3C57" w:rsidRPr="00E74193" w:rsidRDefault="00AC3C57">
      <w:pPr>
        <w:pStyle w:val="ARtablecaption"/>
        <w:rPr>
          <w:szCs w:val="20"/>
        </w:rPr>
      </w:pPr>
      <w:r w:rsidRPr="00E74193">
        <w:t>Table 1</w:t>
      </w:r>
      <w:r>
        <w:t>1</w:t>
      </w:r>
      <w:r w:rsidRPr="00E74193">
        <w:t>: ICT expenditure 202</w:t>
      </w:r>
      <w:r>
        <w:t>4–25</w:t>
      </w:r>
    </w:p>
    <w:tbl>
      <w:tblPr>
        <w:tblStyle w:val="TableGrid"/>
        <w:tblW w:w="5000" w:type="pct"/>
        <w:tblLook w:val="06E0" w:firstRow="1" w:lastRow="1" w:firstColumn="1" w:lastColumn="0" w:noHBand="1" w:noVBand="1"/>
      </w:tblPr>
      <w:tblGrid>
        <w:gridCol w:w="6955"/>
        <w:gridCol w:w="2677"/>
      </w:tblGrid>
      <w:tr w:rsidR="00AC3C57" w:rsidRPr="00E74193" w14:paraId="26401C5F" w14:textId="77777777">
        <w:trPr>
          <w:cnfStyle w:val="100000000000" w:firstRow="1" w:lastRow="0" w:firstColumn="0" w:lastColumn="0" w:oddVBand="0" w:evenVBand="0" w:oddHBand="0" w:evenHBand="0" w:firstRowFirstColumn="0" w:firstRowLastColumn="0" w:lastRowFirstColumn="0" w:lastRowLastColumn="0"/>
          <w:tblHeader/>
        </w:trPr>
        <w:tc>
          <w:tcPr>
            <w:tcW w:w="3681" w:type="dxa"/>
          </w:tcPr>
          <w:p w14:paraId="439520EB" w14:textId="77777777" w:rsidR="00AC3C57" w:rsidRPr="00E74193" w:rsidRDefault="00AC3C57">
            <w:pPr>
              <w:pStyle w:val="ARtablecolhead"/>
              <w:spacing w:before="60" w:after="40"/>
            </w:pPr>
            <w:r w:rsidRPr="00E74193">
              <w:t>Expenditure</w:t>
            </w:r>
          </w:p>
        </w:tc>
        <w:tc>
          <w:tcPr>
            <w:tcW w:w="1417" w:type="dxa"/>
          </w:tcPr>
          <w:p w14:paraId="4B1CADB0" w14:textId="77777777" w:rsidR="00AC3C57" w:rsidRPr="00E74193" w:rsidRDefault="00AC3C57">
            <w:pPr>
              <w:pStyle w:val="ARtablecolheadright"/>
              <w:spacing w:before="60" w:after="40"/>
            </w:pPr>
            <w:r w:rsidRPr="00E74193">
              <w:t>($’000)</w:t>
            </w:r>
          </w:p>
        </w:tc>
      </w:tr>
      <w:tr w:rsidR="00AC3C57" w:rsidRPr="00E74193" w14:paraId="34AE2820" w14:textId="77777777">
        <w:tc>
          <w:tcPr>
            <w:tcW w:w="5098" w:type="dxa"/>
            <w:gridSpan w:val="2"/>
          </w:tcPr>
          <w:p w14:paraId="048D1D6A" w14:textId="77777777" w:rsidR="00AC3C57" w:rsidRPr="00E74193" w:rsidRDefault="00AC3C57">
            <w:pPr>
              <w:pStyle w:val="ARtablecolhead"/>
              <w:spacing w:before="60" w:after="40"/>
            </w:pPr>
            <w:r w:rsidRPr="00E74193">
              <w:t>Non-BAU ICT expenditure</w:t>
            </w:r>
          </w:p>
        </w:tc>
      </w:tr>
      <w:tr w:rsidR="00AC3C57" w:rsidRPr="00E74193" w14:paraId="51DAEF42" w14:textId="77777777">
        <w:tc>
          <w:tcPr>
            <w:tcW w:w="3681" w:type="dxa"/>
          </w:tcPr>
          <w:p w14:paraId="18462B72" w14:textId="77777777" w:rsidR="00AC3C57" w:rsidRPr="00E74193" w:rsidRDefault="00AC3C57">
            <w:pPr>
              <w:pStyle w:val="ARtabletext"/>
              <w:spacing w:before="60" w:after="40"/>
            </w:pPr>
            <w:r w:rsidRPr="00E74193">
              <w:t>Operational expenditure</w:t>
            </w:r>
          </w:p>
        </w:tc>
        <w:tc>
          <w:tcPr>
            <w:tcW w:w="1417" w:type="dxa"/>
          </w:tcPr>
          <w:p w14:paraId="56FD6365" w14:textId="77777777" w:rsidR="00AC3C57" w:rsidRPr="00E74193" w:rsidRDefault="00AC3C57">
            <w:pPr>
              <w:pStyle w:val="ARtabletextright"/>
              <w:spacing w:before="60" w:after="40"/>
            </w:pPr>
            <w:r>
              <w:t>24,403</w:t>
            </w:r>
          </w:p>
        </w:tc>
      </w:tr>
      <w:tr w:rsidR="00AC3C57" w:rsidRPr="00E74193" w14:paraId="5AD061B3" w14:textId="77777777">
        <w:tc>
          <w:tcPr>
            <w:tcW w:w="3681" w:type="dxa"/>
          </w:tcPr>
          <w:p w14:paraId="5719A173" w14:textId="77777777" w:rsidR="00AC3C57" w:rsidRPr="00E74193" w:rsidRDefault="00AC3C57">
            <w:pPr>
              <w:pStyle w:val="ARtabletext"/>
              <w:spacing w:before="60" w:after="40"/>
            </w:pPr>
            <w:r w:rsidRPr="00E74193">
              <w:t>Capital expenditure</w:t>
            </w:r>
          </w:p>
        </w:tc>
        <w:tc>
          <w:tcPr>
            <w:tcW w:w="1417" w:type="dxa"/>
          </w:tcPr>
          <w:p w14:paraId="0D5396E4" w14:textId="77777777" w:rsidR="00AC3C57" w:rsidRPr="00E74193" w:rsidRDefault="00AC3C57">
            <w:pPr>
              <w:pStyle w:val="ARtabletextright"/>
              <w:spacing w:before="60" w:after="40"/>
            </w:pPr>
            <w:r>
              <w:t>17,773</w:t>
            </w:r>
          </w:p>
        </w:tc>
      </w:tr>
      <w:tr w:rsidR="00AC3C57" w:rsidRPr="00E74193" w14:paraId="0E1C87BA" w14:textId="77777777">
        <w:tc>
          <w:tcPr>
            <w:tcW w:w="3681" w:type="dxa"/>
          </w:tcPr>
          <w:p w14:paraId="0740E4B3" w14:textId="77777777" w:rsidR="00AC3C57" w:rsidRPr="00E74193" w:rsidRDefault="00AC3C57">
            <w:pPr>
              <w:pStyle w:val="ARtabletextbold"/>
              <w:spacing w:before="60" w:after="40"/>
            </w:pPr>
            <w:r w:rsidRPr="00E74193">
              <w:t>Non-BAU ICT expenditure total (A)</w:t>
            </w:r>
          </w:p>
        </w:tc>
        <w:tc>
          <w:tcPr>
            <w:tcW w:w="1417" w:type="dxa"/>
          </w:tcPr>
          <w:p w14:paraId="5F92643E" w14:textId="77777777" w:rsidR="00AC3C57" w:rsidRPr="00E74193" w:rsidRDefault="00AC3C57">
            <w:pPr>
              <w:pStyle w:val="ARtabletextrightbold"/>
              <w:spacing w:before="60" w:after="40"/>
            </w:pPr>
            <w:r>
              <w:t>42,176</w:t>
            </w:r>
          </w:p>
        </w:tc>
      </w:tr>
      <w:tr w:rsidR="00AC3C57" w:rsidRPr="00E74193" w14:paraId="0F877723" w14:textId="77777777">
        <w:tc>
          <w:tcPr>
            <w:tcW w:w="3681" w:type="dxa"/>
          </w:tcPr>
          <w:p w14:paraId="778F9EF1" w14:textId="77777777" w:rsidR="00AC3C57" w:rsidRPr="00E74193" w:rsidRDefault="00AC3C57">
            <w:pPr>
              <w:pStyle w:val="ARtabletextbold"/>
              <w:spacing w:before="60" w:after="40"/>
            </w:pPr>
            <w:r w:rsidRPr="00E74193">
              <w:t>BAU ICT expenditure (B)</w:t>
            </w:r>
          </w:p>
        </w:tc>
        <w:tc>
          <w:tcPr>
            <w:tcW w:w="1417" w:type="dxa"/>
          </w:tcPr>
          <w:p w14:paraId="5BD1827A" w14:textId="77777777" w:rsidR="00AC3C57" w:rsidRPr="00E74193" w:rsidRDefault="00AC3C57">
            <w:pPr>
              <w:pStyle w:val="ARtabletextrightbold"/>
              <w:spacing w:before="60" w:after="40"/>
            </w:pPr>
            <w:r>
              <w:t>20,047</w:t>
            </w:r>
          </w:p>
        </w:tc>
      </w:tr>
      <w:tr w:rsidR="00AC3C57" w:rsidRPr="00E74193" w14:paraId="68EDD965" w14:textId="77777777">
        <w:trPr>
          <w:cnfStyle w:val="010000000000" w:firstRow="0" w:lastRow="1" w:firstColumn="0" w:lastColumn="0" w:oddVBand="0" w:evenVBand="0" w:oddHBand="0" w:evenHBand="0" w:firstRowFirstColumn="0" w:firstRowLastColumn="0" w:lastRowFirstColumn="0" w:lastRowLastColumn="0"/>
        </w:trPr>
        <w:tc>
          <w:tcPr>
            <w:tcW w:w="3681" w:type="dxa"/>
          </w:tcPr>
          <w:p w14:paraId="5AF23402" w14:textId="77777777" w:rsidR="00AC3C57" w:rsidRPr="00E74193" w:rsidRDefault="00AC3C57">
            <w:pPr>
              <w:pStyle w:val="ARtabletextbold"/>
              <w:spacing w:before="60" w:after="40"/>
            </w:pPr>
            <w:r w:rsidRPr="00E74193">
              <w:t>TOTAL (A + B)</w:t>
            </w:r>
          </w:p>
        </w:tc>
        <w:tc>
          <w:tcPr>
            <w:tcW w:w="1417" w:type="dxa"/>
          </w:tcPr>
          <w:p w14:paraId="18C216B5" w14:textId="77777777" w:rsidR="00AC3C57" w:rsidRPr="00E74193" w:rsidRDefault="00AC3C57">
            <w:pPr>
              <w:pStyle w:val="ARtabletextrightbold"/>
              <w:spacing w:before="60" w:after="40"/>
            </w:pPr>
            <w:r>
              <w:t>62,222</w:t>
            </w:r>
          </w:p>
        </w:tc>
      </w:tr>
    </w:tbl>
    <w:p w14:paraId="07B9E803" w14:textId="77777777" w:rsidR="00AC3C57" w:rsidRPr="00E74193" w:rsidRDefault="00AC3C57">
      <w:pPr>
        <w:pStyle w:val="ARtablefootnote"/>
      </w:pPr>
      <w:r w:rsidRPr="00E74193">
        <w:t>Notes:</w:t>
      </w:r>
    </w:p>
    <w:p w14:paraId="02067949" w14:textId="77777777" w:rsidR="00AC3C57" w:rsidRPr="00E74193" w:rsidRDefault="00AC3C57">
      <w:pPr>
        <w:pStyle w:val="ARtablefootnote"/>
      </w:pPr>
      <w:r w:rsidRPr="00E74193">
        <w:t>ICT expenditure refers to the department’s costs in providing business-enabling ICT services within the current reporting period.</w:t>
      </w:r>
    </w:p>
    <w:p w14:paraId="4D678FDB" w14:textId="77777777" w:rsidR="00AC3C57" w:rsidRPr="00E74193" w:rsidRDefault="00AC3C57">
      <w:pPr>
        <w:pStyle w:val="ARtablefootnote"/>
      </w:pPr>
      <w:r w:rsidRPr="00E74193">
        <w:t>It comprises business-as-usual (BAU) ICT expenditure and non-business-as-usual (non-BAU) ICT expenditure.</w:t>
      </w:r>
    </w:p>
    <w:p w14:paraId="19069017" w14:textId="77777777" w:rsidR="00AC3C57" w:rsidRPr="00E74193" w:rsidRDefault="00AC3C57">
      <w:pPr>
        <w:pStyle w:val="ARtablefootnote"/>
      </w:pPr>
      <w:r w:rsidRPr="00E74193">
        <w:t>Non-BAU ICT expenditure relates to projects to create or enhance the department’s current ICT capabilities.</w:t>
      </w:r>
    </w:p>
    <w:p w14:paraId="2BD2906F" w14:textId="77777777" w:rsidR="00AC3C57" w:rsidRPr="00E74193" w:rsidRDefault="00AC3C57">
      <w:pPr>
        <w:pStyle w:val="ARtablefootnote"/>
      </w:pPr>
      <w:r w:rsidRPr="00E74193">
        <w:t>BAU ICT expenditure is all remaining ICT expenditure, which primarily relates to ongoing activities to operate and maintain the current ICT capability.</w:t>
      </w:r>
    </w:p>
    <w:p w14:paraId="47FBB024" w14:textId="77777777" w:rsidR="00AC3C57" w:rsidRPr="00E74193" w:rsidRDefault="00AC3C57">
      <w:pPr>
        <w:pStyle w:val="ARtablefootnote"/>
      </w:pPr>
      <w:r w:rsidRPr="00E74193">
        <w:t>The total BAU and non-BAU ICT expenditure incurred within the reporting period is $1</w:t>
      </w:r>
      <w:r>
        <w:t>62.9</w:t>
      </w:r>
      <w:r w:rsidRPr="00E74193">
        <w:t xml:space="preserve"> million. For reporting purposes, all ICT expenditure relating to shared services for the Department of Families, Fairness and Housing (the department) and Department of Health is only reported in the Department of Health’s 202</w:t>
      </w:r>
      <w:r>
        <w:t>4–25</w:t>
      </w:r>
      <w:r w:rsidRPr="00E74193">
        <w:t xml:space="preserve"> annual report disclosure. The department’s component related to shared services is $</w:t>
      </w:r>
      <w:r>
        <w:t>100.7</w:t>
      </w:r>
      <w:r w:rsidRPr="00E74193">
        <w:t xml:space="preserve"> million.</w:t>
      </w:r>
    </w:p>
    <w:p w14:paraId="6F3A32A3" w14:textId="4DEF841F" w:rsidR="00CB26A9" w:rsidRDefault="00AC3C57">
      <w:pPr>
        <w:pStyle w:val="ARtablefootnote"/>
        <w:rPr>
          <w:rStyle w:val="Strong"/>
        </w:rPr>
      </w:pPr>
      <w:bookmarkStart w:id="182" w:name="_Hlk205995064"/>
      <w:r w:rsidRPr="00E74193">
        <w:rPr>
          <w:rStyle w:val="Strong"/>
        </w:rPr>
        <w:t xml:space="preserve">Note: there was an error </w:t>
      </w:r>
      <w:r>
        <w:rPr>
          <w:rStyle w:val="Strong"/>
        </w:rPr>
        <w:t xml:space="preserve">in the notes </w:t>
      </w:r>
      <w:r w:rsidRPr="00E74193">
        <w:rPr>
          <w:rStyle w:val="Strong"/>
        </w:rPr>
        <w:t xml:space="preserve">published in the </w:t>
      </w:r>
      <w:r>
        <w:rPr>
          <w:rStyle w:val="Strong"/>
        </w:rPr>
        <w:t>2023–</w:t>
      </w:r>
      <w:r w:rsidRPr="00E74193">
        <w:rPr>
          <w:rStyle w:val="Strong"/>
        </w:rPr>
        <w:t xml:space="preserve">24 annual report that understated the </w:t>
      </w:r>
      <w:r>
        <w:rPr>
          <w:rStyle w:val="Strong"/>
        </w:rPr>
        <w:t xml:space="preserve">departments contribution to shared services related to </w:t>
      </w:r>
      <w:r w:rsidRPr="00E74193">
        <w:rPr>
          <w:rStyle w:val="Strong"/>
        </w:rPr>
        <w:t>ICT expenditure</w:t>
      </w:r>
      <w:r>
        <w:rPr>
          <w:rStyle w:val="Strong"/>
        </w:rPr>
        <w:t>, reported as $96.8 million,</w:t>
      </w:r>
      <w:r w:rsidRPr="00E74193">
        <w:rPr>
          <w:rStyle w:val="Strong"/>
        </w:rPr>
        <w:t xml:space="preserve"> </w:t>
      </w:r>
      <w:r>
        <w:rPr>
          <w:rStyle w:val="Strong"/>
        </w:rPr>
        <w:t>by</w:t>
      </w:r>
      <w:r w:rsidRPr="00E74193">
        <w:rPr>
          <w:rStyle w:val="Strong"/>
        </w:rPr>
        <w:t xml:space="preserve"> $</w:t>
      </w:r>
      <w:r>
        <w:rPr>
          <w:rStyle w:val="Strong"/>
        </w:rPr>
        <w:t>11.4</w:t>
      </w:r>
      <w:r w:rsidRPr="00E74193">
        <w:rPr>
          <w:rStyle w:val="Strong"/>
        </w:rPr>
        <w:t xml:space="preserve"> million. The correct </w:t>
      </w:r>
      <w:r>
        <w:rPr>
          <w:rStyle w:val="Strong"/>
        </w:rPr>
        <w:t>amount for the department’s contribution for shared services in 20</w:t>
      </w:r>
      <w:r w:rsidRPr="00E74193">
        <w:rPr>
          <w:rStyle w:val="Strong"/>
        </w:rPr>
        <w:t>2</w:t>
      </w:r>
      <w:r>
        <w:rPr>
          <w:rStyle w:val="Strong"/>
        </w:rPr>
        <w:t>3</w:t>
      </w:r>
      <w:r w:rsidR="007D4378">
        <w:rPr>
          <w:rStyle w:val="Strong"/>
        </w:rPr>
        <w:t>–</w:t>
      </w:r>
      <w:r>
        <w:rPr>
          <w:rStyle w:val="Strong"/>
        </w:rPr>
        <w:t>24</w:t>
      </w:r>
      <w:r w:rsidRPr="00E74193">
        <w:rPr>
          <w:rStyle w:val="Strong"/>
        </w:rPr>
        <w:t xml:space="preserve"> is $</w:t>
      </w:r>
      <w:r>
        <w:rPr>
          <w:rStyle w:val="Strong"/>
        </w:rPr>
        <w:t>108.2</w:t>
      </w:r>
      <w:r w:rsidRPr="00E74193">
        <w:rPr>
          <w:rStyle w:val="Strong"/>
        </w:rPr>
        <w:t xml:space="preserve"> million</w:t>
      </w:r>
    </w:p>
    <w:p w14:paraId="62B9DC96" w14:textId="77777777" w:rsidR="00AC3C57" w:rsidRPr="00885564" w:rsidRDefault="00AC3C57">
      <w:pPr>
        <w:pStyle w:val="Heading2"/>
        <w:spacing w:after="160"/>
        <w:rPr>
          <w:highlight w:val="cyan"/>
        </w:rPr>
        <w:sectPr w:rsidR="00AC3C57" w:rsidRPr="00885564" w:rsidSect="007F43B1">
          <w:headerReference w:type="even" r:id="rId108"/>
          <w:footerReference w:type="even" r:id="rId109"/>
          <w:footerReference w:type="default" r:id="rId110"/>
          <w:headerReference w:type="first" r:id="rId111"/>
          <w:footerReference w:type="first" r:id="rId112"/>
          <w:endnotePr>
            <w:numFmt w:val="decimal"/>
          </w:endnotePr>
          <w:pgSz w:w="11900" w:h="16840" w:code="9"/>
          <w:pgMar w:top="1588" w:right="1134" w:bottom="851" w:left="1134" w:header="510" w:footer="340" w:gutter="0"/>
          <w:cols w:space="454"/>
        </w:sectPr>
      </w:pPr>
      <w:bookmarkStart w:id="183" w:name="_Disclosure_of_major"/>
      <w:bookmarkStart w:id="184" w:name="_Toc82006204"/>
      <w:bookmarkStart w:id="185" w:name="_Toc112791117"/>
      <w:bookmarkStart w:id="186" w:name="_Toc149587053"/>
      <w:bookmarkStart w:id="187" w:name="_Toc212039542"/>
      <w:bookmarkEnd w:id="182"/>
      <w:bookmarkEnd w:id="183"/>
      <w:r w:rsidRPr="00FB78D0">
        <w:t>Disclosure of major contracts</w:t>
      </w:r>
      <w:bookmarkEnd w:id="184"/>
      <w:bookmarkEnd w:id="185"/>
      <w:bookmarkEnd w:id="186"/>
      <w:bookmarkEnd w:id="187"/>
    </w:p>
    <w:p w14:paraId="0F503EFC" w14:textId="77777777" w:rsidR="00AC3C57" w:rsidRDefault="00AC3C57">
      <w:pPr>
        <w:pStyle w:val="ARbody"/>
      </w:pPr>
      <w:r w:rsidRPr="00FB78D0">
        <w:t xml:space="preserve">In accordance with the requirements of government policy and accompanying guidelines, the department disclosed all contracts greater than $10 million in value </w:t>
      </w:r>
      <w:proofErr w:type="gramStart"/>
      <w:r w:rsidRPr="00FB78D0">
        <w:t>entered into</w:t>
      </w:r>
      <w:proofErr w:type="gramEnd"/>
      <w:r w:rsidRPr="00FB78D0">
        <w:t xml:space="preserve"> during the year ending 30 June 202</w:t>
      </w:r>
      <w:r>
        <w:t>5</w:t>
      </w:r>
      <w:r w:rsidRPr="00FB78D0">
        <w:t xml:space="preserve">. </w:t>
      </w:r>
    </w:p>
    <w:p w14:paraId="148D10E2" w14:textId="7015ACEF" w:rsidR="00AC3C57" w:rsidRDefault="00AC3C57">
      <w:pPr>
        <w:pStyle w:val="ARbody"/>
      </w:pPr>
      <w:r>
        <w:t>D</w:t>
      </w:r>
      <w:r w:rsidRPr="00FB78D0">
        <w:t xml:space="preserve">etails of contracts disclosed in the Victorian Government contracts publishing system can be viewed at the government’s </w:t>
      </w:r>
      <w:hyperlink r:id="rId113" w:history="1">
        <w:proofErr w:type="gramStart"/>
        <w:r w:rsidRPr="00FB78D0">
          <w:rPr>
            <w:rStyle w:val="Hyperlink"/>
          </w:rPr>
          <w:t>tenders</w:t>
        </w:r>
        <w:proofErr w:type="gramEnd"/>
        <w:r w:rsidRPr="00FB78D0">
          <w:rPr>
            <w:rStyle w:val="Hyperlink"/>
          </w:rPr>
          <w:t xml:space="preserve"> website</w:t>
        </w:r>
      </w:hyperlink>
      <w:r w:rsidR="00D62CC4">
        <w:t>.</w:t>
      </w:r>
      <w:r w:rsidR="00D62CC4">
        <w:rPr>
          <w:rStyle w:val="FootnoteReference"/>
        </w:rPr>
        <w:footnoteReference w:id="23"/>
      </w:r>
    </w:p>
    <w:p w14:paraId="02CD5E96" w14:textId="77777777" w:rsidR="00AC3C57" w:rsidRPr="009739D2" w:rsidRDefault="00AC3C57">
      <w:pPr>
        <w:pStyle w:val="ARbody"/>
      </w:pPr>
      <w:r w:rsidRPr="00FB78D0">
        <w:t>Contractual details are not disclosed for contracts where disclosure is exempt under the </w:t>
      </w:r>
      <w:r w:rsidRPr="00E06E63">
        <w:rPr>
          <w:rStyle w:val="Emphasis"/>
        </w:rPr>
        <w:t>Freedom of Information Act 1982 o</w:t>
      </w:r>
      <w:r w:rsidRPr="00FB78D0">
        <w:t>r government guidelines.</w:t>
      </w:r>
    </w:p>
    <w:p w14:paraId="1BB2419D" w14:textId="77777777" w:rsidR="00AC3C57" w:rsidRPr="00F66228" w:rsidRDefault="00AC3C57">
      <w:pPr>
        <w:pStyle w:val="Heading2"/>
        <w:spacing w:after="160"/>
      </w:pPr>
      <w:bookmarkStart w:id="188" w:name="_Toc212039543"/>
      <w:r w:rsidRPr="00F66228">
        <w:t>Disclosure of grants and transfer payments</w:t>
      </w:r>
      <w:bookmarkEnd w:id="188"/>
    </w:p>
    <w:p w14:paraId="317B5262" w14:textId="77777777" w:rsidR="00AC3C57" w:rsidRPr="00F66228" w:rsidRDefault="00AC3C57">
      <w:pPr>
        <w:pStyle w:val="ARbody"/>
        <w:rPr>
          <w:szCs w:val="20"/>
        </w:rPr>
      </w:pPr>
      <w:r w:rsidRPr="00F66228">
        <w:rPr>
          <w:szCs w:val="20"/>
        </w:rPr>
        <w:t xml:space="preserve">The department supported </w:t>
      </w:r>
      <w:r>
        <w:rPr>
          <w:szCs w:val="20"/>
        </w:rPr>
        <w:t>many</w:t>
      </w:r>
      <w:r w:rsidRPr="00F66228">
        <w:rPr>
          <w:szCs w:val="20"/>
        </w:rPr>
        <w:t xml:space="preserve"> not-for-profit community organisations,</w:t>
      </w:r>
      <w:r w:rsidRPr="00F66228" w:rsidDel="00F91A0E">
        <w:rPr>
          <w:szCs w:val="20"/>
        </w:rPr>
        <w:t xml:space="preserve"> </w:t>
      </w:r>
      <w:r w:rsidRPr="00F66228">
        <w:rPr>
          <w:szCs w:val="20"/>
        </w:rPr>
        <w:t>local governments and schools to deliver services, supports and projects across Victoria.</w:t>
      </w:r>
    </w:p>
    <w:p w14:paraId="63145610" w14:textId="77777777" w:rsidR="00AC3C57" w:rsidRPr="00F66228" w:rsidRDefault="00AC3C57">
      <w:pPr>
        <w:pStyle w:val="ARbody"/>
        <w:rPr>
          <w:szCs w:val="20"/>
        </w:rPr>
      </w:pPr>
      <w:r w:rsidRPr="00F66228">
        <w:rPr>
          <w:szCs w:val="20"/>
        </w:rPr>
        <w:t xml:space="preserve">The department uses the </w:t>
      </w:r>
      <w:r>
        <w:rPr>
          <w:szCs w:val="20"/>
        </w:rPr>
        <w:t xml:space="preserve">following </w:t>
      </w:r>
      <w:r w:rsidRPr="00F66228">
        <w:rPr>
          <w:szCs w:val="20"/>
        </w:rPr>
        <w:t>definition of a grant</w:t>
      </w:r>
      <w:r>
        <w:rPr>
          <w:szCs w:val="20"/>
        </w:rPr>
        <w:t>:</w:t>
      </w:r>
      <w:r w:rsidRPr="00F66228">
        <w:rPr>
          <w:szCs w:val="20"/>
        </w:rPr>
        <w:t xml:space="preserve"> money given to organisations for a specified purpose directed at achieving goals and objectives consistent with government policy. The </w:t>
      </w:r>
      <w:r>
        <w:rPr>
          <w:szCs w:val="20"/>
        </w:rPr>
        <w:t>department delivered grands</w:t>
      </w:r>
      <w:r w:rsidRPr="00F66228">
        <w:rPr>
          <w:szCs w:val="20"/>
        </w:rPr>
        <w:t xml:space="preserve"> using the standard Victorian Common Funding Agreement</w:t>
      </w:r>
      <w:r>
        <w:rPr>
          <w:szCs w:val="20"/>
        </w:rPr>
        <w:t>. This is t</w:t>
      </w:r>
      <w:r w:rsidRPr="00F66228">
        <w:rPr>
          <w:szCs w:val="20"/>
        </w:rPr>
        <w:t>he required contract for Victorian Government grant delivery.</w:t>
      </w:r>
    </w:p>
    <w:p w14:paraId="1E368333" w14:textId="16DD6CD8" w:rsidR="00626393" w:rsidRDefault="00AC3C57">
      <w:pPr>
        <w:pStyle w:val="ARbody"/>
      </w:pPr>
      <w:r w:rsidRPr="00F66228">
        <w:t xml:space="preserve">Grants paid in 2024–25 </w:t>
      </w:r>
      <w:proofErr w:type="gramStart"/>
      <w:r w:rsidRPr="00F66228">
        <w:t>are</w:t>
      </w:r>
      <w:proofErr w:type="gramEnd"/>
      <w:r w:rsidRPr="00F66228">
        <w:t xml:space="preserve"> listed in </w:t>
      </w:r>
      <w:r>
        <w:t>‘</w:t>
      </w:r>
      <w:r w:rsidRPr="00F66228">
        <w:t>Appendix 3: Grants and transfer payments</w:t>
      </w:r>
      <w:r>
        <w:t>’</w:t>
      </w:r>
      <w:r w:rsidRPr="00F66228">
        <w:t>.</w:t>
      </w:r>
      <w:r w:rsidR="00626393">
        <w:br w:type="page"/>
      </w:r>
    </w:p>
    <w:p w14:paraId="2C53F7C5" w14:textId="77777777" w:rsidR="00AC3C57" w:rsidRPr="00381B78" w:rsidRDefault="00AC3C57" w:rsidP="008071FB">
      <w:pPr>
        <w:pStyle w:val="Heading2"/>
        <w:spacing w:before="0"/>
        <w:sectPr w:rsidR="00AC3C57" w:rsidRPr="00381B78" w:rsidSect="007F43B1">
          <w:headerReference w:type="even" r:id="rId114"/>
          <w:footerReference w:type="even" r:id="rId115"/>
          <w:footerReference w:type="default" r:id="rId116"/>
          <w:headerReference w:type="first" r:id="rId117"/>
          <w:footerReference w:type="first" r:id="rId118"/>
          <w:endnotePr>
            <w:numFmt w:val="decimal"/>
          </w:endnotePr>
          <w:type w:val="continuous"/>
          <w:pgSz w:w="11900" w:h="16840" w:code="9"/>
          <w:pgMar w:top="1588" w:right="1134" w:bottom="851" w:left="1134" w:header="510" w:footer="340" w:gutter="0"/>
          <w:cols w:space="454"/>
        </w:sectPr>
      </w:pPr>
      <w:bookmarkStart w:id="189" w:name="_Social_procurement_framework"/>
      <w:bookmarkStart w:id="190" w:name="_Toc114491206"/>
      <w:bookmarkStart w:id="191" w:name="_Toc149587055"/>
      <w:bookmarkStart w:id="192" w:name="_Toc212039544"/>
      <w:bookmarkEnd w:id="189"/>
      <w:r w:rsidRPr="00381B78">
        <w:lastRenderedPageBreak/>
        <w:t xml:space="preserve">Social procurement </w:t>
      </w:r>
      <w:bookmarkEnd w:id="190"/>
      <w:r w:rsidRPr="008071FB">
        <w:t>framework</w:t>
      </w:r>
      <w:bookmarkEnd w:id="191"/>
      <w:bookmarkEnd w:id="192"/>
    </w:p>
    <w:p w14:paraId="2C551BE8" w14:textId="77777777" w:rsidR="00AC3C57" w:rsidRPr="00BD5E85" w:rsidRDefault="00AC3C57">
      <w:pPr>
        <w:pStyle w:val="ARbody"/>
      </w:pPr>
      <w:r w:rsidRPr="00BD5E85">
        <w:t>The department leverages its buying power to deliver social, economic and environmental outcomes</w:t>
      </w:r>
      <w:r>
        <w:t>. These</w:t>
      </w:r>
      <w:r w:rsidRPr="00BD5E85">
        <w:t xml:space="preserve"> benefit the Victorian community, the economy and the environment – above and beyond the goods, services and construction works procured.</w:t>
      </w:r>
    </w:p>
    <w:p w14:paraId="581C56DE" w14:textId="77777777" w:rsidR="00AC3C57" w:rsidRDefault="00AC3C57">
      <w:pPr>
        <w:pStyle w:val="ARbody"/>
      </w:pPr>
      <w:r w:rsidRPr="00BD5E85">
        <w:t xml:space="preserve">It is guided by the Victorian Government’s </w:t>
      </w:r>
      <w:r w:rsidRPr="00E06E63">
        <w:rPr>
          <w:rStyle w:val="Emphasis"/>
        </w:rPr>
        <w:t>Social procurement framework,</w:t>
      </w:r>
      <w:r w:rsidRPr="00BD5E85">
        <w:t xml:space="preserve"> released in April 2018. This framework applies to the procurement of all goods, services and construction undertaken by, or on behalf of, the department. </w:t>
      </w:r>
    </w:p>
    <w:p w14:paraId="523D5658" w14:textId="77777777" w:rsidR="00AC3C57" w:rsidRPr="00BD5E85" w:rsidRDefault="00AC3C57">
      <w:pPr>
        <w:pStyle w:val="ARbody"/>
      </w:pPr>
      <w:r w:rsidRPr="00BD5E85">
        <w:t>It is defined by 10 objectives, with the following 4 priority objectives chosen for both</w:t>
      </w:r>
      <w:r>
        <w:t xml:space="preserve"> g</w:t>
      </w:r>
      <w:r w:rsidRPr="00BD5E85">
        <w:t xml:space="preserve">oods and </w:t>
      </w:r>
      <w:r>
        <w:t>s</w:t>
      </w:r>
      <w:r w:rsidRPr="00BD5E85">
        <w:t>ervices and </w:t>
      </w:r>
      <w:r>
        <w:t>p</w:t>
      </w:r>
      <w:r w:rsidRPr="00BD5E85">
        <w:t xml:space="preserve">ublic </w:t>
      </w:r>
      <w:r>
        <w:t>c</w:t>
      </w:r>
      <w:r w:rsidRPr="00BD5E85">
        <w:t>onstruction:</w:t>
      </w:r>
    </w:p>
    <w:p w14:paraId="162643B1" w14:textId="77777777" w:rsidR="00AC3C57" w:rsidRPr="00BD5E85" w:rsidRDefault="00AC3C57">
      <w:pPr>
        <w:pStyle w:val="ARbullet1"/>
      </w:pPr>
      <w:r w:rsidRPr="00BD5E85">
        <w:t>opportunities for Victorian Aboriginal people</w:t>
      </w:r>
    </w:p>
    <w:p w14:paraId="54FF88FC" w14:textId="77777777" w:rsidR="00AC3C57" w:rsidRPr="00BD5E85" w:rsidRDefault="00AC3C57">
      <w:pPr>
        <w:pStyle w:val="ARbullet1"/>
      </w:pPr>
      <w:r w:rsidRPr="00BD5E85">
        <w:t>opportunities for Victorians with disability</w:t>
      </w:r>
    </w:p>
    <w:p w14:paraId="6A37016A" w14:textId="77777777" w:rsidR="00AC3C57" w:rsidRPr="00BD5E85" w:rsidRDefault="00AC3C57">
      <w:pPr>
        <w:pStyle w:val="ARbullet1"/>
      </w:pPr>
      <w:r w:rsidRPr="00BD5E85">
        <w:t>women’s equality and safety</w:t>
      </w:r>
    </w:p>
    <w:p w14:paraId="5B3E1F7D" w14:textId="77777777" w:rsidR="00AC3C57" w:rsidRPr="00BD5E85" w:rsidRDefault="00AC3C57">
      <w:pPr>
        <w:pStyle w:val="ARbullet1"/>
      </w:pPr>
      <w:r w:rsidRPr="00BD5E85">
        <w:t>opportunities for Victorian priority jobseekers.</w:t>
      </w:r>
    </w:p>
    <w:p w14:paraId="794AF265" w14:textId="77777777" w:rsidR="00AC3C57" w:rsidRPr="00BD5E85" w:rsidRDefault="00AC3C57">
      <w:pPr>
        <w:pStyle w:val="Heading3"/>
      </w:pPr>
      <w:r w:rsidRPr="00BD5E85">
        <w:t>Social procurement initiatives</w:t>
      </w:r>
    </w:p>
    <w:p w14:paraId="4B4213C9" w14:textId="77777777" w:rsidR="00AC3C57" w:rsidRDefault="00AC3C57">
      <w:pPr>
        <w:pStyle w:val="ARbody"/>
      </w:pPr>
      <w:r w:rsidRPr="00AB6E69">
        <w:t>During 2024–25, social value requirements were applied to a variety of procurement activities, including the procurement of goods, services and construction works.</w:t>
      </w:r>
    </w:p>
    <w:p w14:paraId="40FDF30A" w14:textId="77777777" w:rsidR="00AC3C57" w:rsidRPr="00AB6E69" w:rsidRDefault="00AC3C57">
      <w:pPr>
        <w:pStyle w:val="ARbody"/>
      </w:pPr>
      <w:r w:rsidRPr="00AB6E69">
        <w:t xml:space="preserve">The department undertook several initiatives to support its </w:t>
      </w:r>
      <w:proofErr w:type="gramStart"/>
      <w:r w:rsidRPr="00E06E63">
        <w:rPr>
          <w:rStyle w:val="Emphasis"/>
        </w:rPr>
        <w:t>Social</w:t>
      </w:r>
      <w:proofErr w:type="gramEnd"/>
      <w:r w:rsidRPr="00E06E63">
        <w:rPr>
          <w:rStyle w:val="Emphasis"/>
        </w:rPr>
        <w:t xml:space="preserve"> procurement strategy </w:t>
      </w:r>
      <w:r w:rsidRPr="00AB6E69">
        <w:t>including:</w:t>
      </w:r>
    </w:p>
    <w:p w14:paraId="6961AB7C" w14:textId="77777777" w:rsidR="00AC3C57" w:rsidRPr="00AB6E69" w:rsidRDefault="00AC3C57">
      <w:pPr>
        <w:pStyle w:val="ARbullet1"/>
      </w:pPr>
      <w:r w:rsidRPr="00AB6E69">
        <w:t>embedding partnerships with key social procurement delivery partners</w:t>
      </w:r>
    </w:p>
    <w:p w14:paraId="62FCA09E" w14:textId="77777777" w:rsidR="00AC3C57" w:rsidRPr="00AB6E69" w:rsidRDefault="00AC3C57">
      <w:pPr>
        <w:pStyle w:val="ARbullet1"/>
      </w:pPr>
      <w:r w:rsidRPr="00AB6E69">
        <w:t>continued membership with Social Traders</w:t>
      </w:r>
    </w:p>
    <w:p w14:paraId="634BFABF" w14:textId="77777777" w:rsidR="002F6D1F" w:rsidRDefault="00AC3C57">
      <w:pPr>
        <w:pStyle w:val="ARbullet1"/>
      </w:pPr>
      <w:r w:rsidRPr="00AB6E69">
        <w:t xml:space="preserve">continued membership and regular meetings with </w:t>
      </w:r>
      <w:proofErr w:type="spellStart"/>
      <w:r w:rsidRPr="00AB6E69">
        <w:t>Kinaway</w:t>
      </w:r>
      <w:proofErr w:type="spellEnd"/>
      <w:r w:rsidRPr="00AB6E69">
        <w:t>, in partnership with Homes Victoria</w:t>
      </w:r>
    </w:p>
    <w:p w14:paraId="7F00F3C4" w14:textId="664795D5" w:rsidR="00AC3C57" w:rsidRPr="00AB6E69" w:rsidRDefault="002F6D1F">
      <w:pPr>
        <w:pStyle w:val="ARbullet1"/>
      </w:pPr>
      <w:r>
        <w:br w:type="column"/>
      </w:r>
      <w:r w:rsidR="00AC3C57" w:rsidRPr="00AB6E69">
        <w:t>providing education and training to staff on social procurement</w:t>
      </w:r>
      <w:r w:rsidR="00AC3C57">
        <w:t>. This includes</w:t>
      </w:r>
      <w:r w:rsidR="00AC3C57" w:rsidRPr="00AB6E69">
        <w:t xml:space="preserve"> specialist advisor evaluation support on large procurement contracts</w:t>
      </w:r>
    </w:p>
    <w:p w14:paraId="6294ABB9" w14:textId="77777777" w:rsidR="00AC3C57" w:rsidRPr="00AB6E69" w:rsidRDefault="00AC3C57">
      <w:pPr>
        <w:pStyle w:val="ARbullet1"/>
      </w:pPr>
      <w:r w:rsidRPr="00AB6E69">
        <w:t>building awareness and understanding of the impact of social procurement through all staff communication and engagement activities</w:t>
      </w:r>
    </w:p>
    <w:p w14:paraId="7C8CCC6B" w14:textId="77777777" w:rsidR="00AC3C57" w:rsidRDefault="00AC3C57">
      <w:pPr>
        <w:pStyle w:val="ARbullet1"/>
      </w:pPr>
      <w:r w:rsidRPr="00AB6E69">
        <w:t>delivery of the Homes Victoria Excellence in Social Procurement Award 2024 in partnership with Master Builders Victoria.</w:t>
      </w:r>
    </w:p>
    <w:p w14:paraId="408B1A82" w14:textId="74B72598" w:rsidR="00AC3C57" w:rsidRPr="00BB2F35" w:rsidRDefault="00AC3C57" w:rsidP="002F6D1F">
      <w:pPr>
        <w:pStyle w:val="Heading3"/>
      </w:pPr>
      <w:r w:rsidRPr="00BB2F35">
        <w:t>Social procurement achievements 2024–25</w:t>
      </w:r>
    </w:p>
    <w:p w14:paraId="3384CDF6" w14:textId="77777777" w:rsidR="00AC3C57" w:rsidRPr="00BB2F35" w:rsidRDefault="00AC3C57">
      <w:pPr>
        <w:pStyle w:val="ARbody"/>
      </w:pPr>
      <w:r w:rsidRPr="00BB2F35">
        <w:t>During 2024–25, the department:</w:t>
      </w:r>
    </w:p>
    <w:p w14:paraId="08DE1CF4" w14:textId="77777777" w:rsidR="00AC3C57" w:rsidRPr="00BB2F35" w:rsidRDefault="00AC3C57">
      <w:pPr>
        <w:pStyle w:val="ARbullet1"/>
      </w:pPr>
      <w:r w:rsidRPr="00BB2F35">
        <w:t>engaged 98 social benefit suppliers</w:t>
      </w:r>
    </w:p>
    <w:p w14:paraId="4C097429" w14:textId="77777777" w:rsidR="00AC3C57" w:rsidRPr="00BB2F35" w:rsidRDefault="00AC3C57">
      <w:pPr>
        <w:pStyle w:val="ARbullet1"/>
      </w:pPr>
      <w:r w:rsidRPr="00BB2F35">
        <w:t>spent a total of $8.24 million with certified social enterprises, Aboriginal businesses and traditional owner corporations and disability enterprises.</w:t>
      </w:r>
    </w:p>
    <w:p w14:paraId="21BA3997" w14:textId="77777777" w:rsidR="00AC3C57" w:rsidRPr="00BB2F35" w:rsidRDefault="00AC3C57">
      <w:pPr>
        <w:pStyle w:val="Heading3"/>
      </w:pPr>
      <w:r w:rsidRPr="00BB2F35">
        <w:t>Aboriginal business engagement</w:t>
      </w:r>
    </w:p>
    <w:p w14:paraId="00401087" w14:textId="77777777" w:rsidR="00AC3C57" w:rsidRPr="00BB2F35" w:rsidRDefault="00AC3C57">
      <w:pPr>
        <w:pStyle w:val="ARbody"/>
      </w:pPr>
      <w:r w:rsidRPr="00BB2F35">
        <w:t>During 2024–25 the department:</w:t>
      </w:r>
    </w:p>
    <w:p w14:paraId="34C6C723" w14:textId="77777777" w:rsidR="00AC3C57" w:rsidRPr="00BB2F35" w:rsidRDefault="00AC3C57">
      <w:pPr>
        <w:pStyle w:val="ARbullet1"/>
      </w:pPr>
      <w:r w:rsidRPr="00BB2F35">
        <w:t>engaged 42 Aboriginal businesses and Traditional owner corporations</w:t>
      </w:r>
    </w:p>
    <w:p w14:paraId="1BA737CA" w14:textId="0E6EDD14" w:rsidR="004D27AD" w:rsidRDefault="00AC3C57" w:rsidP="004D27AD">
      <w:pPr>
        <w:pStyle w:val="ARbullet1"/>
      </w:pPr>
      <w:r w:rsidRPr="00BB2F35">
        <w:t>spent a total of $2.25 million with Aboriginal businesses and traditional owner corporations.</w:t>
      </w:r>
    </w:p>
    <w:p w14:paraId="54AB6178" w14:textId="77777777" w:rsidR="002F6D1F" w:rsidRDefault="002F6D1F" w:rsidP="002F6D1F">
      <w:pPr>
        <w:pStyle w:val="ARbody"/>
        <w:sectPr w:rsidR="002F6D1F" w:rsidSect="007F43B1">
          <w:headerReference w:type="even" r:id="rId119"/>
          <w:headerReference w:type="default" r:id="rId120"/>
          <w:footerReference w:type="even" r:id="rId121"/>
          <w:footerReference w:type="default" r:id="rId122"/>
          <w:headerReference w:type="first" r:id="rId123"/>
          <w:footerReference w:type="first" r:id="rId124"/>
          <w:endnotePr>
            <w:numFmt w:val="decimal"/>
          </w:endnotePr>
          <w:type w:val="continuous"/>
          <w:pgSz w:w="11900" w:h="16840" w:code="9"/>
          <w:pgMar w:top="1588" w:right="1134" w:bottom="851" w:left="1134" w:header="510" w:footer="340" w:gutter="0"/>
          <w:cols w:num="2" w:space="448"/>
          <w:docGrid w:linePitch="299"/>
        </w:sectPr>
      </w:pPr>
    </w:p>
    <w:p w14:paraId="134E17EF" w14:textId="77777777" w:rsidR="008071FB" w:rsidRDefault="00AC3C57" w:rsidP="002F6D1F">
      <w:pPr>
        <w:pStyle w:val="Heading2"/>
        <w:spacing w:before="0"/>
        <w:sectPr w:rsidR="008071FB" w:rsidSect="007F43B1">
          <w:headerReference w:type="even" r:id="rId125"/>
          <w:headerReference w:type="default" r:id="rId126"/>
          <w:footerReference w:type="even" r:id="rId127"/>
          <w:footerReference w:type="default" r:id="rId128"/>
          <w:headerReference w:type="first" r:id="rId129"/>
          <w:footerReference w:type="first" r:id="rId130"/>
          <w:endnotePr>
            <w:numFmt w:val="decimal"/>
          </w:endnotePr>
          <w:pgSz w:w="11900" w:h="16840" w:code="9"/>
          <w:pgMar w:top="1588" w:right="1134" w:bottom="851" w:left="1134" w:header="510" w:footer="340" w:gutter="0"/>
          <w:cols w:space="454"/>
          <w:docGrid w:linePitch="326"/>
        </w:sectPr>
      </w:pPr>
      <w:bookmarkStart w:id="193" w:name="_Compliance_with_the"/>
      <w:bookmarkStart w:id="194" w:name="_Toc114491208"/>
      <w:bookmarkStart w:id="195" w:name="_Ref146703992"/>
      <w:bookmarkStart w:id="196" w:name="_Ref146704845"/>
      <w:bookmarkStart w:id="197" w:name="_Toc149587057"/>
      <w:bookmarkStart w:id="198" w:name="_Toc212039545"/>
      <w:bookmarkEnd w:id="193"/>
      <w:r w:rsidRPr="00D867A4">
        <w:lastRenderedPageBreak/>
        <w:t>Compliance with the Building Act</w:t>
      </w:r>
      <w:bookmarkEnd w:id="194"/>
      <w:bookmarkEnd w:id="195"/>
      <w:bookmarkEnd w:id="196"/>
      <w:bookmarkEnd w:id="197"/>
      <w:bookmarkEnd w:id="198"/>
    </w:p>
    <w:p w14:paraId="08148BD9" w14:textId="77777777" w:rsidR="00AC3C57" w:rsidRPr="00D867A4" w:rsidRDefault="00AC3C57" w:rsidP="00D119D2">
      <w:pPr>
        <w:pStyle w:val="ARbody"/>
        <w:spacing w:line="252" w:lineRule="auto"/>
      </w:pPr>
      <w:r w:rsidRPr="00D867A4">
        <w:t xml:space="preserve">The </w:t>
      </w:r>
      <w:r w:rsidRPr="00E06E63">
        <w:rPr>
          <w:rStyle w:val="Emphasis"/>
        </w:rPr>
        <w:t xml:space="preserve">Building Act 1993 </w:t>
      </w:r>
      <w:r w:rsidRPr="00D867A4">
        <w:t>(the Act) regulates building and plumbing work, practitioners, and standards in Victoria. This includes building construction, building standards and the maintenance of specific building safety features. The Act also provides for an accreditation and permit scheme across the building and plumbing industries.</w:t>
      </w:r>
    </w:p>
    <w:p w14:paraId="1745B583" w14:textId="77777777" w:rsidR="00AC3C57" w:rsidRPr="00D867A4" w:rsidRDefault="00AC3C57" w:rsidP="00D119D2">
      <w:pPr>
        <w:pStyle w:val="ARbody"/>
        <w:spacing w:line="252" w:lineRule="auto"/>
      </w:pPr>
      <w:r w:rsidRPr="00D867A4">
        <w:t xml:space="preserve">The department </w:t>
      </w:r>
      <w:r>
        <w:t>complies</w:t>
      </w:r>
      <w:r w:rsidRPr="00D867A4">
        <w:t xml:space="preserve"> with its obligations under the Ac</w:t>
      </w:r>
      <w:r>
        <w:t xml:space="preserve">t. We </w:t>
      </w:r>
      <w:r w:rsidRPr="00D867A4">
        <w:t>ensur</w:t>
      </w:r>
      <w:r>
        <w:t>e</w:t>
      </w:r>
      <w:r w:rsidRPr="00D867A4">
        <w:t xml:space="preserve"> those </w:t>
      </w:r>
      <w:r>
        <w:t>who</w:t>
      </w:r>
      <w:r w:rsidRPr="00D867A4">
        <w:t xml:space="preserve"> build on our behalf also follow the Act. This ensures the health and safety of the thousands of Victorians who live and work in the department’s buildings.</w:t>
      </w:r>
    </w:p>
    <w:p w14:paraId="417828F5" w14:textId="77777777" w:rsidR="002F6D1F" w:rsidRDefault="00AC3C57" w:rsidP="00D119D2">
      <w:pPr>
        <w:pStyle w:val="ARbody"/>
        <w:spacing w:line="252" w:lineRule="auto"/>
      </w:pPr>
      <w:r w:rsidRPr="00D867A4">
        <w:t xml:space="preserve">The department requires </w:t>
      </w:r>
      <w:r>
        <w:t xml:space="preserve">that all new projects and maintenance work on its land engage </w:t>
      </w:r>
      <w:r w:rsidRPr="00D867A4">
        <w:t>appropriately qualified consultants and contractors. Consultants and contractors must comply with the current state and Commonwealth building regulations, codes, and standards. All engaged consultants and contractors are expected to have appropriate mechanisms in place to ensure compliance with the</w:t>
      </w:r>
      <w:r w:rsidR="00626393">
        <w:t> </w:t>
      </w:r>
      <w:r w:rsidRPr="00D867A4">
        <w:t>building and maintenance provisions of the Act.</w:t>
      </w:r>
    </w:p>
    <w:p w14:paraId="3CB50347" w14:textId="2C49DC56" w:rsidR="00AC3C57" w:rsidRPr="00D867A4" w:rsidRDefault="00AC3C57" w:rsidP="00D119D2">
      <w:pPr>
        <w:pStyle w:val="ARbody"/>
        <w:spacing w:line="252" w:lineRule="auto"/>
      </w:pPr>
      <w:r w:rsidRPr="00D867A4">
        <w:t>For new projects, the department assesses consultants’ and contractors’ adherence to compliance obligations</w:t>
      </w:r>
      <w:r>
        <w:t xml:space="preserve">. This includes </w:t>
      </w:r>
      <w:r w:rsidRPr="00D867A4">
        <w:t>the Act</w:t>
      </w:r>
      <w:r>
        <w:t>. The</w:t>
      </w:r>
      <w:r w:rsidR="00EC2960">
        <w:t> </w:t>
      </w:r>
      <w:r>
        <w:t xml:space="preserve">department engages them </w:t>
      </w:r>
      <w:r w:rsidRPr="00D867A4">
        <w:t>using whole-of-Victorian-Government approved tendering</w:t>
      </w:r>
      <w:r w:rsidR="00B979C0">
        <w:t> </w:t>
      </w:r>
      <w:r w:rsidRPr="00D867A4">
        <w:t xml:space="preserve">processes. </w:t>
      </w:r>
      <w:r w:rsidR="00B979C0">
        <w:br w:type="column"/>
      </w:r>
      <w:r>
        <w:t>The</w:t>
      </w:r>
      <w:r w:rsidRPr="00D867A4">
        <w:t xml:space="preserve"> department manages </w:t>
      </w:r>
      <w:r>
        <w:t>these projects</w:t>
      </w:r>
      <w:r w:rsidRPr="00D867A4">
        <w:t xml:space="preserve"> in line with </w:t>
      </w:r>
      <w:r>
        <w:t>a</w:t>
      </w:r>
      <w:r w:rsidRPr="00D867A4">
        <w:t xml:space="preserve"> program management framework</w:t>
      </w:r>
      <w:r>
        <w:t>.</w:t>
      </w:r>
      <w:r w:rsidRPr="00D867A4">
        <w:t xml:space="preserve"> </w:t>
      </w:r>
      <w:r>
        <w:t>This</w:t>
      </w:r>
      <w:r w:rsidRPr="00D867A4">
        <w:t xml:space="preserve"> provides a defined approach to managing projects</w:t>
      </w:r>
      <w:r>
        <w:t>. It ensures</w:t>
      </w:r>
      <w:r w:rsidRPr="00D867A4">
        <w:t xml:space="preserve"> adherence to whole-of-government policies and procedures.</w:t>
      </w:r>
    </w:p>
    <w:p w14:paraId="074B8E58" w14:textId="77777777" w:rsidR="00AC3C57" w:rsidRPr="00D867A4" w:rsidRDefault="00AC3C57" w:rsidP="00D119D2">
      <w:pPr>
        <w:pStyle w:val="ARbody"/>
        <w:spacing w:line="252" w:lineRule="auto"/>
      </w:pPr>
      <w:r w:rsidRPr="00D867A4">
        <w:t xml:space="preserve">In relation to existing buildings, the department is responsible for the mandatory testing of all essential safety measures to comply with the requirements of </w:t>
      </w:r>
      <w:r w:rsidRPr="00E06E63">
        <w:rPr>
          <w:rStyle w:val="Emphasis"/>
        </w:rPr>
        <w:t>Australian Standard AS1851.</w:t>
      </w:r>
      <w:r w:rsidRPr="00D867A4">
        <w:t xml:space="preserve"> </w:t>
      </w:r>
      <w:r>
        <w:t>This includes t</w:t>
      </w:r>
      <w:r w:rsidRPr="00D867A4">
        <w:t>esting of emergency and exit lights, sprinklers, fire detection and other essential safety measures</w:t>
      </w:r>
      <w:r>
        <w:t>.</w:t>
      </w:r>
      <w:r w:rsidRPr="00D867A4">
        <w:t xml:space="preserve"> The department actions responsive works through existing maintenance contracts.</w:t>
      </w:r>
    </w:p>
    <w:p w14:paraId="2A93398C" w14:textId="77777777" w:rsidR="00B979C0" w:rsidRDefault="00AC3C57" w:rsidP="00D119D2">
      <w:pPr>
        <w:pStyle w:val="ARbody"/>
        <w:spacing w:line="252" w:lineRule="auto"/>
      </w:pPr>
      <w:r>
        <w:t xml:space="preserve">The department continues to liaise with and contribute to the progress and outcomes of Cladding Safety Victoria for department-owned buildings. Relevant buildings owned by the department have been audited against the risk framework developed by the Victorian Cladding Taskforce. The final 2 buildings that require cladding remediation, both of which are classified as low risk, are expected to be completed </w:t>
      </w:r>
      <w:r w:rsidR="00B76023">
        <w:br/>
      </w:r>
      <w:r>
        <w:t xml:space="preserve">in 2025–26. </w:t>
      </w:r>
    </w:p>
    <w:p w14:paraId="569D350D" w14:textId="77777777" w:rsidR="004D27AD" w:rsidRDefault="00AC3C57" w:rsidP="00D119D2">
      <w:pPr>
        <w:pStyle w:val="ARbody"/>
        <w:spacing w:line="252" w:lineRule="auto"/>
        <w:sectPr w:rsidR="004D27AD" w:rsidSect="007F43B1">
          <w:endnotePr>
            <w:numFmt w:val="decimal"/>
          </w:endnotePr>
          <w:type w:val="continuous"/>
          <w:pgSz w:w="11900" w:h="16840" w:code="9"/>
          <w:pgMar w:top="1588" w:right="1134" w:bottom="851" w:left="1134" w:header="510" w:footer="340" w:gutter="0"/>
          <w:cols w:num="2" w:space="454"/>
          <w:docGrid w:linePitch="326"/>
        </w:sectPr>
      </w:pPr>
      <w:r>
        <w:t>The department undertook 361 major works projects in 2024–25. This included securing 244</w:t>
      </w:r>
      <w:r w:rsidR="00EC2960">
        <w:t> </w:t>
      </w:r>
      <w:r>
        <w:t xml:space="preserve">building permits and 131 certificates of final inspection. Local councils issued 14 emergency orders related to building structure. </w:t>
      </w:r>
      <w:bookmarkStart w:id="199" w:name="_Ref112752621"/>
      <w:bookmarkStart w:id="200" w:name="_Toc114491209"/>
      <w:bookmarkStart w:id="201" w:name="_Toc149587058"/>
      <w:bookmarkEnd w:id="199"/>
      <w:bookmarkEnd w:id="200"/>
    </w:p>
    <w:p w14:paraId="3F96BF5F" w14:textId="528F83AA" w:rsidR="008071FB" w:rsidRDefault="00AC3C57" w:rsidP="00B979C0">
      <w:pPr>
        <w:pStyle w:val="Heading2"/>
      </w:pPr>
      <w:bookmarkStart w:id="202" w:name="_Toc212039546"/>
      <w:r w:rsidRPr="004C256E">
        <w:lastRenderedPageBreak/>
        <w:t xml:space="preserve">Compliance with the </w:t>
      </w:r>
      <w:r w:rsidRPr="005C1105">
        <w:t>Public Interest Disclosures Act</w:t>
      </w:r>
      <w:bookmarkEnd w:id="201"/>
      <w:bookmarkEnd w:id="202"/>
    </w:p>
    <w:p w14:paraId="60876EEE" w14:textId="77777777" w:rsidR="00721B3F" w:rsidRDefault="00721B3F">
      <w:pPr>
        <w:pStyle w:val="ARbody"/>
        <w:spacing w:line="240" w:lineRule="atLeast"/>
        <w:sectPr w:rsidR="00721B3F" w:rsidSect="007F43B1">
          <w:endnotePr>
            <w:numFmt w:val="decimal"/>
          </w:endnotePr>
          <w:pgSz w:w="11900" w:h="16840" w:code="9"/>
          <w:pgMar w:top="1588" w:right="1134" w:bottom="851" w:left="1134" w:header="510" w:footer="340" w:gutter="0"/>
          <w:cols w:space="454"/>
          <w:docGrid w:linePitch="326"/>
        </w:sectPr>
      </w:pPr>
    </w:p>
    <w:p w14:paraId="3B9F6F4B" w14:textId="77777777" w:rsidR="00AC3C57" w:rsidRPr="004C256E" w:rsidRDefault="00AC3C57">
      <w:pPr>
        <w:pStyle w:val="ARbody"/>
        <w:spacing w:line="240" w:lineRule="atLeast"/>
      </w:pPr>
      <w:r w:rsidRPr="004C256E">
        <w:t xml:space="preserve">The </w:t>
      </w:r>
      <w:r w:rsidRPr="00E06E63">
        <w:rPr>
          <w:rStyle w:val="Emphasis"/>
        </w:rPr>
        <w:t xml:space="preserve">Public Interest Disclosures Act 2012 </w:t>
      </w:r>
      <w:r w:rsidRPr="004C256E">
        <w:t>encourages and assists people to make disclosures of improper conduct by public officers and public bodies. The Act provides protection to people who make disclosures in accordance with the Act</w:t>
      </w:r>
      <w:r>
        <w:t xml:space="preserve">. It </w:t>
      </w:r>
      <w:r w:rsidRPr="004C256E">
        <w:t xml:space="preserve">establishes a system </w:t>
      </w:r>
      <w:r>
        <w:t>to</w:t>
      </w:r>
      <w:r w:rsidRPr="004C256E">
        <w:t xml:space="preserve"> investigate and rectif</w:t>
      </w:r>
      <w:r>
        <w:t>y matters disclosed</w:t>
      </w:r>
      <w:r w:rsidRPr="004C256E">
        <w:t>.</w:t>
      </w:r>
    </w:p>
    <w:p w14:paraId="6E7D76AC" w14:textId="77777777" w:rsidR="00AC3C57" w:rsidRPr="004C256E" w:rsidRDefault="00AC3C57">
      <w:pPr>
        <w:pStyle w:val="ARbody"/>
        <w:spacing w:line="240" w:lineRule="atLeast"/>
      </w:pPr>
      <w:r w:rsidRPr="004C256E">
        <w:t xml:space="preserve">The department </w:t>
      </w:r>
      <w:r>
        <w:t>has</w:t>
      </w:r>
      <w:r w:rsidRPr="004C256E">
        <w:t xml:space="preserve"> a strong ethical culture and expects the highest levels of integrity from its staff. We support disclosures </w:t>
      </w:r>
      <w:r>
        <w:t>of</w:t>
      </w:r>
      <w:r w:rsidRPr="004C256E">
        <w:t xml:space="preserve"> improper conduct</w:t>
      </w:r>
      <w:r>
        <w:t>. This includes</w:t>
      </w:r>
      <w:r w:rsidRPr="004C256E">
        <w:t xml:space="preserve"> corrupt conduct and conduct involving substantial mismanagement of</w:t>
      </w:r>
      <w:r>
        <w:t xml:space="preserve"> </w:t>
      </w:r>
      <w:r w:rsidRPr="004C256E">
        <w:t>public resources and detrimental action.</w:t>
      </w:r>
    </w:p>
    <w:p w14:paraId="3F34A47D" w14:textId="7AB78CD7" w:rsidR="0089246F" w:rsidRDefault="00AC3C57">
      <w:pPr>
        <w:pStyle w:val="ARbody"/>
        <w:spacing w:line="240" w:lineRule="atLeast"/>
      </w:pPr>
      <w:r w:rsidRPr="004C256E">
        <w:t xml:space="preserve">The department takes all reasonable steps to protect people who make such disclosures from </w:t>
      </w:r>
      <w:r>
        <w:t>reprisals</w:t>
      </w:r>
      <w:r w:rsidRPr="004C256E">
        <w:t>. We also afford natural justice to the person who is the subject of the disclosure to the</w:t>
      </w:r>
      <w:r w:rsidR="00AD18E5">
        <w:t> </w:t>
      </w:r>
      <w:r w:rsidRPr="004C256E">
        <w:t>extent it is legally possible.</w:t>
      </w:r>
    </w:p>
    <w:p w14:paraId="203E93EE" w14:textId="2A639894" w:rsidR="00AC3C57" w:rsidRPr="004C256E" w:rsidRDefault="00AC3C57" w:rsidP="0089246F">
      <w:pPr>
        <w:pStyle w:val="Heading3"/>
        <w:spacing w:before="0"/>
      </w:pPr>
      <w:r w:rsidRPr="004C256E">
        <w:t>Reporting procedures</w:t>
      </w:r>
    </w:p>
    <w:p w14:paraId="1BBDDFD7" w14:textId="77777777" w:rsidR="00AC3C57" w:rsidRPr="004C256E" w:rsidRDefault="00AC3C57">
      <w:pPr>
        <w:pStyle w:val="ARbody"/>
      </w:pPr>
      <w:r w:rsidRPr="004C256E">
        <w:t>Disclosures of improper conduct or detrimental action by the department or any of our employees may be made to any of the following department personnel:</w:t>
      </w:r>
    </w:p>
    <w:p w14:paraId="5E40EE6E" w14:textId="77777777" w:rsidR="00AC3C57" w:rsidRPr="004C256E" w:rsidRDefault="00AC3C57">
      <w:pPr>
        <w:pStyle w:val="ARbullet1"/>
      </w:pPr>
      <w:r w:rsidRPr="004C256E">
        <w:t>the Secretary</w:t>
      </w:r>
    </w:p>
    <w:p w14:paraId="7C07DC0E" w14:textId="6EA30864" w:rsidR="00AC3C57" w:rsidRDefault="00AC3C57">
      <w:pPr>
        <w:pStyle w:val="ARbullet1"/>
      </w:pPr>
      <w:r w:rsidRPr="004C256E">
        <w:t xml:space="preserve">public interest disclosure coordinators </w:t>
      </w:r>
      <w:r w:rsidR="00AD18E5">
        <w:br/>
      </w:r>
      <w:r w:rsidRPr="004C256E">
        <w:t>(as listed on the intranet)</w:t>
      </w:r>
    </w:p>
    <w:p w14:paraId="54920D14" w14:textId="4EAFAE25" w:rsidR="00AC3C57" w:rsidRPr="004C256E" w:rsidRDefault="00AC3C57">
      <w:pPr>
        <w:pStyle w:val="ARbullet1"/>
      </w:pPr>
      <w:r w:rsidRPr="004C256E">
        <w:t>manager or supervisor of the discloser</w:t>
      </w:r>
    </w:p>
    <w:p w14:paraId="020CAC2F" w14:textId="77777777" w:rsidR="00AC3C57" w:rsidRPr="004C256E" w:rsidRDefault="00AC3C57">
      <w:pPr>
        <w:pStyle w:val="ARbullet1"/>
      </w:pPr>
      <w:r w:rsidRPr="004C256E">
        <w:t>manager or supervisor of the person who is the subject of the disclosure</w:t>
      </w:r>
    </w:p>
    <w:p w14:paraId="3B363A7A" w14:textId="77777777" w:rsidR="00AC3C57" w:rsidRPr="004C256E" w:rsidRDefault="00AC3C57">
      <w:pPr>
        <w:pStyle w:val="ARbullet1"/>
      </w:pPr>
      <w:r w:rsidRPr="004C256E">
        <w:t>a person acting in any of the above roles.</w:t>
      </w:r>
    </w:p>
    <w:p w14:paraId="2A6E2507" w14:textId="118E867D" w:rsidR="00AC3C57" w:rsidRPr="004C256E" w:rsidRDefault="00AC3C57" w:rsidP="002F6D1F">
      <w:pPr>
        <w:pStyle w:val="ARbodyafterbullets"/>
      </w:pPr>
      <w:r w:rsidRPr="004C256E">
        <w:t xml:space="preserve">Alternatively, disclosures can be </w:t>
      </w:r>
      <w:r w:rsidRPr="002F6D1F">
        <w:t>made</w:t>
      </w:r>
      <w:r w:rsidRPr="004C256E">
        <w:t xml:space="preserve"> directly to the Independent Broad-based Anti-</w:t>
      </w:r>
      <w:r w:rsidR="00314466" w:rsidRPr="004C256E">
        <w:t>Corruption</w:t>
      </w:r>
      <w:r w:rsidRPr="004C256E">
        <w:t xml:space="preserve"> Commission (IBAC):</w:t>
      </w:r>
    </w:p>
    <w:p w14:paraId="5E8F4BB1" w14:textId="77777777" w:rsidR="00AC3C57" w:rsidRPr="004C256E" w:rsidRDefault="00AC3C57">
      <w:pPr>
        <w:pStyle w:val="ARbodynospace"/>
      </w:pPr>
      <w:r w:rsidRPr="004C256E">
        <w:t>Level 1, North Tower, 459 Collins Street</w:t>
      </w:r>
    </w:p>
    <w:p w14:paraId="3A57B073" w14:textId="77777777" w:rsidR="00AC3C57" w:rsidRPr="004C256E" w:rsidRDefault="00AC3C57">
      <w:pPr>
        <w:pStyle w:val="ARbody"/>
      </w:pPr>
      <w:r w:rsidRPr="004C256E">
        <w:t>Melbourne VIC 3000</w:t>
      </w:r>
    </w:p>
    <w:p w14:paraId="5118FBE0" w14:textId="77777777" w:rsidR="00AC3C57" w:rsidRPr="004C256E" w:rsidRDefault="00AC3C57">
      <w:pPr>
        <w:pStyle w:val="ARbodynospace"/>
      </w:pPr>
      <w:r w:rsidRPr="004C256E">
        <w:t>Phone: 1300 735 135</w:t>
      </w:r>
    </w:p>
    <w:p w14:paraId="4683A0E2" w14:textId="47DB5B2F" w:rsidR="00AC3C57" w:rsidRDefault="00AC3C57">
      <w:pPr>
        <w:pStyle w:val="ARbody"/>
      </w:pPr>
      <w:hyperlink r:id="rId131" w:history="1">
        <w:r w:rsidRPr="004C256E">
          <w:rPr>
            <w:rStyle w:val="Hyperlink"/>
          </w:rPr>
          <w:t>IBAC website</w:t>
        </w:r>
      </w:hyperlink>
      <w:r w:rsidR="00D62CC4">
        <w:rPr>
          <w:rStyle w:val="FootnoteReference"/>
        </w:rPr>
        <w:footnoteReference w:id="24"/>
      </w:r>
      <w:r w:rsidR="009E57C3">
        <w:t xml:space="preserve"> </w:t>
      </w:r>
    </w:p>
    <w:p w14:paraId="42BFD624" w14:textId="40770075" w:rsidR="00AC3C57" w:rsidRPr="004C256E" w:rsidRDefault="004D27AD" w:rsidP="004D27AD">
      <w:pPr>
        <w:pStyle w:val="Heading4"/>
      </w:pPr>
      <w:r>
        <w:br w:type="column"/>
      </w:r>
      <w:r w:rsidR="00AC3C57" w:rsidRPr="004C256E">
        <w:t>Further information</w:t>
      </w:r>
    </w:p>
    <w:p w14:paraId="54870D53" w14:textId="77777777" w:rsidR="00AC3C57" w:rsidRPr="004C256E" w:rsidRDefault="00AC3C57">
      <w:pPr>
        <w:pStyle w:val="ARbody"/>
      </w:pPr>
      <w:r>
        <w:t>The</w:t>
      </w:r>
      <w:r w:rsidRPr="004C256E">
        <w:t xml:space="preserve"> department’s public interest disclosures procedures outline the system for reporting disclosures</w:t>
      </w:r>
      <w:r>
        <w:t>.</w:t>
      </w:r>
      <w:r w:rsidRPr="004C256E">
        <w:t xml:space="preserve"> </w:t>
      </w:r>
      <w:r>
        <w:t>Access the procedures</w:t>
      </w:r>
      <w:r w:rsidRPr="004C256E">
        <w:t>:</w:t>
      </w:r>
    </w:p>
    <w:p w14:paraId="5C1718B8" w14:textId="723F97EB" w:rsidR="00AC3C57" w:rsidRPr="004C256E" w:rsidRDefault="00AC3C57">
      <w:pPr>
        <w:pStyle w:val="ARbullet1"/>
      </w:pPr>
      <w:r w:rsidRPr="004C256E">
        <w:t xml:space="preserve">on the department’s </w:t>
      </w:r>
      <w:hyperlink r:id="rId132" w:history="1">
        <w:r w:rsidRPr="004C256E">
          <w:rPr>
            <w:rStyle w:val="Hyperlink"/>
          </w:rPr>
          <w:t>public interest disclosures webpage</w:t>
        </w:r>
      </w:hyperlink>
      <w:r w:rsidR="00D62CC4">
        <w:rPr>
          <w:rStyle w:val="FootnoteReference"/>
        </w:rPr>
        <w:footnoteReference w:id="25"/>
      </w:r>
      <w:r w:rsidR="00B25D8D">
        <w:t xml:space="preserve"> </w:t>
      </w:r>
    </w:p>
    <w:p w14:paraId="7D1C3670" w14:textId="31F88C53" w:rsidR="00AC3C57" w:rsidRPr="004C256E" w:rsidRDefault="00AC3C57">
      <w:pPr>
        <w:pStyle w:val="ARbullet1"/>
        <w:rPr>
          <w:lang w:eastAsia="en-AU"/>
        </w:rPr>
      </w:pPr>
      <w:r w:rsidRPr="004C256E">
        <w:t xml:space="preserve">by </w:t>
      </w:r>
      <w:r>
        <w:t xml:space="preserve">emailing </w:t>
      </w:r>
      <w:hyperlink r:id="rId133" w:history="1">
        <w:r>
          <w:rPr>
            <w:rStyle w:val="Hyperlink"/>
          </w:rPr>
          <w:t>mailto:</w:t>
        </w:r>
      </w:hyperlink>
      <w:hyperlink r:id="rId134" w:history="1">
        <w:r w:rsidRPr="00D62CC4">
          <w:rPr>
            <w:rStyle w:val="Hyperlink"/>
          </w:rPr>
          <w:t>public.interest.disclosures@dffh.vic.gov.au</w:t>
        </w:r>
      </w:hyperlink>
    </w:p>
    <w:p w14:paraId="21C54D40" w14:textId="77777777" w:rsidR="00E952D1" w:rsidRDefault="00AC3C57">
      <w:pPr>
        <w:pStyle w:val="ARbullet1"/>
      </w:pPr>
      <w:r w:rsidRPr="004C256E">
        <w:t xml:space="preserve">by </w:t>
      </w:r>
      <w:r>
        <w:t>telephoning</w:t>
      </w:r>
      <w:r w:rsidRPr="004C256E">
        <w:t xml:space="preserve"> our integrity phoneline</w:t>
      </w:r>
      <w:r>
        <w:t xml:space="preserve"> on</w:t>
      </w:r>
      <w:r w:rsidRPr="004C256E">
        <w:t xml:space="preserve"> 1300 131 431 (option 1).</w:t>
      </w:r>
    </w:p>
    <w:p w14:paraId="38C39570" w14:textId="0FC30C73" w:rsidR="00AC3C57" w:rsidRPr="004C256E" w:rsidRDefault="00AC3C57">
      <w:pPr>
        <w:pStyle w:val="Heading3"/>
      </w:pPr>
      <w:bookmarkStart w:id="203" w:name="_Disclosures_under_the"/>
      <w:bookmarkStart w:id="204" w:name="_Ref178241128"/>
      <w:bookmarkStart w:id="205" w:name="Publicinterest121"/>
      <w:bookmarkEnd w:id="203"/>
      <w:r w:rsidRPr="004C256E">
        <w:t>Disclosures under the Public Interest Disclosures Act</w:t>
      </w:r>
      <w:bookmarkEnd w:id="204"/>
      <w:bookmarkEnd w:id="205"/>
    </w:p>
    <w:p w14:paraId="4248CAF2" w14:textId="77777777" w:rsidR="00AC3C57" w:rsidRPr="004C256E" w:rsidRDefault="00AC3C57">
      <w:pPr>
        <w:pStyle w:val="ARbodybeforetable"/>
        <w:rPr>
          <w:bCs/>
        </w:rPr>
      </w:pPr>
      <w:r w:rsidRPr="004C256E">
        <w:t>The number of disclosures made by an individual to the department and notified to IBAC are:</w:t>
      </w:r>
    </w:p>
    <w:tbl>
      <w:tblPr>
        <w:tblW w:w="5000" w:type="pct"/>
        <w:jc w:val="center"/>
        <w:tblBorders>
          <w:bottom w:val="single" w:sz="4" w:space="0" w:color="auto"/>
          <w:insideH w:val="single" w:sz="4" w:space="0" w:color="auto"/>
        </w:tblBorders>
        <w:tblCellMar>
          <w:left w:w="0" w:type="dxa"/>
        </w:tblCellMar>
        <w:tblLook w:val="0620" w:firstRow="1" w:lastRow="0" w:firstColumn="0" w:lastColumn="0" w:noHBand="1" w:noVBand="1"/>
      </w:tblPr>
      <w:tblGrid>
        <w:gridCol w:w="1529"/>
        <w:gridCol w:w="1530"/>
        <w:gridCol w:w="1530"/>
      </w:tblGrid>
      <w:tr w:rsidR="00AC3C57" w:rsidRPr="004C256E" w14:paraId="70FA8A71" w14:textId="77777777" w:rsidTr="0089246F">
        <w:trPr>
          <w:cantSplit/>
          <w:tblHeader/>
          <w:jc w:val="center"/>
        </w:trPr>
        <w:tc>
          <w:tcPr>
            <w:tcW w:w="1666" w:type="pct"/>
            <w:vAlign w:val="bottom"/>
          </w:tcPr>
          <w:p w14:paraId="7D9E76E8" w14:textId="77777777" w:rsidR="00AC3C57" w:rsidRPr="004C256E" w:rsidRDefault="00AC3C57">
            <w:pPr>
              <w:pStyle w:val="ARtablecolheadcentre"/>
            </w:pPr>
            <w:r w:rsidRPr="004C256E">
              <w:t>2022–23</w:t>
            </w:r>
          </w:p>
        </w:tc>
        <w:tc>
          <w:tcPr>
            <w:tcW w:w="1667" w:type="pct"/>
            <w:shd w:val="clear" w:color="auto" w:fill="E7E6E6" w:themeFill="background2"/>
            <w:vAlign w:val="bottom"/>
          </w:tcPr>
          <w:p w14:paraId="4344B00C" w14:textId="77777777" w:rsidR="00AC3C57" w:rsidRPr="004C256E" w:rsidRDefault="00AC3C57">
            <w:pPr>
              <w:pStyle w:val="ARtablecolheadcentre"/>
            </w:pPr>
            <w:r w:rsidRPr="004C256E">
              <w:t>2023–24</w:t>
            </w:r>
          </w:p>
        </w:tc>
        <w:tc>
          <w:tcPr>
            <w:tcW w:w="1667" w:type="pct"/>
            <w:vAlign w:val="bottom"/>
          </w:tcPr>
          <w:p w14:paraId="3D228950" w14:textId="77777777" w:rsidR="00AC3C57" w:rsidRPr="004C256E" w:rsidRDefault="00AC3C57">
            <w:pPr>
              <w:pStyle w:val="ARtablecolheadcentre"/>
            </w:pPr>
            <w:r w:rsidRPr="004C256E">
              <w:t>2024–25</w:t>
            </w:r>
          </w:p>
        </w:tc>
      </w:tr>
      <w:tr w:rsidR="00AC3C57" w:rsidRPr="004C256E" w14:paraId="2FE9EC34" w14:textId="77777777" w:rsidTr="0089246F">
        <w:trPr>
          <w:cantSplit/>
          <w:jc w:val="center"/>
        </w:trPr>
        <w:tc>
          <w:tcPr>
            <w:tcW w:w="1666" w:type="pct"/>
            <w:vAlign w:val="center"/>
          </w:tcPr>
          <w:p w14:paraId="569DFCB9" w14:textId="77777777" w:rsidR="00AC3C57" w:rsidRPr="004C256E" w:rsidRDefault="00AC3C57">
            <w:pPr>
              <w:pStyle w:val="ARtabletextcentre"/>
            </w:pPr>
            <w:r w:rsidRPr="004C256E">
              <w:t>2</w:t>
            </w:r>
          </w:p>
        </w:tc>
        <w:tc>
          <w:tcPr>
            <w:tcW w:w="1667" w:type="pct"/>
            <w:shd w:val="clear" w:color="auto" w:fill="E7E6E6" w:themeFill="background2"/>
            <w:vAlign w:val="center"/>
          </w:tcPr>
          <w:p w14:paraId="05F51FCD" w14:textId="77777777" w:rsidR="00AC3C57" w:rsidRPr="004C256E" w:rsidRDefault="00AC3C57">
            <w:pPr>
              <w:pStyle w:val="ARtabletextcentre"/>
            </w:pPr>
            <w:r w:rsidRPr="004C256E">
              <w:t>2</w:t>
            </w:r>
          </w:p>
        </w:tc>
        <w:tc>
          <w:tcPr>
            <w:tcW w:w="1667" w:type="pct"/>
            <w:vAlign w:val="center"/>
          </w:tcPr>
          <w:p w14:paraId="27D19FBD" w14:textId="77777777" w:rsidR="00AC3C57" w:rsidRPr="004C256E" w:rsidRDefault="00AC3C57">
            <w:pPr>
              <w:pStyle w:val="ARtabletextcentre"/>
            </w:pPr>
            <w:r w:rsidRPr="004C256E">
              <w:t>0</w:t>
            </w:r>
          </w:p>
        </w:tc>
      </w:tr>
    </w:tbl>
    <w:p w14:paraId="647A8642" w14:textId="39EC943C" w:rsidR="004D27AD" w:rsidRDefault="00AC3C57" w:rsidP="00626393">
      <w:pPr>
        <w:pStyle w:val="ARbodyaftertable"/>
      </w:pPr>
      <w:r>
        <w:t>T</w:t>
      </w:r>
      <w:r w:rsidRPr="004C256E">
        <w:t>he department did not receive any public interest disclosures during the 2024–25 reporting period</w:t>
      </w:r>
      <w:r>
        <w:t xml:space="preserve">. However, </w:t>
      </w:r>
      <w:r w:rsidRPr="004C256E">
        <w:t>the department received reports of wrongdoing from individuals including department staff members. For various reasons, these individuals did not elect to make a formal public interest disclosure. The department took action to address the concerns raised</w:t>
      </w:r>
      <w:r>
        <w:t>. This included</w:t>
      </w:r>
      <w:r w:rsidRPr="004C256E">
        <w:t xml:space="preserve"> referral to IBAC where appropriate.</w:t>
      </w:r>
      <w:r w:rsidRPr="00532DAE">
        <w:t xml:space="preserve"> </w:t>
      </w:r>
      <w:r w:rsidR="004D27AD">
        <w:br w:type="page"/>
      </w:r>
    </w:p>
    <w:p w14:paraId="43FF98F0" w14:textId="77777777" w:rsidR="008071FB" w:rsidRDefault="008071FB" w:rsidP="00626393">
      <w:pPr>
        <w:pStyle w:val="ARbodyaftertable"/>
        <w:sectPr w:rsidR="008071FB" w:rsidSect="007F43B1">
          <w:endnotePr>
            <w:numFmt w:val="decimal"/>
          </w:endnotePr>
          <w:type w:val="continuous"/>
          <w:pgSz w:w="11900" w:h="16840" w:code="9"/>
          <w:pgMar w:top="1588" w:right="1134" w:bottom="851" w:left="1134" w:header="510" w:footer="340" w:gutter="0"/>
          <w:cols w:num="2" w:space="454"/>
          <w:docGrid w:linePitch="326"/>
        </w:sectPr>
      </w:pPr>
    </w:p>
    <w:p w14:paraId="6A196467" w14:textId="77777777" w:rsidR="008071FB" w:rsidRDefault="00AC3C57" w:rsidP="00970418">
      <w:pPr>
        <w:pStyle w:val="Heading2"/>
        <w:sectPr w:rsidR="008071FB" w:rsidSect="007F43B1">
          <w:endnotePr>
            <w:numFmt w:val="decimal"/>
          </w:endnotePr>
          <w:type w:val="continuous"/>
          <w:pgSz w:w="11900" w:h="16840" w:code="9"/>
          <w:pgMar w:top="1588" w:right="1134" w:bottom="851" w:left="1134" w:header="510" w:footer="340" w:gutter="0"/>
          <w:cols w:space="454"/>
          <w:docGrid w:linePitch="326"/>
        </w:sectPr>
      </w:pPr>
      <w:bookmarkStart w:id="206" w:name="_Compliance_with_the_1"/>
      <w:bookmarkStart w:id="207" w:name="_Ref112752959"/>
      <w:bookmarkStart w:id="208" w:name="_Toc114491210"/>
      <w:bookmarkStart w:id="209" w:name="_Toc149587059"/>
      <w:bookmarkStart w:id="210" w:name="_Toc212039547"/>
      <w:bookmarkEnd w:id="206"/>
      <w:r w:rsidRPr="00705309">
        <w:lastRenderedPageBreak/>
        <w:t xml:space="preserve">Compliance </w:t>
      </w:r>
      <w:r w:rsidRPr="00970418">
        <w:t>with</w:t>
      </w:r>
      <w:r w:rsidRPr="00705309">
        <w:t xml:space="preserve"> the Carers Recognition Act</w:t>
      </w:r>
      <w:bookmarkEnd w:id="207"/>
      <w:bookmarkEnd w:id="208"/>
      <w:bookmarkEnd w:id="209"/>
      <w:bookmarkEnd w:id="210"/>
    </w:p>
    <w:p w14:paraId="323264F3" w14:textId="77777777" w:rsidR="00AC3C57" w:rsidRPr="00705309" w:rsidRDefault="00AC3C57">
      <w:pPr>
        <w:pStyle w:val="ARbody"/>
        <w:rPr>
          <w:szCs w:val="20"/>
        </w:rPr>
      </w:pPr>
      <w:r w:rsidRPr="00705309">
        <w:t xml:space="preserve">The department has taken all practical measures to comply with our obligations under the </w:t>
      </w:r>
      <w:r w:rsidRPr="00E06E63">
        <w:rPr>
          <w:rStyle w:val="Emphasis"/>
        </w:rPr>
        <w:t>Carers Recognition Act 2012 (</w:t>
      </w:r>
      <w:r w:rsidRPr="00705309">
        <w:rPr>
          <w:iCs/>
        </w:rPr>
        <w:t>the Act)</w:t>
      </w:r>
      <w:r w:rsidRPr="00705309">
        <w:t xml:space="preserve">. </w:t>
      </w:r>
      <w:r w:rsidRPr="00705309">
        <w:rPr>
          <w:szCs w:val="20"/>
        </w:rPr>
        <w:t>These include promoting the principles of the Act to people in care relationships who receive the department’s services and to the wider community</w:t>
      </w:r>
      <w:r>
        <w:rPr>
          <w:szCs w:val="20"/>
        </w:rPr>
        <w:t>. We do this</w:t>
      </w:r>
      <w:r w:rsidRPr="00705309">
        <w:rPr>
          <w:szCs w:val="20"/>
        </w:rPr>
        <w:t xml:space="preserve"> by:</w:t>
      </w:r>
    </w:p>
    <w:p w14:paraId="52579A4A" w14:textId="77777777" w:rsidR="00AC3C57" w:rsidRPr="00705309" w:rsidRDefault="00AC3C57">
      <w:pPr>
        <w:pStyle w:val="ARbullet1"/>
      </w:pPr>
      <w:r w:rsidRPr="00705309">
        <w:t xml:space="preserve">providing </w:t>
      </w:r>
      <w:r>
        <w:t>access</w:t>
      </w:r>
      <w:r w:rsidRPr="00705309">
        <w:t xml:space="preserve"> to information and resource materials on the department’s website </w:t>
      </w:r>
    </w:p>
    <w:p w14:paraId="05C6E4D3" w14:textId="77777777" w:rsidR="00AC3C57" w:rsidRDefault="00AC3C57">
      <w:pPr>
        <w:pStyle w:val="ARbullet1"/>
      </w:pPr>
      <w:r w:rsidRPr="00705309">
        <w:t>supporting departmental staff to have an awareness and understanding of the care relationship principles set out in the Act</w:t>
      </w:r>
    </w:p>
    <w:p w14:paraId="3A452142" w14:textId="77777777" w:rsidR="00AC3C57" w:rsidRPr="0001429A" w:rsidRDefault="00AC3C57">
      <w:pPr>
        <w:pStyle w:val="ARbullet1"/>
      </w:pPr>
      <w:r w:rsidRPr="00705309">
        <w:t xml:space="preserve">ensuring </w:t>
      </w:r>
      <w:r w:rsidRPr="0001429A">
        <w:t>departmental employment policies on personal/carer leave and flexible working arrangements comply with the Act</w:t>
      </w:r>
    </w:p>
    <w:p w14:paraId="0919BA12" w14:textId="77777777" w:rsidR="00AC3C57" w:rsidRPr="0001429A" w:rsidRDefault="00AC3C57">
      <w:pPr>
        <w:pStyle w:val="ARbullet1"/>
      </w:pPr>
      <w:r w:rsidRPr="0001429A">
        <w:t>considering the care relationships principles set out in the Act when setting policies, delivering grants programs and providing services</w:t>
      </w:r>
    </w:p>
    <w:p w14:paraId="3B03F6E4" w14:textId="77777777" w:rsidR="00AC3C57" w:rsidRPr="0001429A" w:rsidRDefault="00AC3C57">
      <w:pPr>
        <w:pStyle w:val="ARbullet1"/>
      </w:pPr>
      <w:r w:rsidRPr="0001429A">
        <w:t xml:space="preserve">supporting carers’ awareness and understanding of the care relationship principles set out in the Act </w:t>
      </w:r>
    </w:p>
    <w:p w14:paraId="22236511" w14:textId="77777777" w:rsidR="00AC3C57" w:rsidRDefault="00AC3C57">
      <w:pPr>
        <w:pStyle w:val="ARbullet1"/>
      </w:pPr>
      <w:r w:rsidRPr="0001429A">
        <w:t>providing opportunities for carers</w:t>
      </w:r>
      <w:r w:rsidRPr="00705309">
        <w:t xml:space="preserve"> from all identities, ages and circumstances to provide lived and living experience feedback </w:t>
      </w:r>
    </w:p>
    <w:p w14:paraId="42E907A8" w14:textId="77777777" w:rsidR="00AC3C57" w:rsidRPr="00705309" w:rsidRDefault="00AC3C57">
      <w:pPr>
        <w:pStyle w:val="ARbullet1"/>
      </w:pPr>
      <w:r>
        <w:t xml:space="preserve">providing opportunities for </w:t>
      </w:r>
      <w:r w:rsidRPr="00705309">
        <w:t xml:space="preserve">input on improving policies, processes, systems and services to better support them, including the Victorian Carer Card and </w:t>
      </w:r>
      <w:r w:rsidRPr="00E06E63">
        <w:rPr>
          <w:rStyle w:val="Emphasis"/>
        </w:rPr>
        <w:t>Victorian carer strategy.</w:t>
      </w:r>
    </w:p>
    <w:p w14:paraId="00D780A4" w14:textId="77777777" w:rsidR="00AC3C57" w:rsidRPr="00705309" w:rsidRDefault="00AC3C57">
      <w:pPr>
        <w:pStyle w:val="ARbodyafterbullets"/>
      </w:pPr>
      <w:r w:rsidRPr="00705309">
        <w:t xml:space="preserve">The department implemented, supported and delivered priority actions </w:t>
      </w:r>
      <w:r>
        <w:t>under</w:t>
      </w:r>
      <w:r w:rsidRPr="00705309">
        <w:t xml:space="preserve"> the </w:t>
      </w:r>
      <w:r w:rsidRPr="00E06E63">
        <w:rPr>
          <w:rStyle w:val="Emphasis"/>
        </w:rPr>
        <w:t>Victorian carer strategy.</w:t>
      </w:r>
      <w:r w:rsidRPr="00705309">
        <w:t xml:space="preserve"> Consultation to inform a</w:t>
      </w:r>
      <w:r w:rsidRPr="0001429A">
        <w:t xml:space="preserve"> </w:t>
      </w:r>
      <w:r w:rsidRPr="00705309">
        <w:t>refresh of the strategy was completed in 2024</w:t>
      </w:r>
      <w:r>
        <w:t>–</w:t>
      </w:r>
      <w:r w:rsidRPr="00705309">
        <w:t>25</w:t>
      </w:r>
      <w:r>
        <w:t xml:space="preserve">. The updated </w:t>
      </w:r>
      <w:r w:rsidRPr="00705309">
        <w:t xml:space="preserve">strategy </w:t>
      </w:r>
      <w:r>
        <w:t>will</w:t>
      </w:r>
      <w:r w:rsidRPr="00705309">
        <w:t xml:space="preserve"> be released in 2025. </w:t>
      </w:r>
      <w:r>
        <w:t>It</w:t>
      </w:r>
      <w:r w:rsidRPr="00705309">
        <w:t xml:space="preserve"> focu</w:t>
      </w:r>
      <w:r>
        <w:t>ses</w:t>
      </w:r>
      <w:r w:rsidRPr="00705309">
        <w:t xml:space="preserve"> on key priority areas</w:t>
      </w:r>
      <w:r>
        <w:t xml:space="preserve">. It also </w:t>
      </w:r>
      <w:r w:rsidRPr="00705309">
        <w:t>re</w:t>
      </w:r>
      <w:r>
        <w:t>-</w:t>
      </w:r>
      <w:r w:rsidRPr="00705309">
        <w:t>emphasise</w:t>
      </w:r>
      <w:r>
        <w:t>s</w:t>
      </w:r>
      <w:r w:rsidRPr="00705309">
        <w:t xml:space="preserve"> government’s commitment to supporting carers in Victoria, including First Nations carers</w:t>
      </w:r>
      <w:r>
        <w:t xml:space="preserve">. The refreshed strategy will </w:t>
      </w:r>
      <w:r w:rsidRPr="00705309">
        <w:t>ensure:</w:t>
      </w:r>
    </w:p>
    <w:p w14:paraId="666EC76D" w14:textId="77777777" w:rsidR="00AC3C57" w:rsidRPr="00705309" w:rsidRDefault="00AC3C57">
      <w:pPr>
        <w:pStyle w:val="ARbullet1"/>
      </w:pPr>
      <w:r w:rsidRPr="00705309">
        <w:t>carers are recognised, valued and respected</w:t>
      </w:r>
    </w:p>
    <w:p w14:paraId="42E5951D" w14:textId="30520AE7" w:rsidR="00AC3C57" w:rsidRPr="00705309" w:rsidRDefault="00AC3C57">
      <w:pPr>
        <w:pStyle w:val="ARbullet1"/>
      </w:pPr>
      <w:r w:rsidRPr="00705309">
        <w:t xml:space="preserve">carers </w:t>
      </w:r>
      <w:r w:rsidR="008219A0">
        <w:t xml:space="preserve">better </w:t>
      </w:r>
      <w:r w:rsidRPr="00705309">
        <w:t>health and</w:t>
      </w:r>
      <w:r w:rsidR="00626393">
        <w:t> </w:t>
      </w:r>
      <w:r w:rsidRPr="00705309">
        <w:t>wellbeing</w:t>
      </w:r>
    </w:p>
    <w:p w14:paraId="7C9649C8" w14:textId="77777777" w:rsidR="00AC3C57" w:rsidRPr="00705309" w:rsidRDefault="00AC3C57">
      <w:pPr>
        <w:pStyle w:val="ARbullet1"/>
      </w:pPr>
      <w:r w:rsidRPr="00705309">
        <w:t>carers can access support and services that meets their needs</w:t>
      </w:r>
    </w:p>
    <w:p w14:paraId="2C996C1A" w14:textId="3C5FB7F3" w:rsidR="00AC3C57" w:rsidRPr="00705309" w:rsidRDefault="00AC3C57">
      <w:pPr>
        <w:pStyle w:val="ARbullet1"/>
      </w:pPr>
      <w:r w:rsidRPr="00705309">
        <w:t>carers are supported in school, study and</w:t>
      </w:r>
      <w:r>
        <w:t xml:space="preserve"> </w:t>
      </w:r>
      <w:r w:rsidRPr="00705309">
        <w:t>employment, and to increase their financial</w:t>
      </w:r>
      <w:r w:rsidR="0089246F">
        <w:t> </w:t>
      </w:r>
      <w:r w:rsidRPr="00705309">
        <w:t>stability.</w:t>
      </w:r>
    </w:p>
    <w:p w14:paraId="14D4F166" w14:textId="271F3DD8" w:rsidR="00AC3C57" w:rsidRPr="005F12AC" w:rsidRDefault="00970418" w:rsidP="00970418">
      <w:pPr>
        <w:pStyle w:val="ARbodyafterbullets"/>
        <w:spacing w:before="0"/>
      </w:pPr>
      <w:r>
        <w:br w:type="column"/>
      </w:r>
      <w:r w:rsidR="00AC3C57" w:rsidRPr="005F12AC">
        <w:t>The department’s actions in 2024</w:t>
      </w:r>
      <w:r w:rsidR="00AC3C57">
        <w:t>–</w:t>
      </w:r>
      <w:r w:rsidR="00AC3C57" w:rsidRPr="005F12AC">
        <w:t>25 to deliver and support these priorities include:</w:t>
      </w:r>
    </w:p>
    <w:p w14:paraId="1B4CCB64" w14:textId="77777777" w:rsidR="00970418" w:rsidRDefault="00AC3C57">
      <w:pPr>
        <w:pStyle w:val="ARbullet1"/>
      </w:pPr>
      <w:r w:rsidRPr="005F12AC">
        <w:t xml:space="preserve">delivering flexible tailored supports </w:t>
      </w:r>
      <w:r w:rsidRPr="00705309">
        <w:t>through the Victorian Support for Carers Program and Additional Respite for Carers initiative</w:t>
      </w:r>
      <w:r>
        <w:t xml:space="preserve">. These will </w:t>
      </w:r>
      <w:r w:rsidRPr="00705309">
        <w:t>meet the needs of thousands of Victorian carers from diverse identities, ages and circumstances, including regional and rural</w:t>
      </w:r>
      <w:r w:rsidR="0089246F">
        <w:t> </w:t>
      </w:r>
      <w:r w:rsidRPr="00705309">
        <w:t>carers</w:t>
      </w:r>
    </w:p>
    <w:p w14:paraId="7ABB249F" w14:textId="77777777" w:rsidR="00AC3C57" w:rsidRPr="00705309" w:rsidRDefault="00AC3C57">
      <w:pPr>
        <w:pStyle w:val="ARbullet1"/>
      </w:pPr>
      <w:r w:rsidRPr="0001429A">
        <w:t>funding a</w:t>
      </w:r>
      <w:r w:rsidRPr="00705309">
        <w:t xml:space="preserve"> second round of the Connecting Carers in their Communit</w:t>
      </w:r>
      <w:r>
        <w:t>y</w:t>
      </w:r>
      <w:r w:rsidRPr="00705309">
        <w:t xml:space="preserve"> grants program, administered by Carers Victoria. The program provided 41 grants to increase local support for carers in 2024</w:t>
      </w:r>
      <w:r>
        <w:t>–</w:t>
      </w:r>
      <w:r w:rsidRPr="00705309">
        <w:t>25</w:t>
      </w:r>
    </w:p>
    <w:p w14:paraId="7878D142" w14:textId="77777777" w:rsidR="00AC3C57" w:rsidRPr="00705309" w:rsidRDefault="00AC3C57">
      <w:pPr>
        <w:pStyle w:val="ARbullet1"/>
      </w:pPr>
      <w:r w:rsidRPr="00705309">
        <w:t>continuing benefits available through the Victorian Carer Card, including public transport concessions in partnership with the Department of Transport and Planning</w:t>
      </w:r>
    </w:p>
    <w:p w14:paraId="72697670" w14:textId="37584FC1" w:rsidR="002F6D1F" w:rsidRDefault="00AC3C57">
      <w:pPr>
        <w:pStyle w:val="ARbullet1"/>
        <w:keepLines/>
      </w:pPr>
      <w:r w:rsidRPr="00297875">
        <w:t xml:space="preserve">involving carers in decision making about services and programs for the people </w:t>
      </w:r>
      <w:r>
        <w:t>they are</w:t>
      </w:r>
      <w:r w:rsidR="00C07BFC">
        <w:t> </w:t>
      </w:r>
      <w:r>
        <w:t>caring for</w:t>
      </w:r>
      <w:r w:rsidRPr="00DA3C5B">
        <w:t>, through informal and formal advisory</w:t>
      </w:r>
      <w:r w:rsidR="0089246F">
        <w:t> </w:t>
      </w:r>
      <w:r w:rsidRPr="00DA3C5B">
        <w:t>groups</w:t>
      </w:r>
    </w:p>
    <w:p w14:paraId="0EF5B404" w14:textId="09973C7A" w:rsidR="00AC3C57" w:rsidRPr="008D6B77" w:rsidRDefault="00AC3C57">
      <w:pPr>
        <w:pStyle w:val="ARbullet1"/>
        <w:keepLines/>
      </w:pPr>
      <w:r w:rsidRPr="0001429A">
        <w:t>funding peak body Carers Victoria to provide carers with support</w:t>
      </w:r>
      <w:r>
        <w:t xml:space="preserve">. This includes </w:t>
      </w:r>
      <w:r w:rsidRPr="0001429A">
        <w:t>through system navigation and linkage to services</w:t>
      </w:r>
      <w:r>
        <w:t>. Carers Victoria also provides government with</w:t>
      </w:r>
      <w:r w:rsidR="0089246F">
        <w:t> </w:t>
      </w:r>
      <w:r>
        <w:t>advice,</w:t>
      </w:r>
      <w:r w:rsidRPr="00DA3C5B">
        <w:t xml:space="preserve"> research</w:t>
      </w:r>
      <w:r>
        <w:t xml:space="preserve"> and insights</w:t>
      </w:r>
      <w:r w:rsidRPr="008D6B77">
        <w:t xml:space="preserve"> to better understand and meet carers’ needs</w:t>
      </w:r>
    </w:p>
    <w:p w14:paraId="60B25949" w14:textId="77777777" w:rsidR="002F6D1F" w:rsidRDefault="00AC3C57">
      <w:pPr>
        <w:pStyle w:val="ARbullet1"/>
        <w:sectPr w:rsidR="002F6D1F" w:rsidSect="007F43B1">
          <w:endnotePr>
            <w:numFmt w:val="decimal"/>
          </w:endnotePr>
          <w:type w:val="continuous"/>
          <w:pgSz w:w="11900" w:h="16840" w:code="9"/>
          <w:pgMar w:top="1588" w:right="1134" w:bottom="851" w:left="1134" w:header="510" w:footer="340" w:gutter="0"/>
          <w:cols w:num="2" w:space="454"/>
          <w:docGrid w:linePitch="326"/>
        </w:sectPr>
      </w:pPr>
      <w:r w:rsidRPr="008D6B77">
        <w:t xml:space="preserve">working in partnership </w:t>
      </w:r>
      <w:r>
        <w:t>across the Victorian Government, local and federal government</w:t>
      </w:r>
      <w:r w:rsidRPr="00255EF0">
        <w:t>,</w:t>
      </w:r>
      <w:r>
        <w:t xml:space="preserve"> with</w:t>
      </w:r>
      <w:r w:rsidR="0089246F">
        <w:t> </w:t>
      </w:r>
      <w:r w:rsidRPr="0001429A">
        <w:t xml:space="preserve">sector partners, carers and the community </w:t>
      </w:r>
      <w:r>
        <w:t>to respond to the needs of Victorian carers</w:t>
      </w:r>
      <w:r w:rsidRPr="00297875">
        <w:t>. This includes collaborating with the Commonwealth in develop</w:t>
      </w:r>
      <w:r>
        <w:t>ing the</w:t>
      </w:r>
      <w:r w:rsidRPr="00297875">
        <w:t xml:space="preserve"> National Carer Strategy</w:t>
      </w:r>
      <w:r>
        <w:t>, which was released in 2024</w:t>
      </w:r>
      <w:r w:rsidRPr="00297875">
        <w:t>.</w:t>
      </w:r>
    </w:p>
    <w:p w14:paraId="62C93839" w14:textId="77777777" w:rsidR="00AC3C57" w:rsidRPr="00751009" w:rsidRDefault="00AC3C57" w:rsidP="00BB645D">
      <w:pPr>
        <w:pStyle w:val="Heading2"/>
        <w:sectPr w:rsidR="00AC3C57" w:rsidRPr="00751009" w:rsidSect="007F43B1">
          <w:endnotePr>
            <w:numFmt w:val="decimal"/>
          </w:endnotePr>
          <w:type w:val="continuous"/>
          <w:pgSz w:w="11900" w:h="16840" w:code="9"/>
          <w:pgMar w:top="1588" w:right="1134" w:bottom="851" w:left="1134" w:header="510" w:footer="340" w:gutter="0"/>
          <w:cols w:space="454"/>
          <w:docGrid w:linePitch="326"/>
        </w:sectPr>
      </w:pPr>
      <w:bookmarkStart w:id="211" w:name="_Compliance_with_the_2"/>
      <w:bookmarkStart w:id="212" w:name="_Toc114491211"/>
      <w:bookmarkStart w:id="213" w:name="_Toc149587060"/>
      <w:bookmarkStart w:id="214" w:name="_Toc212039548"/>
      <w:bookmarkEnd w:id="211"/>
      <w:r w:rsidRPr="00626393">
        <w:lastRenderedPageBreak/>
        <w:t>Compliance</w:t>
      </w:r>
      <w:r w:rsidRPr="00751009">
        <w:t xml:space="preserve"> with the </w:t>
      </w:r>
      <w:bookmarkStart w:id="215" w:name="_Ref21960035"/>
      <w:bookmarkStart w:id="216" w:name="_Ref52279042"/>
      <w:bookmarkStart w:id="217" w:name="_Toc54690795"/>
      <w:bookmarkStart w:id="218" w:name="_Toc82006213"/>
      <w:bookmarkStart w:id="219" w:name="_Ref85117905"/>
      <w:r w:rsidRPr="005C1105">
        <w:t>Disability Act</w:t>
      </w:r>
      <w:bookmarkEnd w:id="215"/>
      <w:bookmarkEnd w:id="216"/>
      <w:bookmarkEnd w:id="217"/>
      <w:bookmarkEnd w:id="218"/>
      <w:bookmarkEnd w:id="219"/>
      <w:r w:rsidRPr="005C1105">
        <w:t xml:space="preserve"> and the Children, Youth and Families Act</w:t>
      </w:r>
      <w:bookmarkEnd w:id="212"/>
      <w:bookmarkEnd w:id="213"/>
      <w:bookmarkEnd w:id="214"/>
    </w:p>
    <w:p w14:paraId="5C7EDEF0" w14:textId="77777777" w:rsidR="00AC3C57" w:rsidRPr="00751009" w:rsidRDefault="00AC3C57">
      <w:pPr>
        <w:pStyle w:val="ARbody"/>
      </w:pPr>
      <w:r w:rsidRPr="00751009">
        <w:t xml:space="preserve">The </w:t>
      </w:r>
      <w:r w:rsidRPr="00E06E63">
        <w:rPr>
          <w:rStyle w:val="Emphasis"/>
        </w:rPr>
        <w:t xml:space="preserve">Disability Act 2006 </w:t>
      </w:r>
      <w:r w:rsidRPr="00751009">
        <w:t>requires Victorian agencies to develop a disability action plan</w:t>
      </w:r>
      <w:r>
        <w:t>. Disability action plans aim to</w:t>
      </w:r>
      <w:r w:rsidRPr="00751009">
        <w:t>:</w:t>
      </w:r>
    </w:p>
    <w:p w14:paraId="0A3B7D2D" w14:textId="77777777" w:rsidR="00AC3C57" w:rsidRPr="00751009" w:rsidRDefault="00AC3C57">
      <w:pPr>
        <w:pStyle w:val="ARbullet1"/>
      </w:pPr>
      <w:r w:rsidRPr="00751009">
        <w:t>reduc</w:t>
      </w:r>
      <w:r>
        <w:t>e</w:t>
      </w:r>
      <w:r w:rsidRPr="00751009">
        <w:t xml:space="preserve"> barriers to people with disability accessing goods, services and facilities</w:t>
      </w:r>
    </w:p>
    <w:p w14:paraId="273DCE9D" w14:textId="77777777" w:rsidR="00AC3C57" w:rsidRPr="00751009" w:rsidRDefault="00AC3C57">
      <w:pPr>
        <w:pStyle w:val="ARbullet1"/>
      </w:pPr>
      <w:r w:rsidRPr="00751009">
        <w:t>reduc</w:t>
      </w:r>
      <w:r>
        <w:t>e</w:t>
      </w:r>
      <w:r w:rsidRPr="00751009">
        <w:t xml:space="preserve"> barriers to people with disability obtaining and maintain employment</w:t>
      </w:r>
    </w:p>
    <w:p w14:paraId="092C1768" w14:textId="77777777" w:rsidR="00AC3C57" w:rsidRPr="00751009" w:rsidRDefault="00AC3C57">
      <w:pPr>
        <w:pStyle w:val="ARbullet1"/>
      </w:pPr>
      <w:r w:rsidRPr="00751009">
        <w:t>promot</w:t>
      </w:r>
      <w:r>
        <w:t>e</w:t>
      </w:r>
      <w:r w:rsidRPr="00751009">
        <w:t xml:space="preserve"> inclusion and participation in the community of people with disability</w:t>
      </w:r>
    </w:p>
    <w:p w14:paraId="7B8AB75C" w14:textId="77777777" w:rsidR="00AC3C57" w:rsidRPr="00751009" w:rsidRDefault="00AC3C57">
      <w:pPr>
        <w:pStyle w:val="ARbullet1"/>
      </w:pPr>
      <w:r w:rsidRPr="00751009">
        <w:t>achiev</w:t>
      </w:r>
      <w:r>
        <w:t>e</w:t>
      </w:r>
      <w:r w:rsidRPr="00751009">
        <w:t xml:space="preserve"> tangible changes in attitudes and practices which discriminate against people with disability.</w:t>
      </w:r>
    </w:p>
    <w:p w14:paraId="13A948AC" w14:textId="77777777" w:rsidR="00AC3C57" w:rsidRPr="00751009" w:rsidRDefault="00AC3C57">
      <w:pPr>
        <w:pStyle w:val="ARbodyafterbullets"/>
      </w:pPr>
      <w:r w:rsidRPr="00751009">
        <w:t xml:space="preserve">The department’s </w:t>
      </w:r>
      <w:r w:rsidRPr="00E06E63">
        <w:rPr>
          <w:rStyle w:val="Emphasis"/>
        </w:rPr>
        <w:t xml:space="preserve">Disability action plan 2024–25 </w:t>
      </w:r>
      <w:r w:rsidRPr="00751009">
        <w:t>(the plan) aims to advance the inclusion of individuals with disability</w:t>
      </w:r>
      <w:r>
        <w:t>.</w:t>
      </w:r>
      <w:r w:rsidRPr="00751009">
        <w:t xml:space="preserve"> </w:t>
      </w:r>
      <w:r>
        <w:t>It</w:t>
      </w:r>
      <w:r w:rsidRPr="00751009">
        <w:t xml:space="preserve"> </w:t>
      </w:r>
      <w:r>
        <w:t>outlines</w:t>
      </w:r>
      <w:r w:rsidRPr="00751009">
        <w:t xml:space="preserve"> strategic priorities and actions for improving accessibility, ensuring fair service delivery and promoting the full participation of people with disability in community life. It targets key areas such as enhancing service accessibility, fostering inclusive practices and engaging with communities to tackle barriers. The plan’s goal is to build a more inclusive society where people with disabilities have equal opportunities and the support needed to thrive.</w:t>
      </w:r>
    </w:p>
    <w:p w14:paraId="6055B8E3" w14:textId="77777777" w:rsidR="00AC3C57" w:rsidRPr="00751009" w:rsidRDefault="00AC3C57">
      <w:pPr>
        <w:pStyle w:val="ARbodyafterbullets"/>
      </w:pPr>
      <w:r w:rsidRPr="00751009">
        <w:t xml:space="preserve">The plan is intended to serve as the department’s implementation plan for </w:t>
      </w:r>
      <w:r w:rsidRPr="00E06E63">
        <w:rPr>
          <w:rStyle w:val="Emphasis"/>
        </w:rPr>
        <w:t>Inclusive Victoria: state disability plan 2022–2026.</w:t>
      </w:r>
      <w:r w:rsidRPr="00751009">
        <w:t xml:space="preserve"> </w:t>
      </w:r>
      <w:r w:rsidRPr="00E06E63">
        <w:rPr>
          <w:rStyle w:val="Emphasis"/>
        </w:rPr>
        <w:t xml:space="preserve">Inclusive Victoria </w:t>
      </w:r>
      <w:r w:rsidRPr="00751009">
        <w:t>mandates all Victorian government departments to implement 6 systemic reforms, which are integrated into the plan. These reforms include:</w:t>
      </w:r>
    </w:p>
    <w:p w14:paraId="53A2C477" w14:textId="77777777" w:rsidR="00AC3C57" w:rsidRPr="00751009" w:rsidRDefault="00AC3C57">
      <w:pPr>
        <w:pStyle w:val="ARbullet1"/>
      </w:pPr>
      <w:r w:rsidRPr="00751009">
        <w:t>co-design with people with disabilities</w:t>
      </w:r>
    </w:p>
    <w:p w14:paraId="2657E791" w14:textId="77777777" w:rsidR="00AC3C57" w:rsidRPr="00751009" w:rsidRDefault="00AC3C57">
      <w:pPr>
        <w:pStyle w:val="ARbullet1"/>
      </w:pPr>
      <w:r w:rsidRPr="00751009">
        <w:t>Aboriginal self-determination</w:t>
      </w:r>
    </w:p>
    <w:p w14:paraId="155B7374" w14:textId="77777777" w:rsidR="00AC3C57" w:rsidRPr="00751009" w:rsidRDefault="00AC3C57">
      <w:pPr>
        <w:pStyle w:val="ARbullet1"/>
      </w:pPr>
      <w:r w:rsidRPr="00751009">
        <w:t>intersectional approaches</w:t>
      </w:r>
    </w:p>
    <w:p w14:paraId="7068F172" w14:textId="77777777" w:rsidR="00AC3C57" w:rsidRPr="00751009" w:rsidRDefault="00AC3C57">
      <w:pPr>
        <w:pStyle w:val="ARbullet1"/>
      </w:pPr>
      <w:r w:rsidRPr="00751009">
        <w:t>disability-confident and inclusive workforces</w:t>
      </w:r>
    </w:p>
    <w:p w14:paraId="0503871F" w14:textId="77777777" w:rsidR="00AC3C57" w:rsidRPr="00751009" w:rsidRDefault="00AC3C57">
      <w:pPr>
        <w:pStyle w:val="ARbullet1"/>
      </w:pPr>
      <w:r w:rsidRPr="00751009">
        <w:t>accessible communication and universal design</w:t>
      </w:r>
    </w:p>
    <w:p w14:paraId="73636888" w14:textId="77777777" w:rsidR="00AC3C57" w:rsidRPr="00751009" w:rsidRDefault="00AC3C57">
      <w:pPr>
        <w:pStyle w:val="ARbullet1"/>
      </w:pPr>
      <w:r w:rsidRPr="00751009">
        <w:t>effective data and outcomes reporting.</w:t>
      </w:r>
    </w:p>
    <w:p w14:paraId="47AE130E" w14:textId="77777777" w:rsidR="00AC3C57" w:rsidRPr="00751009" w:rsidRDefault="00AC3C57">
      <w:pPr>
        <w:pStyle w:val="ARbodyafterbullets"/>
      </w:pPr>
      <w:r w:rsidRPr="00751009">
        <w:t>The plan also incorporates Inclusive Victoria actions related to priority areas such as:</w:t>
      </w:r>
    </w:p>
    <w:p w14:paraId="7C1DDE6B" w14:textId="77777777" w:rsidR="00AC3C57" w:rsidRPr="00751009" w:rsidRDefault="00AC3C57">
      <w:pPr>
        <w:pStyle w:val="ARbullet1"/>
      </w:pPr>
      <w:r w:rsidRPr="00751009">
        <w:t>housing</w:t>
      </w:r>
    </w:p>
    <w:p w14:paraId="20EAA303" w14:textId="77777777" w:rsidR="00AC3C57" w:rsidRPr="00751009" w:rsidRDefault="00AC3C57">
      <w:pPr>
        <w:pStyle w:val="ARbullet1"/>
      </w:pPr>
      <w:r w:rsidRPr="00751009">
        <w:t>access to the NDIS</w:t>
      </w:r>
    </w:p>
    <w:p w14:paraId="647C728B" w14:textId="77777777" w:rsidR="00AC3C57" w:rsidRPr="00751009" w:rsidRDefault="00AC3C57">
      <w:pPr>
        <w:pStyle w:val="ARbullet1"/>
      </w:pPr>
      <w:r w:rsidRPr="00751009">
        <w:t>children and families</w:t>
      </w:r>
    </w:p>
    <w:p w14:paraId="15433124" w14:textId="77777777" w:rsidR="00AC3C57" w:rsidRPr="00751009" w:rsidRDefault="00AC3C57">
      <w:pPr>
        <w:pStyle w:val="ARbullet1"/>
      </w:pPr>
      <w:r w:rsidRPr="00751009">
        <w:t>disability advocacy</w:t>
      </w:r>
    </w:p>
    <w:p w14:paraId="4DC0E21B" w14:textId="77777777" w:rsidR="00AC3C57" w:rsidRPr="00751009" w:rsidRDefault="00AC3C57">
      <w:pPr>
        <w:pStyle w:val="ARbullet1"/>
      </w:pPr>
      <w:r w:rsidRPr="00751009">
        <w:t>preventing abuse and neglect</w:t>
      </w:r>
    </w:p>
    <w:p w14:paraId="7BAF1034" w14:textId="77777777" w:rsidR="00AC3C57" w:rsidRPr="00751009" w:rsidRDefault="00AC3C57">
      <w:pPr>
        <w:pStyle w:val="ARbullet1"/>
      </w:pPr>
      <w:r w:rsidRPr="00751009">
        <w:t>voice and leadership</w:t>
      </w:r>
    </w:p>
    <w:p w14:paraId="060D9866" w14:textId="77777777" w:rsidR="00AC3C57" w:rsidRPr="00751009" w:rsidRDefault="00AC3C57">
      <w:pPr>
        <w:pStyle w:val="ARbullet1"/>
      </w:pPr>
      <w:r w:rsidRPr="00751009">
        <w:t>pride and recognition.</w:t>
      </w:r>
    </w:p>
    <w:p w14:paraId="529C3E1F" w14:textId="77777777" w:rsidR="00AC3C57" w:rsidRPr="00751009" w:rsidRDefault="00AC3C57">
      <w:pPr>
        <w:pStyle w:val="ARbodyafterbullets"/>
      </w:pPr>
      <w:r w:rsidRPr="00751009">
        <w:t xml:space="preserve">The disability action plan also draws on the </w:t>
      </w:r>
      <w:r w:rsidRPr="00E06E63">
        <w:rPr>
          <w:rStyle w:val="Emphasis"/>
        </w:rPr>
        <w:t>Diversity and Inclusion Framework 2022–2027,</w:t>
      </w:r>
      <w:r w:rsidRPr="00751009">
        <w:t xml:space="preserve"> where relevant, in relation to the department’s priorities to achieve inclusion of its employees with disability. </w:t>
      </w:r>
    </w:p>
    <w:p w14:paraId="03540F75" w14:textId="77777777" w:rsidR="00326720" w:rsidRDefault="00AC3C57">
      <w:pPr>
        <w:pStyle w:val="ARbody"/>
        <w:sectPr w:rsidR="00326720" w:rsidSect="007F43B1">
          <w:endnotePr>
            <w:numFmt w:val="decimal"/>
          </w:endnotePr>
          <w:type w:val="continuous"/>
          <w:pgSz w:w="11900" w:h="16840" w:code="9"/>
          <w:pgMar w:top="1588" w:right="1134" w:bottom="851" w:left="1134" w:header="510" w:footer="340" w:gutter="0"/>
          <w:cols w:num="2" w:space="454"/>
          <w:docGrid w:linePitch="326"/>
        </w:sectPr>
      </w:pPr>
      <w:r w:rsidRPr="00751009">
        <w:t xml:space="preserve">The disability action plan focuses on </w:t>
      </w:r>
      <w:r>
        <w:t>what</w:t>
      </w:r>
      <w:r w:rsidRPr="00751009">
        <w:t xml:space="preserve"> the department </w:t>
      </w:r>
      <w:r>
        <w:t xml:space="preserve">will do </w:t>
      </w:r>
      <w:r w:rsidRPr="00751009">
        <w:t xml:space="preserve">to advance disability inclusion over the next 2 years. </w:t>
      </w:r>
      <w:r>
        <w:t>This</w:t>
      </w:r>
      <w:r w:rsidRPr="00751009">
        <w:t xml:space="preserve"> include</w:t>
      </w:r>
      <w:r>
        <w:t>s</w:t>
      </w:r>
      <w:r w:rsidRPr="00751009">
        <w:t xml:space="preserve"> reducing barriers to accessibility, reducing barriers to employment, changing community attitudes and co-design with people with disability.</w:t>
      </w:r>
      <w:bookmarkStart w:id="220" w:name="_Toc149587061"/>
    </w:p>
    <w:p w14:paraId="2383EBD3" w14:textId="77777777" w:rsidR="00326720" w:rsidRDefault="00AC3C57" w:rsidP="00B979C0">
      <w:pPr>
        <w:pStyle w:val="Heading2"/>
        <w:rPr>
          <w:bCs w:val="0"/>
          <w:iCs w:val="0"/>
        </w:rPr>
        <w:sectPr w:rsidR="00326720" w:rsidSect="007F43B1">
          <w:endnotePr>
            <w:numFmt w:val="decimal"/>
          </w:endnotePr>
          <w:type w:val="continuous"/>
          <w:pgSz w:w="11900" w:h="16840" w:code="9"/>
          <w:pgMar w:top="1588" w:right="1134" w:bottom="851" w:left="1134" w:header="510" w:footer="340" w:gutter="0"/>
          <w:cols w:space="454"/>
          <w:docGrid w:linePitch="326"/>
        </w:sectPr>
      </w:pPr>
      <w:bookmarkStart w:id="221" w:name="_Toc212039549"/>
      <w:r w:rsidRPr="00CB05B1">
        <w:t xml:space="preserve">Disclosure of emergency </w:t>
      </w:r>
      <w:bookmarkEnd w:id="220"/>
      <w:r w:rsidRPr="00CB05B1">
        <w:t>procurement</w:t>
      </w:r>
      <w:bookmarkEnd w:id="221"/>
    </w:p>
    <w:p w14:paraId="5648D89B" w14:textId="40AA99C5" w:rsidR="008071FB" w:rsidRDefault="00AC3C57">
      <w:pPr>
        <w:pStyle w:val="ARbody"/>
        <w:sectPr w:rsidR="008071FB" w:rsidSect="007F43B1">
          <w:endnotePr>
            <w:numFmt w:val="decimal"/>
          </w:endnotePr>
          <w:type w:val="continuous"/>
          <w:pgSz w:w="11900" w:h="16840" w:code="9"/>
          <w:pgMar w:top="1588" w:right="1134" w:bottom="851" w:left="1134" w:header="510" w:footer="340" w:gutter="0"/>
          <w:cols w:space="454"/>
          <w:docGrid w:linePitch="326"/>
        </w:sectPr>
      </w:pPr>
      <w:r w:rsidRPr="00CB05B1">
        <w:t>In 2024–25, the department did not undertake any emergency procurements.</w:t>
      </w:r>
    </w:p>
    <w:p w14:paraId="603D3598" w14:textId="77777777" w:rsidR="00AC3C57" w:rsidRPr="005F3875" w:rsidRDefault="00AC3C57" w:rsidP="00B979C0">
      <w:pPr>
        <w:pStyle w:val="Heading2"/>
        <w:sectPr w:rsidR="00AC3C57" w:rsidRPr="005F3875" w:rsidSect="007F43B1">
          <w:endnotePr>
            <w:numFmt w:val="decimal"/>
          </w:endnotePr>
          <w:pgSz w:w="11900" w:h="16840" w:code="9"/>
          <w:pgMar w:top="1588" w:right="1134" w:bottom="851" w:left="1134" w:header="510" w:footer="340" w:gutter="0"/>
          <w:cols w:space="454"/>
          <w:docGrid w:linePitch="326"/>
        </w:sectPr>
      </w:pPr>
      <w:bookmarkStart w:id="222" w:name="_Disclosure_of_procurement"/>
      <w:bookmarkStart w:id="223" w:name="_Toc212039550"/>
      <w:bookmarkEnd w:id="222"/>
      <w:r w:rsidRPr="00CB05B1">
        <w:lastRenderedPageBreak/>
        <w:t>Disclosure of procurement</w:t>
      </w:r>
      <w:r>
        <w:t xml:space="preserve"> complaints</w:t>
      </w:r>
      <w:bookmarkEnd w:id="223"/>
    </w:p>
    <w:p w14:paraId="273DE728" w14:textId="77777777" w:rsidR="00AC3C57" w:rsidRPr="0061417F" w:rsidRDefault="00AC3C57">
      <w:pPr>
        <w:pStyle w:val="ARbody"/>
      </w:pPr>
      <w:r w:rsidRPr="0061417F">
        <w:t>Under the Victorian Government Purchasing Board</w:t>
      </w:r>
      <w:r>
        <w:t>’s</w:t>
      </w:r>
      <w:r w:rsidRPr="0061417F">
        <w:t xml:space="preserve"> </w:t>
      </w:r>
      <w:r>
        <w:t>governance policy,</w:t>
      </w:r>
      <w:r w:rsidRPr="0061417F">
        <w:t xml:space="preserve"> the department must disclose any formal complaints relating to the procurement of goods and services received through its procurement complaints management system. </w:t>
      </w:r>
    </w:p>
    <w:p w14:paraId="0CD9A255" w14:textId="77777777" w:rsidR="00AC3C57" w:rsidRPr="00532DAE" w:rsidRDefault="00AC3C57">
      <w:pPr>
        <w:pStyle w:val="ARbody"/>
      </w:pPr>
      <w:r w:rsidRPr="0061417F">
        <w:t>The department received one procurement complaint through its procurement complaints management system in 2024–25</w:t>
      </w:r>
      <w:r>
        <w:t>. This</w:t>
      </w:r>
      <w:r w:rsidRPr="0061417F">
        <w:t xml:space="preserve"> </w:t>
      </w:r>
      <w:r>
        <w:t>related</w:t>
      </w:r>
      <w:r w:rsidRPr="0061417F">
        <w:t xml:space="preserve"> to an invited procurement in which the supplier queried the </w:t>
      </w:r>
      <w:r>
        <w:t>d</w:t>
      </w:r>
      <w:r w:rsidRPr="0061417F">
        <w:t>epartment’s adherence to its advertised evaluation process. A departmental review found that all procurement policies and processes had been adhered to</w:t>
      </w:r>
      <w:r>
        <w:t>.</w:t>
      </w:r>
      <w:r w:rsidRPr="0061417F">
        <w:t xml:space="preserve"> </w:t>
      </w:r>
      <w:r>
        <w:t>T</w:t>
      </w:r>
      <w:r w:rsidRPr="0061417F">
        <w:t xml:space="preserve">he complaint </w:t>
      </w:r>
      <w:r>
        <w:t>was</w:t>
      </w:r>
      <w:r w:rsidRPr="0061417F">
        <w:t xml:space="preserve"> resolved</w:t>
      </w:r>
      <w:r>
        <w:t>.</w:t>
      </w:r>
    </w:p>
    <w:p w14:paraId="14353E38" w14:textId="77777777" w:rsidR="00AC3C57" w:rsidRDefault="00AC3C57">
      <w:pPr>
        <w:pStyle w:val="ARbody"/>
        <w:sectPr w:rsidR="00AC3C57" w:rsidSect="007F43B1">
          <w:endnotePr>
            <w:numFmt w:val="decimal"/>
          </w:endnotePr>
          <w:type w:val="continuous"/>
          <w:pgSz w:w="11900" w:h="16840" w:code="9"/>
          <w:pgMar w:top="1588" w:right="1134" w:bottom="851" w:left="1134" w:header="510" w:footer="340" w:gutter="0"/>
          <w:cols w:space="454"/>
          <w:docGrid w:linePitch="326"/>
        </w:sectPr>
      </w:pPr>
    </w:p>
    <w:p w14:paraId="59A0ABAE" w14:textId="77777777" w:rsidR="00AC3C57" w:rsidRPr="005811CC" w:rsidRDefault="00AC3C57">
      <w:pPr>
        <w:pStyle w:val="Heading2"/>
      </w:pPr>
      <w:bookmarkStart w:id="224" w:name="_Toc212039551"/>
      <w:r>
        <w:t xml:space="preserve">Compliance with </w:t>
      </w:r>
      <w:proofErr w:type="spellStart"/>
      <w:r w:rsidRPr="005811CC">
        <w:t>DataVic</w:t>
      </w:r>
      <w:proofErr w:type="spellEnd"/>
      <w:r w:rsidRPr="005811CC">
        <w:t xml:space="preserve"> access policy</w:t>
      </w:r>
      <w:bookmarkEnd w:id="224"/>
    </w:p>
    <w:p w14:paraId="03E71B0A" w14:textId="5AC2CABD" w:rsidR="00AC3C57" w:rsidRPr="00797206" w:rsidRDefault="00AC3C57">
      <w:pPr>
        <w:pStyle w:val="ARbody"/>
      </w:pPr>
      <w:r w:rsidRPr="00797206">
        <w:t xml:space="preserve">Consistent with the </w:t>
      </w:r>
      <w:proofErr w:type="spellStart"/>
      <w:r w:rsidRPr="00E06E63">
        <w:rPr>
          <w:rStyle w:val="Emphasis"/>
        </w:rPr>
        <w:t>DataVic</w:t>
      </w:r>
      <w:proofErr w:type="spellEnd"/>
      <w:r w:rsidRPr="00E06E63">
        <w:rPr>
          <w:rStyle w:val="Emphasis"/>
        </w:rPr>
        <w:t xml:space="preserve"> access policy </w:t>
      </w:r>
      <w:r w:rsidRPr="00797206">
        <w:t xml:space="preserve">issued by the Victorian Government in 2012, the information included in this annual report will be available in machine-readable format from the </w:t>
      </w:r>
      <w:hyperlink r:id="rId135" w:history="1">
        <w:proofErr w:type="spellStart"/>
        <w:r w:rsidRPr="00797206">
          <w:rPr>
            <w:rStyle w:val="Hyperlink"/>
          </w:rPr>
          <w:t>DataVic</w:t>
        </w:r>
        <w:proofErr w:type="spellEnd"/>
        <w:r w:rsidRPr="00797206">
          <w:rPr>
            <w:rStyle w:val="Hyperlink"/>
          </w:rPr>
          <w:t xml:space="preserve"> website</w:t>
        </w:r>
      </w:hyperlink>
      <w:r w:rsidR="00C737E4">
        <w:t>.</w:t>
      </w:r>
      <w:r w:rsidR="00C737E4">
        <w:rPr>
          <w:rStyle w:val="FootnoteReference"/>
        </w:rPr>
        <w:footnoteReference w:id="26"/>
      </w:r>
      <w:r w:rsidR="0089246F">
        <w:t xml:space="preserve"> </w:t>
      </w:r>
    </w:p>
    <w:p w14:paraId="54050687" w14:textId="4BFFC0AC" w:rsidR="00AC3C57" w:rsidRDefault="00AC3C57">
      <w:pPr>
        <w:pStyle w:val="ARbody"/>
      </w:pPr>
      <w:r w:rsidRPr="00797206">
        <w:t xml:space="preserve">The department maintains information to support better understanding of Victoria’s human services. </w:t>
      </w:r>
      <w:r>
        <w:t xml:space="preserve">The </w:t>
      </w:r>
      <w:hyperlink r:id="rId136" w:history="1">
        <w:r w:rsidRPr="005414AD">
          <w:rPr>
            <w:rStyle w:val="Hyperlink"/>
          </w:rPr>
          <w:t>department’s website</w:t>
        </w:r>
      </w:hyperlink>
      <w:r w:rsidR="00C737E4">
        <w:rPr>
          <w:rStyle w:val="FootnoteReference"/>
        </w:rPr>
        <w:footnoteReference w:id="27"/>
      </w:r>
      <w:r w:rsidR="0089246F">
        <w:t xml:space="preserve"> </w:t>
      </w:r>
      <w:r>
        <w:t>provides machine-readable annual report data, a</w:t>
      </w:r>
      <w:r w:rsidRPr="00797206">
        <w:t>dditional service delivery data about the department’s human services operations</w:t>
      </w:r>
      <w:r>
        <w:t xml:space="preserve"> (</w:t>
      </w:r>
      <w:r w:rsidRPr="00797206">
        <w:t xml:space="preserve">including </w:t>
      </w:r>
      <w:r>
        <w:t>s</w:t>
      </w:r>
      <w:r w:rsidRPr="00797206">
        <w:t xml:space="preserve">ocial housing and homelessness and </w:t>
      </w:r>
      <w:r>
        <w:t>c</w:t>
      </w:r>
      <w:r w:rsidRPr="00797206">
        <w:t>hild protection and family services</w:t>
      </w:r>
      <w:r>
        <w:t>).</w:t>
      </w:r>
    </w:p>
    <w:p w14:paraId="5FD85636" w14:textId="77777777" w:rsidR="00AC3C57" w:rsidRDefault="00AC3C57">
      <w:pPr>
        <w:pStyle w:val="ARbody"/>
        <w:sectPr w:rsidR="00AC3C57" w:rsidSect="007F43B1">
          <w:endnotePr>
            <w:numFmt w:val="decimal"/>
          </w:endnotePr>
          <w:type w:val="continuous"/>
          <w:pgSz w:w="11900" w:h="16840" w:code="9"/>
          <w:pgMar w:top="1588" w:right="1134" w:bottom="851" w:left="1134" w:header="510" w:footer="340" w:gutter="0"/>
          <w:cols w:space="454"/>
          <w:docGrid w:linePitch="326"/>
        </w:sectPr>
      </w:pPr>
    </w:p>
    <w:p w14:paraId="09704869" w14:textId="77777777" w:rsidR="00AC3C57" w:rsidRPr="004128A1" w:rsidRDefault="00AC3C57">
      <w:pPr>
        <w:pStyle w:val="Heading2"/>
      </w:pPr>
      <w:bookmarkStart w:id="225" w:name="_Toc114491214"/>
      <w:bookmarkStart w:id="226" w:name="_Toc149587063"/>
      <w:bookmarkStart w:id="227" w:name="_Toc212039552"/>
      <w:bookmarkStart w:id="228" w:name="_Ref492905722"/>
      <w:r w:rsidRPr="004128A1">
        <w:t>Social housing dwelling stock</w:t>
      </w:r>
      <w:bookmarkEnd w:id="225"/>
      <w:bookmarkEnd w:id="226"/>
      <w:bookmarkEnd w:id="227"/>
    </w:p>
    <w:p w14:paraId="3396A21C" w14:textId="77777777" w:rsidR="00AC3C57" w:rsidRPr="009962FD" w:rsidRDefault="00AC3C57">
      <w:pPr>
        <w:pStyle w:val="ARtablecaption"/>
        <w:rPr>
          <w:lang w:val="en"/>
        </w:rPr>
      </w:pPr>
      <w:bookmarkStart w:id="229" w:name="_Toc114491215"/>
      <w:bookmarkEnd w:id="228"/>
      <w:r>
        <w:t>Table 12: Summary of changes to social housing dwellings for 2024–25</w:t>
      </w:r>
    </w:p>
    <w:tbl>
      <w:tblPr>
        <w:tblStyle w:val="DFFHARtable1"/>
        <w:tblW w:w="9639" w:type="dxa"/>
        <w:tblLook w:val="06E0" w:firstRow="1" w:lastRow="1" w:firstColumn="1" w:lastColumn="0" w:noHBand="1" w:noVBand="1"/>
      </w:tblPr>
      <w:tblGrid>
        <w:gridCol w:w="8505"/>
        <w:gridCol w:w="1134"/>
      </w:tblGrid>
      <w:tr w:rsidR="00AC3C57" w:rsidRPr="00C5201F" w14:paraId="385B4618" w14:textId="77777777" w:rsidTr="004021B8">
        <w:trPr>
          <w:cnfStyle w:val="100000000000" w:firstRow="1" w:lastRow="0" w:firstColumn="0" w:lastColumn="0" w:oddVBand="0" w:evenVBand="0" w:oddHBand="0" w:evenHBand="0" w:firstRowFirstColumn="0" w:firstRowLastColumn="0" w:lastRowFirstColumn="0" w:lastRowLastColumn="0"/>
          <w:tblHeader/>
        </w:trPr>
        <w:tc>
          <w:tcPr>
            <w:tcW w:w="8505" w:type="dxa"/>
          </w:tcPr>
          <w:p w14:paraId="34D5EE54" w14:textId="77777777" w:rsidR="00AC3C57" w:rsidRPr="00E51E46" w:rsidRDefault="00AC3C57">
            <w:pPr>
              <w:pStyle w:val="ARtablecolhead"/>
              <w:spacing w:before="40" w:after="20"/>
            </w:pPr>
            <w:r w:rsidRPr="00E51E46">
              <w:rPr>
                <w:lang w:val="en-US"/>
              </w:rPr>
              <w:t>Description</w:t>
            </w:r>
          </w:p>
        </w:tc>
        <w:tc>
          <w:tcPr>
            <w:tcW w:w="1134" w:type="dxa"/>
            <w:shd w:val="clear" w:color="auto" w:fill="E7E6E6" w:themeFill="background2"/>
            <w:tcMar>
              <w:left w:w="113" w:type="dxa"/>
              <w:right w:w="113" w:type="dxa"/>
            </w:tcMar>
          </w:tcPr>
          <w:p w14:paraId="0E24E469" w14:textId="77777777" w:rsidR="00AC3C57" w:rsidRPr="00C5201F" w:rsidRDefault="00AC3C57">
            <w:pPr>
              <w:pStyle w:val="ARtablecolheadright"/>
              <w:spacing w:before="40" w:after="20"/>
            </w:pPr>
            <w:r w:rsidRPr="00C5201F">
              <w:rPr>
                <w:lang w:val="en-US"/>
              </w:rPr>
              <w:t>Units</w:t>
            </w:r>
          </w:p>
        </w:tc>
      </w:tr>
      <w:tr w:rsidR="00AC3C57" w:rsidRPr="009962FD" w14:paraId="59AD1C65" w14:textId="77777777" w:rsidTr="004021B8">
        <w:trPr>
          <w:cantSplit w:val="0"/>
        </w:trPr>
        <w:tc>
          <w:tcPr>
            <w:tcW w:w="8505" w:type="dxa"/>
          </w:tcPr>
          <w:p w14:paraId="209CD82B" w14:textId="77777777" w:rsidR="00AC3C57" w:rsidRPr="00E51E46" w:rsidRDefault="00AC3C57">
            <w:pPr>
              <w:pStyle w:val="ARtabletextbold"/>
              <w:spacing w:before="40" w:after="20"/>
            </w:pPr>
            <w:r w:rsidRPr="00E51E46">
              <w:t xml:space="preserve">Stock </w:t>
            </w:r>
            <w:proofErr w:type="gramStart"/>
            <w:r w:rsidRPr="00E51E46">
              <w:t>at</w:t>
            </w:r>
            <w:proofErr w:type="gramEnd"/>
            <w:r w:rsidRPr="00E51E46">
              <w:t xml:space="preserve"> 30 June 2024</w:t>
            </w:r>
          </w:p>
        </w:tc>
        <w:tc>
          <w:tcPr>
            <w:tcW w:w="1134" w:type="dxa"/>
            <w:shd w:val="clear" w:color="auto" w:fill="E7E6E6" w:themeFill="background2"/>
            <w:tcMar>
              <w:left w:w="113" w:type="dxa"/>
              <w:right w:w="113" w:type="dxa"/>
            </w:tcMar>
          </w:tcPr>
          <w:p w14:paraId="3C1DAE1B" w14:textId="77777777" w:rsidR="00AC3C57" w:rsidRPr="009962FD" w:rsidRDefault="00AC3C57">
            <w:pPr>
              <w:pStyle w:val="ARtabletextrightbold"/>
              <w:spacing w:before="40" w:after="20"/>
              <w:rPr>
                <w:highlight w:val="cyan"/>
              </w:rPr>
            </w:pPr>
            <w:r w:rsidRPr="00CC4284">
              <w:rPr>
                <w:bCs/>
              </w:rPr>
              <w:t>89,501</w:t>
            </w:r>
          </w:p>
        </w:tc>
      </w:tr>
      <w:tr w:rsidR="00AC3C57" w:rsidRPr="009962FD" w14:paraId="06F597E0" w14:textId="77777777" w:rsidTr="004021B8">
        <w:trPr>
          <w:cantSplit w:val="0"/>
        </w:trPr>
        <w:tc>
          <w:tcPr>
            <w:tcW w:w="8505" w:type="dxa"/>
          </w:tcPr>
          <w:p w14:paraId="61273FAE" w14:textId="77777777" w:rsidR="00AC3C57" w:rsidRPr="00E51E46" w:rsidRDefault="00AC3C57">
            <w:pPr>
              <w:pStyle w:val="ARtabletextbold"/>
              <w:spacing w:before="40" w:after="20"/>
            </w:pPr>
            <w:r w:rsidRPr="00E51E46">
              <w:t>Additions total</w:t>
            </w:r>
          </w:p>
        </w:tc>
        <w:tc>
          <w:tcPr>
            <w:tcW w:w="1134" w:type="dxa"/>
            <w:shd w:val="clear" w:color="auto" w:fill="E7E6E6" w:themeFill="background2"/>
            <w:tcMar>
              <w:left w:w="113" w:type="dxa"/>
              <w:right w:w="113" w:type="dxa"/>
            </w:tcMar>
          </w:tcPr>
          <w:p w14:paraId="39C2F31E" w14:textId="77777777" w:rsidR="00AC3C57" w:rsidRPr="009962FD" w:rsidRDefault="00AC3C57">
            <w:pPr>
              <w:pStyle w:val="ARtabletextrightbold"/>
              <w:spacing w:before="40" w:after="20"/>
              <w:rPr>
                <w:highlight w:val="cyan"/>
              </w:rPr>
            </w:pPr>
            <w:r w:rsidRPr="00CC4284">
              <w:rPr>
                <w:bCs/>
              </w:rPr>
              <w:t>2,392</w:t>
            </w:r>
          </w:p>
        </w:tc>
      </w:tr>
      <w:tr w:rsidR="00AC3C57" w:rsidRPr="009962FD" w14:paraId="083F1D01" w14:textId="77777777" w:rsidTr="004021B8">
        <w:trPr>
          <w:cantSplit w:val="0"/>
        </w:trPr>
        <w:tc>
          <w:tcPr>
            <w:tcW w:w="8505" w:type="dxa"/>
          </w:tcPr>
          <w:p w14:paraId="16D014EA" w14:textId="77777777" w:rsidR="00AC3C57" w:rsidRPr="00E51E46" w:rsidRDefault="00AC3C57">
            <w:pPr>
              <w:pStyle w:val="ARtabletext"/>
              <w:spacing w:before="40" w:after="20"/>
            </w:pPr>
            <w:r w:rsidRPr="00E51E46">
              <w:t>New handovers</w:t>
            </w:r>
          </w:p>
        </w:tc>
        <w:tc>
          <w:tcPr>
            <w:tcW w:w="1134" w:type="dxa"/>
            <w:shd w:val="clear" w:color="auto" w:fill="E7E6E6" w:themeFill="background2"/>
            <w:tcMar>
              <w:left w:w="113" w:type="dxa"/>
              <w:right w:w="113" w:type="dxa"/>
            </w:tcMar>
          </w:tcPr>
          <w:p w14:paraId="47BF12C0" w14:textId="77777777" w:rsidR="00AC3C57" w:rsidRPr="009962FD" w:rsidRDefault="00AC3C57">
            <w:pPr>
              <w:pStyle w:val="ARtabletextright"/>
              <w:spacing w:before="40" w:after="20"/>
              <w:rPr>
                <w:highlight w:val="cyan"/>
              </w:rPr>
            </w:pPr>
            <w:r w:rsidRPr="00CC4284">
              <w:t>1,616</w:t>
            </w:r>
          </w:p>
        </w:tc>
      </w:tr>
      <w:tr w:rsidR="00AC3C57" w:rsidRPr="009962FD" w14:paraId="09476190" w14:textId="77777777" w:rsidTr="004021B8">
        <w:trPr>
          <w:cantSplit w:val="0"/>
        </w:trPr>
        <w:tc>
          <w:tcPr>
            <w:tcW w:w="8505" w:type="dxa"/>
          </w:tcPr>
          <w:p w14:paraId="78486D40" w14:textId="77777777" w:rsidR="00AC3C57" w:rsidRPr="00E51E46" w:rsidRDefault="00AC3C57">
            <w:pPr>
              <w:pStyle w:val="ARtabletext"/>
              <w:spacing w:before="40" w:after="20"/>
            </w:pPr>
            <w:r>
              <w:t>Acquisition</w:t>
            </w:r>
          </w:p>
        </w:tc>
        <w:tc>
          <w:tcPr>
            <w:tcW w:w="1134" w:type="dxa"/>
            <w:shd w:val="clear" w:color="auto" w:fill="E7E6E6" w:themeFill="background2"/>
            <w:tcMar>
              <w:left w:w="113" w:type="dxa"/>
              <w:right w:w="113" w:type="dxa"/>
            </w:tcMar>
          </w:tcPr>
          <w:p w14:paraId="0D9431CE" w14:textId="77777777" w:rsidR="00AC3C57" w:rsidRPr="009962FD" w:rsidRDefault="00AC3C57">
            <w:pPr>
              <w:pStyle w:val="ARtabletextright"/>
              <w:spacing w:before="40" w:after="20"/>
              <w:rPr>
                <w:highlight w:val="cyan"/>
              </w:rPr>
            </w:pPr>
            <w:r w:rsidRPr="00CC4284">
              <w:t>655</w:t>
            </w:r>
          </w:p>
        </w:tc>
      </w:tr>
      <w:tr w:rsidR="00AC3C57" w:rsidRPr="009962FD" w14:paraId="78E9FE3E" w14:textId="77777777" w:rsidTr="004021B8">
        <w:trPr>
          <w:cantSplit w:val="0"/>
        </w:trPr>
        <w:tc>
          <w:tcPr>
            <w:tcW w:w="8505" w:type="dxa"/>
          </w:tcPr>
          <w:p w14:paraId="12768DDC" w14:textId="77777777" w:rsidR="00AC3C57" w:rsidRPr="00E51E46" w:rsidRDefault="00AC3C57">
            <w:pPr>
              <w:pStyle w:val="ARtabletext"/>
              <w:spacing w:before="40" w:after="20"/>
            </w:pPr>
            <w:r w:rsidRPr="00E51E46">
              <w:t>New short-term leases</w:t>
            </w:r>
          </w:p>
        </w:tc>
        <w:tc>
          <w:tcPr>
            <w:tcW w:w="1134" w:type="dxa"/>
            <w:shd w:val="clear" w:color="auto" w:fill="E7E6E6" w:themeFill="background2"/>
            <w:tcMar>
              <w:left w:w="113" w:type="dxa"/>
              <w:right w:w="113" w:type="dxa"/>
            </w:tcMar>
          </w:tcPr>
          <w:p w14:paraId="692CDB67" w14:textId="77777777" w:rsidR="00AC3C57" w:rsidRPr="009962FD" w:rsidRDefault="00AC3C57">
            <w:pPr>
              <w:pStyle w:val="ARtabletextright"/>
              <w:spacing w:before="40" w:after="20"/>
              <w:rPr>
                <w:highlight w:val="cyan"/>
              </w:rPr>
            </w:pPr>
            <w:r w:rsidRPr="00CC4284">
              <w:t>107</w:t>
            </w:r>
          </w:p>
        </w:tc>
      </w:tr>
      <w:tr w:rsidR="00AC3C57" w:rsidRPr="009962FD" w14:paraId="423DBB90" w14:textId="77777777" w:rsidTr="004021B8">
        <w:trPr>
          <w:cantSplit w:val="0"/>
        </w:trPr>
        <w:tc>
          <w:tcPr>
            <w:tcW w:w="8505" w:type="dxa"/>
          </w:tcPr>
          <w:p w14:paraId="43CB8C15" w14:textId="77777777" w:rsidR="00AC3C57" w:rsidRPr="00E51E46" w:rsidRDefault="00AC3C57">
            <w:pPr>
              <w:pStyle w:val="ARtabletext"/>
              <w:spacing w:before="40" w:after="20"/>
            </w:pPr>
            <w:r w:rsidRPr="00E51E46">
              <w:t>Stock online</w:t>
            </w:r>
          </w:p>
        </w:tc>
        <w:tc>
          <w:tcPr>
            <w:tcW w:w="1134" w:type="dxa"/>
            <w:shd w:val="clear" w:color="auto" w:fill="E7E6E6" w:themeFill="background2"/>
            <w:tcMar>
              <w:left w:w="113" w:type="dxa"/>
              <w:right w:w="113" w:type="dxa"/>
            </w:tcMar>
          </w:tcPr>
          <w:p w14:paraId="72C9C955" w14:textId="77777777" w:rsidR="00AC3C57" w:rsidRPr="009962FD" w:rsidRDefault="00AC3C57">
            <w:pPr>
              <w:pStyle w:val="ARtabletextright"/>
              <w:spacing w:before="40" w:after="20"/>
              <w:rPr>
                <w:highlight w:val="cyan"/>
              </w:rPr>
            </w:pPr>
            <w:r w:rsidRPr="00CC4284">
              <w:t>0</w:t>
            </w:r>
          </w:p>
        </w:tc>
      </w:tr>
      <w:tr w:rsidR="00AC3C57" w:rsidRPr="009962FD" w14:paraId="35622C5F" w14:textId="77777777" w:rsidTr="004021B8">
        <w:trPr>
          <w:cantSplit w:val="0"/>
        </w:trPr>
        <w:tc>
          <w:tcPr>
            <w:tcW w:w="8505" w:type="dxa"/>
          </w:tcPr>
          <w:p w14:paraId="55515C8D" w14:textId="77777777" w:rsidR="00AC3C57" w:rsidRPr="00E51E46" w:rsidRDefault="00AC3C57">
            <w:pPr>
              <w:pStyle w:val="ARtabletext"/>
              <w:spacing w:before="40" w:after="20"/>
            </w:pPr>
            <w:r w:rsidRPr="00E51E46">
              <w:t>Transferred</w:t>
            </w:r>
          </w:p>
        </w:tc>
        <w:tc>
          <w:tcPr>
            <w:tcW w:w="1134" w:type="dxa"/>
            <w:shd w:val="clear" w:color="auto" w:fill="E7E6E6" w:themeFill="background2"/>
            <w:tcMar>
              <w:left w:w="113" w:type="dxa"/>
              <w:right w:w="113" w:type="dxa"/>
            </w:tcMar>
          </w:tcPr>
          <w:p w14:paraId="2D5873E0" w14:textId="77777777" w:rsidR="00AC3C57" w:rsidRPr="009962FD" w:rsidRDefault="00AC3C57">
            <w:pPr>
              <w:pStyle w:val="ARtabletextright"/>
              <w:spacing w:before="40" w:after="20"/>
              <w:rPr>
                <w:highlight w:val="cyan"/>
              </w:rPr>
            </w:pPr>
            <w:r w:rsidRPr="00CC4284">
              <w:t>14</w:t>
            </w:r>
          </w:p>
        </w:tc>
      </w:tr>
      <w:tr w:rsidR="00AC3C57" w:rsidRPr="009962FD" w14:paraId="0E67BEDD" w14:textId="77777777" w:rsidTr="004021B8">
        <w:trPr>
          <w:cantSplit w:val="0"/>
        </w:trPr>
        <w:tc>
          <w:tcPr>
            <w:tcW w:w="8505" w:type="dxa"/>
          </w:tcPr>
          <w:p w14:paraId="124D03BE" w14:textId="77777777" w:rsidR="00AC3C57" w:rsidRPr="00E51E46" w:rsidRDefault="00AC3C57">
            <w:pPr>
              <w:pStyle w:val="ARtabletextbold"/>
              <w:spacing w:before="40" w:after="20"/>
            </w:pPr>
            <w:r w:rsidRPr="00E51E46">
              <w:t>Subtractions total</w:t>
            </w:r>
          </w:p>
        </w:tc>
        <w:tc>
          <w:tcPr>
            <w:tcW w:w="1134" w:type="dxa"/>
            <w:shd w:val="clear" w:color="auto" w:fill="E7E6E6" w:themeFill="background2"/>
            <w:tcMar>
              <w:left w:w="113" w:type="dxa"/>
              <w:right w:w="113" w:type="dxa"/>
            </w:tcMar>
          </w:tcPr>
          <w:p w14:paraId="2F955196" w14:textId="77777777" w:rsidR="00AC3C57" w:rsidRPr="009962FD" w:rsidRDefault="00AC3C57">
            <w:pPr>
              <w:pStyle w:val="ARtabletextrightbold"/>
              <w:spacing w:before="40" w:after="20"/>
              <w:rPr>
                <w:highlight w:val="cyan"/>
              </w:rPr>
            </w:pPr>
            <w:r w:rsidRPr="00CC4284">
              <w:rPr>
                <w:bCs/>
              </w:rPr>
              <w:t>825</w:t>
            </w:r>
          </w:p>
        </w:tc>
      </w:tr>
      <w:tr w:rsidR="00AC3C57" w:rsidRPr="009962FD" w14:paraId="15771392" w14:textId="77777777" w:rsidTr="004021B8">
        <w:trPr>
          <w:cantSplit w:val="0"/>
        </w:trPr>
        <w:tc>
          <w:tcPr>
            <w:tcW w:w="8505" w:type="dxa"/>
          </w:tcPr>
          <w:p w14:paraId="3D11CFD2" w14:textId="77777777" w:rsidR="00AC3C57" w:rsidRPr="00E51E46" w:rsidRDefault="00AC3C57">
            <w:pPr>
              <w:pStyle w:val="ARtabletext"/>
              <w:spacing w:before="40" w:after="20"/>
            </w:pPr>
            <w:r w:rsidRPr="00E51E46">
              <w:t>Sales</w:t>
            </w:r>
          </w:p>
        </w:tc>
        <w:tc>
          <w:tcPr>
            <w:tcW w:w="1134" w:type="dxa"/>
            <w:shd w:val="clear" w:color="auto" w:fill="E7E6E6" w:themeFill="background2"/>
            <w:tcMar>
              <w:left w:w="113" w:type="dxa"/>
              <w:right w:w="113" w:type="dxa"/>
            </w:tcMar>
          </w:tcPr>
          <w:p w14:paraId="6F5E7338" w14:textId="77777777" w:rsidR="00AC3C57" w:rsidRPr="009962FD" w:rsidRDefault="00AC3C57">
            <w:pPr>
              <w:pStyle w:val="ARtabletextright"/>
              <w:spacing w:before="40" w:after="20"/>
              <w:rPr>
                <w:highlight w:val="cyan"/>
              </w:rPr>
            </w:pPr>
            <w:r w:rsidRPr="00CC4284">
              <w:t>52</w:t>
            </w:r>
          </w:p>
        </w:tc>
      </w:tr>
      <w:tr w:rsidR="00AC3C57" w:rsidRPr="009962FD" w14:paraId="1ECC9E58" w14:textId="77777777" w:rsidTr="004021B8">
        <w:trPr>
          <w:cantSplit w:val="0"/>
        </w:trPr>
        <w:tc>
          <w:tcPr>
            <w:tcW w:w="8505" w:type="dxa"/>
          </w:tcPr>
          <w:p w14:paraId="143694FE" w14:textId="77777777" w:rsidR="00AC3C57" w:rsidRPr="00E51E46" w:rsidRDefault="00AC3C57">
            <w:pPr>
              <w:pStyle w:val="ARtabletext"/>
              <w:spacing w:before="40" w:after="20"/>
            </w:pPr>
            <w:r w:rsidRPr="00E51E46">
              <w:t>Demolitions</w:t>
            </w:r>
          </w:p>
        </w:tc>
        <w:tc>
          <w:tcPr>
            <w:tcW w:w="1134" w:type="dxa"/>
            <w:shd w:val="clear" w:color="auto" w:fill="E7E6E6" w:themeFill="background2"/>
            <w:tcMar>
              <w:left w:w="113" w:type="dxa"/>
              <w:right w:w="113" w:type="dxa"/>
            </w:tcMar>
          </w:tcPr>
          <w:p w14:paraId="0CFE9CA8" w14:textId="77777777" w:rsidR="00AC3C57" w:rsidRPr="009962FD" w:rsidRDefault="00AC3C57">
            <w:pPr>
              <w:pStyle w:val="ARtabletextright"/>
              <w:spacing w:before="40" w:after="20"/>
              <w:rPr>
                <w:highlight w:val="cyan"/>
              </w:rPr>
            </w:pPr>
            <w:r w:rsidRPr="00CC4284">
              <w:t>491</w:t>
            </w:r>
          </w:p>
        </w:tc>
      </w:tr>
      <w:tr w:rsidR="00AC3C57" w:rsidRPr="009962FD" w14:paraId="360A1A66" w14:textId="77777777" w:rsidTr="004021B8">
        <w:trPr>
          <w:cantSplit w:val="0"/>
        </w:trPr>
        <w:tc>
          <w:tcPr>
            <w:tcW w:w="8505" w:type="dxa"/>
          </w:tcPr>
          <w:p w14:paraId="2AE34A1F" w14:textId="77777777" w:rsidR="00AC3C57" w:rsidRPr="00E51E46" w:rsidRDefault="00AC3C57">
            <w:pPr>
              <w:pStyle w:val="ARtabletext"/>
              <w:spacing w:before="40" w:after="20"/>
            </w:pPr>
            <w:r w:rsidRPr="00E51E46">
              <w:t>Short-term lease hand backs</w:t>
            </w:r>
          </w:p>
        </w:tc>
        <w:tc>
          <w:tcPr>
            <w:tcW w:w="1134" w:type="dxa"/>
            <w:shd w:val="clear" w:color="auto" w:fill="E7E6E6" w:themeFill="background2"/>
            <w:tcMar>
              <w:left w:w="113" w:type="dxa"/>
              <w:right w:w="113" w:type="dxa"/>
            </w:tcMar>
          </w:tcPr>
          <w:p w14:paraId="6C9F4AEB" w14:textId="77777777" w:rsidR="00AC3C57" w:rsidRPr="009962FD" w:rsidRDefault="00AC3C57">
            <w:pPr>
              <w:pStyle w:val="ARtabletextright"/>
              <w:spacing w:before="40" w:after="20"/>
              <w:rPr>
                <w:highlight w:val="cyan"/>
              </w:rPr>
            </w:pPr>
            <w:r w:rsidRPr="00CC4284">
              <w:t>146</w:t>
            </w:r>
          </w:p>
        </w:tc>
      </w:tr>
      <w:tr w:rsidR="00AC3C57" w:rsidRPr="009962FD" w14:paraId="4157D97C" w14:textId="77777777" w:rsidTr="004021B8">
        <w:trPr>
          <w:cantSplit w:val="0"/>
        </w:trPr>
        <w:tc>
          <w:tcPr>
            <w:tcW w:w="8505" w:type="dxa"/>
          </w:tcPr>
          <w:p w14:paraId="3CA38CCD" w14:textId="77777777" w:rsidR="00AC3C57" w:rsidRPr="00E51E46" w:rsidRDefault="00AC3C57">
            <w:pPr>
              <w:pStyle w:val="ARtabletext"/>
              <w:spacing w:before="40" w:after="20"/>
            </w:pPr>
            <w:r w:rsidRPr="00E51E46">
              <w:t>Stock offline</w:t>
            </w:r>
          </w:p>
        </w:tc>
        <w:tc>
          <w:tcPr>
            <w:tcW w:w="1134" w:type="dxa"/>
            <w:shd w:val="clear" w:color="auto" w:fill="E7E6E6" w:themeFill="background2"/>
            <w:tcMar>
              <w:left w:w="113" w:type="dxa"/>
              <w:right w:w="113" w:type="dxa"/>
            </w:tcMar>
          </w:tcPr>
          <w:p w14:paraId="695D74D4" w14:textId="77777777" w:rsidR="00AC3C57" w:rsidRPr="009962FD" w:rsidRDefault="00AC3C57">
            <w:pPr>
              <w:pStyle w:val="ARtabletextright"/>
              <w:spacing w:before="40" w:after="20"/>
              <w:rPr>
                <w:highlight w:val="cyan"/>
              </w:rPr>
            </w:pPr>
            <w:r w:rsidRPr="00CC4284">
              <w:t>5</w:t>
            </w:r>
          </w:p>
        </w:tc>
      </w:tr>
      <w:tr w:rsidR="00AC3C57" w:rsidRPr="009962FD" w14:paraId="6FA6BF1C" w14:textId="77777777" w:rsidTr="004021B8">
        <w:trPr>
          <w:cantSplit w:val="0"/>
        </w:trPr>
        <w:tc>
          <w:tcPr>
            <w:tcW w:w="8505" w:type="dxa"/>
          </w:tcPr>
          <w:p w14:paraId="623F362C" w14:textId="77777777" w:rsidR="00AC3C57" w:rsidRPr="00E51E46" w:rsidRDefault="00AC3C57">
            <w:pPr>
              <w:pStyle w:val="ARtabletext"/>
              <w:spacing w:before="40" w:after="20"/>
            </w:pPr>
            <w:r w:rsidRPr="00E51E46">
              <w:t>Transferred</w:t>
            </w:r>
          </w:p>
        </w:tc>
        <w:tc>
          <w:tcPr>
            <w:tcW w:w="1134" w:type="dxa"/>
            <w:shd w:val="clear" w:color="auto" w:fill="E7E6E6" w:themeFill="background2"/>
            <w:tcMar>
              <w:left w:w="113" w:type="dxa"/>
              <w:right w:w="113" w:type="dxa"/>
            </w:tcMar>
          </w:tcPr>
          <w:p w14:paraId="2E0E24CE" w14:textId="77777777" w:rsidR="00AC3C57" w:rsidRPr="009962FD" w:rsidRDefault="00AC3C57">
            <w:pPr>
              <w:pStyle w:val="ARtabletextright"/>
              <w:spacing w:before="40" w:after="20"/>
              <w:rPr>
                <w:highlight w:val="cyan"/>
              </w:rPr>
            </w:pPr>
            <w:r w:rsidRPr="00CC4284">
              <w:t>10</w:t>
            </w:r>
          </w:p>
        </w:tc>
      </w:tr>
      <w:tr w:rsidR="00AC3C57" w:rsidRPr="009962FD" w14:paraId="4DFB8E39" w14:textId="77777777" w:rsidTr="004021B8">
        <w:trPr>
          <w:cantSplit w:val="0"/>
        </w:trPr>
        <w:tc>
          <w:tcPr>
            <w:tcW w:w="8505" w:type="dxa"/>
          </w:tcPr>
          <w:p w14:paraId="6AFE91ED" w14:textId="77777777" w:rsidR="00AC3C57" w:rsidRPr="00E51E46" w:rsidRDefault="00AC3C57">
            <w:pPr>
              <w:pStyle w:val="ARtabletext"/>
              <w:spacing w:before="40" w:after="20"/>
            </w:pPr>
            <w:r w:rsidRPr="00E51E46">
              <w:t>Other community housing disposals</w:t>
            </w:r>
          </w:p>
        </w:tc>
        <w:tc>
          <w:tcPr>
            <w:tcW w:w="1134" w:type="dxa"/>
            <w:shd w:val="clear" w:color="auto" w:fill="E7E6E6" w:themeFill="background2"/>
            <w:tcMar>
              <w:left w:w="113" w:type="dxa"/>
              <w:right w:w="113" w:type="dxa"/>
            </w:tcMar>
          </w:tcPr>
          <w:p w14:paraId="43311B92" w14:textId="77777777" w:rsidR="00AC3C57" w:rsidRPr="009962FD" w:rsidRDefault="00AC3C57">
            <w:pPr>
              <w:pStyle w:val="ARtabletextright"/>
              <w:spacing w:before="40" w:after="20"/>
              <w:rPr>
                <w:highlight w:val="cyan"/>
              </w:rPr>
            </w:pPr>
            <w:r w:rsidRPr="00CC4284">
              <w:t>121</w:t>
            </w:r>
          </w:p>
        </w:tc>
      </w:tr>
      <w:tr w:rsidR="00AC3C57" w:rsidRPr="009962FD" w14:paraId="4F8BE0C1" w14:textId="77777777" w:rsidTr="004021B8">
        <w:trPr>
          <w:cnfStyle w:val="010000000000" w:firstRow="0" w:lastRow="1" w:firstColumn="0" w:lastColumn="0" w:oddVBand="0" w:evenVBand="0" w:oddHBand="0" w:evenHBand="0" w:firstRowFirstColumn="0" w:firstRowLastColumn="0" w:lastRowFirstColumn="0" w:lastRowLastColumn="0"/>
          <w:cantSplit w:val="0"/>
        </w:trPr>
        <w:tc>
          <w:tcPr>
            <w:tcW w:w="8505" w:type="dxa"/>
          </w:tcPr>
          <w:p w14:paraId="468C06E9" w14:textId="77777777" w:rsidR="00AC3C57" w:rsidRPr="009962FD" w:rsidRDefault="00AC3C57">
            <w:pPr>
              <w:pStyle w:val="ARtabletextbold"/>
              <w:spacing w:before="40" w:after="20"/>
              <w:rPr>
                <w:highlight w:val="cyan"/>
              </w:rPr>
            </w:pPr>
            <w:r w:rsidRPr="00E51E46">
              <w:t xml:space="preserve">Stock </w:t>
            </w:r>
            <w:proofErr w:type="gramStart"/>
            <w:r w:rsidRPr="00E51E46">
              <w:t>at</w:t>
            </w:r>
            <w:proofErr w:type="gramEnd"/>
            <w:r w:rsidRPr="00E51E46">
              <w:t xml:space="preserve"> 30 June 2025</w:t>
            </w:r>
          </w:p>
        </w:tc>
        <w:tc>
          <w:tcPr>
            <w:tcW w:w="1134" w:type="dxa"/>
            <w:shd w:val="clear" w:color="auto" w:fill="E7E6E6" w:themeFill="background2"/>
            <w:tcMar>
              <w:left w:w="113" w:type="dxa"/>
              <w:right w:w="113" w:type="dxa"/>
            </w:tcMar>
          </w:tcPr>
          <w:p w14:paraId="04F1E932" w14:textId="77777777" w:rsidR="00AC3C57" w:rsidRPr="009962FD" w:rsidRDefault="00AC3C57">
            <w:pPr>
              <w:pStyle w:val="ARtabletextrightbold"/>
              <w:spacing w:before="40" w:after="20"/>
              <w:rPr>
                <w:highlight w:val="cyan"/>
              </w:rPr>
            </w:pPr>
            <w:r w:rsidRPr="00CC4284">
              <w:rPr>
                <w:bCs/>
              </w:rPr>
              <w:t>91,068</w:t>
            </w:r>
          </w:p>
        </w:tc>
      </w:tr>
    </w:tbl>
    <w:p w14:paraId="443A31CB" w14:textId="77777777" w:rsidR="00AC3C57" w:rsidRPr="005178AC" w:rsidRDefault="00AC3C57">
      <w:pPr>
        <w:pStyle w:val="ARtablefootnote"/>
      </w:pPr>
      <w:r w:rsidRPr="005178AC">
        <w:t>Notes:</w:t>
      </w:r>
    </w:p>
    <w:p w14:paraId="0794FEE2" w14:textId="77777777" w:rsidR="00AC3C57" w:rsidRPr="00B075C0" w:rsidRDefault="00AC3C57" w:rsidP="00B075C0">
      <w:pPr>
        <w:pStyle w:val="ARfootnotebullet"/>
      </w:pPr>
      <w:r w:rsidRPr="00B075C0">
        <w:t>Data includes Homes Victoria owned units (including leases and other Homes Victoria managed units) and community-owned units.</w:t>
      </w:r>
    </w:p>
    <w:p w14:paraId="7A02D82C" w14:textId="77777777" w:rsidR="00AC3C57" w:rsidRPr="00B075C0" w:rsidRDefault="00AC3C57" w:rsidP="00B075C0">
      <w:pPr>
        <w:pStyle w:val="ARfootnotebullet"/>
      </w:pPr>
      <w:r w:rsidRPr="00B075C0">
        <w:t>Transferred (additions) relates to homes previously used for other government or social enterprise programs transferred to social housing.</w:t>
      </w:r>
    </w:p>
    <w:p w14:paraId="5A2C1967" w14:textId="77777777" w:rsidR="00AC3C57" w:rsidRPr="005178AC" w:rsidRDefault="00AC3C57" w:rsidP="00B075C0">
      <w:pPr>
        <w:pStyle w:val="ARfootnotebullet"/>
        <w:sectPr w:rsidR="00AC3C57" w:rsidRPr="005178AC" w:rsidSect="007F43B1">
          <w:endnotePr>
            <w:numFmt w:val="decimal"/>
          </w:endnotePr>
          <w:type w:val="continuous"/>
          <w:pgSz w:w="11900" w:h="16840" w:code="9"/>
          <w:pgMar w:top="1588" w:right="1134" w:bottom="851" w:left="1134" w:header="510" w:footer="340" w:gutter="0"/>
          <w:cols w:space="454"/>
          <w:docGrid w:linePitch="326"/>
        </w:sectPr>
      </w:pPr>
      <w:r w:rsidRPr="00B075C0">
        <w:t>Transferred (subtractions) relates to homes previously used for social housing transferred to other government programs, including out-of-home</w:t>
      </w:r>
      <w:r w:rsidRPr="005178AC">
        <w:t xml:space="preserve"> care for children and mental health youth residential programs.</w:t>
      </w:r>
    </w:p>
    <w:p w14:paraId="68D7635A" w14:textId="32686BA6" w:rsidR="00AC3C57" w:rsidRDefault="00AC3C57" w:rsidP="00BB645D">
      <w:pPr>
        <w:pStyle w:val="Heading2"/>
        <w:spacing w:before="0" w:after="160"/>
        <w:sectPr w:rsidR="00AC3C57" w:rsidSect="007F43B1">
          <w:endnotePr>
            <w:numFmt w:val="decimal"/>
          </w:endnotePr>
          <w:type w:val="continuous"/>
          <w:pgSz w:w="11900" w:h="16840" w:code="9"/>
          <w:pgMar w:top="1588" w:right="1134" w:bottom="851" w:left="1134" w:header="510" w:footer="340" w:gutter="0"/>
          <w:cols w:space="454"/>
          <w:docGrid w:linePitch="326"/>
        </w:sectPr>
      </w:pPr>
      <w:bookmarkStart w:id="230" w:name="_Freedom_of_information"/>
      <w:bookmarkStart w:id="231" w:name="_Toc114491216"/>
      <w:bookmarkStart w:id="232" w:name="_Ref146703931"/>
      <w:bookmarkStart w:id="233" w:name="_Ref146704973"/>
      <w:bookmarkStart w:id="234" w:name="_Toc149587065"/>
      <w:bookmarkStart w:id="235" w:name="_Toc212039553"/>
      <w:bookmarkEnd w:id="229"/>
      <w:bookmarkEnd w:id="230"/>
      <w:r w:rsidRPr="00184D48">
        <w:lastRenderedPageBreak/>
        <w:t>Freedom of information</w:t>
      </w:r>
      <w:bookmarkEnd w:id="231"/>
      <w:bookmarkEnd w:id="232"/>
      <w:bookmarkEnd w:id="233"/>
      <w:bookmarkEnd w:id="234"/>
      <w:bookmarkEnd w:id="235"/>
    </w:p>
    <w:p w14:paraId="2A0B52DB" w14:textId="77777777" w:rsidR="00AC3C57" w:rsidRPr="00184D48" w:rsidRDefault="00AC3C57">
      <w:pPr>
        <w:pStyle w:val="ARbody"/>
      </w:pPr>
      <w:r w:rsidRPr="00184D48">
        <w:t xml:space="preserve">The </w:t>
      </w:r>
      <w:r w:rsidRPr="00E06E63">
        <w:rPr>
          <w:rStyle w:val="Emphasis"/>
        </w:rPr>
        <w:t xml:space="preserve">Freedom of Information Act 1982 </w:t>
      </w:r>
      <w:r w:rsidRPr="00184D48">
        <w:t>aims to extend as far as possible the right of the community to access information held by the Victorian Government and other bodies subject to the Act.</w:t>
      </w:r>
    </w:p>
    <w:p w14:paraId="2A88B91A" w14:textId="285FCA0F" w:rsidR="002F6D1F" w:rsidRDefault="00AC3C57">
      <w:pPr>
        <w:pStyle w:val="ARbody"/>
      </w:pPr>
      <w:r w:rsidRPr="00184D48">
        <w:t>The Act allows the department to refuse access, either fully or partially, to certain documents or</w:t>
      </w:r>
      <w:r w:rsidR="008071FB">
        <w:t> </w:t>
      </w:r>
      <w:r w:rsidRPr="00184D48">
        <w:t xml:space="preserve">information. </w:t>
      </w:r>
    </w:p>
    <w:p w14:paraId="0F766943" w14:textId="5A31E00D" w:rsidR="00AC3C57" w:rsidRPr="00184D48" w:rsidRDefault="00AC3C57">
      <w:pPr>
        <w:pStyle w:val="ARbody"/>
      </w:pPr>
      <w:r w:rsidRPr="00184D48">
        <w:t>Examples of documents that may not be accessed include Cabinet documents, some internal working documents, law enforcement documents, documents covered by legal professional privilege, such as legal advice, personal information about other people and documents relating to trade secrets. The Act provides a 30-day period for processing requests. This time may be extended where consultation is required and by agreement with the applicant.</w:t>
      </w:r>
    </w:p>
    <w:p w14:paraId="4CB0F0AD" w14:textId="77777777" w:rsidR="00AC3C57" w:rsidRPr="00D12D9B" w:rsidRDefault="00AC3C57">
      <w:pPr>
        <w:pStyle w:val="ARbody"/>
        <w:rPr>
          <w:highlight w:val="cyan"/>
        </w:rPr>
      </w:pPr>
      <w:r w:rsidRPr="00184D48">
        <w:t>If an applicant is not satisfied with a decision made by the department, including a decision about whether the application fee is to be waived, the applicant has the right to seek a review by the Office of the Victorian Information Commissioner within 28 days of receiving a decision letter.</w:t>
      </w:r>
    </w:p>
    <w:p w14:paraId="3B0E05AC" w14:textId="77777777" w:rsidR="00AC3C57" w:rsidRPr="00C04F97" w:rsidRDefault="00AC3C57">
      <w:pPr>
        <w:pStyle w:val="Heading3"/>
      </w:pPr>
      <w:bookmarkStart w:id="236" w:name="_Ref178661069"/>
      <w:r w:rsidRPr="00C04F97">
        <w:t>Making a request</w:t>
      </w:r>
      <w:bookmarkEnd w:id="236"/>
    </w:p>
    <w:p w14:paraId="23FC75BF" w14:textId="77777777" w:rsidR="00AC3C57" w:rsidRPr="00C04F97" w:rsidRDefault="00AC3C57">
      <w:pPr>
        <w:pStyle w:val="ARbody"/>
        <w:rPr>
          <w:lang w:eastAsia="en-AU"/>
        </w:rPr>
      </w:pPr>
      <w:r w:rsidRPr="00C04F97">
        <w:rPr>
          <w:lang w:eastAsia="en-AU"/>
        </w:rPr>
        <w:t>Access to documents may be obtained through written request to the department’s Freedom of Information Unit, pursuant to s. 17 of the Act.</w:t>
      </w:r>
    </w:p>
    <w:p w14:paraId="273DE732" w14:textId="77777777" w:rsidR="00AC3C57" w:rsidRPr="00C04F97" w:rsidRDefault="00AC3C57">
      <w:pPr>
        <w:pStyle w:val="ARbody"/>
        <w:rPr>
          <w:lang w:eastAsia="en-AU"/>
        </w:rPr>
      </w:pPr>
      <w:r w:rsidRPr="00C04F97">
        <w:rPr>
          <w:lang w:eastAsia="en-AU"/>
        </w:rPr>
        <w:t>In summary, the requirements for making a request are:</w:t>
      </w:r>
    </w:p>
    <w:p w14:paraId="0CDB3598" w14:textId="77777777" w:rsidR="00AC3C57" w:rsidRPr="00C04F97" w:rsidRDefault="00AC3C57">
      <w:pPr>
        <w:pStyle w:val="ARbullet1"/>
        <w:rPr>
          <w:lang w:eastAsia="en-AU"/>
        </w:rPr>
      </w:pPr>
      <w:r w:rsidRPr="00C04F97">
        <w:rPr>
          <w:lang w:eastAsia="en-AU"/>
        </w:rPr>
        <w:t>it must be in writing</w:t>
      </w:r>
    </w:p>
    <w:p w14:paraId="50A3C62F" w14:textId="77777777" w:rsidR="00AC3C57" w:rsidRPr="00C04F97" w:rsidRDefault="00AC3C57">
      <w:pPr>
        <w:pStyle w:val="ARbullet1"/>
        <w:rPr>
          <w:lang w:eastAsia="en-AU"/>
        </w:rPr>
      </w:pPr>
      <w:r w:rsidRPr="00C04F97">
        <w:rPr>
          <w:lang w:eastAsia="en-AU"/>
        </w:rPr>
        <w:t>it should provide such information concerning the document as is reasonably necessary to enable identification of the document</w:t>
      </w:r>
    </w:p>
    <w:p w14:paraId="35F6DB3B" w14:textId="77777777" w:rsidR="00AC3C57" w:rsidRDefault="00AC3C57">
      <w:pPr>
        <w:pStyle w:val="ARbullet1"/>
        <w:keepNext/>
        <w:keepLines/>
        <w:rPr>
          <w:lang w:eastAsia="en-AU"/>
        </w:rPr>
      </w:pPr>
      <w:r w:rsidRPr="00C04F97">
        <w:rPr>
          <w:lang w:eastAsia="en-AU"/>
        </w:rPr>
        <w:t>it should be accompanied by the application fee of $33.60 (the fee may be waived in certain circumstances).</w:t>
      </w:r>
    </w:p>
    <w:p w14:paraId="5A453E53" w14:textId="4F04E72D" w:rsidR="00AC3C57" w:rsidRPr="00C04F97" w:rsidRDefault="00E952D1">
      <w:pPr>
        <w:pStyle w:val="ARbodyafterbullets"/>
        <w:rPr>
          <w:lang w:eastAsia="en-AU"/>
        </w:rPr>
      </w:pPr>
      <w:r>
        <w:rPr>
          <w:lang w:eastAsia="en-AU"/>
        </w:rPr>
        <w:br w:type="column"/>
      </w:r>
      <w:r w:rsidR="00AC3C57" w:rsidRPr="00C04F97">
        <w:rPr>
          <w:lang w:eastAsia="en-AU"/>
        </w:rPr>
        <w:t>Requests for documents in the department’s possession should be addressed to:</w:t>
      </w:r>
    </w:p>
    <w:p w14:paraId="2D74D277" w14:textId="77777777" w:rsidR="00AC3C57" w:rsidRPr="00C04F97" w:rsidRDefault="00AC3C57">
      <w:pPr>
        <w:pStyle w:val="ARbodynospace"/>
        <w:keepNext/>
        <w:keepLines/>
      </w:pPr>
      <w:r w:rsidRPr="00C04F97">
        <w:t>Freedom of Information Unit</w:t>
      </w:r>
    </w:p>
    <w:p w14:paraId="75BAF0AD" w14:textId="77777777" w:rsidR="00AC3C57" w:rsidRPr="00C04F97" w:rsidRDefault="00AC3C57">
      <w:pPr>
        <w:pStyle w:val="ARbodynospace"/>
        <w:keepNext/>
        <w:keepLines/>
      </w:pPr>
      <w:r w:rsidRPr="00C04F97">
        <w:t>Department of Families, Fairness and Housing</w:t>
      </w:r>
    </w:p>
    <w:p w14:paraId="1FB007B3" w14:textId="77777777" w:rsidR="00AC3C57" w:rsidRPr="00C04F97" w:rsidRDefault="00AC3C57">
      <w:pPr>
        <w:pStyle w:val="ARbodynospace"/>
        <w:keepNext/>
        <w:keepLines/>
      </w:pPr>
      <w:r w:rsidRPr="00C04F97">
        <w:t>GPO Box 1774</w:t>
      </w:r>
    </w:p>
    <w:p w14:paraId="3F241267" w14:textId="77777777" w:rsidR="00AC3C57" w:rsidRDefault="00AC3C57">
      <w:pPr>
        <w:pStyle w:val="ARbody"/>
        <w:keepNext/>
        <w:keepLines/>
      </w:pPr>
      <w:r w:rsidRPr="00C04F97">
        <w:t>Melbourne VIC 3001</w:t>
      </w:r>
    </w:p>
    <w:p w14:paraId="2304B68E" w14:textId="0A257ACC" w:rsidR="006B25B4" w:rsidRDefault="00AC3C57" w:rsidP="006B25B4">
      <w:pPr>
        <w:pStyle w:val="ARbody"/>
      </w:pPr>
      <w:r w:rsidRPr="00C04F97">
        <w:t xml:space="preserve">Requests and payment of the application fee can also be lodged online with the </w:t>
      </w:r>
      <w:hyperlink r:id="rId137" w:history="1">
        <w:r w:rsidRPr="00C04F97">
          <w:rPr>
            <w:rStyle w:val="Hyperlink"/>
          </w:rPr>
          <w:t>Office of the Victorian Information Commissioner</w:t>
        </w:r>
      </w:hyperlink>
      <w:r w:rsidR="00C737E4">
        <w:t>.</w:t>
      </w:r>
      <w:r w:rsidR="00C737E4">
        <w:rPr>
          <w:rStyle w:val="FootnoteReference"/>
        </w:rPr>
        <w:footnoteReference w:id="28"/>
      </w:r>
      <w:r w:rsidR="006B3233">
        <w:t xml:space="preserve"> </w:t>
      </w:r>
    </w:p>
    <w:p w14:paraId="499E7ED9" w14:textId="06DC3B75" w:rsidR="00AC3C57" w:rsidRPr="00C04F97" w:rsidRDefault="00AC3C57">
      <w:pPr>
        <w:pStyle w:val="ARbody"/>
      </w:pPr>
      <w:r w:rsidRPr="00C04F97">
        <w:t>Telephone enquiries can be made by calling 1300 151 883.</w:t>
      </w:r>
    </w:p>
    <w:p w14:paraId="60751D8D" w14:textId="77777777" w:rsidR="00AC3C57" w:rsidRPr="00C04F97" w:rsidRDefault="00AC3C57">
      <w:pPr>
        <w:pStyle w:val="ARbody"/>
      </w:pPr>
      <w:r w:rsidRPr="00C04F97">
        <w:t>Access charges for photocopying and search retrieval may also apply once the request has been finalised.</w:t>
      </w:r>
    </w:p>
    <w:p w14:paraId="07FB9872" w14:textId="77777777" w:rsidR="00AC3C57" w:rsidRPr="00C04F97" w:rsidRDefault="00AC3C57">
      <w:pPr>
        <w:pStyle w:val="Heading3"/>
      </w:pPr>
      <w:r w:rsidRPr="00C04F97">
        <w:t>FOI statistics/timeliness</w:t>
      </w:r>
    </w:p>
    <w:p w14:paraId="5A14084E" w14:textId="77777777" w:rsidR="00AC3C57" w:rsidRPr="00C04F97" w:rsidRDefault="00AC3C57">
      <w:pPr>
        <w:pStyle w:val="ARbody"/>
      </w:pPr>
      <w:r w:rsidRPr="00C04F97">
        <w:t>During 2024</w:t>
      </w:r>
      <w:r>
        <w:t>–</w:t>
      </w:r>
      <w:r w:rsidRPr="00C04F97">
        <w:t>2025, 2,628 applications were received. Of these, 23 were from Members of Parliament, 13 were from the media, and the remainder were from the public.</w:t>
      </w:r>
    </w:p>
    <w:p w14:paraId="4D8F8FB2" w14:textId="77777777" w:rsidR="00AC3C57" w:rsidRPr="00C04F97" w:rsidRDefault="00AC3C57">
      <w:pPr>
        <w:pStyle w:val="ARbody"/>
      </w:pPr>
      <w:bookmarkStart w:id="237" w:name="_Ref52282040"/>
      <w:r w:rsidRPr="00C04F97">
        <w:t>The department made 1,262 FOI decisions and processed 67</w:t>
      </w:r>
      <w:r>
        <w:t>%</w:t>
      </w:r>
      <w:r w:rsidRPr="00C04F97">
        <w:t xml:space="preserve"> of requests within the statutory period. Of the requests finalised, 35</w:t>
      </w:r>
      <w:r>
        <w:t>%</w:t>
      </w:r>
      <w:r w:rsidRPr="00C04F97">
        <w:t xml:space="preserve"> were granted in full or in part.</w:t>
      </w:r>
    </w:p>
    <w:p w14:paraId="35B80E5F" w14:textId="56790D65" w:rsidR="00AC3C57" w:rsidRDefault="00AC3C57">
      <w:pPr>
        <w:pStyle w:val="ARbody"/>
      </w:pPr>
      <w:r w:rsidRPr="00C04F97">
        <w:t xml:space="preserve">Forty-two decisions were subject to review by the Office of the Victorian Information </w:t>
      </w:r>
      <w:r w:rsidR="00314466" w:rsidRPr="00C04F97">
        <w:t>Commissioner,</w:t>
      </w:r>
      <w:r w:rsidRPr="00C04F97">
        <w:t xml:space="preserve"> and </w:t>
      </w:r>
      <w:r>
        <w:t>7</w:t>
      </w:r>
      <w:r w:rsidRPr="00C04F97">
        <w:t xml:space="preserve"> appeals were made to the Victorian Civil and Administrative Tribunal</w:t>
      </w:r>
      <w:bookmarkEnd w:id="237"/>
      <w:r w:rsidRPr="00C04F97">
        <w:t>.</w:t>
      </w:r>
    </w:p>
    <w:p w14:paraId="1B759BF6" w14:textId="77777777" w:rsidR="00E952D1" w:rsidRDefault="00E952D1">
      <w:pPr>
        <w:pStyle w:val="ARbody"/>
        <w:sectPr w:rsidR="00E952D1" w:rsidSect="007F43B1">
          <w:endnotePr>
            <w:numFmt w:val="decimal"/>
          </w:endnotePr>
          <w:type w:val="continuous"/>
          <w:pgSz w:w="11900" w:h="16840" w:code="9"/>
          <w:pgMar w:top="1588" w:right="1134" w:bottom="851" w:left="1134" w:header="510" w:footer="340" w:gutter="0"/>
          <w:cols w:num="2" w:space="454"/>
          <w:titlePg/>
          <w:docGrid w:linePitch="326"/>
        </w:sectPr>
      </w:pPr>
    </w:p>
    <w:p w14:paraId="43774F6D" w14:textId="77777777" w:rsidR="00AC3C57" w:rsidRDefault="00AC3C57" w:rsidP="008071FB">
      <w:pPr>
        <w:pStyle w:val="Heading2"/>
        <w:spacing w:before="0"/>
        <w:sectPr w:rsidR="00AC3C57" w:rsidSect="007F43B1">
          <w:endnotePr>
            <w:numFmt w:val="decimal"/>
          </w:endnotePr>
          <w:pgSz w:w="11900" w:h="16840" w:code="9"/>
          <w:pgMar w:top="1588" w:right="1134" w:bottom="851" w:left="1134" w:header="510" w:footer="340" w:gutter="0"/>
          <w:cols w:space="454"/>
          <w:titlePg/>
          <w:docGrid w:linePitch="326"/>
        </w:sectPr>
      </w:pPr>
      <w:bookmarkStart w:id="238" w:name="_Ref178663877"/>
      <w:bookmarkStart w:id="239" w:name="_Toc212039554"/>
      <w:bookmarkStart w:id="240" w:name="_Ref85114455"/>
      <w:bookmarkStart w:id="241" w:name="_Toc114491218"/>
      <w:r w:rsidRPr="008071FB">
        <w:lastRenderedPageBreak/>
        <w:t>Environmental</w:t>
      </w:r>
      <w:r w:rsidRPr="00E509AA">
        <w:t xml:space="preserve"> performance and impacts</w:t>
      </w:r>
      <w:bookmarkEnd w:id="238"/>
      <w:bookmarkEnd w:id="239"/>
    </w:p>
    <w:p w14:paraId="532EF205" w14:textId="77777777" w:rsidR="00AC3C57" w:rsidRPr="001C520C" w:rsidRDefault="00AC3C57">
      <w:pPr>
        <w:pStyle w:val="ARbody"/>
      </w:pPr>
      <w:r w:rsidRPr="001C520C">
        <w:t xml:space="preserve">The department </w:t>
      </w:r>
      <w:r>
        <w:t>aims for</w:t>
      </w:r>
      <w:r w:rsidRPr="001C520C">
        <w:t xml:space="preserve"> environmental</w:t>
      </w:r>
      <w:r>
        <w:t>ly</w:t>
      </w:r>
      <w:r w:rsidRPr="001C520C">
        <w:t xml:space="preserve"> </w:t>
      </w:r>
      <w:r>
        <w:t>sustainable</w:t>
      </w:r>
      <w:r w:rsidRPr="001C520C">
        <w:t xml:space="preserve"> operations. </w:t>
      </w:r>
      <w:r>
        <w:t>Our corporate strategy includes s</w:t>
      </w:r>
      <w:r w:rsidRPr="001C520C">
        <w:t xml:space="preserve">ustainability and </w:t>
      </w:r>
      <w:r>
        <w:t>climate risk mitigation</w:t>
      </w:r>
      <w:r w:rsidRPr="001C520C">
        <w:t xml:space="preserve">. </w:t>
      </w:r>
      <w:r>
        <w:t>We</w:t>
      </w:r>
      <w:r w:rsidRPr="001C520C">
        <w:t xml:space="preserve"> support </w:t>
      </w:r>
      <w:r w:rsidRPr="678B3C75">
        <w:t xml:space="preserve">the </w:t>
      </w:r>
      <w:r w:rsidRPr="001C520C">
        <w:t xml:space="preserve">Victorian public sector </w:t>
      </w:r>
      <w:r w:rsidRPr="678B3C75">
        <w:t>in adopting new technology</w:t>
      </w:r>
      <w:r w:rsidRPr="001C520C">
        <w:t xml:space="preserve"> that </w:t>
      </w:r>
      <w:r>
        <w:t>reduces</w:t>
      </w:r>
      <w:r w:rsidRPr="001C520C">
        <w:t xml:space="preserve"> emissions and </w:t>
      </w:r>
      <w:r>
        <w:t>delivers</w:t>
      </w:r>
      <w:r w:rsidRPr="001C520C">
        <w:t xml:space="preserve"> environmental sustainability.</w:t>
      </w:r>
    </w:p>
    <w:p w14:paraId="4B079976" w14:textId="77777777" w:rsidR="00AC3C57" w:rsidRPr="001C520C" w:rsidRDefault="00AC3C57">
      <w:pPr>
        <w:pStyle w:val="Heading3"/>
      </w:pPr>
      <w:r w:rsidRPr="001C520C">
        <w:t>Highlights</w:t>
      </w:r>
    </w:p>
    <w:p w14:paraId="7D971011" w14:textId="77777777" w:rsidR="00AC3C57" w:rsidRPr="001C520C" w:rsidRDefault="00AC3C57">
      <w:pPr>
        <w:pStyle w:val="ARbody"/>
      </w:pPr>
      <w:r w:rsidRPr="001C520C">
        <w:t>Highlights for the period included:</w:t>
      </w:r>
    </w:p>
    <w:p w14:paraId="275051F7" w14:textId="77777777" w:rsidR="00AC3C57" w:rsidRPr="0040344F" w:rsidRDefault="00AC3C57">
      <w:pPr>
        <w:pStyle w:val="ARbullet1"/>
        <w:rPr>
          <w:color w:val="000000" w:themeColor="text1"/>
        </w:rPr>
      </w:pPr>
      <w:r w:rsidRPr="0040344F">
        <w:t xml:space="preserve">continuing </w:t>
      </w:r>
      <w:r>
        <w:t>to deliver</w:t>
      </w:r>
      <w:r w:rsidRPr="0040344F">
        <w:t xml:space="preserve"> the Energy Efficiency in Social Housing Program</w:t>
      </w:r>
      <w:r>
        <w:t xml:space="preserve">. This program </w:t>
      </w:r>
      <w:r w:rsidRPr="0040344F">
        <w:t>upgrade</w:t>
      </w:r>
      <w:r>
        <w:t>s</w:t>
      </w:r>
      <w:r w:rsidRPr="0040344F">
        <w:t xml:space="preserve"> homes to improve thermal comfort and reduce greenhouse gas emissions. Expansions to the program were announced in 2023</w:t>
      </w:r>
      <w:r>
        <w:t>–</w:t>
      </w:r>
      <w:r w:rsidRPr="0040344F">
        <w:t>24 and 2024</w:t>
      </w:r>
      <w:r>
        <w:t>–</w:t>
      </w:r>
      <w:r w:rsidRPr="0040344F">
        <w:t>25</w:t>
      </w:r>
      <w:r>
        <w:t>. This includes</w:t>
      </w:r>
      <w:r w:rsidRPr="0040344F">
        <w:t xml:space="preserve"> an</w:t>
      </w:r>
      <w:r w:rsidRPr="0040344F" w:rsidDel="006438AA">
        <w:t xml:space="preserve"> </w:t>
      </w:r>
      <w:r w:rsidRPr="0040344F">
        <w:t xml:space="preserve">additional $25.7 million in </w:t>
      </w:r>
      <w:r>
        <w:t>s</w:t>
      </w:r>
      <w:r w:rsidRPr="0040344F">
        <w:t>tate funding and $71.7 million in matched federal funding</w:t>
      </w:r>
      <w:r>
        <w:t xml:space="preserve">. This funding will </w:t>
      </w:r>
      <w:r w:rsidRPr="0040344F">
        <w:t xml:space="preserve">support </w:t>
      </w:r>
      <w:r w:rsidRPr="0040344F" w:rsidDel="005B733E">
        <w:t xml:space="preserve">the </w:t>
      </w:r>
      <w:r w:rsidRPr="0040344F">
        <w:t>installation of thermal shell upgrades,</w:t>
      </w:r>
      <w:r w:rsidRPr="0040344F" w:rsidDel="00B43844">
        <w:t xml:space="preserve"> </w:t>
      </w:r>
      <w:r w:rsidRPr="0040344F">
        <w:t>efficient electric appliances and solar photovoltaic systems to a further 11,000 households</w:t>
      </w:r>
      <w:r>
        <w:rPr>
          <w:color w:val="000000" w:themeColor="text1"/>
        </w:rPr>
        <w:t xml:space="preserve">. More than </w:t>
      </w:r>
      <w:r w:rsidRPr="0040344F">
        <w:rPr>
          <w:color w:val="000000" w:themeColor="text1"/>
        </w:rPr>
        <w:t xml:space="preserve">5,000 </w:t>
      </w:r>
      <w:r>
        <w:rPr>
          <w:color w:val="000000" w:themeColor="text1"/>
        </w:rPr>
        <w:t>of these w</w:t>
      </w:r>
      <w:r w:rsidRPr="0040344F">
        <w:rPr>
          <w:color w:val="000000" w:themeColor="text1"/>
        </w:rPr>
        <w:t>ill be fully electrified</w:t>
      </w:r>
    </w:p>
    <w:p w14:paraId="4F6538E3" w14:textId="03C28134" w:rsidR="00AC3C57" w:rsidRPr="0040344F" w:rsidRDefault="00AC3C57">
      <w:pPr>
        <w:pStyle w:val="ARbullet1"/>
      </w:pPr>
      <w:r>
        <w:t>commencing the roll</w:t>
      </w:r>
      <w:r w:rsidR="00DC6507">
        <w:t>-</w:t>
      </w:r>
      <w:r>
        <w:t>out of the Cooling our Public Housing Towers program. This includes installing 477 relocatable air conditioners across 6 high-rise towers completed during the year</w:t>
      </w:r>
    </w:p>
    <w:p w14:paraId="7944333B" w14:textId="77777777" w:rsidR="00AC3C57" w:rsidRPr="0040344F" w:rsidRDefault="00AC3C57">
      <w:pPr>
        <w:pStyle w:val="ARbullet1"/>
      </w:pPr>
      <w:r>
        <w:t>partnering with a local energy network operator. This will deliver public, community and affordable housing renters at new sites the best energy deal on the market. They will be supplied with 100% renewable energy. This arrangement now covers 5 newly developed sites, with additional sites to come</w:t>
      </w:r>
    </w:p>
    <w:p w14:paraId="486E454F" w14:textId="77777777" w:rsidR="00AC3C57" w:rsidRPr="00B1682C" w:rsidRDefault="00AC3C57">
      <w:pPr>
        <w:pStyle w:val="ARbullet1"/>
      </w:pPr>
      <w:r w:rsidRPr="00B1682C">
        <w:t xml:space="preserve">progressing the </w:t>
      </w:r>
      <w:proofErr w:type="gramStart"/>
      <w:r w:rsidRPr="00E06E63">
        <w:rPr>
          <w:rStyle w:val="Emphasis"/>
        </w:rPr>
        <w:t>Health</w:t>
      </w:r>
      <w:proofErr w:type="gramEnd"/>
      <w:r w:rsidRPr="00E06E63">
        <w:rPr>
          <w:rStyle w:val="Emphasis"/>
        </w:rPr>
        <w:t xml:space="preserve"> and human services climate change adaptation action plan </w:t>
      </w:r>
      <w:r w:rsidRPr="00E06E63">
        <w:rPr>
          <w:rStyle w:val="Emphasis"/>
        </w:rPr>
        <w:br/>
        <w:t xml:space="preserve">2022–26 </w:t>
      </w:r>
      <w:r w:rsidRPr="00B1682C">
        <w:t>actions</w:t>
      </w:r>
      <w:r>
        <w:t>. These occurred</w:t>
      </w:r>
      <w:r w:rsidRPr="00B1682C">
        <w:t xml:space="preserve"> across health and social housing infrastructure, public health programs and services. Activities </w:t>
      </w:r>
      <w:r>
        <w:t>included</w:t>
      </w:r>
      <w:r w:rsidRPr="00B1682C">
        <w:t xml:space="preserve">: </w:t>
      </w:r>
    </w:p>
    <w:p w14:paraId="6A86F492" w14:textId="77777777" w:rsidR="006B25B4" w:rsidRDefault="00AC3C57">
      <w:pPr>
        <w:pStyle w:val="ARbullet2"/>
      </w:pPr>
      <w:r w:rsidRPr="00C41A15">
        <w:t>improving the department</w:t>
      </w:r>
      <w:r>
        <w:t>’</w:t>
      </w:r>
      <w:r w:rsidRPr="00C41A15">
        <w:t xml:space="preserve">s climate risk </w:t>
      </w:r>
      <w:r w:rsidRPr="00464FA5">
        <w:t>maturity via participation in a climate risk communities of practice</w:t>
      </w:r>
    </w:p>
    <w:p w14:paraId="620342AE" w14:textId="04654933" w:rsidR="00AC3C57" w:rsidRDefault="00AC3C57">
      <w:pPr>
        <w:pStyle w:val="ARbullet2"/>
        <w:rPr>
          <w:rStyle w:val="Emphasis"/>
        </w:rPr>
      </w:pPr>
      <w:r w:rsidRPr="00464FA5">
        <w:t>further refining a Monitoring, Evaluation, Reporting and Improvement framework</w:t>
      </w:r>
      <w:r>
        <w:t>. This sets</w:t>
      </w:r>
      <w:r w:rsidRPr="00464FA5">
        <w:t xml:space="preserve"> the foundation for periodic monitoring and reporting, and provides a high-level evaluation framework as required by the </w:t>
      </w:r>
      <w:r w:rsidRPr="00E06E63">
        <w:rPr>
          <w:rStyle w:val="Emphasis"/>
        </w:rPr>
        <w:t>Climate Action Act 2017</w:t>
      </w:r>
    </w:p>
    <w:p w14:paraId="3221F224" w14:textId="4AF41E7A" w:rsidR="00AC3C57" w:rsidRPr="00464FA5" w:rsidRDefault="008071FB" w:rsidP="00DA434D">
      <w:pPr>
        <w:pStyle w:val="ARbullet1"/>
      </w:pPr>
      <w:r>
        <w:rPr>
          <w:rStyle w:val="Emphasis"/>
        </w:rPr>
        <w:br w:type="column"/>
      </w:r>
      <w:r w:rsidR="00AC3C57">
        <w:t>u</w:t>
      </w:r>
      <w:r w:rsidR="00AC3C57" w:rsidRPr="00464FA5">
        <w:t>ndertaking a climate risk assessment to identify and evaluate the potential impacts of future climate hazards</w:t>
      </w:r>
      <w:r w:rsidR="00AC3C57">
        <w:t>. This includes t</w:t>
      </w:r>
      <w:r w:rsidR="00AC3C57" w:rsidRPr="00464FA5">
        <w:t>heir likelihood and consequences for assets within the portfolio</w:t>
      </w:r>
      <w:r w:rsidR="00AC3C57">
        <w:t xml:space="preserve">. This work will </w:t>
      </w:r>
      <w:r w:rsidR="00AC3C57" w:rsidRPr="00464FA5">
        <w:t>inform decisions and actions to increase climate resilience</w:t>
      </w:r>
      <w:r w:rsidR="00AC3C57">
        <w:t>.</w:t>
      </w:r>
    </w:p>
    <w:p w14:paraId="5B531C41" w14:textId="77777777" w:rsidR="00AC3C57" w:rsidRPr="00464FA5" w:rsidRDefault="00AC3C57">
      <w:pPr>
        <w:pStyle w:val="Heading3"/>
      </w:pPr>
      <w:r>
        <w:t>E</w:t>
      </w:r>
      <w:r w:rsidRPr="00464FA5">
        <w:t>nvironmental management system</w:t>
      </w:r>
    </w:p>
    <w:p w14:paraId="1E6FC6E7" w14:textId="77777777" w:rsidR="00AC3C57" w:rsidRDefault="00AC3C57">
      <w:pPr>
        <w:pStyle w:val="ARbody"/>
      </w:pPr>
      <w:r w:rsidRPr="00464FA5">
        <w:t>The department</w:t>
      </w:r>
      <w:r>
        <w:t>’s</w:t>
      </w:r>
      <w:r w:rsidRPr="00464FA5">
        <w:t xml:space="preserve"> environmental management system (EMS)</w:t>
      </w:r>
      <w:r>
        <w:t xml:space="preserve"> was</w:t>
      </w:r>
      <w:r w:rsidRPr="00464FA5">
        <w:t xml:space="preserve"> developed by the Department of Health and Human Services. The EMS is a </w:t>
      </w:r>
      <w:r>
        <w:t xml:space="preserve">detailed </w:t>
      </w:r>
      <w:r w:rsidRPr="00464FA5">
        <w:t xml:space="preserve">approach to managing environmental impacts and improving environmental performance. It is based on the national standard </w:t>
      </w:r>
      <w:r w:rsidRPr="00E06E63">
        <w:rPr>
          <w:rStyle w:val="Emphasis"/>
        </w:rPr>
        <w:t>AS/NZS ISO 14001:2016: Environmental Management Systems</w:t>
      </w:r>
      <w:r w:rsidRPr="00B55528">
        <w:rPr>
          <w:rStyle w:val="Emphasis"/>
          <w:i w:val="0"/>
          <w:iCs w:val="0"/>
        </w:rPr>
        <w:t>. I</w:t>
      </w:r>
      <w:r>
        <w:t xml:space="preserve">t </w:t>
      </w:r>
      <w:r w:rsidRPr="00464FA5">
        <w:t>provides a framework for the department to improve its environmental sustainability.</w:t>
      </w:r>
    </w:p>
    <w:p w14:paraId="412E44DD" w14:textId="77777777" w:rsidR="00AC3C57" w:rsidRDefault="00AC3C57">
      <w:pPr>
        <w:pStyle w:val="ARbody"/>
      </w:pPr>
      <w:r w:rsidRPr="77D25D40">
        <w:t xml:space="preserve">The EMS was last audited in </w:t>
      </w:r>
      <w:r>
        <w:t xml:space="preserve">2020. The audit </w:t>
      </w:r>
      <w:r w:rsidRPr="00720C08">
        <w:t xml:space="preserve">reported no significant findings. The </w:t>
      </w:r>
      <w:r>
        <w:t>d</w:t>
      </w:r>
      <w:r w:rsidRPr="00720C08">
        <w:t>epartment has procedures to conform with AS/NZS ISO 14001:2016</w:t>
      </w:r>
      <w:r>
        <w:t xml:space="preserve">. </w:t>
      </w:r>
    </w:p>
    <w:p w14:paraId="2714ADED" w14:textId="77777777" w:rsidR="00AC3C57" w:rsidRPr="00464FA5" w:rsidRDefault="00AC3C57">
      <w:pPr>
        <w:pStyle w:val="ARbody"/>
      </w:pPr>
      <w:r w:rsidRPr="00464FA5">
        <w:t>The EMS objectives include:</w:t>
      </w:r>
    </w:p>
    <w:p w14:paraId="5F611631" w14:textId="77777777" w:rsidR="00AC3C57" w:rsidRPr="00464FA5" w:rsidRDefault="00AC3C57">
      <w:pPr>
        <w:pStyle w:val="ARbullet1"/>
      </w:pPr>
      <w:r w:rsidRPr="00464FA5">
        <w:t>reducing greenhouse gas emissions resulting from the department’s operational activities</w:t>
      </w:r>
    </w:p>
    <w:p w14:paraId="2A9D3F60" w14:textId="77777777" w:rsidR="00AC3C57" w:rsidRPr="00464FA5" w:rsidRDefault="00AC3C57">
      <w:pPr>
        <w:pStyle w:val="ARbullet1"/>
      </w:pPr>
      <w:r w:rsidRPr="00464FA5">
        <w:t>reducing the amount of waste and maximising the amount of reused and recycled resources in procurement</w:t>
      </w:r>
    </w:p>
    <w:p w14:paraId="6D951D17" w14:textId="77777777" w:rsidR="00AC3C57" w:rsidRPr="00464FA5" w:rsidRDefault="00AC3C57">
      <w:pPr>
        <w:pStyle w:val="ARbullet1"/>
      </w:pPr>
      <w:r w:rsidRPr="00464FA5">
        <w:t>ensuring new capital works incorporate environmentally sustainable principles in design, construction and operation</w:t>
      </w:r>
    </w:p>
    <w:p w14:paraId="0C89E5AF" w14:textId="77777777" w:rsidR="00AC3C57" w:rsidRPr="00464FA5" w:rsidRDefault="00AC3C57">
      <w:pPr>
        <w:pStyle w:val="ARbullet1"/>
      </w:pPr>
      <w:r w:rsidRPr="00464FA5">
        <w:t>encouraging staff to reduce environmental impacts through behaviour change</w:t>
      </w:r>
    </w:p>
    <w:p w14:paraId="213D1476" w14:textId="38263361" w:rsidR="008071FB" w:rsidRDefault="00AC3C57">
      <w:pPr>
        <w:pStyle w:val="ARbullet1"/>
      </w:pPr>
      <w:r w:rsidRPr="00464FA5">
        <w:t>communicating environmental performance through regular internal and public reporting.</w:t>
      </w:r>
      <w:r w:rsidR="008071FB">
        <w:br w:type="page"/>
      </w:r>
    </w:p>
    <w:p w14:paraId="3F46BAF3" w14:textId="5A45DF5A" w:rsidR="00AC3C57" w:rsidRPr="00464FA5" w:rsidRDefault="00AC3C57" w:rsidP="008071FB">
      <w:pPr>
        <w:pStyle w:val="Heading3"/>
        <w:spacing w:before="0"/>
      </w:pPr>
      <w:bookmarkStart w:id="242" w:name="_Reporting_boundary_for"/>
      <w:bookmarkEnd w:id="242"/>
      <w:r w:rsidRPr="00464FA5">
        <w:lastRenderedPageBreak/>
        <w:t>Reporting boundary for environmental data</w:t>
      </w:r>
    </w:p>
    <w:p w14:paraId="177ECC14" w14:textId="77777777" w:rsidR="00AC3C57" w:rsidRPr="00464FA5" w:rsidRDefault="00AC3C57">
      <w:pPr>
        <w:pStyle w:val="ARbody"/>
      </w:pPr>
      <w:r>
        <w:t>All the o</w:t>
      </w:r>
      <w:r w:rsidRPr="00464FA5">
        <w:t xml:space="preserve">perations and activities of the department are included within the organisational boundary for this reporting period. </w:t>
      </w:r>
      <w:r>
        <w:t xml:space="preserve">Select data are included for </w:t>
      </w:r>
      <w:r w:rsidRPr="00464FA5">
        <w:t xml:space="preserve">portfolio entities </w:t>
      </w:r>
      <w:r>
        <w:t>which are consolidated into the department’s financial statements.</w:t>
      </w:r>
    </w:p>
    <w:p w14:paraId="7667DFE6" w14:textId="77777777" w:rsidR="00AC3C57" w:rsidRPr="0081726C" w:rsidRDefault="00AC3C57">
      <w:pPr>
        <w:pStyle w:val="ARtablecaption"/>
      </w:pPr>
      <w:r w:rsidRPr="0081726C">
        <w:t>Table 1</w:t>
      </w:r>
      <w:r>
        <w:t>3</w:t>
      </w:r>
      <w:r w:rsidRPr="0081726C">
        <w:t>: Staff and building reference data</w:t>
      </w:r>
    </w:p>
    <w:tbl>
      <w:tblPr>
        <w:tblStyle w:val="TableGrid"/>
        <w:tblW w:w="5000" w:type="pct"/>
        <w:tblLook w:val="06E0" w:firstRow="1" w:lastRow="1" w:firstColumn="1" w:lastColumn="0" w:noHBand="1" w:noVBand="1"/>
      </w:tblPr>
      <w:tblGrid>
        <w:gridCol w:w="1473"/>
        <w:gridCol w:w="1338"/>
        <w:gridCol w:w="956"/>
        <w:gridCol w:w="822"/>
      </w:tblGrid>
      <w:tr w:rsidR="00AC3C57" w:rsidRPr="008E2F75" w14:paraId="41340CAF" w14:textId="77777777" w:rsidTr="003A2252">
        <w:trPr>
          <w:cnfStyle w:val="100000000000" w:firstRow="1" w:lastRow="0" w:firstColumn="0" w:lastColumn="0" w:oddVBand="0" w:evenVBand="0" w:oddHBand="0" w:evenHBand="0" w:firstRowFirstColumn="0" w:firstRowLastColumn="0" w:lastRowFirstColumn="0" w:lastRowLastColumn="0"/>
          <w:trHeight w:val="332"/>
          <w:tblHeader/>
        </w:trPr>
        <w:tc>
          <w:tcPr>
            <w:tcW w:w="3618" w:type="dxa"/>
          </w:tcPr>
          <w:p w14:paraId="0A056315" w14:textId="77777777" w:rsidR="00AC3C57" w:rsidRPr="0081726C" w:rsidRDefault="00AC3C57">
            <w:pPr>
              <w:pStyle w:val="ARtablecolhead"/>
              <w:spacing w:before="30" w:after="20"/>
            </w:pPr>
            <w:r w:rsidRPr="0081726C">
              <w:t>Description</w:t>
            </w:r>
          </w:p>
        </w:tc>
        <w:tc>
          <w:tcPr>
            <w:tcW w:w="1966" w:type="dxa"/>
            <w:shd w:val="clear" w:color="auto" w:fill="E7E6E6" w:themeFill="background2"/>
          </w:tcPr>
          <w:p w14:paraId="0BB6DF18" w14:textId="08E6624D" w:rsidR="00AC3C57" w:rsidRPr="0081726C" w:rsidRDefault="00AC3C57">
            <w:pPr>
              <w:pStyle w:val="ARtablecolheadright"/>
              <w:spacing w:before="30" w:after="20"/>
            </w:pPr>
            <w:r w:rsidRPr="0081726C">
              <w:t>Government-owned buildings</w:t>
            </w:r>
            <w:r w:rsidR="00416D13" w:rsidRPr="00A906A4">
              <w:rPr>
                <w:vertAlign w:val="superscript"/>
              </w:rPr>
              <w:t>(</w:t>
            </w:r>
            <w:r w:rsidR="00416D13">
              <w:rPr>
                <w:vertAlign w:val="superscript"/>
              </w:rPr>
              <w:t>i</w:t>
            </w:r>
            <w:r w:rsidR="00416D13" w:rsidRPr="00A906A4">
              <w:rPr>
                <w:vertAlign w:val="superscript"/>
              </w:rPr>
              <w:t>i)</w:t>
            </w:r>
          </w:p>
        </w:tc>
        <w:tc>
          <w:tcPr>
            <w:tcW w:w="1229" w:type="dxa"/>
          </w:tcPr>
          <w:p w14:paraId="0199539F" w14:textId="77777777" w:rsidR="00AC3C57" w:rsidRPr="0081726C" w:rsidRDefault="00AC3C57">
            <w:pPr>
              <w:pStyle w:val="ARtablecolheadright"/>
              <w:spacing w:before="30" w:after="20"/>
            </w:pPr>
            <w:r w:rsidRPr="0081726C">
              <w:t>Leased</w:t>
            </w:r>
            <w:r w:rsidRPr="0081726C">
              <w:br/>
              <w:t>buildings</w:t>
            </w:r>
          </w:p>
        </w:tc>
        <w:tc>
          <w:tcPr>
            <w:tcW w:w="1186" w:type="dxa"/>
            <w:shd w:val="clear" w:color="auto" w:fill="E7E6E6" w:themeFill="background2"/>
          </w:tcPr>
          <w:p w14:paraId="72299B34" w14:textId="77777777" w:rsidR="00AC3C57" w:rsidRPr="0081726C" w:rsidRDefault="00AC3C57">
            <w:pPr>
              <w:pStyle w:val="ARtablecolheadright"/>
              <w:spacing w:before="30" w:after="20"/>
            </w:pPr>
            <w:r w:rsidRPr="0081726C">
              <w:t>Total</w:t>
            </w:r>
          </w:p>
        </w:tc>
      </w:tr>
      <w:tr w:rsidR="00AC3C57" w:rsidRPr="008E2F75" w14:paraId="2F5283F2" w14:textId="77777777" w:rsidTr="003A2252">
        <w:trPr>
          <w:trHeight w:val="171"/>
        </w:trPr>
        <w:tc>
          <w:tcPr>
            <w:tcW w:w="3618" w:type="dxa"/>
          </w:tcPr>
          <w:p w14:paraId="04D75F15" w14:textId="50E3E4EA" w:rsidR="00AC3C57" w:rsidRPr="008E26E4" w:rsidRDefault="00AC3C57">
            <w:pPr>
              <w:pStyle w:val="ARtabletext"/>
              <w:spacing w:before="30" w:after="20"/>
            </w:pPr>
            <w:r w:rsidRPr="008E26E4">
              <w:t>Office-based FTE</w:t>
            </w:r>
            <w:r w:rsidR="00266791" w:rsidRPr="00A906A4">
              <w:rPr>
                <w:vertAlign w:val="superscript"/>
              </w:rPr>
              <w:t>(</w:t>
            </w:r>
            <w:proofErr w:type="spellStart"/>
            <w:r w:rsidR="00266791" w:rsidRPr="00A906A4">
              <w:rPr>
                <w:vertAlign w:val="superscript"/>
              </w:rPr>
              <w:t>i</w:t>
            </w:r>
            <w:proofErr w:type="spellEnd"/>
            <w:r w:rsidR="00266791" w:rsidRPr="00A906A4">
              <w:rPr>
                <w:vertAlign w:val="superscript"/>
              </w:rPr>
              <w:t>)</w:t>
            </w:r>
            <w:r w:rsidR="007C4B3F">
              <w:rPr>
                <w:vertAlign w:val="superscript"/>
              </w:rPr>
              <w:t>(iv</w:t>
            </w:r>
            <w:r w:rsidR="00266791">
              <w:rPr>
                <w:vertAlign w:val="superscript"/>
              </w:rPr>
              <w:t>)</w:t>
            </w:r>
            <w:r w:rsidRPr="008E26E4">
              <w:t xml:space="preserve"> – DFFH</w:t>
            </w:r>
          </w:p>
        </w:tc>
        <w:tc>
          <w:tcPr>
            <w:tcW w:w="1966" w:type="dxa"/>
            <w:shd w:val="clear" w:color="auto" w:fill="E7E6E6" w:themeFill="background2"/>
          </w:tcPr>
          <w:p w14:paraId="5567635F" w14:textId="77777777" w:rsidR="00AC3C57" w:rsidRPr="008E26E4" w:rsidRDefault="00AC3C57">
            <w:pPr>
              <w:pStyle w:val="ARtabletextright"/>
              <w:spacing w:before="30" w:after="20"/>
            </w:pPr>
            <w:r w:rsidRPr="008E26E4">
              <w:t>800</w:t>
            </w:r>
          </w:p>
        </w:tc>
        <w:tc>
          <w:tcPr>
            <w:tcW w:w="1229" w:type="dxa"/>
          </w:tcPr>
          <w:p w14:paraId="7A5C1CEF" w14:textId="77777777" w:rsidR="00AC3C57" w:rsidRPr="008E26E4" w:rsidRDefault="00AC3C57">
            <w:pPr>
              <w:pStyle w:val="ARtabletextright"/>
              <w:spacing w:before="30" w:after="20"/>
            </w:pPr>
            <w:r w:rsidRPr="008E26E4">
              <w:t>5,971</w:t>
            </w:r>
          </w:p>
        </w:tc>
        <w:tc>
          <w:tcPr>
            <w:tcW w:w="1186" w:type="dxa"/>
            <w:shd w:val="clear" w:color="auto" w:fill="E7E6E6" w:themeFill="background2"/>
          </w:tcPr>
          <w:p w14:paraId="3ACEEC78" w14:textId="77777777" w:rsidR="00AC3C57" w:rsidRPr="008E26E4" w:rsidRDefault="00AC3C57">
            <w:pPr>
              <w:pStyle w:val="ARtabletextright"/>
              <w:spacing w:before="30" w:after="20"/>
            </w:pPr>
            <w:r w:rsidRPr="008E26E4">
              <w:t>6</w:t>
            </w:r>
            <w:r>
              <w:t>,</w:t>
            </w:r>
            <w:r w:rsidRPr="008E26E4">
              <w:t>77</w:t>
            </w:r>
            <w:r>
              <w:t>1</w:t>
            </w:r>
          </w:p>
        </w:tc>
      </w:tr>
      <w:tr w:rsidR="00AC3C57" w:rsidRPr="00BA3821" w14:paraId="7025119B" w14:textId="77777777" w:rsidTr="003A2252">
        <w:trPr>
          <w:trHeight w:val="171"/>
        </w:trPr>
        <w:tc>
          <w:tcPr>
            <w:tcW w:w="3618" w:type="dxa"/>
          </w:tcPr>
          <w:p w14:paraId="0B9CB847" w14:textId="0BD88839" w:rsidR="00AC3C57" w:rsidRPr="009E5E91" w:rsidRDefault="00AC3C57">
            <w:pPr>
              <w:pStyle w:val="ARtabletext"/>
              <w:spacing w:before="30" w:after="20"/>
            </w:pPr>
            <w:r w:rsidRPr="009E5E91">
              <w:t>Statutory-based FTE</w:t>
            </w:r>
            <w:r w:rsidR="00B30A78" w:rsidRPr="0029445F">
              <w:rPr>
                <w:vertAlign w:val="superscript"/>
              </w:rPr>
              <w:t>(</w:t>
            </w:r>
            <w:proofErr w:type="spellStart"/>
            <w:r w:rsidR="00B30A78" w:rsidRPr="0029445F">
              <w:rPr>
                <w:vertAlign w:val="superscript"/>
              </w:rPr>
              <w:t>i</w:t>
            </w:r>
            <w:proofErr w:type="spellEnd"/>
            <w:r w:rsidR="00B30A78" w:rsidRPr="0029445F">
              <w:rPr>
                <w:vertAlign w:val="superscript"/>
              </w:rPr>
              <w:t>)</w:t>
            </w:r>
          </w:p>
        </w:tc>
        <w:tc>
          <w:tcPr>
            <w:tcW w:w="1966" w:type="dxa"/>
            <w:shd w:val="clear" w:color="auto" w:fill="E7E6E6" w:themeFill="background2"/>
          </w:tcPr>
          <w:p w14:paraId="16563BB6" w14:textId="77777777" w:rsidR="00AC3C57" w:rsidRPr="009E5E91" w:rsidRDefault="00AC3C57">
            <w:pPr>
              <w:pStyle w:val="ARtabletextright"/>
              <w:spacing w:before="30" w:after="20"/>
            </w:pPr>
          </w:p>
        </w:tc>
        <w:tc>
          <w:tcPr>
            <w:tcW w:w="1229" w:type="dxa"/>
          </w:tcPr>
          <w:p w14:paraId="053D6646" w14:textId="77777777" w:rsidR="00AC3C57" w:rsidRPr="009E5E91" w:rsidRDefault="00AC3C57">
            <w:pPr>
              <w:pStyle w:val="ARtabletextright"/>
              <w:spacing w:before="30" w:after="20"/>
            </w:pPr>
            <w:r w:rsidRPr="009E5E91">
              <w:t>251</w:t>
            </w:r>
          </w:p>
        </w:tc>
        <w:tc>
          <w:tcPr>
            <w:tcW w:w="1186" w:type="dxa"/>
            <w:shd w:val="clear" w:color="auto" w:fill="E7E6E6" w:themeFill="background2"/>
          </w:tcPr>
          <w:p w14:paraId="1F8944E7" w14:textId="77777777" w:rsidR="00AC3C57" w:rsidRPr="00BA3821" w:rsidRDefault="00AC3C57">
            <w:pPr>
              <w:pStyle w:val="ARtabletextright"/>
              <w:spacing w:before="30" w:after="20"/>
            </w:pPr>
            <w:r w:rsidRPr="009E5E91">
              <w:t>251</w:t>
            </w:r>
          </w:p>
        </w:tc>
      </w:tr>
      <w:tr w:rsidR="00AC3C57" w:rsidRPr="008E2F75" w14:paraId="4BA70976" w14:textId="77777777" w:rsidTr="003A2252">
        <w:trPr>
          <w:trHeight w:val="171"/>
        </w:trPr>
        <w:tc>
          <w:tcPr>
            <w:tcW w:w="3618" w:type="dxa"/>
          </w:tcPr>
          <w:p w14:paraId="59215048" w14:textId="687D0DC7" w:rsidR="00AC3C57" w:rsidRPr="009E5E91" w:rsidRDefault="00AC3C57">
            <w:pPr>
              <w:pStyle w:val="ARtabletextbold"/>
              <w:spacing w:before="30" w:after="20"/>
            </w:pPr>
            <w:r w:rsidRPr="009E5E91">
              <w:t>Total FTE</w:t>
            </w:r>
            <w:r w:rsidR="00B30A78" w:rsidRPr="0029445F">
              <w:rPr>
                <w:vertAlign w:val="superscript"/>
              </w:rPr>
              <w:t>(</w:t>
            </w:r>
            <w:proofErr w:type="spellStart"/>
            <w:r w:rsidR="00B30A78" w:rsidRPr="0029445F">
              <w:rPr>
                <w:vertAlign w:val="superscript"/>
              </w:rPr>
              <w:t>i</w:t>
            </w:r>
            <w:proofErr w:type="spellEnd"/>
            <w:r w:rsidR="00B30A78" w:rsidRPr="0029445F">
              <w:rPr>
                <w:vertAlign w:val="superscript"/>
              </w:rPr>
              <w:t>)</w:t>
            </w:r>
          </w:p>
        </w:tc>
        <w:tc>
          <w:tcPr>
            <w:tcW w:w="1966" w:type="dxa"/>
            <w:shd w:val="clear" w:color="auto" w:fill="E7E6E6" w:themeFill="background2"/>
          </w:tcPr>
          <w:p w14:paraId="6E11C66D" w14:textId="77777777" w:rsidR="00AC3C57" w:rsidRPr="009E5E91" w:rsidRDefault="00AC3C57">
            <w:pPr>
              <w:pStyle w:val="ARtabletextrightbold"/>
              <w:spacing w:before="30" w:after="20"/>
            </w:pPr>
          </w:p>
        </w:tc>
        <w:tc>
          <w:tcPr>
            <w:tcW w:w="1229" w:type="dxa"/>
          </w:tcPr>
          <w:p w14:paraId="3AF62F7F" w14:textId="77777777" w:rsidR="00AC3C57" w:rsidRPr="009E5E91" w:rsidRDefault="00AC3C57">
            <w:pPr>
              <w:pStyle w:val="ARtabletextrightbold"/>
              <w:spacing w:before="30" w:after="20"/>
            </w:pPr>
          </w:p>
        </w:tc>
        <w:tc>
          <w:tcPr>
            <w:tcW w:w="1186" w:type="dxa"/>
            <w:shd w:val="clear" w:color="auto" w:fill="E7E6E6" w:themeFill="background2"/>
          </w:tcPr>
          <w:p w14:paraId="1188E432" w14:textId="77777777" w:rsidR="00AC3C57" w:rsidRPr="009E5E91" w:rsidRDefault="00AC3C57">
            <w:pPr>
              <w:pStyle w:val="ARtabletextrightbold"/>
              <w:spacing w:before="30" w:after="20"/>
            </w:pPr>
            <w:r w:rsidRPr="009E5E91">
              <w:t>7,023</w:t>
            </w:r>
          </w:p>
        </w:tc>
      </w:tr>
      <w:tr w:rsidR="00AC3C57" w:rsidRPr="008E2F75" w14:paraId="74FAD1EE" w14:textId="77777777" w:rsidTr="003A2252">
        <w:trPr>
          <w:trHeight w:val="171"/>
        </w:trPr>
        <w:tc>
          <w:tcPr>
            <w:tcW w:w="3618" w:type="dxa"/>
            <w:tcBorders>
              <w:bottom w:val="single" w:sz="4" w:space="0" w:color="A6A6A6" w:themeColor="accent5"/>
            </w:tcBorders>
          </w:tcPr>
          <w:p w14:paraId="6222CFA7" w14:textId="20AE19F1" w:rsidR="00AC3C57" w:rsidRPr="001416F6" w:rsidRDefault="00AC3C57">
            <w:pPr>
              <w:pStyle w:val="ARtabletext"/>
              <w:spacing w:before="30" w:after="20"/>
            </w:pPr>
            <w:r w:rsidRPr="001416F6">
              <w:t>Number of office-based sites</w:t>
            </w:r>
            <w:r w:rsidR="00220BF8" w:rsidRPr="00A906A4">
              <w:rPr>
                <w:vertAlign w:val="superscript"/>
              </w:rPr>
              <w:t>(iii)</w:t>
            </w:r>
          </w:p>
        </w:tc>
        <w:tc>
          <w:tcPr>
            <w:tcW w:w="1966" w:type="dxa"/>
            <w:tcBorders>
              <w:bottom w:val="single" w:sz="4" w:space="0" w:color="A6A6A6" w:themeColor="accent5"/>
            </w:tcBorders>
            <w:shd w:val="clear" w:color="auto" w:fill="E7E6E6" w:themeFill="background2"/>
          </w:tcPr>
          <w:p w14:paraId="6C852710" w14:textId="77777777" w:rsidR="00AC3C57" w:rsidRPr="001416F6" w:rsidRDefault="00AC3C57">
            <w:pPr>
              <w:pStyle w:val="ARtabletextright"/>
              <w:spacing w:before="30" w:after="20"/>
            </w:pPr>
            <w:r w:rsidRPr="001416F6">
              <w:t>15</w:t>
            </w:r>
          </w:p>
        </w:tc>
        <w:tc>
          <w:tcPr>
            <w:tcW w:w="1229" w:type="dxa"/>
            <w:tcBorders>
              <w:bottom w:val="single" w:sz="4" w:space="0" w:color="A6A6A6" w:themeColor="accent5"/>
            </w:tcBorders>
          </w:tcPr>
          <w:p w14:paraId="4B387225" w14:textId="77777777" w:rsidR="00AC3C57" w:rsidRPr="001416F6" w:rsidRDefault="00AC3C57">
            <w:pPr>
              <w:pStyle w:val="ARtabletextright"/>
              <w:spacing w:before="30" w:after="20"/>
            </w:pPr>
            <w:r w:rsidRPr="001416F6">
              <w:t>49</w:t>
            </w:r>
          </w:p>
        </w:tc>
        <w:tc>
          <w:tcPr>
            <w:tcW w:w="1186" w:type="dxa"/>
            <w:tcBorders>
              <w:bottom w:val="single" w:sz="4" w:space="0" w:color="A6A6A6" w:themeColor="accent5"/>
            </w:tcBorders>
            <w:shd w:val="clear" w:color="auto" w:fill="E7E6E6" w:themeFill="background2"/>
          </w:tcPr>
          <w:p w14:paraId="4F7FCD7B" w14:textId="77777777" w:rsidR="00AC3C57" w:rsidRPr="001416F6" w:rsidRDefault="00AC3C57">
            <w:pPr>
              <w:pStyle w:val="ARtabletextright"/>
              <w:spacing w:before="30" w:after="20"/>
            </w:pPr>
            <w:r w:rsidRPr="001416F6">
              <w:t>64</w:t>
            </w:r>
          </w:p>
        </w:tc>
      </w:tr>
      <w:tr w:rsidR="00AC3C57" w:rsidRPr="00AA3375" w14:paraId="517B12C6" w14:textId="77777777" w:rsidTr="003A2252">
        <w:trPr>
          <w:trHeight w:val="171"/>
        </w:trPr>
        <w:tc>
          <w:tcPr>
            <w:tcW w:w="3618" w:type="dxa"/>
            <w:tcBorders>
              <w:top w:val="single" w:sz="4" w:space="0" w:color="A6A6A6" w:themeColor="accent5"/>
              <w:bottom w:val="single" w:sz="4" w:space="0" w:color="A6A6A6" w:themeColor="accent5"/>
            </w:tcBorders>
          </w:tcPr>
          <w:p w14:paraId="55548707" w14:textId="2EA8CB3F" w:rsidR="00AC3C57" w:rsidRPr="003C00F9" w:rsidRDefault="00AC3C57">
            <w:pPr>
              <w:pStyle w:val="ARtabletext"/>
              <w:spacing w:before="30" w:after="20"/>
            </w:pPr>
            <w:r w:rsidRPr="003C00F9">
              <w:t>Number of high-rise public housing towers</w:t>
            </w:r>
            <w:r w:rsidR="005452FE" w:rsidRPr="00A906A4">
              <w:rPr>
                <w:vertAlign w:val="superscript"/>
              </w:rPr>
              <w:t>(v)</w:t>
            </w:r>
          </w:p>
        </w:tc>
        <w:tc>
          <w:tcPr>
            <w:tcW w:w="1966" w:type="dxa"/>
            <w:tcBorders>
              <w:top w:val="single" w:sz="4" w:space="0" w:color="A6A6A6" w:themeColor="accent5"/>
              <w:bottom w:val="single" w:sz="4" w:space="0" w:color="A6A6A6" w:themeColor="accent5"/>
            </w:tcBorders>
            <w:shd w:val="clear" w:color="auto" w:fill="E7E6E6" w:themeFill="background2"/>
          </w:tcPr>
          <w:p w14:paraId="26CD0337" w14:textId="77777777" w:rsidR="00AC3C57" w:rsidRPr="003C00F9" w:rsidRDefault="00AC3C57">
            <w:pPr>
              <w:pStyle w:val="ARtabletextright"/>
              <w:spacing w:before="30" w:after="20"/>
            </w:pPr>
            <w:r w:rsidRPr="003C00F9">
              <w:t>42</w:t>
            </w:r>
          </w:p>
        </w:tc>
        <w:tc>
          <w:tcPr>
            <w:tcW w:w="1229" w:type="dxa"/>
            <w:tcBorders>
              <w:top w:val="single" w:sz="4" w:space="0" w:color="A6A6A6" w:themeColor="accent5"/>
              <w:bottom w:val="single" w:sz="4" w:space="0" w:color="A6A6A6" w:themeColor="accent5"/>
            </w:tcBorders>
          </w:tcPr>
          <w:p w14:paraId="22012F7F" w14:textId="77777777" w:rsidR="00AC3C57" w:rsidRPr="003C00F9" w:rsidRDefault="00AC3C57">
            <w:pPr>
              <w:pStyle w:val="ARtabletextright"/>
              <w:spacing w:before="30" w:after="20"/>
            </w:pPr>
          </w:p>
        </w:tc>
        <w:tc>
          <w:tcPr>
            <w:tcW w:w="1186" w:type="dxa"/>
            <w:tcBorders>
              <w:top w:val="single" w:sz="4" w:space="0" w:color="A6A6A6" w:themeColor="accent5"/>
              <w:bottom w:val="single" w:sz="4" w:space="0" w:color="A6A6A6" w:themeColor="accent5"/>
            </w:tcBorders>
            <w:shd w:val="clear" w:color="auto" w:fill="E7E6E6" w:themeFill="background2"/>
          </w:tcPr>
          <w:p w14:paraId="2287DECD" w14:textId="77777777" w:rsidR="00AC3C57" w:rsidRPr="003C00F9" w:rsidRDefault="00AC3C57">
            <w:pPr>
              <w:pStyle w:val="ARtabletextright"/>
              <w:spacing w:before="30" w:after="20"/>
            </w:pPr>
            <w:r w:rsidRPr="003C00F9">
              <w:t>42</w:t>
            </w:r>
          </w:p>
        </w:tc>
      </w:tr>
      <w:tr w:rsidR="00AC3C57" w:rsidRPr="008E2F75" w14:paraId="3008E6F1" w14:textId="77777777" w:rsidTr="003A2252">
        <w:trPr>
          <w:cnfStyle w:val="010000000000" w:firstRow="0" w:lastRow="1" w:firstColumn="0" w:lastColumn="0" w:oddVBand="0" w:evenVBand="0" w:oddHBand="0" w:evenHBand="0" w:firstRowFirstColumn="0" w:firstRowLastColumn="0" w:lastRowFirstColumn="0" w:lastRowLastColumn="0"/>
          <w:trHeight w:val="171"/>
        </w:trPr>
        <w:tc>
          <w:tcPr>
            <w:tcW w:w="3618" w:type="dxa"/>
            <w:tcBorders>
              <w:top w:val="single" w:sz="4" w:space="0" w:color="A6A6A6" w:themeColor="accent5"/>
            </w:tcBorders>
          </w:tcPr>
          <w:p w14:paraId="798C0786" w14:textId="77777777" w:rsidR="00AC3C57" w:rsidRPr="001416F6" w:rsidRDefault="00AC3C57">
            <w:pPr>
              <w:pStyle w:val="ARtabletext"/>
              <w:spacing w:before="30" w:after="20"/>
            </w:pPr>
            <w:r w:rsidRPr="001416F6">
              <w:t>Office-based area (m</w:t>
            </w:r>
            <w:r w:rsidRPr="001416F6">
              <w:rPr>
                <w:vertAlign w:val="superscript"/>
              </w:rPr>
              <w:t>2</w:t>
            </w:r>
            <w:r w:rsidRPr="001416F6">
              <w:t>)</w:t>
            </w:r>
          </w:p>
        </w:tc>
        <w:tc>
          <w:tcPr>
            <w:tcW w:w="1966" w:type="dxa"/>
            <w:tcBorders>
              <w:top w:val="single" w:sz="4" w:space="0" w:color="A6A6A6" w:themeColor="accent5"/>
            </w:tcBorders>
            <w:shd w:val="clear" w:color="auto" w:fill="E7E6E6" w:themeFill="background2"/>
          </w:tcPr>
          <w:p w14:paraId="0C099878" w14:textId="77777777" w:rsidR="00AC3C57" w:rsidRPr="001416F6" w:rsidRDefault="00AC3C57">
            <w:pPr>
              <w:pStyle w:val="ARtabletextright"/>
              <w:spacing w:before="30" w:after="20"/>
            </w:pPr>
            <w:r w:rsidRPr="001416F6">
              <w:t>23,039</w:t>
            </w:r>
          </w:p>
        </w:tc>
        <w:tc>
          <w:tcPr>
            <w:tcW w:w="1229" w:type="dxa"/>
            <w:tcBorders>
              <w:top w:val="single" w:sz="4" w:space="0" w:color="A6A6A6" w:themeColor="accent5"/>
            </w:tcBorders>
          </w:tcPr>
          <w:p w14:paraId="672ADF93" w14:textId="77777777" w:rsidR="00AC3C57" w:rsidRPr="001416F6" w:rsidRDefault="00AC3C57">
            <w:pPr>
              <w:pStyle w:val="ARtabletextright"/>
              <w:spacing w:before="30" w:after="20"/>
            </w:pPr>
            <w:r w:rsidRPr="001416F6">
              <w:t>95,691</w:t>
            </w:r>
          </w:p>
        </w:tc>
        <w:tc>
          <w:tcPr>
            <w:tcW w:w="1186" w:type="dxa"/>
            <w:tcBorders>
              <w:top w:val="single" w:sz="4" w:space="0" w:color="A6A6A6" w:themeColor="accent5"/>
            </w:tcBorders>
            <w:shd w:val="clear" w:color="auto" w:fill="E7E6E6" w:themeFill="background2"/>
          </w:tcPr>
          <w:p w14:paraId="72CFFC24" w14:textId="77777777" w:rsidR="00AC3C57" w:rsidRPr="001416F6" w:rsidRDefault="00AC3C57">
            <w:pPr>
              <w:pStyle w:val="ARtabletextright"/>
              <w:spacing w:before="30" w:after="20"/>
            </w:pPr>
            <w:r w:rsidRPr="001416F6">
              <w:t>118,730</w:t>
            </w:r>
          </w:p>
        </w:tc>
      </w:tr>
    </w:tbl>
    <w:p w14:paraId="60907AC0" w14:textId="77777777" w:rsidR="00AC3C57" w:rsidRPr="0081726C" w:rsidRDefault="00AC3C57">
      <w:pPr>
        <w:pStyle w:val="ARtablefootnote"/>
      </w:pPr>
      <w:r w:rsidRPr="0081726C">
        <w:t>Notes:</w:t>
      </w:r>
    </w:p>
    <w:p w14:paraId="21C1F15E" w14:textId="77777777" w:rsidR="00AC3C57" w:rsidRPr="009E5E91" w:rsidRDefault="00AC3C57" w:rsidP="00A26053">
      <w:pPr>
        <w:pStyle w:val="ARtablefootnote"/>
        <w:numPr>
          <w:ilvl w:val="0"/>
          <w:numId w:val="25"/>
        </w:numPr>
        <w:ind w:left="284" w:hanging="284"/>
      </w:pPr>
      <w:r w:rsidRPr="009E5E91">
        <w:t>FTE (full-time equivalent staff member as of August 2025)</w:t>
      </w:r>
      <w:r>
        <w:t>.</w:t>
      </w:r>
    </w:p>
    <w:p w14:paraId="28555FEB" w14:textId="77777777" w:rsidR="00AC3C57" w:rsidRDefault="00AC3C57" w:rsidP="00A26053">
      <w:pPr>
        <w:pStyle w:val="ARtablefootnote"/>
        <w:numPr>
          <w:ilvl w:val="0"/>
          <w:numId w:val="25"/>
        </w:numPr>
        <w:ind w:left="284" w:hanging="284"/>
      </w:pPr>
      <w:r w:rsidRPr="003C00F9">
        <w:t>Government-owned sites include those owned by the Department of Transport and Planning and sites owned by Homes Victoria.</w:t>
      </w:r>
    </w:p>
    <w:p w14:paraId="6E4D79C2" w14:textId="77777777" w:rsidR="00AC3C57" w:rsidRPr="00464FA5" w:rsidRDefault="00AC3C57" w:rsidP="00A26053">
      <w:pPr>
        <w:pStyle w:val="ARtablefootnote"/>
        <w:numPr>
          <w:ilvl w:val="0"/>
          <w:numId w:val="25"/>
        </w:numPr>
        <w:ind w:left="284" w:hanging="284"/>
      </w:pPr>
      <w:r w:rsidRPr="00464FA5">
        <w:t>Department offices are all managed by th</w:t>
      </w:r>
      <w:r>
        <w:t>e Department of Government Services</w:t>
      </w:r>
      <w:r w:rsidRPr="00464FA5">
        <w:t xml:space="preserve"> and their </w:t>
      </w:r>
      <w:r>
        <w:t>s</w:t>
      </w:r>
      <w:r w:rsidRPr="00464FA5">
        <w:t xml:space="preserve">ervice </w:t>
      </w:r>
      <w:r>
        <w:t>d</w:t>
      </w:r>
      <w:r w:rsidRPr="00464FA5">
        <w:t xml:space="preserve">elivery </w:t>
      </w:r>
      <w:r>
        <w:t>p</w:t>
      </w:r>
      <w:r w:rsidRPr="00464FA5">
        <w:t>artner, Jones Lang Lasalle.</w:t>
      </w:r>
    </w:p>
    <w:p w14:paraId="2D44FAF1" w14:textId="77777777" w:rsidR="00AC3C57" w:rsidRDefault="00AC3C57" w:rsidP="00A26053">
      <w:pPr>
        <w:pStyle w:val="ARtablefootnote"/>
        <w:numPr>
          <w:ilvl w:val="0"/>
          <w:numId w:val="25"/>
        </w:numPr>
        <w:ind w:left="284" w:hanging="284"/>
      </w:pPr>
      <w:r>
        <w:t xml:space="preserve">Homes Victoria is included as a tier 2 entity. </w:t>
      </w:r>
    </w:p>
    <w:p w14:paraId="4A5BC5F1" w14:textId="77777777" w:rsidR="00AC3C57" w:rsidRPr="003C00F9" w:rsidRDefault="00AC3C57" w:rsidP="00A26053">
      <w:pPr>
        <w:pStyle w:val="ARtablefootnote"/>
        <w:numPr>
          <w:ilvl w:val="0"/>
          <w:numId w:val="25"/>
        </w:numPr>
        <w:ind w:left="284" w:hanging="284"/>
      </w:pPr>
      <w:r>
        <w:t>Homes Victoria’s housing services portfolio includes high-rise public housing, other public housing, disability accommodation and youth and family welfare services.</w:t>
      </w:r>
    </w:p>
    <w:p w14:paraId="3DC598F3" w14:textId="70652297" w:rsidR="00AC3C57" w:rsidRPr="00BD5624" w:rsidRDefault="00E952D1">
      <w:pPr>
        <w:pStyle w:val="Heading3"/>
      </w:pPr>
      <w:r>
        <w:br w:type="column"/>
      </w:r>
      <w:r w:rsidR="00AC3C57" w:rsidRPr="00BD5624">
        <w:t>Climate-related risk disclosure statement</w:t>
      </w:r>
    </w:p>
    <w:p w14:paraId="6089796B" w14:textId="77777777" w:rsidR="00AC3C57" w:rsidRPr="0043103E" w:rsidRDefault="00AC3C57">
      <w:pPr>
        <w:pStyle w:val="ARbody"/>
      </w:pPr>
      <w:r w:rsidRPr="0043103E">
        <w:t>Climate change has the potential to directly and indirectly affect the services and programs that the department delivers on behalf of the Victorian Government. This requires ongoing effort to understand and respond to risks, develop opportunities, and build resilience to climate impacts.</w:t>
      </w:r>
    </w:p>
    <w:p w14:paraId="1503E13B" w14:textId="77777777" w:rsidR="00AC3C57" w:rsidRPr="00C91BBB" w:rsidRDefault="00AC3C57">
      <w:pPr>
        <w:pStyle w:val="ARbody"/>
        <w:keepNext/>
      </w:pPr>
      <w:r w:rsidRPr="00984CEB">
        <w:t xml:space="preserve">The </w:t>
      </w:r>
      <w:r>
        <w:t>d</w:t>
      </w:r>
      <w:r w:rsidRPr="00984CEB">
        <w:t>epartment seeks to lead the Victorian public sector in adopting new technology that support</w:t>
      </w:r>
      <w:r>
        <w:t>s</w:t>
      </w:r>
      <w:r w:rsidRPr="00984CEB">
        <w:t xml:space="preserve"> Victoria’s transition to net zero emissions. </w:t>
      </w:r>
      <w:r>
        <w:t>T</w:t>
      </w:r>
      <w:r w:rsidRPr="00984CEB">
        <w:t xml:space="preserve">he </w:t>
      </w:r>
      <w:r>
        <w:t>d</w:t>
      </w:r>
      <w:r w:rsidRPr="00984CEB">
        <w:t>epartment aims to:</w:t>
      </w:r>
      <w:r>
        <w:t xml:space="preserve"> </w:t>
      </w:r>
    </w:p>
    <w:p w14:paraId="50E4425D" w14:textId="77777777" w:rsidR="00AC3C57" w:rsidRPr="00C91BBB" w:rsidRDefault="00AC3C57">
      <w:pPr>
        <w:pStyle w:val="ARbullet1"/>
      </w:pPr>
      <w:r w:rsidRPr="00C91BBB">
        <w:t>communicate its actions to understand the impact of climate change on its assets, operations and services</w:t>
      </w:r>
    </w:p>
    <w:p w14:paraId="5FD2D0E3" w14:textId="77777777" w:rsidR="00AC3C57" w:rsidRPr="00C91BBB" w:rsidRDefault="00AC3C57">
      <w:pPr>
        <w:pStyle w:val="ARbullet1"/>
      </w:pPr>
      <w:r w:rsidRPr="00C91BBB">
        <w:t>demonstrate it responsibly manages and mitigates its environmental impacts</w:t>
      </w:r>
    </w:p>
    <w:p w14:paraId="3A275D5A" w14:textId="77777777" w:rsidR="006B25B4" w:rsidRDefault="00AC3C57">
      <w:pPr>
        <w:pStyle w:val="ARbullet1"/>
      </w:pPr>
      <w:r w:rsidRPr="00C91BBB">
        <w:t>support the efficient allocation of resources to transition operations to net zero emissions and improve environmental performance over time</w:t>
      </w:r>
    </w:p>
    <w:p w14:paraId="7FCC7C25" w14:textId="77777777" w:rsidR="00AC3C57" w:rsidRPr="00C91BBB" w:rsidRDefault="00AC3C57">
      <w:pPr>
        <w:pStyle w:val="ARbullet1"/>
      </w:pPr>
      <w:r w:rsidRPr="00C91BBB">
        <w:t>deliver infrastructure that is resilient and adapted to climate risks by ensuring that new developments are all-electric, energy efficient, thermally comfortable and include the capability for on-site renewable energy generation.</w:t>
      </w:r>
    </w:p>
    <w:p w14:paraId="62C3819D" w14:textId="77777777" w:rsidR="00AC3C57" w:rsidRPr="00A62BBD" w:rsidRDefault="00AC3C57">
      <w:pPr>
        <w:pStyle w:val="Heading3"/>
      </w:pPr>
      <w:r w:rsidRPr="00A62BBD">
        <w:t>Climate-related risk governance</w:t>
      </w:r>
    </w:p>
    <w:p w14:paraId="01504CB7" w14:textId="5253DEF4" w:rsidR="00AC3C57" w:rsidRPr="00A62BBD" w:rsidRDefault="00AC3C57">
      <w:pPr>
        <w:pStyle w:val="ARbody"/>
      </w:pPr>
      <w:r w:rsidRPr="00A62BBD">
        <w:t xml:space="preserve">The department’s Executive Board </w:t>
      </w:r>
      <w:r>
        <w:t>oversees</w:t>
      </w:r>
      <w:r w:rsidRPr="00A62BBD">
        <w:t xml:space="preserve"> its risk management framework</w:t>
      </w:r>
      <w:r>
        <w:t>.</w:t>
      </w:r>
      <w:r w:rsidRPr="00A62BBD">
        <w:t xml:space="preserve"> </w:t>
      </w:r>
      <w:r>
        <w:t>The board</w:t>
      </w:r>
      <w:r w:rsidRPr="00A62BBD">
        <w:t xml:space="preserve"> is the collective owner of the department’s strategic and enterprise risks. The </w:t>
      </w:r>
      <w:r>
        <w:t>b</w:t>
      </w:r>
      <w:r w:rsidRPr="00A62BBD">
        <w:t>oard monitors risk mitigation activities through quarterly risk management</w:t>
      </w:r>
      <w:r w:rsidR="003A2252">
        <w:t> </w:t>
      </w:r>
      <w:r w:rsidRPr="00A62BBD">
        <w:t>reporting.</w:t>
      </w:r>
    </w:p>
    <w:p w14:paraId="009BB272" w14:textId="77D1F226" w:rsidR="00AC3C57" w:rsidRPr="00EC46BB" w:rsidRDefault="00AC3C57">
      <w:pPr>
        <w:pStyle w:val="ARbody"/>
      </w:pPr>
      <w:r w:rsidRPr="00A62BBD">
        <w:t>The department’s Audit and Risk Management Committee provides independent assurance to the</w:t>
      </w:r>
      <w:r w:rsidR="003A2252">
        <w:t> </w:t>
      </w:r>
      <w:r w:rsidRPr="00A62BBD">
        <w:t>Secretary</w:t>
      </w:r>
      <w:r>
        <w:t xml:space="preserve"> regarding </w:t>
      </w:r>
      <w:r w:rsidRPr="00A62BBD">
        <w:t xml:space="preserve">risk and control. The committee actively monitors </w:t>
      </w:r>
      <w:r w:rsidRPr="00EC46BB">
        <w:t>the department’s risk profile, including climate-related risks</w:t>
      </w:r>
      <w:r>
        <w:t>. It</w:t>
      </w:r>
      <w:r w:rsidRPr="00EC46BB">
        <w:t xml:space="preserve"> assesses the risk management strategies adopted.</w:t>
      </w:r>
    </w:p>
    <w:p w14:paraId="70196819" w14:textId="6937363F" w:rsidR="00E952D1" w:rsidRDefault="00AC3C57">
      <w:pPr>
        <w:pStyle w:val="ARbody"/>
      </w:pPr>
      <w:r w:rsidRPr="00EC46BB">
        <w:t>Additionally, the department carries out climate risk</w:t>
      </w:r>
      <w:r w:rsidR="003A2252">
        <w:t> </w:t>
      </w:r>
      <w:r w:rsidRPr="00EC46BB">
        <w:t>maturity assessments</w:t>
      </w:r>
      <w:r>
        <w:t xml:space="preserve">. These </w:t>
      </w:r>
      <w:r w:rsidRPr="00EC46BB">
        <w:t>are reviewed by</w:t>
      </w:r>
      <w:r w:rsidR="003A2252">
        <w:t> </w:t>
      </w:r>
      <w:r w:rsidRPr="00EC46BB">
        <w:t>the Victorian Secretaries Board to identify internal capability and capacity (processes, people,</w:t>
      </w:r>
      <w:r w:rsidR="003A2252">
        <w:t> </w:t>
      </w:r>
      <w:r w:rsidRPr="00EC46BB">
        <w:t xml:space="preserve">systems) </w:t>
      </w:r>
      <w:r>
        <w:t>related to</w:t>
      </w:r>
      <w:r w:rsidRPr="00EC46BB">
        <w:t xml:space="preserve"> climate-related risk</w:t>
      </w:r>
      <w:r w:rsidR="003A2252">
        <w:t> </w:t>
      </w:r>
      <w:r w:rsidRPr="00EC46BB">
        <w:t>management</w:t>
      </w:r>
      <w:r>
        <w:t>.</w:t>
      </w:r>
      <w:r w:rsidR="00E952D1">
        <w:br w:type="page"/>
      </w:r>
    </w:p>
    <w:p w14:paraId="19BB84A0" w14:textId="77777777" w:rsidR="00AC3C57" w:rsidRPr="00A40D41" w:rsidRDefault="00AC3C57">
      <w:pPr>
        <w:pStyle w:val="Heading3"/>
      </w:pPr>
      <w:r w:rsidRPr="00A40D41">
        <w:lastRenderedPageBreak/>
        <w:t>Climate-related risk strategy</w:t>
      </w:r>
    </w:p>
    <w:p w14:paraId="49DBAAE4" w14:textId="77777777" w:rsidR="00AC3C57" w:rsidRPr="00A40D41" w:rsidRDefault="00AC3C57">
      <w:pPr>
        <w:pStyle w:val="ARbody"/>
      </w:pPr>
      <w:r>
        <w:t>The department considers the potential impacts of climate-related risks as part of environmental scanning activities. This includes in relation to housing needs and supply, population health and wellbeing, frequency and severity of disaster events, and impacts on existing zero emissions commitments in strategic and corporate plans.</w:t>
      </w:r>
    </w:p>
    <w:p w14:paraId="091A782E" w14:textId="77777777" w:rsidR="00E952D1" w:rsidRDefault="00AC3C57">
      <w:pPr>
        <w:pStyle w:val="ARbody"/>
      </w:pPr>
      <w:r>
        <w:t xml:space="preserve">The </w:t>
      </w:r>
      <w:proofErr w:type="gramStart"/>
      <w:r w:rsidRPr="00E06E63">
        <w:rPr>
          <w:rStyle w:val="Emphasis"/>
        </w:rPr>
        <w:t>Health</w:t>
      </w:r>
      <w:proofErr w:type="gramEnd"/>
      <w:r w:rsidRPr="00E06E63">
        <w:rPr>
          <w:rStyle w:val="Emphasis"/>
        </w:rPr>
        <w:t xml:space="preserve"> and human services climate change adaptation action plan 2022–2026 </w:t>
      </w:r>
      <w:r>
        <w:t xml:space="preserve">was prepared in line with the requirements of the </w:t>
      </w:r>
      <w:r w:rsidRPr="00E06E63">
        <w:rPr>
          <w:rStyle w:val="Emphasis"/>
        </w:rPr>
        <w:t>Climate Action Act 2017.</w:t>
      </w:r>
      <w:r>
        <w:t xml:space="preserve"> It sets out how the Department of Families, Fairness and Housing and the Department of Health will manage climate risk, in collaboration with their sectors. During 2024–25, the department progressed actions under the plan. It is participating in whole-of-Victorian-Government processes to</w:t>
      </w:r>
      <w:r w:rsidR="003A2252">
        <w:t> </w:t>
      </w:r>
      <w:r>
        <w:t>integrate and progress climate change more</w:t>
      </w:r>
      <w:r w:rsidR="003A2252">
        <w:t> </w:t>
      </w:r>
      <w:r>
        <w:t>broadly.</w:t>
      </w:r>
    </w:p>
    <w:p w14:paraId="77966B3A" w14:textId="022C740E" w:rsidR="00AC3C57" w:rsidRPr="006B3D22" w:rsidRDefault="00AC3C57">
      <w:pPr>
        <w:pStyle w:val="ARbody"/>
        <w:rPr>
          <w:szCs w:val="20"/>
        </w:rPr>
      </w:pPr>
      <w:r w:rsidRPr="006B3D22">
        <w:t xml:space="preserve">The department is currently monitoring and managing several climate-related physical </w:t>
      </w:r>
      <w:r w:rsidRPr="006B3D22">
        <w:rPr>
          <w:szCs w:val="20"/>
        </w:rPr>
        <w:t>risks and opportunities. These include:</w:t>
      </w:r>
    </w:p>
    <w:p w14:paraId="609C8CC0" w14:textId="77777777" w:rsidR="00AC3C57" w:rsidRPr="006B3D22" w:rsidRDefault="00AC3C57">
      <w:pPr>
        <w:pStyle w:val="ARbullet1"/>
      </w:pPr>
      <w:r w:rsidRPr="006B3D22">
        <w:t xml:space="preserve">the impact of increased temperatures and extreme heat on department operations </w:t>
      </w:r>
    </w:p>
    <w:p w14:paraId="70D0852D" w14:textId="77777777" w:rsidR="00AC3C57" w:rsidRPr="006B3D22" w:rsidRDefault="00AC3C57">
      <w:pPr>
        <w:pStyle w:val="ARbullet1"/>
      </w:pPr>
      <w:r w:rsidRPr="006B3D22">
        <w:t>the impact of bushfires and extreme weather events on departmental assets</w:t>
      </w:r>
    </w:p>
    <w:p w14:paraId="0A9210FA" w14:textId="77777777" w:rsidR="00AC3C57" w:rsidRPr="006B3D22" w:rsidRDefault="00AC3C57">
      <w:pPr>
        <w:pStyle w:val="ARbullet1"/>
      </w:pPr>
      <w:r w:rsidRPr="006B3D22">
        <w:t>reducing greenhouse gas emissions resulting from the department’s operations in line with Victorian Government commitments</w:t>
      </w:r>
    </w:p>
    <w:p w14:paraId="20A20397" w14:textId="77777777" w:rsidR="00AC3C57" w:rsidRPr="006B3D22" w:rsidRDefault="00AC3C57">
      <w:pPr>
        <w:pStyle w:val="ARbullet1"/>
      </w:pPr>
      <w:r w:rsidRPr="006B3D22">
        <w:t>aligning procurement to circular economy principles</w:t>
      </w:r>
    </w:p>
    <w:p w14:paraId="02707740" w14:textId="77777777" w:rsidR="00AC3C57" w:rsidRPr="006B3D22" w:rsidRDefault="00AC3C57">
      <w:pPr>
        <w:pStyle w:val="ARbullet1"/>
      </w:pPr>
      <w:r w:rsidRPr="006B3D22">
        <w:t>improving environmental performance monitoring, evaluation and reporting</w:t>
      </w:r>
    </w:p>
    <w:p w14:paraId="2F9B78FD" w14:textId="77777777" w:rsidR="00AC3C57" w:rsidRPr="006B3D22" w:rsidRDefault="00AC3C57">
      <w:pPr>
        <w:pStyle w:val="ARbullet1"/>
      </w:pPr>
      <w:r w:rsidRPr="006B3D22">
        <w:t>supporting the continuing uptake of renewable energy and other low emissions technologies across Victoria.</w:t>
      </w:r>
    </w:p>
    <w:p w14:paraId="7A7D583A" w14:textId="1513913B" w:rsidR="00AC3C57" w:rsidRPr="003A2252" w:rsidRDefault="00E952D1" w:rsidP="003A2252">
      <w:pPr>
        <w:pStyle w:val="Heading3"/>
      </w:pPr>
      <w:r>
        <w:br w:type="column"/>
      </w:r>
      <w:r w:rsidR="00AC3C57" w:rsidRPr="00076899">
        <w:t>Climate-related risk</w:t>
      </w:r>
      <w:r w:rsidR="003A2252">
        <w:t> </w:t>
      </w:r>
      <w:r w:rsidR="00AC3C57" w:rsidRPr="00076899">
        <w:t>management</w:t>
      </w:r>
    </w:p>
    <w:p w14:paraId="35AEA381" w14:textId="7750BDBC" w:rsidR="00AC3C57" w:rsidRPr="00076899" w:rsidRDefault="00AC3C57">
      <w:pPr>
        <w:pStyle w:val="ARbody"/>
      </w:pPr>
      <w:r w:rsidRPr="00076899">
        <w:t xml:space="preserve">The department’s risk management framework requires it to identify, assess and manage </w:t>
      </w:r>
      <w:r>
        <w:t xml:space="preserve">climate </w:t>
      </w:r>
      <w:r w:rsidRPr="00076899">
        <w:t xml:space="preserve">risks and opportunities. The framework is aligned with the </w:t>
      </w:r>
      <w:r w:rsidRPr="00076899">
        <w:rPr>
          <w:rStyle w:val="Emphasis"/>
        </w:rPr>
        <w:t>Victorian Government risk management framework</w:t>
      </w:r>
      <w:r w:rsidRPr="00076899">
        <w:t>. It provides guidance for designing, implementing, monitoring, reviewing and continually improving risk management throughout the</w:t>
      </w:r>
      <w:r w:rsidR="003A2252">
        <w:t> </w:t>
      </w:r>
      <w:r w:rsidRPr="00076899">
        <w:t>department.</w:t>
      </w:r>
    </w:p>
    <w:p w14:paraId="6CB4A55C" w14:textId="32DFE6CD" w:rsidR="002100C8" w:rsidRDefault="002100C8">
      <w:pPr>
        <w:pStyle w:val="ARbody"/>
      </w:pPr>
      <w:r w:rsidRPr="00D62B33">
        <w:t xml:space="preserve">Controls and </w:t>
      </w:r>
      <w:r w:rsidR="008B5B87">
        <w:t>t</w:t>
      </w:r>
      <w:r w:rsidRPr="00D62B33">
        <w:t xml:space="preserve">reatments are progressively being refined to address </w:t>
      </w:r>
      <w:r w:rsidR="008B5B87">
        <w:t>c</w:t>
      </w:r>
      <w:r w:rsidRPr="00D62B33">
        <w:t xml:space="preserve">limate </w:t>
      </w:r>
      <w:r w:rsidR="008B5B87">
        <w:t>c</w:t>
      </w:r>
      <w:r w:rsidRPr="00D62B33">
        <w:t>hange as a risk for the</w:t>
      </w:r>
      <w:r w:rsidR="00E952D1">
        <w:t> </w:t>
      </w:r>
      <w:r w:rsidRPr="00D62B33">
        <w:t>department.</w:t>
      </w:r>
    </w:p>
    <w:p w14:paraId="6D0208FE" w14:textId="77777777" w:rsidR="00AC3C57" w:rsidRPr="00076899" w:rsidRDefault="00AC3C57" w:rsidP="003A2252">
      <w:pPr>
        <w:pStyle w:val="Heading3"/>
      </w:pPr>
      <w:r w:rsidRPr="00076899">
        <w:t>Climate-</w:t>
      </w:r>
      <w:r w:rsidRPr="003A2252">
        <w:t>related</w:t>
      </w:r>
      <w:r w:rsidRPr="00076899">
        <w:t xml:space="preserve"> metrics and targets</w:t>
      </w:r>
    </w:p>
    <w:p w14:paraId="021FEE24" w14:textId="77777777" w:rsidR="00AC3C57" w:rsidRPr="00076899" w:rsidRDefault="00AC3C57">
      <w:pPr>
        <w:pStyle w:val="ARbody"/>
      </w:pPr>
      <w:r w:rsidRPr="00076899">
        <w:t xml:space="preserve">The department reports climate-related metrics in line with requirements under Financial Reporting Direction 24 (FRD 24) </w:t>
      </w:r>
      <w:r w:rsidRPr="00076899">
        <w:rPr>
          <w:rStyle w:val="Emphasis"/>
        </w:rPr>
        <w:t>Reporting of environmental data by government entities</w:t>
      </w:r>
      <w:r w:rsidRPr="00076899">
        <w:t>.</w:t>
      </w:r>
      <w:r>
        <w:t xml:space="preserve"> We captured the e</w:t>
      </w:r>
      <w:r w:rsidRPr="00076899">
        <w:t xml:space="preserve">nvironmental data </w:t>
      </w:r>
      <w:r>
        <w:t>in</w:t>
      </w:r>
      <w:r w:rsidRPr="00076899">
        <w:t xml:space="preserve"> this report from suppliers, equipment metering, reports and surveys.</w:t>
      </w:r>
    </w:p>
    <w:p w14:paraId="1DFF83EB" w14:textId="08828ED6" w:rsidR="00AC3C57" w:rsidRPr="00076899" w:rsidRDefault="00AC3C57">
      <w:pPr>
        <w:pStyle w:val="ARbody"/>
      </w:pPr>
      <w:r w:rsidRPr="00076899">
        <w:t xml:space="preserve">The department </w:t>
      </w:r>
      <w:r>
        <w:t>aims</w:t>
      </w:r>
      <w:r w:rsidRPr="00076899">
        <w:t xml:space="preserve"> to </w:t>
      </w:r>
      <w:r>
        <w:t>reduce</w:t>
      </w:r>
      <w:r w:rsidRPr="00076899">
        <w:t xml:space="preserve"> portfolio emissions</w:t>
      </w:r>
      <w:r>
        <w:t xml:space="preserve">. This will </w:t>
      </w:r>
      <w:r w:rsidRPr="00076899">
        <w:t>contribute to the Victorian Government</w:t>
      </w:r>
      <w:r>
        <w:t>’s</w:t>
      </w:r>
      <w:r w:rsidRPr="00076899">
        <w:t xml:space="preserve"> long-term emissions target of net zero emissions by 2045.The department has completed its </w:t>
      </w:r>
      <w:r>
        <w:t>second</w:t>
      </w:r>
      <w:r w:rsidRPr="00076899">
        <w:t xml:space="preserve"> portfolio emissions reduction plan</w:t>
      </w:r>
      <w:r>
        <w:t>. We</w:t>
      </w:r>
      <w:r w:rsidRPr="00076899">
        <w:t xml:space="preserve"> will continue working with relevant </w:t>
      </w:r>
      <w:r>
        <w:t>stakeholders</w:t>
      </w:r>
      <w:r w:rsidRPr="00076899">
        <w:t xml:space="preserve"> to achieve this</w:t>
      </w:r>
      <w:r w:rsidR="003A2252">
        <w:t> </w:t>
      </w:r>
      <w:r w:rsidRPr="00076899">
        <w:t>objective.</w:t>
      </w:r>
    </w:p>
    <w:p w14:paraId="6E74819F" w14:textId="77777777" w:rsidR="00AC3C57" w:rsidRPr="009C165C" w:rsidRDefault="00AC3C57">
      <w:pPr>
        <w:pStyle w:val="Heading3"/>
        <w:spacing w:before="0"/>
      </w:pPr>
      <w:r w:rsidRPr="009C165C">
        <w:t>Greenhouse gas emissions</w:t>
      </w:r>
    </w:p>
    <w:p w14:paraId="069DAAE6" w14:textId="25892704" w:rsidR="00AC3C57" w:rsidRDefault="00AC3C57">
      <w:pPr>
        <w:pStyle w:val="ARbody"/>
      </w:pPr>
      <w:r w:rsidRPr="005D10A3">
        <w:t xml:space="preserve">The </w:t>
      </w:r>
      <w:r>
        <w:t>d</w:t>
      </w:r>
      <w:r w:rsidRPr="005D10A3">
        <w:t>epartment reports its greenhouse gas emissions broken down into emissions ‘scopes’ consistent with national and international reporting</w:t>
      </w:r>
      <w:r w:rsidR="003A2252">
        <w:t> </w:t>
      </w:r>
      <w:r w:rsidRPr="005D10A3">
        <w:t xml:space="preserve">standards. </w:t>
      </w:r>
    </w:p>
    <w:p w14:paraId="69B1F006" w14:textId="77777777" w:rsidR="00AC3C57" w:rsidRDefault="00AC3C57">
      <w:pPr>
        <w:pStyle w:val="ARbody"/>
      </w:pPr>
      <w:r w:rsidRPr="009C165C">
        <w:t>Scope 1 emissions are from sources that the department owns or controls, such as burning fossil</w:t>
      </w:r>
      <w:r w:rsidRPr="005D10A3">
        <w:t xml:space="preserve"> </w:t>
      </w:r>
      <w:r w:rsidRPr="009C165C">
        <w:t xml:space="preserve">fuels in its </w:t>
      </w:r>
      <w:r w:rsidRPr="005D10A3">
        <w:t xml:space="preserve">vehicles or machinery. </w:t>
      </w:r>
    </w:p>
    <w:p w14:paraId="6A521867" w14:textId="77777777" w:rsidR="00AC3C57" w:rsidRDefault="00AC3C57">
      <w:pPr>
        <w:pStyle w:val="ARbody"/>
      </w:pPr>
      <w:r w:rsidRPr="009C165C">
        <w:t>Scope 2 emissions are indirect emissions from the department’s use of</w:t>
      </w:r>
      <w:r w:rsidRPr="005D10A3">
        <w:t xml:space="preserve"> </w:t>
      </w:r>
      <w:r w:rsidRPr="009C165C">
        <w:t>electricity from the grid, which still uses coal and</w:t>
      </w:r>
      <w:r w:rsidRPr="005D10A3">
        <w:t xml:space="preserve"> </w:t>
      </w:r>
      <w:r w:rsidRPr="009C165C">
        <w:t xml:space="preserve">gas-fired power generation. </w:t>
      </w:r>
    </w:p>
    <w:p w14:paraId="6A7F1BC8" w14:textId="5102C1A9" w:rsidR="00E952D1" w:rsidRDefault="00AC3C57">
      <w:pPr>
        <w:pStyle w:val="ARbody"/>
      </w:pPr>
      <w:r w:rsidRPr="009C165C">
        <w:t>Scope 3 emissions are</w:t>
      </w:r>
      <w:r w:rsidRPr="005D10A3">
        <w:t xml:space="preserve"> </w:t>
      </w:r>
      <w:r w:rsidRPr="009C165C">
        <w:t>indirect emissions from sources the department</w:t>
      </w:r>
      <w:r w:rsidRPr="005D10A3">
        <w:t xml:space="preserve"> </w:t>
      </w:r>
      <w:r w:rsidRPr="009C165C">
        <w:t>does not control but does influence. The department reports only scope 3</w:t>
      </w:r>
      <w:r w:rsidR="003A2252">
        <w:t> </w:t>
      </w:r>
      <w:r w:rsidRPr="009C165C">
        <w:t>emissions from corporate air travel and waste</w:t>
      </w:r>
      <w:r w:rsidR="003A2252">
        <w:t> </w:t>
      </w:r>
      <w:r w:rsidRPr="009C165C">
        <w:t>disposal.</w:t>
      </w:r>
      <w:r w:rsidR="00E952D1">
        <w:br w:type="page"/>
      </w:r>
    </w:p>
    <w:p w14:paraId="0EA528D4" w14:textId="52B1C516" w:rsidR="00CA3309" w:rsidRPr="00A62A58" w:rsidRDefault="00CA3309" w:rsidP="00CA3309">
      <w:pPr>
        <w:pStyle w:val="ARbody"/>
      </w:pPr>
      <w:r w:rsidRPr="00A62A58">
        <w:lastRenderedPageBreak/>
        <w:t xml:space="preserve">The department’s scope 1 greenhouse gas emissions increased by 22% from </w:t>
      </w:r>
      <w:r w:rsidRPr="00A62A58">
        <w:br/>
        <w:t>2023–24 to 2024–25. This is driven by the addition of 18 new vehicles to the department’s fleet as well as major increases to statewide travel, particularly in Child Protection and Home</w:t>
      </w:r>
      <w:r w:rsidR="00B678A9">
        <w:t>s</w:t>
      </w:r>
      <w:r w:rsidRPr="00A62A58">
        <w:t xml:space="preserve"> Victoria where large, diesel vehicles are required to carry families, tools and equipment.</w:t>
      </w:r>
    </w:p>
    <w:p w14:paraId="47A30C38" w14:textId="77777777" w:rsidR="00E952D1" w:rsidRDefault="00AC3C57" w:rsidP="009A5F46">
      <w:pPr>
        <w:pStyle w:val="ARbody"/>
      </w:pPr>
      <w:r w:rsidRPr="00A906A4">
        <w:t xml:space="preserve">Scope 1 emissions from Housing Services reduced by </w:t>
      </w:r>
      <w:r w:rsidR="007F6321" w:rsidRPr="00A906A4">
        <w:t>13</w:t>
      </w:r>
      <w:r w:rsidRPr="00A906A4">
        <w:t xml:space="preserve">%. </w:t>
      </w:r>
      <w:r>
        <w:t xml:space="preserve">This was largely driven by a reduction in Housing Services gas consumption from the redevelopment of older gas-intensive public housing estates and their replacement with either new all-electric public housing apartment buildings, or community and affordable housing buildings which are outside of the department’s emissions reporting boundary. </w:t>
      </w:r>
    </w:p>
    <w:p w14:paraId="25B38AD6" w14:textId="7F72EB31" w:rsidR="009A5F46" w:rsidRPr="00ED1A71" w:rsidRDefault="009A5F46" w:rsidP="009A5F46">
      <w:pPr>
        <w:pStyle w:val="ARbody"/>
      </w:pPr>
      <w:r w:rsidRPr="00A906A4">
        <w:t xml:space="preserve">The department’s scope 2 greenhouse gas emissions increased by 4% from 2023–24 to 2024–25 due to the accommodation strategy being finalised and implemented, resulting in the construction of new sites are staff relocation. Emissions arising from natural gas use are less this year due a milder </w:t>
      </w:r>
      <w:r w:rsidR="00B128E4">
        <w:t>w</w:t>
      </w:r>
      <w:r w:rsidRPr="00A906A4">
        <w:t>inter</w:t>
      </w:r>
      <w:r w:rsidR="00B128E4">
        <w:t>/s</w:t>
      </w:r>
      <w:r w:rsidRPr="00A906A4">
        <w:t xml:space="preserve">pring period in 2024 and a warmer </w:t>
      </w:r>
      <w:r w:rsidR="00B128E4">
        <w:t>s</w:t>
      </w:r>
      <w:r w:rsidR="00B128E4" w:rsidRPr="00A906A4">
        <w:t xml:space="preserve">ummer </w:t>
      </w:r>
      <w:r w:rsidRPr="00A906A4">
        <w:t xml:space="preserve">and </w:t>
      </w:r>
      <w:r w:rsidR="00B128E4">
        <w:t>a</w:t>
      </w:r>
      <w:r w:rsidR="00B128E4" w:rsidRPr="00A906A4">
        <w:t xml:space="preserve">utumn </w:t>
      </w:r>
      <w:r w:rsidRPr="00A906A4">
        <w:t>in 2025.</w:t>
      </w:r>
      <w:r w:rsidR="00E952D1">
        <w:br w:type="column"/>
      </w:r>
      <w:r w:rsidRPr="00A906A4">
        <w:t>The department’s scope 3 greenhouse gas emissions from corporate air travel and waste decreased by 21% due to the finalisation of projects which were created to digitise hard copy records.</w:t>
      </w:r>
      <w:r w:rsidRPr="00ED1A71">
        <w:t> </w:t>
      </w:r>
    </w:p>
    <w:p w14:paraId="4F2FB45B" w14:textId="77777777" w:rsidR="00AC3C57" w:rsidRDefault="00AC3C57">
      <w:pPr>
        <w:pStyle w:val="ARbody"/>
      </w:pPr>
      <w:r w:rsidRPr="00A13524">
        <w:t>The department is working with the Shared Services Provider to reduce greenhouse gas emissions through several energy efficiency projects. These include</w:t>
      </w:r>
      <w:r>
        <w:t>:</w:t>
      </w:r>
    </w:p>
    <w:p w14:paraId="7426DBBA" w14:textId="77777777" w:rsidR="00AC3C57" w:rsidRDefault="00AC3C57">
      <w:pPr>
        <w:pStyle w:val="ARbullet1"/>
      </w:pPr>
      <w:r>
        <w:t>replacing</w:t>
      </w:r>
      <w:r w:rsidRPr="00A13524">
        <w:t xml:space="preserve"> inefficient heating and cooling systems and LED lights</w:t>
      </w:r>
    </w:p>
    <w:p w14:paraId="11C85227" w14:textId="36B61562" w:rsidR="00AC3C57" w:rsidRDefault="00AC3C57">
      <w:pPr>
        <w:pStyle w:val="ARbullet1"/>
      </w:pPr>
      <w:r>
        <w:t>reviewing</w:t>
      </w:r>
      <w:r w:rsidRPr="00A13524">
        <w:t xml:space="preserve"> waste reduction program</w:t>
      </w:r>
      <w:r>
        <w:t>s</w:t>
      </w:r>
      <w:r w:rsidRPr="00A13524">
        <w:t xml:space="preserve"> across</w:t>
      </w:r>
      <w:r w:rsidR="001E0C4D">
        <w:t> </w:t>
      </w:r>
      <w:r w:rsidRPr="00A13524">
        <w:t xml:space="preserve">sites </w:t>
      </w:r>
    </w:p>
    <w:p w14:paraId="4D046514" w14:textId="77777777" w:rsidR="00AC3C57" w:rsidRDefault="00AC3C57">
      <w:pPr>
        <w:pStyle w:val="ARbullet1"/>
      </w:pPr>
      <w:r>
        <w:t>purchasing electric</w:t>
      </w:r>
      <w:r w:rsidRPr="00A13524">
        <w:t xml:space="preserve"> fleet vehicles. </w:t>
      </w:r>
    </w:p>
    <w:p w14:paraId="3CA691F9" w14:textId="77777777" w:rsidR="00AC3C57" w:rsidRPr="00A13524" w:rsidRDefault="00AC3C57" w:rsidP="001E0C4D">
      <w:pPr>
        <w:pStyle w:val="ARbodyafterbullets"/>
      </w:pPr>
      <w:r w:rsidRPr="00A13524">
        <w:t>The department continues to evaluate its office footprint and consider co-location and consolidation opportunities.</w:t>
      </w:r>
    </w:p>
    <w:p w14:paraId="5D3AD1E6" w14:textId="77777777" w:rsidR="00AC3C57" w:rsidRDefault="00AC3C57">
      <w:pPr>
        <w:pStyle w:val="ARbody"/>
      </w:pPr>
      <w:r w:rsidRPr="00C22CD8">
        <w:t>The department does not currently capture data on scope 3 waste and recycling greenhouse gas emissions in Housing Services.</w:t>
      </w:r>
    </w:p>
    <w:p w14:paraId="03938181" w14:textId="77777777" w:rsidR="00AC3C57" w:rsidRDefault="00AC3C57">
      <w:pPr>
        <w:pStyle w:val="ARbody"/>
      </w:pPr>
    </w:p>
    <w:p w14:paraId="34935998" w14:textId="77777777" w:rsidR="00E952D1" w:rsidRPr="00C22CD8" w:rsidRDefault="00E952D1">
      <w:pPr>
        <w:pStyle w:val="ARbody"/>
        <w:sectPr w:rsidR="00E952D1" w:rsidRPr="00C22CD8" w:rsidSect="007F43B1">
          <w:endnotePr>
            <w:numFmt w:val="decimal"/>
          </w:endnotePr>
          <w:type w:val="continuous"/>
          <w:pgSz w:w="11900" w:h="16840" w:code="9"/>
          <w:pgMar w:top="1588" w:right="1134" w:bottom="851" w:left="1134" w:header="510" w:footer="340" w:gutter="0"/>
          <w:cols w:num="2" w:space="454"/>
          <w:docGrid w:linePitch="326"/>
        </w:sectPr>
      </w:pPr>
    </w:p>
    <w:p w14:paraId="13E0EB6C" w14:textId="77777777" w:rsidR="00AC3C57" w:rsidRPr="00E22E66" w:rsidRDefault="00AC3C57" w:rsidP="002A748F">
      <w:pPr>
        <w:pStyle w:val="Heading4"/>
        <w:spacing w:before="0"/>
      </w:pPr>
      <w:r w:rsidRPr="00E22E66">
        <w:lastRenderedPageBreak/>
        <w:t>Department offices</w:t>
      </w:r>
    </w:p>
    <w:p w14:paraId="36B4417C" w14:textId="77777777" w:rsidR="00AC3C57" w:rsidRPr="00E22E66" w:rsidRDefault="00AC3C57">
      <w:pPr>
        <w:pStyle w:val="ARtablecaption"/>
      </w:pPr>
      <w:r w:rsidRPr="00E22E66">
        <w:t>Greenhouse gas emissions</w:t>
      </w:r>
    </w:p>
    <w:tbl>
      <w:tblPr>
        <w:tblStyle w:val="TableGrid"/>
        <w:tblW w:w="9640" w:type="dxa"/>
        <w:tblLook w:val="02E0" w:firstRow="1" w:lastRow="1" w:firstColumn="1" w:lastColumn="0" w:noHBand="1" w:noVBand="0"/>
      </w:tblPr>
      <w:tblGrid>
        <w:gridCol w:w="4537"/>
        <w:gridCol w:w="1701"/>
        <w:gridCol w:w="1701"/>
        <w:gridCol w:w="1701"/>
      </w:tblGrid>
      <w:tr w:rsidR="00AC3C57" w:rsidRPr="008E2F75" w14:paraId="0608F67F" w14:textId="77777777" w:rsidTr="005353B4">
        <w:trPr>
          <w:cnfStyle w:val="100000000000" w:firstRow="1" w:lastRow="0" w:firstColumn="0" w:lastColumn="0" w:oddVBand="0" w:evenVBand="0" w:oddHBand="0" w:evenHBand="0" w:firstRowFirstColumn="0" w:firstRowLastColumn="0" w:lastRowFirstColumn="0" w:lastRowLastColumn="0"/>
          <w:tblHeader/>
        </w:trPr>
        <w:tc>
          <w:tcPr>
            <w:tcW w:w="4537" w:type="dxa"/>
          </w:tcPr>
          <w:p w14:paraId="3C41152D" w14:textId="77777777" w:rsidR="00AC3C57" w:rsidRPr="00773CDC" w:rsidRDefault="00AC3C57">
            <w:pPr>
              <w:pStyle w:val="ARtablecolhead"/>
              <w:spacing w:before="30" w:after="20"/>
            </w:pPr>
            <w:r w:rsidRPr="00773CDC">
              <w:t>Indicator</w:t>
            </w:r>
          </w:p>
        </w:tc>
        <w:tc>
          <w:tcPr>
            <w:cnfStyle w:val="000001000000" w:firstRow="0" w:lastRow="0" w:firstColumn="0" w:lastColumn="0" w:oddVBand="0" w:evenVBand="1" w:oddHBand="0" w:evenHBand="0" w:firstRowFirstColumn="0" w:firstRowLastColumn="0" w:lastRowFirstColumn="0" w:lastRowLastColumn="0"/>
            <w:tcW w:w="1701" w:type="dxa"/>
          </w:tcPr>
          <w:p w14:paraId="27D6451A" w14:textId="77777777" w:rsidR="00AC3C57" w:rsidRPr="00F41270" w:rsidRDefault="00AC3C57">
            <w:pPr>
              <w:pStyle w:val="ARtablecolheadright"/>
              <w:spacing w:before="20" w:after="20"/>
            </w:pPr>
            <w:r w:rsidRPr="00F41270">
              <w:t>202</w:t>
            </w:r>
            <w:r>
              <w:t>4</w:t>
            </w:r>
            <w:r w:rsidRPr="00F41270">
              <w:t>–2</w:t>
            </w:r>
            <w:r>
              <w:t>5</w:t>
            </w:r>
            <w:r w:rsidRPr="00F41270">
              <w:t xml:space="preserve"> estimate</w:t>
            </w:r>
          </w:p>
          <w:p w14:paraId="6225C38B" w14:textId="77777777" w:rsidR="00AC3C57" w:rsidRPr="008E2F75" w:rsidRDefault="00AC3C57">
            <w:pPr>
              <w:pStyle w:val="ARtablecolheadright"/>
              <w:spacing w:before="30" w:after="20"/>
              <w:rPr>
                <w:highlight w:val="cyan"/>
              </w:rPr>
            </w:pPr>
            <w:r w:rsidRPr="00F41270">
              <w:t>Tonnes CO</w:t>
            </w:r>
            <w:r w:rsidRPr="00F41270">
              <w:rPr>
                <w:vertAlign w:val="subscript"/>
              </w:rPr>
              <w:t>2</w:t>
            </w:r>
            <w:r w:rsidRPr="00F41270">
              <w:t>-e</w:t>
            </w:r>
          </w:p>
        </w:tc>
        <w:tc>
          <w:tcPr>
            <w:tcW w:w="1701" w:type="dxa"/>
          </w:tcPr>
          <w:p w14:paraId="5DCBA82D" w14:textId="77777777" w:rsidR="00AC3C57" w:rsidRPr="00F41270" w:rsidRDefault="00AC3C57">
            <w:pPr>
              <w:pStyle w:val="ARtablecolheadright"/>
              <w:spacing w:before="20" w:after="20"/>
              <w:cnfStyle w:val="100000000000" w:firstRow="1" w:lastRow="0" w:firstColumn="0" w:lastColumn="0" w:oddVBand="0" w:evenVBand="0" w:oddHBand="0" w:evenHBand="0" w:firstRowFirstColumn="0" w:firstRowLastColumn="0" w:lastRowFirstColumn="0" w:lastRowLastColumn="0"/>
            </w:pPr>
            <w:r w:rsidRPr="00F41270">
              <w:t>202</w:t>
            </w:r>
            <w:r>
              <w:t>3</w:t>
            </w:r>
            <w:r w:rsidRPr="00F41270">
              <w:t>–2</w:t>
            </w:r>
            <w:r>
              <w:t xml:space="preserve">4 </w:t>
            </w:r>
            <w:r w:rsidRPr="00F41270">
              <w:t>estimate</w:t>
            </w:r>
          </w:p>
          <w:p w14:paraId="68FFA9C6" w14:textId="77777777" w:rsidR="00AC3C57" w:rsidRPr="008E2F75"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rPr>
                <w:highlight w:val="cyan"/>
              </w:rPr>
            </w:pPr>
            <w:r w:rsidRPr="00F41270">
              <w:t>Tonnes CO</w:t>
            </w:r>
            <w:r w:rsidRPr="00F41270">
              <w:rPr>
                <w:vertAlign w:val="subscript"/>
              </w:rPr>
              <w:t>2</w:t>
            </w:r>
            <w:r w:rsidRPr="00F41270">
              <w:t>-e</w:t>
            </w:r>
          </w:p>
        </w:tc>
        <w:tc>
          <w:tcPr>
            <w:cnfStyle w:val="000001000000" w:firstRow="0" w:lastRow="0" w:firstColumn="0" w:lastColumn="0" w:oddVBand="0" w:evenVBand="1" w:oddHBand="0" w:evenHBand="0" w:firstRowFirstColumn="0" w:firstRowLastColumn="0" w:lastRowFirstColumn="0" w:lastRowLastColumn="0"/>
            <w:tcW w:w="1701" w:type="dxa"/>
          </w:tcPr>
          <w:p w14:paraId="3321128F" w14:textId="77777777" w:rsidR="00AC3C57" w:rsidRPr="00F41270" w:rsidRDefault="00AC3C57">
            <w:pPr>
              <w:pStyle w:val="ARtablecolheadright"/>
              <w:spacing w:before="20" w:after="20"/>
            </w:pPr>
            <w:r w:rsidRPr="00F41270">
              <w:t>202</w:t>
            </w:r>
            <w:r>
              <w:t>2</w:t>
            </w:r>
            <w:r w:rsidRPr="00F41270">
              <w:t>–2</w:t>
            </w:r>
            <w:r>
              <w:t>3</w:t>
            </w:r>
            <w:r w:rsidRPr="00F41270">
              <w:t xml:space="preserve"> estimate</w:t>
            </w:r>
          </w:p>
          <w:p w14:paraId="16D1B492" w14:textId="77777777" w:rsidR="00AC3C57" w:rsidRPr="008E2F75" w:rsidRDefault="00AC3C57">
            <w:pPr>
              <w:pStyle w:val="ARtablecolheadright"/>
              <w:spacing w:before="30" w:after="20"/>
              <w:rPr>
                <w:highlight w:val="cyan"/>
              </w:rPr>
            </w:pPr>
            <w:r w:rsidRPr="00F41270">
              <w:t>Tonnes CO</w:t>
            </w:r>
            <w:r w:rsidRPr="00F41270">
              <w:rPr>
                <w:vertAlign w:val="subscript"/>
              </w:rPr>
              <w:t>2</w:t>
            </w:r>
            <w:r w:rsidRPr="00F41270">
              <w:t>-e</w:t>
            </w:r>
          </w:p>
        </w:tc>
      </w:tr>
      <w:tr w:rsidR="00AC3C57" w:rsidRPr="008E2F75" w14:paraId="5519E8BC" w14:textId="77777777" w:rsidTr="005353B4">
        <w:tc>
          <w:tcPr>
            <w:tcW w:w="4537" w:type="dxa"/>
          </w:tcPr>
          <w:p w14:paraId="20E5151E" w14:textId="77777777" w:rsidR="00AC3C57" w:rsidRPr="00773CDC" w:rsidRDefault="00AC3C57" w:rsidP="003A2252">
            <w:pPr>
              <w:pStyle w:val="ARtabletext"/>
            </w:pPr>
            <w:r w:rsidRPr="00773CDC">
              <w:t xml:space="preserve">G1 Total Scope 1 greenhouse gas emissions </w:t>
            </w:r>
            <w:r w:rsidRPr="00773CDC">
              <w:br/>
              <w:t>(Direct)</w:t>
            </w:r>
          </w:p>
        </w:tc>
        <w:tc>
          <w:tcPr>
            <w:cnfStyle w:val="000001000000" w:firstRow="0" w:lastRow="0" w:firstColumn="0" w:lastColumn="0" w:oddVBand="0" w:evenVBand="1" w:oddHBand="0" w:evenHBand="0" w:firstRowFirstColumn="0" w:firstRowLastColumn="0" w:lastRowFirstColumn="0" w:lastRowLastColumn="0"/>
            <w:tcW w:w="1701" w:type="dxa"/>
          </w:tcPr>
          <w:p w14:paraId="0F67F578" w14:textId="6535724B" w:rsidR="00AC3C57" w:rsidRPr="000C57BE" w:rsidRDefault="00126118" w:rsidP="000C57BE">
            <w:pPr>
              <w:pStyle w:val="ARtabletextright"/>
            </w:pPr>
            <w:r w:rsidRPr="000C57BE">
              <w:t>5</w:t>
            </w:r>
            <w:r w:rsidR="0048577E" w:rsidRPr="000C57BE">
              <w:t>,</w:t>
            </w:r>
            <w:r w:rsidRPr="000C57BE">
              <w:t>829</w:t>
            </w:r>
          </w:p>
        </w:tc>
        <w:tc>
          <w:tcPr>
            <w:tcW w:w="1701" w:type="dxa"/>
          </w:tcPr>
          <w:p w14:paraId="2240C0B5" w14:textId="77777777" w:rsidR="00AC3C57" w:rsidRPr="00A906A4"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A906A4">
              <w:t>4,763</w:t>
            </w:r>
          </w:p>
        </w:tc>
        <w:tc>
          <w:tcPr>
            <w:cnfStyle w:val="000001000000" w:firstRow="0" w:lastRow="0" w:firstColumn="0" w:lastColumn="0" w:oddVBand="0" w:evenVBand="1" w:oddHBand="0" w:evenHBand="0" w:firstRowFirstColumn="0" w:firstRowLastColumn="0" w:lastRowFirstColumn="0" w:lastRowLastColumn="0"/>
            <w:tcW w:w="1701" w:type="dxa"/>
          </w:tcPr>
          <w:p w14:paraId="292D9781" w14:textId="77777777" w:rsidR="00AC3C57" w:rsidRPr="00A906A4" w:rsidRDefault="00AC3C57">
            <w:pPr>
              <w:pStyle w:val="ARtabletextright"/>
              <w:spacing w:before="30" w:after="20"/>
            </w:pPr>
            <w:r w:rsidRPr="00A906A4">
              <w:t>4,138</w:t>
            </w:r>
          </w:p>
        </w:tc>
      </w:tr>
      <w:tr w:rsidR="00AC3C57" w:rsidRPr="008E2F75" w14:paraId="222C21D0" w14:textId="77777777" w:rsidTr="005353B4">
        <w:tc>
          <w:tcPr>
            <w:tcW w:w="4537" w:type="dxa"/>
          </w:tcPr>
          <w:p w14:paraId="5E0248F7" w14:textId="77777777" w:rsidR="00AC3C57" w:rsidRPr="00773CDC" w:rsidRDefault="00AC3C57" w:rsidP="003A2252">
            <w:pPr>
              <w:pStyle w:val="ARtabletext"/>
            </w:pPr>
            <w:r w:rsidRPr="00773CDC">
              <w:t xml:space="preserve">G2 Total Scope 2 greenhouse gas emissions </w:t>
            </w:r>
            <w:r w:rsidRPr="00773CDC">
              <w:br/>
              <w:t>(Indirect electricity)</w:t>
            </w:r>
          </w:p>
        </w:tc>
        <w:tc>
          <w:tcPr>
            <w:cnfStyle w:val="000001000000" w:firstRow="0" w:lastRow="0" w:firstColumn="0" w:lastColumn="0" w:oddVBand="0" w:evenVBand="1" w:oddHBand="0" w:evenHBand="0" w:firstRowFirstColumn="0" w:firstRowLastColumn="0" w:lastRowFirstColumn="0" w:lastRowLastColumn="0"/>
            <w:tcW w:w="1701" w:type="dxa"/>
          </w:tcPr>
          <w:p w14:paraId="18B60F50" w14:textId="0BE6040C" w:rsidR="00AC3C57" w:rsidRPr="000C57BE" w:rsidRDefault="007A1AB7" w:rsidP="000C57BE">
            <w:pPr>
              <w:pStyle w:val="ARtabletextright"/>
            </w:pPr>
            <w:r w:rsidRPr="000C57BE">
              <w:t>7,538</w:t>
            </w:r>
          </w:p>
        </w:tc>
        <w:tc>
          <w:tcPr>
            <w:tcW w:w="1701" w:type="dxa"/>
          </w:tcPr>
          <w:p w14:paraId="1B7632E7" w14:textId="77777777" w:rsidR="00AC3C57" w:rsidRPr="00A906A4"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A906A4">
              <w:t>7,216</w:t>
            </w:r>
          </w:p>
        </w:tc>
        <w:tc>
          <w:tcPr>
            <w:cnfStyle w:val="000001000000" w:firstRow="0" w:lastRow="0" w:firstColumn="0" w:lastColumn="0" w:oddVBand="0" w:evenVBand="1" w:oddHBand="0" w:evenHBand="0" w:firstRowFirstColumn="0" w:firstRowLastColumn="0" w:lastRowFirstColumn="0" w:lastRowLastColumn="0"/>
            <w:tcW w:w="1701" w:type="dxa"/>
          </w:tcPr>
          <w:p w14:paraId="208B7C4C" w14:textId="77777777" w:rsidR="00AC3C57" w:rsidRPr="00A906A4" w:rsidRDefault="00AC3C57">
            <w:pPr>
              <w:pStyle w:val="ARtabletextright"/>
              <w:spacing w:before="30" w:after="20"/>
            </w:pPr>
            <w:r w:rsidRPr="00A906A4">
              <w:t>7,807</w:t>
            </w:r>
          </w:p>
        </w:tc>
      </w:tr>
      <w:tr w:rsidR="00AC3C57" w:rsidRPr="008E2F75" w14:paraId="0A2626F7" w14:textId="77777777" w:rsidTr="005353B4">
        <w:trPr>
          <w:cnfStyle w:val="010000000000" w:firstRow="0" w:lastRow="1" w:firstColumn="0" w:lastColumn="0" w:oddVBand="0" w:evenVBand="0" w:oddHBand="0" w:evenHBand="0" w:firstRowFirstColumn="0" w:firstRowLastColumn="0" w:lastRowFirstColumn="0" w:lastRowLastColumn="0"/>
        </w:trPr>
        <w:tc>
          <w:tcPr>
            <w:tcW w:w="4537" w:type="dxa"/>
          </w:tcPr>
          <w:p w14:paraId="1219F6DE" w14:textId="77777777" w:rsidR="00AC3C57" w:rsidRPr="00773CDC" w:rsidRDefault="00AC3C57" w:rsidP="003A2252">
            <w:pPr>
              <w:pStyle w:val="ARtabletext"/>
            </w:pPr>
            <w:r w:rsidRPr="00773CDC">
              <w:t>G3 Total Scope 3 greenhouse gas emissions</w:t>
            </w:r>
            <w:r w:rsidRPr="00773CDC">
              <w:br/>
              <w:t>(Other indirect)</w:t>
            </w:r>
            <w:r w:rsidRPr="00773CDC">
              <w:rPr>
                <w:rStyle w:val="FootnoteReference"/>
              </w:rPr>
              <w:footnoteReference w:id="29"/>
            </w:r>
          </w:p>
        </w:tc>
        <w:tc>
          <w:tcPr>
            <w:cnfStyle w:val="000001000000" w:firstRow="0" w:lastRow="0" w:firstColumn="0" w:lastColumn="0" w:oddVBand="0" w:evenVBand="1" w:oddHBand="0" w:evenHBand="0" w:firstRowFirstColumn="0" w:firstRowLastColumn="0" w:lastRowFirstColumn="0" w:lastRowLastColumn="0"/>
            <w:tcW w:w="1701" w:type="dxa"/>
          </w:tcPr>
          <w:p w14:paraId="09204F02" w14:textId="1235F257" w:rsidR="00AC3C57" w:rsidRPr="000C57BE" w:rsidRDefault="007A1AB7" w:rsidP="000C57BE">
            <w:pPr>
              <w:pStyle w:val="ARtabletextright"/>
            </w:pPr>
            <w:r w:rsidRPr="000C57BE">
              <w:t>517</w:t>
            </w:r>
          </w:p>
        </w:tc>
        <w:tc>
          <w:tcPr>
            <w:tcW w:w="1701" w:type="dxa"/>
          </w:tcPr>
          <w:p w14:paraId="3783C795" w14:textId="77777777" w:rsidR="00AC3C57" w:rsidRPr="00A906A4" w:rsidRDefault="00AC3C57">
            <w:pPr>
              <w:pStyle w:val="ARtabletextright"/>
              <w:spacing w:before="30" w:after="20"/>
              <w:cnfStyle w:val="010000000000" w:firstRow="0" w:lastRow="1" w:firstColumn="0" w:lastColumn="0" w:oddVBand="0" w:evenVBand="0" w:oddHBand="0" w:evenHBand="0" w:firstRowFirstColumn="0" w:firstRowLastColumn="0" w:lastRowFirstColumn="0" w:lastRowLastColumn="0"/>
            </w:pPr>
            <w:r w:rsidRPr="00A906A4">
              <w:t>657</w:t>
            </w:r>
          </w:p>
        </w:tc>
        <w:tc>
          <w:tcPr>
            <w:cnfStyle w:val="000001000000" w:firstRow="0" w:lastRow="0" w:firstColumn="0" w:lastColumn="0" w:oddVBand="0" w:evenVBand="1" w:oddHBand="0" w:evenHBand="0" w:firstRowFirstColumn="0" w:firstRowLastColumn="0" w:lastRowFirstColumn="0" w:lastRowLastColumn="0"/>
            <w:tcW w:w="1701" w:type="dxa"/>
          </w:tcPr>
          <w:p w14:paraId="558C8063" w14:textId="77777777" w:rsidR="00AC3C57" w:rsidRPr="00A906A4" w:rsidRDefault="00AC3C57">
            <w:pPr>
              <w:pStyle w:val="ARtabletextright"/>
              <w:spacing w:before="30" w:after="20"/>
            </w:pPr>
            <w:r w:rsidRPr="00A906A4">
              <w:t>644</w:t>
            </w:r>
          </w:p>
        </w:tc>
      </w:tr>
    </w:tbl>
    <w:p w14:paraId="74B192C4" w14:textId="77777777" w:rsidR="00AC3C57" w:rsidRPr="00F41270" w:rsidRDefault="00AC3C57">
      <w:pPr>
        <w:pStyle w:val="Heading4"/>
      </w:pPr>
      <w:r w:rsidRPr="00F41270">
        <w:t>Housing Services</w:t>
      </w:r>
    </w:p>
    <w:p w14:paraId="5B585C84" w14:textId="77777777" w:rsidR="00AC3C57" w:rsidRPr="00F41270" w:rsidRDefault="00AC3C57">
      <w:pPr>
        <w:pStyle w:val="ARtablecaption"/>
      </w:pPr>
      <w:r w:rsidRPr="00F41270">
        <w:t>Greenhouse gas emissions</w:t>
      </w:r>
    </w:p>
    <w:tbl>
      <w:tblPr>
        <w:tblStyle w:val="TableGrid"/>
        <w:tblW w:w="9640" w:type="dxa"/>
        <w:tblLook w:val="02E0" w:firstRow="1" w:lastRow="1" w:firstColumn="1" w:lastColumn="0" w:noHBand="1" w:noVBand="0"/>
      </w:tblPr>
      <w:tblGrid>
        <w:gridCol w:w="4537"/>
        <w:gridCol w:w="1701"/>
        <w:gridCol w:w="1701"/>
        <w:gridCol w:w="1701"/>
      </w:tblGrid>
      <w:tr w:rsidR="00AC3C57" w:rsidRPr="00242106" w14:paraId="11A8806C" w14:textId="77777777" w:rsidTr="005353B4">
        <w:trPr>
          <w:cnfStyle w:val="100000000000" w:firstRow="1" w:lastRow="0" w:firstColumn="0" w:lastColumn="0" w:oddVBand="0" w:evenVBand="0" w:oddHBand="0" w:evenHBand="0" w:firstRowFirstColumn="0" w:firstRowLastColumn="0" w:lastRowFirstColumn="0" w:lastRowLastColumn="0"/>
          <w:tblHeader/>
        </w:trPr>
        <w:tc>
          <w:tcPr>
            <w:tcW w:w="4537" w:type="dxa"/>
          </w:tcPr>
          <w:p w14:paraId="67E222C5" w14:textId="77777777" w:rsidR="00AC3C57" w:rsidRPr="00F41270" w:rsidRDefault="00AC3C57">
            <w:pPr>
              <w:pStyle w:val="ARtablecolhead"/>
              <w:spacing w:before="20" w:after="20"/>
            </w:pPr>
            <w:r w:rsidRPr="00F41270">
              <w:t>Indicator</w:t>
            </w:r>
          </w:p>
        </w:tc>
        <w:tc>
          <w:tcPr>
            <w:cnfStyle w:val="000001000000" w:firstRow="0" w:lastRow="0" w:firstColumn="0" w:lastColumn="0" w:oddVBand="0" w:evenVBand="1" w:oddHBand="0" w:evenHBand="0" w:firstRowFirstColumn="0" w:firstRowLastColumn="0" w:lastRowFirstColumn="0" w:lastRowLastColumn="0"/>
            <w:tcW w:w="1701" w:type="dxa"/>
          </w:tcPr>
          <w:p w14:paraId="695CD234" w14:textId="77777777" w:rsidR="00AC3C57" w:rsidRPr="00F41270" w:rsidRDefault="00AC3C57">
            <w:pPr>
              <w:pStyle w:val="ARtablecolheadright"/>
              <w:spacing w:before="20" w:after="20"/>
            </w:pPr>
            <w:r w:rsidRPr="00F41270">
              <w:t>202</w:t>
            </w:r>
            <w:r>
              <w:t>4</w:t>
            </w:r>
            <w:r w:rsidRPr="00F41270">
              <w:t>–2</w:t>
            </w:r>
            <w:r>
              <w:t>5</w:t>
            </w:r>
            <w:r w:rsidRPr="00F41270">
              <w:t xml:space="preserve"> estimate</w:t>
            </w:r>
          </w:p>
          <w:p w14:paraId="28F911A6" w14:textId="77777777" w:rsidR="00AC3C57" w:rsidRPr="00F41270" w:rsidRDefault="00AC3C57">
            <w:pPr>
              <w:pStyle w:val="ARtablecolheadright"/>
              <w:spacing w:before="20" w:after="20"/>
            </w:pPr>
            <w:r w:rsidRPr="00F41270">
              <w:t>Tonnes CO</w:t>
            </w:r>
            <w:r w:rsidRPr="00F41270">
              <w:rPr>
                <w:vertAlign w:val="subscript"/>
              </w:rPr>
              <w:t>2</w:t>
            </w:r>
            <w:r w:rsidRPr="00F41270">
              <w:t>-e</w:t>
            </w:r>
          </w:p>
        </w:tc>
        <w:tc>
          <w:tcPr>
            <w:tcW w:w="1701" w:type="dxa"/>
          </w:tcPr>
          <w:p w14:paraId="7626D156" w14:textId="77777777" w:rsidR="00AC3C57" w:rsidRPr="00F41270" w:rsidRDefault="00AC3C57">
            <w:pPr>
              <w:pStyle w:val="ARtablecolheadright"/>
              <w:spacing w:before="20" w:after="20"/>
              <w:cnfStyle w:val="100000000000" w:firstRow="1" w:lastRow="0" w:firstColumn="0" w:lastColumn="0" w:oddVBand="0" w:evenVBand="0" w:oddHBand="0" w:evenHBand="0" w:firstRowFirstColumn="0" w:firstRowLastColumn="0" w:lastRowFirstColumn="0" w:lastRowLastColumn="0"/>
            </w:pPr>
            <w:r w:rsidRPr="00F41270">
              <w:t>202</w:t>
            </w:r>
            <w:r>
              <w:t>3</w:t>
            </w:r>
            <w:r w:rsidRPr="00F41270">
              <w:t>–2</w:t>
            </w:r>
            <w:r>
              <w:t xml:space="preserve">4 </w:t>
            </w:r>
            <w:r w:rsidRPr="00F41270">
              <w:t>estimate</w:t>
            </w:r>
          </w:p>
          <w:p w14:paraId="4A39CDBF" w14:textId="77777777" w:rsidR="00AC3C57" w:rsidRPr="00F41270" w:rsidRDefault="00AC3C57">
            <w:pPr>
              <w:pStyle w:val="ARtablecolheadright"/>
              <w:spacing w:before="20" w:after="20"/>
              <w:cnfStyle w:val="100000000000" w:firstRow="1" w:lastRow="0" w:firstColumn="0" w:lastColumn="0" w:oddVBand="0" w:evenVBand="0" w:oddHBand="0" w:evenHBand="0" w:firstRowFirstColumn="0" w:firstRowLastColumn="0" w:lastRowFirstColumn="0" w:lastRowLastColumn="0"/>
            </w:pPr>
            <w:r w:rsidRPr="00F41270">
              <w:t>Tonnes CO</w:t>
            </w:r>
            <w:r w:rsidRPr="00F41270">
              <w:rPr>
                <w:vertAlign w:val="subscript"/>
              </w:rPr>
              <w:t>2</w:t>
            </w:r>
            <w:r w:rsidRPr="00F41270">
              <w:t>-e</w:t>
            </w:r>
          </w:p>
        </w:tc>
        <w:tc>
          <w:tcPr>
            <w:cnfStyle w:val="000001000000" w:firstRow="0" w:lastRow="0" w:firstColumn="0" w:lastColumn="0" w:oddVBand="0" w:evenVBand="1" w:oddHBand="0" w:evenHBand="0" w:firstRowFirstColumn="0" w:firstRowLastColumn="0" w:lastRowFirstColumn="0" w:lastRowLastColumn="0"/>
            <w:tcW w:w="1701" w:type="dxa"/>
          </w:tcPr>
          <w:p w14:paraId="2696FBD2" w14:textId="77777777" w:rsidR="00AC3C57" w:rsidRPr="00F41270" w:rsidRDefault="00AC3C57">
            <w:pPr>
              <w:pStyle w:val="ARtablecolheadright"/>
              <w:spacing w:before="20" w:after="20"/>
            </w:pPr>
            <w:r w:rsidRPr="00F41270">
              <w:t>202</w:t>
            </w:r>
            <w:r>
              <w:t>2</w:t>
            </w:r>
            <w:r w:rsidRPr="00F41270">
              <w:t>–2</w:t>
            </w:r>
            <w:r>
              <w:t>3</w:t>
            </w:r>
            <w:r w:rsidRPr="00F41270">
              <w:t xml:space="preserve"> estimate</w:t>
            </w:r>
          </w:p>
          <w:p w14:paraId="09475C31" w14:textId="77777777" w:rsidR="00AC3C57" w:rsidRPr="00F41270" w:rsidRDefault="00AC3C57">
            <w:pPr>
              <w:pStyle w:val="ARtablecolheadright"/>
              <w:spacing w:before="20" w:after="20"/>
            </w:pPr>
            <w:r w:rsidRPr="00F41270">
              <w:t>Tonnes CO</w:t>
            </w:r>
            <w:r w:rsidRPr="00F41270">
              <w:rPr>
                <w:vertAlign w:val="subscript"/>
              </w:rPr>
              <w:t>2</w:t>
            </w:r>
            <w:r w:rsidRPr="00F41270">
              <w:t>-e</w:t>
            </w:r>
          </w:p>
        </w:tc>
      </w:tr>
      <w:tr w:rsidR="00AC3C57" w:rsidRPr="00242106" w14:paraId="07E87F52" w14:textId="77777777" w:rsidTr="005353B4">
        <w:tc>
          <w:tcPr>
            <w:tcW w:w="4537" w:type="dxa"/>
            <w:tcBorders>
              <w:bottom w:val="single" w:sz="4" w:space="0" w:color="A6A6A6" w:themeColor="accent5"/>
            </w:tcBorders>
          </w:tcPr>
          <w:p w14:paraId="085360B1" w14:textId="77777777" w:rsidR="00AC3C57" w:rsidRPr="00F41270" w:rsidRDefault="00AC3C57" w:rsidP="003A2252">
            <w:pPr>
              <w:pStyle w:val="ARtabletext"/>
            </w:pPr>
            <w:r w:rsidRPr="00F41270">
              <w:t xml:space="preserve">G1 Total Scope 1 greenhouse gas emissions </w:t>
            </w:r>
            <w:r w:rsidRPr="00F41270">
              <w:br/>
              <w:t>(Direct)</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6A6A6" w:themeColor="accent5"/>
            </w:tcBorders>
          </w:tcPr>
          <w:p w14:paraId="01B11549" w14:textId="77777777" w:rsidR="00AC3C57" w:rsidRPr="00F41270" w:rsidRDefault="00AC3C57">
            <w:pPr>
              <w:pStyle w:val="ARtabletextright"/>
              <w:spacing w:before="20" w:after="20"/>
            </w:pPr>
            <w:r w:rsidRPr="00F41270">
              <w:t>17,415</w:t>
            </w:r>
          </w:p>
        </w:tc>
        <w:tc>
          <w:tcPr>
            <w:tcW w:w="1701" w:type="dxa"/>
            <w:tcBorders>
              <w:bottom w:val="single" w:sz="4" w:space="0" w:color="A6A6A6" w:themeColor="accent5"/>
            </w:tcBorders>
          </w:tcPr>
          <w:p w14:paraId="018A40BA" w14:textId="77777777" w:rsidR="00AC3C57" w:rsidRPr="00F41270" w:rsidRDefault="00AC3C57">
            <w:pPr>
              <w:pStyle w:val="ARtabletextright"/>
              <w:spacing w:before="20" w:after="20"/>
              <w:cnfStyle w:val="000000000000" w:firstRow="0" w:lastRow="0" w:firstColumn="0" w:lastColumn="0" w:oddVBand="0" w:evenVBand="0" w:oddHBand="0" w:evenHBand="0" w:firstRowFirstColumn="0" w:firstRowLastColumn="0" w:lastRowFirstColumn="0" w:lastRowLastColumn="0"/>
            </w:pPr>
            <w:r w:rsidRPr="00F41270">
              <w:t>20,119</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6A6A6" w:themeColor="accent5"/>
            </w:tcBorders>
          </w:tcPr>
          <w:p w14:paraId="2FE1E3AF" w14:textId="77777777" w:rsidR="00AC3C57" w:rsidRPr="00F41270" w:rsidRDefault="00AC3C57">
            <w:pPr>
              <w:pStyle w:val="ARtabletextright"/>
              <w:spacing w:before="20" w:after="20"/>
            </w:pPr>
            <w:r w:rsidRPr="00F41270">
              <w:t>19,071</w:t>
            </w:r>
          </w:p>
        </w:tc>
      </w:tr>
      <w:tr w:rsidR="00AC3C57" w:rsidRPr="00242106" w14:paraId="7024C839" w14:textId="77777777" w:rsidTr="005353B4">
        <w:tc>
          <w:tcPr>
            <w:tcW w:w="4537" w:type="dxa"/>
            <w:tcBorders>
              <w:top w:val="single" w:sz="4" w:space="0" w:color="A6A6A6" w:themeColor="accent5"/>
              <w:bottom w:val="single" w:sz="4" w:space="0" w:color="A6A6A6" w:themeColor="accent5"/>
            </w:tcBorders>
          </w:tcPr>
          <w:p w14:paraId="7D692FCF" w14:textId="77777777" w:rsidR="00AC3C57" w:rsidRPr="00F41270" w:rsidRDefault="00AC3C57" w:rsidP="003A2252">
            <w:pPr>
              <w:pStyle w:val="ARtabletext"/>
            </w:pPr>
            <w:r w:rsidRPr="00F41270">
              <w:t xml:space="preserve">G2 Total Scope 2 greenhouse gas emissions </w:t>
            </w:r>
            <w:r w:rsidRPr="00F41270">
              <w:br/>
              <w:t>(Indirect electricity)</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A6A6A6" w:themeColor="accent5"/>
              <w:bottom w:val="single" w:sz="4" w:space="0" w:color="A6A6A6" w:themeColor="accent5"/>
            </w:tcBorders>
          </w:tcPr>
          <w:p w14:paraId="475C178A" w14:textId="77777777" w:rsidR="00AC3C57" w:rsidRPr="00F41270" w:rsidRDefault="00AC3C57">
            <w:pPr>
              <w:pStyle w:val="ARtabletextright"/>
              <w:spacing w:before="20" w:after="20"/>
            </w:pPr>
            <w:r w:rsidRPr="00F41270">
              <w:t>13,17</w:t>
            </w:r>
            <w:r>
              <w:t>2</w:t>
            </w:r>
          </w:p>
        </w:tc>
        <w:tc>
          <w:tcPr>
            <w:tcW w:w="1701" w:type="dxa"/>
            <w:tcBorders>
              <w:top w:val="single" w:sz="4" w:space="0" w:color="A6A6A6" w:themeColor="accent5"/>
              <w:bottom w:val="single" w:sz="4" w:space="0" w:color="A6A6A6" w:themeColor="accent5"/>
            </w:tcBorders>
          </w:tcPr>
          <w:p w14:paraId="32FFEA9E" w14:textId="77777777" w:rsidR="00AC3C57" w:rsidRPr="00F41270" w:rsidRDefault="00AC3C57">
            <w:pPr>
              <w:pStyle w:val="ARtabletextright"/>
              <w:spacing w:before="20" w:after="20"/>
              <w:cnfStyle w:val="000000000000" w:firstRow="0" w:lastRow="0" w:firstColumn="0" w:lastColumn="0" w:oddVBand="0" w:evenVBand="0" w:oddHBand="0" w:evenHBand="0" w:firstRowFirstColumn="0" w:firstRowLastColumn="0" w:lastRowFirstColumn="0" w:lastRowLastColumn="0"/>
            </w:pPr>
            <w:r w:rsidRPr="00F41270">
              <w:t>17,914</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A6A6A6" w:themeColor="accent5"/>
              <w:bottom w:val="single" w:sz="4" w:space="0" w:color="A6A6A6" w:themeColor="accent5"/>
            </w:tcBorders>
          </w:tcPr>
          <w:p w14:paraId="1ED86EF1" w14:textId="77777777" w:rsidR="00AC3C57" w:rsidRPr="00F41270" w:rsidRDefault="00AC3C57">
            <w:pPr>
              <w:pStyle w:val="ARtabletextright"/>
              <w:spacing w:before="20" w:after="20"/>
            </w:pPr>
            <w:r w:rsidRPr="00F41270">
              <w:t>19,506</w:t>
            </w:r>
          </w:p>
        </w:tc>
      </w:tr>
      <w:tr w:rsidR="00AC3C57" w:rsidRPr="008E2F75" w14:paraId="4C502965" w14:textId="77777777" w:rsidTr="005353B4">
        <w:trPr>
          <w:cnfStyle w:val="010000000000" w:firstRow="0" w:lastRow="1" w:firstColumn="0" w:lastColumn="0" w:oddVBand="0" w:evenVBand="0" w:oddHBand="0" w:evenHBand="0" w:firstRowFirstColumn="0" w:firstRowLastColumn="0" w:lastRowFirstColumn="0" w:lastRowLastColumn="0"/>
        </w:trPr>
        <w:tc>
          <w:tcPr>
            <w:tcW w:w="4537" w:type="dxa"/>
            <w:tcBorders>
              <w:top w:val="single" w:sz="4" w:space="0" w:color="A6A6A6" w:themeColor="accent5"/>
            </w:tcBorders>
          </w:tcPr>
          <w:p w14:paraId="4E222725" w14:textId="77777777" w:rsidR="00AC3C57" w:rsidRPr="00F41270" w:rsidRDefault="00AC3C57" w:rsidP="003A2252">
            <w:pPr>
              <w:pStyle w:val="ARtabletext"/>
            </w:pPr>
            <w:r w:rsidRPr="00F41270">
              <w:t>G3 Total Scope 3 greenhouse gas emissions</w:t>
            </w:r>
            <w:r w:rsidRPr="00F41270">
              <w:br/>
              <w:t>(Other indirect)</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A6A6A6" w:themeColor="accent5"/>
            </w:tcBorders>
          </w:tcPr>
          <w:p w14:paraId="0F449AC6" w14:textId="77777777" w:rsidR="00AC3C57" w:rsidRPr="00F41270" w:rsidRDefault="00AC3C57">
            <w:pPr>
              <w:pStyle w:val="ARtabletextright"/>
              <w:spacing w:before="20" w:after="20"/>
            </w:pPr>
            <w:r w:rsidRPr="00F41270">
              <w:t>4,686</w:t>
            </w:r>
          </w:p>
        </w:tc>
        <w:tc>
          <w:tcPr>
            <w:tcW w:w="1701" w:type="dxa"/>
            <w:tcBorders>
              <w:top w:val="single" w:sz="4" w:space="0" w:color="A6A6A6" w:themeColor="accent5"/>
            </w:tcBorders>
          </w:tcPr>
          <w:p w14:paraId="55F259B9" w14:textId="77777777" w:rsidR="00AC3C57" w:rsidRPr="00F41270" w:rsidRDefault="00AC3C57">
            <w:pPr>
              <w:pStyle w:val="ARtabletextright"/>
              <w:spacing w:before="20" w:after="20"/>
              <w:cnfStyle w:val="010000000000" w:firstRow="0" w:lastRow="1" w:firstColumn="0" w:lastColumn="0" w:oddVBand="0" w:evenVBand="0" w:oddHBand="0" w:evenHBand="0" w:firstRowFirstColumn="0" w:firstRowLastColumn="0" w:lastRowFirstColumn="0" w:lastRowLastColumn="0"/>
            </w:pPr>
            <w:r w:rsidRPr="00F41270">
              <w:t>–</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A6A6A6" w:themeColor="accent5"/>
            </w:tcBorders>
          </w:tcPr>
          <w:p w14:paraId="4D68E619" w14:textId="77777777" w:rsidR="00AC3C57" w:rsidRPr="00F41270" w:rsidRDefault="00AC3C57">
            <w:pPr>
              <w:pStyle w:val="ARtabletextright"/>
              <w:spacing w:before="20" w:after="20"/>
            </w:pPr>
            <w:r w:rsidRPr="00F41270">
              <w:t>–</w:t>
            </w:r>
          </w:p>
        </w:tc>
      </w:tr>
    </w:tbl>
    <w:p w14:paraId="3A50D924" w14:textId="77777777" w:rsidR="00AC3C57" w:rsidRPr="008E2F75" w:rsidRDefault="00AC3C57">
      <w:pPr>
        <w:pStyle w:val="ARbody"/>
        <w:rPr>
          <w:highlight w:val="cyan"/>
        </w:rPr>
        <w:sectPr w:rsidR="00AC3C57" w:rsidRPr="008E2F75" w:rsidSect="007F43B1">
          <w:endnotePr>
            <w:numFmt w:val="decimal"/>
          </w:endnotePr>
          <w:pgSz w:w="11900" w:h="16840" w:code="9"/>
          <w:pgMar w:top="1588" w:right="1134" w:bottom="851" w:left="1134" w:header="510" w:footer="340" w:gutter="0"/>
          <w:cols w:space="454"/>
          <w:docGrid w:linePitch="326"/>
        </w:sectPr>
      </w:pPr>
    </w:p>
    <w:p w14:paraId="4AA6FE90" w14:textId="77777777" w:rsidR="00AC3C57" w:rsidRPr="00A13524" w:rsidRDefault="00AC3C57">
      <w:pPr>
        <w:pStyle w:val="Heading3"/>
      </w:pPr>
      <w:r w:rsidRPr="00A13524">
        <w:t>Electricity production and consumption</w:t>
      </w:r>
    </w:p>
    <w:p w14:paraId="0380B4E8" w14:textId="77777777" w:rsidR="00AC3C57" w:rsidRPr="00A13524" w:rsidRDefault="00AC3C57">
      <w:pPr>
        <w:pStyle w:val="ARbody"/>
        <w:rPr>
          <w:szCs w:val="20"/>
        </w:rPr>
      </w:pPr>
      <w:r w:rsidRPr="00A13524">
        <w:t xml:space="preserve">The </w:t>
      </w:r>
      <w:r w:rsidRPr="00A13524">
        <w:rPr>
          <w:szCs w:val="20"/>
        </w:rPr>
        <w:t>department continues to implement energy efficiency policies across its sites to reduce electricity use. These measures include:</w:t>
      </w:r>
    </w:p>
    <w:p w14:paraId="7BA8CC8B" w14:textId="77777777" w:rsidR="00AC3C57" w:rsidRPr="00A13524" w:rsidRDefault="00AC3C57">
      <w:pPr>
        <w:pStyle w:val="ARbullet1"/>
      </w:pPr>
      <w:r>
        <w:t>installing</w:t>
      </w:r>
      <w:r w:rsidRPr="00A13524">
        <w:t xml:space="preserve"> LED lighting</w:t>
      </w:r>
    </w:p>
    <w:p w14:paraId="15BBED68" w14:textId="77777777" w:rsidR="00AC3C57" w:rsidRPr="00A13524" w:rsidRDefault="00AC3C57">
      <w:pPr>
        <w:pStyle w:val="ARbullet1"/>
      </w:pPr>
      <w:r w:rsidRPr="00A13524">
        <w:t>switching to efficient electric appliances, for example, minimum 7-star energy-efficient refrigerators when they are replaced</w:t>
      </w:r>
    </w:p>
    <w:p w14:paraId="658F5A76" w14:textId="77777777" w:rsidR="00AC3C57" w:rsidRPr="00A13524" w:rsidRDefault="00AC3C57">
      <w:pPr>
        <w:pStyle w:val="ARbullet1"/>
      </w:pPr>
      <w:r w:rsidRPr="00A13524">
        <w:t>no gas in newly acquired buildings</w:t>
      </w:r>
    </w:p>
    <w:p w14:paraId="478E5D19" w14:textId="236BDD8D" w:rsidR="00AC3C57" w:rsidRPr="00A13524" w:rsidRDefault="00AC3C57">
      <w:pPr>
        <w:pStyle w:val="ARbullet1"/>
      </w:pPr>
      <w:r w:rsidRPr="00A13524">
        <w:t>adjustments to heating and cooling systems to</w:t>
      </w:r>
      <w:r w:rsidR="001F27F9">
        <w:t> </w:t>
      </w:r>
      <w:r w:rsidRPr="00A13524">
        <w:t>optimise electricity savings.</w:t>
      </w:r>
    </w:p>
    <w:p w14:paraId="3B966811" w14:textId="77777777" w:rsidR="00AC3C57" w:rsidRPr="00FE1C7B" w:rsidRDefault="00AC3C57">
      <w:pPr>
        <w:pStyle w:val="ARbodyafterbullets"/>
      </w:pPr>
      <w:r w:rsidRPr="008E2F75">
        <w:rPr>
          <w:highlight w:val="cyan"/>
        </w:rPr>
        <w:br w:type="column"/>
      </w:r>
      <w:r w:rsidRPr="00420466">
        <w:t>Housing services electricity consumption has decreased marginally</w:t>
      </w:r>
      <w:r>
        <w:t>.</w:t>
      </w:r>
      <w:r w:rsidRPr="00420466">
        <w:t xml:space="preserve"> </w:t>
      </w:r>
      <w:r>
        <w:t>I</w:t>
      </w:r>
      <w:r w:rsidRPr="00420466">
        <w:t>ndirect emissions from electricity consumption reduced significantly (27%). This is attributable to decreases in the emission factor for electricity consumption in Victoria</w:t>
      </w:r>
      <w:r>
        <w:t>. It also relates</w:t>
      </w:r>
      <w:r w:rsidRPr="00420466">
        <w:t xml:space="preserve"> to an improved reporting metho</w:t>
      </w:r>
      <w:r w:rsidRPr="00FE1C7B">
        <w:t xml:space="preserve">dology which accounts for the </w:t>
      </w:r>
      <w:r>
        <w:t>r</w:t>
      </w:r>
      <w:r w:rsidRPr="00FE1C7B">
        <w:t xml:space="preserve">enewable </w:t>
      </w:r>
      <w:r>
        <w:t>p</w:t>
      </w:r>
      <w:r w:rsidRPr="00FE1C7B">
        <w:t xml:space="preserve">ower </w:t>
      </w:r>
      <w:r>
        <w:t>p</w:t>
      </w:r>
      <w:r w:rsidRPr="00FE1C7B">
        <w:t xml:space="preserve">ercentage in the electricity grid. </w:t>
      </w:r>
    </w:p>
    <w:p w14:paraId="142321CE" w14:textId="19BE03F9" w:rsidR="00AC3C57" w:rsidRPr="00420466" w:rsidRDefault="00AC3C57">
      <w:pPr>
        <w:pStyle w:val="ARbodyafterbullets"/>
      </w:pPr>
      <w:r w:rsidRPr="00FE1C7B">
        <w:t xml:space="preserve">Department office electricity </w:t>
      </w:r>
      <w:proofErr w:type="gramStart"/>
      <w:r w:rsidRPr="00FE1C7B">
        <w:t>use</w:t>
      </w:r>
      <w:proofErr w:type="gramEnd"/>
      <w:r w:rsidRPr="00FE1C7B">
        <w:t xml:space="preserve"> from 2023–24 to</w:t>
      </w:r>
      <w:r w:rsidR="001F27F9">
        <w:t> </w:t>
      </w:r>
      <w:r w:rsidRPr="00FE1C7B">
        <w:t>2024–25 has decreased by 3.9%.</w:t>
      </w:r>
    </w:p>
    <w:p w14:paraId="22D49635" w14:textId="77777777" w:rsidR="00AC3C57" w:rsidRPr="00420466" w:rsidRDefault="00AC3C57">
      <w:pPr>
        <w:pStyle w:val="ARbodyafterbullets"/>
        <w:sectPr w:rsidR="00AC3C57" w:rsidRPr="00420466" w:rsidSect="007F43B1">
          <w:endnotePr>
            <w:numFmt w:val="decimal"/>
          </w:endnotePr>
          <w:type w:val="continuous"/>
          <w:pgSz w:w="11900" w:h="16840" w:code="9"/>
          <w:pgMar w:top="1588" w:right="1134" w:bottom="851" w:left="1134" w:header="510" w:footer="340" w:gutter="0"/>
          <w:cols w:num="2" w:space="454"/>
          <w:docGrid w:linePitch="326"/>
        </w:sectPr>
      </w:pPr>
      <w:r w:rsidRPr="00420466">
        <w:t xml:space="preserve">The total amount of </w:t>
      </w:r>
      <w:proofErr w:type="spellStart"/>
      <w:r w:rsidRPr="00420466">
        <w:t>GreenPower</w:t>
      </w:r>
      <w:proofErr w:type="spellEnd"/>
      <w:r w:rsidRPr="00420466">
        <w:t xml:space="preserve"> purchased </w:t>
      </w:r>
      <w:r>
        <w:t xml:space="preserve">by Homes Victoria </w:t>
      </w:r>
      <w:r w:rsidRPr="00420466">
        <w:t>during 2024–25 has increased as new-build housing sites are supplied with 100% renewable energy.</w:t>
      </w:r>
    </w:p>
    <w:p w14:paraId="509335D6" w14:textId="77777777" w:rsidR="00AC3C57" w:rsidRPr="00420466" w:rsidRDefault="00AC3C57">
      <w:pPr>
        <w:pStyle w:val="Heading4"/>
        <w:spacing w:before="360"/>
      </w:pPr>
      <w:r w:rsidRPr="00420466">
        <w:t>Department offices</w:t>
      </w:r>
    </w:p>
    <w:p w14:paraId="3A8530A1" w14:textId="77777777" w:rsidR="00AC3C57" w:rsidRPr="00420466" w:rsidRDefault="00AC3C57">
      <w:pPr>
        <w:pStyle w:val="ARtablecaption"/>
      </w:pPr>
      <w:r w:rsidRPr="00420466">
        <w:rPr>
          <w:lang w:eastAsia="en-AU"/>
        </w:rPr>
        <w:t>EL1 Total electricity consumption</w:t>
      </w:r>
    </w:p>
    <w:tbl>
      <w:tblPr>
        <w:tblStyle w:val="TableGrid"/>
        <w:tblW w:w="9671" w:type="dxa"/>
        <w:tblLook w:val="02E0" w:firstRow="1" w:lastRow="1" w:firstColumn="1" w:lastColumn="0" w:noHBand="1" w:noVBand="0"/>
      </w:tblPr>
      <w:tblGrid>
        <w:gridCol w:w="4552"/>
        <w:gridCol w:w="1717"/>
        <w:gridCol w:w="1717"/>
        <w:gridCol w:w="1717"/>
      </w:tblGrid>
      <w:tr w:rsidR="00AC3C57" w:rsidRPr="008E2F75" w14:paraId="4B1B4F7E" w14:textId="77777777" w:rsidTr="005353B4">
        <w:trPr>
          <w:cnfStyle w:val="100000000000" w:firstRow="1" w:lastRow="0" w:firstColumn="0" w:lastColumn="0" w:oddVBand="0" w:evenVBand="0" w:oddHBand="0" w:evenHBand="0" w:firstRowFirstColumn="0" w:firstRowLastColumn="0" w:lastRowFirstColumn="0" w:lastRowLastColumn="0"/>
          <w:tblHeader/>
        </w:trPr>
        <w:tc>
          <w:tcPr>
            <w:tcW w:w="4544" w:type="dxa"/>
            <w:tcBorders>
              <w:bottom w:val="single" w:sz="4" w:space="0" w:color="auto"/>
            </w:tcBorders>
            <w:noWrap/>
            <w:hideMark/>
          </w:tcPr>
          <w:p w14:paraId="22A75AD2" w14:textId="77777777" w:rsidR="00AC3C57" w:rsidRPr="003A3B0F" w:rsidRDefault="00AC3C57">
            <w:pPr>
              <w:pStyle w:val="ARtablecolhead"/>
              <w:spacing w:before="30" w:after="20"/>
            </w:pPr>
            <w:r w:rsidRPr="003A3B0F">
              <w:t>Indicator</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hideMark/>
          </w:tcPr>
          <w:p w14:paraId="0953E4F6" w14:textId="77777777" w:rsidR="00AC3C57" w:rsidRPr="003A3B0F" w:rsidRDefault="00AC3C57">
            <w:pPr>
              <w:pStyle w:val="ARtablecolheadright"/>
              <w:spacing w:before="30" w:after="20"/>
            </w:pPr>
            <w:r w:rsidRPr="003A3B0F">
              <w:t>2024–25</w:t>
            </w:r>
          </w:p>
          <w:p w14:paraId="72836D75" w14:textId="77777777" w:rsidR="00AC3C57" w:rsidRPr="003A3B0F" w:rsidRDefault="00AC3C57">
            <w:pPr>
              <w:pStyle w:val="ARtablecolheadright"/>
              <w:spacing w:before="30" w:after="20"/>
            </w:pPr>
            <w:r w:rsidRPr="003A3B0F">
              <w:t>MWh</w:t>
            </w:r>
          </w:p>
        </w:tc>
        <w:tc>
          <w:tcPr>
            <w:tcW w:w="1709" w:type="dxa"/>
            <w:tcBorders>
              <w:bottom w:val="single" w:sz="4" w:space="0" w:color="auto"/>
            </w:tcBorders>
            <w:noWrap/>
            <w:hideMark/>
          </w:tcPr>
          <w:p w14:paraId="370B1545" w14:textId="77777777" w:rsidR="00AC3C57" w:rsidRPr="003A3B0F"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3A3B0F">
              <w:t>2023–24</w:t>
            </w:r>
          </w:p>
          <w:p w14:paraId="3F3BC3F8" w14:textId="77777777" w:rsidR="00AC3C57" w:rsidRPr="003A3B0F"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3A3B0F" w:rsidDel="00F8163C">
              <w:t>MWh</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hideMark/>
          </w:tcPr>
          <w:p w14:paraId="72D9DB01" w14:textId="77777777" w:rsidR="00AC3C57" w:rsidRPr="003A3B0F" w:rsidRDefault="00AC3C57">
            <w:pPr>
              <w:pStyle w:val="ARtablecolheadright"/>
              <w:spacing w:before="30" w:after="20"/>
            </w:pPr>
            <w:r w:rsidRPr="003A3B0F">
              <w:t>2022–23</w:t>
            </w:r>
          </w:p>
          <w:p w14:paraId="2AB3B45E" w14:textId="77777777" w:rsidR="00AC3C57" w:rsidRPr="003A3B0F" w:rsidRDefault="00AC3C57">
            <w:pPr>
              <w:pStyle w:val="ARtablecolheadright"/>
              <w:spacing w:before="30" w:after="20"/>
            </w:pPr>
            <w:r w:rsidRPr="003A3B0F" w:rsidDel="00F8163C">
              <w:t>MWh</w:t>
            </w:r>
          </w:p>
        </w:tc>
      </w:tr>
      <w:tr w:rsidR="00AC3C57" w:rsidRPr="008E2F75" w14:paraId="409B3DBB" w14:textId="77777777" w:rsidTr="005353B4">
        <w:tc>
          <w:tcPr>
            <w:tcW w:w="4544" w:type="dxa"/>
            <w:tcBorders>
              <w:top w:val="single" w:sz="4" w:space="0" w:color="auto"/>
              <w:bottom w:val="single" w:sz="4" w:space="0" w:color="BFBFBF"/>
            </w:tcBorders>
            <w:noWrap/>
            <w:hideMark/>
          </w:tcPr>
          <w:p w14:paraId="71C56A57" w14:textId="77777777" w:rsidR="00AC3C57" w:rsidRPr="003A3B0F" w:rsidRDefault="00AC3C57">
            <w:pPr>
              <w:pStyle w:val="ARtabletext"/>
              <w:spacing w:before="30" w:after="20"/>
              <w:rPr>
                <w:color w:val="000000"/>
              </w:rPr>
            </w:pPr>
            <w:r w:rsidRPr="003A3B0F">
              <w:t>Purchased electricity – consolidated</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auto"/>
              <w:bottom w:val="single" w:sz="4" w:space="0" w:color="BFBFBF"/>
            </w:tcBorders>
            <w:noWrap/>
            <w:hideMark/>
          </w:tcPr>
          <w:p w14:paraId="3D8D7614" w14:textId="77777777" w:rsidR="00AC3C57" w:rsidRPr="002A56C4" w:rsidRDefault="00AC3C57">
            <w:pPr>
              <w:pStyle w:val="ARtabletextright"/>
              <w:spacing w:before="30" w:after="20"/>
              <w:rPr>
                <w:color w:val="000000"/>
              </w:rPr>
            </w:pPr>
            <w:r w:rsidRPr="002A56C4">
              <w:t>11,</w:t>
            </w:r>
            <w:r w:rsidRPr="002A56C4">
              <w:rPr>
                <w:bCs/>
              </w:rPr>
              <w:t>415.7</w:t>
            </w:r>
          </w:p>
        </w:tc>
        <w:tc>
          <w:tcPr>
            <w:tcW w:w="1709" w:type="dxa"/>
            <w:tcBorders>
              <w:top w:val="single" w:sz="4" w:space="0" w:color="auto"/>
              <w:bottom w:val="single" w:sz="4" w:space="0" w:color="BFBFBF"/>
            </w:tcBorders>
            <w:noWrap/>
            <w:hideMark/>
          </w:tcPr>
          <w:p w14:paraId="76F7BB73" w14:textId="77777777" w:rsidR="00AC3C57" w:rsidRPr="003A3B0F"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3A3B0F">
              <w:t>11,874.9</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auto"/>
              <w:bottom w:val="single" w:sz="4" w:space="0" w:color="BFBFBF"/>
            </w:tcBorders>
            <w:noWrap/>
            <w:hideMark/>
          </w:tcPr>
          <w:p w14:paraId="18DF10FB" w14:textId="77777777" w:rsidR="00AC3C57" w:rsidRPr="003A3B0F" w:rsidRDefault="00AC3C57">
            <w:pPr>
              <w:pStyle w:val="ARtabletextright"/>
              <w:spacing w:before="30" w:after="20"/>
            </w:pPr>
            <w:r w:rsidRPr="003A3B0F">
              <w:t>8,581.6</w:t>
            </w:r>
          </w:p>
        </w:tc>
      </w:tr>
      <w:tr w:rsidR="00AC3C57" w:rsidRPr="008E2F75" w14:paraId="6FD0B528" w14:textId="77777777" w:rsidTr="005353B4">
        <w:trPr>
          <w:trHeight w:val="288"/>
        </w:trPr>
        <w:tc>
          <w:tcPr>
            <w:tcW w:w="4544" w:type="dxa"/>
            <w:tcBorders>
              <w:top w:val="single" w:sz="4" w:space="0" w:color="BFBFBF"/>
              <w:bottom w:val="single" w:sz="4" w:space="0" w:color="A6A6A6" w:themeColor="accent5"/>
            </w:tcBorders>
            <w:noWrap/>
            <w:hideMark/>
          </w:tcPr>
          <w:p w14:paraId="1E9C12E4" w14:textId="77777777" w:rsidR="00AC3C57" w:rsidRPr="003A3B0F" w:rsidRDefault="00AC3C57">
            <w:pPr>
              <w:pStyle w:val="ARtabletext"/>
              <w:spacing w:before="30" w:after="20"/>
              <w:rPr>
                <w:color w:val="000000"/>
              </w:rPr>
            </w:pPr>
            <w:r w:rsidRPr="003A3B0F">
              <w:t>Self-generated</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bottom w:val="single" w:sz="4" w:space="0" w:color="A6A6A6" w:themeColor="accent5"/>
            </w:tcBorders>
            <w:noWrap/>
            <w:hideMark/>
          </w:tcPr>
          <w:p w14:paraId="648D7424" w14:textId="77777777" w:rsidR="00AC3C57" w:rsidRPr="002A56C4" w:rsidRDefault="00AC3C57">
            <w:pPr>
              <w:pStyle w:val="ARtabletextright"/>
              <w:spacing w:before="30" w:after="20"/>
              <w:rPr>
                <w:color w:val="000000"/>
              </w:rPr>
            </w:pPr>
            <w:r w:rsidRPr="002A56C4">
              <w:t>–</w:t>
            </w:r>
          </w:p>
        </w:tc>
        <w:tc>
          <w:tcPr>
            <w:tcW w:w="1709" w:type="dxa"/>
            <w:tcBorders>
              <w:top w:val="single" w:sz="4" w:space="0" w:color="BFBFBF"/>
              <w:bottom w:val="single" w:sz="4" w:space="0" w:color="A6A6A6" w:themeColor="accent5"/>
            </w:tcBorders>
            <w:noWrap/>
            <w:hideMark/>
          </w:tcPr>
          <w:p w14:paraId="21AD7594" w14:textId="77777777" w:rsidR="00AC3C57" w:rsidRPr="003A3B0F"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3A3B0F" w:rsidDel="00803A42">
              <w:t>–</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bottom w:val="single" w:sz="4" w:space="0" w:color="A6A6A6" w:themeColor="accent5"/>
            </w:tcBorders>
            <w:noWrap/>
            <w:hideMark/>
          </w:tcPr>
          <w:p w14:paraId="168462D8" w14:textId="77777777" w:rsidR="00AC3C57" w:rsidRPr="003A3B0F" w:rsidRDefault="00AC3C57">
            <w:pPr>
              <w:pStyle w:val="ARtabletextright"/>
              <w:spacing w:before="30" w:after="20"/>
            </w:pPr>
            <w:r w:rsidRPr="003A3B0F">
              <w:t>–</w:t>
            </w:r>
          </w:p>
        </w:tc>
      </w:tr>
      <w:tr w:rsidR="00AC3C57" w:rsidRPr="008E2F75" w14:paraId="3CBB51BD" w14:textId="77777777" w:rsidTr="005353B4">
        <w:trPr>
          <w:cnfStyle w:val="010000000000" w:firstRow="0" w:lastRow="1" w:firstColumn="0" w:lastColumn="0" w:oddVBand="0" w:evenVBand="0" w:oddHBand="0" w:evenHBand="0" w:firstRowFirstColumn="0" w:firstRowLastColumn="0" w:lastRowFirstColumn="0" w:lastRowLastColumn="0"/>
          <w:trHeight w:val="288"/>
        </w:trPr>
        <w:tc>
          <w:tcPr>
            <w:tcW w:w="4544" w:type="dxa"/>
            <w:tcBorders>
              <w:top w:val="single" w:sz="4" w:space="0" w:color="A6A6A6" w:themeColor="accent5"/>
            </w:tcBorders>
            <w:noWrap/>
            <w:hideMark/>
          </w:tcPr>
          <w:p w14:paraId="34C2C4AE" w14:textId="77777777" w:rsidR="00AC3C57" w:rsidRPr="003A3B0F" w:rsidRDefault="00AC3C57">
            <w:pPr>
              <w:pStyle w:val="ARtabletextbold"/>
              <w:spacing w:before="30" w:after="20"/>
            </w:pPr>
            <w:r w:rsidRPr="003A3B0F">
              <w:t>EL1 Total electricity consumption</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A6A6A6" w:themeColor="accent5"/>
            </w:tcBorders>
            <w:noWrap/>
            <w:hideMark/>
          </w:tcPr>
          <w:p w14:paraId="2F001882" w14:textId="77777777" w:rsidR="00AC3C57" w:rsidRPr="002A56C4" w:rsidRDefault="00AC3C57">
            <w:pPr>
              <w:pStyle w:val="ARtabletextrightbold"/>
              <w:spacing w:before="30" w:after="20"/>
            </w:pPr>
            <w:r w:rsidRPr="002A56C4">
              <w:t>11,415.7</w:t>
            </w:r>
          </w:p>
        </w:tc>
        <w:tc>
          <w:tcPr>
            <w:tcW w:w="1709" w:type="dxa"/>
            <w:tcBorders>
              <w:top w:val="single" w:sz="4" w:space="0" w:color="A6A6A6" w:themeColor="accent5"/>
            </w:tcBorders>
            <w:noWrap/>
            <w:hideMark/>
          </w:tcPr>
          <w:p w14:paraId="31B91024" w14:textId="77777777" w:rsidR="00AC3C57" w:rsidRPr="003A3B0F"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3A3B0F">
              <w:t>11,874.9</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A6A6A6" w:themeColor="accent5"/>
            </w:tcBorders>
            <w:noWrap/>
            <w:hideMark/>
          </w:tcPr>
          <w:p w14:paraId="23ACF18C" w14:textId="77777777" w:rsidR="00AC3C57" w:rsidRPr="003A3B0F" w:rsidRDefault="00AC3C57">
            <w:pPr>
              <w:pStyle w:val="ARtabletextrightbold"/>
              <w:spacing w:before="30" w:after="20"/>
            </w:pPr>
            <w:r w:rsidRPr="003A3B0F">
              <w:t>8,581.6</w:t>
            </w:r>
          </w:p>
        </w:tc>
      </w:tr>
    </w:tbl>
    <w:p w14:paraId="793B9D3E" w14:textId="77777777" w:rsidR="00AC3C57" w:rsidRPr="003835DC" w:rsidRDefault="00AC3C57">
      <w:pPr>
        <w:pStyle w:val="ARtablecaption"/>
      </w:pPr>
      <w:r w:rsidRPr="003835DC">
        <w:lastRenderedPageBreak/>
        <w:t>EL2 On-site electricity generated</w:t>
      </w:r>
    </w:p>
    <w:tbl>
      <w:tblPr>
        <w:tblStyle w:val="TableGrid"/>
        <w:tblW w:w="9671" w:type="dxa"/>
        <w:tblLook w:val="02E0" w:firstRow="1" w:lastRow="1" w:firstColumn="1" w:lastColumn="0" w:noHBand="1" w:noVBand="0"/>
      </w:tblPr>
      <w:tblGrid>
        <w:gridCol w:w="4552"/>
        <w:gridCol w:w="1717"/>
        <w:gridCol w:w="1717"/>
        <w:gridCol w:w="1717"/>
      </w:tblGrid>
      <w:tr w:rsidR="00AC3C57" w:rsidRPr="008E2F75" w14:paraId="64AE1320" w14:textId="77777777" w:rsidTr="005353B4">
        <w:trPr>
          <w:cnfStyle w:val="100000000000" w:firstRow="1" w:lastRow="0" w:firstColumn="0" w:lastColumn="0" w:oddVBand="0" w:evenVBand="0" w:oddHBand="0" w:evenHBand="0" w:firstRowFirstColumn="0" w:firstRowLastColumn="0" w:lastRowFirstColumn="0" w:lastRowLastColumn="0"/>
          <w:trHeight w:val="288"/>
          <w:tblHeader/>
        </w:trPr>
        <w:tc>
          <w:tcPr>
            <w:tcW w:w="4544" w:type="dxa"/>
            <w:tcBorders>
              <w:bottom w:val="single" w:sz="4" w:space="0" w:color="auto"/>
            </w:tcBorders>
            <w:noWrap/>
          </w:tcPr>
          <w:p w14:paraId="7F0C4EB4" w14:textId="77777777" w:rsidR="00AC3C57" w:rsidRPr="003835DC" w:rsidRDefault="00AC3C57">
            <w:pPr>
              <w:pStyle w:val="ARtablecolhead"/>
              <w:spacing w:before="30" w:after="20"/>
            </w:pPr>
            <w:r w:rsidRPr="003835DC">
              <w:t>Indicator</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tcPr>
          <w:p w14:paraId="163440E9" w14:textId="77777777" w:rsidR="00AC3C57" w:rsidRPr="003835DC" w:rsidRDefault="00AC3C57">
            <w:pPr>
              <w:pStyle w:val="ARtablecolheadright"/>
              <w:spacing w:before="30" w:after="20"/>
            </w:pPr>
            <w:r w:rsidRPr="003835DC">
              <w:t>2024–25</w:t>
            </w:r>
          </w:p>
          <w:p w14:paraId="6DAAE550" w14:textId="77777777" w:rsidR="00AC3C57" w:rsidRPr="003835DC" w:rsidRDefault="00AC3C57">
            <w:pPr>
              <w:pStyle w:val="ARtablecolheadright"/>
              <w:spacing w:before="30" w:after="20"/>
            </w:pPr>
            <w:r w:rsidRPr="003835DC" w:rsidDel="00F25725">
              <w:t>MWh</w:t>
            </w:r>
          </w:p>
        </w:tc>
        <w:tc>
          <w:tcPr>
            <w:tcW w:w="1709" w:type="dxa"/>
            <w:tcBorders>
              <w:bottom w:val="single" w:sz="4" w:space="0" w:color="auto"/>
            </w:tcBorders>
            <w:noWrap/>
          </w:tcPr>
          <w:p w14:paraId="502C1085" w14:textId="77777777" w:rsidR="00AC3C57" w:rsidRPr="003835DC"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3835DC">
              <w:t>2023–24</w:t>
            </w:r>
          </w:p>
          <w:p w14:paraId="45828BDE" w14:textId="77777777" w:rsidR="00AC3C57" w:rsidRPr="003835DC"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3835DC" w:rsidDel="00F25725">
              <w:t>MWh</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tcPr>
          <w:p w14:paraId="3C3C9D6A" w14:textId="77777777" w:rsidR="00AC3C57" w:rsidRPr="003835DC" w:rsidRDefault="00AC3C57">
            <w:pPr>
              <w:pStyle w:val="ARtablecolheadright"/>
              <w:spacing w:before="30" w:after="20"/>
            </w:pPr>
            <w:r w:rsidRPr="003835DC">
              <w:t>2022–23</w:t>
            </w:r>
          </w:p>
          <w:p w14:paraId="7C6FB635" w14:textId="77777777" w:rsidR="00AC3C57" w:rsidRPr="003835DC" w:rsidRDefault="00AC3C57">
            <w:pPr>
              <w:pStyle w:val="ARtablecolheadright"/>
              <w:spacing w:before="30" w:after="20"/>
            </w:pPr>
            <w:r w:rsidRPr="003835DC" w:rsidDel="00F25725">
              <w:t>MWh</w:t>
            </w:r>
          </w:p>
        </w:tc>
      </w:tr>
      <w:tr w:rsidR="00AC3C57" w:rsidRPr="008E2F75" w14:paraId="50AD5561" w14:textId="77777777" w:rsidTr="005353B4">
        <w:trPr>
          <w:trHeight w:val="288"/>
        </w:trPr>
        <w:tc>
          <w:tcPr>
            <w:tcW w:w="9671" w:type="dxa"/>
            <w:gridSpan w:val="4"/>
            <w:tcBorders>
              <w:top w:val="single" w:sz="4" w:space="0" w:color="auto"/>
              <w:bottom w:val="single" w:sz="4" w:space="0" w:color="BFBFBF"/>
            </w:tcBorders>
            <w:noWrap/>
            <w:hideMark/>
          </w:tcPr>
          <w:p w14:paraId="0520A6D8" w14:textId="77777777" w:rsidR="00AC3C57" w:rsidRPr="003835DC" w:rsidRDefault="00AC3C57">
            <w:pPr>
              <w:pStyle w:val="ARtabletextbold"/>
              <w:spacing w:before="30" w:after="20"/>
            </w:pPr>
            <w:r w:rsidRPr="003835DC">
              <w:t>Solar PV</w:t>
            </w:r>
          </w:p>
        </w:tc>
      </w:tr>
      <w:tr w:rsidR="00AC3C57" w:rsidRPr="008E2F75" w14:paraId="287CA663" w14:textId="77777777" w:rsidTr="005353B4">
        <w:trPr>
          <w:trHeight w:val="288"/>
        </w:trPr>
        <w:tc>
          <w:tcPr>
            <w:tcW w:w="4544" w:type="dxa"/>
            <w:tcBorders>
              <w:top w:val="single" w:sz="4" w:space="0" w:color="BFBFBF"/>
              <w:bottom w:val="single" w:sz="4" w:space="0" w:color="BFBFBF"/>
            </w:tcBorders>
            <w:noWrap/>
            <w:hideMark/>
          </w:tcPr>
          <w:p w14:paraId="24B14AD3" w14:textId="77777777" w:rsidR="00AC3C57" w:rsidRPr="003835DC" w:rsidRDefault="00AC3C57">
            <w:pPr>
              <w:pStyle w:val="ARtabletext"/>
              <w:spacing w:before="30" w:after="20"/>
              <w:rPr>
                <w:color w:val="000000"/>
              </w:rPr>
            </w:pPr>
            <w:r w:rsidRPr="003835DC">
              <w:t>Consumption behind-the-meter</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bottom w:val="single" w:sz="4" w:space="0" w:color="BFBFBF"/>
            </w:tcBorders>
            <w:noWrap/>
            <w:hideMark/>
          </w:tcPr>
          <w:p w14:paraId="4090394C" w14:textId="77777777" w:rsidR="00AC3C57" w:rsidRPr="003835DC" w:rsidRDefault="00AC3C57">
            <w:pPr>
              <w:pStyle w:val="ARtabletextright"/>
              <w:spacing w:before="30" w:after="20"/>
              <w:rPr>
                <w:color w:val="000000"/>
              </w:rPr>
            </w:pPr>
            <w:r w:rsidRPr="003835DC">
              <w:t>–</w:t>
            </w:r>
          </w:p>
        </w:tc>
        <w:tc>
          <w:tcPr>
            <w:tcW w:w="1709" w:type="dxa"/>
            <w:tcBorders>
              <w:top w:val="single" w:sz="4" w:space="0" w:color="BFBFBF"/>
              <w:bottom w:val="single" w:sz="4" w:space="0" w:color="BFBFBF"/>
            </w:tcBorders>
            <w:noWrap/>
            <w:hideMark/>
          </w:tcPr>
          <w:p w14:paraId="77F2FEBC" w14:textId="77777777" w:rsidR="00AC3C57" w:rsidRPr="003835DC"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3835DC">
              <w:t>–</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bottom w:val="single" w:sz="4" w:space="0" w:color="BFBFBF"/>
            </w:tcBorders>
            <w:noWrap/>
            <w:hideMark/>
          </w:tcPr>
          <w:p w14:paraId="4023623D" w14:textId="77777777" w:rsidR="00AC3C57" w:rsidRPr="003835DC" w:rsidRDefault="00AC3C57">
            <w:pPr>
              <w:pStyle w:val="ARtabletextright"/>
              <w:spacing w:before="30" w:after="20"/>
            </w:pPr>
            <w:r w:rsidRPr="003835DC">
              <w:t>–</w:t>
            </w:r>
          </w:p>
        </w:tc>
      </w:tr>
      <w:tr w:rsidR="00AC3C57" w:rsidRPr="008E2F75" w14:paraId="7506DB0A" w14:textId="77777777" w:rsidTr="005353B4">
        <w:trPr>
          <w:trHeight w:val="288"/>
        </w:trPr>
        <w:tc>
          <w:tcPr>
            <w:tcW w:w="4544" w:type="dxa"/>
            <w:tcBorders>
              <w:top w:val="single" w:sz="4" w:space="0" w:color="BFBFBF"/>
              <w:bottom w:val="single" w:sz="4" w:space="0" w:color="000000" w:themeColor="text1"/>
            </w:tcBorders>
            <w:noWrap/>
            <w:hideMark/>
          </w:tcPr>
          <w:p w14:paraId="5107F0D7" w14:textId="77777777" w:rsidR="00AC3C57" w:rsidRPr="003835DC" w:rsidRDefault="00AC3C57">
            <w:pPr>
              <w:pStyle w:val="ARtabletext"/>
              <w:spacing w:before="30" w:after="20"/>
            </w:pPr>
            <w:r w:rsidRPr="003835DC">
              <w:t>Exports</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bottom w:val="single" w:sz="4" w:space="0" w:color="000000" w:themeColor="text1"/>
            </w:tcBorders>
            <w:noWrap/>
            <w:hideMark/>
          </w:tcPr>
          <w:p w14:paraId="38AF4FE2" w14:textId="77777777" w:rsidR="00AC3C57" w:rsidRPr="003835DC" w:rsidRDefault="00AC3C57">
            <w:pPr>
              <w:pStyle w:val="ARtabletextright"/>
              <w:spacing w:before="30" w:after="20"/>
              <w:rPr>
                <w:color w:val="000000"/>
              </w:rPr>
            </w:pPr>
            <w:r w:rsidRPr="003835DC">
              <w:t>–</w:t>
            </w:r>
          </w:p>
        </w:tc>
        <w:tc>
          <w:tcPr>
            <w:tcW w:w="1709" w:type="dxa"/>
            <w:tcBorders>
              <w:top w:val="single" w:sz="4" w:space="0" w:color="BFBFBF"/>
              <w:bottom w:val="single" w:sz="4" w:space="0" w:color="000000" w:themeColor="text1"/>
            </w:tcBorders>
            <w:noWrap/>
            <w:hideMark/>
          </w:tcPr>
          <w:p w14:paraId="38985A88" w14:textId="77777777" w:rsidR="00AC3C57" w:rsidRPr="003835DC"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3835DC">
              <w:t>–</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bottom w:val="single" w:sz="4" w:space="0" w:color="000000" w:themeColor="text1"/>
            </w:tcBorders>
            <w:noWrap/>
            <w:hideMark/>
          </w:tcPr>
          <w:p w14:paraId="47D5ED8B" w14:textId="77777777" w:rsidR="00AC3C57" w:rsidRPr="003835DC" w:rsidRDefault="00AC3C57">
            <w:pPr>
              <w:pStyle w:val="ARtabletextright"/>
              <w:spacing w:before="30" w:after="20"/>
            </w:pPr>
            <w:r w:rsidRPr="003835DC">
              <w:t>–</w:t>
            </w:r>
          </w:p>
        </w:tc>
      </w:tr>
      <w:tr w:rsidR="00AC3C57" w:rsidRPr="008E2F75" w14:paraId="65D4B437" w14:textId="77777777" w:rsidTr="005353B4">
        <w:trPr>
          <w:trHeight w:val="288"/>
        </w:trPr>
        <w:tc>
          <w:tcPr>
            <w:tcW w:w="4544" w:type="dxa"/>
            <w:tcBorders>
              <w:top w:val="single" w:sz="4" w:space="0" w:color="000000" w:themeColor="text1"/>
              <w:bottom w:val="single" w:sz="4" w:space="0" w:color="auto"/>
            </w:tcBorders>
            <w:noWrap/>
            <w:hideMark/>
          </w:tcPr>
          <w:p w14:paraId="230DFDE7" w14:textId="77777777" w:rsidR="00AC3C57" w:rsidRPr="003835DC" w:rsidRDefault="00AC3C57">
            <w:pPr>
              <w:pStyle w:val="ARtabletextbold"/>
              <w:spacing w:before="30" w:after="20"/>
            </w:pPr>
            <w:r w:rsidRPr="003835DC">
              <w:t>Total solar PV</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000000" w:themeColor="text1"/>
              <w:bottom w:val="single" w:sz="4" w:space="0" w:color="auto"/>
            </w:tcBorders>
            <w:noWrap/>
            <w:hideMark/>
          </w:tcPr>
          <w:p w14:paraId="6AD256B7" w14:textId="77777777" w:rsidR="00AC3C57" w:rsidRPr="003835DC" w:rsidRDefault="00AC3C57">
            <w:pPr>
              <w:pStyle w:val="ARtabletextrightbold"/>
              <w:spacing w:before="30" w:after="20"/>
            </w:pPr>
            <w:r w:rsidRPr="003835DC">
              <w:t>–</w:t>
            </w:r>
          </w:p>
        </w:tc>
        <w:tc>
          <w:tcPr>
            <w:tcW w:w="1709" w:type="dxa"/>
            <w:tcBorders>
              <w:top w:val="single" w:sz="4" w:space="0" w:color="000000" w:themeColor="text1"/>
              <w:bottom w:val="single" w:sz="4" w:space="0" w:color="auto"/>
            </w:tcBorders>
            <w:noWrap/>
            <w:hideMark/>
          </w:tcPr>
          <w:p w14:paraId="2255957B" w14:textId="77777777" w:rsidR="00AC3C57" w:rsidRPr="003835DC" w:rsidRDefault="00AC3C57">
            <w:pPr>
              <w:pStyle w:val="ARtabletextrightbold"/>
              <w:spacing w:before="30" w:after="20"/>
              <w:cnfStyle w:val="000000000000" w:firstRow="0" w:lastRow="0" w:firstColumn="0" w:lastColumn="0" w:oddVBand="0" w:evenVBand="0" w:oddHBand="0" w:evenHBand="0" w:firstRowFirstColumn="0" w:firstRowLastColumn="0" w:lastRowFirstColumn="0" w:lastRowLastColumn="0"/>
            </w:pPr>
            <w:r w:rsidRPr="003835DC">
              <w:t>–</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000000" w:themeColor="text1"/>
              <w:bottom w:val="single" w:sz="4" w:space="0" w:color="auto"/>
            </w:tcBorders>
            <w:noWrap/>
            <w:hideMark/>
          </w:tcPr>
          <w:p w14:paraId="485451D8" w14:textId="77777777" w:rsidR="00AC3C57" w:rsidRPr="003835DC" w:rsidRDefault="00AC3C57">
            <w:pPr>
              <w:pStyle w:val="ARtabletextrightbold"/>
              <w:spacing w:before="30" w:after="20"/>
            </w:pPr>
            <w:r w:rsidRPr="003835DC">
              <w:t>–</w:t>
            </w:r>
          </w:p>
        </w:tc>
      </w:tr>
      <w:tr w:rsidR="00AC3C57" w:rsidRPr="008E2F75" w14:paraId="7ECF05AB" w14:textId="77777777" w:rsidTr="005353B4">
        <w:trPr>
          <w:trHeight w:val="288"/>
        </w:trPr>
        <w:tc>
          <w:tcPr>
            <w:tcW w:w="4544" w:type="dxa"/>
            <w:noWrap/>
            <w:hideMark/>
          </w:tcPr>
          <w:p w14:paraId="2C129FA3" w14:textId="77777777" w:rsidR="00AC3C57" w:rsidRPr="003835DC" w:rsidRDefault="00AC3C57">
            <w:pPr>
              <w:pStyle w:val="ARtabletext"/>
              <w:spacing w:before="30" w:after="20"/>
            </w:pPr>
            <w:r w:rsidRPr="003835DC">
              <w:t>Other non-renewable (diesel backup generator)</w:t>
            </w:r>
          </w:p>
        </w:tc>
        <w:tc>
          <w:tcPr>
            <w:cnfStyle w:val="000001000000" w:firstRow="0" w:lastRow="0" w:firstColumn="0" w:lastColumn="0" w:oddVBand="0" w:evenVBand="1" w:oddHBand="0" w:evenHBand="0" w:firstRowFirstColumn="0" w:firstRowLastColumn="0" w:lastRowFirstColumn="0" w:lastRowLastColumn="0"/>
            <w:tcW w:w="1709" w:type="dxa"/>
            <w:noWrap/>
          </w:tcPr>
          <w:p w14:paraId="6182FB24" w14:textId="77777777" w:rsidR="00AC3C57" w:rsidRPr="003835DC" w:rsidRDefault="00AC3C57">
            <w:pPr>
              <w:pStyle w:val="ARtabletextright"/>
              <w:spacing w:before="30" w:after="20"/>
            </w:pPr>
            <w:r w:rsidRPr="003835DC">
              <w:t>–</w:t>
            </w:r>
          </w:p>
        </w:tc>
        <w:tc>
          <w:tcPr>
            <w:tcW w:w="1709" w:type="dxa"/>
            <w:noWrap/>
          </w:tcPr>
          <w:p w14:paraId="78E9867E" w14:textId="77777777" w:rsidR="00AC3C57" w:rsidRPr="003835DC"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3835DC">
              <w:t>–</w:t>
            </w:r>
          </w:p>
        </w:tc>
        <w:tc>
          <w:tcPr>
            <w:cnfStyle w:val="000001000000" w:firstRow="0" w:lastRow="0" w:firstColumn="0" w:lastColumn="0" w:oddVBand="0" w:evenVBand="1" w:oddHBand="0" w:evenHBand="0" w:firstRowFirstColumn="0" w:firstRowLastColumn="0" w:lastRowFirstColumn="0" w:lastRowLastColumn="0"/>
            <w:tcW w:w="1709" w:type="dxa"/>
            <w:noWrap/>
          </w:tcPr>
          <w:p w14:paraId="31D977A0" w14:textId="77777777" w:rsidR="00AC3C57" w:rsidRPr="003835DC" w:rsidRDefault="00AC3C57">
            <w:pPr>
              <w:pStyle w:val="ARtabletextright"/>
              <w:spacing w:before="30" w:after="20"/>
            </w:pPr>
            <w:r w:rsidRPr="003835DC">
              <w:t>–</w:t>
            </w:r>
          </w:p>
        </w:tc>
      </w:tr>
      <w:tr w:rsidR="00AC3C57" w:rsidRPr="008E2F75" w14:paraId="29FC6BAE" w14:textId="77777777" w:rsidTr="005353B4">
        <w:trPr>
          <w:cnfStyle w:val="010000000000" w:firstRow="0" w:lastRow="1" w:firstColumn="0" w:lastColumn="0" w:oddVBand="0" w:evenVBand="0" w:oddHBand="0" w:evenHBand="0" w:firstRowFirstColumn="0" w:firstRowLastColumn="0" w:lastRowFirstColumn="0" w:lastRowLastColumn="0"/>
          <w:trHeight w:val="288"/>
        </w:trPr>
        <w:tc>
          <w:tcPr>
            <w:tcW w:w="4544" w:type="dxa"/>
            <w:noWrap/>
            <w:hideMark/>
          </w:tcPr>
          <w:p w14:paraId="67197B70" w14:textId="77777777" w:rsidR="00AC3C57" w:rsidRPr="003835DC" w:rsidRDefault="00AC3C57">
            <w:pPr>
              <w:pStyle w:val="ARtabletextbold"/>
              <w:spacing w:before="30" w:after="20"/>
            </w:pPr>
            <w:r w:rsidRPr="003835DC">
              <w:t>EL2 Total on-site electricity generated</w:t>
            </w:r>
          </w:p>
        </w:tc>
        <w:tc>
          <w:tcPr>
            <w:cnfStyle w:val="000001000000" w:firstRow="0" w:lastRow="0" w:firstColumn="0" w:lastColumn="0" w:oddVBand="0" w:evenVBand="1" w:oddHBand="0" w:evenHBand="0" w:firstRowFirstColumn="0" w:firstRowLastColumn="0" w:lastRowFirstColumn="0" w:lastRowLastColumn="0"/>
            <w:tcW w:w="1709" w:type="dxa"/>
            <w:noWrap/>
            <w:hideMark/>
          </w:tcPr>
          <w:p w14:paraId="57A15D84" w14:textId="77777777" w:rsidR="00AC3C57" w:rsidRPr="003835DC" w:rsidRDefault="00AC3C57">
            <w:pPr>
              <w:pStyle w:val="ARtabletextrightbold"/>
              <w:spacing w:before="30" w:after="20"/>
            </w:pPr>
            <w:r w:rsidRPr="003835DC">
              <w:t>–</w:t>
            </w:r>
          </w:p>
        </w:tc>
        <w:tc>
          <w:tcPr>
            <w:tcW w:w="1709" w:type="dxa"/>
            <w:noWrap/>
            <w:hideMark/>
          </w:tcPr>
          <w:p w14:paraId="648D6505" w14:textId="77777777" w:rsidR="00AC3C57" w:rsidRPr="003835DC"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3835DC">
              <w:t>–</w:t>
            </w:r>
          </w:p>
        </w:tc>
        <w:tc>
          <w:tcPr>
            <w:cnfStyle w:val="000001000000" w:firstRow="0" w:lastRow="0" w:firstColumn="0" w:lastColumn="0" w:oddVBand="0" w:evenVBand="1" w:oddHBand="0" w:evenHBand="0" w:firstRowFirstColumn="0" w:firstRowLastColumn="0" w:lastRowFirstColumn="0" w:lastRowLastColumn="0"/>
            <w:tcW w:w="1709" w:type="dxa"/>
            <w:noWrap/>
            <w:hideMark/>
          </w:tcPr>
          <w:p w14:paraId="1F696961" w14:textId="77777777" w:rsidR="00AC3C57" w:rsidRPr="003835DC" w:rsidRDefault="00AC3C57">
            <w:pPr>
              <w:pStyle w:val="ARtabletextrightbold"/>
              <w:spacing w:before="30" w:after="20"/>
            </w:pPr>
            <w:r w:rsidRPr="003835DC">
              <w:t>–</w:t>
            </w:r>
          </w:p>
        </w:tc>
      </w:tr>
    </w:tbl>
    <w:p w14:paraId="53BBC9F3" w14:textId="77777777" w:rsidR="00AC3C57" w:rsidRPr="003835DC" w:rsidRDefault="00AC3C57">
      <w:pPr>
        <w:pStyle w:val="ARtablecaption"/>
      </w:pPr>
      <w:r w:rsidRPr="003835DC">
        <w:t>EL3 On-site installed generation capacity</w:t>
      </w:r>
    </w:p>
    <w:tbl>
      <w:tblPr>
        <w:tblStyle w:val="TableGrid"/>
        <w:tblW w:w="9671" w:type="dxa"/>
        <w:tblLook w:val="02E0" w:firstRow="1" w:lastRow="1" w:firstColumn="1" w:lastColumn="0" w:noHBand="1" w:noVBand="0"/>
      </w:tblPr>
      <w:tblGrid>
        <w:gridCol w:w="4552"/>
        <w:gridCol w:w="1717"/>
        <w:gridCol w:w="1717"/>
        <w:gridCol w:w="1717"/>
      </w:tblGrid>
      <w:tr w:rsidR="00AC3C57" w:rsidRPr="008E2F75" w14:paraId="64ACEE42" w14:textId="77777777" w:rsidTr="005353B4">
        <w:trPr>
          <w:cnfStyle w:val="100000000000" w:firstRow="1" w:lastRow="0" w:firstColumn="0" w:lastColumn="0" w:oddVBand="0" w:evenVBand="0" w:oddHBand="0" w:evenHBand="0" w:firstRowFirstColumn="0" w:firstRowLastColumn="0" w:lastRowFirstColumn="0" w:lastRowLastColumn="0"/>
          <w:trHeight w:val="288"/>
          <w:tblHeader/>
        </w:trPr>
        <w:tc>
          <w:tcPr>
            <w:tcW w:w="4544" w:type="dxa"/>
            <w:tcBorders>
              <w:bottom w:val="single" w:sz="4" w:space="0" w:color="auto"/>
            </w:tcBorders>
            <w:noWrap/>
          </w:tcPr>
          <w:p w14:paraId="663F6403" w14:textId="77777777" w:rsidR="00AC3C57" w:rsidRPr="003835DC" w:rsidRDefault="00AC3C57">
            <w:pPr>
              <w:pStyle w:val="ARtablecolhead"/>
              <w:spacing w:before="30" w:after="20"/>
              <w:rPr>
                <w:color w:val="000000"/>
              </w:rPr>
            </w:pPr>
            <w:r w:rsidRPr="003835DC">
              <w:t>Indicator</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tcPr>
          <w:p w14:paraId="28ECC725" w14:textId="77777777" w:rsidR="00AC3C57" w:rsidRPr="003835DC" w:rsidRDefault="00AC3C57">
            <w:pPr>
              <w:pStyle w:val="ARtablecolheadright"/>
              <w:spacing w:before="30" w:after="20"/>
            </w:pPr>
            <w:r w:rsidRPr="003835DC">
              <w:t>2024–25</w:t>
            </w:r>
          </w:p>
          <w:p w14:paraId="1EA09A2E" w14:textId="77777777" w:rsidR="00AC3C57" w:rsidRPr="003835DC" w:rsidRDefault="00AC3C57">
            <w:pPr>
              <w:pStyle w:val="ARtablecolheadright"/>
              <w:spacing w:before="30" w:after="20"/>
            </w:pPr>
            <w:r w:rsidRPr="003835DC">
              <w:t>MWh</w:t>
            </w:r>
          </w:p>
        </w:tc>
        <w:tc>
          <w:tcPr>
            <w:tcW w:w="1709" w:type="dxa"/>
            <w:tcBorders>
              <w:bottom w:val="single" w:sz="4" w:space="0" w:color="auto"/>
            </w:tcBorders>
            <w:noWrap/>
          </w:tcPr>
          <w:p w14:paraId="124791FB" w14:textId="77777777" w:rsidR="00AC3C57" w:rsidRPr="003835DC"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3835DC">
              <w:t>2023–24</w:t>
            </w:r>
          </w:p>
          <w:p w14:paraId="5EB817A8" w14:textId="77777777" w:rsidR="00AC3C57" w:rsidRPr="003835DC"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3835DC">
              <w:t>MWh</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tcPr>
          <w:p w14:paraId="57708130" w14:textId="77777777" w:rsidR="00AC3C57" w:rsidRPr="003835DC" w:rsidRDefault="00AC3C57">
            <w:pPr>
              <w:pStyle w:val="ARtablecolheadright"/>
              <w:spacing w:before="30" w:after="20"/>
            </w:pPr>
            <w:r w:rsidRPr="003835DC">
              <w:t>2022–23</w:t>
            </w:r>
          </w:p>
          <w:p w14:paraId="121903A1" w14:textId="77777777" w:rsidR="00AC3C57" w:rsidRPr="003835DC" w:rsidRDefault="00AC3C57">
            <w:pPr>
              <w:pStyle w:val="ARtablecolheadright"/>
              <w:spacing w:before="30" w:after="20"/>
            </w:pPr>
            <w:r w:rsidRPr="003835DC">
              <w:t>MWh</w:t>
            </w:r>
          </w:p>
        </w:tc>
      </w:tr>
      <w:tr w:rsidR="00AC3C57" w:rsidRPr="008E2F75" w14:paraId="6A745F8E" w14:textId="77777777" w:rsidTr="005353B4">
        <w:trPr>
          <w:trHeight w:val="288"/>
        </w:trPr>
        <w:tc>
          <w:tcPr>
            <w:tcW w:w="4544" w:type="dxa"/>
            <w:tcBorders>
              <w:top w:val="single" w:sz="4" w:space="0" w:color="auto"/>
              <w:bottom w:val="single" w:sz="4" w:space="0" w:color="BFBFBF"/>
            </w:tcBorders>
            <w:noWrap/>
            <w:hideMark/>
          </w:tcPr>
          <w:p w14:paraId="593D51B6" w14:textId="77777777" w:rsidR="00AC3C57" w:rsidRPr="003835DC" w:rsidRDefault="00AC3C57">
            <w:pPr>
              <w:pStyle w:val="ARtabletext"/>
              <w:spacing w:before="30" w:after="20"/>
              <w:rPr>
                <w:color w:val="000000"/>
              </w:rPr>
            </w:pPr>
            <w:r w:rsidRPr="003835DC">
              <w:t>Solar PV</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auto"/>
              <w:bottom w:val="single" w:sz="4" w:space="0" w:color="BFBFBF"/>
            </w:tcBorders>
            <w:noWrap/>
            <w:hideMark/>
          </w:tcPr>
          <w:p w14:paraId="20749700" w14:textId="77777777" w:rsidR="00AC3C57" w:rsidRPr="003835DC" w:rsidRDefault="00AC3C57">
            <w:pPr>
              <w:pStyle w:val="ARtabletextright"/>
              <w:spacing w:before="30" w:after="20"/>
            </w:pPr>
            <w:r w:rsidRPr="003835DC">
              <w:t>–</w:t>
            </w:r>
          </w:p>
        </w:tc>
        <w:tc>
          <w:tcPr>
            <w:tcW w:w="1709" w:type="dxa"/>
            <w:tcBorders>
              <w:top w:val="single" w:sz="4" w:space="0" w:color="auto"/>
              <w:bottom w:val="single" w:sz="4" w:space="0" w:color="BFBFBF"/>
            </w:tcBorders>
            <w:noWrap/>
            <w:hideMark/>
          </w:tcPr>
          <w:p w14:paraId="33D19359" w14:textId="77777777" w:rsidR="00AC3C57" w:rsidRPr="003835DC"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3835DC">
              <w:t>–</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auto"/>
              <w:bottom w:val="single" w:sz="4" w:space="0" w:color="BFBFBF"/>
            </w:tcBorders>
            <w:noWrap/>
            <w:hideMark/>
          </w:tcPr>
          <w:p w14:paraId="0A0E8797" w14:textId="77777777" w:rsidR="00AC3C57" w:rsidRPr="003835DC" w:rsidRDefault="00AC3C57">
            <w:pPr>
              <w:pStyle w:val="ARtabletextright"/>
              <w:spacing w:before="30" w:after="20"/>
            </w:pPr>
            <w:r w:rsidRPr="003835DC">
              <w:t>–</w:t>
            </w:r>
          </w:p>
        </w:tc>
      </w:tr>
      <w:tr w:rsidR="00AC3C57" w:rsidRPr="008E2F75" w14:paraId="1B136B91" w14:textId="77777777" w:rsidTr="005353B4">
        <w:trPr>
          <w:trHeight w:val="288"/>
        </w:trPr>
        <w:tc>
          <w:tcPr>
            <w:tcW w:w="4544" w:type="dxa"/>
            <w:tcBorders>
              <w:top w:val="single" w:sz="4" w:space="0" w:color="BFBFBF"/>
              <w:bottom w:val="single" w:sz="4" w:space="0" w:color="BFBFBF"/>
            </w:tcBorders>
            <w:noWrap/>
            <w:hideMark/>
          </w:tcPr>
          <w:p w14:paraId="0D82B12B" w14:textId="77777777" w:rsidR="00AC3C57" w:rsidRPr="003835DC" w:rsidRDefault="00AC3C57">
            <w:pPr>
              <w:pStyle w:val="ARtabletext"/>
              <w:spacing w:before="30" w:after="20"/>
              <w:rPr>
                <w:color w:val="000000"/>
              </w:rPr>
            </w:pPr>
            <w:r w:rsidRPr="003835DC">
              <w:t>Diesel backup generator</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bottom w:val="single" w:sz="4" w:space="0" w:color="BFBFBF"/>
            </w:tcBorders>
            <w:noWrap/>
            <w:hideMark/>
          </w:tcPr>
          <w:p w14:paraId="69D36548" w14:textId="77777777" w:rsidR="00AC3C57" w:rsidRPr="003835DC" w:rsidRDefault="00AC3C57">
            <w:pPr>
              <w:pStyle w:val="ARtabletextright"/>
              <w:spacing w:before="30" w:after="20"/>
            </w:pPr>
            <w:r w:rsidRPr="003835DC">
              <w:t>–</w:t>
            </w:r>
          </w:p>
        </w:tc>
        <w:tc>
          <w:tcPr>
            <w:tcW w:w="1709" w:type="dxa"/>
            <w:tcBorders>
              <w:top w:val="single" w:sz="4" w:space="0" w:color="BFBFBF"/>
              <w:bottom w:val="single" w:sz="4" w:space="0" w:color="BFBFBF"/>
            </w:tcBorders>
            <w:noWrap/>
            <w:hideMark/>
          </w:tcPr>
          <w:p w14:paraId="6DE170DE" w14:textId="77777777" w:rsidR="00AC3C57" w:rsidRPr="003835DC"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3835DC">
              <w:t>–</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bottom w:val="single" w:sz="4" w:space="0" w:color="BFBFBF"/>
            </w:tcBorders>
            <w:noWrap/>
            <w:hideMark/>
          </w:tcPr>
          <w:p w14:paraId="7CB3DC32" w14:textId="77777777" w:rsidR="00AC3C57" w:rsidRPr="003835DC" w:rsidRDefault="00AC3C57">
            <w:pPr>
              <w:pStyle w:val="ARtabletextright"/>
              <w:spacing w:before="30" w:after="20"/>
            </w:pPr>
            <w:r w:rsidRPr="003835DC">
              <w:t>–</w:t>
            </w:r>
          </w:p>
        </w:tc>
      </w:tr>
      <w:tr w:rsidR="00AC3C57" w:rsidRPr="008E2F75" w14:paraId="675B7BE6" w14:textId="77777777" w:rsidTr="005353B4">
        <w:trPr>
          <w:cnfStyle w:val="010000000000" w:firstRow="0" w:lastRow="1" w:firstColumn="0" w:lastColumn="0" w:oddVBand="0" w:evenVBand="0" w:oddHBand="0" w:evenHBand="0" w:firstRowFirstColumn="0" w:firstRowLastColumn="0" w:lastRowFirstColumn="0" w:lastRowLastColumn="0"/>
          <w:trHeight w:val="288"/>
        </w:trPr>
        <w:tc>
          <w:tcPr>
            <w:tcW w:w="4544" w:type="dxa"/>
            <w:noWrap/>
            <w:hideMark/>
          </w:tcPr>
          <w:p w14:paraId="531267D3" w14:textId="77777777" w:rsidR="00AC3C57" w:rsidRPr="003835DC" w:rsidRDefault="00AC3C57">
            <w:pPr>
              <w:pStyle w:val="ARtabletextbold"/>
              <w:spacing w:before="30" w:after="20"/>
            </w:pPr>
            <w:r w:rsidRPr="003835DC">
              <w:t>EL3 Total on-site installed generation capacity</w:t>
            </w:r>
          </w:p>
        </w:tc>
        <w:tc>
          <w:tcPr>
            <w:cnfStyle w:val="000001000000" w:firstRow="0" w:lastRow="0" w:firstColumn="0" w:lastColumn="0" w:oddVBand="0" w:evenVBand="1" w:oddHBand="0" w:evenHBand="0" w:firstRowFirstColumn="0" w:firstRowLastColumn="0" w:lastRowFirstColumn="0" w:lastRowLastColumn="0"/>
            <w:tcW w:w="1709" w:type="dxa"/>
            <w:noWrap/>
            <w:hideMark/>
          </w:tcPr>
          <w:p w14:paraId="0425F4CE" w14:textId="77777777" w:rsidR="00AC3C57" w:rsidRPr="003835DC" w:rsidRDefault="00AC3C57">
            <w:pPr>
              <w:pStyle w:val="ARtabletextrightbold"/>
              <w:spacing w:before="30" w:after="20"/>
            </w:pPr>
            <w:r w:rsidRPr="003835DC">
              <w:t>–</w:t>
            </w:r>
          </w:p>
        </w:tc>
        <w:tc>
          <w:tcPr>
            <w:tcW w:w="1709" w:type="dxa"/>
            <w:noWrap/>
            <w:hideMark/>
          </w:tcPr>
          <w:p w14:paraId="3F2D2C92" w14:textId="77777777" w:rsidR="00AC3C57" w:rsidRPr="003835DC"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3835DC">
              <w:t>–</w:t>
            </w:r>
          </w:p>
        </w:tc>
        <w:tc>
          <w:tcPr>
            <w:cnfStyle w:val="000001000000" w:firstRow="0" w:lastRow="0" w:firstColumn="0" w:lastColumn="0" w:oddVBand="0" w:evenVBand="1" w:oddHBand="0" w:evenHBand="0" w:firstRowFirstColumn="0" w:firstRowLastColumn="0" w:lastRowFirstColumn="0" w:lastRowLastColumn="0"/>
            <w:tcW w:w="1709" w:type="dxa"/>
            <w:noWrap/>
            <w:hideMark/>
          </w:tcPr>
          <w:p w14:paraId="4313BD8C" w14:textId="77777777" w:rsidR="00AC3C57" w:rsidRPr="003835DC" w:rsidRDefault="00AC3C57">
            <w:pPr>
              <w:pStyle w:val="ARtabletextrightbold"/>
              <w:spacing w:before="30" w:after="20"/>
            </w:pPr>
            <w:r w:rsidRPr="003835DC">
              <w:t>–</w:t>
            </w:r>
          </w:p>
        </w:tc>
      </w:tr>
    </w:tbl>
    <w:p w14:paraId="3BAD10CE" w14:textId="77777777" w:rsidR="00AC3C57" w:rsidRPr="003835DC" w:rsidRDefault="00AC3C57">
      <w:pPr>
        <w:pStyle w:val="ARtablecaption"/>
      </w:pPr>
      <w:r w:rsidRPr="003835DC">
        <w:t>EL4 Total electricity offsets</w:t>
      </w:r>
    </w:p>
    <w:tbl>
      <w:tblPr>
        <w:tblStyle w:val="TableGrid"/>
        <w:tblW w:w="9703" w:type="dxa"/>
        <w:tblLook w:val="02E0" w:firstRow="1" w:lastRow="1" w:firstColumn="1" w:lastColumn="0" w:noHBand="1" w:noVBand="0"/>
      </w:tblPr>
      <w:tblGrid>
        <w:gridCol w:w="4560"/>
        <w:gridCol w:w="1725"/>
        <w:gridCol w:w="1725"/>
        <w:gridCol w:w="1725"/>
      </w:tblGrid>
      <w:tr w:rsidR="00AC3C57" w:rsidRPr="008E2F75" w14:paraId="23C2E8AA" w14:textId="77777777" w:rsidTr="002C713C">
        <w:trPr>
          <w:cnfStyle w:val="100000000000" w:firstRow="1" w:lastRow="0" w:firstColumn="0" w:lastColumn="0" w:oddVBand="0" w:evenVBand="0" w:oddHBand="0" w:evenHBand="0" w:firstRowFirstColumn="0" w:firstRowLastColumn="0" w:lastRowFirstColumn="0" w:lastRowLastColumn="0"/>
          <w:trHeight w:val="288"/>
          <w:tblHeader/>
        </w:trPr>
        <w:tc>
          <w:tcPr>
            <w:tcW w:w="4552" w:type="dxa"/>
            <w:tcBorders>
              <w:bottom w:val="single" w:sz="4" w:space="0" w:color="auto"/>
            </w:tcBorders>
            <w:noWrap/>
          </w:tcPr>
          <w:p w14:paraId="796A780A" w14:textId="77777777" w:rsidR="00AC3C57" w:rsidRPr="003835DC" w:rsidRDefault="00AC3C57">
            <w:pPr>
              <w:pStyle w:val="ARtablecolhead"/>
              <w:spacing w:before="30" w:after="20"/>
              <w:rPr>
                <w:color w:val="000000"/>
              </w:rPr>
            </w:pPr>
            <w:r w:rsidRPr="003835DC">
              <w:t>Indicator</w:t>
            </w:r>
          </w:p>
        </w:tc>
        <w:tc>
          <w:tcPr>
            <w:cnfStyle w:val="000001000000" w:firstRow="0" w:lastRow="0" w:firstColumn="0" w:lastColumn="0" w:oddVBand="0" w:evenVBand="1" w:oddHBand="0" w:evenHBand="0" w:firstRowFirstColumn="0" w:firstRowLastColumn="0" w:lastRowFirstColumn="0" w:lastRowLastColumn="0"/>
            <w:tcW w:w="1717" w:type="dxa"/>
            <w:tcBorders>
              <w:bottom w:val="single" w:sz="4" w:space="0" w:color="auto"/>
            </w:tcBorders>
            <w:noWrap/>
          </w:tcPr>
          <w:p w14:paraId="048C033C" w14:textId="77777777" w:rsidR="00AC3C57" w:rsidRPr="003835DC" w:rsidRDefault="00AC3C57">
            <w:pPr>
              <w:pStyle w:val="ARtablecolheadright"/>
              <w:spacing w:before="30" w:after="20"/>
            </w:pPr>
            <w:r w:rsidRPr="003835DC">
              <w:t>2024–25</w:t>
            </w:r>
          </w:p>
          <w:p w14:paraId="0A64C1FB" w14:textId="77777777" w:rsidR="00AC3C57" w:rsidRPr="003835DC" w:rsidRDefault="00AC3C57">
            <w:pPr>
              <w:pStyle w:val="ARtablecolheadright"/>
              <w:spacing w:before="30" w:after="20"/>
            </w:pPr>
            <w:r w:rsidRPr="003835DC" w:rsidDel="00153B6C">
              <w:t>MWh</w:t>
            </w:r>
          </w:p>
        </w:tc>
        <w:tc>
          <w:tcPr>
            <w:tcW w:w="1717" w:type="dxa"/>
            <w:tcBorders>
              <w:bottom w:val="single" w:sz="4" w:space="0" w:color="auto"/>
            </w:tcBorders>
            <w:noWrap/>
          </w:tcPr>
          <w:p w14:paraId="567281F7" w14:textId="77777777" w:rsidR="00AC3C57" w:rsidRPr="003835DC"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3835DC">
              <w:t>2023–24</w:t>
            </w:r>
          </w:p>
          <w:p w14:paraId="01F0BB06" w14:textId="77777777" w:rsidR="00AC3C57" w:rsidRPr="003835DC"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3835DC" w:rsidDel="00153B6C">
              <w:t>MWh</w:t>
            </w:r>
          </w:p>
        </w:tc>
        <w:tc>
          <w:tcPr>
            <w:cnfStyle w:val="000001000000" w:firstRow="0" w:lastRow="0" w:firstColumn="0" w:lastColumn="0" w:oddVBand="0" w:evenVBand="1" w:oddHBand="0" w:evenHBand="0" w:firstRowFirstColumn="0" w:firstRowLastColumn="0" w:lastRowFirstColumn="0" w:lastRowLastColumn="0"/>
            <w:tcW w:w="1717" w:type="dxa"/>
            <w:tcBorders>
              <w:bottom w:val="single" w:sz="4" w:space="0" w:color="auto"/>
            </w:tcBorders>
            <w:noWrap/>
          </w:tcPr>
          <w:p w14:paraId="0B4383F0" w14:textId="77777777" w:rsidR="00AC3C57" w:rsidRPr="003835DC" w:rsidRDefault="00AC3C57">
            <w:pPr>
              <w:pStyle w:val="ARtablecolheadright"/>
              <w:spacing w:before="30" w:after="20"/>
            </w:pPr>
            <w:r w:rsidRPr="003835DC">
              <w:t>2022–23</w:t>
            </w:r>
          </w:p>
          <w:p w14:paraId="38294EDB" w14:textId="77777777" w:rsidR="00AC3C57" w:rsidRPr="003835DC" w:rsidRDefault="00AC3C57">
            <w:pPr>
              <w:pStyle w:val="ARtablecolheadright"/>
              <w:spacing w:before="30" w:after="20"/>
            </w:pPr>
            <w:r w:rsidRPr="003835DC" w:rsidDel="00153B6C">
              <w:t>MWh</w:t>
            </w:r>
          </w:p>
        </w:tc>
      </w:tr>
      <w:tr w:rsidR="00AC3C57" w:rsidRPr="008E2F75" w14:paraId="67E3D02E" w14:textId="77777777" w:rsidTr="002C713C">
        <w:trPr>
          <w:cnfStyle w:val="010000000000" w:firstRow="0" w:lastRow="1" w:firstColumn="0" w:lastColumn="0" w:oddVBand="0" w:evenVBand="0" w:oddHBand="0" w:evenHBand="0" w:firstRowFirstColumn="0" w:firstRowLastColumn="0" w:lastRowFirstColumn="0" w:lastRowLastColumn="0"/>
          <w:trHeight w:val="288"/>
        </w:trPr>
        <w:tc>
          <w:tcPr>
            <w:tcW w:w="4552" w:type="dxa"/>
            <w:tcBorders>
              <w:top w:val="single" w:sz="4" w:space="0" w:color="auto"/>
              <w:bottom w:val="single" w:sz="4" w:space="0" w:color="BFBFBF"/>
            </w:tcBorders>
            <w:noWrap/>
            <w:hideMark/>
          </w:tcPr>
          <w:p w14:paraId="07648665" w14:textId="77777777" w:rsidR="00AC3C57" w:rsidRPr="00B30396" w:rsidRDefault="00AC3C57">
            <w:pPr>
              <w:pStyle w:val="ARtabletext"/>
              <w:spacing w:before="30" w:after="20"/>
              <w:rPr>
                <w:color w:val="000000"/>
              </w:rPr>
            </w:pPr>
            <w:r w:rsidRPr="00B30396">
              <w:t>LGC’s voluntarily retired by the entity</w:t>
            </w:r>
          </w:p>
        </w:tc>
        <w:tc>
          <w:tcPr>
            <w:cnfStyle w:val="000001000000" w:firstRow="0" w:lastRow="0" w:firstColumn="0" w:lastColumn="0" w:oddVBand="0" w:evenVBand="1" w:oddHBand="0" w:evenHBand="0" w:firstRowFirstColumn="0" w:firstRowLastColumn="0" w:lastRowFirstColumn="0" w:lastRowLastColumn="0"/>
            <w:tcW w:w="1717" w:type="dxa"/>
            <w:tcBorders>
              <w:top w:val="single" w:sz="4" w:space="0" w:color="auto"/>
              <w:bottom w:val="single" w:sz="4" w:space="0" w:color="BFBFBF"/>
            </w:tcBorders>
            <w:noWrap/>
            <w:hideMark/>
          </w:tcPr>
          <w:p w14:paraId="368492DB" w14:textId="77777777" w:rsidR="00AC3C57" w:rsidRPr="00B30396" w:rsidRDefault="00AC3C57">
            <w:pPr>
              <w:pStyle w:val="ARtabletextright"/>
              <w:spacing w:before="30" w:after="20"/>
              <w:rPr>
                <w:color w:val="000000"/>
              </w:rPr>
            </w:pPr>
            <w:r w:rsidRPr="00B30396">
              <w:t>–</w:t>
            </w:r>
          </w:p>
        </w:tc>
        <w:tc>
          <w:tcPr>
            <w:tcW w:w="1717" w:type="dxa"/>
            <w:tcBorders>
              <w:top w:val="single" w:sz="4" w:space="0" w:color="auto"/>
              <w:bottom w:val="single" w:sz="4" w:space="0" w:color="BFBFBF"/>
            </w:tcBorders>
            <w:noWrap/>
            <w:hideMark/>
          </w:tcPr>
          <w:p w14:paraId="17029DF3" w14:textId="77777777" w:rsidR="00AC3C57" w:rsidRPr="00B30396" w:rsidRDefault="00AC3C57">
            <w:pPr>
              <w:pStyle w:val="ARtabletextright"/>
              <w:spacing w:before="30" w:after="20"/>
              <w:cnfStyle w:val="010000000000" w:firstRow="0" w:lastRow="1" w:firstColumn="0" w:lastColumn="0" w:oddVBand="0" w:evenVBand="0" w:oddHBand="0" w:evenHBand="0" w:firstRowFirstColumn="0" w:firstRowLastColumn="0" w:lastRowFirstColumn="0" w:lastRowLastColumn="0"/>
            </w:pPr>
            <w:r w:rsidRPr="00B30396" w:rsidDel="00DC5470">
              <w:t>–</w:t>
            </w:r>
          </w:p>
        </w:tc>
        <w:tc>
          <w:tcPr>
            <w:cnfStyle w:val="000001000000" w:firstRow="0" w:lastRow="0" w:firstColumn="0" w:lastColumn="0" w:oddVBand="0" w:evenVBand="1" w:oddHBand="0" w:evenHBand="0" w:firstRowFirstColumn="0" w:firstRowLastColumn="0" w:lastRowFirstColumn="0" w:lastRowLastColumn="0"/>
            <w:tcW w:w="1717" w:type="dxa"/>
            <w:tcBorders>
              <w:top w:val="single" w:sz="4" w:space="0" w:color="auto"/>
              <w:bottom w:val="single" w:sz="4" w:space="0" w:color="BFBFBF"/>
            </w:tcBorders>
            <w:noWrap/>
            <w:hideMark/>
          </w:tcPr>
          <w:p w14:paraId="5A722434" w14:textId="77777777" w:rsidR="00AC3C57" w:rsidRPr="00B30396" w:rsidRDefault="00AC3C57">
            <w:pPr>
              <w:pStyle w:val="ARtabletextright"/>
              <w:spacing w:before="30" w:after="20"/>
            </w:pPr>
            <w:r w:rsidRPr="00B30396">
              <w:t>–</w:t>
            </w:r>
          </w:p>
        </w:tc>
      </w:tr>
    </w:tbl>
    <w:p w14:paraId="6D064C30" w14:textId="77777777" w:rsidR="002C713C" w:rsidRDefault="002C713C">
      <w:pPr>
        <w:pStyle w:val="ARtabletext"/>
        <w:spacing w:before="30" w:after="20"/>
        <w:sectPr w:rsidR="002C713C" w:rsidSect="007F43B1">
          <w:endnotePr>
            <w:numFmt w:val="decimal"/>
          </w:endnotePr>
          <w:type w:val="continuous"/>
          <w:pgSz w:w="11900" w:h="16840" w:code="9"/>
          <w:pgMar w:top="1588" w:right="1134" w:bottom="851" w:left="1134" w:header="510" w:footer="340" w:gutter="0"/>
          <w:cols w:space="454"/>
          <w:docGrid w:linePitch="326"/>
        </w:sectPr>
      </w:pPr>
    </w:p>
    <w:p w14:paraId="25A5CE9E" w14:textId="77777777" w:rsidR="002C713C" w:rsidRDefault="002C713C">
      <w:pPr>
        <w:pStyle w:val="ARtabletext"/>
        <w:spacing w:before="30" w:after="20"/>
        <w:sectPr w:rsidR="002C713C" w:rsidSect="007F43B1">
          <w:endnotePr>
            <w:numFmt w:val="decimal"/>
          </w:endnotePr>
          <w:type w:val="continuous"/>
          <w:pgSz w:w="11900" w:h="16840" w:code="9"/>
          <w:pgMar w:top="1588" w:right="1134" w:bottom="851" w:left="1134" w:header="510" w:footer="340" w:gutter="0"/>
          <w:cols w:space="454"/>
          <w:docGrid w:linePitch="326"/>
        </w:sectPr>
      </w:pPr>
    </w:p>
    <w:tbl>
      <w:tblPr>
        <w:tblStyle w:val="TableGrid"/>
        <w:tblW w:w="9703" w:type="dxa"/>
        <w:tblLook w:val="02E0" w:firstRow="1" w:lastRow="1" w:firstColumn="1" w:lastColumn="0" w:noHBand="1" w:noVBand="0"/>
      </w:tblPr>
      <w:tblGrid>
        <w:gridCol w:w="4560"/>
        <w:gridCol w:w="1725"/>
        <w:gridCol w:w="1725"/>
        <w:gridCol w:w="1725"/>
      </w:tblGrid>
      <w:tr w:rsidR="00AC3C57" w:rsidRPr="008E2F75" w14:paraId="55F91BD7" w14:textId="77777777" w:rsidTr="002C713C">
        <w:trPr>
          <w:cnfStyle w:val="100000000000" w:firstRow="1" w:lastRow="0" w:firstColumn="0" w:lastColumn="0" w:oddVBand="0" w:evenVBand="0" w:oddHBand="0" w:evenHBand="0" w:firstRowFirstColumn="0" w:firstRowLastColumn="0" w:lastRowFirstColumn="0" w:lastRowLastColumn="0"/>
          <w:trHeight w:val="288"/>
        </w:trPr>
        <w:tc>
          <w:tcPr>
            <w:tcW w:w="4552" w:type="dxa"/>
            <w:tcBorders>
              <w:top w:val="single" w:sz="4" w:space="0" w:color="BFBFBF"/>
            </w:tcBorders>
            <w:noWrap/>
          </w:tcPr>
          <w:p w14:paraId="29B66721" w14:textId="70E80762" w:rsidR="00AC3C57" w:rsidRPr="00FE4E56" w:rsidRDefault="00AC3C57">
            <w:pPr>
              <w:pStyle w:val="ARtabletext"/>
              <w:spacing w:before="30" w:after="20"/>
              <w:rPr>
                <w:color w:val="000000"/>
              </w:rPr>
            </w:pPr>
            <w:proofErr w:type="spellStart"/>
            <w:r w:rsidRPr="00FE4E56">
              <w:t>Green</w:t>
            </w:r>
            <w:r>
              <w:t>P</w:t>
            </w:r>
            <w:r w:rsidRPr="00FE4E56">
              <w:t>ower</w:t>
            </w:r>
            <w:proofErr w:type="spellEnd"/>
            <w:r w:rsidRPr="00FE4E56">
              <w:t xml:space="preserve"> </w:t>
            </w:r>
            <w:r w:rsidR="006563BB">
              <w:rPr>
                <w:rStyle w:val="FootnoteReference"/>
              </w:rPr>
              <w:footnoteReference w:id="30"/>
            </w:r>
          </w:p>
        </w:tc>
        <w:tc>
          <w:tcPr>
            <w:cnfStyle w:val="000001000000" w:firstRow="0" w:lastRow="0" w:firstColumn="0" w:lastColumn="0" w:oddVBand="0" w:evenVBand="1" w:oddHBand="0" w:evenHBand="0" w:firstRowFirstColumn="0" w:firstRowLastColumn="0" w:lastRowFirstColumn="0" w:lastRowLastColumn="0"/>
            <w:tcW w:w="1717" w:type="dxa"/>
            <w:tcBorders>
              <w:top w:val="single" w:sz="4" w:space="0" w:color="BFBFBF"/>
            </w:tcBorders>
            <w:noWrap/>
          </w:tcPr>
          <w:p w14:paraId="559F1E7A" w14:textId="77777777" w:rsidR="00AC3C57" w:rsidRPr="00FE4E56" w:rsidRDefault="00AC3C57">
            <w:pPr>
              <w:pStyle w:val="ARtabletextright"/>
              <w:spacing w:before="30" w:after="20"/>
            </w:pPr>
            <w:r w:rsidRPr="00FE4E56">
              <w:t>933</w:t>
            </w:r>
          </w:p>
        </w:tc>
        <w:tc>
          <w:tcPr>
            <w:tcW w:w="1717" w:type="dxa"/>
            <w:tcBorders>
              <w:top w:val="single" w:sz="4" w:space="0" w:color="BFBFBF"/>
            </w:tcBorders>
            <w:noWrap/>
          </w:tcPr>
          <w:p w14:paraId="5460FEB8" w14:textId="77777777" w:rsidR="00AC3C57" w:rsidRPr="00FE4E56" w:rsidRDefault="00AC3C57">
            <w:pPr>
              <w:pStyle w:val="ARtabletextright"/>
              <w:spacing w:before="30" w:after="20"/>
              <w:cnfStyle w:val="100000000000" w:firstRow="1" w:lastRow="0" w:firstColumn="0" w:lastColumn="0" w:oddVBand="0" w:evenVBand="0" w:oddHBand="0" w:evenHBand="0" w:firstRowFirstColumn="0" w:firstRowLastColumn="0" w:lastRowFirstColumn="0" w:lastRowLastColumn="0"/>
            </w:pPr>
            <w:r w:rsidRPr="00FE4E56">
              <w:t>714.8</w:t>
            </w:r>
          </w:p>
        </w:tc>
        <w:tc>
          <w:tcPr>
            <w:cnfStyle w:val="000001000000" w:firstRow="0" w:lastRow="0" w:firstColumn="0" w:lastColumn="0" w:oddVBand="0" w:evenVBand="1" w:oddHBand="0" w:evenHBand="0" w:firstRowFirstColumn="0" w:firstRowLastColumn="0" w:lastRowFirstColumn="0" w:lastRowLastColumn="0"/>
            <w:tcW w:w="1717" w:type="dxa"/>
            <w:tcBorders>
              <w:top w:val="single" w:sz="4" w:space="0" w:color="BFBFBF"/>
            </w:tcBorders>
            <w:noWrap/>
          </w:tcPr>
          <w:p w14:paraId="2818AEDD" w14:textId="77777777" w:rsidR="00AC3C57" w:rsidRPr="003835DC" w:rsidRDefault="00AC3C57">
            <w:pPr>
              <w:pStyle w:val="ARtabletextright"/>
              <w:spacing w:before="30" w:after="20"/>
            </w:pPr>
            <w:r w:rsidRPr="00FE4E56">
              <w:t>601.7</w:t>
            </w:r>
          </w:p>
        </w:tc>
      </w:tr>
      <w:tr w:rsidR="00AC3C57" w:rsidRPr="008E2F75" w14:paraId="6B336375" w14:textId="77777777" w:rsidTr="002C713C">
        <w:trPr>
          <w:trHeight w:val="288"/>
        </w:trPr>
        <w:tc>
          <w:tcPr>
            <w:tcW w:w="4552" w:type="dxa"/>
            <w:tcBorders>
              <w:top w:val="single" w:sz="4" w:space="0" w:color="BFBFBF"/>
            </w:tcBorders>
            <w:noWrap/>
          </w:tcPr>
          <w:p w14:paraId="50ADF2DA" w14:textId="77777777" w:rsidR="00AC3C57" w:rsidRPr="00B30396" w:rsidRDefault="00AC3C57">
            <w:pPr>
              <w:pStyle w:val="ARtabletext"/>
              <w:spacing w:before="30" w:after="20"/>
              <w:rPr>
                <w:color w:val="000000"/>
              </w:rPr>
            </w:pPr>
            <w:r w:rsidRPr="00B30396">
              <w:t>Renewable power percentage in the grid</w:t>
            </w:r>
          </w:p>
        </w:tc>
        <w:tc>
          <w:tcPr>
            <w:cnfStyle w:val="000001000000" w:firstRow="0" w:lastRow="0" w:firstColumn="0" w:lastColumn="0" w:oddVBand="0" w:evenVBand="1" w:oddHBand="0" w:evenHBand="0" w:firstRowFirstColumn="0" w:firstRowLastColumn="0" w:lastRowFirstColumn="0" w:lastRowLastColumn="0"/>
            <w:tcW w:w="1717" w:type="dxa"/>
            <w:tcBorders>
              <w:top w:val="single" w:sz="4" w:space="0" w:color="BFBFBF"/>
            </w:tcBorders>
            <w:noWrap/>
          </w:tcPr>
          <w:p w14:paraId="3C4A76AD" w14:textId="77777777" w:rsidR="00AC3C57" w:rsidRPr="00B30396" w:rsidRDefault="00AC3C57">
            <w:pPr>
              <w:pStyle w:val="ARtabletextright"/>
              <w:spacing w:before="30" w:after="20"/>
            </w:pPr>
          </w:p>
        </w:tc>
        <w:tc>
          <w:tcPr>
            <w:tcW w:w="1717" w:type="dxa"/>
            <w:tcBorders>
              <w:top w:val="single" w:sz="4" w:space="0" w:color="BFBFBF"/>
            </w:tcBorders>
            <w:noWrap/>
          </w:tcPr>
          <w:p w14:paraId="0FB7B0C1" w14:textId="77777777" w:rsidR="00AC3C57" w:rsidRPr="003835DC"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717" w:type="dxa"/>
            <w:tcBorders>
              <w:top w:val="single" w:sz="4" w:space="0" w:color="BFBFBF"/>
            </w:tcBorders>
            <w:noWrap/>
          </w:tcPr>
          <w:p w14:paraId="150490CA" w14:textId="77777777" w:rsidR="00AC3C57" w:rsidRPr="003835DC" w:rsidRDefault="00AC3C57">
            <w:pPr>
              <w:pStyle w:val="ARtabletextright"/>
              <w:spacing w:before="30" w:after="20"/>
            </w:pPr>
          </w:p>
        </w:tc>
      </w:tr>
      <w:tr w:rsidR="00AC3C57" w:rsidRPr="008E2F75" w14:paraId="0FFB10BE" w14:textId="77777777" w:rsidTr="002C713C">
        <w:trPr>
          <w:trHeight w:val="288"/>
        </w:trPr>
        <w:tc>
          <w:tcPr>
            <w:tcW w:w="4552" w:type="dxa"/>
            <w:tcBorders>
              <w:top w:val="single" w:sz="4" w:space="0" w:color="BFBFBF"/>
            </w:tcBorders>
            <w:noWrap/>
          </w:tcPr>
          <w:p w14:paraId="2D7B63AF" w14:textId="77777777" w:rsidR="00AC3C57" w:rsidRPr="00B30396" w:rsidRDefault="00AC3C57">
            <w:pPr>
              <w:pStyle w:val="ARtabletext"/>
              <w:spacing w:before="30" w:after="20"/>
              <w:rPr>
                <w:color w:val="000000"/>
              </w:rPr>
            </w:pPr>
            <w:r w:rsidRPr="00B30396">
              <w:t>Certified climate active carbon neutral electricity purchased</w:t>
            </w:r>
          </w:p>
        </w:tc>
        <w:tc>
          <w:tcPr>
            <w:cnfStyle w:val="000001000000" w:firstRow="0" w:lastRow="0" w:firstColumn="0" w:lastColumn="0" w:oddVBand="0" w:evenVBand="1" w:oddHBand="0" w:evenHBand="0" w:firstRowFirstColumn="0" w:firstRowLastColumn="0" w:lastRowFirstColumn="0" w:lastRowLastColumn="0"/>
            <w:tcW w:w="1717" w:type="dxa"/>
            <w:tcBorders>
              <w:top w:val="single" w:sz="4" w:space="0" w:color="BFBFBF"/>
            </w:tcBorders>
            <w:noWrap/>
          </w:tcPr>
          <w:p w14:paraId="71AC04DE" w14:textId="77777777" w:rsidR="00AC3C57" w:rsidRPr="00B30396" w:rsidRDefault="00AC3C57">
            <w:pPr>
              <w:pStyle w:val="ARtabletextright"/>
              <w:spacing w:before="30" w:after="20"/>
            </w:pPr>
            <w:r w:rsidRPr="00B30396">
              <w:t>–</w:t>
            </w:r>
          </w:p>
        </w:tc>
        <w:tc>
          <w:tcPr>
            <w:tcW w:w="1717" w:type="dxa"/>
            <w:tcBorders>
              <w:top w:val="single" w:sz="4" w:space="0" w:color="BFBFBF"/>
            </w:tcBorders>
            <w:noWrap/>
          </w:tcPr>
          <w:p w14:paraId="6F439FBF" w14:textId="77777777" w:rsidR="00AC3C57" w:rsidRPr="003835DC"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3835DC">
              <w:t>–</w:t>
            </w:r>
          </w:p>
        </w:tc>
        <w:tc>
          <w:tcPr>
            <w:cnfStyle w:val="000001000000" w:firstRow="0" w:lastRow="0" w:firstColumn="0" w:lastColumn="0" w:oddVBand="0" w:evenVBand="1" w:oddHBand="0" w:evenHBand="0" w:firstRowFirstColumn="0" w:firstRowLastColumn="0" w:lastRowFirstColumn="0" w:lastRowLastColumn="0"/>
            <w:tcW w:w="1717" w:type="dxa"/>
            <w:tcBorders>
              <w:top w:val="single" w:sz="4" w:space="0" w:color="BFBFBF"/>
            </w:tcBorders>
            <w:noWrap/>
          </w:tcPr>
          <w:p w14:paraId="10546032" w14:textId="77777777" w:rsidR="00AC3C57" w:rsidRPr="003835DC" w:rsidRDefault="00AC3C57">
            <w:pPr>
              <w:pStyle w:val="ARtabletextright"/>
              <w:spacing w:before="30" w:after="20"/>
            </w:pPr>
          </w:p>
        </w:tc>
      </w:tr>
      <w:tr w:rsidR="00AC3C57" w:rsidRPr="008E2F75" w14:paraId="466C96F5" w14:textId="77777777" w:rsidTr="002C713C">
        <w:trPr>
          <w:cnfStyle w:val="010000000000" w:firstRow="0" w:lastRow="1" w:firstColumn="0" w:lastColumn="0" w:oddVBand="0" w:evenVBand="0" w:oddHBand="0" w:evenHBand="0" w:firstRowFirstColumn="0" w:firstRowLastColumn="0" w:lastRowFirstColumn="0" w:lastRowLastColumn="0"/>
          <w:trHeight w:val="288"/>
        </w:trPr>
        <w:tc>
          <w:tcPr>
            <w:tcW w:w="4552" w:type="dxa"/>
            <w:noWrap/>
            <w:hideMark/>
          </w:tcPr>
          <w:p w14:paraId="2DBE13CE" w14:textId="77777777" w:rsidR="00AC3C57" w:rsidRPr="00B30396" w:rsidRDefault="00AC3C57">
            <w:pPr>
              <w:pStyle w:val="ARtabletextbold"/>
              <w:spacing w:before="30" w:after="20"/>
            </w:pPr>
            <w:r w:rsidRPr="00B30396">
              <w:t>EL4 Total electricity offsets</w:t>
            </w:r>
          </w:p>
        </w:tc>
        <w:tc>
          <w:tcPr>
            <w:cnfStyle w:val="000001000000" w:firstRow="0" w:lastRow="0" w:firstColumn="0" w:lastColumn="0" w:oddVBand="0" w:evenVBand="1" w:oddHBand="0" w:evenHBand="0" w:firstRowFirstColumn="0" w:firstRowLastColumn="0" w:lastRowFirstColumn="0" w:lastRowLastColumn="0"/>
            <w:tcW w:w="1717" w:type="dxa"/>
            <w:noWrap/>
            <w:hideMark/>
          </w:tcPr>
          <w:p w14:paraId="700A83F3" w14:textId="77777777" w:rsidR="00AC3C57" w:rsidRPr="00B30396" w:rsidRDefault="00AC3C57">
            <w:pPr>
              <w:pStyle w:val="ARtabletextrightbold"/>
              <w:spacing w:before="30" w:after="20"/>
            </w:pPr>
            <w:r w:rsidRPr="00B30396">
              <w:t>–</w:t>
            </w:r>
          </w:p>
        </w:tc>
        <w:tc>
          <w:tcPr>
            <w:tcW w:w="1717" w:type="dxa"/>
            <w:noWrap/>
            <w:hideMark/>
          </w:tcPr>
          <w:p w14:paraId="5E74F15E" w14:textId="77777777" w:rsidR="00AC3C57" w:rsidRPr="003835DC"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3835DC">
              <w:t>714.8</w:t>
            </w:r>
          </w:p>
        </w:tc>
        <w:tc>
          <w:tcPr>
            <w:cnfStyle w:val="000001000000" w:firstRow="0" w:lastRow="0" w:firstColumn="0" w:lastColumn="0" w:oddVBand="0" w:evenVBand="1" w:oddHBand="0" w:evenHBand="0" w:firstRowFirstColumn="0" w:firstRowLastColumn="0" w:lastRowFirstColumn="0" w:lastRowLastColumn="0"/>
            <w:tcW w:w="1717" w:type="dxa"/>
            <w:noWrap/>
            <w:hideMark/>
          </w:tcPr>
          <w:p w14:paraId="475C9929" w14:textId="77777777" w:rsidR="00AC3C57" w:rsidRPr="003835DC" w:rsidRDefault="00AC3C57">
            <w:pPr>
              <w:pStyle w:val="ARtabletextrightbold"/>
              <w:spacing w:before="30" w:after="20"/>
            </w:pPr>
            <w:r w:rsidRPr="003835DC">
              <w:t>601.7</w:t>
            </w:r>
          </w:p>
        </w:tc>
      </w:tr>
    </w:tbl>
    <w:p w14:paraId="4EE7FF68" w14:textId="77777777" w:rsidR="00AC3C57" w:rsidRPr="00C4100C" w:rsidRDefault="00AC3C57">
      <w:pPr>
        <w:pStyle w:val="Heading4"/>
      </w:pPr>
      <w:r w:rsidRPr="00C4100C">
        <w:t>Housing Services</w:t>
      </w:r>
    </w:p>
    <w:p w14:paraId="353E20C8" w14:textId="77777777" w:rsidR="00AC3C57" w:rsidRPr="00D91AEB" w:rsidRDefault="00AC3C57">
      <w:pPr>
        <w:pStyle w:val="ARtablecaption"/>
      </w:pPr>
      <w:r w:rsidRPr="00D91AEB">
        <w:rPr>
          <w:lang w:eastAsia="en-AU"/>
        </w:rPr>
        <w:t>EL1 Total electricity consumption</w:t>
      </w:r>
    </w:p>
    <w:tbl>
      <w:tblPr>
        <w:tblStyle w:val="TableGrid"/>
        <w:tblW w:w="9671" w:type="dxa"/>
        <w:tblLook w:val="02E0" w:firstRow="1" w:lastRow="1" w:firstColumn="1" w:lastColumn="0" w:noHBand="1" w:noVBand="0"/>
      </w:tblPr>
      <w:tblGrid>
        <w:gridCol w:w="4552"/>
        <w:gridCol w:w="1717"/>
        <w:gridCol w:w="1717"/>
        <w:gridCol w:w="1717"/>
      </w:tblGrid>
      <w:tr w:rsidR="00AC3C57" w:rsidRPr="00DA56C4" w14:paraId="025F166D" w14:textId="77777777" w:rsidTr="005353B4">
        <w:trPr>
          <w:cnfStyle w:val="100000000000" w:firstRow="1" w:lastRow="0" w:firstColumn="0" w:lastColumn="0" w:oddVBand="0" w:evenVBand="0" w:oddHBand="0" w:evenHBand="0" w:firstRowFirstColumn="0" w:firstRowLastColumn="0" w:lastRowFirstColumn="0" w:lastRowLastColumn="0"/>
          <w:tblHeader/>
        </w:trPr>
        <w:tc>
          <w:tcPr>
            <w:tcW w:w="4544" w:type="dxa"/>
            <w:tcBorders>
              <w:bottom w:val="single" w:sz="4" w:space="0" w:color="auto"/>
            </w:tcBorders>
            <w:noWrap/>
            <w:hideMark/>
          </w:tcPr>
          <w:p w14:paraId="2B7C76FE" w14:textId="77777777" w:rsidR="00AC3C57" w:rsidRPr="00D91AEB" w:rsidRDefault="00AC3C57">
            <w:pPr>
              <w:pStyle w:val="ARtablecolhead"/>
              <w:spacing w:before="30" w:after="20"/>
            </w:pPr>
            <w:r w:rsidRPr="00D91AEB">
              <w:t>Indicator</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hideMark/>
          </w:tcPr>
          <w:p w14:paraId="60EDBC0C" w14:textId="77777777" w:rsidR="00AC3C57" w:rsidRPr="00D91AEB" w:rsidRDefault="00AC3C57">
            <w:pPr>
              <w:pStyle w:val="ARtablecolheadright"/>
              <w:spacing w:before="30" w:after="20"/>
            </w:pPr>
            <w:r w:rsidRPr="00D91AEB">
              <w:t>2024–25</w:t>
            </w:r>
          </w:p>
          <w:p w14:paraId="1B540708" w14:textId="77777777" w:rsidR="00AC3C57" w:rsidRPr="00D91AEB" w:rsidRDefault="00AC3C57">
            <w:pPr>
              <w:pStyle w:val="ARtablecolheadright"/>
              <w:spacing w:before="30" w:after="20"/>
            </w:pPr>
            <w:r w:rsidRPr="00D91AEB">
              <w:t>MWh</w:t>
            </w:r>
          </w:p>
        </w:tc>
        <w:tc>
          <w:tcPr>
            <w:tcW w:w="1709" w:type="dxa"/>
            <w:tcBorders>
              <w:bottom w:val="single" w:sz="4" w:space="0" w:color="auto"/>
            </w:tcBorders>
            <w:noWrap/>
            <w:hideMark/>
          </w:tcPr>
          <w:p w14:paraId="019E7C40" w14:textId="77777777" w:rsidR="00AC3C57" w:rsidRPr="00D91AE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D91AEB">
              <w:t>2023–24</w:t>
            </w:r>
          </w:p>
          <w:p w14:paraId="38115B86" w14:textId="77777777" w:rsidR="00AC3C57" w:rsidRPr="00D91AE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D91AEB">
              <w:t>MWh</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hideMark/>
          </w:tcPr>
          <w:p w14:paraId="0CF0E6F8" w14:textId="77777777" w:rsidR="00AC3C57" w:rsidRPr="00D91AEB" w:rsidRDefault="00AC3C57">
            <w:pPr>
              <w:pStyle w:val="ARtablecolheadright"/>
              <w:spacing w:before="30" w:after="20"/>
            </w:pPr>
            <w:r w:rsidRPr="00D91AEB">
              <w:t>2022–23</w:t>
            </w:r>
          </w:p>
          <w:p w14:paraId="10D97B62" w14:textId="77777777" w:rsidR="00AC3C57" w:rsidRPr="00D91AEB" w:rsidRDefault="00AC3C57">
            <w:pPr>
              <w:pStyle w:val="ARtablecolheadright"/>
              <w:spacing w:before="30" w:after="20"/>
            </w:pPr>
            <w:r w:rsidRPr="00D91AEB">
              <w:t>MWh</w:t>
            </w:r>
          </w:p>
        </w:tc>
      </w:tr>
      <w:tr w:rsidR="00AC3C57" w:rsidRPr="00DA56C4" w14:paraId="63DA8687" w14:textId="77777777" w:rsidTr="005353B4">
        <w:tc>
          <w:tcPr>
            <w:tcW w:w="4544" w:type="dxa"/>
            <w:tcBorders>
              <w:top w:val="single" w:sz="4" w:space="0" w:color="auto"/>
              <w:bottom w:val="single" w:sz="4" w:space="0" w:color="BFBFBF"/>
            </w:tcBorders>
            <w:noWrap/>
            <w:hideMark/>
          </w:tcPr>
          <w:p w14:paraId="14EC1371" w14:textId="567C10F0" w:rsidR="00AC3C57" w:rsidRPr="00D91AEB" w:rsidRDefault="00AC3C57">
            <w:pPr>
              <w:pStyle w:val="ARtabletext"/>
              <w:spacing w:before="30" w:after="20"/>
              <w:rPr>
                <w:color w:val="000000"/>
              </w:rPr>
            </w:pPr>
            <w:r w:rsidRPr="00D91AEB">
              <w:t xml:space="preserve">Purchased electricity – consolidated </w:t>
            </w:r>
            <w:r w:rsidR="006563BB">
              <w:rPr>
                <w:rStyle w:val="FootnoteReference"/>
              </w:rPr>
              <w:footnoteReference w:id="31"/>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auto"/>
              <w:bottom w:val="single" w:sz="4" w:space="0" w:color="BFBFBF"/>
            </w:tcBorders>
            <w:noWrap/>
          </w:tcPr>
          <w:p w14:paraId="3FB2803D" w14:textId="77777777" w:rsidR="00AC3C57" w:rsidRPr="00D91AEB" w:rsidRDefault="00AC3C57">
            <w:pPr>
              <w:pStyle w:val="ARtabletextright"/>
              <w:spacing w:before="30" w:after="20"/>
              <w:rPr>
                <w:color w:val="000000"/>
              </w:rPr>
            </w:pPr>
            <w:r w:rsidRPr="00D91AEB">
              <w:rPr>
                <w:color w:val="000000"/>
              </w:rPr>
              <w:t>19,909.7</w:t>
            </w:r>
          </w:p>
        </w:tc>
        <w:tc>
          <w:tcPr>
            <w:tcW w:w="1709" w:type="dxa"/>
            <w:tcBorders>
              <w:top w:val="single" w:sz="4" w:space="0" w:color="auto"/>
              <w:bottom w:val="single" w:sz="4" w:space="0" w:color="BFBFBF"/>
            </w:tcBorders>
            <w:noWrap/>
          </w:tcPr>
          <w:p w14:paraId="3DEE78C1" w14:textId="77777777" w:rsidR="00AC3C57" w:rsidRPr="00D91AEB"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D91AEB">
              <w:t>22,676.2</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auto"/>
              <w:bottom w:val="single" w:sz="4" w:space="0" w:color="BFBFBF"/>
            </w:tcBorders>
            <w:noWrap/>
            <w:hideMark/>
          </w:tcPr>
          <w:p w14:paraId="009B60BB" w14:textId="77777777" w:rsidR="00AC3C57" w:rsidRPr="00D91AEB" w:rsidRDefault="00AC3C57">
            <w:pPr>
              <w:pStyle w:val="ARtabletextright"/>
              <w:spacing w:before="30" w:after="20"/>
            </w:pPr>
            <w:r w:rsidRPr="00D91AEB">
              <w:t>22,948.4</w:t>
            </w:r>
          </w:p>
        </w:tc>
      </w:tr>
      <w:tr w:rsidR="00AC3C57" w:rsidRPr="00DA56C4" w14:paraId="79B529CF" w14:textId="77777777" w:rsidTr="005353B4">
        <w:trPr>
          <w:trHeight w:val="288"/>
        </w:trPr>
        <w:tc>
          <w:tcPr>
            <w:tcW w:w="4544" w:type="dxa"/>
            <w:tcBorders>
              <w:top w:val="single" w:sz="4" w:space="0" w:color="BFBFBF"/>
            </w:tcBorders>
            <w:noWrap/>
            <w:hideMark/>
          </w:tcPr>
          <w:p w14:paraId="5167C368" w14:textId="6338E756" w:rsidR="00AC3C57" w:rsidRPr="00D91AEB" w:rsidRDefault="00AC3C57">
            <w:pPr>
              <w:pStyle w:val="ARtabletext"/>
              <w:spacing w:before="30" w:after="20"/>
              <w:rPr>
                <w:color w:val="000000"/>
              </w:rPr>
            </w:pPr>
            <w:r w:rsidRPr="00D91AEB">
              <w:t xml:space="preserve">Self-generated </w:t>
            </w:r>
            <w:r w:rsidR="006563BB">
              <w:rPr>
                <w:rStyle w:val="FootnoteReference"/>
              </w:rPr>
              <w:footnoteReference w:id="32"/>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tcBorders>
            <w:noWrap/>
          </w:tcPr>
          <w:p w14:paraId="14C05456" w14:textId="77777777" w:rsidR="00AC3C57" w:rsidRPr="00D91AEB" w:rsidRDefault="00AC3C57">
            <w:pPr>
              <w:pStyle w:val="ARtabletextright"/>
              <w:spacing w:before="30" w:after="20"/>
              <w:rPr>
                <w:color w:val="000000"/>
              </w:rPr>
            </w:pPr>
            <w:r w:rsidRPr="00D91AEB">
              <w:rPr>
                <w:color w:val="000000"/>
              </w:rPr>
              <w:t>344.2</w:t>
            </w:r>
          </w:p>
        </w:tc>
        <w:tc>
          <w:tcPr>
            <w:tcW w:w="1709" w:type="dxa"/>
            <w:tcBorders>
              <w:top w:val="single" w:sz="4" w:space="0" w:color="BFBFBF"/>
            </w:tcBorders>
            <w:noWrap/>
          </w:tcPr>
          <w:p w14:paraId="31701BC5" w14:textId="77777777" w:rsidR="00AC3C57" w:rsidRPr="00D91AEB"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D91AEB">
              <w:t>220.0</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tcBorders>
            <w:noWrap/>
            <w:hideMark/>
          </w:tcPr>
          <w:p w14:paraId="34E614B5" w14:textId="77777777" w:rsidR="00AC3C57" w:rsidRPr="00D91AEB" w:rsidRDefault="00AC3C57">
            <w:pPr>
              <w:pStyle w:val="ARtabletextright"/>
              <w:spacing w:before="30" w:after="20"/>
            </w:pPr>
            <w:r w:rsidRPr="00D91AEB">
              <w:t>115.0</w:t>
            </w:r>
          </w:p>
        </w:tc>
      </w:tr>
      <w:tr w:rsidR="00AC3C57" w:rsidRPr="00DA56C4" w14:paraId="75D53BD3" w14:textId="77777777" w:rsidTr="005353B4">
        <w:trPr>
          <w:cnfStyle w:val="010000000000" w:firstRow="0" w:lastRow="1" w:firstColumn="0" w:lastColumn="0" w:oddVBand="0" w:evenVBand="0" w:oddHBand="0" w:evenHBand="0" w:firstRowFirstColumn="0" w:firstRowLastColumn="0" w:lastRowFirstColumn="0" w:lastRowLastColumn="0"/>
          <w:trHeight w:val="288"/>
        </w:trPr>
        <w:tc>
          <w:tcPr>
            <w:tcW w:w="4544" w:type="dxa"/>
            <w:noWrap/>
            <w:hideMark/>
          </w:tcPr>
          <w:p w14:paraId="3611E409" w14:textId="77777777" w:rsidR="00AC3C57" w:rsidRPr="00D91AEB" w:rsidRDefault="00AC3C57">
            <w:pPr>
              <w:pStyle w:val="ARtabletextbold"/>
              <w:spacing w:before="30" w:after="20"/>
            </w:pPr>
            <w:r w:rsidRPr="00D91AEB">
              <w:t>EL1 Total electricity consumption</w:t>
            </w:r>
          </w:p>
        </w:tc>
        <w:tc>
          <w:tcPr>
            <w:cnfStyle w:val="000001000000" w:firstRow="0" w:lastRow="0" w:firstColumn="0" w:lastColumn="0" w:oddVBand="0" w:evenVBand="1" w:oddHBand="0" w:evenHBand="0" w:firstRowFirstColumn="0" w:firstRowLastColumn="0" w:lastRowFirstColumn="0" w:lastRowLastColumn="0"/>
            <w:tcW w:w="1709" w:type="dxa"/>
            <w:noWrap/>
          </w:tcPr>
          <w:p w14:paraId="6765EE3B" w14:textId="77777777" w:rsidR="00AC3C57" w:rsidRPr="00D91AEB" w:rsidRDefault="00AC3C57">
            <w:pPr>
              <w:pStyle w:val="ARtabletextrightbold"/>
              <w:spacing w:before="30" w:after="20"/>
            </w:pPr>
            <w:r w:rsidRPr="00D91AEB">
              <w:t>20,253.9</w:t>
            </w:r>
          </w:p>
        </w:tc>
        <w:tc>
          <w:tcPr>
            <w:tcW w:w="1709" w:type="dxa"/>
            <w:noWrap/>
          </w:tcPr>
          <w:p w14:paraId="4C7139C8" w14:textId="77777777" w:rsidR="00AC3C57" w:rsidRPr="00D91AEB"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D91AEB">
              <w:t>22,896.2</w:t>
            </w:r>
          </w:p>
        </w:tc>
        <w:tc>
          <w:tcPr>
            <w:cnfStyle w:val="000001000000" w:firstRow="0" w:lastRow="0" w:firstColumn="0" w:lastColumn="0" w:oddVBand="0" w:evenVBand="1" w:oddHBand="0" w:evenHBand="0" w:firstRowFirstColumn="0" w:firstRowLastColumn="0" w:lastRowFirstColumn="0" w:lastRowLastColumn="0"/>
            <w:tcW w:w="1709" w:type="dxa"/>
            <w:noWrap/>
            <w:hideMark/>
          </w:tcPr>
          <w:p w14:paraId="2EC27A29" w14:textId="77777777" w:rsidR="00AC3C57" w:rsidRPr="00D91AEB" w:rsidRDefault="00AC3C57">
            <w:pPr>
              <w:pStyle w:val="ARtabletextrightbold"/>
              <w:spacing w:before="30" w:after="20"/>
            </w:pPr>
            <w:r w:rsidRPr="00D91AEB">
              <w:t>23,063.4</w:t>
            </w:r>
          </w:p>
        </w:tc>
      </w:tr>
    </w:tbl>
    <w:p w14:paraId="1065120E" w14:textId="77777777" w:rsidR="00AC3C57" w:rsidRPr="00D91AEB" w:rsidRDefault="00AC3C57">
      <w:pPr>
        <w:pStyle w:val="ARtablecaption"/>
      </w:pPr>
      <w:r w:rsidRPr="00D91AEB">
        <w:t>EL2 On-site electricity generated</w:t>
      </w:r>
    </w:p>
    <w:tbl>
      <w:tblPr>
        <w:tblStyle w:val="TableGrid"/>
        <w:tblW w:w="9671" w:type="dxa"/>
        <w:tblLook w:val="02E0" w:firstRow="1" w:lastRow="1" w:firstColumn="1" w:lastColumn="0" w:noHBand="1" w:noVBand="0"/>
      </w:tblPr>
      <w:tblGrid>
        <w:gridCol w:w="4552"/>
        <w:gridCol w:w="1717"/>
        <w:gridCol w:w="1717"/>
        <w:gridCol w:w="1717"/>
      </w:tblGrid>
      <w:tr w:rsidR="00AC3C57" w:rsidRPr="00DA56C4" w14:paraId="76CE34C1" w14:textId="77777777" w:rsidTr="005353B4">
        <w:trPr>
          <w:cnfStyle w:val="100000000000" w:firstRow="1" w:lastRow="0" w:firstColumn="0" w:lastColumn="0" w:oddVBand="0" w:evenVBand="0" w:oddHBand="0" w:evenHBand="0" w:firstRowFirstColumn="0" w:firstRowLastColumn="0" w:lastRowFirstColumn="0" w:lastRowLastColumn="0"/>
          <w:trHeight w:val="288"/>
          <w:tblHeader/>
        </w:trPr>
        <w:tc>
          <w:tcPr>
            <w:tcW w:w="4544" w:type="dxa"/>
            <w:tcBorders>
              <w:bottom w:val="single" w:sz="4" w:space="0" w:color="auto"/>
            </w:tcBorders>
            <w:noWrap/>
          </w:tcPr>
          <w:p w14:paraId="10725511" w14:textId="77777777" w:rsidR="00AC3C57" w:rsidRPr="00D91AEB" w:rsidRDefault="00AC3C57">
            <w:pPr>
              <w:pStyle w:val="ARtablecolhead"/>
              <w:spacing w:before="30" w:after="20"/>
            </w:pPr>
            <w:r w:rsidRPr="00D91AEB">
              <w:t>Indicator</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tcPr>
          <w:p w14:paraId="0D362693" w14:textId="77777777" w:rsidR="00AC3C57" w:rsidRPr="00D91AEB" w:rsidRDefault="00AC3C57">
            <w:pPr>
              <w:pStyle w:val="ARtablecolheadright"/>
              <w:spacing w:before="30" w:after="20"/>
            </w:pPr>
            <w:r w:rsidRPr="00D91AEB">
              <w:t>2024–25</w:t>
            </w:r>
          </w:p>
          <w:p w14:paraId="71728E1F" w14:textId="77777777" w:rsidR="00AC3C57" w:rsidRPr="00D91AEB" w:rsidRDefault="00AC3C57">
            <w:pPr>
              <w:pStyle w:val="ARtablecolheadright"/>
              <w:spacing w:before="30" w:after="20"/>
            </w:pPr>
            <w:r w:rsidRPr="00D91AEB">
              <w:t>MWh</w:t>
            </w:r>
          </w:p>
        </w:tc>
        <w:tc>
          <w:tcPr>
            <w:tcW w:w="1709" w:type="dxa"/>
            <w:tcBorders>
              <w:bottom w:val="single" w:sz="4" w:space="0" w:color="auto"/>
            </w:tcBorders>
            <w:noWrap/>
          </w:tcPr>
          <w:p w14:paraId="52C3285B" w14:textId="77777777" w:rsidR="00AC3C57" w:rsidRPr="00D91AE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D91AEB">
              <w:t>2023–24</w:t>
            </w:r>
          </w:p>
          <w:p w14:paraId="23F016E2" w14:textId="77777777" w:rsidR="00AC3C57" w:rsidRPr="00D91AE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D91AEB">
              <w:t>MWh</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tcPr>
          <w:p w14:paraId="4CAA9E30" w14:textId="77777777" w:rsidR="00AC3C57" w:rsidRPr="00D91AEB" w:rsidRDefault="00AC3C57">
            <w:pPr>
              <w:pStyle w:val="ARtablecolheadright"/>
              <w:spacing w:before="30" w:after="20"/>
            </w:pPr>
            <w:r w:rsidRPr="00D91AEB">
              <w:t>2022–23</w:t>
            </w:r>
          </w:p>
          <w:p w14:paraId="48837938" w14:textId="77777777" w:rsidR="00AC3C57" w:rsidRPr="00D91AEB" w:rsidRDefault="00AC3C57">
            <w:pPr>
              <w:pStyle w:val="ARtablecolheadright"/>
              <w:spacing w:before="30" w:after="20"/>
            </w:pPr>
            <w:r w:rsidRPr="00D91AEB">
              <w:t>MWh</w:t>
            </w:r>
          </w:p>
        </w:tc>
      </w:tr>
      <w:tr w:rsidR="00AC3C57" w:rsidRPr="00DA56C4" w14:paraId="005C1F8F" w14:textId="77777777" w:rsidTr="005353B4">
        <w:trPr>
          <w:trHeight w:val="288"/>
        </w:trPr>
        <w:tc>
          <w:tcPr>
            <w:tcW w:w="9671" w:type="dxa"/>
            <w:gridSpan w:val="4"/>
            <w:tcBorders>
              <w:top w:val="single" w:sz="4" w:space="0" w:color="auto"/>
              <w:bottom w:val="single" w:sz="4" w:space="0" w:color="BFBFBF"/>
            </w:tcBorders>
            <w:noWrap/>
            <w:hideMark/>
          </w:tcPr>
          <w:p w14:paraId="5FCAC107" w14:textId="77777777" w:rsidR="00AC3C57" w:rsidRPr="00D91AEB" w:rsidRDefault="00AC3C57">
            <w:pPr>
              <w:pStyle w:val="ARtabletextbold"/>
              <w:spacing w:before="30" w:after="20"/>
            </w:pPr>
            <w:r w:rsidRPr="00D91AEB">
              <w:t>Solar PV</w:t>
            </w:r>
          </w:p>
        </w:tc>
      </w:tr>
      <w:tr w:rsidR="00AC3C57" w:rsidRPr="00DA56C4" w14:paraId="7EA4BEA2" w14:textId="77777777" w:rsidTr="005353B4">
        <w:trPr>
          <w:trHeight w:val="288"/>
        </w:trPr>
        <w:tc>
          <w:tcPr>
            <w:tcW w:w="4544" w:type="dxa"/>
            <w:tcBorders>
              <w:top w:val="single" w:sz="4" w:space="0" w:color="BFBFBF"/>
              <w:bottom w:val="single" w:sz="4" w:space="0" w:color="BFBFBF"/>
            </w:tcBorders>
            <w:noWrap/>
            <w:hideMark/>
          </w:tcPr>
          <w:p w14:paraId="693367A5" w14:textId="57D48E5F" w:rsidR="00AC3C57" w:rsidRPr="00D91AEB" w:rsidRDefault="00AC3C57">
            <w:pPr>
              <w:pStyle w:val="ARtabletext"/>
              <w:spacing w:before="30" w:after="20"/>
              <w:rPr>
                <w:rStyle w:val="Superscript"/>
              </w:rPr>
            </w:pPr>
            <w:r w:rsidRPr="00D91AEB">
              <w:t>Consumption behind-the-meter</w:t>
            </w:r>
            <w:r w:rsidR="006563BB">
              <w:t xml:space="preserve"> </w:t>
            </w:r>
            <w:r w:rsidR="006563BB">
              <w:rPr>
                <w:rStyle w:val="FootnoteReference"/>
              </w:rPr>
              <w:footnoteReference w:id="33"/>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bottom w:val="single" w:sz="4" w:space="0" w:color="BFBFBF"/>
            </w:tcBorders>
            <w:noWrap/>
          </w:tcPr>
          <w:p w14:paraId="741C15B5" w14:textId="77777777" w:rsidR="00AC3C57" w:rsidRPr="00D91AEB" w:rsidRDefault="00AC3C57">
            <w:pPr>
              <w:pStyle w:val="ARtabletextright"/>
              <w:spacing w:before="30" w:after="20"/>
              <w:rPr>
                <w:color w:val="000000"/>
              </w:rPr>
            </w:pPr>
            <w:r w:rsidRPr="00D91AEB">
              <w:rPr>
                <w:color w:val="000000"/>
              </w:rPr>
              <w:t>344.2</w:t>
            </w:r>
          </w:p>
        </w:tc>
        <w:tc>
          <w:tcPr>
            <w:tcW w:w="1709" w:type="dxa"/>
            <w:tcBorders>
              <w:top w:val="single" w:sz="4" w:space="0" w:color="BFBFBF"/>
              <w:bottom w:val="single" w:sz="4" w:space="0" w:color="BFBFBF"/>
            </w:tcBorders>
            <w:noWrap/>
          </w:tcPr>
          <w:p w14:paraId="7479B723" w14:textId="77777777" w:rsidR="00AC3C57" w:rsidRPr="00D91AEB"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D91AEB">
              <w:rPr>
                <w:szCs w:val="17"/>
              </w:rPr>
              <w:t>220.0</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bottom w:val="single" w:sz="4" w:space="0" w:color="BFBFBF"/>
            </w:tcBorders>
            <w:noWrap/>
            <w:hideMark/>
          </w:tcPr>
          <w:p w14:paraId="7C73B99D" w14:textId="77777777" w:rsidR="00AC3C57" w:rsidRPr="00D91AEB" w:rsidRDefault="00AC3C57">
            <w:pPr>
              <w:pStyle w:val="ARtabletextright"/>
              <w:spacing w:before="30" w:after="20"/>
            </w:pPr>
            <w:r w:rsidRPr="00D91AEB">
              <w:rPr>
                <w:szCs w:val="17"/>
              </w:rPr>
              <w:t>115.0</w:t>
            </w:r>
          </w:p>
        </w:tc>
      </w:tr>
      <w:tr w:rsidR="00AC3C57" w:rsidRPr="00DA56C4" w14:paraId="1B468A0F" w14:textId="77777777" w:rsidTr="005353B4">
        <w:trPr>
          <w:trHeight w:val="288"/>
        </w:trPr>
        <w:tc>
          <w:tcPr>
            <w:tcW w:w="4544" w:type="dxa"/>
            <w:tcBorders>
              <w:top w:val="single" w:sz="4" w:space="0" w:color="BFBFBF"/>
            </w:tcBorders>
            <w:noWrap/>
            <w:hideMark/>
          </w:tcPr>
          <w:p w14:paraId="11323DC6" w14:textId="77777777" w:rsidR="00AC3C57" w:rsidRPr="00D91AEB" w:rsidRDefault="00AC3C57">
            <w:pPr>
              <w:pStyle w:val="ARtabletext"/>
              <w:spacing w:before="30" w:after="20"/>
            </w:pPr>
            <w:r w:rsidRPr="00D91AEB">
              <w:t>Exports</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tcBorders>
            <w:noWrap/>
          </w:tcPr>
          <w:p w14:paraId="4F787E37" w14:textId="77777777" w:rsidR="00AC3C57" w:rsidRPr="00D91AEB" w:rsidRDefault="00AC3C57">
            <w:pPr>
              <w:pStyle w:val="ARtabletextright"/>
              <w:spacing w:before="30" w:after="20"/>
              <w:rPr>
                <w:color w:val="000000"/>
              </w:rPr>
            </w:pPr>
            <w:r w:rsidRPr="00D91AEB">
              <w:rPr>
                <w:color w:val="000000"/>
              </w:rPr>
              <w:t>66.8</w:t>
            </w:r>
          </w:p>
        </w:tc>
        <w:tc>
          <w:tcPr>
            <w:tcW w:w="1709" w:type="dxa"/>
            <w:tcBorders>
              <w:top w:val="single" w:sz="4" w:space="0" w:color="BFBFBF"/>
            </w:tcBorders>
            <w:noWrap/>
          </w:tcPr>
          <w:p w14:paraId="5C8EE10A" w14:textId="77777777" w:rsidR="00AC3C57" w:rsidRPr="00D91AEB"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D91AEB">
              <w:t>0.1</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tcBorders>
            <w:noWrap/>
            <w:hideMark/>
          </w:tcPr>
          <w:p w14:paraId="705C2D66" w14:textId="77777777" w:rsidR="00AC3C57" w:rsidRPr="00D91AEB" w:rsidRDefault="00AC3C57">
            <w:pPr>
              <w:pStyle w:val="ARtabletextright"/>
              <w:spacing w:before="30" w:after="20"/>
            </w:pPr>
            <w:r w:rsidRPr="00D91AEB">
              <w:t>0.4</w:t>
            </w:r>
          </w:p>
        </w:tc>
      </w:tr>
      <w:tr w:rsidR="00AC3C57" w:rsidRPr="00DA56C4" w14:paraId="0B4B0D1C" w14:textId="77777777" w:rsidTr="005353B4">
        <w:trPr>
          <w:trHeight w:val="288"/>
        </w:trPr>
        <w:tc>
          <w:tcPr>
            <w:tcW w:w="4544" w:type="dxa"/>
            <w:tcBorders>
              <w:bottom w:val="single" w:sz="4" w:space="0" w:color="auto"/>
            </w:tcBorders>
            <w:noWrap/>
            <w:hideMark/>
          </w:tcPr>
          <w:p w14:paraId="7C2B196B" w14:textId="77777777" w:rsidR="00AC3C57" w:rsidRPr="00D91AEB" w:rsidRDefault="00AC3C57">
            <w:pPr>
              <w:pStyle w:val="ARtabletextbold"/>
              <w:spacing w:before="30" w:after="20"/>
            </w:pPr>
            <w:r w:rsidRPr="00D91AEB">
              <w:t>Total solar PV</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tcPr>
          <w:p w14:paraId="1C7B1203" w14:textId="77777777" w:rsidR="00AC3C57" w:rsidRPr="00D91AEB" w:rsidRDefault="00AC3C57">
            <w:pPr>
              <w:pStyle w:val="ARtabletextrightbold"/>
              <w:spacing w:before="30" w:after="20"/>
            </w:pPr>
            <w:r w:rsidRPr="00D91AEB">
              <w:t>411.0</w:t>
            </w:r>
          </w:p>
        </w:tc>
        <w:tc>
          <w:tcPr>
            <w:tcW w:w="1709" w:type="dxa"/>
            <w:tcBorders>
              <w:bottom w:val="single" w:sz="4" w:space="0" w:color="auto"/>
            </w:tcBorders>
            <w:noWrap/>
          </w:tcPr>
          <w:p w14:paraId="386EC58C" w14:textId="77777777" w:rsidR="00AC3C57" w:rsidRPr="00D91AEB" w:rsidRDefault="00AC3C57">
            <w:pPr>
              <w:pStyle w:val="ARtabletextrightbold"/>
              <w:spacing w:before="30" w:after="20"/>
              <w:cnfStyle w:val="000000000000" w:firstRow="0" w:lastRow="0" w:firstColumn="0" w:lastColumn="0" w:oddVBand="0" w:evenVBand="0" w:oddHBand="0" w:evenHBand="0" w:firstRowFirstColumn="0" w:firstRowLastColumn="0" w:lastRowFirstColumn="0" w:lastRowLastColumn="0"/>
            </w:pPr>
            <w:r w:rsidRPr="00D91AEB">
              <w:t>220.1</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hideMark/>
          </w:tcPr>
          <w:p w14:paraId="0C9D5824" w14:textId="77777777" w:rsidR="00AC3C57" w:rsidRPr="00D91AEB" w:rsidRDefault="00AC3C57">
            <w:pPr>
              <w:pStyle w:val="ARtabletextrightbold"/>
              <w:spacing w:before="30" w:after="20"/>
            </w:pPr>
            <w:r w:rsidRPr="00D91AEB">
              <w:t>115.4</w:t>
            </w:r>
          </w:p>
        </w:tc>
      </w:tr>
      <w:tr w:rsidR="00AC3C57" w:rsidRPr="008E2F75" w14:paraId="3E2C4A83" w14:textId="77777777" w:rsidTr="005353B4">
        <w:trPr>
          <w:trHeight w:val="288"/>
        </w:trPr>
        <w:tc>
          <w:tcPr>
            <w:tcW w:w="4544" w:type="dxa"/>
            <w:noWrap/>
            <w:hideMark/>
          </w:tcPr>
          <w:p w14:paraId="5942AF35" w14:textId="77777777" w:rsidR="00AC3C57" w:rsidRPr="00D91AEB" w:rsidRDefault="00AC3C57">
            <w:pPr>
              <w:pStyle w:val="ARtabletext"/>
              <w:spacing w:before="30" w:after="20"/>
            </w:pPr>
            <w:r w:rsidRPr="00D91AEB">
              <w:lastRenderedPageBreak/>
              <w:t>Other non-renewable (diesel backup generator)</w:t>
            </w:r>
          </w:p>
        </w:tc>
        <w:tc>
          <w:tcPr>
            <w:cnfStyle w:val="000001000000" w:firstRow="0" w:lastRow="0" w:firstColumn="0" w:lastColumn="0" w:oddVBand="0" w:evenVBand="1" w:oddHBand="0" w:evenHBand="0" w:firstRowFirstColumn="0" w:firstRowLastColumn="0" w:lastRowFirstColumn="0" w:lastRowLastColumn="0"/>
            <w:tcW w:w="1709" w:type="dxa"/>
            <w:noWrap/>
          </w:tcPr>
          <w:p w14:paraId="6E485B65" w14:textId="77777777" w:rsidR="00AC3C57" w:rsidRPr="00D91AEB" w:rsidRDefault="00AC3C57">
            <w:pPr>
              <w:pStyle w:val="ARtabletextright"/>
              <w:spacing w:before="30" w:after="20"/>
            </w:pPr>
            <w:r w:rsidRPr="00D91AEB">
              <w:t>–</w:t>
            </w:r>
          </w:p>
        </w:tc>
        <w:tc>
          <w:tcPr>
            <w:tcW w:w="1709" w:type="dxa"/>
            <w:noWrap/>
          </w:tcPr>
          <w:p w14:paraId="68E7150B" w14:textId="77777777" w:rsidR="00AC3C57" w:rsidRPr="00D91AEB"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D91AEB">
              <w:t>–</w:t>
            </w:r>
          </w:p>
        </w:tc>
        <w:tc>
          <w:tcPr>
            <w:cnfStyle w:val="000001000000" w:firstRow="0" w:lastRow="0" w:firstColumn="0" w:lastColumn="0" w:oddVBand="0" w:evenVBand="1" w:oddHBand="0" w:evenHBand="0" w:firstRowFirstColumn="0" w:firstRowLastColumn="0" w:lastRowFirstColumn="0" w:lastRowLastColumn="0"/>
            <w:tcW w:w="1709" w:type="dxa"/>
            <w:noWrap/>
          </w:tcPr>
          <w:p w14:paraId="041F41CF" w14:textId="77777777" w:rsidR="00AC3C57" w:rsidRPr="00D91AEB" w:rsidRDefault="00AC3C57">
            <w:pPr>
              <w:pStyle w:val="ARtabletextright"/>
              <w:spacing w:before="30" w:after="20"/>
            </w:pPr>
            <w:r w:rsidRPr="00D91AEB">
              <w:t>–</w:t>
            </w:r>
          </w:p>
        </w:tc>
      </w:tr>
      <w:tr w:rsidR="00AC3C57" w:rsidRPr="00DA56C4" w14:paraId="0066410E" w14:textId="77777777" w:rsidTr="005353B4">
        <w:trPr>
          <w:cnfStyle w:val="010000000000" w:firstRow="0" w:lastRow="1" w:firstColumn="0" w:lastColumn="0" w:oddVBand="0" w:evenVBand="0" w:oddHBand="0" w:evenHBand="0" w:firstRowFirstColumn="0" w:firstRowLastColumn="0" w:lastRowFirstColumn="0" w:lastRowLastColumn="0"/>
          <w:trHeight w:val="288"/>
        </w:trPr>
        <w:tc>
          <w:tcPr>
            <w:tcW w:w="4544" w:type="dxa"/>
            <w:noWrap/>
            <w:hideMark/>
          </w:tcPr>
          <w:p w14:paraId="443352CA" w14:textId="77777777" w:rsidR="00AC3C57" w:rsidRPr="00D91AEB" w:rsidRDefault="00AC3C57">
            <w:pPr>
              <w:pStyle w:val="ARtabletextbold"/>
              <w:spacing w:before="30" w:after="20"/>
            </w:pPr>
            <w:r w:rsidRPr="00D91AEB">
              <w:t>EL2 Total on-site electricity generated</w:t>
            </w:r>
          </w:p>
        </w:tc>
        <w:tc>
          <w:tcPr>
            <w:cnfStyle w:val="000001000000" w:firstRow="0" w:lastRow="0" w:firstColumn="0" w:lastColumn="0" w:oddVBand="0" w:evenVBand="1" w:oddHBand="0" w:evenHBand="0" w:firstRowFirstColumn="0" w:firstRowLastColumn="0" w:lastRowFirstColumn="0" w:lastRowLastColumn="0"/>
            <w:tcW w:w="1709" w:type="dxa"/>
            <w:noWrap/>
          </w:tcPr>
          <w:p w14:paraId="7FFBE8FE" w14:textId="77777777" w:rsidR="00AC3C57" w:rsidRPr="00D91AEB" w:rsidRDefault="00AC3C57">
            <w:pPr>
              <w:pStyle w:val="ARtabletextrightbold"/>
              <w:spacing w:before="30" w:after="20"/>
            </w:pPr>
            <w:r w:rsidRPr="00D91AEB">
              <w:t>411.0</w:t>
            </w:r>
          </w:p>
        </w:tc>
        <w:tc>
          <w:tcPr>
            <w:tcW w:w="1709" w:type="dxa"/>
            <w:noWrap/>
          </w:tcPr>
          <w:p w14:paraId="7E2661C3" w14:textId="77777777" w:rsidR="00AC3C57" w:rsidRPr="00D91AEB"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D91AEB">
              <w:t>220.1</w:t>
            </w:r>
          </w:p>
        </w:tc>
        <w:tc>
          <w:tcPr>
            <w:cnfStyle w:val="000001000000" w:firstRow="0" w:lastRow="0" w:firstColumn="0" w:lastColumn="0" w:oddVBand="0" w:evenVBand="1" w:oddHBand="0" w:evenHBand="0" w:firstRowFirstColumn="0" w:firstRowLastColumn="0" w:lastRowFirstColumn="0" w:lastRowLastColumn="0"/>
            <w:tcW w:w="1709" w:type="dxa"/>
            <w:noWrap/>
            <w:hideMark/>
          </w:tcPr>
          <w:p w14:paraId="21818208" w14:textId="77777777" w:rsidR="00AC3C57" w:rsidRPr="00D91AEB" w:rsidRDefault="00AC3C57">
            <w:pPr>
              <w:pStyle w:val="ARtabletextrightbold"/>
              <w:spacing w:before="30" w:after="20"/>
            </w:pPr>
            <w:r w:rsidRPr="00D91AEB">
              <w:t>115.4</w:t>
            </w:r>
          </w:p>
        </w:tc>
      </w:tr>
    </w:tbl>
    <w:p w14:paraId="6DDA68E3" w14:textId="77777777" w:rsidR="00AC3C57" w:rsidRPr="00D91AEB" w:rsidRDefault="00AC3C57">
      <w:pPr>
        <w:pStyle w:val="ARtablecaption"/>
      </w:pPr>
      <w:r w:rsidRPr="00D91AEB">
        <w:t>EL3 On-site installed generation capacity</w:t>
      </w:r>
    </w:p>
    <w:tbl>
      <w:tblPr>
        <w:tblStyle w:val="TableGrid"/>
        <w:tblW w:w="9698" w:type="dxa"/>
        <w:tblLayout w:type="fixed"/>
        <w:tblLook w:val="02E0" w:firstRow="1" w:lastRow="1" w:firstColumn="1" w:lastColumn="0" w:noHBand="1" w:noVBand="0"/>
      </w:tblPr>
      <w:tblGrid>
        <w:gridCol w:w="4536"/>
        <w:gridCol w:w="1820"/>
        <w:gridCol w:w="1671"/>
        <w:gridCol w:w="1671"/>
      </w:tblGrid>
      <w:tr w:rsidR="00AC3C57" w:rsidRPr="00DA56C4" w14:paraId="284FB486" w14:textId="77777777" w:rsidTr="005353B4">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6EF6AC26" w14:textId="77777777" w:rsidR="00AC3C57" w:rsidRPr="00D91AEB" w:rsidRDefault="00AC3C57">
            <w:pPr>
              <w:pStyle w:val="ARtablecolhead"/>
              <w:spacing w:before="30" w:after="20"/>
              <w:rPr>
                <w:color w:val="000000"/>
              </w:rPr>
            </w:pPr>
            <w:r w:rsidRPr="00D91AEB">
              <w:t>Indicator</w:t>
            </w:r>
          </w:p>
        </w:tc>
        <w:tc>
          <w:tcPr>
            <w:cnfStyle w:val="000001000000" w:firstRow="0" w:lastRow="0" w:firstColumn="0" w:lastColumn="0" w:oddVBand="0" w:evenVBand="1" w:oddHBand="0" w:evenHBand="0" w:firstRowFirstColumn="0" w:firstRowLastColumn="0" w:lastRowFirstColumn="0" w:lastRowLastColumn="0"/>
            <w:tcW w:w="1820" w:type="dxa"/>
            <w:tcBorders>
              <w:bottom w:val="single" w:sz="4" w:space="0" w:color="auto"/>
            </w:tcBorders>
            <w:noWrap/>
          </w:tcPr>
          <w:p w14:paraId="08371463" w14:textId="77777777" w:rsidR="00AC3C57" w:rsidRPr="00D91AEB" w:rsidRDefault="00AC3C57">
            <w:pPr>
              <w:pStyle w:val="ARtablecolheadright"/>
              <w:spacing w:before="30" w:after="20"/>
            </w:pPr>
            <w:r w:rsidRPr="00D91AEB">
              <w:t>2024–25</w:t>
            </w:r>
          </w:p>
          <w:p w14:paraId="4415C0B4" w14:textId="77777777" w:rsidR="00AC3C57" w:rsidRPr="00D91AEB" w:rsidRDefault="00AC3C57">
            <w:pPr>
              <w:pStyle w:val="ARtablecolheadright"/>
              <w:spacing w:before="30" w:after="20"/>
            </w:pPr>
            <w:r w:rsidRPr="00D91AEB">
              <w:t>MWh</w:t>
            </w:r>
          </w:p>
        </w:tc>
        <w:tc>
          <w:tcPr>
            <w:tcW w:w="1671" w:type="dxa"/>
            <w:tcBorders>
              <w:bottom w:val="single" w:sz="4" w:space="0" w:color="auto"/>
            </w:tcBorders>
            <w:noWrap/>
          </w:tcPr>
          <w:p w14:paraId="118E8FB6" w14:textId="77777777" w:rsidR="00AC3C57" w:rsidRPr="00D91AE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D91AEB">
              <w:t>2023–24</w:t>
            </w:r>
          </w:p>
          <w:p w14:paraId="252BF630" w14:textId="77777777" w:rsidR="00AC3C57" w:rsidRPr="00D91AE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D91AEB">
              <w:t>MWh</w:t>
            </w:r>
          </w:p>
        </w:tc>
        <w:tc>
          <w:tcPr>
            <w:cnfStyle w:val="000001000000" w:firstRow="0" w:lastRow="0" w:firstColumn="0" w:lastColumn="0" w:oddVBand="0" w:evenVBand="1" w:oddHBand="0" w:evenHBand="0" w:firstRowFirstColumn="0" w:firstRowLastColumn="0" w:lastRowFirstColumn="0" w:lastRowLastColumn="0"/>
            <w:tcW w:w="1671" w:type="dxa"/>
            <w:tcBorders>
              <w:bottom w:val="single" w:sz="4" w:space="0" w:color="auto"/>
            </w:tcBorders>
            <w:noWrap/>
          </w:tcPr>
          <w:p w14:paraId="22904457" w14:textId="77777777" w:rsidR="00AC3C57" w:rsidRPr="00D91AEB" w:rsidRDefault="00AC3C57">
            <w:pPr>
              <w:pStyle w:val="ARtablecolheadright"/>
              <w:spacing w:before="30" w:after="20"/>
            </w:pPr>
            <w:r w:rsidRPr="00D91AEB">
              <w:t>2022–23</w:t>
            </w:r>
          </w:p>
          <w:p w14:paraId="139A7A3A" w14:textId="77777777" w:rsidR="00AC3C57" w:rsidRPr="00D91AEB" w:rsidRDefault="00AC3C57">
            <w:pPr>
              <w:pStyle w:val="ARtablecolheadright"/>
              <w:spacing w:before="30" w:after="20"/>
            </w:pPr>
            <w:r w:rsidRPr="00D91AEB">
              <w:t>MWh</w:t>
            </w:r>
          </w:p>
        </w:tc>
      </w:tr>
      <w:tr w:rsidR="00AC3C57" w:rsidRPr="00DA56C4" w14:paraId="3595B624" w14:textId="77777777" w:rsidTr="005353B4">
        <w:trPr>
          <w:trHeight w:val="288"/>
        </w:trPr>
        <w:tc>
          <w:tcPr>
            <w:tcW w:w="4536" w:type="dxa"/>
            <w:tcBorders>
              <w:top w:val="single" w:sz="4" w:space="0" w:color="auto"/>
              <w:bottom w:val="single" w:sz="4" w:space="0" w:color="BFBFBF"/>
            </w:tcBorders>
            <w:noWrap/>
            <w:hideMark/>
          </w:tcPr>
          <w:p w14:paraId="14CD4E07" w14:textId="77777777" w:rsidR="00AC3C57" w:rsidRPr="00D91AEB" w:rsidRDefault="00AC3C57">
            <w:pPr>
              <w:pStyle w:val="ARtabletext"/>
              <w:spacing w:before="30" w:after="20"/>
              <w:rPr>
                <w:color w:val="000000"/>
              </w:rPr>
            </w:pPr>
            <w:r w:rsidRPr="00D91AEB">
              <w:t>Solar PV</w:t>
            </w:r>
          </w:p>
        </w:tc>
        <w:tc>
          <w:tcPr>
            <w:cnfStyle w:val="000001000000" w:firstRow="0" w:lastRow="0" w:firstColumn="0" w:lastColumn="0" w:oddVBand="0" w:evenVBand="1" w:oddHBand="0" w:evenHBand="0" w:firstRowFirstColumn="0" w:firstRowLastColumn="0" w:lastRowFirstColumn="0" w:lastRowLastColumn="0"/>
            <w:tcW w:w="1820" w:type="dxa"/>
            <w:tcBorders>
              <w:top w:val="single" w:sz="4" w:space="0" w:color="auto"/>
              <w:bottom w:val="single" w:sz="4" w:space="0" w:color="BFBFBF"/>
            </w:tcBorders>
            <w:noWrap/>
          </w:tcPr>
          <w:p w14:paraId="233711C0" w14:textId="77777777" w:rsidR="00AC3C57" w:rsidRPr="00D91AEB" w:rsidRDefault="00AC3C57">
            <w:pPr>
              <w:pStyle w:val="ARtabletextright"/>
              <w:spacing w:before="30" w:after="20"/>
            </w:pPr>
            <w:r w:rsidRPr="00D91AEB">
              <w:t>0.4</w:t>
            </w:r>
          </w:p>
        </w:tc>
        <w:tc>
          <w:tcPr>
            <w:tcW w:w="1671" w:type="dxa"/>
            <w:tcBorders>
              <w:top w:val="single" w:sz="4" w:space="0" w:color="auto"/>
              <w:bottom w:val="single" w:sz="4" w:space="0" w:color="BFBFBF"/>
            </w:tcBorders>
            <w:noWrap/>
          </w:tcPr>
          <w:p w14:paraId="12B0B6DD" w14:textId="77777777" w:rsidR="00AC3C57" w:rsidRPr="00D91AEB"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D91AEB">
              <w:rPr>
                <w:szCs w:val="17"/>
              </w:rPr>
              <w:t>0.4</w:t>
            </w:r>
          </w:p>
        </w:tc>
        <w:tc>
          <w:tcPr>
            <w:cnfStyle w:val="000001000000" w:firstRow="0" w:lastRow="0" w:firstColumn="0" w:lastColumn="0" w:oddVBand="0" w:evenVBand="1" w:oddHBand="0" w:evenHBand="0" w:firstRowFirstColumn="0" w:firstRowLastColumn="0" w:lastRowFirstColumn="0" w:lastRowLastColumn="0"/>
            <w:tcW w:w="1671" w:type="dxa"/>
            <w:tcBorders>
              <w:top w:val="single" w:sz="4" w:space="0" w:color="auto"/>
              <w:bottom w:val="single" w:sz="4" w:space="0" w:color="BFBFBF"/>
            </w:tcBorders>
            <w:noWrap/>
            <w:hideMark/>
          </w:tcPr>
          <w:p w14:paraId="2063F409" w14:textId="77777777" w:rsidR="00AC3C57" w:rsidRPr="00D91AEB" w:rsidRDefault="00AC3C57">
            <w:pPr>
              <w:pStyle w:val="ARtabletextright"/>
              <w:spacing w:before="30" w:after="20"/>
            </w:pPr>
            <w:r w:rsidRPr="00D91AEB">
              <w:rPr>
                <w:szCs w:val="17"/>
              </w:rPr>
              <w:t>0.4</w:t>
            </w:r>
          </w:p>
        </w:tc>
      </w:tr>
      <w:tr w:rsidR="00AC3C57" w:rsidRPr="00DA56C4" w14:paraId="6451AB17" w14:textId="77777777" w:rsidTr="005353B4">
        <w:trPr>
          <w:trHeight w:val="288"/>
        </w:trPr>
        <w:tc>
          <w:tcPr>
            <w:tcW w:w="4536" w:type="dxa"/>
            <w:tcBorders>
              <w:top w:val="single" w:sz="4" w:space="0" w:color="BFBFBF"/>
              <w:bottom w:val="single" w:sz="4" w:space="0" w:color="BFBFBF"/>
            </w:tcBorders>
            <w:noWrap/>
            <w:hideMark/>
          </w:tcPr>
          <w:p w14:paraId="4B7957BF" w14:textId="77777777" w:rsidR="00AC3C57" w:rsidRPr="00D91AEB" w:rsidRDefault="00AC3C57">
            <w:pPr>
              <w:pStyle w:val="ARtabletext"/>
              <w:spacing w:before="30" w:after="20"/>
              <w:rPr>
                <w:color w:val="000000"/>
              </w:rPr>
            </w:pPr>
            <w:r w:rsidRPr="00D91AEB">
              <w:t>Diesel backup generator</w:t>
            </w:r>
          </w:p>
        </w:tc>
        <w:tc>
          <w:tcPr>
            <w:cnfStyle w:val="000001000000" w:firstRow="0" w:lastRow="0" w:firstColumn="0" w:lastColumn="0" w:oddVBand="0" w:evenVBand="1" w:oddHBand="0" w:evenHBand="0" w:firstRowFirstColumn="0" w:firstRowLastColumn="0" w:lastRowFirstColumn="0" w:lastRowLastColumn="0"/>
            <w:tcW w:w="1820" w:type="dxa"/>
            <w:tcBorders>
              <w:top w:val="single" w:sz="4" w:space="0" w:color="BFBFBF"/>
              <w:bottom w:val="single" w:sz="4" w:space="0" w:color="BFBFBF"/>
            </w:tcBorders>
            <w:noWrap/>
          </w:tcPr>
          <w:p w14:paraId="09281DF8" w14:textId="77777777" w:rsidR="00AC3C57" w:rsidRPr="00D91AEB" w:rsidRDefault="00AC3C57">
            <w:pPr>
              <w:pStyle w:val="ARtabletextright"/>
              <w:spacing w:before="30" w:after="20"/>
            </w:pPr>
            <w:r w:rsidRPr="00D91AEB">
              <w:t>–</w:t>
            </w:r>
          </w:p>
        </w:tc>
        <w:tc>
          <w:tcPr>
            <w:tcW w:w="1671" w:type="dxa"/>
            <w:tcBorders>
              <w:top w:val="single" w:sz="4" w:space="0" w:color="BFBFBF"/>
              <w:bottom w:val="single" w:sz="4" w:space="0" w:color="BFBFBF"/>
            </w:tcBorders>
            <w:noWrap/>
          </w:tcPr>
          <w:p w14:paraId="631275EE" w14:textId="77777777" w:rsidR="00AC3C57" w:rsidRPr="00D91AEB"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D91AEB">
              <w:rPr>
                <w:szCs w:val="17"/>
              </w:rPr>
              <w:t>–</w:t>
            </w:r>
          </w:p>
        </w:tc>
        <w:tc>
          <w:tcPr>
            <w:cnfStyle w:val="000001000000" w:firstRow="0" w:lastRow="0" w:firstColumn="0" w:lastColumn="0" w:oddVBand="0" w:evenVBand="1" w:oddHBand="0" w:evenHBand="0" w:firstRowFirstColumn="0" w:firstRowLastColumn="0" w:lastRowFirstColumn="0" w:lastRowLastColumn="0"/>
            <w:tcW w:w="1671" w:type="dxa"/>
            <w:tcBorders>
              <w:top w:val="single" w:sz="4" w:space="0" w:color="BFBFBF"/>
              <w:bottom w:val="single" w:sz="4" w:space="0" w:color="BFBFBF"/>
            </w:tcBorders>
            <w:noWrap/>
            <w:hideMark/>
          </w:tcPr>
          <w:p w14:paraId="56430633" w14:textId="77777777" w:rsidR="00AC3C57" w:rsidRPr="00D91AEB" w:rsidRDefault="00AC3C57">
            <w:pPr>
              <w:pStyle w:val="ARtabletextright"/>
              <w:spacing w:before="30" w:after="20"/>
            </w:pPr>
            <w:r w:rsidRPr="00D91AEB">
              <w:rPr>
                <w:szCs w:val="17"/>
              </w:rPr>
              <w:t>–</w:t>
            </w:r>
          </w:p>
        </w:tc>
      </w:tr>
      <w:tr w:rsidR="00AC3C57" w:rsidRPr="00DA56C4" w14:paraId="6EA71E9E" w14:textId="77777777" w:rsidTr="005353B4">
        <w:trPr>
          <w:cnfStyle w:val="010000000000" w:firstRow="0" w:lastRow="1" w:firstColumn="0" w:lastColumn="0" w:oddVBand="0" w:evenVBand="0" w:oddHBand="0" w:evenHBand="0" w:firstRowFirstColumn="0" w:firstRowLastColumn="0" w:lastRowFirstColumn="0" w:lastRowLastColumn="0"/>
          <w:trHeight w:val="288"/>
        </w:trPr>
        <w:tc>
          <w:tcPr>
            <w:tcW w:w="4536" w:type="dxa"/>
            <w:noWrap/>
            <w:hideMark/>
          </w:tcPr>
          <w:p w14:paraId="2C1D8605" w14:textId="77777777" w:rsidR="00AC3C57" w:rsidRPr="00D91AEB" w:rsidRDefault="00AC3C57">
            <w:pPr>
              <w:pStyle w:val="ARtabletextbold"/>
              <w:spacing w:before="30" w:after="20"/>
            </w:pPr>
            <w:r w:rsidRPr="00D91AEB">
              <w:t>EL3 Total on-site installed generation capacity</w:t>
            </w:r>
          </w:p>
        </w:tc>
        <w:tc>
          <w:tcPr>
            <w:cnfStyle w:val="000001000000" w:firstRow="0" w:lastRow="0" w:firstColumn="0" w:lastColumn="0" w:oddVBand="0" w:evenVBand="1" w:oddHBand="0" w:evenHBand="0" w:firstRowFirstColumn="0" w:firstRowLastColumn="0" w:lastRowFirstColumn="0" w:lastRowLastColumn="0"/>
            <w:tcW w:w="1820" w:type="dxa"/>
            <w:noWrap/>
          </w:tcPr>
          <w:p w14:paraId="03AB408B" w14:textId="77777777" w:rsidR="00AC3C57" w:rsidRPr="00D91AEB" w:rsidRDefault="00AC3C57">
            <w:pPr>
              <w:pStyle w:val="ARtabletextrightbold"/>
              <w:spacing w:before="30" w:after="20"/>
            </w:pPr>
            <w:r w:rsidRPr="00D91AEB">
              <w:t>0.4</w:t>
            </w:r>
          </w:p>
        </w:tc>
        <w:tc>
          <w:tcPr>
            <w:tcW w:w="1671" w:type="dxa"/>
            <w:noWrap/>
          </w:tcPr>
          <w:p w14:paraId="5BD7B5FD" w14:textId="77777777" w:rsidR="00AC3C57" w:rsidRPr="00D91AEB"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D91AEB">
              <w:t>0.4</w:t>
            </w:r>
          </w:p>
        </w:tc>
        <w:tc>
          <w:tcPr>
            <w:cnfStyle w:val="000001000000" w:firstRow="0" w:lastRow="0" w:firstColumn="0" w:lastColumn="0" w:oddVBand="0" w:evenVBand="1" w:oddHBand="0" w:evenHBand="0" w:firstRowFirstColumn="0" w:firstRowLastColumn="0" w:lastRowFirstColumn="0" w:lastRowLastColumn="0"/>
            <w:tcW w:w="1671" w:type="dxa"/>
            <w:noWrap/>
            <w:hideMark/>
          </w:tcPr>
          <w:p w14:paraId="7D6D8C2A" w14:textId="77777777" w:rsidR="00AC3C57" w:rsidRPr="00D91AEB" w:rsidRDefault="00AC3C57">
            <w:pPr>
              <w:pStyle w:val="ARtabletextrightbold"/>
              <w:spacing w:before="30" w:after="20"/>
            </w:pPr>
            <w:r w:rsidRPr="00D91AEB">
              <w:t>0.4</w:t>
            </w:r>
          </w:p>
        </w:tc>
      </w:tr>
    </w:tbl>
    <w:p w14:paraId="1C4E7AE0" w14:textId="77777777" w:rsidR="00AC3C57" w:rsidRPr="00D91AEB" w:rsidRDefault="00AC3C57">
      <w:pPr>
        <w:pStyle w:val="ARtablecaption"/>
      </w:pPr>
      <w:r w:rsidRPr="00D91AEB">
        <w:t>EL4 Total electricity offsets</w:t>
      </w:r>
    </w:p>
    <w:tbl>
      <w:tblPr>
        <w:tblStyle w:val="TableGrid"/>
        <w:tblW w:w="9671" w:type="dxa"/>
        <w:tblLook w:val="02E0" w:firstRow="1" w:lastRow="1" w:firstColumn="1" w:lastColumn="0" w:noHBand="1" w:noVBand="0"/>
      </w:tblPr>
      <w:tblGrid>
        <w:gridCol w:w="4552"/>
        <w:gridCol w:w="1717"/>
        <w:gridCol w:w="1717"/>
        <w:gridCol w:w="1717"/>
      </w:tblGrid>
      <w:tr w:rsidR="00AC3C57" w:rsidRPr="00DA56C4" w14:paraId="654B7436" w14:textId="77777777" w:rsidTr="005353B4">
        <w:trPr>
          <w:cnfStyle w:val="100000000000" w:firstRow="1" w:lastRow="0" w:firstColumn="0" w:lastColumn="0" w:oddVBand="0" w:evenVBand="0" w:oddHBand="0" w:evenHBand="0" w:firstRowFirstColumn="0" w:firstRowLastColumn="0" w:lastRowFirstColumn="0" w:lastRowLastColumn="0"/>
          <w:trHeight w:val="288"/>
          <w:tblHeader/>
        </w:trPr>
        <w:tc>
          <w:tcPr>
            <w:tcW w:w="4544" w:type="dxa"/>
            <w:tcBorders>
              <w:bottom w:val="single" w:sz="4" w:space="0" w:color="auto"/>
            </w:tcBorders>
            <w:noWrap/>
          </w:tcPr>
          <w:p w14:paraId="09CCB760" w14:textId="77777777" w:rsidR="00AC3C57" w:rsidRPr="00D91AEB" w:rsidRDefault="00AC3C57">
            <w:pPr>
              <w:pStyle w:val="ARtablecolhead"/>
              <w:spacing w:before="30" w:after="20"/>
              <w:rPr>
                <w:color w:val="000000"/>
              </w:rPr>
            </w:pPr>
            <w:r w:rsidRPr="00D91AEB">
              <w:t>Indicator</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tcPr>
          <w:p w14:paraId="0DA382BE" w14:textId="77777777" w:rsidR="00AC3C57" w:rsidRPr="00D91AEB" w:rsidRDefault="00AC3C57">
            <w:pPr>
              <w:pStyle w:val="ARtablecolheadright"/>
              <w:spacing w:before="30" w:after="20"/>
            </w:pPr>
            <w:r w:rsidRPr="00D91AEB">
              <w:t>2024–25</w:t>
            </w:r>
          </w:p>
          <w:p w14:paraId="54DB7496" w14:textId="77777777" w:rsidR="00AC3C57" w:rsidRPr="00D91AEB" w:rsidRDefault="00AC3C57">
            <w:pPr>
              <w:pStyle w:val="ARtablecolheadright"/>
              <w:spacing w:before="30" w:after="20"/>
            </w:pPr>
            <w:r w:rsidRPr="00D91AEB">
              <w:t>MWh</w:t>
            </w:r>
          </w:p>
        </w:tc>
        <w:tc>
          <w:tcPr>
            <w:tcW w:w="1709" w:type="dxa"/>
            <w:tcBorders>
              <w:bottom w:val="single" w:sz="4" w:space="0" w:color="auto"/>
            </w:tcBorders>
            <w:noWrap/>
          </w:tcPr>
          <w:p w14:paraId="021475DD" w14:textId="77777777" w:rsidR="00AC3C57" w:rsidRPr="00D91AE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D91AEB">
              <w:t>2023–24</w:t>
            </w:r>
          </w:p>
          <w:p w14:paraId="65FA4AD1" w14:textId="77777777" w:rsidR="00AC3C57" w:rsidRPr="00D91AE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D91AEB">
              <w:t>MWh</w:t>
            </w:r>
          </w:p>
        </w:tc>
        <w:tc>
          <w:tcPr>
            <w:cnfStyle w:val="000001000000" w:firstRow="0" w:lastRow="0" w:firstColumn="0" w:lastColumn="0" w:oddVBand="0" w:evenVBand="1" w:oddHBand="0" w:evenHBand="0" w:firstRowFirstColumn="0" w:firstRowLastColumn="0" w:lastRowFirstColumn="0" w:lastRowLastColumn="0"/>
            <w:tcW w:w="1709" w:type="dxa"/>
            <w:tcBorders>
              <w:bottom w:val="single" w:sz="4" w:space="0" w:color="auto"/>
            </w:tcBorders>
            <w:noWrap/>
          </w:tcPr>
          <w:p w14:paraId="4E152239" w14:textId="77777777" w:rsidR="00AC3C57" w:rsidRPr="00D91AEB" w:rsidRDefault="00AC3C57">
            <w:pPr>
              <w:pStyle w:val="ARtablecolheadright"/>
              <w:spacing w:before="30" w:after="20"/>
            </w:pPr>
            <w:r w:rsidRPr="00D91AEB">
              <w:t>2022–23</w:t>
            </w:r>
          </w:p>
          <w:p w14:paraId="1BCEBD93" w14:textId="77777777" w:rsidR="00AC3C57" w:rsidRPr="00D91AEB" w:rsidRDefault="00AC3C57">
            <w:pPr>
              <w:pStyle w:val="ARtablecolheadright"/>
              <w:spacing w:before="30" w:after="20"/>
            </w:pPr>
            <w:r w:rsidRPr="00D91AEB">
              <w:t>MWh</w:t>
            </w:r>
          </w:p>
        </w:tc>
      </w:tr>
      <w:tr w:rsidR="00AC3C57" w:rsidRPr="00DA56C4" w14:paraId="2C83A1E9" w14:textId="77777777" w:rsidTr="005353B4">
        <w:trPr>
          <w:trHeight w:val="288"/>
        </w:trPr>
        <w:tc>
          <w:tcPr>
            <w:tcW w:w="4544" w:type="dxa"/>
            <w:tcBorders>
              <w:top w:val="single" w:sz="4" w:space="0" w:color="auto"/>
              <w:bottom w:val="single" w:sz="4" w:space="0" w:color="BFBFBF"/>
            </w:tcBorders>
            <w:noWrap/>
            <w:hideMark/>
          </w:tcPr>
          <w:p w14:paraId="1AB62438" w14:textId="77777777" w:rsidR="00AC3C57" w:rsidRPr="00D91AEB" w:rsidRDefault="00AC3C57">
            <w:pPr>
              <w:pStyle w:val="ARtabletext"/>
              <w:spacing w:before="30" w:after="20"/>
              <w:rPr>
                <w:color w:val="000000"/>
              </w:rPr>
            </w:pPr>
            <w:r w:rsidRPr="00D91AEB">
              <w:t>LGC’s voluntarily retired by the entity</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auto"/>
              <w:bottom w:val="single" w:sz="4" w:space="0" w:color="BFBFBF"/>
            </w:tcBorders>
            <w:noWrap/>
          </w:tcPr>
          <w:p w14:paraId="589841B3" w14:textId="77777777" w:rsidR="00AC3C57" w:rsidRPr="00D91AEB" w:rsidRDefault="00AC3C57">
            <w:pPr>
              <w:pStyle w:val="ARtabletextright"/>
              <w:spacing w:before="30" w:after="20"/>
              <w:rPr>
                <w:color w:val="000000"/>
              </w:rPr>
            </w:pPr>
            <w:r w:rsidRPr="00D91AEB">
              <w:t>–</w:t>
            </w:r>
          </w:p>
        </w:tc>
        <w:tc>
          <w:tcPr>
            <w:tcW w:w="1709" w:type="dxa"/>
            <w:tcBorders>
              <w:top w:val="single" w:sz="4" w:space="0" w:color="auto"/>
              <w:bottom w:val="single" w:sz="4" w:space="0" w:color="BFBFBF"/>
            </w:tcBorders>
            <w:noWrap/>
          </w:tcPr>
          <w:p w14:paraId="641D4332" w14:textId="77777777" w:rsidR="00AC3C57" w:rsidRPr="00D91AEB"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D91AEB">
              <w:t>–</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auto"/>
              <w:bottom w:val="single" w:sz="4" w:space="0" w:color="BFBFBF"/>
            </w:tcBorders>
            <w:noWrap/>
            <w:hideMark/>
          </w:tcPr>
          <w:p w14:paraId="51A7C6D4" w14:textId="77777777" w:rsidR="00AC3C57" w:rsidRPr="00D91AEB" w:rsidRDefault="00AC3C57">
            <w:pPr>
              <w:pStyle w:val="ARtabletextright"/>
              <w:spacing w:before="30" w:after="20"/>
            </w:pPr>
            <w:r w:rsidRPr="00D91AEB">
              <w:t>–</w:t>
            </w:r>
          </w:p>
        </w:tc>
      </w:tr>
      <w:tr w:rsidR="00AC3C57" w:rsidRPr="00DA56C4" w14:paraId="7EAFA075" w14:textId="77777777" w:rsidTr="005353B4">
        <w:trPr>
          <w:trHeight w:val="288"/>
        </w:trPr>
        <w:tc>
          <w:tcPr>
            <w:tcW w:w="4544" w:type="dxa"/>
            <w:tcBorders>
              <w:top w:val="single" w:sz="4" w:space="0" w:color="BFBFBF"/>
            </w:tcBorders>
            <w:noWrap/>
          </w:tcPr>
          <w:p w14:paraId="50E73AE4" w14:textId="77777777" w:rsidR="00AC3C57" w:rsidRPr="00D91AEB" w:rsidRDefault="00AC3C57">
            <w:pPr>
              <w:pStyle w:val="ARtabletext"/>
              <w:spacing w:before="30" w:after="20"/>
              <w:rPr>
                <w:color w:val="000000"/>
              </w:rPr>
            </w:pPr>
            <w:proofErr w:type="spellStart"/>
            <w:r w:rsidRPr="00D91AEB">
              <w:t>Green</w:t>
            </w:r>
            <w:r>
              <w:t>P</w:t>
            </w:r>
            <w:r w:rsidRPr="00D91AEB">
              <w:t>ower</w:t>
            </w:r>
            <w:proofErr w:type="spellEnd"/>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tcBorders>
            <w:noWrap/>
          </w:tcPr>
          <w:p w14:paraId="51CB0F19" w14:textId="77777777" w:rsidR="00AC3C57" w:rsidRPr="00D91AEB" w:rsidRDefault="00AC3C57">
            <w:pPr>
              <w:pStyle w:val="ARtabletextright"/>
              <w:spacing w:before="30" w:after="20"/>
            </w:pPr>
            <w:r w:rsidRPr="00D91AEB">
              <w:t>1,744.3</w:t>
            </w:r>
          </w:p>
        </w:tc>
        <w:tc>
          <w:tcPr>
            <w:tcW w:w="1709" w:type="dxa"/>
            <w:tcBorders>
              <w:top w:val="single" w:sz="4" w:space="0" w:color="BFBFBF"/>
            </w:tcBorders>
            <w:noWrap/>
          </w:tcPr>
          <w:p w14:paraId="760F1CDA" w14:textId="77777777" w:rsidR="00AC3C57" w:rsidRPr="00D91AEB"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D91AEB">
              <w:t>1,552.9</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tcBorders>
            <w:noWrap/>
          </w:tcPr>
          <w:p w14:paraId="3CD2D12E" w14:textId="77777777" w:rsidR="00AC3C57" w:rsidRPr="00D91AEB" w:rsidRDefault="00AC3C57">
            <w:pPr>
              <w:pStyle w:val="ARtabletextright"/>
              <w:spacing w:before="30" w:after="20"/>
            </w:pPr>
            <w:r w:rsidRPr="00D91AEB">
              <w:t>20.2</w:t>
            </w:r>
          </w:p>
        </w:tc>
      </w:tr>
      <w:tr w:rsidR="00AC3C57" w:rsidRPr="00DA56C4" w14:paraId="3A4F0489" w14:textId="77777777" w:rsidTr="005353B4">
        <w:trPr>
          <w:trHeight w:val="288"/>
        </w:trPr>
        <w:tc>
          <w:tcPr>
            <w:tcW w:w="4544" w:type="dxa"/>
            <w:tcBorders>
              <w:top w:val="single" w:sz="4" w:space="0" w:color="BFBFBF"/>
            </w:tcBorders>
            <w:noWrap/>
          </w:tcPr>
          <w:p w14:paraId="32ABA509" w14:textId="77777777" w:rsidR="00AC3C57" w:rsidRPr="00D91AEB" w:rsidRDefault="00AC3C57">
            <w:pPr>
              <w:pStyle w:val="ARtabletext"/>
              <w:spacing w:before="30" w:after="20"/>
              <w:rPr>
                <w:color w:val="000000"/>
              </w:rPr>
            </w:pPr>
            <w:r w:rsidRPr="00D91AEB">
              <w:t>Renewable power percentage in the grid</w:t>
            </w:r>
            <w:r w:rsidRPr="00D91AEB">
              <w:rPr>
                <w:rStyle w:val="FootnoteReference"/>
              </w:rPr>
              <w:footnoteReference w:id="34"/>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tcBorders>
            <w:noWrap/>
          </w:tcPr>
          <w:p w14:paraId="7DE71FE9" w14:textId="77777777" w:rsidR="00AC3C57" w:rsidRPr="00D91AEB" w:rsidRDefault="00AC3C57">
            <w:pPr>
              <w:pStyle w:val="ARtabletextright"/>
              <w:spacing w:before="30" w:after="20"/>
            </w:pPr>
            <w:r w:rsidRPr="00D91AEB">
              <w:t>3,648.3</w:t>
            </w:r>
          </w:p>
        </w:tc>
        <w:tc>
          <w:tcPr>
            <w:tcW w:w="1709" w:type="dxa"/>
            <w:tcBorders>
              <w:top w:val="single" w:sz="4" w:space="0" w:color="BFBFBF"/>
            </w:tcBorders>
            <w:noWrap/>
          </w:tcPr>
          <w:p w14:paraId="26C01F16" w14:textId="77777777" w:rsidR="00AC3C57" w:rsidRPr="00D91AEB"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tcBorders>
            <w:noWrap/>
          </w:tcPr>
          <w:p w14:paraId="33756922" w14:textId="77777777" w:rsidR="00AC3C57" w:rsidRPr="00D91AEB" w:rsidRDefault="00AC3C57">
            <w:pPr>
              <w:pStyle w:val="ARtabletextright"/>
              <w:spacing w:before="30" w:after="20"/>
            </w:pPr>
          </w:p>
        </w:tc>
      </w:tr>
      <w:tr w:rsidR="00AC3C57" w:rsidRPr="00DA56C4" w14:paraId="36736CBE" w14:textId="77777777" w:rsidTr="005353B4">
        <w:trPr>
          <w:trHeight w:val="288"/>
        </w:trPr>
        <w:tc>
          <w:tcPr>
            <w:tcW w:w="4544" w:type="dxa"/>
            <w:tcBorders>
              <w:top w:val="single" w:sz="4" w:space="0" w:color="BFBFBF"/>
            </w:tcBorders>
            <w:noWrap/>
          </w:tcPr>
          <w:p w14:paraId="046DC4AE" w14:textId="77777777" w:rsidR="00AC3C57" w:rsidRPr="00D91AEB" w:rsidRDefault="00AC3C57">
            <w:pPr>
              <w:pStyle w:val="ARtabletext"/>
              <w:spacing w:before="30" w:after="20"/>
              <w:rPr>
                <w:color w:val="000000"/>
              </w:rPr>
            </w:pPr>
            <w:r w:rsidRPr="00D91AEB">
              <w:t>Certified climate active carbon neutral electricity purchased</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tcBorders>
            <w:noWrap/>
          </w:tcPr>
          <w:p w14:paraId="021EF093" w14:textId="77777777" w:rsidR="00AC3C57" w:rsidRPr="00D91AEB" w:rsidRDefault="00AC3C57">
            <w:pPr>
              <w:pStyle w:val="ARtabletextright"/>
              <w:spacing w:before="30" w:after="20"/>
            </w:pPr>
            <w:r w:rsidRPr="00D91AEB">
              <w:t>–</w:t>
            </w:r>
          </w:p>
        </w:tc>
        <w:tc>
          <w:tcPr>
            <w:tcW w:w="1709" w:type="dxa"/>
            <w:tcBorders>
              <w:top w:val="single" w:sz="4" w:space="0" w:color="BFBFBF"/>
            </w:tcBorders>
            <w:noWrap/>
          </w:tcPr>
          <w:p w14:paraId="77FFF511" w14:textId="77777777" w:rsidR="00AC3C57" w:rsidRPr="00D91AEB"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D91AEB">
              <w:t>–</w:t>
            </w:r>
          </w:p>
        </w:tc>
        <w:tc>
          <w:tcPr>
            <w:cnfStyle w:val="000001000000" w:firstRow="0" w:lastRow="0" w:firstColumn="0" w:lastColumn="0" w:oddVBand="0" w:evenVBand="1" w:oddHBand="0" w:evenHBand="0" w:firstRowFirstColumn="0" w:firstRowLastColumn="0" w:lastRowFirstColumn="0" w:lastRowLastColumn="0"/>
            <w:tcW w:w="1709" w:type="dxa"/>
            <w:tcBorders>
              <w:top w:val="single" w:sz="4" w:space="0" w:color="BFBFBF"/>
            </w:tcBorders>
            <w:noWrap/>
          </w:tcPr>
          <w:p w14:paraId="316979D3" w14:textId="77777777" w:rsidR="00AC3C57" w:rsidRPr="00D91AEB" w:rsidRDefault="00AC3C57">
            <w:pPr>
              <w:pStyle w:val="ARtabletextright"/>
              <w:spacing w:before="30" w:after="20"/>
            </w:pPr>
            <w:r w:rsidRPr="00D91AEB">
              <w:t>–</w:t>
            </w:r>
          </w:p>
        </w:tc>
      </w:tr>
      <w:tr w:rsidR="00AC3C57" w:rsidRPr="008E2F75" w14:paraId="20463D97" w14:textId="77777777" w:rsidTr="005353B4">
        <w:trPr>
          <w:cnfStyle w:val="010000000000" w:firstRow="0" w:lastRow="1" w:firstColumn="0" w:lastColumn="0" w:oddVBand="0" w:evenVBand="0" w:oddHBand="0" w:evenHBand="0" w:firstRowFirstColumn="0" w:firstRowLastColumn="0" w:lastRowFirstColumn="0" w:lastRowLastColumn="0"/>
          <w:trHeight w:val="288"/>
        </w:trPr>
        <w:tc>
          <w:tcPr>
            <w:tcW w:w="4544" w:type="dxa"/>
            <w:noWrap/>
            <w:hideMark/>
          </w:tcPr>
          <w:p w14:paraId="051F8DBE" w14:textId="77777777" w:rsidR="00AC3C57" w:rsidRPr="00D91AEB" w:rsidRDefault="00AC3C57">
            <w:pPr>
              <w:pStyle w:val="ARtabletextbold"/>
              <w:spacing w:before="30" w:after="20"/>
            </w:pPr>
            <w:r w:rsidRPr="00D91AEB">
              <w:t>EL4 Total electricity offsets</w:t>
            </w:r>
          </w:p>
        </w:tc>
        <w:tc>
          <w:tcPr>
            <w:cnfStyle w:val="000001000000" w:firstRow="0" w:lastRow="0" w:firstColumn="0" w:lastColumn="0" w:oddVBand="0" w:evenVBand="1" w:oddHBand="0" w:evenHBand="0" w:firstRowFirstColumn="0" w:firstRowLastColumn="0" w:lastRowFirstColumn="0" w:lastRowLastColumn="0"/>
            <w:tcW w:w="1709" w:type="dxa"/>
            <w:noWrap/>
          </w:tcPr>
          <w:p w14:paraId="268D67E6" w14:textId="77777777" w:rsidR="00AC3C57" w:rsidRPr="00D91AEB" w:rsidRDefault="00AC3C57">
            <w:pPr>
              <w:pStyle w:val="ARtabletextrightbold"/>
              <w:spacing w:before="30" w:after="20"/>
            </w:pPr>
            <w:r w:rsidRPr="00D91AEB">
              <w:t>5,392.6</w:t>
            </w:r>
          </w:p>
        </w:tc>
        <w:tc>
          <w:tcPr>
            <w:tcW w:w="1709" w:type="dxa"/>
            <w:noWrap/>
          </w:tcPr>
          <w:p w14:paraId="19D7AD09" w14:textId="77777777" w:rsidR="00AC3C57" w:rsidRPr="00D91AEB"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D91AEB">
              <w:t>–</w:t>
            </w:r>
          </w:p>
        </w:tc>
        <w:tc>
          <w:tcPr>
            <w:cnfStyle w:val="000001000000" w:firstRow="0" w:lastRow="0" w:firstColumn="0" w:lastColumn="0" w:oddVBand="0" w:evenVBand="1" w:oddHBand="0" w:evenHBand="0" w:firstRowFirstColumn="0" w:firstRowLastColumn="0" w:lastRowFirstColumn="0" w:lastRowLastColumn="0"/>
            <w:tcW w:w="1709" w:type="dxa"/>
            <w:noWrap/>
            <w:hideMark/>
          </w:tcPr>
          <w:p w14:paraId="0215FAE1" w14:textId="77777777" w:rsidR="00AC3C57" w:rsidRPr="00D91AEB" w:rsidRDefault="00AC3C57">
            <w:pPr>
              <w:pStyle w:val="ARtabletextrightbold"/>
              <w:spacing w:before="30" w:after="20"/>
            </w:pPr>
            <w:r w:rsidRPr="00D91AEB">
              <w:t>–</w:t>
            </w:r>
          </w:p>
        </w:tc>
      </w:tr>
    </w:tbl>
    <w:p w14:paraId="41B59802" w14:textId="77777777" w:rsidR="00AC3C57" w:rsidRPr="006E37FA" w:rsidRDefault="00AC3C57">
      <w:pPr>
        <w:pStyle w:val="Heading3"/>
      </w:pPr>
      <w:r w:rsidRPr="006E37FA">
        <w:t>Stationary fuel use</w:t>
      </w:r>
    </w:p>
    <w:p w14:paraId="6E956083" w14:textId="77777777" w:rsidR="00AC3C57" w:rsidRPr="00DC542D" w:rsidRDefault="00AC3C57">
      <w:pPr>
        <w:pStyle w:val="ARbody"/>
      </w:pPr>
      <w:r w:rsidRPr="006E37FA">
        <w:t xml:space="preserve">Sources of emissions from stationary fuel include natural gas used in some buildings’ heating systems. There has been a </w:t>
      </w:r>
      <w:r w:rsidRPr="00DC542D">
        <w:t xml:space="preserve">5.2% decrease in fuel use from 2023–24 to 2024–25. Consumption and emissions data is from the </w:t>
      </w:r>
      <w:r w:rsidRPr="009E3291">
        <w:t xml:space="preserve">15 </w:t>
      </w:r>
      <w:r w:rsidRPr="00DC542D">
        <w:t>department offices that use natural gas.</w:t>
      </w:r>
    </w:p>
    <w:p w14:paraId="73A46EFB" w14:textId="77777777" w:rsidR="00AC3C57" w:rsidRPr="00D91AEB" w:rsidRDefault="00AC3C57">
      <w:pPr>
        <w:pStyle w:val="Heading4"/>
      </w:pPr>
      <w:r w:rsidRPr="00D91AEB">
        <w:t>Department offices</w:t>
      </w:r>
    </w:p>
    <w:p w14:paraId="06429AE2" w14:textId="77777777" w:rsidR="00AC3C57" w:rsidRPr="00D91AEB" w:rsidRDefault="00AC3C57">
      <w:pPr>
        <w:pStyle w:val="ARtablecaption"/>
      </w:pPr>
      <w:r w:rsidRPr="00D91AEB">
        <w:t>F1 Total Fuels used in buildings and machinery</w:t>
      </w:r>
    </w:p>
    <w:tbl>
      <w:tblPr>
        <w:tblStyle w:val="TableGrid"/>
        <w:tblW w:w="9852" w:type="dxa"/>
        <w:tblLook w:val="02E0" w:firstRow="1" w:lastRow="1" w:firstColumn="1" w:lastColumn="0" w:noHBand="1" w:noVBand="0"/>
      </w:tblPr>
      <w:tblGrid>
        <w:gridCol w:w="4544"/>
        <w:gridCol w:w="1563"/>
        <w:gridCol w:w="1918"/>
        <w:gridCol w:w="1859"/>
      </w:tblGrid>
      <w:tr w:rsidR="00AC3C57" w:rsidRPr="008E2F75" w14:paraId="14096E65" w14:textId="77777777" w:rsidTr="005353B4">
        <w:trPr>
          <w:cnfStyle w:val="100000000000" w:firstRow="1" w:lastRow="0" w:firstColumn="0" w:lastColumn="0" w:oddVBand="0" w:evenVBand="0" w:oddHBand="0" w:evenHBand="0" w:firstRowFirstColumn="0" w:firstRowLastColumn="0" w:lastRowFirstColumn="0" w:lastRowLastColumn="0"/>
          <w:tblHeader/>
        </w:trPr>
        <w:tc>
          <w:tcPr>
            <w:tcW w:w="4536" w:type="dxa"/>
            <w:tcBorders>
              <w:bottom w:val="single" w:sz="4" w:space="0" w:color="auto"/>
            </w:tcBorders>
            <w:noWrap/>
            <w:hideMark/>
          </w:tcPr>
          <w:p w14:paraId="443C81C7" w14:textId="77777777" w:rsidR="00AC3C57" w:rsidRPr="00D91AEB" w:rsidRDefault="00AC3C57">
            <w:pPr>
              <w:pStyle w:val="ARtablecolhead"/>
              <w:spacing w:before="30" w:after="20"/>
            </w:pPr>
            <w:r w:rsidRPr="00D91AEB">
              <w:t>Indicator</w:t>
            </w:r>
          </w:p>
        </w:tc>
        <w:tc>
          <w:tcPr>
            <w:cnfStyle w:val="000001000000" w:firstRow="0" w:lastRow="0" w:firstColumn="0" w:lastColumn="0" w:oddVBand="0" w:evenVBand="1" w:oddHBand="0" w:evenHBand="0" w:firstRowFirstColumn="0" w:firstRowLastColumn="0" w:lastRowFirstColumn="0" w:lastRowLastColumn="0"/>
            <w:tcW w:w="1555" w:type="dxa"/>
            <w:tcBorders>
              <w:bottom w:val="single" w:sz="4" w:space="0" w:color="auto"/>
            </w:tcBorders>
            <w:noWrap/>
            <w:hideMark/>
          </w:tcPr>
          <w:p w14:paraId="604B998A" w14:textId="77777777" w:rsidR="00AC3C57" w:rsidRPr="00D91AEB" w:rsidRDefault="00AC3C57">
            <w:pPr>
              <w:pStyle w:val="ARtablecolheadright"/>
              <w:spacing w:before="30" w:after="20"/>
            </w:pPr>
            <w:r w:rsidRPr="00D91AEB">
              <w:t>2024–25</w:t>
            </w:r>
          </w:p>
          <w:p w14:paraId="4F4E32B3" w14:textId="77777777" w:rsidR="00AC3C57" w:rsidRPr="00D91AEB" w:rsidRDefault="00AC3C57">
            <w:pPr>
              <w:pStyle w:val="ARtablecolheadright"/>
              <w:spacing w:before="30" w:after="20"/>
            </w:pPr>
            <w:r w:rsidRPr="00D91AEB">
              <w:t>MJ</w:t>
            </w:r>
          </w:p>
        </w:tc>
        <w:tc>
          <w:tcPr>
            <w:tcW w:w="1910" w:type="dxa"/>
            <w:tcBorders>
              <w:bottom w:val="single" w:sz="4" w:space="0" w:color="auto"/>
            </w:tcBorders>
            <w:noWrap/>
            <w:hideMark/>
          </w:tcPr>
          <w:p w14:paraId="05FBE8A1" w14:textId="77777777" w:rsidR="00AC3C57" w:rsidRPr="00D91AE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D91AEB">
              <w:t>2023–24</w:t>
            </w:r>
          </w:p>
          <w:p w14:paraId="2C1815AC" w14:textId="77777777" w:rsidR="00AC3C57" w:rsidRPr="00D91AE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D91AEB" w:rsidDel="0005797E">
              <w:t>MJ</w:t>
            </w:r>
          </w:p>
        </w:tc>
        <w:tc>
          <w:tcPr>
            <w:cnfStyle w:val="000001000000" w:firstRow="0" w:lastRow="0" w:firstColumn="0" w:lastColumn="0" w:oddVBand="0" w:evenVBand="1" w:oddHBand="0" w:evenHBand="0" w:firstRowFirstColumn="0" w:firstRowLastColumn="0" w:lastRowFirstColumn="0" w:lastRowLastColumn="0"/>
            <w:tcW w:w="1851" w:type="dxa"/>
            <w:tcBorders>
              <w:bottom w:val="single" w:sz="4" w:space="0" w:color="auto"/>
            </w:tcBorders>
            <w:noWrap/>
            <w:hideMark/>
          </w:tcPr>
          <w:p w14:paraId="33042F44" w14:textId="77777777" w:rsidR="00AC3C57" w:rsidRPr="00D91AEB" w:rsidRDefault="00AC3C57">
            <w:pPr>
              <w:pStyle w:val="ARtablecolheadright"/>
              <w:spacing w:before="30" w:after="20"/>
            </w:pPr>
            <w:r w:rsidRPr="00D91AEB">
              <w:t>2022–23</w:t>
            </w:r>
          </w:p>
          <w:p w14:paraId="42961DFE" w14:textId="77777777" w:rsidR="00AC3C57" w:rsidRPr="00D91AEB" w:rsidRDefault="00AC3C57">
            <w:pPr>
              <w:pStyle w:val="ARtablecolheadright"/>
              <w:spacing w:before="30" w:after="20"/>
            </w:pPr>
            <w:r w:rsidRPr="00D91AEB" w:rsidDel="0005797E">
              <w:t>MJ</w:t>
            </w:r>
          </w:p>
        </w:tc>
      </w:tr>
      <w:tr w:rsidR="00AC3C57" w:rsidRPr="008E2F75" w14:paraId="5B8B4888" w14:textId="77777777" w:rsidTr="005353B4">
        <w:tc>
          <w:tcPr>
            <w:tcW w:w="9852" w:type="dxa"/>
            <w:gridSpan w:val="4"/>
            <w:tcBorders>
              <w:top w:val="single" w:sz="4" w:space="0" w:color="auto"/>
              <w:bottom w:val="single" w:sz="4" w:space="0" w:color="BFBFBF"/>
            </w:tcBorders>
            <w:noWrap/>
            <w:hideMark/>
          </w:tcPr>
          <w:p w14:paraId="48DCD95B" w14:textId="77777777" w:rsidR="00AC3C57" w:rsidRPr="006E16B5" w:rsidRDefault="00AC3C57">
            <w:pPr>
              <w:pStyle w:val="ARtabletextbold"/>
              <w:spacing w:before="30" w:after="20"/>
            </w:pPr>
            <w:r w:rsidRPr="006E16B5">
              <w:t>Buildings</w:t>
            </w:r>
          </w:p>
        </w:tc>
      </w:tr>
      <w:tr w:rsidR="00AC3C57" w:rsidRPr="008E2F75" w14:paraId="23E103A2" w14:textId="77777777" w:rsidTr="005353B4">
        <w:trPr>
          <w:trHeight w:val="288"/>
        </w:trPr>
        <w:tc>
          <w:tcPr>
            <w:tcW w:w="4536" w:type="dxa"/>
            <w:tcBorders>
              <w:top w:val="single" w:sz="4" w:space="0" w:color="BFBFBF"/>
              <w:bottom w:val="single" w:sz="4" w:space="0" w:color="auto"/>
            </w:tcBorders>
            <w:noWrap/>
            <w:hideMark/>
          </w:tcPr>
          <w:p w14:paraId="096A6665" w14:textId="77777777" w:rsidR="00AC3C57" w:rsidRPr="006E16B5" w:rsidRDefault="00AC3C57">
            <w:pPr>
              <w:pStyle w:val="ARtabletext"/>
              <w:spacing w:before="30" w:after="20"/>
              <w:rPr>
                <w:color w:val="000000"/>
              </w:rPr>
            </w:pPr>
            <w:r w:rsidRPr="006E16B5">
              <w:t>Natural gas</w:t>
            </w:r>
          </w:p>
        </w:tc>
        <w:tc>
          <w:tcPr>
            <w:cnfStyle w:val="000001000000" w:firstRow="0" w:lastRow="0" w:firstColumn="0" w:lastColumn="0" w:oddVBand="0" w:evenVBand="1" w:oddHBand="0" w:evenHBand="0" w:firstRowFirstColumn="0" w:firstRowLastColumn="0" w:lastRowFirstColumn="0" w:lastRowLastColumn="0"/>
            <w:tcW w:w="1555" w:type="dxa"/>
            <w:tcBorders>
              <w:top w:val="single" w:sz="4" w:space="0" w:color="BFBFBF"/>
              <w:bottom w:val="single" w:sz="4" w:space="0" w:color="auto"/>
            </w:tcBorders>
            <w:noWrap/>
          </w:tcPr>
          <w:p w14:paraId="51E6F420" w14:textId="77777777" w:rsidR="00AC3C57" w:rsidRPr="006E16B5" w:rsidRDefault="00AC3C57">
            <w:pPr>
              <w:pStyle w:val="ARtabletextright"/>
              <w:spacing w:before="30" w:after="20"/>
              <w:rPr>
                <w:color w:val="000000"/>
              </w:rPr>
            </w:pPr>
            <w:r w:rsidRPr="006E16B5">
              <w:t>15,871,876</w:t>
            </w:r>
          </w:p>
        </w:tc>
        <w:tc>
          <w:tcPr>
            <w:tcW w:w="1910" w:type="dxa"/>
            <w:tcBorders>
              <w:top w:val="single" w:sz="4" w:space="0" w:color="BFBFBF"/>
              <w:bottom w:val="single" w:sz="4" w:space="0" w:color="auto"/>
            </w:tcBorders>
            <w:noWrap/>
          </w:tcPr>
          <w:p w14:paraId="24305BC0" w14:textId="77777777" w:rsidR="00AC3C57" w:rsidRPr="006E16B5"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6E16B5">
              <w:t>16,744,636</w:t>
            </w:r>
          </w:p>
        </w:tc>
        <w:tc>
          <w:tcPr>
            <w:cnfStyle w:val="000001000000" w:firstRow="0" w:lastRow="0" w:firstColumn="0" w:lastColumn="0" w:oddVBand="0" w:evenVBand="1" w:oddHBand="0" w:evenHBand="0" w:firstRowFirstColumn="0" w:firstRowLastColumn="0" w:lastRowFirstColumn="0" w:lastRowLastColumn="0"/>
            <w:tcW w:w="1851" w:type="dxa"/>
            <w:tcBorders>
              <w:top w:val="single" w:sz="4" w:space="0" w:color="BFBFBF"/>
              <w:bottom w:val="single" w:sz="4" w:space="0" w:color="auto"/>
            </w:tcBorders>
            <w:noWrap/>
          </w:tcPr>
          <w:p w14:paraId="6E3C8C58" w14:textId="77777777" w:rsidR="00AC3C57" w:rsidRPr="006E16B5" w:rsidRDefault="00AC3C57">
            <w:pPr>
              <w:pStyle w:val="ARtabletextright"/>
              <w:spacing w:before="30" w:after="20"/>
            </w:pPr>
            <w:r w:rsidRPr="006E16B5">
              <w:t>13,750,673</w:t>
            </w:r>
          </w:p>
        </w:tc>
      </w:tr>
      <w:tr w:rsidR="00AC3C57" w:rsidRPr="008E2F75" w14:paraId="14A675A6" w14:textId="77777777" w:rsidTr="005353B4">
        <w:trPr>
          <w:cnfStyle w:val="010000000000" w:firstRow="0" w:lastRow="1" w:firstColumn="0" w:lastColumn="0" w:oddVBand="0" w:evenVBand="0" w:oddHBand="0" w:evenHBand="0" w:firstRowFirstColumn="0" w:firstRowLastColumn="0" w:lastRowFirstColumn="0" w:lastRowLastColumn="0"/>
          <w:trHeight w:val="288"/>
        </w:trPr>
        <w:tc>
          <w:tcPr>
            <w:tcW w:w="4536" w:type="dxa"/>
            <w:tcBorders>
              <w:top w:val="single" w:sz="4" w:space="0" w:color="auto"/>
            </w:tcBorders>
            <w:noWrap/>
          </w:tcPr>
          <w:p w14:paraId="0A55147A" w14:textId="77777777" w:rsidR="00AC3C57" w:rsidRPr="006E16B5" w:rsidRDefault="00AC3C57">
            <w:pPr>
              <w:pStyle w:val="ARtabletextbold"/>
              <w:spacing w:before="30" w:after="20"/>
            </w:pPr>
            <w:r w:rsidRPr="006E16B5">
              <w:t>F1 Total fuels used in buildings and machinery</w:t>
            </w:r>
          </w:p>
        </w:tc>
        <w:tc>
          <w:tcPr>
            <w:cnfStyle w:val="000001000000" w:firstRow="0" w:lastRow="0" w:firstColumn="0" w:lastColumn="0" w:oddVBand="0" w:evenVBand="1" w:oddHBand="0" w:evenHBand="0" w:firstRowFirstColumn="0" w:firstRowLastColumn="0" w:lastRowFirstColumn="0" w:lastRowLastColumn="0"/>
            <w:tcW w:w="1555" w:type="dxa"/>
            <w:tcBorders>
              <w:top w:val="single" w:sz="4" w:space="0" w:color="auto"/>
            </w:tcBorders>
            <w:noWrap/>
          </w:tcPr>
          <w:p w14:paraId="7CFF4FC1" w14:textId="77777777" w:rsidR="00AC3C57" w:rsidRPr="006E16B5" w:rsidRDefault="00AC3C57">
            <w:pPr>
              <w:pStyle w:val="ARtabletextrightbold"/>
              <w:spacing w:before="30" w:after="20"/>
            </w:pPr>
            <w:r w:rsidRPr="006E16B5">
              <w:t>15,871,876</w:t>
            </w:r>
          </w:p>
        </w:tc>
        <w:tc>
          <w:tcPr>
            <w:tcW w:w="1910" w:type="dxa"/>
            <w:tcBorders>
              <w:top w:val="single" w:sz="4" w:space="0" w:color="auto"/>
            </w:tcBorders>
            <w:noWrap/>
          </w:tcPr>
          <w:p w14:paraId="69A38B3C" w14:textId="77777777" w:rsidR="00AC3C57" w:rsidRPr="006E16B5"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6E16B5">
              <w:t>16,744,636</w:t>
            </w:r>
          </w:p>
        </w:tc>
        <w:tc>
          <w:tcPr>
            <w:cnfStyle w:val="000001000000" w:firstRow="0" w:lastRow="0" w:firstColumn="0" w:lastColumn="0" w:oddVBand="0" w:evenVBand="1" w:oddHBand="0" w:evenHBand="0" w:firstRowFirstColumn="0" w:firstRowLastColumn="0" w:lastRowFirstColumn="0" w:lastRowLastColumn="0"/>
            <w:tcW w:w="1851" w:type="dxa"/>
            <w:tcBorders>
              <w:top w:val="single" w:sz="4" w:space="0" w:color="auto"/>
            </w:tcBorders>
            <w:noWrap/>
          </w:tcPr>
          <w:p w14:paraId="42215AD5" w14:textId="77777777" w:rsidR="00AC3C57" w:rsidRPr="00D91AEB" w:rsidRDefault="00AC3C57">
            <w:pPr>
              <w:pStyle w:val="ARtabletextrightbold"/>
              <w:spacing w:before="30" w:after="20"/>
            </w:pPr>
            <w:r w:rsidRPr="006E16B5">
              <w:t>13,750,673</w:t>
            </w:r>
          </w:p>
        </w:tc>
      </w:tr>
    </w:tbl>
    <w:p w14:paraId="50FC13BB" w14:textId="77777777" w:rsidR="00AC3C57" w:rsidRPr="00D91AEB" w:rsidRDefault="00AC3C57">
      <w:pPr>
        <w:pStyle w:val="ARtablecaption"/>
      </w:pPr>
      <w:r w:rsidRPr="00D91AEB">
        <w:t>F2 Greenhouse gas emissions stationary fuel consumption</w:t>
      </w:r>
    </w:p>
    <w:tbl>
      <w:tblPr>
        <w:tblStyle w:val="TableGrid"/>
        <w:tblW w:w="9776" w:type="dxa"/>
        <w:tblLook w:val="00E0" w:firstRow="1" w:lastRow="1" w:firstColumn="1" w:lastColumn="0" w:noHBand="0" w:noVBand="0"/>
      </w:tblPr>
      <w:tblGrid>
        <w:gridCol w:w="4398"/>
        <w:gridCol w:w="1704"/>
        <w:gridCol w:w="1855"/>
        <w:gridCol w:w="1851"/>
      </w:tblGrid>
      <w:tr w:rsidR="00AC3C57" w:rsidRPr="008E2F75" w14:paraId="569CD35C" w14:textId="77777777" w:rsidTr="005353B4">
        <w:trPr>
          <w:cnfStyle w:val="100000000000" w:firstRow="1" w:lastRow="0" w:firstColumn="0" w:lastColumn="0" w:oddVBand="0" w:evenVBand="0" w:oddHBand="0" w:evenHBand="0" w:firstRowFirstColumn="0" w:firstRowLastColumn="0" w:lastRowFirstColumn="0" w:lastRowLastColumn="0"/>
          <w:tblHeader/>
        </w:trPr>
        <w:tc>
          <w:tcPr>
            <w:tcW w:w="4390" w:type="dxa"/>
            <w:noWrap/>
            <w:hideMark/>
          </w:tcPr>
          <w:p w14:paraId="718DD023" w14:textId="77777777" w:rsidR="00AC3C57" w:rsidRPr="008E2F75" w:rsidRDefault="00AC3C57">
            <w:pPr>
              <w:pStyle w:val="ARtablecolhead"/>
              <w:spacing w:before="30" w:after="20"/>
              <w:rPr>
                <w:highlight w:val="cyan"/>
              </w:rPr>
            </w:pPr>
          </w:p>
        </w:tc>
        <w:tc>
          <w:tcPr>
            <w:cnfStyle w:val="000001000000" w:firstRow="0" w:lastRow="0" w:firstColumn="0" w:lastColumn="0" w:oddVBand="0" w:evenVBand="1" w:oddHBand="0" w:evenHBand="0" w:firstRowFirstColumn="0" w:firstRowLastColumn="0" w:lastRowFirstColumn="0" w:lastRowLastColumn="0"/>
            <w:tcW w:w="1696" w:type="dxa"/>
            <w:noWrap/>
            <w:hideMark/>
          </w:tcPr>
          <w:p w14:paraId="6876BB6F" w14:textId="77777777" w:rsidR="00AC3C57" w:rsidRPr="008E2F75" w:rsidRDefault="00AC3C57">
            <w:pPr>
              <w:pStyle w:val="ARtablecolheadright"/>
              <w:spacing w:before="30" w:after="20"/>
              <w:rPr>
                <w:highlight w:val="cyan"/>
              </w:rPr>
            </w:pPr>
            <w:r w:rsidRPr="00036453">
              <w:t>2024</w:t>
            </w:r>
            <w:r>
              <w:t>–</w:t>
            </w:r>
            <w:r w:rsidRPr="00036453">
              <w:t>25</w:t>
            </w:r>
            <w:r>
              <w:br/>
            </w:r>
            <w:r w:rsidRPr="00036453">
              <w:t>Tonnes CO</w:t>
            </w:r>
            <w:r w:rsidRPr="00036453">
              <w:rPr>
                <w:rStyle w:val="Subscript"/>
              </w:rPr>
              <w:t>2</w:t>
            </w:r>
            <w:r w:rsidRPr="00036453">
              <w:t>-e</w:t>
            </w:r>
          </w:p>
        </w:tc>
        <w:tc>
          <w:tcPr>
            <w:tcW w:w="1847" w:type="dxa"/>
            <w:noWrap/>
            <w:hideMark/>
          </w:tcPr>
          <w:p w14:paraId="2E0180BE" w14:textId="77777777" w:rsidR="00AC3C57" w:rsidRPr="008E2F75"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rPr>
                <w:highlight w:val="cyan"/>
              </w:rPr>
            </w:pPr>
            <w:r w:rsidRPr="00A461E4">
              <w:t>2023</w:t>
            </w:r>
            <w:r>
              <w:t>–</w:t>
            </w:r>
            <w:r w:rsidRPr="00A461E4">
              <w:t>24</w:t>
            </w:r>
            <w:r>
              <w:br/>
            </w:r>
            <w:r w:rsidRPr="00036453">
              <w:t>Tonnes CO</w:t>
            </w:r>
            <w:r w:rsidRPr="00036453">
              <w:rPr>
                <w:rStyle w:val="Subscript"/>
              </w:rPr>
              <w:t>2</w:t>
            </w:r>
            <w:r w:rsidRPr="00036453">
              <w:t>-e</w:t>
            </w:r>
          </w:p>
        </w:tc>
        <w:tc>
          <w:tcPr>
            <w:cnfStyle w:val="000001000000" w:firstRow="0" w:lastRow="0" w:firstColumn="0" w:lastColumn="0" w:oddVBand="0" w:evenVBand="1" w:oddHBand="0" w:evenHBand="0" w:firstRowFirstColumn="0" w:firstRowLastColumn="0" w:lastRowFirstColumn="0" w:lastRowLastColumn="0"/>
            <w:tcW w:w="1843" w:type="dxa"/>
            <w:noWrap/>
            <w:hideMark/>
          </w:tcPr>
          <w:p w14:paraId="0AB4D6B0" w14:textId="77777777" w:rsidR="00AC3C57" w:rsidRPr="008E2F75" w:rsidRDefault="00AC3C57">
            <w:pPr>
              <w:pStyle w:val="ARtablecolheadright"/>
              <w:spacing w:before="30" w:after="20"/>
              <w:rPr>
                <w:highlight w:val="cyan"/>
              </w:rPr>
            </w:pPr>
            <w:r w:rsidRPr="00A461E4">
              <w:t>2022</w:t>
            </w:r>
            <w:r>
              <w:t>–</w:t>
            </w:r>
            <w:r w:rsidRPr="00A461E4">
              <w:t>2</w:t>
            </w:r>
            <w:r>
              <w:t>3</w:t>
            </w:r>
            <w:r>
              <w:br/>
            </w:r>
            <w:r w:rsidRPr="00036453">
              <w:t>Tonnes CO</w:t>
            </w:r>
            <w:r w:rsidRPr="00036453">
              <w:rPr>
                <w:rStyle w:val="Subscript"/>
              </w:rPr>
              <w:t>2</w:t>
            </w:r>
            <w:r w:rsidRPr="00036453">
              <w:t>-e</w:t>
            </w:r>
          </w:p>
        </w:tc>
      </w:tr>
      <w:tr w:rsidR="00AC3C57" w:rsidRPr="008E2F75" w14:paraId="50C277C7" w14:textId="77777777" w:rsidTr="005353B4">
        <w:trPr>
          <w:cnfStyle w:val="010000000000" w:firstRow="0" w:lastRow="1" w:firstColumn="0" w:lastColumn="0" w:oddVBand="0" w:evenVBand="0" w:oddHBand="0" w:evenHBand="0" w:firstRowFirstColumn="0" w:firstRowLastColumn="0" w:lastRowFirstColumn="0" w:lastRowLastColumn="0"/>
          <w:trHeight w:val="311"/>
        </w:trPr>
        <w:tc>
          <w:tcPr>
            <w:tcW w:w="4390" w:type="dxa"/>
            <w:noWrap/>
            <w:hideMark/>
          </w:tcPr>
          <w:p w14:paraId="59655DD1" w14:textId="77777777" w:rsidR="00AC3C57" w:rsidRPr="007434E9" w:rsidRDefault="00AC3C57">
            <w:pPr>
              <w:pStyle w:val="ARtabletext"/>
              <w:spacing w:before="30" w:after="20"/>
            </w:pPr>
            <w:r w:rsidRPr="007434E9">
              <w:t>F2 Greenhouse gas emissions stationary fuel consumption</w:t>
            </w:r>
          </w:p>
        </w:tc>
        <w:tc>
          <w:tcPr>
            <w:cnfStyle w:val="000001000000" w:firstRow="0" w:lastRow="0" w:firstColumn="0" w:lastColumn="0" w:oddVBand="0" w:evenVBand="1" w:oddHBand="0" w:evenHBand="0" w:firstRowFirstColumn="0" w:firstRowLastColumn="0" w:lastRowFirstColumn="0" w:lastRowLastColumn="0"/>
            <w:tcW w:w="1696" w:type="dxa"/>
            <w:noWrap/>
            <w:hideMark/>
          </w:tcPr>
          <w:p w14:paraId="20CCFC43" w14:textId="77777777" w:rsidR="00AC3C57" w:rsidRPr="0052641B" w:rsidRDefault="00AC3C57">
            <w:pPr>
              <w:pStyle w:val="ARtabletextright"/>
              <w:spacing w:before="30" w:after="20"/>
              <w:rPr>
                <w:color w:val="000000"/>
                <w:highlight w:val="cyan"/>
              </w:rPr>
            </w:pPr>
            <w:r w:rsidRPr="00A906A4">
              <w:rPr>
                <w:color w:val="000000"/>
              </w:rPr>
              <w:t>818</w:t>
            </w:r>
          </w:p>
        </w:tc>
        <w:tc>
          <w:tcPr>
            <w:tcW w:w="1847" w:type="dxa"/>
            <w:noWrap/>
            <w:hideMark/>
          </w:tcPr>
          <w:p w14:paraId="72F647F1" w14:textId="77777777" w:rsidR="00AC3C57" w:rsidRPr="00D91AEB" w:rsidRDefault="00AC3C57">
            <w:pPr>
              <w:pStyle w:val="ARtabletextright"/>
              <w:spacing w:before="30" w:after="20"/>
              <w:ind w:left="4" w:hanging="284"/>
              <w:cnfStyle w:val="010000000000" w:firstRow="0" w:lastRow="1" w:firstColumn="0" w:lastColumn="0" w:oddVBand="0" w:evenVBand="0" w:oddHBand="0" w:evenHBand="0" w:firstRowFirstColumn="0" w:firstRowLastColumn="0" w:lastRowFirstColumn="0" w:lastRowLastColumn="0"/>
            </w:pPr>
            <w:r w:rsidRPr="00D91AEB">
              <w:t>863</w:t>
            </w:r>
          </w:p>
        </w:tc>
        <w:tc>
          <w:tcPr>
            <w:cnfStyle w:val="000001000000" w:firstRow="0" w:lastRow="0" w:firstColumn="0" w:lastColumn="0" w:oddVBand="0" w:evenVBand="1" w:oddHBand="0" w:evenHBand="0" w:firstRowFirstColumn="0" w:firstRowLastColumn="0" w:lastRowFirstColumn="0" w:lastRowLastColumn="0"/>
            <w:tcW w:w="1843" w:type="dxa"/>
            <w:noWrap/>
            <w:hideMark/>
          </w:tcPr>
          <w:p w14:paraId="6D32CBD4" w14:textId="77777777" w:rsidR="00AC3C57" w:rsidRPr="00D91AEB" w:rsidRDefault="00AC3C57">
            <w:pPr>
              <w:pStyle w:val="ARtabletextright"/>
              <w:spacing w:before="30" w:after="20"/>
              <w:ind w:left="-286"/>
            </w:pPr>
            <w:r w:rsidRPr="00D91AEB">
              <w:t>708.6</w:t>
            </w:r>
          </w:p>
        </w:tc>
      </w:tr>
    </w:tbl>
    <w:p w14:paraId="4F79FF8F" w14:textId="77777777" w:rsidR="00AC3C57" w:rsidRPr="008E2F75" w:rsidRDefault="00AC3C57">
      <w:pPr>
        <w:pStyle w:val="ARbody"/>
        <w:rPr>
          <w:highlight w:val="cyan"/>
        </w:rPr>
      </w:pPr>
      <w:r w:rsidRPr="008E2F75">
        <w:rPr>
          <w:highlight w:val="cyan"/>
        </w:rPr>
        <w:br w:type="page"/>
      </w:r>
    </w:p>
    <w:p w14:paraId="164DEADE" w14:textId="77777777" w:rsidR="00AC3C57" w:rsidRPr="007714FB" w:rsidRDefault="00AC3C57">
      <w:pPr>
        <w:pStyle w:val="Heading4"/>
      </w:pPr>
      <w:r w:rsidRPr="007714FB">
        <w:lastRenderedPageBreak/>
        <w:t>Housing Services</w:t>
      </w:r>
    </w:p>
    <w:p w14:paraId="4637F8ED" w14:textId="77777777" w:rsidR="00AC3C57" w:rsidRPr="007714FB" w:rsidRDefault="00AC3C57">
      <w:pPr>
        <w:pStyle w:val="ARtablecaption"/>
      </w:pPr>
      <w:r w:rsidRPr="007714FB">
        <w:t>F1 Total Fuels used in buildings and machinery</w:t>
      </w:r>
    </w:p>
    <w:tbl>
      <w:tblPr>
        <w:tblStyle w:val="TableGrid"/>
        <w:tblW w:w="9639" w:type="dxa"/>
        <w:tblLook w:val="02E0" w:firstRow="1" w:lastRow="1" w:firstColumn="1" w:lastColumn="0" w:noHBand="1" w:noVBand="0"/>
      </w:tblPr>
      <w:tblGrid>
        <w:gridCol w:w="4544"/>
        <w:gridCol w:w="1709"/>
        <w:gridCol w:w="1709"/>
        <w:gridCol w:w="1709"/>
      </w:tblGrid>
      <w:tr w:rsidR="00AC3C57" w:rsidRPr="00DA56C4" w14:paraId="6A01F8B0" w14:textId="77777777" w:rsidTr="005353B4">
        <w:trPr>
          <w:cnfStyle w:val="100000000000" w:firstRow="1" w:lastRow="0" w:firstColumn="0" w:lastColumn="0" w:oddVBand="0" w:evenVBand="0" w:oddHBand="0" w:evenHBand="0" w:firstRowFirstColumn="0" w:firstRowLastColumn="0" w:lastRowFirstColumn="0" w:lastRowLastColumn="0"/>
          <w:tblHeader/>
        </w:trPr>
        <w:tc>
          <w:tcPr>
            <w:tcW w:w="4536" w:type="dxa"/>
            <w:noWrap/>
            <w:hideMark/>
          </w:tcPr>
          <w:p w14:paraId="6C55715D" w14:textId="77777777" w:rsidR="00AC3C57" w:rsidRPr="007714FB" w:rsidRDefault="00AC3C57">
            <w:pPr>
              <w:pStyle w:val="ARtablecolhead"/>
              <w:spacing w:before="30" w:after="20"/>
            </w:pPr>
            <w:r w:rsidRPr="007714FB">
              <w:t>Indicator</w:t>
            </w:r>
          </w:p>
        </w:tc>
        <w:tc>
          <w:tcPr>
            <w:cnfStyle w:val="000001000000" w:firstRow="0" w:lastRow="0" w:firstColumn="0" w:lastColumn="0" w:oddVBand="0" w:evenVBand="1" w:oddHBand="0" w:evenHBand="0" w:firstRowFirstColumn="0" w:firstRowLastColumn="0" w:lastRowFirstColumn="0" w:lastRowLastColumn="0"/>
            <w:tcW w:w="1701" w:type="dxa"/>
            <w:noWrap/>
            <w:hideMark/>
          </w:tcPr>
          <w:p w14:paraId="24EAF1C0" w14:textId="77777777" w:rsidR="00AC3C57" w:rsidRPr="007714FB" w:rsidRDefault="00AC3C57">
            <w:pPr>
              <w:pStyle w:val="ARtablecolheadright"/>
              <w:spacing w:before="30" w:after="20"/>
            </w:pPr>
            <w:r w:rsidRPr="007714FB">
              <w:t>2024–25</w:t>
            </w:r>
          </w:p>
          <w:p w14:paraId="64491B0E" w14:textId="77777777" w:rsidR="00AC3C57" w:rsidRPr="007714FB" w:rsidRDefault="00AC3C57">
            <w:pPr>
              <w:pStyle w:val="ARtablecolheadright"/>
              <w:spacing w:before="30" w:after="20"/>
            </w:pPr>
            <w:r w:rsidRPr="007714FB">
              <w:t>MJ</w:t>
            </w:r>
          </w:p>
        </w:tc>
        <w:tc>
          <w:tcPr>
            <w:tcW w:w="1701" w:type="dxa"/>
            <w:noWrap/>
            <w:hideMark/>
          </w:tcPr>
          <w:p w14:paraId="639FCCCA" w14:textId="77777777" w:rsidR="00AC3C57" w:rsidRPr="007714F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7714FB">
              <w:t>2023–24</w:t>
            </w:r>
          </w:p>
          <w:p w14:paraId="04804005" w14:textId="77777777" w:rsidR="00AC3C57" w:rsidRPr="007714F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7714FB">
              <w:t>MJ</w:t>
            </w:r>
          </w:p>
        </w:tc>
        <w:tc>
          <w:tcPr>
            <w:cnfStyle w:val="000001000000" w:firstRow="0" w:lastRow="0" w:firstColumn="0" w:lastColumn="0" w:oddVBand="0" w:evenVBand="1" w:oddHBand="0" w:evenHBand="0" w:firstRowFirstColumn="0" w:firstRowLastColumn="0" w:lastRowFirstColumn="0" w:lastRowLastColumn="0"/>
            <w:tcW w:w="1701" w:type="dxa"/>
            <w:noWrap/>
            <w:hideMark/>
          </w:tcPr>
          <w:p w14:paraId="4724C31A" w14:textId="77777777" w:rsidR="00AC3C57" w:rsidRPr="007714FB" w:rsidRDefault="00AC3C57">
            <w:pPr>
              <w:pStyle w:val="ARtablecolheadright"/>
              <w:spacing w:before="30" w:after="20"/>
            </w:pPr>
            <w:r w:rsidRPr="007714FB">
              <w:t>2022–23</w:t>
            </w:r>
          </w:p>
          <w:p w14:paraId="685D9AA1" w14:textId="77777777" w:rsidR="00AC3C57" w:rsidRPr="007714FB" w:rsidRDefault="00AC3C57">
            <w:pPr>
              <w:pStyle w:val="ARtablecolheadright"/>
              <w:spacing w:before="30" w:after="20"/>
            </w:pPr>
            <w:r w:rsidRPr="007714FB">
              <w:t>MJ</w:t>
            </w:r>
          </w:p>
        </w:tc>
      </w:tr>
      <w:tr w:rsidR="00AC3C57" w:rsidRPr="00DA56C4" w14:paraId="06DF5ECA" w14:textId="77777777" w:rsidTr="005353B4">
        <w:tc>
          <w:tcPr>
            <w:tcW w:w="9639" w:type="dxa"/>
            <w:gridSpan w:val="4"/>
            <w:noWrap/>
            <w:hideMark/>
          </w:tcPr>
          <w:p w14:paraId="68AE6ED9" w14:textId="77777777" w:rsidR="00AC3C57" w:rsidRPr="007714FB" w:rsidRDefault="00AC3C57">
            <w:pPr>
              <w:pStyle w:val="ARtabletextbold"/>
              <w:spacing w:before="30" w:after="20"/>
            </w:pPr>
            <w:r w:rsidRPr="007714FB">
              <w:t>Buildings</w:t>
            </w:r>
          </w:p>
        </w:tc>
      </w:tr>
      <w:tr w:rsidR="00AC3C57" w:rsidRPr="00DA56C4" w14:paraId="2320F09C" w14:textId="77777777" w:rsidTr="005353B4">
        <w:trPr>
          <w:trHeight w:val="288"/>
        </w:trPr>
        <w:tc>
          <w:tcPr>
            <w:tcW w:w="4536" w:type="dxa"/>
            <w:noWrap/>
            <w:hideMark/>
          </w:tcPr>
          <w:p w14:paraId="42442AB3" w14:textId="77777777" w:rsidR="00AC3C57" w:rsidRPr="007714FB" w:rsidRDefault="00AC3C57">
            <w:pPr>
              <w:pStyle w:val="ARtabletext"/>
              <w:spacing w:before="30" w:after="20"/>
              <w:rPr>
                <w:color w:val="000000"/>
              </w:rPr>
            </w:pPr>
            <w:r w:rsidRPr="007714FB">
              <w:t xml:space="preserve">Natural gas </w:t>
            </w:r>
            <w:r w:rsidRPr="007714FB">
              <w:rPr>
                <w:rStyle w:val="FootnoteReference"/>
              </w:rPr>
              <w:footnoteReference w:id="35"/>
            </w:r>
          </w:p>
        </w:tc>
        <w:tc>
          <w:tcPr>
            <w:cnfStyle w:val="000001000000" w:firstRow="0" w:lastRow="0" w:firstColumn="0" w:lastColumn="0" w:oddVBand="0" w:evenVBand="1" w:oddHBand="0" w:evenHBand="0" w:firstRowFirstColumn="0" w:firstRowLastColumn="0" w:lastRowFirstColumn="0" w:lastRowLastColumn="0"/>
            <w:tcW w:w="1701" w:type="dxa"/>
            <w:noWrap/>
          </w:tcPr>
          <w:p w14:paraId="4C26DB29" w14:textId="77777777" w:rsidR="00AC3C57" w:rsidRPr="007714FB" w:rsidRDefault="00AC3C57">
            <w:pPr>
              <w:pStyle w:val="ARtabletextright"/>
              <w:spacing w:before="30" w:after="20"/>
              <w:rPr>
                <w:color w:val="000000"/>
              </w:rPr>
            </w:pPr>
            <w:r w:rsidRPr="007714FB">
              <w:rPr>
                <w:color w:val="000000"/>
              </w:rPr>
              <w:t>337,965,783</w:t>
            </w:r>
          </w:p>
        </w:tc>
        <w:tc>
          <w:tcPr>
            <w:tcW w:w="1701" w:type="dxa"/>
            <w:noWrap/>
          </w:tcPr>
          <w:p w14:paraId="09B28E56" w14:textId="77777777" w:rsidR="00AC3C57" w:rsidRPr="007714FB"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7714FB">
              <w:rPr>
                <w:color w:val="000000"/>
              </w:rPr>
              <w:t>390,431,401</w:t>
            </w:r>
          </w:p>
        </w:tc>
        <w:tc>
          <w:tcPr>
            <w:cnfStyle w:val="000001000000" w:firstRow="0" w:lastRow="0" w:firstColumn="0" w:lastColumn="0" w:oddVBand="0" w:evenVBand="1" w:oddHBand="0" w:evenHBand="0" w:firstRowFirstColumn="0" w:firstRowLastColumn="0" w:lastRowFirstColumn="0" w:lastRowLastColumn="0"/>
            <w:tcW w:w="1701" w:type="dxa"/>
            <w:noWrap/>
          </w:tcPr>
          <w:p w14:paraId="220B35F0" w14:textId="77777777" w:rsidR="00AC3C57" w:rsidRPr="007714FB" w:rsidRDefault="00AC3C57">
            <w:pPr>
              <w:pStyle w:val="ARtabletextright"/>
              <w:spacing w:before="30" w:after="20"/>
            </w:pPr>
            <w:r w:rsidRPr="007714FB">
              <w:t>370,113,078</w:t>
            </w:r>
          </w:p>
        </w:tc>
      </w:tr>
      <w:tr w:rsidR="00AC3C57" w:rsidRPr="00DA56C4" w14:paraId="11D03937" w14:textId="77777777" w:rsidTr="005353B4">
        <w:trPr>
          <w:cnfStyle w:val="010000000000" w:firstRow="0" w:lastRow="1" w:firstColumn="0" w:lastColumn="0" w:oddVBand="0" w:evenVBand="0" w:oddHBand="0" w:evenHBand="0" w:firstRowFirstColumn="0" w:firstRowLastColumn="0" w:lastRowFirstColumn="0" w:lastRowLastColumn="0"/>
          <w:trHeight w:val="288"/>
        </w:trPr>
        <w:tc>
          <w:tcPr>
            <w:tcW w:w="4536" w:type="dxa"/>
            <w:noWrap/>
          </w:tcPr>
          <w:p w14:paraId="41BB61E5" w14:textId="77777777" w:rsidR="00AC3C57" w:rsidRPr="007714FB" w:rsidRDefault="00AC3C57">
            <w:pPr>
              <w:pStyle w:val="ARtabletextbold"/>
              <w:spacing w:before="30" w:after="20"/>
            </w:pPr>
            <w:r w:rsidRPr="007714FB">
              <w:t>F1 Total fuels used in buildings and machinery</w:t>
            </w:r>
          </w:p>
        </w:tc>
        <w:tc>
          <w:tcPr>
            <w:cnfStyle w:val="000001000000" w:firstRow="0" w:lastRow="0" w:firstColumn="0" w:lastColumn="0" w:oddVBand="0" w:evenVBand="1" w:oddHBand="0" w:evenHBand="0" w:firstRowFirstColumn="0" w:firstRowLastColumn="0" w:lastRowFirstColumn="0" w:lastRowLastColumn="0"/>
            <w:tcW w:w="1701" w:type="dxa"/>
            <w:noWrap/>
          </w:tcPr>
          <w:p w14:paraId="4CA76422" w14:textId="77777777" w:rsidR="00AC3C57" w:rsidRPr="007714FB" w:rsidRDefault="00AC3C57">
            <w:pPr>
              <w:pStyle w:val="ARtabletextrightbold"/>
              <w:spacing w:before="30" w:after="20"/>
            </w:pPr>
            <w:r w:rsidRPr="007714FB">
              <w:t>337,965,783</w:t>
            </w:r>
          </w:p>
        </w:tc>
        <w:tc>
          <w:tcPr>
            <w:tcW w:w="1701" w:type="dxa"/>
            <w:noWrap/>
          </w:tcPr>
          <w:p w14:paraId="4CB9534D" w14:textId="77777777" w:rsidR="00AC3C57" w:rsidRPr="007714FB"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7714FB">
              <w:t>390,431,401</w:t>
            </w:r>
          </w:p>
        </w:tc>
        <w:tc>
          <w:tcPr>
            <w:cnfStyle w:val="000001000000" w:firstRow="0" w:lastRow="0" w:firstColumn="0" w:lastColumn="0" w:oddVBand="0" w:evenVBand="1" w:oddHBand="0" w:evenHBand="0" w:firstRowFirstColumn="0" w:firstRowLastColumn="0" w:lastRowFirstColumn="0" w:lastRowLastColumn="0"/>
            <w:tcW w:w="1701" w:type="dxa"/>
            <w:noWrap/>
          </w:tcPr>
          <w:p w14:paraId="7CBDA0D6" w14:textId="77777777" w:rsidR="00AC3C57" w:rsidRPr="007714FB" w:rsidRDefault="00AC3C57">
            <w:pPr>
              <w:pStyle w:val="ARtabletextrightbold"/>
              <w:spacing w:before="30" w:after="20"/>
            </w:pPr>
            <w:r w:rsidRPr="007714FB">
              <w:t>370,113,078</w:t>
            </w:r>
          </w:p>
        </w:tc>
      </w:tr>
    </w:tbl>
    <w:p w14:paraId="7C2FB60A" w14:textId="77777777" w:rsidR="00AC3C57" w:rsidRPr="007714FB" w:rsidRDefault="00AC3C57">
      <w:pPr>
        <w:pStyle w:val="ARtablecaption"/>
      </w:pPr>
      <w:r w:rsidRPr="007714FB">
        <w:t>F2 Greenhouse gas emissions stationary fuel consumption</w:t>
      </w:r>
    </w:p>
    <w:tbl>
      <w:tblPr>
        <w:tblStyle w:val="TableGrid"/>
        <w:tblW w:w="9639" w:type="dxa"/>
        <w:tblLook w:val="00E0" w:firstRow="1" w:lastRow="1" w:firstColumn="1" w:lastColumn="0" w:noHBand="0" w:noVBand="0"/>
      </w:tblPr>
      <w:tblGrid>
        <w:gridCol w:w="4544"/>
        <w:gridCol w:w="1709"/>
        <w:gridCol w:w="1709"/>
        <w:gridCol w:w="1709"/>
      </w:tblGrid>
      <w:tr w:rsidR="00AC3C57" w:rsidRPr="00DA56C4" w14:paraId="05EBF845" w14:textId="77777777" w:rsidTr="005353B4">
        <w:trPr>
          <w:cnfStyle w:val="100000000000" w:firstRow="1" w:lastRow="0" w:firstColumn="0" w:lastColumn="0" w:oddVBand="0" w:evenVBand="0" w:oddHBand="0" w:evenHBand="0" w:firstRowFirstColumn="0" w:firstRowLastColumn="0" w:lastRowFirstColumn="0" w:lastRowLastColumn="0"/>
          <w:tblHeader/>
        </w:trPr>
        <w:tc>
          <w:tcPr>
            <w:tcW w:w="4536" w:type="dxa"/>
            <w:noWrap/>
            <w:hideMark/>
          </w:tcPr>
          <w:p w14:paraId="4D678D47" w14:textId="77777777" w:rsidR="00AC3C57" w:rsidRPr="007714FB" w:rsidRDefault="00AC3C57">
            <w:pPr>
              <w:pStyle w:val="ARtablecolhead"/>
              <w:spacing w:before="30" w:after="20"/>
            </w:pPr>
          </w:p>
        </w:tc>
        <w:tc>
          <w:tcPr>
            <w:cnfStyle w:val="000001000000" w:firstRow="0" w:lastRow="0" w:firstColumn="0" w:lastColumn="0" w:oddVBand="0" w:evenVBand="1" w:oddHBand="0" w:evenHBand="0" w:firstRowFirstColumn="0" w:firstRowLastColumn="0" w:lastRowFirstColumn="0" w:lastRowLastColumn="0"/>
            <w:tcW w:w="1701" w:type="dxa"/>
            <w:noWrap/>
            <w:hideMark/>
          </w:tcPr>
          <w:p w14:paraId="18A3A926" w14:textId="4910FC31" w:rsidR="00AC3C57" w:rsidRPr="007714FB" w:rsidRDefault="00AC3C57">
            <w:pPr>
              <w:pStyle w:val="ARtablecolheadright"/>
              <w:spacing w:before="30" w:after="20"/>
            </w:pPr>
            <w:r w:rsidRPr="007714FB">
              <w:t>2024</w:t>
            </w:r>
            <w:r w:rsidR="003E1D16" w:rsidRPr="007714FB">
              <w:t>–</w:t>
            </w:r>
            <w:r w:rsidRPr="007714FB">
              <w:t>25</w:t>
            </w:r>
            <w:r w:rsidRPr="007714FB">
              <w:br/>
              <w:t>Tonnes CO</w:t>
            </w:r>
            <w:r w:rsidRPr="007714FB">
              <w:rPr>
                <w:rStyle w:val="Subscript"/>
              </w:rPr>
              <w:t>2</w:t>
            </w:r>
            <w:r w:rsidRPr="007714FB">
              <w:t>-e</w:t>
            </w:r>
          </w:p>
        </w:tc>
        <w:tc>
          <w:tcPr>
            <w:tcW w:w="1701" w:type="dxa"/>
            <w:noWrap/>
            <w:hideMark/>
          </w:tcPr>
          <w:p w14:paraId="599CCDCD" w14:textId="3C4E7338" w:rsidR="00AC3C57" w:rsidRPr="007714FB"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7714FB">
              <w:t>2023</w:t>
            </w:r>
            <w:r w:rsidR="003E1D16" w:rsidRPr="007714FB">
              <w:t>–</w:t>
            </w:r>
            <w:r w:rsidRPr="007714FB">
              <w:t>24</w:t>
            </w:r>
            <w:r w:rsidRPr="007714FB">
              <w:br/>
              <w:t>Tonnes CO</w:t>
            </w:r>
            <w:r w:rsidRPr="007714FB">
              <w:rPr>
                <w:rStyle w:val="Subscript"/>
              </w:rPr>
              <w:t>2</w:t>
            </w:r>
            <w:r w:rsidRPr="007714FB">
              <w:t>-e</w:t>
            </w:r>
          </w:p>
        </w:tc>
        <w:tc>
          <w:tcPr>
            <w:cnfStyle w:val="000001000000" w:firstRow="0" w:lastRow="0" w:firstColumn="0" w:lastColumn="0" w:oddVBand="0" w:evenVBand="1" w:oddHBand="0" w:evenHBand="0" w:firstRowFirstColumn="0" w:firstRowLastColumn="0" w:lastRowFirstColumn="0" w:lastRowLastColumn="0"/>
            <w:tcW w:w="1701" w:type="dxa"/>
            <w:noWrap/>
            <w:hideMark/>
          </w:tcPr>
          <w:p w14:paraId="6F9017BF" w14:textId="72167EBD" w:rsidR="00AC3C57" w:rsidRPr="007714FB" w:rsidRDefault="00AC3C57">
            <w:pPr>
              <w:pStyle w:val="ARtablecolheadright"/>
              <w:spacing w:before="30" w:after="20"/>
            </w:pPr>
            <w:r w:rsidRPr="007714FB">
              <w:t>2022</w:t>
            </w:r>
            <w:r w:rsidR="003E1D16" w:rsidRPr="007714FB">
              <w:t>–</w:t>
            </w:r>
            <w:r w:rsidRPr="007714FB">
              <w:t>23</w:t>
            </w:r>
            <w:r w:rsidRPr="007714FB">
              <w:br/>
              <w:t>Tonnes CO</w:t>
            </w:r>
            <w:r w:rsidRPr="007714FB">
              <w:rPr>
                <w:rStyle w:val="Subscript"/>
              </w:rPr>
              <w:t>2</w:t>
            </w:r>
            <w:r w:rsidRPr="007714FB">
              <w:t>-e</w:t>
            </w:r>
          </w:p>
        </w:tc>
      </w:tr>
      <w:tr w:rsidR="00AC3C57" w:rsidRPr="008E2F75" w14:paraId="0A19BCB4" w14:textId="77777777" w:rsidTr="005353B4">
        <w:trPr>
          <w:cnfStyle w:val="010000000000" w:firstRow="0" w:lastRow="1" w:firstColumn="0" w:lastColumn="0" w:oddVBand="0" w:evenVBand="0" w:oddHBand="0" w:evenHBand="0" w:firstRowFirstColumn="0" w:firstRowLastColumn="0" w:lastRowFirstColumn="0" w:lastRowLastColumn="0"/>
          <w:trHeight w:val="288"/>
        </w:trPr>
        <w:tc>
          <w:tcPr>
            <w:tcW w:w="4536" w:type="dxa"/>
            <w:noWrap/>
            <w:hideMark/>
          </w:tcPr>
          <w:p w14:paraId="48A02889" w14:textId="77777777" w:rsidR="00AC3C57" w:rsidRPr="007714FB" w:rsidRDefault="00AC3C57">
            <w:pPr>
              <w:pStyle w:val="ARtabletext"/>
              <w:spacing w:before="30" w:after="20"/>
            </w:pPr>
            <w:r w:rsidRPr="007714FB">
              <w:t>F2 Greenhouse gas emissions stationary fuel consumption</w:t>
            </w:r>
          </w:p>
        </w:tc>
        <w:tc>
          <w:tcPr>
            <w:cnfStyle w:val="000001000000" w:firstRow="0" w:lastRow="0" w:firstColumn="0" w:lastColumn="0" w:oddVBand="0" w:evenVBand="1" w:oddHBand="0" w:evenHBand="0" w:firstRowFirstColumn="0" w:firstRowLastColumn="0" w:lastRowFirstColumn="0" w:lastRowLastColumn="0"/>
            <w:tcW w:w="1701" w:type="dxa"/>
            <w:noWrap/>
          </w:tcPr>
          <w:p w14:paraId="433FF5D2" w14:textId="77777777" w:rsidR="00AC3C57" w:rsidRPr="007714FB" w:rsidRDefault="00AC3C57">
            <w:pPr>
              <w:pStyle w:val="ARtabletextright"/>
              <w:spacing w:before="30" w:after="20"/>
              <w:rPr>
                <w:color w:val="000000"/>
              </w:rPr>
            </w:pPr>
            <w:r w:rsidRPr="007714FB">
              <w:rPr>
                <w:color w:val="000000"/>
              </w:rPr>
              <w:t>17,415</w:t>
            </w:r>
          </w:p>
        </w:tc>
        <w:tc>
          <w:tcPr>
            <w:tcW w:w="1701" w:type="dxa"/>
            <w:noWrap/>
          </w:tcPr>
          <w:p w14:paraId="07C66244" w14:textId="77777777" w:rsidR="00AC3C57" w:rsidRPr="007714FB" w:rsidRDefault="00AC3C57">
            <w:pPr>
              <w:pStyle w:val="ARtabletextright"/>
              <w:spacing w:before="30" w:after="20"/>
              <w:cnfStyle w:val="010000000000" w:firstRow="0" w:lastRow="1" w:firstColumn="0" w:lastColumn="0" w:oddVBand="0" w:evenVBand="0" w:oddHBand="0" w:evenHBand="0" w:firstRowFirstColumn="0" w:firstRowLastColumn="0" w:lastRowFirstColumn="0" w:lastRowLastColumn="0"/>
            </w:pPr>
            <w:r w:rsidRPr="007714FB">
              <w:t>20,119</w:t>
            </w:r>
          </w:p>
        </w:tc>
        <w:tc>
          <w:tcPr>
            <w:cnfStyle w:val="000001000000" w:firstRow="0" w:lastRow="0" w:firstColumn="0" w:lastColumn="0" w:oddVBand="0" w:evenVBand="1" w:oddHBand="0" w:evenHBand="0" w:firstRowFirstColumn="0" w:firstRowLastColumn="0" w:lastRowFirstColumn="0" w:lastRowLastColumn="0"/>
            <w:tcW w:w="1701" w:type="dxa"/>
            <w:noWrap/>
            <w:hideMark/>
          </w:tcPr>
          <w:p w14:paraId="60B49089" w14:textId="77777777" w:rsidR="00AC3C57" w:rsidRPr="007714FB" w:rsidRDefault="00AC3C57">
            <w:pPr>
              <w:pStyle w:val="ARtabletextright"/>
              <w:spacing w:before="30" w:after="20"/>
            </w:pPr>
            <w:r w:rsidRPr="007714FB">
              <w:t>19,072</w:t>
            </w:r>
          </w:p>
        </w:tc>
      </w:tr>
    </w:tbl>
    <w:p w14:paraId="1868EC35" w14:textId="77777777" w:rsidR="00AC3C57" w:rsidRPr="00171A60" w:rsidRDefault="00AC3C57">
      <w:pPr>
        <w:pStyle w:val="Heading3"/>
      </w:pPr>
      <w:r w:rsidRPr="00171A60">
        <w:t>Transportation</w:t>
      </w:r>
    </w:p>
    <w:p w14:paraId="0C3A642E" w14:textId="77777777" w:rsidR="00AC3C57" w:rsidRDefault="00AC3C57">
      <w:pPr>
        <w:pStyle w:val="ARbody"/>
      </w:pPr>
      <w:r>
        <w:t>The department’s fleet comprises 1,259 vehicles. Of the 1,213 internal combustion engine vehicles, 38% were hybrid unleaded or hybrid electric vehicles. The department’s electric vehicle fleet increased between 2023–24 and 2024–25. Reductions in emissions are expected to occur as further internal combustion engine vehicles are replaced with electric vehicles.</w:t>
      </w:r>
    </w:p>
    <w:p w14:paraId="3721F1A8" w14:textId="775FA6C0" w:rsidR="00AC3C57" w:rsidRPr="00171A60" w:rsidRDefault="00AC3C57">
      <w:pPr>
        <w:pStyle w:val="ARbody"/>
      </w:pPr>
      <w:r w:rsidRPr="00293790">
        <w:t>The data has been exported from the department’s vehicle management system (</w:t>
      </w:r>
      <w:proofErr w:type="spellStart"/>
      <w:r>
        <w:t>FleetWave</w:t>
      </w:r>
      <w:proofErr w:type="spellEnd"/>
      <w:r>
        <w:t>). This includes fuel transactions and kilometres travelled for the period 1 April 2024 to 31 March 2025 (FBT annual</w:t>
      </w:r>
      <w:r w:rsidR="002A748F">
        <w:t> </w:t>
      </w:r>
      <w:r>
        <w:t>reporting).</w:t>
      </w:r>
    </w:p>
    <w:p w14:paraId="2C4095AC" w14:textId="77777777" w:rsidR="00AC3C57" w:rsidRPr="00171A60" w:rsidRDefault="00AC3C57">
      <w:pPr>
        <w:pStyle w:val="ARbody"/>
      </w:pPr>
      <w:r w:rsidRPr="00171A60">
        <w:t xml:space="preserve">The department is committed to the Victorian Government transport sector pledge and a Zero Emissions Vehicle Roadmap as part of our </w:t>
      </w:r>
      <w:r w:rsidRPr="00E06E63">
        <w:rPr>
          <w:rStyle w:val="Emphasis"/>
        </w:rPr>
        <w:t>Climate change strategy.</w:t>
      </w:r>
    </w:p>
    <w:p w14:paraId="44BAA094" w14:textId="77777777" w:rsidR="00AC3C57" w:rsidRPr="002F3FF4" w:rsidRDefault="00AC3C57">
      <w:pPr>
        <w:pStyle w:val="ARbody"/>
      </w:pPr>
      <w:r w:rsidRPr="002F3FF4">
        <w:t>The increase in air travel from 2023–24 to 2024–25 is explained by increased in-person interdepartmental collaborations.</w:t>
      </w:r>
    </w:p>
    <w:p w14:paraId="46AF3757" w14:textId="77777777" w:rsidR="00AC3C57" w:rsidRPr="00171A60" w:rsidRDefault="00AC3C57">
      <w:pPr>
        <w:pStyle w:val="ARtablecaption"/>
      </w:pPr>
      <w:r w:rsidRPr="00171A60">
        <w:t>Number and proportion of vehicles – department fleet</w:t>
      </w:r>
    </w:p>
    <w:tbl>
      <w:tblPr>
        <w:tblStyle w:val="TableGrid"/>
        <w:tblW w:w="9639" w:type="dxa"/>
        <w:tblLayout w:type="fixed"/>
        <w:tblLook w:val="02E0" w:firstRow="1" w:lastRow="1" w:firstColumn="1" w:lastColumn="0" w:noHBand="1" w:noVBand="0"/>
      </w:tblPr>
      <w:tblGrid>
        <w:gridCol w:w="2835"/>
        <w:gridCol w:w="1134"/>
        <w:gridCol w:w="1134"/>
        <w:gridCol w:w="1134"/>
        <w:gridCol w:w="1134"/>
        <w:gridCol w:w="1134"/>
        <w:gridCol w:w="1134"/>
      </w:tblGrid>
      <w:tr w:rsidR="00AC3C57" w:rsidRPr="008E2F75" w14:paraId="569E1B1B" w14:textId="77777777" w:rsidTr="005353B4">
        <w:trPr>
          <w:cnfStyle w:val="100000000000" w:firstRow="1" w:lastRow="0" w:firstColumn="0" w:lastColumn="0" w:oddVBand="0" w:evenVBand="0" w:oddHBand="0" w:evenHBand="0" w:firstRowFirstColumn="0" w:firstRowLastColumn="0" w:lastRowFirstColumn="0" w:lastRowLastColumn="0"/>
          <w:trHeight w:val="225"/>
          <w:tblHeader/>
        </w:trPr>
        <w:tc>
          <w:tcPr>
            <w:tcW w:w="2835" w:type="dxa"/>
            <w:tcBorders>
              <w:bottom w:val="single" w:sz="4" w:space="0" w:color="auto"/>
            </w:tcBorders>
          </w:tcPr>
          <w:p w14:paraId="4AEADBD2" w14:textId="77777777" w:rsidR="00AC3C57" w:rsidRPr="00171A60" w:rsidRDefault="00AC3C57">
            <w:pPr>
              <w:pStyle w:val="ARtablecolhead"/>
              <w:spacing w:before="30" w:after="20"/>
              <w:rPr>
                <w:i/>
              </w:rPr>
            </w:pPr>
            <w:r w:rsidRPr="00171A60">
              <w:t>Indicator</w:t>
            </w:r>
          </w:p>
        </w:tc>
        <w:tc>
          <w:tcPr>
            <w:cnfStyle w:val="000001000000" w:firstRow="0" w:lastRow="0" w:firstColumn="0" w:lastColumn="0" w:oddVBand="0" w:evenVBand="1" w:oddHBand="0" w:evenHBand="0" w:firstRowFirstColumn="0" w:firstRowLastColumn="0" w:lastRowFirstColumn="0" w:lastRowLastColumn="0"/>
            <w:tcW w:w="1134" w:type="dxa"/>
            <w:tcBorders>
              <w:bottom w:val="single" w:sz="4" w:space="0" w:color="auto"/>
            </w:tcBorders>
          </w:tcPr>
          <w:p w14:paraId="2EFFF19D" w14:textId="77777777" w:rsidR="00AC3C57" w:rsidRPr="00171A60" w:rsidRDefault="00AC3C57">
            <w:pPr>
              <w:pStyle w:val="ARtablecolheadright"/>
              <w:spacing w:before="30" w:after="20"/>
            </w:pPr>
            <w:r w:rsidRPr="00171A60">
              <w:t>2024–25</w:t>
            </w:r>
          </w:p>
          <w:p w14:paraId="2BE4E436" w14:textId="77777777" w:rsidR="00AC3C57" w:rsidRPr="00171A60" w:rsidRDefault="00AC3C57">
            <w:pPr>
              <w:pStyle w:val="ARtablecolheadright"/>
              <w:spacing w:before="30" w:after="20"/>
            </w:pPr>
            <w:r w:rsidRPr="00171A60">
              <w:t>No.</w:t>
            </w:r>
          </w:p>
        </w:tc>
        <w:tc>
          <w:tcPr>
            <w:tcW w:w="1134" w:type="dxa"/>
            <w:tcBorders>
              <w:bottom w:val="single" w:sz="4" w:space="0" w:color="auto"/>
            </w:tcBorders>
          </w:tcPr>
          <w:p w14:paraId="0713ACBC" w14:textId="77777777" w:rsidR="00AC3C57" w:rsidRPr="00171A60"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171A60">
              <w:t>2024–25</w:t>
            </w:r>
          </w:p>
          <w:p w14:paraId="18D655DB" w14:textId="77777777" w:rsidR="00AC3C57" w:rsidRPr="00171A60"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rPr>
                <w:i/>
              </w:rPr>
            </w:pPr>
            <w:r w:rsidRPr="00171A60">
              <w:t>%</w:t>
            </w:r>
          </w:p>
        </w:tc>
        <w:tc>
          <w:tcPr>
            <w:cnfStyle w:val="000001000000" w:firstRow="0" w:lastRow="0" w:firstColumn="0" w:lastColumn="0" w:oddVBand="0" w:evenVBand="1" w:oddHBand="0" w:evenHBand="0" w:firstRowFirstColumn="0" w:firstRowLastColumn="0" w:lastRowFirstColumn="0" w:lastRowLastColumn="0"/>
            <w:tcW w:w="1134" w:type="dxa"/>
            <w:tcBorders>
              <w:bottom w:val="single" w:sz="4" w:space="0" w:color="auto"/>
            </w:tcBorders>
          </w:tcPr>
          <w:p w14:paraId="71A876D1" w14:textId="4472925B" w:rsidR="00AC3C57" w:rsidRDefault="00AC3C57">
            <w:pPr>
              <w:pStyle w:val="ARtablecolheadright"/>
              <w:spacing w:before="30" w:after="20"/>
            </w:pPr>
            <w:r>
              <w:t>2023</w:t>
            </w:r>
            <w:r w:rsidR="00BA2874" w:rsidRPr="007714FB">
              <w:t>–</w:t>
            </w:r>
            <w:r>
              <w:t>24</w:t>
            </w:r>
          </w:p>
          <w:p w14:paraId="66E31BF8" w14:textId="77777777" w:rsidR="00AC3C57" w:rsidRPr="00171A60" w:rsidRDefault="00AC3C57">
            <w:pPr>
              <w:pStyle w:val="ARtablecolheadright"/>
              <w:spacing w:before="30" w:after="20"/>
              <w:rPr>
                <w:i/>
              </w:rPr>
            </w:pPr>
            <w:r>
              <w:t>No.</w:t>
            </w:r>
          </w:p>
        </w:tc>
        <w:tc>
          <w:tcPr>
            <w:tcW w:w="1134" w:type="dxa"/>
            <w:tcBorders>
              <w:bottom w:val="single" w:sz="4" w:space="0" w:color="auto"/>
            </w:tcBorders>
          </w:tcPr>
          <w:p w14:paraId="31B4F69A" w14:textId="592E94E0" w:rsidR="00AC3C57"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t>2023</w:t>
            </w:r>
            <w:r w:rsidR="00BA2874" w:rsidRPr="007714FB">
              <w:t>–</w:t>
            </w:r>
            <w:r>
              <w:t>24</w:t>
            </w:r>
          </w:p>
          <w:p w14:paraId="06652EF1" w14:textId="77777777" w:rsidR="00AC3C57" w:rsidRPr="00171A60"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rPr>
                <w:i/>
              </w:rPr>
            </w:pPr>
            <w:r>
              <w:t>%</w:t>
            </w:r>
          </w:p>
        </w:tc>
        <w:tc>
          <w:tcPr>
            <w:cnfStyle w:val="000001000000" w:firstRow="0" w:lastRow="0" w:firstColumn="0" w:lastColumn="0" w:oddVBand="0" w:evenVBand="1" w:oddHBand="0" w:evenHBand="0" w:firstRowFirstColumn="0" w:firstRowLastColumn="0" w:lastRowFirstColumn="0" w:lastRowLastColumn="0"/>
            <w:tcW w:w="1134" w:type="dxa"/>
            <w:tcBorders>
              <w:bottom w:val="single" w:sz="4" w:space="0" w:color="auto"/>
            </w:tcBorders>
          </w:tcPr>
          <w:p w14:paraId="72C6817B" w14:textId="77777777" w:rsidR="00AC3C57" w:rsidRPr="00171A60" w:rsidRDefault="00AC3C57">
            <w:pPr>
              <w:pStyle w:val="ARtablecolheadright"/>
              <w:spacing w:before="30" w:after="20"/>
            </w:pPr>
            <w:r w:rsidRPr="00171A60">
              <w:t>2022–23</w:t>
            </w:r>
          </w:p>
          <w:p w14:paraId="446232C9" w14:textId="77777777" w:rsidR="00AC3C57" w:rsidRPr="00171A60" w:rsidRDefault="00AC3C57">
            <w:pPr>
              <w:pStyle w:val="ARtablecolheadright"/>
              <w:spacing w:before="30" w:after="20"/>
              <w:rPr>
                <w:i/>
              </w:rPr>
            </w:pPr>
            <w:r w:rsidRPr="00171A60">
              <w:t>No.</w:t>
            </w:r>
          </w:p>
        </w:tc>
        <w:tc>
          <w:tcPr>
            <w:tcW w:w="1134" w:type="dxa"/>
            <w:tcBorders>
              <w:bottom w:val="single" w:sz="4" w:space="0" w:color="auto"/>
            </w:tcBorders>
          </w:tcPr>
          <w:p w14:paraId="06432077" w14:textId="77777777" w:rsidR="00AC3C57" w:rsidRPr="00171A60"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171A60">
              <w:t>2022–23</w:t>
            </w:r>
          </w:p>
          <w:p w14:paraId="584127BB" w14:textId="77777777" w:rsidR="00AC3C57" w:rsidRPr="00171A60"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rPr>
                <w:i/>
              </w:rPr>
            </w:pPr>
            <w:r w:rsidRPr="00171A60">
              <w:t>%</w:t>
            </w:r>
          </w:p>
        </w:tc>
      </w:tr>
      <w:tr w:rsidR="00AC3C57" w:rsidRPr="008E2F75" w14:paraId="558F5C80" w14:textId="77777777" w:rsidTr="005353B4">
        <w:trPr>
          <w:cantSplit w:val="0"/>
          <w:trHeight w:val="225"/>
        </w:trPr>
        <w:tc>
          <w:tcPr>
            <w:tcW w:w="9639" w:type="dxa"/>
            <w:gridSpan w:val="7"/>
            <w:tcBorders>
              <w:top w:val="single" w:sz="4" w:space="0" w:color="auto"/>
              <w:bottom w:val="single" w:sz="4" w:space="0" w:color="BFBFBF" w:themeColor="background1" w:themeShade="BF"/>
            </w:tcBorders>
          </w:tcPr>
          <w:p w14:paraId="0A82C369" w14:textId="77777777" w:rsidR="00AC3C57" w:rsidRPr="00171A60" w:rsidRDefault="00AC3C57">
            <w:pPr>
              <w:pStyle w:val="ARtabletextbold"/>
              <w:spacing w:before="30" w:after="20"/>
            </w:pPr>
            <w:r w:rsidRPr="00171A60">
              <w:t>Passenger vehicles</w:t>
            </w:r>
          </w:p>
        </w:tc>
      </w:tr>
      <w:tr w:rsidR="00AC3C57" w:rsidRPr="008E2F75" w14:paraId="5E682AC9" w14:textId="77777777" w:rsidTr="005353B4">
        <w:trPr>
          <w:cantSplit w:val="0"/>
          <w:trHeight w:val="225"/>
        </w:trPr>
        <w:tc>
          <w:tcPr>
            <w:tcW w:w="9639" w:type="dxa"/>
            <w:gridSpan w:val="7"/>
            <w:tcBorders>
              <w:top w:val="single" w:sz="4" w:space="0" w:color="BFBFBF" w:themeColor="background1" w:themeShade="BF"/>
              <w:bottom w:val="single" w:sz="4" w:space="0" w:color="BFBFBF" w:themeColor="background1" w:themeShade="BF"/>
            </w:tcBorders>
          </w:tcPr>
          <w:p w14:paraId="77DC6DAB" w14:textId="77777777" w:rsidR="00AC3C57" w:rsidRPr="00171A60" w:rsidRDefault="00AC3C57">
            <w:pPr>
              <w:pStyle w:val="ARtabletextbold"/>
              <w:spacing w:before="30" w:after="20"/>
            </w:pPr>
            <w:r w:rsidRPr="00171A60">
              <w:t>Internal combustion engines</w:t>
            </w:r>
          </w:p>
        </w:tc>
      </w:tr>
      <w:tr w:rsidR="00AC3C57" w:rsidRPr="008E2F75" w14:paraId="0D796D45" w14:textId="77777777" w:rsidTr="005353B4">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5D3E4FFD" w14:textId="77777777" w:rsidR="00AC3C57" w:rsidRPr="00171A60" w:rsidRDefault="00AC3C57">
            <w:pPr>
              <w:pStyle w:val="ARtabletext"/>
              <w:spacing w:before="30" w:after="20"/>
            </w:pPr>
            <w:r w:rsidRPr="00171A60">
              <w:rPr>
                <w:rFonts w:eastAsia="Calibri"/>
              </w:rPr>
              <w:t>Petrol</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3A8F7720" w14:textId="77777777" w:rsidR="00AC3C57" w:rsidRPr="00171A60" w:rsidRDefault="00AC3C57">
            <w:pPr>
              <w:pStyle w:val="ARtabletextright"/>
              <w:spacing w:before="30" w:after="20"/>
            </w:pPr>
            <w:r w:rsidRPr="00171A60">
              <w:t>340</w:t>
            </w:r>
          </w:p>
        </w:tc>
        <w:tc>
          <w:tcPr>
            <w:tcW w:w="1134" w:type="dxa"/>
            <w:tcBorders>
              <w:top w:val="single" w:sz="4" w:space="0" w:color="BFBFBF" w:themeColor="background1" w:themeShade="BF"/>
              <w:bottom w:val="single" w:sz="4" w:space="0" w:color="BFBFBF" w:themeColor="background1" w:themeShade="BF"/>
            </w:tcBorders>
          </w:tcPr>
          <w:p w14:paraId="2CD9D4C7"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27</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3BC49B14" w14:textId="77777777" w:rsidR="00AC3C57" w:rsidRPr="00171A60" w:rsidRDefault="00AC3C57">
            <w:pPr>
              <w:pStyle w:val="ARtabletextright"/>
              <w:spacing w:before="30" w:after="20"/>
            </w:pPr>
            <w:r w:rsidRPr="00171A60">
              <w:t>390</w:t>
            </w:r>
          </w:p>
        </w:tc>
        <w:tc>
          <w:tcPr>
            <w:tcW w:w="1134" w:type="dxa"/>
            <w:tcBorders>
              <w:top w:val="single" w:sz="4" w:space="0" w:color="BFBFBF" w:themeColor="background1" w:themeShade="BF"/>
              <w:bottom w:val="single" w:sz="4" w:space="0" w:color="BFBFBF" w:themeColor="background1" w:themeShade="BF"/>
            </w:tcBorders>
          </w:tcPr>
          <w:p w14:paraId="007E1E5E"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31</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015FB64C" w14:textId="77777777" w:rsidR="00AC3C57" w:rsidRPr="00171A60" w:rsidRDefault="00AC3C57">
            <w:pPr>
              <w:pStyle w:val="ARtabletextright"/>
              <w:spacing w:before="30" w:after="20"/>
            </w:pPr>
            <w:r w:rsidRPr="00171A60">
              <w:t>475</w:t>
            </w:r>
          </w:p>
        </w:tc>
        <w:tc>
          <w:tcPr>
            <w:tcW w:w="1134" w:type="dxa"/>
            <w:tcBorders>
              <w:top w:val="single" w:sz="4" w:space="0" w:color="BFBFBF" w:themeColor="background1" w:themeShade="BF"/>
              <w:bottom w:val="single" w:sz="4" w:space="0" w:color="BFBFBF" w:themeColor="background1" w:themeShade="BF"/>
            </w:tcBorders>
          </w:tcPr>
          <w:p w14:paraId="4FE1334A"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w:t>
            </w:r>
          </w:p>
        </w:tc>
      </w:tr>
      <w:tr w:rsidR="00AC3C57" w:rsidRPr="008E2F75" w14:paraId="05E0746D" w14:textId="77777777" w:rsidTr="005353B4">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0661B0F5" w14:textId="77777777" w:rsidR="00AC3C57" w:rsidRPr="00171A60" w:rsidRDefault="00AC3C57">
            <w:pPr>
              <w:pStyle w:val="ARtabletext"/>
              <w:spacing w:before="30" w:after="20"/>
            </w:pPr>
            <w:r w:rsidRPr="00171A60">
              <w:rPr>
                <w:rFonts w:eastAsia="Calibri"/>
              </w:rPr>
              <w:t>Diesel/biodiesel</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6CCE6604" w14:textId="77777777" w:rsidR="00AC3C57" w:rsidRPr="00171A60" w:rsidRDefault="00AC3C57">
            <w:pPr>
              <w:pStyle w:val="ARtabletextright"/>
              <w:spacing w:before="30" w:after="20"/>
            </w:pPr>
            <w:r w:rsidRPr="00171A60">
              <w:t>393</w:t>
            </w:r>
          </w:p>
        </w:tc>
        <w:tc>
          <w:tcPr>
            <w:tcW w:w="1134" w:type="dxa"/>
            <w:tcBorders>
              <w:top w:val="single" w:sz="4" w:space="0" w:color="BFBFBF" w:themeColor="background1" w:themeShade="BF"/>
              <w:bottom w:val="single" w:sz="4" w:space="0" w:color="BFBFBF" w:themeColor="background1" w:themeShade="BF"/>
            </w:tcBorders>
          </w:tcPr>
          <w:p w14:paraId="452C9E70"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31</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5BC7199C" w14:textId="77777777" w:rsidR="00AC3C57" w:rsidRPr="00171A60" w:rsidRDefault="00AC3C57">
            <w:pPr>
              <w:pStyle w:val="ARtabletextright"/>
              <w:spacing w:before="30" w:after="20"/>
            </w:pPr>
            <w:r w:rsidRPr="00171A60">
              <w:t>354</w:t>
            </w:r>
          </w:p>
        </w:tc>
        <w:tc>
          <w:tcPr>
            <w:tcW w:w="1134" w:type="dxa"/>
            <w:tcBorders>
              <w:top w:val="single" w:sz="4" w:space="0" w:color="BFBFBF" w:themeColor="background1" w:themeShade="BF"/>
              <w:bottom w:val="single" w:sz="4" w:space="0" w:color="BFBFBF" w:themeColor="background1" w:themeShade="BF"/>
            </w:tcBorders>
          </w:tcPr>
          <w:p w14:paraId="002E573C"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29</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0CD538F2" w14:textId="77777777" w:rsidR="00AC3C57" w:rsidRPr="00171A60" w:rsidRDefault="00AC3C57">
            <w:pPr>
              <w:pStyle w:val="ARtabletextright"/>
              <w:spacing w:before="30" w:after="20"/>
            </w:pPr>
            <w:r w:rsidRPr="00171A60">
              <w:t>281</w:t>
            </w:r>
          </w:p>
        </w:tc>
        <w:tc>
          <w:tcPr>
            <w:tcW w:w="1134" w:type="dxa"/>
            <w:tcBorders>
              <w:top w:val="single" w:sz="4" w:space="0" w:color="BFBFBF" w:themeColor="background1" w:themeShade="BF"/>
              <w:bottom w:val="single" w:sz="4" w:space="0" w:color="BFBFBF" w:themeColor="background1" w:themeShade="BF"/>
            </w:tcBorders>
          </w:tcPr>
          <w:p w14:paraId="6AF64C77"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w:t>
            </w:r>
          </w:p>
        </w:tc>
      </w:tr>
      <w:tr w:rsidR="00AC3C57" w:rsidRPr="008E2F75" w14:paraId="6AE69A3D" w14:textId="77777777" w:rsidTr="005353B4">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0EDF1FE4" w14:textId="77777777" w:rsidR="00AC3C57" w:rsidRPr="00171A60" w:rsidRDefault="00AC3C57">
            <w:pPr>
              <w:pStyle w:val="ARtabletext"/>
              <w:spacing w:before="30" w:after="20"/>
            </w:pPr>
            <w:r w:rsidRPr="00171A60">
              <w:rPr>
                <w:rFonts w:eastAsia="Calibri"/>
              </w:rPr>
              <w:t>Hybrid/unleaded</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20D71A56" w14:textId="77777777" w:rsidR="00AC3C57" w:rsidRPr="00171A60" w:rsidRDefault="00AC3C57">
            <w:pPr>
              <w:pStyle w:val="ARtabletextright"/>
              <w:spacing w:before="30" w:after="20"/>
            </w:pPr>
            <w:r w:rsidRPr="00171A60">
              <w:t>470</w:t>
            </w:r>
          </w:p>
        </w:tc>
        <w:tc>
          <w:tcPr>
            <w:tcW w:w="1134" w:type="dxa"/>
            <w:tcBorders>
              <w:top w:val="single" w:sz="4" w:space="0" w:color="BFBFBF" w:themeColor="background1" w:themeShade="BF"/>
              <w:bottom w:val="single" w:sz="4" w:space="0" w:color="BFBFBF" w:themeColor="background1" w:themeShade="BF"/>
            </w:tcBorders>
          </w:tcPr>
          <w:p w14:paraId="771A2B08"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37</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41F1D149" w14:textId="77777777" w:rsidR="00AC3C57" w:rsidRPr="00171A60" w:rsidRDefault="00AC3C57">
            <w:pPr>
              <w:pStyle w:val="ARtabletextright"/>
              <w:spacing w:before="30" w:after="20"/>
            </w:pPr>
            <w:r w:rsidRPr="00171A60">
              <w:t>468</w:t>
            </w:r>
          </w:p>
        </w:tc>
        <w:tc>
          <w:tcPr>
            <w:tcW w:w="1134" w:type="dxa"/>
            <w:tcBorders>
              <w:top w:val="single" w:sz="4" w:space="0" w:color="BFBFBF" w:themeColor="background1" w:themeShade="BF"/>
              <w:bottom w:val="single" w:sz="4" w:space="0" w:color="BFBFBF" w:themeColor="background1" w:themeShade="BF"/>
            </w:tcBorders>
          </w:tcPr>
          <w:p w14:paraId="74F6AF43"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38</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36AEA410" w14:textId="77777777" w:rsidR="00AC3C57" w:rsidRPr="00171A60" w:rsidRDefault="00AC3C57">
            <w:pPr>
              <w:pStyle w:val="ARtabletextright"/>
              <w:spacing w:before="30" w:after="20"/>
            </w:pPr>
            <w:r w:rsidRPr="00171A60">
              <w:t>460</w:t>
            </w:r>
          </w:p>
        </w:tc>
        <w:tc>
          <w:tcPr>
            <w:tcW w:w="1134" w:type="dxa"/>
            <w:tcBorders>
              <w:top w:val="single" w:sz="4" w:space="0" w:color="BFBFBF" w:themeColor="background1" w:themeShade="BF"/>
              <w:bottom w:val="single" w:sz="4" w:space="0" w:color="BFBFBF" w:themeColor="background1" w:themeShade="BF"/>
            </w:tcBorders>
          </w:tcPr>
          <w:p w14:paraId="64D8C411"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w:t>
            </w:r>
          </w:p>
        </w:tc>
      </w:tr>
      <w:tr w:rsidR="00AC3C57" w:rsidRPr="008E2F75" w14:paraId="0694727E" w14:textId="77777777" w:rsidTr="005353B4">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2BB7FCBD" w14:textId="77777777" w:rsidR="00AC3C57" w:rsidRPr="00171A60" w:rsidRDefault="00AC3C57">
            <w:pPr>
              <w:pStyle w:val="ARtabletext"/>
              <w:spacing w:before="30" w:after="20"/>
            </w:pPr>
            <w:r w:rsidRPr="00171A60">
              <w:rPr>
                <w:rFonts w:eastAsia="Calibri"/>
              </w:rPr>
              <w:t>Plug-in hybrid electric vehicle (PHEV)</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4C67ABC3" w14:textId="77777777" w:rsidR="00AC3C57" w:rsidRPr="00171A60" w:rsidRDefault="00AC3C57">
            <w:pPr>
              <w:pStyle w:val="ARtabletextright"/>
              <w:spacing w:before="30" w:after="20"/>
            </w:pPr>
            <w:r w:rsidRPr="00171A60">
              <w:t>10</w:t>
            </w:r>
          </w:p>
        </w:tc>
        <w:tc>
          <w:tcPr>
            <w:tcW w:w="1134" w:type="dxa"/>
            <w:tcBorders>
              <w:top w:val="single" w:sz="4" w:space="0" w:color="BFBFBF" w:themeColor="background1" w:themeShade="BF"/>
              <w:bottom w:val="single" w:sz="4" w:space="0" w:color="BFBFBF" w:themeColor="background1" w:themeShade="BF"/>
            </w:tcBorders>
          </w:tcPr>
          <w:p w14:paraId="40352E28"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1</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533897F6" w14:textId="77777777" w:rsidR="00AC3C57" w:rsidRPr="00171A60" w:rsidRDefault="00AC3C57">
            <w:pPr>
              <w:pStyle w:val="ARtabletextright"/>
              <w:spacing w:before="30" w:after="20"/>
            </w:pPr>
            <w:r w:rsidRPr="00171A60">
              <w:t>4</w:t>
            </w:r>
          </w:p>
        </w:tc>
        <w:tc>
          <w:tcPr>
            <w:tcW w:w="1134" w:type="dxa"/>
            <w:tcBorders>
              <w:top w:val="single" w:sz="4" w:space="0" w:color="BFBFBF" w:themeColor="background1" w:themeShade="BF"/>
              <w:bottom w:val="single" w:sz="4" w:space="0" w:color="BFBFBF" w:themeColor="background1" w:themeShade="BF"/>
            </w:tcBorders>
          </w:tcPr>
          <w:p w14:paraId="3D2A93A1"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6453">
              <w:t>–</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256E6A78"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BFBFBF" w:themeColor="background1" w:themeShade="BF"/>
            </w:tcBorders>
          </w:tcPr>
          <w:p w14:paraId="17F7556A"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D1293">
              <w:t>–</w:t>
            </w:r>
          </w:p>
        </w:tc>
      </w:tr>
      <w:tr w:rsidR="00AC3C57" w:rsidRPr="008E2F75" w14:paraId="01A45D0B" w14:textId="77777777" w:rsidTr="005353B4">
        <w:trPr>
          <w:cantSplit w:val="0"/>
          <w:trHeight w:val="240"/>
        </w:trPr>
        <w:tc>
          <w:tcPr>
            <w:tcW w:w="2835" w:type="dxa"/>
            <w:tcBorders>
              <w:top w:val="single" w:sz="4" w:space="0" w:color="BFBFBF" w:themeColor="background1" w:themeShade="BF"/>
            </w:tcBorders>
          </w:tcPr>
          <w:p w14:paraId="07F8FAFB" w14:textId="77777777" w:rsidR="00AC3C57" w:rsidRPr="00171A60" w:rsidRDefault="00AC3C57">
            <w:pPr>
              <w:pStyle w:val="ARtabletext"/>
              <w:spacing w:before="30" w:after="20"/>
            </w:pPr>
            <w:r w:rsidRPr="00171A60">
              <w:rPr>
                <w:rFonts w:eastAsia="Calibri"/>
              </w:rPr>
              <w:t>Range-extended electric vehicle</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tcBorders>
          </w:tcPr>
          <w:p w14:paraId="75C1334A" w14:textId="77777777" w:rsidR="00AC3C57" w:rsidRPr="00171A60" w:rsidRDefault="00AC3C57">
            <w:pPr>
              <w:pStyle w:val="ARtabletextright"/>
              <w:spacing w:before="30" w:after="20"/>
            </w:pPr>
            <w:r w:rsidRPr="00171A60">
              <w:t>42</w:t>
            </w:r>
          </w:p>
        </w:tc>
        <w:tc>
          <w:tcPr>
            <w:tcW w:w="1134" w:type="dxa"/>
            <w:tcBorders>
              <w:top w:val="single" w:sz="4" w:space="0" w:color="BFBFBF" w:themeColor="background1" w:themeShade="BF"/>
            </w:tcBorders>
          </w:tcPr>
          <w:p w14:paraId="0FD9A25C"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3</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tcBorders>
          </w:tcPr>
          <w:p w14:paraId="2B365C4B" w14:textId="77777777" w:rsidR="00AC3C57" w:rsidRPr="00171A60" w:rsidRDefault="00AC3C57">
            <w:pPr>
              <w:pStyle w:val="ARtabletextright"/>
              <w:spacing w:before="30" w:after="20"/>
            </w:pPr>
            <w:r w:rsidRPr="00171A60">
              <w:t>18</w:t>
            </w:r>
          </w:p>
        </w:tc>
        <w:tc>
          <w:tcPr>
            <w:tcW w:w="1134" w:type="dxa"/>
            <w:tcBorders>
              <w:top w:val="single" w:sz="4" w:space="0" w:color="BFBFBF" w:themeColor="background1" w:themeShade="BF"/>
            </w:tcBorders>
          </w:tcPr>
          <w:p w14:paraId="5F7F7DEA"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1</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tcBorders>
          </w:tcPr>
          <w:p w14:paraId="390E5D97" w14:textId="77777777" w:rsidR="00AC3C57" w:rsidRPr="00171A60" w:rsidRDefault="00AC3C57">
            <w:pPr>
              <w:pStyle w:val="ARtabletextright"/>
              <w:spacing w:before="30" w:after="20"/>
            </w:pPr>
            <w:r w:rsidRPr="00171A60">
              <w:t>6</w:t>
            </w:r>
          </w:p>
        </w:tc>
        <w:tc>
          <w:tcPr>
            <w:tcW w:w="1134" w:type="dxa"/>
            <w:tcBorders>
              <w:top w:val="single" w:sz="4" w:space="0" w:color="BFBFBF" w:themeColor="background1" w:themeShade="BF"/>
            </w:tcBorders>
          </w:tcPr>
          <w:p w14:paraId="77292CB0"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1</w:t>
            </w:r>
          </w:p>
        </w:tc>
      </w:tr>
      <w:tr w:rsidR="00AC3C57" w:rsidRPr="008E2F75" w14:paraId="230CCFCE" w14:textId="77777777" w:rsidTr="005353B4">
        <w:trPr>
          <w:cantSplit w:val="0"/>
          <w:trHeight w:val="225"/>
        </w:trPr>
        <w:tc>
          <w:tcPr>
            <w:tcW w:w="2835" w:type="dxa"/>
            <w:tcBorders>
              <w:bottom w:val="single" w:sz="4" w:space="0" w:color="auto"/>
            </w:tcBorders>
          </w:tcPr>
          <w:p w14:paraId="19922147" w14:textId="77777777" w:rsidR="00AC3C57" w:rsidRPr="00171A60" w:rsidRDefault="00AC3C57">
            <w:pPr>
              <w:pStyle w:val="ARtabletext"/>
              <w:spacing w:before="30" w:after="20"/>
              <w:rPr>
                <w:b/>
              </w:rPr>
            </w:pPr>
            <w:r w:rsidRPr="00171A60">
              <w:rPr>
                <w:rFonts w:eastAsia="Calibri"/>
                <w:b/>
              </w:rPr>
              <w:t>Total passenger vehicles</w:t>
            </w:r>
          </w:p>
        </w:tc>
        <w:tc>
          <w:tcPr>
            <w:cnfStyle w:val="000001000000" w:firstRow="0" w:lastRow="0" w:firstColumn="0" w:lastColumn="0" w:oddVBand="0" w:evenVBand="1" w:oddHBand="0" w:evenHBand="0" w:firstRowFirstColumn="0" w:firstRowLastColumn="0" w:lastRowFirstColumn="0" w:lastRowLastColumn="0"/>
            <w:tcW w:w="1134" w:type="dxa"/>
            <w:tcBorders>
              <w:bottom w:val="single" w:sz="4" w:space="0" w:color="auto"/>
            </w:tcBorders>
          </w:tcPr>
          <w:p w14:paraId="16134FB4" w14:textId="77777777" w:rsidR="00AC3C57" w:rsidRPr="00171A60" w:rsidRDefault="00AC3C57">
            <w:pPr>
              <w:pStyle w:val="ARtabletextrightbold"/>
              <w:spacing w:before="30" w:after="20"/>
            </w:pPr>
            <w:r>
              <w:t>1,255</w:t>
            </w:r>
          </w:p>
        </w:tc>
        <w:tc>
          <w:tcPr>
            <w:tcW w:w="1134" w:type="dxa"/>
            <w:tcBorders>
              <w:bottom w:val="single" w:sz="4" w:space="0" w:color="auto"/>
            </w:tcBorders>
          </w:tcPr>
          <w:p w14:paraId="7DE56020" w14:textId="77777777" w:rsidR="00AC3C57" w:rsidRPr="00171A60" w:rsidRDefault="00AC3C57">
            <w:pPr>
              <w:pStyle w:val="ARtabletextrightbold"/>
              <w:spacing w:before="30" w:after="20"/>
              <w:cnfStyle w:val="000000000000" w:firstRow="0" w:lastRow="0" w:firstColumn="0" w:lastColumn="0" w:oddVBand="0" w:evenVBand="0" w:oddHBand="0" w:evenHBand="0" w:firstRowFirstColumn="0" w:firstRowLastColumn="0" w:lastRowFirstColumn="0" w:lastRowLastColumn="0"/>
            </w:pPr>
            <w:r w:rsidRPr="00171A60">
              <w:t>99</w:t>
            </w:r>
          </w:p>
        </w:tc>
        <w:tc>
          <w:tcPr>
            <w:cnfStyle w:val="000001000000" w:firstRow="0" w:lastRow="0" w:firstColumn="0" w:lastColumn="0" w:oddVBand="0" w:evenVBand="1" w:oddHBand="0" w:evenHBand="0" w:firstRowFirstColumn="0" w:firstRowLastColumn="0" w:lastRowFirstColumn="0" w:lastRowLastColumn="0"/>
            <w:tcW w:w="1134" w:type="dxa"/>
            <w:tcBorders>
              <w:bottom w:val="single" w:sz="4" w:space="0" w:color="auto"/>
            </w:tcBorders>
          </w:tcPr>
          <w:p w14:paraId="63A5A8DE" w14:textId="77777777" w:rsidR="00AC3C57" w:rsidRPr="00171A60" w:rsidRDefault="00AC3C57">
            <w:pPr>
              <w:pStyle w:val="ARtabletextrightbold"/>
              <w:spacing w:before="30" w:after="20"/>
            </w:pPr>
            <w:r>
              <w:t>1,234</w:t>
            </w:r>
          </w:p>
        </w:tc>
        <w:tc>
          <w:tcPr>
            <w:tcW w:w="1134" w:type="dxa"/>
            <w:tcBorders>
              <w:bottom w:val="single" w:sz="4" w:space="0" w:color="auto"/>
            </w:tcBorders>
          </w:tcPr>
          <w:p w14:paraId="654C2AD5" w14:textId="77777777" w:rsidR="00AC3C57" w:rsidRPr="00171A60" w:rsidRDefault="00AC3C57">
            <w:pPr>
              <w:pStyle w:val="ARtabletextrightbold"/>
              <w:spacing w:before="30" w:after="20"/>
              <w:cnfStyle w:val="000000000000" w:firstRow="0" w:lastRow="0" w:firstColumn="0" w:lastColumn="0" w:oddVBand="0" w:evenVBand="0" w:oddHBand="0" w:evenHBand="0" w:firstRowFirstColumn="0" w:firstRowLastColumn="0" w:lastRowFirstColumn="0" w:lastRowLastColumn="0"/>
            </w:pPr>
            <w:r w:rsidRPr="00171A60">
              <w:t>99</w:t>
            </w:r>
          </w:p>
        </w:tc>
        <w:tc>
          <w:tcPr>
            <w:cnfStyle w:val="000001000000" w:firstRow="0" w:lastRow="0" w:firstColumn="0" w:lastColumn="0" w:oddVBand="0" w:evenVBand="1" w:oddHBand="0" w:evenHBand="0" w:firstRowFirstColumn="0" w:firstRowLastColumn="0" w:lastRowFirstColumn="0" w:lastRowLastColumn="0"/>
            <w:tcW w:w="1134" w:type="dxa"/>
            <w:tcBorders>
              <w:bottom w:val="single" w:sz="4" w:space="0" w:color="auto"/>
            </w:tcBorders>
          </w:tcPr>
          <w:p w14:paraId="36141395" w14:textId="77777777" w:rsidR="00AC3C57" w:rsidRPr="00171A60" w:rsidRDefault="00AC3C57">
            <w:pPr>
              <w:pStyle w:val="ARtabletextrightbold"/>
              <w:spacing w:before="30" w:after="20"/>
            </w:pPr>
            <w:r>
              <w:t>1,222</w:t>
            </w:r>
          </w:p>
        </w:tc>
        <w:tc>
          <w:tcPr>
            <w:tcW w:w="1134" w:type="dxa"/>
            <w:tcBorders>
              <w:bottom w:val="single" w:sz="4" w:space="0" w:color="auto"/>
            </w:tcBorders>
          </w:tcPr>
          <w:p w14:paraId="3B400BAD" w14:textId="77777777" w:rsidR="00AC3C57" w:rsidRPr="00171A60" w:rsidRDefault="00AC3C57">
            <w:pPr>
              <w:pStyle w:val="ARtabletextrightbold"/>
              <w:spacing w:before="30" w:after="20"/>
              <w:cnfStyle w:val="000000000000" w:firstRow="0" w:lastRow="0" w:firstColumn="0" w:lastColumn="0" w:oddVBand="0" w:evenVBand="0" w:oddHBand="0" w:evenHBand="0" w:firstRowFirstColumn="0" w:firstRowLastColumn="0" w:lastRowFirstColumn="0" w:lastRowLastColumn="0"/>
            </w:pPr>
            <w:r w:rsidRPr="00171A60">
              <w:t>99</w:t>
            </w:r>
          </w:p>
        </w:tc>
      </w:tr>
      <w:tr w:rsidR="00AC3C57" w:rsidRPr="008E2F75" w14:paraId="5E408B4D" w14:textId="77777777" w:rsidTr="005353B4">
        <w:trPr>
          <w:trHeight w:val="225"/>
        </w:trPr>
        <w:tc>
          <w:tcPr>
            <w:tcW w:w="9639" w:type="dxa"/>
            <w:gridSpan w:val="7"/>
            <w:tcBorders>
              <w:top w:val="single" w:sz="4" w:space="0" w:color="auto"/>
              <w:bottom w:val="single" w:sz="4" w:space="0" w:color="BFBFBF" w:themeColor="background1" w:themeShade="BF"/>
            </w:tcBorders>
          </w:tcPr>
          <w:p w14:paraId="3D8CD127" w14:textId="77777777" w:rsidR="00AC3C57" w:rsidRPr="00171A60" w:rsidRDefault="00AC3C57">
            <w:pPr>
              <w:pStyle w:val="ARtabletext"/>
              <w:spacing w:before="30" w:after="20"/>
            </w:pPr>
            <w:r w:rsidRPr="00171A60">
              <w:rPr>
                <w:rFonts w:eastAsia="Calibri"/>
                <w:b/>
              </w:rPr>
              <w:t>Goods vehicles</w:t>
            </w:r>
          </w:p>
        </w:tc>
      </w:tr>
      <w:tr w:rsidR="00AC3C57" w:rsidRPr="008E2F75" w14:paraId="6E1D1632" w14:textId="77777777" w:rsidTr="005353B4">
        <w:trPr>
          <w:trHeight w:val="225"/>
        </w:trPr>
        <w:tc>
          <w:tcPr>
            <w:tcW w:w="9639" w:type="dxa"/>
            <w:gridSpan w:val="7"/>
            <w:tcBorders>
              <w:top w:val="single" w:sz="4" w:space="0" w:color="BFBFBF" w:themeColor="background1" w:themeShade="BF"/>
              <w:bottom w:val="single" w:sz="4" w:space="0" w:color="BFBFBF" w:themeColor="background1" w:themeShade="BF"/>
            </w:tcBorders>
          </w:tcPr>
          <w:p w14:paraId="6D2CE369" w14:textId="77777777" w:rsidR="00AC3C57" w:rsidRPr="00171A60" w:rsidRDefault="00AC3C57">
            <w:pPr>
              <w:pStyle w:val="ARtabletextbold"/>
              <w:spacing w:before="30" w:after="20"/>
            </w:pPr>
            <w:r w:rsidRPr="00171A60">
              <w:t>Internal combustion engines</w:t>
            </w:r>
          </w:p>
        </w:tc>
      </w:tr>
      <w:tr w:rsidR="00AC3C57" w:rsidRPr="008E2F75" w14:paraId="471D54F3" w14:textId="77777777" w:rsidTr="005353B4">
        <w:trPr>
          <w:trHeight w:val="225"/>
        </w:trPr>
        <w:tc>
          <w:tcPr>
            <w:tcW w:w="2835" w:type="dxa"/>
            <w:tcBorders>
              <w:top w:val="single" w:sz="4" w:space="0" w:color="BFBFBF" w:themeColor="background1" w:themeShade="BF"/>
              <w:bottom w:val="single" w:sz="4" w:space="0" w:color="BFBFBF" w:themeColor="background1" w:themeShade="BF"/>
            </w:tcBorders>
          </w:tcPr>
          <w:p w14:paraId="6CE98176" w14:textId="77777777" w:rsidR="00AC3C57" w:rsidRPr="00171A60" w:rsidRDefault="00AC3C57">
            <w:pPr>
              <w:pStyle w:val="ARtabletext"/>
              <w:spacing w:before="30" w:after="20"/>
            </w:pPr>
            <w:r w:rsidRPr="00171A60">
              <w:rPr>
                <w:rFonts w:eastAsia="Calibri"/>
              </w:rPr>
              <w:t>Petrol</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55186B1A"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BFBFBF" w:themeColor="background1" w:themeShade="BF"/>
            </w:tcBorders>
          </w:tcPr>
          <w:p w14:paraId="24D19931"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6453">
              <w:t>–</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17EEB0FD"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BFBFBF" w:themeColor="background1" w:themeShade="BF"/>
            </w:tcBorders>
          </w:tcPr>
          <w:p w14:paraId="3B0898A0"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6453">
              <w:t>–</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53D40D3D"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BFBFBF" w:themeColor="background1" w:themeShade="BF"/>
            </w:tcBorders>
          </w:tcPr>
          <w:p w14:paraId="090CB235" w14:textId="77777777" w:rsidR="00AC3C57" w:rsidRPr="008E2F75"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D1293">
              <w:t>–</w:t>
            </w:r>
          </w:p>
        </w:tc>
      </w:tr>
      <w:tr w:rsidR="00AC3C57" w:rsidRPr="008E2F75" w14:paraId="52A9689E" w14:textId="77777777" w:rsidTr="005353B4">
        <w:trPr>
          <w:trHeight w:val="225"/>
        </w:trPr>
        <w:tc>
          <w:tcPr>
            <w:tcW w:w="2835" w:type="dxa"/>
            <w:tcBorders>
              <w:top w:val="single" w:sz="4" w:space="0" w:color="BFBFBF" w:themeColor="background1" w:themeShade="BF"/>
              <w:bottom w:val="single" w:sz="4" w:space="0" w:color="BFBFBF" w:themeColor="background1" w:themeShade="BF"/>
            </w:tcBorders>
          </w:tcPr>
          <w:p w14:paraId="4B50C2DF" w14:textId="77777777" w:rsidR="00AC3C57" w:rsidRPr="00171A60" w:rsidRDefault="00AC3C57">
            <w:pPr>
              <w:pStyle w:val="ARtabletext"/>
              <w:spacing w:before="30" w:after="20"/>
            </w:pPr>
            <w:r w:rsidRPr="00171A60">
              <w:rPr>
                <w:rFonts w:eastAsia="Calibri"/>
              </w:rPr>
              <w:t>Diesel/biodiesel</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7450C19F" w14:textId="77777777" w:rsidR="00AC3C57" w:rsidRPr="00171A60" w:rsidRDefault="00AC3C57">
            <w:pPr>
              <w:pStyle w:val="ARtabletextright"/>
              <w:spacing w:before="30" w:after="20"/>
            </w:pPr>
            <w:r w:rsidRPr="00171A60">
              <w:t>4</w:t>
            </w:r>
          </w:p>
        </w:tc>
        <w:tc>
          <w:tcPr>
            <w:tcW w:w="1134" w:type="dxa"/>
            <w:tcBorders>
              <w:top w:val="single" w:sz="4" w:space="0" w:color="BFBFBF" w:themeColor="background1" w:themeShade="BF"/>
              <w:bottom w:val="single" w:sz="4" w:space="0" w:color="BFBFBF" w:themeColor="background1" w:themeShade="BF"/>
            </w:tcBorders>
          </w:tcPr>
          <w:p w14:paraId="5920DE15"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1</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5CF4A611" w14:textId="77777777" w:rsidR="00AC3C57" w:rsidRPr="00171A60" w:rsidRDefault="00AC3C57">
            <w:pPr>
              <w:pStyle w:val="ARtabletextright"/>
              <w:spacing w:before="30" w:after="20"/>
            </w:pPr>
            <w:r w:rsidRPr="00171A60">
              <w:t>7</w:t>
            </w:r>
          </w:p>
        </w:tc>
        <w:tc>
          <w:tcPr>
            <w:tcW w:w="1134" w:type="dxa"/>
            <w:tcBorders>
              <w:top w:val="single" w:sz="4" w:space="0" w:color="BFBFBF" w:themeColor="background1" w:themeShade="BF"/>
              <w:bottom w:val="single" w:sz="4" w:space="0" w:color="BFBFBF" w:themeColor="background1" w:themeShade="BF"/>
            </w:tcBorders>
          </w:tcPr>
          <w:p w14:paraId="3093BD3B"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1</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2ECF5F38" w14:textId="77777777" w:rsidR="00AC3C57" w:rsidRPr="00171A60" w:rsidRDefault="00AC3C57">
            <w:pPr>
              <w:pStyle w:val="ARtabletextright"/>
              <w:spacing w:before="30" w:after="20"/>
            </w:pPr>
            <w:r w:rsidRPr="00171A60">
              <w:t>6</w:t>
            </w:r>
          </w:p>
        </w:tc>
        <w:tc>
          <w:tcPr>
            <w:tcW w:w="1134" w:type="dxa"/>
            <w:tcBorders>
              <w:top w:val="single" w:sz="4" w:space="0" w:color="BFBFBF" w:themeColor="background1" w:themeShade="BF"/>
              <w:bottom w:val="single" w:sz="4" w:space="0" w:color="BFBFBF" w:themeColor="background1" w:themeShade="BF"/>
            </w:tcBorders>
          </w:tcPr>
          <w:p w14:paraId="6484B890"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71A60">
              <w:t>0.5</w:t>
            </w:r>
          </w:p>
        </w:tc>
      </w:tr>
      <w:tr w:rsidR="00AC3C57" w:rsidRPr="008E2F75" w14:paraId="212CB5F4" w14:textId="77777777" w:rsidTr="005353B4">
        <w:trPr>
          <w:trHeight w:val="225"/>
        </w:trPr>
        <w:tc>
          <w:tcPr>
            <w:tcW w:w="2835" w:type="dxa"/>
            <w:tcBorders>
              <w:top w:val="single" w:sz="4" w:space="0" w:color="BFBFBF" w:themeColor="background1" w:themeShade="BF"/>
              <w:bottom w:val="single" w:sz="4" w:space="0" w:color="BFBFBF" w:themeColor="background1" w:themeShade="BF"/>
            </w:tcBorders>
          </w:tcPr>
          <w:p w14:paraId="481F5C5A" w14:textId="77777777" w:rsidR="00AC3C57" w:rsidRPr="00171A60" w:rsidRDefault="00AC3C57">
            <w:pPr>
              <w:pStyle w:val="ARtabletext"/>
              <w:spacing w:before="30" w:after="20"/>
              <w:rPr>
                <w:rFonts w:eastAsia="Calibri"/>
              </w:rPr>
            </w:pPr>
            <w:r w:rsidRPr="00171A60">
              <w:rPr>
                <w:rFonts w:eastAsia="Calibri"/>
              </w:rPr>
              <w:t>Hybrid/unleaded</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7626B232"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BFBFBF" w:themeColor="background1" w:themeShade="BF"/>
            </w:tcBorders>
          </w:tcPr>
          <w:p w14:paraId="458F2FA2"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6453">
              <w:t>–</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21234347"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BFBFBF" w:themeColor="background1" w:themeShade="BF"/>
            </w:tcBorders>
          </w:tcPr>
          <w:p w14:paraId="60D8C412"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6453">
              <w:t>–</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76E6D91A"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BFBFBF" w:themeColor="background1" w:themeShade="BF"/>
            </w:tcBorders>
          </w:tcPr>
          <w:p w14:paraId="1123B03C" w14:textId="77777777" w:rsidR="00AC3C57" w:rsidRPr="008E2F75"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6453">
              <w:t>–</w:t>
            </w:r>
          </w:p>
        </w:tc>
      </w:tr>
      <w:tr w:rsidR="00AC3C57" w:rsidRPr="008E2F75" w14:paraId="42AD01A6" w14:textId="77777777" w:rsidTr="005353B4">
        <w:trPr>
          <w:trHeight w:val="225"/>
        </w:trPr>
        <w:tc>
          <w:tcPr>
            <w:tcW w:w="2835" w:type="dxa"/>
            <w:tcBorders>
              <w:top w:val="single" w:sz="4" w:space="0" w:color="BFBFBF" w:themeColor="background1" w:themeShade="BF"/>
              <w:bottom w:val="single" w:sz="4" w:space="0" w:color="BFBFBF" w:themeColor="background1" w:themeShade="BF"/>
            </w:tcBorders>
          </w:tcPr>
          <w:p w14:paraId="4B4D2868" w14:textId="77777777" w:rsidR="00AC3C57" w:rsidRPr="00171A60" w:rsidRDefault="00AC3C57">
            <w:pPr>
              <w:pStyle w:val="ARtabletext"/>
              <w:spacing w:before="30" w:after="20"/>
            </w:pPr>
            <w:r w:rsidRPr="00171A60">
              <w:rPr>
                <w:rFonts w:eastAsia="Calibri"/>
              </w:rPr>
              <w:t>Plug-in hybrid electric vehicle (PHEV)</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6A1404A8"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BFBFBF" w:themeColor="background1" w:themeShade="BF"/>
            </w:tcBorders>
          </w:tcPr>
          <w:p w14:paraId="1D0389EF"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6453">
              <w:t>–</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2BCF54B1"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BFBFBF" w:themeColor="background1" w:themeShade="BF"/>
            </w:tcBorders>
          </w:tcPr>
          <w:p w14:paraId="4BF0CCFD"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6453">
              <w:t>–</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BFBFBF" w:themeColor="background1" w:themeShade="BF"/>
            </w:tcBorders>
          </w:tcPr>
          <w:p w14:paraId="6FF4D2B6"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BFBFBF" w:themeColor="background1" w:themeShade="BF"/>
            </w:tcBorders>
          </w:tcPr>
          <w:p w14:paraId="1E4470ED" w14:textId="77777777" w:rsidR="00AC3C57" w:rsidRPr="008E2F75"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6453">
              <w:t>–</w:t>
            </w:r>
          </w:p>
        </w:tc>
      </w:tr>
      <w:tr w:rsidR="00AC3C57" w:rsidRPr="008E2F75" w14:paraId="270AB835" w14:textId="77777777" w:rsidTr="005353B4">
        <w:trPr>
          <w:trHeight w:val="240"/>
        </w:trPr>
        <w:tc>
          <w:tcPr>
            <w:tcW w:w="2835" w:type="dxa"/>
            <w:tcBorders>
              <w:top w:val="single" w:sz="4" w:space="0" w:color="BFBFBF" w:themeColor="background1" w:themeShade="BF"/>
              <w:bottom w:val="single" w:sz="4" w:space="0" w:color="A6A6A6" w:themeColor="accent5"/>
            </w:tcBorders>
          </w:tcPr>
          <w:p w14:paraId="02251713" w14:textId="77777777" w:rsidR="00AC3C57" w:rsidRPr="00171A60" w:rsidRDefault="00AC3C57">
            <w:pPr>
              <w:pStyle w:val="ARtabletext"/>
              <w:spacing w:before="30" w:after="20"/>
            </w:pPr>
            <w:r w:rsidRPr="00171A60">
              <w:rPr>
                <w:rFonts w:eastAsia="Calibri"/>
              </w:rPr>
              <w:t>Range-extended electric vehicle</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A6A6A6" w:themeColor="accent5"/>
            </w:tcBorders>
          </w:tcPr>
          <w:p w14:paraId="63F2D83E"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A6A6A6" w:themeColor="accent5"/>
            </w:tcBorders>
          </w:tcPr>
          <w:p w14:paraId="765EA009"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6453">
              <w:t>–</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A6A6A6" w:themeColor="accent5"/>
            </w:tcBorders>
          </w:tcPr>
          <w:p w14:paraId="272E5E20"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A6A6A6" w:themeColor="accent5"/>
            </w:tcBorders>
          </w:tcPr>
          <w:p w14:paraId="38DDB7FC" w14:textId="77777777" w:rsidR="00AC3C57" w:rsidRPr="00171A60"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6453">
              <w:t>–</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BFBFBF" w:themeColor="background1" w:themeShade="BF"/>
              <w:bottom w:val="single" w:sz="4" w:space="0" w:color="A6A6A6" w:themeColor="accent5"/>
            </w:tcBorders>
          </w:tcPr>
          <w:p w14:paraId="2CE80787" w14:textId="77777777" w:rsidR="00AC3C57" w:rsidRPr="00171A60" w:rsidRDefault="00AC3C57">
            <w:pPr>
              <w:pStyle w:val="ARtabletextright"/>
              <w:spacing w:before="30" w:after="20"/>
            </w:pPr>
            <w:r w:rsidRPr="00036453">
              <w:t>–</w:t>
            </w:r>
          </w:p>
        </w:tc>
        <w:tc>
          <w:tcPr>
            <w:tcW w:w="1134" w:type="dxa"/>
            <w:tcBorders>
              <w:top w:val="single" w:sz="4" w:space="0" w:color="BFBFBF" w:themeColor="background1" w:themeShade="BF"/>
              <w:bottom w:val="single" w:sz="4" w:space="0" w:color="A6A6A6" w:themeColor="accent5"/>
            </w:tcBorders>
          </w:tcPr>
          <w:p w14:paraId="5C759CBC" w14:textId="77777777" w:rsidR="00AC3C57" w:rsidRPr="008E2F75"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6453">
              <w:t>–</w:t>
            </w:r>
          </w:p>
        </w:tc>
      </w:tr>
      <w:tr w:rsidR="00AC3C57" w:rsidRPr="008E2F75" w14:paraId="62A20A0F" w14:textId="77777777" w:rsidTr="005353B4">
        <w:trPr>
          <w:trHeight w:val="240"/>
        </w:trPr>
        <w:tc>
          <w:tcPr>
            <w:tcW w:w="2835" w:type="dxa"/>
            <w:tcBorders>
              <w:top w:val="single" w:sz="4" w:space="0" w:color="A6A6A6" w:themeColor="accent5"/>
              <w:bottom w:val="single" w:sz="4" w:space="0" w:color="A6A6A6" w:themeColor="accent5"/>
            </w:tcBorders>
          </w:tcPr>
          <w:p w14:paraId="61498FE9" w14:textId="77777777" w:rsidR="00AC3C57" w:rsidRPr="00171A60" w:rsidRDefault="00AC3C57">
            <w:pPr>
              <w:pStyle w:val="ARtabletextbold"/>
              <w:spacing w:before="30" w:after="20"/>
            </w:pPr>
            <w:r w:rsidRPr="00171A60">
              <w:t>Total goods vehicles</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A6A6A6" w:themeColor="accent5"/>
              <w:bottom w:val="single" w:sz="4" w:space="0" w:color="A6A6A6" w:themeColor="accent5"/>
            </w:tcBorders>
          </w:tcPr>
          <w:p w14:paraId="5E22C27F" w14:textId="77777777" w:rsidR="00AC3C57" w:rsidRPr="00171A60" w:rsidRDefault="00AC3C57">
            <w:pPr>
              <w:pStyle w:val="ARtabletextrightbold"/>
              <w:spacing w:before="30" w:after="20"/>
            </w:pPr>
            <w:r w:rsidRPr="00171A60">
              <w:t>4</w:t>
            </w:r>
          </w:p>
        </w:tc>
        <w:tc>
          <w:tcPr>
            <w:tcW w:w="1134" w:type="dxa"/>
            <w:tcBorders>
              <w:top w:val="single" w:sz="4" w:space="0" w:color="A6A6A6" w:themeColor="accent5"/>
              <w:bottom w:val="single" w:sz="4" w:space="0" w:color="A6A6A6" w:themeColor="accent5"/>
            </w:tcBorders>
          </w:tcPr>
          <w:p w14:paraId="768C6EB4" w14:textId="77777777" w:rsidR="00AC3C57" w:rsidRPr="00171A60" w:rsidRDefault="00AC3C57">
            <w:pPr>
              <w:pStyle w:val="ARtabletextrightbold"/>
              <w:spacing w:before="30" w:after="20"/>
              <w:cnfStyle w:val="000000000000" w:firstRow="0" w:lastRow="0" w:firstColumn="0" w:lastColumn="0" w:oddVBand="0" w:evenVBand="0" w:oddHBand="0" w:evenHBand="0" w:firstRowFirstColumn="0" w:firstRowLastColumn="0" w:lastRowFirstColumn="0" w:lastRowLastColumn="0"/>
            </w:pPr>
            <w:r w:rsidRPr="00171A60">
              <w:t>1</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A6A6A6" w:themeColor="accent5"/>
              <w:bottom w:val="single" w:sz="4" w:space="0" w:color="A6A6A6" w:themeColor="accent5"/>
            </w:tcBorders>
          </w:tcPr>
          <w:p w14:paraId="047FF72A" w14:textId="77777777" w:rsidR="00AC3C57" w:rsidRPr="00171A60" w:rsidRDefault="00AC3C57">
            <w:pPr>
              <w:pStyle w:val="ARtabletextrightbold"/>
              <w:spacing w:before="30" w:after="20"/>
            </w:pPr>
            <w:r w:rsidRPr="00171A60">
              <w:t>7</w:t>
            </w:r>
          </w:p>
        </w:tc>
        <w:tc>
          <w:tcPr>
            <w:tcW w:w="1134" w:type="dxa"/>
            <w:tcBorders>
              <w:top w:val="single" w:sz="4" w:space="0" w:color="A6A6A6" w:themeColor="accent5"/>
              <w:bottom w:val="single" w:sz="4" w:space="0" w:color="A6A6A6" w:themeColor="accent5"/>
            </w:tcBorders>
          </w:tcPr>
          <w:p w14:paraId="3C39BED4" w14:textId="77777777" w:rsidR="00AC3C57" w:rsidRPr="00171A60" w:rsidRDefault="00AC3C57">
            <w:pPr>
              <w:pStyle w:val="ARtabletextrightbold"/>
              <w:spacing w:before="30" w:after="20"/>
              <w:cnfStyle w:val="000000000000" w:firstRow="0" w:lastRow="0" w:firstColumn="0" w:lastColumn="0" w:oddVBand="0" w:evenVBand="0" w:oddHBand="0" w:evenHBand="0" w:firstRowFirstColumn="0" w:firstRowLastColumn="0" w:lastRowFirstColumn="0" w:lastRowLastColumn="0"/>
            </w:pPr>
            <w:r w:rsidRPr="00171A60">
              <w:t>1</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A6A6A6" w:themeColor="accent5"/>
              <w:bottom w:val="single" w:sz="4" w:space="0" w:color="A6A6A6" w:themeColor="accent5"/>
            </w:tcBorders>
          </w:tcPr>
          <w:p w14:paraId="0E5AAA2E" w14:textId="77777777" w:rsidR="00AC3C57" w:rsidRPr="00171A60" w:rsidRDefault="00AC3C57">
            <w:pPr>
              <w:pStyle w:val="ARtabletextrightbold"/>
              <w:spacing w:before="30" w:after="20"/>
            </w:pPr>
            <w:r w:rsidRPr="00171A60">
              <w:t>6</w:t>
            </w:r>
          </w:p>
        </w:tc>
        <w:tc>
          <w:tcPr>
            <w:tcW w:w="1134" w:type="dxa"/>
            <w:tcBorders>
              <w:top w:val="single" w:sz="4" w:space="0" w:color="A6A6A6" w:themeColor="accent5"/>
              <w:bottom w:val="single" w:sz="4" w:space="0" w:color="A6A6A6" w:themeColor="accent5"/>
            </w:tcBorders>
          </w:tcPr>
          <w:p w14:paraId="473F4E0C" w14:textId="77777777" w:rsidR="00AC3C57" w:rsidRPr="00171A60" w:rsidRDefault="00AC3C57">
            <w:pPr>
              <w:pStyle w:val="ARtabletextrightbold"/>
              <w:spacing w:before="30" w:after="20"/>
              <w:cnfStyle w:val="000000000000" w:firstRow="0" w:lastRow="0" w:firstColumn="0" w:lastColumn="0" w:oddVBand="0" w:evenVBand="0" w:oddHBand="0" w:evenHBand="0" w:firstRowFirstColumn="0" w:firstRowLastColumn="0" w:lastRowFirstColumn="0" w:lastRowLastColumn="0"/>
            </w:pPr>
            <w:r w:rsidRPr="00171A60">
              <w:t>0.5</w:t>
            </w:r>
          </w:p>
        </w:tc>
      </w:tr>
      <w:tr w:rsidR="00AC3C57" w:rsidRPr="008E2F75" w14:paraId="2FF79F51" w14:textId="77777777" w:rsidTr="005353B4">
        <w:trPr>
          <w:cnfStyle w:val="010000000000" w:firstRow="0" w:lastRow="1" w:firstColumn="0" w:lastColumn="0" w:oddVBand="0" w:evenVBand="0" w:oddHBand="0" w:evenHBand="0" w:firstRowFirstColumn="0" w:firstRowLastColumn="0" w:lastRowFirstColumn="0" w:lastRowLastColumn="0"/>
          <w:trHeight w:val="240"/>
        </w:trPr>
        <w:tc>
          <w:tcPr>
            <w:tcW w:w="2835" w:type="dxa"/>
            <w:tcBorders>
              <w:top w:val="single" w:sz="4" w:space="0" w:color="A6A6A6" w:themeColor="accent5"/>
            </w:tcBorders>
          </w:tcPr>
          <w:p w14:paraId="7D68CA45" w14:textId="77777777" w:rsidR="00AC3C57" w:rsidRPr="00171A60" w:rsidRDefault="00AC3C57">
            <w:pPr>
              <w:pStyle w:val="ARtabletextbold"/>
              <w:spacing w:before="30" w:after="20"/>
            </w:pPr>
            <w:r w:rsidRPr="00171A60">
              <w:lastRenderedPageBreak/>
              <w:t>T2 Number and proportion of vehicles – department fleet</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A6A6A6" w:themeColor="accent5"/>
            </w:tcBorders>
          </w:tcPr>
          <w:p w14:paraId="3824BDB1" w14:textId="77777777" w:rsidR="00AC3C57" w:rsidRPr="00171A60" w:rsidRDefault="00AC3C57">
            <w:pPr>
              <w:pStyle w:val="ARtabletextrightbold"/>
              <w:spacing w:before="30" w:after="20"/>
            </w:pPr>
            <w:r>
              <w:t>1,259</w:t>
            </w:r>
          </w:p>
        </w:tc>
        <w:tc>
          <w:tcPr>
            <w:tcW w:w="1134" w:type="dxa"/>
            <w:tcBorders>
              <w:top w:val="single" w:sz="4" w:space="0" w:color="A6A6A6" w:themeColor="accent5"/>
            </w:tcBorders>
          </w:tcPr>
          <w:p w14:paraId="748DF641" w14:textId="77777777" w:rsidR="00AC3C57" w:rsidRPr="00171A60"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171A60">
              <w:t>100</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A6A6A6" w:themeColor="accent5"/>
            </w:tcBorders>
          </w:tcPr>
          <w:p w14:paraId="052D1C58" w14:textId="77777777" w:rsidR="00AC3C57" w:rsidRPr="00171A60" w:rsidRDefault="00AC3C57">
            <w:pPr>
              <w:pStyle w:val="ARtabletextrightbold"/>
              <w:spacing w:before="30" w:after="20"/>
            </w:pPr>
            <w:r w:rsidRPr="00171A60">
              <w:t>1,241</w:t>
            </w:r>
          </w:p>
        </w:tc>
        <w:tc>
          <w:tcPr>
            <w:tcW w:w="1134" w:type="dxa"/>
            <w:tcBorders>
              <w:top w:val="single" w:sz="4" w:space="0" w:color="A6A6A6" w:themeColor="accent5"/>
            </w:tcBorders>
          </w:tcPr>
          <w:p w14:paraId="2EA511D8" w14:textId="77777777" w:rsidR="00AC3C57" w:rsidRPr="00171A60"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171A60">
              <w:t>100</w:t>
            </w:r>
          </w:p>
        </w:tc>
        <w:tc>
          <w:tcPr>
            <w:cnfStyle w:val="000001000000" w:firstRow="0" w:lastRow="0" w:firstColumn="0" w:lastColumn="0" w:oddVBand="0" w:evenVBand="1" w:oddHBand="0" w:evenHBand="0" w:firstRowFirstColumn="0" w:firstRowLastColumn="0" w:lastRowFirstColumn="0" w:lastRowLastColumn="0"/>
            <w:tcW w:w="1134" w:type="dxa"/>
            <w:tcBorders>
              <w:top w:val="single" w:sz="4" w:space="0" w:color="A6A6A6" w:themeColor="accent5"/>
            </w:tcBorders>
          </w:tcPr>
          <w:p w14:paraId="0DAA55F3" w14:textId="77777777" w:rsidR="00AC3C57" w:rsidRPr="00171A60" w:rsidRDefault="00AC3C57">
            <w:pPr>
              <w:pStyle w:val="ARtabletextrightbold"/>
              <w:spacing w:before="30" w:after="20"/>
            </w:pPr>
            <w:r w:rsidRPr="00171A60">
              <w:t>1,228</w:t>
            </w:r>
          </w:p>
        </w:tc>
        <w:tc>
          <w:tcPr>
            <w:tcW w:w="1134" w:type="dxa"/>
            <w:tcBorders>
              <w:top w:val="single" w:sz="4" w:space="0" w:color="A6A6A6" w:themeColor="accent5"/>
            </w:tcBorders>
          </w:tcPr>
          <w:p w14:paraId="5AB013E2" w14:textId="77777777" w:rsidR="00AC3C57" w:rsidRPr="00171A60"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171A60">
              <w:t>100</w:t>
            </w:r>
          </w:p>
        </w:tc>
      </w:tr>
    </w:tbl>
    <w:p w14:paraId="49A7B493" w14:textId="77777777" w:rsidR="00AC3C57" w:rsidRPr="00716F81" w:rsidRDefault="00AC3C57">
      <w:pPr>
        <w:pStyle w:val="ARtablecaption"/>
      </w:pPr>
      <w:r w:rsidRPr="00716F81">
        <w:t>Total energy used in transportation – department fleet</w:t>
      </w:r>
    </w:p>
    <w:tbl>
      <w:tblPr>
        <w:tblStyle w:val="TableGrid"/>
        <w:tblW w:w="9639" w:type="dxa"/>
        <w:tblLayout w:type="fixed"/>
        <w:tblLook w:val="02E0" w:firstRow="1" w:lastRow="1" w:firstColumn="1" w:lastColumn="0" w:noHBand="1" w:noVBand="0"/>
      </w:tblPr>
      <w:tblGrid>
        <w:gridCol w:w="4536"/>
        <w:gridCol w:w="1701"/>
        <w:gridCol w:w="1701"/>
        <w:gridCol w:w="1701"/>
      </w:tblGrid>
      <w:tr w:rsidR="00AC3C57" w:rsidRPr="00CC5C7C" w14:paraId="091856EF" w14:textId="77777777" w:rsidTr="005353B4">
        <w:trPr>
          <w:cnfStyle w:val="100000000000" w:firstRow="1" w:lastRow="0" w:firstColumn="0" w:lastColumn="0" w:oddVBand="0" w:evenVBand="0" w:oddHBand="0" w:evenHBand="0" w:firstRowFirstColumn="0" w:firstRowLastColumn="0" w:lastRowFirstColumn="0" w:lastRowLastColumn="0"/>
          <w:trHeight w:val="225"/>
          <w:tblHeader/>
        </w:trPr>
        <w:tc>
          <w:tcPr>
            <w:tcW w:w="4536" w:type="dxa"/>
            <w:tcBorders>
              <w:bottom w:val="single" w:sz="4" w:space="0" w:color="auto"/>
            </w:tcBorders>
          </w:tcPr>
          <w:p w14:paraId="41C7568D" w14:textId="77777777" w:rsidR="00AC3C57" w:rsidRPr="00F347EB" w:rsidRDefault="00AC3C57">
            <w:pPr>
              <w:pStyle w:val="ARtablecolhead"/>
              <w:spacing w:before="30" w:after="20"/>
              <w:rPr>
                <w:i/>
              </w:rPr>
            </w:pPr>
            <w:r w:rsidRPr="00F347EB">
              <w:t>Indicator</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tcPr>
          <w:p w14:paraId="17502F53" w14:textId="77777777" w:rsidR="00AC3C57" w:rsidRPr="00AF5CBD" w:rsidRDefault="00AC3C57">
            <w:pPr>
              <w:pStyle w:val="ARtablecolheadright"/>
              <w:spacing w:before="30" w:after="20"/>
            </w:pPr>
            <w:r w:rsidRPr="00AF5CBD">
              <w:t>2024–25</w:t>
            </w:r>
          </w:p>
          <w:p w14:paraId="7A343D4B" w14:textId="77777777" w:rsidR="00AC3C57" w:rsidRPr="00AF5CBD" w:rsidRDefault="00AC3C57">
            <w:pPr>
              <w:pStyle w:val="ARtablecolheadright"/>
              <w:spacing w:before="30" w:after="20"/>
              <w:rPr>
                <w:i/>
              </w:rPr>
            </w:pPr>
            <w:r w:rsidRPr="00AF5CBD">
              <w:t>MJ</w:t>
            </w:r>
          </w:p>
        </w:tc>
        <w:tc>
          <w:tcPr>
            <w:tcW w:w="1701" w:type="dxa"/>
            <w:tcBorders>
              <w:bottom w:val="single" w:sz="4" w:space="0" w:color="auto"/>
            </w:tcBorders>
          </w:tcPr>
          <w:p w14:paraId="412064A6" w14:textId="77777777" w:rsidR="00AC3C57" w:rsidRPr="00AF5CBD"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AF5CBD">
              <w:t>2023–24</w:t>
            </w:r>
          </w:p>
          <w:p w14:paraId="12C21EA2" w14:textId="77777777" w:rsidR="00AC3C57" w:rsidRPr="00AF5CBD"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rPr>
                <w:i/>
              </w:rPr>
            </w:pPr>
            <w:r w:rsidRPr="00AF5CBD">
              <w:t>MJ</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tcPr>
          <w:p w14:paraId="3C1DD6AA" w14:textId="74352A0B" w:rsidR="00AC3C57" w:rsidRPr="00AF5CBD" w:rsidRDefault="00AC3C57">
            <w:pPr>
              <w:pStyle w:val="ARtablecolheadright"/>
              <w:spacing w:before="30" w:after="20"/>
            </w:pPr>
            <w:r w:rsidRPr="00AF5CBD">
              <w:t>2022</w:t>
            </w:r>
            <w:r w:rsidR="00BA2874" w:rsidRPr="00AF5CBD">
              <w:t>–</w:t>
            </w:r>
            <w:r w:rsidRPr="00AF5CBD">
              <w:t>23</w:t>
            </w:r>
          </w:p>
          <w:p w14:paraId="5FC0F8DE" w14:textId="77777777" w:rsidR="00AC3C57" w:rsidRPr="00AF5CBD" w:rsidRDefault="00AC3C57">
            <w:pPr>
              <w:pStyle w:val="ARtablecolheadright"/>
              <w:spacing w:before="30" w:after="20"/>
              <w:rPr>
                <w:i/>
              </w:rPr>
            </w:pPr>
            <w:r w:rsidRPr="00AF5CBD">
              <w:t>MJ</w:t>
            </w:r>
          </w:p>
        </w:tc>
      </w:tr>
      <w:tr w:rsidR="00AC3C57" w:rsidRPr="00CC5C7C" w14:paraId="776DB8AC" w14:textId="77777777" w:rsidTr="005353B4">
        <w:trPr>
          <w:cantSplit w:val="0"/>
          <w:trHeight w:val="225"/>
        </w:trPr>
        <w:tc>
          <w:tcPr>
            <w:tcW w:w="9639" w:type="dxa"/>
            <w:gridSpan w:val="4"/>
            <w:tcBorders>
              <w:top w:val="single" w:sz="4" w:space="0" w:color="auto"/>
              <w:bottom w:val="single" w:sz="4" w:space="0" w:color="BFBFBF" w:themeColor="background1" w:themeShade="BF"/>
            </w:tcBorders>
          </w:tcPr>
          <w:p w14:paraId="05CBD316" w14:textId="77777777" w:rsidR="00AC3C57" w:rsidRPr="00F347EB" w:rsidRDefault="00AC3C57">
            <w:pPr>
              <w:pStyle w:val="ARtabletextbold"/>
              <w:spacing w:before="30" w:after="20"/>
            </w:pPr>
            <w:r w:rsidRPr="00F347EB">
              <w:t>Passenger vehicles</w:t>
            </w:r>
          </w:p>
        </w:tc>
      </w:tr>
      <w:tr w:rsidR="00AC3C57" w:rsidRPr="00CC5C7C" w14:paraId="4E0D0491" w14:textId="77777777" w:rsidTr="005353B4">
        <w:trPr>
          <w:cantSplit w:val="0"/>
          <w:trHeight w:val="225"/>
        </w:trPr>
        <w:tc>
          <w:tcPr>
            <w:tcW w:w="4536" w:type="dxa"/>
            <w:tcBorders>
              <w:top w:val="single" w:sz="4" w:space="0" w:color="BFBFBF" w:themeColor="background1" w:themeShade="BF"/>
              <w:bottom w:val="single" w:sz="4" w:space="0" w:color="BFBFBF" w:themeColor="background1" w:themeShade="BF"/>
            </w:tcBorders>
          </w:tcPr>
          <w:p w14:paraId="47529BD7" w14:textId="77777777" w:rsidR="00AC3C57" w:rsidRPr="00F347EB" w:rsidRDefault="00AC3C57">
            <w:pPr>
              <w:pStyle w:val="ARtabletext"/>
              <w:spacing w:before="30" w:after="20"/>
            </w:pPr>
            <w:r w:rsidRPr="00F347EB">
              <w:t>Petrol</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47315C99" w14:textId="3A9EAD00" w:rsidR="00AC3C57" w:rsidRPr="004523C3" w:rsidRDefault="004523C3">
            <w:pPr>
              <w:pStyle w:val="ARtabletextright"/>
              <w:spacing w:before="30" w:after="20"/>
            </w:pPr>
            <w:r w:rsidRPr="00A906A4">
              <w:t>21,189,739</w:t>
            </w:r>
          </w:p>
        </w:tc>
        <w:tc>
          <w:tcPr>
            <w:tcW w:w="1701" w:type="dxa"/>
            <w:tcBorders>
              <w:top w:val="single" w:sz="4" w:space="0" w:color="BFBFBF" w:themeColor="background1" w:themeShade="BF"/>
              <w:bottom w:val="single" w:sz="4" w:space="0" w:color="BFBFBF" w:themeColor="background1" w:themeShade="BF"/>
            </w:tcBorders>
          </w:tcPr>
          <w:p w14:paraId="4BBA3D16" w14:textId="77777777" w:rsidR="00AC3C57" w:rsidRPr="00AF5CBD"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AF5CBD">
              <w:t>22,926,315</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42C65739" w14:textId="77777777" w:rsidR="00AC3C57" w:rsidRPr="00AF5CBD" w:rsidRDefault="00AC3C57">
            <w:pPr>
              <w:pStyle w:val="ARtabletextright"/>
              <w:spacing w:before="30" w:after="20"/>
            </w:pPr>
            <w:r w:rsidRPr="00AF5CBD">
              <w:t>24,319,620</w:t>
            </w:r>
          </w:p>
        </w:tc>
      </w:tr>
      <w:tr w:rsidR="00AC3C57" w:rsidRPr="00CC5C7C" w14:paraId="5AFDBC37" w14:textId="77777777" w:rsidTr="005353B4">
        <w:trPr>
          <w:cantSplit w:val="0"/>
          <w:trHeight w:val="225"/>
        </w:trPr>
        <w:tc>
          <w:tcPr>
            <w:tcW w:w="4536" w:type="dxa"/>
            <w:tcBorders>
              <w:top w:val="single" w:sz="4" w:space="0" w:color="BFBFBF" w:themeColor="background1" w:themeShade="BF"/>
              <w:bottom w:val="single" w:sz="4" w:space="0" w:color="BFBFBF" w:themeColor="background1" w:themeShade="BF"/>
            </w:tcBorders>
          </w:tcPr>
          <w:p w14:paraId="647506DD" w14:textId="77777777" w:rsidR="00AC3C57" w:rsidRPr="00F347EB" w:rsidRDefault="00AC3C57">
            <w:pPr>
              <w:pStyle w:val="ARtabletext"/>
              <w:spacing w:before="30" w:after="20"/>
            </w:pPr>
            <w:r w:rsidRPr="00F347EB">
              <w:t>Diesel</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78954478" w14:textId="745FB815" w:rsidR="00AC3C57" w:rsidRPr="004523C3" w:rsidRDefault="004523C3">
            <w:pPr>
              <w:pStyle w:val="ARtabletextright"/>
              <w:spacing w:before="30" w:after="20"/>
            </w:pPr>
            <w:r w:rsidRPr="00A906A4">
              <w:t>22,217,967</w:t>
            </w:r>
          </w:p>
        </w:tc>
        <w:tc>
          <w:tcPr>
            <w:tcW w:w="1701" w:type="dxa"/>
            <w:tcBorders>
              <w:top w:val="single" w:sz="4" w:space="0" w:color="BFBFBF" w:themeColor="background1" w:themeShade="BF"/>
              <w:bottom w:val="single" w:sz="4" w:space="0" w:color="BFBFBF" w:themeColor="background1" w:themeShade="BF"/>
            </w:tcBorders>
          </w:tcPr>
          <w:p w14:paraId="117096EC" w14:textId="77777777" w:rsidR="00AC3C57" w:rsidRPr="00AF5CBD"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AF5CBD">
              <w:t>19,135,277</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275AA1CB" w14:textId="77777777" w:rsidR="00AC3C57" w:rsidRPr="00AF5CBD" w:rsidRDefault="00AC3C57">
            <w:pPr>
              <w:pStyle w:val="ARtabletextright"/>
              <w:spacing w:before="30" w:after="20"/>
            </w:pPr>
            <w:r w:rsidRPr="00AF5CBD">
              <w:t>14,410,537</w:t>
            </w:r>
          </w:p>
        </w:tc>
      </w:tr>
      <w:tr w:rsidR="00AC3C57" w:rsidRPr="00CC5C7C" w14:paraId="432F0AD3" w14:textId="77777777" w:rsidTr="005353B4">
        <w:trPr>
          <w:cantSplit w:val="0"/>
          <w:trHeight w:val="225"/>
        </w:trPr>
        <w:tc>
          <w:tcPr>
            <w:tcW w:w="4536" w:type="dxa"/>
            <w:tcBorders>
              <w:top w:val="single" w:sz="4" w:space="0" w:color="BFBFBF" w:themeColor="background1" w:themeShade="BF"/>
              <w:bottom w:val="single" w:sz="4" w:space="0" w:color="BFBFBF" w:themeColor="background1" w:themeShade="BF"/>
            </w:tcBorders>
          </w:tcPr>
          <w:p w14:paraId="532A7128" w14:textId="77777777" w:rsidR="00AC3C57" w:rsidRPr="00F347EB" w:rsidRDefault="00AC3C57">
            <w:pPr>
              <w:pStyle w:val="ARtabletext"/>
              <w:spacing w:before="30" w:after="20"/>
            </w:pPr>
            <w:r w:rsidRPr="00F347EB">
              <w:t>Hybrid/unleaded</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1E43E9F1" w14:textId="1725EABA" w:rsidR="00AC3C57" w:rsidRPr="004523C3" w:rsidRDefault="004523C3">
            <w:pPr>
              <w:pStyle w:val="ARtabletextright"/>
              <w:spacing w:before="30" w:after="20"/>
            </w:pPr>
            <w:r w:rsidRPr="00A906A4">
              <w:t>14,247,617</w:t>
            </w:r>
          </w:p>
        </w:tc>
        <w:tc>
          <w:tcPr>
            <w:tcW w:w="1701" w:type="dxa"/>
            <w:tcBorders>
              <w:top w:val="single" w:sz="4" w:space="0" w:color="BFBFBF" w:themeColor="background1" w:themeShade="BF"/>
              <w:bottom w:val="single" w:sz="4" w:space="0" w:color="BFBFBF" w:themeColor="background1" w:themeShade="BF"/>
            </w:tcBorders>
          </w:tcPr>
          <w:p w14:paraId="2E72974C" w14:textId="77777777" w:rsidR="00AC3C57" w:rsidRPr="00AF5CBD"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AF5CBD">
              <w:t>14,828,101</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7D2302CA" w14:textId="77777777" w:rsidR="00AC3C57" w:rsidRPr="00AF5CBD" w:rsidRDefault="00AC3C57">
            <w:pPr>
              <w:pStyle w:val="ARtabletextright"/>
              <w:spacing w:before="30" w:after="20"/>
            </w:pPr>
            <w:r w:rsidRPr="00AF5CBD">
              <w:t>10,091,155</w:t>
            </w:r>
          </w:p>
        </w:tc>
      </w:tr>
      <w:tr w:rsidR="00AC3C57" w:rsidRPr="00CC5C7C" w14:paraId="5410C65B" w14:textId="77777777" w:rsidTr="005353B4">
        <w:trPr>
          <w:cantSplit w:val="0"/>
          <w:trHeight w:val="240"/>
        </w:trPr>
        <w:tc>
          <w:tcPr>
            <w:tcW w:w="4536" w:type="dxa"/>
            <w:tcBorders>
              <w:top w:val="single" w:sz="4" w:space="0" w:color="BFBFBF" w:themeColor="background1" w:themeShade="BF"/>
            </w:tcBorders>
          </w:tcPr>
          <w:p w14:paraId="7EBF1BD6" w14:textId="77777777" w:rsidR="00AC3C57" w:rsidRPr="00F347EB" w:rsidRDefault="00AC3C57">
            <w:pPr>
              <w:pStyle w:val="ARtabletext"/>
              <w:spacing w:before="30" w:after="20"/>
            </w:pPr>
            <w:r w:rsidRPr="00F347EB">
              <w:t>Electricity (MWh)</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tcBorders>
          </w:tcPr>
          <w:p w14:paraId="049BE31F" w14:textId="24AAA708" w:rsidR="00AC3C57" w:rsidRPr="004523C3" w:rsidRDefault="004523C3">
            <w:pPr>
              <w:pStyle w:val="ARtabletextright"/>
              <w:spacing w:before="30" w:after="20"/>
            </w:pPr>
            <w:r w:rsidRPr="00A906A4">
              <w:t>87</w:t>
            </w:r>
          </w:p>
        </w:tc>
        <w:tc>
          <w:tcPr>
            <w:tcW w:w="1701" w:type="dxa"/>
            <w:tcBorders>
              <w:top w:val="single" w:sz="4" w:space="0" w:color="BFBFBF" w:themeColor="background1" w:themeShade="BF"/>
            </w:tcBorders>
          </w:tcPr>
          <w:p w14:paraId="6B64D1D5" w14:textId="77777777" w:rsidR="00AC3C57" w:rsidRPr="00AF5CBD"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AF5CBD">
              <w:t>–</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tcBorders>
          </w:tcPr>
          <w:p w14:paraId="15D2D3B7" w14:textId="77777777" w:rsidR="00AC3C57" w:rsidRPr="00AF5CBD" w:rsidRDefault="00AC3C57">
            <w:pPr>
              <w:pStyle w:val="ARtabletextright"/>
              <w:spacing w:before="30" w:after="20"/>
            </w:pPr>
            <w:r w:rsidRPr="00AF5CBD">
              <w:t>–</w:t>
            </w:r>
          </w:p>
        </w:tc>
      </w:tr>
      <w:tr w:rsidR="00AC3C57" w:rsidRPr="00CC5C7C" w14:paraId="2F54062F" w14:textId="77777777" w:rsidTr="005353B4">
        <w:trPr>
          <w:cantSplit w:val="0"/>
          <w:trHeight w:val="225"/>
        </w:trPr>
        <w:tc>
          <w:tcPr>
            <w:tcW w:w="4536" w:type="dxa"/>
            <w:tcBorders>
              <w:bottom w:val="single" w:sz="4" w:space="0" w:color="auto"/>
            </w:tcBorders>
          </w:tcPr>
          <w:p w14:paraId="229677B6" w14:textId="77777777" w:rsidR="00AC3C57" w:rsidRPr="00F347EB" w:rsidRDefault="00AC3C57">
            <w:pPr>
              <w:pStyle w:val="ARtabletext"/>
              <w:spacing w:before="30" w:after="20"/>
              <w:rPr>
                <w:b/>
              </w:rPr>
            </w:pPr>
            <w:r w:rsidRPr="00F347EB">
              <w:rPr>
                <w:rFonts w:eastAsia="Calibri"/>
                <w:b/>
              </w:rPr>
              <w:t>Total passenger vehicles</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tcPr>
          <w:p w14:paraId="017B551E" w14:textId="41D69FFE" w:rsidR="00AC3C57" w:rsidRPr="004523C3" w:rsidRDefault="004523C3">
            <w:pPr>
              <w:pStyle w:val="ARtabletextrightbold"/>
              <w:spacing w:before="30" w:after="20"/>
            </w:pPr>
            <w:r w:rsidRPr="00A906A4">
              <w:t>57,655,410</w:t>
            </w:r>
          </w:p>
        </w:tc>
        <w:tc>
          <w:tcPr>
            <w:tcW w:w="1701" w:type="dxa"/>
            <w:tcBorders>
              <w:bottom w:val="single" w:sz="4" w:space="0" w:color="auto"/>
            </w:tcBorders>
          </w:tcPr>
          <w:p w14:paraId="737D04C3" w14:textId="77777777" w:rsidR="00AC3C57" w:rsidRPr="00AF5CBD" w:rsidRDefault="00AC3C57">
            <w:pPr>
              <w:pStyle w:val="ARtabletextrightbold"/>
              <w:spacing w:before="30" w:after="20"/>
              <w:cnfStyle w:val="000000000000" w:firstRow="0" w:lastRow="0" w:firstColumn="0" w:lastColumn="0" w:oddVBand="0" w:evenVBand="0" w:oddHBand="0" w:evenHBand="0" w:firstRowFirstColumn="0" w:firstRowLastColumn="0" w:lastRowFirstColumn="0" w:lastRowLastColumn="0"/>
            </w:pPr>
            <w:r w:rsidRPr="00AF5CBD">
              <w:t>57,008,622</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tcPr>
          <w:p w14:paraId="1E2C94C5" w14:textId="77777777" w:rsidR="00AC3C57" w:rsidRPr="00AF5CBD" w:rsidRDefault="00AC3C57">
            <w:pPr>
              <w:pStyle w:val="ARtabletextrightbold"/>
              <w:spacing w:before="30" w:after="20"/>
            </w:pPr>
            <w:r w:rsidRPr="00AF5CBD">
              <w:t>49,245,699</w:t>
            </w:r>
          </w:p>
        </w:tc>
      </w:tr>
      <w:tr w:rsidR="00AC3C57" w:rsidRPr="00CC5C7C" w14:paraId="105AD02D" w14:textId="77777777" w:rsidTr="005353B4">
        <w:trPr>
          <w:cantSplit w:val="0"/>
          <w:trHeight w:val="225"/>
        </w:trPr>
        <w:tc>
          <w:tcPr>
            <w:tcW w:w="9639" w:type="dxa"/>
            <w:gridSpan w:val="4"/>
            <w:tcBorders>
              <w:top w:val="single" w:sz="4" w:space="0" w:color="auto"/>
              <w:bottom w:val="single" w:sz="4" w:space="0" w:color="BFBFBF" w:themeColor="background1" w:themeShade="BF"/>
            </w:tcBorders>
          </w:tcPr>
          <w:p w14:paraId="457E10E4" w14:textId="77777777" w:rsidR="00AC3C57" w:rsidRPr="00F347EB" w:rsidRDefault="00AC3C57">
            <w:pPr>
              <w:pStyle w:val="ARtabletext"/>
              <w:spacing w:before="30" w:after="20"/>
            </w:pPr>
            <w:r w:rsidRPr="00F347EB">
              <w:rPr>
                <w:rFonts w:eastAsia="Calibri"/>
                <w:b/>
              </w:rPr>
              <w:t>Goods vehicles</w:t>
            </w:r>
          </w:p>
        </w:tc>
      </w:tr>
      <w:tr w:rsidR="00AC3C57" w:rsidRPr="00CC5C7C" w14:paraId="34E2BCEE" w14:textId="77777777" w:rsidTr="005353B4">
        <w:trPr>
          <w:trHeight w:val="225"/>
        </w:trPr>
        <w:tc>
          <w:tcPr>
            <w:tcW w:w="4536" w:type="dxa"/>
            <w:tcBorders>
              <w:top w:val="single" w:sz="4" w:space="0" w:color="BFBFBF" w:themeColor="background1" w:themeShade="BF"/>
              <w:bottom w:val="single" w:sz="4" w:space="0" w:color="BFBFBF" w:themeColor="background1" w:themeShade="BF"/>
            </w:tcBorders>
          </w:tcPr>
          <w:p w14:paraId="06F0FD8E" w14:textId="77777777" w:rsidR="00AC3C57" w:rsidRPr="00F347EB" w:rsidRDefault="00AC3C57">
            <w:pPr>
              <w:pStyle w:val="ARtabletext"/>
              <w:spacing w:before="30" w:after="20"/>
            </w:pPr>
            <w:r w:rsidRPr="00F347EB">
              <w:t>Petrol</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663BF4B2" w14:textId="61C4B50E" w:rsidR="00AC3C57" w:rsidRPr="00FC6A1F" w:rsidRDefault="00FC6A1F">
            <w:pPr>
              <w:pStyle w:val="ARtabletextright"/>
              <w:spacing w:before="30" w:after="20"/>
            </w:pPr>
            <w:r w:rsidRPr="00A906A4">
              <w:t>–</w:t>
            </w:r>
          </w:p>
        </w:tc>
        <w:tc>
          <w:tcPr>
            <w:tcW w:w="1701" w:type="dxa"/>
            <w:tcBorders>
              <w:top w:val="single" w:sz="4" w:space="0" w:color="BFBFBF" w:themeColor="background1" w:themeShade="BF"/>
              <w:bottom w:val="single" w:sz="4" w:space="0" w:color="BFBFBF" w:themeColor="background1" w:themeShade="BF"/>
            </w:tcBorders>
          </w:tcPr>
          <w:p w14:paraId="25272EC7" w14:textId="77777777" w:rsidR="00AC3C57" w:rsidRPr="00FC6A1F"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FC6A1F">
              <w:t>–</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6B3A4129" w14:textId="77777777" w:rsidR="00AC3C57" w:rsidRPr="00FC6A1F" w:rsidRDefault="00AC3C57">
            <w:pPr>
              <w:pStyle w:val="ARtabletextright"/>
              <w:spacing w:before="30" w:after="20"/>
            </w:pPr>
            <w:r w:rsidRPr="00FC6A1F">
              <w:t>–</w:t>
            </w:r>
          </w:p>
        </w:tc>
      </w:tr>
      <w:tr w:rsidR="00AC3C57" w:rsidRPr="00CC5C7C" w14:paraId="06107C21" w14:textId="77777777" w:rsidTr="005353B4">
        <w:trPr>
          <w:trHeight w:val="225"/>
        </w:trPr>
        <w:tc>
          <w:tcPr>
            <w:tcW w:w="4536" w:type="dxa"/>
            <w:tcBorders>
              <w:top w:val="single" w:sz="4" w:space="0" w:color="BFBFBF" w:themeColor="background1" w:themeShade="BF"/>
              <w:bottom w:val="single" w:sz="4" w:space="0" w:color="BFBFBF" w:themeColor="background1" w:themeShade="BF"/>
            </w:tcBorders>
          </w:tcPr>
          <w:p w14:paraId="7976B3D3" w14:textId="77777777" w:rsidR="00AC3C57" w:rsidRPr="00F347EB" w:rsidRDefault="00AC3C57">
            <w:pPr>
              <w:pStyle w:val="ARtabletext"/>
              <w:spacing w:before="30" w:after="20"/>
            </w:pPr>
            <w:r w:rsidRPr="00F347EB">
              <w:t>Diesel</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59DD9CC9" w14:textId="5262B57F" w:rsidR="00AC3C57" w:rsidRPr="00FC6A1F" w:rsidRDefault="00FC6A1F">
            <w:pPr>
              <w:pStyle w:val="ARtabletextright"/>
              <w:spacing w:before="30" w:after="20"/>
            </w:pPr>
            <w:r w:rsidRPr="00A906A4">
              <w:t>115,656</w:t>
            </w:r>
          </w:p>
        </w:tc>
        <w:tc>
          <w:tcPr>
            <w:tcW w:w="1701" w:type="dxa"/>
            <w:tcBorders>
              <w:top w:val="single" w:sz="4" w:space="0" w:color="BFBFBF" w:themeColor="background1" w:themeShade="BF"/>
              <w:bottom w:val="single" w:sz="4" w:space="0" w:color="BFBFBF" w:themeColor="background1" w:themeShade="BF"/>
            </w:tcBorders>
          </w:tcPr>
          <w:p w14:paraId="25D4C408" w14:textId="77777777" w:rsidR="00AC3C57" w:rsidRPr="00FC6A1F"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FC6A1F">
              <w:t>143,164</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6E7127CB" w14:textId="77777777" w:rsidR="00AC3C57" w:rsidRPr="00FC6A1F" w:rsidRDefault="00AC3C57">
            <w:pPr>
              <w:pStyle w:val="ARtabletextright"/>
              <w:spacing w:before="30" w:after="20"/>
            </w:pPr>
            <w:r w:rsidRPr="00FC6A1F">
              <w:t>247,466</w:t>
            </w:r>
          </w:p>
        </w:tc>
      </w:tr>
      <w:tr w:rsidR="00AC3C57" w:rsidRPr="00CC5C7C" w14:paraId="3D5B7D36" w14:textId="77777777" w:rsidTr="005353B4">
        <w:trPr>
          <w:trHeight w:val="240"/>
        </w:trPr>
        <w:tc>
          <w:tcPr>
            <w:tcW w:w="4536" w:type="dxa"/>
            <w:tcBorders>
              <w:top w:val="single" w:sz="4" w:space="0" w:color="BFBFBF" w:themeColor="background1" w:themeShade="BF"/>
            </w:tcBorders>
          </w:tcPr>
          <w:p w14:paraId="4176A853" w14:textId="77777777" w:rsidR="00AC3C57" w:rsidRPr="00F347EB" w:rsidRDefault="00AC3C57">
            <w:pPr>
              <w:pStyle w:val="ARtabletext"/>
              <w:spacing w:before="30" w:after="20"/>
            </w:pPr>
            <w:r w:rsidRPr="00F347EB">
              <w:t>Electricity (MWh)</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tcBorders>
          </w:tcPr>
          <w:p w14:paraId="002443AF" w14:textId="2FD9BA0E" w:rsidR="00AC3C57" w:rsidRPr="00FC6A1F" w:rsidRDefault="00FC6A1F">
            <w:pPr>
              <w:pStyle w:val="ARtabletextright"/>
              <w:spacing w:before="30" w:after="20"/>
            </w:pPr>
            <w:r w:rsidRPr="00A906A4">
              <w:t>–</w:t>
            </w:r>
          </w:p>
        </w:tc>
        <w:tc>
          <w:tcPr>
            <w:tcW w:w="1701" w:type="dxa"/>
            <w:tcBorders>
              <w:top w:val="single" w:sz="4" w:space="0" w:color="BFBFBF" w:themeColor="background1" w:themeShade="BF"/>
            </w:tcBorders>
          </w:tcPr>
          <w:p w14:paraId="0A4547A6" w14:textId="77777777" w:rsidR="00AC3C57" w:rsidRPr="00FC6A1F"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FC6A1F">
              <w:t>–</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tcBorders>
          </w:tcPr>
          <w:p w14:paraId="1EDA7231" w14:textId="77777777" w:rsidR="00AC3C57" w:rsidRPr="00FC6A1F" w:rsidRDefault="00AC3C57">
            <w:pPr>
              <w:pStyle w:val="ARtabletextright"/>
              <w:spacing w:before="30" w:after="20"/>
            </w:pPr>
            <w:r w:rsidRPr="00FC6A1F">
              <w:t>–</w:t>
            </w:r>
          </w:p>
        </w:tc>
      </w:tr>
      <w:tr w:rsidR="00AC3C57" w:rsidRPr="00CC5C7C" w14:paraId="62BBAE42" w14:textId="77777777" w:rsidTr="005353B4">
        <w:trPr>
          <w:trHeight w:val="240"/>
        </w:trPr>
        <w:tc>
          <w:tcPr>
            <w:tcW w:w="4536" w:type="dxa"/>
          </w:tcPr>
          <w:p w14:paraId="79DF4CC7" w14:textId="77777777" w:rsidR="00AC3C57" w:rsidRPr="00F347EB" w:rsidRDefault="00AC3C57">
            <w:pPr>
              <w:pStyle w:val="ARtabletextbold"/>
              <w:spacing w:before="30" w:after="20"/>
            </w:pPr>
            <w:r w:rsidRPr="00F347EB">
              <w:t>Total goods vehicles</w:t>
            </w:r>
          </w:p>
        </w:tc>
        <w:tc>
          <w:tcPr>
            <w:cnfStyle w:val="000001000000" w:firstRow="0" w:lastRow="0" w:firstColumn="0" w:lastColumn="0" w:oddVBand="0" w:evenVBand="1" w:oddHBand="0" w:evenHBand="0" w:firstRowFirstColumn="0" w:firstRowLastColumn="0" w:lastRowFirstColumn="0" w:lastRowLastColumn="0"/>
            <w:tcW w:w="1701" w:type="dxa"/>
          </w:tcPr>
          <w:p w14:paraId="069173D2" w14:textId="4EC37AA9" w:rsidR="00AC3C57" w:rsidRPr="00FC6A1F" w:rsidRDefault="00FC6A1F">
            <w:pPr>
              <w:pStyle w:val="ARtabletextrightbold"/>
              <w:spacing w:before="30" w:after="20"/>
            </w:pPr>
            <w:r w:rsidRPr="00A906A4">
              <w:t>115,656</w:t>
            </w:r>
          </w:p>
        </w:tc>
        <w:tc>
          <w:tcPr>
            <w:tcW w:w="1701" w:type="dxa"/>
          </w:tcPr>
          <w:p w14:paraId="1514E6C7" w14:textId="77777777" w:rsidR="00AC3C57" w:rsidRPr="00FC6A1F" w:rsidRDefault="00AC3C57">
            <w:pPr>
              <w:pStyle w:val="ARtabletextrightbold"/>
              <w:spacing w:before="30" w:after="20"/>
              <w:cnfStyle w:val="000000000000" w:firstRow="0" w:lastRow="0" w:firstColumn="0" w:lastColumn="0" w:oddVBand="0" w:evenVBand="0" w:oddHBand="0" w:evenHBand="0" w:firstRowFirstColumn="0" w:firstRowLastColumn="0" w:lastRowFirstColumn="0" w:lastRowLastColumn="0"/>
            </w:pPr>
            <w:r w:rsidRPr="00FC6A1F">
              <w:t>143,164</w:t>
            </w:r>
          </w:p>
        </w:tc>
        <w:tc>
          <w:tcPr>
            <w:cnfStyle w:val="000001000000" w:firstRow="0" w:lastRow="0" w:firstColumn="0" w:lastColumn="0" w:oddVBand="0" w:evenVBand="1" w:oddHBand="0" w:evenHBand="0" w:firstRowFirstColumn="0" w:firstRowLastColumn="0" w:lastRowFirstColumn="0" w:lastRowLastColumn="0"/>
            <w:tcW w:w="1701" w:type="dxa"/>
          </w:tcPr>
          <w:p w14:paraId="5DE62F91" w14:textId="77777777" w:rsidR="00AC3C57" w:rsidRPr="00FC6A1F" w:rsidRDefault="00AC3C57">
            <w:pPr>
              <w:pStyle w:val="ARtabletextrightbold"/>
              <w:spacing w:before="30" w:after="20"/>
            </w:pPr>
            <w:r w:rsidRPr="00FC6A1F">
              <w:t>247,466</w:t>
            </w:r>
          </w:p>
        </w:tc>
      </w:tr>
      <w:tr w:rsidR="00AC3C57" w:rsidRPr="00CC5C7C" w14:paraId="67C67FC9" w14:textId="77777777" w:rsidTr="005353B4">
        <w:trPr>
          <w:trHeight w:val="240"/>
        </w:trPr>
        <w:tc>
          <w:tcPr>
            <w:tcW w:w="4536" w:type="dxa"/>
          </w:tcPr>
          <w:p w14:paraId="5518F8FC" w14:textId="77777777" w:rsidR="00AC3C57" w:rsidRPr="00F347EB" w:rsidRDefault="00AC3C57">
            <w:pPr>
              <w:pStyle w:val="ARtabletext"/>
              <w:spacing w:before="30" w:after="20"/>
              <w:rPr>
                <w:rFonts w:eastAsia="Calibri"/>
              </w:rPr>
            </w:pPr>
            <w:r w:rsidRPr="00F347EB">
              <w:t>State government vehicle pool</w:t>
            </w:r>
          </w:p>
        </w:tc>
        <w:tc>
          <w:tcPr>
            <w:cnfStyle w:val="000001000000" w:firstRow="0" w:lastRow="0" w:firstColumn="0" w:lastColumn="0" w:oddVBand="0" w:evenVBand="1" w:oddHBand="0" w:evenHBand="0" w:firstRowFirstColumn="0" w:firstRowLastColumn="0" w:lastRowFirstColumn="0" w:lastRowLastColumn="0"/>
            <w:tcW w:w="1701" w:type="dxa"/>
          </w:tcPr>
          <w:p w14:paraId="3A14C1AD" w14:textId="3C457B7D" w:rsidR="00AC3C57" w:rsidRPr="00FC6A1F" w:rsidRDefault="00FC6A1F">
            <w:pPr>
              <w:pStyle w:val="ARtabletextright"/>
              <w:spacing w:before="30" w:after="20"/>
            </w:pPr>
            <w:r w:rsidRPr="00A906A4">
              <w:t>577,262</w:t>
            </w:r>
          </w:p>
        </w:tc>
        <w:tc>
          <w:tcPr>
            <w:tcW w:w="1701" w:type="dxa"/>
          </w:tcPr>
          <w:p w14:paraId="4956D36D" w14:textId="77777777" w:rsidR="00AC3C57" w:rsidRPr="00FC6A1F"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FC6A1F">
              <w:t>649,315</w:t>
            </w:r>
          </w:p>
        </w:tc>
        <w:tc>
          <w:tcPr>
            <w:cnfStyle w:val="000001000000" w:firstRow="0" w:lastRow="0" w:firstColumn="0" w:lastColumn="0" w:oddVBand="0" w:evenVBand="1" w:oddHBand="0" w:evenHBand="0" w:firstRowFirstColumn="0" w:firstRowLastColumn="0" w:lastRowFirstColumn="0" w:lastRowLastColumn="0"/>
            <w:tcW w:w="1701" w:type="dxa"/>
          </w:tcPr>
          <w:p w14:paraId="22F9E4AD" w14:textId="77777777" w:rsidR="00AC3C57" w:rsidRPr="00FC6A1F" w:rsidRDefault="00AC3C57">
            <w:pPr>
              <w:pStyle w:val="ARtabletextright"/>
              <w:spacing w:before="30" w:after="20"/>
            </w:pPr>
            <w:r w:rsidRPr="00FC6A1F">
              <w:t>424,388</w:t>
            </w:r>
          </w:p>
        </w:tc>
      </w:tr>
      <w:tr w:rsidR="00AC3C57" w:rsidRPr="00CC5C7C" w14:paraId="160A9688" w14:textId="77777777" w:rsidTr="005353B4">
        <w:trPr>
          <w:cnfStyle w:val="010000000000" w:firstRow="0" w:lastRow="1" w:firstColumn="0" w:lastColumn="0" w:oddVBand="0" w:evenVBand="0" w:oddHBand="0" w:evenHBand="0" w:firstRowFirstColumn="0" w:firstRowLastColumn="0" w:lastRowFirstColumn="0" w:lastRowLastColumn="0"/>
          <w:trHeight w:val="240"/>
        </w:trPr>
        <w:tc>
          <w:tcPr>
            <w:tcW w:w="4536" w:type="dxa"/>
          </w:tcPr>
          <w:p w14:paraId="4521320A" w14:textId="77777777" w:rsidR="00AC3C57" w:rsidRPr="00F347EB" w:rsidRDefault="00AC3C57">
            <w:pPr>
              <w:pStyle w:val="ARtabletextbold"/>
              <w:spacing w:before="30" w:after="20"/>
            </w:pPr>
            <w:r w:rsidRPr="00F347EB">
              <w:t>T1 Total energy used in transportation</w:t>
            </w:r>
          </w:p>
        </w:tc>
        <w:tc>
          <w:tcPr>
            <w:cnfStyle w:val="000001000000" w:firstRow="0" w:lastRow="0" w:firstColumn="0" w:lastColumn="0" w:oddVBand="0" w:evenVBand="1" w:oddHBand="0" w:evenHBand="0" w:firstRowFirstColumn="0" w:firstRowLastColumn="0" w:lastRowFirstColumn="0" w:lastRowLastColumn="0"/>
            <w:tcW w:w="1701" w:type="dxa"/>
          </w:tcPr>
          <w:p w14:paraId="25897251" w14:textId="509F38EF" w:rsidR="00AC3C57" w:rsidRPr="00FC6A1F" w:rsidRDefault="00FC6A1F">
            <w:pPr>
              <w:pStyle w:val="ARtabletextrightbold"/>
              <w:spacing w:before="30" w:after="20"/>
            </w:pPr>
            <w:r w:rsidRPr="00A906A4">
              <w:t>58,348,328</w:t>
            </w:r>
          </w:p>
        </w:tc>
        <w:tc>
          <w:tcPr>
            <w:tcW w:w="1701" w:type="dxa"/>
          </w:tcPr>
          <w:p w14:paraId="24F3483F" w14:textId="77777777" w:rsidR="00AC3C57" w:rsidRPr="00FC6A1F"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FC6A1F">
              <w:t>57,801,100</w:t>
            </w:r>
          </w:p>
        </w:tc>
        <w:tc>
          <w:tcPr>
            <w:cnfStyle w:val="000001000000" w:firstRow="0" w:lastRow="0" w:firstColumn="0" w:lastColumn="0" w:oddVBand="0" w:evenVBand="1" w:oddHBand="0" w:evenHBand="0" w:firstRowFirstColumn="0" w:firstRowLastColumn="0" w:lastRowFirstColumn="0" w:lastRowLastColumn="0"/>
            <w:tcW w:w="1701" w:type="dxa"/>
          </w:tcPr>
          <w:p w14:paraId="242762EB" w14:textId="77777777" w:rsidR="00AC3C57" w:rsidRPr="00FC6A1F" w:rsidRDefault="00AC3C57">
            <w:pPr>
              <w:pStyle w:val="ARtabletextrightbold"/>
              <w:spacing w:before="30" w:after="20"/>
            </w:pPr>
            <w:r w:rsidRPr="00FC6A1F">
              <w:t>49,917,553</w:t>
            </w:r>
          </w:p>
        </w:tc>
      </w:tr>
    </w:tbl>
    <w:p w14:paraId="2F3DABFC" w14:textId="77777777" w:rsidR="00AC3C57" w:rsidRPr="00BF7518" w:rsidRDefault="00AC3C57">
      <w:pPr>
        <w:pStyle w:val="ARtablecaption"/>
      </w:pPr>
      <w:r w:rsidRPr="00BF7518">
        <w:t>Greenhouse gas emissions from vehicle fleet</w:t>
      </w:r>
    </w:p>
    <w:tbl>
      <w:tblPr>
        <w:tblStyle w:val="TableGrid"/>
        <w:tblW w:w="9639" w:type="dxa"/>
        <w:tblLayout w:type="fixed"/>
        <w:tblLook w:val="02E0" w:firstRow="1" w:lastRow="1" w:firstColumn="1" w:lastColumn="0" w:noHBand="1" w:noVBand="0"/>
      </w:tblPr>
      <w:tblGrid>
        <w:gridCol w:w="4536"/>
        <w:gridCol w:w="1701"/>
        <w:gridCol w:w="1701"/>
        <w:gridCol w:w="1701"/>
      </w:tblGrid>
      <w:tr w:rsidR="00AC3C57" w:rsidRPr="00CC5C7C" w14:paraId="46A875E4" w14:textId="77777777" w:rsidTr="005353B4">
        <w:trPr>
          <w:cnfStyle w:val="100000000000" w:firstRow="1" w:lastRow="0" w:firstColumn="0" w:lastColumn="0" w:oddVBand="0" w:evenVBand="0" w:oddHBand="0" w:evenHBand="0" w:firstRowFirstColumn="0" w:firstRowLastColumn="0" w:lastRowFirstColumn="0" w:lastRowLastColumn="0"/>
          <w:trHeight w:val="225"/>
          <w:tblHeader/>
        </w:trPr>
        <w:tc>
          <w:tcPr>
            <w:tcW w:w="4536" w:type="dxa"/>
            <w:tcBorders>
              <w:bottom w:val="single" w:sz="4" w:space="0" w:color="auto"/>
            </w:tcBorders>
          </w:tcPr>
          <w:p w14:paraId="6BFBAE72" w14:textId="77777777" w:rsidR="00AC3C57" w:rsidRPr="00034898" w:rsidRDefault="00AC3C57">
            <w:pPr>
              <w:pStyle w:val="ARtablecolhead"/>
              <w:spacing w:before="30" w:after="20"/>
              <w:rPr>
                <w:i/>
              </w:rPr>
            </w:pPr>
            <w:r w:rsidRPr="00034898">
              <w:t>Indicator</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tcPr>
          <w:p w14:paraId="31604BB1" w14:textId="77777777" w:rsidR="00AC3C57" w:rsidRPr="00034898" w:rsidRDefault="00AC3C57">
            <w:pPr>
              <w:pStyle w:val="ARtablecolheadright"/>
              <w:spacing w:before="30" w:after="20"/>
              <w:rPr>
                <w:i/>
              </w:rPr>
            </w:pPr>
            <w:r w:rsidRPr="00034898">
              <w:t>2024–25</w:t>
            </w:r>
            <w:r w:rsidRPr="00034898">
              <w:br/>
              <w:t>Tonnes CO</w:t>
            </w:r>
            <w:r w:rsidRPr="00034898">
              <w:rPr>
                <w:rStyle w:val="Subscript"/>
              </w:rPr>
              <w:t>2</w:t>
            </w:r>
            <w:r w:rsidRPr="00034898">
              <w:t>-e</w:t>
            </w:r>
          </w:p>
        </w:tc>
        <w:tc>
          <w:tcPr>
            <w:tcW w:w="1701" w:type="dxa"/>
            <w:tcBorders>
              <w:bottom w:val="single" w:sz="4" w:space="0" w:color="auto"/>
            </w:tcBorders>
          </w:tcPr>
          <w:p w14:paraId="56449DF1" w14:textId="77777777" w:rsidR="00AC3C57" w:rsidRPr="00034898"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rPr>
                <w:i/>
              </w:rPr>
            </w:pPr>
            <w:r w:rsidRPr="00034898">
              <w:t>2023–24</w:t>
            </w:r>
            <w:r w:rsidRPr="00034898">
              <w:br/>
              <w:t>Tonnes CO</w:t>
            </w:r>
            <w:r w:rsidRPr="00034898">
              <w:rPr>
                <w:rStyle w:val="Subscript"/>
              </w:rPr>
              <w:t>2</w:t>
            </w:r>
            <w:r w:rsidRPr="00034898">
              <w:t>-e</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tcPr>
          <w:p w14:paraId="216BFBD2" w14:textId="77777777" w:rsidR="00AC3C57" w:rsidRPr="00034898" w:rsidRDefault="00AC3C57">
            <w:pPr>
              <w:pStyle w:val="ARtablecolheadright"/>
              <w:spacing w:before="30" w:after="20"/>
              <w:rPr>
                <w:i/>
              </w:rPr>
            </w:pPr>
            <w:r w:rsidRPr="00034898">
              <w:t>2022–23</w:t>
            </w:r>
            <w:r w:rsidRPr="00034898">
              <w:br/>
              <w:t>Tonnes CO</w:t>
            </w:r>
            <w:r w:rsidRPr="00034898">
              <w:rPr>
                <w:rStyle w:val="Subscript"/>
              </w:rPr>
              <w:t>2</w:t>
            </w:r>
            <w:r w:rsidRPr="00034898">
              <w:t>-e</w:t>
            </w:r>
          </w:p>
        </w:tc>
      </w:tr>
      <w:tr w:rsidR="00AC3C57" w:rsidRPr="00CC5C7C" w14:paraId="16D44130" w14:textId="77777777" w:rsidTr="005353B4">
        <w:trPr>
          <w:cantSplit w:val="0"/>
          <w:trHeight w:val="225"/>
        </w:trPr>
        <w:tc>
          <w:tcPr>
            <w:tcW w:w="9639" w:type="dxa"/>
            <w:gridSpan w:val="4"/>
            <w:tcBorders>
              <w:top w:val="single" w:sz="4" w:space="0" w:color="auto"/>
              <w:bottom w:val="single" w:sz="4" w:space="0" w:color="BFBFBF" w:themeColor="background1" w:themeShade="BF"/>
            </w:tcBorders>
          </w:tcPr>
          <w:p w14:paraId="47BF740F" w14:textId="77777777" w:rsidR="00AC3C57" w:rsidRPr="00034898" w:rsidRDefault="00AC3C57">
            <w:pPr>
              <w:pStyle w:val="ARtabletextbold"/>
              <w:spacing w:before="30" w:after="20"/>
            </w:pPr>
          </w:p>
        </w:tc>
      </w:tr>
      <w:tr w:rsidR="00AC3C57" w:rsidRPr="00CC5C7C" w14:paraId="03ECA1A7" w14:textId="77777777" w:rsidTr="005353B4">
        <w:trPr>
          <w:cantSplit w:val="0"/>
          <w:trHeight w:val="225"/>
        </w:trPr>
        <w:tc>
          <w:tcPr>
            <w:tcW w:w="4536" w:type="dxa"/>
            <w:tcBorders>
              <w:top w:val="single" w:sz="4" w:space="0" w:color="BFBFBF" w:themeColor="background1" w:themeShade="BF"/>
              <w:bottom w:val="single" w:sz="4" w:space="0" w:color="BFBFBF" w:themeColor="background1" w:themeShade="BF"/>
            </w:tcBorders>
          </w:tcPr>
          <w:p w14:paraId="67D58AD4" w14:textId="77777777" w:rsidR="00AC3C57" w:rsidRPr="00034898" w:rsidRDefault="00AC3C57">
            <w:pPr>
              <w:pStyle w:val="ARtabletext"/>
              <w:spacing w:before="30" w:after="20"/>
            </w:pPr>
            <w:r w:rsidRPr="00034898">
              <w:t>Petrol</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063BD04B" w14:textId="07581074" w:rsidR="00AC3C57" w:rsidRPr="00034898" w:rsidRDefault="00034898">
            <w:pPr>
              <w:pStyle w:val="ARtabletextright"/>
              <w:spacing w:before="30" w:after="20"/>
            </w:pPr>
            <w:r w:rsidRPr="00A906A4">
              <w:t>1,797</w:t>
            </w:r>
          </w:p>
        </w:tc>
        <w:tc>
          <w:tcPr>
            <w:tcW w:w="1701" w:type="dxa"/>
            <w:tcBorders>
              <w:top w:val="single" w:sz="4" w:space="0" w:color="BFBFBF" w:themeColor="background1" w:themeShade="BF"/>
              <w:bottom w:val="single" w:sz="4" w:space="0" w:color="BFBFBF" w:themeColor="background1" w:themeShade="BF"/>
            </w:tcBorders>
          </w:tcPr>
          <w:p w14:paraId="3FB28897" w14:textId="77777777" w:rsidR="00AC3C57" w:rsidRPr="00034898"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4898">
              <w:t>1,319</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3F2EDD4D" w14:textId="77777777" w:rsidR="00AC3C57" w:rsidRPr="00034898" w:rsidRDefault="00AC3C57">
            <w:pPr>
              <w:pStyle w:val="ARtabletextright"/>
              <w:spacing w:before="30" w:after="20"/>
            </w:pPr>
            <w:r w:rsidRPr="00034898">
              <w:t>1,606</w:t>
            </w:r>
          </w:p>
        </w:tc>
      </w:tr>
      <w:tr w:rsidR="00AC3C57" w:rsidRPr="00CC5C7C" w14:paraId="703EA060" w14:textId="77777777" w:rsidTr="005353B4">
        <w:trPr>
          <w:cantSplit w:val="0"/>
          <w:trHeight w:val="225"/>
        </w:trPr>
        <w:tc>
          <w:tcPr>
            <w:tcW w:w="4536" w:type="dxa"/>
            <w:tcBorders>
              <w:top w:val="single" w:sz="4" w:space="0" w:color="BFBFBF" w:themeColor="background1" w:themeShade="BF"/>
              <w:bottom w:val="single" w:sz="4" w:space="0" w:color="BFBFBF" w:themeColor="background1" w:themeShade="BF"/>
            </w:tcBorders>
          </w:tcPr>
          <w:p w14:paraId="28022C81" w14:textId="77777777" w:rsidR="00AC3C57" w:rsidRPr="00034898" w:rsidRDefault="00AC3C57">
            <w:pPr>
              <w:pStyle w:val="ARtabletext"/>
              <w:spacing w:before="30" w:after="20"/>
            </w:pPr>
            <w:r w:rsidRPr="00034898">
              <w:t>Diesel</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76722A79" w14:textId="587BEDA2" w:rsidR="00AC3C57" w:rsidRPr="00034898" w:rsidRDefault="00034898">
            <w:pPr>
              <w:pStyle w:val="ARtabletextright"/>
              <w:spacing w:before="30" w:after="20"/>
            </w:pPr>
            <w:r w:rsidRPr="00A906A4">
              <w:t>1,949</w:t>
            </w:r>
          </w:p>
        </w:tc>
        <w:tc>
          <w:tcPr>
            <w:tcW w:w="1701" w:type="dxa"/>
            <w:tcBorders>
              <w:top w:val="single" w:sz="4" w:space="0" w:color="BFBFBF" w:themeColor="background1" w:themeShade="BF"/>
              <w:bottom w:val="single" w:sz="4" w:space="0" w:color="BFBFBF" w:themeColor="background1" w:themeShade="BF"/>
            </w:tcBorders>
          </w:tcPr>
          <w:p w14:paraId="14D46D74" w14:textId="77777777" w:rsidR="00AC3C57" w:rsidRPr="00034898"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4898">
              <w:t>1,294</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3477BA9B" w14:textId="77777777" w:rsidR="00AC3C57" w:rsidRPr="00034898" w:rsidRDefault="00AC3C57">
            <w:pPr>
              <w:pStyle w:val="ARtabletextright"/>
              <w:spacing w:before="30" w:after="20"/>
            </w:pPr>
            <w:r w:rsidRPr="00034898">
              <w:t>1,022</w:t>
            </w:r>
          </w:p>
        </w:tc>
      </w:tr>
      <w:tr w:rsidR="00AC3C57" w:rsidRPr="00CC5C7C" w14:paraId="19BDDE98" w14:textId="77777777" w:rsidTr="005353B4">
        <w:trPr>
          <w:cantSplit w:val="0"/>
          <w:trHeight w:val="225"/>
        </w:trPr>
        <w:tc>
          <w:tcPr>
            <w:tcW w:w="4536" w:type="dxa"/>
            <w:tcBorders>
              <w:top w:val="single" w:sz="4" w:space="0" w:color="BFBFBF" w:themeColor="background1" w:themeShade="BF"/>
              <w:bottom w:val="single" w:sz="4" w:space="0" w:color="BFBFBF" w:themeColor="background1" w:themeShade="BF"/>
            </w:tcBorders>
          </w:tcPr>
          <w:p w14:paraId="2D9B7B70" w14:textId="77777777" w:rsidR="00AC3C57" w:rsidRPr="00034898" w:rsidRDefault="00AC3C57">
            <w:pPr>
              <w:pStyle w:val="ARtabletext"/>
              <w:spacing w:before="30" w:after="20"/>
            </w:pPr>
            <w:r w:rsidRPr="00034898">
              <w:t>Hybrid/unleaded</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40DB3534" w14:textId="2558423C" w:rsidR="00AC3C57" w:rsidRPr="00034898" w:rsidRDefault="00034898">
            <w:pPr>
              <w:pStyle w:val="ARtabletextright"/>
              <w:spacing w:before="30" w:after="20"/>
            </w:pPr>
            <w:r w:rsidRPr="00A906A4">
              <w:t>1,208</w:t>
            </w:r>
          </w:p>
        </w:tc>
        <w:tc>
          <w:tcPr>
            <w:tcW w:w="1701" w:type="dxa"/>
            <w:tcBorders>
              <w:top w:val="single" w:sz="4" w:space="0" w:color="BFBFBF" w:themeColor="background1" w:themeShade="BF"/>
              <w:bottom w:val="single" w:sz="4" w:space="0" w:color="BFBFBF" w:themeColor="background1" w:themeShade="BF"/>
            </w:tcBorders>
          </w:tcPr>
          <w:p w14:paraId="3494EA9A" w14:textId="77777777" w:rsidR="00AC3C57" w:rsidRPr="00034898"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4898">
              <w:t>853</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4FF8E033" w14:textId="77777777" w:rsidR="00AC3C57" w:rsidRPr="00034898" w:rsidRDefault="00AC3C57">
            <w:pPr>
              <w:pStyle w:val="ARtabletextright"/>
              <w:spacing w:before="30" w:after="20"/>
            </w:pPr>
            <w:r w:rsidRPr="00034898">
              <w:t>702</w:t>
            </w:r>
          </w:p>
        </w:tc>
      </w:tr>
      <w:tr w:rsidR="00AC3C57" w:rsidRPr="00CC5C7C" w14:paraId="7C86A2BE" w14:textId="77777777" w:rsidTr="005353B4">
        <w:trPr>
          <w:cantSplit w:val="0"/>
          <w:trHeight w:val="240"/>
        </w:trPr>
        <w:tc>
          <w:tcPr>
            <w:tcW w:w="4536" w:type="dxa"/>
            <w:tcBorders>
              <w:top w:val="single" w:sz="4" w:space="0" w:color="BFBFBF" w:themeColor="background1" w:themeShade="BF"/>
            </w:tcBorders>
          </w:tcPr>
          <w:p w14:paraId="24112D6F" w14:textId="77777777" w:rsidR="00AC3C57" w:rsidRPr="00034898" w:rsidRDefault="00AC3C57">
            <w:pPr>
              <w:pStyle w:val="ARtabletext"/>
              <w:spacing w:before="30" w:after="20"/>
            </w:pPr>
            <w:r w:rsidRPr="00034898">
              <w:t>Electricity</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tcBorders>
          </w:tcPr>
          <w:p w14:paraId="4208C85A" w14:textId="45F1BE3B" w:rsidR="00AC3C57" w:rsidRPr="00034898" w:rsidRDefault="00034898">
            <w:pPr>
              <w:pStyle w:val="ARtabletextright"/>
              <w:spacing w:before="30" w:after="20"/>
            </w:pPr>
            <w:r w:rsidRPr="00A906A4">
              <w:t>–</w:t>
            </w:r>
          </w:p>
        </w:tc>
        <w:tc>
          <w:tcPr>
            <w:tcW w:w="1701" w:type="dxa"/>
            <w:tcBorders>
              <w:top w:val="single" w:sz="4" w:space="0" w:color="BFBFBF" w:themeColor="background1" w:themeShade="BF"/>
            </w:tcBorders>
          </w:tcPr>
          <w:p w14:paraId="65FAF40B" w14:textId="77777777" w:rsidR="00AC3C57" w:rsidRPr="00034898"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034898">
              <w:t>s7</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tcBorders>
          </w:tcPr>
          <w:p w14:paraId="6771318B" w14:textId="77777777" w:rsidR="00AC3C57" w:rsidRPr="00034898" w:rsidRDefault="00AC3C57">
            <w:pPr>
              <w:pStyle w:val="ARtabletextright"/>
              <w:spacing w:before="30" w:after="20"/>
            </w:pPr>
            <w:r w:rsidRPr="00034898">
              <w:t>–</w:t>
            </w:r>
          </w:p>
        </w:tc>
      </w:tr>
      <w:tr w:rsidR="00AC3C57" w:rsidRPr="00CC5C7C" w14:paraId="5500C469" w14:textId="77777777" w:rsidTr="005353B4">
        <w:trPr>
          <w:cantSplit w:val="0"/>
          <w:trHeight w:val="225"/>
        </w:trPr>
        <w:tc>
          <w:tcPr>
            <w:tcW w:w="4536" w:type="dxa"/>
            <w:tcBorders>
              <w:bottom w:val="single" w:sz="4" w:space="0" w:color="auto"/>
            </w:tcBorders>
          </w:tcPr>
          <w:p w14:paraId="541E5FE3" w14:textId="77777777" w:rsidR="00AC3C57" w:rsidRPr="00034898" w:rsidRDefault="00AC3C57">
            <w:pPr>
              <w:pStyle w:val="ARtabletext"/>
              <w:spacing w:before="30" w:after="20"/>
              <w:rPr>
                <w:b/>
              </w:rPr>
            </w:pPr>
            <w:r w:rsidRPr="00034898">
              <w:rPr>
                <w:rFonts w:eastAsia="Calibri"/>
                <w:b/>
              </w:rPr>
              <w:t>Total passenger vehicles</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tcPr>
          <w:p w14:paraId="2C5173E3" w14:textId="661BAD61" w:rsidR="00AC3C57" w:rsidRPr="00034898" w:rsidRDefault="00034898">
            <w:pPr>
              <w:pStyle w:val="ARtabletextrightbold"/>
              <w:spacing w:before="30" w:after="20"/>
            </w:pPr>
            <w:r w:rsidRPr="00A906A4">
              <w:t>4,954</w:t>
            </w:r>
          </w:p>
        </w:tc>
        <w:tc>
          <w:tcPr>
            <w:tcW w:w="1701" w:type="dxa"/>
            <w:tcBorders>
              <w:bottom w:val="single" w:sz="4" w:space="0" w:color="auto"/>
            </w:tcBorders>
          </w:tcPr>
          <w:p w14:paraId="4BD79EEF" w14:textId="77777777" w:rsidR="00AC3C57" w:rsidRPr="00034898" w:rsidRDefault="00AC3C57">
            <w:pPr>
              <w:pStyle w:val="ARtabletextrightbold"/>
              <w:spacing w:before="30" w:after="20"/>
              <w:cnfStyle w:val="000000000000" w:firstRow="0" w:lastRow="0" w:firstColumn="0" w:lastColumn="0" w:oddVBand="0" w:evenVBand="0" w:oddHBand="0" w:evenHBand="0" w:firstRowFirstColumn="0" w:firstRowLastColumn="0" w:lastRowFirstColumn="0" w:lastRowLastColumn="0"/>
            </w:pPr>
            <w:r w:rsidRPr="00034898">
              <w:t>3,472</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tcPr>
          <w:p w14:paraId="29F91E01" w14:textId="77777777" w:rsidR="00AC3C57" w:rsidRPr="00034898" w:rsidRDefault="00AC3C57">
            <w:pPr>
              <w:pStyle w:val="ARtabletextrightbold"/>
              <w:spacing w:before="30" w:after="20"/>
            </w:pPr>
            <w:r w:rsidRPr="00034898">
              <w:t>3,330</w:t>
            </w:r>
          </w:p>
        </w:tc>
      </w:tr>
      <w:tr w:rsidR="00AC3C57" w:rsidRPr="00CC5C7C" w14:paraId="3C3D2303" w14:textId="77777777" w:rsidTr="005353B4">
        <w:trPr>
          <w:cantSplit w:val="0"/>
          <w:trHeight w:val="225"/>
        </w:trPr>
        <w:tc>
          <w:tcPr>
            <w:tcW w:w="9639" w:type="dxa"/>
            <w:gridSpan w:val="4"/>
            <w:tcBorders>
              <w:top w:val="single" w:sz="4" w:space="0" w:color="auto"/>
              <w:bottom w:val="single" w:sz="4" w:space="0" w:color="BFBFBF" w:themeColor="background1" w:themeShade="BF"/>
            </w:tcBorders>
          </w:tcPr>
          <w:p w14:paraId="197BC4E4" w14:textId="77777777" w:rsidR="00AC3C57" w:rsidRPr="00A906A4" w:rsidRDefault="00AC3C57">
            <w:pPr>
              <w:pStyle w:val="ARtabletext"/>
              <w:spacing w:before="30" w:after="20"/>
              <w:rPr>
                <w:highlight w:val="cyan"/>
              </w:rPr>
            </w:pPr>
          </w:p>
        </w:tc>
      </w:tr>
      <w:tr w:rsidR="00AC3C57" w:rsidRPr="00CC5C7C" w14:paraId="4B725739" w14:textId="77777777" w:rsidTr="005353B4">
        <w:trPr>
          <w:trHeight w:val="225"/>
        </w:trPr>
        <w:tc>
          <w:tcPr>
            <w:tcW w:w="4536" w:type="dxa"/>
            <w:tcBorders>
              <w:top w:val="single" w:sz="4" w:space="0" w:color="BFBFBF" w:themeColor="background1" w:themeShade="BF"/>
              <w:bottom w:val="single" w:sz="4" w:space="0" w:color="BFBFBF" w:themeColor="background1" w:themeShade="BF"/>
            </w:tcBorders>
          </w:tcPr>
          <w:p w14:paraId="10750F2C" w14:textId="77777777" w:rsidR="00AC3C57" w:rsidRPr="00ED45EC" w:rsidRDefault="00AC3C57">
            <w:pPr>
              <w:pStyle w:val="ARtabletext"/>
              <w:spacing w:before="30" w:after="20"/>
            </w:pPr>
            <w:r w:rsidRPr="00ED45EC">
              <w:t>Petrol</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75D3BFBB" w14:textId="4ED75B2C" w:rsidR="00AC3C57" w:rsidRPr="00ED45EC" w:rsidRDefault="00ED45EC">
            <w:pPr>
              <w:pStyle w:val="ARtabletextright"/>
              <w:spacing w:before="30" w:after="20"/>
            </w:pPr>
            <w:r w:rsidRPr="00A906A4">
              <w:t>–</w:t>
            </w:r>
          </w:p>
        </w:tc>
        <w:tc>
          <w:tcPr>
            <w:tcW w:w="1701" w:type="dxa"/>
            <w:tcBorders>
              <w:top w:val="single" w:sz="4" w:space="0" w:color="BFBFBF" w:themeColor="background1" w:themeShade="BF"/>
              <w:bottom w:val="single" w:sz="4" w:space="0" w:color="BFBFBF" w:themeColor="background1" w:themeShade="BF"/>
            </w:tcBorders>
          </w:tcPr>
          <w:p w14:paraId="576F6457" w14:textId="77777777" w:rsidR="00AC3C57" w:rsidRPr="00ED45EC"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ED45EC">
              <w:t>–</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67693DBD" w14:textId="77777777" w:rsidR="00AC3C57" w:rsidRPr="00ED45EC" w:rsidRDefault="00AC3C57">
            <w:pPr>
              <w:pStyle w:val="ARtabletextright"/>
              <w:spacing w:before="30" w:after="20"/>
            </w:pPr>
            <w:r w:rsidRPr="00ED45EC">
              <w:t>–</w:t>
            </w:r>
          </w:p>
        </w:tc>
      </w:tr>
      <w:tr w:rsidR="00AC3C57" w:rsidRPr="00CC5C7C" w14:paraId="4B2F1F5A" w14:textId="77777777" w:rsidTr="005353B4">
        <w:trPr>
          <w:trHeight w:val="225"/>
        </w:trPr>
        <w:tc>
          <w:tcPr>
            <w:tcW w:w="4536" w:type="dxa"/>
            <w:tcBorders>
              <w:top w:val="single" w:sz="4" w:space="0" w:color="BFBFBF" w:themeColor="background1" w:themeShade="BF"/>
              <w:bottom w:val="single" w:sz="4" w:space="0" w:color="BFBFBF" w:themeColor="background1" w:themeShade="BF"/>
            </w:tcBorders>
          </w:tcPr>
          <w:p w14:paraId="7C88FE32" w14:textId="77777777" w:rsidR="00AC3C57" w:rsidRPr="00ED45EC" w:rsidRDefault="00AC3C57">
            <w:pPr>
              <w:pStyle w:val="ARtabletext"/>
              <w:spacing w:before="30" w:after="20"/>
            </w:pPr>
            <w:r w:rsidRPr="00ED45EC">
              <w:t>Diesel</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2E8CB1DC" w14:textId="36D18745" w:rsidR="00AC3C57" w:rsidRPr="00ED45EC" w:rsidRDefault="00ED45EC">
            <w:pPr>
              <w:pStyle w:val="ARtabletextright"/>
              <w:spacing w:before="30" w:after="20"/>
            </w:pPr>
            <w:r w:rsidRPr="00A906A4">
              <w:t>8</w:t>
            </w:r>
          </w:p>
        </w:tc>
        <w:tc>
          <w:tcPr>
            <w:tcW w:w="1701" w:type="dxa"/>
            <w:tcBorders>
              <w:top w:val="single" w:sz="4" w:space="0" w:color="BFBFBF" w:themeColor="background1" w:themeShade="BF"/>
              <w:bottom w:val="single" w:sz="4" w:space="0" w:color="BFBFBF" w:themeColor="background1" w:themeShade="BF"/>
            </w:tcBorders>
          </w:tcPr>
          <w:p w14:paraId="66901BC3" w14:textId="77777777" w:rsidR="00AC3C57" w:rsidRPr="00ED45EC"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ED45EC">
              <w:t>10</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bottom w:val="single" w:sz="4" w:space="0" w:color="BFBFBF" w:themeColor="background1" w:themeShade="BF"/>
            </w:tcBorders>
          </w:tcPr>
          <w:p w14:paraId="4185F5AF" w14:textId="77777777" w:rsidR="00AC3C57" w:rsidRPr="00ED45EC" w:rsidRDefault="00AC3C57">
            <w:pPr>
              <w:pStyle w:val="ARtabletextright"/>
              <w:spacing w:before="30" w:after="20"/>
            </w:pPr>
            <w:r w:rsidRPr="00ED45EC">
              <w:t>17</w:t>
            </w:r>
          </w:p>
        </w:tc>
      </w:tr>
      <w:tr w:rsidR="00AC3C57" w:rsidRPr="00CC5C7C" w14:paraId="1F4DDB7B" w14:textId="77777777" w:rsidTr="005353B4">
        <w:trPr>
          <w:trHeight w:val="240"/>
        </w:trPr>
        <w:tc>
          <w:tcPr>
            <w:tcW w:w="4536" w:type="dxa"/>
            <w:tcBorders>
              <w:top w:val="single" w:sz="4" w:space="0" w:color="BFBFBF" w:themeColor="background1" w:themeShade="BF"/>
            </w:tcBorders>
          </w:tcPr>
          <w:p w14:paraId="69D2A54C" w14:textId="77777777" w:rsidR="00AC3C57" w:rsidRPr="00ED45EC" w:rsidRDefault="00AC3C57">
            <w:pPr>
              <w:pStyle w:val="ARtabletext"/>
              <w:spacing w:before="30" w:after="20"/>
            </w:pPr>
            <w:r w:rsidRPr="00ED45EC">
              <w:t>Electricity</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tcBorders>
          </w:tcPr>
          <w:p w14:paraId="511C3A23" w14:textId="1F3F2534" w:rsidR="00AC3C57" w:rsidRPr="00ED45EC" w:rsidRDefault="00ED45EC">
            <w:pPr>
              <w:pStyle w:val="ARtabletextright"/>
              <w:spacing w:before="30" w:after="20"/>
            </w:pPr>
            <w:r w:rsidRPr="00A906A4">
              <w:t>–</w:t>
            </w:r>
          </w:p>
        </w:tc>
        <w:tc>
          <w:tcPr>
            <w:tcW w:w="1701" w:type="dxa"/>
            <w:tcBorders>
              <w:top w:val="single" w:sz="4" w:space="0" w:color="BFBFBF" w:themeColor="background1" w:themeShade="BF"/>
            </w:tcBorders>
          </w:tcPr>
          <w:p w14:paraId="42EF2F46" w14:textId="77777777" w:rsidR="00AC3C57" w:rsidRPr="00ED45EC"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ED45EC">
              <w:t>–</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themeColor="background1" w:themeShade="BF"/>
            </w:tcBorders>
          </w:tcPr>
          <w:p w14:paraId="6CF5731C" w14:textId="77777777" w:rsidR="00AC3C57" w:rsidRPr="00ED45EC" w:rsidRDefault="00AC3C57">
            <w:pPr>
              <w:pStyle w:val="ARtabletextright"/>
              <w:spacing w:before="30" w:after="20"/>
            </w:pPr>
            <w:r w:rsidRPr="00ED45EC">
              <w:t>–</w:t>
            </w:r>
          </w:p>
        </w:tc>
      </w:tr>
      <w:tr w:rsidR="00AC3C57" w:rsidRPr="00CC5C7C" w14:paraId="238C0B36" w14:textId="77777777" w:rsidTr="005353B4">
        <w:trPr>
          <w:trHeight w:val="240"/>
        </w:trPr>
        <w:tc>
          <w:tcPr>
            <w:tcW w:w="4536" w:type="dxa"/>
          </w:tcPr>
          <w:p w14:paraId="08E9BD27" w14:textId="77777777" w:rsidR="00AC3C57" w:rsidRPr="00ED45EC" w:rsidRDefault="00AC3C57">
            <w:pPr>
              <w:pStyle w:val="ARtabletextbold"/>
              <w:spacing w:before="30" w:after="20"/>
            </w:pPr>
            <w:r w:rsidRPr="00ED45EC">
              <w:t>Total goods vehicles</w:t>
            </w:r>
          </w:p>
        </w:tc>
        <w:tc>
          <w:tcPr>
            <w:cnfStyle w:val="000001000000" w:firstRow="0" w:lastRow="0" w:firstColumn="0" w:lastColumn="0" w:oddVBand="0" w:evenVBand="1" w:oddHBand="0" w:evenHBand="0" w:firstRowFirstColumn="0" w:firstRowLastColumn="0" w:lastRowFirstColumn="0" w:lastRowLastColumn="0"/>
            <w:tcW w:w="1701" w:type="dxa"/>
          </w:tcPr>
          <w:p w14:paraId="0A0A2EE1" w14:textId="54830C23" w:rsidR="00AC3C57" w:rsidRPr="00ED45EC" w:rsidRDefault="00ED45EC">
            <w:pPr>
              <w:pStyle w:val="ARtabletextrightbold"/>
              <w:spacing w:before="30" w:after="20"/>
            </w:pPr>
            <w:r w:rsidRPr="00A906A4">
              <w:t>8</w:t>
            </w:r>
          </w:p>
        </w:tc>
        <w:tc>
          <w:tcPr>
            <w:tcW w:w="1701" w:type="dxa"/>
          </w:tcPr>
          <w:p w14:paraId="43B51992" w14:textId="77777777" w:rsidR="00AC3C57" w:rsidRPr="00ED45EC" w:rsidRDefault="00AC3C57">
            <w:pPr>
              <w:pStyle w:val="ARtabletextrightbold"/>
              <w:spacing w:before="30" w:after="20"/>
              <w:cnfStyle w:val="000000000000" w:firstRow="0" w:lastRow="0" w:firstColumn="0" w:lastColumn="0" w:oddVBand="0" w:evenVBand="0" w:oddHBand="0" w:evenHBand="0" w:firstRowFirstColumn="0" w:firstRowLastColumn="0" w:lastRowFirstColumn="0" w:lastRowLastColumn="0"/>
            </w:pPr>
            <w:r w:rsidRPr="00ED45EC">
              <w:t>10</w:t>
            </w:r>
          </w:p>
        </w:tc>
        <w:tc>
          <w:tcPr>
            <w:cnfStyle w:val="000001000000" w:firstRow="0" w:lastRow="0" w:firstColumn="0" w:lastColumn="0" w:oddVBand="0" w:evenVBand="1" w:oddHBand="0" w:evenHBand="0" w:firstRowFirstColumn="0" w:firstRowLastColumn="0" w:lastRowFirstColumn="0" w:lastRowLastColumn="0"/>
            <w:tcW w:w="1701" w:type="dxa"/>
          </w:tcPr>
          <w:p w14:paraId="15A2D9D9" w14:textId="77777777" w:rsidR="00AC3C57" w:rsidRPr="00ED45EC" w:rsidRDefault="00AC3C57">
            <w:pPr>
              <w:pStyle w:val="ARtabletextrightbold"/>
              <w:spacing w:before="30" w:after="20"/>
            </w:pPr>
            <w:r w:rsidRPr="00ED45EC">
              <w:t>17</w:t>
            </w:r>
          </w:p>
        </w:tc>
      </w:tr>
      <w:tr w:rsidR="00AC3C57" w:rsidRPr="008E2F75" w14:paraId="4F4CF9C3" w14:textId="77777777" w:rsidTr="005353B4">
        <w:trPr>
          <w:trHeight w:val="240"/>
        </w:trPr>
        <w:tc>
          <w:tcPr>
            <w:tcW w:w="4536" w:type="dxa"/>
          </w:tcPr>
          <w:p w14:paraId="4E96E4FE" w14:textId="77777777" w:rsidR="00AC3C57" w:rsidRPr="00ED45EC" w:rsidRDefault="00AC3C57">
            <w:pPr>
              <w:pStyle w:val="ARtabletext"/>
              <w:spacing w:before="30" w:after="20"/>
              <w:rPr>
                <w:rFonts w:eastAsia="Calibri"/>
              </w:rPr>
            </w:pPr>
            <w:r w:rsidRPr="00ED45EC">
              <w:t>State government vehicle pool</w:t>
            </w:r>
          </w:p>
        </w:tc>
        <w:tc>
          <w:tcPr>
            <w:cnfStyle w:val="000001000000" w:firstRow="0" w:lastRow="0" w:firstColumn="0" w:lastColumn="0" w:oddVBand="0" w:evenVBand="1" w:oddHBand="0" w:evenHBand="0" w:firstRowFirstColumn="0" w:firstRowLastColumn="0" w:lastRowFirstColumn="0" w:lastRowLastColumn="0"/>
            <w:tcW w:w="1701" w:type="dxa"/>
          </w:tcPr>
          <w:p w14:paraId="0DDBBDF7" w14:textId="42758929" w:rsidR="00AC3C57" w:rsidRPr="00ED45EC" w:rsidRDefault="00ED45EC">
            <w:pPr>
              <w:pStyle w:val="ARtabletextright"/>
              <w:spacing w:before="30" w:after="20"/>
            </w:pPr>
            <w:r w:rsidRPr="00A906A4">
              <w:t>49</w:t>
            </w:r>
          </w:p>
        </w:tc>
        <w:tc>
          <w:tcPr>
            <w:tcW w:w="1701" w:type="dxa"/>
          </w:tcPr>
          <w:p w14:paraId="42137077" w14:textId="77777777" w:rsidR="00AC3C57" w:rsidRPr="00ED45EC"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ED45EC">
              <w:t>37</w:t>
            </w:r>
          </w:p>
        </w:tc>
        <w:tc>
          <w:tcPr>
            <w:cnfStyle w:val="000001000000" w:firstRow="0" w:lastRow="0" w:firstColumn="0" w:lastColumn="0" w:oddVBand="0" w:evenVBand="1" w:oddHBand="0" w:evenHBand="0" w:firstRowFirstColumn="0" w:firstRowLastColumn="0" w:lastRowFirstColumn="0" w:lastRowLastColumn="0"/>
            <w:tcW w:w="1701" w:type="dxa"/>
          </w:tcPr>
          <w:p w14:paraId="7ECE66DC" w14:textId="77777777" w:rsidR="00AC3C57" w:rsidRPr="00036453" w:rsidRDefault="00AC3C57">
            <w:pPr>
              <w:pStyle w:val="ARtabletextright"/>
              <w:spacing w:before="30" w:after="20"/>
            </w:pPr>
            <w:r w:rsidRPr="00ED45EC">
              <w:t>28</w:t>
            </w:r>
          </w:p>
        </w:tc>
      </w:tr>
      <w:tr w:rsidR="00AC3C57" w:rsidRPr="008E2F75" w14:paraId="0542AFCF" w14:textId="77777777" w:rsidTr="005353B4">
        <w:trPr>
          <w:cnfStyle w:val="010000000000" w:firstRow="0" w:lastRow="1" w:firstColumn="0" w:lastColumn="0" w:oddVBand="0" w:evenVBand="0" w:oddHBand="0" w:evenHBand="0" w:firstRowFirstColumn="0" w:firstRowLastColumn="0" w:lastRowFirstColumn="0" w:lastRowLastColumn="0"/>
          <w:trHeight w:val="240"/>
        </w:trPr>
        <w:tc>
          <w:tcPr>
            <w:tcW w:w="4536" w:type="dxa"/>
          </w:tcPr>
          <w:p w14:paraId="571680C9" w14:textId="77777777" w:rsidR="00AC3C57" w:rsidRPr="00A906A4" w:rsidRDefault="00AC3C57">
            <w:pPr>
              <w:pStyle w:val="ARtabletextbold"/>
              <w:spacing w:before="30" w:after="20"/>
            </w:pPr>
            <w:r w:rsidRPr="00A906A4">
              <w:t>T3 Greenhouse gas emissions from vehicle fleet</w:t>
            </w:r>
          </w:p>
        </w:tc>
        <w:tc>
          <w:tcPr>
            <w:cnfStyle w:val="000001000000" w:firstRow="0" w:lastRow="0" w:firstColumn="0" w:lastColumn="0" w:oddVBand="0" w:evenVBand="1" w:oddHBand="0" w:evenHBand="0" w:firstRowFirstColumn="0" w:firstRowLastColumn="0" w:lastRowFirstColumn="0" w:lastRowLastColumn="0"/>
            <w:tcW w:w="1701" w:type="dxa"/>
          </w:tcPr>
          <w:p w14:paraId="15577BC9" w14:textId="321BB9B2" w:rsidR="00AC3C57" w:rsidRPr="00A906A4" w:rsidRDefault="00ED45EC">
            <w:pPr>
              <w:pStyle w:val="ARtabletextrightbold"/>
              <w:spacing w:before="30" w:after="20"/>
            </w:pPr>
            <w:r w:rsidRPr="00A906A4">
              <w:t>5,011</w:t>
            </w:r>
          </w:p>
        </w:tc>
        <w:tc>
          <w:tcPr>
            <w:tcW w:w="1701" w:type="dxa"/>
          </w:tcPr>
          <w:p w14:paraId="58347C8D" w14:textId="77777777" w:rsidR="00AC3C57" w:rsidRPr="00A906A4" w:rsidRDefault="00AC3C57">
            <w:pPr>
              <w:pStyle w:val="ARtabletextrightbold"/>
              <w:spacing w:before="30" w:after="20"/>
              <w:cnfStyle w:val="010000000000" w:firstRow="0" w:lastRow="1" w:firstColumn="0" w:lastColumn="0" w:oddVBand="0" w:evenVBand="0" w:oddHBand="0" w:evenHBand="0" w:firstRowFirstColumn="0" w:firstRowLastColumn="0" w:lastRowFirstColumn="0" w:lastRowLastColumn="0"/>
            </w:pPr>
            <w:r w:rsidRPr="00A906A4">
              <w:t>3,520</w:t>
            </w:r>
          </w:p>
        </w:tc>
        <w:tc>
          <w:tcPr>
            <w:cnfStyle w:val="000001000000" w:firstRow="0" w:lastRow="0" w:firstColumn="0" w:lastColumn="0" w:oddVBand="0" w:evenVBand="1" w:oddHBand="0" w:evenHBand="0" w:firstRowFirstColumn="0" w:firstRowLastColumn="0" w:lastRowFirstColumn="0" w:lastRowLastColumn="0"/>
            <w:tcW w:w="1701" w:type="dxa"/>
          </w:tcPr>
          <w:p w14:paraId="709AFF57" w14:textId="77777777" w:rsidR="00AC3C57" w:rsidRPr="00A906A4" w:rsidRDefault="00AC3C57">
            <w:pPr>
              <w:pStyle w:val="ARtabletextrightbold"/>
              <w:spacing w:before="30" w:after="20"/>
            </w:pPr>
            <w:r w:rsidRPr="00A906A4">
              <w:t>3,375</w:t>
            </w:r>
          </w:p>
        </w:tc>
      </w:tr>
    </w:tbl>
    <w:p w14:paraId="6A5F4DC5" w14:textId="77777777" w:rsidR="00AC3C57" w:rsidRPr="005F42D9" w:rsidRDefault="00AC3C57">
      <w:pPr>
        <w:pStyle w:val="ARtablecaption"/>
      </w:pPr>
      <w:r w:rsidRPr="005F42D9">
        <w:t>Total distance travelled commercial air travel</w:t>
      </w:r>
    </w:p>
    <w:tbl>
      <w:tblPr>
        <w:tblStyle w:val="TableGrid"/>
        <w:tblW w:w="9639" w:type="dxa"/>
        <w:tblLayout w:type="fixed"/>
        <w:tblLook w:val="02E0" w:firstRow="1" w:lastRow="1" w:firstColumn="1" w:lastColumn="0" w:noHBand="1" w:noVBand="0"/>
      </w:tblPr>
      <w:tblGrid>
        <w:gridCol w:w="4536"/>
        <w:gridCol w:w="1701"/>
        <w:gridCol w:w="1701"/>
        <w:gridCol w:w="1701"/>
      </w:tblGrid>
      <w:tr w:rsidR="00AC3C57" w:rsidRPr="00A67E2A" w14:paraId="28217691" w14:textId="77777777" w:rsidTr="005353B4">
        <w:trPr>
          <w:cnfStyle w:val="100000000000" w:firstRow="1" w:lastRow="0" w:firstColumn="0" w:lastColumn="0" w:oddVBand="0" w:evenVBand="0" w:oddHBand="0" w:evenHBand="0" w:firstRowFirstColumn="0" w:firstRowLastColumn="0" w:lastRowFirstColumn="0" w:lastRowLastColumn="0"/>
          <w:trHeight w:val="225"/>
          <w:tblHeader/>
        </w:trPr>
        <w:tc>
          <w:tcPr>
            <w:tcW w:w="4536" w:type="dxa"/>
            <w:tcBorders>
              <w:bottom w:val="single" w:sz="4" w:space="0" w:color="auto"/>
            </w:tcBorders>
          </w:tcPr>
          <w:p w14:paraId="653779E5" w14:textId="77777777" w:rsidR="00AC3C57" w:rsidRPr="005F42D9" w:rsidRDefault="00AC3C57">
            <w:pPr>
              <w:pStyle w:val="ARtablecolhead"/>
            </w:pP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tcPr>
          <w:p w14:paraId="1C4C45A6" w14:textId="77777777" w:rsidR="00AC3C57" w:rsidRPr="00A67E2A" w:rsidRDefault="00AC3C57">
            <w:pPr>
              <w:pStyle w:val="ARtablecolheadright"/>
              <w:spacing w:before="30" w:after="20"/>
            </w:pPr>
            <w:r w:rsidRPr="00A67E2A">
              <w:t>2024–25</w:t>
            </w:r>
          </w:p>
          <w:p w14:paraId="3518A3A8" w14:textId="77777777" w:rsidR="00AC3C57" w:rsidRPr="00A67E2A" w:rsidRDefault="00AC3C57">
            <w:pPr>
              <w:pStyle w:val="ARtablecolheadright"/>
              <w:spacing w:before="30" w:after="20"/>
              <w:rPr>
                <w:i/>
              </w:rPr>
            </w:pPr>
            <w:r w:rsidRPr="00A67E2A">
              <w:t>Passenger km</w:t>
            </w:r>
          </w:p>
        </w:tc>
        <w:tc>
          <w:tcPr>
            <w:tcW w:w="1701" w:type="dxa"/>
            <w:tcBorders>
              <w:bottom w:val="single" w:sz="4" w:space="0" w:color="auto"/>
            </w:tcBorders>
          </w:tcPr>
          <w:p w14:paraId="0D4B4045" w14:textId="77777777" w:rsidR="00AC3C57" w:rsidRPr="00A67E2A"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A67E2A">
              <w:t>2023–24</w:t>
            </w:r>
          </w:p>
          <w:p w14:paraId="1AED618C" w14:textId="77777777" w:rsidR="00AC3C57" w:rsidRPr="00A67E2A"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rPr>
                <w:i/>
              </w:rPr>
            </w:pPr>
            <w:r w:rsidRPr="00A67E2A">
              <w:t>Passenger km</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tcPr>
          <w:p w14:paraId="1FC40078" w14:textId="77777777" w:rsidR="00AC3C57" w:rsidRPr="00A67E2A" w:rsidRDefault="00AC3C57">
            <w:pPr>
              <w:pStyle w:val="ARtablecolheadright"/>
              <w:spacing w:before="30" w:after="20"/>
            </w:pPr>
            <w:r w:rsidRPr="00A67E2A">
              <w:t>2022–23</w:t>
            </w:r>
          </w:p>
          <w:p w14:paraId="3D52AF72" w14:textId="77777777" w:rsidR="00AC3C57" w:rsidRPr="00A67E2A" w:rsidRDefault="00AC3C57">
            <w:pPr>
              <w:pStyle w:val="ARtablecolheadright"/>
              <w:spacing w:before="30" w:after="20"/>
              <w:rPr>
                <w:i/>
              </w:rPr>
            </w:pPr>
            <w:r w:rsidRPr="00A67E2A">
              <w:t>Passenger km</w:t>
            </w:r>
          </w:p>
        </w:tc>
      </w:tr>
      <w:tr w:rsidR="00AC3C57" w:rsidRPr="008E2F75" w14:paraId="0AE681C7" w14:textId="77777777" w:rsidTr="005353B4">
        <w:trPr>
          <w:cnfStyle w:val="010000000000" w:firstRow="0" w:lastRow="1" w:firstColumn="0" w:lastColumn="0" w:oddVBand="0" w:evenVBand="0" w:oddHBand="0" w:evenHBand="0" w:firstRowFirstColumn="0" w:firstRowLastColumn="0" w:lastRowFirstColumn="0" w:lastRowLastColumn="0"/>
          <w:trHeight w:val="300"/>
        </w:trPr>
        <w:tc>
          <w:tcPr>
            <w:tcW w:w="4536" w:type="dxa"/>
            <w:tcBorders>
              <w:bottom w:val="single" w:sz="4" w:space="0" w:color="auto"/>
            </w:tcBorders>
          </w:tcPr>
          <w:p w14:paraId="26CE5D76" w14:textId="77777777" w:rsidR="00AC3C57" w:rsidRPr="00A67E2A" w:rsidRDefault="00AC3C57">
            <w:pPr>
              <w:pStyle w:val="ARtabletextbold"/>
              <w:spacing w:before="30" w:after="20"/>
            </w:pPr>
            <w:r w:rsidRPr="00A67E2A">
              <w:t>T4 Total distance travelled commercial air travel</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tcPr>
          <w:p w14:paraId="55E447F7" w14:textId="77777777" w:rsidR="00AC3C57" w:rsidRPr="00A67E2A" w:rsidRDefault="00AC3C57">
            <w:pPr>
              <w:pStyle w:val="ARtabletextright"/>
              <w:spacing w:before="30" w:after="20"/>
            </w:pPr>
            <w:r w:rsidRPr="00CA2C8F">
              <w:t>2</w:t>
            </w:r>
            <w:r>
              <w:t>,</w:t>
            </w:r>
            <w:r w:rsidRPr="00CA2C8F">
              <w:t>479</w:t>
            </w:r>
            <w:r>
              <w:t>,</w:t>
            </w:r>
            <w:r w:rsidRPr="00CA2C8F">
              <w:t>894</w:t>
            </w:r>
          </w:p>
        </w:tc>
        <w:tc>
          <w:tcPr>
            <w:tcW w:w="1701" w:type="dxa"/>
            <w:tcBorders>
              <w:bottom w:val="single" w:sz="4" w:space="0" w:color="auto"/>
            </w:tcBorders>
          </w:tcPr>
          <w:p w14:paraId="31A9AF3D" w14:textId="77777777" w:rsidR="00AC3C57" w:rsidRPr="00A67E2A" w:rsidRDefault="00AC3C57">
            <w:pPr>
              <w:pStyle w:val="ARtabletextright"/>
              <w:spacing w:before="30" w:after="20"/>
              <w:cnfStyle w:val="010000000000" w:firstRow="0" w:lastRow="1" w:firstColumn="0" w:lastColumn="0" w:oddVBand="0" w:evenVBand="0" w:oddHBand="0" w:evenHBand="0" w:firstRowFirstColumn="0" w:firstRowLastColumn="0" w:lastRowFirstColumn="0" w:lastRowLastColumn="0"/>
            </w:pPr>
            <w:r w:rsidRPr="00A67E2A">
              <w:t>3,780,623</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tcPr>
          <w:p w14:paraId="55B48F33" w14:textId="77777777" w:rsidR="00AC3C57" w:rsidRPr="00B4293E" w:rsidRDefault="00AC3C57">
            <w:pPr>
              <w:pStyle w:val="ARtabletextright"/>
              <w:spacing w:before="30" w:after="20"/>
            </w:pPr>
            <w:r w:rsidRPr="00A67E2A">
              <w:t>2,987,750</w:t>
            </w:r>
          </w:p>
        </w:tc>
      </w:tr>
    </w:tbl>
    <w:p w14:paraId="480D787F" w14:textId="77777777" w:rsidR="00AC3C57" w:rsidRPr="008E2F75" w:rsidRDefault="00AC3C57">
      <w:pPr>
        <w:pStyle w:val="ARbody"/>
        <w:rPr>
          <w:highlight w:val="cyan"/>
        </w:rPr>
      </w:pPr>
    </w:p>
    <w:p w14:paraId="47D48BBC" w14:textId="77777777" w:rsidR="00AC3C57" w:rsidRPr="00A07BC2" w:rsidRDefault="00AC3C57">
      <w:pPr>
        <w:pStyle w:val="Heading3"/>
      </w:pPr>
      <w:r w:rsidRPr="00A07BC2">
        <w:lastRenderedPageBreak/>
        <w:t>Total energy use</w:t>
      </w:r>
    </w:p>
    <w:p w14:paraId="40017ED8" w14:textId="77777777" w:rsidR="00AC3C57" w:rsidRPr="00A07BC2" w:rsidRDefault="00AC3C57">
      <w:pPr>
        <w:pStyle w:val="Heading4"/>
        <w:rPr>
          <w:lang w:eastAsia="ja-JP"/>
        </w:rPr>
      </w:pPr>
      <w:r w:rsidRPr="00A07BC2">
        <w:rPr>
          <w:lang w:eastAsia="ja-JP"/>
        </w:rPr>
        <w:t>Department offices</w:t>
      </w:r>
    </w:p>
    <w:p w14:paraId="146BEC41" w14:textId="77777777" w:rsidR="00AC3C57" w:rsidRPr="00A07BC2" w:rsidRDefault="00AC3C57">
      <w:pPr>
        <w:pStyle w:val="ARtablecaption"/>
      </w:pPr>
      <w:r w:rsidRPr="00A07BC2">
        <w:t>Total energy use</w:t>
      </w:r>
    </w:p>
    <w:tbl>
      <w:tblPr>
        <w:tblStyle w:val="TableGrid"/>
        <w:tblW w:w="9639" w:type="dxa"/>
        <w:tblLook w:val="02E0" w:firstRow="1" w:lastRow="1" w:firstColumn="1" w:lastColumn="0" w:noHBand="1" w:noVBand="0"/>
      </w:tblPr>
      <w:tblGrid>
        <w:gridCol w:w="4544"/>
        <w:gridCol w:w="1709"/>
        <w:gridCol w:w="1709"/>
        <w:gridCol w:w="1709"/>
      </w:tblGrid>
      <w:tr w:rsidR="00AC3C57" w:rsidRPr="008E2F75" w14:paraId="6F8B06D4" w14:textId="77777777" w:rsidTr="005353B4">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0B532D8B" w14:textId="77777777" w:rsidR="00AC3C57" w:rsidRPr="00B94965" w:rsidRDefault="00AC3C57">
            <w:pPr>
              <w:pStyle w:val="ARtablecolhead"/>
              <w:spacing w:before="30" w:after="20"/>
              <w:rPr>
                <w:color w:val="000000"/>
              </w:rPr>
            </w:pPr>
            <w:r w:rsidRPr="00B94965">
              <w:t>Indicator</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noWrap/>
          </w:tcPr>
          <w:p w14:paraId="1106DC41" w14:textId="77777777" w:rsidR="00AC3C57" w:rsidRPr="00B94965" w:rsidRDefault="00AC3C57">
            <w:pPr>
              <w:pStyle w:val="ARtablecolheadright"/>
              <w:spacing w:before="30" w:after="20"/>
            </w:pPr>
            <w:r w:rsidRPr="00B94965">
              <w:t>2024–25</w:t>
            </w:r>
          </w:p>
          <w:p w14:paraId="4F3C6A47" w14:textId="77777777" w:rsidR="00AC3C57" w:rsidRPr="00B94965" w:rsidRDefault="00AC3C57">
            <w:pPr>
              <w:pStyle w:val="ARtablecolheadright"/>
              <w:spacing w:before="30" w:after="20"/>
            </w:pPr>
            <w:r w:rsidRPr="00B94965">
              <w:t>MJ</w:t>
            </w:r>
          </w:p>
        </w:tc>
        <w:tc>
          <w:tcPr>
            <w:tcW w:w="1701" w:type="dxa"/>
            <w:tcBorders>
              <w:bottom w:val="single" w:sz="4" w:space="0" w:color="auto"/>
            </w:tcBorders>
            <w:noWrap/>
          </w:tcPr>
          <w:p w14:paraId="5BC5F644" w14:textId="77777777" w:rsidR="00AC3C57" w:rsidRPr="00B94965"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B94965">
              <w:t>2023–24</w:t>
            </w:r>
          </w:p>
          <w:p w14:paraId="54856BB0" w14:textId="77777777" w:rsidR="00AC3C57" w:rsidRPr="00B94965"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B94965">
              <w:t>MJ</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noWrap/>
          </w:tcPr>
          <w:p w14:paraId="1D8128BD" w14:textId="77777777" w:rsidR="00AC3C57" w:rsidRPr="00B94965" w:rsidRDefault="00AC3C57">
            <w:pPr>
              <w:pStyle w:val="ARtablecolheadright"/>
              <w:spacing w:before="30" w:after="20"/>
            </w:pPr>
            <w:r w:rsidRPr="00B94965">
              <w:t>2022–23</w:t>
            </w:r>
          </w:p>
          <w:p w14:paraId="7F04A06A" w14:textId="77777777" w:rsidR="00AC3C57" w:rsidRPr="00B94965" w:rsidRDefault="00AC3C57">
            <w:pPr>
              <w:pStyle w:val="ARtablecolheadright"/>
              <w:spacing w:before="30" w:after="20"/>
            </w:pPr>
            <w:r w:rsidRPr="00B94965">
              <w:t>MJ</w:t>
            </w:r>
          </w:p>
        </w:tc>
      </w:tr>
      <w:tr w:rsidR="00AC3C57" w:rsidRPr="008E2F75" w14:paraId="63457E5D" w14:textId="77777777" w:rsidTr="005353B4">
        <w:trPr>
          <w:trHeight w:val="288"/>
        </w:trPr>
        <w:tc>
          <w:tcPr>
            <w:tcW w:w="4536" w:type="dxa"/>
            <w:tcBorders>
              <w:top w:val="single" w:sz="4" w:space="0" w:color="auto"/>
              <w:bottom w:val="single" w:sz="4" w:space="0" w:color="000000"/>
            </w:tcBorders>
            <w:noWrap/>
            <w:hideMark/>
          </w:tcPr>
          <w:p w14:paraId="4391EAD3" w14:textId="77777777" w:rsidR="00AC3C57" w:rsidRPr="00B94965" w:rsidRDefault="00AC3C57">
            <w:pPr>
              <w:pStyle w:val="ARtabletextbold"/>
              <w:spacing w:before="30" w:after="20"/>
            </w:pPr>
            <w:r w:rsidRPr="00B94965">
              <w:t xml:space="preserve">E1 Total energy usage from fuels </w:t>
            </w:r>
            <w:r w:rsidRPr="00B94965">
              <w:br/>
              <w:t>(</w:t>
            </w:r>
            <w:proofErr w:type="gramStart"/>
            <w:r w:rsidRPr="00B94965">
              <w:t>stationary</w:t>
            </w:r>
            <w:proofErr w:type="gramEnd"/>
            <w:r w:rsidRPr="00B94965">
              <w:t xml:space="preserve"> and transportation)</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auto"/>
              <w:bottom w:val="single" w:sz="4" w:space="0" w:color="000000"/>
            </w:tcBorders>
            <w:noWrap/>
            <w:hideMark/>
          </w:tcPr>
          <w:p w14:paraId="4FEA8B93" w14:textId="77777777" w:rsidR="00AC3C57" w:rsidRPr="00B94965" w:rsidRDefault="00AC3C57">
            <w:pPr>
              <w:pStyle w:val="ARtabletextright"/>
              <w:spacing w:before="30" w:after="20"/>
            </w:pPr>
            <w:r w:rsidRPr="00B94965">
              <w:t>66,530,129</w:t>
            </w:r>
          </w:p>
        </w:tc>
        <w:tc>
          <w:tcPr>
            <w:tcW w:w="1701" w:type="dxa"/>
            <w:tcBorders>
              <w:top w:val="single" w:sz="4" w:space="0" w:color="auto"/>
              <w:bottom w:val="single" w:sz="4" w:space="0" w:color="000000"/>
            </w:tcBorders>
            <w:noWrap/>
            <w:hideMark/>
          </w:tcPr>
          <w:p w14:paraId="73F967F5" w14:textId="77777777" w:rsidR="00AC3C57" w:rsidRPr="00B94965"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B94965">
              <w:t>74,402,573</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auto"/>
              <w:bottom w:val="single" w:sz="4" w:space="0" w:color="000000"/>
            </w:tcBorders>
            <w:noWrap/>
            <w:hideMark/>
          </w:tcPr>
          <w:p w14:paraId="42160EE0" w14:textId="77777777" w:rsidR="00AC3C57" w:rsidRPr="00A07BC2" w:rsidRDefault="00AC3C57">
            <w:pPr>
              <w:pStyle w:val="ARtabletextright"/>
              <w:spacing w:before="30" w:after="20"/>
            </w:pPr>
            <w:r w:rsidRPr="00B94965">
              <w:t>63,243,838</w:t>
            </w:r>
          </w:p>
        </w:tc>
      </w:tr>
      <w:tr w:rsidR="00AC3C57" w:rsidRPr="008E2F75" w14:paraId="4913745E" w14:textId="77777777" w:rsidTr="005353B4">
        <w:trPr>
          <w:trHeight w:val="288"/>
        </w:trPr>
        <w:tc>
          <w:tcPr>
            <w:tcW w:w="4536" w:type="dxa"/>
            <w:tcBorders>
              <w:top w:val="single" w:sz="4" w:space="0" w:color="000000"/>
              <w:bottom w:val="single" w:sz="4" w:space="0" w:color="000000"/>
            </w:tcBorders>
            <w:noWrap/>
          </w:tcPr>
          <w:p w14:paraId="7C0DB190" w14:textId="77777777" w:rsidR="00AC3C57" w:rsidRPr="00416834" w:rsidRDefault="00AC3C57">
            <w:pPr>
              <w:pStyle w:val="ARtabletextbold"/>
              <w:spacing w:before="30" w:after="20"/>
            </w:pPr>
            <w:r w:rsidRPr="00416834">
              <w:t>E2 Total energy used from electricity</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000000"/>
              <w:bottom w:val="single" w:sz="4" w:space="0" w:color="000000"/>
            </w:tcBorders>
            <w:noWrap/>
          </w:tcPr>
          <w:p w14:paraId="3461E437" w14:textId="77777777" w:rsidR="00AC3C57" w:rsidRPr="00416834" w:rsidRDefault="00AC3C57">
            <w:pPr>
              <w:pStyle w:val="ARtabletextright"/>
              <w:spacing w:before="30" w:after="20"/>
            </w:pPr>
            <w:r w:rsidRPr="00416834">
              <w:t>41,096,520</w:t>
            </w:r>
          </w:p>
        </w:tc>
        <w:tc>
          <w:tcPr>
            <w:tcW w:w="1701" w:type="dxa"/>
            <w:tcBorders>
              <w:top w:val="single" w:sz="4" w:space="0" w:color="000000"/>
              <w:bottom w:val="single" w:sz="4" w:space="0" w:color="000000"/>
            </w:tcBorders>
            <w:noWrap/>
          </w:tcPr>
          <w:p w14:paraId="2A7CD20C" w14:textId="77777777" w:rsidR="00AC3C57" w:rsidRPr="00416834"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416834">
              <w:t>42,749,568</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000000"/>
              <w:bottom w:val="single" w:sz="4" w:space="0" w:color="000000"/>
            </w:tcBorders>
            <w:noWrap/>
          </w:tcPr>
          <w:p w14:paraId="1192D574" w14:textId="77777777" w:rsidR="00AC3C57" w:rsidRPr="00A07BC2" w:rsidRDefault="00AC3C57">
            <w:pPr>
              <w:pStyle w:val="ARtabletextright"/>
              <w:spacing w:before="30" w:after="20"/>
            </w:pPr>
            <w:r w:rsidRPr="00416834">
              <w:t>37,841,141</w:t>
            </w:r>
          </w:p>
        </w:tc>
      </w:tr>
      <w:tr w:rsidR="00AC3C57" w:rsidRPr="008E2F75" w14:paraId="3E50EC36" w14:textId="77777777" w:rsidTr="005353B4">
        <w:trPr>
          <w:trHeight w:val="288"/>
        </w:trPr>
        <w:tc>
          <w:tcPr>
            <w:tcW w:w="9639" w:type="dxa"/>
            <w:gridSpan w:val="4"/>
            <w:tcBorders>
              <w:top w:val="single" w:sz="4" w:space="0" w:color="000000"/>
              <w:bottom w:val="single" w:sz="4" w:space="0" w:color="BFBFBF"/>
            </w:tcBorders>
            <w:noWrap/>
          </w:tcPr>
          <w:p w14:paraId="0A6420F4" w14:textId="1DEF2E83" w:rsidR="00AC3C57" w:rsidRPr="00A07BC2" w:rsidRDefault="00AC3C57">
            <w:pPr>
              <w:pStyle w:val="ARtabletextbold"/>
              <w:spacing w:before="30" w:after="20"/>
            </w:pPr>
            <w:r w:rsidRPr="00A07BC2">
              <w:t>E3 Total energy used segmented into renewable and non-renewable sources</w:t>
            </w:r>
          </w:p>
        </w:tc>
      </w:tr>
      <w:tr w:rsidR="00AC3C57" w:rsidRPr="008E2F75" w14:paraId="2B4D66AD" w14:textId="77777777" w:rsidTr="005353B4">
        <w:trPr>
          <w:trHeight w:val="288"/>
        </w:trPr>
        <w:tc>
          <w:tcPr>
            <w:tcW w:w="4536" w:type="dxa"/>
            <w:tcBorders>
              <w:top w:val="single" w:sz="4" w:space="0" w:color="BFBFBF"/>
              <w:bottom w:val="single" w:sz="4" w:space="0" w:color="BFBFBF"/>
            </w:tcBorders>
            <w:noWrap/>
          </w:tcPr>
          <w:p w14:paraId="4182969A" w14:textId="77777777" w:rsidR="00AC3C57" w:rsidRPr="00274314" w:rsidRDefault="00AC3C57">
            <w:pPr>
              <w:pStyle w:val="ARtabletext"/>
              <w:spacing w:before="30" w:after="20"/>
            </w:pPr>
            <w:r w:rsidRPr="00274314">
              <w:rPr>
                <w:szCs w:val="17"/>
                <w:lang w:eastAsia="ja-JP"/>
              </w:rPr>
              <w:t>Renewable</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bottom w:val="single" w:sz="4" w:space="0" w:color="BFBFBF"/>
            </w:tcBorders>
            <w:noWrap/>
          </w:tcPr>
          <w:p w14:paraId="49D87A9F" w14:textId="77777777" w:rsidR="00AC3C57" w:rsidRPr="00274314" w:rsidRDefault="00AC3C57">
            <w:pPr>
              <w:pStyle w:val="ARtabletextright"/>
              <w:spacing w:before="30" w:after="20"/>
            </w:pPr>
            <w:r w:rsidRPr="00274314">
              <w:rPr>
                <w:szCs w:val="17"/>
                <w:lang w:eastAsia="ja-JP"/>
              </w:rPr>
              <w:t>–</w:t>
            </w:r>
          </w:p>
        </w:tc>
        <w:tc>
          <w:tcPr>
            <w:tcW w:w="1701" w:type="dxa"/>
            <w:tcBorders>
              <w:top w:val="single" w:sz="4" w:space="0" w:color="BFBFBF"/>
              <w:bottom w:val="single" w:sz="4" w:space="0" w:color="BFBFBF"/>
            </w:tcBorders>
            <w:noWrap/>
          </w:tcPr>
          <w:p w14:paraId="10E4F617" w14:textId="77777777" w:rsidR="00AC3C57" w:rsidRPr="00274314"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274314">
              <w:rPr>
                <w:szCs w:val="17"/>
                <w:lang w:eastAsia="ja-JP"/>
              </w:rPr>
              <w:t>–</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bottom w:val="single" w:sz="4" w:space="0" w:color="BFBFBF"/>
            </w:tcBorders>
            <w:noWrap/>
          </w:tcPr>
          <w:p w14:paraId="3AC1790B" w14:textId="77777777" w:rsidR="00AC3C57" w:rsidRPr="00274314" w:rsidRDefault="00AC3C57">
            <w:pPr>
              <w:pStyle w:val="ARtabletextright"/>
              <w:spacing w:before="30" w:after="20"/>
            </w:pPr>
            <w:r w:rsidRPr="00274314">
              <w:rPr>
                <w:szCs w:val="17"/>
                <w:lang w:eastAsia="ja-JP"/>
              </w:rPr>
              <w:t>–</w:t>
            </w:r>
          </w:p>
        </w:tc>
      </w:tr>
      <w:tr w:rsidR="00AC3C57" w:rsidRPr="008E2F75" w14:paraId="21D5C1AD" w14:textId="77777777" w:rsidTr="005353B4">
        <w:trPr>
          <w:trHeight w:val="288"/>
        </w:trPr>
        <w:tc>
          <w:tcPr>
            <w:tcW w:w="4536" w:type="dxa"/>
            <w:tcBorders>
              <w:top w:val="single" w:sz="4" w:space="0" w:color="BFBFBF"/>
              <w:bottom w:val="single" w:sz="4" w:space="0" w:color="000000"/>
            </w:tcBorders>
            <w:noWrap/>
          </w:tcPr>
          <w:p w14:paraId="5368BFDB" w14:textId="77777777" w:rsidR="00AC3C57" w:rsidRPr="00274314" w:rsidRDefault="00AC3C57">
            <w:pPr>
              <w:pStyle w:val="ARtabletext"/>
              <w:spacing w:before="30" w:after="20"/>
              <w:rPr>
                <w:szCs w:val="17"/>
                <w:lang w:eastAsia="ja-JP"/>
              </w:rPr>
            </w:pPr>
            <w:r w:rsidRPr="00274314">
              <w:rPr>
                <w:szCs w:val="17"/>
                <w:lang w:eastAsia="ja-JP"/>
              </w:rPr>
              <w:t>Non-renewable</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bottom w:val="single" w:sz="4" w:space="0" w:color="000000"/>
            </w:tcBorders>
            <w:noWrap/>
          </w:tcPr>
          <w:p w14:paraId="7495198F" w14:textId="77777777" w:rsidR="00AC3C57" w:rsidRPr="00274314" w:rsidRDefault="00AC3C57">
            <w:pPr>
              <w:pStyle w:val="ARtabletextright"/>
              <w:spacing w:before="30" w:after="20"/>
              <w:rPr>
                <w:szCs w:val="17"/>
                <w:lang w:eastAsia="ja-JP"/>
              </w:rPr>
            </w:pPr>
            <w:r w:rsidRPr="00274314">
              <w:rPr>
                <w:szCs w:val="17"/>
                <w:lang w:eastAsia="ja-JP"/>
              </w:rPr>
              <w:t>–</w:t>
            </w:r>
          </w:p>
        </w:tc>
        <w:tc>
          <w:tcPr>
            <w:tcW w:w="1701" w:type="dxa"/>
            <w:tcBorders>
              <w:top w:val="single" w:sz="4" w:space="0" w:color="BFBFBF"/>
              <w:bottom w:val="single" w:sz="4" w:space="0" w:color="000000"/>
            </w:tcBorders>
            <w:noWrap/>
          </w:tcPr>
          <w:p w14:paraId="17027D76" w14:textId="77777777" w:rsidR="00AC3C57" w:rsidRPr="00274314"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rPr>
                <w:szCs w:val="17"/>
                <w:lang w:eastAsia="ja-JP"/>
              </w:rPr>
            </w:pPr>
            <w:r w:rsidRPr="00274314">
              <w:rPr>
                <w:szCs w:val="17"/>
                <w:lang w:eastAsia="ja-JP"/>
              </w:rPr>
              <w:t>–</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bottom w:val="single" w:sz="4" w:space="0" w:color="000000"/>
            </w:tcBorders>
            <w:noWrap/>
          </w:tcPr>
          <w:p w14:paraId="5593CABE" w14:textId="77777777" w:rsidR="00AC3C57" w:rsidRPr="00A07BC2" w:rsidRDefault="00AC3C57">
            <w:pPr>
              <w:pStyle w:val="ARtabletextright"/>
              <w:spacing w:before="30" w:after="20"/>
              <w:rPr>
                <w:szCs w:val="17"/>
                <w:lang w:eastAsia="ja-JP"/>
              </w:rPr>
            </w:pPr>
            <w:r w:rsidRPr="00274314">
              <w:rPr>
                <w:szCs w:val="17"/>
                <w:lang w:eastAsia="ja-JP"/>
              </w:rPr>
              <w:t>–</w:t>
            </w:r>
          </w:p>
        </w:tc>
      </w:tr>
      <w:tr w:rsidR="00AC3C57" w:rsidRPr="008E2F75" w14:paraId="088B629B" w14:textId="77777777" w:rsidTr="005353B4">
        <w:trPr>
          <w:cnfStyle w:val="010000000000" w:firstRow="0" w:lastRow="1" w:firstColumn="0" w:lastColumn="0" w:oddVBand="0" w:evenVBand="0" w:oddHBand="0" w:evenHBand="0" w:firstRowFirstColumn="0" w:firstRowLastColumn="0" w:lastRowFirstColumn="0" w:lastRowLastColumn="0"/>
          <w:trHeight w:val="288"/>
        </w:trPr>
        <w:tc>
          <w:tcPr>
            <w:tcW w:w="4536" w:type="dxa"/>
            <w:tcBorders>
              <w:top w:val="single" w:sz="4" w:space="0" w:color="000000"/>
            </w:tcBorders>
            <w:noWrap/>
          </w:tcPr>
          <w:p w14:paraId="2073DDD8" w14:textId="77777777" w:rsidR="00AC3C57" w:rsidRPr="00700BE9" w:rsidRDefault="00AC3C57">
            <w:pPr>
              <w:pStyle w:val="ARtabletextbold"/>
              <w:spacing w:before="30" w:after="20"/>
            </w:pPr>
            <w:r w:rsidRPr="00700BE9">
              <w:t xml:space="preserve">E4 Units of energy used </w:t>
            </w:r>
            <w:r w:rsidRPr="00700BE9">
              <w:br/>
              <w:t>normalised by FTE (MJ/FTE)</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000000"/>
            </w:tcBorders>
            <w:noWrap/>
          </w:tcPr>
          <w:p w14:paraId="181272B3" w14:textId="77777777" w:rsidR="00AC3C57" w:rsidRPr="00700BE9" w:rsidRDefault="00AC3C57">
            <w:pPr>
              <w:pStyle w:val="ARtabletextright"/>
              <w:spacing w:before="30" w:after="20"/>
            </w:pPr>
            <w:r w:rsidRPr="00700BE9">
              <w:t>15,325</w:t>
            </w:r>
          </w:p>
        </w:tc>
        <w:tc>
          <w:tcPr>
            <w:tcW w:w="1701" w:type="dxa"/>
            <w:tcBorders>
              <w:top w:val="single" w:sz="4" w:space="0" w:color="000000"/>
            </w:tcBorders>
            <w:noWrap/>
          </w:tcPr>
          <w:p w14:paraId="16C6FE98" w14:textId="77777777" w:rsidR="00AC3C57" w:rsidRPr="00700BE9" w:rsidRDefault="00AC3C57">
            <w:pPr>
              <w:pStyle w:val="ARtabletextright"/>
              <w:spacing w:before="30" w:after="20"/>
              <w:cnfStyle w:val="010000000000" w:firstRow="0" w:lastRow="1" w:firstColumn="0" w:lastColumn="0" w:oddVBand="0" w:evenVBand="0" w:oddHBand="0" w:evenHBand="0" w:firstRowFirstColumn="0" w:firstRowLastColumn="0" w:lastRowFirstColumn="0" w:lastRowLastColumn="0"/>
            </w:pPr>
            <w:r w:rsidRPr="00700BE9">
              <w:rPr>
                <w:szCs w:val="17"/>
                <w:lang w:eastAsia="ja-JP"/>
              </w:rPr>
              <w:t>17,125</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000000"/>
            </w:tcBorders>
            <w:noWrap/>
          </w:tcPr>
          <w:p w14:paraId="6B21BE38" w14:textId="77777777" w:rsidR="00AC3C57" w:rsidRPr="00A07BC2" w:rsidRDefault="00AC3C57">
            <w:pPr>
              <w:pStyle w:val="ARtabletextright"/>
              <w:spacing w:before="30" w:after="20"/>
            </w:pPr>
            <w:r w:rsidRPr="00700BE9">
              <w:rPr>
                <w:szCs w:val="17"/>
                <w:lang w:eastAsia="ja-JP"/>
              </w:rPr>
              <w:t>14,807</w:t>
            </w:r>
          </w:p>
        </w:tc>
      </w:tr>
    </w:tbl>
    <w:p w14:paraId="66529C50" w14:textId="77777777" w:rsidR="00AC3C57" w:rsidRPr="00935BE3" w:rsidRDefault="00AC3C57">
      <w:pPr>
        <w:pStyle w:val="Heading4"/>
        <w:rPr>
          <w:szCs w:val="17"/>
          <w:lang w:eastAsia="ja-JP"/>
        </w:rPr>
      </w:pPr>
      <w:r w:rsidRPr="00935BE3">
        <w:rPr>
          <w:szCs w:val="17"/>
          <w:lang w:eastAsia="ja-JP"/>
        </w:rPr>
        <w:t>Housing Services</w:t>
      </w:r>
    </w:p>
    <w:p w14:paraId="0A439842" w14:textId="77777777" w:rsidR="00AC3C57" w:rsidRPr="00935BE3" w:rsidRDefault="00AC3C57">
      <w:pPr>
        <w:pStyle w:val="ARtablecaption"/>
      </w:pPr>
      <w:r w:rsidRPr="00935BE3">
        <w:t>Total energy use</w:t>
      </w:r>
    </w:p>
    <w:tbl>
      <w:tblPr>
        <w:tblStyle w:val="TableGrid"/>
        <w:tblW w:w="9639" w:type="dxa"/>
        <w:tblLook w:val="02E0" w:firstRow="1" w:lastRow="1" w:firstColumn="1" w:lastColumn="0" w:noHBand="1" w:noVBand="0"/>
      </w:tblPr>
      <w:tblGrid>
        <w:gridCol w:w="4544"/>
        <w:gridCol w:w="1709"/>
        <w:gridCol w:w="1709"/>
        <w:gridCol w:w="1709"/>
      </w:tblGrid>
      <w:tr w:rsidR="00AC3C57" w:rsidRPr="00DA56C4" w14:paraId="73ADD414" w14:textId="77777777" w:rsidTr="005353B4">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5E34E4BB" w14:textId="77777777" w:rsidR="00AC3C57" w:rsidRPr="00935BE3" w:rsidRDefault="00AC3C57">
            <w:pPr>
              <w:pStyle w:val="ARtablecolhead"/>
              <w:spacing w:before="30" w:after="20"/>
              <w:rPr>
                <w:color w:val="000000"/>
              </w:rPr>
            </w:pPr>
            <w:r w:rsidRPr="00935BE3">
              <w:t>Indicator</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noWrap/>
          </w:tcPr>
          <w:p w14:paraId="2E37C216" w14:textId="77777777" w:rsidR="00AC3C57" w:rsidRPr="00935BE3" w:rsidRDefault="00AC3C57">
            <w:pPr>
              <w:pStyle w:val="ARtablecolheadright"/>
              <w:spacing w:before="30" w:after="20"/>
            </w:pPr>
            <w:r w:rsidRPr="00935BE3">
              <w:t>202</w:t>
            </w:r>
            <w:r>
              <w:t>4</w:t>
            </w:r>
            <w:r w:rsidRPr="00935BE3">
              <w:t>–2</w:t>
            </w:r>
            <w:r>
              <w:t>5</w:t>
            </w:r>
          </w:p>
          <w:p w14:paraId="2C1D8BE7" w14:textId="77777777" w:rsidR="00AC3C57" w:rsidRPr="00935BE3" w:rsidRDefault="00AC3C57">
            <w:pPr>
              <w:pStyle w:val="ARtablecolheadright"/>
              <w:spacing w:before="30" w:after="20"/>
            </w:pPr>
            <w:r w:rsidRPr="00935BE3">
              <w:t>MJ</w:t>
            </w:r>
          </w:p>
        </w:tc>
        <w:tc>
          <w:tcPr>
            <w:tcW w:w="1701" w:type="dxa"/>
            <w:tcBorders>
              <w:bottom w:val="single" w:sz="4" w:space="0" w:color="auto"/>
            </w:tcBorders>
            <w:noWrap/>
          </w:tcPr>
          <w:p w14:paraId="048CE275" w14:textId="77777777" w:rsidR="00AC3C57" w:rsidRPr="00935BE3"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935BE3">
              <w:t>202</w:t>
            </w:r>
            <w:r>
              <w:t>3</w:t>
            </w:r>
            <w:r w:rsidRPr="00935BE3">
              <w:t>–2</w:t>
            </w:r>
            <w:r>
              <w:t>4</w:t>
            </w:r>
          </w:p>
          <w:p w14:paraId="2BD84533" w14:textId="77777777" w:rsidR="00AC3C57" w:rsidRPr="00935BE3"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935BE3">
              <w:t>MJ</w:t>
            </w:r>
          </w:p>
        </w:tc>
        <w:tc>
          <w:tcPr>
            <w:cnfStyle w:val="000001000000" w:firstRow="0" w:lastRow="0" w:firstColumn="0" w:lastColumn="0" w:oddVBand="0" w:evenVBand="1" w:oddHBand="0" w:evenHBand="0" w:firstRowFirstColumn="0" w:firstRowLastColumn="0" w:lastRowFirstColumn="0" w:lastRowLastColumn="0"/>
            <w:tcW w:w="1701" w:type="dxa"/>
            <w:tcBorders>
              <w:bottom w:val="single" w:sz="4" w:space="0" w:color="auto"/>
            </w:tcBorders>
            <w:noWrap/>
          </w:tcPr>
          <w:p w14:paraId="22E36CD4" w14:textId="77777777" w:rsidR="00AC3C57" w:rsidRPr="00935BE3" w:rsidRDefault="00AC3C57">
            <w:pPr>
              <w:pStyle w:val="ARtablecolheadright"/>
              <w:spacing w:before="30" w:after="20"/>
            </w:pPr>
            <w:r w:rsidRPr="00935BE3">
              <w:t>202</w:t>
            </w:r>
            <w:r>
              <w:t>2</w:t>
            </w:r>
            <w:r w:rsidRPr="00935BE3">
              <w:t>–2</w:t>
            </w:r>
            <w:r>
              <w:t>3</w:t>
            </w:r>
          </w:p>
          <w:p w14:paraId="09D2B671" w14:textId="77777777" w:rsidR="00AC3C57" w:rsidRPr="00935BE3" w:rsidRDefault="00AC3C57">
            <w:pPr>
              <w:pStyle w:val="ARtablecolheadright"/>
              <w:spacing w:before="30" w:after="20"/>
            </w:pPr>
            <w:r w:rsidRPr="00935BE3">
              <w:t>MJ</w:t>
            </w:r>
          </w:p>
        </w:tc>
      </w:tr>
      <w:tr w:rsidR="00AC3C57" w:rsidRPr="00DA56C4" w14:paraId="733146A8" w14:textId="77777777" w:rsidTr="005353B4">
        <w:trPr>
          <w:trHeight w:val="288"/>
        </w:trPr>
        <w:tc>
          <w:tcPr>
            <w:tcW w:w="4536" w:type="dxa"/>
            <w:tcBorders>
              <w:top w:val="single" w:sz="4" w:space="0" w:color="auto"/>
              <w:bottom w:val="single" w:sz="4" w:space="0" w:color="000000"/>
            </w:tcBorders>
            <w:noWrap/>
            <w:hideMark/>
          </w:tcPr>
          <w:p w14:paraId="6EAE0AF5" w14:textId="77777777" w:rsidR="00AC3C57" w:rsidRPr="00935BE3" w:rsidRDefault="00AC3C57">
            <w:pPr>
              <w:pStyle w:val="ARtabletextbold"/>
              <w:spacing w:before="30" w:after="20"/>
            </w:pPr>
            <w:r w:rsidRPr="00935BE3">
              <w:t xml:space="preserve">E1 Total energy usage from fuels </w:t>
            </w:r>
            <w:r w:rsidRPr="00935BE3">
              <w:br/>
              <w:t>(</w:t>
            </w:r>
            <w:proofErr w:type="gramStart"/>
            <w:r w:rsidRPr="00935BE3">
              <w:t>stationary</w:t>
            </w:r>
            <w:proofErr w:type="gramEnd"/>
            <w:r w:rsidRPr="00935BE3">
              <w:t xml:space="preserve"> and transportation)</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auto"/>
              <w:bottom w:val="single" w:sz="4" w:space="0" w:color="000000"/>
            </w:tcBorders>
            <w:noWrap/>
          </w:tcPr>
          <w:p w14:paraId="25E75769" w14:textId="77777777" w:rsidR="00AC3C57" w:rsidRPr="00935BE3" w:rsidRDefault="00AC3C57">
            <w:pPr>
              <w:pStyle w:val="ARtabletextright"/>
              <w:spacing w:before="30" w:after="20"/>
            </w:pPr>
            <w:r w:rsidRPr="00935BE3">
              <w:t>337,965,783</w:t>
            </w:r>
          </w:p>
        </w:tc>
        <w:tc>
          <w:tcPr>
            <w:tcW w:w="1701" w:type="dxa"/>
            <w:tcBorders>
              <w:top w:val="single" w:sz="4" w:space="0" w:color="auto"/>
              <w:bottom w:val="single" w:sz="4" w:space="0" w:color="000000"/>
            </w:tcBorders>
            <w:noWrap/>
          </w:tcPr>
          <w:p w14:paraId="37111B1B" w14:textId="77777777" w:rsidR="00AC3C57" w:rsidRPr="00935BE3"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935BE3">
              <w:t>390,431,401</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auto"/>
              <w:bottom w:val="single" w:sz="4" w:space="0" w:color="000000"/>
            </w:tcBorders>
            <w:noWrap/>
            <w:hideMark/>
          </w:tcPr>
          <w:p w14:paraId="2649AAFC" w14:textId="77777777" w:rsidR="00AC3C57" w:rsidRPr="00935BE3" w:rsidRDefault="00AC3C57">
            <w:pPr>
              <w:pStyle w:val="ARtabletextright"/>
              <w:spacing w:before="30" w:after="20"/>
            </w:pPr>
            <w:r w:rsidRPr="00935BE3">
              <w:t>370,113,078</w:t>
            </w:r>
          </w:p>
        </w:tc>
      </w:tr>
      <w:tr w:rsidR="00AC3C57" w:rsidRPr="00DA56C4" w14:paraId="6895B888" w14:textId="77777777" w:rsidTr="005353B4">
        <w:trPr>
          <w:trHeight w:val="288"/>
        </w:trPr>
        <w:tc>
          <w:tcPr>
            <w:tcW w:w="4536" w:type="dxa"/>
            <w:tcBorders>
              <w:top w:val="single" w:sz="4" w:space="0" w:color="000000"/>
              <w:bottom w:val="single" w:sz="4" w:space="0" w:color="000000"/>
            </w:tcBorders>
            <w:noWrap/>
          </w:tcPr>
          <w:p w14:paraId="44709550" w14:textId="77777777" w:rsidR="00AC3C57" w:rsidRPr="00935BE3" w:rsidRDefault="00AC3C57">
            <w:pPr>
              <w:pStyle w:val="ARtabletextbold"/>
              <w:spacing w:before="30" w:after="20"/>
            </w:pPr>
            <w:r w:rsidRPr="00935BE3">
              <w:t>E2 Total energy used from electricity</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000000"/>
              <w:bottom w:val="single" w:sz="4" w:space="0" w:color="000000"/>
            </w:tcBorders>
            <w:noWrap/>
          </w:tcPr>
          <w:p w14:paraId="2E1D08B0" w14:textId="77777777" w:rsidR="00AC3C57" w:rsidRPr="00935BE3" w:rsidRDefault="00AC3C57">
            <w:pPr>
              <w:pStyle w:val="ARtabletextright"/>
              <w:spacing w:before="30" w:after="20"/>
            </w:pPr>
            <w:r w:rsidRPr="00935BE3">
              <w:t>72,914,053</w:t>
            </w:r>
          </w:p>
        </w:tc>
        <w:tc>
          <w:tcPr>
            <w:tcW w:w="1701" w:type="dxa"/>
            <w:tcBorders>
              <w:top w:val="single" w:sz="4" w:space="0" w:color="000000"/>
              <w:bottom w:val="single" w:sz="4" w:space="0" w:color="000000"/>
            </w:tcBorders>
            <w:noWrap/>
          </w:tcPr>
          <w:p w14:paraId="2AE30D9F" w14:textId="77777777" w:rsidR="00AC3C57" w:rsidRPr="00935BE3"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935BE3">
              <w:t>82,426,464</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000000"/>
              <w:bottom w:val="single" w:sz="4" w:space="0" w:color="000000"/>
            </w:tcBorders>
            <w:noWrap/>
          </w:tcPr>
          <w:p w14:paraId="638E63C0" w14:textId="77777777" w:rsidR="00AC3C57" w:rsidRPr="00935BE3" w:rsidRDefault="00AC3C57">
            <w:pPr>
              <w:pStyle w:val="ARtabletextright"/>
              <w:spacing w:before="30" w:after="20"/>
            </w:pPr>
            <w:r w:rsidRPr="00935BE3">
              <w:t>83,028,333</w:t>
            </w:r>
          </w:p>
        </w:tc>
      </w:tr>
      <w:tr w:rsidR="00AC3C57" w:rsidRPr="00DA56C4" w14:paraId="53B7A4E7" w14:textId="77777777" w:rsidTr="005353B4">
        <w:trPr>
          <w:trHeight w:val="288"/>
        </w:trPr>
        <w:tc>
          <w:tcPr>
            <w:tcW w:w="9639" w:type="dxa"/>
            <w:gridSpan w:val="4"/>
            <w:tcBorders>
              <w:top w:val="single" w:sz="4" w:space="0" w:color="000000"/>
              <w:bottom w:val="single" w:sz="4" w:space="0" w:color="BFBFBF"/>
            </w:tcBorders>
            <w:noWrap/>
          </w:tcPr>
          <w:p w14:paraId="52D515F1" w14:textId="3EF3A1AE" w:rsidR="00AC3C57" w:rsidRPr="00935BE3" w:rsidRDefault="00AC3C57">
            <w:pPr>
              <w:pStyle w:val="ARtabletextbold"/>
              <w:spacing w:before="30" w:after="20"/>
            </w:pPr>
            <w:r w:rsidRPr="00935BE3">
              <w:t>E3 Total energy used segmented into renewable and non-renewable sources</w:t>
            </w:r>
          </w:p>
        </w:tc>
      </w:tr>
      <w:tr w:rsidR="00AC3C57" w:rsidRPr="00DA56C4" w14:paraId="64EB1EF5" w14:textId="77777777" w:rsidTr="005353B4">
        <w:trPr>
          <w:trHeight w:val="288"/>
        </w:trPr>
        <w:tc>
          <w:tcPr>
            <w:tcW w:w="4536" w:type="dxa"/>
            <w:tcBorders>
              <w:top w:val="single" w:sz="4" w:space="0" w:color="BFBFBF"/>
              <w:bottom w:val="single" w:sz="4" w:space="0" w:color="BFBFBF"/>
            </w:tcBorders>
            <w:noWrap/>
          </w:tcPr>
          <w:p w14:paraId="473E1067" w14:textId="77777777" w:rsidR="00AC3C57" w:rsidRPr="00935BE3" w:rsidRDefault="00AC3C57">
            <w:pPr>
              <w:pStyle w:val="ARtabletext"/>
              <w:spacing w:before="30" w:after="20"/>
            </w:pPr>
            <w:r w:rsidRPr="00935BE3">
              <w:t>Renewable</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bottom w:val="single" w:sz="4" w:space="0" w:color="BFBFBF"/>
            </w:tcBorders>
            <w:noWrap/>
          </w:tcPr>
          <w:p w14:paraId="33081B22" w14:textId="77777777" w:rsidR="00AC3C57" w:rsidRPr="00935BE3" w:rsidRDefault="00AC3C57">
            <w:pPr>
              <w:pStyle w:val="ARtabletextright"/>
              <w:spacing w:before="30" w:after="20"/>
            </w:pPr>
            <w:r w:rsidRPr="00935BE3">
              <w:t>14,373,045</w:t>
            </w:r>
          </w:p>
        </w:tc>
        <w:tc>
          <w:tcPr>
            <w:tcW w:w="1701" w:type="dxa"/>
            <w:tcBorders>
              <w:top w:val="single" w:sz="4" w:space="0" w:color="BFBFBF"/>
              <w:bottom w:val="single" w:sz="4" w:space="0" w:color="BFBFBF"/>
            </w:tcBorders>
            <w:noWrap/>
          </w:tcPr>
          <w:p w14:paraId="5905A76A" w14:textId="77777777" w:rsidR="00AC3C57" w:rsidRPr="00935BE3"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935BE3">
              <w:t>6,382,276</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bottom w:val="single" w:sz="4" w:space="0" w:color="BFBFBF"/>
            </w:tcBorders>
            <w:noWrap/>
          </w:tcPr>
          <w:p w14:paraId="48F472F6" w14:textId="77777777" w:rsidR="00AC3C57" w:rsidRPr="00935BE3" w:rsidRDefault="00AC3C57">
            <w:pPr>
              <w:pStyle w:val="ARtabletextright"/>
              <w:spacing w:before="30" w:after="20"/>
            </w:pPr>
            <w:r w:rsidRPr="00935BE3">
              <w:t>486,747</w:t>
            </w:r>
          </w:p>
        </w:tc>
      </w:tr>
      <w:tr w:rsidR="00AC3C57" w:rsidRPr="00DA56C4" w14:paraId="0276C7F5" w14:textId="77777777" w:rsidTr="005353B4">
        <w:trPr>
          <w:trHeight w:val="288"/>
        </w:trPr>
        <w:tc>
          <w:tcPr>
            <w:tcW w:w="4536" w:type="dxa"/>
            <w:tcBorders>
              <w:top w:val="single" w:sz="4" w:space="0" w:color="BFBFBF"/>
              <w:bottom w:val="single" w:sz="4" w:space="0" w:color="000000"/>
            </w:tcBorders>
            <w:noWrap/>
          </w:tcPr>
          <w:p w14:paraId="2B0F83CF" w14:textId="77777777" w:rsidR="00AC3C57" w:rsidRPr="00935BE3" w:rsidRDefault="00AC3C57">
            <w:pPr>
              <w:pStyle w:val="ARtabletext"/>
              <w:spacing w:before="30" w:after="20"/>
            </w:pPr>
            <w:r w:rsidRPr="00935BE3">
              <w:t>Non-renewable</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bottom w:val="single" w:sz="4" w:space="0" w:color="000000"/>
            </w:tcBorders>
            <w:noWrap/>
          </w:tcPr>
          <w:p w14:paraId="0D4057C5" w14:textId="77777777" w:rsidR="00AC3C57" w:rsidRPr="00935BE3" w:rsidRDefault="00AC3C57">
            <w:pPr>
              <w:pStyle w:val="ARtabletextright"/>
              <w:spacing w:before="30" w:after="20"/>
            </w:pPr>
            <w:r w:rsidRPr="00935BE3">
              <w:t>396,506,791</w:t>
            </w:r>
          </w:p>
        </w:tc>
        <w:tc>
          <w:tcPr>
            <w:tcW w:w="1701" w:type="dxa"/>
            <w:tcBorders>
              <w:top w:val="single" w:sz="4" w:space="0" w:color="BFBFBF"/>
              <w:bottom w:val="single" w:sz="4" w:space="0" w:color="000000"/>
            </w:tcBorders>
            <w:noWrap/>
          </w:tcPr>
          <w:p w14:paraId="7873E38D" w14:textId="77777777" w:rsidR="00AC3C57" w:rsidRPr="00935BE3"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935BE3">
              <w:t xml:space="preserve">466,475,599 </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BFBFBF"/>
              <w:bottom w:val="single" w:sz="4" w:space="0" w:color="000000"/>
            </w:tcBorders>
            <w:noWrap/>
          </w:tcPr>
          <w:p w14:paraId="10ED80E7" w14:textId="77777777" w:rsidR="00AC3C57" w:rsidRPr="00935BE3" w:rsidRDefault="00AC3C57">
            <w:pPr>
              <w:pStyle w:val="ARtabletextright"/>
              <w:spacing w:before="30" w:after="20"/>
            </w:pPr>
            <w:r w:rsidRPr="00935BE3">
              <w:t xml:space="preserve">452,654,664 </w:t>
            </w:r>
          </w:p>
        </w:tc>
      </w:tr>
      <w:tr w:rsidR="00AC3C57" w:rsidRPr="008E2F75" w14:paraId="7AE409BA" w14:textId="77777777" w:rsidTr="005353B4">
        <w:trPr>
          <w:cnfStyle w:val="010000000000" w:firstRow="0" w:lastRow="1" w:firstColumn="0" w:lastColumn="0" w:oddVBand="0" w:evenVBand="0" w:oddHBand="0" w:evenHBand="0" w:firstRowFirstColumn="0" w:firstRowLastColumn="0" w:lastRowFirstColumn="0" w:lastRowLastColumn="0"/>
          <w:trHeight w:val="288"/>
        </w:trPr>
        <w:tc>
          <w:tcPr>
            <w:tcW w:w="4536" w:type="dxa"/>
            <w:tcBorders>
              <w:top w:val="single" w:sz="4" w:space="0" w:color="000000"/>
            </w:tcBorders>
            <w:noWrap/>
          </w:tcPr>
          <w:p w14:paraId="21E1B1A9" w14:textId="77777777" w:rsidR="00AC3C57" w:rsidRPr="00935BE3" w:rsidRDefault="00AC3C57">
            <w:pPr>
              <w:pStyle w:val="ARtabletextbold"/>
              <w:spacing w:before="30" w:after="20"/>
            </w:pPr>
            <w:r w:rsidRPr="00935BE3">
              <w:t xml:space="preserve">E4 Units of energy used </w:t>
            </w:r>
            <w:r w:rsidRPr="00935BE3">
              <w:br/>
              <w:t>normalised by FTE (MJ/FTE)</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000000"/>
            </w:tcBorders>
            <w:noWrap/>
          </w:tcPr>
          <w:p w14:paraId="6A6967F3" w14:textId="77777777" w:rsidR="00AC3C57" w:rsidRPr="00935BE3" w:rsidRDefault="00AC3C57">
            <w:pPr>
              <w:pStyle w:val="ARtabletextright"/>
              <w:spacing w:before="30" w:after="20"/>
            </w:pPr>
            <w:r w:rsidRPr="00935BE3">
              <w:t>NA</w:t>
            </w:r>
          </w:p>
        </w:tc>
        <w:tc>
          <w:tcPr>
            <w:tcW w:w="1701" w:type="dxa"/>
            <w:tcBorders>
              <w:top w:val="single" w:sz="4" w:space="0" w:color="000000"/>
            </w:tcBorders>
            <w:noWrap/>
          </w:tcPr>
          <w:p w14:paraId="68C5D806" w14:textId="77777777" w:rsidR="00AC3C57" w:rsidRPr="00935BE3" w:rsidRDefault="00AC3C57">
            <w:pPr>
              <w:pStyle w:val="ARtabletextright"/>
              <w:spacing w:before="30" w:after="20"/>
              <w:cnfStyle w:val="010000000000" w:firstRow="0" w:lastRow="1" w:firstColumn="0" w:lastColumn="0" w:oddVBand="0" w:evenVBand="0" w:oddHBand="0" w:evenHBand="0" w:firstRowFirstColumn="0" w:firstRowLastColumn="0" w:lastRowFirstColumn="0" w:lastRowLastColumn="0"/>
            </w:pPr>
            <w:r w:rsidRPr="00935BE3">
              <w:t>NA</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000000"/>
            </w:tcBorders>
            <w:noWrap/>
          </w:tcPr>
          <w:p w14:paraId="08FD5CF6" w14:textId="77777777" w:rsidR="00AC3C57" w:rsidRPr="00935BE3" w:rsidRDefault="00AC3C57">
            <w:pPr>
              <w:pStyle w:val="ARtabletextright"/>
              <w:spacing w:before="30" w:after="20"/>
            </w:pPr>
            <w:r w:rsidRPr="00935BE3">
              <w:t>NA</w:t>
            </w:r>
          </w:p>
        </w:tc>
      </w:tr>
    </w:tbl>
    <w:p w14:paraId="195625E6" w14:textId="77777777" w:rsidR="00AC3C57" w:rsidRPr="00EF27C8" w:rsidRDefault="00AC3C57">
      <w:pPr>
        <w:pStyle w:val="Heading3"/>
        <w:rPr>
          <w:rFonts w:eastAsia="Times New Roman"/>
          <w:sz w:val="22"/>
          <w:szCs w:val="22"/>
          <w:lang w:eastAsia="en-US"/>
        </w:rPr>
      </w:pPr>
      <w:r w:rsidRPr="00EF27C8">
        <w:t>Sustainable buildings and infrastructure</w:t>
      </w:r>
    </w:p>
    <w:p w14:paraId="18F8AFD0" w14:textId="77777777" w:rsidR="00AC3C57" w:rsidRPr="00EF27C8" w:rsidRDefault="00AC3C57">
      <w:pPr>
        <w:pStyle w:val="ARbody"/>
      </w:pPr>
      <w:r w:rsidRPr="00EF27C8">
        <w:t>The development of sustainable buildings is an economic and environmental necessity. Recent extreme weather events demonstrate the importance of addressing climate change risk across the department’s operations. This includes the design and management of buildings and infrastructure assets.</w:t>
      </w:r>
    </w:p>
    <w:p w14:paraId="177D8E70" w14:textId="77777777" w:rsidR="00AC3C57" w:rsidRPr="00EF27C8" w:rsidRDefault="00AC3C57">
      <w:pPr>
        <w:pStyle w:val="ARbody"/>
      </w:pPr>
      <w:r w:rsidRPr="00EF27C8">
        <w:t xml:space="preserve">The department considers sustainable procurement objectives through its implementation of the </w:t>
      </w:r>
      <w:proofErr w:type="gramStart"/>
      <w:r w:rsidRPr="00E06E63">
        <w:rPr>
          <w:rStyle w:val="Emphasis"/>
        </w:rPr>
        <w:t>Social</w:t>
      </w:r>
      <w:proofErr w:type="gramEnd"/>
      <w:r w:rsidRPr="00E06E63">
        <w:rPr>
          <w:rStyle w:val="Emphasis"/>
        </w:rPr>
        <w:t xml:space="preserve"> procurement framework.</w:t>
      </w:r>
      <w:r w:rsidRPr="00EF27C8">
        <w:t xml:space="preserve"> This sets out the requirements that apply to Victorian Government departments and agencies when they procure goods, services and construction. Refer to the ‘Social procurement framework’ section for more information.</w:t>
      </w:r>
    </w:p>
    <w:p w14:paraId="46CE2A4A" w14:textId="77777777" w:rsidR="00AC3C57" w:rsidRPr="00F41270" w:rsidRDefault="00AC3C57">
      <w:pPr>
        <w:pStyle w:val="ARbody"/>
      </w:pPr>
      <w:r w:rsidRPr="00F41270">
        <w:t>Registered environmental NABERS ratings that are higher than 5 stars are summarised in the table below.</w:t>
      </w:r>
    </w:p>
    <w:p w14:paraId="6E393D49" w14:textId="77777777" w:rsidR="00AC3C57" w:rsidRPr="00F41270" w:rsidRDefault="00AC3C57">
      <w:pPr>
        <w:pStyle w:val="ARtablecaption"/>
      </w:pPr>
      <w:r w:rsidRPr="00F41270">
        <w:t>B5 Sustainable buildings and infrastructure</w:t>
      </w:r>
    </w:p>
    <w:tbl>
      <w:tblPr>
        <w:tblStyle w:val="TableGrid"/>
        <w:tblW w:w="9639" w:type="dxa"/>
        <w:tblLayout w:type="fixed"/>
        <w:tblLook w:val="0260" w:firstRow="1" w:lastRow="1" w:firstColumn="0" w:lastColumn="0" w:noHBand="1" w:noVBand="0"/>
      </w:tblPr>
      <w:tblGrid>
        <w:gridCol w:w="2835"/>
        <w:gridCol w:w="3823"/>
        <w:gridCol w:w="1817"/>
        <w:gridCol w:w="1164"/>
      </w:tblGrid>
      <w:tr w:rsidR="00AC3C57" w:rsidRPr="002A5613" w14:paraId="3FECF05C" w14:textId="77777777" w:rsidTr="00C07FA4">
        <w:trPr>
          <w:cnfStyle w:val="100000000000" w:firstRow="1" w:lastRow="0" w:firstColumn="0" w:lastColumn="0" w:oddVBand="0" w:evenVBand="0" w:oddHBand="0" w:evenHBand="0" w:firstRowFirstColumn="0" w:firstRowLastColumn="0" w:lastRowFirstColumn="0" w:lastRowLastColumn="0"/>
          <w:trHeight w:val="238"/>
          <w:tblHeader/>
        </w:trPr>
        <w:tc>
          <w:tcPr>
            <w:tcW w:w="2835" w:type="dxa"/>
          </w:tcPr>
          <w:p w14:paraId="24F102A5" w14:textId="77777777" w:rsidR="00AC3C57" w:rsidRPr="002A5613" w:rsidRDefault="00AC3C57">
            <w:pPr>
              <w:pStyle w:val="ARtablecolhead"/>
              <w:spacing w:before="30" w:after="20"/>
              <w:rPr>
                <w:i/>
              </w:rPr>
            </w:pPr>
            <w:r w:rsidRPr="002A5613">
              <w:t>Name of building</w:t>
            </w:r>
          </w:p>
        </w:tc>
        <w:tc>
          <w:tcPr>
            <w:cnfStyle w:val="000001000000" w:firstRow="0" w:lastRow="0" w:firstColumn="0" w:lastColumn="0" w:oddVBand="0" w:evenVBand="1" w:oddHBand="0" w:evenHBand="0" w:firstRowFirstColumn="0" w:firstRowLastColumn="0" w:lastRowFirstColumn="0" w:lastRowLastColumn="0"/>
            <w:tcW w:w="3823" w:type="dxa"/>
            <w:tcMar>
              <w:left w:w="113" w:type="dxa"/>
            </w:tcMar>
          </w:tcPr>
          <w:p w14:paraId="4CFF47C9" w14:textId="77777777" w:rsidR="00AC3C57" w:rsidRPr="002A5613" w:rsidRDefault="00AC3C57">
            <w:pPr>
              <w:pStyle w:val="ARtablecolhead"/>
              <w:spacing w:before="30" w:after="20"/>
              <w:rPr>
                <w:i/>
              </w:rPr>
            </w:pPr>
            <w:r w:rsidRPr="002A5613">
              <w:t>Building type</w:t>
            </w:r>
          </w:p>
        </w:tc>
        <w:tc>
          <w:tcPr>
            <w:tcW w:w="1817" w:type="dxa"/>
            <w:tcMar>
              <w:left w:w="113" w:type="dxa"/>
            </w:tcMar>
          </w:tcPr>
          <w:p w14:paraId="7871CDAC" w14:textId="77777777" w:rsidR="00AC3C57" w:rsidRPr="002A5613" w:rsidRDefault="00AC3C57">
            <w:pPr>
              <w:pStyle w:val="ARtablecolhead"/>
              <w:spacing w:before="30" w:after="20"/>
              <w:cnfStyle w:val="100000000000" w:firstRow="1" w:lastRow="0" w:firstColumn="0" w:lastColumn="0" w:oddVBand="0" w:evenVBand="0" w:oddHBand="0" w:evenHBand="0" w:firstRowFirstColumn="0" w:firstRowLastColumn="0" w:lastRowFirstColumn="0" w:lastRowLastColumn="0"/>
              <w:rPr>
                <w:i/>
              </w:rPr>
            </w:pPr>
            <w:r w:rsidRPr="002A5613">
              <w:t xml:space="preserve">Rating </w:t>
            </w:r>
            <w:r>
              <w:t>s</w:t>
            </w:r>
            <w:r w:rsidRPr="002A5613">
              <w:t>cheme</w:t>
            </w:r>
          </w:p>
        </w:tc>
        <w:tc>
          <w:tcPr>
            <w:cnfStyle w:val="000001000000" w:firstRow="0" w:lastRow="0" w:firstColumn="0" w:lastColumn="0" w:oddVBand="0" w:evenVBand="1" w:oddHBand="0" w:evenHBand="0" w:firstRowFirstColumn="0" w:firstRowLastColumn="0" w:lastRowFirstColumn="0" w:lastRowLastColumn="0"/>
            <w:tcW w:w="1164" w:type="dxa"/>
            <w:tcMar>
              <w:left w:w="113" w:type="dxa"/>
            </w:tcMar>
          </w:tcPr>
          <w:p w14:paraId="40EC2FA7" w14:textId="77777777" w:rsidR="00AC3C57" w:rsidRPr="002A5613" w:rsidRDefault="00AC3C57">
            <w:pPr>
              <w:pStyle w:val="ARtablecolheadcentre"/>
              <w:spacing w:before="30" w:after="20"/>
              <w:rPr>
                <w:i/>
              </w:rPr>
            </w:pPr>
            <w:r w:rsidRPr="002A5613">
              <w:t>Rating (B5)</w:t>
            </w:r>
          </w:p>
        </w:tc>
      </w:tr>
      <w:tr w:rsidR="00AC3C57" w:rsidRPr="002A5613" w14:paraId="20684C54" w14:textId="77777777" w:rsidTr="00C07FA4">
        <w:trPr>
          <w:cantSplit w:val="0"/>
          <w:trHeight w:val="187"/>
        </w:trPr>
        <w:tc>
          <w:tcPr>
            <w:tcW w:w="2835" w:type="dxa"/>
          </w:tcPr>
          <w:p w14:paraId="7FCDD954" w14:textId="77777777" w:rsidR="00AC3C57" w:rsidRPr="002A5613" w:rsidRDefault="00AC3C57" w:rsidP="002D4485">
            <w:pPr>
              <w:pStyle w:val="ARtabletext"/>
              <w:spacing w:before="20" w:after="20"/>
            </w:pPr>
            <w:r w:rsidRPr="002A5613">
              <w:t>Dandenong</w:t>
            </w:r>
          </w:p>
        </w:tc>
        <w:tc>
          <w:tcPr>
            <w:cnfStyle w:val="000001000000" w:firstRow="0" w:lastRow="0" w:firstColumn="0" w:lastColumn="0" w:oddVBand="0" w:evenVBand="1" w:oddHBand="0" w:evenHBand="0" w:firstRowFirstColumn="0" w:firstRowLastColumn="0" w:lastRowFirstColumn="0" w:lastRowLastColumn="0"/>
            <w:tcW w:w="3823" w:type="dxa"/>
            <w:tcMar>
              <w:left w:w="113" w:type="dxa"/>
            </w:tcMar>
          </w:tcPr>
          <w:p w14:paraId="1717588A" w14:textId="77777777" w:rsidR="00AC3C57" w:rsidRPr="002A5613" w:rsidRDefault="00AC3C57" w:rsidP="002D4485">
            <w:pPr>
              <w:pStyle w:val="ARtabletext"/>
              <w:spacing w:before="20" w:after="20"/>
            </w:pPr>
            <w:r w:rsidRPr="002A5613">
              <w:t>General office building (base building)</w:t>
            </w:r>
          </w:p>
        </w:tc>
        <w:tc>
          <w:tcPr>
            <w:tcW w:w="1817" w:type="dxa"/>
            <w:tcMar>
              <w:left w:w="113" w:type="dxa"/>
            </w:tcMar>
          </w:tcPr>
          <w:p w14:paraId="75AC64B2" w14:textId="77777777" w:rsidR="00AC3C57" w:rsidRPr="002A5613" w:rsidRDefault="00AC3C57" w:rsidP="002D4485">
            <w:pPr>
              <w:pStyle w:val="ARtabletext"/>
              <w:spacing w:before="20" w:after="20"/>
              <w:cnfStyle w:val="000000000000" w:firstRow="0" w:lastRow="0" w:firstColumn="0" w:lastColumn="0" w:oddVBand="0" w:evenVBand="0" w:oddHBand="0" w:evenHBand="0" w:firstRowFirstColumn="0" w:firstRowLastColumn="0" w:lastRowFirstColumn="0" w:lastRowLastColumn="0"/>
            </w:pPr>
            <w:r w:rsidRPr="002A5613">
              <w:t>NABERS – Energy</w:t>
            </w:r>
          </w:p>
        </w:tc>
        <w:tc>
          <w:tcPr>
            <w:cnfStyle w:val="000001000000" w:firstRow="0" w:lastRow="0" w:firstColumn="0" w:lastColumn="0" w:oddVBand="0" w:evenVBand="1" w:oddHBand="0" w:evenHBand="0" w:firstRowFirstColumn="0" w:firstRowLastColumn="0" w:lastRowFirstColumn="0" w:lastRowLastColumn="0"/>
            <w:tcW w:w="1164" w:type="dxa"/>
            <w:tcMar>
              <w:left w:w="113" w:type="dxa"/>
            </w:tcMar>
          </w:tcPr>
          <w:p w14:paraId="719FF433" w14:textId="77777777" w:rsidR="00AC3C57" w:rsidRPr="002A5613" w:rsidRDefault="00AC3C57" w:rsidP="002D4485">
            <w:pPr>
              <w:pStyle w:val="ARtabletextcentre"/>
              <w:spacing w:before="20" w:after="20"/>
            </w:pPr>
            <w:r w:rsidRPr="002A5613">
              <w:t>5.5</w:t>
            </w:r>
          </w:p>
        </w:tc>
      </w:tr>
      <w:tr w:rsidR="00AC3C57" w:rsidRPr="002A5613" w14:paraId="77380100" w14:textId="77777777" w:rsidTr="00C07FA4">
        <w:trPr>
          <w:cantSplit w:val="0"/>
          <w:trHeight w:val="187"/>
        </w:trPr>
        <w:tc>
          <w:tcPr>
            <w:tcW w:w="2835" w:type="dxa"/>
          </w:tcPr>
          <w:p w14:paraId="5C44F979" w14:textId="77777777" w:rsidR="00AC3C57" w:rsidRPr="002A5613" w:rsidRDefault="00AC3C57" w:rsidP="002D4485">
            <w:pPr>
              <w:pStyle w:val="ARtabletext"/>
              <w:spacing w:before="20" w:after="20"/>
            </w:pPr>
            <w:r w:rsidRPr="002A5613">
              <w:t xml:space="preserve">Dandenong </w:t>
            </w:r>
          </w:p>
        </w:tc>
        <w:tc>
          <w:tcPr>
            <w:cnfStyle w:val="000001000000" w:firstRow="0" w:lastRow="0" w:firstColumn="0" w:lastColumn="0" w:oddVBand="0" w:evenVBand="1" w:oddHBand="0" w:evenHBand="0" w:firstRowFirstColumn="0" w:firstRowLastColumn="0" w:lastRowFirstColumn="0" w:lastRowLastColumn="0"/>
            <w:tcW w:w="3823" w:type="dxa"/>
            <w:tcMar>
              <w:left w:w="113" w:type="dxa"/>
            </w:tcMar>
          </w:tcPr>
          <w:p w14:paraId="5D237152" w14:textId="77777777" w:rsidR="00AC3C57" w:rsidRPr="002A5613" w:rsidRDefault="00AC3C57" w:rsidP="002D4485">
            <w:pPr>
              <w:pStyle w:val="ARtabletext"/>
              <w:spacing w:before="20" w:after="20"/>
            </w:pPr>
            <w:r w:rsidRPr="002A5613">
              <w:t>General office building (base building)</w:t>
            </w:r>
          </w:p>
        </w:tc>
        <w:tc>
          <w:tcPr>
            <w:tcW w:w="1817" w:type="dxa"/>
            <w:tcMar>
              <w:left w:w="113" w:type="dxa"/>
            </w:tcMar>
          </w:tcPr>
          <w:p w14:paraId="33BF32E1" w14:textId="77777777" w:rsidR="00AC3C57" w:rsidRPr="002A5613" w:rsidRDefault="00AC3C57" w:rsidP="002D4485">
            <w:pPr>
              <w:pStyle w:val="ARtabletext"/>
              <w:spacing w:before="20" w:after="20"/>
              <w:cnfStyle w:val="000000000000" w:firstRow="0" w:lastRow="0" w:firstColumn="0" w:lastColumn="0" w:oddVBand="0" w:evenVBand="0" w:oddHBand="0" w:evenHBand="0" w:firstRowFirstColumn="0" w:firstRowLastColumn="0" w:lastRowFirstColumn="0" w:lastRowLastColumn="0"/>
            </w:pPr>
            <w:r w:rsidRPr="002A5613">
              <w:t>NABERS – Water</w:t>
            </w:r>
          </w:p>
        </w:tc>
        <w:tc>
          <w:tcPr>
            <w:cnfStyle w:val="000001000000" w:firstRow="0" w:lastRow="0" w:firstColumn="0" w:lastColumn="0" w:oddVBand="0" w:evenVBand="1" w:oddHBand="0" w:evenHBand="0" w:firstRowFirstColumn="0" w:firstRowLastColumn="0" w:lastRowFirstColumn="0" w:lastRowLastColumn="0"/>
            <w:tcW w:w="1164" w:type="dxa"/>
            <w:tcMar>
              <w:left w:w="113" w:type="dxa"/>
            </w:tcMar>
          </w:tcPr>
          <w:p w14:paraId="490F9E48" w14:textId="77777777" w:rsidR="00AC3C57" w:rsidRPr="002A5613" w:rsidRDefault="00AC3C57" w:rsidP="002D4485">
            <w:pPr>
              <w:pStyle w:val="ARtabletextcentre"/>
              <w:spacing w:before="20" w:after="20"/>
            </w:pPr>
            <w:r w:rsidRPr="002A5613">
              <w:t>6</w:t>
            </w:r>
          </w:p>
        </w:tc>
      </w:tr>
      <w:tr w:rsidR="00AC3C57" w:rsidRPr="002A5613" w14:paraId="048FBDB7" w14:textId="77777777" w:rsidTr="00C07FA4">
        <w:trPr>
          <w:cantSplit w:val="0"/>
          <w:trHeight w:val="187"/>
        </w:trPr>
        <w:tc>
          <w:tcPr>
            <w:tcW w:w="2835" w:type="dxa"/>
          </w:tcPr>
          <w:p w14:paraId="3A8B5CD4" w14:textId="77777777" w:rsidR="00AC3C57" w:rsidRPr="002A5613" w:rsidRDefault="00AC3C57" w:rsidP="002D4485">
            <w:pPr>
              <w:pStyle w:val="ARtabletext"/>
              <w:spacing w:before="20" w:after="20"/>
            </w:pPr>
            <w:r w:rsidRPr="002A5613">
              <w:t>Footscray</w:t>
            </w:r>
          </w:p>
        </w:tc>
        <w:tc>
          <w:tcPr>
            <w:cnfStyle w:val="000001000000" w:firstRow="0" w:lastRow="0" w:firstColumn="0" w:lastColumn="0" w:oddVBand="0" w:evenVBand="1" w:oddHBand="0" w:evenHBand="0" w:firstRowFirstColumn="0" w:firstRowLastColumn="0" w:lastRowFirstColumn="0" w:lastRowLastColumn="0"/>
            <w:tcW w:w="3823" w:type="dxa"/>
            <w:tcMar>
              <w:left w:w="113" w:type="dxa"/>
            </w:tcMar>
          </w:tcPr>
          <w:p w14:paraId="0F75065D" w14:textId="77777777" w:rsidR="00AC3C57" w:rsidRPr="002A5613" w:rsidRDefault="00AC3C57" w:rsidP="002D4485">
            <w:pPr>
              <w:pStyle w:val="ARtabletext"/>
              <w:spacing w:before="20" w:after="20"/>
            </w:pPr>
            <w:r w:rsidRPr="002A5613">
              <w:t>General office building (whole building)</w:t>
            </w:r>
          </w:p>
        </w:tc>
        <w:tc>
          <w:tcPr>
            <w:tcW w:w="1817" w:type="dxa"/>
            <w:tcMar>
              <w:left w:w="113" w:type="dxa"/>
            </w:tcMar>
          </w:tcPr>
          <w:p w14:paraId="1781CCFE" w14:textId="77777777" w:rsidR="00AC3C57" w:rsidRPr="002A5613" w:rsidRDefault="00AC3C57" w:rsidP="002D4485">
            <w:pPr>
              <w:pStyle w:val="ARtabletext"/>
              <w:spacing w:before="20" w:after="20"/>
              <w:cnfStyle w:val="000000000000" w:firstRow="0" w:lastRow="0" w:firstColumn="0" w:lastColumn="0" w:oddVBand="0" w:evenVBand="0" w:oddHBand="0" w:evenHBand="0" w:firstRowFirstColumn="0" w:firstRowLastColumn="0" w:lastRowFirstColumn="0" w:lastRowLastColumn="0"/>
            </w:pPr>
            <w:r w:rsidRPr="002A5613">
              <w:t>NABERS – Energy</w:t>
            </w:r>
          </w:p>
        </w:tc>
        <w:tc>
          <w:tcPr>
            <w:cnfStyle w:val="000001000000" w:firstRow="0" w:lastRow="0" w:firstColumn="0" w:lastColumn="0" w:oddVBand="0" w:evenVBand="1" w:oddHBand="0" w:evenHBand="0" w:firstRowFirstColumn="0" w:firstRowLastColumn="0" w:lastRowFirstColumn="0" w:lastRowLastColumn="0"/>
            <w:tcW w:w="1164" w:type="dxa"/>
            <w:tcMar>
              <w:left w:w="113" w:type="dxa"/>
            </w:tcMar>
          </w:tcPr>
          <w:p w14:paraId="69A1F062" w14:textId="77777777" w:rsidR="00AC3C57" w:rsidRPr="002A5613" w:rsidRDefault="00AC3C57" w:rsidP="002D4485">
            <w:pPr>
              <w:pStyle w:val="ARtabletextcentre"/>
              <w:spacing w:before="20" w:after="20"/>
            </w:pPr>
            <w:r w:rsidRPr="002A5613">
              <w:t>5.5</w:t>
            </w:r>
          </w:p>
        </w:tc>
      </w:tr>
      <w:tr w:rsidR="00AC3C57" w:rsidRPr="002A5613" w14:paraId="7D2C8448" w14:textId="77777777" w:rsidTr="00C07FA4">
        <w:trPr>
          <w:cantSplit w:val="0"/>
          <w:trHeight w:val="187"/>
        </w:trPr>
        <w:tc>
          <w:tcPr>
            <w:tcW w:w="2835" w:type="dxa"/>
          </w:tcPr>
          <w:p w14:paraId="196DCE5B" w14:textId="77777777" w:rsidR="00AC3C57" w:rsidRPr="002A5613" w:rsidRDefault="00AC3C57" w:rsidP="002D4485">
            <w:pPr>
              <w:pStyle w:val="ARtabletext"/>
              <w:spacing w:before="20" w:after="20"/>
            </w:pPr>
            <w:r w:rsidRPr="002A5613">
              <w:t>Footscray</w:t>
            </w:r>
          </w:p>
        </w:tc>
        <w:tc>
          <w:tcPr>
            <w:cnfStyle w:val="000001000000" w:firstRow="0" w:lastRow="0" w:firstColumn="0" w:lastColumn="0" w:oddVBand="0" w:evenVBand="1" w:oddHBand="0" w:evenHBand="0" w:firstRowFirstColumn="0" w:firstRowLastColumn="0" w:lastRowFirstColumn="0" w:lastRowLastColumn="0"/>
            <w:tcW w:w="3823" w:type="dxa"/>
            <w:tcMar>
              <w:left w:w="113" w:type="dxa"/>
            </w:tcMar>
          </w:tcPr>
          <w:p w14:paraId="2492275E" w14:textId="77777777" w:rsidR="00AC3C57" w:rsidRPr="002A5613" w:rsidRDefault="00AC3C57" w:rsidP="002D4485">
            <w:pPr>
              <w:pStyle w:val="ARtabletext"/>
              <w:spacing w:before="20" w:after="20"/>
            </w:pPr>
            <w:r w:rsidRPr="002A5613">
              <w:t>General office building (whole building)</w:t>
            </w:r>
          </w:p>
        </w:tc>
        <w:tc>
          <w:tcPr>
            <w:tcW w:w="1817" w:type="dxa"/>
            <w:tcMar>
              <w:left w:w="113" w:type="dxa"/>
            </w:tcMar>
          </w:tcPr>
          <w:p w14:paraId="15FCFE5E" w14:textId="77777777" w:rsidR="00AC3C57" w:rsidRPr="002A5613" w:rsidRDefault="00AC3C57" w:rsidP="002D4485">
            <w:pPr>
              <w:pStyle w:val="ARtabletext"/>
              <w:spacing w:before="20" w:after="20"/>
              <w:cnfStyle w:val="000000000000" w:firstRow="0" w:lastRow="0" w:firstColumn="0" w:lastColumn="0" w:oddVBand="0" w:evenVBand="0" w:oddHBand="0" w:evenHBand="0" w:firstRowFirstColumn="0" w:firstRowLastColumn="0" w:lastRowFirstColumn="0" w:lastRowLastColumn="0"/>
            </w:pPr>
            <w:r w:rsidRPr="002A5613">
              <w:t>NABERS – Water</w:t>
            </w:r>
          </w:p>
        </w:tc>
        <w:tc>
          <w:tcPr>
            <w:cnfStyle w:val="000001000000" w:firstRow="0" w:lastRow="0" w:firstColumn="0" w:lastColumn="0" w:oddVBand="0" w:evenVBand="1" w:oddHBand="0" w:evenHBand="0" w:firstRowFirstColumn="0" w:firstRowLastColumn="0" w:lastRowFirstColumn="0" w:lastRowLastColumn="0"/>
            <w:tcW w:w="1164" w:type="dxa"/>
            <w:tcMar>
              <w:left w:w="113" w:type="dxa"/>
            </w:tcMar>
          </w:tcPr>
          <w:p w14:paraId="25B71EFD" w14:textId="77777777" w:rsidR="00AC3C57" w:rsidRPr="002A5613" w:rsidRDefault="00AC3C57" w:rsidP="002D4485">
            <w:pPr>
              <w:pStyle w:val="ARtabletextcentre"/>
              <w:spacing w:before="20" w:after="20"/>
            </w:pPr>
            <w:r w:rsidRPr="002A5613">
              <w:t>6</w:t>
            </w:r>
          </w:p>
        </w:tc>
      </w:tr>
      <w:tr w:rsidR="00AC3C57" w:rsidRPr="002A5613" w14:paraId="4BBC0EF0" w14:textId="77777777" w:rsidTr="00C07FA4">
        <w:trPr>
          <w:cantSplit w:val="0"/>
          <w:trHeight w:val="187"/>
        </w:trPr>
        <w:tc>
          <w:tcPr>
            <w:tcW w:w="2835" w:type="dxa"/>
          </w:tcPr>
          <w:p w14:paraId="2FDBBD16" w14:textId="77777777" w:rsidR="00AC3C57" w:rsidRPr="002A5613" w:rsidRDefault="00AC3C57" w:rsidP="002D4485">
            <w:pPr>
              <w:pStyle w:val="ARtabletext"/>
              <w:spacing w:before="20" w:after="20"/>
            </w:pPr>
            <w:r w:rsidRPr="002A5613">
              <w:t>Melbourne – 50 Lonsdale St</w:t>
            </w:r>
            <w:r>
              <w:t>reet</w:t>
            </w:r>
          </w:p>
        </w:tc>
        <w:tc>
          <w:tcPr>
            <w:cnfStyle w:val="000001000000" w:firstRow="0" w:lastRow="0" w:firstColumn="0" w:lastColumn="0" w:oddVBand="0" w:evenVBand="1" w:oddHBand="0" w:evenHBand="0" w:firstRowFirstColumn="0" w:firstRowLastColumn="0" w:lastRowFirstColumn="0" w:lastRowLastColumn="0"/>
            <w:tcW w:w="3823" w:type="dxa"/>
            <w:tcMar>
              <w:left w:w="113" w:type="dxa"/>
            </w:tcMar>
          </w:tcPr>
          <w:p w14:paraId="1BF1C372" w14:textId="77777777" w:rsidR="00AC3C57" w:rsidRPr="002A5613" w:rsidRDefault="00AC3C57" w:rsidP="002D4485">
            <w:pPr>
              <w:pStyle w:val="ARtabletext"/>
              <w:spacing w:before="20" w:after="20"/>
            </w:pPr>
            <w:r w:rsidRPr="002A5613">
              <w:t>General office (base building and tenancy)</w:t>
            </w:r>
          </w:p>
        </w:tc>
        <w:tc>
          <w:tcPr>
            <w:tcW w:w="1817" w:type="dxa"/>
            <w:tcMar>
              <w:left w:w="113" w:type="dxa"/>
            </w:tcMar>
          </w:tcPr>
          <w:p w14:paraId="24E3A6B6" w14:textId="77777777" w:rsidR="00AC3C57" w:rsidRPr="002A5613" w:rsidRDefault="00AC3C57" w:rsidP="002D4485">
            <w:pPr>
              <w:pStyle w:val="ARtabletext"/>
              <w:spacing w:before="20" w:after="20"/>
              <w:cnfStyle w:val="000000000000" w:firstRow="0" w:lastRow="0" w:firstColumn="0" w:lastColumn="0" w:oddVBand="0" w:evenVBand="0" w:oddHBand="0" w:evenHBand="0" w:firstRowFirstColumn="0" w:firstRowLastColumn="0" w:lastRowFirstColumn="0" w:lastRowLastColumn="0"/>
            </w:pPr>
            <w:r w:rsidRPr="002A5613">
              <w:t>NABERS – Energy</w:t>
            </w:r>
          </w:p>
        </w:tc>
        <w:tc>
          <w:tcPr>
            <w:cnfStyle w:val="000001000000" w:firstRow="0" w:lastRow="0" w:firstColumn="0" w:lastColumn="0" w:oddVBand="0" w:evenVBand="1" w:oddHBand="0" w:evenHBand="0" w:firstRowFirstColumn="0" w:firstRowLastColumn="0" w:lastRowFirstColumn="0" w:lastRowLastColumn="0"/>
            <w:tcW w:w="1164" w:type="dxa"/>
            <w:tcMar>
              <w:left w:w="113" w:type="dxa"/>
            </w:tcMar>
          </w:tcPr>
          <w:p w14:paraId="4C7F53BB" w14:textId="77777777" w:rsidR="00AC3C57" w:rsidRPr="002A5613" w:rsidRDefault="00AC3C57" w:rsidP="002D4485">
            <w:pPr>
              <w:pStyle w:val="ARtabletextcentre"/>
              <w:spacing w:before="20" w:after="20"/>
            </w:pPr>
            <w:r w:rsidRPr="002A5613">
              <w:t>5.5</w:t>
            </w:r>
          </w:p>
        </w:tc>
      </w:tr>
      <w:tr w:rsidR="00AC3C57" w:rsidRPr="002A5613" w14:paraId="4388FF0F" w14:textId="77777777" w:rsidTr="00C07FA4">
        <w:trPr>
          <w:cantSplit w:val="0"/>
          <w:trHeight w:val="187"/>
        </w:trPr>
        <w:tc>
          <w:tcPr>
            <w:tcW w:w="2835" w:type="dxa"/>
          </w:tcPr>
          <w:p w14:paraId="0895FD82" w14:textId="77777777" w:rsidR="00AC3C57" w:rsidRPr="002A5613" w:rsidRDefault="00AC3C57" w:rsidP="002D4485">
            <w:pPr>
              <w:pStyle w:val="ARtabletext"/>
              <w:spacing w:before="20" w:after="20"/>
            </w:pPr>
            <w:r w:rsidRPr="002A5613">
              <w:t>Melbourne – 570 Bourke St</w:t>
            </w:r>
            <w:r>
              <w:t>reet</w:t>
            </w:r>
          </w:p>
        </w:tc>
        <w:tc>
          <w:tcPr>
            <w:cnfStyle w:val="000001000000" w:firstRow="0" w:lastRow="0" w:firstColumn="0" w:lastColumn="0" w:oddVBand="0" w:evenVBand="1" w:oddHBand="0" w:evenHBand="0" w:firstRowFirstColumn="0" w:firstRowLastColumn="0" w:lastRowFirstColumn="0" w:lastRowLastColumn="0"/>
            <w:tcW w:w="3823" w:type="dxa"/>
            <w:tcMar>
              <w:left w:w="113" w:type="dxa"/>
            </w:tcMar>
          </w:tcPr>
          <w:p w14:paraId="7D2B226A" w14:textId="77777777" w:rsidR="00AC3C57" w:rsidRPr="002A5613" w:rsidRDefault="00AC3C57" w:rsidP="002D4485">
            <w:pPr>
              <w:pStyle w:val="ARtabletext"/>
              <w:spacing w:before="20" w:after="20"/>
            </w:pPr>
            <w:r w:rsidRPr="002A5613">
              <w:t>General office building (base building)</w:t>
            </w:r>
          </w:p>
        </w:tc>
        <w:tc>
          <w:tcPr>
            <w:tcW w:w="1817" w:type="dxa"/>
            <w:tcMar>
              <w:left w:w="113" w:type="dxa"/>
            </w:tcMar>
          </w:tcPr>
          <w:p w14:paraId="7AD43391" w14:textId="77777777" w:rsidR="00AC3C57" w:rsidRPr="002A5613" w:rsidRDefault="00AC3C57" w:rsidP="002D4485">
            <w:pPr>
              <w:pStyle w:val="ARtabletext"/>
              <w:spacing w:before="20" w:after="20"/>
              <w:cnfStyle w:val="000000000000" w:firstRow="0" w:lastRow="0" w:firstColumn="0" w:lastColumn="0" w:oddVBand="0" w:evenVBand="0" w:oddHBand="0" w:evenHBand="0" w:firstRowFirstColumn="0" w:firstRowLastColumn="0" w:lastRowFirstColumn="0" w:lastRowLastColumn="0"/>
            </w:pPr>
            <w:r w:rsidRPr="002A5613">
              <w:t>NABERS – Energy</w:t>
            </w:r>
          </w:p>
        </w:tc>
        <w:tc>
          <w:tcPr>
            <w:cnfStyle w:val="000001000000" w:firstRow="0" w:lastRow="0" w:firstColumn="0" w:lastColumn="0" w:oddVBand="0" w:evenVBand="1" w:oddHBand="0" w:evenHBand="0" w:firstRowFirstColumn="0" w:firstRowLastColumn="0" w:lastRowFirstColumn="0" w:lastRowLastColumn="0"/>
            <w:tcW w:w="1164" w:type="dxa"/>
            <w:tcMar>
              <w:left w:w="113" w:type="dxa"/>
            </w:tcMar>
          </w:tcPr>
          <w:p w14:paraId="39CB33A4" w14:textId="77777777" w:rsidR="00AC3C57" w:rsidRPr="002A5613" w:rsidRDefault="00AC3C57" w:rsidP="002D4485">
            <w:pPr>
              <w:pStyle w:val="ARtabletextcentre"/>
              <w:spacing w:before="20" w:after="20"/>
            </w:pPr>
            <w:r w:rsidRPr="002A5613">
              <w:t>5.5</w:t>
            </w:r>
          </w:p>
        </w:tc>
      </w:tr>
      <w:tr w:rsidR="00AC3C57" w:rsidRPr="002A5613" w14:paraId="595E56D1" w14:textId="77777777" w:rsidTr="00C07FA4">
        <w:trPr>
          <w:cantSplit w:val="0"/>
          <w:trHeight w:val="187"/>
        </w:trPr>
        <w:tc>
          <w:tcPr>
            <w:tcW w:w="2835" w:type="dxa"/>
            <w:tcBorders>
              <w:bottom w:val="single" w:sz="4" w:space="0" w:color="A6A6A6" w:themeColor="accent5"/>
            </w:tcBorders>
          </w:tcPr>
          <w:p w14:paraId="79ADAC2D" w14:textId="77777777" w:rsidR="00AC3C57" w:rsidRPr="002A5613" w:rsidRDefault="00AC3C57" w:rsidP="002D4485">
            <w:pPr>
              <w:pStyle w:val="ARtabletext"/>
              <w:spacing w:before="20" w:after="20"/>
            </w:pPr>
            <w:r w:rsidRPr="002A5613">
              <w:t>Melbourne – 570 Bourke St</w:t>
            </w:r>
            <w:r>
              <w:t>reet</w:t>
            </w:r>
          </w:p>
        </w:tc>
        <w:tc>
          <w:tcPr>
            <w:cnfStyle w:val="000001000000" w:firstRow="0" w:lastRow="0" w:firstColumn="0" w:lastColumn="0" w:oddVBand="0" w:evenVBand="1" w:oddHBand="0" w:evenHBand="0" w:firstRowFirstColumn="0" w:firstRowLastColumn="0" w:lastRowFirstColumn="0" w:lastRowLastColumn="0"/>
            <w:tcW w:w="3823" w:type="dxa"/>
            <w:tcBorders>
              <w:bottom w:val="single" w:sz="4" w:space="0" w:color="A6A6A6" w:themeColor="accent5"/>
            </w:tcBorders>
            <w:tcMar>
              <w:left w:w="113" w:type="dxa"/>
            </w:tcMar>
          </w:tcPr>
          <w:p w14:paraId="16B3305D" w14:textId="77777777" w:rsidR="00AC3C57" w:rsidRPr="002A5613" w:rsidRDefault="00AC3C57" w:rsidP="002D4485">
            <w:pPr>
              <w:pStyle w:val="ARtabletext"/>
              <w:spacing w:before="20" w:after="20"/>
            </w:pPr>
            <w:r w:rsidRPr="002A5613">
              <w:t>General office building (base building)</w:t>
            </w:r>
          </w:p>
        </w:tc>
        <w:tc>
          <w:tcPr>
            <w:tcW w:w="1817" w:type="dxa"/>
            <w:tcBorders>
              <w:bottom w:val="single" w:sz="4" w:space="0" w:color="A6A6A6" w:themeColor="accent5"/>
            </w:tcBorders>
            <w:tcMar>
              <w:left w:w="113" w:type="dxa"/>
            </w:tcMar>
          </w:tcPr>
          <w:p w14:paraId="7353168E" w14:textId="77777777" w:rsidR="00AC3C57" w:rsidRPr="002A5613" w:rsidRDefault="00AC3C57" w:rsidP="002D4485">
            <w:pPr>
              <w:pStyle w:val="ARtabletext"/>
              <w:spacing w:before="20" w:after="20"/>
              <w:cnfStyle w:val="000000000000" w:firstRow="0" w:lastRow="0" w:firstColumn="0" w:lastColumn="0" w:oddVBand="0" w:evenVBand="0" w:oddHBand="0" w:evenHBand="0" w:firstRowFirstColumn="0" w:firstRowLastColumn="0" w:lastRowFirstColumn="0" w:lastRowLastColumn="0"/>
            </w:pPr>
            <w:r w:rsidRPr="002A5613">
              <w:t>NABERS – Water</w:t>
            </w:r>
          </w:p>
        </w:tc>
        <w:tc>
          <w:tcPr>
            <w:cnfStyle w:val="000001000000" w:firstRow="0" w:lastRow="0" w:firstColumn="0" w:lastColumn="0" w:oddVBand="0" w:evenVBand="1" w:oddHBand="0" w:evenHBand="0" w:firstRowFirstColumn="0" w:firstRowLastColumn="0" w:lastRowFirstColumn="0" w:lastRowLastColumn="0"/>
            <w:tcW w:w="1164" w:type="dxa"/>
            <w:tcBorders>
              <w:bottom w:val="single" w:sz="4" w:space="0" w:color="A6A6A6" w:themeColor="accent5"/>
            </w:tcBorders>
            <w:tcMar>
              <w:left w:w="113" w:type="dxa"/>
            </w:tcMar>
          </w:tcPr>
          <w:p w14:paraId="55953D52" w14:textId="77777777" w:rsidR="00AC3C57" w:rsidRPr="002A5613" w:rsidRDefault="00AC3C57" w:rsidP="002D4485">
            <w:pPr>
              <w:pStyle w:val="ARtabletextcentre"/>
              <w:spacing w:before="20" w:after="20"/>
            </w:pPr>
            <w:r w:rsidRPr="002A5613">
              <w:t>5.5</w:t>
            </w:r>
          </w:p>
        </w:tc>
      </w:tr>
      <w:tr w:rsidR="00AC3C57" w:rsidRPr="002A5613" w14:paraId="46B0AD55" w14:textId="77777777" w:rsidTr="00C07FA4">
        <w:trPr>
          <w:cantSplit w:val="0"/>
          <w:trHeight w:val="187"/>
        </w:trPr>
        <w:tc>
          <w:tcPr>
            <w:tcW w:w="2835" w:type="dxa"/>
            <w:tcBorders>
              <w:top w:val="single" w:sz="4" w:space="0" w:color="A6A6A6" w:themeColor="accent5"/>
              <w:bottom w:val="single" w:sz="4" w:space="0" w:color="A6A6A6" w:themeColor="accent5"/>
            </w:tcBorders>
          </w:tcPr>
          <w:p w14:paraId="13357C93" w14:textId="77777777" w:rsidR="00AC3C57" w:rsidRPr="002A5613" w:rsidRDefault="00AC3C57" w:rsidP="002D4485">
            <w:pPr>
              <w:pStyle w:val="ARtabletext"/>
              <w:spacing w:before="20" w:after="20"/>
            </w:pPr>
            <w:r w:rsidRPr="002A5613">
              <w:t>Morwell</w:t>
            </w:r>
          </w:p>
        </w:tc>
        <w:tc>
          <w:tcPr>
            <w:cnfStyle w:val="000001000000" w:firstRow="0" w:lastRow="0" w:firstColumn="0" w:lastColumn="0" w:oddVBand="0" w:evenVBand="1" w:oddHBand="0" w:evenHBand="0" w:firstRowFirstColumn="0" w:firstRowLastColumn="0" w:lastRowFirstColumn="0" w:lastRowLastColumn="0"/>
            <w:tcW w:w="3823" w:type="dxa"/>
            <w:tcBorders>
              <w:top w:val="single" w:sz="4" w:space="0" w:color="A6A6A6" w:themeColor="accent5"/>
              <w:bottom w:val="single" w:sz="4" w:space="0" w:color="A6A6A6" w:themeColor="accent5"/>
            </w:tcBorders>
            <w:tcMar>
              <w:left w:w="113" w:type="dxa"/>
            </w:tcMar>
          </w:tcPr>
          <w:p w14:paraId="05F8D56B" w14:textId="77777777" w:rsidR="00AC3C57" w:rsidRPr="002A5613" w:rsidRDefault="00AC3C57" w:rsidP="002D4485">
            <w:pPr>
              <w:pStyle w:val="ARtabletext"/>
              <w:spacing w:before="20" w:after="20"/>
            </w:pPr>
            <w:r w:rsidRPr="002A5613">
              <w:t>General office building (whole building)</w:t>
            </w:r>
          </w:p>
        </w:tc>
        <w:tc>
          <w:tcPr>
            <w:tcW w:w="1817" w:type="dxa"/>
            <w:tcBorders>
              <w:top w:val="single" w:sz="4" w:space="0" w:color="A6A6A6" w:themeColor="accent5"/>
              <w:bottom w:val="single" w:sz="4" w:space="0" w:color="A6A6A6" w:themeColor="accent5"/>
            </w:tcBorders>
            <w:tcMar>
              <w:left w:w="113" w:type="dxa"/>
            </w:tcMar>
          </w:tcPr>
          <w:p w14:paraId="36201E52" w14:textId="77777777" w:rsidR="00AC3C57" w:rsidRPr="002A5613" w:rsidRDefault="00AC3C57" w:rsidP="002D4485">
            <w:pPr>
              <w:pStyle w:val="ARtabletext"/>
              <w:spacing w:before="20" w:after="20"/>
              <w:cnfStyle w:val="000000000000" w:firstRow="0" w:lastRow="0" w:firstColumn="0" w:lastColumn="0" w:oddVBand="0" w:evenVBand="0" w:oddHBand="0" w:evenHBand="0" w:firstRowFirstColumn="0" w:firstRowLastColumn="0" w:lastRowFirstColumn="0" w:lastRowLastColumn="0"/>
            </w:pPr>
            <w:r w:rsidRPr="002A5613">
              <w:t>NABERS – Energy</w:t>
            </w:r>
          </w:p>
        </w:tc>
        <w:tc>
          <w:tcPr>
            <w:cnfStyle w:val="000001000000" w:firstRow="0" w:lastRow="0" w:firstColumn="0" w:lastColumn="0" w:oddVBand="0" w:evenVBand="1" w:oddHBand="0" w:evenHBand="0" w:firstRowFirstColumn="0" w:firstRowLastColumn="0" w:lastRowFirstColumn="0" w:lastRowLastColumn="0"/>
            <w:tcW w:w="1164" w:type="dxa"/>
            <w:tcBorders>
              <w:top w:val="single" w:sz="4" w:space="0" w:color="A6A6A6" w:themeColor="accent5"/>
              <w:bottom w:val="single" w:sz="4" w:space="0" w:color="A6A6A6" w:themeColor="accent5"/>
            </w:tcBorders>
            <w:tcMar>
              <w:left w:w="113" w:type="dxa"/>
            </w:tcMar>
          </w:tcPr>
          <w:p w14:paraId="09380F54" w14:textId="77777777" w:rsidR="00AC3C57" w:rsidRPr="002A5613" w:rsidRDefault="00AC3C57" w:rsidP="002D4485">
            <w:pPr>
              <w:pStyle w:val="ARtabletextcentre"/>
              <w:spacing w:before="20" w:after="20"/>
            </w:pPr>
            <w:r w:rsidRPr="002A5613">
              <w:t>5.5</w:t>
            </w:r>
          </w:p>
        </w:tc>
      </w:tr>
      <w:tr w:rsidR="00AC3C57" w:rsidRPr="002A5613" w14:paraId="745F4D00" w14:textId="77777777" w:rsidTr="00C07FA4">
        <w:trPr>
          <w:cnfStyle w:val="010000000000" w:firstRow="0" w:lastRow="1" w:firstColumn="0" w:lastColumn="0" w:oddVBand="0" w:evenVBand="0" w:oddHBand="0" w:evenHBand="0" w:firstRowFirstColumn="0" w:firstRowLastColumn="0" w:lastRowFirstColumn="0" w:lastRowLastColumn="0"/>
          <w:cantSplit w:val="0"/>
          <w:trHeight w:val="187"/>
        </w:trPr>
        <w:tc>
          <w:tcPr>
            <w:tcW w:w="2835" w:type="dxa"/>
            <w:tcBorders>
              <w:top w:val="single" w:sz="4" w:space="0" w:color="A6A6A6" w:themeColor="accent5"/>
            </w:tcBorders>
          </w:tcPr>
          <w:p w14:paraId="02F668FA" w14:textId="77777777" w:rsidR="00AC3C57" w:rsidRPr="002A5613" w:rsidRDefault="00AC3C57" w:rsidP="002D4485">
            <w:pPr>
              <w:pStyle w:val="ARtabletext"/>
              <w:spacing w:before="20" w:after="20"/>
            </w:pPr>
            <w:r w:rsidRPr="002A5613">
              <w:t>Traralgon</w:t>
            </w:r>
          </w:p>
        </w:tc>
        <w:tc>
          <w:tcPr>
            <w:cnfStyle w:val="000001000000" w:firstRow="0" w:lastRow="0" w:firstColumn="0" w:lastColumn="0" w:oddVBand="0" w:evenVBand="1" w:oddHBand="0" w:evenHBand="0" w:firstRowFirstColumn="0" w:firstRowLastColumn="0" w:lastRowFirstColumn="0" w:lastRowLastColumn="0"/>
            <w:tcW w:w="3823" w:type="dxa"/>
            <w:tcBorders>
              <w:top w:val="single" w:sz="4" w:space="0" w:color="A6A6A6" w:themeColor="accent5"/>
            </w:tcBorders>
            <w:tcMar>
              <w:left w:w="113" w:type="dxa"/>
            </w:tcMar>
          </w:tcPr>
          <w:p w14:paraId="42260328" w14:textId="77777777" w:rsidR="00AC3C57" w:rsidRPr="002A5613" w:rsidRDefault="00AC3C57" w:rsidP="002D4485">
            <w:pPr>
              <w:pStyle w:val="ARtabletext"/>
              <w:spacing w:before="20" w:after="20"/>
            </w:pPr>
            <w:r w:rsidRPr="002A5613">
              <w:t>General office building (base building)</w:t>
            </w:r>
          </w:p>
        </w:tc>
        <w:tc>
          <w:tcPr>
            <w:tcW w:w="1817" w:type="dxa"/>
            <w:tcBorders>
              <w:top w:val="single" w:sz="4" w:space="0" w:color="A6A6A6" w:themeColor="accent5"/>
            </w:tcBorders>
            <w:tcMar>
              <w:left w:w="113" w:type="dxa"/>
            </w:tcMar>
          </w:tcPr>
          <w:p w14:paraId="4753E22F" w14:textId="77777777" w:rsidR="00AC3C57" w:rsidRPr="002A5613" w:rsidRDefault="00AC3C57" w:rsidP="002D4485">
            <w:pPr>
              <w:pStyle w:val="ARtabletext"/>
              <w:spacing w:before="20" w:after="20"/>
              <w:cnfStyle w:val="010000000000" w:firstRow="0" w:lastRow="1" w:firstColumn="0" w:lastColumn="0" w:oddVBand="0" w:evenVBand="0" w:oddHBand="0" w:evenHBand="0" w:firstRowFirstColumn="0" w:firstRowLastColumn="0" w:lastRowFirstColumn="0" w:lastRowLastColumn="0"/>
            </w:pPr>
            <w:r w:rsidRPr="002A5613">
              <w:t>NABERS – Energy</w:t>
            </w:r>
          </w:p>
        </w:tc>
        <w:tc>
          <w:tcPr>
            <w:cnfStyle w:val="000001000000" w:firstRow="0" w:lastRow="0" w:firstColumn="0" w:lastColumn="0" w:oddVBand="0" w:evenVBand="1" w:oddHBand="0" w:evenHBand="0" w:firstRowFirstColumn="0" w:firstRowLastColumn="0" w:lastRowFirstColumn="0" w:lastRowLastColumn="0"/>
            <w:tcW w:w="1164" w:type="dxa"/>
            <w:tcBorders>
              <w:top w:val="single" w:sz="4" w:space="0" w:color="A6A6A6" w:themeColor="accent5"/>
            </w:tcBorders>
            <w:tcMar>
              <w:left w:w="113" w:type="dxa"/>
            </w:tcMar>
          </w:tcPr>
          <w:p w14:paraId="78190EF2" w14:textId="77777777" w:rsidR="00AC3C57" w:rsidRPr="002A5613" w:rsidRDefault="00AC3C57" w:rsidP="002D4485">
            <w:pPr>
              <w:pStyle w:val="ARtabletextcentre"/>
              <w:spacing w:before="20" w:after="20"/>
            </w:pPr>
            <w:r w:rsidRPr="002A5613">
              <w:t>5.5</w:t>
            </w:r>
          </w:p>
        </w:tc>
      </w:tr>
    </w:tbl>
    <w:p w14:paraId="0719F935" w14:textId="77777777" w:rsidR="00AC3C57" w:rsidRPr="00EF27C8" w:rsidRDefault="00AC3C57" w:rsidP="002D4485">
      <w:pPr>
        <w:pStyle w:val="ARbody"/>
      </w:pPr>
      <w:r w:rsidRPr="00EF27C8">
        <w:lastRenderedPageBreak/>
        <w:t>The department has adjusted lighting levels, temperature and other building systems to avoid unnecessary consumption of energy while maintaining safety and comfort of occupants.</w:t>
      </w:r>
    </w:p>
    <w:p w14:paraId="0A7A11A4" w14:textId="77777777" w:rsidR="00AC3C57" w:rsidRPr="00EF27C8" w:rsidRDefault="00AC3C57">
      <w:pPr>
        <w:pStyle w:val="Heading3"/>
      </w:pPr>
      <w:r w:rsidRPr="00EF27C8">
        <w:t>Sustainable procurement</w:t>
      </w:r>
    </w:p>
    <w:p w14:paraId="08037A94" w14:textId="77777777" w:rsidR="00AC3C57" w:rsidRPr="00EF27C8" w:rsidRDefault="00AC3C57">
      <w:pPr>
        <w:pStyle w:val="ARbody"/>
      </w:pPr>
      <w:r w:rsidRPr="00EF27C8">
        <w:t xml:space="preserve">The department considers sustainable procurement objectives through its implementation of the </w:t>
      </w:r>
      <w:proofErr w:type="gramStart"/>
      <w:r w:rsidRPr="00E06E63">
        <w:rPr>
          <w:rStyle w:val="Emphasis"/>
        </w:rPr>
        <w:t>Social</w:t>
      </w:r>
      <w:proofErr w:type="gramEnd"/>
      <w:r w:rsidRPr="00E06E63">
        <w:rPr>
          <w:rStyle w:val="Emphasis"/>
        </w:rPr>
        <w:t xml:space="preserve"> procurement framework.</w:t>
      </w:r>
      <w:r w:rsidRPr="00EF27C8">
        <w:t xml:space="preserve"> This set</w:t>
      </w:r>
      <w:r>
        <w:t>s</w:t>
      </w:r>
      <w:r w:rsidRPr="00EF27C8">
        <w:t xml:space="preserve"> out the requirements that apply to Victorian Government departments and agencies when they procure goods, services and construction. Refer to the ‘Social procurement framework’ section for more information.</w:t>
      </w:r>
    </w:p>
    <w:p w14:paraId="08822383" w14:textId="77777777" w:rsidR="00AC3C57" w:rsidRPr="00EF27C8" w:rsidRDefault="00AC3C57">
      <w:pPr>
        <w:pStyle w:val="Heading3"/>
      </w:pPr>
      <w:r w:rsidRPr="00EF27C8">
        <w:t>Water consumption</w:t>
      </w:r>
    </w:p>
    <w:p w14:paraId="0398FE5C" w14:textId="3B0A98CE" w:rsidR="00AC3C57" w:rsidRPr="008E2F75" w:rsidRDefault="00AC3C57">
      <w:pPr>
        <w:pStyle w:val="ARbody"/>
        <w:rPr>
          <w:highlight w:val="cyan"/>
        </w:rPr>
      </w:pPr>
      <w:r w:rsidRPr="00EF27C8">
        <w:t xml:space="preserve">The department </w:t>
      </w:r>
      <w:r>
        <w:t>monitors its</w:t>
      </w:r>
      <w:r w:rsidRPr="00EF27C8">
        <w:t xml:space="preserve"> water consumption across facilities and operations</w:t>
      </w:r>
      <w:r>
        <w:t>.</w:t>
      </w:r>
      <w:r w:rsidRPr="00EF27C8">
        <w:t xml:space="preserve"> </w:t>
      </w:r>
      <w:r>
        <w:t>We</w:t>
      </w:r>
      <w:r w:rsidRPr="00EF27C8">
        <w:t> encourage clients to</w:t>
      </w:r>
      <w:r w:rsidR="002D4485">
        <w:t> </w:t>
      </w:r>
      <w:r w:rsidRPr="00EF27C8">
        <w:t xml:space="preserve">improve their own water efficiency. In 2024–25, </w:t>
      </w:r>
      <w:r w:rsidRPr="00F32931">
        <w:t>office-based water use was 29,287 kilolitres compared</w:t>
      </w:r>
      <w:r w:rsidR="00B678EF">
        <w:t> </w:t>
      </w:r>
      <w:r w:rsidRPr="00F32931">
        <w:t>with 31,340 kilolitres in 2023–24. Continued low water usage is attributed to flexible/hybrid working</w:t>
      </w:r>
      <w:r w:rsidR="002D4485">
        <w:t> </w:t>
      </w:r>
      <w:r w:rsidRPr="00F32931">
        <w:t xml:space="preserve">arrangements. </w:t>
      </w:r>
    </w:p>
    <w:p w14:paraId="1F62B184" w14:textId="77777777" w:rsidR="00AC3C57" w:rsidRPr="00EF27C8" w:rsidRDefault="00AC3C57">
      <w:pPr>
        <w:pStyle w:val="Heading4"/>
        <w:rPr>
          <w:lang w:eastAsia="ja-JP"/>
        </w:rPr>
      </w:pPr>
      <w:r w:rsidRPr="00EF27C8">
        <w:rPr>
          <w:lang w:eastAsia="ja-JP"/>
        </w:rPr>
        <w:t>Department offices</w:t>
      </w:r>
    </w:p>
    <w:p w14:paraId="2840E13B" w14:textId="77777777" w:rsidR="00AC3C57" w:rsidRPr="00EF27C8" w:rsidRDefault="00AC3C57">
      <w:pPr>
        <w:pStyle w:val="ARtablecaption"/>
      </w:pPr>
      <w:r w:rsidRPr="00EF27C8">
        <w:t>W1 Total water consumption by an entity</w:t>
      </w:r>
    </w:p>
    <w:tbl>
      <w:tblPr>
        <w:tblStyle w:val="TableGrid"/>
        <w:tblW w:w="9639" w:type="dxa"/>
        <w:tblLook w:val="02E0" w:firstRow="1" w:lastRow="1" w:firstColumn="1" w:lastColumn="0" w:noHBand="1" w:noVBand="0"/>
      </w:tblPr>
      <w:tblGrid>
        <w:gridCol w:w="4544"/>
        <w:gridCol w:w="1709"/>
        <w:gridCol w:w="1709"/>
        <w:gridCol w:w="1709"/>
      </w:tblGrid>
      <w:tr w:rsidR="00AC3C57" w:rsidRPr="008E2F75" w14:paraId="6840C0AF" w14:textId="77777777" w:rsidTr="00B678EF">
        <w:trPr>
          <w:cnfStyle w:val="100000000000" w:firstRow="1" w:lastRow="0" w:firstColumn="0" w:lastColumn="0" w:oddVBand="0" w:evenVBand="0" w:oddHBand="0" w:evenHBand="0" w:firstRowFirstColumn="0" w:firstRowLastColumn="0" w:lastRowFirstColumn="0" w:lastRowLastColumn="0"/>
          <w:trHeight w:val="288"/>
          <w:tblHeader/>
        </w:trPr>
        <w:tc>
          <w:tcPr>
            <w:tcW w:w="4536" w:type="dxa"/>
            <w:noWrap/>
          </w:tcPr>
          <w:p w14:paraId="5C0D6AD3" w14:textId="77777777" w:rsidR="00AC3C57" w:rsidRPr="00F32931" w:rsidRDefault="00AC3C57">
            <w:pPr>
              <w:pStyle w:val="ARtablecolhead"/>
              <w:spacing w:before="30" w:after="20"/>
              <w:rPr>
                <w:color w:val="000000"/>
              </w:rPr>
            </w:pPr>
            <w:r w:rsidRPr="00F32931">
              <w:t>Indicator</w:t>
            </w:r>
          </w:p>
        </w:tc>
        <w:tc>
          <w:tcPr>
            <w:cnfStyle w:val="000001000000" w:firstRow="0" w:lastRow="0" w:firstColumn="0" w:lastColumn="0" w:oddVBand="0" w:evenVBand="1" w:oddHBand="0" w:evenHBand="0" w:firstRowFirstColumn="0" w:firstRowLastColumn="0" w:lastRowFirstColumn="0" w:lastRowLastColumn="0"/>
            <w:tcW w:w="1701" w:type="dxa"/>
            <w:noWrap/>
          </w:tcPr>
          <w:p w14:paraId="09C80B0E" w14:textId="77777777" w:rsidR="00AC3C57" w:rsidRPr="00F32931" w:rsidRDefault="00AC3C57">
            <w:pPr>
              <w:pStyle w:val="ARtablecolheadright"/>
              <w:spacing w:before="30" w:after="20"/>
            </w:pPr>
            <w:r w:rsidRPr="00F32931">
              <w:t>2024–25</w:t>
            </w:r>
          </w:p>
          <w:p w14:paraId="5A5CC8DD" w14:textId="77777777" w:rsidR="00AC3C57" w:rsidRPr="00F32931" w:rsidRDefault="00AC3C57">
            <w:pPr>
              <w:pStyle w:val="ARtablecolheadright"/>
              <w:spacing w:before="30" w:after="20"/>
            </w:pPr>
            <w:proofErr w:type="spellStart"/>
            <w:r w:rsidRPr="00F32931">
              <w:t>kL</w:t>
            </w:r>
            <w:proofErr w:type="spellEnd"/>
          </w:p>
        </w:tc>
        <w:tc>
          <w:tcPr>
            <w:tcW w:w="1701" w:type="dxa"/>
            <w:noWrap/>
          </w:tcPr>
          <w:p w14:paraId="3492A9A4" w14:textId="77777777" w:rsidR="00AC3C57" w:rsidRPr="00F32931"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F32931">
              <w:t>2023–24</w:t>
            </w:r>
          </w:p>
          <w:p w14:paraId="7982CCDF" w14:textId="77777777" w:rsidR="00AC3C57" w:rsidRPr="00F32931"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proofErr w:type="spellStart"/>
            <w:r w:rsidRPr="00F32931" w:rsidDel="00C766C2">
              <w:t>kL</w:t>
            </w:r>
            <w:proofErr w:type="spellEnd"/>
          </w:p>
        </w:tc>
        <w:tc>
          <w:tcPr>
            <w:cnfStyle w:val="000001000000" w:firstRow="0" w:lastRow="0" w:firstColumn="0" w:lastColumn="0" w:oddVBand="0" w:evenVBand="1" w:oddHBand="0" w:evenHBand="0" w:firstRowFirstColumn="0" w:firstRowLastColumn="0" w:lastRowFirstColumn="0" w:lastRowLastColumn="0"/>
            <w:tcW w:w="1701" w:type="dxa"/>
            <w:noWrap/>
          </w:tcPr>
          <w:p w14:paraId="29FA6E1D" w14:textId="77777777" w:rsidR="00AC3C57" w:rsidRPr="00F32931" w:rsidRDefault="00AC3C57">
            <w:pPr>
              <w:pStyle w:val="ARtablecolheadright"/>
              <w:spacing w:before="30" w:after="20"/>
            </w:pPr>
            <w:r w:rsidRPr="00F32931">
              <w:t>2022–23</w:t>
            </w:r>
          </w:p>
          <w:p w14:paraId="075F25FB" w14:textId="77777777" w:rsidR="00AC3C57" w:rsidRPr="00F32931" w:rsidRDefault="00AC3C57">
            <w:pPr>
              <w:pStyle w:val="ARtablecolheadright"/>
              <w:spacing w:before="30" w:after="20"/>
            </w:pPr>
            <w:proofErr w:type="spellStart"/>
            <w:r w:rsidRPr="00F32931" w:rsidDel="00C766C2">
              <w:t>kL</w:t>
            </w:r>
            <w:proofErr w:type="spellEnd"/>
          </w:p>
        </w:tc>
      </w:tr>
      <w:tr w:rsidR="00AC3C57" w:rsidRPr="008E2F75" w14:paraId="4C33F4AD" w14:textId="77777777" w:rsidTr="00B678EF">
        <w:trPr>
          <w:trHeight w:val="288"/>
        </w:trPr>
        <w:tc>
          <w:tcPr>
            <w:tcW w:w="4536" w:type="dxa"/>
            <w:noWrap/>
            <w:hideMark/>
          </w:tcPr>
          <w:p w14:paraId="172CE3C0" w14:textId="77777777" w:rsidR="00AC3C57" w:rsidRPr="00C07FA4" w:rsidRDefault="00AC3C57" w:rsidP="00C07FA4">
            <w:pPr>
              <w:pStyle w:val="ARtabletext"/>
            </w:pPr>
            <w:r w:rsidRPr="00F32931">
              <w:t>Potable water consumption</w:t>
            </w:r>
          </w:p>
        </w:tc>
        <w:tc>
          <w:tcPr>
            <w:cnfStyle w:val="000001000000" w:firstRow="0" w:lastRow="0" w:firstColumn="0" w:lastColumn="0" w:oddVBand="0" w:evenVBand="1" w:oddHBand="0" w:evenHBand="0" w:firstRowFirstColumn="0" w:firstRowLastColumn="0" w:lastRowFirstColumn="0" w:lastRowLastColumn="0"/>
            <w:tcW w:w="1701" w:type="dxa"/>
            <w:noWrap/>
            <w:hideMark/>
          </w:tcPr>
          <w:p w14:paraId="3029FEFD" w14:textId="77777777" w:rsidR="00AC3C57" w:rsidRPr="00C07FA4" w:rsidRDefault="00AC3C57" w:rsidP="00C07FA4">
            <w:pPr>
              <w:pStyle w:val="ARtabletextright"/>
            </w:pPr>
            <w:r w:rsidRPr="00C07FA4">
              <w:t>29,287</w:t>
            </w:r>
          </w:p>
        </w:tc>
        <w:tc>
          <w:tcPr>
            <w:tcW w:w="1701" w:type="dxa"/>
            <w:noWrap/>
            <w:hideMark/>
          </w:tcPr>
          <w:p w14:paraId="5627F944" w14:textId="77777777" w:rsidR="00AC3C57" w:rsidRPr="00C07FA4" w:rsidRDefault="00AC3C57" w:rsidP="00C07FA4">
            <w:pPr>
              <w:pStyle w:val="ARtabletextright"/>
              <w:cnfStyle w:val="000000000000" w:firstRow="0" w:lastRow="0" w:firstColumn="0" w:lastColumn="0" w:oddVBand="0" w:evenVBand="0" w:oddHBand="0" w:evenHBand="0" w:firstRowFirstColumn="0" w:firstRowLastColumn="0" w:lastRowFirstColumn="0" w:lastRowLastColumn="0"/>
            </w:pPr>
            <w:r w:rsidRPr="00C07FA4">
              <w:t>31,340</w:t>
            </w:r>
          </w:p>
        </w:tc>
        <w:tc>
          <w:tcPr>
            <w:cnfStyle w:val="000001000000" w:firstRow="0" w:lastRow="0" w:firstColumn="0" w:lastColumn="0" w:oddVBand="0" w:evenVBand="1" w:oddHBand="0" w:evenHBand="0" w:firstRowFirstColumn="0" w:firstRowLastColumn="0" w:lastRowFirstColumn="0" w:lastRowLastColumn="0"/>
            <w:tcW w:w="1701" w:type="dxa"/>
            <w:noWrap/>
            <w:hideMark/>
          </w:tcPr>
          <w:p w14:paraId="569278DF" w14:textId="77777777" w:rsidR="00AC3C57" w:rsidRPr="00C07FA4" w:rsidRDefault="00AC3C57" w:rsidP="00C07FA4">
            <w:pPr>
              <w:pStyle w:val="ARtabletextright"/>
            </w:pPr>
            <w:r w:rsidRPr="00C07FA4">
              <w:t>29,113</w:t>
            </w:r>
          </w:p>
        </w:tc>
      </w:tr>
      <w:tr w:rsidR="00AC3C57" w:rsidRPr="008E2F75" w14:paraId="66EA863E" w14:textId="77777777" w:rsidTr="00B678EF">
        <w:trPr>
          <w:cnfStyle w:val="010000000000" w:firstRow="0" w:lastRow="1" w:firstColumn="0" w:lastColumn="0" w:oddVBand="0" w:evenVBand="0" w:oddHBand="0" w:evenHBand="0" w:firstRowFirstColumn="0" w:firstRowLastColumn="0" w:lastRowFirstColumn="0" w:lastRowLastColumn="0"/>
          <w:trHeight w:val="288"/>
        </w:trPr>
        <w:tc>
          <w:tcPr>
            <w:tcW w:w="4536" w:type="dxa"/>
            <w:noWrap/>
          </w:tcPr>
          <w:p w14:paraId="003E7FBF" w14:textId="77777777" w:rsidR="00AC3C57" w:rsidRPr="00F32931" w:rsidRDefault="00AC3C57">
            <w:pPr>
              <w:pStyle w:val="ARtabletextbold"/>
              <w:spacing w:before="30" w:after="20"/>
            </w:pPr>
            <w:r w:rsidRPr="00F32931">
              <w:t>W1 Total water consumption by an entity</w:t>
            </w:r>
          </w:p>
        </w:tc>
        <w:tc>
          <w:tcPr>
            <w:cnfStyle w:val="000001000000" w:firstRow="0" w:lastRow="0" w:firstColumn="0" w:lastColumn="0" w:oddVBand="0" w:evenVBand="1" w:oddHBand="0" w:evenHBand="0" w:firstRowFirstColumn="0" w:firstRowLastColumn="0" w:lastRowFirstColumn="0" w:lastRowLastColumn="0"/>
            <w:tcW w:w="1701" w:type="dxa"/>
            <w:noWrap/>
          </w:tcPr>
          <w:p w14:paraId="78B76F44" w14:textId="77777777" w:rsidR="00AC3C57" w:rsidRPr="00C07FA4" w:rsidRDefault="00AC3C57" w:rsidP="00C07FA4">
            <w:pPr>
              <w:pStyle w:val="ARtabletextrightbold"/>
            </w:pPr>
            <w:r w:rsidRPr="00C07FA4">
              <w:t>29,287</w:t>
            </w:r>
          </w:p>
        </w:tc>
        <w:tc>
          <w:tcPr>
            <w:tcW w:w="1701" w:type="dxa"/>
            <w:noWrap/>
          </w:tcPr>
          <w:p w14:paraId="30347C57" w14:textId="77777777" w:rsidR="00AC3C57" w:rsidRPr="00C07FA4" w:rsidRDefault="00AC3C57" w:rsidP="00C07FA4">
            <w:pPr>
              <w:pStyle w:val="ARtabletextrightbold"/>
              <w:cnfStyle w:val="010000000000" w:firstRow="0" w:lastRow="1" w:firstColumn="0" w:lastColumn="0" w:oddVBand="0" w:evenVBand="0" w:oddHBand="0" w:evenHBand="0" w:firstRowFirstColumn="0" w:firstRowLastColumn="0" w:lastRowFirstColumn="0" w:lastRowLastColumn="0"/>
            </w:pPr>
            <w:r w:rsidRPr="00C07FA4">
              <w:t>31,340</w:t>
            </w:r>
          </w:p>
        </w:tc>
        <w:tc>
          <w:tcPr>
            <w:cnfStyle w:val="000001000000" w:firstRow="0" w:lastRow="0" w:firstColumn="0" w:lastColumn="0" w:oddVBand="0" w:evenVBand="1" w:oddHBand="0" w:evenHBand="0" w:firstRowFirstColumn="0" w:firstRowLastColumn="0" w:lastRowFirstColumn="0" w:lastRowLastColumn="0"/>
            <w:tcW w:w="1701" w:type="dxa"/>
            <w:noWrap/>
          </w:tcPr>
          <w:p w14:paraId="6892E866" w14:textId="77777777" w:rsidR="00AC3C57" w:rsidRPr="00C07FA4" w:rsidRDefault="00AC3C57" w:rsidP="00C07FA4">
            <w:pPr>
              <w:pStyle w:val="ARtabletextrightbold"/>
            </w:pPr>
            <w:r w:rsidRPr="00C07FA4">
              <w:t>29,113</w:t>
            </w:r>
          </w:p>
        </w:tc>
      </w:tr>
    </w:tbl>
    <w:p w14:paraId="4E2CD5A9" w14:textId="77777777" w:rsidR="00AC3C57" w:rsidRPr="00935BE3" w:rsidRDefault="00AC3C57">
      <w:pPr>
        <w:pStyle w:val="ARtablecaption"/>
      </w:pPr>
      <w:r w:rsidRPr="00935BE3">
        <w:t>W2 Units of metered water consumed normalised by FTE</w:t>
      </w:r>
    </w:p>
    <w:tbl>
      <w:tblPr>
        <w:tblStyle w:val="TableGrid"/>
        <w:tblW w:w="9639" w:type="dxa"/>
        <w:tblLook w:val="02E0" w:firstRow="1" w:lastRow="1" w:firstColumn="1" w:lastColumn="0" w:noHBand="1" w:noVBand="0"/>
      </w:tblPr>
      <w:tblGrid>
        <w:gridCol w:w="4544"/>
        <w:gridCol w:w="1709"/>
        <w:gridCol w:w="1709"/>
        <w:gridCol w:w="1709"/>
      </w:tblGrid>
      <w:tr w:rsidR="00AC3C57" w:rsidRPr="00935BE3" w14:paraId="7F060803" w14:textId="77777777" w:rsidTr="00B678EF">
        <w:trPr>
          <w:cnfStyle w:val="100000000000" w:firstRow="1" w:lastRow="0" w:firstColumn="0" w:lastColumn="0" w:oddVBand="0" w:evenVBand="0" w:oddHBand="0" w:evenHBand="0" w:firstRowFirstColumn="0" w:firstRowLastColumn="0" w:lastRowFirstColumn="0" w:lastRowLastColumn="0"/>
          <w:trHeight w:val="288"/>
          <w:tblHeader/>
        </w:trPr>
        <w:tc>
          <w:tcPr>
            <w:tcW w:w="4536" w:type="dxa"/>
            <w:noWrap/>
          </w:tcPr>
          <w:p w14:paraId="290D85C5" w14:textId="77777777" w:rsidR="00AC3C57" w:rsidRPr="00935BE3" w:rsidRDefault="00AC3C57">
            <w:pPr>
              <w:pStyle w:val="ARtablecolhead"/>
              <w:spacing w:before="30" w:after="20"/>
            </w:pPr>
          </w:p>
        </w:tc>
        <w:tc>
          <w:tcPr>
            <w:cnfStyle w:val="000001000000" w:firstRow="0" w:lastRow="0" w:firstColumn="0" w:lastColumn="0" w:oddVBand="0" w:evenVBand="1" w:oddHBand="0" w:evenHBand="0" w:firstRowFirstColumn="0" w:firstRowLastColumn="0" w:lastRowFirstColumn="0" w:lastRowLastColumn="0"/>
            <w:tcW w:w="1701" w:type="dxa"/>
            <w:noWrap/>
          </w:tcPr>
          <w:p w14:paraId="06D19416" w14:textId="77777777" w:rsidR="00AC3C57" w:rsidRPr="00935BE3" w:rsidRDefault="00AC3C57">
            <w:pPr>
              <w:pStyle w:val="ARtablecolheadright"/>
              <w:spacing w:before="30" w:after="20"/>
            </w:pPr>
            <w:r w:rsidRPr="00935BE3">
              <w:t>202</w:t>
            </w:r>
            <w:r>
              <w:t>4</w:t>
            </w:r>
            <w:r w:rsidRPr="00935BE3">
              <w:t>–2</w:t>
            </w:r>
            <w:r>
              <w:t>5</w:t>
            </w:r>
          </w:p>
          <w:p w14:paraId="312AC857" w14:textId="77777777" w:rsidR="00AC3C57" w:rsidRPr="00935BE3" w:rsidRDefault="00AC3C57">
            <w:pPr>
              <w:pStyle w:val="ARtablecolheadright"/>
              <w:spacing w:before="30" w:after="20"/>
            </w:pPr>
            <w:proofErr w:type="spellStart"/>
            <w:r w:rsidRPr="00935BE3">
              <w:t>kL</w:t>
            </w:r>
            <w:proofErr w:type="spellEnd"/>
            <w:r w:rsidRPr="00935BE3">
              <w:t>/FTE</w:t>
            </w:r>
          </w:p>
        </w:tc>
        <w:tc>
          <w:tcPr>
            <w:tcW w:w="1701" w:type="dxa"/>
            <w:noWrap/>
          </w:tcPr>
          <w:p w14:paraId="51547BDC" w14:textId="77777777" w:rsidR="00AC3C57" w:rsidRPr="00935BE3"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935BE3">
              <w:t>202</w:t>
            </w:r>
            <w:r>
              <w:t>3</w:t>
            </w:r>
            <w:r w:rsidRPr="00935BE3">
              <w:t>–2</w:t>
            </w:r>
            <w:r>
              <w:t>4</w:t>
            </w:r>
          </w:p>
          <w:p w14:paraId="312080FD" w14:textId="77777777" w:rsidR="00AC3C57" w:rsidRPr="00935BE3"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proofErr w:type="spellStart"/>
            <w:r w:rsidRPr="00935BE3">
              <w:t>kL</w:t>
            </w:r>
            <w:proofErr w:type="spellEnd"/>
            <w:r w:rsidRPr="00935BE3">
              <w:t>/FTE</w:t>
            </w:r>
          </w:p>
        </w:tc>
        <w:tc>
          <w:tcPr>
            <w:cnfStyle w:val="000001000000" w:firstRow="0" w:lastRow="0" w:firstColumn="0" w:lastColumn="0" w:oddVBand="0" w:evenVBand="1" w:oddHBand="0" w:evenHBand="0" w:firstRowFirstColumn="0" w:firstRowLastColumn="0" w:lastRowFirstColumn="0" w:lastRowLastColumn="0"/>
            <w:tcW w:w="1701" w:type="dxa"/>
            <w:noWrap/>
          </w:tcPr>
          <w:p w14:paraId="47012A20" w14:textId="77777777" w:rsidR="00AC3C57" w:rsidRPr="00935BE3" w:rsidRDefault="00AC3C57">
            <w:pPr>
              <w:pStyle w:val="ARtablecolheadright"/>
              <w:spacing w:before="30" w:after="20"/>
            </w:pPr>
            <w:r w:rsidRPr="00935BE3">
              <w:t>202</w:t>
            </w:r>
            <w:r>
              <w:t>2</w:t>
            </w:r>
            <w:r w:rsidRPr="00935BE3">
              <w:t>–2</w:t>
            </w:r>
            <w:r>
              <w:t>3</w:t>
            </w:r>
          </w:p>
          <w:p w14:paraId="12B9DAA8" w14:textId="77777777" w:rsidR="00AC3C57" w:rsidRPr="00935BE3" w:rsidRDefault="00AC3C57">
            <w:pPr>
              <w:pStyle w:val="ARtablecolheadright"/>
              <w:spacing w:before="30" w:after="20"/>
            </w:pPr>
            <w:proofErr w:type="spellStart"/>
            <w:r w:rsidRPr="00935BE3">
              <w:t>kL</w:t>
            </w:r>
            <w:proofErr w:type="spellEnd"/>
            <w:r w:rsidRPr="00935BE3">
              <w:t>/FTE</w:t>
            </w:r>
          </w:p>
        </w:tc>
      </w:tr>
      <w:tr w:rsidR="00AC3C57" w:rsidRPr="008E2F75" w14:paraId="709A98DB" w14:textId="77777777" w:rsidTr="00B678EF">
        <w:trPr>
          <w:cnfStyle w:val="010000000000" w:firstRow="0" w:lastRow="1" w:firstColumn="0" w:lastColumn="0" w:oddVBand="0" w:evenVBand="0" w:oddHBand="0" w:evenHBand="0" w:firstRowFirstColumn="0" w:firstRowLastColumn="0" w:lastRowFirstColumn="0" w:lastRowLastColumn="0"/>
          <w:trHeight w:val="288"/>
        </w:trPr>
        <w:tc>
          <w:tcPr>
            <w:tcW w:w="4536" w:type="dxa"/>
            <w:noWrap/>
          </w:tcPr>
          <w:p w14:paraId="256E6902" w14:textId="77777777" w:rsidR="00AC3C57" w:rsidRPr="00C07FA4" w:rsidRDefault="00AC3C57" w:rsidP="00C07FA4">
            <w:pPr>
              <w:pStyle w:val="ARtabletextbold"/>
            </w:pPr>
            <w:r w:rsidRPr="009A3726">
              <w:t xml:space="preserve">W2 Units of metered water </w:t>
            </w:r>
            <w:r w:rsidRPr="009A3726">
              <w:br/>
              <w:t>consumed normalised by FTE</w:t>
            </w:r>
          </w:p>
        </w:tc>
        <w:tc>
          <w:tcPr>
            <w:cnfStyle w:val="000001000000" w:firstRow="0" w:lastRow="0" w:firstColumn="0" w:lastColumn="0" w:oddVBand="0" w:evenVBand="1" w:oddHBand="0" w:evenHBand="0" w:firstRowFirstColumn="0" w:firstRowLastColumn="0" w:lastRowFirstColumn="0" w:lastRowLastColumn="0"/>
            <w:tcW w:w="1701" w:type="dxa"/>
            <w:noWrap/>
          </w:tcPr>
          <w:p w14:paraId="17BF2667" w14:textId="77777777" w:rsidR="00AC3C57" w:rsidRPr="009A3726" w:rsidRDefault="00AC3C57" w:rsidP="00C07FA4">
            <w:pPr>
              <w:pStyle w:val="ARtabletextrightbold"/>
            </w:pPr>
            <w:r w:rsidRPr="009A3726">
              <w:t>4.2</w:t>
            </w:r>
          </w:p>
        </w:tc>
        <w:tc>
          <w:tcPr>
            <w:tcW w:w="1701" w:type="dxa"/>
            <w:noWrap/>
          </w:tcPr>
          <w:p w14:paraId="1B310B7F" w14:textId="77777777" w:rsidR="00AC3C57" w:rsidRPr="009A3726" w:rsidRDefault="00AC3C57" w:rsidP="00C07FA4">
            <w:pPr>
              <w:pStyle w:val="ARtabletextrightbold"/>
              <w:cnfStyle w:val="010000000000" w:firstRow="0" w:lastRow="1" w:firstColumn="0" w:lastColumn="0" w:oddVBand="0" w:evenVBand="0" w:oddHBand="0" w:evenHBand="0" w:firstRowFirstColumn="0" w:firstRowLastColumn="0" w:lastRowFirstColumn="0" w:lastRowLastColumn="0"/>
            </w:pPr>
            <w:r w:rsidRPr="009A3726">
              <w:t>4.6</w:t>
            </w:r>
          </w:p>
        </w:tc>
        <w:tc>
          <w:tcPr>
            <w:cnfStyle w:val="000001000000" w:firstRow="0" w:lastRow="0" w:firstColumn="0" w:lastColumn="0" w:oddVBand="0" w:evenVBand="1" w:oddHBand="0" w:evenHBand="0" w:firstRowFirstColumn="0" w:firstRowLastColumn="0" w:lastRowFirstColumn="0" w:lastRowLastColumn="0"/>
            <w:tcW w:w="1701" w:type="dxa"/>
            <w:noWrap/>
          </w:tcPr>
          <w:p w14:paraId="4392C4F4" w14:textId="77777777" w:rsidR="00AC3C57" w:rsidRPr="009A3726" w:rsidRDefault="00AC3C57" w:rsidP="00C07FA4">
            <w:pPr>
              <w:pStyle w:val="ARtabletextrightbold"/>
            </w:pPr>
            <w:r w:rsidRPr="009A3726">
              <w:t>4.3</w:t>
            </w:r>
          </w:p>
        </w:tc>
      </w:tr>
    </w:tbl>
    <w:p w14:paraId="75E7100D" w14:textId="77777777" w:rsidR="00AC3C57" w:rsidRPr="00197809" w:rsidRDefault="00AC3C57">
      <w:pPr>
        <w:pStyle w:val="Heading4"/>
      </w:pPr>
      <w:r w:rsidRPr="00197809">
        <w:t>Housing Services</w:t>
      </w:r>
    </w:p>
    <w:p w14:paraId="3C5FC4B9" w14:textId="77777777" w:rsidR="00AC3C57" w:rsidRPr="00197809" w:rsidRDefault="00AC3C57">
      <w:pPr>
        <w:pStyle w:val="ARtablecaption"/>
      </w:pPr>
      <w:r w:rsidRPr="00197809">
        <w:t>W1 Total water consumption by an entity</w:t>
      </w:r>
    </w:p>
    <w:tbl>
      <w:tblPr>
        <w:tblStyle w:val="TableGrid"/>
        <w:tblW w:w="9639" w:type="dxa"/>
        <w:tblLook w:val="02E0" w:firstRow="1" w:lastRow="1" w:firstColumn="1" w:lastColumn="0" w:noHBand="1" w:noVBand="0"/>
      </w:tblPr>
      <w:tblGrid>
        <w:gridCol w:w="4544"/>
        <w:gridCol w:w="1709"/>
        <w:gridCol w:w="1709"/>
        <w:gridCol w:w="1709"/>
      </w:tblGrid>
      <w:tr w:rsidR="00AC3C57" w:rsidRPr="001D5E27" w14:paraId="3DE68B8C" w14:textId="77777777" w:rsidTr="00B678EF">
        <w:trPr>
          <w:cnfStyle w:val="100000000000" w:firstRow="1" w:lastRow="0" w:firstColumn="0" w:lastColumn="0" w:oddVBand="0" w:evenVBand="0" w:oddHBand="0" w:evenHBand="0" w:firstRowFirstColumn="0" w:firstRowLastColumn="0" w:lastRowFirstColumn="0" w:lastRowLastColumn="0"/>
          <w:trHeight w:val="288"/>
          <w:tblHeader/>
        </w:trPr>
        <w:tc>
          <w:tcPr>
            <w:tcW w:w="4536" w:type="dxa"/>
            <w:noWrap/>
          </w:tcPr>
          <w:p w14:paraId="410ACCBE" w14:textId="77777777" w:rsidR="00AC3C57" w:rsidRPr="00197809" w:rsidRDefault="00AC3C57">
            <w:pPr>
              <w:pStyle w:val="ARtablecolhead"/>
              <w:spacing w:before="30" w:after="20"/>
            </w:pPr>
          </w:p>
        </w:tc>
        <w:tc>
          <w:tcPr>
            <w:cnfStyle w:val="000001000000" w:firstRow="0" w:lastRow="0" w:firstColumn="0" w:lastColumn="0" w:oddVBand="0" w:evenVBand="1" w:oddHBand="0" w:evenHBand="0" w:firstRowFirstColumn="0" w:firstRowLastColumn="0" w:lastRowFirstColumn="0" w:lastRowLastColumn="0"/>
            <w:tcW w:w="1701" w:type="dxa"/>
            <w:noWrap/>
          </w:tcPr>
          <w:p w14:paraId="565D5F34" w14:textId="77777777" w:rsidR="00AC3C57" w:rsidRPr="00197809" w:rsidRDefault="00AC3C57">
            <w:pPr>
              <w:pStyle w:val="ARtablecolheadright"/>
              <w:spacing w:before="30" w:after="20"/>
            </w:pPr>
            <w:r w:rsidRPr="00197809">
              <w:t>2024–25</w:t>
            </w:r>
          </w:p>
          <w:p w14:paraId="571A20FC" w14:textId="77777777" w:rsidR="00AC3C57" w:rsidRPr="00197809" w:rsidRDefault="00AC3C57">
            <w:pPr>
              <w:pStyle w:val="ARtablecolheadright"/>
              <w:spacing w:before="30" w:after="20"/>
            </w:pPr>
            <w:proofErr w:type="spellStart"/>
            <w:r w:rsidRPr="00197809">
              <w:t>kL</w:t>
            </w:r>
            <w:proofErr w:type="spellEnd"/>
          </w:p>
        </w:tc>
        <w:tc>
          <w:tcPr>
            <w:tcW w:w="1701" w:type="dxa"/>
            <w:noWrap/>
          </w:tcPr>
          <w:p w14:paraId="20704E3F" w14:textId="77777777" w:rsidR="00AC3C57" w:rsidRPr="00197809"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197809">
              <w:t>2023–24</w:t>
            </w:r>
          </w:p>
          <w:p w14:paraId="0F76938B" w14:textId="77777777" w:rsidR="00AC3C57" w:rsidRPr="00197809"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proofErr w:type="spellStart"/>
            <w:r w:rsidRPr="00197809">
              <w:t>kL</w:t>
            </w:r>
            <w:proofErr w:type="spellEnd"/>
          </w:p>
        </w:tc>
        <w:tc>
          <w:tcPr>
            <w:cnfStyle w:val="000001000000" w:firstRow="0" w:lastRow="0" w:firstColumn="0" w:lastColumn="0" w:oddVBand="0" w:evenVBand="1" w:oddHBand="0" w:evenHBand="0" w:firstRowFirstColumn="0" w:firstRowLastColumn="0" w:lastRowFirstColumn="0" w:lastRowLastColumn="0"/>
            <w:tcW w:w="1701" w:type="dxa"/>
            <w:noWrap/>
          </w:tcPr>
          <w:p w14:paraId="5306E801" w14:textId="77777777" w:rsidR="00AC3C57" w:rsidRPr="00197809" w:rsidRDefault="00AC3C57">
            <w:pPr>
              <w:pStyle w:val="ARtablecolheadright"/>
              <w:spacing w:before="30" w:after="20"/>
            </w:pPr>
            <w:r w:rsidRPr="00197809">
              <w:t>2022–23</w:t>
            </w:r>
          </w:p>
          <w:p w14:paraId="4AFF4428" w14:textId="77777777" w:rsidR="00AC3C57" w:rsidRPr="00197809" w:rsidRDefault="00AC3C57">
            <w:pPr>
              <w:pStyle w:val="ARtablecolheadright"/>
              <w:spacing w:before="30" w:after="20"/>
            </w:pPr>
            <w:proofErr w:type="spellStart"/>
            <w:r w:rsidRPr="00197809">
              <w:t>kL</w:t>
            </w:r>
            <w:proofErr w:type="spellEnd"/>
          </w:p>
        </w:tc>
      </w:tr>
      <w:tr w:rsidR="00AC3C57" w:rsidRPr="001D5E27" w14:paraId="6611ACDA" w14:textId="77777777" w:rsidTr="00B678EF">
        <w:trPr>
          <w:trHeight w:val="288"/>
        </w:trPr>
        <w:tc>
          <w:tcPr>
            <w:tcW w:w="4536" w:type="dxa"/>
            <w:noWrap/>
          </w:tcPr>
          <w:p w14:paraId="50844B9B" w14:textId="77777777" w:rsidR="00AC3C57" w:rsidRPr="00197809" w:rsidRDefault="00AC3C57" w:rsidP="00C07FA4">
            <w:pPr>
              <w:pStyle w:val="ARtabletext"/>
            </w:pPr>
            <w:r w:rsidRPr="00197809">
              <w:t xml:space="preserve">Potable water </w:t>
            </w:r>
            <w:r w:rsidRPr="00C07FA4">
              <w:t>consumption</w:t>
            </w:r>
            <w:r w:rsidRPr="00197809">
              <w:rPr>
                <w:rStyle w:val="FootnoteReference"/>
              </w:rPr>
              <w:footnoteReference w:id="36"/>
            </w:r>
          </w:p>
        </w:tc>
        <w:tc>
          <w:tcPr>
            <w:cnfStyle w:val="000001000000" w:firstRow="0" w:lastRow="0" w:firstColumn="0" w:lastColumn="0" w:oddVBand="0" w:evenVBand="1" w:oddHBand="0" w:evenHBand="0" w:firstRowFirstColumn="0" w:firstRowLastColumn="0" w:lastRowFirstColumn="0" w:lastRowLastColumn="0"/>
            <w:tcW w:w="1701" w:type="dxa"/>
            <w:noWrap/>
          </w:tcPr>
          <w:p w14:paraId="7E5559AA" w14:textId="77777777" w:rsidR="00AC3C57" w:rsidRPr="00197809" w:rsidRDefault="00AC3C57">
            <w:pPr>
              <w:pStyle w:val="ARtabletextright"/>
              <w:spacing w:before="30" w:after="20"/>
            </w:pPr>
            <w:r w:rsidRPr="00197809">
              <w:t>944,938</w:t>
            </w:r>
          </w:p>
        </w:tc>
        <w:tc>
          <w:tcPr>
            <w:tcW w:w="1701" w:type="dxa"/>
            <w:noWrap/>
          </w:tcPr>
          <w:p w14:paraId="2B5DBF3A" w14:textId="77777777" w:rsidR="00AC3C57" w:rsidRPr="00197809" w:rsidRDefault="00AC3C57">
            <w:pPr>
              <w:pStyle w:val="ARtabletextright"/>
              <w:spacing w:before="30" w:after="20"/>
              <w:cnfStyle w:val="000000000000" w:firstRow="0" w:lastRow="0" w:firstColumn="0" w:lastColumn="0" w:oddVBand="0" w:evenVBand="0" w:oddHBand="0" w:evenHBand="0" w:firstRowFirstColumn="0" w:firstRowLastColumn="0" w:lastRowFirstColumn="0" w:lastRowLastColumn="0"/>
            </w:pPr>
            <w:r w:rsidRPr="00197809">
              <w:t>1,124,205</w:t>
            </w:r>
          </w:p>
        </w:tc>
        <w:tc>
          <w:tcPr>
            <w:cnfStyle w:val="000001000000" w:firstRow="0" w:lastRow="0" w:firstColumn="0" w:lastColumn="0" w:oddVBand="0" w:evenVBand="1" w:oddHBand="0" w:evenHBand="0" w:firstRowFirstColumn="0" w:firstRowLastColumn="0" w:lastRowFirstColumn="0" w:lastRowLastColumn="0"/>
            <w:tcW w:w="1701" w:type="dxa"/>
            <w:noWrap/>
          </w:tcPr>
          <w:p w14:paraId="467DE046" w14:textId="77777777" w:rsidR="00AC3C57" w:rsidRPr="00197809" w:rsidRDefault="00AC3C57">
            <w:pPr>
              <w:pStyle w:val="ARtabletextright"/>
              <w:spacing w:before="30" w:after="20"/>
            </w:pPr>
            <w:r w:rsidRPr="00197809">
              <w:t>1,172,445</w:t>
            </w:r>
          </w:p>
        </w:tc>
      </w:tr>
      <w:tr w:rsidR="00AC3C57" w:rsidRPr="001D5E27" w14:paraId="24B8F7E4" w14:textId="77777777" w:rsidTr="00B678EF">
        <w:trPr>
          <w:cnfStyle w:val="010000000000" w:firstRow="0" w:lastRow="1" w:firstColumn="0" w:lastColumn="0" w:oddVBand="0" w:evenVBand="0" w:oddHBand="0" w:evenHBand="0" w:firstRowFirstColumn="0" w:firstRowLastColumn="0" w:lastRowFirstColumn="0" w:lastRowLastColumn="0"/>
          <w:trHeight w:val="288"/>
        </w:trPr>
        <w:tc>
          <w:tcPr>
            <w:tcW w:w="4536" w:type="dxa"/>
            <w:noWrap/>
          </w:tcPr>
          <w:p w14:paraId="4F2115B7" w14:textId="77777777" w:rsidR="00AC3C57" w:rsidRPr="00197809" w:rsidRDefault="00AC3C57">
            <w:pPr>
              <w:pStyle w:val="ARtabletextbold"/>
              <w:spacing w:before="30" w:after="20"/>
            </w:pPr>
            <w:r w:rsidRPr="00197809">
              <w:t>W1 Total water consumption by an entity</w:t>
            </w:r>
          </w:p>
        </w:tc>
        <w:tc>
          <w:tcPr>
            <w:cnfStyle w:val="000001000000" w:firstRow="0" w:lastRow="0" w:firstColumn="0" w:lastColumn="0" w:oddVBand="0" w:evenVBand="1" w:oddHBand="0" w:evenHBand="0" w:firstRowFirstColumn="0" w:firstRowLastColumn="0" w:lastRowFirstColumn="0" w:lastRowLastColumn="0"/>
            <w:tcW w:w="1701" w:type="dxa"/>
            <w:noWrap/>
          </w:tcPr>
          <w:p w14:paraId="434AE43F" w14:textId="77777777" w:rsidR="00AC3C57" w:rsidRPr="00C07FA4" w:rsidRDefault="00AC3C57" w:rsidP="00C07FA4">
            <w:pPr>
              <w:pStyle w:val="ARtabletextrightbold"/>
            </w:pPr>
            <w:r w:rsidRPr="00C07FA4">
              <w:t>944,938</w:t>
            </w:r>
          </w:p>
        </w:tc>
        <w:tc>
          <w:tcPr>
            <w:tcW w:w="1701" w:type="dxa"/>
            <w:noWrap/>
          </w:tcPr>
          <w:p w14:paraId="2B232BC4" w14:textId="77777777" w:rsidR="00AC3C57" w:rsidRPr="00C07FA4" w:rsidRDefault="00AC3C57" w:rsidP="00C07FA4">
            <w:pPr>
              <w:pStyle w:val="ARtabletextrightbold"/>
              <w:cnfStyle w:val="010000000000" w:firstRow="0" w:lastRow="1" w:firstColumn="0" w:lastColumn="0" w:oddVBand="0" w:evenVBand="0" w:oddHBand="0" w:evenHBand="0" w:firstRowFirstColumn="0" w:firstRowLastColumn="0" w:lastRowFirstColumn="0" w:lastRowLastColumn="0"/>
            </w:pPr>
            <w:r w:rsidRPr="00C07FA4">
              <w:t>1,124,205</w:t>
            </w:r>
          </w:p>
        </w:tc>
        <w:tc>
          <w:tcPr>
            <w:cnfStyle w:val="000001000000" w:firstRow="0" w:lastRow="0" w:firstColumn="0" w:lastColumn="0" w:oddVBand="0" w:evenVBand="1" w:oddHBand="0" w:evenHBand="0" w:firstRowFirstColumn="0" w:firstRowLastColumn="0" w:lastRowFirstColumn="0" w:lastRowLastColumn="0"/>
            <w:tcW w:w="1701" w:type="dxa"/>
            <w:noWrap/>
          </w:tcPr>
          <w:p w14:paraId="7F52C0BC" w14:textId="77777777" w:rsidR="00AC3C57" w:rsidRPr="00C07FA4" w:rsidRDefault="00AC3C57" w:rsidP="00C07FA4">
            <w:pPr>
              <w:pStyle w:val="ARtabletextrightbold"/>
            </w:pPr>
            <w:r w:rsidRPr="00C07FA4">
              <w:t>1,172,445</w:t>
            </w:r>
          </w:p>
        </w:tc>
      </w:tr>
    </w:tbl>
    <w:p w14:paraId="670AA896" w14:textId="77777777" w:rsidR="00AC3C57" w:rsidRPr="00197809" w:rsidRDefault="00AC3C57">
      <w:pPr>
        <w:pStyle w:val="ARtablecaption"/>
      </w:pPr>
      <w:r w:rsidRPr="00197809">
        <w:t>W2 Units of metered water consumed normalised by FTE</w:t>
      </w:r>
    </w:p>
    <w:tbl>
      <w:tblPr>
        <w:tblStyle w:val="TableGrid"/>
        <w:tblW w:w="9639" w:type="dxa"/>
        <w:tblLook w:val="02E0" w:firstRow="1" w:lastRow="1" w:firstColumn="1" w:lastColumn="0" w:noHBand="1" w:noVBand="0"/>
      </w:tblPr>
      <w:tblGrid>
        <w:gridCol w:w="4544"/>
        <w:gridCol w:w="1709"/>
        <w:gridCol w:w="1709"/>
        <w:gridCol w:w="1709"/>
      </w:tblGrid>
      <w:tr w:rsidR="00AC3C57" w:rsidRPr="001D5E27" w14:paraId="31C0F105" w14:textId="77777777" w:rsidTr="00B678EF">
        <w:trPr>
          <w:cnfStyle w:val="100000000000" w:firstRow="1" w:lastRow="0" w:firstColumn="0" w:lastColumn="0" w:oddVBand="0" w:evenVBand="0" w:oddHBand="0" w:evenHBand="0" w:firstRowFirstColumn="0" w:firstRowLastColumn="0" w:lastRowFirstColumn="0" w:lastRowLastColumn="0"/>
          <w:trHeight w:val="288"/>
          <w:tblHeader/>
        </w:trPr>
        <w:tc>
          <w:tcPr>
            <w:tcW w:w="4536" w:type="dxa"/>
            <w:noWrap/>
          </w:tcPr>
          <w:p w14:paraId="1EF27CA1" w14:textId="77777777" w:rsidR="00AC3C57" w:rsidRPr="00197809" w:rsidRDefault="00AC3C57">
            <w:pPr>
              <w:pStyle w:val="ARtablecolhead"/>
              <w:spacing w:before="30" w:after="20"/>
            </w:pPr>
          </w:p>
        </w:tc>
        <w:tc>
          <w:tcPr>
            <w:cnfStyle w:val="000001000000" w:firstRow="0" w:lastRow="0" w:firstColumn="0" w:lastColumn="0" w:oddVBand="0" w:evenVBand="1" w:oddHBand="0" w:evenHBand="0" w:firstRowFirstColumn="0" w:firstRowLastColumn="0" w:lastRowFirstColumn="0" w:lastRowLastColumn="0"/>
            <w:tcW w:w="1701" w:type="dxa"/>
            <w:noWrap/>
          </w:tcPr>
          <w:p w14:paraId="57A3E2CF" w14:textId="77777777" w:rsidR="00AC3C57" w:rsidRPr="00197809" w:rsidRDefault="00AC3C57">
            <w:pPr>
              <w:pStyle w:val="ARtablecolheadright"/>
              <w:spacing w:before="30" w:after="20"/>
            </w:pPr>
            <w:r w:rsidRPr="00197809">
              <w:t>2024–25</w:t>
            </w:r>
          </w:p>
          <w:p w14:paraId="4541137D" w14:textId="77777777" w:rsidR="00AC3C57" w:rsidRPr="00197809" w:rsidRDefault="00AC3C57">
            <w:pPr>
              <w:pStyle w:val="ARtablecolheadright"/>
              <w:spacing w:before="30" w:after="20"/>
            </w:pPr>
            <w:proofErr w:type="spellStart"/>
            <w:r w:rsidRPr="00197809">
              <w:t>kL</w:t>
            </w:r>
            <w:proofErr w:type="spellEnd"/>
            <w:r w:rsidRPr="00197809">
              <w:t>/FTE</w:t>
            </w:r>
          </w:p>
        </w:tc>
        <w:tc>
          <w:tcPr>
            <w:tcW w:w="1701" w:type="dxa"/>
            <w:noWrap/>
          </w:tcPr>
          <w:p w14:paraId="6C9578A6" w14:textId="77777777" w:rsidR="00AC3C57" w:rsidRPr="00197809"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r w:rsidRPr="00197809">
              <w:t>2023–24</w:t>
            </w:r>
          </w:p>
          <w:p w14:paraId="3D427B21" w14:textId="77777777" w:rsidR="00AC3C57" w:rsidRPr="00197809" w:rsidRDefault="00AC3C57">
            <w:pPr>
              <w:pStyle w:val="ARtablecolheadright"/>
              <w:spacing w:before="30" w:after="20"/>
              <w:cnfStyle w:val="100000000000" w:firstRow="1" w:lastRow="0" w:firstColumn="0" w:lastColumn="0" w:oddVBand="0" w:evenVBand="0" w:oddHBand="0" w:evenHBand="0" w:firstRowFirstColumn="0" w:firstRowLastColumn="0" w:lastRowFirstColumn="0" w:lastRowLastColumn="0"/>
            </w:pPr>
            <w:proofErr w:type="spellStart"/>
            <w:r w:rsidRPr="00197809">
              <w:t>kL</w:t>
            </w:r>
            <w:proofErr w:type="spellEnd"/>
            <w:r w:rsidRPr="00197809">
              <w:t>/FTE</w:t>
            </w:r>
          </w:p>
        </w:tc>
        <w:tc>
          <w:tcPr>
            <w:cnfStyle w:val="000001000000" w:firstRow="0" w:lastRow="0" w:firstColumn="0" w:lastColumn="0" w:oddVBand="0" w:evenVBand="1" w:oddHBand="0" w:evenHBand="0" w:firstRowFirstColumn="0" w:firstRowLastColumn="0" w:lastRowFirstColumn="0" w:lastRowLastColumn="0"/>
            <w:tcW w:w="1701" w:type="dxa"/>
            <w:noWrap/>
          </w:tcPr>
          <w:p w14:paraId="3A7A8086" w14:textId="77777777" w:rsidR="00AC3C57" w:rsidRPr="00197809" w:rsidRDefault="00AC3C57">
            <w:pPr>
              <w:pStyle w:val="ARtablecolheadright"/>
              <w:spacing w:before="30" w:after="20"/>
            </w:pPr>
            <w:r w:rsidRPr="00197809">
              <w:t>2022–23</w:t>
            </w:r>
          </w:p>
          <w:p w14:paraId="08A15EDD" w14:textId="77777777" w:rsidR="00AC3C57" w:rsidRPr="00197809" w:rsidRDefault="00AC3C57">
            <w:pPr>
              <w:pStyle w:val="ARtablecolheadright"/>
              <w:spacing w:before="30" w:after="20"/>
            </w:pPr>
            <w:proofErr w:type="spellStart"/>
            <w:r w:rsidRPr="00197809">
              <w:t>kL</w:t>
            </w:r>
            <w:proofErr w:type="spellEnd"/>
            <w:r w:rsidRPr="00197809">
              <w:t>/FTE</w:t>
            </w:r>
          </w:p>
        </w:tc>
      </w:tr>
      <w:tr w:rsidR="00AC3C57" w:rsidRPr="008E2F75" w14:paraId="188B02F4" w14:textId="77777777" w:rsidTr="00B678EF">
        <w:trPr>
          <w:cnfStyle w:val="010000000000" w:firstRow="0" w:lastRow="1" w:firstColumn="0" w:lastColumn="0" w:oddVBand="0" w:evenVBand="0" w:oddHBand="0" w:evenHBand="0" w:firstRowFirstColumn="0" w:firstRowLastColumn="0" w:lastRowFirstColumn="0" w:lastRowLastColumn="0"/>
          <w:trHeight w:val="288"/>
        </w:trPr>
        <w:tc>
          <w:tcPr>
            <w:tcW w:w="4536" w:type="dxa"/>
            <w:noWrap/>
          </w:tcPr>
          <w:p w14:paraId="51EB1126" w14:textId="77777777" w:rsidR="00AC3C57" w:rsidRPr="00C07FA4" w:rsidRDefault="00AC3C57" w:rsidP="00C07FA4">
            <w:pPr>
              <w:pStyle w:val="ARtabletextbold"/>
            </w:pPr>
            <w:r w:rsidRPr="00197809">
              <w:t xml:space="preserve">W2 Units of metered water </w:t>
            </w:r>
            <w:r w:rsidRPr="00197809">
              <w:br/>
              <w:t>consumed normalised by FTE</w:t>
            </w:r>
            <w:r>
              <w:rPr>
                <w:rStyle w:val="FootnoteReference"/>
              </w:rPr>
              <w:footnoteReference w:id="37"/>
            </w:r>
          </w:p>
        </w:tc>
        <w:tc>
          <w:tcPr>
            <w:cnfStyle w:val="000001000000" w:firstRow="0" w:lastRow="0" w:firstColumn="0" w:lastColumn="0" w:oddVBand="0" w:evenVBand="1" w:oddHBand="0" w:evenHBand="0" w:firstRowFirstColumn="0" w:firstRowLastColumn="0" w:lastRowFirstColumn="0" w:lastRowLastColumn="0"/>
            <w:tcW w:w="1701" w:type="dxa"/>
            <w:noWrap/>
          </w:tcPr>
          <w:p w14:paraId="41FDD1D2" w14:textId="77777777" w:rsidR="00AC3C57" w:rsidRPr="00C07FA4" w:rsidRDefault="00AC3C57" w:rsidP="00C07FA4">
            <w:pPr>
              <w:pStyle w:val="ARtabletextrightbold"/>
            </w:pPr>
            <w:r w:rsidRPr="00C07FA4">
              <w:t>47.3</w:t>
            </w:r>
          </w:p>
        </w:tc>
        <w:tc>
          <w:tcPr>
            <w:tcW w:w="1701" w:type="dxa"/>
            <w:noWrap/>
          </w:tcPr>
          <w:p w14:paraId="41673829" w14:textId="77777777" w:rsidR="00AC3C57" w:rsidRPr="00C07FA4" w:rsidRDefault="00AC3C57" w:rsidP="00C07FA4">
            <w:pPr>
              <w:pStyle w:val="ARtabletextrightbold"/>
              <w:cnfStyle w:val="010000000000" w:firstRow="0" w:lastRow="1" w:firstColumn="0" w:lastColumn="0" w:oddVBand="0" w:evenVBand="0" w:oddHBand="0" w:evenHBand="0" w:firstRowFirstColumn="0" w:firstRowLastColumn="0" w:lastRowFirstColumn="0" w:lastRowLastColumn="0"/>
            </w:pPr>
            <w:r w:rsidRPr="00C07FA4">
              <w:t>55.5</w:t>
            </w:r>
          </w:p>
        </w:tc>
        <w:tc>
          <w:tcPr>
            <w:cnfStyle w:val="000001000000" w:firstRow="0" w:lastRow="0" w:firstColumn="0" w:lastColumn="0" w:oddVBand="0" w:evenVBand="1" w:oddHBand="0" w:evenHBand="0" w:firstRowFirstColumn="0" w:firstRowLastColumn="0" w:lastRowFirstColumn="0" w:lastRowLastColumn="0"/>
            <w:tcW w:w="1701" w:type="dxa"/>
            <w:noWrap/>
          </w:tcPr>
          <w:p w14:paraId="2FE252B0" w14:textId="77777777" w:rsidR="00AC3C57" w:rsidRPr="00C07FA4" w:rsidRDefault="00AC3C57" w:rsidP="00C07FA4">
            <w:pPr>
              <w:pStyle w:val="ARtabletextrightbold"/>
            </w:pPr>
            <w:r w:rsidRPr="00C07FA4">
              <w:t>20.1</w:t>
            </w:r>
          </w:p>
        </w:tc>
      </w:tr>
    </w:tbl>
    <w:p w14:paraId="07D897A3" w14:textId="77777777" w:rsidR="00C07FA4" w:rsidRDefault="00C07FA4" w:rsidP="00C07FA4">
      <w:pPr>
        <w:pStyle w:val="ARbody"/>
      </w:pPr>
      <w:bookmarkStart w:id="243" w:name="_Ref178663942"/>
      <w:r>
        <w:br w:type="page"/>
      </w:r>
    </w:p>
    <w:p w14:paraId="27FD1C64" w14:textId="3FCF1EAD" w:rsidR="00AC3C57" w:rsidRPr="00EF27C8" w:rsidRDefault="00AC3C57">
      <w:pPr>
        <w:pStyle w:val="Heading3"/>
      </w:pPr>
      <w:r w:rsidRPr="00EF27C8">
        <w:lastRenderedPageBreak/>
        <w:t>Waste and recycling</w:t>
      </w:r>
      <w:bookmarkEnd w:id="243"/>
    </w:p>
    <w:p w14:paraId="3436E253" w14:textId="474DCFB4" w:rsidR="00AC3C57" w:rsidRPr="00A56AE1" w:rsidRDefault="00AC3C57">
      <w:pPr>
        <w:pStyle w:val="ARbody"/>
      </w:pPr>
      <w:r w:rsidRPr="00EF27C8">
        <w:t xml:space="preserve">Waste management and recycling are key priorities for the department. </w:t>
      </w:r>
      <w:r>
        <w:t xml:space="preserve">This includes removing </w:t>
      </w:r>
      <w:r w:rsidRPr="00EF27C8">
        <w:t>single-use plastics</w:t>
      </w:r>
      <w:r>
        <w:t>. It also includes</w:t>
      </w:r>
      <w:r w:rsidRPr="00EF27C8">
        <w:t xml:space="preserve"> maximising recycling and minimising waste sent to landfill. </w:t>
      </w:r>
      <w:r w:rsidRPr="00A56AE1">
        <w:t>The department does not currently collect data on waste disposal and recycling and associated scope 3 emissions from Housing</w:t>
      </w:r>
      <w:r w:rsidR="00B678EF">
        <w:t> </w:t>
      </w:r>
      <w:r w:rsidRPr="00A56AE1">
        <w:t>Services.</w:t>
      </w:r>
    </w:p>
    <w:p w14:paraId="38955442" w14:textId="77777777" w:rsidR="00AC3C57" w:rsidRPr="00560BB7" w:rsidRDefault="00AC3C57">
      <w:pPr>
        <w:pStyle w:val="ARtablecaption"/>
      </w:pPr>
      <w:r w:rsidRPr="00560BB7">
        <w:t>Total units of waste disposed</w:t>
      </w:r>
    </w:p>
    <w:tbl>
      <w:tblPr>
        <w:tblStyle w:val="TableGrid"/>
        <w:tblW w:w="9639" w:type="dxa"/>
        <w:tblLayout w:type="fixed"/>
        <w:tblLook w:val="06A0" w:firstRow="1" w:lastRow="0" w:firstColumn="1" w:lastColumn="0" w:noHBand="1" w:noVBand="1"/>
      </w:tblPr>
      <w:tblGrid>
        <w:gridCol w:w="2835"/>
        <w:gridCol w:w="1134"/>
        <w:gridCol w:w="1134"/>
        <w:gridCol w:w="1134"/>
        <w:gridCol w:w="1134"/>
        <w:gridCol w:w="1134"/>
        <w:gridCol w:w="1134"/>
      </w:tblGrid>
      <w:tr w:rsidR="00AC3C57" w:rsidRPr="008E2F75" w14:paraId="13454FFE" w14:textId="77777777">
        <w:trPr>
          <w:cnfStyle w:val="100000000000" w:firstRow="1" w:lastRow="0" w:firstColumn="0" w:lastColumn="0" w:oddVBand="0" w:evenVBand="0" w:oddHBand="0" w:evenHBand="0" w:firstRowFirstColumn="0" w:firstRowLastColumn="0" w:lastRowFirstColumn="0" w:lastRowLastColumn="0"/>
          <w:trHeight w:val="225"/>
          <w:tblHeader/>
        </w:trPr>
        <w:tc>
          <w:tcPr>
            <w:tcW w:w="2835" w:type="dxa"/>
            <w:tcBorders>
              <w:bottom w:val="single" w:sz="4" w:space="0" w:color="auto"/>
            </w:tcBorders>
          </w:tcPr>
          <w:p w14:paraId="53CE341A" w14:textId="77777777" w:rsidR="00AC3C57" w:rsidRPr="0058708B" w:rsidRDefault="00AC3C57">
            <w:pPr>
              <w:pStyle w:val="ARtablecolhead"/>
              <w:spacing w:before="30" w:after="20"/>
              <w:rPr>
                <w:i/>
              </w:rPr>
            </w:pPr>
            <w:r w:rsidRPr="0058708B">
              <w:t>Indicator</w:t>
            </w:r>
          </w:p>
        </w:tc>
        <w:tc>
          <w:tcPr>
            <w:tcW w:w="1134" w:type="dxa"/>
            <w:tcBorders>
              <w:bottom w:val="single" w:sz="4" w:space="0" w:color="auto"/>
            </w:tcBorders>
          </w:tcPr>
          <w:p w14:paraId="28B1B844" w14:textId="77777777" w:rsidR="00AC3C57" w:rsidRPr="0058708B" w:rsidRDefault="00AC3C57">
            <w:pPr>
              <w:pStyle w:val="ARtablecolheadright"/>
              <w:spacing w:before="30" w:after="20"/>
            </w:pPr>
            <w:r w:rsidRPr="0058708B">
              <w:t>2024–25</w:t>
            </w:r>
          </w:p>
          <w:p w14:paraId="44F6D4FB" w14:textId="77777777" w:rsidR="00AC3C57" w:rsidRPr="0058708B" w:rsidRDefault="00AC3C57">
            <w:pPr>
              <w:pStyle w:val="ARtablecolheadright"/>
              <w:spacing w:before="30" w:after="20"/>
              <w:rPr>
                <w:i/>
              </w:rPr>
            </w:pPr>
            <w:r w:rsidRPr="0058708B">
              <w:t>kg</w:t>
            </w:r>
          </w:p>
        </w:tc>
        <w:tc>
          <w:tcPr>
            <w:tcW w:w="1134" w:type="dxa"/>
            <w:tcBorders>
              <w:bottom w:val="single" w:sz="4" w:space="0" w:color="auto"/>
            </w:tcBorders>
          </w:tcPr>
          <w:p w14:paraId="4C557793" w14:textId="77777777" w:rsidR="00AC3C57" w:rsidRPr="0058708B" w:rsidRDefault="00AC3C57">
            <w:pPr>
              <w:pStyle w:val="ARtablecolheadright"/>
              <w:spacing w:before="30" w:after="20"/>
            </w:pPr>
            <w:r w:rsidRPr="0058708B">
              <w:t>2024–25</w:t>
            </w:r>
          </w:p>
          <w:p w14:paraId="05D92CCE" w14:textId="77777777" w:rsidR="00AC3C57" w:rsidRPr="0058708B" w:rsidRDefault="00AC3C57">
            <w:pPr>
              <w:pStyle w:val="ARtablecolheadright"/>
              <w:spacing w:before="30" w:after="20"/>
              <w:rPr>
                <w:i/>
              </w:rPr>
            </w:pPr>
            <w:r w:rsidRPr="0058708B">
              <w:t>%</w:t>
            </w:r>
          </w:p>
        </w:tc>
        <w:tc>
          <w:tcPr>
            <w:tcW w:w="1134" w:type="dxa"/>
            <w:tcBorders>
              <w:bottom w:val="single" w:sz="4" w:space="0" w:color="auto"/>
            </w:tcBorders>
          </w:tcPr>
          <w:p w14:paraId="77988B9C" w14:textId="77777777" w:rsidR="00AC3C57" w:rsidRPr="0058708B" w:rsidRDefault="00AC3C57">
            <w:pPr>
              <w:pStyle w:val="ARtablecolheadright"/>
              <w:spacing w:before="30" w:after="20"/>
            </w:pPr>
            <w:r w:rsidRPr="0058708B">
              <w:t>2023–24</w:t>
            </w:r>
          </w:p>
          <w:p w14:paraId="3230E964" w14:textId="77777777" w:rsidR="00AC3C57" w:rsidRPr="0058708B" w:rsidRDefault="00AC3C57">
            <w:pPr>
              <w:pStyle w:val="ARtablecolheadright"/>
              <w:spacing w:before="30" w:after="20"/>
              <w:rPr>
                <w:i/>
              </w:rPr>
            </w:pPr>
            <w:r w:rsidRPr="0058708B" w:rsidDel="009B7B01">
              <w:t>kg</w:t>
            </w:r>
          </w:p>
        </w:tc>
        <w:tc>
          <w:tcPr>
            <w:tcW w:w="1134" w:type="dxa"/>
            <w:tcBorders>
              <w:bottom w:val="single" w:sz="4" w:space="0" w:color="auto"/>
            </w:tcBorders>
          </w:tcPr>
          <w:p w14:paraId="197675C6" w14:textId="77777777" w:rsidR="00AC3C57" w:rsidRPr="0058708B" w:rsidRDefault="00AC3C57">
            <w:pPr>
              <w:pStyle w:val="ARtablecolheadright"/>
              <w:spacing w:before="30" w:after="20"/>
            </w:pPr>
            <w:r w:rsidRPr="0058708B">
              <w:t>2023–24</w:t>
            </w:r>
          </w:p>
          <w:p w14:paraId="7090FB9A" w14:textId="77777777" w:rsidR="00AC3C57" w:rsidRPr="0058708B" w:rsidRDefault="00AC3C57">
            <w:pPr>
              <w:pStyle w:val="ARtablecolheadright"/>
              <w:spacing w:before="30" w:after="20"/>
              <w:rPr>
                <w:i/>
              </w:rPr>
            </w:pPr>
            <w:r w:rsidRPr="0058708B" w:rsidDel="009B7B01">
              <w:t>%</w:t>
            </w:r>
          </w:p>
        </w:tc>
        <w:tc>
          <w:tcPr>
            <w:tcW w:w="1134" w:type="dxa"/>
            <w:tcBorders>
              <w:bottom w:val="single" w:sz="4" w:space="0" w:color="auto"/>
            </w:tcBorders>
          </w:tcPr>
          <w:p w14:paraId="05113883" w14:textId="77777777" w:rsidR="00AC3C57" w:rsidRPr="0058708B" w:rsidRDefault="00AC3C57">
            <w:pPr>
              <w:pStyle w:val="ARtablecolheadright"/>
              <w:spacing w:before="30" w:after="20"/>
            </w:pPr>
            <w:r w:rsidRPr="0058708B">
              <w:t>2022–23</w:t>
            </w:r>
          </w:p>
          <w:p w14:paraId="00B1ACEB" w14:textId="77777777" w:rsidR="00AC3C57" w:rsidRPr="0058708B" w:rsidRDefault="00AC3C57">
            <w:pPr>
              <w:pStyle w:val="ARtablecolheadright"/>
              <w:spacing w:before="30" w:after="20"/>
              <w:rPr>
                <w:i/>
              </w:rPr>
            </w:pPr>
            <w:r w:rsidRPr="0058708B" w:rsidDel="009B7B01">
              <w:t>kg</w:t>
            </w:r>
          </w:p>
        </w:tc>
        <w:tc>
          <w:tcPr>
            <w:tcW w:w="1134" w:type="dxa"/>
            <w:tcBorders>
              <w:bottom w:val="single" w:sz="4" w:space="0" w:color="auto"/>
            </w:tcBorders>
          </w:tcPr>
          <w:p w14:paraId="3B43771B" w14:textId="77777777" w:rsidR="00AC3C57" w:rsidRPr="0058708B" w:rsidRDefault="00AC3C57">
            <w:pPr>
              <w:pStyle w:val="ARtablecolheadright"/>
              <w:spacing w:before="30" w:after="20"/>
            </w:pPr>
            <w:r w:rsidRPr="0058708B">
              <w:t>2022–23</w:t>
            </w:r>
          </w:p>
          <w:p w14:paraId="263D2871" w14:textId="77777777" w:rsidR="00AC3C57" w:rsidRPr="0058708B" w:rsidRDefault="00AC3C57">
            <w:pPr>
              <w:pStyle w:val="ARtablecolheadright"/>
              <w:spacing w:before="30" w:after="20"/>
              <w:rPr>
                <w:i/>
              </w:rPr>
            </w:pPr>
            <w:r w:rsidRPr="0058708B" w:rsidDel="009B7B01">
              <w:t>%</w:t>
            </w:r>
          </w:p>
        </w:tc>
      </w:tr>
      <w:tr w:rsidR="00AC3C57" w:rsidRPr="008E2F75" w14:paraId="1FCC3E3E" w14:textId="77777777">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651A8E0D" w14:textId="77777777" w:rsidR="00AC3C57" w:rsidRPr="0058708B" w:rsidRDefault="00AC3C57">
            <w:pPr>
              <w:pStyle w:val="ARtabletextbold"/>
              <w:spacing w:before="30" w:after="20"/>
            </w:pPr>
            <w:r w:rsidRPr="0058708B">
              <w:t>Landfill general waste</w:t>
            </w:r>
          </w:p>
        </w:tc>
        <w:tc>
          <w:tcPr>
            <w:tcW w:w="1134" w:type="dxa"/>
            <w:tcBorders>
              <w:top w:val="single" w:sz="4" w:space="0" w:color="BFBFBF" w:themeColor="background1" w:themeShade="BF"/>
              <w:bottom w:val="single" w:sz="4" w:space="0" w:color="BFBFBF" w:themeColor="background1" w:themeShade="BF"/>
            </w:tcBorders>
          </w:tcPr>
          <w:p w14:paraId="46C86D34" w14:textId="77777777" w:rsidR="00AC3C57" w:rsidRPr="0058708B" w:rsidRDefault="00AC3C57">
            <w:pPr>
              <w:pStyle w:val="ARtabletextright"/>
              <w:spacing w:before="30" w:after="20"/>
            </w:pPr>
            <w:r w:rsidRPr="0058708B">
              <w:t>113,048.7</w:t>
            </w:r>
          </w:p>
        </w:tc>
        <w:tc>
          <w:tcPr>
            <w:tcW w:w="1134" w:type="dxa"/>
            <w:tcBorders>
              <w:top w:val="single" w:sz="4" w:space="0" w:color="BFBFBF" w:themeColor="background1" w:themeShade="BF"/>
              <w:bottom w:val="single" w:sz="4" w:space="0" w:color="BFBFBF" w:themeColor="background1" w:themeShade="BF"/>
            </w:tcBorders>
          </w:tcPr>
          <w:p w14:paraId="12122DA0" w14:textId="77777777" w:rsidR="00AC3C57" w:rsidRPr="0058708B" w:rsidRDefault="00AC3C57">
            <w:pPr>
              <w:pStyle w:val="ARtabletextright"/>
              <w:spacing w:before="30" w:after="20"/>
            </w:pPr>
            <w:r>
              <w:t>34</w:t>
            </w:r>
          </w:p>
        </w:tc>
        <w:tc>
          <w:tcPr>
            <w:tcW w:w="1134" w:type="dxa"/>
            <w:tcBorders>
              <w:top w:val="single" w:sz="4" w:space="0" w:color="BFBFBF" w:themeColor="background1" w:themeShade="BF"/>
              <w:bottom w:val="single" w:sz="4" w:space="0" w:color="BFBFBF" w:themeColor="background1" w:themeShade="BF"/>
            </w:tcBorders>
          </w:tcPr>
          <w:p w14:paraId="5E6CFC69" w14:textId="77777777" w:rsidR="00AC3C57" w:rsidRPr="0058708B" w:rsidRDefault="00AC3C57">
            <w:pPr>
              <w:pStyle w:val="ARtabletextright"/>
              <w:spacing w:before="30" w:after="20"/>
            </w:pPr>
            <w:r w:rsidRPr="0058708B">
              <w:t>89,265.0</w:t>
            </w:r>
          </w:p>
        </w:tc>
        <w:tc>
          <w:tcPr>
            <w:tcW w:w="1134" w:type="dxa"/>
            <w:tcBorders>
              <w:top w:val="single" w:sz="4" w:space="0" w:color="BFBFBF" w:themeColor="background1" w:themeShade="BF"/>
              <w:bottom w:val="single" w:sz="4" w:space="0" w:color="BFBFBF" w:themeColor="background1" w:themeShade="BF"/>
            </w:tcBorders>
          </w:tcPr>
          <w:p w14:paraId="161C2535" w14:textId="77777777" w:rsidR="00AC3C57" w:rsidRPr="0058708B" w:rsidRDefault="00AC3C57">
            <w:pPr>
              <w:pStyle w:val="ARtabletextright"/>
              <w:spacing w:before="30" w:after="20"/>
            </w:pPr>
            <w:r w:rsidRPr="0058708B">
              <w:t>23.5</w:t>
            </w:r>
          </w:p>
        </w:tc>
        <w:tc>
          <w:tcPr>
            <w:tcW w:w="1134" w:type="dxa"/>
            <w:tcBorders>
              <w:top w:val="single" w:sz="4" w:space="0" w:color="BFBFBF" w:themeColor="background1" w:themeShade="BF"/>
              <w:bottom w:val="single" w:sz="4" w:space="0" w:color="BFBFBF" w:themeColor="background1" w:themeShade="BF"/>
            </w:tcBorders>
          </w:tcPr>
          <w:p w14:paraId="50CC2CA8" w14:textId="77777777" w:rsidR="00AC3C57" w:rsidRPr="0058708B" w:rsidRDefault="00AC3C57">
            <w:pPr>
              <w:pStyle w:val="ARtabletextright"/>
              <w:spacing w:before="30" w:after="20"/>
            </w:pPr>
            <w:r w:rsidRPr="0058708B">
              <w:t>81,349.4</w:t>
            </w:r>
          </w:p>
        </w:tc>
        <w:tc>
          <w:tcPr>
            <w:tcW w:w="1134" w:type="dxa"/>
            <w:tcBorders>
              <w:top w:val="single" w:sz="4" w:space="0" w:color="BFBFBF" w:themeColor="background1" w:themeShade="BF"/>
              <w:bottom w:val="single" w:sz="4" w:space="0" w:color="BFBFBF" w:themeColor="background1" w:themeShade="BF"/>
            </w:tcBorders>
          </w:tcPr>
          <w:p w14:paraId="43DA1108" w14:textId="77777777" w:rsidR="00AC3C57" w:rsidRPr="0058708B" w:rsidRDefault="00AC3C57">
            <w:pPr>
              <w:pStyle w:val="ARtabletextright"/>
              <w:spacing w:before="30" w:after="20"/>
            </w:pPr>
            <w:r w:rsidRPr="0058708B">
              <w:t>59.2</w:t>
            </w:r>
          </w:p>
        </w:tc>
      </w:tr>
      <w:tr w:rsidR="00AC3C57" w:rsidRPr="008E2F75" w14:paraId="3CD1B847" w14:textId="77777777">
        <w:trPr>
          <w:cantSplit w:val="0"/>
          <w:trHeight w:val="225"/>
        </w:trPr>
        <w:tc>
          <w:tcPr>
            <w:tcW w:w="9639" w:type="dxa"/>
            <w:gridSpan w:val="7"/>
            <w:tcBorders>
              <w:top w:val="single" w:sz="4" w:space="0" w:color="BFBFBF" w:themeColor="background1" w:themeShade="BF"/>
              <w:bottom w:val="single" w:sz="4" w:space="0" w:color="BFBFBF" w:themeColor="background1" w:themeShade="BF"/>
            </w:tcBorders>
          </w:tcPr>
          <w:p w14:paraId="797C9E4C" w14:textId="77777777" w:rsidR="00AC3C57" w:rsidRPr="0058708B" w:rsidRDefault="00AC3C57">
            <w:pPr>
              <w:pStyle w:val="ARtabletextbold"/>
              <w:spacing w:before="30" w:after="20"/>
            </w:pPr>
            <w:r w:rsidRPr="0058708B">
              <w:t>Recycling/recovery (disposal)</w:t>
            </w:r>
          </w:p>
        </w:tc>
      </w:tr>
      <w:tr w:rsidR="00AC3C57" w:rsidRPr="008E2F75" w14:paraId="165070F4" w14:textId="77777777">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54976092" w14:textId="77777777" w:rsidR="00AC3C57" w:rsidRPr="0058708B" w:rsidRDefault="00AC3C57">
            <w:pPr>
              <w:pStyle w:val="ARtabletext"/>
              <w:spacing w:before="30" w:after="20"/>
            </w:pPr>
            <w:r w:rsidRPr="0058708B">
              <w:t>Commingled</w:t>
            </w:r>
          </w:p>
        </w:tc>
        <w:tc>
          <w:tcPr>
            <w:tcW w:w="1134" w:type="dxa"/>
            <w:tcBorders>
              <w:top w:val="single" w:sz="4" w:space="0" w:color="BFBFBF" w:themeColor="background1" w:themeShade="BF"/>
              <w:bottom w:val="single" w:sz="4" w:space="0" w:color="BFBFBF" w:themeColor="background1" w:themeShade="BF"/>
            </w:tcBorders>
          </w:tcPr>
          <w:p w14:paraId="4E60A6A4" w14:textId="77777777" w:rsidR="00AC3C57" w:rsidRPr="0058708B" w:rsidRDefault="00AC3C57">
            <w:pPr>
              <w:pStyle w:val="ARtabletextright"/>
              <w:spacing w:before="30" w:after="20"/>
            </w:pPr>
            <w:r w:rsidRPr="0058708B">
              <w:t>39731.1</w:t>
            </w:r>
          </w:p>
        </w:tc>
        <w:tc>
          <w:tcPr>
            <w:tcW w:w="1134" w:type="dxa"/>
            <w:tcBorders>
              <w:top w:val="single" w:sz="4" w:space="0" w:color="BFBFBF" w:themeColor="background1" w:themeShade="BF"/>
              <w:bottom w:val="single" w:sz="4" w:space="0" w:color="BFBFBF" w:themeColor="background1" w:themeShade="BF"/>
            </w:tcBorders>
          </w:tcPr>
          <w:p w14:paraId="6CE5C71B" w14:textId="77777777" w:rsidR="00AC3C57" w:rsidRPr="0058708B" w:rsidRDefault="00AC3C57">
            <w:pPr>
              <w:pStyle w:val="ARtabletextright"/>
              <w:spacing w:before="30" w:after="20"/>
            </w:pPr>
            <w:r>
              <w:t>12</w:t>
            </w:r>
          </w:p>
        </w:tc>
        <w:tc>
          <w:tcPr>
            <w:tcW w:w="1134" w:type="dxa"/>
            <w:tcBorders>
              <w:top w:val="single" w:sz="4" w:space="0" w:color="BFBFBF" w:themeColor="background1" w:themeShade="BF"/>
              <w:bottom w:val="single" w:sz="4" w:space="0" w:color="BFBFBF" w:themeColor="background1" w:themeShade="BF"/>
            </w:tcBorders>
          </w:tcPr>
          <w:p w14:paraId="4614355E" w14:textId="77777777" w:rsidR="00AC3C57" w:rsidRPr="0058708B" w:rsidRDefault="00AC3C57">
            <w:pPr>
              <w:pStyle w:val="ARtabletextright"/>
              <w:spacing w:before="30" w:after="20"/>
            </w:pPr>
            <w:r w:rsidRPr="0058708B">
              <w:t>8984.7</w:t>
            </w:r>
          </w:p>
        </w:tc>
        <w:tc>
          <w:tcPr>
            <w:tcW w:w="1134" w:type="dxa"/>
            <w:tcBorders>
              <w:top w:val="single" w:sz="4" w:space="0" w:color="BFBFBF" w:themeColor="background1" w:themeShade="BF"/>
              <w:bottom w:val="single" w:sz="4" w:space="0" w:color="BFBFBF" w:themeColor="background1" w:themeShade="BF"/>
            </w:tcBorders>
          </w:tcPr>
          <w:p w14:paraId="105039FB" w14:textId="77777777" w:rsidR="00AC3C57" w:rsidRPr="0058708B" w:rsidRDefault="00AC3C57">
            <w:pPr>
              <w:pStyle w:val="ARtabletextright"/>
              <w:spacing w:before="30" w:after="20"/>
            </w:pPr>
            <w:r w:rsidRPr="0058708B">
              <w:t>2.4</w:t>
            </w:r>
          </w:p>
        </w:tc>
        <w:tc>
          <w:tcPr>
            <w:tcW w:w="1134" w:type="dxa"/>
            <w:tcBorders>
              <w:top w:val="single" w:sz="4" w:space="0" w:color="BFBFBF" w:themeColor="background1" w:themeShade="BF"/>
              <w:bottom w:val="single" w:sz="4" w:space="0" w:color="BFBFBF" w:themeColor="background1" w:themeShade="BF"/>
            </w:tcBorders>
          </w:tcPr>
          <w:p w14:paraId="70CD1C0F" w14:textId="77777777" w:rsidR="00AC3C57" w:rsidRPr="0058708B" w:rsidRDefault="00AC3C57">
            <w:pPr>
              <w:pStyle w:val="ARtabletextright"/>
              <w:spacing w:before="30" w:after="20"/>
            </w:pPr>
            <w:r w:rsidRPr="0058708B">
              <w:t>6651.7</w:t>
            </w:r>
          </w:p>
        </w:tc>
        <w:tc>
          <w:tcPr>
            <w:tcW w:w="1134" w:type="dxa"/>
            <w:tcBorders>
              <w:top w:val="single" w:sz="4" w:space="0" w:color="BFBFBF" w:themeColor="background1" w:themeShade="BF"/>
              <w:bottom w:val="single" w:sz="4" w:space="0" w:color="BFBFBF" w:themeColor="background1" w:themeShade="BF"/>
            </w:tcBorders>
          </w:tcPr>
          <w:p w14:paraId="07BA6F67" w14:textId="77777777" w:rsidR="00AC3C57" w:rsidRPr="0058708B" w:rsidRDefault="00AC3C57">
            <w:pPr>
              <w:pStyle w:val="ARtabletextright"/>
              <w:spacing w:before="30" w:after="20"/>
            </w:pPr>
            <w:r w:rsidRPr="0058708B">
              <w:t>4.8</w:t>
            </w:r>
          </w:p>
        </w:tc>
      </w:tr>
      <w:tr w:rsidR="00AC3C57" w:rsidRPr="008E2F75" w14:paraId="49C7E2C9" w14:textId="77777777">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2709EC67" w14:textId="77777777" w:rsidR="00AC3C57" w:rsidRPr="0058708B" w:rsidRDefault="00AC3C57">
            <w:pPr>
              <w:pStyle w:val="ARtabletext"/>
              <w:spacing w:before="30" w:after="20"/>
              <w:rPr>
                <w:rFonts w:eastAsia="Calibri"/>
                <w:color w:val="000000" w:themeColor="text1"/>
              </w:rPr>
            </w:pPr>
            <w:r w:rsidRPr="0058708B">
              <w:t>Organics</w:t>
            </w:r>
          </w:p>
        </w:tc>
        <w:tc>
          <w:tcPr>
            <w:tcW w:w="1134" w:type="dxa"/>
            <w:tcBorders>
              <w:top w:val="single" w:sz="4" w:space="0" w:color="BFBFBF" w:themeColor="background1" w:themeShade="BF"/>
              <w:bottom w:val="single" w:sz="4" w:space="0" w:color="BFBFBF" w:themeColor="background1" w:themeShade="BF"/>
            </w:tcBorders>
          </w:tcPr>
          <w:p w14:paraId="42BEE1E4" w14:textId="77777777" w:rsidR="00AC3C57" w:rsidRPr="0058708B" w:rsidRDefault="00AC3C57">
            <w:pPr>
              <w:pStyle w:val="ARtabletextright"/>
              <w:spacing w:before="30" w:after="20"/>
            </w:pPr>
            <w:r>
              <w:t>1,333.1</w:t>
            </w:r>
          </w:p>
        </w:tc>
        <w:tc>
          <w:tcPr>
            <w:tcW w:w="1134" w:type="dxa"/>
            <w:tcBorders>
              <w:top w:val="single" w:sz="4" w:space="0" w:color="BFBFBF" w:themeColor="background1" w:themeShade="BF"/>
              <w:bottom w:val="single" w:sz="4" w:space="0" w:color="BFBFBF" w:themeColor="background1" w:themeShade="BF"/>
            </w:tcBorders>
          </w:tcPr>
          <w:p w14:paraId="2FECC3B1" w14:textId="77777777" w:rsidR="00AC3C57" w:rsidRPr="0058708B" w:rsidRDefault="00AC3C57">
            <w:pPr>
              <w:pStyle w:val="ARtabletextright"/>
              <w:spacing w:before="30" w:after="20"/>
            </w:pPr>
            <w:r>
              <w:t>0.4</w:t>
            </w:r>
          </w:p>
        </w:tc>
        <w:tc>
          <w:tcPr>
            <w:tcW w:w="1134" w:type="dxa"/>
            <w:tcBorders>
              <w:top w:val="single" w:sz="4" w:space="0" w:color="BFBFBF" w:themeColor="background1" w:themeShade="BF"/>
              <w:bottom w:val="single" w:sz="4" w:space="0" w:color="BFBFBF" w:themeColor="background1" w:themeShade="BF"/>
            </w:tcBorders>
          </w:tcPr>
          <w:p w14:paraId="291C2B4E" w14:textId="77777777" w:rsidR="00AC3C57" w:rsidRPr="0058708B" w:rsidRDefault="00AC3C57">
            <w:pPr>
              <w:pStyle w:val="ARtabletextright"/>
              <w:spacing w:before="30" w:after="20"/>
            </w:pPr>
            <w:r w:rsidRPr="0058708B">
              <w:t>1148.9</w:t>
            </w:r>
          </w:p>
        </w:tc>
        <w:tc>
          <w:tcPr>
            <w:tcW w:w="1134" w:type="dxa"/>
            <w:tcBorders>
              <w:top w:val="single" w:sz="4" w:space="0" w:color="BFBFBF" w:themeColor="background1" w:themeShade="BF"/>
              <w:bottom w:val="single" w:sz="4" w:space="0" w:color="BFBFBF" w:themeColor="background1" w:themeShade="BF"/>
            </w:tcBorders>
          </w:tcPr>
          <w:p w14:paraId="38B6062F" w14:textId="77777777" w:rsidR="00AC3C57" w:rsidRPr="0058708B" w:rsidRDefault="00AC3C57">
            <w:pPr>
              <w:pStyle w:val="ARtabletextright"/>
              <w:spacing w:before="30" w:after="20"/>
            </w:pPr>
            <w:r w:rsidRPr="0058708B">
              <w:t>0.3</w:t>
            </w:r>
          </w:p>
        </w:tc>
        <w:tc>
          <w:tcPr>
            <w:tcW w:w="1134" w:type="dxa"/>
            <w:tcBorders>
              <w:top w:val="single" w:sz="4" w:space="0" w:color="BFBFBF" w:themeColor="background1" w:themeShade="BF"/>
              <w:bottom w:val="single" w:sz="4" w:space="0" w:color="BFBFBF" w:themeColor="background1" w:themeShade="BF"/>
            </w:tcBorders>
          </w:tcPr>
          <w:p w14:paraId="3A18116A" w14:textId="77777777" w:rsidR="00AC3C57" w:rsidRPr="0058708B" w:rsidRDefault="00AC3C57">
            <w:pPr>
              <w:pStyle w:val="ARtabletextright"/>
              <w:spacing w:before="30" w:after="20"/>
            </w:pPr>
            <w:r w:rsidRPr="0058708B">
              <w:t>3483</w:t>
            </w:r>
          </w:p>
        </w:tc>
        <w:tc>
          <w:tcPr>
            <w:tcW w:w="1134" w:type="dxa"/>
            <w:tcBorders>
              <w:top w:val="single" w:sz="4" w:space="0" w:color="BFBFBF" w:themeColor="background1" w:themeShade="BF"/>
              <w:bottom w:val="single" w:sz="4" w:space="0" w:color="BFBFBF" w:themeColor="background1" w:themeShade="BF"/>
            </w:tcBorders>
          </w:tcPr>
          <w:p w14:paraId="4860EF44" w14:textId="77777777" w:rsidR="00AC3C57" w:rsidRPr="0058708B" w:rsidRDefault="00AC3C57">
            <w:pPr>
              <w:pStyle w:val="ARtabletextright"/>
              <w:spacing w:before="30" w:after="20"/>
            </w:pPr>
            <w:r w:rsidRPr="0058708B">
              <w:t>2.5</w:t>
            </w:r>
          </w:p>
        </w:tc>
      </w:tr>
      <w:tr w:rsidR="00AC3C57" w:rsidRPr="008E2F75" w14:paraId="0BF235A2" w14:textId="77777777">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1454261E" w14:textId="77777777" w:rsidR="00AC3C57" w:rsidRPr="0058708B" w:rsidRDefault="00AC3C57">
            <w:pPr>
              <w:pStyle w:val="ARtabletext"/>
              <w:spacing w:before="30" w:after="20"/>
              <w:rPr>
                <w:rFonts w:eastAsia="Calibri"/>
                <w:color w:val="000000" w:themeColor="text1"/>
              </w:rPr>
            </w:pPr>
            <w:r w:rsidRPr="0058708B">
              <w:t xml:space="preserve">Paper (confidential) </w:t>
            </w:r>
            <w:r w:rsidRPr="0058708B">
              <w:rPr>
                <w:rStyle w:val="FootnoteReference"/>
              </w:rPr>
              <w:footnoteReference w:id="38"/>
            </w:r>
          </w:p>
        </w:tc>
        <w:tc>
          <w:tcPr>
            <w:tcW w:w="1134" w:type="dxa"/>
            <w:tcBorders>
              <w:top w:val="single" w:sz="4" w:space="0" w:color="BFBFBF" w:themeColor="background1" w:themeShade="BF"/>
              <w:bottom w:val="single" w:sz="4" w:space="0" w:color="BFBFBF" w:themeColor="background1" w:themeShade="BF"/>
            </w:tcBorders>
          </w:tcPr>
          <w:p w14:paraId="7B47125B" w14:textId="77777777" w:rsidR="00AC3C57" w:rsidRPr="0058708B" w:rsidRDefault="00AC3C57">
            <w:pPr>
              <w:pStyle w:val="ARtabletextright"/>
              <w:spacing w:before="30" w:after="20"/>
            </w:pPr>
            <w:r>
              <w:t>139,538.9</w:t>
            </w:r>
          </w:p>
        </w:tc>
        <w:tc>
          <w:tcPr>
            <w:tcW w:w="1134" w:type="dxa"/>
            <w:tcBorders>
              <w:top w:val="single" w:sz="4" w:space="0" w:color="BFBFBF" w:themeColor="background1" w:themeShade="BF"/>
              <w:bottom w:val="single" w:sz="4" w:space="0" w:color="BFBFBF" w:themeColor="background1" w:themeShade="BF"/>
            </w:tcBorders>
          </w:tcPr>
          <w:p w14:paraId="70981582" w14:textId="77777777" w:rsidR="00AC3C57" w:rsidRPr="0058708B" w:rsidRDefault="00AC3C57">
            <w:pPr>
              <w:pStyle w:val="ARtabletextright"/>
              <w:spacing w:before="30" w:after="20"/>
            </w:pPr>
            <w:r>
              <w:t>42</w:t>
            </w:r>
          </w:p>
        </w:tc>
        <w:tc>
          <w:tcPr>
            <w:tcW w:w="1134" w:type="dxa"/>
            <w:tcBorders>
              <w:top w:val="single" w:sz="4" w:space="0" w:color="BFBFBF" w:themeColor="background1" w:themeShade="BF"/>
              <w:bottom w:val="single" w:sz="4" w:space="0" w:color="BFBFBF" w:themeColor="background1" w:themeShade="BF"/>
            </w:tcBorders>
          </w:tcPr>
          <w:p w14:paraId="157DFE29" w14:textId="77777777" w:rsidR="00AC3C57" w:rsidRPr="0058708B" w:rsidRDefault="00AC3C57">
            <w:pPr>
              <w:pStyle w:val="ARtabletextright"/>
              <w:spacing w:before="30" w:after="20"/>
            </w:pPr>
            <w:r w:rsidRPr="0058708B">
              <w:t>260,361</w:t>
            </w:r>
          </w:p>
        </w:tc>
        <w:tc>
          <w:tcPr>
            <w:tcW w:w="1134" w:type="dxa"/>
            <w:tcBorders>
              <w:top w:val="single" w:sz="4" w:space="0" w:color="BFBFBF" w:themeColor="background1" w:themeShade="BF"/>
              <w:bottom w:val="single" w:sz="4" w:space="0" w:color="BFBFBF" w:themeColor="background1" w:themeShade="BF"/>
            </w:tcBorders>
          </w:tcPr>
          <w:p w14:paraId="1D8C2DF5" w14:textId="77777777" w:rsidR="00AC3C57" w:rsidRPr="0058708B" w:rsidRDefault="00AC3C57">
            <w:pPr>
              <w:pStyle w:val="ARtabletextright"/>
              <w:spacing w:before="30" w:after="20"/>
            </w:pPr>
            <w:r w:rsidRPr="0058708B">
              <w:t>68.7</w:t>
            </w:r>
          </w:p>
        </w:tc>
        <w:tc>
          <w:tcPr>
            <w:tcW w:w="1134" w:type="dxa"/>
            <w:tcBorders>
              <w:top w:val="single" w:sz="4" w:space="0" w:color="BFBFBF" w:themeColor="background1" w:themeShade="BF"/>
              <w:bottom w:val="single" w:sz="4" w:space="0" w:color="BFBFBF" w:themeColor="background1" w:themeShade="BF"/>
            </w:tcBorders>
          </w:tcPr>
          <w:p w14:paraId="25CBD949" w14:textId="77777777" w:rsidR="00AC3C57" w:rsidRPr="0058708B" w:rsidRDefault="00AC3C57">
            <w:pPr>
              <w:pStyle w:val="ARtabletextright"/>
              <w:spacing w:before="30" w:after="20"/>
            </w:pPr>
            <w:r w:rsidRPr="0058708B">
              <w:t>40,777.4</w:t>
            </w:r>
          </w:p>
        </w:tc>
        <w:tc>
          <w:tcPr>
            <w:tcW w:w="1134" w:type="dxa"/>
            <w:tcBorders>
              <w:top w:val="single" w:sz="4" w:space="0" w:color="BFBFBF" w:themeColor="background1" w:themeShade="BF"/>
              <w:bottom w:val="single" w:sz="4" w:space="0" w:color="BFBFBF" w:themeColor="background1" w:themeShade="BF"/>
            </w:tcBorders>
          </w:tcPr>
          <w:p w14:paraId="185B91B9" w14:textId="77777777" w:rsidR="00AC3C57" w:rsidRPr="0058708B" w:rsidRDefault="00AC3C57">
            <w:pPr>
              <w:pStyle w:val="ARtabletextright"/>
              <w:spacing w:before="30" w:after="20"/>
            </w:pPr>
            <w:r w:rsidRPr="0058708B">
              <w:t>29.7</w:t>
            </w:r>
          </w:p>
        </w:tc>
      </w:tr>
      <w:tr w:rsidR="00AC3C57" w:rsidRPr="008E2F75" w14:paraId="552A6612" w14:textId="77777777">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66005001" w14:textId="77777777" w:rsidR="00AC3C57" w:rsidRPr="0058708B" w:rsidRDefault="00AC3C57">
            <w:pPr>
              <w:pStyle w:val="ARtabletext"/>
              <w:spacing w:before="30" w:after="20"/>
            </w:pPr>
            <w:r w:rsidRPr="0058708B">
              <w:t>Paper (recycling)</w:t>
            </w:r>
          </w:p>
        </w:tc>
        <w:tc>
          <w:tcPr>
            <w:tcW w:w="1134" w:type="dxa"/>
            <w:tcBorders>
              <w:top w:val="single" w:sz="4" w:space="0" w:color="BFBFBF" w:themeColor="background1" w:themeShade="BF"/>
              <w:bottom w:val="single" w:sz="4" w:space="0" w:color="BFBFBF" w:themeColor="background1" w:themeShade="BF"/>
            </w:tcBorders>
          </w:tcPr>
          <w:p w14:paraId="350A337F" w14:textId="77777777" w:rsidR="00AC3C57" w:rsidRPr="0058708B" w:rsidRDefault="00AC3C57">
            <w:pPr>
              <w:pStyle w:val="ARtabletextright"/>
              <w:spacing w:before="30" w:after="20"/>
            </w:pPr>
            <w:r>
              <w:t>38,790.9</w:t>
            </w:r>
          </w:p>
        </w:tc>
        <w:tc>
          <w:tcPr>
            <w:tcW w:w="1134" w:type="dxa"/>
            <w:tcBorders>
              <w:top w:val="single" w:sz="4" w:space="0" w:color="BFBFBF" w:themeColor="background1" w:themeShade="BF"/>
              <w:bottom w:val="single" w:sz="4" w:space="0" w:color="BFBFBF" w:themeColor="background1" w:themeShade="BF"/>
            </w:tcBorders>
          </w:tcPr>
          <w:p w14:paraId="63664FA6" w14:textId="77777777" w:rsidR="00AC3C57" w:rsidRPr="0058708B" w:rsidRDefault="00AC3C57">
            <w:pPr>
              <w:pStyle w:val="ARtabletextright"/>
              <w:spacing w:before="30" w:after="20"/>
            </w:pPr>
            <w:r>
              <w:t>11.7</w:t>
            </w:r>
          </w:p>
        </w:tc>
        <w:tc>
          <w:tcPr>
            <w:tcW w:w="1134" w:type="dxa"/>
            <w:tcBorders>
              <w:top w:val="single" w:sz="4" w:space="0" w:color="BFBFBF" w:themeColor="background1" w:themeShade="BF"/>
              <w:bottom w:val="single" w:sz="4" w:space="0" w:color="BFBFBF" w:themeColor="background1" w:themeShade="BF"/>
            </w:tcBorders>
          </w:tcPr>
          <w:p w14:paraId="670A7C34" w14:textId="77777777" w:rsidR="00AC3C57" w:rsidRPr="0058708B" w:rsidRDefault="00AC3C57">
            <w:pPr>
              <w:pStyle w:val="ARtabletextright"/>
              <w:spacing w:before="30" w:after="20"/>
            </w:pPr>
            <w:r w:rsidRPr="0058708B">
              <w:t>19,372.5</w:t>
            </w:r>
          </w:p>
        </w:tc>
        <w:tc>
          <w:tcPr>
            <w:tcW w:w="1134" w:type="dxa"/>
            <w:tcBorders>
              <w:top w:val="single" w:sz="4" w:space="0" w:color="BFBFBF" w:themeColor="background1" w:themeShade="BF"/>
              <w:bottom w:val="single" w:sz="4" w:space="0" w:color="BFBFBF" w:themeColor="background1" w:themeShade="BF"/>
            </w:tcBorders>
          </w:tcPr>
          <w:p w14:paraId="184BBC1F" w14:textId="77777777" w:rsidR="00AC3C57" w:rsidRPr="0058708B" w:rsidRDefault="00AC3C57">
            <w:pPr>
              <w:pStyle w:val="ARtabletextright"/>
              <w:spacing w:before="30" w:after="20"/>
            </w:pPr>
            <w:r w:rsidRPr="0058708B">
              <w:t>5.1</w:t>
            </w:r>
          </w:p>
        </w:tc>
        <w:tc>
          <w:tcPr>
            <w:tcW w:w="1134" w:type="dxa"/>
            <w:tcBorders>
              <w:top w:val="single" w:sz="4" w:space="0" w:color="BFBFBF" w:themeColor="background1" w:themeShade="BF"/>
              <w:bottom w:val="single" w:sz="4" w:space="0" w:color="BFBFBF" w:themeColor="background1" w:themeShade="BF"/>
            </w:tcBorders>
          </w:tcPr>
          <w:p w14:paraId="2C7CB3F3" w14:textId="77777777" w:rsidR="00AC3C57" w:rsidRPr="0058708B" w:rsidRDefault="00AC3C57">
            <w:pPr>
              <w:pStyle w:val="ARtabletextright"/>
              <w:spacing w:before="30" w:after="20"/>
            </w:pPr>
            <w:r w:rsidRPr="0058708B">
              <w:t>4,442.7</w:t>
            </w:r>
          </w:p>
        </w:tc>
        <w:tc>
          <w:tcPr>
            <w:tcW w:w="1134" w:type="dxa"/>
            <w:tcBorders>
              <w:top w:val="single" w:sz="4" w:space="0" w:color="BFBFBF" w:themeColor="background1" w:themeShade="BF"/>
              <w:bottom w:val="single" w:sz="4" w:space="0" w:color="BFBFBF" w:themeColor="background1" w:themeShade="BF"/>
            </w:tcBorders>
          </w:tcPr>
          <w:p w14:paraId="47103E14" w14:textId="77777777" w:rsidR="00AC3C57" w:rsidRPr="0058708B" w:rsidRDefault="00AC3C57">
            <w:pPr>
              <w:pStyle w:val="ARtabletextright"/>
              <w:spacing w:before="30" w:after="20"/>
            </w:pPr>
            <w:r w:rsidRPr="0058708B">
              <w:t>3.2</w:t>
            </w:r>
          </w:p>
        </w:tc>
      </w:tr>
      <w:tr w:rsidR="00AC3C57" w:rsidRPr="008E2F75" w14:paraId="6D11D79A" w14:textId="77777777">
        <w:trPr>
          <w:cantSplit w:val="0"/>
          <w:trHeight w:val="240"/>
        </w:trPr>
        <w:tc>
          <w:tcPr>
            <w:tcW w:w="2835" w:type="dxa"/>
            <w:tcBorders>
              <w:top w:val="single" w:sz="4" w:space="0" w:color="BFBFBF" w:themeColor="background1" w:themeShade="BF"/>
            </w:tcBorders>
          </w:tcPr>
          <w:p w14:paraId="569AB474" w14:textId="77777777" w:rsidR="00AC3C57" w:rsidRPr="0058708B" w:rsidRDefault="00AC3C57">
            <w:pPr>
              <w:pStyle w:val="ARtabletext"/>
              <w:spacing w:before="30" w:after="20"/>
            </w:pPr>
            <w:r w:rsidRPr="0058708B">
              <w:t xml:space="preserve">Toners and print cartridges </w:t>
            </w:r>
            <w:r w:rsidRPr="0058708B">
              <w:rPr>
                <w:rStyle w:val="FootnoteReference"/>
              </w:rPr>
              <w:footnoteReference w:id="39"/>
            </w:r>
          </w:p>
        </w:tc>
        <w:tc>
          <w:tcPr>
            <w:tcW w:w="1134" w:type="dxa"/>
            <w:tcBorders>
              <w:top w:val="single" w:sz="4" w:space="0" w:color="BFBFBF" w:themeColor="background1" w:themeShade="BF"/>
            </w:tcBorders>
          </w:tcPr>
          <w:p w14:paraId="08099FE9" w14:textId="77777777" w:rsidR="00AC3C57" w:rsidRPr="0058708B" w:rsidRDefault="00AC3C57">
            <w:pPr>
              <w:pStyle w:val="ARtabletextright"/>
              <w:spacing w:before="30" w:after="20"/>
            </w:pPr>
            <w:r w:rsidRPr="0058708B">
              <w:t>–</w:t>
            </w:r>
          </w:p>
        </w:tc>
        <w:tc>
          <w:tcPr>
            <w:tcW w:w="1134" w:type="dxa"/>
            <w:tcBorders>
              <w:top w:val="single" w:sz="4" w:space="0" w:color="BFBFBF" w:themeColor="background1" w:themeShade="BF"/>
            </w:tcBorders>
          </w:tcPr>
          <w:p w14:paraId="744851FB" w14:textId="77777777" w:rsidR="00AC3C57" w:rsidRPr="0058708B" w:rsidRDefault="00AC3C57">
            <w:pPr>
              <w:pStyle w:val="ARtabletextright"/>
              <w:spacing w:before="30" w:after="20"/>
            </w:pPr>
            <w:r w:rsidRPr="0058708B">
              <w:t>–</w:t>
            </w:r>
          </w:p>
        </w:tc>
        <w:tc>
          <w:tcPr>
            <w:tcW w:w="1134" w:type="dxa"/>
            <w:tcBorders>
              <w:top w:val="single" w:sz="4" w:space="0" w:color="BFBFBF" w:themeColor="background1" w:themeShade="BF"/>
            </w:tcBorders>
          </w:tcPr>
          <w:p w14:paraId="157E0E0F" w14:textId="77777777" w:rsidR="00AC3C57" w:rsidRPr="0058708B" w:rsidRDefault="00AC3C57">
            <w:pPr>
              <w:pStyle w:val="ARtabletextright"/>
              <w:spacing w:before="30" w:after="20"/>
            </w:pPr>
            <w:r w:rsidRPr="0058708B">
              <w:t>–</w:t>
            </w:r>
          </w:p>
        </w:tc>
        <w:tc>
          <w:tcPr>
            <w:tcW w:w="1134" w:type="dxa"/>
            <w:tcBorders>
              <w:top w:val="single" w:sz="4" w:space="0" w:color="BFBFBF" w:themeColor="background1" w:themeShade="BF"/>
            </w:tcBorders>
          </w:tcPr>
          <w:p w14:paraId="1FEE234D" w14:textId="77777777" w:rsidR="00AC3C57" w:rsidRPr="0058708B" w:rsidRDefault="00AC3C57">
            <w:pPr>
              <w:pStyle w:val="ARtabletextright"/>
              <w:spacing w:before="30" w:after="20"/>
            </w:pPr>
            <w:r w:rsidRPr="0058708B">
              <w:t>–</w:t>
            </w:r>
          </w:p>
        </w:tc>
        <w:tc>
          <w:tcPr>
            <w:tcW w:w="1134" w:type="dxa"/>
            <w:tcBorders>
              <w:top w:val="single" w:sz="4" w:space="0" w:color="BFBFBF" w:themeColor="background1" w:themeShade="BF"/>
            </w:tcBorders>
          </w:tcPr>
          <w:p w14:paraId="0DCD1040" w14:textId="77777777" w:rsidR="00AC3C57" w:rsidRPr="0058708B" w:rsidRDefault="00AC3C57">
            <w:pPr>
              <w:pStyle w:val="ARtabletextright"/>
              <w:spacing w:before="30" w:after="20"/>
            </w:pPr>
            <w:r w:rsidRPr="0058708B">
              <w:t>611.3</w:t>
            </w:r>
          </w:p>
        </w:tc>
        <w:tc>
          <w:tcPr>
            <w:tcW w:w="1134" w:type="dxa"/>
            <w:tcBorders>
              <w:top w:val="single" w:sz="4" w:space="0" w:color="BFBFBF" w:themeColor="background1" w:themeShade="BF"/>
            </w:tcBorders>
          </w:tcPr>
          <w:p w14:paraId="0EF52179" w14:textId="77777777" w:rsidR="00AC3C57" w:rsidRPr="0058708B" w:rsidRDefault="00AC3C57">
            <w:pPr>
              <w:pStyle w:val="ARtabletextright"/>
              <w:spacing w:before="30" w:after="20"/>
            </w:pPr>
            <w:r w:rsidRPr="0058708B">
              <w:t>0.5</w:t>
            </w:r>
          </w:p>
        </w:tc>
      </w:tr>
      <w:tr w:rsidR="00AC3C57" w:rsidRPr="008E2F75" w14:paraId="27162E88" w14:textId="77777777">
        <w:trPr>
          <w:cantSplit w:val="0"/>
          <w:trHeight w:val="225"/>
        </w:trPr>
        <w:tc>
          <w:tcPr>
            <w:tcW w:w="2835" w:type="dxa"/>
            <w:tcBorders>
              <w:bottom w:val="single" w:sz="4" w:space="0" w:color="auto"/>
            </w:tcBorders>
          </w:tcPr>
          <w:p w14:paraId="60891512" w14:textId="77777777" w:rsidR="00AC3C57" w:rsidRPr="0058708B" w:rsidRDefault="00AC3C57">
            <w:pPr>
              <w:pStyle w:val="ARtabletextbold"/>
              <w:spacing w:before="30" w:after="20"/>
            </w:pPr>
            <w:r w:rsidRPr="0058708B">
              <w:t xml:space="preserve">WR1 Total units </w:t>
            </w:r>
            <w:r w:rsidRPr="0058708B">
              <w:br/>
              <w:t>of waste disposed</w:t>
            </w:r>
          </w:p>
        </w:tc>
        <w:tc>
          <w:tcPr>
            <w:tcW w:w="1134" w:type="dxa"/>
            <w:tcBorders>
              <w:bottom w:val="single" w:sz="4" w:space="0" w:color="auto"/>
            </w:tcBorders>
          </w:tcPr>
          <w:p w14:paraId="05FA4390" w14:textId="77777777" w:rsidR="00AC3C57" w:rsidRPr="00C07FA4" w:rsidRDefault="00AC3C57" w:rsidP="00C07FA4">
            <w:pPr>
              <w:pStyle w:val="ARtabletextrightbold"/>
            </w:pPr>
            <w:r w:rsidRPr="00C07FA4">
              <w:t>332,442.4</w:t>
            </w:r>
          </w:p>
        </w:tc>
        <w:tc>
          <w:tcPr>
            <w:tcW w:w="1134" w:type="dxa"/>
            <w:tcBorders>
              <w:bottom w:val="single" w:sz="4" w:space="0" w:color="auto"/>
            </w:tcBorders>
          </w:tcPr>
          <w:p w14:paraId="6CFE8DA1" w14:textId="77777777" w:rsidR="00AC3C57" w:rsidRPr="00C07FA4" w:rsidRDefault="00AC3C57" w:rsidP="00C07FA4">
            <w:pPr>
              <w:pStyle w:val="ARtabletextrightbold"/>
            </w:pPr>
          </w:p>
        </w:tc>
        <w:tc>
          <w:tcPr>
            <w:tcW w:w="1134" w:type="dxa"/>
            <w:tcBorders>
              <w:bottom w:val="single" w:sz="4" w:space="0" w:color="auto"/>
            </w:tcBorders>
          </w:tcPr>
          <w:p w14:paraId="7C8C3AAB" w14:textId="77777777" w:rsidR="00AC3C57" w:rsidRPr="00C07FA4" w:rsidRDefault="00AC3C57" w:rsidP="00C07FA4">
            <w:pPr>
              <w:pStyle w:val="ARtabletextrightbold"/>
            </w:pPr>
            <w:r w:rsidRPr="00C07FA4">
              <w:t>379,132.1</w:t>
            </w:r>
          </w:p>
        </w:tc>
        <w:tc>
          <w:tcPr>
            <w:tcW w:w="1134" w:type="dxa"/>
            <w:tcBorders>
              <w:bottom w:val="single" w:sz="4" w:space="0" w:color="auto"/>
            </w:tcBorders>
          </w:tcPr>
          <w:p w14:paraId="2AB3A297" w14:textId="77777777" w:rsidR="00AC3C57" w:rsidRPr="00C07FA4" w:rsidRDefault="00AC3C57" w:rsidP="00C07FA4">
            <w:pPr>
              <w:pStyle w:val="ARtabletextrightbold"/>
            </w:pPr>
          </w:p>
        </w:tc>
        <w:tc>
          <w:tcPr>
            <w:tcW w:w="1134" w:type="dxa"/>
            <w:tcBorders>
              <w:bottom w:val="single" w:sz="4" w:space="0" w:color="auto"/>
            </w:tcBorders>
          </w:tcPr>
          <w:p w14:paraId="4871470F" w14:textId="77777777" w:rsidR="00AC3C57" w:rsidRPr="00C07FA4" w:rsidRDefault="00AC3C57" w:rsidP="00C07FA4">
            <w:pPr>
              <w:pStyle w:val="ARtabletextrightbold"/>
            </w:pPr>
            <w:r w:rsidRPr="00C07FA4">
              <w:t>137,338.9</w:t>
            </w:r>
          </w:p>
        </w:tc>
        <w:tc>
          <w:tcPr>
            <w:tcW w:w="1134" w:type="dxa"/>
            <w:tcBorders>
              <w:bottom w:val="single" w:sz="4" w:space="0" w:color="auto"/>
            </w:tcBorders>
          </w:tcPr>
          <w:p w14:paraId="3CBFD9E0" w14:textId="77777777" w:rsidR="00AC3C57" w:rsidRPr="00C07FA4" w:rsidRDefault="00AC3C57" w:rsidP="00C07FA4">
            <w:pPr>
              <w:pStyle w:val="ARtabletextrightbold"/>
            </w:pPr>
          </w:p>
        </w:tc>
      </w:tr>
    </w:tbl>
    <w:p w14:paraId="1903EE2D" w14:textId="77777777" w:rsidR="00AC3C57" w:rsidRPr="00486C84" w:rsidRDefault="00AC3C57">
      <w:pPr>
        <w:pStyle w:val="ARtablecaption"/>
      </w:pPr>
      <w:r w:rsidRPr="00486C84">
        <w:t xml:space="preserve">Percentage of office sites </w:t>
      </w:r>
      <w:r>
        <w:t>that</w:t>
      </w:r>
      <w:r w:rsidRPr="00486C84">
        <w:t xml:space="preserve"> are covered by dedicated collection services</w:t>
      </w:r>
    </w:p>
    <w:tbl>
      <w:tblPr>
        <w:tblStyle w:val="TableGrid"/>
        <w:tblW w:w="9639" w:type="dxa"/>
        <w:tblLayout w:type="fixed"/>
        <w:tblLook w:val="06A0" w:firstRow="1" w:lastRow="0" w:firstColumn="1" w:lastColumn="0" w:noHBand="1" w:noVBand="1"/>
      </w:tblPr>
      <w:tblGrid>
        <w:gridCol w:w="4536"/>
        <w:gridCol w:w="1701"/>
        <w:gridCol w:w="1701"/>
        <w:gridCol w:w="1701"/>
      </w:tblGrid>
      <w:tr w:rsidR="00AC3C57" w:rsidRPr="008E2F75" w14:paraId="1CB9AEB5" w14:textId="77777777">
        <w:trPr>
          <w:cnfStyle w:val="100000000000" w:firstRow="1" w:lastRow="0" w:firstColumn="0" w:lastColumn="0" w:oddVBand="0" w:evenVBand="0" w:oddHBand="0" w:evenHBand="0" w:firstRowFirstColumn="0" w:firstRowLastColumn="0" w:lastRowFirstColumn="0" w:lastRowLastColumn="0"/>
          <w:trHeight w:val="225"/>
          <w:tblHeader/>
        </w:trPr>
        <w:tc>
          <w:tcPr>
            <w:tcW w:w="4536" w:type="dxa"/>
            <w:tcBorders>
              <w:bottom w:val="single" w:sz="4" w:space="0" w:color="auto"/>
            </w:tcBorders>
          </w:tcPr>
          <w:p w14:paraId="46D4F4DC" w14:textId="77777777" w:rsidR="00AC3C57" w:rsidRPr="00555579" w:rsidRDefault="00AC3C57">
            <w:pPr>
              <w:pStyle w:val="ARtablecolhead"/>
              <w:spacing w:before="30" w:after="20"/>
              <w:rPr>
                <w:i/>
              </w:rPr>
            </w:pPr>
            <w:r w:rsidRPr="00555579">
              <w:t>Waste type</w:t>
            </w:r>
          </w:p>
        </w:tc>
        <w:tc>
          <w:tcPr>
            <w:tcW w:w="1701" w:type="dxa"/>
            <w:tcBorders>
              <w:bottom w:val="single" w:sz="4" w:space="0" w:color="auto"/>
            </w:tcBorders>
          </w:tcPr>
          <w:p w14:paraId="72C284D2" w14:textId="77777777" w:rsidR="00AC3C57" w:rsidRPr="00486C84" w:rsidRDefault="00AC3C57">
            <w:pPr>
              <w:pStyle w:val="ARtablecolheadright"/>
              <w:spacing w:before="30" w:after="20"/>
            </w:pPr>
            <w:r w:rsidRPr="00486C84">
              <w:t>2024–25</w:t>
            </w:r>
          </w:p>
          <w:p w14:paraId="2B6E5185" w14:textId="77777777" w:rsidR="00AC3C57" w:rsidRPr="00486C84" w:rsidRDefault="00AC3C57">
            <w:pPr>
              <w:pStyle w:val="ARtablecolheadright"/>
              <w:spacing w:before="30" w:after="20"/>
              <w:rPr>
                <w:i/>
              </w:rPr>
            </w:pPr>
            <w:r w:rsidRPr="00486C84">
              <w:t>%</w:t>
            </w:r>
          </w:p>
        </w:tc>
        <w:tc>
          <w:tcPr>
            <w:tcW w:w="1701" w:type="dxa"/>
            <w:tcBorders>
              <w:bottom w:val="single" w:sz="4" w:space="0" w:color="auto"/>
            </w:tcBorders>
          </w:tcPr>
          <w:p w14:paraId="423A1E14" w14:textId="77777777" w:rsidR="00AC3C57" w:rsidRPr="00486C84" w:rsidRDefault="00AC3C57">
            <w:pPr>
              <w:pStyle w:val="ARtablecolheadright"/>
              <w:spacing w:before="30" w:after="20"/>
            </w:pPr>
            <w:r w:rsidRPr="00486C84">
              <w:t>2023–24</w:t>
            </w:r>
          </w:p>
          <w:p w14:paraId="4AA0B909" w14:textId="77777777" w:rsidR="00AC3C57" w:rsidRPr="00486C84" w:rsidRDefault="00AC3C57">
            <w:pPr>
              <w:pStyle w:val="ARtablecolheadright"/>
              <w:spacing w:before="30" w:after="20"/>
              <w:rPr>
                <w:i/>
              </w:rPr>
            </w:pPr>
            <w:r w:rsidRPr="00486C84" w:rsidDel="00B96BEF">
              <w:t>%</w:t>
            </w:r>
          </w:p>
        </w:tc>
        <w:tc>
          <w:tcPr>
            <w:tcW w:w="1701" w:type="dxa"/>
            <w:tcBorders>
              <w:bottom w:val="single" w:sz="4" w:space="0" w:color="auto"/>
            </w:tcBorders>
          </w:tcPr>
          <w:p w14:paraId="12E76AF5" w14:textId="77777777" w:rsidR="00AC3C57" w:rsidRPr="00486C84" w:rsidRDefault="00AC3C57">
            <w:pPr>
              <w:pStyle w:val="ARtablecolheadright"/>
              <w:spacing w:before="30" w:after="20"/>
            </w:pPr>
            <w:r w:rsidRPr="00486C84">
              <w:t>2022–23</w:t>
            </w:r>
          </w:p>
          <w:p w14:paraId="52FF06EE" w14:textId="77777777" w:rsidR="00AC3C57" w:rsidRPr="00486C84" w:rsidRDefault="00AC3C57">
            <w:pPr>
              <w:pStyle w:val="ARtablecolheadright"/>
              <w:spacing w:before="30" w:after="20"/>
              <w:rPr>
                <w:i/>
              </w:rPr>
            </w:pPr>
            <w:r w:rsidRPr="00486C84" w:rsidDel="00B96BEF">
              <w:t>%</w:t>
            </w:r>
          </w:p>
        </w:tc>
      </w:tr>
      <w:tr w:rsidR="00AC3C57" w:rsidRPr="008E2F75" w14:paraId="7E6006DA" w14:textId="77777777">
        <w:trPr>
          <w:cantSplit w:val="0"/>
          <w:trHeight w:val="225"/>
        </w:trPr>
        <w:tc>
          <w:tcPr>
            <w:tcW w:w="4536" w:type="dxa"/>
            <w:tcBorders>
              <w:top w:val="single" w:sz="4" w:space="0" w:color="BFBFBF"/>
              <w:bottom w:val="single" w:sz="4" w:space="0" w:color="BFBFBF"/>
            </w:tcBorders>
          </w:tcPr>
          <w:p w14:paraId="1A700BDB" w14:textId="77777777" w:rsidR="00AC3C57" w:rsidRPr="00555579" w:rsidRDefault="00AC3C57">
            <w:pPr>
              <w:pStyle w:val="ARtabletext"/>
              <w:spacing w:before="30" w:after="20"/>
            </w:pPr>
            <w:r w:rsidRPr="00555579">
              <w:t>Printer cartridges</w:t>
            </w:r>
          </w:p>
        </w:tc>
        <w:tc>
          <w:tcPr>
            <w:tcW w:w="1701" w:type="dxa"/>
            <w:tcBorders>
              <w:top w:val="single" w:sz="4" w:space="0" w:color="BFBFBF"/>
              <w:bottom w:val="single" w:sz="4" w:space="0" w:color="BFBFBF"/>
            </w:tcBorders>
          </w:tcPr>
          <w:p w14:paraId="57838994" w14:textId="77777777" w:rsidR="00AC3C57" w:rsidRPr="008E2F75" w:rsidRDefault="00AC3C57">
            <w:pPr>
              <w:pStyle w:val="ARtabletextright"/>
              <w:spacing w:before="30" w:after="20"/>
              <w:rPr>
                <w:highlight w:val="cyan"/>
              </w:rPr>
            </w:pPr>
            <w:r w:rsidRPr="00053337">
              <w:t>100</w:t>
            </w:r>
          </w:p>
        </w:tc>
        <w:tc>
          <w:tcPr>
            <w:tcW w:w="1701" w:type="dxa"/>
            <w:tcBorders>
              <w:top w:val="single" w:sz="4" w:space="0" w:color="BFBFBF"/>
              <w:bottom w:val="single" w:sz="4" w:space="0" w:color="BFBFBF"/>
            </w:tcBorders>
          </w:tcPr>
          <w:p w14:paraId="6C41D55E" w14:textId="77777777" w:rsidR="00AC3C57" w:rsidRPr="00053337" w:rsidRDefault="00AC3C57">
            <w:pPr>
              <w:pStyle w:val="ARtabletextright"/>
              <w:spacing w:before="30" w:after="20"/>
            </w:pPr>
            <w:r w:rsidRPr="00053337">
              <w:t>100</w:t>
            </w:r>
          </w:p>
        </w:tc>
        <w:tc>
          <w:tcPr>
            <w:tcW w:w="1701" w:type="dxa"/>
            <w:tcBorders>
              <w:top w:val="single" w:sz="4" w:space="0" w:color="BFBFBF"/>
              <w:bottom w:val="single" w:sz="4" w:space="0" w:color="BFBFBF"/>
            </w:tcBorders>
          </w:tcPr>
          <w:p w14:paraId="34A378DA" w14:textId="77777777" w:rsidR="00AC3C57" w:rsidRPr="00053337" w:rsidRDefault="00AC3C57">
            <w:pPr>
              <w:pStyle w:val="ARtabletextright"/>
              <w:spacing w:before="30" w:after="20"/>
            </w:pPr>
            <w:r w:rsidRPr="00053337">
              <w:t>100</w:t>
            </w:r>
          </w:p>
        </w:tc>
      </w:tr>
      <w:tr w:rsidR="00AC3C57" w:rsidRPr="008E2F75" w14:paraId="4722B683" w14:textId="77777777">
        <w:trPr>
          <w:cantSplit w:val="0"/>
          <w:trHeight w:val="225"/>
        </w:trPr>
        <w:tc>
          <w:tcPr>
            <w:tcW w:w="4536" w:type="dxa"/>
            <w:tcBorders>
              <w:top w:val="single" w:sz="4" w:space="0" w:color="BFBFBF"/>
              <w:bottom w:val="single" w:sz="4" w:space="0" w:color="BFBFBF"/>
            </w:tcBorders>
          </w:tcPr>
          <w:p w14:paraId="44F3DA39" w14:textId="77777777" w:rsidR="00AC3C57" w:rsidRPr="00555579" w:rsidRDefault="00AC3C57">
            <w:pPr>
              <w:pStyle w:val="ARtabletext"/>
              <w:spacing w:before="30" w:after="20"/>
            </w:pPr>
            <w:r w:rsidRPr="00555579">
              <w:t>Batteries</w:t>
            </w:r>
          </w:p>
        </w:tc>
        <w:tc>
          <w:tcPr>
            <w:tcW w:w="1701" w:type="dxa"/>
            <w:tcBorders>
              <w:top w:val="single" w:sz="4" w:space="0" w:color="BFBFBF"/>
              <w:bottom w:val="single" w:sz="4" w:space="0" w:color="BFBFBF"/>
            </w:tcBorders>
          </w:tcPr>
          <w:p w14:paraId="5A078E74" w14:textId="77777777" w:rsidR="00AC3C57" w:rsidRPr="008E2F75" w:rsidRDefault="00AC3C57">
            <w:pPr>
              <w:pStyle w:val="ARtabletextright"/>
              <w:spacing w:before="30" w:after="20"/>
              <w:rPr>
                <w:highlight w:val="cyan"/>
              </w:rPr>
            </w:pPr>
            <w:r w:rsidRPr="00053337">
              <w:t>0</w:t>
            </w:r>
          </w:p>
        </w:tc>
        <w:tc>
          <w:tcPr>
            <w:tcW w:w="1701" w:type="dxa"/>
            <w:tcBorders>
              <w:top w:val="single" w:sz="4" w:space="0" w:color="BFBFBF"/>
              <w:bottom w:val="single" w:sz="4" w:space="0" w:color="BFBFBF"/>
            </w:tcBorders>
          </w:tcPr>
          <w:p w14:paraId="6EF0D87F" w14:textId="77777777" w:rsidR="00AC3C57" w:rsidRPr="00053337" w:rsidRDefault="00AC3C57">
            <w:pPr>
              <w:pStyle w:val="ARtabletextright"/>
              <w:spacing w:before="30" w:after="20"/>
            </w:pPr>
            <w:r w:rsidRPr="00053337">
              <w:t>0</w:t>
            </w:r>
          </w:p>
        </w:tc>
        <w:tc>
          <w:tcPr>
            <w:tcW w:w="1701" w:type="dxa"/>
            <w:tcBorders>
              <w:top w:val="single" w:sz="4" w:space="0" w:color="BFBFBF"/>
              <w:bottom w:val="single" w:sz="4" w:space="0" w:color="BFBFBF"/>
            </w:tcBorders>
          </w:tcPr>
          <w:p w14:paraId="28AE709B" w14:textId="77777777" w:rsidR="00AC3C57" w:rsidRPr="00053337" w:rsidRDefault="00AC3C57">
            <w:pPr>
              <w:pStyle w:val="ARtabletextright"/>
              <w:spacing w:before="30" w:after="20"/>
            </w:pPr>
            <w:r w:rsidRPr="00053337">
              <w:t>0</w:t>
            </w:r>
          </w:p>
        </w:tc>
      </w:tr>
      <w:tr w:rsidR="00AC3C57" w:rsidRPr="008E2F75" w14:paraId="3FB7E34A" w14:textId="77777777">
        <w:trPr>
          <w:cantSplit w:val="0"/>
          <w:trHeight w:val="225"/>
        </w:trPr>
        <w:tc>
          <w:tcPr>
            <w:tcW w:w="4536" w:type="dxa"/>
            <w:tcBorders>
              <w:top w:val="single" w:sz="4" w:space="0" w:color="BFBFBF"/>
              <w:bottom w:val="single" w:sz="4" w:space="0" w:color="BFBFBF"/>
            </w:tcBorders>
          </w:tcPr>
          <w:p w14:paraId="19C08F04" w14:textId="77777777" w:rsidR="00AC3C57" w:rsidRPr="00555579" w:rsidRDefault="00AC3C57">
            <w:pPr>
              <w:pStyle w:val="ARtabletext"/>
              <w:spacing w:before="30" w:after="20"/>
            </w:pPr>
            <w:r w:rsidRPr="00555579">
              <w:t xml:space="preserve">E-waste </w:t>
            </w:r>
            <w:r w:rsidRPr="00555579">
              <w:rPr>
                <w:rStyle w:val="FootnoteReference"/>
              </w:rPr>
              <w:footnoteReference w:id="40"/>
            </w:r>
          </w:p>
        </w:tc>
        <w:tc>
          <w:tcPr>
            <w:tcW w:w="1701" w:type="dxa"/>
            <w:tcBorders>
              <w:top w:val="single" w:sz="4" w:space="0" w:color="BFBFBF"/>
              <w:bottom w:val="single" w:sz="4" w:space="0" w:color="BFBFBF"/>
            </w:tcBorders>
          </w:tcPr>
          <w:p w14:paraId="0B3B549D" w14:textId="77777777" w:rsidR="00AC3C57" w:rsidRPr="008E2F75" w:rsidRDefault="00AC3C57">
            <w:pPr>
              <w:pStyle w:val="ARtabletextright"/>
              <w:spacing w:before="30" w:after="20"/>
              <w:rPr>
                <w:highlight w:val="cyan"/>
              </w:rPr>
            </w:pPr>
            <w:r w:rsidRPr="00053337">
              <w:t>100</w:t>
            </w:r>
          </w:p>
        </w:tc>
        <w:tc>
          <w:tcPr>
            <w:tcW w:w="1701" w:type="dxa"/>
            <w:tcBorders>
              <w:top w:val="single" w:sz="4" w:space="0" w:color="BFBFBF"/>
              <w:bottom w:val="single" w:sz="4" w:space="0" w:color="BFBFBF"/>
            </w:tcBorders>
          </w:tcPr>
          <w:p w14:paraId="7E29BB6F" w14:textId="77777777" w:rsidR="00AC3C57" w:rsidRPr="00053337" w:rsidRDefault="00AC3C57">
            <w:pPr>
              <w:pStyle w:val="ARtabletextright"/>
              <w:spacing w:before="30" w:after="20"/>
            </w:pPr>
            <w:r w:rsidRPr="00053337">
              <w:t>100</w:t>
            </w:r>
          </w:p>
        </w:tc>
        <w:tc>
          <w:tcPr>
            <w:tcW w:w="1701" w:type="dxa"/>
            <w:tcBorders>
              <w:top w:val="single" w:sz="4" w:space="0" w:color="BFBFBF"/>
              <w:bottom w:val="single" w:sz="4" w:space="0" w:color="BFBFBF"/>
            </w:tcBorders>
          </w:tcPr>
          <w:p w14:paraId="22089E91" w14:textId="77777777" w:rsidR="00AC3C57" w:rsidRPr="00053337" w:rsidRDefault="00AC3C57">
            <w:pPr>
              <w:pStyle w:val="ARtabletextright"/>
              <w:spacing w:before="30" w:after="20"/>
            </w:pPr>
            <w:r w:rsidRPr="00053337">
              <w:t>100</w:t>
            </w:r>
          </w:p>
        </w:tc>
      </w:tr>
      <w:tr w:rsidR="00AC3C57" w:rsidRPr="008E2F75" w14:paraId="148ACC4A" w14:textId="77777777">
        <w:trPr>
          <w:cantSplit w:val="0"/>
          <w:trHeight w:val="240"/>
        </w:trPr>
        <w:tc>
          <w:tcPr>
            <w:tcW w:w="4536" w:type="dxa"/>
            <w:tcBorders>
              <w:top w:val="single" w:sz="4" w:space="0" w:color="BFBFBF"/>
            </w:tcBorders>
          </w:tcPr>
          <w:p w14:paraId="0C9753B8" w14:textId="77777777" w:rsidR="00AC3C57" w:rsidRPr="00555579" w:rsidRDefault="00AC3C57">
            <w:pPr>
              <w:pStyle w:val="ARtabletext"/>
              <w:spacing w:before="30" w:after="20"/>
            </w:pPr>
            <w:r w:rsidRPr="00555579">
              <w:t>Soft plastics</w:t>
            </w:r>
          </w:p>
        </w:tc>
        <w:tc>
          <w:tcPr>
            <w:tcW w:w="1701" w:type="dxa"/>
            <w:tcBorders>
              <w:top w:val="single" w:sz="4" w:space="0" w:color="BFBFBF"/>
            </w:tcBorders>
          </w:tcPr>
          <w:p w14:paraId="24737869" w14:textId="77777777" w:rsidR="00AC3C57" w:rsidRPr="008E2F75" w:rsidRDefault="00AC3C57">
            <w:pPr>
              <w:pStyle w:val="ARtabletextright"/>
              <w:spacing w:before="30" w:after="20"/>
              <w:rPr>
                <w:highlight w:val="cyan"/>
              </w:rPr>
            </w:pPr>
            <w:r w:rsidRPr="00053337">
              <w:t>0</w:t>
            </w:r>
          </w:p>
        </w:tc>
        <w:tc>
          <w:tcPr>
            <w:tcW w:w="1701" w:type="dxa"/>
            <w:tcBorders>
              <w:top w:val="single" w:sz="4" w:space="0" w:color="BFBFBF"/>
            </w:tcBorders>
          </w:tcPr>
          <w:p w14:paraId="7CDF2151" w14:textId="77777777" w:rsidR="00AC3C57" w:rsidRPr="00053337" w:rsidRDefault="00AC3C57">
            <w:pPr>
              <w:pStyle w:val="ARtabletextright"/>
              <w:spacing w:before="30" w:after="20"/>
            </w:pPr>
            <w:r w:rsidRPr="00053337">
              <w:t>0</w:t>
            </w:r>
          </w:p>
        </w:tc>
        <w:tc>
          <w:tcPr>
            <w:tcW w:w="1701" w:type="dxa"/>
            <w:tcBorders>
              <w:top w:val="single" w:sz="4" w:space="0" w:color="BFBFBF"/>
            </w:tcBorders>
          </w:tcPr>
          <w:p w14:paraId="170E2414" w14:textId="77777777" w:rsidR="00AC3C57" w:rsidRPr="00053337" w:rsidRDefault="00AC3C57">
            <w:pPr>
              <w:pStyle w:val="ARtabletextright"/>
              <w:spacing w:before="30" w:after="20"/>
            </w:pPr>
            <w:r w:rsidRPr="00053337">
              <w:t>0</w:t>
            </w:r>
          </w:p>
        </w:tc>
      </w:tr>
    </w:tbl>
    <w:p w14:paraId="2BCBEF20" w14:textId="77777777" w:rsidR="00AC3C57" w:rsidRPr="00AE2DC3" w:rsidRDefault="00AC3C57">
      <w:pPr>
        <w:pStyle w:val="ARtablecaption"/>
      </w:pPr>
      <w:r w:rsidRPr="00AE2DC3">
        <w:t>Total units of waste disposed of normalised by FTE</w:t>
      </w:r>
    </w:p>
    <w:tbl>
      <w:tblPr>
        <w:tblStyle w:val="TableGrid"/>
        <w:tblW w:w="9639" w:type="dxa"/>
        <w:tblLook w:val="06A0" w:firstRow="1" w:lastRow="0" w:firstColumn="1" w:lastColumn="0" w:noHBand="1" w:noVBand="1"/>
      </w:tblPr>
      <w:tblGrid>
        <w:gridCol w:w="4544"/>
        <w:gridCol w:w="1709"/>
        <w:gridCol w:w="1709"/>
        <w:gridCol w:w="1709"/>
      </w:tblGrid>
      <w:tr w:rsidR="00AC3C57" w:rsidRPr="008E2F75" w14:paraId="60154AA1"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49A179F6" w14:textId="77777777" w:rsidR="00AC3C57" w:rsidRPr="00AE2DC3" w:rsidRDefault="00AC3C57">
            <w:pPr>
              <w:pStyle w:val="ARtablecolhead"/>
              <w:spacing w:before="30" w:after="20"/>
            </w:pPr>
          </w:p>
        </w:tc>
        <w:tc>
          <w:tcPr>
            <w:tcW w:w="1701" w:type="dxa"/>
            <w:tcBorders>
              <w:bottom w:val="single" w:sz="4" w:space="0" w:color="auto"/>
            </w:tcBorders>
            <w:noWrap/>
          </w:tcPr>
          <w:p w14:paraId="52D0BC51" w14:textId="77777777" w:rsidR="00AC3C57" w:rsidRPr="00AE2DC3" w:rsidRDefault="00AC3C57">
            <w:pPr>
              <w:pStyle w:val="ARtablecolheadright"/>
              <w:spacing w:before="30" w:after="20"/>
            </w:pPr>
            <w:r w:rsidRPr="00AE2DC3">
              <w:t>2024–25</w:t>
            </w:r>
          </w:p>
          <w:p w14:paraId="2CD5431F" w14:textId="77777777" w:rsidR="00AC3C57" w:rsidRPr="00AE2DC3" w:rsidRDefault="00AC3C57">
            <w:pPr>
              <w:pStyle w:val="ARtablecolheadright"/>
              <w:spacing w:before="30" w:after="20"/>
            </w:pPr>
            <w:r w:rsidRPr="00AE2DC3">
              <w:t>kg/FTE</w:t>
            </w:r>
          </w:p>
        </w:tc>
        <w:tc>
          <w:tcPr>
            <w:tcW w:w="1701" w:type="dxa"/>
            <w:tcBorders>
              <w:bottom w:val="single" w:sz="4" w:space="0" w:color="auto"/>
            </w:tcBorders>
            <w:noWrap/>
          </w:tcPr>
          <w:p w14:paraId="0C7CD1FC" w14:textId="77777777" w:rsidR="00AC3C57" w:rsidRPr="00053337" w:rsidRDefault="00AC3C57">
            <w:pPr>
              <w:pStyle w:val="ARtablecolheadright"/>
              <w:spacing w:before="30" w:after="20"/>
            </w:pPr>
            <w:r w:rsidRPr="00053337">
              <w:t>2023–24</w:t>
            </w:r>
          </w:p>
          <w:p w14:paraId="2B905C3B" w14:textId="77777777" w:rsidR="00AC3C57" w:rsidRPr="00053337" w:rsidRDefault="00AC3C57">
            <w:pPr>
              <w:pStyle w:val="ARtablecolheadright"/>
              <w:spacing w:before="30" w:after="20"/>
            </w:pPr>
            <w:r w:rsidRPr="00053337" w:rsidDel="004926DF">
              <w:t>kg/FTE</w:t>
            </w:r>
          </w:p>
        </w:tc>
        <w:tc>
          <w:tcPr>
            <w:tcW w:w="1701" w:type="dxa"/>
            <w:tcBorders>
              <w:bottom w:val="single" w:sz="4" w:space="0" w:color="auto"/>
            </w:tcBorders>
            <w:noWrap/>
          </w:tcPr>
          <w:p w14:paraId="5C2F194D" w14:textId="77777777" w:rsidR="00AC3C57" w:rsidRPr="00053337" w:rsidRDefault="00AC3C57">
            <w:pPr>
              <w:pStyle w:val="ARtablecolheadright"/>
              <w:spacing w:before="30" w:after="20"/>
            </w:pPr>
            <w:r w:rsidRPr="00053337">
              <w:t>2022–23</w:t>
            </w:r>
          </w:p>
          <w:p w14:paraId="15EA7EF5" w14:textId="77777777" w:rsidR="00AC3C57" w:rsidRPr="00053337" w:rsidRDefault="00AC3C57">
            <w:pPr>
              <w:pStyle w:val="ARtablecolheadright"/>
              <w:spacing w:before="30" w:after="20"/>
            </w:pPr>
            <w:r w:rsidRPr="00053337" w:rsidDel="004926DF">
              <w:t>kg/FTE</w:t>
            </w:r>
          </w:p>
        </w:tc>
      </w:tr>
      <w:tr w:rsidR="00AC3C57" w:rsidRPr="008E2F75" w14:paraId="42976139" w14:textId="77777777">
        <w:trPr>
          <w:trHeight w:val="288"/>
        </w:trPr>
        <w:tc>
          <w:tcPr>
            <w:tcW w:w="4536" w:type="dxa"/>
            <w:tcBorders>
              <w:top w:val="single" w:sz="4" w:space="0" w:color="000000"/>
              <w:bottom w:val="single" w:sz="4" w:space="0" w:color="000000"/>
            </w:tcBorders>
            <w:noWrap/>
          </w:tcPr>
          <w:p w14:paraId="2BDCE339" w14:textId="77777777" w:rsidR="00AC3C57" w:rsidRPr="00026084" w:rsidRDefault="00AC3C57">
            <w:pPr>
              <w:pStyle w:val="ARtabletextbold"/>
              <w:spacing w:before="30" w:after="20"/>
            </w:pPr>
            <w:r w:rsidRPr="00026084">
              <w:t xml:space="preserve">WR3 Total units of waste </w:t>
            </w:r>
            <w:r w:rsidRPr="00026084">
              <w:br/>
              <w:t>disposed of normalised by FTE</w:t>
            </w:r>
            <w:r>
              <w:rPr>
                <w:rStyle w:val="FootnoteReference"/>
              </w:rPr>
              <w:footnoteReference w:id="41"/>
            </w:r>
          </w:p>
        </w:tc>
        <w:tc>
          <w:tcPr>
            <w:tcW w:w="1701" w:type="dxa"/>
            <w:tcBorders>
              <w:top w:val="single" w:sz="4" w:space="0" w:color="000000"/>
              <w:bottom w:val="single" w:sz="4" w:space="0" w:color="000000"/>
            </w:tcBorders>
            <w:noWrap/>
          </w:tcPr>
          <w:p w14:paraId="5405C84A" w14:textId="77777777" w:rsidR="00AC3C57" w:rsidRPr="00026084" w:rsidRDefault="00AC3C57" w:rsidP="00C07FA4">
            <w:pPr>
              <w:pStyle w:val="ARtabletextrightbold"/>
            </w:pPr>
            <w:r>
              <w:t>47</w:t>
            </w:r>
          </w:p>
        </w:tc>
        <w:tc>
          <w:tcPr>
            <w:tcW w:w="1701" w:type="dxa"/>
            <w:tcBorders>
              <w:top w:val="single" w:sz="4" w:space="0" w:color="000000"/>
              <w:bottom w:val="single" w:sz="4" w:space="0" w:color="000000"/>
            </w:tcBorders>
            <w:noWrap/>
          </w:tcPr>
          <w:p w14:paraId="7CE19CC4" w14:textId="77777777" w:rsidR="00AC3C57" w:rsidRPr="00026084" w:rsidRDefault="00AC3C57" w:rsidP="00C07FA4">
            <w:pPr>
              <w:pStyle w:val="ARtabletextrightbold"/>
            </w:pPr>
            <w:r>
              <w:t>55</w:t>
            </w:r>
          </w:p>
        </w:tc>
        <w:tc>
          <w:tcPr>
            <w:tcW w:w="1701" w:type="dxa"/>
            <w:tcBorders>
              <w:top w:val="single" w:sz="4" w:space="0" w:color="000000"/>
              <w:bottom w:val="single" w:sz="4" w:space="0" w:color="000000"/>
            </w:tcBorders>
            <w:noWrap/>
          </w:tcPr>
          <w:p w14:paraId="7647FBE4" w14:textId="77777777" w:rsidR="00AC3C57" w:rsidRPr="00053337" w:rsidRDefault="00AC3C57" w:rsidP="00C07FA4">
            <w:pPr>
              <w:pStyle w:val="ARtabletextrightbold"/>
            </w:pPr>
            <w:r>
              <w:t>20</w:t>
            </w:r>
          </w:p>
        </w:tc>
      </w:tr>
    </w:tbl>
    <w:p w14:paraId="4479AA3D" w14:textId="77777777" w:rsidR="00AC3C57" w:rsidRPr="00AE2DC3" w:rsidRDefault="00AC3C57">
      <w:pPr>
        <w:pStyle w:val="ARtablecaption"/>
      </w:pPr>
      <w:r w:rsidRPr="00AE2DC3">
        <w:t>Recycling rate</w:t>
      </w:r>
    </w:p>
    <w:tbl>
      <w:tblPr>
        <w:tblStyle w:val="TableGrid"/>
        <w:tblW w:w="9634" w:type="dxa"/>
        <w:tblLook w:val="06A0" w:firstRow="1" w:lastRow="0" w:firstColumn="1" w:lastColumn="0" w:noHBand="1" w:noVBand="1"/>
      </w:tblPr>
      <w:tblGrid>
        <w:gridCol w:w="4544"/>
        <w:gridCol w:w="1881"/>
        <w:gridCol w:w="1709"/>
        <w:gridCol w:w="1532"/>
      </w:tblGrid>
      <w:tr w:rsidR="00AC3C57" w:rsidRPr="008E2F75" w14:paraId="469B9E05"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0A84BA88" w14:textId="77777777" w:rsidR="00AC3C57" w:rsidRPr="00AE2DC3" w:rsidRDefault="00AC3C57">
            <w:pPr>
              <w:pStyle w:val="ARtablecolhead"/>
              <w:spacing w:before="30" w:after="20"/>
            </w:pPr>
          </w:p>
        </w:tc>
        <w:tc>
          <w:tcPr>
            <w:tcW w:w="1873" w:type="dxa"/>
            <w:tcBorders>
              <w:bottom w:val="single" w:sz="4" w:space="0" w:color="auto"/>
            </w:tcBorders>
            <w:noWrap/>
          </w:tcPr>
          <w:p w14:paraId="20F4BB1D" w14:textId="77777777" w:rsidR="00AC3C57" w:rsidRPr="00555579" w:rsidRDefault="00AC3C57">
            <w:pPr>
              <w:pStyle w:val="ARtablecolheadright"/>
              <w:spacing w:before="30" w:after="20"/>
            </w:pPr>
            <w:r w:rsidRPr="00D7631D">
              <w:t>2024–25</w:t>
            </w:r>
          </w:p>
          <w:p w14:paraId="67BB1ADA" w14:textId="77777777" w:rsidR="00AC3C57" w:rsidRPr="00555579" w:rsidRDefault="00AC3C57">
            <w:pPr>
              <w:pStyle w:val="ARtablecolheadright"/>
              <w:spacing w:before="30" w:after="20"/>
            </w:pPr>
            <w:r w:rsidRPr="00555579">
              <w:t>%</w:t>
            </w:r>
          </w:p>
        </w:tc>
        <w:tc>
          <w:tcPr>
            <w:tcW w:w="1701" w:type="dxa"/>
            <w:tcBorders>
              <w:bottom w:val="single" w:sz="4" w:space="0" w:color="auto"/>
            </w:tcBorders>
            <w:noWrap/>
          </w:tcPr>
          <w:p w14:paraId="10021CCD" w14:textId="77777777" w:rsidR="00AC3C57" w:rsidRPr="00555579" w:rsidRDefault="00AC3C57">
            <w:pPr>
              <w:pStyle w:val="ARtablecolheadright"/>
              <w:spacing w:before="30" w:after="20"/>
            </w:pPr>
            <w:r w:rsidRPr="00555579">
              <w:t>2023–24</w:t>
            </w:r>
          </w:p>
          <w:p w14:paraId="3C17A4C3" w14:textId="77777777" w:rsidR="00AC3C57" w:rsidRPr="00555579" w:rsidRDefault="00AC3C57">
            <w:pPr>
              <w:pStyle w:val="ARtablecolheadright"/>
              <w:spacing w:before="30" w:after="20"/>
            </w:pPr>
            <w:r w:rsidRPr="00555579" w:rsidDel="004E1465">
              <w:t>%</w:t>
            </w:r>
          </w:p>
        </w:tc>
        <w:tc>
          <w:tcPr>
            <w:tcW w:w="1524" w:type="dxa"/>
            <w:tcBorders>
              <w:bottom w:val="single" w:sz="4" w:space="0" w:color="auto"/>
            </w:tcBorders>
            <w:noWrap/>
          </w:tcPr>
          <w:p w14:paraId="7218A0D5" w14:textId="77777777" w:rsidR="00AC3C57" w:rsidRPr="00555579" w:rsidRDefault="00AC3C57">
            <w:pPr>
              <w:pStyle w:val="ARtablecolheadright"/>
              <w:spacing w:before="30" w:after="20"/>
            </w:pPr>
            <w:r w:rsidRPr="00555579">
              <w:t>2022–23</w:t>
            </w:r>
          </w:p>
          <w:p w14:paraId="35DEFCF9" w14:textId="77777777" w:rsidR="00AC3C57" w:rsidRPr="00555579" w:rsidRDefault="00AC3C57">
            <w:pPr>
              <w:pStyle w:val="ARtablecolheadright"/>
              <w:spacing w:before="30" w:after="20"/>
            </w:pPr>
            <w:r w:rsidRPr="00555579" w:rsidDel="004E1465">
              <w:t>%</w:t>
            </w:r>
          </w:p>
        </w:tc>
      </w:tr>
      <w:tr w:rsidR="00AC3C57" w:rsidRPr="008E2F75" w14:paraId="279EDBAE" w14:textId="77777777">
        <w:trPr>
          <w:trHeight w:val="288"/>
        </w:trPr>
        <w:tc>
          <w:tcPr>
            <w:tcW w:w="4536" w:type="dxa"/>
            <w:tcBorders>
              <w:top w:val="single" w:sz="4" w:space="0" w:color="000000" w:themeColor="text1"/>
              <w:bottom w:val="single" w:sz="4" w:space="0" w:color="000000" w:themeColor="text1"/>
            </w:tcBorders>
            <w:noWrap/>
          </w:tcPr>
          <w:p w14:paraId="5B09FD2E" w14:textId="77777777" w:rsidR="00AC3C57" w:rsidRPr="00555579" w:rsidRDefault="00AC3C57">
            <w:pPr>
              <w:pStyle w:val="ARtabletextbold"/>
              <w:spacing w:before="30" w:after="20"/>
            </w:pPr>
            <w:r w:rsidRPr="00555579">
              <w:t>WR4 Recycling rate</w:t>
            </w:r>
          </w:p>
        </w:tc>
        <w:tc>
          <w:tcPr>
            <w:tcW w:w="1873" w:type="dxa"/>
            <w:tcBorders>
              <w:top w:val="single" w:sz="4" w:space="0" w:color="000000" w:themeColor="text1"/>
              <w:bottom w:val="single" w:sz="4" w:space="0" w:color="000000" w:themeColor="text1"/>
            </w:tcBorders>
            <w:noWrap/>
          </w:tcPr>
          <w:p w14:paraId="2942C5F9" w14:textId="77777777" w:rsidR="00AC3C57" w:rsidRPr="00555579" w:rsidRDefault="00AC3C57" w:rsidP="00C07FA4">
            <w:pPr>
              <w:pStyle w:val="ARtabletextrightbold"/>
            </w:pPr>
            <w:r w:rsidRPr="007C4BB2">
              <w:t>66</w:t>
            </w:r>
          </w:p>
        </w:tc>
        <w:tc>
          <w:tcPr>
            <w:tcW w:w="1701" w:type="dxa"/>
            <w:tcBorders>
              <w:top w:val="single" w:sz="4" w:space="0" w:color="000000" w:themeColor="text1"/>
              <w:bottom w:val="single" w:sz="4" w:space="0" w:color="000000" w:themeColor="text1"/>
            </w:tcBorders>
            <w:noWrap/>
          </w:tcPr>
          <w:p w14:paraId="01B1A964" w14:textId="77777777" w:rsidR="00AC3C57" w:rsidRPr="00555579" w:rsidRDefault="00AC3C57" w:rsidP="00C07FA4">
            <w:pPr>
              <w:pStyle w:val="ARtabletextrightbold"/>
            </w:pPr>
            <w:r w:rsidRPr="00555579">
              <w:t>76.5</w:t>
            </w:r>
          </w:p>
        </w:tc>
        <w:tc>
          <w:tcPr>
            <w:tcW w:w="1524" w:type="dxa"/>
            <w:tcBorders>
              <w:top w:val="single" w:sz="4" w:space="0" w:color="000000" w:themeColor="text1"/>
              <w:bottom w:val="single" w:sz="4" w:space="0" w:color="000000" w:themeColor="text1"/>
            </w:tcBorders>
            <w:noWrap/>
          </w:tcPr>
          <w:p w14:paraId="17BC2331" w14:textId="77777777" w:rsidR="00AC3C57" w:rsidRPr="00053337" w:rsidRDefault="00AC3C57" w:rsidP="00C07FA4">
            <w:pPr>
              <w:pStyle w:val="ARtabletextrightbold"/>
            </w:pPr>
            <w:r w:rsidRPr="00555579">
              <w:t>40.8</w:t>
            </w:r>
          </w:p>
        </w:tc>
      </w:tr>
    </w:tbl>
    <w:p w14:paraId="145E7AA1" w14:textId="77777777" w:rsidR="00AC3C57" w:rsidRPr="0048311B" w:rsidRDefault="00AC3C57">
      <w:pPr>
        <w:pStyle w:val="ARtablecaption"/>
      </w:pPr>
      <w:r w:rsidRPr="0048311B">
        <w:t>Greenhouse gas emissions associated with waste disposal</w:t>
      </w:r>
    </w:p>
    <w:tbl>
      <w:tblPr>
        <w:tblStyle w:val="TableGrid"/>
        <w:tblW w:w="9639" w:type="dxa"/>
        <w:tblLook w:val="06A0" w:firstRow="1" w:lastRow="0" w:firstColumn="1" w:lastColumn="0" w:noHBand="1" w:noVBand="1"/>
      </w:tblPr>
      <w:tblGrid>
        <w:gridCol w:w="4544"/>
        <w:gridCol w:w="1709"/>
        <w:gridCol w:w="1709"/>
        <w:gridCol w:w="1709"/>
      </w:tblGrid>
      <w:tr w:rsidR="00AC3C57" w:rsidRPr="008E2F75" w14:paraId="5AC1B271"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079332DB" w14:textId="77777777" w:rsidR="00AC3C57" w:rsidRPr="00B90F83" w:rsidRDefault="00AC3C57">
            <w:pPr>
              <w:pStyle w:val="ARtablecolhead"/>
              <w:spacing w:before="30" w:after="20"/>
            </w:pPr>
          </w:p>
        </w:tc>
        <w:tc>
          <w:tcPr>
            <w:tcW w:w="1701" w:type="dxa"/>
            <w:tcBorders>
              <w:bottom w:val="single" w:sz="4" w:space="0" w:color="auto"/>
            </w:tcBorders>
            <w:noWrap/>
          </w:tcPr>
          <w:p w14:paraId="3512B029" w14:textId="77777777" w:rsidR="00AC3C57" w:rsidRPr="00B90F83" w:rsidRDefault="00AC3C57">
            <w:pPr>
              <w:pStyle w:val="ARtablecolheadright"/>
              <w:spacing w:before="30" w:after="20"/>
            </w:pPr>
            <w:r w:rsidRPr="00B90F83">
              <w:t>2023–24</w:t>
            </w:r>
          </w:p>
          <w:p w14:paraId="28FCDC01" w14:textId="77777777" w:rsidR="00AC3C57" w:rsidRPr="00B90F83" w:rsidRDefault="00AC3C57">
            <w:pPr>
              <w:pStyle w:val="ARtablecolheadright"/>
              <w:spacing w:before="30" w:after="20"/>
            </w:pPr>
            <w:r w:rsidRPr="00B90F83">
              <w:t>Tonnes CO</w:t>
            </w:r>
            <w:r w:rsidRPr="00B90F83">
              <w:rPr>
                <w:rStyle w:val="Subscript"/>
              </w:rPr>
              <w:t>2</w:t>
            </w:r>
            <w:r w:rsidRPr="00B90F83">
              <w:t>-e</w:t>
            </w:r>
          </w:p>
        </w:tc>
        <w:tc>
          <w:tcPr>
            <w:tcW w:w="1701" w:type="dxa"/>
            <w:tcBorders>
              <w:bottom w:val="single" w:sz="4" w:space="0" w:color="auto"/>
            </w:tcBorders>
            <w:noWrap/>
          </w:tcPr>
          <w:p w14:paraId="0790D44E" w14:textId="77777777" w:rsidR="00AC3C57" w:rsidRPr="0048311B" w:rsidRDefault="00AC3C57">
            <w:pPr>
              <w:pStyle w:val="ARtablecolheadright"/>
              <w:spacing w:before="30" w:after="20"/>
            </w:pPr>
            <w:r w:rsidRPr="0048311B">
              <w:t>2022–23</w:t>
            </w:r>
          </w:p>
          <w:p w14:paraId="5A2D61D1" w14:textId="77777777" w:rsidR="00AC3C57" w:rsidRPr="0048311B" w:rsidRDefault="00AC3C57">
            <w:pPr>
              <w:pStyle w:val="ARtablecolheadright"/>
              <w:spacing w:before="30" w:after="20"/>
            </w:pPr>
            <w:r w:rsidRPr="0048311B" w:rsidDel="001C1E70">
              <w:t>Tonnes CO</w:t>
            </w:r>
            <w:r w:rsidRPr="0048311B" w:rsidDel="001C1E70">
              <w:rPr>
                <w:rStyle w:val="Subscript"/>
              </w:rPr>
              <w:t>2</w:t>
            </w:r>
            <w:r w:rsidRPr="0048311B" w:rsidDel="001C1E70">
              <w:t>-e</w:t>
            </w:r>
          </w:p>
        </w:tc>
        <w:tc>
          <w:tcPr>
            <w:tcW w:w="1701" w:type="dxa"/>
            <w:tcBorders>
              <w:bottom w:val="single" w:sz="4" w:space="0" w:color="auto"/>
            </w:tcBorders>
            <w:noWrap/>
          </w:tcPr>
          <w:p w14:paraId="1A0E7295" w14:textId="77777777" w:rsidR="00AC3C57" w:rsidRPr="0048311B" w:rsidRDefault="00AC3C57">
            <w:pPr>
              <w:pStyle w:val="ARtablecolheadright"/>
              <w:spacing w:before="30" w:after="20"/>
            </w:pPr>
            <w:r w:rsidRPr="0048311B">
              <w:t>2021–22</w:t>
            </w:r>
          </w:p>
          <w:p w14:paraId="374E87EF" w14:textId="77777777" w:rsidR="00AC3C57" w:rsidRPr="0048311B" w:rsidRDefault="00AC3C57">
            <w:pPr>
              <w:pStyle w:val="ARtablecolheadright"/>
              <w:spacing w:before="30" w:after="20"/>
            </w:pPr>
            <w:r w:rsidRPr="0048311B" w:rsidDel="001C1E70">
              <w:t>Tonnes CO</w:t>
            </w:r>
            <w:r w:rsidRPr="0048311B" w:rsidDel="001C1E70">
              <w:rPr>
                <w:rStyle w:val="Subscript"/>
              </w:rPr>
              <w:t>2</w:t>
            </w:r>
            <w:r w:rsidRPr="0048311B" w:rsidDel="001C1E70">
              <w:t>-e</w:t>
            </w:r>
          </w:p>
        </w:tc>
      </w:tr>
      <w:tr w:rsidR="00AC3C57" w:rsidRPr="00532DAE" w14:paraId="1E7B9E49" w14:textId="77777777">
        <w:trPr>
          <w:trHeight w:val="288"/>
        </w:trPr>
        <w:tc>
          <w:tcPr>
            <w:tcW w:w="4536" w:type="dxa"/>
            <w:tcBorders>
              <w:top w:val="single" w:sz="4" w:space="0" w:color="000000"/>
              <w:bottom w:val="single" w:sz="4" w:space="0" w:color="000000"/>
            </w:tcBorders>
            <w:noWrap/>
          </w:tcPr>
          <w:p w14:paraId="53E771FD" w14:textId="77777777" w:rsidR="00AC3C57" w:rsidRPr="00B90F83" w:rsidRDefault="00AC3C57">
            <w:pPr>
              <w:pStyle w:val="ARtabletextbold"/>
              <w:spacing w:before="30" w:after="20"/>
            </w:pPr>
            <w:r w:rsidRPr="00B90F83">
              <w:t xml:space="preserve">WR5 Greenhouse gas emissions </w:t>
            </w:r>
            <w:r w:rsidRPr="00B90F83">
              <w:br/>
              <w:t xml:space="preserve">associated with waste disposal </w:t>
            </w:r>
            <w:r w:rsidRPr="00B90F83">
              <w:rPr>
                <w:rStyle w:val="FootnoteReference"/>
              </w:rPr>
              <w:footnoteReference w:id="42"/>
            </w:r>
          </w:p>
        </w:tc>
        <w:tc>
          <w:tcPr>
            <w:tcW w:w="1701" w:type="dxa"/>
            <w:tcBorders>
              <w:top w:val="single" w:sz="4" w:space="0" w:color="000000"/>
              <w:bottom w:val="single" w:sz="4" w:space="0" w:color="000000"/>
            </w:tcBorders>
            <w:noWrap/>
          </w:tcPr>
          <w:p w14:paraId="710CE80D" w14:textId="77777777" w:rsidR="00AC3C57" w:rsidRPr="00B90F83" w:rsidRDefault="00AC3C57" w:rsidP="00C07FA4">
            <w:pPr>
              <w:pStyle w:val="ARtabletextrightbold"/>
            </w:pPr>
            <w:r w:rsidRPr="00B90F83">
              <w:t>147</w:t>
            </w:r>
          </w:p>
        </w:tc>
        <w:tc>
          <w:tcPr>
            <w:tcW w:w="1701" w:type="dxa"/>
            <w:tcBorders>
              <w:top w:val="single" w:sz="4" w:space="0" w:color="000000"/>
              <w:bottom w:val="single" w:sz="4" w:space="0" w:color="000000"/>
            </w:tcBorders>
            <w:noWrap/>
          </w:tcPr>
          <w:p w14:paraId="172F1F34" w14:textId="77777777" w:rsidR="00AC3C57" w:rsidRPr="0048311B" w:rsidRDefault="00AC3C57" w:rsidP="00C07FA4">
            <w:pPr>
              <w:pStyle w:val="ARtabletextrightbold"/>
            </w:pPr>
            <w:r w:rsidRPr="0048311B">
              <w:t>116</w:t>
            </w:r>
          </w:p>
        </w:tc>
        <w:tc>
          <w:tcPr>
            <w:tcW w:w="1701" w:type="dxa"/>
            <w:tcBorders>
              <w:top w:val="single" w:sz="4" w:space="0" w:color="000000"/>
              <w:bottom w:val="single" w:sz="4" w:space="0" w:color="000000"/>
            </w:tcBorders>
            <w:noWrap/>
          </w:tcPr>
          <w:p w14:paraId="05CCD7B3" w14:textId="77777777" w:rsidR="00AC3C57" w:rsidRPr="008A74F8" w:rsidRDefault="00AC3C57" w:rsidP="00C07FA4">
            <w:pPr>
              <w:pStyle w:val="ARtabletextrightbold"/>
            </w:pPr>
            <w:r w:rsidRPr="0048311B">
              <w:t>134</w:t>
            </w:r>
          </w:p>
        </w:tc>
      </w:tr>
    </w:tbl>
    <w:p w14:paraId="098DCEDD" w14:textId="77777777" w:rsidR="00AC3C57" w:rsidRPr="007F7B70" w:rsidRDefault="00AC3C57" w:rsidP="00BB645D">
      <w:pPr>
        <w:pStyle w:val="Heading2"/>
        <w:spacing w:before="0"/>
      </w:pPr>
      <w:bookmarkStart w:id="244" w:name="_Financial_management_compliance"/>
      <w:bookmarkStart w:id="245" w:name="_Toc212039555"/>
      <w:bookmarkEnd w:id="240"/>
      <w:bookmarkEnd w:id="241"/>
      <w:bookmarkEnd w:id="244"/>
      <w:r w:rsidRPr="007F7B70">
        <w:lastRenderedPageBreak/>
        <w:t xml:space="preserve">Financial </w:t>
      </w:r>
      <w:r>
        <w:t>m</w:t>
      </w:r>
      <w:r w:rsidRPr="007F7B70">
        <w:t xml:space="preserve">anagement </w:t>
      </w:r>
      <w:r>
        <w:t>c</w:t>
      </w:r>
      <w:r w:rsidRPr="007F7B70">
        <w:t xml:space="preserve">ompliance </w:t>
      </w:r>
      <w:r>
        <w:t>a</w:t>
      </w:r>
      <w:r w:rsidRPr="007F7B70">
        <w:t>ttestation </w:t>
      </w:r>
      <w:r>
        <w:t>s</w:t>
      </w:r>
      <w:r w:rsidRPr="007F7B70">
        <w:t>tatement</w:t>
      </w:r>
      <w:bookmarkEnd w:id="245"/>
    </w:p>
    <w:p w14:paraId="2045B267" w14:textId="77777777" w:rsidR="00AC3C57" w:rsidRPr="007F7B70" w:rsidRDefault="00AC3C57">
      <w:pPr>
        <w:pStyle w:val="ARbody"/>
      </w:pPr>
      <w:r w:rsidRPr="007F7B70">
        <w:t xml:space="preserve">I, Peta McCammon, as the Responsible Body, certify that the Department of Families, Fairness and Housing has no </w:t>
      </w:r>
      <w:r>
        <w:t>m</w:t>
      </w:r>
      <w:r w:rsidRPr="007F7B70">
        <w:t xml:space="preserve">aterial </w:t>
      </w:r>
      <w:r>
        <w:t>c</w:t>
      </w:r>
      <w:r w:rsidRPr="007F7B70">
        <w:t xml:space="preserve">ompliance </w:t>
      </w:r>
      <w:r>
        <w:t>d</w:t>
      </w:r>
      <w:r w:rsidRPr="007F7B70">
        <w:t xml:space="preserve">eficiency with respect to the applicable Standing Directions under the </w:t>
      </w:r>
      <w:bookmarkStart w:id="246" w:name="FinancialManagementAct1994137"/>
      <w:r w:rsidRPr="00E06E63">
        <w:rPr>
          <w:rStyle w:val="Emphasis"/>
        </w:rPr>
        <w:t>Financial Management Act 1994</w:t>
      </w:r>
      <w:bookmarkEnd w:id="246"/>
      <w:r w:rsidRPr="00E06E63">
        <w:rPr>
          <w:rStyle w:val="Emphasis"/>
        </w:rPr>
        <w:t xml:space="preserve"> </w:t>
      </w:r>
      <w:r w:rsidRPr="007F7B70">
        <w:t>and Instructions.</w:t>
      </w:r>
    </w:p>
    <w:p w14:paraId="2CD9E326" w14:textId="79D141E2" w:rsidR="00AC3C57" w:rsidRPr="007F7B70" w:rsidRDefault="009C26C8" w:rsidP="009C26C8">
      <w:pPr>
        <w:pStyle w:val="ARbody"/>
        <w:spacing w:before="720"/>
      </w:pPr>
      <w:r w:rsidRPr="00532DAE">
        <w:rPr>
          <w:noProof/>
        </w:rPr>
        <w:drawing>
          <wp:inline distT="0" distB="0" distL="0" distR="0" wp14:anchorId="6BD974A2" wp14:editId="105C5CAC">
            <wp:extent cx="1845277" cy="570368"/>
            <wp:effectExtent l="0" t="0" r="3175" b="1270"/>
            <wp:docPr id="1454010110" name="Picture 1454010110" descr="Signature&#10;Peta McCammon&#10;Secretary&#10;Department of Families, Fairness and Hous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ignature&#10;Peta McCammon&#10;Secretary&#10;Department of Families, Fairness and Housing&#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7163" cy="574042"/>
                    </a:xfrm>
                    <a:prstGeom prst="rect">
                      <a:avLst/>
                    </a:prstGeom>
                    <a:noFill/>
                    <a:ln>
                      <a:noFill/>
                    </a:ln>
                  </pic:spPr>
                </pic:pic>
              </a:graphicData>
            </a:graphic>
          </wp:inline>
        </w:drawing>
      </w:r>
    </w:p>
    <w:p w14:paraId="3DEBF874" w14:textId="77777777" w:rsidR="00AC3C57" w:rsidRPr="007F7B70" w:rsidRDefault="00AC3C57">
      <w:pPr>
        <w:pStyle w:val="ARbodynospace"/>
      </w:pPr>
      <w:r w:rsidRPr="007F7B70">
        <w:t>Peta McCammon</w:t>
      </w:r>
    </w:p>
    <w:p w14:paraId="20A75734" w14:textId="77777777" w:rsidR="00AC3C57" w:rsidRPr="007F7B70" w:rsidRDefault="00AC3C57">
      <w:pPr>
        <w:pStyle w:val="ARbodynospace"/>
      </w:pPr>
      <w:r w:rsidRPr="007F7B70">
        <w:t>Secretary</w:t>
      </w:r>
    </w:p>
    <w:p w14:paraId="4EC9304B" w14:textId="77777777" w:rsidR="00AC3C57" w:rsidRPr="007F7B70" w:rsidRDefault="00AC3C57">
      <w:pPr>
        <w:pStyle w:val="ARbody"/>
      </w:pPr>
      <w:r w:rsidRPr="007F7B70">
        <w:t>Department of Families, Fairness and Housing</w:t>
      </w:r>
    </w:p>
    <w:p w14:paraId="174E9540" w14:textId="24475EE9" w:rsidR="00AC3C57" w:rsidRPr="00CF7842" w:rsidRDefault="004D189E">
      <w:pPr>
        <w:pStyle w:val="ARbody"/>
      </w:pPr>
      <w:r w:rsidRPr="004D189E">
        <w:t>12 September</w:t>
      </w:r>
      <w:r w:rsidR="00AC3C57" w:rsidRPr="004D189E">
        <w:t xml:space="preserve"> 2025</w:t>
      </w:r>
    </w:p>
    <w:p w14:paraId="247B1C9B" w14:textId="77777777" w:rsidR="00265792" w:rsidRDefault="00265792" w:rsidP="004F7554">
      <w:pPr>
        <w:pStyle w:val="ARbody"/>
        <w:rPr>
          <w:highlight w:val="yellow"/>
        </w:rPr>
      </w:pPr>
      <w:bookmarkStart w:id="247" w:name="_Toc149587068"/>
    </w:p>
    <w:p w14:paraId="22053F2D" w14:textId="77777777" w:rsidR="00265792" w:rsidRPr="005F6A6B" w:rsidRDefault="00265792" w:rsidP="00681FFE">
      <w:pPr>
        <w:pStyle w:val="ARbody"/>
        <w:rPr>
          <w:highlight w:val="yellow"/>
        </w:rPr>
        <w:sectPr w:rsidR="00265792" w:rsidRPr="005F6A6B" w:rsidSect="007F43B1">
          <w:headerReference w:type="even" r:id="rId138"/>
          <w:footerReference w:type="even" r:id="rId139"/>
          <w:footerReference w:type="default" r:id="rId140"/>
          <w:headerReference w:type="first" r:id="rId141"/>
          <w:footerReference w:type="first" r:id="rId142"/>
          <w:endnotePr>
            <w:numFmt w:val="decimal"/>
          </w:endnotePr>
          <w:type w:val="continuous"/>
          <w:pgSz w:w="11900" w:h="16840" w:code="9"/>
          <w:pgMar w:top="1588" w:right="1134" w:bottom="851" w:left="1134" w:header="510" w:footer="340" w:gutter="0"/>
          <w:cols w:space="448"/>
          <w:docGrid w:linePitch="299"/>
        </w:sectPr>
      </w:pPr>
    </w:p>
    <w:p w14:paraId="3E556528" w14:textId="77777777" w:rsidR="00265792" w:rsidRPr="00E34D3E" w:rsidRDefault="00265792" w:rsidP="0081234A">
      <w:pPr>
        <w:pStyle w:val="Heading1"/>
      </w:pPr>
      <w:bookmarkStart w:id="248" w:name="_Toc212039556"/>
      <w:r w:rsidRPr="00E34D3E">
        <w:lastRenderedPageBreak/>
        <w:t>Section 5: Financial statements for the financial year ended 30 June 202</w:t>
      </w:r>
      <w:r>
        <w:t>5</w:t>
      </w:r>
      <w:bookmarkEnd w:id="248"/>
    </w:p>
    <w:p w14:paraId="76CACADF" w14:textId="6A30216E" w:rsidR="004B3AFE" w:rsidRDefault="00265792">
      <w:pPr>
        <w:pStyle w:val="TOC1"/>
        <w:rPr>
          <w:rFonts w:asciiTheme="minorHAnsi" w:hAnsiTheme="minorHAnsi"/>
          <w:kern w:val="2"/>
          <w:sz w:val="24"/>
          <w:szCs w:val="24"/>
          <w:lang w:val="en-US"/>
          <w14:ligatures w14:val="standardContextual"/>
        </w:rPr>
      </w:pPr>
      <w:r>
        <w:rPr>
          <w:b/>
        </w:rPr>
        <w:fldChar w:fldCharType="begin"/>
      </w:r>
      <w:r>
        <w:rPr>
          <w:b/>
        </w:rPr>
        <w:instrText xml:space="preserve"> TOC \b Financials \h \z \t "Heading 2 Financials,1,Heading 3,2" </w:instrText>
      </w:r>
      <w:r>
        <w:rPr>
          <w:b/>
        </w:rPr>
        <w:fldChar w:fldCharType="separate"/>
      </w:r>
      <w:hyperlink w:anchor="_Toc212041649" w:history="1">
        <w:r w:rsidR="004B3AFE" w:rsidRPr="0098338F">
          <w:rPr>
            <w:rStyle w:val="Hyperlink"/>
          </w:rPr>
          <w:t>Declaration in the financial statements</w:t>
        </w:r>
        <w:r w:rsidR="004B3AFE">
          <w:rPr>
            <w:webHidden/>
          </w:rPr>
          <w:tab/>
        </w:r>
        <w:r w:rsidR="004B3AFE">
          <w:rPr>
            <w:webHidden/>
          </w:rPr>
          <w:fldChar w:fldCharType="begin"/>
        </w:r>
        <w:r w:rsidR="004B3AFE">
          <w:rPr>
            <w:webHidden/>
          </w:rPr>
          <w:instrText xml:space="preserve"> PAGEREF _Toc212041649 \h </w:instrText>
        </w:r>
        <w:r w:rsidR="004B3AFE">
          <w:rPr>
            <w:webHidden/>
          </w:rPr>
        </w:r>
        <w:r w:rsidR="004B3AFE">
          <w:rPr>
            <w:webHidden/>
          </w:rPr>
          <w:fldChar w:fldCharType="separate"/>
        </w:r>
        <w:r w:rsidR="00D04356">
          <w:rPr>
            <w:webHidden/>
          </w:rPr>
          <w:t>140</w:t>
        </w:r>
        <w:r w:rsidR="004B3AFE">
          <w:rPr>
            <w:webHidden/>
          </w:rPr>
          <w:fldChar w:fldCharType="end"/>
        </w:r>
      </w:hyperlink>
    </w:p>
    <w:p w14:paraId="5CD5D6F4" w14:textId="5994F1BE" w:rsidR="004B3AFE" w:rsidRDefault="004B3AFE">
      <w:pPr>
        <w:pStyle w:val="TOC1"/>
        <w:rPr>
          <w:rFonts w:asciiTheme="minorHAnsi" w:hAnsiTheme="minorHAnsi"/>
          <w:kern w:val="2"/>
          <w:sz w:val="24"/>
          <w:szCs w:val="24"/>
          <w:lang w:val="en-US"/>
          <w14:ligatures w14:val="standardContextual"/>
        </w:rPr>
      </w:pPr>
      <w:hyperlink w:anchor="_Toc212041650" w:history="1">
        <w:r w:rsidRPr="0098338F">
          <w:rPr>
            <w:rStyle w:val="Hyperlink"/>
          </w:rPr>
          <w:t>Independent auditor’s report</w:t>
        </w:r>
        <w:r>
          <w:rPr>
            <w:webHidden/>
          </w:rPr>
          <w:tab/>
        </w:r>
        <w:r>
          <w:rPr>
            <w:webHidden/>
          </w:rPr>
          <w:fldChar w:fldCharType="begin"/>
        </w:r>
        <w:r>
          <w:rPr>
            <w:webHidden/>
          </w:rPr>
          <w:instrText xml:space="preserve"> PAGEREF _Toc212041650 \h </w:instrText>
        </w:r>
        <w:r>
          <w:rPr>
            <w:webHidden/>
          </w:rPr>
        </w:r>
        <w:r>
          <w:rPr>
            <w:webHidden/>
          </w:rPr>
          <w:fldChar w:fldCharType="separate"/>
        </w:r>
        <w:r w:rsidR="00D04356">
          <w:rPr>
            <w:webHidden/>
          </w:rPr>
          <w:t>141</w:t>
        </w:r>
        <w:r>
          <w:rPr>
            <w:webHidden/>
          </w:rPr>
          <w:fldChar w:fldCharType="end"/>
        </w:r>
      </w:hyperlink>
    </w:p>
    <w:p w14:paraId="12A437EB" w14:textId="389C578A" w:rsidR="004B3AFE" w:rsidRDefault="004B3AFE">
      <w:pPr>
        <w:pStyle w:val="TOC1"/>
        <w:rPr>
          <w:rFonts w:asciiTheme="minorHAnsi" w:hAnsiTheme="minorHAnsi"/>
          <w:kern w:val="2"/>
          <w:sz w:val="24"/>
          <w:szCs w:val="24"/>
          <w:lang w:val="en-US"/>
          <w14:ligatures w14:val="standardContextual"/>
        </w:rPr>
      </w:pPr>
      <w:hyperlink w:anchor="_Toc212041651" w:history="1">
        <w:r w:rsidRPr="0098338F">
          <w:rPr>
            <w:rStyle w:val="Hyperlink"/>
          </w:rPr>
          <w:t>Comprehensive operating statement for the financial year ended 30 June 2025</w:t>
        </w:r>
        <w:r>
          <w:rPr>
            <w:webHidden/>
          </w:rPr>
          <w:tab/>
        </w:r>
        <w:r>
          <w:rPr>
            <w:webHidden/>
          </w:rPr>
          <w:fldChar w:fldCharType="begin"/>
        </w:r>
        <w:r>
          <w:rPr>
            <w:webHidden/>
          </w:rPr>
          <w:instrText xml:space="preserve"> PAGEREF _Toc212041651 \h </w:instrText>
        </w:r>
        <w:r>
          <w:rPr>
            <w:webHidden/>
          </w:rPr>
        </w:r>
        <w:r>
          <w:rPr>
            <w:webHidden/>
          </w:rPr>
          <w:fldChar w:fldCharType="separate"/>
        </w:r>
        <w:r w:rsidR="00D04356">
          <w:rPr>
            <w:webHidden/>
          </w:rPr>
          <w:t>145</w:t>
        </w:r>
        <w:r>
          <w:rPr>
            <w:webHidden/>
          </w:rPr>
          <w:fldChar w:fldCharType="end"/>
        </w:r>
      </w:hyperlink>
    </w:p>
    <w:p w14:paraId="4101EDB7" w14:textId="39A1ADE7" w:rsidR="004B3AFE" w:rsidRDefault="004B3AFE">
      <w:pPr>
        <w:pStyle w:val="TOC1"/>
        <w:rPr>
          <w:rFonts w:asciiTheme="minorHAnsi" w:hAnsiTheme="minorHAnsi"/>
          <w:kern w:val="2"/>
          <w:sz w:val="24"/>
          <w:szCs w:val="24"/>
          <w:lang w:val="en-US"/>
          <w14:ligatures w14:val="standardContextual"/>
        </w:rPr>
      </w:pPr>
      <w:hyperlink w:anchor="_Toc212041652" w:history="1">
        <w:r w:rsidRPr="0098338F">
          <w:rPr>
            <w:rStyle w:val="Hyperlink"/>
          </w:rPr>
          <w:t>Balance sheet as at 30 June 2025</w:t>
        </w:r>
        <w:r>
          <w:rPr>
            <w:webHidden/>
          </w:rPr>
          <w:tab/>
        </w:r>
        <w:r>
          <w:rPr>
            <w:webHidden/>
          </w:rPr>
          <w:fldChar w:fldCharType="begin"/>
        </w:r>
        <w:r>
          <w:rPr>
            <w:webHidden/>
          </w:rPr>
          <w:instrText xml:space="preserve"> PAGEREF _Toc212041652 \h </w:instrText>
        </w:r>
        <w:r>
          <w:rPr>
            <w:webHidden/>
          </w:rPr>
        </w:r>
        <w:r>
          <w:rPr>
            <w:webHidden/>
          </w:rPr>
          <w:fldChar w:fldCharType="separate"/>
        </w:r>
        <w:r w:rsidR="00D04356">
          <w:rPr>
            <w:webHidden/>
          </w:rPr>
          <w:t>146</w:t>
        </w:r>
        <w:r>
          <w:rPr>
            <w:webHidden/>
          </w:rPr>
          <w:fldChar w:fldCharType="end"/>
        </w:r>
      </w:hyperlink>
    </w:p>
    <w:p w14:paraId="020959EE" w14:textId="37B8E8C5" w:rsidR="004B3AFE" w:rsidRDefault="004B3AFE">
      <w:pPr>
        <w:pStyle w:val="TOC1"/>
        <w:rPr>
          <w:rFonts w:asciiTheme="minorHAnsi" w:hAnsiTheme="minorHAnsi"/>
          <w:kern w:val="2"/>
          <w:sz w:val="24"/>
          <w:szCs w:val="24"/>
          <w:lang w:val="en-US"/>
          <w14:ligatures w14:val="standardContextual"/>
        </w:rPr>
      </w:pPr>
      <w:hyperlink w:anchor="_Toc212041653" w:history="1">
        <w:r w:rsidRPr="0098338F">
          <w:rPr>
            <w:rStyle w:val="Hyperlink"/>
          </w:rPr>
          <w:t>Cash flow statement for the financial year ended 30 June 2025</w:t>
        </w:r>
        <w:r>
          <w:rPr>
            <w:webHidden/>
          </w:rPr>
          <w:tab/>
        </w:r>
        <w:r>
          <w:rPr>
            <w:webHidden/>
          </w:rPr>
          <w:fldChar w:fldCharType="begin"/>
        </w:r>
        <w:r>
          <w:rPr>
            <w:webHidden/>
          </w:rPr>
          <w:instrText xml:space="preserve"> PAGEREF _Toc212041653 \h </w:instrText>
        </w:r>
        <w:r>
          <w:rPr>
            <w:webHidden/>
          </w:rPr>
        </w:r>
        <w:r>
          <w:rPr>
            <w:webHidden/>
          </w:rPr>
          <w:fldChar w:fldCharType="separate"/>
        </w:r>
        <w:r w:rsidR="00D04356">
          <w:rPr>
            <w:webHidden/>
          </w:rPr>
          <w:t>147</w:t>
        </w:r>
        <w:r>
          <w:rPr>
            <w:webHidden/>
          </w:rPr>
          <w:fldChar w:fldCharType="end"/>
        </w:r>
      </w:hyperlink>
    </w:p>
    <w:p w14:paraId="3BCBA7C6" w14:textId="1C64F13C" w:rsidR="004B3AFE" w:rsidRDefault="004B3AFE">
      <w:pPr>
        <w:pStyle w:val="TOC1"/>
        <w:rPr>
          <w:rFonts w:asciiTheme="minorHAnsi" w:hAnsiTheme="minorHAnsi"/>
          <w:kern w:val="2"/>
          <w:sz w:val="24"/>
          <w:szCs w:val="24"/>
          <w:lang w:val="en-US"/>
          <w14:ligatures w14:val="standardContextual"/>
        </w:rPr>
      </w:pPr>
      <w:hyperlink w:anchor="_Toc212041654" w:history="1">
        <w:r w:rsidRPr="0098338F">
          <w:rPr>
            <w:rStyle w:val="Hyperlink"/>
          </w:rPr>
          <w:t>Statement of changes in equity for the financial year ended 30 June 2025</w:t>
        </w:r>
        <w:r>
          <w:rPr>
            <w:webHidden/>
          </w:rPr>
          <w:tab/>
        </w:r>
        <w:r>
          <w:rPr>
            <w:webHidden/>
          </w:rPr>
          <w:fldChar w:fldCharType="begin"/>
        </w:r>
        <w:r>
          <w:rPr>
            <w:webHidden/>
          </w:rPr>
          <w:instrText xml:space="preserve"> PAGEREF _Toc212041654 \h </w:instrText>
        </w:r>
        <w:r>
          <w:rPr>
            <w:webHidden/>
          </w:rPr>
        </w:r>
        <w:r>
          <w:rPr>
            <w:webHidden/>
          </w:rPr>
          <w:fldChar w:fldCharType="separate"/>
        </w:r>
        <w:r w:rsidR="00D04356">
          <w:rPr>
            <w:webHidden/>
          </w:rPr>
          <w:t>148</w:t>
        </w:r>
        <w:r>
          <w:rPr>
            <w:webHidden/>
          </w:rPr>
          <w:fldChar w:fldCharType="end"/>
        </w:r>
      </w:hyperlink>
    </w:p>
    <w:p w14:paraId="0EF02622" w14:textId="4D9D305F" w:rsidR="004B3AFE" w:rsidRDefault="004B3AFE">
      <w:pPr>
        <w:pStyle w:val="TOC1"/>
        <w:rPr>
          <w:rFonts w:asciiTheme="minorHAnsi" w:hAnsiTheme="minorHAnsi"/>
          <w:kern w:val="2"/>
          <w:sz w:val="24"/>
          <w:szCs w:val="24"/>
          <w:lang w:val="en-US"/>
          <w14:ligatures w14:val="standardContextual"/>
        </w:rPr>
      </w:pPr>
      <w:hyperlink w:anchor="_Toc212041655" w:history="1">
        <w:r w:rsidRPr="0098338F">
          <w:rPr>
            <w:rStyle w:val="Hyperlink"/>
            <w:lang w:eastAsia="en-AU"/>
          </w:rPr>
          <w:t>Notes to and forming part of the financial statements for the financial year ended 30 June 2025</w:t>
        </w:r>
        <w:r>
          <w:rPr>
            <w:webHidden/>
          </w:rPr>
          <w:tab/>
        </w:r>
        <w:r>
          <w:rPr>
            <w:webHidden/>
          </w:rPr>
          <w:fldChar w:fldCharType="begin"/>
        </w:r>
        <w:r>
          <w:rPr>
            <w:webHidden/>
          </w:rPr>
          <w:instrText xml:space="preserve"> PAGEREF _Toc212041655 \h </w:instrText>
        </w:r>
        <w:r>
          <w:rPr>
            <w:webHidden/>
          </w:rPr>
        </w:r>
        <w:r>
          <w:rPr>
            <w:webHidden/>
          </w:rPr>
          <w:fldChar w:fldCharType="separate"/>
        </w:r>
        <w:r w:rsidR="00D04356">
          <w:rPr>
            <w:webHidden/>
          </w:rPr>
          <w:t>149</w:t>
        </w:r>
        <w:r>
          <w:rPr>
            <w:webHidden/>
          </w:rPr>
          <w:fldChar w:fldCharType="end"/>
        </w:r>
      </w:hyperlink>
    </w:p>
    <w:p w14:paraId="2DF3B09B" w14:textId="48D31C8E" w:rsidR="004B3AFE" w:rsidRDefault="004B3AFE">
      <w:pPr>
        <w:pStyle w:val="TOC2"/>
        <w:rPr>
          <w:rFonts w:asciiTheme="minorHAnsi" w:hAnsiTheme="minorHAnsi"/>
          <w:kern w:val="2"/>
          <w:sz w:val="24"/>
          <w:lang w:val="en-US"/>
          <w14:ligatures w14:val="standardContextual"/>
        </w:rPr>
      </w:pPr>
      <w:hyperlink w:anchor="_Toc212041656" w:history="1">
        <w:r w:rsidRPr="0098338F">
          <w:rPr>
            <w:rStyle w:val="Hyperlink"/>
          </w:rPr>
          <w:t>1. About this report</w:t>
        </w:r>
        <w:r>
          <w:rPr>
            <w:webHidden/>
          </w:rPr>
          <w:tab/>
        </w:r>
        <w:r>
          <w:rPr>
            <w:webHidden/>
          </w:rPr>
          <w:fldChar w:fldCharType="begin"/>
        </w:r>
        <w:r>
          <w:rPr>
            <w:webHidden/>
          </w:rPr>
          <w:instrText xml:space="preserve"> PAGEREF _Toc212041656 \h </w:instrText>
        </w:r>
        <w:r>
          <w:rPr>
            <w:webHidden/>
          </w:rPr>
        </w:r>
        <w:r>
          <w:rPr>
            <w:webHidden/>
          </w:rPr>
          <w:fldChar w:fldCharType="separate"/>
        </w:r>
        <w:r w:rsidR="00D04356">
          <w:rPr>
            <w:webHidden/>
          </w:rPr>
          <w:t>149</w:t>
        </w:r>
        <w:r>
          <w:rPr>
            <w:webHidden/>
          </w:rPr>
          <w:fldChar w:fldCharType="end"/>
        </w:r>
      </w:hyperlink>
    </w:p>
    <w:p w14:paraId="78CB045F" w14:textId="72523D3C" w:rsidR="004B3AFE" w:rsidRDefault="004B3AFE">
      <w:pPr>
        <w:pStyle w:val="TOC2"/>
        <w:rPr>
          <w:rFonts w:asciiTheme="minorHAnsi" w:hAnsiTheme="minorHAnsi"/>
          <w:kern w:val="2"/>
          <w:sz w:val="24"/>
          <w:lang w:val="en-US"/>
          <w14:ligatures w14:val="standardContextual"/>
        </w:rPr>
      </w:pPr>
      <w:hyperlink w:anchor="_Toc212041657" w:history="1">
        <w:r w:rsidRPr="0098338F">
          <w:rPr>
            <w:rStyle w:val="Hyperlink"/>
          </w:rPr>
          <w:t>2. Funding delivery of our services</w:t>
        </w:r>
        <w:r>
          <w:rPr>
            <w:webHidden/>
          </w:rPr>
          <w:tab/>
        </w:r>
        <w:r>
          <w:rPr>
            <w:webHidden/>
          </w:rPr>
          <w:fldChar w:fldCharType="begin"/>
        </w:r>
        <w:r>
          <w:rPr>
            <w:webHidden/>
          </w:rPr>
          <w:instrText xml:space="preserve"> PAGEREF _Toc212041657 \h </w:instrText>
        </w:r>
        <w:r>
          <w:rPr>
            <w:webHidden/>
          </w:rPr>
        </w:r>
        <w:r>
          <w:rPr>
            <w:webHidden/>
          </w:rPr>
          <w:fldChar w:fldCharType="separate"/>
        </w:r>
        <w:r w:rsidR="00D04356">
          <w:rPr>
            <w:webHidden/>
          </w:rPr>
          <w:t>151</w:t>
        </w:r>
        <w:r>
          <w:rPr>
            <w:webHidden/>
          </w:rPr>
          <w:fldChar w:fldCharType="end"/>
        </w:r>
      </w:hyperlink>
    </w:p>
    <w:p w14:paraId="1F739717" w14:textId="32A3B963" w:rsidR="004B3AFE" w:rsidRDefault="004B3AFE">
      <w:pPr>
        <w:pStyle w:val="TOC2"/>
        <w:rPr>
          <w:rFonts w:asciiTheme="minorHAnsi" w:hAnsiTheme="minorHAnsi"/>
          <w:kern w:val="2"/>
          <w:sz w:val="24"/>
          <w:lang w:val="en-US"/>
          <w14:ligatures w14:val="standardContextual"/>
        </w:rPr>
      </w:pPr>
      <w:hyperlink w:anchor="_Toc212041658" w:history="1">
        <w:r w:rsidRPr="0098338F">
          <w:rPr>
            <w:rStyle w:val="Hyperlink"/>
          </w:rPr>
          <w:t>3. The cost of delivering services</w:t>
        </w:r>
        <w:r>
          <w:rPr>
            <w:webHidden/>
          </w:rPr>
          <w:tab/>
        </w:r>
        <w:r>
          <w:rPr>
            <w:webHidden/>
          </w:rPr>
          <w:fldChar w:fldCharType="begin"/>
        </w:r>
        <w:r>
          <w:rPr>
            <w:webHidden/>
          </w:rPr>
          <w:instrText xml:space="preserve"> PAGEREF _Toc212041658 \h </w:instrText>
        </w:r>
        <w:r>
          <w:rPr>
            <w:webHidden/>
          </w:rPr>
        </w:r>
        <w:r>
          <w:rPr>
            <w:webHidden/>
          </w:rPr>
          <w:fldChar w:fldCharType="separate"/>
        </w:r>
        <w:r w:rsidR="00D04356">
          <w:rPr>
            <w:webHidden/>
          </w:rPr>
          <w:t>156</w:t>
        </w:r>
        <w:r>
          <w:rPr>
            <w:webHidden/>
          </w:rPr>
          <w:fldChar w:fldCharType="end"/>
        </w:r>
      </w:hyperlink>
    </w:p>
    <w:p w14:paraId="30781A75" w14:textId="35C08DC4" w:rsidR="004B3AFE" w:rsidRDefault="004B3AFE">
      <w:pPr>
        <w:pStyle w:val="TOC2"/>
        <w:rPr>
          <w:rFonts w:asciiTheme="minorHAnsi" w:hAnsiTheme="minorHAnsi"/>
          <w:kern w:val="2"/>
          <w:sz w:val="24"/>
          <w:lang w:val="en-US"/>
          <w14:ligatures w14:val="standardContextual"/>
        </w:rPr>
      </w:pPr>
      <w:hyperlink w:anchor="_Toc212041659" w:history="1">
        <w:r w:rsidRPr="0098338F">
          <w:rPr>
            <w:rStyle w:val="Hyperlink"/>
          </w:rPr>
          <w:t>4. Disaggregated financial information by output</w:t>
        </w:r>
        <w:r>
          <w:rPr>
            <w:webHidden/>
          </w:rPr>
          <w:tab/>
        </w:r>
        <w:r>
          <w:rPr>
            <w:webHidden/>
          </w:rPr>
          <w:fldChar w:fldCharType="begin"/>
        </w:r>
        <w:r>
          <w:rPr>
            <w:webHidden/>
          </w:rPr>
          <w:instrText xml:space="preserve"> PAGEREF _Toc212041659 \h </w:instrText>
        </w:r>
        <w:r>
          <w:rPr>
            <w:webHidden/>
          </w:rPr>
        </w:r>
        <w:r>
          <w:rPr>
            <w:webHidden/>
          </w:rPr>
          <w:fldChar w:fldCharType="separate"/>
        </w:r>
        <w:r w:rsidR="00D04356">
          <w:rPr>
            <w:webHidden/>
          </w:rPr>
          <w:t>161</w:t>
        </w:r>
        <w:r>
          <w:rPr>
            <w:webHidden/>
          </w:rPr>
          <w:fldChar w:fldCharType="end"/>
        </w:r>
      </w:hyperlink>
    </w:p>
    <w:p w14:paraId="0A9BD0D3" w14:textId="48DBB2F1" w:rsidR="004B3AFE" w:rsidRDefault="004B3AFE">
      <w:pPr>
        <w:pStyle w:val="TOC2"/>
        <w:rPr>
          <w:rFonts w:asciiTheme="minorHAnsi" w:hAnsiTheme="minorHAnsi"/>
          <w:kern w:val="2"/>
          <w:sz w:val="24"/>
          <w:lang w:val="en-US"/>
          <w14:ligatures w14:val="standardContextual"/>
        </w:rPr>
      </w:pPr>
      <w:hyperlink w:anchor="_Toc212041660" w:history="1">
        <w:r w:rsidRPr="0098338F">
          <w:rPr>
            <w:rStyle w:val="Hyperlink"/>
          </w:rPr>
          <w:t>5. Key assets available to support output delivery</w:t>
        </w:r>
        <w:r>
          <w:rPr>
            <w:webHidden/>
          </w:rPr>
          <w:tab/>
        </w:r>
        <w:r>
          <w:rPr>
            <w:webHidden/>
          </w:rPr>
          <w:fldChar w:fldCharType="begin"/>
        </w:r>
        <w:r>
          <w:rPr>
            <w:webHidden/>
          </w:rPr>
          <w:instrText xml:space="preserve"> PAGEREF _Toc212041660 \h </w:instrText>
        </w:r>
        <w:r>
          <w:rPr>
            <w:webHidden/>
          </w:rPr>
        </w:r>
        <w:r>
          <w:rPr>
            <w:webHidden/>
          </w:rPr>
          <w:fldChar w:fldCharType="separate"/>
        </w:r>
        <w:r w:rsidR="00D04356">
          <w:rPr>
            <w:webHidden/>
          </w:rPr>
          <w:t>170</w:t>
        </w:r>
        <w:r>
          <w:rPr>
            <w:webHidden/>
          </w:rPr>
          <w:fldChar w:fldCharType="end"/>
        </w:r>
      </w:hyperlink>
    </w:p>
    <w:p w14:paraId="16A6EBB9" w14:textId="74FCB08F" w:rsidR="004B3AFE" w:rsidRDefault="004B3AFE">
      <w:pPr>
        <w:pStyle w:val="TOC2"/>
        <w:rPr>
          <w:rFonts w:asciiTheme="minorHAnsi" w:hAnsiTheme="minorHAnsi"/>
          <w:kern w:val="2"/>
          <w:sz w:val="24"/>
          <w:lang w:val="en-US"/>
          <w14:ligatures w14:val="standardContextual"/>
        </w:rPr>
      </w:pPr>
      <w:hyperlink w:anchor="_Toc212041661" w:history="1">
        <w:r w:rsidRPr="0098338F">
          <w:rPr>
            <w:rStyle w:val="Hyperlink"/>
          </w:rPr>
          <w:t>6. Other assets and liabilities</w:t>
        </w:r>
        <w:r>
          <w:rPr>
            <w:webHidden/>
          </w:rPr>
          <w:tab/>
        </w:r>
        <w:r>
          <w:rPr>
            <w:webHidden/>
          </w:rPr>
          <w:fldChar w:fldCharType="begin"/>
        </w:r>
        <w:r>
          <w:rPr>
            <w:webHidden/>
          </w:rPr>
          <w:instrText xml:space="preserve"> PAGEREF _Toc212041661 \h </w:instrText>
        </w:r>
        <w:r>
          <w:rPr>
            <w:webHidden/>
          </w:rPr>
        </w:r>
        <w:r>
          <w:rPr>
            <w:webHidden/>
          </w:rPr>
          <w:fldChar w:fldCharType="separate"/>
        </w:r>
        <w:r w:rsidR="00D04356">
          <w:rPr>
            <w:webHidden/>
          </w:rPr>
          <w:t>174</w:t>
        </w:r>
        <w:r>
          <w:rPr>
            <w:webHidden/>
          </w:rPr>
          <w:fldChar w:fldCharType="end"/>
        </w:r>
      </w:hyperlink>
    </w:p>
    <w:p w14:paraId="1CADCD1C" w14:textId="48FD09FC" w:rsidR="004B3AFE" w:rsidRDefault="004B3AFE">
      <w:pPr>
        <w:pStyle w:val="TOC2"/>
        <w:rPr>
          <w:rFonts w:asciiTheme="minorHAnsi" w:hAnsiTheme="minorHAnsi"/>
          <w:kern w:val="2"/>
          <w:sz w:val="24"/>
          <w:lang w:val="en-US"/>
          <w14:ligatures w14:val="standardContextual"/>
        </w:rPr>
      </w:pPr>
      <w:hyperlink w:anchor="_Toc212041662" w:history="1">
        <w:r w:rsidRPr="0098338F">
          <w:rPr>
            <w:rStyle w:val="Hyperlink"/>
          </w:rPr>
          <w:t>7. How we financed our operations</w:t>
        </w:r>
        <w:r>
          <w:rPr>
            <w:webHidden/>
          </w:rPr>
          <w:tab/>
        </w:r>
        <w:r>
          <w:rPr>
            <w:webHidden/>
          </w:rPr>
          <w:fldChar w:fldCharType="begin"/>
        </w:r>
        <w:r>
          <w:rPr>
            <w:webHidden/>
          </w:rPr>
          <w:instrText xml:space="preserve"> PAGEREF _Toc212041662 \h </w:instrText>
        </w:r>
        <w:r>
          <w:rPr>
            <w:webHidden/>
          </w:rPr>
        </w:r>
        <w:r>
          <w:rPr>
            <w:webHidden/>
          </w:rPr>
          <w:fldChar w:fldCharType="separate"/>
        </w:r>
        <w:r w:rsidR="00D04356">
          <w:rPr>
            <w:webHidden/>
          </w:rPr>
          <w:t>180</w:t>
        </w:r>
        <w:r>
          <w:rPr>
            <w:webHidden/>
          </w:rPr>
          <w:fldChar w:fldCharType="end"/>
        </w:r>
      </w:hyperlink>
    </w:p>
    <w:p w14:paraId="52A267CA" w14:textId="54CA6563" w:rsidR="004B3AFE" w:rsidRDefault="004B3AFE">
      <w:pPr>
        <w:pStyle w:val="TOC2"/>
        <w:rPr>
          <w:rFonts w:asciiTheme="minorHAnsi" w:hAnsiTheme="minorHAnsi"/>
          <w:kern w:val="2"/>
          <w:sz w:val="24"/>
          <w:lang w:val="en-US"/>
          <w14:ligatures w14:val="standardContextual"/>
        </w:rPr>
      </w:pPr>
      <w:hyperlink w:anchor="_Toc212041663" w:history="1">
        <w:r w:rsidRPr="0098338F">
          <w:rPr>
            <w:rStyle w:val="Hyperlink"/>
          </w:rPr>
          <w:t>8. Risks, contingencies and valuation judgements</w:t>
        </w:r>
        <w:r>
          <w:rPr>
            <w:webHidden/>
          </w:rPr>
          <w:tab/>
        </w:r>
        <w:r>
          <w:rPr>
            <w:webHidden/>
          </w:rPr>
          <w:fldChar w:fldCharType="begin"/>
        </w:r>
        <w:r>
          <w:rPr>
            <w:webHidden/>
          </w:rPr>
          <w:instrText xml:space="preserve"> PAGEREF _Toc212041663 \h </w:instrText>
        </w:r>
        <w:r>
          <w:rPr>
            <w:webHidden/>
          </w:rPr>
        </w:r>
        <w:r>
          <w:rPr>
            <w:webHidden/>
          </w:rPr>
          <w:fldChar w:fldCharType="separate"/>
        </w:r>
        <w:r w:rsidR="00D04356">
          <w:rPr>
            <w:webHidden/>
          </w:rPr>
          <w:t>190</w:t>
        </w:r>
        <w:r>
          <w:rPr>
            <w:webHidden/>
          </w:rPr>
          <w:fldChar w:fldCharType="end"/>
        </w:r>
      </w:hyperlink>
    </w:p>
    <w:p w14:paraId="3B748833" w14:textId="6B46E9A7" w:rsidR="004B3AFE" w:rsidRDefault="004B3AFE">
      <w:pPr>
        <w:pStyle w:val="TOC2"/>
        <w:rPr>
          <w:rFonts w:asciiTheme="minorHAnsi" w:hAnsiTheme="minorHAnsi"/>
          <w:kern w:val="2"/>
          <w:sz w:val="24"/>
          <w:lang w:val="en-US"/>
          <w14:ligatures w14:val="standardContextual"/>
        </w:rPr>
      </w:pPr>
      <w:hyperlink w:anchor="_Toc212041664" w:history="1">
        <w:r w:rsidRPr="0098338F">
          <w:rPr>
            <w:rStyle w:val="Hyperlink"/>
          </w:rPr>
          <w:t>9. Other disclosures</w:t>
        </w:r>
        <w:r>
          <w:rPr>
            <w:webHidden/>
          </w:rPr>
          <w:tab/>
        </w:r>
        <w:r>
          <w:rPr>
            <w:webHidden/>
          </w:rPr>
          <w:fldChar w:fldCharType="begin"/>
        </w:r>
        <w:r>
          <w:rPr>
            <w:webHidden/>
          </w:rPr>
          <w:instrText xml:space="preserve"> PAGEREF _Toc212041664 \h </w:instrText>
        </w:r>
        <w:r>
          <w:rPr>
            <w:webHidden/>
          </w:rPr>
        </w:r>
        <w:r>
          <w:rPr>
            <w:webHidden/>
          </w:rPr>
          <w:fldChar w:fldCharType="separate"/>
        </w:r>
        <w:r w:rsidR="00D04356">
          <w:rPr>
            <w:webHidden/>
          </w:rPr>
          <w:t>203</w:t>
        </w:r>
        <w:r>
          <w:rPr>
            <w:webHidden/>
          </w:rPr>
          <w:fldChar w:fldCharType="end"/>
        </w:r>
      </w:hyperlink>
    </w:p>
    <w:p w14:paraId="2C7A1297" w14:textId="0099E1E0" w:rsidR="00265792" w:rsidRPr="00F8210F" w:rsidRDefault="00265792">
      <w:pPr>
        <w:pStyle w:val="ARbody"/>
        <w:rPr>
          <w:highlight w:val="green"/>
        </w:rPr>
      </w:pPr>
      <w:r>
        <w:rPr>
          <w:rFonts w:eastAsiaTheme="minorEastAsia"/>
          <w:b/>
          <w:u w:color="D50032"/>
        </w:rPr>
        <w:fldChar w:fldCharType="end"/>
      </w:r>
      <w:r w:rsidRPr="00BA7805">
        <w:rPr>
          <w:highlight w:val="green"/>
        </w:rPr>
        <w:br w:type="page"/>
      </w:r>
    </w:p>
    <w:p w14:paraId="62280285" w14:textId="77777777" w:rsidR="00265792" w:rsidRPr="00CB09EB" w:rsidRDefault="00265792" w:rsidP="00BB645D">
      <w:pPr>
        <w:pStyle w:val="Heading2Financials"/>
        <w:spacing w:before="0"/>
      </w:pPr>
      <w:bookmarkStart w:id="249" w:name="_Toc212041649"/>
      <w:bookmarkStart w:id="250" w:name="Declarationinthefinancialstatements"/>
      <w:bookmarkStart w:id="251" w:name="Declarationinthefinancialstatements140"/>
      <w:bookmarkStart w:id="252" w:name="Financials"/>
      <w:r w:rsidRPr="00CB09EB">
        <w:lastRenderedPageBreak/>
        <w:t>Declaration in the financial statements</w:t>
      </w:r>
      <w:bookmarkEnd w:id="249"/>
    </w:p>
    <w:bookmarkEnd w:id="250"/>
    <w:bookmarkEnd w:id="251"/>
    <w:p w14:paraId="33F59616" w14:textId="77777777" w:rsidR="00265792" w:rsidRDefault="00265792">
      <w:pPr>
        <w:pStyle w:val="ARbody"/>
        <w:rPr>
          <w:lang w:val="en-US"/>
        </w:rPr>
      </w:pPr>
      <w:r w:rsidRPr="007659ED">
        <w:rPr>
          <w:lang w:val="en-US"/>
        </w:rPr>
        <w:t>The attached financial statements for the Department of Families, Fairness and Housing (the department)</w:t>
      </w:r>
      <w:r>
        <w:rPr>
          <w:lang w:val="en-US"/>
        </w:rPr>
        <w:t xml:space="preserve"> </w:t>
      </w:r>
      <w:r w:rsidRPr="007659ED">
        <w:rPr>
          <w:lang w:val="en-US"/>
        </w:rPr>
        <w:t xml:space="preserve">have been prepared in accordance with Direction 5.2 of the Standing Directions of </w:t>
      </w:r>
      <w:r>
        <w:t>the Minister for Finance</w:t>
      </w:r>
      <w:r>
        <w:rPr>
          <w:lang w:val="en-US"/>
        </w:rPr>
        <w:t xml:space="preserve"> </w:t>
      </w:r>
      <w:r w:rsidRPr="007659ED">
        <w:rPr>
          <w:lang w:val="en-US"/>
        </w:rPr>
        <w:t xml:space="preserve">under the </w:t>
      </w:r>
      <w:r w:rsidRPr="00E15716">
        <w:rPr>
          <w:rStyle w:val="Emphasis"/>
        </w:rPr>
        <w:t>Financial Management Act 1994</w:t>
      </w:r>
      <w:r w:rsidRPr="007659ED">
        <w:rPr>
          <w:lang w:val="en-US"/>
        </w:rPr>
        <w:t>, applicable Financial Reporting Directions, Australian Accounting</w:t>
      </w:r>
      <w:r>
        <w:rPr>
          <w:lang w:val="en-US"/>
        </w:rPr>
        <w:t xml:space="preserve"> </w:t>
      </w:r>
      <w:r w:rsidRPr="007659ED">
        <w:rPr>
          <w:lang w:val="en-US"/>
        </w:rPr>
        <w:t>Standards including Interpretations, and other mandatory professional reporting requirements.</w:t>
      </w:r>
    </w:p>
    <w:p w14:paraId="6F8BA7CD" w14:textId="77777777" w:rsidR="00265792" w:rsidRDefault="00265792">
      <w:pPr>
        <w:pStyle w:val="ARbody"/>
        <w:rPr>
          <w:lang w:val="en-US"/>
        </w:rPr>
      </w:pPr>
      <w:r w:rsidRPr="007659ED">
        <w:rPr>
          <w:lang w:val="en-US"/>
        </w:rPr>
        <w:t>We further state that, in our opinion, the information set out in the Comprehensive Operating Statement,</w:t>
      </w:r>
      <w:r>
        <w:rPr>
          <w:lang w:val="en-US"/>
        </w:rPr>
        <w:t xml:space="preserve"> </w:t>
      </w:r>
      <w:r w:rsidRPr="007659ED">
        <w:rPr>
          <w:lang w:val="en-US"/>
        </w:rPr>
        <w:t>Balance Sheet, Cash Flow Statement, Statement of Changes in Equity and accompanying notes, presents</w:t>
      </w:r>
      <w:r>
        <w:rPr>
          <w:lang w:val="en-US"/>
        </w:rPr>
        <w:t xml:space="preserve"> </w:t>
      </w:r>
      <w:r w:rsidRPr="007659ED">
        <w:rPr>
          <w:lang w:val="en-US"/>
        </w:rPr>
        <w:t>fairly the financial transactions during the year ended 30 June 202</w:t>
      </w:r>
      <w:r>
        <w:rPr>
          <w:lang w:val="en-US"/>
        </w:rPr>
        <w:t>5</w:t>
      </w:r>
      <w:r w:rsidRPr="007659ED">
        <w:rPr>
          <w:lang w:val="en-US"/>
        </w:rPr>
        <w:t xml:space="preserve"> and financial position of the department</w:t>
      </w:r>
      <w:r>
        <w:rPr>
          <w:lang w:val="en-US"/>
        </w:rPr>
        <w:t xml:space="preserve"> </w:t>
      </w:r>
      <w:r w:rsidRPr="007659ED">
        <w:rPr>
          <w:lang w:val="en-US"/>
        </w:rPr>
        <w:t xml:space="preserve">as </w:t>
      </w:r>
      <w:proofErr w:type="gramStart"/>
      <w:r w:rsidRPr="007659ED">
        <w:rPr>
          <w:lang w:val="en-US"/>
        </w:rPr>
        <w:t>at</w:t>
      </w:r>
      <w:proofErr w:type="gramEnd"/>
      <w:r w:rsidRPr="007659ED">
        <w:rPr>
          <w:lang w:val="en-US"/>
        </w:rPr>
        <w:t xml:space="preserve"> 30 June 202</w:t>
      </w:r>
      <w:r>
        <w:rPr>
          <w:lang w:val="en-US"/>
        </w:rPr>
        <w:t>5</w:t>
      </w:r>
      <w:r w:rsidRPr="007659ED">
        <w:rPr>
          <w:lang w:val="en-US"/>
        </w:rPr>
        <w:t>.</w:t>
      </w:r>
    </w:p>
    <w:p w14:paraId="5BB14D32" w14:textId="1600FF71" w:rsidR="00265792" w:rsidRDefault="00265792">
      <w:pPr>
        <w:pStyle w:val="ARbody"/>
        <w:rPr>
          <w:lang w:val="en-US"/>
        </w:rPr>
      </w:pPr>
      <w:r w:rsidRPr="007659ED">
        <w:rPr>
          <w:lang w:val="en-US"/>
        </w:rPr>
        <w:t xml:space="preserve">At the time of signing, we are not aware of any circumstance </w:t>
      </w:r>
      <w:r w:rsidR="00ED64FA">
        <w:rPr>
          <w:lang w:val="en-US"/>
        </w:rPr>
        <w:t>that</w:t>
      </w:r>
      <w:r w:rsidR="00ED64FA" w:rsidRPr="007659ED">
        <w:rPr>
          <w:lang w:val="en-US"/>
        </w:rPr>
        <w:t xml:space="preserve"> </w:t>
      </w:r>
      <w:r w:rsidRPr="007659ED">
        <w:rPr>
          <w:lang w:val="en-US"/>
        </w:rPr>
        <w:t>would render any particulars included in</w:t>
      </w:r>
      <w:r>
        <w:rPr>
          <w:lang w:val="en-US"/>
        </w:rPr>
        <w:t xml:space="preserve"> </w:t>
      </w:r>
      <w:r w:rsidRPr="007659ED">
        <w:rPr>
          <w:lang w:val="en-US"/>
        </w:rPr>
        <w:t>the financial statements to be misleading or inaccurate.</w:t>
      </w:r>
    </w:p>
    <w:p w14:paraId="3BEB5C65" w14:textId="77777777" w:rsidR="00265792" w:rsidRPr="007659ED" w:rsidRDefault="00265792">
      <w:pPr>
        <w:pStyle w:val="ARbody"/>
        <w:rPr>
          <w:lang w:val="en-US"/>
        </w:rPr>
      </w:pPr>
      <w:r w:rsidRPr="007659ED">
        <w:rPr>
          <w:lang w:val="en-US"/>
        </w:rPr>
        <w:t xml:space="preserve">We </w:t>
      </w:r>
      <w:proofErr w:type="spellStart"/>
      <w:r w:rsidRPr="007659ED">
        <w:rPr>
          <w:lang w:val="en-US"/>
        </w:rPr>
        <w:t>authorise</w:t>
      </w:r>
      <w:proofErr w:type="spellEnd"/>
      <w:r w:rsidRPr="007659ED">
        <w:rPr>
          <w:lang w:val="en-US"/>
        </w:rPr>
        <w:t xml:space="preserve"> the attached financial statements for issue on </w:t>
      </w:r>
      <w:r>
        <w:rPr>
          <w:lang w:val="en-US"/>
        </w:rPr>
        <w:t>12</w:t>
      </w:r>
      <w:r w:rsidRPr="007659ED">
        <w:rPr>
          <w:lang w:val="en-US"/>
        </w:rPr>
        <w:t xml:space="preserve"> September 202</w:t>
      </w:r>
      <w:r>
        <w:rPr>
          <w:lang w:val="en-US"/>
        </w:rPr>
        <w:t>5</w:t>
      </w:r>
      <w:r w:rsidRPr="007659ED">
        <w:rPr>
          <w:lang w:val="en-US"/>
        </w:rPr>
        <w:t>.</w:t>
      </w:r>
    </w:p>
    <w:p w14:paraId="702961ED" w14:textId="77777777" w:rsidR="00572D62" w:rsidRDefault="00572D62" w:rsidP="009C26C8">
      <w:pPr>
        <w:pStyle w:val="ARbodynospace"/>
        <w:spacing w:before="720"/>
        <w:rPr>
          <w:rStyle w:val="Strong"/>
        </w:rPr>
      </w:pPr>
      <w:r w:rsidRPr="00532DAE">
        <w:rPr>
          <w:noProof/>
        </w:rPr>
        <w:drawing>
          <wp:inline distT="0" distB="0" distL="0" distR="0" wp14:anchorId="365C25B6" wp14:editId="081F8D23">
            <wp:extent cx="1845277" cy="570368"/>
            <wp:effectExtent l="0" t="0" r="3175" b="1270"/>
            <wp:docPr id="16" name="Picture 16" descr="Signature&#10;Peta McCammon&#10;Secretary&#10;Department of Families, Fairness and Hous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ignature&#10;Peta McCammon&#10;Secretary&#10;Department of Families, Fairness and Housing&#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7163" cy="574042"/>
                    </a:xfrm>
                    <a:prstGeom prst="rect">
                      <a:avLst/>
                    </a:prstGeom>
                    <a:noFill/>
                    <a:ln>
                      <a:noFill/>
                    </a:ln>
                  </pic:spPr>
                </pic:pic>
              </a:graphicData>
            </a:graphic>
          </wp:inline>
        </w:drawing>
      </w:r>
    </w:p>
    <w:p w14:paraId="0AF2C30B" w14:textId="107EEBD1" w:rsidR="00265792" w:rsidRPr="00BF3706" w:rsidRDefault="00265792">
      <w:pPr>
        <w:pStyle w:val="ARbodynospace"/>
        <w:rPr>
          <w:rStyle w:val="Strong"/>
        </w:rPr>
      </w:pPr>
      <w:r w:rsidRPr="00BF3706">
        <w:rPr>
          <w:rStyle w:val="Strong"/>
        </w:rPr>
        <w:t>Peta McCammon</w:t>
      </w:r>
    </w:p>
    <w:p w14:paraId="1E313771" w14:textId="77777777" w:rsidR="00265792" w:rsidRPr="007659ED" w:rsidRDefault="00265792">
      <w:pPr>
        <w:pStyle w:val="ARbodynospace"/>
        <w:rPr>
          <w:lang w:val="en-US"/>
        </w:rPr>
      </w:pPr>
      <w:r w:rsidRPr="007659ED">
        <w:rPr>
          <w:lang w:val="en-US"/>
        </w:rPr>
        <w:t>Secretary</w:t>
      </w:r>
    </w:p>
    <w:p w14:paraId="6128B79A" w14:textId="77777777" w:rsidR="00265792" w:rsidRPr="007659ED" w:rsidRDefault="00265792">
      <w:pPr>
        <w:pStyle w:val="ARbody"/>
        <w:rPr>
          <w:lang w:val="en-US"/>
        </w:rPr>
      </w:pPr>
      <w:r w:rsidRPr="007659ED">
        <w:rPr>
          <w:lang w:val="en-US"/>
        </w:rPr>
        <w:t>Department of Families, Fairness and Housing</w:t>
      </w:r>
    </w:p>
    <w:p w14:paraId="721868B5" w14:textId="77777777" w:rsidR="00265792" w:rsidRPr="007659ED" w:rsidRDefault="00265792">
      <w:pPr>
        <w:pStyle w:val="ARbodynospace"/>
        <w:rPr>
          <w:lang w:val="en-US"/>
        </w:rPr>
      </w:pPr>
      <w:r w:rsidRPr="007659ED">
        <w:rPr>
          <w:lang w:val="en-US"/>
        </w:rPr>
        <w:t>Melbourne</w:t>
      </w:r>
    </w:p>
    <w:p w14:paraId="2D75D8D2" w14:textId="77777777" w:rsidR="00265792" w:rsidRPr="007659ED" w:rsidRDefault="00265792">
      <w:pPr>
        <w:pStyle w:val="ARbody"/>
        <w:rPr>
          <w:lang w:val="en-US"/>
        </w:rPr>
      </w:pPr>
      <w:r>
        <w:rPr>
          <w:lang w:val="en-US"/>
        </w:rPr>
        <w:t xml:space="preserve">12 </w:t>
      </w:r>
      <w:r w:rsidRPr="007659ED">
        <w:rPr>
          <w:lang w:val="en-US"/>
        </w:rPr>
        <w:t>September 202</w:t>
      </w:r>
      <w:r>
        <w:rPr>
          <w:lang w:val="en-US"/>
        </w:rPr>
        <w:t>5</w:t>
      </w:r>
    </w:p>
    <w:p w14:paraId="1D0BCDE1" w14:textId="77777777" w:rsidR="00265792" w:rsidRDefault="00265792" w:rsidP="00572D62">
      <w:pPr>
        <w:spacing w:before="960"/>
        <w:rPr>
          <w:lang w:val="en-US"/>
        </w:rPr>
      </w:pPr>
      <w:r>
        <w:rPr>
          <w:noProof/>
        </w:rPr>
        <w:drawing>
          <wp:inline distT="0" distB="0" distL="0" distR="0" wp14:anchorId="1E4D1C4F" wp14:editId="44634A5A">
            <wp:extent cx="1371600" cy="400050"/>
            <wp:effectExtent l="0" t="0" r="0" b="0"/>
            <wp:docPr id="737152034" name="drawing" descr="Signature Cynthia Lahiff&#10;Chief Finance Offic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52034" name="drawing" descr="Signature Cynthia Lahiff&#10;Chief Finance Officer&#10;"/>
                    <pic:cNvPicPr/>
                  </pic:nvPicPr>
                  <pic:blipFill>
                    <a:blip r:embed="rId143">
                      <a:extLst>
                        <a:ext uri="{28A0092B-C50C-407E-A947-70E740481C1C}">
                          <a14:useLocalDpi xmlns:a14="http://schemas.microsoft.com/office/drawing/2010/main" val="0"/>
                        </a:ext>
                      </a:extLst>
                    </a:blip>
                    <a:stretch>
                      <a:fillRect/>
                    </a:stretch>
                  </pic:blipFill>
                  <pic:spPr>
                    <a:xfrm>
                      <a:off x="0" y="0"/>
                      <a:ext cx="1371600" cy="400050"/>
                    </a:xfrm>
                    <a:prstGeom prst="rect">
                      <a:avLst/>
                    </a:prstGeom>
                  </pic:spPr>
                </pic:pic>
              </a:graphicData>
            </a:graphic>
          </wp:inline>
        </w:drawing>
      </w:r>
    </w:p>
    <w:p w14:paraId="68E5DF31" w14:textId="77777777" w:rsidR="00265792" w:rsidRPr="00BF3706" w:rsidRDefault="00265792">
      <w:pPr>
        <w:pStyle w:val="ARbodynospace"/>
        <w:rPr>
          <w:rStyle w:val="Strong"/>
        </w:rPr>
      </w:pPr>
      <w:r w:rsidRPr="00BF3706">
        <w:rPr>
          <w:rStyle w:val="Strong"/>
        </w:rPr>
        <w:t>Cynthia Lahiff</w:t>
      </w:r>
    </w:p>
    <w:p w14:paraId="55B04C51" w14:textId="77777777" w:rsidR="00265792" w:rsidRPr="007659ED" w:rsidRDefault="00265792">
      <w:pPr>
        <w:pStyle w:val="ARbodynospace"/>
        <w:rPr>
          <w:lang w:val="en-US"/>
        </w:rPr>
      </w:pPr>
      <w:r w:rsidRPr="007659ED">
        <w:rPr>
          <w:lang w:val="en-US"/>
        </w:rPr>
        <w:t>Chief Finance Officer</w:t>
      </w:r>
    </w:p>
    <w:p w14:paraId="676CA062" w14:textId="77777777" w:rsidR="00265792" w:rsidRPr="007659ED" w:rsidRDefault="00265792">
      <w:pPr>
        <w:pStyle w:val="ARbody"/>
        <w:rPr>
          <w:lang w:val="en-US"/>
        </w:rPr>
      </w:pPr>
      <w:r w:rsidRPr="007659ED">
        <w:rPr>
          <w:lang w:val="en-US"/>
        </w:rPr>
        <w:t>Department of Families, Fairness and Housing</w:t>
      </w:r>
    </w:p>
    <w:p w14:paraId="4D51AB17" w14:textId="77777777" w:rsidR="00265792" w:rsidRPr="007659ED" w:rsidRDefault="00265792">
      <w:pPr>
        <w:pStyle w:val="ARbodynospace"/>
        <w:rPr>
          <w:lang w:val="en-US"/>
        </w:rPr>
      </w:pPr>
      <w:r w:rsidRPr="007659ED">
        <w:rPr>
          <w:lang w:val="en-US"/>
        </w:rPr>
        <w:t>Melbourne</w:t>
      </w:r>
    </w:p>
    <w:p w14:paraId="511D62E0" w14:textId="77777777" w:rsidR="00265792" w:rsidRDefault="00265792" w:rsidP="002542E1">
      <w:pPr>
        <w:pStyle w:val="ARbody"/>
        <w:rPr>
          <w:lang w:val="en-US"/>
        </w:rPr>
      </w:pPr>
      <w:r>
        <w:rPr>
          <w:lang w:val="en-US"/>
        </w:rPr>
        <w:t>12</w:t>
      </w:r>
      <w:r w:rsidRPr="007659ED">
        <w:rPr>
          <w:lang w:val="en-US"/>
        </w:rPr>
        <w:t xml:space="preserve"> September 202</w:t>
      </w:r>
      <w:r>
        <w:rPr>
          <w:lang w:val="en-US"/>
        </w:rPr>
        <w:t>5</w:t>
      </w:r>
    </w:p>
    <w:p w14:paraId="6F671D30" w14:textId="77777777" w:rsidR="00265792" w:rsidRPr="00BA7805" w:rsidRDefault="00265792" w:rsidP="000E392F">
      <w:pPr>
        <w:pStyle w:val="ARbody"/>
        <w:rPr>
          <w:highlight w:val="green"/>
        </w:rPr>
      </w:pPr>
      <w:r w:rsidRPr="00BA7805">
        <w:rPr>
          <w:highlight w:val="green"/>
        </w:rPr>
        <w:br w:type="page"/>
      </w:r>
    </w:p>
    <w:p w14:paraId="3722F419" w14:textId="55B3B807" w:rsidR="00113C79" w:rsidRDefault="00265792" w:rsidP="00113C79">
      <w:pPr>
        <w:pStyle w:val="Heading2Financials"/>
        <w:spacing w:before="0"/>
      </w:pPr>
      <w:bookmarkStart w:id="253" w:name="_Toc212041650"/>
      <w:r w:rsidRPr="00DE3F66">
        <w:lastRenderedPageBreak/>
        <w:t>Independent auditor</w:t>
      </w:r>
      <w:r>
        <w:t>’</w:t>
      </w:r>
      <w:r w:rsidRPr="00DE3F66">
        <w:t>s report</w:t>
      </w:r>
      <w:bookmarkEnd w:id="253"/>
    </w:p>
    <w:p w14:paraId="398D8774" w14:textId="4D132ADA" w:rsidR="00BB7215" w:rsidRPr="00DE3F66" w:rsidRDefault="00BB7215" w:rsidP="00BB7215">
      <w:pPr>
        <w:pStyle w:val="ARbody"/>
      </w:pPr>
      <w:r>
        <w:rPr>
          <w:noProof/>
        </w:rPr>
        <w:drawing>
          <wp:inline distT="0" distB="0" distL="0" distR="0" wp14:anchorId="735FC0DA" wp14:editId="41CBF7DD">
            <wp:extent cx="6010910" cy="8499021"/>
            <wp:effectExtent l="19050" t="19050" r="27940" b="16510"/>
            <wp:docPr id="1214613030" name="Picture 7" descr="Independent auditor’s report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13030" name="Picture 7" descr="Independent auditor’s report page 1"/>
                    <pic:cNvPicPr/>
                  </pic:nvPicPr>
                  <pic:blipFill>
                    <a:blip r:embed="rId144" cstate="print">
                      <a:extLst>
                        <a:ext uri="{28A0092B-C50C-407E-A947-70E740481C1C}">
                          <a14:useLocalDpi xmlns:a14="http://schemas.microsoft.com/office/drawing/2010/main"/>
                        </a:ext>
                      </a:extLst>
                    </a:blip>
                    <a:stretch>
                      <a:fillRect/>
                    </a:stretch>
                  </pic:blipFill>
                  <pic:spPr>
                    <a:xfrm>
                      <a:off x="0" y="0"/>
                      <a:ext cx="6031385" cy="8527971"/>
                    </a:xfrm>
                    <a:prstGeom prst="rect">
                      <a:avLst/>
                    </a:prstGeom>
                    <a:ln w="3175">
                      <a:solidFill>
                        <a:schemeClr val="accent2"/>
                      </a:solidFill>
                    </a:ln>
                  </pic:spPr>
                </pic:pic>
              </a:graphicData>
            </a:graphic>
          </wp:inline>
        </w:drawing>
      </w:r>
    </w:p>
    <w:p w14:paraId="7F024E4C" w14:textId="29756499" w:rsidR="00265792" w:rsidRDefault="00BB7215" w:rsidP="002774B2">
      <w:pPr>
        <w:pStyle w:val="ARbody"/>
        <w:rPr>
          <w:highlight w:val="green"/>
        </w:rPr>
      </w:pPr>
      <w:r>
        <w:rPr>
          <w:noProof/>
        </w:rPr>
        <w:lastRenderedPageBreak/>
        <w:drawing>
          <wp:inline distT="0" distB="0" distL="0" distR="0" wp14:anchorId="6A358EF9" wp14:editId="052D9EF0">
            <wp:extent cx="6116320" cy="8648065"/>
            <wp:effectExtent l="19050" t="19050" r="17780" b="19685"/>
            <wp:docPr id="1969654787" name="Picture 8" descr="Independent auditor’s report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54787" name="Picture 8" descr="Independent auditor’s report page 2"/>
                    <pic:cNvPicPr/>
                  </pic:nvPicPr>
                  <pic:blipFill>
                    <a:blip r:embed="rId145" cstate="print">
                      <a:extLst>
                        <a:ext uri="{28A0092B-C50C-407E-A947-70E740481C1C}">
                          <a14:useLocalDpi xmlns:a14="http://schemas.microsoft.com/office/drawing/2010/main"/>
                        </a:ext>
                      </a:extLst>
                    </a:blip>
                    <a:stretch>
                      <a:fillRect/>
                    </a:stretch>
                  </pic:blipFill>
                  <pic:spPr>
                    <a:xfrm>
                      <a:off x="0" y="0"/>
                      <a:ext cx="6116320" cy="8648065"/>
                    </a:xfrm>
                    <a:prstGeom prst="rect">
                      <a:avLst/>
                    </a:prstGeom>
                    <a:ln w="3175">
                      <a:solidFill>
                        <a:schemeClr val="tx1"/>
                      </a:solidFill>
                    </a:ln>
                  </pic:spPr>
                </pic:pic>
              </a:graphicData>
            </a:graphic>
          </wp:inline>
        </w:drawing>
      </w:r>
      <w:r>
        <w:rPr>
          <w:noProof/>
        </w:rPr>
        <w:lastRenderedPageBreak/>
        <w:drawing>
          <wp:inline distT="0" distB="0" distL="0" distR="0" wp14:anchorId="646D94EE" wp14:editId="42371A67">
            <wp:extent cx="6116320" cy="8648065"/>
            <wp:effectExtent l="19050" t="19050" r="17780" b="19685"/>
            <wp:docPr id="1597778756" name="Picture 9" descr="Independent auditor’s report 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78756" name="Picture 9" descr="Independent auditor’s report page 3"/>
                    <pic:cNvPicPr/>
                  </pic:nvPicPr>
                  <pic:blipFill>
                    <a:blip r:embed="rId146" cstate="print">
                      <a:extLst>
                        <a:ext uri="{28A0092B-C50C-407E-A947-70E740481C1C}">
                          <a14:useLocalDpi xmlns:a14="http://schemas.microsoft.com/office/drawing/2010/main"/>
                        </a:ext>
                      </a:extLst>
                    </a:blip>
                    <a:stretch>
                      <a:fillRect/>
                    </a:stretch>
                  </pic:blipFill>
                  <pic:spPr>
                    <a:xfrm>
                      <a:off x="0" y="0"/>
                      <a:ext cx="6116320" cy="8648065"/>
                    </a:xfrm>
                    <a:prstGeom prst="rect">
                      <a:avLst/>
                    </a:prstGeom>
                    <a:ln w="3175">
                      <a:solidFill>
                        <a:schemeClr val="tx1"/>
                      </a:solidFill>
                    </a:ln>
                  </pic:spPr>
                </pic:pic>
              </a:graphicData>
            </a:graphic>
          </wp:inline>
        </w:drawing>
      </w:r>
      <w:r w:rsidRPr="002774B2">
        <w:rPr>
          <w:noProof/>
        </w:rPr>
        <w:lastRenderedPageBreak/>
        <w:drawing>
          <wp:inline distT="0" distB="0" distL="0" distR="0" wp14:anchorId="0B592B73" wp14:editId="56FCCA9E">
            <wp:extent cx="6116320" cy="8648065"/>
            <wp:effectExtent l="19050" t="19050" r="17780" b="19685"/>
            <wp:docPr id="1042761598" name="Picture 10" descr="Independent auditor’s report p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61598" name="Picture 10" descr="Independent auditor’s report page 4"/>
                    <pic:cNvPicPr/>
                  </pic:nvPicPr>
                  <pic:blipFill>
                    <a:blip r:embed="rId147" cstate="print">
                      <a:extLst>
                        <a:ext uri="{28A0092B-C50C-407E-A947-70E740481C1C}">
                          <a14:useLocalDpi xmlns:a14="http://schemas.microsoft.com/office/drawing/2010/main"/>
                        </a:ext>
                      </a:extLst>
                    </a:blip>
                    <a:stretch>
                      <a:fillRect/>
                    </a:stretch>
                  </pic:blipFill>
                  <pic:spPr>
                    <a:xfrm>
                      <a:off x="0" y="0"/>
                      <a:ext cx="6116320" cy="8648065"/>
                    </a:xfrm>
                    <a:prstGeom prst="rect">
                      <a:avLst/>
                    </a:prstGeom>
                    <a:ln w="3175">
                      <a:solidFill>
                        <a:schemeClr val="tx1"/>
                      </a:solidFill>
                    </a:ln>
                  </pic:spPr>
                </pic:pic>
              </a:graphicData>
            </a:graphic>
          </wp:inline>
        </w:drawing>
      </w:r>
      <w:r w:rsidR="00265792">
        <w:rPr>
          <w:highlight w:val="green"/>
        </w:rPr>
        <w:br w:type="page"/>
      </w:r>
    </w:p>
    <w:p w14:paraId="1682BB77" w14:textId="77777777" w:rsidR="00265792" w:rsidRPr="005477F5" w:rsidRDefault="00265792" w:rsidP="00BB645D">
      <w:pPr>
        <w:pStyle w:val="Heading2Financials"/>
        <w:spacing w:before="0"/>
      </w:pPr>
      <w:bookmarkStart w:id="254" w:name="_Toc212041651"/>
      <w:r w:rsidRPr="005477F5">
        <w:lastRenderedPageBreak/>
        <w:t>Comprehensive operating statement</w:t>
      </w:r>
      <w:r w:rsidRPr="005477F5">
        <w:br/>
        <w:t>for the financial year ended 30 June 202</w:t>
      </w:r>
      <w:r>
        <w:t>5</w:t>
      </w:r>
      <w:bookmarkEnd w:id="254"/>
    </w:p>
    <w:tbl>
      <w:tblPr>
        <w:tblStyle w:val="TableGrid"/>
        <w:tblW w:w="9637" w:type="dxa"/>
        <w:tblLayout w:type="fixed"/>
        <w:tblLook w:val="06E0" w:firstRow="1" w:lastRow="1" w:firstColumn="1" w:lastColumn="0" w:noHBand="1" w:noVBand="1"/>
      </w:tblPr>
      <w:tblGrid>
        <w:gridCol w:w="6064"/>
        <w:gridCol w:w="851"/>
        <w:gridCol w:w="1361"/>
        <w:gridCol w:w="1361"/>
      </w:tblGrid>
      <w:tr w:rsidR="00265792" w:rsidRPr="00BA7805" w14:paraId="306E37EF" w14:textId="77777777" w:rsidTr="00406CC9">
        <w:trPr>
          <w:cnfStyle w:val="100000000000" w:firstRow="1" w:lastRow="0" w:firstColumn="0" w:lastColumn="0" w:oddVBand="0" w:evenVBand="0" w:oddHBand="0" w:evenHBand="0" w:firstRowFirstColumn="0" w:firstRowLastColumn="0" w:lastRowFirstColumn="0" w:lastRowLastColumn="0"/>
          <w:tblHeader/>
        </w:trPr>
        <w:tc>
          <w:tcPr>
            <w:tcW w:w="6064" w:type="dxa"/>
            <w:noWrap/>
            <w:hideMark/>
          </w:tcPr>
          <w:p w14:paraId="305E6F77" w14:textId="77777777" w:rsidR="00265792" w:rsidRPr="00BA7805" w:rsidRDefault="00265792">
            <w:pPr>
              <w:pStyle w:val="ARfintablecolhead"/>
              <w:rPr>
                <w:highlight w:val="green"/>
              </w:rPr>
            </w:pPr>
          </w:p>
        </w:tc>
        <w:tc>
          <w:tcPr>
            <w:tcW w:w="851" w:type="dxa"/>
            <w:noWrap/>
            <w:hideMark/>
          </w:tcPr>
          <w:p w14:paraId="31E6FAA7" w14:textId="77777777" w:rsidR="00265792" w:rsidRPr="00666F1B" w:rsidRDefault="00265792" w:rsidP="00DF220B">
            <w:pPr>
              <w:pStyle w:val="ARfintablecolheadright"/>
            </w:pPr>
            <w:r w:rsidRPr="00666F1B">
              <w:t>Note</w:t>
            </w:r>
          </w:p>
        </w:tc>
        <w:tc>
          <w:tcPr>
            <w:tcW w:w="1361" w:type="dxa"/>
            <w:shd w:val="clear" w:color="auto" w:fill="EEEEEF" w:themeFill="accent4"/>
            <w:hideMark/>
          </w:tcPr>
          <w:p w14:paraId="052AAB05" w14:textId="77777777" w:rsidR="00265792" w:rsidRPr="00666F1B" w:rsidRDefault="00265792" w:rsidP="00DF220B">
            <w:pPr>
              <w:pStyle w:val="ARfintablecolheadright"/>
            </w:pPr>
            <w:r w:rsidRPr="00666F1B">
              <w:t>202</w:t>
            </w:r>
            <w:r>
              <w:t>5</w:t>
            </w:r>
          </w:p>
          <w:p w14:paraId="50EF83D5" w14:textId="77777777" w:rsidR="00265792" w:rsidRPr="00666F1B" w:rsidRDefault="00265792" w:rsidP="00DF220B">
            <w:pPr>
              <w:pStyle w:val="ARfintablecolheadright"/>
            </w:pPr>
            <w:r w:rsidRPr="00666F1B">
              <w:t>$M</w:t>
            </w:r>
          </w:p>
        </w:tc>
        <w:tc>
          <w:tcPr>
            <w:tcW w:w="1361" w:type="dxa"/>
            <w:hideMark/>
          </w:tcPr>
          <w:p w14:paraId="0FA151E2" w14:textId="77777777" w:rsidR="00265792" w:rsidRPr="00666F1B" w:rsidRDefault="00265792" w:rsidP="00DF220B">
            <w:pPr>
              <w:pStyle w:val="ARfintablecolheadright"/>
            </w:pPr>
            <w:r w:rsidRPr="00666F1B">
              <w:t>202</w:t>
            </w:r>
            <w:r>
              <w:t>4</w:t>
            </w:r>
          </w:p>
          <w:p w14:paraId="3ACEF3DD" w14:textId="77777777" w:rsidR="00265792" w:rsidRPr="00666F1B" w:rsidRDefault="00265792" w:rsidP="00DF220B">
            <w:pPr>
              <w:pStyle w:val="ARfintablecolheadright"/>
            </w:pPr>
            <w:r w:rsidRPr="00666F1B">
              <w:t>$M</w:t>
            </w:r>
          </w:p>
        </w:tc>
      </w:tr>
      <w:tr w:rsidR="00265792" w:rsidRPr="00BA7805" w14:paraId="0B2ECE9D" w14:textId="77777777" w:rsidTr="00CC46F3">
        <w:tc>
          <w:tcPr>
            <w:tcW w:w="6064" w:type="dxa"/>
          </w:tcPr>
          <w:p w14:paraId="0F648CB7" w14:textId="77777777" w:rsidR="00265792" w:rsidRPr="00BA7805" w:rsidRDefault="00265792" w:rsidP="00BB1219">
            <w:pPr>
              <w:pStyle w:val="ARfintablebodybold"/>
              <w:rPr>
                <w:highlight w:val="green"/>
              </w:rPr>
            </w:pPr>
            <w:r w:rsidRPr="00DE00A2">
              <w:t>Revenue and income from transactions</w:t>
            </w:r>
          </w:p>
        </w:tc>
        <w:tc>
          <w:tcPr>
            <w:tcW w:w="851" w:type="dxa"/>
            <w:noWrap/>
          </w:tcPr>
          <w:p w14:paraId="1F77077F" w14:textId="77777777" w:rsidR="00265792" w:rsidRPr="00BA7805" w:rsidRDefault="00265792" w:rsidP="00233A3C">
            <w:pPr>
              <w:pStyle w:val="ARfintablebodyright"/>
              <w:rPr>
                <w:highlight w:val="green"/>
              </w:rPr>
            </w:pPr>
          </w:p>
        </w:tc>
        <w:tc>
          <w:tcPr>
            <w:tcW w:w="1361" w:type="dxa"/>
            <w:noWrap/>
          </w:tcPr>
          <w:p w14:paraId="346763C3" w14:textId="77777777" w:rsidR="00265792" w:rsidRPr="00BA7805" w:rsidRDefault="00265792" w:rsidP="00233A3C">
            <w:pPr>
              <w:pStyle w:val="ARfintablebodyright"/>
              <w:rPr>
                <w:highlight w:val="green"/>
              </w:rPr>
            </w:pPr>
          </w:p>
        </w:tc>
        <w:tc>
          <w:tcPr>
            <w:tcW w:w="1361" w:type="dxa"/>
            <w:noWrap/>
          </w:tcPr>
          <w:p w14:paraId="7D6AF465" w14:textId="77777777" w:rsidR="00265792" w:rsidRPr="00BA7805" w:rsidRDefault="00265792" w:rsidP="00233A3C">
            <w:pPr>
              <w:pStyle w:val="ARfintablebodyright"/>
              <w:rPr>
                <w:highlight w:val="green"/>
              </w:rPr>
            </w:pPr>
          </w:p>
        </w:tc>
      </w:tr>
      <w:tr w:rsidR="00265792" w:rsidRPr="00BA7805" w14:paraId="14C6DD1D" w14:textId="77777777" w:rsidTr="00CC46F3">
        <w:tc>
          <w:tcPr>
            <w:tcW w:w="6064" w:type="dxa"/>
          </w:tcPr>
          <w:p w14:paraId="1DB923B2" w14:textId="77777777" w:rsidR="00265792" w:rsidRPr="00BA7805" w:rsidRDefault="00265792" w:rsidP="00233A3C">
            <w:pPr>
              <w:pStyle w:val="ARfintablebody"/>
              <w:rPr>
                <w:highlight w:val="green"/>
              </w:rPr>
            </w:pPr>
            <w:r w:rsidRPr="00DE00A2">
              <w:t>Output appropriations</w:t>
            </w:r>
          </w:p>
        </w:tc>
        <w:tc>
          <w:tcPr>
            <w:tcW w:w="851" w:type="dxa"/>
            <w:noWrap/>
          </w:tcPr>
          <w:p w14:paraId="629B2227" w14:textId="77777777" w:rsidR="00265792" w:rsidRPr="00BA7805" w:rsidRDefault="00265792" w:rsidP="00233A3C">
            <w:pPr>
              <w:pStyle w:val="ARfintablebodyright"/>
              <w:rPr>
                <w:highlight w:val="green"/>
              </w:rPr>
            </w:pPr>
            <w:r w:rsidRPr="00DE00A2">
              <w:t>2.3</w:t>
            </w:r>
          </w:p>
        </w:tc>
        <w:tc>
          <w:tcPr>
            <w:tcW w:w="1361" w:type="dxa"/>
            <w:shd w:val="clear" w:color="auto" w:fill="EEEEEF" w:themeFill="accent4"/>
            <w:noWrap/>
          </w:tcPr>
          <w:p w14:paraId="747A1EBC" w14:textId="77777777" w:rsidR="00265792" w:rsidRPr="00BA7805" w:rsidRDefault="00265792" w:rsidP="00233A3C">
            <w:pPr>
              <w:pStyle w:val="ARfintablebodyright"/>
              <w:rPr>
                <w:highlight w:val="green"/>
              </w:rPr>
            </w:pPr>
            <w:r w:rsidRPr="00DE00A2">
              <w:t>6,307.1</w:t>
            </w:r>
          </w:p>
        </w:tc>
        <w:tc>
          <w:tcPr>
            <w:tcW w:w="1361" w:type="dxa"/>
            <w:noWrap/>
          </w:tcPr>
          <w:p w14:paraId="0BFA1A12" w14:textId="77777777" w:rsidR="00265792" w:rsidRPr="00BA7805" w:rsidRDefault="00265792" w:rsidP="00233A3C">
            <w:pPr>
              <w:pStyle w:val="ARfintablebodyright"/>
              <w:rPr>
                <w:highlight w:val="green"/>
              </w:rPr>
            </w:pPr>
            <w:r w:rsidRPr="00DE00A2">
              <w:t>5,302.2</w:t>
            </w:r>
          </w:p>
        </w:tc>
      </w:tr>
      <w:tr w:rsidR="00265792" w:rsidRPr="00BA7805" w14:paraId="31F6A659" w14:textId="77777777" w:rsidTr="00CC46F3">
        <w:tc>
          <w:tcPr>
            <w:tcW w:w="6064" w:type="dxa"/>
          </w:tcPr>
          <w:p w14:paraId="2C1D5A55" w14:textId="77777777" w:rsidR="00265792" w:rsidRPr="00BA7805" w:rsidRDefault="00265792" w:rsidP="00233A3C">
            <w:pPr>
              <w:pStyle w:val="ARfintablebody"/>
              <w:rPr>
                <w:highlight w:val="green"/>
              </w:rPr>
            </w:pPr>
            <w:r w:rsidRPr="00DE00A2">
              <w:t>Special appropriations</w:t>
            </w:r>
          </w:p>
        </w:tc>
        <w:tc>
          <w:tcPr>
            <w:tcW w:w="851" w:type="dxa"/>
            <w:noWrap/>
          </w:tcPr>
          <w:p w14:paraId="7D1F3C93" w14:textId="77777777" w:rsidR="00265792" w:rsidRPr="00BA7805" w:rsidRDefault="00265792" w:rsidP="00233A3C">
            <w:pPr>
              <w:pStyle w:val="ARfintablebodyright"/>
              <w:rPr>
                <w:highlight w:val="green"/>
              </w:rPr>
            </w:pPr>
            <w:r w:rsidRPr="00DE00A2">
              <w:t>2.3</w:t>
            </w:r>
          </w:p>
        </w:tc>
        <w:tc>
          <w:tcPr>
            <w:tcW w:w="1361" w:type="dxa"/>
            <w:shd w:val="clear" w:color="auto" w:fill="EEEEEF" w:themeFill="accent4"/>
            <w:noWrap/>
          </w:tcPr>
          <w:p w14:paraId="3263E178" w14:textId="77777777" w:rsidR="00265792" w:rsidRPr="00BA7805" w:rsidRDefault="00265792" w:rsidP="00233A3C">
            <w:pPr>
              <w:pStyle w:val="ARfintablebodyright"/>
              <w:rPr>
                <w:highlight w:val="green"/>
              </w:rPr>
            </w:pPr>
            <w:r w:rsidRPr="00DE00A2">
              <w:t>100.6</w:t>
            </w:r>
          </w:p>
        </w:tc>
        <w:tc>
          <w:tcPr>
            <w:tcW w:w="1361" w:type="dxa"/>
            <w:noWrap/>
          </w:tcPr>
          <w:p w14:paraId="3CCD7B0E" w14:textId="77777777" w:rsidR="00265792" w:rsidRPr="00BA7805" w:rsidRDefault="00265792" w:rsidP="00233A3C">
            <w:pPr>
              <w:pStyle w:val="ARfintablebodyright"/>
              <w:rPr>
                <w:highlight w:val="green"/>
              </w:rPr>
            </w:pPr>
            <w:r w:rsidRPr="00DE00A2">
              <w:t>79.5</w:t>
            </w:r>
          </w:p>
        </w:tc>
      </w:tr>
      <w:tr w:rsidR="00265792" w:rsidRPr="00BA7805" w14:paraId="2941605C" w14:textId="77777777" w:rsidTr="00CC46F3">
        <w:tc>
          <w:tcPr>
            <w:tcW w:w="6064" w:type="dxa"/>
          </w:tcPr>
          <w:p w14:paraId="5E586B23" w14:textId="77777777" w:rsidR="00265792" w:rsidRPr="00BA7805" w:rsidRDefault="00265792" w:rsidP="00233A3C">
            <w:pPr>
              <w:pStyle w:val="ARfintablebody"/>
              <w:rPr>
                <w:highlight w:val="green"/>
              </w:rPr>
            </w:pPr>
            <w:r w:rsidRPr="00DE00A2">
              <w:t>Rental income</w:t>
            </w:r>
          </w:p>
        </w:tc>
        <w:tc>
          <w:tcPr>
            <w:tcW w:w="851" w:type="dxa"/>
            <w:noWrap/>
          </w:tcPr>
          <w:p w14:paraId="01131082" w14:textId="77777777" w:rsidR="00265792" w:rsidRPr="00BA7805" w:rsidRDefault="00265792" w:rsidP="00233A3C">
            <w:pPr>
              <w:pStyle w:val="ARfintablebodyright"/>
              <w:rPr>
                <w:highlight w:val="green"/>
              </w:rPr>
            </w:pPr>
            <w:r w:rsidRPr="00DE00A2">
              <w:t>2.4.1</w:t>
            </w:r>
          </w:p>
        </w:tc>
        <w:tc>
          <w:tcPr>
            <w:tcW w:w="1361" w:type="dxa"/>
            <w:shd w:val="clear" w:color="auto" w:fill="EEEEEF" w:themeFill="accent4"/>
            <w:noWrap/>
          </w:tcPr>
          <w:p w14:paraId="536D0931" w14:textId="77777777" w:rsidR="00265792" w:rsidRPr="00BA7805" w:rsidRDefault="00265792" w:rsidP="00233A3C">
            <w:pPr>
              <w:pStyle w:val="ARfintablebodyright"/>
              <w:rPr>
                <w:highlight w:val="green"/>
              </w:rPr>
            </w:pPr>
            <w:r w:rsidRPr="00DE00A2">
              <w:t>594.6</w:t>
            </w:r>
          </w:p>
        </w:tc>
        <w:tc>
          <w:tcPr>
            <w:tcW w:w="1361" w:type="dxa"/>
            <w:noWrap/>
          </w:tcPr>
          <w:p w14:paraId="19067EF6" w14:textId="77777777" w:rsidR="00265792" w:rsidRPr="00BA7805" w:rsidRDefault="00265792" w:rsidP="00233A3C">
            <w:pPr>
              <w:pStyle w:val="ARfintablebodyright"/>
              <w:rPr>
                <w:highlight w:val="green"/>
              </w:rPr>
            </w:pPr>
            <w:r w:rsidRPr="00DE00A2">
              <w:t>555.5</w:t>
            </w:r>
          </w:p>
        </w:tc>
      </w:tr>
      <w:tr w:rsidR="00265792" w:rsidRPr="00BA7805" w14:paraId="542B2C17" w14:textId="77777777" w:rsidTr="00CC46F3">
        <w:tc>
          <w:tcPr>
            <w:tcW w:w="6064" w:type="dxa"/>
            <w:tcBorders>
              <w:bottom w:val="single" w:sz="4" w:space="0" w:color="A6A6A6" w:themeColor="accent5"/>
            </w:tcBorders>
          </w:tcPr>
          <w:p w14:paraId="4C1A7DB7" w14:textId="77777777" w:rsidR="00265792" w:rsidRPr="00BA7805" w:rsidRDefault="00265792" w:rsidP="00233A3C">
            <w:pPr>
              <w:pStyle w:val="ARfintablebody"/>
              <w:rPr>
                <w:highlight w:val="green"/>
              </w:rPr>
            </w:pPr>
            <w:r w:rsidRPr="00DE00A2">
              <w:t>Grants</w:t>
            </w:r>
          </w:p>
        </w:tc>
        <w:tc>
          <w:tcPr>
            <w:tcW w:w="851" w:type="dxa"/>
            <w:tcBorders>
              <w:bottom w:val="single" w:sz="4" w:space="0" w:color="A6A6A6" w:themeColor="accent5"/>
            </w:tcBorders>
            <w:noWrap/>
          </w:tcPr>
          <w:p w14:paraId="2F55BC95" w14:textId="77777777" w:rsidR="00265792" w:rsidRPr="00BA7805" w:rsidRDefault="00265792" w:rsidP="00233A3C">
            <w:pPr>
              <w:pStyle w:val="ARfintablebodyright"/>
              <w:rPr>
                <w:highlight w:val="green"/>
              </w:rPr>
            </w:pPr>
            <w:r w:rsidRPr="00DE00A2">
              <w:t>2.4.2</w:t>
            </w:r>
          </w:p>
        </w:tc>
        <w:tc>
          <w:tcPr>
            <w:tcW w:w="1361" w:type="dxa"/>
            <w:tcBorders>
              <w:bottom w:val="single" w:sz="4" w:space="0" w:color="A6A6A6" w:themeColor="accent5"/>
            </w:tcBorders>
            <w:shd w:val="clear" w:color="auto" w:fill="EEEEEF" w:themeFill="accent4"/>
            <w:noWrap/>
          </w:tcPr>
          <w:p w14:paraId="07307793" w14:textId="77777777" w:rsidR="00265792" w:rsidRPr="00BA7805" w:rsidRDefault="00265792" w:rsidP="00233A3C">
            <w:pPr>
              <w:pStyle w:val="ARfintablebodyright"/>
              <w:rPr>
                <w:highlight w:val="green"/>
              </w:rPr>
            </w:pPr>
            <w:r w:rsidRPr="00DE00A2">
              <w:t>285.3</w:t>
            </w:r>
          </w:p>
        </w:tc>
        <w:tc>
          <w:tcPr>
            <w:tcW w:w="1361" w:type="dxa"/>
            <w:tcBorders>
              <w:bottom w:val="single" w:sz="4" w:space="0" w:color="A6A6A6" w:themeColor="accent5"/>
            </w:tcBorders>
            <w:noWrap/>
          </w:tcPr>
          <w:p w14:paraId="6967F4E7" w14:textId="77777777" w:rsidR="00265792" w:rsidRPr="00BA7805" w:rsidRDefault="00265792" w:rsidP="00233A3C">
            <w:pPr>
              <w:pStyle w:val="ARfintablebodyright"/>
              <w:rPr>
                <w:highlight w:val="green"/>
              </w:rPr>
            </w:pPr>
            <w:r w:rsidRPr="00DE00A2">
              <w:t>418.2</w:t>
            </w:r>
          </w:p>
        </w:tc>
      </w:tr>
      <w:tr w:rsidR="00265792" w:rsidRPr="00BA7805" w14:paraId="38981949" w14:textId="77777777" w:rsidTr="00CC46F3">
        <w:tc>
          <w:tcPr>
            <w:tcW w:w="6064" w:type="dxa"/>
            <w:tcBorders>
              <w:top w:val="single" w:sz="4" w:space="0" w:color="A6A6A6" w:themeColor="accent5"/>
              <w:bottom w:val="single" w:sz="4" w:space="0" w:color="000000" w:themeColor="text1"/>
            </w:tcBorders>
          </w:tcPr>
          <w:p w14:paraId="174756F5" w14:textId="77777777" w:rsidR="00265792" w:rsidRPr="00BA7805" w:rsidRDefault="00265792" w:rsidP="00233A3C">
            <w:pPr>
              <w:pStyle w:val="ARfintablebody"/>
              <w:rPr>
                <w:highlight w:val="green"/>
              </w:rPr>
            </w:pPr>
            <w:r w:rsidRPr="00DE00A2">
              <w:t>Other income</w:t>
            </w:r>
          </w:p>
        </w:tc>
        <w:tc>
          <w:tcPr>
            <w:tcW w:w="851" w:type="dxa"/>
            <w:tcBorders>
              <w:top w:val="single" w:sz="4" w:space="0" w:color="A6A6A6" w:themeColor="accent5"/>
              <w:bottom w:val="single" w:sz="4" w:space="0" w:color="000000" w:themeColor="text1"/>
            </w:tcBorders>
          </w:tcPr>
          <w:p w14:paraId="26DFBE5C" w14:textId="77777777" w:rsidR="00265792" w:rsidRPr="00BA7805" w:rsidRDefault="00265792" w:rsidP="00233A3C">
            <w:pPr>
              <w:pStyle w:val="ARfintablebodyright"/>
              <w:rPr>
                <w:highlight w:val="green"/>
              </w:rPr>
            </w:pPr>
          </w:p>
        </w:tc>
        <w:tc>
          <w:tcPr>
            <w:tcW w:w="1361" w:type="dxa"/>
            <w:tcBorders>
              <w:top w:val="single" w:sz="4" w:space="0" w:color="A6A6A6" w:themeColor="accent5"/>
              <w:bottom w:val="single" w:sz="4" w:space="0" w:color="000000" w:themeColor="text1"/>
            </w:tcBorders>
            <w:shd w:val="clear" w:color="auto" w:fill="EEEEEF" w:themeFill="accent4"/>
            <w:noWrap/>
          </w:tcPr>
          <w:p w14:paraId="7096A297" w14:textId="77777777" w:rsidR="00265792" w:rsidRPr="00BA7805" w:rsidRDefault="00265792" w:rsidP="00233A3C">
            <w:pPr>
              <w:pStyle w:val="ARfintablebodyright"/>
              <w:rPr>
                <w:highlight w:val="green"/>
              </w:rPr>
            </w:pPr>
            <w:r w:rsidRPr="00DE00A2">
              <w:t>54.2</w:t>
            </w:r>
          </w:p>
        </w:tc>
        <w:tc>
          <w:tcPr>
            <w:tcW w:w="1361" w:type="dxa"/>
            <w:tcBorders>
              <w:top w:val="single" w:sz="4" w:space="0" w:color="A6A6A6" w:themeColor="accent5"/>
              <w:bottom w:val="single" w:sz="4" w:space="0" w:color="000000" w:themeColor="text1"/>
            </w:tcBorders>
            <w:noWrap/>
          </w:tcPr>
          <w:p w14:paraId="5DE86C85" w14:textId="77777777" w:rsidR="00265792" w:rsidRPr="00BA7805" w:rsidRDefault="00265792" w:rsidP="00233A3C">
            <w:pPr>
              <w:pStyle w:val="ARfintablebodyright"/>
              <w:rPr>
                <w:highlight w:val="green"/>
              </w:rPr>
            </w:pPr>
            <w:r w:rsidRPr="00DE00A2">
              <w:t>42.6</w:t>
            </w:r>
          </w:p>
        </w:tc>
      </w:tr>
      <w:tr w:rsidR="00265792" w:rsidRPr="00BA7805" w14:paraId="20FAE1A8" w14:textId="77777777" w:rsidTr="00CC46F3">
        <w:tc>
          <w:tcPr>
            <w:tcW w:w="6064" w:type="dxa"/>
            <w:tcBorders>
              <w:top w:val="single" w:sz="4" w:space="0" w:color="000000" w:themeColor="text1"/>
              <w:bottom w:val="single" w:sz="4" w:space="0" w:color="000000" w:themeColor="text1"/>
            </w:tcBorders>
          </w:tcPr>
          <w:p w14:paraId="3E0EDFBC" w14:textId="77777777" w:rsidR="00265792" w:rsidRPr="00BA7805" w:rsidRDefault="00265792" w:rsidP="00BB1219">
            <w:pPr>
              <w:pStyle w:val="ARfintablebodybold"/>
              <w:rPr>
                <w:highlight w:val="green"/>
              </w:rPr>
            </w:pPr>
            <w:r w:rsidRPr="00DE00A2">
              <w:t>Total revenue and income from transactions</w:t>
            </w:r>
          </w:p>
        </w:tc>
        <w:tc>
          <w:tcPr>
            <w:tcW w:w="851" w:type="dxa"/>
            <w:tcBorders>
              <w:top w:val="single" w:sz="4" w:space="0" w:color="000000" w:themeColor="text1"/>
              <w:bottom w:val="single" w:sz="4" w:space="0" w:color="000000" w:themeColor="text1"/>
            </w:tcBorders>
          </w:tcPr>
          <w:p w14:paraId="5BA9FD72" w14:textId="77777777" w:rsidR="00265792" w:rsidRPr="00BA7805" w:rsidRDefault="00265792" w:rsidP="00FE33B0">
            <w:pPr>
              <w:pStyle w:val="ARfintablebodyrightbold"/>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236CE990" w14:textId="77777777" w:rsidR="00265792" w:rsidRPr="00BA7805" w:rsidRDefault="00265792" w:rsidP="00FE33B0">
            <w:pPr>
              <w:pStyle w:val="ARfintablebodyrightbold"/>
              <w:rPr>
                <w:highlight w:val="green"/>
              </w:rPr>
            </w:pPr>
            <w:r w:rsidRPr="00DE00A2">
              <w:t>7,341.8</w:t>
            </w:r>
          </w:p>
        </w:tc>
        <w:tc>
          <w:tcPr>
            <w:tcW w:w="1361" w:type="dxa"/>
            <w:tcBorders>
              <w:top w:val="single" w:sz="4" w:space="0" w:color="000000" w:themeColor="text1"/>
              <w:bottom w:val="single" w:sz="4" w:space="0" w:color="000000" w:themeColor="text1"/>
            </w:tcBorders>
            <w:noWrap/>
          </w:tcPr>
          <w:p w14:paraId="2449096A" w14:textId="77777777" w:rsidR="00265792" w:rsidRPr="00BA7805" w:rsidRDefault="00265792" w:rsidP="00FE33B0">
            <w:pPr>
              <w:pStyle w:val="ARfintablebodyrightbold"/>
              <w:rPr>
                <w:highlight w:val="green"/>
              </w:rPr>
            </w:pPr>
            <w:r w:rsidRPr="00DE00A2">
              <w:t>6,398.0</w:t>
            </w:r>
          </w:p>
        </w:tc>
      </w:tr>
      <w:tr w:rsidR="00265792" w:rsidRPr="00BA7805" w14:paraId="1D3F02FA" w14:textId="77777777" w:rsidTr="00CC46F3">
        <w:tc>
          <w:tcPr>
            <w:tcW w:w="6064" w:type="dxa"/>
            <w:tcBorders>
              <w:top w:val="single" w:sz="4" w:space="0" w:color="A6A6A6" w:themeColor="accent5"/>
            </w:tcBorders>
          </w:tcPr>
          <w:p w14:paraId="53AF9BB5" w14:textId="77777777" w:rsidR="00265792" w:rsidRPr="00BA7805" w:rsidRDefault="00265792" w:rsidP="00BB1219">
            <w:pPr>
              <w:pStyle w:val="ARfintablebodybold"/>
              <w:rPr>
                <w:highlight w:val="green"/>
              </w:rPr>
            </w:pPr>
            <w:r w:rsidRPr="00DE00A2">
              <w:t>Expenses from transactions</w:t>
            </w:r>
          </w:p>
        </w:tc>
        <w:tc>
          <w:tcPr>
            <w:tcW w:w="851" w:type="dxa"/>
            <w:tcBorders>
              <w:top w:val="single" w:sz="4" w:space="0" w:color="A6A6A6" w:themeColor="accent5"/>
            </w:tcBorders>
          </w:tcPr>
          <w:p w14:paraId="12F55901" w14:textId="77777777" w:rsidR="00265792" w:rsidRPr="00BA7805" w:rsidRDefault="00265792" w:rsidP="00233A3C">
            <w:pPr>
              <w:pStyle w:val="ARfintablebodyright"/>
              <w:rPr>
                <w:highlight w:val="green"/>
              </w:rPr>
            </w:pPr>
          </w:p>
        </w:tc>
        <w:tc>
          <w:tcPr>
            <w:tcW w:w="1361" w:type="dxa"/>
            <w:tcBorders>
              <w:top w:val="single" w:sz="4" w:space="0" w:color="A6A6A6" w:themeColor="accent5"/>
            </w:tcBorders>
            <w:noWrap/>
          </w:tcPr>
          <w:p w14:paraId="69644491" w14:textId="77777777" w:rsidR="00265792" w:rsidRPr="00BA7805" w:rsidRDefault="00265792" w:rsidP="00233A3C">
            <w:pPr>
              <w:pStyle w:val="ARfintablebodyright"/>
              <w:rPr>
                <w:highlight w:val="green"/>
              </w:rPr>
            </w:pPr>
          </w:p>
        </w:tc>
        <w:tc>
          <w:tcPr>
            <w:tcW w:w="1361" w:type="dxa"/>
            <w:tcBorders>
              <w:top w:val="single" w:sz="4" w:space="0" w:color="A6A6A6" w:themeColor="accent5"/>
            </w:tcBorders>
            <w:noWrap/>
          </w:tcPr>
          <w:p w14:paraId="46A75A46" w14:textId="77777777" w:rsidR="00265792" w:rsidRPr="00BA7805" w:rsidRDefault="00265792" w:rsidP="00233A3C">
            <w:pPr>
              <w:pStyle w:val="ARfintablebodyright"/>
              <w:rPr>
                <w:highlight w:val="green"/>
              </w:rPr>
            </w:pPr>
          </w:p>
        </w:tc>
      </w:tr>
      <w:tr w:rsidR="00265792" w:rsidRPr="00BA7805" w14:paraId="4BDE41D1" w14:textId="77777777" w:rsidTr="00CC46F3">
        <w:tc>
          <w:tcPr>
            <w:tcW w:w="6064" w:type="dxa"/>
          </w:tcPr>
          <w:p w14:paraId="1561F89B" w14:textId="77777777" w:rsidR="00265792" w:rsidRPr="00BA7805" w:rsidRDefault="00265792" w:rsidP="00233A3C">
            <w:pPr>
              <w:pStyle w:val="ARfintablebody"/>
              <w:rPr>
                <w:highlight w:val="green"/>
              </w:rPr>
            </w:pPr>
            <w:r w:rsidRPr="00DE00A2">
              <w:t>Employee benefits</w:t>
            </w:r>
          </w:p>
        </w:tc>
        <w:tc>
          <w:tcPr>
            <w:tcW w:w="851" w:type="dxa"/>
          </w:tcPr>
          <w:p w14:paraId="6A8B063B" w14:textId="77777777" w:rsidR="00265792" w:rsidRPr="00BA7805" w:rsidRDefault="00265792" w:rsidP="00233A3C">
            <w:pPr>
              <w:pStyle w:val="ARfintablebodyright"/>
              <w:rPr>
                <w:highlight w:val="green"/>
              </w:rPr>
            </w:pPr>
            <w:r w:rsidRPr="00DE00A2">
              <w:t>3.1.1(a)</w:t>
            </w:r>
          </w:p>
        </w:tc>
        <w:tc>
          <w:tcPr>
            <w:tcW w:w="1361" w:type="dxa"/>
            <w:shd w:val="clear" w:color="auto" w:fill="EEEEEF" w:themeFill="accent4"/>
            <w:noWrap/>
          </w:tcPr>
          <w:p w14:paraId="727B00EA" w14:textId="77777777" w:rsidR="00265792" w:rsidRPr="00BA7805" w:rsidRDefault="00265792" w:rsidP="00233A3C">
            <w:pPr>
              <w:pStyle w:val="ARfintablebodyright"/>
              <w:rPr>
                <w:highlight w:val="green"/>
              </w:rPr>
            </w:pPr>
            <w:r w:rsidRPr="00DE00A2">
              <w:t>1,087.6</w:t>
            </w:r>
          </w:p>
        </w:tc>
        <w:tc>
          <w:tcPr>
            <w:tcW w:w="1361" w:type="dxa"/>
            <w:noWrap/>
          </w:tcPr>
          <w:p w14:paraId="73DEF808" w14:textId="77777777" w:rsidR="00265792" w:rsidRPr="00BA7805" w:rsidRDefault="00265792" w:rsidP="00233A3C">
            <w:pPr>
              <w:pStyle w:val="ARfintablebodyright"/>
              <w:rPr>
                <w:highlight w:val="green"/>
              </w:rPr>
            </w:pPr>
            <w:r w:rsidRPr="00DE00A2">
              <w:t>987.9</w:t>
            </w:r>
          </w:p>
        </w:tc>
      </w:tr>
      <w:tr w:rsidR="00265792" w:rsidRPr="00BA7805" w14:paraId="77707CE5" w14:textId="77777777" w:rsidTr="00CC46F3">
        <w:tc>
          <w:tcPr>
            <w:tcW w:w="6064" w:type="dxa"/>
          </w:tcPr>
          <w:p w14:paraId="288FD2F5" w14:textId="77777777" w:rsidR="00265792" w:rsidRPr="00BA7805" w:rsidRDefault="00265792" w:rsidP="00233A3C">
            <w:pPr>
              <w:pStyle w:val="ARfintablebody"/>
              <w:rPr>
                <w:highlight w:val="green"/>
              </w:rPr>
            </w:pPr>
            <w:r w:rsidRPr="00DE00A2">
              <w:t>Depreciation and amortisation</w:t>
            </w:r>
          </w:p>
        </w:tc>
        <w:tc>
          <w:tcPr>
            <w:tcW w:w="851" w:type="dxa"/>
          </w:tcPr>
          <w:p w14:paraId="309CC74A" w14:textId="77777777" w:rsidR="00265792" w:rsidRPr="00BA7805" w:rsidRDefault="00265792" w:rsidP="00233A3C">
            <w:pPr>
              <w:pStyle w:val="ARfintablebodyright"/>
              <w:rPr>
                <w:highlight w:val="green"/>
              </w:rPr>
            </w:pPr>
            <w:r w:rsidRPr="00DE00A2">
              <w:t>5.1.2</w:t>
            </w:r>
          </w:p>
        </w:tc>
        <w:tc>
          <w:tcPr>
            <w:tcW w:w="1361" w:type="dxa"/>
            <w:shd w:val="clear" w:color="auto" w:fill="EEEEEF" w:themeFill="accent4"/>
            <w:noWrap/>
          </w:tcPr>
          <w:p w14:paraId="099623E6" w14:textId="77777777" w:rsidR="00265792" w:rsidRPr="00BA7805" w:rsidRDefault="00265792" w:rsidP="00233A3C">
            <w:pPr>
              <w:pStyle w:val="ARfintablebodyright"/>
              <w:rPr>
                <w:highlight w:val="green"/>
              </w:rPr>
            </w:pPr>
            <w:r w:rsidRPr="00DE00A2">
              <w:t>535.4</w:t>
            </w:r>
          </w:p>
        </w:tc>
        <w:tc>
          <w:tcPr>
            <w:tcW w:w="1361" w:type="dxa"/>
            <w:noWrap/>
          </w:tcPr>
          <w:p w14:paraId="5FEBE301" w14:textId="77777777" w:rsidR="00265792" w:rsidRPr="00BA7805" w:rsidRDefault="00265792" w:rsidP="00233A3C">
            <w:pPr>
              <w:pStyle w:val="ARfintablebodyright"/>
              <w:rPr>
                <w:highlight w:val="green"/>
              </w:rPr>
            </w:pPr>
            <w:r w:rsidRPr="00DE00A2">
              <w:t>410.0</w:t>
            </w:r>
          </w:p>
        </w:tc>
      </w:tr>
      <w:tr w:rsidR="00265792" w:rsidRPr="00BA7805" w14:paraId="4650FD71" w14:textId="77777777" w:rsidTr="00CC46F3">
        <w:tc>
          <w:tcPr>
            <w:tcW w:w="6064" w:type="dxa"/>
          </w:tcPr>
          <w:p w14:paraId="31744DBC" w14:textId="77777777" w:rsidR="00265792" w:rsidRPr="00BA7805" w:rsidRDefault="00265792" w:rsidP="00233A3C">
            <w:pPr>
              <w:pStyle w:val="ARfintablebody"/>
              <w:rPr>
                <w:highlight w:val="green"/>
              </w:rPr>
            </w:pPr>
            <w:r w:rsidRPr="00DE00A2">
              <w:t>Grants and other transfers</w:t>
            </w:r>
          </w:p>
        </w:tc>
        <w:tc>
          <w:tcPr>
            <w:tcW w:w="851" w:type="dxa"/>
          </w:tcPr>
          <w:p w14:paraId="55D6F88B" w14:textId="77777777" w:rsidR="00265792" w:rsidRPr="00BA7805" w:rsidRDefault="00265792" w:rsidP="00233A3C">
            <w:pPr>
              <w:pStyle w:val="ARfintablebodyright"/>
              <w:rPr>
                <w:highlight w:val="green"/>
              </w:rPr>
            </w:pPr>
            <w:r w:rsidRPr="00DE00A2">
              <w:t>3.1.2</w:t>
            </w:r>
          </w:p>
        </w:tc>
        <w:tc>
          <w:tcPr>
            <w:tcW w:w="1361" w:type="dxa"/>
            <w:shd w:val="clear" w:color="auto" w:fill="EEEEEF" w:themeFill="accent4"/>
            <w:noWrap/>
          </w:tcPr>
          <w:p w14:paraId="3309BEC5" w14:textId="77777777" w:rsidR="00265792" w:rsidRPr="00BA7805" w:rsidRDefault="00265792" w:rsidP="00233A3C">
            <w:pPr>
              <w:pStyle w:val="ARfintablebodyright"/>
              <w:rPr>
                <w:highlight w:val="green"/>
              </w:rPr>
            </w:pPr>
            <w:r w:rsidRPr="00DE00A2">
              <w:t>4,952.9</w:t>
            </w:r>
          </w:p>
        </w:tc>
        <w:tc>
          <w:tcPr>
            <w:tcW w:w="1361" w:type="dxa"/>
            <w:noWrap/>
          </w:tcPr>
          <w:p w14:paraId="17E84FFB" w14:textId="77777777" w:rsidR="00265792" w:rsidRPr="00BA7805" w:rsidRDefault="00265792" w:rsidP="00233A3C">
            <w:pPr>
              <w:pStyle w:val="ARfintablebodyright"/>
              <w:rPr>
                <w:highlight w:val="green"/>
              </w:rPr>
            </w:pPr>
            <w:r w:rsidRPr="00DE00A2">
              <w:t>4,278.6</w:t>
            </w:r>
          </w:p>
        </w:tc>
      </w:tr>
      <w:tr w:rsidR="00265792" w:rsidRPr="00BA7805" w14:paraId="61C2C33A" w14:textId="77777777" w:rsidTr="00CC46F3">
        <w:tc>
          <w:tcPr>
            <w:tcW w:w="6064" w:type="dxa"/>
            <w:tcBorders>
              <w:bottom w:val="single" w:sz="4" w:space="0" w:color="A6A6A6" w:themeColor="accent5"/>
            </w:tcBorders>
          </w:tcPr>
          <w:p w14:paraId="2C17A6CD" w14:textId="77777777" w:rsidR="00265792" w:rsidRPr="00BA7805" w:rsidRDefault="00265792" w:rsidP="00233A3C">
            <w:pPr>
              <w:pStyle w:val="ARfintablebody"/>
              <w:rPr>
                <w:highlight w:val="green"/>
              </w:rPr>
            </w:pPr>
            <w:r w:rsidRPr="00DE00A2">
              <w:t>Other operating expenses</w:t>
            </w:r>
          </w:p>
        </w:tc>
        <w:tc>
          <w:tcPr>
            <w:tcW w:w="851" w:type="dxa"/>
            <w:tcBorders>
              <w:bottom w:val="single" w:sz="4" w:space="0" w:color="A6A6A6" w:themeColor="accent5"/>
            </w:tcBorders>
          </w:tcPr>
          <w:p w14:paraId="2266DCA4" w14:textId="77777777" w:rsidR="00265792" w:rsidRPr="00BA7805" w:rsidRDefault="00265792" w:rsidP="00233A3C">
            <w:pPr>
              <w:pStyle w:val="ARfintablebodyright"/>
              <w:rPr>
                <w:highlight w:val="green"/>
              </w:rPr>
            </w:pPr>
            <w:r w:rsidRPr="00DE00A2">
              <w:t>3.1.3</w:t>
            </w:r>
          </w:p>
        </w:tc>
        <w:tc>
          <w:tcPr>
            <w:tcW w:w="1361" w:type="dxa"/>
            <w:tcBorders>
              <w:bottom w:val="single" w:sz="4" w:space="0" w:color="A6A6A6" w:themeColor="accent5"/>
            </w:tcBorders>
            <w:shd w:val="clear" w:color="auto" w:fill="EEEEEF" w:themeFill="accent4"/>
            <w:noWrap/>
          </w:tcPr>
          <w:p w14:paraId="5F2B5512" w14:textId="77777777" w:rsidR="00265792" w:rsidRPr="00BA7805" w:rsidRDefault="00265792" w:rsidP="00233A3C">
            <w:pPr>
              <w:pStyle w:val="ARfintablebodyright"/>
              <w:rPr>
                <w:highlight w:val="green"/>
              </w:rPr>
            </w:pPr>
            <w:r w:rsidRPr="00DE00A2">
              <w:t>693.4</w:t>
            </w:r>
          </w:p>
        </w:tc>
        <w:tc>
          <w:tcPr>
            <w:tcW w:w="1361" w:type="dxa"/>
            <w:tcBorders>
              <w:bottom w:val="single" w:sz="4" w:space="0" w:color="A6A6A6" w:themeColor="accent5"/>
            </w:tcBorders>
            <w:noWrap/>
          </w:tcPr>
          <w:p w14:paraId="1C6B770C" w14:textId="77777777" w:rsidR="00265792" w:rsidRPr="00BA7805" w:rsidRDefault="00265792" w:rsidP="00233A3C">
            <w:pPr>
              <w:pStyle w:val="ARfintablebodyright"/>
              <w:rPr>
                <w:highlight w:val="green"/>
              </w:rPr>
            </w:pPr>
            <w:r w:rsidRPr="00DE00A2">
              <w:t>770.4</w:t>
            </w:r>
          </w:p>
        </w:tc>
      </w:tr>
      <w:tr w:rsidR="00265792" w:rsidRPr="00BA7805" w14:paraId="60095AA4" w14:textId="77777777" w:rsidTr="00CC46F3">
        <w:tc>
          <w:tcPr>
            <w:tcW w:w="6064" w:type="dxa"/>
            <w:tcBorders>
              <w:top w:val="single" w:sz="4" w:space="0" w:color="A6A6A6" w:themeColor="accent5"/>
              <w:bottom w:val="single" w:sz="4" w:space="0" w:color="000000" w:themeColor="text1"/>
            </w:tcBorders>
          </w:tcPr>
          <w:p w14:paraId="07C866EF" w14:textId="77777777" w:rsidR="00265792" w:rsidRPr="00BA7805" w:rsidRDefault="00265792" w:rsidP="00233A3C">
            <w:pPr>
              <w:pStyle w:val="ARfintablebody"/>
              <w:rPr>
                <w:highlight w:val="green"/>
              </w:rPr>
            </w:pPr>
            <w:r w:rsidRPr="00DE00A2">
              <w:t xml:space="preserve">Property management expenses </w:t>
            </w:r>
          </w:p>
        </w:tc>
        <w:tc>
          <w:tcPr>
            <w:tcW w:w="851" w:type="dxa"/>
            <w:tcBorders>
              <w:top w:val="single" w:sz="4" w:space="0" w:color="A6A6A6" w:themeColor="accent5"/>
              <w:bottom w:val="single" w:sz="4" w:space="0" w:color="000000" w:themeColor="text1"/>
            </w:tcBorders>
          </w:tcPr>
          <w:p w14:paraId="2E2190A7" w14:textId="77777777" w:rsidR="00265792" w:rsidRPr="00BA7805" w:rsidRDefault="00265792" w:rsidP="00233A3C">
            <w:pPr>
              <w:pStyle w:val="ARfintablebodyright"/>
              <w:rPr>
                <w:highlight w:val="green"/>
              </w:rPr>
            </w:pPr>
            <w:r w:rsidRPr="00DE00A2">
              <w:t>3.1.4</w:t>
            </w:r>
          </w:p>
        </w:tc>
        <w:tc>
          <w:tcPr>
            <w:tcW w:w="1361" w:type="dxa"/>
            <w:tcBorders>
              <w:top w:val="single" w:sz="4" w:space="0" w:color="A6A6A6" w:themeColor="accent5"/>
              <w:bottom w:val="single" w:sz="4" w:space="0" w:color="000000" w:themeColor="text1"/>
            </w:tcBorders>
            <w:shd w:val="clear" w:color="auto" w:fill="EEEEEF" w:themeFill="accent4"/>
            <w:noWrap/>
          </w:tcPr>
          <w:p w14:paraId="58B7287D" w14:textId="77777777" w:rsidR="00265792" w:rsidRPr="00BA7805" w:rsidRDefault="00265792" w:rsidP="00233A3C">
            <w:pPr>
              <w:pStyle w:val="ARfintablebodyright"/>
              <w:rPr>
                <w:highlight w:val="green"/>
              </w:rPr>
            </w:pPr>
            <w:r w:rsidRPr="00DE00A2">
              <w:t>542.2</w:t>
            </w:r>
          </w:p>
        </w:tc>
        <w:tc>
          <w:tcPr>
            <w:tcW w:w="1361" w:type="dxa"/>
            <w:tcBorders>
              <w:top w:val="single" w:sz="4" w:space="0" w:color="A6A6A6" w:themeColor="accent5"/>
              <w:bottom w:val="single" w:sz="4" w:space="0" w:color="000000" w:themeColor="text1"/>
            </w:tcBorders>
            <w:noWrap/>
          </w:tcPr>
          <w:p w14:paraId="05992ABD" w14:textId="77777777" w:rsidR="00265792" w:rsidRPr="00BA7805" w:rsidRDefault="00265792" w:rsidP="00233A3C">
            <w:pPr>
              <w:pStyle w:val="ARfintablebodyright"/>
              <w:rPr>
                <w:highlight w:val="green"/>
              </w:rPr>
            </w:pPr>
            <w:r w:rsidRPr="00DE00A2">
              <w:t>552.8</w:t>
            </w:r>
          </w:p>
        </w:tc>
      </w:tr>
      <w:tr w:rsidR="00265792" w:rsidRPr="00BA7805" w14:paraId="5C64DF2B" w14:textId="77777777" w:rsidTr="00CC46F3">
        <w:tc>
          <w:tcPr>
            <w:tcW w:w="6064" w:type="dxa"/>
            <w:tcBorders>
              <w:top w:val="single" w:sz="4" w:space="0" w:color="000000" w:themeColor="text1"/>
              <w:bottom w:val="single" w:sz="4" w:space="0" w:color="000000" w:themeColor="text1"/>
            </w:tcBorders>
          </w:tcPr>
          <w:p w14:paraId="61E73871" w14:textId="77777777" w:rsidR="00265792" w:rsidRPr="00BA7805" w:rsidRDefault="00265792" w:rsidP="00BB1219">
            <w:pPr>
              <w:pStyle w:val="ARfintablebodybold"/>
              <w:rPr>
                <w:highlight w:val="green"/>
              </w:rPr>
            </w:pPr>
            <w:r w:rsidRPr="00DE00A2">
              <w:t>Total expenses from transactions</w:t>
            </w:r>
          </w:p>
        </w:tc>
        <w:tc>
          <w:tcPr>
            <w:tcW w:w="851" w:type="dxa"/>
            <w:tcBorders>
              <w:top w:val="single" w:sz="4" w:space="0" w:color="000000" w:themeColor="text1"/>
              <w:bottom w:val="single" w:sz="4" w:space="0" w:color="000000" w:themeColor="text1"/>
            </w:tcBorders>
          </w:tcPr>
          <w:p w14:paraId="7E6D3258" w14:textId="77777777" w:rsidR="00265792" w:rsidRPr="00BA7805" w:rsidRDefault="00265792" w:rsidP="00FE33B0">
            <w:pPr>
              <w:pStyle w:val="ARfintablebodyrightbold"/>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3E315E5E" w14:textId="77777777" w:rsidR="00265792" w:rsidRPr="00BA7805" w:rsidRDefault="00265792" w:rsidP="00FE33B0">
            <w:pPr>
              <w:pStyle w:val="ARfintablebodyrightbold"/>
              <w:rPr>
                <w:highlight w:val="green"/>
              </w:rPr>
            </w:pPr>
            <w:r w:rsidRPr="00DE00A2">
              <w:t>7,811.5</w:t>
            </w:r>
          </w:p>
        </w:tc>
        <w:tc>
          <w:tcPr>
            <w:tcW w:w="1361" w:type="dxa"/>
            <w:tcBorders>
              <w:top w:val="single" w:sz="4" w:space="0" w:color="000000" w:themeColor="text1"/>
              <w:bottom w:val="single" w:sz="4" w:space="0" w:color="000000" w:themeColor="text1"/>
            </w:tcBorders>
            <w:noWrap/>
          </w:tcPr>
          <w:p w14:paraId="06FE147E" w14:textId="77777777" w:rsidR="00265792" w:rsidRPr="00BA7805" w:rsidRDefault="00265792" w:rsidP="00FE33B0">
            <w:pPr>
              <w:pStyle w:val="ARfintablebodyrightbold"/>
              <w:rPr>
                <w:highlight w:val="green"/>
              </w:rPr>
            </w:pPr>
            <w:r w:rsidRPr="00DE00A2">
              <w:t>6,999.7</w:t>
            </w:r>
          </w:p>
        </w:tc>
      </w:tr>
      <w:tr w:rsidR="00265792" w:rsidRPr="00BA7805" w14:paraId="3752BADE" w14:textId="77777777" w:rsidTr="00CC46F3">
        <w:tc>
          <w:tcPr>
            <w:tcW w:w="6064" w:type="dxa"/>
            <w:tcBorders>
              <w:top w:val="single" w:sz="4" w:space="0" w:color="000000" w:themeColor="text1"/>
              <w:bottom w:val="single" w:sz="4" w:space="0" w:color="000000" w:themeColor="text1"/>
            </w:tcBorders>
          </w:tcPr>
          <w:p w14:paraId="24D253B5" w14:textId="77777777" w:rsidR="00265792" w:rsidRPr="00BA7805" w:rsidRDefault="00265792" w:rsidP="00BB1219">
            <w:pPr>
              <w:pStyle w:val="ARfintablebodybold"/>
              <w:rPr>
                <w:highlight w:val="green"/>
              </w:rPr>
            </w:pPr>
            <w:r w:rsidRPr="00DE00A2">
              <w:t>Net result from transactions (net operating balance)</w:t>
            </w:r>
          </w:p>
        </w:tc>
        <w:tc>
          <w:tcPr>
            <w:tcW w:w="851" w:type="dxa"/>
            <w:tcBorders>
              <w:top w:val="single" w:sz="4" w:space="0" w:color="000000" w:themeColor="text1"/>
              <w:bottom w:val="single" w:sz="4" w:space="0" w:color="000000" w:themeColor="text1"/>
            </w:tcBorders>
          </w:tcPr>
          <w:p w14:paraId="33E20D7D" w14:textId="77777777" w:rsidR="00265792" w:rsidRPr="00BA7805" w:rsidRDefault="00265792" w:rsidP="00FE33B0">
            <w:pPr>
              <w:pStyle w:val="ARfintablebodyrightbold"/>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022C39DF" w14:textId="77777777" w:rsidR="00265792" w:rsidRPr="00BA7805" w:rsidRDefault="00265792" w:rsidP="00FE33B0">
            <w:pPr>
              <w:pStyle w:val="ARfintablebodyrightbold"/>
              <w:rPr>
                <w:highlight w:val="green"/>
              </w:rPr>
            </w:pPr>
            <w:r w:rsidRPr="00DE00A2">
              <w:t>(469.7)</w:t>
            </w:r>
          </w:p>
        </w:tc>
        <w:tc>
          <w:tcPr>
            <w:tcW w:w="1361" w:type="dxa"/>
            <w:tcBorders>
              <w:top w:val="single" w:sz="4" w:space="0" w:color="000000" w:themeColor="text1"/>
              <w:bottom w:val="single" w:sz="4" w:space="0" w:color="000000" w:themeColor="text1"/>
            </w:tcBorders>
            <w:noWrap/>
          </w:tcPr>
          <w:p w14:paraId="75B4E218" w14:textId="77777777" w:rsidR="00265792" w:rsidRPr="00BA7805" w:rsidRDefault="00265792" w:rsidP="00FE33B0">
            <w:pPr>
              <w:pStyle w:val="ARfintablebodyrightbold"/>
              <w:rPr>
                <w:highlight w:val="green"/>
              </w:rPr>
            </w:pPr>
            <w:r w:rsidRPr="00DE00A2">
              <w:t>(601.7)</w:t>
            </w:r>
          </w:p>
        </w:tc>
      </w:tr>
      <w:tr w:rsidR="00265792" w:rsidRPr="00BA7805" w14:paraId="227FB7A3" w14:textId="77777777" w:rsidTr="00CC46F3">
        <w:tc>
          <w:tcPr>
            <w:tcW w:w="6064" w:type="dxa"/>
            <w:tcBorders>
              <w:top w:val="single" w:sz="4" w:space="0" w:color="000000" w:themeColor="text1"/>
              <w:bottom w:val="single" w:sz="4" w:space="0" w:color="A6A6A6" w:themeColor="accent5"/>
            </w:tcBorders>
          </w:tcPr>
          <w:p w14:paraId="7BD7A2B3" w14:textId="77777777" w:rsidR="00265792" w:rsidRPr="00BA7805" w:rsidRDefault="00265792" w:rsidP="001F0BEE">
            <w:pPr>
              <w:pStyle w:val="ARfintablebodybold"/>
              <w:rPr>
                <w:highlight w:val="green"/>
              </w:rPr>
            </w:pPr>
            <w:r w:rsidRPr="00DE00A2">
              <w:t>Other economic flows included in net result</w:t>
            </w:r>
          </w:p>
        </w:tc>
        <w:tc>
          <w:tcPr>
            <w:tcW w:w="851" w:type="dxa"/>
            <w:tcBorders>
              <w:top w:val="single" w:sz="4" w:space="0" w:color="000000" w:themeColor="text1"/>
              <w:bottom w:val="single" w:sz="4" w:space="0" w:color="A6A6A6" w:themeColor="accent5"/>
            </w:tcBorders>
            <w:noWrap/>
          </w:tcPr>
          <w:p w14:paraId="1A8994E1" w14:textId="77777777" w:rsidR="00265792" w:rsidRPr="00BA7805" w:rsidRDefault="00265792" w:rsidP="00233A3C">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2B214C4A" w14:textId="77777777" w:rsidR="00265792" w:rsidRPr="00BA7805" w:rsidRDefault="00265792" w:rsidP="00233A3C">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3778707A" w14:textId="77777777" w:rsidR="00265792" w:rsidRPr="00BA7805" w:rsidRDefault="00265792" w:rsidP="00233A3C">
            <w:pPr>
              <w:pStyle w:val="ARfintablebodyright"/>
              <w:rPr>
                <w:highlight w:val="green"/>
              </w:rPr>
            </w:pPr>
          </w:p>
        </w:tc>
      </w:tr>
      <w:tr w:rsidR="00265792" w:rsidRPr="00BA7805" w14:paraId="4F7D1C28" w14:textId="77777777" w:rsidTr="00CC46F3">
        <w:tc>
          <w:tcPr>
            <w:tcW w:w="6064" w:type="dxa"/>
            <w:tcBorders>
              <w:top w:val="single" w:sz="4" w:space="0" w:color="A6A6A6" w:themeColor="accent5"/>
            </w:tcBorders>
          </w:tcPr>
          <w:p w14:paraId="18B4AE5A" w14:textId="77777777" w:rsidR="00265792" w:rsidRPr="00BA7805" w:rsidRDefault="00265792" w:rsidP="00233A3C">
            <w:pPr>
              <w:pStyle w:val="ARfintablebody"/>
              <w:rPr>
                <w:highlight w:val="green"/>
              </w:rPr>
            </w:pPr>
            <w:r w:rsidRPr="00DE00A2">
              <w:t>Net gain/(loss) on non-financial assets</w:t>
            </w:r>
          </w:p>
        </w:tc>
        <w:tc>
          <w:tcPr>
            <w:tcW w:w="851" w:type="dxa"/>
            <w:tcBorders>
              <w:top w:val="single" w:sz="4" w:space="0" w:color="A6A6A6" w:themeColor="accent5"/>
            </w:tcBorders>
            <w:noWrap/>
          </w:tcPr>
          <w:p w14:paraId="669166C5" w14:textId="77777777" w:rsidR="00265792" w:rsidRPr="00BA7805" w:rsidRDefault="00265792" w:rsidP="00233A3C">
            <w:pPr>
              <w:pStyle w:val="ARfintablebodyright"/>
              <w:rPr>
                <w:highlight w:val="green"/>
              </w:rPr>
            </w:pPr>
            <w:r w:rsidRPr="00DE00A2">
              <w:t>9.2(a)</w:t>
            </w:r>
          </w:p>
        </w:tc>
        <w:tc>
          <w:tcPr>
            <w:tcW w:w="1361" w:type="dxa"/>
            <w:tcBorders>
              <w:top w:val="single" w:sz="4" w:space="0" w:color="A6A6A6" w:themeColor="accent5"/>
            </w:tcBorders>
            <w:shd w:val="clear" w:color="auto" w:fill="EEEEEF" w:themeFill="accent4"/>
            <w:noWrap/>
          </w:tcPr>
          <w:p w14:paraId="7320769E" w14:textId="77777777" w:rsidR="00265792" w:rsidRPr="00BA7805" w:rsidRDefault="00265792" w:rsidP="00233A3C">
            <w:pPr>
              <w:pStyle w:val="ARfintablebodyright"/>
              <w:rPr>
                <w:highlight w:val="green"/>
              </w:rPr>
            </w:pPr>
            <w:r w:rsidRPr="00DE00A2">
              <w:t>(6.5)</w:t>
            </w:r>
          </w:p>
        </w:tc>
        <w:tc>
          <w:tcPr>
            <w:tcW w:w="1361" w:type="dxa"/>
            <w:tcBorders>
              <w:top w:val="single" w:sz="4" w:space="0" w:color="A6A6A6" w:themeColor="accent5"/>
            </w:tcBorders>
            <w:noWrap/>
          </w:tcPr>
          <w:p w14:paraId="3F73908C" w14:textId="77777777" w:rsidR="00265792" w:rsidRPr="00BA7805" w:rsidRDefault="00265792" w:rsidP="00233A3C">
            <w:pPr>
              <w:pStyle w:val="ARfintablebodyright"/>
              <w:rPr>
                <w:highlight w:val="green"/>
              </w:rPr>
            </w:pPr>
            <w:r w:rsidRPr="00DE00A2">
              <w:t>(8.6)</w:t>
            </w:r>
          </w:p>
        </w:tc>
      </w:tr>
      <w:tr w:rsidR="00265792" w:rsidRPr="00BA7805" w14:paraId="024A9764" w14:textId="77777777" w:rsidTr="00CC46F3">
        <w:tc>
          <w:tcPr>
            <w:tcW w:w="6064" w:type="dxa"/>
            <w:tcBorders>
              <w:bottom w:val="single" w:sz="4" w:space="0" w:color="A6A6A6" w:themeColor="accent5"/>
            </w:tcBorders>
          </w:tcPr>
          <w:p w14:paraId="0DAE0772" w14:textId="77777777" w:rsidR="00265792" w:rsidRPr="00BA7805" w:rsidRDefault="00265792" w:rsidP="00233A3C">
            <w:pPr>
              <w:pStyle w:val="ARfintablebody"/>
              <w:rPr>
                <w:highlight w:val="green"/>
              </w:rPr>
            </w:pPr>
            <w:r w:rsidRPr="00DE00A2">
              <w:t>Net gain/(loss) on financial instruments</w:t>
            </w:r>
          </w:p>
        </w:tc>
        <w:tc>
          <w:tcPr>
            <w:tcW w:w="851" w:type="dxa"/>
            <w:tcBorders>
              <w:bottom w:val="single" w:sz="4" w:space="0" w:color="A6A6A6" w:themeColor="accent5"/>
            </w:tcBorders>
            <w:noWrap/>
          </w:tcPr>
          <w:p w14:paraId="68605CE1" w14:textId="77777777" w:rsidR="00265792" w:rsidRPr="00BA7805" w:rsidRDefault="00265792" w:rsidP="00233A3C">
            <w:pPr>
              <w:pStyle w:val="ARfintablebodyright"/>
              <w:rPr>
                <w:highlight w:val="green"/>
              </w:rPr>
            </w:pPr>
            <w:r w:rsidRPr="00DE00A2">
              <w:t>9.2(b)</w:t>
            </w:r>
          </w:p>
        </w:tc>
        <w:tc>
          <w:tcPr>
            <w:tcW w:w="1361" w:type="dxa"/>
            <w:tcBorders>
              <w:bottom w:val="single" w:sz="4" w:space="0" w:color="A6A6A6" w:themeColor="accent5"/>
            </w:tcBorders>
            <w:shd w:val="clear" w:color="auto" w:fill="EEEEEF" w:themeFill="accent4"/>
            <w:noWrap/>
          </w:tcPr>
          <w:p w14:paraId="53D813FB" w14:textId="77777777" w:rsidR="00265792" w:rsidRPr="00BA7805" w:rsidRDefault="00265792" w:rsidP="00233A3C">
            <w:pPr>
              <w:pStyle w:val="ARfintablebodyright"/>
              <w:rPr>
                <w:highlight w:val="green"/>
              </w:rPr>
            </w:pPr>
            <w:r w:rsidRPr="00DE00A2">
              <w:t>3.2</w:t>
            </w:r>
          </w:p>
        </w:tc>
        <w:tc>
          <w:tcPr>
            <w:tcW w:w="1361" w:type="dxa"/>
            <w:tcBorders>
              <w:bottom w:val="single" w:sz="4" w:space="0" w:color="A6A6A6" w:themeColor="accent5"/>
            </w:tcBorders>
            <w:noWrap/>
          </w:tcPr>
          <w:p w14:paraId="238361C5" w14:textId="77777777" w:rsidR="00265792" w:rsidRPr="00BA7805" w:rsidRDefault="00265792" w:rsidP="00233A3C">
            <w:pPr>
              <w:pStyle w:val="ARfintablebodyright"/>
              <w:rPr>
                <w:highlight w:val="green"/>
              </w:rPr>
            </w:pPr>
            <w:r w:rsidRPr="00DE00A2">
              <w:t>2.0</w:t>
            </w:r>
          </w:p>
        </w:tc>
      </w:tr>
      <w:tr w:rsidR="00265792" w:rsidRPr="00BA7805" w14:paraId="42C4625D" w14:textId="77777777" w:rsidTr="00CC46F3">
        <w:tc>
          <w:tcPr>
            <w:tcW w:w="6064" w:type="dxa"/>
            <w:tcBorders>
              <w:top w:val="single" w:sz="4" w:space="0" w:color="A6A6A6" w:themeColor="accent5"/>
              <w:bottom w:val="single" w:sz="4" w:space="0" w:color="000000" w:themeColor="text1"/>
            </w:tcBorders>
          </w:tcPr>
          <w:p w14:paraId="029E7C1F" w14:textId="77777777" w:rsidR="00265792" w:rsidRPr="00BA7805" w:rsidRDefault="00265792" w:rsidP="00233A3C">
            <w:pPr>
              <w:pStyle w:val="ARfintablebody"/>
              <w:rPr>
                <w:rStyle w:val="Superscript"/>
                <w:highlight w:val="green"/>
              </w:rPr>
            </w:pPr>
            <w:r w:rsidRPr="00DE00A2">
              <w:t>Other gains/(losses) from other economic flows</w:t>
            </w:r>
          </w:p>
        </w:tc>
        <w:tc>
          <w:tcPr>
            <w:tcW w:w="851" w:type="dxa"/>
            <w:tcBorders>
              <w:top w:val="single" w:sz="4" w:space="0" w:color="A6A6A6" w:themeColor="accent5"/>
              <w:bottom w:val="single" w:sz="4" w:space="0" w:color="000000" w:themeColor="text1"/>
            </w:tcBorders>
            <w:noWrap/>
          </w:tcPr>
          <w:p w14:paraId="150C6BDC" w14:textId="77777777" w:rsidR="00265792" w:rsidRPr="00BA7805" w:rsidRDefault="00265792" w:rsidP="00233A3C">
            <w:pPr>
              <w:pStyle w:val="ARfintablebodyright"/>
              <w:rPr>
                <w:highlight w:val="green"/>
              </w:rPr>
            </w:pPr>
            <w:r w:rsidRPr="00DE00A2">
              <w:t>9.2(c)</w:t>
            </w:r>
          </w:p>
        </w:tc>
        <w:tc>
          <w:tcPr>
            <w:tcW w:w="1361" w:type="dxa"/>
            <w:tcBorders>
              <w:top w:val="single" w:sz="4" w:space="0" w:color="A6A6A6" w:themeColor="accent5"/>
              <w:bottom w:val="single" w:sz="4" w:space="0" w:color="000000" w:themeColor="text1"/>
            </w:tcBorders>
            <w:shd w:val="clear" w:color="auto" w:fill="EEEEEF" w:themeFill="accent4"/>
            <w:noWrap/>
          </w:tcPr>
          <w:p w14:paraId="1892A30C" w14:textId="77777777" w:rsidR="00265792" w:rsidRPr="00BA7805" w:rsidRDefault="00265792" w:rsidP="00233A3C">
            <w:pPr>
              <w:pStyle w:val="ARfintablebodyright"/>
              <w:rPr>
                <w:highlight w:val="green"/>
              </w:rPr>
            </w:pPr>
            <w:r w:rsidRPr="00DE00A2">
              <w:t>(49.2)</w:t>
            </w:r>
          </w:p>
        </w:tc>
        <w:tc>
          <w:tcPr>
            <w:tcW w:w="1361" w:type="dxa"/>
            <w:tcBorders>
              <w:top w:val="single" w:sz="4" w:space="0" w:color="A6A6A6" w:themeColor="accent5"/>
              <w:bottom w:val="single" w:sz="4" w:space="0" w:color="000000" w:themeColor="text1"/>
            </w:tcBorders>
            <w:noWrap/>
          </w:tcPr>
          <w:p w14:paraId="4C85C431" w14:textId="77777777" w:rsidR="00265792" w:rsidRPr="00BA7805" w:rsidRDefault="00265792" w:rsidP="00233A3C">
            <w:pPr>
              <w:pStyle w:val="ARfintablebodyright"/>
              <w:rPr>
                <w:highlight w:val="green"/>
              </w:rPr>
            </w:pPr>
            <w:r w:rsidRPr="00DE00A2">
              <w:t>(30.1)</w:t>
            </w:r>
          </w:p>
        </w:tc>
      </w:tr>
      <w:tr w:rsidR="00265792" w:rsidRPr="00BA7805" w14:paraId="439AD135" w14:textId="77777777" w:rsidTr="00CC46F3">
        <w:tc>
          <w:tcPr>
            <w:tcW w:w="6064" w:type="dxa"/>
            <w:tcBorders>
              <w:top w:val="single" w:sz="4" w:space="0" w:color="000000" w:themeColor="text1"/>
              <w:bottom w:val="single" w:sz="4" w:space="0" w:color="000000" w:themeColor="text1"/>
            </w:tcBorders>
          </w:tcPr>
          <w:p w14:paraId="02FE53E5" w14:textId="77777777" w:rsidR="00265792" w:rsidRPr="00BA7805" w:rsidRDefault="00265792" w:rsidP="005153E6">
            <w:pPr>
              <w:pStyle w:val="ARfintablebodybold"/>
              <w:rPr>
                <w:highlight w:val="green"/>
              </w:rPr>
            </w:pPr>
            <w:r w:rsidRPr="00DE00A2">
              <w:t>Total other economic flows included in net result</w:t>
            </w:r>
          </w:p>
        </w:tc>
        <w:tc>
          <w:tcPr>
            <w:tcW w:w="851" w:type="dxa"/>
            <w:tcBorders>
              <w:top w:val="single" w:sz="4" w:space="0" w:color="000000" w:themeColor="text1"/>
              <w:bottom w:val="single" w:sz="4" w:space="0" w:color="000000" w:themeColor="text1"/>
            </w:tcBorders>
          </w:tcPr>
          <w:p w14:paraId="71E51DF4" w14:textId="77777777" w:rsidR="00265792" w:rsidRPr="00BA7805" w:rsidRDefault="00265792" w:rsidP="00FE33B0">
            <w:pPr>
              <w:pStyle w:val="ARfintablebodyrightbold"/>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7DBB0875" w14:textId="77777777" w:rsidR="00265792" w:rsidRPr="00BA7805" w:rsidRDefault="00265792" w:rsidP="00FE33B0">
            <w:pPr>
              <w:pStyle w:val="ARfintablebodyrightbold"/>
              <w:rPr>
                <w:highlight w:val="green"/>
              </w:rPr>
            </w:pPr>
            <w:r w:rsidRPr="00DE00A2">
              <w:t>(52.5)</w:t>
            </w:r>
          </w:p>
        </w:tc>
        <w:tc>
          <w:tcPr>
            <w:tcW w:w="1361" w:type="dxa"/>
            <w:tcBorders>
              <w:top w:val="single" w:sz="4" w:space="0" w:color="000000" w:themeColor="text1"/>
              <w:bottom w:val="single" w:sz="4" w:space="0" w:color="000000" w:themeColor="text1"/>
            </w:tcBorders>
            <w:noWrap/>
          </w:tcPr>
          <w:p w14:paraId="0B407A27" w14:textId="77777777" w:rsidR="00265792" w:rsidRPr="00BA7805" w:rsidRDefault="00265792" w:rsidP="00FE33B0">
            <w:pPr>
              <w:pStyle w:val="ARfintablebodyrightbold"/>
              <w:rPr>
                <w:highlight w:val="green"/>
              </w:rPr>
            </w:pPr>
            <w:r w:rsidRPr="00DE00A2">
              <w:t>(36.7)</w:t>
            </w:r>
          </w:p>
        </w:tc>
      </w:tr>
      <w:tr w:rsidR="00265792" w:rsidRPr="00BA7805" w14:paraId="4756F05D" w14:textId="77777777" w:rsidTr="00CC46F3">
        <w:tc>
          <w:tcPr>
            <w:tcW w:w="6064" w:type="dxa"/>
            <w:tcBorders>
              <w:top w:val="single" w:sz="4" w:space="0" w:color="000000" w:themeColor="text1"/>
              <w:bottom w:val="single" w:sz="4" w:space="0" w:color="000000" w:themeColor="text1"/>
            </w:tcBorders>
          </w:tcPr>
          <w:p w14:paraId="2558AA15" w14:textId="77777777" w:rsidR="00265792" w:rsidRPr="00BA7805" w:rsidRDefault="00265792" w:rsidP="005153E6">
            <w:pPr>
              <w:pStyle w:val="ARfintablebodybold"/>
              <w:rPr>
                <w:highlight w:val="green"/>
              </w:rPr>
            </w:pPr>
            <w:r w:rsidRPr="00DE00A2">
              <w:t>Net result</w:t>
            </w:r>
          </w:p>
        </w:tc>
        <w:tc>
          <w:tcPr>
            <w:tcW w:w="851" w:type="dxa"/>
            <w:tcBorders>
              <w:top w:val="single" w:sz="4" w:space="0" w:color="000000" w:themeColor="text1"/>
              <w:bottom w:val="single" w:sz="4" w:space="0" w:color="000000" w:themeColor="text1"/>
            </w:tcBorders>
          </w:tcPr>
          <w:p w14:paraId="5581BA93" w14:textId="77777777" w:rsidR="00265792" w:rsidRPr="00BA7805" w:rsidRDefault="00265792" w:rsidP="00FE33B0">
            <w:pPr>
              <w:pStyle w:val="ARfintablebodyrightbold"/>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6CDF7629" w14:textId="77777777" w:rsidR="00265792" w:rsidRPr="00BA7805" w:rsidRDefault="00265792" w:rsidP="00FE33B0">
            <w:pPr>
              <w:pStyle w:val="ARfintablebodyrightbold"/>
              <w:rPr>
                <w:highlight w:val="green"/>
              </w:rPr>
            </w:pPr>
            <w:r w:rsidRPr="00DE00A2">
              <w:t>(522.2)</w:t>
            </w:r>
          </w:p>
        </w:tc>
        <w:tc>
          <w:tcPr>
            <w:tcW w:w="1361" w:type="dxa"/>
            <w:tcBorders>
              <w:top w:val="single" w:sz="4" w:space="0" w:color="000000" w:themeColor="text1"/>
              <w:bottom w:val="single" w:sz="4" w:space="0" w:color="000000" w:themeColor="text1"/>
            </w:tcBorders>
            <w:noWrap/>
          </w:tcPr>
          <w:p w14:paraId="53C4FE27" w14:textId="77777777" w:rsidR="00265792" w:rsidRPr="00BA7805" w:rsidRDefault="00265792" w:rsidP="00FE33B0">
            <w:pPr>
              <w:pStyle w:val="ARfintablebodyrightbold"/>
              <w:rPr>
                <w:highlight w:val="green"/>
              </w:rPr>
            </w:pPr>
            <w:r w:rsidRPr="00DE00A2">
              <w:t>(638.4)</w:t>
            </w:r>
          </w:p>
        </w:tc>
      </w:tr>
      <w:tr w:rsidR="00265792" w:rsidRPr="00BA7805" w14:paraId="6FE4C84A" w14:textId="77777777" w:rsidTr="00CC46F3">
        <w:tc>
          <w:tcPr>
            <w:tcW w:w="6064" w:type="dxa"/>
            <w:tcBorders>
              <w:top w:val="single" w:sz="4" w:space="0" w:color="000000" w:themeColor="text1"/>
              <w:bottom w:val="single" w:sz="4" w:space="0" w:color="A6A6A6" w:themeColor="accent5"/>
            </w:tcBorders>
          </w:tcPr>
          <w:p w14:paraId="6D500396" w14:textId="77777777" w:rsidR="00265792" w:rsidRPr="00300FEA" w:rsidRDefault="00265792" w:rsidP="005153E6">
            <w:pPr>
              <w:pStyle w:val="ARfintablebodybold"/>
            </w:pPr>
            <w:r w:rsidRPr="00DE00A2">
              <w:t xml:space="preserve">Other economic flows </w:t>
            </w:r>
            <w:r>
              <w:t>–</w:t>
            </w:r>
            <w:r w:rsidRPr="00DE00A2">
              <w:t xml:space="preserve"> other comprehensive income</w:t>
            </w:r>
          </w:p>
        </w:tc>
        <w:tc>
          <w:tcPr>
            <w:tcW w:w="851" w:type="dxa"/>
            <w:tcBorders>
              <w:top w:val="single" w:sz="4" w:space="0" w:color="000000" w:themeColor="text1"/>
              <w:bottom w:val="single" w:sz="4" w:space="0" w:color="A6A6A6" w:themeColor="accent5"/>
            </w:tcBorders>
          </w:tcPr>
          <w:p w14:paraId="31A68F99" w14:textId="77777777" w:rsidR="00265792" w:rsidRPr="00BA7805" w:rsidRDefault="00265792" w:rsidP="00233A3C">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5DDFAF08" w14:textId="77777777" w:rsidR="00265792" w:rsidRPr="00300FEA" w:rsidRDefault="00265792" w:rsidP="00233A3C">
            <w:pPr>
              <w:pStyle w:val="ARfintablebodyright"/>
            </w:pPr>
          </w:p>
        </w:tc>
        <w:tc>
          <w:tcPr>
            <w:tcW w:w="1361" w:type="dxa"/>
            <w:tcBorders>
              <w:top w:val="single" w:sz="4" w:space="0" w:color="000000" w:themeColor="text1"/>
              <w:bottom w:val="single" w:sz="4" w:space="0" w:color="A6A6A6" w:themeColor="accent5"/>
            </w:tcBorders>
            <w:noWrap/>
          </w:tcPr>
          <w:p w14:paraId="694AA690" w14:textId="77777777" w:rsidR="00265792" w:rsidRPr="00300FEA" w:rsidRDefault="00265792" w:rsidP="00233A3C">
            <w:pPr>
              <w:pStyle w:val="ARfintablebodyright"/>
            </w:pPr>
          </w:p>
        </w:tc>
      </w:tr>
      <w:tr w:rsidR="00265792" w:rsidRPr="00BA7805" w14:paraId="0888DFB3" w14:textId="77777777" w:rsidTr="00CC46F3">
        <w:tc>
          <w:tcPr>
            <w:tcW w:w="6064" w:type="dxa"/>
            <w:tcBorders>
              <w:top w:val="single" w:sz="4" w:space="0" w:color="A6A6A6" w:themeColor="accent5"/>
            </w:tcBorders>
          </w:tcPr>
          <w:p w14:paraId="36E4A0E4" w14:textId="77777777" w:rsidR="00265792" w:rsidRPr="00BA7805" w:rsidRDefault="00265792" w:rsidP="005153E6">
            <w:pPr>
              <w:pStyle w:val="ARfintablebodybold"/>
              <w:rPr>
                <w:highlight w:val="green"/>
              </w:rPr>
            </w:pPr>
            <w:r w:rsidRPr="00DE00A2">
              <w:t>Items that will not be reclassified to net result</w:t>
            </w:r>
          </w:p>
        </w:tc>
        <w:tc>
          <w:tcPr>
            <w:tcW w:w="851" w:type="dxa"/>
            <w:tcBorders>
              <w:top w:val="single" w:sz="4" w:space="0" w:color="A6A6A6" w:themeColor="accent5"/>
            </w:tcBorders>
            <w:noWrap/>
          </w:tcPr>
          <w:p w14:paraId="7BFD14C7" w14:textId="77777777" w:rsidR="00265792" w:rsidRPr="00BA7805" w:rsidRDefault="00265792" w:rsidP="00233A3C">
            <w:pPr>
              <w:pStyle w:val="ARfintablebodyright"/>
              <w:rPr>
                <w:highlight w:val="green"/>
              </w:rPr>
            </w:pPr>
          </w:p>
        </w:tc>
        <w:tc>
          <w:tcPr>
            <w:tcW w:w="1361" w:type="dxa"/>
            <w:tcBorders>
              <w:top w:val="single" w:sz="4" w:space="0" w:color="A6A6A6" w:themeColor="accent5"/>
            </w:tcBorders>
            <w:noWrap/>
          </w:tcPr>
          <w:p w14:paraId="37132136" w14:textId="77777777" w:rsidR="00265792" w:rsidRPr="00BA7805" w:rsidRDefault="00265792" w:rsidP="00233A3C">
            <w:pPr>
              <w:pStyle w:val="ARfintablebodyright"/>
              <w:rPr>
                <w:highlight w:val="green"/>
              </w:rPr>
            </w:pPr>
          </w:p>
        </w:tc>
        <w:tc>
          <w:tcPr>
            <w:tcW w:w="1361" w:type="dxa"/>
            <w:tcBorders>
              <w:top w:val="single" w:sz="4" w:space="0" w:color="A6A6A6" w:themeColor="accent5"/>
            </w:tcBorders>
            <w:noWrap/>
          </w:tcPr>
          <w:p w14:paraId="73EDE576" w14:textId="77777777" w:rsidR="00265792" w:rsidRPr="00BA7805" w:rsidRDefault="00265792" w:rsidP="00233A3C">
            <w:pPr>
              <w:pStyle w:val="ARfintablebodyright"/>
              <w:rPr>
                <w:highlight w:val="green"/>
              </w:rPr>
            </w:pPr>
          </w:p>
        </w:tc>
      </w:tr>
      <w:tr w:rsidR="00265792" w:rsidRPr="00BA7805" w14:paraId="4A21DDBF" w14:textId="77777777" w:rsidTr="00CC46F3">
        <w:tc>
          <w:tcPr>
            <w:tcW w:w="6064" w:type="dxa"/>
            <w:tcBorders>
              <w:bottom w:val="single" w:sz="4" w:space="0" w:color="A6A6A6" w:themeColor="accent5"/>
            </w:tcBorders>
          </w:tcPr>
          <w:p w14:paraId="05FA8503" w14:textId="77777777" w:rsidR="00265792" w:rsidRPr="00BA7805" w:rsidRDefault="00265792" w:rsidP="00233A3C">
            <w:pPr>
              <w:pStyle w:val="ARfintablebody"/>
              <w:rPr>
                <w:highlight w:val="green"/>
              </w:rPr>
            </w:pPr>
            <w:r w:rsidRPr="00DE00A2">
              <w:t>Changes in physical asset revaluation surplus</w:t>
            </w:r>
          </w:p>
        </w:tc>
        <w:tc>
          <w:tcPr>
            <w:tcW w:w="851" w:type="dxa"/>
            <w:tcBorders>
              <w:bottom w:val="single" w:sz="4" w:space="0" w:color="A6A6A6" w:themeColor="accent5"/>
            </w:tcBorders>
            <w:noWrap/>
          </w:tcPr>
          <w:p w14:paraId="76CD734B" w14:textId="77777777" w:rsidR="00265792" w:rsidRPr="00BA7805" w:rsidRDefault="00265792" w:rsidP="00233A3C">
            <w:pPr>
              <w:pStyle w:val="ARfintablebodyright"/>
              <w:rPr>
                <w:highlight w:val="green"/>
              </w:rPr>
            </w:pPr>
            <w:r w:rsidRPr="00DE00A2">
              <w:t>9.3(b)</w:t>
            </w:r>
          </w:p>
        </w:tc>
        <w:tc>
          <w:tcPr>
            <w:tcW w:w="1361" w:type="dxa"/>
            <w:tcBorders>
              <w:bottom w:val="single" w:sz="4" w:space="0" w:color="A6A6A6" w:themeColor="accent5"/>
            </w:tcBorders>
            <w:shd w:val="clear" w:color="auto" w:fill="EEEEEF" w:themeFill="accent4"/>
            <w:noWrap/>
          </w:tcPr>
          <w:p w14:paraId="42CCEEB8" w14:textId="77777777" w:rsidR="00265792" w:rsidRPr="00BA7805" w:rsidRDefault="00265792" w:rsidP="00233A3C">
            <w:pPr>
              <w:pStyle w:val="ARfintablebodyright"/>
              <w:rPr>
                <w:highlight w:val="green"/>
              </w:rPr>
            </w:pPr>
            <w:r w:rsidRPr="00DE00A2">
              <w:t>(1.7)</w:t>
            </w:r>
          </w:p>
        </w:tc>
        <w:tc>
          <w:tcPr>
            <w:tcW w:w="1361" w:type="dxa"/>
            <w:tcBorders>
              <w:bottom w:val="single" w:sz="4" w:space="0" w:color="A6A6A6" w:themeColor="accent5"/>
            </w:tcBorders>
            <w:noWrap/>
          </w:tcPr>
          <w:p w14:paraId="4AEEE707" w14:textId="77777777" w:rsidR="00265792" w:rsidRPr="00BA7805" w:rsidRDefault="00265792" w:rsidP="00233A3C">
            <w:pPr>
              <w:pStyle w:val="ARfintablebodyright"/>
              <w:rPr>
                <w:highlight w:val="green"/>
              </w:rPr>
            </w:pPr>
            <w:r w:rsidRPr="00DE00A2">
              <w:t>1,185.7</w:t>
            </w:r>
          </w:p>
        </w:tc>
      </w:tr>
      <w:tr w:rsidR="00265792" w:rsidRPr="00BA7805" w14:paraId="30F3E44C" w14:textId="77777777" w:rsidTr="00CC46F3">
        <w:tc>
          <w:tcPr>
            <w:tcW w:w="6064" w:type="dxa"/>
            <w:tcBorders>
              <w:top w:val="single" w:sz="4" w:space="0" w:color="A6A6A6" w:themeColor="accent5"/>
              <w:bottom w:val="single" w:sz="4" w:space="0" w:color="000000" w:themeColor="text1"/>
            </w:tcBorders>
          </w:tcPr>
          <w:p w14:paraId="1044B8F0" w14:textId="77777777" w:rsidR="00265792" w:rsidRPr="00BA7805" w:rsidRDefault="00265792" w:rsidP="00233A3C">
            <w:pPr>
              <w:pStyle w:val="ARfintablebody"/>
              <w:rPr>
                <w:highlight w:val="green"/>
              </w:rPr>
            </w:pPr>
            <w:r w:rsidRPr="00DE00A2">
              <w:t>Remeasurement of superannuation defined benefit plans</w:t>
            </w:r>
          </w:p>
        </w:tc>
        <w:tc>
          <w:tcPr>
            <w:tcW w:w="851" w:type="dxa"/>
            <w:tcBorders>
              <w:top w:val="single" w:sz="4" w:space="0" w:color="A6A6A6" w:themeColor="accent5"/>
              <w:bottom w:val="single" w:sz="4" w:space="0" w:color="000000" w:themeColor="text1"/>
            </w:tcBorders>
            <w:noWrap/>
          </w:tcPr>
          <w:p w14:paraId="37778CC8" w14:textId="77777777" w:rsidR="00265792" w:rsidRPr="00BA7805" w:rsidRDefault="00265792" w:rsidP="00233A3C">
            <w:pPr>
              <w:pStyle w:val="ARfintablebodyright"/>
              <w:rPr>
                <w:highlight w:val="green"/>
              </w:rPr>
            </w:pPr>
            <w:r w:rsidRPr="00DE00A2">
              <w:t>9.3(a)</w:t>
            </w:r>
          </w:p>
        </w:tc>
        <w:tc>
          <w:tcPr>
            <w:tcW w:w="1361" w:type="dxa"/>
            <w:tcBorders>
              <w:top w:val="single" w:sz="4" w:space="0" w:color="A6A6A6" w:themeColor="accent5"/>
              <w:bottom w:val="single" w:sz="4" w:space="0" w:color="000000" w:themeColor="text1"/>
            </w:tcBorders>
            <w:shd w:val="clear" w:color="auto" w:fill="EEEEEF" w:themeFill="accent4"/>
            <w:noWrap/>
          </w:tcPr>
          <w:p w14:paraId="006093FA" w14:textId="77777777" w:rsidR="00265792" w:rsidRPr="00BA7805" w:rsidRDefault="00265792" w:rsidP="00233A3C">
            <w:pPr>
              <w:pStyle w:val="ARfintablebodyright"/>
              <w:rPr>
                <w:highlight w:val="green"/>
              </w:rPr>
            </w:pPr>
            <w:r w:rsidRPr="00DE00A2">
              <w:t>(1.2)</w:t>
            </w:r>
          </w:p>
        </w:tc>
        <w:tc>
          <w:tcPr>
            <w:tcW w:w="1361" w:type="dxa"/>
            <w:tcBorders>
              <w:top w:val="single" w:sz="4" w:space="0" w:color="A6A6A6" w:themeColor="accent5"/>
              <w:bottom w:val="single" w:sz="4" w:space="0" w:color="000000" w:themeColor="text1"/>
            </w:tcBorders>
            <w:noWrap/>
          </w:tcPr>
          <w:p w14:paraId="14197D98" w14:textId="77777777" w:rsidR="00265792" w:rsidRPr="00BA7805" w:rsidRDefault="00265792" w:rsidP="00233A3C">
            <w:pPr>
              <w:pStyle w:val="ARfintablebodyright"/>
              <w:rPr>
                <w:highlight w:val="green"/>
              </w:rPr>
            </w:pPr>
            <w:r w:rsidRPr="00DE00A2">
              <w:t>2.1</w:t>
            </w:r>
          </w:p>
        </w:tc>
      </w:tr>
      <w:tr w:rsidR="00265792" w:rsidRPr="00BA7805" w14:paraId="5A56F519" w14:textId="77777777" w:rsidTr="00CC46F3">
        <w:tc>
          <w:tcPr>
            <w:tcW w:w="6064" w:type="dxa"/>
            <w:tcBorders>
              <w:top w:val="single" w:sz="4" w:space="0" w:color="000000" w:themeColor="text1"/>
              <w:bottom w:val="single" w:sz="4" w:space="0" w:color="000000" w:themeColor="text1"/>
            </w:tcBorders>
          </w:tcPr>
          <w:p w14:paraId="178A02AC" w14:textId="77777777" w:rsidR="00265792" w:rsidRPr="00BA7805" w:rsidRDefault="00265792" w:rsidP="005153E6">
            <w:pPr>
              <w:pStyle w:val="ARfintablebodybold"/>
              <w:rPr>
                <w:highlight w:val="green"/>
              </w:rPr>
            </w:pPr>
            <w:r w:rsidRPr="00DE00A2">
              <w:t xml:space="preserve">Total other economic flows </w:t>
            </w:r>
            <w:r>
              <w:t>–</w:t>
            </w:r>
            <w:r w:rsidRPr="00DE00A2">
              <w:t xml:space="preserve"> other comprehensive income</w:t>
            </w:r>
          </w:p>
        </w:tc>
        <w:tc>
          <w:tcPr>
            <w:tcW w:w="851" w:type="dxa"/>
            <w:tcBorders>
              <w:top w:val="single" w:sz="4" w:space="0" w:color="000000" w:themeColor="text1"/>
              <w:bottom w:val="single" w:sz="4" w:space="0" w:color="000000" w:themeColor="text1"/>
            </w:tcBorders>
          </w:tcPr>
          <w:p w14:paraId="24953BFB" w14:textId="77777777" w:rsidR="00265792" w:rsidRPr="00BA7805" w:rsidRDefault="00265792" w:rsidP="00FE33B0">
            <w:pPr>
              <w:pStyle w:val="ARfintablebodyrightbold"/>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0C2AC834" w14:textId="77777777" w:rsidR="00265792" w:rsidRPr="00BA7805" w:rsidRDefault="00265792" w:rsidP="00FE33B0">
            <w:pPr>
              <w:pStyle w:val="ARfintablebodyrightbold"/>
              <w:rPr>
                <w:highlight w:val="green"/>
              </w:rPr>
            </w:pPr>
            <w:r w:rsidRPr="00DE00A2">
              <w:t>(2.9)</w:t>
            </w:r>
          </w:p>
        </w:tc>
        <w:tc>
          <w:tcPr>
            <w:tcW w:w="1361" w:type="dxa"/>
            <w:tcBorders>
              <w:top w:val="single" w:sz="4" w:space="0" w:color="000000" w:themeColor="text1"/>
              <w:bottom w:val="single" w:sz="4" w:space="0" w:color="000000" w:themeColor="text1"/>
            </w:tcBorders>
            <w:noWrap/>
          </w:tcPr>
          <w:p w14:paraId="604F3952" w14:textId="77777777" w:rsidR="00265792" w:rsidRPr="00BA7805" w:rsidRDefault="00265792" w:rsidP="00FE33B0">
            <w:pPr>
              <w:pStyle w:val="ARfintablebodyrightbold"/>
              <w:rPr>
                <w:highlight w:val="green"/>
              </w:rPr>
            </w:pPr>
            <w:r w:rsidRPr="00DE00A2">
              <w:t>1,187.8</w:t>
            </w:r>
          </w:p>
        </w:tc>
      </w:tr>
      <w:tr w:rsidR="00265792" w:rsidRPr="00BA7805" w14:paraId="5D120E94" w14:textId="77777777" w:rsidTr="00CC46F3">
        <w:trPr>
          <w:cnfStyle w:val="010000000000" w:firstRow="0" w:lastRow="1" w:firstColumn="0" w:lastColumn="0" w:oddVBand="0" w:evenVBand="0" w:oddHBand="0" w:evenHBand="0" w:firstRowFirstColumn="0" w:firstRowLastColumn="0" w:lastRowFirstColumn="0" w:lastRowLastColumn="0"/>
        </w:trPr>
        <w:tc>
          <w:tcPr>
            <w:tcW w:w="6064" w:type="dxa"/>
          </w:tcPr>
          <w:p w14:paraId="5505B904" w14:textId="77777777" w:rsidR="00265792" w:rsidRPr="00BA7805" w:rsidRDefault="00265792" w:rsidP="005153E6">
            <w:pPr>
              <w:pStyle w:val="ARfintablebodybold"/>
              <w:rPr>
                <w:highlight w:val="green"/>
              </w:rPr>
            </w:pPr>
            <w:r w:rsidRPr="00DE00A2">
              <w:t>Comprehensive result</w:t>
            </w:r>
          </w:p>
        </w:tc>
        <w:tc>
          <w:tcPr>
            <w:tcW w:w="851" w:type="dxa"/>
          </w:tcPr>
          <w:p w14:paraId="5797AEBC" w14:textId="77777777" w:rsidR="00265792" w:rsidRPr="00BA7805" w:rsidRDefault="00265792" w:rsidP="00FE33B0">
            <w:pPr>
              <w:pStyle w:val="ARfintablebodyrightbold"/>
              <w:rPr>
                <w:highlight w:val="green"/>
              </w:rPr>
            </w:pPr>
          </w:p>
        </w:tc>
        <w:tc>
          <w:tcPr>
            <w:tcW w:w="1361" w:type="dxa"/>
            <w:shd w:val="clear" w:color="auto" w:fill="EEEEEF" w:themeFill="accent4"/>
            <w:noWrap/>
          </w:tcPr>
          <w:p w14:paraId="71174BCB" w14:textId="77777777" w:rsidR="00265792" w:rsidRPr="00BA7805" w:rsidRDefault="00265792" w:rsidP="00FE33B0">
            <w:pPr>
              <w:pStyle w:val="ARfintablebodyrightbold"/>
              <w:rPr>
                <w:highlight w:val="green"/>
              </w:rPr>
            </w:pPr>
            <w:r w:rsidRPr="00DE00A2">
              <w:t>(525.1)</w:t>
            </w:r>
          </w:p>
        </w:tc>
        <w:tc>
          <w:tcPr>
            <w:tcW w:w="1361" w:type="dxa"/>
            <w:noWrap/>
          </w:tcPr>
          <w:p w14:paraId="25C3A15C" w14:textId="77777777" w:rsidR="00265792" w:rsidRPr="00BA7805" w:rsidRDefault="00265792" w:rsidP="00FE33B0">
            <w:pPr>
              <w:pStyle w:val="ARfintablebodyrightbold"/>
              <w:rPr>
                <w:highlight w:val="green"/>
              </w:rPr>
            </w:pPr>
            <w:r w:rsidRPr="00DE00A2">
              <w:t>549.4</w:t>
            </w:r>
          </w:p>
        </w:tc>
      </w:tr>
    </w:tbl>
    <w:p w14:paraId="18C61A89" w14:textId="77777777" w:rsidR="00265792" w:rsidRPr="000F09AD" w:rsidRDefault="00265792" w:rsidP="000F09AD">
      <w:pPr>
        <w:pStyle w:val="ARfintablefootnote"/>
        <w:rPr>
          <w:highlight w:val="green"/>
        </w:rPr>
      </w:pPr>
      <w:r w:rsidRPr="000F09AD">
        <w:t>The comprehensive operating statement should be read in conjunction with the notes to the financial statements.</w:t>
      </w:r>
    </w:p>
    <w:p w14:paraId="02F4BA49" w14:textId="77777777" w:rsidR="00265792" w:rsidRPr="00BA7805" w:rsidRDefault="00265792">
      <w:pPr>
        <w:pStyle w:val="ARfinbody"/>
        <w:rPr>
          <w:highlight w:val="green"/>
        </w:rPr>
      </w:pPr>
      <w:r w:rsidRPr="00BA7805">
        <w:rPr>
          <w:highlight w:val="green"/>
        </w:rPr>
        <w:br w:type="page"/>
      </w:r>
    </w:p>
    <w:p w14:paraId="019B450F" w14:textId="77777777" w:rsidR="00265792" w:rsidRPr="007E2B58" w:rsidRDefault="00265792" w:rsidP="00BB645D">
      <w:pPr>
        <w:pStyle w:val="Heading2Financials"/>
        <w:spacing w:before="0"/>
      </w:pPr>
      <w:bookmarkStart w:id="255" w:name="_Toc212041652"/>
      <w:r w:rsidRPr="007E2B58">
        <w:lastRenderedPageBreak/>
        <w:t xml:space="preserve">Balance sheet as </w:t>
      </w:r>
      <w:proofErr w:type="gramStart"/>
      <w:r w:rsidRPr="007E2B58">
        <w:t>at</w:t>
      </w:r>
      <w:proofErr w:type="gramEnd"/>
      <w:r w:rsidRPr="007E2B58">
        <w:t xml:space="preserve"> 30 June 202</w:t>
      </w:r>
      <w:r>
        <w:t>5</w:t>
      </w:r>
      <w:bookmarkEnd w:id="255"/>
    </w:p>
    <w:tbl>
      <w:tblPr>
        <w:tblStyle w:val="TableGrid"/>
        <w:tblW w:w="9637" w:type="dxa"/>
        <w:tblLayout w:type="fixed"/>
        <w:tblLook w:val="07E0" w:firstRow="1" w:lastRow="1" w:firstColumn="1" w:lastColumn="1" w:noHBand="1" w:noVBand="1"/>
      </w:tblPr>
      <w:tblGrid>
        <w:gridCol w:w="6064"/>
        <w:gridCol w:w="851"/>
        <w:gridCol w:w="1361"/>
        <w:gridCol w:w="1361"/>
      </w:tblGrid>
      <w:tr w:rsidR="00265792" w:rsidRPr="00BA7805" w14:paraId="1DE3EA00" w14:textId="77777777" w:rsidTr="00406CC9">
        <w:trPr>
          <w:cnfStyle w:val="100000000000" w:firstRow="1" w:lastRow="0" w:firstColumn="0" w:lastColumn="0" w:oddVBand="0" w:evenVBand="0" w:oddHBand="0" w:evenHBand="0" w:firstRowFirstColumn="0" w:firstRowLastColumn="0" w:lastRowFirstColumn="0" w:lastRowLastColumn="0"/>
          <w:tblHeader/>
        </w:trPr>
        <w:tc>
          <w:tcPr>
            <w:tcW w:w="6064" w:type="dxa"/>
            <w:noWrap/>
            <w:hideMark/>
          </w:tcPr>
          <w:p w14:paraId="3CB50F51" w14:textId="77777777" w:rsidR="00265792" w:rsidRPr="007E2B58" w:rsidRDefault="00265792">
            <w:pPr>
              <w:pStyle w:val="ARfintablecolhead"/>
            </w:pPr>
          </w:p>
        </w:tc>
        <w:tc>
          <w:tcPr>
            <w:tcW w:w="851" w:type="dxa"/>
            <w:noWrap/>
            <w:hideMark/>
          </w:tcPr>
          <w:p w14:paraId="0919701D" w14:textId="77777777" w:rsidR="00265792" w:rsidRPr="007E2B58" w:rsidRDefault="00265792" w:rsidP="004E26CC">
            <w:pPr>
              <w:pStyle w:val="ARfintablecolheadright"/>
            </w:pPr>
            <w:r w:rsidRPr="007E2B58">
              <w:t>Note</w:t>
            </w:r>
          </w:p>
        </w:tc>
        <w:tc>
          <w:tcPr>
            <w:tcW w:w="1361" w:type="dxa"/>
            <w:shd w:val="clear" w:color="auto" w:fill="EEEEEF" w:themeFill="accent4"/>
            <w:hideMark/>
          </w:tcPr>
          <w:p w14:paraId="2FEEB92A" w14:textId="77777777" w:rsidR="00265792" w:rsidRPr="007E2B58" w:rsidRDefault="00265792" w:rsidP="00DF220B">
            <w:pPr>
              <w:pStyle w:val="ARfintablecolheadright"/>
            </w:pPr>
            <w:r w:rsidRPr="007E2B58">
              <w:t>202</w:t>
            </w:r>
            <w:r>
              <w:t>5</w:t>
            </w:r>
          </w:p>
          <w:p w14:paraId="744255AC" w14:textId="77777777" w:rsidR="00265792" w:rsidRPr="007E2B58" w:rsidRDefault="00265792" w:rsidP="00DF220B">
            <w:pPr>
              <w:pStyle w:val="ARfintablecolheadright"/>
            </w:pPr>
            <w:r w:rsidRPr="007E2B58">
              <w:t>$M</w:t>
            </w:r>
          </w:p>
        </w:tc>
        <w:tc>
          <w:tcPr>
            <w:tcW w:w="1361" w:type="dxa"/>
            <w:hideMark/>
          </w:tcPr>
          <w:p w14:paraId="2FDDAA63" w14:textId="77777777" w:rsidR="00265792" w:rsidRPr="007E2B58" w:rsidRDefault="00265792" w:rsidP="00DF220B">
            <w:pPr>
              <w:pStyle w:val="ARfintablecolheadright"/>
            </w:pPr>
            <w:r w:rsidRPr="007E2B58">
              <w:t>202</w:t>
            </w:r>
            <w:r>
              <w:t>4</w:t>
            </w:r>
          </w:p>
          <w:p w14:paraId="65DE5807" w14:textId="77777777" w:rsidR="00265792" w:rsidRPr="007E2B58" w:rsidRDefault="00265792" w:rsidP="00DF220B">
            <w:pPr>
              <w:pStyle w:val="ARfintablecolheadright"/>
            </w:pPr>
            <w:r w:rsidRPr="007E2B58">
              <w:t>$M</w:t>
            </w:r>
          </w:p>
        </w:tc>
      </w:tr>
      <w:tr w:rsidR="00265792" w:rsidRPr="00BA7805" w14:paraId="3F27503B" w14:textId="77777777" w:rsidTr="00CC46F3">
        <w:tc>
          <w:tcPr>
            <w:tcW w:w="6064" w:type="dxa"/>
          </w:tcPr>
          <w:p w14:paraId="4B94B33A" w14:textId="77777777" w:rsidR="00265792" w:rsidRPr="00BA7805" w:rsidRDefault="00265792" w:rsidP="00FB77DE">
            <w:pPr>
              <w:pStyle w:val="ARfintablebodyboldcoloured"/>
              <w:rPr>
                <w:highlight w:val="green"/>
              </w:rPr>
            </w:pPr>
            <w:r w:rsidRPr="00961924">
              <w:t>Assets</w:t>
            </w:r>
          </w:p>
        </w:tc>
        <w:tc>
          <w:tcPr>
            <w:tcW w:w="851" w:type="dxa"/>
            <w:noWrap/>
          </w:tcPr>
          <w:p w14:paraId="22AC9EE0" w14:textId="77777777" w:rsidR="00265792" w:rsidRPr="00BA7805" w:rsidRDefault="00265792" w:rsidP="00FB77DE">
            <w:pPr>
              <w:pStyle w:val="ARfintablebodyright"/>
              <w:rPr>
                <w:highlight w:val="green"/>
              </w:rPr>
            </w:pPr>
          </w:p>
        </w:tc>
        <w:tc>
          <w:tcPr>
            <w:tcW w:w="1361" w:type="dxa"/>
            <w:noWrap/>
          </w:tcPr>
          <w:p w14:paraId="5357B2F1" w14:textId="77777777" w:rsidR="00265792" w:rsidRPr="00BA7805" w:rsidRDefault="00265792" w:rsidP="00FB77DE">
            <w:pPr>
              <w:pStyle w:val="ARfintablebodyright"/>
              <w:rPr>
                <w:highlight w:val="green"/>
              </w:rPr>
            </w:pPr>
          </w:p>
        </w:tc>
        <w:tc>
          <w:tcPr>
            <w:tcW w:w="1361" w:type="dxa"/>
            <w:noWrap/>
          </w:tcPr>
          <w:p w14:paraId="6678B0E6" w14:textId="77777777" w:rsidR="00265792" w:rsidRPr="00BA7805" w:rsidRDefault="00265792" w:rsidP="00FB77DE">
            <w:pPr>
              <w:pStyle w:val="ARfintablebodyright"/>
              <w:rPr>
                <w:highlight w:val="green"/>
              </w:rPr>
            </w:pPr>
          </w:p>
        </w:tc>
      </w:tr>
      <w:tr w:rsidR="00265792" w:rsidRPr="00BA7805" w14:paraId="3F7D2ACD" w14:textId="77777777" w:rsidTr="00CC46F3">
        <w:tc>
          <w:tcPr>
            <w:tcW w:w="6064" w:type="dxa"/>
          </w:tcPr>
          <w:p w14:paraId="623DB7C1" w14:textId="77777777" w:rsidR="00265792" w:rsidRPr="00BA7805" w:rsidRDefault="00265792" w:rsidP="00FB77DE">
            <w:pPr>
              <w:pStyle w:val="ARfintablebodybold"/>
              <w:rPr>
                <w:highlight w:val="green"/>
              </w:rPr>
            </w:pPr>
            <w:r w:rsidRPr="00961924">
              <w:t>Financial assets</w:t>
            </w:r>
          </w:p>
        </w:tc>
        <w:tc>
          <w:tcPr>
            <w:tcW w:w="851" w:type="dxa"/>
            <w:noWrap/>
          </w:tcPr>
          <w:p w14:paraId="74BF5C86" w14:textId="77777777" w:rsidR="00265792" w:rsidRPr="00BA7805" w:rsidRDefault="00265792" w:rsidP="00FB77DE">
            <w:pPr>
              <w:pStyle w:val="ARfintablebodyright"/>
              <w:rPr>
                <w:highlight w:val="green"/>
              </w:rPr>
            </w:pPr>
          </w:p>
        </w:tc>
        <w:tc>
          <w:tcPr>
            <w:tcW w:w="1361" w:type="dxa"/>
            <w:noWrap/>
          </w:tcPr>
          <w:p w14:paraId="6C4D72B8" w14:textId="77777777" w:rsidR="00265792" w:rsidRPr="00BA7805" w:rsidRDefault="00265792" w:rsidP="00FB77DE">
            <w:pPr>
              <w:pStyle w:val="ARfintablebodyright"/>
              <w:rPr>
                <w:highlight w:val="green"/>
              </w:rPr>
            </w:pPr>
          </w:p>
        </w:tc>
        <w:tc>
          <w:tcPr>
            <w:tcW w:w="1361" w:type="dxa"/>
            <w:noWrap/>
          </w:tcPr>
          <w:p w14:paraId="7236E85D" w14:textId="77777777" w:rsidR="00265792" w:rsidRPr="00BA7805" w:rsidRDefault="00265792" w:rsidP="00FB77DE">
            <w:pPr>
              <w:pStyle w:val="ARfintablebodyright"/>
              <w:rPr>
                <w:highlight w:val="green"/>
              </w:rPr>
            </w:pPr>
          </w:p>
        </w:tc>
      </w:tr>
      <w:tr w:rsidR="00265792" w:rsidRPr="00BA7805" w14:paraId="24AF6E11" w14:textId="77777777" w:rsidTr="00217275">
        <w:tc>
          <w:tcPr>
            <w:tcW w:w="6064" w:type="dxa"/>
          </w:tcPr>
          <w:p w14:paraId="3FDFCD6B" w14:textId="77777777" w:rsidR="00265792" w:rsidRPr="00BA7805" w:rsidRDefault="00265792" w:rsidP="00FB77DE">
            <w:pPr>
              <w:pStyle w:val="ARfintablebody"/>
              <w:rPr>
                <w:highlight w:val="green"/>
              </w:rPr>
            </w:pPr>
            <w:r w:rsidRPr="00961924">
              <w:t xml:space="preserve">Cash and deposits </w:t>
            </w:r>
            <w:r w:rsidRPr="002670E2">
              <w:rPr>
                <w:vertAlign w:val="superscript"/>
              </w:rPr>
              <w:t>(</w:t>
            </w:r>
            <w:proofErr w:type="spellStart"/>
            <w:r w:rsidRPr="002670E2">
              <w:rPr>
                <w:vertAlign w:val="superscript"/>
              </w:rPr>
              <w:t>i</w:t>
            </w:r>
            <w:proofErr w:type="spellEnd"/>
            <w:r w:rsidRPr="002670E2">
              <w:rPr>
                <w:vertAlign w:val="superscript"/>
              </w:rPr>
              <w:t>)</w:t>
            </w:r>
          </w:p>
        </w:tc>
        <w:tc>
          <w:tcPr>
            <w:tcW w:w="851" w:type="dxa"/>
            <w:noWrap/>
          </w:tcPr>
          <w:p w14:paraId="07D85EA3" w14:textId="77777777" w:rsidR="00265792" w:rsidRPr="00BA7805" w:rsidRDefault="00265792" w:rsidP="00FB77DE">
            <w:pPr>
              <w:pStyle w:val="ARfintablebodyright"/>
              <w:rPr>
                <w:highlight w:val="green"/>
              </w:rPr>
            </w:pPr>
            <w:r w:rsidRPr="00961924">
              <w:t>7.3</w:t>
            </w:r>
          </w:p>
        </w:tc>
        <w:tc>
          <w:tcPr>
            <w:tcW w:w="1361" w:type="dxa"/>
            <w:shd w:val="clear" w:color="auto" w:fill="EEEEEF" w:themeFill="accent4"/>
            <w:noWrap/>
          </w:tcPr>
          <w:p w14:paraId="12B341C0" w14:textId="77777777" w:rsidR="00265792" w:rsidRPr="00BA7805" w:rsidRDefault="00265792" w:rsidP="00FB77DE">
            <w:pPr>
              <w:pStyle w:val="ARfintablebodyright"/>
              <w:rPr>
                <w:highlight w:val="green"/>
              </w:rPr>
            </w:pPr>
            <w:r w:rsidRPr="00961924">
              <w:t>1,</w:t>
            </w:r>
            <w:r>
              <w:t>312.2</w:t>
            </w:r>
          </w:p>
        </w:tc>
        <w:tc>
          <w:tcPr>
            <w:tcW w:w="1361" w:type="dxa"/>
            <w:noWrap/>
          </w:tcPr>
          <w:p w14:paraId="01EE0E83" w14:textId="77777777" w:rsidR="00265792" w:rsidRPr="00BA7805" w:rsidRDefault="00265792" w:rsidP="00FB77DE">
            <w:pPr>
              <w:pStyle w:val="ARfintablebodyright"/>
              <w:rPr>
                <w:highlight w:val="green"/>
              </w:rPr>
            </w:pPr>
            <w:r>
              <w:t>721.7</w:t>
            </w:r>
          </w:p>
        </w:tc>
      </w:tr>
      <w:tr w:rsidR="00265792" w:rsidRPr="00BA7805" w14:paraId="016F3241" w14:textId="77777777" w:rsidTr="00217275">
        <w:tc>
          <w:tcPr>
            <w:tcW w:w="6064" w:type="dxa"/>
            <w:tcBorders>
              <w:bottom w:val="single" w:sz="4" w:space="0" w:color="A6A6A6" w:themeColor="accent5"/>
            </w:tcBorders>
          </w:tcPr>
          <w:p w14:paraId="791E37AC" w14:textId="77777777" w:rsidR="00265792" w:rsidRPr="00BA7805" w:rsidRDefault="00265792" w:rsidP="00FB77DE">
            <w:pPr>
              <w:pStyle w:val="ARfintablebody"/>
              <w:rPr>
                <w:highlight w:val="green"/>
              </w:rPr>
            </w:pPr>
            <w:r w:rsidRPr="00961924">
              <w:t>Receivables</w:t>
            </w:r>
          </w:p>
        </w:tc>
        <w:tc>
          <w:tcPr>
            <w:tcW w:w="851" w:type="dxa"/>
            <w:tcBorders>
              <w:bottom w:val="single" w:sz="4" w:space="0" w:color="A6A6A6" w:themeColor="accent5"/>
            </w:tcBorders>
            <w:noWrap/>
          </w:tcPr>
          <w:p w14:paraId="174ACCDB" w14:textId="77777777" w:rsidR="00265792" w:rsidRPr="00BA7805" w:rsidRDefault="00265792" w:rsidP="00FB77DE">
            <w:pPr>
              <w:pStyle w:val="ARfintablebodyright"/>
              <w:rPr>
                <w:highlight w:val="green"/>
              </w:rPr>
            </w:pPr>
            <w:r w:rsidRPr="00961924">
              <w:t>6.1</w:t>
            </w:r>
          </w:p>
        </w:tc>
        <w:tc>
          <w:tcPr>
            <w:tcW w:w="1361" w:type="dxa"/>
            <w:tcBorders>
              <w:bottom w:val="single" w:sz="4" w:space="0" w:color="A6A6A6" w:themeColor="accent5"/>
            </w:tcBorders>
            <w:shd w:val="clear" w:color="auto" w:fill="EEEEEF" w:themeFill="accent4"/>
            <w:noWrap/>
          </w:tcPr>
          <w:p w14:paraId="2BA19B57" w14:textId="77777777" w:rsidR="00265792" w:rsidRPr="00BA7805" w:rsidRDefault="00265792" w:rsidP="00FB77DE">
            <w:pPr>
              <w:pStyle w:val="ARfintablebodyright"/>
              <w:rPr>
                <w:highlight w:val="green"/>
              </w:rPr>
            </w:pPr>
            <w:r w:rsidRPr="00961924">
              <w:t>1,</w:t>
            </w:r>
            <w:r>
              <w:t>074.6</w:t>
            </w:r>
          </w:p>
        </w:tc>
        <w:tc>
          <w:tcPr>
            <w:tcW w:w="1361" w:type="dxa"/>
            <w:tcBorders>
              <w:bottom w:val="single" w:sz="4" w:space="0" w:color="A6A6A6" w:themeColor="accent5"/>
            </w:tcBorders>
            <w:noWrap/>
          </w:tcPr>
          <w:p w14:paraId="71D131C4" w14:textId="77777777" w:rsidR="00265792" w:rsidRPr="00BA7805" w:rsidRDefault="00265792" w:rsidP="00FB77DE">
            <w:pPr>
              <w:pStyle w:val="ARfintablebodyright"/>
              <w:rPr>
                <w:highlight w:val="green"/>
              </w:rPr>
            </w:pPr>
            <w:r w:rsidRPr="00961924">
              <w:t>1,</w:t>
            </w:r>
            <w:r>
              <w:t>161.0</w:t>
            </w:r>
          </w:p>
        </w:tc>
      </w:tr>
      <w:tr w:rsidR="00265792" w:rsidRPr="00BA7805" w14:paraId="21979983" w14:textId="77777777" w:rsidTr="00217275">
        <w:tc>
          <w:tcPr>
            <w:tcW w:w="6064" w:type="dxa"/>
            <w:tcBorders>
              <w:top w:val="single" w:sz="4" w:space="0" w:color="A6A6A6" w:themeColor="accent5"/>
              <w:bottom w:val="single" w:sz="4" w:space="0" w:color="000000" w:themeColor="text1"/>
            </w:tcBorders>
          </w:tcPr>
          <w:p w14:paraId="21E79971" w14:textId="77777777" w:rsidR="00265792" w:rsidRPr="00BA7805" w:rsidRDefault="00265792" w:rsidP="00FB77DE">
            <w:pPr>
              <w:pStyle w:val="ARfintablebody"/>
              <w:rPr>
                <w:highlight w:val="green"/>
              </w:rPr>
            </w:pPr>
            <w:r w:rsidRPr="00961924">
              <w:t>Loans</w:t>
            </w:r>
          </w:p>
        </w:tc>
        <w:tc>
          <w:tcPr>
            <w:tcW w:w="851" w:type="dxa"/>
            <w:tcBorders>
              <w:top w:val="single" w:sz="4" w:space="0" w:color="A6A6A6" w:themeColor="accent5"/>
              <w:bottom w:val="single" w:sz="4" w:space="0" w:color="000000" w:themeColor="text1"/>
            </w:tcBorders>
            <w:noWrap/>
          </w:tcPr>
          <w:p w14:paraId="4CF655E0" w14:textId="77777777" w:rsidR="00265792" w:rsidRPr="00BA7805" w:rsidRDefault="00265792" w:rsidP="00FB77DE">
            <w:pPr>
              <w:pStyle w:val="ARfintablebodyright"/>
              <w:rPr>
                <w:highlight w:val="green"/>
              </w:rPr>
            </w:pPr>
            <w:r w:rsidRPr="00961924">
              <w:t>6.2</w:t>
            </w:r>
          </w:p>
        </w:tc>
        <w:tc>
          <w:tcPr>
            <w:tcW w:w="1361" w:type="dxa"/>
            <w:tcBorders>
              <w:top w:val="single" w:sz="4" w:space="0" w:color="A6A6A6" w:themeColor="accent5"/>
              <w:bottom w:val="single" w:sz="4" w:space="0" w:color="000000" w:themeColor="text1"/>
            </w:tcBorders>
            <w:shd w:val="clear" w:color="auto" w:fill="EEEEEF" w:themeFill="accent4"/>
            <w:noWrap/>
          </w:tcPr>
          <w:p w14:paraId="21493ED7" w14:textId="77777777" w:rsidR="00265792" w:rsidRPr="00BA7805" w:rsidRDefault="00265792" w:rsidP="00FB77DE">
            <w:pPr>
              <w:pStyle w:val="ARfintablebodyright"/>
              <w:rPr>
                <w:highlight w:val="green"/>
              </w:rPr>
            </w:pPr>
            <w:r w:rsidRPr="00961924">
              <w:t>66.7</w:t>
            </w:r>
          </w:p>
        </w:tc>
        <w:tc>
          <w:tcPr>
            <w:tcW w:w="1361" w:type="dxa"/>
            <w:tcBorders>
              <w:top w:val="single" w:sz="4" w:space="0" w:color="A6A6A6" w:themeColor="accent5"/>
              <w:bottom w:val="single" w:sz="4" w:space="0" w:color="000000" w:themeColor="text1"/>
            </w:tcBorders>
            <w:noWrap/>
          </w:tcPr>
          <w:p w14:paraId="11FC92C7" w14:textId="77777777" w:rsidR="00265792" w:rsidRPr="00BA7805" w:rsidRDefault="00265792" w:rsidP="00FB77DE">
            <w:pPr>
              <w:pStyle w:val="ARfintablebodyright"/>
              <w:rPr>
                <w:highlight w:val="green"/>
              </w:rPr>
            </w:pPr>
            <w:r w:rsidRPr="00961924">
              <w:t>28.2</w:t>
            </w:r>
          </w:p>
        </w:tc>
      </w:tr>
      <w:tr w:rsidR="00265792" w:rsidRPr="00BA7805" w14:paraId="4514B439" w14:textId="77777777">
        <w:tc>
          <w:tcPr>
            <w:tcW w:w="6064" w:type="dxa"/>
            <w:tcBorders>
              <w:top w:val="single" w:sz="4" w:space="0" w:color="000000" w:themeColor="text1"/>
              <w:bottom w:val="single" w:sz="4" w:space="0" w:color="000000" w:themeColor="text1"/>
            </w:tcBorders>
          </w:tcPr>
          <w:p w14:paraId="4FE8F96D" w14:textId="77777777" w:rsidR="00265792" w:rsidRPr="00BA7805" w:rsidRDefault="00265792" w:rsidP="00FB77DE">
            <w:pPr>
              <w:pStyle w:val="ARfintablebodybold"/>
              <w:rPr>
                <w:highlight w:val="green"/>
              </w:rPr>
            </w:pPr>
            <w:r w:rsidRPr="00961924">
              <w:t>Total financial assets</w:t>
            </w:r>
          </w:p>
        </w:tc>
        <w:tc>
          <w:tcPr>
            <w:tcW w:w="851" w:type="dxa"/>
            <w:tcBorders>
              <w:top w:val="single" w:sz="4" w:space="0" w:color="000000" w:themeColor="text1"/>
              <w:bottom w:val="single" w:sz="4" w:space="0" w:color="000000" w:themeColor="text1"/>
            </w:tcBorders>
            <w:noWrap/>
          </w:tcPr>
          <w:p w14:paraId="37B5A556" w14:textId="77777777" w:rsidR="00265792" w:rsidRPr="00BA7805" w:rsidRDefault="00265792" w:rsidP="00FE33B0">
            <w:pPr>
              <w:pStyle w:val="ARfintablebodyrightbold"/>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4E94ACCF" w14:textId="77777777" w:rsidR="00265792" w:rsidRPr="00BA7805" w:rsidRDefault="00265792" w:rsidP="00FE33B0">
            <w:pPr>
              <w:pStyle w:val="ARfintablebodyrightbold"/>
              <w:rPr>
                <w:highlight w:val="green"/>
              </w:rPr>
            </w:pPr>
            <w:r w:rsidRPr="00961924">
              <w:t>2,453.5</w:t>
            </w:r>
          </w:p>
        </w:tc>
        <w:tc>
          <w:tcPr>
            <w:tcW w:w="1361" w:type="dxa"/>
            <w:tcBorders>
              <w:top w:val="single" w:sz="4" w:space="0" w:color="000000" w:themeColor="text1"/>
              <w:bottom w:val="single" w:sz="4" w:space="0" w:color="000000" w:themeColor="text1"/>
            </w:tcBorders>
            <w:noWrap/>
          </w:tcPr>
          <w:p w14:paraId="38B64F80" w14:textId="77777777" w:rsidR="00265792" w:rsidRPr="00BA7805" w:rsidRDefault="00265792" w:rsidP="00FE33B0">
            <w:pPr>
              <w:pStyle w:val="ARfintablebodyrightbold"/>
              <w:rPr>
                <w:highlight w:val="green"/>
              </w:rPr>
            </w:pPr>
            <w:r w:rsidRPr="00961924">
              <w:t>1,910.9</w:t>
            </w:r>
          </w:p>
        </w:tc>
      </w:tr>
      <w:tr w:rsidR="00265792" w:rsidRPr="00BA7805" w14:paraId="1953544F" w14:textId="77777777">
        <w:tc>
          <w:tcPr>
            <w:tcW w:w="6064" w:type="dxa"/>
            <w:tcBorders>
              <w:top w:val="single" w:sz="4" w:space="0" w:color="000000" w:themeColor="text1"/>
              <w:bottom w:val="single" w:sz="4" w:space="0" w:color="A6A6A6" w:themeColor="accent5"/>
            </w:tcBorders>
          </w:tcPr>
          <w:p w14:paraId="4652B690" w14:textId="77777777" w:rsidR="00265792" w:rsidRPr="00BA7805" w:rsidRDefault="00265792" w:rsidP="00812EF6">
            <w:pPr>
              <w:pStyle w:val="ARfintablebodyboldcoloured"/>
              <w:rPr>
                <w:highlight w:val="green"/>
              </w:rPr>
            </w:pPr>
            <w:r w:rsidRPr="00961924">
              <w:t>Non-financial assets</w:t>
            </w:r>
          </w:p>
        </w:tc>
        <w:tc>
          <w:tcPr>
            <w:tcW w:w="851" w:type="dxa"/>
            <w:tcBorders>
              <w:top w:val="single" w:sz="4" w:space="0" w:color="000000" w:themeColor="text1"/>
              <w:bottom w:val="single" w:sz="4" w:space="0" w:color="A6A6A6" w:themeColor="accent5"/>
            </w:tcBorders>
            <w:noWrap/>
          </w:tcPr>
          <w:p w14:paraId="6E329391" w14:textId="77777777" w:rsidR="00265792" w:rsidRPr="00BA7805" w:rsidRDefault="00265792" w:rsidP="00FB77DE">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2554190A" w14:textId="77777777" w:rsidR="00265792" w:rsidRPr="00BA7805" w:rsidRDefault="00265792" w:rsidP="00FB77DE">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265155BF" w14:textId="77777777" w:rsidR="00265792" w:rsidRPr="00BA7805" w:rsidRDefault="00265792" w:rsidP="00FB77DE">
            <w:pPr>
              <w:pStyle w:val="ARfintablebodyright"/>
              <w:rPr>
                <w:highlight w:val="green"/>
              </w:rPr>
            </w:pPr>
          </w:p>
        </w:tc>
      </w:tr>
      <w:tr w:rsidR="00265792" w:rsidRPr="00BA7805" w14:paraId="3BA66F17" w14:textId="77777777">
        <w:tc>
          <w:tcPr>
            <w:tcW w:w="6064" w:type="dxa"/>
            <w:tcBorders>
              <w:top w:val="single" w:sz="4" w:space="0" w:color="A6A6A6" w:themeColor="accent5"/>
              <w:bottom w:val="single" w:sz="4" w:space="0" w:color="A6A6A6" w:themeColor="accent5"/>
            </w:tcBorders>
          </w:tcPr>
          <w:p w14:paraId="2CD61EF6" w14:textId="77777777" w:rsidR="00265792" w:rsidRPr="00BA7805" w:rsidRDefault="00265792" w:rsidP="00FB77DE">
            <w:pPr>
              <w:pStyle w:val="ARfintablebody"/>
              <w:rPr>
                <w:highlight w:val="green"/>
              </w:rPr>
            </w:pPr>
            <w:r w:rsidRPr="00961924">
              <w:t xml:space="preserve">Non-financial physical assets classified as held for sale </w:t>
            </w:r>
          </w:p>
        </w:tc>
        <w:tc>
          <w:tcPr>
            <w:tcW w:w="851" w:type="dxa"/>
            <w:tcBorders>
              <w:top w:val="single" w:sz="4" w:space="0" w:color="A6A6A6" w:themeColor="accent5"/>
              <w:bottom w:val="single" w:sz="4" w:space="0" w:color="A6A6A6" w:themeColor="accent5"/>
            </w:tcBorders>
            <w:noWrap/>
          </w:tcPr>
          <w:p w14:paraId="2D6E890D" w14:textId="77777777" w:rsidR="00265792" w:rsidRPr="00BA7805" w:rsidRDefault="00265792" w:rsidP="00FB77DE">
            <w:pPr>
              <w:pStyle w:val="ARfintablebodyright"/>
              <w:rPr>
                <w:highlight w:val="green"/>
              </w:rPr>
            </w:pPr>
          </w:p>
        </w:tc>
        <w:tc>
          <w:tcPr>
            <w:tcW w:w="1361" w:type="dxa"/>
            <w:tcBorders>
              <w:top w:val="single" w:sz="4" w:space="0" w:color="A6A6A6" w:themeColor="accent5"/>
              <w:bottom w:val="single" w:sz="4" w:space="0" w:color="A6A6A6" w:themeColor="accent5"/>
            </w:tcBorders>
            <w:shd w:val="clear" w:color="auto" w:fill="EEEEEF" w:themeFill="accent4"/>
            <w:noWrap/>
          </w:tcPr>
          <w:p w14:paraId="048C8EB8" w14:textId="77777777" w:rsidR="00265792" w:rsidRPr="00BA7805" w:rsidRDefault="00265792" w:rsidP="00FB77DE">
            <w:pPr>
              <w:pStyle w:val="ARfintablebodyright"/>
              <w:rPr>
                <w:highlight w:val="green"/>
              </w:rPr>
            </w:pPr>
            <w:r w:rsidRPr="00961924">
              <w:t>8.7</w:t>
            </w:r>
          </w:p>
        </w:tc>
        <w:tc>
          <w:tcPr>
            <w:tcW w:w="1361" w:type="dxa"/>
            <w:tcBorders>
              <w:top w:val="single" w:sz="4" w:space="0" w:color="A6A6A6" w:themeColor="accent5"/>
              <w:bottom w:val="single" w:sz="4" w:space="0" w:color="A6A6A6" w:themeColor="accent5"/>
            </w:tcBorders>
            <w:noWrap/>
          </w:tcPr>
          <w:p w14:paraId="1F4BD7E7" w14:textId="77777777" w:rsidR="00265792" w:rsidRPr="00BA7805" w:rsidRDefault="00265792" w:rsidP="00FB77DE">
            <w:pPr>
              <w:pStyle w:val="ARfintablebodyright"/>
              <w:rPr>
                <w:highlight w:val="green"/>
              </w:rPr>
            </w:pPr>
            <w:r w:rsidRPr="00961924">
              <w:t>4.2</w:t>
            </w:r>
          </w:p>
        </w:tc>
      </w:tr>
      <w:tr w:rsidR="00265792" w:rsidRPr="00BA7805" w14:paraId="3C564D08" w14:textId="77777777" w:rsidTr="00217275">
        <w:tc>
          <w:tcPr>
            <w:tcW w:w="6064" w:type="dxa"/>
            <w:tcBorders>
              <w:top w:val="single" w:sz="4" w:space="0" w:color="A6A6A6" w:themeColor="accent5"/>
            </w:tcBorders>
          </w:tcPr>
          <w:p w14:paraId="7B00ABB4" w14:textId="77777777" w:rsidR="00265792" w:rsidRPr="00BA7805" w:rsidRDefault="00265792" w:rsidP="00FB77DE">
            <w:pPr>
              <w:pStyle w:val="ARfintablebody"/>
              <w:rPr>
                <w:rStyle w:val="Superscript"/>
                <w:highlight w:val="green"/>
              </w:rPr>
            </w:pPr>
            <w:r w:rsidRPr="00961924">
              <w:t>Property, plant and equipment</w:t>
            </w:r>
          </w:p>
        </w:tc>
        <w:tc>
          <w:tcPr>
            <w:tcW w:w="851" w:type="dxa"/>
            <w:tcBorders>
              <w:top w:val="single" w:sz="4" w:space="0" w:color="A6A6A6" w:themeColor="accent5"/>
            </w:tcBorders>
            <w:noWrap/>
          </w:tcPr>
          <w:p w14:paraId="63C81D3D" w14:textId="77777777" w:rsidR="00265792" w:rsidRPr="00BA7805" w:rsidRDefault="00265792" w:rsidP="00FB77DE">
            <w:pPr>
              <w:pStyle w:val="ARfintablebodyright"/>
              <w:rPr>
                <w:highlight w:val="green"/>
              </w:rPr>
            </w:pPr>
            <w:r w:rsidRPr="00961924">
              <w:t>5.1</w:t>
            </w:r>
          </w:p>
        </w:tc>
        <w:tc>
          <w:tcPr>
            <w:tcW w:w="1361" w:type="dxa"/>
            <w:tcBorders>
              <w:top w:val="single" w:sz="4" w:space="0" w:color="A6A6A6" w:themeColor="accent5"/>
            </w:tcBorders>
            <w:shd w:val="clear" w:color="auto" w:fill="EEEEEF" w:themeFill="accent4"/>
            <w:noWrap/>
          </w:tcPr>
          <w:p w14:paraId="0F1688F3" w14:textId="77777777" w:rsidR="00265792" w:rsidRPr="00BA7805" w:rsidRDefault="00265792" w:rsidP="00FB77DE">
            <w:pPr>
              <w:pStyle w:val="ARfintablebodyright"/>
              <w:rPr>
                <w:highlight w:val="green"/>
              </w:rPr>
            </w:pPr>
            <w:r w:rsidRPr="00961924">
              <w:t>38,954.9</w:t>
            </w:r>
          </w:p>
        </w:tc>
        <w:tc>
          <w:tcPr>
            <w:tcW w:w="1361" w:type="dxa"/>
            <w:tcBorders>
              <w:top w:val="single" w:sz="4" w:space="0" w:color="A6A6A6" w:themeColor="accent5"/>
            </w:tcBorders>
            <w:noWrap/>
          </w:tcPr>
          <w:p w14:paraId="6E90994F" w14:textId="77777777" w:rsidR="00265792" w:rsidRPr="00BA7805" w:rsidRDefault="00265792" w:rsidP="00FB77DE">
            <w:pPr>
              <w:pStyle w:val="ARfintablebodyright"/>
              <w:rPr>
                <w:highlight w:val="green"/>
              </w:rPr>
            </w:pPr>
            <w:r w:rsidRPr="00961924">
              <w:t>38,484.3</w:t>
            </w:r>
          </w:p>
        </w:tc>
      </w:tr>
      <w:tr w:rsidR="00265792" w:rsidRPr="00BA7805" w14:paraId="30AAA7C7" w14:textId="77777777" w:rsidTr="00217275">
        <w:tc>
          <w:tcPr>
            <w:tcW w:w="6064" w:type="dxa"/>
            <w:tcBorders>
              <w:bottom w:val="single" w:sz="4" w:space="0" w:color="A6A6A6" w:themeColor="accent5"/>
            </w:tcBorders>
          </w:tcPr>
          <w:p w14:paraId="55D603F2" w14:textId="77777777" w:rsidR="00265792" w:rsidRPr="00BA7805" w:rsidRDefault="00265792" w:rsidP="00FB77DE">
            <w:pPr>
              <w:pStyle w:val="ARfintablebody"/>
              <w:rPr>
                <w:highlight w:val="green"/>
              </w:rPr>
            </w:pPr>
            <w:r w:rsidRPr="00961924">
              <w:t>Intangible assets</w:t>
            </w:r>
          </w:p>
        </w:tc>
        <w:tc>
          <w:tcPr>
            <w:tcW w:w="851" w:type="dxa"/>
            <w:tcBorders>
              <w:bottom w:val="single" w:sz="4" w:space="0" w:color="A6A6A6" w:themeColor="accent5"/>
            </w:tcBorders>
          </w:tcPr>
          <w:p w14:paraId="0E62452A" w14:textId="77777777" w:rsidR="00265792" w:rsidRPr="00BA7805" w:rsidRDefault="00265792" w:rsidP="00FB77DE">
            <w:pPr>
              <w:pStyle w:val="ARfintablebodyright"/>
              <w:rPr>
                <w:highlight w:val="green"/>
              </w:rPr>
            </w:pPr>
          </w:p>
        </w:tc>
        <w:tc>
          <w:tcPr>
            <w:tcW w:w="1361" w:type="dxa"/>
            <w:tcBorders>
              <w:bottom w:val="single" w:sz="4" w:space="0" w:color="A6A6A6" w:themeColor="accent5"/>
            </w:tcBorders>
            <w:shd w:val="clear" w:color="auto" w:fill="EEEEEF" w:themeFill="accent4"/>
            <w:noWrap/>
          </w:tcPr>
          <w:p w14:paraId="6B042576" w14:textId="77777777" w:rsidR="00265792" w:rsidRPr="00BA7805" w:rsidRDefault="00265792" w:rsidP="00FB77DE">
            <w:pPr>
              <w:pStyle w:val="ARfintablebodyright"/>
              <w:rPr>
                <w:highlight w:val="green"/>
              </w:rPr>
            </w:pPr>
            <w:r w:rsidRPr="00961924">
              <w:t>66.1</w:t>
            </w:r>
          </w:p>
        </w:tc>
        <w:tc>
          <w:tcPr>
            <w:tcW w:w="1361" w:type="dxa"/>
            <w:tcBorders>
              <w:bottom w:val="single" w:sz="4" w:space="0" w:color="A6A6A6" w:themeColor="accent5"/>
            </w:tcBorders>
            <w:noWrap/>
          </w:tcPr>
          <w:p w14:paraId="191E0B78" w14:textId="77777777" w:rsidR="00265792" w:rsidRPr="00BA7805" w:rsidRDefault="00265792" w:rsidP="00FB77DE">
            <w:pPr>
              <w:pStyle w:val="ARfintablebodyright"/>
              <w:rPr>
                <w:highlight w:val="green"/>
              </w:rPr>
            </w:pPr>
            <w:r w:rsidRPr="00961924">
              <w:t>70.5</w:t>
            </w:r>
          </w:p>
        </w:tc>
      </w:tr>
      <w:tr w:rsidR="00265792" w:rsidRPr="00BA7805" w14:paraId="63E25F87" w14:textId="77777777" w:rsidTr="00217275">
        <w:tc>
          <w:tcPr>
            <w:tcW w:w="6064" w:type="dxa"/>
            <w:tcBorders>
              <w:top w:val="single" w:sz="4" w:space="0" w:color="A6A6A6" w:themeColor="accent5"/>
              <w:bottom w:val="single" w:sz="4" w:space="0" w:color="000000" w:themeColor="text1"/>
            </w:tcBorders>
          </w:tcPr>
          <w:p w14:paraId="1DF34514" w14:textId="77777777" w:rsidR="00265792" w:rsidRPr="00BA7805" w:rsidRDefault="00265792" w:rsidP="00FB77DE">
            <w:pPr>
              <w:pStyle w:val="ARfintablebody"/>
              <w:rPr>
                <w:highlight w:val="green"/>
              </w:rPr>
            </w:pPr>
            <w:r w:rsidRPr="00961924">
              <w:t>Prepayments</w:t>
            </w:r>
          </w:p>
        </w:tc>
        <w:tc>
          <w:tcPr>
            <w:tcW w:w="851" w:type="dxa"/>
            <w:tcBorders>
              <w:top w:val="single" w:sz="4" w:space="0" w:color="A6A6A6" w:themeColor="accent5"/>
              <w:bottom w:val="single" w:sz="4" w:space="0" w:color="000000" w:themeColor="text1"/>
            </w:tcBorders>
            <w:noWrap/>
          </w:tcPr>
          <w:p w14:paraId="18ADC432" w14:textId="77777777" w:rsidR="00265792" w:rsidRPr="00BA7805" w:rsidRDefault="00265792" w:rsidP="00FB77DE">
            <w:pPr>
              <w:pStyle w:val="ARfintablebodyright"/>
              <w:rPr>
                <w:highlight w:val="green"/>
              </w:rPr>
            </w:pPr>
          </w:p>
        </w:tc>
        <w:tc>
          <w:tcPr>
            <w:tcW w:w="1361" w:type="dxa"/>
            <w:tcBorders>
              <w:top w:val="single" w:sz="4" w:space="0" w:color="A6A6A6" w:themeColor="accent5"/>
              <w:bottom w:val="single" w:sz="4" w:space="0" w:color="000000" w:themeColor="text1"/>
            </w:tcBorders>
            <w:shd w:val="clear" w:color="auto" w:fill="EEEEEF" w:themeFill="accent4"/>
            <w:noWrap/>
          </w:tcPr>
          <w:p w14:paraId="5D4C60EB" w14:textId="77777777" w:rsidR="00265792" w:rsidRPr="00BA7805" w:rsidRDefault="00265792" w:rsidP="00FB77DE">
            <w:pPr>
              <w:pStyle w:val="ARfintablebodyright"/>
              <w:rPr>
                <w:highlight w:val="green"/>
              </w:rPr>
            </w:pPr>
            <w:r w:rsidRPr="00961924">
              <w:t>12.5</w:t>
            </w:r>
          </w:p>
        </w:tc>
        <w:tc>
          <w:tcPr>
            <w:tcW w:w="1361" w:type="dxa"/>
            <w:tcBorders>
              <w:top w:val="single" w:sz="4" w:space="0" w:color="A6A6A6" w:themeColor="accent5"/>
              <w:bottom w:val="single" w:sz="4" w:space="0" w:color="000000" w:themeColor="text1"/>
            </w:tcBorders>
            <w:noWrap/>
          </w:tcPr>
          <w:p w14:paraId="562EFE65" w14:textId="77777777" w:rsidR="00265792" w:rsidRPr="00BA7805" w:rsidRDefault="00265792" w:rsidP="00FB77DE">
            <w:pPr>
              <w:pStyle w:val="ARfintablebodyright"/>
              <w:rPr>
                <w:highlight w:val="green"/>
              </w:rPr>
            </w:pPr>
            <w:r w:rsidRPr="00961924">
              <w:t>25.5</w:t>
            </w:r>
          </w:p>
        </w:tc>
      </w:tr>
      <w:tr w:rsidR="00265792" w:rsidRPr="00BA7805" w14:paraId="31B691B4" w14:textId="77777777" w:rsidTr="00217275">
        <w:tc>
          <w:tcPr>
            <w:tcW w:w="6064" w:type="dxa"/>
            <w:tcBorders>
              <w:top w:val="single" w:sz="4" w:space="0" w:color="000000" w:themeColor="text1"/>
              <w:bottom w:val="single" w:sz="4" w:space="0" w:color="000000" w:themeColor="text1"/>
            </w:tcBorders>
          </w:tcPr>
          <w:p w14:paraId="7E779B07" w14:textId="77777777" w:rsidR="00265792" w:rsidRPr="00BA7805" w:rsidRDefault="00265792" w:rsidP="00BA2194">
            <w:pPr>
              <w:pStyle w:val="ARfintablebodybold"/>
              <w:rPr>
                <w:highlight w:val="green"/>
              </w:rPr>
            </w:pPr>
            <w:r w:rsidRPr="00961924">
              <w:t>Total non-financial assets</w:t>
            </w:r>
          </w:p>
        </w:tc>
        <w:tc>
          <w:tcPr>
            <w:tcW w:w="851" w:type="dxa"/>
            <w:tcBorders>
              <w:top w:val="single" w:sz="4" w:space="0" w:color="000000" w:themeColor="text1"/>
              <w:bottom w:val="single" w:sz="4" w:space="0" w:color="000000" w:themeColor="text1"/>
            </w:tcBorders>
            <w:noWrap/>
          </w:tcPr>
          <w:p w14:paraId="4D834557" w14:textId="77777777" w:rsidR="00265792" w:rsidRPr="00BA7805" w:rsidRDefault="00265792" w:rsidP="00FE33B0">
            <w:pPr>
              <w:pStyle w:val="ARfintablebodyrightbold"/>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400806BA" w14:textId="77777777" w:rsidR="00265792" w:rsidRPr="00BA7805" w:rsidRDefault="00265792" w:rsidP="00FE33B0">
            <w:pPr>
              <w:pStyle w:val="ARfintablebodyrightbold"/>
              <w:rPr>
                <w:highlight w:val="green"/>
              </w:rPr>
            </w:pPr>
            <w:r w:rsidRPr="00961924">
              <w:t>39,042.2</w:t>
            </w:r>
          </w:p>
        </w:tc>
        <w:tc>
          <w:tcPr>
            <w:tcW w:w="1361" w:type="dxa"/>
            <w:tcBorders>
              <w:top w:val="single" w:sz="4" w:space="0" w:color="000000" w:themeColor="text1"/>
              <w:bottom w:val="single" w:sz="4" w:space="0" w:color="000000" w:themeColor="text1"/>
            </w:tcBorders>
            <w:noWrap/>
          </w:tcPr>
          <w:p w14:paraId="0EF6EB89" w14:textId="77777777" w:rsidR="00265792" w:rsidRPr="00BA7805" w:rsidRDefault="00265792" w:rsidP="00FE33B0">
            <w:pPr>
              <w:pStyle w:val="ARfintablebodyrightbold"/>
              <w:rPr>
                <w:highlight w:val="green"/>
              </w:rPr>
            </w:pPr>
            <w:r w:rsidRPr="00961924">
              <w:t>38,584.5</w:t>
            </w:r>
          </w:p>
        </w:tc>
      </w:tr>
      <w:tr w:rsidR="00265792" w:rsidRPr="00BA7805" w14:paraId="14F739FF" w14:textId="77777777" w:rsidTr="00217275">
        <w:tc>
          <w:tcPr>
            <w:tcW w:w="6064" w:type="dxa"/>
            <w:tcBorders>
              <w:top w:val="single" w:sz="4" w:space="0" w:color="000000" w:themeColor="text1"/>
              <w:bottom w:val="single" w:sz="4" w:space="0" w:color="000000" w:themeColor="text1"/>
            </w:tcBorders>
          </w:tcPr>
          <w:p w14:paraId="4400834D" w14:textId="77777777" w:rsidR="00265792" w:rsidRPr="00BA7805" w:rsidRDefault="00265792" w:rsidP="00BA2194">
            <w:pPr>
              <w:pStyle w:val="ARfintablebodybold"/>
              <w:rPr>
                <w:highlight w:val="green"/>
              </w:rPr>
            </w:pPr>
            <w:r w:rsidRPr="00961924">
              <w:t>Total assets</w:t>
            </w:r>
          </w:p>
        </w:tc>
        <w:tc>
          <w:tcPr>
            <w:tcW w:w="851" w:type="dxa"/>
            <w:tcBorders>
              <w:top w:val="single" w:sz="4" w:space="0" w:color="000000" w:themeColor="text1"/>
              <w:bottom w:val="single" w:sz="4" w:space="0" w:color="000000" w:themeColor="text1"/>
            </w:tcBorders>
            <w:noWrap/>
          </w:tcPr>
          <w:p w14:paraId="62BA03CD" w14:textId="77777777" w:rsidR="00265792" w:rsidRPr="00BA7805" w:rsidRDefault="00265792" w:rsidP="00FE33B0">
            <w:pPr>
              <w:pStyle w:val="ARfintablebodyrightbold"/>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1530BFB8" w14:textId="77777777" w:rsidR="00265792" w:rsidRPr="00BA7805" w:rsidRDefault="00265792" w:rsidP="00FE33B0">
            <w:pPr>
              <w:pStyle w:val="ARfintablebodyrightbold"/>
              <w:rPr>
                <w:highlight w:val="green"/>
              </w:rPr>
            </w:pPr>
            <w:r w:rsidRPr="00961924">
              <w:t>41,495.7</w:t>
            </w:r>
          </w:p>
        </w:tc>
        <w:tc>
          <w:tcPr>
            <w:tcW w:w="1361" w:type="dxa"/>
            <w:tcBorders>
              <w:top w:val="single" w:sz="4" w:space="0" w:color="000000" w:themeColor="text1"/>
              <w:bottom w:val="single" w:sz="4" w:space="0" w:color="000000" w:themeColor="text1"/>
            </w:tcBorders>
            <w:noWrap/>
          </w:tcPr>
          <w:p w14:paraId="0A37AD12" w14:textId="77777777" w:rsidR="00265792" w:rsidRPr="00BA7805" w:rsidRDefault="00265792" w:rsidP="00FE33B0">
            <w:pPr>
              <w:pStyle w:val="ARfintablebodyrightbold"/>
              <w:rPr>
                <w:highlight w:val="green"/>
              </w:rPr>
            </w:pPr>
            <w:r w:rsidRPr="00961924">
              <w:t>40,495.4</w:t>
            </w:r>
          </w:p>
        </w:tc>
      </w:tr>
      <w:tr w:rsidR="00265792" w:rsidRPr="00BA7805" w14:paraId="1B098CC3" w14:textId="77777777" w:rsidTr="00CC46F3">
        <w:tc>
          <w:tcPr>
            <w:tcW w:w="6064" w:type="dxa"/>
            <w:tcBorders>
              <w:top w:val="single" w:sz="4" w:space="0" w:color="000000" w:themeColor="text1"/>
              <w:bottom w:val="single" w:sz="4" w:space="0" w:color="A6A6A6" w:themeColor="accent5"/>
            </w:tcBorders>
          </w:tcPr>
          <w:p w14:paraId="6B78B6CA" w14:textId="77777777" w:rsidR="00265792" w:rsidRPr="00BA7805" w:rsidRDefault="00265792" w:rsidP="00812EF6">
            <w:pPr>
              <w:pStyle w:val="ARfintablebodyboldcoloured"/>
              <w:rPr>
                <w:highlight w:val="green"/>
              </w:rPr>
            </w:pPr>
            <w:r w:rsidRPr="00961924">
              <w:t>Liabilities</w:t>
            </w:r>
          </w:p>
        </w:tc>
        <w:tc>
          <w:tcPr>
            <w:tcW w:w="851" w:type="dxa"/>
            <w:tcBorders>
              <w:top w:val="single" w:sz="4" w:space="0" w:color="000000" w:themeColor="text1"/>
              <w:bottom w:val="single" w:sz="4" w:space="0" w:color="A6A6A6" w:themeColor="accent5"/>
            </w:tcBorders>
            <w:noWrap/>
          </w:tcPr>
          <w:p w14:paraId="11094458" w14:textId="77777777" w:rsidR="00265792" w:rsidRPr="00BA7805" w:rsidRDefault="00265792" w:rsidP="00FB77DE">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2B8F993F" w14:textId="77777777" w:rsidR="00265792" w:rsidRPr="00BA7805" w:rsidRDefault="00265792" w:rsidP="00FB77DE">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3EF6BEFC" w14:textId="77777777" w:rsidR="00265792" w:rsidRPr="00BA7805" w:rsidRDefault="00265792" w:rsidP="00FB77DE">
            <w:pPr>
              <w:pStyle w:val="ARfintablebodyright"/>
              <w:rPr>
                <w:highlight w:val="green"/>
              </w:rPr>
            </w:pPr>
          </w:p>
        </w:tc>
      </w:tr>
      <w:tr w:rsidR="00265792" w:rsidRPr="00BA7805" w14:paraId="40F1BDA7" w14:textId="77777777" w:rsidTr="00217275">
        <w:tc>
          <w:tcPr>
            <w:tcW w:w="6064" w:type="dxa"/>
            <w:tcBorders>
              <w:top w:val="single" w:sz="4" w:space="0" w:color="A6A6A6" w:themeColor="accent5"/>
            </w:tcBorders>
          </w:tcPr>
          <w:p w14:paraId="5869C5B1" w14:textId="77777777" w:rsidR="00265792" w:rsidRPr="00BA7805" w:rsidRDefault="00265792" w:rsidP="00FB77DE">
            <w:pPr>
              <w:pStyle w:val="ARfintablebody"/>
              <w:rPr>
                <w:highlight w:val="green"/>
              </w:rPr>
            </w:pPr>
            <w:r w:rsidRPr="00961924">
              <w:t>Payables</w:t>
            </w:r>
          </w:p>
        </w:tc>
        <w:tc>
          <w:tcPr>
            <w:tcW w:w="851" w:type="dxa"/>
            <w:tcBorders>
              <w:top w:val="single" w:sz="4" w:space="0" w:color="A6A6A6" w:themeColor="accent5"/>
            </w:tcBorders>
          </w:tcPr>
          <w:p w14:paraId="6CD2019F" w14:textId="77777777" w:rsidR="00265792" w:rsidRPr="00BA7805" w:rsidRDefault="00265792" w:rsidP="00FB77DE">
            <w:pPr>
              <w:pStyle w:val="ARfintablebodyright"/>
              <w:rPr>
                <w:highlight w:val="green"/>
              </w:rPr>
            </w:pPr>
            <w:r w:rsidRPr="00961924">
              <w:t>6.3</w:t>
            </w:r>
          </w:p>
        </w:tc>
        <w:tc>
          <w:tcPr>
            <w:tcW w:w="1361" w:type="dxa"/>
            <w:tcBorders>
              <w:top w:val="single" w:sz="4" w:space="0" w:color="A6A6A6" w:themeColor="accent5"/>
            </w:tcBorders>
            <w:shd w:val="clear" w:color="auto" w:fill="EEEEEF" w:themeFill="accent4"/>
            <w:noWrap/>
          </w:tcPr>
          <w:p w14:paraId="4F95274C" w14:textId="77777777" w:rsidR="00265792" w:rsidRPr="00BA7805" w:rsidRDefault="00265792" w:rsidP="00FB77DE">
            <w:pPr>
              <w:pStyle w:val="ARfintablebodyright"/>
              <w:rPr>
                <w:highlight w:val="green"/>
              </w:rPr>
            </w:pPr>
            <w:r w:rsidRPr="00961924">
              <w:t>450.6</w:t>
            </w:r>
          </w:p>
        </w:tc>
        <w:tc>
          <w:tcPr>
            <w:tcW w:w="1361" w:type="dxa"/>
            <w:tcBorders>
              <w:top w:val="single" w:sz="4" w:space="0" w:color="A6A6A6" w:themeColor="accent5"/>
            </w:tcBorders>
            <w:noWrap/>
          </w:tcPr>
          <w:p w14:paraId="2811763D" w14:textId="77777777" w:rsidR="00265792" w:rsidRPr="00BA7805" w:rsidRDefault="00265792" w:rsidP="00FB77DE">
            <w:pPr>
              <w:pStyle w:val="ARfintablebodyright"/>
              <w:rPr>
                <w:highlight w:val="green"/>
              </w:rPr>
            </w:pPr>
            <w:r w:rsidRPr="00961924">
              <w:t>479.6</w:t>
            </w:r>
          </w:p>
        </w:tc>
      </w:tr>
      <w:tr w:rsidR="00265792" w:rsidRPr="00BA7805" w14:paraId="190CC7E6" w14:textId="77777777" w:rsidTr="00217275">
        <w:tc>
          <w:tcPr>
            <w:tcW w:w="6064" w:type="dxa"/>
          </w:tcPr>
          <w:p w14:paraId="1505920D" w14:textId="77777777" w:rsidR="00265792" w:rsidRPr="00BA7805" w:rsidRDefault="00265792" w:rsidP="00FB77DE">
            <w:pPr>
              <w:pStyle w:val="ARfintablebody"/>
              <w:rPr>
                <w:highlight w:val="green"/>
              </w:rPr>
            </w:pPr>
            <w:r w:rsidRPr="00961924">
              <w:t>Borrowings</w:t>
            </w:r>
          </w:p>
        </w:tc>
        <w:tc>
          <w:tcPr>
            <w:tcW w:w="851" w:type="dxa"/>
          </w:tcPr>
          <w:p w14:paraId="11C0C329" w14:textId="77777777" w:rsidR="00265792" w:rsidRPr="00BA7805" w:rsidRDefault="00265792" w:rsidP="00FB77DE">
            <w:pPr>
              <w:pStyle w:val="ARfintablebodyright"/>
              <w:rPr>
                <w:highlight w:val="green"/>
              </w:rPr>
            </w:pPr>
            <w:r w:rsidRPr="00961924">
              <w:t>7.1</w:t>
            </w:r>
          </w:p>
        </w:tc>
        <w:tc>
          <w:tcPr>
            <w:tcW w:w="1361" w:type="dxa"/>
            <w:shd w:val="clear" w:color="auto" w:fill="EEEEEF" w:themeFill="accent4"/>
            <w:noWrap/>
          </w:tcPr>
          <w:p w14:paraId="2B0BA57B" w14:textId="77777777" w:rsidR="00265792" w:rsidRPr="00BA7805" w:rsidRDefault="00265792" w:rsidP="00FB77DE">
            <w:pPr>
              <w:pStyle w:val="ARfintablebodyright"/>
              <w:rPr>
                <w:highlight w:val="green"/>
              </w:rPr>
            </w:pPr>
            <w:r w:rsidRPr="00961924">
              <w:t>768.5</w:t>
            </w:r>
          </w:p>
        </w:tc>
        <w:tc>
          <w:tcPr>
            <w:tcW w:w="1361" w:type="dxa"/>
            <w:noWrap/>
          </w:tcPr>
          <w:p w14:paraId="78D83240" w14:textId="77777777" w:rsidR="00265792" w:rsidRPr="00BA7805" w:rsidRDefault="00265792" w:rsidP="00FB77DE">
            <w:pPr>
              <w:pStyle w:val="ARfintablebodyright"/>
              <w:rPr>
                <w:highlight w:val="green"/>
              </w:rPr>
            </w:pPr>
            <w:r w:rsidRPr="00961924">
              <w:t>537.2</w:t>
            </w:r>
          </w:p>
        </w:tc>
      </w:tr>
      <w:tr w:rsidR="00265792" w:rsidRPr="00BA7805" w14:paraId="360F8EB8" w14:textId="77777777" w:rsidTr="00217275">
        <w:tc>
          <w:tcPr>
            <w:tcW w:w="6064" w:type="dxa"/>
          </w:tcPr>
          <w:p w14:paraId="1A5D85C5" w14:textId="77777777" w:rsidR="00265792" w:rsidRPr="00BA7805" w:rsidRDefault="00265792" w:rsidP="00FB77DE">
            <w:pPr>
              <w:pStyle w:val="ARfintablebody"/>
              <w:rPr>
                <w:highlight w:val="green"/>
              </w:rPr>
            </w:pPr>
            <w:r w:rsidRPr="00961924">
              <w:t>Employee related provisions</w:t>
            </w:r>
          </w:p>
        </w:tc>
        <w:tc>
          <w:tcPr>
            <w:tcW w:w="851" w:type="dxa"/>
            <w:noWrap/>
          </w:tcPr>
          <w:p w14:paraId="10E1876C" w14:textId="77777777" w:rsidR="00265792" w:rsidRPr="00BA7805" w:rsidRDefault="00265792" w:rsidP="00FB77DE">
            <w:pPr>
              <w:pStyle w:val="ARfintablebodyright"/>
              <w:rPr>
                <w:highlight w:val="green"/>
              </w:rPr>
            </w:pPr>
            <w:r w:rsidRPr="00961924">
              <w:t>3.1.1(b)</w:t>
            </w:r>
          </w:p>
        </w:tc>
        <w:tc>
          <w:tcPr>
            <w:tcW w:w="1361" w:type="dxa"/>
            <w:shd w:val="clear" w:color="auto" w:fill="EEEEEF" w:themeFill="accent4"/>
            <w:noWrap/>
          </w:tcPr>
          <w:p w14:paraId="3714FE32" w14:textId="77777777" w:rsidR="00265792" w:rsidRPr="00BA7805" w:rsidRDefault="00265792" w:rsidP="00FB77DE">
            <w:pPr>
              <w:pStyle w:val="ARfintablebodyright"/>
              <w:rPr>
                <w:highlight w:val="green"/>
              </w:rPr>
            </w:pPr>
            <w:r w:rsidRPr="00961924">
              <w:t>321.1</w:t>
            </w:r>
          </w:p>
        </w:tc>
        <w:tc>
          <w:tcPr>
            <w:tcW w:w="1361" w:type="dxa"/>
            <w:noWrap/>
          </w:tcPr>
          <w:p w14:paraId="3B689457" w14:textId="77777777" w:rsidR="00265792" w:rsidRPr="00BA7805" w:rsidRDefault="00265792" w:rsidP="00FB77DE">
            <w:pPr>
              <w:pStyle w:val="ARfintablebodyright"/>
              <w:rPr>
                <w:highlight w:val="green"/>
              </w:rPr>
            </w:pPr>
            <w:r w:rsidRPr="00961924">
              <w:t>299.3</w:t>
            </w:r>
          </w:p>
        </w:tc>
      </w:tr>
      <w:tr w:rsidR="00265792" w:rsidRPr="00BA7805" w14:paraId="567B726B" w14:textId="77777777" w:rsidTr="00217275">
        <w:tc>
          <w:tcPr>
            <w:tcW w:w="6064" w:type="dxa"/>
            <w:tcBorders>
              <w:bottom w:val="single" w:sz="4" w:space="0" w:color="A6A6A6" w:themeColor="accent5"/>
            </w:tcBorders>
          </w:tcPr>
          <w:p w14:paraId="0DE2FCC4" w14:textId="77777777" w:rsidR="00265792" w:rsidRPr="00BA7805" w:rsidRDefault="00265792" w:rsidP="00FB77DE">
            <w:pPr>
              <w:pStyle w:val="ARfintablebody"/>
              <w:rPr>
                <w:highlight w:val="green"/>
              </w:rPr>
            </w:pPr>
            <w:r w:rsidRPr="00961924">
              <w:t>Other provisions</w:t>
            </w:r>
          </w:p>
        </w:tc>
        <w:tc>
          <w:tcPr>
            <w:tcW w:w="851" w:type="dxa"/>
            <w:tcBorders>
              <w:bottom w:val="single" w:sz="4" w:space="0" w:color="A6A6A6" w:themeColor="accent5"/>
            </w:tcBorders>
            <w:noWrap/>
          </w:tcPr>
          <w:p w14:paraId="5807AF76" w14:textId="77777777" w:rsidR="00265792" w:rsidRPr="00BA7805" w:rsidRDefault="00265792" w:rsidP="00FB77DE">
            <w:pPr>
              <w:pStyle w:val="ARfintablebodyright"/>
              <w:rPr>
                <w:highlight w:val="green"/>
              </w:rPr>
            </w:pPr>
            <w:r w:rsidRPr="00961924">
              <w:t>6.4</w:t>
            </w:r>
          </w:p>
        </w:tc>
        <w:tc>
          <w:tcPr>
            <w:tcW w:w="1361" w:type="dxa"/>
            <w:tcBorders>
              <w:bottom w:val="single" w:sz="4" w:space="0" w:color="A6A6A6" w:themeColor="accent5"/>
            </w:tcBorders>
            <w:shd w:val="clear" w:color="auto" w:fill="EEEEEF" w:themeFill="accent4"/>
            <w:noWrap/>
          </w:tcPr>
          <w:p w14:paraId="39E32DEA" w14:textId="77777777" w:rsidR="00265792" w:rsidRPr="00BA7805" w:rsidRDefault="00265792" w:rsidP="00FB77DE">
            <w:pPr>
              <w:pStyle w:val="ARfintablebodyright"/>
              <w:rPr>
                <w:highlight w:val="green"/>
              </w:rPr>
            </w:pPr>
            <w:r w:rsidRPr="00961924">
              <w:t>741.9</w:t>
            </w:r>
          </w:p>
        </w:tc>
        <w:tc>
          <w:tcPr>
            <w:tcW w:w="1361" w:type="dxa"/>
            <w:tcBorders>
              <w:bottom w:val="single" w:sz="4" w:space="0" w:color="A6A6A6" w:themeColor="accent5"/>
            </w:tcBorders>
            <w:noWrap/>
          </w:tcPr>
          <w:p w14:paraId="5B654100" w14:textId="77777777" w:rsidR="00265792" w:rsidRPr="00BA7805" w:rsidRDefault="00265792" w:rsidP="00FB77DE">
            <w:pPr>
              <w:pStyle w:val="ARfintablebodyright"/>
              <w:rPr>
                <w:highlight w:val="green"/>
              </w:rPr>
            </w:pPr>
            <w:r w:rsidRPr="00961924">
              <w:t>530.7</w:t>
            </w:r>
          </w:p>
        </w:tc>
      </w:tr>
      <w:tr w:rsidR="00265792" w:rsidRPr="00BA7805" w14:paraId="467F7291" w14:textId="77777777" w:rsidTr="00217275">
        <w:tc>
          <w:tcPr>
            <w:tcW w:w="6064" w:type="dxa"/>
            <w:tcBorders>
              <w:top w:val="single" w:sz="4" w:space="0" w:color="A6A6A6" w:themeColor="accent5"/>
              <w:bottom w:val="single" w:sz="4" w:space="0" w:color="000000" w:themeColor="text1"/>
            </w:tcBorders>
          </w:tcPr>
          <w:p w14:paraId="58E14F68" w14:textId="77777777" w:rsidR="00265792" w:rsidRPr="00BA7805" w:rsidRDefault="00265792" w:rsidP="00FB77DE">
            <w:pPr>
              <w:pStyle w:val="ARfintablebody"/>
              <w:rPr>
                <w:highlight w:val="green"/>
              </w:rPr>
            </w:pPr>
            <w:r w:rsidRPr="00961924">
              <w:t xml:space="preserve">Other liabilities </w:t>
            </w:r>
            <w:r w:rsidRPr="002670E2">
              <w:rPr>
                <w:vertAlign w:val="superscript"/>
              </w:rPr>
              <w:t>(i</w:t>
            </w:r>
            <w:r>
              <w:rPr>
                <w:vertAlign w:val="superscript"/>
              </w:rPr>
              <w:t>i</w:t>
            </w:r>
            <w:r w:rsidRPr="002670E2">
              <w:rPr>
                <w:vertAlign w:val="superscript"/>
              </w:rPr>
              <w:t>)</w:t>
            </w:r>
          </w:p>
        </w:tc>
        <w:tc>
          <w:tcPr>
            <w:tcW w:w="851" w:type="dxa"/>
            <w:tcBorders>
              <w:top w:val="single" w:sz="4" w:space="0" w:color="A6A6A6" w:themeColor="accent5"/>
              <w:bottom w:val="single" w:sz="4" w:space="0" w:color="000000" w:themeColor="text1"/>
            </w:tcBorders>
            <w:noWrap/>
          </w:tcPr>
          <w:p w14:paraId="56B02F22" w14:textId="77777777" w:rsidR="00265792" w:rsidRPr="00BA7805" w:rsidRDefault="00265792" w:rsidP="00FB77DE">
            <w:pPr>
              <w:pStyle w:val="ARfintablebodyright"/>
              <w:rPr>
                <w:highlight w:val="green"/>
              </w:rPr>
            </w:pPr>
            <w:r w:rsidRPr="00961924">
              <w:t>6.5</w:t>
            </w:r>
          </w:p>
        </w:tc>
        <w:tc>
          <w:tcPr>
            <w:tcW w:w="1361" w:type="dxa"/>
            <w:tcBorders>
              <w:top w:val="single" w:sz="4" w:space="0" w:color="A6A6A6" w:themeColor="accent5"/>
              <w:bottom w:val="single" w:sz="4" w:space="0" w:color="000000" w:themeColor="text1"/>
            </w:tcBorders>
            <w:shd w:val="clear" w:color="auto" w:fill="EEEEEF" w:themeFill="accent4"/>
            <w:noWrap/>
          </w:tcPr>
          <w:p w14:paraId="400D09D6" w14:textId="77777777" w:rsidR="00265792" w:rsidRPr="00BA7805" w:rsidRDefault="00265792" w:rsidP="00FB77DE">
            <w:pPr>
              <w:pStyle w:val="ARfintablebodyright"/>
              <w:rPr>
                <w:highlight w:val="green"/>
              </w:rPr>
            </w:pPr>
            <w:r w:rsidRPr="00961924">
              <w:t>119.8</w:t>
            </w:r>
          </w:p>
        </w:tc>
        <w:tc>
          <w:tcPr>
            <w:tcW w:w="1361" w:type="dxa"/>
            <w:tcBorders>
              <w:top w:val="single" w:sz="4" w:space="0" w:color="A6A6A6" w:themeColor="accent5"/>
              <w:bottom w:val="single" w:sz="4" w:space="0" w:color="000000" w:themeColor="text1"/>
            </w:tcBorders>
            <w:noWrap/>
          </w:tcPr>
          <w:p w14:paraId="4F3F3274" w14:textId="77777777" w:rsidR="00265792" w:rsidRPr="00BA7805" w:rsidRDefault="00265792" w:rsidP="00FB77DE">
            <w:pPr>
              <w:pStyle w:val="ARfintablebodyright"/>
              <w:rPr>
                <w:highlight w:val="green"/>
              </w:rPr>
            </w:pPr>
            <w:r w:rsidRPr="00961924">
              <w:t>86.3</w:t>
            </w:r>
          </w:p>
        </w:tc>
      </w:tr>
      <w:tr w:rsidR="00265792" w:rsidRPr="00BA7805" w14:paraId="3EE79AA8" w14:textId="77777777" w:rsidTr="00217275">
        <w:tc>
          <w:tcPr>
            <w:tcW w:w="6064" w:type="dxa"/>
            <w:tcBorders>
              <w:top w:val="single" w:sz="4" w:space="0" w:color="000000" w:themeColor="text1"/>
              <w:bottom w:val="single" w:sz="4" w:space="0" w:color="000000" w:themeColor="text1"/>
            </w:tcBorders>
          </w:tcPr>
          <w:p w14:paraId="225B0A21" w14:textId="77777777" w:rsidR="00265792" w:rsidRPr="00BA7805" w:rsidRDefault="00265792" w:rsidP="00BA2194">
            <w:pPr>
              <w:pStyle w:val="ARfintablebodybold"/>
              <w:rPr>
                <w:highlight w:val="green"/>
              </w:rPr>
            </w:pPr>
            <w:r w:rsidRPr="00961924">
              <w:t>Total liabilities</w:t>
            </w:r>
          </w:p>
        </w:tc>
        <w:tc>
          <w:tcPr>
            <w:tcW w:w="851" w:type="dxa"/>
            <w:tcBorders>
              <w:top w:val="single" w:sz="4" w:space="0" w:color="000000" w:themeColor="text1"/>
              <w:bottom w:val="single" w:sz="4" w:space="0" w:color="000000" w:themeColor="text1"/>
            </w:tcBorders>
            <w:noWrap/>
          </w:tcPr>
          <w:p w14:paraId="19A06B95" w14:textId="77777777" w:rsidR="00265792" w:rsidRPr="00BA7805" w:rsidRDefault="00265792" w:rsidP="00FE33B0">
            <w:pPr>
              <w:pStyle w:val="ARfintablebodyrightbold"/>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3A4BF391" w14:textId="77777777" w:rsidR="00265792" w:rsidRPr="00BA7805" w:rsidRDefault="00265792" w:rsidP="00FE33B0">
            <w:pPr>
              <w:pStyle w:val="ARfintablebodyrightbold"/>
              <w:rPr>
                <w:highlight w:val="green"/>
              </w:rPr>
            </w:pPr>
            <w:r w:rsidRPr="00961924">
              <w:t>2,401.9</w:t>
            </w:r>
          </w:p>
        </w:tc>
        <w:tc>
          <w:tcPr>
            <w:tcW w:w="1361" w:type="dxa"/>
            <w:tcBorders>
              <w:top w:val="single" w:sz="4" w:space="0" w:color="000000" w:themeColor="text1"/>
              <w:bottom w:val="single" w:sz="4" w:space="0" w:color="000000" w:themeColor="text1"/>
            </w:tcBorders>
            <w:noWrap/>
          </w:tcPr>
          <w:p w14:paraId="0ECBE39C" w14:textId="77777777" w:rsidR="00265792" w:rsidRPr="00BA7805" w:rsidRDefault="00265792" w:rsidP="00FE33B0">
            <w:pPr>
              <w:pStyle w:val="ARfintablebodyrightbold"/>
              <w:rPr>
                <w:highlight w:val="green"/>
              </w:rPr>
            </w:pPr>
            <w:r w:rsidRPr="00961924">
              <w:t>1,933.1</w:t>
            </w:r>
          </w:p>
        </w:tc>
      </w:tr>
      <w:tr w:rsidR="00265792" w:rsidRPr="00BA7805" w14:paraId="686BC8D1" w14:textId="77777777" w:rsidTr="00217275">
        <w:tc>
          <w:tcPr>
            <w:tcW w:w="6064" w:type="dxa"/>
            <w:tcBorders>
              <w:top w:val="single" w:sz="4" w:space="0" w:color="000000" w:themeColor="text1"/>
              <w:bottom w:val="single" w:sz="4" w:space="0" w:color="000000" w:themeColor="text1"/>
            </w:tcBorders>
          </w:tcPr>
          <w:p w14:paraId="562507B4" w14:textId="77777777" w:rsidR="00265792" w:rsidRPr="00BA7805" w:rsidRDefault="00265792" w:rsidP="00BA2194">
            <w:pPr>
              <w:pStyle w:val="ARfintablebodybold"/>
              <w:rPr>
                <w:highlight w:val="green"/>
              </w:rPr>
            </w:pPr>
            <w:r w:rsidRPr="00961924">
              <w:t>Net assets</w:t>
            </w:r>
          </w:p>
        </w:tc>
        <w:tc>
          <w:tcPr>
            <w:tcW w:w="851" w:type="dxa"/>
            <w:tcBorders>
              <w:top w:val="single" w:sz="4" w:space="0" w:color="000000" w:themeColor="text1"/>
              <w:bottom w:val="single" w:sz="4" w:space="0" w:color="000000" w:themeColor="text1"/>
            </w:tcBorders>
          </w:tcPr>
          <w:p w14:paraId="65A57B13" w14:textId="77777777" w:rsidR="00265792" w:rsidRPr="00BA7805" w:rsidRDefault="00265792" w:rsidP="00FE33B0">
            <w:pPr>
              <w:pStyle w:val="ARfintablebodyrightbold"/>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186F7D51" w14:textId="77777777" w:rsidR="00265792" w:rsidRPr="00BA7805" w:rsidRDefault="00265792" w:rsidP="00FE33B0">
            <w:pPr>
              <w:pStyle w:val="ARfintablebodyrightbold"/>
              <w:rPr>
                <w:highlight w:val="green"/>
              </w:rPr>
            </w:pPr>
            <w:r w:rsidRPr="00961924">
              <w:t>39,093.8</w:t>
            </w:r>
          </w:p>
        </w:tc>
        <w:tc>
          <w:tcPr>
            <w:tcW w:w="1361" w:type="dxa"/>
            <w:tcBorders>
              <w:top w:val="single" w:sz="4" w:space="0" w:color="000000" w:themeColor="text1"/>
              <w:bottom w:val="single" w:sz="4" w:space="0" w:color="000000" w:themeColor="text1"/>
            </w:tcBorders>
            <w:noWrap/>
          </w:tcPr>
          <w:p w14:paraId="0827581B" w14:textId="77777777" w:rsidR="00265792" w:rsidRPr="00BA7805" w:rsidRDefault="00265792" w:rsidP="00FE33B0">
            <w:pPr>
              <w:pStyle w:val="ARfintablebodyrightbold"/>
              <w:rPr>
                <w:highlight w:val="green"/>
              </w:rPr>
            </w:pPr>
            <w:r w:rsidRPr="00961924">
              <w:t>38,562.3</w:t>
            </w:r>
          </w:p>
        </w:tc>
      </w:tr>
      <w:tr w:rsidR="00265792" w:rsidRPr="00BA7805" w14:paraId="6DC567B1" w14:textId="77777777" w:rsidTr="00CC46F3">
        <w:tc>
          <w:tcPr>
            <w:tcW w:w="6064" w:type="dxa"/>
            <w:tcBorders>
              <w:top w:val="single" w:sz="4" w:space="0" w:color="000000" w:themeColor="text1"/>
              <w:bottom w:val="single" w:sz="4" w:space="0" w:color="A6A6A6" w:themeColor="accent5"/>
            </w:tcBorders>
          </w:tcPr>
          <w:p w14:paraId="0A03DEEF" w14:textId="77777777" w:rsidR="00265792" w:rsidRPr="00BA7805" w:rsidRDefault="00265792" w:rsidP="00812EF6">
            <w:pPr>
              <w:pStyle w:val="ARfintablebodyboldcoloured"/>
              <w:rPr>
                <w:highlight w:val="green"/>
              </w:rPr>
            </w:pPr>
            <w:r w:rsidRPr="00961924">
              <w:t>Equity</w:t>
            </w:r>
          </w:p>
        </w:tc>
        <w:tc>
          <w:tcPr>
            <w:tcW w:w="851" w:type="dxa"/>
            <w:tcBorders>
              <w:top w:val="single" w:sz="4" w:space="0" w:color="000000" w:themeColor="text1"/>
              <w:bottom w:val="single" w:sz="4" w:space="0" w:color="A6A6A6" w:themeColor="accent5"/>
            </w:tcBorders>
          </w:tcPr>
          <w:p w14:paraId="518C249B" w14:textId="77777777" w:rsidR="00265792" w:rsidRPr="00BA7805" w:rsidRDefault="00265792" w:rsidP="00FB77DE">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0865277A" w14:textId="77777777" w:rsidR="00265792" w:rsidRPr="00BA7805" w:rsidRDefault="00265792" w:rsidP="00FB77DE">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2BA82CA4" w14:textId="77777777" w:rsidR="00265792" w:rsidRPr="00BA7805" w:rsidRDefault="00265792" w:rsidP="00FB77DE">
            <w:pPr>
              <w:pStyle w:val="ARfintablebodyright"/>
              <w:rPr>
                <w:highlight w:val="green"/>
              </w:rPr>
            </w:pPr>
          </w:p>
        </w:tc>
      </w:tr>
      <w:tr w:rsidR="00265792" w:rsidRPr="00BA7805" w14:paraId="4A5F6E6B" w14:textId="77777777" w:rsidTr="00217275">
        <w:tc>
          <w:tcPr>
            <w:tcW w:w="6064" w:type="dxa"/>
            <w:tcBorders>
              <w:top w:val="single" w:sz="4" w:space="0" w:color="A6A6A6" w:themeColor="accent5"/>
            </w:tcBorders>
          </w:tcPr>
          <w:p w14:paraId="4927E284" w14:textId="77777777" w:rsidR="00265792" w:rsidRPr="00BA7805" w:rsidRDefault="00265792" w:rsidP="00FB77DE">
            <w:pPr>
              <w:pStyle w:val="ARfintablebody"/>
              <w:rPr>
                <w:highlight w:val="green"/>
              </w:rPr>
            </w:pPr>
            <w:r w:rsidRPr="00961924">
              <w:t>Accumulated surplus/(deficit)</w:t>
            </w:r>
          </w:p>
        </w:tc>
        <w:tc>
          <w:tcPr>
            <w:tcW w:w="851" w:type="dxa"/>
            <w:tcBorders>
              <w:top w:val="single" w:sz="4" w:space="0" w:color="A6A6A6" w:themeColor="accent5"/>
            </w:tcBorders>
          </w:tcPr>
          <w:p w14:paraId="1A29CD7A" w14:textId="77777777" w:rsidR="00265792" w:rsidRPr="00BA7805" w:rsidRDefault="00265792" w:rsidP="00FB77DE">
            <w:pPr>
              <w:pStyle w:val="ARfintablebodyright"/>
              <w:rPr>
                <w:highlight w:val="green"/>
              </w:rPr>
            </w:pPr>
          </w:p>
        </w:tc>
        <w:tc>
          <w:tcPr>
            <w:tcW w:w="1361" w:type="dxa"/>
            <w:tcBorders>
              <w:top w:val="single" w:sz="4" w:space="0" w:color="A6A6A6" w:themeColor="accent5"/>
            </w:tcBorders>
            <w:shd w:val="clear" w:color="auto" w:fill="EEEEEF" w:themeFill="accent4"/>
            <w:noWrap/>
          </w:tcPr>
          <w:p w14:paraId="50BC8DE5" w14:textId="77777777" w:rsidR="00265792" w:rsidRPr="00BA7805" w:rsidRDefault="00265792" w:rsidP="00FB77DE">
            <w:pPr>
              <w:pStyle w:val="ARfintablebodyright"/>
              <w:rPr>
                <w:highlight w:val="green"/>
              </w:rPr>
            </w:pPr>
            <w:r w:rsidRPr="00961924">
              <w:t>(978.8)</w:t>
            </w:r>
          </w:p>
        </w:tc>
        <w:tc>
          <w:tcPr>
            <w:tcW w:w="1361" w:type="dxa"/>
            <w:tcBorders>
              <w:top w:val="single" w:sz="4" w:space="0" w:color="A6A6A6" w:themeColor="accent5"/>
            </w:tcBorders>
            <w:noWrap/>
          </w:tcPr>
          <w:p w14:paraId="6C9C7C74" w14:textId="77777777" w:rsidR="00265792" w:rsidRPr="00BA7805" w:rsidRDefault="00265792" w:rsidP="00FB77DE">
            <w:pPr>
              <w:pStyle w:val="ARfintablebodyright"/>
              <w:rPr>
                <w:highlight w:val="green"/>
              </w:rPr>
            </w:pPr>
            <w:r w:rsidRPr="00961924">
              <w:t>(455.4)</w:t>
            </w:r>
          </w:p>
        </w:tc>
      </w:tr>
      <w:tr w:rsidR="00265792" w:rsidRPr="00BA7805" w14:paraId="6CF3FF61" w14:textId="77777777" w:rsidTr="00217275">
        <w:tc>
          <w:tcPr>
            <w:tcW w:w="6064" w:type="dxa"/>
          </w:tcPr>
          <w:p w14:paraId="4A1BD783" w14:textId="77777777" w:rsidR="00265792" w:rsidRPr="00BA7805" w:rsidRDefault="00265792" w:rsidP="00FB77DE">
            <w:pPr>
              <w:pStyle w:val="ARfintablebody"/>
              <w:rPr>
                <w:highlight w:val="green"/>
              </w:rPr>
            </w:pPr>
            <w:r w:rsidRPr="00961924">
              <w:t>Physical asset revaluation surplus</w:t>
            </w:r>
          </w:p>
        </w:tc>
        <w:tc>
          <w:tcPr>
            <w:tcW w:w="851" w:type="dxa"/>
          </w:tcPr>
          <w:p w14:paraId="292791DC" w14:textId="77777777" w:rsidR="00265792" w:rsidRPr="00BA7805" w:rsidRDefault="00265792" w:rsidP="00FB77DE">
            <w:pPr>
              <w:pStyle w:val="ARfintablebodyright"/>
              <w:rPr>
                <w:highlight w:val="green"/>
              </w:rPr>
            </w:pPr>
            <w:r w:rsidRPr="00961924">
              <w:t>9.3(b)</w:t>
            </w:r>
          </w:p>
        </w:tc>
        <w:tc>
          <w:tcPr>
            <w:tcW w:w="1361" w:type="dxa"/>
            <w:shd w:val="clear" w:color="auto" w:fill="EEEEEF" w:themeFill="accent4"/>
            <w:noWrap/>
          </w:tcPr>
          <w:p w14:paraId="6E137385" w14:textId="77777777" w:rsidR="00265792" w:rsidRPr="00BA7805" w:rsidRDefault="00265792" w:rsidP="00FB77DE">
            <w:pPr>
              <w:pStyle w:val="ARfintablebodyright"/>
              <w:rPr>
                <w:highlight w:val="green"/>
              </w:rPr>
            </w:pPr>
            <w:r w:rsidRPr="00961924">
              <w:t>8,754.5</w:t>
            </w:r>
          </w:p>
        </w:tc>
        <w:tc>
          <w:tcPr>
            <w:tcW w:w="1361" w:type="dxa"/>
            <w:noWrap/>
          </w:tcPr>
          <w:p w14:paraId="7B43A3E8" w14:textId="77777777" w:rsidR="00265792" w:rsidRPr="00BA7805" w:rsidRDefault="00265792" w:rsidP="00FB77DE">
            <w:pPr>
              <w:pStyle w:val="ARfintablebodyright"/>
              <w:rPr>
                <w:highlight w:val="green"/>
              </w:rPr>
            </w:pPr>
            <w:r w:rsidRPr="00961924">
              <w:t>8,756.2</w:t>
            </w:r>
          </w:p>
        </w:tc>
      </w:tr>
      <w:tr w:rsidR="00265792" w:rsidRPr="00BA7805" w14:paraId="10EB5541" w14:textId="77777777" w:rsidTr="00217275">
        <w:tc>
          <w:tcPr>
            <w:tcW w:w="6064" w:type="dxa"/>
          </w:tcPr>
          <w:p w14:paraId="67990F11" w14:textId="77777777" w:rsidR="00265792" w:rsidRPr="00BA7805" w:rsidRDefault="00265792" w:rsidP="00FB77DE">
            <w:pPr>
              <w:pStyle w:val="ARfintablebody"/>
              <w:rPr>
                <w:highlight w:val="green"/>
              </w:rPr>
            </w:pPr>
            <w:r w:rsidRPr="00961924">
              <w:t>Contributed capital</w:t>
            </w:r>
          </w:p>
        </w:tc>
        <w:tc>
          <w:tcPr>
            <w:tcW w:w="851" w:type="dxa"/>
            <w:noWrap/>
          </w:tcPr>
          <w:p w14:paraId="75E3EF7E" w14:textId="77777777" w:rsidR="00265792" w:rsidRPr="00BA7805" w:rsidRDefault="00265792" w:rsidP="00FB77DE">
            <w:pPr>
              <w:pStyle w:val="ARfintablebodyright"/>
              <w:rPr>
                <w:highlight w:val="green"/>
              </w:rPr>
            </w:pPr>
          </w:p>
        </w:tc>
        <w:tc>
          <w:tcPr>
            <w:tcW w:w="1361" w:type="dxa"/>
            <w:shd w:val="clear" w:color="auto" w:fill="EEEEEF" w:themeFill="accent4"/>
            <w:noWrap/>
          </w:tcPr>
          <w:p w14:paraId="44679954" w14:textId="77777777" w:rsidR="00265792" w:rsidRPr="00BA7805" w:rsidRDefault="00265792" w:rsidP="00FB77DE">
            <w:pPr>
              <w:pStyle w:val="ARfintablebodyright"/>
              <w:rPr>
                <w:highlight w:val="green"/>
              </w:rPr>
            </w:pPr>
            <w:r w:rsidRPr="00961924">
              <w:t>31,318.1</w:t>
            </w:r>
          </w:p>
        </w:tc>
        <w:tc>
          <w:tcPr>
            <w:tcW w:w="1361" w:type="dxa"/>
            <w:noWrap/>
          </w:tcPr>
          <w:p w14:paraId="5571FC5D" w14:textId="77777777" w:rsidR="00265792" w:rsidRPr="00BA7805" w:rsidRDefault="00265792" w:rsidP="00FB77DE">
            <w:pPr>
              <w:pStyle w:val="ARfintablebodyright"/>
              <w:rPr>
                <w:highlight w:val="green"/>
              </w:rPr>
            </w:pPr>
            <w:r w:rsidRPr="00961924">
              <w:t>30,261.5</w:t>
            </w:r>
          </w:p>
        </w:tc>
      </w:tr>
      <w:tr w:rsidR="00265792" w:rsidRPr="00BA7805" w14:paraId="42DC6B99" w14:textId="77777777" w:rsidTr="00217275">
        <w:trPr>
          <w:cnfStyle w:val="010000000000" w:firstRow="0" w:lastRow="1" w:firstColumn="0" w:lastColumn="0" w:oddVBand="0" w:evenVBand="0" w:oddHBand="0" w:evenHBand="0" w:firstRowFirstColumn="0" w:firstRowLastColumn="0" w:lastRowFirstColumn="0" w:lastRowLastColumn="0"/>
        </w:trPr>
        <w:tc>
          <w:tcPr>
            <w:tcW w:w="6064" w:type="dxa"/>
          </w:tcPr>
          <w:p w14:paraId="2F324D72" w14:textId="77777777" w:rsidR="00265792" w:rsidRPr="00BA7805" w:rsidRDefault="00265792" w:rsidP="00BA2194">
            <w:pPr>
              <w:pStyle w:val="ARfintablebodybold"/>
              <w:rPr>
                <w:highlight w:val="green"/>
              </w:rPr>
            </w:pPr>
            <w:r w:rsidRPr="00961924">
              <w:t>Net worth</w:t>
            </w:r>
          </w:p>
        </w:tc>
        <w:tc>
          <w:tcPr>
            <w:tcW w:w="851" w:type="dxa"/>
            <w:noWrap/>
          </w:tcPr>
          <w:p w14:paraId="37D1D60C" w14:textId="77777777" w:rsidR="00265792" w:rsidRPr="00BA7805" w:rsidRDefault="00265792" w:rsidP="00501CF6">
            <w:pPr>
              <w:pStyle w:val="ARfintablebodyrightbold"/>
              <w:rPr>
                <w:highlight w:val="green"/>
              </w:rPr>
            </w:pPr>
          </w:p>
        </w:tc>
        <w:tc>
          <w:tcPr>
            <w:tcW w:w="1361" w:type="dxa"/>
            <w:shd w:val="clear" w:color="auto" w:fill="EEEEEF" w:themeFill="accent4"/>
            <w:noWrap/>
          </w:tcPr>
          <w:p w14:paraId="080D56B7" w14:textId="77777777" w:rsidR="00265792" w:rsidRPr="00BA7805" w:rsidRDefault="00265792" w:rsidP="00501CF6">
            <w:pPr>
              <w:pStyle w:val="ARfintablebodyrightbold"/>
              <w:rPr>
                <w:highlight w:val="green"/>
              </w:rPr>
            </w:pPr>
            <w:r w:rsidRPr="00961924">
              <w:t>39,093.8</w:t>
            </w:r>
          </w:p>
        </w:tc>
        <w:tc>
          <w:tcPr>
            <w:tcW w:w="1361" w:type="dxa"/>
            <w:noWrap/>
          </w:tcPr>
          <w:p w14:paraId="02C4617B" w14:textId="77777777" w:rsidR="00265792" w:rsidRPr="00BA7805" w:rsidRDefault="00265792" w:rsidP="00501CF6">
            <w:pPr>
              <w:pStyle w:val="ARfintablebodyrightbold"/>
              <w:rPr>
                <w:highlight w:val="green"/>
              </w:rPr>
            </w:pPr>
            <w:r w:rsidRPr="00961924">
              <w:t>38,562.3</w:t>
            </w:r>
          </w:p>
        </w:tc>
      </w:tr>
    </w:tbl>
    <w:p w14:paraId="1D18A41A" w14:textId="77777777" w:rsidR="00265792" w:rsidRDefault="00265792" w:rsidP="00394F97">
      <w:pPr>
        <w:pStyle w:val="ARfintablefootnote"/>
        <w:rPr>
          <w:lang w:eastAsia="en-AU"/>
        </w:rPr>
      </w:pPr>
      <w:r>
        <w:rPr>
          <w:lang w:eastAsia="en-AU"/>
        </w:rPr>
        <w:t>The balance sheet should be read in conjunction with the notes to the financial statements.</w:t>
      </w:r>
    </w:p>
    <w:p w14:paraId="555C49EB" w14:textId="77777777" w:rsidR="00265792" w:rsidRDefault="00265792" w:rsidP="00394F97">
      <w:pPr>
        <w:pStyle w:val="ARfintablefootnote"/>
        <w:rPr>
          <w:lang w:eastAsia="en-AU"/>
        </w:rPr>
      </w:pPr>
      <w:r>
        <w:rPr>
          <w:lang w:eastAsia="en-AU"/>
        </w:rPr>
        <w:t>Note:</w:t>
      </w:r>
    </w:p>
    <w:p w14:paraId="508C995B" w14:textId="051BA42C" w:rsidR="00265792" w:rsidRDefault="00265792">
      <w:pPr>
        <w:pStyle w:val="ARfintablefootnotetabindent"/>
      </w:pPr>
      <w:r>
        <w:t>(</w:t>
      </w:r>
      <w:proofErr w:type="spellStart"/>
      <w:r>
        <w:t>i</w:t>
      </w:r>
      <w:proofErr w:type="spellEnd"/>
      <w:r>
        <w:t xml:space="preserve">) </w:t>
      </w:r>
      <w:r>
        <w:tab/>
      </w:r>
      <w:r w:rsidR="00826EC5" w:rsidRPr="00826EC5">
        <w:t>As of 30 June 2025, the department held restricted cash of $267.1 million (2024: $121.2 million) representing funds set aside for settling obligations under its various services concession arrangements. These balances are not available for general operational use. Further information is included in Note 7.3 Cash flow information and balances</w:t>
      </w:r>
    </w:p>
    <w:p w14:paraId="3CE421DC" w14:textId="77777777" w:rsidR="00265792" w:rsidRDefault="00265792" w:rsidP="00394F97">
      <w:pPr>
        <w:pStyle w:val="ARfintablefootnotetabindent"/>
      </w:pPr>
      <w:r>
        <w:t xml:space="preserve">(ii) </w:t>
      </w:r>
      <w:r>
        <w:tab/>
        <w:t>The grant of a right to the operator liability previously disclosed within payables has now been disclosed within the other liabilities line item to more appropriately reflect the nature of these items. This relates to the ground lease model – public housing renewal program. It is recognised applying AASB 1059 and is progressively reduced over the period of the arrangement. Further information is included in Notes 6.5 Other liabilities and 7.5.3 Service Concession Arrangements.</w:t>
      </w:r>
    </w:p>
    <w:p w14:paraId="16F3BAAF" w14:textId="77777777" w:rsidR="00265792" w:rsidRDefault="00265792" w:rsidP="00B155CF">
      <w:pPr>
        <w:pStyle w:val="ARbody"/>
        <w:rPr>
          <w:lang w:eastAsia="en-AU"/>
        </w:rPr>
      </w:pPr>
      <w:r>
        <w:br w:type="page"/>
      </w:r>
    </w:p>
    <w:p w14:paraId="1F4D832C" w14:textId="77777777" w:rsidR="00265792" w:rsidRPr="0086679C" w:rsidRDefault="00265792" w:rsidP="00BB645D">
      <w:pPr>
        <w:pStyle w:val="Heading2Financials"/>
        <w:spacing w:before="0" w:after="0"/>
      </w:pPr>
      <w:bookmarkStart w:id="256" w:name="_Toc212041653"/>
      <w:r w:rsidRPr="0086679C">
        <w:lastRenderedPageBreak/>
        <w:t>Cash flow statement for the financial year</w:t>
      </w:r>
      <w:r w:rsidRPr="0086679C">
        <w:br/>
        <w:t>ended 30 June 202</w:t>
      </w:r>
      <w:r>
        <w:t>5</w:t>
      </w:r>
      <w:bookmarkEnd w:id="256"/>
    </w:p>
    <w:tbl>
      <w:tblPr>
        <w:tblStyle w:val="TableGrid"/>
        <w:tblW w:w="9639" w:type="dxa"/>
        <w:tblLayout w:type="fixed"/>
        <w:tblLook w:val="07E0" w:firstRow="1" w:lastRow="1" w:firstColumn="1" w:lastColumn="1" w:noHBand="1" w:noVBand="1"/>
      </w:tblPr>
      <w:tblGrid>
        <w:gridCol w:w="6066"/>
        <w:gridCol w:w="851"/>
        <w:gridCol w:w="1361"/>
        <w:gridCol w:w="1361"/>
      </w:tblGrid>
      <w:tr w:rsidR="00265792" w:rsidRPr="00BA7805" w14:paraId="115EC33F" w14:textId="77777777">
        <w:trPr>
          <w:cnfStyle w:val="100000000000" w:firstRow="1" w:lastRow="0" w:firstColumn="0" w:lastColumn="0" w:oddVBand="0" w:evenVBand="0" w:oddHBand="0" w:evenHBand="0" w:firstRowFirstColumn="0" w:firstRowLastColumn="0" w:lastRowFirstColumn="0" w:lastRowLastColumn="0"/>
          <w:trHeight w:val="534"/>
          <w:tblHeader/>
        </w:trPr>
        <w:tc>
          <w:tcPr>
            <w:tcW w:w="6066" w:type="dxa"/>
            <w:noWrap/>
            <w:hideMark/>
          </w:tcPr>
          <w:p w14:paraId="7BAE0047" w14:textId="77777777" w:rsidR="00265792" w:rsidRPr="000B1D83" w:rsidRDefault="00265792">
            <w:pPr>
              <w:pStyle w:val="ARfintablecolhead"/>
              <w:spacing w:before="24" w:after="12"/>
            </w:pPr>
          </w:p>
        </w:tc>
        <w:tc>
          <w:tcPr>
            <w:tcW w:w="851" w:type="dxa"/>
          </w:tcPr>
          <w:p w14:paraId="5D4DA711" w14:textId="77777777" w:rsidR="00265792" w:rsidRPr="000B1D83" w:rsidRDefault="00265792">
            <w:pPr>
              <w:pStyle w:val="ARfintablecolheadright"/>
              <w:spacing w:before="24" w:after="12"/>
            </w:pPr>
            <w:r w:rsidRPr="000B1D83">
              <w:t>Note</w:t>
            </w:r>
          </w:p>
        </w:tc>
        <w:tc>
          <w:tcPr>
            <w:tcW w:w="1361" w:type="dxa"/>
            <w:shd w:val="clear" w:color="auto" w:fill="EEEEEF" w:themeFill="accent4"/>
            <w:hideMark/>
          </w:tcPr>
          <w:p w14:paraId="070F1A03" w14:textId="77777777" w:rsidR="00265792" w:rsidRPr="000B1D83" w:rsidRDefault="00265792">
            <w:pPr>
              <w:pStyle w:val="ARfintablecolheadright"/>
            </w:pPr>
            <w:r w:rsidRPr="000B1D83">
              <w:t>202</w:t>
            </w:r>
            <w:r>
              <w:t>5</w:t>
            </w:r>
          </w:p>
          <w:p w14:paraId="6965889B" w14:textId="77777777" w:rsidR="00265792" w:rsidRPr="000B1D83" w:rsidRDefault="00265792">
            <w:pPr>
              <w:pStyle w:val="ARfintablecolheadright"/>
              <w:spacing w:before="24" w:after="12"/>
            </w:pPr>
            <w:r w:rsidRPr="000B1D83">
              <w:t>$M</w:t>
            </w:r>
          </w:p>
        </w:tc>
        <w:tc>
          <w:tcPr>
            <w:tcW w:w="1361" w:type="dxa"/>
            <w:hideMark/>
          </w:tcPr>
          <w:p w14:paraId="77367FE4" w14:textId="77777777" w:rsidR="00265792" w:rsidRPr="000B1D83" w:rsidRDefault="00265792">
            <w:pPr>
              <w:pStyle w:val="ARfintablecolheadright"/>
            </w:pPr>
            <w:r w:rsidRPr="000B1D83">
              <w:t>202</w:t>
            </w:r>
            <w:r>
              <w:t>4</w:t>
            </w:r>
          </w:p>
          <w:p w14:paraId="00D54904" w14:textId="77777777" w:rsidR="00265792" w:rsidRPr="000B1D83" w:rsidRDefault="00265792">
            <w:pPr>
              <w:pStyle w:val="ARfintablecolheadright"/>
              <w:spacing w:before="24" w:after="12"/>
            </w:pPr>
            <w:r w:rsidRPr="000B1D83">
              <w:t>$M</w:t>
            </w:r>
          </w:p>
        </w:tc>
      </w:tr>
      <w:tr w:rsidR="00265792" w:rsidRPr="00BA7805" w14:paraId="237392A4" w14:textId="77777777">
        <w:tc>
          <w:tcPr>
            <w:tcW w:w="6066" w:type="dxa"/>
          </w:tcPr>
          <w:p w14:paraId="7B75027A" w14:textId="77777777" w:rsidR="00265792" w:rsidRPr="007B24B9" w:rsidRDefault="00265792">
            <w:pPr>
              <w:pStyle w:val="ARfintablebodyboldcoloured"/>
              <w:rPr>
                <w:highlight w:val="green"/>
              </w:rPr>
            </w:pPr>
            <w:r w:rsidRPr="00210A2D">
              <w:t>Cash flows from operating activities</w:t>
            </w:r>
          </w:p>
        </w:tc>
        <w:tc>
          <w:tcPr>
            <w:tcW w:w="851" w:type="dxa"/>
          </w:tcPr>
          <w:p w14:paraId="52ED0FAC" w14:textId="77777777" w:rsidR="00265792" w:rsidRPr="00BA7805" w:rsidRDefault="00265792">
            <w:pPr>
              <w:pStyle w:val="ARfintablebodyright"/>
              <w:spacing w:before="24" w:after="12"/>
              <w:rPr>
                <w:highlight w:val="green"/>
              </w:rPr>
            </w:pPr>
          </w:p>
        </w:tc>
        <w:tc>
          <w:tcPr>
            <w:tcW w:w="1361" w:type="dxa"/>
            <w:noWrap/>
          </w:tcPr>
          <w:p w14:paraId="6B7F19C4" w14:textId="77777777" w:rsidR="00265792" w:rsidRPr="00BA7805" w:rsidRDefault="00265792">
            <w:pPr>
              <w:pStyle w:val="ARfintablebodyright"/>
              <w:spacing w:before="24" w:after="12"/>
              <w:rPr>
                <w:highlight w:val="green"/>
              </w:rPr>
            </w:pPr>
          </w:p>
        </w:tc>
        <w:tc>
          <w:tcPr>
            <w:tcW w:w="1361" w:type="dxa"/>
            <w:noWrap/>
          </w:tcPr>
          <w:p w14:paraId="060C5DB5" w14:textId="77777777" w:rsidR="00265792" w:rsidRPr="00BA7805" w:rsidRDefault="00265792">
            <w:pPr>
              <w:pStyle w:val="ARfintablebodyright"/>
              <w:spacing w:before="24" w:after="12"/>
              <w:rPr>
                <w:highlight w:val="green"/>
              </w:rPr>
            </w:pPr>
          </w:p>
        </w:tc>
      </w:tr>
      <w:tr w:rsidR="00265792" w:rsidRPr="00BA7805" w14:paraId="0E17779B" w14:textId="77777777">
        <w:tc>
          <w:tcPr>
            <w:tcW w:w="6066" w:type="dxa"/>
          </w:tcPr>
          <w:p w14:paraId="23CD65A9" w14:textId="77777777" w:rsidR="00265792" w:rsidRPr="007B24B9" w:rsidRDefault="00265792">
            <w:pPr>
              <w:pStyle w:val="ARfintablebodybold"/>
              <w:rPr>
                <w:highlight w:val="green"/>
              </w:rPr>
            </w:pPr>
            <w:r w:rsidRPr="00210A2D">
              <w:t>Receipts</w:t>
            </w:r>
          </w:p>
        </w:tc>
        <w:tc>
          <w:tcPr>
            <w:tcW w:w="851" w:type="dxa"/>
          </w:tcPr>
          <w:p w14:paraId="19C1D432" w14:textId="77777777" w:rsidR="00265792" w:rsidRPr="00BA7805" w:rsidRDefault="00265792">
            <w:pPr>
              <w:pStyle w:val="ARfintablebodyright"/>
              <w:spacing w:before="24" w:after="12"/>
              <w:rPr>
                <w:highlight w:val="green"/>
              </w:rPr>
            </w:pPr>
          </w:p>
        </w:tc>
        <w:tc>
          <w:tcPr>
            <w:tcW w:w="1361" w:type="dxa"/>
            <w:noWrap/>
          </w:tcPr>
          <w:p w14:paraId="3BF646CD" w14:textId="77777777" w:rsidR="00265792" w:rsidRPr="00BA7805" w:rsidRDefault="00265792">
            <w:pPr>
              <w:pStyle w:val="ARfintablebodyright"/>
              <w:spacing w:before="24" w:after="12"/>
              <w:rPr>
                <w:highlight w:val="green"/>
              </w:rPr>
            </w:pPr>
          </w:p>
        </w:tc>
        <w:tc>
          <w:tcPr>
            <w:tcW w:w="1361" w:type="dxa"/>
            <w:noWrap/>
          </w:tcPr>
          <w:p w14:paraId="7206E8A2" w14:textId="77777777" w:rsidR="00265792" w:rsidRPr="00BA7805" w:rsidRDefault="00265792">
            <w:pPr>
              <w:pStyle w:val="ARfintablebodyright"/>
              <w:spacing w:before="24" w:after="12"/>
              <w:rPr>
                <w:highlight w:val="green"/>
              </w:rPr>
            </w:pPr>
          </w:p>
        </w:tc>
      </w:tr>
      <w:tr w:rsidR="00265792" w:rsidRPr="00BA7805" w14:paraId="07FA6DDD" w14:textId="77777777">
        <w:tc>
          <w:tcPr>
            <w:tcW w:w="6066" w:type="dxa"/>
          </w:tcPr>
          <w:p w14:paraId="35542663" w14:textId="77777777" w:rsidR="00265792" w:rsidRPr="007B24B9" w:rsidRDefault="00265792">
            <w:pPr>
              <w:pStyle w:val="ARfintablebody"/>
              <w:rPr>
                <w:highlight w:val="green"/>
              </w:rPr>
            </w:pPr>
            <w:r w:rsidRPr="00210A2D">
              <w:t>Output appropriations</w:t>
            </w:r>
          </w:p>
        </w:tc>
        <w:tc>
          <w:tcPr>
            <w:tcW w:w="851" w:type="dxa"/>
          </w:tcPr>
          <w:p w14:paraId="78517CD4" w14:textId="77777777" w:rsidR="00265792" w:rsidRPr="00BA7805" w:rsidRDefault="00265792">
            <w:pPr>
              <w:pStyle w:val="ARfintablebodyright"/>
              <w:spacing w:before="24" w:after="12"/>
              <w:rPr>
                <w:highlight w:val="green"/>
              </w:rPr>
            </w:pPr>
          </w:p>
        </w:tc>
        <w:tc>
          <w:tcPr>
            <w:tcW w:w="1361" w:type="dxa"/>
            <w:shd w:val="clear" w:color="auto" w:fill="EEEEEF" w:themeFill="accent4"/>
            <w:noWrap/>
          </w:tcPr>
          <w:p w14:paraId="692EBB30" w14:textId="77777777" w:rsidR="00265792" w:rsidRPr="00BA7805" w:rsidRDefault="00265792">
            <w:pPr>
              <w:pStyle w:val="ARfintablebodyright"/>
              <w:spacing w:before="24" w:after="12"/>
              <w:rPr>
                <w:highlight w:val="green"/>
              </w:rPr>
            </w:pPr>
            <w:r w:rsidRPr="00210A2D">
              <w:t>6,291.6</w:t>
            </w:r>
          </w:p>
        </w:tc>
        <w:tc>
          <w:tcPr>
            <w:tcW w:w="1361" w:type="dxa"/>
            <w:noWrap/>
          </w:tcPr>
          <w:p w14:paraId="40D0091D" w14:textId="77777777" w:rsidR="00265792" w:rsidRPr="00BA7805" w:rsidRDefault="00265792">
            <w:pPr>
              <w:pStyle w:val="ARfintablebodyright"/>
              <w:spacing w:before="24" w:after="12"/>
              <w:rPr>
                <w:highlight w:val="green"/>
              </w:rPr>
            </w:pPr>
            <w:r w:rsidRPr="00210A2D">
              <w:t>5,103.9</w:t>
            </w:r>
          </w:p>
        </w:tc>
      </w:tr>
      <w:tr w:rsidR="00265792" w:rsidRPr="00BA7805" w14:paraId="486BC7C3" w14:textId="77777777">
        <w:tc>
          <w:tcPr>
            <w:tcW w:w="6066" w:type="dxa"/>
          </w:tcPr>
          <w:p w14:paraId="2D555FF9" w14:textId="77777777" w:rsidR="00265792" w:rsidRPr="007B24B9" w:rsidRDefault="00265792">
            <w:pPr>
              <w:pStyle w:val="ARfintablebody"/>
              <w:rPr>
                <w:highlight w:val="green"/>
              </w:rPr>
            </w:pPr>
            <w:r w:rsidRPr="00210A2D">
              <w:t>Special appropriations</w:t>
            </w:r>
          </w:p>
        </w:tc>
        <w:tc>
          <w:tcPr>
            <w:tcW w:w="851" w:type="dxa"/>
          </w:tcPr>
          <w:p w14:paraId="3F4F9F23" w14:textId="77777777" w:rsidR="00265792" w:rsidRPr="00BA7805" w:rsidRDefault="00265792">
            <w:pPr>
              <w:pStyle w:val="ARfintablebodyright"/>
              <w:spacing w:before="24" w:after="12"/>
              <w:rPr>
                <w:highlight w:val="green"/>
              </w:rPr>
            </w:pPr>
          </w:p>
        </w:tc>
        <w:tc>
          <w:tcPr>
            <w:tcW w:w="1361" w:type="dxa"/>
            <w:shd w:val="clear" w:color="auto" w:fill="EEEEEF" w:themeFill="accent4"/>
            <w:noWrap/>
          </w:tcPr>
          <w:p w14:paraId="6C98C6B9" w14:textId="77777777" w:rsidR="00265792" w:rsidRPr="00BA7805" w:rsidRDefault="00265792">
            <w:pPr>
              <w:pStyle w:val="ARfintablebodyright"/>
              <w:spacing w:before="24" w:after="12"/>
              <w:rPr>
                <w:highlight w:val="green"/>
              </w:rPr>
            </w:pPr>
            <w:r w:rsidRPr="00210A2D">
              <w:t>100.6</w:t>
            </w:r>
          </w:p>
        </w:tc>
        <w:tc>
          <w:tcPr>
            <w:tcW w:w="1361" w:type="dxa"/>
            <w:noWrap/>
          </w:tcPr>
          <w:p w14:paraId="3C0C8C36" w14:textId="77777777" w:rsidR="00265792" w:rsidRPr="00BA7805" w:rsidRDefault="00265792">
            <w:pPr>
              <w:pStyle w:val="ARfintablebodyright"/>
              <w:spacing w:before="24" w:after="12"/>
              <w:rPr>
                <w:highlight w:val="green"/>
              </w:rPr>
            </w:pPr>
            <w:r w:rsidRPr="00210A2D">
              <w:t>79.5</w:t>
            </w:r>
          </w:p>
        </w:tc>
      </w:tr>
      <w:tr w:rsidR="00265792" w:rsidRPr="00BA7805" w14:paraId="7035396E" w14:textId="77777777">
        <w:tc>
          <w:tcPr>
            <w:tcW w:w="6066" w:type="dxa"/>
          </w:tcPr>
          <w:p w14:paraId="69DB5D01" w14:textId="77777777" w:rsidR="00265792" w:rsidRPr="007B24B9" w:rsidRDefault="00265792">
            <w:pPr>
              <w:pStyle w:val="ARfintablebody"/>
              <w:rPr>
                <w:highlight w:val="green"/>
              </w:rPr>
            </w:pPr>
            <w:r w:rsidRPr="00210A2D">
              <w:t>Funds from other entities</w:t>
            </w:r>
          </w:p>
        </w:tc>
        <w:tc>
          <w:tcPr>
            <w:tcW w:w="851" w:type="dxa"/>
          </w:tcPr>
          <w:p w14:paraId="1F8BCF0D" w14:textId="77777777" w:rsidR="00265792" w:rsidRPr="00BA7805" w:rsidRDefault="00265792">
            <w:pPr>
              <w:pStyle w:val="ARfintablebodyright"/>
              <w:spacing w:before="24" w:after="12"/>
              <w:rPr>
                <w:highlight w:val="green"/>
              </w:rPr>
            </w:pPr>
          </w:p>
        </w:tc>
        <w:tc>
          <w:tcPr>
            <w:tcW w:w="1361" w:type="dxa"/>
            <w:shd w:val="clear" w:color="auto" w:fill="EEEEEF" w:themeFill="accent4"/>
            <w:noWrap/>
          </w:tcPr>
          <w:p w14:paraId="5192D779" w14:textId="77777777" w:rsidR="00265792" w:rsidRPr="00BA7805" w:rsidRDefault="00265792">
            <w:pPr>
              <w:pStyle w:val="ARfintablebodyright"/>
              <w:spacing w:before="24" w:after="12"/>
              <w:rPr>
                <w:highlight w:val="green"/>
              </w:rPr>
            </w:pPr>
            <w:r w:rsidRPr="00210A2D">
              <w:t>391.4</w:t>
            </w:r>
          </w:p>
        </w:tc>
        <w:tc>
          <w:tcPr>
            <w:tcW w:w="1361" w:type="dxa"/>
            <w:noWrap/>
          </w:tcPr>
          <w:p w14:paraId="09612E2D" w14:textId="77777777" w:rsidR="00265792" w:rsidRPr="00BA7805" w:rsidRDefault="00265792">
            <w:pPr>
              <w:pStyle w:val="ARfintablebodyright"/>
              <w:spacing w:before="24" w:after="12"/>
              <w:rPr>
                <w:highlight w:val="green"/>
              </w:rPr>
            </w:pPr>
            <w:r w:rsidRPr="00210A2D">
              <w:t>253.8</w:t>
            </w:r>
          </w:p>
        </w:tc>
      </w:tr>
      <w:tr w:rsidR="00265792" w:rsidRPr="00BA7805" w14:paraId="6566828F" w14:textId="77777777">
        <w:tc>
          <w:tcPr>
            <w:tcW w:w="6066" w:type="dxa"/>
          </w:tcPr>
          <w:p w14:paraId="44E91CEF" w14:textId="77777777" w:rsidR="00265792" w:rsidRPr="00BA7805" w:rsidRDefault="00265792">
            <w:pPr>
              <w:pStyle w:val="ARfintablebody"/>
              <w:rPr>
                <w:highlight w:val="green"/>
              </w:rPr>
            </w:pPr>
            <w:r w:rsidRPr="00210A2D">
              <w:t>Rent received</w:t>
            </w:r>
          </w:p>
        </w:tc>
        <w:tc>
          <w:tcPr>
            <w:tcW w:w="851" w:type="dxa"/>
          </w:tcPr>
          <w:p w14:paraId="3E07CCEC" w14:textId="77777777" w:rsidR="00265792" w:rsidRPr="00BA7805" w:rsidRDefault="00265792">
            <w:pPr>
              <w:pStyle w:val="ARfintablebodyright"/>
              <w:spacing w:before="24" w:after="12"/>
              <w:rPr>
                <w:highlight w:val="green"/>
              </w:rPr>
            </w:pPr>
          </w:p>
        </w:tc>
        <w:tc>
          <w:tcPr>
            <w:tcW w:w="1361" w:type="dxa"/>
            <w:shd w:val="clear" w:color="auto" w:fill="EEEEEF" w:themeFill="accent4"/>
            <w:noWrap/>
          </w:tcPr>
          <w:p w14:paraId="4C4D5A3E" w14:textId="77777777" w:rsidR="00265792" w:rsidRPr="00BA7805" w:rsidRDefault="00265792">
            <w:pPr>
              <w:pStyle w:val="ARfintablebodyright"/>
              <w:spacing w:before="24" w:after="12"/>
              <w:rPr>
                <w:highlight w:val="green"/>
              </w:rPr>
            </w:pPr>
            <w:r w:rsidRPr="00210A2D">
              <w:t>587.2</w:t>
            </w:r>
          </w:p>
        </w:tc>
        <w:tc>
          <w:tcPr>
            <w:tcW w:w="1361" w:type="dxa"/>
            <w:noWrap/>
          </w:tcPr>
          <w:p w14:paraId="4E8BD490" w14:textId="77777777" w:rsidR="00265792" w:rsidRPr="00BA7805" w:rsidRDefault="00265792">
            <w:pPr>
              <w:pStyle w:val="ARfintablebodyright"/>
              <w:spacing w:before="24" w:after="12"/>
              <w:rPr>
                <w:highlight w:val="green"/>
              </w:rPr>
            </w:pPr>
            <w:r w:rsidRPr="00210A2D">
              <w:t>557.1</w:t>
            </w:r>
          </w:p>
        </w:tc>
      </w:tr>
      <w:tr w:rsidR="00265792" w:rsidRPr="00BA7805" w14:paraId="6605839E" w14:textId="77777777">
        <w:tc>
          <w:tcPr>
            <w:tcW w:w="6066" w:type="dxa"/>
          </w:tcPr>
          <w:p w14:paraId="28AB9785" w14:textId="77777777" w:rsidR="00265792" w:rsidRPr="00BA7805" w:rsidRDefault="00265792">
            <w:pPr>
              <w:pStyle w:val="ARfintablebody"/>
              <w:rPr>
                <w:highlight w:val="green"/>
              </w:rPr>
            </w:pPr>
            <w:r w:rsidRPr="00210A2D">
              <w:t>Interest received</w:t>
            </w:r>
          </w:p>
        </w:tc>
        <w:tc>
          <w:tcPr>
            <w:tcW w:w="851" w:type="dxa"/>
          </w:tcPr>
          <w:p w14:paraId="59E08E8D" w14:textId="77777777" w:rsidR="00265792" w:rsidRPr="00BA7805" w:rsidRDefault="00265792">
            <w:pPr>
              <w:pStyle w:val="ARfintablebodyright"/>
              <w:spacing w:before="24" w:after="12"/>
              <w:rPr>
                <w:highlight w:val="green"/>
              </w:rPr>
            </w:pPr>
          </w:p>
        </w:tc>
        <w:tc>
          <w:tcPr>
            <w:tcW w:w="1361" w:type="dxa"/>
            <w:shd w:val="clear" w:color="auto" w:fill="EEEEEF" w:themeFill="accent4"/>
            <w:noWrap/>
          </w:tcPr>
          <w:p w14:paraId="16C98AC5" w14:textId="77777777" w:rsidR="00265792" w:rsidRPr="00BA7805" w:rsidRDefault="00265792">
            <w:pPr>
              <w:pStyle w:val="ARfintablebodyright"/>
              <w:spacing w:before="24" w:after="12"/>
              <w:rPr>
                <w:highlight w:val="green"/>
              </w:rPr>
            </w:pPr>
            <w:r w:rsidRPr="00210A2D">
              <w:t>37.6</w:t>
            </w:r>
          </w:p>
        </w:tc>
        <w:tc>
          <w:tcPr>
            <w:tcW w:w="1361" w:type="dxa"/>
            <w:noWrap/>
          </w:tcPr>
          <w:p w14:paraId="4CDD6F59" w14:textId="77777777" w:rsidR="00265792" w:rsidRPr="00BA7805" w:rsidRDefault="00265792">
            <w:pPr>
              <w:pStyle w:val="ARfintablebodyright"/>
              <w:spacing w:before="24" w:after="12"/>
              <w:rPr>
                <w:highlight w:val="green"/>
              </w:rPr>
            </w:pPr>
            <w:r w:rsidRPr="00210A2D">
              <w:t>32.7</w:t>
            </w:r>
          </w:p>
        </w:tc>
      </w:tr>
      <w:tr w:rsidR="00265792" w:rsidRPr="00BA7805" w14:paraId="515EB011" w14:textId="77777777">
        <w:tc>
          <w:tcPr>
            <w:tcW w:w="6066" w:type="dxa"/>
            <w:tcBorders>
              <w:bottom w:val="single" w:sz="4" w:space="0" w:color="A6A6A6" w:themeColor="accent5"/>
            </w:tcBorders>
          </w:tcPr>
          <w:p w14:paraId="7C973FE0" w14:textId="77777777" w:rsidR="00265792" w:rsidRPr="00BA7805" w:rsidRDefault="00265792">
            <w:pPr>
              <w:pStyle w:val="ARfintablebody"/>
              <w:rPr>
                <w:highlight w:val="green"/>
              </w:rPr>
            </w:pPr>
            <w:r w:rsidRPr="00210A2D">
              <w:t>Other receipts</w:t>
            </w:r>
          </w:p>
        </w:tc>
        <w:tc>
          <w:tcPr>
            <w:tcW w:w="851" w:type="dxa"/>
            <w:tcBorders>
              <w:bottom w:val="single" w:sz="4" w:space="0" w:color="A6A6A6" w:themeColor="accent5"/>
            </w:tcBorders>
          </w:tcPr>
          <w:p w14:paraId="517A81C4" w14:textId="77777777" w:rsidR="00265792" w:rsidRPr="00BA7805" w:rsidRDefault="00265792">
            <w:pPr>
              <w:pStyle w:val="ARfintablebodyright"/>
              <w:spacing w:before="24" w:after="12"/>
              <w:rPr>
                <w:highlight w:val="green"/>
              </w:rPr>
            </w:pPr>
          </w:p>
        </w:tc>
        <w:tc>
          <w:tcPr>
            <w:tcW w:w="1361" w:type="dxa"/>
            <w:tcBorders>
              <w:bottom w:val="single" w:sz="4" w:space="0" w:color="A6A6A6" w:themeColor="accent5"/>
            </w:tcBorders>
            <w:shd w:val="clear" w:color="auto" w:fill="EEEEEF" w:themeFill="accent4"/>
            <w:noWrap/>
          </w:tcPr>
          <w:p w14:paraId="63D10CC0" w14:textId="77777777" w:rsidR="00265792" w:rsidRPr="00BA7805" w:rsidRDefault="00265792">
            <w:pPr>
              <w:pStyle w:val="ARfintablebodyright"/>
              <w:spacing w:before="24" w:after="12"/>
              <w:rPr>
                <w:highlight w:val="green"/>
              </w:rPr>
            </w:pPr>
            <w:r w:rsidRPr="00210A2D">
              <w:t>9.8</w:t>
            </w:r>
          </w:p>
        </w:tc>
        <w:tc>
          <w:tcPr>
            <w:tcW w:w="1361" w:type="dxa"/>
            <w:tcBorders>
              <w:bottom w:val="single" w:sz="4" w:space="0" w:color="A6A6A6" w:themeColor="accent5"/>
            </w:tcBorders>
            <w:noWrap/>
          </w:tcPr>
          <w:p w14:paraId="65E305B4" w14:textId="77777777" w:rsidR="00265792" w:rsidRPr="00BA7805" w:rsidRDefault="00265792">
            <w:pPr>
              <w:pStyle w:val="ARfintablebodyright"/>
              <w:spacing w:before="24" w:after="12"/>
              <w:rPr>
                <w:highlight w:val="green"/>
              </w:rPr>
            </w:pPr>
            <w:r w:rsidRPr="00210A2D">
              <w:t>12.8</w:t>
            </w:r>
          </w:p>
        </w:tc>
      </w:tr>
      <w:tr w:rsidR="00265792" w:rsidRPr="00BA7805" w14:paraId="7CCC9ED7" w14:textId="77777777">
        <w:tc>
          <w:tcPr>
            <w:tcW w:w="6066" w:type="dxa"/>
            <w:tcBorders>
              <w:top w:val="single" w:sz="4" w:space="0" w:color="A6A6A6" w:themeColor="accent5"/>
              <w:bottom w:val="single" w:sz="4" w:space="0" w:color="000000" w:themeColor="text1"/>
            </w:tcBorders>
          </w:tcPr>
          <w:p w14:paraId="389568AC" w14:textId="77777777" w:rsidR="00265792" w:rsidRPr="00BA7805" w:rsidRDefault="00265792">
            <w:pPr>
              <w:pStyle w:val="ARfintablebody"/>
              <w:rPr>
                <w:highlight w:val="green"/>
              </w:rPr>
            </w:pPr>
            <w:r w:rsidRPr="00210A2D">
              <w:t xml:space="preserve">GST recovered from Australian Taxation Office </w:t>
            </w:r>
            <w:r w:rsidRPr="00895F22">
              <w:rPr>
                <w:vertAlign w:val="superscript"/>
              </w:rPr>
              <w:t>(</w:t>
            </w:r>
            <w:proofErr w:type="spellStart"/>
            <w:r w:rsidRPr="00895F22">
              <w:rPr>
                <w:vertAlign w:val="superscript"/>
              </w:rPr>
              <w:t>i</w:t>
            </w:r>
            <w:proofErr w:type="spellEnd"/>
            <w:r w:rsidRPr="00895F22">
              <w:rPr>
                <w:vertAlign w:val="superscript"/>
              </w:rPr>
              <w:t>)</w:t>
            </w:r>
          </w:p>
        </w:tc>
        <w:tc>
          <w:tcPr>
            <w:tcW w:w="851" w:type="dxa"/>
            <w:tcBorders>
              <w:top w:val="single" w:sz="4" w:space="0" w:color="A6A6A6" w:themeColor="accent5"/>
              <w:bottom w:val="single" w:sz="4" w:space="0" w:color="000000" w:themeColor="text1"/>
            </w:tcBorders>
          </w:tcPr>
          <w:p w14:paraId="56DD68EC" w14:textId="77777777" w:rsidR="00265792" w:rsidRPr="00BA7805" w:rsidRDefault="00265792">
            <w:pPr>
              <w:pStyle w:val="ARfintablebodyright"/>
              <w:spacing w:before="24" w:after="12"/>
              <w:rPr>
                <w:highlight w:val="green"/>
              </w:rPr>
            </w:pPr>
          </w:p>
        </w:tc>
        <w:tc>
          <w:tcPr>
            <w:tcW w:w="1361" w:type="dxa"/>
            <w:tcBorders>
              <w:top w:val="single" w:sz="4" w:space="0" w:color="A6A6A6" w:themeColor="accent5"/>
              <w:bottom w:val="single" w:sz="4" w:space="0" w:color="000000" w:themeColor="text1"/>
            </w:tcBorders>
            <w:shd w:val="clear" w:color="auto" w:fill="EEEEEF" w:themeFill="accent4"/>
            <w:noWrap/>
          </w:tcPr>
          <w:p w14:paraId="070F08CB" w14:textId="77777777" w:rsidR="00265792" w:rsidRPr="00BA7805" w:rsidRDefault="00265792">
            <w:pPr>
              <w:pStyle w:val="ARfintablebodyright"/>
              <w:spacing w:before="24" w:after="12"/>
              <w:rPr>
                <w:highlight w:val="green"/>
              </w:rPr>
            </w:pPr>
            <w:r w:rsidRPr="00210A2D">
              <w:t>346.6</w:t>
            </w:r>
          </w:p>
        </w:tc>
        <w:tc>
          <w:tcPr>
            <w:tcW w:w="1361" w:type="dxa"/>
            <w:tcBorders>
              <w:top w:val="single" w:sz="4" w:space="0" w:color="A6A6A6" w:themeColor="accent5"/>
              <w:bottom w:val="single" w:sz="4" w:space="0" w:color="000000" w:themeColor="text1"/>
            </w:tcBorders>
            <w:noWrap/>
          </w:tcPr>
          <w:p w14:paraId="66D10C2A" w14:textId="77777777" w:rsidR="00265792" w:rsidRPr="00BA7805" w:rsidRDefault="00265792">
            <w:pPr>
              <w:pStyle w:val="ARfintablebodyright"/>
              <w:spacing w:before="24" w:after="12"/>
              <w:rPr>
                <w:highlight w:val="green"/>
              </w:rPr>
            </w:pPr>
            <w:r w:rsidRPr="00210A2D">
              <w:t>330.1</w:t>
            </w:r>
          </w:p>
        </w:tc>
      </w:tr>
      <w:tr w:rsidR="00265792" w:rsidRPr="00BA7805" w14:paraId="775DE735" w14:textId="77777777">
        <w:tc>
          <w:tcPr>
            <w:tcW w:w="6066" w:type="dxa"/>
            <w:tcBorders>
              <w:top w:val="single" w:sz="4" w:space="0" w:color="000000" w:themeColor="text1"/>
              <w:bottom w:val="single" w:sz="4" w:space="0" w:color="000000" w:themeColor="text1"/>
            </w:tcBorders>
          </w:tcPr>
          <w:p w14:paraId="50F69A69" w14:textId="77777777" w:rsidR="00265792" w:rsidRPr="00BA7805" w:rsidRDefault="00265792">
            <w:pPr>
              <w:pStyle w:val="ARfintablebodybold"/>
              <w:rPr>
                <w:highlight w:val="green"/>
              </w:rPr>
            </w:pPr>
            <w:r w:rsidRPr="00210A2D">
              <w:t>Total receipts</w:t>
            </w:r>
          </w:p>
        </w:tc>
        <w:tc>
          <w:tcPr>
            <w:tcW w:w="851" w:type="dxa"/>
            <w:tcBorders>
              <w:top w:val="single" w:sz="4" w:space="0" w:color="000000" w:themeColor="text1"/>
              <w:bottom w:val="single" w:sz="4" w:space="0" w:color="000000" w:themeColor="text1"/>
            </w:tcBorders>
          </w:tcPr>
          <w:p w14:paraId="1F8E952C" w14:textId="77777777" w:rsidR="00265792" w:rsidRPr="00BA7805" w:rsidRDefault="00265792">
            <w:pPr>
              <w:pStyle w:val="ARfintablebodyrightbold"/>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3BFD8975" w14:textId="77777777" w:rsidR="00265792" w:rsidRPr="00BA7805" w:rsidRDefault="00265792">
            <w:pPr>
              <w:pStyle w:val="ARfintablebodyrightbold"/>
              <w:rPr>
                <w:highlight w:val="green"/>
              </w:rPr>
            </w:pPr>
            <w:r w:rsidRPr="00210A2D">
              <w:t>7,764.8</w:t>
            </w:r>
          </w:p>
        </w:tc>
        <w:tc>
          <w:tcPr>
            <w:tcW w:w="1361" w:type="dxa"/>
            <w:tcBorders>
              <w:top w:val="single" w:sz="4" w:space="0" w:color="000000" w:themeColor="text1"/>
              <w:bottom w:val="single" w:sz="4" w:space="0" w:color="000000" w:themeColor="text1"/>
            </w:tcBorders>
            <w:noWrap/>
          </w:tcPr>
          <w:p w14:paraId="088F2A7E" w14:textId="77777777" w:rsidR="00265792" w:rsidRPr="00BA7805" w:rsidRDefault="00265792">
            <w:pPr>
              <w:pStyle w:val="ARfintablebodyrightbold"/>
              <w:rPr>
                <w:highlight w:val="green"/>
              </w:rPr>
            </w:pPr>
            <w:r w:rsidRPr="00210A2D">
              <w:t>6,369.9</w:t>
            </w:r>
          </w:p>
        </w:tc>
      </w:tr>
      <w:tr w:rsidR="00265792" w:rsidRPr="00BA7805" w14:paraId="1736F646" w14:textId="77777777">
        <w:tc>
          <w:tcPr>
            <w:tcW w:w="6066" w:type="dxa"/>
            <w:tcBorders>
              <w:top w:val="single" w:sz="4" w:space="0" w:color="000000" w:themeColor="text1"/>
              <w:bottom w:val="single" w:sz="4" w:space="0" w:color="A6A6A6" w:themeColor="accent5"/>
            </w:tcBorders>
          </w:tcPr>
          <w:p w14:paraId="687BC860" w14:textId="77777777" w:rsidR="00265792" w:rsidRPr="00BA7805" w:rsidRDefault="00265792">
            <w:pPr>
              <w:pStyle w:val="ARfintablebodybold"/>
              <w:rPr>
                <w:highlight w:val="green"/>
              </w:rPr>
            </w:pPr>
            <w:r w:rsidRPr="00210A2D">
              <w:t>Payments</w:t>
            </w:r>
          </w:p>
        </w:tc>
        <w:tc>
          <w:tcPr>
            <w:tcW w:w="851" w:type="dxa"/>
            <w:tcBorders>
              <w:top w:val="single" w:sz="4" w:space="0" w:color="000000" w:themeColor="text1"/>
              <w:bottom w:val="single" w:sz="4" w:space="0" w:color="A6A6A6" w:themeColor="accent5"/>
            </w:tcBorders>
          </w:tcPr>
          <w:p w14:paraId="6FC2E8E8" w14:textId="77777777" w:rsidR="00265792" w:rsidRPr="00BA7805" w:rsidRDefault="00265792">
            <w:pPr>
              <w:pStyle w:val="ARfintablebodyright"/>
              <w:spacing w:before="24" w:after="12"/>
              <w:rPr>
                <w:highlight w:val="green"/>
              </w:rPr>
            </w:pPr>
          </w:p>
        </w:tc>
        <w:tc>
          <w:tcPr>
            <w:tcW w:w="1361" w:type="dxa"/>
            <w:tcBorders>
              <w:top w:val="single" w:sz="4" w:space="0" w:color="000000" w:themeColor="text1"/>
              <w:bottom w:val="single" w:sz="4" w:space="0" w:color="A6A6A6" w:themeColor="accent5"/>
            </w:tcBorders>
            <w:noWrap/>
          </w:tcPr>
          <w:p w14:paraId="236E0AEA" w14:textId="77777777" w:rsidR="00265792" w:rsidRPr="00BA7805" w:rsidRDefault="00265792">
            <w:pPr>
              <w:pStyle w:val="ARfintablebodyright"/>
              <w:spacing w:before="24" w:after="12"/>
              <w:rPr>
                <w:highlight w:val="green"/>
              </w:rPr>
            </w:pPr>
          </w:p>
        </w:tc>
        <w:tc>
          <w:tcPr>
            <w:tcW w:w="1361" w:type="dxa"/>
            <w:tcBorders>
              <w:top w:val="single" w:sz="4" w:space="0" w:color="000000" w:themeColor="text1"/>
              <w:bottom w:val="single" w:sz="4" w:space="0" w:color="A6A6A6" w:themeColor="accent5"/>
            </w:tcBorders>
            <w:noWrap/>
          </w:tcPr>
          <w:p w14:paraId="4FA56595" w14:textId="77777777" w:rsidR="00265792" w:rsidRPr="00BA7805" w:rsidRDefault="00265792">
            <w:pPr>
              <w:pStyle w:val="ARfintablebodyright"/>
              <w:spacing w:before="24" w:after="12"/>
              <w:rPr>
                <w:highlight w:val="green"/>
              </w:rPr>
            </w:pPr>
          </w:p>
        </w:tc>
      </w:tr>
      <w:tr w:rsidR="00265792" w:rsidRPr="00BA7805" w14:paraId="1FB1C881" w14:textId="77777777">
        <w:tc>
          <w:tcPr>
            <w:tcW w:w="6066" w:type="dxa"/>
            <w:tcBorders>
              <w:top w:val="single" w:sz="4" w:space="0" w:color="A6A6A6" w:themeColor="accent5"/>
            </w:tcBorders>
          </w:tcPr>
          <w:p w14:paraId="3292998C" w14:textId="77777777" w:rsidR="00265792" w:rsidRPr="00BA7805" w:rsidRDefault="00265792">
            <w:pPr>
              <w:pStyle w:val="ARfintablebody"/>
              <w:rPr>
                <w:highlight w:val="green"/>
              </w:rPr>
            </w:pPr>
            <w:r w:rsidRPr="00210A2D">
              <w:t>Grants and other</w:t>
            </w:r>
            <w:r>
              <w:t xml:space="preserve"> </w:t>
            </w:r>
            <w:r w:rsidRPr="00210A2D">
              <w:t>transfers</w:t>
            </w:r>
          </w:p>
        </w:tc>
        <w:tc>
          <w:tcPr>
            <w:tcW w:w="851" w:type="dxa"/>
            <w:tcBorders>
              <w:top w:val="single" w:sz="4" w:space="0" w:color="A6A6A6" w:themeColor="accent5"/>
            </w:tcBorders>
          </w:tcPr>
          <w:p w14:paraId="3D195997" w14:textId="77777777" w:rsidR="00265792" w:rsidRPr="00BA7805" w:rsidRDefault="00265792">
            <w:pPr>
              <w:pStyle w:val="ARfintablebodyright"/>
              <w:spacing w:before="24" w:after="12"/>
              <w:rPr>
                <w:highlight w:val="green"/>
              </w:rPr>
            </w:pPr>
          </w:p>
        </w:tc>
        <w:tc>
          <w:tcPr>
            <w:tcW w:w="1361" w:type="dxa"/>
            <w:tcBorders>
              <w:top w:val="single" w:sz="4" w:space="0" w:color="A6A6A6" w:themeColor="accent5"/>
            </w:tcBorders>
            <w:shd w:val="clear" w:color="auto" w:fill="EEEEEF" w:themeFill="accent4"/>
            <w:noWrap/>
          </w:tcPr>
          <w:p w14:paraId="108EC582" w14:textId="77777777" w:rsidR="00265792" w:rsidRPr="00BA7805" w:rsidRDefault="00265792">
            <w:pPr>
              <w:pStyle w:val="ARfintablebodyright"/>
              <w:spacing w:before="24" w:after="12"/>
              <w:rPr>
                <w:highlight w:val="green"/>
              </w:rPr>
            </w:pPr>
            <w:r w:rsidRPr="00210A2D">
              <w:t>(5,258.7)</w:t>
            </w:r>
          </w:p>
        </w:tc>
        <w:tc>
          <w:tcPr>
            <w:tcW w:w="1361" w:type="dxa"/>
            <w:tcBorders>
              <w:top w:val="single" w:sz="4" w:space="0" w:color="A6A6A6" w:themeColor="accent5"/>
            </w:tcBorders>
            <w:noWrap/>
          </w:tcPr>
          <w:p w14:paraId="503BC2EC" w14:textId="77777777" w:rsidR="00265792" w:rsidRPr="00BA7805" w:rsidRDefault="00265792">
            <w:pPr>
              <w:pStyle w:val="ARfintablebodyright"/>
              <w:spacing w:before="24" w:after="12"/>
              <w:rPr>
                <w:highlight w:val="green"/>
              </w:rPr>
            </w:pPr>
            <w:r w:rsidRPr="00210A2D">
              <w:t>(4,549.4)</w:t>
            </w:r>
          </w:p>
        </w:tc>
      </w:tr>
      <w:tr w:rsidR="00265792" w:rsidRPr="00BA7805" w14:paraId="45DDBFC3" w14:textId="77777777">
        <w:tc>
          <w:tcPr>
            <w:tcW w:w="6066" w:type="dxa"/>
          </w:tcPr>
          <w:p w14:paraId="0265BE81" w14:textId="77777777" w:rsidR="00265792" w:rsidRPr="00BA7805" w:rsidRDefault="00265792">
            <w:pPr>
              <w:pStyle w:val="ARfintablebody"/>
              <w:rPr>
                <w:highlight w:val="green"/>
              </w:rPr>
            </w:pPr>
            <w:r w:rsidRPr="00210A2D">
              <w:t>Employee benefits</w:t>
            </w:r>
          </w:p>
        </w:tc>
        <w:tc>
          <w:tcPr>
            <w:tcW w:w="851" w:type="dxa"/>
          </w:tcPr>
          <w:p w14:paraId="144A12D6" w14:textId="77777777" w:rsidR="00265792" w:rsidRPr="00BA7805" w:rsidRDefault="00265792">
            <w:pPr>
              <w:pStyle w:val="ARfintablebodyright"/>
              <w:spacing w:before="24" w:after="12"/>
              <w:rPr>
                <w:highlight w:val="green"/>
              </w:rPr>
            </w:pPr>
          </w:p>
        </w:tc>
        <w:tc>
          <w:tcPr>
            <w:tcW w:w="1361" w:type="dxa"/>
            <w:shd w:val="clear" w:color="auto" w:fill="EEEEEF" w:themeFill="accent4"/>
            <w:noWrap/>
          </w:tcPr>
          <w:p w14:paraId="78C16984" w14:textId="77777777" w:rsidR="00265792" w:rsidRPr="002C7359" w:rsidRDefault="00265792">
            <w:pPr>
              <w:pStyle w:val="ARfintablebodyrightbold"/>
              <w:spacing w:before="24" w:after="12"/>
              <w:rPr>
                <w:b w:val="0"/>
                <w:bCs/>
                <w:highlight w:val="green"/>
              </w:rPr>
            </w:pPr>
            <w:r w:rsidRPr="002C7359">
              <w:rPr>
                <w:b w:val="0"/>
                <w:bCs/>
              </w:rPr>
              <w:t>(1,078.3)</w:t>
            </w:r>
          </w:p>
        </w:tc>
        <w:tc>
          <w:tcPr>
            <w:tcW w:w="1361" w:type="dxa"/>
            <w:noWrap/>
          </w:tcPr>
          <w:p w14:paraId="2EF9F2A0" w14:textId="77777777" w:rsidR="00265792" w:rsidRPr="002C7359" w:rsidRDefault="00265792">
            <w:pPr>
              <w:pStyle w:val="ARfintablebodyrightbold"/>
              <w:spacing w:before="24" w:after="12"/>
              <w:rPr>
                <w:b w:val="0"/>
                <w:bCs/>
                <w:highlight w:val="green"/>
              </w:rPr>
            </w:pPr>
            <w:r w:rsidRPr="002C7359">
              <w:rPr>
                <w:b w:val="0"/>
                <w:bCs/>
              </w:rPr>
              <w:t>(993.6)</w:t>
            </w:r>
          </w:p>
        </w:tc>
      </w:tr>
      <w:tr w:rsidR="00265792" w:rsidRPr="00BA7805" w14:paraId="019E7C6E" w14:textId="77777777">
        <w:tc>
          <w:tcPr>
            <w:tcW w:w="6066" w:type="dxa"/>
          </w:tcPr>
          <w:p w14:paraId="67127B4C" w14:textId="77777777" w:rsidR="00265792" w:rsidRPr="00BA7805" w:rsidRDefault="00265792">
            <w:pPr>
              <w:pStyle w:val="ARfintablebody"/>
              <w:rPr>
                <w:highlight w:val="green"/>
              </w:rPr>
            </w:pPr>
            <w:r w:rsidRPr="00210A2D">
              <w:t>Supplies and services</w:t>
            </w:r>
            <w:r w:rsidRPr="00E126D0">
              <w:rPr>
                <w:vertAlign w:val="superscript"/>
              </w:rPr>
              <w:t>(ii)</w:t>
            </w:r>
          </w:p>
        </w:tc>
        <w:tc>
          <w:tcPr>
            <w:tcW w:w="851" w:type="dxa"/>
          </w:tcPr>
          <w:p w14:paraId="4B10FC2F" w14:textId="77777777" w:rsidR="00265792" w:rsidRPr="00BA7805" w:rsidRDefault="00265792">
            <w:pPr>
              <w:pStyle w:val="ARfintablebodyright"/>
              <w:spacing w:before="24" w:after="12"/>
              <w:rPr>
                <w:highlight w:val="green"/>
              </w:rPr>
            </w:pPr>
          </w:p>
        </w:tc>
        <w:tc>
          <w:tcPr>
            <w:tcW w:w="1361" w:type="dxa"/>
            <w:shd w:val="clear" w:color="auto" w:fill="EEEEEF" w:themeFill="accent4"/>
            <w:noWrap/>
          </w:tcPr>
          <w:p w14:paraId="65A76E4A" w14:textId="77777777" w:rsidR="00265792" w:rsidRPr="00BA7805" w:rsidRDefault="00265792">
            <w:pPr>
              <w:pStyle w:val="ARfintablebodyright"/>
              <w:spacing w:before="24" w:after="12"/>
              <w:rPr>
                <w:highlight w:val="green"/>
              </w:rPr>
            </w:pPr>
            <w:r w:rsidRPr="00210A2D">
              <w:t>(</w:t>
            </w:r>
            <w:r>
              <w:t>541.9</w:t>
            </w:r>
            <w:r w:rsidRPr="00210A2D">
              <w:t>)</w:t>
            </w:r>
          </w:p>
        </w:tc>
        <w:tc>
          <w:tcPr>
            <w:tcW w:w="1361" w:type="dxa"/>
            <w:noWrap/>
          </w:tcPr>
          <w:p w14:paraId="633EF734" w14:textId="77777777" w:rsidR="00265792" w:rsidRPr="00BA7805" w:rsidRDefault="00265792">
            <w:pPr>
              <w:pStyle w:val="ARfintablebodyright"/>
              <w:spacing w:before="24" w:after="12"/>
              <w:rPr>
                <w:highlight w:val="green"/>
              </w:rPr>
            </w:pPr>
            <w:r w:rsidRPr="00210A2D">
              <w:t>(</w:t>
            </w:r>
            <w:r>
              <w:t>367.3</w:t>
            </w:r>
            <w:r w:rsidRPr="00210A2D">
              <w:t>)</w:t>
            </w:r>
          </w:p>
        </w:tc>
      </w:tr>
      <w:tr w:rsidR="00265792" w:rsidRPr="00BA7805" w14:paraId="70754B90" w14:textId="77777777">
        <w:tc>
          <w:tcPr>
            <w:tcW w:w="6066" w:type="dxa"/>
            <w:tcBorders>
              <w:bottom w:val="single" w:sz="4" w:space="0" w:color="A6A6A6" w:themeColor="accent5"/>
            </w:tcBorders>
          </w:tcPr>
          <w:p w14:paraId="38184913" w14:textId="77777777" w:rsidR="00265792" w:rsidRPr="00BA7805" w:rsidRDefault="00265792">
            <w:pPr>
              <w:pStyle w:val="ARfintablebody"/>
              <w:rPr>
                <w:highlight w:val="green"/>
              </w:rPr>
            </w:pPr>
            <w:r w:rsidRPr="00210A2D">
              <w:t>Other operating expenses</w:t>
            </w:r>
          </w:p>
        </w:tc>
        <w:tc>
          <w:tcPr>
            <w:tcW w:w="851" w:type="dxa"/>
            <w:tcBorders>
              <w:bottom w:val="single" w:sz="4" w:space="0" w:color="A6A6A6" w:themeColor="accent5"/>
            </w:tcBorders>
          </w:tcPr>
          <w:p w14:paraId="16B831D3" w14:textId="77777777" w:rsidR="00265792" w:rsidRPr="00BA7805" w:rsidRDefault="00265792">
            <w:pPr>
              <w:pStyle w:val="ARfintablebodyright"/>
              <w:spacing w:before="24" w:after="12"/>
              <w:rPr>
                <w:highlight w:val="green"/>
              </w:rPr>
            </w:pPr>
          </w:p>
        </w:tc>
        <w:tc>
          <w:tcPr>
            <w:tcW w:w="1361" w:type="dxa"/>
            <w:tcBorders>
              <w:bottom w:val="single" w:sz="4" w:space="0" w:color="A6A6A6" w:themeColor="accent5"/>
            </w:tcBorders>
            <w:shd w:val="clear" w:color="auto" w:fill="EEEEEF" w:themeFill="accent4"/>
            <w:noWrap/>
          </w:tcPr>
          <w:p w14:paraId="335C3B61" w14:textId="77777777" w:rsidR="00265792" w:rsidRPr="00BA7805" w:rsidRDefault="00265792">
            <w:pPr>
              <w:pStyle w:val="ARfintablebodyright"/>
              <w:spacing w:before="24" w:after="12"/>
              <w:rPr>
                <w:highlight w:val="green"/>
              </w:rPr>
            </w:pPr>
            <w:r w:rsidRPr="00210A2D">
              <w:t>(38.7)</w:t>
            </w:r>
          </w:p>
        </w:tc>
        <w:tc>
          <w:tcPr>
            <w:tcW w:w="1361" w:type="dxa"/>
            <w:tcBorders>
              <w:bottom w:val="single" w:sz="4" w:space="0" w:color="A6A6A6" w:themeColor="accent5"/>
            </w:tcBorders>
            <w:noWrap/>
          </w:tcPr>
          <w:p w14:paraId="745EB5E7" w14:textId="77777777" w:rsidR="00265792" w:rsidRPr="00BA7805" w:rsidRDefault="00265792">
            <w:pPr>
              <w:pStyle w:val="ARfintablebodyright"/>
              <w:spacing w:before="24" w:after="12"/>
              <w:rPr>
                <w:highlight w:val="green"/>
              </w:rPr>
            </w:pPr>
            <w:r w:rsidRPr="00210A2D">
              <w:t>(23.5)</w:t>
            </w:r>
          </w:p>
        </w:tc>
      </w:tr>
      <w:tr w:rsidR="00265792" w:rsidRPr="00BA7805" w14:paraId="724350CD" w14:textId="77777777">
        <w:tc>
          <w:tcPr>
            <w:tcW w:w="6066" w:type="dxa"/>
            <w:tcBorders>
              <w:top w:val="single" w:sz="4" w:space="0" w:color="A6A6A6" w:themeColor="accent5"/>
              <w:bottom w:val="single" w:sz="4" w:space="0" w:color="000000" w:themeColor="text1"/>
            </w:tcBorders>
          </w:tcPr>
          <w:p w14:paraId="5EE0BBD6" w14:textId="77777777" w:rsidR="00265792" w:rsidRPr="00BA7805" w:rsidRDefault="00265792">
            <w:pPr>
              <w:pStyle w:val="ARfintablebody"/>
              <w:rPr>
                <w:highlight w:val="green"/>
              </w:rPr>
            </w:pPr>
            <w:r w:rsidRPr="00210A2D">
              <w:t>Property management expenses</w:t>
            </w:r>
          </w:p>
        </w:tc>
        <w:tc>
          <w:tcPr>
            <w:tcW w:w="851" w:type="dxa"/>
            <w:tcBorders>
              <w:top w:val="single" w:sz="4" w:space="0" w:color="A6A6A6" w:themeColor="accent5"/>
              <w:bottom w:val="single" w:sz="4" w:space="0" w:color="000000" w:themeColor="text1"/>
            </w:tcBorders>
          </w:tcPr>
          <w:p w14:paraId="6E92E990" w14:textId="77777777" w:rsidR="00265792" w:rsidRPr="00BA7805" w:rsidRDefault="00265792">
            <w:pPr>
              <w:pStyle w:val="ARfintablebodyright"/>
              <w:spacing w:before="24" w:after="12"/>
              <w:rPr>
                <w:highlight w:val="green"/>
              </w:rPr>
            </w:pPr>
          </w:p>
        </w:tc>
        <w:tc>
          <w:tcPr>
            <w:tcW w:w="1361" w:type="dxa"/>
            <w:tcBorders>
              <w:top w:val="single" w:sz="4" w:space="0" w:color="A6A6A6" w:themeColor="accent5"/>
              <w:bottom w:val="single" w:sz="4" w:space="0" w:color="000000" w:themeColor="text1"/>
            </w:tcBorders>
            <w:shd w:val="clear" w:color="auto" w:fill="EEEEEF" w:themeFill="accent4"/>
            <w:noWrap/>
          </w:tcPr>
          <w:p w14:paraId="15173DF0" w14:textId="77777777" w:rsidR="00265792" w:rsidRPr="00BA7805" w:rsidRDefault="00265792">
            <w:pPr>
              <w:pStyle w:val="ARfintablebodyright"/>
              <w:spacing w:before="24" w:after="12"/>
              <w:rPr>
                <w:highlight w:val="green"/>
              </w:rPr>
            </w:pPr>
            <w:r w:rsidRPr="00210A2D">
              <w:t>(513.5)</w:t>
            </w:r>
          </w:p>
        </w:tc>
        <w:tc>
          <w:tcPr>
            <w:tcW w:w="1361" w:type="dxa"/>
            <w:tcBorders>
              <w:top w:val="single" w:sz="4" w:space="0" w:color="A6A6A6" w:themeColor="accent5"/>
              <w:bottom w:val="single" w:sz="4" w:space="0" w:color="000000" w:themeColor="text1"/>
            </w:tcBorders>
            <w:noWrap/>
          </w:tcPr>
          <w:p w14:paraId="37AFE725" w14:textId="77777777" w:rsidR="00265792" w:rsidRPr="00BA7805" w:rsidRDefault="00265792">
            <w:pPr>
              <w:pStyle w:val="ARfintablebodyright"/>
              <w:spacing w:before="24" w:after="12"/>
              <w:rPr>
                <w:highlight w:val="green"/>
              </w:rPr>
            </w:pPr>
            <w:r w:rsidRPr="00210A2D">
              <w:t>(539.3)</w:t>
            </w:r>
          </w:p>
        </w:tc>
      </w:tr>
      <w:tr w:rsidR="00265792" w:rsidRPr="00BA7805" w14:paraId="6BAA4C35" w14:textId="77777777">
        <w:tc>
          <w:tcPr>
            <w:tcW w:w="6066" w:type="dxa"/>
            <w:tcBorders>
              <w:top w:val="single" w:sz="4" w:space="0" w:color="000000" w:themeColor="text1"/>
              <w:bottom w:val="single" w:sz="4" w:space="0" w:color="000000" w:themeColor="text1"/>
            </w:tcBorders>
          </w:tcPr>
          <w:p w14:paraId="1B7FCAED" w14:textId="77777777" w:rsidR="00265792" w:rsidRPr="00BA7805" w:rsidRDefault="00265792">
            <w:pPr>
              <w:pStyle w:val="ARfintablebodybold"/>
              <w:rPr>
                <w:highlight w:val="green"/>
              </w:rPr>
            </w:pPr>
            <w:r w:rsidRPr="00210A2D">
              <w:t>Total payments</w:t>
            </w:r>
          </w:p>
        </w:tc>
        <w:tc>
          <w:tcPr>
            <w:tcW w:w="851" w:type="dxa"/>
            <w:tcBorders>
              <w:top w:val="single" w:sz="4" w:space="0" w:color="000000" w:themeColor="text1"/>
              <w:bottom w:val="single" w:sz="4" w:space="0" w:color="000000" w:themeColor="text1"/>
            </w:tcBorders>
          </w:tcPr>
          <w:p w14:paraId="1098A2B8" w14:textId="77777777" w:rsidR="00265792" w:rsidRPr="00BA7805" w:rsidRDefault="00265792">
            <w:pPr>
              <w:pStyle w:val="ARfintablebodyright"/>
              <w:spacing w:before="24" w:after="12"/>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4AA71E4C" w14:textId="77777777" w:rsidR="00265792" w:rsidRPr="00BA7805" w:rsidRDefault="00265792">
            <w:pPr>
              <w:pStyle w:val="ARfintablebodyrightbold"/>
              <w:rPr>
                <w:highlight w:val="green"/>
              </w:rPr>
            </w:pPr>
            <w:r w:rsidRPr="00210A2D">
              <w:t>(7,</w:t>
            </w:r>
            <w:r>
              <w:t>431</w:t>
            </w:r>
            <w:r w:rsidRPr="00210A2D">
              <w:t>.</w:t>
            </w:r>
            <w:r>
              <w:t>1</w:t>
            </w:r>
            <w:r w:rsidRPr="00210A2D">
              <w:t>)</w:t>
            </w:r>
          </w:p>
        </w:tc>
        <w:tc>
          <w:tcPr>
            <w:tcW w:w="1361" w:type="dxa"/>
            <w:tcBorders>
              <w:top w:val="single" w:sz="4" w:space="0" w:color="000000" w:themeColor="text1"/>
              <w:bottom w:val="single" w:sz="4" w:space="0" w:color="000000" w:themeColor="text1"/>
            </w:tcBorders>
            <w:noWrap/>
          </w:tcPr>
          <w:p w14:paraId="08421EF5" w14:textId="77777777" w:rsidR="00265792" w:rsidRPr="00BA7805" w:rsidRDefault="00265792">
            <w:pPr>
              <w:pStyle w:val="ARfintablebodyrightbold"/>
              <w:rPr>
                <w:highlight w:val="green"/>
              </w:rPr>
            </w:pPr>
            <w:r w:rsidRPr="00210A2D">
              <w:t>(</w:t>
            </w:r>
            <w:r>
              <w:t>6,473.1</w:t>
            </w:r>
            <w:r w:rsidRPr="00210A2D">
              <w:t>)</w:t>
            </w:r>
          </w:p>
        </w:tc>
      </w:tr>
      <w:tr w:rsidR="00265792" w:rsidRPr="00BA7805" w14:paraId="5E8AAAC4" w14:textId="77777777">
        <w:tc>
          <w:tcPr>
            <w:tcW w:w="6066" w:type="dxa"/>
            <w:tcBorders>
              <w:top w:val="single" w:sz="4" w:space="0" w:color="000000" w:themeColor="text1"/>
              <w:bottom w:val="single" w:sz="4" w:space="0" w:color="000000" w:themeColor="text1"/>
            </w:tcBorders>
          </w:tcPr>
          <w:p w14:paraId="7F3A77B9" w14:textId="77777777" w:rsidR="00265792" w:rsidRPr="00BA7805" w:rsidRDefault="00265792">
            <w:pPr>
              <w:pStyle w:val="ARfintablebodybold"/>
              <w:rPr>
                <w:highlight w:val="green"/>
              </w:rPr>
            </w:pPr>
            <w:r w:rsidRPr="00210A2D">
              <w:t>Net cash flows from</w:t>
            </w:r>
            <w:proofErr w:type="gramStart"/>
            <w:r w:rsidRPr="00210A2D">
              <w:t>/(</w:t>
            </w:r>
            <w:proofErr w:type="gramEnd"/>
            <w:r w:rsidRPr="00210A2D">
              <w:t>used in) operating activities</w:t>
            </w:r>
          </w:p>
        </w:tc>
        <w:tc>
          <w:tcPr>
            <w:tcW w:w="851" w:type="dxa"/>
            <w:tcBorders>
              <w:top w:val="single" w:sz="4" w:space="0" w:color="000000" w:themeColor="text1"/>
              <w:bottom w:val="single" w:sz="4" w:space="0" w:color="000000" w:themeColor="text1"/>
            </w:tcBorders>
          </w:tcPr>
          <w:p w14:paraId="010FF8C2" w14:textId="77777777" w:rsidR="00265792" w:rsidRPr="00BA7805" w:rsidRDefault="00265792">
            <w:pPr>
              <w:pStyle w:val="ARfintablebodyright"/>
              <w:spacing w:before="24" w:after="12"/>
              <w:rPr>
                <w:highlight w:val="green"/>
              </w:rPr>
            </w:pPr>
            <w:r w:rsidRPr="00210A2D">
              <w:t>7.3.1</w:t>
            </w:r>
          </w:p>
        </w:tc>
        <w:tc>
          <w:tcPr>
            <w:tcW w:w="1361" w:type="dxa"/>
            <w:tcBorders>
              <w:top w:val="single" w:sz="4" w:space="0" w:color="000000" w:themeColor="text1"/>
              <w:bottom w:val="single" w:sz="4" w:space="0" w:color="000000" w:themeColor="text1"/>
            </w:tcBorders>
            <w:shd w:val="clear" w:color="auto" w:fill="EEEEEF" w:themeFill="accent4"/>
            <w:noWrap/>
          </w:tcPr>
          <w:p w14:paraId="5CC6EA64" w14:textId="77777777" w:rsidR="00265792" w:rsidRPr="00BA7805" w:rsidRDefault="00265792">
            <w:pPr>
              <w:pStyle w:val="ARfintablebodyrightbold"/>
              <w:rPr>
                <w:highlight w:val="green"/>
              </w:rPr>
            </w:pPr>
            <w:r>
              <w:t>333.7</w:t>
            </w:r>
          </w:p>
        </w:tc>
        <w:tc>
          <w:tcPr>
            <w:tcW w:w="1361" w:type="dxa"/>
            <w:tcBorders>
              <w:top w:val="single" w:sz="4" w:space="0" w:color="000000" w:themeColor="text1"/>
              <w:bottom w:val="single" w:sz="4" w:space="0" w:color="000000" w:themeColor="text1"/>
            </w:tcBorders>
            <w:noWrap/>
          </w:tcPr>
          <w:p w14:paraId="561AD5D8" w14:textId="77777777" w:rsidR="00265792" w:rsidRPr="00BA7805" w:rsidRDefault="00265792">
            <w:pPr>
              <w:pStyle w:val="ARfintablebodyrightbold"/>
              <w:rPr>
                <w:highlight w:val="green"/>
              </w:rPr>
            </w:pPr>
            <w:r w:rsidRPr="00210A2D">
              <w:t>(</w:t>
            </w:r>
            <w:r>
              <w:t>103.2</w:t>
            </w:r>
            <w:r w:rsidRPr="00210A2D">
              <w:t>)</w:t>
            </w:r>
          </w:p>
        </w:tc>
      </w:tr>
      <w:tr w:rsidR="00265792" w:rsidRPr="00BA7805" w14:paraId="5406CC57" w14:textId="77777777">
        <w:tc>
          <w:tcPr>
            <w:tcW w:w="6066" w:type="dxa"/>
            <w:tcBorders>
              <w:top w:val="single" w:sz="4" w:space="0" w:color="000000" w:themeColor="text1"/>
              <w:bottom w:val="single" w:sz="4" w:space="0" w:color="A6A6A6" w:themeColor="accent5"/>
            </w:tcBorders>
          </w:tcPr>
          <w:p w14:paraId="08C5FF3E" w14:textId="77777777" w:rsidR="00265792" w:rsidRPr="00BA7805" w:rsidRDefault="00265792">
            <w:pPr>
              <w:pStyle w:val="ARfintablebodyboldcoloured"/>
              <w:rPr>
                <w:highlight w:val="green"/>
              </w:rPr>
            </w:pPr>
            <w:r w:rsidRPr="00210A2D">
              <w:t>Cash flows from investing activities</w:t>
            </w:r>
          </w:p>
        </w:tc>
        <w:tc>
          <w:tcPr>
            <w:tcW w:w="851" w:type="dxa"/>
            <w:tcBorders>
              <w:top w:val="single" w:sz="4" w:space="0" w:color="000000" w:themeColor="text1"/>
              <w:bottom w:val="single" w:sz="4" w:space="0" w:color="A6A6A6" w:themeColor="accent5"/>
            </w:tcBorders>
          </w:tcPr>
          <w:p w14:paraId="2EDD9F6D" w14:textId="77777777" w:rsidR="00265792" w:rsidRPr="00BA7805" w:rsidRDefault="00265792">
            <w:pPr>
              <w:pStyle w:val="ARfintablebodyright"/>
              <w:spacing w:before="24" w:after="12"/>
              <w:rPr>
                <w:highlight w:val="green"/>
              </w:rPr>
            </w:pPr>
          </w:p>
        </w:tc>
        <w:tc>
          <w:tcPr>
            <w:tcW w:w="1361" w:type="dxa"/>
            <w:tcBorders>
              <w:top w:val="single" w:sz="4" w:space="0" w:color="000000" w:themeColor="text1"/>
              <w:bottom w:val="single" w:sz="4" w:space="0" w:color="A6A6A6" w:themeColor="accent5"/>
            </w:tcBorders>
            <w:noWrap/>
          </w:tcPr>
          <w:p w14:paraId="0739F164" w14:textId="77777777" w:rsidR="00265792" w:rsidRPr="00BA7805" w:rsidRDefault="00265792">
            <w:pPr>
              <w:pStyle w:val="ARfintablebodyrightbold"/>
              <w:spacing w:before="24" w:after="12"/>
              <w:rPr>
                <w:highlight w:val="green"/>
              </w:rPr>
            </w:pPr>
          </w:p>
        </w:tc>
        <w:tc>
          <w:tcPr>
            <w:tcW w:w="1361" w:type="dxa"/>
            <w:tcBorders>
              <w:top w:val="single" w:sz="4" w:space="0" w:color="000000" w:themeColor="text1"/>
              <w:bottom w:val="single" w:sz="4" w:space="0" w:color="A6A6A6" w:themeColor="accent5"/>
            </w:tcBorders>
            <w:noWrap/>
          </w:tcPr>
          <w:p w14:paraId="54EE462B" w14:textId="77777777" w:rsidR="00265792" w:rsidRPr="00BA7805" w:rsidRDefault="00265792">
            <w:pPr>
              <w:pStyle w:val="ARfintablebodyrightbold"/>
              <w:spacing w:before="24" w:after="12"/>
              <w:rPr>
                <w:highlight w:val="green"/>
              </w:rPr>
            </w:pPr>
          </w:p>
        </w:tc>
      </w:tr>
      <w:tr w:rsidR="00265792" w:rsidRPr="00BA7805" w14:paraId="60A63A0E" w14:textId="77777777">
        <w:trPr>
          <w:trHeight w:val="222"/>
        </w:trPr>
        <w:tc>
          <w:tcPr>
            <w:tcW w:w="6066" w:type="dxa"/>
            <w:tcBorders>
              <w:top w:val="single" w:sz="4" w:space="0" w:color="A6A6A6" w:themeColor="accent5"/>
            </w:tcBorders>
          </w:tcPr>
          <w:p w14:paraId="23DA14F3" w14:textId="77777777" w:rsidR="00265792" w:rsidRPr="00BA7805" w:rsidRDefault="00265792">
            <w:pPr>
              <w:pStyle w:val="ARfintablebody"/>
              <w:rPr>
                <w:highlight w:val="green"/>
              </w:rPr>
            </w:pPr>
            <w:r w:rsidRPr="00210A2D">
              <w:t>Proceeds from the sale of non-financial assets</w:t>
            </w:r>
          </w:p>
        </w:tc>
        <w:tc>
          <w:tcPr>
            <w:tcW w:w="851" w:type="dxa"/>
            <w:tcBorders>
              <w:top w:val="single" w:sz="4" w:space="0" w:color="A6A6A6" w:themeColor="accent5"/>
            </w:tcBorders>
          </w:tcPr>
          <w:p w14:paraId="006284F9" w14:textId="77777777" w:rsidR="00265792" w:rsidRPr="00BA7805" w:rsidRDefault="00265792">
            <w:pPr>
              <w:pStyle w:val="ARfintablebodyright"/>
              <w:spacing w:before="24" w:after="12"/>
              <w:rPr>
                <w:b/>
                <w:bCs/>
                <w:highlight w:val="green"/>
              </w:rPr>
            </w:pPr>
          </w:p>
        </w:tc>
        <w:tc>
          <w:tcPr>
            <w:tcW w:w="1361" w:type="dxa"/>
            <w:tcBorders>
              <w:top w:val="single" w:sz="4" w:space="0" w:color="A6A6A6" w:themeColor="accent5"/>
            </w:tcBorders>
            <w:shd w:val="clear" w:color="auto" w:fill="EEEEEF" w:themeFill="accent4"/>
            <w:noWrap/>
          </w:tcPr>
          <w:p w14:paraId="5E93FE00" w14:textId="77777777" w:rsidR="00265792" w:rsidRPr="002C7359" w:rsidRDefault="00265792">
            <w:pPr>
              <w:pStyle w:val="ARfintablebodyrightbold"/>
              <w:spacing w:before="24" w:after="12"/>
              <w:rPr>
                <w:b w:val="0"/>
                <w:bCs/>
                <w:highlight w:val="green"/>
              </w:rPr>
            </w:pPr>
            <w:r w:rsidRPr="002C7359">
              <w:rPr>
                <w:b w:val="0"/>
                <w:bCs/>
              </w:rPr>
              <w:t>105.5</w:t>
            </w:r>
          </w:p>
        </w:tc>
        <w:tc>
          <w:tcPr>
            <w:tcW w:w="1361" w:type="dxa"/>
            <w:tcBorders>
              <w:top w:val="single" w:sz="4" w:space="0" w:color="A6A6A6" w:themeColor="accent5"/>
            </w:tcBorders>
            <w:noWrap/>
          </w:tcPr>
          <w:p w14:paraId="6E843305" w14:textId="77777777" w:rsidR="00265792" w:rsidRPr="002C7359" w:rsidRDefault="00265792">
            <w:pPr>
              <w:pStyle w:val="ARfintablebodyrightbold"/>
              <w:spacing w:before="24" w:after="12"/>
              <w:rPr>
                <w:b w:val="0"/>
                <w:bCs/>
                <w:highlight w:val="green"/>
              </w:rPr>
            </w:pPr>
            <w:r w:rsidRPr="002C7359">
              <w:rPr>
                <w:b w:val="0"/>
                <w:bCs/>
              </w:rPr>
              <w:t>302.5</w:t>
            </w:r>
          </w:p>
        </w:tc>
      </w:tr>
      <w:tr w:rsidR="00265792" w:rsidRPr="00BA7805" w14:paraId="1DFFD88F" w14:textId="77777777">
        <w:tc>
          <w:tcPr>
            <w:tcW w:w="6066" w:type="dxa"/>
          </w:tcPr>
          <w:p w14:paraId="640E1302" w14:textId="77777777" w:rsidR="00265792" w:rsidRPr="00BA7805" w:rsidRDefault="00265792">
            <w:pPr>
              <w:pStyle w:val="ARfintablebody"/>
              <w:rPr>
                <w:highlight w:val="green"/>
              </w:rPr>
            </w:pPr>
            <w:r w:rsidRPr="00210A2D">
              <w:t>Payments for non-financial assets</w:t>
            </w:r>
            <w:r>
              <w:t xml:space="preserve"> </w:t>
            </w:r>
            <w:r>
              <w:rPr>
                <w:vertAlign w:val="superscript"/>
              </w:rPr>
              <w:t>(ii)</w:t>
            </w:r>
          </w:p>
        </w:tc>
        <w:tc>
          <w:tcPr>
            <w:tcW w:w="851" w:type="dxa"/>
          </w:tcPr>
          <w:p w14:paraId="0AFC3176" w14:textId="77777777" w:rsidR="00265792" w:rsidRPr="00BA7805" w:rsidRDefault="00265792">
            <w:pPr>
              <w:pStyle w:val="ARfintablebodyright"/>
              <w:spacing w:before="24" w:after="12"/>
              <w:rPr>
                <w:highlight w:val="green"/>
              </w:rPr>
            </w:pPr>
          </w:p>
        </w:tc>
        <w:tc>
          <w:tcPr>
            <w:tcW w:w="1361" w:type="dxa"/>
            <w:shd w:val="clear" w:color="auto" w:fill="EEEEEF" w:themeFill="accent4"/>
            <w:noWrap/>
          </w:tcPr>
          <w:p w14:paraId="08022767" w14:textId="77777777" w:rsidR="00265792" w:rsidRPr="00BA7805" w:rsidRDefault="00265792">
            <w:pPr>
              <w:pStyle w:val="ARfintablebodyright"/>
              <w:spacing w:before="24" w:after="12"/>
              <w:rPr>
                <w:highlight w:val="green"/>
              </w:rPr>
            </w:pPr>
            <w:r w:rsidRPr="00210A2D">
              <w:t>(865.3)</w:t>
            </w:r>
          </w:p>
        </w:tc>
        <w:tc>
          <w:tcPr>
            <w:tcW w:w="1361" w:type="dxa"/>
            <w:noWrap/>
          </w:tcPr>
          <w:p w14:paraId="55AE6259" w14:textId="10558DA5" w:rsidR="00265792" w:rsidRPr="00BA7805" w:rsidRDefault="00265792">
            <w:pPr>
              <w:pStyle w:val="ARfintablebodyright"/>
              <w:spacing w:before="24" w:after="12"/>
              <w:rPr>
                <w:highlight w:val="green"/>
              </w:rPr>
            </w:pPr>
            <w:r w:rsidRPr="00210A2D">
              <w:t>(1,051.</w:t>
            </w:r>
            <w:r w:rsidR="00DA183E">
              <w:t>6</w:t>
            </w:r>
            <w:r w:rsidRPr="00210A2D">
              <w:t>)</w:t>
            </w:r>
          </w:p>
        </w:tc>
      </w:tr>
      <w:tr w:rsidR="00265792" w:rsidRPr="00BA7805" w14:paraId="4C8307AA" w14:textId="77777777">
        <w:tc>
          <w:tcPr>
            <w:tcW w:w="6066" w:type="dxa"/>
            <w:tcBorders>
              <w:bottom w:val="single" w:sz="4" w:space="0" w:color="A6A6A6" w:themeColor="accent5"/>
            </w:tcBorders>
          </w:tcPr>
          <w:p w14:paraId="7B23B2D3" w14:textId="77777777" w:rsidR="00265792" w:rsidRPr="00BA7805" w:rsidRDefault="00265792">
            <w:pPr>
              <w:pStyle w:val="ARfintablebody"/>
              <w:rPr>
                <w:highlight w:val="green"/>
              </w:rPr>
            </w:pPr>
            <w:r w:rsidRPr="00210A2D">
              <w:t>Client loans granted</w:t>
            </w:r>
          </w:p>
        </w:tc>
        <w:tc>
          <w:tcPr>
            <w:tcW w:w="851" w:type="dxa"/>
            <w:tcBorders>
              <w:bottom w:val="single" w:sz="4" w:space="0" w:color="A6A6A6" w:themeColor="accent5"/>
            </w:tcBorders>
          </w:tcPr>
          <w:p w14:paraId="2390306E" w14:textId="77777777" w:rsidR="00265792" w:rsidRPr="00BA7805" w:rsidRDefault="00265792">
            <w:pPr>
              <w:pStyle w:val="ARfintablebodyright"/>
              <w:spacing w:before="24" w:after="12"/>
              <w:rPr>
                <w:highlight w:val="green"/>
              </w:rPr>
            </w:pPr>
          </w:p>
        </w:tc>
        <w:tc>
          <w:tcPr>
            <w:tcW w:w="1361" w:type="dxa"/>
            <w:tcBorders>
              <w:bottom w:val="single" w:sz="4" w:space="0" w:color="A6A6A6" w:themeColor="accent5"/>
            </w:tcBorders>
            <w:shd w:val="clear" w:color="auto" w:fill="EEEEEF" w:themeFill="accent4"/>
            <w:noWrap/>
          </w:tcPr>
          <w:p w14:paraId="6D9EB577" w14:textId="77777777" w:rsidR="00265792" w:rsidRPr="00BA7805" w:rsidRDefault="00265792">
            <w:pPr>
              <w:pStyle w:val="ARfintablebodyright"/>
              <w:spacing w:before="24" w:after="12"/>
              <w:rPr>
                <w:highlight w:val="green"/>
              </w:rPr>
            </w:pPr>
            <w:r w:rsidRPr="00210A2D">
              <w:t>(38.9)</w:t>
            </w:r>
          </w:p>
        </w:tc>
        <w:tc>
          <w:tcPr>
            <w:tcW w:w="1361" w:type="dxa"/>
            <w:tcBorders>
              <w:bottom w:val="single" w:sz="4" w:space="0" w:color="A6A6A6" w:themeColor="accent5"/>
            </w:tcBorders>
            <w:noWrap/>
          </w:tcPr>
          <w:p w14:paraId="7CA47756" w14:textId="77777777" w:rsidR="00265792" w:rsidRPr="00BA7805" w:rsidRDefault="00265792">
            <w:pPr>
              <w:pStyle w:val="ARfintablebodyright"/>
              <w:spacing w:before="24" w:after="12"/>
              <w:rPr>
                <w:highlight w:val="green"/>
              </w:rPr>
            </w:pPr>
            <w:r>
              <w:t>–</w:t>
            </w:r>
          </w:p>
        </w:tc>
      </w:tr>
      <w:tr w:rsidR="00265792" w:rsidRPr="00BA7805" w14:paraId="2DC8405B" w14:textId="77777777">
        <w:tc>
          <w:tcPr>
            <w:tcW w:w="6066" w:type="dxa"/>
            <w:tcBorders>
              <w:top w:val="single" w:sz="4" w:space="0" w:color="A6A6A6" w:themeColor="accent5"/>
              <w:bottom w:val="single" w:sz="4" w:space="0" w:color="000000" w:themeColor="text1"/>
            </w:tcBorders>
          </w:tcPr>
          <w:p w14:paraId="59C9F47A" w14:textId="77777777" w:rsidR="00265792" w:rsidRPr="00BA7805" w:rsidRDefault="00265792">
            <w:pPr>
              <w:pStyle w:val="ARfintablebody"/>
              <w:rPr>
                <w:highlight w:val="green"/>
              </w:rPr>
            </w:pPr>
            <w:r w:rsidRPr="00210A2D">
              <w:t>Repayments of loans from other parties</w:t>
            </w:r>
          </w:p>
        </w:tc>
        <w:tc>
          <w:tcPr>
            <w:tcW w:w="851" w:type="dxa"/>
            <w:tcBorders>
              <w:top w:val="single" w:sz="4" w:space="0" w:color="A6A6A6" w:themeColor="accent5"/>
              <w:bottom w:val="single" w:sz="4" w:space="0" w:color="000000" w:themeColor="text1"/>
            </w:tcBorders>
          </w:tcPr>
          <w:p w14:paraId="33B4BF7E" w14:textId="77777777" w:rsidR="00265792" w:rsidRPr="00BA7805" w:rsidRDefault="00265792">
            <w:pPr>
              <w:pStyle w:val="ARfintablebodyright"/>
              <w:spacing w:before="24" w:after="12"/>
              <w:rPr>
                <w:highlight w:val="green"/>
              </w:rPr>
            </w:pPr>
          </w:p>
        </w:tc>
        <w:tc>
          <w:tcPr>
            <w:tcW w:w="1361" w:type="dxa"/>
            <w:tcBorders>
              <w:top w:val="single" w:sz="4" w:space="0" w:color="A6A6A6" w:themeColor="accent5"/>
              <w:bottom w:val="single" w:sz="4" w:space="0" w:color="000000" w:themeColor="text1"/>
            </w:tcBorders>
            <w:shd w:val="clear" w:color="auto" w:fill="EEEEEF" w:themeFill="accent4"/>
            <w:noWrap/>
          </w:tcPr>
          <w:p w14:paraId="38231014" w14:textId="77777777" w:rsidR="00265792" w:rsidRPr="00BA7805" w:rsidRDefault="00265792">
            <w:pPr>
              <w:pStyle w:val="ARfintablebodyright"/>
              <w:spacing w:before="24" w:after="12"/>
              <w:rPr>
                <w:highlight w:val="green"/>
              </w:rPr>
            </w:pPr>
            <w:r w:rsidRPr="00210A2D">
              <w:t>0.4</w:t>
            </w:r>
          </w:p>
        </w:tc>
        <w:tc>
          <w:tcPr>
            <w:tcW w:w="1361" w:type="dxa"/>
            <w:tcBorders>
              <w:top w:val="single" w:sz="4" w:space="0" w:color="A6A6A6" w:themeColor="accent5"/>
              <w:bottom w:val="single" w:sz="4" w:space="0" w:color="000000" w:themeColor="text1"/>
            </w:tcBorders>
            <w:noWrap/>
          </w:tcPr>
          <w:p w14:paraId="342C97CC" w14:textId="77777777" w:rsidR="00265792" w:rsidRPr="00BA7805" w:rsidRDefault="00265792">
            <w:pPr>
              <w:pStyle w:val="ARfintablebodyright"/>
              <w:spacing w:before="24" w:after="12"/>
              <w:rPr>
                <w:highlight w:val="green"/>
              </w:rPr>
            </w:pPr>
            <w:r w:rsidRPr="00210A2D">
              <w:t>1.8</w:t>
            </w:r>
          </w:p>
        </w:tc>
      </w:tr>
      <w:tr w:rsidR="00265792" w:rsidRPr="00BA7805" w14:paraId="4B298218" w14:textId="77777777">
        <w:tc>
          <w:tcPr>
            <w:tcW w:w="6066" w:type="dxa"/>
            <w:tcBorders>
              <w:top w:val="single" w:sz="4" w:space="0" w:color="000000" w:themeColor="text1"/>
              <w:bottom w:val="single" w:sz="4" w:space="0" w:color="000000" w:themeColor="text1"/>
            </w:tcBorders>
          </w:tcPr>
          <w:p w14:paraId="7659B554" w14:textId="77777777" w:rsidR="00265792" w:rsidRPr="00BA7805" w:rsidRDefault="00265792">
            <w:pPr>
              <w:pStyle w:val="ARfintablebodybold"/>
              <w:rPr>
                <w:highlight w:val="green"/>
              </w:rPr>
            </w:pPr>
            <w:r w:rsidRPr="00210A2D">
              <w:t>Net cash flows from</w:t>
            </w:r>
            <w:proofErr w:type="gramStart"/>
            <w:r w:rsidRPr="00210A2D">
              <w:t>/(</w:t>
            </w:r>
            <w:proofErr w:type="gramEnd"/>
            <w:r w:rsidRPr="00210A2D">
              <w:t>used in) investing activities</w:t>
            </w:r>
          </w:p>
        </w:tc>
        <w:tc>
          <w:tcPr>
            <w:tcW w:w="851" w:type="dxa"/>
            <w:tcBorders>
              <w:top w:val="single" w:sz="4" w:space="0" w:color="000000" w:themeColor="text1"/>
              <w:bottom w:val="single" w:sz="4" w:space="0" w:color="000000" w:themeColor="text1"/>
            </w:tcBorders>
          </w:tcPr>
          <w:p w14:paraId="6A8E4249" w14:textId="77777777" w:rsidR="00265792" w:rsidRPr="00BA7805" w:rsidRDefault="00265792">
            <w:pPr>
              <w:pStyle w:val="ARfintablebodyright"/>
              <w:spacing w:before="24" w:after="12"/>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6E91E493" w14:textId="77777777" w:rsidR="00265792" w:rsidRPr="000010E5" w:rsidRDefault="00265792">
            <w:pPr>
              <w:pStyle w:val="ARfintablebodyrightbold"/>
              <w:rPr>
                <w:highlight w:val="green"/>
              </w:rPr>
            </w:pPr>
            <w:r w:rsidRPr="000010E5">
              <w:t>(798.3)</w:t>
            </w:r>
          </w:p>
        </w:tc>
        <w:tc>
          <w:tcPr>
            <w:tcW w:w="1361" w:type="dxa"/>
            <w:tcBorders>
              <w:top w:val="single" w:sz="4" w:space="0" w:color="000000" w:themeColor="text1"/>
              <w:bottom w:val="single" w:sz="4" w:space="0" w:color="000000" w:themeColor="text1"/>
            </w:tcBorders>
            <w:noWrap/>
          </w:tcPr>
          <w:p w14:paraId="6DFAD77B" w14:textId="77777777" w:rsidR="00265792" w:rsidRPr="000010E5" w:rsidRDefault="00265792">
            <w:pPr>
              <w:pStyle w:val="ARfintablebodyrightbold"/>
              <w:rPr>
                <w:highlight w:val="green"/>
              </w:rPr>
            </w:pPr>
            <w:r w:rsidRPr="000010E5">
              <w:t>(747.3)</w:t>
            </w:r>
          </w:p>
        </w:tc>
      </w:tr>
      <w:tr w:rsidR="00265792" w:rsidRPr="00BA7805" w14:paraId="6C72F941" w14:textId="77777777">
        <w:tc>
          <w:tcPr>
            <w:tcW w:w="6066" w:type="dxa"/>
            <w:tcBorders>
              <w:top w:val="single" w:sz="4" w:space="0" w:color="000000" w:themeColor="text1"/>
              <w:bottom w:val="single" w:sz="4" w:space="0" w:color="A6A6A6" w:themeColor="accent5"/>
            </w:tcBorders>
          </w:tcPr>
          <w:p w14:paraId="1270A8AA" w14:textId="77777777" w:rsidR="00265792" w:rsidRPr="00BA7805" w:rsidRDefault="00265792">
            <w:pPr>
              <w:pStyle w:val="ARfintablebodyboldcoloured"/>
              <w:rPr>
                <w:highlight w:val="green"/>
              </w:rPr>
            </w:pPr>
            <w:r w:rsidRPr="00210A2D">
              <w:t>Cash flows from financing activities</w:t>
            </w:r>
          </w:p>
        </w:tc>
        <w:tc>
          <w:tcPr>
            <w:tcW w:w="851" w:type="dxa"/>
            <w:tcBorders>
              <w:top w:val="single" w:sz="4" w:space="0" w:color="000000" w:themeColor="text1"/>
              <w:bottom w:val="single" w:sz="4" w:space="0" w:color="A6A6A6" w:themeColor="accent5"/>
            </w:tcBorders>
          </w:tcPr>
          <w:p w14:paraId="0703425A" w14:textId="77777777" w:rsidR="00265792" w:rsidRPr="00BA7805" w:rsidRDefault="00265792">
            <w:pPr>
              <w:pStyle w:val="ARfintablebodyright"/>
              <w:spacing w:before="24" w:after="12"/>
              <w:rPr>
                <w:highlight w:val="green"/>
              </w:rPr>
            </w:pPr>
          </w:p>
        </w:tc>
        <w:tc>
          <w:tcPr>
            <w:tcW w:w="1361" w:type="dxa"/>
            <w:tcBorders>
              <w:top w:val="single" w:sz="4" w:space="0" w:color="000000" w:themeColor="text1"/>
              <w:bottom w:val="single" w:sz="4" w:space="0" w:color="A6A6A6" w:themeColor="accent5"/>
            </w:tcBorders>
            <w:noWrap/>
          </w:tcPr>
          <w:p w14:paraId="231519D7" w14:textId="77777777" w:rsidR="00265792" w:rsidRPr="00BA7805" w:rsidRDefault="00265792">
            <w:pPr>
              <w:pStyle w:val="ARfintablebodyright"/>
              <w:spacing w:before="24" w:after="12"/>
              <w:rPr>
                <w:highlight w:val="green"/>
              </w:rPr>
            </w:pPr>
          </w:p>
        </w:tc>
        <w:tc>
          <w:tcPr>
            <w:tcW w:w="1361" w:type="dxa"/>
            <w:tcBorders>
              <w:top w:val="single" w:sz="4" w:space="0" w:color="000000" w:themeColor="text1"/>
              <w:bottom w:val="single" w:sz="4" w:space="0" w:color="A6A6A6" w:themeColor="accent5"/>
            </w:tcBorders>
            <w:noWrap/>
          </w:tcPr>
          <w:p w14:paraId="7B8D07D9" w14:textId="77777777" w:rsidR="00265792" w:rsidRPr="00BA7805" w:rsidRDefault="00265792">
            <w:pPr>
              <w:pStyle w:val="ARfintablebodyright"/>
              <w:spacing w:before="24" w:after="12"/>
              <w:rPr>
                <w:highlight w:val="green"/>
              </w:rPr>
            </w:pPr>
          </w:p>
        </w:tc>
      </w:tr>
      <w:tr w:rsidR="00265792" w:rsidRPr="00BA7805" w14:paraId="03441D5B" w14:textId="77777777">
        <w:tc>
          <w:tcPr>
            <w:tcW w:w="6066" w:type="dxa"/>
            <w:tcBorders>
              <w:top w:val="single" w:sz="4" w:space="0" w:color="A6A6A6" w:themeColor="accent5"/>
              <w:bottom w:val="single" w:sz="4" w:space="0" w:color="A6A6A6" w:themeColor="accent5"/>
            </w:tcBorders>
          </w:tcPr>
          <w:p w14:paraId="11D12256" w14:textId="77777777" w:rsidR="00265792" w:rsidRPr="00BA7805" w:rsidRDefault="00265792">
            <w:pPr>
              <w:pStyle w:val="ARfintablebody"/>
              <w:rPr>
                <w:highlight w:val="green"/>
              </w:rPr>
            </w:pPr>
            <w:r>
              <w:t>R</w:t>
            </w:r>
            <w:r w:rsidRPr="00210A2D">
              <w:t>eceipts / (payments) for advances</w:t>
            </w:r>
          </w:p>
        </w:tc>
        <w:tc>
          <w:tcPr>
            <w:tcW w:w="851" w:type="dxa"/>
            <w:tcBorders>
              <w:top w:val="single" w:sz="4" w:space="0" w:color="A6A6A6" w:themeColor="accent5"/>
              <w:bottom w:val="single" w:sz="4" w:space="0" w:color="A6A6A6" w:themeColor="accent5"/>
            </w:tcBorders>
          </w:tcPr>
          <w:p w14:paraId="1F1EEA20" w14:textId="77777777" w:rsidR="00265792" w:rsidRPr="00BA7805" w:rsidRDefault="00265792">
            <w:pPr>
              <w:pStyle w:val="ARfintablebodyright"/>
              <w:spacing w:before="24" w:after="12"/>
              <w:rPr>
                <w:highlight w:val="green"/>
              </w:rPr>
            </w:pPr>
          </w:p>
        </w:tc>
        <w:tc>
          <w:tcPr>
            <w:tcW w:w="1361" w:type="dxa"/>
            <w:tcBorders>
              <w:top w:val="single" w:sz="4" w:space="0" w:color="A6A6A6" w:themeColor="accent5"/>
              <w:bottom w:val="single" w:sz="4" w:space="0" w:color="A6A6A6" w:themeColor="accent5"/>
            </w:tcBorders>
            <w:shd w:val="clear" w:color="auto" w:fill="EEEEEF" w:themeFill="accent4"/>
            <w:noWrap/>
          </w:tcPr>
          <w:p w14:paraId="00089FE7" w14:textId="77777777" w:rsidR="00265792" w:rsidRPr="00BA7805" w:rsidRDefault="00265792">
            <w:pPr>
              <w:pStyle w:val="ARfintablebodyright"/>
              <w:spacing w:before="24" w:after="12"/>
              <w:rPr>
                <w:highlight w:val="green"/>
              </w:rPr>
            </w:pPr>
            <w:r w:rsidRPr="00210A2D">
              <w:t>(3.0)</w:t>
            </w:r>
          </w:p>
        </w:tc>
        <w:tc>
          <w:tcPr>
            <w:tcW w:w="1361" w:type="dxa"/>
            <w:tcBorders>
              <w:top w:val="single" w:sz="4" w:space="0" w:color="A6A6A6" w:themeColor="accent5"/>
              <w:bottom w:val="single" w:sz="4" w:space="0" w:color="A6A6A6" w:themeColor="accent5"/>
            </w:tcBorders>
            <w:noWrap/>
          </w:tcPr>
          <w:p w14:paraId="65EAFEF6" w14:textId="77777777" w:rsidR="00265792" w:rsidRPr="00BA7805" w:rsidRDefault="00265792">
            <w:pPr>
              <w:pStyle w:val="ARfintablebodyright"/>
              <w:spacing w:before="24" w:after="12"/>
              <w:rPr>
                <w:highlight w:val="green"/>
              </w:rPr>
            </w:pPr>
            <w:r w:rsidRPr="00210A2D">
              <w:t>(2.8)</w:t>
            </w:r>
          </w:p>
        </w:tc>
      </w:tr>
      <w:tr w:rsidR="00265792" w:rsidRPr="00BA7805" w14:paraId="286E8387" w14:textId="77777777">
        <w:tc>
          <w:tcPr>
            <w:tcW w:w="6066" w:type="dxa"/>
            <w:tcBorders>
              <w:top w:val="single" w:sz="4" w:space="0" w:color="A6A6A6" w:themeColor="accent5"/>
            </w:tcBorders>
          </w:tcPr>
          <w:p w14:paraId="6726E214" w14:textId="77777777" w:rsidR="00265792" w:rsidRPr="00BA7805" w:rsidRDefault="00265792">
            <w:pPr>
              <w:pStyle w:val="ARfintablebody"/>
              <w:rPr>
                <w:highlight w:val="green"/>
              </w:rPr>
            </w:pPr>
            <w:r w:rsidRPr="00210A2D">
              <w:t xml:space="preserve">Owner contributions by Victorian Government </w:t>
            </w:r>
            <w:r>
              <w:t>–</w:t>
            </w:r>
            <w:r w:rsidRPr="00210A2D">
              <w:t xml:space="preserve"> appropriation for capital expenditure purposes</w:t>
            </w:r>
          </w:p>
        </w:tc>
        <w:tc>
          <w:tcPr>
            <w:tcW w:w="851" w:type="dxa"/>
            <w:tcBorders>
              <w:top w:val="single" w:sz="4" w:space="0" w:color="A6A6A6" w:themeColor="accent5"/>
            </w:tcBorders>
          </w:tcPr>
          <w:p w14:paraId="59BC180C" w14:textId="77777777" w:rsidR="00265792" w:rsidRPr="00BA7805" w:rsidRDefault="00265792">
            <w:pPr>
              <w:pStyle w:val="ARfintablebodyright"/>
              <w:spacing w:before="24" w:after="12"/>
              <w:rPr>
                <w:highlight w:val="green"/>
              </w:rPr>
            </w:pPr>
          </w:p>
        </w:tc>
        <w:tc>
          <w:tcPr>
            <w:tcW w:w="1361" w:type="dxa"/>
            <w:tcBorders>
              <w:top w:val="single" w:sz="4" w:space="0" w:color="A6A6A6" w:themeColor="accent5"/>
            </w:tcBorders>
            <w:shd w:val="clear" w:color="auto" w:fill="EEEEEF" w:themeFill="accent4"/>
            <w:noWrap/>
          </w:tcPr>
          <w:p w14:paraId="1FF35BBA" w14:textId="77777777" w:rsidR="00265792" w:rsidRPr="00BA7805" w:rsidRDefault="00265792">
            <w:pPr>
              <w:pStyle w:val="ARfintablebodyright"/>
              <w:spacing w:before="24" w:after="12"/>
              <w:rPr>
                <w:highlight w:val="green"/>
              </w:rPr>
            </w:pPr>
            <w:r w:rsidRPr="00210A2D">
              <w:t>1,063.4</w:t>
            </w:r>
          </w:p>
        </w:tc>
        <w:tc>
          <w:tcPr>
            <w:tcW w:w="1361" w:type="dxa"/>
            <w:tcBorders>
              <w:top w:val="single" w:sz="4" w:space="0" w:color="A6A6A6" w:themeColor="accent5"/>
            </w:tcBorders>
            <w:noWrap/>
          </w:tcPr>
          <w:p w14:paraId="5612C077" w14:textId="77777777" w:rsidR="00265792" w:rsidRPr="00BA7805" w:rsidRDefault="00265792">
            <w:pPr>
              <w:pStyle w:val="ARfintablebodyright"/>
              <w:spacing w:before="24" w:after="12"/>
              <w:rPr>
                <w:highlight w:val="green"/>
              </w:rPr>
            </w:pPr>
            <w:r w:rsidRPr="00210A2D">
              <w:t>832.1</w:t>
            </w:r>
          </w:p>
        </w:tc>
      </w:tr>
      <w:tr w:rsidR="00265792" w:rsidRPr="00BA7805" w14:paraId="2A763A00" w14:textId="77777777">
        <w:tc>
          <w:tcPr>
            <w:tcW w:w="6066" w:type="dxa"/>
            <w:tcBorders>
              <w:bottom w:val="single" w:sz="4" w:space="0" w:color="A6A6A6" w:themeColor="accent5"/>
            </w:tcBorders>
          </w:tcPr>
          <w:p w14:paraId="32B893E8" w14:textId="77777777" w:rsidR="00265792" w:rsidRPr="00BA7805" w:rsidRDefault="00265792">
            <w:pPr>
              <w:pStyle w:val="ARfintablebody"/>
              <w:rPr>
                <w:highlight w:val="green"/>
              </w:rPr>
            </w:pPr>
            <w:r w:rsidRPr="00210A2D">
              <w:t>Payments of capital contributions</w:t>
            </w:r>
          </w:p>
        </w:tc>
        <w:tc>
          <w:tcPr>
            <w:tcW w:w="851" w:type="dxa"/>
            <w:tcBorders>
              <w:bottom w:val="single" w:sz="4" w:space="0" w:color="A6A6A6" w:themeColor="accent5"/>
            </w:tcBorders>
          </w:tcPr>
          <w:p w14:paraId="6E0EF828" w14:textId="77777777" w:rsidR="00265792" w:rsidRPr="00BA7805" w:rsidRDefault="00265792">
            <w:pPr>
              <w:pStyle w:val="ARfintablebodyright"/>
              <w:spacing w:before="24" w:after="12"/>
              <w:rPr>
                <w:highlight w:val="green"/>
              </w:rPr>
            </w:pPr>
          </w:p>
        </w:tc>
        <w:tc>
          <w:tcPr>
            <w:tcW w:w="1361" w:type="dxa"/>
            <w:tcBorders>
              <w:bottom w:val="single" w:sz="4" w:space="0" w:color="A6A6A6" w:themeColor="accent5"/>
            </w:tcBorders>
            <w:shd w:val="clear" w:color="auto" w:fill="EEEEEF" w:themeFill="accent4"/>
            <w:noWrap/>
          </w:tcPr>
          <w:p w14:paraId="4F52FE4E" w14:textId="77777777" w:rsidR="00265792" w:rsidRPr="00BA7805" w:rsidRDefault="00265792">
            <w:pPr>
              <w:pStyle w:val="ARfintablebodyright"/>
              <w:spacing w:before="24" w:after="12"/>
              <w:rPr>
                <w:highlight w:val="green"/>
              </w:rPr>
            </w:pPr>
            <w:r>
              <w:t>–</w:t>
            </w:r>
          </w:p>
        </w:tc>
        <w:tc>
          <w:tcPr>
            <w:tcW w:w="1361" w:type="dxa"/>
            <w:tcBorders>
              <w:bottom w:val="single" w:sz="4" w:space="0" w:color="A6A6A6" w:themeColor="accent5"/>
            </w:tcBorders>
            <w:noWrap/>
          </w:tcPr>
          <w:p w14:paraId="3DF2E634" w14:textId="77777777" w:rsidR="00265792" w:rsidRPr="00BA7805" w:rsidRDefault="00265792">
            <w:pPr>
              <w:pStyle w:val="ARfintablebodyright"/>
              <w:spacing w:before="24" w:after="12"/>
              <w:rPr>
                <w:highlight w:val="green"/>
              </w:rPr>
            </w:pPr>
            <w:r w:rsidRPr="00210A2D">
              <w:t>(0.9)</w:t>
            </w:r>
          </w:p>
        </w:tc>
      </w:tr>
      <w:tr w:rsidR="00265792" w:rsidRPr="00BA7805" w14:paraId="5EE39A0D" w14:textId="77777777">
        <w:tc>
          <w:tcPr>
            <w:tcW w:w="6066" w:type="dxa"/>
            <w:tcBorders>
              <w:top w:val="single" w:sz="4" w:space="0" w:color="A6A6A6" w:themeColor="accent5"/>
              <w:bottom w:val="single" w:sz="4" w:space="0" w:color="000000" w:themeColor="text1"/>
            </w:tcBorders>
          </w:tcPr>
          <w:p w14:paraId="149BD510" w14:textId="77777777" w:rsidR="00265792" w:rsidRPr="00BA7805" w:rsidRDefault="00265792">
            <w:pPr>
              <w:pStyle w:val="ARfintablebody"/>
              <w:rPr>
                <w:highlight w:val="green"/>
              </w:rPr>
            </w:pPr>
            <w:r w:rsidRPr="00210A2D">
              <w:t>Repayment / proceeds of borrowings and principal portion of lease liability</w:t>
            </w:r>
            <w:r>
              <w:rPr>
                <w:vertAlign w:val="superscript"/>
              </w:rPr>
              <w:t xml:space="preserve"> (ii)&amp;(iii)</w:t>
            </w:r>
          </w:p>
        </w:tc>
        <w:tc>
          <w:tcPr>
            <w:tcW w:w="851" w:type="dxa"/>
            <w:tcBorders>
              <w:top w:val="single" w:sz="4" w:space="0" w:color="A6A6A6" w:themeColor="accent5"/>
              <w:bottom w:val="single" w:sz="4" w:space="0" w:color="000000" w:themeColor="text1"/>
            </w:tcBorders>
          </w:tcPr>
          <w:p w14:paraId="39499018" w14:textId="77777777" w:rsidR="00265792" w:rsidRPr="00BA7805" w:rsidRDefault="00265792">
            <w:pPr>
              <w:pStyle w:val="ARfintablebodyright"/>
              <w:spacing w:before="24" w:after="12"/>
              <w:rPr>
                <w:highlight w:val="green"/>
              </w:rPr>
            </w:pPr>
          </w:p>
        </w:tc>
        <w:tc>
          <w:tcPr>
            <w:tcW w:w="1361" w:type="dxa"/>
            <w:tcBorders>
              <w:top w:val="single" w:sz="4" w:space="0" w:color="A6A6A6" w:themeColor="accent5"/>
              <w:bottom w:val="single" w:sz="4" w:space="0" w:color="000000" w:themeColor="text1"/>
            </w:tcBorders>
            <w:shd w:val="clear" w:color="auto" w:fill="EEEEEF" w:themeFill="accent4"/>
            <w:noWrap/>
          </w:tcPr>
          <w:p w14:paraId="5629B4EB" w14:textId="77777777" w:rsidR="00265792" w:rsidRPr="00BA7805" w:rsidRDefault="00265792">
            <w:pPr>
              <w:pStyle w:val="ARfintablebodyright"/>
              <w:spacing w:before="24" w:after="12"/>
              <w:rPr>
                <w:highlight w:val="green"/>
              </w:rPr>
            </w:pPr>
            <w:r w:rsidRPr="00210A2D">
              <w:t>(5.3)</w:t>
            </w:r>
          </w:p>
        </w:tc>
        <w:tc>
          <w:tcPr>
            <w:tcW w:w="1361" w:type="dxa"/>
            <w:tcBorders>
              <w:top w:val="single" w:sz="4" w:space="0" w:color="A6A6A6" w:themeColor="accent5"/>
              <w:bottom w:val="single" w:sz="4" w:space="0" w:color="000000" w:themeColor="text1"/>
            </w:tcBorders>
            <w:noWrap/>
          </w:tcPr>
          <w:p w14:paraId="190E9129" w14:textId="77777777" w:rsidR="00265792" w:rsidRPr="00BA7805" w:rsidRDefault="00265792">
            <w:pPr>
              <w:pStyle w:val="ARfintablebodyright"/>
              <w:spacing w:before="24" w:after="12"/>
              <w:rPr>
                <w:highlight w:val="green"/>
              </w:rPr>
            </w:pPr>
            <w:r w:rsidRPr="00210A2D">
              <w:t>37.0</w:t>
            </w:r>
          </w:p>
        </w:tc>
      </w:tr>
      <w:tr w:rsidR="00265792" w:rsidRPr="00BA7805" w14:paraId="1FC25422" w14:textId="77777777">
        <w:tc>
          <w:tcPr>
            <w:tcW w:w="6066" w:type="dxa"/>
            <w:tcBorders>
              <w:top w:val="single" w:sz="4" w:space="0" w:color="000000" w:themeColor="text1"/>
              <w:bottom w:val="single" w:sz="4" w:space="0" w:color="000000" w:themeColor="text1"/>
            </w:tcBorders>
          </w:tcPr>
          <w:p w14:paraId="5C99BB7D" w14:textId="77777777" w:rsidR="00265792" w:rsidRPr="008A341F" w:rsidRDefault="00265792">
            <w:pPr>
              <w:pStyle w:val="ARfintablebodybold"/>
              <w:rPr>
                <w:highlight w:val="green"/>
              </w:rPr>
            </w:pPr>
            <w:r w:rsidRPr="008A341F">
              <w:t>Net cash flows from</w:t>
            </w:r>
            <w:proofErr w:type="gramStart"/>
            <w:r w:rsidRPr="008A341F">
              <w:t>/(</w:t>
            </w:r>
            <w:proofErr w:type="gramEnd"/>
            <w:r w:rsidRPr="008A341F">
              <w:t>used in) financing activities</w:t>
            </w:r>
          </w:p>
        </w:tc>
        <w:tc>
          <w:tcPr>
            <w:tcW w:w="851" w:type="dxa"/>
            <w:tcBorders>
              <w:top w:val="single" w:sz="4" w:space="0" w:color="000000" w:themeColor="text1"/>
              <w:bottom w:val="single" w:sz="4" w:space="0" w:color="000000" w:themeColor="text1"/>
            </w:tcBorders>
          </w:tcPr>
          <w:p w14:paraId="10BA914A" w14:textId="77777777" w:rsidR="00265792" w:rsidRPr="00BA7805" w:rsidRDefault="00265792">
            <w:pPr>
              <w:pStyle w:val="ARfintablebodyright"/>
              <w:spacing w:before="24" w:after="12"/>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6064866B" w14:textId="77777777" w:rsidR="00265792" w:rsidRPr="00BA7805" w:rsidRDefault="00265792">
            <w:pPr>
              <w:pStyle w:val="ARfintablebodyrightbold"/>
              <w:rPr>
                <w:highlight w:val="green"/>
              </w:rPr>
            </w:pPr>
            <w:r w:rsidRPr="00210A2D">
              <w:t>1,055.1</w:t>
            </w:r>
          </w:p>
        </w:tc>
        <w:tc>
          <w:tcPr>
            <w:tcW w:w="1361" w:type="dxa"/>
            <w:tcBorders>
              <w:top w:val="single" w:sz="4" w:space="0" w:color="000000" w:themeColor="text1"/>
              <w:bottom w:val="single" w:sz="4" w:space="0" w:color="000000" w:themeColor="text1"/>
            </w:tcBorders>
            <w:noWrap/>
          </w:tcPr>
          <w:p w14:paraId="0B859C1A" w14:textId="77777777" w:rsidR="00265792" w:rsidRPr="00BA7805" w:rsidRDefault="00265792">
            <w:pPr>
              <w:pStyle w:val="ARfintablebodyrightbold"/>
              <w:rPr>
                <w:highlight w:val="green"/>
              </w:rPr>
            </w:pPr>
            <w:r w:rsidRPr="00210A2D">
              <w:t>865.4</w:t>
            </w:r>
          </w:p>
        </w:tc>
      </w:tr>
      <w:tr w:rsidR="00265792" w:rsidRPr="00BA7805" w14:paraId="1C522180" w14:textId="77777777">
        <w:tc>
          <w:tcPr>
            <w:tcW w:w="6066" w:type="dxa"/>
            <w:tcBorders>
              <w:top w:val="single" w:sz="4" w:space="0" w:color="000000" w:themeColor="text1"/>
              <w:bottom w:val="single" w:sz="4" w:space="0" w:color="000000" w:themeColor="text1"/>
            </w:tcBorders>
          </w:tcPr>
          <w:p w14:paraId="7D226926" w14:textId="77777777" w:rsidR="00265792" w:rsidRPr="008A341F" w:rsidRDefault="00265792">
            <w:pPr>
              <w:pStyle w:val="ARfintablebodybold"/>
              <w:rPr>
                <w:highlight w:val="green"/>
              </w:rPr>
            </w:pPr>
            <w:r w:rsidRPr="008A341F">
              <w:t>Net increase/(decrease) in cash and deposits</w:t>
            </w:r>
          </w:p>
        </w:tc>
        <w:tc>
          <w:tcPr>
            <w:tcW w:w="851" w:type="dxa"/>
            <w:tcBorders>
              <w:top w:val="single" w:sz="4" w:space="0" w:color="000000" w:themeColor="text1"/>
              <w:bottom w:val="single" w:sz="4" w:space="0" w:color="000000" w:themeColor="text1"/>
            </w:tcBorders>
          </w:tcPr>
          <w:p w14:paraId="2C28DDFA" w14:textId="77777777" w:rsidR="00265792" w:rsidRPr="00BA7805" w:rsidRDefault="00265792">
            <w:pPr>
              <w:pStyle w:val="ARfintablebodyright"/>
              <w:spacing w:before="24" w:after="12"/>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36D88D5F" w14:textId="77777777" w:rsidR="00265792" w:rsidRPr="00BA7805" w:rsidRDefault="00265792">
            <w:pPr>
              <w:pStyle w:val="ARfintablebodyrightbold"/>
              <w:rPr>
                <w:highlight w:val="green"/>
              </w:rPr>
            </w:pPr>
            <w:r>
              <w:t>590.5</w:t>
            </w:r>
          </w:p>
        </w:tc>
        <w:tc>
          <w:tcPr>
            <w:tcW w:w="1361" w:type="dxa"/>
            <w:tcBorders>
              <w:top w:val="single" w:sz="4" w:space="0" w:color="000000" w:themeColor="text1"/>
              <w:bottom w:val="single" w:sz="4" w:space="0" w:color="000000" w:themeColor="text1"/>
            </w:tcBorders>
            <w:noWrap/>
          </w:tcPr>
          <w:p w14:paraId="2CB44F47" w14:textId="77777777" w:rsidR="00265792" w:rsidRPr="00BA7805" w:rsidRDefault="00265792">
            <w:pPr>
              <w:pStyle w:val="ARfintablebodyrightbold"/>
              <w:rPr>
                <w:highlight w:val="green"/>
              </w:rPr>
            </w:pPr>
            <w:r>
              <w:t>14.9</w:t>
            </w:r>
          </w:p>
        </w:tc>
      </w:tr>
      <w:tr w:rsidR="00265792" w:rsidRPr="00BA7805" w14:paraId="009527E2" w14:textId="77777777">
        <w:tc>
          <w:tcPr>
            <w:tcW w:w="6066" w:type="dxa"/>
            <w:tcBorders>
              <w:top w:val="single" w:sz="4" w:space="0" w:color="000000" w:themeColor="text1"/>
              <w:bottom w:val="single" w:sz="4" w:space="0" w:color="000000" w:themeColor="text1"/>
            </w:tcBorders>
          </w:tcPr>
          <w:p w14:paraId="15DBE2A6" w14:textId="77777777" w:rsidR="00265792" w:rsidRPr="00BA7805" w:rsidRDefault="00265792">
            <w:pPr>
              <w:pStyle w:val="ARfintablebody"/>
              <w:rPr>
                <w:highlight w:val="green"/>
              </w:rPr>
            </w:pPr>
            <w:r w:rsidRPr="00210A2D">
              <w:t>Cash and deposits at beginning of financial year</w:t>
            </w:r>
          </w:p>
        </w:tc>
        <w:tc>
          <w:tcPr>
            <w:tcW w:w="851" w:type="dxa"/>
            <w:tcBorders>
              <w:top w:val="single" w:sz="4" w:space="0" w:color="000000" w:themeColor="text1"/>
              <w:bottom w:val="single" w:sz="4" w:space="0" w:color="000000" w:themeColor="text1"/>
            </w:tcBorders>
          </w:tcPr>
          <w:p w14:paraId="2F92C828" w14:textId="77777777" w:rsidR="00265792" w:rsidRPr="00BA7805" w:rsidRDefault="00265792">
            <w:pPr>
              <w:pStyle w:val="ARfintablebodyright"/>
              <w:spacing w:before="24" w:after="12"/>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2D1575CF" w14:textId="77777777" w:rsidR="00265792" w:rsidRPr="00BA7805" w:rsidRDefault="00265792">
            <w:pPr>
              <w:pStyle w:val="ARfintablebodyright"/>
              <w:spacing w:before="24" w:after="12"/>
              <w:rPr>
                <w:highlight w:val="green"/>
              </w:rPr>
            </w:pPr>
            <w:r>
              <w:t>721.7</w:t>
            </w:r>
          </w:p>
        </w:tc>
        <w:tc>
          <w:tcPr>
            <w:tcW w:w="1361" w:type="dxa"/>
            <w:tcBorders>
              <w:top w:val="single" w:sz="4" w:space="0" w:color="000000" w:themeColor="text1"/>
              <w:bottom w:val="single" w:sz="4" w:space="0" w:color="000000" w:themeColor="text1"/>
            </w:tcBorders>
            <w:noWrap/>
          </w:tcPr>
          <w:p w14:paraId="2B55406C" w14:textId="77777777" w:rsidR="00265792" w:rsidRPr="00BA7805" w:rsidRDefault="00265792">
            <w:pPr>
              <w:pStyle w:val="ARfintablebodyright"/>
              <w:spacing w:before="24" w:after="12"/>
              <w:rPr>
                <w:highlight w:val="green"/>
              </w:rPr>
            </w:pPr>
            <w:r w:rsidRPr="00210A2D">
              <w:t>706.8</w:t>
            </w:r>
          </w:p>
        </w:tc>
      </w:tr>
      <w:tr w:rsidR="00265792" w:rsidRPr="00BA7805" w14:paraId="148A7B35" w14:textId="77777777">
        <w:trPr>
          <w:cnfStyle w:val="010000000000" w:firstRow="0" w:lastRow="1" w:firstColumn="0" w:lastColumn="0" w:oddVBand="0" w:evenVBand="0" w:oddHBand="0" w:evenHBand="0" w:firstRowFirstColumn="0" w:firstRowLastColumn="0" w:lastRowFirstColumn="0" w:lastRowLastColumn="0"/>
        </w:trPr>
        <w:tc>
          <w:tcPr>
            <w:tcW w:w="6066" w:type="dxa"/>
          </w:tcPr>
          <w:p w14:paraId="7527C8DD" w14:textId="77777777" w:rsidR="00265792" w:rsidRPr="00BA7805" w:rsidRDefault="00265792">
            <w:pPr>
              <w:pStyle w:val="ARfintablebodybold"/>
              <w:rPr>
                <w:highlight w:val="green"/>
              </w:rPr>
            </w:pPr>
            <w:r w:rsidRPr="00210A2D">
              <w:t>Cash and deposits at the end of financial year</w:t>
            </w:r>
            <w:r>
              <w:t xml:space="preserve"> </w:t>
            </w:r>
            <w:r w:rsidRPr="00E126D0">
              <w:rPr>
                <w:vertAlign w:val="superscript"/>
              </w:rPr>
              <w:t>(</w:t>
            </w:r>
            <w:r>
              <w:rPr>
                <w:vertAlign w:val="superscript"/>
              </w:rPr>
              <w:t>i</w:t>
            </w:r>
            <w:r w:rsidRPr="00E126D0">
              <w:rPr>
                <w:vertAlign w:val="superscript"/>
              </w:rPr>
              <w:t>i)</w:t>
            </w:r>
          </w:p>
        </w:tc>
        <w:tc>
          <w:tcPr>
            <w:tcW w:w="851" w:type="dxa"/>
          </w:tcPr>
          <w:p w14:paraId="1251B63B" w14:textId="77777777" w:rsidR="00265792" w:rsidRPr="00BA7805" w:rsidRDefault="00265792">
            <w:pPr>
              <w:pStyle w:val="ARfintablebodyright"/>
              <w:spacing w:before="24" w:after="12"/>
              <w:rPr>
                <w:highlight w:val="green"/>
              </w:rPr>
            </w:pPr>
            <w:r w:rsidRPr="00210A2D">
              <w:t>7.3</w:t>
            </w:r>
          </w:p>
        </w:tc>
        <w:tc>
          <w:tcPr>
            <w:tcW w:w="1361" w:type="dxa"/>
            <w:shd w:val="clear" w:color="auto" w:fill="EEEEEF" w:themeFill="accent4"/>
            <w:noWrap/>
          </w:tcPr>
          <w:p w14:paraId="63C8C2AF" w14:textId="77777777" w:rsidR="00265792" w:rsidRPr="00BA7805" w:rsidRDefault="00265792">
            <w:pPr>
              <w:pStyle w:val="ARfintablebodyrightbold"/>
              <w:rPr>
                <w:highlight w:val="green"/>
              </w:rPr>
            </w:pPr>
            <w:r>
              <w:t>1,312.2</w:t>
            </w:r>
          </w:p>
        </w:tc>
        <w:tc>
          <w:tcPr>
            <w:tcW w:w="1361" w:type="dxa"/>
            <w:noWrap/>
          </w:tcPr>
          <w:p w14:paraId="27E197D4" w14:textId="77777777" w:rsidR="00265792" w:rsidRPr="00BA7805" w:rsidRDefault="00265792">
            <w:pPr>
              <w:pStyle w:val="ARfintablebodyrightbold"/>
              <w:rPr>
                <w:highlight w:val="green"/>
              </w:rPr>
            </w:pPr>
            <w:r>
              <w:t>721.7</w:t>
            </w:r>
          </w:p>
        </w:tc>
      </w:tr>
    </w:tbl>
    <w:p w14:paraId="1FA555E8" w14:textId="77777777" w:rsidR="00265792" w:rsidRDefault="00265792">
      <w:pPr>
        <w:pStyle w:val="ARfintablefootnote"/>
      </w:pPr>
      <w:r>
        <w:t>The cash flow statement should be read in conjunction with the notes to the financial statements.</w:t>
      </w:r>
    </w:p>
    <w:p w14:paraId="24DD5ADB" w14:textId="77777777" w:rsidR="00265792" w:rsidRDefault="00265792">
      <w:pPr>
        <w:pStyle w:val="ARfintablefootnote"/>
      </w:pPr>
      <w:r>
        <w:t>Notes:</w:t>
      </w:r>
    </w:p>
    <w:p w14:paraId="5AF35887" w14:textId="77777777" w:rsidR="00265792" w:rsidRDefault="00265792">
      <w:pPr>
        <w:pStyle w:val="ARfintablefootnotetabindent"/>
      </w:pPr>
      <w:r>
        <w:t>(</w:t>
      </w:r>
      <w:proofErr w:type="spellStart"/>
      <w:r>
        <w:t>i</w:t>
      </w:r>
      <w:proofErr w:type="spellEnd"/>
      <w:r>
        <w:t xml:space="preserve">) </w:t>
      </w:r>
      <w:r>
        <w:tab/>
        <w:t>Goods and services tax (GST) recovered from the Australian Taxation Office is presented on a net basis.</w:t>
      </w:r>
    </w:p>
    <w:p w14:paraId="44980C22" w14:textId="2071CCE8" w:rsidR="00265792" w:rsidRDefault="00265792">
      <w:pPr>
        <w:pStyle w:val="ARfintablefootnotetabindent"/>
      </w:pPr>
      <w:r>
        <w:t>(ii)</w:t>
      </w:r>
      <w:r>
        <w:tab/>
      </w:r>
      <w:r w:rsidR="00722943" w:rsidRPr="00722943">
        <w:t xml:space="preserve">The 2023–24 figures for </w:t>
      </w:r>
      <w:r w:rsidR="001A79D3">
        <w:t>‘</w:t>
      </w:r>
      <w:r w:rsidR="00722943" w:rsidRPr="00722943">
        <w:t>cash and deposits</w:t>
      </w:r>
      <w:r w:rsidR="001A79D3">
        <w:t>’</w:t>
      </w:r>
      <w:r w:rsidR="00722943" w:rsidRPr="00722943">
        <w:t xml:space="preserve"> have been restated to reflect the restricted cash representing funds set aside for settling obligations under its various services concession arrangements</w:t>
      </w:r>
      <w:r>
        <w:t>.</w:t>
      </w:r>
    </w:p>
    <w:p w14:paraId="18164D12" w14:textId="42E7B273" w:rsidR="00265792" w:rsidRDefault="00265792">
      <w:pPr>
        <w:pStyle w:val="ARfintablefootnotetabindent"/>
      </w:pPr>
      <w:r>
        <w:t xml:space="preserve">(iii) </w:t>
      </w:r>
      <w:r w:rsidRPr="009E2E3E">
        <w:t>The department has recognised cash payments for the principal portion of lease payments as financing activities, cash payments for the interest portion as operating activities consistent with the presentation of interest payments and short-term lease payments for leases and low-value assets as operating activities.</w:t>
      </w:r>
      <w:bookmarkStart w:id="257" w:name="Statementofchangesinequite"/>
    </w:p>
    <w:p w14:paraId="2A97616A" w14:textId="77777777" w:rsidR="00265792" w:rsidRPr="00C93DC6" w:rsidRDefault="00265792" w:rsidP="00BB645D">
      <w:pPr>
        <w:pStyle w:val="Heading2Financials"/>
        <w:spacing w:before="0"/>
      </w:pPr>
      <w:bookmarkStart w:id="258" w:name="_Toc212041654"/>
      <w:r w:rsidRPr="00C93DC6">
        <w:lastRenderedPageBreak/>
        <w:t>Statement of changes in equity</w:t>
      </w:r>
      <w:r w:rsidRPr="00C93DC6">
        <w:br/>
        <w:t>for the financial year ended 30 June 202</w:t>
      </w:r>
      <w:r>
        <w:t>5</w:t>
      </w:r>
      <w:bookmarkEnd w:id="258"/>
    </w:p>
    <w:bookmarkEnd w:id="257"/>
    <w:tbl>
      <w:tblPr>
        <w:tblStyle w:val="TableGrid"/>
        <w:tblW w:w="9644" w:type="dxa"/>
        <w:tblLayout w:type="fixed"/>
        <w:tblLook w:val="06E0" w:firstRow="1" w:lastRow="1" w:firstColumn="1" w:lastColumn="0" w:noHBand="1" w:noVBand="1"/>
      </w:tblPr>
      <w:tblGrid>
        <w:gridCol w:w="3680"/>
        <w:gridCol w:w="876"/>
        <w:gridCol w:w="1272"/>
        <w:gridCol w:w="1272"/>
        <w:gridCol w:w="1272"/>
        <w:gridCol w:w="1272"/>
      </w:tblGrid>
      <w:tr w:rsidR="00265792" w:rsidRPr="00BA7805" w14:paraId="31F884D3" w14:textId="77777777">
        <w:trPr>
          <w:cnfStyle w:val="100000000000" w:firstRow="1" w:lastRow="0" w:firstColumn="0" w:lastColumn="0" w:oddVBand="0" w:evenVBand="0" w:oddHBand="0" w:evenHBand="0" w:firstRowFirstColumn="0" w:firstRowLastColumn="0" w:lastRowFirstColumn="0" w:lastRowLastColumn="0"/>
          <w:tblHeader/>
        </w:trPr>
        <w:tc>
          <w:tcPr>
            <w:tcW w:w="3680" w:type="dxa"/>
            <w:hideMark/>
          </w:tcPr>
          <w:p w14:paraId="0C80E9FD" w14:textId="77777777" w:rsidR="00265792" w:rsidRPr="00BA7805" w:rsidRDefault="00265792">
            <w:pPr>
              <w:pStyle w:val="ARfintablecolhead"/>
              <w:rPr>
                <w:highlight w:val="green"/>
              </w:rPr>
            </w:pPr>
          </w:p>
        </w:tc>
        <w:tc>
          <w:tcPr>
            <w:tcW w:w="876" w:type="dxa"/>
            <w:hideMark/>
          </w:tcPr>
          <w:p w14:paraId="489D5784" w14:textId="77777777" w:rsidR="00265792" w:rsidRPr="00C93DC6" w:rsidRDefault="00265792">
            <w:pPr>
              <w:pStyle w:val="ARfintablecolheadright"/>
            </w:pPr>
            <w:r w:rsidRPr="00C93DC6">
              <w:t>Note</w:t>
            </w:r>
          </w:p>
        </w:tc>
        <w:tc>
          <w:tcPr>
            <w:tcW w:w="1272" w:type="dxa"/>
            <w:shd w:val="clear" w:color="auto" w:fill="EEEEEF" w:themeFill="accent4"/>
            <w:hideMark/>
          </w:tcPr>
          <w:p w14:paraId="57333D2A" w14:textId="77777777" w:rsidR="00265792" w:rsidRPr="00C93DC6" w:rsidRDefault="00265792">
            <w:pPr>
              <w:pStyle w:val="ARfintablecolheadright"/>
            </w:pPr>
            <w:r w:rsidRPr="00C93DC6">
              <w:t>Physical</w:t>
            </w:r>
            <w:r w:rsidRPr="00C93DC6">
              <w:br/>
              <w:t>asset</w:t>
            </w:r>
            <w:r w:rsidRPr="00C93DC6">
              <w:br/>
              <w:t>revaluation</w:t>
            </w:r>
            <w:r w:rsidRPr="00C93DC6">
              <w:br/>
              <w:t>surplus</w:t>
            </w:r>
          </w:p>
          <w:p w14:paraId="63BE68C5" w14:textId="77777777" w:rsidR="00265792" w:rsidRPr="00C93DC6" w:rsidRDefault="00265792">
            <w:pPr>
              <w:pStyle w:val="ARfintablecolheadright"/>
            </w:pPr>
            <w:r w:rsidRPr="00C93DC6">
              <w:t>$M</w:t>
            </w:r>
          </w:p>
        </w:tc>
        <w:tc>
          <w:tcPr>
            <w:tcW w:w="1272" w:type="dxa"/>
            <w:hideMark/>
          </w:tcPr>
          <w:p w14:paraId="1AC638B7" w14:textId="77777777" w:rsidR="00265792" w:rsidRPr="00C93DC6" w:rsidRDefault="00265792">
            <w:pPr>
              <w:pStyle w:val="ARfintablecolheadright"/>
            </w:pPr>
            <w:proofErr w:type="spellStart"/>
            <w:r w:rsidRPr="00C93DC6">
              <w:t>Accumu</w:t>
            </w:r>
            <w:r w:rsidRPr="00C93DC6">
              <w:rPr>
                <w:rFonts w:ascii="Cambria Math" w:hAnsi="Cambria Math" w:cs="Cambria Math"/>
              </w:rPr>
              <w:t>‐</w:t>
            </w:r>
            <w:r w:rsidRPr="00C93DC6">
              <w:t>lated</w:t>
            </w:r>
            <w:proofErr w:type="spellEnd"/>
            <w:r w:rsidRPr="00C93DC6">
              <w:br/>
              <w:t>surplus/</w:t>
            </w:r>
            <w:r w:rsidRPr="00C93DC6">
              <w:br/>
              <w:t>(deficit)</w:t>
            </w:r>
          </w:p>
          <w:p w14:paraId="417A9494" w14:textId="77777777" w:rsidR="00265792" w:rsidRPr="00C93DC6" w:rsidRDefault="00265792">
            <w:pPr>
              <w:pStyle w:val="ARfintablecolheadright"/>
            </w:pPr>
            <w:r w:rsidRPr="00C93DC6">
              <w:t>$M</w:t>
            </w:r>
          </w:p>
        </w:tc>
        <w:tc>
          <w:tcPr>
            <w:tcW w:w="1272" w:type="dxa"/>
            <w:shd w:val="clear" w:color="auto" w:fill="EEEEEF" w:themeFill="accent4"/>
            <w:hideMark/>
          </w:tcPr>
          <w:p w14:paraId="16A2D247" w14:textId="77777777" w:rsidR="00265792" w:rsidRPr="00C93DC6" w:rsidRDefault="00265792">
            <w:pPr>
              <w:pStyle w:val="ARfintablecolheadright"/>
            </w:pPr>
            <w:r w:rsidRPr="00C93DC6">
              <w:t>Contributed capital</w:t>
            </w:r>
          </w:p>
          <w:p w14:paraId="7F699F78" w14:textId="77777777" w:rsidR="00265792" w:rsidRPr="00C93DC6" w:rsidRDefault="00265792">
            <w:pPr>
              <w:pStyle w:val="ARfintablecolheadright"/>
            </w:pPr>
            <w:r w:rsidRPr="00C93DC6">
              <w:t>$M</w:t>
            </w:r>
          </w:p>
        </w:tc>
        <w:tc>
          <w:tcPr>
            <w:tcW w:w="1272" w:type="dxa"/>
            <w:hideMark/>
          </w:tcPr>
          <w:p w14:paraId="1217A8D8" w14:textId="77777777" w:rsidR="00265792" w:rsidRPr="00C93DC6" w:rsidRDefault="00265792">
            <w:pPr>
              <w:pStyle w:val="ARfintablecolheadright"/>
            </w:pPr>
            <w:r w:rsidRPr="00C93DC6">
              <w:t>Total</w:t>
            </w:r>
          </w:p>
          <w:p w14:paraId="30B52FD3" w14:textId="77777777" w:rsidR="00265792" w:rsidRPr="00C93DC6" w:rsidRDefault="00265792">
            <w:pPr>
              <w:pStyle w:val="ARfintablecolheadright"/>
            </w:pPr>
            <w:r w:rsidRPr="00C93DC6">
              <w:t>$M</w:t>
            </w:r>
          </w:p>
        </w:tc>
      </w:tr>
      <w:tr w:rsidR="00265792" w:rsidRPr="00BA7805" w14:paraId="7AEC6295" w14:textId="77777777">
        <w:tc>
          <w:tcPr>
            <w:tcW w:w="3680" w:type="dxa"/>
          </w:tcPr>
          <w:p w14:paraId="260C5DF5" w14:textId="77777777" w:rsidR="00265792" w:rsidRPr="00BA7805" w:rsidRDefault="00265792">
            <w:pPr>
              <w:pStyle w:val="ARfintablebodybold"/>
              <w:rPr>
                <w:highlight w:val="green"/>
              </w:rPr>
            </w:pPr>
            <w:r>
              <w:t xml:space="preserve">Balance </w:t>
            </w:r>
            <w:proofErr w:type="gramStart"/>
            <w:r>
              <w:t>at</w:t>
            </w:r>
            <w:proofErr w:type="gramEnd"/>
            <w:r>
              <w:t xml:space="preserve"> 1 July 2023</w:t>
            </w:r>
          </w:p>
        </w:tc>
        <w:tc>
          <w:tcPr>
            <w:tcW w:w="876" w:type="dxa"/>
          </w:tcPr>
          <w:p w14:paraId="437D4889" w14:textId="77777777" w:rsidR="00265792" w:rsidRPr="00BA7805" w:rsidRDefault="00265792">
            <w:pPr>
              <w:pStyle w:val="ARfintablebodyright"/>
              <w:rPr>
                <w:highlight w:val="green"/>
              </w:rPr>
            </w:pPr>
          </w:p>
        </w:tc>
        <w:tc>
          <w:tcPr>
            <w:tcW w:w="1272" w:type="dxa"/>
            <w:shd w:val="clear" w:color="auto" w:fill="EEEEEF" w:themeFill="accent4"/>
            <w:noWrap/>
            <w:vAlign w:val="bottom"/>
          </w:tcPr>
          <w:p w14:paraId="38548304" w14:textId="77777777" w:rsidR="00265792" w:rsidRPr="00BA7805" w:rsidRDefault="00265792">
            <w:pPr>
              <w:pStyle w:val="ARfintablebodyrightbold"/>
              <w:rPr>
                <w:highlight w:val="green"/>
              </w:rPr>
            </w:pPr>
            <w:r>
              <w:t>7,570.5</w:t>
            </w:r>
          </w:p>
        </w:tc>
        <w:tc>
          <w:tcPr>
            <w:tcW w:w="1272" w:type="dxa"/>
            <w:noWrap/>
            <w:vAlign w:val="bottom"/>
          </w:tcPr>
          <w:p w14:paraId="1D3302BA" w14:textId="77777777" w:rsidR="00265792" w:rsidRPr="00BA7805" w:rsidRDefault="00265792">
            <w:pPr>
              <w:pStyle w:val="ARfintablebodyrightbold"/>
              <w:rPr>
                <w:highlight w:val="green"/>
              </w:rPr>
            </w:pPr>
            <w:r>
              <w:t>180.9</w:t>
            </w:r>
          </w:p>
        </w:tc>
        <w:tc>
          <w:tcPr>
            <w:tcW w:w="1272" w:type="dxa"/>
            <w:shd w:val="clear" w:color="auto" w:fill="EEEEEF" w:themeFill="accent4"/>
            <w:noWrap/>
            <w:vAlign w:val="bottom"/>
          </w:tcPr>
          <w:p w14:paraId="48FC5DFB" w14:textId="77777777" w:rsidR="00265792" w:rsidRPr="00BA7805" w:rsidRDefault="00265792">
            <w:pPr>
              <w:pStyle w:val="ARfintablebodyrightbold"/>
              <w:rPr>
                <w:highlight w:val="green"/>
              </w:rPr>
            </w:pPr>
            <w:r>
              <w:t>29,430.6</w:t>
            </w:r>
          </w:p>
        </w:tc>
        <w:tc>
          <w:tcPr>
            <w:tcW w:w="1272" w:type="dxa"/>
            <w:noWrap/>
            <w:vAlign w:val="bottom"/>
          </w:tcPr>
          <w:p w14:paraId="14AE39CE" w14:textId="77777777" w:rsidR="00265792" w:rsidRPr="00BA7805" w:rsidRDefault="00265792">
            <w:pPr>
              <w:pStyle w:val="ARfintablebodyrightbold"/>
              <w:rPr>
                <w:highlight w:val="green"/>
              </w:rPr>
            </w:pPr>
            <w:r>
              <w:t>37,182.0</w:t>
            </w:r>
          </w:p>
        </w:tc>
      </w:tr>
      <w:tr w:rsidR="00265792" w:rsidRPr="00BA7805" w14:paraId="1C6A1CDE" w14:textId="77777777">
        <w:tc>
          <w:tcPr>
            <w:tcW w:w="3680" w:type="dxa"/>
          </w:tcPr>
          <w:p w14:paraId="598EEAA9" w14:textId="77777777" w:rsidR="00265792" w:rsidRPr="00BA7805" w:rsidRDefault="00265792">
            <w:pPr>
              <w:pStyle w:val="ARfintablebody"/>
              <w:rPr>
                <w:highlight w:val="green"/>
              </w:rPr>
            </w:pPr>
            <w:r>
              <w:t>Net result for the year</w:t>
            </w:r>
          </w:p>
        </w:tc>
        <w:tc>
          <w:tcPr>
            <w:tcW w:w="876" w:type="dxa"/>
          </w:tcPr>
          <w:p w14:paraId="5ACD2B09" w14:textId="77777777" w:rsidR="00265792" w:rsidRPr="00BA7805" w:rsidRDefault="00265792">
            <w:pPr>
              <w:pStyle w:val="ARfintablebodyright"/>
              <w:rPr>
                <w:highlight w:val="green"/>
              </w:rPr>
            </w:pPr>
          </w:p>
        </w:tc>
        <w:tc>
          <w:tcPr>
            <w:tcW w:w="1272" w:type="dxa"/>
            <w:shd w:val="clear" w:color="auto" w:fill="EEEEEF" w:themeFill="accent4"/>
            <w:noWrap/>
          </w:tcPr>
          <w:p w14:paraId="0BF8E9B7" w14:textId="77777777" w:rsidR="00265792" w:rsidRPr="00BA7805" w:rsidRDefault="00265792">
            <w:pPr>
              <w:pStyle w:val="ARfintablebodyright"/>
              <w:rPr>
                <w:highlight w:val="green"/>
              </w:rPr>
            </w:pPr>
            <w:r>
              <w:t>–</w:t>
            </w:r>
          </w:p>
        </w:tc>
        <w:tc>
          <w:tcPr>
            <w:tcW w:w="1272" w:type="dxa"/>
            <w:noWrap/>
            <w:vAlign w:val="bottom"/>
          </w:tcPr>
          <w:p w14:paraId="672AC51B" w14:textId="77777777" w:rsidR="00265792" w:rsidRPr="00BA7805" w:rsidRDefault="00265792">
            <w:pPr>
              <w:pStyle w:val="ARfintablebodyright"/>
              <w:rPr>
                <w:highlight w:val="green"/>
              </w:rPr>
            </w:pPr>
            <w:r>
              <w:t>(638.4)</w:t>
            </w:r>
          </w:p>
        </w:tc>
        <w:tc>
          <w:tcPr>
            <w:tcW w:w="1272" w:type="dxa"/>
            <w:shd w:val="clear" w:color="auto" w:fill="EEEEEF" w:themeFill="accent4"/>
            <w:noWrap/>
            <w:vAlign w:val="bottom"/>
          </w:tcPr>
          <w:p w14:paraId="6ED87C6A" w14:textId="77777777" w:rsidR="00265792" w:rsidRPr="00BA7805" w:rsidRDefault="00265792">
            <w:pPr>
              <w:pStyle w:val="ARfintablebodyright"/>
              <w:rPr>
                <w:highlight w:val="green"/>
              </w:rPr>
            </w:pPr>
            <w:r>
              <w:t>–</w:t>
            </w:r>
          </w:p>
        </w:tc>
        <w:tc>
          <w:tcPr>
            <w:tcW w:w="1272" w:type="dxa"/>
            <w:noWrap/>
            <w:vAlign w:val="center"/>
          </w:tcPr>
          <w:p w14:paraId="0229E606" w14:textId="77777777" w:rsidR="00265792" w:rsidRPr="00BA7805" w:rsidRDefault="00265792">
            <w:pPr>
              <w:pStyle w:val="ARfintablebodyright"/>
              <w:rPr>
                <w:highlight w:val="green"/>
              </w:rPr>
            </w:pPr>
            <w:r>
              <w:t>(638.4)</w:t>
            </w:r>
          </w:p>
        </w:tc>
      </w:tr>
      <w:tr w:rsidR="00265792" w:rsidRPr="00BA7805" w14:paraId="46B33D8A" w14:textId="77777777">
        <w:tc>
          <w:tcPr>
            <w:tcW w:w="3680" w:type="dxa"/>
          </w:tcPr>
          <w:p w14:paraId="2DE23C54" w14:textId="77777777" w:rsidR="00265792" w:rsidRPr="00BA7805" w:rsidRDefault="00265792">
            <w:pPr>
              <w:pStyle w:val="ARfintablebody"/>
              <w:rPr>
                <w:highlight w:val="green"/>
              </w:rPr>
            </w:pPr>
            <w:r>
              <w:t>Remeasurement of superannuation defined benefit plans</w:t>
            </w:r>
          </w:p>
        </w:tc>
        <w:tc>
          <w:tcPr>
            <w:tcW w:w="876" w:type="dxa"/>
            <w:noWrap/>
          </w:tcPr>
          <w:p w14:paraId="5B313E87" w14:textId="77777777" w:rsidR="00265792" w:rsidRPr="00BA7805" w:rsidRDefault="00265792">
            <w:pPr>
              <w:pStyle w:val="ARfintablebodyright"/>
              <w:rPr>
                <w:highlight w:val="green"/>
              </w:rPr>
            </w:pPr>
            <w:r>
              <w:t>9.3(a)</w:t>
            </w:r>
          </w:p>
        </w:tc>
        <w:tc>
          <w:tcPr>
            <w:tcW w:w="1272" w:type="dxa"/>
            <w:shd w:val="clear" w:color="auto" w:fill="EEEEEF" w:themeFill="accent4"/>
            <w:noWrap/>
          </w:tcPr>
          <w:p w14:paraId="0B389CFC" w14:textId="77777777" w:rsidR="00265792" w:rsidRPr="00BA7805" w:rsidRDefault="00265792">
            <w:pPr>
              <w:pStyle w:val="ARfintablebodyright"/>
              <w:rPr>
                <w:highlight w:val="green"/>
              </w:rPr>
            </w:pPr>
            <w:r>
              <w:t>–</w:t>
            </w:r>
          </w:p>
        </w:tc>
        <w:tc>
          <w:tcPr>
            <w:tcW w:w="1272" w:type="dxa"/>
            <w:noWrap/>
          </w:tcPr>
          <w:p w14:paraId="15EB1E28" w14:textId="77777777" w:rsidR="00265792" w:rsidRPr="00BA7805" w:rsidRDefault="00265792">
            <w:pPr>
              <w:pStyle w:val="ARfintablebodyright"/>
              <w:rPr>
                <w:highlight w:val="green"/>
              </w:rPr>
            </w:pPr>
            <w:r>
              <w:t>2.1</w:t>
            </w:r>
          </w:p>
        </w:tc>
        <w:tc>
          <w:tcPr>
            <w:tcW w:w="1272" w:type="dxa"/>
            <w:shd w:val="clear" w:color="auto" w:fill="EEEEEF" w:themeFill="accent4"/>
            <w:noWrap/>
          </w:tcPr>
          <w:p w14:paraId="77F09741" w14:textId="77777777" w:rsidR="00265792" w:rsidRPr="00BA7805" w:rsidRDefault="00265792">
            <w:pPr>
              <w:pStyle w:val="ARfintablebodyright"/>
              <w:rPr>
                <w:highlight w:val="green"/>
              </w:rPr>
            </w:pPr>
            <w:r>
              <w:t>–</w:t>
            </w:r>
          </w:p>
        </w:tc>
        <w:tc>
          <w:tcPr>
            <w:tcW w:w="1272" w:type="dxa"/>
            <w:noWrap/>
            <w:vAlign w:val="center"/>
          </w:tcPr>
          <w:p w14:paraId="63E797B1" w14:textId="77777777" w:rsidR="00265792" w:rsidRPr="00BA7805" w:rsidRDefault="00265792">
            <w:pPr>
              <w:pStyle w:val="ARfintablebodyright"/>
              <w:rPr>
                <w:highlight w:val="green"/>
              </w:rPr>
            </w:pPr>
            <w:r>
              <w:t>2.1</w:t>
            </w:r>
          </w:p>
        </w:tc>
      </w:tr>
      <w:tr w:rsidR="00265792" w:rsidRPr="00BA7805" w14:paraId="2DD9C0E6" w14:textId="77777777">
        <w:tc>
          <w:tcPr>
            <w:tcW w:w="3680" w:type="dxa"/>
          </w:tcPr>
          <w:p w14:paraId="654CA19C" w14:textId="77777777" w:rsidR="00265792" w:rsidRPr="00BA7805" w:rsidRDefault="00265792">
            <w:pPr>
              <w:pStyle w:val="ARfintablebody"/>
              <w:rPr>
                <w:highlight w:val="green"/>
              </w:rPr>
            </w:pPr>
            <w:r>
              <w:t>Changes in physical asset revaluation surplus</w:t>
            </w:r>
          </w:p>
        </w:tc>
        <w:tc>
          <w:tcPr>
            <w:tcW w:w="876" w:type="dxa"/>
            <w:noWrap/>
          </w:tcPr>
          <w:p w14:paraId="47E0CCA4" w14:textId="77777777" w:rsidR="00265792" w:rsidRPr="00BA7805" w:rsidRDefault="00265792">
            <w:pPr>
              <w:pStyle w:val="ARfintablebodyright"/>
              <w:rPr>
                <w:highlight w:val="green"/>
              </w:rPr>
            </w:pPr>
            <w:r>
              <w:t>9.3(b)</w:t>
            </w:r>
          </w:p>
        </w:tc>
        <w:tc>
          <w:tcPr>
            <w:tcW w:w="1272" w:type="dxa"/>
            <w:shd w:val="clear" w:color="auto" w:fill="EEEEEF" w:themeFill="accent4"/>
            <w:noWrap/>
          </w:tcPr>
          <w:p w14:paraId="161789CB" w14:textId="77777777" w:rsidR="00265792" w:rsidRPr="00BA7805" w:rsidRDefault="00265792">
            <w:pPr>
              <w:pStyle w:val="ARfintablebodyright"/>
              <w:rPr>
                <w:highlight w:val="green"/>
              </w:rPr>
            </w:pPr>
            <w:r>
              <w:t>1,185.7</w:t>
            </w:r>
          </w:p>
        </w:tc>
        <w:tc>
          <w:tcPr>
            <w:tcW w:w="1272" w:type="dxa"/>
            <w:noWrap/>
          </w:tcPr>
          <w:p w14:paraId="200DFEE6" w14:textId="77777777" w:rsidR="00265792" w:rsidRPr="00BA7805" w:rsidRDefault="00265792">
            <w:pPr>
              <w:pStyle w:val="ARfintablebodyright"/>
              <w:rPr>
                <w:highlight w:val="green"/>
              </w:rPr>
            </w:pPr>
            <w:r>
              <w:t>–</w:t>
            </w:r>
          </w:p>
        </w:tc>
        <w:tc>
          <w:tcPr>
            <w:tcW w:w="1272" w:type="dxa"/>
            <w:shd w:val="clear" w:color="auto" w:fill="EEEEEF" w:themeFill="accent4"/>
            <w:noWrap/>
          </w:tcPr>
          <w:p w14:paraId="53F88257" w14:textId="77777777" w:rsidR="00265792" w:rsidRPr="00BA7805" w:rsidRDefault="00265792">
            <w:pPr>
              <w:pStyle w:val="ARfintablebodyright"/>
              <w:rPr>
                <w:highlight w:val="green"/>
              </w:rPr>
            </w:pPr>
            <w:r>
              <w:t>–</w:t>
            </w:r>
          </w:p>
        </w:tc>
        <w:tc>
          <w:tcPr>
            <w:tcW w:w="1272" w:type="dxa"/>
            <w:noWrap/>
            <w:vAlign w:val="center"/>
          </w:tcPr>
          <w:p w14:paraId="7FAD13B3" w14:textId="77777777" w:rsidR="00265792" w:rsidRPr="00BA7805" w:rsidRDefault="00265792">
            <w:pPr>
              <w:pStyle w:val="ARfintablebodyright"/>
              <w:rPr>
                <w:highlight w:val="green"/>
              </w:rPr>
            </w:pPr>
            <w:r>
              <w:t>1,185.7</w:t>
            </w:r>
          </w:p>
        </w:tc>
      </w:tr>
      <w:tr w:rsidR="00265792" w:rsidRPr="00BA7805" w14:paraId="7637C78C" w14:textId="77777777">
        <w:tc>
          <w:tcPr>
            <w:tcW w:w="3680" w:type="dxa"/>
          </w:tcPr>
          <w:p w14:paraId="15CA0F99" w14:textId="77777777" w:rsidR="00265792" w:rsidRPr="00BA7805" w:rsidRDefault="00265792">
            <w:pPr>
              <w:pStyle w:val="ARfintablebody"/>
              <w:rPr>
                <w:highlight w:val="green"/>
              </w:rPr>
            </w:pPr>
            <w:r>
              <w:t xml:space="preserve">Administrative restructure </w:t>
            </w:r>
            <w:r>
              <w:br/>
              <w:t>– net assets transferred</w:t>
            </w:r>
          </w:p>
        </w:tc>
        <w:tc>
          <w:tcPr>
            <w:tcW w:w="876" w:type="dxa"/>
          </w:tcPr>
          <w:p w14:paraId="03C52479" w14:textId="77777777" w:rsidR="00265792" w:rsidRPr="00BA7805" w:rsidRDefault="00265792">
            <w:pPr>
              <w:pStyle w:val="ARfintablebodyright"/>
              <w:rPr>
                <w:highlight w:val="green"/>
              </w:rPr>
            </w:pPr>
            <w:r>
              <w:t>4.3</w:t>
            </w:r>
          </w:p>
        </w:tc>
        <w:tc>
          <w:tcPr>
            <w:tcW w:w="1272" w:type="dxa"/>
            <w:shd w:val="clear" w:color="auto" w:fill="EEEEEF" w:themeFill="accent4"/>
            <w:noWrap/>
          </w:tcPr>
          <w:p w14:paraId="3D14D8CD" w14:textId="77777777" w:rsidR="00265792" w:rsidRPr="00BA7805" w:rsidRDefault="00265792">
            <w:pPr>
              <w:pStyle w:val="ARfintablebodyright"/>
              <w:rPr>
                <w:highlight w:val="green"/>
              </w:rPr>
            </w:pPr>
            <w:r>
              <w:t>–</w:t>
            </w:r>
          </w:p>
        </w:tc>
        <w:tc>
          <w:tcPr>
            <w:tcW w:w="1272" w:type="dxa"/>
            <w:noWrap/>
          </w:tcPr>
          <w:p w14:paraId="63CDF5B4" w14:textId="77777777" w:rsidR="00265792" w:rsidRPr="00BA7805" w:rsidRDefault="00265792">
            <w:pPr>
              <w:pStyle w:val="ARfintablebodyright"/>
              <w:rPr>
                <w:highlight w:val="green"/>
              </w:rPr>
            </w:pPr>
            <w:r>
              <w:t>–</w:t>
            </w:r>
          </w:p>
        </w:tc>
        <w:tc>
          <w:tcPr>
            <w:tcW w:w="1272" w:type="dxa"/>
            <w:shd w:val="clear" w:color="auto" w:fill="EEEEEF" w:themeFill="accent4"/>
            <w:noWrap/>
          </w:tcPr>
          <w:p w14:paraId="6F57F44C" w14:textId="77777777" w:rsidR="00265792" w:rsidRPr="00BA7805" w:rsidRDefault="00265792">
            <w:pPr>
              <w:pStyle w:val="ARfintablebodyright"/>
              <w:rPr>
                <w:highlight w:val="green"/>
              </w:rPr>
            </w:pPr>
            <w:r>
              <w:t>(0.9)</w:t>
            </w:r>
          </w:p>
        </w:tc>
        <w:tc>
          <w:tcPr>
            <w:tcW w:w="1272" w:type="dxa"/>
            <w:noWrap/>
          </w:tcPr>
          <w:p w14:paraId="1C43F5C2" w14:textId="77777777" w:rsidR="00265792" w:rsidRPr="00BA7805" w:rsidRDefault="00265792">
            <w:pPr>
              <w:pStyle w:val="ARfintablebodyright"/>
              <w:rPr>
                <w:highlight w:val="green"/>
              </w:rPr>
            </w:pPr>
            <w:r>
              <w:t>(0.9)</w:t>
            </w:r>
          </w:p>
        </w:tc>
      </w:tr>
      <w:tr w:rsidR="00265792" w:rsidRPr="00BA7805" w14:paraId="40CB5906" w14:textId="77777777">
        <w:tc>
          <w:tcPr>
            <w:tcW w:w="3680" w:type="dxa"/>
            <w:tcBorders>
              <w:bottom w:val="single" w:sz="4" w:space="0" w:color="A6A6A6" w:themeColor="accent5"/>
            </w:tcBorders>
          </w:tcPr>
          <w:p w14:paraId="54EF4F47" w14:textId="77777777" w:rsidR="00265792" w:rsidRPr="00BA7805" w:rsidRDefault="00265792">
            <w:pPr>
              <w:pStyle w:val="ARfintablebody"/>
              <w:rPr>
                <w:highlight w:val="green"/>
              </w:rPr>
            </w:pPr>
            <w:r>
              <w:t>Capital contributions by Victorian State Government</w:t>
            </w:r>
          </w:p>
        </w:tc>
        <w:tc>
          <w:tcPr>
            <w:tcW w:w="876" w:type="dxa"/>
            <w:tcBorders>
              <w:bottom w:val="single" w:sz="4" w:space="0" w:color="A6A6A6" w:themeColor="accent5"/>
            </w:tcBorders>
          </w:tcPr>
          <w:p w14:paraId="7BC135B9" w14:textId="77777777" w:rsidR="00265792" w:rsidRPr="00BA7805" w:rsidRDefault="00265792">
            <w:pPr>
              <w:pStyle w:val="ARfintablebodyright"/>
              <w:rPr>
                <w:highlight w:val="green"/>
              </w:rPr>
            </w:pPr>
          </w:p>
        </w:tc>
        <w:tc>
          <w:tcPr>
            <w:tcW w:w="1272" w:type="dxa"/>
            <w:tcBorders>
              <w:bottom w:val="single" w:sz="4" w:space="0" w:color="A6A6A6" w:themeColor="accent5"/>
            </w:tcBorders>
            <w:shd w:val="clear" w:color="auto" w:fill="EEEEEF" w:themeFill="accent4"/>
            <w:noWrap/>
          </w:tcPr>
          <w:p w14:paraId="3E36FFBB" w14:textId="77777777" w:rsidR="00265792" w:rsidRPr="00BA7805" w:rsidRDefault="00265792">
            <w:pPr>
              <w:pStyle w:val="ARfintablebodyright"/>
              <w:rPr>
                <w:highlight w:val="green"/>
              </w:rPr>
            </w:pPr>
            <w:r>
              <w:t>–</w:t>
            </w:r>
          </w:p>
        </w:tc>
        <w:tc>
          <w:tcPr>
            <w:tcW w:w="1272" w:type="dxa"/>
            <w:tcBorders>
              <w:bottom w:val="single" w:sz="4" w:space="0" w:color="A6A6A6" w:themeColor="accent5"/>
            </w:tcBorders>
            <w:noWrap/>
          </w:tcPr>
          <w:p w14:paraId="5EFD76C8" w14:textId="77777777" w:rsidR="00265792" w:rsidRPr="00BA7805" w:rsidRDefault="00265792">
            <w:pPr>
              <w:pStyle w:val="ARfintablebodyright"/>
              <w:rPr>
                <w:highlight w:val="green"/>
              </w:rPr>
            </w:pPr>
            <w:r>
              <w:t>–</w:t>
            </w:r>
          </w:p>
        </w:tc>
        <w:tc>
          <w:tcPr>
            <w:tcW w:w="1272" w:type="dxa"/>
            <w:tcBorders>
              <w:bottom w:val="single" w:sz="4" w:space="0" w:color="A6A6A6" w:themeColor="accent5"/>
            </w:tcBorders>
            <w:shd w:val="clear" w:color="auto" w:fill="EEEEEF" w:themeFill="accent4"/>
            <w:noWrap/>
          </w:tcPr>
          <w:p w14:paraId="3CC2CC4B" w14:textId="77777777" w:rsidR="00265792" w:rsidRPr="00BA7805" w:rsidRDefault="00265792">
            <w:pPr>
              <w:pStyle w:val="ARfintablebodyright"/>
              <w:rPr>
                <w:highlight w:val="green"/>
              </w:rPr>
            </w:pPr>
            <w:r>
              <w:t>832.2</w:t>
            </w:r>
          </w:p>
        </w:tc>
        <w:tc>
          <w:tcPr>
            <w:tcW w:w="1272" w:type="dxa"/>
            <w:tcBorders>
              <w:bottom w:val="single" w:sz="4" w:space="0" w:color="A6A6A6" w:themeColor="accent5"/>
            </w:tcBorders>
            <w:noWrap/>
          </w:tcPr>
          <w:p w14:paraId="182439D5" w14:textId="77777777" w:rsidR="00265792" w:rsidRPr="00BA7805" w:rsidRDefault="00265792">
            <w:pPr>
              <w:pStyle w:val="ARfintablebodyright"/>
              <w:rPr>
                <w:highlight w:val="green"/>
              </w:rPr>
            </w:pPr>
            <w:r>
              <w:t>832.2</w:t>
            </w:r>
          </w:p>
        </w:tc>
      </w:tr>
      <w:tr w:rsidR="00265792" w:rsidRPr="00BA7805" w14:paraId="25383F11" w14:textId="77777777">
        <w:tc>
          <w:tcPr>
            <w:tcW w:w="3680" w:type="dxa"/>
            <w:tcBorders>
              <w:top w:val="single" w:sz="4" w:space="0" w:color="A6A6A6" w:themeColor="accent5"/>
              <w:bottom w:val="single" w:sz="4" w:space="0" w:color="000000" w:themeColor="text1"/>
            </w:tcBorders>
          </w:tcPr>
          <w:p w14:paraId="5423214E" w14:textId="77777777" w:rsidR="00265792" w:rsidRPr="00BA7805" w:rsidRDefault="00265792">
            <w:pPr>
              <w:pStyle w:val="ARfintablebody"/>
              <w:rPr>
                <w:highlight w:val="green"/>
              </w:rPr>
            </w:pPr>
            <w:r>
              <w:t>Capital contributed from asset transfers</w:t>
            </w:r>
          </w:p>
        </w:tc>
        <w:tc>
          <w:tcPr>
            <w:tcW w:w="876" w:type="dxa"/>
            <w:tcBorders>
              <w:top w:val="single" w:sz="4" w:space="0" w:color="A6A6A6" w:themeColor="accent5"/>
              <w:bottom w:val="single" w:sz="4" w:space="0" w:color="000000" w:themeColor="text1"/>
            </w:tcBorders>
          </w:tcPr>
          <w:p w14:paraId="62C19D47" w14:textId="77777777" w:rsidR="00265792" w:rsidRPr="00BA7805" w:rsidRDefault="00265792">
            <w:pPr>
              <w:pStyle w:val="ARfintablebodyright"/>
              <w:rPr>
                <w:highlight w:val="green"/>
              </w:rPr>
            </w:pPr>
          </w:p>
        </w:tc>
        <w:tc>
          <w:tcPr>
            <w:tcW w:w="1272" w:type="dxa"/>
            <w:tcBorders>
              <w:top w:val="single" w:sz="4" w:space="0" w:color="A6A6A6" w:themeColor="accent5"/>
              <w:bottom w:val="single" w:sz="4" w:space="0" w:color="000000" w:themeColor="text1"/>
            </w:tcBorders>
            <w:shd w:val="clear" w:color="auto" w:fill="EEEEEF" w:themeFill="accent4"/>
            <w:noWrap/>
          </w:tcPr>
          <w:p w14:paraId="38BB94DE" w14:textId="77777777" w:rsidR="00265792" w:rsidRPr="00BA7805" w:rsidRDefault="00265792">
            <w:pPr>
              <w:pStyle w:val="ARfintablebodyright"/>
              <w:rPr>
                <w:highlight w:val="green"/>
              </w:rPr>
            </w:pPr>
            <w:r>
              <w:t>–</w:t>
            </w:r>
          </w:p>
        </w:tc>
        <w:tc>
          <w:tcPr>
            <w:tcW w:w="1272" w:type="dxa"/>
            <w:tcBorders>
              <w:top w:val="single" w:sz="4" w:space="0" w:color="A6A6A6" w:themeColor="accent5"/>
              <w:bottom w:val="single" w:sz="4" w:space="0" w:color="000000" w:themeColor="text1"/>
            </w:tcBorders>
            <w:noWrap/>
            <w:vAlign w:val="bottom"/>
          </w:tcPr>
          <w:p w14:paraId="0F4AEDF4" w14:textId="77777777" w:rsidR="00265792" w:rsidRPr="00BA7805" w:rsidRDefault="00265792">
            <w:pPr>
              <w:pStyle w:val="ARfintablebodyright"/>
              <w:rPr>
                <w:highlight w:val="green"/>
              </w:rPr>
            </w:pPr>
            <w:r>
              <w:t>–</w:t>
            </w:r>
          </w:p>
        </w:tc>
        <w:tc>
          <w:tcPr>
            <w:tcW w:w="1272" w:type="dxa"/>
            <w:tcBorders>
              <w:top w:val="single" w:sz="4" w:space="0" w:color="A6A6A6" w:themeColor="accent5"/>
              <w:bottom w:val="single" w:sz="4" w:space="0" w:color="000000" w:themeColor="text1"/>
            </w:tcBorders>
            <w:shd w:val="clear" w:color="auto" w:fill="EEEEEF" w:themeFill="accent4"/>
            <w:noWrap/>
            <w:vAlign w:val="bottom"/>
          </w:tcPr>
          <w:p w14:paraId="4897734C" w14:textId="77777777" w:rsidR="00265792" w:rsidRPr="00BA7805" w:rsidRDefault="00265792">
            <w:pPr>
              <w:pStyle w:val="ARfintablebodyright"/>
              <w:rPr>
                <w:highlight w:val="green"/>
              </w:rPr>
            </w:pPr>
            <w:r>
              <w:t>(0.4)</w:t>
            </w:r>
          </w:p>
        </w:tc>
        <w:tc>
          <w:tcPr>
            <w:tcW w:w="1272" w:type="dxa"/>
            <w:tcBorders>
              <w:top w:val="single" w:sz="4" w:space="0" w:color="A6A6A6" w:themeColor="accent5"/>
              <w:bottom w:val="single" w:sz="4" w:space="0" w:color="000000" w:themeColor="text1"/>
            </w:tcBorders>
            <w:noWrap/>
          </w:tcPr>
          <w:p w14:paraId="752EF349" w14:textId="77777777" w:rsidR="00265792" w:rsidRPr="00BA7805" w:rsidRDefault="00265792">
            <w:pPr>
              <w:pStyle w:val="ARfintablebodyright"/>
              <w:rPr>
                <w:highlight w:val="green"/>
              </w:rPr>
            </w:pPr>
            <w:r>
              <w:t>(0.4)</w:t>
            </w:r>
          </w:p>
        </w:tc>
      </w:tr>
      <w:tr w:rsidR="00265792" w:rsidRPr="00BA7805" w14:paraId="78A01966" w14:textId="77777777">
        <w:tc>
          <w:tcPr>
            <w:tcW w:w="3680" w:type="dxa"/>
            <w:tcBorders>
              <w:top w:val="single" w:sz="4" w:space="0" w:color="000000" w:themeColor="text1"/>
              <w:bottom w:val="single" w:sz="4" w:space="0" w:color="000000" w:themeColor="text1"/>
            </w:tcBorders>
          </w:tcPr>
          <w:p w14:paraId="79D83947" w14:textId="77777777" w:rsidR="00265792" w:rsidRPr="00BA7805" w:rsidRDefault="00265792">
            <w:pPr>
              <w:pStyle w:val="ARfintablebodybold"/>
              <w:rPr>
                <w:highlight w:val="green"/>
              </w:rPr>
            </w:pPr>
            <w:r>
              <w:t xml:space="preserve">Balance </w:t>
            </w:r>
            <w:proofErr w:type="gramStart"/>
            <w:r>
              <w:t>at</w:t>
            </w:r>
            <w:proofErr w:type="gramEnd"/>
            <w:r>
              <w:t xml:space="preserve"> 30 June 2024</w:t>
            </w:r>
          </w:p>
        </w:tc>
        <w:tc>
          <w:tcPr>
            <w:tcW w:w="876" w:type="dxa"/>
            <w:tcBorders>
              <w:top w:val="single" w:sz="4" w:space="0" w:color="000000" w:themeColor="text1"/>
              <w:bottom w:val="single" w:sz="4" w:space="0" w:color="000000" w:themeColor="text1"/>
            </w:tcBorders>
          </w:tcPr>
          <w:p w14:paraId="771A4B48" w14:textId="77777777" w:rsidR="00265792" w:rsidRPr="00BA7805" w:rsidRDefault="00265792">
            <w:pPr>
              <w:pStyle w:val="ARfintablebodyright"/>
              <w:rPr>
                <w:highlight w:val="green"/>
              </w:rPr>
            </w:pPr>
          </w:p>
        </w:tc>
        <w:tc>
          <w:tcPr>
            <w:tcW w:w="1272" w:type="dxa"/>
            <w:tcBorders>
              <w:top w:val="single" w:sz="4" w:space="0" w:color="000000" w:themeColor="text1"/>
              <w:bottom w:val="single" w:sz="4" w:space="0" w:color="000000" w:themeColor="text1"/>
            </w:tcBorders>
            <w:shd w:val="clear" w:color="auto" w:fill="EEEEEF" w:themeFill="accent4"/>
            <w:noWrap/>
            <w:vAlign w:val="bottom"/>
          </w:tcPr>
          <w:p w14:paraId="46C6F7FA" w14:textId="77777777" w:rsidR="00265792" w:rsidRPr="00BA7805" w:rsidRDefault="00265792">
            <w:pPr>
              <w:pStyle w:val="ARfintablebodyrightbold"/>
              <w:rPr>
                <w:highlight w:val="green"/>
              </w:rPr>
            </w:pPr>
            <w:r>
              <w:t>8,756.2</w:t>
            </w:r>
          </w:p>
        </w:tc>
        <w:tc>
          <w:tcPr>
            <w:tcW w:w="1272" w:type="dxa"/>
            <w:tcBorders>
              <w:top w:val="single" w:sz="4" w:space="0" w:color="000000" w:themeColor="text1"/>
              <w:bottom w:val="single" w:sz="4" w:space="0" w:color="000000" w:themeColor="text1"/>
            </w:tcBorders>
            <w:noWrap/>
            <w:vAlign w:val="bottom"/>
          </w:tcPr>
          <w:p w14:paraId="5A23FE2C" w14:textId="77777777" w:rsidR="00265792" w:rsidRPr="00BA7805" w:rsidRDefault="00265792">
            <w:pPr>
              <w:pStyle w:val="ARfintablebodyrightbold"/>
              <w:rPr>
                <w:highlight w:val="green"/>
              </w:rPr>
            </w:pPr>
            <w:r>
              <w:t>(455.4)</w:t>
            </w:r>
          </w:p>
        </w:tc>
        <w:tc>
          <w:tcPr>
            <w:tcW w:w="1272" w:type="dxa"/>
            <w:tcBorders>
              <w:top w:val="single" w:sz="4" w:space="0" w:color="000000" w:themeColor="text1"/>
              <w:bottom w:val="single" w:sz="4" w:space="0" w:color="000000" w:themeColor="text1"/>
            </w:tcBorders>
            <w:shd w:val="clear" w:color="auto" w:fill="EEEEEF" w:themeFill="accent4"/>
            <w:noWrap/>
            <w:vAlign w:val="bottom"/>
          </w:tcPr>
          <w:p w14:paraId="31DABB59" w14:textId="77777777" w:rsidR="00265792" w:rsidRPr="00BA7805" w:rsidRDefault="00265792">
            <w:pPr>
              <w:pStyle w:val="ARfintablebodyrightbold"/>
              <w:rPr>
                <w:highlight w:val="green"/>
              </w:rPr>
            </w:pPr>
            <w:r>
              <w:t>30,261.5</w:t>
            </w:r>
          </w:p>
        </w:tc>
        <w:tc>
          <w:tcPr>
            <w:tcW w:w="1272" w:type="dxa"/>
            <w:tcBorders>
              <w:top w:val="single" w:sz="4" w:space="0" w:color="000000" w:themeColor="text1"/>
              <w:bottom w:val="single" w:sz="4" w:space="0" w:color="000000" w:themeColor="text1"/>
            </w:tcBorders>
            <w:noWrap/>
            <w:vAlign w:val="bottom"/>
          </w:tcPr>
          <w:p w14:paraId="2F52053F" w14:textId="77777777" w:rsidR="00265792" w:rsidRPr="00BA7805" w:rsidRDefault="00265792">
            <w:pPr>
              <w:pStyle w:val="ARfintablebodyrightbold"/>
              <w:rPr>
                <w:highlight w:val="green"/>
              </w:rPr>
            </w:pPr>
            <w:r>
              <w:t>38,562.3</w:t>
            </w:r>
          </w:p>
        </w:tc>
      </w:tr>
      <w:tr w:rsidR="00265792" w:rsidRPr="00BA7805" w14:paraId="6E6A75CA" w14:textId="77777777">
        <w:tc>
          <w:tcPr>
            <w:tcW w:w="3680" w:type="dxa"/>
            <w:tcBorders>
              <w:top w:val="single" w:sz="4" w:space="0" w:color="000000" w:themeColor="text1"/>
              <w:bottom w:val="single" w:sz="4" w:space="0" w:color="A6A6A6" w:themeColor="accent5"/>
            </w:tcBorders>
          </w:tcPr>
          <w:p w14:paraId="30FB6441" w14:textId="77777777" w:rsidR="00265792" w:rsidRPr="00BA7805" w:rsidRDefault="00265792">
            <w:pPr>
              <w:pStyle w:val="ARfintablebody"/>
              <w:rPr>
                <w:highlight w:val="green"/>
              </w:rPr>
            </w:pPr>
            <w:r>
              <w:t>Net result for the year</w:t>
            </w:r>
          </w:p>
        </w:tc>
        <w:tc>
          <w:tcPr>
            <w:tcW w:w="876" w:type="dxa"/>
            <w:tcBorders>
              <w:top w:val="single" w:sz="4" w:space="0" w:color="000000" w:themeColor="text1"/>
              <w:bottom w:val="single" w:sz="4" w:space="0" w:color="A6A6A6" w:themeColor="accent5"/>
            </w:tcBorders>
            <w:noWrap/>
          </w:tcPr>
          <w:p w14:paraId="3741D161" w14:textId="77777777" w:rsidR="00265792" w:rsidRPr="00BA7805" w:rsidRDefault="00265792">
            <w:pPr>
              <w:pStyle w:val="ARfintablebodyright"/>
              <w:rPr>
                <w:highlight w:val="green"/>
              </w:rPr>
            </w:pPr>
          </w:p>
        </w:tc>
        <w:tc>
          <w:tcPr>
            <w:tcW w:w="1272" w:type="dxa"/>
            <w:tcBorders>
              <w:top w:val="single" w:sz="4" w:space="0" w:color="000000" w:themeColor="text1"/>
              <w:bottom w:val="single" w:sz="4" w:space="0" w:color="A6A6A6" w:themeColor="accent5"/>
            </w:tcBorders>
            <w:shd w:val="clear" w:color="auto" w:fill="EEEEEF" w:themeFill="accent4"/>
            <w:noWrap/>
          </w:tcPr>
          <w:p w14:paraId="730A3FD1" w14:textId="77777777" w:rsidR="00265792" w:rsidRPr="00BA7805" w:rsidRDefault="00265792">
            <w:pPr>
              <w:pStyle w:val="ARfintablebodyright"/>
              <w:rPr>
                <w:highlight w:val="green"/>
              </w:rPr>
            </w:pPr>
            <w:r>
              <w:t>–</w:t>
            </w:r>
          </w:p>
        </w:tc>
        <w:tc>
          <w:tcPr>
            <w:tcW w:w="1272" w:type="dxa"/>
            <w:tcBorders>
              <w:top w:val="single" w:sz="4" w:space="0" w:color="000000" w:themeColor="text1"/>
              <w:bottom w:val="single" w:sz="4" w:space="0" w:color="A6A6A6" w:themeColor="accent5"/>
            </w:tcBorders>
            <w:noWrap/>
          </w:tcPr>
          <w:p w14:paraId="6B3F1D00" w14:textId="77777777" w:rsidR="00265792" w:rsidRPr="00BA7805" w:rsidRDefault="00265792">
            <w:pPr>
              <w:pStyle w:val="ARfintablebodyright"/>
              <w:rPr>
                <w:highlight w:val="green"/>
              </w:rPr>
            </w:pPr>
            <w:r>
              <w:t>(522.2)</w:t>
            </w:r>
          </w:p>
        </w:tc>
        <w:tc>
          <w:tcPr>
            <w:tcW w:w="1272" w:type="dxa"/>
            <w:tcBorders>
              <w:top w:val="single" w:sz="4" w:space="0" w:color="000000" w:themeColor="text1"/>
              <w:bottom w:val="single" w:sz="4" w:space="0" w:color="A6A6A6" w:themeColor="accent5"/>
            </w:tcBorders>
            <w:shd w:val="clear" w:color="auto" w:fill="EEEEEF" w:themeFill="accent4"/>
            <w:noWrap/>
          </w:tcPr>
          <w:p w14:paraId="6F486E60" w14:textId="77777777" w:rsidR="00265792" w:rsidRPr="00BA7805" w:rsidRDefault="00265792">
            <w:pPr>
              <w:pStyle w:val="ARfintablebodyright"/>
              <w:rPr>
                <w:highlight w:val="green"/>
              </w:rPr>
            </w:pPr>
            <w:r>
              <w:t>–</w:t>
            </w:r>
          </w:p>
        </w:tc>
        <w:tc>
          <w:tcPr>
            <w:tcW w:w="1272" w:type="dxa"/>
            <w:tcBorders>
              <w:top w:val="single" w:sz="4" w:space="0" w:color="000000" w:themeColor="text1"/>
              <w:bottom w:val="single" w:sz="4" w:space="0" w:color="A6A6A6" w:themeColor="accent5"/>
            </w:tcBorders>
            <w:noWrap/>
          </w:tcPr>
          <w:p w14:paraId="48BF4FF0" w14:textId="77777777" w:rsidR="00265792" w:rsidRPr="00BA7805" w:rsidRDefault="00265792">
            <w:pPr>
              <w:pStyle w:val="ARfintablebodyright"/>
              <w:rPr>
                <w:highlight w:val="green"/>
              </w:rPr>
            </w:pPr>
            <w:r>
              <w:t>(522.2)</w:t>
            </w:r>
          </w:p>
        </w:tc>
      </w:tr>
      <w:tr w:rsidR="00265792" w:rsidRPr="00BA7805" w14:paraId="3AE173FF" w14:textId="77777777">
        <w:tc>
          <w:tcPr>
            <w:tcW w:w="3680" w:type="dxa"/>
            <w:tcBorders>
              <w:top w:val="single" w:sz="4" w:space="0" w:color="A6A6A6" w:themeColor="accent5"/>
            </w:tcBorders>
          </w:tcPr>
          <w:p w14:paraId="0535AACA" w14:textId="77777777" w:rsidR="00265792" w:rsidRPr="00BA7805" w:rsidRDefault="00265792">
            <w:pPr>
              <w:pStyle w:val="ARfintablebody"/>
              <w:rPr>
                <w:highlight w:val="green"/>
              </w:rPr>
            </w:pPr>
            <w:r>
              <w:t>Remeasurement of superannuation defined benefit plans</w:t>
            </w:r>
          </w:p>
        </w:tc>
        <w:tc>
          <w:tcPr>
            <w:tcW w:w="876" w:type="dxa"/>
            <w:tcBorders>
              <w:top w:val="single" w:sz="4" w:space="0" w:color="A6A6A6" w:themeColor="accent5"/>
            </w:tcBorders>
            <w:noWrap/>
          </w:tcPr>
          <w:p w14:paraId="76E5CA24" w14:textId="77777777" w:rsidR="00265792" w:rsidRPr="00BA7805" w:rsidRDefault="00265792">
            <w:pPr>
              <w:pStyle w:val="ARfintablebodyright"/>
              <w:rPr>
                <w:highlight w:val="green"/>
              </w:rPr>
            </w:pPr>
            <w:r>
              <w:t>9.3(a)</w:t>
            </w:r>
          </w:p>
        </w:tc>
        <w:tc>
          <w:tcPr>
            <w:tcW w:w="1272" w:type="dxa"/>
            <w:tcBorders>
              <w:top w:val="single" w:sz="4" w:space="0" w:color="A6A6A6" w:themeColor="accent5"/>
            </w:tcBorders>
            <w:shd w:val="clear" w:color="auto" w:fill="EEEEEF" w:themeFill="accent4"/>
            <w:noWrap/>
          </w:tcPr>
          <w:p w14:paraId="6888C136" w14:textId="77777777" w:rsidR="00265792" w:rsidRPr="00BA7805" w:rsidRDefault="00265792">
            <w:pPr>
              <w:pStyle w:val="ARfintablebodyright"/>
              <w:rPr>
                <w:highlight w:val="green"/>
              </w:rPr>
            </w:pPr>
            <w:r>
              <w:t>–</w:t>
            </w:r>
          </w:p>
        </w:tc>
        <w:tc>
          <w:tcPr>
            <w:tcW w:w="1272" w:type="dxa"/>
            <w:tcBorders>
              <w:top w:val="single" w:sz="4" w:space="0" w:color="A6A6A6" w:themeColor="accent5"/>
            </w:tcBorders>
            <w:noWrap/>
          </w:tcPr>
          <w:p w14:paraId="61691174" w14:textId="77777777" w:rsidR="00265792" w:rsidRPr="00BA7805" w:rsidRDefault="00265792">
            <w:pPr>
              <w:pStyle w:val="ARfintablebodyright"/>
              <w:rPr>
                <w:highlight w:val="green"/>
              </w:rPr>
            </w:pPr>
            <w:r>
              <w:t>(1.2)</w:t>
            </w:r>
          </w:p>
        </w:tc>
        <w:tc>
          <w:tcPr>
            <w:tcW w:w="1272" w:type="dxa"/>
            <w:tcBorders>
              <w:top w:val="single" w:sz="4" w:space="0" w:color="A6A6A6" w:themeColor="accent5"/>
            </w:tcBorders>
            <w:shd w:val="clear" w:color="auto" w:fill="EEEEEF" w:themeFill="accent4"/>
            <w:noWrap/>
          </w:tcPr>
          <w:p w14:paraId="16CF6B01" w14:textId="77777777" w:rsidR="00265792" w:rsidRPr="00BA7805" w:rsidRDefault="00265792">
            <w:pPr>
              <w:pStyle w:val="ARfintablebodyright"/>
              <w:rPr>
                <w:highlight w:val="green"/>
              </w:rPr>
            </w:pPr>
            <w:r>
              <w:t>–</w:t>
            </w:r>
          </w:p>
        </w:tc>
        <w:tc>
          <w:tcPr>
            <w:tcW w:w="1272" w:type="dxa"/>
            <w:tcBorders>
              <w:top w:val="single" w:sz="4" w:space="0" w:color="A6A6A6" w:themeColor="accent5"/>
            </w:tcBorders>
            <w:noWrap/>
          </w:tcPr>
          <w:p w14:paraId="2E48D35D" w14:textId="77777777" w:rsidR="00265792" w:rsidRPr="00BA7805" w:rsidRDefault="00265792">
            <w:pPr>
              <w:pStyle w:val="ARfintablebodyright"/>
              <w:rPr>
                <w:highlight w:val="green"/>
              </w:rPr>
            </w:pPr>
            <w:r>
              <w:t>(1.2)</w:t>
            </w:r>
          </w:p>
        </w:tc>
      </w:tr>
      <w:tr w:rsidR="00265792" w:rsidRPr="00BA7805" w14:paraId="6F35BEAD" w14:textId="77777777">
        <w:tc>
          <w:tcPr>
            <w:tcW w:w="3680" w:type="dxa"/>
          </w:tcPr>
          <w:p w14:paraId="762BD5F9" w14:textId="77777777" w:rsidR="00265792" w:rsidRPr="00BA7805" w:rsidRDefault="00265792">
            <w:pPr>
              <w:pStyle w:val="ARfintablebody"/>
              <w:rPr>
                <w:highlight w:val="green"/>
              </w:rPr>
            </w:pPr>
            <w:r>
              <w:t>Changes in physical asset revaluation surplus</w:t>
            </w:r>
          </w:p>
        </w:tc>
        <w:tc>
          <w:tcPr>
            <w:tcW w:w="876" w:type="dxa"/>
          </w:tcPr>
          <w:p w14:paraId="0ABCB795" w14:textId="77777777" w:rsidR="00265792" w:rsidRPr="00BA7805" w:rsidRDefault="00265792">
            <w:pPr>
              <w:pStyle w:val="ARfintablebodyright"/>
              <w:rPr>
                <w:highlight w:val="green"/>
              </w:rPr>
            </w:pPr>
            <w:r>
              <w:t>9.3(b)</w:t>
            </w:r>
          </w:p>
        </w:tc>
        <w:tc>
          <w:tcPr>
            <w:tcW w:w="1272" w:type="dxa"/>
            <w:shd w:val="clear" w:color="auto" w:fill="EEEEEF" w:themeFill="accent4"/>
            <w:noWrap/>
          </w:tcPr>
          <w:p w14:paraId="04DB8801" w14:textId="77777777" w:rsidR="00265792" w:rsidRPr="00BA7805" w:rsidRDefault="00265792">
            <w:pPr>
              <w:pStyle w:val="ARfintablebodyright"/>
              <w:rPr>
                <w:highlight w:val="green"/>
              </w:rPr>
            </w:pPr>
            <w:r>
              <w:t>(1.7)</w:t>
            </w:r>
          </w:p>
        </w:tc>
        <w:tc>
          <w:tcPr>
            <w:tcW w:w="1272" w:type="dxa"/>
            <w:noWrap/>
          </w:tcPr>
          <w:p w14:paraId="74FD3CAB" w14:textId="77777777" w:rsidR="00265792" w:rsidRPr="00BA7805" w:rsidRDefault="00265792">
            <w:pPr>
              <w:pStyle w:val="ARfintablebodyright"/>
              <w:rPr>
                <w:highlight w:val="green"/>
              </w:rPr>
            </w:pPr>
            <w:r>
              <w:t>–</w:t>
            </w:r>
          </w:p>
        </w:tc>
        <w:tc>
          <w:tcPr>
            <w:tcW w:w="1272" w:type="dxa"/>
            <w:shd w:val="clear" w:color="auto" w:fill="EEEEEF" w:themeFill="accent4"/>
            <w:noWrap/>
          </w:tcPr>
          <w:p w14:paraId="320D4FB4" w14:textId="77777777" w:rsidR="00265792" w:rsidRPr="00BA7805" w:rsidRDefault="00265792">
            <w:pPr>
              <w:pStyle w:val="ARfintablebodyright"/>
              <w:rPr>
                <w:highlight w:val="green"/>
              </w:rPr>
            </w:pPr>
            <w:r>
              <w:t>–</w:t>
            </w:r>
          </w:p>
        </w:tc>
        <w:tc>
          <w:tcPr>
            <w:tcW w:w="1272" w:type="dxa"/>
            <w:noWrap/>
          </w:tcPr>
          <w:p w14:paraId="43B76F4D" w14:textId="77777777" w:rsidR="00265792" w:rsidRPr="00BA7805" w:rsidRDefault="00265792">
            <w:pPr>
              <w:pStyle w:val="ARfintablebodyright"/>
              <w:rPr>
                <w:highlight w:val="green"/>
              </w:rPr>
            </w:pPr>
            <w:r>
              <w:t>(1.7)</w:t>
            </w:r>
          </w:p>
        </w:tc>
      </w:tr>
      <w:tr w:rsidR="00265792" w:rsidRPr="00BA7805" w14:paraId="608973B0" w14:textId="77777777">
        <w:tc>
          <w:tcPr>
            <w:tcW w:w="3680" w:type="dxa"/>
          </w:tcPr>
          <w:p w14:paraId="7BE0EDA7" w14:textId="77777777" w:rsidR="00265792" w:rsidRPr="00BA7805" w:rsidRDefault="00265792">
            <w:pPr>
              <w:pStyle w:val="ARfintablebody"/>
              <w:rPr>
                <w:highlight w:val="green"/>
              </w:rPr>
            </w:pPr>
            <w:r>
              <w:t>Capital contributions by Victorian State Government</w:t>
            </w:r>
          </w:p>
        </w:tc>
        <w:tc>
          <w:tcPr>
            <w:tcW w:w="876" w:type="dxa"/>
          </w:tcPr>
          <w:p w14:paraId="7F0A14C7" w14:textId="77777777" w:rsidR="00265792" w:rsidRPr="00BA7805" w:rsidRDefault="00265792">
            <w:pPr>
              <w:pStyle w:val="ARfintablebodyright"/>
              <w:rPr>
                <w:highlight w:val="green"/>
              </w:rPr>
            </w:pPr>
          </w:p>
        </w:tc>
        <w:tc>
          <w:tcPr>
            <w:tcW w:w="1272" w:type="dxa"/>
            <w:shd w:val="clear" w:color="auto" w:fill="EEEEEF" w:themeFill="accent4"/>
            <w:noWrap/>
          </w:tcPr>
          <w:p w14:paraId="40CC12E6" w14:textId="77777777" w:rsidR="00265792" w:rsidRPr="00BA7805" w:rsidRDefault="00265792">
            <w:pPr>
              <w:pStyle w:val="ARfintablebodyright"/>
              <w:rPr>
                <w:highlight w:val="green"/>
              </w:rPr>
            </w:pPr>
            <w:r>
              <w:t>–</w:t>
            </w:r>
          </w:p>
        </w:tc>
        <w:tc>
          <w:tcPr>
            <w:tcW w:w="1272" w:type="dxa"/>
            <w:noWrap/>
          </w:tcPr>
          <w:p w14:paraId="6FFDDE17" w14:textId="77777777" w:rsidR="00265792" w:rsidRPr="00BA7805" w:rsidRDefault="00265792">
            <w:pPr>
              <w:pStyle w:val="ARfintablebodyright"/>
              <w:rPr>
                <w:highlight w:val="green"/>
              </w:rPr>
            </w:pPr>
            <w:r>
              <w:t>–</w:t>
            </w:r>
          </w:p>
        </w:tc>
        <w:tc>
          <w:tcPr>
            <w:tcW w:w="1272" w:type="dxa"/>
            <w:shd w:val="clear" w:color="auto" w:fill="EEEEEF" w:themeFill="accent4"/>
            <w:noWrap/>
          </w:tcPr>
          <w:p w14:paraId="793DFEB4" w14:textId="77777777" w:rsidR="00265792" w:rsidRPr="00BA7805" w:rsidRDefault="00265792">
            <w:pPr>
              <w:pStyle w:val="ARfintablebodyright"/>
              <w:rPr>
                <w:highlight w:val="green"/>
              </w:rPr>
            </w:pPr>
            <w:r>
              <w:t>1,063.4</w:t>
            </w:r>
          </w:p>
        </w:tc>
        <w:tc>
          <w:tcPr>
            <w:tcW w:w="1272" w:type="dxa"/>
            <w:noWrap/>
          </w:tcPr>
          <w:p w14:paraId="5A614463" w14:textId="77777777" w:rsidR="00265792" w:rsidRPr="00BA7805" w:rsidRDefault="00265792">
            <w:pPr>
              <w:pStyle w:val="ARfintablebodyright"/>
              <w:rPr>
                <w:highlight w:val="green"/>
              </w:rPr>
            </w:pPr>
            <w:r>
              <w:t>1,063.4</w:t>
            </w:r>
          </w:p>
        </w:tc>
      </w:tr>
      <w:tr w:rsidR="00265792" w:rsidRPr="0011706E" w14:paraId="38FD2301" w14:textId="77777777">
        <w:tc>
          <w:tcPr>
            <w:tcW w:w="3680" w:type="dxa"/>
          </w:tcPr>
          <w:p w14:paraId="14280C18" w14:textId="77777777" w:rsidR="00265792" w:rsidRPr="007B24B9" w:rsidRDefault="00265792">
            <w:pPr>
              <w:pStyle w:val="ARfintablebody"/>
              <w:rPr>
                <w:highlight w:val="green"/>
              </w:rPr>
            </w:pPr>
            <w:r>
              <w:t>Asset transfer via capital contribution</w:t>
            </w:r>
          </w:p>
        </w:tc>
        <w:tc>
          <w:tcPr>
            <w:tcW w:w="876" w:type="dxa"/>
          </w:tcPr>
          <w:p w14:paraId="5F64B06F" w14:textId="77777777" w:rsidR="00265792" w:rsidRPr="0011706E" w:rsidRDefault="00265792">
            <w:pPr>
              <w:pStyle w:val="ARfintablebodyright"/>
              <w:rPr>
                <w:highlight w:val="green"/>
              </w:rPr>
            </w:pPr>
          </w:p>
        </w:tc>
        <w:tc>
          <w:tcPr>
            <w:tcW w:w="1272" w:type="dxa"/>
            <w:shd w:val="clear" w:color="auto" w:fill="EEEEEF" w:themeFill="accent4"/>
            <w:noWrap/>
          </w:tcPr>
          <w:p w14:paraId="34D1899C" w14:textId="77777777" w:rsidR="00265792" w:rsidRPr="007B24B9" w:rsidRDefault="00265792">
            <w:pPr>
              <w:pStyle w:val="ARfintablebodyright"/>
              <w:rPr>
                <w:highlight w:val="green"/>
              </w:rPr>
            </w:pPr>
            <w:r>
              <w:t>–</w:t>
            </w:r>
          </w:p>
        </w:tc>
        <w:tc>
          <w:tcPr>
            <w:tcW w:w="1272" w:type="dxa"/>
            <w:noWrap/>
          </w:tcPr>
          <w:p w14:paraId="6599061A" w14:textId="77777777" w:rsidR="00265792" w:rsidRPr="007B24B9" w:rsidRDefault="00265792">
            <w:pPr>
              <w:pStyle w:val="ARfintablebodyright"/>
              <w:rPr>
                <w:highlight w:val="green"/>
              </w:rPr>
            </w:pPr>
            <w:r>
              <w:t>–</w:t>
            </w:r>
          </w:p>
        </w:tc>
        <w:tc>
          <w:tcPr>
            <w:tcW w:w="1272" w:type="dxa"/>
            <w:shd w:val="clear" w:color="auto" w:fill="EEEEEF" w:themeFill="accent4"/>
            <w:noWrap/>
          </w:tcPr>
          <w:p w14:paraId="3A8C0AE2" w14:textId="77777777" w:rsidR="00265792" w:rsidRPr="007B24B9" w:rsidRDefault="00265792">
            <w:pPr>
              <w:pStyle w:val="ARfintablebodyright"/>
              <w:rPr>
                <w:highlight w:val="green"/>
              </w:rPr>
            </w:pPr>
            <w:r>
              <w:t>(6.8)</w:t>
            </w:r>
          </w:p>
        </w:tc>
        <w:tc>
          <w:tcPr>
            <w:tcW w:w="1272" w:type="dxa"/>
            <w:noWrap/>
          </w:tcPr>
          <w:p w14:paraId="298A481C" w14:textId="77777777" w:rsidR="00265792" w:rsidRPr="007B24B9" w:rsidRDefault="00265792">
            <w:pPr>
              <w:pStyle w:val="ARfintablebodyright"/>
              <w:rPr>
                <w:highlight w:val="green"/>
              </w:rPr>
            </w:pPr>
            <w:r>
              <w:t>(6.8)</w:t>
            </w:r>
          </w:p>
        </w:tc>
      </w:tr>
      <w:tr w:rsidR="00265792" w:rsidRPr="0011706E" w14:paraId="175EE90E" w14:textId="77777777">
        <w:trPr>
          <w:cnfStyle w:val="010000000000" w:firstRow="0" w:lastRow="1" w:firstColumn="0" w:lastColumn="0" w:oddVBand="0" w:evenVBand="0" w:oddHBand="0" w:evenHBand="0" w:firstRowFirstColumn="0" w:firstRowLastColumn="0" w:lastRowFirstColumn="0" w:lastRowLastColumn="0"/>
        </w:trPr>
        <w:tc>
          <w:tcPr>
            <w:tcW w:w="3680" w:type="dxa"/>
          </w:tcPr>
          <w:p w14:paraId="6234A61E" w14:textId="77777777" w:rsidR="00265792" w:rsidRPr="00FA62EE" w:rsidRDefault="00265792">
            <w:pPr>
              <w:pStyle w:val="ARfintablebodybold"/>
              <w:rPr>
                <w:highlight w:val="green"/>
              </w:rPr>
            </w:pPr>
            <w:r>
              <w:t xml:space="preserve">Balance </w:t>
            </w:r>
            <w:proofErr w:type="gramStart"/>
            <w:r>
              <w:t>at</w:t>
            </w:r>
            <w:proofErr w:type="gramEnd"/>
            <w:r>
              <w:t xml:space="preserve"> 30 June 2025</w:t>
            </w:r>
          </w:p>
        </w:tc>
        <w:tc>
          <w:tcPr>
            <w:tcW w:w="876" w:type="dxa"/>
            <w:noWrap/>
          </w:tcPr>
          <w:p w14:paraId="18D5B50D" w14:textId="77777777" w:rsidR="00265792" w:rsidRPr="00FA62EE" w:rsidRDefault="00265792">
            <w:pPr>
              <w:pStyle w:val="ARfintablebodyright"/>
            </w:pPr>
          </w:p>
        </w:tc>
        <w:tc>
          <w:tcPr>
            <w:tcW w:w="1272" w:type="dxa"/>
            <w:shd w:val="clear" w:color="auto" w:fill="EEEEEF" w:themeFill="accent4"/>
            <w:noWrap/>
            <w:vAlign w:val="bottom"/>
          </w:tcPr>
          <w:p w14:paraId="598F79A1" w14:textId="77777777" w:rsidR="00265792" w:rsidRPr="00167567" w:rsidRDefault="00265792">
            <w:pPr>
              <w:pStyle w:val="ARfintablebodyrightbold"/>
            </w:pPr>
            <w:r>
              <w:t>8,754.5</w:t>
            </w:r>
          </w:p>
        </w:tc>
        <w:tc>
          <w:tcPr>
            <w:tcW w:w="1272" w:type="dxa"/>
            <w:noWrap/>
            <w:vAlign w:val="bottom"/>
          </w:tcPr>
          <w:p w14:paraId="703A0162" w14:textId="77777777" w:rsidR="00265792" w:rsidRPr="00167567" w:rsidRDefault="00265792">
            <w:pPr>
              <w:pStyle w:val="ARfintablebodyrightbold"/>
            </w:pPr>
            <w:r>
              <w:t>(978.8)</w:t>
            </w:r>
          </w:p>
        </w:tc>
        <w:tc>
          <w:tcPr>
            <w:tcW w:w="1272" w:type="dxa"/>
            <w:shd w:val="clear" w:color="auto" w:fill="EEEEEF" w:themeFill="accent4"/>
            <w:noWrap/>
            <w:vAlign w:val="bottom"/>
          </w:tcPr>
          <w:p w14:paraId="7C53FC04" w14:textId="77777777" w:rsidR="00265792" w:rsidRPr="00167567" w:rsidRDefault="00265792">
            <w:pPr>
              <w:pStyle w:val="ARfintablebodyrightbold"/>
            </w:pPr>
            <w:r>
              <w:t>31,318.1</w:t>
            </w:r>
          </w:p>
        </w:tc>
        <w:tc>
          <w:tcPr>
            <w:tcW w:w="1272" w:type="dxa"/>
            <w:vAlign w:val="bottom"/>
          </w:tcPr>
          <w:p w14:paraId="3CF8298D" w14:textId="77777777" w:rsidR="00265792" w:rsidRPr="00167567" w:rsidRDefault="00265792">
            <w:pPr>
              <w:pStyle w:val="ARfintablebodyrightbold"/>
            </w:pPr>
            <w:r>
              <w:t>39,093.8</w:t>
            </w:r>
          </w:p>
        </w:tc>
      </w:tr>
    </w:tbl>
    <w:p w14:paraId="2F1F87F7" w14:textId="77777777" w:rsidR="00265792" w:rsidRPr="00BA7805" w:rsidRDefault="00265792">
      <w:pPr>
        <w:pStyle w:val="ARfinbodyaftertable"/>
        <w:rPr>
          <w:highlight w:val="green"/>
        </w:rPr>
      </w:pPr>
      <w:r w:rsidRPr="007564AB">
        <w:t>The statement of changes in equity should be read in conjunction with the notes to the financial statements.</w:t>
      </w:r>
      <w:r w:rsidRPr="00BA7805">
        <w:rPr>
          <w:highlight w:val="green"/>
        </w:rPr>
        <w:br w:type="page"/>
      </w:r>
    </w:p>
    <w:p w14:paraId="67AFEC50" w14:textId="77777777" w:rsidR="00265792" w:rsidRPr="008C5713" w:rsidRDefault="00265792" w:rsidP="00BB645D">
      <w:pPr>
        <w:pStyle w:val="Heading2Financials"/>
        <w:spacing w:before="0"/>
        <w:rPr>
          <w:lang w:eastAsia="en-AU"/>
        </w:rPr>
      </w:pPr>
      <w:bookmarkStart w:id="259" w:name="_Toc212041655"/>
      <w:bookmarkStart w:id="260" w:name="Notes149"/>
      <w:r w:rsidRPr="00227A29">
        <w:rPr>
          <w:lang w:eastAsia="en-AU"/>
        </w:rPr>
        <w:lastRenderedPageBreak/>
        <w:t>Notes to and forming part of the financial statements for the financial year ended 30 June 202</w:t>
      </w:r>
      <w:r>
        <w:rPr>
          <w:lang w:eastAsia="en-AU"/>
        </w:rPr>
        <w:t>5</w:t>
      </w:r>
      <w:bookmarkEnd w:id="259"/>
    </w:p>
    <w:p w14:paraId="6309B43E" w14:textId="77777777" w:rsidR="00265792" w:rsidRDefault="00265792" w:rsidP="002542E1">
      <w:pPr>
        <w:pStyle w:val="Heading3"/>
      </w:pPr>
      <w:bookmarkStart w:id="261" w:name="_Ref178241003"/>
      <w:bookmarkStart w:id="262" w:name="_Toc212041656"/>
      <w:bookmarkEnd w:id="260"/>
      <w:r>
        <w:t>1. About this report</w:t>
      </w:r>
      <w:bookmarkEnd w:id="261"/>
      <w:bookmarkEnd w:id="262"/>
    </w:p>
    <w:p w14:paraId="0654A00B" w14:textId="77777777" w:rsidR="00265792" w:rsidRDefault="00265792" w:rsidP="00FB5771">
      <w:pPr>
        <w:pStyle w:val="ARfinbody"/>
      </w:pPr>
      <w:r>
        <w:t xml:space="preserve">The Department of Families, Fairness and Housing (the department) was established on 1 February 2021 as a government department of the State of Victoria, pursuant to an order made by the Premier under the </w:t>
      </w:r>
      <w:bookmarkStart w:id="263" w:name="PAA148"/>
      <w:r w:rsidRPr="00E15716">
        <w:rPr>
          <w:rStyle w:val="Emphasis"/>
        </w:rPr>
        <w:t>Public Administration Act 2004</w:t>
      </w:r>
      <w:bookmarkEnd w:id="263"/>
      <w:r>
        <w:t>. It is an administrative agency acting on behalf of the Crown.</w:t>
      </w:r>
    </w:p>
    <w:p w14:paraId="778C8096" w14:textId="77777777" w:rsidR="00265792" w:rsidRDefault="00265792" w:rsidP="00FB5771">
      <w:pPr>
        <w:pStyle w:val="ARfinbody"/>
      </w:pPr>
      <w:r>
        <w:t>Its principal address is:</w:t>
      </w:r>
    </w:p>
    <w:p w14:paraId="642DFC57" w14:textId="77777777" w:rsidR="00265792" w:rsidRDefault="00265792" w:rsidP="00FB5771">
      <w:pPr>
        <w:pStyle w:val="ARfinbodynospace"/>
      </w:pPr>
      <w:r>
        <w:t>Department of Families, Fairness and Housing</w:t>
      </w:r>
    </w:p>
    <w:p w14:paraId="53368D91" w14:textId="77777777" w:rsidR="00265792" w:rsidRDefault="00265792" w:rsidP="00FB5771">
      <w:pPr>
        <w:pStyle w:val="ARfinbodynospace"/>
      </w:pPr>
      <w:r>
        <w:t>50 Lonsdale Street</w:t>
      </w:r>
    </w:p>
    <w:p w14:paraId="6EE1C618" w14:textId="77777777" w:rsidR="00265792" w:rsidRDefault="00265792" w:rsidP="00FB5771">
      <w:pPr>
        <w:pStyle w:val="ARfinbody"/>
      </w:pPr>
      <w:r>
        <w:t>Melbourne VIC 3000</w:t>
      </w:r>
    </w:p>
    <w:p w14:paraId="66797F6D" w14:textId="77777777" w:rsidR="00265792" w:rsidRDefault="00265792" w:rsidP="00FB5771">
      <w:pPr>
        <w:pStyle w:val="ARfinbody"/>
      </w:pPr>
      <w:r>
        <w:t>A description of the nature of its operations and its principal activities is included in the report of operations, which does not form part of these financial statements.</w:t>
      </w:r>
    </w:p>
    <w:p w14:paraId="5E1A6A6A" w14:textId="77777777" w:rsidR="00265792" w:rsidRDefault="00265792" w:rsidP="003B45F9">
      <w:pPr>
        <w:pStyle w:val="Heading4"/>
      </w:pPr>
      <w:r>
        <w:t>Basis of preparation</w:t>
      </w:r>
    </w:p>
    <w:p w14:paraId="36713AFA" w14:textId="77777777" w:rsidR="00265792" w:rsidRDefault="00265792" w:rsidP="00FB5771">
      <w:pPr>
        <w:pStyle w:val="ARfinbody"/>
      </w:pPr>
      <w:r>
        <w:t>These financial statements cover the Department of Families, Fairness and Housing as an individual reporting entity and include all controlled activities of the department.</w:t>
      </w:r>
    </w:p>
    <w:p w14:paraId="30F053D3" w14:textId="48CE94A8" w:rsidR="00265792" w:rsidRDefault="00265792" w:rsidP="00FB5771">
      <w:pPr>
        <w:pStyle w:val="ARfinbody"/>
      </w:pPr>
      <w:r>
        <w:t xml:space="preserve">Where control of an entity is obtained during the financial year, its results are included in the comprehensive operating statement from the date on which control commenced. Where control ceases during the financial year, the entity’s results are included for that part of the period in which control existed. Where entities adopt dissimilar accounting policies and their effect is considered material, adjustments are made to ensure consistent policies are adopted in these financial statements. There were no new entities for which </w:t>
      </w:r>
      <w:r w:rsidR="00F13AB7">
        <w:t xml:space="preserve">the department </w:t>
      </w:r>
      <w:r>
        <w:t>obtained control over in 2024–25.</w:t>
      </w:r>
    </w:p>
    <w:p w14:paraId="0ECC98AD" w14:textId="3829C999" w:rsidR="00265792" w:rsidRDefault="00265792" w:rsidP="00FB5771">
      <w:pPr>
        <w:pStyle w:val="ARfinbody"/>
      </w:pPr>
      <w:r>
        <w:t xml:space="preserve">Furthermore, in accordance with determinations made by the Minister for Finance under s. 53(1)(b) of the </w:t>
      </w:r>
      <w:r w:rsidRPr="00E15716">
        <w:rPr>
          <w:rStyle w:val="Emphasis"/>
        </w:rPr>
        <w:t xml:space="preserve">Financial Management Act 1994 </w:t>
      </w:r>
      <w:r>
        <w:t>(FMA) the Department of Families, Fairness and Housing</w:t>
      </w:r>
      <w:r w:rsidR="00F13AB7">
        <w:t>’</w:t>
      </w:r>
      <w:r>
        <w:t>s financial statements also include the financial information of the following entities:</w:t>
      </w:r>
    </w:p>
    <w:p w14:paraId="5A09E236" w14:textId="77777777" w:rsidR="00265792" w:rsidRDefault="00265792" w:rsidP="007E5841">
      <w:pPr>
        <w:pStyle w:val="ARfinbullet1"/>
      </w:pPr>
      <w:r>
        <w:t xml:space="preserve">Homes Victoria </w:t>
      </w:r>
    </w:p>
    <w:p w14:paraId="483828C1" w14:textId="77777777" w:rsidR="00265792" w:rsidRDefault="00265792" w:rsidP="007E5841">
      <w:pPr>
        <w:pStyle w:val="ARfinbullet1"/>
      </w:pPr>
      <w:r>
        <w:t xml:space="preserve">Commission for Children and Young People </w:t>
      </w:r>
    </w:p>
    <w:p w14:paraId="2D80469C" w14:textId="77777777" w:rsidR="00265792" w:rsidRDefault="00265792" w:rsidP="007E5841">
      <w:pPr>
        <w:pStyle w:val="ARfinbullet1"/>
      </w:pPr>
      <w:r>
        <w:t xml:space="preserve">Disability Worker Registration Board </w:t>
      </w:r>
    </w:p>
    <w:p w14:paraId="2D21A7FD" w14:textId="77777777" w:rsidR="00265792" w:rsidRDefault="00265792" w:rsidP="007E5841">
      <w:pPr>
        <w:pStyle w:val="ARfinbullet1"/>
      </w:pPr>
      <w:r>
        <w:t xml:space="preserve">Victorian Disability Worker Commission </w:t>
      </w:r>
    </w:p>
    <w:p w14:paraId="7F365C2A" w14:textId="77777777" w:rsidR="00265792" w:rsidRDefault="00265792" w:rsidP="007E5841">
      <w:pPr>
        <w:pStyle w:val="ARfinbullet1"/>
      </w:pPr>
      <w:r>
        <w:t xml:space="preserve">Respect Victoria </w:t>
      </w:r>
    </w:p>
    <w:p w14:paraId="637AAD7E" w14:textId="77777777" w:rsidR="00265792" w:rsidRDefault="00265792" w:rsidP="007E5841">
      <w:pPr>
        <w:pStyle w:val="ARfinbullet1"/>
      </w:pPr>
      <w:r>
        <w:t xml:space="preserve">Victorian Veterans Council </w:t>
      </w:r>
    </w:p>
    <w:p w14:paraId="745EACE3" w14:textId="18D7B26C" w:rsidR="00265792" w:rsidRDefault="00265792" w:rsidP="007E5841">
      <w:pPr>
        <w:pStyle w:val="ARfinbullet1"/>
      </w:pPr>
      <w:r>
        <w:t>Social Services Regulator</w:t>
      </w:r>
      <w:r w:rsidR="00F13AB7">
        <w:t>.</w:t>
      </w:r>
    </w:p>
    <w:p w14:paraId="6F1B72CE" w14:textId="77777777" w:rsidR="00265792" w:rsidRDefault="00265792" w:rsidP="00FB5771">
      <w:pPr>
        <w:pStyle w:val="ARfinbody"/>
      </w:pPr>
      <w:r>
        <w:t xml:space="preserve">These entities are reported in aggregate even though they are not controlled by the department. The Social Services Regulator was established effectively from 1 July 2024. Where a s. 53(1)(b) entity ceases to exist during a financial period, the entity’s results are included for that part of the period in which control existed. </w:t>
      </w:r>
    </w:p>
    <w:p w14:paraId="0B1029DF" w14:textId="77777777" w:rsidR="00265792" w:rsidRDefault="00265792" w:rsidP="00FB5771">
      <w:pPr>
        <w:pStyle w:val="ARfinbody"/>
      </w:pPr>
      <w:r>
        <w:t>In preparing financial statements for the department, all material transactions and balances between the above entities are eliminated.</w:t>
      </w:r>
    </w:p>
    <w:p w14:paraId="06230C2F" w14:textId="77777777" w:rsidR="00265792" w:rsidRDefault="00265792" w:rsidP="00FB5771">
      <w:pPr>
        <w:pStyle w:val="ARfinbody"/>
      </w:pPr>
      <w:r>
        <w:t xml:space="preserve">These financial statements are presented in Australian </w:t>
      </w:r>
      <w:proofErr w:type="gramStart"/>
      <w:r>
        <w:t>dollars</w:t>
      </w:r>
      <w:proofErr w:type="gramEnd"/>
      <w:r>
        <w:t xml:space="preserve"> and the historical cost convention is used unless a different measurement basis is specifically disclosed in the note associated with the item measured on a different basis.</w:t>
      </w:r>
    </w:p>
    <w:p w14:paraId="09971515" w14:textId="77777777" w:rsidR="00265792" w:rsidRDefault="00265792" w:rsidP="00FB5771">
      <w:pPr>
        <w:pStyle w:val="ARfinbody"/>
      </w:pPr>
      <w:r>
        <w:t>The accrual basis of accounting has been applied in the preparation of these financial statements, except for cash flow information, whereby assets, liabilities, equity, income and expenses are recognised in the reporting period to which they relate, regardless of when cash is received or paid.</w:t>
      </w:r>
    </w:p>
    <w:p w14:paraId="04108E57" w14:textId="77777777" w:rsidR="00265792" w:rsidRDefault="00265792" w:rsidP="00FB5771">
      <w:pPr>
        <w:pStyle w:val="ARfinbody"/>
      </w:pPr>
      <w:r>
        <w:t xml:space="preserve">Consistent with the requirements of Australian Accounting Standards Board (AASB) 1004 </w:t>
      </w:r>
      <w:r w:rsidRPr="00E15716">
        <w:rPr>
          <w:rStyle w:val="Emphasis"/>
        </w:rPr>
        <w:t>Contributions</w:t>
      </w:r>
      <w:r>
        <w:t>, contributions by owners (that is, contributed capital and its repayment) are treated as equity transactions and, therefore, do not form part of the income and expenses of the department.</w:t>
      </w:r>
    </w:p>
    <w:p w14:paraId="0A314C91" w14:textId="77777777" w:rsidR="00265792" w:rsidRDefault="00265792" w:rsidP="00FB5771">
      <w:pPr>
        <w:pStyle w:val="ARfinbody"/>
      </w:pPr>
      <w:r>
        <w:t xml:space="preserve">Additions to net assets which have been designated as contributions by owners are recognised as contributed capital. Other transfers that are </w:t>
      </w:r>
      <w:proofErr w:type="gramStart"/>
      <w:r>
        <w:t>in the nature of contributions</w:t>
      </w:r>
      <w:proofErr w:type="gramEnd"/>
      <w:r>
        <w:t xml:space="preserve"> to or distributions by owners have also been designated as contributions by owners.</w:t>
      </w:r>
    </w:p>
    <w:p w14:paraId="2053098E" w14:textId="77777777" w:rsidR="00265792" w:rsidRDefault="00265792" w:rsidP="00FB5771">
      <w:pPr>
        <w:pStyle w:val="ARfinbody"/>
      </w:pPr>
      <w:r>
        <w:t>Transfers of net assets arising from administrative restructures are treated as distributions to or contributions by owners. Transfers of net liabilities arising from administrative restructures are treated as distributions to owners.</w:t>
      </w:r>
    </w:p>
    <w:p w14:paraId="2CA24CE0" w14:textId="77777777" w:rsidR="00265792" w:rsidRDefault="00265792" w:rsidP="00FB5771">
      <w:pPr>
        <w:pStyle w:val="ARfinbody"/>
      </w:pPr>
      <w:r>
        <w:lastRenderedPageBreak/>
        <w:t>Judgements, estimates and assumptions are required to be made about the financial information being presented. The significant judgements made in the preparation of these financial statements are disclosed in the notes where amounts affected by those judgements are disclosed. Estimates and associated assumptions are based on professional judgements derived from historical experience and various other factors that are believed to be reasonable under the circumstances. Actual results may differ from these estimates.</w:t>
      </w:r>
    </w:p>
    <w:p w14:paraId="696C015E" w14:textId="0A374567" w:rsidR="00265792" w:rsidRDefault="00265792" w:rsidP="00FB5771">
      <w:pPr>
        <w:pStyle w:val="ARfinbody"/>
      </w:pPr>
      <w:r>
        <w:t xml:space="preserve">Revisions to accounting estimates are recognised in the period in which the estimate is revised </w:t>
      </w:r>
      <w:proofErr w:type="gramStart"/>
      <w:r>
        <w:t>and also</w:t>
      </w:r>
      <w:proofErr w:type="gramEnd"/>
      <w:r>
        <w:t xml:space="preserve"> in future periods that are affected by the revision. Judgements and assumptions made by management in applying Australian Accounting Standards (AAS) that have significant effect on the financial statements and estimates are disclosed in the Note 8.3 </w:t>
      </w:r>
      <w:r w:rsidR="005225A7">
        <w:t>‘</w:t>
      </w:r>
      <w:r>
        <w:t>Fair value determination</w:t>
      </w:r>
      <w:r w:rsidR="005225A7">
        <w:t>’</w:t>
      </w:r>
      <w:r>
        <w:t xml:space="preserve">, Note 7.5.2 </w:t>
      </w:r>
      <w:r w:rsidR="005225A7">
        <w:t>‘</w:t>
      </w:r>
      <w:r>
        <w:t>Service concession arrangements commitments</w:t>
      </w:r>
      <w:r w:rsidR="005225A7">
        <w:t>’</w:t>
      </w:r>
      <w:r>
        <w:t xml:space="preserve"> and Note 6.4 </w:t>
      </w:r>
      <w:r w:rsidR="005225A7">
        <w:t>‘</w:t>
      </w:r>
      <w:r>
        <w:t>Other provision</w:t>
      </w:r>
      <w:r w:rsidR="005225A7">
        <w:t>’</w:t>
      </w:r>
      <w:r>
        <w:t xml:space="preserve"> under the heading ‘Significant judgement’.</w:t>
      </w:r>
    </w:p>
    <w:p w14:paraId="6F7D64BD" w14:textId="77777777" w:rsidR="00265792" w:rsidRDefault="00265792" w:rsidP="00FB5771">
      <w:pPr>
        <w:pStyle w:val="ARfinbody"/>
      </w:pPr>
      <w:r>
        <w:t>The financial statements have been prepared on a going-concern basis.</w:t>
      </w:r>
    </w:p>
    <w:p w14:paraId="388E8E96" w14:textId="77777777" w:rsidR="00265792" w:rsidRDefault="00265792" w:rsidP="00FB5771">
      <w:pPr>
        <w:pStyle w:val="ARfinbody"/>
      </w:pPr>
      <w:r>
        <w:t>All amounts in the financial statements have been rounded to the nearest $1 million unless otherwise stated.</w:t>
      </w:r>
    </w:p>
    <w:p w14:paraId="5000E7EF" w14:textId="77777777" w:rsidR="00265792" w:rsidRDefault="00265792" w:rsidP="002578F3">
      <w:pPr>
        <w:pStyle w:val="Heading4"/>
      </w:pPr>
      <w:r>
        <w:t>Compliance information</w:t>
      </w:r>
    </w:p>
    <w:p w14:paraId="4DCE94B0" w14:textId="0F37377C" w:rsidR="00265792" w:rsidRDefault="00265792" w:rsidP="00FB5771">
      <w:pPr>
        <w:pStyle w:val="ARfinbody"/>
      </w:pPr>
      <w:r>
        <w:t>These general</w:t>
      </w:r>
      <w:r w:rsidR="001F2C79">
        <w:t>-</w:t>
      </w:r>
      <w:r>
        <w:t xml:space="preserve">purpose financial statements have been prepared in accordance with the FMA and applicable AASs which include Interpretations issued by the AASB. </w:t>
      </w:r>
      <w:proofErr w:type="gramStart"/>
      <w:r>
        <w:t>In particular, they</w:t>
      </w:r>
      <w:proofErr w:type="gramEnd"/>
      <w:r>
        <w:t xml:space="preserve"> are presented in a manner consistent with the requirements of AASB 1049 </w:t>
      </w:r>
      <w:r w:rsidRPr="002578F3">
        <w:rPr>
          <w:rStyle w:val="Emphasis"/>
        </w:rPr>
        <w:t>Whole of Government and General Government Sector Financial Reporting</w:t>
      </w:r>
      <w:r>
        <w:t>.</w:t>
      </w:r>
    </w:p>
    <w:p w14:paraId="092B0E1D" w14:textId="77777777" w:rsidR="00265792" w:rsidRDefault="00265792" w:rsidP="00FB5771">
      <w:pPr>
        <w:pStyle w:val="ARfinbody"/>
      </w:pPr>
      <w:r>
        <w:t>Where appropriate, those AAS paragraphs applicable to not-for-profit entities have been applied. Accounting policies selected and applied in these financial statements ensure that the resulting financial information satisfies the concepts of relevance and reliability, thereby ensuring that the substance of the underlying transactions or other events is reported.</w:t>
      </w:r>
    </w:p>
    <w:p w14:paraId="53C930C5" w14:textId="77777777" w:rsidR="00265792" w:rsidRDefault="00265792" w:rsidP="00FB5771">
      <w:pPr>
        <w:pStyle w:val="ARfinbody"/>
      </w:pPr>
      <w:r>
        <w:t>These annual financial statements were authorised for issue by the Secretary of the Department of Families, Fairness and Housing on 12 September 2025</w:t>
      </w:r>
      <w:r w:rsidRPr="00D65996">
        <w:t>.</w:t>
      </w:r>
    </w:p>
    <w:p w14:paraId="6860E548" w14:textId="77777777" w:rsidR="00265792" w:rsidRPr="00BA7805" w:rsidRDefault="00265792">
      <w:pPr>
        <w:pStyle w:val="ARfinbody"/>
        <w:rPr>
          <w:highlight w:val="green"/>
        </w:rPr>
      </w:pPr>
      <w:r w:rsidRPr="00BA7805">
        <w:rPr>
          <w:highlight w:val="green"/>
        </w:rPr>
        <w:br w:type="page"/>
      </w:r>
    </w:p>
    <w:p w14:paraId="6848F4B0" w14:textId="77777777" w:rsidR="00265792" w:rsidRPr="00240323" w:rsidRDefault="00265792" w:rsidP="00EA5314">
      <w:pPr>
        <w:pStyle w:val="Heading3"/>
        <w:spacing w:before="0"/>
      </w:pPr>
      <w:bookmarkStart w:id="264" w:name="_Ref178239217"/>
      <w:bookmarkStart w:id="265" w:name="_Toc212041657"/>
      <w:r w:rsidRPr="00240323">
        <w:lastRenderedPageBreak/>
        <w:t>2. Funding delivery of our services</w:t>
      </w:r>
      <w:bookmarkEnd w:id="264"/>
      <w:bookmarkEnd w:id="265"/>
    </w:p>
    <w:p w14:paraId="51DFF59A" w14:textId="77777777" w:rsidR="00265792" w:rsidRDefault="00265792" w:rsidP="00291B98">
      <w:pPr>
        <w:pStyle w:val="Heading4"/>
      </w:pPr>
      <w:r>
        <w:t>Introduction</w:t>
      </w:r>
    </w:p>
    <w:p w14:paraId="17DE03D8" w14:textId="77777777" w:rsidR="00265792" w:rsidRDefault="00265792" w:rsidP="00291B98">
      <w:pPr>
        <w:pStyle w:val="ARfinbody"/>
      </w:pPr>
      <w:r>
        <w:t>The department's overall objective is to create equal opportunities for all Victorians to live a safe, respected and valued life.</w:t>
      </w:r>
    </w:p>
    <w:p w14:paraId="3B46225A" w14:textId="593FFC0F" w:rsidR="00265792" w:rsidRDefault="00265792" w:rsidP="00291B98">
      <w:pPr>
        <w:pStyle w:val="ARfinbody"/>
      </w:pPr>
      <w:r>
        <w:t xml:space="preserve">To enable the department to fulfil its objective and provide outputs as described in section 4 </w:t>
      </w:r>
      <w:r w:rsidR="005225A7">
        <w:t>‘</w:t>
      </w:r>
      <w:r>
        <w:t>Disaggregated financial information by output</w:t>
      </w:r>
      <w:r w:rsidR="00665ED6">
        <w:t>’</w:t>
      </w:r>
      <w:r>
        <w:t>, it receives income (predominantly accrual-based parliamentary appropriations). The department also receives income from the supply of services and tenancy agreements.</w:t>
      </w:r>
    </w:p>
    <w:p w14:paraId="0CA0A8F8" w14:textId="77777777" w:rsidR="00265792" w:rsidRDefault="00265792" w:rsidP="00291B98">
      <w:pPr>
        <w:pStyle w:val="Heading4"/>
      </w:pPr>
      <w:r>
        <w:t>Structure</w:t>
      </w:r>
    </w:p>
    <w:p w14:paraId="0A7EF682" w14:textId="77777777" w:rsidR="00265792" w:rsidRDefault="00265792" w:rsidP="00291B98">
      <w:pPr>
        <w:pStyle w:val="ARfinstructure1"/>
      </w:pPr>
      <w:r>
        <w:t xml:space="preserve">2.1 </w:t>
      </w:r>
      <w:r>
        <w:tab/>
        <w:t>Summary of revenue and income that fund the delivery of our services</w:t>
      </w:r>
    </w:p>
    <w:p w14:paraId="43C3867C" w14:textId="77777777" w:rsidR="00265792" w:rsidRDefault="00265792" w:rsidP="00291B98">
      <w:pPr>
        <w:pStyle w:val="ARfinstructure1"/>
      </w:pPr>
      <w:r>
        <w:t xml:space="preserve">2.2 </w:t>
      </w:r>
      <w:r>
        <w:tab/>
        <w:t>Appropriations</w:t>
      </w:r>
    </w:p>
    <w:p w14:paraId="3F0B11CC" w14:textId="77777777" w:rsidR="00265792" w:rsidRDefault="00265792" w:rsidP="00291B98">
      <w:pPr>
        <w:pStyle w:val="ARfinstructure1"/>
      </w:pPr>
      <w:r>
        <w:t xml:space="preserve">2.3 </w:t>
      </w:r>
      <w:r>
        <w:tab/>
        <w:t>Summary of compliance with annual parliamentary and special appropriations</w:t>
      </w:r>
    </w:p>
    <w:p w14:paraId="26B69547" w14:textId="77777777" w:rsidR="00265792" w:rsidRDefault="00265792" w:rsidP="00291B98">
      <w:pPr>
        <w:pStyle w:val="ARfinstructure1"/>
      </w:pPr>
      <w:r>
        <w:t xml:space="preserve">2.4 </w:t>
      </w:r>
      <w:r>
        <w:tab/>
        <w:t>Income from transactions</w:t>
      </w:r>
    </w:p>
    <w:p w14:paraId="45899A49" w14:textId="77777777" w:rsidR="00265792" w:rsidRDefault="00265792" w:rsidP="00291B98">
      <w:pPr>
        <w:pStyle w:val="ARfinstructure2"/>
      </w:pPr>
      <w:r>
        <w:t xml:space="preserve">2.4.1 </w:t>
      </w:r>
      <w:r>
        <w:tab/>
        <w:t>Rental income</w:t>
      </w:r>
    </w:p>
    <w:p w14:paraId="4AF0C606" w14:textId="77777777" w:rsidR="00265792" w:rsidRDefault="00265792" w:rsidP="00291B98">
      <w:pPr>
        <w:pStyle w:val="ARfinstructure2"/>
      </w:pPr>
      <w:r>
        <w:t xml:space="preserve">2.4.2 </w:t>
      </w:r>
      <w:r>
        <w:tab/>
        <w:t>Grants</w:t>
      </w:r>
    </w:p>
    <w:p w14:paraId="324D1133" w14:textId="51998F91" w:rsidR="005176D9" w:rsidRDefault="005176D9" w:rsidP="005176D9">
      <w:pPr>
        <w:pStyle w:val="Heading4"/>
      </w:pPr>
      <w:r w:rsidRPr="005C65C1">
        <w:rPr>
          <w:lang w:val="en-US"/>
        </w:rPr>
        <w:t>2.1 Summary of revenue and income that fund the delivery of our services</w:t>
      </w:r>
    </w:p>
    <w:tbl>
      <w:tblPr>
        <w:tblStyle w:val="TableGrid"/>
        <w:tblW w:w="9637" w:type="dxa"/>
        <w:tblLayout w:type="fixed"/>
        <w:tblLook w:val="06E0" w:firstRow="1" w:lastRow="1" w:firstColumn="1" w:lastColumn="0" w:noHBand="1" w:noVBand="1"/>
      </w:tblPr>
      <w:tblGrid>
        <w:gridCol w:w="6064"/>
        <w:gridCol w:w="851"/>
        <w:gridCol w:w="1361"/>
        <w:gridCol w:w="1361"/>
      </w:tblGrid>
      <w:tr w:rsidR="00265792" w:rsidRPr="00BA7805" w14:paraId="2036F6EE" w14:textId="77777777" w:rsidTr="00CA5ECB">
        <w:trPr>
          <w:cnfStyle w:val="100000000000" w:firstRow="1" w:lastRow="0" w:firstColumn="0" w:lastColumn="0" w:oddVBand="0" w:evenVBand="0" w:oddHBand="0" w:evenHBand="0" w:firstRowFirstColumn="0" w:firstRowLastColumn="0" w:lastRowFirstColumn="0" w:lastRowLastColumn="0"/>
          <w:tblHeader/>
        </w:trPr>
        <w:tc>
          <w:tcPr>
            <w:tcW w:w="6064" w:type="dxa"/>
            <w:noWrap/>
            <w:hideMark/>
          </w:tcPr>
          <w:p w14:paraId="1951338E" w14:textId="77777777" w:rsidR="00265792" w:rsidRPr="00DF748A" w:rsidRDefault="00265792">
            <w:pPr>
              <w:pStyle w:val="ARfintablecolhead"/>
            </w:pPr>
          </w:p>
        </w:tc>
        <w:tc>
          <w:tcPr>
            <w:tcW w:w="851" w:type="dxa"/>
            <w:noWrap/>
            <w:hideMark/>
          </w:tcPr>
          <w:p w14:paraId="5B33A068" w14:textId="77777777" w:rsidR="00265792" w:rsidRPr="00DF748A" w:rsidRDefault="00265792" w:rsidP="00DF220B">
            <w:pPr>
              <w:pStyle w:val="ARfintablecolheadright"/>
            </w:pPr>
            <w:r w:rsidRPr="00DF748A">
              <w:t>Note</w:t>
            </w:r>
          </w:p>
        </w:tc>
        <w:tc>
          <w:tcPr>
            <w:tcW w:w="1361" w:type="dxa"/>
            <w:shd w:val="clear" w:color="auto" w:fill="EEEEEF" w:themeFill="accent4"/>
            <w:hideMark/>
          </w:tcPr>
          <w:p w14:paraId="669D9D1B" w14:textId="77777777" w:rsidR="00265792" w:rsidRPr="00DF748A" w:rsidRDefault="00265792" w:rsidP="00DF220B">
            <w:pPr>
              <w:pStyle w:val="ARfintablecolheadright"/>
            </w:pPr>
            <w:r w:rsidRPr="00DF748A">
              <w:t>202</w:t>
            </w:r>
            <w:r>
              <w:t>5</w:t>
            </w:r>
          </w:p>
          <w:p w14:paraId="47A10128" w14:textId="77777777" w:rsidR="00265792" w:rsidRPr="00DF748A" w:rsidRDefault="00265792" w:rsidP="00DF220B">
            <w:pPr>
              <w:pStyle w:val="ARfintablecolheadright"/>
            </w:pPr>
            <w:r w:rsidRPr="00DF748A">
              <w:t>$M</w:t>
            </w:r>
          </w:p>
        </w:tc>
        <w:tc>
          <w:tcPr>
            <w:tcW w:w="1361" w:type="dxa"/>
            <w:hideMark/>
          </w:tcPr>
          <w:p w14:paraId="06B62809" w14:textId="77777777" w:rsidR="00265792" w:rsidRPr="00DF748A" w:rsidRDefault="00265792" w:rsidP="00DF220B">
            <w:pPr>
              <w:pStyle w:val="ARfintablecolheadright"/>
            </w:pPr>
            <w:r w:rsidRPr="00DF748A">
              <w:t>202</w:t>
            </w:r>
            <w:r>
              <w:t>4</w:t>
            </w:r>
          </w:p>
          <w:p w14:paraId="152AA635" w14:textId="77777777" w:rsidR="00265792" w:rsidRPr="00DF748A" w:rsidRDefault="00265792" w:rsidP="00DF220B">
            <w:pPr>
              <w:pStyle w:val="ARfintablecolheadright"/>
            </w:pPr>
            <w:r w:rsidRPr="00DF748A">
              <w:t>$M</w:t>
            </w:r>
          </w:p>
        </w:tc>
      </w:tr>
      <w:tr w:rsidR="00265792" w:rsidRPr="00BA7805" w14:paraId="453B0CC7" w14:textId="77777777" w:rsidTr="00AD31FF">
        <w:tc>
          <w:tcPr>
            <w:tcW w:w="6064" w:type="dxa"/>
          </w:tcPr>
          <w:p w14:paraId="77ABBA5C" w14:textId="77777777" w:rsidR="00265792" w:rsidRPr="00912EB1" w:rsidRDefault="00265792" w:rsidP="00912EB1">
            <w:pPr>
              <w:pStyle w:val="ARfintablebody"/>
              <w:rPr>
                <w:highlight w:val="green"/>
              </w:rPr>
            </w:pPr>
            <w:r w:rsidRPr="00912EB1">
              <w:t xml:space="preserve">Output appropriations </w:t>
            </w:r>
          </w:p>
        </w:tc>
        <w:tc>
          <w:tcPr>
            <w:tcW w:w="851" w:type="dxa"/>
            <w:noWrap/>
          </w:tcPr>
          <w:p w14:paraId="12195A94" w14:textId="77777777" w:rsidR="00265792" w:rsidRPr="00BA7805" w:rsidRDefault="00265792" w:rsidP="00912EB1">
            <w:pPr>
              <w:pStyle w:val="ARfintablebodyright"/>
              <w:rPr>
                <w:highlight w:val="green"/>
              </w:rPr>
            </w:pPr>
            <w:r w:rsidRPr="003E257F">
              <w:t>2.2,2.3</w:t>
            </w:r>
          </w:p>
        </w:tc>
        <w:tc>
          <w:tcPr>
            <w:tcW w:w="1361" w:type="dxa"/>
            <w:shd w:val="clear" w:color="auto" w:fill="EEEEEF" w:themeFill="accent4"/>
            <w:noWrap/>
          </w:tcPr>
          <w:p w14:paraId="71B49CAE" w14:textId="77777777" w:rsidR="00265792" w:rsidRPr="00BA7805" w:rsidRDefault="00265792" w:rsidP="00912EB1">
            <w:pPr>
              <w:pStyle w:val="ARfintablebodyright"/>
              <w:rPr>
                <w:highlight w:val="green"/>
              </w:rPr>
            </w:pPr>
            <w:r w:rsidRPr="003E257F">
              <w:t>6,307.1</w:t>
            </w:r>
          </w:p>
        </w:tc>
        <w:tc>
          <w:tcPr>
            <w:tcW w:w="1361" w:type="dxa"/>
            <w:noWrap/>
          </w:tcPr>
          <w:p w14:paraId="38EBB2E7" w14:textId="77777777" w:rsidR="00265792" w:rsidRPr="00BA7805" w:rsidRDefault="00265792" w:rsidP="00912EB1">
            <w:pPr>
              <w:pStyle w:val="ARfintablebodyright"/>
              <w:rPr>
                <w:highlight w:val="green"/>
              </w:rPr>
            </w:pPr>
            <w:r w:rsidRPr="003E257F">
              <w:t>5,302.2</w:t>
            </w:r>
          </w:p>
        </w:tc>
      </w:tr>
      <w:tr w:rsidR="00265792" w:rsidRPr="00BA7805" w14:paraId="65E77FCD" w14:textId="77777777" w:rsidTr="00AD31FF">
        <w:tc>
          <w:tcPr>
            <w:tcW w:w="6064" w:type="dxa"/>
          </w:tcPr>
          <w:p w14:paraId="0566055D" w14:textId="77777777" w:rsidR="00265792" w:rsidRPr="00912EB1" w:rsidRDefault="00265792" w:rsidP="00912EB1">
            <w:pPr>
              <w:pStyle w:val="ARfintablebody"/>
              <w:rPr>
                <w:highlight w:val="green"/>
              </w:rPr>
            </w:pPr>
            <w:r w:rsidRPr="00912EB1">
              <w:t>Special appropriations</w:t>
            </w:r>
          </w:p>
        </w:tc>
        <w:tc>
          <w:tcPr>
            <w:tcW w:w="851" w:type="dxa"/>
            <w:noWrap/>
          </w:tcPr>
          <w:p w14:paraId="35E876CF" w14:textId="77777777" w:rsidR="00265792" w:rsidRPr="00BA7805" w:rsidRDefault="00265792" w:rsidP="00912EB1">
            <w:pPr>
              <w:pStyle w:val="ARfintablebodyright"/>
              <w:rPr>
                <w:highlight w:val="green"/>
              </w:rPr>
            </w:pPr>
            <w:r w:rsidRPr="003E257F">
              <w:t>2.2,2.3</w:t>
            </w:r>
          </w:p>
        </w:tc>
        <w:tc>
          <w:tcPr>
            <w:tcW w:w="1361" w:type="dxa"/>
            <w:shd w:val="clear" w:color="auto" w:fill="EEEEEF" w:themeFill="accent4"/>
            <w:noWrap/>
          </w:tcPr>
          <w:p w14:paraId="3222BB9E" w14:textId="77777777" w:rsidR="00265792" w:rsidRPr="00BA7805" w:rsidRDefault="00265792" w:rsidP="00912EB1">
            <w:pPr>
              <w:pStyle w:val="ARfintablebodyright"/>
              <w:rPr>
                <w:highlight w:val="green"/>
              </w:rPr>
            </w:pPr>
            <w:r w:rsidRPr="003E257F">
              <w:t>100.6</w:t>
            </w:r>
          </w:p>
        </w:tc>
        <w:tc>
          <w:tcPr>
            <w:tcW w:w="1361" w:type="dxa"/>
            <w:noWrap/>
          </w:tcPr>
          <w:p w14:paraId="79845CC2" w14:textId="77777777" w:rsidR="00265792" w:rsidRPr="00BA7805" w:rsidRDefault="00265792" w:rsidP="00912EB1">
            <w:pPr>
              <w:pStyle w:val="ARfintablebodyright"/>
              <w:rPr>
                <w:highlight w:val="green"/>
              </w:rPr>
            </w:pPr>
            <w:r w:rsidRPr="003E257F">
              <w:t>79.5</w:t>
            </w:r>
          </w:p>
        </w:tc>
      </w:tr>
      <w:tr w:rsidR="00265792" w:rsidRPr="00BA7805" w14:paraId="25C47235" w14:textId="77777777" w:rsidTr="00AD31FF">
        <w:tc>
          <w:tcPr>
            <w:tcW w:w="6064" w:type="dxa"/>
          </w:tcPr>
          <w:p w14:paraId="7D1EC917" w14:textId="77777777" w:rsidR="00265792" w:rsidRPr="00912EB1" w:rsidRDefault="00265792" w:rsidP="00912EB1">
            <w:pPr>
              <w:pStyle w:val="ARfintablebody"/>
              <w:rPr>
                <w:highlight w:val="green"/>
              </w:rPr>
            </w:pPr>
            <w:r w:rsidRPr="00912EB1">
              <w:t>Rental income</w:t>
            </w:r>
          </w:p>
        </w:tc>
        <w:tc>
          <w:tcPr>
            <w:tcW w:w="851" w:type="dxa"/>
            <w:noWrap/>
          </w:tcPr>
          <w:p w14:paraId="21156D98" w14:textId="77777777" w:rsidR="00265792" w:rsidRPr="00BA7805" w:rsidRDefault="00265792" w:rsidP="00912EB1">
            <w:pPr>
              <w:pStyle w:val="ARfintablebodyright"/>
              <w:rPr>
                <w:highlight w:val="green"/>
              </w:rPr>
            </w:pPr>
            <w:r w:rsidRPr="003E257F">
              <w:t>2.4.1</w:t>
            </w:r>
          </w:p>
        </w:tc>
        <w:tc>
          <w:tcPr>
            <w:tcW w:w="1361" w:type="dxa"/>
            <w:shd w:val="clear" w:color="auto" w:fill="EEEEEF" w:themeFill="accent4"/>
            <w:noWrap/>
          </w:tcPr>
          <w:p w14:paraId="4E1A2BF9" w14:textId="77777777" w:rsidR="00265792" w:rsidRPr="00BA7805" w:rsidRDefault="00265792" w:rsidP="00912EB1">
            <w:pPr>
              <w:pStyle w:val="ARfintablebodyright"/>
              <w:rPr>
                <w:highlight w:val="green"/>
              </w:rPr>
            </w:pPr>
            <w:r w:rsidRPr="003E257F">
              <w:t>594.6</w:t>
            </w:r>
          </w:p>
        </w:tc>
        <w:tc>
          <w:tcPr>
            <w:tcW w:w="1361" w:type="dxa"/>
            <w:noWrap/>
          </w:tcPr>
          <w:p w14:paraId="5D15BB6F" w14:textId="77777777" w:rsidR="00265792" w:rsidRPr="00BA7805" w:rsidRDefault="00265792" w:rsidP="00912EB1">
            <w:pPr>
              <w:pStyle w:val="ARfintablebodyright"/>
              <w:rPr>
                <w:highlight w:val="green"/>
              </w:rPr>
            </w:pPr>
            <w:r w:rsidRPr="003E257F">
              <w:t>555.5</w:t>
            </w:r>
          </w:p>
        </w:tc>
      </w:tr>
      <w:tr w:rsidR="00265792" w:rsidRPr="00BA7805" w14:paraId="1744FDFD" w14:textId="77777777" w:rsidTr="00AD31FF">
        <w:tc>
          <w:tcPr>
            <w:tcW w:w="6064" w:type="dxa"/>
          </w:tcPr>
          <w:p w14:paraId="7C5E2FC5" w14:textId="77777777" w:rsidR="00265792" w:rsidRPr="00912EB1" w:rsidRDefault="00265792" w:rsidP="00912EB1">
            <w:pPr>
              <w:pStyle w:val="ARfintablebody"/>
              <w:rPr>
                <w:highlight w:val="green"/>
              </w:rPr>
            </w:pPr>
            <w:r w:rsidRPr="00912EB1">
              <w:t>Grants and other income transfers</w:t>
            </w:r>
          </w:p>
        </w:tc>
        <w:tc>
          <w:tcPr>
            <w:tcW w:w="851" w:type="dxa"/>
            <w:noWrap/>
          </w:tcPr>
          <w:p w14:paraId="445B9493" w14:textId="77777777" w:rsidR="00265792" w:rsidRPr="00BA7805" w:rsidRDefault="00265792" w:rsidP="00912EB1">
            <w:pPr>
              <w:pStyle w:val="ARfintablebodyright"/>
              <w:rPr>
                <w:highlight w:val="green"/>
              </w:rPr>
            </w:pPr>
            <w:r w:rsidRPr="003E257F">
              <w:t>2.4.2</w:t>
            </w:r>
          </w:p>
        </w:tc>
        <w:tc>
          <w:tcPr>
            <w:tcW w:w="1361" w:type="dxa"/>
            <w:shd w:val="clear" w:color="auto" w:fill="EEEEEF" w:themeFill="accent4"/>
            <w:noWrap/>
          </w:tcPr>
          <w:p w14:paraId="085F968F" w14:textId="77777777" w:rsidR="00265792" w:rsidRPr="00BA7805" w:rsidRDefault="00265792" w:rsidP="00912EB1">
            <w:pPr>
              <w:pStyle w:val="ARfintablebodyright"/>
              <w:rPr>
                <w:highlight w:val="green"/>
              </w:rPr>
            </w:pPr>
            <w:r w:rsidRPr="003E257F">
              <w:t>285.3</w:t>
            </w:r>
          </w:p>
        </w:tc>
        <w:tc>
          <w:tcPr>
            <w:tcW w:w="1361" w:type="dxa"/>
            <w:noWrap/>
          </w:tcPr>
          <w:p w14:paraId="561FA68B" w14:textId="77777777" w:rsidR="00265792" w:rsidRPr="00BA7805" w:rsidRDefault="00265792" w:rsidP="00912EB1">
            <w:pPr>
              <w:pStyle w:val="ARfintablebodyright"/>
              <w:rPr>
                <w:highlight w:val="green"/>
              </w:rPr>
            </w:pPr>
            <w:r w:rsidRPr="003E257F">
              <w:t>418.2</w:t>
            </w:r>
          </w:p>
        </w:tc>
      </w:tr>
      <w:tr w:rsidR="00265792" w:rsidRPr="00BA7805" w14:paraId="22CC3862" w14:textId="77777777" w:rsidTr="00AD31FF">
        <w:tc>
          <w:tcPr>
            <w:tcW w:w="6064" w:type="dxa"/>
          </w:tcPr>
          <w:p w14:paraId="4CD07E12" w14:textId="77777777" w:rsidR="00265792" w:rsidRPr="00912EB1" w:rsidRDefault="00265792" w:rsidP="00912EB1">
            <w:pPr>
              <w:pStyle w:val="ARfintablebody"/>
              <w:rPr>
                <w:highlight w:val="green"/>
              </w:rPr>
            </w:pPr>
            <w:r w:rsidRPr="00912EB1">
              <w:t>Other income</w:t>
            </w:r>
          </w:p>
        </w:tc>
        <w:tc>
          <w:tcPr>
            <w:tcW w:w="851" w:type="dxa"/>
            <w:noWrap/>
          </w:tcPr>
          <w:p w14:paraId="758143FD" w14:textId="77777777" w:rsidR="00265792" w:rsidRPr="00BA7805" w:rsidRDefault="00265792" w:rsidP="00912EB1">
            <w:pPr>
              <w:pStyle w:val="ARfintablebodyright"/>
              <w:rPr>
                <w:highlight w:val="green"/>
              </w:rPr>
            </w:pPr>
          </w:p>
        </w:tc>
        <w:tc>
          <w:tcPr>
            <w:tcW w:w="1361" w:type="dxa"/>
            <w:shd w:val="clear" w:color="auto" w:fill="EEEEEF" w:themeFill="accent4"/>
            <w:noWrap/>
          </w:tcPr>
          <w:p w14:paraId="7B1A3DBD" w14:textId="77777777" w:rsidR="00265792" w:rsidRPr="00BA7805" w:rsidRDefault="00265792" w:rsidP="00912EB1">
            <w:pPr>
              <w:pStyle w:val="ARfintablebodyright"/>
              <w:rPr>
                <w:highlight w:val="green"/>
              </w:rPr>
            </w:pPr>
            <w:r w:rsidRPr="003E257F">
              <w:t>54.2</w:t>
            </w:r>
          </w:p>
        </w:tc>
        <w:tc>
          <w:tcPr>
            <w:tcW w:w="1361" w:type="dxa"/>
            <w:noWrap/>
          </w:tcPr>
          <w:p w14:paraId="38BF6D2D" w14:textId="77777777" w:rsidR="00265792" w:rsidRPr="00BA7805" w:rsidRDefault="00265792" w:rsidP="00912EB1">
            <w:pPr>
              <w:pStyle w:val="ARfintablebodyright"/>
              <w:rPr>
                <w:highlight w:val="green"/>
              </w:rPr>
            </w:pPr>
            <w:r w:rsidRPr="003E257F">
              <w:t>42.6</w:t>
            </w:r>
          </w:p>
        </w:tc>
      </w:tr>
      <w:tr w:rsidR="00265792" w:rsidRPr="00BA7805" w14:paraId="4D7DD576" w14:textId="77777777" w:rsidTr="00AD31FF">
        <w:trPr>
          <w:cnfStyle w:val="010000000000" w:firstRow="0" w:lastRow="1" w:firstColumn="0" w:lastColumn="0" w:oddVBand="0" w:evenVBand="0" w:oddHBand="0" w:evenHBand="0" w:firstRowFirstColumn="0" w:firstRowLastColumn="0" w:lastRowFirstColumn="0" w:lastRowLastColumn="0"/>
        </w:trPr>
        <w:tc>
          <w:tcPr>
            <w:tcW w:w="6064" w:type="dxa"/>
          </w:tcPr>
          <w:p w14:paraId="0F9BC3B3" w14:textId="77777777" w:rsidR="00265792" w:rsidRPr="00BA7805" w:rsidRDefault="00265792" w:rsidP="00912EB1">
            <w:pPr>
              <w:pStyle w:val="ARfintablebodybold"/>
              <w:rPr>
                <w:highlight w:val="green"/>
              </w:rPr>
            </w:pPr>
            <w:r w:rsidRPr="003E257F">
              <w:t xml:space="preserve">Total </w:t>
            </w:r>
            <w:r w:rsidRPr="00912EB1">
              <w:t>revenue</w:t>
            </w:r>
            <w:r w:rsidRPr="003E257F">
              <w:t xml:space="preserve"> and income from transactions</w:t>
            </w:r>
          </w:p>
        </w:tc>
        <w:tc>
          <w:tcPr>
            <w:tcW w:w="851" w:type="dxa"/>
          </w:tcPr>
          <w:p w14:paraId="65AF5110" w14:textId="77777777" w:rsidR="00265792" w:rsidRPr="00BA7805" w:rsidRDefault="00265792" w:rsidP="00912EB1">
            <w:pPr>
              <w:pStyle w:val="ARfintablebodyright"/>
              <w:rPr>
                <w:highlight w:val="green"/>
              </w:rPr>
            </w:pPr>
          </w:p>
        </w:tc>
        <w:tc>
          <w:tcPr>
            <w:tcW w:w="1361" w:type="dxa"/>
            <w:shd w:val="clear" w:color="auto" w:fill="EEEEEF" w:themeFill="accent4"/>
            <w:noWrap/>
          </w:tcPr>
          <w:p w14:paraId="11C5C502" w14:textId="77777777" w:rsidR="00265792" w:rsidRPr="00BA7805" w:rsidRDefault="00265792" w:rsidP="00CA5ECB">
            <w:pPr>
              <w:pStyle w:val="ARfintablebodyrightbold"/>
              <w:rPr>
                <w:highlight w:val="green"/>
              </w:rPr>
            </w:pPr>
            <w:r w:rsidRPr="003E257F">
              <w:t>7,341.8</w:t>
            </w:r>
          </w:p>
        </w:tc>
        <w:tc>
          <w:tcPr>
            <w:tcW w:w="1361" w:type="dxa"/>
            <w:noWrap/>
          </w:tcPr>
          <w:p w14:paraId="6B238A4E" w14:textId="77777777" w:rsidR="00265792" w:rsidRPr="00BA7805" w:rsidRDefault="00265792" w:rsidP="00CA5ECB">
            <w:pPr>
              <w:pStyle w:val="ARfintablebodyrightbold"/>
              <w:rPr>
                <w:highlight w:val="green"/>
              </w:rPr>
            </w:pPr>
            <w:r w:rsidRPr="003E257F">
              <w:t>6,398.0</w:t>
            </w:r>
          </w:p>
        </w:tc>
      </w:tr>
    </w:tbl>
    <w:p w14:paraId="6F72E4E9" w14:textId="77777777" w:rsidR="00265792" w:rsidRDefault="00265792" w:rsidP="005C65C1">
      <w:pPr>
        <w:pStyle w:val="Heading4"/>
      </w:pPr>
      <w:r>
        <w:t>2.2 Appropriations</w:t>
      </w:r>
    </w:p>
    <w:p w14:paraId="25C49EB4" w14:textId="77777777" w:rsidR="00265792" w:rsidRDefault="00265792" w:rsidP="005C65C1">
      <w:pPr>
        <w:pStyle w:val="ARfinbody"/>
      </w:pPr>
      <w:r>
        <w:t xml:space="preserve">Once annual parliamentary appropriations are applied by the Treasurer, they become controlled by the department and are recognised as income when applied to the purposes defined under the relevant Appropriations Act. </w:t>
      </w:r>
    </w:p>
    <w:p w14:paraId="03093423" w14:textId="77777777" w:rsidR="00265792" w:rsidRDefault="00265792" w:rsidP="005C65C1">
      <w:pPr>
        <w:pStyle w:val="ARfinbody"/>
      </w:pPr>
      <w:r w:rsidRPr="005C65C1">
        <w:rPr>
          <w:rStyle w:val="Strong"/>
        </w:rPr>
        <w:t>Output appropriations:</w:t>
      </w:r>
      <w:r>
        <w:t xml:space="preserve"> Income from the outputs the department provides to the government is recognised when those outputs have been delivered and the relevant minister has certified delivery of those outputs in accordance with specified performance criteria. </w:t>
      </w:r>
    </w:p>
    <w:p w14:paraId="1321E6E7" w14:textId="77777777" w:rsidR="00265792" w:rsidRPr="00DF748A" w:rsidRDefault="00265792" w:rsidP="005C65C1">
      <w:pPr>
        <w:pStyle w:val="ARfinbody"/>
        <w:rPr>
          <w:highlight w:val="green"/>
        </w:rPr>
      </w:pPr>
      <w:r w:rsidRPr="005C65C1">
        <w:rPr>
          <w:rStyle w:val="Strong"/>
        </w:rPr>
        <w:t>Special appropriations:</w:t>
      </w:r>
      <w:r>
        <w:t xml:space="preserve"> Under s. 5.4.6 of the </w:t>
      </w:r>
      <w:r w:rsidRPr="00CA5ECB">
        <w:rPr>
          <w:rStyle w:val="Emphasis"/>
        </w:rPr>
        <w:t>Gambling Regulation Act 2003</w:t>
      </w:r>
      <w:r>
        <w:t>, income related to the Mental Health Fund is recognised when the amounts appropriated for that purpose are due and payable by the department.</w:t>
      </w:r>
    </w:p>
    <w:p w14:paraId="16A3EAA3" w14:textId="77777777" w:rsidR="00265792" w:rsidRPr="00BA7805" w:rsidRDefault="00265792">
      <w:pPr>
        <w:pStyle w:val="ARfinbody"/>
        <w:rPr>
          <w:highlight w:val="green"/>
        </w:rPr>
      </w:pPr>
    </w:p>
    <w:p w14:paraId="296D3AF8" w14:textId="77777777" w:rsidR="00265792" w:rsidRPr="00BA7805" w:rsidRDefault="00265792">
      <w:pPr>
        <w:pStyle w:val="ARfinbody"/>
        <w:rPr>
          <w:highlight w:val="green"/>
        </w:rPr>
        <w:sectPr w:rsidR="00265792" w:rsidRPr="00BA7805" w:rsidSect="007F43B1">
          <w:endnotePr>
            <w:numFmt w:val="decimal"/>
          </w:endnotePr>
          <w:pgSz w:w="11900" w:h="16840" w:code="9"/>
          <w:pgMar w:top="1588" w:right="1134" w:bottom="851" w:left="1134" w:header="510" w:footer="340" w:gutter="0"/>
          <w:cols w:space="448"/>
          <w:docGrid w:linePitch="299"/>
        </w:sectPr>
      </w:pPr>
    </w:p>
    <w:p w14:paraId="5E7C0812" w14:textId="77777777" w:rsidR="00265792" w:rsidRPr="00AE105D" w:rsidRDefault="00265792">
      <w:pPr>
        <w:pStyle w:val="Heading4"/>
        <w:spacing w:before="0"/>
        <w:rPr>
          <w:lang w:eastAsia="en-AU"/>
        </w:rPr>
      </w:pPr>
      <w:bookmarkStart w:id="266" w:name="_Ref178239280"/>
      <w:r w:rsidRPr="00AE105D">
        <w:rPr>
          <w:lang w:eastAsia="en-AU"/>
        </w:rPr>
        <w:lastRenderedPageBreak/>
        <w:t xml:space="preserve">2.3 Summary of compliance with annual </w:t>
      </w:r>
      <w:bookmarkStart w:id="267" w:name="parliamentaryandspecialappropriations"/>
      <w:r w:rsidRPr="00AE105D">
        <w:rPr>
          <w:lang w:eastAsia="en-AU"/>
        </w:rPr>
        <w:t>parliamentary and special appropriations</w:t>
      </w:r>
      <w:bookmarkEnd w:id="266"/>
      <w:bookmarkEnd w:id="267"/>
    </w:p>
    <w:p w14:paraId="574E7B6C" w14:textId="77777777" w:rsidR="00265792" w:rsidRDefault="00265792" w:rsidP="00082265">
      <w:pPr>
        <w:pStyle w:val="ARfinbodylargespace"/>
      </w:pPr>
      <w:r>
        <w:t xml:space="preserve">The following table discloses the details of the various annual parliamentary appropriations received by the department for the year. </w:t>
      </w:r>
    </w:p>
    <w:p w14:paraId="78E1B2C0" w14:textId="2B59E0CA" w:rsidR="00265792" w:rsidRPr="00BA7805" w:rsidRDefault="00265792" w:rsidP="00082265">
      <w:pPr>
        <w:pStyle w:val="ARfinbodylargespace"/>
        <w:rPr>
          <w:highlight w:val="green"/>
        </w:rPr>
      </w:pPr>
      <w:r>
        <w:t xml:space="preserve">In accordance with accrual output-based management procedures </w:t>
      </w:r>
      <w:r w:rsidR="00665ED6">
        <w:t>‘</w:t>
      </w:r>
      <w:r>
        <w:t>provision of outputs</w:t>
      </w:r>
      <w:r w:rsidR="00665ED6">
        <w:t>’</w:t>
      </w:r>
      <w:r>
        <w:t xml:space="preserve"> and </w:t>
      </w:r>
      <w:r w:rsidR="00665ED6">
        <w:t>‘</w:t>
      </w:r>
      <w:r>
        <w:t>additions to net assets</w:t>
      </w:r>
      <w:r w:rsidR="00665ED6">
        <w:t>’</w:t>
      </w:r>
      <w:r>
        <w:t xml:space="preserve"> are disclosed as </w:t>
      </w:r>
      <w:r w:rsidR="00665ED6">
        <w:t>‘</w:t>
      </w:r>
      <w:r>
        <w:t>controlled</w:t>
      </w:r>
      <w:r w:rsidR="00665ED6">
        <w:t>’</w:t>
      </w:r>
      <w:r>
        <w:t xml:space="preserve"> activities of the department. Administered transactions are those that are undertaken on behalf of the state over which the department has no control or discretion (refer to Note 4.2).</w:t>
      </w:r>
    </w:p>
    <w:tbl>
      <w:tblPr>
        <w:tblStyle w:val="TableGrid"/>
        <w:tblW w:w="5000" w:type="pct"/>
        <w:tblLayout w:type="fixed"/>
        <w:tblLook w:val="06E0" w:firstRow="1" w:lastRow="1" w:firstColumn="1" w:lastColumn="0" w:noHBand="1" w:noVBand="1"/>
      </w:tblPr>
      <w:tblGrid>
        <w:gridCol w:w="3728"/>
        <w:gridCol w:w="1296"/>
        <w:gridCol w:w="1297"/>
        <w:gridCol w:w="1298"/>
        <w:gridCol w:w="1298"/>
        <w:gridCol w:w="1298"/>
        <w:gridCol w:w="1298"/>
        <w:gridCol w:w="1298"/>
        <w:gridCol w:w="1298"/>
        <w:gridCol w:w="461"/>
      </w:tblGrid>
      <w:tr w:rsidR="00265792" w:rsidRPr="00BA7805" w14:paraId="7D2A6FCE" w14:textId="77777777" w:rsidTr="00A115EA">
        <w:trPr>
          <w:cnfStyle w:val="100000000000" w:firstRow="1" w:lastRow="0" w:firstColumn="0" w:lastColumn="0" w:oddVBand="0" w:evenVBand="0" w:oddHBand="0" w:evenHBand="0" w:firstRowFirstColumn="0" w:firstRowLastColumn="0" w:lastRowFirstColumn="0" w:lastRowLastColumn="0"/>
          <w:tblHeader/>
        </w:trPr>
        <w:tc>
          <w:tcPr>
            <w:tcW w:w="3483" w:type="dxa"/>
            <w:vMerge w:val="restart"/>
            <w:tcBorders>
              <w:top w:val="nil"/>
            </w:tcBorders>
            <w:noWrap/>
          </w:tcPr>
          <w:p w14:paraId="05936BC3" w14:textId="77777777" w:rsidR="00265792" w:rsidRPr="00BA7805" w:rsidRDefault="00265792">
            <w:pPr>
              <w:pStyle w:val="ARfintablecolhead"/>
              <w:spacing w:before="30" w:after="10"/>
              <w:rPr>
                <w:highlight w:val="green"/>
              </w:rPr>
            </w:pPr>
          </w:p>
        </w:tc>
        <w:tc>
          <w:tcPr>
            <w:tcW w:w="2422" w:type="dxa"/>
            <w:gridSpan w:val="2"/>
            <w:tcBorders>
              <w:top w:val="nil"/>
            </w:tcBorders>
            <w:shd w:val="clear" w:color="auto" w:fill="EEEEEF" w:themeFill="accent4"/>
          </w:tcPr>
          <w:p w14:paraId="0399BCA2" w14:textId="77777777" w:rsidR="00265792" w:rsidRPr="003E79FE" w:rsidRDefault="00265792">
            <w:pPr>
              <w:pStyle w:val="ARfintablecolheadcentre"/>
              <w:spacing w:before="30" w:after="10"/>
            </w:pPr>
            <w:r w:rsidRPr="003E79FE">
              <w:t>Appropriation Act</w:t>
            </w:r>
          </w:p>
        </w:tc>
        <w:tc>
          <w:tcPr>
            <w:tcW w:w="3636" w:type="dxa"/>
            <w:gridSpan w:val="3"/>
            <w:tcBorders>
              <w:top w:val="nil"/>
            </w:tcBorders>
          </w:tcPr>
          <w:p w14:paraId="3BE64D72" w14:textId="77777777" w:rsidR="00265792" w:rsidRPr="00B55528" w:rsidRDefault="00265792">
            <w:pPr>
              <w:pStyle w:val="ARfintablecolheadcentre"/>
              <w:spacing w:before="30" w:after="10"/>
              <w:rPr>
                <w:i/>
                <w:iCs/>
              </w:rPr>
            </w:pPr>
            <w:r w:rsidRPr="00B55528">
              <w:rPr>
                <w:i/>
                <w:iCs/>
              </w:rPr>
              <w:t>Financial Management Act 1994</w:t>
            </w:r>
          </w:p>
        </w:tc>
        <w:tc>
          <w:tcPr>
            <w:tcW w:w="1212" w:type="dxa"/>
            <w:vMerge w:val="restart"/>
            <w:tcBorders>
              <w:top w:val="nil"/>
            </w:tcBorders>
            <w:shd w:val="clear" w:color="auto" w:fill="EEEEEF" w:themeFill="accent4"/>
          </w:tcPr>
          <w:p w14:paraId="0D35E9E8" w14:textId="77777777" w:rsidR="00265792" w:rsidRPr="003E79FE" w:rsidRDefault="00265792" w:rsidP="00AD31FF">
            <w:pPr>
              <w:pStyle w:val="ARfintablecolheadright"/>
              <w:spacing w:before="30" w:after="10"/>
            </w:pPr>
            <w:r w:rsidRPr="003E79FE">
              <w:t xml:space="preserve">Total </w:t>
            </w:r>
            <w:proofErr w:type="spellStart"/>
            <w:r w:rsidRPr="003E79FE">
              <w:t>parlia</w:t>
            </w:r>
            <w:proofErr w:type="spellEnd"/>
            <w:r w:rsidRPr="003E79FE">
              <w:t>-</w:t>
            </w:r>
            <w:r w:rsidRPr="003E79FE">
              <w:br/>
            </w:r>
            <w:proofErr w:type="spellStart"/>
            <w:r w:rsidRPr="003E79FE">
              <w:t>mentary</w:t>
            </w:r>
            <w:proofErr w:type="spellEnd"/>
            <w:r w:rsidRPr="003E79FE">
              <w:t xml:space="preserve"> </w:t>
            </w:r>
            <w:r w:rsidRPr="003E79FE">
              <w:br/>
              <w:t>authority</w:t>
            </w:r>
          </w:p>
          <w:p w14:paraId="685B1470" w14:textId="77777777" w:rsidR="00265792" w:rsidRPr="003E79FE" w:rsidRDefault="00265792" w:rsidP="00AD31FF">
            <w:pPr>
              <w:pStyle w:val="ARfintablecolheadright"/>
              <w:spacing w:before="30" w:after="10"/>
            </w:pPr>
            <w:r w:rsidRPr="003E79FE">
              <w:t>$M</w:t>
            </w:r>
          </w:p>
        </w:tc>
        <w:tc>
          <w:tcPr>
            <w:tcW w:w="1212" w:type="dxa"/>
            <w:vMerge w:val="restart"/>
            <w:tcBorders>
              <w:top w:val="nil"/>
            </w:tcBorders>
          </w:tcPr>
          <w:p w14:paraId="092BFE82" w14:textId="2E31D50D" w:rsidR="00265792" w:rsidRPr="003E79FE" w:rsidRDefault="00265792" w:rsidP="00AD31FF">
            <w:pPr>
              <w:pStyle w:val="ARfintablecolheadright"/>
              <w:spacing w:before="30" w:after="10"/>
            </w:pPr>
            <w:proofErr w:type="spellStart"/>
            <w:r w:rsidRPr="003E79FE">
              <w:t>Appropri</w:t>
            </w:r>
            <w:r w:rsidR="008B5C48">
              <w:t>-</w:t>
            </w:r>
            <w:r w:rsidRPr="003E79FE">
              <w:t>ations</w:t>
            </w:r>
            <w:proofErr w:type="spellEnd"/>
            <w:r w:rsidRPr="003E79FE">
              <w:t xml:space="preserve"> </w:t>
            </w:r>
            <w:r w:rsidRPr="003E79FE">
              <w:br/>
              <w:t>applied</w:t>
            </w:r>
          </w:p>
          <w:p w14:paraId="77CF7154" w14:textId="77777777" w:rsidR="00265792" w:rsidRPr="003E79FE" w:rsidRDefault="00265792" w:rsidP="00AD31FF">
            <w:pPr>
              <w:pStyle w:val="ARfintablecolheadright"/>
              <w:spacing w:before="30" w:after="10"/>
            </w:pPr>
            <w:r w:rsidRPr="003E79FE">
              <w:t>$M</w:t>
            </w:r>
          </w:p>
        </w:tc>
        <w:tc>
          <w:tcPr>
            <w:tcW w:w="1212" w:type="dxa"/>
            <w:vMerge w:val="restart"/>
            <w:tcBorders>
              <w:top w:val="nil"/>
            </w:tcBorders>
            <w:shd w:val="clear" w:color="auto" w:fill="EEEEEF" w:themeFill="accent4"/>
          </w:tcPr>
          <w:p w14:paraId="6C3B94E1" w14:textId="77777777" w:rsidR="00265792" w:rsidRPr="003E79FE" w:rsidRDefault="00265792" w:rsidP="00AD31FF">
            <w:pPr>
              <w:pStyle w:val="ARfintablecolheadright"/>
              <w:spacing w:before="30" w:after="10"/>
            </w:pPr>
            <w:r w:rsidRPr="003E79FE">
              <w:t>Variance</w:t>
            </w:r>
          </w:p>
          <w:p w14:paraId="44CB7532" w14:textId="77777777" w:rsidR="00265792" w:rsidRPr="003E79FE" w:rsidRDefault="00265792" w:rsidP="00AD31FF">
            <w:pPr>
              <w:pStyle w:val="ARfintablecolheadright"/>
              <w:spacing w:before="30" w:after="10"/>
            </w:pPr>
            <w:r w:rsidRPr="003E79FE">
              <w:t>$M</w:t>
            </w:r>
          </w:p>
        </w:tc>
        <w:tc>
          <w:tcPr>
            <w:tcW w:w="431" w:type="dxa"/>
            <w:vMerge w:val="restart"/>
            <w:tcBorders>
              <w:top w:val="nil"/>
            </w:tcBorders>
          </w:tcPr>
          <w:p w14:paraId="4C5BE9F0" w14:textId="77777777" w:rsidR="00265792" w:rsidRPr="00BA7805" w:rsidRDefault="00265792" w:rsidP="00B4738A">
            <w:pPr>
              <w:pStyle w:val="ARfintablecolheadright"/>
              <w:tabs>
                <w:tab w:val="left" w:pos="145"/>
              </w:tabs>
              <w:spacing w:before="30" w:after="10"/>
              <w:rPr>
                <w:highlight w:val="green"/>
              </w:rPr>
            </w:pPr>
          </w:p>
        </w:tc>
      </w:tr>
      <w:tr w:rsidR="00265792" w:rsidRPr="00BA7805" w14:paraId="30512796" w14:textId="77777777" w:rsidTr="00A115EA">
        <w:trPr>
          <w:cnfStyle w:val="100000000000" w:firstRow="1" w:lastRow="0" w:firstColumn="0" w:lastColumn="0" w:oddVBand="0" w:evenVBand="0" w:oddHBand="0" w:evenHBand="0" w:firstRowFirstColumn="0" w:firstRowLastColumn="0" w:lastRowFirstColumn="0" w:lastRowLastColumn="0"/>
          <w:tblHeader/>
        </w:trPr>
        <w:tc>
          <w:tcPr>
            <w:tcW w:w="3483" w:type="dxa"/>
            <w:vMerge/>
            <w:tcBorders>
              <w:top w:val="single" w:sz="4" w:space="0" w:color="000000" w:themeColor="text1"/>
            </w:tcBorders>
            <w:noWrap/>
            <w:hideMark/>
          </w:tcPr>
          <w:p w14:paraId="601026F2" w14:textId="77777777" w:rsidR="00265792" w:rsidRPr="00BA7805" w:rsidRDefault="00265792">
            <w:pPr>
              <w:pStyle w:val="ARfintablecolhead"/>
              <w:spacing w:before="30" w:after="10"/>
              <w:rPr>
                <w:highlight w:val="green"/>
              </w:rPr>
            </w:pPr>
          </w:p>
        </w:tc>
        <w:tc>
          <w:tcPr>
            <w:tcW w:w="1211" w:type="dxa"/>
            <w:tcBorders>
              <w:top w:val="single" w:sz="4" w:space="0" w:color="000000" w:themeColor="text1"/>
            </w:tcBorders>
            <w:shd w:val="clear" w:color="auto" w:fill="EEEEEF" w:themeFill="accent4"/>
            <w:hideMark/>
          </w:tcPr>
          <w:p w14:paraId="66B30E85" w14:textId="48C71EA7" w:rsidR="00265792" w:rsidRPr="003E79FE" w:rsidRDefault="00265792" w:rsidP="00AD31FF">
            <w:pPr>
              <w:pStyle w:val="ARfintablecolheadright"/>
              <w:spacing w:before="30" w:after="10"/>
            </w:pPr>
            <w:r w:rsidRPr="003E79FE">
              <w:t xml:space="preserve">Annual </w:t>
            </w:r>
            <w:proofErr w:type="spellStart"/>
            <w:r w:rsidRPr="003E79FE">
              <w:t>appropr</w:t>
            </w:r>
            <w:r w:rsidR="00231CAE">
              <w:t>-</w:t>
            </w:r>
            <w:r w:rsidRPr="003E79FE">
              <w:t>iation</w:t>
            </w:r>
            <w:proofErr w:type="spellEnd"/>
          </w:p>
          <w:p w14:paraId="7E40E0C6" w14:textId="77777777" w:rsidR="00265792" w:rsidRPr="003E79FE" w:rsidRDefault="00265792" w:rsidP="00AD31FF">
            <w:pPr>
              <w:pStyle w:val="ARfintablecolheadright"/>
              <w:spacing w:before="30" w:after="10"/>
            </w:pPr>
            <w:r w:rsidRPr="003E79FE">
              <w:t>$M</w:t>
            </w:r>
          </w:p>
        </w:tc>
        <w:tc>
          <w:tcPr>
            <w:tcW w:w="1211" w:type="dxa"/>
            <w:tcBorders>
              <w:top w:val="single" w:sz="4" w:space="0" w:color="000000" w:themeColor="text1"/>
            </w:tcBorders>
            <w:shd w:val="clear" w:color="auto" w:fill="EEEEEF" w:themeFill="accent4"/>
            <w:hideMark/>
          </w:tcPr>
          <w:p w14:paraId="19FC11AE" w14:textId="77777777" w:rsidR="00265792" w:rsidRPr="003E79FE" w:rsidRDefault="00265792" w:rsidP="00AD31FF">
            <w:pPr>
              <w:pStyle w:val="ARfintablecolheadright"/>
              <w:spacing w:before="30" w:after="10"/>
            </w:pPr>
            <w:r w:rsidRPr="003E79FE">
              <w:t>Advance from Treasurer</w:t>
            </w:r>
          </w:p>
          <w:p w14:paraId="763EFC86" w14:textId="77777777" w:rsidR="00265792" w:rsidRPr="003E79FE" w:rsidRDefault="00265792" w:rsidP="00AD31FF">
            <w:pPr>
              <w:pStyle w:val="ARfintablecolheadright"/>
              <w:spacing w:before="30" w:after="10"/>
            </w:pPr>
            <w:r w:rsidRPr="003E79FE">
              <w:t>$M</w:t>
            </w:r>
          </w:p>
        </w:tc>
        <w:tc>
          <w:tcPr>
            <w:tcW w:w="1212" w:type="dxa"/>
            <w:tcBorders>
              <w:top w:val="single" w:sz="4" w:space="0" w:color="000000" w:themeColor="text1"/>
            </w:tcBorders>
            <w:hideMark/>
          </w:tcPr>
          <w:p w14:paraId="696AA959" w14:textId="77777777" w:rsidR="00265792" w:rsidRPr="003E79FE" w:rsidRDefault="00265792" w:rsidP="00AD31FF">
            <w:pPr>
              <w:pStyle w:val="ARfintablecolheadright"/>
              <w:spacing w:before="30" w:after="10"/>
              <w:rPr>
                <w:rStyle w:val="Superscript"/>
              </w:rPr>
            </w:pPr>
            <w:r w:rsidRPr="003E79FE">
              <w:t xml:space="preserve">Section 29 </w:t>
            </w:r>
            <w:r w:rsidRPr="003E79FE">
              <w:rPr>
                <w:rStyle w:val="Superscript"/>
              </w:rPr>
              <w:t>(</w:t>
            </w:r>
            <w:proofErr w:type="spellStart"/>
            <w:r w:rsidRPr="003E79FE">
              <w:rPr>
                <w:rStyle w:val="Superscript"/>
              </w:rPr>
              <w:t>i</w:t>
            </w:r>
            <w:proofErr w:type="spellEnd"/>
            <w:r w:rsidRPr="003E79FE">
              <w:rPr>
                <w:rStyle w:val="Superscript"/>
              </w:rPr>
              <w:t>)</w:t>
            </w:r>
          </w:p>
          <w:p w14:paraId="3BEFA129" w14:textId="77777777" w:rsidR="00265792" w:rsidRPr="003E79FE" w:rsidRDefault="00265792" w:rsidP="00AD31FF">
            <w:pPr>
              <w:pStyle w:val="ARfintablecolheadright"/>
              <w:spacing w:before="30" w:after="10"/>
            </w:pPr>
            <w:r w:rsidRPr="003E79FE">
              <w:t>$M</w:t>
            </w:r>
          </w:p>
        </w:tc>
        <w:tc>
          <w:tcPr>
            <w:tcW w:w="1212" w:type="dxa"/>
            <w:tcBorders>
              <w:top w:val="single" w:sz="4" w:space="0" w:color="000000" w:themeColor="text1"/>
            </w:tcBorders>
            <w:hideMark/>
          </w:tcPr>
          <w:p w14:paraId="730675F6" w14:textId="77777777" w:rsidR="00265792" w:rsidRPr="003E79FE" w:rsidRDefault="00265792" w:rsidP="00AD31FF">
            <w:pPr>
              <w:pStyle w:val="ARfintablecolheadright"/>
              <w:spacing w:before="30" w:after="10"/>
            </w:pPr>
            <w:r w:rsidRPr="003E79FE">
              <w:t>Section 30</w:t>
            </w:r>
          </w:p>
          <w:p w14:paraId="59E856ED" w14:textId="77777777" w:rsidR="00265792" w:rsidRPr="003E79FE" w:rsidRDefault="00265792" w:rsidP="00AD31FF">
            <w:pPr>
              <w:pStyle w:val="ARfintablecolheadright"/>
              <w:spacing w:before="30" w:after="10"/>
            </w:pPr>
            <w:r w:rsidRPr="003E79FE">
              <w:t>$M</w:t>
            </w:r>
          </w:p>
        </w:tc>
        <w:tc>
          <w:tcPr>
            <w:tcW w:w="1212" w:type="dxa"/>
            <w:tcBorders>
              <w:top w:val="single" w:sz="4" w:space="0" w:color="000000" w:themeColor="text1"/>
            </w:tcBorders>
            <w:hideMark/>
          </w:tcPr>
          <w:p w14:paraId="415BA5FA" w14:textId="77777777" w:rsidR="00265792" w:rsidRPr="003E79FE" w:rsidRDefault="00265792" w:rsidP="00AD31FF">
            <w:pPr>
              <w:pStyle w:val="ARfintablecolheadright"/>
              <w:spacing w:before="30" w:after="10"/>
            </w:pPr>
            <w:r w:rsidRPr="003E79FE">
              <w:t>Section</w:t>
            </w:r>
            <w:r>
              <w:t xml:space="preserve"> </w:t>
            </w:r>
            <w:r w:rsidRPr="003E79FE">
              <w:t>32</w:t>
            </w:r>
          </w:p>
          <w:p w14:paraId="73FB4687" w14:textId="77777777" w:rsidR="00265792" w:rsidRPr="003E79FE" w:rsidRDefault="00265792" w:rsidP="00AD31FF">
            <w:pPr>
              <w:pStyle w:val="ARfintablecolheadright"/>
              <w:spacing w:before="30" w:after="10"/>
            </w:pPr>
            <w:r w:rsidRPr="003E79FE">
              <w:t>$M</w:t>
            </w:r>
          </w:p>
        </w:tc>
        <w:tc>
          <w:tcPr>
            <w:tcW w:w="1212" w:type="dxa"/>
            <w:vMerge/>
            <w:tcBorders>
              <w:top w:val="single" w:sz="4" w:space="0" w:color="000000" w:themeColor="text1"/>
            </w:tcBorders>
            <w:shd w:val="clear" w:color="auto" w:fill="EEEEEF" w:themeFill="accent4"/>
            <w:hideMark/>
          </w:tcPr>
          <w:p w14:paraId="09CD99AA" w14:textId="77777777" w:rsidR="00265792" w:rsidRPr="003E79FE" w:rsidRDefault="00265792">
            <w:pPr>
              <w:pStyle w:val="ARfintablecolheadright"/>
              <w:spacing w:before="30" w:after="10"/>
            </w:pPr>
          </w:p>
        </w:tc>
        <w:tc>
          <w:tcPr>
            <w:tcW w:w="1212" w:type="dxa"/>
            <w:vMerge/>
            <w:tcBorders>
              <w:top w:val="single" w:sz="4" w:space="0" w:color="000000" w:themeColor="text1"/>
            </w:tcBorders>
            <w:hideMark/>
          </w:tcPr>
          <w:p w14:paraId="2F8CC289" w14:textId="77777777" w:rsidR="00265792" w:rsidRPr="003E79FE" w:rsidRDefault="00265792">
            <w:pPr>
              <w:pStyle w:val="ARfintablecolheadright"/>
              <w:spacing w:before="30" w:after="10"/>
            </w:pPr>
          </w:p>
        </w:tc>
        <w:tc>
          <w:tcPr>
            <w:tcW w:w="1212" w:type="dxa"/>
            <w:vMerge/>
            <w:tcBorders>
              <w:top w:val="single" w:sz="4" w:space="0" w:color="000000" w:themeColor="text1"/>
            </w:tcBorders>
            <w:shd w:val="clear" w:color="auto" w:fill="EEEEEF" w:themeFill="accent4"/>
            <w:hideMark/>
          </w:tcPr>
          <w:p w14:paraId="460FC8F4" w14:textId="77777777" w:rsidR="00265792" w:rsidRPr="003E79FE" w:rsidRDefault="00265792">
            <w:pPr>
              <w:pStyle w:val="ARfintablecolheadright"/>
              <w:spacing w:before="30" w:after="10"/>
            </w:pPr>
          </w:p>
        </w:tc>
        <w:tc>
          <w:tcPr>
            <w:tcW w:w="431" w:type="dxa"/>
            <w:vMerge/>
            <w:tcBorders>
              <w:top w:val="single" w:sz="4" w:space="0" w:color="000000" w:themeColor="text1"/>
            </w:tcBorders>
            <w:hideMark/>
          </w:tcPr>
          <w:p w14:paraId="669D018B" w14:textId="77777777" w:rsidR="00265792" w:rsidRPr="00BA7805" w:rsidRDefault="00265792">
            <w:pPr>
              <w:pStyle w:val="ARfintablecolheadright"/>
              <w:spacing w:before="30" w:after="10"/>
              <w:rPr>
                <w:highlight w:val="green"/>
              </w:rPr>
            </w:pPr>
          </w:p>
        </w:tc>
      </w:tr>
      <w:tr w:rsidR="00265792" w:rsidRPr="00BA7805" w14:paraId="566D5943" w14:textId="77777777" w:rsidTr="004A71C0">
        <w:tc>
          <w:tcPr>
            <w:tcW w:w="3483" w:type="dxa"/>
            <w:tcBorders>
              <w:top w:val="single" w:sz="4" w:space="0" w:color="000000" w:themeColor="text1"/>
              <w:bottom w:val="single" w:sz="4" w:space="0" w:color="A6A6A6" w:themeColor="accent5"/>
            </w:tcBorders>
          </w:tcPr>
          <w:p w14:paraId="34686329" w14:textId="77777777" w:rsidR="00265792" w:rsidRPr="00BA7805" w:rsidRDefault="00265792" w:rsidP="00F60E05">
            <w:pPr>
              <w:pStyle w:val="ARfintablebodyboldcoloured"/>
              <w:rPr>
                <w:highlight w:val="green"/>
              </w:rPr>
            </w:pPr>
            <w:r w:rsidRPr="00C91C95">
              <w:t>2025</w:t>
            </w:r>
          </w:p>
        </w:tc>
        <w:tc>
          <w:tcPr>
            <w:tcW w:w="1211" w:type="dxa"/>
            <w:tcBorders>
              <w:top w:val="single" w:sz="4" w:space="0" w:color="000000" w:themeColor="text1"/>
              <w:bottom w:val="single" w:sz="4" w:space="0" w:color="A6A6A6" w:themeColor="accent5"/>
            </w:tcBorders>
            <w:noWrap/>
          </w:tcPr>
          <w:p w14:paraId="23B0E22E" w14:textId="77777777" w:rsidR="00265792" w:rsidRPr="00BA7805" w:rsidRDefault="00265792" w:rsidP="00F60E05">
            <w:pPr>
              <w:pStyle w:val="ARfintablebodyright"/>
              <w:spacing w:before="30" w:after="10"/>
              <w:rPr>
                <w:highlight w:val="green"/>
              </w:rPr>
            </w:pPr>
          </w:p>
        </w:tc>
        <w:tc>
          <w:tcPr>
            <w:tcW w:w="1211" w:type="dxa"/>
            <w:tcBorders>
              <w:top w:val="single" w:sz="4" w:space="0" w:color="000000" w:themeColor="text1"/>
              <w:bottom w:val="single" w:sz="4" w:space="0" w:color="A6A6A6" w:themeColor="accent5"/>
            </w:tcBorders>
            <w:noWrap/>
          </w:tcPr>
          <w:p w14:paraId="53E1C0B9" w14:textId="77777777" w:rsidR="00265792" w:rsidRPr="00BA7805" w:rsidRDefault="00265792" w:rsidP="00F60E05">
            <w:pPr>
              <w:pStyle w:val="ARfintablebodyright"/>
              <w:spacing w:before="30" w:after="10"/>
              <w:rPr>
                <w:highlight w:val="green"/>
              </w:rPr>
            </w:pPr>
          </w:p>
        </w:tc>
        <w:tc>
          <w:tcPr>
            <w:tcW w:w="1212" w:type="dxa"/>
            <w:tcBorders>
              <w:top w:val="single" w:sz="4" w:space="0" w:color="000000" w:themeColor="text1"/>
              <w:bottom w:val="single" w:sz="4" w:space="0" w:color="A6A6A6" w:themeColor="accent5"/>
            </w:tcBorders>
            <w:noWrap/>
          </w:tcPr>
          <w:p w14:paraId="16AB5406" w14:textId="77777777" w:rsidR="00265792" w:rsidRPr="00BA7805" w:rsidRDefault="00265792" w:rsidP="00F60E05">
            <w:pPr>
              <w:pStyle w:val="ARfintablebodyright"/>
              <w:spacing w:before="30" w:after="10"/>
              <w:rPr>
                <w:highlight w:val="green"/>
              </w:rPr>
            </w:pPr>
          </w:p>
        </w:tc>
        <w:tc>
          <w:tcPr>
            <w:tcW w:w="1212" w:type="dxa"/>
            <w:tcBorders>
              <w:top w:val="single" w:sz="4" w:space="0" w:color="000000" w:themeColor="text1"/>
              <w:bottom w:val="single" w:sz="4" w:space="0" w:color="A6A6A6" w:themeColor="accent5"/>
            </w:tcBorders>
            <w:noWrap/>
          </w:tcPr>
          <w:p w14:paraId="45C3235A" w14:textId="77777777" w:rsidR="00265792" w:rsidRPr="00BA7805" w:rsidRDefault="00265792" w:rsidP="00F60E05">
            <w:pPr>
              <w:pStyle w:val="ARfintablebodyright"/>
              <w:spacing w:before="30" w:after="10"/>
              <w:rPr>
                <w:highlight w:val="green"/>
              </w:rPr>
            </w:pPr>
          </w:p>
        </w:tc>
        <w:tc>
          <w:tcPr>
            <w:tcW w:w="1212" w:type="dxa"/>
            <w:tcBorders>
              <w:top w:val="single" w:sz="4" w:space="0" w:color="000000" w:themeColor="text1"/>
              <w:bottom w:val="single" w:sz="4" w:space="0" w:color="A6A6A6" w:themeColor="accent5"/>
            </w:tcBorders>
            <w:noWrap/>
          </w:tcPr>
          <w:p w14:paraId="6A2FFDDF" w14:textId="77777777" w:rsidR="00265792" w:rsidRPr="00BA7805" w:rsidRDefault="00265792" w:rsidP="00F60E05">
            <w:pPr>
              <w:pStyle w:val="ARfintablebodyright"/>
              <w:spacing w:before="30" w:after="10"/>
              <w:rPr>
                <w:highlight w:val="green"/>
              </w:rPr>
            </w:pPr>
          </w:p>
        </w:tc>
        <w:tc>
          <w:tcPr>
            <w:tcW w:w="1212" w:type="dxa"/>
            <w:tcBorders>
              <w:top w:val="single" w:sz="4" w:space="0" w:color="000000" w:themeColor="text1"/>
              <w:bottom w:val="single" w:sz="4" w:space="0" w:color="A6A6A6" w:themeColor="accent5"/>
            </w:tcBorders>
            <w:noWrap/>
          </w:tcPr>
          <w:p w14:paraId="4E2B4D78" w14:textId="77777777" w:rsidR="00265792" w:rsidRPr="00BA7805" w:rsidRDefault="00265792" w:rsidP="00F60E05">
            <w:pPr>
              <w:pStyle w:val="ARfintablebodyright"/>
              <w:spacing w:before="30" w:after="10"/>
              <w:rPr>
                <w:highlight w:val="green"/>
              </w:rPr>
            </w:pPr>
          </w:p>
        </w:tc>
        <w:tc>
          <w:tcPr>
            <w:tcW w:w="1212" w:type="dxa"/>
            <w:tcBorders>
              <w:top w:val="single" w:sz="4" w:space="0" w:color="000000" w:themeColor="text1"/>
              <w:bottom w:val="single" w:sz="4" w:space="0" w:color="A6A6A6" w:themeColor="accent5"/>
            </w:tcBorders>
            <w:noWrap/>
          </w:tcPr>
          <w:p w14:paraId="6E47DF4A" w14:textId="77777777" w:rsidR="00265792" w:rsidRPr="00BA7805" w:rsidRDefault="00265792" w:rsidP="00F60E05">
            <w:pPr>
              <w:pStyle w:val="ARfintablebodyright"/>
              <w:spacing w:before="30" w:after="10"/>
              <w:rPr>
                <w:highlight w:val="green"/>
              </w:rPr>
            </w:pPr>
          </w:p>
        </w:tc>
        <w:tc>
          <w:tcPr>
            <w:tcW w:w="1212" w:type="dxa"/>
            <w:tcBorders>
              <w:top w:val="single" w:sz="4" w:space="0" w:color="000000" w:themeColor="text1"/>
              <w:bottom w:val="single" w:sz="4" w:space="0" w:color="A6A6A6" w:themeColor="accent5"/>
            </w:tcBorders>
            <w:noWrap/>
          </w:tcPr>
          <w:p w14:paraId="564E0CE6" w14:textId="77777777" w:rsidR="00265792" w:rsidRPr="00BA7805" w:rsidRDefault="00265792" w:rsidP="00F60E05">
            <w:pPr>
              <w:pStyle w:val="ARfintablebodyright"/>
              <w:spacing w:before="30" w:after="10"/>
              <w:rPr>
                <w:highlight w:val="green"/>
              </w:rPr>
            </w:pPr>
          </w:p>
        </w:tc>
        <w:tc>
          <w:tcPr>
            <w:tcW w:w="431" w:type="dxa"/>
            <w:tcBorders>
              <w:top w:val="single" w:sz="4" w:space="0" w:color="000000" w:themeColor="text1"/>
              <w:bottom w:val="single" w:sz="4" w:space="0" w:color="A6A6A6" w:themeColor="accent5"/>
            </w:tcBorders>
            <w:noWrap/>
          </w:tcPr>
          <w:p w14:paraId="0B51A681" w14:textId="77777777" w:rsidR="00265792" w:rsidRPr="006503CC" w:rsidRDefault="00265792" w:rsidP="00F60E05">
            <w:pPr>
              <w:pStyle w:val="ARfintablebodyright"/>
              <w:spacing w:before="30" w:after="10"/>
              <w:rPr>
                <w:rStyle w:val="Superscript"/>
                <w:highlight w:val="green"/>
              </w:rPr>
            </w:pPr>
          </w:p>
        </w:tc>
      </w:tr>
      <w:tr w:rsidR="00265792" w:rsidRPr="00BA7805" w14:paraId="1D8A764D" w14:textId="77777777" w:rsidTr="004A71C0">
        <w:tc>
          <w:tcPr>
            <w:tcW w:w="3483" w:type="dxa"/>
            <w:tcBorders>
              <w:top w:val="single" w:sz="4" w:space="0" w:color="A6A6A6" w:themeColor="accent5"/>
            </w:tcBorders>
          </w:tcPr>
          <w:p w14:paraId="3C06343C" w14:textId="77777777" w:rsidR="00265792" w:rsidRPr="00BA7805" w:rsidRDefault="00265792" w:rsidP="00F60E05">
            <w:pPr>
              <w:pStyle w:val="ARfintablebodybold"/>
              <w:rPr>
                <w:highlight w:val="green"/>
              </w:rPr>
            </w:pPr>
            <w:r w:rsidRPr="00C91C95">
              <w:t>Controlled</w:t>
            </w:r>
          </w:p>
        </w:tc>
        <w:tc>
          <w:tcPr>
            <w:tcW w:w="1211" w:type="dxa"/>
            <w:tcBorders>
              <w:top w:val="single" w:sz="4" w:space="0" w:color="A6A6A6" w:themeColor="accent5"/>
            </w:tcBorders>
            <w:noWrap/>
          </w:tcPr>
          <w:p w14:paraId="550EB3EB" w14:textId="77777777" w:rsidR="00265792" w:rsidRPr="00BA7805" w:rsidRDefault="00265792" w:rsidP="00F60E05">
            <w:pPr>
              <w:pStyle w:val="ARfintablebodyright"/>
              <w:spacing w:before="30" w:after="10"/>
              <w:rPr>
                <w:highlight w:val="green"/>
              </w:rPr>
            </w:pPr>
          </w:p>
        </w:tc>
        <w:tc>
          <w:tcPr>
            <w:tcW w:w="1211" w:type="dxa"/>
            <w:tcBorders>
              <w:top w:val="single" w:sz="4" w:space="0" w:color="A6A6A6" w:themeColor="accent5"/>
            </w:tcBorders>
            <w:noWrap/>
          </w:tcPr>
          <w:p w14:paraId="30191B35" w14:textId="77777777" w:rsidR="00265792" w:rsidRPr="00BA7805" w:rsidRDefault="00265792" w:rsidP="00F60E05">
            <w:pPr>
              <w:pStyle w:val="ARfintablebodyright"/>
              <w:spacing w:before="30" w:after="10"/>
              <w:rPr>
                <w:highlight w:val="green"/>
              </w:rPr>
            </w:pPr>
          </w:p>
        </w:tc>
        <w:tc>
          <w:tcPr>
            <w:tcW w:w="1212" w:type="dxa"/>
            <w:tcBorders>
              <w:top w:val="single" w:sz="4" w:space="0" w:color="A6A6A6" w:themeColor="accent5"/>
            </w:tcBorders>
            <w:noWrap/>
          </w:tcPr>
          <w:p w14:paraId="4E359C1E" w14:textId="77777777" w:rsidR="00265792" w:rsidRPr="00BA7805" w:rsidRDefault="00265792" w:rsidP="00F60E05">
            <w:pPr>
              <w:pStyle w:val="ARfintablebodyright"/>
              <w:spacing w:before="30" w:after="10"/>
              <w:rPr>
                <w:highlight w:val="green"/>
              </w:rPr>
            </w:pPr>
          </w:p>
        </w:tc>
        <w:tc>
          <w:tcPr>
            <w:tcW w:w="1212" w:type="dxa"/>
            <w:tcBorders>
              <w:top w:val="single" w:sz="4" w:space="0" w:color="A6A6A6" w:themeColor="accent5"/>
            </w:tcBorders>
            <w:noWrap/>
          </w:tcPr>
          <w:p w14:paraId="79B2F8E5" w14:textId="77777777" w:rsidR="00265792" w:rsidRPr="00BA7805" w:rsidRDefault="00265792" w:rsidP="00F60E05">
            <w:pPr>
              <w:pStyle w:val="ARfintablebodyright"/>
              <w:spacing w:before="30" w:after="10"/>
              <w:rPr>
                <w:highlight w:val="green"/>
              </w:rPr>
            </w:pPr>
          </w:p>
        </w:tc>
        <w:tc>
          <w:tcPr>
            <w:tcW w:w="1212" w:type="dxa"/>
            <w:tcBorders>
              <w:top w:val="single" w:sz="4" w:space="0" w:color="A6A6A6" w:themeColor="accent5"/>
            </w:tcBorders>
            <w:noWrap/>
          </w:tcPr>
          <w:p w14:paraId="62036CC4" w14:textId="77777777" w:rsidR="00265792" w:rsidRPr="00BA7805" w:rsidRDefault="00265792" w:rsidP="00F60E05">
            <w:pPr>
              <w:pStyle w:val="ARfintablebodyright"/>
              <w:spacing w:before="30" w:after="10"/>
              <w:rPr>
                <w:highlight w:val="green"/>
              </w:rPr>
            </w:pPr>
          </w:p>
        </w:tc>
        <w:tc>
          <w:tcPr>
            <w:tcW w:w="1212" w:type="dxa"/>
            <w:tcBorders>
              <w:top w:val="single" w:sz="4" w:space="0" w:color="A6A6A6" w:themeColor="accent5"/>
            </w:tcBorders>
            <w:noWrap/>
          </w:tcPr>
          <w:p w14:paraId="3870738B" w14:textId="77777777" w:rsidR="00265792" w:rsidRPr="00BA7805" w:rsidRDefault="00265792" w:rsidP="00F60E05">
            <w:pPr>
              <w:pStyle w:val="ARfintablebodyright"/>
              <w:spacing w:before="30" w:after="10"/>
              <w:rPr>
                <w:highlight w:val="green"/>
              </w:rPr>
            </w:pPr>
          </w:p>
        </w:tc>
        <w:tc>
          <w:tcPr>
            <w:tcW w:w="1212" w:type="dxa"/>
            <w:tcBorders>
              <w:top w:val="single" w:sz="4" w:space="0" w:color="A6A6A6" w:themeColor="accent5"/>
            </w:tcBorders>
            <w:noWrap/>
          </w:tcPr>
          <w:p w14:paraId="4D0D7B41" w14:textId="77777777" w:rsidR="00265792" w:rsidRPr="00BA7805" w:rsidRDefault="00265792" w:rsidP="00F60E05">
            <w:pPr>
              <w:pStyle w:val="ARfintablebodyright"/>
              <w:spacing w:before="30" w:after="10"/>
              <w:rPr>
                <w:highlight w:val="green"/>
              </w:rPr>
            </w:pPr>
          </w:p>
        </w:tc>
        <w:tc>
          <w:tcPr>
            <w:tcW w:w="1212" w:type="dxa"/>
            <w:tcBorders>
              <w:top w:val="single" w:sz="4" w:space="0" w:color="A6A6A6" w:themeColor="accent5"/>
            </w:tcBorders>
            <w:noWrap/>
          </w:tcPr>
          <w:p w14:paraId="193E4BB3" w14:textId="77777777" w:rsidR="00265792" w:rsidRPr="00BA7805" w:rsidRDefault="00265792" w:rsidP="00F60E05">
            <w:pPr>
              <w:pStyle w:val="ARfintablebodyright"/>
              <w:spacing w:before="30" w:after="10"/>
              <w:rPr>
                <w:highlight w:val="green"/>
              </w:rPr>
            </w:pPr>
          </w:p>
        </w:tc>
        <w:tc>
          <w:tcPr>
            <w:tcW w:w="431" w:type="dxa"/>
            <w:tcBorders>
              <w:top w:val="single" w:sz="4" w:space="0" w:color="A6A6A6" w:themeColor="accent5"/>
            </w:tcBorders>
            <w:noWrap/>
          </w:tcPr>
          <w:p w14:paraId="05EAD8C3" w14:textId="77777777" w:rsidR="00265792" w:rsidRPr="006503CC" w:rsidRDefault="00265792" w:rsidP="00F60E05">
            <w:pPr>
              <w:pStyle w:val="ARfintablebodyright"/>
              <w:spacing w:before="30" w:after="10"/>
              <w:rPr>
                <w:rStyle w:val="Superscript"/>
                <w:highlight w:val="green"/>
              </w:rPr>
            </w:pPr>
          </w:p>
        </w:tc>
      </w:tr>
      <w:tr w:rsidR="00265792" w:rsidRPr="00BA7805" w14:paraId="629C0BE5" w14:textId="77777777" w:rsidTr="00B4738A">
        <w:tc>
          <w:tcPr>
            <w:tcW w:w="3483" w:type="dxa"/>
          </w:tcPr>
          <w:p w14:paraId="63E92A0F" w14:textId="77777777" w:rsidR="00265792" w:rsidRPr="00BA7805" w:rsidRDefault="00265792" w:rsidP="00F60E05">
            <w:pPr>
              <w:pStyle w:val="ARfintablebody"/>
              <w:spacing w:before="30" w:after="10"/>
              <w:rPr>
                <w:highlight w:val="green"/>
              </w:rPr>
            </w:pPr>
            <w:r w:rsidRPr="00C91C95">
              <w:t>Provision of outputs</w:t>
            </w:r>
          </w:p>
        </w:tc>
        <w:tc>
          <w:tcPr>
            <w:tcW w:w="1211" w:type="dxa"/>
            <w:shd w:val="clear" w:color="auto" w:fill="EEEEEF" w:themeFill="accent4"/>
            <w:noWrap/>
          </w:tcPr>
          <w:p w14:paraId="02FF633C" w14:textId="77777777" w:rsidR="00265792" w:rsidRPr="00BA7805" w:rsidRDefault="00265792" w:rsidP="00F60E05">
            <w:pPr>
              <w:pStyle w:val="ARfintablebodyright"/>
              <w:spacing w:before="30" w:after="10"/>
              <w:rPr>
                <w:highlight w:val="green"/>
              </w:rPr>
            </w:pPr>
            <w:r w:rsidRPr="005D1CBC">
              <w:t>4,515.5</w:t>
            </w:r>
          </w:p>
        </w:tc>
        <w:tc>
          <w:tcPr>
            <w:tcW w:w="1211" w:type="dxa"/>
            <w:shd w:val="clear" w:color="auto" w:fill="EEEEEF" w:themeFill="accent4"/>
            <w:noWrap/>
          </w:tcPr>
          <w:p w14:paraId="1A8EA9D9" w14:textId="77777777" w:rsidR="00265792" w:rsidRPr="00BA7805" w:rsidRDefault="00265792" w:rsidP="00F60E05">
            <w:pPr>
              <w:pStyle w:val="ARfintablebodyright"/>
              <w:spacing w:before="30" w:after="10"/>
              <w:rPr>
                <w:highlight w:val="green"/>
              </w:rPr>
            </w:pPr>
            <w:r w:rsidRPr="005D1CBC">
              <w:t>431.3</w:t>
            </w:r>
          </w:p>
        </w:tc>
        <w:tc>
          <w:tcPr>
            <w:tcW w:w="1212" w:type="dxa"/>
            <w:noWrap/>
          </w:tcPr>
          <w:p w14:paraId="6E16B463" w14:textId="77777777" w:rsidR="00265792" w:rsidRPr="00BA7805" w:rsidRDefault="00265792" w:rsidP="00F60E05">
            <w:pPr>
              <w:pStyle w:val="ARfintablebodyright"/>
              <w:spacing w:before="30" w:after="10"/>
              <w:rPr>
                <w:highlight w:val="green"/>
              </w:rPr>
            </w:pPr>
            <w:r w:rsidRPr="005D1CBC">
              <w:t>1,394.5</w:t>
            </w:r>
          </w:p>
        </w:tc>
        <w:tc>
          <w:tcPr>
            <w:tcW w:w="1212" w:type="dxa"/>
            <w:noWrap/>
          </w:tcPr>
          <w:p w14:paraId="7813208A" w14:textId="77777777" w:rsidR="00265792" w:rsidRPr="00BA7805" w:rsidRDefault="00265792" w:rsidP="00F60E05">
            <w:pPr>
              <w:pStyle w:val="ARfintablebodyright"/>
              <w:spacing w:before="30" w:after="10"/>
              <w:rPr>
                <w:highlight w:val="green"/>
              </w:rPr>
            </w:pPr>
            <w:r w:rsidRPr="005D1CBC">
              <w:t>(7.5)</w:t>
            </w:r>
          </w:p>
        </w:tc>
        <w:tc>
          <w:tcPr>
            <w:tcW w:w="1212" w:type="dxa"/>
            <w:noWrap/>
          </w:tcPr>
          <w:p w14:paraId="10D4419A" w14:textId="77777777" w:rsidR="00265792" w:rsidRPr="00BA7805" w:rsidRDefault="00265792" w:rsidP="00F60E05">
            <w:pPr>
              <w:pStyle w:val="ARfintablebodyright"/>
              <w:spacing w:before="30" w:after="10"/>
              <w:rPr>
                <w:highlight w:val="green"/>
              </w:rPr>
            </w:pPr>
            <w:r w:rsidRPr="005D1CBC">
              <w:t>16.4</w:t>
            </w:r>
          </w:p>
        </w:tc>
        <w:tc>
          <w:tcPr>
            <w:tcW w:w="1212" w:type="dxa"/>
            <w:shd w:val="clear" w:color="auto" w:fill="EEEEEF" w:themeFill="accent4"/>
            <w:noWrap/>
          </w:tcPr>
          <w:p w14:paraId="39E560FA" w14:textId="77777777" w:rsidR="00265792" w:rsidRPr="00BA7805" w:rsidRDefault="00265792" w:rsidP="00F60E05">
            <w:pPr>
              <w:pStyle w:val="ARfintablebodyright"/>
              <w:spacing w:before="30" w:after="10"/>
              <w:rPr>
                <w:highlight w:val="green"/>
              </w:rPr>
            </w:pPr>
            <w:r w:rsidRPr="005D1CBC">
              <w:t>6,350.1</w:t>
            </w:r>
          </w:p>
        </w:tc>
        <w:tc>
          <w:tcPr>
            <w:tcW w:w="1212" w:type="dxa"/>
            <w:noWrap/>
          </w:tcPr>
          <w:p w14:paraId="2FC61ADB" w14:textId="77777777" w:rsidR="00265792" w:rsidRPr="00BA7805" w:rsidRDefault="00265792" w:rsidP="00F60E05">
            <w:pPr>
              <w:pStyle w:val="ARfintablebodyright"/>
              <w:spacing w:before="30" w:after="10"/>
              <w:rPr>
                <w:highlight w:val="green"/>
              </w:rPr>
            </w:pPr>
            <w:r w:rsidRPr="005D1CBC">
              <w:t>6,307.1</w:t>
            </w:r>
          </w:p>
        </w:tc>
        <w:tc>
          <w:tcPr>
            <w:tcW w:w="1212" w:type="dxa"/>
            <w:shd w:val="clear" w:color="auto" w:fill="EEEEEF" w:themeFill="accent4"/>
            <w:noWrap/>
          </w:tcPr>
          <w:p w14:paraId="5E011AB3" w14:textId="77777777" w:rsidR="00265792" w:rsidRPr="00BA7805" w:rsidRDefault="00265792" w:rsidP="00F60E05">
            <w:pPr>
              <w:pStyle w:val="ARfintablebodyright"/>
              <w:spacing w:before="30" w:after="10"/>
              <w:rPr>
                <w:highlight w:val="green"/>
              </w:rPr>
            </w:pPr>
            <w:r w:rsidRPr="005D1CBC">
              <w:t>43.0</w:t>
            </w:r>
          </w:p>
        </w:tc>
        <w:tc>
          <w:tcPr>
            <w:tcW w:w="431" w:type="dxa"/>
            <w:noWrap/>
          </w:tcPr>
          <w:p w14:paraId="6B6A2861" w14:textId="77777777" w:rsidR="00265792" w:rsidRPr="00D64600" w:rsidRDefault="00265792" w:rsidP="00F60E05">
            <w:pPr>
              <w:pStyle w:val="ARfintablebodyright"/>
              <w:spacing w:before="30" w:after="10"/>
              <w:rPr>
                <w:rStyle w:val="Superscript"/>
                <w:highlight w:val="green"/>
              </w:rPr>
            </w:pPr>
            <w:r w:rsidRPr="00D64600">
              <w:rPr>
                <w:vertAlign w:val="superscript"/>
              </w:rPr>
              <w:t>(ii)</w:t>
            </w:r>
          </w:p>
        </w:tc>
      </w:tr>
      <w:tr w:rsidR="00265792" w:rsidRPr="00BA7805" w14:paraId="0D43536B" w14:textId="77777777" w:rsidTr="00B4738A">
        <w:tc>
          <w:tcPr>
            <w:tcW w:w="3483" w:type="dxa"/>
          </w:tcPr>
          <w:p w14:paraId="1781375F" w14:textId="77777777" w:rsidR="00265792" w:rsidRPr="00BA7805" w:rsidRDefault="00265792" w:rsidP="00F60E05">
            <w:pPr>
              <w:pStyle w:val="ARfintablebody"/>
              <w:spacing w:before="30" w:after="10"/>
              <w:rPr>
                <w:highlight w:val="green"/>
              </w:rPr>
            </w:pPr>
            <w:r w:rsidRPr="00C91C95">
              <w:t>Addition to net assets</w:t>
            </w:r>
          </w:p>
        </w:tc>
        <w:tc>
          <w:tcPr>
            <w:tcW w:w="1211" w:type="dxa"/>
            <w:shd w:val="clear" w:color="auto" w:fill="EEEEEF" w:themeFill="accent4"/>
            <w:noWrap/>
          </w:tcPr>
          <w:p w14:paraId="5335EF8F" w14:textId="77777777" w:rsidR="00265792" w:rsidRPr="00BA7805" w:rsidRDefault="00265792" w:rsidP="00F60E05">
            <w:pPr>
              <w:pStyle w:val="ARfintablebodyright"/>
              <w:spacing w:before="30" w:after="10"/>
              <w:rPr>
                <w:highlight w:val="green"/>
              </w:rPr>
            </w:pPr>
            <w:r w:rsidRPr="005D1CBC">
              <w:t>467.5</w:t>
            </w:r>
          </w:p>
        </w:tc>
        <w:tc>
          <w:tcPr>
            <w:tcW w:w="1211" w:type="dxa"/>
            <w:shd w:val="clear" w:color="auto" w:fill="EEEEEF" w:themeFill="accent4"/>
            <w:noWrap/>
          </w:tcPr>
          <w:p w14:paraId="573415B1" w14:textId="77777777" w:rsidR="00265792" w:rsidRPr="00BA7805" w:rsidRDefault="00265792" w:rsidP="00F60E05">
            <w:pPr>
              <w:pStyle w:val="ARfintablebodyright"/>
              <w:spacing w:before="30" w:after="10"/>
              <w:rPr>
                <w:highlight w:val="green"/>
              </w:rPr>
            </w:pPr>
            <w:r w:rsidRPr="005D1CBC">
              <w:t>464.3</w:t>
            </w:r>
          </w:p>
        </w:tc>
        <w:tc>
          <w:tcPr>
            <w:tcW w:w="1212" w:type="dxa"/>
            <w:noWrap/>
          </w:tcPr>
          <w:p w14:paraId="043111DA" w14:textId="77777777" w:rsidR="00265792" w:rsidRPr="00BA7805" w:rsidRDefault="00265792" w:rsidP="00F60E05">
            <w:pPr>
              <w:pStyle w:val="ARfintablebodyright"/>
              <w:spacing w:before="30" w:after="10"/>
              <w:rPr>
                <w:highlight w:val="green"/>
              </w:rPr>
            </w:pPr>
            <w:r w:rsidRPr="005D1CBC">
              <w:t>15.6</w:t>
            </w:r>
          </w:p>
        </w:tc>
        <w:tc>
          <w:tcPr>
            <w:tcW w:w="1212" w:type="dxa"/>
            <w:noWrap/>
          </w:tcPr>
          <w:p w14:paraId="698696E8" w14:textId="77777777" w:rsidR="00265792" w:rsidRPr="00BA7805" w:rsidRDefault="00265792" w:rsidP="00F60E05">
            <w:pPr>
              <w:pStyle w:val="ARfintablebodyright"/>
              <w:spacing w:before="30" w:after="10"/>
              <w:rPr>
                <w:highlight w:val="green"/>
              </w:rPr>
            </w:pPr>
            <w:r w:rsidRPr="005D1CBC">
              <w:t>7.5</w:t>
            </w:r>
          </w:p>
        </w:tc>
        <w:tc>
          <w:tcPr>
            <w:tcW w:w="1212" w:type="dxa"/>
            <w:noWrap/>
          </w:tcPr>
          <w:p w14:paraId="6B5843C1" w14:textId="77777777" w:rsidR="00265792" w:rsidRPr="00BA7805" w:rsidRDefault="00265792" w:rsidP="00F60E05">
            <w:pPr>
              <w:pStyle w:val="ARfintablebodyright"/>
              <w:spacing w:before="30" w:after="10"/>
              <w:rPr>
                <w:highlight w:val="green"/>
              </w:rPr>
            </w:pPr>
            <w:r w:rsidRPr="005D1CBC">
              <w:t>14.1</w:t>
            </w:r>
          </w:p>
        </w:tc>
        <w:tc>
          <w:tcPr>
            <w:tcW w:w="1212" w:type="dxa"/>
            <w:shd w:val="clear" w:color="auto" w:fill="EEEEEF" w:themeFill="accent4"/>
            <w:noWrap/>
          </w:tcPr>
          <w:p w14:paraId="342C3E85" w14:textId="77777777" w:rsidR="00265792" w:rsidRPr="00BA7805" w:rsidRDefault="00265792" w:rsidP="00F60E05">
            <w:pPr>
              <w:pStyle w:val="ARfintablebodyright"/>
              <w:spacing w:before="30" w:after="10"/>
              <w:rPr>
                <w:highlight w:val="green"/>
              </w:rPr>
            </w:pPr>
            <w:r w:rsidRPr="005D1CBC">
              <w:t>969.0</w:t>
            </w:r>
          </w:p>
        </w:tc>
        <w:tc>
          <w:tcPr>
            <w:tcW w:w="1212" w:type="dxa"/>
            <w:noWrap/>
          </w:tcPr>
          <w:p w14:paraId="20675474" w14:textId="77777777" w:rsidR="00265792" w:rsidRPr="00BA7805" w:rsidRDefault="00265792" w:rsidP="00F60E05">
            <w:pPr>
              <w:pStyle w:val="ARfintablebodyright"/>
              <w:spacing w:before="30" w:after="10"/>
              <w:rPr>
                <w:highlight w:val="green"/>
              </w:rPr>
            </w:pPr>
            <w:r w:rsidRPr="005D1CBC">
              <w:t>940.2</w:t>
            </w:r>
          </w:p>
        </w:tc>
        <w:tc>
          <w:tcPr>
            <w:tcW w:w="1212" w:type="dxa"/>
            <w:shd w:val="clear" w:color="auto" w:fill="EEEEEF" w:themeFill="accent4"/>
            <w:noWrap/>
          </w:tcPr>
          <w:p w14:paraId="371F9B57" w14:textId="77777777" w:rsidR="00265792" w:rsidRPr="00BA7805" w:rsidRDefault="00265792" w:rsidP="00F60E05">
            <w:pPr>
              <w:pStyle w:val="ARfintablebodyright"/>
              <w:spacing w:before="30" w:after="10"/>
              <w:rPr>
                <w:highlight w:val="green"/>
              </w:rPr>
            </w:pPr>
            <w:r w:rsidRPr="005D1CBC">
              <w:t>28.9</w:t>
            </w:r>
          </w:p>
        </w:tc>
        <w:tc>
          <w:tcPr>
            <w:tcW w:w="431" w:type="dxa"/>
            <w:noWrap/>
          </w:tcPr>
          <w:p w14:paraId="52973118" w14:textId="77777777" w:rsidR="00265792" w:rsidRPr="00D64600" w:rsidRDefault="00265792" w:rsidP="00F60E05">
            <w:pPr>
              <w:pStyle w:val="ARfintablebodyright"/>
              <w:spacing w:before="30" w:after="10"/>
              <w:rPr>
                <w:rStyle w:val="Superscript"/>
                <w:highlight w:val="green"/>
              </w:rPr>
            </w:pPr>
            <w:r w:rsidRPr="00D64600">
              <w:rPr>
                <w:vertAlign w:val="superscript"/>
              </w:rPr>
              <w:t>(iii)</w:t>
            </w:r>
          </w:p>
        </w:tc>
      </w:tr>
      <w:tr w:rsidR="00265792" w:rsidRPr="00BA7805" w14:paraId="2795A026" w14:textId="77777777" w:rsidTr="004A71C0">
        <w:tc>
          <w:tcPr>
            <w:tcW w:w="3483" w:type="dxa"/>
            <w:tcBorders>
              <w:bottom w:val="single" w:sz="4" w:space="0" w:color="A6A6A6" w:themeColor="accent5"/>
            </w:tcBorders>
          </w:tcPr>
          <w:p w14:paraId="6AE3E059" w14:textId="77777777" w:rsidR="00265792" w:rsidRPr="00BA7805" w:rsidRDefault="00265792" w:rsidP="00F60E05">
            <w:pPr>
              <w:pStyle w:val="ARfintablebodybold"/>
              <w:rPr>
                <w:highlight w:val="green"/>
              </w:rPr>
            </w:pPr>
            <w:r w:rsidRPr="00C91C95">
              <w:t>Administered</w:t>
            </w:r>
          </w:p>
        </w:tc>
        <w:tc>
          <w:tcPr>
            <w:tcW w:w="1211" w:type="dxa"/>
            <w:tcBorders>
              <w:bottom w:val="single" w:sz="4" w:space="0" w:color="A6A6A6" w:themeColor="accent5"/>
            </w:tcBorders>
            <w:noWrap/>
          </w:tcPr>
          <w:p w14:paraId="4322A42D" w14:textId="77777777" w:rsidR="00265792" w:rsidRPr="00BA7805" w:rsidRDefault="00265792" w:rsidP="00F60E05">
            <w:pPr>
              <w:pStyle w:val="ARfintablebodyright"/>
              <w:spacing w:before="30" w:after="10"/>
              <w:rPr>
                <w:highlight w:val="green"/>
              </w:rPr>
            </w:pPr>
          </w:p>
        </w:tc>
        <w:tc>
          <w:tcPr>
            <w:tcW w:w="1211" w:type="dxa"/>
            <w:tcBorders>
              <w:bottom w:val="single" w:sz="4" w:space="0" w:color="A6A6A6" w:themeColor="accent5"/>
            </w:tcBorders>
            <w:noWrap/>
          </w:tcPr>
          <w:p w14:paraId="23013747" w14:textId="77777777" w:rsidR="00265792" w:rsidRPr="00BA7805" w:rsidRDefault="00265792" w:rsidP="00F60E05">
            <w:pPr>
              <w:pStyle w:val="ARfintablebodyright"/>
              <w:spacing w:before="30" w:after="10"/>
              <w:rPr>
                <w:highlight w:val="green"/>
              </w:rPr>
            </w:pPr>
          </w:p>
        </w:tc>
        <w:tc>
          <w:tcPr>
            <w:tcW w:w="1212" w:type="dxa"/>
            <w:tcBorders>
              <w:bottom w:val="single" w:sz="4" w:space="0" w:color="A6A6A6" w:themeColor="accent5"/>
            </w:tcBorders>
            <w:noWrap/>
          </w:tcPr>
          <w:p w14:paraId="00B26BF9" w14:textId="77777777" w:rsidR="00265792" w:rsidRPr="00BA7805" w:rsidRDefault="00265792" w:rsidP="00F60E05">
            <w:pPr>
              <w:pStyle w:val="ARfintablebodyright"/>
              <w:spacing w:before="30" w:after="10"/>
              <w:rPr>
                <w:highlight w:val="green"/>
              </w:rPr>
            </w:pPr>
          </w:p>
        </w:tc>
        <w:tc>
          <w:tcPr>
            <w:tcW w:w="1212" w:type="dxa"/>
            <w:tcBorders>
              <w:bottom w:val="single" w:sz="4" w:space="0" w:color="A6A6A6" w:themeColor="accent5"/>
            </w:tcBorders>
            <w:noWrap/>
          </w:tcPr>
          <w:p w14:paraId="57E4E661" w14:textId="77777777" w:rsidR="00265792" w:rsidRPr="00BA7805" w:rsidRDefault="00265792" w:rsidP="00F60E05">
            <w:pPr>
              <w:pStyle w:val="ARfintablebodyright"/>
              <w:spacing w:before="30" w:after="10"/>
              <w:rPr>
                <w:highlight w:val="green"/>
              </w:rPr>
            </w:pPr>
          </w:p>
        </w:tc>
        <w:tc>
          <w:tcPr>
            <w:tcW w:w="1212" w:type="dxa"/>
            <w:tcBorders>
              <w:bottom w:val="single" w:sz="4" w:space="0" w:color="A6A6A6" w:themeColor="accent5"/>
            </w:tcBorders>
            <w:noWrap/>
          </w:tcPr>
          <w:p w14:paraId="0366F68D" w14:textId="77777777" w:rsidR="00265792" w:rsidRPr="00BA7805" w:rsidRDefault="00265792" w:rsidP="00F60E05">
            <w:pPr>
              <w:pStyle w:val="ARfintablebodyright"/>
              <w:spacing w:before="30" w:after="10"/>
              <w:rPr>
                <w:highlight w:val="green"/>
              </w:rPr>
            </w:pPr>
          </w:p>
        </w:tc>
        <w:tc>
          <w:tcPr>
            <w:tcW w:w="1212" w:type="dxa"/>
            <w:tcBorders>
              <w:bottom w:val="single" w:sz="4" w:space="0" w:color="A6A6A6" w:themeColor="accent5"/>
            </w:tcBorders>
            <w:noWrap/>
          </w:tcPr>
          <w:p w14:paraId="200D3FF7" w14:textId="77777777" w:rsidR="00265792" w:rsidRPr="00BA7805" w:rsidRDefault="00265792" w:rsidP="00F60E05">
            <w:pPr>
              <w:pStyle w:val="ARfintablebodyright"/>
              <w:spacing w:before="30" w:after="10"/>
              <w:rPr>
                <w:highlight w:val="green"/>
              </w:rPr>
            </w:pPr>
          </w:p>
        </w:tc>
        <w:tc>
          <w:tcPr>
            <w:tcW w:w="1212" w:type="dxa"/>
            <w:tcBorders>
              <w:bottom w:val="single" w:sz="4" w:space="0" w:color="A6A6A6" w:themeColor="accent5"/>
            </w:tcBorders>
            <w:noWrap/>
          </w:tcPr>
          <w:p w14:paraId="375B97CF" w14:textId="77777777" w:rsidR="00265792" w:rsidRPr="00BA7805" w:rsidRDefault="00265792" w:rsidP="00F60E05">
            <w:pPr>
              <w:pStyle w:val="ARfintablebodyright"/>
              <w:spacing w:before="30" w:after="10"/>
              <w:rPr>
                <w:highlight w:val="green"/>
              </w:rPr>
            </w:pPr>
          </w:p>
        </w:tc>
        <w:tc>
          <w:tcPr>
            <w:tcW w:w="1212" w:type="dxa"/>
            <w:tcBorders>
              <w:bottom w:val="single" w:sz="4" w:space="0" w:color="A6A6A6" w:themeColor="accent5"/>
            </w:tcBorders>
            <w:noWrap/>
          </w:tcPr>
          <w:p w14:paraId="4FDBB910" w14:textId="77777777" w:rsidR="00265792" w:rsidRPr="00BA7805" w:rsidRDefault="00265792" w:rsidP="00F60E05">
            <w:pPr>
              <w:pStyle w:val="ARfintablebodyright"/>
              <w:spacing w:before="30" w:after="10"/>
              <w:rPr>
                <w:highlight w:val="green"/>
              </w:rPr>
            </w:pPr>
          </w:p>
        </w:tc>
        <w:tc>
          <w:tcPr>
            <w:tcW w:w="431" w:type="dxa"/>
            <w:tcBorders>
              <w:bottom w:val="single" w:sz="4" w:space="0" w:color="A6A6A6" w:themeColor="accent5"/>
            </w:tcBorders>
            <w:noWrap/>
          </w:tcPr>
          <w:p w14:paraId="3B5784FD" w14:textId="77777777" w:rsidR="00265792" w:rsidRPr="006503CC" w:rsidRDefault="00265792" w:rsidP="00F60E05">
            <w:pPr>
              <w:pStyle w:val="ARfintablebodyright"/>
              <w:spacing w:before="30" w:after="10"/>
              <w:rPr>
                <w:rStyle w:val="Superscript"/>
                <w:highlight w:val="green"/>
              </w:rPr>
            </w:pPr>
          </w:p>
        </w:tc>
      </w:tr>
      <w:tr w:rsidR="00265792" w:rsidRPr="00BA7805" w14:paraId="7823D328" w14:textId="77777777" w:rsidTr="00B4738A">
        <w:tc>
          <w:tcPr>
            <w:tcW w:w="3483" w:type="dxa"/>
            <w:tcBorders>
              <w:top w:val="single" w:sz="4" w:space="0" w:color="A6A6A6" w:themeColor="accent5"/>
              <w:bottom w:val="single" w:sz="4" w:space="0" w:color="000000" w:themeColor="text1"/>
            </w:tcBorders>
          </w:tcPr>
          <w:p w14:paraId="322D9B29" w14:textId="32115D48" w:rsidR="00265792" w:rsidRPr="00BA7805" w:rsidRDefault="00265792" w:rsidP="00F60E05">
            <w:pPr>
              <w:pStyle w:val="ARfintablebody"/>
              <w:spacing w:before="30" w:after="10"/>
              <w:rPr>
                <w:highlight w:val="green"/>
              </w:rPr>
            </w:pPr>
            <w:r w:rsidRPr="00C91C95">
              <w:t xml:space="preserve">Payments made on behalf of the </w:t>
            </w:r>
            <w:r w:rsidR="00665ED6">
              <w:t>s</w:t>
            </w:r>
            <w:r w:rsidRPr="00C91C95">
              <w:t xml:space="preserve">tate </w:t>
            </w:r>
          </w:p>
        </w:tc>
        <w:tc>
          <w:tcPr>
            <w:tcW w:w="1211" w:type="dxa"/>
            <w:tcBorders>
              <w:top w:val="single" w:sz="4" w:space="0" w:color="A6A6A6" w:themeColor="accent5"/>
              <w:bottom w:val="single" w:sz="4" w:space="0" w:color="000000" w:themeColor="text1"/>
            </w:tcBorders>
            <w:shd w:val="clear" w:color="auto" w:fill="EEEEEF" w:themeFill="accent4"/>
            <w:noWrap/>
          </w:tcPr>
          <w:p w14:paraId="1AA64711" w14:textId="77777777" w:rsidR="00265792" w:rsidRPr="00BA7805" w:rsidRDefault="00265792" w:rsidP="00F60E05">
            <w:pPr>
              <w:pStyle w:val="ARfintablebodyright"/>
              <w:spacing w:before="30" w:after="10"/>
              <w:rPr>
                <w:highlight w:val="green"/>
              </w:rPr>
            </w:pPr>
            <w:r w:rsidRPr="005D1CBC">
              <w:t>2,964.6</w:t>
            </w:r>
          </w:p>
        </w:tc>
        <w:tc>
          <w:tcPr>
            <w:tcW w:w="1211" w:type="dxa"/>
            <w:tcBorders>
              <w:top w:val="single" w:sz="4" w:space="0" w:color="A6A6A6" w:themeColor="accent5"/>
              <w:bottom w:val="single" w:sz="4" w:space="0" w:color="000000" w:themeColor="text1"/>
            </w:tcBorders>
            <w:shd w:val="clear" w:color="auto" w:fill="EEEEEF" w:themeFill="accent4"/>
            <w:noWrap/>
          </w:tcPr>
          <w:p w14:paraId="7801227A" w14:textId="77777777" w:rsidR="00265792" w:rsidRPr="00BA7805" w:rsidRDefault="00265792" w:rsidP="00F60E05">
            <w:pPr>
              <w:pStyle w:val="ARfintablebodyright"/>
              <w:spacing w:before="30" w:after="10"/>
              <w:rPr>
                <w:highlight w:val="green"/>
              </w:rPr>
            </w:pPr>
            <w:r w:rsidRPr="005D1CBC">
              <w:t>4.4</w:t>
            </w:r>
          </w:p>
        </w:tc>
        <w:tc>
          <w:tcPr>
            <w:tcW w:w="1212" w:type="dxa"/>
            <w:tcBorders>
              <w:top w:val="single" w:sz="4" w:space="0" w:color="A6A6A6" w:themeColor="accent5"/>
              <w:bottom w:val="single" w:sz="4" w:space="0" w:color="000000" w:themeColor="text1"/>
            </w:tcBorders>
            <w:noWrap/>
          </w:tcPr>
          <w:p w14:paraId="5E949136" w14:textId="77777777" w:rsidR="00265792" w:rsidRPr="00BA7805" w:rsidRDefault="00265792" w:rsidP="00F60E05">
            <w:pPr>
              <w:pStyle w:val="ARfintablebodyright"/>
              <w:spacing w:before="30" w:after="10"/>
              <w:rPr>
                <w:highlight w:val="green"/>
              </w:rPr>
            </w:pPr>
            <w:r>
              <w:t>–</w:t>
            </w:r>
          </w:p>
        </w:tc>
        <w:tc>
          <w:tcPr>
            <w:tcW w:w="1212" w:type="dxa"/>
            <w:tcBorders>
              <w:top w:val="single" w:sz="4" w:space="0" w:color="A6A6A6" w:themeColor="accent5"/>
              <w:bottom w:val="single" w:sz="4" w:space="0" w:color="000000" w:themeColor="text1"/>
            </w:tcBorders>
            <w:noWrap/>
          </w:tcPr>
          <w:p w14:paraId="0493BE3B" w14:textId="77777777" w:rsidR="00265792" w:rsidRPr="00BA7805" w:rsidRDefault="00265792" w:rsidP="00F60E05">
            <w:pPr>
              <w:pStyle w:val="ARfintablebodyright"/>
              <w:spacing w:before="30" w:after="10"/>
              <w:rPr>
                <w:highlight w:val="green"/>
              </w:rPr>
            </w:pPr>
            <w:r>
              <w:t>–</w:t>
            </w:r>
          </w:p>
        </w:tc>
        <w:tc>
          <w:tcPr>
            <w:tcW w:w="1212" w:type="dxa"/>
            <w:tcBorders>
              <w:top w:val="single" w:sz="4" w:space="0" w:color="A6A6A6" w:themeColor="accent5"/>
              <w:bottom w:val="single" w:sz="4" w:space="0" w:color="000000" w:themeColor="text1"/>
            </w:tcBorders>
            <w:noWrap/>
          </w:tcPr>
          <w:p w14:paraId="32F58958" w14:textId="77777777" w:rsidR="00265792" w:rsidRPr="00BA7805" w:rsidRDefault="00265792" w:rsidP="00F60E05">
            <w:pPr>
              <w:pStyle w:val="ARfintablebodyright"/>
              <w:spacing w:before="30" w:after="10"/>
              <w:rPr>
                <w:highlight w:val="green"/>
              </w:rPr>
            </w:pPr>
            <w:r w:rsidRPr="005D1CBC">
              <w:t>6.5</w:t>
            </w:r>
          </w:p>
        </w:tc>
        <w:tc>
          <w:tcPr>
            <w:tcW w:w="1212" w:type="dxa"/>
            <w:tcBorders>
              <w:top w:val="single" w:sz="4" w:space="0" w:color="A6A6A6" w:themeColor="accent5"/>
              <w:bottom w:val="single" w:sz="4" w:space="0" w:color="000000" w:themeColor="text1"/>
            </w:tcBorders>
            <w:shd w:val="clear" w:color="auto" w:fill="EEEEEF" w:themeFill="accent4"/>
            <w:noWrap/>
          </w:tcPr>
          <w:p w14:paraId="10A2B962" w14:textId="77777777" w:rsidR="00265792" w:rsidRPr="00BA7805" w:rsidRDefault="00265792" w:rsidP="00F60E05">
            <w:pPr>
              <w:pStyle w:val="ARfintablebodyright"/>
              <w:spacing w:before="30" w:after="10"/>
              <w:rPr>
                <w:highlight w:val="green"/>
              </w:rPr>
            </w:pPr>
            <w:r w:rsidRPr="005D1CBC">
              <w:t>2,975.6</w:t>
            </w:r>
          </w:p>
        </w:tc>
        <w:tc>
          <w:tcPr>
            <w:tcW w:w="1212" w:type="dxa"/>
            <w:tcBorders>
              <w:top w:val="single" w:sz="4" w:space="0" w:color="A6A6A6" w:themeColor="accent5"/>
              <w:bottom w:val="single" w:sz="4" w:space="0" w:color="000000" w:themeColor="text1"/>
            </w:tcBorders>
            <w:noWrap/>
          </w:tcPr>
          <w:p w14:paraId="4DAE91DC" w14:textId="77777777" w:rsidR="00265792" w:rsidRPr="00BA7805" w:rsidRDefault="00265792" w:rsidP="00F60E05">
            <w:pPr>
              <w:pStyle w:val="ARfintablebodyright"/>
              <w:spacing w:before="30" w:after="10"/>
              <w:rPr>
                <w:highlight w:val="green"/>
              </w:rPr>
            </w:pPr>
            <w:r w:rsidRPr="005D1CBC">
              <w:t>2,975.6</w:t>
            </w:r>
          </w:p>
        </w:tc>
        <w:tc>
          <w:tcPr>
            <w:tcW w:w="1212" w:type="dxa"/>
            <w:tcBorders>
              <w:top w:val="single" w:sz="4" w:space="0" w:color="A6A6A6" w:themeColor="accent5"/>
              <w:bottom w:val="single" w:sz="4" w:space="0" w:color="000000" w:themeColor="text1"/>
            </w:tcBorders>
            <w:shd w:val="clear" w:color="auto" w:fill="EEEEEF" w:themeFill="accent4"/>
            <w:noWrap/>
          </w:tcPr>
          <w:p w14:paraId="3D1E73AC" w14:textId="6B1A00C5" w:rsidR="00265792" w:rsidRPr="00BA7805" w:rsidRDefault="00070AF7" w:rsidP="00F60E05">
            <w:pPr>
              <w:pStyle w:val="ARfintablebodyright"/>
              <w:spacing w:before="30" w:after="10"/>
              <w:rPr>
                <w:highlight w:val="green"/>
              </w:rPr>
            </w:pPr>
            <w:r>
              <w:t>–</w:t>
            </w:r>
          </w:p>
        </w:tc>
        <w:tc>
          <w:tcPr>
            <w:tcW w:w="431" w:type="dxa"/>
            <w:tcBorders>
              <w:top w:val="single" w:sz="4" w:space="0" w:color="A6A6A6" w:themeColor="accent5"/>
              <w:bottom w:val="single" w:sz="4" w:space="0" w:color="000000" w:themeColor="text1"/>
            </w:tcBorders>
            <w:noWrap/>
          </w:tcPr>
          <w:p w14:paraId="544863A7" w14:textId="77777777" w:rsidR="00265792" w:rsidRPr="006503CC" w:rsidRDefault="00265792" w:rsidP="00F60E05">
            <w:pPr>
              <w:pStyle w:val="ARfintablebodyright"/>
              <w:spacing w:before="30" w:after="10"/>
              <w:rPr>
                <w:rStyle w:val="Superscript"/>
                <w:highlight w:val="green"/>
              </w:rPr>
            </w:pPr>
          </w:p>
        </w:tc>
      </w:tr>
      <w:tr w:rsidR="00265792" w:rsidRPr="00BA7805" w14:paraId="6B6512BC" w14:textId="77777777" w:rsidTr="00B4738A">
        <w:tc>
          <w:tcPr>
            <w:tcW w:w="3483" w:type="dxa"/>
            <w:tcBorders>
              <w:top w:val="single" w:sz="4" w:space="0" w:color="000000" w:themeColor="text1"/>
              <w:bottom w:val="single" w:sz="4" w:space="0" w:color="000000" w:themeColor="text1"/>
            </w:tcBorders>
          </w:tcPr>
          <w:p w14:paraId="1168AF67" w14:textId="77777777" w:rsidR="00265792" w:rsidRPr="00BA7805" w:rsidRDefault="00265792" w:rsidP="004A71C0">
            <w:pPr>
              <w:pStyle w:val="ARfintablebodybold"/>
              <w:rPr>
                <w:highlight w:val="green"/>
              </w:rPr>
            </w:pPr>
            <w:r w:rsidRPr="00C91C95">
              <w:t>Total</w:t>
            </w:r>
          </w:p>
        </w:tc>
        <w:tc>
          <w:tcPr>
            <w:tcW w:w="1211" w:type="dxa"/>
            <w:tcBorders>
              <w:top w:val="single" w:sz="4" w:space="0" w:color="000000" w:themeColor="text1"/>
              <w:bottom w:val="single" w:sz="4" w:space="0" w:color="000000" w:themeColor="text1"/>
            </w:tcBorders>
            <w:shd w:val="clear" w:color="auto" w:fill="EEEEEF" w:themeFill="accent4"/>
            <w:noWrap/>
          </w:tcPr>
          <w:p w14:paraId="781DBE48" w14:textId="77777777" w:rsidR="00265792" w:rsidRPr="00BA7805" w:rsidRDefault="00265792" w:rsidP="004A71C0">
            <w:pPr>
              <w:pStyle w:val="ARfintablebodyrightbold"/>
              <w:rPr>
                <w:highlight w:val="green"/>
              </w:rPr>
            </w:pPr>
            <w:r w:rsidRPr="005D1CBC">
              <w:t>7,947.6</w:t>
            </w:r>
          </w:p>
        </w:tc>
        <w:tc>
          <w:tcPr>
            <w:tcW w:w="1211" w:type="dxa"/>
            <w:tcBorders>
              <w:top w:val="single" w:sz="4" w:space="0" w:color="000000" w:themeColor="text1"/>
              <w:bottom w:val="single" w:sz="4" w:space="0" w:color="000000" w:themeColor="text1"/>
            </w:tcBorders>
            <w:shd w:val="clear" w:color="auto" w:fill="EEEEEF" w:themeFill="accent4"/>
            <w:noWrap/>
          </w:tcPr>
          <w:p w14:paraId="2819D561" w14:textId="77777777" w:rsidR="00265792" w:rsidRPr="00BA7805" w:rsidRDefault="00265792" w:rsidP="004A71C0">
            <w:pPr>
              <w:pStyle w:val="ARfintablebodyrightbold"/>
              <w:rPr>
                <w:highlight w:val="green"/>
              </w:rPr>
            </w:pPr>
            <w:r w:rsidRPr="005D1CBC">
              <w:t>900.0</w:t>
            </w:r>
          </w:p>
        </w:tc>
        <w:tc>
          <w:tcPr>
            <w:tcW w:w="1212" w:type="dxa"/>
            <w:tcBorders>
              <w:top w:val="single" w:sz="4" w:space="0" w:color="000000" w:themeColor="text1"/>
              <w:bottom w:val="single" w:sz="4" w:space="0" w:color="000000" w:themeColor="text1"/>
            </w:tcBorders>
            <w:noWrap/>
          </w:tcPr>
          <w:p w14:paraId="021BC295" w14:textId="77777777" w:rsidR="00265792" w:rsidRPr="00BA7805" w:rsidRDefault="00265792" w:rsidP="004A71C0">
            <w:pPr>
              <w:pStyle w:val="ARfintablebodyrightbold"/>
              <w:rPr>
                <w:highlight w:val="green"/>
              </w:rPr>
            </w:pPr>
            <w:r w:rsidRPr="005D1CBC">
              <w:t>1,410.1</w:t>
            </w:r>
          </w:p>
        </w:tc>
        <w:tc>
          <w:tcPr>
            <w:tcW w:w="1212" w:type="dxa"/>
            <w:tcBorders>
              <w:top w:val="single" w:sz="4" w:space="0" w:color="000000" w:themeColor="text1"/>
              <w:bottom w:val="single" w:sz="4" w:space="0" w:color="000000" w:themeColor="text1"/>
            </w:tcBorders>
            <w:noWrap/>
          </w:tcPr>
          <w:p w14:paraId="7E048785" w14:textId="77777777" w:rsidR="00265792" w:rsidRPr="00BA7805" w:rsidRDefault="00265792" w:rsidP="004A71C0">
            <w:pPr>
              <w:pStyle w:val="ARfintablebodyrightbold"/>
              <w:rPr>
                <w:highlight w:val="green"/>
              </w:rPr>
            </w:pPr>
            <w:r>
              <w:t>–</w:t>
            </w:r>
          </w:p>
        </w:tc>
        <w:tc>
          <w:tcPr>
            <w:tcW w:w="1212" w:type="dxa"/>
            <w:tcBorders>
              <w:top w:val="single" w:sz="4" w:space="0" w:color="000000" w:themeColor="text1"/>
              <w:bottom w:val="single" w:sz="4" w:space="0" w:color="000000" w:themeColor="text1"/>
            </w:tcBorders>
            <w:noWrap/>
          </w:tcPr>
          <w:p w14:paraId="0ECFFEC5" w14:textId="77777777" w:rsidR="00265792" w:rsidRPr="00BA7805" w:rsidRDefault="00265792" w:rsidP="004A71C0">
            <w:pPr>
              <w:pStyle w:val="ARfintablebodyrightbold"/>
              <w:rPr>
                <w:highlight w:val="green"/>
              </w:rPr>
            </w:pPr>
            <w:r w:rsidRPr="005D1CBC">
              <w:t>37.0</w:t>
            </w:r>
          </w:p>
        </w:tc>
        <w:tc>
          <w:tcPr>
            <w:tcW w:w="1212" w:type="dxa"/>
            <w:tcBorders>
              <w:top w:val="single" w:sz="4" w:space="0" w:color="000000" w:themeColor="text1"/>
              <w:bottom w:val="single" w:sz="4" w:space="0" w:color="000000" w:themeColor="text1"/>
            </w:tcBorders>
            <w:shd w:val="clear" w:color="auto" w:fill="EEEEEF" w:themeFill="accent4"/>
            <w:noWrap/>
          </w:tcPr>
          <w:p w14:paraId="5C6D82F0" w14:textId="77777777" w:rsidR="00265792" w:rsidRPr="00BA7805" w:rsidRDefault="00265792" w:rsidP="004A71C0">
            <w:pPr>
              <w:pStyle w:val="ARfintablebodyrightbold"/>
              <w:rPr>
                <w:highlight w:val="green"/>
              </w:rPr>
            </w:pPr>
            <w:r w:rsidRPr="005D1CBC">
              <w:t>10,294.7</w:t>
            </w:r>
          </w:p>
        </w:tc>
        <w:tc>
          <w:tcPr>
            <w:tcW w:w="1212" w:type="dxa"/>
            <w:tcBorders>
              <w:top w:val="single" w:sz="4" w:space="0" w:color="000000" w:themeColor="text1"/>
              <w:bottom w:val="single" w:sz="4" w:space="0" w:color="000000" w:themeColor="text1"/>
            </w:tcBorders>
            <w:noWrap/>
          </w:tcPr>
          <w:p w14:paraId="704513F1" w14:textId="77777777" w:rsidR="00265792" w:rsidRPr="00BA7805" w:rsidRDefault="00265792" w:rsidP="004A71C0">
            <w:pPr>
              <w:pStyle w:val="ARfintablebodyrightbold"/>
              <w:rPr>
                <w:highlight w:val="green"/>
              </w:rPr>
            </w:pPr>
            <w:r w:rsidRPr="005D1CBC">
              <w:t>10,222.9</w:t>
            </w:r>
          </w:p>
        </w:tc>
        <w:tc>
          <w:tcPr>
            <w:tcW w:w="1212" w:type="dxa"/>
            <w:tcBorders>
              <w:top w:val="single" w:sz="4" w:space="0" w:color="000000" w:themeColor="text1"/>
              <w:bottom w:val="single" w:sz="4" w:space="0" w:color="000000" w:themeColor="text1"/>
            </w:tcBorders>
            <w:shd w:val="clear" w:color="auto" w:fill="EEEEEF" w:themeFill="accent4"/>
            <w:noWrap/>
          </w:tcPr>
          <w:p w14:paraId="251AEDD4" w14:textId="77777777" w:rsidR="00265792" w:rsidRPr="00BA7805" w:rsidRDefault="00265792" w:rsidP="004A71C0">
            <w:pPr>
              <w:pStyle w:val="ARfintablebodyrightbold"/>
              <w:rPr>
                <w:highlight w:val="green"/>
              </w:rPr>
            </w:pPr>
            <w:r w:rsidRPr="005D1CBC">
              <w:t>71.9</w:t>
            </w:r>
          </w:p>
        </w:tc>
        <w:tc>
          <w:tcPr>
            <w:tcW w:w="431" w:type="dxa"/>
            <w:tcBorders>
              <w:top w:val="single" w:sz="4" w:space="0" w:color="000000" w:themeColor="text1"/>
              <w:bottom w:val="single" w:sz="4" w:space="0" w:color="000000" w:themeColor="text1"/>
            </w:tcBorders>
            <w:noWrap/>
          </w:tcPr>
          <w:p w14:paraId="15229970" w14:textId="77777777" w:rsidR="00265792" w:rsidRPr="006503CC" w:rsidRDefault="00265792" w:rsidP="00F60E05">
            <w:pPr>
              <w:pStyle w:val="ARfintablebodyright"/>
              <w:spacing w:before="30" w:after="10"/>
              <w:rPr>
                <w:rStyle w:val="Superscript"/>
                <w:highlight w:val="green"/>
              </w:rPr>
            </w:pPr>
          </w:p>
        </w:tc>
      </w:tr>
      <w:tr w:rsidR="00265792" w:rsidRPr="00BA7805" w14:paraId="37A5DE68" w14:textId="77777777" w:rsidTr="004A71C0">
        <w:tc>
          <w:tcPr>
            <w:tcW w:w="3483" w:type="dxa"/>
            <w:tcBorders>
              <w:top w:val="single" w:sz="4" w:space="0" w:color="000000" w:themeColor="text1"/>
              <w:bottom w:val="single" w:sz="4" w:space="0" w:color="A6A6A6" w:themeColor="accent5"/>
            </w:tcBorders>
          </w:tcPr>
          <w:p w14:paraId="1F8CA737" w14:textId="77777777" w:rsidR="00265792" w:rsidRPr="00BA7805" w:rsidRDefault="00265792" w:rsidP="00F60E05">
            <w:pPr>
              <w:pStyle w:val="ARfintablebodyboldcoloured"/>
              <w:rPr>
                <w:highlight w:val="green"/>
              </w:rPr>
            </w:pPr>
            <w:r w:rsidRPr="00C91C95">
              <w:t>2024</w:t>
            </w:r>
          </w:p>
        </w:tc>
        <w:tc>
          <w:tcPr>
            <w:tcW w:w="1211" w:type="dxa"/>
            <w:tcBorders>
              <w:top w:val="single" w:sz="4" w:space="0" w:color="000000" w:themeColor="text1"/>
              <w:bottom w:val="single" w:sz="4" w:space="0" w:color="A6A6A6" w:themeColor="accent5"/>
            </w:tcBorders>
            <w:noWrap/>
          </w:tcPr>
          <w:p w14:paraId="71F7B8A0" w14:textId="77777777" w:rsidR="00265792" w:rsidRPr="00BA7805" w:rsidRDefault="00265792" w:rsidP="00F60E05">
            <w:pPr>
              <w:pStyle w:val="ARfintablebodyright"/>
              <w:spacing w:before="30" w:after="10"/>
              <w:rPr>
                <w:highlight w:val="green"/>
              </w:rPr>
            </w:pPr>
          </w:p>
        </w:tc>
        <w:tc>
          <w:tcPr>
            <w:tcW w:w="1211" w:type="dxa"/>
            <w:tcBorders>
              <w:top w:val="single" w:sz="4" w:space="0" w:color="000000" w:themeColor="text1"/>
              <w:bottom w:val="single" w:sz="4" w:space="0" w:color="A6A6A6" w:themeColor="accent5"/>
            </w:tcBorders>
            <w:noWrap/>
          </w:tcPr>
          <w:p w14:paraId="4772D58D" w14:textId="77777777" w:rsidR="00265792" w:rsidRPr="00BA7805" w:rsidRDefault="00265792" w:rsidP="00F60E05">
            <w:pPr>
              <w:pStyle w:val="ARfintablebodyright"/>
              <w:spacing w:before="30" w:after="10"/>
              <w:rPr>
                <w:highlight w:val="green"/>
              </w:rPr>
            </w:pPr>
          </w:p>
        </w:tc>
        <w:tc>
          <w:tcPr>
            <w:tcW w:w="1212" w:type="dxa"/>
            <w:tcBorders>
              <w:top w:val="single" w:sz="4" w:space="0" w:color="000000" w:themeColor="text1"/>
              <w:bottom w:val="single" w:sz="4" w:space="0" w:color="A6A6A6" w:themeColor="accent5"/>
            </w:tcBorders>
            <w:noWrap/>
          </w:tcPr>
          <w:p w14:paraId="1B774CC7" w14:textId="77777777" w:rsidR="00265792" w:rsidRPr="00BA7805" w:rsidRDefault="00265792" w:rsidP="00F60E05">
            <w:pPr>
              <w:pStyle w:val="ARfintablebodyright"/>
              <w:spacing w:before="30" w:after="10"/>
              <w:rPr>
                <w:highlight w:val="green"/>
              </w:rPr>
            </w:pPr>
          </w:p>
        </w:tc>
        <w:tc>
          <w:tcPr>
            <w:tcW w:w="1212" w:type="dxa"/>
            <w:tcBorders>
              <w:top w:val="single" w:sz="4" w:space="0" w:color="000000" w:themeColor="text1"/>
              <w:bottom w:val="single" w:sz="4" w:space="0" w:color="A6A6A6" w:themeColor="accent5"/>
            </w:tcBorders>
            <w:noWrap/>
          </w:tcPr>
          <w:p w14:paraId="4AC93DDE" w14:textId="77777777" w:rsidR="00265792" w:rsidRPr="00BA7805" w:rsidRDefault="00265792" w:rsidP="00F60E05">
            <w:pPr>
              <w:pStyle w:val="ARfintablebodyright"/>
              <w:spacing w:before="30" w:after="10"/>
              <w:rPr>
                <w:highlight w:val="green"/>
              </w:rPr>
            </w:pPr>
          </w:p>
        </w:tc>
        <w:tc>
          <w:tcPr>
            <w:tcW w:w="1212" w:type="dxa"/>
            <w:tcBorders>
              <w:top w:val="single" w:sz="4" w:space="0" w:color="000000" w:themeColor="text1"/>
              <w:bottom w:val="single" w:sz="4" w:space="0" w:color="A6A6A6" w:themeColor="accent5"/>
            </w:tcBorders>
            <w:noWrap/>
          </w:tcPr>
          <w:p w14:paraId="255743BE" w14:textId="77777777" w:rsidR="00265792" w:rsidRPr="00BA7805" w:rsidRDefault="00265792" w:rsidP="00F60E05">
            <w:pPr>
              <w:pStyle w:val="ARfintablebodyright"/>
              <w:spacing w:before="30" w:after="10"/>
              <w:rPr>
                <w:highlight w:val="green"/>
              </w:rPr>
            </w:pPr>
          </w:p>
        </w:tc>
        <w:tc>
          <w:tcPr>
            <w:tcW w:w="1212" w:type="dxa"/>
            <w:tcBorders>
              <w:top w:val="single" w:sz="4" w:space="0" w:color="000000" w:themeColor="text1"/>
              <w:bottom w:val="single" w:sz="4" w:space="0" w:color="A6A6A6" w:themeColor="accent5"/>
            </w:tcBorders>
            <w:noWrap/>
          </w:tcPr>
          <w:p w14:paraId="1FCE9E8D" w14:textId="77777777" w:rsidR="00265792" w:rsidRPr="00BA7805" w:rsidRDefault="00265792" w:rsidP="00F60E05">
            <w:pPr>
              <w:pStyle w:val="ARfintablebodyright"/>
              <w:spacing w:before="30" w:after="10"/>
              <w:rPr>
                <w:highlight w:val="green"/>
              </w:rPr>
            </w:pPr>
          </w:p>
        </w:tc>
        <w:tc>
          <w:tcPr>
            <w:tcW w:w="1212" w:type="dxa"/>
            <w:tcBorders>
              <w:top w:val="single" w:sz="4" w:space="0" w:color="000000" w:themeColor="text1"/>
              <w:bottom w:val="single" w:sz="4" w:space="0" w:color="A6A6A6" w:themeColor="accent5"/>
            </w:tcBorders>
            <w:noWrap/>
          </w:tcPr>
          <w:p w14:paraId="54A5487C" w14:textId="77777777" w:rsidR="00265792" w:rsidRPr="00BA7805" w:rsidRDefault="00265792" w:rsidP="00F60E05">
            <w:pPr>
              <w:pStyle w:val="ARfintablebodyright"/>
              <w:spacing w:before="30" w:after="10"/>
              <w:rPr>
                <w:highlight w:val="green"/>
              </w:rPr>
            </w:pPr>
          </w:p>
        </w:tc>
        <w:tc>
          <w:tcPr>
            <w:tcW w:w="1212" w:type="dxa"/>
            <w:tcBorders>
              <w:top w:val="single" w:sz="4" w:space="0" w:color="000000" w:themeColor="text1"/>
              <w:bottom w:val="single" w:sz="4" w:space="0" w:color="A6A6A6" w:themeColor="accent5"/>
            </w:tcBorders>
            <w:noWrap/>
          </w:tcPr>
          <w:p w14:paraId="63DA9EE7" w14:textId="77777777" w:rsidR="00265792" w:rsidRPr="00BA7805" w:rsidRDefault="00265792" w:rsidP="00F60E05">
            <w:pPr>
              <w:pStyle w:val="ARfintablebodyright"/>
              <w:spacing w:before="30" w:after="10"/>
              <w:rPr>
                <w:highlight w:val="green"/>
              </w:rPr>
            </w:pPr>
          </w:p>
        </w:tc>
        <w:tc>
          <w:tcPr>
            <w:tcW w:w="431" w:type="dxa"/>
            <w:tcBorders>
              <w:top w:val="single" w:sz="4" w:space="0" w:color="000000" w:themeColor="text1"/>
              <w:bottom w:val="single" w:sz="4" w:space="0" w:color="A6A6A6" w:themeColor="accent5"/>
            </w:tcBorders>
            <w:noWrap/>
          </w:tcPr>
          <w:p w14:paraId="550EE64C" w14:textId="77777777" w:rsidR="00265792" w:rsidRPr="006503CC" w:rsidRDefault="00265792" w:rsidP="00F60E05">
            <w:pPr>
              <w:pStyle w:val="ARfintablebodyright"/>
              <w:spacing w:before="30" w:after="10"/>
              <w:rPr>
                <w:rStyle w:val="Superscript"/>
                <w:highlight w:val="green"/>
              </w:rPr>
            </w:pPr>
          </w:p>
        </w:tc>
      </w:tr>
      <w:tr w:rsidR="00265792" w:rsidRPr="00BA7805" w14:paraId="74D213A6" w14:textId="77777777" w:rsidTr="004A71C0">
        <w:tc>
          <w:tcPr>
            <w:tcW w:w="3483" w:type="dxa"/>
            <w:tcBorders>
              <w:top w:val="single" w:sz="4" w:space="0" w:color="A6A6A6" w:themeColor="accent5"/>
            </w:tcBorders>
          </w:tcPr>
          <w:p w14:paraId="71520BBA" w14:textId="77777777" w:rsidR="00265792" w:rsidRPr="00BA7805" w:rsidRDefault="00265792" w:rsidP="00F60E05">
            <w:pPr>
              <w:pStyle w:val="ARfintablebodybold"/>
              <w:rPr>
                <w:highlight w:val="green"/>
              </w:rPr>
            </w:pPr>
            <w:r w:rsidRPr="00C91C95">
              <w:t>Controlled</w:t>
            </w:r>
          </w:p>
        </w:tc>
        <w:tc>
          <w:tcPr>
            <w:tcW w:w="1211" w:type="dxa"/>
            <w:tcBorders>
              <w:top w:val="single" w:sz="4" w:space="0" w:color="A6A6A6" w:themeColor="accent5"/>
            </w:tcBorders>
            <w:noWrap/>
          </w:tcPr>
          <w:p w14:paraId="7398D780" w14:textId="77777777" w:rsidR="00265792" w:rsidRPr="00BA7805" w:rsidRDefault="00265792" w:rsidP="00F60E05">
            <w:pPr>
              <w:pStyle w:val="ARfintablebodyright"/>
              <w:spacing w:before="30" w:after="10"/>
              <w:rPr>
                <w:highlight w:val="green"/>
              </w:rPr>
            </w:pPr>
          </w:p>
        </w:tc>
        <w:tc>
          <w:tcPr>
            <w:tcW w:w="1211" w:type="dxa"/>
            <w:tcBorders>
              <w:top w:val="single" w:sz="4" w:space="0" w:color="A6A6A6" w:themeColor="accent5"/>
            </w:tcBorders>
            <w:noWrap/>
          </w:tcPr>
          <w:p w14:paraId="4990504C" w14:textId="77777777" w:rsidR="00265792" w:rsidRPr="00BA7805" w:rsidRDefault="00265792" w:rsidP="00F60E05">
            <w:pPr>
              <w:pStyle w:val="ARfintablebodyright"/>
              <w:spacing w:before="30" w:after="10"/>
              <w:rPr>
                <w:highlight w:val="green"/>
              </w:rPr>
            </w:pPr>
          </w:p>
        </w:tc>
        <w:tc>
          <w:tcPr>
            <w:tcW w:w="1212" w:type="dxa"/>
            <w:tcBorders>
              <w:top w:val="single" w:sz="4" w:space="0" w:color="A6A6A6" w:themeColor="accent5"/>
            </w:tcBorders>
            <w:noWrap/>
          </w:tcPr>
          <w:p w14:paraId="406544C2" w14:textId="77777777" w:rsidR="00265792" w:rsidRPr="00BA7805" w:rsidRDefault="00265792" w:rsidP="00F60E05">
            <w:pPr>
              <w:pStyle w:val="ARfintablebodyright"/>
              <w:spacing w:before="30" w:after="10"/>
              <w:rPr>
                <w:highlight w:val="green"/>
              </w:rPr>
            </w:pPr>
          </w:p>
        </w:tc>
        <w:tc>
          <w:tcPr>
            <w:tcW w:w="1212" w:type="dxa"/>
            <w:tcBorders>
              <w:top w:val="single" w:sz="4" w:space="0" w:color="A6A6A6" w:themeColor="accent5"/>
            </w:tcBorders>
            <w:noWrap/>
          </w:tcPr>
          <w:p w14:paraId="080B9574" w14:textId="77777777" w:rsidR="00265792" w:rsidRPr="00BA7805" w:rsidRDefault="00265792" w:rsidP="00F60E05">
            <w:pPr>
              <w:pStyle w:val="ARfintablebodyright"/>
              <w:spacing w:before="30" w:after="10"/>
              <w:rPr>
                <w:highlight w:val="green"/>
              </w:rPr>
            </w:pPr>
          </w:p>
        </w:tc>
        <w:tc>
          <w:tcPr>
            <w:tcW w:w="1212" w:type="dxa"/>
            <w:tcBorders>
              <w:top w:val="single" w:sz="4" w:space="0" w:color="A6A6A6" w:themeColor="accent5"/>
            </w:tcBorders>
            <w:noWrap/>
          </w:tcPr>
          <w:p w14:paraId="3F7147DA" w14:textId="77777777" w:rsidR="00265792" w:rsidRPr="00BA7805" w:rsidRDefault="00265792" w:rsidP="00F60E05">
            <w:pPr>
              <w:pStyle w:val="ARfintablebodyright"/>
              <w:spacing w:before="30" w:after="10"/>
              <w:rPr>
                <w:highlight w:val="green"/>
              </w:rPr>
            </w:pPr>
          </w:p>
        </w:tc>
        <w:tc>
          <w:tcPr>
            <w:tcW w:w="1212" w:type="dxa"/>
            <w:tcBorders>
              <w:top w:val="single" w:sz="4" w:space="0" w:color="A6A6A6" w:themeColor="accent5"/>
            </w:tcBorders>
            <w:noWrap/>
          </w:tcPr>
          <w:p w14:paraId="77DE3F52" w14:textId="77777777" w:rsidR="00265792" w:rsidRPr="00BA7805" w:rsidRDefault="00265792" w:rsidP="00F60E05">
            <w:pPr>
              <w:pStyle w:val="ARfintablebodyright"/>
              <w:spacing w:before="30" w:after="10"/>
              <w:rPr>
                <w:highlight w:val="green"/>
              </w:rPr>
            </w:pPr>
          </w:p>
        </w:tc>
        <w:tc>
          <w:tcPr>
            <w:tcW w:w="1212" w:type="dxa"/>
            <w:tcBorders>
              <w:top w:val="single" w:sz="4" w:space="0" w:color="A6A6A6" w:themeColor="accent5"/>
            </w:tcBorders>
            <w:noWrap/>
          </w:tcPr>
          <w:p w14:paraId="243037C8" w14:textId="77777777" w:rsidR="00265792" w:rsidRPr="00BA7805" w:rsidRDefault="00265792" w:rsidP="00F60E05">
            <w:pPr>
              <w:pStyle w:val="ARfintablebodyright"/>
              <w:spacing w:before="30" w:after="10"/>
              <w:rPr>
                <w:highlight w:val="green"/>
              </w:rPr>
            </w:pPr>
          </w:p>
        </w:tc>
        <w:tc>
          <w:tcPr>
            <w:tcW w:w="1212" w:type="dxa"/>
            <w:tcBorders>
              <w:top w:val="single" w:sz="4" w:space="0" w:color="A6A6A6" w:themeColor="accent5"/>
            </w:tcBorders>
            <w:noWrap/>
          </w:tcPr>
          <w:p w14:paraId="68D8CB65" w14:textId="77777777" w:rsidR="00265792" w:rsidRPr="00BA7805" w:rsidRDefault="00265792" w:rsidP="00F60E05">
            <w:pPr>
              <w:pStyle w:val="ARfintablebodyright"/>
              <w:spacing w:before="30" w:after="10"/>
              <w:rPr>
                <w:highlight w:val="green"/>
              </w:rPr>
            </w:pPr>
          </w:p>
        </w:tc>
        <w:tc>
          <w:tcPr>
            <w:tcW w:w="431" w:type="dxa"/>
            <w:tcBorders>
              <w:top w:val="single" w:sz="4" w:space="0" w:color="A6A6A6" w:themeColor="accent5"/>
            </w:tcBorders>
            <w:noWrap/>
          </w:tcPr>
          <w:p w14:paraId="5FFFD66E" w14:textId="77777777" w:rsidR="00265792" w:rsidRPr="006503CC" w:rsidRDefault="00265792" w:rsidP="00F60E05">
            <w:pPr>
              <w:pStyle w:val="ARfintablebodyright"/>
              <w:spacing w:before="30" w:after="10"/>
              <w:rPr>
                <w:rStyle w:val="Superscript"/>
                <w:highlight w:val="green"/>
              </w:rPr>
            </w:pPr>
          </w:p>
        </w:tc>
      </w:tr>
      <w:tr w:rsidR="00265792" w:rsidRPr="00BA7805" w14:paraId="177A94C1" w14:textId="77777777" w:rsidTr="00B4738A">
        <w:tc>
          <w:tcPr>
            <w:tcW w:w="3483" w:type="dxa"/>
          </w:tcPr>
          <w:p w14:paraId="3A48B167" w14:textId="77777777" w:rsidR="00265792" w:rsidRPr="00BA7805" w:rsidRDefault="00265792" w:rsidP="00F60E05">
            <w:pPr>
              <w:pStyle w:val="ARfintablebody"/>
              <w:spacing w:before="30" w:after="10"/>
              <w:rPr>
                <w:highlight w:val="green"/>
              </w:rPr>
            </w:pPr>
            <w:r w:rsidRPr="00C91C95">
              <w:t>Provision of outputs</w:t>
            </w:r>
          </w:p>
        </w:tc>
        <w:tc>
          <w:tcPr>
            <w:tcW w:w="1211" w:type="dxa"/>
            <w:shd w:val="clear" w:color="auto" w:fill="EEEEEF" w:themeFill="accent4"/>
            <w:noWrap/>
          </w:tcPr>
          <w:p w14:paraId="11CA9E0D" w14:textId="77777777" w:rsidR="00265792" w:rsidRPr="00BA7805" w:rsidRDefault="00265792" w:rsidP="00F60E05">
            <w:pPr>
              <w:pStyle w:val="ARfintablebodyright"/>
              <w:spacing w:before="30" w:after="10"/>
              <w:rPr>
                <w:highlight w:val="green"/>
              </w:rPr>
            </w:pPr>
            <w:r w:rsidRPr="005D1CBC">
              <w:t>4,335.9</w:t>
            </w:r>
          </w:p>
        </w:tc>
        <w:tc>
          <w:tcPr>
            <w:tcW w:w="1211" w:type="dxa"/>
            <w:shd w:val="clear" w:color="auto" w:fill="EEEEEF" w:themeFill="accent4"/>
            <w:noWrap/>
          </w:tcPr>
          <w:p w14:paraId="251E2633" w14:textId="77777777" w:rsidR="00265792" w:rsidRPr="00BA7805" w:rsidRDefault="00265792" w:rsidP="00F60E05">
            <w:pPr>
              <w:pStyle w:val="ARfintablebodyright"/>
              <w:spacing w:before="30" w:after="10"/>
              <w:rPr>
                <w:highlight w:val="green"/>
              </w:rPr>
            </w:pPr>
            <w:r w:rsidRPr="005D1CBC">
              <w:t>335.8</w:t>
            </w:r>
          </w:p>
        </w:tc>
        <w:tc>
          <w:tcPr>
            <w:tcW w:w="1212" w:type="dxa"/>
            <w:noWrap/>
          </w:tcPr>
          <w:p w14:paraId="10AC4554" w14:textId="77777777" w:rsidR="00265792" w:rsidRPr="00BA7805" w:rsidRDefault="00265792" w:rsidP="00F60E05">
            <w:pPr>
              <w:pStyle w:val="ARfintablebodyright"/>
              <w:spacing w:before="30" w:after="10"/>
              <w:rPr>
                <w:highlight w:val="green"/>
              </w:rPr>
            </w:pPr>
            <w:r w:rsidRPr="005D1CBC">
              <w:t>686.9</w:t>
            </w:r>
          </w:p>
        </w:tc>
        <w:tc>
          <w:tcPr>
            <w:tcW w:w="1212" w:type="dxa"/>
            <w:noWrap/>
          </w:tcPr>
          <w:p w14:paraId="3BEC4FFA" w14:textId="77777777" w:rsidR="00265792" w:rsidRPr="00BA7805" w:rsidRDefault="00265792" w:rsidP="00F60E05">
            <w:pPr>
              <w:pStyle w:val="ARfintablebodyright"/>
              <w:spacing w:before="30" w:after="10"/>
              <w:rPr>
                <w:highlight w:val="green"/>
              </w:rPr>
            </w:pPr>
            <w:r w:rsidRPr="005D1CBC">
              <w:t>(17.2)</w:t>
            </w:r>
          </w:p>
        </w:tc>
        <w:tc>
          <w:tcPr>
            <w:tcW w:w="1212" w:type="dxa"/>
            <w:noWrap/>
          </w:tcPr>
          <w:p w14:paraId="73C506F4" w14:textId="77777777" w:rsidR="00265792" w:rsidRPr="00BA7805" w:rsidRDefault="00265792" w:rsidP="00F60E05">
            <w:pPr>
              <w:pStyle w:val="ARfintablebodyright"/>
              <w:spacing w:before="30" w:after="10"/>
              <w:rPr>
                <w:highlight w:val="green"/>
              </w:rPr>
            </w:pPr>
            <w:r w:rsidRPr="005D1CBC">
              <w:t>14.7</w:t>
            </w:r>
          </w:p>
        </w:tc>
        <w:tc>
          <w:tcPr>
            <w:tcW w:w="1212" w:type="dxa"/>
            <w:shd w:val="clear" w:color="auto" w:fill="EEEEEF" w:themeFill="accent4"/>
            <w:noWrap/>
          </w:tcPr>
          <w:p w14:paraId="68A8B660" w14:textId="77777777" w:rsidR="00265792" w:rsidRPr="00BA7805" w:rsidRDefault="00265792" w:rsidP="00F60E05">
            <w:pPr>
              <w:pStyle w:val="ARfintablebodyright"/>
              <w:spacing w:before="30" w:after="10"/>
              <w:rPr>
                <w:highlight w:val="green"/>
              </w:rPr>
            </w:pPr>
            <w:r w:rsidRPr="005D1CBC">
              <w:t>5,356.0</w:t>
            </w:r>
          </w:p>
        </w:tc>
        <w:tc>
          <w:tcPr>
            <w:tcW w:w="1212" w:type="dxa"/>
            <w:noWrap/>
          </w:tcPr>
          <w:p w14:paraId="2B6964E8" w14:textId="77777777" w:rsidR="00265792" w:rsidRPr="00BA7805" w:rsidRDefault="00265792" w:rsidP="00F60E05">
            <w:pPr>
              <w:pStyle w:val="ARfintablebodyright"/>
              <w:spacing w:before="30" w:after="10"/>
              <w:rPr>
                <w:highlight w:val="green"/>
              </w:rPr>
            </w:pPr>
            <w:r w:rsidRPr="005D1CBC">
              <w:t>5,302.2</w:t>
            </w:r>
          </w:p>
        </w:tc>
        <w:tc>
          <w:tcPr>
            <w:tcW w:w="1212" w:type="dxa"/>
            <w:shd w:val="clear" w:color="auto" w:fill="EEEEEF" w:themeFill="accent4"/>
            <w:noWrap/>
          </w:tcPr>
          <w:p w14:paraId="0550DE91" w14:textId="77777777" w:rsidR="00265792" w:rsidRPr="00BA7805" w:rsidRDefault="00265792" w:rsidP="00F60E05">
            <w:pPr>
              <w:pStyle w:val="ARfintablebodyright"/>
              <w:spacing w:before="30" w:after="10"/>
              <w:rPr>
                <w:highlight w:val="green"/>
              </w:rPr>
            </w:pPr>
            <w:r w:rsidRPr="005D1CBC">
              <w:t>53.9</w:t>
            </w:r>
          </w:p>
        </w:tc>
        <w:tc>
          <w:tcPr>
            <w:tcW w:w="431" w:type="dxa"/>
            <w:noWrap/>
          </w:tcPr>
          <w:p w14:paraId="0A7722B1" w14:textId="77777777" w:rsidR="00265792" w:rsidRPr="00D64600" w:rsidRDefault="00265792" w:rsidP="00F60E05">
            <w:pPr>
              <w:pStyle w:val="ARfintablebodyright"/>
              <w:spacing w:before="30" w:after="10"/>
              <w:rPr>
                <w:rStyle w:val="Superscript"/>
                <w:highlight w:val="green"/>
              </w:rPr>
            </w:pPr>
            <w:r w:rsidRPr="00D64600">
              <w:rPr>
                <w:vertAlign w:val="superscript"/>
              </w:rPr>
              <w:t>(iv)</w:t>
            </w:r>
          </w:p>
        </w:tc>
      </w:tr>
      <w:tr w:rsidR="00265792" w:rsidRPr="00BA7805" w14:paraId="2E81445C" w14:textId="77777777" w:rsidTr="00B4738A">
        <w:tc>
          <w:tcPr>
            <w:tcW w:w="3483" w:type="dxa"/>
          </w:tcPr>
          <w:p w14:paraId="54A96948" w14:textId="77777777" w:rsidR="00265792" w:rsidRPr="00BA7805" w:rsidRDefault="00265792" w:rsidP="00F60E05">
            <w:pPr>
              <w:pStyle w:val="ARfintablebody"/>
              <w:spacing w:before="30" w:after="10"/>
              <w:rPr>
                <w:highlight w:val="green"/>
              </w:rPr>
            </w:pPr>
            <w:r w:rsidRPr="00C91C95">
              <w:t>Addition to net assets</w:t>
            </w:r>
          </w:p>
        </w:tc>
        <w:tc>
          <w:tcPr>
            <w:tcW w:w="1211" w:type="dxa"/>
            <w:shd w:val="clear" w:color="auto" w:fill="EEEEEF" w:themeFill="accent4"/>
            <w:noWrap/>
          </w:tcPr>
          <w:p w14:paraId="0238DFB4" w14:textId="77777777" w:rsidR="00265792" w:rsidRPr="00BA7805" w:rsidRDefault="00265792" w:rsidP="00F60E05">
            <w:pPr>
              <w:pStyle w:val="ARfintablebodyright"/>
              <w:spacing w:before="30" w:after="10"/>
              <w:rPr>
                <w:highlight w:val="green"/>
              </w:rPr>
            </w:pPr>
            <w:r w:rsidRPr="005D1CBC">
              <w:t>606.0</w:t>
            </w:r>
          </w:p>
        </w:tc>
        <w:tc>
          <w:tcPr>
            <w:tcW w:w="1211" w:type="dxa"/>
            <w:shd w:val="clear" w:color="auto" w:fill="EEEEEF" w:themeFill="accent4"/>
            <w:noWrap/>
          </w:tcPr>
          <w:p w14:paraId="5AEAA91F" w14:textId="77777777" w:rsidR="00265792" w:rsidRPr="00BA7805" w:rsidRDefault="00265792" w:rsidP="00F60E05">
            <w:pPr>
              <w:pStyle w:val="ARfintablebodyright"/>
              <w:spacing w:before="30" w:after="10"/>
              <w:rPr>
                <w:highlight w:val="green"/>
              </w:rPr>
            </w:pPr>
            <w:r w:rsidRPr="005D1CBC">
              <w:t>169.5</w:t>
            </w:r>
          </w:p>
        </w:tc>
        <w:tc>
          <w:tcPr>
            <w:tcW w:w="1212" w:type="dxa"/>
            <w:noWrap/>
          </w:tcPr>
          <w:p w14:paraId="7766F4F5" w14:textId="77777777" w:rsidR="00265792" w:rsidRPr="00BA7805" w:rsidRDefault="00265792" w:rsidP="00F60E05">
            <w:pPr>
              <w:pStyle w:val="ARfintablebodyright"/>
              <w:spacing w:before="30" w:after="10"/>
              <w:rPr>
                <w:highlight w:val="green"/>
              </w:rPr>
            </w:pPr>
            <w:r w:rsidRPr="005D1CBC">
              <w:t>11.6</w:t>
            </w:r>
          </w:p>
        </w:tc>
        <w:tc>
          <w:tcPr>
            <w:tcW w:w="1212" w:type="dxa"/>
            <w:noWrap/>
          </w:tcPr>
          <w:p w14:paraId="43D06506" w14:textId="77777777" w:rsidR="00265792" w:rsidRPr="00BA7805" w:rsidRDefault="00265792" w:rsidP="00F60E05">
            <w:pPr>
              <w:pStyle w:val="ARfintablebodyright"/>
              <w:spacing w:before="30" w:after="10"/>
              <w:rPr>
                <w:highlight w:val="green"/>
              </w:rPr>
            </w:pPr>
            <w:r w:rsidRPr="005D1CBC">
              <w:t>17.2</w:t>
            </w:r>
          </w:p>
        </w:tc>
        <w:tc>
          <w:tcPr>
            <w:tcW w:w="1212" w:type="dxa"/>
            <w:noWrap/>
          </w:tcPr>
          <w:p w14:paraId="2CC06123" w14:textId="77777777" w:rsidR="00265792" w:rsidRPr="00BA7805" w:rsidRDefault="00265792" w:rsidP="00F60E05">
            <w:pPr>
              <w:pStyle w:val="ARfintablebodyright"/>
              <w:spacing w:before="30" w:after="10"/>
              <w:rPr>
                <w:highlight w:val="green"/>
              </w:rPr>
            </w:pPr>
            <w:r w:rsidRPr="005D1CBC">
              <w:t>18.5</w:t>
            </w:r>
          </w:p>
        </w:tc>
        <w:tc>
          <w:tcPr>
            <w:tcW w:w="1212" w:type="dxa"/>
            <w:shd w:val="clear" w:color="auto" w:fill="EEEEEF" w:themeFill="accent4"/>
            <w:noWrap/>
          </w:tcPr>
          <w:p w14:paraId="6B5B39E7" w14:textId="77777777" w:rsidR="00265792" w:rsidRPr="00BA7805" w:rsidRDefault="00265792" w:rsidP="00F60E05">
            <w:pPr>
              <w:pStyle w:val="ARfintablebodyright"/>
              <w:spacing w:before="30" w:after="10"/>
              <w:rPr>
                <w:highlight w:val="green"/>
              </w:rPr>
            </w:pPr>
            <w:r w:rsidRPr="005D1CBC">
              <w:t>822.8</w:t>
            </w:r>
          </w:p>
        </w:tc>
        <w:tc>
          <w:tcPr>
            <w:tcW w:w="1212" w:type="dxa"/>
            <w:noWrap/>
          </w:tcPr>
          <w:p w14:paraId="25C949FB" w14:textId="77777777" w:rsidR="00265792" w:rsidRPr="00BA7805" w:rsidRDefault="00265792" w:rsidP="00F60E05">
            <w:pPr>
              <w:pStyle w:val="ARfintablebodyright"/>
              <w:spacing w:before="30" w:after="10"/>
              <w:rPr>
                <w:highlight w:val="green"/>
              </w:rPr>
            </w:pPr>
            <w:r w:rsidRPr="005D1CBC">
              <w:t>779.3</w:t>
            </w:r>
          </w:p>
        </w:tc>
        <w:tc>
          <w:tcPr>
            <w:tcW w:w="1212" w:type="dxa"/>
            <w:shd w:val="clear" w:color="auto" w:fill="EEEEEF" w:themeFill="accent4"/>
            <w:noWrap/>
          </w:tcPr>
          <w:p w14:paraId="3627EDCA" w14:textId="77777777" w:rsidR="00265792" w:rsidRPr="00BA7805" w:rsidRDefault="00265792" w:rsidP="00F60E05">
            <w:pPr>
              <w:pStyle w:val="ARfintablebodyright"/>
              <w:spacing w:before="30" w:after="10"/>
              <w:rPr>
                <w:highlight w:val="green"/>
              </w:rPr>
            </w:pPr>
            <w:r w:rsidRPr="005D1CBC">
              <w:t>43.5</w:t>
            </w:r>
          </w:p>
        </w:tc>
        <w:tc>
          <w:tcPr>
            <w:tcW w:w="431" w:type="dxa"/>
            <w:noWrap/>
          </w:tcPr>
          <w:p w14:paraId="34DA1C6D" w14:textId="77777777" w:rsidR="00265792" w:rsidRPr="00D64600" w:rsidRDefault="00265792" w:rsidP="00F60E05">
            <w:pPr>
              <w:pStyle w:val="ARfintablebodyright"/>
              <w:spacing w:before="30" w:after="10"/>
              <w:rPr>
                <w:highlight w:val="green"/>
                <w:vertAlign w:val="superscript"/>
              </w:rPr>
            </w:pPr>
            <w:r w:rsidRPr="00D64600">
              <w:rPr>
                <w:vertAlign w:val="superscript"/>
              </w:rPr>
              <w:t>(v)</w:t>
            </w:r>
          </w:p>
        </w:tc>
      </w:tr>
      <w:tr w:rsidR="00265792" w:rsidRPr="00BA7805" w14:paraId="33ED952E" w14:textId="77777777" w:rsidTr="004A71C0">
        <w:tc>
          <w:tcPr>
            <w:tcW w:w="3483" w:type="dxa"/>
          </w:tcPr>
          <w:p w14:paraId="30285131" w14:textId="77777777" w:rsidR="00265792" w:rsidRPr="00BA7805" w:rsidRDefault="00265792" w:rsidP="00F60E05">
            <w:pPr>
              <w:pStyle w:val="ARfintablebodybold"/>
              <w:spacing w:before="30" w:after="10"/>
              <w:rPr>
                <w:highlight w:val="green"/>
              </w:rPr>
            </w:pPr>
            <w:r w:rsidRPr="00C91C95">
              <w:t>Administered</w:t>
            </w:r>
          </w:p>
        </w:tc>
        <w:tc>
          <w:tcPr>
            <w:tcW w:w="1211" w:type="dxa"/>
            <w:noWrap/>
          </w:tcPr>
          <w:p w14:paraId="15BFA17D" w14:textId="77777777" w:rsidR="00265792" w:rsidRPr="00BA7805" w:rsidRDefault="00265792" w:rsidP="00F60E05">
            <w:pPr>
              <w:pStyle w:val="ARfintablebodyrightbold"/>
              <w:spacing w:before="30" w:after="10"/>
              <w:rPr>
                <w:highlight w:val="green"/>
              </w:rPr>
            </w:pPr>
          </w:p>
        </w:tc>
        <w:tc>
          <w:tcPr>
            <w:tcW w:w="1211" w:type="dxa"/>
            <w:noWrap/>
          </w:tcPr>
          <w:p w14:paraId="73A30655" w14:textId="77777777" w:rsidR="00265792" w:rsidRPr="00BA7805" w:rsidRDefault="00265792" w:rsidP="00F60E05">
            <w:pPr>
              <w:pStyle w:val="ARfintablebodyrightbold"/>
              <w:spacing w:before="30" w:after="10"/>
              <w:rPr>
                <w:highlight w:val="green"/>
              </w:rPr>
            </w:pPr>
          </w:p>
        </w:tc>
        <w:tc>
          <w:tcPr>
            <w:tcW w:w="1212" w:type="dxa"/>
            <w:noWrap/>
          </w:tcPr>
          <w:p w14:paraId="5036E77C" w14:textId="77777777" w:rsidR="00265792" w:rsidRPr="00BA7805" w:rsidRDefault="00265792" w:rsidP="00F60E05">
            <w:pPr>
              <w:pStyle w:val="ARfintablebodyrightbold"/>
              <w:spacing w:before="30" w:after="10"/>
              <w:rPr>
                <w:highlight w:val="green"/>
              </w:rPr>
            </w:pPr>
          </w:p>
        </w:tc>
        <w:tc>
          <w:tcPr>
            <w:tcW w:w="1212" w:type="dxa"/>
            <w:noWrap/>
          </w:tcPr>
          <w:p w14:paraId="655B5C95" w14:textId="77777777" w:rsidR="00265792" w:rsidRPr="00BA7805" w:rsidRDefault="00265792" w:rsidP="00F60E05">
            <w:pPr>
              <w:pStyle w:val="ARfintablebodyrightbold"/>
              <w:spacing w:before="30" w:after="10"/>
              <w:rPr>
                <w:highlight w:val="green"/>
              </w:rPr>
            </w:pPr>
          </w:p>
        </w:tc>
        <w:tc>
          <w:tcPr>
            <w:tcW w:w="1212" w:type="dxa"/>
            <w:noWrap/>
          </w:tcPr>
          <w:p w14:paraId="7CFBA67A" w14:textId="77777777" w:rsidR="00265792" w:rsidRPr="00BA7805" w:rsidRDefault="00265792" w:rsidP="00F60E05">
            <w:pPr>
              <w:pStyle w:val="ARfintablebodyrightbold"/>
              <w:spacing w:before="30" w:after="10"/>
              <w:rPr>
                <w:highlight w:val="green"/>
              </w:rPr>
            </w:pPr>
          </w:p>
        </w:tc>
        <w:tc>
          <w:tcPr>
            <w:tcW w:w="1212" w:type="dxa"/>
            <w:noWrap/>
          </w:tcPr>
          <w:p w14:paraId="5D2E9B2B" w14:textId="77777777" w:rsidR="00265792" w:rsidRPr="00BA7805" w:rsidRDefault="00265792" w:rsidP="00F60E05">
            <w:pPr>
              <w:pStyle w:val="ARfintablebodyrightbold"/>
              <w:spacing w:before="30" w:after="10"/>
              <w:rPr>
                <w:highlight w:val="green"/>
              </w:rPr>
            </w:pPr>
          </w:p>
        </w:tc>
        <w:tc>
          <w:tcPr>
            <w:tcW w:w="1212" w:type="dxa"/>
            <w:noWrap/>
          </w:tcPr>
          <w:p w14:paraId="60039C68" w14:textId="77777777" w:rsidR="00265792" w:rsidRPr="00BA7805" w:rsidRDefault="00265792" w:rsidP="00F60E05">
            <w:pPr>
              <w:pStyle w:val="ARfintablebodyrightbold"/>
              <w:spacing w:before="30" w:after="10"/>
              <w:rPr>
                <w:highlight w:val="green"/>
              </w:rPr>
            </w:pPr>
          </w:p>
        </w:tc>
        <w:tc>
          <w:tcPr>
            <w:tcW w:w="1212" w:type="dxa"/>
            <w:noWrap/>
          </w:tcPr>
          <w:p w14:paraId="05942F2E" w14:textId="77777777" w:rsidR="00265792" w:rsidRPr="00BA7805" w:rsidRDefault="00265792" w:rsidP="00F60E05">
            <w:pPr>
              <w:pStyle w:val="ARfintablebodyrightbold"/>
              <w:spacing w:before="30" w:after="10"/>
              <w:rPr>
                <w:highlight w:val="green"/>
              </w:rPr>
            </w:pPr>
          </w:p>
        </w:tc>
        <w:tc>
          <w:tcPr>
            <w:tcW w:w="431" w:type="dxa"/>
            <w:noWrap/>
          </w:tcPr>
          <w:p w14:paraId="20E2B2AF" w14:textId="77777777" w:rsidR="00265792" w:rsidRPr="00BA7805" w:rsidRDefault="00265792" w:rsidP="00F60E05">
            <w:pPr>
              <w:pStyle w:val="ARfintablebodyrightbold"/>
              <w:spacing w:before="30" w:after="10"/>
              <w:rPr>
                <w:highlight w:val="green"/>
              </w:rPr>
            </w:pPr>
          </w:p>
        </w:tc>
      </w:tr>
      <w:tr w:rsidR="00265792" w:rsidRPr="00BA7805" w14:paraId="6CFD9E4C" w14:textId="77777777" w:rsidTr="00B4738A">
        <w:tc>
          <w:tcPr>
            <w:tcW w:w="3483" w:type="dxa"/>
          </w:tcPr>
          <w:p w14:paraId="3C80C2A1" w14:textId="5F3459F6" w:rsidR="00265792" w:rsidRPr="00BA7805" w:rsidRDefault="00265792" w:rsidP="00F60E05">
            <w:pPr>
              <w:pStyle w:val="ARfintablebody"/>
              <w:spacing w:before="30" w:after="10"/>
              <w:rPr>
                <w:highlight w:val="green"/>
              </w:rPr>
            </w:pPr>
            <w:r w:rsidRPr="00C91C95">
              <w:t xml:space="preserve">Payments made on behalf of the </w:t>
            </w:r>
            <w:r w:rsidR="00665ED6">
              <w:t>s</w:t>
            </w:r>
            <w:r w:rsidRPr="00C91C95">
              <w:t>tate</w:t>
            </w:r>
          </w:p>
        </w:tc>
        <w:tc>
          <w:tcPr>
            <w:tcW w:w="1211" w:type="dxa"/>
            <w:shd w:val="clear" w:color="auto" w:fill="EEEEEF" w:themeFill="accent4"/>
            <w:noWrap/>
          </w:tcPr>
          <w:p w14:paraId="32B767D1" w14:textId="77777777" w:rsidR="00265792" w:rsidRPr="00BA7805" w:rsidRDefault="00265792" w:rsidP="00F60E05">
            <w:pPr>
              <w:pStyle w:val="ARfintablebodyright"/>
              <w:spacing w:before="30" w:after="10"/>
              <w:rPr>
                <w:highlight w:val="green"/>
              </w:rPr>
            </w:pPr>
            <w:r w:rsidRPr="005D1CBC">
              <w:t>2,856.8</w:t>
            </w:r>
          </w:p>
        </w:tc>
        <w:tc>
          <w:tcPr>
            <w:tcW w:w="1211" w:type="dxa"/>
            <w:shd w:val="clear" w:color="auto" w:fill="EEEEEF" w:themeFill="accent4"/>
            <w:noWrap/>
          </w:tcPr>
          <w:p w14:paraId="411681C9" w14:textId="77777777" w:rsidR="00265792" w:rsidRPr="00BA7805" w:rsidRDefault="00265792" w:rsidP="00F60E05">
            <w:pPr>
              <w:pStyle w:val="ARfintablebodyright"/>
              <w:spacing w:before="30" w:after="10"/>
              <w:rPr>
                <w:highlight w:val="green"/>
              </w:rPr>
            </w:pPr>
            <w:r>
              <w:t>–</w:t>
            </w:r>
          </w:p>
        </w:tc>
        <w:tc>
          <w:tcPr>
            <w:tcW w:w="1212" w:type="dxa"/>
            <w:noWrap/>
          </w:tcPr>
          <w:p w14:paraId="177DD317" w14:textId="77777777" w:rsidR="00265792" w:rsidRPr="00BA7805" w:rsidRDefault="00265792" w:rsidP="00F60E05">
            <w:pPr>
              <w:pStyle w:val="ARfintablebodyright"/>
              <w:spacing w:before="30" w:after="10"/>
              <w:rPr>
                <w:highlight w:val="green"/>
              </w:rPr>
            </w:pPr>
            <w:r>
              <w:t>–</w:t>
            </w:r>
          </w:p>
        </w:tc>
        <w:tc>
          <w:tcPr>
            <w:tcW w:w="1212" w:type="dxa"/>
            <w:noWrap/>
          </w:tcPr>
          <w:p w14:paraId="5117CF61" w14:textId="77777777" w:rsidR="00265792" w:rsidRPr="00BA7805" w:rsidRDefault="00265792" w:rsidP="00F60E05">
            <w:pPr>
              <w:pStyle w:val="ARfintablebodyright"/>
              <w:spacing w:before="30" w:after="10"/>
              <w:rPr>
                <w:highlight w:val="green"/>
              </w:rPr>
            </w:pPr>
            <w:r>
              <w:t>–</w:t>
            </w:r>
          </w:p>
        </w:tc>
        <w:tc>
          <w:tcPr>
            <w:tcW w:w="1212" w:type="dxa"/>
            <w:noWrap/>
          </w:tcPr>
          <w:p w14:paraId="197B94A8" w14:textId="77777777" w:rsidR="00265792" w:rsidRPr="00BA7805" w:rsidRDefault="00265792" w:rsidP="00F60E05">
            <w:pPr>
              <w:pStyle w:val="ARfintablebodyright"/>
              <w:spacing w:before="30" w:after="10"/>
              <w:rPr>
                <w:highlight w:val="green"/>
              </w:rPr>
            </w:pPr>
            <w:r w:rsidRPr="005D1CBC">
              <w:t>54.2</w:t>
            </w:r>
          </w:p>
        </w:tc>
        <w:tc>
          <w:tcPr>
            <w:tcW w:w="1212" w:type="dxa"/>
            <w:shd w:val="clear" w:color="auto" w:fill="EEEEEF" w:themeFill="accent4"/>
            <w:noWrap/>
          </w:tcPr>
          <w:p w14:paraId="3502B165" w14:textId="77777777" w:rsidR="00265792" w:rsidRPr="00BA7805" w:rsidRDefault="00265792" w:rsidP="00F60E05">
            <w:pPr>
              <w:pStyle w:val="ARfintablebodyright"/>
              <w:spacing w:before="30" w:after="10"/>
              <w:rPr>
                <w:highlight w:val="green"/>
              </w:rPr>
            </w:pPr>
            <w:r w:rsidRPr="005D1CBC">
              <w:t>2,911.0</w:t>
            </w:r>
          </w:p>
        </w:tc>
        <w:tc>
          <w:tcPr>
            <w:tcW w:w="1212" w:type="dxa"/>
            <w:noWrap/>
          </w:tcPr>
          <w:p w14:paraId="435C4AA8" w14:textId="77777777" w:rsidR="00265792" w:rsidRPr="00BA7805" w:rsidRDefault="00265792" w:rsidP="00F60E05">
            <w:pPr>
              <w:pStyle w:val="ARfintablebodyright"/>
              <w:spacing w:before="30" w:after="10"/>
              <w:rPr>
                <w:highlight w:val="green"/>
              </w:rPr>
            </w:pPr>
            <w:r w:rsidRPr="005D1CBC">
              <w:t>2,862.7</w:t>
            </w:r>
          </w:p>
        </w:tc>
        <w:tc>
          <w:tcPr>
            <w:tcW w:w="1212" w:type="dxa"/>
            <w:shd w:val="clear" w:color="auto" w:fill="EEEEEF" w:themeFill="accent4"/>
            <w:noWrap/>
          </w:tcPr>
          <w:p w14:paraId="46A8D623" w14:textId="77777777" w:rsidR="00265792" w:rsidRPr="00BA7805" w:rsidRDefault="00265792" w:rsidP="00F60E05">
            <w:pPr>
              <w:pStyle w:val="ARfintablebodyright"/>
              <w:spacing w:before="30" w:after="10"/>
              <w:rPr>
                <w:highlight w:val="green"/>
              </w:rPr>
            </w:pPr>
            <w:r w:rsidRPr="005D1CBC">
              <w:t>48.3</w:t>
            </w:r>
          </w:p>
        </w:tc>
        <w:tc>
          <w:tcPr>
            <w:tcW w:w="431" w:type="dxa"/>
            <w:noWrap/>
          </w:tcPr>
          <w:p w14:paraId="562BE504" w14:textId="77777777" w:rsidR="00265792" w:rsidRPr="006503CC" w:rsidRDefault="00265792" w:rsidP="00F60E05">
            <w:pPr>
              <w:pStyle w:val="ARfintablebodyright"/>
              <w:spacing w:before="30" w:after="10"/>
              <w:rPr>
                <w:rStyle w:val="Superscript"/>
                <w:highlight w:val="green"/>
              </w:rPr>
            </w:pPr>
          </w:p>
        </w:tc>
      </w:tr>
      <w:tr w:rsidR="00265792" w:rsidRPr="00BA7805" w14:paraId="19B0A2C3" w14:textId="77777777" w:rsidTr="00B4738A">
        <w:trPr>
          <w:cnfStyle w:val="010000000000" w:firstRow="0" w:lastRow="1" w:firstColumn="0" w:lastColumn="0" w:oddVBand="0" w:evenVBand="0" w:oddHBand="0" w:evenHBand="0" w:firstRowFirstColumn="0" w:firstRowLastColumn="0" w:lastRowFirstColumn="0" w:lastRowLastColumn="0"/>
        </w:trPr>
        <w:tc>
          <w:tcPr>
            <w:tcW w:w="3483" w:type="dxa"/>
          </w:tcPr>
          <w:p w14:paraId="58AEAD43" w14:textId="77777777" w:rsidR="00265792" w:rsidRPr="00BA7805" w:rsidRDefault="00265792" w:rsidP="00F60E05">
            <w:pPr>
              <w:pStyle w:val="ARfintablebodybold"/>
              <w:rPr>
                <w:highlight w:val="green"/>
              </w:rPr>
            </w:pPr>
            <w:r w:rsidRPr="00C91C95">
              <w:t>Total</w:t>
            </w:r>
          </w:p>
        </w:tc>
        <w:tc>
          <w:tcPr>
            <w:tcW w:w="1211" w:type="dxa"/>
            <w:shd w:val="clear" w:color="auto" w:fill="EEEEEF" w:themeFill="accent4"/>
            <w:noWrap/>
          </w:tcPr>
          <w:p w14:paraId="4039D3A8" w14:textId="77777777" w:rsidR="00265792" w:rsidRPr="00BA7805" w:rsidRDefault="00265792" w:rsidP="004220D7">
            <w:pPr>
              <w:pStyle w:val="ARfintablebodyrightbold"/>
              <w:rPr>
                <w:highlight w:val="green"/>
              </w:rPr>
            </w:pPr>
            <w:r w:rsidRPr="005D1CBC">
              <w:t>7,798.7</w:t>
            </w:r>
          </w:p>
        </w:tc>
        <w:tc>
          <w:tcPr>
            <w:tcW w:w="1211" w:type="dxa"/>
            <w:shd w:val="clear" w:color="auto" w:fill="EEEEEF" w:themeFill="accent4"/>
            <w:noWrap/>
          </w:tcPr>
          <w:p w14:paraId="0579B897" w14:textId="77777777" w:rsidR="00265792" w:rsidRPr="00BA7805" w:rsidRDefault="00265792" w:rsidP="004220D7">
            <w:pPr>
              <w:pStyle w:val="ARfintablebodyrightbold"/>
              <w:rPr>
                <w:highlight w:val="green"/>
              </w:rPr>
            </w:pPr>
            <w:r w:rsidRPr="005D1CBC">
              <w:t>505.3</w:t>
            </w:r>
          </w:p>
        </w:tc>
        <w:tc>
          <w:tcPr>
            <w:tcW w:w="1212" w:type="dxa"/>
            <w:noWrap/>
          </w:tcPr>
          <w:p w14:paraId="29AB2331" w14:textId="77777777" w:rsidR="00265792" w:rsidRPr="00BA7805" w:rsidRDefault="00265792" w:rsidP="004220D7">
            <w:pPr>
              <w:pStyle w:val="ARfintablebodyrightbold"/>
              <w:rPr>
                <w:highlight w:val="green"/>
              </w:rPr>
            </w:pPr>
            <w:r w:rsidRPr="005D1CBC">
              <w:t>698.6</w:t>
            </w:r>
          </w:p>
        </w:tc>
        <w:tc>
          <w:tcPr>
            <w:tcW w:w="1212" w:type="dxa"/>
            <w:noWrap/>
          </w:tcPr>
          <w:p w14:paraId="2571DA55" w14:textId="77777777" w:rsidR="00265792" w:rsidRPr="00BA7805" w:rsidRDefault="00265792" w:rsidP="004220D7">
            <w:pPr>
              <w:pStyle w:val="ARfintablebodyrightbold"/>
              <w:rPr>
                <w:highlight w:val="green"/>
              </w:rPr>
            </w:pPr>
            <w:r>
              <w:t>–</w:t>
            </w:r>
          </w:p>
        </w:tc>
        <w:tc>
          <w:tcPr>
            <w:tcW w:w="1212" w:type="dxa"/>
            <w:noWrap/>
          </w:tcPr>
          <w:p w14:paraId="1BD1A5F4" w14:textId="77777777" w:rsidR="00265792" w:rsidRPr="00BA7805" w:rsidRDefault="00265792" w:rsidP="004220D7">
            <w:pPr>
              <w:pStyle w:val="ARfintablebodyrightbold"/>
              <w:rPr>
                <w:highlight w:val="green"/>
              </w:rPr>
            </w:pPr>
            <w:r w:rsidRPr="005D1CBC">
              <w:t>87.4</w:t>
            </w:r>
          </w:p>
        </w:tc>
        <w:tc>
          <w:tcPr>
            <w:tcW w:w="1212" w:type="dxa"/>
            <w:shd w:val="clear" w:color="auto" w:fill="EEEEEF" w:themeFill="accent4"/>
            <w:noWrap/>
          </w:tcPr>
          <w:p w14:paraId="54D84886" w14:textId="77777777" w:rsidR="00265792" w:rsidRPr="00BA7805" w:rsidRDefault="00265792" w:rsidP="004220D7">
            <w:pPr>
              <w:pStyle w:val="ARfintablebodyrightbold"/>
              <w:rPr>
                <w:highlight w:val="green"/>
              </w:rPr>
            </w:pPr>
            <w:r w:rsidRPr="005D1CBC">
              <w:t>9,089.9</w:t>
            </w:r>
          </w:p>
        </w:tc>
        <w:tc>
          <w:tcPr>
            <w:tcW w:w="1212" w:type="dxa"/>
            <w:noWrap/>
          </w:tcPr>
          <w:p w14:paraId="08631014" w14:textId="77777777" w:rsidR="00265792" w:rsidRPr="00BA7805" w:rsidRDefault="00265792" w:rsidP="004220D7">
            <w:pPr>
              <w:pStyle w:val="ARfintablebodyrightbold"/>
              <w:rPr>
                <w:highlight w:val="green"/>
              </w:rPr>
            </w:pPr>
            <w:r w:rsidRPr="005D1CBC">
              <w:t>8,944.2</w:t>
            </w:r>
          </w:p>
        </w:tc>
        <w:tc>
          <w:tcPr>
            <w:tcW w:w="1212" w:type="dxa"/>
            <w:shd w:val="clear" w:color="auto" w:fill="EEEEEF" w:themeFill="accent4"/>
            <w:noWrap/>
          </w:tcPr>
          <w:p w14:paraId="5B6C891C" w14:textId="77777777" w:rsidR="00265792" w:rsidRPr="00BA7805" w:rsidRDefault="00265792" w:rsidP="004220D7">
            <w:pPr>
              <w:pStyle w:val="ARfintablebodyrightbold"/>
              <w:rPr>
                <w:highlight w:val="green"/>
              </w:rPr>
            </w:pPr>
            <w:r w:rsidRPr="005D1CBC">
              <w:t>145.7</w:t>
            </w:r>
          </w:p>
        </w:tc>
        <w:tc>
          <w:tcPr>
            <w:tcW w:w="431" w:type="dxa"/>
            <w:noWrap/>
          </w:tcPr>
          <w:p w14:paraId="6DD4D9B3" w14:textId="77777777" w:rsidR="00265792" w:rsidRPr="006503CC" w:rsidRDefault="00265792" w:rsidP="00F60E05">
            <w:pPr>
              <w:pStyle w:val="ARfintablebodyright"/>
              <w:spacing w:before="30" w:after="10"/>
              <w:rPr>
                <w:rStyle w:val="Superscript"/>
                <w:highlight w:val="green"/>
              </w:rPr>
            </w:pPr>
          </w:p>
        </w:tc>
      </w:tr>
    </w:tbl>
    <w:p w14:paraId="2860DAB3" w14:textId="77777777" w:rsidR="00265792" w:rsidRDefault="00265792" w:rsidP="009908F6">
      <w:pPr>
        <w:pStyle w:val="ARfintablefootnote"/>
      </w:pPr>
      <w:r>
        <w:t xml:space="preserve">Notes: </w:t>
      </w:r>
    </w:p>
    <w:p w14:paraId="26B2BFEC" w14:textId="766C2528" w:rsidR="00265792" w:rsidRPr="009908F6" w:rsidRDefault="00265792" w:rsidP="009908F6">
      <w:pPr>
        <w:pStyle w:val="ARfintablefootnotetabindent"/>
      </w:pPr>
      <w:r>
        <w:t>(</w:t>
      </w:r>
      <w:proofErr w:type="spellStart"/>
      <w:r>
        <w:t>i</w:t>
      </w:r>
      <w:proofErr w:type="spellEnd"/>
      <w:r>
        <w:t xml:space="preserve">) </w:t>
      </w:r>
      <w:r>
        <w:tab/>
      </w:r>
      <w:r w:rsidRPr="009908F6">
        <w:t xml:space="preserve">Revenue annotated to the </w:t>
      </w:r>
      <w:r>
        <w:t>d</w:t>
      </w:r>
      <w:r w:rsidRPr="009908F6">
        <w:t xml:space="preserve">epartment's appropriation under </w:t>
      </w:r>
      <w:r w:rsidR="00665ED6">
        <w:t>s.</w:t>
      </w:r>
      <w:r w:rsidR="00665ED6" w:rsidRPr="009908F6">
        <w:t xml:space="preserve"> </w:t>
      </w:r>
      <w:r w:rsidRPr="009908F6">
        <w:t xml:space="preserve">29 of the </w:t>
      </w:r>
      <w:r w:rsidRPr="00E15716">
        <w:rPr>
          <w:rStyle w:val="Emphasis"/>
        </w:rPr>
        <w:t>Financial Management Act 1994</w:t>
      </w:r>
      <w:r w:rsidRPr="009908F6">
        <w:t xml:space="preserve"> predominantly include funding provided by the Commonwealth as part of the National Agreement on Social Housing and Homelessness. Refer to Note 2.5 for further detail.</w:t>
      </w:r>
    </w:p>
    <w:p w14:paraId="327991BC" w14:textId="77777777" w:rsidR="00265792" w:rsidRPr="009908F6" w:rsidRDefault="00265792" w:rsidP="009908F6">
      <w:pPr>
        <w:pStyle w:val="ARfintablefootnotetabindent"/>
      </w:pPr>
      <w:r w:rsidRPr="009908F6">
        <w:t xml:space="preserve">(ii) </w:t>
      </w:r>
      <w:r>
        <w:tab/>
      </w:r>
      <w:r w:rsidRPr="009908F6">
        <w:t>The provision of outputs variance of $43.0 million is primarily due to $33.5 million of funding that will be requested in 2025</w:t>
      </w:r>
      <w:r>
        <w:t>–</w:t>
      </w:r>
      <w:r w:rsidRPr="009908F6">
        <w:t>26 to deliver services and projects. The remaining variance relates to output appropriation authority not applied in 2024</w:t>
      </w:r>
      <w:r>
        <w:t>–</w:t>
      </w:r>
      <w:r w:rsidRPr="009908F6">
        <w:t xml:space="preserve">25, primarily driven by changes to cashflow of output initiatives and lower than anticipated depreciation expenditure. </w:t>
      </w:r>
    </w:p>
    <w:p w14:paraId="7CD89A55" w14:textId="77777777" w:rsidR="00265792" w:rsidRPr="009908F6" w:rsidRDefault="00265792" w:rsidP="009908F6">
      <w:pPr>
        <w:pStyle w:val="ARfintablefootnotetabindent"/>
      </w:pPr>
      <w:r w:rsidRPr="009908F6">
        <w:t xml:space="preserve">(iii) </w:t>
      </w:r>
      <w:r>
        <w:tab/>
      </w:r>
      <w:r w:rsidRPr="009908F6">
        <w:t>The additions to net assets variance of $28.9 million is primarily due to $10.9</w:t>
      </w:r>
      <w:r>
        <w:t xml:space="preserve"> million </w:t>
      </w:r>
      <w:r w:rsidRPr="009908F6">
        <w:t>of funding for projects that will be delivered in 2025</w:t>
      </w:r>
      <w:r>
        <w:t>–</w:t>
      </w:r>
      <w:r w:rsidRPr="009908F6">
        <w:t>26 rather than 2024</w:t>
      </w:r>
      <w:r>
        <w:t>–</w:t>
      </w:r>
      <w:r w:rsidRPr="009908F6">
        <w:t>25, and $20.0</w:t>
      </w:r>
      <w:r>
        <w:t xml:space="preserve"> million</w:t>
      </w:r>
      <w:r w:rsidRPr="009908F6">
        <w:t xml:space="preserve"> of funding not required in 2024</w:t>
      </w:r>
      <w:r>
        <w:t>–</w:t>
      </w:r>
      <w:r w:rsidRPr="009908F6">
        <w:t xml:space="preserve">25 allowed to lapse as effectively; offset by increase in appropriation reinstated as an alternative funding source in lieu of Treasurer's Advance budget supplementation. </w:t>
      </w:r>
    </w:p>
    <w:p w14:paraId="1CA5A232" w14:textId="77777777" w:rsidR="00265792" w:rsidRPr="009908F6" w:rsidRDefault="00265792" w:rsidP="009908F6">
      <w:pPr>
        <w:pStyle w:val="ARfintablefootnotetabindent"/>
      </w:pPr>
      <w:r w:rsidRPr="009908F6">
        <w:t xml:space="preserve">(iv) </w:t>
      </w:r>
      <w:r>
        <w:tab/>
      </w:r>
      <w:r w:rsidRPr="009908F6">
        <w:t>The provision of outputs variance of $53.9 million is primarily due to $39.3 million of funding that will be requested in 2024</w:t>
      </w:r>
      <w:r>
        <w:t>–</w:t>
      </w:r>
      <w:r w:rsidRPr="009908F6">
        <w:t>25 to deliver services and projects. The remaining variance of $14.6 million relates to output appropriation authority not applied in 2023</w:t>
      </w:r>
      <w:r>
        <w:t>–</w:t>
      </w:r>
      <w:r w:rsidRPr="009908F6">
        <w:t>24, primarily driven by changes to cashflow of output initiatives and lower than anticipated depreciation expenditure.</w:t>
      </w:r>
    </w:p>
    <w:p w14:paraId="194C209F" w14:textId="2DDA53DD" w:rsidR="00265792" w:rsidRDefault="00265792" w:rsidP="009908F6">
      <w:pPr>
        <w:pStyle w:val="ARfintablefootnotetabindent"/>
      </w:pPr>
      <w:r w:rsidRPr="009908F6">
        <w:t xml:space="preserve">(v) </w:t>
      </w:r>
      <w:r>
        <w:tab/>
      </w:r>
      <w:r w:rsidRPr="009908F6">
        <w:t>The additions to net assets variance of $43.5 million predominantly relates to funding for projects that will be delivered in 2024</w:t>
      </w:r>
      <w:r>
        <w:t>–</w:t>
      </w:r>
      <w:r w:rsidRPr="009908F6">
        <w:t>25 rather than 2023</w:t>
      </w:r>
      <w:r>
        <w:t>–</w:t>
      </w:r>
      <w:r w:rsidRPr="009908F6">
        <w:t>24, offset by increase in appropriation reinstated as an alternative</w:t>
      </w:r>
      <w:r>
        <w:t xml:space="preserve"> funding source in lieu of Treasurer</w:t>
      </w:r>
      <w:r w:rsidR="002A6129">
        <w:t>’</w:t>
      </w:r>
      <w:r>
        <w:t>s Advance budget supplementation.</w:t>
      </w:r>
    </w:p>
    <w:p w14:paraId="188C400B" w14:textId="77777777" w:rsidR="00265792" w:rsidRDefault="00265792">
      <w:pPr>
        <w:pStyle w:val="ARfintablefootnotetabindent"/>
        <w:rPr>
          <w:rFonts w:cs="Arial"/>
          <w:szCs w:val="16"/>
          <w:highlight w:val="green"/>
        </w:rPr>
      </w:pPr>
    </w:p>
    <w:p w14:paraId="57819606" w14:textId="77777777" w:rsidR="00265792" w:rsidRPr="00BA7805" w:rsidRDefault="00265792">
      <w:pPr>
        <w:pStyle w:val="ARfintablefootnotetabindent"/>
        <w:rPr>
          <w:rFonts w:cs="Arial"/>
          <w:szCs w:val="16"/>
          <w:highlight w:val="green"/>
        </w:rPr>
        <w:sectPr w:rsidR="00265792" w:rsidRPr="00BA7805" w:rsidSect="007F43B1">
          <w:footerReference w:type="even" r:id="rId148"/>
          <w:endnotePr>
            <w:numFmt w:val="decimal"/>
          </w:endnotePr>
          <w:pgSz w:w="16838" w:h="11906" w:orient="landscape" w:code="9"/>
          <w:pgMar w:top="1134" w:right="1134" w:bottom="851" w:left="1134" w:header="510" w:footer="340" w:gutter="0"/>
          <w:cols w:space="708"/>
          <w:docGrid w:linePitch="360"/>
        </w:sectPr>
      </w:pPr>
    </w:p>
    <w:p w14:paraId="21654E94" w14:textId="77777777" w:rsidR="00265792" w:rsidRPr="00BA7805" w:rsidRDefault="00265792">
      <w:pPr>
        <w:pStyle w:val="ARfinbodylargespace"/>
        <w:rPr>
          <w:highlight w:val="green"/>
        </w:rPr>
      </w:pPr>
      <w:r>
        <w:lastRenderedPageBreak/>
        <w:t>The following table discloses the details of compliance with special appropriations:</w:t>
      </w:r>
    </w:p>
    <w:tbl>
      <w:tblPr>
        <w:tblStyle w:val="TableGrid"/>
        <w:tblW w:w="9637" w:type="dxa"/>
        <w:tblLayout w:type="fixed"/>
        <w:tblLook w:val="06E0" w:firstRow="1" w:lastRow="1" w:firstColumn="1" w:lastColumn="0" w:noHBand="1" w:noVBand="1"/>
      </w:tblPr>
      <w:tblGrid>
        <w:gridCol w:w="3683"/>
        <w:gridCol w:w="3232"/>
        <w:gridCol w:w="1361"/>
        <w:gridCol w:w="1361"/>
      </w:tblGrid>
      <w:tr w:rsidR="00265792" w:rsidRPr="00BA7805" w14:paraId="13E9E055" w14:textId="77777777" w:rsidTr="00A115EA">
        <w:trPr>
          <w:cnfStyle w:val="100000000000" w:firstRow="1" w:lastRow="0" w:firstColumn="0" w:lastColumn="0" w:oddVBand="0" w:evenVBand="0" w:oddHBand="0" w:evenHBand="0" w:firstRowFirstColumn="0" w:firstRowLastColumn="0" w:lastRowFirstColumn="0" w:lastRowLastColumn="0"/>
          <w:tblHeader/>
        </w:trPr>
        <w:tc>
          <w:tcPr>
            <w:tcW w:w="3683" w:type="dxa"/>
            <w:vMerge w:val="restart"/>
            <w:tcBorders>
              <w:top w:val="nil"/>
            </w:tcBorders>
            <w:noWrap/>
            <w:hideMark/>
          </w:tcPr>
          <w:p w14:paraId="46845AE8" w14:textId="77777777" w:rsidR="00265792" w:rsidRPr="0022097B" w:rsidRDefault="00265792" w:rsidP="00B92495">
            <w:pPr>
              <w:pStyle w:val="ARfintablecolhead"/>
            </w:pPr>
            <w:r w:rsidRPr="0022097B">
              <w:t>Authority</w:t>
            </w:r>
          </w:p>
        </w:tc>
        <w:tc>
          <w:tcPr>
            <w:tcW w:w="3232" w:type="dxa"/>
            <w:vMerge w:val="restart"/>
            <w:tcBorders>
              <w:top w:val="nil"/>
            </w:tcBorders>
            <w:noWrap/>
            <w:hideMark/>
          </w:tcPr>
          <w:p w14:paraId="5EA059A2" w14:textId="77777777" w:rsidR="00265792" w:rsidRPr="0022097B" w:rsidRDefault="00265792" w:rsidP="00B92495">
            <w:pPr>
              <w:pStyle w:val="ARfintablecolhead"/>
            </w:pPr>
            <w:r w:rsidRPr="0022097B">
              <w:t>Purpose</w:t>
            </w:r>
          </w:p>
        </w:tc>
        <w:tc>
          <w:tcPr>
            <w:tcW w:w="2722" w:type="dxa"/>
            <w:gridSpan w:val="2"/>
            <w:tcBorders>
              <w:top w:val="nil"/>
            </w:tcBorders>
            <w:hideMark/>
          </w:tcPr>
          <w:p w14:paraId="489B9682" w14:textId="77777777" w:rsidR="00265792" w:rsidRPr="0022097B" w:rsidRDefault="00265792" w:rsidP="004A71C0">
            <w:pPr>
              <w:pStyle w:val="ARfintablecolheadcentre"/>
            </w:pPr>
            <w:r w:rsidRPr="0022097B">
              <w:t>Appropriation applied</w:t>
            </w:r>
          </w:p>
        </w:tc>
      </w:tr>
      <w:tr w:rsidR="00265792" w:rsidRPr="00BA7805" w14:paraId="4B974C30" w14:textId="77777777" w:rsidTr="00A115EA">
        <w:trPr>
          <w:cnfStyle w:val="100000000000" w:firstRow="1" w:lastRow="0" w:firstColumn="0" w:lastColumn="0" w:oddVBand="0" w:evenVBand="0" w:oddHBand="0" w:evenHBand="0" w:firstRowFirstColumn="0" w:firstRowLastColumn="0" w:lastRowFirstColumn="0" w:lastRowLastColumn="0"/>
          <w:tblHeader/>
        </w:trPr>
        <w:tc>
          <w:tcPr>
            <w:tcW w:w="3683" w:type="dxa"/>
            <w:vMerge/>
            <w:tcBorders>
              <w:top w:val="single" w:sz="4" w:space="0" w:color="000000" w:themeColor="text1"/>
            </w:tcBorders>
            <w:noWrap/>
            <w:hideMark/>
          </w:tcPr>
          <w:p w14:paraId="0E4FCDF6" w14:textId="77777777" w:rsidR="00265792" w:rsidRPr="0022097B" w:rsidRDefault="00265792">
            <w:pPr>
              <w:pStyle w:val="ARfintablecolhead"/>
            </w:pPr>
          </w:p>
        </w:tc>
        <w:tc>
          <w:tcPr>
            <w:tcW w:w="3232" w:type="dxa"/>
            <w:vMerge/>
            <w:tcBorders>
              <w:top w:val="single" w:sz="4" w:space="0" w:color="000000" w:themeColor="text1"/>
            </w:tcBorders>
            <w:noWrap/>
            <w:hideMark/>
          </w:tcPr>
          <w:p w14:paraId="269D08DF" w14:textId="77777777" w:rsidR="00265792" w:rsidRPr="0022097B" w:rsidRDefault="00265792">
            <w:pPr>
              <w:pStyle w:val="ARfintablecolhead"/>
            </w:pPr>
          </w:p>
        </w:tc>
        <w:tc>
          <w:tcPr>
            <w:tcW w:w="1361" w:type="dxa"/>
            <w:tcBorders>
              <w:top w:val="single" w:sz="4" w:space="0" w:color="000000" w:themeColor="text1"/>
            </w:tcBorders>
            <w:shd w:val="clear" w:color="auto" w:fill="EEEEEF" w:themeFill="accent4"/>
            <w:hideMark/>
          </w:tcPr>
          <w:p w14:paraId="716A16D2" w14:textId="77777777" w:rsidR="00265792" w:rsidRPr="0022097B" w:rsidRDefault="00265792" w:rsidP="00B92495">
            <w:pPr>
              <w:pStyle w:val="ARfintablecolheadright"/>
            </w:pPr>
            <w:r w:rsidRPr="0022097B">
              <w:t>202</w:t>
            </w:r>
            <w:r>
              <w:t>5</w:t>
            </w:r>
          </w:p>
          <w:p w14:paraId="0DFA5EE4" w14:textId="77777777" w:rsidR="00265792" w:rsidRPr="0022097B" w:rsidRDefault="00265792" w:rsidP="00B92495">
            <w:pPr>
              <w:pStyle w:val="ARfintablecolheadright"/>
            </w:pPr>
            <w:r w:rsidRPr="0022097B">
              <w:t>$M</w:t>
            </w:r>
          </w:p>
        </w:tc>
        <w:tc>
          <w:tcPr>
            <w:tcW w:w="1361" w:type="dxa"/>
            <w:tcBorders>
              <w:top w:val="single" w:sz="4" w:space="0" w:color="000000" w:themeColor="text1"/>
            </w:tcBorders>
            <w:hideMark/>
          </w:tcPr>
          <w:p w14:paraId="59171A2F" w14:textId="77777777" w:rsidR="00265792" w:rsidRPr="0022097B" w:rsidRDefault="00265792" w:rsidP="00B92495">
            <w:pPr>
              <w:pStyle w:val="ARfintablecolheadright"/>
            </w:pPr>
            <w:r w:rsidRPr="0022097B">
              <w:t>202</w:t>
            </w:r>
            <w:r>
              <w:t>4</w:t>
            </w:r>
          </w:p>
          <w:p w14:paraId="6654503E" w14:textId="77777777" w:rsidR="00265792" w:rsidRPr="0022097B" w:rsidRDefault="00265792" w:rsidP="00B92495">
            <w:pPr>
              <w:pStyle w:val="ARfintablecolheadright"/>
            </w:pPr>
            <w:r w:rsidRPr="0022097B">
              <w:t>$M</w:t>
            </w:r>
          </w:p>
        </w:tc>
      </w:tr>
      <w:tr w:rsidR="00265792" w:rsidRPr="00BA7805" w14:paraId="0608D75B" w14:textId="77777777" w:rsidTr="00DF220B">
        <w:tc>
          <w:tcPr>
            <w:tcW w:w="3683" w:type="dxa"/>
            <w:tcBorders>
              <w:top w:val="single" w:sz="4" w:space="0" w:color="000000" w:themeColor="text1"/>
              <w:bottom w:val="single" w:sz="4" w:space="0" w:color="A6A6A6" w:themeColor="accent5"/>
            </w:tcBorders>
          </w:tcPr>
          <w:p w14:paraId="0652BC56" w14:textId="77777777" w:rsidR="00265792" w:rsidRPr="00195B43" w:rsidRDefault="00265792" w:rsidP="00195B43">
            <w:pPr>
              <w:pStyle w:val="ARfintablebody"/>
              <w:rPr>
                <w:highlight w:val="green"/>
              </w:rPr>
            </w:pPr>
            <w:r w:rsidRPr="00195B43">
              <w:t xml:space="preserve">Section 5.4.6 of the </w:t>
            </w:r>
            <w:r w:rsidRPr="00270C30">
              <w:rPr>
                <w:rStyle w:val="Emphasis"/>
              </w:rPr>
              <w:t>Gambling Regulation Act 2003</w:t>
            </w:r>
          </w:p>
        </w:tc>
        <w:tc>
          <w:tcPr>
            <w:tcW w:w="3232" w:type="dxa"/>
            <w:tcBorders>
              <w:top w:val="single" w:sz="4" w:space="0" w:color="000000" w:themeColor="text1"/>
              <w:bottom w:val="single" w:sz="4" w:space="0" w:color="A6A6A6" w:themeColor="accent5"/>
            </w:tcBorders>
          </w:tcPr>
          <w:p w14:paraId="2F0FDC20" w14:textId="77777777" w:rsidR="00265792" w:rsidRPr="00195B43" w:rsidRDefault="00265792" w:rsidP="00195B43">
            <w:pPr>
              <w:pStyle w:val="ARfintablebody"/>
              <w:rPr>
                <w:highlight w:val="green"/>
              </w:rPr>
            </w:pPr>
            <w:r w:rsidRPr="00195B43">
              <w:t>Contribution to the Mental Health</w:t>
            </w:r>
            <w:r>
              <w:t> </w:t>
            </w:r>
            <w:r w:rsidRPr="00195B43">
              <w:t>Fund</w:t>
            </w:r>
          </w:p>
        </w:tc>
        <w:tc>
          <w:tcPr>
            <w:tcW w:w="1361" w:type="dxa"/>
            <w:tcBorders>
              <w:top w:val="single" w:sz="4" w:space="0" w:color="000000" w:themeColor="text1"/>
              <w:bottom w:val="single" w:sz="4" w:space="0" w:color="A6A6A6" w:themeColor="accent5"/>
            </w:tcBorders>
            <w:shd w:val="clear" w:color="auto" w:fill="EEEEEF" w:themeFill="accent4"/>
            <w:noWrap/>
          </w:tcPr>
          <w:p w14:paraId="0E7C89E6" w14:textId="77777777" w:rsidR="00265792" w:rsidRPr="00195B43" w:rsidRDefault="00265792" w:rsidP="00195B43">
            <w:pPr>
              <w:pStyle w:val="ARfintablebodyright"/>
              <w:rPr>
                <w:highlight w:val="green"/>
              </w:rPr>
            </w:pPr>
            <w:r w:rsidRPr="00195B43">
              <w:t>64.0</w:t>
            </w:r>
          </w:p>
        </w:tc>
        <w:tc>
          <w:tcPr>
            <w:tcW w:w="1361" w:type="dxa"/>
            <w:tcBorders>
              <w:top w:val="single" w:sz="4" w:space="0" w:color="000000" w:themeColor="text1"/>
              <w:bottom w:val="single" w:sz="4" w:space="0" w:color="A6A6A6" w:themeColor="accent5"/>
            </w:tcBorders>
            <w:noWrap/>
          </w:tcPr>
          <w:p w14:paraId="5AC300F7" w14:textId="77777777" w:rsidR="00265792" w:rsidRPr="00195B43" w:rsidRDefault="00265792" w:rsidP="00195B43">
            <w:pPr>
              <w:pStyle w:val="ARfintablebodyright"/>
              <w:rPr>
                <w:highlight w:val="green"/>
              </w:rPr>
            </w:pPr>
            <w:r w:rsidRPr="00195B43">
              <w:t>63.9</w:t>
            </w:r>
          </w:p>
        </w:tc>
      </w:tr>
      <w:tr w:rsidR="00265792" w:rsidRPr="00BA7805" w14:paraId="285C9BF0" w14:textId="77777777" w:rsidTr="00AD31FF">
        <w:tc>
          <w:tcPr>
            <w:tcW w:w="3683" w:type="dxa"/>
            <w:tcBorders>
              <w:top w:val="single" w:sz="4" w:space="0" w:color="A6A6A6" w:themeColor="accent5"/>
              <w:bottom w:val="single" w:sz="4" w:space="0" w:color="000000" w:themeColor="text1"/>
            </w:tcBorders>
          </w:tcPr>
          <w:p w14:paraId="1C3A6673" w14:textId="77777777" w:rsidR="00265792" w:rsidRPr="00195B43" w:rsidRDefault="00265792" w:rsidP="00195B43">
            <w:pPr>
              <w:pStyle w:val="ARfintablebody"/>
              <w:rPr>
                <w:highlight w:val="green"/>
              </w:rPr>
            </w:pPr>
            <w:r w:rsidRPr="00195B43">
              <w:t xml:space="preserve">Section 10 of </w:t>
            </w:r>
            <w:r w:rsidRPr="00E15716">
              <w:rPr>
                <w:rStyle w:val="Emphasis"/>
              </w:rPr>
              <w:t>the Financial Management Act 1994</w:t>
            </w:r>
          </w:p>
        </w:tc>
        <w:tc>
          <w:tcPr>
            <w:tcW w:w="3232" w:type="dxa"/>
            <w:tcBorders>
              <w:top w:val="single" w:sz="4" w:space="0" w:color="A6A6A6" w:themeColor="accent5"/>
              <w:bottom w:val="single" w:sz="4" w:space="0" w:color="000000" w:themeColor="text1"/>
            </w:tcBorders>
          </w:tcPr>
          <w:p w14:paraId="0778F996" w14:textId="77777777" w:rsidR="00265792" w:rsidRPr="00195B43" w:rsidRDefault="00265792" w:rsidP="00195B43">
            <w:pPr>
              <w:pStyle w:val="ARfintablebody"/>
              <w:rPr>
                <w:highlight w:val="green"/>
              </w:rPr>
            </w:pPr>
            <w:r w:rsidRPr="00195B43">
              <w:t xml:space="preserve">Access to various Commonwealth grants </w:t>
            </w:r>
            <w:r w:rsidRPr="007826A1">
              <w:t>–</w:t>
            </w:r>
            <w:r w:rsidRPr="00195B43">
              <w:t xml:space="preserve"> provision of outputs</w:t>
            </w:r>
          </w:p>
        </w:tc>
        <w:tc>
          <w:tcPr>
            <w:tcW w:w="1361" w:type="dxa"/>
            <w:tcBorders>
              <w:top w:val="single" w:sz="4" w:space="0" w:color="A6A6A6" w:themeColor="accent5"/>
              <w:bottom w:val="single" w:sz="4" w:space="0" w:color="000000" w:themeColor="text1"/>
            </w:tcBorders>
            <w:shd w:val="clear" w:color="auto" w:fill="EEEEEF" w:themeFill="accent4"/>
            <w:noWrap/>
          </w:tcPr>
          <w:p w14:paraId="470B9E9F" w14:textId="77777777" w:rsidR="00265792" w:rsidRPr="00195B43" w:rsidRDefault="00265792" w:rsidP="00195B43">
            <w:pPr>
              <w:pStyle w:val="ARfintablebodyright"/>
              <w:rPr>
                <w:highlight w:val="green"/>
              </w:rPr>
            </w:pPr>
            <w:r w:rsidRPr="00195B43">
              <w:t>36.6</w:t>
            </w:r>
          </w:p>
        </w:tc>
        <w:tc>
          <w:tcPr>
            <w:tcW w:w="1361" w:type="dxa"/>
            <w:tcBorders>
              <w:top w:val="single" w:sz="4" w:space="0" w:color="A6A6A6" w:themeColor="accent5"/>
              <w:bottom w:val="single" w:sz="4" w:space="0" w:color="000000" w:themeColor="text1"/>
            </w:tcBorders>
            <w:noWrap/>
          </w:tcPr>
          <w:p w14:paraId="23D11D45" w14:textId="77777777" w:rsidR="00265792" w:rsidRPr="00195B43" w:rsidRDefault="00265792" w:rsidP="00195B43">
            <w:pPr>
              <w:pStyle w:val="ARfintablebodyright"/>
              <w:rPr>
                <w:highlight w:val="green"/>
              </w:rPr>
            </w:pPr>
            <w:r w:rsidRPr="00195B43">
              <w:t>15.6</w:t>
            </w:r>
          </w:p>
        </w:tc>
      </w:tr>
      <w:tr w:rsidR="00265792" w:rsidRPr="00BA7805" w14:paraId="77A1E635" w14:textId="77777777" w:rsidTr="002603DD">
        <w:tc>
          <w:tcPr>
            <w:tcW w:w="3683" w:type="dxa"/>
            <w:tcBorders>
              <w:top w:val="single" w:sz="4" w:space="0" w:color="000000" w:themeColor="text1"/>
              <w:bottom w:val="single" w:sz="4" w:space="0" w:color="000000" w:themeColor="text1"/>
            </w:tcBorders>
          </w:tcPr>
          <w:p w14:paraId="03D6FEB0" w14:textId="77777777" w:rsidR="00265792" w:rsidRPr="00195B43" w:rsidRDefault="00265792" w:rsidP="007826A1">
            <w:pPr>
              <w:pStyle w:val="ARfintablebodybold"/>
              <w:rPr>
                <w:highlight w:val="green"/>
              </w:rPr>
            </w:pPr>
            <w:r w:rsidRPr="00195B43">
              <w:t xml:space="preserve">Total special appropriations </w:t>
            </w:r>
            <w:r>
              <w:br/>
            </w:r>
            <w:r w:rsidRPr="007826A1">
              <w:t>–</w:t>
            </w:r>
            <w:r w:rsidRPr="00195B43">
              <w:t xml:space="preserve"> Provision of outputs</w:t>
            </w:r>
          </w:p>
        </w:tc>
        <w:tc>
          <w:tcPr>
            <w:tcW w:w="3232" w:type="dxa"/>
            <w:tcBorders>
              <w:top w:val="single" w:sz="4" w:space="0" w:color="000000" w:themeColor="text1"/>
              <w:bottom w:val="single" w:sz="4" w:space="0" w:color="000000" w:themeColor="text1"/>
            </w:tcBorders>
          </w:tcPr>
          <w:p w14:paraId="69F557C3" w14:textId="77777777" w:rsidR="00265792" w:rsidRPr="00195B43" w:rsidRDefault="00265792" w:rsidP="00195B43">
            <w:pPr>
              <w:pStyle w:val="ARfintablebody"/>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0434CC07" w14:textId="77777777" w:rsidR="00265792" w:rsidRPr="002C7359" w:rsidRDefault="00265792" w:rsidP="00195B43">
            <w:pPr>
              <w:pStyle w:val="ARfintablebodyright"/>
              <w:rPr>
                <w:b/>
                <w:highlight w:val="green"/>
              </w:rPr>
            </w:pPr>
            <w:r w:rsidRPr="002C7359">
              <w:rPr>
                <w:b/>
              </w:rPr>
              <w:t>100.6</w:t>
            </w:r>
          </w:p>
        </w:tc>
        <w:tc>
          <w:tcPr>
            <w:tcW w:w="1361" w:type="dxa"/>
            <w:tcBorders>
              <w:top w:val="single" w:sz="4" w:space="0" w:color="000000" w:themeColor="text1"/>
              <w:bottom w:val="single" w:sz="4" w:space="0" w:color="000000" w:themeColor="text1"/>
            </w:tcBorders>
            <w:noWrap/>
          </w:tcPr>
          <w:p w14:paraId="7883E981" w14:textId="77777777" w:rsidR="00265792" w:rsidRPr="002C7359" w:rsidRDefault="00265792" w:rsidP="00195B43">
            <w:pPr>
              <w:pStyle w:val="ARfintablebodyright"/>
              <w:rPr>
                <w:b/>
                <w:highlight w:val="green"/>
              </w:rPr>
            </w:pPr>
            <w:r w:rsidRPr="002C7359">
              <w:rPr>
                <w:b/>
              </w:rPr>
              <w:t>79.5</w:t>
            </w:r>
          </w:p>
        </w:tc>
      </w:tr>
      <w:tr w:rsidR="00265792" w:rsidRPr="00BA7805" w14:paraId="7935AF79" w14:textId="77777777" w:rsidTr="002603DD">
        <w:tc>
          <w:tcPr>
            <w:tcW w:w="3683" w:type="dxa"/>
            <w:tcBorders>
              <w:top w:val="single" w:sz="4" w:space="0" w:color="000000" w:themeColor="text1"/>
              <w:bottom w:val="single" w:sz="4" w:space="0" w:color="000000" w:themeColor="text1"/>
            </w:tcBorders>
          </w:tcPr>
          <w:p w14:paraId="19097246" w14:textId="77777777" w:rsidR="00265792" w:rsidRPr="00195B43" w:rsidRDefault="00265792" w:rsidP="00195B43">
            <w:pPr>
              <w:pStyle w:val="ARfintablebody"/>
              <w:rPr>
                <w:highlight w:val="green"/>
              </w:rPr>
            </w:pPr>
            <w:r w:rsidRPr="00195B43">
              <w:t xml:space="preserve">Section 10 of the </w:t>
            </w:r>
            <w:r w:rsidRPr="00E15716">
              <w:rPr>
                <w:rStyle w:val="Emphasis"/>
              </w:rPr>
              <w:t>Financial Management Act 1994</w:t>
            </w:r>
          </w:p>
        </w:tc>
        <w:tc>
          <w:tcPr>
            <w:tcW w:w="3232" w:type="dxa"/>
            <w:tcBorders>
              <w:top w:val="single" w:sz="4" w:space="0" w:color="000000" w:themeColor="text1"/>
              <w:bottom w:val="single" w:sz="4" w:space="0" w:color="000000" w:themeColor="text1"/>
            </w:tcBorders>
          </w:tcPr>
          <w:p w14:paraId="1A719404" w14:textId="77777777" w:rsidR="00265792" w:rsidRPr="00195B43" w:rsidRDefault="00265792" w:rsidP="00195B43">
            <w:pPr>
              <w:pStyle w:val="ARfintablebody"/>
              <w:rPr>
                <w:highlight w:val="green"/>
              </w:rPr>
            </w:pPr>
            <w:r w:rsidRPr="0003194F">
              <w:t xml:space="preserve">Access to various Commonwealth grants </w:t>
            </w:r>
            <w:r w:rsidRPr="007826A1">
              <w:t>–</w:t>
            </w:r>
            <w:r w:rsidRPr="0003194F">
              <w:t xml:space="preserve"> addition to net assets</w:t>
            </w:r>
          </w:p>
        </w:tc>
        <w:tc>
          <w:tcPr>
            <w:tcW w:w="1361" w:type="dxa"/>
            <w:tcBorders>
              <w:top w:val="single" w:sz="4" w:space="0" w:color="000000" w:themeColor="text1"/>
              <w:bottom w:val="single" w:sz="4" w:space="0" w:color="000000" w:themeColor="text1"/>
            </w:tcBorders>
            <w:shd w:val="clear" w:color="auto" w:fill="EEEEEF" w:themeFill="accent4"/>
            <w:noWrap/>
          </w:tcPr>
          <w:p w14:paraId="124813DB" w14:textId="77777777" w:rsidR="00265792" w:rsidRPr="00195B43" w:rsidRDefault="00265792" w:rsidP="00195B43">
            <w:pPr>
              <w:pStyle w:val="ARfintablebodyright"/>
              <w:rPr>
                <w:highlight w:val="green"/>
              </w:rPr>
            </w:pPr>
            <w:r w:rsidRPr="00195B43">
              <w:t>123.2</w:t>
            </w:r>
          </w:p>
        </w:tc>
        <w:tc>
          <w:tcPr>
            <w:tcW w:w="1361" w:type="dxa"/>
            <w:tcBorders>
              <w:top w:val="single" w:sz="4" w:space="0" w:color="000000" w:themeColor="text1"/>
              <w:bottom w:val="single" w:sz="4" w:space="0" w:color="000000" w:themeColor="text1"/>
            </w:tcBorders>
            <w:noWrap/>
          </w:tcPr>
          <w:p w14:paraId="722E6716" w14:textId="77777777" w:rsidR="00265792" w:rsidRPr="00195B43" w:rsidRDefault="00265792" w:rsidP="00195B43">
            <w:pPr>
              <w:pStyle w:val="ARfintablebodyright"/>
              <w:rPr>
                <w:highlight w:val="green"/>
              </w:rPr>
            </w:pPr>
            <w:r w:rsidRPr="00195B43">
              <w:t>52.8</w:t>
            </w:r>
          </w:p>
        </w:tc>
      </w:tr>
      <w:tr w:rsidR="00265792" w:rsidRPr="00BA7805" w14:paraId="1EC86AE0" w14:textId="77777777" w:rsidTr="002603DD">
        <w:tc>
          <w:tcPr>
            <w:tcW w:w="3683" w:type="dxa"/>
            <w:tcBorders>
              <w:top w:val="single" w:sz="4" w:space="0" w:color="000000" w:themeColor="text1"/>
              <w:bottom w:val="single" w:sz="4" w:space="0" w:color="000000" w:themeColor="text1"/>
            </w:tcBorders>
          </w:tcPr>
          <w:p w14:paraId="1B99B829" w14:textId="77777777" w:rsidR="00265792" w:rsidRPr="00195B43" w:rsidRDefault="00265792" w:rsidP="007826A1">
            <w:pPr>
              <w:pStyle w:val="ARfintablebodybold"/>
              <w:rPr>
                <w:highlight w:val="green"/>
              </w:rPr>
            </w:pPr>
            <w:r w:rsidRPr="00195B43">
              <w:t>Total special appropriations</w:t>
            </w:r>
            <w:r>
              <w:br/>
            </w:r>
            <w:r w:rsidRPr="007826A1">
              <w:t>–</w:t>
            </w:r>
            <w:r w:rsidRPr="00195B43">
              <w:t xml:space="preserve"> Addition to net assets</w:t>
            </w:r>
          </w:p>
        </w:tc>
        <w:tc>
          <w:tcPr>
            <w:tcW w:w="3232" w:type="dxa"/>
            <w:tcBorders>
              <w:top w:val="single" w:sz="4" w:space="0" w:color="000000" w:themeColor="text1"/>
              <w:bottom w:val="single" w:sz="4" w:space="0" w:color="000000" w:themeColor="text1"/>
            </w:tcBorders>
          </w:tcPr>
          <w:p w14:paraId="733AB277" w14:textId="77777777" w:rsidR="00265792" w:rsidRPr="00195B43" w:rsidRDefault="00265792" w:rsidP="00195B43">
            <w:pPr>
              <w:pStyle w:val="ARfintablebody"/>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2DDD7A90" w14:textId="77777777" w:rsidR="00265792" w:rsidRPr="00195B43" w:rsidRDefault="00265792">
            <w:pPr>
              <w:pStyle w:val="ARfintablebodyrightbold"/>
              <w:rPr>
                <w:highlight w:val="green"/>
              </w:rPr>
            </w:pPr>
            <w:r w:rsidRPr="00195B43">
              <w:t>123.2</w:t>
            </w:r>
          </w:p>
        </w:tc>
        <w:tc>
          <w:tcPr>
            <w:tcW w:w="1361" w:type="dxa"/>
            <w:tcBorders>
              <w:top w:val="single" w:sz="4" w:space="0" w:color="000000" w:themeColor="text1"/>
              <w:bottom w:val="single" w:sz="4" w:space="0" w:color="000000" w:themeColor="text1"/>
            </w:tcBorders>
            <w:noWrap/>
          </w:tcPr>
          <w:p w14:paraId="24B3BF8E" w14:textId="77777777" w:rsidR="00265792" w:rsidRPr="00195B43" w:rsidRDefault="00265792">
            <w:pPr>
              <w:pStyle w:val="ARfintablebodyrightbold"/>
              <w:rPr>
                <w:highlight w:val="green"/>
              </w:rPr>
            </w:pPr>
            <w:r w:rsidRPr="00195B43">
              <w:t>52.8</w:t>
            </w:r>
          </w:p>
        </w:tc>
      </w:tr>
      <w:tr w:rsidR="00265792" w:rsidRPr="00BA7805" w14:paraId="5D1D7AF8" w14:textId="77777777" w:rsidTr="002603DD">
        <w:trPr>
          <w:cnfStyle w:val="010000000000" w:firstRow="0" w:lastRow="1" w:firstColumn="0" w:lastColumn="0" w:oddVBand="0" w:evenVBand="0" w:oddHBand="0" w:evenHBand="0" w:firstRowFirstColumn="0" w:firstRowLastColumn="0" w:lastRowFirstColumn="0" w:lastRowLastColumn="0"/>
        </w:trPr>
        <w:tc>
          <w:tcPr>
            <w:tcW w:w="3683" w:type="dxa"/>
          </w:tcPr>
          <w:p w14:paraId="09B8E760" w14:textId="77777777" w:rsidR="00265792" w:rsidRPr="00190A04" w:rsidRDefault="00265792" w:rsidP="00885934">
            <w:pPr>
              <w:pStyle w:val="ARfintablebodybold"/>
            </w:pPr>
            <w:r w:rsidRPr="00885934">
              <w:t>Total special appropriations</w:t>
            </w:r>
          </w:p>
        </w:tc>
        <w:tc>
          <w:tcPr>
            <w:tcW w:w="3232" w:type="dxa"/>
          </w:tcPr>
          <w:p w14:paraId="1590F2BE" w14:textId="77777777" w:rsidR="00265792" w:rsidRPr="00BA7805" w:rsidRDefault="00265792" w:rsidP="00885934">
            <w:pPr>
              <w:pStyle w:val="ARfintablebody"/>
              <w:rPr>
                <w:highlight w:val="green"/>
              </w:rPr>
            </w:pPr>
          </w:p>
        </w:tc>
        <w:tc>
          <w:tcPr>
            <w:tcW w:w="1361" w:type="dxa"/>
            <w:shd w:val="clear" w:color="auto" w:fill="EEEEEF" w:themeFill="accent4"/>
            <w:noWrap/>
          </w:tcPr>
          <w:p w14:paraId="74BD2495" w14:textId="77777777" w:rsidR="00265792" w:rsidRPr="00195B43" w:rsidRDefault="00265792" w:rsidP="00475C70">
            <w:pPr>
              <w:pStyle w:val="ARfintablebodyrightbold"/>
            </w:pPr>
            <w:r w:rsidRPr="00195B43">
              <w:t>223.8</w:t>
            </w:r>
          </w:p>
        </w:tc>
        <w:tc>
          <w:tcPr>
            <w:tcW w:w="1361" w:type="dxa"/>
            <w:noWrap/>
          </w:tcPr>
          <w:p w14:paraId="173165DD" w14:textId="77777777" w:rsidR="00265792" w:rsidRPr="00195B43" w:rsidRDefault="00265792" w:rsidP="00475C70">
            <w:pPr>
              <w:pStyle w:val="ARfintablebodyrightbold"/>
            </w:pPr>
            <w:r w:rsidRPr="00195B43">
              <w:t>132.3</w:t>
            </w:r>
          </w:p>
        </w:tc>
      </w:tr>
    </w:tbl>
    <w:p w14:paraId="4F0351F6" w14:textId="77777777" w:rsidR="00265792" w:rsidRPr="00877468" w:rsidRDefault="00265792">
      <w:pPr>
        <w:pStyle w:val="Heading4"/>
        <w:spacing w:before="400"/>
        <w:rPr>
          <w:lang w:eastAsia="en-AU"/>
        </w:rPr>
      </w:pPr>
      <w:r w:rsidRPr="00877468">
        <w:rPr>
          <w:lang w:eastAsia="en-AU"/>
        </w:rPr>
        <w:t>2.4 Income from transactions</w:t>
      </w:r>
    </w:p>
    <w:p w14:paraId="4D6C2A5A" w14:textId="77777777" w:rsidR="00265792" w:rsidRPr="00877468" w:rsidRDefault="00265792" w:rsidP="002542E1">
      <w:pPr>
        <w:pStyle w:val="Heading5"/>
        <w:rPr>
          <w:lang w:eastAsia="en-AU"/>
        </w:rPr>
      </w:pPr>
      <w:r w:rsidRPr="00877468">
        <w:rPr>
          <w:lang w:eastAsia="en-AU"/>
        </w:rPr>
        <w:t>2.4.1 Rental income</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10FC2E17" w14:textId="77777777" w:rsidTr="00A115EA">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49A18C52" w14:textId="77777777" w:rsidR="00265792" w:rsidRPr="00BA7805" w:rsidRDefault="00265792">
            <w:pPr>
              <w:pStyle w:val="ARfintablecolhead"/>
              <w:rPr>
                <w:highlight w:val="green"/>
              </w:rPr>
            </w:pPr>
          </w:p>
        </w:tc>
        <w:tc>
          <w:tcPr>
            <w:tcW w:w="1361" w:type="dxa"/>
            <w:shd w:val="clear" w:color="auto" w:fill="EEEEEF" w:themeFill="accent4"/>
            <w:hideMark/>
          </w:tcPr>
          <w:p w14:paraId="55910685" w14:textId="77777777" w:rsidR="00265792" w:rsidRPr="00877468" w:rsidRDefault="00265792">
            <w:pPr>
              <w:pStyle w:val="ARfintablecolheadright"/>
            </w:pPr>
            <w:r w:rsidRPr="00877468">
              <w:t>202</w:t>
            </w:r>
            <w:r>
              <w:t>5</w:t>
            </w:r>
          </w:p>
          <w:p w14:paraId="37B40943" w14:textId="77777777" w:rsidR="00265792" w:rsidRPr="00877468" w:rsidRDefault="00265792">
            <w:pPr>
              <w:pStyle w:val="ARfintablecolheadright"/>
            </w:pPr>
            <w:r w:rsidRPr="00877468">
              <w:t>$M</w:t>
            </w:r>
          </w:p>
        </w:tc>
        <w:tc>
          <w:tcPr>
            <w:tcW w:w="1361" w:type="dxa"/>
            <w:hideMark/>
          </w:tcPr>
          <w:p w14:paraId="10D42D3A" w14:textId="77777777" w:rsidR="00265792" w:rsidRPr="00877468" w:rsidRDefault="00265792">
            <w:pPr>
              <w:pStyle w:val="ARfintablecolheadright"/>
            </w:pPr>
            <w:r w:rsidRPr="00877468">
              <w:t>202</w:t>
            </w:r>
            <w:r>
              <w:t>4</w:t>
            </w:r>
          </w:p>
          <w:p w14:paraId="36D7D466" w14:textId="77777777" w:rsidR="00265792" w:rsidRPr="00877468" w:rsidRDefault="00265792">
            <w:pPr>
              <w:pStyle w:val="ARfintablecolheadright"/>
            </w:pPr>
            <w:r w:rsidRPr="00877468">
              <w:t>$M</w:t>
            </w:r>
          </w:p>
        </w:tc>
      </w:tr>
      <w:tr w:rsidR="00265792" w:rsidRPr="00BA7805" w14:paraId="3546F614" w14:textId="77777777" w:rsidTr="00AD31FF">
        <w:tc>
          <w:tcPr>
            <w:tcW w:w="6915" w:type="dxa"/>
          </w:tcPr>
          <w:p w14:paraId="3580E473" w14:textId="77777777" w:rsidR="00265792" w:rsidRPr="00BA7805" w:rsidRDefault="00265792" w:rsidP="00FA2D26">
            <w:pPr>
              <w:pStyle w:val="ARfintablebody"/>
              <w:rPr>
                <w:highlight w:val="green"/>
              </w:rPr>
            </w:pPr>
            <w:r w:rsidRPr="00EE656F">
              <w:t>Rental income</w:t>
            </w:r>
          </w:p>
        </w:tc>
        <w:tc>
          <w:tcPr>
            <w:tcW w:w="1361" w:type="dxa"/>
            <w:shd w:val="clear" w:color="auto" w:fill="EEEEEF" w:themeFill="accent4"/>
            <w:noWrap/>
          </w:tcPr>
          <w:p w14:paraId="2CC8DD2E" w14:textId="77777777" w:rsidR="00265792" w:rsidRPr="00BA7805" w:rsidRDefault="00265792" w:rsidP="00FA2D26">
            <w:pPr>
              <w:pStyle w:val="ARfintablebodyright"/>
              <w:rPr>
                <w:highlight w:val="green"/>
              </w:rPr>
            </w:pPr>
            <w:r w:rsidRPr="00EE656F">
              <w:t>1,181.2</w:t>
            </w:r>
          </w:p>
        </w:tc>
        <w:tc>
          <w:tcPr>
            <w:tcW w:w="1361" w:type="dxa"/>
            <w:noWrap/>
          </w:tcPr>
          <w:p w14:paraId="30D9F98A" w14:textId="77777777" w:rsidR="00265792" w:rsidRPr="00BA7805" w:rsidRDefault="00265792" w:rsidP="00FA2D26">
            <w:pPr>
              <w:pStyle w:val="ARfintablebodyright"/>
              <w:rPr>
                <w:highlight w:val="green"/>
              </w:rPr>
            </w:pPr>
            <w:r w:rsidRPr="00EE656F">
              <w:t>1,052.2</w:t>
            </w:r>
          </w:p>
        </w:tc>
      </w:tr>
      <w:tr w:rsidR="00265792" w:rsidRPr="00BA7805" w14:paraId="40E67EE8" w14:textId="77777777" w:rsidTr="00AD31FF">
        <w:tc>
          <w:tcPr>
            <w:tcW w:w="6915" w:type="dxa"/>
            <w:tcBorders>
              <w:bottom w:val="single" w:sz="4" w:space="0" w:color="A6A6A6" w:themeColor="accent5"/>
            </w:tcBorders>
          </w:tcPr>
          <w:p w14:paraId="7E5B3A06" w14:textId="77777777" w:rsidR="00265792" w:rsidRPr="00BA7805" w:rsidRDefault="00265792" w:rsidP="00FA2D26">
            <w:pPr>
              <w:pStyle w:val="ARfintablebody"/>
              <w:rPr>
                <w:highlight w:val="green"/>
              </w:rPr>
            </w:pPr>
            <w:r w:rsidRPr="00EE656F">
              <w:t>Rental rebates</w:t>
            </w:r>
          </w:p>
        </w:tc>
        <w:tc>
          <w:tcPr>
            <w:tcW w:w="1361" w:type="dxa"/>
            <w:tcBorders>
              <w:bottom w:val="single" w:sz="4" w:space="0" w:color="A6A6A6" w:themeColor="accent5"/>
            </w:tcBorders>
            <w:shd w:val="clear" w:color="auto" w:fill="EEEEEF" w:themeFill="accent4"/>
            <w:noWrap/>
          </w:tcPr>
          <w:p w14:paraId="0CCDF371" w14:textId="77777777" w:rsidR="00265792" w:rsidRPr="00BA7805" w:rsidRDefault="00265792" w:rsidP="00FA2D26">
            <w:pPr>
              <w:pStyle w:val="ARfintablebodyright"/>
              <w:rPr>
                <w:highlight w:val="green"/>
              </w:rPr>
            </w:pPr>
            <w:r w:rsidRPr="00EE656F">
              <w:t>(583.2)</w:t>
            </w:r>
          </w:p>
        </w:tc>
        <w:tc>
          <w:tcPr>
            <w:tcW w:w="1361" w:type="dxa"/>
            <w:tcBorders>
              <w:bottom w:val="single" w:sz="4" w:space="0" w:color="A6A6A6" w:themeColor="accent5"/>
            </w:tcBorders>
            <w:noWrap/>
          </w:tcPr>
          <w:p w14:paraId="5400E1E2" w14:textId="77777777" w:rsidR="00265792" w:rsidRPr="00BA7805" w:rsidRDefault="00265792" w:rsidP="00FA2D26">
            <w:pPr>
              <w:pStyle w:val="ARfintablebodyright"/>
              <w:rPr>
                <w:highlight w:val="green"/>
              </w:rPr>
            </w:pPr>
            <w:r w:rsidRPr="00EE656F">
              <w:t>(493.0)</w:t>
            </w:r>
          </w:p>
        </w:tc>
      </w:tr>
      <w:tr w:rsidR="00265792" w:rsidRPr="00BA7805" w14:paraId="75B6A286" w14:textId="77777777" w:rsidTr="00AD31FF">
        <w:tc>
          <w:tcPr>
            <w:tcW w:w="6915" w:type="dxa"/>
            <w:tcBorders>
              <w:top w:val="single" w:sz="4" w:space="0" w:color="A6A6A6" w:themeColor="accent5"/>
              <w:bottom w:val="single" w:sz="4" w:space="0" w:color="000000" w:themeColor="text1"/>
            </w:tcBorders>
          </w:tcPr>
          <w:p w14:paraId="659F6205" w14:textId="77777777" w:rsidR="00265792" w:rsidRPr="00BA7805" w:rsidRDefault="00265792" w:rsidP="00FA2D26">
            <w:pPr>
              <w:pStyle w:val="ARfintablebody"/>
              <w:rPr>
                <w:highlight w:val="green"/>
              </w:rPr>
            </w:pPr>
            <w:r w:rsidRPr="00EE656F">
              <w:t xml:space="preserve">Rental subsidies </w:t>
            </w:r>
          </w:p>
        </w:tc>
        <w:tc>
          <w:tcPr>
            <w:tcW w:w="1361" w:type="dxa"/>
            <w:tcBorders>
              <w:top w:val="single" w:sz="4" w:space="0" w:color="A6A6A6" w:themeColor="accent5"/>
              <w:bottom w:val="single" w:sz="4" w:space="0" w:color="000000" w:themeColor="text1"/>
            </w:tcBorders>
            <w:shd w:val="clear" w:color="auto" w:fill="EEEEEF" w:themeFill="accent4"/>
            <w:noWrap/>
          </w:tcPr>
          <w:p w14:paraId="2E804E8E" w14:textId="77777777" w:rsidR="00265792" w:rsidRPr="00BA7805" w:rsidRDefault="00265792" w:rsidP="00FA2D26">
            <w:pPr>
              <w:pStyle w:val="ARfintablebodyright"/>
              <w:rPr>
                <w:highlight w:val="green"/>
              </w:rPr>
            </w:pPr>
            <w:r w:rsidRPr="00EE656F">
              <w:t>(10.6)</w:t>
            </w:r>
          </w:p>
        </w:tc>
        <w:tc>
          <w:tcPr>
            <w:tcW w:w="1361" w:type="dxa"/>
            <w:tcBorders>
              <w:top w:val="single" w:sz="4" w:space="0" w:color="A6A6A6" w:themeColor="accent5"/>
              <w:bottom w:val="single" w:sz="4" w:space="0" w:color="000000" w:themeColor="text1"/>
            </w:tcBorders>
            <w:noWrap/>
          </w:tcPr>
          <w:p w14:paraId="0B527747" w14:textId="77777777" w:rsidR="00265792" w:rsidRPr="00BA7805" w:rsidRDefault="00265792" w:rsidP="00FA2D26">
            <w:pPr>
              <w:pStyle w:val="ARfintablebodyright"/>
              <w:rPr>
                <w:highlight w:val="green"/>
              </w:rPr>
            </w:pPr>
            <w:r w:rsidRPr="00EE656F">
              <w:t>(10.5)</w:t>
            </w:r>
          </w:p>
        </w:tc>
      </w:tr>
      <w:tr w:rsidR="00265792" w:rsidRPr="00BA7805" w14:paraId="1EFB54DE" w14:textId="77777777" w:rsidTr="00AD31FF">
        <w:tc>
          <w:tcPr>
            <w:tcW w:w="6915" w:type="dxa"/>
            <w:tcBorders>
              <w:top w:val="single" w:sz="4" w:space="0" w:color="000000" w:themeColor="text1"/>
              <w:bottom w:val="single" w:sz="4" w:space="0" w:color="A6A6A6" w:themeColor="accent5"/>
            </w:tcBorders>
          </w:tcPr>
          <w:p w14:paraId="7A85F6AC" w14:textId="77777777" w:rsidR="00265792" w:rsidRPr="00BA7805" w:rsidRDefault="00265792" w:rsidP="00C94F6E">
            <w:pPr>
              <w:pStyle w:val="ARfintablebodybold"/>
              <w:rPr>
                <w:highlight w:val="green"/>
              </w:rPr>
            </w:pPr>
            <w:r w:rsidRPr="00EE656F">
              <w:t>Total net rental</w:t>
            </w:r>
          </w:p>
        </w:tc>
        <w:tc>
          <w:tcPr>
            <w:tcW w:w="1361" w:type="dxa"/>
            <w:tcBorders>
              <w:top w:val="single" w:sz="4" w:space="0" w:color="000000" w:themeColor="text1"/>
              <w:bottom w:val="single" w:sz="4" w:space="0" w:color="A6A6A6" w:themeColor="accent5"/>
            </w:tcBorders>
            <w:shd w:val="clear" w:color="auto" w:fill="EEEEEF" w:themeFill="accent4"/>
            <w:noWrap/>
          </w:tcPr>
          <w:p w14:paraId="00551867" w14:textId="77777777" w:rsidR="00265792" w:rsidRPr="00BA7805" w:rsidRDefault="00265792" w:rsidP="00A115EA">
            <w:pPr>
              <w:pStyle w:val="ARfintablebodyrightbold"/>
              <w:rPr>
                <w:highlight w:val="green"/>
              </w:rPr>
            </w:pPr>
            <w:r w:rsidRPr="00EE656F">
              <w:t>587.4</w:t>
            </w:r>
          </w:p>
        </w:tc>
        <w:tc>
          <w:tcPr>
            <w:tcW w:w="1361" w:type="dxa"/>
            <w:tcBorders>
              <w:top w:val="single" w:sz="4" w:space="0" w:color="000000" w:themeColor="text1"/>
              <w:bottom w:val="single" w:sz="4" w:space="0" w:color="A6A6A6" w:themeColor="accent5"/>
            </w:tcBorders>
            <w:noWrap/>
          </w:tcPr>
          <w:p w14:paraId="5B95DAE4" w14:textId="77777777" w:rsidR="00265792" w:rsidRPr="00BA7805" w:rsidRDefault="00265792" w:rsidP="00A115EA">
            <w:pPr>
              <w:pStyle w:val="ARfintablebodyrightbold"/>
              <w:rPr>
                <w:highlight w:val="green"/>
              </w:rPr>
            </w:pPr>
            <w:r w:rsidRPr="00EE656F">
              <w:t>548.7</w:t>
            </w:r>
          </w:p>
        </w:tc>
      </w:tr>
      <w:tr w:rsidR="00265792" w:rsidRPr="00BA7805" w14:paraId="19B9EDF1" w14:textId="77777777" w:rsidTr="00AD31FF">
        <w:tc>
          <w:tcPr>
            <w:tcW w:w="6915" w:type="dxa"/>
          </w:tcPr>
          <w:p w14:paraId="2AF38A10" w14:textId="77777777" w:rsidR="00265792" w:rsidRPr="00BA7805" w:rsidRDefault="00265792" w:rsidP="00FA2D26">
            <w:pPr>
              <w:pStyle w:val="ARfintablebody"/>
              <w:rPr>
                <w:highlight w:val="green"/>
              </w:rPr>
            </w:pPr>
            <w:r w:rsidRPr="00EE656F">
              <w:t xml:space="preserve">Total user charges </w:t>
            </w:r>
            <w:r>
              <w:t>–</w:t>
            </w:r>
            <w:r w:rsidRPr="00EE656F">
              <w:t xml:space="preserve"> rental properties</w:t>
            </w:r>
          </w:p>
        </w:tc>
        <w:tc>
          <w:tcPr>
            <w:tcW w:w="1361" w:type="dxa"/>
            <w:shd w:val="clear" w:color="auto" w:fill="EEEEEF" w:themeFill="accent4"/>
            <w:noWrap/>
          </w:tcPr>
          <w:p w14:paraId="5C04513E" w14:textId="77777777" w:rsidR="00265792" w:rsidRPr="00BA7805" w:rsidRDefault="00265792" w:rsidP="00FA2D26">
            <w:pPr>
              <w:pStyle w:val="ARfintablebodyright"/>
              <w:rPr>
                <w:highlight w:val="green"/>
              </w:rPr>
            </w:pPr>
            <w:r w:rsidRPr="00EE656F">
              <w:t>6.7</w:t>
            </w:r>
          </w:p>
        </w:tc>
        <w:tc>
          <w:tcPr>
            <w:tcW w:w="1361" w:type="dxa"/>
            <w:noWrap/>
          </w:tcPr>
          <w:p w14:paraId="2CAD91AA" w14:textId="77777777" w:rsidR="00265792" w:rsidRPr="00BA7805" w:rsidRDefault="00265792" w:rsidP="00FA2D26">
            <w:pPr>
              <w:pStyle w:val="ARfintablebodyright"/>
              <w:rPr>
                <w:highlight w:val="green"/>
              </w:rPr>
            </w:pPr>
            <w:r w:rsidRPr="00EE656F">
              <w:t>6.8</w:t>
            </w:r>
          </w:p>
        </w:tc>
      </w:tr>
      <w:tr w:rsidR="00265792" w:rsidRPr="00BA7805" w14:paraId="3C9ADFBB" w14:textId="77777777" w:rsidTr="00AD31FF">
        <w:tc>
          <w:tcPr>
            <w:tcW w:w="6915" w:type="dxa"/>
          </w:tcPr>
          <w:p w14:paraId="0CE9FF76" w14:textId="77777777" w:rsidR="00265792" w:rsidRPr="00EE656F" w:rsidRDefault="00265792" w:rsidP="00C94F6E">
            <w:pPr>
              <w:pStyle w:val="ARfintablebody"/>
            </w:pPr>
            <w:r w:rsidRPr="00977C59">
              <w:t>Rendering of services</w:t>
            </w:r>
          </w:p>
        </w:tc>
        <w:tc>
          <w:tcPr>
            <w:tcW w:w="1361" w:type="dxa"/>
            <w:shd w:val="clear" w:color="auto" w:fill="EEEEEF" w:themeFill="accent4"/>
            <w:noWrap/>
          </w:tcPr>
          <w:p w14:paraId="07F9FB3B" w14:textId="77777777" w:rsidR="00265792" w:rsidRPr="00EE656F" w:rsidRDefault="00265792" w:rsidP="00C94F6E">
            <w:pPr>
              <w:pStyle w:val="ARfintablebodyright"/>
            </w:pPr>
            <w:r w:rsidRPr="00977C59">
              <w:t>0.5</w:t>
            </w:r>
          </w:p>
        </w:tc>
        <w:tc>
          <w:tcPr>
            <w:tcW w:w="1361" w:type="dxa"/>
            <w:noWrap/>
          </w:tcPr>
          <w:p w14:paraId="1C27C41A" w14:textId="77777777" w:rsidR="00265792" w:rsidRPr="00EE656F" w:rsidRDefault="00265792" w:rsidP="00C94F6E">
            <w:pPr>
              <w:pStyle w:val="ARfintablebodyright"/>
            </w:pPr>
            <w:r w:rsidRPr="00977C59">
              <w:t>0.2</w:t>
            </w:r>
          </w:p>
        </w:tc>
      </w:tr>
      <w:tr w:rsidR="00265792" w:rsidRPr="00BA7805" w14:paraId="165BB8FE" w14:textId="77777777" w:rsidTr="00AD31FF">
        <w:trPr>
          <w:cnfStyle w:val="010000000000" w:firstRow="0" w:lastRow="1" w:firstColumn="0" w:lastColumn="0" w:oddVBand="0" w:evenVBand="0" w:oddHBand="0" w:evenHBand="0" w:firstRowFirstColumn="0" w:firstRowLastColumn="0" w:lastRowFirstColumn="0" w:lastRowLastColumn="0"/>
        </w:trPr>
        <w:tc>
          <w:tcPr>
            <w:tcW w:w="6915" w:type="dxa"/>
          </w:tcPr>
          <w:p w14:paraId="1C85CAF3" w14:textId="77777777" w:rsidR="00265792" w:rsidRPr="00EE656F" w:rsidRDefault="00265792" w:rsidP="00C94F6E">
            <w:pPr>
              <w:pStyle w:val="ARfintablebodybold"/>
            </w:pPr>
            <w:r w:rsidRPr="00977C59">
              <w:t>Total rental income</w:t>
            </w:r>
          </w:p>
        </w:tc>
        <w:tc>
          <w:tcPr>
            <w:tcW w:w="1361" w:type="dxa"/>
            <w:shd w:val="clear" w:color="auto" w:fill="EEEEEF" w:themeFill="accent4"/>
            <w:noWrap/>
          </w:tcPr>
          <w:p w14:paraId="53C780BA" w14:textId="77777777" w:rsidR="00265792" w:rsidRPr="00EE656F" w:rsidRDefault="00265792" w:rsidP="00A115EA">
            <w:pPr>
              <w:pStyle w:val="ARfintablebodyrightbold"/>
            </w:pPr>
            <w:r w:rsidRPr="00977C59">
              <w:t>594.6</w:t>
            </w:r>
          </w:p>
        </w:tc>
        <w:tc>
          <w:tcPr>
            <w:tcW w:w="1361" w:type="dxa"/>
            <w:noWrap/>
          </w:tcPr>
          <w:p w14:paraId="27A23F1B" w14:textId="77777777" w:rsidR="00265792" w:rsidRPr="00EE656F" w:rsidRDefault="00265792" w:rsidP="00A115EA">
            <w:pPr>
              <w:pStyle w:val="ARfintablebodyrightbold"/>
            </w:pPr>
            <w:r w:rsidRPr="00977C59">
              <w:t>555.5</w:t>
            </w:r>
          </w:p>
        </w:tc>
      </w:tr>
    </w:tbl>
    <w:p w14:paraId="57D49501" w14:textId="77777777" w:rsidR="00265792" w:rsidRDefault="00265792" w:rsidP="00FD4AAF">
      <w:pPr>
        <w:pStyle w:val="ARfinbodyafterandbeforetable"/>
      </w:pPr>
      <w:r w:rsidRPr="00FD4AAF">
        <w:rPr>
          <w:rStyle w:val="Strong"/>
        </w:rPr>
        <w:t>Rental income, rebates and subsidies</w:t>
      </w:r>
      <w:r>
        <w:t xml:space="preserve"> arising from tenancy operating agreements are raised weekly. Rebates are used to limit the percentage of each tenant’s income attributable to rent. Market rent is reviewed on an annual basis as per the </w:t>
      </w:r>
      <w:r w:rsidRPr="00E15716">
        <w:rPr>
          <w:rStyle w:val="Emphasis"/>
        </w:rPr>
        <w:t>Residential Tenancy Act 1997</w:t>
      </w:r>
      <w:r>
        <w:t xml:space="preserve"> and rebates are reviewed bi-annually.</w:t>
      </w:r>
    </w:p>
    <w:p w14:paraId="11653210" w14:textId="77777777" w:rsidR="00265792" w:rsidRPr="005956C8" w:rsidRDefault="00265792" w:rsidP="00FD4AAF">
      <w:pPr>
        <w:pStyle w:val="ARfinbody"/>
        <w:rPr>
          <w:highlight w:val="green"/>
        </w:rPr>
      </w:pPr>
      <w:r>
        <w:t xml:space="preserve">Homes Victoria provides rental accommodation for a range of clients. These are public rental units that are largely owned and operated by the Homes Victoria which have week-to-week tenancy agreements with people on low incomes that are most in need, especially those who have recently experienced homelessness, family violence or have other special needs. These agreements are subject to the </w:t>
      </w:r>
      <w:r w:rsidRPr="00E15716">
        <w:rPr>
          <w:rStyle w:val="Emphasis"/>
        </w:rPr>
        <w:t>Residential Tenancy Act 1997</w:t>
      </w:r>
      <w:r>
        <w:t xml:space="preserve"> provisions which allow termination of a lease under certain circumstances.</w:t>
      </w:r>
    </w:p>
    <w:p w14:paraId="723E5C76" w14:textId="77777777" w:rsidR="00265792" w:rsidRPr="00BA7805" w:rsidRDefault="00265792">
      <w:pPr>
        <w:pStyle w:val="ARfinbody"/>
        <w:rPr>
          <w:highlight w:val="green"/>
        </w:rPr>
      </w:pPr>
      <w:r w:rsidRPr="00BA7805">
        <w:rPr>
          <w:highlight w:val="green"/>
        </w:rPr>
        <w:br w:type="page"/>
      </w:r>
    </w:p>
    <w:p w14:paraId="5D6E141A" w14:textId="77777777" w:rsidR="00265792" w:rsidRPr="00157D2A" w:rsidRDefault="00265792" w:rsidP="00207901">
      <w:pPr>
        <w:pStyle w:val="Heading5"/>
      </w:pPr>
      <w:r w:rsidRPr="00157D2A">
        <w:lastRenderedPageBreak/>
        <w:t>2.4.2 Grants</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72757CBA" w14:textId="77777777" w:rsidTr="008C6592">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6305FF63" w14:textId="77777777" w:rsidR="00265792" w:rsidRPr="00BA7805" w:rsidRDefault="00265792">
            <w:pPr>
              <w:pStyle w:val="ARfintablecolhead"/>
              <w:rPr>
                <w:highlight w:val="green"/>
              </w:rPr>
            </w:pPr>
          </w:p>
        </w:tc>
        <w:tc>
          <w:tcPr>
            <w:tcW w:w="1361" w:type="dxa"/>
            <w:shd w:val="clear" w:color="auto" w:fill="EEEEEF" w:themeFill="accent4"/>
            <w:hideMark/>
          </w:tcPr>
          <w:p w14:paraId="78235FEA" w14:textId="77777777" w:rsidR="00265792" w:rsidRPr="001E6BD1" w:rsidRDefault="00265792">
            <w:pPr>
              <w:pStyle w:val="ARfintablecolheadright"/>
            </w:pPr>
            <w:r w:rsidRPr="001E6BD1">
              <w:t>202</w:t>
            </w:r>
            <w:r>
              <w:t>5</w:t>
            </w:r>
          </w:p>
          <w:p w14:paraId="002383E1" w14:textId="77777777" w:rsidR="00265792" w:rsidRPr="001E6BD1" w:rsidRDefault="00265792">
            <w:pPr>
              <w:pStyle w:val="ARfintablecolheadright"/>
            </w:pPr>
            <w:r w:rsidRPr="001E6BD1">
              <w:t>$M</w:t>
            </w:r>
          </w:p>
        </w:tc>
        <w:tc>
          <w:tcPr>
            <w:tcW w:w="1361" w:type="dxa"/>
            <w:hideMark/>
          </w:tcPr>
          <w:p w14:paraId="6D87098E" w14:textId="77777777" w:rsidR="00265792" w:rsidRPr="001E6BD1" w:rsidRDefault="00265792">
            <w:pPr>
              <w:pStyle w:val="ARfintablecolheadright"/>
            </w:pPr>
            <w:r w:rsidRPr="001E6BD1">
              <w:t>202</w:t>
            </w:r>
            <w:r>
              <w:t>4</w:t>
            </w:r>
          </w:p>
          <w:p w14:paraId="70867CFA" w14:textId="77777777" w:rsidR="00265792" w:rsidRPr="001E6BD1" w:rsidRDefault="00265792">
            <w:pPr>
              <w:pStyle w:val="ARfintablecolheadright"/>
            </w:pPr>
            <w:r w:rsidRPr="001E6BD1">
              <w:t>$M</w:t>
            </w:r>
          </w:p>
        </w:tc>
      </w:tr>
      <w:tr w:rsidR="00265792" w:rsidRPr="00BA7805" w14:paraId="1287BFB2" w14:textId="77777777" w:rsidTr="00AD31FF">
        <w:tc>
          <w:tcPr>
            <w:tcW w:w="6915" w:type="dxa"/>
          </w:tcPr>
          <w:p w14:paraId="203ED9CB" w14:textId="77777777" w:rsidR="00265792" w:rsidRPr="00BA7805" w:rsidRDefault="00265792" w:rsidP="003767F1">
            <w:pPr>
              <w:pStyle w:val="ARfintablebody"/>
              <w:rPr>
                <w:highlight w:val="green"/>
              </w:rPr>
            </w:pPr>
            <w:r w:rsidRPr="0064167A">
              <w:t>Income recognised under AASB 1058</w:t>
            </w:r>
          </w:p>
        </w:tc>
        <w:tc>
          <w:tcPr>
            <w:tcW w:w="1361" w:type="dxa"/>
            <w:shd w:val="clear" w:color="auto" w:fill="EEEEEF" w:themeFill="accent4"/>
            <w:noWrap/>
          </w:tcPr>
          <w:p w14:paraId="2635FBB7" w14:textId="77777777" w:rsidR="00265792" w:rsidRPr="00BA7805" w:rsidRDefault="00265792" w:rsidP="003767F1">
            <w:pPr>
              <w:pStyle w:val="ARfintablebodyright"/>
              <w:rPr>
                <w:highlight w:val="green"/>
              </w:rPr>
            </w:pPr>
            <w:r w:rsidRPr="0064167A">
              <w:t>285.3</w:t>
            </w:r>
          </w:p>
        </w:tc>
        <w:tc>
          <w:tcPr>
            <w:tcW w:w="1361" w:type="dxa"/>
            <w:noWrap/>
          </w:tcPr>
          <w:p w14:paraId="00067373" w14:textId="77777777" w:rsidR="00265792" w:rsidRPr="00BA7805" w:rsidRDefault="00265792" w:rsidP="003767F1">
            <w:pPr>
              <w:pStyle w:val="ARfintablebodyright"/>
              <w:rPr>
                <w:highlight w:val="green"/>
              </w:rPr>
            </w:pPr>
            <w:r w:rsidRPr="0064167A">
              <w:t>418.2</w:t>
            </w:r>
          </w:p>
        </w:tc>
      </w:tr>
      <w:tr w:rsidR="00265792" w:rsidRPr="00BA7805" w14:paraId="20E42B9B" w14:textId="77777777" w:rsidTr="00AD31FF">
        <w:tc>
          <w:tcPr>
            <w:tcW w:w="6915" w:type="dxa"/>
          </w:tcPr>
          <w:p w14:paraId="7CD1DCFD" w14:textId="77777777" w:rsidR="00265792" w:rsidRPr="00BA7805" w:rsidRDefault="00265792" w:rsidP="00A221F1">
            <w:pPr>
              <w:pStyle w:val="ARfintablebodybold"/>
              <w:rPr>
                <w:highlight w:val="green"/>
              </w:rPr>
            </w:pPr>
            <w:r w:rsidRPr="0064167A">
              <w:t>Total grants</w:t>
            </w:r>
          </w:p>
        </w:tc>
        <w:tc>
          <w:tcPr>
            <w:tcW w:w="1361" w:type="dxa"/>
            <w:shd w:val="clear" w:color="auto" w:fill="EEEEEF" w:themeFill="accent4"/>
            <w:noWrap/>
          </w:tcPr>
          <w:p w14:paraId="1A17CECA" w14:textId="77777777" w:rsidR="00265792" w:rsidRPr="00BA7805" w:rsidRDefault="00265792" w:rsidP="00A221F1">
            <w:pPr>
              <w:pStyle w:val="ARfintablebodyrightbold"/>
              <w:rPr>
                <w:highlight w:val="green"/>
              </w:rPr>
            </w:pPr>
            <w:r w:rsidRPr="0064167A">
              <w:t>285.3</w:t>
            </w:r>
          </w:p>
        </w:tc>
        <w:tc>
          <w:tcPr>
            <w:tcW w:w="1361" w:type="dxa"/>
            <w:noWrap/>
          </w:tcPr>
          <w:p w14:paraId="1E64ECFB" w14:textId="77777777" w:rsidR="00265792" w:rsidRPr="00BA7805" w:rsidRDefault="00265792" w:rsidP="00A221F1">
            <w:pPr>
              <w:pStyle w:val="ARfintablebodyrightbold"/>
              <w:rPr>
                <w:highlight w:val="green"/>
              </w:rPr>
            </w:pPr>
            <w:r w:rsidRPr="0064167A">
              <w:t>418.2</w:t>
            </w:r>
          </w:p>
        </w:tc>
      </w:tr>
      <w:tr w:rsidR="00265792" w:rsidRPr="00BA7805" w14:paraId="2EBBD6CF" w14:textId="77777777" w:rsidTr="008C6592">
        <w:tc>
          <w:tcPr>
            <w:tcW w:w="6915" w:type="dxa"/>
          </w:tcPr>
          <w:p w14:paraId="6C69ABA7" w14:textId="77777777" w:rsidR="00265792" w:rsidRPr="00BA7805" w:rsidRDefault="00265792" w:rsidP="003767F1">
            <w:pPr>
              <w:pStyle w:val="ARfintablebody"/>
              <w:rPr>
                <w:highlight w:val="green"/>
              </w:rPr>
            </w:pPr>
          </w:p>
        </w:tc>
        <w:tc>
          <w:tcPr>
            <w:tcW w:w="1361" w:type="dxa"/>
            <w:noWrap/>
          </w:tcPr>
          <w:p w14:paraId="2CEB1769" w14:textId="77777777" w:rsidR="00265792" w:rsidRPr="00BA7805" w:rsidRDefault="00265792" w:rsidP="003767F1">
            <w:pPr>
              <w:pStyle w:val="ARfintablebodyright"/>
              <w:rPr>
                <w:highlight w:val="green"/>
              </w:rPr>
            </w:pPr>
          </w:p>
        </w:tc>
        <w:tc>
          <w:tcPr>
            <w:tcW w:w="1361" w:type="dxa"/>
            <w:noWrap/>
          </w:tcPr>
          <w:p w14:paraId="51EDE6CB" w14:textId="77777777" w:rsidR="00265792" w:rsidRPr="00BA7805" w:rsidRDefault="00265792" w:rsidP="003767F1">
            <w:pPr>
              <w:pStyle w:val="ARfintablebodyright"/>
              <w:rPr>
                <w:highlight w:val="green"/>
              </w:rPr>
            </w:pPr>
          </w:p>
        </w:tc>
      </w:tr>
      <w:tr w:rsidR="00265792" w:rsidRPr="00BA7805" w14:paraId="44919307" w14:textId="77777777" w:rsidTr="008C6592">
        <w:tc>
          <w:tcPr>
            <w:tcW w:w="6915" w:type="dxa"/>
          </w:tcPr>
          <w:p w14:paraId="772C8D9A" w14:textId="77777777" w:rsidR="00265792" w:rsidRPr="00BA7805" w:rsidRDefault="00265792" w:rsidP="003767F1">
            <w:pPr>
              <w:pStyle w:val="ARfintablebodyboldcoloured"/>
              <w:rPr>
                <w:highlight w:val="green"/>
              </w:rPr>
            </w:pPr>
            <w:r w:rsidRPr="0064167A">
              <w:t>Represented by:</w:t>
            </w:r>
          </w:p>
        </w:tc>
        <w:tc>
          <w:tcPr>
            <w:tcW w:w="1361" w:type="dxa"/>
            <w:noWrap/>
          </w:tcPr>
          <w:p w14:paraId="034134F3" w14:textId="77777777" w:rsidR="00265792" w:rsidRPr="00BA7805" w:rsidRDefault="00265792" w:rsidP="003767F1">
            <w:pPr>
              <w:pStyle w:val="ARfintablebodyright"/>
              <w:rPr>
                <w:highlight w:val="green"/>
              </w:rPr>
            </w:pPr>
          </w:p>
        </w:tc>
        <w:tc>
          <w:tcPr>
            <w:tcW w:w="1361" w:type="dxa"/>
            <w:noWrap/>
          </w:tcPr>
          <w:p w14:paraId="7799063F" w14:textId="77777777" w:rsidR="00265792" w:rsidRPr="00BA7805" w:rsidRDefault="00265792" w:rsidP="003767F1">
            <w:pPr>
              <w:pStyle w:val="ARfintablebodyright"/>
              <w:rPr>
                <w:highlight w:val="green"/>
              </w:rPr>
            </w:pPr>
          </w:p>
        </w:tc>
      </w:tr>
      <w:tr w:rsidR="00265792" w:rsidRPr="00BA7805" w14:paraId="15427D99" w14:textId="77777777" w:rsidTr="008C6592">
        <w:tc>
          <w:tcPr>
            <w:tcW w:w="6915" w:type="dxa"/>
          </w:tcPr>
          <w:p w14:paraId="1FC252EE" w14:textId="77777777" w:rsidR="00265792" w:rsidRPr="00BA7805" w:rsidRDefault="00265792" w:rsidP="003767F1">
            <w:pPr>
              <w:pStyle w:val="ARfintablebodybold"/>
              <w:rPr>
                <w:highlight w:val="green"/>
              </w:rPr>
            </w:pPr>
            <w:r w:rsidRPr="0064167A">
              <w:t>Victorian Government</w:t>
            </w:r>
          </w:p>
        </w:tc>
        <w:tc>
          <w:tcPr>
            <w:tcW w:w="1361" w:type="dxa"/>
            <w:noWrap/>
          </w:tcPr>
          <w:p w14:paraId="7CF430B3" w14:textId="77777777" w:rsidR="00265792" w:rsidRPr="00BA7805" w:rsidRDefault="00265792" w:rsidP="003767F1">
            <w:pPr>
              <w:pStyle w:val="ARfintablebodyright"/>
              <w:rPr>
                <w:highlight w:val="green"/>
              </w:rPr>
            </w:pPr>
          </w:p>
        </w:tc>
        <w:tc>
          <w:tcPr>
            <w:tcW w:w="1361" w:type="dxa"/>
            <w:noWrap/>
          </w:tcPr>
          <w:p w14:paraId="3EFD44BB" w14:textId="77777777" w:rsidR="00265792" w:rsidRPr="00BA7805" w:rsidRDefault="00265792" w:rsidP="003767F1">
            <w:pPr>
              <w:pStyle w:val="ARfintablebodyright"/>
              <w:rPr>
                <w:highlight w:val="green"/>
              </w:rPr>
            </w:pPr>
          </w:p>
        </w:tc>
      </w:tr>
      <w:tr w:rsidR="00265792" w:rsidRPr="00BA7805" w14:paraId="06EA9821" w14:textId="77777777" w:rsidTr="00AD31FF">
        <w:tc>
          <w:tcPr>
            <w:tcW w:w="6915" w:type="dxa"/>
          </w:tcPr>
          <w:p w14:paraId="32D90AE2" w14:textId="77777777" w:rsidR="00265792" w:rsidRPr="00BA7805" w:rsidRDefault="00265792" w:rsidP="003767F1">
            <w:pPr>
              <w:pStyle w:val="ARfintablebody"/>
              <w:rPr>
                <w:highlight w:val="green"/>
              </w:rPr>
            </w:pPr>
            <w:r w:rsidRPr="0064167A">
              <w:t>Department of Treasury and Finance</w:t>
            </w:r>
          </w:p>
        </w:tc>
        <w:tc>
          <w:tcPr>
            <w:tcW w:w="1361" w:type="dxa"/>
            <w:shd w:val="clear" w:color="auto" w:fill="EEEEEF" w:themeFill="accent4"/>
            <w:noWrap/>
          </w:tcPr>
          <w:p w14:paraId="4B8351B3" w14:textId="77777777" w:rsidR="00265792" w:rsidRPr="00BA7805" w:rsidRDefault="00265792" w:rsidP="003767F1">
            <w:pPr>
              <w:pStyle w:val="ARfintablebodyright"/>
              <w:rPr>
                <w:highlight w:val="green"/>
              </w:rPr>
            </w:pPr>
            <w:r w:rsidRPr="0064167A">
              <w:t>237.5</w:t>
            </w:r>
          </w:p>
        </w:tc>
        <w:tc>
          <w:tcPr>
            <w:tcW w:w="1361" w:type="dxa"/>
            <w:noWrap/>
          </w:tcPr>
          <w:p w14:paraId="07E21274" w14:textId="77777777" w:rsidR="00265792" w:rsidRPr="00BA7805" w:rsidRDefault="00265792" w:rsidP="003767F1">
            <w:pPr>
              <w:pStyle w:val="ARfintablebodyright"/>
              <w:rPr>
                <w:highlight w:val="green"/>
              </w:rPr>
            </w:pPr>
            <w:r w:rsidRPr="0064167A">
              <w:t>375.9</w:t>
            </w:r>
          </w:p>
        </w:tc>
      </w:tr>
      <w:tr w:rsidR="00265792" w:rsidRPr="00BA7805" w14:paraId="2807EFAA" w14:textId="77777777" w:rsidTr="00AD31FF">
        <w:tc>
          <w:tcPr>
            <w:tcW w:w="6915" w:type="dxa"/>
          </w:tcPr>
          <w:p w14:paraId="70DACF00" w14:textId="77777777" w:rsidR="00265792" w:rsidRPr="00BA7805" w:rsidRDefault="00265792" w:rsidP="003767F1">
            <w:pPr>
              <w:pStyle w:val="ARfintablebody"/>
              <w:rPr>
                <w:highlight w:val="green"/>
              </w:rPr>
            </w:pPr>
            <w:r w:rsidRPr="0064167A">
              <w:t>Department of Health</w:t>
            </w:r>
          </w:p>
        </w:tc>
        <w:tc>
          <w:tcPr>
            <w:tcW w:w="1361" w:type="dxa"/>
            <w:shd w:val="clear" w:color="auto" w:fill="EEEEEF" w:themeFill="accent4"/>
            <w:noWrap/>
          </w:tcPr>
          <w:p w14:paraId="154428DD" w14:textId="77777777" w:rsidR="00265792" w:rsidRPr="00BA7805" w:rsidRDefault="00265792" w:rsidP="003767F1">
            <w:pPr>
              <w:pStyle w:val="ARfintablebodyright"/>
              <w:rPr>
                <w:highlight w:val="green"/>
              </w:rPr>
            </w:pPr>
            <w:r w:rsidRPr="0064167A">
              <w:t>10.7</w:t>
            </w:r>
          </w:p>
        </w:tc>
        <w:tc>
          <w:tcPr>
            <w:tcW w:w="1361" w:type="dxa"/>
            <w:noWrap/>
          </w:tcPr>
          <w:p w14:paraId="72E0757B" w14:textId="77777777" w:rsidR="00265792" w:rsidRPr="00BA7805" w:rsidRDefault="00265792" w:rsidP="003767F1">
            <w:pPr>
              <w:pStyle w:val="ARfintablebodyright"/>
              <w:rPr>
                <w:highlight w:val="green"/>
              </w:rPr>
            </w:pPr>
            <w:r w:rsidRPr="0064167A">
              <w:t>16.4</w:t>
            </w:r>
          </w:p>
        </w:tc>
      </w:tr>
      <w:tr w:rsidR="00265792" w:rsidRPr="00BA7805" w14:paraId="2250F5EB" w14:textId="77777777" w:rsidTr="00AD31FF">
        <w:tc>
          <w:tcPr>
            <w:tcW w:w="6915" w:type="dxa"/>
          </w:tcPr>
          <w:p w14:paraId="53820986" w14:textId="77777777" w:rsidR="00265792" w:rsidRPr="00BA7805" w:rsidRDefault="00265792" w:rsidP="003767F1">
            <w:pPr>
              <w:pStyle w:val="ARfintablebody"/>
              <w:rPr>
                <w:highlight w:val="green"/>
              </w:rPr>
            </w:pPr>
            <w:r w:rsidRPr="0064167A">
              <w:t>Department of Energy, Environment and Climate Action</w:t>
            </w:r>
          </w:p>
        </w:tc>
        <w:tc>
          <w:tcPr>
            <w:tcW w:w="1361" w:type="dxa"/>
            <w:shd w:val="clear" w:color="auto" w:fill="EEEEEF" w:themeFill="accent4"/>
            <w:noWrap/>
          </w:tcPr>
          <w:p w14:paraId="3EB43F6F" w14:textId="77777777" w:rsidR="00265792" w:rsidRPr="00BA7805" w:rsidRDefault="00265792" w:rsidP="003767F1">
            <w:pPr>
              <w:pStyle w:val="ARfintablebodyright"/>
              <w:rPr>
                <w:highlight w:val="green"/>
              </w:rPr>
            </w:pPr>
            <w:r w:rsidRPr="0064167A">
              <w:t>9.9</w:t>
            </w:r>
          </w:p>
        </w:tc>
        <w:tc>
          <w:tcPr>
            <w:tcW w:w="1361" w:type="dxa"/>
            <w:noWrap/>
          </w:tcPr>
          <w:p w14:paraId="23F2526D" w14:textId="77777777" w:rsidR="00265792" w:rsidRPr="00BA7805" w:rsidRDefault="00265792" w:rsidP="003767F1">
            <w:pPr>
              <w:pStyle w:val="ARfintablebodyright"/>
              <w:rPr>
                <w:highlight w:val="green"/>
              </w:rPr>
            </w:pPr>
            <w:r w:rsidRPr="0064167A">
              <w:t>12.6</w:t>
            </w:r>
          </w:p>
        </w:tc>
      </w:tr>
      <w:tr w:rsidR="00265792" w:rsidRPr="00BA7805" w14:paraId="674478CA" w14:textId="77777777" w:rsidTr="00AD31FF">
        <w:tc>
          <w:tcPr>
            <w:tcW w:w="6915" w:type="dxa"/>
          </w:tcPr>
          <w:p w14:paraId="16F6F571" w14:textId="77777777" w:rsidR="00265792" w:rsidRPr="00BA7805" w:rsidRDefault="00265792" w:rsidP="003767F1">
            <w:pPr>
              <w:pStyle w:val="ARfintablebody"/>
              <w:rPr>
                <w:highlight w:val="green"/>
              </w:rPr>
            </w:pPr>
            <w:r w:rsidRPr="0064167A">
              <w:t>Department of Justice and Community Safety</w:t>
            </w:r>
          </w:p>
        </w:tc>
        <w:tc>
          <w:tcPr>
            <w:tcW w:w="1361" w:type="dxa"/>
            <w:shd w:val="clear" w:color="auto" w:fill="EEEEEF" w:themeFill="accent4"/>
            <w:noWrap/>
          </w:tcPr>
          <w:p w14:paraId="1B32A4F4" w14:textId="77777777" w:rsidR="00265792" w:rsidRPr="00BA7805" w:rsidRDefault="00265792" w:rsidP="003767F1">
            <w:pPr>
              <w:pStyle w:val="ARfintablebodyright"/>
              <w:rPr>
                <w:highlight w:val="green"/>
              </w:rPr>
            </w:pPr>
            <w:r w:rsidRPr="0064167A">
              <w:t>4.7</w:t>
            </w:r>
          </w:p>
        </w:tc>
        <w:tc>
          <w:tcPr>
            <w:tcW w:w="1361" w:type="dxa"/>
            <w:noWrap/>
          </w:tcPr>
          <w:p w14:paraId="00EEE143" w14:textId="77777777" w:rsidR="00265792" w:rsidRPr="00BA7805" w:rsidRDefault="00265792" w:rsidP="003767F1">
            <w:pPr>
              <w:pStyle w:val="ARfintablebodyright"/>
              <w:rPr>
                <w:highlight w:val="green"/>
              </w:rPr>
            </w:pPr>
            <w:r w:rsidRPr="0064167A">
              <w:t>4.6</w:t>
            </w:r>
          </w:p>
        </w:tc>
      </w:tr>
      <w:tr w:rsidR="00265792" w:rsidRPr="00BA7805" w14:paraId="0C653CA4" w14:textId="77777777" w:rsidTr="00AD31FF">
        <w:tc>
          <w:tcPr>
            <w:tcW w:w="6915" w:type="dxa"/>
          </w:tcPr>
          <w:p w14:paraId="48DAD917" w14:textId="77777777" w:rsidR="00265792" w:rsidRPr="00BA7805" w:rsidRDefault="00265792" w:rsidP="003767F1">
            <w:pPr>
              <w:pStyle w:val="ARfintablebody"/>
              <w:rPr>
                <w:highlight w:val="green"/>
              </w:rPr>
            </w:pPr>
            <w:r w:rsidRPr="0064167A">
              <w:t>Department of Jobs, Skills, Industry and Regions</w:t>
            </w:r>
          </w:p>
        </w:tc>
        <w:tc>
          <w:tcPr>
            <w:tcW w:w="1361" w:type="dxa"/>
            <w:shd w:val="clear" w:color="auto" w:fill="EEEEEF" w:themeFill="accent4"/>
            <w:noWrap/>
          </w:tcPr>
          <w:p w14:paraId="0EC72864" w14:textId="77777777" w:rsidR="00265792" w:rsidRPr="00BA7805" w:rsidRDefault="00265792" w:rsidP="003767F1">
            <w:pPr>
              <w:pStyle w:val="ARfintablebodyright"/>
              <w:rPr>
                <w:highlight w:val="green"/>
              </w:rPr>
            </w:pPr>
            <w:r w:rsidRPr="0064167A">
              <w:t>6.2</w:t>
            </w:r>
          </w:p>
        </w:tc>
        <w:tc>
          <w:tcPr>
            <w:tcW w:w="1361" w:type="dxa"/>
            <w:noWrap/>
          </w:tcPr>
          <w:p w14:paraId="0965406D" w14:textId="77777777" w:rsidR="00265792" w:rsidRPr="00BA7805" w:rsidRDefault="00265792" w:rsidP="003767F1">
            <w:pPr>
              <w:pStyle w:val="ARfintablebodyright"/>
              <w:rPr>
                <w:highlight w:val="green"/>
              </w:rPr>
            </w:pPr>
            <w:r w:rsidRPr="0064167A">
              <w:t>5.4</w:t>
            </w:r>
          </w:p>
        </w:tc>
      </w:tr>
      <w:tr w:rsidR="00265792" w:rsidRPr="00BA7805" w14:paraId="26FFF4F5" w14:textId="77777777" w:rsidTr="00AD31FF">
        <w:tc>
          <w:tcPr>
            <w:tcW w:w="6915" w:type="dxa"/>
          </w:tcPr>
          <w:p w14:paraId="22D4050B" w14:textId="77777777" w:rsidR="00265792" w:rsidRPr="00BA7805" w:rsidRDefault="00265792" w:rsidP="003767F1">
            <w:pPr>
              <w:pStyle w:val="ARfintablebody"/>
              <w:rPr>
                <w:highlight w:val="green"/>
              </w:rPr>
            </w:pPr>
            <w:r w:rsidRPr="0064167A">
              <w:t>Department of Education</w:t>
            </w:r>
          </w:p>
        </w:tc>
        <w:tc>
          <w:tcPr>
            <w:tcW w:w="1361" w:type="dxa"/>
            <w:shd w:val="clear" w:color="auto" w:fill="EEEEEF" w:themeFill="accent4"/>
            <w:noWrap/>
          </w:tcPr>
          <w:p w14:paraId="3AD249F1" w14:textId="77777777" w:rsidR="00265792" w:rsidRPr="00BA7805" w:rsidRDefault="00265792" w:rsidP="003767F1">
            <w:pPr>
              <w:pStyle w:val="ARfintablebodyright"/>
              <w:rPr>
                <w:highlight w:val="green"/>
              </w:rPr>
            </w:pPr>
            <w:r w:rsidRPr="0064167A">
              <w:t>8.9</w:t>
            </w:r>
          </w:p>
        </w:tc>
        <w:tc>
          <w:tcPr>
            <w:tcW w:w="1361" w:type="dxa"/>
            <w:noWrap/>
          </w:tcPr>
          <w:p w14:paraId="306B7F50" w14:textId="77777777" w:rsidR="00265792" w:rsidRPr="00BA7805" w:rsidRDefault="00265792" w:rsidP="003767F1">
            <w:pPr>
              <w:pStyle w:val="ARfintablebodyright"/>
              <w:rPr>
                <w:highlight w:val="green"/>
              </w:rPr>
            </w:pPr>
            <w:r w:rsidRPr="0064167A">
              <w:t>2.5</w:t>
            </w:r>
          </w:p>
        </w:tc>
      </w:tr>
      <w:tr w:rsidR="00265792" w:rsidRPr="00BA7805" w14:paraId="17C3BF16" w14:textId="77777777" w:rsidTr="00AD31FF">
        <w:tc>
          <w:tcPr>
            <w:tcW w:w="6915" w:type="dxa"/>
          </w:tcPr>
          <w:p w14:paraId="44652D20" w14:textId="77777777" w:rsidR="00265792" w:rsidRPr="00BA7805" w:rsidRDefault="00265792" w:rsidP="003767F1">
            <w:pPr>
              <w:pStyle w:val="ARfintablebody"/>
              <w:rPr>
                <w:highlight w:val="green"/>
              </w:rPr>
            </w:pPr>
            <w:r w:rsidRPr="0064167A">
              <w:t>Department of Transport and Planning</w:t>
            </w:r>
          </w:p>
        </w:tc>
        <w:tc>
          <w:tcPr>
            <w:tcW w:w="1361" w:type="dxa"/>
            <w:shd w:val="clear" w:color="auto" w:fill="EEEEEF" w:themeFill="accent4"/>
            <w:noWrap/>
          </w:tcPr>
          <w:p w14:paraId="78810175" w14:textId="77777777" w:rsidR="00265792" w:rsidRPr="00BA7805" w:rsidRDefault="00265792" w:rsidP="003767F1">
            <w:pPr>
              <w:pStyle w:val="ARfintablebodyright"/>
              <w:rPr>
                <w:highlight w:val="green"/>
              </w:rPr>
            </w:pPr>
            <w:r w:rsidRPr="0064167A">
              <w:t>1.9</w:t>
            </w:r>
          </w:p>
        </w:tc>
        <w:tc>
          <w:tcPr>
            <w:tcW w:w="1361" w:type="dxa"/>
            <w:noWrap/>
          </w:tcPr>
          <w:p w14:paraId="0821E7BC" w14:textId="77777777" w:rsidR="00265792" w:rsidRPr="00BA7805" w:rsidRDefault="00265792" w:rsidP="003767F1">
            <w:pPr>
              <w:pStyle w:val="ARfintablebodyright"/>
              <w:rPr>
                <w:highlight w:val="green"/>
              </w:rPr>
            </w:pPr>
            <w:r>
              <w:t>–</w:t>
            </w:r>
          </w:p>
        </w:tc>
      </w:tr>
      <w:tr w:rsidR="00265792" w:rsidRPr="00BA7805" w14:paraId="0F7F46CA" w14:textId="77777777" w:rsidTr="00AD31FF">
        <w:tc>
          <w:tcPr>
            <w:tcW w:w="6915" w:type="dxa"/>
          </w:tcPr>
          <w:p w14:paraId="4B8673C7" w14:textId="77777777" w:rsidR="00265792" w:rsidRPr="00BA7805" w:rsidRDefault="00265792" w:rsidP="003767F1">
            <w:pPr>
              <w:pStyle w:val="ARfintablebody"/>
              <w:rPr>
                <w:highlight w:val="green"/>
              </w:rPr>
            </w:pPr>
            <w:r w:rsidRPr="0064167A">
              <w:t>Court Services Victoria</w:t>
            </w:r>
          </w:p>
        </w:tc>
        <w:tc>
          <w:tcPr>
            <w:tcW w:w="1361" w:type="dxa"/>
            <w:shd w:val="clear" w:color="auto" w:fill="EEEEEF" w:themeFill="accent4"/>
            <w:noWrap/>
          </w:tcPr>
          <w:p w14:paraId="00146965" w14:textId="77777777" w:rsidR="00265792" w:rsidRPr="00BA7805" w:rsidRDefault="00265792" w:rsidP="003767F1">
            <w:pPr>
              <w:pStyle w:val="ARfintablebodyright"/>
              <w:rPr>
                <w:highlight w:val="green"/>
              </w:rPr>
            </w:pPr>
            <w:r w:rsidRPr="0064167A">
              <w:t>0.3</w:t>
            </w:r>
          </w:p>
        </w:tc>
        <w:tc>
          <w:tcPr>
            <w:tcW w:w="1361" w:type="dxa"/>
            <w:noWrap/>
          </w:tcPr>
          <w:p w14:paraId="2A1C01D6" w14:textId="77777777" w:rsidR="00265792" w:rsidRPr="00BA7805" w:rsidRDefault="00265792" w:rsidP="003767F1">
            <w:pPr>
              <w:pStyle w:val="ARfintablebodyright"/>
              <w:rPr>
                <w:highlight w:val="green"/>
              </w:rPr>
            </w:pPr>
            <w:r>
              <w:t>–</w:t>
            </w:r>
          </w:p>
        </w:tc>
      </w:tr>
      <w:tr w:rsidR="00265792" w:rsidRPr="00BA7805" w14:paraId="0BBF5765" w14:textId="77777777" w:rsidTr="00AD31FF">
        <w:tc>
          <w:tcPr>
            <w:tcW w:w="6915" w:type="dxa"/>
          </w:tcPr>
          <w:p w14:paraId="20CB5E8B" w14:textId="77777777" w:rsidR="00265792" w:rsidRPr="00BA7805" w:rsidRDefault="00265792" w:rsidP="003767F1">
            <w:pPr>
              <w:pStyle w:val="ARfintablebody"/>
              <w:rPr>
                <w:highlight w:val="green"/>
              </w:rPr>
            </w:pPr>
            <w:r w:rsidRPr="0064167A">
              <w:t>Department of Premier and Cabinet</w:t>
            </w:r>
          </w:p>
        </w:tc>
        <w:tc>
          <w:tcPr>
            <w:tcW w:w="1361" w:type="dxa"/>
            <w:shd w:val="clear" w:color="auto" w:fill="EEEEEF" w:themeFill="accent4"/>
            <w:noWrap/>
          </w:tcPr>
          <w:p w14:paraId="34F6C5F3" w14:textId="77777777" w:rsidR="00265792" w:rsidRPr="00BA7805" w:rsidRDefault="00265792" w:rsidP="003767F1">
            <w:pPr>
              <w:pStyle w:val="ARfintablebodyright"/>
              <w:rPr>
                <w:highlight w:val="green"/>
              </w:rPr>
            </w:pPr>
            <w:r w:rsidRPr="0064167A">
              <w:t>0.1</w:t>
            </w:r>
          </w:p>
        </w:tc>
        <w:tc>
          <w:tcPr>
            <w:tcW w:w="1361" w:type="dxa"/>
            <w:noWrap/>
          </w:tcPr>
          <w:p w14:paraId="7A14D1BE" w14:textId="50A625B9" w:rsidR="00265792" w:rsidRPr="00BA7805" w:rsidRDefault="00444F5F" w:rsidP="003767F1">
            <w:pPr>
              <w:pStyle w:val="ARfintablebodyright"/>
              <w:rPr>
                <w:highlight w:val="green"/>
              </w:rPr>
            </w:pPr>
            <w:r>
              <w:t>–</w:t>
            </w:r>
          </w:p>
        </w:tc>
      </w:tr>
      <w:tr w:rsidR="00265792" w:rsidRPr="00BA7805" w14:paraId="70DDD743" w14:textId="77777777" w:rsidTr="00AD31FF">
        <w:tc>
          <w:tcPr>
            <w:tcW w:w="6915" w:type="dxa"/>
          </w:tcPr>
          <w:p w14:paraId="46886A6C" w14:textId="77777777" w:rsidR="00265792" w:rsidRPr="003744AB" w:rsidRDefault="00265792" w:rsidP="003767F1">
            <w:pPr>
              <w:pStyle w:val="ARfintablebody"/>
            </w:pPr>
            <w:r w:rsidRPr="0064167A">
              <w:t>Other Victorian government bodies</w:t>
            </w:r>
          </w:p>
        </w:tc>
        <w:tc>
          <w:tcPr>
            <w:tcW w:w="1361" w:type="dxa"/>
            <w:shd w:val="clear" w:color="auto" w:fill="EEEEEF" w:themeFill="accent4"/>
            <w:noWrap/>
          </w:tcPr>
          <w:p w14:paraId="7A679BEE" w14:textId="77777777" w:rsidR="00265792" w:rsidRPr="003744AB" w:rsidRDefault="00265792" w:rsidP="003767F1">
            <w:pPr>
              <w:pStyle w:val="ARfintablebodyright"/>
            </w:pPr>
            <w:r w:rsidRPr="0064167A">
              <w:t>0.4</w:t>
            </w:r>
          </w:p>
        </w:tc>
        <w:tc>
          <w:tcPr>
            <w:tcW w:w="1361" w:type="dxa"/>
            <w:noWrap/>
          </w:tcPr>
          <w:p w14:paraId="73D5EC79" w14:textId="77777777" w:rsidR="00265792" w:rsidRPr="003744AB" w:rsidRDefault="00265792" w:rsidP="003767F1">
            <w:pPr>
              <w:pStyle w:val="ARfintablebodyright"/>
            </w:pPr>
            <w:r w:rsidRPr="0064167A">
              <w:t>0.8</w:t>
            </w:r>
          </w:p>
        </w:tc>
      </w:tr>
      <w:tr w:rsidR="00265792" w:rsidRPr="00BA7805" w14:paraId="4B3E8151" w14:textId="77777777" w:rsidTr="008C6592">
        <w:tc>
          <w:tcPr>
            <w:tcW w:w="6915" w:type="dxa"/>
          </w:tcPr>
          <w:p w14:paraId="0998288B" w14:textId="77777777" w:rsidR="00265792" w:rsidRPr="00BA7805" w:rsidRDefault="00265792" w:rsidP="003767F1">
            <w:pPr>
              <w:pStyle w:val="ARfintablebodybold"/>
              <w:rPr>
                <w:highlight w:val="green"/>
              </w:rPr>
            </w:pPr>
            <w:r w:rsidRPr="0064167A">
              <w:t>Commonwealth Government</w:t>
            </w:r>
          </w:p>
        </w:tc>
        <w:tc>
          <w:tcPr>
            <w:tcW w:w="1361" w:type="dxa"/>
            <w:noWrap/>
          </w:tcPr>
          <w:p w14:paraId="2D581212" w14:textId="77777777" w:rsidR="00265792" w:rsidRPr="00BA7805" w:rsidRDefault="00265792" w:rsidP="003767F1">
            <w:pPr>
              <w:pStyle w:val="ARfintablebodyright"/>
              <w:rPr>
                <w:highlight w:val="green"/>
              </w:rPr>
            </w:pPr>
          </w:p>
        </w:tc>
        <w:tc>
          <w:tcPr>
            <w:tcW w:w="1361" w:type="dxa"/>
            <w:noWrap/>
          </w:tcPr>
          <w:p w14:paraId="26BA1182" w14:textId="77777777" w:rsidR="00265792" w:rsidRPr="00BA7805" w:rsidRDefault="00265792" w:rsidP="003767F1">
            <w:pPr>
              <w:pStyle w:val="ARfintablebodyright"/>
              <w:rPr>
                <w:highlight w:val="green"/>
              </w:rPr>
            </w:pPr>
          </w:p>
        </w:tc>
      </w:tr>
      <w:tr w:rsidR="00265792" w:rsidRPr="00BA7805" w14:paraId="5508EBE3" w14:textId="77777777" w:rsidTr="00AD31FF">
        <w:tc>
          <w:tcPr>
            <w:tcW w:w="6915" w:type="dxa"/>
          </w:tcPr>
          <w:p w14:paraId="37F3D924" w14:textId="77777777" w:rsidR="00265792" w:rsidRPr="00BA7805" w:rsidRDefault="00265792" w:rsidP="003767F1">
            <w:pPr>
              <w:pStyle w:val="ARfintablebody"/>
              <w:rPr>
                <w:highlight w:val="green"/>
              </w:rPr>
            </w:pPr>
            <w:r w:rsidRPr="0064167A">
              <w:t>Commonwealth Government</w:t>
            </w:r>
          </w:p>
        </w:tc>
        <w:tc>
          <w:tcPr>
            <w:tcW w:w="1361" w:type="dxa"/>
            <w:shd w:val="clear" w:color="auto" w:fill="EEEEEF" w:themeFill="accent4"/>
            <w:noWrap/>
          </w:tcPr>
          <w:p w14:paraId="20DE1651" w14:textId="77777777" w:rsidR="00265792" w:rsidRPr="00BA7805" w:rsidRDefault="00265792" w:rsidP="003767F1">
            <w:pPr>
              <w:pStyle w:val="ARfintablebodyright"/>
              <w:rPr>
                <w:highlight w:val="green"/>
              </w:rPr>
            </w:pPr>
            <w:r w:rsidRPr="0064167A">
              <w:t>4.7</w:t>
            </w:r>
          </w:p>
        </w:tc>
        <w:tc>
          <w:tcPr>
            <w:tcW w:w="1361" w:type="dxa"/>
            <w:noWrap/>
          </w:tcPr>
          <w:p w14:paraId="030AEBE9" w14:textId="77777777" w:rsidR="00265792" w:rsidRPr="00BA7805" w:rsidRDefault="00265792" w:rsidP="003767F1">
            <w:pPr>
              <w:pStyle w:val="ARfintablebodyright"/>
              <w:rPr>
                <w:highlight w:val="green"/>
              </w:rPr>
            </w:pPr>
            <w:r>
              <w:t>–</w:t>
            </w:r>
          </w:p>
        </w:tc>
      </w:tr>
      <w:tr w:rsidR="00265792" w:rsidRPr="00BA7805" w14:paraId="0FD1EB93" w14:textId="77777777" w:rsidTr="00AD31FF">
        <w:trPr>
          <w:cnfStyle w:val="010000000000" w:firstRow="0" w:lastRow="1" w:firstColumn="0" w:lastColumn="0" w:oddVBand="0" w:evenVBand="0" w:oddHBand="0" w:evenHBand="0" w:firstRowFirstColumn="0" w:firstRowLastColumn="0" w:lastRowFirstColumn="0" w:lastRowLastColumn="0"/>
        </w:trPr>
        <w:tc>
          <w:tcPr>
            <w:tcW w:w="6915" w:type="dxa"/>
          </w:tcPr>
          <w:p w14:paraId="524E3DAE" w14:textId="77777777" w:rsidR="00265792" w:rsidRPr="00BA7805" w:rsidRDefault="00265792" w:rsidP="003767F1">
            <w:pPr>
              <w:pStyle w:val="ARfintablebodybold"/>
              <w:rPr>
                <w:highlight w:val="green"/>
              </w:rPr>
            </w:pPr>
            <w:r w:rsidRPr="0064167A">
              <w:t>Total grants</w:t>
            </w:r>
          </w:p>
        </w:tc>
        <w:tc>
          <w:tcPr>
            <w:tcW w:w="1361" w:type="dxa"/>
            <w:shd w:val="clear" w:color="auto" w:fill="EEEEEF" w:themeFill="accent4"/>
            <w:noWrap/>
          </w:tcPr>
          <w:p w14:paraId="1EA1215E" w14:textId="77777777" w:rsidR="00265792" w:rsidRPr="00BA7805" w:rsidRDefault="00265792" w:rsidP="00A221F1">
            <w:pPr>
              <w:pStyle w:val="ARfintablebodyrightbold"/>
              <w:rPr>
                <w:highlight w:val="green"/>
              </w:rPr>
            </w:pPr>
            <w:r w:rsidRPr="0064167A">
              <w:t>285.3</w:t>
            </w:r>
          </w:p>
        </w:tc>
        <w:tc>
          <w:tcPr>
            <w:tcW w:w="1361" w:type="dxa"/>
            <w:noWrap/>
          </w:tcPr>
          <w:p w14:paraId="2689CEDE" w14:textId="77777777" w:rsidR="00265792" w:rsidRPr="00BA7805" w:rsidRDefault="00265792" w:rsidP="00A221F1">
            <w:pPr>
              <w:pStyle w:val="ARfintablebodyrightbold"/>
              <w:rPr>
                <w:highlight w:val="green"/>
              </w:rPr>
            </w:pPr>
            <w:r w:rsidRPr="0064167A">
              <w:t>418.2</w:t>
            </w:r>
          </w:p>
        </w:tc>
      </w:tr>
    </w:tbl>
    <w:p w14:paraId="0347207A" w14:textId="77777777" w:rsidR="00265792" w:rsidRDefault="00265792" w:rsidP="000F680F">
      <w:pPr>
        <w:pStyle w:val="Heading4"/>
      </w:pPr>
      <w:r>
        <w:t>Grants income</w:t>
      </w:r>
    </w:p>
    <w:p w14:paraId="5AB59307" w14:textId="77777777" w:rsidR="00265792" w:rsidRPr="00865859" w:rsidRDefault="00265792" w:rsidP="000F680F">
      <w:pPr>
        <w:pStyle w:val="ARfinbody"/>
      </w:pPr>
      <w:r>
        <w:t>The department receives grants income which are paid for a particular purpose and/or have conditions attached regarding their use. However, these grant agreements for grants received by the department do not contain sufficiently specific performance obligations such as the period over which the service deliveries must be delivered, the specific nature or type of the service deliveries, the cost or value of the service deliveries, or the number of service deliveries to be provided. These grants are received under the agreements between the relevant departments to provide services for a given output and activities to further achieve the objective of the departments. These grants are recognised in accordance with AASB 1058 when the department has an unconditional right to receive cash.</w:t>
      </w:r>
    </w:p>
    <w:p w14:paraId="02D661EB" w14:textId="77777777" w:rsidR="00265792" w:rsidRDefault="00265792" w:rsidP="008819C4">
      <w:pPr>
        <w:pStyle w:val="ARfinbody"/>
      </w:pPr>
      <w:r>
        <w:t>Income from grants to construct the capital assets that are controlled by the department is recognised progressively as the asset is constructed. The progressive percentage costs incurred are used to recognise income because these most closely reflect the progress to completion as costs are incurred as the works are done.</w:t>
      </w:r>
    </w:p>
    <w:p w14:paraId="75772DD7" w14:textId="77777777" w:rsidR="00265792" w:rsidRDefault="00265792" w:rsidP="008819C4">
      <w:pPr>
        <w:pStyle w:val="ARfinbody"/>
      </w:pPr>
      <w:r>
        <w:t>Income from grants without any sufficiently specific performance obligations, or that are not enforceable, is recognised in accordance with AASB 1058 when the department has an unconditional right to receive the cash which usually coincides with receipt of cash. On initial recognition of the asset, the department recognises any related contributions by owners, increases in liabilities, decreases in assets, and revenue (‘related amounts’) in accordance with other Australian Accounting Standards. Related amounts may take the form of:</w:t>
      </w:r>
    </w:p>
    <w:p w14:paraId="78267728" w14:textId="77777777" w:rsidR="00265792" w:rsidRPr="008819C4" w:rsidRDefault="00265792" w:rsidP="008819C4">
      <w:pPr>
        <w:pStyle w:val="ARfinnumberalpha1"/>
      </w:pPr>
      <w:r w:rsidRPr="008819C4">
        <w:t>contributions by owners, in accordance with AASB 1004</w:t>
      </w:r>
    </w:p>
    <w:p w14:paraId="76B63995" w14:textId="77777777" w:rsidR="00265792" w:rsidRPr="008819C4" w:rsidRDefault="00265792" w:rsidP="008819C4">
      <w:pPr>
        <w:pStyle w:val="ARfinnumberalpha1"/>
      </w:pPr>
      <w:r w:rsidRPr="008819C4">
        <w:t>revenue or a contract liability arising from a contract with a customer, in accordance with AASB 15.</w:t>
      </w:r>
    </w:p>
    <w:p w14:paraId="47CBF34D" w14:textId="77777777" w:rsidR="00265792" w:rsidRPr="00BA7805" w:rsidRDefault="00265792" w:rsidP="005C7C7D">
      <w:pPr>
        <w:pStyle w:val="ARbody"/>
        <w:rPr>
          <w:highlight w:val="green"/>
        </w:rPr>
      </w:pPr>
      <w:r w:rsidRPr="00BA7805">
        <w:rPr>
          <w:highlight w:val="green"/>
        </w:rPr>
        <w:br w:type="page"/>
      </w:r>
    </w:p>
    <w:p w14:paraId="7641B9A5" w14:textId="77777777" w:rsidR="00265792" w:rsidRPr="004A22AF" w:rsidRDefault="00265792">
      <w:pPr>
        <w:pStyle w:val="Heading4"/>
        <w:rPr>
          <w:lang w:eastAsia="en-AU"/>
        </w:rPr>
      </w:pPr>
      <w:r w:rsidRPr="004A22AF">
        <w:rPr>
          <w:lang w:eastAsia="en-AU"/>
        </w:rPr>
        <w:lastRenderedPageBreak/>
        <w:t>2.5 Annotated income agreements</w:t>
      </w:r>
    </w:p>
    <w:p w14:paraId="527BE5A1" w14:textId="77777777" w:rsidR="00265792" w:rsidRDefault="00265792" w:rsidP="00C71DA8">
      <w:pPr>
        <w:pStyle w:val="ARfinbody"/>
      </w:pPr>
      <w:r>
        <w:t xml:space="preserve">The department is permitted under s. 29 of the </w:t>
      </w:r>
      <w:r w:rsidRPr="00E15716">
        <w:rPr>
          <w:rStyle w:val="Emphasis"/>
        </w:rPr>
        <w:t>Financial Management Act 1994</w:t>
      </w:r>
      <w:r>
        <w:t xml:space="preserve"> to have certain income annotated to the annual appropriation. The income which forms part of a s. 29 agreement is recognised by the department and the receipts paid into the consolidated fund as an administered item. At the point of income recognition, s. 29 provides for an equivalent amount to be added to the annual appropriation.</w:t>
      </w:r>
    </w:p>
    <w:p w14:paraId="76252089" w14:textId="77777777" w:rsidR="00265792" w:rsidRPr="007C5593" w:rsidRDefault="00265792" w:rsidP="00C71DA8">
      <w:pPr>
        <w:pStyle w:val="ARfinbody"/>
        <w:rPr>
          <w:highlight w:val="green"/>
        </w:rPr>
      </w:pPr>
      <w:r>
        <w:t xml:space="preserve">The following is a listing of annotated income agreements under s. 29 of the </w:t>
      </w:r>
      <w:r w:rsidRPr="00E15716">
        <w:rPr>
          <w:rStyle w:val="Emphasis"/>
        </w:rPr>
        <w:t>Financial Management Act 1994</w:t>
      </w:r>
      <w:r>
        <w:t xml:space="preserve"> approved by the Treasurer: </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0971CF9A" w14:textId="77777777" w:rsidTr="001513A6">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095E19D0" w14:textId="77777777" w:rsidR="00265792" w:rsidRPr="00BA7805" w:rsidRDefault="00265792">
            <w:pPr>
              <w:pStyle w:val="ARfintablecolhead"/>
              <w:spacing w:before="30"/>
              <w:rPr>
                <w:highlight w:val="green"/>
              </w:rPr>
            </w:pPr>
          </w:p>
        </w:tc>
        <w:tc>
          <w:tcPr>
            <w:tcW w:w="1361" w:type="dxa"/>
            <w:shd w:val="clear" w:color="auto" w:fill="EEEEEF" w:themeFill="accent4"/>
            <w:hideMark/>
          </w:tcPr>
          <w:p w14:paraId="7A1105B8" w14:textId="77777777" w:rsidR="00265792" w:rsidRPr="007E296C" w:rsidRDefault="00265792">
            <w:pPr>
              <w:pStyle w:val="ARfintablecolheadright"/>
            </w:pPr>
            <w:r w:rsidRPr="007E296C">
              <w:t>202</w:t>
            </w:r>
            <w:r>
              <w:t>5</w:t>
            </w:r>
          </w:p>
          <w:p w14:paraId="7A1556C8" w14:textId="77777777" w:rsidR="00265792" w:rsidRPr="007E296C" w:rsidRDefault="00265792">
            <w:pPr>
              <w:pStyle w:val="ARfintablecolheadright"/>
              <w:spacing w:before="30"/>
            </w:pPr>
            <w:r w:rsidRPr="007E296C">
              <w:t>$M</w:t>
            </w:r>
          </w:p>
        </w:tc>
        <w:tc>
          <w:tcPr>
            <w:tcW w:w="1361" w:type="dxa"/>
            <w:hideMark/>
          </w:tcPr>
          <w:p w14:paraId="1FAF2913" w14:textId="77777777" w:rsidR="00265792" w:rsidRPr="007E296C" w:rsidRDefault="00265792">
            <w:pPr>
              <w:pStyle w:val="ARfintablecolheadright"/>
            </w:pPr>
            <w:r w:rsidRPr="007E296C">
              <w:t>202</w:t>
            </w:r>
            <w:r>
              <w:t>4</w:t>
            </w:r>
          </w:p>
          <w:p w14:paraId="1DC77F78" w14:textId="77777777" w:rsidR="00265792" w:rsidRPr="007E296C" w:rsidRDefault="00265792">
            <w:pPr>
              <w:pStyle w:val="ARfintablecolheadright"/>
              <w:spacing w:before="30"/>
            </w:pPr>
            <w:r w:rsidRPr="007E296C">
              <w:t>$M</w:t>
            </w:r>
          </w:p>
        </w:tc>
      </w:tr>
      <w:tr w:rsidR="00265792" w:rsidRPr="00BA7805" w14:paraId="424A4A37" w14:textId="77777777" w:rsidTr="00CB3CA9">
        <w:tc>
          <w:tcPr>
            <w:tcW w:w="6915" w:type="dxa"/>
          </w:tcPr>
          <w:p w14:paraId="6E35F27A" w14:textId="77777777" w:rsidR="00265792" w:rsidRPr="00BA7805" w:rsidRDefault="00265792" w:rsidP="0032465E">
            <w:pPr>
              <w:pStyle w:val="ARfintablebodybold"/>
              <w:rPr>
                <w:highlight w:val="green"/>
              </w:rPr>
            </w:pPr>
            <w:r w:rsidRPr="001D734C">
              <w:t xml:space="preserve">User charges, or sales of goods and services </w:t>
            </w:r>
          </w:p>
        </w:tc>
        <w:tc>
          <w:tcPr>
            <w:tcW w:w="1361" w:type="dxa"/>
            <w:noWrap/>
          </w:tcPr>
          <w:p w14:paraId="26A4209E" w14:textId="77777777" w:rsidR="00265792" w:rsidRPr="00BA7805" w:rsidRDefault="00265792" w:rsidP="0032465E">
            <w:pPr>
              <w:pStyle w:val="ARfintablebodyright"/>
              <w:rPr>
                <w:highlight w:val="green"/>
              </w:rPr>
            </w:pPr>
          </w:p>
        </w:tc>
        <w:tc>
          <w:tcPr>
            <w:tcW w:w="1361" w:type="dxa"/>
            <w:noWrap/>
          </w:tcPr>
          <w:p w14:paraId="01840F44" w14:textId="77777777" w:rsidR="00265792" w:rsidRPr="00BA7805" w:rsidRDefault="00265792" w:rsidP="0032465E">
            <w:pPr>
              <w:pStyle w:val="ARfintablebodyright"/>
              <w:rPr>
                <w:highlight w:val="green"/>
              </w:rPr>
            </w:pPr>
          </w:p>
        </w:tc>
      </w:tr>
      <w:tr w:rsidR="00265792" w:rsidRPr="00BA7805" w14:paraId="623CBBB0" w14:textId="77777777" w:rsidTr="00CB3CA9">
        <w:tc>
          <w:tcPr>
            <w:tcW w:w="6915" w:type="dxa"/>
          </w:tcPr>
          <w:p w14:paraId="370E07C2" w14:textId="77777777" w:rsidR="00265792" w:rsidRPr="00BA7805" w:rsidRDefault="00265792" w:rsidP="0032465E">
            <w:pPr>
              <w:pStyle w:val="ARfintablebody"/>
              <w:rPr>
                <w:highlight w:val="green"/>
              </w:rPr>
            </w:pPr>
            <w:r w:rsidRPr="001D734C">
              <w:t xml:space="preserve">Community Residential Units Accommodation charges include full Board and Lodging Model (Output) </w:t>
            </w:r>
          </w:p>
        </w:tc>
        <w:tc>
          <w:tcPr>
            <w:tcW w:w="1361" w:type="dxa"/>
            <w:shd w:val="clear" w:color="auto" w:fill="EEEEEF" w:themeFill="accent4"/>
            <w:noWrap/>
          </w:tcPr>
          <w:p w14:paraId="304C725F" w14:textId="77777777" w:rsidR="00265792" w:rsidRPr="00BA7805" w:rsidRDefault="00265792" w:rsidP="0032465E">
            <w:pPr>
              <w:pStyle w:val="ARfintablebodyright"/>
              <w:rPr>
                <w:highlight w:val="green"/>
              </w:rPr>
            </w:pPr>
            <w:r w:rsidRPr="001D734C">
              <w:t>19.0</w:t>
            </w:r>
          </w:p>
        </w:tc>
        <w:tc>
          <w:tcPr>
            <w:tcW w:w="1361" w:type="dxa"/>
            <w:noWrap/>
          </w:tcPr>
          <w:p w14:paraId="7FCC78A1" w14:textId="77777777" w:rsidR="00265792" w:rsidRPr="00BA7805" w:rsidRDefault="00265792" w:rsidP="0032465E">
            <w:pPr>
              <w:pStyle w:val="ARfintablebodyright"/>
              <w:rPr>
                <w:highlight w:val="green"/>
              </w:rPr>
            </w:pPr>
            <w:r w:rsidRPr="001D734C">
              <w:t>18.0</w:t>
            </w:r>
          </w:p>
        </w:tc>
      </w:tr>
      <w:tr w:rsidR="00265792" w:rsidRPr="00BA7805" w14:paraId="5544452A" w14:textId="77777777" w:rsidTr="00CB3CA9">
        <w:tc>
          <w:tcPr>
            <w:tcW w:w="6915" w:type="dxa"/>
          </w:tcPr>
          <w:p w14:paraId="4EF92AE0" w14:textId="77777777" w:rsidR="00265792" w:rsidRPr="00BA7805" w:rsidRDefault="00265792" w:rsidP="0032465E">
            <w:pPr>
              <w:pStyle w:val="ARfintablebody"/>
              <w:rPr>
                <w:highlight w:val="green"/>
              </w:rPr>
            </w:pPr>
            <w:r w:rsidRPr="001D734C">
              <w:t xml:space="preserve">Revenue for Services Provided for the National Disability Insurance Agency (Output) </w:t>
            </w:r>
          </w:p>
        </w:tc>
        <w:tc>
          <w:tcPr>
            <w:tcW w:w="1361" w:type="dxa"/>
            <w:shd w:val="clear" w:color="auto" w:fill="EEEEEF" w:themeFill="accent4"/>
            <w:noWrap/>
          </w:tcPr>
          <w:p w14:paraId="47EEA858" w14:textId="77777777" w:rsidR="00265792" w:rsidRPr="00BA7805" w:rsidRDefault="00265792" w:rsidP="0032465E">
            <w:pPr>
              <w:pStyle w:val="ARfintablebodyright"/>
              <w:rPr>
                <w:highlight w:val="green"/>
              </w:rPr>
            </w:pPr>
            <w:r w:rsidRPr="001D734C">
              <w:t>23.0</w:t>
            </w:r>
          </w:p>
        </w:tc>
        <w:tc>
          <w:tcPr>
            <w:tcW w:w="1361" w:type="dxa"/>
            <w:noWrap/>
          </w:tcPr>
          <w:p w14:paraId="29BD110F" w14:textId="77777777" w:rsidR="00265792" w:rsidRPr="00BA7805" w:rsidRDefault="00265792" w:rsidP="0032465E">
            <w:pPr>
              <w:pStyle w:val="ARfintablebodyright"/>
              <w:rPr>
                <w:highlight w:val="green"/>
              </w:rPr>
            </w:pPr>
            <w:r w:rsidRPr="001D734C">
              <w:t>17.9</w:t>
            </w:r>
          </w:p>
        </w:tc>
      </w:tr>
      <w:tr w:rsidR="00265792" w:rsidRPr="00BA7805" w14:paraId="302CD894" w14:textId="77777777" w:rsidTr="00CB3CA9">
        <w:tc>
          <w:tcPr>
            <w:tcW w:w="6915" w:type="dxa"/>
            <w:tcBorders>
              <w:bottom w:val="single" w:sz="4" w:space="0" w:color="A6A6A6" w:themeColor="accent5"/>
            </w:tcBorders>
          </w:tcPr>
          <w:p w14:paraId="371E387F" w14:textId="77777777" w:rsidR="00265792" w:rsidRPr="00BA7805" w:rsidRDefault="00265792" w:rsidP="0032465E">
            <w:pPr>
              <w:pStyle w:val="ARfintablebody"/>
              <w:rPr>
                <w:highlight w:val="green"/>
              </w:rPr>
            </w:pPr>
            <w:r w:rsidRPr="001D734C">
              <w:t xml:space="preserve">Revenue for Services Provided for the National Disability Insurance Agency (Capital) </w:t>
            </w:r>
          </w:p>
        </w:tc>
        <w:tc>
          <w:tcPr>
            <w:tcW w:w="1361" w:type="dxa"/>
            <w:tcBorders>
              <w:bottom w:val="single" w:sz="4" w:space="0" w:color="A6A6A6" w:themeColor="accent5"/>
            </w:tcBorders>
            <w:shd w:val="clear" w:color="auto" w:fill="EEEEEF" w:themeFill="accent4"/>
            <w:noWrap/>
          </w:tcPr>
          <w:p w14:paraId="1D6A2A9E" w14:textId="77777777" w:rsidR="00265792" w:rsidRPr="00BA7805" w:rsidRDefault="00265792" w:rsidP="0032465E">
            <w:pPr>
              <w:pStyle w:val="ARfintablebodyright"/>
              <w:rPr>
                <w:highlight w:val="green"/>
              </w:rPr>
            </w:pPr>
            <w:r w:rsidRPr="001D734C">
              <w:t>14.7</w:t>
            </w:r>
          </w:p>
        </w:tc>
        <w:tc>
          <w:tcPr>
            <w:tcW w:w="1361" w:type="dxa"/>
            <w:tcBorders>
              <w:bottom w:val="single" w:sz="4" w:space="0" w:color="A6A6A6" w:themeColor="accent5"/>
            </w:tcBorders>
            <w:noWrap/>
          </w:tcPr>
          <w:p w14:paraId="0CF1B802" w14:textId="77777777" w:rsidR="00265792" w:rsidRPr="00BA7805" w:rsidRDefault="00265792" w:rsidP="0032465E">
            <w:pPr>
              <w:pStyle w:val="ARfintablebodyright"/>
              <w:rPr>
                <w:highlight w:val="green"/>
              </w:rPr>
            </w:pPr>
            <w:r w:rsidRPr="001D734C">
              <w:t>11.5</w:t>
            </w:r>
          </w:p>
        </w:tc>
      </w:tr>
      <w:tr w:rsidR="00265792" w:rsidRPr="00BA7805" w14:paraId="2191F200" w14:textId="77777777" w:rsidTr="00CB3CA9">
        <w:tc>
          <w:tcPr>
            <w:tcW w:w="6915" w:type="dxa"/>
            <w:tcBorders>
              <w:top w:val="single" w:sz="4" w:space="0" w:color="A6A6A6" w:themeColor="accent5"/>
              <w:bottom w:val="single" w:sz="4" w:space="0" w:color="000000" w:themeColor="text1"/>
            </w:tcBorders>
          </w:tcPr>
          <w:p w14:paraId="437D73EA" w14:textId="77777777" w:rsidR="00265792" w:rsidRPr="00BA7805" w:rsidRDefault="00265792" w:rsidP="0032465E">
            <w:pPr>
              <w:pStyle w:val="ARfintablebody"/>
              <w:rPr>
                <w:highlight w:val="green"/>
              </w:rPr>
            </w:pPr>
            <w:r w:rsidRPr="001D734C">
              <w:t xml:space="preserve">Office of Senior Victorians – advertising and sponsorship income (Output) </w:t>
            </w:r>
          </w:p>
        </w:tc>
        <w:tc>
          <w:tcPr>
            <w:tcW w:w="1361" w:type="dxa"/>
            <w:tcBorders>
              <w:top w:val="single" w:sz="4" w:space="0" w:color="A6A6A6" w:themeColor="accent5"/>
              <w:bottom w:val="single" w:sz="4" w:space="0" w:color="000000" w:themeColor="text1"/>
            </w:tcBorders>
            <w:shd w:val="clear" w:color="auto" w:fill="EEEEEF" w:themeFill="accent4"/>
            <w:noWrap/>
          </w:tcPr>
          <w:p w14:paraId="3ED4C328" w14:textId="77777777" w:rsidR="00265792" w:rsidRPr="00BA7805" w:rsidRDefault="00265792" w:rsidP="0032465E">
            <w:pPr>
              <w:pStyle w:val="ARfintablebodyright"/>
              <w:rPr>
                <w:highlight w:val="green"/>
              </w:rPr>
            </w:pPr>
            <w:r w:rsidRPr="001D734C">
              <w:t>0.8</w:t>
            </w:r>
          </w:p>
        </w:tc>
        <w:tc>
          <w:tcPr>
            <w:tcW w:w="1361" w:type="dxa"/>
            <w:tcBorders>
              <w:top w:val="single" w:sz="4" w:space="0" w:color="A6A6A6" w:themeColor="accent5"/>
              <w:bottom w:val="single" w:sz="4" w:space="0" w:color="000000" w:themeColor="text1"/>
            </w:tcBorders>
            <w:noWrap/>
          </w:tcPr>
          <w:p w14:paraId="034FA5A2" w14:textId="77777777" w:rsidR="00265792" w:rsidRPr="00BA7805" w:rsidRDefault="00265792" w:rsidP="0032465E">
            <w:pPr>
              <w:pStyle w:val="ARfintablebodyright"/>
              <w:rPr>
                <w:highlight w:val="green"/>
              </w:rPr>
            </w:pPr>
            <w:r w:rsidRPr="001D734C">
              <w:t>0.7</w:t>
            </w:r>
          </w:p>
        </w:tc>
      </w:tr>
      <w:tr w:rsidR="00265792" w:rsidRPr="00BA7805" w14:paraId="3F02F67F" w14:textId="77777777" w:rsidTr="00CB3CA9">
        <w:tc>
          <w:tcPr>
            <w:tcW w:w="6915" w:type="dxa"/>
            <w:tcBorders>
              <w:top w:val="single" w:sz="4" w:space="0" w:color="000000" w:themeColor="text1"/>
              <w:bottom w:val="single" w:sz="4" w:space="0" w:color="000000" w:themeColor="text1"/>
            </w:tcBorders>
          </w:tcPr>
          <w:p w14:paraId="76FD9BAD" w14:textId="77777777" w:rsidR="00265792" w:rsidRPr="00BA7805" w:rsidRDefault="00265792" w:rsidP="0032465E">
            <w:pPr>
              <w:pStyle w:val="ARfintablebody"/>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7A4A3D19" w14:textId="77777777" w:rsidR="00265792" w:rsidRPr="00BA7805" w:rsidRDefault="00265792" w:rsidP="00CB3CA9">
            <w:pPr>
              <w:pStyle w:val="ARfintablebodyrightbold"/>
              <w:rPr>
                <w:highlight w:val="green"/>
              </w:rPr>
            </w:pPr>
            <w:r w:rsidRPr="001D734C">
              <w:t>57.5</w:t>
            </w:r>
          </w:p>
        </w:tc>
        <w:tc>
          <w:tcPr>
            <w:tcW w:w="1361" w:type="dxa"/>
            <w:tcBorders>
              <w:top w:val="single" w:sz="4" w:space="0" w:color="000000" w:themeColor="text1"/>
              <w:bottom w:val="single" w:sz="4" w:space="0" w:color="000000" w:themeColor="text1"/>
            </w:tcBorders>
            <w:noWrap/>
          </w:tcPr>
          <w:p w14:paraId="0D16CEAA" w14:textId="77777777" w:rsidR="00265792" w:rsidRPr="00BA7805" w:rsidRDefault="00265792" w:rsidP="00CB3CA9">
            <w:pPr>
              <w:pStyle w:val="ARfintablebodyrightbold"/>
              <w:rPr>
                <w:highlight w:val="green"/>
              </w:rPr>
            </w:pPr>
            <w:r w:rsidRPr="001D734C">
              <w:t>48.1</w:t>
            </w:r>
          </w:p>
        </w:tc>
      </w:tr>
      <w:tr w:rsidR="00265792" w:rsidRPr="00BA7805" w14:paraId="06CAF1D4" w14:textId="77777777" w:rsidTr="00CB3CA9">
        <w:tc>
          <w:tcPr>
            <w:tcW w:w="6915" w:type="dxa"/>
            <w:tcBorders>
              <w:top w:val="single" w:sz="4" w:space="0" w:color="000000" w:themeColor="text1"/>
              <w:bottom w:val="single" w:sz="4" w:space="0" w:color="A6A6A6" w:themeColor="accent5"/>
            </w:tcBorders>
          </w:tcPr>
          <w:p w14:paraId="6FB73C74" w14:textId="77777777" w:rsidR="00265792" w:rsidRPr="00BA7805" w:rsidRDefault="00265792" w:rsidP="0032465E">
            <w:pPr>
              <w:pStyle w:val="ARfintablebodybold"/>
              <w:rPr>
                <w:highlight w:val="green"/>
              </w:rPr>
            </w:pPr>
            <w:r w:rsidRPr="001D734C">
              <w:t xml:space="preserve">Asset sales </w:t>
            </w:r>
          </w:p>
        </w:tc>
        <w:tc>
          <w:tcPr>
            <w:tcW w:w="1361" w:type="dxa"/>
            <w:tcBorders>
              <w:top w:val="single" w:sz="4" w:space="0" w:color="000000" w:themeColor="text1"/>
              <w:bottom w:val="single" w:sz="4" w:space="0" w:color="A6A6A6" w:themeColor="accent5"/>
            </w:tcBorders>
            <w:noWrap/>
          </w:tcPr>
          <w:p w14:paraId="63971192" w14:textId="77777777" w:rsidR="00265792" w:rsidRPr="00BA7805" w:rsidRDefault="00265792" w:rsidP="0032465E">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3589E961" w14:textId="77777777" w:rsidR="00265792" w:rsidRPr="00BA7805" w:rsidRDefault="00265792" w:rsidP="0032465E">
            <w:pPr>
              <w:pStyle w:val="ARfintablebodyright"/>
              <w:rPr>
                <w:highlight w:val="green"/>
              </w:rPr>
            </w:pPr>
          </w:p>
        </w:tc>
      </w:tr>
      <w:tr w:rsidR="00265792" w:rsidRPr="00BA7805" w14:paraId="183C1670" w14:textId="77777777" w:rsidTr="00CB3CA9">
        <w:tc>
          <w:tcPr>
            <w:tcW w:w="6915" w:type="dxa"/>
            <w:tcBorders>
              <w:top w:val="single" w:sz="4" w:space="0" w:color="A6A6A6" w:themeColor="accent5"/>
              <w:bottom w:val="single" w:sz="4" w:space="0" w:color="000000" w:themeColor="text1"/>
            </w:tcBorders>
          </w:tcPr>
          <w:p w14:paraId="32ABFF59" w14:textId="77777777" w:rsidR="00265792" w:rsidRPr="00BA7805" w:rsidRDefault="00265792" w:rsidP="0032465E">
            <w:pPr>
              <w:pStyle w:val="ARfintablebody"/>
              <w:rPr>
                <w:highlight w:val="green"/>
              </w:rPr>
            </w:pPr>
            <w:r w:rsidRPr="001D734C">
              <w:t xml:space="preserve">Proceeds from sale of land and buildings (Capital) </w:t>
            </w:r>
          </w:p>
        </w:tc>
        <w:tc>
          <w:tcPr>
            <w:tcW w:w="1361" w:type="dxa"/>
            <w:tcBorders>
              <w:top w:val="single" w:sz="4" w:space="0" w:color="A6A6A6" w:themeColor="accent5"/>
              <w:bottom w:val="single" w:sz="4" w:space="0" w:color="000000" w:themeColor="text1"/>
            </w:tcBorders>
            <w:shd w:val="clear" w:color="auto" w:fill="EEEEEF" w:themeFill="accent4"/>
            <w:noWrap/>
          </w:tcPr>
          <w:p w14:paraId="0B6FCF0E" w14:textId="77777777" w:rsidR="00265792" w:rsidRPr="00BA7805" w:rsidRDefault="00265792" w:rsidP="0032465E">
            <w:pPr>
              <w:pStyle w:val="ARfintablebodyright"/>
              <w:rPr>
                <w:highlight w:val="green"/>
              </w:rPr>
            </w:pPr>
            <w:r w:rsidRPr="001D734C">
              <w:t>0.8</w:t>
            </w:r>
          </w:p>
        </w:tc>
        <w:tc>
          <w:tcPr>
            <w:tcW w:w="1361" w:type="dxa"/>
            <w:tcBorders>
              <w:top w:val="single" w:sz="4" w:space="0" w:color="A6A6A6" w:themeColor="accent5"/>
              <w:bottom w:val="single" w:sz="4" w:space="0" w:color="000000" w:themeColor="text1"/>
            </w:tcBorders>
            <w:noWrap/>
          </w:tcPr>
          <w:p w14:paraId="5B66F7C5" w14:textId="77777777" w:rsidR="00265792" w:rsidRPr="00BA7805" w:rsidRDefault="00265792" w:rsidP="0032465E">
            <w:pPr>
              <w:pStyle w:val="ARfintablebodyright"/>
              <w:rPr>
                <w:highlight w:val="green"/>
              </w:rPr>
            </w:pPr>
            <w:r w:rsidRPr="001D734C">
              <w:t>0.1</w:t>
            </w:r>
          </w:p>
        </w:tc>
      </w:tr>
      <w:tr w:rsidR="00265792" w:rsidRPr="00BA7805" w14:paraId="79B91F0B" w14:textId="77777777" w:rsidTr="00CB3CA9">
        <w:tc>
          <w:tcPr>
            <w:tcW w:w="6915" w:type="dxa"/>
            <w:tcBorders>
              <w:top w:val="single" w:sz="4" w:space="0" w:color="000000" w:themeColor="text1"/>
              <w:bottom w:val="single" w:sz="4" w:space="0" w:color="000000" w:themeColor="text1"/>
            </w:tcBorders>
          </w:tcPr>
          <w:p w14:paraId="5435804E" w14:textId="77777777" w:rsidR="00265792" w:rsidRPr="00BA7805" w:rsidRDefault="00265792" w:rsidP="0032465E">
            <w:pPr>
              <w:pStyle w:val="ARfintablebody"/>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23882454" w14:textId="77777777" w:rsidR="00265792" w:rsidRPr="00BA7805" w:rsidRDefault="00265792" w:rsidP="00CB3CA9">
            <w:pPr>
              <w:pStyle w:val="ARfintablebodyrightbold"/>
              <w:rPr>
                <w:highlight w:val="green"/>
              </w:rPr>
            </w:pPr>
            <w:r w:rsidRPr="001D734C">
              <w:t>0.8</w:t>
            </w:r>
          </w:p>
        </w:tc>
        <w:tc>
          <w:tcPr>
            <w:tcW w:w="1361" w:type="dxa"/>
            <w:tcBorders>
              <w:top w:val="single" w:sz="4" w:space="0" w:color="000000" w:themeColor="text1"/>
              <w:bottom w:val="single" w:sz="4" w:space="0" w:color="000000" w:themeColor="text1"/>
            </w:tcBorders>
            <w:noWrap/>
          </w:tcPr>
          <w:p w14:paraId="38E664E3" w14:textId="77777777" w:rsidR="00265792" w:rsidRPr="00BA7805" w:rsidRDefault="00265792" w:rsidP="00CB3CA9">
            <w:pPr>
              <w:pStyle w:val="ARfintablebodyrightbold"/>
              <w:rPr>
                <w:highlight w:val="green"/>
              </w:rPr>
            </w:pPr>
            <w:r w:rsidRPr="001D734C">
              <w:t>0.1</w:t>
            </w:r>
          </w:p>
        </w:tc>
      </w:tr>
      <w:tr w:rsidR="00265792" w:rsidRPr="00BA7805" w14:paraId="0B51F671" w14:textId="77777777" w:rsidTr="00B37289">
        <w:tc>
          <w:tcPr>
            <w:tcW w:w="6915" w:type="dxa"/>
            <w:tcBorders>
              <w:top w:val="single" w:sz="4" w:space="0" w:color="000000" w:themeColor="text1"/>
              <w:bottom w:val="single" w:sz="4" w:space="0" w:color="A6A6A6" w:themeColor="accent5"/>
            </w:tcBorders>
          </w:tcPr>
          <w:p w14:paraId="4DE8ED3E" w14:textId="77777777" w:rsidR="00265792" w:rsidRPr="00BA7805" w:rsidRDefault="00265792" w:rsidP="0032465E">
            <w:pPr>
              <w:pStyle w:val="ARfintablebodybold"/>
              <w:rPr>
                <w:highlight w:val="green"/>
              </w:rPr>
            </w:pPr>
            <w:r w:rsidRPr="001D734C">
              <w:t xml:space="preserve">Commonwealth specific purpose payments </w:t>
            </w:r>
          </w:p>
        </w:tc>
        <w:tc>
          <w:tcPr>
            <w:tcW w:w="1361" w:type="dxa"/>
            <w:tcBorders>
              <w:top w:val="single" w:sz="4" w:space="0" w:color="000000" w:themeColor="text1"/>
              <w:bottom w:val="single" w:sz="4" w:space="0" w:color="A6A6A6" w:themeColor="accent5"/>
            </w:tcBorders>
            <w:noWrap/>
          </w:tcPr>
          <w:p w14:paraId="7BE2544A" w14:textId="77777777" w:rsidR="00265792" w:rsidRPr="00BA7805" w:rsidRDefault="00265792" w:rsidP="0032465E">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34C882E2" w14:textId="77777777" w:rsidR="00265792" w:rsidRPr="00BA7805" w:rsidRDefault="00265792" w:rsidP="0032465E">
            <w:pPr>
              <w:pStyle w:val="ARfintablebodyright"/>
              <w:rPr>
                <w:highlight w:val="green"/>
              </w:rPr>
            </w:pPr>
          </w:p>
        </w:tc>
      </w:tr>
      <w:tr w:rsidR="00265792" w:rsidRPr="00BA7805" w14:paraId="32E54598" w14:textId="77777777" w:rsidTr="00B37289">
        <w:tc>
          <w:tcPr>
            <w:tcW w:w="6915" w:type="dxa"/>
            <w:tcBorders>
              <w:top w:val="single" w:sz="4" w:space="0" w:color="A6A6A6" w:themeColor="accent5"/>
            </w:tcBorders>
          </w:tcPr>
          <w:p w14:paraId="6267F476" w14:textId="77777777" w:rsidR="00265792" w:rsidRPr="00BA7805" w:rsidRDefault="00265792" w:rsidP="0032465E">
            <w:pPr>
              <w:pStyle w:val="ARfintablebody"/>
              <w:rPr>
                <w:highlight w:val="green"/>
              </w:rPr>
            </w:pPr>
            <w:r w:rsidRPr="001D734C">
              <w:t xml:space="preserve">National Partnership Agreements </w:t>
            </w:r>
          </w:p>
        </w:tc>
        <w:tc>
          <w:tcPr>
            <w:tcW w:w="1361" w:type="dxa"/>
            <w:tcBorders>
              <w:top w:val="single" w:sz="4" w:space="0" w:color="A6A6A6" w:themeColor="accent5"/>
            </w:tcBorders>
            <w:noWrap/>
          </w:tcPr>
          <w:p w14:paraId="491A4189" w14:textId="77777777" w:rsidR="00265792" w:rsidRPr="00BA7805" w:rsidRDefault="00265792" w:rsidP="0032465E">
            <w:pPr>
              <w:pStyle w:val="ARfintablebodyright"/>
              <w:rPr>
                <w:highlight w:val="green"/>
              </w:rPr>
            </w:pPr>
          </w:p>
        </w:tc>
        <w:tc>
          <w:tcPr>
            <w:tcW w:w="1361" w:type="dxa"/>
            <w:tcBorders>
              <w:top w:val="single" w:sz="4" w:space="0" w:color="A6A6A6" w:themeColor="accent5"/>
            </w:tcBorders>
            <w:noWrap/>
          </w:tcPr>
          <w:p w14:paraId="0F51097A" w14:textId="77777777" w:rsidR="00265792" w:rsidRPr="00BA7805" w:rsidRDefault="00265792" w:rsidP="0032465E">
            <w:pPr>
              <w:pStyle w:val="ARfintablebodyright"/>
              <w:rPr>
                <w:highlight w:val="green"/>
              </w:rPr>
            </w:pPr>
          </w:p>
        </w:tc>
      </w:tr>
      <w:tr w:rsidR="00265792" w:rsidRPr="00BA7805" w14:paraId="324620DD" w14:textId="77777777" w:rsidTr="00CB3CA9">
        <w:tc>
          <w:tcPr>
            <w:tcW w:w="6915" w:type="dxa"/>
          </w:tcPr>
          <w:p w14:paraId="20AB9B82" w14:textId="77777777" w:rsidR="00265792" w:rsidRPr="00BA7805" w:rsidRDefault="00265792" w:rsidP="00CB3CA9">
            <w:pPr>
              <w:pStyle w:val="ARfintablebodyindent"/>
              <w:rPr>
                <w:highlight w:val="green"/>
              </w:rPr>
            </w:pPr>
            <w:r w:rsidRPr="001D734C">
              <w:t xml:space="preserve">National Housing and Homelessness Agreement (Output) </w:t>
            </w:r>
          </w:p>
        </w:tc>
        <w:tc>
          <w:tcPr>
            <w:tcW w:w="1361" w:type="dxa"/>
            <w:shd w:val="clear" w:color="auto" w:fill="EEEEEF" w:themeFill="accent4"/>
            <w:noWrap/>
          </w:tcPr>
          <w:p w14:paraId="7279820C" w14:textId="77777777" w:rsidR="00265792" w:rsidRPr="00BA7805" w:rsidRDefault="00265792" w:rsidP="0032465E">
            <w:pPr>
              <w:pStyle w:val="ARfintablebodyright"/>
              <w:rPr>
                <w:highlight w:val="green"/>
              </w:rPr>
            </w:pPr>
            <w:r w:rsidRPr="001D734C">
              <w:t>451.0</w:t>
            </w:r>
          </w:p>
        </w:tc>
        <w:tc>
          <w:tcPr>
            <w:tcW w:w="1361" w:type="dxa"/>
            <w:noWrap/>
          </w:tcPr>
          <w:p w14:paraId="3A7EEC90" w14:textId="77777777" w:rsidR="00265792" w:rsidRPr="00BA7805" w:rsidRDefault="00265792" w:rsidP="0032465E">
            <w:pPr>
              <w:pStyle w:val="ARfintablebodyright"/>
              <w:rPr>
                <w:highlight w:val="green"/>
              </w:rPr>
            </w:pPr>
            <w:r w:rsidRPr="001D734C">
              <w:t>436.0</w:t>
            </w:r>
          </w:p>
        </w:tc>
      </w:tr>
      <w:tr w:rsidR="00265792" w:rsidRPr="00BA7805" w14:paraId="310A17C9" w14:textId="77777777" w:rsidTr="00CB3CA9">
        <w:tc>
          <w:tcPr>
            <w:tcW w:w="6915" w:type="dxa"/>
          </w:tcPr>
          <w:p w14:paraId="47677BE0" w14:textId="77777777" w:rsidR="00265792" w:rsidRPr="00BA7805" w:rsidRDefault="00265792" w:rsidP="00CB3CA9">
            <w:pPr>
              <w:pStyle w:val="ARfintablebodyindent"/>
              <w:rPr>
                <w:highlight w:val="green"/>
              </w:rPr>
            </w:pPr>
            <w:r w:rsidRPr="001D734C">
              <w:t xml:space="preserve">Family, Domestic and Sexual Violence Support (Output) </w:t>
            </w:r>
          </w:p>
        </w:tc>
        <w:tc>
          <w:tcPr>
            <w:tcW w:w="1361" w:type="dxa"/>
            <w:shd w:val="clear" w:color="auto" w:fill="EEEEEF" w:themeFill="accent4"/>
            <w:noWrap/>
          </w:tcPr>
          <w:p w14:paraId="6808260D" w14:textId="77777777" w:rsidR="00265792" w:rsidRPr="00BA7805" w:rsidRDefault="00265792" w:rsidP="0032465E">
            <w:pPr>
              <w:pStyle w:val="ARfintablebodyright"/>
              <w:rPr>
                <w:highlight w:val="green"/>
              </w:rPr>
            </w:pPr>
            <w:r w:rsidRPr="001D734C">
              <w:t>28.5</w:t>
            </w:r>
          </w:p>
        </w:tc>
        <w:tc>
          <w:tcPr>
            <w:tcW w:w="1361" w:type="dxa"/>
            <w:noWrap/>
          </w:tcPr>
          <w:p w14:paraId="1BA8AD39" w14:textId="77777777" w:rsidR="00265792" w:rsidRPr="00BA7805" w:rsidRDefault="00265792" w:rsidP="0032465E">
            <w:pPr>
              <w:pStyle w:val="ARfintablebodyright"/>
              <w:rPr>
                <w:highlight w:val="green"/>
              </w:rPr>
            </w:pPr>
            <w:r w:rsidRPr="001D734C">
              <w:t>11.7</w:t>
            </w:r>
          </w:p>
        </w:tc>
      </w:tr>
      <w:tr w:rsidR="00265792" w:rsidRPr="00BA7805" w14:paraId="534EBFF7" w14:textId="77777777" w:rsidTr="00CB3CA9">
        <w:tc>
          <w:tcPr>
            <w:tcW w:w="6915" w:type="dxa"/>
          </w:tcPr>
          <w:p w14:paraId="6B3F36B6" w14:textId="77777777" w:rsidR="00265792" w:rsidRPr="00BA7805" w:rsidRDefault="00265792" w:rsidP="00CB3CA9">
            <w:pPr>
              <w:pStyle w:val="ARfintablebodyindent"/>
              <w:rPr>
                <w:highlight w:val="green"/>
              </w:rPr>
            </w:pPr>
            <w:r w:rsidRPr="001D734C">
              <w:t xml:space="preserve">Energy Bill Relief (Output) </w:t>
            </w:r>
          </w:p>
        </w:tc>
        <w:tc>
          <w:tcPr>
            <w:tcW w:w="1361" w:type="dxa"/>
            <w:shd w:val="clear" w:color="auto" w:fill="EEEEEF" w:themeFill="accent4"/>
            <w:noWrap/>
          </w:tcPr>
          <w:p w14:paraId="7322C2E6" w14:textId="77777777" w:rsidR="00265792" w:rsidRPr="00BA7805" w:rsidRDefault="00265792" w:rsidP="0032465E">
            <w:pPr>
              <w:pStyle w:val="ARfintablebodyright"/>
              <w:rPr>
                <w:highlight w:val="green"/>
              </w:rPr>
            </w:pPr>
            <w:r w:rsidRPr="001D734C">
              <w:t>865.7</w:t>
            </w:r>
          </w:p>
        </w:tc>
        <w:tc>
          <w:tcPr>
            <w:tcW w:w="1361" w:type="dxa"/>
            <w:noWrap/>
          </w:tcPr>
          <w:p w14:paraId="179BE938" w14:textId="77777777" w:rsidR="00265792" w:rsidRPr="00BA7805" w:rsidRDefault="00265792" w:rsidP="0032465E">
            <w:pPr>
              <w:pStyle w:val="ARfintablebodyright"/>
              <w:rPr>
                <w:highlight w:val="green"/>
              </w:rPr>
            </w:pPr>
            <w:r w:rsidRPr="001D734C">
              <w:t>199.0</w:t>
            </w:r>
          </w:p>
        </w:tc>
      </w:tr>
      <w:tr w:rsidR="00265792" w:rsidRPr="00BA7805" w14:paraId="1B3849CB" w14:textId="77777777" w:rsidTr="00CB3CA9">
        <w:tc>
          <w:tcPr>
            <w:tcW w:w="6915" w:type="dxa"/>
          </w:tcPr>
          <w:p w14:paraId="0F275088" w14:textId="77777777" w:rsidR="00265792" w:rsidRPr="00BA7805" w:rsidRDefault="00265792" w:rsidP="0032465E">
            <w:pPr>
              <w:pStyle w:val="ARfintablebody"/>
              <w:rPr>
                <w:highlight w:val="green"/>
              </w:rPr>
            </w:pPr>
            <w:r w:rsidRPr="001D734C">
              <w:t xml:space="preserve">Other </w:t>
            </w:r>
          </w:p>
        </w:tc>
        <w:tc>
          <w:tcPr>
            <w:tcW w:w="1361" w:type="dxa"/>
            <w:shd w:val="clear" w:color="auto" w:fill="EEEEEF" w:themeFill="accent4"/>
            <w:noWrap/>
          </w:tcPr>
          <w:p w14:paraId="72493729" w14:textId="77777777" w:rsidR="00265792" w:rsidRPr="00B9036A" w:rsidRDefault="00265792" w:rsidP="0032465E">
            <w:pPr>
              <w:pStyle w:val="ARfintablebodyright"/>
            </w:pPr>
          </w:p>
        </w:tc>
        <w:tc>
          <w:tcPr>
            <w:tcW w:w="1361" w:type="dxa"/>
            <w:noWrap/>
          </w:tcPr>
          <w:p w14:paraId="7DD62437" w14:textId="77777777" w:rsidR="00265792" w:rsidRPr="00B9036A" w:rsidRDefault="00265792" w:rsidP="0032465E">
            <w:pPr>
              <w:pStyle w:val="ARfintablebodyright"/>
            </w:pPr>
          </w:p>
        </w:tc>
      </w:tr>
      <w:tr w:rsidR="00265792" w:rsidRPr="00BA7805" w14:paraId="64AE66F1" w14:textId="77777777" w:rsidTr="00CB3CA9">
        <w:tc>
          <w:tcPr>
            <w:tcW w:w="6915" w:type="dxa"/>
          </w:tcPr>
          <w:p w14:paraId="5973B54E" w14:textId="77777777" w:rsidR="00265792" w:rsidRPr="00CB00C2" w:rsidRDefault="00265792" w:rsidP="00CB3CA9">
            <w:pPr>
              <w:pStyle w:val="ARfintablebodyindent"/>
              <w:rPr>
                <w:highlight w:val="green"/>
              </w:rPr>
            </w:pPr>
            <w:r w:rsidRPr="001D734C">
              <w:t xml:space="preserve">Unattached Refugee Children (Output) </w:t>
            </w:r>
          </w:p>
        </w:tc>
        <w:tc>
          <w:tcPr>
            <w:tcW w:w="1361" w:type="dxa"/>
            <w:shd w:val="clear" w:color="auto" w:fill="EEEEEF" w:themeFill="accent4"/>
            <w:noWrap/>
          </w:tcPr>
          <w:p w14:paraId="46FF52E4" w14:textId="77777777" w:rsidR="00265792" w:rsidRPr="00CB00C2" w:rsidRDefault="00265792" w:rsidP="0032465E">
            <w:pPr>
              <w:pStyle w:val="ARfintablebodyright"/>
            </w:pPr>
            <w:r w:rsidRPr="001D734C">
              <w:t>4.2</w:t>
            </w:r>
          </w:p>
        </w:tc>
        <w:tc>
          <w:tcPr>
            <w:tcW w:w="1361" w:type="dxa"/>
            <w:noWrap/>
          </w:tcPr>
          <w:p w14:paraId="4C1BE1B3" w14:textId="77777777" w:rsidR="00265792" w:rsidRPr="00CB00C2" w:rsidRDefault="00265792" w:rsidP="0032465E">
            <w:pPr>
              <w:pStyle w:val="ARfintablebodyright"/>
            </w:pPr>
            <w:r w:rsidRPr="001D734C">
              <w:t>2.2</w:t>
            </w:r>
          </w:p>
        </w:tc>
      </w:tr>
      <w:tr w:rsidR="00265792" w:rsidRPr="00BA7805" w14:paraId="77903F8C" w14:textId="77777777" w:rsidTr="00CB3CA9">
        <w:tc>
          <w:tcPr>
            <w:tcW w:w="6915" w:type="dxa"/>
          </w:tcPr>
          <w:p w14:paraId="11B0205E" w14:textId="77777777" w:rsidR="00265792" w:rsidRPr="00BA7805" w:rsidRDefault="00265792" w:rsidP="00CB3CA9">
            <w:pPr>
              <w:pStyle w:val="ARfintablebodyindent"/>
              <w:rPr>
                <w:highlight w:val="green"/>
              </w:rPr>
            </w:pPr>
            <w:r w:rsidRPr="001D734C">
              <w:t xml:space="preserve">Women's Safety Measures </w:t>
            </w:r>
            <w:r>
              <w:t>–</w:t>
            </w:r>
            <w:r w:rsidRPr="001D734C">
              <w:t xml:space="preserve"> Keeping Women Safe in Their Homes (Output) </w:t>
            </w:r>
          </w:p>
        </w:tc>
        <w:tc>
          <w:tcPr>
            <w:tcW w:w="1361" w:type="dxa"/>
            <w:shd w:val="clear" w:color="auto" w:fill="EEEEEF" w:themeFill="accent4"/>
            <w:noWrap/>
          </w:tcPr>
          <w:p w14:paraId="2CD67072" w14:textId="77777777" w:rsidR="00265792" w:rsidRPr="00B9036A" w:rsidRDefault="00265792" w:rsidP="0032465E">
            <w:pPr>
              <w:pStyle w:val="ARfintablebodyright"/>
            </w:pPr>
            <w:r w:rsidRPr="001D734C">
              <w:t>1.3</w:t>
            </w:r>
          </w:p>
        </w:tc>
        <w:tc>
          <w:tcPr>
            <w:tcW w:w="1361" w:type="dxa"/>
            <w:noWrap/>
          </w:tcPr>
          <w:p w14:paraId="39A48507" w14:textId="77777777" w:rsidR="00265792" w:rsidRPr="00B9036A" w:rsidRDefault="00265792" w:rsidP="0032465E">
            <w:pPr>
              <w:pStyle w:val="ARfintablebodyright"/>
            </w:pPr>
            <w:r w:rsidRPr="001D734C">
              <w:t>1.4</w:t>
            </w:r>
          </w:p>
        </w:tc>
      </w:tr>
      <w:tr w:rsidR="00265792" w:rsidRPr="00BA7805" w14:paraId="515EF0B0" w14:textId="77777777" w:rsidTr="00CB3CA9">
        <w:tc>
          <w:tcPr>
            <w:tcW w:w="6915" w:type="dxa"/>
          </w:tcPr>
          <w:p w14:paraId="73E2CE2D" w14:textId="77777777" w:rsidR="00265792" w:rsidRPr="00BA7805" w:rsidRDefault="00265792" w:rsidP="00CB3CA9">
            <w:pPr>
              <w:pStyle w:val="ARfintablebodyindent"/>
              <w:rPr>
                <w:highlight w:val="green"/>
              </w:rPr>
            </w:pPr>
            <w:r w:rsidRPr="001D734C">
              <w:t xml:space="preserve">Women's Safety Measures </w:t>
            </w:r>
            <w:r>
              <w:t>–</w:t>
            </w:r>
            <w:r w:rsidRPr="001D734C">
              <w:t xml:space="preserve"> Local Support Coordinator (Output) </w:t>
            </w:r>
          </w:p>
        </w:tc>
        <w:tc>
          <w:tcPr>
            <w:tcW w:w="1361" w:type="dxa"/>
            <w:shd w:val="clear" w:color="auto" w:fill="EEEEEF" w:themeFill="accent4"/>
            <w:noWrap/>
          </w:tcPr>
          <w:p w14:paraId="5F0C78FA" w14:textId="77777777" w:rsidR="00265792" w:rsidRPr="00BA7805" w:rsidRDefault="00265792" w:rsidP="0032465E">
            <w:pPr>
              <w:pStyle w:val="ARfintablebodyright"/>
              <w:rPr>
                <w:highlight w:val="green"/>
              </w:rPr>
            </w:pPr>
            <w:r>
              <w:t>–</w:t>
            </w:r>
          </w:p>
        </w:tc>
        <w:tc>
          <w:tcPr>
            <w:tcW w:w="1361" w:type="dxa"/>
            <w:noWrap/>
          </w:tcPr>
          <w:p w14:paraId="7C89E68F" w14:textId="77777777" w:rsidR="00265792" w:rsidRPr="00BA7805" w:rsidRDefault="00265792" w:rsidP="0032465E">
            <w:pPr>
              <w:pStyle w:val="ARfintablebodyright"/>
              <w:rPr>
                <w:highlight w:val="green"/>
              </w:rPr>
            </w:pPr>
            <w:r w:rsidRPr="001D734C">
              <w:t>0.1</w:t>
            </w:r>
          </w:p>
        </w:tc>
      </w:tr>
      <w:tr w:rsidR="00265792" w:rsidRPr="00BA7805" w14:paraId="172BC47D" w14:textId="77777777" w:rsidTr="00B37289">
        <w:tc>
          <w:tcPr>
            <w:tcW w:w="6915" w:type="dxa"/>
            <w:tcBorders>
              <w:bottom w:val="single" w:sz="4" w:space="0" w:color="A6A6A6" w:themeColor="accent5"/>
            </w:tcBorders>
          </w:tcPr>
          <w:p w14:paraId="424469C7" w14:textId="77777777" w:rsidR="00265792" w:rsidRPr="00BA7805" w:rsidRDefault="00265792" w:rsidP="00CB3CA9">
            <w:pPr>
              <w:pStyle w:val="ARfintablebodyindent"/>
              <w:rPr>
                <w:highlight w:val="green"/>
              </w:rPr>
            </w:pPr>
            <w:r w:rsidRPr="001D734C">
              <w:t>National Disability Data Asset (Output)</w:t>
            </w:r>
            <w:r>
              <w:t xml:space="preserve"> </w:t>
            </w:r>
          </w:p>
        </w:tc>
        <w:tc>
          <w:tcPr>
            <w:tcW w:w="1361" w:type="dxa"/>
            <w:tcBorders>
              <w:bottom w:val="single" w:sz="4" w:space="0" w:color="A6A6A6" w:themeColor="accent5"/>
            </w:tcBorders>
            <w:shd w:val="clear" w:color="auto" w:fill="EEEEEF" w:themeFill="accent4"/>
            <w:noWrap/>
          </w:tcPr>
          <w:p w14:paraId="559AC8F7" w14:textId="77777777" w:rsidR="00265792" w:rsidRPr="00BA7805" w:rsidRDefault="00265792" w:rsidP="0032465E">
            <w:pPr>
              <w:pStyle w:val="ARfintablebodyright"/>
              <w:rPr>
                <w:highlight w:val="green"/>
              </w:rPr>
            </w:pPr>
            <w:r w:rsidRPr="001D734C">
              <w:t>0.5</w:t>
            </w:r>
          </w:p>
        </w:tc>
        <w:tc>
          <w:tcPr>
            <w:tcW w:w="1361" w:type="dxa"/>
            <w:tcBorders>
              <w:bottom w:val="single" w:sz="4" w:space="0" w:color="A6A6A6" w:themeColor="accent5"/>
            </w:tcBorders>
            <w:noWrap/>
          </w:tcPr>
          <w:p w14:paraId="2E1C851F" w14:textId="77777777" w:rsidR="00265792" w:rsidRPr="00BA7805" w:rsidRDefault="00265792" w:rsidP="0032465E">
            <w:pPr>
              <w:pStyle w:val="ARfintablebodyright"/>
              <w:rPr>
                <w:highlight w:val="green"/>
              </w:rPr>
            </w:pPr>
            <w:r>
              <w:t>–</w:t>
            </w:r>
          </w:p>
        </w:tc>
      </w:tr>
      <w:tr w:rsidR="00265792" w:rsidRPr="00BA7805" w14:paraId="28B143BB" w14:textId="77777777" w:rsidTr="00B37289">
        <w:tc>
          <w:tcPr>
            <w:tcW w:w="6915" w:type="dxa"/>
            <w:tcBorders>
              <w:top w:val="single" w:sz="4" w:space="0" w:color="A6A6A6" w:themeColor="accent5"/>
              <w:bottom w:val="single" w:sz="4" w:space="0" w:color="000000" w:themeColor="text1"/>
            </w:tcBorders>
          </w:tcPr>
          <w:p w14:paraId="051DBB2B" w14:textId="77777777" w:rsidR="00265792" w:rsidRPr="00BA7805" w:rsidRDefault="00265792" w:rsidP="00CB3CA9">
            <w:pPr>
              <w:pStyle w:val="ARfintablebodyindent"/>
              <w:rPr>
                <w:highlight w:val="green"/>
              </w:rPr>
            </w:pPr>
            <w:r w:rsidRPr="001D734C">
              <w:t xml:space="preserve">Pacific regional engagement in the Women Deliver 2026 Global Conference (Output) </w:t>
            </w:r>
          </w:p>
        </w:tc>
        <w:tc>
          <w:tcPr>
            <w:tcW w:w="1361" w:type="dxa"/>
            <w:tcBorders>
              <w:top w:val="single" w:sz="4" w:space="0" w:color="A6A6A6" w:themeColor="accent5"/>
              <w:bottom w:val="single" w:sz="4" w:space="0" w:color="000000" w:themeColor="text1"/>
            </w:tcBorders>
            <w:shd w:val="clear" w:color="auto" w:fill="EEEEEF" w:themeFill="accent4"/>
            <w:noWrap/>
          </w:tcPr>
          <w:p w14:paraId="60A2063C" w14:textId="77777777" w:rsidR="00265792" w:rsidRPr="00BA7805" w:rsidRDefault="00265792" w:rsidP="0032465E">
            <w:pPr>
              <w:pStyle w:val="ARfintablebodyright"/>
              <w:rPr>
                <w:highlight w:val="green"/>
              </w:rPr>
            </w:pPr>
            <w:r w:rsidRPr="001D734C">
              <w:t>0.5</w:t>
            </w:r>
          </w:p>
        </w:tc>
        <w:tc>
          <w:tcPr>
            <w:tcW w:w="1361" w:type="dxa"/>
            <w:tcBorders>
              <w:top w:val="single" w:sz="4" w:space="0" w:color="A6A6A6" w:themeColor="accent5"/>
              <w:bottom w:val="single" w:sz="4" w:space="0" w:color="000000" w:themeColor="text1"/>
            </w:tcBorders>
            <w:noWrap/>
          </w:tcPr>
          <w:p w14:paraId="42D60CAE" w14:textId="21A7BA9B" w:rsidR="00265792" w:rsidRPr="00BA7805" w:rsidRDefault="00F91315" w:rsidP="0032465E">
            <w:pPr>
              <w:pStyle w:val="ARfintablebodyright"/>
              <w:rPr>
                <w:highlight w:val="green"/>
              </w:rPr>
            </w:pPr>
            <w:r>
              <w:t>–</w:t>
            </w:r>
          </w:p>
        </w:tc>
      </w:tr>
      <w:tr w:rsidR="00265792" w:rsidRPr="00BA7805" w14:paraId="36F9721D" w14:textId="77777777" w:rsidTr="00B37289">
        <w:tc>
          <w:tcPr>
            <w:tcW w:w="6915" w:type="dxa"/>
            <w:tcBorders>
              <w:top w:val="single" w:sz="4" w:space="0" w:color="000000" w:themeColor="text1"/>
              <w:bottom w:val="single" w:sz="4" w:space="0" w:color="000000" w:themeColor="text1"/>
            </w:tcBorders>
          </w:tcPr>
          <w:p w14:paraId="33803294" w14:textId="77777777" w:rsidR="00265792" w:rsidRPr="00BA7805" w:rsidRDefault="00265792" w:rsidP="0032465E">
            <w:pPr>
              <w:pStyle w:val="ARfintablebody"/>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582122D8" w14:textId="77777777" w:rsidR="00265792" w:rsidRPr="00BA7805" w:rsidRDefault="00265792" w:rsidP="00B37289">
            <w:pPr>
              <w:pStyle w:val="ARfintablebodyrightbold"/>
              <w:rPr>
                <w:highlight w:val="green"/>
              </w:rPr>
            </w:pPr>
            <w:r w:rsidRPr="001D734C">
              <w:t>1,351.8</w:t>
            </w:r>
          </w:p>
        </w:tc>
        <w:tc>
          <w:tcPr>
            <w:tcW w:w="1361" w:type="dxa"/>
            <w:tcBorders>
              <w:top w:val="single" w:sz="4" w:space="0" w:color="000000" w:themeColor="text1"/>
              <w:bottom w:val="single" w:sz="4" w:space="0" w:color="000000" w:themeColor="text1"/>
            </w:tcBorders>
            <w:noWrap/>
          </w:tcPr>
          <w:p w14:paraId="0A429276" w14:textId="77777777" w:rsidR="00265792" w:rsidRPr="00BA7805" w:rsidRDefault="00265792" w:rsidP="00B37289">
            <w:pPr>
              <w:pStyle w:val="ARfintablebodyrightbold"/>
              <w:rPr>
                <w:highlight w:val="green"/>
              </w:rPr>
            </w:pPr>
            <w:r w:rsidRPr="001D734C">
              <w:t>650.4</w:t>
            </w:r>
          </w:p>
        </w:tc>
      </w:tr>
      <w:tr w:rsidR="00265792" w:rsidRPr="00BA7805" w14:paraId="51EDF1F4" w14:textId="77777777" w:rsidTr="00B37289">
        <w:trPr>
          <w:cnfStyle w:val="010000000000" w:firstRow="0" w:lastRow="1" w:firstColumn="0" w:lastColumn="0" w:oddVBand="0" w:evenVBand="0" w:oddHBand="0" w:evenHBand="0" w:firstRowFirstColumn="0" w:firstRowLastColumn="0" w:lastRowFirstColumn="0" w:lastRowLastColumn="0"/>
        </w:trPr>
        <w:tc>
          <w:tcPr>
            <w:tcW w:w="6915" w:type="dxa"/>
          </w:tcPr>
          <w:p w14:paraId="1A9B93AF" w14:textId="77777777" w:rsidR="00265792" w:rsidRPr="00BA7805" w:rsidRDefault="00265792" w:rsidP="0032465E">
            <w:pPr>
              <w:pStyle w:val="ARfintablebodybold"/>
              <w:rPr>
                <w:highlight w:val="green"/>
              </w:rPr>
            </w:pPr>
            <w:r w:rsidRPr="001D734C">
              <w:t xml:space="preserve">Total annotated income agreements </w:t>
            </w:r>
          </w:p>
        </w:tc>
        <w:tc>
          <w:tcPr>
            <w:tcW w:w="1361" w:type="dxa"/>
            <w:shd w:val="clear" w:color="auto" w:fill="EEEEEF" w:themeFill="accent4"/>
            <w:noWrap/>
          </w:tcPr>
          <w:p w14:paraId="5D7D6F8C" w14:textId="77777777" w:rsidR="00265792" w:rsidRPr="00BA7805" w:rsidRDefault="00265792" w:rsidP="00CB3CA9">
            <w:pPr>
              <w:pStyle w:val="ARfintablebodyrightbold"/>
              <w:rPr>
                <w:highlight w:val="green"/>
              </w:rPr>
            </w:pPr>
            <w:r w:rsidRPr="001D734C">
              <w:t>1,410.1</w:t>
            </w:r>
          </w:p>
        </w:tc>
        <w:tc>
          <w:tcPr>
            <w:tcW w:w="1361" w:type="dxa"/>
            <w:noWrap/>
          </w:tcPr>
          <w:p w14:paraId="302D38EF" w14:textId="77777777" w:rsidR="00265792" w:rsidRPr="00BA7805" w:rsidRDefault="00265792" w:rsidP="00CB3CA9">
            <w:pPr>
              <w:pStyle w:val="ARfintablebodyrightbold"/>
              <w:rPr>
                <w:highlight w:val="green"/>
              </w:rPr>
            </w:pPr>
            <w:r w:rsidRPr="001D734C">
              <w:t>698.6</w:t>
            </w:r>
          </w:p>
        </w:tc>
      </w:tr>
    </w:tbl>
    <w:p w14:paraId="30680245" w14:textId="77777777" w:rsidR="00265792" w:rsidRDefault="00265792" w:rsidP="002542E1">
      <w:pPr>
        <w:pStyle w:val="ARfinbody"/>
        <w:rPr>
          <w:highlight w:val="green"/>
        </w:rPr>
      </w:pPr>
      <w:r>
        <w:rPr>
          <w:highlight w:val="green"/>
        </w:rPr>
        <w:br w:type="page"/>
      </w:r>
    </w:p>
    <w:p w14:paraId="212BE8BC" w14:textId="77777777" w:rsidR="00265792" w:rsidRPr="006D6015" w:rsidRDefault="00265792" w:rsidP="002A748F">
      <w:pPr>
        <w:pStyle w:val="Heading3"/>
        <w:spacing w:before="0"/>
      </w:pPr>
      <w:bookmarkStart w:id="268" w:name="_Toc212041658"/>
      <w:r w:rsidRPr="006D6015">
        <w:lastRenderedPageBreak/>
        <w:t>3. The cost of delivering services</w:t>
      </w:r>
      <w:bookmarkEnd w:id="268"/>
    </w:p>
    <w:p w14:paraId="2C8C3BB4" w14:textId="77777777" w:rsidR="00265792" w:rsidRDefault="00265792" w:rsidP="002542E1">
      <w:pPr>
        <w:pStyle w:val="Heading4"/>
      </w:pPr>
      <w:r>
        <w:t>Introduction</w:t>
      </w:r>
    </w:p>
    <w:p w14:paraId="1ADB4634" w14:textId="49B1861E" w:rsidR="00265792" w:rsidRDefault="00265792" w:rsidP="00B41B90">
      <w:pPr>
        <w:pStyle w:val="ARfinbody"/>
      </w:pPr>
      <w:r>
        <w:t xml:space="preserve">This section provides an account of the expenses incurred by the department in delivering services and outputs. </w:t>
      </w:r>
      <w:r>
        <w:br/>
        <w:t xml:space="preserve">In Note 2 </w:t>
      </w:r>
      <w:r w:rsidR="007968F0">
        <w:t>‘</w:t>
      </w:r>
      <w:r>
        <w:t>Funding delivery of our services</w:t>
      </w:r>
      <w:r w:rsidR="007968F0">
        <w:t>’</w:t>
      </w:r>
      <w:r>
        <w:t xml:space="preserve">, the funds that enable the provision of services were disclosed and in this note the costs associated with the provision of services are recorded. Note 4 </w:t>
      </w:r>
      <w:r w:rsidR="007968F0">
        <w:t>‘</w:t>
      </w:r>
      <w:r>
        <w:t>Disaggregated financial information by output</w:t>
      </w:r>
      <w:r w:rsidR="007968F0">
        <w:t>’</w:t>
      </w:r>
      <w:r>
        <w:t xml:space="preserve"> discloses aggregated information in relation to the income and expenses by output.</w:t>
      </w:r>
    </w:p>
    <w:p w14:paraId="6920FC40" w14:textId="77777777" w:rsidR="00265792" w:rsidRDefault="00265792" w:rsidP="00B41B90">
      <w:pPr>
        <w:pStyle w:val="Heading4"/>
      </w:pPr>
      <w:r>
        <w:t>Structure</w:t>
      </w:r>
    </w:p>
    <w:p w14:paraId="317A0868" w14:textId="77777777" w:rsidR="00265792" w:rsidRDefault="00265792" w:rsidP="007C0D2D">
      <w:pPr>
        <w:pStyle w:val="ARfinstructure1"/>
      </w:pPr>
      <w:r>
        <w:t xml:space="preserve">3.1 </w:t>
      </w:r>
      <w:r>
        <w:tab/>
        <w:t>Expenses incurred in delivery of services</w:t>
      </w:r>
    </w:p>
    <w:p w14:paraId="31A13980" w14:textId="77777777" w:rsidR="00265792" w:rsidRDefault="00265792" w:rsidP="007C0D2D">
      <w:pPr>
        <w:pStyle w:val="ARfinstructure2"/>
      </w:pPr>
      <w:r>
        <w:t xml:space="preserve">3.1.1 </w:t>
      </w:r>
      <w:r>
        <w:tab/>
        <w:t>Employee benefits</w:t>
      </w:r>
    </w:p>
    <w:p w14:paraId="1127B46D" w14:textId="77777777" w:rsidR="00265792" w:rsidRDefault="00265792" w:rsidP="007C0D2D">
      <w:pPr>
        <w:pStyle w:val="ARfinstructure2"/>
      </w:pPr>
      <w:r>
        <w:t xml:space="preserve">3.1.2 </w:t>
      </w:r>
      <w:r>
        <w:tab/>
        <w:t>Grants and other transfers</w:t>
      </w:r>
    </w:p>
    <w:p w14:paraId="3B4173AB" w14:textId="77777777" w:rsidR="00265792" w:rsidRDefault="00265792" w:rsidP="007C0D2D">
      <w:pPr>
        <w:pStyle w:val="ARfinstructure2"/>
      </w:pPr>
      <w:r>
        <w:t xml:space="preserve">3.1.3 </w:t>
      </w:r>
      <w:r>
        <w:tab/>
        <w:t>Other operating expenses</w:t>
      </w:r>
    </w:p>
    <w:p w14:paraId="58FF3831" w14:textId="77777777" w:rsidR="00265792" w:rsidRPr="00B41B90" w:rsidRDefault="00265792" w:rsidP="007C0D2D">
      <w:pPr>
        <w:pStyle w:val="ARfinstructure2"/>
      </w:pPr>
      <w:r>
        <w:t xml:space="preserve">3.1.4 </w:t>
      </w:r>
      <w:r>
        <w:tab/>
        <w:t>Property management expenses</w:t>
      </w:r>
    </w:p>
    <w:p w14:paraId="521B9E2B" w14:textId="77777777" w:rsidR="00265792" w:rsidRPr="00D0721A" w:rsidRDefault="00265792">
      <w:pPr>
        <w:pStyle w:val="Heading4"/>
        <w:rPr>
          <w:lang w:eastAsia="en-AU"/>
        </w:rPr>
      </w:pPr>
      <w:r w:rsidRPr="00D0721A">
        <w:rPr>
          <w:lang w:eastAsia="en-AU"/>
        </w:rPr>
        <w:t>3.1 Expenses incurred in delivery of services</w:t>
      </w:r>
    </w:p>
    <w:tbl>
      <w:tblPr>
        <w:tblStyle w:val="TableGrid"/>
        <w:tblW w:w="9637" w:type="dxa"/>
        <w:tblLayout w:type="fixed"/>
        <w:tblLook w:val="06E0" w:firstRow="1" w:lastRow="1" w:firstColumn="1" w:lastColumn="0" w:noHBand="1" w:noVBand="1"/>
      </w:tblPr>
      <w:tblGrid>
        <w:gridCol w:w="6064"/>
        <w:gridCol w:w="851"/>
        <w:gridCol w:w="1361"/>
        <w:gridCol w:w="1361"/>
      </w:tblGrid>
      <w:tr w:rsidR="00265792" w:rsidRPr="00BA7805" w14:paraId="027328CB" w14:textId="77777777" w:rsidTr="001513A6">
        <w:trPr>
          <w:cnfStyle w:val="100000000000" w:firstRow="1" w:lastRow="0" w:firstColumn="0" w:lastColumn="0" w:oddVBand="0" w:evenVBand="0" w:oddHBand="0" w:evenHBand="0" w:firstRowFirstColumn="0" w:firstRowLastColumn="0" w:lastRowFirstColumn="0" w:lastRowLastColumn="0"/>
          <w:tblHeader/>
        </w:trPr>
        <w:tc>
          <w:tcPr>
            <w:tcW w:w="6064" w:type="dxa"/>
            <w:noWrap/>
            <w:hideMark/>
          </w:tcPr>
          <w:p w14:paraId="088FC6D2" w14:textId="77777777" w:rsidR="00265792" w:rsidRPr="00BA7805" w:rsidRDefault="00265792">
            <w:pPr>
              <w:pStyle w:val="ARfintablecolhead"/>
              <w:rPr>
                <w:highlight w:val="green"/>
              </w:rPr>
            </w:pPr>
          </w:p>
        </w:tc>
        <w:tc>
          <w:tcPr>
            <w:tcW w:w="851" w:type="dxa"/>
            <w:noWrap/>
            <w:hideMark/>
          </w:tcPr>
          <w:p w14:paraId="0ECB08AF" w14:textId="77777777" w:rsidR="00265792" w:rsidRPr="00D0721A" w:rsidRDefault="00265792" w:rsidP="00DF220B">
            <w:pPr>
              <w:pStyle w:val="ARfintablecolheadright"/>
            </w:pPr>
            <w:r w:rsidRPr="00D0721A">
              <w:t>Note</w:t>
            </w:r>
          </w:p>
        </w:tc>
        <w:tc>
          <w:tcPr>
            <w:tcW w:w="1361" w:type="dxa"/>
            <w:shd w:val="clear" w:color="auto" w:fill="EEEEEF" w:themeFill="accent4"/>
            <w:hideMark/>
          </w:tcPr>
          <w:p w14:paraId="1E18E35D" w14:textId="77777777" w:rsidR="00265792" w:rsidRPr="00D0721A" w:rsidRDefault="00265792" w:rsidP="00DF220B">
            <w:pPr>
              <w:pStyle w:val="ARfintablecolheadright"/>
            </w:pPr>
            <w:r w:rsidRPr="00D0721A">
              <w:t>202</w:t>
            </w:r>
            <w:r>
              <w:t>5</w:t>
            </w:r>
          </w:p>
          <w:p w14:paraId="3BD72CB2" w14:textId="77777777" w:rsidR="00265792" w:rsidRPr="00D0721A" w:rsidRDefault="00265792" w:rsidP="00DF220B">
            <w:pPr>
              <w:pStyle w:val="ARfintablecolheadright"/>
            </w:pPr>
            <w:r w:rsidRPr="00D0721A">
              <w:t>$M</w:t>
            </w:r>
          </w:p>
        </w:tc>
        <w:tc>
          <w:tcPr>
            <w:tcW w:w="1361" w:type="dxa"/>
            <w:hideMark/>
          </w:tcPr>
          <w:p w14:paraId="48DA6E33" w14:textId="77777777" w:rsidR="00265792" w:rsidRPr="00D0721A" w:rsidRDefault="00265792" w:rsidP="00DF220B">
            <w:pPr>
              <w:pStyle w:val="ARfintablecolheadright"/>
            </w:pPr>
            <w:r w:rsidRPr="00D0721A">
              <w:t>202</w:t>
            </w:r>
            <w:r>
              <w:t>4</w:t>
            </w:r>
          </w:p>
          <w:p w14:paraId="7EC26394" w14:textId="77777777" w:rsidR="00265792" w:rsidRPr="00D0721A" w:rsidRDefault="00265792" w:rsidP="00DF220B">
            <w:pPr>
              <w:pStyle w:val="ARfintablecolheadright"/>
            </w:pPr>
            <w:r w:rsidRPr="00D0721A">
              <w:t>$M</w:t>
            </w:r>
          </w:p>
        </w:tc>
      </w:tr>
      <w:tr w:rsidR="00265792" w:rsidRPr="00BA7805" w14:paraId="01BD4E14" w14:textId="77777777" w:rsidTr="002057A2">
        <w:tc>
          <w:tcPr>
            <w:tcW w:w="6064" w:type="dxa"/>
          </w:tcPr>
          <w:p w14:paraId="16F0A953" w14:textId="77777777" w:rsidR="00265792" w:rsidRPr="00BA7805" w:rsidRDefault="00265792" w:rsidP="00CE0739">
            <w:pPr>
              <w:pStyle w:val="ARfintablebody"/>
              <w:rPr>
                <w:highlight w:val="green"/>
              </w:rPr>
            </w:pPr>
            <w:r w:rsidRPr="00A40CBD">
              <w:t>Employee benefits</w:t>
            </w:r>
          </w:p>
        </w:tc>
        <w:tc>
          <w:tcPr>
            <w:tcW w:w="851" w:type="dxa"/>
            <w:noWrap/>
          </w:tcPr>
          <w:p w14:paraId="299C83C3" w14:textId="77777777" w:rsidR="00265792" w:rsidRPr="00BA7805" w:rsidRDefault="00265792" w:rsidP="00CE0739">
            <w:pPr>
              <w:pStyle w:val="ARfintablebodyright"/>
              <w:rPr>
                <w:highlight w:val="green"/>
              </w:rPr>
            </w:pPr>
            <w:r w:rsidRPr="00A40CBD">
              <w:t>3.1.1(a)</w:t>
            </w:r>
          </w:p>
        </w:tc>
        <w:tc>
          <w:tcPr>
            <w:tcW w:w="1361" w:type="dxa"/>
            <w:shd w:val="clear" w:color="auto" w:fill="EEEEEF" w:themeFill="accent4"/>
            <w:noWrap/>
          </w:tcPr>
          <w:p w14:paraId="74779991" w14:textId="77777777" w:rsidR="00265792" w:rsidRPr="00BA7805" w:rsidRDefault="00265792" w:rsidP="00CE0739">
            <w:pPr>
              <w:pStyle w:val="ARfintablebodyright"/>
              <w:rPr>
                <w:highlight w:val="green"/>
              </w:rPr>
            </w:pPr>
            <w:r w:rsidRPr="00A40CBD">
              <w:t>1,087.6</w:t>
            </w:r>
          </w:p>
        </w:tc>
        <w:tc>
          <w:tcPr>
            <w:tcW w:w="1361" w:type="dxa"/>
            <w:noWrap/>
          </w:tcPr>
          <w:p w14:paraId="2B4B45B0" w14:textId="77777777" w:rsidR="00265792" w:rsidRPr="00BA7805" w:rsidRDefault="00265792" w:rsidP="00CE0739">
            <w:pPr>
              <w:pStyle w:val="ARfintablebodyright"/>
              <w:rPr>
                <w:highlight w:val="green"/>
              </w:rPr>
            </w:pPr>
            <w:r w:rsidRPr="00A40CBD">
              <w:t>987.9</w:t>
            </w:r>
          </w:p>
        </w:tc>
      </w:tr>
      <w:tr w:rsidR="00265792" w:rsidRPr="00BA7805" w14:paraId="06CACF8E" w14:textId="77777777" w:rsidTr="002057A2">
        <w:tc>
          <w:tcPr>
            <w:tcW w:w="6064" w:type="dxa"/>
          </w:tcPr>
          <w:p w14:paraId="56690046" w14:textId="77777777" w:rsidR="00265792" w:rsidRPr="00BA7805" w:rsidRDefault="00265792" w:rsidP="00CE0739">
            <w:pPr>
              <w:pStyle w:val="ARfintablebody"/>
              <w:rPr>
                <w:highlight w:val="green"/>
              </w:rPr>
            </w:pPr>
            <w:r w:rsidRPr="00A40CBD">
              <w:t>Grants and other transfers</w:t>
            </w:r>
          </w:p>
        </w:tc>
        <w:tc>
          <w:tcPr>
            <w:tcW w:w="851" w:type="dxa"/>
            <w:noWrap/>
          </w:tcPr>
          <w:p w14:paraId="153C6150" w14:textId="77777777" w:rsidR="00265792" w:rsidRPr="00BA7805" w:rsidRDefault="00265792" w:rsidP="00CE0739">
            <w:pPr>
              <w:pStyle w:val="ARfintablebodyright"/>
              <w:rPr>
                <w:highlight w:val="green"/>
              </w:rPr>
            </w:pPr>
            <w:r w:rsidRPr="00A40CBD">
              <w:t>3.1.2</w:t>
            </w:r>
          </w:p>
        </w:tc>
        <w:tc>
          <w:tcPr>
            <w:tcW w:w="1361" w:type="dxa"/>
            <w:shd w:val="clear" w:color="auto" w:fill="EEEEEF" w:themeFill="accent4"/>
            <w:noWrap/>
          </w:tcPr>
          <w:p w14:paraId="486E0969" w14:textId="77777777" w:rsidR="00265792" w:rsidRPr="00BA7805" w:rsidRDefault="00265792" w:rsidP="00CE0739">
            <w:pPr>
              <w:pStyle w:val="ARfintablebodyright"/>
              <w:rPr>
                <w:highlight w:val="green"/>
              </w:rPr>
            </w:pPr>
            <w:r w:rsidRPr="00A40CBD">
              <w:t>4,952.9</w:t>
            </w:r>
          </w:p>
        </w:tc>
        <w:tc>
          <w:tcPr>
            <w:tcW w:w="1361" w:type="dxa"/>
            <w:noWrap/>
          </w:tcPr>
          <w:p w14:paraId="406BE8B2" w14:textId="77777777" w:rsidR="00265792" w:rsidRPr="00BA7805" w:rsidRDefault="00265792" w:rsidP="00CE0739">
            <w:pPr>
              <w:pStyle w:val="ARfintablebodyright"/>
              <w:rPr>
                <w:highlight w:val="green"/>
              </w:rPr>
            </w:pPr>
            <w:r w:rsidRPr="00A40CBD">
              <w:t>4,278.6</w:t>
            </w:r>
          </w:p>
        </w:tc>
      </w:tr>
      <w:tr w:rsidR="00265792" w:rsidRPr="00BA7805" w14:paraId="2909871F" w14:textId="77777777" w:rsidTr="002057A2">
        <w:tc>
          <w:tcPr>
            <w:tcW w:w="6064" w:type="dxa"/>
          </w:tcPr>
          <w:p w14:paraId="2D893ABA" w14:textId="77777777" w:rsidR="00265792" w:rsidRPr="00BA7805" w:rsidRDefault="00265792" w:rsidP="00CE0739">
            <w:pPr>
              <w:pStyle w:val="ARfintablebody"/>
              <w:rPr>
                <w:highlight w:val="green"/>
              </w:rPr>
            </w:pPr>
            <w:r w:rsidRPr="00A40CBD">
              <w:t>Other operating expenses</w:t>
            </w:r>
          </w:p>
        </w:tc>
        <w:tc>
          <w:tcPr>
            <w:tcW w:w="851" w:type="dxa"/>
            <w:noWrap/>
          </w:tcPr>
          <w:p w14:paraId="049EB7A2" w14:textId="77777777" w:rsidR="00265792" w:rsidRPr="00BA7805" w:rsidRDefault="00265792" w:rsidP="00CE0739">
            <w:pPr>
              <w:pStyle w:val="ARfintablebodyright"/>
              <w:rPr>
                <w:highlight w:val="green"/>
              </w:rPr>
            </w:pPr>
            <w:r w:rsidRPr="00A40CBD">
              <w:t>3.1.3</w:t>
            </w:r>
          </w:p>
        </w:tc>
        <w:tc>
          <w:tcPr>
            <w:tcW w:w="1361" w:type="dxa"/>
            <w:shd w:val="clear" w:color="auto" w:fill="EEEEEF" w:themeFill="accent4"/>
            <w:noWrap/>
          </w:tcPr>
          <w:p w14:paraId="57F76EF5" w14:textId="77777777" w:rsidR="00265792" w:rsidRPr="00BA7805" w:rsidRDefault="00265792" w:rsidP="00CE0739">
            <w:pPr>
              <w:pStyle w:val="ARfintablebodyright"/>
              <w:rPr>
                <w:highlight w:val="green"/>
              </w:rPr>
            </w:pPr>
            <w:r w:rsidRPr="00A40CBD">
              <w:t>693.4</w:t>
            </w:r>
          </w:p>
        </w:tc>
        <w:tc>
          <w:tcPr>
            <w:tcW w:w="1361" w:type="dxa"/>
            <w:noWrap/>
          </w:tcPr>
          <w:p w14:paraId="4A68942E" w14:textId="77777777" w:rsidR="00265792" w:rsidRPr="00BA7805" w:rsidRDefault="00265792" w:rsidP="00CE0739">
            <w:pPr>
              <w:pStyle w:val="ARfintablebodyright"/>
              <w:rPr>
                <w:highlight w:val="green"/>
              </w:rPr>
            </w:pPr>
            <w:r w:rsidRPr="00A40CBD">
              <w:t>770.4</w:t>
            </w:r>
          </w:p>
        </w:tc>
      </w:tr>
      <w:tr w:rsidR="00265792" w:rsidRPr="00BA7805" w14:paraId="7CCA399D" w14:textId="77777777" w:rsidTr="002057A2">
        <w:tc>
          <w:tcPr>
            <w:tcW w:w="6064" w:type="dxa"/>
          </w:tcPr>
          <w:p w14:paraId="6D918501" w14:textId="77777777" w:rsidR="00265792" w:rsidRPr="00BA7805" w:rsidRDefault="00265792" w:rsidP="00CE0739">
            <w:pPr>
              <w:pStyle w:val="ARfintablebody"/>
              <w:rPr>
                <w:highlight w:val="green"/>
              </w:rPr>
            </w:pPr>
            <w:r w:rsidRPr="00A40CBD">
              <w:t>Property management expenses</w:t>
            </w:r>
          </w:p>
        </w:tc>
        <w:tc>
          <w:tcPr>
            <w:tcW w:w="851" w:type="dxa"/>
            <w:noWrap/>
          </w:tcPr>
          <w:p w14:paraId="02A861EA" w14:textId="77777777" w:rsidR="00265792" w:rsidRPr="00BA7805" w:rsidRDefault="00265792" w:rsidP="00CE0739">
            <w:pPr>
              <w:pStyle w:val="ARfintablebodyright"/>
              <w:rPr>
                <w:highlight w:val="green"/>
              </w:rPr>
            </w:pPr>
            <w:r w:rsidRPr="00A40CBD">
              <w:t>3.1.4</w:t>
            </w:r>
          </w:p>
        </w:tc>
        <w:tc>
          <w:tcPr>
            <w:tcW w:w="1361" w:type="dxa"/>
            <w:shd w:val="clear" w:color="auto" w:fill="EEEEEF" w:themeFill="accent4"/>
            <w:noWrap/>
          </w:tcPr>
          <w:p w14:paraId="10C10CE0" w14:textId="77777777" w:rsidR="00265792" w:rsidRPr="00BA7805" w:rsidRDefault="00265792" w:rsidP="00CE0739">
            <w:pPr>
              <w:pStyle w:val="ARfintablebodyright"/>
              <w:rPr>
                <w:highlight w:val="green"/>
              </w:rPr>
            </w:pPr>
            <w:r w:rsidRPr="00A40CBD">
              <w:t>542.2</w:t>
            </w:r>
          </w:p>
        </w:tc>
        <w:tc>
          <w:tcPr>
            <w:tcW w:w="1361" w:type="dxa"/>
            <w:noWrap/>
          </w:tcPr>
          <w:p w14:paraId="5917B010" w14:textId="77777777" w:rsidR="00265792" w:rsidRPr="00BA7805" w:rsidRDefault="00265792" w:rsidP="00CE0739">
            <w:pPr>
              <w:pStyle w:val="ARfintablebodyright"/>
              <w:rPr>
                <w:highlight w:val="green"/>
              </w:rPr>
            </w:pPr>
            <w:r w:rsidRPr="00A40CBD">
              <w:t>552.8</w:t>
            </w:r>
          </w:p>
        </w:tc>
      </w:tr>
      <w:tr w:rsidR="00265792" w:rsidRPr="00BA7805" w14:paraId="38BE3343" w14:textId="77777777" w:rsidTr="002057A2">
        <w:trPr>
          <w:cnfStyle w:val="010000000000" w:firstRow="0" w:lastRow="1" w:firstColumn="0" w:lastColumn="0" w:oddVBand="0" w:evenVBand="0" w:oddHBand="0" w:evenHBand="0" w:firstRowFirstColumn="0" w:firstRowLastColumn="0" w:lastRowFirstColumn="0" w:lastRowLastColumn="0"/>
        </w:trPr>
        <w:tc>
          <w:tcPr>
            <w:tcW w:w="6064" w:type="dxa"/>
          </w:tcPr>
          <w:p w14:paraId="75113A23" w14:textId="77777777" w:rsidR="00265792" w:rsidRPr="00BA7805" w:rsidRDefault="00265792" w:rsidP="00D27740">
            <w:pPr>
              <w:pStyle w:val="ARfintablebodybold"/>
              <w:rPr>
                <w:highlight w:val="green"/>
              </w:rPr>
            </w:pPr>
            <w:r w:rsidRPr="00A40CBD">
              <w:t>Total expenses incurred in delivery of services</w:t>
            </w:r>
          </w:p>
        </w:tc>
        <w:tc>
          <w:tcPr>
            <w:tcW w:w="851" w:type="dxa"/>
          </w:tcPr>
          <w:p w14:paraId="30F04588" w14:textId="77777777" w:rsidR="00265792" w:rsidRPr="00BA7805" w:rsidRDefault="00265792" w:rsidP="00CE0739">
            <w:pPr>
              <w:pStyle w:val="ARfintablebodyright"/>
              <w:rPr>
                <w:highlight w:val="green"/>
              </w:rPr>
            </w:pPr>
          </w:p>
        </w:tc>
        <w:tc>
          <w:tcPr>
            <w:tcW w:w="1361" w:type="dxa"/>
            <w:shd w:val="clear" w:color="auto" w:fill="EEEEEF" w:themeFill="accent4"/>
            <w:noWrap/>
          </w:tcPr>
          <w:p w14:paraId="0CA82CC7" w14:textId="77777777" w:rsidR="00265792" w:rsidRPr="00BA7805" w:rsidRDefault="00265792" w:rsidP="00D27740">
            <w:pPr>
              <w:pStyle w:val="ARfintablebodyrightbold"/>
              <w:rPr>
                <w:highlight w:val="green"/>
              </w:rPr>
            </w:pPr>
            <w:r w:rsidRPr="00A40CBD">
              <w:t>7,276.1</w:t>
            </w:r>
          </w:p>
        </w:tc>
        <w:tc>
          <w:tcPr>
            <w:tcW w:w="1361" w:type="dxa"/>
            <w:noWrap/>
          </w:tcPr>
          <w:p w14:paraId="2ACA94E1" w14:textId="77777777" w:rsidR="00265792" w:rsidRPr="00BA7805" w:rsidRDefault="00265792" w:rsidP="00D27740">
            <w:pPr>
              <w:pStyle w:val="ARfintablebodyrightbold"/>
              <w:rPr>
                <w:highlight w:val="green"/>
              </w:rPr>
            </w:pPr>
            <w:r w:rsidRPr="00A40CBD">
              <w:t>6,589.7</w:t>
            </w:r>
          </w:p>
        </w:tc>
      </w:tr>
    </w:tbl>
    <w:p w14:paraId="73C15BAA" w14:textId="77777777" w:rsidR="00265792" w:rsidRPr="0074661C" w:rsidRDefault="00265792" w:rsidP="00207901">
      <w:pPr>
        <w:pStyle w:val="Heading5"/>
        <w:rPr>
          <w:lang w:eastAsia="en-AU"/>
        </w:rPr>
      </w:pPr>
      <w:r w:rsidRPr="0074661C">
        <w:rPr>
          <w:lang w:eastAsia="en-AU"/>
        </w:rPr>
        <w:t>3.1.1 Employee benefits</w:t>
      </w:r>
    </w:p>
    <w:p w14:paraId="5BE69027" w14:textId="77777777" w:rsidR="00265792" w:rsidRPr="0074661C" w:rsidRDefault="00265792">
      <w:pPr>
        <w:pStyle w:val="Heading6"/>
        <w:spacing w:before="160"/>
        <w:rPr>
          <w:lang w:eastAsia="en-AU"/>
        </w:rPr>
      </w:pPr>
      <w:r w:rsidRPr="0074661C">
        <w:rPr>
          <w:lang w:eastAsia="en-AU"/>
        </w:rPr>
        <w:t>3.1.1(a) Employee benefits in the comprehensive operating statement</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149A9A02" w14:textId="77777777" w:rsidTr="005A6FE3">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37350AB3" w14:textId="77777777" w:rsidR="00265792" w:rsidRPr="00BA7805" w:rsidRDefault="00265792">
            <w:pPr>
              <w:pStyle w:val="ARfintablecolhead"/>
              <w:rPr>
                <w:highlight w:val="green"/>
              </w:rPr>
            </w:pPr>
          </w:p>
        </w:tc>
        <w:tc>
          <w:tcPr>
            <w:tcW w:w="1361" w:type="dxa"/>
            <w:tcBorders>
              <w:bottom w:val="single" w:sz="4" w:space="0" w:color="auto"/>
            </w:tcBorders>
            <w:shd w:val="clear" w:color="auto" w:fill="E7E6E6"/>
            <w:hideMark/>
          </w:tcPr>
          <w:p w14:paraId="08E84966" w14:textId="77777777" w:rsidR="00265792" w:rsidRPr="00C609D5" w:rsidRDefault="00265792">
            <w:pPr>
              <w:pStyle w:val="ARfintablecolheadright"/>
            </w:pPr>
            <w:r w:rsidRPr="00C609D5">
              <w:t>202</w:t>
            </w:r>
            <w:r>
              <w:t>5</w:t>
            </w:r>
          </w:p>
          <w:p w14:paraId="525495C3" w14:textId="77777777" w:rsidR="00265792" w:rsidRPr="00C609D5" w:rsidRDefault="00265792">
            <w:pPr>
              <w:pStyle w:val="ARfintablecolheadright"/>
            </w:pPr>
            <w:r w:rsidRPr="00C609D5">
              <w:t>$M</w:t>
            </w:r>
          </w:p>
        </w:tc>
        <w:tc>
          <w:tcPr>
            <w:tcW w:w="1361" w:type="dxa"/>
            <w:tcBorders>
              <w:bottom w:val="single" w:sz="4" w:space="0" w:color="auto"/>
            </w:tcBorders>
            <w:hideMark/>
          </w:tcPr>
          <w:p w14:paraId="12022D2A" w14:textId="77777777" w:rsidR="00265792" w:rsidRPr="00C609D5" w:rsidRDefault="00265792">
            <w:pPr>
              <w:pStyle w:val="ARfintablecolheadright"/>
            </w:pPr>
            <w:r w:rsidRPr="00C609D5">
              <w:t>202</w:t>
            </w:r>
            <w:r>
              <w:t>4</w:t>
            </w:r>
          </w:p>
          <w:p w14:paraId="788B5722" w14:textId="77777777" w:rsidR="00265792" w:rsidRPr="00C609D5" w:rsidRDefault="00265792">
            <w:pPr>
              <w:pStyle w:val="ARfintablecolheadright"/>
            </w:pPr>
            <w:r w:rsidRPr="00C609D5">
              <w:t>$M</w:t>
            </w:r>
          </w:p>
        </w:tc>
      </w:tr>
      <w:tr w:rsidR="00265792" w:rsidRPr="00BA7805" w14:paraId="6BF8C734" w14:textId="77777777">
        <w:trPr>
          <w:cantSplit w:val="0"/>
        </w:trPr>
        <w:tc>
          <w:tcPr>
            <w:tcW w:w="6915" w:type="dxa"/>
            <w:tcBorders>
              <w:top w:val="single" w:sz="4" w:space="0" w:color="A6A6A6"/>
              <w:bottom w:val="single" w:sz="4" w:space="0" w:color="A6A6A6"/>
            </w:tcBorders>
          </w:tcPr>
          <w:p w14:paraId="0A12EC83" w14:textId="77777777" w:rsidR="00265792" w:rsidRPr="00BA7805" w:rsidRDefault="00265792" w:rsidP="002734A2">
            <w:pPr>
              <w:pStyle w:val="ARfintablebody"/>
              <w:rPr>
                <w:highlight w:val="green"/>
              </w:rPr>
            </w:pPr>
            <w:r w:rsidRPr="00E35CC5">
              <w:t>Defined contribution and benefit superannuation expense</w:t>
            </w:r>
          </w:p>
        </w:tc>
        <w:tc>
          <w:tcPr>
            <w:tcW w:w="1361" w:type="dxa"/>
            <w:tcBorders>
              <w:top w:val="single" w:sz="4" w:space="0" w:color="A6A6A6"/>
              <w:bottom w:val="single" w:sz="4" w:space="0" w:color="A6A6A6"/>
            </w:tcBorders>
            <w:shd w:val="clear" w:color="auto" w:fill="E7E6E6"/>
            <w:noWrap/>
            <w:vAlign w:val="center"/>
          </w:tcPr>
          <w:p w14:paraId="13081065" w14:textId="77777777" w:rsidR="00265792" w:rsidRPr="002734A2" w:rsidRDefault="00265792" w:rsidP="002734A2">
            <w:pPr>
              <w:pStyle w:val="ARfintablebodyright"/>
              <w:rPr>
                <w:highlight w:val="green"/>
              </w:rPr>
            </w:pPr>
            <w:r w:rsidRPr="002734A2">
              <w:t>94.0</w:t>
            </w:r>
          </w:p>
        </w:tc>
        <w:tc>
          <w:tcPr>
            <w:tcW w:w="1361" w:type="dxa"/>
            <w:tcBorders>
              <w:top w:val="single" w:sz="4" w:space="0" w:color="A6A6A6"/>
              <w:bottom w:val="single" w:sz="4" w:space="0" w:color="A6A6A6"/>
            </w:tcBorders>
            <w:noWrap/>
            <w:vAlign w:val="center"/>
          </w:tcPr>
          <w:p w14:paraId="3769AC03" w14:textId="77777777" w:rsidR="00265792" w:rsidRPr="002734A2" w:rsidRDefault="00265792" w:rsidP="002734A2">
            <w:pPr>
              <w:pStyle w:val="ARfintablebodyright"/>
              <w:rPr>
                <w:highlight w:val="green"/>
              </w:rPr>
            </w:pPr>
            <w:r w:rsidRPr="002734A2">
              <w:t>80.6</w:t>
            </w:r>
          </w:p>
        </w:tc>
      </w:tr>
      <w:tr w:rsidR="00265792" w:rsidRPr="00BA7805" w14:paraId="19DB2B8F" w14:textId="77777777" w:rsidTr="005A6FE3">
        <w:trPr>
          <w:cantSplit w:val="0"/>
        </w:trPr>
        <w:tc>
          <w:tcPr>
            <w:tcW w:w="6915" w:type="dxa"/>
            <w:tcBorders>
              <w:top w:val="single" w:sz="4" w:space="0" w:color="A6A6A6"/>
              <w:bottom w:val="single" w:sz="4" w:space="0" w:color="A6A6A6"/>
            </w:tcBorders>
          </w:tcPr>
          <w:p w14:paraId="41FF071C" w14:textId="77777777" w:rsidR="00265792" w:rsidRPr="00BA7805" w:rsidRDefault="00265792" w:rsidP="002734A2">
            <w:pPr>
              <w:pStyle w:val="ARfintablebody"/>
              <w:rPr>
                <w:highlight w:val="green"/>
              </w:rPr>
            </w:pPr>
            <w:r w:rsidRPr="00E35CC5">
              <w:t>Termination benefits</w:t>
            </w:r>
          </w:p>
        </w:tc>
        <w:tc>
          <w:tcPr>
            <w:tcW w:w="1361" w:type="dxa"/>
            <w:tcBorders>
              <w:top w:val="single" w:sz="4" w:space="0" w:color="A6A6A6"/>
              <w:bottom w:val="single" w:sz="4" w:space="0" w:color="A6A6A6"/>
            </w:tcBorders>
            <w:shd w:val="clear" w:color="auto" w:fill="E7E6E6"/>
            <w:noWrap/>
          </w:tcPr>
          <w:p w14:paraId="6FC08254" w14:textId="77777777" w:rsidR="00265792" w:rsidRPr="002734A2" w:rsidRDefault="00265792" w:rsidP="002734A2">
            <w:pPr>
              <w:pStyle w:val="ARfintablebodyright"/>
              <w:rPr>
                <w:highlight w:val="green"/>
              </w:rPr>
            </w:pPr>
            <w:r w:rsidRPr="002734A2">
              <w:t>2.6</w:t>
            </w:r>
          </w:p>
        </w:tc>
        <w:tc>
          <w:tcPr>
            <w:tcW w:w="1361" w:type="dxa"/>
            <w:tcBorders>
              <w:top w:val="single" w:sz="4" w:space="0" w:color="A6A6A6"/>
              <w:bottom w:val="single" w:sz="4" w:space="0" w:color="A6A6A6"/>
            </w:tcBorders>
            <w:noWrap/>
          </w:tcPr>
          <w:p w14:paraId="4754C375" w14:textId="77777777" w:rsidR="00265792" w:rsidRPr="002734A2" w:rsidRDefault="00265792" w:rsidP="002734A2">
            <w:pPr>
              <w:pStyle w:val="ARfintablebodyright"/>
              <w:rPr>
                <w:highlight w:val="green"/>
              </w:rPr>
            </w:pPr>
            <w:r w:rsidRPr="002734A2">
              <w:t>29.3</w:t>
            </w:r>
          </w:p>
        </w:tc>
      </w:tr>
      <w:tr w:rsidR="00265792" w:rsidRPr="00BA7805" w14:paraId="43C5BBA5" w14:textId="77777777" w:rsidTr="005A6FE3">
        <w:trPr>
          <w:cantSplit w:val="0"/>
        </w:trPr>
        <w:tc>
          <w:tcPr>
            <w:tcW w:w="6915" w:type="dxa"/>
            <w:tcBorders>
              <w:top w:val="single" w:sz="4" w:space="0" w:color="A6A6A6"/>
            </w:tcBorders>
          </w:tcPr>
          <w:p w14:paraId="0822CE71" w14:textId="77777777" w:rsidR="00265792" w:rsidRPr="00BA7805" w:rsidRDefault="00265792" w:rsidP="002734A2">
            <w:pPr>
              <w:pStyle w:val="ARfintablebody"/>
              <w:rPr>
                <w:highlight w:val="green"/>
              </w:rPr>
            </w:pPr>
            <w:r w:rsidRPr="00E35CC5">
              <w:t>Salaries and wages, annual leave and long service leave</w:t>
            </w:r>
          </w:p>
        </w:tc>
        <w:tc>
          <w:tcPr>
            <w:tcW w:w="1361" w:type="dxa"/>
            <w:tcBorders>
              <w:top w:val="single" w:sz="4" w:space="0" w:color="A6A6A6"/>
            </w:tcBorders>
            <w:shd w:val="clear" w:color="auto" w:fill="E7E6E6"/>
            <w:noWrap/>
          </w:tcPr>
          <w:p w14:paraId="3A566F16" w14:textId="77777777" w:rsidR="00265792" w:rsidRPr="002734A2" w:rsidRDefault="00265792" w:rsidP="002734A2">
            <w:pPr>
              <w:pStyle w:val="ARfintablebodyright"/>
              <w:rPr>
                <w:highlight w:val="green"/>
              </w:rPr>
            </w:pPr>
            <w:r w:rsidRPr="002734A2">
              <w:t>991.0</w:t>
            </w:r>
          </w:p>
        </w:tc>
        <w:tc>
          <w:tcPr>
            <w:tcW w:w="1361" w:type="dxa"/>
            <w:tcBorders>
              <w:top w:val="single" w:sz="4" w:space="0" w:color="A6A6A6"/>
            </w:tcBorders>
            <w:noWrap/>
          </w:tcPr>
          <w:p w14:paraId="20F07503" w14:textId="77777777" w:rsidR="00265792" w:rsidRPr="002734A2" w:rsidRDefault="00265792" w:rsidP="002734A2">
            <w:pPr>
              <w:pStyle w:val="ARfintablebodyright"/>
              <w:rPr>
                <w:highlight w:val="green"/>
              </w:rPr>
            </w:pPr>
            <w:r w:rsidRPr="002734A2">
              <w:t>878.0</w:t>
            </w:r>
          </w:p>
        </w:tc>
      </w:tr>
      <w:tr w:rsidR="00265792" w:rsidRPr="00BA7805" w14:paraId="3E1EE9F8" w14:textId="77777777">
        <w:trPr>
          <w:cnfStyle w:val="010000000000" w:firstRow="0" w:lastRow="1" w:firstColumn="0" w:lastColumn="0" w:oddVBand="0" w:evenVBand="0" w:oddHBand="0" w:evenHBand="0" w:firstRowFirstColumn="0" w:firstRowLastColumn="0" w:lastRowFirstColumn="0" w:lastRowLastColumn="0"/>
          <w:cantSplit w:val="0"/>
        </w:trPr>
        <w:tc>
          <w:tcPr>
            <w:tcW w:w="6915" w:type="dxa"/>
          </w:tcPr>
          <w:p w14:paraId="13BC94B1" w14:textId="77777777" w:rsidR="00265792" w:rsidRPr="00BA7805" w:rsidRDefault="00265792" w:rsidP="008A5F5B">
            <w:pPr>
              <w:pStyle w:val="ARfintablebodybold"/>
              <w:rPr>
                <w:highlight w:val="green"/>
              </w:rPr>
            </w:pPr>
            <w:r w:rsidRPr="00E35CC5">
              <w:t>Total employee benefits</w:t>
            </w:r>
          </w:p>
        </w:tc>
        <w:tc>
          <w:tcPr>
            <w:tcW w:w="1361" w:type="dxa"/>
            <w:shd w:val="clear" w:color="auto" w:fill="E7E6E6"/>
            <w:noWrap/>
            <w:vAlign w:val="bottom"/>
          </w:tcPr>
          <w:p w14:paraId="44A1056B" w14:textId="77777777" w:rsidR="00265792" w:rsidRPr="002734A2" w:rsidRDefault="00265792" w:rsidP="00D27740">
            <w:pPr>
              <w:pStyle w:val="ARfintablebodyrightbold"/>
              <w:rPr>
                <w:highlight w:val="green"/>
              </w:rPr>
            </w:pPr>
            <w:r w:rsidRPr="002734A2">
              <w:t>1,087.6</w:t>
            </w:r>
          </w:p>
        </w:tc>
        <w:tc>
          <w:tcPr>
            <w:tcW w:w="1361" w:type="dxa"/>
            <w:noWrap/>
          </w:tcPr>
          <w:p w14:paraId="7059BFC5" w14:textId="77777777" w:rsidR="00265792" w:rsidRPr="002734A2" w:rsidRDefault="00265792" w:rsidP="00D27740">
            <w:pPr>
              <w:pStyle w:val="ARfintablebodyrightbold"/>
              <w:rPr>
                <w:highlight w:val="green"/>
              </w:rPr>
            </w:pPr>
            <w:r w:rsidRPr="002734A2">
              <w:t>987.9</w:t>
            </w:r>
          </w:p>
        </w:tc>
      </w:tr>
    </w:tbl>
    <w:p w14:paraId="43029D3E" w14:textId="77777777" w:rsidR="00265792" w:rsidRDefault="00265792" w:rsidP="008A5F5B">
      <w:pPr>
        <w:pStyle w:val="ARfinbodyaftertable"/>
      </w:pPr>
      <w:r>
        <w:t xml:space="preserve">Employee benefits include all costs related to employment, including salaries and wages, leave entitlements, fringe benefits tax, termination benefits, payroll tax and </w:t>
      </w:r>
      <w:proofErr w:type="spellStart"/>
      <w:r>
        <w:t>WorkCover</w:t>
      </w:r>
      <w:proofErr w:type="spellEnd"/>
      <w:r>
        <w:t xml:space="preserve"> premiums.</w:t>
      </w:r>
    </w:p>
    <w:p w14:paraId="56573EAB" w14:textId="6BDBBB0D" w:rsidR="00265792" w:rsidRDefault="00265792" w:rsidP="008A5F5B">
      <w:pPr>
        <w:pStyle w:val="ARfinbody"/>
      </w:pPr>
      <w:r>
        <w:t xml:space="preserve">The amount recognised in the comprehensive operating statement in relation to superannuation is employer contributions for members of both defined benefit and defined contribution superannuation plans that are paid or payable during the reporting period. Other than former employees of Homes Victoria, the department does not recognise any defined benefit liabilities because it has no legal or constructive obligation to pay future benefits relating to its employees. Instead, the Department of Treasury and Finance discloses in its annual financial statements the net defined benefit cost related to the members of these plans as an administered liability (on behalf of the </w:t>
      </w:r>
      <w:r w:rsidR="007968F0">
        <w:t>s</w:t>
      </w:r>
      <w:r>
        <w:t>tate as the sponsoring employer).</w:t>
      </w:r>
    </w:p>
    <w:p w14:paraId="6C0C1C95" w14:textId="77777777" w:rsidR="00265792" w:rsidRDefault="00265792" w:rsidP="002542E1">
      <w:pPr>
        <w:pStyle w:val="ARbody"/>
        <w:rPr>
          <w:rFonts w:eastAsiaTheme="minorEastAsia" w:cs="ArialMT"/>
          <w:color w:val="000000"/>
          <w:sz w:val="18"/>
          <w:szCs w:val="16"/>
          <w:lang w:eastAsia="en-AU"/>
        </w:rPr>
      </w:pPr>
      <w:r>
        <w:br w:type="page"/>
      </w:r>
    </w:p>
    <w:p w14:paraId="27B160A3" w14:textId="77777777" w:rsidR="00265792" w:rsidRPr="001B4AB9" w:rsidRDefault="00265792">
      <w:pPr>
        <w:pStyle w:val="Heading6"/>
        <w:rPr>
          <w:lang w:eastAsia="en-AU"/>
        </w:rPr>
      </w:pPr>
      <w:bookmarkStart w:id="269" w:name="_Ref178240011"/>
      <w:r w:rsidRPr="001B4AB9">
        <w:rPr>
          <w:lang w:eastAsia="en-AU"/>
        </w:rPr>
        <w:lastRenderedPageBreak/>
        <w:t>3.1.1(b) Employee benefits in the balance sheet</w:t>
      </w:r>
      <w:bookmarkEnd w:id="269"/>
    </w:p>
    <w:p w14:paraId="5AD52541" w14:textId="77777777" w:rsidR="00265792" w:rsidRPr="00BA7805" w:rsidRDefault="00265792" w:rsidP="00296543">
      <w:pPr>
        <w:pStyle w:val="ARfinbodylargespace"/>
        <w:rPr>
          <w:highlight w:val="green"/>
        </w:rPr>
      </w:pPr>
      <w:r w:rsidRPr="00296543">
        <w:t>Provision is made for benefits accruing to employees in respect of annual leave and long service leave (LSL) for services rendered to the reporting date and recorded as an expense during the period the services are delivered.</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22B334E8" w14:textId="77777777" w:rsidTr="001513A6">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3E0318DD" w14:textId="77777777" w:rsidR="00265792" w:rsidRPr="00BA7805" w:rsidRDefault="00265792">
            <w:pPr>
              <w:pStyle w:val="ARfintablecolhead"/>
              <w:spacing w:before="30" w:after="20"/>
              <w:rPr>
                <w:highlight w:val="green"/>
              </w:rPr>
            </w:pPr>
          </w:p>
        </w:tc>
        <w:tc>
          <w:tcPr>
            <w:tcW w:w="1361" w:type="dxa"/>
            <w:shd w:val="clear" w:color="auto" w:fill="EEEEEF" w:themeFill="accent4"/>
            <w:hideMark/>
          </w:tcPr>
          <w:p w14:paraId="17DD9F7E" w14:textId="77777777" w:rsidR="00265792" w:rsidRPr="001245FD" w:rsidRDefault="00265792">
            <w:pPr>
              <w:pStyle w:val="ARfintablecolheadright"/>
            </w:pPr>
            <w:r w:rsidRPr="001245FD">
              <w:t>202</w:t>
            </w:r>
            <w:r>
              <w:t>5</w:t>
            </w:r>
          </w:p>
          <w:p w14:paraId="2C3C6A02" w14:textId="77777777" w:rsidR="00265792" w:rsidRPr="001245FD" w:rsidRDefault="00265792">
            <w:pPr>
              <w:pStyle w:val="ARfintablecolheadright"/>
              <w:spacing w:before="30" w:after="20"/>
            </w:pPr>
            <w:r w:rsidRPr="001245FD">
              <w:t>$M</w:t>
            </w:r>
          </w:p>
        </w:tc>
        <w:tc>
          <w:tcPr>
            <w:tcW w:w="1361" w:type="dxa"/>
            <w:hideMark/>
          </w:tcPr>
          <w:p w14:paraId="24BBA246" w14:textId="77777777" w:rsidR="00265792" w:rsidRPr="001245FD" w:rsidRDefault="00265792">
            <w:pPr>
              <w:pStyle w:val="ARfintablecolheadright"/>
            </w:pPr>
            <w:r w:rsidRPr="001245FD">
              <w:t>202</w:t>
            </w:r>
            <w:r>
              <w:t>4</w:t>
            </w:r>
          </w:p>
          <w:p w14:paraId="4D4D1F36" w14:textId="77777777" w:rsidR="00265792" w:rsidRPr="001245FD" w:rsidRDefault="00265792">
            <w:pPr>
              <w:pStyle w:val="ARfintablecolheadright"/>
              <w:spacing w:before="30" w:after="20"/>
            </w:pPr>
            <w:r w:rsidRPr="001245FD">
              <w:t>$M</w:t>
            </w:r>
          </w:p>
        </w:tc>
      </w:tr>
      <w:tr w:rsidR="00265792" w:rsidRPr="00BA7805" w14:paraId="77A2416E" w14:textId="77777777" w:rsidTr="001513A6">
        <w:tc>
          <w:tcPr>
            <w:tcW w:w="6915" w:type="dxa"/>
          </w:tcPr>
          <w:p w14:paraId="50017D66" w14:textId="77777777" w:rsidR="00265792" w:rsidRPr="00BA7805" w:rsidRDefault="00265792" w:rsidP="00253E95">
            <w:pPr>
              <w:pStyle w:val="ARfintablebodybold"/>
              <w:rPr>
                <w:highlight w:val="green"/>
              </w:rPr>
            </w:pPr>
            <w:r w:rsidRPr="00C2721B">
              <w:t>Current provisions</w:t>
            </w:r>
          </w:p>
        </w:tc>
        <w:tc>
          <w:tcPr>
            <w:tcW w:w="1361" w:type="dxa"/>
            <w:noWrap/>
          </w:tcPr>
          <w:p w14:paraId="64349914" w14:textId="77777777" w:rsidR="00265792" w:rsidRPr="00BA7805" w:rsidRDefault="00265792" w:rsidP="00EF53D9">
            <w:pPr>
              <w:pStyle w:val="ARfintablebodyright"/>
              <w:spacing w:before="30"/>
              <w:rPr>
                <w:highlight w:val="green"/>
              </w:rPr>
            </w:pPr>
          </w:p>
        </w:tc>
        <w:tc>
          <w:tcPr>
            <w:tcW w:w="1361" w:type="dxa"/>
            <w:noWrap/>
          </w:tcPr>
          <w:p w14:paraId="50E18B1A" w14:textId="77777777" w:rsidR="00265792" w:rsidRPr="00BA7805" w:rsidRDefault="00265792" w:rsidP="00EF53D9">
            <w:pPr>
              <w:pStyle w:val="ARfintablebodyright"/>
              <w:spacing w:before="30"/>
              <w:rPr>
                <w:highlight w:val="green"/>
              </w:rPr>
            </w:pPr>
          </w:p>
        </w:tc>
      </w:tr>
      <w:tr w:rsidR="00265792" w:rsidRPr="00BA7805" w14:paraId="6EDBDCCA" w14:textId="77777777" w:rsidTr="001513A6">
        <w:tc>
          <w:tcPr>
            <w:tcW w:w="6915" w:type="dxa"/>
          </w:tcPr>
          <w:p w14:paraId="26B502C3" w14:textId="77777777" w:rsidR="00265792" w:rsidRPr="00BA7805" w:rsidRDefault="00265792" w:rsidP="00EF53D9">
            <w:pPr>
              <w:pStyle w:val="ARfintablebody"/>
              <w:rPr>
                <w:highlight w:val="green"/>
              </w:rPr>
            </w:pPr>
            <w:r w:rsidRPr="00C2721B">
              <w:t>Annual leave</w:t>
            </w:r>
          </w:p>
        </w:tc>
        <w:tc>
          <w:tcPr>
            <w:tcW w:w="1361" w:type="dxa"/>
            <w:noWrap/>
          </w:tcPr>
          <w:p w14:paraId="0937B89A" w14:textId="77777777" w:rsidR="00265792" w:rsidRPr="00BA7805" w:rsidRDefault="00265792" w:rsidP="00EF53D9">
            <w:pPr>
              <w:pStyle w:val="ARfintablebodyright"/>
              <w:spacing w:before="30"/>
              <w:rPr>
                <w:highlight w:val="green"/>
              </w:rPr>
            </w:pPr>
          </w:p>
        </w:tc>
        <w:tc>
          <w:tcPr>
            <w:tcW w:w="1361" w:type="dxa"/>
            <w:noWrap/>
          </w:tcPr>
          <w:p w14:paraId="39B1A38B" w14:textId="77777777" w:rsidR="00265792" w:rsidRPr="00BA7805" w:rsidRDefault="00265792" w:rsidP="00EF53D9">
            <w:pPr>
              <w:pStyle w:val="ARfintablebodyright"/>
              <w:spacing w:before="30"/>
              <w:rPr>
                <w:highlight w:val="green"/>
              </w:rPr>
            </w:pPr>
          </w:p>
        </w:tc>
      </w:tr>
      <w:tr w:rsidR="00265792" w:rsidRPr="00BA7805" w14:paraId="0D403BD9" w14:textId="77777777" w:rsidTr="001513A6">
        <w:tc>
          <w:tcPr>
            <w:tcW w:w="6915" w:type="dxa"/>
          </w:tcPr>
          <w:p w14:paraId="03B234A9" w14:textId="77777777" w:rsidR="00265792" w:rsidRPr="00BA7805" w:rsidRDefault="00265792" w:rsidP="001513A6">
            <w:pPr>
              <w:pStyle w:val="ARfintablebodyindent"/>
              <w:rPr>
                <w:highlight w:val="green"/>
              </w:rPr>
            </w:pPr>
            <w:r w:rsidRPr="00C2721B">
              <w:t>Unconditional and expected to be settled within 12 months</w:t>
            </w:r>
          </w:p>
        </w:tc>
        <w:tc>
          <w:tcPr>
            <w:tcW w:w="1361" w:type="dxa"/>
            <w:shd w:val="clear" w:color="auto" w:fill="EEEEEF" w:themeFill="accent4"/>
            <w:noWrap/>
          </w:tcPr>
          <w:p w14:paraId="669AF3DC" w14:textId="77777777" w:rsidR="00265792" w:rsidRPr="00253E95" w:rsidRDefault="00265792" w:rsidP="00253E95">
            <w:pPr>
              <w:pStyle w:val="ARfintablebodyright"/>
              <w:rPr>
                <w:highlight w:val="green"/>
              </w:rPr>
            </w:pPr>
            <w:r w:rsidRPr="00253E95">
              <w:t>59.2</w:t>
            </w:r>
          </w:p>
        </w:tc>
        <w:tc>
          <w:tcPr>
            <w:tcW w:w="1361" w:type="dxa"/>
            <w:noWrap/>
          </w:tcPr>
          <w:p w14:paraId="618A2F2A" w14:textId="77777777" w:rsidR="00265792" w:rsidRPr="00253E95" w:rsidRDefault="00265792" w:rsidP="00253E95">
            <w:pPr>
              <w:pStyle w:val="ARfintablebodyright"/>
              <w:rPr>
                <w:highlight w:val="green"/>
              </w:rPr>
            </w:pPr>
            <w:r w:rsidRPr="00253E95">
              <w:t>55.7</w:t>
            </w:r>
          </w:p>
        </w:tc>
      </w:tr>
      <w:tr w:rsidR="00265792" w:rsidRPr="00BA7805" w14:paraId="7B611A6D" w14:textId="77777777" w:rsidTr="001513A6">
        <w:tc>
          <w:tcPr>
            <w:tcW w:w="6915" w:type="dxa"/>
          </w:tcPr>
          <w:p w14:paraId="7444A249" w14:textId="77777777" w:rsidR="00265792" w:rsidRPr="00BA7805" w:rsidRDefault="00265792" w:rsidP="001513A6">
            <w:pPr>
              <w:pStyle w:val="ARfintablebodyindent"/>
              <w:rPr>
                <w:highlight w:val="green"/>
              </w:rPr>
            </w:pPr>
            <w:r w:rsidRPr="00C2721B">
              <w:t>Unconditional and expected to be settled after 12 months</w:t>
            </w:r>
          </w:p>
        </w:tc>
        <w:tc>
          <w:tcPr>
            <w:tcW w:w="1361" w:type="dxa"/>
            <w:shd w:val="clear" w:color="auto" w:fill="EEEEEF" w:themeFill="accent4"/>
            <w:noWrap/>
          </w:tcPr>
          <w:p w14:paraId="0812BC0A" w14:textId="77777777" w:rsidR="00265792" w:rsidRPr="00253E95" w:rsidRDefault="00265792" w:rsidP="00253E95">
            <w:pPr>
              <w:pStyle w:val="ARfintablebodyright"/>
              <w:rPr>
                <w:highlight w:val="green"/>
              </w:rPr>
            </w:pPr>
            <w:r w:rsidRPr="00253E95">
              <w:t>31.3</w:t>
            </w:r>
          </w:p>
        </w:tc>
        <w:tc>
          <w:tcPr>
            <w:tcW w:w="1361" w:type="dxa"/>
            <w:noWrap/>
          </w:tcPr>
          <w:p w14:paraId="51C4864D" w14:textId="77777777" w:rsidR="00265792" w:rsidRPr="00253E95" w:rsidRDefault="00265792" w:rsidP="00253E95">
            <w:pPr>
              <w:pStyle w:val="ARfintablebodyright"/>
              <w:rPr>
                <w:highlight w:val="green"/>
              </w:rPr>
            </w:pPr>
            <w:r w:rsidRPr="00253E95">
              <w:t>29.2</w:t>
            </w:r>
          </w:p>
        </w:tc>
      </w:tr>
      <w:tr w:rsidR="00265792" w:rsidRPr="00BA7805" w14:paraId="7345B2D5" w14:textId="77777777" w:rsidTr="001513A6">
        <w:tc>
          <w:tcPr>
            <w:tcW w:w="6915" w:type="dxa"/>
          </w:tcPr>
          <w:p w14:paraId="573FBB5C" w14:textId="77777777" w:rsidR="00265792" w:rsidRPr="00BA7805" w:rsidRDefault="00265792" w:rsidP="00253E95">
            <w:pPr>
              <w:pStyle w:val="ARfintablebody"/>
              <w:rPr>
                <w:highlight w:val="green"/>
              </w:rPr>
            </w:pPr>
            <w:r w:rsidRPr="00C2721B">
              <w:t>Maternity leave</w:t>
            </w:r>
          </w:p>
        </w:tc>
        <w:tc>
          <w:tcPr>
            <w:tcW w:w="1361" w:type="dxa"/>
            <w:noWrap/>
          </w:tcPr>
          <w:p w14:paraId="4303AAB0" w14:textId="77777777" w:rsidR="00265792" w:rsidRPr="00253E95" w:rsidRDefault="00265792" w:rsidP="00253E95">
            <w:pPr>
              <w:pStyle w:val="ARfintablebodyright"/>
              <w:rPr>
                <w:highlight w:val="green"/>
              </w:rPr>
            </w:pPr>
          </w:p>
        </w:tc>
        <w:tc>
          <w:tcPr>
            <w:tcW w:w="1361" w:type="dxa"/>
            <w:noWrap/>
          </w:tcPr>
          <w:p w14:paraId="7EB7FBD9" w14:textId="77777777" w:rsidR="00265792" w:rsidRPr="00253E95" w:rsidRDefault="00265792" w:rsidP="00253E95">
            <w:pPr>
              <w:pStyle w:val="ARfintablebodyright"/>
              <w:rPr>
                <w:highlight w:val="green"/>
              </w:rPr>
            </w:pPr>
          </w:p>
        </w:tc>
      </w:tr>
      <w:tr w:rsidR="00265792" w:rsidRPr="00BA7805" w14:paraId="2CD12D3D" w14:textId="77777777" w:rsidTr="001513A6">
        <w:tc>
          <w:tcPr>
            <w:tcW w:w="6915" w:type="dxa"/>
          </w:tcPr>
          <w:p w14:paraId="53EA9116" w14:textId="77777777" w:rsidR="00265792" w:rsidRPr="00BA7805" w:rsidRDefault="00265792" w:rsidP="001513A6">
            <w:pPr>
              <w:pStyle w:val="ARfintablebodyindent"/>
              <w:rPr>
                <w:highlight w:val="green"/>
              </w:rPr>
            </w:pPr>
            <w:r w:rsidRPr="00C2721B">
              <w:t>Unconditional and expected to be settled within 12 months</w:t>
            </w:r>
          </w:p>
        </w:tc>
        <w:tc>
          <w:tcPr>
            <w:tcW w:w="1361" w:type="dxa"/>
            <w:shd w:val="clear" w:color="auto" w:fill="EEEEEF" w:themeFill="accent4"/>
            <w:noWrap/>
          </w:tcPr>
          <w:p w14:paraId="68CCCEA2" w14:textId="77777777" w:rsidR="00265792" w:rsidRPr="00253E95" w:rsidRDefault="00265792" w:rsidP="00253E95">
            <w:pPr>
              <w:pStyle w:val="ARfintablebodyright"/>
              <w:rPr>
                <w:highlight w:val="green"/>
              </w:rPr>
            </w:pPr>
            <w:r w:rsidRPr="00253E95">
              <w:t>11.1</w:t>
            </w:r>
          </w:p>
        </w:tc>
        <w:tc>
          <w:tcPr>
            <w:tcW w:w="1361" w:type="dxa"/>
            <w:noWrap/>
          </w:tcPr>
          <w:p w14:paraId="14200E4C" w14:textId="77777777" w:rsidR="00265792" w:rsidRPr="00253E95" w:rsidRDefault="00265792" w:rsidP="00253E95">
            <w:pPr>
              <w:pStyle w:val="ARfintablebodyright"/>
              <w:rPr>
                <w:highlight w:val="green"/>
              </w:rPr>
            </w:pPr>
            <w:r w:rsidRPr="00253E95">
              <w:t>15.3</w:t>
            </w:r>
          </w:p>
        </w:tc>
      </w:tr>
      <w:tr w:rsidR="00265792" w:rsidRPr="00BA7805" w14:paraId="2B428645" w14:textId="77777777" w:rsidTr="001513A6">
        <w:tc>
          <w:tcPr>
            <w:tcW w:w="6915" w:type="dxa"/>
          </w:tcPr>
          <w:p w14:paraId="6FC13667" w14:textId="77777777" w:rsidR="00265792" w:rsidRPr="00BA7805" w:rsidRDefault="00265792" w:rsidP="00253E95">
            <w:pPr>
              <w:pStyle w:val="ARfintablebody"/>
              <w:rPr>
                <w:highlight w:val="green"/>
              </w:rPr>
            </w:pPr>
            <w:r w:rsidRPr="00C2721B">
              <w:t>Long service leave</w:t>
            </w:r>
          </w:p>
        </w:tc>
        <w:tc>
          <w:tcPr>
            <w:tcW w:w="1361" w:type="dxa"/>
            <w:noWrap/>
          </w:tcPr>
          <w:p w14:paraId="625104ED" w14:textId="77777777" w:rsidR="00265792" w:rsidRPr="00253E95" w:rsidRDefault="00265792" w:rsidP="00253E95">
            <w:pPr>
              <w:pStyle w:val="ARfintablebodyright"/>
              <w:rPr>
                <w:highlight w:val="green"/>
              </w:rPr>
            </w:pPr>
          </w:p>
        </w:tc>
        <w:tc>
          <w:tcPr>
            <w:tcW w:w="1361" w:type="dxa"/>
            <w:noWrap/>
          </w:tcPr>
          <w:p w14:paraId="5936ED82" w14:textId="77777777" w:rsidR="00265792" w:rsidRPr="00253E95" w:rsidRDefault="00265792" w:rsidP="00253E95">
            <w:pPr>
              <w:pStyle w:val="ARfintablebodyright"/>
              <w:rPr>
                <w:highlight w:val="green"/>
              </w:rPr>
            </w:pPr>
          </w:p>
        </w:tc>
      </w:tr>
      <w:tr w:rsidR="00265792" w:rsidRPr="00BA7805" w14:paraId="6B68BDD6" w14:textId="77777777" w:rsidTr="001513A6">
        <w:tc>
          <w:tcPr>
            <w:tcW w:w="6915" w:type="dxa"/>
          </w:tcPr>
          <w:p w14:paraId="3225CA14" w14:textId="77777777" w:rsidR="00265792" w:rsidRPr="00BA7805" w:rsidRDefault="00265792" w:rsidP="001513A6">
            <w:pPr>
              <w:pStyle w:val="ARfintablebodyindent"/>
              <w:rPr>
                <w:highlight w:val="green"/>
              </w:rPr>
            </w:pPr>
            <w:r w:rsidRPr="00C2721B">
              <w:t>Unconditional and expected to be settled within 12 months</w:t>
            </w:r>
          </w:p>
        </w:tc>
        <w:tc>
          <w:tcPr>
            <w:tcW w:w="1361" w:type="dxa"/>
            <w:shd w:val="clear" w:color="auto" w:fill="EEEEEF" w:themeFill="accent4"/>
            <w:noWrap/>
          </w:tcPr>
          <w:p w14:paraId="6EC61FE7" w14:textId="77777777" w:rsidR="00265792" w:rsidRPr="00253E95" w:rsidRDefault="00265792" w:rsidP="00253E95">
            <w:pPr>
              <w:pStyle w:val="ARfintablebodyright"/>
              <w:rPr>
                <w:highlight w:val="green"/>
              </w:rPr>
            </w:pPr>
            <w:r w:rsidRPr="00253E95">
              <w:t>19.9</w:t>
            </w:r>
          </w:p>
        </w:tc>
        <w:tc>
          <w:tcPr>
            <w:tcW w:w="1361" w:type="dxa"/>
            <w:noWrap/>
          </w:tcPr>
          <w:p w14:paraId="41C2DB6D" w14:textId="77777777" w:rsidR="00265792" w:rsidRPr="00253E95" w:rsidRDefault="00265792" w:rsidP="00253E95">
            <w:pPr>
              <w:pStyle w:val="ARfintablebodyright"/>
              <w:rPr>
                <w:highlight w:val="green"/>
              </w:rPr>
            </w:pPr>
            <w:r w:rsidRPr="00253E95">
              <w:t>11.1</w:t>
            </w:r>
          </w:p>
        </w:tc>
      </w:tr>
      <w:tr w:rsidR="00265792" w:rsidRPr="00BA7805" w14:paraId="22FCF0F7" w14:textId="77777777" w:rsidTr="001513A6">
        <w:tc>
          <w:tcPr>
            <w:tcW w:w="6915" w:type="dxa"/>
          </w:tcPr>
          <w:p w14:paraId="2C47A165" w14:textId="77777777" w:rsidR="00265792" w:rsidRPr="00BA7805" w:rsidRDefault="00265792" w:rsidP="001513A6">
            <w:pPr>
              <w:pStyle w:val="ARfintablebodyindent"/>
              <w:rPr>
                <w:highlight w:val="green"/>
              </w:rPr>
            </w:pPr>
            <w:r w:rsidRPr="00C2721B">
              <w:t>Unconditional and expected to be settled after 12 months</w:t>
            </w:r>
          </w:p>
        </w:tc>
        <w:tc>
          <w:tcPr>
            <w:tcW w:w="1361" w:type="dxa"/>
            <w:shd w:val="clear" w:color="auto" w:fill="EEEEEF" w:themeFill="accent4"/>
            <w:noWrap/>
          </w:tcPr>
          <w:p w14:paraId="530773D6" w14:textId="77777777" w:rsidR="00265792" w:rsidRPr="00253E95" w:rsidRDefault="00265792" w:rsidP="00253E95">
            <w:pPr>
              <w:pStyle w:val="ARfintablebodyright"/>
              <w:rPr>
                <w:highlight w:val="green"/>
              </w:rPr>
            </w:pPr>
            <w:r w:rsidRPr="00253E95">
              <w:t>110.3</w:t>
            </w:r>
          </w:p>
        </w:tc>
        <w:tc>
          <w:tcPr>
            <w:tcW w:w="1361" w:type="dxa"/>
            <w:noWrap/>
          </w:tcPr>
          <w:p w14:paraId="5FF3B1E8" w14:textId="77777777" w:rsidR="00265792" w:rsidRPr="00253E95" w:rsidRDefault="00265792" w:rsidP="00253E95">
            <w:pPr>
              <w:pStyle w:val="ARfintablebodyright"/>
              <w:rPr>
                <w:highlight w:val="green"/>
              </w:rPr>
            </w:pPr>
            <w:r w:rsidRPr="00253E95">
              <w:t>96.7</w:t>
            </w:r>
          </w:p>
        </w:tc>
      </w:tr>
      <w:tr w:rsidR="00265792" w:rsidRPr="00BA7805" w14:paraId="53CB5ACA" w14:textId="77777777" w:rsidTr="001513A6">
        <w:tc>
          <w:tcPr>
            <w:tcW w:w="6915" w:type="dxa"/>
          </w:tcPr>
          <w:p w14:paraId="5CB50BD8" w14:textId="77777777" w:rsidR="00265792" w:rsidRPr="00BA7805" w:rsidRDefault="00265792" w:rsidP="00253E95">
            <w:pPr>
              <w:pStyle w:val="ARfintablebody"/>
              <w:rPr>
                <w:highlight w:val="green"/>
              </w:rPr>
            </w:pPr>
            <w:r w:rsidRPr="00C2721B">
              <w:t>Superannuation</w:t>
            </w:r>
          </w:p>
        </w:tc>
        <w:tc>
          <w:tcPr>
            <w:tcW w:w="1361" w:type="dxa"/>
            <w:noWrap/>
          </w:tcPr>
          <w:p w14:paraId="28944EB0" w14:textId="77777777" w:rsidR="00265792" w:rsidRPr="00253E95" w:rsidRDefault="00265792" w:rsidP="00253E95">
            <w:pPr>
              <w:pStyle w:val="ARfintablebodyright"/>
              <w:rPr>
                <w:highlight w:val="green"/>
              </w:rPr>
            </w:pPr>
          </w:p>
        </w:tc>
        <w:tc>
          <w:tcPr>
            <w:tcW w:w="1361" w:type="dxa"/>
            <w:noWrap/>
          </w:tcPr>
          <w:p w14:paraId="5C9B7B05" w14:textId="77777777" w:rsidR="00265792" w:rsidRPr="00253E95" w:rsidRDefault="00265792" w:rsidP="00253E95">
            <w:pPr>
              <w:pStyle w:val="ARfintablebodyright"/>
              <w:rPr>
                <w:highlight w:val="green"/>
              </w:rPr>
            </w:pPr>
          </w:p>
        </w:tc>
      </w:tr>
      <w:tr w:rsidR="00265792" w:rsidRPr="00BA7805" w14:paraId="4091CF4D" w14:textId="77777777" w:rsidTr="001513A6">
        <w:tc>
          <w:tcPr>
            <w:tcW w:w="6915" w:type="dxa"/>
          </w:tcPr>
          <w:p w14:paraId="3B66C768" w14:textId="77777777" w:rsidR="00265792" w:rsidRPr="00BA7805" w:rsidRDefault="00265792" w:rsidP="001513A6">
            <w:pPr>
              <w:pStyle w:val="ARfintablebodyindent"/>
              <w:rPr>
                <w:highlight w:val="green"/>
              </w:rPr>
            </w:pPr>
            <w:r w:rsidRPr="00C2721B">
              <w:t>Unconditional and expected to be settled within 12 months</w:t>
            </w:r>
          </w:p>
        </w:tc>
        <w:tc>
          <w:tcPr>
            <w:tcW w:w="1361" w:type="dxa"/>
            <w:shd w:val="clear" w:color="auto" w:fill="EEEEEF" w:themeFill="accent4"/>
            <w:noWrap/>
          </w:tcPr>
          <w:p w14:paraId="70FCBA51" w14:textId="77777777" w:rsidR="00265792" w:rsidRPr="00253E95" w:rsidRDefault="00265792" w:rsidP="00253E95">
            <w:pPr>
              <w:pStyle w:val="ARfintablebodyright"/>
              <w:rPr>
                <w:highlight w:val="green"/>
              </w:rPr>
            </w:pPr>
            <w:r w:rsidRPr="00253E95">
              <w:t>2.1</w:t>
            </w:r>
          </w:p>
        </w:tc>
        <w:tc>
          <w:tcPr>
            <w:tcW w:w="1361" w:type="dxa"/>
            <w:noWrap/>
          </w:tcPr>
          <w:p w14:paraId="2A84B7F4" w14:textId="77777777" w:rsidR="00265792" w:rsidRPr="00253E95" w:rsidRDefault="00265792" w:rsidP="00253E95">
            <w:pPr>
              <w:pStyle w:val="ARfintablebodyright"/>
              <w:rPr>
                <w:highlight w:val="green"/>
              </w:rPr>
            </w:pPr>
            <w:r w:rsidRPr="00253E95">
              <w:t>2.1</w:t>
            </w:r>
          </w:p>
        </w:tc>
      </w:tr>
      <w:tr w:rsidR="00265792" w:rsidRPr="00BA7805" w14:paraId="55AC1FE4" w14:textId="77777777" w:rsidTr="001513A6">
        <w:tc>
          <w:tcPr>
            <w:tcW w:w="6915" w:type="dxa"/>
          </w:tcPr>
          <w:p w14:paraId="34CA97A3" w14:textId="77777777" w:rsidR="00265792" w:rsidRPr="00BA7805" w:rsidRDefault="00265792" w:rsidP="00253E95">
            <w:pPr>
              <w:pStyle w:val="ARfintablebody"/>
              <w:rPr>
                <w:highlight w:val="green"/>
              </w:rPr>
            </w:pPr>
            <w:r w:rsidRPr="00C2721B">
              <w:t>Provisions for on-costs</w:t>
            </w:r>
          </w:p>
        </w:tc>
        <w:tc>
          <w:tcPr>
            <w:tcW w:w="1361" w:type="dxa"/>
            <w:noWrap/>
          </w:tcPr>
          <w:p w14:paraId="5B2819CF" w14:textId="77777777" w:rsidR="00265792" w:rsidRPr="00253E95" w:rsidRDefault="00265792" w:rsidP="00253E95">
            <w:pPr>
              <w:pStyle w:val="ARfintablebodyright"/>
              <w:rPr>
                <w:highlight w:val="green"/>
              </w:rPr>
            </w:pPr>
          </w:p>
        </w:tc>
        <w:tc>
          <w:tcPr>
            <w:tcW w:w="1361" w:type="dxa"/>
            <w:noWrap/>
          </w:tcPr>
          <w:p w14:paraId="2C7312FC" w14:textId="77777777" w:rsidR="00265792" w:rsidRPr="00253E95" w:rsidRDefault="00265792" w:rsidP="00253E95">
            <w:pPr>
              <w:pStyle w:val="ARfintablebodyright"/>
              <w:rPr>
                <w:highlight w:val="green"/>
              </w:rPr>
            </w:pPr>
          </w:p>
        </w:tc>
      </w:tr>
      <w:tr w:rsidR="00265792" w:rsidRPr="00BA7805" w14:paraId="24C52AA0" w14:textId="77777777" w:rsidTr="001513A6">
        <w:tc>
          <w:tcPr>
            <w:tcW w:w="6915" w:type="dxa"/>
            <w:tcBorders>
              <w:bottom w:val="single" w:sz="4" w:space="0" w:color="A6A6A6" w:themeColor="accent5"/>
            </w:tcBorders>
          </w:tcPr>
          <w:p w14:paraId="47505F92" w14:textId="77777777" w:rsidR="00265792" w:rsidRPr="00BA7805" w:rsidRDefault="00265792" w:rsidP="001513A6">
            <w:pPr>
              <w:pStyle w:val="ARfintablebodyindent"/>
              <w:rPr>
                <w:highlight w:val="green"/>
              </w:rPr>
            </w:pPr>
            <w:r w:rsidRPr="00C2721B">
              <w:t>Unconditional and expected to be settled within 12 months</w:t>
            </w:r>
          </w:p>
        </w:tc>
        <w:tc>
          <w:tcPr>
            <w:tcW w:w="1361" w:type="dxa"/>
            <w:tcBorders>
              <w:bottom w:val="single" w:sz="4" w:space="0" w:color="A6A6A6" w:themeColor="accent5"/>
            </w:tcBorders>
            <w:shd w:val="clear" w:color="auto" w:fill="EEEEEF" w:themeFill="accent4"/>
            <w:noWrap/>
          </w:tcPr>
          <w:p w14:paraId="716F3389" w14:textId="77777777" w:rsidR="00265792" w:rsidRPr="00253E95" w:rsidRDefault="00265792" w:rsidP="00253E95">
            <w:pPr>
              <w:pStyle w:val="ARfintablebodyright"/>
              <w:rPr>
                <w:highlight w:val="green"/>
              </w:rPr>
            </w:pPr>
            <w:r w:rsidRPr="00253E95">
              <w:t>18.0</w:t>
            </w:r>
          </w:p>
        </w:tc>
        <w:tc>
          <w:tcPr>
            <w:tcW w:w="1361" w:type="dxa"/>
            <w:tcBorders>
              <w:bottom w:val="single" w:sz="4" w:space="0" w:color="A6A6A6" w:themeColor="accent5"/>
            </w:tcBorders>
            <w:noWrap/>
          </w:tcPr>
          <w:p w14:paraId="52190442" w14:textId="77777777" w:rsidR="00265792" w:rsidRPr="00253E95" w:rsidRDefault="00265792" w:rsidP="00253E95">
            <w:pPr>
              <w:pStyle w:val="ARfintablebodyright"/>
              <w:rPr>
                <w:highlight w:val="green"/>
              </w:rPr>
            </w:pPr>
            <w:r w:rsidRPr="00253E95">
              <w:t>14.3</w:t>
            </w:r>
          </w:p>
        </w:tc>
      </w:tr>
      <w:tr w:rsidR="00265792" w:rsidRPr="00BA7805" w14:paraId="3AAC4DE7" w14:textId="77777777" w:rsidTr="001513A6">
        <w:tc>
          <w:tcPr>
            <w:tcW w:w="6915" w:type="dxa"/>
            <w:tcBorders>
              <w:top w:val="single" w:sz="4" w:space="0" w:color="A6A6A6" w:themeColor="accent5"/>
              <w:bottom w:val="single" w:sz="4" w:space="0" w:color="000000" w:themeColor="text1"/>
            </w:tcBorders>
          </w:tcPr>
          <w:p w14:paraId="3B00FD03" w14:textId="77777777" w:rsidR="00265792" w:rsidRPr="00BA7805" w:rsidRDefault="00265792" w:rsidP="001513A6">
            <w:pPr>
              <w:pStyle w:val="ARfintablebodyindent"/>
              <w:rPr>
                <w:highlight w:val="green"/>
              </w:rPr>
            </w:pPr>
            <w:r w:rsidRPr="00C2721B">
              <w:t>Unconditional and expected to be settled after 12 months</w:t>
            </w:r>
          </w:p>
        </w:tc>
        <w:tc>
          <w:tcPr>
            <w:tcW w:w="1361" w:type="dxa"/>
            <w:tcBorders>
              <w:top w:val="single" w:sz="4" w:space="0" w:color="A6A6A6" w:themeColor="accent5"/>
              <w:bottom w:val="single" w:sz="4" w:space="0" w:color="000000" w:themeColor="text1"/>
            </w:tcBorders>
            <w:shd w:val="clear" w:color="auto" w:fill="EEEEEF" w:themeFill="accent4"/>
            <w:noWrap/>
          </w:tcPr>
          <w:p w14:paraId="2FF74178" w14:textId="77777777" w:rsidR="00265792" w:rsidRPr="00253E95" w:rsidRDefault="00265792" w:rsidP="00253E95">
            <w:pPr>
              <w:pStyle w:val="ARfintablebodyright"/>
              <w:rPr>
                <w:highlight w:val="green"/>
              </w:rPr>
            </w:pPr>
            <w:r w:rsidRPr="00253E95">
              <w:t>31.8</w:t>
            </w:r>
          </w:p>
        </w:tc>
        <w:tc>
          <w:tcPr>
            <w:tcW w:w="1361" w:type="dxa"/>
            <w:tcBorders>
              <w:top w:val="single" w:sz="4" w:space="0" w:color="A6A6A6" w:themeColor="accent5"/>
              <w:bottom w:val="single" w:sz="4" w:space="0" w:color="000000" w:themeColor="text1"/>
            </w:tcBorders>
            <w:noWrap/>
          </w:tcPr>
          <w:p w14:paraId="3B976938" w14:textId="77777777" w:rsidR="00265792" w:rsidRPr="00253E95" w:rsidRDefault="00265792" w:rsidP="00253E95">
            <w:pPr>
              <w:pStyle w:val="ARfintablebodyright"/>
              <w:rPr>
                <w:highlight w:val="green"/>
              </w:rPr>
            </w:pPr>
            <w:r w:rsidRPr="00253E95">
              <w:t>27.9</w:t>
            </w:r>
          </w:p>
        </w:tc>
      </w:tr>
      <w:tr w:rsidR="00265792" w:rsidRPr="00BA7805" w14:paraId="6DED2424" w14:textId="77777777" w:rsidTr="001513A6">
        <w:tc>
          <w:tcPr>
            <w:tcW w:w="6915" w:type="dxa"/>
            <w:tcBorders>
              <w:top w:val="single" w:sz="4" w:space="0" w:color="000000" w:themeColor="text1"/>
              <w:bottom w:val="single" w:sz="4" w:space="0" w:color="000000" w:themeColor="text1"/>
            </w:tcBorders>
          </w:tcPr>
          <w:p w14:paraId="7F357879" w14:textId="77777777" w:rsidR="00265792" w:rsidRPr="00BA7805" w:rsidRDefault="00265792" w:rsidP="00253E95">
            <w:pPr>
              <w:pStyle w:val="ARfintablebodybold"/>
              <w:rPr>
                <w:highlight w:val="green"/>
              </w:rPr>
            </w:pPr>
            <w:r w:rsidRPr="00C2721B">
              <w:t>Total current provisions for employee benefits</w:t>
            </w:r>
          </w:p>
        </w:tc>
        <w:tc>
          <w:tcPr>
            <w:tcW w:w="1361" w:type="dxa"/>
            <w:tcBorders>
              <w:top w:val="single" w:sz="4" w:space="0" w:color="000000" w:themeColor="text1"/>
              <w:bottom w:val="single" w:sz="4" w:space="0" w:color="000000" w:themeColor="text1"/>
            </w:tcBorders>
            <w:shd w:val="clear" w:color="auto" w:fill="EEEEEF" w:themeFill="accent4"/>
            <w:noWrap/>
          </w:tcPr>
          <w:p w14:paraId="415BA6D4" w14:textId="77777777" w:rsidR="00265792" w:rsidRPr="00253E95" w:rsidRDefault="00265792" w:rsidP="001513A6">
            <w:pPr>
              <w:pStyle w:val="ARfintablebodyrightbold"/>
              <w:rPr>
                <w:highlight w:val="green"/>
              </w:rPr>
            </w:pPr>
            <w:r w:rsidRPr="00253E95">
              <w:t>283.7</w:t>
            </w:r>
          </w:p>
        </w:tc>
        <w:tc>
          <w:tcPr>
            <w:tcW w:w="1361" w:type="dxa"/>
            <w:tcBorders>
              <w:top w:val="single" w:sz="4" w:space="0" w:color="000000" w:themeColor="text1"/>
              <w:bottom w:val="single" w:sz="4" w:space="0" w:color="000000" w:themeColor="text1"/>
            </w:tcBorders>
            <w:noWrap/>
          </w:tcPr>
          <w:p w14:paraId="741BEA01" w14:textId="77777777" w:rsidR="00265792" w:rsidRPr="00253E95" w:rsidRDefault="00265792" w:rsidP="001513A6">
            <w:pPr>
              <w:pStyle w:val="ARfintablebodyrightbold"/>
              <w:rPr>
                <w:highlight w:val="green"/>
              </w:rPr>
            </w:pPr>
            <w:r w:rsidRPr="00253E95">
              <w:t>252.3</w:t>
            </w:r>
          </w:p>
        </w:tc>
      </w:tr>
      <w:tr w:rsidR="00265792" w:rsidRPr="00BA7805" w14:paraId="24198B59" w14:textId="77777777" w:rsidTr="001513A6">
        <w:tc>
          <w:tcPr>
            <w:tcW w:w="6915" w:type="dxa"/>
            <w:tcBorders>
              <w:top w:val="single" w:sz="4" w:space="0" w:color="000000" w:themeColor="text1"/>
              <w:bottom w:val="single" w:sz="4" w:space="0" w:color="A6A6A6" w:themeColor="accent5"/>
            </w:tcBorders>
          </w:tcPr>
          <w:p w14:paraId="3D907BFA" w14:textId="77777777" w:rsidR="00265792" w:rsidRPr="00BA7805" w:rsidRDefault="00265792" w:rsidP="00253E95">
            <w:pPr>
              <w:pStyle w:val="ARfintablebodybold"/>
              <w:rPr>
                <w:highlight w:val="green"/>
              </w:rPr>
            </w:pPr>
            <w:r w:rsidRPr="00C2721B">
              <w:t>Non-current provisions</w:t>
            </w:r>
          </w:p>
        </w:tc>
        <w:tc>
          <w:tcPr>
            <w:tcW w:w="1361" w:type="dxa"/>
            <w:tcBorders>
              <w:top w:val="single" w:sz="4" w:space="0" w:color="000000" w:themeColor="text1"/>
              <w:bottom w:val="single" w:sz="4" w:space="0" w:color="A6A6A6" w:themeColor="accent5"/>
            </w:tcBorders>
            <w:noWrap/>
          </w:tcPr>
          <w:p w14:paraId="6AF10C3F" w14:textId="77777777" w:rsidR="00265792" w:rsidRPr="00253E95" w:rsidRDefault="00265792" w:rsidP="00253E95">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3C6FB257" w14:textId="77777777" w:rsidR="00265792" w:rsidRPr="00253E95" w:rsidRDefault="00265792" w:rsidP="00253E95">
            <w:pPr>
              <w:pStyle w:val="ARfintablebodyright"/>
              <w:rPr>
                <w:highlight w:val="green"/>
              </w:rPr>
            </w:pPr>
          </w:p>
        </w:tc>
      </w:tr>
      <w:tr w:rsidR="00265792" w:rsidRPr="00BA7805" w14:paraId="3EC22F71" w14:textId="77777777" w:rsidTr="001513A6">
        <w:tc>
          <w:tcPr>
            <w:tcW w:w="6915" w:type="dxa"/>
            <w:tcBorders>
              <w:top w:val="single" w:sz="4" w:space="0" w:color="A6A6A6" w:themeColor="accent5"/>
            </w:tcBorders>
          </w:tcPr>
          <w:p w14:paraId="0303A3B6" w14:textId="77777777" w:rsidR="00265792" w:rsidRPr="00BA7805" w:rsidRDefault="00265792" w:rsidP="00253E95">
            <w:pPr>
              <w:pStyle w:val="ARfintablebody"/>
              <w:rPr>
                <w:highlight w:val="green"/>
              </w:rPr>
            </w:pPr>
            <w:r w:rsidRPr="00C2721B">
              <w:t>Conditional long service leave entitlements</w:t>
            </w:r>
          </w:p>
        </w:tc>
        <w:tc>
          <w:tcPr>
            <w:tcW w:w="1361" w:type="dxa"/>
            <w:tcBorders>
              <w:top w:val="single" w:sz="4" w:space="0" w:color="A6A6A6" w:themeColor="accent5"/>
            </w:tcBorders>
            <w:shd w:val="clear" w:color="auto" w:fill="EEEEEF" w:themeFill="accent4"/>
            <w:noWrap/>
          </w:tcPr>
          <w:p w14:paraId="3DAC3072" w14:textId="77777777" w:rsidR="00265792" w:rsidRPr="00253E95" w:rsidRDefault="00265792" w:rsidP="00253E95">
            <w:pPr>
              <w:pStyle w:val="ARfintablebodyright"/>
              <w:rPr>
                <w:highlight w:val="green"/>
              </w:rPr>
            </w:pPr>
            <w:r w:rsidRPr="00253E95">
              <w:t>16.5</w:t>
            </w:r>
          </w:p>
        </w:tc>
        <w:tc>
          <w:tcPr>
            <w:tcW w:w="1361" w:type="dxa"/>
            <w:tcBorders>
              <w:top w:val="single" w:sz="4" w:space="0" w:color="A6A6A6" w:themeColor="accent5"/>
            </w:tcBorders>
            <w:noWrap/>
          </w:tcPr>
          <w:p w14:paraId="11CB4928" w14:textId="77777777" w:rsidR="00265792" w:rsidRPr="00253E95" w:rsidRDefault="00265792" w:rsidP="00253E95">
            <w:pPr>
              <w:pStyle w:val="ARfintablebodyright"/>
              <w:rPr>
                <w:highlight w:val="green"/>
              </w:rPr>
            </w:pPr>
            <w:r w:rsidRPr="00253E95">
              <w:t>23.5</w:t>
            </w:r>
          </w:p>
        </w:tc>
      </w:tr>
      <w:tr w:rsidR="00265792" w:rsidRPr="00BA7805" w14:paraId="74D00D0F" w14:textId="77777777" w:rsidTr="001513A6">
        <w:tc>
          <w:tcPr>
            <w:tcW w:w="6915" w:type="dxa"/>
            <w:tcBorders>
              <w:bottom w:val="single" w:sz="4" w:space="0" w:color="A6A6A6" w:themeColor="accent5"/>
            </w:tcBorders>
          </w:tcPr>
          <w:p w14:paraId="3AA2C676" w14:textId="77777777" w:rsidR="00265792" w:rsidRPr="00BA7805" w:rsidRDefault="00265792" w:rsidP="00253E95">
            <w:pPr>
              <w:pStyle w:val="ARfintablebody"/>
              <w:rPr>
                <w:highlight w:val="green"/>
              </w:rPr>
            </w:pPr>
            <w:r w:rsidRPr="00C2721B">
              <w:t>Superannuation</w:t>
            </w:r>
          </w:p>
        </w:tc>
        <w:tc>
          <w:tcPr>
            <w:tcW w:w="1361" w:type="dxa"/>
            <w:tcBorders>
              <w:bottom w:val="single" w:sz="4" w:space="0" w:color="A6A6A6" w:themeColor="accent5"/>
            </w:tcBorders>
            <w:shd w:val="clear" w:color="auto" w:fill="EEEEEF" w:themeFill="accent4"/>
            <w:noWrap/>
          </w:tcPr>
          <w:p w14:paraId="11A4707E" w14:textId="77777777" w:rsidR="00265792" w:rsidRPr="00253E95" w:rsidRDefault="00265792" w:rsidP="00253E95">
            <w:pPr>
              <w:pStyle w:val="ARfintablebodyright"/>
              <w:rPr>
                <w:highlight w:val="green"/>
              </w:rPr>
            </w:pPr>
            <w:r w:rsidRPr="00253E95">
              <w:t>17.2</w:t>
            </w:r>
          </w:p>
        </w:tc>
        <w:tc>
          <w:tcPr>
            <w:tcW w:w="1361" w:type="dxa"/>
            <w:tcBorders>
              <w:bottom w:val="single" w:sz="4" w:space="0" w:color="A6A6A6" w:themeColor="accent5"/>
            </w:tcBorders>
            <w:noWrap/>
          </w:tcPr>
          <w:p w14:paraId="6C7C3A28" w14:textId="77777777" w:rsidR="00265792" w:rsidRPr="00253E95" w:rsidRDefault="00265792" w:rsidP="00253E95">
            <w:pPr>
              <w:pStyle w:val="ARfintablebodyright"/>
              <w:rPr>
                <w:highlight w:val="green"/>
              </w:rPr>
            </w:pPr>
            <w:r w:rsidRPr="00253E95">
              <w:t>18.2</w:t>
            </w:r>
          </w:p>
        </w:tc>
      </w:tr>
      <w:tr w:rsidR="00265792" w:rsidRPr="00BA7805" w14:paraId="7A864D44" w14:textId="77777777" w:rsidTr="001513A6">
        <w:tc>
          <w:tcPr>
            <w:tcW w:w="6915" w:type="dxa"/>
            <w:tcBorders>
              <w:top w:val="single" w:sz="4" w:space="0" w:color="A6A6A6" w:themeColor="accent5"/>
              <w:bottom w:val="single" w:sz="4" w:space="0" w:color="000000" w:themeColor="text1"/>
            </w:tcBorders>
          </w:tcPr>
          <w:p w14:paraId="6C91F474" w14:textId="77777777" w:rsidR="00265792" w:rsidRPr="00BA7805" w:rsidRDefault="00265792" w:rsidP="00253E95">
            <w:pPr>
              <w:pStyle w:val="ARfintablebody"/>
              <w:rPr>
                <w:highlight w:val="green"/>
              </w:rPr>
            </w:pPr>
            <w:r w:rsidRPr="00C2721B">
              <w:t>Provisions for on-costs</w:t>
            </w:r>
          </w:p>
        </w:tc>
        <w:tc>
          <w:tcPr>
            <w:tcW w:w="1361" w:type="dxa"/>
            <w:tcBorders>
              <w:top w:val="single" w:sz="4" w:space="0" w:color="A6A6A6" w:themeColor="accent5"/>
              <w:bottom w:val="single" w:sz="4" w:space="0" w:color="000000" w:themeColor="text1"/>
            </w:tcBorders>
            <w:shd w:val="clear" w:color="auto" w:fill="EEEEEF" w:themeFill="accent4"/>
            <w:noWrap/>
          </w:tcPr>
          <w:p w14:paraId="365BF7A8" w14:textId="77777777" w:rsidR="00265792" w:rsidRPr="00253E95" w:rsidRDefault="00265792" w:rsidP="00253E95">
            <w:pPr>
              <w:pStyle w:val="ARfintablebodyright"/>
              <w:rPr>
                <w:highlight w:val="green"/>
              </w:rPr>
            </w:pPr>
            <w:r w:rsidRPr="00253E95">
              <w:t>3.7</w:t>
            </w:r>
          </w:p>
        </w:tc>
        <w:tc>
          <w:tcPr>
            <w:tcW w:w="1361" w:type="dxa"/>
            <w:tcBorders>
              <w:top w:val="single" w:sz="4" w:space="0" w:color="A6A6A6" w:themeColor="accent5"/>
              <w:bottom w:val="single" w:sz="4" w:space="0" w:color="000000" w:themeColor="text1"/>
            </w:tcBorders>
            <w:noWrap/>
          </w:tcPr>
          <w:p w14:paraId="0138C911" w14:textId="77777777" w:rsidR="00265792" w:rsidRPr="00253E95" w:rsidRDefault="00265792" w:rsidP="00253E95">
            <w:pPr>
              <w:pStyle w:val="ARfintablebodyright"/>
              <w:rPr>
                <w:highlight w:val="green"/>
              </w:rPr>
            </w:pPr>
            <w:r w:rsidRPr="00253E95">
              <w:t>5.3</w:t>
            </w:r>
          </w:p>
        </w:tc>
      </w:tr>
      <w:tr w:rsidR="00265792" w:rsidRPr="00BA7805" w14:paraId="7CD46886" w14:textId="77777777" w:rsidTr="001513A6">
        <w:tc>
          <w:tcPr>
            <w:tcW w:w="6915" w:type="dxa"/>
            <w:tcBorders>
              <w:top w:val="single" w:sz="4" w:space="0" w:color="000000" w:themeColor="text1"/>
              <w:bottom w:val="single" w:sz="4" w:space="0" w:color="000000" w:themeColor="text1"/>
            </w:tcBorders>
          </w:tcPr>
          <w:p w14:paraId="0D4F1D79" w14:textId="77777777" w:rsidR="00265792" w:rsidRPr="00BA7805" w:rsidRDefault="00265792" w:rsidP="00253E95">
            <w:pPr>
              <w:pStyle w:val="ARfintablebodybold"/>
              <w:rPr>
                <w:highlight w:val="green"/>
              </w:rPr>
            </w:pPr>
            <w:r w:rsidRPr="00C2721B">
              <w:t>Total non-current provisions for employee benefits</w:t>
            </w:r>
          </w:p>
        </w:tc>
        <w:tc>
          <w:tcPr>
            <w:tcW w:w="1361" w:type="dxa"/>
            <w:tcBorders>
              <w:top w:val="single" w:sz="4" w:space="0" w:color="000000" w:themeColor="text1"/>
              <w:bottom w:val="single" w:sz="4" w:space="0" w:color="000000" w:themeColor="text1"/>
            </w:tcBorders>
            <w:shd w:val="clear" w:color="auto" w:fill="EEEEEF" w:themeFill="accent4"/>
            <w:noWrap/>
          </w:tcPr>
          <w:p w14:paraId="2F2A5C09" w14:textId="77777777" w:rsidR="00265792" w:rsidRPr="00253E95" w:rsidRDefault="00265792" w:rsidP="001513A6">
            <w:pPr>
              <w:pStyle w:val="ARfintablebodyrightbold"/>
              <w:rPr>
                <w:highlight w:val="green"/>
              </w:rPr>
            </w:pPr>
            <w:r w:rsidRPr="00253E95">
              <w:t>37.4</w:t>
            </w:r>
          </w:p>
        </w:tc>
        <w:tc>
          <w:tcPr>
            <w:tcW w:w="1361" w:type="dxa"/>
            <w:tcBorders>
              <w:top w:val="single" w:sz="4" w:space="0" w:color="000000" w:themeColor="text1"/>
              <w:bottom w:val="single" w:sz="4" w:space="0" w:color="000000" w:themeColor="text1"/>
            </w:tcBorders>
            <w:noWrap/>
          </w:tcPr>
          <w:p w14:paraId="07199E23" w14:textId="77777777" w:rsidR="00265792" w:rsidRPr="00253E95" w:rsidRDefault="00265792" w:rsidP="001513A6">
            <w:pPr>
              <w:pStyle w:val="ARfintablebodyrightbold"/>
              <w:rPr>
                <w:highlight w:val="green"/>
              </w:rPr>
            </w:pPr>
            <w:r w:rsidRPr="00253E95">
              <w:t>47.0</w:t>
            </w:r>
          </w:p>
        </w:tc>
      </w:tr>
      <w:tr w:rsidR="00265792" w:rsidRPr="00BA7805" w14:paraId="54C64C03" w14:textId="77777777" w:rsidTr="001513A6">
        <w:trPr>
          <w:cnfStyle w:val="010000000000" w:firstRow="0" w:lastRow="1" w:firstColumn="0" w:lastColumn="0" w:oddVBand="0" w:evenVBand="0" w:oddHBand="0" w:evenHBand="0" w:firstRowFirstColumn="0" w:firstRowLastColumn="0" w:lastRowFirstColumn="0" w:lastRowLastColumn="0"/>
        </w:trPr>
        <w:tc>
          <w:tcPr>
            <w:tcW w:w="6915" w:type="dxa"/>
          </w:tcPr>
          <w:p w14:paraId="7BBAC547" w14:textId="77777777" w:rsidR="00265792" w:rsidRPr="00BA7805" w:rsidRDefault="00265792" w:rsidP="00253E95">
            <w:pPr>
              <w:pStyle w:val="ARfintablebodybold"/>
              <w:rPr>
                <w:highlight w:val="green"/>
              </w:rPr>
            </w:pPr>
            <w:r w:rsidRPr="00C2721B">
              <w:t>Total provisions for employee benefits</w:t>
            </w:r>
          </w:p>
        </w:tc>
        <w:tc>
          <w:tcPr>
            <w:tcW w:w="1361" w:type="dxa"/>
            <w:shd w:val="clear" w:color="auto" w:fill="EEEEEF" w:themeFill="accent4"/>
            <w:noWrap/>
          </w:tcPr>
          <w:p w14:paraId="472F2483" w14:textId="77777777" w:rsidR="00265792" w:rsidRPr="00253E95" w:rsidRDefault="00265792" w:rsidP="001513A6">
            <w:pPr>
              <w:pStyle w:val="ARfintablebodyrightbold"/>
              <w:rPr>
                <w:highlight w:val="green"/>
              </w:rPr>
            </w:pPr>
            <w:r w:rsidRPr="00253E95">
              <w:t>321.1</w:t>
            </w:r>
          </w:p>
        </w:tc>
        <w:tc>
          <w:tcPr>
            <w:tcW w:w="1361" w:type="dxa"/>
            <w:noWrap/>
          </w:tcPr>
          <w:p w14:paraId="769888D5" w14:textId="77777777" w:rsidR="00265792" w:rsidRPr="00253E95" w:rsidRDefault="00265792" w:rsidP="001513A6">
            <w:pPr>
              <w:pStyle w:val="ARfintablebodyrightbold"/>
              <w:rPr>
                <w:highlight w:val="green"/>
              </w:rPr>
            </w:pPr>
            <w:r w:rsidRPr="00253E95">
              <w:t>299.3</w:t>
            </w:r>
          </w:p>
        </w:tc>
      </w:tr>
    </w:tbl>
    <w:p w14:paraId="565EFA03" w14:textId="77777777" w:rsidR="00265792" w:rsidRDefault="00265792" w:rsidP="00066CE0">
      <w:pPr>
        <w:pStyle w:val="ARfinbodyaftertable"/>
      </w:pPr>
      <w:r w:rsidRPr="00CA1A5B">
        <w:rPr>
          <w:rStyle w:val="Strong"/>
        </w:rPr>
        <w:t>Sick leave:</w:t>
      </w:r>
      <w:r>
        <w:t xml:space="preserve"> No provision has been made for sick leave as all sick leave is non-</w:t>
      </w:r>
      <w:proofErr w:type="gramStart"/>
      <w:r>
        <w:t>vesting</w:t>
      </w:r>
      <w:proofErr w:type="gramEnd"/>
      <w:r>
        <w:t xml:space="preserve"> and it is not considered probable that the average sick leave taken in the future will be greater than the benefits accrued in the future. As sick leave is non-vesting, an expense is recognised in the comprehensive operating statement as it is taken.</w:t>
      </w:r>
    </w:p>
    <w:p w14:paraId="14AA26A6" w14:textId="67A3D496" w:rsidR="00265792" w:rsidRDefault="00265792" w:rsidP="00066CE0">
      <w:pPr>
        <w:pStyle w:val="ARfinbody"/>
      </w:pPr>
      <w:r w:rsidRPr="00CA1A5B">
        <w:rPr>
          <w:rStyle w:val="Strong"/>
        </w:rPr>
        <w:t>Employment on-cost:</w:t>
      </w:r>
      <w:r>
        <w:t xml:space="preserve"> Employment on-costs such as payroll tax, workers</w:t>
      </w:r>
      <w:r w:rsidR="00B93646">
        <w:t>’</w:t>
      </w:r>
      <w:r>
        <w:t xml:space="preserve"> compensation and superannuation are not employee benefits. They are disclosed separately as a component of the provision for employee benefits when the employment to which they relate has occurred. </w:t>
      </w:r>
    </w:p>
    <w:p w14:paraId="5E9974D0" w14:textId="77777777" w:rsidR="00265792" w:rsidRDefault="00265792" w:rsidP="00066CE0">
      <w:pPr>
        <w:pStyle w:val="ARfinbody"/>
      </w:pPr>
      <w:r w:rsidRPr="00CA1A5B">
        <w:rPr>
          <w:rStyle w:val="Strong"/>
        </w:rPr>
        <w:t>Unconditional LSL</w:t>
      </w:r>
      <w:r>
        <w:t xml:space="preserve"> is disclosed as a current liability; even where the department does not expect to settle the liability within 12 months because it will not have the unconditional right to defer the settlement of the entitlement should an employee take leave within 12 months. </w:t>
      </w:r>
    </w:p>
    <w:p w14:paraId="4023267B" w14:textId="77777777" w:rsidR="00265792" w:rsidRDefault="00265792" w:rsidP="00066CE0">
      <w:pPr>
        <w:pStyle w:val="ARfinbody"/>
      </w:pPr>
      <w:r>
        <w:t>The components of this current LSL liability are measured at present value where the department does not expect to wholly settle within 12 months. The components of current LSL liability are measured at nominal value where the department expects to settle within 12 months.</w:t>
      </w:r>
    </w:p>
    <w:p w14:paraId="1F880B23" w14:textId="77777777" w:rsidR="00265792" w:rsidRDefault="00265792" w:rsidP="00066CE0">
      <w:pPr>
        <w:pStyle w:val="ARfinbody"/>
      </w:pPr>
      <w:r w:rsidRPr="00CA1A5B">
        <w:rPr>
          <w:rStyle w:val="Strong"/>
        </w:rPr>
        <w:t>Conditional LSL</w:t>
      </w:r>
      <w:r>
        <w:t xml:space="preserve"> is disclosed as a non-current liability. There is an unconditional right to defer the settlement of the entitlement until the employee has completed the requisite years of service. This non-current LSL liability is measured at present value.</w:t>
      </w:r>
    </w:p>
    <w:p w14:paraId="411FF802" w14:textId="372D284A" w:rsidR="00265792" w:rsidRDefault="00265792" w:rsidP="00066CE0">
      <w:pPr>
        <w:pStyle w:val="ARfinbody"/>
      </w:pPr>
      <w:r>
        <w:t xml:space="preserve">Any gain or loss following the revaluation of the present value of non-current LSL liability is recognised as a transaction, except to the extent that a gain or loss arises due to changes in bond interest rates for which it is then recognised as an </w:t>
      </w:r>
      <w:r w:rsidR="000469F8">
        <w:t>‘</w:t>
      </w:r>
      <w:r>
        <w:t>other economic flow</w:t>
      </w:r>
      <w:r w:rsidR="000469F8">
        <w:t>’</w:t>
      </w:r>
      <w:r>
        <w:t xml:space="preserve"> in the net result.</w:t>
      </w:r>
    </w:p>
    <w:p w14:paraId="027A4AB5" w14:textId="77777777" w:rsidR="00265792" w:rsidRDefault="00265792" w:rsidP="00B155CF">
      <w:pPr>
        <w:pStyle w:val="ARbody"/>
        <w:rPr>
          <w:lang w:eastAsia="en-AU"/>
        </w:rPr>
      </w:pPr>
      <w:r>
        <w:br w:type="page"/>
      </w:r>
    </w:p>
    <w:p w14:paraId="2890BD66" w14:textId="5A6F7307" w:rsidR="00265792" w:rsidRDefault="00265792" w:rsidP="00956F93">
      <w:pPr>
        <w:pStyle w:val="Heading7"/>
      </w:pPr>
      <w:bookmarkStart w:id="270" w:name="Provisionsforsuperannuation157"/>
      <w:r>
        <w:lastRenderedPageBreak/>
        <w:t xml:space="preserve">Provisions for superannuation – </w:t>
      </w:r>
      <w:r w:rsidR="000469F8">
        <w:t>d</w:t>
      </w:r>
      <w:r>
        <w:t>efined benefit obligation</w:t>
      </w:r>
    </w:p>
    <w:bookmarkEnd w:id="270"/>
    <w:p w14:paraId="53BEBC03" w14:textId="77777777" w:rsidR="00265792" w:rsidRDefault="00265792" w:rsidP="00824217">
      <w:pPr>
        <w:pStyle w:val="ARfinbodylargespace"/>
      </w:pPr>
      <w:r>
        <w:t xml:space="preserve">The department reports a liability for unfunded superannuation in respect of former employees of Homes Victoria for the shortfall of superannuation benefits paid to former housing staff who retired or resigned on or before 14 December 1987 or were employed by Homes Victoria as </w:t>
      </w:r>
      <w:proofErr w:type="gramStart"/>
      <w:r>
        <w:t>at</w:t>
      </w:r>
      <w:proofErr w:type="gramEnd"/>
      <w:r>
        <w:t xml:space="preserve"> 14 December 1987 and retired or resigned prior to or on 30 June 1994. </w:t>
      </w:r>
    </w:p>
    <w:p w14:paraId="573F9448" w14:textId="22C86831" w:rsidR="00265792" w:rsidRDefault="00265792" w:rsidP="00824217">
      <w:pPr>
        <w:pStyle w:val="ARfinbodylargespace"/>
      </w:pPr>
      <w:r>
        <w:t xml:space="preserve">In accordance with the requirements of Financial Reporting Directions (FRD) 112, Homes Victoria is required to recognise defined benefit liabilities or surpluses of defined benefit plans in accordance with the requirements of AASB119. Other than former employees of Homes Victoria, the department does not recognise any defined benefit liabilities because it has no legal or constructive obligation to pay future benefits relating to its employees. Instead, the Department of Treasury and Finance discloses in its annual financial statements the net defined benefit cost related to the members of these plans as an administered liability (on behalf of the </w:t>
      </w:r>
      <w:r w:rsidR="00C8397D">
        <w:t>s</w:t>
      </w:r>
      <w:r>
        <w:t>tate as the sponsoring employer).</w:t>
      </w:r>
    </w:p>
    <w:p w14:paraId="3D287C27" w14:textId="77777777" w:rsidR="00265792" w:rsidRPr="00BA7805" w:rsidRDefault="00265792" w:rsidP="00824217">
      <w:pPr>
        <w:pStyle w:val="ARfinbodylargespace"/>
        <w:rPr>
          <w:highlight w:val="green"/>
        </w:rPr>
      </w:pPr>
      <w:r>
        <w:t xml:space="preserve">This liability represents the shortfall between the total net assets of the superannuation fund </w:t>
      </w:r>
      <w:proofErr w:type="gramStart"/>
      <w:r>
        <w:t>at</w:t>
      </w:r>
      <w:proofErr w:type="gramEnd"/>
      <w:r>
        <w:t xml:space="preserve"> 30 June 2025 and the total benefits that members have accrued up to that date, determined by an actuarial assessment. Information relating to the fund based on the latest actuarial assessment for 30 June 2025 is set out below. The amount expensed in respect of unfunded superannuation represents the contributions made by the department to the superannuation fund, adjusted by the movement in the liability or asset.</w:t>
      </w:r>
    </w:p>
    <w:tbl>
      <w:tblPr>
        <w:tblStyle w:val="TableGrid"/>
        <w:tblW w:w="9639" w:type="dxa"/>
        <w:tblLayout w:type="fixed"/>
        <w:tblLook w:val="06E0" w:firstRow="1" w:lastRow="1" w:firstColumn="1" w:lastColumn="0" w:noHBand="1" w:noVBand="1"/>
      </w:tblPr>
      <w:tblGrid>
        <w:gridCol w:w="6917"/>
        <w:gridCol w:w="1361"/>
        <w:gridCol w:w="1361"/>
      </w:tblGrid>
      <w:tr w:rsidR="00265792" w:rsidRPr="00BA7805" w14:paraId="098D49B3" w14:textId="77777777" w:rsidTr="00D3176C">
        <w:trPr>
          <w:cnfStyle w:val="100000000000" w:firstRow="1" w:lastRow="0" w:firstColumn="0" w:lastColumn="0" w:oddVBand="0" w:evenVBand="0" w:oddHBand="0" w:evenHBand="0" w:firstRowFirstColumn="0" w:firstRowLastColumn="0" w:lastRowFirstColumn="0" w:lastRowLastColumn="0"/>
        </w:trPr>
        <w:tc>
          <w:tcPr>
            <w:tcW w:w="6917" w:type="dxa"/>
            <w:noWrap/>
            <w:hideMark/>
          </w:tcPr>
          <w:p w14:paraId="552FB085" w14:textId="77777777" w:rsidR="00265792" w:rsidRPr="00BA7805" w:rsidRDefault="00265792">
            <w:pPr>
              <w:pStyle w:val="ARfintablecolhead"/>
              <w:spacing w:before="36"/>
              <w:rPr>
                <w:highlight w:val="green"/>
              </w:rPr>
            </w:pPr>
          </w:p>
        </w:tc>
        <w:tc>
          <w:tcPr>
            <w:tcW w:w="1361" w:type="dxa"/>
            <w:shd w:val="clear" w:color="auto" w:fill="EEEEEF" w:themeFill="accent4"/>
            <w:hideMark/>
          </w:tcPr>
          <w:p w14:paraId="2193BBAE" w14:textId="77777777" w:rsidR="00265792" w:rsidRPr="006C740D" w:rsidRDefault="00265792">
            <w:pPr>
              <w:pStyle w:val="ARfintablecolheadright"/>
            </w:pPr>
            <w:r w:rsidRPr="006C740D">
              <w:t>202</w:t>
            </w:r>
            <w:r>
              <w:t>5</w:t>
            </w:r>
          </w:p>
          <w:p w14:paraId="3B93C220" w14:textId="77777777" w:rsidR="00265792" w:rsidRPr="006C740D" w:rsidRDefault="00265792">
            <w:pPr>
              <w:pStyle w:val="ARfintablecolheadright"/>
              <w:spacing w:before="36"/>
            </w:pPr>
            <w:r w:rsidRPr="006C740D">
              <w:t>$M</w:t>
            </w:r>
          </w:p>
        </w:tc>
        <w:tc>
          <w:tcPr>
            <w:tcW w:w="1361" w:type="dxa"/>
          </w:tcPr>
          <w:p w14:paraId="2E8B1D25" w14:textId="77777777" w:rsidR="00265792" w:rsidRPr="006C740D" w:rsidRDefault="00265792">
            <w:pPr>
              <w:pStyle w:val="ARfintablecolheadright"/>
            </w:pPr>
            <w:r w:rsidRPr="006C740D">
              <w:t>202</w:t>
            </w:r>
            <w:r>
              <w:t>4</w:t>
            </w:r>
          </w:p>
          <w:p w14:paraId="29E9CDEA" w14:textId="77777777" w:rsidR="00265792" w:rsidRPr="006C740D" w:rsidRDefault="00265792">
            <w:pPr>
              <w:pStyle w:val="ARfintablecolheadright"/>
              <w:spacing w:before="36"/>
            </w:pPr>
            <w:r w:rsidRPr="006C740D">
              <w:t>$M</w:t>
            </w:r>
          </w:p>
        </w:tc>
      </w:tr>
      <w:tr w:rsidR="00265792" w:rsidRPr="00BA7805" w14:paraId="06498615" w14:textId="77777777" w:rsidTr="00D3176C">
        <w:tc>
          <w:tcPr>
            <w:tcW w:w="6917" w:type="dxa"/>
            <w:tcBorders>
              <w:bottom w:val="single" w:sz="4" w:space="0" w:color="A6A6A6" w:themeColor="accent5"/>
            </w:tcBorders>
          </w:tcPr>
          <w:p w14:paraId="0C511AA4" w14:textId="77777777" w:rsidR="00265792" w:rsidRPr="00BA7805" w:rsidRDefault="00265792" w:rsidP="00824217">
            <w:pPr>
              <w:pStyle w:val="ARfintablebodybold"/>
              <w:rPr>
                <w:highlight w:val="green"/>
              </w:rPr>
            </w:pPr>
            <w:r w:rsidRPr="0032573A">
              <w:t>Reconciliation of the superannuation liability in the balance sheet</w:t>
            </w:r>
          </w:p>
        </w:tc>
        <w:tc>
          <w:tcPr>
            <w:tcW w:w="1361" w:type="dxa"/>
            <w:tcBorders>
              <w:bottom w:val="single" w:sz="4" w:space="0" w:color="A6A6A6" w:themeColor="accent5"/>
            </w:tcBorders>
            <w:noWrap/>
          </w:tcPr>
          <w:p w14:paraId="1E77CB6A" w14:textId="77777777" w:rsidR="00265792" w:rsidRPr="00BA7805" w:rsidRDefault="00265792" w:rsidP="00824217">
            <w:pPr>
              <w:pStyle w:val="ARfintablebodyrightbold"/>
              <w:spacing w:before="36"/>
              <w:rPr>
                <w:highlight w:val="green"/>
              </w:rPr>
            </w:pPr>
          </w:p>
        </w:tc>
        <w:tc>
          <w:tcPr>
            <w:tcW w:w="1361" w:type="dxa"/>
            <w:tcBorders>
              <w:bottom w:val="single" w:sz="4" w:space="0" w:color="A6A6A6" w:themeColor="accent5"/>
            </w:tcBorders>
          </w:tcPr>
          <w:p w14:paraId="74C36012" w14:textId="77777777" w:rsidR="00265792" w:rsidRPr="00BA7805" w:rsidRDefault="00265792" w:rsidP="00824217">
            <w:pPr>
              <w:pStyle w:val="ARfintablebodyrightbold"/>
              <w:spacing w:before="36"/>
              <w:rPr>
                <w:highlight w:val="green"/>
              </w:rPr>
            </w:pPr>
          </w:p>
        </w:tc>
      </w:tr>
      <w:tr w:rsidR="00265792" w:rsidRPr="00BA7805" w14:paraId="099A00F0" w14:textId="77777777" w:rsidTr="00D3176C">
        <w:tc>
          <w:tcPr>
            <w:tcW w:w="6917" w:type="dxa"/>
            <w:tcBorders>
              <w:top w:val="single" w:sz="4" w:space="0" w:color="A6A6A6" w:themeColor="accent5"/>
              <w:bottom w:val="single" w:sz="4" w:space="0" w:color="000000" w:themeColor="text1"/>
            </w:tcBorders>
          </w:tcPr>
          <w:p w14:paraId="4DA98AB3" w14:textId="77777777" w:rsidR="00265792" w:rsidRPr="00BA7805" w:rsidRDefault="00265792" w:rsidP="00A96961">
            <w:pPr>
              <w:pStyle w:val="ARfintablebody"/>
              <w:rPr>
                <w:highlight w:val="green"/>
              </w:rPr>
            </w:pPr>
            <w:r w:rsidRPr="0032573A">
              <w:t>Defined benefit obligation</w:t>
            </w:r>
          </w:p>
        </w:tc>
        <w:tc>
          <w:tcPr>
            <w:tcW w:w="1361" w:type="dxa"/>
            <w:tcBorders>
              <w:top w:val="single" w:sz="4" w:space="0" w:color="A6A6A6" w:themeColor="accent5"/>
              <w:bottom w:val="single" w:sz="4" w:space="0" w:color="000000" w:themeColor="text1"/>
            </w:tcBorders>
            <w:shd w:val="clear" w:color="auto" w:fill="EEEEEF" w:themeFill="accent4"/>
            <w:noWrap/>
          </w:tcPr>
          <w:p w14:paraId="7C3AE245" w14:textId="77777777" w:rsidR="00265792" w:rsidRPr="00BA7805" w:rsidRDefault="00265792" w:rsidP="000C31BF">
            <w:pPr>
              <w:pStyle w:val="ARfintablebodyright"/>
              <w:rPr>
                <w:highlight w:val="green"/>
              </w:rPr>
            </w:pPr>
            <w:r w:rsidRPr="009C31D4">
              <w:t>19.3</w:t>
            </w:r>
          </w:p>
        </w:tc>
        <w:tc>
          <w:tcPr>
            <w:tcW w:w="1361" w:type="dxa"/>
            <w:tcBorders>
              <w:top w:val="single" w:sz="4" w:space="0" w:color="A6A6A6" w:themeColor="accent5"/>
              <w:bottom w:val="single" w:sz="4" w:space="0" w:color="000000" w:themeColor="text1"/>
            </w:tcBorders>
          </w:tcPr>
          <w:p w14:paraId="7A076AD2" w14:textId="77777777" w:rsidR="00265792" w:rsidRPr="00BA7805" w:rsidRDefault="00265792" w:rsidP="000C31BF">
            <w:pPr>
              <w:pStyle w:val="ARfintablebodyright"/>
              <w:rPr>
                <w:highlight w:val="green"/>
              </w:rPr>
            </w:pPr>
            <w:r w:rsidRPr="009C31D4">
              <w:t>20.3</w:t>
            </w:r>
          </w:p>
        </w:tc>
      </w:tr>
      <w:tr w:rsidR="00265792" w:rsidRPr="00BA7805" w14:paraId="06E72B95" w14:textId="77777777" w:rsidTr="00D3176C">
        <w:tc>
          <w:tcPr>
            <w:tcW w:w="6917" w:type="dxa"/>
            <w:tcBorders>
              <w:top w:val="single" w:sz="4" w:space="0" w:color="000000" w:themeColor="text1"/>
              <w:bottom w:val="single" w:sz="4" w:space="0" w:color="000000" w:themeColor="text1"/>
            </w:tcBorders>
          </w:tcPr>
          <w:p w14:paraId="7422BA65" w14:textId="77777777" w:rsidR="00265792" w:rsidRPr="00BA7805" w:rsidRDefault="00265792" w:rsidP="00A96961">
            <w:pPr>
              <w:pStyle w:val="ARfintablebodybold"/>
              <w:rPr>
                <w:highlight w:val="green"/>
              </w:rPr>
            </w:pPr>
            <w:r w:rsidRPr="0032573A">
              <w:t>Net liability/(asset)</w:t>
            </w:r>
          </w:p>
        </w:tc>
        <w:tc>
          <w:tcPr>
            <w:tcW w:w="1361" w:type="dxa"/>
            <w:tcBorders>
              <w:top w:val="single" w:sz="4" w:space="0" w:color="000000" w:themeColor="text1"/>
              <w:bottom w:val="single" w:sz="4" w:space="0" w:color="000000" w:themeColor="text1"/>
            </w:tcBorders>
            <w:shd w:val="clear" w:color="auto" w:fill="EEEEEF" w:themeFill="accent4"/>
            <w:noWrap/>
          </w:tcPr>
          <w:p w14:paraId="7355B245" w14:textId="77777777" w:rsidR="00265792" w:rsidRPr="000C31BF" w:rsidRDefault="00265792" w:rsidP="000C31BF">
            <w:pPr>
              <w:pStyle w:val="ARfintablebodyrightbold"/>
              <w:rPr>
                <w:highlight w:val="green"/>
              </w:rPr>
            </w:pPr>
            <w:r w:rsidRPr="000C31BF">
              <w:t>19.3</w:t>
            </w:r>
          </w:p>
        </w:tc>
        <w:tc>
          <w:tcPr>
            <w:tcW w:w="1361" w:type="dxa"/>
            <w:tcBorders>
              <w:top w:val="single" w:sz="4" w:space="0" w:color="000000" w:themeColor="text1"/>
              <w:bottom w:val="single" w:sz="4" w:space="0" w:color="000000" w:themeColor="text1"/>
            </w:tcBorders>
          </w:tcPr>
          <w:p w14:paraId="39A4EB64" w14:textId="77777777" w:rsidR="00265792" w:rsidRPr="000C31BF" w:rsidRDefault="00265792" w:rsidP="000C31BF">
            <w:pPr>
              <w:pStyle w:val="ARfintablebodyrightbold"/>
              <w:rPr>
                <w:highlight w:val="green"/>
              </w:rPr>
            </w:pPr>
            <w:r w:rsidRPr="000C31BF">
              <w:t>20.3</w:t>
            </w:r>
          </w:p>
        </w:tc>
      </w:tr>
      <w:tr w:rsidR="00265792" w:rsidRPr="00BA7805" w14:paraId="3BF23471" w14:textId="77777777" w:rsidTr="00D3176C">
        <w:tc>
          <w:tcPr>
            <w:tcW w:w="6917" w:type="dxa"/>
            <w:tcBorders>
              <w:top w:val="single" w:sz="4" w:space="0" w:color="000000" w:themeColor="text1"/>
              <w:bottom w:val="single" w:sz="4" w:space="0" w:color="000000" w:themeColor="text1"/>
            </w:tcBorders>
          </w:tcPr>
          <w:p w14:paraId="6D7F94D8" w14:textId="77777777" w:rsidR="00265792" w:rsidRPr="00BA7805" w:rsidRDefault="00265792" w:rsidP="00A96961">
            <w:pPr>
              <w:pStyle w:val="ARfintablebodybold"/>
              <w:rPr>
                <w:highlight w:val="green"/>
              </w:rPr>
            </w:pPr>
            <w:r w:rsidRPr="0032573A">
              <w:t>Total obligation and liability in the balance sheet</w:t>
            </w:r>
          </w:p>
        </w:tc>
        <w:tc>
          <w:tcPr>
            <w:tcW w:w="1361" w:type="dxa"/>
            <w:tcBorders>
              <w:top w:val="single" w:sz="4" w:space="0" w:color="000000" w:themeColor="text1"/>
              <w:bottom w:val="single" w:sz="4" w:space="0" w:color="000000" w:themeColor="text1"/>
            </w:tcBorders>
            <w:shd w:val="clear" w:color="auto" w:fill="EEEEEF" w:themeFill="accent4"/>
            <w:noWrap/>
          </w:tcPr>
          <w:p w14:paraId="527E18A1" w14:textId="77777777" w:rsidR="00265792" w:rsidRPr="000C31BF" w:rsidRDefault="00265792" w:rsidP="000C31BF">
            <w:pPr>
              <w:pStyle w:val="ARfintablebodyrightbold"/>
              <w:rPr>
                <w:highlight w:val="green"/>
              </w:rPr>
            </w:pPr>
            <w:r w:rsidRPr="000C31BF">
              <w:t>19.3</w:t>
            </w:r>
          </w:p>
        </w:tc>
        <w:tc>
          <w:tcPr>
            <w:tcW w:w="1361" w:type="dxa"/>
            <w:tcBorders>
              <w:top w:val="single" w:sz="4" w:space="0" w:color="000000" w:themeColor="text1"/>
              <w:bottom w:val="single" w:sz="4" w:space="0" w:color="000000" w:themeColor="text1"/>
            </w:tcBorders>
          </w:tcPr>
          <w:p w14:paraId="4A83C38F" w14:textId="77777777" w:rsidR="00265792" w:rsidRPr="000C31BF" w:rsidRDefault="00265792" w:rsidP="000C31BF">
            <w:pPr>
              <w:pStyle w:val="ARfintablebodyrightbold"/>
              <w:rPr>
                <w:highlight w:val="green"/>
              </w:rPr>
            </w:pPr>
            <w:r w:rsidRPr="000C31BF">
              <w:t>20.3</w:t>
            </w:r>
          </w:p>
        </w:tc>
      </w:tr>
      <w:tr w:rsidR="00265792" w:rsidRPr="00BA7805" w14:paraId="2535D941" w14:textId="77777777" w:rsidTr="00D3176C">
        <w:tc>
          <w:tcPr>
            <w:tcW w:w="6917" w:type="dxa"/>
            <w:tcBorders>
              <w:top w:val="single" w:sz="4" w:space="0" w:color="A6A6A6" w:themeColor="accent5"/>
            </w:tcBorders>
          </w:tcPr>
          <w:p w14:paraId="55D2B7AE" w14:textId="77777777" w:rsidR="00265792" w:rsidRPr="00BA7805" w:rsidRDefault="00265792" w:rsidP="00A96961">
            <w:pPr>
              <w:pStyle w:val="ARfintablebodybold"/>
              <w:rPr>
                <w:highlight w:val="green"/>
              </w:rPr>
            </w:pPr>
            <w:r w:rsidRPr="0032573A">
              <w:t>Represented by:</w:t>
            </w:r>
          </w:p>
        </w:tc>
        <w:tc>
          <w:tcPr>
            <w:tcW w:w="1361" w:type="dxa"/>
            <w:tcBorders>
              <w:top w:val="single" w:sz="4" w:space="0" w:color="A6A6A6" w:themeColor="accent5"/>
            </w:tcBorders>
            <w:noWrap/>
          </w:tcPr>
          <w:p w14:paraId="0FDD65E1" w14:textId="77777777" w:rsidR="00265792" w:rsidRPr="00BA7805" w:rsidRDefault="00265792" w:rsidP="00A96961">
            <w:pPr>
              <w:pStyle w:val="ARfintablebodyrightbold"/>
              <w:rPr>
                <w:highlight w:val="green"/>
              </w:rPr>
            </w:pPr>
          </w:p>
        </w:tc>
        <w:tc>
          <w:tcPr>
            <w:tcW w:w="1361" w:type="dxa"/>
            <w:tcBorders>
              <w:top w:val="single" w:sz="4" w:space="0" w:color="A6A6A6" w:themeColor="accent5"/>
            </w:tcBorders>
          </w:tcPr>
          <w:p w14:paraId="3B9A3025" w14:textId="77777777" w:rsidR="00265792" w:rsidRPr="00BA7805" w:rsidRDefault="00265792" w:rsidP="00A96961">
            <w:pPr>
              <w:pStyle w:val="ARfintablebodyrightbold"/>
              <w:rPr>
                <w:highlight w:val="green"/>
              </w:rPr>
            </w:pPr>
          </w:p>
        </w:tc>
      </w:tr>
      <w:tr w:rsidR="00265792" w:rsidRPr="00BA7805" w14:paraId="1663FD0A" w14:textId="77777777" w:rsidTr="00D3176C">
        <w:tc>
          <w:tcPr>
            <w:tcW w:w="6917" w:type="dxa"/>
          </w:tcPr>
          <w:p w14:paraId="1DDC55FA" w14:textId="77777777" w:rsidR="00265792" w:rsidRPr="00BA7805" w:rsidRDefault="00265792" w:rsidP="00A96961">
            <w:pPr>
              <w:pStyle w:val="ARfintablebody"/>
              <w:rPr>
                <w:highlight w:val="green"/>
              </w:rPr>
            </w:pPr>
            <w:r w:rsidRPr="0032573A">
              <w:t>Current liability</w:t>
            </w:r>
          </w:p>
        </w:tc>
        <w:tc>
          <w:tcPr>
            <w:tcW w:w="1361" w:type="dxa"/>
            <w:shd w:val="clear" w:color="auto" w:fill="EEEEEF" w:themeFill="accent4"/>
            <w:noWrap/>
          </w:tcPr>
          <w:p w14:paraId="28DB169D" w14:textId="77777777" w:rsidR="00265792" w:rsidRPr="00BA7805" w:rsidRDefault="00265792" w:rsidP="000C31BF">
            <w:pPr>
              <w:pStyle w:val="ARfintablebodyright"/>
              <w:rPr>
                <w:highlight w:val="green"/>
              </w:rPr>
            </w:pPr>
            <w:r w:rsidRPr="009C31D4">
              <w:t>2.1</w:t>
            </w:r>
          </w:p>
        </w:tc>
        <w:tc>
          <w:tcPr>
            <w:tcW w:w="1361" w:type="dxa"/>
          </w:tcPr>
          <w:p w14:paraId="77FF40C0" w14:textId="77777777" w:rsidR="00265792" w:rsidRPr="00BA7805" w:rsidRDefault="00265792" w:rsidP="000C31BF">
            <w:pPr>
              <w:pStyle w:val="ARfintablebodyright"/>
              <w:rPr>
                <w:highlight w:val="green"/>
              </w:rPr>
            </w:pPr>
            <w:r w:rsidRPr="009C31D4">
              <w:t>2.1</w:t>
            </w:r>
          </w:p>
        </w:tc>
      </w:tr>
      <w:tr w:rsidR="00265792" w:rsidRPr="00BA7805" w14:paraId="2A1E39FE" w14:textId="77777777" w:rsidTr="00D3176C">
        <w:tc>
          <w:tcPr>
            <w:tcW w:w="6917" w:type="dxa"/>
          </w:tcPr>
          <w:p w14:paraId="14EF22B5" w14:textId="77777777" w:rsidR="00265792" w:rsidRPr="00BA7805" w:rsidRDefault="00265792" w:rsidP="00A96961">
            <w:pPr>
              <w:pStyle w:val="ARfintablebody"/>
              <w:rPr>
                <w:highlight w:val="green"/>
              </w:rPr>
            </w:pPr>
            <w:r w:rsidRPr="0032573A">
              <w:t>Non-current liability</w:t>
            </w:r>
          </w:p>
        </w:tc>
        <w:tc>
          <w:tcPr>
            <w:tcW w:w="1361" w:type="dxa"/>
            <w:shd w:val="clear" w:color="auto" w:fill="EEEEEF" w:themeFill="accent4"/>
            <w:noWrap/>
          </w:tcPr>
          <w:p w14:paraId="35132477" w14:textId="77777777" w:rsidR="00265792" w:rsidRPr="00BA7805" w:rsidRDefault="00265792" w:rsidP="000C31BF">
            <w:pPr>
              <w:pStyle w:val="ARfintablebodyright"/>
              <w:rPr>
                <w:highlight w:val="green"/>
              </w:rPr>
            </w:pPr>
            <w:r w:rsidRPr="009C31D4">
              <w:t>17.2</w:t>
            </w:r>
          </w:p>
        </w:tc>
        <w:tc>
          <w:tcPr>
            <w:tcW w:w="1361" w:type="dxa"/>
          </w:tcPr>
          <w:p w14:paraId="3A6AB13D" w14:textId="77777777" w:rsidR="00265792" w:rsidRPr="00BA7805" w:rsidRDefault="00265792" w:rsidP="000C31BF">
            <w:pPr>
              <w:pStyle w:val="ARfintablebodyright"/>
              <w:rPr>
                <w:highlight w:val="green"/>
              </w:rPr>
            </w:pPr>
            <w:r w:rsidRPr="009C31D4">
              <w:t>18.2</w:t>
            </w:r>
          </w:p>
        </w:tc>
      </w:tr>
      <w:tr w:rsidR="00265792" w:rsidRPr="00BA7805" w14:paraId="329D9103" w14:textId="77777777" w:rsidTr="00D3176C">
        <w:tc>
          <w:tcPr>
            <w:tcW w:w="6917" w:type="dxa"/>
          </w:tcPr>
          <w:p w14:paraId="64A38E07" w14:textId="77777777" w:rsidR="00265792" w:rsidRPr="00BA7805" w:rsidRDefault="00265792" w:rsidP="00A96961">
            <w:pPr>
              <w:pStyle w:val="ARfintablebodybold"/>
              <w:rPr>
                <w:highlight w:val="green"/>
              </w:rPr>
            </w:pPr>
            <w:r w:rsidRPr="0032573A">
              <w:t>Total liability</w:t>
            </w:r>
          </w:p>
        </w:tc>
        <w:tc>
          <w:tcPr>
            <w:tcW w:w="1361" w:type="dxa"/>
            <w:shd w:val="clear" w:color="auto" w:fill="EEEEEF" w:themeFill="accent4"/>
            <w:noWrap/>
          </w:tcPr>
          <w:p w14:paraId="718C8AB1" w14:textId="77777777" w:rsidR="00265792" w:rsidRPr="00BA7805" w:rsidRDefault="00265792" w:rsidP="000C31BF">
            <w:pPr>
              <w:pStyle w:val="ARfintablebodyrightbold"/>
              <w:rPr>
                <w:highlight w:val="green"/>
              </w:rPr>
            </w:pPr>
            <w:r w:rsidRPr="009C31D4">
              <w:t>19.3</w:t>
            </w:r>
          </w:p>
        </w:tc>
        <w:tc>
          <w:tcPr>
            <w:tcW w:w="1361" w:type="dxa"/>
          </w:tcPr>
          <w:p w14:paraId="37B19493" w14:textId="77777777" w:rsidR="00265792" w:rsidRPr="00BA7805" w:rsidRDefault="00265792" w:rsidP="000C31BF">
            <w:pPr>
              <w:pStyle w:val="ARfintablebodyrightbold"/>
              <w:rPr>
                <w:highlight w:val="green"/>
              </w:rPr>
            </w:pPr>
            <w:r w:rsidRPr="009C31D4">
              <w:t>20.3</w:t>
            </w:r>
          </w:p>
        </w:tc>
      </w:tr>
      <w:tr w:rsidR="00265792" w:rsidRPr="00BA7805" w14:paraId="79A102AF" w14:textId="77777777" w:rsidTr="00D3176C">
        <w:tc>
          <w:tcPr>
            <w:tcW w:w="6917" w:type="dxa"/>
          </w:tcPr>
          <w:p w14:paraId="61D0F01D" w14:textId="4BFA04BA" w:rsidR="00265792" w:rsidRPr="0032573A" w:rsidRDefault="00265792">
            <w:pPr>
              <w:pStyle w:val="ARfintablebodybold"/>
            </w:pPr>
            <w:r>
              <w:t xml:space="preserve">Principal </w:t>
            </w:r>
            <w:r w:rsidR="00771C49">
              <w:t>a</w:t>
            </w:r>
            <w:r>
              <w:t xml:space="preserve">ctuarial </w:t>
            </w:r>
            <w:r w:rsidR="00771C49">
              <w:t>a</w:t>
            </w:r>
            <w:r>
              <w:t>ssumptions</w:t>
            </w:r>
          </w:p>
        </w:tc>
        <w:tc>
          <w:tcPr>
            <w:tcW w:w="1361" w:type="dxa"/>
            <w:shd w:val="clear" w:color="auto" w:fill="EEEEEF" w:themeFill="accent4"/>
            <w:noWrap/>
          </w:tcPr>
          <w:p w14:paraId="27986214" w14:textId="77777777" w:rsidR="00265792" w:rsidRPr="009C31D4" w:rsidRDefault="00265792" w:rsidP="000C31BF">
            <w:pPr>
              <w:pStyle w:val="ARfintablebodyrightbold"/>
            </w:pPr>
            <w:r>
              <w:t xml:space="preserve"> </w:t>
            </w:r>
          </w:p>
        </w:tc>
        <w:tc>
          <w:tcPr>
            <w:tcW w:w="1361" w:type="dxa"/>
          </w:tcPr>
          <w:p w14:paraId="1BF74F11" w14:textId="77777777" w:rsidR="00265792" w:rsidRPr="009C31D4" w:rsidRDefault="00265792" w:rsidP="000C31BF">
            <w:pPr>
              <w:pStyle w:val="ARfintablebodyrightbold"/>
            </w:pPr>
          </w:p>
        </w:tc>
      </w:tr>
      <w:tr w:rsidR="00265792" w:rsidRPr="00BA7805" w14:paraId="092FA302" w14:textId="77777777" w:rsidTr="00D3176C">
        <w:tc>
          <w:tcPr>
            <w:tcW w:w="6917" w:type="dxa"/>
          </w:tcPr>
          <w:p w14:paraId="30F0E6AA" w14:textId="77777777" w:rsidR="00265792" w:rsidRDefault="00265792">
            <w:pPr>
              <w:pStyle w:val="ARfintablebodybold"/>
            </w:pPr>
            <w:r>
              <w:t>Discounted rate</w:t>
            </w:r>
          </w:p>
        </w:tc>
        <w:tc>
          <w:tcPr>
            <w:tcW w:w="1361" w:type="dxa"/>
            <w:shd w:val="clear" w:color="auto" w:fill="EEEEEF" w:themeFill="accent4"/>
            <w:noWrap/>
          </w:tcPr>
          <w:p w14:paraId="24CDE199" w14:textId="77777777" w:rsidR="00265792" w:rsidRDefault="00265792" w:rsidP="000C31BF">
            <w:pPr>
              <w:pStyle w:val="ARfintablebodyrightbold"/>
            </w:pPr>
            <w:r>
              <w:t>4.6%</w:t>
            </w:r>
          </w:p>
        </w:tc>
        <w:tc>
          <w:tcPr>
            <w:tcW w:w="1361" w:type="dxa"/>
          </w:tcPr>
          <w:p w14:paraId="09547C42" w14:textId="77777777" w:rsidR="00265792" w:rsidRPr="009C31D4" w:rsidRDefault="00265792" w:rsidP="000C31BF">
            <w:pPr>
              <w:pStyle w:val="ARfintablebodyrightbold"/>
            </w:pPr>
            <w:r>
              <w:t>4.6%</w:t>
            </w:r>
          </w:p>
        </w:tc>
      </w:tr>
      <w:tr w:rsidR="00265792" w:rsidRPr="00BA7805" w14:paraId="2BB76030" w14:textId="77777777" w:rsidTr="00D3176C">
        <w:tc>
          <w:tcPr>
            <w:tcW w:w="6917" w:type="dxa"/>
          </w:tcPr>
          <w:p w14:paraId="038D2B98" w14:textId="77777777" w:rsidR="00265792" w:rsidRDefault="00265792">
            <w:pPr>
              <w:pStyle w:val="ARfintablebodybold"/>
            </w:pPr>
            <w:r>
              <w:t>Expected return on plan assets</w:t>
            </w:r>
          </w:p>
        </w:tc>
        <w:tc>
          <w:tcPr>
            <w:tcW w:w="1361" w:type="dxa"/>
            <w:shd w:val="clear" w:color="auto" w:fill="EEEEEF" w:themeFill="accent4"/>
            <w:noWrap/>
          </w:tcPr>
          <w:p w14:paraId="59CE0B9B" w14:textId="77777777" w:rsidR="00265792" w:rsidRDefault="00265792" w:rsidP="000C31BF">
            <w:pPr>
              <w:pStyle w:val="ARfintablebodyrightbold"/>
            </w:pPr>
            <w:r>
              <w:t>6.4%</w:t>
            </w:r>
          </w:p>
        </w:tc>
        <w:tc>
          <w:tcPr>
            <w:tcW w:w="1361" w:type="dxa"/>
          </w:tcPr>
          <w:p w14:paraId="50A02BA6" w14:textId="77777777" w:rsidR="00265792" w:rsidRPr="009C31D4" w:rsidRDefault="00265792" w:rsidP="000C31BF">
            <w:pPr>
              <w:pStyle w:val="ARfintablebodyrightbold"/>
            </w:pPr>
            <w:r>
              <w:t>6.8%</w:t>
            </w:r>
          </w:p>
        </w:tc>
      </w:tr>
      <w:tr w:rsidR="00265792" w:rsidRPr="00BA7805" w14:paraId="34110D97" w14:textId="77777777" w:rsidTr="00D3176C">
        <w:tc>
          <w:tcPr>
            <w:tcW w:w="6917" w:type="dxa"/>
          </w:tcPr>
          <w:p w14:paraId="34F1E5F5" w14:textId="77777777" w:rsidR="00265792" w:rsidRDefault="00265792">
            <w:pPr>
              <w:pStyle w:val="ARfintablebodybold"/>
            </w:pPr>
            <w:r>
              <w:t>Expected rate of salary increase</w:t>
            </w:r>
          </w:p>
        </w:tc>
        <w:tc>
          <w:tcPr>
            <w:tcW w:w="1361" w:type="dxa"/>
            <w:shd w:val="clear" w:color="auto" w:fill="EEEEEF" w:themeFill="accent4"/>
            <w:noWrap/>
          </w:tcPr>
          <w:p w14:paraId="3F0FBDA6" w14:textId="77777777" w:rsidR="00265792" w:rsidRDefault="00265792" w:rsidP="000C31BF">
            <w:pPr>
              <w:pStyle w:val="ARfintablebodyrightbold"/>
            </w:pPr>
            <w:r>
              <w:t>3.3%</w:t>
            </w:r>
          </w:p>
        </w:tc>
        <w:tc>
          <w:tcPr>
            <w:tcW w:w="1361" w:type="dxa"/>
          </w:tcPr>
          <w:p w14:paraId="59EB5462" w14:textId="77777777" w:rsidR="00265792" w:rsidRPr="009C31D4" w:rsidRDefault="00265792" w:rsidP="000C31BF">
            <w:pPr>
              <w:pStyle w:val="ARfintablebodyrightbold"/>
            </w:pPr>
            <w:r>
              <w:t>3.3%</w:t>
            </w:r>
          </w:p>
        </w:tc>
      </w:tr>
      <w:tr w:rsidR="00265792" w:rsidRPr="00BA7805" w14:paraId="0A8A6DB1" w14:textId="77777777" w:rsidTr="00D3176C">
        <w:trPr>
          <w:cnfStyle w:val="010000000000" w:firstRow="0" w:lastRow="1" w:firstColumn="0" w:lastColumn="0" w:oddVBand="0" w:evenVBand="0" w:oddHBand="0" w:evenHBand="0" w:firstRowFirstColumn="0" w:firstRowLastColumn="0" w:lastRowFirstColumn="0" w:lastRowLastColumn="0"/>
        </w:trPr>
        <w:tc>
          <w:tcPr>
            <w:tcW w:w="6917" w:type="dxa"/>
          </w:tcPr>
          <w:p w14:paraId="0D433978" w14:textId="77777777" w:rsidR="00265792" w:rsidRDefault="00265792">
            <w:pPr>
              <w:pStyle w:val="ARfintablebodybold"/>
            </w:pPr>
            <w:r>
              <w:t>Inflation</w:t>
            </w:r>
          </w:p>
        </w:tc>
        <w:tc>
          <w:tcPr>
            <w:tcW w:w="1361" w:type="dxa"/>
            <w:shd w:val="clear" w:color="auto" w:fill="EEEEEF" w:themeFill="accent4"/>
            <w:noWrap/>
          </w:tcPr>
          <w:p w14:paraId="67005B60" w14:textId="77777777" w:rsidR="00265792" w:rsidRDefault="00265792" w:rsidP="000C31BF">
            <w:pPr>
              <w:pStyle w:val="ARfintablebodyrightbold"/>
            </w:pPr>
            <w:r>
              <w:t>2.5%</w:t>
            </w:r>
          </w:p>
        </w:tc>
        <w:tc>
          <w:tcPr>
            <w:tcW w:w="1361" w:type="dxa"/>
          </w:tcPr>
          <w:p w14:paraId="13BE6737" w14:textId="77777777" w:rsidR="00265792" w:rsidRPr="009C31D4" w:rsidRDefault="00265792" w:rsidP="000C31BF">
            <w:pPr>
              <w:pStyle w:val="ARfintablebodyrightbold"/>
            </w:pPr>
            <w:r>
              <w:t>2.5%</w:t>
            </w:r>
          </w:p>
        </w:tc>
      </w:tr>
    </w:tbl>
    <w:p w14:paraId="7B9EE86D" w14:textId="77777777" w:rsidR="00265792" w:rsidRPr="00025C96" w:rsidRDefault="00265792">
      <w:pPr>
        <w:pStyle w:val="ARfintablefootnote"/>
        <w:rPr>
          <w:lang w:val="en-US"/>
        </w:rPr>
      </w:pPr>
      <w:r w:rsidRPr="00F93B3B">
        <w:rPr>
          <w:lang w:val="en-US"/>
        </w:rPr>
        <w:t xml:space="preserve">The expected return on assets assumption is determined by </w:t>
      </w:r>
      <w:proofErr w:type="gramStart"/>
      <w:r w:rsidRPr="00F93B3B">
        <w:rPr>
          <w:lang w:val="en-US"/>
        </w:rPr>
        <w:t>weigh</w:t>
      </w:r>
      <w:r>
        <w:rPr>
          <w:lang w:val="en-US"/>
        </w:rPr>
        <w:t>t</w:t>
      </w:r>
      <w:r w:rsidRPr="00F93B3B">
        <w:rPr>
          <w:lang w:val="en-US"/>
        </w:rPr>
        <w:t>ing</w:t>
      </w:r>
      <w:proofErr w:type="gramEnd"/>
      <w:r w:rsidRPr="00F93B3B">
        <w:rPr>
          <w:lang w:val="en-US"/>
        </w:rPr>
        <w:t xml:space="preserve"> the expected long-term return for each asset</w:t>
      </w:r>
      <w:r>
        <w:rPr>
          <w:lang w:val="en-US"/>
        </w:rPr>
        <w:t xml:space="preserve"> </w:t>
      </w:r>
      <w:r w:rsidRPr="00F93B3B">
        <w:rPr>
          <w:lang w:val="en-US"/>
        </w:rPr>
        <w:t>class by the target allocation of assets to each asset class and allowing for the correlations of the investment returns</w:t>
      </w:r>
      <w:r>
        <w:rPr>
          <w:lang w:val="en-US"/>
        </w:rPr>
        <w:t xml:space="preserve"> </w:t>
      </w:r>
      <w:r w:rsidRPr="00F93B3B">
        <w:rPr>
          <w:lang w:val="en-US"/>
        </w:rPr>
        <w:t>between asset classes. The returns used for each asset class are net of investment tax (where applicable) and</w:t>
      </w:r>
      <w:r>
        <w:rPr>
          <w:lang w:val="en-US"/>
        </w:rPr>
        <w:t xml:space="preserve"> </w:t>
      </w:r>
      <w:r w:rsidRPr="00F93B3B">
        <w:rPr>
          <w:lang w:val="en-US"/>
        </w:rPr>
        <w:t>investment fees.</w:t>
      </w:r>
    </w:p>
    <w:p w14:paraId="1A47A898" w14:textId="77777777" w:rsidR="00265792" w:rsidRDefault="00265792" w:rsidP="002542E1">
      <w:pPr>
        <w:pStyle w:val="Heading6"/>
      </w:pPr>
      <w:r>
        <w:t>3.1.1 (c) Superannuation contributions</w:t>
      </w:r>
    </w:p>
    <w:p w14:paraId="4A1B8099" w14:textId="77777777" w:rsidR="00265792" w:rsidRDefault="00265792">
      <w:pPr>
        <w:pStyle w:val="ARfinbody"/>
      </w:pPr>
      <w:r>
        <w:t xml:space="preserve">Employees of the department are entitled to receive superannuation </w:t>
      </w:r>
      <w:r w:rsidDel="00623B32">
        <w:t>benefits</w:t>
      </w:r>
      <w:r>
        <w:t>, and the department contributes to both defined benefit and defined contribution plans. The defined benefit plans provide benefits based on years of service and final average salary.</w:t>
      </w:r>
    </w:p>
    <w:p w14:paraId="1C213BF6" w14:textId="77777777" w:rsidR="00265792" w:rsidRPr="00BA7805" w:rsidRDefault="00265792">
      <w:pPr>
        <w:pStyle w:val="ARfinbodylargespace"/>
        <w:rPr>
          <w:highlight w:val="green"/>
        </w:rPr>
      </w:pPr>
      <w:r>
        <w:t xml:space="preserve">Other than former employees of Homes Victoria, the defined benefit liability is recognised in the Department of Treasury and Finance as an administered liability. </w:t>
      </w:r>
      <w:r w:rsidDel="00623B32">
        <w:t>However</w:t>
      </w:r>
      <w:r>
        <w:t>, the department is still required to make minimum superannuation contributions under Enterprise agreements and legislation, and the contributions paid or payable for the reporting period are included as part of employee benefits in the comprehensive operating statement of the department.</w:t>
      </w:r>
    </w:p>
    <w:tbl>
      <w:tblPr>
        <w:tblStyle w:val="TableGrid"/>
        <w:tblW w:w="9637" w:type="dxa"/>
        <w:tblLayout w:type="fixed"/>
        <w:tblLook w:val="06E0" w:firstRow="1" w:lastRow="1" w:firstColumn="1" w:lastColumn="0" w:noHBand="1" w:noVBand="1"/>
      </w:tblPr>
      <w:tblGrid>
        <w:gridCol w:w="4194"/>
        <w:gridCol w:w="1360"/>
        <w:gridCol w:w="1361"/>
        <w:gridCol w:w="1361"/>
        <w:gridCol w:w="1361"/>
      </w:tblGrid>
      <w:tr w:rsidR="00265792" w:rsidRPr="00BA7805" w14:paraId="489B5A7D" w14:textId="77777777" w:rsidTr="00D3176C">
        <w:trPr>
          <w:cnfStyle w:val="100000000000" w:firstRow="1" w:lastRow="0" w:firstColumn="0" w:lastColumn="0" w:oddVBand="0" w:evenVBand="0" w:oddHBand="0" w:evenHBand="0" w:firstRowFirstColumn="0" w:firstRowLastColumn="0" w:lastRowFirstColumn="0" w:lastRowLastColumn="0"/>
          <w:tblHeader/>
        </w:trPr>
        <w:tc>
          <w:tcPr>
            <w:tcW w:w="4194" w:type="dxa"/>
            <w:tcBorders>
              <w:top w:val="nil"/>
              <w:bottom w:val="nil"/>
            </w:tcBorders>
            <w:noWrap/>
            <w:hideMark/>
          </w:tcPr>
          <w:p w14:paraId="4205FFB1" w14:textId="77777777" w:rsidR="00265792" w:rsidRPr="00BA7805" w:rsidRDefault="00265792">
            <w:pPr>
              <w:pStyle w:val="ARfintablecolhead"/>
              <w:rPr>
                <w:highlight w:val="green"/>
              </w:rPr>
            </w:pPr>
          </w:p>
        </w:tc>
        <w:tc>
          <w:tcPr>
            <w:tcW w:w="2721" w:type="dxa"/>
            <w:gridSpan w:val="2"/>
            <w:shd w:val="clear" w:color="auto" w:fill="EEEEEF" w:themeFill="accent4"/>
            <w:hideMark/>
          </w:tcPr>
          <w:p w14:paraId="7B2F1365" w14:textId="77777777" w:rsidR="00265792" w:rsidRPr="00A26E75" w:rsidRDefault="00265792">
            <w:pPr>
              <w:pStyle w:val="ARfintablecolheadcentre"/>
            </w:pPr>
            <w:r w:rsidRPr="00A26E75">
              <w:t xml:space="preserve">Paid contribution </w:t>
            </w:r>
            <w:r w:rsidRPr="00A26E75">
              <w:br/>
              <w:t>for the year</w:t>
            </w:r>
          </w:p>
        </w:tc>
        <w:tc>
          <w:tcPr>
            <w:tcW w:w="2722" w:type="dxa"/>
            <w:gridSpan w:val="2"/>
            <w:hideMark/>
          </w:tcPr>
          <w:p w14:paraId="580811AF" w14:textId="77777777" w:rsidR="00265792" w:rsidRPr="00A26E75" w:rsidRDefault="00265792">
            <w:pPr>
              <w:pStyle w:val="ARfintablecolheadcentre"/>
            </w:pPr>
            <w:r w:rsidRPr="00A26E75">
              <w:t xml:space="preserve">Contribution outstanding </w:t>
            </w:r>
            <w:r w:rsidRPr="00A26E75">
              <w:br/>
              <w:t>at year end</w:t>
            </w:r>
          </w:p>
        </w:tc>
      </w:tr>
      <w:tr w:rsidR="00265792" w:rsidRPr="00BA7805" w14:paraId="51353265" w14:textId="77777777" w:rsidTr="00D3176C">
        <w:trPr>
          <w:cnfStyle w:val="100000000000" w:firstRow="1" w:lastRow="0" w:firstColumn="0" w:lastColumn="0" w:oddVBand="0" w:evenVBand="0" w:oddHBand="0" w:evenHBand="0" w:firstRowFirstColumn="0" w:firstRowLastColumn="0" w:lastRowFirstColumn="0" w:lastRowLastColumn="0"/>
          <w:tblHeader/>
        </w:trPr>
        <w:tc>
          <w:tcPr>
            <w:tcW w:w="4194" w:type="dxa"/>
            <w:tcBorders>
              <w:top w:val="nil"/>
            </w:tcBorders>
            <w:noWrap/>
            <w:hideMark/>
          </w:tcPr>
          <w:p w14:paraId="0AEB472E" w14:textId="77777777" w:rsidR="00265792" w:rsidRPr="00BA7805" w:rsidRDefault="00265792">
            <w:pPr>
              <w:pStyle w:val="ARfintablecolhead"/>
              <w:rPr>
                <w:highlight w:val="green"/>
              </w:rPr>
            </w:pPr>
          </w:p>
        </w:tc>
        <w:tc>
          <w:tcPr>
            <w:tcW w:w="1360" w:type="dxa"/>
            <w:shd w:val="clear" w:color="auto" w:fill="EEEEEF" w:themeFill="accent4"/>
            <w:hideMark/>
          </w:tcPr>
          <w:p w14:paraId="7F16540C" w14:textId="77777777" w:rsidR="00265792" w:rsidRPr="00A26E75" w:rsidRDefault="00265792">
            <w:pPr>
              <w:pStyle w:val="ARfintablecolheadright"/>
            </w:pPr>
            <w:r w:rsidRPr="00A26E75">
              <w:t>202</w:t>
            </w:r>
            <w:r>
              <w:t>5</w:t>
            </w:r>
          </w:p>
          <w:p w14:paraId="16A3543C" w14:textId="77777777" w:rsidR="00265792" w:rsidRPr="00BA7805" w:rsidRDefault="00265792">
            <w:pPr>
              <w:pStyle w:val="ARfintablecolheadright"/>
              <w:rPr>
                <w:highlight w:val="green"/>
              </w:rPr>
            </w:pPr>
            <w:r w:rsidRPr="00A26E75">
              <w:t>$M</w:t>
            </w:r>
          </w:p>
        </w:tc>
        <w:tc>
          <w:tcPr>
            <w:tcW w:w="1361" w:type="dxa"/>
            <w:shd w:val="clear" w:color="auto" w:fill="EEEEEF" w:themeFill="accent4"/>
            <w:hideMark/>
          </w:tcPr>
          <w:p w14:paraId="12E34FA7" w14:textId="77777777" w:rsidR="00265792" w:rsidRPr="00A26E75" w:rsidRDefault="00265792">
            <w:pPr>
              <w:pStyle w:val="ARfintablecolheadright"/>
            </w:pPr>
            <w:r w:rsidRPr="00A26E75">
              <w:t>202</w:t>
            </w:r>
            <w:r>
              <w:t>4</w:t>
            </w:r>
          </w:p>
          <w:p w14:paraId="35736294" w14:textId="77777777" w:rsidR="00265792" w:rsidRPr="00A26E75" w:rsidRDefault="00265792">
            <w:pPr>
              <w:pStyle w:val="ARfintablecolheadright"/>
            </w:pPr>
            <w:r w:rsidRPr="00A26E75">
              <w:t>$M</w:t>
            </w:r>
          </w:p>
        </w:tc>
        <w:tc>
          <w:tcPr>
            <w:tcW w:w="1361" w:type="dxa"/>
            <w:hideMark/>
          </w:tcPr>
          <w:p w14:paraId="2699A85A" w14:textId="77777777" w:rsidR="00265792" w:rsidRPr="00A26E75" w:rsidRDefault="00265792">
            <w:pPr>
              <w:pStyle w:val="ARfintablecolheadright"/>
            </w:pPr>
            <w:r w:rsidRPr="00A26E75">
              <w:t>202</w:t>
            </w:r>
            <w:r>
              <w:t>5</w:t>
            </w:r>
          </w:p>
          <w:p w14:paraId="6FDC3D57" w14:textId="77777777" w:rsidR="00265792" w:rsidRPr="00A26E75" w:rsidRDefault="00265792">
            <w:pPr>
              <w:pStyle w:val="ARfintablecolheadright"/>
            </w:pPr>
            <w:r w:rsidRPr="00A26E75">
              <w:t>$M</w:t>
            </w:r>
          </w:p>
        </w:tc>
        <w:tc>
          <w:tcPr>
            <w:tcW w:w="1361" w:type="dxa"/>
            <w:hideMark/>
          </w:tcPr>
          <w:p w14:paraId="6F2A18BB" w14:textId="77777777" w:rsidR="00265792" w:rsidRPr="00A26E75" w:rsidRDefault="00265792">
            <w:pPr>
              <w:pStyle w:val="ARfintablecolheadright"/>
            </w:pPr>
            <w:r w:rsidRPr="00A26E75">
              <w:t>202</w:t>
            </w:r>
            <w:r>
              <w:t>4</w:t>
            </w:r>
          </w:p>
          <w:p w14:paraId="3D03ADF4" w14:textId="77777777" w:rsidR="00265792" w:rsidRPr="00A26E75" w:rsidRDefault="00265792">
            <w:pPr>
              <w:pStyle w:val="ARfintablecolheadright"/>
            </w:pPr>
            <w:r w:rsidRPr="00A26E75">
              <w:t>$M</w:t>
            </w:r>
          </w:p>
        </w:tc>
      </w:tr>
      <w:tr w:rsidR="00265792" w:rsidRPr="00BA7805" w14:paraId="2BA4FF13" w14:textId="77777777" w:rsidTr="00D3176C">
        <w:tc>
          <w:tcPr>
            <w:tcW w:w="4194" w:type="dxa"/>
          </w:tcPr>
          <w:p w14:paraId="00DB34D9" w14:textId="77777777" w:rsidR="00265792" w:rsidRPr="00BA7805" w:rsidRDefault="00265792" w:rsidP="004E28E3">
            <w:pPr>
              <w:pStyle w:val="ARfintablebodybold"/>
              <w:rPr>
                <w:highlight w:val="green"/>
              </w:rPr>
            </w:pPr>
            <w:r w:rsidRPr="00C32D84">
              <w:t>Defined benefit plans</w:t>
            </w:r>
          </w:p>
        </w:tc>
        <w:tc>
          <w:tcPr>
            <w:tcW w:w="1360" w:type="dxa"/>
            <w:noWrap/>
          </w:tcPr>
          <w:p w14:paraId="74870860" w14:textId="77777777" w:rsidR="00265792" w:rsidRPr="00BA7805" w:rsidRDefault="00265792" w:rsidP="00101172">
            <w:pPr>
              <w:pStyle w:val="ARfintablebodyright"/>
              <w:rPr>
                <w:highlight w:val="green"/>
              </w:rPr>
            </w:pPr>
          </w:p>
        </w:tc>
        <w:tc>
          <w:tcPr>
            <w:tcW w:w="1361" w:type="dxa"/>
            <w:noWrap/>
          </w:tcPr>
          <w:p w14:paraId="7B5936C5" w14:textId="77777777" w:rsidR="00265792" w:rsidRPr="00BA7805" w:rsidRDefault="00265792" w:rsidP="00101172">
            <w:pPr>
              <w:pStyle w:val="ARfintablebodyright"/>
              <w:rPr>
                <w:highlight w:val="green"/>
              </w:rPr>
            </w:pPr>
          </w:p>
        </w:tc>
        <w:tc>
          <w:tcPr>
            <w:tcW w:w="1361" w:type="dxa"/>
            <w:noWrap/>
          </w:tcPr>
          <w:p w14:paraId="28971E87" w14:textId="77777777" w:rsidR="00265792" w:rsidRPr="00BA7805" w:rsidRDefault="00265792" w:rsidP="00101172">
            <w:pPr>
              <w:pStyle w:val="ARfintablebodyright"/>
              <w:rPr>
                <w:highlight w:val="green"/>
              </w:rPr>
            </w:pPr>
          </w:p>
        </w:tc>
        <w:tc>
          <w:tcPr>
            <w:tcW w:w="1361" w:type="dxa"/>
            <w:noWrap/>
          </w:tcPr>
          <w:p w14:paraId="487AD75E" w14:textId="77777777" w:rsidR="00265792" w:rsidRPr="00BA7805" w:rsidRDefault="00265792" w:rsidP="00101172">
            <w:pPr>
              <w:pStyle w:val="ARfintablebodyright"/>
              <w:rPr>
                <w:highlight w:val="green"/>
              </w:rPr>
            </w:pPr>
          </w:p>
        </w:tc>
      </w:tr>
      <w:tr w:rsidR="00265792" w:rsidRPr="00BA7805" w14:paraId="6E0AB28A" w14:textId="77777777" w:rsidTr="00D3176C">
        <w:tc>
          <w:tcPr>
            <w:tcW w:w="4194" w:type="dxa"/>
          </w:tcPr>
          <w:p w14:paraId="73DA5224" w14:textId="77777777" w:rsidR="00265792" w:rsidRPr="00BA7805" w:rsidRDefault="00265792" w:rsidP="004E28E3">
            <w:pPr>
              <w:pStyle w:val="ARfintablebody"/>
              <w:rPr>
                <w:highlight w:val="green"/>
              </w:rPr>
            </w:pPr>
            <w:r w:rsidRPr="00C32D84">
              <w:t>State superannuation fund</w:t>
            </w:r>
          </w:p>
        </w:tc>
        <w:tc>
          <w:tcPr>
            <w:tcW w:w="1360" w:type="dxa"/>
            <w:shd w:val="clear" w:color="auto" w:fill="EEEEEF" w:themeFill="accent4"/>
            <w:noWrap/>
          </w:tcPr>
          <w:p w14:paraId="198E31E8" w14:textId="77777777" w:rsidR="00265792" w:rsidRPr="00BA7805" w:rsidRDefault="00265792" w:rsidP="00101172">
            <w:pPr>
              <w:pStyle w:val="ARfintablebodyright"/>
              <w:rPr>
                <w:highlight w:val="green"/>
              </w:rPr>
            </w:pPr>
            <w:r w:rsidRPr="004D3685">
              <w:t>2.0</w:t>
            </w:r>
          </w:p>
        </w:tc>
        <w:tc>
          <w:tcPr>
            <w:tcW w:w="1361" w:type="dxa"/>
            <w:shd w:val="clear" w:color="auto" w:fill="EEEEEF" w:themeFill="accent4"/>
            <w:noWrap/>
          </w:tcPr>
          <w:p w14:paraId="7F1D4A73" w14:textId="77777777" w:rsidR="00265792" w:rsidRPr="00BA7805" w:rsidRDefault="00265792" w:rsidP="00101172">
            <w:pPr>
              <w:pStyle w:val="ARfintablebodyright"/>
              <w:rPr>
                <w:highlight w:val="green"/>
              </w:rPr>
            </w:pPr>
            <w:r w:rsidRPr="004D3685">
              <w:t>2.5</w:t>
            </w:r>
          </w:p>
        </w:tc>
        <w:tc>
          <w:tcPr>
            <w:tcW w:w="1361" w:type="dxa"/>
            <w:noWrap/>
          </w:tcPr>
          <w:p w14:paraId="21BE0E52" w14:textId="77777777" w:rsidR="00265792" w:rsidRPr="00BA7805" w:rsidRDefault="00265792" w:rsidP="00101172">
            <w:pPr>
              <w:pStyle w:val="ARfintablebodyright"/>
              <w:rPr>
                <w:highlight w:val="green"/>
              </w:rPr>
            </w:pPr>
            <w:r>
              <w:t>–</w:t>
            </w:r>
          </w:p>
        </w:tc>
        <w:tc>
          <w:tcPr>
            <w:tcW w:w="1361" w:type="dxa"/>
            <w:noWrap/>
          </w:tcPr>
          <w:p w14:paraId="1338330A" w14:textId="77777777" w:rsidR="00265792" w:rsidRPr="00BA7805" w:rsidRDefault="00265792" w:rsidP="00101172">
            <w:pPr>
              <w:pStyle w:val="ARfintablebodyright"/>
              <w:rPr>
                <w:highlight w:val="green"/>
              </w:rPr>
            </w:pPr>
            <w:r>
              <w:t>–</w:t>
            </w:r>
          </w:p>
        </w:tc>
      </w:tr>
      <w:tr w:rsidR="00265792" w:rsidRPr="00BA7805" w14:paraId="1A12FCC0" w14:textId="77777777" w:rsidTr="00D3176C">
        <w:tc>
          <w:tcPr>
            <w:tcW w:w="4194" w:type="dxa"/>
          </w:tcPr>
          <w:p w14:paraId="2B7042E8" w14:textId="77777777" w:rsidR="00265792" w:rsidRPr="00BA7805" w:rsidRDefault="00265792" w:rsidP="004E28E3">
            <w:pPr>
              <w:pStyle w:val="ARfintablebodybold"/>
              <w:rPr>
                <w:highlight w:val="green"/>
              </w:rPr>
            </w:pPr>
            <w:r w:rsidRPr="00C32D84">
              <w:t>Defined contribution plans</w:t>
            </w:r>
          </w:p>
        </w:tc>
        <w:tc>
          <w:tcPr>
            <w:tcW w:w="1360" w:type="dxa"/>
            <w:noWrap/>
          </w:tcPr>
          <w:p w14:paraId="0CC391FB" w14:textId="77777777" w:rsidR="00265792" w:rsidRPr="00BA7805" w:rsidRDefault="00265792" w:rsidP="00101172">
            <w:pPr>
              <w:pStyle w:val="ARfintablebodyright"/>
              <w:rPr>
                <w:highlight w:val="green"/>
              </w:rPr>
            </w:pPr>
          </w:p>
        </w:tc>
        <w:tc>
          <w:tcPr>
            <w:tcW w:w="1361" w:type="dxa"/>
            <w:noWrap/>
          </w:tcPr>
          <w:p w14:paraId="45C3F98A" w14:textId="77777777" w:rsidR="00265792" w:rsidRPr="00BA7805" w:rsidRDefault="00265792" w:rsidP="00101172">
            <w:pPr>
              <w:pStyle w:val="ARfintablebodyright"/>
              <w:rPr>
                <w:highlight w:val="green"/>
              </w:rPr>
            </w:pPr>
          </w:p>
        </w:tc>
        <w:tc>
          <w:tcPr>
            <w:tcW w:w="1361" w:type="dxa"/>
            <w:noWrap/>
          </w:tcPr>
          <w:p w14:paraId="0A48F52F" w14:textId="77777777" w:rsidR="00265792" w:rsidRPr="00BA7805" w:rsidRDefault="00265792" w:rsidP="00101172">
            <w:pPr>
              <w:pStyle w:val="ARfintablebodyright"/>
              <w:rPr>
                <w:highlight w:val="green"/>
              </w:rPr>
            </w:pPr>
          </w:p>
        </w:tc>
        <w:tc>
          <w:tcPr>
            <w:tcW w:w="1361" w:type="dxa"/>
            <w:noWrap/>
          </w:tcPr>
          <w:p w14:paraId="2BF2BB95" w14:textId="77777777" w:rsidR="00265792" w:rsidRPr="00BA7805" w:rsidRDefault="00265792" w:rsidP="00101172">
            <w:pPr>
              <w:pStyle w:val="ARfintablebodyright"/>
              <w:rPr>
                <w:highlight w:val="green"/>
              </w:rPr>
            </w:pPr>
          </w:p>
        </w:tc>
      </w:tr>
      <w:tr w:rsidR="00265792" w:rsidRPr="00BA7805" w14:paraId="2F379A0D" w14:textId="77777777" w:rsidTr="00D3176C">
        <w:tc>
          <w:tcPr>
            <w:tcW w:w="4194" w:type="dxa"/>
          </w:tcPr>
          <w:p w14:paraId="65771F60" w14:textId="77777777" w:rsidR="00265792" w:rsidRPr="00BA7805" w:rsidRDefault="00265792" w:rsidP="004E28E3">
            <w:pPr>
              <w:pStyle w:val="ARfintablebody"/>
              <w:rPr>
                <w:highlight w:val="green"/>
              </w:rPr>
            </w:pPr>
            <w:proofErr w:type="spellStart"/>
            <w:r w:rsidRPr="00C32D84">
              <w:t>VicSuper</w:t>
            </w:r>
            <w:proofErr w:type="spellEnd"/>
          </w:p>
        </w:tc>
        <w:tc>
          <w:tcPr>
            <w:tcW w:w="1360" w:type="dxa"/>
            <w:shd w:val="clear" w:color="auto" w:fill="EEEEEF" w:themeFill="accent4"/>
            <w:noWrap/>
          </w:tcPr>
          <w:p w14:paraId="25FB869C" w14:textId="77777777" w:rsidR="00265792" w:rsidRPr="00BA7805" w:rsidRDefault="00265792" w:rsidP="00101172">
            <w:pPr>
              <w:pStyle w:val="ARfintablebodyright"/>
              <w:rPr>
                <w:highlight w:val="green"/>
              </w:rPr>
            </w:pPr>
            <w:r w:rsidRPr="004D3685">
              <w:t>49.3</w:t>
            </w:r>
          </w:p>
        </w:tc>
        <w:tc>
          <w:tcPr>
            <w:tcW w:w="1361" w:type="dxa"/>
            <w:shd w:val="clear" w:color="auto" w:fill="EEEEEF" w:themeFill="accent4"/>
            <w:noWrap/>
          </w:tcPr>
          <w:p w14:paraId="3D67D541" w14:textId="77777777" w:rsidR="00265792" w:rsidRPr="00BA7805" w:rsidRDefault="00265792" w:rsidP="00101172">
            <w:pPr>
              <w:pStyle w:val="ARfintablebodyright"/>
              <w:rPr>
                <w:highlight w:val="green"/>
              </w:rPr>
            </w:pPr>
            <w:r w:rsidRPr="004D3685">
              <w:t>43.6</w:t>
            </w:r>
          </w:p>
        </w:tc>
        <w:tc>
          <w:tcPr>
            <w:tcW w:w="1361" w:type="dxa"/>
            <w:noWrap/>
          </w:tcPr>
          <w:p w14:paraId="536CFC7F" w14:textId="77777777" w:rsidR="00265792" w:rsidRPr="00BA7805" w:rsidRDefault="00265792" w:rsidP="00101172">
            <w:pPr>
              <w:pStyle w:val="ARfintablebodyright"/>
              <w:rPr>
                <w:highlight w:val="green"/>
              </w:rPr>
            </w:pPr>
            <w:r>
              <w:t>–</w:t>
            </w:r>
          </w:p>
        </w:tc>
        <w:tc>
          <w:tcPr>
            <w:tcW w:w="1361" w:type="dxa"/>
            <w:noWrap/>
          </w:tcPr>
          <w:p w14:paraId="171F84D5" w14:textId="77777777" w:rsidR="00265792" w:rsidRPr="00BA7805" w:rsidRDefault="00265792" w:rsidP="00101172">
            <w:pPr>
              <w:pStyle w:val="ARfintablebodyright"/>
              <w:rPr>
                <w:highlight w:val="green"/>
              </w:rPr>
            </w:pPr>
            <w:r>
              <w:t>–</w:t>
            </w:r>
          </w:p>
        </w:tc>
      </w:tr>
      <w:tr w:rsidR="00265792" w:rsidRPr="00BA7805" w14:paraId="25925AE5" w14:textId="77777777" w:rsidTr="00D3176C">
        <w:tc>
          <w:tcPr>
            <w:tcW w:w="4194" w:type="dxa"/>
          </w:tcPr>
          <w:p w14:paraId="031DA0D2" w14:textId="77777777" w:rsidR="00265792" w:rsidRPr="00BA7805" w:rsidRDefault="00265792" w:rsidP="004E28E3">
            <w:pPr>
              <w:pStyle w:val="ARfintablebody"/>
              <w:rPr>
                <w:highlight w:val="green"/>
              </w:rPr>
            </w:pPr>
            <w:r w:rsidRPr="00C32D84">
              <w:t>Other</w:t>
            </w:r>
          </w:p>
        </w:tc>
        <w:tc>
          <w:tcPr>
            <w:tcW w:w="1360" w:type="dxa"/>
            <w:shd w:val="clear" w:color="auto" w:fill="EEEEEF" w:themeFill="accent4"/>
            <w:noWrap/>
          </w:tcPr>
          <w:p w14:paraId="22AF3F54" w14:textId="77777777" w:rsidR="00265792" w:rsidRPr="00BA7805" w:rsidRDefault="00265792" w:rsidP="00101172">
            <w:pPr>
              <w:pStyle w:val="ARfintablebodyright"/>
              <w:rPr>
                <w:highlight w:val="green"/>
              </w:rPr>
            </w:pPr>
            <w:r w:rsidRPr="004D3685">
              <w:t>42.7</w:t>
            </w:r>
          </w:p>
        </w:tc>
        <w:tc>
          <w:tcPr>
            <w:tcW w:w="1361" w:type="dxa"/>
            <w:shd w:val="clear" w:color="auto" w:fill="EEEEEF" w:themeFill="accent4"/>
            <w:noWrap/>
          </w:tcPr>
          <w:p w14:paraId="381D4559" w14:textId="77777777" w:rsidR="00265792" w:rsidRPr="00BA7805" w:rsidRDefault="00265792" w:rsidP="00101172">
            <w:pPr>
              <w:pStyle w:val="ARfintablebodyright"/>
              <w:rPr>
                <w:highlight w:val="green"/>
              </w:rPr>
            </w:pPr>
            <w:r w:rsidRPr="004D3685">
              <w:t>34.4</w:t>
            </w:r>
          </w:p>
        </w:tc>
        <w:tc>
          <w:tcPr>
            <w:tcW w:w="1361" w:type="dxa"/>
            <w:noWrap/>
          </w:tcPr>
          <w:p w14:paraId="55FA2AEB" w14:textId="77777777" w:rsidR="00265792" w:rsidRPr="00BA7805" w:rsidRDefault="00265792" w:rsidP="00101172">
            <w:pPr>
              <w:pStyle w:val="ARfintablebodyright"/>
              <w:rPr>
                <w:highlight w:val="green"/>
              </w:rPr>
            </w:pPr>
            <w:r>
              <w:t>–</w:t>
            </w:r>
          </w:p>
        </w:tc>
        <w:tc>
          <w:tcPr>
            <w:tcW w:w="1361" w:type="dxa"/>
            <w:noWrap/>
          </w:tcPr>
          <w:p w14:paraId="794D4D10" w14:textId="77777777" w:rsidR="00265792" w:rsidRPr="00BA7805" w:rsidRDefault="00265792" w:rsidP="00101172">
            <w:pPr>
              <w:pStyle w:val="ARfintablebodyright"/>
              <w:rPr>
                <w:highlight w:val="green"/>
              </w:rPr>
            </w:pPr>
            <w:r>
              <w:t>–</w:t>
            </w:r>
          </w:p>
        </w:tc>
      </w:tr>
      <w:tr w:rsidR="00265792" w:rsidRPr="00BA7805" w14:paraId="6688E78B" w14:textId="77777777" w:rsidTr="00D3176C">
        <w:trPr>
          <w:cnfStyle w:val="010000000000" w:firstRow="0" w:lastRow="1" w:firstColumn="0" w:lastColumn="0" w:oddVBand="0" w:evenVBand="0" w:oddHBand="0" w:evenHBand="0" w:firstRowFirstColumn="0" w:firstRowLastColumn="0" w:lastRowFirstColumn="0" w:lastRowLastColumn="0"/>
        </w:trPr>
        <w:tc>
          <w:tcPr>
            <w:tcW w:w="4194" w:type="dxa"/>
          </w:tcPr>
          <w:p w14:paraId="7AB5D53C" w14:textId="77777777" w:rsidR="00265792" w:rsidRPr="00BA7805" w:rsidRDefault="00265792" w:rsidP="00101172">
            <w:pPr>
              <w:pStyle w:val="ARfintablebodybold"/>
              <w:rPr>
                <w:highlight w:val="green"/>
              </w:rPr>
            </w:pPr>
            <w:r w:rsidRPr="00C32D84">
              <w:t>Total</w:t>
            </w:r>
          </w:p>
        </w:tc>
        <w:tc>
          <w:tcPr>
            <w:tcW w:w="1360" w:type="dxa"/>
            <w:shd w:val="clear" w:color="auto" w:fill="EEEEEF" w:themeFill="accent4"/>
            <w:noWrap/>
          </w:tcPr>
          <w:p w14:paraId="2CC25B08" w14:textId="77777777" w:rsidR="00265792" w:rsidRPr="00BA7805" w:rsidRDefault="00265792" w:rsidP="00B46EC3">
            <w:pPr>
              <w:pStyle w:val="ARfintablebodyrightbold"/>
              <w:rPr>
                <w:highlight w:val="green"/>
              </w:rPr>
            </w:pPr>
            <w:r w:rsidRPr="004D3685">
              <w:t>94.0</w:t>
            </w:r>
          </w:p>
        </w:tc>
        <w:tc>
          <w:tcPr>
            <w:tcW w:w="1361" w:type="dxa"/>
            <w:shd w:val="clear" w:color="auto" w:fill="EEEEEF" w:themeFill="accent4"/>
            <w:noWrap/>
          </w:tcPr>
          <w:p w14:paraId="372AFBAD" w14:textId="77777777" w:rsidR="00265792" w:rsidRPr="00BA7805" w:rsidRDefault="00265792" w:rsidP="00B46EC3">
            <w:pPr>
              <w:pStyle w:val="ARfintablebodyrightbold"/>
              <w:rPr>
                <w:highlight w:val="green"/>
              </w:rPr>
            </w:pPr>
            <w:r w:rsidRPr="004D3685">
              <w:t>80.5</w:t>
            </w:r>
          </w:p>
        </w:tc>
        <w:tc>
          <w:tcPr>
            <w:tcW w:w="1361" w:type="dxa"/>
            <w:noWrap/>
          </w:tcPr>
          <w:p w14:paraId="0705F76A" w14:textId="77777777" w:rsidR="00265792" w:rsidRPr="00BA7805" w:rsidRDefault="00265792" w:rsidP="00B46EC3">
            <w:pPr>
              <w:pStyle w:val="ARfintablebodyrightbold"/>
              <w:rPr>
                <w:highlight w:val="green"/>
              </w:rPr>
            </w:pPr>
            <w:r>
              <w:t>–</w:t>
            </w:r>
          </w:p>
        </w:tc>
        <w:tc>
          <w:tcPr>
            <w:tcW w:w="1361" w:type="dxa"/>
            <w:noWrap/>
          </w:tcPr>
          <w:p w14:paraId="0AF14FA3" w14:textId="77777777" w:rsidR="00265792" w:rsidRPr="00BA7805" w:rsidRDefault="00265792" w:rsidP="00B46EC3">
            <w:pPr>
              <w:pStyle w:val="ARfintablebodyrightbold"/>
              <w:rPr>
                <w:highlight w:val="green"/>
              </w:rPr>
            </w:pPr>
            <w:r>
              <w:t>–</w:t>
            </w:r>
          </w:p>
        </w:tc>
      </w:tr>
    </w:tbl>
    <w:p w14:paraId="687F0CDF" w14:textId="77777777" w:rsidR="00265792" w:rsidRPr="00793ECE" w:rsidRDefault="00265792" w:rsidP="002542E1">
      <w:pPr>
        <w:pStyle w:val="Heading5"/>
        <w:rPr>
          <w:lang w:eastAsia="en-AU"/>
        </w:rPr>
      </w:pPr>
      <w:r w:rsidRPr="00793ECE">
        <w:rPr>
          <w:lang w:eastAsia="en-AU"/>
        </w:rPr>
        <w:lastRenderedPageBreak/>
        <w:t>3.1.2 Grants and other transfers</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1C681F2B" w14:textId="77777777" w:rsidTr="00F23C4E">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6D1DABCA" w14:textId="77777777" w:rsidR="00265792" w:rsidRPr="00BA7805" w:rsidRDefault="00265792">
            <w:pPr>
              <w:pStyle w:val="ARfintablecolhead"/>
              <w:rPr>
                <w:highlight w:val="green"/>
              </w:rPr>
            </w:pPr>
          </w:p>
        </w:tc>
        <w:tc>
          <w:tcPr>
            <w:tcW w:w="1361" w:type="dxa"/>
            <w:shd w:val="clear" w:color="auto" w:fill="EEEEEF" w:themeFill="accent4"/>
            <w:hideMark/>
          </w:tcPr>
          <w:p w14:paraId="265449FD" w14:textId="77777777" w:rsidR="00265792" w:rsidRPr="007E7921" w:rsidRDefault="00265792">
            <w:pPr>
              <w:pStyle w:val="ARfintablecolheadright"/>
            </w:pPr>
            <w:r w:rsidRPr="007E7921">
              <w:t>202</w:t>
            </w:r>
            <w:r>
              <w:t>5</w:t>
            </w:r>
          </w:p>
          <w:p w14:paraId="0AA72E14" w14:textId="77777777" w:rsidR="00265792" w:rsidRPr="007E7921" w:rsidRDefault="00265792">
            <w:pPr>
              <w:pStyle w:val="ARfintablecolheadright"/>
            </w:pPr>
            <w:r w:rsidRPr="007E7921">
              <w:t>$M</w:t>
            </w:r>
          </w:p>
        </w:tc>
        <w:tc>
          <w:tcPr>
            <w:tcW w:w="1361" w:type="dxa"/>
            <w:hideMark/>
          </w:tcPr>
          <w:p w14:paraId="4A9F6D76" w14:textId="77777777" w:rsidR="00265792" w:rsidRPr="007E7921" w:rsidRDefault="00265792">
            <w:pPr>
              <w:pStyle w:val="ARfintablecolheadright"/>
            </w:pPr>
            <w:r w:rsidRPr="007E7921">
              <w:t>202</w:t>
            </w:r>
            <w:r>
              <w:t>4</w:t>
            </w:r>
          </w:p>
          <w:p w14:paraId="61372A8C" w14:textId="77777777" w:rsidR="00265792" w:rsidRPr="007E7921" w:rsidRDefault="00265792">
            <w:pPr>
              <w:pStyle w:val="ARfintablecolheadright"/>
            </w:pPr>
            <w:r w:rsidRPr="007E7921">
              <w:t>$M</w:t>
            </w:r>
          </w:p>
        </w:tc>
      </w:tr>
      <w:tr w:rsidR="00265792" w:rsidRPr="00BA7805" w14:paraId="174FEC89" w14:textId="77777777" w:rsidTr="00F23C4E">
        <w:tc>
          <w:tcPr>
            <w:tcW w:w="6915" w:type="dxa"/>
          </w:tcPr>
          <w:p w14:paraId="61807415" w14:textId="77777777" w:rsidR="00265792" w:rsidRPr="00BA7805" w:rsidRDefault="00265792" w:rsidP="00284C38">
            <w:pPr>
              <w:pStyle w:val="ARfintablebodybold"/>
              <w:rPr>
                <w:highlight w:val="green"/>
              </w:rPr>
            </w:pPr>
            <w:r w:rsidRPr="00BA7729">
              <w:t xml:space="preserve">Non-government agencies and individuals </w:t>
            </w:r>
            <w:r w:rsidRPr="00284C38">
              <w:rPr>
                <w:vertAlign w:val="superscript"/>
              </w:rPr>
              <w:t>(</w:t>
            </w:r>
            <w:proofErr w:type="spellStart"/>
            <w:r w:rsidRPr="00284C38">
              <w:rPr>
                <w:vertAlign w:val="superscript"/>
              </w:rPr>
              <w:t>i</w:t>
            </w:r>
            <w:proofErr w:type="spellEnd"/>
            <w:r w:rsidRPr="00284C38">
              <w:rPr>
                <w:vertAlign w:val="superscript"/>
              </w:rPr>
              <w:t>)</w:t>
            </w:r>
          </w:p>
        </w:tc>
        <w:tc>
          <w:tcPr>
            <w:tcW w:w="1361" w:type="dxa"/>
            <w:noWrap/>
          </w:tcPr>
          <w:p w14:paraId="17F24411" w14:textId="77777777" w:rsidR="00265792" w:rsidRPr="00BA7805" w:rsidRDefault="00265792" w:rsidP="00701B09">
            <w:pPr>
              <w:pStyle w:val="ARfintablebodyright"/>
              <w:spacing w:before="30" w:after="10" w:line="252" w:lineRule="auto"/>
              <w:rPr>
                <w:highlight w:val="green"/>
              </w:rPr>
            </w:pPr>
          </w:p>
        </w:tc>
        <w:tc>
          <w:tcPr>
            <w:tcW w:w="1361" w:type="dxa"/>
            <w:noWrap/>
          </w:tcPr>
          <w:p w14:paraId="4429EC02" w14:textId="77777777" w:rsidR="00265792" w:rsidRPr="00BA7805" w:rsidRDefault="00265792" w:rsidP="00701B09">
            <w:pPr>
              <w:pStyle w:val="ARfintablebodyright"/>
              <w:spacing w:before="30" w:after="10" w:line="252" w:lineRule="auto"/>
              <w:rPr>
                <w:highlight w:val="green"/>
              </w:rPr>
            </w:pPr>
          </w:p>
        </w:tc>
      </w:tr>
      <w:tr w:rsidR="00265792" w:rsidRPr="00BA7805" w14:paraId="70EA41E4" w14:textId="77777777" w:rsidTr="00F23C4E">
        <w:tc>
          <w:tcPr>
            <w:tcW w:w="6915" w:type="dxa"/>
          </w:tcPr>
          <w:p w14:paraId="7031F525" w14:textId="77777777" w:rsidR="00265792" w:rsidRPr="00BA7805" w:rsidRDefault="00265792" w:rsidP="00701B09">
            <w:pPr>
              <w:pStyle w:val="ARfintablebody"/>
              <w:spacing w:before="30" w:after="10" w:line="252" w:lineRule="auto"/>
              <w:rPr>
                <w:highlight w:val="green"/>
              </w:rPr>
            </w:pPr>
            <w:r w:rsidRPr="00BA7729">
              <w:t>Assistance payment and other benefits to households and individuals</w:t>
            </w:r>
          </w:p>
        </w:tc>
        <w:tc>
          <w:tcPr>
            <w:tcW w:w="1361" w:type="dxa"/>
            <w:noWrap/>
          </w:tcPr>
          <w:p w14:paraId="4796812E" w14:textId="77777777" w:rsidR="00265792" w:rsidRPr="00BA7805" w:rsidRDefault="00265792" w:rsidP="00701B09">
            <w:pPr>
              <w:pStyle w:val="ARfintablebodyright"/>
              <w:spacing w:before="30" w:after="10" w:line="252" w:lineRule="auto"/>
              <w:rPr>
                <w:highlight w:val="green"/>
              </w:rPr>
            </w:pPr>
          </w:p>
        </w:tc>
        <w:tc>
          <w:tcPr>
            <w:tcW w:w="1361" w:type="dxa"/>
            <w:noWrap/>
          </w:tcPr>
          <w:p w14:paraId="73E69B8C" w14:textId="77777777" w:rsidR="00265792" w:rsidRPr="00BA7805" w:rsidRDefault="00265792" w:rsidP="00701B09">
            <w:pPr>
              <w:pStyle w:val="ARfintablebodyright"/>
              <w:spacing w:before="30" w:after="10" w:line="252" w:lineRule="auto"/>
              <w:rPr>
                <w:highlight w:val="green"/>
              </w:rPr>
            </w:pPr>
          </w:p>
        </w:tc>
      </w:tr>
      <w:tr w:rsidR="00265792" w:rsidRPr="00BA7805" w14:paraId="7FCA8CD5" w14:textId="77777777" w:rsidTr="00F23C4E">
        <w:tc>
          <w:tcPr>
            <w:tcW w:w="6915" w:type="dxa"/>
          </w:tcPr>
          <w:p w14:paraId="65EEC7BB" w14:textId="77777777" w:rsidR="00265792" w:rsidRPr="0072381C" w:rsidRDefault="00265792" w:rsidP="008238C4">
            <w:pPr>
              <w:pStyle w:val="ARfintablebullet1"/>
            </w:pPr>
            <w:r w:rsidRPr="0072381C">
              <w:t>Concessions to pensioners and other beneficiaries</w:t>
            </w:r>
          </w:p>
        </w:tc>
        <w:tc>
          <w:tcPr>
            <w:tcW w:w="1361" w:type="dxa"/>
            <w:shd w:val="clear" w:color="auto" w:fill="EEEEEF" w:themeFill="accent4"/>
            <w:noWrap/>
          </w:tcPr>
          <w:p w14:paraId="14712D2C" w14:textId="77777777" w:rsidR="00265792" w:rsidRPr="00BA7805" w:rsidRDefault="00265792" w:rsidP="00701B09">
            <w:pPr>
              <w:pStyle w:val="ARfintablebodyright"/>
              <w:spacing w:before="30" w:after="10" w:line="252" w:lineRule="auto"/>
              <w:rPr>
                <w:highlight w:val="green"/>
              </w:rPr>
            </w:pPr>
            <w:r w:rsidRPr="00BA7729">
              <w:t>1,449.7</w:t>
            </w:r>
          </w:p>
        </w:tc>
        <w:tc>
          <w:tcPr>
            <w:tcW w:w="1361" w:type="dxa"/>
            <w:noWrap/>
          </w:tcPr>
          <w:p w14:paraId="54DEBB76" w14:textId="77777777" w:rsidR="00265792" w:rsidRPr="00BA7805" w:rsidRDefault="00265792" w:rsidP="00701B09">
            <w:pPr>
              <w:pStyle w:val="ARfintablebodyright"/>
              <w:spacing w:before="30" w:after="10" w:line="252" w:lineRule="auto"/>
              <w:rPr>
                <w:highlight w:val="green"/>
              </w:rPr>
            </w:pPr>
            <w:r w:rsidRPr="00BA7729">
              <w:t>778.9</w:t>
            </w:r>
          </w:p>
        </w:tc>
      </w:tr>
      <w:tr w:rsidR="00265792" w:rsidRPr="00BA7805" w14:paraId="01171AAE" w14:textId="77777777" w:rsidTr="00284C38">
        <w:tc>
          <w:tcPr>
            <w:tcW w:w="6915" w:type="dxa"/>
            <w:tcBorders>
              <w:bottom w:val="single" w:sz="4" w:space="0" w:color="A6A6A6" w:themeColor="accent5"/>
            </w:tcBorders>
          </w:tcPr>
          <w:p w14:paraId="1889C7F5" w14:textId="77777777" w:rsidR="00265792" w:rsidRPr="0072381C" w:rsidRDefault="00265792" w:rsidP="008238C4">
            <w:pPr>
              <w:pStyle w:val="ARfintablebullet1"/>
            </w:pPr>
            <w:r w:rsidRPr="0072381C">
              <w:t>Child protection and family services</w:t>
            </w:r>
          </w:p>
        </w:tc>
        <w:tc>
          <w:tcPr>
            <w:tcW w:w="1361" w:type="dxa"/>
            <w:tcBorders>
              <w:bottom w:val="single" w:sz="4" w:space="0" w:color="A6A6A6" w:themeColor="accent5"/>
            </w:tcBorders>
            <w:shd w:val="clear" w:color="auto" w:fill="EEEEEF" w:themeFill="accent4"/>
            <w:noWrap/>
          </w:tcPr>
          <w:p w14:paraId="78C8D027" w14:textId="77777777" w:rsidR="00265792" w:rsidRPr="00BA7805" w:rsidRDefault="00265792" w:rsidP="00701B09">
            <w:pPr>
              <w:pStyle w:val="ARfintablebodyright"/>
              <w:spacing w:before="30" w:after="10" w:line="252" w:lineRule="auto"/>
              <w:rPr>
                <w:highlight w:val="green"/>
              </w:rPr>
            </w:pPr>
            <w:r w:rsidRPr="00BA7729">
              <w:t>321.8</w:t>
            </w:r>
          </w:p>
        </w:tc>
        <w:tc>
          <w:tcPr>
            <w:tcW w:w="1361" w:type="dxa"/>
            <w:tcBorders>
              <w:bottom w:val="single" w:sz="4" w:space="0" w:color="A6A6A6" w:themeColor="accent5"/>
            </w:tcBorders>
            <w:noWrap/>
          </w:tcPr>
          <w:p w14:paraId="4AE65351" w14:textId="77777777" w:rsidR="00265792" w:rsidRPr="00BA7805" w:rsidRDefault="00265792" w:rsidP="00701B09">
            <w:pPr>
              <w:pStyle w:val="ARfintablebodyright"/>
              <w:spacing w:before="30" w:after="10" w:line="252" w:lineRule="auto"/>
              <w:rPr>
                <w:highlight w:val="green"/>
              </w:rPr>
            </w:pPr>
            <w:r w:rsidRPr="00BA7729">
              <w:t>296.6</w:t>
            </w:r>
          </w:p>
        </w:tc>
      </w:tr>
      <w:tr w:rsidR="00265792" w:rsidRPr="00BA7805" w14:paraId="0FA222F1" w14:textId="77777777" w:rsidTr="00284C38">
        <w:tc>
          <w:tcPr>
            <w:tcW w:w="6915" w:type="dxa"/>
            <w:tcBorders>
              <w:top w:val="single" w:sz="4" w:space="0" w:color="A6A6A6" w:themeColor="accent5"/>
              <w:bottom w:val="single" w:sz="4" w:space="0" w:color="000000" w:themeColor="text1"/>
            </w:tcBorders>
          </w:tcPr>
          <w:p w14:paraId="6E6726ED" w14:textId="77777777" w:rsidR="00265792" w:rsidRPr="0072381C" w:rsidRDefault="00265792" w:rsidP="006F3C30">
            <w:pPr>
              <w:pStyle w:val="ARfintablebullet1"/>
            </w:pPr>
            <w:r w:rsidRPr="0072381C">
              <w:t xml:space="preserve">Other </w:t>
            </w:r>
            <w:r w:rsidRPr="00197130">
              <w:t>organisations</w:t>
            </w:r>
          </w:p>
        </w:tc>
        <w:tc>
          <w:tcPr>
            <w:tcW w:w="1361" w:type="dxa"/>
            <w:tcBorders>
              <w:top w:val="single" w:sz="4" w:space="0" w:color="A6A6A6" w:themeColor="accent5"/>
              <w:bottom w:val="single" w:sz="4" w:space="0" w:color="000000" w:themeColor="text1"/>
            </w:tcBorders>
            <w:shd w:val="clear" w:color="auto" w:fill="EEEEEF" w:themeFill="accent4"/>
            <w:noWrap/>
          </w:tcPr>
          <w:p w14:paraId="064D4844" w14:textId="77777777" w:rsidR="00265792" w:rsidRPr="00BA7805" w:rsidRDefault="00265792" w:rsidP="00701B09">
            <w:pPr>
              <w:pStyle w:val="ARfintablebodyright"/>
              <w:spacing w:before="30" w:after="10" w:line="252" w:lineRule="auto"/>
              <w:rPr>
                <w:highlight w:val="green"/>
              </w:rPr>
            </w:pPr>
            <w:r w:rsidRPr="00BA7729">
              <w:t>14.1</w:t>
            </w:r>
          </w:p>
        </w:tc>
        <w:tc>
          <w:tcPr>
            <w:tcW w:w="1361" w:type="dxa"/>
            <w:tcBorders>
              <w:top w:val="single" w:sz="4" w:space="0" w:color="A6A6A6" w:themeColor="accent5"/>
              <w:bottom w:val="single" w:sz="4" w:space="0" w:color="000000" w:themeColor="text1"/>
            </w:tcBorders>
            <w:noWrap/>
          </w:tcPr>
          <w:p w14:paraId="5DDA0296" w14:textId="77777777" w:rsidR="00265792" w:rsidRPr="00BA7805" w:rsidRDefault="00265792" w:rsidP="00701B09">
            <w:pPr>
              <w:pStyle w:val="ARfintablebodyright"/>
              <w:spacing w:before="30" w:after="10" w:line="252" w:lineRule="auto"/>
              <w:rPr>
                <w:highlight w:val="green"/>
              </w:rPr>
            </w:pPr>
            <w:r w:rsidRPr="00BA7729">
              <w:t>5.6</w:t>
            </w:r>
          </w:p>
        </w:tc>
      </w:tr>
      <w:tr w:rsidR="00265792" w:rsidRPr="00BA7805" w14:paraId="234D8F91" w14:textId="77777777" w:rsidTr="00284C38">
        <w:tc>
          <w:tcPr>
            <w:tcW w:w="6915" w:type="dxa"/>
            <w:tcBorders>
              <w:top w:val="single" w:sz="4" w:space="0" w:color="000000" w:themeColor="text1"/>
              <w:bottom w:val="single" w:sz="4" w:space="0" w:color="000000" w:themeColor="text1"/>
            </w:tcBorders>
          </w:tcPr>
          <w:p w14:paraId="5A2320FC" w14:textId="77777777" w:rsidR="00265792" w:rsidRPr="00BA7805" w:rsidRDefault="00265792" w:rsidP="0046736E">
            <w:pPr>
              <w:pStyle w:val="ARfintablebodybold"/>
              <w:rPr>
                <w:highlight w:val="green"/>
              </w:rPr>
            </w:pPr>
            <w:r w:rsidRPr="00BA7729">
              <w:t xml:space="preserve">Subtotal </w:t>
            </w:r>
            <w:r>
              <w:t>–</w:t>
            </w:r>
            <w:r w:rsidRPr="00BA7729">
              <w:t xml:space="preserve"> Assistance payment and other benefits to households and</w:t>
            </w:r>
            <w:r>
              <w:t> </w:t>
            </w:r>
            <w:r w:rsidRPr="00BA7729">
              <w:t>individuals</w:t>
            </w:r>
          </w:p>
        </w:tc>
        <w:tc>
          <w:tcPr>
            <w:tcW w:w="1361" w:type="dxa"/>
            <w:tcBorders>
              <w:top w:val="single" w:sz="4" w:space="0" w:color="000000" w:themeColor="text1"/>
              <w:bottom w:val="single" w:sz="4" w:space="0" w:color="000000" w:themeColor="text1"/>
            </w:tcBorders>
            <w:shd w:val="clear" w:color="auto" w:fill="EEEEEF" w:themeFill="accent4"/>
            <w:noWrap/>
          </w:tcPr>
          <w:p w14:paraId="10B54E8C" w14:textId="77777777" w:rsidR="00265792" w:rsidRPr="00BA7805" w:rsidRDefault="00265792" w:rsidP="0046736E">
            <w:pPr>
              <w:pStyle w:val="ARfintablebodyrightbold"/>
              <w:rPr>
                <w:highlight w:val="green"/>
              </w:rPr>
            </w:pPr>
            <w:r w:rsidRPr="00BA7729">
              <w:t>1,785.5</w:t>
            </w:r>
          </w:p>
        </w:tc>
        <w:tc>
          <w:tcPr>
            <w:tcW w:w="1361" w:type="dxa"/>
            <w:tcBorders>
              <w:top w:val="single" w:sz="4" w:space="0" w:color="000000" w:themeColor="text1"/>
              <w:bottom w:val="single" w:sz="4" w:space="0" w:color="000000" w:themeColor="text1"/>
            </w:tcBorders>
            <w:noWrap/>
          </w:tcPr>
          <w:p w14:paraId="16931306" w14:textId="77777777" w:rsidR="00265792" w:rsidRPr="00BA7805" w:rsidRDefault="00265792" w:rsidP="0046736E">
            <w:pPr>
              <w:pStyle w:val="ARfintablebodyrightbold"/>
              <w:rPr>
                <w:highlight w:val="green"/>
              </w:rPr>
            </w:pPr>
            <w:r w:rsidRPr="00BA7729">
              <w:t>1,081.1</w:t>
            </w:r>
          </w:p>
        </w:tc>
      </w:tr>
      <w:tr w:rsidR="00265792" w:rsidRPr="00BA7805" w14:paraId="71655A48" w14:textId="77777777">
        <w:tc>
          <w:tcPr>
            <w:tcW w:w="6915" w:type="dxa"/>
            <w:tcBorders>
              <w:top w:val="single" w:sz="4" w:space="0" w:color="A6A6A6" w:themeColor="accent5"/>
            </w:tcBorders>
          </w:tcPr>
          <w:p w14:paraId="718984F7" w14:textId="77777777" w:rsidR="00265792" w:rsidRPr="00BA7805" w:rsidRDefault="00265792">
            <w:pPr>
              <w:pStyle w:val="ARfintablebody"/>
              <w:rPr>
                <w:highlight w:val="green"/>
              </w:rPr>
            </w:pPr>
            <w:r w:rsidRPr="00BA7729">
              <w:t xml:space="preserve">Community service </w:t>
            </w:r>
            <w:r w:rsidRPr="00025C96">
              <w:t>organisations</w:t>
            </w:r>
            <w:r w:rsidRPr="00BA7729">
              <w:t xml:space="preserve"> and other non-government organisations</w:t>
            </w:r>
          </w:p>
        </w:tc>
        <w:tc>
          <w:tcPr>
            <w:tcW w:w="1361" w:type="dxa"/>
            <w:tcBorders>
              <w:top w:val="single" w:sz="4" w:space="0" w:color="A6A6A6" w:themeColor="accent5"/>
            </w:tcBorders>
            <w:noWrap/>
          </w:tcPr>
          <w:p w14:paraId="43BEE906" w14:textId="77777777" w:rsidR="00265792" w:rsidRPr="00BA7805" w:rsidRDefault="00265792" w:rsidP="00701B09">
            <w:pPr>
              <w:pStyle w:val="ARfintablebodyright"/>
              <w:spacing w:before="30" w:after="10" w:line="252" w:lineRule="auto"/>
              <w:rPr>
                <w:highlight w:val="green"/>
              </w:rPr>
            </w:pPr>
          </w:p>
        </w:tc>
        <w:tc>
          <w:tcPr>
            <w:tcW w:w="1361" w:type="dxa"/>
            <w:tcBorders>
              <w:top w:val="single" w:sz="4" w:space="0" w:color="A6A6A6" w:themeColor="accent5"/>
            </w:tcBorders>
            <w:noWrap/>
          </w:tcPr>
          <w:p w14:paraId="0DFE573C" w14:textId="77777777" w:rsidR="00265792" w:rsidRPr="00BA7805" w:rsidRDefault="00265792" w:rsidP="00701B09">
            <w:pPr>
              <w:pStyle w:val="ARfintablebodyright"/>
              <w:spacing w:before="30" w:after="10" w:line="252" w:lineRule="auto"/>
              <w:rPr>
                <w:highlight w:val="green"/>
              </w:rPr>
            </w:pPr>
          </w:p>
        </w:tc>
      </w:tr>
      <w:tr w:rsidR="00265792" w:rsidRPr="00BA7805" w14:paraId="773B79BC" w14:textId="77777777" w:rsidTr="00F23C4E">
        <w:tc>
          <w:tcPr>
            <w:tcW w:w="6915" w:type="dxa"/>
          </w:tcPr>
          <w:p w14:paraId="584572EB" w14:textId="77777777" w:rsidR="00265792" w:rsidRPr="006328F6" w:rsidRDefault="00265792" w:rsidP="006F3C30">
            <w:pPr>
              <w:pStyle w:val="ARfintablebullet1"/>
            </w:pPr>
            <w:r w:rsidRPr="006328F6">
              <w:t>Child protection and family services</w:t>
            </w:r>
          </w:p>
        </w:tc>
        <w:tc>
          <w:tcPr>
            <w:tcW w:w="1361" w:type="dxa"/>
            <w:shd w:val="clear" w:color="auto" w:fill="EEEEEF" w:themeFill="accent4"/>
            <w:noWrap/>
          </w:tcPr>
          <w:p w14:paraId="7B567776" w14:textId="77777777" w:rsidR="00265792" w:rsidRPr="00BA7805" w:rsidRDefault="00265792" w:rsidP="00701B09">
            <w:pPr>
              <w:pStyle w:val="ARfintablebodyright"/>
              <w:spacing w:before="30" w:after="10" w:line="252" w:lineRule="auto"/>
              <w:rPr>
                <w:highlight w:val="green"/>
              </w:rPr>
            </w:pPr>
            <w:r w:rsidRPr="00BA7729">
              <w:t>1,141.4</w:t>
            </w:r>
          </w:p>
        </w:tc>
        <w:tc>
          <w:tcPr>
            <w:tcW w:w="1361" w:type="dxa"/>
            <w:noWrap/>
          </w:tcPr>
          <w:p w14:paraId="3F31DEC1" w14:textId="77777777" w:rsidR="00265792" w:rsidRPr="00BA7805" w:rsidRDefault="00265792" w:rsidP="00701B09">
            <w:pPr>
              <w:pStyle w:val="ARfintablebodyright"/>
              <w:spacing w:before="30" w:after="10" w:line="252" w:lineRule="auto"/>
              <w:rPr>
                <w:highlight w:val="green"/>
              </w:rPr>
            </w:pPr>
            <w:r w:rsidRPr="00BA7729">
              <w:t>1,104.3</w:t>
            </w:r>
          </w:p>
        </w:tc>
      </w:tr>
      <w:tr w:rsidR="00265792" w:rsidRPr="00BA7805" w14:paraId="58EE3C94" w14:textId="77777777" w:rsidTr="00F23C4E">
        <w:tc>
          <w:tcPr>
            <w:tcW w:w="6915" w:type="dxa"/>
          </w:tcPr>
          <w:p w14:paraId="3FBA2984" w14:textId="77777777" w:rsidR="00265792" w:rsidRPr="006328F6" w:rsidRDefault="00265792" w:rsidP="006F3C30">
            <w:pPr>
              <w:pStyle w:val="ARfintablebullet1"/>
            </w:pPr>
            <w:r w:rsidRPr="006328F6">
              <w:t>Provision of housing and homelessness services</w:t>
            </w:r>
          </w:p>
        </w:tc>
        <w:tc>
          <w:tcPr>
            <w:tcW w:w="1361" w:type="dxa"/>
            <w:shd w:val="clear" w:color="auto" w:fill="EEEEEF" w:themeFill="accent4"/>
            <w:noWrap/>
          </w:tcPr>
          <w:p w14:paraId="63D78F7B" w14:textId="77777777" w:rsidR="00265792" w:rsidRPr="00BA7805" w:rsidRDefault="00265792" w:rsidP="00701B09">
            <w:pPr>
              <w:pStyle w:val="ARfintablebodyright"/>
              <w:spacing w:before="30" w:after="10" w:line="252" w:lineRule="auto"/>
              <w:rPr>
                <w:highlight w:val="green"/>
              </w:rPr>
            </w:pPr>
            <w:r w:rsidRPr="00BA7729">
              <w:t>669.0</w:t>
            </w:r>
          </w:p>
        </w:tc>
        <w:tc>
          <w:tcPr>
            <w:tcW w:w="1361" w:type="dxa"/>
            <w:noWrap/>
          </w:tcPr>
          <w:p w14:paraId="5FA85C6A" w14:textId="77777777" w:rsidR="00265792" w:rsidRPr="00BA7805" w:rsidRDefault="00265792" w:rsidP="00701B09">
            <w:pPr>
              <w:pStyle w:val="ARfintablebodyright"/>
              <w:spacing w:before="30" w:after="10" w:line="252" w:lineRule="auto"/>
              <w:rPr>
                <w:highlight w:val="green"/>
              </w:rPr>
            </w:pPr>
            <w:r w:rsidRPr="00BA7729">
              <w:t>806.0</w:t>
            </w:r>
          </w:p>
        </w:tc>
      </w:tr>
      <w:tr w:rsidR="00265792" w:rsidRPr="00BA7805" w14:paraId="1A4233FD" w14:textId="77777777" w:rsidTr="00F23C4E">
        <w:tc>
          <w:tcPr>
            <w:tcW w:w="6915" w:type="dxa"/>
          </w:tcPr>
          <w:p w14:paraId="4696CD16" w14:textId="3AD8BB40" w:rsidR="00265792" w:rsidRPr="006328F6" w:rsidRDefault="00265792" w:rsidP="006F3C30">
            <w:pPr>
              <w:pStyle w:val="ARfintablebullet1"/>
            </w:pPr>
            <w:r w:rsidRPr="006328F6">
              <w:t xml:space="preserve">Family violence </w:t>
            </w:r>
            <w:r w:rsidR="00CD251C">
              <w:t>s</w:t>
            </w:r>
            <w:r w:rsidRPr="006328F6">
              <w:t xml:space="preserve">ervice </w:t>
            </w:r>
            <w:r w:rsidR="00CD251C">
              <w:t>d</w:t>
            </w:r>
            <w:r w:rsidRPr="006328F6">
              <w:t>elivery</w:t>
            </w:r>
          </w:p>
        </w:tc>
        <w:tc>
          <w:tcPr>
            <w:tcW w:w="1361" w:type="dxa"/>
            <w:shd w:val="clear" w:color="auto" w:fill="EEEEEF" w:themeFill="accent4"/>
            <w:noWrap/>
          </w:tcPr>
          <w:p w14:paraId="22469E3C" w14:textId="77777777" w:rsidR="00265792" w:rsidRPr="00BA7805" w:rsidRDefault="00265792" w:rsidP="00701B09">
            <w:pPr>
              <w:pStyle w:val="ARfintablebodyright"/>
              <w:spacing w:before="30" w:after="10" w:line="252" w:lineRule="auto"/>
              <w:rPr>
                <w:highlight w:val="green"/>
              </w:rPr>
            </w:pPr>
            <w:r w:rsidRPr="00BA7729">
              <w:t>600.9</w:t>
            </w:r>
          </w:p>
        </w:tc>
        <w:tc>
          <w:tcPr>
            <w:tcW w:w="1361" w:type="dxa"/>
            <w:noWrap/>
          </w:tcPr>
          <w:p w14:paraId="0A312417" w14:textId="77777777" w:rsidR="00265792" w:rsidRPr="00BA7805" w:rsidRDefault="00265792" w:rsidP="00701B09">
            <w:pPr>
              <w:pStyle w:val="ARfintablebodyright"/>
              <w:spacing w:before="30" w:after="10" w:line="252" w:lineRule="auto"/>
              <w:rPr>
                <w:highlight w:val="green"/>
              </w:rPr>
            </w:pPr>
            <w:r w:rsidRPr="00BA7729">
              <w:t>555.4</w:t>
            </w:r>
          </w:p>
        </w:tc>
      </w:tr>
      <w:tr w:rsidR="00265792" w:rsidRPr="00BA7805" w14:paraId="4DCB79AE" w14:textId="77777777" w:rsidTr="00F23C4E">
        <w:tc>
          <w:tcPr>
            <w:tcW w:w="6915" w:type="dxa"/>
          </w:tcPr>
          <w:p w14:paraId="78D13C23" w14:textId="77777777" w:rsidR="00265792" w:rsidRPr="006328F6" w:rsidRDefault="00265792" w:rsidP="006F3C30">
            <w:pPr>
              <w:pStyle w:val="ARfintablebullet1"/>
            </w:pPr>
            <w:r w:rsidRPr="006328F6">
              <w:t>Disability services</w:t>
            </w:r>
          </w:p>
        </w:tc>
        <w:tc>
          <w:tcPr>
            <w:tcW w:w="1361" w:type="dxa"/>
            <w:shd w:val="clear" w:color="auto" w:fill="EEEEEF" w:themeFill="accent4"/>
            <w:noWrap/>
          </w:tcPr>
          <w:p w14:paraId="0DFCF2A5" w14:textId="77777777" w:rsidR="00265792" w:rsidRPr="00BA7805" w:rsidRDefault="00265792" w:rsidP="00701B09">
            <w:pPr>
              <w:pStyle w:val="ARfintablebodyright"/>
              <w:spacing w:before="30" w:after="10" w:line="252" w:lineRule="auto"/>
              <w:rPr>
                <w:highlight w:val="green"/>
              </w:rPr>
            </w:pPr>
            <w:r w:rsidRPr="00BA7729">
              <w:t>195.0</w:t>
            </w:r>
          </w:p>
        </w:tc>
        <w:tc>
          <w:tcPr>
            <w:tcW w:w="1361" w:type="dxa"/>
            <w:noWrap/>
          </w:tcPr>
          <w:p w14:paraId="3BF55505" w14:textId="77777777" w:rsidR="00265792" w:rsidRPr="00BA7805" w:rsidRDefault="00265792" w:rsidP="00701B09">
            <w:pPr>
              <w:pStyle w:val="ARfintablebodyright"/>
              <w:spacing w:before="30" w:after="10" w:line="252" w:lineRule="auto"/>
              <w:rPr>
                <w:highlight w:val="green"/>
              </w:rPr>
            </w:pPr>
            <w:r w:rsidRPr="00BA7729">
              <w:t>180.6</w:t>
            </w:r>
          </w:p>
        </w:tc>
      </w:tr>
      <w:tr w:rsidR="00265792" w:rsidRPr="00BA7805" w14:paraId="14A21A0F" w14:textId="77777777" w:rsidTr="00284C38">
        <w:tc>
          <w:tcPr>
            <w:tcW w:w="6915" w:type="dxa"/>
            <w:tcBorders>
              <w:bottom w:val="single" w:sz="4" w:space="0" w:color="A6A6A6" w:themeColor="accent5"/>
            </w:tcBorders>
          </w:tcPr>
          <w:p w14:paraId="1207F263" w14:textId="77777777" w:rsidR="00265792" w:rsidRPr="006328F6" w:rsidRDefault="00265792" w:rsidP="006F3C30">
            <w:pPr>
              <w:pStyle w:val="ARfintablebullet1"/>
            </w:pPr>
            <w:r w:rsidRPr="006328F6">
              <w:t>Concessions to pensioners and other beneficiaries</w:t>
            </w:r>
          </w:p>
        </w:tc>
        <w:tc>
          <w:tcPr>
            <w:tcW w:w="1361" w:type="dxa"/>
            <w:tcBorders>
              <w:bottom w:val="single" w:sz="4" w:space="0" w:color="A6A6A6" w:themeColor="accent5"/>
            </w:tcBorders>
            <w:shd w:val="clear" w:color="auto" w:fill="EEEEEF" w:themeFill="accent4"/>
            <w:noWrap/>
          </w:tcPr>
          <w:p w14:paraId="55EA8233" w14:textId="77777777" w:rsidR="00265792" w:rsidRPr="00BA7805" w:rsidRDefault="00265792" w:rsidP="00701B09">
            <w:pPr>
              <w:pStyle w:val="ARfintablebodyright"/>
              <w:spacing w:before="30" w:after="10" w:line="252" w:lineRule="auto"/>
              <w:rPr>
                <w:highlight w:val="green"/>
              </w:rPr>
            </w:pPr>
            <w:r w:rsidRPr="00BA7729">
              <w:t>58.1</w:t>
            </w:r>
          </w:p>
        </w:tc>
        <w:tc>
          <w:tcPr>
            <w:tcW w:w="1361" w:type="dxa"/>
            <w:tcBorders>
              <w:bottom w:val="single" w:sz="4" w:space="0" w:color="A6A6A6" w:themeColor="accent5"/>
            </w:tcBorders>
            <w:noWrap/>
          </w:tcPr>
          <w:p w14:paraId="2091CE3F" w14:textId="77777777" w:rsidR="00265792" w:rsidRPr="00BA7805" w:rsidRDefault="00265792" w:rsidP="00701B09">
            <w:pPr>
              <w:pStyle w:val="ARfintablebodyright"/>
              <w:spacing w:before="30" w:after="10" w:line="252" w:lineRule="auto"/>
              <w:rPr>
                <w:highlight w:val="green"/>
              </w:rPr>
            </w:pPr>
            <w:r w:rsidRPr="00BA7729">
              <w:t>60.4</w:t>
            </w:r>
          </w:p>
        </w:tc>
      </w:tr>
      <w:tr w:rsidR="00265792" w:rsidRPr="00BA7805" w14:paraId="4A30FCC9" w14:textId="77777777" w:rsidTr="00284C38">
        <w:tc>
          <w:tcPr>
            <w:tcW w:w="6915" w:type="dxa"/>
            <w:tcBorders>
              <w:top w:val="single" w:sz="4" w:space="0" w:color="A6A6A6" w:themeColor="accent5"/>
              <w:bottom w:val="single" w:sz="4" w:space="0" w:color="000000" w:themeColor="text1"/>
            </w:tcBorders>
          </w:tcPr>
          <w:p w14:paraId="29CE7CC1" w14:textId="77777777" w:rsidR="00265792" w:rsidRPr="006328F6" w:rsidRDefault="00265792" w:rsidP="006F3C30">
            <w:pPr>
              <w:pStyle w:val="ARfintablebullet1"/>
            </w:pPr>
            <w:r w:rsidRPr="006328F6">
              <w:t>Other organisations</w:t>
            </w:r>
          </w:p>
        </w:tc>
        <w:tc>
          <w:tcPr>
            <w:tcW w:w="1361" w:type="dxa"/>
            <w:tcBorders>
              <w:top w:val="single" w:sz="4" w:space="0" w:color="A6A6A6" w:themeColor="accent5"/>
              <w:bottom w:val="single" w:sz="4" w:space="0" w:color="000000" w:themeColor="text1"/>
            </w:tcBorders>
            <w:shd w:val="clear" w:color="auto" w:fill="EEEEEF" w:themeFill="accent4"/>
            <w:noWrap/>
          </w:tcPr>
          <w:p w14:paraId="7194C0A4" w14:textId="77777777" w:rsidR="00265792" w:rsidRPr="00BA7805" w:rsidRDefault="00265792" w:rsidP="00701B09">
            <w:pPr>
              <w:pStyle w:val="ARfintablebodyright"/>
              <w:spacing w:before="30" w:after="10" w:line="252" w:lineRule="auto"/>
              <w:rPr>
                <w:highlight w:val="green"/>
              </w:rPr>
            </w:pPr>
            <w:r w:rsidRPr="00BA7729">
              <w:t>163.5</w:t>
            </w:r>
          </w:p>
        </w:tc>
        <w:tc>
          <w:tcPr>
            <w:tcW w:w="1361" w:type="dxa"/>
            <w:tcBorders>
              <w:top w:val="single" w:sz="4" w:space="0" w:color="A6A6A6" w:themeColor="accent5"/>
              <w:bottom w:val="single" w:sz="4" w:space="0" w:color="000000" w:themeColor="text1"/>
            </w:tcBorders>
            <w:noWrap/>
          </w:tcPr>
          <w:p w14:paraId="72AF4D2F" w14:textId="77777777" w:rsidR="00265792" w:rsidRPr="00BA7805" w:rsidRDefault="00265792" w:rsidP="00701B09">
            <w:pPr>
              <w:pStyle w:val="ARfintablebodyright"/>
              <w:spacing w:before="30" w:after="10" w:line="252" w:lineRule="auto"/>
              <w:rPr>
                <w:highlight w:val="green"/>
              </w:rPr>
            </w:pPr>
            <w:r w:rsidRPr="00BA7729">
              <w:t>169.5</w:t>
            </w:r>
          </w:p>
        </w:tc>
      </w:tr>
      <w:tr w:rsidR="00265792" w:rsidRPr="00BA7805" w14:paraId="2BE98CF8" w14:textId="77777777" w:rsidTr="00284C38">
        <w:tc>
          <w:tcPr>
            <w:tcW w:w="6915" w:type="dxa"/>
            <w:tcBorders>
              <w:top w:val="single" w:sz="4" w:space="0" w:color="000000" w:themeColor="text1"/>
              <w:bottom w:val="single" w:sz="4" w:space="0" w:color="000000" w:themeColor="text1"/>
            </w:tcBorders>
          </w:tcPr>
          <w:p w14:paraId="545E7679" w14:textId="77777777" w:rsidR="00265792" w:rsidRPr="00BA7805" w:rsidRDefault="00265792" w:rsidP="0046736E">
            <w:pPr>
              <w:pStyle w:val="ARfintablebodybold"/>
              <w:rPr>
                <w:highlight w:val="green"/>
              </w:rPr>
            </w:pPr>
            <w:r w:rsidRPr="00BA7729">
              <w:t xml:space="preserve">Subtotal </w:t>
            </w:r>
            <w:r w:rsidRPr="00F23C4E">
              <w:t>–</w:t>
            </w:r>
            <w:r w:rsidRPr="00BA7729">
              <w:t xml:space="preserve"> Community service organisations and other </w:t>
            </w:r>
            <w:r>
              <w:br/>
            </w:r>
            <w:r w:rsidRPr="00BA7729">
              <w:t>non-government organisations</w:t>
            </w:r>
          </w:p>
        </w:tc>
        <w:tc>
          <w:tcPr>
            <w:tcW w:w="1361" w:type="dxa"/>
            <w:tcBorders>
              <w:top w:val="single" w:sz="4" w:space="0" w:color="000000" w:themeColor="text1"/>
              <w:bottom w:val="single" w:sz="4" w:space="0" w:color="000000" w:themeColor="text1"/>
            </w:tcBorders>
            <w:shd w:val="clear" w:color="auto" w:fill="EEEEEF" w:themeFill="accent4"/>
            <w:noWrap/>
          </w:tcPr>
          <w:p w14:paraId="46F3D66D" w14:textId="77777777" w:rsidR="00265792" w:rsidRPr="00BA7805" w:rsidRDefault="00265792" w:rsidP="00284C38">
            <w:pPr>
              <w:pStyle w:val="ARfintablebodyrightbold"/>
              <w:rPr>
                <w:highlight w:val="green"/>
              </w:rPr>
            </w:pPr>
            <w:r w:rsidRPr="00BA7729">
              <w:t>2,827.9</w:t>
            </w:r>
          </w:p>
        </w:tc>
        <w:tc>
          <w:tcPr>
            <w:tcW w:w="1361" w:type="dxa"/>
            <w:tcBorders>
              <w:top w:val="single" w:sz="4" w:space="0" w:color="000000" w:themeColor="text1"/>
              <w:bottom w:val="single" w:sz="4" w:space="0" w:color="000000" w:themeColor="text1"/>
            </w:tcBorders>
            <w:noWrap/>
          </w:tcPr>
          <w:p w14:paraId="1375DE9B" w14:textId="77777777" w:rsidR="00265792" w:rsidRPr="00BA7805" w:rsidRDefault="00265792" w:rsidP="00284C38">
            <w:pPr>
              <w:pStyle w:val="ARfintablebodyrightbold"/>
              <w:rPr>
                <w:highlight w:val="green"/>
              </w:rPr>
            </w:pPr>
            <w:r w:rsidRPr="00BA7729">
              <w:t>2,876.1</w:t>
            </w:r>
          </w:p>
        </w:tc>
      </w:tr>
      <w:tr w:rsidR="00265792" w:rsidRPr="00BA7805" w14:paraId="4EEF4637" w14:textId="77777777" w:rsidTr="00284C38">
        <w:tc>
          <w:tcPr>
            <w:tcW w:w="6915" w:type="dxa"/>
            <w:tcBorders>
              <w:top w:val="single" w:sz="4" w:space="0" w:color="000000" w:themeColor="text1"/>
              <w:bottom w:val="single" w:sz="4" w:space="0" w:color="A6A6A6" w:themeColor="accent5"/>
            </w:tcBorders>
          </w:tcPr>
          <w:p w14:paraId="39D1C376" w14:textId="77777777" w:rsidR="00265792" w:rsidRPr="00BA7805" w:rsidRDefault="00265792" w:rsidP="00701B09">
            <w:pPr>
              <w:pStyle w:val="ARfintablebody"/>
              <w:spacing w:before="30" w:after="10" w:line="252" w:lineRule="auto"/>
              <w:rPr>
                <w:highlight w:val="green"/>
              </w:rPr>
            </w:pPr>
          </w:p>
        </w:tc>
        <w:tc>
          <w:tcPr>
            <w:tcW w:w="1361" w:type="dxa"/>
            <w:tcBorders>
              <w:top w:val="single" w:sz="4" w:space="0" w:color="000000" w:themeColor="text1"/>
              <w:bottom w:val="single" w:sz="4" w:space="0" w:color="A6A6A6" w:themeColor="accent5"/>
            </w:tcBorders>
            <w:shd w:val="clear" w:color="auto" w:fill="EEEEEF" w:themeFill="accent4"/>
            <w:noWrap/>
          </w:tcPr>
          <w:p w14:paraId="3F4456A4" w14:textId="77777777" w:rsidR="00265792" w:rsidRPr="00BA7805" w:rsidRDefault="00265792" w:rsidP="00284C38">
            <w:pPr>
              <w:pStyle w:val="ARfintablebodyrightbold"/>
              <w:rPr>
                <w:highlight w:val="green"/>
              </w:rPr>
            </w:pPr>
            <w:r w:rsidRPr="00BA7729">
              <w:t>4,613.4</w:t>
            </w:r>
          </w:p>
        </w:tc>
        <w:tc>
          <w:tcPr>
            <w:tcW w:w="1361" w:type="dxa"/>
            <w:tcBorders>
              <w:top w:val="single" w:sz="4" w:space="0" w:color="000000" w:themeColor="text1"/>
              <w:bottom w:val="single" w:sz="4" w:space="0" w:color="A6A6A6" w:themeColor="accent5"/>
            </w:tcBorders>
            <w:noWrap/>
          </w:tcPr>
          <w:p w14:paraId="3BBCA413" w14:textId="77777777" w:rsidR="00265792" w:rsidRPr="00BA7805" w:rsidRDefault="00265792" w:rsidP="00284C38">
            <w:pPr>
              <w:pStyle w:val="ARfintablebodyrightbold"/>
              <w:rPr>
                <w:highlight w:val="green"/>
              </w:rPr>
            </w:pPr>
            <w:r w:rsidRPr="00BA7729">
              <w:t>3,957.3</w:t>
            </w:r>
          </w:p>
        </w:tc>
      </w:tr>
      <w:tr w:rsidR="00265792" w:rsidRPr="00BA7805" w14:paraId="2F7D9E4F" w14:textId="77777777" w:rsidTr="00284C38">
        <w:tc>
          <w:tcPr>
            <w:tcW w:w="6915" w:type="dxa"/>
            <w:tcBorders>
              <w:top w:val="single" w:sz="4" w:space="0" w:color="A6A6A6" w:themeColor="accent5"/>
            </w:tcBorders>
          </w:tcPr>
          <w:p w14:paraId="4C65999A" w14:textId="77777777" w:rsidR="00265792" w:rsidRPr="00BA7805" w:rsidRDefault="00265792" w:rsidP="00F23C4E">
            <w:pPr>
              <w:pStyle w:val="ARfintablebodybold"/>
              <w:rPr>
                <w:highlight w:val="green"/>
              </w:rPr>
            </w:pPr>
            <w:r w:rsidRPr="00BA7729">
              <w:t>Other state government agencies</w:t>
            </w:r>
          </w:p>
        </w:tc>
        <w:tc>
          <w:tcPr>
            <w:tcW w:w="1361" w:type="dxa"/>
            <w:tcBorders>
              <w:top w:val="single" w:sz="4" w:space="0" w:color="A6A6A6" w:themeColor="accent5"/>
            </w:tcBorders>
            <w:noWrap/>
          </w:tcPr>
          <w:p w14:paraId="70C278D1" w14:textId="77777777" w:rsidR="00265792" w:rsidRPr="00BA7805" w:rsidRDefault="00265792" w:rsidP="00701B09">
            <w:pPr>
              <w:pStyle w:val="ARfintablebodyright"/>
              <w:spacing w:before="30" w:after="10" w:line="252" w:lineRule="auto"/>
              <w:rPr>
                <w:highlight w:val="green"/>
              </w:rPr>
            </w:pPr>
          </w:p>
        </w:tc>
        <w:tc>
          <w:tcPr>
            <w:tcW w:w="1361" w:type="dxa"/>
            <w:tcBorders>
              <w:top w:val="single" w:sz="4" w:space="0" w:color="A6A6A6" w:themeColor="accent5"/>
            </w:tcBorders>
            <w:noWrap/>
          </w:tcPr>
          <w:p w14:paraId="6FA1DBE4" w14:textId="77777777" w:rsidR="00265792" w:rsidRPr="00BA7805" w:rsidRDefault="00265792" w:rsidP="00701B09">
            <w:pPr>
              <w:pStyle w:val="ARfintablebodyright"/>
              <w:spacing w:before="30" w:after="10" w:line="252" w:lineRule="auto"/>
              <w:rPr>
                <w:highlight w:val="green"/>
              </w:rPr>
            </w:pPr>
          </w:p>
        </w:tc>
      </w:tr>
      <w:tr w:rsidR="00265792" w:rsidRPr="00BA7805" w14:paraId="6FA77C66" w14:textId="77777777" w:rsidTr="00284C38">
        <w:tc>
          <w:tcPr>
            <w:tcW w:w="6915" w:type="dxa"/>
            <w:tcBorders>
              <w:bottom w:val="single" w:sz="4" w:space="0" w:color="A6A6A6" w:themeColor="accent5"/>
            </w:tcBorders>
          </w:tcPr>
          <w:p w14:paraId="012F0682" w14:textId="77777777" w:rsidR="00265792" w:rsidRPr="00BA7805" w:rsidRDefault="00265792" w:rsidP="00701B09">
            <w:pPr>
              <w:pStyle w:val="ARfintablebody"/>
              <w:spacing w:before="30" w:after="10" w:line="252" w:lineRule="auto"/>
              <w:rPr>
                <w:highlight w:val="green"/>
              </w:rPr>
            </w:pPr>
            <w:r w:rsidRPr="00BA7729">
              <w:t>Public health services and hospitals</w:t>
            </w:r>
          </w:p>
        </w:tc>
        <w:tc>
          <w:tcPr>
            <w:tcW w:w="1361" w:type="dxa"/>
            <w:tcBorders>
              <w:bottom w:val="single" w:sz="4" w:space="0" w:color="A6A6A6" w:themeColor="accent5"/>
            </w:tcBorders>
            <w:shd w:val="clear" w:color="auto" w:fill="EEEEEF" w:themeFill="accent4"/>
            <w:noWrap/>
          </w:tcPr>
          <w:p w14:paraId="0419597C" w14:textId="77777777" w:rsidR="00265792" w:rsidRPr="00BA7805" w:rsidRDefault="00265792" w:rsidP="00701B09">
            <w:pPr>
              <w:pStyle w:val="ARfintablebodyright"/>
              <w:spacing w:before="30" w:after="10" w:line="252" w:lineRule="auto"/>
              <w:rPr>
                <w:highlight w:val="green"/>
              </w:rPr>
            </w:pPr>
            <w:r w:rsidRPr="00BA7729">
              <w:t>78.8</w:t>
            </w:r>
          </w:p>
        </w:tc>
        <w:tc>
          <w:tcPr>
            <w:tcW w:w="1361" w:type="dxa"/>
            <w:tcBorders>
              <w:bottom w:val="single" w:sz="4" w:space="0" w:color="A6A6A6" w:themeColor="accent5"/>
            </w:tcBorders>
            <w:noWrap/>
          </w:tcPr>
          <w:p w14:paraId="5B8A9CA0" w14:textId="77777777" w:rsidR="00265792" w:rsidRPr="00BA7805" w:rsidRDefault="00265792" w:rsidP="00701B09">
            <w:pPr>
              <w:pStyle w:val="ARfintablebodyright"/>
              <w:spacing w:before="30" w:after="10" w:line="252" w:lineRule="auto"/>
              <w:rPr>
                <w:highlight w:val="green"/>
              </w:rPr>
            </w:pPr>
            <w:r w:rsidRPr="00BA7729">
              <w:t>73.3</w:t>
            </w:r>
          </w:p>
        </w:tc>
      </w:tr>
      <w:tr w:rsidR="00265792" w:rsidRPr="00BA7805" w14:paraId="5AFC67F7" w14:textId="77777777" w:rsidTr="00284C38">
        <w:tc>
          <w:tcPr>
            <w:tcW w:w="6915" w:type="dxa"/>
            <w:tcBorders>
              <w:top w:val="single" w:sz="4" w:space="0" w:color="A6A6A6" w:themeColor="accent5"/>
              <w:bottom w:val="single" w:sz="4" w:space="0" w:color="000000" w:themeColor="text1"/>
            </w:tcBorders>
          </w:tcPr>
          <w:p w14:paraId="075C4095" w14:textId="77777777" w:rsidR="00265792" w:rsidRPr="00BA7805" w:rsidRDefault="00265792" w:rsidP="00701B09">
            <w:pPr>
              <w:pStyle w:val="ARfintablebody"/>
              <w:spacing w:before="30" w:after="10" w:line="252" w:lineRule="auto"/>
              <w:rPr>
                <w:highlight w:val="green"/>
              </w:rPr>
            </w:pPr>
            <w:r w:rsidRPr="00BA7729">
              <w:t>Other state government departments and associated entities</w:t>
            </w:r>
          </w:p>
        </w:tc>
        <w:tc>
          <w:tcPr>
            <w:tcW w:w="1361" w:type="dxa"/>
            <w:tcBorders>
              <w:top w:val="single" w:sz="4" w:space="0" w:color="A6A6A6" w:themeColor="accent5"/>
              <w:bottom w:val="single" w:sz="4" w:space="0" w:color="000000" w:themeColor="text1"/>
            </w:tcBorders>
            <w:shd w:val="clear" w:color="auto" w:fill="EEEEEF" w:themeFill="accent4"/>
            <w:noWrap/>
          </w:tcPr>
          <w:p w14:paraId="79263A6A" w14:textId="77777777" w:rsidR="00265792" w:rsidRPr="00BA7805" w:rsidRDefault="00265792" w:rsidP="00701B09">
            <w:pPr>
              <w:pStyle w:val="ARfintablebodyright"/>
              <w:spacing w:before="30" w:after="10" w:line="252" w:lineRule="auto"/>
              <w:rPr>
                <w:highlight w:val="green"/>
              </w:rPr>
            </w:pPr>
            <w:r w:rsidRPr="00BA7729">
              <w:t>251.5</w:t>
            </w:r>
          </w:p>
        </w:tc>
        <w:tc>
          <w:tcPr>
            <w:tcW w:w="1361" w:type="dxa"/>
            <w:tcBorders>
              <w:top w:val="single" w:sz="4" w:space="0" w:color="A6A6A6" w:themeColor="accent5"/>
              <w:bottom w:val="single" w:sz="4" w:space="0" w:color="000000" w:themeColor="text1"/>
            </w:tcBorders>
            <w:noWrap/>
          </w:tcPr>
          <w:p w14:paraId="4A9BEDBE" w14:textId="77777777" w:rsidR="00265792" w:rsidRPr="00BA7805" w:rsidRDefault="00265792" w:rsidP="00701B09">
            <w:pPr>
              <w:pStyle w:val="ARfintablebodyright"/>
              <w:spacing w:before="30" w:after="10" w:line="252" w:lineRule="auto"/>
              <w:rPr>
                <w:highlight w:val="green"/>
              </w:rPr>
            </w:pPr>
            <w:r w:rsidRPr="00BA7729">
              <w:t>231.8</w:t>
            </w:r>
          </w:p>
        </w:tc>
      </w:tr>
      <w:tr w:rsidR="00265792" w:rsidRPr="00BA7805" w14:paraId="414289F0" w14:textId="77777777" w:rsidTr="00284C38">
        <w:tc>
          <w:tcPr>
            <w:tcW w:w="6915" w:type="dxa"/>
            <w:tcBorders>
              <w:top w:val="single" w:sz="4" w:space="0" w:color="000000" w:themeColor="text1"/>
              <w:bottom w:val="single" w:sz="4" w:space="0" w:color="A6A6A6" w:themeColor="accent5"/>
            </w:tcBorders>
          </w:tcPr>
          <w:p w14:paraId="202D55AF" w14:textId="77777777" w:rsidR="00265792" w:rsidRPr="00BA7805" w:rsidRDefault="00265792" w:rsidP="00701B09">
            <w:pPr>
              <w:pStyle w:val="ARfintablebody"/>
              <w:spacing w:before="30" w:after="10" w:line="252" w:lineRule="auto"/>
              <w:rPr>
                <w:highlight w:val="green"/>
              </w:rPr>
            </w:pPr>
          </w:p>
        </w:tc>
        <w:tc>
          <w:tcPr>
            <w:tcW w:w="1361" w:type="dxa"/>
            <w:tcBorders>
              <w:top w:val="single" w:sz="4" w:space="0" w:color="000000" w:themeColor="text1"/>
              <w:bottom w:val="single" w:sz="4" w:space="0" w:color="A6A6A6" w:themeColor="accent5"/>
            </w:tcBorders>
            <w:shd w:val="clear" w:color="auto" w:fill="EEEEEF" w:themeFill="accent4"/>
            <w:noWrap/>
          </w:tcPr>
          <w:p w14:paraId="063CE415" w14:textId="77777777" w:rsidR="00265792" w:rsidRPr="00BA7805" w:rsidRDefault="00265792" w:rsidP="00284C38">
            <w:pPr>
              <w:pStyle w:val="ARfintablebodyrightbold"/>
              <w:rPr>
                <w:highlight w:val="green"/>
              </w:rPr>
            </w:pPr>
            <w:r w:rsidRPr="00BA7729">
              <w:t>330.4</w:t>
            </w:r>
          </w:p>
        </w:tc>
        <w:tc>
          <w:tcPr>
            <w:tcW w:w="1361" w:type="dxa"/>
            <w:tcBorders>
              <w:top w:val="single" w:sz="4" w:space="0" w:color="000000" w:themeColor="text1"/>
              <w:bottom w:val="single" w:sz="4" w:space="0" w:color="A6A6A6" w:themeColor="accent5"/>
            </w:tcBorders>
            <w:noWrap/>
          </w:tcPr>
          <w:p w14:paraId="6906B45F" w14:textId="77777777" w:rsidR="00265792" w:rsidRPr="00BA7805" w:rsidRDefault="00265792" w:rsidP="00284C38">
            <w:pPr>
              <w:pStyle w:val="ARfintablebodyrightbold"/>
              <w:rPr>
                <w:highlight w:val="green"/>
              </w:rPr>
            </w:pPr>
            <w:r w:rsidRPr="00BA7729">
              <w:t>305.1</w:t>
            </w:r>
          </w:p>
        </w:tc>
      </w:tr>
      <w:tr w:rsidR="00265792" w:rsidRPr="00BA7805" w14:paraId="71C364EC" w14:textId="77777777" w:rsidTr="00284C38">
        <w:tc>
          <w:tcPr>
            <w:tcW w:w="6915" w:type="dxa"/>
            <w:tcBorders>
              <w:top w:val="single" w:sz="4" w:space="0" w:color="A6A6A6" w:themeColor="accent5"/>
              <w:bottom w:val="single" w:sz="4" w:space="0" w:color="A6A6A6" w:themeColor="accent5"/>
            </w:tcBorders>
          </w:tcPr>
          <w:p w14:paraId="30B28578" w14:textId="77777777" w:rsidR="00265792" w:rsidRPr="00BA7805" w:rsidRDefault="00265792" w:rsidP="0016269E">
            <w:pPr>
              <w:pStyle w:val="ARfintablebodybold"/>
              <w:rPr>
                <w:highlight w:val="green"/>
              </w:rPr>
            </w:pPr>
            <w:r w:rsidRPr="00BA7729">
              <w:t>Local government</w:t>
            </w:r>
          </w:p>
        </w:tc>
        <w:tc>
          <w:tcPr>
            <w:tcW w:w="1361" w:type="dxa"/>
            <w:tcBorders>
              <w:top w:val="single" w:sz="4" w:space="0" w:color="A6A6A6" w:themeColor="accent5"/>
              <w:bottom w:val="single" w:sz="4" w:space="0" w:color="A6A6A6" w:themeColor="accent5"/>
            </w:tcBorders>
            <w:noWrap/>
          </w:tcPr>
          <w:p w14:paraId="4BB718CC" w14:textId="77777777" w:rsidR="00265792" w:rsidRPr="00BA7805" w:rsidRDefault="00265792" w:rsidP="00701B09">
            <w:pPr>
              <w:pStyle w:val="ARfintablebodyright"/>
              <w:rPr>
                <w:highlight w:val="green"/>
              </w:rPr>
            </w:pPr>
          </w:p>
        </w:tc>
        <w:tc>
          <w:tcPr>
            <w:tcW w:w="1361" w:type="dxa"/>
            <w:tcBorders>
              <w:top w:val="single" w:sz="4" w:space="0" w:color="A6A6A6" w:themeColor="accent5"/>
              <w:bottom w:val="single" w:sz="4" w:space="0" w:color="A6A6A6" w:themeColor="accent5"/>
            </w:tcBorders>
            <w:noWrap/>
          </w:tcPr>
          <w:p w14:paraId="4A3F1988" w14:textId="77777777" w:rsidR="00265792" w:rsidRPr="00BA7805" w:rsidRDefault="00265792" w:rsidP="00701B09">
            <w:pPr>
              <w:pStyle w:val="ARfintablebodyright"/>
              <w:rPr>
                <w:highlight w:val="green"/>
              </w:rPr>
            </w:pPr>
          </w:p>
        </w:tc>
      </w:tr>
      <w:tr w:rsidR="00265792" w:rsidRPr="00BA7805" w14:paraId="276A10A1" w14:textId="77777777" w:rsidTr="0019289D">
        <w:tc>
          <w:tcPr>
            <w:tcW w:w="6915" w:type="dxa"/>
            <w:tcBorders>
              <w:top w:val="single" w:sz="4" w:space="0" w:color="A6A6A6" w:themeColor="accent5"/>
              <w:bottom w:val="single" w:sz="4" w:space="0" w:color="000000" w:themeColor="text1"/>
            </w:tcBorders>
          </w:tcPr>
          <w:p w14:paraId="7003AEDD" w14:textId="77777777" w:rsidR="00265792" w:rsidRPr="00BA7805" w:rsidRDefault="00265792" w:rsidP="00701B09">
            <w:pPr>
              <w:pStyle w:val="ARfintablebody"/>
              <w:spacing w:before="30" w:after="10" w:line="252" w:lineRule="auto"/>
              <w:rPr>
                <w:highlight w:val="green"/>
              </w:rPr>
            </w:pPr>
            <w:r w:rsidRPr="00BA7729">
              <w:t>Local councils</w:t>
            </w:r>
          </w:p>
        </w:tc>
        <w:tc>
          <w:tcPr>
            <w:tcW w:w="1361" w:type="dxa"/>
            <w:tcBorders>
              <w:top w:val="single" w:sz="4" w:space="0" w:color="A6A6A6" w:themeColor="accent5"/>
              <w:bottom w:val="single" w:sz="4" w:space="0" w:color="000000" w:themeColor="text1"/>
            </w:tcBorders>
            <w:shd w:val="clear" w:color="auto" w:fill="EEEEEF" w:themeFill="accent4"/>
            <w:noWrap/>
          </w:tcPr>
          <w:p w14:paraId="58583B4F" w14:textId="77777777" w:rsidR="00265792" w:rsidRPr="00BA7805" w:rsidRDefault="00265792" w:rsidP="0016269E">
            <w:pPr>
              <w:pStyle w:val="ARfintablebodyright"/>
              <w:rPr>
                <w:highlight w:val="green"/>
              </w:rPr>
            </w:pPr>
            <w:r w:rsidRPr="00BA7729">
              <w:t>8.8</w:t>
            </w:r>
          </w:p>
        </w:tc>
        <w:tc>
          <w:tcPr>
            <w:tcW w:w="1361" w:type="dxa"/>
            <w:tcBorders>
              <w:top w:val="single" w:sz="4" w:space="0" w:color="A6A6A6" w:themeColor="accent5"/>
              <w:bottom w:val="single" w:sz="4" w:space="0" w:color="000000" w:themeColor="text1"/>
            </w:tcBorders>
            <w:noWrap/>
          </w:tcPr>
          <w:p w14:paraId="4BE83C9C" w14:textId="77777777" w:rsidR="00265792" w:rsidRPr="00BA7805" w:rsidRDefault="00265792" w:rsidP="0016269E">
            <w:pPr>
              <w:pStyle w:val="ARfintablebodyright"/>
              <w:rPr>
                <w:highlight w:val="green"/>
              </w:rPr>
            </w:pPr>
            <w:r w:rsidRPr="00BA7729">
              <w:t>14.5</w:t>
            </w:r>
          </w:p>
        </w:tc>
      </w:tr>
      <w:tr w:rsidR="00265792" w:rsidRPr="00BA7805" w14:paraId="4F33E776" w14:textId="77777777" w:rsidTr="0019289D">
        <w:tc>
          <w:tcPr>
            <w:tcW w:w="6915" w:type="dxa"/>
            <w:tcBorders>
              <w:top w:val="single" w:sz="4" w:space="0" w:color="000000" w:themeColor="text1"/>
              <w:bottom w:val="single" w:sz="4" w:space="0" w:color="A6A6A6" w:themeColor="accent5"/>
            </w:tcBorders>
          </w:tcPr>
          <w:p w14:paraId="2B0CAFCE" w14:textId="77777777" w:rsidR="00265792" w:rsidRPr="00BA7805" w:rsidRDefault="00265792" w:rsidP="00701B09">
            <w:pPr>
              <w:pStyle w:val="ARfintablebody"/>
              <w:spacing w:before="30" w:after="10" w:line="252" w:lineRule="auto"/>
              <w:rPr>
                <w:highlight w:val="green"/>
              </w:rPr>
            </w:pPr>
          </w:p>
        </w:tc>
        <w:tc>
          <w:tcPr>
            <w:tcW w:w="1361" w:type="dxa"/>
            <w:tcBorders>
              <w:top w:val="single" w:sz="4" w:space="0" w:color="000000" w:themeColor="text1"/>
              <w:bottom w:val="single" w:sz="4" w:space="0" w:color="A6A6A6" w:themeColor="accent5"/>
            </w:tcBorders>
            <w:shd w:val="clear" w:color="auto" w:fill="EEEEEF" w:themeFill="accent4"/>
            <w:noWrap/>
          </w:tcPr>
          <w:p w14:paraId="20C137F9" w14:textId="77777777" w:rsidR="00265792" w:rsidRPr="00BA7805" w:rsidRDefault="00265792" w:rsidP="0016269E">
            <w:pPr>
              <w:pStyle w:val="ARfintablebodyrightbold"/>
              <w:rPr>
                <w:highlight w:val="green"/>
              </w:rPr>
            </w:pPr>
            <w:r w:rsidRPr="00BA7729">
              <w:t>8.8</w:t>
            </w:r>
          </w:p>
        </w:tc>
        <w:tc>
          <w:tcPr>
            <w:tcW w:w="1361" w:type="dxa"/>
            <w:tcBorders>
              <w:top w:val="single" w:sz="4" w:space="0" w:color="000000" w:themeColor="text1"/>
              <w:bottom w:val="single" w:sz="4" w:space="0" w:color="A6A6A6" w:themeColor="accent5"/>
            </w:tcBorders>
            <w:noWrap/>
          </w:tcPr>
          <w:p w14:paraId="2F8CFF89" w14:textId="77777777" w:rsidR="00265792" w:rsidRPr="00BA7805" w:rsidRDefault="00265792" w:rsidP="0016269E">
            <w:pPr>
              <w:pStyle w:val="ARfintablebodyrightbold"/>
              <w:rPr>
                <w:highlight w:val="green"/>
              </w:rPr>
            </w:pPr>
            <w:r w:rsidRPr="00BA7729">
              <w:t>14.5</w:t>
            </w:r>
          </w:p>
        </w:tc>
      </w:tr>
      <w:tr w:rsidR="00265792" w:rsidRPr="00BA7805" w14:paraId="26BF9385" w14:textId="77777777" w:rsidTr="0019289D">
        <w:tc>
          <w:tcPr>
            <w:tcW w:w="6915" w:type="dxa"/>
            <w:tcBorders>
              <w:top w:val="single" w:sz="4" w:space="0" w:color="A6A6A6" w:themeColor="accent5"/>
              <w:bottom w:val="single" w:sz="4" w:space="0" w:color="A6A6A6" w:themeColor="accent5"/>
            </w:tcBorders>
          </w:tcPr>
          <w:p w14:paraId="154378A8" w14:textId="77777777" w:rsidR="00265792" w:rsidRPr="00920107" w:rsidRDefault="00265792" w:rsidP="00F23C4E">
            <w:pPr>
              <w:pStyle w:val="ARfintablebodybold"/>
              <w:rPr>
                <w:highlight w:val="green"/>
              </w:rPr>
            </w:pPr>
            <w:r w:rsidRPr="00BA7729">
              <w:t xml:space="preserve">Commonwealth Government </w:t>
            </w:r>
          </w:p>
        </w:tc>
        <w:tc>
          <w:tcPr>
            <w:tcW w:w="1361" w:type="dxa"/>
            <w:tcBorders>
              <w:top w:val="single" w:sz="4" w:space="0" w:color="A6A6A6" w:themeColor="accent5"/>
              <w:bottom w:val="single" w:sz="4" w:space="0" w:color="A6A6A6" w:themeColor="accent5"/>
            </w:tcBorders>
            <w:noWrap/>
          </w:tcPr>
          <w:p w14:paraId="58786FE4" w14:textId="77777777" w:rsidR="00265792" w:rsidRPr="00920107" w:rsidRDefault="00265792" w:rsidP="00701B09">
            <w:pPr>
              <w:pStyle w:val="ARfintablebodyright"/>
              <w:rPr>
                <w:highlight w:val="green"/>
              </w:rPr>
            </w:pPr>
          </w:p>
        </w:tc>
        <w:tc>
          <w:tcPr>
            <w:tcW w:w="1361" w:type="dxa"/>
            <w:tcBorders>
              <w:top w:val="single" w:sz="4" w:space="0" w:color="A6A6A6" w:themeColor="accent5"/>
              <w:bottom w:val="single" w:sz="4" w:space="0" w:color="A6A6A6" w:themeColor="accent5"/>
            </w:tcBorders>
            <w:noWrap/>
          </w:tcPr>
          <w:p w14:paraId="1F6953C6" w14:textId="77777777" w:rsidR="00265792" w:rsidRPr="00920107" w:rsidRDefault="00265792" w:rsidP="00701B09">
            <w:pPr>
              <w:pStyle w:val="ARfintablebodyright"/>
              <w:rPr>
                <w:highlight w:val="green"/>
              </w:rPr>
            </w:pPr>
          </w:p>
        </w:tc>
      </w:tr>
      <w:tr w:rsidR="00265792" w:rsidRPr="00BA7805" w14:paraId="1AB81B2E" w14:textId="77777777" w:rsidTr="0019289D">
        <w:tc>
          <w:tcPr>
            <w:tcW w:w="6915" w:type="dxa"/>
            <w:tcBorders>
              <w:top w:val="single" w:sz="4" w:space="0" w:color="A6A6A6" w:themeColor="accent5"/>
              <w:bottom w:val="single" w:sz="4" w:space="0" w:color="000000" w:themeColor="text1"/>
            </w:tcBorders>
          </w:tcPr>
          <w:p w14:paraId="1E8B1ED3" w14:textId="77777777" w:rsidR="00265792" w:rsidRPr="00920107" w:rsidRDefault="00265792" w:rsidP="0019289D">
            <w:pPr>
              <w:pStyle w:val="ARfintablebody"/>
            </w:pPr>
            <w:r w:rsidRPr="00BA7729">
              <w:t>Commonwealth government organisations</w:t>
            </w:r>
          </w:p>
        </w:tc>
        <w:tc>
          <w:tcPr>
            <w:tcW w:w="1361" w:type="dxa"/>
            <w:tcBorders>
              <w:top w:val="single" w:sz="4" w:space="0" w:color="A6A6A6" w:themeColor="accent5"/>
              <w:bottom w:val="single" w:sz="4" w:space="0" w:color="000000" w:themeColor="text1"/>
            </w:tcBorders>
            <w:shd w:val="clear" w:color="auto" w:fill="EEEEEF" w:themeFill="accent4"/>
            <w:noWrap/>
          </w:tcPr>
          <w:p w14:paraId="5A2A3F65" w14:textId="77777777" w:rsidR="00265792" w:rsidRPr="00920107" w:rsidRDefault="00265792" w:rsidP="0019289D">
            <w:pPr>
              <w:pStyle w:val="ARfintablebodyright"/>
            </w:pPr>
            <w:r w:rsidRPr="00BA7729">
              <w:t>0.4</w:t>
            </w:r>
          </w:p>
        </w:tc>
        <w:tc>
          <w:tcPr>
            <w:tcW w:w="1361" w:type="dxa"/>
            <w:tcBorders>
              <w:top w:val="single" w:sz="4" w:space="0" w:color="A6A6A6" w:themeColor="accent5"/>
              <w:bottom w:val="single" w:sz="4" w:space="0" w:color="000000" w:themeColor="text1"/>
            </w:tcBorders>
            <w:noWrap/>
          </w:tcPr>
          <w:p w14:paraId="21CEEF1E" w14:textId="77777777" w:rsidR="00265792" w:rsidRPr="00920107" w:rsidRDefault="00265792" w:rsidP="0019289D">
            <w:pPr>
              <w:pStyle w:val="ARfintablebodyright"/>
            </w:pPr>
            <w:r w:rsidRPr="00BA7729">
              <w:t>1.7</w:t>
            </w:r>
          </w:p>
        </w:tc>
      </w:tr>
      <w:tr w:rsidR="00265792" w:rsidRPr="00BA7805" w14:paraId="5F8F2273" w14:textId="77777777" w:rsidTr="0019289D">
        <w:tc>
          <w:tcPr>
            <w:tcW w:w="6915" w:type="dxa"/>
            <w:tcBorders>
              <w:top w:val="single" w:sz="4" w:space="0" w:color="000000" w:themeColor="text1"/>
              <w:bottom w:val="single" w:sz="4" w:space="0" w:color="000000" w:themeColor="text1"/>
            </w:tcBorders>
          </w:tcPr>
          <w:p w14:paraId="23F77FEA" w14:textId="77777777" w:rsidR="00265792" w:rsidRPr="00BA7805" w:rsidRDefault="00265792" w:rsidP="00701B09">
            <w:pPr>
              <w:pStyle w:val="ARfintablebody"/>
              <w:spacing w:before="30" w:after="10" w:line="252" w:lineRule="auto"/>
              <w:rPr>
                <w:highlight w:val="green"/>
              </w:rPr>
            </w:pPr>
          </w:p>
        </w:tc>
        <w:tc>
          <w:tcPr>
            <w:tcW w:w="1361" w:type="dxa"/>
            <w:tcBorders>
              <w:top w:val="single" w:sz="4" w:space="0" w:color="000000" w:themeColor="text1"/>
              <w:bottom w:val="single" w:sz="4" w:space="0" w:color="000000" w:themeColor="text1"/>
            </w:tcBorders>
            <w:shd w:val="clear" w:color="auto" w:fill="EEEEEF" w:themeFill="accent4"/>
            <w:noWrap/>
          </w:tcPr>
          <w:p w14:paraId="68F3036E" w14:textId="77777777" w:rsidR="00265792" w:rsidRPr="00BA7805" w:rsidRDefault="00265792" w:rsidP="0019289D">
            <w:pPr>
              <w:pStyle w:val="ARfintablebodyrightbold"/>
              <w:rPr>
                <w:highlight w:val="green"/>
              </w:rPr>
            </w:pPr>
            <w:r w:rsidRPr="00BA7729">
              <w:t>0.4</w:t>
            </w:r>
          </w:p>
        </w:tc>
        <w:tc>
          <w:tcPr>
            <w:tcW w:w="1361" w:type="dxa"/>
            <w:tcBorders>
              <w:top w:val="single" w:sz="4" w:space="0" w:color="000000" w:themeColor="text1"/>
              <w:bottom w:val="single" w:sz="4" w:space="0" w:color="000000" w:themeColor="text1"/>
            </w:tcBorders>
            <w:noWrap/>
          </w:tcPr>
          <w:p w14:paraId="4DD7817B" w14:textId="77777777" w:rsidR="00265792" w:rsidRPr="00BA7805" w:rsidRDefault="00265792" w:rsidP="0019289D">
            <w:pPr>
              <w:pStyle w:val="ARfintablebodyrightbold"/>
              <w:rPr>
                <w:highlight w:val="green"/>
              </w:rPr>
            </w:pPr>
            <w:r w:rsidRPr="00BA7729">
              <w:t>1.7</w:t>
            </w:r>
          </w:p>
        </w:tc>
      </w:tr>
      <w:tr w:rsidR="00265792" w:rsidRPr="00BA7805" w14:paraId="30485D0B" w14:textId="77777777" w:rsidTr="0019289D">
        <w:trPr>
          <w:cnfStyle w:val="010000000000" w:firstRow="0" w:lastRow="1" w:firstColumn="0" w:lastColumn="0" w:oddVBand="0" w:evenVBand="0" w:oddHBand="0" w:evenHBand="0" w:firstRowFirstColumn="0" w:firstRowLastColumn="0" w:lastRowFirstColumn="0" w:lastRowLastColumn="0"/>
        </w:trPr>
        <w:tc>
          <w:tcPr>
            <w:tcW w:w="6915" w:type="dxa"/>
          </w:tcPr>
          <w:p w14:paraId="11297CA8" w14:textId="77777777" w:rsidR="00265792" w:rsidRPr="00BA7805" w:rsidRDefault="00265792" w:rsidP="00701B09">
            <w:pPr>
              <w:pStyle w:val="ARfintablebodybold"/>
              <w:spacing w:before="30" w:after="10" w:line="252" w:lineRule="auto"/>
              <w:rPr>
                <w:highlight w:val="green"/>
              </w:rPr>
            </w:pPr>
            <w:r w:rsidRPr="00BA7729">
              <w:t>Total grant expenses</w:t>
            </w:r>
          </w:p>
        </w:tc>
        <w:tc>
          <w:tcPr>
            <w:tcW w:w="1361" w:type="dxa"/>
            <w:shd w:val="clear" w:color="auto" w:fill="EEEEEF" w:themeFill="accent4"/>
            <w:noWrap/>
          </w:tcPr>
          <w:p w14:paraId="7F9FFB90" w14:textId="77777777" w:rsidR="00265792" w:rsidRPr="00BA7805" w:rsidRDefault="00265792" w:rsidP="0019289D">
            <w:pPr>
              <w:pStyle w:val="ARfintablebodyrightbold"/>
              <w:rPr>
                <w:highlight w:val="green"/>
              </w:rPr>
            </w:pPr>
            <w:r w:rsidRPr="00BA7729">
              <w:t>4,952.9</w:t>
            </w:r>
          </w:p>
        </w:tc>
        <w:tc>
          <w:tcPr>
            <w:tcW w:w="1361" w:type="dxa"/>
            <w:noWrap/>
          </w:tcPr>
          <w:p w14:paraId="3782CEE8" w14:textId="77777777" w:rsidR="00265792" w:rsidRPr="00BA7805" w:rsidRDefault="00265792" w:rsidP="0019289D">
            <w:pPr>
              <w:pStyle w:val="ARfintablebodyrightbold"/>
              <w:rPr>
                <w:highlight w:val="green"/>
              </w:rPr>
            </w:pPr>
            <w:r w:rsidRPr="00BA7729">
              <w:t>4,278.6</w:t>
            </w:r>
          </w:p>
        </w:tc>
      </w:tr>
    </w:tbl>
    <w:p w14:paraId="632642C4" w14:textId="77777777" w:rsidR="00265792" w:rsidRDefault="00265792" w:rsidP="00504A0A">
      <w:pPr>
        <w:pStyle w:val="ARfintablefootnote"/>
      </w:pPr>
      <w:r>
        <w:t>Note:</w:t>
      </w:r>
    </w:p>
    <w:p w14:paraId="4DDC35E4" w14:textId="27945E98" w:rsidR="00265792" w:rsidRDefault="00265792" w:rsidP="00504A0A">
      <w:pPr>
        <w:pStyle w:val="ARfintablefootnoteindent"/>
      </w:pPr>
      <w:r>
        <w:t>(</w:t>
      </w:r>
      <w:proofErr w:type="spellStart"/>
      <w:r>
        <w:t>i</w:t>
      </w:r>
      <w:proofErr w:type="spellEnd"/>
      <w:r>
        <w:t xml:space="preserve">) </w:t>
      </w:r>
      <w:r>
        <w:tab/>
        <w:t>Grants to non-government agencies and individuals primarily relate to social and affordable housing initiative, concessions to pensioners and beneficiaries and services provided by non-</w:t>
      </w:r>
      <w:r w:rsidR="00CD251C">
        <w:t>g</w:t>
      </w:r>
      <w:r>
        <w:t>overnment organisations to Victorians.</w:t>
      </w:r>
    </w:p>
    <w:p w14:paraId="140C39C2" w14:textId="77777777" w:rsidR="00265792" w:rsidRDefault="00265792" w:rsidP="00504A0A">
      <w:pPr>
        <w:pStyle w:val="ARfinbodyaftertable"/>
      </w:pPr>
      <w:r>
        <w:t xml:space="preserve">Transactions in which the department provides goods, services, assets (or extinguishes a liability) or labour to another party without receiving approximately equal value in return are categorised as ‘Grant and other </w:t>
      </w:r>
      <w:proofErr w:type="gramStart"/>
      <w:r>
        <w:t>transfers’</w:t>
      </w:r>
      <w:proofErr w:type="gramEnd"/>
      <w:r>
        <w:t>. Grants can either be operating or capital in nature. Grants can be paid as general-purpose grants, which refer to grants that are not subject to conditions regarding their use. Alternatively, they may be paid as specific purpose grants which are paid for a particular purpose and/or have conditions attached regarding their use.</w:t>
      </w:r>
    </w:p>
    <w:p w14:paraId="3410775B" w14:textId="01FDA69E" w:rsidR="00265792" w:rsidRDefault="00265792" w:rsidP="00504A0A">
      <w:pPr>
        <w:pStyle w:val="ARfinbody"/>
      </w:pPr>
      <w:r>
        <w:t xml:space="preserve">Grants and other transfers to third parties are recognised as an expense in the reporting period in which they are incurred. They include transactions such as grants, subsidies and other transfer payments to other state government agencies, local councils and non-government agencies and individuals. Committed grants and other transfers as </w:t>
      </w:r>
      <w:proofErr w:type="gramStart"/>
      <w:r>
        <w:t>at</w:t>
      </w:r>
      <w:proofErr w:type="gramEnd"/>
      <w:r>
        <w:t xml:space="preserve"> 30</w:t>
      </w:r>
      <w:r w:rsidR="00CD251C">
        <w:t> </w:t>
      </w:r>
      <w:r>
        <w:t>June 2025 are disclosed in Note 7.5.1.</w:t>
      </w:r>
    </w:p>
    <w:p w14:paraId="76BFBA84" w14:textId="77777777" w:rsidR="00265792" w:rsidRDefault="00265792" w:rsidP="00504A0A">
      <w:pPr>
        <w:pStyle w:val="ARfinbody"/>
      </w:pPr>
      <w:r>
        <w:t>Grants to non-government agencies and individuals include payments related to:</w:t>
      </w:r>
    </w:p>
    <w:p w14:paraId="34635FB3" w14:textId="0C23D000" w:rsidR="00265792" w:rsidRDefault="00CD251C" w:rsidP="007E5841">
      <w:pPr>
        <w:pStyle w:val="ARfinbullet1"/>
      </w:pPr>
      <w:r>
        <w:t>i</w:t>
      </w:r>
      <w:r w:rsidR="00265792">
        <w:t>nitiatives to increase social and affordable housing stock as part of the Big Housing Build as well as the Building Works Package to fund the maintenance and upgrade of social housing. Committed grants under the Big Housing Build and Building Works Package initiatives are disclosed in Note 7.5.1</w:t>
      </w:r>
    </w:p>
    <w:p w14:paraId="635B38B5" w14:textId="37DA245C" w:rsidR="00265792" w:rsidRDefault="00CD251C" w:rsidP="007E5841">
      <w:pPr>
        <w:pStyle w:val="ARfinbullet1"/>
      </w:pPr>
      <w:r>
        <w:t>c</w:t>
      </w:r>
      <w:r w:rsidR="00265792">
        <w:t xml:space="preserve">oncessions to </w:t>
      </w:r>
      <w:r>
        <w:t xml:space="preserve">pensioners </w:t>
      </w:r>
      <w:r w:rsidR="00265792">
        <w:t xml:space="preserve">and </w:t>
      </w:r>
      <w:r>
        <w:t xml:space="preserve">beneficiaries </w:t>
      </w:r>
      <w:r w:rsidR="00265792">
        <w:t>that include the development and coordination of the delivery of concessions and relief grants to eligible consumers and concession card holders</w:t>
      </w:r>
    </w:p>
    <w:p w14:paraId="3D9B5A0F" w14:textId="2A53B7DB" w:rsidR="00265792" w:rsidRPr="007530A7" w:rsidRDefault="00CD251C" w:rsidP="007E5841">
      <w:pPr>
        <w:pStyle w:val="ARfinbullet1"/>
      </w:pPr>
      <w:r>
        <w:t>s</w:t>
      </w:r>
      <w:r w:rsidR="00265792">
        <w:t xml:space="preserve">ervices provided by </w:t>
      </w:r>
      <w:r>
        <w:t>non</w:t>
      </w:r>
      <w:r w:rsidR="00265792">
        <w:t>-</w:t>
      </w:r>
      <w:r>
        <w:t xml:space="preserve">government organisations </w:t>
      </w:r>
      <w:r w:rsidR="00265792">
        <w:t xml:space="preserve">to support Victorians, including support family, child protection, early parenting, family violence victims and reform, sexual assault victims, placement care and specialist support. Refer to Note 4.1.2 Departmental outputs – </w:t>
      </w:r>
      <w:r>
        <w:t>c</w:t>
      </w:r>
      <w:r w:rsidR="00265792">
        <w:t>ontrolled income and expenses for further details.</w:t>
      </w:r>
      <w:r w:rsidR="00265792" w:rsidRPr="007530A7">
        <w:br w:type="page"/>
      </w:r>
    </w:p>
    <w:p w14:paraId="0BDAD748" w14:textId="77777777" w:rsidR="00265792" w:rsidRPr="007E7921" w:rsidRDefault="00265792" w:rsidP="00207901">
      <w:pPr>
        <w:pStyle w:val="Heading5"/>
      </w:pPr>
      <w:r w:rsidRPr="007E7921">
        <w:lastRenderedPageBreak/>
        <w:t>3.1.3 Other operating expenses</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1BC71B56" w14:textId="77777777" w:rsidTr="00FD01E1">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658192DC" w14:textId="77777777" w:rsidR="00265792" w:rsidRPr="00BA7805" w:rsidRDefault="00265792">
            <w:pPr>
              <w:pStyle w:val="ARfintablecolhead"/>
              <w:rPr>
                <w:highlight w:val="green"/>
              </w:rPr>
            </w:pPr>
          </w:p>
        </w:tc>
        <w:tc>
          <w:tcPr>
            <w:tcW w:w="1361" w:type="dxa"/>
            <w:shd w:val="clear" w:color="auto" w:fill="EEEEEF" w:themeFill="accent4"/>
            <w:hideMark/>
          </w:tcPr>
          <w:p w14:paraId="36EBFA7B" w14:textId="77777777" w:rsidR="00265792" w:rsidRPr="007E7921" w:rsidRDefault="00265792">
            <w:pPr>
              <w:pStyle w:val="ARfintablecolheadright"/>
            </w:pPr>
            <w:r w:rsidRPr="007E7921">
              <w:t>202</w:t>
            </w:r>
            <w:r>
              <w:t>5</w:t>
            </w:r>
          </w:p>
          <w:p w14:paraId="15F5247E" w14:textId="77777777" w:rsidR="00265792" w:rsidRPr="007E7921" w:rsidRDefault="00265792">
            <w:pPr>
              <w:pStyle w:val="ARfintablecolheadright"/>
            </w:pPr>
            <w:r w:rsidRPr="007E7921">
              <w:t>$M</w:t>
            </w:r>
          </w:p>
        </w:tc>
        <w:tc>
          <w:tcPr>
            <w:tcW w:w="1361" w:type="dxa"/>
            <w:hideMark/>
          </w:tcPr>
          <w:p w14:paraId="7885A726" w14:textId="77777777" w:rsidR="00265792" w:rsidRPr="007E7921" w:rsidRDefault="00265792">
            <w:pPr>
              <w:pStyle w:val="ARfintablecolheadright"/>
            </w:pPr>
            <w:r w:rsidRPr="007E7921">
              <w:t>202</w:t>
            </w:r>
            <w:r>
              <w:t>4</w:t>
            </w:r>
          </w:p>
          <w:p w14:paraId="3A6A518B" w14:textId="77777777" w:rsidR="00265792" w:rsidRPr="007E7921" w:rsidRDefault="00265792">
            <w:pPr>
              <w:pStyle w:val="ARfintablecolheadright"/>
            </w:pPr>
            <w:r w:rsidRPr="007E7921">
              <w:t>$M</w:t>
            </w:r>
          </w:p>
        </w:tc>
      </w:tr>
      <w:tr w:rsidR="00265792" w:rsidRPr="00BA7805" w14:paraId="0FA139E9" w14:textId="77777777" w:rsidTr="00FD01E1">
        <w:tc>
          <w:tcPr>
            <w:tcW w:w="6915" w:type="dxa"/>
          </w:tcPr>
          <w:p w14:paraId="407083EA" w14:textId="77777777" w:rsidR="00265792" w:rsidRPr="003A63A6" w:rsidRDefault="00265792" w:rsidP="00FD01E1">
            <w:pPr>
              <w:pStyle w:val="ARfintablebodybold"/>
            </w:pPr>
            <w:r w:rsidRPr="00A9089D">
              <w:t>Interest expenses</w:t>
            </w:r>
          </w:p>
        </w:tc>
        <w:tc>
          <w:tcPr>
            <w:tcW w:w="1361" w:type="dxa"/>
            <w:shd w:val="clear" w:color="auto" w:fill="EEEEEF" w:themeFill="accent4"/>
            <w:noWrap/>
          </w:tcPr>
          <w:p w14:paraId="37818166" w14:textId="77777777" w:rsidR="00265792" w:rsidRPr="00FD01E1" w:rsidRDefault="00265792" w:rsidP="00FD01E1">
            <w:pPr>
              <w:pStyle w:val="ARfintablebodyrightbold"/>
              <w:rPr>
                <w:highlight w:val="green"/>
              </w:rPr>
            </w:pPr>
            <w:r w:rsidRPr="00FD01E1">
              <w:t>36.9</w:t>
            </w:r>
          </w:p>
        </w:tc>
        <w:tc>
          <w:tcPr>
            <w:tcW w:w="1361" w:type="dxa"/>
            <w:noWrap/>
          </w:tcPr>
          <w:p w14:paraId="7E4DF447" w14:textId="77777777" w:rsidR="00265792" w:rsidRPr="00FD01E1" w:rsidRDefault="00265792" w:rsidP="00FD01E1">
            <w:pPr>
              <w:pStyle w:val="ARfintablebodyrightbold"/>
              <w:rPr>
                <w:highlight w:val="green"/>
              </w:rPr>
            </w:pPr>
            <w:r w:rsidRPr="00FD01E1">
              <w:t>21.3</w:t>
            </w:r>
          </w:p>
        </w:tc>
      </w:tr>
      <w:tr w:rsidR="00265792" w:rsidRPr="00BA7805" w14:paraId="5385D5B6" w14:textId="77777777" w:rsidTr="00FD01E1">
        <w:tc>
          <w:tcPr>
            <w:tcW w:w="6915" w:type="dxa"/>
          </w:tcPr>
          <w:p w14:paraId="37376BB3" w14:textId="77777777" w:rsidR="00265792" w:rsidRPr="00BA7805" w:rsidRDefault="00265792" w:rsidP="00FD01E1">
            <w:pPr>
              <w:pStyle w:val="ARfintablebodybold"/>
              <w:rPr>
                <w:highlight w:val="green"/>
              </w:rPr>
            </w:pPr>
            <w:r w:rsidRPr="00A9089D">
              <w:t>Supplies and services</w:t>
            </w:r>
          </w:p>
        </w:tc>
        <w:tc>
          <w:tcPr>
            <w:tcW w:w="1361" w:type="dxa"/>
            <w:noWrap/>
          </w:tcPr>
          <w:p w14:paraId="642B7383" w14:textId="77777777" w:rsidR="00265792" w:rsidRPr="00BA7805" w:rsidRDefault="00265792" w:rsidP="00CD0C76">
            <w:pPr>
              <w:pStyle w:val="ARfintablebodyright"/>
              <w:rPr>
                <w:highlight w:val="green"/>
              </w:rPr>
            </w:pPr>
          </w:p>
        </w:tc>
        <w:tc>
          <w:tcPr>
            <w:tcW w:w="1361" w:type="dxa"/>
            <w:noWrap/>
          </w:tcPr>
          <w:p w14:paraId="71FB5F59" w14:textId="77777777" w:rsidR="00265792" w:rsidRPr="00BA7805" w:rsidRDefault="00265792" w:rsidP="00CD0C76">
            <w:pPr>
              <w:pStyle w:val="ARfintablebodyright"/>
              <w:rPr>
                <w:highlight w:val="green"/>
              </w:rPr>
            </w:pPr>
          </w:p>
        </w:tc>
      </w:tr>
      <w:tr w:rsidR="00265792" w:rsidRPr="00BA7805" w14:paraId="26B61EBB" w14:textId="77777777" w:rsidTr="00FD01E1">
        <w:tc>
          <w:tcPr>
            <w:tcW w:w="6915" w:type="dxa"/>
          </w:tcPr>
          <w:p w14:paraId="50649509" w14:textId="77777777" w:rsidR="00265792" w:rsidRPr="00BA7805" w:rsidRDefault="00265792" w:rsidP="00CD0C76">
            <w:pPr>
              <w:pStyle w:val="ARfintablebody"/>
              <w:rPr>
                <w:highlight w:val="green"/>
              </w:rPr>
            </w:pPr>
            <w:r w:rsidRPr="00A9089D">
              <w:t>Lease expenses</w:t>
            </w:r>
          </w:p>
        </w:tc>
        <w:tc>
          <w:tcPr>
            <w:tcW w:w="1361" w:type="dxa"/>
            <w:shd w:val="clear" w:color="auto" w:fill="EEEEEF" w:themeFill="accent4"/>
            <w:noWrap/>
          </w:tcPr>
          <w:p w14:paraId="3DB66604" w14:textId="77777777" w:rsidR="00265792" w:rsidRPr="00BA7805" w:rsidRDefault="00265792" w:rsidP="00CD0C76">
            <w:pPr>
              <w:pStyle w:val="ARfintablebodyright"/>
              <w:rPr>
                <w:highlight w:val="green"/>
              </w:rPr>
            </w:pPr>
            <w:r w:rsidRPr="008E0B2A">
              <w:t>1.0</w:t>
            </w:r>
          </w:p>
        </w:tc>
        <w:tc>
          <w:tcPr>
            <w:tcW w:w="1361" w:type="dxa"/>
            <w:noWrap/>
          </w:tcPr>
          <w:p w14:paraId="197488F0" w14:textId="77777777" w:rsidR="00265792" w:rsidRPr="00BA7805" w:rsidRDefault="00265792" w:rsidP="00CD0C76">
            <w:pPr>
              <w:pStyle w:val="ARfintablebodyright"/>
              <w:rPr>
                <w:highlight w:val="green"/>
              </w:rPr>
            </w:pPr>
            <w:r w:rsidRPr="008E0B2A">
              <w:t>1.1</w:t>
            </w:r>
          </w:p>
        </w:tc>
      </w:tr>
      <w:tr w:rsidR="00265792" w:rsidRPr="00BA7805" w14:paraId="41E363E5" w14:textId="77777777" w:rsidTr="00FD01E1">
        <w:tc>
          <w:tcPr>
            <w:tcW w:w="6915" w:type="dxa"/>
          </w:tcPr>
          <w:p w14:paraId="33C5A09C" w14:textId="77777777" w:rsidR="00265792" w:rsidRPr="00BA7805" w:rsidRDefault="00265792" w:rsidP="00CD0C76">
            <w:pPr>
              <w:pStyle w:val="ARfintablebody"/>
              <w:rPr>
                <w:highlight w:val="green"/>
              </w:rPr>
            </w:pPr>
            <w:r w:rsidRPr="00A9089D">
              <w:t>Office accommodation and property services</w:t>
            </w:r>
          </w:p>
        </w:tc>
        <w:tc>
          <w:tcPr>
            <w:tcW w:w="1361" w:type="dxa"/>
            <w:shd w:val="clear" w:color="auto" w:fill="EEEEEF" w:themeFill="accent4"/>
            <w:noWrap/>
          </w:tcPr>
          <w:p w14:paraId="3FAF4EBF" w14:textId="77777777" w:rsidR="00265792" w:rsidRPr="00BA7805" w:rsidRDefault="00265792" w:rsidP="00CD0C76">
            <w:pPr>
              <w:pStyle w:val="ARfintablebodyright"/>
              <w:rPr>
                <w:highlight w:val="green"/>
              </w:rPr>
            </w:pPr>
            <w:r w:rsidRPr="008E0B2A">
              <w:t>90.8</w:t>
            </w:r>
          </w:p>
        </w:tc>
        <w:tc>
          <w:tcPr>
            <w:tcW w:w="1361" w:type="dxa"/>
            <w:noWrap/>
          </w:tcPr>
          <w:p w14:paraId="436CD991" w14:textId="77777777" w:rsidR="00265792" w:rsidRPr="00BA7805" w:rsidRDefault="00265792" w:rsidP="00CD0C76">
            <w:pPr>
              <w:pStyle w:val="ARfintablebodyright"/>
              <w:rPr>
                <w:highlight w:val="green"/>
              </w:rPr>
            </w:pPr>
            <w:r w:rsidRPr="008E0B2A">
              <w:t>84.3</w:t>
            </w:r>
          </w:p>
        </w:tc>
      </w:tr>
      <w:tr w:rsidR="00265792" w:rsidRPr="00BA7805" w14:paraId="4BD276DD" w14:textId="77777777" w:rsidTr="00FD01E1">
        <w:tc>
          <w:tcPr>
            <w:tcW w:w="6915" w:type="dxa"/>
          </w:tcPr>
          <w:p w14:paraId="4B7C2853" w14:textId="77777777" w:rsidR="00265792" w:rsidRPr="00BA7805" w:rsidRDefault="00265792" w:rsidP="00CD0C76">
            <w:pPr>
              <w:pStyle w:val="ARfintablebody"/>
              <w:rPr>
                <w:highlight w:val="green"/>
              </w:rPr>
            </w:pPr>
            <w:r w:rsidRPr="00A9089D">
              <w:t xml:space="preserve">Administrative costs </w:t>
            </w:r>
            <w:r w:rsidRPr="00FD01E1">
              <w:rPr>
                <w:vertAlign w:val="superscript"/>
              </w:rPr>
              <w:t>(</w:t>
            </w:r>
            <w:proofErr w:type="spellStart"/>
            <w:r w:rsidRPr="00FD01E1">
              <w:rPr>
                <w:vertAlign w:val="superscript"/>
              </w:rPr>
              <w:t>i</w:t>
            </w:r>
            <w:proofErr w:type="spellEnd"/>
            <w:r w:rsidRPr="00FD01E1">
              <w:rPr>
                <w:vertAlign w:val="superscript"/>
              </w:rPr>
              <w:t>)</w:t>
            </w:r>
          </w:p>
        </w:tc>
        <w:tc>
          <w:tcPr>
            <w:tcW w:w="1361" w:type="dxa"/>
            <w:shd w:val="clear" w:color="auto" w:fill="EEEEEF" w:themeFill="accent4"/>
            <w:noWrap/>
          </w:tcPr>
          <w:p w14:paraId="7523D3B6" w14:textId="77777777" w:rsidR="00265792" w:rsidRPr="00BA7805" w:rsidRDefault="00265792" w:rsidP="00CD0C76">
            <w:pPr>
              <w:pStyle w:val="ARfintablebodyright"/>
              <w:rPr>
                <w:highlight w:val="green"/>
              </w:rPr>
            </w:pPr>
            <w:r w:rsidRPr="008E0B2A">
              <w:t>434.2</w:t>
            </w:r>
          </w:p>
        </w:tc>
        <w:tc>
          <w:tcPr>
            <w:tcW w:w="1361" w:type="dxa"/>
            <w:noWrap/>
          </w:tcPr>
          <w:p w14:paraId="7A7DEBF8" w14:textId="77777777" w:rsidR="00265792" w:rsidRPr="00BA7805" w:rsidRDefault="00265792" w:rsidP="00CD0C76">
            <w:pPr>
              <w:pStyle w:val="ARfintablebodyright"/>
              <w:rPr>
                <w:highlight w:val="green"/>
              </w:rPr>
            </w:pPr>
            <w:r w:rsidRPr="008E0B2A">
              <w:t>393.7</w:t>
            </w:r>
          </w:p>
        </w:tc>
      </w:tr>
      <w:tr w:rsidR="00265792" w:rsidRPr="00BA7805" w14:paraId="50B1552D" w14:textId="77777777" w:rsidTr="00FD01E1">
        <w:tc>
          <w:tcPr>
            <w:tcW w:w="6915" w:type="dxa"/>
          </w:tcPr>
          <w:p w14:paraId="6426DA2B" w14:textId="77777777" w:rsidR="00265792" w:rsidRPr="00BA7805" w:rsidRDefault="00265792" w:rsidP="00CD0C76">
            <w:pPr>
              <w:pStyle w:val="ARfintablebody"/>
              <w:rPr>
                <w:highlight w:val="green"/>
              </w:rPr>
            </w:pPr>
            <w:r w:rsidRPr="00A9089D">
              <w:t>Information, communications and technology costs</w:t>
            </w:r>
          </w:p>
        </w:tc>
        <w:tc>
          <w:tcPr>
            <w:tcW w:w="1361" w:type="dxa"/>
            <w:shd w:val="clear" w:color="auto" w:fill="EEEEEF" w:themeFill="accent4"/>
            <w:noWrap/>
          </w:tcPr>
          <w:p w14:paraId="418C9450" w14:textId="77777777" w:rsidR="00265792" w:rsidRPr="00BA7805" w:rsidRDefault="00265792" w:rsidP="00CD0C76">
            <w:pPr>
              <w:pStyle w:val="ARfintablebodyright"/>
              <w:rPr>
                <w:highlight w:val="green"/>
              </w:rPr>
            </w:pPr>
            <w:r w:rsidRPr="008E0B2A">
              <w:t>83.4</w:t>
            </w:r>
          </w:p>
        </w:tc>
        <w:tc>
          <w:tcPr>
            <w:tcW w:w="1361" w:type="dxa"/>
            <w:noWrap/>
          </w:tcPr>
          <w:p w14:paraId="4922A218" w14:textId="77777777" w:rsidR="00265792" w:rsidRPr="00BA7805" w:rsidRDefault="00265792" w:rsidP="00CD0C76">
            <w:pPr>
              <w:pStyle w:val="ARfintablebodyright"/>
              <w:rPr>
                <w:highlight w:val="green"/>
              </w:rPr>
            </w:pPr>
            <w:r w:rsidRPr="008E0B2A">
              <w:t>69.9</w:t>
            </w:r>
          </w:p>
        </w:tc>
      </w:tr>
      <w:tr w:rsidR="00265792" w:rsidRPr="00BA7805" w14:paraId="128217E2" w14:textId="77777777" w:rsidTr="00FD01E1">
        <w:tc>
          <w:tcPr>
            <w:tcW w:w="6915" w:type="dxa"/>
          </w:tcPr>
          <w:p w14:paraId="3E1D6CC0" w14:textId="77777777" w:rsidR="00265792" w:rsidRPr="00BA7805" w:rsidRDefault="00265792" w:rsidP="00CD0C76">
            <w:pPr>
              <w:pStyle w:val="ARfintablebody"/>
              <w:rPr>
                <w:highlight w:val="green"/>
              </w:rPr>
            </w:pPr>
            <w:r w:rsidRPr="00A9089D">
              <w:t xml:space="preserve">Direct care operating costs </w:t>
            </w:r>
          </w:p>
        </w:tc>
        <w:tc>
          <w:tcPr>
            <w:tcW w:w="1361" w:type="dxa"/>
            <w:shd w:val="clear" w:color="auto" w:fill="EEEEEF" w:themeFill="accent4"/>
            <w:noWrap/>
          </w:tcPr>
          <w:p w14:paraId="09E1CD95" w14:textId="77777777" w:rsidR="00265792" w:rsidRPr="00BA7805" w:rsidRDefault="00265792" w:rsidP="00CD0C76">
            <w:pPr>
              <w:pStyle w:val="ARfintablebodyright"/>
              <w:rPr>
                <w:highlight w:val="green"/>
              </w:rPr>
            </w:pPr>
            <w:r w:rsidRPr="008E0B2A">
              <w:t>24.1</w:t>
            </w:r>
          </w:p>
        </w:tc>
        <w:tc>
          <w:tcPr>
            <w:tcW w:w="1361" w:type="dxa"/>
            <w:noWrap/>
          </w:tcPr>
          <w:p w14:paraId="369879B6" w14:textId="77777777" w:rsidR="00265792" w:rsidRPr="00BA7805" w:rsidRDefault="00265792" w:rsidP="00CD0C76">
            <w:pPr>
              <w:pStyle w:val="ARfintablebodyright"/>
              <w:rPr>
                <w:highlight w:val="green"/>
              </w:rPr>
            </w:pPr>
            <w:r w:rsidRPr="008E0B2A">
              <w:t>31.4</w:t>
            </w:r>
          </w:p>
        </w:tc>
      </w:tr>
      <w:tr w:rsidR="00265792" w:rsidRPr="00BA7805" w14:paraId="2696CD1C" w14:textId="77777777" w:rsidTr="00FD01E1">
        <w:tc>
          <w:tcPr>
            <w:tcW w:w="6915" w:type="dxa"/>
          </w:tcPr>
          <w:p w14:paraId="23DAE7A2" w14:textId="77777777" w:rsidR="00265792" w:rsidRPr="00BA7805" w:rsidRDefault="00265792" w:rsidP="00CD0C76">
            <w:pPr>
              <w:pStyle w:val="ARfintablebody"/>
              <w:rPr>
                <w:highlight w:val="green"/>
              </w:rPr>
            </w:pPr>
            <w:r w:rsidRPr="00A9089D">
              <w:t xml:space="preserve">Financial redress payments </w:t>
            </w:r>
            <w:r w:rsidRPr="00FD01E1">
              <w:rPr>
                <w:vertAlign w:val="superscript"/>
              </w:rPr>
              <w:t>(ii)</w:t>
            </w:r>
          </w:p>
        </w:tc>
        <w:tc>
          <w:tcPr>
            <w:tcW w:w="1361" w:type="dxa"/>
            <w:shd w:val="clear" w:color="auto" w:fill="EEEEEF" w:themeFill="accent4"/>
            <w:noWrap/>
          </w:tcPr>
          <w:p w14:paraId="1FF503FA" w14:textId="77777777" w:rsidR="00265792" w:rsidRPr="00BA7805" w:rsidRDefault="00265792" w:rsidP="00CD0C76">
            <w:pPr>
              <w:pStyle w:val="ARfintablebodyright"/>
              <w:rPr>
                <w:highlight w:val="green"/>
              </w:rPr>
            </w:pPr>
            <w:r w:rsidRPr="008E0B2A">
              <w:t>13.5</w:t>
            </w:r>
          </w:p>
        </w:tc>
        <w:tc>
          <w:tcPr>
            <w:tcW w:w="1361" w:type="dxa"/>
            <w:noWrap/>
          </w:tcPr>
          <w:p w14:paraId="15A6444C" w14:textId="77777777" w:rsidR="00265792" w:rsidRPr="00BA7805" w:rsidRDefault="00265792" w:rsidP="00CD0C76">
            <w:pPr>
              <w:pStyle w:val="ARfintablebodyright"/>
              <w:rPr>
                <w:highlight w:val="green"/>
              </w:rPr>
            </w:pPr>
            <w:r w:rsidRPr="008E0B2A">
              <w:t>165.0</w:t>
            </w:r>
          </w:p>
        </w:tc>
      </w:tr>
      <w:tr w:rsidR="00265792" w:rsidRPr="00BA7805" w14:paraId="7DDCC39D" w14:textId="77777777" w:rsidTr="00FD01E1">
        <w:tc>
          <w:tcPr>
            <w:tcW w:w="6915" w:type="dxa"/>
          </w:tcPr>
          <w:p w14:paraId="0247792D" w14:textId="77777777" w:rsidR="00265792" w:rsidRPr="00BA7805" w:rsidRDefault="00265792" w:rsidP="00FD01E1">
            <w:pPr>
              <w:pStyle w:val="ARfintablebodybold"/>
              <w:rPr>
                <w:highlight w:val="green"/>
              </w:rPr>
            </w:pPr>
            <w:r w:rsidRPr="00A9089D">
              <w:t>Fair value of assets and services provided free of charge or for nominal</w:t>
            </w:r>
            <w:r>
              <w:t> </w:t>
            </w:r>
            <w:r w:rsidRPr="00A9089D">
              <w:t>consideration</w:t>
            </w:r>
          </w:p>
        </w:tc>
        <w:tc>
          <w:tcPr>
            <w:tcW w:w="1361" w:type="dxa"/>
            <w:noWrap/>
          </w:tcPr>
          <w:p w14:paraId="0B006A33" w14:textId="77777777" w:rsidR="00265792" w:rsidRPr="00BA7805" w:rsidRDefault="00265792" w:rsidP="00CD0C76">
            <w:pPr>
              <w:pStyle w:val="ARfintablebodyright"/>
              <w:rPr>
                <w:highlight w:val="green"/>
              </w:rPr>
            </w:pPr>
          </w:p>
        </w:tc>
        <w:tc>
          <w:tcPr>
            <w:tcW w:w="1361" w:type="dxa"/>
            <w:noWrap/>
          </w:tcPr>
          <w:p w14:paraId="29F6D882" w14:textId="77777777" w:rsidR="00265792" w:rsidRPr="00BA7805" w:rsidRDefault="00265792" w:rsidP="00CD0C76">
            <w:pPr>
              <w:pStyle w:val="ARfintablebodyright"/>
              <w:rPr>
                <w:highlight w:val="green"/>
              </w:rPr>
            </w:pPr>
          </w:p>
        </w:tc>
      </w:tr>
      <w:tr w:rsidR="00265792" w:rsidRPr="00BA7805" w14:paraId="4C8E9E06" w14:textId="77777777" w:rsidTr="00FD01E1">
        <w:tc>
          <w:tcPr>
            <w:tcW w:w="6915" w:type="dxa"/>
          </w:tcPr>
          <w:p w14:paraId="19494B2C" w14:textId="77777777" w:rsidR="00265792" w:rsidRPr="00BA7805" w:rsidRDefault="00265792" w:rsidP="00CD0C76">
            <w:pPr>
              <w:pStyle w:val="ARfintablebody"/>
              <w:rPr>
                <w:highlight w:val="green"/>
              </w:rPr>
            </w:pPr>
            <w:r w:rsidRPr="00A9089D">
              <w:t>Assets provided free of charge</w:t>
            </w:r>
          </w:p>
        </w:tc>
        <w:tc>
          <w:tcPr>
            <w:tcW w:w="1361" w:type="dxa"/>
            <w:shd w:val="clear" w:color="auto" w:fill="EEEEEF" w:themeFill="accent4"/>
            <w:noWrap/>
          </w:tcPr>
          <w:p w14:paraId="2BD58CDC" w14:textId="77777777" w:rsidR="00265792" w:rsidRPr="00BA7805" w:rsidRDefault="00265792" w:rsidP="00CD0C76">
            <w:pPr>
              <w:pStyle w:val="ARfintablebodyright"/>
              <w:rPr>
                <w:highlight w:val="green"/>
              </w:rPr>
            </w:pPr>
            <w:r w:rsidRPr="008E0B2A">
              <w:t>9.5</w:t>
            </w:r>
          </w:p>
        </w:tc>
        <w:tc>
          <w:tcPr>
            <w:tcW w:w="1361" w:type="dxa"/>
            <w:noWrap/>
          </w:tcPr>
          <w:p w14:paraId="3A899E67" w14:textId="77777777" w:rsidR="00265792" w:rsidRPr="00BA7805" w:rsidRDefault="00265792" w:rsidP="00CD0C76">
            <w:pPr>
              <w:pStyle w:val="ARfintablebodyright"/>
              <w:rPr>
                <w:highlight w:val="green"/>
              </w:rPr>
            </w:pPr>
            <w:r w:rsidRPr="008E0B2A">
              <w:t>3.7</w:t>
            </w:r>
          </w:p>
        </w:tc>
      </w:tr>
      <w:tr w:rsidR="00265792" w:rsidRPr="00BA7805" w14:paraId="4E1372B6" w14:textId="77777777" w:rsidTr="00FD01E1">
        <w:trPr>
          <w:cnfStyle w:val="010000000000" w:firstRow="0" w:lastRow="1" w:firstColumn="0" w:lastColumn="0" w:oddVBand="0" w:evenVBand="0" w:oddHBand="0" w:evenHBand="0" w:firstRowFirstColumn="0" w:firstRowLastColumn="0" w:lastRowFirstColumn="0" w:lastRowLastColumn="0"/>
        </w:trPr>
        <w:tc>
          <w:tcPr>
            <w:tcW w:w="6915" w:type="dxa"/>
          </w:tcPr>
          <w:p w14:paraId="16512665" w14:textId="77777777" w:rsidR="00265792" w:rsidRPr="00BA7805" w:rsidRDefault="00265792" w:rsidP="00CD0C76">
            <w:pPr>
              <w:pStyle w:val="ARfintablebodybold"/>
              <w:rPr>
                <w:highlight w:val="green"/>
              </w:rPr>
            </w:pPr>
            <w:r w:rsidRPr="00A9089D">
              <w:t>Total other operating expenses</w:t>
            </w:r>
          </w:p>
        </w:tc>
        <w:tc>
          <w:tcPr>
            <w:tcW w:w="1361" w:type="dxa"/>
            <w:shd w:val="clear" w:color="auto" w:fill="EEEEEF" w:themeFill="accent4"/>
            <w:noWrap/>
          </w:tcPr>
          <w:p w14:paraId="423ABED8" w14:textId="77777777" w:rsidR="00265792" w:rsidRPr="00BA7805" w:rsidRDefault="00265792" w:rsidP="00FD01E1">
            <w:pPr>
              <w:pStyle w:val="ARfintablebodyrightbold"/>
              <w:rPr>
                <w:highlight w:val="green"/>
              </w:rPr>
            </w:pPr>
            <w:r w:rsidRPr="008E0B2A">
              <w:t>693.4</w:t>
            </w:r>
          </w:p>
        </w:tc>
        <w:tc>
          <w:tcPr>
            <w:tcW w:w="1361" w:type="dxa"/>
            <w:noWrap/>
          </w:tcPr>
          <w:p w14:paraId="62B82940" w14:textId="77777777" w:rsidR="00265792" w:rsidRPr="00BA7805" w:rsidRDefault="00265792" w:rsidP="00FD01E1">
            <w:pPr>
              <w:pStyle w:val="ARfintablebodyrightbold"/>
              <w:rPr>
                <w:highlight w:val="green"/>
              </w:rPr>
            </w:pPr>
            <w:r w:rsidRPr="008E0B2A">
              <w:t>770.4</w:t>
            </w:r>
          </w:p>
        </w:tc>
      </w:tr>
    </w:tbl>
    <w:p w14:paraId="5B2490A0" w14:textId="77777777" w:rsidR="00265792" w:rsidRDefault="00265792" w:rsidP="00CD0C76">
      <w:pPr>
        <w:pStyle w:val="ARfintablefootnote"/>
      </w:pPr>
      <w:r>
        <w:t>Note:</w:t>
      </w:r>
    </w:p>
    <w:p w14:paraId="24CD222B" w14:textId="093E8E39" w:rsidR="00265792" w:rsidRDefault="00265792" w:rsidP="00CD0C76">
      <w:pPr>
        <w:pStyle w:val="ARfintablefootnotetabindent"/>
      </w:pPr>
      <w:r>
        <w:t>(</w:t>
      </w:r>
      <w:proofErr w:type="spellStart"/>
      <w:r>
        <w:t>i</w:t>
      </w:r>
      <w:proofErr w:type="spellEnd"/>
      <w:r>
        <w:t xml:space="preserve">) </w:t>
      </w:r>
      <w:r>
        <w:tab/>
        <w:t xml:space="preserve">Administrative costs mainly include the </w:t>
      </w:r>
      <w:r w:rsidR="00CD251C">
        <w:t>c</w:t>
      </w:r>
      <w:r>
        <w:t xml:space="preserve">ommunity </w:t>
      </w:r>
      <w:r w:rsidR="00CD251C">
        <w:t>s</w:t>
      </w:r>
      <w:r>
        <w:t xml:space="preserve">ervice </w:t>
      </w:r>
      <w:r w:rsidR="00CD251C">
        <w:t>o</w:t>
      </w:r>
      <w:r>
        <w:t xml:space="preserve">rganisation, </w:t>
      </w:r>
      <w:r w:rsidR="00CD251C">
        <w:t>c</w:t>
      </w:r>
      <w:r>
        <w:t xml:space="preserve">orporate and </w:t>
      </w:r>
      <w:r w:rsidR="00CD251C">
        <w:t>c</w:t>
      </w:r>
      <w:r>
        <w:t>ivil insurance claims settlement payments managed by Victorian Managed Insurance Authority (VMIA) on behalf of the department, purchase of intergovernmental services and professional services, as well as the unused trust fund returning to the consolidated fund.</w:t>
      </w:r>
    </w:p>
    <w:p w14:paraId="6CA48F81" w14:textId="3FF30E7A" w:rsidR="00265792" w:rsidRPr="00BA7805" w:rsidRDefault="00265792" w:rsidP="00CD0C76">
      <w:pPr>
        <w:pStyle w:val="ARfintablefootnotetabindent"/>
        <w:rPr>
          <w:highlight w:val="green"/>
        </w:rPr>
      </w:pPr>
      <w:r>
        <w:t xml:space="preserve">(ii) </w:t>
      </w:r>
      <w:r>
        <w:tab/>
      </w:r>
      <w:r w:rsidR="00417C31" w:rsidRPr="00417C31">
        <w:t>Financial redress payments of $165 million recognised in 2023–24 provide compensation of Redress for Victorians who were placed in institutional care prior to 1990 (</w:t>
      </w:r>
      <w:r w:rsidR="00CD251C">
        <w:t>‘p</w:t>
      </w:r>
      <w:r w:rsidR="00417C31" w:rsidRPr="00417C31">
        <w:t xml:space="preserve">re-1990 </w:t>
      </w:r>
      <w:proofErr w:type="spellStart"/>
      <w:r w:rsidR="00CD251C">
        <w:t>c</w:t>
      </w:r>
      <w:r w:rsidR="00417C31" w:rsidRPr="00417C31">
        <w:t>are</w:t>
      </w:r>
      <w:proofErr w:type="spellEnd"/>
      <w:r w:rsidR="00417C31" w:rsidRPr="00417C31">
        <w:t xml:space="preserve"> </w:t>
      </w:r>
      <w:r w:rsidR="00CD251C">
        <w:t>l</w:t>
      </w:r>
      <w:r w:rsidR="00417C31" w:rsidRPr="00417C31">
        <w:t>eavers</w:t>
      </w:r>
      <w:r w:rsidR="00CD251C">
        <w:t>’</w:t>
      </w:r>
      <w:r w:rsidR="00CD251C" w:rsidRPr="00417C31">
        <w:t xml:space="preserve">) </w:t>
      </w:r>
      <w:r w:rsidR="00417C31" w:rsidRPr="00417C31">
        <w:t>and experienced physical, psychological, and emotional abuse or neglect. Payments will be disbursed in subsequent years based on validated claims received. Refer to Note 6.4 Other provision for further details.</w:t>
      </w:r>
    </w:p>
    <w:p w14:paraId="00223770" w14:textId="77777777" w:rsidR="00265792" w:rsidRPr="001270D4" w:rsidRDefault="00265792" w:rsidP="002542E1">
      <w:pPr>
        <w:pStyle w:val="Heading5"/>
        <w:rPr>
          <w:highlight w:val="green"/>
        </w:rPr>
      </w:pPr>
      <w:r w:rsidRPr="001270D4">
        <w:t>3.1.4 Property management expenses</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0C32A988" w14:textId="77777777" w:rsidTr="00CB4C64">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3BB562A2" w14:textId="77777777" w:rsidR="00265792" w:rsidRPr="00BA7805" w:rsidRDefault="00265792">
            <w:pPr>
              <w:pStyle w:val="ARfintablecolhead"/>
              <w:rPr>
                <w:highlight w:val="green"/>
              </w:rPr>
            </w:pPr>
          </w:p>
        </w:tc>
        <w:tc>
          <w:tcPr>
            <w:tcW w:w="1361" w:type="dxa"/>
            <w:shd w:val="clear" w:color="auto" w:fill="EEEEEF" w:themeFill="accent4"/>
            <w:hideMark/>
          </w:tcPr>
          <w:p w14:paraId="3895BB5E" w14:textId="77777777" w:rsidR="00265792" w:rsidRPr="001270D4" w:rsidRDefault="00265792">
            <w:pPr>
              <w:pStyle w:val="ARfintablecolheadright"/>
            </w:pPr>
            <w:r w:rsidRPr="001270D4">
              <w:t>202</w:t>
            </w:r>
            <w:r>
              <w:t>5</w:t>
            </w:r>
          </w:p>
          <w:p w14:paraId="6341D731" w14:textId="77777777" w:rsidR="00265792" w:rsidRPr="001270D4" w:rsidRDefault="00265792">
            <w:pPr>
              <w:pStyle w:val="ARfintablecolheadright"/>
            </w:pPr>
            <w:r w:rsidRPr="001270D4">
              <w:t>$M</w:t>
            </w:r>
          </w:p>
        </w:tc>
        <w:tc>
          <w:tcPr>
            <w:tcW w:w="1361" w:type="dxa"/>
            <w:hideMark/>
          </w:tcPr>
          <w:p w14:paraId="6FE96F07" w14:textId="77777777" w:rsidR="00265792" w:rsidRPr="001270D4" w:rsidRDefault="00265792">
            <w:pPr>
              <w:pStyle w:val="ARfintablecolheadright"/>
            </w:pPr>
            <w:r w:rsidRPr="001270D4">
              <w:t>202</w:t>
            </w:r>
            <w:r>
              <w:t>4</w:t>
            </w:r>
          </w:p>
          <w:p w14:paraId="695565E3" w14:textId="77777777" w:rsidR="00265792" w:rsidRPr="001270D4" w:rsidRDefault="00265792">
            <w:pPr>
              <w:pStyle w:val="ARfintablecolheadright"/>
            </w:pPr>
            <w:r w:rsidRPr="001270D4">
              <w:t>$M</w:t>
            </w:r>
          </w:p>
        </w:tc>
      </w:tr>
      <w:tr w:rsidR="00265792" w:rsidRPr="00BA7805" w14:paraId="5DEA22AD" w14:textId="77777777" w:rsidTr="00FD01E1">
        <w:trPr>
          <w:trHeight w:val="255"/>
        </w:trPr>
        <w:tc>
          <w:tcPr>
            <w:tcW w:w="6915" w:type="dxa"/>
          </w:tcPr>
          <w:p w14:paraId="0E9E87BF" w14:textId="77777777" w:rsidR="00265792" w:rsidRPr="00BA7805" w:rsidRDefault="00265792" w:rsidP="00492F55">
            <w:pPr>
              <w:pStyle w:val="ARfintablebody"/>
              <w:rPr>
                <w:highlight w:val="green"/>
              </w:rPr>
            </w:pPr>
            <w:r w:rsidRPr="000414C7">
              <w:t>Maintenance</w:t>
            </w:r>
            <w:r>
              <w:t xml:space="preserve"> </w:t>
            </w:r>
            <w:r w:rsidRPr="00FD01E1">
              <w:rPr>
                <w:vertAlign w:val="superscript"/>
              </w:rPr>
              <w:t>(</w:t>
            </w:r>
            <w:proofErr w:type="spellStart"/>
            <w:r w:rsidRPr="00FD01E1">
              <w:rPr>
                <w:vertAlign w:val="superscript"/>
              </w:rPr>
              <w:t>i</w:t>
            </w:r>
            <w:proofErr w:type="spellEnd"/>
            <w:r w:rsidRPr="00FD01E1">
              <w:rPr>
                <w:vertAlign w:val="superscript"/>
              </w:rPr>
              <w:t>)</w:t>
            </w:r>
          </w:p>
        </w:tc>
        <w:tc>
          <w:tcPr>
            <w:tcW w:w="1361" w:type="dxa"/>
            <w:shd w:val="clear" w:color="auto" w:fill="EEEEEF" w:themeFill="accent4"/>
            <w:noWrap/>
          </w:tcPr>
          <w:p w14:paraId="72CA6CD8" w14:textId="77777777" w:rsidR="00265792" w:rsidRPr="00BA7805" w:rsidRDefault="00265792" w:rsidP="00492F55">
            <w:pPr>
              <w:pStyle w:val="ARfintablebodyright"/>
              <w:rPr>
                <w:highlight w:val="green"/>
              </w:rPr>
            </w:pPr>
            <w:r w:rsidRPr="00FA082C">
              <w:t>292.4</w:t>
            </w:r>
          </w:p>
        </w:tc>
        <w:tc>
          <w:tcPr>
            <w:tcW w:w="1361" w:type="dxa"/>
            <w:noWrap/>
          </w:tcPr>
          <w:p w14:paraId="5ABE9F17" w14:textId="77777777" w:rsidR="00265792" w:rsidRPr="00BA7805" w:rsidRDefault="00265792" w:rsidP="00492F55">
            <w:pPr>
              <w:pStyle w:val="ARfintablebodyright"/>
              <w:rPr>
                <w:highlight w:val="green"/>
              </w:rPr>
            </w:pPr>
            <w:r w:rsidRPr="00FA082C">
              <w:t>314.5</w:t>
            </w:r>
          </w:p>
        </w:tc>
      </w:tr>
      <w:tr w:rsidR="00265792" w:rsidRPr="00BA7805" w14:paraId="63257053" w14:textId="77777777" w:rsidTr="00FD01E1">
        <w:trPr>
          <w:trHeight w:val="255"/>
        </w:trPr>
        <w:tc>
          <w:tcPr>
            <w:tcW w:w="6915" w:type="dxa"/>
          </w:tcPr>
          <w:p w14:paraId="7A412135" w14:textId="77777777" w:rsidR="00265792" w:rsidRPr="00BA7805" w:rsidRDefault="00265792" w:rsidP="00492F55">
            <w:pPr>
              <w:pStyle w:val="ARfintablebody"/>
              <w:rPr>
                <w:highlight w:val="green"/>
              </w:rPr>
            </w:pPr>
            <w:r w:rsidRPr="000414C7">
              <w:t>Rates to local government</w:t>
            </w:r>
          </w:p>
        </w:tc>
        <w:tc>
          <w:tcPr>
            <w:tcW w:w="1361" w:type="dxa"/>
            <w:shd w:val="clear" w:color="auto" w:fill="EEEEEF" w:themeFill="accent4"/>
            <w:noWrap/>
          </w:tcPr>
          <w:p w14:paraId="2FA3F0B5" w14:textId="77777777" w:rsidR="00265792" w:rsidRPr="00BA7805" w:rsidRDefault="00265792" w:rsidP="00492F55">
            <w:pPr>
              <w:pStyle w:val="ARfintablebodyright"/>
              <w:rPr>
                <w:highlight w:val="green"/>
              </w:rPr>
            </w:pPr>
            <w:r w:rsidRPr="00FA082C">
              <w:t>137.5</w:t>
            </w:r>
          </w:p>
        </w:tc>
        <w:tc>
          <w:tcPr>
            <w:tcW w:w="1361" w:type="dxa"/>
            <w:noWrap/>
          </w:tcPr>
          <w:p w14:paraId="3F560C5F" w14:textId="77777777" w:rsidR="00265792" w:rsidRPr="00BA7805" w:rsidRDefault="00265792" w:rsidP="00492F55">
            <w:pPr>
              <w:pStyle w:val="ARfintablebodyright"/>
              <w:rPr>
                <w:highlight w:val="green"/>
              </w:rPr>
            </w:pPr>
            <w:r w:rsidRPr="00FA082C">
              <w:t>124.2</w:t>
            </w:r>
          </w:p>
        </w:tc>
      </w:tr>
      <w:tr w:rsidR="00265792" w:rsidRPr="00BA7805" w14:paraId="58322936" w14:textId="77777777" w:rsidTr="00FD01E1">
        <w:trPr>
          <w:trHeight w:val="255"/>
        </w:trPr>
        <w:tc>
          <w:tcPr>
            <w:tcW w:w="6915" w:type="dxa"/>
          </w:tcPr>
          <w:p w14:paraId="2E531BDC" w14:textId="77777777" w:rsidR="00265792" w:rsidRPr="00BA7805" w:rsidRDefault="00265792" w:rsidP="00492F55">
            <w:pPr>
              <w:pStyle w:val="ARfintablebody"/>
              <w:rPr>
                <w:highlight w:val="green"/>
              </w:rPr>
            </w:pPr>
            <w:r w:rsidRPr="000414C7">
              <w:t>Tenant utilities and other expenses</w:t>
            </w:r>
          </w:p>
        </w:tc>
        <w:tc>
          <w:tcPr>
            <w:tcW w:w="1361" w:type="dxa"/>
            <w:shd w:val="clear" w:color="auto" w:fill="EEEEEF" w:themeFill="accent4"/>
            <w:noWrap/>
          </w:tcPr>
          <w:p w14:paraId="45609C7D" w14:textId="77777777" w:rsidR="00265792" w:rsidRPr="00BA7805" w:rsidRDefault="00265792" w:rsidP="00492F55">
            <w:pPr>
              <w:pStyle w:val="ARfintablebodyright"/>
              <w:rPr>
                <w:highlight w:val="green"/>
              </w:rPr>
            </w:pPr>
            <w:r w:rsidRPr="00FA082C">
              <w:t>112.3</w:t>
            </w:r>
          </w:p>
        </w:tc>
        <w:tc>
          <w:tcPr>
            <w:tcW w:w="1361" w:type="dxa"/>
            <w:noWrap/>
          </w:tcPr>
          <w:p w14:paraId="266051E3" w14:textId="77777777" w:rsidR="00265792" w:rsidRPr="00BA7805" w:rsidRDefault="00265792" w:rsidP="00492F55">
            <w:pPr>
              <w:pStyle w:val="ARfintablebodyright"/>
              <w:rPr>
                <w:highlight w:val="green"/>
              </w:rPr>
            </w:pPr>
            <w:r w:rsidRPr="00FA082C">
              <w:t>114.1</w:t>
            </w:r>
          </w:p>
        </w:tc>
      </w:tr>
      <w:tr w:rsidR="00265792" w:rsidRPr="00BA7805" w14:paraId="7691628E" w14:textId="77777777" w:rsidTr="00FD01E1">
        <w:trPr>
          <w:cnfStyle w:val="010000000000" w:firstRow="0" w:lastRow="1" w:firstColumn="0" w:lastColumn="0" w:oddVBand="0" w:evenVBand="0" w:oddHBand="0" w:evenHBand="0" w:firstRowFirstColumn="0" w:firstRowLastColumn="0" w:lastRowFirstColumn="0" w:lastRowLastColumn="0"/>
          <w:trHeight w:val="255"/>
        </w:trPr>
        <w:tc>
          <w:tcPr>
            <w:tcW w:w="6915" w:type="dxa"/>
          </w:tcPr>
          <w:p w14:paraId="1763DBDB" w14:textId="77777777" w:rsidR="00265792" w:rsidRPr="00BA7805" w:rsidRDefault="00265792" w:rsidP="00492F55">
            <w:pPr>
              <w:pStyle w:val="ARfintablebodybold"/>
              <w:rPr>
                <w:highlight w:val="green"/>
              </w:rPr>
            </w:pPr>
            <w:r w:rsidRPr="000414C7">
              <w:t>Total property management expenses</w:t>
            </w:r>
          </w:p>
        </w:tc>
        <w:tc>
          <w:tcPr>
            <w:tcW w:w="1361" w:type="dxa"/>
            <w:shd w:val="clear" w:color="auto" w:fill="EEEEEF" w:themeFill="accent4"/>
            <w:noWrap/>
          </w:tcPr>
          <w:p w14:paraId="6CF60EDD" w14:textId="77777777" w:rsidR="00265792" w:rsidRPr="00BA7805" w:rsidRDefault="00265792" w:rsidP="00492F55">
            <w:pPr>
              <w:pStyle w:val="ARfintablebodyrightbold"/>
              <w:rPr>
                <w:highlight w:val="green"/>
              </w:rPr>
            </w:pPr>
            <w:r w:rsidRPr="00FA082C">
              <w:t>542.2</w:t>
            </w:r>
          </w:p>
        </w:tc>
        <w:tc>
          <w:tcPr>
            <w:tcW w:w="1361" w:type="dxa"/>
            <w:noWrap/>
          </w:tcPr>
          <w:p w14:paraId="36A517DE" w14:textId="77777777" w:rsidR="00265792" w:rsidRPr="00BA7805" w:rsidRDefault="00265792" w:rsidP="00492F55">
            <w:pPr>
              <w:pStyle w:val="ARfintablebodyrightbold"/>
              <w:rPr>
                <w:highlight w:val="green"/>
              </w:rPr>
            </w:pPr>
            <w:r w:rsidRPr="00FA082C">
              <w:t>552.8</w:t>
            </w:r>
          </w:p>
        </w:tc>
      </w:tr>
    </w:tbl>
    <w:p w14:paraId="427EE9A8" w14:textId="77777777" w:rsidR="00265792" w:rsidRDefault="00265792" w:rsidP="00492F55">
      <w:pPr>
        <w:pStyle w:val="ARfintablefootnote"/>
      </w:pPr>
      <w:r>
        <w:t>Note:</w:t>
      </w:r>
    </w:p>
    <w:p w14:paraId="19D6A67A" w14:textId="77777777" w:rsidR="00265792" w:rsidRDefault="00265792" w:rsidP="00492F55">
      <w:pPr>
        <w:pStyle w:val="ARfintablefootnotetabindent"/>
        <w:rPr>
          <w:highlight w:val="green"/>
        </w:rPr>
      </w:pPr>
      <w:r>
        <w:t>(</w:t>
      </w:r>
      <w:proofErr w:type="spellStart"/>
      <w:r>
        <w:t>i</w:t>
      </w:r>
      <w:proofErr w:type="spellEnd"/>
      <w:r>
        <w:t xml:space="preserve">) </w:t>
      </w:r>
      <w:r>
        <w:tab/>
      </w:r>
      <w:r w:rsidRPr="00492F55">
        <w:t>Maintenance</w:t>
      </w:r>
      <w:r>
        <w:t xml:space="preserve"> expenses mainly include statutory maintenance requirements, responding to urgent maintenance works, maintenance works required for vacated properties before re-letting, and maintenance works undertaken to proactively address and respond to asset condition.</w:t>
      </w:r>
    </w:p>
    <w:p w14:paraId="5ABD64FE" w14:textId="77777777" w:rsidR="00265792" w:rsidRDefault="00265792" w:rsidP="002542E1">
      <w:pPr>
        <w:pStyle w:val="ARbody"/>
        <w:rPr>
          <w:rFonts w:eastAsiaTheme="minorEastAsia"/>
          <w:color w:val="000000"/>
          <w:sz w:val="16"/>
          <w:szCs w:val="14"/>
          <w:highlight w:val="green"/>
          <w:lang w:eastAsia="en-AU"/>
        </w:rPr>
      </w:pPr>
      <w:r>
        <w:rPr>
          <w:highlight w:val="green"/>
        </w:rPr>
        <w:br w:type="page"/>
      </w:r>
    </w:p>
    <w:p w14:paraId="2ED859D6" w14:textId="77777777" w:rsidR="00265792" w:rsidRPr="0053350D" w:rsidRDefault="00265792">
      <w:pPr>
        <w:pStyle w:val="Heading3"/>
      </w:pPr>
      <w:bookmarkStart w:id="271" w:name="_Toc212041659"/>
      <w:r w:rsidRPr="0053350D">
        <w:lastRenderedPageBreak/>
        <w:t>4. Disaggregated financial information by output</w:t>
      </w:r>
      <w:bookmarkEnd w:id="271"/>
    </w:p>
    <w:p w14:paraId="3CFB405B" w14:textId="77777777" w:rsidR="00265792" w:rsidRDefault="00265792" w:rsidP="006A5666">
      <w:pPr>
        <w:pStyle w:val="Heading4"/>
      </w:pPr>
      <w:r>
        <w:t>Introduction</w:t>
      </w:r>
    </w:p>
    <w:p w14:paraId="0DE0C631" w14:textId="77777777" w:rsidR="00265792" w:rsidRDefault="00265792" w:rsidP="006A5666">
      <w:pPr>
        <w:pStyle w:val="ARfinbody"/>
      </w:pPr>
      <w:r>
        <w:t>The department is predominantly funded by accrual-based parliamentary appropriations for the provision of outputs. This section provides a description of the departmental outputs delivered during the year along with the objectives of those outputs.</w:t>
      </w:r>
    </w:p>
    <w:p w14:paraId="03200532" w14:textId="599F826D" w:rsidR="00265792" w:rsidRDefault="00265792" w:rsidP="006A5666">
      <w:pPr>
        <w:pStyle w:val="ARfinbody"/>
      </w:pPr>
      <w:r>
        <w:t xml:space="preserve">This section disaggregates revenue and expenses that enables the delivery of services (described in section 2 </w:t>
      </w:r>
      <w:r w:rsidR="00CD251C">
        <w:t xml:space="preserve">‘Funding </w:t>
      </w:r>
      <w:r>
        <w:t>delivery of our services</w:t>
      </w:r>
      <w:r w:rsidR="00CD251C">
        <w:t>’</w:t>
      </w:r>
      <w:r>
        <w:t xml:space="preserve">) by output and records the allocation of expenses incurred (described in section 3 </w:t>
      </w:r>
      <w:r w:rsidR="00CD251C">
        <w:t>‘</w:t>
      </w:r>
      <w:r>
        <w:t>The cost of delivering services</w:t>
      </w:r>
      <w:r w:rsidR="00CD251C">
        <w:t>’</w:t>
      </w:r>
      <w:r>
        <w:t>) also by output, which form part of controlled balances of the department.</w:t>
      </w:r>
    </w:p>
    <w:p w14:paraId="7E73F5E6" w14:textId="77777777" w:rsidR="00265792" w:rsidRDefault="00265792" w:rsidP="006A5666">
      <w:pPr>
        <w:pStyle w:val="ARfinbody"/>
      </w:pPr>
      <w:r>
        <w:t xml:space="preserve">It also provides information on items administered in connection with these outputs. </w:t>
      </w:r>
    </w:p>
    <w:p w14:paraId="41AD753D" w14:textId="2B108835" w:rsidR="00265792" w:rsidRDefault="00265792" w:rsidP="006A5666">
      <w:pPr>
        <w:pStyle w:val="ARfinbody"/>
      </w:pPr>
      <w:r>
        <w:t>Judgement is required in allocating income and expenditure to specific outputs. For the period under review</w:t>
      </w:r>
      <w:r w:rsidR="00CD251C">
        <w:t>,</w:t>
      </w:r>
      <w:r>
        <w:t xml:space="preserve"> there were no amounts unallocated.</w:t>
      </w:r>
    </w:p>
    <w:p w14:paraId="3677794E" w14:textId="77777777" w:rsidR="00265792" w:rsidRDefault="00265792" w:rsidP="006A5666">
      <w:pPr>
        <w:pStyle w:val="ARfinbody"/>
      </w:pPr>
      <w:r>
        <w:t xml:space="preserve">The distinction between controlled and administered items is based on whether the department </w:t>
      </w:r>
      <w:proofErr w:type="gramStart"/>
      <w:r>
        <w:t>has the ability to</w:t>
      </w:r>
      <w:proofErr w:type="gramEnd"/>
      <w:r>
        <w:t xml:space="preserve"> deploy the resources in question for its own benefit (controlled items) or whether it does so on behalf of the state (administered). The department remains accountable for transactions involving administered items, but it does not recognise these items in its financial statements.</w:t>
      </w:r>
    </w:p>
    <w:p w14:paraId="20757E81" w14:textId="77777777" w:rsidR="00265792" w:rsidRDefault="00265792" w:rsidP="006A5666">
      <w:pPr>
        <w:pStyle w:val="Heading4"/>
      </w:pPr>
      <w:r>
        <w:t>Structure</w:t>
      </w:r>
    </w:p>
    <w:p w14:paraId="5682D42F" w14:textId="77777777" w:rsidR="00265792" w:rsidRDefault="00265792" w:rsidP="006A5666">
      <w:pPr>
        <w:pStyle w:val="ARfinstructure1"/>
      </w:pPr>
      <w:r>
        <w:t xml:space="preserve">4.1 </w:t>
      </w:r>
      <w:r>
        <w:tab/>
        <w:t>Departmental outputs</w:t>
      </w:r>
    </w:p>
    <w:p w14:paraId="7412E730" w14:textId="575B81CA" w:rsidR="00265792" w:rsidRDefault="00265792" w:rsidP="006A5666">
      <w:pPr>
        <w:pStyle w:val="ARfinstructure2"/>
      </w:pPr>
      <w:r>
        <w:t xml:space="preserve">4.1.1 </w:t>
      </w:r>
      <w:r>
        <w:tab/>
        <w:t xml:space="preserve">Departmental outputs – </w:t>
      </w:r>
      <w:r w:rsidR="00CD251C">
        <w:t>d</w:t>
      </w:r>
      <w:r>
        <w:t>escriptions and objectives</w:t>
      </w:r>
    </w:p>
    <w:p w14:paraId="143C0DA8" w14:textId="6C8EF553" w:rsidR="00265792" w:rsidRDefault="00265792" w:rsidP="006A5666">
      <w:pPr>
        <w:pStyle w:val="ARfinstructure2"/>
      </w:pPr>
      <w:r>
        <w:t xml:space="preserve">4.1.2 </w:t>
      </w:r>
      <w:r>
        <w:tab/>
        <w:t xml:space="preserve">Departmental outputs – </w:t>
      </w:r>
      <w:r w:rsidR="00CD251C">
        <w:t>c</w:t>
      </w:r>
      <w:r>
        <w:t>ontrolled income and expenses</w:t>
      </w:r>
    </w:p>
    <w:p w14:paraId="5EE4AB30" w14:textId="43667447" w:rsidR="00265792" w:rsidRDefault="00265792" w:rsidP="006A5666">
      <w:pPr>
        <w:pStyle w:val="ARfinstructure2"/>
      </w:pPr>
      <w:r>
        <w:t xml:space="preserve">4.1.3 </w:t>
      </w:r>
      <w:r>
        <w:tab/>
        <w:t xml:space="preserve">Departmental outputs – </w:t>
      </w:r>
      <w:r w:rsidR="00CD251C">
        <w:t>c</w:t>
      </w:r>
      <w:r>
        <w:t>ontrolled assets and liabilities</w:t>
      </w:r>
    </w:p>
    <w:p w14:paraId="05884362" w14:textId="77777777" w:rsidR="00265792" w:rsidRDefault="00265792" w:rsidP="006A5666">
      <w:pPr>
        <w:pStyle w:val="ARfinstructure1"/>
      </w:pPr>
      <w:r>
        <w:t xml:space="preserve">4.2 </w:t>
      </w:r>
      <w:r>
        <w:tab/>
        <w:t>Administered (non-controlled) items</w:t>
      </w:r>
    </w:p>
    <w:p w14:paraId="578DAC24" w14:textId="77777777" w:rsidR="00265792" w:rsidRDefault="00265792" w:rsidP="006A5666">
      <w:pPr>
        <w:pStyle w:val="ARfinstructure2"/>
      </w:pPr>
      <w:r>
        <w:t xml:space="preserve">4.2.1 </w:t>
      </w:r>
      <w:r>
        <w:tab/>
        <w:t>Administered income and expenses</w:t>
      </w:r>
    </w:p>
    <w:p w14:paraId="7111BAFD" w14:textId="77777777" w:rsidR="00265792" w:rsidRDefault="00265792" w:rsidP="006A5666">
      <w:pPr>
        <w:pStyle w:val="ARfinstructure2"/>
      </w:pPr>
      <w:r>
        <w:t xml:space="preserve">4.2.2 </w:t>
      </w:r>
      <w:r>
        <w:tab/>
        <w:t>Administered assets and liabilities</w:t>
      </w:r>
    </w:p>
    <w:p w14:paraId="503F7AEA" w14:textId="77777777" w:rsidR="00265792" w:rsidRDefault="00265792" w:rsidP="006A5666">
      <w:pPr>
        <w:pStyle w:val="ARfinstructure1"/>
      </w:pPr>
      <w:r>
        <w:t>4.3</w:t>
      </w:r>
      <w:r>
        <w:tab/>
        <w:t xml:space="preserve"> Restructuring of administrative arrangements</w:t>
      </w:r>
    </w:p>
    <w:p w14:paraId="2E5B385A" w14:textId="77777777" w:rsidR="00265792" w:rsidRDefault="00265792" w:rsidP="006A5666">
      <w:pPr>
        <w:pStyle w:val="Heading4"/>
      </w:pPr>
      <w:r>
        <w:t>4.1 Departmental outputs</w:t>
      </w:r>
    </w:p>
    <w:p w14:paraId="7C8DAA43" w14:textId="4C879CD6" w:rsidR="00265792" w:rsidRDefault="00265792" w:rsidP="006A5666">
      <w:pPr>
        <w:pStyle w:val="Heading5"/>
      </w:pPr>
      <w:r>
        <w:t xml:space="preserve">4.1.1 Departmental outputs </w:t>
      </w:r>
      <w:r w:rsidRPr="00192308">
        <w:t>–</w:t>
      </w:r>
      <w:r>
        <w:t xml:space="preserve"> </w:t>
      </w:r>
      <w:r w:rsidR="00CD251C">
        <w:t>d</w:t>
      </w:r>
      <w:r>
        <w:t>escriptions and objectives</w:t>
      </w:r>
    </w:p>
    <w:p w14:paraId="61C9B6D0" w14:textId="77777777" w:rsidR="00265792" w:rsidRDefault="00265792" w:rsidP="006A5666">
      <w:pPr>
        <w:pStyle w:val="Heading6"/>
      </w:pPr>
      <w:r>
        <w:t>Department of Families, Fairness and Housing outputs</w:t>
      </w:r>
    </w:p>
    <w:p w14:paraId="127727C0" w14:textId="77777777" w:rsidR="00265792" w:rsidRDefault="00265792" w:rsidP="00192308">
      <w:pPr>
        <w:pStyle w:val="Heading7"/>
      </w:pPr>
      <w:r>
        <w:t>Output 1: Disability Services</w:t>
      </w:r>
    </w:p>
    <w:p w14:paraId="003CB098" w14:textId="09989DCE" w:rsidR="00265792" w:rsidRDefault="00265792" w:rsidP="006A5666">
      <w:pPr>
        <w:pStyle w:val="ARfinbody"/>
      </w:pPr>
      <w:r>
        <w:t xml:space="preserve">The Disability Services output includes provision of continuing care and support services for people with disabilities, their </w:t>
      </w:r>
      <w:proofErr w:type="spellStart"/>
      <w:r>
        <w:t>carers</w:t>
      </w:r>
      <w:proofErr w:type="spellEnd"/>
      <w:r>
        <w:t xml:space="preserve"> and their families, and aims to make a positive difference for Victorians experiencing disadvantage and provide excellent community services to meet clients</w:t>
      </w:r>
      <w:r w:rsidR="00CD251C">
        <w:t xml:space="preserve">’ </w:t>
      </w:r>
      <w:r>
        <w:t>needs.</w:t>
      </w:r>
    </w:p>
    <w:p w14:paraId="334F6168" w14:textId="77777777" w:rsidR="00265792" w:rsidRDefault="00265792" w:rsidP="006A5666">
      <w:pPr>
        <w:pStyle w:val="Heading7"/>
      </w:pPr>
      <w:r>
        <w:t>Output 2: Child Protection and Family Services</w:t>
      </w:r>
    </w:p>
    <w:p w14:paraId="07589061" w14:textId="77777777" w:rsidR="00265792" w:rsidRDefault="00265792" w:rsidP="006A5666">
      <w:pPr>
        <w:pStyle w:val="ARfinbody"/>
      </w:pPr>
      <w:r>
        <w:t>The Child Protection and Family Services output funds statutory child protection services, family support and early parenting services, family violence and sexual assault services, placement care services and specialist support services to ensure the safety and wellbeing of adolescents and children at risk of harm, abuse and neglect.</w:t>
      </w:r>
    </w:p>
    <w:p w14:paraId="6BA78093" w14:textId="77777777" w:rsidR="00265792" w:rsidRDefault="00265792" w:rsidP="006A5666">
      <w:pPr>
        <w:pStyle w:val="Heading7"/>
      </w:pPr>
      <w:r>
        <w:t>Output 3: Concessions to Pensioners and Beneficiaries</w:t>
      </w:r>
    </w:p>
    <w:p w14:paraId="13FC6F1B" w14:textId="77777777" w:rsidR="00265792" w:rsidRDefault="00265792" w:rsidP="006A5666">
      <w:pPr>
        <w:pStyle w:val="ARfinbody"/>
      </w:pPr>
      <w:r>
        <w:t>Concessions to Pensioners and Beneficiaries output includes the development and coordination of the delivery of concessions and relief grants to eligible consumers and concession card holders.</w:t>
      </w:r>
    </w:p>
    <w:p w14:paraId="563F2145" w14:textId="3EEA9611" w:rsidR="00265792" w:rsidRDefault="00265792" w:rsidP="006A5666">
      <w:pPr>
        <w:pStyle w:val="ARfinbody"/>
      </w:pPr>
      <w:r>
        <w:t>This output provides reductions in the price of energy, water and municipal rates to eligible consumers and concession card holders. It also provides trustee services for people on a low income or those who are subject to an order by the Victorian Civil and Administrative Tribunal, and other social and community services, including the provision of emergency relief for individuals or families who are experiencing immediate and personal distress due to a financial or domestic crisis.</w:t>
      </w:r>
    </w:p>
    <w:p w14:paraId="4EEC3253" w14:textId="77777777" w:rsidR="00265792" w:rsidRDefault="00265792" w:rsidP="006A5666">
      <w:pPr>
        <w:pStyle w:val="Heading7"/>
      </w:pPr>
      <w:r>
        <w:t>Output 4: Community Participation</w:t>
      </w:r>
    </w:p>
    <w:p w14:paraId="56538752" w14:textId="3AD4987E" w:rsidR="00265792" w:rsidRDefault="00265792" w:rsidP="006A5666">
      <w:pPr>
        <w:pStyle w:val="ARfinbody"/>
      </w:pPr>
      <w:r>
        <w:t xml:space="preserve">The Community Participation output funds programs that support community participation, including neighbourhood houses, </w:t>
      </w:r>
      <w:r w:rsidR="00CD251C">
        <w:t>men’s sheds</w:t>
      </w:r>
      <w:r>
        <w:t>, community support projects and programs for people with disability. These programs support the social and economic participation of Victorian communities, particularly vulnerable populations.</w:t>
      </w:r>
    </w:p>
    <w:p w14:paraId="5D7B4794" w14:textId="77777777" w:rsidR="00265792" w:rsidRDefault="00265792" w:rsidP="006A5666">
      <w:pPr>
        <w:pStyle w:val="Heading7"/>
      </w:pPr>
      <w:r>
        <w:lastRenderedPageBreak/>
        <w:t>Output 5: Office for Disability</w:t>
      </w:r>
    </w:p>
    <w:p w14:paraId="5D75DD18" w14:textId="08EAE6BA" w:rsidR="00265792" w:rsidRDefault="00265792" w:rsidP="006A5666">
      <w:pPr>
        <w:pStyle w:val="ARfinbody"/>
      </w:pPr>
      <w:r>
        <w:t>The Office for Disability leads and coordinates whole</w:t>
      </w:r>
      <w:r w:rsidR="00CD7EFB">
        <w:t>-</w:t>
      </w:r>
      <w:r>
        <w:t>of</w:t>
      </w:r>
      <w:r w:rsidR="00CD7EFB">
        <w:t>-</w:t>
      </w:r>
      <w:r>
        <w:t>government policy, disability action planning and funding, and support to disability advocacy and self-advocacy organisations so that people with disability experience reduced disadvantage, can fully participate in the community and have their rights upheld.</w:t>
      </w:r>
    </w:p>
    <w:p w14:paraId="0DAFC3E1" w14:textId="77777777" w:rsidR="00265792" w:rsidRDefault="00265792" w:rsidP="006A5666">
      <w:pPr>
        <w:pStyle w:val="Heading7"/>
      </w:pPr>
      <w:r>
        <w:t>Output 6: Seniors Programs and Participation</w:t>
      </w:r>
    </w:p>
    <w:p w14:paraId="2AFA4044" w14:textId="37D0A83F" w:rsidR="00265792" w:rsidRDefault="00265792" w:rsidP="006A5666">
      <w:pPr>
        <w:pStyle w:val="ARfinbody"/>
      </w:pPr>
      <w:r>
        <w:t>The Seniors Programs and Participation output supports broader community planning processes to facilitate community planning and response approach</w:t>
      </w:r>
      <w:r w:rsidR="00CD251C">
        <w:t>es</w:t>
      </w:r>
      <w:r>
        <w:t xml:space="preserve"> </w:t>
      </w:r>
      <w:r w:rsidR="00CD251C">
        <w:t>to enable</w:t>
      </w:r>
      <w:r>
        <w:t xml:space="preserve"> older Victorians to fully participate and engage in the community.</w:t>
      </w:r>
    </w:p>
    <w:p w14:paraId="5D804D03" w14:textId="77777777" w:rsidR="00265792" w:rsidRDefault="00265792" w:rsidP="006A5666">
      <w:pPr>
        <w:pStyle w:val="Heading7"/>
      </w:pPr>
      <w:r>
        <w:t>Output 7: Support to Veterans in Victoria</w:t>
      </w:r>
    </w:p>
    <w:p w14:paraId="1E1763E7" w14:textId="5AD3526D" w:rsidR="00265792" w:rsidRDefault="00265792" w:rsidP="006A5666">
      <w:pPr>
        <w:pStyle w:val="ARfinbody"/>
      </w:pPr>
      <w:r>
        <w:t>The Support to Veterans in Victoria output provides coordination of veteran-related issues at a state level, especially in relation to commemoration, education programs, grant programs, research and veteran welfare.</w:t>
      </w:r>
    </w:p>
    <w:p w14:paraId="02605968" w14:textId="17EA2547" w:rsidR="00265792" w:rsidRDefault="00265792" w:rsidP="006A5666">
      <w:pPr>
        <w:pStyle w:val="Heading7"/>
      </w:pPr>
      <w:r>
        <w:t>Output 8: LGBTIQ</w:t>
      </w:r>
      <w:r w:rsidR="002D3C43">
        <w:t>A</w:t>
      </w:r>
      <w:r>
        <w:t>+ Equality Policy and Programs</w:t>
      </w:r>
    </w:p>
    <w:p w14:paraId="45529F02" w14:textId="4B802B5A" w:rsidR="00265792" w:rsidRDefault="00265792" w:rsidP="006A5666">
      <w:pPr>
        <w:pStyle w:val="ARfinbody"/>
      </w:pPr>
      <w:r>
        <w:t>The LGBTIQ</w:t>
      </w:r>
      <w:r w:rsidR="00A65F6C">
        <w:t>A</w:t>
      </w:r>
      <w:r>
        <w:t>+ Equality Policy and Programs output provides programs and services to promote equality for LGBTIQ</w:t>
      </w:r>
      <w:r w:rsidR="00A65F6C">
        <w:t>A</w:t>
      </w:r>
      <w:r>
        <w:t>+ Victorians and to support these communities</w:t>
      </w:r>
      <w:r w:rsidR="00CD251C">
        <w:t>’</w:t>
      </w:r>
      <w:r>
        <w:t xml:space="preserve"> economic, social and civic participation.</w:t>
      </w:r>
    </w:p>
    <w:p w14:paraId="0DAADA5C" w14:textId="56E330F1" w:rsidR="00265792" w:rsidRDefault="00265792" w:rsidP="006A5666">
      <w:pPr>
        <w:pStyle w:val="Heading7"/>
      </w:pPr>
      <w:r>
        <w:t>Output 9: Women</w:t>
      </w:r>
      <w:r w:rsidR="006576F6">
        <w:t>’</w:t>
      </w:r>
      <w:r>
        <w:t xml:space="preserve">s </w:t>
      </w:r>
      <w:r w:rsidR="006576F6">
        <w:t>P</w:t>
      </w:r>
      <w:r>
        <w:t>olicy</w:t>
      </w:r>
    </w:p>
    <w:p w14:paraId="6E87C29A" w14:textId="64D98177" w:rsidR="00265792" w:rsidRDefault="00265792" w:rsidP="006A5666">
      <w:pPr>
        <w:pStyle w:val="ARfinbody"/>
      </w:pPr>
      <w:r>
        <w:t>The Women’s Policy output provides initiatives that gender equality and better outcomes for women across all areas of their lives including economic security, safety, leadership, health and wellbeing.</w:t>
      </w:r>
    </w:p>
    <w:p w14:paraId="69417D36" w14:textId="77777777" w:rsidR="00265792" w:rsidRDefault="00265792" w:rsidP="006A5666">
      <w:pPr>
        <w:pStyle w:val="Heading7"/>
      </w:pPr>
      <w:r>
        <w:t>Output 10: Primary Prevention of Family Violence</w:t>
      </w:r>
    </w:p>
    <w:p w14:paraId="106D76C8" w14:textId="07488C00" w:rsidR="00265792" w:rsidRDefault="00265792" w:rsidP="006A5666">
      <w:pPr>
        <w:pStyle w:val="ARfinbody"/>
      </w:pPr>
      <w:r>
        <w:t>The Primary Prevention of Family Violence output provides initiatives that support primary prevention of family violence and violence against women.</w:t>
      </w:r>
    </w:p>
    <w:p w14:paraId="52729B4A" w14:textId="77777777" w:rsidR="00265792" w:rsidRDefault="00265792" w:rsidP="006A5666">
      <w:pPr>
        <w:pStyle w:val="Heading7"/>
      </w:pPr>
      <w:r>
        <w:t>Output 11: Youth</w:t>
      </w:r>
    </w:p>
    <w:p w14:paraId="11BC4E69" w14:textId="6F8FB7BF" w:rsidR="00265792" w:rsidRDefault="00265792" w:rsidP="006A5666">
      <w:pPr>
        <w:pStyle w:val="ARfinbody"/>
      </w:pPr>
      <w:r>
        <w:t>The Youth output</w:t>
      </w:r>
      <w:r w:rsidR="006576F6">
        <w:t xml:space="preserve"> </w:t>
      </w:r>
      <w:r>
        <w:t>leads and coordinates whole</w:t>
      </w:r>
      <w:r w:rsidR="00CD7EFB">
        <w:t>-</w:t>
      </w:r>
      <w:r>
        <w:t>of</w:t>
      </w:r>
      <w:r w:rsidR="00CD7EFB">
        <w:t>-</w:t>
      </w:r>
      <w:r>
        <w:t>government policy advice and delivers a range of initiatives for young people aged between 12 and 25 years to enable them to gain a range of skills and experience and to actively participate in their local communities.</w:t>
      </w:r>
    </w:p>
    <w:p w14:paraId="0018D489" w14:textId="760255AA" w:rsidR="00265792" w:rsidRDefault="00265792" w:rsidP="006A5666">
      <w:pPr>
        <w:pStyle w:val="Heading7"/>
      </w:pPr>
      <w:r>
        <w:t xml:space="preserve">Output 12: Multicultural </w:t>
      </w:r>
      <w:r w:rsidR="006576F6">
        <w:t>A</w:t>
      </w:r>
      <w:r>
        <w:t xml:space="preserve">ffairs </w:t>
      </w:r>
      <w:r w:rsidR="006576F6">
        <w:t>P</w:t>
      </w:r>
      <w:r>
        <w:t xml:space="preserve">olicy and </w:t>
      </w:r>
      <w:r w:rsidR="006576F6">
        <w:t>P</w:t>
      </w:r>
      <w:r>
        <w:t>rograms</w:t>
      </w:r>
    </w:p>
    <w:p w14:paraId="539E3CB2" w14:textId="5F6FD9FF" w:rsidR="00265792" w:rsidRDefault="00265792" w:rsidP="006A5666">
      <w:pPr>
        <w:pStyle w:val="ARfinbody"/>
      </w:pPr>
      <w:r>
        <w:t xml:space="preserve">The Multicultural </w:t>
      </w:r>
      <w:r w:rsidR="006576F6">
        <w:t>A</w:t>
      </w:r>
      <w:r>
        <w:t xml:space="preserve">ffairs </w:t>
      </w:r>
      <w:r w:rsidR="006576F6">
        <w:t>P</w:t>
      </w:r>
      <w:r>
        <w:t xml:space="preserve">olicy and </w:t>
      </w:r>
      <w:r w:rsidR="006576F6">
        <w:t>P</w:t>
      </w:r>
      <w:r>
        <w:t>rogram output provides policy advice on multicultural affairs and social cohesion in Victoria, including settlement coordination for newly arrived migrants and refugees and delivers a range of programs to directly support Victoria</w:t>
      </w:r>
      <w:r w:rsidR="006576F6">
        <w:t>’</w:t>
      </w:r>
      <w:r>
        <w:t>s multicultural communities.</w:t>
      </w:r>
    </w:p>
    <w:p w14:paraId="788B69F4" w14:textId="7BB5F81B" w:rsidR="00265792" w:rsidRDefault="00265792" w:rsidP="006A5666">
      <w:pPr>
        <w:pStyle w:val="ARfinbody"/>
      </w:pPr>
      <w:r>
        <w:t xml:space="preserve">Effective from 1 February 2024, as part of </w:t>
      </w:r>
      <w:r w:rsidR="006576F6">
        <w:t xml:space="preserve">machinery </w:t>
      </w:r>
      <w:r>
        <w:t xml:space="preserve">of </w:t>
      </w:r>
      <w:r w:rsidR="006576F6">
        <w:t xml:space="preserve">government </w:t>
      </w:r>
      <w:r>
        <w:t>changes, the Multicultural Affairs function was transferred to the Department of Premier and Cabinet. As of 1 February 2024, this output is no longer with the Department of Families, Fairness and Housing. Please refer to Note 4.3 Restructuring of administrative arrangements.</w:t>
      </w:r>
    </w:p>
    <w:p w14:paraId="176CB5B2" w14:textId="77777777" w:rsidR="00265792" w:rsidRDefault="00265792" w:rsidP="006A5666">
      <w:pPr>
        <w:pStyle w:val="Heading7"/>
      </w:pPr>
      <w:r>
        <w:t>Output 13: Family Violence Service Delivery</w:t>
      </w:r>
    </w:p>
    <w:p w14:paraId="40833179" w14:textId="7BBEC4A9" w:rsidR="00265792" w:rsidRDefault="00265792" w:rsidP="006A5666">
      <w:pPr>
        <w:pStyle w:val="ARfinbody"/>
      </w:pPr>
      <w:r>
        <w:t>The Family Violence Service Delivery output group leads and coordinates whole</w:t>
      </w:r>
      <w:r w:rsidR="00CD7EFB">
        <w:t>-</w:t>
      </w:r>
      <w:r>
        <w:t>of</w:t>
      </w:r>
      <w:r w:rsidR="00CD7EFB">
        <w:t>-</w:t>
      </w:r>
      <w:r>
        <w:t xml:space="preserve">government family violence </w:t>
      </w:r>
      <w:proofErr w:type="gramStart"/>
      <w:r>
        <w:t>policy, and</w:t>
      </w:r>
      <w:proofErr w:type="gramEnd"/>
      <w:r>
        <w:t xml:space="preserve"> implements and delivers the government’s family violence reform agenda. This includes establishing and operating Support and Safety Hubs, implementing information-sharing legislation, and delivering risk assessment and management programs.</w:t>
      </w:r>
    </w:p>
    <w:p w14:paraId="040DD790" w14:textId="77777777" w:rsidR="00265792" w:rsidRDefault="00265792" w:rsidP="00B155CF">
      <w:pPr>
        <w:pStyle w:val="ARbody"/>
        <w:rPr>
          <w:lang w:eastAsia="en-AU"/>
        </w:rPr>
      </w:pPr>
      <w:r>
        <w:br w:type="page"/>
      </w:r>
    </w:p>
    <w:p w14:paraId="2213524E" w14:textId="77777777" w:rsidR="00265792" w:rsidRDefault="00265792" w:rsidP="006A5666">
      <w:pPr>
        <w:pStyle w:val="Heading7"/>
      </w:pPr>
      <w:r>
        <w:lastRenderedPageBreak/>
        <w:t>Output 14: Housing Assistance</w:t>
      </w:r>
    </w:p>
    <w:p w14:paraId="5A494D81" w14:textId="77777777" w:rsidR="00265792" w:rsidRDefault="00265792" w:rsidP="006A5666">
      <w:pPr>
        <w:pStyle w:val="ARfinbody"/>
      </w:pPr>
      <w:r>
        <w:t>The Housing Assistance output, through the provision of homelessness services, crisis and transitional accommodation, and long-term, adequate, affordable, and accessible housing assistance, aims to make a positive difference for Victorians experiencing disadvantage. This is achieved by coordinating with support services where required, offering home renovation assistance, and managing the home loan portfolio to provide excellent housing and community services that meet clients’ needs. This output provides:</w:t>
      </w:r>
    </w:p>
    <w:p w14:paraId="492F3F87" w14:textId="608B710B" w:rsidR="00265792" w:rsidRDefault="00265792" w:rsidP="007E5841">
      <w:pPr>
        <w:pStyle w:val="ARfinbullet1"/>
      </w:pPr>
      <w:r>
        <w:t>housing assistance for low-income families, older people, singles, youth and other households. It responds to the needs of clients through the provision of appropriate accommodation, including short-term and long-term properties that assist in reducing and preventing homelessness</w:t>
      </w:r>
    </w:p>
    <w:p w14:paraId="34A50CF0" w14:textId="77777777" w:rsidR="00265792" w:rsidRDefault="00265792" w:rsidP="007E5841">
      <w:pPr>
        <w:pStyle w:val="ARfinbullet1"/>
      </w:pPr>
      <w:r>
        <w:t>housing support services to people who are homeless or at risk of homelessness, in short-term housing or crisis situations. Support will assist clients in accessing and maintaining tenancies in appropriate accommodation. Services provided will assist in the prevention and overall reduction of homelessness.</w:t>
      </w:r>
    </w:p>
    <w:p w14:paraId="3AEE266F" w14:textId="77777777" w:rsidR="00265792" w:rsidRDefault="00265792" w:rsidP="006A5666">
      <w:pPr>
        <w:pStyle w:val="Heading7"/>
      </w:pPr>
      <w:r>
        <w:t>Output 15: Victorian Contribution to National Disability Insurance Scheme</w:t>
      </w:r>
    </w:p>
    <w:p w14:paraId="5D454298" w14:textId="77777777" w:rsidR="00265792" w:rsidRDefault="00265792" w:rsidP="006A5666">
      <w:pPr>
        <w:pStyle w:val="ARfinbody"/>
      </w:pPr>
      <w:r>
        <w:t xml:space="preserve">The Victorian Contribution to National Disability Insurance Scheme is the department’s contribution to Australia’s National Disability Insurance Scheme. The scheme ensures that people with severe or profound disabilities can access the necessary supports they need to live the life they want and achieve their goals and aspirations. </w:t>
      </w:r>
    </w:p>
    <w:p w14:paraId="4518ABFE" w14:textId="25E037A8" w:rsidR="00265792" w:rsidRDefault="00265792" w:rsidP="006A5666">
      <w:pPr>
        <w:pStyle w:val="ARfinbody"/>
        <w:rPr>
          <w:highlight w:val="green"/>
        </w:rPr>
      </w:pPr>
      <w:r>
        <w:t xml:space="preserve">This output was removed in 2022–23 in the controlled entity disclosure in Note 4.1.2 Departmental outputs – </w:t>
      </w:r>
      <w:r w:rsidR="006576F6">
        <w:t>c</w:t>
      </w:r>
      <w:r>
        <w:t xml:space="preserve">ontrolled income and expenses and Note 4.1.3 Departmental outputs – </w:t>
      </w:r>
      <w:r w:rsidR="006576F6">
        <w:t>c</w:t>
      </w:r>
      <w:r>
        <w:t xml:space="preserve">ontrolled assets and liabilities. Funding and the related transactions will continue to be reported in Note 4.2.1 Administered (non-controlled) items. Further details on the objectives of each output can be found in </w:t>
      </w:r>
      <w:r w:rsidRPr="00DA434D">
        <w:rPr>
          <w:rStyle w:val="Emphasis"/>
        </w:rPr>
        <w:t>Budget Paper No. 3 Service Delivery</w:t>
      </w:r>
      <w:r>
        <w:t>.</w:t>
      </w:r>
    </w:p>
    <w:p w14:paraId="5E8B02E4" w14:textId="77777777" w:rsidR="00265792" w:rsidRPr="00BA7805" w:rsidRDefault="00265792">
      <w:pPr>
        <w:pStyle w:val="ARfinbody"/>
        <w:rPr>
          <w:highlight w:val="green"/>
        </w:rPr>
      </w:pPr>
    </w:p>
    <w:p w14:paraId="15FAD9F2" w14:textId="77777777" w:rsidR="00265792" w:rsidRPr="00BA7805" w:rsidRDefault="00265792">
      <w:pPr>
        <w:pStyle w:val="ARfinbody"/>
        <w:rPr>
          <w:highlight w:val="green"/>
        </w:rPr>
        <w:sectPr w:rsidR="00265792" w:rsidRPr="00BA7805" w:rsidSect="007F43B1">
          <w:footerReference w:type="even" r:id="rId149"/>
          <w:endnotePr>
            <w:numFmt w:val="decimal"/>
          </w:endnotePr>
          <w:pgSz w:w="11906" w:h="16838" w:code="9"/>
          <w:pgMar w:top="1588" w:right="1134" w:bottom="851" w:left="1134" w:header="510" w:footer="340" w:gutter="0"/>
          <w:cols w:space="708"/>
          <w:docGrid w:linePitch="360"/>
        </w:sectPr>
      </w:pPr>
    </w:p>
    <w:p w14:paraId="5387C8B8" w14:textId="25C3F057" w:rsidR="00265792" w:rsidRPr="006D3CBD" w:rsidRDefault="00265792" w:rsidP="002542E1">
      <w:pPr>
        <w:pStyle w:val="Heading5"/>
        <w:spacing w:before="0"/>
      </w:pPr>
      <w:r w:rsidRPr="006D3CBD">
        <w:rPr>
          <w:lang w:eastAsia="en-AU"/>
        </w:rPr>
        <w:lastRenderedPageBreak/>
        <w:t xml:space="preserve">4.1.2 Departmental outputs – </w:t>
      </w:r>
      <w:r w:rsidR="006576F6">
        <w:rPr>
          <w:lang w:eastAsia="en-AU"/>
        </w:rPr>
        <w:t>c</w:t>
      </w:r>
      <w:r w:rsidRPr="006D3CBD">
        <w:rPr>
          <w:lang w:eastAsia="en-AU"/>
        </w:rPr>
        <w:t>ontrolled income and expenses for the year ended 30 June 202</w:t>
      </w:r>
      <w:r>
        <w:rPr>
          <w:lang w:eastAsia="en-AU"/>
        </w:rPr>
        <w:t>5</w:t>
      </w:r>
    </w:p>
    <w:tbl>
      <w:tblPr>
        <w:tblStyle w:val="DFFHARtable1"/>
        <w:tblW w:w="4741" w:type="pct"/>
        <w:tblLayout w:type="fixed"/>
        <w:tblLook w:val="06E0" w:firstRow="1" w:lastRow="1" w:firstColumn="1" w:lastColumn="0" w:noHBand="1" w:noVBand="1"/>
      </w:tblPr>
      <w:tblGrid>
        <w:gridCol w:w="2552"/>
        <w:gridCol w:w="694"/>
        <w:gridCol w:w="755"/>
        <w:gridCol w:w="755"/>
        <w:gridCol w:w="755"/>
        <w:gridCol w:w="755"/>
        <w:gridCol w:w="755"/>
        <w:gridCol w:w="754"/>
        <w:gridCol w:w="755"/>
        <w:gridCol w:w="755"/>
        <w:gridCol w:w="755"/>
        <w:gridCol w:w="755"/>
        <w:gridCol w:w="755"/>
        <w:gridCol w:w="755"/>
        <w:gridCol w:w="755"/>
        <w:gridCol w:w="755"/>
      </w:tblGrid>
      <w:tr w:rsidR="00265792" w:rsidRPr="00BA7805" w14:paraId="61B38852" w14:textId="77777777" w:rsidTr="000C72DD">
        <w:trPr>
          <w:cnfStyle w:val="100000000000" w:firstRow="1" w:lastRow="0" w:firstColumn="0" w:lastColumn="0" w:oddVBand="0" w:evenVBand="0" w:oddHBand="0" w:evenHBand="0" w:firstRowFirstColumn="0" w:firstRowLastColumn="0" w:lastRowFirstColumn="0" w:lastRowLastColumn="0"/>
          <w:trHeight w:val="170"/>
          <w:tblHeader/>
        </w:trPr>
        <w:tc>
          <w:tcPr>
            <w:tcW w:w="2552" w:type="dxa"/>
            <w:hideMark/>
          </w:tcPr>
          <w:p w14:paraId="1B2C1057" w14:textId="77777777" w:rsidR="00265792" w:rsidRPr="00654A18" w:rsidRDefault="00265792" w:rsidP="00DF220B">
            <w:pPr>
              <w:pStyle w:val="ARfintablecolhead8"/>
              <w:rPr>
                <w:rStyle w:val="Superscript"/>
                <w:sz w:val="15"/>
              </w:rPr>
            </w:pPr>
            <w:r w:rsidRPr="00654A18">
              <w:t xml:space="preserve">Output </w:t>
            </w:r>
            <w:r w:rsidRPr="00654A18">
              <w:rPr>
                <w:rStyle w:val="Superscript"/>
                <w:sz w:val="15"/>
              </w:rPr>
              <w:t>(</w:t>
            </w:r>
            <w:proofErr w:type="spellStart"/>
            <w:r w:rsidRPr="00654A18">
              <w:rPr>
                <w:rStyle w:val="Superscript"/>
                <w:sz w:val="15"/>
              </w:rPr>
              <w:t>i</w:t>
            </w:r>
            <w:proofErr w:type="spellEnd"/>
            <w:r w:rsidRPr="00654A18">
              <w:rPr>
                <w:rStyle w:val="Superscript"/>
                <w:sz w:val="15"/>
              </w:rPr>
              <w:t>)</w:t>
            </w:r>
          </w:p>
          <w:p w14:paraId="047B96C0" w14:textId="77777777" w:rsidR="00265792" w:rsidRPr="00BA7805" w:rsidRDefault="00265792" w:rsidP="00DF220B">
            <w:pPr>
              <w:pStyle w:val="ARfintablecolhead"/>
              <w:spacing w:before="16" w:after="10" w:line="228" w:lineRule="auto"/>
              <w:ind w:right="0"/>
              <w:rPr>
                <w:rFonts w:cs="Arial"/>
                <w:sz w:val="15"/>
                <w:szCs w:val="15"/>
                <w:highlight w:val="green"/>
              </w:rPr>
            </w:pPr>
            <w:r w:rsidRPr="00654A18">
              <w:rPr>
                <w:rFonts w:cs="Arial"/>
                <w:sz w:val="15"/>
                <w:szCs w:val="15"/>
              </w:rPr>
              <w:t>202</w:t>
            </w:r>
            <w:r>
              <w:rPr>
                <w:rFonts w:cs="Arial"/>
                <w:sz w:val="15"/>
                <w:szCs w:val="15"/>
              </w:rPr>
              <w:t>5</w:t>
            </w:r>
          </w:p>
        </w:tc>
        <w:tc>
          <w:tcPr>
            <w:tcW w:w="694" w:type="dxa"/>
            <w:hideMark/>
          </w:tcPr>
          <w:p w14:paraId="1452FF9F" w14:textId="77777777" w:rsidR="00265792" w:rsidRPr="00F4268B" w:rsidRDefault="00265792" w:rsidP="00DF220B">
            <w:pPr>
              <w:pStyle w:val="ARfintablecolheadright8"/>
            </w:pPr>
            <w:r w:rsidRPr="00F4268B">
              <w:t>1</w:t>
            </w:r>
          </w:p>
          <w:p w14:paraId="4F252F42" w14:textId="77777777" w:rsidR="00265792" w:rsidRPr="00F4268B" w:rsidRDefault="00265792" w:rsidP="00DF220B">
            <w:pPr>
              <w:pStyle w:val="ARfintablecolheadright8"/>
            </w:pPr>
            <w:r w:rsidRPr="00F4268B">
              <w:t>$M</w:t>
            </w:r>
          </w:p>
        </w:tc>
        <w:tc>
          <w:tcPr>
            <w:tcW w:w="755" w:type="dxa"/>
            <w:hideMark/>
          </w:tcPr>
          <w:p w14:paraId="6092CF2A" w14:textId="77777777" w:rsidR="00265792" w:rsidRPr="00F4268B" w:rsidRDefault="00265792" w:rsidP="00DF220B">
            <w:pPr>
              <w:pStyle w:val="ARfintablecolheadright8"/>
            </w:pPr>
            <w:r w:rsidRPr="00F4268B">
              <w:t>2</w:t>
            </w:r>
          </w:p>
          <w:p w14:paraId="7B227671" w14:textId="77777777" w:rsidR="00265792" w:rsidRPr="00F4268B" w:rsidRDefault="00265792" w:rsidP="00DF220B">
            <w:pPr>
              <w:pStyle w:val="ARfintablecolheadright8"/>
            </w:pPr>
            <w:r w:rsidRPr="00F4268B">
              <w:t>$M</w:t>
            </w:r>
          </w:p>
        </w:tc>
        <w:tc>
          <w:tcPr>
            <w:tcW w:w="755" w:type="dxa"/>
            <w:hideMark/>
          </w:tcPr>
          <w:p w14:paraId="7426B460" w14:textId="77777777" w:rsidR="00265792" w:rsidRPr="00F4268B" w:rsidRDefault="00265792" w:rsidP="00DF220B">
            <w:pPr>
              <w:pStyle w:val="ARfintablecolheadright8"/>
            </w:pPr>
            <w:r w:rsidRPr="00F4268B">
              <w:t>3</w:t>
            </w:r>
          </w:p>
          <w:p w14:paraId="0BE2B34D" w14:textId="77777777" w:rsidR="00265792" w:rsidRPr="00F4268B" w:rsidRDefault="00265792" w:rsidP="00DF220B">
            <w:pPr>
              <w:pStyle w:val="ARfintablecolheadright8"/>
            </w:pPr>
            <w:r w:rsidRPr="00F4268B">
              <w:t>$M</w:t>
            </w:r>
          </w:p>
        </w:tc>
        <w:tc>
          <w:tcPr>
            <w:tcW w:w="755" w:type="dxa"/>
            <w:hideMark/>
          </w:tcPr>
          <w:p w14:paraId="13053E28" w14:textId="77777777" w:rsidR="00265792" w:rsidRPr="00F4268B" w:rsidRDefault="00265792" w:rsidP="00DF220B">
            <w:pPr>
              <w:pStyle w:val="ARfintablecolheadright8"/>
            </w:pPr>
            <w:r w:rsidRPr="00F4268B">
              <w:t xml:space="preserve">4 </w:t>
            </w:r>
          </w:p>
          <w:p w14:paraId="4B2E4C50" w14:textId="77777777" w:rsidR="00265792" w:rsidRPr="00F4268B" w:rsidRDefault="00265792" w:rsidP="00DF220B">
            <w:pPr>
              <w:pStyle w:val="ARfintablecolheadright8"/>
            </w:pPr>
            <w:r w:rsidRPr="00F4268B">
              <w:t>$M</w:t>
            </w:r>
          </w:p>
        </w:tc>
        <w:tc>
          <w:tcPr>
            <w:tcW w:w="755" w:type="dxa"/>
            <w:hideMark/>
          </w:tcPr>
          <w:p w14:paraId="4A32735A" w14:textId="77777777" w:rsidR="00265792" w:rsidRPr="00F4268B" w:rsidRDefault="00265792" w:rsidP="00DF220B">
            <w:pPr>
              <w:pStyle w:val="ARfintablecolheadright8"/>
            </w:pPr>
            <w:r w:rsidRPr="00F4268B">
              <w:t>5</w:t>
            </w:r>
          </w:p>
          <w:p w14:paraId="0C8018D1" w14:textId="77777777" w:rsidR="00265792" w:rsidRPr="00F4268B" w:rsidRDefault="00265792" w:rsidP="00DF220B">
            <w:pPr>
              <w:pStyle w:val="ARfintablecolheadright8"/>
            </w:pPr>
            <w:r w:rsidRPr="00F4268B">
              <w:t>$M</w:t>
            </w:r>
          </w:p>
        </w:tc>
        <w:tc>
          <w:tcPr>
            <w:tcW w:w="755" w:type="dxa"/>
            <w:hideMark/>
          </w:tcPr>
          <w:p w14:paraId="2944CA97" w14:textId="77777777" w:rsidR="00265792" w:rsidRPr="00F4268B" w:rsidRDefault="00265792" w:rsidP="00DF220B">
            <w:pPr>
              <w:pStyle w:val="ARfintablecolheadright8"/>
            </w:pPr>
            <w:r w:rsidRPr="00F4268B">
              <w:t>6</w:t>
            </w:r>
          </w:p>
          <w:p w14:paraId="4F1CD354" w14:textId="77777777" w:rsidR="00265792" w:rsidRPr="00F4268B" w:rsidRDefault="00265792" w:rsidP="00DF220B">
            <w:pPr>
              <w:pStyle w:val="ARfintablecolheadright8"/>
            </w:pPr>
            <w:r w:rsidRPr="00F4268B">
              <w:t>$M</w:t>
            </w:r>
          </w:p>
        </w:tc>
        <w:tc>
          <w:tcPr>
            <w:tcW w:w="754" w:type="dxa"/>
            <w:hideMark/>
          </w:tcPr>
          <w:p w14:paraId="1FE41A81" w14:textId="77777777" w:rsidR="00265792" w:rsidRPr="00F4268B" w:rsidRDefault="00265792" w:rsidP="00DF220B">
            <w:pPr>
              <w:pStyle w:val="ARfintablecolheadright8"/>
            </w:pPr>
            <w:r w:rsidRPr="00F4268B">
              <w:t>7</w:t>
            </w:r>
          </w:p>
          <w:p w14:paraId="0CD98A4D" w14:textId="77777777" w:rsidR="00265792" w:rsidRPr="00F4268B" w:rsidRDefault="00265792" w:rsidP="00DF220B">
            <w:pPr>
              <w:pStyle w:val="ARfintablecolheadright8"/>
            </w:pPr>
            <w:r w:rsidRPr="00F4268B">
              <w:t>$M</w:t>
            </w:r>
          </w:p>
        </w:tc>
        <w:tc>
          <w:tcPr>
            <w:tcW w:w="755" w:type="dxa"/>
            <w:hideMark/>
          </w:tcPr>
          <w:p w14:paraId="109B71BC" w14:textId="77777777" w:rsidR="00265792" w:rsidRPr="00F4268B" w:rsidRDefault="00265792" w:rsidP="00DF220B">
            <w:pPr>
              <w:pStyle w:val="ARfintablecolheadright8"/>
            </w:pPr>
            <w:r w:rsidRPr="00F4268B">
              <w:t>8</w:t>
            </w:r>
          </w:p>
          <w:p w14:paraId="3666F0E5" w14:textId="77777777" w:rsidR="00265792" w:rsidRPr="00F4268B" w:rsidRDefault="00265792" w:rsidP="00DF220B">
            <w:pPr>
              <w:pStyle w:val="ARfintablecolheadright8"/>
            </w:pPr>
            <w:r w:rsidRPr="00F4268B">
              <w:t>$M</w:t>
            </w:r>
          </w:p>
        </w:tc>
        <w:tc>
          <w:tcPr>
            <w:tcW w:w="755" w:type="dxa"/>
            <w:hideMark/>
          </w:tcPr>
          <w:p w14:paraId="2634527E" w14:textId="77777777" w:rsidR="00265792" w:rsidRPr="00F4268B" w:rsidRDefault="00265792" w:rsidP="00DF220B">
            <w:pPr>
              <w:pStyle w:val="ARfintablecolheadright8"/>
            </w:pPr>
            <w:r w:rsidRPr="00F4268B">
              <w:t>9</w:t>
            </w:r>
          </w:p>
          <w:p w14:paraId="404D6252" w14:textId="77777777" w:rsidR="00265792" w:rsidRPr="00F4268B" w:rsidRDefault="00265792" w:rsidP="00DF220B">
            <w:pPr>
              <w:pStyle w:val="ARfintablecolheadright8"/>
            </w:pPr>
            <w:r w:rsidRPr="00F4268B">
              <w:t>$M</w:t>
            </w:r>
          </w:p>
        </w:tc>
        <w:tc>
          <w:tcPr>
            <w:tcW w:w="755" w:type="dxa"/>
            <w:hideMark/>
          </w:tcPr>
          <w:p w14:paraId="73C1C69E" w14:textId="77777777" w:rsidR="00265792" w:rsidRPr="00F4268B" w:rsidRDefault="00265792" w:rsidP="00DF220B">
            <w:pPr>
              <w:pStyle w:val="ARfintablecolheadright8"/>
            </w:pPr>
            <w:r w:rsidRPr="00F4268B">
              <w:t>10</w:t>
            </w:r>
          </w:p>
          <w:p w14:paraId="6BED8BA4" w14:textId="77777777" w:rsidR="00265792" w:rsidRPr="00F4268B" w:rsidRDefault="00265792" w:rsidP="00DF220B">
            <w:pPr>
              <w:pStyle w:val="ARfintablecolheadright8"/>
            </w:pPr>
            <w:r w:rsidRPr="00F4268B">
              <w:t>$M</w:t>
            </w:r>
          </w:p>
        </w:tc>
        <w:tc>
          <w:tcPr>
            <w:tcW w:w="755" w:type="dxa"/>
            <w:hideMark/>
          </w:tcPr>
          <w:p w14:paraId="1312F051" w14:textId="77777777" w:rsidR="00265792" w:rsidRPr="00F4268B" w:rsidRDefault="00265792" w:rsidP="00DF220B">
            <w:pPr>
              <w:pStyle w:val="ARfintablecolheadright8"/>
            </w:pPr>
            <w:r w:rsidRPr="00F4268B">
              <w:t>11</w:t>
            </w:r>
          </w:p>
          <w:p w14:paraId="589A0FE4" w14:textId="77777777" w:rsidR="00265792" w:rsidRPr="00F4268B" w:rsidRDefault="00265792" w:rsidP="00DF220B">
            <w:pPr>
              <w:pStyle w:val="ARfintablecolheadright8"/>
            </w:pPr>
            <w:r w:rsidRPr="00F4268B">
              <w:t>$M</w:t>
            </w:r>
          </w:p>
        </w:tc>
        <w:tc>
          <w:tcPr>
            <w:tcW w:w="755" w:type="dxa"/>
            <w:hideMark/>
          </w:tcPr>
          <w:p w14:paraId="29608E13" w14:textId="77777777" w:rsidR="00265792" w:rsidRPr="00F4268B" w:rsidRDefault="00265792" w:rsidP="00DF220B">
            <w:pPr>
              <w:pStyle w:val="ARfintablecolheadright8"/>
            </w:pPr>
            <w:r w:rsidRPr="00F4268B">
              <w:t>12</w:t>
            </w:r>
          </w:p>
          <w:p w14:paraId="7837261F" w14:textId="77777777" w:rsidR="00265792" w:rsidRPr="00F4268B" w:rsidRDefault="00265792" w:rsidP="00DF220B">
            <w:pPr>
              <w:pStyle w:val="ARfintablecolheadright8"/>
            </w:pPr>
            <w:r w:rsidRPr="00F4268B">
              <w:t>$M</w:t>
            </w:r>
          </w:p>
        </w:tc>
        <w:tc>
          <w:tcPr>
            <w:tcW w:w="755" w:type="dxa"/>
            <w:hideMark/>
          </w:tcPr>
          <w:p w14:paraId="76BE6E71" w14:textId="77777777" w:rsidR="00265792" w:rsidRPr="00F4268B" w:rsidRDefault="00265792" w:rsidP="00DF220B">
            <w:pPr>
              <w:pStyle w:val="ARfintablecolheadright8"/>
            </w:pPr>
            <w:r w:rsidRPr="00F4268B">
              <w:t>13</w:t>
            </w:r>
          </w:p>
          <w:p w14:paraId="029FD692" w14:textId="77777777" w:rsidR="00265792" w:rsidRPr="00F4268B" w:rsidRDefault="00265792" w:rsidP="00DF220B">
            <w:pPr>
              <w:pStyle w:val="ARfintablecolheadright8"/>
            </w:pPr>
            <w:r w:rsidRPr="00F4268B">
              <w:t>$M</w:t>
            </w:r>
          </w:p>
        </w:tc>
        <w:tc>
          <w:tcPr>
            <w:tcW w:w="755" w:type="dxa"/>
            <w:hideMark/>
          </w:tcPr>
          <w:p w14:paraId="48F759B5" w14:textId="77777777" w:rsidR="00265792" w:rsidRPr="00F4268B" w:rsidRDefault="00265792" w:rsidP="00DF220B">
            <w:pPr>
              <w:pStyle w:val="ARfintablecolheadright8"/>
            </w:pPr>
            <w:r w:rsidRPr="00F4268B">
              <w:t>14</w:t>
            </w:r>
          </w:p>
          <w:p w14:paraId="54395736" w14:textId="77777777" w:rsidR="00265792" w:rsidRPr="00F4268B" w:rsidRDefault="00265792" w:rsidP="00DF220B">
            <w:pPr>
              <w:pStyle w:val="ARfintablecolheadright8"/>
            </w:pPr>
            <w:r w:rsidRPr="00F4268B">
              <w:t>$M</w:t>
            </w:r>
          </w:p>
        </w:tc>
        <w:tc>
          <w:tcPr>
            <w:tcW w:w="755" w:type="dxa"/>
            <w:hideMark/>
          </w:tcPr>
          <w:p w14:paraId="36D39706" w14:textId="77777777" w:rsidR="00265792" w:rsidRPr="00F4268B" w:rsidRDefault="00265792" w:rsidP="00DF220B">
            <w:pPr>
              <w:pStyle w:val="ARfintablecolheadright8"/>
            </w:pPr>
            <w:r w:rsidRPr="00F4268B">
              <w:t>Total</w:t>
            </w:r>
          </w:p>
          <w:p w14:paraId="6E5583F0" w14:textId="77777777" w:rsidR="00265792" w:rsidRPr="00F4268B" w:rsidRDefault="00265792" w:rsidP="00DF220B">
            <w:pPr>
              <w:pStyle w:val="ARfintablecolheadright8"/>
            </w:pPr>
            <w:r w:rsidRPr="00F4268B">
              <w:t>$M</w:t>
            </w:r>
          </w:p>
        </w:tc>
      </w:tr>
      <w:tr w:rsidR="00C41CA1" w:rsidRPr="00BA7805" w14:paraId="69212B5C" w14:textId="77777777">
        <w:trPr>
          <w:trHeight w:val="170"/>
        </w:trPr>
        <w:tc>
          <w:tcPr>
            <w:tcW w:w="13815" w:type="dxa"/>
            <w:gridSpan w:val="16"/>
          </w:tcPr>
          <w:p w14:paraId="0E22D3B9" w14:textId="749DB8B9" w:rsidR="00C41CA1" w:rsidRPr="00707EE3" w:rsidRDefault="00C41CA1" w:rsidP="00C41CA1">
            <w:pPr>
              <w:pStyle w:val="ARfintablebodybold8pt"/>
            </w:pPr>
            <w:r w:rsidRPr="00C41CA1">
              <w:t>Revenue and income from transactions</w:t>
            </w:r>
          </w:p>
        </w:tc>
      </w:tr>
      <w:tr w:rsidR="00D4645A" w:rsidRPr="00BA7805" w14:paraId="149CA257" w14:textId="77777777" w:rsidTr="000C72DD">
        <w:trPr>
          <w:trHeight w:val="170"/>
        </w:trPr>
        <w:tc>
          <w:tcPr>
            <w:tcW w:w="2552" w:type="dxa"/>
          </w:tcPr>
          <w:p w14:paraId="3F818EA0" w14:textId="77777777" w:rsidR="00D4645A" w:rsidRPr="00BA7805" w:rsidRDefault="00D4645A" w:rsidP="00D4645A">
            <w:pPr>
              <w:pStyle w:val="ARfintablebody8pt"/>
              <w:spacing w:after="16"/>
              <w:rPr>
                <w:sz w:val="15"/>
                <w:highlight w:val="green"/>
              </w:rPr>
            </w:pPr>
            <w:r w:rsidRPr="00707EE3">
              <w:t>Output appropriations</w:t>
            </w:r>
          </w:p>
        </w:tc>
        <w:tc>
          <w:tcPr>
            <w:tcW w:w="694" w:type="dxa"/>
            <w:noWrap/>
          </w:tcPr>
          <w:p w14:paraId="68496BFC" w14:textId="6F08D8A1" w:rsidR="00D4645A" w:rsidRPr="00BA7805" w:rsidRDefault="00D4645A" w:rsidP="00D4645A">
            <w:pPr>
              <w:pStyle w:val="ARfintablebodyright8pt"/>
              <w:spacing w:after="16"/>
              <w:rPr>
                <w:highlight w:val="green"/>
              </w:rPr>
            </w:pPr>
            <w:r w:rsidRPr="00625B6D">
              <w:t>389.4</w:t>
            </w:r>
          </w:p>
        </w:tc>
        <w:tc>
          <w:tcPr>
            <w:tcW w:w="755" w:type="dxa"/>
            <w:noWrap/>
          </w:tcPr>
          <w:p w14:paraId="63C096E9" w14:textId="52FF4766" w:rsidR="00D4645A" w:rsidRPr="00BA7805" w:rsidRDefault="00D4645A" w:rsidP="00D4645A">
            <w:pPr>
              <w:pStyle w:val="ARfintablebodyright8pt"/>
              <w:spacing w:after="16"/>
              <w:rPr>
                <w:highlight w:val="green"/>
              </w:rPr>
            </w:pPr>
            <w:r w:rsidRPr="00625B6D">
              <w:t>2,375.9</w:t>
            </w:r>
          </w:p>
        </w:tc>
        <w:tc>
          <w:tcPr>
            <w:tcW w:w="755" w:type="dxa"/>
            <w:noWrap/>
          </w:tcPr>
          <w:p w14:paraId="6E6A45DA" w14:textId="3D24D22A" w:rsidR="00D4645A" w:rsidRPr="00BA7805" w:rsidRDefault="00D4645A" w:rsidP="00D4645A">
            <w:pPr>
              <w:pStyle w:val="ARfintablebodyright8pt"/>
              <w:spacing w:after="16"/>
              <w:rPr>
                <w:highlight w:val="green"/>
              </w:rPr>
            </w:pPr>
            <w:r w:rsidRPr="00625B6D">
              <w:t>1,763.3</w:t>
            </w:r>
          </w:p>
        </w:tc>
        <w:tc>
          <w:tcPr>
            <w:tcW w:w="755" w:type="dxa"/>
            <w:noWrap/>
          </w:tcPr>
          <w:p w14:paraId="7E06BAE5" w14:textId="27114848" w:rsidR="00D4645A" w:rsidRPr="00BA7805" w:rsidRDefault="00D4645A" w:rsidP="00D4645A">
            <w:pPr>
              <w:pStyle w:val="ARfintablebodyright8pt"/>
              <w:spacing w:after="16"/>
              <w:rPr>
                <w:highlight w:val="green"/>
              </w:rPr>
            </w:pPr>
            <w:r w:rsidRPr="00625B6D">
              <w:t>64.2</w:t>
            </w:r>
          </w:p>
        </w:tc>
        <w:tc>
          <w:tcPr>
            <w:tcW w:w="755" w:type="dxa"/>
            <w:noWrap/>
          </w:tcPr>
          <w:p w14:paraId="633CE963" w14:textId="1A41F7FF" w:rsidR="00D4645A" w:rsidRPr="00BA7805" w:rsidRDefault="00D4645A" w:rsidP="00D4645A">
            <w:pPr>
              <w:pStyle w:val="ARfintablebodyright8pt"/>
              <w:spacing w:after="16"/>
              <w:rPr>
                <w:highlight w:val="green"/>
              </w:rPr>
            </w:pPr>
            <w:r w:rsidRPr="00625B6D">
              <w:t>12.4</w:t>
            </w:r>
          </w:p>
        </w:tc>
        <w:tc>
          <w:tcPr>
            <w:tcW w:w="755" w:type="dxa"/>
            <w:noWrap/>
          </w:tcPr>
          <w:p w14:paraId="32D26118" w14:textId="248F056D" w:rsidR="00D4645A" w:rsidRPr="00BA7805" w:rsidRDefault="00D4645A" w:rsidP="00D4645A">
            <w:pPr>
              <w:pStyle w:val="ARfintablebodyright8pt"/>
              <w:spacing w:after="16"/>
              <w:rPr>
                <w:highlight w:val="green"/>
              </w:rPr>
            </w:pPr>
            <w:r w:rsidRPr="00625B6D">
              <w:t>64.4</w:t>
            </w:r>
          </w:p>
        </w:tc>
        <w:tc>
          <w:tcPr>
            <w:tcW w:w="754" w:type="dxa"/>
            <w:noWrap/>
          </w:tcPr>
          <w:p w14:paraId="4BE39F4C" w14:textId="4CAB3D05" w:rsidR="00D4645A" w:rsidRPr="00BA7805" w:rsidRDefault="00D4645A" w:rsidP="00D4645A">
            <w:pPr>
              <w:pStyle w:val="ARfintablebodyright8pt"/>
              <w:spacing w:after="16"/>
              <w:rPr>
                <w:highlight w:val="green"/>
              </w:rPr>
            </w:pPr>
            <w:r w:rsidRPr="00625B6D">
              <w:t>8.7</w:t>
            </w:r>
          </w:p>
        </w:tc>
        <w:tc>
          <w:tcPr>
            <w:tcW w:w="755" w:type="dxa"/>
            <w:noWrap/>
          </w:tcPr>
          <w:p w14:paraId="76630EAF" w14:textId="1400C773" w:rsidR="00D4645A" w:rsidRPr="00BA7805" w:rsidRDefault="00D4645A" w:rsidP="00D4645A">
            <w:pPr>
              <w:pStyle w:val="ARfintablebodyright8pt"/>
              <w:spacing w:after="16"/>
              <w:rPr>
                <w:highlight w:val="green"/>
              </w:rPr>
            </w:pPr>
            <w:r w:rsidRPr="00625B6D">
              <w:t>11.5</w:t>
            </w:r>
          </w:p>
        </w:tc>
        <w:tc>
          <w:tcPr>
            <w:tcW w:w="755" w:type="dxa"/>
            <w:noWrap/>
          </w:tcPr>
          <w:p w14:paraId="513734E0" w14:textId="285091C5" w:rsidR="00D4645A" w:rsidRPr="00BA7805" w:rsidRDefault="00D4645A" w:rsidP="00D4645A">
            <w:pPr>
              <w:pStyle w:val="ARfintablebodyright8pt"/>
              <w:spacing w:after="16"/>
              <w:rPr>
                <w:highlight w:val="green"/>
              </w:rPr>
            </w:pPr>
            <w:r w:rsidRPr="00625B6D">
              <w:t>23.4</w:t>
            </w:r>
          </w:p>
        </w:tc>
        <w:tc>
          <w:tcPr>
            <w:tcW w:w="755" w:type="dxa"/>
            <w:noWrap/>
          </w:tcPr>
          <w:p w14:paraId="4DF46564" w14:textId="0FBF7EF2" w:rsidR="00D4645A" w:rsidRPr="00BA7805" w:rsidRDefault="00D4645A" w:rsidP="00D4645A">
            <w:pPr>
              <w:pStyle w:val="ARfintablebodyright8pt"/>
              <w:spacing w:after="16"/>
              <w:rPr>
                <w:highlight w:val="green"/>
              </w:rPr>
            </w:pPr>
            <w:r w:rsidRPr="00625B6D">
              <w:t>25.7</w:t>
            </w:r>
          </w:p>
        </w:tc>
        <w:tc>
          <w:tcPr>
            <w:tcW w:w="755" w:type="dxa"/>
            <w:noWrap/>
          </w:tcPr>
          <w:p w14:paraId="33E29C5F" w14:textId="023F9C5D" w:rsidR="00D4645A" w:rsidRPr="00BA7805" w:rsidRDefault="00D4645A" w:rsidP="00D4645A">
            <w:pPr>
              <w:pStyle w:val="ARfintablebodyright8pt"/>
              <w:spacing w:after="16"/>
              <w:rPr>
                <w:highlight w:val="green"/>
              </w:rPr>
            </w:pPr>
            <w:r w:rsidRPr="00625B6D">
              <w:t>30.7</w:t>
            </w:r>
          </w:p>
        </w:tc>
        <w:tc>
          <w:tcPr>
            <w:tcW w:w="755" w:type="dxa"/>
            <w:noWrap/>
          </w:tcPr>
          <w:p w14:paraId="1795C9B2" w14:textId="05449854" w:rsidR="00D4645A" w:rsidRPr="00BA7805" w:rsidRDefault="00D4645A" w:rsidP="00D4645A">
            <w:pPr>
              <w:pStyle w:val="ARfintablebodyright8pt"/>
              <w:spacing w:after="16"/>
              <w:rPr>
                <w:highlight w:val="green"/>
              </w:rPr>
            </w:pPr>
            <w:r w:rsidRPr="00625B6D">
              <w:t>–</w:t>
            </w:r>
          </w:p>
        </w:tc>
        <w:tc>
          <w:tcPr>
            <w:tcW w:w="755" w:type="dxa"/>
            <w:noWrap/>
          </w:tcPr>
          <w:p w14:paraId="68677BB1" w14:textId="6526099B" w:rsidR="00D4645A" w:rsidRPr="00BA7805" w:rsidRDefault="00D4645A" w:rsidP="00D4645A">
            <w:pPr>
              <w:pStyle w:val="ARfintablebodyright8pt"/>
              <w:spacing w:after="16"/>
              <w:rPr>
                <w:highlight w:val="green"/>
              </w:rPr>
            </w:pPr>
            <w:r w:rsidRPr="00625B6D">
              <w:t>754.4</w:t>
            </w:r>
          </w:p>
        </w:tc>
        <w:tc>
          <w:tcPr>
            <w:tcW w:w="755" w:type="dxa"/>
            <w:noWrap/>
          </w:tcPr>
          <w:p w14:paraId="650120D2" w14:textId="0A2BE705" w:rsidR="00D4645A" w:rsidRPr="00BA7805" w:rsidRDefault="00D4645A" w:rsidP="00D4645A">
            <w:pPr>
              <w:pStyle w:val="ARfintablebodyright8pt"/>
              <w:spacing w:after="16"/>
              <w:rPr>
                <w:highlight w:val="green"/>
              </w:rPr>
            </w:pPr>
            <w:r w:rsidRPr="00625B6D">
              <w:t>783.2</w:t>
            </w:r>
          </w:p>
        </w:tc>
        <w:tc>
          <w:tcPr>
            <w:tcW w:w="755" w:type="dxa"/>
            <w:noWrap/>
          </w:tcPr>
          <w:p w14:paraId="77550B3A" w14:textId="2FDED496" w:rsidR="00D4645A" w:rsidRPr="00BA7805" w:rsidRDefault="00D4645A" w:rsidP="00D4645A">
            <w:pPr>
              <w:pStyle w:val="ARfintablebodyright8pt"/>
              <w:spacing w:after="16"/>
              <w:rPr>
                <w:highlight w:val="green"/>
              </w:rPr>
            </w:pPr>
            <w:r w:rsidRPr="00625B6D">
              <w:t>6,307.1</w:t>
            </w:r>
          </w:p>
        </w:tc>
      </w:tr>
      <w:tr w:rsidR="00265792" w:rsidRPr="00BA7805" w14:paraId="1B00EF20" w14:textId="77777777" w:rsidTr="000C72DD">
        <w:trPr>
          <w:trHeight w:val="170"/>
        </w:trPr>
        <w:tc>
          <w:tcPr>
            <w:tcW w:w="2552" w:type="dxa"/>
          </w:tcPr>
          <w:p w14:paraId="580C973B" w14:textId="77777777" w:rsidR="00265792" w:rsidRPr="00BA7805" w:rsidRDefault="00265792">
            <w:pPr>
              <w:pStyle w:val="ARfintablebody8pt"/>
              <w:spacing w:after="16"/>
              <w:rPr>
                <w:sz w:val="15"/>
                <w:highlight w:val="green"/>
              </w:rPr>
            </w:pPr>
            <w:r w:rsidRPr="00707EE3">
              <w:t>Special appropriations</w:t>
            </w:r>
          </w:p>
        </w:tc>
        <w:tc>
          <w:tcPr>
            <w:tcW w:w="694" w:type="dxa"/>
            <w:noWrap/>
          </w:tcPr>
          <w:p w14:paraId="7612920A" w14:textId="77777777" w:rsidR="00265792" w:rsidRPr="00BA7805" w:rsidRDefault="00265792">
            <w:pPr>
              <w:pStyle w:val="ARfintablebodyright8pt"/>
              <w:spacing w:after="16"/>
              <w:rPr>
                <w:highlight w:val="green"/>
              </w:rPr>
            </w:pPr>
            <w:r w:rsidRPr="00707EE3">
              <w:t>63.9</w:t>
            </w:r>
          </w:p>
        </w:tc>
        <w:tc>
          <w:tcPr>
            <w:tcW w:w="755" w:type="dxa"/>
            <w:noWrap/>
          </w:tcPr>
          <w:p w14:paraId="41798125" w14:textId="77777777" w:rsidR="00265792" w:rsidRPr="00BA7805" w:rsidRDefault="00265792">
            <w:pPr>
              <w:pStyle w:val="ARfintablebodyright8pt"/>
              <w:spacing w:after="16"/>
              <w:rPr>
                <w:highlight w:val="green"/>
              </w:rPr>
            </w:pPr>
            <w:r>
              <w:t>–</w:t>
            </w:r>
          </w:p>
        </w:tc>
        <w:tc>
          <w:tcPr>
            <w:tcW w:w="755" w:type="dxa"/>
            <w:noWrap/>
          </w:tcPr>
          <w:p w14:paraId="6D5C377D" w14:textId="77777777" w:rsidR="00265792" w:rsidRPr="00BA7805" w:rsidRDefault="00265792">
            <w:pPr>
              <w:pStyle w:val="ARfintablebodyright8pt"/>
              <w:spacing w:after="16"/>
              <w:rPr>
                <w:highlight w:val="green"/>
              </w:rPr>
            </w:pPr>
            <w:r>
              <w:t>–</w:t>
            </w:r>
          </w:p>
        </w:tc>
        <w:tc>
          <w:tcPr>
            <w:tcW w:w="755" w:type="dxa"/>
            <w:noWrap/>
          </w:tcPr>
          <w:p w14:paraId="05C9A874" w14:textId="77777777" w:rsidR="00265792" w:rsidRPr="00BA7805" w:rsidRDefault="00265792">
            <w:pPr>
              <w:pStyle w:val="ARfintablebodyright8pt"/>
              <w:spacing w:after="16"/>
              <w:rPr>
                <w:highlight w:val="green"/>
              </w:rPr>
            </w:pPr>
            <w:r>
              <w:t>–</w:t>
            </w:r>
          </w:p>
        </w:tc>
        <w:tc>
          <w:tcPr>
            <w:tcW w:w="755" w:type="dxa"/>
            <w:noWrap/>
          </w:tcPr>
          <w:p w14:paraId="24502F4D" w14:textId="77777777" w:rsidR="00265792" w:rsidRPr="00BA7805" w:rsidRDefault="00265792">
            <w:pPr>
              <w:pStyle w:val="ARfintablebodyright8pt"/>
              <w:spacing w:after="16"/>
              <w:rPr>
                <w:highlight w:val="green"/>
              </w:rPr>
            </w:pPr>
            <w:r>
              <w:t>–</w:t>
            </w:r>
          </w:p>
        </w:tc>
        <w:tc>
          <w:tcPr>
            <w:tcW w:w="755" w:type="dxa"/>
            <w:noWrap/>
          </w:tcPr>
          <w:p w14:paraId="3333698D" w14:textId="77777777" w:rsidR="00265792" w:rsidRPr="00BA7805" w:rsidRDefault="00265792">
            <w:pPr>
              <w:pStyle w:val="ARfintablebodyright8pt"/>
              <w:spacing w:after="16"/>
              <w:rPr>
                <w:highlight w:val="green"/>
              </w:rPr>
            </w:pPr>
            <w:r>
              <w:t>–</w:t>
            </w:r>
          </w:p>
        </w:tc>
        <w:tc>
          <w:tcPr>
            <w:tcW w:w="754" w:type="dxa"/>
            <w:noWrap/>
          </w:tcPr>
          <w:p w14:paraId="56651220" w14:textId="77777777" w:rsidR="00265792" w:rsidRPr="00BA7805" w:rsidRDefault="00265792">
            <w:pPr>
              <w:pStyle w:val="ARfintablebodyright8pt"/>
              <w:spacing w:after="16"/>
              <w:rPr>
                <w:highlight w:val="green"/>
              </w:rPr>
            </w:pPr>
            <w:r>
              <w:t>–</w:t>
            </w:r>
          </w:p>
        </w:tc>
        <w:tc>
          <w:tcPr>
            <w:tcW w:w="755" w:type="dxa"/>
            <w:noWrap/>
          </w:tcPr>
          <w:p w14:paraId="7E752F89" w14:textId="77777777" w:rsidR="00265792" w:rsidRPr="00BA7805" w:rsidRDefault="00265792">
            <w:pPr>
              <w:pStyle w:val="ARfintablebodyright8pt"/>
              <w:spacing w:after="16"/>
              <w:rPr>
                <w:highlight w:val="green"/>
              </w:rPr>
            </w:pPr>
            <w:r>
              <w:t>–</w:t>
            </w:r>
          </w:p>
        </w:tc>
        <w:tc>
          <w:tcPr>
            <w:tcW w:w="755" w:type="dxa"/>
            <w:noWrap/>
          </w:tcPr>
          <w:p w14:paraId="70AD99C5" w14:textId="77777777" w:rsidR="00265792" w:rsidRPr="00BA7805" w:rsidRDefault="00265792">
            <w:pPr>
              <w:pStyle w:val="ARfintablebodyright8pt"/>
              <w:spacing w:after="16"/>
              <w:rPr>
                <w:highlight w:val="green"/>
              </w:rPr>
            </w:pPr>
            <w:r>
              <w:t>–</w:t>
            </w:r>
          </w:p>
        </w:tc>
        <w:tc>
          <w:tcPr>
            <w:tcW w:w="755" w:type="dxa"/>
            <w:noWrap/>
          </w:tcPr>
          <w:p w14:paraId="4EF11646" w14:textId="77777777" w:rsidR="00265792" w:rsidRPr="00BA7805" w:rsidRDefault="00265792">
            <w:pPr>
              <w:pStyle w:val="ARfintablebodyright8pt"/>
              <w:spacing w:after="16"/>
              <w:rPr>
                <w:highlight w:val="green"/>
              </w:rPr>
            </w:pPr>
            <w:r>
              <w:t>–</w:t>
            </w:r>
          </w:p>
        </w:tc>
        <w:tc>
          <w:tcPr>
            <w:tcW w:w="755" w:type="dxa"/>
            <w:noWrap/>
          </w:tcPr>
          <w:p w14:paraId="11F05113" w14:textId="77777777" w:rsidR="00265792" w:rsidRPr="00BA7805" w:rsidRDefault="00265792">
            <w:pPr>
              <w:pStyle w:val="ARfintablebodyright8pt"/>
              <w:spacing w:after="16"/>
              <w:rPr>
                <w:highlight w:val="green"/>
              </w:rPr>
            </w:pPr>
            <w:r>
              <w:t>–</w:t>
            </w:r>
          </w:p>
        </w:tc>
        <w:tc>
          <w:tcPr>
            <w:tcW w:w="755" w:type="dxa"/>
            <w:noWrap/>
          </w:tcPr>
          <w:p w14:paraId="4B6310FB" w14:textId="77777777" w:rsidR="00265792" w:rsidRPr="00BA7805" w:rsidRDefault="00265792">
            <w:pPr>
              <w:pStyle w:val="ARfintablebodyright8pt"/>
              <w:spacing w:after="16"/>
              <w:rPr>
                <w:highlight w:val="green"/>
              </w:rPr>
            </w:pPr>
            <w:r>
              <w:t>–</w:t>
            </w:r>
          </w:p>
        </w:tc>
        <w:tc>
          <w:tcPr>
            <w:tcW w:w="755" w:type="dxa"/>
            <w:noWrap/>
          </w:tcPr>
          <w:p w14:paraId="328F472C" w14:textId="77777777" w:rsidR="00265792" w:rsidRPr="00BA7805" w:rsidRDefault="00265792">
            <w:pPr>
              <w:pStyle w:val="ARfintablebodyright8pt"/>
              <w:spacing w:after="16"/>
              <w:rPr>
                <w:highlight w:val="green"/>
              </w:rPr>
            </w:pPr>
            <w:r w:rsidRPr="00707EE3">
              <w:t>31.6</w:t>
            </w:r>
          </w:p>
        </w:tc>
        <w:tc>
          <w:tcPr>
            <w:tcW w:w="755" w:type="dxa"/>
            <w:noWrap/>
          </w:tcPr>
          <w:p w14:paraId="3DAA4298" w14:textId="77777777" w:rsidR="00265792" w:rsidRPr="00BA7805" w:rsidRDefault="00265792">
            <w:pPr>
              <w:pStyle w:val="ARfintablebodyright8pt"/>
              <w:spacing w:after="16"/>
              <w:rPr>
                <w:highlight w:val="green"/>
              </w:rPr>
            </w:pPr>
            <w:r w:rsidRPr="00707EE3">
              <w:t>5.0</w:t>
            </w:r>
          </w:p>
        </w:tc>
        <w:tc>
          <w:tcPr>
            <w:tcW w:w="755" w:type="dxa"/>
            <w:noWrap/>
          </w:tcPr>
          <w:p w14:paraId="47C9925E" w14:textId="77777777" w:rsidR="00265792" w:rsidRPr="00BA7805" w:rsidRDefault="00265792">
            <w:pPr>
              <w:pStyle w:val="ARfintablebodyright8pt"/>
              <w:spacing w:after="16"/>
              <w:rPr>
                <w:highlight w:val="green"/>
              </w:rPr>
            </w:pPr>
            <w:r w:rsidRPr="00707EE3">
              <w:t>100.6</w:t>
            </w:r>
          </w:p>
        </w:tc>
      </w:tr>
      <w:tr w:rsidR="00265792" w:rsidRPr="00BA7805" w14:paraId="59DC3857" w14:textId="77777777" w:rsidTr="000C72DD">
        <w:trPr>
          <w:trHeight w:val="170"/>
        </w:trPr>
        <w:tc>
          <w:tcPr>
            <w:tcW w:w="2552" w:type="dxa"/>
          </w:tcPr>
          <w:p w14:paraId="0DE26356" w14:textId="77777777" w:rsidR="00265792" w:rsidRPr="00BA7805" w:rsidRDefault="00265792">
            <w:pPr>
              <w:pStyle w:val="ARfintablebody8pt"/>
              <w:spacing w:after="16"/>
              <w:rPr>
                <w:sz w:val="15"/>
                <w:highlight w:val="green"/>
              </w:rPr>
            </w:pPr>
            <w:r w:rsidRPr="00707EE3">
              <w:t xml:space="preserve">Rental income </w:t>
            </w:r>
          </w:p>
        </w:tc>
        <w:tc>
          <w:tcPr>
            <w:tcW w:w="694" w:type="dxa"/>
            <w:noWrap/>
          </w:tcPr>
          <w:p w14:paraId="4109A35F" w14:textId="77777777" w:rsidR="00265792" w:rsidRPr="00BA7805" w:rsidRDefault="00265792">
            <w:pPr>
              <w:pStyle w:val="ARfintablebodyright8pt"/>
              <w:spacing w:after="16"/>
              <w:rPr>
                <w:highlight w:val="green"/>
              </w:rPr>
            </w:pPr>
            <w:r>
              <w:t>–</w:t>
            </w:r>
          </w:p>
        </w:tc>
        <w:tc>
          <w:tcPr>
            <w:tcW w:w="755" w:type="dxa"/>
            <w:noWrap/>
          </w:tcPr>
          <w:p w14:paraId="29CD5824" w14:textId="77777777" w:rsidR="00265792" w:rsidRPr="00BA7805" w:rsidRDefault="00265792">
            <w:pPr>
              <w:pStyle w:val="ARfintablebodyright8pt"/>
              <w:spacing w:after="16"/>
              <w:rPr>
                <w:highlight w:val="green"/>
              </w:rPr>
            </w:pPr>
            <w:r>
              <w:t>–</w:t>
            </w:r>
          </w:p>
        </w:tc>
        <w:tc>
          <w:tcPr>
            <w:tcW w:w="755" w:type="dxa"/>
            <w:noWrap/>
          </w:tcPr>
          <w:p w14:paraId="45BB34BF" w14:textId="77777777" w:rsidR="00265792" w:rsidRPr="00BA7805" w:rsidRDefault="00265792">
            <w:pPr>
              <w:pStyle w:val="ARfintablebodyright8pt"/>
              <w:spacing w:after="16"/>
              <w:rPr>
                <w:highlight w:val="green"/>
              </w:rPr>
            </w:pPr>
            <w:r>
              <w:t>–</w:t>
            </w:r>
          </w:p>
        </w:tc>
        <w:tc>
          <w:tcPr>
            <w:tcW w:w="755" w:type="dxa"/>
            <w:noWrap/>
          </w:tcPr>
          <w:p w14:paraId="39E34ACB" w14:textId="77777777" w:rsidR="00265792" w:rsidRPr="00BA7805" w:rsidRDefault="00265792">
            <w:pPr>
              <w:pStyle w:val="ARfintablebodyright8pt"/>
              <w:spacing w:after="16"/>
              <w:rPr>
                <w:highlight w:val="green"/>
              </w:rPr>
            </w:pPr>
            <w:r>
              <w:t>–</w:t>
            </w:r>
          </w:p>
        </w:tc>
        <w:tc>
          <w:tcPr>
            <w:tcW w:w="755" w:type="dxa"/>
            <w:noWrap/>
          </w:tcPr>
          <w:p w14:paraId="5FB92B8E" w14:textId="77777777" w:rsidR="00265792" w:rsidRPr="00BA7805" w:rsidRDefault="00265792">
            <w:pPr>
              <w:pStyle w:val="ARfintablebodyright8pt"/>
              <w:spacing w:after="16"/>
              <w:rPr>
                <w:highlight w:val="green"/>
              </w:rPr>
            </w:pPr>
            <w:r>
              <w:t>–</w:t>
            </w:r>
          </w:p>
        </w:tc>
        <w:tc>
          <w:tcPr>
            <w:tcW w:w="755" w:type="dxa"/>
            <w:noWrap/>
          </w:tcPr>
          <w:p w14:paraId="5DC8D04F" w14:textId="77777777" w:rsidR="00265792" w:rsidRPr="00BA7805" w:rsidRDefault="00265792">
            <w:pPr>
              <w:pStyle w:val="ARfintablebodyright8pt"/>
              <w:spacing w:after="16"/>
              <w:rPr>
                <w:highlight w:val="green"/>
              </w:rPr>
            </w:pPr>
            <w:r>
              <w:t>–</w:t>
            </w:r>
          </w:p>
        </w:tc>
        <w:tc>
          <w:tcPr>
            <w:tcW w:w="754" w:type="dxa"/>
            <w:noWrap/>
          </w:tcPr>
          <w:p w14:paraId="7BEC4BD9" w14:textId="77777777" w:rsidR="00265792" w:rsidRPr="00BA7805" w:rsidRDefault="00265792">
            <w:pPr>
              <w:pStyle w:val="ARfintablebodyright8pt"/>
              <w:spacing w:after="16"/>
              <w:rPr>
                <w:highlight w:val="green"/>
              </w:rPr>
            </w:pPr>
            <w:r>
              <w:t>–</w:t>
            </w:r>
          </w:p>
        </w:tc>
        <w:tc>
          <w:tcPr>
            <w:tcW w:w="755" w:type="dxa"/>
            <w:noWrap/>
          </w:tcPr>
          <w:p w14:paraId="3326CC47" w14:textId="77777777" w:rsidR="00265792" w:rsidRPr="00BA7805" w:rsidRDefault="00265792">
            <w:pPr>
              <w:pStyle w:val="ARfintablebodyright8pt"/>
              <w:spacing w:after="16"/>
              <w:rPr>
                <w:highlight w:val="green"/>
              </w:rPr>
            </w:pPr>
            <w:r>
              <w:t>–</w:t>
            </w:r>
          </w:p>
        </w:tc>
        <w:tc>
          <w:tcPr>
            <w:tcW w:w="755" w:type="dxa"/>
            <w:noWrap/>
          </w:tcPr>
          <w:p w14:paraId="727790CA" w14:textId="77777777" w:rsidR="00265792" w:rsidRPr="00BA7805" w:rsidRDefault="00265792">
            <w:pPr>
              <w:pStyle w:val="ARfintablebodyright8pt"/>
              <w:spacing w:after="16"/>
              <w:rPr>
                <w:highlight w:val="green"/>
              </w:rPr>
            </w:pPr>
            <w:r>
              <w:t>–</w:t>
            </w:r>
          </w:p>
        </w:tc>
        <w:tc>
          <w:tcPr>
            <w:tcW w:w="755" w:type="dxa"/>
            <w:noWrap/>
          </w:tcPr>
          <w:p w14:paraId="6FFA7CC8" w14:textId="77777777" w:rsidR="00265792" w:rsidRPr="00BA7805" w:rsidRDefault="00265792">
            <w:pPr>
              <w:pStyle w:val="ARfintablebodyright8pt"/>
              <w:spacing w:after="16"/>
              <w:rPr>
                <w:highlight w:val="green"/>
              </w:rPr>
            </w:pPr>
            <w:r>
              <w:t>–</w:t>
            </w:r>
          </w:p>
        </w:tc>
        <w:tc>
          <w:tcPr>
            <w:tcW w:w="755" w:type="dxa"/>
            <w:noWrap/>
          </w:tcPr>
          <w:p w14:paraId="7791F7F8" w14:textId="77777777" w:rsidR="00265792" w:rsidRPr="00BA7805" w:rsidRDefault="00265792">
            <w:pPr>
              <w:pStyle w:val="ARfintablebodyright8pt"/>
              <w:spacing w:after="16"/>
              <w:rPr>
                <w:highlight w:val="green"/>
              </w:rPr>
            </w:pPr>
            <w:r>
              <w:t>–</w:t>
            </w:r>
          </w:p>
        </w:tc>
        <w:tc>
          <w:tcPr>
            <w:tcW w:w="755" w:type="dxa"/>
            <w:noWrap/>
          </w:tcPr>
          <w:p w14:paraId="35E2D3EA" w14:textId="77777777" w:rsidR="00265792" w:rsidRPr="00BA7805" w:rsidRDefault="00265792">
            <w:pPr>
              <w:pStyle w:val="ARfintablebodyright8pt"/>
              <w:spacing w:after="16"/>
              <w:rPr>
                <w:highlight w:val="green"/>
              </w:rPr>
            </w:pPr>
            <w:r>
              <w:t>–</w:t>
            </w:r>
          </w:p>
        </w:tc>
        <w:tc>
          <w:tcPr>
            <w:tcW w:w="755" w:type="dxa"/>
            <w:noWrap/>
          </w:tcPr>
          <w:p w14:paraId="59E8845C" w14:textId="77777777" w:rsidR="00265792" w:rsidRPr="00BA7805" w:rsidRDefault="00265792">
            <w:pPr>
              <w:pStyle w:val="ARfintablebodyright8pt"/>
              <w:spacing w:after="16"/>
              <w:rPr>
                <w:highlight w:val="green"/>
              </w:rPr>
            </w:pPr>
            <w:r>
              <w:t>–</w:t>
            </w:r>
          </w:p>
        </w:tc>
        <w:tc>
          <w:tcPr>
            <w:tcW w:w="755" w:type="dxa"/>
            <w:noWrap/>
          </w:tcPr>
          <w:p w14:paraId="482A9AC8" w14:textId="77777777" w:rsidR="00265792" w:rsidRPr="00BA7805" w:rsidRDefault="00265792">
            <w:pPr>
              <w:pStyle w:val="ARfintablebodyright8pt"/>
              <w:spacing w:after="16"/>
              <w:rPr>
                <w:highlight w:val="green"/>
              </w:rPr>
            </w:pPr>
            <w:r w:rsidRPr="00707EE3">
              <w:t>594.6</w:t>
            </w:r>
          </w:p>
        </w:tc>
        <w:tc>
          <w:tcPr>
            <w:tcW w:w="755" w:type="dxa"/>
            <w:noWrap/>
          </w:tcPr>
          <w:p w14:paraId="2580D0EF" w14:textId="77777777" w:rsidR="00265792" w:rsidRPr="00BA7805" w:rsidRDefault="00265792">
            <w:pPr>
              <w:pStyle w:val="ARfintablebodyright8pt"/>
              <w:spacing w:after="16"/>
              <w:rPr>
                <w:highlight w:val="green"/>
              </w:rPr>
            </w:pPr>
            <w:r w:rsidRPr="00707EE3">
              <w:t>594.6</w:t>
            </w:r>
          </w:p>
        </w:tc>
      </w:tr>
      <w:tr w:rsidR="00265792" w:rsidRPr="00BA7805" w14:paraId="33D34167" w14:textId="77777777" w:rsidTr="000C72DD">
        <w:trPr>
          <w:trHeight w:val="170"/>
        </w:trPr>
        <w:tc>
          <w:tcPr>
            <w:tcW w:w="2552" w:type="dxa"/>
            <w:tcBorders>
              <w:bottom w:val="single" w:sz="4" w:space="0" w:color="A6A6A6" w:themeColor="accent5"/>
            </w:tcBorders>
          </w:tcPr>
          <w:p w14:paraId="706A4170" w14:textId="77777777" w:rsidR="00265792" w:rsidRPr="00BA7805" w:rsidRDefault="00265792">
            <w:pPr>
              <w:pStyle w:val="ARfintablebody8pt"/>
              <w:spacing w:after="16"/>
              <w:rPr>
                <w:sz w:val="15"/>
                <w:highlight w:val="green"/>
              </w:rPr>
            </w:pPr>
            <w:r w:rsidRPr="00707EE3">
              <w:t>Grants</w:t>
            </w:r>
          </w:p>
        </w:tc>
        <w:tc>
          <w:tcPr>
            <w:tcW w:w="694" w:type="dxa"/>
            <w:tcBorders>
              <w:bottom w:val="single" w:sz="4" w:space="0" w:color="A6A6A6" w:themeColor="accent5"/>
            </w:tcBorders>
            <w:noWrap/>
          </w:tcPr>
          <w:p w14:paraId="375D4BBE" w14:textId="77777777" w:rsidR="00265792" w:rsidRPr="00BA7805" w:rsidRDefault="00265792">
            <w:pPr>
              <w:pStyle w:val="ARfintablebodyright8pt"/>
              <w:spacing w:after="16"/>
              <w:rPr>
                <w:highlight w:val="green"/>
              </w:rPr>
            </w:pPr>
            <w:r>
              <w:t>6</w:t>
            </w:r>
            <w:r w:rsidRPr="00707EE3">
              <w:t>.1</w:t>
            </w:r>
          </w:p>
        </w:tc>
        <w:tc>
          <w:tcPr>
            <w:tcW w:w="755" w:type="dxa"/>
            <w:tcBorders>
              <w:bottom w:val="single" w:sz="4" w:space="0" w:color="A6A6A6" w:themeColor="accent5"/>
            </w:tcBorders>
            <w:noWrap/>
          </w:tcPr>
          <w:p w14:paraId="112F7ACA" w14:textId="77777777" w:rsidR="00265792" w:rsidRPr="00BA7805" w:rsidRDefault="00265792">
            <w:pPr>
              <w:pStyle w:val="ARfintablebodyright8pt"/>
              <w:spacing w:after="16"/>
              <w:rPr>
                <w:highlight w:val="green"/>
              </w:rPr>
            </w:pPr>
            <w:r w:rsidRPr="00707EE3">
              <w:t>23.9</w:t>
            </w:r>
          </w:p>
        </w:tc>
        <w:tc>
          <w:tcPr>
            <w:tcW w:w="755" w:type="dxa"/>
            <w:tcBorders>
              <w:bottom w:val="single" w:sz="4" w:space="0" w:color="A6A6A6" w:themeColor="accent5"/>
            </w:tcBorders>
            <w:noWrap/>
          </w:tcPr>
          <w:p w14:paraId="658644CA" w14:textId="77777777" w:rsidR="00265792" w:rsidRPr="00BA7805" w:rsidRDefault="00265792">
            <w:pPr>
              <w:pStyle w:val="ARfintablebodyright8pt"/>
              <w:spacing w:after="16"/>
              <w:rPr>
                <w:highlight w:val="green"/>
              </w:rPr>
            </w:pPr>
            <w:r>
              <w:t>–</w:t>
            </w:r>
          </w:p>
        </w:tc>
        <w:tc>
          <w:tcPr>
            <w:tcW w:w="755" w:type="dxa"/>
            <w:tcBorders>
              <w:bottom w:val="single" w:sz="4" w:space="0" w:color="A6A6A6" w:themeColor="accent5"/>
            </w:tcBorders>
            <w:noWrap/>
          </w:tcPr>
          <w:p w14:paraId="6B09D611" w14:textId="77777777" w:rsidR="00265792" w:rsidRPr="00BA7805" w:rsidRDefault="00265792">
            <w:pPr>
              <w:pStyle w:val="ARfintablebodyright8pt"/>
              <w:spacing w:after="16"/>
              <w:rPr>
                <w:highlight w:val="green"/>
              </w:rPr>
            </w:pPr>
            <w:r w:rsidRPr="00707EE3">
              <w:t>2.1</w:t>
            </w:r>
          </w:p>
        </w:tc>
        <w:tc>
          <w:tcPr>
            <w:tcW w:w="755" w:type="dxa"/>
            <w:tcBorders>
              <w:bottom w:val="single" w:sz="4" w:space="0" w:color="A6A6A6" w:themeColor="accent5"/>
            </w:tcBorders>
            <w:noWrap/>
          </w:tcPr>
          <w:p w14:paraId="73663E76" w14:textId="77777777" w:rsidR="00265792" w:rsidRPr="00BA7805" w:rsidRDefault="00265792">
            <w:pPr>
              <w:pStyle w:val="ARfintablebodyright8pt"/>
              <w:spacing w:after="16"/>
              <w:rPr>
                <w:highlight w:val="green"/>
              </w:rPr>
            </w:pPr>
            <w:r w:rsidRPr="00707EE3">
              <w:t>1.7</w:t>
            </w:r>
          </w:p>
        </w:tc>
        <w:tc>
          <w:tcPr>
            <w:tcW w:w="755" w:type="dxa"/>
            <w:tcBorders>
              <w:bottom w:val="single" w:sz="4" w:space="0" w:color="A6A6A6" w:themeColor="accent5"/>
            </w:tcBorders>
            <w:noWrap/>
          </w:tcPr>
          <w:p w14:paraId="34773179" w14:textId="77777777" w:rsidR="00265792" w:rsidRPr="00BA7805" w:rsidRDefault="00265792">
            <w:pPr>
              <w:pStyle w:val="ARfintablebodyright8pt"/>
              <w:spacing w:after="16"/>
              <w:rPr>
                <w:highlight w:val="green"/>
              </w:rPr>
            </w:pPr>
            <w:r w:rsidRPr="00707EE3">
              <w:t>0.4</w:t>
            </w:r>
          </w:p>
        </w:tc>
        <w:tc>
          <w:tcPr>
            <w:tcW w:w="754" w:type="dxa"/>
            <w:tcBorders>
              <w:bottom w:val="single" w:sz="4" w:space="0" w:color="A6A6A6" w:themeColor="accent5"/>
            </w:tcBorders>
            <w:noWrap/>
          </w:tcPr>
          <w:p w14:paraId="5BB1CB7E" w14:textId="77777777" w:rsidR="00265792" w:rsidRPr="00BA7805" w:rsidRDefault="00265792">
            <w:pPr>
              <w:pStyle w:val="ARfintablebodyright8pt"/>
              <w:spacing w:after="16"/>
              <w:rPr>
                <w:highlight w:val="green"/>
              </w:rPr>
            </w:pPr>
            <w:r w:rsidRPr="00707EE3">
              <w:t>1.6</w:t>
            </w:r>
          </w:p>
        </w:tc>
        <w:tc>
          <w:tcPr>
            <w:tcW w:w="755" w:type="dxa"/>
            <w:tcBorders>
              <w:bottom w:val="single" w:sz="4" w:space="0" w:color="A6A6A6" w:themeColor="accent5"/>
            </w:tcBorders>
            <w:noWrap/>
          </w:tcPr>
          <w:p w14:paraId="4ED88720" w14:textId="77777777" w:rsidR="00265792" w:rsidRPr="00BA7805" w:rsidRDefault="00265792">
            <w:pPr>
              <w:pStyle w:val="ARfintablebodyright8pt"/>
              <w:spacing w:after="16"/>
              <w:rPr>
                <w:highlight w:val="green"/>
              </w:rPr>
            </w:pPr>
            <w:r w:rsidRPr="00707EE3">
              <w:t>0.1</w:t>
            </w:r>
          </w:p>
        </w:tc>
        <w:tc>
          <w:tcPr>
            <w:tcW w:w="755" w:type="dxa"/>
            <w:tcBorders>
              <w:bottom w:val="single" w:sz="4" w:space="0" w:color="A6A6A6" w:themeColor="accent5"/>
            </w:tcBorders>
            <w:noWrap/>
          </w:tcPr>
          <w:p w14:paraId="63C4B51C" w14:textId="77777777" w:rsidR="00265792" w:rsidRPr="00BA7805" w:rsidRDefault="00265792">
            <w:pPr>
              <w:pStyle w:val="ARfintablebodyright8pt"/>
              <w:spacing w:after="16"/>
              <w:rPr>
                <w:highlight w:val="green"/>
              </w:rPr>
            </w:pPr>
            <w:r w:rsidRPr="00707EE3">
              <w:t>1.1</w:t>
            </w:r>
          </w:p>
        </w:tc>
        <w:tc>
          <w:tcPr>
            <w:tcW w:w="755" w:type="dxa"/>
            <w:tcBorders>
              <w:bottom w:val="single" w:sz="4" w:space="0" w:color="A6A6A6" w:themeColor="accent5"/>
            </w:tcBorders>
            <w:noWrap/>
          </w:tcPr>
          <w:p w14:paraId="0C64CEE3" w14:textId="77777777" w:rsidR="00265792" w:rsidRPr="00BA7805" w:rsidRDefault="00265792">
            <w:pPr>
              <w:pStyle w:val="ARfintablebodyright8pt"/>
              <w:spacing w:after="16"/>
              <w:rPr>
                <w:highlight w:val="green"/>
              </w:rPr>
            </w:pPr>
            <w:r w:rsidRPr="00707EE3">
              <w:t>1.8</w:t>
            </w:r>
          </w:p>
        </w:tc>
        <w:tc>
          <w:tcPr>
            <w:tcW w:w="755" w:type="dxa"/>
            <w:tcBorders>
              <w:bottom w:val="single" w:sz="4" w:space="0" w:color="A6A6A6" w:themeColor="accent5"/>
            </w:tcBorders>
            <w:noWrap/>
          </w:tcPr>
          <w:p w14:paraId="12619A88" w14:textId="77777777" w:rsidR="00265792" w:rsidRPr="00BA7805" w:rsidRDefault="00265792">
            <w:pPr>
              <w:pStyle w:val="ARfintablebodyright8pt"/>
              <w:spacing w:after="16"/>
              <w:rPr>
                <w:highlight w:val="green"/>
              </w:rPr>
            </w:pPr>
            <w:r w:rsidRPr="00707EE3">
              <w:t>0.9</w:t>
            </w:r>
          </w:p>
        </w:tc>
        <w:tc>
          <w:tcPr>
            <w:tcW w:w="755" w:type="dxa"/>
            <w:tcBorders>
              <w:bottom w:val="single" w:sz="4" w:space="0" w:color="A6A6A6" w:themeColor="accent5"/>
            </w:tcBorders>
            <w:noWrap/>
          </w:tcPr>
          <w:p w14:paraId="4572127F" w14:textId="77777777" w:rsidR="00265792" w:rsidRPr="00BA7805" w:rsidRDefault="00265792">
            <w:pPr>
              <w:pStyle w:val="ARfintablebodyright8pt"/>
              <w:spacing w:after="16"/>
              <w:rPr>
                <w:highlight w:val="green"/>
              </w:rPr>
            </w:pPr>
            <w:r>
              <w:t>–</w:t>
            </w:r>
          </w:p>
        </w:tc>
        <w:tc>
          <w:tcPr>
            <w:tcW w:w="755" w:type="dxa"/>
            <w:tcBorders>
              <w:bottom w:val="single" w:sz="4" w:space="0" w:color="A6A6A6" w:themeColor="accent5"/>
            </w:tcBorders>
            <w:noWrap/>
          </w:tcPr>
          <w:p w14:paraId="443C69BA" w14:textId="77777777" w:rsidR="00265792" w:rsidRPr="00BA7805" w:rsidRDefault="00265792">
            <w:pPr>
              <w:pStyle w:val="ARfintablebodyright8pt"/>
              <w:spacing w:after="16"/>
              <w:rPr>
                <w:highlight w:val="green"/>
              </w:rPr>
            </w:pPr>
            <w:r w:rsidRPr="00707EE3">
              <w:t>1.3</w:t>
            </w:r>
          </w:p>
        </w:tc>
        <w:tc>
          <w:tcPr>
            <w:tcW w:w="755" w:type="dxa"/>
            <w:tcBorders>
              <w:bottom w:val="single" w:sz="4" w:space="0" w:color="A6A6A6" w:themeColor="accent5"/>
            </w:tcBorders>
            <w:noWrap/>
          </w:tcPr>
          <w:p w14:paraId="5CB0EB5F" w14:textId="77777777" w:rsidR="00265792" w:rsidRPr="00BA7805" w:rsidRDefault="00265792">
            <w:pPr>
              <w:pStyle w:val="ARfintablebodyright8pt"/>
              <w:spacing w:after="16"/>
              <w:rPr>
                <w:highlight w:val="green"/>
              </w:rPr>
            </w:pPr>
            <w:r>
              <w:t>244.3</w:t>
            </w:r>
          </w:p>
        </w:tc>
        <w:tc>
          <w:tcPr>
            <w:tcW w:w="755" w:type="dxa"/>
            <w:tcBorders>
              <w:bottom w:val="single" w:sz="4" w:space="0" w:color="A6A6A6" w:themeColor="accent5"/>
            </w:tcBorders>
            <w:noWrap/>
          </w:tcPr>
          <w:p w14:paraId="0A427D72" w14:textId="77777777" w:rsidR="00265792" w:rsidRPr="00BA7805" w:rsidRDefault="00265792">
            <w:pPr>
              <w:pStyle w:val="ARfintablebodyright8pt"/>
              <w:spacing w:after="16"/>
              <w:rPr>
                <w:highlight w:val="green"/>
              </w:rPr>
            </w:pPr>
            <w:r w:rsidRPr="00707EE3">
              <w:t>285.3</w:t>
            </w:r>
          </w:p>
        </w:tc>
      </w:tr>
      <w:tr w:rsidR="00265792" w:rsidRPr="00BA7805" w14:paraId="7D2707BF" w14:textId="77777777" w:rsidTr="000C72DD">
        <w:trPr>
          <w:trHeight w:val="170"/>
        </w:trPr>
        <w:tc>
          <w:tcPr>
            <w:tcW w:w="2552" w:type="dxa"/>
            <w:tcBorders>
              <w:top w:val="single" w:sz="4" w:space="0" w:color="A6A6A6" w:themeColor="accent5"/>
              <w:bottom w:val="single" w:sz="4" w:space="0" w:color="000000" w:themeColor="text1"/>
            </w:tcBorders>
          </w:tcPr>
          <w:p w14:paraId="4A80CEBB" w14:textId="77777777" w:rsidR="00265792" w:rsidRPr="00BA7805" w:rsidRDefault="00265792">
            <w:pPr>
              <w:pStyle w:val="ARfintablebody8pt"/>
              <w:spacing w:after="16"/>
              <w:rPr>
                <w:sz w:val="15"/>
                <w:highlight w:val="green"/>
              </w:rPr>
            </w:pPr>
            <w:r w:rsidRPr="00707EE3">
              <w:t>Other income</w:t>
            </w:r>
          </w:p>
        </w:tc>
        <w:tc>
          <w:tcPr>
            <w:tcW w:w="694" w:type="dxa"/>
            <w:tcBorders>
              <w:top w:val="single" w:sz="4" w:space="0" w:color="A6A6A6" w:themeColor="accent5"/>
              <w:bottom w:val="single" w:sz="4" w:space="0" w:color="000000" w:themeColor="text1"/>
            </w:tcBorders>
            <w:noWrap/>
          </w:tcPr>
          <w:p w14:paraId="4A87AC42" w14:textId="77777777" w:rsidR="00265792" w:rsidRPr="00BA7805" w:rsidRDefault="00265792">
            <w:pPr>
              <w:pStyle w:val="ARfintablebodyright8pt"/>
              <w:spacing w:after="16"/>
              <w:rPr>
                <w:highlight w:val="green"/>
              </w:rPr>
            </w:pPr>
            <w:r w:rsidRPr="00707EE3">
              <w:t>1.8</w:t>
            </w:r>
          </w:p>
        </w:tc>
        <w:tc>
          <w:tcPr>
            <w:tcW w:w="755" w:type="dxa"/>
            <w:tcBorders>
              <w:top w:val="single" w:sz="4" w:space="0" w:color="A6A6A6" w:themeColor="accent5"/>
              <w:bottom w:val="single" w:sz="4" w:space="0" w:color="000000" w:themeColor="text1"/>
            </w:tcBorders>
            <w:noWrap/>
          </w:tcPr>
          <w:p w14:paraId="51E82F06" w14:textId="77777777" w:rsidR="00265792" w:rsidRPr="00BA7805" w:rsidRDefault="00265792">
            <w:pPr>
              <w:pStyle w:val="ARfintablebodyright8pt"/>
              <w:spacing w:after="16"/>
              <w:rPr>
                <w:highlight w:val="green"/>
              </w:rPr>
            </w:pPr>
            <w:r w:rsidRPr="00707EE3">
              <w:t>1.9</w:t>
            </w:r>
          </w:p>
        </w:tc>
        <w:tc>
          <w:tcPr>
            <w:tcW w:w="755" w:type="dxa"/>
            <w:tcBorders>
              <w:top w:val="single" w:sz="4" w:space="0" w:color="A6A6A6" w:themeColor="accent5"/>
              <w:bottom w:val="single" w:sz="4" w:space="0" w:color="000000" w:themeColor="text1"/>
            </w:tcBorders>
            <w:noWrap/>
          </w:tcPr>
          <w:p w14:paraId="5360EB38"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482CAEB7"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7537877B"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6E557430" w14:textId="77777777" w:rsidR="00265792" w:rsidRPr="00BA7805" w:rsidRDefault="00265792">
            <w:pPr>
              <w:pStyle w:val="ARfintablebodyright8pt"/>
              <w:spacing w:after="16"/>
              <w:rPr>
                <w:highlight w:val="green"/>
              </w:rPr>
            </w:pPr>
            <w:r>
              <w:t>–</w:t>
            </w:r>
          </w:p>
        </w:tc>
        <w:tc>
          <w:tcPr>
            <w:tcW w:w="754" w:type="dxa"/>
            <w:tcBorders>
              <w:top w:val="single" w:sz="4" w:space="0" w:color="A6A6A6" w:themeColor="accent5"/>
              <w:bottom w:val="single" w:sz="4" w:space="0" w:color="000000" w:themeColor="text1"/>
            </w:tcBorders>
            <w:noWrap/>
          </w:tcPr>
          <w:p w14:paraId="5F57550A"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3466475C"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52CC6F62"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07D9F013"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4EDBCAD7"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61016DF3"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0EE3E6EF"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581F28A1" w14:textId="77777777" w:rsidR="00265792" w:rsidRPr="00BA7805" w:rsidRDefault="00265792">
            <w:pPr>
              <w:pStyle w:val="ARfintablebodyright8pt"/>
              <w:spacing w:after="16"/>
              <w:rPr>
                <w:highlight w:val="green"/>
              </w:rPr>
            </w:pPr>
            <w:r w:rsidRPr="00707EE3">
              <w:t>50.7</w:t>
            </w:r>
          </w:p>
        </w:tc>
        <w:tc>
          <w:tcPr>
            <w:tcW w:w="755" w:type="dxa"/>
            <w:tcBorders>
              <w:top w:val="single" w:sz="4" w:space="0" w:color="A6A6A6" w:themeColor="accent5"/>
              <w:bottom w:val="single" w:sz="4" w:space="0" w:color="000000" w:themeColor="text1"/>
            </w:tcBorders>
            <w:noWrap/>
          </w:tcPr>
          <w:p w14:paraId="3E667F1B" w14:textId="77777777" w:rsidR="00265792" w:rsidRPr="00BA7805" w:rsidRDefault="00265792">
            <w:pPr>
              <w:pStyle w:val="ARfintablebodyright8pt"/>
              <w:spacing w:after="16"/>
              <w:rPr>
                <w:highlight w:val="green"/>
              </w:rPr>
            </w:pPr>
            <w:r w:rsidRPr="00707EE3">
              <w:t>54.2</w:t>
            </w:r>
          </w:p>
        </w:tc>
      </w:tr>
      <w:tr w:rsidR="00265792" w:rsidRPr="00BA7805" w14:paraId="30E719E5" w14:textId="77777777" w:rsidTr="000C72DD">
        <w:trPr>
          <w:trHeight w:val="170"/>
        </w:trPr>
        <w:tc>
          <w:tcPr>
            <w:tcW w:w="2552" w:type="dxa"/>
            <w:tcBorders>
              <w:top w:val="single" w:sz="4" w:space="0" w:color="000000" w:themeColor="text1"/>
              <w:bottom w:val="single" w:sz="4" w:space="0" w:color="000000" w:themeColor="text1"/>
            </w:tcBorders>
          </w:tcPr>
          <w:p w14:paraId="5D611B87" w14:textId="77777777" w:rsidR="00265792" w:rsidRPr="00BA7805" w:rsidRDefault="00265792">
            <w:pPr>
              <w:pStyle w:val="ARfintablebodybold8pt"/>
              <w:rPr>
                <w:sz w:val="15"/>
                <w:highlight w:val="green"/>
              </w:rPr>
            </w:pPr>
            <w:r w:rsidRPr="00707EE3">
              <w:t>Total revenue and income from</w:t>
            </w:r>
            <w:r>
              <w:t> </w:t>
            </w:r>
            <w:r w:rsidRPr="00707EE3">
              <w:t>transactions</w:t>
            </w:r>
          </w:p>
        </w:tc>
        <w:tc>
          <w:tcPr>
            <w:tcW w:w="694" w:type="dxa"/>
            <w:tcBorders>
              <w:top w:val="single" w:sz="4" w:space="0" w:color="000000" w:themeColor="text1"/>
              <w:bottom w:val="single" w:sz="4" w:space="0" w:color="000000" w:themeColor="text1"/>
            </w:tcBorders>
            <w:noWrap/>
          </w:tcPr>
          <w:p w14:paraId="7169EEAB" w14:textId="77777777" w:rsidR="00265792" w:rsidRPr="00BA7805" w:rsidRDefault="00265792">
            <w:pPr>
              <w:pStyle w:val="ARfintablebodyrightbold8pt"/>
              <w:spacing w:after="16"/>
              <w:rPr>
                <w:highlight w:val="green"/>
              </w:rPr>
            </w:pPr>
            <w:r>
              <w:t>461.2</w:t>
            </w:r>
          </w:p>
        </w:tc>
        <w:tc>
          <w:tcPr>
            <w:tcW w:w="755" w:type="dxa"/>
            <w:tcBorders>
              <w:top w:val="single" w:sz="4" w:space="0" w:color="000000" w:themeColor="text1"/>
              <w:bottom w:val="single" w:sz="4" w:space="0" w:color="000000" w:themeColor="text1"/>
            </w:tcBorders>
            <w:noWrap/>
          </w:tcPr>
          <w:p w14:paraId="07F61427" w14:textId="77777777" w:rsidR="00265792" w:rsidRPr="00BA7805" w:rsidRDefault="00265792">
            <w:pPr>
              <w:pStyle w:val="ARfintablebodyrightbold8pt"/>
              <w:spacing w:after="16"/>
              <w:rPr>
                <w:highlight w:val="green"/>
              </w:rPr>
            </w:pPr>
            <w:r w:rsidRPr="00707EE3">
              <w:t>2,401.7</w:t>
            </w:r>
          </w:p>
        </w:tc>
        <w:tc>
          <w:tcPr>
            <w:tcW w:w="755" w:type="dxa"/>
            <w:tcBorders>
              <w:top w:val="single" w:sz="4" w:space="0" w:color="000000" w:themeColor="text1"/>
              <w:bottom w:val="single" w:sz="4" w:space="0" w:color="000000" w:themeColor="text1"/>
            </w:tcBorders>
            <w:noWrap/>
          </w:tcPr>
          <w:p w14:paraId="066FE3BA" w14:textId="77777777" w:rsidR="00265792" w:rsidRPr="00BA7805" w:rsidRDefault="00265792">
            <w:pPr>
              <w:pStyle w:val="ARfintablebodyrightbold8pt"/>
              <w:spacing w:after="16"/>
              <w:rPr>
                <w:highlight w:val="green"/>
              </w:rPr>
            </w:pPr>
            <w:r w:rsidRPr="00707EE3">
              <w:t>1,763.3</w:t>
            </w:r>
          </w:p>
        </w:tc>
        <w:tc>
          <w:tcPr>
            <w:tcW w:w="755" w:type="dxa"/>
            <w:tcBorders>
              <w:top w:val="single" w:sz="4" w:space="0" w:color="000000" w:themeColor="text1"/>
              <w:bottom w:val="single" w:sz="4" w:space="0" w:color="000000" w:themeColor="text1"/>
            </w:tcBorders>
            <w:noWrap/>
          </w:tcPr>
          <w:p w14:paraId="0D801BF5" w14:textId="77777777" w:rsidR="00265792" w:rsidRPr="00BA7805" w:rsidRDefault="00265792">
            <w:pPr>
              <w:pStyle w:val="ARfintablebodyrightbold8pt"/>
              <w:spacing w:after="16"/>
              <w:rPr>
                <w:highlight w:val="green"/>
              </w:rPr>
            </w:pPr>
            <w:r w:rsidRPr="00707EE3">
              <w:t>66.3</w:t>
            </w:r>
          </w:p>
        </w:tc>
        <w:tc>
          <w:tcPr>
            <w:tcW w:w="755" w:type="dxa"/>
            <w:tcBorders>
              <w:top w:val="single" w:sz="4" w:space="0" w:color="000000" w:themeColor="text1"/>
              <w:bottom w:val="single" w:sz="4" w:space="0" w:color="000000" w:themeColor="text1"/>
            </w:tcBorders>
            <w:noWrap/>
          </w:tcPr>
          <w:p w14:paraId="06BD4120" w14:textId="77777777" w:rsidR="00265792" w:rsidRPr="00BA7805" w:rsidRDefault="00265792">
            <w:pPr>
              <w:pStyle w:val="ARfintablebodyrightbold8pt"/>
              <w:spacing w:after="16"/>
              <w:rPr>
                <w:highlight w:val="green"/>
              </w:rPr>
            </w:pPr>
            <w:r w:rsidRPr="00707EE3">
              <w:t>14.1</w:t>
            </w:r>
          </w:p>
        </w:tc>
        <w:tc>
          <w:tcPr>
            <w:tcW w:w="755" w:type="dxa"/>
            <w:tcBorders>
              <w:top w:val="single" w:sz="4" w:space="0" w:color="000000" w:themeColor="text1"/>
              <w:bottom w:val="single" w:sz="4" w:space="0" w:color="000000" w:themeColor="text1"/>
            </w:tcBorders>
            <w:noWrap/>
          </w:tcPr>
          <w:p w14:paraId="2578282B" w14:textId="77777777" w:rsidR="00265792" w:rsidRPr="00BA7805" w:rsidRDefault="00265792">
            <w:pPr>
              <w:pStyle w:val="ARfintablebodyrightbold8pt"/>
              <w:spacing w:after="16"/>
              <w:rPr>
                <w:highlight w:val="green"/>
              </w:rPr>
            </w:pPr>
            <w:r w:rsidRPr="00707EE3">
              <w:t>64.8</w:t>
            </w:r>
          </w:p>
        </w:tc>
        <w:tc>
          <w:tcPr>
            <w:tcW w:w="754" w:type="dxa"/>
            <w:tcBorders>
              <w:top w:val="single" w:sz="4" w:space="0" w:color="000000" w:themeColor="text1"/>
              <w:bottom w:val="single" w:sz="4" w:space="0" w:color="000000" w:themeColor="text1"/>
            </w:tcBorders>
            <w:noWrap/>
          </w:tcPr>
          <w:p w14:paraId="0DA9AE4D" w14:textId="77777777" w:rsidR="00265792" w:rsidRPr="00BA7805" w:rsidRDefault="00265792">
            <w:pPr>
              <w:pStyle w:val="ARfintablebodyrightbold8pt"/>
              <w:spacing w:after="16"/>
              <w:rPr>
                <w:highlight w:val="green"/>
              </w:rPr>
            </w:pPr>
            <w:r w:rsidRPr="00707EE3">
              <w:t>10.3</w:t>
            </w:r>
          </w:p>
        </w:tc>
        <w:tc>
          <w:tcPr>
            <w:tcW w:w="755" w:type="dxa"/>
            <w:tcBorders>
              <w:top w:val="single" w:sz="4" w:space="0" w:color="000000" w:themeColor="text1"/>
              <w:bottom w:val="single" w:sz="4" w:space="0" w:color="000000" w:themeColor="text1"/>
            </w:tcBorders>
            <w:noWrap/>
          </w:tcPr>
          <w:p w14:paraId="419067AF" w14:textId="77777777" w:rsidR="00265792" w:rsidRPr="00BA7805" w:rsidRDefault="00265792">
            <w:pPr>
              <w:pStyle w:val="ARfintablebodyrightbold8pt"/>
              <w:spacing w:after="16"/>
              <w:rPr>
                <w:highlight w:val="green"/>
              </w:rPr>
            </w:pPr>
            <w:r w:rsidRPr="00707EE3">
              <w:t>11.6</w:t>
            </w:r>
          </w:p>
        </w:tc>
        <w:tc>
          <w:tcPr>
            <w:tcW w:w="755" w:type="dxa"/>
            <w:tcBorders>
              <w:top w:val="single" w:sz="4" w:space="0" w:color="000000" w:themeColor="text1"/>
              <w:bottom w:val="single" w:sz="4" w:space="0" w:color="000000" w:themeColor="text1"/>
            </w:tcBorders>
            <w:noWrap/>
          </w:tcPr>
          <w:p w14:paraId="5BE688C1" w14:textId="77777777" w:rsidR="00265792" w:rsidRPr="00BA7805" w:rsidRDefault="00265792">
            <w:pPr>
              <w:pStyle w:val="ARfintablebodyrightbold8pt"/>
              <w:spacing w:after="16"/>
              <w:rPr>
                <w:highlight w:val="green"/>
              </w:rPr>
            </w:pPr>
            <w:r w:rsidRPr="00707EE3">
              <w:t>24.5</w:t>
            </w:r>
          </w:p>
        </w:tc>
        <w:tc>
          <w:tcPr>
            <w:tcW w:w="755" w:type="dxa"/>
            <w:tcBorders>
              <w:top w:val="single" w:sz="4" w:space="0" w:color="000000" w:themeColor="text1"/>
              <w:bottom w:val="single" w:sz="4" w:space="0" w:color="000000" w:themeColor="text1"/>
            </w:tcBorders>
            <w:noWrap/>
          </w:tcPr>
          <w:p w14:paraId="36192855" w14:textId="77777777" w:rsidR="00265792" w:rsidRPr="00BA7805" w:rsidRDefault="00265792">
            <w:pPr>
              <w:pStyle w:val="ARfintablebodyrightbold8pt"/>
              <w:spacing w:after="16"/>
              <w:rPr>
                <w:highlight w:val="green"/>
              </w:rPr>
            </w:pPr>
            <w:r w:rsidRPr="00707EE3">
              <w:t>27.5</w:t>
            </w:r>
          </w:p>
        </w:tc>
        <w:tc>
          <w:tcPr>
            <w:tcW w:w="755" w:type="dxa"/>
            <w:tcBorders>
              <w:top w:val="single" w:sz="4" w:space="0" w:color="000000" w:themeColor="text1"/>
              <w:bottom w:val="single" w:sz="4" w:space="0" w:color="000000" w:themeColor="text1"/>
            </w:tcBorders>
            <w:noWrap/>
          </w:tcPr>
          <w:p w14:paraId="7E2D2502" w14:textId="77777777" w:rsidR="00265792" w:rsidRPr="00BA7805" w:rsidRDefault="00265792">
            <w:pPr>
              <w:pStyle w:val="ARfintablebodyrightbold8pt"/>
              <w:spacing w:after="16"/>
              <w:rPr>
                <w:highlight w:val="green"/>
              </w:rPr>
            </w:pPr>
            <w:r w:rsidRPr="00707EE3">
              <w:t>31.6</w:t>
            </w:r>
          </w:p>
        </w:tc>
        <w:tc>
          <w:tcPr>
            <w:tcW w:w="755" w:type="dxa"/>
            <w:tcBorders>
              <w:top w:val="single" w:sz="4" w:space="0" w:color="000000" w:themeColor="text1"/>
              <w:bottom w:val="single" w:sz="4" w:space="0" w:color="000000" w:themeColor="text1"/>
            </w:tcBorders>
            <w:noWrap/>
          </w:tcPr>
          <w:p w14:paraId="24F1BFA7"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6952424E" w14:textId="77777777" w:rsidR="00265792" w:rsidRPr="00BA7805" w:rsidRDefault="00265792">
            <w:pPr>
              <w:pStyle w:val="ARfintablebodyrightbold8pt"/>
              <w:spacing w:after="16"/>
              <w:rPr>
                <w:highlight w:val="green"/>
              </w:rPr>
            </w:pPr>
            <w:r w:rsidRPr="00707EE3">
              <w:t>787.4</w:t>
            </w:r>
          </w:p>
        </w:tc>
        <w:tc>
          <w:tcPr>
            <w:tcW w:w="755" w:type="dxa"/>
            <w:tcBorders>
              <w:top w:val="single" w:sz="4" w:space="0" w:color="000000" w:themeColor="text1"/>
              <w:bottom w:val="single" w:sz="4" w:space="0" w:color="000000" w:themeColor="text1"/>
            </w:tcBorders>
            <w:noWrap/>
          </w:tcPr>
          <w:p w14:paraId="13C6A5F8" w14:textId="77777777" w:rsidR="00265792" w:rsidRPr="00BA7805" w:rsidRDefault="00265792">
            <w:pPr>
              <w:pStyle w:val="ARfintablebodyrightbold8pt"/>
              <w:spacing w:after="16"/>
              <w:rPr>
                <w:highlight w:val="green"/>
              </w:rPr>
            </w:pPr>
            <w:r>
              <w:t>1,677.8</w:t>
            </w:r>
          </w:p>
        </w:tc>
        <w:tc>
          <w:tcPr>
            <w:tcW w:w="755" w:type="dxa"/>
            <w:tcBorders>
              <w:top w:val="single" w:sz="4" w:space="0" w:color="000000" w:themeColor="text1"/>
              <w:bottom w:val="single" w:sz="4" w:space="0" w:color="000000" w:themeColor="text1"/>
            </w:tcBorders>
            <w:noWrap/>
          </w:tcPr>
          <w:p w14:paraId="46D9E9B2" w14:textId="77777777" w:rsidR="00265792" w:rsidRPr="00BA7805" w:rsidRDefault="00265792">
            <w:pPr>
              <w:pStyle w:val="ARfintablebodyrightbold8pt"/>
              <w:spacing w:after="16"/>
              <w:rPr>
                <w:highlight w:val="green"/>
              </w:rPr>
            </w:pPr>
            <w:r w:rsidRPr="00707EE3">
              <w:t>7,341.8</w:t>
            </w:r>
          </w:p>
        </w:tc>
      </w:tr>
      <w:tr w:rsidR="00265792" w:rsidRPr="00BA7805" w14:paraId="1DDBF163" w14:textId="77777777" w:rsidTr="000C72DD">
        <w:trPr>
          <w:trHeight w:val="170"/>
        </w:trPr>
        <w:tc>
          <w:tcPr>
            <w:tcW w:w="2552" w:type="dxa"/>
            <w:tcBorders>
              <w:top w:val="single" w:sz="4" w:space="0" w:color="000000" w:themeColor="text1"/>
            </w:tcBorders>
          </w:tcPr>
          <w:p w14:paraId="2CD943EE" w14:textId="77777777" w:rsidR="00265792" w:rsidRPr="00BA7805" w:rsidRDefault="00265792">
            <w:pPr>
              <w:pStyle w:val="ARfintablebodybold8pt"/>
              <w:rPr>
                <w:sz w:val="15"/>
                <w:highlight w:val="green"/>
              </w:rPr>
            </w:pPr>
            <w:r w:rsidRPr="00707EE3">
              <w:t>Expenses from transactions</w:t>
            </w:r>
          </w:p>
        </w:tc>
        <w:tc>
          <w:tcPr>
            <w:tcW w:w="694" w:type="dxa"/>
            <w:tcBorders>
              <w:top w:val="single" w:sz="4" w:space="0" w:color="000000" w:themeColor="text1"/>
            </w:tcBorders>
            <w:noWrap/>
          </w:tcPr>
          <w:p w14:paraId="260FBDDB"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44F33D78"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428A064D"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44208C6B"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2FB7B38C"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356FD10F" w14:textId="77777777" w:rsidR="00265792" w:rsidRPr="00BA7805" w:rsidRDefault="00265792">
            <w:pPr>
              <w:pStyle w:val="ARfintablebodyright8pt"/>
              <w:spacing w:after="16"/>
              <w:rPr>
                <w:highlight w:val="green"/>
              </w:rPr>
            </w:pPr>
          </w:p>
        </w:tc>
        <w:tc>
          <w:tcPr>
            <w:tcW w:w="754" w:type="dxa"/>
            <w:tcBorders>
              <w:top w:val="single" w:sz="4" w:space="0" w:color="000000" w:themeColor="text1"/>
            </w:tcBorders>
            <w:noWrap/>
          </w:tcPr>
          <w:p w14:paraId="1DB40611"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1E5976F2"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6934E14D"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2CB43A70"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1932B102"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48BD56CB"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22B78503"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757680B4" w14:textId="77777777" w:rsidR="00265792" w:rsidRPr="00BA7805" w:rsidRDefault="00265792">
            <w:pPr>
              <w:pStyle w:val="ARfintablebodyright8pt"/>
              <w:spacing w:after="16"/>
              <w:rPr>
                <w:highlight w:val="green"/>
              </w:rPr>
            </w:pPr>
          </w:p>
        </w:tc>
        <w:tc>
          <w:tcPr>
            <w:tcW w:w="755" w:type="dxa"/>
            <w:tcBorders>
              <w:top w:val="single" w:sz="4" w:space="0" w:color="000000" w:themeColor="text1"/>
            </w:tcBorders>
            <w:noWrap/>
          </w:tcPr>
          <w:p w14:paraId="5E347791" w14:textId="77777777" w:rsidR="00265792" w:rsidRPr="00BA7805" w:rsidRDefault="00265792">
            <w:pPr>
              <w:pStyle w:val="ARfintablebodyright8pt"/>
              <w:spacing w:after="16"/>
              <w:rPr>
                <w:highlight w:val="green"/>
              </w:rPr>
            </w:pPr>
          </w:p>
        </w:tc>
      </w:tr>
      <w:tr w:rsidR="00265792" w:rsidRPr="00BA7805" w14:paraId="170C3067" w14:textId="77777777" w:rsidTr="000C72DD">
        <w:trPr>
          <w:trHeight w:val="170"/>
        </w:trPr>
        <w:tc>
          <w:tcPr>
            <w:tcW w:w="2552" w:type="dxa"/>
          </w:tcPr>
          <w:p w14:paraId="19C8122C" w14:textId="77777777" w:rsidR="00265792" w:rsidRPr="00BA7805" w:rsidRDefault="00265792">
            <w:pPr>
              <w:pStyle w:val="ARfintablebody8pt"/>
              <w:spacing w:after="16"/>
              <w:rPr>
                <w:sz w:val="15"/>
                <w:highlight w:val="green"/>
              </w:rPr>
            </w:pPr>
            <w:r w:rsidRPr="00707EE3">
              <w:t>Employee benefits</w:t>
            </w:r>
          </w:p>
        </w:tc>
        <w:tc>
          <w:tcPr>
            <w:tcW w:w="694" w:type="dxa"/>
            <w:noWrap/>
          </w:tcPr>
          <w:p w14:paraId="2B6DE619" w14:textId="77777777" w:rsidR="00265792" w:rsidRPr="00BA7805" w:rsidRDefault="00265792">
            <w:pPr>
              <w:pStyle w:val="ARfintablebodyright8pt"/>
              <w:spacing w:after="16"/>
              <w:rPr>
                <w:highlight w:val="green"/>
              </w:rPr>
            </w:pPr>
            <w:r w:rsidRPr="00707EE3">
              <w:t>144.6</w:t>
            </w:r>
          </w:p>
        </w:tc>
        <w:tc>
          <w:tcPr>
            <w:tcW w:w="755" w:type="dxa"/>
            <w:noWrap/>
          </w:tcPr>
          <w:p w14:paraId="322104D4" w14:textId="77777777" w:rsidR="00265792" w:rsidRPr="00BA7805" w:rsidRDefault="00265792">
            <w:pPr>
              <w:pStyle w:val="ARfintablebodyright8pt"/>
              <w:spacing w:after="16"/>
              <w:rPr>
                <w:highlight w:val="green"/>
              </w:rPr>
            </w:pPr>
            <w:r w:rsidRPr="00707EE3">
              <w:t>606.1</w:t>
            </w:r>
          </w:p>
        </w:tc>
        <w:tc>
          <w:tcPr>
            <w:tcW w:w="755" w:type="dxa"/>
            <w:noWrap/>
          </w:tcPr>
          <w:p w14:paraId="37C31840" w14:textId="77777777" w:rsidR="00265792" w:rsidRPr="00BA7805" w:rsidRDefault="00265792">
            <w:pPr>
              <w:pStyle w:val="ARfintablebodyright8pt"/>
              <w:spacing w:after="16"/>
              <w:rPr>
                <w:highlight w:val="green"/>
              </w:rPr>
            </w:pPr>
            <w:r w:rsidRPr="00707EE3">
              <w:t>14.4</w:t>
            </w:r>
          </w:p>
        </w:tc>
        <w:tc>
          <w:tcPr>
            <w:tcW w:w="755" w:type="dxa"/>
            <w:noWrap/>
          </w:tcPr>
          <w:p w14:paraId="528623EB" w14:textId="77777777" w:rsidR="00265792" w:rsidRPr="00BA7805" w:rsidRDefault="00265792">
            <w:pPr>
              <w:pStyle w:val="ARfintablebodyright8pt"/>
              <w:spacing w:after="16"/>
              <w:rPr>
                <w:highlight w:val="green"/>
              </w:rPr>
            </w:pPr>
            <w:r w:rsidRPr="00707EE3">
              <w:t>4.7</w:t>
            </w:r>
          </w:p>
        </w:tc>
        <w:tc>
          <w:tcPr>
            <w:tcW w:w="755" w:type="dxa"/>
            <w:noWrap/>
          </w:tcPr>
          <w:p w14:paraId="7F1CD1F3" w14:textId="77777777" w:rsidR="00265792" w:rsidRPr="00BA7805" w:rsidRDefault="00265792">
            <w:pPr>
              <w:pStyle w:val="ARfintablebodyright8pt"/>
              <w:spacing w:after="16"/>
              <w:rPr>
                <w:highlight w:val="green"/>
              </w:rPr>
            </w:pPr>
            <w:r w:rsidRPr="00707EE3">
              <w:t>1.5</w:t>
            </w:r>
          </w:p>
        </w:tc>
        <w:tc>
          <w:tcPr>
            <w:tcW w:w="755" w:type="dxa"/>
            <w:noWrap/>
          </w:tcPr>
          <w:p w14:paraId="0FAF407B" w14:textId="77777777" w:rsidR="00265792" w:rsidRPr="00BA7805" w:rsidRDefault="00265792">
            <w:pPr>
              <w:pStyle w:val="ARfintablebodyright8pt"/>
              <w:spacing w:after="16"/>
              <w:rPr>
                <w:highlight w:val="green"/>
              </w:rPr>
            </w:pPr>
            <w:r w:rsidRPr="00707EE3">
              <w:t>4.9</w:t>
            </w:r>
          </w:p>
        </w:tc>
        <w:tc>
          <w:tcPr>
            <w:tcW w:w="754" w:type="dxa"/>
            <w:noWrap/>
          </w:tcPr>
          <w:p w14:paraId="5149630F" w14:textId="77777777" w:rsidR="00265792" w:rsidRPr="00BA7805" w:rsidRDefault="00265792">
            <w:pPr>
              <w:pStyle w:val="ARfintablebodyright8pt"/>
              <w:spacing w:after="16"/>
              <w:rPr>
                <w:highlight w:val="green"/>
              </w:rPr>
            </w:pPr>
            <w:r w:rsidRPr="00707EE3">
              <w:t>2.6</w:t>
            </w:r>
          </w:p>
        </w:tc>
        <w:tc>
          <w:tcPr>
            <w:tcW w:w="755" w:type="dxa"/>
            <w:noWrap/>
          </w:tcPr>
          <w:p w14:paraId="076A0F05" w14:textId="77777777" w:rsidR="00265792" w:rsidRPr="00BA7805" w:rsidRDefault="00265792">
            <w:pPr>
              <w:pStyle w:val="ARfintablebodyright8pt"/>
              <w:spacing w:after="16"/>
              <w:rPr>
                <w:highlight w:val="green"/>
              </w:rPr>
            </w:pPr>
            <w:r w:rsidRPr="00707EE3">
              <w:t>2.6</w:t>
            </w:r>
          </w:p>
        </w:tc>
        <w:tc>
          <w:tcPr>
            <w:tcW w:w="755" w:type="dxa"/>
            <w:noWrap/>
          </w:tcPr>
          <w:p w14:paraId="0ACEDAC2" w14:textId="77777777" w:rsidR="00265792" w:rsidRPr="00BA7805" w:rsidRDefault="00265792">
            <w:pPr>
              <w:pStyle w:val="ARfintablebodyright8pt"/>
              <w:spacing w:after="16"/>
              <w:rPr>
                <w:highlight w:val="green"/>
              </w:rPr>
            </w:pPr>
            <w:r w:rsidRPr="00707EE3">
              <w:t>7.5</w:t>
            </w:r>
          </w:p>
        </w:tc>
        <w:tc>
          <w:tcPr>
            <w:tcW w:w="755" w:type="dxa"/>
            <w:noWrap/>
          </w:tcPr>
          <w:p w14:paraId="3CAAF0D6" w14:textId="77777777" w:rsidR="00265792" w:rsidRPr="00BA7805" w:rsidRDefault="00265792">
            <w:pPr>
              <w:pStyle w:val="ARfintablebodyright8pt"/>
              <w:spacing w:after="16"/>
              <w:rPr>
                <w:highlight w:val="green"/>
              </w:rPr>
            </w:pPr>
            <w:r w:rsidRPr="00707EE3">
              <w:t>10.8</w:t>
            </w:r>
          </w:p>
        </w:tc>
        <w:tc>
          <w:tcPr>
            <w:tcW w:w="755" w:type="dxa"/>
            <w:noWrap/>
          </w:tcPr>
          <w:p w14:paraId="04E6099A" w14:textId="77777777" w:rsidR="00265792" w:rsidRPr="00BA7805" w:rsidRDefault="00265792">
            <w:pPr>
              <w:pStyle w:val="ARfintablebodyright8pt"/>
              <w:spacing w:after="16"/>
              <w:rPr>
                <w:highlight w:val="green"/>
              </w:rPr>
            </w:pPr>
            <w:r w:rsidRPr="00707EE3">
              <w:t>5.5</w:t>
            </w:r>
          </w:p>
        </w:tc>
        <w:tc>
          <w:tcPr>
            <w:tcW w:w="755" w:type="dxa"/>
            <w:noWrap/>
          </w:tcPr>
          <w:p w14:paraId="080B13D8" w14:textId="77777777" w:rsidR="00265792" w:rsidRPr="00BA7805" w:rsidRDefault="00265792">
            <w:pPr>
              <w:pStyle w:val="ARfintablebodyright8pt"/>
              <w:spacing w:after="16"/>
              <w:rPr>
                <w:highlight w:val="green"/>
              </w:rPr>
            </w:pPr>
            <w:r>
              <w:t>–</w:t>
            </w:r>
          </w:p>
        </w:tc>
        <w:tc>
          <w:tcPr>
            <w:tcW w:w="755" w:type="dxa"/>
            <w:noWrap/>
          </w:tcPr>
          <w:p w14:paraId="2C04F01B" w14:textId="77777777" w:rsidR="00265792" w:rsidRPr="00BA7805" w:rsidRDefault="00265792">
            <w:pPr>
              <w:pStyle w:val="ARfintablebodyright8pt"/>
              <w:spacing w:after="16"/>
              <w:rPr>
                <w:highlight w:val="green"/>
              </w:rPr>
            </w:pPr>
            <w:r w:rsidRPr="00707EE3">
              <w:t>69.5</w:t>
            </w:r>
          </w:p>
        </w:tc>
        <w:tc>
          <w:tcPr>
            <w:tcW w:w="755" w:type="dxa"/>
            <w:noWrap/>
          </w:tcPr>
          <w:p w14:paraId="547BFCD8" w14:textId="77777777" w:rsidR="00265792" w:rsidRPr="00BA7805" w:rsidRDefault="00265792">
            <w:pPr>
              <w:pStyle w:val="ARfintablebodyright8pt"/>
              <w:spacing w:after="16"/>
              <w:rPr>
                <w:highlight w:val="green"/>
              </w:rPr>
            </w:pPr>
            <w:r w:rsidRPr="00707EE3">
              <w:t>213.0</w:t>
            </w:r>
          </w:p>
        </w:tc>
        <w:tc>
          <w:tcPr>
            <w:tcW w:w="755" w:type="dxa"/>
            <w:noWrap/>
          </w:tcPr>
          <w:p w14:paraId="339FDDC9" w14:textId="77777777" w:rsidR="00265792" w:rsidRPr="00BA7805" w:rsidRDefault="00265792">
            <w:pPr>
              <w:pStyle w:val="ARfintablebodyright8pt"/>
              <w:spacing w:after="16"/>
              <w:rPr>
                <w:highlight w:val="green"/>
              </w:rPr>
            </w:pPr>
            <w:r w:rsidRPr="00707EE3">
              <w:t>1,087.6</w:t>
            </w:r>
          </w:p>
        </w:tc>
      </w:tr>
      <w:tr w:rsidR="003628B2" w:rsidRPr="00BA7805" w14:paraId="4F10D7DE" w14:textId="77777777" w:rsidTr="000C72DD">
        <w:trPr>
          <w:trHeight w:val="170"/>
        </w:trPr>
        <w:tc>
          <w:tcPr>
            <w:tcW w:w="2552" w:type="dxa"/>
          </w:tcPr>
          <w:p w14:paraId="49A9A4BA" w14:textId="36552723" w:rsidR="003628B2" w:rsidRPr="00BA7805" w:rsidRDefault="003628B2" w:rsidP="003628B2">
            <w:pPr>
              <w:pStyle w:val="ARfintablebody8pt"/>
              <w:spacing w:after="16"/>
              <w:rPr>
                <w:sz w:val="15"/>
                <w:highlight w:val="green"/>
              </w:rPr>
            </w:pPr>
            <w:r w:rsidRPr="00977145">
              <w:t>Depreciation and amortisation</w:t>
            </w:r>
          </w:p>
        </w:tc>
        <w:tc>
          <w:tcPr>
            <w:tcW w:w="694" w:type="dxa"/>
            <w:noWrap/>
          </w:tcPr>
          <w:p w14:paraId="0C214E16" w14:textId="3EC91D52" w:rsidR="003628B2" w:rsidRPr="00BA7805" w:rsidRDefault="003628B2" w:rsidP="003628B2">
            <w:pPr>
              <w:pStyle w:val="ARfintablebodyright8pt"/>
              <w:spacing w:after="16"/>
              <w:rPr>
                <w:highlight w:val="green"/>
              </w:rPr>
            </w:pPr>
            <w:r w:rsidRPr="00977145">
              <w:t>11.6</w:t>
            </w:r>
          </w:p>
        </w:tc>
        <w:tc>
          <w:tcPr>
            <w:tcW w:w="755" w:type="dxa"/>
            <w:noWrap/>
          </w:tcPr>
          <w:p w14:paraId="74BD65A6" w14:textId="16DDB8C5" w:rsidR="003628B2" w:rsidRPr="00BA7805" w:rsidRDefault="003628B2" w:rsidP="003628B2">
            <w:pPr>
              <w:pStyle w:val="ARfintablebodyright8pt"/>
              <w:spacing w:after="16"/>
              <w:rPr>
                <w:highlight w:val="green"/>
              </w:rPr>
            </w:pPr>
            <w:r w:rsidRPr="00977145">
              <w:t>15.9</w:t>
            </w:r>
          </w:p>
        </w:tc>
        <w:tc>
          <w:tcPr>
            <w:tcW w:w="755" w:type="dxa"/>
            <w:noWrap/>
          </w:tcPr>
          <w:p w14:paraId="20F19255" w14:textId="299DB21F" w:rsidR="003628B2" w:rsidRPr="00BA7805" w:rsidRDefault="003628B2" w:rsidP="003628B2">
            <w:pPr>
              <w:pStyle w:val="ARfintablebodyright8pt"/>
              <w:spacing w:after="16"/>
              <w:rPr>
                <w:highlight w:val="green"/>
              </w:rPr>
            </w:pPr>
            <w:r w:rsidRPr="00977145">
              <w:t>0.2</w:t>
            </w:r>
          </w:p>
        </w:tc>
        <w:tc>
          <w:tcPr>
            <w:tcW w:w="755" w:type="dxa"/>
            <w:noWrap/>
          </w:tcPr>
          <w:p w14:paraId="6E8798A0" w14:textId="6BAC93BA" w:rsidR="003628B2" w:rsidRPr="00BA7805" w:rsidRDefault="003628B2" w:rsidP="003628B2">
            <w:pPr>
              <w:pStyle w:val="ARfintablebodyright8pt"/>
              <w:spacing w:after="16"/>
              <w:rPr>
                <w:highlight w:val="green"/>
              </w:rPr>
            </w:pPr>
            <w:r w:rsidRPr="00977145">
              <w:t>–</w:t>
            </w:r>
          </w:p>
        </w:tc>
        <w:tc>
          <w:tcPr>
            <w:tcW w:w="755" w:type="dxa"/>
            <w:noWrap/>
          </w:tcPr>
          <w:p w14:paraId="62F7127B" w14:textId="256CA1FF" w:rsidR="003628B2" w:rsidRPr="00BA7805" w:rsidRDefault="003628B2" w:rsidP="003628B2">
            <w:pPr>
              <w:pStyle w:val="ARfintablebodyright8pt"/>
              <w:spacing w:after="16"/>
              <w:rPr>
                <w:highlight w:val="green"/>
              </w:rPr>
            </w:pPr>
            <w:r w:rsidRPr="00977145">
              <w:t>–</w:t>
            </w:r>
          </w:p>
        </w:tc>
        <w:tc>
          <w:tcPr>
            <w:tcW w:w="755" w:type="dxa"/>
            <w:noWrap/>
          </w:tcPr>
          <w:p w14:paraId="3B8CE94D" w14:textId="411A2232" w:rsidR="003628B2" w:rsidRPr="00BA7805" w:rsidRDefault="003628B2" w:rsidP="003628B2">
            <w:pPr>
              <w:pStyle w:val="ARfintablebodyright8pt"/>
              <w:spacing w:after="16"/>
              <w:rPr>
                <w:highlight w:val="green"/>
              </w:rPr>
            </w:pPr>
            <w:r w:rsidRPr="00977145">
              <w:t>–</w:t>
            </w:r>
          </w:p>
        </w:tc>
        <w:tc>
          <w:tcPr>
            <w:tcW w:w="754" w:type="dxa"/>
            <w:noWrap/>
          </w:tcPr>
          <w:p w14:paraId="27DF090A" w14:textId="3E41F4F9" w:rsidR="003628B2" w:rsidRPr="00BA7805" w:rsidRDefault="003628B2" w:rsidP="003628B2">
            <w:pPr>
              <w:pStyle w:val="ARfintablebodyright8pt"/>
              <w:spacing w:after="16"/>
              <w:rPr>
                <w:highlight w:val="green"/>
              </w:rPr>
            </w:pPr>
            <w:r w:rsidRPr="00977145">
              <w:t>–</w:t>
            </w:r>
          </w:p>
        </w:tc>
        <w:tc>
          <w:tcPr>
            <w:tcW w:w="755" w:type="dxa"/>
            <w:noWrap/>
          </w:tcPr>
          <w:p w14:paraId="326A84D9" w14:textId="0E46221A" w:rsidR="003628B2" w:rsidRPr="00BA7805" w:rsidRDefault="003628B2" w:rsidP="003628B2">
            <w:pPr>
              <w:pStyle w:val="ARfintablebodyright8pt"/>
              <w:spacing w:after="16"/>
              <w:rPr>
                <w:highlight w:val="green"/>
              </w:rPr>
            </w:pPr>
            <w:r w:rsidRPr="00977145">
              <w:t>–</w:t>
            </w:r>
          </w:p>
        </w:tc>
        <w:tc>
          <w:tcPr>
            <w:tcW w:w="755" w:type="dxa"/>
            <w:noWrap/>
          </w:tcPr>
          <w:p w14:paraId="3B7745DC" w14:textId="4305E17B" w:rsidR="003628B2" w:rsidRPr="00BA7805" w:rsidRDefault="003628B2" w:rsidP="003628B2">
            <w:pPr>
              <w:pStyle w:val="ARfintablebodyright8pt"/>
              <w:spacing w:after="16"/>
              <w:rPr>
                <w:highlight w:val="green"/>
              </w:rPr>
            </w:pPr>
            <w:r w:rsidRPr="00977145">
              <w:t>0.4</w:t>
            </w:r>
          </w:p>
        </w:tc>
        <w:tc>
          <w:tcPr>
            <w:tcW w:w="755" w:type="dxa"/>
            <w:noWrap/>
          </w:tcPr>
          <w:p w14:paraId="69BFD845" w14:textId="70924FB8" w:rsidR="003628B2" w:rsidRPr="00BA7805" w:rsidRDefault="003628B2" w:rsidP="003628B2">
            <w:pPr>
              <w:pStyle w:val="ARfintablebodyright8pt"/>
              <w:spacing w:after="16"/>
              <w:rPr>
                <w:highlight w:val="green"/>
              </w:rPr>
            </w:pPr>
            <w:r w:rsidRPr="00977145">
              <w:t>–</w:t>
            </w:r>
          </w:p>
        </w:tc>
        <w:tc>
          <w:tcPr>
            <w:tcW w:w="755" w:type="dxa"/>
            <w:noWrap/>
          </w:tcPr>
          <w:p w14:paraId="7FD8B69D" w14:textId="69F0352A" w:rsidR="003628B2" w:rsidRPr="00BA7805" w:rsidRDefault="00430898" w:rsidP="003628B2">
            <w:pPr>
              <w:pStyle w:val="ARfintablebodyright8pt"/>
              <w:spacing w:after="16"/>
              <w:rPr>
                <w:highlight w:val="green"/>
              </w:rPr>
            </w:pPr>
            <w:r w:rsidRPr="00977145">
              <w:t>–</w:t>
            </w:r>
          </w:p>
        </w:tc>
        <w:tc>
          <w:tcPr>
            <w:tcW w:w="755" w:type="dxa"/>
            <w:noWrap/>
          </w:tcPr>
          <w:p w14:paraId="37E2A64A" w14:textId="2A9CE58A" w:rsidR="003628B2" w:rsidRPr="00BA7805" w:rsidRDefault="003628B2" w:rsidP="003628B2">
            <w:pPr>
              <w:pStyle w:val="ARfintablebodyright8pt"/>
              <w:spacing w:after="16"/>
              <w:rPr>
                <w:highlight w:val="green"/>
              </w:rPr>
            </w:pPr>
            <w:r w:rsidRPr="00977145">
              <w:t>–</w:t>
            </w:r>
          </w:p>
        </w:tc>
        <w:tc>
          <w:tcPr>
            <w:tcW w:w="755" w:type="dxa"/>
            <w:noWrap/>
          </w:tcPr>
          <w:p w14:paraId="0D12251A" w14:textId="1609D5DD" w:rsidR="003628B2" w:rsidRPr="00BA7805" w:rsidRDefault="003628B2" w:rsidP="003628B2">
            <w:pPr>
              <w:pStyle w:val="ARfintablebodyright8pt"/>
              <w:spacing w:after="16"/>
              <w:rPr>
                <w:highlight w:val="green"/>
              </w:rPr>
            </w:pPr>
            <w:r w:rsidRPr="00977145">
              <w:t>16.6</w:t>
            </w:r>
          </w:p>
        </w:tc>
        <w:tc>
          <w:tcPr>
            <w:tcW w:w="755" w:type="dxa"/>
            <w:noWrap/>
          </w:tcPr>
          <w:p w14:paraId="0C25FD1D" w14:textId="455AB728" w:rsidR="003628B2" w:rsidRPr="00BA7805" w:rsidRDefault="003628B2" w:rsidP="003628B2">
            <w:pPr>
              <w:pStyle w:val="ARfintablebodyright8pt"/>
              <w:spacing w:after="16"/>
              <w:rPr>
                <w:highlight w:val="green"/>
              </w:rPr>
            </w:pPr>
            <w:r w:rsidRPr="00977145">
              <w:t>490.7</w:t>
            </w:r>
          </w:p>
        </w:tc>
        <w:tc>
          <w:tcPr>
            <w:tcW w:w="755" w:type="dxa"/>
            <w:noWrap/>
          </w:tcPr>
          <w:p w14:paraId="286BEA86" w14:textId="3110AF70" w:rsidR="003628B2" w:rsidRPr="00BA7805" w:rsidRDefault="003628B2" w:rsidP="003628B2">
            <w:pPr>
              <w:pStyle w:val="ARfintablebodyright8pt"/>
              <w:spacing w:after="16"/>
              <w:rPr>
                <w:highlight w:val="green"/>
              </w:rPr>
            </w:pPr>
            <w:r w:rsidRPr="00977145">
              <w:t>535.4</w:t>
            </w:r>
          </w:p>
        </w:tc>
      </w:tr>
      <w:tr w:rsidR="00265792" w:rsidRPr="00BA7805" w14:paraId="7C189B8A" w14:textId="77777777" w:rsidTr="000C72DD">
        <w:trPr>
          <w:trHeight w:val="170"/>
        </w:trPr>
        <w:tc>
          <w:tcPr>
            <w:tcW w:w="2552" w:type="dxa"/>
          </w:tcPr>
          <w:p w14:paraId="54363A89" w14:textId="77777777" w:rsidR="00265792" w:rsidRPr="00BA7805" w:rsidRDefault="00265792">
            <w:pPr>
              <w:pStyle w:val="ARfintablebody8pt"/>
              <w:spacing w:after="16"/>
              <w:rPr>
                <w:sz w:val="15"/>
                <w:highlight w:val="green"/>
              </w:rPr>
            </w:pPr>
            <w:r w:rsidRPr="00707EE3">
              <w:t>Other operating expenses</w:t>
            </w:r>
          </w:p>
        </w:tc>
        <w:tc>
          <w:tcPr>
            <w:tcW w:w="694" w:type="dxa"/>
            <w:noWrap/>
          </w:tcPr>
          <w:p w14:paraId="3F708046" w14:textId="77777777" w:rsidR="00265792" w:rsidRPr="00BA7805" w:rsidRDefault="00265792">
            <w:pPr>
              <w:pStyle w:val="ARfintablebodyright8pt"/>
              <w:spacing w:after="16"/>
              <w:rPr>
                <w:highlight w:val="green"/>
              </w:rPr>
            </w:pPr>
            <w:r w:rsidRPr="00707EE3">
              <w:t>92.3</w:t>
            </w:r>
          </w:p>
        </w:tc>
        <w:tc>
          <w:tcPr>
            <w:tcW w:w="755" w:type="dxa"/>
            <w:noWrap/>
          </w:tcPr>
          <w:p w14:paraId="59F5C37D" w14:textId="77777777" w:rsidR="00265792" w:rsidRPr="00BA7805" w:rsidRDefault="00265792">
            <w:pPr>
              <w:pStyle w:val="ARfintablebodyright8pt"/>
              <w:spacing w:after="16"/>
              <w:rPr>
                <w:highlight w:val="green"/>
              </w:rPr>
            </w:pPr>
            <w:r w:rsidRPr="00707EE3">
              <w:t>419.4</w:t>
            </w:r>
          </w:p>
        </w:tc>
        <w:tc>
          <w:tcPr>
            <w:tcW w:w="755" w:type="dxa"/>
            <w:noWrap/>
          </w:tcPr>
          <w:p w14:paraId="445965E1" w14:textId="77777777" w:rsidR="00265792" w:rsidRPr="00BA7805" w:rsidRDefault="00265792">
            <w:pPr>
              <w:pStyle w:val="ARfintablebodyright8pt"/>
              <w:spacing w:after="16"/>
              <w:rPr>
                <w:highlight w:val="green"/>
              </w:rPr>
            </w:pPr>
            <w:r w:rsidRPr="00707EE3">
              <w:t>8.0</w:t>
            </w:r>
          </w:p>
        </w:tc>
        <w:tc>
          <w:tcPr>
            <w:tcW w:w="755" w:type="dxa"/>
            <w:noWrap/>
          </w:tcPr>
          <w:p w14:paraId="34A64FEA" w14:textId="77777777" w:rsidR="00265792" w:rsidRPr="00BA7805" w:rsidRDefault="00265792">
            <w:pPr>
              <w:pStyle w:val="ARfintablebodyright8pt"/>
              <w:spacing w:after="16"/>
              <w:rPr>
                <w:highlight w:val="green"/>
              </w:rPr>
            </w:pPr>
            <w:r w:rsidRPr="00707EE3">
              <w:t>2.6</w:t>
            </w:r>
          </w:p>
        </w:tc>
        <w:tc>
          <w:tcPr>
            <w:tcW w:w="755" w:type="dxa"/>
            <w:noWrap/>
          </w:tcPr>
          <w:p w14:paraId="6B54A26A" w14:textId="77777777" w:rsidR="00265792" w:rsidRPr="00BA7805" w:rsidRDefault="00265792">
            <w:pPr>
              <w:pStyle w:val="ARfintablebodyright8pt"/>
              <w:spacing w:after="16"/>
              <w:rPr>
                <w:highlight w:val="green"/>
              </w:rPr>
            </w:pPr>
            <w:r w:rsidRPr="00707EE3">
              <w:t>0.4</w:t>
            </w:r>
          </w:p>
        </w:tc>
        <w:tc>
          <w:tcPr>
            <w:tcW w:w="755" w:type="dxa"/>
            <w:noWrap/>
          </w:tcPr>
          <w:p w14:paraId="28E7B79E" w14:textId="77777777" w:rsidR="00265792" w:rsidRPr="00BA7805" w:rsidRDefault="00265792">
            <w:pPr>
              <w:pStyle w:val="ARfintablebodyright8pt"/>
              <w:spacing w:after="16"/>
              <w:rPr>
                <w:highlight w:val="green"/>
              </w:rPr>
            </w:pPr>
            <w:r w:rsidRPr="00707EE3">
              <w:t>2.7</w:t>
            </w:r>
          </w:p>
        </w:tc>
        <w:tc>
          <w:tcPr>
            <w:tcW w:w="754" w:type="dxa"/>
            <w:noWrap/>
          </w:tcPr>
          <w:p w14:paraId="5C7BECA8" w14:textId="77777777" w:rsidR="00265792" w:rsidRPr="00BA7805" w:rsidRDefault="00265792">
            <w:pPr>
              <w:pStyle w:val="ARfintablebodyright8pt"/>
              <w:spacing w:after="16"/>
              <w:rPr>
                <w:highlight w:val="green"/>
              </w:rPr>
            </w:pPr>
            <w:r w:rsidRPr="00707EE3">
              <w:t>0.7</w:t>
            </w:r>
          </w:p>
        </w:tc>
        <w:tc>
          <w:tcPr>
            <w:tcW w:w="755" w:type="dxa"/>
            <w:noWrap/>
          </w:tcPr>
          <w:p w14:paraId="1932D515" w14:textId="77777777" w:rsidR="00265792" w:rsidRPr="00BA7805" w:rsidRDefault="00265792">
            <w:pPr>
              <w:pStyle w:val="ARfintablebodyright8pt"/>
              <w:spacing w:after="16"/>
              <w:rPr>
                <w:highlight w:val="green"/>
              </w:rPr>
            </w:pPr>
            <w:r w:rsidRPr="00707EE3">
              <w:t>0.5</w:t>
            </w:r>
          </w:p>
        </w:tc>
        <w:tc>
          <w:tcPr>
            <w:tcW w:w="755" w:type="dxa"/>
            <w:noWrap/>
          </w:tcPr>
          <w:p w14:paraId="4E253742" w14:textId="77777777" w:rsidR="00265792" w:rsidRPr="00BA7805" w:rsidRDefault="00265792">
            <w:pPr>
              <w:pStyle w:val="ARfintablebodyright8pt"/>
              <w:spacing w:after="16"/>
              <w:rPr>
                <w:highlight w:val="green"/>
              </w:rPr>
            </w:pPr>
            <w:r w:rsidRPr="00707EE3">
              <w:t>2.0</w:t>
            </w:r>
          </w:p>
        </w:tc>
        <w:tc>
          <w:tcPr>
            <w:tcW w:w="755" w:type="dxa"/>
            <w:noWrap/>
          </w:tcPr>
          <w:p w14:paraId="04C5B466" w14:textId="77777777" w:rsidR="00265792" w:rsidRPr="00BA7805" w:rsidRDefault="00265792">
            <w:pPr>
              <w:pStyle w:val="ARfintablebodyright8pt"/>
              <w:spacing w:after="16"/>
              <w:rPr>
                <w:highlight w:val="green"/>
              </w:rPr>
            </w:pPr>
            <w:r w:rsidRPr="00707EE3">
              <w:t>7.1</w:t>
            </w:r>
          </w:p>
        </w:tc>
        <w:tc>
          <w:tcPr>
            <w:tcW w:w="755" w:type="dxa"/>
            <w:noWrap/>
          </w:tcPr>
          <w:p w14:paraId="2FA6633B" w14:textId="77777777" w:rsidR="00265792" w:rsidRPr="00BA7805" w:rsidRDefault="00265792">
            <w:pPr>
              <w:pStyle w:val="ARfintablebodyright8pt"/>
              <w:spacing w:after="16"/>
              <w:rPr>
                <w:highlight w:val="green"/>
              </w:rPr>
            </w:pPr>
            <w:r w:rsidRPr="00707EE3">
              <w:t>1.3</w:t>
            </w:r>
          </w:p>
        </w:tc>
        <w:tc>
          <w:tcPr>
            <w:tcW w:w="755" w:type="dxa"/>
            <w:noWrap/>
          </w:tcPr>
          <w:p w14:paraId="1D398E6D" w14:textId="77777777" w:rsidR="00265792" w:rsidRPr="00BA7805" w:rsidRDefault="00265792">
            <w:pPr>
              <w:pStyle w:val="ARfintablebodyright8pt"/>
              <w:spacing w:after="16"/>
              <w:rPr>
                <w:highlight w:val="green"/>
              </w:rPr>
            </w:pPr>
            <w:r>
              <w:t>–</w:t>
            </w:r>
          </w:p>
        </w:tc>
        <w:tc>
          <w:tcPr>
            <w:tcW w:w="755" w:type="dxa"/>
            <w:noWrap/>
          </w:tcPr>
          <w:p w14:paraId="4419A3B8" w14:textId="77777777" w:rsidR="00265792" w:rsidRPr="00BA7805" w:rsidRDefault="00265792">
            <w:pPr>
              <w:pStyle w:val="ARfintablebodyright8pt"/>
              <w:spacing w:after="16"/>
              <w:rPr>
                <w:highlight w:val="green"/>
              </w:rPr>
            </w:pPr>
            <w:r w:rsidRPr="00707EE3">
              <w:t>39.9</w:t>
            </w:r>
          </w:p>
        </w:tc>
        <w:tc>
          <w:tcPr>
            <w:tcW w:w="755" w:type="dxa"/>
            <w:noWrap/>
          </w:tcPr>
          <w:p w14:paraId="26AAA58F" w14:textId="77777777" w:rsidR="00265792" w:rsidRPr="00BA7805" w:rsidRDefault="00265792">
            <w:pPr>
              <w:pStyle w:val="ARfintablebodyright8pt"/>
              <w:spacing w:after="16"/>
              <w:rPr>
                <w:highlight w:val="green"/>
              </w:rPr>
            </w:pPr>
            <w:r w:rsidRPr="00707EE3">
              <w:t>116.5</w:t>
            </w:r>
          </w:p>
        </w:tc>
        <w:tc>
          <w:tcPr>
            <w:tcW w:w="755" w:type="dxa"/>
            <w:noWrap/>
          </w:tcPr>
          <w:p w14:paraId="7B9E1F02" w14:textId="77777777" w:rsidR="00265792" w:rsidRPr="00BA7805" w:rsidRDefault="00265792">
            <w:pPr>
              <w:pStyle w:val="ARfintablebodyright8pt"/>
              <w:spacing w:after="16"/>
              <w:rPr>
                <w:highlight w:val="green"/>
              </w:rPr>
            </w:pPr>
            <w:r w:rsidRPr="00707EE3">
              <w:t>693.4</w:t>
            </w:r>
          </w:p>
        </w:tc>
      </w:tr>
      <w:tr w:rsidR="00265792" w:rsidRPr="00BA7805" w14:paraId="22A976A3" w14:textId="77777777" w:rsidTr="000C72DD">
        <w:trPr>
          <w:trHeight w:val="170"/>
        </w:trPr>
        <w:tc>
          <w:tcPr>
            <w:tcW w:w="2552" w:type="dxa"/>
            <w:tcBorders>
              <w:bottom w:val="single" w:sz="4" w:space="0" w:color="A6A6A6" w:themeColor="accent5"/>
            </w:tcBorders>
          </w:tcPr>
          <w:p w14:paraId="5713FB3C" w14:textId="77777777" w:rsidR="00265792" w:rsidRPr="00BA7805" w:rsidRDefault="00265792">
            <w:pPr>
              <w:pStyle w:val="ARfintablebody8pt"/>
              <w:spacing w:after="16"/>
              <w:rPr>
                <w:sz w:val="15"/>
                <w:highlight w:val="green"/>
              </w:rPr>
            </w:pPr>
            <w:r w:rsidRPr="00707EE3">
              <w:t>Grants and other transfers</w:t>
            </w:r>
          </w:p>
        </w:tc>
        <w:tc>
          <w:tcPr>
            <w:tcW w:w="694" w:type="dxa"/>
            <w:tcBorders>
              <w:bottom w:val="single" w:sz="4" w:space="0" w:color="A6A6A6" w:themeColor="accent5"/>
            </w:tcBorders>
            <w:noWrap/>
          </w:tcPr>
          <w:p w14:paraId="349A219C" w14:textId="77777777" w:rsidR="00265792" w:rsidRPr="00BA7805" w:rsidRDefault="00265792">
            <w:pPr>
              <w:pStyle w:val="ARfintablebodyright8pt"/>
              <w:spacing w:after="16"/>
              <w:rPr>
                <w:highlight w:val="green"/>
              </w:rPr>
            </w:pPr>
            <w:r>
              <w:t>202.4</w:t>
            </w:r>
          </w:p>
        </w:tc>
        <w:tc>
          <w:tcPr>
            <w:tcW w:w="755" w:type="dxa"/>
            <w:tcBorders>
              <w:bottom w:val="single" w:sz="4" w:space="0" w:color="A6A6A6" w:themeColor="accent5"/>
            </w:tcBorders>
            <w:noWrap/>
          </w:tcPr>
          <w:p w14:paraId="18083E55" w14:textId="77777777" w:rsidR="00265792" w:rsidRPr="00BA7805" w:rsidRDefault="00265792">
            <w:pPr>
              <w:pStyle w:val="ARfintablebodyright8pt"/>
              <w:spacing w:after="16"/>
              <w:rPr>
                <w:highlight w:val="green"/>
              </w:rPr>
            </w:pPr>
            <w:r w:rsidRPr="00707EE3">
              <w:t>1,484.2</w:t>
            </w:r>
          </w:p>
        </w:tc>
        <w:tc>
          <w:tcPr>
            <w:tcW w:w="755" w:type="dxa"/>
            <w:tcBorders>
              <w:bottom w:val="single" w:sz="4" w:space="0" w:color="A6A6A6" w:themeColor="accent5"/>
            </w:tcBorders>
            <w:noWrap/>
          </w:tcPr>
          <w:p w14:paraId="0F4C027F" w14:textId="77777777" w:rsidR="00265792" w:rsidRPr="00BA7805" w:rsidRDefault="00265792">
            <w:pPr>
              <w:pStyle w:val="ARfintablebodyright8pt"/>
              <w:spacing w:after="16"/>
              <w:rPr>
                <w:highlight w:val="green"/>
              </w:rPr>
            </w:pPr>
            <w:r w:rsidRPr="00707EE3">
              <w:t>1,733.3</w:t>
            </w:r>
          </w:p>
        </w:tc>
        <w:tc>
          <w:tcPr>
            <w:tcW w:w="755" w:type="dxa"/>
            <w:tcBorders>
              <w:bottom w:val="single" w:sz="4" w:space="0" w:color="A6A6A6" w:themeColor="accent5"/>
            </w:tcBorders>
            <w:noWrap/>
          </w:tcPr>
          <w:p w14:paraId="72087DC7" w14:textId="77777777" w:rsidR="00265792" w:rsidRPr="00BA7805" w:rsidRDefault="00265792">
            <w:pPr>
              <w:pStyle w:val="ARfintablebodyright8pt"/>
              <w:spacing w:after="16"/>
              <w:rPr>
                <w:highlight w:val="green"/>
              </w:rPr>
            </w:pPr>
            <w:r w:rsidRPr="00707EE3">
              <w:t>59.1</w:t>
            </w:r>
          </w:p>
        </w:tc>
        <w:tc>
          <w:tcPr>
            <w:tcW w:w="755" w:type="dxa"/>
            <w:tcBorders>
              <w:bottom w:val="single" w:sz="4" w:space="0" w:color="A6A6A6" w:themeColor="accent5"/>
            </w:tcBorders>
            <w:noWrap/>
          </w:tcPr>
          <w:p w14:paraId="4ACE2B9C" w14:textId="77777777" w:rsidR="00265792" w:rsidRPr="00BA7805" w:rsidRDefault="00265792">
            <w:pPr>
              <w:pStyle w:val="ARfintablebodyright8pt"/>
              <w:spacing w:after="16"/>
              <w:rPr>
                <w:highlight w:val="green"/>
              </w:rPr>
            </w:pPr>
            <w:r w:rsidRPr="00707EE3">
              <w:t>12.8</w:t>
            </w:r>
          </w:p>
        </w:tc>
        <w:tc>
          <w:tcPr>
            <w:tcW w:w="755" w:type="dxa"/>
            <w:tcBorders>
              <w:bottom w:val="single" w:sz="4" w:space="0" w:color="A6A6A6" w:themeColor="accent5"/>
            </w:tcBorders>
            <w:noWrap/>
          </w:tcPr>
          <w:p w14:paraId="626BE44C" w14:textId="77777777" w:rsidR="00265792" w:rsidRPr="00BA7805" w:rsidRDefault="00265792">
            <w:pPr>
              <w:pStyle w:val="ARfintablebodyright8pt"/>
              <w:spacing w:after="16"/>
              <w:rPr>
                <w:highlight w:val="green"/>
              </w:rPr>
            </w:pPr>
            <w:r w:rsidRPr="00707EE3">
              <w:t>57.5</w:t>
            </w:r>
          </w:p>
        </w:tc>
        <w:tc>
          <w:tcPr>
            <w:tcW w:w="754" w:type="dxa"/>
            <w:tcBorders>
              <w:bottom w:val="single" w:sz="4" w:space="0" w:color="A6A6A6" w:themeColor="accent5"/>
            </w:tcBorders>
            <w:noWrap/>
          </w:tcPr>
          <w:p w14:paraId="602235A3" w14:textId="77777777" w:rsidR="00265792" w:rsidRPr="00BA7805" w:rsidRDefault="00265792">
            <w:pPr>
              <w:pStyle w:val="ARfintablebodyright8pt"/>
              <w:spacing w:after="16"/>
              <w:rPr>
                <w:highlight w:val="green"/>
              </w:rPr>
            </w:pPr>
            <w:r w:rsidRPr="00707EE3">
              <w:t>6.9</w:t>
            </w:r>
          </w:p>
        </w:tc>
        <w:tc>
          <w:tcPr>
            <w:tcW w:w="755" w:type="dxa"/>
            <w:tcBorders>
              <w:bottom w:val="single" w:sz="4" w:space="0" w:color="A6A6A6" w:themeColor="accent5"/>
            </w:tcBorders>
            <w:noWrap/>
          </w:tcPr>
          <w:p w14:paraId="1B709BFD" w14:textId="77777777" w:rsidR="00265792" w:rsidRPr="00BA7805" w:rsidRDefault="00265792">
            <w:pPr>
              <w:pStyle w:val="ARfintablebodyright8pt"/>
              <w:spacing w:after="16"/>
              <w:rPr>
                <w:highlight w:val="green"/>
              </w:rPr>
            </w:pPr>
            <w:r w:rsidRPr="00707EE3">
              <w:t>8.4</w:t>
            </w:r>
          </w:p>
        </w:tc>
        <w:tc>
          <w:tcPr>
            <w:tcW w:w="755" w:type="dxa"/>
            <w:tcBorders>
              <w:bottom w:val="single" w:sz="4" w:space="0" w:color="A6A6A6" w:themeColor="accent5"/>
            </w:tcBorders>
            <w:noWrap/>
          </w:tcPr>
          <w:p w14:paraId="4A1CF05B" w14:textId="77777777" w:rsidR="00265792" w:rsidRPr="00BA7805" w:rsidRDefault="00265792">
            <w:pPr>
              <w:pStyle w:val="ARfintablebodyright8pt"/>
              <w:spacing w:after="16"/>
              <w:rPr>
                <w:highlight w:val="green"/>
              </w:rPr>
            </w:pPr>
            <w:r w:rsidRPr="00707EE3">
              <w:t>14.5</w:t>
            </w:r>
          </w:p>
        </w:tc>
        <w:tc>
          <w:tcPr>
            <w:tcW w:w="755" w:type="dxa"/>
            <w:tcBorders>
              <w:bottom w:val="single" w:sz="4" w:space="0" w:color="A6A6A6" w:themeColor="accent5"/>
            </w:tcBorders>
            <w:noWrap/>
          </w:tcPr>
          <w:p w14:paraId="533DBCC8" w14:textId="77777777" w:rsidR="00265792" w:rsidRPr="00BA7805" w:rsidRDefault="00265792">
            <w:pPr>
              <w:pStyle w:val="ARfintablebodyright8pt"/>
              <w:spacing w:after="16"/>
              <w:rPr>
                <w:highlight w:val="green"/>
              </w:rPr>
            </w:pPr>
            <w:r w:rsidRPr="00707EE3">
              <w:t>9.6</w:t>
            </w:r>
          </w:p>
        </w:tc>
        <w:tc>
          <w:tcPr>
            <w:tcW w:w="755" w:type="dxa"/>
            <w:tcBorders>
              <w:bottom w:val="single" w:sz="4" w:space="0" w:color="A6A6A6" w:themeColor="accent5"/>
            </w:tcBorders>
            <w:noWrap/>
          </w:tcPr>
          <w:p w14:paraId="028029D0" w14:textId="77777777" w:rsidR="00265792" w:rsidRPr="00BA7805" w:rsidRDefault="00265792">
            <w:pPr>
              <w:pStyle w:val="ARfintablebodyright8pt"/>
              <w:spacing w:after="16"/>
              <w:rPr>
                <w:highlight w:val="green"/>
              </w:rPr>
            </w:pPr>
            <w:r w:rsidRPr="00707EE3">
              <w:t>24.9</w:t>
            </w:r>
          </w:p>
        </w:tc>
        <w:tc>
          <w:tcPr>
            <w:tcW w:w="755" w:type="dxa"/>
            <w:tcBorders>
              <w:bottom w:val="single" w:sz="4" w:space="0" w:color="A6A6A6" w:themeColor="accent5"/>
            </w:tcBorders>
            <w:noWrap/>
          </w:tcPr>
          <w:p w14:paraId="09D0CC49" w14:textId="77777777" w:rsidR="00265792" w:rsidRPr="00BA7805" w:rsidRDefault="00265792">
            <w:pPr>
              <w:pStyle w:val="ARfintablebodyright8pt"/>
              <w:spacing w:after="16"/>
              <w:rPr>
                <w:highlight w:val="green"/>
              </w:rPr>
            </w:pPr>
            <w:r>
              <w:t>–</w:t>
            </w:r>
          </w:p>
        </w:tc>
        <w:tc>
          <w:tcPr>
            <w:tcW w:w="755" w:type="dxa"/>
            <w:tcBorders>
              <w:bottom w:val="single" w:sz="4" w:space="0" w:color="A6A6A6" w:themeColor="accent5"/>
            </w:tcBorders>
            <w:noWrap/>
          </w:tcPr>
          <w:p w14:paraId="2A39B715" w14:textId="77777777" w:rsidR="00265792" w:rsidRPr="00BA7805" w:rsidRDefault="00265792">
            <w:pPr>
              <w:pStyle w:val="ARfintablebodyright8pt"/>
              <w:spacing w:after="16"/>
              <w:rPr>
                <w:highlight w:val="green"/>
              </w:rPr>
            </w:pPr>
            <w:r w:rsidRPr="00707EE3">
              <w:t>661.0</w:t>
            </w:r>
          </w:p>
        </w:tc>
        <w:tc>
          <w:tcPr>
            <w:tcW w:w="755" w:type="dxa"/>
            <w:tcBorders>
              <w:bottom w:val="single" w:sz="4" w:space="0" w:color="A6A6A6" w:themeColor="accent5"/>
            </w:tcBorders>
            <w:noWrap/>
          </w:tcPr>
          <w:p w14:paraId="033171B2" w14:textId="77777777" w:rsidR="00265792" w:rsidRPr="00BA7805" w:rsidRDefault="00265792">
            <w:pPr>
              <w:pStyle w:val="ARfintablebodyright8pt"/>
              <w:spacing w:after="16"/>
              <w:rPr>
                <w:highlight w:val="green"/>
              </w:rPr>
            </w:pPr>
            <w:r>
              <w:t>678.3</w:t>
            </w:r>
          </w:p>
        </w:tc>
        <w:tc>
          <w:tcPr>
            <w:tcW w:w="755" w:type="dxa"/>
            <w:tcBorders>
              <w:bottom w:val="single" w:sz="4" w:space="0" w:color="A6A6A6" w:themeColor="accent5"/>
            </w:tcBorders>
            <w:noWrap/>
          </w:tcPr>
          <w:p w14:paraId="1AE3726D" w14:textId="77777777" w:rsidR="00265792" w:rsidRPr="00BA7805" w:rsidRDefault="00265792">
            <w:pPr>
              <w:pStyle w:val="ARfintablebodyright8pt"/>
              <w:spacing w:after="16"/>
              <w:rPr>
                <w:highlight w:val="green"/>
              </w:rPr>
            </w:pPr>
            <w:r w:rsidRPr="00707EE3">
              <w:t>4,952.9</w:t>
            </w:r>
          </w:p>
        </w:tc>
      </w:tr>
      <w:tr w:rsidR="00265792" w:rsidRPr="00BA7805" w14:paraId="533202A5" w14:textId="77777777" w:rsidTr="000C72DD">
        <w:trPr>
          <w:trHeight w:val="170"/>
        </w:trPr>
        <w:tc>
          <w:tcPr>
            <w:tcW w:w="2552" w:type="dxa"/>
            <w:tcBorders>
              <w:top w:val="single" w:sz="4" w:space="0" w:color="A6A6A6" w:themeColor="accent5"/>
              <w:bottom w:val="single" w:sz="4" w:space="0" w:color="000000" w:themeColor="text1"/>
            </w:tcBorders>
          </w:tcPr>
          <w:p w14:paraId="5A39126F" w14:textId="77777777" w:rsidR="00265792" w:rsidRPr="00BA7805" w:rsidRDefault="00265792">
            <w:pPr>
              <w:pStyle w:val="ARfintablebody8pt"/>
              <w:spacing w:after="16"/>
              <w:rPr>
                <w:sz w:val="15"/>
                <w:highlight w:val="green"/>
              </w:rPr>
            </w:pPr>
            <w:r w:rsidRPr="00707EE3">
              <w:t>Property management expenses</w:t>
            </w:r>
          </w:p>
        </w:tc>
        <w:tc>
          <w:tcPr>
            <w:tcW w:w="694" w:type="dxa"/>
            <w:tcBorders>
              <w:top w:val="single" w:sz="4" w:space="0" w:color="A6A6A6" w:themeColor="accent5"/>
              <w:bottom w:val="single" w:sz="4" w:space="0" w:color="000000" w:themeColor="text1"/>
            </w:tcBorders>
            <w:noWrap/>
          </w:tcPr>
          <w:p w14:paraId="5A850BE5" w14:textId="77777777" w:rsidR="00265792" w:rsidRPr="00BA7805" w:rsidRDefault="00265792">
            <w:pPr>
              <w:pStyle w:val="ARfintablebodyright8pt"/>
              <w:spacing w:after="16"/>
              <w:rPr>
                <w:highlight w:val="green"/>
              </w:rPr>
            </w:pPr>
            <w:r w:rsidRPr="00707EE3">
              <w:t>8.6</w:t>
            </w:r>
          </w:p>
        </w:tc>
        <w:tc>
          <w:tcPr>
            <w:tcW w:w="755" w:type="dxa"/>
            <w:tcBorders>
              <w:top w:val="single" w:sz="4" w:space="0" w:color="A6A6A6" w:themeColor="accent5"/>
              <w:bottom w:val="single" w:sz="4" w:space="0" w:color="000000" w:themeColor="text1"/>
            </w:tcBorders>
            <w:noWrap/>
          </w:tcPr>
          <w:p w14:paraId="3D263100" w14:textId="77777777" w:rsidR="00265792" w:rsidRPr="00BA7805" w:rsidRDefault="00265792">
            <w:pPr>
              <w:pStyle w:val="ARfintablebodyright8pt"/>
              <w:spacing w:after="16"/>
              <w:rPr>
                <w:highlight w:val="green"/>
              </w:rPr>
            </w:pPr>
            <w:r w:rsidRPr="00707EE3">
              <w:t>9.9</w:t>
            </w:r>
          </w:p>
        </w:tc>
        <w:tc>
          <w:tcPr>
            <w:tcW w:w="755" w:type="dxa"/>
            <w:tcBorders>
              <w:top w:val="single" w:sz="4" w:space="0" w:color="A6A6A6" w:themeColor="accent5"/>
              <w:bottom w:val="single" w:sz="4" w:space="0" w:color="000000" w:themeColor="text1"/>
            </w:tcBorders>
            <w:noWrap/>
          </w:tcPr>
          <w:p w14:paraId="7D329A8C"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195FECFD"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101370C4"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54D9D449" w14:textId="77777777" w:rsidR="00265792" w:rsidRPr="00BA7805" w:rsidRDefault="00265792">
            <w:pPr>
              <w:pStyle w:val="ARfintablebodyright8pt"/>
              <w:spacing w:after="16"/>
              <w:rPr>
                <w:highlight w:val="green"/>
              </w:rPr>
            </w:pPr>
            <w:r>
              <w:t>–</w:t>
            </w:r>
          </w:p>
        </w:tc>
        <w:tc>
          <w:tcPr>
            <w:tcW w:w="754" w:type="dxa"/>
            <w:tcBorders>
              <w:top w:val="single" w:sz="4" w:space="0" w:color="A6A6A6" w:themeColor="accent5"/>
              <w:bottom w:val="single" w:sz="4" w:space="0" w:color="000000" w:themeColor="text1"/>
            </w:tcBorders>
            <w:noWrap/>
          </w:tcPr>
          <w:p w14:paraId="43B1E07E"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19FE11CD"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42FD98A6"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15D5F478"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4C10631B"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2BB6CF89"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1F44949C"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2505F658" w14:textId="77777777" w:rsidR="00265792" w:rsidRPr="00BA7805" w:rsidRDefault="00265792">
            <w:pPr>
              <w:pStyle w:val="ARfintablebodyright8pt"/>
              <w:spacing w:after="16"/>
              <w:rPr>
                <w:highlight w:val="green"/>
              </w:rPr>
            </w:pPr>
            <w:r w:rsidRPr="00707EE3">
              <w:t>523.8</w:t>
            </w:r>
          </w:p>
        </w:tc>
        <w:tc>
          <w:tcPr>
            <w:tcW w:w="755" w:type="dxa"/>
            <w:tcBorders>
              <w:top w:val="single" w:sz="4" w:space="0" w:color="A6A6A6" w:themeColor="accent5"/>
              <w:bottom w:val="single" w:sz="4" w:space="0" w:color="000000" w:themeColor="text1"/>
            </w:tcBorders>
            <w:noWrap/>
          </w:tcPr>
          <w:p w14:paraId="70C8675B" w14:textId="77777777" w:rsidR="00265792" w:rsidRPr="00BA7805" w:rsidRDefault="00265792">
            <w:pPr>
              <w:pStyle w:val="ARfintablebodyright8pt"/>
              <w:spacing w:after="16"/>
              <w:rPr>
                <w:highlight w:val="green"/>
              </w:rPr>
            </w:pPr>
            <w:r w:rsidRPr="00707EE3">
              <w:t>542.2</w:t>
            </w:r>
          </w:p>
        </w:tc>
      </w:tr>
      <w:tr w:rsidR="00265792" w:rsidRPr="00BA7805" w14:paraId="03AB3958" w14:textId="77777777" w:rsidTr="000C72DD">
        <w:trPr>
          <w:trHeight w:val="170"/>
        </w:trPr>
        <w:tc>
          <w:tcPr>
            <w:tcW w:w="2552" w:type="dxa"/>
            <w:tcBorders>
              <w:top w:val="single" w:sz="4" w:space="0" w:color="000000" w:themeColor="text1"/>
              <w:bottom w:val="single" w:sz="4" w:space="0" w:color="000000" w:themeColor="text1"/>
            </w:tcBorders>
          </w:tcPr>
          <w:p w14:paraId="409C660F" w14:textId="77777777" w:rsidR="00265792" w:rsidRPr="00BA7805" w:rsidRDefault="00265792">
            <w:pPr>
              <w:pStyle w:val="ARfintablebodybold8pt"/>
              <w:rPr>
                <w:sz w:val="15"/>
                <w:highlight w:val="green"/>
              </w:rPr>
            </w:pPr>
            <w:r w:rsidRPr="00707EE3">
              <w:t>Total expenses from</w:t>
            </w:r>
            <w:r>
              <w:t> </w:t>
            </w:r>
            <w:r w:rsidRPr="00707EE3">
              <w:t>transactions</w:t>
            </w:r>
          </w:p>
        </w:tc>
        <w:tc>
          <w:tcPr>
            <w:tcW w:w="694" w:type="dxa"/>
            <w:tcBorders>
              <w:top w:val="single" w:sz="4" w:space="0" w:color="000000" w:themeColor="text1"/>
              <w:bottom w:val="single" w:sz="4" w:space="0" w:color="000000" w:themeColor="text1"/>
            </w:tcBorders>
            <w:noWrap/>
          </w:tcPr>
          <w:p w14:paraId="4B04196D" w14:textId="77777777" w:rsidR="00265792" w:rsidRPr="00BA7805" w:rsidRDefault="00265792">
            <w:pPr>
              <w:pStyle w:val="ARfintablebodyrightbold8pt"/>
              <w:spacing w:after="16"/>
              <w:rPr>
                <w:highlight w:val="green"/>
              </w:rPr>
            </w:pPr>
            <w:r>
              <w:t>459.5</w:t>
            </w:r>
          </w:p>
        </w:tc>
        <w:tc>
          <w:tcPr>
            <w:tcW w:w="755" w:type="dxa"/>
            <w:tcBorders>
              <w:top w:val="single" w:sz="4" w:space="0" w:color="000000" w:themeColor="text1"/>
              <w:bottom w:val="single" w:sz="4" w:space="0" w:color="000000" w:themeColor="text1"/>
            </w:tcBorders>
            <w:noWrap/>
          </w:tcPr>
          <w:p w14:paraId="77504B7A" w14:textId="77777777" w:rsidR="00265792" w:rsidRPr="00BA7805" w:rsidRDefault="00265792">
            <w:pPr>
              <w:pStyle w:val="ARfintablebodyrightbold8pt"/>
              <w:spacing w:after="16"/>
              <w:rPr>
                <w:highlight w:val="green"/>
              </w:rPr>
            </w:pPr>
            <w:r w:rsidRPr="00707EE3">
              <w:t>2,535.5</w:t>
            </w:r>
          </w:p>
        </w:tc>
        <w:tc>
          <w:tcPr>
            <w:tcW w:w="755" w:type="dxa"/>
            <w:tcBorders>
              <w:top w:val="single" w:sz="4" w:space="0" w:color="000000" w:themeColor="text1"/>
              <w:bottom w:val="single" w:sz="4" w:space="0" w:color="000000" w:themeColor="text1"/>
            </w:tcBorders>
            <w:noWrap/>
          </w:tcPr>
          <w:p w14:paraId="5E6C8234" w14:textId="77777777" w:rsidR="00265792" w:rsidRPr="00BA7805" w:rsidRDefault="00265792">
            <w:pPr>
              <w:pStyle w:val="ARfintablebodyrightbold8pt"/>
              <w:spacing w:after="16"/>
              <w:rPr>
                <w:highlight w:val="green"/>
              </w:rPr>
            </w:pPr>
            <w:r w:rsidRPr="00707EE3">
              <w:t>1,755.9</w:t>
            </w:r>
          </w:p>
        </w:tc>
        <w:tc>
          <w:tcPr>
            <w:tcW w:w="755" w:type="dxa"/>
            <w:tcBorders>
              <w:top w:val="single" w:sz="4" w:space="0" w:color="000000" w:themeColor="text1"/>
              <w:bottom w:val="single" w:sz="4" w:space="0" w:color="000000" w:themeColor="text1"/>
            </w:tcBorders>
            <w:noWrap/>
          </w:tcPr>
          <w:p w14:paraId="03CBDA8A" w14:textId="77777777" w:rsidR="00265792" w:rsidRPr="00BA7805" w:rsidRDefault="00265792">
            <w:pPr>
              <w:pStyle w:val="ARfintablebodyrightbold8pt"/>
              <w:spacing w:after="16"/>
              <w:rPr>
                <w:highlight w:val="green"/>
              </w:rPr>
            </w:pPr>
            <w:r w:rsidRPr="00707EE3">
              <w:t>66.4</w:t>
            </w:r>
          </w:p>
        </w:tc>
        <w:tc>
          <w:tcPr>
            <w:tcW w:w="755" w:type="dxa"/>
            <w:tcBorders>
              <w:top w:val="single" w:sz="4" w:space="0" w:color="000000" w:themeColor="text1"/>
              <w:bottom w:val="single" w:sz="4" w:space="0" w:color="000000" w:themeColor="text1"/>
            </w:tcBorders>
            <w:noWrap/>
          </w:tcPr>
          <w:p w14:paraId="3E8B84D9" w14:textId="77777777" w:rsidR="00265792" w:rsidRPr="00BA7805" w:rsidRDefault="00265792">
            <w:pPr>
              <w:pStyle w:val="ARfintablebodyrightbold8pt"/>
              <w:spacing w:after="16"/>
              <w:rPr>
                <w:highlight w:val="green"/>
              </w:rPr>
            </w:pPr>
            <w:r w:rsidRPr="00707EE3">
              <w:t>14.7</w:t>
            </w:r>
          </w:p>
        </w:tc>
        <w:tc>
          <w:tcPr>
            <w:tcW w:w="755" w:type="dxa"/>
            <w:tcBorders>
              <w:top w:val="single" w:sz="4" w:space="0" w:color="000000" w:themeColor="text1"/>
              <w:bottom w:val="single" w:sz="4" w:space="0" w:color="000000" w:themeColor="text1"/>
            </w:tcBorders>
            <w:noWrap/>
          </w:tcPr>
          <w:p w14:paraId="097452D3" w14:textId="77777777" w:rsidR="00265792" w:rsidRPr="00BA7805" w:rsidRDefault="00265792">
            <w:pPr>
              <w:pStyle w:val="ARfintablebodyrightbold8pt"/>
              <w:spacing w:after="16"/>
              <w:rPr>
                <w:highlight w:val="green"/>
              </w:rPr>
            </w:pPr>
            <w:r w:rsidRPr="00707EE3">
              <w:t>65.0</w:t>
            </w:r>
          </w:p>
        </w:tc>
        <w:tc>
          <w:tcPr>
            <w:tcW w:w="754" w:type="dxa"/>
            <w:tcBorders>
              <w:top w:val="single" w:sz="4" w:space="0" w:color="000000" w:themeColor="text1"/>
              <w:bottom w:val="single" w:sz="4" w:space="0" w:color="000000" w:themeColor="text1"/>
            </w:tcBorders>
            <w:noWrap/>
          </w:tcPr>
          <w:p w14:paraId="4E9A21E6" w14:textId="77777777" w:rsidR="00265792" w:rsidRPr="00BA7805" w:rsidRDefault="00265792">
            <w:pPr>
              <w:pStyle w:val="ARfintablebodyrightbold8pt"/>
              <w:spacing w:after="16"/>
              <w:rPr>
                <w:highlight w:val="green"/>
              </w:rPr>
            </w:pPr>
            <w:r w:rsidRPr="00707EE3">
              <w:t>10.2</w:t>
            </w:r>
          </w:p>
        </w:tc>
        <w:tc>
          <w:tcPr>
            <w:tcW w:w="755" w:type="dxa"/>
            <w:tcBorders>
              <w:top w:val="single" w:sz="4" w:space="0" w:color="000000" w:themeColor="text1"/>
              <w:bottom w:val="single" w:sz="4" w:space="0" w:color="000000" w:themeColor="text1"/>
            </w:tcBorders>
            <w:noWrap/>
          </w:tcPr>
          <w:p w14:paraId="0A1345B5" w14:textId="77777777" w:rsidR="00265792" w:rsidRPr="00BA7805" w:rsidRDefault="00265792">
            <w:pPr>
              <w:pStyle w:val="ARfintablebodyrightbold8pt"/>
              <w:spacing w:after="16"/>
              <w:rPr>
                <w:highlight w:val="green"/>
              </w:rPr>
            </w:pPr>
            <w:r w:rsidRPr="00707EE3">
              <w:t>11.6</w:t>
            </w:r>
          </w:p>
        </w:tc>
        <w:tc>
          <w:tcPr>
            <w:tcW w:w="755" w:type="dxa"/>
            <w:tcBorders>
              <w:top w:val="single" w:sz="4" w:space="0" w:color="000000" w:themeColor="text1"/>
              <w:bottom w:val="single" w:sz="4" w:space="0" w:color="000000" w:themeColor="text1"/>
            </w:tcBorders>
            <w:noWrap/>
          </w:tcPr>
          <w:p w14:paraId="2065D95E" w14:textId="77777777" w:rsidR="00265792" w:rsidRPr="00BA7805" w:rsidRDefault="00265792">
            <w:pPr>
              <w:pStyle w:val="ARfintablebodyrightbold8pt"/>
              <w:spacing w:after="16"/>
              <w:rPr>
                <w:highlight w:val="green"/>
              </w:rPr>
            </w:pPr>
            <w:r w:rsidRPr="00707EE3">
              <w:t>24.5</w:t>
            </w:r>
          </w:p>
        </w:tc>
        <w:tc>
          <w:tcPr>
            <w:tcW w:w="755" w:type="dxa"/>
            <w:tcBorders>
              <w:top w:val="single" w:sz="4" w:space="0" w:color="000000" w:themeColor="text1"/>
              <w:bottom w:val="single" w:sz="4" w:space="0" w:color="000000" w:themeColor="text1"/>
            </w:tcBorders>
            <w:noWrap/>
          </w:tcPr>
          <w:p w14:paraId="7E50AFDB" w14:textId="77777777" w:rsidR="00265792" w:rsidRPr="00BA7805" w:rsidRDefault="00265792">
            <w:pPr>
              <w:pStyle w:val="ARfintablebodyrightbold8pt"/>
              <w:spacing w:after="16"/>
              <w:rPr>
                <w:highlight w:val="green"/>
              </w:rPr>
            </w:pPr>
            <w:r w:rsidRPr="00707EE3">
              <w:t>27.5</w:t>
            </w:r>
          </w:p>
        </w:tc>
        <w:tc>
          <w:tcPr>
            <w:tcW w:w="755" w:type="dxa"/>
            <w:tcBorders>
              <w:top w:val="single" w:sz="4" w:space="0" w:color="000000" w:themeColor="text1"/>
              <w:bottom w:val="single" w:sz="4" w:space="0" w:color="000000" w:themeColor="text1"/>
            </w:tcBorders>
            <w:noWrap/>
          </w:tcPr>
          <w:p w14:paraId="7877540C" w14:textId="77777777" w:rsidR="00265792" w:rsidRPr="00BA7805" w:rsidRDefault="00265792">
            <w:pPr>
              <w:pStyle w:val="ARfintablebodyrightbold8pt"/>
              <w:spacing w:after="16"/>
              <w:rPr>
                <w:highlight w:val="green"/>
              </w:rPr>
            </w:pPr>
            <w:r w:rsidRPr="00707EE3">
              <w:t>31.7</w:t>
            </w:r>
          </w:p>
        </w:tc>
        <w:tc>
          <w:tcPr>
            <w:tcW w:w="755" w:type="dxa"/>
            <w:tcBorders>
              <w:top w:val="single" w:sz="4" w:space="0" w:color="000000" w:themeColor="text1"/>
              <w:bottom w:val="single" w:sz="4" w:space="0" w:color="000000" w:themeColor="text1"/>
            </w:tcBorders>
            <w:noWrap/>
          </w:tcPr>
          <w:p w14:paraId="14E05B5B"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7E1D636F" w14:textId="77777777" w:rsidR="00265792" w:rsidRPr="00BA7805" w:rsidRDefault="00265792">
            <w:pPr>
              <w:pStyle w:val="ARfintablebodyrightbold8pt"/>
              <w:spacing w:after="16"/>
              <w:rPr>
                <w:highlight w:val="green"/>
              </w:rPr>
            </w:pPr>
            <w:r w:rsidRPr="00707EE3">
              <w:t>787.0</w:t>
            </w:r>
          </w:p>
        </w:tc>
        <w:tc>
          <w:tcPr>
            <w:tcW w:w="755" w:type="dxa"/>
            <w:tcBorders>
              <w:top w:val="single" w:sz="4" w:space="0" w:color="000000" w:themeColor="text1"/>
              <w:bottom w:val="single" w:sz="4" w:space="0" w:color="000000" w:themeColor="text1"/>
            </w:tcBorders>
            <w:noWrap/>
          </w:tcPr>
          <w:p w14:paraId="487C8E10" w14:textId="77777777" w:rsidR="00265792" w:rsidRPr="00BA7805" w:rsidRDefault="00265792">
            <w:pPr>
              <w:pStyle w:val="ARfintablebodyrightbold8pt"/>
              <w:spacing w:after="16"/>
              <w:rPr>
                <w:highlight w:val="green"/>
              </w:rPr>
            </w:pPr>
            <w:r>
              <w:t>2,022.2</w:t>
            </w:r>
          </w:p>
        </w:tc>
        <w:tc>
          <w:tcPr>
            <w:tcW w:w="755" w:type="dxa"/>
            <w:tcBorders>
              <w:top w:val="single" w:sz="4" w:space="0" w:color="000000" w:themeColor="text1"/>
              <w:bottom w:val="single" w:sz="4" w:space="0" w:color="000000" w:themeColor="text1"/>
            </w:tcBorders>
            <w:noWrap/>
          </w:tcPr>
          <w:p w14:paraId="6D62D5A6" w14:textId="77777777" w:rsidR="00265792" w:rsidRPr="00BA7805" w:rsidRDefault="00265792">
            <w:pPr>
              <w:pStyle w:val="ARfintablebodyrightbold8pt"/>
              <w:spacing w:after="16"/>
              <w:rPr>
                <w:highlight w:val="green"/>
              </w:rPr>
            </w:pPr>
            <w:r w:rsidRPr="00707EE3">
              <w:t>7,811.5</w:t>
            </w:r>
          </w:p>
        </w:tc>
      </w:tr>
      <w:tr w:rsidR="00265792" w:rsidRPr="00BA7805" w14:paraId="79FFFC85" w14:textId="77777777" w:rsidTr="000C72DD">
        <w:trPr>
          <w:trHeight w:val="170"/>
        </w:trPr>
        <w:tc>
          <w:tcPr>
            <w:tcW w:w="2552" w:type="dxa"/>
            <w:tcBorders>
              <w:top w:val="single" w:sz="4" w:space="0" w:color="000000" w:themeColor="text1"/>
              <w:bottom w:val="single" w:sz="4" w:space="0" w:color="000000" w:themeColor="text1"/>
            </w:tcBorders>
          </w:tcPr>
          <w:p w14:paraId="5AC39825" w14:textId="77777777" w:rsidR="00265792" w:rsidRPr="00BA7805" w:rsidRDefault="00265792">
            <w:pPr>
              <w:pStyle w:val="ARfintablebodybold8pt"/>
              <w:rPr>
                <w:sz w:val="15"/>
                <w:highlight w:val="green"/>
              </w:rPr>
            </w:pPr>
            <w:r w:rsidRPr="00707EE3">
              <w:t>Net result from transactions (net operating balance)</w:t>
            </w:r>
          </w:p>
        </w:tc>
        <w:tc>
          <w:tcPr>
            <w:tcW w:w="694" w:type="dxa"/>
            <w:tcBorders>
              <w:top w:val="single" w:sz="4" w:space="0" w:color="000000" w:themeColor="text1"/>
              <w:bottom w:val="single" w:sz="4" w:space="0" w:color="000000" w:themeColor="text1"/>
            </w:tcBorders>
            <w:noWrap/>
          </w:tcPr>
          <w:p w14:paraId="1CB09F9B" w14:textId="77777777" w:rsidR="00265792" w:rsidRPr="00BA7805" w:rsidRDefault="00265792">
            <w:pPr>
              <w:pStyle w:val="ARfintablebodyrightbold8pt"/>
              <w:spacing w:after="16"/>
              <w:rPr>
                <w:highlight w:val="green"/>
              </w:rPr>
            </w:pPr>
            <w:r w:rsidRPr="00707EE3">
              <w:t>1.7</w:t>
            </w:r>
          </w:p>
        </w:tc>
        <w:tc>
          <w:tcPr>
            <w:tcW w:w="755" w:type="dxa"/>
            <w:tcBorders>
              <w:top w:val="single" w:sz="4" w:space="0" w:color="000000" w:themeColor="text1"/>
              <w:bottom w:val="single" w:sz="4" w:space="0" w:color="000000" w:themeColor="text1"/>
            </w:tcBorders>
            <w:noWrap/>
          </w:tcPr>
          <w:p w14:paraId="3EE7C0D2" w14:textId="77777777" w:rsidR="00265792" w:rsidRPr="00BA7805" w:rsidRDefault="00265792">
            <w:pPr>
              <w:pStyle w:val="ARfintablebodyrightbold8pt"/>
              <w:spacing w:after="16"/>
              <w:rPr>
                <w:highlight w:val="green"/>
              </w:rPr>
            </w:pPr>
            <w:r w:rsidRPr="00707EE3">
              <w:t>(133.8)</w:t>
            </w:r>
          </w:p>
        </w:tc>
        <w:tc>
          <w:tcPr>
            <w:tcW w:w="755" w:type="dxa"/>
            <w:tcBorders>
              <w:top w:val="single" w:sz="4" w:space="0" w:color="000000" w:themeColor="text1"/>
              <w:bottom w:val="single" w:sz="4" w:space="0" w:color="000000" w:themeColor="text1"/>
            </w:tcBorders>
            <w:noWrap/>
          </w:tcPr>
          <w:p w14:paraId="5BDD0504" w14:textId="77777777" w:rsidR="00265792" w:rsidRPr="00BA7805" w:rsidRDefault="00265792">
            <w:pPr>
              <w:pStyle w:val="ARfintablebodyrightbold8pt"/>
              <w:spacing w:after="16"/>
              <w:rPr>
                <w:highlight w:val="green"/>
              </w:rPr>
            </w:pPr>
            <w:r w:rsidRPr="00707EE3">
              <w:t>7.3</w:t>
            </w:r>
          </w:p>
        </w:tc>
        <w:tc>
          <w:tcPr>
            <w:tcW w:w="755" w:type="dxa"/>
            <w:tcBorders>
              <w:top w:val="single" w:sz="4" w:space="0" w:color="000000" w:themeColor="text1"/>
              <w:bottom w:val="single" w:sz="4" w:space="0" w:color="000000" w:themeColor="text1"/>
            </w:tcBorders>
            <w:noWrap/>
          </w:tcPr>
          <w:p w14:paraId="4916444B" w14:textId="77777777" w:rsidR="00265792" w:rsidRPr="00BA7805" w:rsidRDefault="00265792">
            <w:pPr>
              <w:pStyle w:val="ARfintablebodyrightbold8pt"/>
              <w:spacing w:after="16"/>
              <w:rPr>
                <w:highlight w:val="green"/>
              </w:rPr>
            </w:pPr>
            <w:r w:rsidRPr="000D3F86">
              <w:t>(0.1)</w:t>
            </w:r>
          </w:p>
        </w:tc>
        <w:tc>
          <w:tcPr>
            <w:tcW w:w="755" w:type="dxa"/>
            <w:tcBorders>
              <w:top w:val="single" w:sz="4" w:space="0" w:color="000000" w:themeColor="text1"/>
              <w:bottom w:val="single" w:sz="4" w:space="0" w:color="000000" w:themeColor="text1"/>
            </w:tcBorders>
            <w:noWrap/>
          </w:tcPr>
          <w:p w14:paraId="7646C2EA" w14:textId="77777777" w:rsidR="00265792" w:rsidRPr="00BA7805" w:rsidRDefault="00265792">
            <w:pPr>
              <w:pStyle w:val="ARfintablebodyrightbold8pt"/>
              <w:spacing w:after="16"/>
              <w:rPr>
                <w:highlight w:val="green"/>
              </w:rPr>
            </w:pPr>
            <w:r w:rsidRPr="00707EE3">
              <w:t>(0.6)</w:t>
            </w:r>
          </w:p>
        </w:tc>
        <w:tc>
          <w:tcPr>
            <w:tcW w:w="755" w:type="dxa"/>
            <w:tcBorders>
              <w:top w:val="single" w:sz="4" w:space="0" w:color="000000" w:themeColor="text1"/>
              <w:bottom w:val="single" w:sz="4" w:space="0" w:color="000000" w:themeColor="text1"/>
            </w:tcBorders>
            <w:noWrap/>
          </w:tcPr>
          <w:p w14:paraId="13B08AC3" w14:textId="77777777" w:rsidR="00265792" w:rsidRPr="00BA7805" w:rsidRDefault="00265792">
            <w:pPr>
              <w:pStyle w:val="ARfintablebodyrightbold8pt"/>
              <w:spacing w:after="16"/>
              <w:rPr>
                <w:highlight w:val="green"/>
              </w:rPr>
            </w:pPr>
            <w:r w:rsidRPr="00707EE3">
              <w:t>(0.3)</w:t>
            </w:r>
          </w:p>
        </w:tc>
        <w:tc>
          <w:tcPr>
            <w:tcW w:w="754" w:type="dxa"/>
            <w:tcBorders>
              <w:top w:val="single" w:sz="4" w:space="0" w:color="000000" w:themeColor="text1"/>
              <w:bottom w:val="single" w:sz="4" w:space="0" w:color="000000" w:themeColor="text1"/>
            </w:tcBorders>
            <w:noWrap/>
          </w:tcPr>
          <w:p w14:paraId="76C82923" w14:textId="77777777" w:rsidR="00265792" w:rsidRPr="00BA7805" w:rsidRDefault="00265792">
            <w:pPr>
              <w:pStyle w:val="ARfintablebodyrightbold8pt"/>
              <w:spacing w:after="16"/>
              <w:rPr>
                <w:highlight w:val="green"/>
              </w:rPr>
            </w:pPr>
            <w:r w:rsidRPr="00707EE3">
              <w:t>0.1</w:t>
            </w:r>
          </w:p>
        </w:tc>
        <w:tc>
          <w:tcPr>
            <w:tcW w:w="755" w:type="dxa"/>
            <w:tcBorders>
              <w:top w:val="single" w:sz="4" w:space="0" w:color="000000" w:themeColor="text1"/>
              <w:bottom w:val="single" w:sz="4" w:space="0" w:color="000000" w:themeColor="text1"/>
            </w:tcBorders>
            <w:noWrap/>
          </w:tcPr>
          <w:p w14:paraId="77DF1CCC"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4560AC54"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28BFF3D9"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66FAA3CC" w14:textId="77777777" w:rsidR="00265792" w:rsidRPr="00BA7805" w:rsidRDefault="00265792">
            <w:pPr>
              <w:pStyle w:val="ARfintablebodyrightbold8pt"/>
              <w:spacing w:after="16"/>
              <w:rPr>
                <w:highlight w:val="green"/>
              </w:rPr>
            </w:pPr>
            <w:r w:rsidRPr="00707EE3">
              <w:t>(0.1)</w:t>
            </w:r>
          </w:p>
        </w:tc>
        <w:tc>
          <w:tcPr>
            <w:tcW w:w="755" w:type="dxa"/>
            <w:tcBorders>
              <w:top w:val="single" w:sz="4" w:space="0" w:color="000000" w:themeColor="text1"/>
              <w:bottom w:val="single" w:sz="4" w:space="0" w:color="000000" w:themeColor="text1"/>
            </w:tcBorders>
            <w:noWrap/>
          </w:tcPr>
          <w:p w14:paraId="386AAC64"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6F6445A7" w14:textId="77777777" w:rsidR="00265792" w:rsidRPr="00BA7805" w:rsidRDefault="00265792">
            <w:pPr>
              <w:pStyle w:val="ARfintablebodyrightbold8pt"/>
              <w:spacing w:after="16"/>
              <w:rPr>
                <w:highlight w:val="green"/>
              </w:rPr>
            </w:pPr>
            <w:r w:rsidRPr="00707EE3">
              <w:t>0.4</w:t>
            </w:r>
          </w:p>
        </w:tc>
        <w:tc>
          <w:tcPr>
            <w:tcW w:w="755" w:type="dxa"/>
            <w:tcBorders>
              <w:top w:val="single" w:sz="4" w:space="0" w:color="000000" w:themeColor="text1"/>
              <w:bottom w:val="single" w:sz="4" w:space="0" w:color="000000" w:themeColor="text1"/>
            </w:tcBorders>
            <w:noWrap/>
          </w:tcPr>
          <w:p w14:paraId="74D102E3" w14:textId="77777777" w:rsidR="00265792" w:rsidRPr="00BA7805" w:rsidRDefault="00265792">
            <w:pPr>
              <w:pStyle w:val="ARfintablebodyrightbold8pt"/>
              <w:spacing w:after="16"/>
              <w:rPr>
                <w:highlight w:val="green"/>
              </w:rPr>
            </w:pPr>
            <w:r w:rsidRPr="00707EE3">
              <w:t>(344.5)</w:t>
            </w:r>
          </w:p>
        </w:tc>
        <w:tc>
          <w:tcPr>
            <w:tcW w:w="755" w:type="dxa"/>
            <w:tcBorders>
              <w:top w:val="single" w:sz="4" w:space="0" w:color="000000" w:themeColor="text1"/>
              <w:bottom w:val="single" w:sz="4" w:space="0" w:color="000000" w:themeColor="text1"/>
            </w:tcBorders>
            <w:noWrap/>
          </w:tcPr>
          <w:p w14:paraId="1168BBF9" w14:textId="77777777" w:rsidR="00265792" w:rsidRPr="00BA7805" w:rsidRDefault="00265792">
            <w:pPr>
              <w:pStyle w:val="ARfintablebodyrightbold8pt"/>
              <w:spacing w:after="16"/>
              <w:rPr>
                <w:highlight w:val="green"/>
              </w:rPr>
            </w:pPr>
            <w:r w:rsidRPr="00707EE3">
              <w:t>(469.7)</w:t>
            </w:r>
          </w:p>
        </w:tc>
      </w:tr>
      <w:tr w:rsidR="00276D5D" w:rsidRPr="00BA7805" w14:paraId="198652C5" w14:textId="77777777">
        <w:trPr>
          <w:trHeight w:val="170"/>
        </w:trPr>
        <w:tc>
          <w:tcPr>
            <w:tcW w:w="13815" w:type="dxa"/>
            <w:gridSpan w:val="16"/>
          </w:tcPr>
          <w:p w14:paraId="581E328E" w14:textId="3647A22A" w:rsidR="00276D5D" w:rsidRPr="00707EE3" w:rsidRDefault="00276D5D" w:rsidP="00276D5D">
            <w:pPr>
              <w:pStyle w:val="ARfintablebodybold8pt"/>
            </w:pPr>
            <w:r w:rsidRPr="00276D5D">
              <w:t>Other economic flows included in net result</w:t>
            </w:r>
          </w:p>
        </w:tc>
      </w:tr>
      <w:tr w:rsidR="000C72DD" w:rsidRPr="00BA7805" w14:paraId="671696A5" w14:textId="77777777" w:rsidTr="000C72DD">
        <w:trPr>
          <w:trHeight w:val="170"/>
        </w:trPr>
        <w:tc>
          <w:tcPr>
            <w:tcW w:w="2552" w:type="dxa"/>
          </w:tcPr>
          <w:p w14:paraId="6C877BF1" w14:textId="0A3E3959" w:rsidR="000C72DD" w:rsidRPr="000C72DD" w:rsidRDefault="000C72DD" w:rsidP="000C72DD">
            <w:pPr>
              <w:pStyle w:val="ARfintablebody8pt"/>
              <w:spacing w:after="16"/>
              <w:rPr>
                <w:spacing w:val="-6"/>
                <w:sz w:val="15"/>
                <w:highlight w:val="green"/>
              </w:rPr>
            </w:pPr>
            <w:r w:rsidRPr="000C72DD">
              <w:rPr>
                <w:spacing w:val="-6"/>
              </w:rPr>
              <w:t>Net gain/(loss) on non-financial assets</w:t>
            </w:r>
          </w:p>
        </w:tc>
        <w:tc>
          <w:tcPr>
            <w:tcW w:w="694" w:type="dxa"/>
            <w:noWrap/>
          </w:tcPr>
          <w:p w14:paraId="24AAAFAF" w14:textId="5131F087" w:rsidR="000C72DD" w:rsidRPr="00BA7805" w:rsidRDefault="000C72DD" w:rsidP="000C72DD">
            <w:pPr>
              <w:pStyle w:val="ARfintablebodyright8pt"/>
              <w:spacing w:after="16"/>
              <w:rPr>
                <w:highlight w:val="green"/>
              </w:rPr>
            </w:pPr>
            <w:r w:rsidRPr="00CE5018">
              <w:t>0.1</w:t>
            </w:r>
          </w:p>
        </w:tc>
        <w:tc>
          <w:tcPr>
            <w:tcW w:w="755" w:type="dxa"/>
            <w:noWrap/>
          </w:tcPr>
          <w:p w14:paraId="43228C0A" w14:textId="0F620ED3" w:rsidR="000C72DD" w:rsidRPr="00BA7805" w:rsidRDefault="000C72DD" w:rsidP="000C72DD">
            <w:pPr>
              <w:pStyle w:val="ARfintablebodyright8pt"/>
              <w:spacing w:after="16"/>
              <w:rPr>
                <w:highlight w:val="green"/>
              </w:rPr>
            </w:pPr>
            <w:r w:rsidRPr="00CE5018">
              <w:t>3.4</w:t>
            </w:r>
          </w:p>
        </w:tc>
        <w:tc>
          <w:tcPr>
            <w:tcW w:w="755" w:type="dxa"/>
            <w:noWrap/>
          </w:tcPr>
          <w:p w14:paraId="1F632FB4" w14:textId="7C08E4DC" w:rsidR="000C72DD" w:rsidRPr="00BA7805" w:rsidRDefault="000C72DD" w:rsidP="000C72DD">
            <w:pPr>
              <w:pStyle w:val="ARfintablebodyright8pt"/>
              <w:spacing w:after="16"/>
              <w:rPr>
                <w:highlight w:val="green"/>
              </w:rPr>
            </w:pPr>
            <w:r w:rsidRPr="00CE5018">
              <w:t>–</w:t>
            </w:r>
          </w:p>
        </w:tc>
        <w:tc>
          <w:tcPr>
            <w:tcW w:w="755" w:type="dxa"/>
            <w:noWrap/>
          </w:tcPr>
          <w:p w14:paraId="3B29DE96" w14:textId="5B850926" w:rsidR="000C72DD" w:rsidRPr="00BA7805" w:rsidRDefault="000C72DD" w:rsidP="000C72DD">
            <w:pPr>
              <w:pStyle w:val="ARfintablebodyright8pt"/>
              <w:spacing w:after="16"/>
              <w:rPr>
                <w:highlight w:val="green"/>
              </w:rPr>
            </w:pPr>
            <w:r w:rsidRPr="00CE5018">
              <w:t>–</w:t>
            </w:r>
          </w:p>
        </w:tc>
        <w:tc>
          <w:tcPr>
            <w:tcW w:w="755" w:type="dxa"/>
            <w:noWrap/>
          </w:tcPr>
          <w:p w14:paraId="504D044C" w14:textId="7D35493F" w:rsidR="000C72DD" w:rsidRPr="00BA7805" w:rsidRDefault="000C72DD" w:rsidP="000C72DD">
            <w:pPr>
              <w:pStyle w:val="ARfintablebodyright8pt"/>
              <w:spacing w:after="16"/>
              <w:rPr>
                <w:highlight w:val="green"/>
              </w:rPr>
            </w:pPr>
            <w:r w:rsidRPr="00CE5018">
              <w:t>–</w:t>
            </w:r>
          </w:p>
        </w:tc>
        <w:tc>
          <w:tcPr>
            <w:tcW w:w="755" w:type="dxa"/>
            <w:noWrap/>
          </w:tcPr>
          <w:p w14:paraId="35AAAF5A" w14:textId="6231B3B0" w:rsidR="000C72DD" w:rsidRPr="00BA7805" w:rsidRDefault="000C72DD" w:rsidP="000C72DD">
            <w:pPr>
              <w:pStyle w:val="ARfintablebodyright8pt"/>
              <w:spacing w:after="16"/>
              <w:rPr>
                <w:highlight w:val="green"/>
              </w:rPr>
            </w:pPr>
            <w:r w:rsidRPr="00CE5018">
              <w:t>–</w:t>
            </w:r>
          </w:p>
        </w:tc>
        <w:tc>
          <w:tcPr>
            <w:tcW w:w="754" w:type="dxa"/>
            <w:noWrap/>
          </w:tcPr>
          <w:p w14:paraId="7015DE11" w14:textId="2687DEC0" w:rsidR="000C72DD" w:rsidRPr="00BA7805" w:rsidRDefault="000C72DD" w:rsidP="000C72DD">
            <w:pPr>
              <w:pStyle w:val="ARfintablebodyright8pt"/>
              <w:spacing w:after="16"/>
              <w:rPr>
                <w:highlight w:val="green"/>
              </w:rPr>
            </w:pPr>
            <w:r w:rsidRPr="00CE5018">
              <w:t>–</w:t>
            </w:r>
          </w:p>
        </w:tc>
        <w:tc>
          <w:tcPr>
            <w:tcW w:w="755" w:type="dxa"/>
            <w:noWrap/>
          </w:tcPr>
          <w:p w14:paraId="11F5323B" w14:textId="58726366" w:rsidR="000C72DD" w:rsidRPr="00BA7805" w:rsidRDefault="000C72DD" w:rsidP="000C72DD">
            <w:pPr>
              <w:pStyle w:val="ARfintablebodyright8pt"/>
              <w:spacing w:after="16"/>
              <w:rPr>
                <w:highlight w:val="green"/>
              </w:rPr>
            </w:pPr>
            <w:r w:rsidRPr="00CE5018">
              <w:t>–</w:t>
            </w:r>
          </w:p>
        </w:tc>
        <w:tc>
          <w:tcPr>
            <w:tcW w:w="755" w:type="dxa"/>
            <w:noWrap/>
          </w:tcPr>
          <w:p w14:paraId="0694C53F" w14:textId="62AADFC0" w:rsidR="000C72DD" w:rsidRPr="00BA7805" w:rsidRDefault="000C72DD" w:rsidP="000C72DD">
            <w:pPr>
              <w:pStyle w:val="ARfintablebodyright8pt"/>
              <w:spacing w:after="16"/>
              <w:rPr>
                <w:highlight w:val="green"/>
              </w:rPr>
            </w:pPr>
            <w:r w:rsidRPr="00CE5018">
              <w:t>–</w:t>
            </w:r>
          </w:p>
        </w:tc>
        <w:tc>
          <w:tcPr>
            <w:tcW w:w="755" w:type="dxa"/>
            <w:noWrap/>
          </w:tcPr>
          <w:p w14:paraId="145FC420" w14:textId="29C488B5" w:rsidR="000C72DD" w:rsidRPr="00BA7805" w:rsidRDefault="000C72DD" w:rsidP="000C72DD">
            <w:pPr>
              <w:pStyle w:val="ARfintablebodyright8pt"/>
              <w:spacing w:after="16"/>
              <w:rPr>
                <w:highlight w:val="green"/>
              </w:rPr>
            </w:pPr>
            <w:r w:rsidRPr="00CE5018">
              <w:t>–</w:t>
            </w:r>
          </w:p>
        </w:tc>
        <w:tc>
          <w:tcPr>
            <w:tcW w:w="755" w:type="dxa"/>
            <w:noWrap/>
          </w:tcPr>
          <w:p w14:paraId="38F3C8FB" w14:textId="3EEC28B7" w:rsidR="000C72DD" w:rsidRPr="00BA7805" w:rsidRDefault="000C72DD" w:rsidP="000C72DD">
            <w:pPr>
              <w:pStyle w:val="ARfintablebodyright8pt"/>
              <w:spacing w:after="16"/>
              <w:rPr>
                <w:highlight w:val="green"/>
              </w:rPr>
            </w:pPr>
            <w:r w:rsidRPr="00CE5018">
              <w:t>–</w:t>
            </w:r>
          </w:p>
        </w:tc>
        <w:tc>
          <w:tcPr>
            <w:tcW w:w="755" w:type="dxa"/>
            <w:noWrap/>
          </w:tcPr>
          <w:p w14:paraId="7B72185A" w14:textId="0D42A3C1" w:rsidR="000C72DD" w:rsidRPr="00BA7805" w:rsidRDefault="000C72DD" w:rsidP="000C72DD">
            <w:pPr>
              <w:pStyle w:val="ARfintablebodyright8pt"/>
              <w:spacing w:after="16"/>
              <w:rPr>
                <w:highlight w:val="green"/>
              </w:rPr>
            </w:pPr>
            <w:r w:rsidRPr="00CE5018">
              <w:t>–</w:t>
            </w:r>
          </w:p>
        </w:tc>
        <w:tc>
          <w:tcPr>
            <w:tcW w:w="755" w:type="dxa"/>
            <w:noWrap/>
          </w:tcPr>
          <w:p w14:paraId="631D265C" w14:textId="62FA88B1" w:rsidR="000C72DD" w:rsidRPr="00BA7805" w:rsidRDefault="000C72DD" w:rsidP="000C72DD">
            <w:pPr>
              <w:pStyle w:val="ARfintablebodyright8pt"/>
              <w:spacing w:after="16"/>
              <w:rPr>
                <w:highlight w:val="green"/>
              </w:rPr>
            </w:pPr>
            <w:r w:rsidRPr="00CE5018">
              <w:t>–</w:t>
            </w:r>
          </w:p>
        </w:tc>
        <w:tc>
          <w:tcPr>
            <w:tcW w:w="755" w:type="dxa"/>
            <w:noWrap/>
          </w:tcPr>
          <w:p w14:paraId="70558663" w14:textId="7AECE300" w:rsidR="000C72DD" w:rsidRPr="00BA7805" w:rsidRDefault="000C72DD" w:rsidP="000C72DD">
            <w:pPr>
              <w:pStyle w:val="ARfintablebodyright8pt"/>
              <w:spacing w:after="16"/>
              <w:rPr>
                <w:highlight w:val="green"/>
              </w:rPr>
            </w:pPr>
            <w:r w:rsidRPr="00CE5018">
              <w:t>(9.9)</w:t>
            </w:r>
          </w:p>
        </w:tc>
        <w:tc>
          <w:tcPr>
            <w:tcW w:w="755" w:type="dxa"/>
            <w:noWrap/>
          </w:tcPr>
          <w:p w14:paraId="1C11848B" w14:textId="1DB4020F" w:rsidR="000C72DD" w:rsidRPr="00BA7805" w:rsidRDefault="000C72DD" w:rsidP="000C72DD">
            <w:pPr>
              <w:pStyle w:val="ARfintablebodyright8pt"/>
              <w:spacing w:after="16"/>
              <w:rPr>
                <w:highlight w:val="green"/>
              </w:rPr>
            </w:pPr>
            <w:r w:rsidRPr="00CE5018">
              <w:t>(6.5)</w:t>
            </w:r>
          </w:p>
        </w:tc>
      </w:tr>
      <w:tr w:rsidR="00265792" w:rsidRPr="00BA7805" w14:paraId="7C7082C6" w14:textId="77777777" w:rsidTr="000C72DD">
        <w:trPr>
          <w:trHeight w:val="170"/>
        </w:trPr>
        <w:tc>
          <w:tcPr>
            <w:tcW w:w="2552" w:type="dxa"/>
            <w:tcBorders>
              <w:bottom w:val="single" w:sz="4" w:space="0" w:color="A6A6A6" w:themeColor="accent5"/>
            </w:tcBorders>
          </w:tcPr>
          <w:p w14:paraId="689E2316" w14:textId="77777777" w:rsidR="00265792" w:rsidRPr="00BA7805" w:rsidRDefault="00265792">
            <w:pPr>
              <w:pStyle w:val="ARfintablebody8pt"/>
              <w:spacing w:after="16"/>
              <w:rPr>
                <w:sz w:val="15"/>
                <w:highlight w:val="green"/>
              </w:rPr>
            </w:pPr>
            <w:r w:rsidRPr="00707EE3">
              <w:t>Net gain/(loss) on financial</w:t>
            </w:r>
            <w:r>
              <w:t> </w:t>
            </w:r>
            <w:r w:rsidRPr="00707EE3">
              <w:t>instruments</w:t>
            </w:r>
          </w:p>
        </w:tc>
        <w:tc>
          <w:tcPr>
            <w:tcW w:w="694" w:type="dxa"/>
            <w:tcBorders>
              <w:bottom w:val="single" w:sz="4" w:space="0" w:color="A6A6A6" w:themeColor="accent5"/>
            </w:tcBorders>
            <w:noWrap/>
          </w:tcPr>
          <w:p w14:paraId="15B4F975" w14:textId="77777777" w:rsidR="00265792" w:rsidRPr="006748D0" w:rsidRDefault="00265792">
            <w:pPr>
              <w:pStyle w:val="ARfintablebodyright8pt"/>
              <w:spacing w:after="16"/>
              <w:rPr>
                <w:highlight w:val="green"/>
              </w:rPr>
            </w:pPr>
            <w:r w:rsidRPr="00707EE3">
              <w:t>0.2</w:t>
            </w:r>
          </w:p>
        </w:tc>
        <w:tc>
          <w:tcPr>
            <w:tcW w:w="755" w:type="dxa"/>
            <w:tcBorders>
              <w:bottom w:val="single" w:sz="4" w:space="0" w:color="A6A6A6" w:themeColor="accent5"/>
            </w:tcBorders>
            <w:noWrap/>
          </w:tcPr>
          <w:p w14:paraId="5AD2B7A6" w14:textId="77777777" w:rsidR="00265792" w:rsidRPr="006748D0" w:rsidRDefault="00265792">
            <w:pPr>
              <w:pStyle w:val="ARfintablebodyright8pt"/>
              <w:spacing w:after="16"/>
              <w:rPr>
                <w:highlight w:val="green"/>
              </w:rPr>
            </w:pPr>
            <w:r w:rsidRPr="00707EE3">
              <w:t>3.0</w:t>
            </w:r>
          </w:p>
        </w:tc>
        <w:tc>
          <w:tcPr>
            <w:tcW w:w="755" w:type="dxa"/>
            <w:tcBorders>
              <w:bottom w:val="single" w:sz="4" w:space="0" w:color="A6A6A6" w:themeColor="accent5"/>
            </w:tcBorders>
            <w:noWrap/>
          </w:tcPr>
          <w:p w14:paraId="60DC3358" w14:textId="77777777" w:rsidR="00265792" w:rsidRPr="006748D0" w:rsidRDefault="00265792">
            <w:pPr>
              <w:pStyle w:val="ARfintablebodyright8pt"/>
              <w:spacing w:after="16"/>
              <w:rPr>
                <w:highlight w:val="green"/>
              </w:rPr>
            </w:pPr>
            <w:r>
              <w:t>–</w:t>
            </w:r>
          </w:p>
        </w:tc>
        <w:tc>
          <w:tcPr>
            <w:tcW w:w="755" w:type="dxa"/>
            <w:tcBorders>
              <w:bottom w:val="single" w:sz="4" w:space="0" w:color="A6A6A6" w:themeColor="accent5"/>
            </w:tcBorders>
            <w:noWrap/>
          </w:tcPr>
          <w:p w14:paraId="7AAAA137" w14:textId="77777777" w:rsidR="00265792" w:rsidRPr="006748D0" w:rsidRDefault="00265792">
            <w:pPr>
              <w:pStyle w:val="ARfintablebodyright8pt"/>
              <w:spacing w:after="16"/>
              <w:rPr>
                <w:highlight w:val="green"/>
              </w:rPr>
            </w:pPr>
            <w:r>
              <w:t>–</w:t>
            </w:r>
          </w:p>
        </w:tc>
        <w:tc>
          <w:tcPr>
            <w:tcW w:w="755" w:type="dxa"/>
            <w:tcBorders>
              <w:bottom w:val="single" w:sz="4" w:space="0" w:color="A6A6A6" w:themeColor="accent5"/>
            </w:tcBorders>
            <w:noWrap/>
          </w:tcPr>
          <w:p w14:paraId="7EF7AA8C" w14:textId="77777777" w:rsidR="00265792" w:rsidRPr="006748D0" w:rsidRDefault="00265792">
            <w:pPr>
              <w:pStyle w:val="ARfintablebodyright8pt"/>
              <w:spacing w:after="16"/>
              <w:rPr>
                <w:highlight w:val="green"/>
              </w:rPr>
            </w:pPr>
            <w:r>
              <w:t>–</w:t>
            </w:r>
          </w:p>
        </w:tc>
        <w:tc>
          <w:tcPr>
            <w:tcW w:w="755" w:type="dxa"/>
            <w:tcBorders>
              <w:bottom w:val="single" w:sz="4" w:space="0" w:color="A6A6A6" w:themeColor="accent5"/>
            </w:tcBorders>
            <w:noWrap/>
          </w:tcPr>
          <w:p w14:paraId="7E56A887" w14:textId="77777777" w:rsidR="00265792" w:rsidRPr="006748D0" w:rsidRDefault="00265792">
            <w:pPr>
              <w:pStyle w:val="ARfintablebodyright8pt"/>
              <w:spacing w:after="16"/>
              <w:rPr>
                <w:highlight w:val="green"/>
              </w:rPr>
            </w:pPr>
            <w:r>
              <w:t>–</w:t>
            </w:r>
          </w:p>
        </w:tc>
        <w:tc>
          <w:tcPr>
            <w:tcW w:w="754" w:type="dxa"/>
            <w:tcBorders>
              <w:bottom w:val="single" w:sz="4" w:space="0" w:color="A6A6A6" w:themeColor="accent5"/>
            </w:tcBorders>
            <w:noWrap/>
          </w:tcPr>
          <w:p w14:paraId="5D8C43FE" w14:textId="77777777" w:rsidR="00265792" w:rsidRPr="006748D0" w:rsidRDefault="00265792">
            <w:pPr>
              <w:pStyle w:val="ARfintablebodyright8pt"/>
              <w:spacing w:after="16"/>
              <w:rPr>
                <w:highlight w:val="green"/>
              </w:rPr>
            </w:pPr>
            <w:r>
              <w:t>–</w:t>
            </w:r>
          </w:p>
        </w:tc>
        <w:tc>
          <w:tcPr>
            <w:tcW w:w="755" w:type="dxa"/>
            <w:tcBorders>
              <w:bottom w:val="single" w:sz="4" w:space="0" w:color="A6A6A6" w:themeColor="accent5"/>
            </w:tcBorders>
            <w:noWrap/>
          </w:tcPr>
          <w:p w14:paraId="69195857" w14:textId="77777777" w:rsidR="00265792" w:rsidRPr="006748D0" w:rsidRDefault="00265792">
            <w:pPr>
              <w:pStyle w:val="ARfintablebodyright8pt"/>
              <w:spacing w:after="16"/>
              <w:rPr>
                <w:highlight w:val="green"/>
              </w:rPr>
            </w:pPr>
            <w:r>
              <w:t>–</w:t>
            </w:r>
          </w:p>
        </w:tc>
        <w:tc>
          <w:tcPr>
            <w:tcW w:w="755" w:type="dxa"/>
            <w:tcBorders>
              <w:bottom w:val="single" w:sz="4" w:space="0" w:color="A6A6A6" w:themeColor="accent5"/>
            </w:tcBorders>
            <w:noWrap/>
          </w:tcPr>
          <w:p w14:paraId="0C5EDF1F" w14:textId="77777777" w:rsidR="00265792" w:rsidRPr="006748D0" w:rsidRDefault="00265792">
            <w:pPr>
              <w:pStyle w:val="ARfintablebodyright8pt"/>
              <w:spacing w:after="16"/>
              <w:rPr>
                <w:highlight w:val="green"/>
              </w:rPr>
            </w:pPr>
            <w:r>
              <w:t>–</w:t>
            </w:r>
          </w:p>
        </w:tc>
        <w:tc>
          <w:tcPr>
            <w:tcW w:w="755" w:type="dxa"/>
            <w:tcBorders>
              <w:bottom w:val="single" w:sz="4" w:space="0" w:color="A6A6A6" w:themeColor="accent5"/>
            </w:tcBorders>
            <w:noWrap/>
          </w:tcPr>
          <w:p w14:paraId="2EA24FC0" w14:textId="77777777" w:rsidR="00265792" w:rsidRPr="006748D0" w:rsidRDefault="00265792">
            <w:pPr>
              <w:pStyle w:val="ARfintablebodyright8pt"/>
              <w:spacing w:after="16"/>
              <w:rPr>
                <w:highlight w:val="green"/>
              </w:rPr>
            </w:pPr>
            <w:r>
              <w:t>–</w:t>
            </w:r>
          </w:p>
        </w:tc>
        <w:tc>
          <w:tcPr>
            <w:tcW w:w="755" w:type="dxa"/>
            <w:tcBorders>
              <w:bottom w:val="single" w:sz="4" w:space="0" w:color="A6A6A6" w:themeColor="accent5"/>
            </w:tcBorders>
            <w:noWrap/>
          </w:tcPr>
          <w:p w14:paraId="23DA4807" w14:textId="77777777" w:rsidR="00265792" w:rsidRPr="006748D0" w:rsidRDefault="00265792">
            <w:pPr>
              <w:pStyle w:val="ARfintablebodyright8pt"/>
              <w:spacing w:after="16"/>
              <w:rPr>
                <w:highlight w:val="green"/>
              </w:rPr>
            </w:pPr>
            <w:r>
              <w:t>–</w:t>
            </w:r>
          </w:p>
        </w:tc>
        <w:tc>
          <w:tcPr>
            <w:tcW w:w="755" w:type="dxa"/>
            <w:tcBorders>
              <w:bottom w:val="single" w:sz="4" w:space="0" w:color="A6A6A6" w:themeColor="accent5"/>
            </w:tcBorders>
            <w:noWrap/>
          </w:tcPr>
          <w:p w14:paraId="0809EEC4" w14:textId="77777777" w:rsidR="00265792" w:rsidRPr="006748D0" w:rsidRDefault="00265792">
            <w:pPr>
              <w:pStyle w:val="ARfintablebodyright8pt"/>
              <w:spacing w:after="16"/>
              <w:rPr>
                <w:highlight w:val="green"/>
              </w:rPr>
            </w:pPr>
            <w:r>
              <w:t>–</w:t>
            </w:r>
          </w:p>
        </w:tc>
        <w:tc>
          <w:tcPr>
            <w:tcW w:w="755" w:type="dxa"/>
            <w:tcBorders>
              <w:bottom w:val="single" w:sz="4" w:space="0" w:color="A6A6A6" w:themeColor="accent5"/>
            </w:tcBorders>
            <w:noWrap/>
          </w:tcPr>
          <w:p w14:paraId="00198DDA" w14:textId="77777777" w:rsidR="00265792" w:rsidRPr="006748D0" w:rsidRDefault="00265792">
            <w:pPr>
              <w:pStyle w:val="ARfintablebodyright8pt"/>
              <w:spacing w:after="16"/>
              <w:rPr>
                <w:highlight w:val="green"/>
              </w:rPr>
            </w:pPr>
            <w:r>
              <w:t>–</w:t>
            </w:r>
          </w:p>
        </w:tc>
        <w:tc>
          <w:tcPr>
            <w:tcW w:w="755" w:type="dxa"/>
            <w:tcBorders>
              <w:bottom w:val="single" w:sz="4" w:space="0" w:color="A6A6A6" w:themeColor="accent5"/>
            </w:tcBorders>
            <w:noWrap/>
          </w:tcPr>
          <w:p w14:paraId="6F63A3F5" w14:textId="77777777" w:rsidR="00265792" w:rsidRPr="006748D0" w:rsidRDefault="00265792">
            <w:pPr>
              <w:pStyle w:val="ARfintablebodyright8pt"/>
              <w:spacing w:after="16"/>
              <w:rPr>
                <w:highlight w:val="green"/>
              </w:rPr>
            </w:pPr>
            <w:r>
              <w:t>–</w:t>
            </w:r>
          </w:p>
        </w:tc>
        <w:tc>
          <w:tcPr>
            <w:tcW w:w="755" w:type="dxa"/>
            <w:tcBorders>
              <w:bottom w:val="single" w:sz="4" w:space="0" w:color="A6A6A6" w:themeColor="accent5"/>
            </w:tcBorders>
            <w:noWrap/>
          </w:tcPr>
          <w:p w14:paraId="5C95DDF2" w14:textId="77777777" w:rsidR="00265792" w:rsidRPr="006748D0" w:rsidRDefault="00265792">
            <w:pPr>
              <w:pStyle w:val="ARfintablebodyright8pt"/>
              <w:spacing w:after="16"/>
              <w:rPr>
                <w:highlight w:val="green"/>
              </w:rPr>
            </w:pPr>
            <w:r w:rsidRPr="00707EE3">
              <w:t>3.2</w:t>
            </w:r>
          </w:p>
        </w:tc>
      </w:tr>
      <w:tr w:rsidR="00265792" w:rsidRPr="00BA7805" w14:paraId="2C63C836" w14:textId="77777777" w:rsidTr="000C72DD">
        <w:trPr>
          <w:trHeight w:val="170"/>
        </w:trPr>
        <w:tc>
          <w:tcPr>
            <w:tcW w:w="2552" w:type="dxa"/>
            <w:tcBorders>
              <w:top w:val="single" w:sz="4" w:space="0" w:color="A6A6A6" w:themeColor="accent5"/>
              <w:bottom w:val="single" w:sz="4" w:space="0" w:color="000000" w:themeColor="text1"/>
            </w:tcBorders>
          </w:tcPr>
          <w:p w14:paraId="0355DB6C" w14:textId="77777777" w:rsidR="00265792" w:rsidRPr="00BA7805" w:rsidRDefault="00265792">
            <w:pPr>
              <w:pStyle w:val="ARfintablebody8pt"/>
              <w:spacing w:after="16"/>
              <w:rPr>
                <w:highlight w:val="green"/>
              </w:rPr>
            </w:pPr>
            <w:r w:rsidRPr="00707EE3">
              <w:t>Other gains/(losses) from other economic flows</w:t>
            </w:r>
          </w:p>
        </w:tc>
        <w:tc>
          <w:tcPr>
            <w:tcW w:w="694" w:type="dxa"/>
            <w:tcBorders>
              <w:top w:val="single" w:sz="4" w:space="0" w:color="A6A6A6" w:themeColor="accent5"/>
              <w:bottom w:val="single" w:sz="4" w:space="0" w:color="000000" w:themeColor="text1"/>
            </w:tcBorders>
            <w:noWrap/>
          </w:tcPr>
          <w:p w14:paraId="0FCF6A85" w14:textId="77777777" w:rsidR="00265792" w:rsidRPr="00BA7805" w:rsidRDefault="00265792">
            <w:pPr>
              <w:pStyle w:val="ARfintablebodyright8pt"/>
              <w:spacing w:after="16"/>
              <w:rPr>
                <w:highlight w:val="green"/>
              </w:rPr>
            </w:pPr>
            <w:r w:rsidRPr="00707EE3">
              <w:t>(1.6)</w:t>
            </w:r>
          </w:p>
        </w:tc>
        <w:tc>
          <w:tcPr>
            <w:tcW w:w="755" w:type="dxa"/>
            <w:tcBorders>
              <w:top w:val="single" w:sz="4" w:space="0" w:color="A6A6A6" w:themeColor="accent5"/>
              <w:bottom w:val="single" w:sz="4" w:space="0" w:color="000000" w:themeColor="text1"/>
            </w:tcBorders>
            <w:noWrap/>
          </w:tcPr>
          <w:p w14:paraId="23363135" w14:textId="77777777" w:rsidR="00265792" w:rsidRPr="00BA7805" w:rsidRDefault="00265792">
            <w:pPr>
              <w:pStyle w:val="ARfintablebodyright8pt"/>
              <w:spacing w:after="16"/>
              <w:rPr>
                <w:highlight w:val="green"/>
              </w:rPr>
            </w:pPr>
            <w:r w:rsidRPr="00707EE3">
              <w:t>(41.6)</w:t>
            </w:r>
          </w:p>
        </w:tc>
        <w:tc>
          <w:tcPr>
            <w:tcW w:w="755" w:type="dxa"/>
            <w:tcBorders>
              <w:top w:val="single" w:sz="4" w:space="0" w:color="A6A6A6" w:themeColor="accent5"/>
              <w:bottom w:val="single" w:sz="4" w:space="0" w:color="000000" w:themeColor="text1"/>
            </w:tcBorders>
            <w:noWrap/>
          </w:tcPr>
          <w:p w14:paraId="710A7D44" w14:textId="77777777" w:rsidR="00265792" w:rsidRPr="00BA7805" w:rsidRDefault="00265792">
            <w:pPr>
              <w:pStyle w:val="ARfintablebodyright8pt"/>
              <w:spacing w:after="16"/>
              <w:rPr>
                <w:highlight w:val="green"/>
              </w:rPr>
            </w:pPr>
            <w:r w:rsidRPr="00707EE3">
              <w:t>(0.1)</w:t>
            </w:r>
          </w:p>
        </w:tc>
        <w:tc>
          <w:tcPr>
            <w:tcW w:w="755" w:type="dxa"/>
            <w:tcBorders>
              <w:top w:val="single" w:sz="4" w:space="0" w:color="A6A6A6" w:themeColor="accent5"/>
              <w:bottom w:val="single" w:sz="4" w:space="0" w:color="000000" w:themeColor="text1"/>
            </w:tcBorders>
            <w:noWrap/>
          </w:tcPr>
          <w:p w14:paraId="3A7490B1"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24DF9ADD"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3144CB7B" w14:textId="77777777" w:rsidR="00265792" w:rsidRPr="00BA7805" w:rsidRDefault="00265792">
            <w:pPr>
              <w:pStyle w:val="ARfintablebodyright8pt"/>
              <w:spacing w:after="16"/>
              <w:rPr>
                <w:highlight w:val="green"/>
              </w:rPr>
            </w:pPr>
            <w:r>
              <w:t>–</w:t>
            </w:r>
          </w:p>
        </w:tc>
        <w:tc>
          <w:tcPr>
            <w:tcW w:w="754" w:type="dxa"/>
            <w:tcBorders>
              <w:top w:val="single" w:sz="4" w:space="0" w:color="A6A6A6" w:themeColor="accent5"/>
              <w:bottom w:val="single" w:sz="4" w:space="0" w:color="000000" w:themeColor="text1"/>
            </w:tcBorders>
            <w:noWrap/>
          </w:tcPr>
          <w:p w14:paraId="373EF431"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052AD2B9"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56E2AB4B"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50D23CE7" w14:textId="77777777" w:rsidR="00265792" w:rsidRPr="00BA7805" w:rsidRDefault="00265792">
            <w:pPr>
              <w:pStyle w:val="ARfintablebodyright8pt"/>
              <w:spacing w:after="16"/>
              <w:rPr>
                <w:highlight w:val="green"/>
              </w:rPr>
            </w:pPr>
            <w:r w:rsidRPr="004C5889">
              <w:t>(0.1)</w:t>
            </w:r>
          </w:p>
        </w:tc>
        <w:tc>
          <w:tcPr>
            <w:tcW w:w="755" w:type="dxa"/>
            <w:tcBorders>
              <w:top w:val="single" w:sz="4" w:space="0" w:color="A6A6A6" w:themeColor="accent5"/>
              <w:bottom w:val="single" w:sz="4" w:space="0" w:color="000000" w:themeColor="text1"/>
            </w:tcBorders>
            <w:noWrap/>
          </w:tcPr>
          <w:p w14:paraId="2C774FE6"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7840E632" w14:textId="77777777" w:rsidR="00265792" w:rsidRPr="00BA7805" w:rsidRDefault="00265792">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6CCBFC7B" w14:textId="77777777" w:rsidR="00265792" w:rsidRPr="00BA7805" w:rsidRDefault="00265792">
            <w:pPr>
              <w:pStyle w:val="ARfintablebodyright8pt"/>
              <w:spacing w:after="16"/>
              <w:rPr>
                <w:highlight w:val="green"/>
              </w:rPr>
            </w:pPr>
            <w:r w:rsidRPr="00707EE3">
              <w:t>(0.3)</w:t>
            </w:r>
          </w:p>
        </w:tc>
        <w:tc>
          <w:tcPr>
            <w:tcW w:w="755" w:type="dxa"/>
            <w:tcBorders>
              <w:top w:val="single" w:sz="4" w:space="0" w:color="A6A6A6" w:themeColor="accent5"/>
              <w:bottom w:val="single" w:sz="4" w:space="0" w:color="000000" w:themeColor="text1"/>
            </w:tcBorders>
            <w:noWrap/>
          </w:tcPr>
          <w:p w14:paraId="68A1DF4F" w14:textId="77777777" w:rsidR="00265792" w:rsidRPr="00BA7805" w:rsidRDefault="00265792">
            <w:pPr>
              <w:pStyle w:val="ARfintablebodyright8pt"/>
              <w:spacing w:after="16"/>
              <w:rPr>
                <w:highlight w:val="green"/>
              </w:rPr>
            </w:pPr>
            <w:r w:rsidRPr="00707EE3">
              <w:t>(5.4)</w:t>
            </w:r>
          </w:p>
        </w:tc>
        <w:tc>
          <w:tcPr>
            <w:tcW w:w="755" w:type="dxa"/>
            <w:tcBorders>
              <w:top w:val="single" w:sz="4" w:space="0" w:color="A6A6A6" w:themeColor="accent5"/>
              <w:bottom w:val="single" w:sz="4" w:space="0" w:color="000000" w:themeColor="text1"/>
            </w:tcBorders>
            <w:noWrap/>
          </w:tcPr>
          <w:p w14:paraId="2500D7CE" w14:textId="77777777" w:rsidR="00265792" w:rsidRPr="00BA7805" w:rsidRDefault="00265792">
            <w:pPr>
              <w:pStyle w:val="ARfintablebodyright8pt"/>
              <w:spacing w:after="16"/>
              <w:rPr>
                <w:highlight w:val="green"/>
              </w:rPr>
            </w:pPr>
            <w:r w:rsidRPr="00707EE3">
              <w:t>(49.2)</w:t>
            </w:r>
          </w:p>
        </w:tc>
      </w:tr>
      <w:tr w:rsidR="00265792" w:rsidRPr="00BA7805" w14:paraId="48EB05AD" w14:textId="77777777" w:rsidTr="000C72DD">
        <w:trPr>
          <w:trHeight w:val="170"/>
        </w:trPr>
        <w:tc>
          <w:tcPr>
            <w:tcW w:w="2552" w:type="dxa"/>
            <w:tcBorders>
              <w:top w:val="single" w:sz="4" w:space="0" w:color="000000" w:themeColor="text1"/>
              <w:bottom w:val="single" w:sz="4" w:space="0" w:color="000000" w:themeColor="text1"/>
            </w:tcBorders>
          </w:tcPr>
          <w:p w14:paraId="0B04994F" w14:textId="77777777" w:rsidR="00265792" w:rsidRPr="00BA7805" w:rsidRDefault="00265792">
            <w:pPr>
              <w:pStyle w:val="ARfintablebodybold8pt"/>
              <w:rPr>
                <w:highlight w:val="green"/>
              </w:rPr>
            </w:pPr>
            <w:r w:rsidRPr="00707EE3">
              <w:t>Total other economic flows included in net result</w:t>
            </w:r>
          </w:p>
        </w:tc>
        <w:tc>
          <w:tcPr>
            <w:tcW w:w="694" w:type="dxa"/>
            <w:tcBorders>
              <w:top w:val="single" w:sz="4" w:space="0" w:color="000000" w:themeColor="text1"/>
              <w:bottom w:val="single" w:sz="4" w:space="0" w:color="000000" w:themeColor="text1"/>
            </w:tcBorders>
            <w:noWrap/>
          </w:tcPr>
          <w:p w14:paraId="4A7A2F6F" w14:textId="77777777" w:rsidR="00265792" w:rsidRPr="00BA7805" w:rsidRDefault="00265792">
            <w:pPr>
              <w:pStyle w:val="ARfintablebodyrightbold8pt"/>
              <w:spacing w:after="16"/>
              <w:rPr>
                <w:highlight w:val="green"/>
              </w:rPr>
            </w:pPr>
            <w:r w:rsidRPr="00707EE3">
              <w:t>(1.4)</w:t>
            </w:r>
          </w:p>
        </w:tc>
        <w:tc>
          <w:tcPr>
            <w:tcW w:w="755" w:type="dxa"/>
            <w:tcBorders>
              <w:top w:val="single" w:sz="4" w:space="0" w:color="000000" w:themeColor="text1"/>
              <w:bottom w:val="single" w:sz="4" w:space="0" w:color="000000" w:themeColor="text1"/>
            </w:tcBorders>
            <w:noWrap/>
          </w:tcPr>
          <w:p w14:paraId="4C7A96F5" w14:textId="77777777" w:rsidR="00265792" w:rsidRPr="00BA7805" w:rsidRDefault="00265792">
            <w:pPr>
              <w:pStyle w:val="ARfintablebodyrightbold8pt"/>
              <w:spacing w:after="16"/>
              <w:rPr>
                <w:highlight w:val="green"/>
              </w:rPr>
            </w:pPr>
            <w:r w:rsidRPr="00707EE3">
              <w:t>(35.2)</w:t>
            </w:r>
          </w:p>
        </w:tc>
        <w:tc>
          <w:tcPr>
            <w:tcW w:w="755" w:type="dxa"/>
            <w:tcBorders>
              <w:top w:val="single" w:sz="4" w:space="0" w:color="000000" w:themeColor="text1"/>
              <w:bottom w:val="single" w:sz="4" w:space="0" w:color="000000" w:themeColor="text1"/>
            </w:tcBorders>
            <w:noWrap/>
          </w:tcPr>
          <w:p w14:paraId="15FE027C" w14:textId="77777777" w:rsidR="00265792" w:rsidRPr="00BA7805" w:rsidRDefault="00265792">
            <w:pPr>
              <w:pStyle w:val="ARfintablebodyrightbold8pt"/>
              <w:spacing w:after="16"/>
              <w:rPr>
                <w:highlight w:val="green"/>
              </w:rPr>
            </w:pPr>
            <w:r w:rsidRPr="00707EE3">
              <w:t>(0.1)</w:t>
            </w:r>
          </w:p>
        </w:tc>
        <w:tc>
          <w:tcPr>
            <w:tcW w:w="755" w:type="dxa"/>
            <w:tcBorders>
              <w:top w:val="single" w:sz="4" w:space="0" w:color="000000" w:themeColor="text1"/>
              <w:bottom w:val="single" w:sz="4" w:space="0" w:color="000000" w:themeColor="text1"/>
            </w:tcBorders>
            <w:noWrap/>
          </w:tcPr>
          <w:p w14:paraId="4CB1FB7B"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63096C82"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7B94945C" w14:textId="77777777" w:rsidR="00265792" w:rsidRPr="00BA7805" w:rsidRDefault="00265792">
            <w:pPr>
              <w:pStyle w:val="ARfintablebodyrightbold8pt"/>
              <w:spacing w:after="16"/>
              <w:rPr>
                <w:highlight w:val="green"/>
              </w:rPr>
            </w:pPr>
            <w:r>
              <w:t>–</w:t>
            </w:r>
          </w:p>
        </w:tc>
        <w:tc>
          <w:tcPr>
            <w:tcW w:w="754" w:type="dxa"/>
            <w:tcBorders>
              <w:top w:val="single" w:sz="4" w:space="0" w:color="000000" w:themeColor="text1"/>
              <w:bottom w:val="single" w:sz="4" w:space="0" w:color="000000" w:themeColor="text1"/>
            </w:tcBorders>
            <w:noWrap/>
          </w:tcPr>
          <w:p w14:paraId="0E0C8529"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115D3390"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3F8FE198"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0DCE6C99" w14:textId="77777777" w:rsidR="00265792" w:rsidRPr="00BA7805" w:rsidRDefault="00265792">
            <w:pPr>
              <w:pStyle w:val="ARfintablebodyrightbold8pt"/>
              <w:spacing w:after="16"/>
              <w:rPr>
                <w:highlight w:val="green"/>
              </w:rPr>
            </w:pPr>
            <w:r w:rsidRPr="004C5889">
              <w:t>(0.1)</w:t>
            </w:r>
          </w:p>
        </w:tc>
        <w:tc>
          <w:tcPr>
            <w:tcW w:w="755" w:type="dxa"/>
            <w:tcBorders>
              <w:top w:val="single" w:sz="4" w:space="0" w:color="000000" w:themeColor="text1"/>
              <w:bottom w:val="single" w:sz="4" w:space="0" w:color="000000" w:themeColor="text1"/>
            </w:tcBorders>
            <w:noWrap/>
          </w:tcPr>
          <w:p w14:paraId="4328DE08"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11DAB871" w14:textId="77777777" w:rsidR="00265792" w:rsidRPr="00BA7805" w:rsidRDefault="00265792">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0EE2913C" w14:textId="77777777" w:rsidR="00265792" w:rsidRPr="00BA7805" w:rsidRDefault="00265792">
            <w:pPr>
              <w:pStyle w:val="ARfintablebodyrightbold8pt"/>
              <w:spacing w:after="16"/>
              <w:rPr>
                <w:highlight w:val="green"/>
              </w:rPr>
            </w:pPr>
            <w:r w:rsidRPr="00707EE3">
              <w:t>(0.3)</w:t>
            </w:r>
          </w:p>
        </w:tc>
        <w:tc>
          <w:tcPr>
            <w:tcW w:w="755" w:type="dxa"/>
            <w:tcBorders>
              <w:top w:val="single" w:sz="4" w:space="0" w:color="000000" w:themeColor="text1"/>
              <w:bottom w:val="single" w:sz="4" w:space="0" w:color="000000" w:themeColor="text1"/>
            </w:tcBorders>
            <w:noWrap/>
          </w:tcPr>
          <w:p w14:paraId="24EA5788" w14:textId="77777777" w:rsidR="00265792" w:rsidRPr="00BA7805" w:rsidRDefault="00265792">
            <w:pPr>
              <w:pStyle w:val="ARfintablebodyrightbold8pt"/>
              <w:spacing w:after="16"/>
              <w:rPr>
                <w:highlight w:val="green"/>
              </w:rPr>
            </w:pPr>
            <w:r w:rsidRPr="00707EE3">
              <w:t>(15.3)</w:t>
            </w:r>
          </w:p>
        </w:tc>
        <w:tc>
          <w:tcPr>
            <w:tcW w:w="755" w:type="dxa"/>
            <w:tcBorders>
              <w:top w:val="single" w:sz="4" w:space="0" w:color="000000" w:themeColor="text1"/>
              <w:bottom w:val="single" w:sz="4" w:space="0" w:color="000000" w:themeColor="text1"/>
            </w:tcBorders>
            <w:noWrap/>
          </w:tcPr>
          <w:p w14:paraId="4D2CC0BE" w14:textId="77777777" w:rsidR="00265792" w:rsidRPr="00BA7805" w:rsidRDefault="00265792">
            <w:pPr>
              <w:pStyle w:val="ARfintablebodyrightbold8pt"/>
              <w:spacing w:after="16"/>
              <w:rPr>
                <w:highlight w:val="green"/>
              </w:rPr>
            </w:pPr>
            <w:r w:rsidRPr="00707EE3">
              <w:t>(52.5)</w:t>
            </w:r>
          </w:p>
        </w:tc>
      </w:tr>
      <w:tr w:rsidR="00265792" w:rsidRPr="00BA7805" w14:paraId="3D3E52C8" w14:textId="77777777" w:rsidTr="000C72DD">
        <w:trPr>
          <w:trHeight w:val="170"/>
        </w:trPr>
        <w:tc>
          <w:tcPr>
            <w:tcW w:w="2552" w:type="dxa"/>
            <w:tcBorders>
              <w:top w:val="single" w:sz="4" w:space="0" w:color="000000" w:themeColor="text1"/>
            </w:tcBorders>
          </w:tcPr>
          <w:p w14:paraId="7B4590B7" w14:textId="77777777" w:rsidR="00265792" w:rsidRPr="00BA7805" w:rsidRDefault="00265792">
            <w:pPr>
              <w:pStyle w:val="ARfintablebodybold8pt"/>
              <w:rPr>
                <w:highlight w:val="green"/>
              </w:rPr>
            </w:pPr>
            <w:r w:rsidRPr="00707EE3">
              <w:t>Net result</w:t>
            </w:r>
          </w:p>
        </w:tc>
        <w:tc>
          <w:tcPr>
            <w:tcW w:w="694" w:type="dxa"/>
            <w:tcBorders>
              <w:top w:val="single" w:sz="4" w:space="0" w:color="000000" w:themeColor="text1"/>
            </w:tcBorders>
            <w:noWrap/>
          </w:tcPr>
          <w:p w14:paraId="36CDB8A3" w14:textId="77777777" w:rsidR="00265792" w:rsidRPr="004565B0" w:rsidRDefault="00265792">
            <w:pPr>
              <w:pStyle w:val="ARfintablebodyright8pt"/>
              <w:spacing w:after="16"/>
              <w:rPr>
                <w:b/>
                <w:bCs/>
                <w:highlight w:val="green"/>
              </w:rPr>
            </w:pPr>
            <w:r w:rsidRPr="004565B0">
              <w:rPr>
                <w:b/>
                <w:bCs/>
              </w:rPr>
              <w:t>0.3</w:t>
            </w:r>
          </w:p>
        </w:tc>
        <w:tc>
          <w:tcPr>
            <w:tcW w:w="755" w:type="dxa"/>
            <w:tcBorders>
              <w:top w:val="single" w:sz="4" w:space="0" w:color="000000" w:themeColor="text1"/>
            </w:tcBorders>
            <w:noWrap/>
          </w:tcPr>
          <w:p w14:paraId="0D311E4F" w14:textId="77777777" w:rsidR="00265792" w:rsidRPr="004565B0" w:rsidRDefault="00265792">
            <w:pPr>
              <w:pStyle w:val="ARfintablebodyright8pt"/>
              <w:spacing w:after="16"/>
              <w:rPr>
                <w:b/>
                <w:bCs/>
                <w:highlight w:val="green"/>
              </w:rPr>
            </w:pPr>
            <w:r w:rsidRPr="004565B0">
              <w:rPr>
                <w:b/>
                <w:bCs/>
              </w:rPr>
              <w:t>(169.0)</w:t>
            </w:r>
          </w:p>
        </w:tc>
        <w:tc>
          <w:tcPr>
            <w:tcW w:w="755" w:type="dxa"/>
            <w:tcBorders>
              <w:top w:val="single" w:sz="4" w:space="0" w:color="000000" w:themeColor="text1"/>
            </w:tcBorders>
            <w:noWrap/>
          </w:tcPr>
          <w:p w14:paraId="30646F0D" w14:textId="77777777" w:rsidR="00265792" w:rsidRPr="004565B0" w:rsidRDefault="00265792">
            <w:pPr>
              <w:pStyle w:val="ARfintablebodyright8pt"/>
              <w:spacing w:after="16"/>
              <w:rPr>
                <w:b/>
                <w:bCs/>
                <w:highlight w:val="green"/>
              </w:rPr>
            </w:pPr>
            <w:r w:rsidRPr="004565B0">
              <w:rPr>
                <w:b/>
                <w:bCs/>
              </w:rPr>
              <w:t>7.3</w:t>
            </w:r>
          </w:p>
        </w:tc>
        <w:tc>
          <w:tcPr>
            <w:tcW w:w="755" w:type="dxa"/>
            <w:tcBorders>
              <w:top w:val="single" w:sz="4" w:space="0" w:color="000000" w:themeColor="text1"/>
            </w:tcBorders>
            <w:noWrap/>
          </w:tcPr>
          <w:p w14:paraId="180521F6" w14:textId="77777777" w:rsidR="00265792" w:rsidRPr="004565B0" w:rsidRDefault="00265792">
            <w:pPr>
              <w:pStyle w:val="ARfintablebodyright8pt"/>
              <w:spacing w:after="16"/>
              <w:rPr>
                <w:b/>
                <w:bCs/>
                <w:highlight w:val="green"/>
              </w:rPr>
            </w:pPr>
            <w:r>
              <w:rPr>
                <w:b/>
                <w:bCs/>
              </w:rPr>
              <w:t>(0.1)</w:t>
            </w:r>
          </w:p>
        </w:tc>
        <w:tc>
          <w:tcPr>
            <w:tcW w:w="755" w:type="dxa"/>
            <w:tcBorders>
              <w:top w:val="single" w:sz="4" w:space="0" w:color="000000" w:themeColor="text1"/>
            </w:tcBorders>
            <w:noWrap/>
          </w:tcPr>
          <w:p w14:paraId="17F4A4D9" w14:textId="77777777" w:rsidR="00265792" w:rsidRPr="004565B0" w:rsidRDefault="00265792">
            <w:pPr>
              <w:pStyle w:val="ARfintablebodyright8pt"/>
              <w:spacing w:after="16"/>
              <w:rPr>
                <w:b/>
                <w:bCs/>
                <w:highlight w:val="green"/>
              </w:rPr>
            </w:pPr>
            <w:r w:rsidRPr="004565B0">
              <w:rPr>
                <w:b/>
                <w:bCs/>
              </w:rPr>
              <w:t>(0.6)</w:t>
            </w:r>
          </w:p>
        </w:tc>
        <w:tc>
          <w:tcPr>
            <w:tcW w:w="755" w:type="dxa"/>
            <w:tcBorders>
              <w:top w:val="single" w:sz="4" w:space="0" w:color="000000" w:themeColor="text1"/>
            </w:tcBorders>
            <w:noWrap/>
          </w:tcPr>
          <w:p w14:paraId="1F64E171" w14:textId="77777777" w:rsidR="00265792" w:rsidRPr="004565B0" w:rsidRDefault="00265792">
            <w:pPr>
              <w:pStyle w:val="ARfintablebodyright8pt"/>
              <w:spacing w:after="16"/>
              <w:rPr>
                <w:b/>
                <w:bCs/>
                <w:highlight w:val="green"/>
              </w:rPr>
            </w:pPr>
            <w:r w:rsidRPr="004565B0">
              <w:rPr>
                <w:b/>
                <w:bCs/>
              </w:rPr>
              <w:t>(0.3)</w:t>
            </w:r>
          </w:p>
        </w:tc>
        <w:tc>
          <w:tcPr>
            <w:tcW w:w="754" w:type="dxa"/>
            <w:tcBorders>
              <w:top w:val="single" w:sz="4" w:space="0" w:color="000000" w:themeColor="text1"/>
            </w:tcBorders>
            <w:noWrap/>
          </w:tcPr>
          <w:p w14:paraId="7C295FE6" w14:textId="77777777" w:rsidR="00265792" w:rsidRPr="004565B0" w:rsidRDefault="00265792">
            <w:pPr>
              <w:pStyle w:val="ARfintablebodyright8pt"/>
              <w:spacing w:after="16"/>
              <w:rPr>
                <w:b/>
                <w:bCs/>
                <w:highlight w:val="green"/>
              </w:rPr>
            </w:pPr>
            <w:r w:rsidRPr="004565B0">
              <w:rPr>
                <w:b/>
                <w:bCs/>
              </w:rPr>
              <w:t>0.1</w:t>
            </w:r>
          </w:p>
        </w:tc>
        <w:tc>
          <w:tcPr>
            <w:tcW w:w="755" w:type="dxa"/>
            <w:tcBorders>
              <w:top w:val="single" w:sz="4" w:space="0" w:color="000000" w:themeColor="text1"/>
            </w:tcBorders>
            <w:noWrap/>
          </w:tcPr>
          <w:p w14:paraId="5A50EF11" w14:textId="77777777" w:rsidR="00265792" w:rsidRPr="004565B0" w:rsidRDefault="00265792">
            <w:pPr>
              <w:pStyle w:val="ARfintablebodyright8pt"/>
              <w:spacing w:after="16"/>
              <w:rPr>
                <w:b/>
                <w:bCs/>
                <w:highlight w:val="green"/>
              </w:rPr>
            </w:pPr>
            <w:r>
              <w:rPr>
                <w:b/>
                <w:bCs/>
              </w:rPr>
              <w:t>–</w:t>
            </w:r>
          </w:p>
        </w:tc>
        <w:tc>
          <w:tcPr>
            <w:tcW w:w="755" w:type="dxa"/>
            <w:tcBorders>
              <w:top w:val="single" w:sz="4" w:space="0" w:color="000000" w:themeColor="text1"/>
            </w:tcBorders>
            <w:noWrap/>
          </w:tcPr>
          <w:p w14:paraId="6DF04A65" w14:textId="77777777" w:rsidR="00265792" w:rsidRPr="004565B0" w:rsidRDefault="00265792">
            <w:pPr>
              <w:pStyle w:val="ARfintablebodyright8pt"/>
              <w:spacing w:after="16"/>
              <w:rPr>
                <w:b/>
                <w:bCs/>
                <w:highlight w:val="green"/>
              </w:rPr>
            </w:pPr>
            <w:r>
              <w:rPr>
                <w:b/>
                <w:bCs/>
              </w:rPr>
              <w:t>–</w:t>
            </w:r>
          </w:p>
        </w:tc>
        <w:tc>
          <w:tcPr>
            <w:tcW w:w="755" w:type="dxa"/>
            <w:tcBorders>
              <w:top w:val="single" w:sz="4" w:space="0" w:color="000000" w:themeColor="text1"/>
            </w:tcBorders>
            <w:noWrap/>
          </w:tcPr>
          <w:p w14:paraId="3663021F" w14:textId="77777777" w:rsidR="00265792" w:rsidRPr="004C5889" w:rsidRDefault="00265792">
            <w:pPr>
              <w:pStyle w:val="ARfintablebodyright8pt"/>
              <w:spacing w:after="16"/>
              <w:rPr>
                <w:b/>
                <w:bCs/>
              </w:rPr>
            </w:pPr>
            <w:r w:rsidRPr="004C5889">
              <w:rPr>
                <w:b/>
                <w:bCs/>
              </w:rPr>
              <w:t>(0.1)</w:t>
            </w:r>
          </w:p>
        </w:tc>
        <w:tc>
          <w:tcPr>
            <w:tcW w:w="755" w:type="dxa"/>
            <w:tcBorders>
              <w:top w:val="single" w:sz="4" w:space="0" w:color="000000" w:themeColor="text1"/>
            </w:tcBorders>
            <w:noWrap/>
          </w:tcPr>
          <w:p w14:paraId="0F553BCD" w14:textId="77777777" w:rsidR="00265792" w:rsidRPr="004C5889" w:rsidRDefault="00265792">
            <w:pPr>
              <w:pStyle w:val="ARfintablebodyright8pt"/>
              <w:spacing w:after="16"/>
              <w:rPr>
                <w:b/>
                <w:bCs/>
              </w:rPr>
            </w:pPr>
            <w:r w:rsidRPr="004C5889">
              <w:rPr>
                <w:b/>
                <w:bCs/>
              </w:rPr>
              <w:t>(0.1)</w:t>
            </w:r>
          </w:p>
        </w:tc>
        <w:tc>
          <w:tcPr>
            <w:tcW w:w="755" w:type="dxa"/>
            <w:tcBorders>
              <w:top w:val="single" w:sz="4" w:space="0" w:color="000000" w:themeColor="text1"/>
            </w:tcBorders>
            <w:noWrap/>
          </w:tcPr>
          <w:p w14:paraId="53E3E776" w14:textId="77777777" w:rsidR="00265792" w:rsidRPr="004565B0" w:rsidRDefault="00265792">
            <w:pPr>
              <w:pStyle w:val="ARfintablebodyright8pt"/>
              <w:spacing w:after="16"/>
              <w:rPr>
                <w:b/>
                <w:bCs/>
                <w:highlight w:val="green"/>
              </w:rPr>
            </w:pPr>
            <w:r w:rsidRPr="004565B0">
              <w:rPr>
                <w:b/>
                <w:bCs/>
              </w:rPr>
              <w:t>–</w:t>
            </w:r>
          </w:p>
        </w:tc>
        <w:tc>
          <w:tcPr>
            <w:tcW w:w="755" w:type="dxa"/>
            <w:tcBorders>
              <w:top w:val="single" w:sz="4" w:space="0" w:color="000000" w:themeColor="text1"/>
            </w:tcBorders>
            <w:noWrap/>
          </w:tcPr>
          <w:p w14:paraId="69337859" w14:textId="77777777" w:rsidR="00265792" w:rsidRPr="004565B0" w:rsidRDefault="00265792">
            <w:pPr>
              <w:pStyle w:val="ARfintablebodyright8pt"/>
              <w:spacing w:after="16"/>
              <w:rPr>
                <w:b/>
                <w:bCs/>
                <w:highlight w:val="green"/>
              </w:rPr>
            </w:pPr>
            <w:r w:rsidRPr="004565B0">
              <w:rPr>
                <w:b/>
                <w:bCs/>
              </w:rPr>
              <w:t>0.1</w:t>
            </w:r>
          </w:p>
        </w:tc>
        <w:tc>
          <w:tcPr>
            <w:tcW w:w="755" w:type="dxa"/>
            <w:tcBorders>
              <w:top w:val="single" w:sz="4" w:space="0" w:color="000000" w:themeColor="text1"/>
            </w:tcBorders>
            <w:noWrap/>
          </w:tcPr>
          <w:p w14:paraId="769CF068" w14:textId="77777777" w:rsidR="00265792" w:rsidRPr="004565B0" w:rsidRDefault="00265792">
            <w:pPr>
              <w:pStyle w:val="ARfintablebodyright8pt"/>
              <w:spacing w:after="16"/>
              <w:rPr>
                <w:b/>
                <w:bCs/>
                <w:highlight w:val="green"/>
              </w:rPr>
            </w:pPr>
            <w:r w:rsidRPr="004565B0">
              <w:rPr>
                <w:b/>
                <w:bCs/>
              </w:rPr>
              <w:t>(359.8)</w:t>
            </w:r>
          </w:p>
        </w:tc>
        <w:tc>
          <w:tcPr>
            <w:tcW w:w="755" w:type="dxa"/>
            <w:tcBorders>
              <w:top w:val="single" w:sz="4" w:space="0" w:color="000000" w:themeColor="text1"/>
            </w:tcBorders>
            <w:noWrap/>
          </w:tcPr>
          <w:p w14:paraId="7DBFAC34" w14:textId="77777777" w:rsidR="00265792" w:rsidRPr="004565B0" w:rsidRDefault="00265792">
            <w:pPr>
              <w:pStyle w:val="ARfintablebodyright8pt"/>
              <w:spacing w:after="16"/>
              <w:rPr>
                <w:b/>
                <w:bCs/>
                <w:highlight w:val="green"/>
              </w:rPr>
            </w:pPr>
            <w:r w:rsidRPr="004565B0">
              <w:rPr>
                <w:b/>
                <w:bCs/>
              </w:rPr>
              <w:t>(522.2)</w:t>
            </w:r>
          </w:p>
        </w:tc>
      </w:tr>
      <w:tr w:rsidR="00454BDF" w:rsidRPr="00BA7805" w14:paraId="03993A79" w14:textId="77777777">
        <w:trPr>
          <w:trHeight w:val="170"/>
        </w:trPr>
        <w:tc>
          <w:tcPr>
            <w:tcW w:w="13815" w:type="dxa"/>
            <w:gridSpan w:val="16"/>
            <w:tcBorders>
              <w:bottom w:val="single" w:sz="4" w:space="0" w:color="A6A6A6" w:themeColor="accent5"/>
            </w:tcBorders>
          </w:tcPr>
          <w:p w14:paraId="084CC11D" w14:textId="6C8544EA" w:rsidR="00454BDF" w:rsidRPr="00707EE3" w:rsidRDefault="00454BDF" w:rsidP="00454BDF">
            <w:pPr>
              <w:pStyle w:val="ARfintablebodybold8pt"/>
            </w:pPr>
            <w:r w:rsidRPr="00454BDF">
              <w:t>Other economic flows – other comprehensive income</w:t>
            </w:r>
          </w:p>
        </w:tc>
      </w:tr>
      <w:tr w:rsidR="00454BDF" w:rsidRPr="00BA7805" w14:paraId="79AECB3E" w14:textId="77777777">
        <w:trPr>
          <w:trHeight w:val="170"/>
        </w:trPr>
        <w:tc>
          <w:tcPr>
            <w:tcW w:w="13815" w:type="dxa"/>
            <w:gridSpan w:val="16"/>
            <w:tcBorders>
              <w:bottom w:val="single" w:sz="4" w:space="0" w:color="A6A6A6" w:themeColor="accent5"/>
            </w:tcBorders>
          </w:tcPr>
          <w:p w14:paraId="7F72FF08" w14:textId="315FEB21" w:rsidR="00454BDF" w:rsidRPr="00707EE3" w:rsidRDefault="00454BDF" w:rsidP="00454BDF">
            <w:pPr>
              <w:pStyle w:val="ARfintablebodybold8pt"/>
            </w:pPr>
            <w:r w:rsidRPr="007A695B">
              <w:t xml:space="preserve">Items that will not be reclassified to net result </w:t>
            </w:r>
          </w:p>
        </w:tc>
      </w:tr>
      <w:tr w:rsidR="00112B79" w:rsidRPr="00BA7805" w14:paraId="6D99306D" w14:textId="77777777" w:rsidTr="000C72DD">
        <w:trPr>
          <w:trHeight w:val="170"/>
        </w:trPr>
        <w:tc>
          <w:tcPr>
            <w:tcW w:w="2552" w:type="dxa"/>
            <w:tcBorders>
              <w:bottom w:val="single" w:sz="4" w:space="0" w:color="A6A6A6" w:themeColor="accent5"/>
            </w:tcBorders>
          </w:tcPr>
          <w:p w14:paraId="1AFAA14B" w14:textId="77777777" w:rsidR="00112B79" w:rsidRPr="00BA7805" w:rsidRDefault="00112B79" w:rsidP="00112B79">
            <w:pPr>
              <w:pStyle w:val="ARfintablebody8pt"/>
              <w:spacing w:after="16"/>
              <w:rPr>
                <w:highlight w:val="green"/>
              </w:rPr>
            </w:pPr>
            <w:r w:rsidRPr="00707EE3">
              <w:t>Changes in physical asset revaluation surplus</w:t>
            </w:r>
          </w:p>
        </w:tc>
        <w:tc>
          <w:tcPr>
            <w:tcW w:w="694" w:type="dxa"/>
            <w:tcBorders>
              <w:bottom w:val="single" w:sz="4" w:space="0" w:color="A6A6A6" w:themeColor="accent5"/>
            </w:tcBorders>
            <w:noWrap/>
          </w:tcPr>
          <w:p w14:paraId="1C0A7D89" w14:textId="77777777" w:rsidR="00112B79" w:rsidRPr="00BA7805" w:rsidRDefault="00112B79" w:rsidP="00112B79">
            <w:pPr>
              <w:pStyle w:val="ARfintablebodyright8pt"/>
              <w:spacing w:after="16"/>
              <w:rPr>
                <w:highlight w:val="green"/>
              </w:rPr>
            </w:pPr>
            <w:r w:rsidRPr="00707EE3">
              <w:t>(1.6)</w:t>
            </w:r>
          </w:p>
        </w:tc>
        <w:tc>
          <w:tcPr>
            <w:tcW w:w="755" w:type="dxa"/>
            <w:tcBorders>
              <w:bottom w:val="single" w:sz="4" w:space="0" w:color="A6A6A6" w:themeColor="accent5"/>
            </w:tcBorders>
            <w:noWrap/>
          </w:tcPr>
          <w:p w14:paraId="597EA897" w14:textId="77777777" w:rsidR="00112B79" w:rsidRPr="00BA7805" w:rsidRDefault="00112B79" w:rsidP="00112B79">
            <w:pPr>
              <w:pStyle w:val="ARfintablebodyright8pt"/>
              <w:spacing w:after="16"/>
              <w:rPr>
                <w:highlight w:val="green"/>
              </w:rPr>
            </w:pPr>
            <w:r w:rsidRPr="00707EE3">
              <w:t>(4.3)</w:t>
            </w:r>
          </w:p>
        </w:tc>
        <w:tc>
          <w:tcPr>
            <w:tcW w:w="755" w:type="dxa"/>
            <w:tcBorders>
              <w:bottom w:val="single" w:sz="4" w:space="0" w:color="A6A6A6" w:themeColor="accent5"/>
            </w:tcBorders>
            <w:noWrap/>
          </w:tcPr>
          <w:p w14:paraId="6B168F0E" w14:textId="77777777" w:rsidR="00112B79" w:rsidRPr="00BA7805" w:rsidRDefault="00112B79" w:rsidP="00112B79">
            <w:pPr>
              <w:pStyle w:val="ARfintablebodyright8pt"/>
              <w:spacing w:after="16"/>
              <w:rPr>
                <w:highlight w:val="green"/>
              </w:rPr>
            </w:pPr>
            <w:r>
              <w:t>–</w:t>
            </w:r>
          </w:p>
        </w:tc>
        <w:tc>
          <w:tcPr>
            <w:tcW w:w="755" w:type="dxa"/>
            <w:tcBorders>
              <w:bottom w:val="single" w:sz="4" w:space="0" w:color="A6A6A6" w:themeColor="accent5"/>
            </w:tcBorders>
            <w:noWrap/>
          </w:tcPr>
          <w:p w14:paraId="5B7B02FF" w14:textId="77777777" w:rsidR="00112B79" w:rsidRPr="00BA7805" w:rsidRDefault="00112B79" w:rsidP="00112B79">
            <w:pPr>
              <w:pStyle w:val="ARfintablebodyright8pt"/>
              <w:spacing w:after="16"/>
              <w:rPr>
                <w:highlight w:val="green"/>
              </w:rPr>
            </w:pPr>
            <w:r>
              <w:t>–</w:t>
            </w:r>
          </w:p>
        </w:tc>
        <w:tc>
          <w:tcPr>
            <w:tcW w:w="755" w:type="dxa"/>
            <w:tcBorders>
              <w:bottom w:val="single" w:sz="4" w:space="0" w:color="A6A6A6" w:themeColor="accent5"/>
            </w:tcBorders>
            <w:noWrap/>
          </w:tcPr>
          <w:p w14:paraId="192ED4AB" w14:textId="77777777" w:rsidR="00112B79" w:rsidRPr="00BA7805" w:rsidRDefault="00112B79" w:rsidP="00112B79">
            <w:pPr>
              <w:pStyle w:val="ARfintablebodyright8pt"/>
              <w:spacing w:after="16"/>
              <w:rPr>
                <w:highlight w:val="green"/>
              </w:rPr>
            </w:pPr>
            <w:r>
              <w:t>–</w:t>
            </w:r>
          </w:p>
        </w:tc>
        <w:tc>
          <w:tcPr>
            <w:tcW w:w="755" w:type="dxa"/>
            <w:tcBorders>
              <w:bottom w:val="single" w:sz="4" w:space="0" w:color="A6A6A6" w:themeColor="accent5"/>
            </w:tcBorders>
            <w:noWrap/>
          </w:tcPr>
          <w:p w14:paraId="34A16A68" w14:textId="77777777" w:rsidR="00112B79" w:rsidRPr="00BA7805" w:rsidRDefault="00112B79" w:rsidP="00112B79">
            <w:pPr>
              <w:pStyle w:val="ARfintablebodyright8pt"/>
              <w:spacing w:after="16"/>
              <w:rPr>
                <w:highlight w:val="green"/>
              </w:rPr>
            </w:pPr>
            <w:r>
              <w:t>–</w:t>
            </w:r>
          </w:p>
        </w:tc>
        <w:tc>
          <w:tcPr>
            <w:tcW w:w="754" w:type="dxa"/>
            <w:tcBorders>
              <w:bottom w:val="single" w:sz="4" w:space="0" w:color="A6A6A6" w:themeColor="accent5"/>
            </w:tcBorders>
            <w:noWrap/>
          </w:tcPr>
          <w:p w14:paraId="2F7BD9CB" w14:textId="77777777" w:rsidR="00112B79" w:rsidRPr="00BA7805" w:rsidRDefault="00112B79" w:rsidP="00112B79">
            <w:pPr>
              <w:pStyle w:val="ARfintablebodyright8pt"/>
              <w:spacing w:after="16"/>
              <w:rPr>
                <w:highlight w:val="green"/>
              </w:rPr>
            </w:pPr>
            <w:r>
              <w:t>–</w:t>
            </w:r>
          </w:p>
        </w:tc>
        <w:tc>
          <w:tcPr>
            <w:tcW w:w="755" w:type="dxa"/>
            <w:tcBorders>
              <w:bottom w:val="single" w:sz="4" w:space="0" w:color="A6A6A6" w:themeColor="accent5"/>
            </w:tcBorders>
            <w:noWrap/>
          </w:tcPr>
          <w:p w14:paraId="3D5F1B8F" w14:textId="77777777" w:rsidR="00112B79" w:rsidRPr="00BA7805" w:rsidRDefault="00112B79" w:rsidP="00112B79">
            <w:pPr>
              <w:pStyle w:val="ARfintablebodyright8pt"/>
              <w:spacing w:after="16"/>
              <w:rPr>
                <w:highlight w:val="green"/>
              </w:rPr>
            </w:pPr>
            <w:r>
              <w:t>–</w:t>
            </w:r>
          </w:p>
        </w:tc>
        <w:tc>
          <w:tcPr>
            <w:tcW w:w="755" w:type="dxa"/>
            <w:tcBorders>
              <w:bottom w:val="single" w:sz="4" w:space="0" w:color="A6A6A6" w:themeColor="accent5"/>
            </w:tcBorders>
            <w:noWrap/>
          </w:tcPr>
          <w:p w14:paraId="04B11C7D" w14:textId="77777777" w:rsidR="00112B79" w:rsidRPr="00BA7805" w:rsidRDefault="00112B79" w:rsidP="00112B79">
            <w:pPr>
              <w:pStyle w:val="ARfintablebodyright8pt"/>
              <w:spacing w:after="16"/>
              <w:rPr>
                <w:highlight w:val="green"/>
              </w:rPr>
            </w:pPr>
            <w:r>
              <w:t>–</w:t>
            </w:r>
          </w:p>
        </w:tc>
        <w:tc>
          <w:tcPr>
            <w:tcW w:w="755" w:type="dxa"/>
            <w:tcBorders>
              <w:bottom w:val="single" w:sz="4" w:space="0" w:color="A6A6A6" w:themeColor="accent5"/>
            </w:tcBorders>
            <w:noWrap/>
          </w:tcPr>
          <w:p w14:paraId="199E8B3B" w14:textId="77777777" w:rsidR="00112B79" w:rsidRPr="00BA7805" w:rsidRDefault="00112B79" w:rsidP="00112B79">
            <w:pPr>
              <w:pStyle w:val="ARfintablebodyright8pt"/>
              <w:spacing w:after="16"/>
              <w:rPr>
                <w:highlight w:val="green"/>
              </w:rPr>
            </w:pPr>
            <w:r>
              <w:t>–</w:t>
            </w:r>
          </w:p>
        </w:tc>
        <w:tc>
          <w:tcPr>
            <w:tcW w:w="755" w:type="dxa"/>
            <w:tcBorders>
              <w:bottom w:val="single" w:sz="4" w:space="0" w:color="A6A6A6" w:themeColor="accent5"/>
            </w:tcBorders>
            <w:noWrap/>
          </w:tcPr>
          <w:p w14:paraId="7250032A" w14:textId="77777777" w:rsidR="00112B79" w:rsidRPr="00BA7805" w:rsidRDefault="00112B79" w:rsidP="00112B79">
            <w:pPr>
              <w:pStyle w:val="ARfintablebodyright8pt"/>
              <w:spacing w:after="16"/>
              <w:rPr>
                <w:highlight w:val="green"/>
              </w:rPr>
            </w:pPr>
            <w:r>
              <w:t>–</w:t>
            </w:r>
          </w:p>
        </w:tc>
        <w:tc>
          <w:tcPr>
            <w:tcW w:w="755" w:type="dxa"/>
            <w:tcBorders>
              <w:bottom w:val="single" w:sz="4" w:space="0" w:color="A6A6A6" w:themeColor="accent5"/>
            </w:tcBorders>
            <w:noWrap/>
          </w:tcPr>
          <w:p w14:paraId="02964CF6" w14:textId="77777777" w:rsidR="00112B79" w:rsidRPr="00BA7805" w:rsidRDefault="00112B79" w:rsidP="00112B79">
            <w:pPr>
              <w:pStyle w:val="ARfintablebodyright8pt"/>
              <w:spacing w:after="16"/>
              <w:rPr>
                <w:highlight w:val="green"/>
              </w:rPr>
            </w:pPr>
            <w:r>
              <w:t>–</w:t>
            </w:r>
          </w:p>
        </w:tc>
        <w:tc>
          <w:tcPr>
            <w:tcW w:w="755" w:type="dxa"/>
            <w:tcBorders>
              <w:bottom w:val="single" w:sz="4" w:space="0" w:color="A6A6A6" w:themeColor="accent5"/>
            </w:tcBorders>
            <w:noWrap/>
          </w:tcPr>
          <w:p w14:paraId="5B131FA7" w14:textId="77777777" w:rsidR="00112B79" w:rsidRPr="00BA7805" w:rsidRDefault="00112B79" w:rsidP="00112B79">
            <w:pPr>
              <w:pStyle w:val="ARfintablebodyright8pt"/>
              <w:spacing w:after="16"/>
              <w:rPr>
                <w:highlight w:val="green"/>
              </w:rPr>
            </w:pPr>
            <w:r>
              <w:t>–</w:t>
            </w:r>
          </w:p>
        </w:tc>
        <w:tc>
          <w:tcPr>
            <w:tcW w:w="755" w:type="dxa"/>
            <w:tcBorders>
              <w:bottom w:val="single" w:sz="4" w:space="0" w:color="A6A6A6" w:themeColor="accent5"/>
            </w:tcBorders>
            <w:noWrap/>
          </w:tcPr>
          <w:p w14:paraId="07B242E8" w14:textId="77777777" w:rsidR="00112B79" w:rsidRPr="00BA7805" w:rsidRDefault="00112B79" w:rsidP="00112B79">
            <w:pPr>
              <w:pStyle w:val="ARfintablebodyright8pt"/>
              <w:spacing w:after="16"/>
              <w:rPr>
                <w:highlight w:val="green"/>
              </w:rPr>
            </w:pPr>
            <w:r w:rsidRPr="00707EE3">
              <w:t>4.2</w:t>
            </w:r>
          </w:p>
        </w:tc>
        <w:tc>
          <w:tcPr>
            <w:tcW w:w="755" w:type="dxa"/>
            <w:tcBorders>
              <w:bottom w:val="single" w:sz="4" w:space="0" w:color="A6A6A6" w:themeColor="accent5"/>
            </w:tcBorders>
            <w:noWrap/>
          </w:tcPr>
          <w:p w14:paraId="5CBD84B6" w14:textId="77777777" w:rsidR="00112B79" w:rsidRPr="00BA7805" w:rsidRDefault="00112B79" w:rsidP="00112B79">
            <w:pPr>
              <w:pStyle w:val="ARfintablebodyright8pt"/>
              <w:spacing w:after="16"/>
              <w:rPr>
                <w:highlight w:val="green"/>
              </w:rPr>
            </w:pPr>
            <w:r w:rsidRPr="00707EE3">
              <w:t>(1.7)</w:t>
            </w:r>
          </w:p>
        </w:tc>
      </w:tr>
      <w:tr w:rsidR="00112B79" w:rsidRPr="00BA7805" w14:paraId="2C795F46" w14:textId="77777777" w:rsidTr="000C72DD">
        <w:trPr>
          <w:trHeight w:val="170"/>
        </w:trPr>
        <w:tc>
          <w:tcPr>
            <w:tcW w:w="2552" w:type="dxa"/>
            <w:tcBorders>
              <w:top w:val="single" w:sz="4" w:space="0" w:color="A6A6A6" w:themeColor="accent5"/>
              <w:bottom w:val="single" w:sz="4" w:space="0" w:color="000000" w:themeColor="text1"/>
            </w:tcBorders>
          </w:tcPr>
          <w:p w14:paraId="28E3BE89" w14:textId="77777777" w:rsidR="00112B79" w:rsidRPr="00BA7805" w:rsidRDefault="00112B79" w:rsidP="00112B79">
            <w:pPr>
              <w:pStyle w:val="ARfintablebody8pt"/>
              <w:spacing w:after="16"/>
              <w:rPr>
                <w:highlight w:val="green"/>
              </w:rPr>
            </w:pPr>
            <w:r w:rsidRPr="00707EE3">
              <w:t>Remeasurement of superannuation defined benefit</w:t>
            </w:r>
            <w:r>
              <w:t> </w:t>
            </w:r>
            <w:r w:rsidRPr="00707EE3">
              <w:t>plans</w:t>
            </w:r>
          </w:p>
        </w:tc>
        <w:tc>
          <w:tcPr>
            <w:tcW w:w="694" w:type="dxa"/>
            <w:tcBorders>
              <w:top w:val="single" w:sz="4" w:space="0" w:color="A6A6A6" w:themeColor="accent5"/>
              <w:bottom w:val="single" w:sz="4" w:space="0" w:color="000000" w:themeColor="text1"/>
            </w:tcBorders>
            <w:noWrap/>
          </w:tcPr>
          <w:p w14:paraId="441147D7" w14:textId="77777777" w:rsidR="00112B79" w:rsidRPr="00BA7805" w:rsidRDefault="00112B79" w:rsidP="00112B79">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65FDD42D" w14:textId="77777777" w:rsidR="00112B79" w:rsidRPr="00BA7805" w:rsidRDefault="00112B79" w:rsidP="00112B79">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55C1B0B7" w14:textId="77777777" w:rsidR="00112B79" w:rsidRPr="00DB6829" w:rsidRDefault="00112B79" w:rsidP="00112B79">
            <w:pPr>
              <w:pStyle w:val="ARfintablebodyright8pt"/>
              <w:spacing w:after="16"/>
            </w:pPr>
            <w:r>
              <w:t>–</w:t>
            </w:r>
          </w:p>
        </w:tc>
        <w:tc>
          <w:tcPr>
            <w:tcW w:w="755" w:type="dxa"/>
            <w:tcBorders>
              <w:top w:val="single" w:sz="4" w:space="0" w:color="A6A6A6" w:themeColor="accent5"/>
              <w:bottom w:val="single" w:sz="4" w:space="0" w:color="000000" w:themeColor="text1"/>
            </w:tcBorders>
            <w:noWrap/>
          </w:tcPr>
          <w:p w14:paraId="02A54BAE" w14:textId="77777777" w:rsidR="00112B79" w:rsidRPr="00DB6829" w:rsidRDefault="00112B79" w:rsidP="00112B79">
            <w:pPr>
              <w:pStyle w:val="ARfintablebodyright8pt"/>
              <w:spacing w:after="16"/>
            </w:pPr>
            <w:r w:rsidRPr="00DB6829">
              <w:t>–</w:t>
            </w:r>
          </w:p>
        </w:tc>
        <w:tc>
          <w:tcPr>
            <w:tcW w:w="755" w:type="dxa"/>
            <w:tcBorders>
              <w:top w:val="single" w:sz="4" w:space="0" w:color="A6A6A6" w:themeColor="accent5"/>
              <w:bottom w:val="single" w:sz="4" w:space="0" w:color="000000" w:themeColor="text1"/>
            </w:tcBorders>
            <w:noWrap/>
          </w:tcPr>
          <w:p w14:paraId="1A54F49B" w14:textId="77777777" w:rsidR="00112B79" w:rsidRPr="00BA7805" w:rsidRDefault="00112B79" w:rsidP="00112B79">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4838A019" w14:textId="77777777" w:rsidR="00112B79" w:rsidRPr="00BA7805" w:rsidRDefault="00112B79" w:rsidP="00112B79">
            <w:pPr>
              <w:pStyle w:val="ARfintablebodyright8pt"/>
              <w:spacing w:after="16"/>
              <w:rPr>
                <w:highlight w:val="green"/>
              </w:rPr>
            </w:pPr>
            <w:r>
              <w:t>–</w:t>
            </w:r>
          </w:p>
        </w:tc>
        <w:tc>
          <w:tcPr>
            <w:tcW w:w="754" w:type="dxa"/>
            <w:tcBorders>
              <w:top w:val="single" w:sz="4" w:space="0" w:color="A6A6A6" w:themeColor="accent5"/>
              <w:bottom w:val="single" w:sz="4" w:space="0" w:color="000000" w:themeColor="text1"/>
            </w:tcBorders>
            <w:noWrap/>
          </w:tcPr>
          <w:p w14:paraId="3F62BBFE" w14:textId="77777777" w:rsidR="00112B79" w:rsidRPr="00BA7805" w:rsidRDefault="00112B79" w:rsidP="00112B79">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49D2E21B" w14:textId="77777777" w:rsidR="00112B79" w:rsidRPr="00BA7805" w:rsidRDefault="00112B79" w:rsidP="00112B79">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3A38EFB0" w14:textId="77777777" w:rsidR="00112B79" w:rsidRPr="00BA7805" w:rsidRDefault="00112B79" w:rsidP="00112B79">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35501086" w14:textId="77777777" w:rsidR="00112B79" w:rsidRPr="00BA7805" w:rsidRDefault="00112B79" w:rsidP="00112B79">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5B96B97F" w14:textId="77777777" w:rsidR="00112B79" w:rsidRPr="00BA7805" w:rsidRDefault="00112B79" w:rsidP="00112B79">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40572EA7" w14:textId="77777777" w:rsidR="00112B79" w:rsidRPr="00BA7805" w:rsidRDefault="00112B79" w:rsidP="00112B79">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6BA59D9F" w14:textId="77777777" w:rsidR="00112B79" w:rsidRPr="00BA7805" w:rsidRDefault="00112B79" w:rsidP="00112B79">
            <w:pPr>
              <w:pStyle w:val="ARfintablebodyright8pt"/>
              <w:spacing w:after="16"/>
              <w:rPr>
                <w:highlight w:val="green"/>
              </w:rPr>
            </w:pPr>
            <w:r>
              <w:t>–</w:t>
            </w:r>
          </w:p>
        </w:tc>
        <w:tc>
          <w:tcPr>
            <w:tcW w:w="755" w:type="dxa"/>
            <w:tcBorders>
              <w:top w:val="single" w:sz="4" w:space="0" w:color="A6A6A6" w:themeColor="accent5"/>
              <w:bottom w:val="single" w:sz="4" w:space="0" w:color="000000" w:themeColor="text1"/>
            </w:tcBorders>
            <w:noWrap/>
          </w:tcPr>
          <w:p w14:paraId="4B9CDE9D" w14:textId="77777777" w:rsidR="00112B79" w:rsidRPr="00BA7805" w:rsidRDefault="00112B79" w:rsidP="00112B79">
            <w:pPr>
              <w:pStyle w:val="ARfintablebodyright8pt"/>
              <w:spacing w:after="16"/>
              <w:rPr>
                <w:highlight w:val="green"/>
              </w:rPr>
            </w:pPr>
            <w:r w:rsidRPr="00707EE3">
              <w:t>(1.2)</w:t>
            </w:r>
          </w:p>
        </w:tc>
        <w:tc>
          <w:tcPr>
            <w:tcW w:w="755" w:type="dxa"/>
            <w:tcBorders>
              <w:top w:val="single" w:sz="4" w:space="0" w:color="A6A6A6" w:themeColor="accent5"/>
              <w:bottom w:val="single" w:sz="4" w:space="0" w:color="000000" w:themeColor="text1"/>
            </w:tcBorders>
            <w:noWrap/>
          </w:tcPr>
          <w:p w14:paraId="5C14FEA1" w14:textId="77777777" w:rsidR="00112B79" w:rsidRPr="00BA7805" w:rsidRDefault="00112B79" w:rsidP="00112B79">
            <w:pPr>
              <w:pStyle w:val="ARfintablebodyright8pt"/>
              <w:spacing w:after="16"/>
              <w:rPr>
                <w:highlight w:val="green"/>
              </w:rPr>
            </w:pPr>
            <w:r w:rsidRPr="00707EE3">
              <w:t>(1.2)</w:t>
            </w:r>
          </w:p>
        </w:tc>
      </w:tr>
      <w:tr w:rsidR="00112B79" w:rsidRPr="00BA7805" w14:paraId="0732E46E" w14:textId="77777777" w:rsidTr="000C72DD">
        <w:trPr>
          <w:trHeight w:val="170"/>
        </w:trPr>
        <w:tc>
          <w:tcPr>
            <w:tcW w:w="2552" w:type="dxa"/>
            <w:tcBorders>
              <w:top w:val="single" w:sz="4" w:space="0" w:color="000000" w:themeColor="text1"/>
              <w:bottom w:val="single" w:sz="4" w:space="0" w:color="000000" w:themeColor="text1"/>
            </w:tcBorders>
          </w:tcPr>
          <w:p w14:paraId="4748D2C7" w14:textId="77777777" w:rsidR="00112B79" w:rsidRPr="00BA7805" w:rsidRDefault="00112B79" w:rsidP="00112B79">
            <w:pPr>
              <w:pStyle w:val="ARfintablebodybold8pt"/>
              <w:rPr>
                <w:highlight w:val="green"/>
              </w:rPr>
            </w:pPr>
            <w:r w:rsidRPr="00707EE3">
              <w:t xml:space="preserve">Total other economic flows </w:t>
            </w:r>
            <w:r>
              <w:t>–</w:t>
            </w:r>
            <w:r w:rsidRPr="00707EE3">
              <w:t xml:space="preserve"> other comprehensive income</w:t>
            </w:r>
          </w:p>
        </w:tc>
        <w:tc>
          <w:tcPr>
            <w:tcW w:w="694" w:type="dxa"/>
            <w:tcBorders>
              <w:top w:val="single" w:sz="4" w:space="0" w:color="000000" w:themeColor="text1"/>
              <w:bottom w:val="single" w:sz="4" w:space="0" w:color="000000" w:themeColor="text1"/>
            </w:tcBorders>
            <w:noWrap/>
          </w:tcPr>
          <w:p w14:paraId="4FCAE7AC" w14:textId="77777777" w:rsidR="00112B79" w:rsidRPr="00BA7805" w:rsidRDefault="00112B79" w:rsidP="00112B79">
            <w:pPr>
              <w:pStyle w:val="ARfintablebodyrightbold8pt"/>
              <w:spacing w:after="16"/>
              <w:rPr>
                <w:highlight w:val="green"/>
              </w:rPr>
            </w:pPr>
            <w:r w:rsidRPr="00707EE3">
              <w:t>(1.6)</w:t>
            </w:r>
          </w:p>
        </w:tc>
        <w:tc>
          <w:tcPr>
            <w:tcW w:w="755" w:type="dxa"/>
            <w:tcBorders>
              <w:top w:val="single" w:sz="4" w:space="0" w:color="000000" w:themeColor="text1"/>
              <w:bottom w:val="single" w:sz="4" w:space="0" w:color="000000" w:themeColor="text1"/>
            </w:tcBorders>
            <w:noWrap/>
          </w:tcPr>
          <w:p w14:paraId="362680FC" w14:textId="77777777" w:rsidR="00112B79" w:rsidRPr="00BA7805" w:rsidRDefault="00112B79" w:rsidP="00112B79">
            <w:pPr>
              <w:pStyle w:val="ARfintablebodyrightbold8pt"/>
              <w:spacing w:after="16"/>
              <w:rPr>
                <w:highlight w:val="green"/>
              </w:rPr>
            </w:pPr>
            <w:r w:rsidRPr="00707EE3">
              <w:t>(4.3)</w:t>
            </w:r>
          </w:p>
        </w:tc>
        <w:tc>
          <w:tcPr>
            <w:tcW w:w="755" w:type="dxa"/>
            <w:tcBorders>
              <w:top w:val="single" w:sz="4" w:space="0" w:color="000000" w:themeColor="text1"/>
              <w:bottom w:val="single" w:sz="4" w:space="0" w:color="000000" w:themeColor="text1"/>
            </w:tcBorders>
            <w:noWrap/>
          </w:tcPr>
          <w:p w14:paraId="7E2F12AB" w14:textId="77777777" w:rsidR="00112B79" w:rsidRPr="00BA7805" w:rsidRDefault="00112B79" w:rsidP="00112B79">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6EEC2321" w14:textId="77777777" w:rsidR="00112B79" w:rsidRPr="00BA7805" w:rsidRDefault="00112B79" w:rsidP="00112B79">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740C9050" w14:textId="77777777" w:rsidR="00112B79" w:rsidRPr="00BA7805" w:rsidRDefault="00112B79" w:rsidP="00112B79">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2109397C" w14:textId="77777777" w:rsidR="00112B79" w:rsidRPr="00BA7805" w:rsidRDefault="00112B79" w:rsidP="00112B79">
            <w:pPr>
              <w:pStyle w:val="ARfintablebodyrightbold8pt"/>
              <w:spacing w:after="16"/>
              <w:rPr>
                <w:highlight w:val="green"/>
              </w:rPr>
            </w:pPr>
            <w:r>
              <w:t>–</w:t>
            </w:r>
          </w:p>
        </w:tc>
        <w:tc>
          <w:tcPr>
            <w:tcW w:w="754" w:type="dxa"/>
            <w:tcBorders>
              <w:top w:val="single" w:sz="4" w:space="0" w:color="000000" w:themeColor="text1"/>
              <w:bottom w:val="single" w:sz="4" w:space="0" w:color="000000" w:themeColor="text1"/>
            </w:tcBorders>
            <w:noWrap/>
          </w:tcPr>
          <w:p w14:paraId="79EF1D97" w14:textId="77777777" w:rsidR="00112B79" w:rsidRPr="00BA7805" w:rsidRDefault="00112B79" w:rsidP="00112B79">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654F1800" w14:textId="77777777" w:rsidR="00112B79" w:rsidRPr="00BA7805" w:rsidRDefault="00112B79" w:rsidP="00112B79">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26589271" w14:textId="77777777" w:rsidR="00112B79" w:rsidRPr="00BA7805" w:rsidRDefault="00112B79" w:rsidP="00112B79">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2EF6B5BE" w14:textId="77777777" w:rsidR="00112B79" w:rsidRPr="00BA7805" w:rsidRDefault="00112B79" w:rsidP="00112B79">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49A718CF" w14:textId="77777777" w:rsidR="00112B79" w:rsidRPr="00BA7805" w:rsidRDefault="00112B79" w:rsidP="00112B79">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2A6F8E6C" w14:textId="77777777" w:rsidR="00112B79" w:rsidRPr="00BA7805" w:rsidRDefault="00112B79" w:rsidP="00112B79">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14B79B2E" w14:textId="77777777" w:rsidR="00112B79" w:rsidRPr="00BA7805" w:rsidRDefault="00112B79" w:rsidP="00112B79">
            <w:pPr>
              <w:pStyle w:val="ARfintablebodyrightbold8pt"/>
              <w:spacing w:after="16"/>
              <w:rPr>
                <w:highlight w:val="green"/>
              </w:rPr>
            </w:pPr>
            <w:r>
              <w:t>–</w:t>
            </w:r>
          </w:p>
        </w:tc>
        <w:tc>
          <w:tcPr>
            <w:tcW w:w="755" w:type="dxa"/>
            <w:tcBorders>
              <w:top w:val="single" w:sz="4" w:space="0" w:color="000000" w:themeColor="text1"/>
              <w:bottom w:val="single" w:sz="4" w:space="0" w:color="000000" w:themeColor="text1"/>
            </w:tcBorders>
            <w:noWrap/>
          </w:tcPr>
          <w:p w14:paraId="62C8F44C" w14:textId="77777777" w:rsidR="00112B79" w:rsidRPr="00BA7805" w:rsidRDefault="00112B79" w:rsidP="00112B79">
            <w:pPr>
              <w:pStyle w:val="ARfintablebodyrightbold8pt"/>
              <w:spacing w:after="16"/>
              <w:rPr>
                <w:highlight w:val="green"/>
              </w:rPr>
            </w:pPr>
            <w:r w:rsidRPr="00707EE3">
              <w:t>3.0</w:t>
            </w:r>
          </w:p>
        </w:tc>
        <w:tc>
          <w:tcPr>
            <w:tcW w:w="755" w:type="dxa"/>
            <w:tcBorders>
              <w:top w:val="single" w:sz="4" w:space="0" w:color="000000" w:themeColor="text1"/>
              <w:bottom w:val="single" w:sz="4" w:space="0" w:color="000000" w:themeColor="text1"/>
            </w:tcBorders>
            <w:noWrap/>
          </w:tcPr>
          <w:p w14:paraId="5250F77A" w14:textId="77777777" w:rsidR="00112B79" w:rsidRPr="00BA7805" w:rsidRDefault="00112B79" w:rsidP="00112B79">
            <w:pPr>
              <w:pStyle w:val="ARfintablebodyrightbold8pt"/>
              <w:spacing w:after="16"/>
              <w:rPr>
                <w:highlight w:val="green"/>
              </w:rPr>
            </w:pPr>
            <w:r w:rsidRPr="00707EE3">
              <w:t>(2.9)</w:t>
            </w:r>
          </w:p>
        </w:tc>
      </w:tr>
      <w:tr w:rsidR="00112B79" w:rsidRPr="00BA7805" w14:paraId="64DFCD6E" w14:textId="77777777" w:rsidTr="000C72DD">
        <w:trPr>
          <w:cnfStyle w:val="010000000000" w:firstRow="0" w:lastRow="1" w:firstColumn="0" w:lastColumn="0" w:oddVBand="0" w:evenVBand="0" w:oddHBand="0" w:evenHBand="0" w:firstRowFirstColumn="0" w:firstRowLastColumn="0" w:lastRowFirstColumn="0" w:lastRowLastColumn="0"/>
          <w:trHeight w:val="170"/>
        </w:trPr>
        <w:tc>
          <w:tcPr>
            <w:tcW w:w="2552" w:type="dxa"/>
          </w:tcPr>
          <w:p w14:paraId="46721306" w14:textId="77777777" w:rsidR="00112B79" w:rsidRPr="00BA7805" w:rsidRDefault="00112B79" w:rsidP="00112B79">
            <w:pPr>
              <w:pStyle w:val="ARfintablebodybold8pt"/>
              <w:rPr>
                <w:highlight w:val="green"/>
              </w:rPr>
            </w:pPr>
            <w:r w:rsidRPr="00707EE3">
              <w:t xml:space="preserve">Comprehensive </w:t>
            </w:r>
            <w:r w:rsidRPr="005F5A6E">
              <w:t>result</w:t>
            </w:r>
          </w:p>
        </w:tc>
        <w:tc>
          <w:tcPr>
            <w:tcW w:w="694" w:type="dxa"/>
            <w:noWrap/>
          </w:tcPr>
          <w:p w14:paraId="21509676" w14:textId="77777777" w:rsidR="00112B79" w:rsidRPr="00B95136" w:rsidRDefault="00112B79" w:rsidP="00112B79">
            <w:pPr>
              <w:pStyle w:val="ARfintablebodyrightbold8pt"/>
              <w:spacing w:after="16"/>
              <w:rPr>
                <w:highlight w:val="green"/>
              </w:rPr>
            </w:pPr>
            <w:r w:rsidRPr="00B95136">
              <w:t>(1.3)</w:t>
            </w:r>
          </w:p>
        </w:tc>
        <w:tc>
          <w:tcPr>
            <w:tcW w:w="755" w:type="dxa"/>
            <w:noWrap/>
          </w:tcPr>
          <w:p w14:paraId="2BA8F912" w14:textId="77777777" w:rsidR="00112B79" w:rsidRPr="00B95136" w:rsidRDefault="00112B79" w:rsidP="00112B79">
            <w:pPr>
              <w:pStyle w:val="ARfintablebodyrightbold8pt"/>
              <w:spacing w:after="16"/>
              <w:rPr>
                <w:highlight w:val="green"/>
              </w:rPr>
            </w:pPr>
            <w:r w:rsidRPr="00B95136">
              <w:t>(173.2)</w:t>
            </w:r>
          </w:p>
        </w:tc>
        <w:tc>
          <w:tcPr>
            <w:tcW w:w="755" w:type="dxa"/>
            <w:noWrap/>
          </w:tcPr>
          <w:p w14:paraId="0C67F6F7" w14:textId="77777777" w:rsidR="00112B79" w:rsidRPr="00B95136" w:rsidRDefault="00112B79" w:rsidP="00112B79">
            <w:pPr>
              <w:pStyle w:val="ARfintablebodyrightbold8pt"/>
              <w:spacing w:after="16"/>
              <w:rPr>
                <w:highlight w:val="green"/>
              </w:rPr>
            </w:pPr>
            <w:r w:rsidRPr="00B95136">
              <w:t>7.3</w:t>
            </w:r>
          </w:p>
        </w:tc>
        <w:tc>
          <w:tcPr>
            <w:tcW w:w="755" w:type="dxa"/>
            <w:noWrap/>
          </w:tcPr>
          <w:p w14:paraId="0B7A29E4" w14:textId="77777777" w:rsidR="00112B79" w:rsidRPr="00B95136" w:rsidRDefault="00112B79" w:rsidP="00112B79">
            <w:pPr>
              <w:pStyle w:val="ARfintablebodyrightbold8pt"/>
              <w:spacing w:after="16"/>
              <w:rPr>
                <w:highlight w:val="green"/>
              </w:rPr>
            </w:pPr>
            <w:r w:rsidRPr="00B95136">
              <w:t>(0.1)</w:t>
            </w:r>
          </w:p>
        </w:tc>
        <w:tc>
          <w:tcPr>
            <w:tcW w:w="755" w:type="dxa"/>
            <w:noWrap/>
          </w:tcPr>
          <w:p w14:paraId="68A5C03B" w14:textId="77777777" w:rsidR="00112B79" w:rsidRPr="00B95136" w:rsidRDefault="00112B79" w:rsidP="00112B79">
            <w:pPr>
              <w:pStyle w:val="ARfintablebodyrightbold8pt"/>
              <w:spacing w:after="16"/>
              <w:rPr>
                <w:highlight w:val="green"/>
              </w:rPr>
            </w:pPr>
            <w:r w:rsidRPr="00B95136">
              <w:t>(0.6)</w:t>
            </w:r>
          </w:p>
        </w:tc>
        <w:tc>
          <w:tcPr>
            <w:tcW w:w="755" w:type="dxa"/>
            <w:noWrap/>
          </w:tcPr>
          <w:p w14:paraId="39CC7E50" w14:textId="77777777" w:rsidR="00112B79" w:rsidRPr="00B95136" w:rsidRDefault="00112B79" w:rsidP="00112B79">
            <w:pPr>
              <w:pStyle w:val="ARfintablebodyrightbold8pt"/>
              <w:spacing w:after="16"/>
              <w:rPr>
                <w:highlight w:val="green"/>
              </w:rPr>
            </w:pPr>
            <w:r w:rsidRPr="00B95136">
              <w:t>(0.3)</w:t>
            </w:r>
          </w:p>
        </w:tc>
        <w:tc>
          <w:tcPr>
            <w:tcW w:w="754" w:type="dxa"/>
            <w:noWrap/>
          </w:tcPr>
          <w:p w14:paraId="75168599" w14:textId="77777777" w:rsidR="00112B79" w:rsidRPr="00B95136" w:rsidRDefault="00112B79" w:rsidP="00112B79">
            <w:pPr>
              <w:pStyle w:val="ARfintablebodyrightbold8pt"/>
              <w:spacing w:after="16"/>
              <w:rPr>
                <w:highlight w:val="green"/>
              </w:rPr>
            </w:pPr>
            <w:r w:rsidRPr="00B95136">
              <w:t>0.1</w:t>
            </w:r>
          </w:p>
        </w:tc>
        <w:tc>
          <w:tcPr>
            <w:tcW w:w="755" w:type="dxa"/>
            <w:noWrap/>
          </w:tcPr>
          <w:p w14:paraId="7C1023CF" w14:textId="77777777" w:rsidR="00112B79" w:rsidRPr="007B0BF6" w:rsidRDefault="00112B79" w:rsidP="00112B79">
            <w:pPr>
              <w:pStyle w:val="ARfintablebodyrightbold8pt"/>
              <w:rPr>
                <w:highlight w:val="green"/>
              </w:rPr>
            </w:pPr>
            <w:r w:rsidRPr="007B0BF6">
              <w:t>–</w:t>
            </w:r>
          </w:p>
        </w:tc>
        <w:tc>
          <w:tcPr>
            <w:tcW w:w="755" w:type="dxa"/>
            <w:noWrap/>
          </w:tcPr>
          <w:p w14:paraId="123AA554" w14:textId="77777777" w:rsidR="00112B79" w:rsidRPr="007B0BF6" w:rsidRDefault="00112B79" w:rsidP="00112B79">
            <w:pPr>
              <w:pStyle w:val="ARfintablebodyrightbold8pt"/>
              <w:rPr>
                <w:highlight w:val="green"/>
              </w:rPr>
            </w:pPr>
            <w:r w:rsidRPr="007B0BF6">
              <w:t>–</w:t>
            </w:r>
          </w:p>
        </w:tc>
        <w:tc>
          <w:tcPr>
            <w:tcW w:w="755" w:type="dxa"/>
            <w:noWrap/>
          </w:tcPr>
          <w:p w14:paraId="6EE534FF" w14:textId="77777777" w:rsidR="00112B79" w:rsidRPr="00B95136" w:rsidRDefault="00112B79" w:rsidP="00112B79">
            <w:pPr>
              <w:pStyle w:val="ARfintablebodyrightbold8pt"/>
              <w:spacing w:after="16"/>
              <w:rPr>
                <w:highlight w:val="green"/>
              </w:rPr>
            </w:pPr>
            <w:r w:rsidRPr="00B95136">
              <w:t>(0.1)</w:t>
            </w:r>
          </w:p>
        </w:tc>
        <w:tc>
          <w:tcPr>
            <w:tcW w:w="755" w:type="dxa"/>
            <w:noWrap/>
          </w:tcPr>
          <w:p w14:paraId="6A2EFE4A" w14:textId="77777777" w:rsidR="00112B79" w:rsidRPr="00B95136" w:rsidRDefault="00112B79" w:rsidP="00112B79">
            <w:pPr>
              <w:pStyle w:val="ARfintablebodyrightbold8pt"/>
              <w:spacing w:after="16"/>
              <w:rPr>
                <w:highlight w:val="green"/>
              </w:rPr>
            </w:pPr>
            <w:r w:rsidRPr="00B95136">
              <w:t>(0.1)</w:t>
            </w:r>
          </w:p>
        </w:tc>
        <w:tc>
          <w:tcPr>
            <w:tcW w:w="755" w:type="dxa"/>
            <w:noWrap/>
          </w:tcPr>
          <w:p w14:paraId="27DE4D34" w14:textId="77777777" w:rsidR="00112B79" w:rsidRPr="00B95136" w:rsidRDefault="00112B79" w:rsidP="00112B79">
            <w:pPr>
              <w:pStyle w:val="ARfintablebodyrightbold8pt"/>
              <w:spacing w:after="16"/>
              <w:rPr>
                <w:highlight w:val="green"/>
              </w:rPr>
            </w:pPr>
            <w:r w:rsidRPr="00B95136">
              <w:t>–</w:t>
            </w:r>
          </w:p>
        </w:tc>
        <w:tc>
          <w:tcPr>
            <w:tcW w:w="755" w:type="dxa"/>
            <w:noWrap/>
          </w:tcPr>
          <w:p w14:paraId="16448215" w14:textId="77777777" w:rsidR="00112B79" w:rsidRPr="00B95136" w:rsidRDefault="00112B79" w:rsidP="00112B79">
            <w:pPr>
              <w:pStyle w:val="ARfintablebodyrightbold8pt"/>
              <w:spacing w:after="16"/>
              <w:rPr>
                <w:highlight w:val="green"/>
              </w:rPr>
            </w:pPr>
            <w:r w:rsidRPr="00B95136">
              <w:t>0.1</w:t>
            </w:r>
          </w:p>
        </w:tc>
        <w:tc>
          <w:tcPr>
            <w:tcW w:w="755" w:type="dxa"/>
            <w:noWrap/>
          </w:tcPr>
          <w:p w14:paraId="5D3F3053" w14:textId="77777777" w:rsidR="00112B79" w:rsidRPr="00B95136" w:rsidRDefault="00112B79" w:rsidP="00112B79">
            <w:pPr>
              <w:pStyle w:val="ARfintablebodyrightbold8pt"/>
              <w:spacing w:after="16"/>
              <w:rPr>
                <w:highlight w:val="green"/>
              </w:rPr>
            </w:pPr>
            <w:r w:rsidRPr="00B95136">
              <w:t>(356.8)</w:t>
            </w:r>
          </w:p>
        </w:tc>
        <w:tc>
          <w:tcPr>
            <w:tcW w:w="755" w:type="dxa"/>
            <w:noWrap/>
          </w:tcPr>
          <w:p w14:paraId="5C2DD20B" w14:textId="77777777" w:rsidR="00112B79" w:rsidRPr="00B95136" w:rsidRDefault="00112B79" w:rsidP="00112B79">
            <w:pPr>
              <w:pStyle w:val="ARfintablebodyrightbold8pt"/>
              <w:spacing w:after="16"/>
              <w:rPr>
                <w:highlight w:val="green"/>
              </w:rPr>
            </w:pPr>
            <w:r w:rsidRPr="00B95136">
              <w:t>(525.1)</w:t>
            </w:r>
          </w:p>
        </w:tc>
      </w:tr>
    </w:tbl>
    <w:p w14:paraId="78D8E234" w14:textId="77777777" w:rsidR="00265792" w:rsidRDefault="00265792" w:rsidP="00471B21">
      <w:pPr>
        <w:pStyle w:val="ARfintablefootnote"/>
      </w:pPr>
      <w:r>
        <w:t>Note:</w:t>
      </w:r>
    </w:p>
    <w:p w14:paraId="336ADEA6" w14:textId="77777777" w:rsidR="00265792" w:rsidRDefault="00265792" w:rsidP="00471B21">
      <w:pPr>
        <w:pStyle w:val="ARfintablefootnotetabindent"/>
      </w:pPr>
      <w:r>
        <w:t>(</w:t>
      </w:r>
      <w:proofErr w:type="spellStart"/>
      <w:r>
        <w:t>i</w:t>
      </w:r>
      <w:proofErr w:type="spellEnd"/>
      <w:r>
        <w:t xml:space="preserve">) </w:t>
      </w:r>
      <w:r>
        <w:tab/>
        <w:t>Refer to Note 4.1.1 for output definitions.</w:t>
      </w:r>
      <w:r>
        <w:br w:type="page"/>
      </w:r>
    </w:p>
    <w:tbl>
      <w:tblPr>
        <w:tblStyle w:val="DFFHARtable1"/>
        <w:tblW w:w="5000" w:type="pct"/>
        <w:tblInd w:w="-14" w:type="dxa"/>
        <w:tblLayout w:type="fixed"/>
        <w:tblLook w:val="06E0" w:firstRow="1" w:lastRow="1" w:firstColumn="1" w:lastColumn="0" w:noHBand="1" w:noVBand="1"/>
      </w:tblPr>
      <w:tblGrid>
        <w:gridCol w:w="2645"/>
        <w:gridCol w:w="753"/>
        <w:gridCol w:w="856"/>
        <w:gridCol w:w="779"/>
        <w:gridCol w:w="779"/>
        <w:gridCol w:w="777"/>
        <w:gridCol w:w="778"/>
        <w:gridCol w:w="776"/>
        <w:gridCol w:w="776"/>
        <w:gridCol w:w="776"/>
        <w:gridCol w:w="776"/>
        <w:gridCol w:w="777"/>
        <w:gridCol w:w="776"/>
        <w:gridCol w:w="776"/>
        <w:gridCol w:w="776"/>
        <w:gridCol w:w="980"/>
        <w:gridCol w:w="14"/>
      </w:tblGrid>
      <w:tr w:rsidR="002B501C" w:rsidRPr="00F4268B" w14:paraId="76C11FC0" w14:textId="77777777" w:rsidTr="002B501C">
        <w:trPr>
          <w:gridAfter w:val="1"/>
          <w:cnfStyle w:val="100000000000" w:firstRow="1" w:lastRow="0" w:firstColumn="0" w:lastColumn="0" w:oddVBand="0" w:evenVBand="0" w:oddHBand="0" w:evenHBand="0" w:firstRowFirstColumn="0" w:firstRowLastColumn="0" w:lastRowFirstColumn="0" w:lastRowLastColumn="0"/>
          <w:wAfter w:w="14" w:type="dxa"/>
          <w:trHeight w:val="170"/>
          <w:tblHeader/>
        </w:trPr>
        <w:tc>
          <w:tcPr>
            <w:tcW w:w="2647" w:type="dxa"/>
            <w:hideMark/>
          </w:tcPr>
          <w:p w14:paraId="4881223F" w14:textId="77777777" w:rsidR="0094651F" w:rsidRPr="00654A18" w:rsidRDefault="0094651F" w:rsidP="0094651F">
            <w:pPr>
              <w:pStyle w:val="ARfintablecolhead8"/>
              <w:rPr>
                <w:rStyle w:val="Superscript"/>
                <w:sz w:val="15"/>
              </w:rPr>
            </w:pPr>
            <w:r w:rsidRPr="0094651F">
              <w:lastRenderedPageBreak/>
              <w:t>Output</w:t>
            </w:r>
            <w:r w:rsidRPr="00654A18">
              <w:t xml:space="preserve"> </w:t>
            </w:r>
            <w:r w:rsidRPr="00654A18">
              <w:rPr>
                <w:rStyle w:val="Superscript"/>
                <w:sz w:val="15"/>
              </w:rPr>
              <w:t>(</w:t>
            </w:r>
            <w:proofErr w:type="spellStart"/>
            <w:r w:rsidRPr="00654A18">
              <w:rPr>
                <w:rStyle w:val="Superscript"/>
                <w:sz w:val="15"/>
              </w:rPr>
              <w:t>i</w:t>
            </w:r>
            <w:proofErr w:type="spellEnd"/>
            <w:r w:rsidRPr="00654A18">
              <w:rPr>
                <w:rStyle w:val="Superscript"/>
                <w:sz w:val="15"/>
              </w:rPr>
              <w:t>)</w:t>
            </w:r>
          </w:p>
          <w:p w14:paraId="1D0B9F42" w14:textId="77777777" w:rsidR="0094651F" w:rsidRPr="00BA7805" w:rsidRDefault="0094651F">
            <w:pPr>
              <w:pStyle w:val="ARfintablecolhead"/>
              <w:spacing w:before="16" w:after="10" w:line="228" w:lineRule="auto"/>
              <w:ind w:right="0"/>
              <w:rPr>
                <w:rFonts w:cs="Arial"/>
                <w:sz w:val="15"/>
                <w:szCs w:val="15"/>
                <w:highlight w:val="green"/>
              </w:rPr>
            </w:pPr>
            <w:r w:rsidRPr="00654A18">
              <w:rPr>
                <w:rFonts w:cs="Arial"/>
                <w:sz w:val="15"/>
                <w:szCs w:val="15"/>
              </w:rPr>
              <w:t>202</w:t>
            </w:r>
            <w:r>
              <w:rPr>
                <w:rFonts w:cs="Arial"/>
                <w:sz w:val="15"/>
                <w:szCs w:val="15"/>
              </w:rPr>
              <w:t>4</w:t>
            </w:r>
          </w:p>
        </w:tc>
        <w:tc>
          <w:tcPr>
            <w:tcW w:w="753" w:type="dxa"/>
            <w:hideMark/>
          </w:tcPr>
          <w:p w14:paraId="61E96EAE" w14:textId="77777777" w:rsidR="0094651F" w:rsidRPr="00F4268B" w:rsidRDefault="0094651F">
            <w:pPr>
              <w:pStyle w:val="ARfintablecolheadright8"/>
            </w:pPr>
            <w:r w:rsidRPr="00F4268B">
              <w:t>1</w:t>
            </w:r>
          </w:p>
          <w:p w14:paraId="534802E5" w14:textId="77777777" w:rsidR="0094651F" w:rsidRPr="00F4268B" w:rsidRDefault="0094651F">
            <w:pPr>
              <w:pStyle w:val="ARfintablecolheadright8"/>
            </w:pPr>
            <w:r w:rsidRPr="00F4268B">
              <w:t>$M</w:t>
            </w:r>
          </w:p>
        </w:tc>
        <w:tc>
          <w:tcPr>
            <w:tcW w:w="856" w:type="dxa"/>
            <w:hideMark/>
          </w:tcPr>
          <w:p w14:paraId="0CA3E46F" w14:textId="77777777" w:rsidR="0094651F" w:rsidRPr="00F4268B" w:rsidRDefault="0094651F">
            <w:pPr>
              <w:pStyle w:val="ARfintablecolheadright8"/>
            </w:pPr>
            <w:r w:rsidRPr="00F4268B">
              <w:t>2</w:t>
            </w:r>
          </w:p>
          <w:p w14:paraId="067F369E" w14:textId="77777777" w:rsidR="0094651F" w:rsidRPr="00F4268B" w:rsidRDefault="0094651F">
            <w:pPr>
              <w:pStyle w:val="ARfintablecolheadright8"/>
            </w:pPr>
            <w:r w:rsidRPr="00F4268B">
              <w:t>$M</w:t>
            </w:r>
          </w:p>
        </w:tc>
        <w:tc>
          <w:tcPr>
            <w:tcW w:w="779" w:type="dxa"/>
            <w:hideMark/>
          </w:tcPr>
          <w:p w14:paraId="595EF907" w14:textId="77777777" w:rsidR="0094651F" w:rsidRPr="00F4268B" w:rsidRDefault="0094651F">
            <w:pPr>
              <w:pStyle w:val="ARfintablecolheadright8"/>
            </w:pPr>
            <w:r w:rsidRPr="00F4268B">
              <w:t>3</w:t>
            </w:r>
          </w:p>
          <w:p w14:paraId="2B847323" w14:textId="77777777" w:rsidR="0094651F" w:rsidRPr="00F4268B" w:rsidRDefault="0094651F">
            <w:pPr>
              <w:pStyle w:val="ARfintablecolheadright8"/>
            </w:pPr>
            <w:r w:rsidRPr="00F4268B">
              <w:t>$M</w:t>
            </w:r>
          </w:p>
        </w:tc>
        <w:tc>
          <w:tcPr>
            <w:tcW w:w="780" w:type="dxa"/>
            <w:hideMark/>
          </w:tcPr>
          <w:p w14:paraId="1341C748" w14:textId="77777777" w:rsidR="0094651F" w:rsidRPr="00F4268B" w:rsidRDefault="0094651F">
            <w:pPr>
              <w:pStyle w:val="ARfintablecolheadright8"/>
            </w:pPr>
            <w:r w:rsidRPr="00F4268B">
              <w:t xml:space="preserve">4 </w:t>
            </w:r>
          </w:p>
          <w:p w14:paraId="5D86C628" w14:textId="77777777" w:rsidR="0094651F" w:rsidRPr="00F4268B" w:rsidRDefault="0094651F">
            <w:pPr>
              <w:pStyle w:val="ARfintablecolheadright8"/>
            </w:pPr>
            <w:r w:rsidRPr="00F4268B">
              <w:t>$M</w:t>
            </w:r>
          </w:p>
        </w:tc>
        <w:tc>
          <w:tcPr>
            <w:tcW w:w="778" w:type="dxa"/>
            <w:hideMark/>
          </w:tcPr>
          <w:p w14:paraId="166CE4CB" w14:textId="77777777" w:rsidR="0094651F" w:rsidRPr="00F4268B" w:rsidRDefault="0094651F">
            <w:pPr>
              <w:pStyle w:val="ARfintablecolheadright8"/>
            </w:pPr>
            <w:r w:rsidRPr="00F4268B">
              <w:t>5</w:t>
            </w:r>
          </w:p>
          <w:p w14:paraId="6A9207AD" w14:textId="77777777" w:rsidR="0094651F" w:rsidRPr="00F4268B" w:rsidRDefault="0094651F">
            <w:pPr>
              <w:pStyle w:val="ARfintablecolheadright8"/>
            </w:pPr>
            <w:r w:rsidRPr="00F4268B">
              <w:t>$M</w:t>
            </w:r>
          </w:p>
        </w:tc>
        <w:tc>
          <w:tcPr>
            <w:tcW w:w="779" w:type="dxa"/>
            <w:hideMark/>
          </w:tcPr>
          <w:p w14:paraId="7F3D6012" w14:textId="77777777" w:rsidR="0094651F" w:rsidRPr="00F4268B" w:rsidRDefault="0094651F">
            <w:pPr>
              <w:pStyle w:val="ARfintablecolheadright8"/>
            </w:pPr>
            <w:r w:rsidRPr="00F4268B">
              <w:t>6</w:t>
            </w:r>
          </w:p>
          <w:p w14:paraId="709B85C7" w14:textId="77777777" w:rsidR="0094651F" w:rsidRPr="00F4268B" w:rsidRDefault="0094651F">
            <w:pPr>
              <w:pStyle w:val="ARfintablecolheadright8"/>
            </w:pPr>
            <w:r w:rsidRPr="00F4268B">
              <w:t>$M</w:t>
            </w:r>
          </w:p>
        </w:tc>
        <w:tc>
          <w:tcPr>
            <w:tcW w:w="777" w:type="dxa"/>
            <w:hideMark/>
          </w:tcPr>
          <w:p w14:paraId="19680B39" w14:textId="77777777" w:rsidR="0094651F" w:rsidRPr="00F4268B" w:rsidRDefault="0094651F">
            <w:pPr>
              <w:pStyle w:val="ARfintablecolheadright8"/>
            </w:pPr>
            <w:r w:rsidRPr="00F4268B">
              <w:t>7</w:t>
            </w:r>
          </w:p>
          <w:p w14:paraId="47833AC9" w14:textId="77777777" w:rsidR="0094651F" w:rsidRPr="00F4268B" w:rsidRDefault="0094651F">
            <w:pPr>
              <w:pStyle w:val="ARfintablecolheadright8"/>
            </w:pPr>
            <w:r w:rsidRPr="00F4268B">
              <w:t>$M</w:t>
            </w:r>
          </w:p>
        </w:tc>
        <w:tc>
          <w:tcPr>
            <w:tcW w:w="777" w:type="dxa"/>
            <w:hideMark/>
          </w:tcPr>
          <w:p w14:paraId="107309E3" w14:textId="77777777" w:rsidR="0094651F" w:rsidRPr="00F4268B" w:rsidRDefault="0094651F">
            <w:pPr>
              <w:pStyle w:val="ARfintablecolheadright8"/>
            </w:pPr>
            <w:r w:rsidRPr="00F4268B">
              <w:t>8</w:t>
            </w:r>
          </w:p>
          <w:p w14:paraId="284F0D47" w14:textId="77777777" w:rsidR="0094651F" w:rsidRPr="00F4268B" w:rsidRDefault="0094651F">
            <w:pPr>
              <w:pStyle w:val="ARfintablecolheadright8"/>
            </w:pPr>
            <w:r w:rsidRPr="00F4268B">
              <w:t>$M</w:t>
            </w:r>
          </w:p>
        </w:tc>
        <w:tc>
          <w:tcPr>
            <w:tcW w:w="777" w:type="dxa"/>
            <w:hideMark/>
          </w:tcPr>
          <w:p w14:paraId="7BBD1F07" w14:textId="77777777" w:rsidR="0094651F" w:rsidRPr="00F4268B" w:rsidRDefault="0094651F">
            <w:pPr>
              <w:pStyle w:val="ARfintablecolheadright8"/>
            </w:pPr>
            <w:r w:rsidRPr="00F4268B">
              <w:t>9</w:t>
            </w:r>
          </w:p>
          <w:p w14:paraId="215C3F43" w14:textId="77777777" w:rsidR="0094651F" w:rsidRPr="00F4268B" w:rsidRDefault="0094651F">
            <w:pPr>
              <w:pStyle w:val="ARfintablecolheadright8"/>
            </w:pPr>
            <w:r w:rsidRPr="00F4268B">
              <w:t>$M</w:t>
            </w:r>
          </w:p>
        </w:tc>
        <w:tc>
          <w:tcPr>
            <w:tcW w:w="777" w:type="dxa"/>
            <w:hideMark/>
          </w:tcPr>
          <w:p w14:paraId="6AF3C095" w14:textId="77777777" w:rsidR="0094651F" w:rsidRPr="00F4268B" w:rsidRDefault="0094651F">
            <w:pPr>
              <w:pStyle w:val="ARfintablecolheadright8"/>
            </w:pPr>
            <w:r w:rsidRPr="00F4268B">
              <w:t>10</w:t>
            </w:r>
          </w:p>
          <w:p w14:paraId="24300CC4" w14:textId="77777777" w:rsidR="0094651F" w:rsidRPr="00F4268B" w:rsidRDefault="0094651F">
            <w:pPr>
              <w:pStyle w:val="ARfintablecolheadright8"/>
            </w:pPr>
            <w:r w:rsidRPr="00F4268B">
              <w:t>$M</w:t>
            </w:r>
          </w:p>
        </w:tc>
        <w:tc>
          <w:tcPr>
            <w:tcW w:w="778" w:type="dxa"/>
            <w:hideMark/>
          </w:tcPr>
          <w:p w14:paraId="62667FC3" w14:textId="77777777" w:rsidR="0094651F" w:rsidRPr="00F4268B" w:rsidRDefault="0094651F">
            <w:pPr>
              <w:pStyle w:val="ARfintablecolheadright8"/>
            </w:pPr>
            <w:r w:rsidRPr="00F4268B">
              <w:t>11</w:t>
            </w:r>
          </w:p>
          <w:p w14:paraId="11403D66" w14:textId="77777777" w:rsidR="0094651F" w:rsidRPr="00F4268B" w:rsidRDefault="0094651F">
            <w:pPr>
              <w:pStyle w:val="ARfintablecolheadright8"/>
            </w:pPr>
            <w:r w:rsidRPr="00F4268B">
              <w:t>$M</w:t>
            </w:r>
          </w:p>
        </w:tc>
        <w:tc>
          <w:tcPr>
            <w:tcW w:w="777" w:type="dxa"/>
            <w:hideMark/>
          </w:tcPr>
          <w:p w14:paraId="6880388F" w14:textId="77777777" w:rsidR="0094651F" w:rsidRPr="00F4268B" w:rsidRDefault="0094651F">
            <w:pPr>
              <w:pStyle w:val="ARfintablecolheadright8"/>
            </w:pPr>
            <w:r w:rsidRPr="00F4268B">
              <w:t>12</w:t>
            </w:r>
          </w:p>
          <w:p w14:paraId="1A06C33B" w14:textId="77777777" w:rsidR="0094651F" w:rsidRPr="00F4268B" w:rsidRDefault="0094651F">
            <w:pPr>
              <w:pStyle w:val="ARfintablecolheadright8"/>
            </w:pPr>
            <w:r w:rsidRPr="00F4268B">
              <w:t>$M</w:t>
            </w:r>
          </w:p>
        </w:tc>
        <w:tc>
          <w:tcPr>
            <w:tcW w:w="777" w:type="dxa"/>
            <w:hideMark/>
          </w:tcPr>
          <w:p w14:paraId="107C7CE3" w14:textId="77777777" w:rsidR="0094651F" w:rsidRPr="00F4268B" w:rsidRDefault="0094651F">
            <w:pPr>
              <w:pStyle w:val="ARfintablecolheadright8"/>
            </w:pPr>
            <w:r w:rsidRPr="00F4268B">
              <w:t>13</w:t>
            </w:r>
          </w:p>
          <w:p w14:paraId="12CFCAC3" w14:textId="77777777" w:rsidR="0094651F" w:rsidRPr="00F4268B" w:rsidRDefault="0094651F">
            <w:pPr>
              <w:pStyle w:val="ARfintablecolheadright8"/>
            </w:pPr>
            <w:r w:rsidRPr="00F4268B">
              <w:t>$M</w:t>
            </w:r>
          </w:p>
        </w:tc>
        <w:tc>
          <w:tcPr>
            <w:tcW w:w="777" w:type="dxa"/>
            <w:hideMark/>
          </w:tcPr>
          <w:p w14:paraId="48A25A74" w14:textId="77777777" w:rsidR="0094651F" w:rsidRPr="00F4268B" w:rsidRDefault="0094651F">
            <w:pPr>
              <w:pStyle w:val="ARfintablecolheadright8"/>
            </w:pPr>
            <w:r w:rsidRPr="00F4268B">
              <w:t>14</w:t>
            </w:r>
          </w:p>
          <w:p w14:paraId="1774F626" w14:textId="77777777" w:rsidR="0094651F" w:rsidRPr="00F4268B" w:rsidRDefault="0094651F">
            <w:pPr>
              <w:pStyle w:val="ARfintablecolheadright8"/>
            </w:pPr>
            <w:r w:rsidRPr="00F4268B">
              <w:t>$M</w:t>
            </w:r>
          </w:p>
        </w:tc>
        <w:tc>
          <w:tcPr>
            <w:tcW w:w="981" w:type="dxa"/>
            <w:hideMark/>
          </w:tcPr>
          <w:p w14:paraId="7D13D9C1" w14:textId="77777777" w:rsidR="0094651F" w:rsidRPr="00F4268B" w:rsidRDefault="0094651F">
            <w:pPr>
              <w:pStyle w:val="ARfintablecolheadright8"/>
            </w:pPr>
            <w:r w:rsidRPr="00F4268B">
              <w:t>Total</w:t>
            </w:r>
          </w:p>
          <w:p w14:paraId="7D95CC07" w14:textId="77777777" w:rsidR="0094651F" w:rsidRPr="00F4268B" w:rsidRDefault="0094651F">
            <w:pPr>
              <w:pStyle w:val="ARfintablecolheadright8"/>
            </w:pPr>
            <w:r w:rsidRPr="00F4268B">
              <w:t>$M</w:t>
            </w:r>
          </w:p>
        </w:tc>
      </w:tr>
      <w:tr w:rsidR="0094651F" w:rsidRPr="00367D51" w14:paraId="204A8767" w14:textId="77777777" w:rsidTr="002B501C">
        <w:trPr>
          <w:trHeight w:val="170"/>
        </w:trPr>
        <w:tc>
          <w:tcPr>
            <w:tcW w:w="4256" w:type="dxa"/>
            <w:gridSpan w:val="3"/>
          </w:tcPr>
          <w:p w14:paraId="69EC08A6" w14:textId="77777777" w:rsidR="0094651F" w:rsidRPr="004C0104" w:rsidRDefault="0094651F" w:rsidP="00355717">
            <w:pPr>
              <w:pStyle w:val="ARfintablebodybold8pt"/>
            </w:pPr>
            <w:r w:rsidRPr="00D37356">
              <w:t>Revenue and income from transactions</w:t>
            </w:r>
          </w:p>
        </w:tc>
        <w:tc>
          <w:tcPr>
            <w:tcW w:w="779" w:type="dxa"/>
            <w:noWrap/>
          </w:tcPr>
          <w:p w14:paraId="1F14CAE8" w14:textId="77777777" w:rsidR="0094651F" w:rsidRPr="00367D51" w:rsidRDefault="0094651F">
            <w:pPr>
              <w:pStyle w:val="ARfintablebodyright8pt"/>
            </w:pPr>
          </w:p>
        </w:tc>
        <w:tc>
          <w:tcPr>
            <w:tcW w:w="780" w:type="dxa"/>
            <w:noWrap/>
          </w:tcPr>
          <w:p w14:paraId="7BB8F0C2" w14:textId="77777777" w:rsidR="0094651F" w:rsidRPr="00367D51" w:rsidRDefault="0094651F">
            <w:pPr>
              <w:pStyle w:val="ARfintablebodyright8pt"/>
            </w:pPr>
          </w:p>
        </w:tc>
        <w:tc>
          <w:tcPr>
            <w:tcW w:w="778" w:type="dxa"/>
            <w:noWrap/>
          </w:tcPr>
          <w:p w14:paraId="00F93173" w14:textId="77777777" w:rsidR="0094651F" w:rsidRPr="00367D51" w:rsidRDefault="0094651F">
            <w:pPr>
              <w:pStyle w:val="ARfintablebodyright8pt"/>
            </w:pPr>
          </w:p>
        </w:tc>
        <w:tc>
          <w:tcPr>
            <w:tcW w:w="779" w:type="dxa"/>
            <w:noWrap/>
          </w:tcPr>
          <w:p w14:paraId="72EABCB3" w14:textId="77777777" w:rsidR="0094651F" w:rsidRPr="00367D51" w:rsidRDefault="0094651F">
            <w:pPr>
              <w:pStyle w:val="ARfintablebodyright8pt"/>
            </w:pPr>
          </w:p>
        </w:tc>
        <w:tc>
          <w:tcPr>
            <w:tcW w:w="777" w:type="dxa"/>
            <w:noWrap/>
          </w:tcPr>
          <w:p w14:paraId="32561A83" w14:textId="77777777" w:rsidR="0094651F" w:rsidRPr="00367D51" w:rsidRDefault="0094651F">
            <w:pPr>
              <w:pStyle w:val="ARfintablebodyright8pt"/>
            </w:pPr>
          </w:p>
        </w:tc>
        <w:tc>
          <w:tcPr>
            <w:tcW w:w="777" w:type="dxa"/>
            <w:noWrap/>
          </w:tcPr>
          <w:p w14:paraId="2C43DFCB" w14:textId="77777777" w:rsidR="0094651F" w:rsidRPr="00367D51" w:rsidRDefault="0094651F">
            <w:pPr>
              <w:pStyle w:val="ARfintablebodyright8pt"/>
            </w:pPr>
          </w:p>
        </w:tc>
        <w:tc>
          <w:tcPr>
            <w:tcW w:w="777" w:type="dxa"/>
            <w:noWrap/>
          </w:tcPr>
          <w:p w14:paraId="42ED3E2C" w14:textId="77777777" w:rsidR="0094651F" w:rsidRPr="00367D51" w:rsidRDefault="0094651F">
            <w:pPr>
              <w:pStyle w:val="ARfintablebodyright8pt"/>
            </w:pPr>
          </w:p>
        </w:tc>
        <w:tc>
          <w:tcPr>
            <w:tcW w:w="777" w:type="dxa"/>
            <w:noWrap/>
          </w:tcPr>
          <w:p w14:paraId="2276E624" w14:textId="77777777" w:rsidR="0094651F" w:rsidRPr="00367D51" w:rsidRDefault="0094651F">
            <w:pPr>
              <w:pStyle w:val="ARfintablebodyright8pt"/>
            </w:pPr>
          </w:p>
        </w:tc>
        <w:tc>
          <w:tcPr>
            <w:tcW w:w="778" w:type="dxa"/>
            <w:noWrap/>
          </w:tcPr>
          <w:p w14:paraId="4667C9D8" w14:textId="77777777" w:rsidR="0094651F" w:rsidRPr="00367D51" w:rsidRDefault="0094651F">
            <w:pPr>
              <w:pStyle w:val="ARfintablebodyright8pt"/>
            </w:pPr>
          </w:p>
        </w:tc>
        <w:tc>
          <w:tcPr>
            <w:tcW w:w="777" w:type="dxa"/>
            <w:noWrap/>
          </w:tcPr>
          <w:p w14:paraId="16B74A59" w14:textId="77777777" w:rsidR="0094651F" w:rsidRPr="00367D51" w:rsidRDefault="0094651F">
            <w:pPr>
              <w:pStyle w:val="ARfintablebodyright8pt"/>
            </w:pPr>
          </w:p>
        </w:tc>
        <w:tc>
          <w:tcPr>
            <w:tcW w:w="777" w:type="dxa"/>
            <w:noWrap/>
          </w:tcPr>
          <w:p w14:paraId="10ABFADF" w14:textId="77777777" w:rsidR="0094651F" w:rsidRPr="00367D51" w:rsidRDefault="0094651F">
            <w:pPr>
              <w:pStyle w:val="ARfintablebodyright8pt"/>
            </w:pPr>
          </w:p>
        </w:tc>
        <w:tc>
          <w:tcPr>
            <w:tcW w:w="777" w:type="dxa"/>
            <w:noWrap/>
          </w:tcPr>
          <w:p w14:paraId="30C3FBE1" w14:textId="77777777" w:rsidR="0094651F" w:rsidRPr="00367D51" w:rsidRDefault="0094651F">
            <w:pPr>
              <w:pStyle w:val="ARfintablebodyright8pt"/>
            </w:pPr>
          </w:p>
        </w:tc>
        <w:tc>
          <w:tcPr>
            <w:tcW w:w="981" w:type="dxa"/>
            <w:gridSpan w:val="2"/>
            <w:noWrap/>
          </w:tcPr>
          <w:p w14:paraId="69A2A96C" w14:textId="77777777" w:rsidR="0094651F" w:rsidRPr="00367D51" w:rsidRDefault="0094651F">
            <w:pPr>
              <w:pStyle w:val="ARfintablebodyright8pt"/>
            </w:pPr>
          </w:p>
        </w:tc>
      </w:tr>
      <w:tr w:rsidR="002B501C" w:rsidRPr="00BA7805" w14:paraId="20024840" w14:textId="77777777" w:rsidTr="002B501C">
        <w:trPr>
          <w:trHeight w:val="170"/>
        </w:trPr>
        <w:tc>
          <w:tcPr>
            <w:tcW w:w="2647" w:type="dxa"/>
          </w:tcPr>
          <w:p w14:paraId="663934DC" w14:textId="77777777" w:rsidR="0094651F" w:rsidRPr="00963D90" w:rsidRDefault="0094651F">
            <w:pPr>
              <w:pStyle w:val="ARfintablebody8pt"/>
              <w:rPr>
                <w:highlight w:val="green"/>
              </w:rPr>
            </w:pPr>
            <w:r w:rsidRPr="00963D90">
              <w:t>Output appropriations</w:t>
            </w:r>
          </w:p>
        </w:tc>
        <w:tc>
          <w:tcPr>
            <w:tcW w:w="753" w:type="dxa"/>
            <w:noWrap/>
          </w:tcPr>
          <w:p w14:paraId="3BADCFD6" w14:textId="77777777" w:rsidR="0094651F" w:rsidRPr="00BA7805" w:rsidRDefault="0094651F">
            <w:pPr>
              <w:pStyle w:val="ARfintablebodyright8pt"/>
              <w:rPr>
                <w:highlight w:val="green"/>
              </w:rPr>
            </w:pPr>
            <w:r w:rsidRPr="00367D51">
              <w:t>342.2</w:t>
            </w:r>
          </w:p>
        </w:tc>
        <w:tc>
          <w:tcPr>
            <w:tcW w:w="856" w:type="dxa"/>
            <w:noWrap/>
          </w:tcPr>
          <w:p w14:paraId="160B1E82" w14:textId="77777777" w:rsidR="0094651F" w:rsidRPr="00BA7805" w:rsidRDefault="0094651F">
            <w:pPr>
              <w:pStyle w:val="ARfintablebodyright8pt"/>
              <w:rPr>
                <w:highlight w:val="green"/>
              </w:rPr>
            </w:pPr>
            <w:r w:rsidRPr="00367D51">
              <w:t>2,354.5</w:t>
            </w:r>
          </w:p>
        </w:tc>
        <w:tc>
          <w:tcPr>
            <w:tcW w:w="779" w:type="dxa"/>
            <w:noWrap/>
          </w:tcPr>
          <w:p w14:paraId="439E2BEE" w14:textId="77777777" w:rsidR="0094651F" w:rsidRPr="00BA7805" w:rsidRDefault="0094651F">
            <w:pPr>
              <w:pStyle w:val="ARfintablebodyright8pt"/>
              <w:rPr>
                <w:highlight w:val="green"/>
              </w:rPr>
            </w:pPr>
            <w:r w:rsidRPr="00367D51">
              <w:t>1,066.5</w:t>
            </w:r>
          </w:p>
        </w:tc>
        <w:tc>
          <w:tcPr>
            <w:tcW w:w="780" w:type="dxa"/>
            <w:noWrap/>
          </w:tcPr>
          <w:p w14:paraId="260826F9" w14:textId="77777777" w:rsidR="0094651F" w:rsidRPr="00BA7805" w:rsidRDefault="0094651F">
            <w:pPr>
              <w:pStyle w:val="ARfintablebodyright8pt"/>
              <w:rPr>
                <w:highlight w:val="green"/>
              </w:rPr>
            </w:pPr>
            <w:r w:rsidRPr="00367D51">
              <w:t>61.6</w:t>
            </w:r>
          </w:p>
        </w:tc>
        <w:tc>
          <w:tcPr>
            <w:tcW w:w="778" w:type="dxa"/>
            <w:noWrap/>
          </w:tcPr>
          <w:p w14:paraId="21CBEC4F" w14:textId="77777777" w:rsidR="0094651F" w:rsidRPr="00BA7805" w:rsidRDefault="0094651F">
            <w:pPr>
              <w:pStyle w:val="ARfintablebodyright8pt"/>
              <w:rPr>
                <w:highlight w:val="green"/>
              </w:rPr>
            </w:pPr>
            <w:r w:rsidRPr="00367D51">
              <w:t>11.6</w:t>
            </w:r>
          </w:p>
        </w:tc>
        <w:tc>
          <w:tcPr>
            <w:tcW w:w="779" w:type="dxa"/>
            <w:noWrap/>
          </w:tcPr>
          <w:p w14:paraId="273561FA" w14:textId="77777777" w:rsidR="0094651F" w:rsidRPr="00BA7805" w:rsidRDefault="0094651F">
            <w:pPr>
              <w:pStyle w:val="ARfintablebodyright8pt"/>
              <w:rPr>
                <w:highlight w:val="green"/>
              </w:rPr>
            </w:pPr>
            <w:r w:rsidRPr="00367D51">
              <w:t>59.6</w:t>
            </w:r>
          </w:p>
        </w:tc>
        <w:tc>
          <w:tcPr>
            <w:tcW w:w="777" w:type="dxa"/>
            <w:noWrap/>
          </w:tcPr>
          <w:p w14:paraId="45FC6E0A" w14:textId="77777777" w:rsidR="0094651F" w:rsidRPr="00BA7805" w:rsidRDefault="0094651F">
            <w:pPr>
              <w:pStyle w:val="ARfintablebodyright8pt"/>
              <w:rPr>
                <w:highlight w:val="green"/>
              </w:rPr>
            </w:pPr>
            <w:r w:rsidRPr="00367D51">
              <w:t>9.6</w:t>
            </w:r>
          </w:p>
        </w:tc>
        <w:tc>
          <w:tcPr>
            <w:tcW w:w="777" w:type="dxa"/>
            <w:noWrap/>
          </w:tcPr>
          <w:p w14:paraId="001654A5" w14:textId="77777777" w:rsidR="0094651F" w:rsidRPr="00BA7805" w:rsidRDefault="0094651F">
            <w:pPr>
              <w:pStyle w:val="ARfintablebodyright8pt"/>
              <w:rPr>
                <w:highlight w:val="green"/>
              </w:rPr>
            </w:pPr>
            <w:r w:rsidRPr="00367D51">
              <w:t>12.1</w:t>
            </w:r>
          </w:p>
        </w:tc>
        <w:tc>
          <w:tcPr>
            <w:tcW w:w="777" w:type="dxa"/>
            <w:noWrap/>
          </w:tcPr>
          <w:p w14:paraId="73B9FDB4" w14:textId="77777777" w:rsidR="0094651F" w:rsidRPr="00BA7805" w:rsidRDefault="0094651F">
            <w:pPr>
              <w:pStyle w:val="ARfintablebodyright8pt"/>
              <w:rPr>
                <w:highlight w:val="green"/>
              </w:rPr>
            </w:pPr>
            <w:r w:rsidRPr="00367D51">
              <w:t>13.7</w:t>
            </w:r>
          </w:p>
        </w:tc>
        <w:tc>
          <w:tcPr>
            <w:tcW w:w="777" w:type="dxa"/>
            <w:noWrap/>
          </w:tcPr>
          <w:p w14:paraId="4146D256" w14:textId="77777777" w:rsidR="0094651F" w:rsidRPr="00BA7805" w:rsidRDefault="0094651F">
            <w:pPr>
              <w:pStyle w:val="ARfintablebodyright8pt"/>
              <w:rPr>
                <w:highlight w:val="green"/>
              </w:rPr>
            </w:pPr>
            <w:r w:rsidRPr="00367D51">
              <w:t>25.0</w:t>
            </w:r>
          </w:p>
        </w:tc>
        <w:tc>
          <w:tcPr>
            <w:tcW w:w="778" w:type="dxa"/>
            <w:noWrap/>
          </w:tcPr>
          <w:p w14:paraId="54FFFCBD" w14:textId="77777777" w:rsidR="0094651F" w:rsidRPr="00BA7805" w:rsidRDefault="0094651F">
            <w:pPr>
              <w:pStyle w:val="ARfintablebodyright8pt"/>
              <w:rPr>
                <w:highlight w:val="green"/>
              </w:rPr>
            </w:pPr>
            <w:r w:rsidRPr="00367D51">
              <w:t>27.1</w:t>
            </w:r>
          </w:p>
        </w:tc>
        <w:tc>
          <w:tcPr>
            <w:tcW w:w="777" w:type="dxa"/>
            <w:noWrap/>
          </w:tcPr>
          <w:p w14:paraId="7B8FD425" w14:textId="77777777" w:rsidR="0094651F" w:rsidRPr="00BA7805" w:rsidRDefault="0094651F">
            <w:pPr>
              <w:pStyle w:val="ARfintablebodyright8pt"/>
              <w:rPr>
                <w:highlight w:val="green"/>
              </w:rPr>
            </w:pPr>
            <w:r w:rsidRPr="00367D51">
              <w:t>25.4</w:t>
            </w:r>
          </w:p>
        </w:tc>
        <w:tc>
          <w:tcPr>
            <w:tcW w:w="777" w:type="dxa"/>
            <w:noWrap/>
          </w:tcPr>
          <w:p w14:paraId="57CA8873" w14:textId="77777777" w:rsidR="0094651F" w:rsidRPr="00BA7805" w:rsidRDefault="0094651F">
            <w:pPr>
              <w:pStyle w:val="ARfintablebodyright8pt"/>
              <w:rPr>
                <w:highlight w:val="green"/>
              </w:rPr>
            </w:pPr>
            <w:r w:rsidRPr="00367D51">
              <w:t>713.2</w:t>
            </w:r>
          </w:p>
        </w:tc>
        <w:tc>
          <w:tcPr>
            <w:tcW w:w="777" w:type="dxa"/>
            <w:noWrap/>
          </w:tcPr>
          <w:p w14:paraId="0FE18B1B" w14:textId="77777777" w:rsidR="0094651F" w:rsidRPr="00BA7805" w:rsidRDefault="0094651F">
            <w:pPr>
              <w:pStyle w:val="ARfintablebodyright8pt"/>
              <w:rPr>
                <w:highlight w:val="green"/>
              </w:rPr>
            </w:pPr>
            <w:r w:rsidRPr="00367D51">
              <w:t>580.1</w:t>
            </w:r>
          </w:p>
        </w:tc>
        <w:tc>
          <w:tcPr>
            <w:tcW w:w="981" w:type="dxa"/>
            <w:gridSpan w:val="2"/>
            <w:noWrap/>
          </w:tcPr>
          <w:p w14:paraId="5AA250CA" w14:textId="77777777" w:rsidR="0094651F" w:rsidRPr="00BA7805" w:rsidRDefault="0094651F">
            <w:pPr>
              <w:pStyle w:val="ARfintablebodyright8pt"/>
              <w:rPr>
                <w:highlight w:val="green"/>
              </w:rPr>
            </w:pPr>
            <w:r w:rsidRPr="00367D51">
              <w:t>5,302.2</w:t>
            </w:r>
          </w:p>
        </w:tc>
      </w:tr>
      <w:tr w:rsidR="002B501C" w:rsidRPr="00BA7805" w14:paraId="4BFE8B7B" w14:textId="77777777" w:rsidTr="002B501C">
        <w:trPr>
          <w:trHeight w:val="170"/>
        </w:trPr>
        <w:tc>
          <w:tcPr>
            <w:tcW w:w="2647" w:type="dxa"/>
          </w:tcPr>
          <w:p w14:paraId="129A8430" w14:textId="77777777" w:rsidR="0094651F" w:rsidRPr="00963D90" w:rsidRDefault="0094651F">
            <w:pPr>
              <w:pStyle w:val="ARfintablebody8pt"/>
              <w:rPr>
                <w:highlight w:val="green"/>
              </w:rPr>
            </w:pPr>
            <w:r w:rsidRPr="00963D90">
              <w:t>Special appropriations</w:t>
            </w:r>
          </w:p>
        </w:tc>
        <w:tc>
          <w:tcPr>
            <w:tcW w:w="753" w:type="dxa"/>
            <w:noWrap/>
          </w:tcPr>
          <w:p w14:paraId="4CCDDD1C" w14:textId="77777777" w:rsidR="0094651F" w:rsidRPr="00BA7805" w:rsidRDefault="0094651F">
            <w:pPr>
              <w:pStyle w:val="ARfintablebodyright8pt"/>
              <w:rPr>
                <w:highlight w:val="green"/>
              </w:rPr>
            </w:pPr>
            <w:r w:rsidRPr="00367D51">
              <w:t>63.9</w:t>
            </w:r>
          </w:p>
        </w:tc>
        <w:tc>
          <w:tcPr>
            <w:tcW w:w="856" w:type="dxa"/>
            <w:noWrap/>
          </w:tcPr>
          <w:p w14:paraId="10A85371" w14:textId="77777777" w:rsidR="0094651F" w:rsidRPr="00BA7805" w:rsidRDefault="0094651F">
            <w:pPr>
              <w:pStyle w:val="ARfintablebodyright8pt"/>
              <w:rPr>
                <w:highlight w:val="green"/>
              </w:rPr>
            </w:pPr>
            <w:r>
              <w:t>–</w:t>
            </w:r>
          </w:p>
        </w:tc>
        <w:tc>
          <w:tcPr>
            <w:tcW w:w="779" w:type="dxa"/>
            <w:noWrap/>
          </w:tcPr>
          <w:p w14:paraId="2495C87B" w14:textId="77777777" w:rsidR="0094651F" w:rsidRPr="00BA7805" w:rsidRDefault="0094651F">
            <w:pPr>
              <w:pStyle w:val="ARfintablebodyright8pt"/>
              <w:rPr>
                <w:highlight w:val="green"/>
              </w:rPr>
            </w:pPr>
            <w:r>
              <w:t>–</w:t>
            </w:r>
          </w:p>
        </w:tc>
        <w:tc>
          <w:tcPr>
            <w:tcW w:w="780" w:type="dxa"/>
            <w:noWrap/>
          </w:tcPr>
          <w:p w14:paraId="2138D387" w14:textId="77777777" w:rsidR="0094651F" w:rsidRPr="00BA7805" w:rsidRDefault="0094651F">
            <w:pPr>
              <w:pStyle w:val="ARfintablebodyright8pt"/>
              <w:rPr>
                <w:highlight w:val="green"/>
              </w:rPr>
            </w:pPr>
            <w:r>
              <w:t>–</w:t>
            </w:r>
          </w:p>
        </w:tc>
        <w:tc>
          <w:tcPr>
            <w:tcW w:w="778" w:type="dxa"/>
            <w:noWrap/>
          </w:tcPr>
          <w:p w14:paraId="1C17A867" w14:textId="77777777" w:rsidR="0094651F" w:rsidRPr="00BA7805" w:rsidRDefault="0094651F">
            <w:pPr>
              <w:pStyle w:val="ARfintablebodyright8pt"/>
              <w:rPr>
                <w:highlight w:val="green"/>
              </w:rPr>
            </w:pPr>
            <w:r w:rsidRPr="00367D51">
              <w:t>0.3</w:t>
            </w:r>
          </w:p>
        </w:tc>
        <w:tc>
          <w:tcPr>
            <w:tcW w:w="779" w:type="dxa"/>
            <w:noWrap/>
          </w:tcPr>
          <w:p w14:paraId="52A44066" w14:textId="77777777" w:rsidR="0094651F" w:rsidRPr="00BA7805" w:rsidRDefault="0094651F">
            <w:pPr>
              <w:pStyle w:val="ARfintablebodyright8pt"/>
              <w:rPr>
                <w:highlight w:val="green"/>
              </w:rPr>
            </w:pPr>
            <w:r>
              <w:t>–</w:t>
            </w:r>
          </w:p>
        </w:tc>
        <w:tc>
          <w:tcPr>
            <w:tcW w:w="777" w:type="dxa"/>
            <w:noWrap/>
          </w:tcPr>
          <w:p w14:paraId="02475FC0" w14:textId="77777777" w:rsidR="0094651F" w:rsidRPr="00BA7805" w:rsidRDefault="0094651F">
            <w:pPr>
              <w:pStyle w:val="ARfintablebodyright8pt"/>
              <w:rPr>
                <w:highlight w:val="green"/>
              </w:rPr>
            </w:pPr>
            <w:r>
              <w:t>–</w:t>
            </w:r>
          </w:p>
        </w:tc>
        <w:tc>
          <w:tcPr>
            <w:tcW w:w="777" w:type="dxa"/>
            <w:noWrap/>
          </w:tcPr>
          <w:p w14:paraId="0731024C" w14:textId="77777777" w:rsidR="0094651F" w:rsidRPr="00BA7805" w:rsidRDefault="0094651F">
            <w:pPr>
              <w:pStyle w:val="ARfintablebodyright8pt"/>
              <w:rPr>
                <w:highlight w:val="green"/>
              </w:rPr>
            </w:pPr>
            <w:r>
              <w:t>–</w:t>
            </w:r>
          </w:p>
        </w:tc>
        <w:tc>
          <w:tcPr>
            <w:tcW w:w="777" w:type="dxa"/>
            <w:noWrap/>
          </w:tcPr>
          <w:p w14:paraId="7E31E444" w14:textId="77777777" w:rsidR="0094651F" w:rsidRPr="00BA7805" w:rsidRDefault="0094651F">
            <w:pPr>
              <w:pStyle w:val="ARfintablebodyright8pt"/>
              <w:rPr>
                <w:highlight w:val="green"/>
              </w:rPr>
            </w:pPr>
            <w:r>
              <w:t>–</w:t>
            </w:r>
          </w:p>
        </w:tc>
        <w:tc>
          <w:tcPr>
            <w:tcW w:w="777" w:type="dxa"/>
            <w:noWrap/>
          </w:tcPr>
          <w:p w14:paraId="5B0F008D" w14:textId="77777777" w:rsidR="0094651F" w:rsidRPr="00BA7805" w:rsidRDefault="0094651F">
            <w:pPr>
              <w:pStyle w:val="ARfintablebodyright8pt"/>
              <w:rPr>
                <w:highlight w:val="green"/>
              </w:rPr>
            </w:pPr>
            <w:r w:rsidRPr="00367D51">
              <w:t>2.0</w:t>
            </w:r>
          </w:p>
        </w:tc>
        <w:tc>
          <w:tcPr>
            <w:tcW w:w="778" w:type="dxa"/>
            <w:noWrap/>
          </w:tcPr>
          <w:p w14:paraId="6994F584" w14:textId="77777777" w:rsidR="0094651F" w:rsidRPr="00BA7805" w:rsidRDefault="0094651F">
            <w:pPr>
              <w:pStyle w:val="ARfintablebodyright8pt"/>
              <w:rPr>
                <w:highlight w:val="green"/>
              </w:rPr>
            </w:pPr>
            <w:r>
              <w:t>–</w:t>
            </w:r>
          </w:p>
        </w:tc>
        <w:tc>
          <w:tcPr>
            <w:tcW w:w="777" w:type="dxa"/>
            <w:noWrap/>
          </w:tcPr>
          <w:p w14:paraId="129BB00F" w14:textId="77777777" w:rsidR="0094651F" w:rsidRPr="00BA7805" w:rsidRDefault="0094651F">
            <w:pPr>
              <w:pStyle w:val="ARfintablebodyright8pt"/>
              <w:rPr>
                <w:highlight w:val="green"/>
              </w:rPr>
            </w:pPr>
            <w:r>
              <w:t>–</w:t>
            </w:r>
          </w:p>
        </w:tc>
        <w:tc>
          <w:tcPr>
            <w:tcW w:w="777" w:type="dxa"/>
            <w:noWrap/>
          </w:tcPr>
          <w:p w14:paraId="79BDE086" w14:textId="77777777" w:rsidR="0094651F" w:rsidRPr="00BA7805" w:rsidRDefault="0094651F">
            <w:pPr>
              <w:pStyle w:val="ARfintablebodyright8pt"/>
              <w:rPr>
                <w:highlight w:val="green"/>
              </w:rPr>
            </w:pPr>
            <w:r w:rsidRPr="00367D51">
              <w:t>7.9</w:t>
            </w:r>
          </w:p>
        </w:tc>
        <w:tc>
          <w:tcPr>
            <w:tcW w:w="777" w:type="dxa"/>
            <w:noWrap/>
          </w:tcPr>
          <w:p w14:paraId="045B73E9" w14:textId="77777777" w:rsidR="0094651F" w:rsidRPr="00BA7805" w:rsidRDefault="0094651F">
            <w:pPr>
              <w:pStyle w:val="ARfintablebodyright8pt"/>
              <w:rPr>
                <w:highlight w:val="green"/>
              </w:rPr>
            </w:pPr>
            <w:r w:rsidRPr="00367D51">
              <w:t>5.4</w:t>
            </w:r>
          </w:p>
        </w:tc>
        <w:tc>
          <w:tcPr>
            <w:tcW w:w="981" w:type="dxa"/>
            <w:gridSpan w:val="2"/>
            <w:noWrap/>
          </w:tcPr>
          <w:p w14:paraId="437A759B" w14:textId="77777777" w:rsidR="0094651F" w:rsidRPr="00BA7805" w:rsidRDefault="0094651F">
            <w:pPr>
              <w:pStyle w:val="ARfintablebodyright8pt"/>
              <w:rPr>
                <w:highlight w:val="green"/>
              </w:rPr>
            </w:pPr>
            <w:r w:rsidRPr="00367D51">
              <w:t>79.5</w:t>
            </w:r>
          </w:p>
        </w:tc>
      </w:tr>
      <w:tr w:rsidR="002B501C" w:rsidRPr="00BA7805" w14:paraId="4083FAFE" w14:textId="77777777" w:rsidTr="002B501C">
        <w:trPr>
          <w:trHeight w:val="170"/>
        </w:trPr>
        <w:tc>
          <w:tcPr>
            <w:tcW w:w="2647" w:type="dxa"/>
          </w:tcPr>
          <w:p w14:paraId="7F39D528" w14:textId="77777777" w:rsidR="0094651F" w:rsidRPr="00963D90" w:rsidRDefault="0094651F">
            <w:pPr>
              <w:pStyle w:val="ARfintablebody8pt"/>
              <w:rPr>
                <w:highlight w:val="green"/>
              </w:rPr>
            </w:pPr>
            <w:r w:rsidRPr="00963D90">
              <w:t>Rental income</w:t>
            </w:r>
          </w:p>
        </w:tc>
        <w:tc>
          <w:tcPr>
            <w:tcW w:w="753" w:type="dxa"/>
            <w:noWrap/>
          </w:tcPr>
          <w:p w14:paraId="68B359D0" w14:textId="77777777" w:rsidR="0094651F" w:rsidRPr="00BA7805" w:rsidRDefault="0094651F">
            <w:pPr>
              <w:pStyle w:val="ARfintablebodyright8pt"/>
              <w:rPr>
                <w:highlight w:val="green"/>
              </w:rPr>
            </w:pPr>
            <w:r>
              <w:t>–</w:t>
            </w:r>
          </w:p>
        </w:tc>
        <w:tc>
          <w:tcPr>
            <w:tcW w:w="856" w:type="dxa"/>
            <w:noWrap/>
          </w:tcPr>
          <w:p w14:paraId="43896B30" w14:textId="77777777" w:rsidR="0094651F" w:rsidRPr="00BA7805" w:rsidRDefault="0094651F">
            <w:pPr>
              <w:pStyle w:val="ARfintablebodyright8pt"/>
              <w:rPr>
                <w:highlight w:val="green"/>
              </w:rPr>
            </w:pPr>
            <w:r>
              <w:t>–</w:t>
            </w:r>
          </w:p>
        </w:tc>
        <w:tc>
          <w:tcPr>
            <w:tcW w:w="779" w:type="dxa"/>
            <w:noWrap/>
          </w:tcPr>
          <w:p w14:paraId="09E1D620" w14:textId="77777777" w:rsidR="0094651F" w:rsidRPr="00BA7805" w:rsidRDefault="0094651F">
            <w:pPr>
              <w:pStyle w:val="ARfintablebodyright8pt"/>
              <w:rPr>
                <w:highlight w:val="green"/>
              </w:rPr>
            </w:pPr>
            <w:r>
              <w:t>–</w:t>
            </w:r>
          </w:p>
        </w:tc>
        <w:tc>
          <w:tcPr>
            <w:tcW w:w="780" w:type="dxa"/>
            <w:noWrap/>
          </w:tcPr>
          <w:p w14:paraId="37E03A41" w14:textId="77777777" w:rsidR="0094651F" w:rsidRPr="00BA7805" w:rsidRDefault="0094651F">
            <w:pPr>
              <w:pStyle w:val="ARfintablebodyright8pt"/>
              <w:rPr>
                <w:highlight w:val="green"/>
              </w:rPr>
            </w:pPr>
            <w:r>
              <w:t>–</w:t>
            </w:r>
          </w:p>
        </w:tc>
        <w:tc>
          <w:tcPr>
            <w:tcW w:w="778" w:type="dxa"/>
            <w:noWrap/>
          </w:tcPr>
          <w:p w14:paraId="3027A508" w14:textId="77777777" w:rsidR="0094651F" w:rsidRPr="00BA7805" w:rsidRDefault="0094651F">
            <w:pPr>
              <w:pStyle w:val="ARfintablebodyright8pt"/>
              <w:rPr>
                <w:highlight w:val="green"/>
              </w:rPr>
            </w:pPr>
            <w:r>
              <w:t>–</w:t>
            </w:r>
          </w:p>
        </w:tc>
        <w:tc>
          <w:tcPr>
            <w:tcW w:w="779" w:type="dxa"/>
            <w:noWrap/>
          </w:tcPr>
          <w:p w14:paraId="7BF30070" w14:textId="77777777" w:rsidR="0094651F" w:rsidRPr="00BA7805" w:rsidRDefault="0094651F">
            <w:pPr>
              <w:pStyle w:val="ARfintablebodyright8pt"/>
              <w:rPr>
                <w:highlight w:val="green"/>
              </w:rPr>
            </w:pPr>
            <w:r>
              <w:t>–</w:t>
            </w:r>
          </w:p>
        </w:tc>
        <w:tc>
          <w:tcPr>
            <w:tcW w:w="777" w:type="dxa"/>
            <w:noWrap/>
          </w:tcPr>
          <w:p w14:paraId="3464D567" w14:textId="77777777" w:rsidR="0094651F" w:rsidRPr="00BA7805" w:rsidRDefault="0094651F">
            <w:pPr>
              <w:pStyle w:val="ARfintablebodyright8pt"/>
              <w:rPr>
                <w:highlight w:val="green"/>
              </w:rPr>
            </w:pPr>
            <w:r>
              <w:t>–</w:t>
            </w:r>
          </w:p>
        </w:tc>
        <w:tc>
          <w:tcPr>
            <w:tcW w:w="777" w:type="dxa"/>
            <w:noWrap/>
          </w:tcPr>
          <w:p w14:paraId="1B5BAF0E" w14:textId="77777777" w:rsidR="0094651F" w:rsidRPr="00BA7805" w:rsidRDefault="0094651F">
            <w:pPr>
              <w:pStyle w:val="ARfintablebodyright8pt"/>
              <w:rPr>
                <w:highlight w:val="green"/>
              </w:rPr>
            </w:pPr>
            <w:r>
              <w:t>–</w:t>
            </w:r>
          </w:p>
        </w:tc>
        <w:tc>
          <w:tcPr>
            <w:tcW w:w="777" w:type="dxa"/>
            <w:noWrap/>
          </w:tcPr>
          <w:p w14:paraId="27576F60" w14:textId="77777777" w:rsidR="0094651F" w:rsidRPr="00BA7805" w:rsidRDefault="0094651F">
            <w:pPr>
              <w:pStyle w:val="ARfintablebodyright8pt"/>
              <w:rPr>
                <w:highlight w:val="green"/>
              </w:rPr>
            </w:pPr>
            <w:r>
              <w:t>–</w:t>
            </w:r>
          </w:p>
        </w:tc>
        <w:tc>
          <w:tcPr>
            <w:tcW w:w="777" w:type="dxa"/>
            <w:noWrap/>
          </w:tcPr>
          <w:p w14:paraId="60586DB2" w14:textId="77777777" w:rsidR="0094651F" w:rsidRPr="00BA7805" w:rsidRDefault="0094651F">
            <w:pPr>
              <w:pStyle w:val="ARfintablebodyright8pt"/>
              <w:rPr>
                <w:highlight w:val="green"/>
              </w:rPr>
            </w:pPr>
            <w:r>
              <w:t>–</w:t>
            </w:r>
          </w:p>
        </w:tc>
        <w:tc>
          <w:tcPr>
            <w:tcW w:w="778" w:type="dxa"/>
            <w:noWrap/>
          </w:tcPr>
          <w:p w14:paraId="3B752BDE" w14:textId="77777777" w:rsidR="0094651F" w:rsidRPr="00BA7805" w:rsidRDefault="0094651F">
            <w:pPr>
              <w:pStyle w:val="ARfintablebodyright8pt"/>
              <w:rPr>
                <w:highlight w:val="green"/>
              </w:rPr>
            </w:pPr>
            <w:r>
              <w:t>–</w:t>
            </w:r>
          </w:p>
        </w:tc>
        <w:tc>
          <w:tcPr>
            <w:tcW w:w="777" w:type="dxa"/>
            <w:noWrap/>
          </w:tcPr>
          <w:p w14:paraId="1920B433" w14:textId="77777777" w:rsidR="0094651F" w:rsidRPr="00BA7805" w:rsidRDefault="0094651F">
            <w:pPr>
              <w:pStyle w:val="ARfintablebodyright8pt"/>
              <w:rPr>
                <w:highlight w:val="green"/>
              </w:rPr>
            </w:pPr>
            <w:r>
              <w:t>–</w:t>
            </w:r>
          </w:p>
        </w:tc>
        <w:tc>
          <w:tcPr>
            <w:tcW w:w="777" w:type="dxa"/>
            <w:noWrap/>
          </w:tcPr>
          <w:p w14:paraId="16ADC61F" w14:textId="77777777" w:rsidR="0094651F" w:rsidRPr="00BA7805" w:rsidRDefault="0094651F">
            <w:pPr>
              <w:pStyle w:val="ARfintablebodyright8pt"/>
              <w:rPr>
                <w:highlight w:val="green"/>
              </w:rPr>
            </w:pPr>
            <w:r>
              <w:t>–</w:t>
            </w:r>
          </w:p>
        </w:tc>
        <w:tc>
          <w:tcPr>
            <w:tcW w:w="777" w:type="dxa"/>
            <w:noWrap/>
          </w:tcPr>
          <w:p w14:paraId="23965294" w14:textId="77777777" w:rsidR="0094651F" w:rsidRPr="00BA7805" w:rsidRDefault="0094651F">
            <w:pPr>
              <w:pStyle w:val="ARfintablebodyright8pt"/>
              <w:rPr>
                <w:highlight w:val="green"/>
              </w:rPr>
            </w:pPr>
            <w:r w:rsidRPr="00367D51">
              <w:t>555.5</w:t>
            </w:r>
          </w:p>
        </w:tc>
        <w:tc>
          <w:tcPr>
            <w:tcW w:w="981" w:type="dxa"/>
            <w:gridSpan w:val="2"/>
            <w:noWrap/>
          </w:tcPr>
          <w:p w14:paraId="58EABDE6" w14:textId="77777777" w:rsidR="0094651F" w:rsidRPr="00BA7805" w:rsidRDefault="0094651F">
            <w:pPr>
              <w:pStyle w:val="ARfintablebodyright8pt"/>
              <w:rPr>
                <w:highlight w:val="green"/>
              </w:rPr>
            </w:pPr>
            <w:r w:rsidRPr="00367D51">
              <w:t>555.5</w:t>
            </w:r>
          </w:p>
        </w:tc>
      </w:tr>
      <w:tr w:rsidR="002B501C" w:rsidRPr="00BA7805" w14:paraId="26720423" w14:textId="77777777" w:rsidTr="002B501C">
        <w:trPr>
          <w:trHeight w:val="170"/>
        </w:trPr>
        <w:tc>
          <w:tcPr>
            <w:tcW w:w="2647" w:type="dxa"/>
            <w:tcBorders>
              <w:bottom w:val="single" w:sz="4" w:space="0" w:color="A6A6A6" w:themeColor="accent5"/>
            </w:tcBorders>
          </w:tcPr>
          <w:p w14:paraId="2240C555" w14:textId="77777777" w:rsidR="0094651F" w:rsidRPr="00963D90" w:rsidRDefault="0094651F">
            <w:pPr>
              <w:pStyle w:val="ARfintablebody8pt"/>
              <w:rPr>
                <w:highlight w:val="green"/>
              </w:rPr>
            </w:pPr>
            <w:r w:rsidRPr="00963D90">
              <w:t>Grants</w:t>
            </w:r>
          </w:p>
        </w:tc>
        <w:tc>
          <w:tcPr>
            <w:tcW w:w="753" w:type="dxa"/>
            <w:tcBorders>
              <w:bottom w:val="single" w:sz="4" w:space="0" w:color="A6A6A6" w:themeColor="accent5"/>
            </w:tcBorders>
            <w:noWrap/>
          </w:tcPr>
          <w:p w14:paraId="29DF064D" w14:textId="77777777" w:rsidR="0094651F" w:rsidRPr="00BA7805" w:rsidRDefault="0094651F">
            <w:pPr>
              <w:pStyle w:val="ARfintablebodyright8pt"/>
              <w:rPr>
                <w:highlight w:val="green"/>
              </w:rPr>
            </w:pPr>
            <w:r>
              <w:t>2.0</w:t>
            </w:r>
          </w:p>
        </w:tc>
        <w:tc>
          <w:tcPr>
            <w:tcW w:w="856" w:type="dxa"/>
            <w:tcBorders>
              <w:bottom w:val="single" w:sz="4" w:space="0" w:color="A6A6A6" w:themeColor="accent5"/>
            </w:tcBorders>
            <w:noWrap/>
          </w:tcPr>
          <w:p w14:paraId="6C018931" w14:textId="77777777" w:rsidR="0094651F" w:rsidRPr="00BA7805" w:rsidRDefault="0094651F">
            <w:pPr>
              <w:pStyle w:val="ARfintablebodyright8pt"/>
              <w:rPr>
                <w:highlight w:val="green"/>
              </w:rPr>
            </w:pPr>
            <w:r w:rsidRPr="00367D51">
              <w:t>24.4</w:t>
            </w:r>
          </w:p>
        </w:tc>
        <w:tc>
          <w:tcPr>
            <w:tcW w:w="779" w:type="dxa"/>
            <w:tcBorders>
              <w:bottom w:val="single" w:sz="4" w:space="0" w:color="A6A6A6" w:themeColor="accent5"/>
            </w:tcBorders>
            <w:noWrap/>
          </w:tcPr>
          <w:p w14:paraId="11F9191C" w14:textId="77777777" w:rsidR="0094651F" w:rsidRPr="00BA7805" w:rsidRDefault="0094651F">
            <w:pPr>
              <w:pStyle w:val="ARfintablebodyright8pt"/>
              <w:rPr>
                <w:highlight w:val="green"/>
              </w:rPr>
            </w:pPr>
            <w:r w:rsidRPr="00367D51">
              <w:t>0.3</w:t>
            </w:r>
          </w:p>
        </w:tc>
        <w:tc>
          <w:tcPr>
            <w:tcW w:w="780" w:type="dxa"/>
            <w:tcBorders>
              <w:bottom w:val="single" w:sz="4" w:space="0" w:color="A6A6A6" w:themeColor="accent5"/>
            </w:tcBorders>
            <w:noWrap/>
          </w:tcPr>
          <w:p w14:paraId="1C4507D6" w14:textId="77777777" w:rsidR="0094651F" w:rsidRPr="00BA7805" w:rsidRDefault="0094651F">
            <w:pPr>
              <w:pStyle w:val="ARfintablebodyright8pt"/>
              <w:rPr>
                <w:highlight w:val="green"/>
              </w:rPr>
            </w:pPr>
            <w:r w:rsidRPr="00367D51">
              <w:t>8.6</w:t>
            </w:r>
          </w:p>
        </w:tc>
        <w:tc>
          <w:tcPr>
            <w:tcW w:w="778" w:type="dxa"/>
            <w:tcBorders>
              <w:bottom w:val="single" w:sz="4" w:space="0" w:color="A6A6A6" w:themeColor="accent5"/>
            </w:tcBorders>
            <w:noWrap/>
          </w:tcPr>
          <w:p w14:paraId="1F4A6D38" w14:textId="77777777" w:rsidR="0094651F" w:rsidRPr="00BA7805" w:rsidRDefault="0094651F">
            <w:pPr>
              <w:pStyle w:val="ARfintablebodyright8pt"/>
              <w:rPr>
                <w:highlight w:val="green"/>
              </w:rPr>
            </w:pPr>
            <w:r w:rsidRPr="00367D51">
              <w:t>1.4</w:t>
            </w:r>
          </w:p>
        </w:tc>
        <w:tc>
          <w:tcPr>
            <w:tcW w:w="779" w:type="dxa"/>
            <w:tcBorders>
              <w:bottom w:val="single" w:sz="4" w:space="0" w:color="A6A6A6" w:themeColor="accent5"/>
            </w:tcBorders>
            <w:noWrap/>
          </w:tcPr>
          <w:p w14:paraId="054CB3F8" w14:textId="77777777" w:rsidR="0094651F" w:rsidRPr="00BA7805" w:rsidRDefault="0094651F">
            <w:pPr>
              <w:pStyle w:val="ARfintablebodyright8pt"/>
              <w:rPr>
                <w:highlight w:val="green"/>
              </w:rPr>
            </w:pPr>
            <w:r>
              <w:t>–</w:t>
            </w:r>
          </w:p>
        </w:tc>
        <w:tc>
          <w:tcPr>
            <w:tcW w:w="777" w:type="dxa"/>
            <w:tcBorders>
              <w:bottom w:val="single" w:sz="4" w:space="0" w:color="A6A6A6" w:themeColor="accent5"/>
            </w:tcBorders>
            <w:noWrap/>
          </w:tcPr>
          <w:p w14:paraId="6AA0F487" w14:textId="77777777" w:rsidR="0094651F" w:rsidRPr="00BA7805" w:rsidRDefault="0094651F">
            <w:pPr>
              <w:pStyle w:val="ARfintablebodyright8pt"/>
              <w:rPr>
                <w:highlight w:val="green"/>
              </w:rPr>
            </w:pPr>
            <w:r w:rsidRPr="00367D51">
              <w:t>1.2</w:t>
            </w:r>
          </w:p>
        </w:tc>
        <w:tc>
          <w:tcPr>
            <w:tcW w:w="777" w:type="dxa"/>
            <w:tcBorders>
              <w:bottom w:val="single" w:sz="4" w:space="0" w:color="A6A6A6" w:themeColor="accent5"/>
            </w:tcBorders>
            <w:noWrap/>
          </w:tcPr>
          <w:p w14:paraId="3BD1CB2A" w14:textId="77777777" w:rsidR="0094651F" w:rsidRPr="00BA7805" w:rsidRDefault="0094651F">
            <w:pPr>
              <w:pStyle w:val="ARfintablebodyright8pt"/>
              <w:rPr>
                <w:highlight w:val="green"/>
              </w:rPr>
            </w:pPr>
            <w:r>
              <w:t>–</w:t>
            </w:r>
          </w:p>
        </w:tc>
        <w:tc>
          <w:tcPr>
            <w:tcW w:w="777" w:type="dxa"/>
            <w:tcBorders>
              <w:bottom w:val="single" w:sz="4" w:space="0" w:color="A6A6A6" w:themeColor="accent5"/>
            </w:tcBorders>
            <w:noWrap/>
          </w:tcPr>
          <w:p w14:paraId="7A6BE837" w14:textId="77777777" w:rsidR="0094651F" w:rsidRPr="00BA7805" w:rsidRDefault="0094651F">
            <w:pPr>
              <w:pStyle w:val="ARfintablebodyright8pt"/>
              <w:rPr>
                <w:highlight w:val="green"/>
              </w:rPr>
            </w:pPr>
            <w:r w:rsidRPr="00367D51">
              <w:t>0.1</w:t>
            </w:r>
          </w:p>
        </w:tc>
        <w:tc>
          <w:tcPr>
            <w:tcW w:w="777" w:type="dxa"/>
            <w:tcBorders>
              <w:bottom w:val="single" w:sz="4" w:space="0" w:color="A6A6A6" w:themeColor="accent5"/>
            </w:tcBorders>
            <w:noWrap/>
          </w:tcPr>
          <w:p w14:paraId="18B87DA5" w14:textId="77777777" w:rsidR="0094651F" w:rsidRPr="00BA7805" w:rsidRDefault="0094651F">
            <w:pPr>
              <w:pStyle w:val="ARfintablebodyright8pt"/>
              <w:rPr>
                <w:highlight w:val="green"/>
              </w:rPr>
            </w:pPr>
            <w:r w:rsidRPr="00367D51">
              <w:t>2.2</w:t>
            </w:r>
          </w:p>
        </w:tc>
        <w:tc>
          <w:tcPr>
            <w:tcW w:w="778" w:type="dxa"/>
            <w:tcBorders>
              <w:bottom w:val="single" w:sz="4" w:space="0" w:color="A6A6A6" w:themeColor="accent5"/>
            </w:tcBorders>
            <w:noWrap/>
          </w:tcPr>
          <w:p w14:paraId="78B8D990" w14:textId="77777777" w:rsidR="0094651F" w:rsidRPr="00BA7805" w:rsidRDefault="0094651F">
            <w:pPr>
              <w:pStyle w:val="ARfintablebodyright8pt"/>
              <w:rPr>
                <w:highlight w:val="green"/>
              </w:rPr>
            </w:pPr>
            <w:r w:rsidRPr="00367D51">
              <w:t>0.9</w:t>
            </w:r>
          </w:p>
        </w:tc>
        <w:tc>
          <w:tcPr>
            <w:tcW w:w="777" w:type="dxa"/>
            <w:tcBorders>
              <w:bottom w:val="single" w:sz="4" w:space="0" w:color="A6A6A6" w:themeColor="accent5"/>
            </w:tcBorders>
            <w:noWrap/>
          </w:tcPr>
          <w:p w14:paraId="667F531C" w14:textId="77777777" w:rsidR="0094651F" w:rsidRPr="00BA7805" w:rsidRDefault="0094651F">
            <w:pPr>
              <w:pStyle w:val="ARfintablebodyright8pt"/>
              <w:rPr>
                <w:highlight w:val="green"/>
              </w:rPr>
            </w:pPr>
            <w:r w:rsidRPr="00367D51">
              <w:t>0.1</w:t>
            </w:r>
          </w:p>
        </w:tc>
        <w:tc>
          <w:tcPr>
            <w:tcW w:w="777" w:type="dxa"/>
            <w:tcBorders>
              <w:bottom w:val="single" w:sz="4" w:space="0" w:color="A6A6A6" w:themeColor="accent5"/>
            </w:tcBorders>
            <w:noWrap/>
          </w:tcPr>
          <w:p w14:paraId="3DA4454B" w14:textId="77777777" w:rsidR="0094651F" w:rsidRPr="00BA7805" w:rsidRDefault="0094651F">
            <w:pPr>
              <w:pStyle w:val="ARfintablebodyright8pt"/>
              <w:rPr>
                <w:highlight w:val="green"/>
              </w:rPr>
            </w:pPr>
            <w:r w:rsidRPr="00367D51">
              <w:t>1.6</w:t>
            </w:r>
          </w:p>
        </w:tc>
        <w:tc>
          <w:tcPr>
            <w:tcW w:w="777" w:type="dxa"/>
            <w:tcBorders>
              <w:bottom w:val="single" w:sz="4" w:space="0" w:color="A6A6A6" w:themeColor="accent5"/>
            </w:tcBorders>
            <w:noWrap/>
          </w:tcPr>
          <w:p w14:paraId="62032C34" w14:textId="77777777" w:rsidR="0094651F" w:rsidRPr="00BA7805" w:rsidRDefault="0094651F">
            <w:pPr>
              <w:pStyle w:val="ARfintablebodyright8pt"/>
              <w:rPr>
                <w:highlight w:val="green"/>
              </w:rPr>
            </w:pPr>
            <w:r>
              <w:t>375.6</w:t>
            </w:r>
          </w:p>
        </w:tc>
        <w:tc>
          <w:tcPr>
            <w:tcW w:w="981" w:type="dxa"/>
            <w:gridSpan w:val="2"/>
            <w:tcBorders>
              <w:bottom w:val="single" w:sz="4" w:space="0" w:color="A6A6A6" w:themeColor="accent5"/>
            </w:tcBorders>
            <w:noWrap/>
          </w:tcPr>
          <w:p w14:paraId="2EC3BE8D" w14:textId="77777777" w:rsidR="0094651F" w:rsidRPr="00BA7805" w:rsidRDefault="0094651F">
            <w:pPr>
              <w:pStyle w:val="ARfintablebodyright8pt"/>
              <w:rPr>
                <w:highlight w:val="green"/>
              </w:rPr>
            </w:pPr>
            <w:r w:rsidRPr="00367D51">
              <w:t>418.2</w:t>
            </w:r>
          </w:p>
        </w:tc>
      </w:tr>
      <w:tr w:rsidR="002B501C" w:rsidRPr="00BA7805" w14:paraId="5520C61C" w14:textId="77777777" w:rsidTr="002B501C">
        <w:trPr>
          <w:trHeight w:val="170"/>
        </w:trPr>
        <w:tc>
          <w:tcPr>
            <w:tcW w:w="2647" w:type="dxa"/>
            <w:tcBorders>
              <w:top w:val="single" w:sz="4" w:space="0" w:color="A6A6A6" w:themeColor="accent5"/>
              <w:bottom w:val="single" w:sz="4" w:space="0" w:color="000000" w:themeColor="text1"/>
            </w:tcBorders>
          </w:tcPr>
          <w:p w14:paraId="7F156F2E" w14:textId="77777777" w:rsidR="0094651F" w:rsidRPr="00963D90" w:rsidRDefault="0094651F">
            <w:pPr>
              <w:pStyle w:val="ARfintablebody8pt"/>
              <w:rPr>
                <w:highlight w:val="green"/>
              </w:rPr>
            </w:pPr>
            <w:r w:rsidRPr="00963D90">
              <w:t>Other income</w:t>
            </w:r>
          </w:p>
        </w:tc>
        <w:tc>
          <w:tcPr>
            <w:tcW w:w="753" w:type="dxa"/>
            <w:tcBorders>
              <w:top w:val="single" w:sz="4" w:space="0" w:color="A6A6A6" w:themeColor="accent5"/>
              <w:bottom w:val="single" w:sz="4" w:space="0" w:color="000000" w:themeColor="text1"/>
            </w:tcBorders>
            <w:noWrap/>
          </w:tcPr>
          <w:p w14:paraId="745727F3" w14:textId="77777777" w:rsidR="0094651F" w:rsidRPr="00BA7805" w:rsidRDefault="0094651F">
            <w:pPr>
              <w:pStyle w:val="ARfintablebodyright8pt"/>
              <w:rPr>
                <w:highlight w:val="green"/>
              </w:rPr>
            </w:pPr>
            <w:r w:rsidRPr="00367D51">
              <w:t>1.4</w:t>
            </w:r>
          </w:p>
        </w:tc>
        <w:tc>
          <w:tcPr>
            <w:tcW w:w="856" w:type="dxa"/>
            <w:tcBorders>
              <w:top w:val="single" w:sz="4" w:space="0" w:color="A6A6A6" w:themeColor="accent5"/>
              <w:bottom w:val="single" w:sz="4" w:space="0" w:color="000000" w:themeColor="text1"/>
            </w:tcBorders>
            <w:noWrap/>
          </w:tcPr>
          <w:p w14:paraId="4EA49960" w14:textId="77777777" w:rsidR="0094651F" w:rsidRPr="00BA7805" w:rsidRDefault="0094651F">
            <w:pPr>
              <w:pStyle w:val="ARfintablebodyright8pt"/>
              <w:rPr>
                <w:highlight w:val="green"/>
              </w:rPr>
            </w:pPr>
            <w:r w:rsidRPr="00367D51">
              <w:t>0.1</w:t>
            </w:r>
          </w:p>
        </w:tc>
        <w:tc>
          <w:tcPr>
            <w:tcW w:w="779" w:type="dxa"/>
            <w:tcBorders>
              <w:top w:val="single" w:sz="4" w:space="0" w:color="A6A6A6" w:themeColor="accent5"/>
              <w:bottom w:val="single" w:sz="4" w:space="0" w:color="000000" w:themeColor="text1"/>
            </w:tcBorders>
            <w:noWrap/>
          </w:tcPr>
          <w:p w14:paraId="1B9CDAB5" w14:textId="77777777" w:rsidR="0094651F" w:rsidRPr="00BA7805" w:rsidRDefault="0094651F">
            <w:pPr>
              <w:pStyle w:val="ARfintablebodyright8pt"/>
              <w:rPr>
                <w:highlight w:val="green"/>
              </w:rPr>
            </w:pPr>
            <w:r>
              <w:t>–</w:t>
            </w:r>
          </w:p>
        </w:tc>
        <w:tc>
          <w:tcPr>
            <w:tcW w:w="780" w:type="dxa"/>
            <w:tcBorders>
              <w:top w:val="single" w:sz="4" w:space="0" w:color="A6A6A6" w:themeColor="accent5"/>
              <w:bottom w:val="single" w:sz="4" w:space="0" w:color="000000" w:themeColor="text1"/>
            </w:tcBorders>
            <w:noWrap/>
          </w:tcPr>
          <w:p w14:paraId="6B7F1BA2" w14:textId="77777777" w:rsidR="0094651F" w:rsidRPr="00BA7805" w:rsidRDefault="0094651F">
            <w:pPr>
              <w:pStyle w:val="ARfintablebodyright8pt"/>
              <w:rPr>
                <w:highlight w:val="green"/>
              </w:rPr>
            </w:pPr>
            <w:r>
              <w:t>–</w:t>
            </w:r>
          </w:p>
        </w:tc>
        <w:tc>
          <w:tcPr>
            <w:tcW w:w="778" w:type="dxa"/>
            <w:tcBorders>
              <w:top w:val="single" w:sz="4" w:space="0" w:color="A6A6A6" w:themeColor="accent5"/>
              <w:bottom w:val="single" w:sz="4" w:space="0" w:color="000000" w:themeColor="text1"/>
            </w:tcBorders>
            <w:noWrap/>
          </w:tcPr>
          <w:p w14:paraId="0653F371" w14:textId="77777777" w:rsidR="0094651F" w:rsidRPr="00BA7805" w:rsidRDefault="0094651F">
            <w:pPr>
              <w:pStyle w:val="ARfintablebodyright8pt"/>
              <w:rPr>
                <w:highlight w:val="green"/>
              </w:rPr>
            </w:pPr>
            <w:r>
              <w:t>–</w:t>
            </w:r>
          </w:p>
        </w:tc>
        <w:tc>
          <w:tcPr>
            <w:tcW w:w="779" w:type="dxa"/>
            <w:tcBorders>
              <w:top w:val="single" w:sz="4" w:space="0" w:color="A6A6A6" w:themeColor="accent5"/>
              <w:bottom w:val="single" w:sz="4" w:space="0" w:color="000000" w:themeColor="text1"/>
            </w:tcBorders>
            <w:noWrap/>
          </w:tcPr>
          <w:p w14:paraId="5DAEE494"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1983FA41"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77244615"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45A195DB"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62FEC0B5" w14:textId="77777777" w:rsidR="0094651F" w:rsidRPr="00BA7805" w:rsidRDefault="0094651F">
            <w:pPr>
              <w:pStyle w:val="ARfintablebodyright8pt"/>
              <w:rPr>
                <w:highlight w:val="green"/>
              </w:rPr>
            </w:pPr>
            <w:r>
              <w:t>–</w:t>
            </w:r>
          </w:p>
        </w:tc>
        <w:tc>
          <w:tcPr>
            <w:tcW w:w="778" w:type="dxa"/>
            <w:tcBorders>
              <w:top w:val="single" w:sz="4" w:space="0" w:color="A6A6A6" w:themeColor="accent5"/>
              <w:bottom w:val="single" w:sz="4" w:space="0" w:color="000000" w:themeColor="text1"/>
            </w:tcBorders>
            <w:noWrap/>
          </w:tcPr>
          <w:p w14:paraId="6233CAE6"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77FBD003"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126809F7"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3C52FA69" w14:textId="77777777" w:rsidR="0094651F" w:rsidRPr="00BA7805" w:rsidRDefault="0094651F">
            <w:pPr>
              <w:pStyle w:val="ARfintablebodyright8pt"/>
              <w:rPr>
                <w:highlight w:val="green"/>
              </w:rPr>
            </w:pPr>
            <w:r w:rsidRPr="00367D51">
              <w:t>41.1</w:t>
            </w:r>
          </w:p>
        </w:tc>
        <w:tc>
          <w:tcPr>
            <w:tcW w:w="981" w:type="dxa"/>
            <w:gridSpan w:val="2"/>
            <w:tcBorders>
              <w:top w:val="single" w:sz="4" w:space="0" w:color="A6A6A6" w:themeColor="accent5"/>
              <w:bottom w:val="single" w:sz="4" w:space="0" w:color="000000" w:themeColor="text1"/>
            </w:tcBorders>
            <w:noWrap/>
          </w:tcPr>
          <w:p w14:paraId="565D5207" w14:textId="77777777" w:rsidR="0094651F" w:rsidRPr="00BA7805" w:rsidRDefault="0094651F">
            <w:pPr>
              <w:pStyle w:val="ARfintablebodyright8pt"/>
              <w:rPr>
                <w:highlight w:val="green"/>
              </w:rPr>
            </w:pPr>
            <w:r w:rsidRPr="00367D51">
              <w:t>42.6</w:t>
            </w:r>
          </w:p>
        </w:tc>
      </w:tr>
      <w:tr w:rsidR="002B501C" w:rsidRPr="00BA7805" w14:paraId="302E5317" w14:textId="77777777" w:rsidTr="002B501C">
        <w:trPr>
          <w:trHeight w:val="170"/>
        </w:trPr>
        <w:tc>
          <w:tcPr>
            <w:tcW w:w="2647" w:type="dxa"/>
            <w:tcBorders>
              <w:top w:val="single" w:sz="4" w:space="0" w:color="000000" w:themeColor="text1"/>
              <w:bottom w:val="single" w:sz="4" w:space="0" w:color="000000" w:themeColor="text1"/>
            </w:tcBorders>
          </w:tcPr>
          <w:p w14:paraId="655D0BC4" w14:textId="77777777" w:rsidR="0094651F" w:rsidRPr="00963D90" w:rsidRDefault="0094651F">
            <w:pPr>
              <w:pStyle w:val="ARfintablebodybold8pt"/>
              <w:rPr>
                <w:highlight w:val="green"/>
              </w:rPr>
            </w:pPr>
            <w:r w:rsidRPr="00963D90">
              <w:t>Total revenue and income from</w:t>
            </w:r>
            <w:r>
              <w:t> </w:t>
            </w:r>
            <w:r w:rsidRPr="00963D90">
              <w:t>transactions</w:t>
            </w:r>
          </w:p>
        </w:tc>
        <w:tc>
          <w:tcPr>
            <w:tcW w:w="753" w:type="dxa"/>
            <w:tcBorders>
              <w:top w:val="single" w:sz="4" w:space="0" w:color="000000" w:themeColor="text1"/>
              <w:bottom w:val="single" w:sz="4" w:space="0" w:color="000000" w:themeColor="text1"/>
            </w:tcBorders>
            <w:noWrap/>
          </w:tcPr>
          <w:p w14:paraId="3D99581D" w14:textId="77777777" w:rsidR="0094651F" w:rsidRPr="00BA7805" w:rsidRDefault="0094651F">
            <w:pPr>
              <w:pStyle w:val="ARfintablebodyrightbold8pt"/>
              <w:rPr>
                <w:highlight w:val="green"/>
              </w:rPr>
            </w:pPr>
            <w:r>
              <w:t>409.5</w:t>
            </w:r>
          </w:p>
        </w:tc>
        <w:tc>
          <w:tcPr>
            <w:tcW w:w="856" w:type="dxa"/>
            <w:tcBorders>
              <w:top w:val="single" w:sz="4" w:space="0" w:color="000000" w:themeColor="text1"/>
              <w:bottom w:val="single" w:sz="4" w:space="0" w:color="000000" w:themeColor="text1"/>
            </w:tcBorders>
            <w:noWrap/>
          </w:tcPr>
          <w:p w14:paraId="3ED61851" w14:textId="77777777" w:rsidR="0094651F" w:rsidRPr="00BA7805" w:rsidRDefault="0094651F">
            <w:pPr>
              <w:pStyle w:val="ARfintablebodyrightbold8pt"/>
              <w:rPr>
                <w:highlight w:val="green"/>
              </w:rPr>
            </w:pPr>
            <w:r w:rsidRPr="00367D51">
              <w:t>2,378.9</w:t>
            </w:r>
          </w:p>
        </w:tc>
        <w:tc>
          <w:tcPr>
            <w:tcW w:w="779" w:type="dxa"/>
            <w:tcBorders>
              <w:top w:val="single" w:sz="4" w:space="0" w:color="000000" w:themeColor="text1"/>
              <w:bottom w:val="single" w:sz="4" w:space="0" w:color="000000" w:themeColor="text1"/>
            </w:tcBorders>
            <w:noWrap/>
          </w:tcPr>
          <w:p w14:paraId="366FB5B7" w14:textId="77777777" w:rsidR="0094651F" w:rsidRPr="00BA7805" w:rsidRDefault="0094651F">
            <w:pPr>
              <w:pStyle w:val="ARfintablebodyrightbold8pt"/>
              <w:rPr>
                <w:highlight w:val="green"/>
              </w:rPr>
            </w:pPr>
            <w:r w:rsidRPr="00367D51">
              <w:t>1,066.8</w:t>
            </w:r>
          </w:p>
        </w:tc>
        <w:tc>
          <w:tcPr>
            <w:tcW w:w="780" w:type="dxa"/>
            <w:tcBorders>
              <w:top w:val="single" w:sz="4" w:space="0" w:color="000000" w:themeColor="text1"/>
              <w:bottom w:val="single" w:sz="4" w:space="0" w:color="000000" w:themeColor="text1"/>
            </w:tcBorders>
            <w:noWrap/>
          </w:tcPr>
          <w:p w14:paraId="769B0299" w14:textId="77777777" w:rsidR="0094651F" w:rsidRPr="00BA7805" w:rsidRDefault="0094651F">
            <w:pPr>
              <w:pStyle w:val="ARfintablebodyrightbold8pt"/>
              <w:rPr>
                <w:highlight w:val="green"/>
              </w:rPr>
            </w:pPr>
            <w:r w:rsidRPr="00367D51">
              <w:t>70.2</w:t>
            </w:r>
          </w:p>
        </w:tc>
        <w:tc>
          <w:tcPr>
            <w:tcW w:w="778" w:type="dxa"/>
            <w:tcBorders>
              <w:top w:val="single" w:sz="4" w:space="0" w:color="000000" w:themeColor="text1"/>
              <w:bottom w:val="single" w:sz="4" w:space="0" w:color="000000" w:themeColor="text1"/>
            </w:tcBorders>
            <w:noWrap/>
          </w:tcPr>
          <w:p w14:paraId="33BF8E9C" w14:textId="77777777" w:rsidR="0094651F" w:rsidRPr="00BA7805" w:rsidRDefault="0094651F">
            <w:pPr>
              <w:pStyle w:val="ARfintablebodyrightbold8pt"/>
              <w:rPr>
                <w:highlight w:val="green"/>
              </w:rPr>
            </w:pPr>
            <w:r w:rsidRPr="00367D51">
              <w:t>13.3</w:t>
            </w:r>
          </w:p>
        </w:tc>
        <w:tc>
          <w:tcPr>
            <w:tcW w:w="779" w:type="dxa"/>
            <w:tcBorders>
              <w:top w:val="single" w:sz="4" w:space="0" w:color="000000" w:themeColor="text1"/>
              <w:bottom w:val="single" w:sz="4" w:space="0" w:color="000000" w:themeColor="text1"/>
            </w:tcBorders>
            <w:noWrap/>
          </w:tcPr>
          <w:p w14:paraId="56CEC738" w14:textId="77777777" w:rsidR="0094651F" w:rsidRPr="00BA7805" w:rsidRDefault="0094651F">
            <w:pPr>
              <w:pStyle w:val="ARfintablebodyrightbold8pt"/>
              <w:rPr>
                <w:highlight w:val="green"/>
              </w:rPr>
            </w:pPr>
            <w:r w:rsidRPr="00367D51">
              <w:t>59.6</w:t>
            </w:r>
          </w:p>
        </w:tc>
        <w:tc>
          <w:tcPr>
            <w:tcW w:w="777" w:type="dxa"/>
            <w:tcBorders>
              <w:top w:val="single" w:sz="4" w:space="0" w:color="000000" w:themeColor="text1"/>
              <w:bottom w:val="single" w:sz="4" w:space="0" w:color="000000" w:themeColor="text1"/>
            </w:tcBorders>
            <w:noWrap/>
          </w:tcPr>
          <w:p w14:paraId="55BD934C" w14:textId="77777777" w:rsidR="0094651F" w:rsidRPr="00BA7805" w:rsidRDefault="0094651F">
            <w:pPr>
              <w:pStyle w:val="ARfintablebodyrightbold8pt"/>
              <w:rPr>
                <w:highlight w:val="green"/>
              </w:rPr>
            </w:pPr>
            <w:r w:rsidRPr="00367D51">
              <w:t>10.8</w:t>
            </w:r>
          </w:p>
        </w:tc>
        <w:tc>
          <w:tcPr>
            <w:tcW w:w="777" w:type="dxa"/>
            <w:tcBorders>
              <w:top w:val="single" w:sz="4" w:space="0" w:color="000000" w:themeColor="text1"/>
              <w:bottom w:val="single" w:sz="4" w:space="0" w:color="000000" w:themeColor="text1"/>
            </w:tcBorders>
            <w:noWrap/>
          </w:tcPr>
          <w:p w14:paraId="64C8B049" w14:textId="77777777" w:rsidR="0094651F" w:rsidRPr="00BA7805" w:rsidRDefault="0094651F">
            <w:pPr>
              <w:pStyle w:val="ARfintablebodyrightbold8pt"/>
              <w:rPr>
                <w:highlight w:val="green"/>
              </w:rPr>
            </w:pPr>
            <w:r w:rsidRPr="00367D51">
              <w:t>12.1</w:t>
            </w:r>
          </w:p>
        </w:tc>
        <w:tc>
          <w:tcPr>
            <w:tcW w:w="777" w:type="dxa"/>
            <w:tcBorders>
              <w:top w:val="single" w:sz="4" w:space="0" w:color="000000" w:themeColor="text1"/>
              <w:bottom w:val="single" w:sz="4" w:space="0" w:color="000000" w:themeColor="text1"/>
            </w:tcBorders>
            <w:noWrap/>
          </w:tcPr>
          <w:p w14:paraId="021FCD05" w14:textId="77777777" w:rsidR="0094651F" w:rsidRPr="00BA7805" w:rsidRDefault="0094651F">
            <w:pPr>
              <w:pStyle w:val="ARfintablebodyrightbold8pt"/>
              <w:rPr>
                <w:highlight w:val="green"/>
              </w:rPr>
            </w:pPr>
            <w:r w:rsidRPr="00367D51">
              <w:t>13.8</w:t>
            </w:r>
          </w:p>
        </w:tc>
        <w:tc>
          <w:tcPr>
            <w:tcW w:w="777" w:type="dxa"/>
            <w:tcBorders>
              <w:top w:val="single" w:sz="4" w:space="0" w:color="000000" w:themeColor="text1"/>
              <w:bottom w:val="single" w:sz="4" w:space="0" w:color="000000" w:themeColor="text1"/>
            </w:tcBorders>
            <w:noWrap/>
          </w:tcPr>
          <w:p w14:paraId="1908ECE5" w14:textId="77777777" w:rsidR="0094651F" w:rsidRPr="00BA7805" w:rsidRDefault="0094651F">
            <w:pPr>
              <w:pStyle w:val="ARfintablebodyrightbold8pt"/>
              <w:rPr>
                <w:highlight w:val="green"/>
              </w:rPr>
            </w:pPr>
            <w:r w:rsidRPr="00367D51">
              <w:t>29.2</w:t>
            </w:r>
          </w:p>
        </w:tc>
        <w:tc>
          <w:tcPr>
            <w:tcW w:w="778" w:type="dxa"/>
            <w:tcBorders>
              <w:top w:val="single" w:sz="4" w:space="0" w:color="000000" w:themeColor="text1"/>
              <w:bottom w:val="single" w:sz="4" w:space="0" w:color="000000" w:themeColor="text1"/>
            </w:tcBorders>
            <w:noWrap/>
          </w:tcPr>
          <w:p w14:paraId="0674C9E4" w14:textId="77777777" w:rsidR="0094651F" w:rsidRPr="00BA7805" w:rsidRDefault="0094651F">
            <w:pPr>
              <w:pStyle w:val="ARfintablebodyrightbold8pt"/>
              <w:rPr>
                <w:highlight w:val="green"/>
              </w:rPr>
            </w:pPr>
            <w:r w:rsidRPr="00367D51">
              <w:t>28.0</w:t>
            </w:r>
          </w:p>
        </w:tc>
        <w:tc>
          <w:tcPr>
            <w:tcW w:w="777" w:type="dxa"/>
            <w:tcBorders>
              <w:top w:val="single" w:sz="4" w:space="0" w:color="000000" w:themeColor="text1"/>
              <w:bottom w:val="single" w:sz="4" w:space="0" w:color="000000" w:themeColor="text1"/>
            </w:tcBorders>
            <w:noWrap/>
          </w:tcPr>
          <w:p w14:paraId="4971D8E3" w14:textId="77777777" w:rsidR="0094651F" w:rsidRPr="00BA7805" w:rsidRDefault="0094651F">
            <w:pPr>
              <w:pStyle w:val="ARfintablebodyrightbold8pt"/>
              <w:rPr>
                <w:highlight w:val="green"/>
              </w:rPr>
            </w:pPr>
            <w:r w:rsidRPr="00367D51">
              <w:t>25.4</w:t>
            </w:r>
          </w:p>
        </w:tc>
        <w:tc>
          <w:tcPr>
            <w:tcW w:w="777" w:type="dxa"/>
            <w:tcBorders>
              <w:top w:val="single" w:sz="4" w:space="0" w:color="000000" w:themeColor="text1"/>
              <w:bottom w:val="single" w:sz="4" w:space="0" w:color="000000" w:themeColor="text1"/>
            </w:tcBorders>
            <w:noWrap/>
          </w:tcPr>
          <w:p w14:paraId="2F9A6AFC" w14:textId="77777777" w:rsidR="0094651F" w:rsidRPr="00BA7805" w:rsidRDefault="0094651F">
            <w:pPr>
              <w:pStyle w:val="ARfintablebodyrightbold8pt"/>
              <w:rPr>
                <w:highlight w:val="green"/>
              </w:rPr>
            </w:pPr>
            <w:r w:rsidRPr="00367D51">
              <w:t>722.6</w:t>
            </w:r>
          </w:p>
        </w:tc>
        <w:tc>
          <w:tcPr>
            <w:tcW w:w="777" w:type="dxa"/>
            <w:tcBorders>
              <w:top w:val="single" w:sz="4" w:space="0" w:color="000000" w:themeColor="text1"/>
              <w:bottom w:val="single" w:sz="4" w:space="0" w:color="000000" w:themeColor="text1"/>
            </w:tcBorders>
            <w:noWrap/>
          </w:tcPr>
          <w:p w14:paraId="52071C50" w14:textId="77777777" w:rsidR="0094651F" w:rsidRPr="00BA7805" w:rsidRDefault="0094651F">
            <w:pPr>
              <w:pStyle w:val="ARfintablebodyrightbold8pt"/>
              <w:rPr>
                <w:highlight w:val="green"/>
              </w:rPr>
            </w:pPr>
            <w:r>
              <w:t>1,557.7</w:t>
            </w:r>
          </w:p>
        </w:tc>
        <w:tc>
          <w:tcPr>
            <w:tcW w:w="981" w:type="dxa"/>
            <w:gridSpan w:val="2"/>
            <w:tcBorders>
              <w:top w:val="single" w:sz="4" w:space="0" w:color="000000" w:themeColor="text1"/>
              <w:bottom w:val="single" w:sz="4" w:space="0" w:color="000000" w:themeColor="text1"/>
            </w:tcBorders>
            <w:noWrap/>
          </w:tcPr>
          <w:p w14:paraId="75D60FF0" w14:textId="77777777" w:rsidR="0094651F" w:rsidRPr="00BA7805" w:rsidRDefault="0094651F">
            <w:pPr>
              <w:pStyle w:val="ARfintablebodyrightbold8pt"/>
              <w:rPr>
                <w:highlight w:val="green"/>
              </w:rPr>
            </w:pPr>
            <w:r w:rsidRPr="00367D51">
              <w:t>6,398.0</w:t>
            </w:r>
          </w:p>
        </w:tc>
      </w:tr>
      <w:tr w:rsidR="002B501C" w:rsidRPr="00BA7805" w14:paraId="5A5F380D" w14:textId="77777777" w:rsidTr="002B501C">
        <w:trPr>
          <w:trHeight w:val="170"/>
        </w:trPr>
        <w:tc>
          <w:tcPr>
            <w:tcW w:w="2647" w:type="dxa"/>
            <w:tcBorders>
              <w:top w:val="single" w:sz="4" w:space="0" w:color="000000" w:themeColor="text1"/>
            </w:tcBorders>
          </w:tcPr>
          <w:p w14:paraId="7C365838" w14:textId="77777777" w:rsidR="0094651F" w:rsidRPr="00963D90" w:rsidRDefault="0094651F">
            <w:pPr>
              <w:pStyle w:val="ARfintablebodybold8pt"/>
              <w:rPr>
                <w:highlight w:val="green"/>
              </w:rPr>
            </w:pPr>
            <w:r w:rsidRPr="00963D90">
              <w:t>Expenses from transactions</w:t>
            </w:r>
          </w:p>
        </w:tc>
        <w:tc>
          <w:tcPr>
            <w:tcW w:w="753" w:type="dxa"/>
            <w:tcBorders>
              <w:top w:val="single" w:sz="4" w:space="0" w:color="000000" w:themeColor="text1"/>
            </w:tcBorders>
            <w:noWrap/>
          </w:tcPr>
          <w:p w14:paraId="4BE34565" w14:textId="77777777" w:rsidR="0094651F" w:rsidRPr="00BA7805" w:rsidRDefault="0094651F">
            <w:pPr>
              <w:pStyle w:val="ARfintablebodyright8pt"/>
              <w:rPr>
                <w:highlight w:val="green"/>
              </w:rPr>
            </w:pPr>
          </w:p>
        </w:tc>
        <w:tc>
          <w:tcPr>
            <w:tcW w:w="856" w:type="dxa"/>
            <w:tcBorders>
              <w:top w:val="single" w:sz="4" w:space="0" w:color="000000" w:themeColor="text1"/>
            </w:tcBorders>
            <w:noWrap/>
          </w:tcPr>
          <w:p w14:paraId="68EA00A4" w14:textId="77777777" w:rsidR="0094651F" w:rsidRPr="00BA7805" w:rsidRDefault="0094651F">
            <w:pPr>
              <w:pStyle w:val="ARfintablebodyright8pt"/>
              <w:rPr>
                <w:highlight w:val="green"/>
              </w:rPr>
            </w:pPr>
          </w:p>
        </w:tc>
        <w:tc>
          <w:tcPr>
            <w:tcW w:w="779" w:type="dxa"/>
            <w:tcBorders>
              <w:top w:val="single" w:sz="4" w:space="0" w:color="000000" w:themeColor="text1"/>
            </w:tcBorders>
            <w:noWrap/>
          </w:tcPr>
          <w:p w14:paraId="74278252" w14:textId="77777777" w:rsidR="0094651F" w:rsidRPr="00BA7805" w:rsidRDefault="0094651F">
            <w:pPr>
              <w:pStyle w:val="ARfintablebodyright8pt"/>
              <w:rPr>
                <w:highlight w:val="green"/>
              </w:rPr>
            </w:pPr>
          </w:p>
        </w:tc>
        <w:tc>
          <w:tcPr>
            <w:tcW w:w="780" w:type="dxa"/>
            <w:tcBorders>
              <w:top w:val="single" w:sz="4" w:space="0" w:color="000000" w:themeColor="text1"/>
            </w:tcBorders>
            <w:noWrap/>
          </w:tcPr>
          <w:p w14:paraId="2ABF6F76" w14:textId="77777777" w:rsidR="0094651F" w:rsidRPr="00BA7805" w:rsidRDefault="0094651F">
            <w:pPr>
              <w:pStyle w:val="ARfintablebodyright8pt"/>
              <w:rPr>
                <w:highlight w:val="green"/>
              </w:rPr>
            </w:pPr>
          </w:p>
        </w:tc>
        <w:tc>
          <w:tcPr>
            <w:tcW w:w="778" w:type="dxa"/>
            <w:tcBorders>
              <w:top w:val="single" w:sz="4" w:space="0" w:color="000000" w:themeColor="text1"/>
            </w:tcBorders>
            <w:noWrap/>
          </w:tcPr>
          <w:p w14:paraId="0D23DC75" w14:textId="77777777" w:rsidR="0094651F" w:rsidRPr="00BA7805" w:rsidRDefault="0094651F">
            <w:pPr>
              <w:pStyle w:val="ARfintablebodyright8pt"/>
              <w:rPr>
                <w:highlight w:val="green"/>
              </w:rPr>
            </w:pPr>
          </w:p>
        </w:tc>
        <w:tc>
          <w:tcPr>
            <w:tcW w:w="779" w:type="dxa"/>
            <w:tcBorders>
              <w:top w:val="single" w:sz="4" w:space="0" w:color="000000" w:themeColor="text1"/>
            </w:tcBorders>
            <w:noWrap/>
          </w:tcPr>
          <w:p w14:paraId="33CD3F22"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63FBD1E4"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4EB0102A"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5368EA28"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7AEBE4A2" w14:textId="77777777" w:rsidR="0094651F" w:rsidRPr="00BA7805" w:rsidRDefault="0094651F">
            <w:pPr>
              <w:pStyle w:val="ARfintablebodyright8pt"/>
              <w:rPr>
                <w:highlight w:val="green"/>
              </w:rPr>
            </w:pPr>
          </w:p>
        </w:tc>
        <w:tc>
          <w:tcPr>
            <w:tcW w:w="778" w:type="dxa"/>
            <w:tcBorders>
              <w:top w:val="single" w:sz="4" w:space="0" w:color="000000" w:themeColor="text1"/>
            </w:tcBorders>
            <w:noWrap/>
          </w:tcPr>
          <w:p w14:paraId="46AF0E77"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44CACF8F"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3389831B"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3D777AB3" w14:textId="77777777" w:rsidR="0094651F" w:rsidRPr="00BA7805" w:rsidRDefault="0094651F">
            <w:pPr>
              <w:pStyle w:val="ARfintablebodyright8pt"/>
              <w:rPr>
                <w:highlight w:val="green"/>
              </w:rPr>
            </w:pPr>
          </w:p>
        </w:tc>
        <w:tc>
          <w:tcPr>
            <w:tcW w:w="981" w:type="dxa"/>
            <w:gridSpan w:val="2"/>
            <w:tcBorders>
              <w:top w:val="single" w:sz="4" w:space="0" w:color="000000" w:themeColor="text1"/>
            </w:tcBorders>
            <w:noWrap/>
          </w:tcPr>
          <w:p w14:paraId="2BAB0157" w14:textId="77777777" w:rsidR="0094651F" w:rsidRPr="00BA7805" w:rsidRDefault="0094651F">
            <w:pPr>
              <w:pStyle w:val="ARfintablebodyright8pt"/>
              <w:rPr>
                <w:highlight w:val="green"/>
              </w:rPr>
            </w:pPr>
          </w:p>
        </w:tc>
      </w:tr>
      <w:tr w:rsidR="002B501C" w:rsidRPr="00BA7805" w14:paraId="45EB43C1" w14:textId="77777777" w:rsidTr="002B501C">
        <w:trPr>
          <w:trHeight w:val="170"/>
        </w:trPr>
        <w:tc>
          <w:tcPr>
            <w:tcW w:w="2647" w:type="dxa"/>
          </w:tcPr>
          <w:p w14:paraId="11F63593" w14:textId="77777777" w:rsidR="0094651F" w:rsidRPr="00963D90" w:rsidRDefault="0094651F">
            <w:pPr>
              <w:pStyle w:val="ARfintablebody8pt"/>
              <w:rPr>
                <w:highlight w:val="green"/>
              </w:rPr>
            </w:pPr>
            <w:r w:rsidRPr="00963D90">
              <w:t>Employee benefits</w:t>
            </w:r>
          </w:p>
        </w:tc>
        <w:tc>
          <w:tcPr>
            <w:tcW w:w="753" w:type="dxa"/>
            <w:noWrap/>
          </w:tcPr>
          <w:p w14:paraId="2D71FCA1" w14:textId="77777777" w:rsidR="0094651F" w:rsidRPr="00BA7805" w:rsidRDefault="0094651F">
            <w:pPr>
              <w:pStyle w:val="ARfintablebodyright8pt"/>
              <w:rPr>
                <w:highlight w:val="green"/>
              </w:rPr>
            </w:pPr>
            <w:r w:rsidRPr="00367D51">
              <w:t>130.5</w:t>
            </w:r>
          </w:p>
        </w:tc>
        <w:tc>
          <w:tcPr>
            <w:tcW w:w="856" w:type="dxa"/>
            <w:noWrap/>
          </w:tcPr>
          <w:p w14:paraId="08F5771F" w14:textId="77777777" w:rsidR="0094651F" w:rsidRPr="00BA7805" w:rsidRDefault="0094651F">
            <w:pPr>
              <w:pStyle w:val="ARfintablebodyright8pt"/>
              <w:rPr>
                <w:highlight w:val="green"/>
              </w:rPr>
            </w:pPr>
            <w:r w:rsidRPr="00367D51">
              <w:t>557.3</w:t>
            </w:r>
          </w:p>
        </w:tc>
        <w:tc>
          <w:tcPr>
            <w:tcW w:w="779" w:type="dxa"/>
            <w:noWrap/>
          </w:tcPr>
          <w:p w14:paraId="4BE79071" w14:textId="77777777" w:rsidR="0094651F" w:rsidRPr="00BA7805" w:rsidRDefault="0094651F">
            <w:pPr>
              <w:pStyle w:val="ARfintablebodyright8pt"/>
              <w:rPr>
                <w:highlight w:val="green"/>
              </w:rPr>
            </w:pPr>
            <w:r w:rsidRPr="00367D51">
              <w:t>11.1</w:t>
            </w:r>
          </w:p>
        </w:tc>
        <w:tc>
          <w:tcPr>
            <w:tcW w:w="780" w:type="dxa"/>
            <w:noWrap/>
          </w:tcPr>
          <w:p w14:paraId="0D9D1107" w14:textId="77777777" w:rsidR="0094651F" w:rsidRPr="00BA7805" w:rsidRDefault="0094651F">
            <w:pPr>
              <w:pStyle w:val="ARfintablebodyright8pt"/>
              <w:rPr>
                <w:highlight w:val="green"/>
              </w:rPr>
            </w:pPr>
            <w:r w:rsidRPr="00367D51">
              <w:t>5.1</w:t>
            </w:r>
          </w:p>
        </w:tc>
        <w:tc>
          <w:tcPr>
            <w:tcW w:w="778" w:type="dxa"/>
            <w:noWrap/>
          </w:tcPr>
          <w:p w14:paraId="5DA2E214" w14:textId="77777777" w:rsidR="0094651F" w:rsidRPr="00BA7805" w:rsidRDefault="0094651F">
            <w:pPr>
              <w:pStyle w:val="ARfintablebodyright8pt"/>
              <w:rPr>
                <w:highlight w:val="green"/>
              </w:rPr>
            </w:pPr>
            <w:r w:rsidRPr="00367D51">
              <w:t>1.4</w:t>
            </w:r>
          </w:p>
        </w:tc>
        <w:tc>
          <w:tcPr>
            <w:tcW w:w="779" w:type="dxa"/>
            <w:noWrap/>
          </w:tcPr>
          <w:p w14:paraId="4CC7FD5F" w14:textId="77777777" w:rsidR="0094651F" w:rsidRPr="00BA7805" w:rsidRDefault="0094651F">
            <w:pPr>
              <w:pStyle w:val="ARfintablebodyright8pt"/>
              <w:rPr>
                <w:highlight w:val="green"/>
              </w:rPr>
            </w:pPr>
            <w:r w:rsidRPr="00367D51">
              <w:t>4.0</w:t>
            </w:r>
          </w:p>
        </w:tc>
        <w:tc>
          <w:tcPr>
            <w:tcW w:w="777" w:type="dxa"/>
            <w:noWrap/>
          </w:tcPr>
          <w:p w14:paraId="2F4FF2C4" w14:textId="77777777" w:rsidR="0094651F" w:rsidRPr="00BA7805" w:rsidRDefault="0094651F">
            <w:pPr>
              <w:pStyle w:val="ARfintablebodyright8pt"/>
              <w:rPr>
                <w:highlight w:val="green"/>
              </w:rPr>
            </w:pPr>
            <w:r w:rsidRPr="00367D51">
              <w:t>2.4</w:t>
            </w:r>
          </w:p>
        </w:tc>
        <w:tc>
          <w:tcPr>
            <w:tcW w:w="777" w:type="dxa"/>
            <w:noWrap/>
          </w:tcPr>
          <w:p w14:paraId="29210718" w14:textId="77777777" w:rsidR="0094651F" w:rsidRPr="00BA7805" w:rsidRDefault="0094651F">
            <w:pPr>
              <w:pStyle w:val="ARfintablebodyright8pt"/>
              <w:rPr>
                <w:highlight w:val="green"/>
              </w:rPr>
            </w:pPr>
            <w:r w:rsidRPr="00367D51">
              <w:t>2.1</w:t>
            </w:r>
          </w:p>
        </w:tc>
        <w:tc>
          <w:tcPr>
            <w:tcW w:w="777" w:type="dxa"/>
            <w:noWrap/>
          </w:tcPr>
          <w:p w14:paraId="7319FEE7" w14:textId="77777777" w:rsidR="0094651F" w:rsidRPr="00BA7805" w:rsidRDefault="0094651F">
            <w:pPr>
              <w:pStyle w:val="ARfintablebodyright8pt"/>
              <w:rPr>
                <w:highlight w:val="green"/>
              </w:rPr>
            </w:pPr>
            <w:r w:rsidRPr="00367D51">
              <w:t>7.2</w:t>
            </w:r>
          </w:p>
        </w:tc>
        <w:tc>
          <w:tcPr>
            <w:tcW w:w="777" w:type="dxa"/>
            <w:noWrap/>
          </w:tcPr>
          <w:p w14:paraId="4754E64B" w14:textId="77777777" w:rsidR="0094651F" w:rsidRPr="00BA7805" w:rsidRDefault="0094651F">
            <w:pPr>
              <w:pStyle w:val="ARfintablebodyright8pt"/>
              <w:rPr>
                <w:highlight w:val="green"/>
              </w:rPr>
            </w:pPr>
            <w:r w:rsidRPr="00367D51">
              <w:t>8.7</w:t>
            </w:r>
          </w:p>
        </w:tc>
        <w:tc>
          <w:tcPr>
            <w:tcW w:w="778" w:type="dxa"/>
            <w:noWrap/>
          </w:tcPr>
          <w:p w14:paraId="1F13A72F" w14:textId="77777777" w:rsidR="0094651F" w:rsidRPr="00BA7805" w:rsidRDefault="0094651F">
            <w:pPr>
              <w:pStyle w:val="ARfintablebodyright8pt"/>
              <w:rPr>
                <w:highlight w:val="green"/>
              </w:rPr>
            </w:pPr>
            <w:r w:rsidRPr="00367D51">
              <w:t>4.2</w:t>
            </w:r>
          </w:p>
        </w:tc>
        <w:tc>
          <w:tcPr>
            <w:tcW w:w="777" w:type="dxa"/>
            <w:noWrap/>
          </w:tcPr>
          <w:p w14:paraId="50018B0B" w14:textId="77777777" w:rsidR="0094651F" w:rsidRPr="00BA7805" w:rsidRDefault="0094651F">
            <w:pPr>
              <w:pStyle w:val="ARfintablebodyright8pt"/>
              <w:rPr>
                <w:highlight w:val="green"/>
              </w:rPr>
            </w:pPr>
            <w:r w:rsidRPr="00367D51">
              <w:t>8.7</w:t>
            </w:r>
          </w:p>
        </w:tc>
        <w:tc>
          <w:tcPr>
            <w:tcW w:w="777" w:type="dxa"/>
            <w:noWrap/>
          </w:tcPr>
          <w:p w14:paraId="663FFE15" w14:textId="77777777" w:rsidR="0094651F" w:rsidRPr="00BA7805" w:rsidRDefault="0094651F">
            <w:pPr>
              <w:pStyle w:val="ARfintablebodyright8pt"/>
              <w:rPr>
                <w:highlight w:val="green"/>
              </w:rPr>
            </w:pPr>
            <w:r w:rsidRPr="00367D51">
              <w:t>62.0</w:t>
            </w:r>
          </w:p>
        </w:tc>
        <w:tc>
          <w:tcPr>
            <w:tcW w:w="777" w:type="dxa"/>
            <w:noWrap/>
          </w:tcPr>
          <w:p w14:paraId="40036AB5" w14:textId="77777777" w:rsidR="0094651F" w:rsidRPr="00BA7805" w:rsidRDefault="0094651F">
            <w:pPr>
              <w:pStyle w:val="ARfintablebodyright8pt"/>
              <w:rPr>
                <w:highlight w:val="green"/>
              </w:rPr>
            </w:pPr>
            <w:r w:rsidRPr="00367D51">
              <w:t>183.2</w:t>
            </w:r>
          </w:p>
        </w:tc>
        <w:tc>
          <w:tcPr>
            <w:tcW w:w="981" w:type="dxa"/>
            <w:gridSpan w:val="2"/>
            <w:noWrap/>
          </w:tcPr>
          <w:p w14:paraId="5E217DFD" w14:textId="77777777" w:rsidR="0094651F" w:rsidRPr="00BA7805" w:rsidRDefault="0094651F">
            <w:pPr>
              <w:pStyle w:val="ARfintablebodyright8pt"/>
              <w:rPr>
                <w:highlight w:val="green"/>
              </w:rPr>
            </w:pPr>
            <w:r w:rsidRPr="00367D51">
              <w:t>987.9</w:t>
            </w:r>
          </w:p>
        </w:tc>
      </w:tr>
      <w:tr w:rsidR="002B501C" w:rsidRPr="00BA7805" w14:paraId="6670D3AC" w14:textId="77777777" w:rsidTr="002B501C">
        <w:trPr>
          <w:trHeight w:val="170"/>
        </w:trPr>
        <w:tc>
          <w:tcPr>
            <w:tcW w:w="2647" w:type="dxa"/>
          </w:tcPr>
          <w:p w14:paraId="6D930BB7" w14:textId="77777777" w:rsidR="0094651F" w:rsidRPr="00963D90" w:rsidRDefault="0094651F">
            <w:pPr>
              <w:pStyle w:val="ARfintablebody8pt"/>
              <w:rPr>
                <w:highlight w:val="green"/>
              </w:rPr>
            </w:pPr>
            <w:r w:rsidRPr="00963D90">
              <w:t>Depreciation and amortisation</w:t>
            </w:r>
          </w:p>
        </w:tc>
        <w:tc>
          <w:tcPr>
            <w:tcW w:w="753" w:type="dxa"/>
            <w:noWrap/>
          </w:tcPr>
          <w:p w14:paraId="3D356C0F" w14:textId="77777777" w:rsidR="0094651F" w:rsidRPr="00BA7805" w:rsidRDefault="0094651F">
            <w:pPr>
              <w:pStyle w:val="ARfintablebodyright8pt"/>
              <w:rPr>
                <w:highlight w:val="green"/>
              </w:rPr>
            </w:pPr>
            <w:r w:rsidRPr="00367D51">
              <w:t>10.9</w:t>
            </w:r>
          </w:p>
        </w:tc>
        <w:tc>
          <w:tcPr>
            <w:tcW w:w="856" w:type="dxa"/>
            <w:noWrap/>
          </w:tcPr>
          <w:p w14:paraId="457F4999" w14:textId="77777777" w:rsidR="0094651F" w:rsidRPr="00BA7805" w:rsidRDefault="0094651F">
            <w:pPr>
              <w:pStyle w:val="ARfintablebodyright8pt"/>
              <w:rPr>
                <w:highlight w:val="green"/>
              </w:rPr>
            </w:pPr>
            <w:r w:rsidRPr="00367D51">
              <w:t>12.2</w:t>
            </w:r>
          </w:p>
        </w:tc>
        <w:tc>
          <w:tcPr>
            <w:tcW w:w="779" w:type="dxa"/>
            <w:noWrap/>
          </w:tcPr>
          <w:p w14:paraId="3F375DBB" w14:textId="77777777" w:rsidR="0094651F" w:rsidRPr="00BA7805" w:rsidRDefault="0094651F">
            <w:pPr>
              <w:pStyle w:val="ARfintablebodyright8pt"/>
              <w:rPr>
                <w:highlight w:val="green"/>
              </w:rPr>
            </w:pPr>
            <w:r w:rsidRPr="00367D51">
              <w:t>0.2</w:t>
            </w:r>
          </w:p>
        </w:tc>
        <w:tc>
          <w:tcPr>
            <w:tcW w:w="780" w:type="dxa"/>
            <w:noWrap/>
          </w:tcPr>
          <w:p w14:paraId="4A139F08" w14:textId="77777777" w:rsidR="0094651F" w:rsidRPr="00BA7805" w:rsidRDefault="0094651F">
            <w:pPr>
              <w:pStyle w:val="ARfintablebodyright8pt"/>
              <w:rPr>
                <w:highlight w:val="green"/>
              </w:rPr>
            </w:pPr>
            <w:r>
              <w:t>–</w:t>
            </w:r>
          </w:p>
        </w:tc>
        <w:tc>
          <w:tcPr>
            <w:tcW w:w="778" w:type="dxa"/>
            <w:noWrap/>
          </w:tcPr>
          <w:p w14:paraId="6DC8D669" w14:textId="77777777" w:rsidR="0094651F" w:rsidRPr="00BA7805" w:rsidRDefault="0094651F">
            <w:pPr>
              <w:pStyle w:val="ARfintablebodyright8pt"/>
              <w:rPr>
                <w:highlight w:val="green"/>
              </w:rPr>
            </w:pPr>
            <w:r>
              <w:t>–</w:t>
            </w:r>
          </w:p>
        </w:tc>
        <w:tc>
          <w:tcPr>
            <w:tcW w:w="779" w:type="dxa"/>
            <w:noWrap/>
          </w:tcPr>
          <w:p w14:paraId="4CD6788C" w14:textId="77777777" w:rsidR="0094651F" w:rsidRPr="00BA7805" w:rsidRDefault="0094651F">
            <w:pPr>
              <w:pStyle w:val="ARfintablebodyright8pt"/>
              <w:rPr>
                <w:highlight w:val="green"/>
              </w:rPr>
            </w:pPr>
            <w:r>
              <w:t>–</w:t>
            </w:r>
          </w:p>
        </w:tc>
        <w:tc>
          <w:tcPr>
            <w:tcW w:w="777" w:type="dxa"/>
            <w:noWrap/>
          </w:tcPr>
          <w:p w14:paraId="5ADB7D2E" w14:textId="77777777" w:rsidR="0094651F" w:rsidRPr="00BA7805" w:rsidRDefault="0094651F">
            <w:pPr>
              <w:pStyle w:val="ARfintablebodyright8pt"/>
              <w:rPr>
                <w:highlight w:val="green"/>
              </w:rPr>
            </w:pPr>
            <w:r>
              <w:t>–</w:t>
            </w:r>
          </w:p>
        </w:tc>
        <w:tc>
          <w:tcPr>
            <w:tcW w:w="777" w:type="dxa"/>
            <w:noWrap/>
          </w:tcPr>
          <w:p w14:paraId="315E4440" w14:textId="77777777" w:rsidR="0094651F" w:rsidRPr="00BA7805" w:rsidRDefault="0094651F">
            <w:pPr>
              <w:pStyle w:val="ARfintablebodyright8pt"/>
              <w:rPr>
                <w:highlight w:val="green"/>
              </w:rPr>
            </w:pPr>
            <w:r>
              <w:t>–</w:t>
            </w:r>
          </w:p>
        </w:tc>
        <w:tc>
          <w:tcPr>
            <w:tcW w:w="777" w:type="dxa"/>
            <w:noWrap/>
          </w:tcPr>
          <w:p w14:paraId="086D0C5E" w14:textId="77777777" w:rsidR="0094651F" w:rsidRPr="00BA7805" w:rsidRDefault="0094651F">
            <w:pPr>
              <w:pStyle w:val="ARfintablebodyright8pt"/>
              <w:rPr>
                <w:highlight w:val="green"/>
              </w:rPr>
            </w:pPr>
            <w:r w:rsidRPr="00367D51">
              <w:t>0.5</w:t>
            </w:r>
          </w:p>
        </w:tc>
        <w:tc>
          <w:tcPr>
            <w:tcW w:w="777" w:type="dxa"/>
            <w:noWrap/>
          </w:tcPr>
          <w:p w14:paraId="5A801FB4" w14:textId="7EACE16C" w:rsidR="0094651F" w:rsidRPr="00BA7805" w:rsidRDefault="00430898">
            <w:pPr>
              <w:pStyle w:val="ARfintablebodyright8pt"/>
              <w:rPr>
                <w:highlight w:val="green"/>
              </w:rPr>
            </w:pPr>
            <w:r w:rsidRPr="00977145">
              <w:t>–</w:t>
            </w:r>
          </w:p>
        </w:tc>
        <w:tc>
          <w:tcPr>
            <w:tcW w:w="778" w:type="dxa"/>
            <w:noWrap/>
          </w:tcPr>
          <w:p w14:paraId="004D2705" w14:textId="4A70AE8B" w:rsidR="0094651F" w:rsidRPr="00BA7805" w:rsidRDefault="00430898">
            <w:pPr>
              <w:pStyle w:val="ARfintablebodyright8pt"/>
              <w:rPr>
                <w:highlight w:val="green"/>
              </w:rPr>
            </w:pPr>
            <w:r w:rsidRPr="00977145">
              <w:t>–</w:t>
            </w:r>
          </w:p>
        </w:tc>
        <w:tc>
          <w:tcPr>
            <w:tcW w:w="777" w:type="dxa"/>
            <w:noWrap/>
          </w:tcPr>
          <w:p w14:paraId="2ADE8A23" w14:textId="77777777" w:rsidR="0094651F" w:rsidRPr="00BA7805" w:rsidRDefault="0094651F">
            <w:pPr>
              <w:pStyle w:val="ARfintablebodyright8pt"/>
              <w:rPr>
                <w:highlight w:val="green"/>
              </w:rPr>
            </w:pPr>
            <w:r>
              <w:t>–</w:t>
            </w:r>
          </w:p>
        </w:tc>
        <w:tc>
          <w:tcPr>
            <w:tcW w:w="777" w:type="dxa"/>
            <w:noWrap/>
          </w:tcPr>
          <w:p w14:paraId="366637B5" w14:textId="77777777" w:rsidR="0094651F" w:rsidRPr="00BA7805" w:rsidRDefault="0094651F">
            <w:pPr>
              <w:pStyle w:val="ARfintablebodyright8pt"/>
              <w:rPr>
                <w:highlight w:val="green"/>
              </w:rPr>
            </w:pPr>
            <w:r w:rsidRPr="00367D51">
              <w:t>18.9</w:t>
            </w:r>
          </w:p>
        </w:tc>
        <w:tc>
          <w:tcPr>
            <w:tcW w:w="777" w:type="dxa"/>
            <w:noWrap/>
          </w:tcPr>
          <w:p w14:paraId="0A73FE90" w14:textId="77777777" w:rsidR="0094651F" w:rsidRPr="00BA7805" w:rsidRDefault="0094651F">
            <w:pPr>
              <w:pStyle w:val="ARfintablebodyright8pt"/>
              <w:rPr>
                <w:highlight w:val="green"/>
              </w:rPr>
            </w:pPr>
            <w:r w:rsidRPr="00367D51">
              <w:t>367.3</w:t>
            </w:r>
          </w:p>
        </w:tc>
        <w:tc>
          <w:tcPr>
            <w:tcW w:w="981" w:type="dxa"/>
            <w:gridSpan w:val="2"/>
            <w:noWrap/>
          </w:tcPr>
          <w:p w14:paraId="1EF98BB1" w14:textId="77777777" w:rsidR="0094651F" w:rsidRPr="00BA7805" w:rsidRDefault="0094651F">
            <w:pPr>
              <w:pStyle w:val="ARfintablebodyright8pt"/>
              <w:rPr>
                <w:highlight w:val="green"/>
              </w:rPr>
            </w:pPr>
            <w:r w:rsidRPr="00367D51">
              <w:t>410.0</w:t>
            </w:r>
          </w:p>
        </w:tc>
      </w:tr>
      <w:tr w:rsidR="002B501C" w:rsidRPr="00BA7805" w14:paraId="04711A63" w14:textId="77777777" w:rsidTr="002B501C">
        <w:trPr>
          <w:trHeight w:val="170"/>
        </w:trPr>
        <w:tc>
          <w:tcPr>
            <w:tcW w:w="2647" w:type="dxa"/>
          </w:tcPr>
          <w:p w14:paraId="11756D8A" w14:textId="77777777" w:rsidR="0094651F" w:rsidRPr="00963D90" w:rsidRDefault="0094651F">
            <w:pPr>
              <w:pStyle w:val="ARfintablebody8pt"/>
              <w:rPr>
                <w:highlight w:val="green"/>
              </w:rPr>
            </w:pPr>
            <w:r w:rsidRPr="00963D90">
              <w:t>Other operating expenses</w:t>
            </w:r>
          </w:p>
        </w:tc>
        <w:tc>
          <w:tcPr>
            <w:tcW w:w="753" w:type="dxa"/>
            <w:noWrap/>
          </w:tcPr>
          <w:p w14:paraId="60F80ADE" w14:textId="77777777" w:rsidR="0094651F" w:rsidRPr="00BA7805" w:rsidRDefault="0094651F">
            <w:pPr>
              <w:pStyle w:val="ARfintablebodyright8pt"/>
              <w:rPr>
                <w:highlight w:val="green"/>
              </w:rPr>
            </w:pPr>
            <w:r>
              <w:t>107.7</w:t>
            </w:r>
          </w:p>
        </w:tc>
        <w:tc>
          <w:tcPr>
            <w:tcW w:w="856" w:type="dxa"/>
            <w:noWrap/>
          </w:tcPr>
          <w:p w14:paraId="26C5C848" w14:textId="77777777" w:rsidR="0094651F" w:rsidRPr="00BA7805" w:rsidRDefault="0094651F">
            <w:pPr>
              <w:pStyle w:val="ARfintablebodyright8pt"/>
              <w:rPr>
                <w:highlight w:val="green"/>
              </w:rPr>
            </w:pPr>
            <w:r w:rsidRPr="00367D51">
              <w:t>499.2</w:t>
            </w:r>
          </w:p>
        </w:tc>
        <w:tc>
          <w:tcPr>
            <w:tcW w:w="779" w:type="dxa"/>
            <w:noWrap/>
          </w:tcPr>
          <w:p w14:paraId="0CA13FA3" w14:textId="77777777" w:rsidR="0094651F" w:rsidRPr="00BA7805" w:rsidRDefault="0094651F">
            <w:pPr>
              <w:pStyle w:val="ARfintablebodyright8pt"/>
              <w:rPr>
                <w:highlight w:val="green"/>
              </w:rPr>
            </w:pPr>
            <w:r w:rsidRPr="00367D51">
              <w:t>8.3</w:t>
            </w:r>
          </w:p>
        </w:tc>
        <w:tc>
          <w:tcPr>
            <w:tcW w:w="780" w:type="dxa"/>
            <w:noWrap/>
          </w:tcPr>
          <w:p w14:paraId="2112FCA6" w14:textId="77777777" w:rsidR="0094651F" w:rsidRPr="00BA7805" w:rsidRDefault="0094651F">
            <w:pPr>
              <w:pStyle w:val="ARfintablebodyright8pt"/>
              <w:rPr>
                <w:highlight w:val="green"/>
              </w:rPr>
            </w:pPr>
            <w:r w:rsidRPr="00367D51">
              <w:t>2.0</w:t>
            </w:r>
          </w:p>
        </w:tc>
        <w:tc>
          <w:tcPr>
            <w:tcW w:w="778" w:type="dxa"/>
            <w:noWrap/>
          </w:tcPr>
          <w:p w14:paraId="70733B20" w14:textId="77777777" w:rsidR="0094651F" w:rsidRPr="00BA7805" w:rsidRDefault="0094651F">
            <w:pPr>
              <w:pStyle w:val="ARfintablebodyright8pt"/>
              <w:rPr>
                <w:highlight w:val="green"/>
              </w:rPr>
            </w:pPr>
            <w:r w:rsidRPr="00367D51">
              <w:t>0.4</w:t>
            </w:r>
          </w:p>
        </w:tc>
        <w:tc>
          <w:tcPr>
            <w:tcW w:w="779" w:type="dxa"/>
            <w:noWrap/>
          </w:tcPr>
          <w:p w14:paraId="0FB03E21" w14:textId="77777777" w:rsidR="0094651F" w:rsidRPr="00BA7805" w:rsidRDefault="0094651F">
            <w:pPr>
              <w:pStyle w:val="ARfintablebodyright8pt"/>
              <w:rPr>
                <w:highlight w:val="green"/>
              </w:rPr>
            </w:pPr>
            <w:r w:rsidRPr="00367D51">
              <w:t>3.6</w:t>
            </w:r>
          </w:p>
        </w:tc>
        <w:tc>
          <w:tcPr>
            <w:tcW w:w="777" w:type="dxa"/>
            <w:noWrap/>
          </w:tcPr>
          <w:p w14:paraId="774C2312" w14:textId="77777777" w:rsidR="0094651F" w:rsidRPr="00BA7805" w:rsidRDefault="0094651F">
            <w:pPr>
              <w:pStyle w:val="ARfintablebodyright8pt"/>
              <w:rPr>
                <w:highlight w:val="green"/>
              </w:rPr>
            </w:pPr>
            <w:r w:rsidRPr="00367D51">
              <w:t>1.3</w:t>
            </w:r>
          </w:p>
        </w:tc>
        <w:tc>
          <w:tcPr>
            <w:tcW w:w="777" w:type="dxa"/>
            <w:noWrap/>
          </w:tcPr>
          <w:p w14:paraId="3EEA5463" w14:textId="77777777" w:rsidR="0094651F" w:rsidRPr="00BA7805" w:rsidRDefault="0094651F">
            <w:pPr>
              <w:pStyle w:val="ARfintablebodyright8pt"/>
              <w:rPr>
                <w:highlight w:val="green"/>
              </w:rPr>
            </w:pPr>
            <w:r w:rsidRPr="00367D51">
              <w:t>0.5</w:t>
            </w:r>
          </w:p>
        </w:tc>
        <w:tc>
          <w:tcPr>
            <w:tcW w:w="777" w:type="dxa"/>
            <w:noWrap/>
          </w:tcPr>
          <w:p w14:paraId="3EB434B4" w14:textId="77777777" w:rsidR="0094651F" w:rsidRPr="00BA7805" w:rsidRDefault="0094651F">
            <w:pPr>
              <w:pStyle w:val="ARfintablebodyright8pt"/>
              <w:rPr>
                <w:highlight w:val="green"/>
              </w:rPr>
            </w:pPr>
            <w:r w:rsidRPr="00367D51">
              <w:t>1.9</w:t>
            </w:r>
          </w:p>
        </w:tc>
        <w:tc>
          <w:tcPr>
            <w:tcW w:w="777" w:type="dxa"/>
            <w:noWrap/>
          </w:tcPr>
          <w:p w14:paraId="2256B5F5" w14:textId="77777777" w:rsidR="0094651F" w:rsidRPr="00BA7805" w:rsidRDefault="0094651F">
            <w:pPr>
              <w:pStyle w:val="ARfintablebodyright8pt"/>
              <w:rPr>
                <w:highlight w:val="green"/>
              </w:rPr>
            </w:pPr>
            <w:r w:rsidRPr="00367D51">
              <w:t>5.1</w:t>
            </w:r>
          </w:p>
        </w:tc>
        <w:tc>
          <w:tcPr>
            <w:tcW w:w="778" w:type="dxa"/>
            <w:noWrap/>
          </w:tcPr>
          <w:p w14:paraId="738F464D" w14:textId="77777777" w:rsidR="0094651F" w:rsidRPr="00BA7805" w:rsidRDefault="0094651F">
            <w:pPr>
              <w:pStyle w:val="ARfintablebodyright8pt"/>
              <w:rPr>
                <w:highlight w:val="green"/>
              </w:rPr>
            </w:pPr>
            <w:r w:rsidRPr="00367D51">
              <w:t>0.4</w:t>
            </w:r>
          </w:p>
        </w:tc>
        <w:tc>
          <w:tcPr>
            <w:tcW w:w="777" w:type="dxa"/>
            <w:noWrap/>
          </w:tcPr>
          <w:p w14:paraId="5A88F10E" w14:textId="77777777" w:rsidR="0094651F" w:rsidRPr="00BA7805" w:rsidRDefault="0094651F">
            <w:pPr>
              <w:pStyle w:val="ARfintablebodyright8pt"/>
              <w:rPr>
                <w:highlight w:val="green"/>
              </w:rPr>
            </w:pPr>
            <w:r w:rsidRPr="00367D51">
              <w:t>2.5</w:t>
            </w:r>
          </w:p>
        </w:tc>
        <w:tc>
          <w:tcPr>
            <w:tcW w:w="777" w:type="dxa"/>
            <w:noWrap/>
          </w:tcPr>
          <w:p w14:paraId="5294944E" w14:textId="77777777" w:rsidR="0094651F" w:rsidRPr="00BA7805" w:rsidRDefault="0094651F">
            <w:pPr>
              <w:pStyle w:val="ARfintablebodyright8pt"/>
              <w:rPr>
                <w:highlight w:val="green"/>
              </w:rPr>
            </w:pPr>
            <w:r w:rsidRPr="00367D51">
              <w:t>39.3</w:t>
            </w:r>
          </w:p>
        </w:tc>
        <w:tc>
          <w:tcPr>
            <w:tcW w:w="777" w:type="dxa"/>
            <w:noWrap/>
          </w:tcPr>
          <w:p w14:paraId="290A5598" w14:textId="77777777" w:rsidR="0094651F" w:rsidRPr="00BA7805" w:rsidRDefault="0094651F">
            <w:pPr>
              <w:pStyle w:val="ARfintablebodyright8pt"/>
              <w:rPr>
                <w:highlight w:val="green"/>
              </w:rPr>
            </w:pPr>
            <w:r>
              <w:t>98.3</w:t>
            </w:r>
          </w:p>
        </w:tc>
        <w:tc>
          <w:tcPr>
            <w:tcW w:w="981" w:type="dxa"/>
            <w:gridSpan w:val="2"/>
            <w:noWrap/>
          </w:tcPr>
          <w:p w14:paraId="0C827938" w14:textId="77777777" w:rsidR="0094651F" w:rsidRPr="00BA7805" w:rsidRDefault="0094651F">
            <w:pPr>
              <w:pStyle w:val="ARfintablebodyright8pt"/>
              <w:rPr>
                <w:highlight w:val="green"/>
              </w:rPr>
            </w:pPr>
            <w:r w:rsidRPr="00367D51">
              <w:t>770.4</w:t>
            </w:r>
          </w:p>
        </w:tc>
      </w:tr>
      <w:tr w:rsidR="002B501C" w:rsidRPr="00BA7805" w14:paraId="4EBFA3C8" w14:textId="77777777" w:rsidTr="002B501C">
        <w:trPr>
          <w:trHeight w:val="170"/>
        </w:trPr>
        <w:tc>
          <w:tcPr>
            <w:tcW w:w="2647" w:type="dxa"/>
            <w:tcBorders>
              <w:bottom w:val="single" w:sz="4" w:space="0" w:color="A6A6A6" w:themeColor="accent5"/>
            </w:tcBorders>
          </w:tcPr>
          <w:p w14:paraId="020DEE8F" w14:textId="77777777" w:rsidR="0094651F" w:rsidRPr="00963D90" w:rsidRDefault="0094651F">
            <w:pPr>
              <w:pStyle w:val="ARfintablebody8pt"/>
              <w:rPr>
                <w:highlight w:val="green"/>
              </w:rPr>
            </w:pPr>
            <w:r w:rsidRPr="00963D90">
              <w:t>Grants and other transfers</w:t>
            </w:r>
          </w:p>
        </w:tc>
        <w:tc>
          <w:tcPr>
            <w:tcW w:w="753" w:type="dxa"/>
            <w:tcBorders>
              <w:bottom w:val="single" w:sz="4" w:space="0" w:color="A6A6A6" w:themeColor="accent5"/>
            </w:tcBorders>
            <w:noWrap/>
          </w:tcPr>
          <w:p w14:paraId="6B8585F7" w14:textId="77777777" w:rsidR="0094651F" w:rsidRPr="00BA7805" w:rsidRDefault="0094651F">
            <w:pPr>
              <w:pStyle w:val="ARfintablebodyright8pt"/>
              <w:rPr>
                <w:highlight w:val="green"/>
              </w:rPr>
            </w:pPr>
            <w:r>
              <w:t>188.0</w:t>
            </w:r>
          </w:p>
        </w:tc>
        <w:tc>
          <w:tcPr>
            <w:tcW w:w="856" w:type="dxa"/>
            <w:tcBorders>
              <w:bottom w:val="single" w:sz="4" w:space="0" w:color="A6A6A6" w:themeColor="accent5"/>
            </w:tcBorders>
            <w:noWrap/>
          </w:tcPr>
          <w:p w14:paraId="7C714067" w14:textId="77777777" w:rsidR="0094651F" w:rsidRPr="00BA7805" w:rsidRDefault="0094651F">
            <w:pPr>
              <w:pStyle w:val="ARfintablebodyright8pt"/>
              <w:rPr>
                <w:highlight w:val="green"/>
              </w:rPr>
            </w:pPr>
            <w:r w:rsidRPr="00367D51">
              <w:t>1,421.9</w:t>
            </w:r>
          </w:p>
        </w:tc>
        <w:tc>
          <w:tcPr>
            <w:tcW w:w="779" w:type="dxa"/>
            <w:tcBorders>
              <w:bottom w:val="single" w:sz="4" w:space="0" w:color="A6A6A6" w:themeColor="accent5"/>
            </w:tcBorders>
            <w:noWrap/>
          </w:tcPr>
          <w:p w14:paraId="1FC0A0F0" w14:textId="77777777" w:rsidR="0094651F" w:rsidRPr="00BA7805" w:rsidRDefault="0094651F">
            <w:pPr>
              <w:pStyle w:val="ARfintablebodyright8pt"/>
              <w:rPr>
                <w:highlight w:val="green"/>
              </w:rPr>
            </w:pPr>
            <w:r w:rsidRPr="00367D51">
              <w:t>1,051.5</w:t>
            </w:r>
          </w:p>
        </w:tc>
        <w:tc>
          <w:tcPr>
            <w:tcW w:w="780" w:type="dxa"/>
            <w:tcBorders>
              <w:bottom w:val="single" w:sz="4" w:space="0" w:color="A6A6A6" w:themeColor="accent5"/>
            </w:tcBorders>
            <w:noWrap/>
          </w:tcPr>
          <w:p w14:paraId="3BEAD1DB" w14:textId="77777777" w:rsidR="0094651F" w:rsidRPr="00BA7805" w:rsidRDefault="0094651F">
            <w:pPr>
              <w:pStyle w:val="ARfintablebodyright8pt"/>
              <w:rPr>
                <w:highlight w:val="green"/>
              </w:rPr>
            </w:pPr>
            <w:r w:rsidRPr="00367D51">
              <w:t>63.1</w:t>
            </w:r>
          </w:p>
        </w:tc>
        <w:tc>
          <w:tcPr>
            <w:tcW w:w="778" w:type="dxa"/>
            <w:tcBorders>
              <w:bottom w:val="single" w:sz="4" w:space="0" w:color="A6A6A6" w:themeColor="accent5"/>
            </w:tcBorders>
            <w:noWrap/>
          </w:tcPr>
          <w:p w14:paraId="3A81A104" w14:textId="77777777" w:rsidR="0094651F" w:rsidRPr="00BA7805" w:rsidRDefault="0094651F">
            <w:pPr>
              <w:pStyle w:val="ARfintablebodyright8pt"/>
              <w:rPr>
                <w:highlight w:val="green"/>
              </w:rPr>
            </w:pPr>
            <w:r w:rsidRPr="00367D51">
              <w:t>10.9</w:t>
            </w:r>
          </w:p>
        </w:tc>
        <w:tc>
          <w:tcPr>
            <w:tcW w:w="779" w:type="dxa"/>
            <w:tcBorders>
              <w:bottom w:val="single" w:sz="4" w:space="0" w:color="A6A6A6" w:themeColor="accent5"/>
            </w:tcBorders>
            <w:noWrap/>
          </w:tcPr>
          <w:p w14:paraId="1A0AE3DB" w14:textId="77777777" w:rsidR="0094651F" w:rsidRPr="00BA7805" w:rsidRDefault="0094651F">
            <w:pPr>
              <w:pStyle w:val="ARfintablebodyright8pt"/>
              <w:rPr>
                <w:highlight w:val="green"/>
              </w:rPr>
            </w:pPr>
            <w:r w:rsidRPr="00367D51">
              <w:t>53.3</w:t>
            </w:r>
          </w:p>
        </w:tc>
        <w:tc>
          <w:tcPr>
            <w:tcW w:w="777" w:type="dxa"/>
            <w:tcBorders>
              <w:bottom w:val="single" w:sz="4" w:space="0" w:color="A6A6A6" w:themeColor="accent5"/>
            </w:tcBorders>
            <w:noWrap/>
          </w:tcPr>
          <w:p w14:paraId="2ED41463" w14:textId="77777777" w:rsidR="0094651F" w:rsidRPr="00BA7805" w:rsidRDefault="0094651F">
            <w:pPr>
              <w:pStyle w:val="ARfintablebodyright8pt"/>
              <w:rPr>
                <w:highlight w:val="green"/>
              </w:rPr>
            </w:pPr>
            <w:r w:rsidRPr="00367D51">
              <w:t>7.2</w:t>
            </w:r>
          </w:p>
        </w:tc>
        <w:tc>
          <w:tcPr>
            <w:tcW w:w="777" w:type="dxa"/>
            <w:tcBorders>
              <w:bottom w:val="single" w:sz="4" w:space="0" w:color="A6A6A6" w:themeColor="accent5"/>
            </w:tcBorders>
            <w:noWrap/>
          </w:tcPr>
          <w:p w14:paraId="191EECEA" w14:textId="77777777" w:rsidR="0094651F" w:rsidRPr="00BA7805" w:rsidRDefault="0094651F">
            <w:pPr>
              <w:pStyle w:val="ARfintablebodyright8pt"/>
              <w:rPr>
                <w:highlight w:val="green"/>
              </w:rPr>
            </w:pPr>
            <w:r w:rsidRPr="00367D51">
              <w:t>9.5</w:t>
            </w:r>
          </w:p>
        </w:tc>
        <w:tc>
          <w:tcPr>
            <w:tcW w:w="777" w:type="dxa"/>
            <w:tcBorders>
              <w:bottom w:val="single" w:sz="4" w:space="0" w:color="A6A6A6" w:themeColor="accent5"/>
            </w:tcBorders>
            <w:noWrap/>
          </w:tcPr>
          <w:p w14:paraId="52738368" w14:textId="77777777" w:rsidR="0094651F" w:rsidRPr="00BA7805" w:rsidRDefault="0094651F">
            <w:pPr>
              <w:pStyle w:val="ARfintablebodyright8pt"/>
              <w:rPr>
                <w:highlight w:val="green"/>
              </w:rPr>
            </w:pPr>
            <w:r w:rsidRPr="00367D51">
              <w:t>3.5</w:t>
            </w:r>
          </w:p>
        </w:tc>
        <w:tc>
          <w:tcPr>
            <w:tcW w:w="777" w:type="dxa"/>
            <w:tcBorders>
              <w:bottom w:val="single" w:sz="4" w:space="0" w:color="A6A6A6" w:themeColor="accent5"/>
            </w:tcBorders>
            <w:noWrap/>
          </w:tcPr>
          <w:p w14:paraId="348501AD" w14:textId="77777777" w:rsidR="0094651F" w:rsidRPr="00BA7805" w:rsidRDefault="0094651F">
            <w:pPr>
              <w:pStyle w:val="ARfintablebodyright8pt"/>
              <w:rPr>
                <w:highlight w:val="green"/>
              </w:rPr>
            </w:pPr>
            <w:r w:rsidRPr="00367D51">
              <w:t>13.2</w:t>
            </w:r>
          </w:p>
        </w:tc>
        <w:tc>
          <w:tcPr>
            <w:tcW w:w="778" w:type="dxa"/>
            <w:tcBorders>
              <w:bottom w:val="single" w:sz="4" w:space="0" w:color="A6A6A6" w:themeColor="accent5"/>
            </w:tcBorders>
            <w:noWrap/>
          </w:tcPr>
          <w:p w14:paraId="6D9E1BF7" w14:textId="77777777" w:rsidR="0094651F" w:rsidRPr="00BA7805" w:rsidRDefault="0094651F">
            <w:pPr>
              <w:pStyle w:val="ARfintablebodyright8pt"/>
              <w:rPr>
                <w:highlight w:val="green"/>
              </w:rPr>
            </w:pPr>
            <w:r w:rsidRPr="00367D51">
              <w:t>23.6</w:t>
            </w:r>
          </w:p>
        </w:tc>
        <w:tc>
          <w:tcPr>
            <w:tcW w:w="777" w:type="dxa"/>
            <w:tcBorders>
              <w:bottom w:val="single" w:sz="4" w:space="0" w:color="A6A6A6" w:themeColor="accent5"/>
            </w:tcBorders>
            <w:noWrap/>
          </w:tcPr>
          <w:p w14:paraId="65A3D5EE" w14:textId="77777777" w:rsidR="0094651F" w:rsidRPr="00BA7805" w:rsidRDefault="0094651F">
            <w:pPr>
              <w:pStyle w:val="ARfintablebodyright8pt"/>
              <w:rPr>
                <w:highlight w:val="green"/>
              </w:rPr>
            </w:pPr>
            <w:r w:rsidRPr="00367D51">
              <w:t>15.4</w:t>
            </w:r>
          </w:p>
        </w:tc>
        <w:tc>
          <w:tcPr>
            <w:tcW w:w="777" w:type="dxa"/>
            <w:tcBorders>
              <w:bottom w:val="single" w:sz="4" w:space="0" w:color="A6A6A6" w:themeColor="accent5"/>
            </w:tcBorders>
            <w:noWrap/>
          </w:tcPr>
          <w:p w14:paraId="5952E766" w14:textId="77777777" w:rsidR="0094651F" w:rsidRPr="00BA7805" w:rsidRDefault="0094651F">
            <w:pPr>
              <w:pStyle w:val="ARfintablebodyright8pt"/>
              <w:rPr>
                <w:highlight w:val="green"/>
              </w:rPr>
            </w:pPr>
            <w:r w:rsidRPr="00367D51">
              <w:t>606.3</w:t>
            </w:r>
          </w:p>
        </w:tc>
        <w:tc>
          <w:tcPr>
            <w:tcW w:w="777" w:type="dxa"/>
            <w:tcBorders>
              <w:bottom w:val="single" w:sz="4" w:space="0" w:color="A6A6A6" w:themeColor="accent5"/>
            </w:tcBorders>
            <w:noWrap/>
          </w:tcPr>
          <w:p w14:paraId="5C840906" w14:textId="77777777" w:rsidR="0094651F" w:rsidRPr="00BA7805" w:rsidRDefault="0094651F">
            <w:pPr>
              <w:pStyle w:val="ARfintablebodyright8pt"/>
              <w:rPr>
                <w:highlight w:val="green"/>
              </w:rPr>
            </w:pPr>
            <w:r>
              <w:t>811.2</w:t>
            </w:r>
          </w:p>
        </w:tc>
        <w:tc>
          <w:tcPr>
            <w:tcW w:w="981" w:type="dxa"/>
            <w:gridSpan w:val="2"/>
            <w:tcBorders>
              <w:bottom w:val="single" w:sz="4" w:space="0" w:color="A6A6A6" w:themeColor="accent5"/>
            </w:tcBorders>
            <w:noWrap/>
          </w:tcPr>
          <w:p w14:paraId="505B0445" w14:textId="77777777" w:rsidR="0094651F" w:rsidRPr="00BA7805" w:rsidRDefault="0094651F">
            <w:pPr>
              <w:pStyle w:val="ARfintablebodyright8pt"/>
              <w:rPr>
                <w:highlight w:val="green"/>
              </w:rPr>
            </w:pPr>
            <w:r w:rsidRPr="00367D51">
              <w:t>4,278.6</w:t>
            </w:r>
          </w:p>
        </w:tc>
      </w:tr>
      <w:tr w:rsidR="002B501C" w:rsidRPr="00BA7805" w14:paraId="2CF7391C" w14:textId="77777777" w:rsidTr="002B501C">
        <w:trPr>
          <w:trHeight w:val="170"/>
        </w:trPr>
        <w:tc>
          <w:tcPr>
            <w:tcW w:w="2647" w:type="dxa"/>
            <w:tcBorders>
              <w:top w:val="single" w:sz="4" w:space="0" w:color="A6A6A6" w:themeColor="accent5"/>
              <w:bottom w:val="single" w:sz="4" w:space="0" w:color="000000" w:themeColor="text1"/>
            </w:tcBorders>
          </w:tcPr>
          <w:p w14:paraId="28FB0BE5" w14:textId="77777777" w:rsidR="0094651F" w:rsidRPr="00963D90" w:rsidRDefault="0094651F">
            <w:pPr>
              <w:pStyle w:val="ARfintablebody8pt"/>
              <w:rPr>
                <w:highlight w:val="green"/>
              </w:rPr>
            </w:pPr>
            <w:r w:rsidRPr="00963D90">
              <w:t>Property management expenses</w:t>
            </w:r>
          </w:p>
        </w:tc>
        <w:tc>
          <w:tcPr>
            <w:tcW w:w="753" w:type="dxa"/>
            <w:tcBorders>
              <w:top w:val="single" w:sz="4" w:space="0" w:color="A6A6A6" w:themeColor="accent5"/>
              <w:bottom w:val="single" w:sz="4" w:space="0" w:color="000000" w:themeColor="text1"/>
            </w:tcBorders>
            <w:noWrap/>
          </w:tcPr>
          <w:p w14:paraId="42041AAC" w14:textId="77777777" w:rsidR="0094651F" w:rsidRPr="00BA7805" w:rsidRDefault="0094651F">
            <w:pPr>
              <w:pStyle w:val="ARfintablebodyright8pt"/>
              <w:rPr>
                <w:highlight w:val="green"/>
              </w:rPr>
            </w:pPr>
            <w:r w:rsidRPr="00367D51">
              <w:t>16.3</w:t>
            </w:r>
          </w:p>
        </w:tc>
        <w:tc>
          <w:tcPr>
            <w:tcW w:w="856" w:type="dxa"/>
            <w:tcBorders>
              <w:top w:val="single" w:sz="4" w:space="0" w:color="A6A6A6" w:themeColor="accent5"/>
              <w:bottom w:val="single" w:sz="4" w:space="0" w:color="000000" w:themeColor="text1"/>
            </w:tcBorders>
            <w:noWrap/>
          </w:tcPr>
          <w:p w14:paraId="32800117" w14:textId="77777777" w:rsidR="0094651F" w:rsidRPr="00BA7805" w:rsidRDefault="0094651F">
            <w:pPr>
              <w:pStyle w:val="ARfintablebodyright8pt"/>
              <w:rPr>
                <w:highlight w:val="green"/>
              </w:rPr>
            </w:pPr>
            <w:r w:rsidRPr="00367D51">
              <w:t>9.4</w:t>
            </w:r>
          </w:p>
        </w:tc>
        <w:tc>
          <w:tcPr>
            <w:tcW w:w="779" w:type="dxa"/>
            <w:tcBorders>
              <w:top w:val="single" w:sz="4" w:space="0" w:color="A6A6A6" w:themeColor="accent5"/>
              <w:bottom w:val="single" w:sz="4" w:space="0" w:color="000000" w:themeColor="text1"/>
            </w:tcBorders>
            <w:noWrap/>
          </w:tcPr>
          <w:p w14:paraId="73B6A991" w14:textId="77777777" w:rsidR="0094651F" w:rsidRPr="00BA7805" w:rsidRDefault="0094651F">
            <w:pPr>
              <w:pStyle w:val="ARfintablebodyright8pt"/>
              <w:rPr>
                <w:highlight w:val="green"/>
              </w:rPr>
            </w:pPr>
            <w:r>
              <w:t>–</w:t>
            </w:r>
          </w:p>
        </w:tc>
        <w:tc>
          <w:tcPr>
            <w:tcW w:w="780" w:type="dxa"/>
            <w:tcBorders>
              <w:top w:val="single" w:sz="4" w:space="0" w:color="A6A6A6" w:themeColor="accent5"/>
              <w:bottom w:val="single" w:sz="4" w:space="0" w:color="000000" w:themeColor="text1"/>
            </w:tcBorders>
            <w:noWrap/>
          </w:tcPr>
          <w:p w14:paraId="41941431" w14:textId="77777777" w:rsidR="0094651F" w:rsidRPr="00BA7805" w:rsidRDefault="0094651F">
            <w:pPr>
              <w:pStyle w:val="ARfintablebodyright8pt"/>
              <w:rPr>
                <w:highlight w:val="green"/>
              </w:rPr>
            </w:pPr>
            <w:r>
              <w:t>–</w:t>
            </w:r>
          </w:p>
        </w:tc>
        <w:tc>
          <w:tcPr>
            <w:tcW w:w="778" w:type="dxa"/>
            <w:tcBorders>
              <w:top w:val="single" w:sz="4" w:space="0" w:color="A6A6A6" w:themeColor="accent5"/>
              <w:bottom w:val="single" w:sz="4" w:space="0" w:color="000000" w:themeColor="text1"/>
            </w:tcBorders>
            <w:noWrap/>
          </w:tcPr>
          <w:p w14:paraId="68D760A8" w14:textId="77777777" w:rsidR="0094651F" w:rsidRPr="00BA7805" w:rsidRDefault="0094651F">
            <w:pPr>
              <w:pStyle w:val="ARfintablebodyright8pt"/>
              <w:rPr>
                <w:highlight w:val="green"/>
              </w:rPr>
            </w:pPr>
            <w:r>
              <w:t>–</w:t>
            </w:r>
          </w:p>
        </w:tc>
        <w:tc>
          <w:tcPr>
            <w:tcW w:w="779" w:type="dxa"/>
            <w:tcBorders>
              <w:top w:val="single" w:sz="4" w:space="0" w:color="A6A6A6" w:themeColor="accent5"/>
              <w:bottom w:val="single" w:sz="4" w:space="0" w:color="000000" w:themeColor="text1"/>
            </w:tcBorders>
            <w:noWrap/>
          </w:tcPr>
          <w:p w14:paraId="29A40A77"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15322D42"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40FEEF07"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0F24C646" w14:textId="77777777" w:rsidR="0094651F" w:rsidRPr="00BA7805" w:rsidRDefault="0094651F">
            <w:pPr>
              <w:pStyle w:val="ARfintablebodyright8pt"/>
              <w:rPr>
                <w:highlight w:val="green"/>
              </w:rPr>
            </w:pPr>
            <w:r w:rsidRPr="00367D51">
              <w:t>0.9</w:t>
            </w:r>
          </w:p>
        </w:tc>
        <w:tc>
          <w:tcPr>
            <w:tcW w:w="777" w:type="dxa"/>
            <w:tcBorders>
              <w:top w:val="single" w:sz="4" w:space="0" w:color="A6A6A6" w:themeColor="accent5"/>
              <w:bottom w:val="single" w:sz="4" w:space="0" w:color="000000" w:themeColor="text1"/>
            </w:tcBorders>
            <w:noWrap/>
          </w:tcPr>
          <w:p w14:paraId="10D72008" w14:textId="77777777" w:rsidR="0094651F" w:rsidRPr="00BA7805" w:rsidRDefault="0094651F">
            <w:pPr>
              <w:pStyle w:val="ARfintablebodyright8pt"/>
              <w:rPr>
                <w:highlight w:val="green"/>
              </w:rPr>
            </w:pPr>
            <w:r>
              <w:t>–</w:t>
            </w:r>
          </w:p>
        </w:tc>
        <w:tc>
          <w:tcPr>
            <w:tcW w:w="778" w:type="dxa"/>
            <w:tcBorders>
              <w:top w:val="single" w:sz="4" w:space="0" w:color="A6A6A6" w:themeColor="accent5"/>
              <w:bottom w:val="single" w:sz="4" w:space="0" w:color="000000" w:themeColor="text1"/>
            </w:tcBorders>
            <w:noWrap/>
          </w:tcPr>
          <w:p w14:paraId="27F49A04"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6DC54D63"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4536C92C"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61D080B6" w14:textId="77777777" w:rsidR="0094651F" w:rsidRPr="00BA7805" w:rsidRDefault="0094651F">
            <w:pPr>
              <w:pStyle w:val="ARfintablebodyright8pt"/>
              <w:rPr>
                <w:highlight w:val="green"/>
              </w:rPr>
            </w:pPr>
            <w:r w:rsidRPr="00367D51">
              <w:t>526.2</w:t>
            </w:r>
          </w:p>
        </w:tc>
        <w:tc>
          <w:tcPr>
            <w:tcW w:w="981" w:type="dxa"/>
            <w:gridSpan w:val="2"/>
            <w:tcBorders>
              <w:top w:val="single" w:sz="4" w:space="0" w:color="A6A6A6" w:themeColor="accent5"/>
              <w:bottom w:val="single" w:sz="4" w:space="0" w:color="000000" w:themeColor="text1"/>
            </w:tcBorders>
            <w:noWrap/>
          </w:tcPr>
          <w:p w14:paraId="16E6BD42" w14:textId="77777777" w:rsidR="0094651F" w:rsidRPr="00BA7805" w:rsidRDefault="0094651F">
            <w:pPr>
              <w:pStyle w:val="ARfintablebodyright8pt"/>
              <w:rPr>
                <w:highlight w:val="green"/>
              </w:rPr>
            </w:pPr>
            <w:r w:rsidRPr="00367D51">
              <w:t>552.8</w:t>
            </w:r>
          </w:p>
        </w:tc>
      </w:tr>
      <w:tr w:rsidR="002B501C" w:rsidRPr="00BA7805" w14:paraId="1C7383B6" w14:textId="77777777" w:rsidTr="002B501C">
        <w:trPr>
          <w:trHeight w:val="170"/>
        </w:trPr>
        <w:tc>
          <w:tcPr>
            <w:tcW w:w="2647" w:type="dxa"/>
            <w:tcBorders>
              <w:top w:val="single" w:sz="4" w:space="0" w:color="000000" w:themeColor="text1"/>
              <w:bottom w:val="single" w:sz="4" w:space="0" w:color="000000" w:themeColor="text1"/>
            </w:tcBorders>
          </w:tcPr>
          <w:p w14:paraId="2356C07D" w14:textId="77777777" w:rsidR="0094651F" w:rsidRPr="00963D90" w:rsidRDefault="0094651F">
            <w:pPr>
              <w:pStyle w:val="ARfintablebodybold8pt"/>
              <w:rPr>
                <w:highlight w:val="green"/>
              </w:rPr>
            </w:pPr>
            <w:r w:rsidRPr="00963D90">
              <w:t>Total expenses from</w:t>
            </w:r>
            <w:r>
              <w:t> </w:t>
            </w:r>
            <w:r w:rsidRPr="00963D90">
              <w:t>transactions</w:t>
            </w:r>
          </w:p>
        </w:tc>
        <w:tc>
          <w:tcPr>
            <w:tcW w:w="753" w:type="dxa"/>
            <w:tcBorders>
              <w:top w:val="single" w:sz="4" w:space="0" w:color="000000" w:themeColor="text1"/>
              <w:bottom w:val="single" w:sz="4" w:space="0" w:color="000000" w:themeColor="text1"/>
            </w:tcBorders>
            <w:noWrap/>
          </w:tcPr>
          <w:p w14:paraId="522342AB" w14:textId="77777777" w:rsidR="0094651F" w:rsidRPr="00BA7805" w:rsidRDefault="0094651F">
            <w:pPr>
              <w:pStyle w:val="ARfintablebodyrightbold8pt"/>
              <w:rPr>
                <w:highlight w:val="green"/>
              </w:rPr>
            </w:pPr>
            <w:r>
              <w:t>453.3</w:t>
            </w:r>
          </w:p>
        </w:tc>
        <w:tc>
          <w:tcPr>
            <w:tcW w:w="856" w:type="dxa"/>
            <w:tcBorders>
              <w:top w:val="single" w:sz="4" w:space="0" w:color="000000" w:themeColor="text1"/>
              <w:bottom w:val="single" w:sz="4" w:space="0" w:color="000000" w:themeColor="text1"/>
            </w:tcBorders>
            <w:noWrap/>
          </w:tcPr>
          <w:p w14:paraId="2DC169FF" w14:textId="77777777" w:rsidR="0094651F" w:rsidRPr="00BA7805" w:rsidRDefault="0094651F">
            <w:pPr>
              <w:pStyle w:val="ARfintablebodyrightbold8pt"/>
              <w:rPr>
                <w:highlight w:val="green"/>
              </w:rPr>
            </w:pPr>
            <w:r w:rsidRPr="00367D51">
              <w:t>2,500.0</w:t>
            </w:r>
          </w:p>
        </w:tc>
        <w:tc>
          <w:tcPr>
            <w:tcW w:w="779" w:type="dxa"/>
            <w:tcBorders>
              <w:top w:val="single" w:sz="4" w:space="0" w:color="000000" w:themeColor="text1"/>
              <w:bottom w:val="single" w:sz="4" w:space="0" w:color="000000" w:themeColor="text1"/>
            </w:tcBorders>
            <w:noWrap/>
          </w:tcPr>
          <w:p w14:paraId="700C273D" w14:textId="77777777" w:rsidR="0094651F" w:rsidRPr="00BA7805" w:rsidRDefault="0094651F">
            <w:pPr>
              <w:pStyle w:val="ARfintablebodyrightbold8pt"/>
              <w:rPr>
                <w:highlight w:val="green"/>
              </w:rPr>
            </w:pPr>
            <w:r w:rsidRPr="00367D51">
              <w:t>1,071.1</w:t>
            </w:r>
          </w:p>
        </w:tc>
        <w:tc>
          <w:tcPr>
            <w:tcW w:w="780" w:type="dxa"/>
            <w:tcBorders>
              <w:top w:val="single" w:sz="4" w:space="0" w:color="000000" w:themeColor="text1"/>
              <w:bottom w:val="single" w:sz="4" w:space="0" w:color="000000" w:themeColor="text1"/>
            </w:tcBorders>
            <w:noWrap/>
          </w:tcPr>
          <w:p w14:paraId="1D4A3391" w14:textId="77777777" w:rsidR="0094651F" w:rsidRPr="00BA7805" w:rsidRDefault="0094651F">
            <w:pPr>
              <w:pStyle w:val="ARfintablebodyrightbold8pt"/>
              <w:rPr>
                <w:highlight w:val="green"/>
              </w:rPr>
            </w:pPr>
            <w:r w:rsidRPr="00367D51">
              <w:t>70.1</w:t>
            </w:r>
          </w:p>
        </w:tc>
        <w:tc>
          <w:tcPr>
            <w:tcW w:w="778" w:type="dxa"/>
            <w:tcBorders>
              <w:top w:val="single" w:sz="4" w:space="0" w:color="000000" w:themeColor="text1"/>
              <w:bottom w:val="single" w:sz="4" w:space="0" w:color="000000" w:themeColor="text1"/>
            </w:tcBorders>
            <w:noWrap/>
          </w:tcPr>
          <w:p w14:paraId="42A90470" w14:textId="77777777" w:rsidR="0094651F" w:rsidRPr="00BA7805" w:rsidRDefault="0094651F">
            <w:pPr>
              <w:pStyle w:val="ARfintablebodyrightbold8pt"/>
              <w:rPr>
                <w:highlight w:val="green"/>
              </w:rPr>
            </w:pPr>
            <w:r w:rsidRPr="00367D51">
              <w:t>12.7</w:t>
            </w:r>
          </w:p>
        </w:tc>
        <w:tc>
          <w:tcPr>
            <w:tcW w:w="779" w:type="dxa"/>
            <w:tcBorders>
              <w:top w:val="single" w:sz="4" w:space="0" w:color="000000" w:themeColor="text1"/>
              <w:bottom w:val="single" w:sz="4" w:space="0" w:color="000000" w:themeColor="text1"/>
            </w:tcBorders>
            <w:noWrap/>
          </w:tcPr>
          <w:p w14:paraId="691C1075" w14:textId="77777777" w:rsidR="0094651F" w:rsidRPr="00BA7805" w:rsidRDefault="0094651F">
            <w:pPr>
              <w:pStyle w:val="ARfintablebodyrightbold8pt"/>
              <w:rPr>
                <w:highlight w:val="green"/>
              </w:rPr>
            </w:pPr>
            <w:r w:rsidRPr="00367D51">
              <w:t>60.9</w:t>
            </w:r>
          </w:p>
        </w:tc>
        <w:tc>
          <w:tcPr>
            <w:tcW w:w="777" w:type="dxa"/>
            <w:tcBorders>
              <w:top w:val="single" w:sz="4" w:space="0" w:color="000000" w:themeColor="text1"/>
              <w:bottom w:val="single" w:sz="4" w:space="0" w:color="000000" w:themeColor="text1"/>
            </w:tcBorders>
            <w:noWrap/>
          </w:tcPr>
          <w:p w14:paraId="74B03530" w14:textId="77777777" w:rsidR="0094651F" w:rsidRPr="00BA7805" w:rsidRDefault="0094651F">
            <w:pPr>
              <w:pStyle w:val="ARfintablebodyrightbold8pt"/>
              <w:rPr>
                <w:highlight w:val="green"/>
              </w:rPr>
            </w:pPr>
            <w:r w:rsidRPr="00367D51">
              <w:t>10.9</w:t>
            </w:r>
          </w:p>
        </w:tc>
        <w:tc>
          <w:tcPr>
            <w:tcW w:w="777" w:type="dxa"/>
            <w:tcBorders>
              <w:top w:val="single" w:sz="4" w:space="0" w:color="000000" w:themeColor="text1"/>
              <w:bottom w:val="single" w:sz="4" w:space="0" w:color="000000" w:themeColor="text1"/>
            </w:tcBorders>
            <w:noWrap/>
          </w:tcPr>
          <w:p w14:paraId="26F566BA" w14:textId="77777777" w:rsidR="0094651F" w:rsidRPr="00BA7805" w:rsidRDefault="0094651F">
            <w:pPr>
              <w:pStyle w:val="ARfintablebodyrightbold8pt"/>
              <w:rPr>
                <w:highlight w:val="green"/>
              </w:rPr>
            </w:pPr>
            <w:r w:rsidRPr="00367D51">
              <w:t>12.1</w:t>
            </w:r>
          </w:p>
        </w:tc>
        <w:tc>
          <w:tcPr>
            <w:tcW w:w="777" w:type="dxa"/>
            <w:tcBorders>
              <w:top w:val="single" w:sz="4" w:space="0" w:color="000000" w:themeColor="text1"/>
              <w:bottom w:val="single" w:sz="4" w:space="0" w:color="000000" w:themeColor="text1"/>
            </w:tcBorders>
            <w:noWrap/>
          </w:tcPr>
          <w:p w14:paraId="2F72C3D0" w14:textId="77777777" w:rsidR="0094651F" w:rsidRPr="00BA7805" w:rsidRDefault="0094651F">
            <w:pPr>
              <w:pStyle w:val="ARfintablebodyrightbold8pt"/>
              <w:rPr>
                <w:highlight w:val="green"/>
              </w:rPr>
            </w:pPr>
            <w:r w:rsidRPr="00367D51">
              <w:t>13.9</w:t>
            </w:r>
          </w:p>
        </w:tc>
        <w:tc>
          <w:tcPr>
            <w:tcW w:w="777" w:type="dxa"/>
            <w:tcBorders>
              <w:top w:val="single" w:sz="4" w:space="0" w:color="000000" w:themeColor="text1"/>
              <w:bottom w:val="single" w:sz="4" w:space="0" w:color="000000" w:themeColor="text1"/>
            </w:tcBorders>
            <w:noWrap/>
          </w:tcPr>
          <w:p w14:paraId="60CEDF06" w14:textId="77777777" w:rsidR="0094651F" w:rsidRPr="00BA7805" w:rsidRDefault="0094651F">
            <w:pPr>
              <w:pStyle w:val="ARfintablebodyrightbold8pt"/>
              <w:rPr>
                <w:highlight w:val="green"/>
              </w:rPr>
            </w:pPr>
            <w:r w:rsidRPr="00367D51">
              <w:t>27.0</w:t>
            </w:r>
          </w:p>
        </w:tc>
        <w:tc>
          <w:tcPr>
            <w:tcW w:w="778" w:type="dxa"/>
            <w:tcBorders>
              <w:top w:val="single" w:sz="4" w:space="0" w:color="000000" w:themeColor="text1"/>
              <w:bottom w:val="single" w:sz="4" w:space="0" w:color="000000" w:themeColor="text1"/>
            </w:tcBorders>
            <w:noWrap/>
          </w:tcPr>
          <w:p w14:paraId="7B4EC88F" w14:textId="77777777" w:rsidR="0094651F" w:rsidRPr="00BA7805" w:rsidRDefault="0094651F">
            <w:pPr>
              <w:pStyle w:val="ARfintablebodyrightbold8pt"/>
              <w:rPr>
                <w:highlight w:val="green"/>
              </w:rPr>
            </w:pPr>
            <w:r w:rsidRPr="00367D51">
              <w:t>28.2</w:t>
            </w:r>
          </w:p>
        </w:tc>
        <w:tc>
          <w:tcPr>
            <w:tcW w:w="777" w:type="dxa"/>
            <w:tcBorders>
              <w:top w:val="single" w:sz="4" w:space="0" w:color="000000" w:themeColor="text1"/>
              <w:bottom w:val="single" w:sz="4" w:space="0" w:color="000000" w:themeColor="text1"/>
            </w:tcBorders>
            <w:noWrap/>
          </w:tcPr>
          <w:p w14:paraId="18711EEC" w14:textId="77777777" w:rsidR="0094651F" w:rsidRPr="00BA7805" w:rsidRDefault="0094651F">
            <w:pPr>
              <w:pStyle w:val="ARfintablebodyrightbold8pt"/>
              <w:rPr>
                <w:highlight w:val="green"/>
              </w:rPr>
            </w:pPr>
            <w:r w:rsidRPr="00367D51">
              <w:t>26.5</w:t>
            </w:r>
          </w:p>
        </w:tc>
        <w:tc>
          <w:tcPr>
            <w:tcW w:w="777" w:type="dxa"/>
            <w:tcBorders>
              <w:top w:val="single" w:sz="4" w:space="0" w:color="000000" w:themeColor="text1"/>
              <w:bottom w:val="single" w:sz="4" w:space="0" w:color="000000" w:themeColor="text1"/>
            </w:tcBorders>
            <w:noWrap/>
          </w:tcPr>
          <w:p w14:paraId="46BBF8B5" w14:textId="77777777" w:rsidR="0094651F" w:rsidRPr="00BA7805" w:rsidRDefault="0094651F">
            <w:pPr>
              <w:pStyle w:val="ARfintablebodyrightbold8pt"/>
              <w:rPr>
                <w:highlight w:val="green"/>
              </w:rPr>
            </w:pPr>
            <w:r w:rsidRPr="00367D51">
              <w:t>726.5</w:t>
            </w:r>
          </w:p>
        </w:tc>
        <w:tc>
          <w:tcPr>
            <w:tcW w:w="777" w:type="dxa"/>
            <w:tcBorders>
              <w:top w:val="single" w:sz="4" w:space="0" w:color="000000" w:themeColor="text1"/>
              <w:bottom w:val="single" w:sz="4" w:space="0" w:color="000000" w:themeColor="text1"/>
            </w:tcBorders>
            <w:noWrap/>
          </w:tcPr>
          <w:p w14:paraId="344121B4" w14:textId="77777777" w:rsidR="0094651F" w:rsidRPr="00BA7805" w:rsidRDefault="0094651F">
            <w:pPr>
              <w:pStyle w:val="ARfintablebodyrightbold8pt"/>
              <w:rPr>
                <w:highlight w:val="green"/>
              </w:rPr>
            </w:pPr>
            <w:r>
              <w:t>1,986.3</w:t>
            </w:r>
          </w:p>
        </w:tc>
        <w:tc>
          <w:tcPr>
            <w:tcW w:w="981" w:type="dxa"/>
            <w:gridSpan w:val="2"/>
            <w:tcBorders>
              <w:top w:val="single" w:sz="4" w:space="0" w:color="000000" w:themeColor="text1"/>
              <w:bottom w:val="single" w:sz="4" w:space="0" w:color="000000" w:themeColor="text1"/>
            </w:tcBorders>
            <w:noWrap/>
          </w:tcPr>
          <w:p w14:paraId="41B6CA16" w14:textId="77777777" w:rsidR="0094651F" w:rsidRPr="00BA7805" w:rsidRDefault="0094651F">
            <w:pPr>
              <w:pStyle w:val="ARfintablebodyrightbold8pt"/>
              <w:rPr>
                <w:highlight w:val="green"/>
              </w:rPr>
            </w:pPr>
            <w:r w:rsidRPr="00367D51">
              <w:t>6,999.7</w:t>
            </w:r>
          </w:p>
        </w:tc>
      </w:tr>
      <w:tr w:rsidR="002B501C" w:rsidRPr="00BA7805" w14:paraId="35DCE484" w14:textId="77777777" w:rsidTr="002B501C">
        <w:trPr>
          <w:trHeight w:val="170"/>
        </w:trPr>
        <w:tc>
          <w:tcPr>
            <w:tcW w:w="2647" w:type="dxa"/>
            <w:tcBorders>
              <w:top w:val="single" w:sz="4" w:space="0" w:color="000000" w:themeColor="text1"/>
              <w:bottom w:val="single" w:sz="4" w:space="0" w:color="000000" w:themeColor="text1"/>
            </w:tcBorders>
          </w:tcPr>
          <w:p w14:paraId="1690AF2B" w14:textId="77777777" w:rsidR="0094651F" w:rsidRPr="00963D90" w:rsidRDefault="0094651F">
            <w:pPr>
              <w:pStyle w:val="ARfintablebodybold8pt"/>
              <w:rPr>
                <w:highlight w:val="green"/>
              </w:rPr>
            </w:pPr>
            <w:r w:rsidRPr="00963D90">
              <w:t>Net result from transactions (net operating balance)</w:t>
            </w:r>
          </w:p>
        </w:tc>
        <w:tc>
          <w:tcPr>
            <w:tcW w:w="753" w:type="dxa"/>
            <w:tcBorders>
              <w:top w:val="single" w:sz="4" w:space="0" w:color="000000" w:themeColor="text1"/>
              <w:bottom w:val="single" w:sz="4" w:space="0" w:color="000000" w:themeColor="text1"/>
            </w:tcBorders>
            <w:noWrap/>
          </w:tcPr>
          <w:p w14:paraId="479CB420" w14:textId="77777777" w:rsidR="0094651F" w:rsidRPr="00BA7805" w:rsidRDefault="0094651F">
            <w:pPr>
              <w:pStyle w:val="ARfintablebodyrightbold8pt"/>
              <w:rPr>
                <w:highlight w:val="green"/>
              </w:rPr>
            </w:pPr>
            <w:r w:rsidRPr="00367D51">
              <w:t>(43.9)</w:t>
            </w:r>
          </w:p>
        </w:tc>
        <w:tc>
          <w:tcPr>
            <w:tcW w:w="856" w:type="dxa"/>
            <w:tcBorders>
              <w:top w:val="single" w:sz="4" w:space="0" w:color="000000" w:themeColor="text1"/>
              <w:bottom w:val="single" w:sz="4" w:space="0" w:color="000000" w:themeColor="text1"/>
            </w:tcBorders>
            <w:noWrap/>
          </w:tcPr>
          <w:p w14:paraId="61B70F9B" w14:textId="77777777" w:rsidR="0094651F" w:rsidRPr="00BA7805" w:rsidRDefault="0094651F">
            <w:pPr>
              <w:pStyle w:val="ARfintablebodyrightbold8pt"/>
              <w:rPr>
                <w:highlight w:val="green"/>
              </w:rPr>
            </w:pPr>
            <w:r w:rsidRPr="00367D51">
              <w:t>(121.1)</w:t>
            </w:r>
          </w:p>
        </w:tc>
        <w:tc>
          <w:tcPr>
            <w:tcW w:w="779" w:type="dxa"/>
            <w:tcBorders>
              <w:top w:val="single" w:sz="4" w:space="0" w:color="000000" w:themeColor="text1"/>
              <w:bottom w:val="single" w:sz="4" w:space="0" w:color="000000" w:themeColor="text1"/>
            </w:tcBorders>
            <w:noWrap/>
          </w:tcPr>
          <w:p w14:paraId="46DEA14C" w14:textId="77777777" w:rsidR="0094651F" w:rsidRPr="00BA7805" w:rsidRDefault="0094651F">
            <w:pPr>
              <w:pStyle w:val="ARfintablebodyrightbold8pt"/>
              <w:rPr>
                <w:highlight w:val="green"/>
              </w:rPr>
            </w:pPr>
            <w:r w:rsidRPr="00367D51">
              <w:t>(4.4)</w:t>
            </w:r>
          </w:p>
        </w:tc>
        <w:tc>
          <w:tcPr>
            <w:tcW w:w="780" w:type="dxa"/>
            <w:tcBorders>
              <w:top w:val="single" w:sz="4" w:space="0" w:color="000000" w:themeColor="text1"/>
              <w:bottom w:val="single" w:sz="4" w:space="0" w:color="000000" w:themeColor="text1"/>
            </w:tcBorders>
            <w:noWrap/>
          </w:tcPr>
          <w:p w14:paraId="65DEC157" w14:textId="77777777" w:rsidR="0094651F" w:rsidRPr="00BA7805" w:rsidRDefault="0094651F">
            <w:pPr>
              <w:pStyle w:val="ARfintablebodyrightbold8pt"/>
              <w:rPr>
                <w:highlight w:val="green"/>
              </w:rPr>
            </w:pPr>
            <w:r>
              <w:t>–</w:t>
            </w:r>
          </w:p>
        </w:tc>
        <w:tc>
          <w:tcPr>
            <w:tcW w:w="778" w:type="dxa"/>
            <w:tcBorders>
              <w:top w:val="single" w:sz="4" w:space="0" w:color="000000" w:themeColor="text1"/>
              <w:bottom w:val="single" w:sz="4" w:space="0" w:color="000000" w:themeColor="text1"/>
            </w:tcBorders>
            <w:noWrap/>
          </w:tcPr>
          <w:p w14:paraId="2DAC138D" w14:textId="77777777" w:rsidR="0094651F" w:rsidRPr="00BA7805" w:rsidRDefault="0094651F">
            <w:pPr>
              <w:pStyle w:val="ARfintablebodyrightbold8pt"/>
              <w:rPr>
                <w:highlight w:val="green"/>
              </w:rPr>
            </w:pPr>
            <w:r w:rsidRPr="00367D51">
              <w:t>0.6</w:t>
            </w:r>
          </w:p>
        </w:tc>
        <w:tc>
          <w:tcPr>
            <w:tcW w:w="779" w:type="dxa"/>
            <w:tcBorders>
              <w:top w:val="single" w:sz="4" w:space="0" w:color="000000" w:themeColor="text1"/>
              <w:bottom w:val="single" w:sz="4" w:space="0" w:color="000000" w:themeColor="text1"/>
            </w:tcBorders>
            <w:noWrap/>
          </w:tcPr>
          <w:p w14:paraId="3D76E61C" w14:textId="77777777" w:rsidR="0094651F" w:rsidRPr="00BA7805" w:rsidRDefault="0094651F">
            <w:pPr>
              <w:pStyle w:val="ARfintablebodyrightbold8pt"/>
              <w:rPr>
                <w:highlight w:val="green"/>
              </w:rPr>
            </w:pPr>
            <w:r w:rsidRPr="00367D51">
              <w:t>(1.3)</w:t>
            </w:r>
          </w:p>
        </w:tc>
        <w:tc>
          <w:tcPr>
            <w:tcW w:w="777" w:type="dxa"/>
            <w:tcBorders>
              <w:top w:val="single" w:sz="4" w:space="0" w:color="000000" w:themeColor="text1"/>
              <w:bottom w:val="single" w:sz="4" w:space="0" w:color="000000" w:themeColor="text1"/>
            </w:tcBorders>
            <w:noWrap/>
          </w:tcPr>
          <w:p w14:paraId="15668A81"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19DC3189"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2F6510DD" w14:textId="77777777" w:rsidR="0094651F" w:rsidRPr="00BA7805" w:rsidRDefault="0094651F">
            <w:pPr>
              <w:pStyle w:val="ARfintablebodyrightbold8pt"/>
              <w:rPr>
                <w:highlight w:val="green"/>
              </w:rPr>
            </w:pPr>
            <w:r w:rsidRPr="00367D51">
              <w:t>(0.1)</w:t>
            </w:r>
          </w:p>
        </w:tc>
        <w:tc>
          <w:tcPr>
            <w:tcW w:w="777" w:type="dxa"/>
            <w:tcBorders>
              <w:top w:val="single" w:sz="4" w:space="0" w:color="000000" w:themeColor="text1"/>
              <w:bottom w:val="single" w:sz="4" w:space="0" w:color="000000" w:themeColor="text1"/>
            </w:tcBorders>
            <w:noWrap/>
          </w:tcPr>
          <w:p w14:paraId="5344BBAF" w14:textId="77777777" w:rsidR="0094651F" w:rsidRPr="00BA7805" w:rsidRDefault="0094651F">
            <w:pPr>
              <w:pStyle w:val="ARfintablebodyrightbold8pt"/>
              <w:rPr>
                <w:highlight w:val="green"/>
              </w:rPr>
            </w:pPr>
            <w:r w:rsidRPr="00367D51">
              <w:t>2.2</w:t>
            </w:r>
          </w:p>
        </w:tc>
        <w:tc>
          <w:tcPr>
            <w:tcW w:w="778" w:type="dxa"/>
            <w:tcBorders>
              <w:top w:val="single" w:sz="4" w:space="0" w:color="000000" w:themeColor="text1"/>
              <w:bottom w:val="single" w:sz="4" w:space="0" w:color="000000" w:themeColor="text1"/>
            </w:tcBorders>
            <w:noWrap/>
          </w:tcPr>
          <w:p w14:paraId="0EE11AC5" w14:textId="77777777" w:rsidR="0094651F" w:rsidRPr="00BA7805" w:rsidRDefault="0094651F">
            <w:pPr>
              <w:pStyle w:val="ARfintablebodyrightbold8pt"/>
              <w:rPr>
                <w:highlight w:val="green"/>
              </w:rPr>
            </w:pPr>
            <w:r w:rsidRPr="00367D51">
              <w:t>(0.2)</w:t>
            </w:r>
          </w:p>
        </w:tc>
        <w:tc>
          <w:tcPr>
            <w:tcW w:w="777" w:type="dxa"/>
            <w:tcBorders>
              <w:top w:val="single" w:sz="4" w:space="0" w:color="000000" w:themeColor="text1"/>
              <w:bottom w:val="single" w:sz="4" w:space="0" w:color="000000" w:themeColor="text1"/>
            </w:tcBorders>
            <w:noWrap/>
          </w:tcPr>
          <w:p w14:paraId="6CCCA425" w14:textId="77777777" w:rsidR="0094651F" w:rsidRPr="00BA7805" w:rsidRDefault="0094651F">
            <w:pPr>
              <w:pStyle w:val="ARfintablebodyrightbold8pt"/>
              <w:rPr>
                <w:highlight w:val="green"/>
              </w:rPr>
            </w:pPr>
            <w:r w:rsidRPr="00367D51">
              <w:t>(1.1)</w:t>
            </w:r>
          </w:p>
        </w:tc>
        <w:tc>
          <w:tcPr>
            <w:tcW w:w="777" w:type="dxa"/>
            <w:tcBorders>
              <w:top w:val="single" w:sz="4" w:space="0" w:color="000000" w:themeColor="text1"/>
              <w:bottom w:val="single" w:sz="4" w:space="0" w:color="000000" w:themeColor="text1"/>
            </w:tcBorders>
            <w:noWrap/>
          </w:tcPr>
          <w:p w14:paraId="01C22292" w14:textId="77777777" w:rsidR="0094651F" w:rsidRPr="00BA7805" w:rsidRDefault="0094651F">
            <w:pPr>
              <w:pStyle w:val="ARfintablebodyrightbold8pt"/>
              <w:rPr>
                <w:highlight w:val="green"/>
              </w:rPr>
            </w:pPr>
            <w:r w:rsidRPr="00367D51">
              <w:t>(3.8)</w:t>
            </w:r>
          </w:p>
        </w:tc>
        <w:tc>
          <w:tcPr>
            <w:tcW w:w="777" w:type="dxa"/>
            <w:tcBorders>
              <w:top w:val="single" w:sz="4" w:space="0" w:color="000000" w:themeColor="text1"/>
              <w:bottom w:val="single" w:sz="4" w:space="0" w:color="000000" w:themeColor="text1"/>
            </w:tcBorders>
            <w:noWrap/>
          </w:tcPr>
          <w:p w14:paraId="0FB4E9B9" w14:textId="77777777" w:rsidR="0094651F" w:rsidRPr="00BA7805" w:rsidRDefault="0094651F">
            <w:pPr>
              <w:pStyle w:val="ARfintablebodyrightbold8pt"/>
              <w:rPr>
                <w:highlight w:val="green"/>
              </w:rPr>
            </w:pPr>
            <w:r w:rsidRPr="00367D51">
              <w:t>(428.6)</w:t>
            </w:r>
          </w:p>
        </w:tc>
        <w:tc>
          <w:tcPr>
            <w:tcW w:w="981" w:type="dxa"/>
            <w:gridSpan w:val="2"/>
            <w:tcBorders>
              <w:top w:val="single" w:sz="4" w:space="0" w:color="000000" w:themeColor="text1"/>
              <w:bottom w:val="single" w:sz="4" w:space="0" w:color="000000" w:themeColor="text1"/>
            </w:tcBorders>
            <w:noWrap/>
          </w:tcPr>
          <w:p w14:paraId="2A7717E8" w14:textId="77777777" w:rsidR="0094651F" w:rsidRPr="00BA7805" w:rsidRDefault="0094651F">
            <w:pPr>
              <w:pStyle w:val="ARfintablebodyrightbold8pt"/>
              <w:rPr>
                <w:highlight w:val="green"/>
              </w:rPr>
            </w:pPr>
            <w:r w:rsidRPr="00367D51">
              <w:t>(601.7)</w:t>
            </w:r>
          </w:p>
        </w:tc>
      </w:tr>
      <w:tr w:rsidR="0094651F" w:rsidRPr="00367D51" w14:paraId="0369DC49" w14:textId="77777777" w:rsidTr="002B501C">
        <w:trPr>
          <w:trHeight w:val="170"/>
        </w:trPr>
        <w:tc>
          <w:tcPr>
            <w:tcW w:w="5035" w:type="dxa"/>
            <w:gridSpan w:val="4"/>
            <w:tcBorders>
              <w:top w:val="single" w:sz="4" w:space="0" w:color="000000" w:themeColor="text1"/>
              <w:bottom w:val="single" w:sz="4" w:space="0" w:color="000000" w:themeColor="text1"/>
            </w:tcBorders>
          </w:tcPr>
          <w:p w14:paraId="76376F7F" w14:textId="77777777" w:rsidR="0094651F" w:rsidRPr="004C0104" w:rsidRDefault="0094651F">
            <w:r w:rsidRPr="00D37356">
              <w:rPr>
                <w:rFonts w:eastAsia="MS Mincho" w:cs="Arial-BoldMT"/>
                <w:b/>
                <w:bCs/>
                <w:sz w:val="16"/>
                <w:szCs w:val="16"/>
                <w:lang w:eastAsia="en-AU"/>
              </w:rPr>
              <w:t>Other economic flows included in net result</w:t>
            </w:r>
            <w:r>
              <w:rPr>
                <w:b/>
                <w:bCs/>
                <w:sz w:val="16"/>
                <w:szCs w:val="16"/>
              </w:rPr>
              <w:t xml:space="preserve"> </w:t>
            </w:r>
          </w:p>
        </w:tc>
        <w:tc>
          <w:tcPr>
            <w:tcW w:w="780" w:type="dxa"/>
            <w:tcBorders>
              <w:top w:val="single" w:sz="4" w:space="0" w:color="000000" w:themeColor="text1"/>
              <w:bottom w:val="single" w:sz="4" w:space="0" w:color="000000" w:themeColor="text1"/>
            </w:tcBorders>
            <w:noWrap/>
          </w:tcPr>
          <w:p w14:paraId="47BD4948" w14:textId="77777777" w:rsidR="0094651F" w:rsidRDefault="0094651F">
            <w:pPr>
              <w:pStyle w:val="ARfintablebodyrightbold8pt"/>
            </w:pPr>
          </w:p>
        </w:tc>
        <w:tc>
          <w:tcPr>
            <w:tcW w:w="778" w:type="dxa"/>
            <w:tcBorders>
              <w:top w:val="single" w:sz="4" w:space="0" w:color="000000" w:themeColor="text1"/>
              <w:bottom w:val="single" w:sz="4" w:space="0" w:color="000000" w:themeColor="text1"/>
            </w:tcBorders>
            <w:noWrap/>
          </w:tcPr>
          <w:p w14:paraId="43B12998" w14:textId="77777777" w:rsidR="0094651F" w:rsidRPr="00367D51" w:rsidRDefault="0094651F">
            <w:pPr>
              <w:pStyle w:val="ARfintablebodyrightbold8pt"/>
            </w:pPr>
          </w:p>
        </w:tc>
        <w:tc>
          <w:tcPr>
            <w:tcW w:w="779" w:type="dxa"/>
            <w:tcBorders>
              <w:top w:val="single" w:sz="4" w:space="0" w:color="000000" w:themeColor="text1"/>
              <w:bottom w:val="single" w:sz="4" w:space="0" w:color="000000" w:themeColor="text1"/>
            </w:tcBorders>
            <w:noWrap/>
          </w:tcPr>
          <w:p w14:paraId="7E958F45" w14:textId="77777777" w:rsidR="0094651F" w:rsidRPr="00367D51" w:rsidRDefault="0094651F">
            <w:pPr>
              <w:pStyle w:val="ARfintablebodyrightbold8pt"/>
            </w:pPr>
          </w:p>
        </w:tc>
        <w:tc>
          <w:tcPr>
            <w:tcW w:w="777" w:type="dxa"/>
            <w:tcBorders>
              <w:top w:val="single" w:sz="4" w:space="0" w:color="000000" w:themeColor="text1"/>
              <w:bottom w:val="single" w:sz="4" w:space="0" w:color="000000" w:themeColor="text1"/>
            </w:tcBorders>
            <w:noWrap/>
          </w:tcPr>
          <w:p w14:paraId="4AA64F37" w14:textId="77777777" w:rsidR="0094651F" w:rsidRDefault="0094651F">
            <w:pPr>
              <w:pStyle w:val="ARfintablebodyrightbold8pt"/>
            </w:pPr>
          </w:p>
        </w:tc>
        <w:tc>
          <w:tcPr>
            <w:tcW w:w="777" w:type="dxa"/>
            <w:tcBorders>
              <w:top w:val="single" w:sz="4" w:space="0" w:color="000000" w:themeColor="text1"/>
              <w:bottom w:val="single" w:sz="4" w:space="0" w:color="000000" w:themeColor="text1"/>
            </w:tcBorders>
            <w:noWrap/>
          </w:tcPr>
          <w:p w14:paraId="6939C247" w14:textId="77777777" w:rsidR="0094651F" w:rsidRDefault="0094651F">
            <w:pPr>
              <w:pStyle w:val="ARfintablebodyrightbold8pt"/>
            </w:pPr>
          </w:p>
        </w:tc>
        <w:tc>
          <w:tcPr>
            <w:tcW w:w="777" w:type="dxa"/>
            <w:tcBorders>
              <w:top w:val="single" w:sz="4" w:space="0" w:color="000000" w:themeColor="text1"/>
              <w:bottom w:val="single" w:sz="4" w:space="0" w:color="000000" w:themeColor="text1"/>
            </w:tcBorders>
            <w:noWrap/>
          </w:tcPr>
          <w:p w14:paraId="67DEFAB4" w14:textId="77777777" w:rsidR="0094651F" w:rsidRPr="00367D51" w:rsidRDefault="0094651F">
            <w:pPr>
              <w:pStyle w:val="ARfintablebodyrightbold8pt"/>
            </w:pPr>
          </w:p>
        </w:tc>
        <w:tc>
          <w:tcPr>
            <w:tcW w:w="777" w:type="dxa"/>
            <w:tcBorders>
              <w:top w:val="single" w:sz="4" w:space="0" w:color="000000" w:themeColor="text1"/>
              <w:bottom w:val="single" w:sz="4" w:space="0" w:color="000000" w:themeColor="text1"/>
            </w:tcBorders>
            <w:noWrap/>
          </w:tcPr>
          <w:p w14:paraId="7044AE38" w14:textId="77777777" w:rsidR="0094651F" w:rsidRPr="00367D51" w:rsidRDefault="0094651F">
            <w:pPr>
              <w:pStyle w:val="ARfintablebodyrightbold8pt"/>
            </w:pPr>
          </w:p>
        </w:tc>
        <w:tc>
          <w:tcPr>
            <w:tcW w:w="778" w:type="dxa"/>
            <w:tcBorders>
              <w:top w:val="single" w:sz="4" w:space="0" w:color="000000" w:themeColor="text1"/>
              <w:bottom w:val="single" w:sz="4" w:space="0" w:color="000000" w:themeColor="text1"/>
            </w:tcBorders>
            <w:noWrap/>
          </w:tcPr>
          <w:p w14:paraId="15DC8A97" w14:textId="77777777" w:rsidR="0094651F" w:rsidRPr="00367D51" w:rsidRDefault="0094651F">
            <w:pPr>
              <w:pStyle w:val="ARfintablebodyrightbold8pt"/>
            </w:pPr>
          </w:p>
        </w:tc>
        <w:tc>
          <w:tcPr>
            <w:tcW w:w="777" w:type="dxa"/>
            <w:tcBorders>
              <w:top w:val="single" w:sz="4" w:space="0" w:color="000000" w:themeColor="text1"/>
              <w:bottom w:val="single" w:sz="4" w:space="0" w:color="000000" w:themeColor="text1"/>
            </w:tcBorders>
            <w:noWrap/>
          </w:tcPr>
          <w:p w14:paraId="48BD7A3A" w14:textId="77777777" w:rsidR="0094651F" w:rsidRPr="00367D51" w:rsidRDefault="0094651F">
            <w:pPr>
              <w:pStyle w:val="ARfintablebodyrightbold8pt"/>
            </w:pPr>
          </w:p>
        </w:tc>
        <w:tc>
          <w:tcPr>
            <w:tcW w:w="777" w:type="dxa"/>
            <w:tcBorders>
              <w:top w:val="single" w:sz="4" w:space="0" w:color="000000" w:themeColor="text1"/>
              <w:bottom w:val="single" w:sz="4" w:space="0" w:color="000000" w:themeColor="text1"/>
            </w:tcBorders>
            <w:noWrap/>
          </w:tcPr>
          <w:p w14:paraId="2806E5D4" w14:textId="77777777" w:rsidR="0094651F" w:rsidRPr="00367D51" w:rsidRDefault="0094651F">
            <w:pPr>
              <w:pStyle w:val="ARfintablebodyrightbold8pt"/>
            </w:pPr>
          </w:p>
        </w:tc>
        <w:tc>
          <w:tcPr>
            <w:tcW w:w="777" w:type="dxa"/>
            <w:tcBorders>
              <w:top w:val="single" w:sz="4" w:space="0" w:color="000000" w:themeColor="text1"/>
              <w:bottom w:val="single" w:sz="4" w:space="0" w:color="000000" w:themeColor="text1"/>
            </w:tcBorders>
            <w:noWrap/>
          </w:tcPr>
          <w:p w14:paraId="2BABB8EE" w14:textId="77777777" w:rsidR="0094651F" w:rsidRPr="00367D51" w:rsidRDefault="0094651F">
            <w:pPr>
              <w:pStyle w:val="ARfintablebodyrightbold8pt"/>
            </w:pPr>
          </w:p>
        </w:tc>
        <w:tc>
          <w:tcPr>
            <w:tcW w:w="981" w:type="dxa"/>
            <w:gridSpan w:val="2"/>
            <w:tcBorders>
              <w:top w:val="single" w:sz="4" w:space="0" w:color="000000" w:themeColor="text1"/>
              <w:bottom w:val="single" w:sz="4" w:space="0" w:color="000000" w:themeColor="text1"/>
            </w:tcBorders>
            <w:noWrap/>
          </w:tcPr>
          <w:p w14:paraId="75E23DCD" w14:textId="77777777" w:rsidR="0094651F" w:rsidRPr="00367D51" w:rsidRDefault="0094651F">
            <w:pPr>
              <w:pStyle w:val="ARfintablebodyrightbold8pt"/>
            </w:pPr>
          </w:p>
        </w:tc>
      </w:tr>
      <w:tr w:rsidR="002B501C" w:rsidRPr="00BA7805" w14:paraId="716D207A" w14:textId="77777777" w:rsidTr="002B501C">
        <w:trPr>
          <w:trHeight w:val="170"/>
        </w:trPr>
        <w:tc>
          <w:tcPr>
            <w:tcW w:w="2647" w:type="dxa"/>
          </w:tcPr>
          <w:p w14:paraId="0F3484E9" w14:textId="77777777" w:rsidR="0094651F" w:rsidRPr="00963D90" w:rsidRDefault="0094651F">
            <w:pPr>
              <w:pStyle w:val="ARfintablebody8pt"/>
              <w:rPr>
                <w:highlight w:val="green"/>
              </w:rPr>
            </w:pPr>
            <w:r w:rsidRPr="00963D90">
              <w:t xml:space="preserve">Net gain/(loss) on </w:t>
            </w:r>
            <w:r>
              <w:br/>
            </w:r>
            <w:r w:rsidRPr="00963D90">
              <w:t>non-financial</w:t>
            </w:r>
            <w:r>
              <w:t> </w:t>
            </w:r>
            <w:r w:rsidRPr="00963D90">
              <w:t>assets</w:t>
            </w:r>
          </w:p>
        </w:tc>
        <w:tc>
          <w:tcPr>
            <w:tcW w:w="753" w:type="dxa"/>
            <w:noWrap/>
          </w:tcPr>
          <w:p w14:paraId="6CDB8E72" w14:textId="77777777" w:rsidR="0094651F" w:rsidRPr="00BA7805" w:rsidRDefault="0094651F">
            <w:pPr>
              <w:pStyle w:val="ARfintablebodyright8pt"/>
              <w:rPr>
                <w:highlight w:val="green"/>
              </w:rPr>
            </w:pPr>
            <w:r w:rsidRPr="00367D51">
              <w:t>0.1</w:t>
            </w:r>
          </w:p>
        </w:tc>
        <w:tc>
          <w:tcPr>
            <w:tcW w:w="856" w:type="dxa"/>
            <w:noWrap/>
          </w:tcPr>
          <w:p w14:paraId="3DF4A745" w14:textId="77777777" w:rsidR="0094651F" w:rsidRPr="00BA7805" w:rsidRDefault="0094651F">
            <w:pPr>
              <w:pStyle w:val="ARfintablebodyright8pt"/>
              <w:rPr>
                <w:highlight w:val="green"/>
              </w:rPr>
            </w:pPr>
            <w:r w:rsidRPr="00367D51">
              <w:t>5.6</w:t>
            </w:r>
          </w:p>
        </w:tc>
        <w:tc>
          <w:tcPr>
            <w:tcW w:w="779" w:type="dxa"/>
            <w:noWrap/>
          </w:tcPr>
          <w:p w14:paraId="6DC1E5A5" w14:textId="77777777" w:rsidR="0094651F" w:rsidRPr="00BA7805" w:rsidRDefault="0094651F">
            <w:pPr>
              <w:pStyle w:val="ARfintablebodyright8pt"/>
              <w:rPr>
                <w:highlight w:val="green"/>
              </w:rPr>
            </w:pPr>
            <w:r>
              <w:t>–</w:t>
            </w:r>
          </w:p>
        </w:tc>
        <w:tc>
          <w:tcPr>
            <w:tcW w:w="780" w:type="dxa"/>
            <w:noWrap/>
          </w:tcPr>
          <w:p w14:paraId="4293D424" w14:textId="77777777" w:rsidR="0094651F" w:rsidRPr="00BA7805" w:rsidRDefault="0094651F">
            <w:pPr>
              <w:pStyle w:val="ARfintablebodyright8pt"/>
              <w:rPr>
                <w:highlight w:val="green"/>
              </w:rPr>
            </w:pPr>
            <w:r>
              <w:t>–</w:t>
            </w:r>
          </w:p>
        </w:tc>
        <w:tc>
          <w:tcPr>
            <w:tcW w:w="778" w:type="dxa"/>
            <w:noWrap/>
          </w:tcPr>
          <w:p w14:paraId="3C3E43D1" w14:textId="77777777" w:rsidR="0094651F" w:rsidRPr="00BA7805" w:rsidRDefault="0094651F">
            <w:pPr>
              <w:pStyle w:val="ARfintablebodyright8pt"/>
              <w:rPr>
                <w:highlight w:val="green"/>
              </w:rPr>
            </w:pPr>
            <w:r>
              <w:t>–</w:t>
            </w:r>
          </w:p>
        </w:tc>
        <w:tc>
          <w:tcPr>
            <w:tcW w:w="779" w:type="dxa"/>
            <w:noWrap/>
          </w:tcPr>
          <w:p w14:paraId="3BBC817E" w14:textId="77777777" w:rsidR="0094651F" w:rsidRPr="00BA7805" w:rsidRDefault="0094651F">
            <w:pPr>
              <w:pStyle w:val="ARfintablebodyright8pt"/>
              <w:rPr>
                <w:highlight w:val="green"/>
              </w:rPr>
            </w:pPr>
            <w:r>
              <w:t>–</w:t>
            </w:r>
          </w:p>
        </w:tc>
        <w:tc>
          <w:tcPr>
            <w:tcW w:w="777" w:type="dxa"/>
            <w:noWrap/>
          </w:tcPr>
          <w:p w14:paraId="49C08D13" w14:textId="77777777" w:rsidR="0094651F" w:rsidRPr="00BA7805" w:rsidRDefault="0094651F">
            <w:pPr>
              <w:pStyle w:val="ARfintablebodyright8pt"/>
              <w:rPr>
                <w:highlight w:val="green"/>
              </w:rPr>
            </w:pPr>
            <w:r>
              <w:t>–</w:t>
            </w:r>
          </w:p>
        </w:tc>
        <w:tc>
          <w:tcPr>
            <w:tcW w:w="777" w:type="dxa"/>
            <w:noWrap/>
          </w:tcPr>
          <w:p w14:paraId="7AF0E49F" w14:textId="77777777" w:rsidR="0094651F" w:rsidRPr="00BA7805" w:rsidRDefault="0094651F">
            <w:pPr>
              <w:pStyle w:val="ARfintablebodyright8pt"/>
              <w:rPr>
                <w:highlight w:val="green"/>
              </w:rPr>
            </w:pPr>
            <w:r>
              <w:t>–</w:t>
            </w:r>
          </w:p>
        </w:tc>
        <w:tc>
          <w:tcPr>
            <w:tcW w:w="777" w:type="dxa"/>
            <w:noWrap/>
          </w:tcPr>
          <w:p w14:paraId="067F95FC" w14:textId="77777777" w:rsidR="0094651F" w:rsidRPr="00BA7805" w:rsidRDefault="0094651F">
            <w:pPr>
              <w:pStyle w:val="ARfintablebodyright8pt"/>
              <w:rPr>
                <w:highlight w:val="green"/>
              </w:rPr>
            </w:pPr>
            <w:r>
              <w:t>–</w:t>
            </w:r>
          </w:p>
        </w:tc>
        <w:tc>
          <w:tcPr>
            <w:tcW w:w="777" w:type="dxa"/>
            <w:noWrap/>
          </w:tcPr>
          <w:p w14:paraId="67A99F83" w14:textId="77777777" w:rsidR="0094651F" w:rsidRPr="00BA7805" w:rsidRDefault="0094651F">
            <w:pPr>
              <w:pStyle w:val="ARfintablebodyright8pt"/>
              <w:rPr>
                <w:highlight w:val="green"/>
              </w:rPr>
            </w:pPr>
            <w:r>
              <w:t>–</w:t>
            </w:r>
          </w:p>
        </w:tc>
        <w:tc>
          <w:tcPr>
            <w:tcW w:w="778" w:type="dxa"/>
            <w:noWrap/>
          </w:tcPr>
          <w:p w14:paraId="715962EB" w14:textId="77777777" w:rsidR="0094651F" w:rsidRPr="00BA7805" w:rsidRDefault="0094651F">
            <w:pPr>
              <w:pStyle w:val="ARfintablebodyright8pt"/>
              <w:rPr>
                <w:highlight w:val="green"/>
              </w:rPr>
            </w:pPr>
            <w:r>
              <w:t>–</w:t>
            </w:r>
          </w:p>
        </w:tc>
        <w:tc>
          <w:tcPr>
            <w:tcW w:w="777" w:type="dxa"/>
            <w:noWrap/>
          </w:tcPr>
          <w:p w14:paraId="0D34B4A8" w14:textId="77777777" w:rsidR="0094651F" w:rsidRPr="00BA7805" w:rsidRDefault="0094651F">
            <w:pPr>
              <w:pStyle w:val="ARfintablebodyright8pt"/>
              <w:rPr>
                <w:highlight w:val="green"/>
              </w:rPr>
            </w:pPr>
            <w:r>
              <w:t>–</w:t>
            </w:r>
          </w:p>
        </w:tc>
        <w:tc>
          <w:tcPr>
            <w:tcW w:w="777" w:type="dxa"/>
            <w:noWrap/>
          </w:tcPr>
          <w:p w14:paraId="3A033812" w14:textId="77777777" w:rsidR="0094651F" w:rsidRPr="00BA7805" w:rsidRDefault="0094651F">
            <w:pPr>
              <w:pStyle w:val="ARfintablebodyright8pt"/>
              <w:rPr>
                <w:highlight w:val="green"/>
              </w:rPr>
            </w:pPr>
            <w:r>
              <w:t>–</w:t>
            </w:r>
          </w:p>
        </w:tc>
        <w:tc>
          <w:tcPr>
            <w:tcW w:w="777" w:type="dxa"/>
            <w:noWrap/>
          </w:tcPr>
          <w:p w14:paraId="288AD65E" w14:textId="77777777" w:rsidR="0094651F" w:rsidRPr="00BA7805" w:rsidRDefault="0094651F">
            <w:pPr>
              <w:pStyle w:val="ARfintablebodyright8pt"/>
              <w:rPr>
                <w:highlight w:val="green"/>
              </w:rPr>
            </w:pPr>
            <w:r w:rsidRPr="00367D51">
              <w:t>(14.3)</w:t>
            </w:r>
          </w:p>
        </w:tc>
        <w:tc>
          <w:tcPr>
            <w:tcW w:w="981" w:type="dxa"/>
            <w:gridSpan w:val="2"/>
            <w:noWrap/>
          </w:tcPr>
          <w:p w14:paraId="714EA717" w14:textId="77777777" w:rsidR="0094651F" w:rsidRPr="00BA7805" w:rsidRDefault="0094651F">
            <w:pPr>
              <w:pStyle w:val="ARfintablebodyright8pt"/>
              <w:rPr>
                <w:highlight w:val="green"/>
              </w:rPr>
            </w:pPr>
            <w:r w:rsidRPr="00367D51">
              <w:t>(8.6)</w:t>
            </w:r>
          </w:p>
        </w:tc>
      </w:tr>
      <w:tr w:rsidR="002B501C" w:rsidRPr="006748D0" w14:paraId="78184B7F" w14:textId="77777777" w:rsidTr="002B501C">
        <w:trPr>
          <w:trHeight w:val="170"/>
        </w:trPr>
        <w:tc>
          <w:tcPr>
            <w:tcW w:w="2647" w:type="dxa"/>
            <w:tcBorders>
              <w:bottom w:val="single" w:sz="4" w:space="0" w:color="A6A6A6" w:themeColor="accent5"/>
            </w:tcBorders>
          </w:tcPr>
          <w:p w14:paraId="0283E3BB" w14:textId="77777777" w:rsidR="0094651F" w:rsidRPr="00963D90" w:rsidRDefault="0094651F">
            <w:pPr>
              <w:pStyle w:val="ARfintablebody8pt"/>
              <w:rPr>
                <w:highlight w:val="green"/>
              </w:rPr>
            </w:pPr>
            <w:r w:rsidRPr="00963D90">
              <w:t>Net gain/(loss) on financial</w:t>
            </w:r>
            <w:r>
              <w:t> </w:t>
            </w:r>
            <w:r w:rsidRPr="00963D90">
              <w:t>instruments</w:t>
            </w:r>
          </w:p>
        </w:tc>
        <w:tc>
          <w:tcPr>
            <w:tcW w:w="753" w:type="dxa"/>
            <w:tcBorders>
              <w:bottom w:val="single" w:sz="4" w:space="0" w:color="A6A6A6" w:themeColor="accent5"/>
            </w:tcBorders>
            <w:noWrap/>
          </w:tcPr>
          <w:p w14:paraId="18C436B5" w14:textId="77777777" w:rsidR="0094651F" w:rsidRPr="006748D0" w:rsidRDefault="0094651F">
            <w:pPr>
              <w:pStyle w:val="ARfintablebodyright8pt"/>
              <w:rPr>
                <w:highlight w:val="green"/>
              </w:rPr>
            </w:pPr>
            <w:r w:rsidRPr="00367D51">
              <w:t>0.1</w:t>
            </w:r>
          </w:p>
        </w:tc>
        <w:tc>
          <w:tcPr>
            <w:tcW w:w="856" w:type="dxa"/>
            <w:tcBorders>
              <w:bottom w:val="single" w:sz="4" w:space="0" w:color="A6A6A6" w:themeColor="accent5"/>
            </w:tcBorders>
            <w:noWrap/>
          </w:tcPr>
          <w:p w14:paraId="3A7372F5" w14:textId="77777777" w:rsidR="0094651F" w:rsidRPr="006748D0" w:rsidRDefault="0094651F">
            <w:pPr>
              <w:pStyle w:val="ARfintablebodyright8pt"/>
              <w:rPr>
                <w:highlight w:val="green"/>
              </w:rPr>
            </w:pPr>
            <w:r w:rsidRPr="00367D51">
              <w:t>2.0</w:t>
            </w:r>
          </w:p>
        </w:tc>
        <w:tc>
          <w:tcPr>
            <w:tcW w:w="779" w:type="dxa"/>
            <w:tcBorders>
              <w:bottom w:val="single" w:sz="4" w:space="0" w:color="A6A6A6" w:themeColor="accent5"/>
            </w:tcBorders>
            <w:noWrap/>
          </w:tcPr>
          <w:p w14:paraId="7A0DEA21" w14:textId="77777777" w:rsidR="0094651F" w:rsidRPr="006748D0" w:rsidRDefault="0094651F">
            <w:pPr>
              <w:pStyle w:val="ARfintablebodyright8pt"/>
              <w:rPr>
                <w:highlight w:val="green"/>
              </w:rPr>
            </w:pPr>
            <w:r>
              <w:t>–</w:t>
            </w:r>
          </w:p>
        </w:tc>
        <w:tc>
          <w:tcPr>
            <w:tcW w:w="780" w:type="dxa"/>
            <w:tcBorders>
              <w:bottom w:val="single" w:sz="4" w:space="0" w:color="A6A6A6" w:themeColor="accent5"/>
            </w:tcBorders>
            <w:noWrap/>
          </w:tcPr>
          <w:p w14:paraId="02DBFEFC" w14:textId="77777777" w:rsidR="0094651F" w:rsidRPr="006748D0" w:rsidRDefault="0094651F">
            <w:pPr>
              <w:pStyle w:val="ARfintablebodyright8pt"/>
              <w:rPr>
                <w:highlight w:val="green"/>
              </w:rPr>
            </w:pPr>
            <w:r>
              <w:t>–</w:t>
            </w:r>
          </w:p>
        </w:tc>
        <w:tc>
          <w:tcPr>
            <w:tcW w:w="778" w:type="dxa"/>
            <w:tcBorders>
              <w:bottom w:val="single" w:sz="4" w:space="0" w:color="A6A6A6" w:themeColor="accent5"/>
            </w:tcBorders>
            <w:noWrap/>
          </w:tcPr>
          <w:p w14:paraId="4CD1BAED" w14:textId="77777777" w:rsidR="0094651F" w:rsidRPr="006748D0" w:rsidRDefault="0094651F">
            <w:pPr>
              <w:pStyle w:val="ARfintablebodyright8pt"/>
              <w:rPr>
                <w:highlight w:val="green"/>
              </w:rPr>
            </w:pPr>
            <w:r>
              <w:t>–</w:t>
            </w:r>
          </w:p>
        </w:tc>
        <w:tc>
          <w:tcPr>
            <w:tcW w:w="779" w:type="dxa"/>
            <w:tcBorders>
              <w:bottom w:val="single" w:sz="4" w:space="0" w:color="A6A6A6" w:themeColor="accent5"/>
            </w:tcBorders>
            <w:noWrap/>
          </w:tcPr>
          <w:p w14:paraId="24FCE47A" w14:textId="77777777" w:rsidR="0094651F" w:rsidRPr="006748D0" w:rsidRDefault="0094651F">
            <w:pPr>
              <w:pStyle w:val="ARfintablebodyright8pt"/>
              <w:rPr>
                <w:highlight w:val="green"/>
              </w:rPr>
            </w:pPr>
            <w:r>
              <w:t>–</w:t>
            </w:r>
          </w:p>
        </w:tc>
        <w:tc>
          <w:tcPr>
            <w:tcW w:w="777" w:type="dxa"/>
            <w:tcBorders>
              <w:bottom w:val="single" w:sz="4" w:space="0" w:color="A6A6A6" w:themeColor="accent5"/>
            </w:tcBorders>
            <w:noWrap/>
          </w:tcPr>
          <w:p w14:paraId="14D5E6A7" w14:textId="77777777" w:rsidR="0094651F" w:rsidRPr="006748D0" w:rsidRDefault="0094651F">
            <w:pPr>
              <w:pStyle w:val="ARfintablebodyright8pt"/>
              <w:rPr>
                <w:highlight w:val="green"/>
              </w:rPr>
            </w:pPr>
            <w:r>
              <w:t>–</w:t>
            </w:r>
          </w:p>
        </w:tc>
        <w:tc>
          <w:tcPr>
            <w:tcW w:w="777" w:type="dxa"/>
            <w:tcBorders>
              <w:bottom w:val="single" w:sz="4" w:space="0" w:color="A6A6A6" w:themeColor="accent5"/>
            </w:tcBorders>
            <w:noWrap/>
          </w:tcPr>
          <w:p w14:paraId="6CFE4F56" w14:textId="77777777" w:rsidR="0094651F" w:rsidRPr="006748D0" w:rsidRDefault="0094651F">
            <w:pPr>
              <w:pStyle w:val="ARfintablebodyright8pt"/>
              <w:rPr>
                <w:highlight w:val="green"/>
              </w:rPr>
            </w:pPr>
            <w:r>
              <w:t>–</w:t>
            </w:r>
          </w:p>
        </w:tc>
        <w:tc>
          <w:tcPr>
            <w:tcW w:w="777" w:type="dxa"/>
            <w:tcBorders>
              <w:bottom w:val="single" w:sz="4" w:space="0" w:color="A6A6A6" w:themeColor="accent5"/>
            </w:tcBorders>
            <w:noWrap/>
          </w:tcPr>
          <w:p w14:paraId="733678B2" w14:textId="77777777" w:rsidR="0094651F" w:rsidRPr="006748D0" w:rsidRDefault="0094651F">
            <w:pPr>
              <w:pStyle w:val="ARfintablebodyright8pt"/>
              <w:rPr>
                <w:highlight w:val="green"/>
              </w:rPr>
            </w:pPr>
            <w:r>
              <w:t>–</w:t>
            </w:r>
          </w:p>
        </w:tc>
        <w:tc>
          <w:tcPr>
            <w:tcW w:w="777" w:type="dxa"/>
            <w:tcBorders>
              <w:bottom w:val="single" w:sz="4" w:space="0" w:color="A6A6A6" w:themeColor="accent5"/>
            </w:tcBorders>
            <w:noWrap/>
          </w:tcPr>
          <w:p w14:paraId="0BC13895" w14:textId="77777777" w:rsidR="0094651F" w:rsidRPr="006748D0" w:rsidRDefault="0094651F">
            <w:pPr>
              <w:pStyle w:val="ARfintablebodyright8pt"/>
              <w:rPr>
                <w:highlight w:val="green"/>
              </w:rPr>
            </w:pPr>
            <w:r>
              <w:t>–</w:t>
            </w:r>
          </w:p>
        </w:tc>
        <w:tc>
          <w:tcPr>
            <w:tcW w:w="778" w:type="dxa"/>
            <w:tcBorders>
              <w:bottom w:val="single" w:sz="4" w:space="0" w:color="A6A6A6" w:themeColor="accent5"/>
            </w:tcBorders>
            <w:noWrap/>
          </w:tcPr>
          <w:p w14:paraId="0EA45F9C" w14:textId="77777777" w:rsidR="0094651F" w:rsidRPr="006748D0" w:rsidRDefault="0094651F">
            <w:pPr>
              <w:pStyle w:val="ARfintablebodyright8pt"/>
              <w:rPr>
                <w:highlight w:val="green"/>
              </w:rPr>
            </w:pPr>
            <w:r>
              <w:t>–</w:t>
            </w:r>
          </w:p>
        </w:tc>
        <w:tc>
          <w:tcPr>
            <w:tcW w:w="777" w:type="dxa"/>
            <w:tcBorders>
              <w:bottom w:val="single" w:sz="4" w:space="0" w:color="A6A6A6" w:themeColor="accent5"/>
            </w:tcBorders>
            <w:noWrap/>
          </w:tcPr>
          <w:p w14:paraId="52F48EFB" w14:textId="77777777" w:rsidR="0094651F" w:rsidRPr="006748D0" w:rsidRDefault="0094651F">
            <w:pPr>
              <w:pStyle w:val="ARfintablebodyright8pt"/>
              <w:rPr>
                <w:highlight w:val="green"/>
              </w:rPr>
            </w:pPr>
            <w:r>
              <w:t>–</w:t>
            </w:r>
          </w:p>
        </w:tc>
        <w:tc>
          <w:tcPr>
            <w:tcW w:w="777" w:type="dxa"/>
            <w:tcBorders>
              <w:bottom w:val="single" w:sz="4" w:space="0" w:color="A6A6A6" w:themeColor="accent5"/>
            </w:tcBorders>
            <w:noWrap/>
          </w:tcPr>
          <w:p w14:paraId="0B1E0C94" w14:textId="77777777" w:rsidR="0094651F" w:rsidRPr="006748D0" w:rsidRDefault="0094651F">
            <w:pPr>
              <w:pStyle w:val="ARfintablebodyright8pt"/>
              <w:rPr>
                <w:highlight w:val="green"/>
              </w:rPr>
            </w:pPr>
            <w:r>
              <w:t>–</w:t>
            </w:r>
          </w:p>
        </w:tc>
        <w:tc>
          <w:tcPr>
            <w:tcW w:w="777" w:type="dxa"/>
            <w:tcBorders>
              <w:bottom w:val="single" w:sz="4" w:space="0" w:color="A6A6A6" w:themeColor="accent5"/>
            </w:tcBorders>
            <w:noWrap/>
          </w:tcPr>
          <w:p w14:paraId="1AD531A1" w14:textId="77777777" w:rsidR="0094651F" w:rsidRPr="006748D0" w:rsidRDefault="0094651F">
            <w:pPr>
              <w:pStyle w:val="ARfintablebodyright8pt"/>
              <w:rPr>
                <w:highlight w:val="green"/>
              </w:rPr>
            </w:pPr>
            <w:r>
              <w:t>–</w:t>
            </w:r>
          </w:p>
        </w:tc>
        <w:tc>
          <w:tcPr>
            <w:tcW w:w="981" w:type="dxa"/>
            <w:gridSpan w:val="2"/>
            <w:tcBorders>
              <w:bottom w:val="single" w:sz="4" w:space="0" w:color="A6A6A6" w:themeColor="accent5"/>
            </w:tcBorders>
            <w:noWrap/>
          </w:tcPr>
          <w:p w14:paraId="7FDDB93D" w14:textId="77777777" w:rsidR="0094651F" w:rsidRPr="006748D0" w:rsidRDefault="0094651F">
            <w:pPr>
              <w:pStyle w:val="ARfintablebodyright8pt"/>
              <w:rPr>
                <w:highlight w:val="green"/>
              </w:rPr>
            </w:pPr>
            <w:r w:rsidRPr="00367D51">
              <w:t>2.0</w:t>
            </w:r>
          </w:p>
        </w:tc>
      </w:tr>
      <w:tr w:rsidR="002B501C" w:rsidRPr="00BA7805" w14:paraId="6435E081" w14:textId="77777777" w:rsidTr="002B501C">
        <w:trPr>
          <w:trHeight w:val="170"/>
        </w:trPr>
        <w:tc>
          <w:tcPr>
            <w:tcW w:w="2647" w:type="dxa"/>
            <w:tcBorders>
              <w:top w:val="single" w:sz="4" w:space="0" w:color="A6A6A6" w:themeColor="accent5"/>
              <w:bottom w:val="single" w:sz="4" w:space="0" w:color="000000" w:themeColor="text1"/>
            </w:tcBorders>
          </w:tcPr>
          <w:p w14:paraId="57154E88" w14:textId="77777777" w:rsidR="0094651F" w:rsidRPr="00963D90" w:rsidRDefault="0094651F">
            <w:pPr>
              <w:pStyle w:val="ARfintablebody8pt"/>
              <w:rPr>
                <w:highlight w:val="green"/>
              </w:rPr>
            </w:pPr>
            <w:r w:rsidRPr="00963D90">
              <w:t>Other gains/(losses) from other economic flows</w:t>
            </w:r>
          </w:p>
        </w:tc>
        <w:tc>
          <w:tcPr>
            <w:tcW w:w="753" w:type="dxa"/>
            <w:tcBorders>
              <w:top w:val="single" w:sz="4" w:space="0" w:color="A6A6A6" w:themeColor="accent5"/>
              <w:bottom w:val="single" w:sz="4" w:space="0" w:color="000000" w:themeColor="text1"/>
            </w:tcBorders>
            <w:noWrap/>
          </w:tcPr>
          <w:p w14:paraId="677299EF" w14:textId="77777777" w:rsidR="0094651F" w:rsidRPr="00BA7805" w:rsidRDefault="0094651F">
            <w:pPr>
              <w:pStyle w:val="ARfintablebodyright8pt"/>
              <w:rPr>
                <w:highlight w:val="green"/>
              </w:rPr>
            </w:pPr>
            <w:r w:rsidRPr="00367D51">
              <w:t>(4.1)</w:t>
            </w:r>
          </w:p>
        </w:tc>
        <w:tc>
          <w:tcPr>
            <w:tcW w:w="856" w:type="dxa"/>
            <w:tcBorders>
              <w:top w:val="single" w:sz="4" w:space="0" w:color="A6A6A6" w:themeColor="accent5"/>
              <w:bottom w:val="single" w:sz="4" w:space="0" w:color="000000" w:themeColor="text1"/>
            </w:tcBorders>
            <w:noWrap/>
          </w:tcPr>
          <w:p w14:paraId="3288608F" w14:textId="77777777" w:rsidR="0094651F" w:rsidRPr="00BA7805" w:rsidRDefault="0094651F">
            <w:pPr>
              <w:pStyle w:val="ARfintablebodyright8pt"/>
              <w:rPr>
                <w:highlight w:val="green"/>
              </w:rPr>
            </w:pPr>
            <w:r w:rsidRPr="00367D51">
              <w:t>(23.1)</w:t>
            </w:r>
          </w:p>
        </w:tc>
        <w:tc>
          <w:tcPr>
            <w:tcW w:w="779" w:type="dxa"/>
            <w:tcBorders>
              <w:top w:val="single" w:sz="4" w:space="0" w:color="A6A6A6" w:themeColor="accent5"/>
              <w:bottom w:val="single" w:sz="4" w:space="0" w:color="000000" w:themeColor="text1"/>
            </w:tcBorders>
            <w:noWrap/>
          </w:tcPr>
          <w:p w14:paraId="34ED15A8" w14:textId="77777777" w:rsidR="0094651F" w:rsidRPr="00BA7805" w:rsidRDefault="0094651F">
            <w:pPr>
              <w:pStyle w:val="ARfintablebodyright8pt"/>
              <w:rPr>
                <w:highlight w:val="green"/>
              </w:rPr>
            </w:pPr>
            <w:r>
              <w:t>–</w:t>
            </w:r>
          </w:p>
        </w:tc>
        <w:tc>
          <w:tcPr>
            <w:tcW w:w="780" w:type="dxa"/>
            <w:tcBorders>
              <w:top w:val="single" w:sz="4" w:space="0" w:color="A6A6A6" w:themeColor="accent5"/>
              <w:bottom w:val="single" w:sz="4" w:space="0" w:color="000000" w:themeColor="text1"/>
            </w:tcBorders>
            <w:noWrap/>
          </w:tcPr>
          <w:p w14:paraId="0664A15B" w14:textId="77777777" w:rsidR="0094651F" w:rsidRPr="00BA7805" w:rsidRDefault="0094651F">
            <w:pPr>
              <w:pStyle w:val="ARfintablebodyright8pt"/>
              <w:rPr>
                <w:highlight w:val="green"/>
              </w:rPr>
            </w:pPr>
            <w:r>
              <w:t>–</w:t>
            </w:r>
          </w:p>
        </w:tc>
        <w:tc>
          <w:tcPr>
            <w:tcW w:w="778" w:type="dxa"/>
            <w:tcBorders>
              <w:top w:val="single" w:sz="4" w:space="0" w:color="A6A6A6" w:themeColor="accent5"/>
              <w:bottom w:val="single" w:sz="4" w:space="0" w:color="000000" w:themeColor="text1"/>
            </w:tcBorders>
            <w:noWrap/>
          </w:tcPr>
          <w:p w14:paraId="5D8ED2EF" w14:textId="77777777" w:rsidR="0094651F" w:rsidRPr="00BA7805" w:rsidRDefault="0094651F">
            <w:pPr>
              <w:pStyle w:val="ARfintablebodyright8pt"/>
              <w:rPr>
                <w:highlight w:val="green"/>
              </w:rPr>
            </w:pPr>
            <w:r>
              <w:t>–</w:t>
            </w:r>
          </w:p>
        </w:tc>
        <w:tc>
          <w:tcPr>
            <w:tcW w:w="779" w:type="dxa"/>
            <w:tcBorders>
              <w:top w:val="single" w:sz="4" w:space="0" w:color="A6A6A6" w:themeColor="accent5"/>
              <w:bottom w:val="single" w:sz="4" w:space="0" w:color="000000" w:themeColor="text1"/>
            </w:tcBorders>
            <w:noWrap/>
          </w:tcPr>
          <w:p w14:paraId="4B3F017A"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4B287951"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6AC2E3A7"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51A46598"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2ADA4F96" w14:textId="77777777" w:rsidR="0094651F" w:rsidRPr="00BA7805" w:rsidRDefault="0094651F">
            <w:pPr>
              <w:pStyle w:val="ARfintablebodyright8pt"/>
              <w:rPr>
                <w:highlight w:val="green"/>
              </w:rPr>
            </w:pPr>
            <w:r>
              <w:t>–</w:t>
            </w:r>
          </w:p>
        </w:tc>
        <w:tc>
          <w:tcPr>
            <w:tcW w:w="778" w:type="dxa"/>
            <w:tcBorders>
              <w:top w:val="single" w:sz="4" w:space="0" w:color="A6A6A6" w:themeColor="accent5"/>
              <w:bottom w:val="single" w:sz="4" w:space="0" w:color="000000" w:themeColor="text1"/>
            </w:tcBorders>
            <w:noWrap/>
          </w:tcPr>
          <w:p w14:paraId="142BFF64"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76F16742"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26133734" w14:textId="77777777" w:rsidR="0094651F" w:rsidRPr="00BA7805" w:rsidRDefault="0094651F">
            <w:pPr>
              <w:pStyle w:val="ARfintablebodyright8pt"/>
              <w:rPr>
                <w:highlight w:val="green"/>
              </w:rPr>
            </w:pPr>
            <w:r w:rsidRPr="00367D51">
              <w:t>(0.1)</w:t>
            </w:r>
          </w:p>
        </w:tc>
        <w:tc>
          <w:tcPr>
            <w:tcW w:w="777" w:type="dxa"/>
            <w:tcBorders>
              <w:top w:val="single" w:sz="4" w:space="0" w:color="A6A6A6" w:themeColor="accent5"/>
              <w:bottom w:val="single" w:sz="4" w:space="0" w:color="000000" w:themeColor="text1"/>
            </w:tcBorders>
            <w:noWrap/>
          </w:tcPr>
          <w:p w14:paraId="4A3992D7" w14:textId="77777777" w:rsidR="0094651F" w:rsidRPr="00BA7805" w:rsidRDefault="0094651F">
            <w:pPr>
              <w:pStyle w:val="ARfintablebodyright8pt"/>
              <w:rPr>
                <w:highlight w:val="green"/>
              </w:rPr>
            </w:pPr>
            <w:r w:rsidRPr="00367D51">
              <w:t>(2.7)</w:t>
            </w:r>
          </w:p>
        </w:tc>
        <w:tc>
          <w:tcPr>
            <w:tcW w:w="981" w:type="dxa"/>
            <w:gridSpan w:val="2"/>
            <w:tcBorders>
              <w:top w:val="single" w:sz="4" w:space="0" w:color="A6A6A6" w:themeColor="accent5"/>
              <w:bottom w:val="single" w:sz="4" w:space="0" w:color="000000" w:themeColor="text1"/>
            </w:tcBorders>
            <w:noWrap/>
          </w:tcPr>
          <w:p w14:paraId="1DC330DA" w14:textId="77777777" w:rsidR="0094651F" w:rsidRPr="00BA7805" w:rsidRDefault="0094651F">
            <w:pPr>
              <w:pStyle w:val="ARfintablebodyright8pt"/>
              <w:rPr>
                <w:highlight w:val="green"/>
              </w:rPr>
            </w:pPr>
            <w:r w:rsidRPr="00367D51">
              <w:t>(30.1)</w:t>
            </w:r>
          </w:p>
        </w:tc>
      </w:tr>
      <w:tr w:rsidR="002B501C" w:rsidRPr="00BA7805" w14:paraId="5609FDA5" w14:textId="77777777" w:rsidTr="002B501C">
        <w:trPr>
          <w:trHeight w:val="170"/>
        </w:trPr>
        <w:tc>
          <w:tcPr>
            <w:tcW w:w="2647" w:type="dxa"/>
            <w:tcBorders>
              <w:top w:val="single" w:sz="4" w:space="0" w:color="000000" w:themeColor="text1"/>
              <w:bottom w:val="single" w:sz="4" w:space="0" w:color="000000" w:themeColor="text1"/>
            </w:tcBorders>
          </w:tcPr>
          <w:p w14:paraId="01F28F61" w14:textId="77777777" w:rsidR="0094651F" w:rsidRPr="00963D90" w:rsidRDefault="0094651F">
            <w:pPr>
              <w:pStyle w:val="ARfintablebodybold8pt"/>
              <w:rPr>
                <w:highlight w:val="green"/>
              </w:rPr>
            </w:pPr>
            <w:r w:rsidRPr="00963D90">
              <w:t>Total other economic flows included in net result</w:t>
            </w:r>
          </w:p>
        </w:tc>
        <w:tc>
          <w:tcPr>
            <w:tcW w:w="753" w:type="dxa"/>
            <w:tcBorders>
              <w:top w:val="single" w:sz="4" w:space="0" w:color="000000" w:themeColor="text1"/>
              <w:bottom w:val="single" w:sz="4" w:space="0" w:color="000000" w:themeColor="text1"/>
            </w:tcBorders>
            <w:noWrap/>
          </w:tcPr>
          <w:p w14:paraId="51733FE6" w14:textId="77777777" w:rsidR="0094651F" w:rsidRPr="00BA7805" w:rsidRDefault="0094651F">
            <w:pPr>
              <w:pStyle w:val="ARfintablebodyrightbold8pt"/>
              <w:rPr>
                <w:highlight w:val="green"/>
              </w:rPr>
            </w:pPr>
            <w:r w:rsidRPr="00367D51">
              <w:t>(4.0)</w:t>
            </w:r>
          </w:p>
        </w:tc>
        <w:tc>
          <w:tcPr>
            <w:tcW w:w="856" w:type="dxa"/>
            <w:tcBorders>
              <w:top w:val="single" w:sz="4" w:space="0" w:color="000000" w:themeColor="text1"/>
              <w:bottom w:val="single" w:sz="4" w:space="0" w:color="000000" w:themeColor="text1"/>
            </w:tcBorders>
            <w:noWrap/>
          </w:tcPr>
          <w:p w14:paraId="4D673538" w14:textId="77777777" w:rsidR="0094651F" w:rsidRPr="00BA7805" w:rsidRDefault="0094651F">
            <w:pPr>
              <w:pStyle w:val="ARfintablebodyrightbold8pt"/>
              <w:rPr>
                <w:highlight w:val="green"/>
              </w:rPr>
            </w:pPr>
            <w:r w:rsidRPr="00367D51">
              <w:t>(15.5)</w:t>
            </w:r>
          </w:p>
        </w:tc>
        <w:tc>
          <w:tcPr>
            <w:tcW w:w="779" w:type="dxa"/>
            <w:tcBorders>
              <w:top w:val="single" w:sz="4" w:space="0" w:color="000000" w:themeColor="text1"/>
              <w:bottom w:val="single" w:sz="4" w:space="0" w:color="000000" w:themeColor="text1"/>
            </w:tcBorders>
            <w:noWrap/>
          </w:tcPr>
          <w:p w14:paraId="0B718DF2" w14:textId="77777777" w:rsidR="0094651F" w:rsidRPr="00BA7805" w:rsidRDefault="0094651F">
            <w:pPr>
              <w:pStyle w:val="ARfintablebodyrightbold8pt"/>
              <w:rPr>
                <w:highlight w:val="green"/>
              </w:rPr>
            </w:pPr>
            <w:r>
              <w:t>–</w:t>
            </w:r>
          </w:p>
        </w:tc>
        <w:tc>
          <w:tcPr>
            <w:tcW w:w="780" w:type="dxa"/>
            <w:tcBorders>
              <w:top w:val="single" w:sz="4" w:space="0" w:color="000000" w:themeColor="text1"/>
              <w:bottom w:val="single" w:sz="4" w:space="0" w:color="000000" w:themeColor="text1"/>
            </w:tcBorders>
            <w:noWrap/>
          </w:tcPr>
          <w:p w14:paraId="1E5F4645" w14:textId="77777777" w:rsidR="0094651F" w:rsidRPr="00BA7805" w:rsidRDefault="0094651F">
            <w:pPr>
              <w:pStyle w:val="ARfintablebodyrightbold8pt"/>
              <w:rPr>
                <w:highlight w:val="green"/>
              </w:rPr>
            </w:pPr>
            <w:r>
              <w:t>–</w:t>
            </w:r>
          </w:p>
        </w:tc>
        <w:tc>
          <w:tcPr>
            <w:tcW w:w="778" w:type="dxa"/>
            <w:tcBorders>
              <w:top w:val="single" w:sz="4" w:space="0" w:color="000000" w:themeColor="text1"/>
              <w:bottom w:val="single" w:sz="4" w:space="0" w:color="000000" w:themeColor="text1"/>
            </w:tcBorders>
            <w:noWrap/>
          </w:tcPr>
          <w:p w14:paraId="4817983D" w14:textId="77777777" w:rsidR="0094651F" w:rsidRPr="00BA7805" w:rsidRDefault="0094651F">
            <w:pPr>
              <w:pStyle w:val="ARfintablebodyrightbold8pt"/>
              <w:rPr>
                <w:highlight w:val="green"/>
              </w:rPr>
            </w:pPr>
            <w:r>
              <w:t>–</w:t>
            </w:r>
          </w:p>
        </w:tc>
        <w:tc>
          <w:tcPr>
            <w:tcW w:w="779" w:type="dxa"/>
            <w:tcBorders>
              <w:top w:val="single" w:sz="4" w:space="0" w:color="000000" w:themeColor="text1"/>
              <w:bottom w:val="single" w:sz="4" w:space="0" w:color="000000" w:themeColor="text1"/>
            </w:tcBorders>
            <w:noWrap/>
          </w:tcPr>
          <w:p w14:paraId="4C382776"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214EC8C3"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6678B415"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3FA18244"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320F2F1D" w14:textId="77777777" w:rsidR="0094651F" w:rsidRPr="00BA7805" w:rsidRDefault="0094651F">
            <w:pPr>
              <w:pStyle w:val="ARfintablebodyrightbold8pt"/>
              <w:rPr>
                <w:highlight w:val="green"/>
              </w:rPr>
            </w:pPr>
            <w:r>
              <w:t>–</w:t>
            </w:r>
          </w:p>
        </w:tc>
        <w:tc>
          <w:tcPr>
            <w:tcW w:w="778" w:type="dxa"/>
            <w:tcBorders>
              <w:top w:val="single" w:sz="4" w:space="0" w:color="000000" w:themeColor="text1"/>
              <w:bottom w:val="single" w:sz="4" w:space="0" w:color="000000" w:themeColor="text1"/>
            </w:tcBorders>
            <w:noWrap/>
          </w:tcPr>
          <w:p w14:paraId="0B8F3F29"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1176B049"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11559054" w14:textId="77777777" w:rsidR="0094651F" w:rsidRPr="00BA7805" w:rsidRDefault="0094651F">
            <w:pPr>
              <w:pStyle w:val="ARfintablebodyrightbold8pt"/>
              <w:rPr>
                <w:highlight w:val="green"/>
              </w:rPr>
            </w:pPr>
            <w:r w:rsidRPr="00367D51">
              <w:t>(0.1)</w:t>
            </w:r>
          </w:p>
        </w:tc>
        <w:tc>
          <w:tcPr>
            <w:tcW w:w="777" w:type="dxa"/>
            <w:tcBorders>
              <w:top w:val="single" w:sz="4" w:space="0" w:color="000000" w:themeColor="text1"/>
              <w:bottom w:val="single" w:sz="4" w:space="0" w:color="000000" w:themeColor="text1"/>
            </w:tcBorders>
            <w:noWrap/>
          </w:tcPr>
          <w:p w14:paraId="1A8E95A6" w14:textId="77777777" w:rsidR="0094651F" w:rsidRPr="00BA7805" w:rsidRDefault="0094651F">
            <w:pPr>
              <w:pStyle w:val="ARfintablebodyrightbold8pt"/>
              <w:rPr>
                <w:highlight w:val="green"/>
              </w:rPr>
            </w:pPr>
            <w:r w:rsidRPr="00367D51">
              <w:t>(17.0)</w:t>
            </w:r>
          </w:p>
        </w:tc>
        <w:tc>
          <w:tcPr>
            <w:tcW w:w="981" w:type="dxa"/>
            <w:gridSpan w:val="2"/>
            <w:tcBorders>
              <w:top w:val="single" w:sz="4" w:space="0" w:color="000000" w:themeColor="text1"/>
              <w:bottom w:val="single" w:sz="4" w:space="0" w:color="000000" w:themeColor="text1"/>
            </w:tcBorders>
            <w:noWrap/>
          </w:tcPr>
          <w:p w14:paraId="6B0FBE72" w14:textId="77777777" w:rsidR="0094651F" w:rsidRPr="00BA7805" w:rsidRDefault="0094651F">
            <w:pPr>
              <w:pStyle w:val="ARfintablebodyrightbold8pt"/>
              <w:rPr>
                <w:highlight w:val="green"/>
              </w:rPr>
            </w:pPr>
            <w:r w:rsidRPr="00367D51">
              <w:t>(36.7)</w:t>
            </w:r>
          </w:p>
        </w:tc>
      </w:tr>
      <w:tr w:rsidR="002B501C" w:rsidRPr="00BA7805" w14:paraId="0BE6EC0D" w14:textId="77777777" w:rsidTr="002B501C">
        <w:trPr>
          <w:trHeight w:val="170"/>
        </w:trPr>
        <w:tc>
          <w:tcPr>
            <w:tcW w:w="2647" w:type="dxa"/>
            <w:tcBorders>
              <w:top w:val="single" w:sz="4" w:space="0" w:color="000000" w:themeColor="text1"/>
              <w:bottom w:val="single" w:sz="4" w:space="0" w:color="000000" w:themeColor="text1"/>
            </w:tcBorders>
          </w:tcPr>
          <w:p w14:paraId="585481E0" w14:textId="77777777" w:rsidR="0094651F" w:rsidRPr="00963D90" w:rsidRDefault="0094651F">
            <w:pPr>
              <w:pStyle w:val="ARfintablebodybold8pt"/>
              <w:rPr>
                <w:highlight w:val="green"/>
              </w:rPr>
            </w:pPr>
            <w:r w:rsidRPr="00963D90">
              <w:t>Net result</w:t>
            </w:r>
          </w:p>
        </w:tc>
        <w:tc>
          <w:tcPr>
            <w:tcW w:w="753" w:type="dxa"/>
            <w:tcBorders>
              <w:top w:val="single" w:sz="4" w:space="0" w:color="000000" w:themeColor="text1"/>
              <w:bottom w:val="single" w:sz="4" w:space="0" w:color="000000" w:themeColor="text1"/>
            </w:tcBorders>
            <w:noWrap/>
          </w:tcPr>
          <w:p w14:paraId="3D074D89" w14:textId="77777777" w:rsidR="0094651F" w:rsidRPr="00BA7805" w:rsidRDefault="0094651F">
            <w:pPr>
              <w:pStyle w:val="ARfintablebodyrightbold8pt"/>
              <w:rPr>
                <w:highlight w:val="green"/>
              </w:rPr>
            </w:pPr>
            <w:r w:rsidRPr="00367D51">
              <w:t>(47.8)</w:t>
            </w:r>
          </w:p>
        </w:tc>
        <w:tc>
          <w:tcPr>
            <w:tcW w:w="856" w:type="dxa"/>
            <w:tcBorders>
              <w:top w:val="single" w:sz="4" w:space="0" w:color="000000" w:themeColor="text1"/>
              <w:bottom w:val="single" w:sz="4" w:space="0" w:color="000000" w:themeColor="text1"/>
            </w:tcBorders>
            <w:noWrap/>
          </w:tcPr>
          <w:p w14:paraId="5C364E78" w14:textId="77777777" w:rsidR="0094651F" w:rsidRPr="00BA7805" w:rsidRDefault="0094651F">
            <w:pPr>
              <w:pStyle w:val="ARfintablebodyrightbold8pt"/>
              <w:rPr>
                <w:highlight w:val="green"/>
              </w:rPr>
            </w:pPr>
            <w:r w:rsidRPr="00367D51">
              <w:t>(136.5)</w:t>
            </w:r>
          </w:p>
        </w:tc>
        <w:tc>
          <w:tcPr>
            <w:tcW w:w="779" w:type="dxa"/>
            <w:tcBorders>
              <w:top w:val="single" w:sz="4" w:space="0" w:color="000000" w:themeColor="text1"/>
              <w:bottom w:val="single" w:sz="4" w:space="0" w:color="000000" w:themeColor="text1"/>
            </w:tcBorders>
            <w:noWrap/>
          </w:tcPr>
          <w:p w14:paraId="2A6D394C" w14:textId="77777777" w:rsidR="0094651F" w:rsidRPr="00BA7805" w:rsidRDefault="0094651F">
            <w:pPr>
              <w:pStyle w:val="ARfintablebodyrightbold8pt"/>
              <w:rPr>
                <w:highlight w:val="green"/>
              </w:rPr>
            </w:pPr>
            <w:r w:rsidRPr="00367D51">
              <w:t>(4.4)</w:t>
            </w:r>
          </w:p>
        </w:tc>
        <w:tc>
          <w:tcPr>
            <w:tcW w:w="780" w:type="dxa"/>
            <w:tcBorders>
              <w:top w:val="single" w:sz="4" w:space="0" w:color="000000" w:themeColor="text1"/>
              <w:bottom w:val="single" w:sz="4" w:space="0" w:color="000000" w:themeColor="text1"/>
            </w:tcBorders>
            <w:noWrap/>
          </w:tcPr>
          <w:p w14:paraId="3B3BDB12" w14:textId="77777777" w:rsidR="0094651F" w:rsidRPr="00BA7805" w:rsidRDefault="0094651F">
            <w:pPr>
              <w:pStyle w:val="ARfintablebodyrightbold8pt"/>
              <w:rPr>
                <w:highlight w:val="green"/>
              </w:rPr>
            </w:pPr>
            <w:r>
              <w:t>–</w:t>
            </w:r>
          </w:p>
        </w:tc>
        <w:tc>
          <w:tcPr>
            <w:tcW w:w="778" w:type="dxa"/>
            <w:tcBorders>
              <w:top w:val="single" w:sz="4" w:space="0" w:color="000000" w:themeColor="text1"/>
              <w:bottom w:val="single" w:sz="4" w:space="0" w:color="000000" w:themeColor="text1"/>
            </w:tcBorders>
            <w:noWrap/>
          </w:tcPr>
          <w:p w14:paraId="02501FCE" w14:textId="77777777" w:rsidR="0094651F" w:rsidRPr="00BA7805" w:rsidRDefault="0094651F">
            <w:pPr>
              <w:pStyle w:val="ARfintablebodyrightbold8pt"/>
              <w:rPr>
                <w:highlight w:val="green"/>
              </w:rPr>
            </w:pPr>
            <w:r w:rsidRPr="00367D51">
              <w:t>0.6</w:t>
            </w:r>
          </w:p>
        </w:tc>
        <w:tc>
          <w:tcPr>
            <w:tcW w:w="779" w:type="dxa"/>
            <w:tcBorders>
              <w:top w:val="single" w:sz="4" w:space="0" w:color="000000" w:themeColor="text1"/>
              <w:bottom w:val="single" w:sz="4" w:space="0" w:color="000000" w:themeColor="text1"/>
            </w:tcBorders>
            <w:noWrap/>
          </w:tcPr>
          <w:p w14:paraId="56E0C247" w14:textId="77777777" w:rsidR="0094651F" w:rsidRPr="00BA7805" w:rsidRDefault="0094651F">
            <w:pPr>
              <w:pStyle w:val="ARfintablebodyrightbold8pt"/>
              <w:rPr>
                <w:highlight w:val="green"/>
              </w:rPr>
            </w:pPr>
            <w:r w:rsidRPr="00367D51">
              <w:t>(1.3)</w:t>
            </w:r>
          </w:p>
        </w:tc>
        <w:tc>
          <w:tcPr>
            <w:tcW w:w="777" w:type="dxa"/>
            <w:tcBorders>
              <w:top w:val="single" w:sz="4" w:space="0" w:color="000000" w:themeColor="text1"/>
              <w:bottom w:val="single" w:sz="4" w:space="0" w:color="000000" w:themeColor="text1"/>
            </w:tcBorders>
            <w:noWrap/>
          </w:tcPr>
          <w:p w14:paraId="078A1097"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56AB1F76"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7DE2CAF4" w14:textId="77777777" w:rsidR="0094651F" w:rsidRPr="00BA7805" w:rsidRDefault="0094651F">
            <w:pPr>
              <w:pStyle w:val="ARfintablebodyrightbold8pt"/>
              <w:rPr>
                <w:highlight w:val="green"/>
              </w:rPr>
            </w:pPr>
            <w:r w:rsidRPr="00367D51">
              <w:t>(0.2)</w:t>
            </w:r>
          </w:p>
        </w:tc>
        <w:tc>
          <w:tcPr>
            <w:tcW w:w="777" w:type="dxa"/>
            <w:tcBorders>
              <w:top w:val="single" w:sz="4" w:space="0" w:color="000000" w:themeColor="text1"/>
              <w:bottom w:val="single" w:sz="4" w:space="0" w:color="000000" w:themeColor="text1"/>
            </w:tcBorders>
            <w:noWrap/>
          </w:tcPr>
          <w:p w14:paraId="0090F1B9" w14:textId="77777777" w:rsidR="0094651F" w:rsidRPr="00BA7805" w:rsidRDefault="0094651F">
            <w:pPr>
              <w:pStyle w:val="ARfintablebodyrightbold8pt"/>
              <w:rPr>
                <w:highlight w:val="green"/>
              </w:rPr>
            </w:pPr>
            <w:r w:rsidRPr="00367D51">
              <w:t>2.2</w:t>
            </w:r>
          </w:p>
        </w:tc>
        <w:tc>
          <w:tcPr>
            <w:tcW w:w="778" w:type="dxa"/>
            <w:tcBorders>
              <w:top w:val="single" w:sz="4" w:space="0" w:color="000000" w:themeColor="text1"/>
              <w:bottom w:val="single" w:sz="4" w:space="0" w:color="000000" w:themeColor="text1"/>
            </w:tcBorders>
            <w:noWrap/>
          </w:tcPr>
          <w:p w14:paraId="5395FC14" w14:textId="77777777" w:rsidR="0094651F" w:rsidRPr="00BA7805" w:rsidRDefault="0094651F">
            <w:pPr>
              <w:pStyle w:val="ARfintablebodyrightbold8pt"/>
              <w:rPr>
                <w:highlight w:val="green"/>
              </w:rPr>
            </w:pPr>
            <w:r w:rsidRPr="00367D51">
              <w:t>(0.2)</w:t>
            </w:r>
          </w:p>
        </w:tc>
        <w:tc>
          <w:tcPr>
            <w:tcW w:w="777" w:type="dxa"/>
            <w:tcBorders>
              <w:top w:val="single" w:sz="4" w:space="0" w:color="000000" w:themeColor="text1"/>
              <w:bottom w:val="single" w:sz="4" w:space="0" w:color="000000" w:themeColor="text1"/>
            </w:tcBorders>
            <w:noWrap/>
          </w:tcPr>
          <w:p w14:paraId="3BF47C1C" w14:textId="77777777" w:rsidR="0094651F" w:rsidRPr="00BA7805" w:rsidRDefault="0094651F">
            <w:pPr>
              <w:pStyle w:val="ARfintablebodyrightbold8pt"/>
              <w:rPr>
                <w:highlight w:val="green"/>
              </w:rPr>
            </w:pPr>
            <w:r w:rsidRPr="00367D51">
              <w:t>(1.1)</w:t>
            </w:r>
          </w:p>
        </w:tc>
        <w:tc>
          <w:tcPr>
            <w:tcW w:w="777" w:type="dxa"/>
            <w:tcBorders>
              <w:top w:val="single" w:sz="4" w:space="0" w:color="000000" w:themeColor="text1"/>
              <w:bottom w:val="single" w:sz="4" w:space="0" w:color="000000" w:themeColor="text1"/>
            </w:tcBorders>
            <w:noWrap/>
          </w:tcPr>
          <w:p w14:paraId="2D4A123E" w14:textId="77777777" w:rsidR="0094651F" w:rsidRPr="00BA7805" w:rsidRDefault="0094651F">
            <w:pPr>
              <w:pStyle w:val="ARfintablebodyrightbold8pt"/>
              <w:rPr>
                <w:highlight w:val="green"/>
              </w:rPr>
            </w:pPr>
            <w:r w:rsidRPr="00367D51">
              <w:t>(4.0)</w:t>
            </w:r>
          </w:p>
        </w:tc>
        <w:tc>
          <w:tcPr>
            <w:tcW w:w="777" w:type="dxa"/>
            <w:tcBorders>
              <w:top w:val="single" w:sz="4" w:space="0" w:color="000000" w:themeColor="text1"/>
              <w:bottom w:val="single" w:sz="4" w:space="0" w:color="000000" w:themeColor="text1"/>
            </w:tcBorders>
            <w:noWrap/>
          </w:tcPr>
          <w:p w14:paraId="0DAAA6B9" w14:textId="77777777" w:rsidR="0094651F" w:rsidRPr="00BA7805" w:rsidRDefault="0094651F">
            <w:pPr>
              <w:pStyle w:val="ARfintablebodyrightbold8pt"/>
              <w:rPr>
                <w:highlight w:val="green"/>
              </w:rPr>
            </w:pPr>
            <w:r w:rsidRPr="00367D51">
              <w:t>(445.6)</w:t>
            </w:r>
          </w:p>
        </w:tc>
        <w:tc>
          <w:tcPr>
            <w:tcW w:w="981" w:type="dxa"/>
            <w:gridSpan w:val="2"/>
            <w:tcBorders>
              <w:top w:val="single" w:sz="4" w:space="0" w:color="000000" w:themeColor="text1"/>
              <w:bottom w:val="single" w:sz="4" w:space="0" w:color="000000" w:themeColor="text1"/>
            </w:tcBorders>
            <w:noWrap/>
          </w:tcPr>
          <w:p w14:paraId="66CAC4A5" w14:textId="77777777" w:rsidR="0094651F" w:rsidRPr="00BA7805" w:rsidRDefault="0094651F">
            <w:pPr>
              <w:pStyle w:val="ARfintablebodyrightbold8pt"/>
              <w:rPr>
                <w:highlight w:val="green"/>
              </w:rPr>
            </w:pPr>
            <w:r w:rsidRPr="00367D51">
              <w:t>(638.4)</w:t>
            </w:r>
          </w:p>
        </w:tc>
      </w:tr>
      <w:tr w:rsidR="0094651F" w:rsidRPr="00BA7805" w14:paraId="546986B5" w14:textId="77777777" w:rsidTr="002B501C">
        <w:trPr>
          <w:trHeight w:val="170"/>
        </w:trPr>
        <w:tc>
          <w:tcPr>
            <w:tcW w:w="5815" w:type="dxa"/>
            <w:gridSpan w:val="5"/>
            <w:tcBorders>
              <w:top w:val="single" w:sz="4" w:space="0" w:color="000000" w:themeColor="text1"/>
            </w:tcBorders>
          </w:tcPr>
          <w:p w14:paraId="34FA56BC" w14:textId="77777777" w:rsidR="0094651F" w:rsidRPr="00837CCF" w:rsidRDefault="0094651F">
            <w:pPr>
              <w:pStyle w:val="ARfintablebodyright8pt"/>
              <w:jc w:val="left"/>
            </w:pPr>
            <w:r w:rsidRPr="00837CCF">
              <w:rPr>
                <w:b/>
              </w:rPr>
              <w:t>Other economic flows – other comprehensive income</w:t>
            </w:r>
          </w:p>
        </w:tc>
        <w:tc>
          <w:tcPr>
            <w:tcW w:w="778" w:type="dxa"/>
            <w:tcBorders>
              <w:top w:val="single" w:sz="4" w:space="0" w:color="000000" w:themeColor="text1"/>
            </w:tcBorders>
            <w:noWrap/>
          </w:tcPr>
          <w:p w14:paraId="02DE43FD" w14:textId="77777777" w:rsidR="0094651F" w:rsidRPr="00BA7805" w:rsidRDefault="0094651F">
            <w:pPr>
              <w:pStyle w:val="ARfintablebodyright8pt"/>
              <w:rPr>
                <w:highlight w:val="green"/>
              </w:rPr>
            </w:pPr>
          </w:p>
        </w:tc>
        <w:tc>
          <w:tcPr>
            <w:tcW w:w="779" w:type="dxa"/>
            <w:tcBorders>
              <w:top w:val="single" w:sz="4" w:space="0" w:color="000000" w:themeColor="text1"/>
            </w:tcBorders>
            <w:noWrap/>
          </w:tcPr>
          <w:p w14:paraId="23E304A6"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57360F93"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50005EE1"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3944CDD5"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1F993408" w14:textId="77777777" w:rsidR="0094651F" w:rsidRPr="00BA7805" w:rsidRDefault="0094651F">
            <w:pPr>
              <w:pStyle w:val="ARfintablebodyright8pt"/>
              <w:rPr>
                <w:highlight w:val="green"/>
              </w:rPr>
            </w:pPr>
          </w:p>
        </w:tc>
        <w:tc>
          <w:tcPr>
            <w:tcW w:w="778" w:type="dxa"/>
            <w:tcBorders>
              <w:top w:val="single" w:sz="4" w:space="0" w:color="000000" w:themeColor="text1"/>
            </w:tcBorders>
            <w:noWrap/>
          </w:tcPr>
          <w:p w14:paraId="536DCD9A"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36757DB7"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5464971E" w14:textId="77777777" w:rsidR="0094651F" w:rsidRPr="00BA7805" w:rsidRDefault="0094651F">
            <w:pPr>
              <w:pStyle w:val="ARfintablebodyright8pt"/>
              <w:rPr>
                <w:highlight w:val="green"/>
              </w:rPr>
            </w:pPr>
          </w:p>
        </w:tc>
        <w:tc>
          <w:tcPr>
            <w:tcW w:w="777" w:type="dxa"/>
            <w:tcBorders>
              <w:top w:val="single" w:sz="4" w:space="0" w:color="000000" w:themeColor="text1"/>
            </w:tcBorders>
            <w:noWrap/>
          </w:tcPr>
          <w:p w14:paraId="3206383C" w14:textId="77777777" w:rsidR="0094651F" w:rsidRPr="00BA7805" w:rsidRDefault="0094651F">
            <w:pPr>
              <w:pStyle w:val="ARfintablebodyright8pt"/>
              <w:rPr>
                <w:highlight w:val="green"/>
              </w:rPr>
            </w:pPr>
          </w:p>
        </w:tc>
        <w:tc>
          <w:tcPr>
            <w:tcW w:w="981" w:type="dxa"/>
            <w:gridSpan w:val="2"/>
            <w:tcBorders>
              <w:top w:val="single" w:sz="4" w:space="0" w:color="000000" w:themeColor="text1"/>
            </w:tcBorders>
            <w:noWrap/>
          </w:tcPr>
          <w:p w14:paraId="33A82393" w14:textId="77777777" w:rsidR="0094651F" w:rsidRPr="00BA7805" w:rsidRDefault="0094651F">
            <w:pPr>
              <w:pStyle w:val="ARfintablebodyright8pt"/>
              <w:rPr>
                <w:highlight w:val="green"/>
              </w:rPr>
            </w:pPr>
          </w:p>
        </w:tc>
      </w:tr>
      <w:tr w:rsidR="0094651F" w:rsidRPr="00BA7805" w14:paraId="083F5E88" w14:textId="77777777" w:rsidTr="002B501C">
        <w:trPr>
          <w:trHeight w:val="170"/>
        </w:trPr>
        <w:tc>
          <w:tcPr>
            <w:tcW w:w="5815" w:type="dxa"/>
            <w:gridSpan w:val="5"/>
          </w:tcPr>
          <w:p w14:paraId="6F61B274" w14:textId="77777777" w:rsidR="0094651F" w:rsidRPr="00837CCF" w:rsidRDefault="0094651F">
            <w:pPr>
              <w:pStyle w:val="ARfintablebodyright8pt"/>
              <w:jc w:val="left"/>
            </w:pPr>
            <w:r w:rsidRPr="00837CCF">
              <w:rPr>
                <w:b/>
              </w:rPr>
              <w:t>Items that will not be reclassified to net result</w:t>
            </w:r>
          </w:p>
        </w:tc>
        <w:tc>
          <w:tcPr>
            <w:tcW w:w="778" w:type="dxa"/>
            <w:noWrap/>
          </w:tcPr>
          <w:p w14:paraId="12081124" w14:textId="77777777" w:rsidR="0094651F" w:rsidRPr="00BA7805" w:rsidRDefault="0094651F">
            <w:pPr>
              <w:pStyle w:val="ARfintablebodyright8pt"/>
              <w:rPr>
                <w:highlight w:val="green"/>
              </w:rPr>
            </w:pPr>
          </w:p>
        </w:tc>
        <w:tc>
          <w:tcPr>
            <w:tcW w:w="779" w:type="dxa"/>
            <w:noWrap/>
          </w:tcPr>
          <w:p w14:paraId="5A865570" w14:textId="77777777" w:rsidR="0094651F" w:rsidRPr="00BA7805" w:rsidRDefault="0094651F">
            <w:pPr>
              <w:pStyle w:val="ARfintablebodyright8pt"/>
              <w:rPr>
                <w:highlight w:val="green"/>
              </w:rPr>
            </w:pPr>
          </w:p>
        </w:tc>
        <w:tc>
          <w:tcPr>
            <w:tcW w:w="777" w:type="dxa"/>
            <w:noWrap/>
          </w:tcPr>
          <w:p w14:paraId="6E888ED7" w14:textId="77777777" w:rsidR="0094651F" w:rsidRPr="00BA7805" w:rsidRDefault="0094651F">
            <w:pPr>
              <w:pStyle w:val="ARfintablebodyright8pt"/>
              <w:rPr>
                <w:highlight w:val="green"/>
              </w:rPr>
            </w:pPr>
          </w:p>
        </w:tc>
        <w:tc>
          <w:tcPr>
            <w:tcW w:w="777" w:type="dxa"/>
            <w:noWrap/>
          </w:tcPr>
          <w:p w14:paraId="07DCB031" w14:textId="77777777" w:rsidR="0094651F" w:rsidRPr="00BA7805" w:rsidRDefault="0094651F">
            <w:pPr>
              <w:pStyle w:val="ARfintablebodyright8pt"/>
              <w:rPr>
                <w:highlight w:val="green"/>
              </w:rPr>
            </w:pPr>
          </w:p>
        </w:tc>
        <w:tc>
          <w:tcPr>
            <w:tcW w:w="777" w:type="dxa"/>
            <w:noWrap/>
          </w:tcPr>
          <w:p w14:paraId="385FF270" w14:textId="77777777" w:rsidR="0094651F" w:rsidRPr="00BA7805" w:rsidRDefault="0094651F">
            <w:pPr>
              <w:pStyle w:val="ARfintablebodyright8pt"/>
              <w:rPr>
                <w:highlight w:val="green"/>
              </w:rPr>
            </w:pPr>
          </w:p>
        </w:tc>
        <w:tc>
          <w:tcPr>
            <w:tcW w:w="777" w:type="dxa"/>
            <w:noWrap/>
          </w:tcPr>
          <w:p w14:paraId="53E473B9" w14:textId="77777777" w:rsidR="0094651F" w:rsidRPr="00BA7805" w:rsidRDefault="0094651F">
            <w:pPr>
              <w:pStyle w:val="ARfintablebodyright8pt"/>
              <w:rPr>
                <w:highlight w:val="green"/>
              </w:rPr>
            </w:pPr>
          </w:p>
        </w:tc>
        <w:tc>
          <w:tcPr>
            <w:tcW w:w="778" w:type="dxa"/>
            <w:noWrap/>
          </w:tcPr>
          <w:p w14:paraId="7E387385" w14:textId="77777777" w:rsidR="0094651F" w:rsidRPr="00BA7805" w:rsidRDefault="0094651F">
            <w:pPr>
              <w:pStyle w:val="ARfintablebodyright8pt"/>
              <w:rPr>
                <w:highlight w:val="green"/>
              </w:rPr>
            </w:pPr>
          </w:p>
        </w:tc>
        <w:tc>
          <w:tcPr>
            <w:tcW w:w="777" w:type="dxa"/>
            <w:noWrap/>
          </w:tcPr>
          <w:p w14:paraId="56B4A40F" w14:textId="77777777" w:rsidR="0094651F" w:rsidRPr="00BA7805" w:rsidRDefault="0094651F">
            <w:pPr>
              <w:pStyle w:val="ARfintablebodyright8pt"/>
              <w:rPr>
                <w:highlight w:val="green"/>
              </w:rPr>
            </w:pPr>
          </w:p>
        </w:tc>
        <w:tc>
          <w:tcPr>
            <w:tcW w:w="777" w:type="dxa"/>
            <w:noWrap/>
          </w:tcPr>
          <w:p w14:paraId="6B06BF45" w14:textId="77777777" w:rsidR="0094651F" w:rsidRPr="00BA7805" w:rsidRDefault="0094651F">
            <w:pPr>
              <w:pStyle w:val="ARfintablebodyright8pt"/>
              <w:rPr>
                <w:highlight w:val="green"/>
              </w:rPr>
            </w:pPr>
          </w:p>
        </w:tc>
        <w:tc>
          <w:tcPr>
            <w:tcW w:w="777" w:type="dxa"/>
            <w:noWrap/>
          </w:tcPr>
          <w:p w14:paraId="7CE4A283" w14:textId="77777777" w:rsidR="0094651F" w:rsidRPr="00BA7805" w:rsidRDefault="0094651F">
            <w:pPr>
              <w:pStyle w:val="ARfintablebodyright8pt"/>
              <w:rPr>
                <w:highlight w:val="green"/>
              </w:rPr>
            </w:pPr>
          </w:p>
        </w:tc>
        <w:tc>
          <w:tcPr>
            <w:tcW w:w="981" w:type="dxa"/>
            <w:gridSpan w:val="2"/>
            <w:noWrap/>
          </w:tcPr>
          <w:p w14:paraId="6A3B83E2" w14:textId="77777777" w:rsidR="0094651F" w:rsidRPr="00BA7805" w:rsidRDefault="0094651F">
            <w:pPr>
              <w:pStyle w:val="ARfintablebodyright8pt"/>
              <w:rPr>
                <w:highlight w:val="green"/>
              </w:rPr>
            </w:pPr>
          </w:p>
        </w:tc>
      </w:tr>
      <w:tr w:rsidR="002B501C" w:rsidRPr="00BA7805" w14:paraId="137DFBFE" w14:textId="77777777" w:rsidTr="002B501C">
        <w:trPr>
          <w:trHeight w:val="170"/>
        </w:trPr>
        <w:tc>
          <w:tcPr>
            <w:tcW w:w="2647" w:type="dxa"/>
            <w:tcBorders>
              <w:bottom w:val="single" w:sz="4" w:space="0" w:color="A6A6A6" w:themeColor="accent5"/>
            </w:tcBorders>
          </w:tcPr>
          <w:p w14:paraId="021A2A54" w14:textId="77777777" w:rsidR="0094651F" w:rsidRPr="00963D90" w:rsidRDefault="0094651F">
            <w:pPr>
              <w:pStyle w:val="ARfintablebody8pt"/>
              <w:rPr>
                <w:highlight w:val="green"/>
              </w:rPr>
            </w:pPr>
            <w:r w:rsidRPr="00963D90">
              <w:t>Changes in physical asset revaluation surplus</w:t>
            </w:r>
          </w:p>
        </w:tc>
        <w:tc>
          <w:tcPr>
            <w:tcW w:w="753" w:type="dxa"/>
            <w:tcBorders>
              <w:bottom w:val="single" w:sz="4" w:space="0" w:color="A6A6A6" w:themeColor="accent5"/>
            </w:tcBorders>
            <w:noWrap/>
          </w:tcPr>
          <w:p w14:paraId="40D67E5B" w14:textId="77777777" w:rsidR="0094651F" w:rsidRPr="00BA7805" w:rsidRDefault="0094651F">
            <w:pPr>
              <w:pStyle w:val="ARfintablebodyright8pt"/>
              <w:rPr>
                <w:highlight w:val="green"/>
              </w:rPr>
            </w:pPr>
            <w:r w:rsidRPr="00367D51">
              <w:t>(37.5)</w:t>
            </w:r>
          </w:p>
        </w:tc>
        <w:tc>
          <w:tcPr>
            <w:tcW w:w="856" w:type="dxa"/>
            <w:tcBorders>
              <w:bottom w:val="single" w:sz="4" w:space="0" w:color="A6A6A6" w:themeColor="accent5"/>
            </w:tcBorders>
            <w:noWrap/>
          </w:tcPr>
          <w:p w14:paraId="7FBA387B" w14:textId="77777777" w:rsidR="0094651F" w:rsidRPr="00BA7805" w:rsidRDefault="0094651F">
            <w:pPr>
              <w:pStyle w:val="ARfintablebodyright8pt"/>
              <w:rPr>
                <w:highlight w:val="green"/>
              </w:rPr>
            </w:pPr>
            <w:r w:rsidRPr="00367D51">
              <w:t>(15.7)</w:t>
            </w:r>
          </w:p>
        </w:tc>
        <w:tc>
          <w:tcPr>
            <w:tcW w:w="779" w:type="dxa"/>
            <w:tcBorders>
              <w:bottom w:val="single" w:sz="4" w:space="0" w:color="A6A6A6" w:themeColor="accent5"/>
            </w:tcBorders>
            <w:noWrap/>
          </w:tcPr>
          <w:p w14:paraId="2615CC35" w14:textId="77777777" w:rsidR="0094651F" w:rsidRPr="00BA7805" w:rsidRDefault="0094651F">
            <w:pPr>
              <w:pStyle w:val="ARfintablebodyright8pt"/>
              <w:rPr>
                <w:highlight w:val="green"/>
              </w:rPr>
            </w:pPr>
            <w:r>
              <w:t>–</w:t>
            </w:r>
          </w:p>
        </w:tc>
        <w:tc>
          <w:tcPr>
            <w:tcW w:w="780" w:type="dxa"/>
            <w:tcBorders>
              <w:bottom w:val="single" w:sz="4" w:space="0" w:color="A6A6A6" w:themeColor="accent5"/>
            </w:tcBorders>
            <w:noWrap/>
          </w:tcPr>
          <w:p w14:paraId="2D47DB1B" w14:textId="77777777" w:rsidR="0094651F" w:rsidRPr="00BA7805" w:rsidRDefault="0094651F">
            <w:pPr>
              <w:pStyle w:val="ARfintablebodyright8pt"/>
              <w:rPr>
                <w:highlight w:val="green"/>
              </w:rPr>
            </w:pPr>
            <w:r>
              <w:t>–</w:t>
            </w:r>
          </w:p>
        </w:tc>
        <w:tc>
          <w:tcPr>
            <w:tcW w:w="778" w:type="dxa"/>
            <w:tcBorders>
              <w:bottom w:val="single" w:sz="4" w:space="0" w:color="A6A6A6" w:themeColor="accent5"/>
            </w:tcBorders>
            <w:noWrap/>
          </w:tcPr>
          <w:p w14:paraId="38AD6A15" w14:textId="77777777" w:rsidR="0094651F" w:rsidRPr="00BA7805" w:rsidRDefault="0094651F">
            <w:pPr>
              <w:pStyle w:val="ARfintablebodyright8pt"/>
              <w:rPr>
                <w:highlight w:val="green"/>
              </w:rPr>
            </w:pPr>
            <w:r>
              <w:t>–</w:t>
            </w:r>
          </w:p>
        </w:tc>
        <w:tc>
          <w:tcPr>
            <w:tcW w:w="779" w:type="dxa"/>
            <w:tcBorders>
              <w:bottom w:val="single" w:sz="4" w:space="0" w:color="A6A6A6" w:themeColor="accent5"/>
            </w:tcBorders>
            <w:noWrap/>
          </w:tcPr>
          <w:p w14:paraId="6FCB8835" w14:textId="77777777" w:rsidR="0094651F" w:rsidRPr="00BA7805" w:rsidRDefault="0094651F">
            <w:pPr>
              <w:pStyle w:val="ARfintablebodyright8pt"/>
              <w:rPr>
                <w:highlight w:val="green"/>
              </w:rPr>
            </w:pPr>
            <w:r>
              <w:t>–</w:t>
            </w:r>
          </w:p>
        </w:tc>
        <w:tc>
          <w:tcPr>
            <w:tcW w:w="777" w:type="dxa"/>
            <w:tcBorders>
              <w:bottom w:val="single" w:sz="4" w:space="0" w:color="A6A6A6" w:themeColor="accent5"/>
            </w:tcBorders>
            <w:noWrap/>
          </w:tcPr>
          <w:p w14:paraId="6E355EA0" w14:textId="77777777" w:rsidR="0094651F" w:rsidRPr="00BA7805" w:rsidRDefault="0094651F">
            <w:pPr>
              <w:pStyle w:val="ARfintablebodyright8pt"/>
              <w:rPr>
                <w:highlight w:val="green"/>
              </w:rPr>
            </w:pPr>
            <w:r>
              <w:t>–</w:t>
            </w:r>
          </w:p>
        </w:tc>
        <w:tc>
          <w:tcPr>
            <w:tcW w:w="777" w:type="dxa"/>
            <w:tcBorders>
              <w:bottom w:val="single" w:sz="4" w:space="0" w:color="A6A6A6" w:themeColor="accent5"/>
            </w:tcBorders>
            <w:noWrap/>
          </w:tcPr>
          <w:p w14:paraId="107C0641" w14:textId="77777777" w:rsidR="0094651F" w:rsidRPr="00BA7805" w:rsidRDefault="0094651F">
            <w:pPr>
              <w:pStyle w:val="ARfintablebodyright8pt"/>
              <w:rPr>
                <w:highlight w:val="green"/>
              </w:rPr>
            </w:pPr>
            <w:r>
              <w:t>–</w:t>
            </w:r>
          </w:p>
        </w:tc>
        <w:tc>
          <w:tcPr>
            <w:tcW w:w="777" w:type="dxa"/>
            <w:tcBorders>
              <w:bottom w:val="single" w:sz="4" w:space="0" w:color="A6A6A6" w:themeColor="accent5"/>
            </w:tcBorders>
            <w:noWrap/>
          </w:tcPr>
          <w:p w14:paraId="0108B546" w14:textId="77777777" w:rsidR="0094651F" w:rsidRPr="00BA7805" w:rsidRDefault="0094651F">
            <w:pPr>
              <w:pStyle w:val="ARfintablebodyright8pt"/>
              <w:rPr>
                <w:highlight w:val="green"/>
              </w:rPr>
            </w:pPr>
            <w:r>
              <w:t>–</w:t>
            </w:r>
          </w:p>
        </w:tc>
        <w:tc>
          <w:tcPr>
            <w:tcW w:w="777" w:type="dxa"/>
            <w:tcBorders>
              <w:bottom w:val="single" w:sz="4" w:space="0" w:color="A6A6A6" w:themeColor="accent5"/>
            </w:tcBorders>
            <w:noWrap/>
          </w:tcPr>
          <w:p w14:paraId="461EE0BF" w14:textId="77777777" w:rsidR="0094651F" w:rsidRPr="00BA7805" w:rsidRDefault="0094651F">
            <w:pPr>
              <w:pStyle w:val="ARfintablebodyright8pt"/>
              <w:rPr>
                <w:highlight w:val="green"/>
              </w:rPr>
            </w:pPr>
            <w:r>
              <w:t>–</w:t>
            </w:r>
          </w:p>
        </w:tc>
        <w:tc>
          <w:tcPr>
            <w:tcW w:w="778" w:type="dxa"/>
            <w:tcBorders>
              <w:bottom w:val="single" w:sz="4" w:space="0" w:color="A6A6A6" w:themeColor="accent5"/>
            </w:tcBorders>
            <w:noWrap/>
          </w:tcPr>
          <w:p w14:paraId="29A0E092" w14:textId="77777777" w:rsidR="0094651F" w:rsidRPr="00BA7805" w:rsidRDefault="0094651F">
            <w:pPr>
              <w:pStyle w:val="ARfintablebodyright8pt"/>
              <w:rPr>
                <w:highlight w:val="green"/>
              </w:rPr>
            </w:pPr>
            <w:r>
              <w:t>–</w:t>
            </w:r>
          </w:p>
        </w:tc>
        <w:tc>
          <w:tcPr>
            <w:tcW w:w="777" w:type="dxa"/>
            <w:tcBorders>
              <w:bottom w:val="single" w:sz="4" w:space="0" w:color="A6A6A6" w:themeColor="accent5"/>
            </w:tcBorders>
            <w:noWrap/>
          </w:tcPr>
          <w:p w14:paraId="1BD41689" w14:textId="77777777" w:rsidR="0094651F" w:rsidRPr="00BA7805" w:rsidRDefault="0094651F">
            <w:pPr>
              <w:pStyle w:val="ARfintablebodyright8pt"/>
              <w:rPr>
                <w:highlight w:val="green"/>
              </w:rPr>
            </w:pPr>
            <w:r>
              <w:t>–</w:t>
            </w:r>
          </w:p>
        </w:tc>
        <w:tc>
          <w:tcPr>
            <w:tcW w:w="777" w:type="dxa"/>
            <w:tcBorders>
              <w:bottom w:val="single" w:sz="4" w:space="0" w:color="A6A6A6" w:themeColor="accent5"/>
            </w:tcBorders>
            <w:noWrap/>
          </w:tcPr>
          <w:p w14:paraId="327142EA" w14:textId="77777777" w:rsidR="0094651F" w:rsidRPr="00BA7805" w:rsidRDefault="0094651F">
            <w:pPr>
              <w:pStyle w:val="ARfintablebodyright8pt"/>
              <w:rPr>
                <w:highlight w:val="green"/>
              </w:rPr>
            </w:pPr>
            <w:r>
              <w:t>–</w:t>
            </w:r>
          </w:p>
        </w:tc>
        <w:tc>
          <w:tcPr>
            <w:tcW w:w="777" w:type="dxa"/>
            <w:tcBorders>
              <w:bottom w:val="single" w:sz="4" w:space="0" w:color="A6A6A6" w:themeColor="accent5"/>
            </w:tcBorders>
            <w:noWrap/>
          </w:tcPr>
          <w:p w14:paraId="3E20C6E0" w14:textId="77777777" w:rsidR="0094651F" w:rsidRPr="00BA7805" w:rsidRDefault="0094651F">
            <w:pPr>
              <w:pStyle w:val="ARfintablebodyright8pt"/>
              <w:rPr>
                <w:highlight w:val="green"/>
              </w:rPr>
            </w:pPr>
            <w:r w:rsidRPr="00367D51">
              <w:t>1,238.9</w:t>
            </w:r>
          </w:p>
        </w:tc>
        <w:tc>
          <w:tcPr>
            <w:tcW w:w="981" w:type="dxa"/>
            <w:gridSpan w:val="2"/>
            <w:tcBorders>
              <w:bottom w:val="single" w:sz="4" w:space="0" w:color="A6A6A6" w:themeColor="accent5"/>
            </w:tcBorders>
            <w:noWrap/>
          </w:tcPr>
          <w:p w14:paraId="0A7A5E3D" w14:textId="77777777" w:rsidR="0094651F" w:rsidRPr="00BA7805" w:rsidRDefault="0094651F">
            <w:pPr>
              <w:pStyle w:val="ARfintablebodyright8pt"/>
              <w:rPr>
                <w:highlight w:val="green"/>
              </w:rPr>
            </w:pPr>
            <w:r w:rsidRPr="00367D51">
              <w:t>1,185.7</w:t>
            </w:r>
          </w:p>
        </w:tc>
      </w:tr>
      <w:tr w:rsidR="002B501C" w:rsidRPr="00BA7805" w14:paraId="3CCBEA3A" w14:textId="77777777" w:rsidTr="002B501C">
        <w:trPr>
          <w:trHeight w:val="170"/>
        </w:trPr>
        <w:tc>
          <w:tcPr>
            <w:tcW w:w="2647" w:type="dxa"/>
            <w:tcBorders>
              <w:top w:val="single" w:sz="4" w:space="0" w:color="A6A6A6" w:themeColor="accent5"/>
              <w:bottom w:val="single" w:sz="4" w:space="0" w:color="000000" w:themeColor="text1"/>
            </w:tcBorders>
          </w:tcPr>
          <w:p w14:paraId="6338EABB" w14:textId="77777777" w:rsidR="0094651F" w:rsidRPr="00963D90" w:rsidRDefault="0094651F">
            <w:pPr>
              <w:pStyle w:val="ARfintablebody8pt"/>
              <w:rPr>
                <w:highlight w:val="green"/>
              </w:rPr>
            </w:pPr>
            <w:r w:rsidRPr="00963D90">
              <w:t>Remeasurement of superannuation defined benefit plans</w:t>
            </w:r>
          </w:p>
        </w:tc>
        <w:tc>
          <w:tcPr>
            <w:tcW w:w="753" w:type="dxa"/>
            <w:tcBorders>
              <w:top w:val="single" w:sz="4" w:space="0" w:color="A6A6A6" w:themeColor="accent5"/>
              <w:bottom w:val="single" w:sz="4" w:space="0" w:color="000000" w:themeColor="text1"/>
            </w:tcBorders>
            <w:noWrap/>
          </w:tcPr>
          <w:p w14:paraId="1991EF43" w14:textId="77777777" w:rsidR="0094651F" w:rsidRPr="00BA7805" w:rsidRDefault="0094651F">
            <w:pPr>
              <w:pStyle w:val="ARfintablebodyright8pt"/>
              <w:rPr>
                <w:highlight w:val="green"/>
              </w:rPr>
            </w:pPr>
            <w:r>
              <w:t>–</w:t>
            </w:r>
          </w:p>
        </w:tc>
        <w:tc>
          <w:tcPr>
            <w:tcW w:w="856" w:type="dxa"/>
            <w:tcBorders>
              <w:top w:val="single" w:sz="4" w:space="0" w:color="A6A6A6" w:themeColor="accent5"/>
              <w:bottom w:val="single" w:sz="4" w:space="0" w:color="000000" w:themeColor="text1"/>
            </w:tcBorders>
            <w:noWrap/>
          </w:tcPr>
          <w:p w14:paraId="0E94A354" w14:textId="77777777" w:rsidR="0094651F" w:rsidRPr="00BA7805" w:rsidRDefault="0094651F">
            <w:pPr>
              <w:pStyle w:val="ARfintablebodyright8pt"/>
              <w:rPr>
                <w:highlight w:val="green"/>
              </w:rPr>
            </w:pPr>
            <w:r>
              <w:t>–</w:t>
            </w:r>
          </w:p>
        </w:tc>
        <w:tc>
          <w:tcPr>
            <w:tcW w:w="779" w:type="dxa"/>
            <w:tcBorders>
              <w:top w:val="single" w:sz="4" w:space="0" w:color="A6A6A6" w:themeColor="accent5"/>
              <w:bottom w:val="single" w:sz="4" w:space="0" w:color="000000" w:themeColor="text1"/>
            </w:tcBorders>
            <w:noWrap/>
          </w:tcPr>
          <w:p w14:paraId="774A73A7" w14:textId="77777777" w:rsidR="0094651F" w:rsidRPr="00BA7805" w:rsidRDefault="0094651F">
            <w:pPr>
              <w:pStyle w:val="ARfintablebodyright8pt"/>
              <w:rPr>
                <w:highlight w:val="green"/>
              </w:rPr>
            </w:pPr>
            <w:r>
              <w:t>–</w:t>
            </w:r>
          </w:p>
        </w:tc>
        <w:tc>
          <w:tcPr>
            <w:tcW w:w="780" w:type="dxa"/>
            <w:tcBorders>
              <w:top w:val="single" w:sz="4" w:space="0" w:color="A6A6A6" w:themeColor="accent5"/>
              <w:bottom w:val="single" w:sz="4" w:space="0" w:color="000000" w:themeColor="text1"/>
            </w:tcBorders>
            <w:noWrap/>
          </w:tcPr>
          <w:p w14:paraId="7E43B8F6" w14:textId="77777777" w:rsidR="0094651F" w:rsidRPr="00BA7805" w:rsidRDefault="0094651F">
            <w:pPr>
              <w:pStyle w:val="ARfintablebodyright8pt"/>
              <w:rPr>
                <w:highlight w:val="green"/>
              </w:rPr>
            </w:pPr>
            <w:r>
              <w:t>–</w:t>
            </w:r>
          </w:p>
        </w:tc>
        <w:tc>
          <w:tcPr>
            <w:tcW w:w="778" w:type="dxa"/>
            <w:tcBorders>
              <w:top w:val="single" w:sz="4" w:space="0" w:color="A6A6A6" w:themeColor="accent5"/>
              <w:bottom w:val="single" w:sz="4" w:space="0" w:color="000000" w:themeColor="text1"/>
            </w:tcBorders>
            <w:noWrap/>
          </w:tcPr>
          <w:p w14:paraId="071BB9C5" w14:textId="77777777" w:rsidR="0094651F" w:rsidRPr="00BA7805" w:rsidRDefault="0094651F">
            <w:pPr>
              <w:pStyle w:val="ARfintablebodyright8pt"/>
              <w:rPr>
                <w:highlight w:val="green"/>
              </w:rPr>
            </w:pPr>
            <w:r>
              <w:t>–</w:t>
            </w:r>
          </w:p>
        </w:tc>
        <w:tc>
          <w:tcPr>
            <w:tcW w:w="779" w:type="dxa"/>
            <w:tcBorders>
              <w:top w:val="single" w:sz="4" w:space="0" w:color="A6A6A6" w:themeColor="accent5"/>
              <w:bottom w:val="single" w:sz="4" w:space="0" w:color="000000" w:themeColor="text1"/>
            </w:tcBorders>
            <w:noWrap/>
          </w:tcPr>
          <w:p w14:paraId="4DB26C8B"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50FAF041"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45DFCCB2"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35BCB5C3"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2395BF4D" w14:textId="77777777" w:rsidR="0094651F" w:rsidRPr="00BA7805" w:rsidRDefault="0094651F">
            <w:pPr>
              <w:pStyle w:val="ARfintablebodyright8pt"/>
              <w:rPr>
                <w:highlight w:val="green"/>
              </w:rPr>
            </w:pPr>
            <w:r>
              <w:t>–</w:t>
            </w:r>
          </w:p>
        </w:tc>
        <w:tc>
          <w:tcPr>
            <w:tcW w:w="778" w:type="dxa"/>
            <w:tcBorders>
              <w:top w:val="single" w:sz="4" w:space="0" w:color="A6A6A6" w:themeColor="accent5"/>
              <w:bottom w:val="single" w:sz="4" w:space="0" w:color="000000" w:themeColor="text1"/>
            </w:tcBorders>
            <w:noWrap/>
          </w:tcPr>
          <w:p w14:paraId="42D8AF0F"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0DC0B43C"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34CF16D9" w14:textId="77777777" w:rsidR="0094651F" w:rsidRPr="00BA7805" w:rsidRDefault="0094651F">
            <w:pPr>
              <w:pStyle w:val="ARfintablebodyright8pt"/>
              <w:rPr>
                <w:highlight w:val="green"/>
              </w:rPr>
            </w:pPr>
            <w:r>
              <w:t>–</w:t>
            </w:r>
          </w:p>
        </w:tc>
        <w:tc>
          <w:tcPr>
            <w:tcW w:w="777" w:type="dxa"/>
            <w:tcBorders>
              <w:top w:val="single" w:sz="4" w:space="0" w:color="A6A6A6" w:themeColor="accent5"/>
              <w:bottom w:val="single" w:sz="4" w:space="0" w:color="000000" w:themeColor="text1"/>
            </w:tcBorders>
            <w:noWrap/>
          </w:tcPr>
          <w:p w14:paraId="07AC4D64" w14:textId="77777777" w:rsidR="0094651F" w:rsidRPr="00BA7805" w:rsidRDefault="0094651F">
            <w:pPr>
              <w:pStyle w:val="ARfintablebodyright8pt"/>
              <w:rPr>
                <w:highlight w:val="green"/>
              </w:rPr>
            </w:pPr>
            <w:r w:rsidRPr="00367D51">
              <w:t>2.1</w:t>
            </w:r>
          </w:p>
        </w:tc>
        <w:tc>
          <w:tcPr>
            <w:tcW w:w="981" w:type="dxa"/>
            <w:gridSpan w:val="2"/>
            <w:tcBorders>
              <w:top w:val="single" w:sz="4" w:space="0" w:color="A6A6A6" w:themeColor="accent5"/>
              <w:bottom w:val="single" w:sz="4" w:space="0" w:color="000000" w:themeColor="text1"/>
            </w:tcBorders>
            <w:noWrap/>
          </w:tcPr>
          <w:p w14:paraId="78219E89" w14:textId="77777777" w:rsidR="0094651F" w:rsidRPr="00BA7805" w:rsidRDefault="0094651F">
            <w:pPr>
              <w:pStyle w:val="ARfintablebodyright8pt"/>
              <w:rPr>
                <w:highlight w:val="green"/>
              </w:rPr>
            </w:pPr>
            <w:r w:rsidRPr="00367D51">
              <w:t>2.1</w:t>
            </w:r>
          </w:p>
        </w:tc>
      </w:tr>
      <w:tr w:rsidR="002B501C" w:rsidRPr="00BA7805" w14:paraId="54DC29A8" w14:textId="77777777" w:rsidTr="002B501C">
        <w:trPr>
          <w:trHeight w:val="170"/>
        </w:trPr>
        <w:tc>
          <w:tcPr>
            <w:tcW w:w="2647" w:type="dxa"/>
            <w:tcBorders>
              <w:top w:val="single" w:sz="4" w:space="0" w:color="000000" w:themeColor="text1"/>
              <w:bottom w:val="single" w:sz="4" w:space="0" w:color="000000" w:themeColor="text1"/>
            </w:tcBorders>
          </w:tcPr>
          <w:p w14:paraId="75E581AB" w14:textId="77777777" w:rsidR="0094651F" w:rsidRPr="00963D90" w:rsidRDefault="0094651F">
            <w:pPr>
              <w:pStyle w:val="ARfintablebodybold8pt"/>
              <w:rPr>
                <w:highlight w:val="green"/>
              </w:rPr>
            </w:pPr>
            <w:r w:rsidRPr="00963D90">
              <w:t xml:space="preserve">Total other economic flows </w:t>
            </w:r>
            <w:r>
              <w:t>–</w:t>
            </w:r>
            <w:r w:rsidRPr="00963D90">
              <w:t xml:space="preserve"> other comprehensive income</w:t>
            </w:r>
          </w:p>
        </w:tc>
        <w:tc>
          <w:tcPr>
            <w:tcW w:w="753" w:type="dxa"/>
            <w:tcBorders>
              <w:top w:val="single" w:sz="4" w:space="0" w:color="000000" w:themeColor="text1"/>
              <w:bottom w:val="single" w:sz="4" w:space="0" w:color="000000" w:themeColor="text1"/>
            </w:tcBorders>
            <w:noWrap/>
          </w:tcPr>
          <w:p w14:paraId="00AC6BB8" w14:textId="77777777" w:rsidR="0094651F" w:rsidRPr="00BA7805" w:rsidRDefault="0094651F">
            <w:pPr>
              <w:pStyle w:val="ARfintablebodyrightbold8pt"/>
              <w:rPr>
                <w:highlight w:val="green"/>
              </w:rPr>
            </w:pPr>
            <w:r w:rsidRPr="00367D51">
              <w:t>(37.5)</w:t>
            </w:r>
          </w:p>
        </w:tc>
        <w:tc>
          <w:tcPr>
            <w:tcW w:w="856" w:type="dxa"/>
            <w:tcBorders>
              <w:top w:val="single" w:sz="4" w:space="0" w:color="000000" w:themeColor="text1"/>
              <w:bottom w:val="single" w:sz="4" w:space="0" w:color="000000" w:themeColor="text1"/>
            </w:tcBorders>
            <w:noWrap/>
          </w:tcPr>
          <w:p w14:paraId="71AD2937" w14:textId="77777777" w:rsidR="0094651F" w:rsidRPr="00BA7805" w:rsidRDefault="0094651F">
            <w:pPr>
              <w:pStyle w:val="ARfintablebodyrightbold8pt"/>
              <w:rPr>
                <w:highlight w:val="green"/>
              </w:rPr>
            </w:pPr>
            <w:r w:rsidRPr="00367D51">
              <w:t>(15.7)</w:t>
            </w:r>
          </w:p>
        </w:tc>
        <w:tc>
          <w:tcPr>
            <w:tcW w:w="779" w:type="dxa"/>
            <w:tcBorders>
              <w:top w:val="single" w:sz="4" w:space="0" w:color="000000" w:themeColor="text1"/>
              <w:bottom w:val="single" w:sz="4" w:space="0" w:color="000000" w:themeColor="text1"/>
            </w:tcBorders>
            <w:noWrap/>
          </w:tcPr>
          <w:p w14:paraId="1B1305BD" w14:textId="77777777" w:rsidR="0094651F" w:rsidRPr="00BA7805" w:rsidRDefault="0094651F">
            <w:pPr>
              <w:pStyle w:val="ARfintablebodyrightbold8pt"/>
              <w:rPr>
                <w:highlight w:val="green"/>
              </w:rPr>
            </w:pPr>
            <w:r>
              <w:t>–</w:t>
            </w:r>
          </w:p>
        </w:tc>
        <w:tc>
          <w:tcPr>
            <w:tcW w:w="780" w:type="dxa"/>
            <w:tcBorders>
              <w:top w:val="single" w:sz="4" w:space="0" w:color="000000" w:themeColor="text1"/>
              <w:bottom w:val="single" w:sz="4" w:space="0" w:color="000000" w:themeColor="text1"/>
            </w:tcBorders>
            <w:noWrap/>
          </w:tcPr>
          <w:p w14:paraId="43CFF21C" w14:textId="77777777" w:rsidR="0094651F" w:rsidRPr="00BA7805" w:rsidRDefault="0094651F">
            <w:pPr>
              <w:pStyle w:val="ARfintablebodyrightbold8pt"/>
              <w:rPr>
                <w:highlight w:val="green"/>
              </w:rPr>
            </w:pPr>
            <w:r>
              <w:t>–</w:t>
            </w:r>
          </w:p>
        </w:tc>
        <w:tc>
          <w:tcPr>
            <w:tcW w:w="778" w:type="dxa"/>
            <w:tcBorders>
              <w:top w:val="single" w:sz="4" w:space="0" w:color="000000" w:themeColor="text1"/>
              <w:bottom w:val="single" w:sz="4" w:space="0" w:color="000000" w:themeColor="text1"/>
            </w:tcBorders>
            <w:noWrap/>
          </w:tcPr>
          <w:p w14:paraId="1B87FCD5" w14:textId="77777777" w:rsidR="0094651F" w:rsidRPr="00BA7805" w:rsidRDefault="0094651F">
            <w:pPr>
              <w:pStyle w:val="ARfintablebodyrightbold8pt"/>
              <w:rPr>
                <w:highlight w:val="green"/>
              </w:rPr>
            </w:pPr>
            <w:r>
              <w:t>–</w:t>
            </w:r>
          </w:p>
        </w:tc>
        <w:tc>
          <w:tcPr>
            <w:tcW w:w="779" w:type="dxa"/>
            <w:tcBorders>
              <w:top w:val="single" w:sz="4" w:space="0" w:color="000000" w:themeColor="text1"/>
              <w:bottom w:val="single" w:sz="4" w:space="0" w:color="000000" w:themeColor="text1"/>
            </w:tcBorders>
            <w:noWrap/>
          </w:tcPr>
          <w:p w14:paraId="4AFB36FE"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22799048"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2CA0E41D"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335BEABA"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6848B244" w14:textId="77777777" w:rsidR="0094651F" w:rsidRPr="00BA7805" w:rsidRDefault="0094651F">
            <w:pPr>
              <w:pStyle w:val="ARfintablebodyrightbold8pt"/>
              <w:rPr>
                <w:highlight w:val="green"/>
              </w:rPr>
            </w:pPr>
            <w:r>
              <w:t>–</w:t>
            </w:r>
          </w:p>
        </w:tc>
        <w:tc>
          <w:tcPr>
            <w:tcW w:w="778" w:type="dxa"/>
            <w:tcBorders>
              <w:top w:val="single" w:sz="4" w:space="0" w:color="000000" w:themeColor="text1"/>
              <w:bottom w:val="single" w:sz="4" w:space="0" w:color="000000" w:themeColor="text1"/>
            </w:tcBorders>
            <w:noWrap/>
          </w:tcPr>
          <w:p w14:paraId="47EBCC98"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3C14C0A8"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032FB3EB" w14:textId="77777777" w:rsidR="0094651F" w:rsidRPr="00BA7805" w:rsidRDefault="0094651F">
            <w:pPr>
              <w:pStyle w:val="ARfintablebodyrightbold8pt"/>
              <w:rPr>
                <w:highlight w:val="green"/>
              </w:rPr>
            </w:pPr>
            <w:r>
              <w:t>–</w:t>
            </w:r>
          </w:p>
        </w:tc>
        <w:tc>
          <w:tcPr>
            <w:tcW w:w="777" w:type="dxa"/>
            <w:tcBorders>
              <w:top w:val="single" w:sz="4" w:space="0" w:color="000000" w:themeColor="text1"/>
              <w:bottom w:val="single" w:sz="4" w:space="0" w:color="000000" w:themeColor="text1"/>
            </w:tcBorders>
            <w:noWrap/>
          </w:tcPr>
          <w:p w14:paraId="5815EB67" w14:textId="77777777" w:rsidR="0094651F" w:rsidRPr="00BA7805" w:rsidRDefault="0094651F">
            <w:pPr>
              <w:pStyle w:val="ARfintablebodyrightbold8pt"/>
              <w:rPr>
                <w:highlight w:val="green"/>
              </w:rPr>
            </w:pPr>
            <w:r w:rsidRPr="00367D51">
              <w:t>1,241.0</w:t>
            </w:r>
          </w:p>
        </w:tc>
        <w:tc>
          <w:tcPr>
            <w:tcW w:w="981" w:type="dxa"/>
            <w:gridSpan w:val="2"/>
            <w:tcBorders>
              <w:top w:val="single" w:sz="4" w:space="0" w:color="000000" w:themeColor="text1"/>
              <w:bottom w:val="single" w:sz="4" w:space="0" w:color="000000" w:themeColor="text1"/>
            </w:tcBorders>
            <w:noWrap/>
          </w:tcPr>
          <w:p w14:paraId="5BF4AEA0" w14:textId="77777777" w:rsidR="0094651F" w:rsidRPr="00BA7805" w:rsidRDefault="0094651F">
            <w:pPr>
              <w:pStyle w:val="ARfintablebodyrightbold8pt"/>
              <w:rPr>
                <w:highlight w:val="green"/>
              </w:rPr>
            </w:pPr>
            <w:r w:rsidRPr="00367D51">
              <w:t>1,187.8</w:t>
            </w:r>
          </w:p>
        </w:tc>
      </w:tr>
      <w:tr w:rsidR="002B501C" w:rsidRPr="00BA7805" w14:paraId="6628B446" w14:textId="77777777" w:rsidTr="002B501C">
        <w:trPr>
          <w:cnfStyle w:val="010000000000" w:firstRow="0" w:lastRow="1" w:firstColumn="0" w:lastColumn="0" w:oddVBand="0" w:evenVBand="0" w:oddHBand="0" w:evenHBand="0" w:firstRowFirstColumn="0" w:firstRowLastColumn="0" w:lastRowFirstColumn="0" w:lastRowLastColumn="0"/>
          <w:trHeight w:val="170"/>
        </w:trPr>
        <w:tc>
          <w:tcPr>
            <w:tcW w:w="2647" w:type="dxa"/>
          </w:tcPr>
          <w:p w14:paraId="1D3703B3" w14:textId="77777777" w:rsidR="0094651F" w:rsidRPr="00963D90" w:rsidRDefault="0094651F">
            <w:pPr>
              <w:pStyle w:val="ARfintablebodybold8pt"/>
              <w:rPr>
                <w:highlight w:val="green"/>
              </w:rPr>
            </w:pPr>
            <w:r w:rsidRPr="00963D90">
              <w:t>Comprehensive result</w:t>
            </w:r>
          </w:p>
        </w:tc>
        <w:tc>
          <w:tcPr>
            <w:tcW w:w="753" w:type="dxa"/>
            <w:noWrap/>
          </w:tcPr>
          <w:p w14:paraId="6295B28E" w14:textId="77777777" w:rsidR="0094651F" w:rsidRPr="00BA7805" w:rsidRDefault="0094651F">
            <w:pPr>
              <w:pStyle w:val="ARfintablebodyrightbold8pt"/>
              <w:rPr>
                <w:highlight w:val="green"/>
              </w:rPr>
            </w:pPr>
            <w:r w:rsidRPr="00367D51">
              <w:t>(85.3)</w:t>
            </w:r>
          </w:p>
        </w:tc>
        <w:tc>
          <w:tcPr>
            <w:tcW w:w="856" w:type="dxa"/>
            <w:noWrap/>
          </w:tcPr>
          <w:p w14:paraId="23EFEB32" w14:textId="77777777" w:rsidR="0094651F" w:rsidRPr="00BA7805" w:rsidRDefault="0094651F">
            <w:pPr>
              <w:pStyle w:val="ARfintablebodyrightbold8pt"/>
              <w:rPr>
                <w:highlight w:val="green"/>
              </w:rPr>
            </w:pPr>
            <w:r w:rsidRPr="00367D51">
              <w:t>(152.3)</w:t>
            </w:r>
          </w:p>
        </w:tc>
        <w:tc>
          <w:tcPr>
            <w:tcW w:w="779" w:type="dxa"/>
            <w:noWrap/>
          </w:tcPr>
          <w:p w14:paraId="461EAF6F" w14:textId="77777777" w:rsidR="0094651F" w:rsidRPr="00BA7805" w:rsidRDefault="0094651F">
            <w:pPr>
              <w:pStyle w:val="ARfintablebodyrightbold8pt"/>
              <w:rPr>
                <w:highlight w:val="green"/>
              </w:rPr>
            </w:pPr>
            <w:r w:rsidRPr="00367D51">
              <w:t>(4.4)</w:t>
            </w:r>
          </w:p>
        </w:tc>
        <w:tc>
          <w:tcPr>
            <w:tcW w:w="780" w:type="dxa"/>
            <w:noWrap/>
          </w:tcPr>
          <w:p w14:paraId="223D2019" w14:textId="77777777" w:rsidR="0094651F" w:rsidRPr="00BA7805" w:rsidRDefault="0094651F">
            <w:pPr>
              <w:pStyle w:val="ARfintablebodyrightbold8pt"/>
              <w:rPr>
                <w:highlight w:val="green"/>
              </w:rPr>
            </w:pPr>
            <w:r>
              <w:t>–</w:t>
            </w:r>
          </w:p>
        </w:tc>
        <w:tc>
          <w:tcPr>
            <w:tcW w:w="778" w:type="dxa"/>
            <w:noWrap/>
          </w:tcPr>
          <w:p w14:paraId="1E0532B4" w14:textId="77777777" w:rsidR="0094651F" w:rsidRPr="00BA7805" w:rsidRDefault="0094651F">
            <w:pPr>
              <w:pStyle w:val="ARfintablebodyrightbold8pt"/>
              <w:rPr>
                <w:highlight w:val="green"/>
              </w:rPr>
            </w:pPr>
            <w:r w:rsidRPr="00367D51">
              <w:t>0.6</w:t>
            </w:r>
          </w:p>
        </w:tc>
        <w:tc>
          <w:tcPr>
            <w:tcW w:w="779" w:type="dxa"/>
            <w:noWrap/>
          </w:tcPr>
          <w:p w14:paraId="4876F224" w14:textId="77777777" w:rsidR="0094651F" w:rsidRPr="00BA7805" w:rsidRDefault="0094651F">
            <w:pPr>
              <w:pStyle w:val="ARfintablebodyrightbold8pt"/>
              <w:rPr>
                <w:highlight w:val="green"/>
              </w:rPr>
            </w:pPr>
            <w:r w:rsidRPr="00367D51">
              <w:t>(1.3)</w:t>
            </w:r>
          </w:p>
        </w:tc>
        <w:tc>
          <w:tcPr>
            <w:tcW w:w="777" w:type="dxa"/>
            <w:noWrap/>
          </w:tcPr>
          <w:p w14:paraId="16342540" w14:textId="77777777" w:rsidR="0094651F" w:rsidRPr="007B0BF6" w:rsidRDefault="0094651F">
            <w:pPr>
              <w:pStyle w:val="ARfintablebodyrightbold8pt"/>
              <w:rPr>
                <w:highlight w:val="green"/>
              </w:rPr>
            </w:pPr>
            <w:r w:rsidRPr="007B0BF6">
              <w:t>–</w:t>
            </w:r>
          </w:p>
        </w:tc>
        <w:tc>
          <w:tcPr>
            <w:tcW w:w="777" w:type="dxa"/>
            <w:noWrap/>
          </w:tcPr>
          <w:p w14:paraId="6985B761" w14:textId="77777777" w:rsidR="0094651F" w:rsidRPr="007B0BF6" w:rsidRDefault="0094651F">
            <w:pPr>
              <w:pStyle w:val="ARfintablebodyrightbold8pt"/>
              <w:rPr>
                <w:highlight w:val="green"/>
              </w:rPr>
            </w:pPr>
            <w:r w:rsidRPr="007B0BF6">
              <w:t>–</w:t>
            </w:r>
          </w:p>
        </w:tc>
        <w:tc>
          <w:tcPr>
            <w:tcW w:w="777" w:type="dxa"/>
            <w:noWrap/>
          </w:tcPr>
          <w:p w14:paraId="49D8E7BE" w14:textId="77777777" w:rsidR="0094651F" w:rsidRPr="00BA7805" w:rsidRDefault="0094651F">
            <w:pPr>
              <w:pStyle w:val="ARfintablebodyrightbold8pt"/>
              <w:rPr>
                <w:highlight w:val="green"/>
              </w:rPr>
            </w:pPr>
            <w:r w:rsidRPr="00367D51">
              <w:t>(0.2)</w:t>
            </w:r>
          </w:p>
        </w:tc>
        <w:tc>
          <w:tcPr>
            <w:tcW w:w="777" w:type="dxa"/>
            <w:noWrap/>
          </w:tcPr>
          <w:p w14:paraId="213F4642" w14:textId="77777777" w:rsidR="0094651F" w:rsidRPr="00BA7805" w:rsidRDefault="0094651F">
            <w:pPr>
              <w:pStyle w:val="ARfintablebodyrightbold8pt"/>
              <w:rPr>
                <w:highlight w:val="green"/>
              </w:rPr>
            </w:pPr>
            <w:r w:rsidRPr="00367D51">
              <w:t>2.2</w:t>
            </w:r>
          </w:p>
        </w:tc>
        <w:tc>
          <w:tcPr>
            <w:tcW w:w="778" w:type="dxa"/>
            <w:noWrap/>
          </w:tcPr>
          <w:p w14:paraId="13770A7A" w14:textId="77777777" w:rsidR="0094651F" w:rsidRPr="00BA7805" w:rsidRDefault="0094651F">
            <w:pPr>
              <w:pStyle w:val="ARfintablebodyrightbold8pt"/>
              <w:rPr>
                <w:highlight w:val="green"/>
              </w:rPr>
            </w:pPr>
            <w:r w:rsidRPr="00367D51">
              <w:t>(0.2)</w:t>
            </w:r>
          </w:p>
        </w:tc>
        <w:tc>
          <w:tcPr>
            <w:tcW w:w="777" w:type="dxa"/>
            <w:noWrap/>
          </w:tcPr>
          <w:p w14:paraId="58D99C25" w14:textId="77777777" w:rsidR="0094651F" w:rsidRPr="00BA7805" w:rsidRDefault="0094651F">
            <w:pPr>
              <w:pStyle w:val="ARfintablebodyrightbold8pt"/>
              <w:rPr>
                <w:highlight w:val="green"/>
              </w:rPr>
            </w:pPr>
            <w:r w:rsidRPr="00367D51">
              <w:t>(1.1)</w:t>
            </w:r>
          </w:p>
        </w:tc>
        <w:tc>
          <w:tcPr>
            <w:tcW w:w="777" w:type="dxa"/>
            <w:noWrap/>
          </w:tcPr>
          <w:p w14:paraId="2F482FA1" w14:textId="77777777" w:rsidR="0094651F" w:rsidRPr="00BA7805" w:rsidRDefault="0094651F">
            <w:pPr>
              <w:pStyle w:val="ARfintablebodyrightbold8pt"/>
              <w:rPr>
                <w:highlight w:val="green"/>
              </w:rPr>
            </w:pPr>
            <w:r w:rsidRPr="00367D51">
              <w:t>(4.0)</w:t>
            </w:r>
          </w:p>
        </w:tc>
        <w:tc>
          <w:tcPr>
            <w:tcW w:w="777" w:type="dxa"/>
            <w:noWrap/>
          </w:tcPr>
          <w:p w14:paraId="7F57F473" w14:textId="77777777" w:rsidR="0094651F" w:rsidRPr="00BA7805" w:rsidRDefault="0094651F">
            <w:pPr>
              <w:pStyle w:val="ARfintablebodyrightbold8pt"/>
              <w:rPr>
                <w:highlight w:val="green"/>
              </w:rPr>
            </w:pPr>
            <w:r w:rsidRPr="00367D51">
              <w:t>795.4</w:t>
            </w:r>
          </w:p>
        </w:tc>
        <w:tc>
          <w:tcPr>
            <w:tcW w:w="981" w:type="dxa"/>
            <w:gridSpan w:val="2"/>
            <w:noWrap/>
          </w:tcPr>
          <w:p w14:paraId="6C49CC1F" w14:textId="77777777" w:rsidR="0094651F" w:rsidRPr="00BA7805" w:rsidRDefault="0094651F">
            <w:pPr>
              <w:pStyle w:val="ARfintablebodyrightbold8pt"/>
              <w:rPr>
                <w:highlight w:val="green"/>
              </w:rPr>
            </w:pPr>
            <w:r w:rsidRPr="00367D51">
              <w:t>549.4</w:t>
            </w:r>
          </w:p>
        </w:tc>
      </w:tr>
    </w:tbl>
    <w:p w14:paraId="1B16866A" w14:textId="5D2A6A6E" w:rsidR="00265792" w:rsidRDefault="00265792" w:rsidP="00227CD0">
      <w:pPr>
        <w:pStyle w:val="ARfintablefootnote"/>
      </w:pPr>
      <w:r>
        <w:t>Notes:</w:t>
      </w:r>
    </w:p>
    <w:p w14:paraId="4A2F3FCA" w14:textId="77777777" w:rsidR="00265792" w:rsidRPr="00227CD0" w:rsidRDefault="00265792" w:rsidP="00227CD0">
      <w:pPr>
        <w:pStyle w:val="ARfintablefootnotetabindent"/>
        <w:rPr>
          <w:highlight w:val="green"/>
        </w:rPr>
      </w:pPr>
      <w:r>
        <w:t>(</w:t>
      </w:r>
      <w:proofErr w:type="spellStart"/>
      <w:r>
        <w:t>i</w:t>
      </w:r>
      <w:proofErr w:type="spellEnd"/>
      <w:r>
        <w:t xml:space="preserve">) </w:t>
      </w:r>
      <w:r>
        <w:tab/>
        <w:t>Refer to Note 4.1.1 for output definitions.</w:t>
      </w:r>
    </w:p>
    <w:p w14:paraId="11AEF377" w14:textId="77777777" w:rsidR="00265792" w:rsidRDefault="00265792" w:rsidP="00440F34">
      <w:pPr>
        <w:pStyle w:val="ARfintablefootnotetabindent"/>
        <w:rPr>
          <w:sz w:val="15"/>
          <w:szCs w:val="15"/>
          <w:highlight w:val="green"/>
        </w:rPr>
      </w:pPr>
      <w:r>
        <w:rPr>
          <w:sz w:val="15"/>
          <w:szCs w:val="15"/>
          <w:highlight w:val="green"/>
        </w:rPr>
        <w:br w:type="page"/>
      </w:r>
    </w:p>
    <w:p w14:paraId="7FBECFDA" w14:textId="68E7F7F2" w:rsidR="00265792" w:rsidRDefault="00265792" w:rsidP="00207901">
      <w:pPr>
        <w:pStyle w:val="Heading5"/>
        <w:rPr>
          <w:lang w:eastAsia="en-AU"/>
        </w:rPr>
      </w:pPr>
      <w:r w:rsidRPr="00F41B5D">
        <w:rPr>
          <w:lang w:eastAsia="en-AU"/>
        </w:rPr>
        <w:lastRenderedPageBreak/>
        <w:t xml:space="preserve">4.1.3 Departmental outputs </w:t>
      </w:r>
      <w:r w:rsidRPr="00F37C54">
        <w:rPr>
          <w:lang w:eastAsia="en-AU"/>
        </w:rPr>
        <w:t>–</w:t>
      </w:r>
      <w:r w:rsidRPr="00F41B5D">
        <w:rPr>
          <w:lang w:eastAsia="en-AU"/>
        </w:rPr>
        <w:t xml:space="preserve"> </w:t>
      </w:r>
      <w:r w:rsidR="00E962E9">
        <w:rPr>
          <w:lang w:eastAsia="en-AU"/>
        </w:rPr>
        <w:t>c</w:t>
      </w:r>
      <w:r w:rsidRPr="00F41B5D">
        <w:rPr>
          <w:lang w:eastAsia="en-AU"/>
        </w:rPr>
        <w:t>ontrolled assets and liabilities for the year ended 30 June 2025</w:t>
      </w:r>
    </w:p>
    <w:tbl>
      <w:tblPr>
        <w:tblStyle w:val="DFFHARtable1"/>
        <w:tblW w:w="5000" w:type="pct"/>
        <w:tblLayout w:type="fixed"/>
        <w:tblLook w:val="06E0" w:firstRow="1" w:lastRow="1" w:firstColumn="1" w:lastColumn="0" w:noHBand="1" w:noVBand="1"/>
      </w:tblPr>
      <w:tblGrid>
        <w:gridCol w:w="2066"/>
        <w:gridCol w:w="1032"/>
        <w:gridCol w:w="738"/>
        <w:gridCol w:w="738"/>
        <w:gridCol w:w="884"/>
        <w:gridCol w:w="885"/>
        <w:gridCol w:w="737"/>
        <w:gridCol w:w="738"/>
        <w:gridCol w:w="885"/>
        <w:gridCol w:w="737"/>
        <w:gridCol w:w="885"/>
        <w:gridCol w:w="738"/>
        <w:gridCol w:w="737"/>
        <w:gridCol w:w="885"/>
        <w:gridCol w:w="884"/>
        <w:gridCol w:w="1001"/>
      </w:tblGrid>
      <w:tr w:rsidR="00265792" w:rsidRPr="00BA7805" w14:paraId="1F56480E" w14:textId="77777777" w:rsidTr="00B155CF">
        <w:trPr>
          <w:cnfStyle w:val="100000000000" w:firstRow="1" w:lastRow="0" w:firstColumn="0" w:lastColumn="0" w:oddVBand="0" w:evenVBand="0" w:oddHBand="0" w:evenHBand="0" w:firstRowFirstColumn="0" w:firstRowLastColumn="0" w:lastRowFirstColumn="0" w:lastRowLastColumn="0"/>
          <w:trHeight w:val="170"/>
          <w:tblHeader/>
        </w:trPr>
        <w:tc>
          <w:tcPr>
            <w:tcW w:w="1985" w:type="dxa"/>
            <w:hideMark/>
          </w:tcPr>
          <w:p w14:paraId="5638E42B" w14:textId="77777777" w:rsidR="00265792" w:rsidRPr="00EA7D34" w:rsidRDefault="00265792" w:rsidP="00DF220B">
            <w:pPr>
              <w:pStyle w:val="ARfintablecolhead8"/>
              <w:rPr>
                <w:rStyle w:val="Superscript"/>
                <w:sz w:val="15"/>
              </w:rPr>
            </w:pPr>
            <w:r w:rsidRPr="00EA7D34">
              <w:t xml:space="preserve">Output </w:t>
            </w:r>
            <w:r w:rsidRPr="00EA7D34">
              <w:rPr>
                <w:rStyle w:val="Superscript"/>
                <w:sz w:val="15"/>
              </w:rPr>
              <w:t>(</w:t>
            </w:r>
            <w:proofErr w:type="spellStart"/>
            <w:r w:rsidRPr="00EA7D34">
              <w:rPr>
                <w:rStyle w:val="Superscript"/>
                <w:sz w:val="15"/>
              </w:rPr>
              <w:t>i</w:t>
            </w:r>
            <w:proofErr w:type="spellEnd"/>
            <w:r w:rsidRPr="00EA7D34">
              <w:rPr>
                <w:rStyle w:val="Superscript"/>
                <w:sz w:val="15"/>
              </w:rPr>
              <w:t>)</w:t>
            </w:r>
          </w:p>
          <w:p w14:paraId="5F9616C4" w14:textId="77777777" w:rsidR="00265792" w:rsidRPr="00BA7805" w:rsidRDefault="00265792" w:rsidP="00DF220B">
            <w:pPr>
              <w:pStyle w:val="ARfintablecolhead"/>
              <w:spacing w:before="16" w:after="10" w:line="228" w:lineRule="auto"/>
              <w:ind w:right="0"/>
              <w:rPr>
                <w:rFonts w:cs="Arial"/>
                <w:sz w:val="15"/>
                <w:szCs w:val="15"/>
                <w:highlight w:val="green"/>
              </w:rPr>
            </w:pPr>
            <w:r w:rsidRPr="00EA7D34">
              <w:rPr>
                <w:rFonts w:cs="Arial"/>
                <w:sz w:val="15"/>
                <w:szCs w:val="15"/>
              </w:rPr>
              <w:t>202</w:t>
            </w:r>
            <w:r>
              <w:rPr>
                <w:rFonts w:cs="Arial"/>
                <w:sz w:val="15"/>
                <w:szCs w:val="15"/>
              </w:rPr>
              <w:t>5</w:t>
            </w:r>
          </w:p>
        </w:tc>
        <w:tc>
          <w:tcPr>
            <w:tcW w:w="992" w:type="dxa"/>
            <w:hideMark/>
          </w:tcPr>
          <w:p w14:paraId="1BF4528B" w14:textId="77777777" w:rsidR="00265792" w:rsidRPr="00F4268B" w:rsidRDefault="00265792" w:rsidP="00DF220B">
            <w:pPr>
              <w:pStyle w:val="ARfintablecolheadright8"/>
            </w:pPr>
            <w:r w:rsidRPr="00F4268B">
              <w:t>1</w:t>
            </w:r>
          </w:p>
          <w:p w14:paraId="070F6336" w14:textId="77777777" w:rsidR="00265792" w:rsidRPr="00F4268B" w:rsidRDefault="00265792" w:rsidP="00DF220B">
            <w:pPr>
              <w:pStyle w:val="ARfintablecolheadright8"/>
            </w:pPr>
            <w:r w:rsidRPr="00F4268B">
              <w:t>$M</w:t>
            </w:r>
          </w:p>
        </w:tc>
        <w:tc>
          <w:tcPr>
            <w:tcW w:w="709" w:type="dxa"/>
            <w:hideMark/>
          </w:tcPr>
          <w:p w14:paraId="745DB162" w14:textId="77777777" w:rsidR="00265792" w:rsidRPr="00F4268B" w:rsidRDefault="00265792" w:rsidP="00DF220B">
            <w:pPr>
              <w:pStyle w:val="ARfintablecolheadright8"/>
            </w:pPr>
            <w:r w:rsidRPr="00F4268B">
              <w:t>2</w:t>
            </w:r>
          </w:p>
          <w:p w14:paraId="496AE13B" w14:textId="77777777" w:rsidR="00265792" w:rsidRPr="00F4268B" w:rsidRDefault="00265792" w:rsidP="00DF220B">
            <w:pPr>
              <w:pStyle w:val="ARfintablecolheadright8"/>
            </w:pPr>
            <w:r w:rsidRPr="00F4268B">
              <w:t>$M</w:t>
            </w:r>
          </w:p>
        </w:tc>
        <w:tc>
          <w:tcPr>
            <w:tcW w:w="709" w:type="dxa"/>
            <w:hideMark/>
          </w:tcPr>
          <w:p w14:paraId="244F6C2D" w14:textId="77777777" w:rsidR="00265792" w:rsidRPr="00F4268B" w:rsidRDefault="00265792" w:rsidP="00DF220B">
            <w:pPr>
              <w:pStyle w:val="ARfintablecolheadright8"/>
            </w:pPr>
            <w:r w:rsidRPr="00F4268B">
              <w:t>3</w:t>
            </w:r>
          </w:p>
          <w:p w14:paraId="15F5C8BA" w14:textId="77777777" w:rsidR="00265792" w:rsidRPr="00F4268B" w:rsidRDefault="00265792" w:rsidP="00DF220B">
            <w:pPr>
              <w:pStyle w:val="ARfintablecolheadright8"/>
            </w:pPr>
            <w:r w:rsidRPr="00F4268B">
              <w:t>$M</w:t>
            </w:r>
          </w:p>
        </w:tc>
        <w:tc>
          <w:tcPr>
            <w:tcW w:w="850" w:type="dxa"/>
            <w:hideMark/>
          </w:tcPr>
          <w:p w14:paraId="11223AE6" w14:textId="77777777" w:rsidR="00265792" w:rsidRPr="00F4268B" w:rsidRDefault="00265792" w:rsidP="00DF220B">
            <w:pPr>
              <w:pStyle w:val="ARfintablecolheadright8"/>
            </w:pPr>
            <w:r w:rsidRPr="00F4268B">
              <w:t xml:space="preserve">4 </w:t>
            </w:r>
          </w:p>
          <w:p w14:paraId="693A4D4A" w14:textId="77777777" w:rsidR="00265792" w:rsidRPr="00F4268B" w:rsidRDefault="00265792" w:rsidP="00DF220B">
            <w:pPr>
              <w:pStyle w:val="ARfintablecolheadright8"/>
            </w:pPr>
            <w:r w:rsidRPr="00F4268B">
              <w:t>$M</w:t>
            </w:r>
          </w:p>
        </w:tc>
        <w:tc>
          <w:tcPr>
            <w:tcW w:w="851" w:type="dxa"/>
            <w:hideMark/>
          </w:tcPr>
          <w:p w14:paraId="7CB3F183" w14:textId="77777777" w:rsidR="00265792" w:rsidRPr="00F4268B" w:rsidRDefault="00265792" w:rsidP="00DF220B">
            <w:pPr>
              <w:pStyle w:val="ARfintablecolheadright8"/>
            </w:pPr>
            <w:r w:rsidRPr="00F4268B">
              <w:t>5</w:t>
            </w:r>
          </w:p>
          <w:p w14:paraId="1E45226E" w14:textId="77777777" w:rsidR="00265792" w:rsidRPr="00F4268B" w:rsidRDefault="00265792" w:rsidP="00DF220B">
            <w:pPr>
              <w:pStyle w:val="ARfintablecolheadright8"/>
            </w:pPr>
            <w:r w:rsidRPr="00F4268B">
              <w:t>$M</w:t>
            </w:r>
          </w:p>
        </w:tc>
        <w:tc>
          <w:tcPr>
            <w:tcW w:w="708" w:type="dxa"/>
            <w:hideMark/>
          </w:tcPr>
          <w:p w14:paraId="5D46A8E8" w14:textId="77777777" w:rsidR="00265792" w:rsidRPr="00F4268B" w:rsidRDefault="00265792" w:rsidP="00DF220B">
            <w:pPr>
              <w:pStyle w:val="ARfintablecolheadright8"/>
            </w:pPr>
            <w:r w:rsidRPr="00F4268B">
              <w:t>6</w:t>
            </w:r>
          </w:p>
          <w:p w14:paraId="7ACAA90A" w14:textId="77777777" w:rsidR="00265792" w:rsidRPr="00F4268B" w:rsidRDefault="00265792" w:rsidP="00DF220B">
            <w:pPr>
              <w:pStyle w:val="ARfintablecolheadright8"/>
            </w:pPr>
            <w:r w:rsidRPr="00F4268B">
              <w:t>$M</w:t>
            </w:r>
          </w:p>
        </w:tc>
        <w:tc>
          <w:tcPr>
            <w:tcW w:w="709" w:type="dxa"/>
            <w:hideMark/>
          </w:tcPr>
          <w:p w14:paraId="4BC3DFE4" w14:textId="77777777" w:rsidR="00265792" w:rsidRPr="00F4268B" w:rsidRDefault="00265792" w:rsidP="00DF220B">
            <w:pPr>
              <w:pStyle w:val="ARfintablecolheadright8"/>
            </w:pPr>
            <w:r w:rsidRPr="00F4268B">
              <w:t>7</w:t>
            </w:r>
          </w:p>
          <w:p w14:paraId="34710007" w14:textId="77777777" w:rsidR="00265792" w:rsidRPr="00F4268B" w:rsidRDefault="00265792" w:rsidP="00DF220B">
            <w:pPr>
              <w:pStyle w:val="ARfintablecolheadright8"/>
            </w:pPr>
            <w:r w:rsidRPr="00F4268B">
              <w:t>$M</w:t>
            </w:r>
          </w:p>
        </w:tc>
        <w:tc>
          <w:tcPr>
            <w:tcW w:w="851" w:type="dxa"/>
            <w:hideMark/>
          </w:tcPr>
          <w:p w14:paraId="6E1AC9FB" w14:textId="77777777" w:rsidR="00265792" w:rsidRPr="00F4268B" w:rsidRDefault="00265792" w:rsidP="00DF220B">
            <w:pPr>
              <w:pStyle w:val="ARfintablecolheadright8"/>
            </w:pPr>
            <w:r w:rsidRPr="00F4268B">
              <w:t>8</w:t>
            </w:r>
          </w:p>
          <w:p w14:paraId="14C3A04A" w14:textId="77777777" w:rsidR="00265792" w:rsidRPr="00F4268B" w:rsidRDefault="00265792" w:rsidP="00DF220B">
            <w:pPr>
              <w:pStyle w:val="ARfintablecolheadright8"/>
            </w:pPr>
            <w:r w:rsidRPr="00F4268B">
              <w:t>$M</w:t>
            </w:r>
          </w:p>
        </w:tc>
        <w:tc>
          <w:tcPr>
            <w:tcW w:w="708" w:type="dxa"/>
            <w:hideMark/>
          </w:tcPr>
          <w:p w14:paraId="2FE90556" w14:textId="77777777" w:rsidR="00265792" w:rsidRPr="00F4268B" w:rsidRDefault="00265792" w:rsidP="00DF220B">
            <w:pPr>
              <w:pStyle w:val="ARfintablecolheadright8"/>
            </w:pPr>
            <w:r w:rsidRPr="00F4268B">
              <w:t>9</w:t>
            </w:r>
          </w:p>
          <w:p w14:paraId="197E6E8A" w14:textId="77777777" w:rsidR="00265792" w:rsidRPr="00F4268B" w:rsidRDefault="00265792" w:rsidP="00DF220B">
            <w:pPr>
              <w:pStyle w:val="ARfintablecolheadright8"/>
            </w:pPr>
            <w:r w:rsidRPr="00F4268B">
              <w:t>$M</w:t>
            </w:r>
          </w:p>
        </w:tc>
        <w:tc>
          <w:tcPr>
            <w:tcW w:w="851" w:type="dxa"/>
            <w:hideMark/>
          </w:tcPr>
          <w:p w14:paraId="226363C0" w14:textId="77777777" w:rsidR="00265792" w:rsidRPr="00F4268B" w:rsidRDefault="00265792" w:rsidP="00DF220B">
            <w:pPr>
              <w:pStyle w:val="ARfintablecolheadright8"/>
            </w:pPr>
            <w:r w:rsidRPr="00F4268B">
              <w:t>10</w:t>
            </w:r>
          </w:p>
          <w:p w14:paraId="59F67864" w14:textId="77777777" w:rsidR="00265792" w:rsidRPr="00F4268B" w:rsidRDefault="00265792" w:rsidP="00DF220B">
            <w:pPr>
              <w:pStyle w:val="ARfintablecolheadright8"/>
            </w:pPr>
            <w:r w:rsidRPr="00F4268B">
              <w:t>$M</w:t>
            </w:r>
          </w:p>
        </w:tc>
        <w:tc>
          <w:tcPr>
            <w:tcW w:w="709" w:type="dxa"/>
            <w:hideMark/>
          </w:tcPr>
          <w:p w14:paraId="5F7584A5" w14:textId="77777777" w:rsidR="00265792" w:rsidRPr="00F4268B" w:rsidRDefault="00265792" w:rsidP="00DF220B">
            <w:pPr>
              <w:pStyle w:val="ARfintablecolheadright8"/>
            </w:pPr>
            <w:r w:rsidRPr="00F4268B">
              <w:t>11</w:t>
            </w:r>
          </w:p>
          <w:p w14:paraId="3A6E927F" w14:textId="77777777" w:rsidR="00265792" w:rsidRPr="00F4268B" w:rsidRDefault="00265792" w:rsidP="00DF220B">
            <w:pPr>
              <w:pStyle w:val="ARfintablecolheadright8"/>
            </w:pPr>
            <w:r w:rsidRPr="00F4268B">
              <w:t>$M</w:t>
            </w:r>
          </w:p>
        </w:tc>
        <w:tc>
          <w:tcPr>
            <w:tcW w:w="708" w:type="dxa"/>
            <w:hideMark/>
          </w:tcPr>
          <w:p w14:paraId="3EF6E2D6" w14:textId="77777777" w:rsidR="00265792" w:rsidRPr="00F4268B" w:rsidRDefault="00265792" w:rsidP="00DF220B">
            <w:pPr>
              <w:pStyle w:val="ARfintablecolheadright8"/>
            </w:pPr>
            <w:r w:rsidRPr="00F4268B">
              <w:t>12</w:t>
            </w:r>
          </w:p>
          <w:p w14:paraId="2068F746" w14:textId="77777777" w:rsidR="00265792" w:rsidRPr="00F4268B" w:rsidRDefault="00265792" w:rsidP="00DF220B">
            <w:pPr>
              <w:pStyle w:val="ARfintablecolheadright8"/>
            </w:pPr>
            <w:r w:rsidRPr="00F4268B">
              <w:t>$M</w:t>
            </w:r>
          </w:p>
        </w:tc>
        <w:tc>
          <w:tcPr>
            <w:tcW w:w="851" w:type="dxa"/>
            <w:hideMark/>
          </w:tcPr>
          <w:p w14:paraId="75E2EF80" w14:textId="77777777" w:rsidR="00265792" w:rsidRPr="00F4268B" w:rsidRDefault="00265792" w:rsidP="00DF220B">
            <w:pPr>
              <w:pStyle w:val="ARfintablecolheadright8"/>
            </w:pPr>
            <w:r w:rsidRPr="00F4268B">
              <w:t>13</w:t>
            </w:r>
          </w:p>
          <w:p w14:paraId="1E0AEEBF" w14:textId="77777777" w:rsidR="00265792" w:rsidRPr="00F4268B" w:rsidRDefault="00265792" w:rsidP="00DF220B">
            <w:pPr>
              <w:pStyle w:val="ARfintablecolheadright8"/>
            </w:pPr>
            <w:r w:rsidRPr="00F4268B">
              <w:t>$M</w:t>
            </w:r>
          </w:p>
        </w:tc>
        <w:tc>
          <w:tcPr>
            <w:tcW w:w="850" w:type="dxa"/>
            <w:hideMark/>
          </w:tcPr>
          <w:p w14:paraId="2475E8EF" w14:textId="77777777" w:rsidR="00265792" w:rsidRPr="00F4268B" w:rsidRDefault="00265792" w:rsidP="00DF220B">
            <w:pPr>
              <w:pStyle w:val="ARfintablecolheadright8"/>
            </w:pPr>
            <w:r w:rsidRPr="00F4268B">
              <w:t>14</w:t>
            </w:r>
          </w:p>
          <w:p w14:paraId="5A75E09B" w14:textId="77777777" w:rsidR="00265792" w:rsidRPr="00F4268B" w:rsidRDefault="00265792" w:rsidP="00DF220B">
            <w:pPr>
              <w:pStyle w:val="ARfintablecolheadright8"/>
            </w:pPr>
            <w:r w:rsidRPr="00F4268B">
              <w:t>$M</w:t>
            </w:r>
          </w:p>
        </w:tc>
        <w:tc>
          <w:tcPr>
            <w:tcW w:w="962" w:type="dxa"/>
            <w:hideMark/>
          </w:tcPr>
          <w:p w14:paraId="77367498" w14:textId="77777777" w:rsidR="00265792" w:rsidRPr="00F4268B" w:rsidRDefault="00265792" w:rsidP="00DF220B">
            <w:pPr>
              <w:pStyle w:val="ARfintablecolheadright8"/>
            </w:pPr>
            <w:r w:rsidRPr="00F4268B">
              <w:t>Total</w:t>
            </w:r>
          </w:p>
          <w:p w14:paraId="7F23E6B2" w14:textId="77777777" w:rsidR="00265792" w:rsidRPr="00F4268B" w:rsidRDefault="00265792" w:rsidP="00DF220B">
            <w:pPr>
              <w:pStyle w:val="ARfintablecolheadright8"/>
            </w:pPr>
            <w:r w:rsidRPr="00F4268B">
              <w:t>$M</w:t>
            </w:r>
          </w:p>
        </w:tc>
      </w:tr>
      <w:tr w:rsidR="00265792" w:rsidRPr="00BA7805" w14:paraId="1E0D6635" w14:textId="77777777" w:rsidTr="00B155CF">
        <w:trPr>
          <w:trHeight w:val="170"/>
        </w:trPr>
        <w:tc>
          <w:tcPr>
            <w:tcW w:w="1985" w:type="dxa"/>
          </w:tcPr>
          <w:p w14:paraId="4C1711A2" w14:textId="77777777" w:rsidR="00265792" w:rsidRPr="00BA7805" w:rsidRDefault="00265792" w:rsidP="00A24F72">
            <w:pPr>
              <w:pStyle w:val="ARfintablebodybold8pt"/>
              <w:rPr>
                <w:sz w:val="15"/>
                <w:highlight w:val="green"/>
              </w:rPr>
            </w:pPr>
            <w:r w:rsidRPr="00A752B3">
              <w:t>Assets</w:t>
            </w:r>
          </w:p>
        </w:tc>
        <w:tc>
          <w:tcPr>
            <w:tcW w:w="992" w:type="dxa"/>
            <w:noWrap/>
          </w:tcPr>
          <w:p w14:paraId="2C0C57CF" w14:textId="77777777" w:rsidR="00265792" w:rsidRPr="00BA7805" w:rsidRDefault="00265792" w:rsidP="00F37C54">
            <w:pPr>
              <w:pStyle w:val="ARfintablebodyright8pt"/>
              <w:rPr>
                <w:highlight w:val="green"/>
              </w:rPr>
            </w:pPr>
          </w:p>
        </w:tc>
        <w:tc>
          <w:tcPr>
            <w:tcW w:w="709" w:type="dxa"/>
            <w:noWrap/>
          </w:tcPr>
          <w:p w14:paraId="70915F83" w14:textId="77777777" w:rsidR="00265792" w:rsidRPr="00BA7805" w:rsidRDefault="00265792" w:rsidP="00F37C54">
            <w:pPr>
              <w:pStyle w:val="ARfintablebodyright8pt"/>
              <w:rPr>
                <w:highlight w:val="green"/>
              </w:rPr>
            </w:pPr>
          </w:p>
        </w:tc>
        <w:tc>
          <w:tcPr>
            <w:tcW w:w="709" w:type="dxa"/>
            <w:noWrap/>
          </w:tcPr>
          <w:p w14:paraId="140A1117" w14:textId="77777777" w:rsidR="00265792" w:rsidRPr="00BA7805" w:rsidRDefault="00265792" w:rsidP="00F37C54">
            <w:pPr>
              <w:pStyle w:val="ARfintablebodyright8pt"/>
              <w:rPr>
                <w:highlight w:val="green"/>
              </w:rPr>
            </w:pPr>
          </w:p>
        </w:tc>
        <w:tc>
          <w:tcPr>
            <w:tcW w:w="850" w:type="dxa"/>
            <w:noWrap/>
          </w:tcPr>
          <w:p w14:paraId="613E536E" w14:textId="77777777" w:rsidR="00265792" w:rsidRPr="00BA7805" w:rsidRDefault="00265792" w:rsidP="00F37C54">
            <w:pPr>
              <w:pStyle w:val="ARfintablebodyright8pt"/>
              <w:rPr>
                <w:highlight w:val="green"/>
              </w:rPr>
            </w:pPr>
          </w:p>
        </w:tc>
        <w:tc>
          <w:tcPr>
            <w:tcW w:w="851" w:type="dxa"/>
            <w:noWrap/>
          </w:tcPr>
          <w:p w14:paraId="2F138604" w14:textId="77777777" w:rsidR="00265792" w:rsidRPr="00BA7805" w:rsidRDefault="00265792" w:rsidP="00F37C54">
            <w:pPr>
              <w:pStyle w:val="ARfintablebodyright8pt"/>
              <w:rPr>
                <w:highlight w:val="green"/>
              </w:rPr>
            </w:pPr>
          </w:p>
        </w:tc>
        <w:tc>
          <w:tcPr>
            <w:tcW w:w="708" w:type="dxa"/>
            <w:noWrap/>
          </w:tcPr>
          <w:p w14:paraId="1B09263D" w14:textId="77777777" w:rsidR="00265792" w:rsidRPr="00BA7805" w:rsidRDefault="00265792" w:rsidP="00F37C54">
            <w:pPr>
              <w:pStyle w:val="ARfintablebodyright8pt"/>
              <w:rPr>
                <w:highlight w:val="green"/>
              </w:rPr>
            </w:pPr>
          </w:p>
        </w:tc>
        <w:tc>
          <w:tcPr>
            <w:tcW w:w="709" w:type="dxa"/>
            <w:noWrap/>
          </w:tcPr>
          <w:p w14:paraId="490CC362" w14:textId="77777777" w:rsidR="00265792" w:rsidRPr="00BA7805" w:rsidRDefault="00265792" w:rsidP="00F37C54">
            <w:pPr>
              <w:pStyle w:val="ARfintablebodyright8pt"/>
              <w:rPr>
                <w:highlight w:val="green"/>
              </w:rPr>
            </w:pPr>
          </w:p>
        </w:tc>
        <w:tc>
          <w:tcPr>
            <w:tcW w:w="851" w:type="dxa"/>
            <w:noWrap/>
          </w:tcPr>
          <w:p w14:paraId="09B05C8C" w14:textId="77777777" w:rsidR="00265792" w:rsidRPr="00BA7805" w:rsidRDefault="00265792" w:rsidP="00F37C54">
            <w:pPr>
              <w:pStyle w:val="ARfintablebodyright8pt"/>
              <w:rPr>
                <w:highlight w:val="green"/>
              </w:rPr>
            </w:pPr>
          </w:p>
        </w:tc>
        <w:tc>
          <w:tcPr>
            <w:tcW w:w="708" w:type="dxa"/>
            <w:noWrap/>
          </w:tcPr>
          <w:p w14:paraId="4DDB2772" w14:textId="77777777" w:rsidR="00265792" w:rsidRPr="00BA7805" w:rsidRDefault="00265792" w:rsidP="00F37C54">
            <w:pPr>
              <w:pStyle w:val="ARfintablebodyright8pt"/>
              <w:rPr>
                <w:highlight w:val="green"/>
              </w:rPr>
            </w:pPr>
          </w:p>
        </w:tc>
        <w:tc>
          <w:tcPr>
            <w:tcW w:w="851" w:type="dxa"/>
            <w:noWrap/>
          </w:tcPr>
          <w:p w14:paraId="6B853048" w14:textId="77777777" w:rsidR="00265792" w:rsidRPr="00BA7805" w:rsidRDefault="00265792" w:rsidP="00F37C54">
            <w:pPr>
              <w:pStyle w:val="ARfintablebodyright8pt"/>
              <w:rPr>
                <w:highlight w:val="green"/>
              </w:rPr>
            </w:pPr>
          </w:p>
        </w:tc>
        <w:tc>
          <w:tcPr>
            <w:tcW w:w="709" w:type="dxa"/>
            <w:noWrap/>
          </w:tcPr>
          <w:p w14:paraId="6F9A1B43" w14:textId="77777777" w:rsidR="00265792" w:rsidRPr="00BA7805" w:rsidRDefault="00265792" w:rsidP="00F37C54">
            <w:pPr>
              <w:pStyle w:val="ARfintablebodyright8pt"/>
              <w:rPr>
                <w:highlight w:val="green"/>
              </w:rPr>
            </w:pPr>
          </w:p>
        </w:tc>
        <w:tc>
          <w:tcPr>
            <w:tcW w:w="708" w:type="dxa"/>
            <w:noWrap/>
          </w:tcPr>
          <w:p w14:paraId="0614C2C5" w14:textId="77777777" w:rsidR="00265792" w:rsidRPr="00BA7805" w:rsidRDefault="00265792" w:rsidP="00F37C54">
            <w:pPr>
              <w:pStyle w:val="ARfintablebodyright8pt"/>
              <w:rPr>
                <w:highlight w:val="green"/>
              </w:rPr>
            </w:pPr>
          </w:p>
        </w:tc>
        <w:tc>
          <w:tcPr>
            <w:tcW w:w="851" w:type="dxa"/>
            <w:noWrap/>
          </w:tcPr>
          <w:p w14:paraId="6580A28E" w14:textId="77777777" w:rsidR="00265792" w:rsidRPr="00BA7805" w:rsidRDefault="00265792" w:rsidP="00F37C54">
            <w:pPr>
              <w:pStyle w:val="ARfintablebodyright8pt"/>
              <w:rPr>
                <w:highlight w:val="green"/>
              </w:rPr>
            </w:pPr>
          </w:p>
        </w:tc>
        <w:tc>
          <w:tcPr>
            <w:tcW w:w="850" w:type="dxa"/>
            <w:noWrap/>
          </w:tcPr>
          <w:p w14:paraId="12E91B1F" w14:textId="77777777" w:rsidR="00265792" w:rsidRPr="00BA7805" w:rsidRDefault="00265792" w:rsidP="00F37C54">
            <w:pPr>
              <w:pStyle w:val="ARfintablebodyright8pt"/>
              <w:rPr>
                <w:highlight w:val="green"/>
              </w:rPr>
            </w:pPr>
          </w:p>
        </w:tc>
        <w:tc>
          <w:tcPr>
            <w:tcW w:w="962" w:type="dxa"/>
            <w:noWrap/>
          </w:tcPr>
          <w:p w14:paraId="13C23F91" w14:textId="77777777" w:rsidR="00265792" w:rsidRPr="00BA7805" w:rsidRDefault="00265792" w:rsidP="00F37C54">
            <w:pPr>
              <w:pStyle w:val="ARfintablebodyright8pt"/>
              <w:rPr>
                <w:highlight w:val="green"/>
              </w:rPr>
            </w:pPr>
          </w:p>
        </w:tc>
      </w:tr>
      <w:tr w:rsidR="00265792" w:rsidRPr="00BA7805" w14:paraId="53E65B11" w14:textId="77777777" w:rsidTr="00B155CF">
        <w:trPr>
          <w:trHeight w:val="170"/>
        </w:trPr>
        <w:tc>
          <w:tcPr>
            <w:tcW w:w="1985" w:type="dxa"/>
            <w:tcBorders>
              <w:bottom w:val="single" w:sz="4" w:space="0" w:color="A6A6A6" w:themeColor="accent5"/>
            </w:tcBorders>
          </w:tcPr>
          <w:p w14:paraId="0316D281" w14:textId="77777777" w:rsidR="00265792" w:rsidRPr="00BA7805" w:rsidRDefault="00265792" w:rsidP="00F37C54">
            <w:pPr>
              <w:pStyle w:val="ARfintablebody8pt"/>
              <w:rPr>
                <w:sz w:val="15"/>
                <w:highlight w:val="green"/>
              </w:rPr>
            </w:pPr>
            <w:r w:rsidRPr="00A752B3">
              <w:t>Financial assets</w:t>
            </w:r>
          </w:p>
        </w:tc>
        <w:tc>
          <w:tcPr>
            <w:tcW w:w="992" w:type="dxa"/>
            <w:tcBorders>
              <w:bottom w:val="single" w:sz="4" w:space="0" w:color="A6A6A6" w:themeColor="accent5"/>
            </w:tcBorders>
            <w:noWrap/>
          </w:tcPr>
          <w:p w14:paraId="1D964AC6" w14:textId="77777777" w:rsidR="00265792" w:rsidRPr="00BA7805" w:rsidRDefault="00265792" w:rsidP="00F37C54">
            <w:pPr>
              <w:pStyle w:val="ARfintablebodyright8pt"/>
              <w:rPr>
                <w:highlight w:val="green"/>
              </w:rPr>
            </w:pPr>
            <w:r w:rsidRPr="00A752B3">
              <w:t>265.0</w:t>
            </w:r>
          </w:p>
        </w:tc>
        <w:tc>
          <w:tcPr>
            <w:tcW w:w="709" w:type="dxa"/>
            <w:tcBorders>
              <w:bottom w:val="single" w:sz="4" w:space="0" w:color="A6A6A6" w:themeColor="accent5"/>
            </w:tcBorders>
            <w:noWrap/>
          </w:tcPr>
          <w:p w14:paraId="29BF5258" w14:textId="77777777" w:rsidR="00265792" w:rsidRPr="00BA7805" w:rsidRDefault="00265792" w:rsidP="00F37C54">
            <w:pPr>
              <w:pStyle w:val="ARfintablebodyright8pt"/>
              <w:rPr>
                <w:highlight w:val="green"/>
              </w:rPr>
            </w:pPr>
            <w:r w:rsidRPr="00A752B3">
              <w:t>236.0</w:t>
            </w:r>
          </w:p>
        </w:tc>
        <w:tc>
          <w:tcPr>
            <w:tcW w:w="709" w:type="dxa"/>
            <w:tcBorders>
              <w:bottom w:val="single" w:sz="4" w:space="0" w:color="A6A6A6" w:themeColor="accent5"/>
            </w:tcBorders>
            <w:noWrap/>
          </w:tcPr>
          <w:p w14:paraId="2BC6BE3B" w14:textId="77777777" w:rsidR="00265792" w:rsidRPr="00BA7805" w:rsidRDefault="00265792" w:rsidP="00F37C54">
            <w:pPr>
              <w:pStyle w:val="ARfintablebodyright8pt"/>
              <w:rPr>
                <w:highlight w:val="green"/>
              </w:rPr>
            </w:pPr>
            <w:r w:rsidRPr="00A752B3">
              <w:t>214.2</w:t>
            </w:r>
          </w:p>
        </w:tc>
        <w:tc>
          <w:tcPr>
            <w:tcW w:w="850" w:type="dxa"/>
            <w:tcBorders>
              <w:bottom w:val="single" w:sz="4" w:space="0" w:color="A6A6A6" w:themeColor="accent5"/>
            </w:tcBorders>
            <w:noWrap/>
          </w:tcPr>
          <w:p w14:paraId="027CA31F" w14:textId="77777777" w:rsidR="00265792" w:rsidRPr="00BA7805" w:rsidRDefault="00265792" w:rsidP="00F37C54">
            <w:pPr>
              <w:pStyle w:val="ARfintablebodyright8pt"/>
              <w:rPr>
                <w:highlight w:val="green"/>
              </w:rPr>
            </w:pPr>
            <w:r w:rsidRPr="00A752B3">
              <w:t>26.0</w:t>
            </w:r>
          </w:p>
        </w:tc>
        <w:tc>
          <w:tcPr>
            <w:tcW w:w="851" w:type="dxa"/>
            <w:tcBorders>
              <w:bottom w:val="single" w:sz="4" w:space="0" w:color="A6A6A6" w:themeColor="accent5"/>
            </w:tcBorders>
            <w:noWrap/>
          </w:tcPr>
          <w:p w14:paraId="028A8CE5" w14:textId="77777777" w:rsidR="00265792" w:rsidRPr="00BA7805" w:rsidRDefault="00265792" w:rsidP="00F37C54">
            <w:pPr>
              <w:pStyle w:val="ARfintablebodyright8pt"/>
              <w:rPr>
                <w:highlight w:val="green"/>
              </w:rPr>
            </w:pPr>
            <w:r w:rsidRPr="00A752B3">
              <w:t>16.0</w:t>
            </w:r>
          </w:p>
        </w:tc>
        <w:tc>
          <w:tcPr>
            <w:tcW w:w="708" w:type="dxa"/>
            <w:tcBorders>
              <w:bottom w:val="single" w:sz="4" w:space="0" w:color="A6A6A6" w:themeColor="accent5"/>
            </w:tcBorders>
            <w:noWrap/>
          </w:tcPr>
          <w:p w14:paraId="184BDC40" w14:textId="77777777" w:rsidR="00265792" w:rsidRPr="00BA7805" w:rsidRDefault="00265792" w:rsidP="00F37C54">
            <w:pPr>
              <w:pStyle w:val="ARfintablebodyright8pt"/>
              <w:rPr>
                <w:highlight w:val="green"/>
              </w:rPr>
            </w:pPr>
            <w:r w:rsidRPr="00A752B3">
              <w:t>18.2</w:t>
            </w:r>
          </w:p>
        </w:tc>
        <w:tc>
          <w:tcPr>
            <w:tcW w:w="709" w:type="dxa"/>
            <w:tcBorders>
              <w:bottom w:val="single" w:sz="4" w:space="0" w:color="A6A6A6" w:themeColor="accent5"/>
            </w:tcBorders>
            <w:noWrap/>
          </w:tcPr>
          <w:p w14:paraId="314D506C" w14:textId="77777777" w:rsidR="00265792" w:rsidRPr="00BA7805" w:rsidRDefault="00265792" w:rsidP="00F37C54">
            <w:pPr>
              <w:pStyle w:val="ARfintablebodyright8pt"/>
              <w:rPr>
                <w:highlight w:val="green"/>
              </w:rPr>
            </w:pPr>
            <w:r w:rsidRPr="00A752B3">
              <w:t>16.8</w:t>
            </w:r>
          </w:p>
        </w:tc>
        <w:tc>
          <w:tcPr>
            <w:tcW w:w="851" w:type="dxa"/>
            <w:tcBorders>
              <w:bottom w:val="single" w:sz="4" w:space="0" w:color="A6A6A6" w:themeColor="accent5"/>
            </w:tcBorders>
            <w:noWrap/>
          </w:tcPr>
          <w:p w14:paraId="7E1314E5" w14:textId="77777777" w:rsidR="00265792" w:rsidRPr="00BA7805" w:rsidRDefault="00265792" w:rsidP="00F37C54">
            <w:pPr>
              <w:pStyle w:val="ARfintablebodyright8pt"/>
              <w:rPr>
                <w:highlight w:val="green"/>
              </w:rPr>
            </w:pPr>
            <w:r w:rsidRPr="00A752B3">
              <w:t>13.9</w:t>
            </w:r>
          </w:p>
        </w:tc>
        <w:tc>
          <w:tcPr>
            <w:tcW w:w="708" w:type="dxa"/>
            <w:tcBorders>
              <w:bottom w:val="single" w:sz="4" w:space="0" w:color="A6A6A6" w:themeColor="accent5"/>
            </w:tcBorders>
            <w:noWrap/>
          </w:tcPr>
          <w:p w14:paraId="3D157EC4" w14:textId="77777777" w:rsidR="00265792" w:rsidRPr="00BA7805" w:rsidRDefault="00265792" w:rsidP="00F37C54">
            <w:pPr>
              <w:pStyle w:val="ARfintablebodyright8pt"/>
              <w:rPr>
                <w:highlight w:val="green"/>
              </w:rPr>
            </w:pPr>
            <w:r w:rsidRPr="00A752B3">
              <w:t>23.8</w:t>
            </w:r>
          </w:p>
        </w:tc>
        <w:tc>
          <w:tcPr>
            <w:tcW w:w="851" w:type="dxa"/>
            <w:tcBorders>
              <w:bottom w:val="single" w:sz="4" w:space="0" w:color="A6A6A6" w:themeColor="accent5"/>
            </w:tcBorders>
            <w:noWrap/>
          </w:tcPr>
          <w:p w14:paraId="7CACFC7E" w14:textId="77777777" w:rsidR="00265792" w:rsidRPr="00BA7805" w:rsidRDefault="00265792" w:rsidP="00F37C54">
            <w:pPr>
              <w:pStyle w:val="ARfintablebodyright8pt"/>
              <w:rPr>
                <w:highlight w:val="green"/>
              </w:rPr>
            </w:pPr>
            <w:r w:rsidRPr="00A752B3">
              <w:t>47.7</w:t>
            </w:r>
          </w:p>
        </w:tc>
        <w:tc>
          <w:tcPr>
            <w:tcW w:w="709" w:type="dxa"/>
            <w:tcBorders>
              <w:bottom w:val="single" w:sz="4" w:space="0" w:color="A6A6A6" w:themeColor="accent5"/>
            </w:tcBorders>
            <w:noWrap/>
          </w:tcPr>
          <w:p w14:paraId="135F5F11" w14:textId="77777777" w:rsidR="00265792" w:rsidRPr="00BA7805" w:rsidRDefault="00265792" w:rsidP="00F37C54">
            <w:pPr>
              <w:pStyle w:val="ARfintablebodyright8pt"/>
              <w:rPr>
                <w:highlight w:val="green"/>
              </w:rPr>
            </w:pPr>
            <w:r w:rsidRPr="00A752B3">
              <w:t>37.6</w:t>
            </w:r>
          </w:p>
        </w:tc>
        <w:tc>
          <w:tcPr>
            <w:tcW w:w="708" w:type="dxa"/>
            <w:tcBorders>
              <w:bottom w:val="single" w:sz="4" w:space="0" w:color="A6A6A6" w:themeColor="accent5"/>
            </w:tcBorders>
            <w:noWrap/>
          </w:tcPr>
          <w:p w14:paraId="4CCEDB3A" w14:textId="77777777" w:rsidR="00265792" w:rsidRPr="007B7BED" w:rsidRDefault="00265792" w:rsidP="00F37C54">
            <w:pPr>
              <w:pStyle w:val="ARfintablebodyright8pt"/>
            </w:pPr>
            <w:r>
              <w:t>–</w:t>
            </w:r>
          </w:p>
        </w:tc>
        <w:tc>
          <w:tcPr>
            <w:tcW w:w="851" w:type="dxa"/>
            <w:tcBorders>
              <w:bottom w:val="single" w:sz="4" w:space="0" w:color="A6A6A6" w:themeColor="accent5"/>
            </w:tcBorders>
            <w:noWrap/>
          </w:tcPr>
          <w:p w14:paraId="36BD27EC" w14:textId="77777777" w:rsidR="00265792" w:rsidRPr="007B7BED" w:rsidRDefault="00265792" w:rsidP="00F37C54">
            <w:pPr>
              <w:pStyle w:val="ARfintablebodyright8pt"/>
            </w:pPr>
            <w:r w:rsidRPr="007B7BED">
              <w:t>75.9</w:t>
            </w:r>
          </w:p>
        </w:tc>
        <w:tc>
          <w:tcPr>
            <w:tcW w:w="850" w:type="dxa"/>
            <w:tcBorders>
              <w:bottom w:val="single" w:sz="4" w:space="0" w:color="A6A6A6" w:themeColor="accent5"/>
            </w:tcBorders>
            <w:noWrap/>
          </w:tcPr>
          <w:p w14:paraId="11B15923" w14:textId="77777777" w:rsidR="00265792" w:rsidRPr="00E72EC5" w:rsidRDefault="00265792" w:rsidP="00F37C54">
            <w:pPr>
              <w:pStyle w:val="ARfintablebodyright8pt"/>
            </w:pPr>
            <w:r w:rsidRPr="00E72EC5">
              <w:t>1,462.3</w:t>
            </w:r>
          </w:p>
        </w:tc>
        <w:tc>
          <w:tcPr>
            <w:tcW w:w="962" w:type="dxa"/>
            <w:tcBorders>
              <w:bottom w:val="single" w:sz="4" w:space="0" w:color="A6A6A6" w:themeColor="accent5"/>
            </w:tcBorders>
            <w:noWrap/>
          </w:tcPr>
          <w:p w14:paraId="5BB5435E" w14:textId="77777777" w:rsidR="00265792" w:rsidRPr="00E72EC5" w:rsidRDefault="00265792" w:rsidP="00F37C54">
            <w:pPr>
              <w:pStyle w:val="ARfintablebodyright8pt"/>
            </w:pPr>
            <w:r w:rsidRPr="00E72EC5">
              <w:t>2,453.5</w:t>
            </w:r>
          </w:p>
        </w:tc>
      </w:tr>
      <w:tr w:rsidR="00265792" w:rsidRPr="00BA7805" w14:paraId="2BA55704" w14:textId="77777777" w:rsidTr="00B155CF">
        <w:trPr>
          <w:trHeight w:val="170"/>
        </w:trPr>
        <w:tc>
          <w:tcPr>
            <w:tcW w:w="1985" w:type="dxa"/>
            <w:tcBorders>
              <w:top w:val="single" w:sz="4" w:space="0" w:color="A6A6A6" w:themeColor="accent5"/>
              <w:bottom w:val="single" w:sz="4" w:space="0" w:color="000000" w:themeColor="text1"/>
            </w:tcBorders>
          </w:tcPr>
          <w:p w14:paraId="474086EC" w14:textId="77777777" w:rsidR="00265792" w:rsidRPr="00BA7805" w:rsidRDefault="00265792" w:rsidP="00F37C54">
            <w:pPr>
              <w:pStyle w:val="ARfintablebody8pt"/>
              <w:rPr>
                <w:sz w:val="15"/>
                <w:highlight w:val="green"/>
              </w:rPr>
            </w:pPr>
            <w:r w:rsidRPr="00A752B3">
              <w:t>Non-financial assets</w:t>
            </w:r>
          </w:p>
        </w:tc>
        <w:tc>
          <w:tcPr>
            <w:tcW w:w="992" w:type="dxa"/>
            <w:tcBorders>
              <w:top w:val="single" w:sz="4" w:space="0" w:color="A6A6A6" w:themeColor="accent5"/>
              <w:bottom w:val="single" w:sz="4" w:space="0" w:color="000000" w:themeColor="text1"/>
            </w:tcBorders>
            <w:noWrap/>
          </w:tcPr>
          <w:p w14:paraId="1184ED38" w14:textId="77777777" w:rsidR="00265792" w:rsidRPr="00BA7805" w:rsidRDefault="00265792" w:rsidP="00F37C54">
            <w:pPr>
              <w:pStyle w:val="ARfintablebodyright8pt"/>
              <w:rPr>
                <w:highlight w:val="green"/>
              </w:rPr>
            </w:pPr>
            <w:r w:rsidRPr="00A752B3">
              <w:t>1,250.3</w:t>
            </w:r>
          </w:p>
        </w:tc>
        <w:tc>
          <w:tcPr>
            <w:tcW w:w="709" w:type="dxa"/>
            <w:tcBorders>
              <w:top w:val="single" w:sz="4" w:space="0" w:color="A6A6A6" w:themeColor="accent5"/>
              <w:bottom w:val="single" w:sz="4" w:space="0" w:color="000000" w:themeColor="text1"/>
            </w:tcBorders>
            <w:noWrap/>
          </w:tcPr>
          <w:p w14:paraId="338D3CE2" w14:textId="77777777" w:rsidR="00265792" w:rsidRPr="00BA7805" w:rsidRDefault="00265792" w:rsidP="00F37C54">
            <w:pPr>
              <w:pStyle w:val="ARfintablebodyright8pt"/>
              <w:rPr>
                <w:highlight w:val="green"/>
              </w:rPr>
            </w:pPr>
            <w:r w:rsidRPr="00A752B3">
              <w:t>358.9</w:t>
            </w:r>
          </w:p>
        </w:tc>
        <w:tc>
          <w:tcPr>
            <w:tcW w:w="709" w:type="dxa"/>
            <w:tcBorders>
              <w:top w:val="single" w:sz="4" w:space="0" w:color="A6A6A6" w:themeColor="accent5"/>
              <w:bottom w:val="single" w:sz="4" w:space="0" w:color="000000" w:themeColor="text1"/>
            </w:tcBorders>
            <w:noWrap/>
          </w:tcPr>
          <w:p w14:paraId="4C658524" w14:textId="77777777" w:rsidR="00265792" w:rsidRPr="00BA7805" w:rsidRDefault="00265792" w:rsidP="00F37C54">
            <w:pPr>
              <w:pStyle w:val="ARfintablebodyright8pt"/>
              <w:rPr>
                <w:highlight w:val="green"/>
              </w:rPr>
            </w:pPr>
            <w:r w:rsidRPr="00A752B3">
              <w:t>(0.2)</w:t>
            </w:r>
          </w:p>
        </w:tc>
        <w:tc>
          <w:tcPr>
            <w:tcW w:w="850" w:type="dxa"/>
            <w:tcBorders>
              <w:top w:val="single" w:sz="4" w:space="0" w:color="A6A6A6" w:themeColor="accent5"/>
              <w:bottom w:val="single" w:sz="4" w:space="0" w:color="000000" w:themeColor="text1"/>
            </w:tcBorders>
            <w:noWrap/>
          </w:tcPr>
          <w:p w14:paraId="6DB18427" w14:textId="77777777" w:rsidR="00265792" w:rsidRPr="00BA7805" w:rsidRDefault="00265792" w:rsidP="00F37C54">
            <w:pPr>
              <w:pStyle w:val="ARfintablebodyright8pt"/>
              <w:rPr>
                <w:highlight w:val="green"/>
              </w:rPr>
            </w:pPr>
            <w:r>
              <w:t>–</w:t>
            </w:r>
          </w:p>
        </w:tc>
        <w:tc>
          <w:tcPr>
            <w:tcW w:w="851" w:type="dxa"/>
            <w:tcBorders>
              <w:top w:val="single" w:sz="4" w:space="0" w:color="A6A6A6" w:themeColor="accent5"/>
              <w:bottom w:val="single" w:sz="4" w:space="0" w:color="000000" w:themeColor="text1"/>
            </w:tcBorders>
            <w:noWrap/>
          </w:tcPr>
          <w:p w14:paraId="4E27B059" w14:textId="77777777" w:rsidR="00265792" w:rsidRPr="00BA7805" w:rsidRDefault="00265792" w:rsidP="00F37C54">
            <w:pPr>
              <w:pStyle w:val="ARfintablebodyright8pt"/>
              <w:rPr>
                <w:highlight w:val="green"/>
              </w:rPr>
            </w:pPr>
            <w:r>
              <w:t>–</w:t>
            </w:r>
          </w:p>
        </w:tc>
        <w:tc>
          <w:tcPr>
            <w:tcW w:w="708" w:type="dxa"/>
            <w:tcBorders>
              <w:top w:val="single" w:sz="4" w:space="0" w:color="A6A6A6" w:themeColor="accent5"/>
              <w:bottom w:val="single" w:sz="4" w:space="0" w:color="000000" w:themeColor="text1"/>
            </w:tcBorders>
            <w:noWrap/>
          </w:tcPr>
          <w:p w14:paraId="63A51AA0" w14:textId="77777777" w:rsidR="00265792" w:rsidRPr="00BA7805" w:rsidRDefault="00265792" w:rsidP="00F37C54">
            <w:pPr>
              <w:pStyle w:val="ARfintablebodyright8pt"/>
              <w:rPr>
                <w:highlight w:val="green"/>
              </w:rPr>
            </w:pPr>
            <w:r w:rsidRPr="00A752B3">
              <w:t>0.3</w:t>
            </w:r>
          </w:p>
        </w:tc>
        <w:tc>
          <w:tcPr>
            <w:tcW w:w="709" w:type="dxa"/>
            <w:tcBorders>
              <w:top w:val="single" w:sz="4" w:space="0" w:color="A6A6A6" w:themeColor="accent5"/>
              <w:bottom w:val="single" w:sz="4" w:space="0" w:color="000000" w:themeColor="text1"/>
            </w:tcBorders>
            <w:noWrap/>
          </w:tcPr>
          <w:p w14:paraId="4FFB533A" w14:textId="77777777" w:rsidR="00265792" w:rsidRPr="00BA7805" w:rsidRDefault="00265792" w:rsidP="00F37C54">
            <w:pPr>
              <w:pStyle w:val="ARfintablebodyright8pt"/>
              <w:rPr>
                <w:highlight w:val="green"/>
              </w:rPr>
            </w:pPr>
            <w:r>
              <w:t>–</w:t>
            </w:r>
          </w:p>
        </w:tc>
        <w:tc>
          <w:tcPr>
            <w:tcW w:w="851" w:type="dxa"/>
            <w:tcBorders>
              <w:top w:val="single" w:sz="4" w:space="0" w:color="A6A6A6" w:themeColor="accent5"/>
              <w:bottom w:val="single" w:sz="4" w:space="0" w:color="000000" w:themeColor="text1"/>
            </w:tcBorders>
            <w:noWrap/>
          </w:tcPr>
          <w:p w14:paraId="77B4AF82" w14:textId="77777777" w:rsidR="00265792" w:rsidRPr="00BA7805" w:rsidRDefault="00265792" w:rsidP="00F37C54">
            <w:pPr>
              <w:pStyle w:val="ARfintablebodyright8pt"/>
              <w:rPr>
                <w:highlight w:val="green"/>
              </w:rPr>
            </w:pPr>
            <w:r>
              <w:t>–</w:t>
            </w:r>
          </w:p>
        </w:tc>
        <w:tc>
          <w:tcPr>
            <w:tcW w:w="708" w:type="dxa"/>
            <w:tcBorders>
              <w:top w:val="single" w:sz="4" w:space="0" w:color="A6A6A6" w:themeColor="accent5"/>
              <w:bottom w:val="single" w:sz="4" w:space="0" w:color="000000" w:themeColor="text1"/>
            </w:tcBorders>
            <w:noWrap/>
          </w:tcPr>
          <w:p w14:paraId="69BE0D74" w14:textId="77777777" w:rsidR="00265792" w:rsidRPr="00BA7805" w:rsidRDefault="00265792" w:rsidP="00F37C54">
            <w:pPr>
              <w:pStyle w:val="ARfintablebodyright8pt"/>
              <w:rPr>
                <w:highlight w:val="green"/>
              </w:rPr>
            </w:pPr>
            <w:r w:rsidRPr="00A752B3">
              <w:t>2.6</w:t>
            </w:r>
          </w:p>
        </w:tc>
        <w:tc>
          <w:tcPr>
            <w:tcW w:w="851" w:type="dxa"/>
            <w:tcBorders>
              <w:top w:val="single" w:sz="4" w:space="0" w:color="A6A6A6" w:themeColor="accent5"/>
              <w:bottom w:val="single" w:sz="4" w:space="0" w:color="000000" w:themeColor="text1"/>
            </w:tcBorders>
            <w:noWrap/>
          </w:tcPr>
          <w:p w14:paraId="3B170577" w14:textId="77777777" w:rsidR="00265792" w:rsidRPr="00BA7805" w:rsidRDefault="00265792" w:rsidP="00F37C54">
            <w:pPr>
              <w:pStyle w:val="ARfintablebodyright8pt"/>
              <w:rPr>
                <w:highlight w:val="green"/>
              </w:rPr>
            </w:pPr>
            <w:r>
              <w:t>–</w:t>
            </w:r>
          </w:p>
        </w:tc>
        <w:tc>
          <w:tcPr>
            <w:tcW w:w="709" w:type="dxa"/>
            <w:tcBorders>
              <w:top w:val="single" w:sz="4" w:space="0" w:color="A6A6A6" w:themeColor="accent5"/>
              <w:bottom w:val="single" w:sz="4" w:space="0" w:color="000000" w:themeColor="text1"/>
            </w:tcBorders>
            <w:noWrap/>
          </w:tcPr>
          <w:p w14:paraId="7D397666" w14:textId="77777777" w:rsidR="00265792" w:rsidRPr="00BA7805" w:rsidRDefault="00265792" w:rsidP="00F37C54">
            <w:pPr>
              <w:pStyle w:val="ARfintablebodyright8pt"/>
              <w:rPr>
                <w:highlight w:val="green"/>
              </w:rPr>
            </w:pPr>
            <w:r w:rsidRPr="00A752B3">
              <w:t>0.1</w:t>
            </w:r>
          </w:p>
        </w:tc>
        <w:tc>
          <w:tcPr>
            <w:tcW w:w="708" w:type="dxa"/>
            <w:tcBorders>
              <w:top w:val="single" w:sz="4" w:space="0" w:color="A6A6A6" w:themeColor="accent5"/>
              <w:bottom w:val="single" w:sz="4" w:space="0" w:color="000000" w:themeColor="text1"/>
            </w:tcBorders>
            <w:noWrap/>
          </w:tcPr>
          <w:p w14:paraId="208034E5" w14:textId="77777777" w:rsidR="00265792" w:rsidRPr="00BA7805" w:rsidRDefault="00265792" w:rsidP="00F37C54">
            <w:pPr>
              <w:pStyle w:val="ARfintablebodyright8pt"/>
              <w:rPr>
                <w:highlight w:val="green"/>
              </w:rPr>
            </w:pPr>
            <w:r>
              <w:t>–</w:t>
            </w:r>
          </w:p>
        </w:tc>
        <w:tc>
          <w:tcPr>
            <w:tcW w:w="851" w:type="dxa"/>
            <w:tcBorders>
              <w:top w:val="single" w:sz="4" w:space="0" w:color="A6A6A6" w:themeColor="accent5"/>
              <w:bottom w:val="single" w:sz="4" w:space="0" w:color="000000" w:themeColor="text1"/>
            </w:tcBorders>
            <w:noWrap/>
          </w:tcPr>
          <w:p w14:paraId="717A092F" w14:textId="77777777" w:rsidR="00265792" w:rsidRPr="00BA7805" w:rsidRDefault="00265792" w:rsidP="00F37C54">
            <w:pPr>
              <w:pStyle w:val="ARfintablebodyright8pt"/>
              <w:rPr>
                <w:highlight w:val="green"/>
              </w:rPr>
            </w:pPr>
            <w:r w:rsidRPr="00A752B3">
              <w:t>59.2</w:t>
            </w:r>
          </w:p>
        </w:tc>
        <w:tc>
          <w:tcPr>
            <w:tcW w:w="850" w:type="dxa"/>
            <w:tcBorders>
              <w:top w:val="single" w:sz="4" w:space="0" w:color="A6A6A6" w:themeColor="accent5"/>
              <w:bottom w:val="single" w:sz="4" w:space="0" w:color="000000" w:themeColor="text1"/>
            </w:tcBorders>
            <w:noWrap/>
          </w:tcPr>
          <w:p w14:paraId="71BF41AA" w14:textId="77777777" w:rsidR="00265792" w:rsidRPr="00BA7805" w:rsidRDefault="00265792" w:rsidP="00F37C54">
            <w:pPr>
              <w:pStyle w:val="ARfintablebodyright8pt"/>
              <w:rPr>
                <w:highlight w:val="green"/>
              </w:rPr>
            </w:pPr>
            <w:r w:rsidRPr="00A752B3">
              <w:t>37,371.2</w:t>
            </w:r>
          </w:p>
        </w:tc>
        <w:tc>
          <w:tcPr>
            <w:tcW w:w="962" w:type="dxa"/>
            <w:tcBorders>
              <w:top w:val="single" w:sz="4" w:space="0" w:color="A6A6A6" w:themeColor="accent5"/>
              <w:bottom w:val="single" w:sz="4" w:space="0" w:color="000000" w:themeColor="text1"/>
            </w:tcBorders>
            <w:noWrap/>
          </w:tcPr>
          <w:p w14:paraId="5146FEAF" w14:textId="77777777" w:rsidR="00265792" w:rsidRPr="00BA7805" w:rsidRDefault="00265792" w:rsidP="00F37C54">
            <w:pPr>
              <w:pStyle w:val="ARfintablebodyright8pt"/>
              <w:rPr>
                <w:highlight w:val="green"/>
              </w:rPr>
            </w:pPr>
            <w:r w:rsidRPr="00A752B3">
              <w:t>39,042.2</w:t>
            </w:r>
          </w:p>
        </w:tc>
      </w:tr>
      <w:tr w:rsidR="00265792" w:rsidRPr="00BA7805" w14:paraId="5B72B084" w14:textId="77777777" w:rsidTr="00B155CF">
        <w:trPr>
          <w:trHeight w:val="170"/>
        </w:trPr>
        <w:tc>
          <w:tcPr>
            <w:tcW w:w="1985" w:type="dxa"/>
            <w:tcBorders>
              <w:top w:val="single" w:sz="4" w:space="0" w:color="000000" w:themeColor="text1"/>
              <w:bottom w:val="single" w:sz="4" w:space="0" w:color="000000" w:themeColor="text1"/>
            </w:tcBorders>
          </w:tcPr>
          <w:p w14:paraId="01080D52" w14:textId="77777777" w:rsidR="00265792" w:rsidRPr="00F975E0" w:rsidRDefault="00265792" w:rsidP="00A24F72">
            <w:pPr>
              <w:pStyle w:val="ARfintablebodybold8pt"/>
            </w:pPr>
            <w:r w:rsidRPr="00A752B3">
              <w:t>Total assets</w:t>
            </w:r>
          </w:p>
        </w:tc>
        <w:tc>
          <w:tcPr>
            <w:tcW w:w="992" w:type="dxa"/>
            <w:tcBorders>
              <w:top w:val="single" w:sz="4" w:space="0" w:color="000000" w:themeColor="text1"/>
              <w:bottom w:val="single" w:sz="4" w:space="0" w:color="000000" w:themeColor="text1"/>
            </w:tcBorders>
            <w:noWrap/>
          </w:tcPr>
          <w:p w14:paraId="2CF3C69A" w14:textId="77777777" w:rsidR="00265792" w:rsidRPr="00BA7805" w:rsidRDefault="00265792" w:rsidP="00A24F72">
            <w:pPr>
              <w:pStyle w:val="ARfintablebodyrightbold8pt"/>
              <w:rPr>
                <w:highlight w:val="green"/>
              </w:rPr>
            </w:pPr>
            <w:r w:rsidRPr="00A752B3">
              <w:t>1,515.3</w:t>
            </w:r>
          </w:p>
        </w:tc>
        <w:tc>
          <w:tcPr>
            <w:tcW w:w="709" w:type="dxa"/>
            <w:tcBorders>
              <w:top w:val="single" w:sz="4" w:space="0" w:color="000000" w:themeColor="text1"/>
              <w:bottom w:val="single" w:sz="4" w:space="0" w:color="000000" w:themeColor="text1"/>
            </w:tcBorders>
            <w:noWrap/>
          </w:tcPr>
          <w:p w14:paraId="1F16C42F" w14:textId="77777777" w:rsidR="00265792" w:rsidRPr="00BA7805" w:rsidRDefault="00265792" w:rsidP="00A24F72">
            <w:pPr>
              <w:pStyle w:val="ARfintablebodyrightbold8pt"/>
              <w:rPr>
                <w:highlight w:val="green"/>
              </w:rPr>
            </w:pPr>
            <w:r w:rsidRPr="00A752B3">
              <w:t>594.9</w:t>
            </w:r>
          </w:p>
        </w:tc>
        <w:tc>
          <w:tcPr>
            <w:tcW w:w="709" w:type="dxa"/>
            <w:tcBorders>
              <w:top w:val="single" w:sz="4" w:space="0" w:color="000000" w:themeColor="text1"/>
              <w:bottom w:val="single" w:sz="4" w:space="0" w:color="000000" w:themeColor="text1"/>
            </w:tcBorders>
            <w:noWrap/>
          </w:tcPr>
          <w:p w14:paraId="477113EE" w14:textId="77777777" w:rsidR="00265792" w:rsidRPr="00BA7805" w:rsidRDefault="00265792" w:rsidP="00A24F72">
            <w:pPr>
              <w:pStyle w:val="ARfintablebodyrightbold8pt"/>
              <w:rPr>
                <w:highlight w:val="green"/>
              </w:rPr>
            </w:pPr>
            <w:r w:rsidRPr="00A752B3">
              <w:t>214.0</w:t>
            </w:r>
          </w:p>
        </w:tc>
        <w:tc>
          <w:tcPr>
            <w:tcW w:w="850" w:type="dxa"/>
            <w:tcBorders>
              <w:top w:val="single" w:sz="4" w:space="0" w:color="000000" w:themeColor="text1"/>
              <w:bottom w:val="single" w:sz="4" w:space="0" w:color="000000" w:themeColor="text1"/>
            </w:tcBorders>
            <w:noWrap/>
          </w:tcPr>
          <w:p w14:paraId="58167347" w14:textId="77777777" w:rsidR="00265792" w:rsidRPr="00BA7805" w:rsidRDefault="00265792" w:rsidP="00A24F72">
            <w:pPr>
              <w:pStyle w:val="ARfintablebodyrightbold8pt"/>
              <w:rPr>
                <w:highlight w:val="green"/>
              </w:rPr>
            </w:pPr>
            <w:r w:rsidRPr="00A752B3">
              <w:t>26.0</w:t>
            </w:r>
          </w:p>
        </w:tc>
        <w:tc>
          <w:tcPr>
            <w:tcW w:w="851" w:type="dxa"/>
            <w:tcBorders>
              <w:top w:val="single" w:sz="4" w:space="0" w:color="000000" w:themeColor="text1"/>
              <w:bottom w:val="single" w:sz="4" w:space="0" w:color="000000" w:themeColor="text1"/>
            </w:tcBorders>
            <w:noWrap/>
          </w:tcPr>
          <w:p w14:paraId="70515CD5" w14:textId="77777777" w:rsidR="00265792" w:rsidRPr="00BA7805" w:rsidRDefault="00265792" w:rsidP="00A24F72">
            <w:pPr>
              <w:pStyle w:val="ARfintablebodyrightbold8pt"/>
              <w:rPr>
                <w:highlight w:val="green"/>
              </w:rPr>
            </w:pPr>
            <w:r w:rsidRPr="00A752B3">
              <w:t>16.0</w:t>
            </w:r>
          </w:p>
        </w:tc>
        <w:tc>
          <w:tcPr>
            <w:tcW w:w="708" w:type="dxa"/>
            <w:tcBorders>
              <w:top w:val="single" w:sz="4" w:space="0" w:color="000000" w:themeColor="text1"/>
              <w:bottom w:val="single" w:sz="4" w:space="0" w:color="000000" w:themeColor="text1"/>
            </w:tcBorders>
            <w:noWrap/>
          </w:tcPr>
          <w:p w14:paraId="7C6342BF" w14:textId="77777777" w:rsidR="00265792" w:rsidRPr="00BA7805" w:rsidRDefault="00265792" w:rsidP="00A24F72">
            <w:pPr>
              <w:pStyle w:val="ARfintablebodyrightbold8pt"/>
              <w:rPr>
                <w:highlight w:val="green"/>
              </w:rPr>
            </w:pPr>
            <w:r w:rsidRPr="00A752B3">
              <w:t>18.5</w:t>
            </w:r>
          </w:p>
        </w:tc>
        <w:tc>
          <w:tcPr>
            <w:tcW w:w="709" w:type="dxa"/>
            <w:tcBorders>
              <w:top w:val="single" w:sz="4" w:space="0" w:color="000000" w:themeColor="text1"/>
              <w:bottom w:val="single" w:sz="4" w:space="0" w:color="000000" w:themeColor="text1"/>
            </w:tcBorders>
            <w:noWrap/>
          </w:tcPr>
          <w:p w14:paraId="0704A4D5" w14:textId="77777777" w:rsidR="00265792" w:rsidRPr="00BA7805" w:rsidRDefault="00265792" w:rsidP="00A24F72">
            <w:pPr>
              <w:pStyle w:val="ARfintablebodyrightbold8pt"/>
              <w:rPr>
                <w:highlight w:val="green"/>
              </w:rPr>
            </w:pPr>
            <w:r w:rsidRPr="00A752B3">
              <w:t>16.8</w:t>
            </w:r>
          </w:p>
        </w:tc>
        <w:tc>
          <w:tcPr>
            <w:tcW w:w="851" w:type="dxa"/>
            <w:tcBorders>
              <w:top w:val="single" w:sz="4" w:space="0" w:color="000000" w:themeColor="text1"/>
              <w:bottom w:val="single" w:sz="4" w:space="0" w:color="000000" w:themeColor="text1"/>
            </w:tcBorders>
            <w:noWrap/>
          </w:tcPr>
          <w:p w14:paraId="58343434" w14:textId="77777777" w:rsidR="00265792" w:rsidRPr="00BA7805" w:rsidRDefault="00265792" w:rsidP="00A24F72">
            <w:pPr>
              <w:pStyle w:val="ARfintablebodyrightbold8pt"/>
              <w:rPr>
                <w:highlight w:val="green"/>
              </w:rPr>
            </w:pPr>
            <w:r w:rsidRPr="00A752B3">
              <w:t>13.9</w:t>
            </w:r>
          </w:p>
        </w:tc>
        <w:tc>
          <w:tcPr>
            <w:tcW w:w="708" w:type="dxa"/>
            <w:tcBorders>
              <w:top w:val="single" w:sz="4" w:space="0" w:color="000000" w:themeColor="text1"/>
              <w:bottom w:val="single" w:sz="4" w:space="0" w:color="000000" w:themeColor="text1"/>
            </w:tcBorders>
            <w:noWrap/>
          </w:tcPr>
          <w:p w14:paraId="65C38AE7" w14:textId="77777777" w:rsidR="00265792" w:rsidRPr="00BA7805" w:rsidRDefault="00265792" w:rsidP="00A24F72">
            <w:pPr>
              <w:pStyle w:val="ARfintablebodyrightbold8pt"/>
              <w:rPr>
                <w:highlight w:val="green"/>
              </w:rPr>
            </w:pPr>
            <w:r w:rsidRPr="00A752B3">
              <w:t>26.4</w:t>
            </w:r>
          </w:p>
        </w:tc>
        <w:tc>
          <w:tcPr>
            <w:tcW w:w="851" w:type="dxa"/>
            <w:tcBorders>
              <w:top w:val="single" w:sz="4" w:space="0" w:color="000000" w:themeColor="text1"/>
              <w:bottom w:val="single" w:sz="4" w:space="0" w:color="000000" w:themeColor="text1"/>
            </w:tcBorders>
            <w:noWrap/>
          </w:tcPr>
          <w:p w14:paraId="19B49BDC" w14:textId="77777777" w:rsidR="00265792" w:rsidRPr="00BA7805" w:rsidRDefault="00265792" w:rsidP="00A24F72">
            <w:pPr>
              <w:pStyle w:val="ARfintablebodyrightbold8pt"/>
              <w:rPr>
                <w:highlight w:val="green"/>
              </w:rPr>
            </w:pPr>
            <w:r w:rsidRPr="00A752B3">
              <w:t>47.7</w:t>
            </w:r>
          </w:p>
        </w:tc>
        <w:tc>
          <w:tcPr>
            <w:tcW w:w="709" w:type="dxa"/>
            <w:tcBorders>
              <w:top w:val="single" w:sz="4" w:space="0" w:color="000000" w:themeColor="text1"/>
              <w:bottom w:val="single" w:sz="4" w:space="0" w:color="000000" w:themeColor="text1"/>
            </w:tcBorders>
            <w:noWrap/>
          </w:tcPr>
          <w:p w14:paraId="40CBF587" w14:textId="77777777" w:rsidR="00265792" w:rsidRPr="00BA7805" w:rsidRDefault="00265792" w:rsidP="00A24F72">
            <w:pPr>
              <w:pStyle w:val="ARfintablebodyrightbold8pt"/>
              <w:rPr>
                <w:highlight w:val="green"/>
              </w:rPr>
            </w:pPr>
            <w:r w:rsidRPr="00A752B3">
              <w:t>37.7</w:t>
            </w:r>
          </w:p>
        </w:tc>
        <w:tc>
          <w:tcPr>
            <w:tcW w:w="708" w:type="dxa"/>
            <w:tcBorders>
              <w:top w:val="single" w:sz="4" w:space="0" w:color="000000" w:themeColor="text1"/>
              <w:bottom w:val="single" w:sz="4" w:space="0" w:color="000000" w:themeColor="text1"/>
            </w:tcBorders>
            <w:noWrap/>
          </w:tcPr>
          <w:p w14:paraId="6B971521" w14:textId="77777777" w:rsidR="00265792" w:rsidRPr="00BA7805" w:rsidRDefault="00265792" w:rsidP="00A24F72">
            <w:pPr>
              <w:pStyle w:val="ARfintablebodyrightbold8pt"/>
              <w:rPr>
                <w:highlight w:val="green"/>
              </w:rPr>
            </w:pPr>
            <w:r>
              <w:t>–</w:t>
            </w:r>
          </w:p>
        </w:tc>
        <w:tc>
          <w:tcPr>
            <w:tcW w:w="851" w:type="dxa"/>
            <w:tcBorders>
              <w:top w:val="single" w:sz="4" w:space="0" w:color="000000" w:themeColor="text1"/>
              <w:bottom w:val="single" w:sz="4" w:space="0" w:color="000000" w:themeColor="text1"/>
            </w:tcBorders>
            <w:noWrap/>
          </w:tcPr>
          <w:p w14:paraId="1E129212" w14:textId="77777777" w:rsidR="00265792" w:rsidRPr="00BA7805" w:rsidRDefault="00265792" w:rsidP="00A24F72">
            <w:pPr>
              <w:pStyle w:val="ARfintablebodyrightbold8pt"/>
              <w:rPr>
                <w:highlight w:val="green"/>
              </w:rPr>
            </w:pPr>
            <w:r w:rsidRPr="00A752B3">
              <w:t>135.1</w:t>
            </w:r>
          </w:p>
        </w:tc>
        <w:tc>
          <w:tcPr>
            <w:tcW w:w="850" w:type="dxa"/>
            <w:tcBorders>
              <w:top w:val="single" w:sz="4" w:space="0" w:color="000000" w:themeColor="text1"/>
              <w:bottom w:val="single" w:sz="4" w:space="0" w:color="000000" w:themeColor="text1"/>
            </w:tcBorders>
            <w:noWrap/>
          </w:tcPr>
          <w:p w14:paraId="497A726A" w14:textId="77777777" w:rsidR="00265792" w:rsidRPr="00BA7805" w:rsidRDefault="00265792" w:rsidP="00A24F72">
            <w:pPr>
              <w:pStyle w:val="ARfintablebodyrightbold8pt"/>
              <w:rPr>
                <w:highlight w:val="green"/>
              </w:rPr>
            </w:pPr>
            <w:r>
              <w:t>38,833.5</w:t>
            </w:r>
          </w:p>
        </w:tc>
        <w:tc>
          <w:tcPr>
            <w:tcW w:w="962" w:type="dxa"/>
            <w:tcBorders>
              <w:top w:val="single" w:sz="4" w:space="0" w:color="000000" w:themeColor="text1"/>
              <w:bottom w:val="single" w:sz="4" w:space="0" w:color="000000" w:themeColor="text1"/>
            </w:tcBorders>
            <w:noWrap/>
          </w:tcPr>
          <w:p w14:paraId="798416FC" w14:textId="77777777" w:rsidR="00265792" w:rsidRPr="00BA7805" w:rsidRDefault="00265792" w:rsidP="00A24F72">
            <w:pPr>
              <w:pStyle w:val="ARfintablebodyrightbold8pt"/>
              <w:rPr>
                <w:highlight w:val="green"/>
              </w:rPr>
            </w:pPr>
            <w:r w:rsidRPr="00A752B3">
              <w:t>41,495.7</w:t>
            </w:r>
          </w:p>
        </w:tc>
      </w:tr>
      <w:tr w:rsidR="00265792" w:rsidRPr="00BA7805" w14:paraId="69638D0D" w14:textId="77777777" w:rsidTr="00B155CF">
        <w:trPr>
          <w:trHeight w:val="170"/>
        </w:trPr>
        <w:tc>
          <w:tcPr>
            <w:tcW w:w="1985" w:type="dxa"/>
            <w:tcBorders>
              <w:top w:val="single" w:sz="4" w:space="0" w:color="000000" w:themeColor="text1"/>
              <w:bottom w:val="single" w:sz="4" w:space="0" w:color="A6A6A6" w:themeColor="accent5"/>
            </w:tcBorders>
          </w:tcPr>
          <w:p w14:paraId="59EA923E" w14:textId="77777777" w:rsidR="00265792" w:rsidRPr="00BA7805" w:rsidRDefault="00265792" w:rsidP="009B0F18">
            <w:pPr>
              <w:pStyle w:val="ARfintablebodybold8pt"/>
              <w:rPr>
                <w:sz w:val="15"/>
                <w:highlight w:val="green"/>
              </w:rPr>
            </w:pPr>
            <w:r w:rsidRPr="00A752B3">
              <w:t>Liabilities</w:t>
            </w:r>
          </w:p>
        </w:tc>
        <w:tc>
          <w:tcPr>
            <w:tcW w:w="992" w:type="dxa"/>
            <w:tcBorders>
              <w:top w:val="single" w:sz="4" w:space="0" w:color="000000" w:themeColor="text1"/>
              <w:bottom w:val="single" w:sz="4" w:space="0" w:color="A6A6A6" w:themeColor="accent5"/>
            </w:tcBorders>
            <w:noWrap/>
          </w:tcPr>
          <w:p w14:paraId="16F929A5" w14:textId="77777777" w:rsidR="00265792" w:rsidRPr="00A74DB7" w:rsidRDefault="00265792" w:rsidP="00F37C54">
            <w:pPr>
              <w:pStyle w:val="ARfintablebodyright8pt"/>
              <w:rPr>
                <w:highlight w:val="green"/>
              </w:rPr>
            </w:pPr>
          </w:p>
        </w:tc>
        <w:tc>
          <w:tcPr>
            <w:tcW w:w="709" w:type="dxa"/>
            <w:tcBorders>
              <w:top w:val="single" w:sz="4" w:space="0" w:color="000000" w:themeColor="text1"/>
              <w:bottom w:val="single" w:sz="4" w:space="0" w:color="A6A6A6" w:themeColor="accent5"/>
            </w:tcBorders>
            <w:noWrap/>
          </w:tcPr>
          <w:p w14:paraId="6FBF5F9A" w14:textId="77777777" w:rsidR="00265792" w:rsidRPr="00A74DB7" w:rsidRDefault="00265792" w:rsidP="00F37C54">
            <w:pPr>
              <w:pStyle w:val="ARfintablebodyright8pt"/>
              <w:rPr>
                <w:highlight w:val="green"/>
              </w:rPr>
            </w:pPr>
          </w:p>
        </w:tc>
        <w:tc>
          <w:tcPr>
            <w:tcW w:w="709" w:type="dxa"/>
            <w:tcBorders>
              <w:top w:val="single" w:sz="4" w:space="0" w:color="000000" w:themeColor="text1"/>
              <w:bottom w:val="single" w:sz="4" w:space="0" w:color="A6A6A6" w:themeColor="accent5"/>
            </w:tcBorders>
            <w:noWrap/>
          </w:tcPr>
          <w:p w14:paraId="1BC38DC9" w14:textId="77777777" w:rsidR="00265792" w:rsidRPr="00A74DB7" w:rsidRDefault="00265792" w:rsidP="00F37C54">
            <w:pPr>
              <w:pStyle w:val="ARfintablebodyright8pt"/>
              <w:rPr>
                <w:highlight w:val="green"/>
              </w:rPr>
            </w:pPr>
          </w:p>
        </w:tc>
        <w:tc>
          <w:tcPr>
            <w:tcW w:w="850" w:type="dxa"/>
            <w:tcBorders>
              <w:top w:val="single" w:sz="4" w:space="0" w:color="000000" w:themeColor="text1"/>
              <w:bottom w:val="single" w:sz="4" w:space="0" w:color="A6A6A6" w:themeColor="accent5"/>
            </w:tcBorders>
            <w:noWrap/>
          </w:tcPr>
          <w:p w14:paraId="38230ECB" w14:textId="77777777" w:rsidR="00265792" w:rsidRPr="00A74DB7" w:rsidRDefault="00265792" w:rsidP="00F37C54">
            <w:pPr>
              <w:pStyle w:val="ARfintablebodyright8pt"/>
              <w:rPr>
                <w:highlight w:val="green"/>
              </w:rPr>
            </w:pPr>
          </w:p>
        </w:tc>
        <w:tc>
          <w:tcPr>
            <w:tcW w:w="851" w:type="dxa"/>
            <w:tcBorders>
              <w:top w:val="single" w:sz="4" w:space="0" w:color="000000" w:themeColor="text1"/>
              <w:bottom w:val="single" w:sz="4" w:space="0" w:color="A6A6A6" w:themeColor="accent5"/>
            </w:tcBorders>
            <w:noWrap/>
          </w:tcPr>
          <w:p w14:paraId="33FB531F" w14:textId="77777777" w:rsidR="00265792" w:rsidRPr="00A74DB7" w:rsidRDefault="00265792" w:rsidP="00F37C54">
            <w:pPr>
              <w:pStyle w:val="ARfintablebodyright8pt"/>
              <w:rPr>
                <w:highlight w:val="green"/>
              </w:rPr>
            </w:pPr>
          </w:p>
        </w:tc>
        <w:tc>
          <w:tcPr>
            <w:tcW w:w="708" w:type="dxa"/>
            <w:tcBorders>
              <w:top w:val="single" w:sz="4" w:space="0" w:color="000000" w:themeColor="text1"/>
              <w:bottom w:val="single" w:sz="4" w:space="0" w:color="A6A6A6" w:themeColor="accent5"/>
            </w:tcBorders>
            <w:noWrap/>
          </w:tcPr>
          <w:p w14:paraId="4BB089C7" w14:textId="77777777" w:rsidR="00265792" w:rsidRPr="00A74DB7" w:rsidRDefault="00265792" w:rsidP="00F37C54">
            <w:pPr>
              <w:pStyle w:val="ARfintablebodyright8pt"/>
              <w:rPr>
                <w:highlight w:val="green"/>
              </w:rPr>
            </w:pPr>
          </w:p>
        </w:tc>
        <w:tc>
          <w:tcPr>
            <w:tcW w:w="709" w:type="dxa"/>
            <w:tcBorders>
              <w:top w:val="single" w:sz="4" w:space="0" w:color="000000" w:themeColor="text1"/>
              <w:bottom w:val="single" w:sz="4" w:space="0" w:color="A6A6A6" w:themeColor="accent5"/>
            </w:tcBorders>
            <w:noWrap/>
          </w:tcPr>
          <w:p w14:paraId="4EA27600" w14:textId="77777777" w:rsidR="00265792" w:rsidRPr="00A74DB7" w:rsidRDefault="00265792" w:rsidP="00F37C54">
            <w:pPr>
              <w:pStyle w:val="ARfintablebodyright8pt"/>
              <w:rPr>
                <w:highlight w:val="green"/>
              </w:rPr>
            </w:pPr>
          </w:p>
        </w:tc>
        <w:tc>
          <w:tcPr>
            <w:tcW w:w="851" w:type="dxa"/>
            <w:tcBorders>
              <w:top w:val="single" w:sz="4" w:space="0" w:color="000000" w:themeColor="text1"/>
              <w:bottom w:val="single" w:sz="4" w:space="0" w:color="A6A6A6" w:themeColor="accent5"/>
            </w:tcBorders>
            <w:noWrap/>
          </w:tcPr>
          <w:p w14:paraId="4995CE9E" w14:textId="77777777" w:rsidR="00265792" w:rsidRPr="00A74DB7" w:rsidRDefault="00265792" w:rsidP="00F37C54">
            <w:pPr>
              <w:pStyle w:val="ARfintablebodyright8pt"/>
              <w:rPr>
                <w:highlight w:val="green"/>
              </w:rPr>
            </w:pPr>
          </w:p>
        </w:tc>
        <w:tc>
          <w:tcPr>
            <w:tcW w:w="708" w:type="dxa"/>
            <w:tcBorders>
              <w:top w:val="single" w:sz="4" w:space="0" w:color="000000" w:themeColor="text1"/>
              <w:bottom w:val="single" w:sz="4" w:space="0" w:color="A6A6A6" w:themeColor="accent5"/>
            </w:tcBorders>
            <w:noWrap/>
          </w:tcPr>
          <w:p w14:paraId="13245D77" w14:textId="77777777" w:rsidR="00265792" w:rsidRPr="00A74DB7" w:rsidRDefault="00265792" w:rsidP="00F37C54">
            <w:pPr>
              <w:pStyle w:val="ARfintablebodyright8pt"/>
              <w:rPr>
                <w:highlight w:val="green"/>
              </w:rPr>
            </w:pPr>
          </w:p>
        </w:tc>
        <w:tc>
          <w:tcPr>
            <w:tcW w:w="851" w:type="dxa"/>
            <w:tcBorders>
              <w:top w:val="single" w:sz="4" w:space="0" w:color="000000" w:themeColor="text1"/>
              <w:bottom w:val="single" w:sz="4" w:space="0" w:color="A6A6A6" w:themeColor="accent5"/>
            </w:tcBorders>
            <w:noWrap/>
          </w:tcPr>
          <w:p w14:paraId="75225E71" w14:textId="77777777" w:rsidR="00265792" w:rsidRPr="00A74DB7" w:rsidRDefault="00265792" w:rsidP="00F37C54">
            <w:pPr>
              <w:pStyle w:val="ARfintablebodyright8pt"/>
              <w:rPr>
                <w:highlight w:val="green"/>
              </w:rPr>
            </w:pPr>
          </w:p>
        </w:tc>
        <w:tc>
          <w:tcPr>
            <w:tcW w:w="709" w:type="dxa"/>
            <w:tcBorders>
              <w:top w:val="single" w:sz="4" w:space="0" w:color="000000" w:themeColor="text1"/>
              <w:bottom w:val="single" w:sz="4" w:space="0" w:color="A6A6A6" w:themeColor="accent5"/>
            </w:tcBorders>
            <w:noWrap/>
          </w:tcPr>
          <w:p w14:paraId="428E0871" w14:textId="77777777" w:rsidR="00265792" w:rsidRPr="00A74DB7" w:rsidRDefault="00265792" w:rsidP="00F37C54">
            <w:pPr>
              <w:pStyle w:val="ARfintablebodyright8pt"/>
              <w:rPr>
                <w:highlight w:val="green"/>
              </w:rPr>
            </w:pPr>
          </w:p>
        </w:tc>
        <w:tc>
          <w:tcPr>
            <w:tcW w:w="708" w:type="dxa"/>
            <w:tcBorders>
              <w:top w:val="single" w:sz="4" w:space="0" w:color="000000" w:themeColor="text1"/>
              <w:bottom w:val="single" w:sz="4" w:space="0" w:color="A6A6A6" w:themeColor="accent5"/>
            </w:tcBorders>
            <w:noWrap/>
          </w:tcPr>
          <w:p w14:paraId="5DE6A666" w14:textId="77777777" w:rsidR="00265792" w:rsidRPr="00A74DB7" w:rsidRDefault="00265792" w:rsidP="00F37C54">
            <w:pPr>
              <w:pStyle w:val="ARfintablebodyright8pt"/>
              <w:rPr>
                <w:highlight w:val="green"/>
              </w:rPr>
            </w:pPr>
          </w:p>
        </w:tc>
        <w:tc>
          <w:tcPr>
            <w:tcW w:w="851" w:type="dxa"/>
            <w:tcBorders>
              <w:top w:val="single" w:sz="4" w:space="0" w:color="000000" w:themeColor="text1"/>
              <w:bottom w:val="single" w:sz="4" w:space="0" w:color="A6A6A6" w:themeColor="accent5"/>
            </w:tcBorders>
            <w:noWrap/>
          </w:tcPr>
          <w:p w14:paraId="748A7E9A" w14:textId="77777777" w:rsidR="00265792" w:rsidRPr="00A74DB7" w:rsidRDefault="00265792" w:rsidP="00F37C54">
            <w:pPr>
              <w:pStyle w:val="ARfintablebodyright8pt"/>
              <w:rPr>
                <w:highlight w:val="green"/>
              </w:rPr>
            </w:pPr>
          </w:p>
        </w:tc>
        <w:tc>
          <w:tcPr>
            <w:tcW w:w="850" w:type="dxa"/>
            <w:tcBorders>
              <w:top w:val="single" w:sz="4" w:space="0" w:color="000000" w:themeColor="text1"/>
              <w:bottom w:val="single" w:sz="4" w:space="0" w:color="A6A6A6" w:themeColor="accent5"/>
            </w:tcBorders>
            <w:noWrap/>
          </w:tcPr>
          <w:p w14:paraId="0027DB33" w14:textId="77777777" w:rsidR="00265792" w:rsidRPr="00A74DB7" w:rsidRDefault="00265792" w:rsidP="00F37C54">
            <w:pPr>
              <w:pStyle w:val="ARfintablebodyright8pt"/>
              <w:rPr>
                <w:highlight w:val="green"/>
              </w:rPr>
            </w:pPr>
          </w:p>
        </w:tc>
        <w:tc>
          <w:tcPr>
            <w:tcW w:w="962" w:type="dxa"/>
            <w:tcBorders>
              <w:top w:val="single" w:sz="4" w:space="0" w:color="000000" w:themeColor="text1"/>
              <w:bottom w:val="single" w:sz="4" w:space="0" w:color="A6A6A6" w:themeColor="accent5"/>
            </w:tcBorders>
            <w:noWrap/>
          </w:tcPr>
          <w:p w14:paraId="1410F3BE" w14:textId="77777777" w:rsidR="00265792" w:rsidRPr="00A74DB7" w:rsidRDefault="00265792" w:rsidP="00F37C54">
            <w:pPr>
              <w:pStyle w:val="ARfintablebodyright8pt"/>
              <w:rPr>
                <w:highlight w:val="green"/>
              </w:rPr>
            </w:pPr>
          </w:p>
        </w:tc>
      </w:tr>
      <w:tr w:rsidR="00265792" w:rsidRPr="00BA7805" w14:paraId="781B3343" w14:textId="77777777" w:rsidTr="00B155CF">
        <w:trPr>
          <w:trHeight w:val="170"/>
        </w:trPr>
        <w:tc>
          <w:tcPr>
            <w:tcW w:w="1985" w:type="dxa"/>
            <w:tcBorders>
              <w:top w:val="single" w:sz="4" w:space="0" w:color="A6A6A6" w:themeColor="accent5"/>
              <w:bottom w:val="single" w:sz="4" w:space="0" w:color="000000" w:themeColor="text1"/>
            </w:tcBorders>
          </w:tcPr>
          <w:p w14:paraId="2B270971" w14:textId="77777777" w:rsidR="00265792" w:rsidRPr="00BA7805" w:rsidRDefault="00265792" w:rsidP="00F37C54">
            <w:pPr>
              <w:pStyle w:val="ARfintablebody8pt"/>
              <w:rPr>
                <w:sz w:val="15"/>
                <w:highlight w:val="green"/>
              </w:rPr>
            </w:pPr>
            <w:r w:rsidRPr="00A752B3">
              <w:t>Liabilities</w:t>
            </w:r>
          </w:p>
        </w:tc>
        <w:tc>
          <w:tcPr>
            <w:tcW w:w="992" w:type="dxa"/>
            <w:tcBorders>
              <w:top w:val="single" w:sz="4" w:space="0" w:color="A6A6A6" w:themeColor="accent5"/>
              <w:bottom w:val="single" w:sz="4" w:space="0" w:color="000000" w:themeColor="text1"/>
            </w:tcBorders>
            <w:noWrap/>
          </w:tcPr>
          <w:p w14:paraId="13A1F850" w14:textId="77777777" w:rsidR="00265792" w:rsidRPr="00BA7805" w:rsidRDefault="00265792" w:rsidP="00F37C54">
            <w:pPr>
              <w:pStyle w:val="ARfintablebodyright8pt"/>
              <w:rPr>
                <w:highlight w:val="green"/>
              </w:rPr>
            </w:pPr>
            <w:r w:rsidRPr="00A752B3">
              <w:t>(310.8)</w:t>
            </w:r>
          </w:p>
        </w:tc>
        <w:tc>
          <w:tcPr>
            <w:tcW w:w="709" w:type="dxa"/>
            <w:tcBorders>
              <w:top w:val="single" w:sz="4" w:space="0" w:color="A6A6A6" w:themeColor="accent5"/>
              <w:bottom w:val="single" w:sz="4" w:space="0" w:color="000000" w:themeColor="text1"/>
            </w:tcBorders>
            <w:noWrap/>
          </w:tcPr>
          <w:p w14:paraId="47BFDABF" w14:textId="77777777" w:rsidR="00265792" w:rsidRPr="00BA7805" w:rsidRDefault="00265792" w:rsidP="00F37C54">
            <w:pPr>
              <w:pStyle w:val="ARfintablebodyright8pt"/>
              <w:rPr>
                <w:highlight w:val="green"/>
              </w:rPr>
            </w:pPr>
            <w:r w:rsidRPr="00A752B3">
              <w:t>(824.</w:t>
            </w:r>
            <w:r>
              <w:t>5</w:t>
            </w:r>
            <w:r w:rsidRPr="00A752B3">
              <w:t>)</w:t>
            </w:r>
          </w:p>
        </w:tc>
        <w:tc>
          <w:tcPr>
            <w:tcW w:w="709" w:type="dxa"/>
            <w:tcBorders>
              <w:top w:val="single" w:sz="4" w:space="0" w:color="A6A6A6" w:themeColor="accent5"/>
              <w:bottom w:val="single" w:sz="4" w:space="0" w:color="000000" w:themeColor="text1"/>
            </w:tcBorders>
            <w:noWrap/>
          </w:tcPr>
          <w:p w14:paraId="2637A861" w14:textId="77777777" w:rsidR="00265792" w:rsidRPr="00BA7805" w:rsidRDefault="00265792" w:rsidP="00F37C54">
            <w:pPr>
              <w:pStyle w:val="ARfintablebodyright8pt"/>
              <w:rPr>
                <w:highlight w:val="green"/>
              </w:rPr>
            </w:pPr>
            <w:r w:rsidRPr="00A752B3">
              <w:t>(173.7)</w:t>
            </w:r>
          </w:p>
        </w:tc>
        <w:tc>
          <w:tcPr>
            <w:tcW w:w="850" w:type="dxa"/>
            <w:tcBorders>
              <w:top w:val="single" w:sz="4" w:space="0" w:color="A6A6A6" w:themeColor="accent5"/>
              <w:bottom w:val="single" w:sz="4" w:space="0" w:color="000000" w:themeColor="text1"/>
            </w:tcBorders>
            <w:noWrap/>
          </w:tcPr>
          <w:p w14:paraId="404366A8" w14:textId="77777777" w:rsidR="00265792" w:rsidRPr="00BA7805" w:rsidRDefault="00265792" w:rsidP="00F37C54">
            <w:pPr>
              <w:pStyle w:val="ARfintablebodyright8pt"/>
              <w:rPr>
                <w:highlight w:val="green"/>
              </w:rPr>
            </w:pPr>
            <w:r w:rsidRPr="00A752B3">
              <w:t>(5.1)</w:t>
            </w:r>
          </w:p>
        </w:tc>
        <w:tc>
          <w:tcPr>
            <w:tcW w:w="851" w:type="dxa"/>
            <w:tcBorders>
              <w:top w:val="single" w:sz="4" w:space="0" w:color="A6A6A6" w:themeColor="accent5"/>
              <w:bottom w:val="single" w:sz="4" w:space="0" w:color="000000" w:themeColor="text1"/>
            </w:tcBorders>
            <w:noWrap/>
          </w:tcPr>
          <w:p w14:paraId="74C61791" w14:textId="77777777" w:rsidR="00265792" w:rsidRPr="00BA7805" w:rsidRDefault="00265792" w:rsidP="00F37C54">
            <w:pPr>
              <w:pStyle w:val="ARfintablebodyright8pt"/>
              <w:rPr>
                <w:highlight w:val="green"/>
              </w:rPr>
            </w:pPr>
            <w:r w:rsidRPr="00A752B3">
              <w:t>(1.3)</w:t>
            </w:r>
          </w:p>
        </w:tc>
        <w:tc>
          <w:tcPr>
            <w:tcW w:w="708" w:type="dxa"/>
            <w:tcBorders>
              <w:top w:val="single" w:sz="4" w:space="0" w:color="A6A6A6" w:themeColor="accent5"/>
              <w:bottom w:val="single" w:sz="4" w:space="0" w:color="000000" w:themeColor="text1"/>
            </w:tcBorders>
            <w:noWrap/>
          </w:tcPr>
          <w:p w14:paraId="6E82FC06" w14:textId="77777777" w:rsidR="00265792" w:rsidRPr="00BA7805" w:rsidRDefault="00265792" w:rsidP="00F37C54">
            <w:pPr>
              <w:pStyle w:val="ARfintablebodyright8pt"/>
              <w:rPr>
                <w:highlight w:val="green"/>
              </w:rPr>
            </w:pPr>
            <w:r w:rsidRPr="00A752B3">
              <w:t>(3.3)</w:t>
            </w:r>
          </w:p>
        </w:tc>
        <w:tc>
          <w:tcPr>
            <w:tcW w:w="709" w:type="dxa"/>
            <w:tcBorders>
              <w:top w:val="single" w:sz="4" w:space="0" w:color="A6A6A6" w:themeColor="accent5"/>
              <w:bottom w:val="single" w:sz="4" w:space="0" w:color="000000" w:themeColor="text1"/>
            </w:tcBorders>
            <w:noWrap/>
          </w:tcPr>
          <w:p w14:paraId="320B772E" w14:textId="77777777" w:rsidR="00265792" w:rsidRPr="00BA7805" w:rsidRDefault="00265792" w:rsidP="00F37C54">
            <w:pPr>
              <w:pStyle w:val="ARfintablebodyright8pt"/>
              <w:rPr>
                <w:highlight w:val="green"/>
              </w:rPr>
            </w:pPr>
            <w:r w:rsidRPr="00A752B3">
              <w:t>(0.8)</w:t>
            </w:r>
          </w:p>
        </w:tc>
        <w:tc>
          <w:tcPr>
            <w:tcW w:w="851" w:type="dxa"/>
            <w:tcBorders>
              <w:top w:val="single" w:sz="4" w:space="0" w:color="A6A6A6" w:themeColor="accent5"/>
              <w:bottom w:val="single" w:sz="4" w:space="0" w:color="000000" w:themeColor="text1"/>
            </w:tcBorders>
            <w:noWrap/>
          </w:tcPr>
          <w:p w14:paraId="7CE7E311" w14:textId="77777777" w:rsidR="00265792" w:rsidRPr="00BA7805" w:rsidRDefault="00265792" w:rsidP="00F37C54">
            <w:pPr>
              <w:pStyle w:val="ARfintablebodyright8pt"/>
              <w:rPr>
                <w:highlight w:val="green"/>
              </w:rPr>
            </w:pPr>
            <w:r w:rsidRPr="00A752B3">
              <w:t>(1.6)</w:t>
            </w:r>
          </w:p>
        </w:tc>
        <w:tc>
          <w:tcPr>
            <w:tcW w:w="708" w:type="dxa"/>
            <w:tcBorders>
              <w:top w:val="single" w:sz="4" w:space="0" w:color="A6A6A6" w:themeColor="accent5"/>
              <w:bottom w:val="single" w:sz="4" w:space="0" w:color="000000" w:themeColor="text1"/>
            </w:tcBorders>
            <w:noWrap/>
          </w:tcPr>
          <w:p w14:paraId="66FF0EB1" w14:textId="77777777" w:rsidR="00265792" w:rsidRPr="00BA7805" w:rsidRDefault="00265792" w:rsidP="00F37C54">
            <w:pPr>
              <w:pStyle w:val="ARfintablebodyright8pt"/>
              <w:rPr>
                <w:highlight w:val="green"/>
              </w:rPr>
            </w:pPr>
            <w:r w:rsidRPr="00A752B3">
              <w:t>(3.0)</w:t>
            </w:r>
          </w:p>
        </w:tc>
        <w:tc>
          <w:tcPr>
            <w:tcW w:w="851" w:type="dxa"/>
            <w:tcBorders>
              <w:top w:val="single" w:sz="4" w:space="0" w:color="A6A6A6" w:themeColor="accent5"/>
              <w:bottom w:val="single" w:sz="4" w:space="0" w:color="000000" w:themeColor="text1"/>
            </w:tcBorders>
            <w:noWrap/>
          </w:tcPr>
          <w:p w14:paraId="61E37E88" w14:textId="77777777" w:rsidR="00265792" w:rsidRPr="00BA7805" w:rsidRDefault="00265792" w:rsidP="00F37C54">
            <w:pPr>
              <w:pStyle w:val="ARfintablebodyright8pt"/>
              <w:rPr>
                <w:highlight w:val="green"/>
              </w:rPr>
            </w:pPr>
            <w:r w:rsidRPr="00A752B3">
              <w:t>(2.4)</w:t>
            </w:r>
          </w:p>
        </w:tc>
        <w:tc>
          <w:tcPr>
            <w:tcW w:w="709" w:type="dxa"/>
            <w:tcBorders>
              <w:top w:val="single" w:sz="4" w:space="0" w:color="A6A6A6" w:themeColor="accent5"/>
              <w:bottom w:val="single" w:sz="4" w:space="0" w:color="000000" w:themeColor="text1"/>
            </w:tcBorders>
            <w:noWrap/>
          </w:tcPr>
          <w:p w14:paraId="6F7A0643" w14:textId="77777777" w:rsidR="00265792" w:rsidRPr="00BA7805" w:rsidRDefault="00265792" w:rsidP="00F37C54">
            <w:pPr>
              <w:pStyle w:val="ARfintablebodyright8pt"/>
              <w:rPr>
                <w:highlight w:val="green"/>
              </w:rPr>
            </w:pPr>
            <w:r w:rsidRPr="00A752B3">
              <w:t>(1.4)</w:t>
            </w:r>
          </w:p>
        </w:tc>
        <w:tc>
          <w:tcPr>
            <w:tcW w:w="708" w:type="dxa"/>
            <w:tcBorders>
              <w:top w:val="single" w:sz="4" w:space="0" w:color="A6A6A6" w:themeColor="accent5"/>
              <w:bottom w:val="single" w:sz="4" w:space="0" w:color="000000" w:themeColor="text1"/>
            </w:tcBorders>
            <w:noWrap/>
          </w:tcPr>
          <w:p w14:paraId="374F36E5" w14:textId="77777777" w:rsidR="00265792" w:rsidRPr="000771E1" w:rsidRDefault="00265792">
            <w:pPr>
              <w:pStyle w:val="ARfintablebodyright8pt"/>
            </w:pPr>
            <w:r>
              <w:t>–</w:t>
            </w:r>
          </w:p>
        </w:tc>
        <w:tc>
          <w:tcPr>
            <w:tcW w:w="851" w:type="dxa"/>
            <w:tcBorders>
              <w:top w:val="single" w:sz="4" w:space="0" w:color="A6A6A6" w:themeColor="accent5"/>
              <w:bottom w:val="single" w:sz="4" w:space="0" w:color="000000" w:themeColor="text1"/>
            </w:tcBorders>
            <w:noWrap/>
          </w:tcPr>
          <w:p w14:paraId="74F9C116" w14:textId="77777777" w:rsidR="00265792" w:rsidRPr="00BA7805" w:rsidRDefault="00265792" w:rsidP="00F37C54">
            <w:pPr>
              <w:pStyle w:val="ARfintablebodyright8pt"/>
              <w:rPr>
                <w:highlight w:val="green"/>
              </w:rPr>
            </w:pPr>
            <w:r w:rsidRPr="00A752B3">
              <w:t>(23.0)</w:t>
            </w:r>
          </w:p>
        </w:tc>
        <w:tc>
          <w:tcPr>
            <w:tcW w:w="850" w:type="dxa"/>
            <w:tcBorders>
              <w:top w:val="single" w:sz="4" w:space="0" w:color="A6A6A6" w:themeColor="accent5"/>
              <w:bottom w:val="single" w:sz="4" w:space="0" w:color="000000" w:themeColor="text1"/>
            </w:tcBorders>
            <w:noWrap/>
          </w:tcPr>
          <w:p w14:paraId="2C71574A" w14:textId="77777777" w:rsidR="00265792" w:rsidRPr="00BA7805" w:rsidRDefault="00265792" w:rsidP="00F37C54">
            <w:pPr>
              <w:pStyle w:val="ARfintablebodyright8pt"/>
              <w:rPr>
                <w:highlight w:val="green"/>
              </w:rPr>
            </w:pPr>
            <w:r>
              <w:t>(1,051.2)</w:t>
            </w:r>
          </w:p>
        </w:tc>
        <w:tc>
          <w:tcPr>
            <w:tcW w:w="962" w:type="dxa"/>
            <w:tcBorders>
              <w:top w:val="single" w:sz="4" w:space="0" w:color="A6A6A6" w:themeColor="accent5"/>
              <w:bottom w:val="single" w:sz="4" w:space="0" w:color="000000" w:themeColor="text1"/>
            </w:tcBorders>
            <w:noWrap/>
          </w:tcPr>
          <w:p w14:paraId="132E73BF" w14:textId="77777777" w:rsidR="00265792" w:rsidRPr="00BA7805" w:rsidRDefault="00265792" w:rsidP="00F37C54">
            <w:pPr>
              <w:pStyle w:val="ARfintablebodyright8pt"/>
              <w:rPr>
                <w:highlight w:val="green"/>
              </w:rPr>
            </w:pPr>
            <w:r w:rsidRPr="00A752B3">
              <w:t>(2,401.9)</w:t>
            </w:r>
          </w:p>
        </w:tc>
      </w:tr>
      <w:tr w:rsidR="00265792" w:rsidRPr="00BA7805" w14:paraId="633B78E8" w14:textId="77777777" w:rsidTr="00B155CF">
        <w:trPr>
          <w:trHeight w:val="170"/>
        </w:trPr>
        <w:tc>
          <w:tcPr>
            <w:tcW w:w="1985" w:type="dxa"/>
            <w:tcBorders>
              <w:top w:val="single" w:sz="4" w:space="0" w:color="000000" w:themeColor="text1"/>
              <w:bottom w:val="single" w:sz="4" w:space="0" w:color="000000" w:themeColor="text1"/>
            </w:tcBorders>
          </w:tcPr>
          <w:p w14:paraId="468A791E" w14:textId="77777777" w:rsidR="00265792" w:rsidRPr="00BA7805" w:rsidRDefault="00265792" w:rsidP="009B0F18">
            <w:pPr>
              <w:pStyle w:val="ARfintablebodybold8pt"/>
              <w:rPr>
                <w:sz w:val="15"/>
                <w:highlight w:val="green"/>
              </w:rPr>
            </w:pPr>
            <w:r w:rsidRPr="00A752B3">
              <w:t>Total liabilities</w:t>
            </w:r>
          </w:p>
        </w:tc>
        <w:tc>
          <w:tcPr>
            <w:tcW w:w="992" w:type="dxa"/>
            <w:tcBorders>
              <w:top w:val="single" w:sz="4" w:space="0" w:color="000000" w:themeColor="text1"/>
              <w:bottom w:val="single" w:sz="4" w:space="0" w:color="000000" w:themeColor="text1"/>
            </w:tcBorders>
            <w:noWrap/>
          </w:tcPr>
          <w:p w14:paraId="49553D67" w14:textId="77777777" w:rsidR="00265792" w:rsidRPr="00BA7805" w:rsidRDefault="00265792" w:rsidP="009B0F18">
            <w:pPr>
              <w:pStyle w:val="ARfintablebodyrightbold8pt"/>
              <w:rPr>
                <w:highlight w:val="green"/>
              </w:rPr>
            </w:pPr>
            <w:r w:rsidRPr="00A752B3">
              <w:t>(310.8)</w:t>
            </w:r>
          </w:p>
        </w:tc>
        <w:tc>
          <w:tcPr>
            <w:tcW w:w="709" w:type="dxa"/>
            <w:tcBorders>
              <w:top w:val="single" w:sz="4" w:space="0" w:color="000000" w:themeColor="text1"/>
              <w:bottom w:val="single" w:sz="4" w:space="0" w:color="000000" w:themeColor="text1"/>
            </w:tcBorders>
            <w:noWrap/>
          </w:tcPr>
          <w:p w14:paraId="66217986" w14:textId="77777777" w:rsidR="00265792" w:rsidRPr="00BA7805" w:rsidRDefault="00265792" w:rsidP="009B0F18">
            <w:pPr>
              <w:pStyle w:val="ARfintablebodyrightbold8pt"/>
              <w:rPr>
                <w:highlight w:val="green"/>
              </w:rPr>
            </w:pPr>
            <w:r w:rsidRPr="00A752B3">
              <w:t>(824.</w:t>
            </w:r>
            <w:r>
              <w:t>5</w:t>
            </w:r>
            <w:r w:rsidRPr="00A752B3">
              <w:t>)</w:t>
            </w:r>
          </w:p>
        </w:tc>
        <w:tc>
          <w:tcPr>
            <w:tcW w:w="709" w:type="dxa"/>
            <w:tcBorders>
              <w:top w:val="single" w:sz="4" w:space="0" w:color="000000" w:themeColor="text1"/>
              <w:bottom w:val="single" w:sz="4" w:space="0" w:color="000000" w:themeColor="text1"/>
            </w:tcBorders>
            <w:noWrap/>
          </w:tcPr>
          <w:p w14:paraId="2D3FF31B" w14:textId="77777777" w:rsidR="00265792" w:rsidRPr="00BA7805" w:rsidRDefault="00265792" w:rsidP="009B0F18">
            <w:pPr>
              <w:pStyle w:val="ARfintablebodyrightbold8pt"/>
              <w:rPr>
                <w:highlight w:val="green"/>
              </w:rPr>
            </w:pPr>
            <w:r w:rsidRPr="00A752B3">
              <w:t>(173.7)</w:t>
            </w:r>
          </w:p>
        </w:tc>
        <w:tc>
          <w:tcPr>
            <w:tcW w:w="850" w:type="dxa"/>
            <w:tcBorders>
              <w:top w:val="single" w:sz="4" w:space="0" w:color="000000" w:themeColor="text1"/>
              <w:bottom w:val="single" w:sz="4" w:space="0" w:color="000000" w:themeColor="text1"/>
            </w:tcBorders>
            <w:noWrap/>
          </w:tcPr>
          <w:p w14:paraId="095E1C18" w14:textId="77777777" w:rsidR="00265792" w:rsidRPr="00BA7805" w:rsidRDefault="00265792" w:rsidP="009B0F18">
            <w:pPr>
              <w:pStyle w:val="ARfintablebodyrightbold8pt"/>
              <w:rPr>
                <w:highlight w:val="green"/>
              </w:rPr>
            </w:pPr>
            <w:r w:rsidRPr="00A752B3">
              <w:t>(5.1)</w:t>
            </w:r>
          </w:p>
        </w:tc>
        <w:tc>
          <w:tcPr>
            <w:tcW w:w="851" w:type="dxa"/>
            <w:tcBorders>
              <w:top w:val="single" w:sz="4" w:space="0" w:color="000000" w:themeColor="text1"/>
              <w:bottom w:val="single" w:sz="4" w:space="0" w:color="000000" w:themeColor="text1"/>
            </w:tcBorders>
            <w:noWrap/>
          </w:tcPr>
          <w:p w14:paraId="7A686A8E" w14:textId="77777777" w:rsidR="00265792" w:rsidRPr="00BA7805" w:rsidRDefault="00265792" w:rsidP="009B0F18">
            <w:pPr>
              <w:pStyle w:val="ARfintablebodyrightbold8pt"/>
              <w:rPr>
                <w:highlight w:val="green"/>
              </w:rPr>
            </w:pPr>
            <w:r w:rsidRPr="00A752B3">
              <w:t>(1.3)</w:t>
            </w:r>
          </w:p>
        </w:tc>
        <w:tc>
          <w:tcPr>
            <w:tcW w:w="708" w:type="dxa"/>
            <w:tcBorders>
              <w:top w:val="single" w:sz="4" w:space="0" w:color="000000" w:themeColor="text1"/>
              <w:bottom w:val="single" w:sz="4" w:space="0" w:color="000000" w:themeColor="text1"/>
            </w:tcBorders>
            <w:noWrap/>
          </w:tcPr>
          <w:p w14:paraId="12CCBF60" w14:textId="77777777" w:rsidR="00265792" w:rsidRPr="00BA7805" w:rsidRDefault="00265792" w:rsidP="009B0F18">
            <w:pPr>
              <w:pStyle w:val="ARfintablebodyrightbold8pt"/>
              <w:rPr>
                <w:highlight w:val="green"/>
              </w:rPr>
            </w:pPr>
            <w:r w:rsidRPr="00A752B3">
              <w:t>(3.3)</w:t>
            </w:r>
          </w:p>
        </w:tc>
        <w:tc>
          <w:tcPr>
            <w:tcW w:w="709" w:type="dxa"/>
            <w:tcBorders>
              <w:top w:val="single" w:sz="4" w:space="0" w:color="000000" w:themeColor="text1"/>
              <w:bottom w:val="single" w:sz="4" w:space="0" w:color="000000" w:themeColor="text1"/>
            </w:tcBorders>
            <w:noWrap/>
          </w:tcPr>
          <w:p w14:paraId="53D68E08" w14:textId="77777777" w:rsidR="00265792" w:rsidRPr="00BA7805" w:rsidRDefault="00265792" w:rsidP="009B0F18">
            <w:pPr>
              <w:pStyle w:val="ARfintablebodyrightbold8pt"/>
              <w:rPr>
                <w:highlight w:val="green"/>
              </w:rPr>
            </w:pPr>
            <w:r w:rsidRPr="00A752B3">
              <w:t>(0.8)</w:t>
            </w:r>
          </w:p>
        </w:tc>
        <w:tc>
          <w:tcPr>
            <w:tcW w:w="851" w:type="dxa"/>
            <w:tcBorders>
              <w:top w:val="single" w:sz="4" w:space="0" w:color="000000" w:themeColor="text1"/>
              <w:bottom w:val="single" w:sz="4" w:space="0" w:color="000000" w:themeColor="text1"/>
            </w:tcBorders>
            <w:noWrap/>
          </w:tcPr>
          <w:p w14:paraId="69139FAC" w14:textId="77777777" w:rsidR="00265792" w:rsidRPr="00BA7805" w:rsidRDefault="00265792" w:rsidP="009B0F18">
            <w:pPr>
              <w:pStyle w:val="ARfintablebodyrightbold8pt"/>
              <w:rPr>
                <w:highlight w:val="green"/>
              </w:rPr>
            </w:pPr>
            <w:r w:rsidRPr="00A752B3">
              <w:t>(1.6)</w:t>
            </w:r>
          </w:p>
        </w:tc>
        <w:tc>
          <w:tcPr>
            <w:tcW w:w="708" w:type="dxa"/>
            <w:tcBorders>
              <w:top w:val="single" w:sz="4" w:space="0" w:color="000000" w:themeColor="text1"/>
              <w:bottom w:val="single" w:sz="4" w:space="0" w:color="000000" w:themeColor="text1"/>
            </w:tcBorders>
            <w:noWrap/>
          </w:tcPr>
          <w:p w14:paraId="30E1705D" w14:textId="77777777" w:rsidR="00265792" w:rsidRPr="00BA7805" w:rsidRDefault="00265792" w:rsidP="009B0F18">
            <w:pPr>
              <w:pStyle w:val="ARfintablebodyrightbold8pt"/>
              <w:rPr>
                <w:highlight w:val="green"/>
              </w:rPr>
            </w:pPr>
            <w:r w:rsidRPr="00A752B3">
              <w:t>(3.0)</w:t>
            </w:r>
          </w:p>
        </w:tc>
        <w:tc>
          <w:tcPr>
            <w:tcW w:w="851" w:type="dxa"/>
            <w:tcBorders>
              <w:top w:val="single" w:sz="4" w:space="0" w:color="000000" w:themeColor="text1"/>
              <w:bottom w:val="single" w:sz="4" w:space="0" w:color="000000" w:themeColor="text1"/>
            </w:tcBorders>
            <w:noWrap/>
          </w:tcPr>
          <w:p w14:paraId="53A06252" w14:textId="77777777" w:rsidR="00265792" w:rsidRPr="00BA7805" w:rsidRDefault="00265792" w:rsidP="009B0F18">
            <w:pPr>
              <w:pStyle w:val="ARfintablebodyrightbold8pt"/>
              <w:rPr>
                <w:highlight w:val="green"/>
              </w:rPr>
            </w:pPr>
            <w:r w:rsidRPr="00A752B3">
              <w:t>(2.4)</w:t>
            </w:r>
          </w:p>
        </w:tc>
        <w:tc>
          <w:tcPr>
            <w:tcW w:w="709" w:type="dxa"/>
            <w:tcBorders>
              <w:top w:val="single" w:sz="4" w:space="0" w:color="000000" w:themeColor="text1"/>
              <w:bottom w:val="single" w:sz="4" w:space="0" w:color="000000" w:themeColor="text1"/>
            </w:tcBorders>
            <w:noWrap/>
          </w:tcPr>
          <w:p w14:paraId="4AE8C904" w14:textId="77777777" w:rsidR="00265792" w:rsidRPr="00BA7805" w:rsidRDefault="00265792" w:rsidP="009B0F18">
            <w:pPr>
              <w:pStyle w:val="ARfintablebodyrightbold8pt"/>
              <w:rPr>
                <w:highlight w:val="green"/>
              </w:rPr>
            </w:pPr>
            <w:r w:rsidRPr="00A752B3">
              <w:t>(1.4)</w:t>
            </w:r>
          </w:p>
        </w:tc>
        <w:tc>
          <w:tcPr>
            <w:tcW w:w="708" w:type="dxa"/>
            <w:tcBorders>
              <w:top w:val="single" w:sz="4" w:space="0" w:color="000000" w:themeColor="text1"/>
              <w:bottom w:val="single" w:sz="4" w:space="0" w:color="000000" w:themeColor="text1"/>
            </w:tcBorders>
            <w:noWrap/>
          </w:tcPr>
          <w:p w14:paraId="5F748780" w14:textId="77777777" w:rsidR="00265792" w:rsidRPr="00BA7805" w:rsidRDefault="00265792" w:rsidP="009B0F18">
            <w:pPr>
              <w:pStyle w:val="ARfintablebodyrightbold8pt"/>
              <w:rPr>
                <w:highlight w:val="green"/>
              </w:rPr>
            </w:pPr>
            <w:r>
              <w:t>–</w:t>
            </w:r>
          </w:p>
        </w:tc>
        <w:tc>
          <w:tcPr>
            <w:tcW w:w="851" w:type="dxa"/>
            <w:tcBorders>
              <w:top w:val="single" w:sz="4" w:space="0" w:color="000000" w:themeColor="text1"/>
              <w:bottom w:val="single" w:sz="4" w:space="0" w:color="000000" w:themeColor="text1"/>
            </w:tcBorders>
            <w:noWrap/>
          </w:tcPr>
          <w:p w14:paraId="147F2CAB" w14:textId="77777777" w:rsidR="00265792" w:rsidRPr="00BA7805" w:rsidRDefault="00265792" w:rsidP="009B0F18">
            <w:pPr>
              <w:pStyle w:val="ARfintablebodyrightbold8pt"/>
              <w:rPr>
                <w:highlight w:val="green"/>
              </w:rPr>
            </w:pPr>
            <w:r w:rsidRPr="00A752B3">
              <w:t>(23.0)</w:t>
            </w:r>
          </w:p>
        </w:tc>
        <w:tc>
          <w:tcPr>
            <w:tcW w:w="850" w:type="dxa"/>
            <w:tcBorders>
              <w:top w:val="single" w:sz="4" w:space="0" w:color="000000" w:themeColor="text1"/>
              <w:bottom w:val="single" w:sz="4" w:space="0" w:color="000000" w:themeColor="text1"/>
            </w:tcBorders>
            <w:noWrap/>
          </w:tcPr>
          <w:p w14:paraId="6DE15690" w14:textId="77777777" w:rsidR="00265792" w:rsidRPr="00BA7805" w:rsidRDefault="00265792" w:rsidP="009B0F18">
            <w:pPr>
              <w:pStyle w:val="ARfintablebodyrightbold8pt"/>
              <w:rPr>
                <w:highlight w:val="green"/>
              </w:rPr>
            </w:pPr>
            <w:r>
              <w:t>(1,051.2)</w:t>
            </w:r>
          </w:p>
        </w:tc>
        <w:tc>
          <w:tcPr>
            <w:tcW w:w="962" w:type="dxa"/>
            <w:tcBorders>
              <w:top w:val="single" w:sz="4" w:space="0" w:color="000000" w:themeColor="text1"/>
              <w:bottom w:val="single" w:sz="4" w:space="0" w:color="000000" w:themeColor="text1"/>
            </w:tcBorders>
            <w:noWrap/>
          </w:tcPr>
          <w:p w14:paraId="78C2C639" w14:textId="77777777" w:rsidR="00265792" w:rsidRPr="00BA7805" w:rsidRDefault="00265792" w:rsidP="009B0F18">
            <w:pPr>
              <w:pStyle w:val="ARfintablebodyrightbold8pt"/>
              <w:rPr>
                <w:highlight w:val="green"/>
              </w:rPr>
            </w:pPr>
            <w:r w:rsidRPr="00A752B3">
              <w:t>(2,401.9)</w:t>
            </w:r>
          </w:p>
        </w:tc>
      </w:tr>
      <w:tr w:rsidR="00265792" w:rsidRPr="00BA7805" w14:paraId="3470AB86" w14:textId="77777777" w:rsidTr="00B155CF">
        <w:trPr>
          <w:cnfStyle w:val="010000000000" w:firstRow="0" w:lastRow="1" w:firstColumn="0" w:lastColumn="0" w:oddVBand="0" w:evenVBand="0" w:oddHBand="0" w:evenHBand="0" w:firstRowFirstColumn="0" w:firstRowLastColumn="0" w:lastRowFirstColumn="0" w:lastRowLastColumn="0"/>
          <w:trHeight w:val="170"/>
        </w:trPr>
        <w:tc>
          <w:tcPr>
            <w:tcW w:w="1985" w:type="dxa"/>
          </w:tcPr>
          <w:p w14:paraId="7B9A5463" w14:textId="77777777" w:rsidR="00265792" w:rsidRPr="00BA7805" w:rsidRDefault="00265792" w:rsidP="009B0F18">
            <w:pPr>
              <w:pStyle w:val="ARfintablebodybold8pt"/>
              <w:rPr>
                <w:sz w:val="15"/>
                <w:highlight w:val="green"/>
              </w:rPr>
            </w:pPr>
            <w:r w:rsidRPr="00A752B3">
              <w:t>Net assets</w:t>
            </w:r>
          </w:p>
        </w:tc>
        <w:tc>
          <w:tcPr>
            <w:tcW w:w="992" w:type="dxa"/>
            <w:noWrap/>
          </w:tcPr>
          <w:p w14:paraId="6AA460AF" w14:textId="77777777" w:rsidR="00265792" w:rsidRPr="00BA7805" w:rsidRDefault="00265792" w:rsidP="009B0F18">
            <w:pPr>
              <w:pStyle w:val="ARfintablebodyrightbold8pt"/>
              <w:rPr>
                <w:highlight w:val="green"/>
              </w:rPr>
            </w:pPr>
            <w:r w:rsidRPr="00A752B3">
              <w:t>1,204.5</w:t>
            </w:r>
          </w:p>
        </w:tc>
        <w:tc>
          <w:tcPr>
            <w:tcW w:w="709" w:type="dxa"/>
            <w:noWrap/>
          </w:tcPr>
          <w:p w14:paraId="3F1E0A31" w14:textId="77777777" w:rsidR="00265792" w:rsidRPr="00BA7805" w:rsidRDefault="00265792" w:rsidP="009B0F18">
            <w:pPr>
              <w:pStyle w:val="ARfintablebodyrightbold8pt"/>
              <w:rPr>
                <w:highlight w:val="green"/>
              </w:rPr>
            </w:pPr>
            <w:r w:rsidRPr="00A752B3">
              <w:t>(229.</w:t>
            </w:r>
            <w:r>
              <w:t>6</w:t>
            </w:r>
            <w:r w:rsidRPr="00A752B3">
              <w:t>)</w:t>
            </w:r>
          </w:p>
        </w:tc>
        <w:tc>
          <w:tcPr>
            <w:tcW w:w="709" w:type="dxa"/>
            <w:noWrap/>
          </w:tcPr>
          <w:p w14:paraId="7E79D3DC" w14:textId="77777777" w:rsidR="00265792" w:rsidRPr="00BA7805" w:rsidRDefault="00265792" w:rsidP="009B0F18">
            <w:pPr>
              <w:pStyle w:val="ARfintablebodyrightbold8pt"/>
              <w:rPr>
                <w:highlight w:val="green"/>
              </w:rPr>
            </w:pPr>
            <w:r w:rsidRPr="00A752B3">
              <w:t>40.3</w:t>
            </w:r>
          </w:p>
        </w:tc>
        <w:tc>
          <w:tcPr>
            <w:tcW w:w="850" w:type="dxa"/>
            <w:noWrap/>
          </w:tcPr>
          <w:p w14:paraId="22C1ABDD" w14:textId="77777777" w:rsidR="00265792" w:rsidRPr="00BA7805" w:rsidRDefault="00265792" w:rsidP="009B0F18">
            <w:pPr>
              <w:pStyle w:val="ARfintablebodyrightbold8pt"/>
              <w:rPr>
                <w:highlight w:val="green"/>
              </w:rPr>
            </w:pPr>
            <w:r w:rsidRPr="00A752B3">
              <w:t>20.9</w:t>
            </w:r>
          </w:p>
        </w:tc>
        <w:tc>
          <w:tcPr>
            <w:tcW w:w="851" w:type="dxa"/>
            <w:noWrap/>
          </w:tcPr>
          <w:p w14:paraId="7AEB0A62" w14:textId="77777777" w:rsidR="00265792" w:rsidRPr="00BA7805" w:rsidRDefault="00265792" w:rsidP="009B0F18">
            <w:pPr>
              <w:pStyle w:val="ARfintablebodyrightbold8pt"/>
              <w:rPr>
                <w:highlight w:val="green"/>
              </w:rPr>
            </w:pPr>
            <w:r w:rsidRPr="00A752B3">
              <w:t>14.8</w:t>
            </w:r>
          </w:p>
        </w:tc>
        <w:tc>
          <w:tcPr>
            <w:tcW w:w="708" w:type="dxa"/>
            <w:noWrap/>
          </w:tcPr>
          <w:p w14:paraId="25FA4E49" w14:textId="77777777" w:rsidR="00265792" w:rsidRPr="00BA7805" w:rsidRDefault="00265792" w:rsidP="009B0F18">
            <w:pPr>
              <w:pStyle w:val="ARfintablebodyrightbold8pt"/>
              <w:rPr>
                <w:highlight w:val="green"/>
              </w:rPr>
            </w:pPr>
            <w:r w:rsidRPr="00A752B3">
              <w:t>15.2</w:t>
            </w:r>
          </w:p>
        </w:tc>
        <w:tc>
          <w:tcPr>
            <w:tcW w:w="709" w:type="dxa"/>
            <w:noWrap/>
          </w:tcPr>
          <w:p w14:paraId="0E9A0397" w14:textId="77777777" w:rsidR="00265792" w:rsidRPr="00BA7805" w:rsidRDefault="00265792" w:rsidP="009B0F18">
            <w:pPr>
              <w:pStyle w:val="ARfintablebodyrightbold8pt"/>
              <w:rPr>
                <w:highlight w:val="green"/>
              </w:rPr>
            </w:pPr>
            <w:r w:rsidRPr="00A752B3">
              <w:t>16.0</w:t>
            </w:r>
          </w:p>
        </w:tc>
        <w:tc>
          <w:tcPr>
            <w:tcW w:w="851" w:type="dxa"/>
            <w:noWrap/>
          </w:tcPr>
          <w:p w14:paraId="45886CC1" w14:textId="77777777" w:rsidR="00265792" w:rsidRPr="00BA7805" w:rsidRDefault="00265792" w:rsidP="009B0F18">
            <w:pPr>
              <w:pStyle w:val="ARfintablebodyrightbold8pt"/>
              <w:rPr>
                <w:highlight w:val="green"/>
              </w:rPr>
            </w:pPr>
            <w:r w:rsidRPr="00A752B3">
              <w:t>12.3</w:t>
            </w:r>
          </w:p>
        </w:tc>
        <w:tc>
          <w:tcPr>
            <w:tcW w:w="708" w:type="dxa"/>
            <w:noWrap/>
          </w:tcPr>
          <w:p w14:paraId="1DC10B19" w14:textId="77777777" w:rsidR="00265792" w:rsidRPr="00BA7805" w:rsidRDefault="00265792" w:rsidP="009B0F18">
            <w:pPr>
              <w:pStyle w:val="ARfintablebodyrightbold8pt"/>
              <w:rPr>
                <w:highlight w:val="green"/>
              </w:rPr>
            </w:pPr>
            <w:r w:rsidRPr="00A752B3">
              <w:t>23.3</w:t>
            </w:r>
          </w:p>
        </w:tc>
        <w:tc>
          <w:tcPr>
            <w:tcW w:w="851" w:type="dxa"/>
            <w:noWrap/>
          </w:tcPr>
          <w:p w14:paraId="11D36F8A" w14:textId="77777777" w:rsidR="00265792" w:rsidRPr="00BA7805" w:rsidRDefault="00265792" w:rsidP="009B0F18">
            <w:pPr>
              <w:pStyle w:val="ARfintablebodyrightbold8pt"/>
              <w:rPr>
                <w:highlight w:val="green"/>
              </w:rPr>
            </w:pPr>
            <w:r w:rsidRPr="00A752B3">
              <w:t>45.4</w:t>
            </w:r>
          </w:p>
        </w:tc>
        <w:tc>
          <w:tcPr>
            <w:tcW w:w="709" w:type="dxa"/>
            <w:noWrap/>
          </w:tcPr>
          <w:p w14:paraId="776AB01C" w14:textId="77777777" w:rsidR="00265792" w:rsidRPr="00BA7805" w:rsidRDefault="00265792" w:rsidP="009B0F18">
            <w:pPr>
              <w:pStyle w:val="ARfintablebodyrightbold8pt"/>
              <w:rPr>
                <w:highlight w:val="green"/>
              </w:rPr>
            </w:pPr>
            <w:r w:rsidRPr="00A752B3">
              <w:t>36.3</w:t>
            </w:r>
          </w:p>
        </w:tc>
        <w:tc>
          <w:tcPr>
            <w:tcW w:w="708" w:type="dxa"/>
            <w:noWrap/>
          </w:tcPr>
          <w:p w14:paraId="52F31E1A" w14:textId="77777777" w:rsidR="00265792" w:rsidRPr="00BA7805" w:rsidRDefault="00265792" w:rsidP="009B0F18">
            <w:pPr>
              <w:pStyle w:val="ARfintablebodyrightbold8pt"/>
              <w:rPr>
                <w:highlight w:val="green"/>
              </w:rPr>
            </w:pPr>
            <w:r>
              <w:t>–</w:t>
            </w:r>
          </w:p>
        </w:tc>
        <w:tc>
          <w:tcPr>
            <w:tcW w:w="851" w:type="dxa"/>
            <w:noWrap/>
          </w:tcPr>
          <w:p w14:paraId="53D6B611" w14:textId="77777777" w:rsidR="00265792" w:rsidRPr="00BA7805" w:rsidRDefault="00265792" w:rsidP="009B0F18">
            <w:pPr>
              <w:pStyle w:val="ARfintablebodyrightbold8pt"/>
              <w:rPr>
                <w:highlight w:val="green"/>
              </w:rPr>
            </w:pPr>
            <w:r w:rsidRPr="00A752B3">
              <w:t>112.2</w:t>
            </w:r>
          </w:p>
        </w:tc>
        <w:tc>
          <w:tcPr>
            <w:tcW w:w="850" w:type="dxa"/>
            <w:noWrap/>
          </w:tcPr>
          <w:p w14:paraId="6F139638" w14:textId="77777777" w:rsidR="00265792" w:rsidRPr="00BA7805" w:rsidRDefault="00265792" w:rsidP="009B0F18">
            <w:pPr>
              <w:pStyle w:val="ARfintablebodyrightbold8pt"/>
              <w:rPr>
                <w:highlight w:val="green"/>
              </w:rPr>
            </w:pPr>
            <w:r w:rsidRPr="00A752B3">
              <w:t>37,782.3</w:t>
            </w:r>
          </w:p>
        </w:tc>
        <w:tc>
          <w:tcPr>
            <w:tcW w:w="962" w:type="dxa"/>
            <w:noWrap/>
          </w:tcPr>
          <w:p w14:paraId="5D76DFB3" w14:textId="77777777" w:rsidR="00265792" w:rsidRPr="00BA7805" w:rsidRDefault="00265792" w:rsidP="009B0F18">
            <w:pPr>
              <w:pStyle w:val="ARfintablebodyrightbold8pt"/>
              <w:rPr>
                <w:highlight w:val="green"/>
              </w:rPr>
            </w:pPr>
            <w:r w:rsidRPr="00A752B3">
              <w:t>39,093.8</w:t>
            </w:r>
          </w:p>
        </w:tc>
      </w:tr>
    </w:tbl>
    <w:p w14:paraId="6170F0D2" w14:textId="77777777" w:rsidR="00265792" w:rsidRDefault="00265792" w:rsidP="002542E1">
      <w:pPr>
        <w:pStyle w:val="ARfintablefootnote"/>
      </w:pPr>
      <w:r>
        <w:t>Note:</w:t>
      </w:r>
    </w:p>
    <w:p w14:paraId="44D38A85" w14:textId="77777777" w:rsidR="00265792" w:rsidRDefault="00265792">
      <w:pPr>
        <w:pStyle w:val="ARfintablefootnotetabindent"/>
        <w:spacing w:after="360"/>
      </w:pPr>
      <w:r w:rsidRPr="00F975E0">
        <w:t>(</w:t>
      </w:r>
      <w:proofErr w:type="spellStart"/>
      <w:r w:rsidRPr="00F975E0">
        <w:t>i</w:t>
      </w:r>
      <w:proofErr w:type="spellEnd"/>
      <w:r w:rsidRPr="00F975E0">
        <w:t xml:space="preserve">) </w:t>
      </w:r>
      <w:r>
        <w:tab/>
      </w:r>
      <w:r w:rsidRPr="00F975E0">
        <w:t>Refer to Note 4.1.1 for output definitions.</w:t>
      </w:r>
    </w:p>
    <w:tbl>
      <w:tblPr>
        <w:tblStyle w:val="DFFHARtable1"/>
        <w:tblW w:w="5000" w:type="pct"/>
        <w:tblLayout w:type="fixed"/>
        <w:tblLook w:val="06E0" w:firstRow="1" w:lastRow="1" w:firstColumn="1" w:lastColumn="0" w:noHBand="1" w:noVBand="1"/>
      </w:tblPr>
      <w:tblGrid>
        <w:gridCol w:w="2121"/>
        <w:gridCol w:w="829"/>
        <w:gridCol w:w="830"/>
        <w:gridCol w:w="830"/>
        <w:gridCol w:w="830"/>
        <w:gridCol w:w="831"/>
        <w:gridCol w:w="830"/>
        <w:gridCol w:w="830"/>
        <w:gridCol w:w="830"/>
        <w:gridCol w:w="829"/>
        <w:gridCol w:w="830"/>
        <w:gridCol w:w="830"/>
        <w:gridCol w:w="830"/>
        <w:gridCol w:w="830"/>
        <w:gridCol w:w="830"/>
        <w:gridCol w:w="830"/>
      </w:tblGrid>
      <w:tr w:rsidR="00265792" w:rsidRPr="00BA7805" w14:paraId="509EEDC8" w14:textId="77777777" w:rsidTr="00B155CF">
        <w:trPr>
          <w:cnfStyle w:val="100000000000" w:firstRow="1" w:lastRow="0" w:firstColumn="0" w:lastColumn="0" w:oddVBand="0" w:evenVBand="0" w:oddHBand="0" w:evenHBand="0" w:firstRowFirstColumn="0" w:firstRowLastColumn="0" w:lastRowFirstColumn="0" w:lastRowLastColumn="0"/>
          <w:trHeight w:val="170"/>
          <w:tblHeader/>
        </w:trPr>
        <w:tc>
          <w:tcPr>
            <w:tcW w:w="2008" w:type="dxa"/>
          </w:tcPr>
          <w:p w14:paraId="0275EF2E" w14:textId="77777777" w:rsidR="00265792" w:rsidRDefault="00265792" w:rsidP="00DF220B">
            <w:pPr>
              <w:pStyle w:val="ARfintablebodybold8pt"/>
            </w:pPr>
            <w:r w:rsidRPr="00F975E0">
              <w:t xml:space="preserve">Output </w:t>
            </w:r>
            <w:r w:rsidRPr="008A69DE">
              <w:rPr>
                <w:vertAlign w:val="superscript"/>
              </w:rPr>
              <w:t>(</w:t>
            </w:r>
            <w:proofErr w:type="spellStart"/>
            <w:r w:rsidRPr="008A69DE">
              <w:rPr>
                <w:vertAlign w:val="superscript"/>
              </w:rPr>
              <w:t>i</w:t>
            </w:r>
            <w:proofErr w:type="spellEnd"/>
            <w:r w:rsidRPr="008A69DE">
              <w:rPr>
                <w:vertAlign w:val="superscript"/>
              </w:rPr>
              <w:t>)</w:t>
            </w:r>
          </w:p>
          <w:p w14:paraId="0165698B" w14:textId="77777777" w:rsidR="00265792" w:rsidRPr="00BA7805" w:rsidRDefault="00265792" w:rsidP="00DF220B">
            <w:pPr>
              <w:pStyle w:val="ARfintablebodybold8pt"/>
              <w:rPr>
                <w:sz w:val="15"/>
                <w:highlight w:val="green"/>
              </w:rPr>
            </w:pPr>
            <w:r w:rsidRPr="00F975E0">
              <w:t>202</w:t>
            </w:r>
            <w:r>
              <w:t>4</w:t>
            </w:r>
          </w:p>
        </w:tc>
        <w:tc>
          <w:tcPr>
            <w:tcW w:w="785" w:type="dxa"/>
            <w:noWrap/>
          </w:tcPr>
          <w:p w14:paraId="2A8EA4F5" w14:textId="77777777" w:rsidR="00265792" w:rsidRPr="00F4268B" w:rsidRDefault="00265792" w:rsidP="00DF220B">
            <w:pPr>
              <w:pStyle w:val="ARfintablecolheadright8"/>
            </w:pPr>
            <w:r w:rsidRPr="00F4268B">
              <w:t>1</w:t>
            </w:r>
          </w:p>
          <w:p w14:paraId="3D5B22F7" w14:textId="77777777" w:rsidR="00265792" w:rsidRPr="006748D0" w:rsidRDefault="00265792" w:rsidP="00DF220B">
            <w:pPr>
              <w:pStyle w:val="ARfintablebodyrightbold8pt"/>
              <w:rPr>
                <w:highlight w:val="green"/>
              </w:rPr>
            </w:pPr>
            <w:r w:rsidRPr="00F4268B">
              <w:t>$M</w:t>
            </w:r>
          </w:p>
        </w:tc>
        <w:tc>
          <w:tcPr>
            <w:tcW w:w="786" w:type="dxa"/>
            <w:noWrap/>
          </w:tcPr>
          <w:p w14:paraId="6C592DDD" w14:textId="77777777" w:rsidR="00265792" w:rsidRPr="00F4268B" w:rsidRDefault="00265792" w:rsidP="00DF220B">
            <w:pPr>
              <w:pStyle w:val="ARfintablecolheadright8"/>
            </w:pPr>
            <w:r w:rsidRPr="00F4268B">
              <w:t>2</w:t>
            </w:r>
          </w:p>
          <w:p w14:paraId="34416E6C" w14:textId="77777777" w:rsidR="00265792" w:rsidRPr="006748D0" w:rsidRDefault="00265792" w:rsidP="00DF220B">
            <w:pPr>
              <w:pStyle w:val="ARfintablebodyrightbold8pt"/>
              <w:rPr>
                <w:highlight w:val="green"/>
              </w:rPr>
            </w:pPr>
            <w:r w:rsidRPr="00F4268B">
              <w:t>$M</w:t>
            </w:r>
          </w:p>
        </w:tc>
        <w:tc>
          <w:tcPr>
            <w:tcW w:w="786" w:type="dxa"/>
            <w:noWrap/>
          </w:tcPr>
          <w:p w14:paraId="4D35F7E1" w14:textId="77777777" w:rsidR="00265792" w:rsidRPr="00F4268B" w:rsidRDefault="00265792" w:rsidP="00DF220B">
            <w:pPr>
              <w:pStyle w:val="ARfintablecolheadright8"/>
            </w:pPr>
            <w:r w:rsidRPr="00F4268B">
              <w:t>3</w:t>
            </w:r>
          </w:p>
          <w:p w14:paraId="2A7359FE" w14:textId="77777777" w:rsidR="00265792" w:rsidRPr="006748D0" w:rsidRDefault="00265792" w:rsidP="00DF220B">
            <w:pPr>
              <w:pStyle w:val="ARfintablebodyrightbold8pt"/>
              <w:rPr>
                <w:highlight w:val="green"/>
              </w:rPr>
            </w:pPr>
            <w:r w:rsidRPr="00F4268B">
              <w:t>$M</w:t>
            </w:r>
          </w:p>
        </w:tc>
        <w:tc>
          <w:tcPr>
            <w:tcW w:w="786" w:type="dxa"/>
            <w:noWrap/>
          </w:tcPr>
          <w:p w14:paraId="2650244A" w14:textId="77777777" w:rsidR="00265792" w:rsidRPr="00F4268B" w:rsidRDefault="00265792" w:rsidP="00DF220B">
            <w:pPr>
              <w:pStyle w:val="ARfintablecolheadright8"/>
            </w:pPr>
            <w:r w:rsidRPr="00F4268B">
              <w:t xml:space="preserve">4 </w:t>
            </w:r>
          </w:p>
          <w:p w14:paraId="6B8CFB81" w14:textId="77777777" w:rsidR="00265792" w:rsidRPr="006748D0" w:rsidRDefault="00265792" w:rsidP="00DF220B">
            <w:pPr>
              <w:pStyle w:val="ARfintablebodyrightbold8pt"/>
              <w:rPr>
                <w:highlight w:val="green"/>
              </w:rPr>
            </w:pPr>
            <w:r w:rsidRPr="00F4268B">
              <w:t>$M</w:t>
            </w:r>
          </w:p>
        </w:tc>
        <w:tc>
          <w:tcPr>
            <w:tcW w:w="786" w:type="dxa"/>
            <w:noWrap/>
          </w:tcPr>
          <w:p w14:paraId="1A996ECA" w14:textId="77777777" w:rsidR="00265792" w:rsidRPr="00F4268B" w:rsidRDefault="00265792" w:rsidP="00DF220B">
            <w:pPr>
              <w:pStyle w:val="ARfintablecolheadright8"/>
            </w:pPr>
            <w:r w:rsidRPr="00F4268B">
              <w:t>5</w:t>
            </w:r>
          </w:p>
          <w:p w14:paraId="0B3BF6A8" w14:textId="77777777" w:rsidR="00265792" w:rsidRPr="006748D0" w:rsidRDefault="00265792" w:rsidP="00DF220B">
            <w:pPr>
              <w:pStyle w:val="ARfintablebodyrightbold8pt"/>
              <w:rPr>
                <w:highlight w:val="green"/>
              </w:rPr>
            </w:pPr>
            <w:r w:rsidRPr="00F4268B">
              <w:t>$M</w:t>
            </w:r>
          </w:p>
        </w:tc>
        <w:tc>
          <w:tcPr>
            <w:tcW w:w="785" w:type="dxa"/>
            <w:noWrap/>
          </w:tcPr>
          <w:p w14:paraId="16723226" w14:textId="77777777" w:rsidR="00265792" w:rsidRPr="00F4268B" w:rsidRDefault="00265792" w:rsidP="00DF220B">
            <w:pPr>
              <w:pStyle w:val="ARfintablecolheadright8"/>
            </w:pPr>
            <w:r w:rsidRPr="00F4268B">
              <w:t>6</w:t>
            </w:r>
          </w:p>
          <w:p w14:paraId="35FA883D" w14:textId="77777777" w:rsidR="00265792" w:rsidRPr="006748D0" w:rsidRDefault="00265792" w:rsidP="00DF220B">
            <w:pPr>
              <w:pStyle w:val="ARfintablebodyrightbold8pt"/>
              <w:rPr>
                <w:highlight w:val="green"/>
              </w:rPr>
            </w:pPr>
            <w:r w:rsidRPr="00F4268B">
              <w:t>$M</w:t>
            </w:r>
          </w:p>
        </w:tc>
        <w:tc>
          <w:tcPr>
            <w:tcW w:w="785" w:type="dxa"/>
            <w:noWrap/>
          </w:tcPr>
          <w:p w14:paraId="67495AFC" w14:textId="77777777" w:rsidR="00265792" w:rsidRPr="00F4268B" w:rsidRDefault="00265792" w:rsidP="00DF220B">
            <w:pPr>
              <w:pStyle w:val="ARfintablecolheadright8"/>
            </w:pPr>
            <w:r w:rsidRPr="00F4268B">
              <w:t>7</w:t>
            </w:r>
          </w:p>
          <w:p w14:paraId="043452B0" w14:textId="77777777" w:rsidR="00265792" w:rsidRPr="006748D0" w:rsidRDefault="00265792" w:rsidP="00DF220B">
            <w:pPr>
              <w:pStyle w:val="ARfintablebodyrightbold8pt"/>
              <w:rPr>
                <w:highlight w:val="green"/>
              </w:rPr>
            </w:pPr>
            <w:r w:rsidRPr="00F4268B">
              <w:t>$M</w:t>
            </w:r>
          </w:p>
        </w:tc>
        <w:tc>
          <w:tcPr>
            <w:tcW w:w="785" w:type="dxa"/>
            <w:noWrap/>
          </w:tcPr>
          <w:p w14:paraId="6654D4F2" w14:textId="77777777" w:rsidR="00265792" w:rsidRPr="00F4268B" w:rsidRDefault="00265792" w:rsidP="00DF220B">
            <w:pPr>
              <w:pStyle w:val="ARfintablecolheadright8"/>
            </w:pPr>
            <w:r w:rsidRPr="00F4268B">
              <w:t>8</w:t>
            </w:r>
          </w:p>
          <w:p w14:paraId="5F7A2BCB" w14:textId="77777777" w:rsidR="00265792" w:rsidRPr="006748D0" w:rsidRDefault="00265792" w:rsidP="00DF220B">
            <w:pPr>
              <w:pStyle w:val="ARfintablebodyrightbold8pt"/>
              <w:rPr>
                <w:highlight w:val="green"/>
              </w:rPr>
            </w:pPr>
            <w:r w:rsidRPr="00F4268B">
              <w:t>$M</w:t>
            </w:r>
          </w:p>
        </w:tc>
        <w:tc>
          <w:tcPr>
            <w:tcW w:w="784" w:type="dxa"/>
            <w:noWrap/>
          </w:tcPr>
          <w:p w14:paraId="6CEEE974" w14:textId="77777777" w:rsidR="00265792" w:rsidRPr="00F4268B" w:rsidRDefault="00265792" w:rsidP="00DF220B">
            <w:pPr>
              <w:pStyle w:val="ARfintablecolheadright8"/>
            </w:pPr>
            <w:r w:rsidRPr="00F4268B">
              <w:t>9</w:t>
            </w:r>
          </w:p>
          <w:p w14:paraId="247EF7C3" w14:textId="77777777" w:rsidR="00265792" w:rsidRPr="006748D0" w:rsidRDefault="00265792" w:rsidP="00DF220B">
            <w:pPr>
              <w:pStyle w:val="ARfintablebodyrightbold8pt"/>
              <w:rPr>
                <w:highlight w:val="green"/>
              </w:rPr>
            </w:pPr>
            <w:r w:rsidRPr="00F4268B">
              <w:t>$M</w:t>
            </w:r>
          </w:p>
        </w:tc>
        <w:tc>
          <w:tcPr>
            <w:tcW w:w="785" w:type="dxa"/>
            <w:noWrap/>
          </w:tcPr>
          <w:p w14:paraId="35F3A79E" w14:textId="77777777" w:rsidR="00265792" w:rsidRPr="00F4268B" w:rsidRDefault="00265792" w:rsidP="00DF220B">
            <w:pPr>
              <w:pStyle w:val="ARfintablecolheadright8"/>
            </w:pPr>
            <w:r w:rsidRPr="00F4268B">
              <w:t>10</w:t>
            </w:r>
          </w:p>
          <w:p w14:paraId="5F721F94" w14:textId="77777777" w:rsidR="00265792" w:rsidRPr="006748D0" w:rsidRDefault="00265792" w:rsidP="00DF220B">
            <w:pPr>
              <w:pStyle w:val="ARfintablebodyrightbold8pt"/>
              <w:rPr>
                <w:highlight w:val="green"/>
              </w:rPr>
            </w:pPr>
            <w:r w:rsidRPr="00F4268B">
              <w:t>$M</w:t>
            </w:r>
          </w:p>
        </w:tc>
        <w:tc>
          <w:tcPr>
            <w:tcW w:w="785" w:type="dxa"/>
            <w:noWrap/>
          </w:tcPr>
          <w:p w14:paraId="38326009" w14:textId="77777777" w:rsidR="00265792" w:rsidRPr="00F4268B" w:rsidRDefault="00265792" w:rsidP="00DF220B">
            <w:pPr>
              <w:pStyle w:val="ARfintablecolheadright8"/>
            </w:pPr>
            <w:r w:rsidRPr="00F4268B">
              <w:t>11</w:t>
            </w:r>
          </w:p>
          <w:p w14:paraId="7F9B08FD" w14:textId="77777777" w:rsidR="00265792" w:rsidRPr="006748D0" w:rsidRDefault="00265792" w:rsidP="00DF220B">
            <w:pPr>
              <w:pStyle w:val="ARfintablebodyrightbold8pt"/>
              <w:rPr>
                <w:highlight w:val="green"/>
              </w:rPr>
            </w:pPr>
            <w:r w:rsidRPr="00F4268B">
              <w:t>$M</w:t>
            </w:r>
          </w:p>
        </w:tc>
        <w:tc>
          <w:tcPr>
            <w:tcW w:w="785" w:type="dxa"/>
            <w:noWrap/>
          </w:tcPr>
          <w:p w14:paraId="79B4DC4D" w14:textId="77777777" w:rsidR="00265792" w:rsidRPr="00F4268B" w:rsidRDefault="00265792" w:rsidP="00DF220B">
            <w:pPr>
              <w:pStyle w:val="ARfintablecolheadright8"/>
            </w:pPr>
            <w:r w:rsidRPr="00F4268B">
              <w:t>12</w:t>
            </w:r>
          </w:p>
          <w:p w14:paraId="2A7462B2" w14:textId="77777777" w:rsidR="00265792" w:rsidRPr="006748D0" w:rsidRDefault="00265792" w:rsidP="00DF220B">
            <w:pPr>
              <w:pStyle w:val="ARfintablebodyrightbold8pt"/>
              <w:rPr>
                <w:highlight w:val="green"/>
              </w:rPr>
            </w:pPr>
            <w:r w:rsidRPr="00F4268B">
              <w:t>$M</w:t>
            </w:r>
          </w:p>
        </w:tc>
        <w:tc>
          <w:tcPr>
            <w:tcW w:w="785" w:type="dxa"/>
            <w:noWrap/>
          </w:tcPr>
          <w:p w14:paraId="4DFB0FB8" w14:textId="77777777" w:rsidR="00265792" w:rsidRPr="00F4268B" w:rsidRDefault="00265792" w:rsidP="00DF220B">
            <w:pPr>
              <w:pStyle w:val="ARfintablecolheadright8"/>
            </w:pPr>
            <w:r w:rsidRPr="00F4268B">
              <w:t>13</w:t>
            </w:r>
          </w:p>
          <w:p w14:paraId="3396E381" w14:textId="77777777" w:rsidR="00265792" w:rsidRPr="006748D0" w:rsidRDefault="00265792" w:rsidP="00DF220B">
            <w:pPr>
              <w:pStyle w:val="ARfintablebodyrightbold8pt"/>
              <w:rPr>
                <w:highlight w:val="green"/>
              </w:rPr>
            </w:pPr>
            <w:r w:rsidRPr="00F4268B">
              <w:t>$M</w:t>
            </w:r>
          </w:p>
        </w:tc>
        <w:tc>
          <w:tcPr>
            <w:tcW w:w="785" w:type="dxa"/>
            <w:noWrap/>
          </w:tcPr>
          <w:p w14:paraId="3EA2A7A7" w14:textId="77777777" w:rsidR="00265792" w:rsidRPr="00F4268B" w:rsidRDefault="00265792" w:rsidP="00DF220B">
            <w:pPr>
              <w:pStyle w:val="ARfintablecolheadright8"/>
            </w:pPr>
            <w:r w:rsidRPr="00F4268B">
              <w:t>14</w:t>
            </w:r>
          </w:p>
          <w:p w14:paraId="010678B4" w14:textId="77777777" w:rsidR="00265792" w:rsidRPr="006748D0" w:rsidRDefault="00265792" w:rsidP="00DF220B">
            <w:pPr>
              <w:pStyle w:val="ARfintablebodyrightbold8pt"/>
              <w:rPr>
                <w:highlight w:val="green"/>
              </w:rPr>
            </w:pPr>
            <w:r w:rsidRPr="00F4268B">
              <w:t>$M</w:t>
            </w:r>
          </w:p>
        </w:tc>
        <w:tc>
          <w:tcPr>
            <w:tcW w:w="785" w:type="dxa"/>
            <w:noWrap/>
          </w:tcPr>
          <w:p w14:paraId="70514C5B" w14:textId="77777777" w:rsidR="00265792" w:rsidRPr="00F4268B" w:rsidRDefault="00265792" w:rsidP="00DF220B">
            <w:pPr>
              <w:pStyle w:val="ARfintablecolheadright8"/>
            </w:pPr>
            <w:r w:rsidRPr="00F4268B">
              <w:t>Total</w:t>
            </w:r>
          </w:p>
          <w:p w14:paraId="79EB3D63" w14:textId="77777777" w:rsidR="00265792" w:rsidRPr="006748D0" w:rsidRDefault="00265792" w:rsidP="00DF220B">
            <w:pPr>
              <w:pStyle w:val="ARfintablebodyrightbold8pt"/>
              <w:rPr>
                <w:highlight w:val="green"/>
              </w:rPr>
            </w:pPr>
            <w:r w:rsidRPr="00F4268B">
              <w:t>$M</w:t>
            </w:r>
          </w:p>
        </w:tc>
      </w:tr>
      <w:tr w:rsidR="00265792" w:rsidRPr="00BA7805" w14:paraId="3793D6B5" w14:textId="77777777" w:rsidTr="00B155CF">
        <w:trPr>
          <w:trHeight w:val="170"/>
        </w:trPr>
        <w:tc>
          <w:tcPr>
            <w:tcW w:w="2008" w:type="dxa"/>
          </w:tcPr>
          <w:p w14:paraId="7C15045E" w14:textId="77777777" w:rsidR="00265792" w:rsidRPr="00BA7805" w:rsidRDefault="00265792" w:rsidP="009B0F18">
            <w:pPr>
              <w:pStyle w:val="ARfintablebodybold8pt"/>
              <w:rPr>
                <w:highlight w:val="green"/>
              </w:rPr>
            </w:pPr>
            <w:r w:rsidRPr="008F2747">
              <w:t>Assets</w:t>
            </w:r>
          </w:p>
        </w:tc>
        <w:tc>
          <w:tcPr>
            <w:tcW w:w="785" w:type="dxa"/>
            <w:noWrap/>
          </w:tcPr>
          <w:p w14:paraId="4D558DDF" w14:textId="77777777" w:rsidR="00265792" w:rsidRPr="00BA7805" w:rsidRDefault="00265792" w:rsidP="00E032E1">
            <w:pPr>
              <w:pStyle w:val="ARfintablebodyright8pt"/>
              <w:rPr>
                <w:highlight w:val="green"/>
              </w:rPr>
            </w:pPr>
          </w:p>
        </w:tc>
        <w:tc>
          <w:tcPr>
            <w:tcW w:w="786" w:type="dxa"/>
            <w:noWrap/>
          </w:tcPr>
          <w:p w14:paraId="66308A70" w14:textId="77777777" w:rsidR="00265792" w:rsidRPr="00BA7805" w:rsidRDefault="00265792" w:rsidP="00E032E1">
            <w:pPr>
              <w:pStyle w:val="ARfintablebodyright8pt"/>
              <w:rPr>
                <w:highlight w:val="green"/>
              </w:rPr>
            </w:pPr>
          </w:p>
        </w:tc>
        <w:tc>
          <w:tcPr>
            <w:tcW w:w="786" w:type="dxa"/>
            <w:noWrap/>
          </w:tcPr>
          <w:p w14:paraId="6F3BD023" w14:textId="77777777" w:rsidR="00265792" w:rsidRPr="00BA7805" w:rsidRDefault="00265792" w:rsidP="00E032E1">
            <w:pPr>
              <w:pStyle w:val="ARfintablebodyright8pt"/>
              <w:rPr>
                <w:highlight w:val="green"/>
              </w:rPr>
            </w:pPr>
          </w:p>
        </w:tc>
        <w:tc>
          <w:tcPr>
            <w:tcW w:w="786" w:type="dxa"/>
            <w:noWrap/>
          </w:tcPr>
          <w:p w14:paraId="64ACCCAB" w14:textId="77777777" w:rsidR="00265792" w:rsidRPr="00BA7805" w:rsidRDefault="00265792" w:rsidP="00E032E1">
            <w:pPr>
              <w:pStyle w:val="ARfintablebodyright8pt"/>
              <w:rPr>
                <w:highlight w:val="green"/>
              </w:rPr>
            </w:pPr>
          </w:p>
        </w:tc>
        <w:tc>
          <w:tcPr>
            <w:tcW w:w="786" w:type="dxa"/>
            <w:noWrap/>
          </w:tcPr>
          <w:p w14:paraId="5434A2FF" w14:textId="77777777" w:rsidR="00265792" w:rsidRPr="00BA7805" w:rsidRDefault="00265792" w:rsidP="00E032E1">
            <w:pPr>
              <w:pStyle w:val="ARfintablebodyright8pt"/>
              <w:rPr>
                <w:highlight w:val="green"/>
              </w:rPr>
            </w:pPr>
          </w:p>
        </w:tc>
        <w:tc>
          <w:tcPr>
            <w:tcW w:w="785" w:type="dxa"/>
            <w:noWrap/>
          </w:tcPr>
          <w:p w14:paraId="025DF98A" w14:textId="77777777" w:rsidR="00265792" w:rsidRPr="00BA7805" w:rsidRDefault="00265792" w:rsidP="00E032E1">
            <w:pPr>
              <w:pStyle w:val="ARfintablebodyright8pt"/>
              <w:rPr>
                <w:highlight w:val="green"/>
              </w:rPr>
            </w:pPr>
          </w:p>
        </w:tc>
        <w:tc>
          <w:tcPr>
            <w:tcW w:w="785" w:type="dxa"/>
            <w:noWrap/>
          </w:tcPr>
          <w:p w14:paraId="6A3AE1FF" w14:textId="77777777" w:rsidR="00265792" w:rsidRPr="00BA7805" w:rsidRDefault="00265792" w:rsidP="00E032E1">
            <w:pPr>
              <w:pStyle w:val="ARfintablebodyright8pt"/>
              <w:rPr>
                <w:highlight w:val="green"/>
              </w:rPr>
            </w:pPr>
          </w:p>
        </w:tc>
        <w:tc>
          <w:tcPr>
            <w:tcW w:w="785" w:type="dxa"/>
            <w:noWrap/>
          </w:tcPr>
          <w:p w14:paraId="6FFCDCB0" w14:textId="77777777" w:rsidR="00265792" w:rsidRPr="00BA7805" w:rsidRDefault="00265792" w:rsidP="00E032E1">
            <w:pPr>
              <w:pStyle w:val="ARfintablebodyright8pt"/>
              <w:rPr>
                <w:highlight w:val="green"/>
              </w:rPr>
            </w:pPr>
          </w:p>
        </w:tc>
        <w:tc>
          <w:tcPr>
            <w:tcW w:w="784" w:type="dxa"/>
            <w:noWrap/>
          </w:tcPr>
          <w:p w14:paraId="52AB2FBE" w14:textId="77777777" w:rsidR="00265792" w:rsidRPr="00BA7805" w:rsidRDefault="00265792" w:rsidP="00E032E1">
            <w:pPr>
              <w:pStyle w:val="ARfintablebodyright8pt"/>
              <w:rPr>
                <w:highlight w:val="green"/>
              </w:rPr>
            </w:pPr>
          </w:p>
        </w:tc>
        <w:tc>
          <w:tcPr>
            <w:tcW w:w="785" w:type="dxa"/>
            <w:noWrap/>
          </w:tcPr>
          <w:p w14:paraId="0C5363C5" w14:textId="77777777" w:rsidR="00265792" w:rsidRPr="00BA7805" w:rsidRDefault="00265792" w:rsidP="00E032E1">
            <w:pPr>
              <w:pStyle w:val="ARfintablebodyright8pt"/>
              <w:rPr>
                <w:highlight w:val="green"/>
              </w:rPr>
            </w:pPr>
          </w:p>
        </w:tc>
        <w:tc>
          <w:tcPr>
            <w:tcW w:w="785" w:type="dxa"/>
            <w:noWrap/>
          </w:tcPr>
          <w:p w14:paraId="76272493" w14:textId="77777777" w:rsidR="00265792" w:rsidRPr="00BA7805" w:rsidRDefault="00265792" w:rsidP="00E032E1">
            <w:pPr>
              <w:pStyle w:val="ARfintablebodyright8pt"/>
              <w:rPr>
                <w:highlight w:val="green"/>
              </w:rPr>
            </w:pPr>
          </w:p>
        </w:tc>
        <w:tc>
          <w:tcPr>
            <w:tcW w:w="785" w:type="dxa"/>
            <w:noWrap/>
          </w:tcPr>
          <w:p w14:paraId="56B31B74" w14:textId="77777777" w:rsidR="00265792" w:rsidRPr="00BA7805" w:rsidRDefault="00265792" w:rsidP="00E032E1">
            <w:pPr>
              <w:pStyle w:val="ARfintablebodyright8pt"/>
              <w:rPr>
                <w:highlight w:val="green"/>
              </w:rPr>
            </w:pPr>
          </w:p>
        </w:tc>
        <w:tc>
          <w:tcPr>
            <w:tcW w:w="785" w:type="dxa"/>
            <w:noWrap/>
          </w:tcPr>
          <w:p w14:paraId="30311B51" w14:textId="77777777" w:rsidR="00265792" w:rsidRPr="00BA7805" w:rsidRDefault="00265792" w:rsidP="00E032E1">
            <w:pPr>
              <w:pStyle w:val="ARfintablebodyright8pt"/>
              <w:rPr>
                <w:highlight w:val="green"/>
              </w:rPr>
            </w:pPr>
          </w:p>
        </w:tc>
        <w:tc>
          <w:tcPr>
            <w:tcW w:w="785" w:type="dxa"/>
            <w:noWrap/>
          </w:tcPr>
          <w:p w14:paraId="66F1B4A9" w14:textId="77777777" w:rsidR="00265792" w:rsidRPr="00BA7805" w:rsidRDefault="00265792" w:rsidP="00E032E1">
            <w:pPr>
              <w:pStyle w:val="ARfintablebodyright8pt"/>
              <w:rPr>
                <w:highlight w:val="green"/>
              </w:rPr>
            </w:pPr>
          </w:p>
        </w:tc>
        <w:tc>
          <w:tcPr>
            <w:tcW w:w="785" w:type="dxa"/>
            <w:noWrap/>
          </w:tcPr>
          <w:p w14:paraId="61ACA71C" w14:textId="77777777" w:rsidR="00265792" w:rsidRPr="00BA7805" w:rsidRDefault="00265792" w:rsidP="00E032E1">
            <w:pPr>
              <w:pStyle w:val="ARfintablebodyright8pt"/>
              <w:rPr>
                <w:highlight w:val="green"/>
              </w:rPr>
            </w:pPr>
          </w:p>
        </w:tc>
      </w:tr>
      <w:tr w:rsidR="00265792" w:rsidRPr="00BA7805" w14:paraId="20EC685B" w14:textId="77777777" w:rsidTr="00B155CF">
        <w:trPr>
          <w:trHeight w:val="170"/>
        </w:trPr>
        <w:tc>
          <w:tcPr>
            <w:tcW w:w="2008" w:type="dxa"/>
            <w:tcBorders>
              <w:bottom w:val="single" w:sz="4" w:space="0" w:color="A6A6A6" w:themeColor="accent5"/>
            </w:tcBorders>
          </w:tcPr>
          <w:p w14:paraId="3DA0A90F" w14:textId="77777777" w:rsidR="00265792" w:rsidRPr="00BA7805" w:rsidRDefault="00265792" w:rsidP="00E032E1">
            <w:pPr>
              <w:pStyle w:val="ARfintablebody8pt"/>
              <w:rPr>
                <w:highlight w:val="green"/>
              </w:rPr>
            </w:pPr>
            <w:r w:rsidRPr="008F2747">
              <w:t>Financial assets</w:t>
            </w:r>
          </w:p>
        </w:tc>
        <w:tc>
          <w:tcPr>
            <w:tcW w:w="785" w:type="dxa"/>
            <w:tcBorders>
              <w:bottom w:val="single" w:sz="4" w:space="0" w:color="A6A6A6" w:themeColor="accent5"/>
            </w:tcBorders>
            <w:noWrap/>
          </w:tcPr>
          <w:p w14:paraId="57826CFB" w14:textId="77777777" w:rsidR="00265792" w:rsidRPr="00BA7805" w:rsidRDefault="00265792" w:rsidP="00E032E1">
            <w:pPr>
              <w:pStyle w:val="ARfintablebodyright8pt"/>
              <w:rPr>
                <w:highlight w:val="green"/>
              </w:rPr>
            </w:pPr>
            <w:r w:rsidRPr="008F2747">
              <w:t>258.6</w:t>
            </w:r>
          </w:p>
        </w:tc>
        <w:tc>
          <w:tcPr>
            <w:tcW w:w="786" w:type="dxa"/>
            <w:tcBorders>
              <w:bottom w:val="single" w:sz="4" w:space="0" w:color="A6A6A6" w:themeColor="accent5"/>
            </w:tcBorders>
            <w:noWrap/>
          </w:tcPr>
          <w:p w14:paraId="419BAC6E" w14:textId="77777777" w:rsidR="00265792" w:rsidRPr="00BA7805" w:rsidRDefault="00265792" w:rsidP="00E032E1">
            <w:pPr>
              <w:pStyle w:val="ARfintablebodyright8pt"/>
              <w:rPr>
                <w:highlight w:val="green"/>
              </w:rPr>
            </w:pPr>
            <w:r w:rsidRPr="008F2747">
              <w:t>233.6</w:t>
            </w:r>
          </w:p>
        </w:tc>
        <w:tc>
          <w:tcPr>
            <w:tcW w:w="786" w:type="dxa"/>
            <w:tcBorders>
              <w:bottom w:val="single" w:sz="4" w:space="0" w:color="A6A6A6" w:themeColor="accent5"/>
            </w:tcBorders>
            <w:noWrap/>
          </w:tcPr>
          <w:p w14:paraId="0C32CA3C" w14:textId="77777777" w:rsidR="00265792" w:rsidRPr="00BA7805" w:rsidRDefault="00265792" w:rsidP="00E032E1">
            <w:pPr>
              <w:pStyle w:val="ARfintablebodyright8pt"/>
              <w:rPr>
                <w:highlight w:val="green"/>
              </w:rPr>
            </w:pPr>
            <w:r w:rsidRPr="008F2747">
              <w:t>207.7</w:t>
            </w:r>
          </w:p>
        </w:tc>
        <w:tc>
          <w:tcPr>
            <w:tcW w:w="786" w:type="dxa"/>
            <w:tcBorders>
              <w:bottom w:val="single" w:sz="4" w:space="0" w:color="A6A6A6" w:themeColor="accent5"/>
            </w:tcBorders>
            <w:noWrap/>
          </w:tcPr>
          <w:p w14:paraId="13852436" w14:textId="77777777" w:rsidR="00265792" w:rsidRPr="00BA7805" w:rsidRDefault="00265792" w:rsidP="00E032E1">
            <w:pPr>
              <w:pStyle w:val="ARfintablebodyright8pt"/>
              <w:rPr>
                <w:highlight w:val="green"/>
              </w:rPr>
            </w:pPr>
            <w:r w:rsidRPr="008F2747">
              <w:t>15.8</w:t>
            </w:r>
          </w:p>
        </w:tc>
        <w:tc>
          <w:tcPr>
            <w:tcW w:w="786" w:type="dxa"/>
            <w:tcBorders>
              <w:bottom w:val="single" w:sz="4" w:space="0" w:color="A6A6A6" w:themeColor="accent5"/>
            </w:tcBorders>
            <w:noWrap/>
          </w:tcPr>
          <w:p w14:paraId="75CAD8DF" w14:textId="77777777" w:rsidR="00265792" w:rsidRPr="00BA7805" w:rsidRDefault="00265792" w:rsidP="00E032E1">
            <w:pPr>
              <w:pStyle w:val="ARfintablebodyright8pt"/>
              <w:rPr>
                <w:highlight w:val="green"/>
              </w:rPr>
            </w:pPr>
            <w:r w:rsidRPr="008F2747">
              <w:t>15.6</w:t>
            </w:r>
          </w:p>
        </w:tc>
        <w:tc>
          <w:tcPr>
            <w:tcW w:w="785" w:type="dxa"/>
            <w:tcBorders>
              <w:bottom w:val="single" w:sz="4" w:space="0" w:color="A6A6A6" w:themeColor="accent5"/>
            </w:tcBorders>
            <w:noWrap/>
          </w:tcPr>
          <w:p w14:paraId="01EED821" w14:textId="77777777" w:rsidR="00265792" w:rsidRPr="00BA7805" w:rsidRDefault="00265792" w:rsidP="00E032E1">
            <w:pPr>
              <w:pStyle w:val="ARfintablebodyright8pt"/>
              <w:rPr>
                <w:highlight w:val="green"/>
              </w:rPr>
            </w:pPr>
            <w:r w:rsidRPr="008F2747">
              <w:t>17.7</w:t>
            </w:r>
          </w:p>
        </w:tc>
        <w:tc>
          <w:tcPr>
            <w:tcW w:w="785" w:type="dxa"/>
            <w:tcBorders>
              <w:bottom w:val="single" w:sz="4" w:space="0" w:color="A6A6A6" w:themeColor="accent5"/>
            </w:tcBorders>
            <w:noWrap/>
          </w:tcPr>
          <w:p w14:paraId="42E619DE" w14:textId="77777777" w:rsidR="00265792" w:rsidRPr="00BA7805" w:rsidRDefault="00265792" w:rsidP="00E032E1">
            <w:pPr>
              <w:pStyle w:val="ARfintablebodyright8pt"/>
              <w:rPr>
                <w:highlight w:val="green"/>
              </w:rPr>
            </w:pPr>
            <w:r w:rsidRPr="008F2747">
              <w:t>17.3</w:t>
            </w:r>
          </w:p>
        </w:tc>
        <w:tc>
          <w:tcPr>
            <w:tcW w:w="785" w:type="dxa"/>
            <w:tcBorders>
              <w:bottom w:val="single" w:sz="4" w:space="0" w:color="A6A6A6" w:themeColor="accent5"/>
            </w:tcBorders>
            <w:noWrap/>
          </w:tcPr>
          <w:p w14:paraId="107B361E" w14:textId="77777777" w:rsidR="00265792" w:rsidRPr="00BA7805" w:rsidRDefault="00265792" w:rsidP="00E032E1">
            <w:pPr>
              <w:pStyle w:val="ARfintablebodyright8pt"/>
              <w:rPr>
                <w:highlight w:val="green"/>
              </w:rPr>
            </w:pPr>
            <w:r w:rsidRPr="008F2747">
              <w:t>13.2</w:t>
            </w:r>
          </w:p>
        </w:tc>
        <w:tc>
          <w:tcPr>
            <w:tcW w:w="784" w:type="dxa"/>
            <w:tcBorders>
              <w:bottom w:val="single" w:sz="4" w:space="0" w:color="A6A6A6" w:themeColor="accent5"/>
            </w:tcBorders>
            <w:noWrap/>
          </w:tcPr>
          <w:p w14:paraId="61D7C68F" w14:textId="77777777" w:rsidR="00265792" w:rsidRPr="00BA7805" w:rsidRDefault="00265792" w:rsidP="00E032E1">
            <w:pPr>
              <w:pStyle w:val="ARfintablebodyright8pt"/>
              <w:rPr>
                <w:highlight w:val="green"/>
              </w:rPr>
            </w:pPr>
            <w:r w:rsidRPr="008F2747">
              <w:t>22.5</w:t>
            </w:r>
          </w:p>
        </w:tc>
        <w:tc>
          <w:tcPr>
            <w:tcW w:w="785" w:type="dxa"/>
            <w:tcBorders>
              <w:bottom w:val="single" w:sz="4" w:space="0" w:color="A6A6A6" w:themeColor="accent5"/>
            </w:tcBorders>
            <w:noWrap/>
          </w:tcPr>
          <w:p w14:paraId="2DE9357D" w14:textId="77777777" w:rsidR="00265792" w:rsidRPr="00BA7805" w:rsidRDefault="00265792" w:rsidP="00E032E1">
            <w:pPr>
              <w:pStyle w:val="ARfintablebodyright8pt"/>
              <w:rPr>
                <w:highlight w:val="green"/>
              </w:rPr>
            </w:pPr>
            <w:r w:rsidRPr="008F2747">
              <w:t>43.1</w:t>
            </w:r>
          </w:p>
        </w:tc>
        <w:tc>
          <w:tcPr>
            <w:tcW w:w="785" w:type="dxa"/>
            <w:tcBorders>
              <w:bottom w:val="single" w:sz="4" w:space="0" w:color="A6A6A6" w:themeColor="accent5"/>
            </w:tcBorders>
            <w:noWrap/>
          </w:tcPr>
          <w:p w14:paraId="66B5D892" w14:textId="77777777" w:rsidR="00265792" w:rsidRPr="00BA7805" w:rsidRDefault="00265792" w:rsidP="00E032E1">
            <w:pPr>
              <w:pStyle w:val="ARfintablebodyright8pt"/>
              <w:rPr>
                <w:highlight w:val="green"/>
              </w:rPr>
            </w:pPr>
            <w:r w:rsidRPr="008F2747">
              <w:t>35.4</w:t>
            </w:r>
          </w:p>
        </w:tc>
        <w:tc>
          <w:tcPr>
            <w:tcW w:w="785" w:type="dxa"/>
            <w:tcBorders>
              <w:bottom w:val="single" w:sz="4" w:space="0" w:color="A6A6A6" w:themeColor="accent5"/>
            </w:tcBorders>
            <w:noWrap/>
          </w:tcPr>
          <w:p w14:paraId="694242E9" w14:textId="77777777" w:rsidR="00265792" w:rsidRPr="00BA7805" w:rsidRDefault="00265792" w:rsidP="00E032E1">
            <w:pPr>
              <w:pStyle w:val="ARfintablebodyright8pt"/>
              <w:rPr>
                <w:highlight w:val="green"/>
              </w:rPr>
            </w:pPr>
            <w:r w:rsidRPr="008F2747">
              <w:t>20.1</w:t>
            </w:r>
          </w:p>
        </w:tc>
        <w:tc>
          <w:tcPr>
            <w:tcW w:w="785" w:type="dxa"/>
            <w:tcBorders>
              <w:bottom w:val="single" w:sz="4" w:space="0" w:color="A6A6A6" w:themeColor="accent5"/>
            </w:tcBorders>
            <w:noWrap/>
          </w:tcPr>
          <w:p w14:paraId="2E0DD7BC" w14:textId="77777777" w:rsidR="00265792" w:rsidRPr="00BA7805" w:rsidRDefault="00265792" w:rsidP="00E032E1">
            <w:pPr>
              <w:pStyle w:val="ARfintablebodyright8pt"/>
              <w:rPr>
                <w:highlight w:val="green"/>
              </w:rPr>
            </w:pPr>
            <w:r w:rsidRPr="008F2747">
              <w:t>65.1</w:t>
            </w:r>
          </w:p>
        </w:tc>
        <w:tc>
          <w:tcPr>
            <w:tcW w:w="785" w:type="dxa"/>
            <w:tcBorders>
              <w:bottom w:val="single" w:sz="4" w:space="0" w:color="A6A6A6" w:themeColor="accent5"/>
            </w:tcBorders>
            <w:noWrap/>
          </w:tcPr>
          <w:p w14:paraId="641A2122" w14:textId="77777777" w:rsidR="00265792" w:rsidRPr="00BA7805" w:rsidRDefault="00265792" w:rsidP="00E032E1">
            <w:pPr>
              <w:pStyle w:val="ARfintablebodyright8pt"/>
              <w:rPr>
                <w:highlight w:val="green"/>
              </w:rPr>
            </w:pPr>
            <w:r>
              <w:t>945.3</w:t>
            </w:r>
          </w:p>
        </w:tc>
        <w:tc>
          <w:tcPr>
            <w:tcW w:w="785" w:type="dxa"/>
            <w:tcBorders>
              <w:bottom w:val="single" w:sz="4" w:space="0" w:color="A6A6A6" w:themeColor="accent5"/>
            </w:tcBorders>
            <w:noWrap/>
          </w:tcPr>
          <w:p w14:paraId="59760D63" w14:textId="77777777" w:rsidR="00265792" w:rsidRPr="00BA7805" w:rsidRDefault="00265792" w:rsidP="00E032E1">
            <w:pPr>
              <w:pStyle w:val="ARfintablebodyright8pt"/>
              <w:rPr>
                <w:highlight w:val="green"/>
              </w:rPr>
            </w:pPr>
            <w:r w:rsidRPr="008F2747">
              <w:t>1,910.9</w:t>
            </w:r>
          </w:p>
        </w:tc>
      </w:tr>
      <w:tr w:rsidR="00265792" w:rsidRPr="00BA7805" w14:paraId="1E65AA00" w14:textId="77777777" w:rsidTr="00B155CF">
        <w:trPr>
          <w:trHeight w:val="170"/>
        </w:trPr>
        <w:tc>
          <w:tcPr>
            <w:tcW w:w="2008" w:type="dxa"/>
            <w:tcBorders>
              <w:top w:val="single" w:sz="4" w:space="0" w:color="A6A6A6" w:themeColor="accent5"/>
              <w:bottom w:val="single" w:sz="4" w:space="0" w:color="000000" w:themeColor="text1"/>
            </w:tcBorders>
          </w:tcPr>
          <w:p w14:paraId="286C3949" w14:textId="77777777" w:rsidR="00265792" w:rsidRPr="00BA7805" w:rsidRDefault="00265792">
            <w:pPr>
              <w:pStyle w:val="ARfintablebody8pt"/>
              <w:rPr>
                <w:highlight w:val="green"/>
              </w:rPr>
            </w:pPr>
            <w:r w:rsidRPr="008F2747">
              <w:t>Non-financial assets</w:t>
            </w:r>
          </w:p>
        </w:tc>
        <w:tc>
          <w:tcPr>
            <w:tcW w:w="785" w:type="dxa"/>
            <w:tcBorders>
              <w:top w:val="single" w:sz="4" w:space="0" w:color="A6A6A6" w:themeColor="accent5"/>
              <w:bottom w:val="single" w:sz="4" w:space="0" w:color="000000" w:themeColor="text1"/>
            </w:tcBorders>
            <w:noWrap/>
          </w:tcPr>
          <w:p w14:paraId="5ADE7145" w14:textId="77777777" w:rsidR="00265792" w:rsidRPr="00BA7805" w:rsidRDefault="00265792">
            <w:pPr>
              <w:pStyle w:val="ARfintablebodyright8pt"/>
              <w:rPr>
                <w:highlight w:val="green"/>
              </w:rPr>
            </w:pPr>
            <w:r w:rsidRPr="008F2747">
              <w:t>1,244.5</w:t>
            </w:r>
          </w:p>
        </w:tc>
        <w:tc>
          <w:tcPr>
            <w:tcW w:w="786" w:type="dxa"/>
            <w:tcBorders>
              <w:top w:val="single" w:sz="4" w:space="0" w:color="A6A6A6" w:themeColor="accent5"/>
              <w:bottom w:val="single" w:sz="4" w:space="0" w:color="000000" w:themeColor="text1"/>
            </w:tcBorders>
            <w:noWrap/>
          </w:tcPr>
          <w:p w14:paraId="22AC5669" w14:textId="77777777" w:rsidR="00265792" w:rsidRPr="00BA7805" w:rsidRDefault="00265792">
            <w:pPr>
              <w:pStyle w:val="ARfintablebodyright8pt"/>
              <w:rPr>
                <w:highlight w:val="green"/>
              </w:rPr>
            </w:pPr>
            <w:r w:rsidRPr="008F2747">
              <w:t>344.4</w:t>
            </w:r>
          </w:p>
        </w:tc>
        <w:tc>
          <w:tcPr>
            <w:tcW w:w="786" w:type="dxa"/>
            <w:tcBorders>
              <w:top w:val="single" w:sz="4" w:space="0" w:color="A6A6A6" w:themeColor="accent5"/>
              <w:bottom w:val="single" w:sz="4" w:space="0" w:color="000000" w:themeColor="text1"/>
            </w:tcBorders>
            <w:noWrap/>
          </w:tcPr>
          <w:p w14:paraId="487BB4AA" w14:textId="77777777" w:rsidR="00265792" w:rsidRPr="00BA7805" w:rsidRDefault="00265792">
            <w:pPr>
              <w:pStyle w:val="ARfintablebodyright8pt"/>
              <w:rPr>
                <w:highlight w:val="green"/>
              </w:rPr>
            </w:pPr>
            <w:r w:rsidRPr="008F2747">
              <w:t>0.1</w:t>
            </w:r>
          </w:p>
        </w:tc>
        <w:tc>
          <w:tcPr>
            <w:tcW w:w="786" w:type="dxa"/>
            <w:tcBorders>
              <w:top w:val="single" w:sz="4" w:space="0" w:color="A6A6A6" w:themeColor="accent5"/>
              <w:bottom w:val="single" w:sz="4" w:space="0" w:color="000000" w:themeColor="text1"/>
            </w:tcBorders>
            <w:noWrap/>
          </w:tcPr>
          <w:p w14:paraId="4CCEB247" w14:textId="77777777" w:rsidR="00265792" w:rsidRPr="00BA7805" w:rsidRDefault="00265792">
            <w:pPr>
              <w:pStyle w:val="ARfintablebodyright8pt"/>
              <w:rPr>
                <w:highlight w:val="green"/>
              </w:rPr>
            </w:pPr>
            <w:r w:rsidRPr="000F6034">
              <w:t>–</w:t>
            </w:r>
          </w:p>
        </w:tc>
        <w:tc>
          <w:tcPr>
            <w:tcW w:w="786" w:type="dxa"/>
            <w:tcBorders>
              <w:top w:val="single" w:sz="4" w:space="0" w:color="A6A6A6" w:themeColor="accent5"/>
              <w:bottom w:val="single" w:sz="4" w:space="0" w:color="000000" w:themeColor="text1"/>
            </w:tcBorders>
            <w:noWrap/>
          </w:tcPr>
          <w:p w14:paraId="309A2370" w14:textId="77777777" w:rsidR="00265792" w:rsidRPr="00BA7805" w:rsidRDefault="00265792">
            <w:pPr>
              <w:pStyle w:val="ARfintablebodyright8pt"/>
              <w:rPr>
                <w:highlight w:val="green"/>
              </w:rPr>
            </w:pPr>
            <w:r w:rsidRPr="000F6034">
              <w:t>–</w:t>
            </w:r>
          </w:p>
        </w:tc>
        <w:tc>
          <w:tcPr>
            <w:tcW w:w="785" w:type="dxa"/>
            <w:tcBorders>
              <w:top w:val="single" w:sz="4" w:space="0" w:color="A6A6A6" w:themeColor="accent5"/>
              <w:bottom w:val="single" w:sz="4" w:space="0" w:color="000000" w:themeColor="text1"/>
            </w:tcBorders>
            <w:noWrap/>
          </w:tcPr>
          <w:p w14:paraId="244E4AC5" w14:textId="77777777" w:rsidR="00265792" w:rsidRPr="00BA7805" w:rsidRDefault="00265792">
            <w:pPr>
              <w:pStyle w:val="ARfintablebodyright8pt"/>
              <w:rPr>
                <w:highlight w:val="green"/>
              </w:rPr>
            </w:pPr>
            <w:r w:rsidRPr="008F2747">
              <w:t>0.3</w:t>
            </w:r>
          </w:p>
        </w:tc>
        <w:tc>
          <w:tcPr>
            <w:tcW w:w="785" w:type="dxa"/>
            <w:tcBorders>
              <w:top w:val="single" w:sz="4" w:space="0" w:color="A6A6A6" w:themeColor="accent5"/>
              <w:bottom w:val="single" w:sz="4" w:space="0" w:color="000000" w:themeColor="text1"/>
            </w:tcBorders>
            <w:noWrap/>
          </w:tcPr>
          <w:p w14:paraId="6A971B31" w14:textId="77777777" w:rsidR="00265792" w:rsidRPr="00BA7805" w:rsidRDefault="00265792">
            <w:pPr>
              <w:pStyle w:val="ARfintablebodyright8pt"/>
              <w:rPr>
                <w:highlight w:val="green"/>
              </w:rPr>
            </w:pPr>
            <w:r w:rsidRPr="00E24F24">
              <w:t>–</w:t>
            </w:r>
          </w:p>
        </w:tc>
        <w:tc>
          <w:tcPr>
            <w:tcW w:w="785" w:type="dxa"/>
            <w:tcBorders>
              <w:top w:val="single" w:sz="4" w:space="0" w:color="A6A6A6" w:themeColor="accent5"/>
              <w:bottom w:val="single" w:sz="4" w:space="0" w:color="000000" w:themeColor="text1"/>
            </w:tcBorders>
            <w:noWrap/>
          </w:tcPr>
          <w:p w14:paraId="41FB0669" w14:textId="77777777" w:rsidR="00265792" w:rsidRPr="00BA7805" w:rsidRDefault="00265792">
            <w:pPr>
              <w:pStyle w:val="ARfintablebodyright8pt"/>
              <w:rPr>
                <w:highlight w:val="green"/>
              </w:rPr>
            </w:pPr>
            <w:r w:rsidRPr="00E24F24">
              <w:t>–</w:t>
            </w:r>
          </w:p>
        </w:tc>
        <w:tc>
          <w:tcPr>
            <w:tcW w:w="784" w:type="dxa"/>
            <w:tcBorders>
              <w:top w:val="single" w:sz="4" w:space="0" w:color="A6A6A6" w:themeColor="accent5"/>
              <w:bottom w:val="single" w:sz="4" w:space="0" w:color="000000" w:themeColor="text1"/>
            </w:tcBorders>
            <w:noWrap/>
          </w:tcPr>
          <w:p w14:paraId="5631BB4A" w14:textId="77777777" w:rsidR="00265792" w:rsidRPr="00BA7805" w:rsidRDefault="00265792">
            <w:pPr>
              <w:pStyle w:val="ARfintablebodyright8pt"/>
              <w:rPr>
                <w:highlight w:val="green"/>
              </w:rPr>
            </w:pPr>
            <w:r w:rsidRPr="008F2747">
              <w:t>2.3</w:t>
            </w:r>
          </w:p>
        </w:tc>
        <w:tc>
          <w:tcPr>
            <w:tcW w:w="785" w:type="dxa"/>
            <w:tcBorders>
              <w:top w:val="single" w:sz="4" w:space="0" w:color="A6A6A6" w:themeColor="accent5"/>
              <w:bottom w:val="single" w:sz="4" w:space="0" w:color="000000" w:themeColor="text1"/>
            </w:tcBorders>
            <w:noWrap/>
          </w:tcPr>
          <w:p w14:paraId="4CEAFB38" w14:textId="77777777" w:rsidR="00265792" w:rsidRPr="00BA7805" w:rsidRDefault="00265792">
            <w:pPr>
              <w:pStyle w:val="ARfintablebodyright8pt"/>
              <w:rPr>
                <w:highlight w:val="green"/>
              </w:rPr>
            </w:pPr>
            <w:r>
              <w:t>–</w:t>
            </w:r>
          </w:p>
        </w:tc>
        <w:tc>
          <w:tcPr>
            <w:tcW w:w="785" w:type="dxa"/>
            <w:tcBorders>
              <w:top w:val="single" w:sz="4" w:space="0" w:color="A6A6A6" w:themeColor="accent5"/>
              <w:bottom w:val="single" w:sz="4" w:space="0" w:color="000000" w:themeColor="text1"/>
            </w:tcBorders>
            <w:noWrap/>
          </w:tcPr>
          <w:p w14:paraId="6DB47E6A" w14:textId="77777777" w:rsidR="00265792" w:rsidRPr="00BA7805" w:rsidRDefault="00265792">
            <w:pPr>
              <w:pStyle w:val="ARfintablebodyright8pt"/>
              <w:rPr>
                <w:highlight w:val="green"/>
              </w:rPr>
            </w:pPr>
            <w:r w:rsidRPr="008F2747">
              <w:t>0.3</w:t>
            </w:r>
          </w:p>
        </w:tc>
        <w:tc>
          <w:tcPr>
            <w:tcW w:w="785" w:type="dxa"/>
            <w:tcBorders>
              <w:top w:val="single" w:sz="4" w:space="0" w:color="A6A6A6" w:themeColor="accent5"/>
              <w:bottom w:val="single" w:sz="4" w:space="0" w:color="000000" w:themeColor="text1"/>
            </w:tcBorders>
            <w:noWrap/>
          </w:tcPr>
          <w:p w14:paraId="40629800" w14:textId="77777777" w:rsidR="00265792" w:rsidRPr="00BA7805" w:rsidRDefault="00265792">
            <w:pPr>
              <w:pStyle w:val="ARfintablebodyright8pt"/>
              <w:rPr>
                <w:highlight w:val="green"/>
              </w:rPr>
            </w:pPr>
            <w:r>
              <w:t>–</w:t>
            </w:r>
          </w:p>
        </w:tc>
        <w:tc>
          <w:tcPr>
            <w:tcW w:w="785" w:type="dxa"/>
            <w:tcBorders>
              <w:top w:val="single" w:sz="4" w:space="0" w:color="A6A6A6" w:themeColor="accent5"/>
              <w:bottom w:val="single" w:sz="4" w:space="0" w:color="000000" w:themeColor="text1"/>
            </w:tcBorders>
            <w:noWrap/>
          </w:tcPr>
          <w:p w14:paraId="216E1CA2" w14:textId="77777777" w:rsidR="00265792" w:rsidRPr="00BA7805" w:rsidRDefault="00265792">
            <w:pPr>
              <w:pStyle w:val="ARfintablebodyright8pt"/>
              <w:rPr>
                <w:highlight w:val="green"/>
              </w:rPr>
            </w:pPr>
            <w:r w:rsidRPr="008F2747">
              <w:t>63.1</w:t>
            </w:r>
          </w:p>
        </w:tc>
        <w:tc>
          <w:tcPr>
            <w:tcW w:w="785" w:type="dxa"/>
            <w:tcBorders>
              <w:top w:val="single" w:sz="4" w:space="0" w:color="A6A6A6" w:themeColor="accent5"/>
              <w:bottom w:val="single" w:sz="4" w:space="0" w:color="000000" w:themeColor="text1"/>
            </w:tcBorders>
            <w:noWrap/>
          </w:tcPr>
          <w:p w14:paraId="184D2428" w14:textId="77777777" w:rsidR="00265792" w:rsidRPr="00BA7805" w:rsidRDefault="00265792">
            <w:pPr>
              <w:pStyle w:val="ARfintablebodyright8pt"/>
              <w:rPr>
                <w:highlight w:val="green"/>
              </w:rPr>
            </w:pPr>
            <w:r w:rsidRPr="008F2747">
              <w:t>36,929.4</w:t>
            </w:r>
          </w:p>
        </w:tc>
        <w:tc>
          <w:tcPr>
            <w:tcW w:w="785" w:type="dxa"/>
            <w:tcBorders>
              <w:top w:val="single" w:sz="4" w:space="0" w:color="A6A6A6" w:themeColor="accent5"/>
              <w:bottom w:val="single" w:sz="4" w:space="0" w:color="000000" w:themeColor="text1"/>
            </w:tcBorders>
            <w:noWrap/>
          </w:tcPr>
          <w:p w14:paraId="6270D9F0" w14:textId="77777777" w:rsidR="00265792" w:rsidRPr="00BA7805" w:rsidRDefault="00265792">
            <w:pPr>
              <w:pStyle w:val="ARfintablebodyright8pt"/>
              <w:rPr>
                <w:highlight w:val="green"/>
              </w:rPr>
            </w:pPr>
            <w:r w:rsidRPr="008F2747">
              <w:t>38,584.5</w:t>
            </w:r>
          </w:p>
        </w:tc>
      </w:tr>
      <w:tr w:rsidR="00265792" w:rsidRPr="00BA7805" w14:paraId="3B2A77D1" w14:textId="77777777" w:rsidTr="00B155CF">
        <w:trPr>
          <w:trHeight w:val="170"/>
        </w:trPr>
        <w:tc>
          <w:tcPr>
            <w:tcW w:w="2008" w:type="dxa"/>
            <w:tcBorders>
              <w:top w:val="single" w:sz="4" w:space="0" w:color="000000" w:themeColor="text1"/>
              <w:bottom w:val="single" w:sz="4" w:space="0" w:color="000000" w:themeColor="text1"/>
            </w:tcBorders>
          </w:tcPr>
          <w:p w14:paraId="3D37855C" w14:textId="77777777" w:rsidR="00265792" w:rsidRPr="00BA7805" w:rsidRDefault="00265792" w:rsidP="009B0F18">
            <w:pPr>
              <w:pStyle w:val="ARfintablebodybold8pt"/>
              <w:rPr>
                <w:highlight w:val="green"/>
              </w:rPr>
            </w:pPr>
            <w:r w:rsidRPr="008F2747">
              <w:t>Total assets</w:t>
            </w:r>
          </w:p>
        </w:tc>
        <w:tc>
          <w:tcPr>
            <w:tcW w:w="785" w:type="dxa"/>
            <w:tcBorders>
              <w:top w:val="single" w:sz="4" w:space="0" w:color="000000" w:themeColor="text1"/>
              <w:bottom w:val="single" w:sz="4" w:space="0" w:color="000000" w:themeColor="text1"/>
            </w:tcBorders>
            <w:noWrap/>
          </w:tcPr>
          <w:p w14:paraId="1603FF94" w14:textId="77777777" w:rsidR="00265792" w:rsidRPr="00BA7805" w:rsidRDefault="00265792" w:rsidP="00D60B79">
            <w:pPr>
              <w:pStyle w:val="ARfintablebodyrightbold8pt"/>
              <w:rPr>
                <w:highlight w:val="green"/>
              </w:rPr>
            </w:pPr>
            <w:r w:rsidRPr="008F2747">
              <w:t>1,503.1</w:t>
            </w:r>
          </w:p>
        </w:tc>
        <w:tc>
          <w:tcPr>
            <w:tcW w:w="786" w:type="dxa"/>
            <w:tcBorders>
              <w:top w:val="single" w:sz="4" w:space="0" w:color="000000" w:themeColor="text1"/>
              <w:bottom w:val="single" w:sz="4" w:space="0" w:color="000000" w:themeColor="text1"/>
            </w:tcBorders>
            <w:noWrap/>
          </w:tcPr>
          <w:p w14:paraId="32708C7C" w14:textId="77777777" w:rsidR="00265792" w:rsidRPr="00BA7805" w:rsidRDefault="00265792" w:rsidP="00D60B79">
            <w:pPr>
              <w:pStyle w:val="ARfintablebodyrightbold8pt"/>
              <w:rPr>
                <w:highlight w:val="green"/>
              </w:rPr>
            </w:pPr>
            <w:r w:rsidRPr="008F2747">
              <w:t>578.0</w:t>
            </w:r>
          </w:p>
        </w:tc>
        <w:tc>
          <w:tcPr>
            <w:tcW w:w="786" w:type="dxa"/>
            <w:tcBorders>
              <w:top w:val="single" w:sz="4" w:space="0" w:color="000000" w:themeColor="text1"/>
              <w:bottom w:val="single" w:sz="4" w:space="0" w:color="000000" w:themeColor="text1"/>
            </w:tcBorders>
            <w:noWrap/>
          </w:tcPr>
          <w:p w14:paraId="22CA41F9" w14:textId="77777777" w:rsidR="00265792" w:rsidRPr="00BA7805" w:rsidRDefault="00265792" w:rsidP="00D60B79">
            <w:pPr>
              <w:pStyle w:val="ARfintablebodyrightbold8pt"/>
              <w:rPr>
                <w:highlight w:val="green"/>
              </w:rPr>
            </w:pPr>
            <w:r w:rsidRPr="008F2747">
              <w:t>207.8</w:t>
            </w:r>
          </w:p>
        </w:tc>
        <w:tc>
          <w:tcPr>
            <w:tcW w:w="786" w:type="dxa"/>
            <w:tcBorders>
              <w:top w:val="single" w:sz="4" w:space="0" w:color="000000" w:themeColor="text1"/>
              <w:bottom w:val="single" w:sz="4" w:space="0" w:color="000000" w:themeColor="text1"/>
            </w:tcBorders>
            <w:noWrap/>
          </w:tcPr>
          <w:p w14:paraId="4451A787" w14:textId="77777777" w:rsidR="00265792" w:rsidRPr="00BA7805" w:rsidRDefault="00265792" w:rsidP="00D60B79">
            <w:pPr>
              <w:pStyle w:val="ARfintablebodyrightbold8pt"/>
              <w:rPr>
                <w:highlight w:val="green"/>
              </w:rPr>
            </w:pPr>
            <w:r w:rsidRPr="008F2747">
              <w:t>15.8</w:t>
            </w:r>
          </w:p>
        </w:tc>
        <w:tc>
          <w:tcPr>
            <w:tcW w:w="786" w:type="dxa"/>
            <w:tcBorders>
              <w:top w:val="single" w:sz="4" w:space="0" w:color="000000" w:themeColor="text1"/>
              <w:bottom w:val="single" w:sz="4" w:space="0" w:color="000000" w:themeColor="text1"/>
            </w:tcBorders>
            <w:noWrap/>
          </w:tcPr>
          <w:p w14:paraId="0B94B71E" w14:textId="77777777" w:rsidR="00265792" w:rsidRPr="00BA7805" w:rsidRDefault="00265792" w:rsidP="00D60B79">
            <w:pPr>
              <w:pStyle w:val="ARfintablebodyrightbold8pt"/>
              <w:rPr>
                <w:highlight w:val="green"/>
              </w:rPr>
            </w:pPr>
            <w:r w:rsidRPr="008F2747">
              <w:t>15.6</w:t>
            </w:r>
          </w:p>
        </w:tc>
        <w:tc>
          <w:tcPr>
            <w:tcW w:w="785" w:type="dxa"/>
            <w:tcBorders>
              <w:top w:val="single" w:sz="4" w:space="0" w:color="000000" w:themeColor="text1"/>
              <w:bottom w:val="single" w:sz="4" w:space="0" w:color="000000" w:themeColor="text1"/>
            </w:tcBorders>
            <w:noWrap/>
          </w:tcPr>
          <w:p w14:paraId="6341C1E7" w14:textId="77777777" w:rsidR="00265792" w:rsidRPr="00BA7805" w:rsidRDefault="00265792" w:rsidP="00D60B79">
            <w:pPr>
              <w:pStyle w:val="ARfintablebodyrightbold8pt"/>
              <w:rPr>
                <w:highlight w:val="green"/>
              </w:rPr>
            </w:pPr>
            <w:r w:rsidRPr="008F2747">
              <w:t>18.0</w:t>
            </w:r>
          </w:p>
        </w:tc>
        <w:tc>
          <w:tcPr>
            <w:tcW w:w="785" w:type="dxa"/>
            <w:tcBorders>
              <w:top w:val="single" w:sz="4" w:space="0" w:color="000000" w:themeColor="text1"/>
              <w:bottom w:val="single" w:sz="4" w:space="0" w:color="000000" w:themeColor="text1"/>
            </w:tcBorders>
            <w:noWrap/>
          </w:tcPr>
          <w:p w14:paraId="6CB8AA1C" w14:textId="77777777" w:rsidR="00265792" w:rsidRPr="00BA7805" w:rsidRDefault="00265792" w:rsidP="00D60B79">
            <w:pPr>
              <w:pStyle w:val="ARfintablebodyrightbold8pt"/>
              <w:rPr>
                <w:highlight w:val="green"/>
              </w:rPr>
            </w:pPr>
            <w:r w:rsidRPr="008F2747">
              <w:t>17.2</w:t>
            </w:r>
          </w:p>
        </w:tc>
        <w:tc>
          <w:tcPr>
            <w:tcW w:w="785" w:type="dxa"/>
            <w:tcBorders>
              <w:top w:val="single" w:sz="4" w:space="0" w:color="000000" w:themeColor="text1"/>
              <w:bottom w:val="single" w:sz="4" w:space="0" w:color="000000" w:themeColor="text1"/>
            </w:tcBorders>
            <w:noWrap/>
          </w:tcPr>
          <w:p w14:paraId="0362E34B" w14:textId="77777777" w:rsidR="00265792" w:rsidRPr="00BA7805" w:rsidRDefault="00265792" w:rsidP="00D60B79">
            <w:pPr>
              <w:pStyle w:val="ARfintablebodyrightbold8pt"/>
              <w:rPr>
                <w:highlight w:val="green"/>
              </w:rPr>
            </w:pPr>
            <w:r w:rsidRPr="008F2747">
              <w:t>13.2</w:t>
            </w:r>
          </w:p>
        </w:tc>
        <w:tc>
          <w:tcPr>
            <w:tcW w:w="784" w:type="dxa"/>
            <w:tcBorders>
              <w:top w:val="single" w:sz="4" w:space="0" w:color="000000" w:themeColor="text1"/>
              <w:bottom w:val="single" w:sz="4" w:space="0" w:color="000000" w:themeColor="text1"/>
            </w:tcBorders>
            <w:noWrap/>
          </w:tcPr>
          <w:p w14:paraId="03B6761D" w14:textId="77777777" w:rsidR="00265792" w:rsidRPr="00BA7805" w:rsidRDefault="00265792" w:rsidP="00D60B79">
            <w:pPr>
              <w:pStyle w:val="ARfintablebodyrightbold8pt"/>
              <w:rPr>
                <w:highlight w:val="green"/>
              </w:rPr>
            </w:pPr>
            <w:r w:rsidRPr="008F2747">
              <w:t>24.9</w:t>
            </w:r>
          </w:p>
        </w:tc>
        <w:tc>
          <w:tcPr>
            <w:tcW w:w="785" w:type="dxa"/>
            <w:tcBorders>
              <w:top w:val="single" w:sz="4" w:space="0" w:color="000000" w:themeColor="text1"/>
              <w:bottom w:val="single" w:sz="4" w:space="0" w:color="000000" w:themeColor="text1"/>
            </w:tcBorders>
            <w:noWrap/>
          </w:tcPr>
          <w:p w14:paraId="09DDDD0D" w14:textId="77777777" w:rsidR="00265792" w:rsidRPr="00BA7805" w:rsidRDefault="00265792" w:rsidP="00D60B79">
            <w:pPr>
              <w:pStyle w:val="ARfintablebodyrightbold8pt"/>
              <w:rPr>
                <w:highlight w:val="green"/>
              </w:rPr>
            </w:pPr>
            <w:r w:rsidRPr="008F2747">
              <w:t>43.1</w:t>
            </w:r>
          </w:p>
        </w:tc>
        <w:tc>
          <w:tcPr>
            <w:tcW w:w="785" w:type="dxa"/>
            <w:tcBorders>
              <w:top w:val="single" w:sz="4" w:space="0" w:color="000000" w:themeColor="text1"/>
              <w:bottom w:val="single" w:sz="4" w:space="0" w:color="000000" w:themeColor="text1"/>
            </w:tcBorders>
            <w:noWrap/>
          </w:tcPr>
          <w:p w14:paraId="1F75FD23" w14:textId="77777777" w:rsidR="00265792" w:rsidRPr="00BA7805" w:rsidRDefault="00265792" w:rsidP="00D60B79">
            <w:pPr>
              <w:pStyle w:val="ARfintablebodyrightbold8pt"/>
              <w:rPr>
                <w:highlight w:val="green"/>
              </w:rPr>
            </w:pPr>
            <w:r w:rsidRPr="008F2747">
              <w:t>35.7</w:t>
            </w:r>
          </w:p>
        </w:tc>
        <w:tc>
          <w:tcPr>
            <w:tcW w:w="785" w:type="dxa"/>
            <w:tcBorders>
              <w:top w:val="single" w:sz="4" w:space="0" w:color="000000" w:themeColor="text1"/>
              <w:bottom w:val="single" w:sz="4" w:space="0" w:color="000000" w:themeColor="text1"/>
            </w:tcBorders>
            <w:noWrap/>
          </w:tcPr>
          <w:p w14:paraId="0C7CF126" w14:textId="77777777" w:rsidR="00265792" w:rsidRPr="00BA7805" w:rsidRDefault="00265792" w:rsidP="00D60B79">
            <w:pPr>
              <w:pStyle w:val="ARfintablebodyrightbold8pt"/>
              <w:rPr>
                <w:highlight w:val="green"/>
              </w:rPr>
            </w:pPr>
            <w:r w:rsidRPr="008F2747">
              <w:t>20.1</w:t>
            </w:r>
          </w:p>
        </w:tc>
        <w:tc>
          <w:tcPr>
            <w:tcW w:w="785" w:type="dxa"/>
            <w:tcBorders>
              <w:top w:val="single" w:sz="4" w:space="0" w:color="000000" w:themeColor="text1"/>
              <w:bottom w:val="single" w:sz="4" w:space="0" w:color="000000" w:themeColor="text1"/>
            </w:tcBorders>
            <w:noWrap/>
          </w:tcPr>
          <w:p w14:paraId="303BF295" w14:textId="77777777" w:rsidR="00265792" w:rsidRPr="00BA7805" w:rsidRDefault="00265792" w:rsidP="00D60B79">
            <w:pPr>
              <w:pStyle w:val="ARfintablebodyrightbold8pt"/>
              <w:rPr>
                <w:highlight w:val="green"/>
              </w:rPr>
            </w:pPr>
            <w:r w:rsidRPr="008F2747">
              <w:t>128.2</w:t>
            </w:r>
          </w:p>
        </w:tc>
        <w:tc>
          <w:tcPr>
            <w:tcW w:w="785" w:type="dxa"/>
            <w:tcBorders>
              <w:top w:val="single" w:sz="4" w:space="0" w:color="000000" w:themeColor="text1"/>
              <w:bottom w:val="single" w:sz="4" w:space="0" w:color="000000" w:themeColor="text1"/>
            </w:tcBorders>
            <w:noWrap/>
          </w:tcPr>
          <w:p w14:paraId="06D60551" w14:textId="77777777" w:rsidR="00265792" w:rsidRPr="00BA7805" w:rsidRDefault="00265792" w:rsidP="00D60B79">
            <w:pPr>
              <w:pStyle w:val="ARfintablebodyrightbold8pt"/>
              <w:rPr>
                <w:highlight w:val="green"/>
              </w:rPr>
            </w:pPr>
            <w:r>
              <w:t>37,874.7</w:t>
            </w:r>
          </w:p>
        </w:tc>
        <w:tc>
          <w:tcPr>
            <w:tcW w:w="785" w:type="dxa"/>
            <w:tcBorders>
              <w:top w:val="single" w:sz="4" w:space="0" w:color="000000" w:themeColor="text1"/>
              <w:bottom w:val="single" w:sz="4" w:space="0" w:color="000000" w:themeColor="text1"/>
            </w:tcBorders>
            <w:noWrap/>
          </w:tcPr>
          <w:p w14:paraId="5B9696F7" w14:textId="77777777" w:rsidR="00265792" w:rsidRPr="00BA7805" w:rsidRDefault="00265792" w:rsidP="00D60B79">
            <w:pPr>
              <w:pStyle w:val="ARfintablebodyrightbold8pt"/>
              <w:rPr>
                <w:highlight w:val="green"/>
              </w:rPr>
            </w:pPr>
            <w:r w:rsidRPr="008F2747">
              <w:t>40,495.4</w:t>
            </w:r>
          </w:p>
        </w:tc>
      </w:tr>
      <w:tr w:rsidR="00265792" w:rsidRPr="00BA7805" w14:paraId="434EDC83" w14:textId="77777777" w:rsidTr="00B155CF">
        <w:trPr>
          <w:trHeight w:val="170"/>
        </w:trPr>
        <w:tc>
          <w:tcPr>
            <w:tcW w:w="2008" w:type="dxa"/>
            <w:tcBorders>
              <w:top w:val="single" w:sz="4" w:space="0" w:color="000000" w:themeColor="text1"/>
              <w:bottom w:val="single" w:sz="4" w:space="0" w:color="A6A6A6" w:themeColor="accent5"/>
            </w:tcBorders>
          </w:tcPr>
          <w:p w14:paraId="674370F4" w14:textId="77777777" w:rsidR="00265792" w:rsidRPr="00BA7805" w:rsidRDefault="00265792" w:rsidP="009B0F18">
            <w:pPr>
              <w:pStyle w:val="ARfintablebodybold8pt"/>
              <w:rPr>
                <w:highlight w:val="green"/>
              </w:rPr>
            </w:pPr>
            <w:r w:rsidRPr="008F2747">
              <w:t>Liabilities</w:t>
            </w:r>
          </w:p>
        </w:tc>
        <w:tc>
          <w:tcPr>
            <w:tcW w:w="785" w:type="dxa"/>
            <w:tcBorders>
              <w:top w:val="single" w:sz="4" w:space="0" w:color="000000" w:themeColor="text1"/>
              <w:bottom w:val="single" w:sz="4" w:space="0" w:color="A6A6A6" w:themeColor="accent5"/>
            </w:tcBorders>
            <w:noWrap/>
          </w:tcPr>
          <w:p w14:paraId="21512D4A" w14:textId="77777777" w:rsidR="00265792" w:rsidRPr="00BA7805" w:rsidRDefault="00265792" w:rsidP="00E032E1">
            <w:pPr>
              <w:pStyle w:val="ARfintablebodyright8pt"/>
              <w:rPr>
                <w:highlight w:val="green"/>
              </w:rPr>
            </w:pPr>
          </w:p>
        </w:tc>
        <w:tc>
          <w:tcPr>
            <w:tcW w:w="786" w:type="dxa"/>
            <w:tcBorders>
              <w:top w:val="single" w:sz="4" w:space="0" w:color="000000" w:themeColor="text1"/>
              <w:bottom w:val="single" w:sz="4" w:space="0" w:color="A6A6A6" w:themeColor="accent5"/>
            </w:tcBorders>
            <w:noWrap/>
          </w:tcPr>
          <w:p w14:paraId="424331E5" w14:textId="77777777" w:rsidR="00265792" w:rsidRPr="00BA7805" w:rsidRDefault="00265792" w:rsidP="00E032E1">
            <w:pPr>
              <w:pStyle w:val="ARfintablebodyright8pt"/>
              <w:rPr>
                <w:highlight w:val="green"/>
              </w:rPr>
            </w:pPr>
          </w:p>
        </w:tc>
        <w:tc>
          <w:tcPr>
            <w:tcW w:w="786" w:type="dxa"/>
            <w:tcBorders>
              <w:top w:val="single" w:sz="4" w:space="0" w:color="000000" w:themeColor="text1"/>
              <w:bottom w:val="single" w:sz="4" w:space="0" w:color="A6A6A6" w:themeColor="accent5"/>
            </w:tcBorders>
            <w:noWrap/>
          </w:tcPr>
          <w:p w14:paraId="26DDF902" w14:textId="77777777" w:rsidR="00265792" w:rsidRPr="00BA7805" w:rsidRDefault="00265792" w:rsidP="00E032E1">
            <w:pPr>
              <w:pStyle w:val="ARfintablebodyright8pt"/>
              <w:rPr>
                <w:highlight w:val="green"/>
              </w:rPr>
            </w:pPr>
          </w:p>
        </w:tc>
        <w:tc>
          <w:tcPr>
            <w:tcW w:w="786" w:type="dxa"/>
            <w:tcBorders>
              <w:top w:val="single" w:sz="4" w:space="0" w:color="000000" w:themeColor="text1"/>
              <w:bottom w:val="single" w:sz="4" w:space="0" w:color="A6A6A6" w:themeColor="accent5"/>
            </w:tcBorders>
            <w:noWrap/>
          </w:tcPr>
          <w:p w14:paraId="2CA67AE6" w14:textId="77777777" w:rsidR="00265792" w:rsidRPr="00BA7805" w:rsidRDefault="00265792" w:rsidP="00E032E1">
            <w:pPr>
              <w:pStyle w:val="ARfintablebodyright8pt"/>
              <w:rPr>
                <w:highlight w:val="green"/>
              </w:rPr>
            </w:pPr>
          </w:p>
        </w:tc>
        <w:tc>
          <w:tcPr>
            <w:tcW w:w="786" w:type="dxa"/>
            <w:tcBorders>
              <w:top w:val="single" w:sz="4" w:space="0" w:color="000000" w:themeColor="text1"/>
              <w:bottom w:val="single" w:sz="4" w:space="0" w:color="A6A6A6" w:themeColor="accent5"/>
            </w:tcBorders>
            <w:noWrap/>
          </w:tcPr>
          <w:p w14:paraId="09C593BD" w14:textId="77777777" w:rsidR="00265792" w:rsidRPr="00BA7805" w:rsidRDefault="00265792" w:rsidP="00E032E1">
            <w:pPr>
              <w:pStyle w:val="ARfintablebodyright8pt"/>
              <w:rPr>
                <w:highlight w:val="green"/>
              </w:rPr>
            </w:pPr>
          </w:p>
        </w:tc>
        <w:tc>
          <w:tcPr>
            <w:tcW w:w="785" w:type="dxa"/>
            <w:tcBorders>
              <w:top w:val="single" w:sz="4" w:space="0" w:color="000000" w:themeColor="text1"/>
              <w:bottom w:val="single" w:sz="4" w:space="0" w:color="A6A6A6" w:themeColor="accent5"/>
            </w:tcBorders>
            <w:noWrap/>
          </w:tcPr>
          <w:p w14:paraId="7BC16664" w14:textId="77777777" w:rsidR="00265792" w:rsidRPr="00BA7805" w:rsidRDefault="00265792" w:rsidP="00E032E1">
            <w:pPr>
              <w:pStyle w:val="ARfintablebodyright8pt"/>
              <w:rPr>
                <w:highlight w:val="green"/>
              </w:rPr>
            </w:pPr>
          </w:p>
        </w:tc>
        <w:tc>
          <w:tcPr>
            <w:tcW w:w="785" w:type="dxa"/>
            <w:tcBorders>
              <w:top w:val="single" w:sz="4" w:space="0" w:color="000000" w:themeColor="text1"/>
              <w:bottom w:val="single" w:sz="4" w:space="0" w:color="A6A6A6" w:themeColor="accent5"/>
            </w:tcBorders>
            <w:noWrap/>
          </w:tcPr>
          <w:p w14:paraId="4581F507" w14:textId="77777777" w:rsidR="00265792" w:rsidRPr="00BA7805" w:rsidRDefault="00265792" w:rsidP="00E032E1">
            <w:pPr>
              <w:pStyle w:val="ARfintablebodyright8pt"/>
              <w:rPr>
                <w:highlight w:val="green"/>
              </w:rPr>
            </w:pPr>
          </w:p>
        </w:tc>
        <w:tc>
          <w:tcPr>
            <w:tcW w:w="785" w:type="dxa"/>
            <w:tcBorders>
              <w:top w:val="single" w:sz="4" w:space="0" w:color="000000" w:themeColor="text1"/>
              <w:bottom w:val="single" w:sz="4" w:space="0" w:color="A6A6A6" w:themeColor="accent5"/>
            </w:tcBorders>
            <w:noWrap/>
          </w:tcPr>
          <w:p w14:paraId="25A1DA32" w14:textId="77777777" w:rsidR="00265792" w:rsidRPr="00BA7805" w:rsidRDefault="00265792" w:rsidP="00E032E1">
            <w:pPr>
              <w:pStyle w:val="ARfintablebodyright8pt"/>
              <w:rPr>
                <w:highlight w:val="green"/>
              </w:rPr>
            </w:pPr>
          </w:p>
        </w:tc>
        <w:tc>
          <w:tcPr>
            <w:tcW w:w="784" w:type="dxa"/>
            <w:tcBorders>
              <w:top w:val="single" w:sz="4" w:space="0" w:color="000000" w:themeColor="text1"/>
              <w:bottom w:val="single" w:sz="4" w:space="0" w:color="A6A6A6" w:themeColor="accent5"/>
            </w:tcBorders>
            <w:noWrap/>
          </w:tcPr>
          <w:p w14:paraId="4D3C8309" w14:textId="77777777" w:rsidR="00265792" w:rsidRPr="00BA7805" w:rsidRDefault="00265792" w:rsidP="00E032E1">
            <w:pPr>
              <w:pStyle w:val="ARfintablebodyright8pt"/>
              <w:rPr>
                <w:highlight w:val="green"/>
              </w:rPr>
            </w:pPr>
          </w:p>
        </w:tc>
        <w:tc>
          <w:tcPr>
            <w:tcW w:w="785" w:type="dxa"/>
            <w:tcBorders>
              <w:top w:val="single" w:sz="4" w:space="0" w:color="000000" w:themeColor="text1"/>
              <w:bottom w:val="single" w:sz="4" w:space="0" w:color="A6A6A6" w:themeColor="accent5"/>
            </w:tcBorders>
            <w:noWrap/>
          </w:tcPr>
          <w:p w14:paraId="257BC610" w14:textId="77777777" w:rsidR="00265792" w:rsidRPr="00BA7805" w:rsidRDefault="00265792" w:rsidP="00E032E1">
            <w:pPr>
              <w:pStyle w:val="ARfintablebodyright8pt"/>
              <w:rPr>
                <w:highlight w:val="green"/>
              </w:rPr>
            </w:pPr>
          </w:p>
        </w:tc>
        <w:tc>
          <w:tcPr>
            <w:tcW w:w="785" w:type="dxa"/>
            <w:tcBorders>
              <w:top w:val="single" w:sz="4" w:space="0" w:color="000000" w:themeColor="text1"/>
              <w:bottom w:val="single" w:sz="4" w:space="0" w:color="A6A6A6" w:themeColor="accent5"/>
            </w:tcBorders>
            <w:noWrap/>
          </w:tcPr>
          <w:p w14:paraId="186A2CD4" w14:textId="77777777" w:rsidR="00265792" w:rsidRPr="00BA7805" w:rsidRDefault="00265792" w:rsidP="00E032E1">
            <w:pPr>
              <w:pStyle w:val="ARfintablebodyright8pt"/>
              <w:rPr>
                <w:highlight w:val="green"/>
              </w:rPr>
            </w:pPr>
          </w:p>
        </w:tc>
        <w:tc>
          <w:tcPr>
            <w:tcW w:w="785" w:type="dxa"/>
            <w:tcBorders>
              <w:top w:val="single" w:sz="4" w:space="0" w:color="000000" w:themeColor="text1"/>
              <w:bottom w:val="single" w:sz="4" w:space="0" w:color="A6A6A6" w:themeColor="accent5"/>
            </w:tcBorders>
            <w:noWrap/>
          </w:tcPr>
          <w:p w14:paraId="3C4692C3" w14:textId="77777777" w:rsidR="00265792" w:rsidRPr="00BA7805" w:rsidRDefault="00265792" w:rsidP="00E032E1">
            <w:pPr>
              <w:pStyle w:val="ARfintablebodyright8pt"/>
              <w:rPr>
                <w:highlight w:val="green"/>
              </w:rPr>
            </w:pPr>
          </w:p>
        </w:tc>
        <w:tc>
          <w:tcPr>
            <w:tcW w:w="785" w:type="dxa"/>
            <w:tcBorders>
              <w:top w:val="single" w:sz="4" w:space="0" w:color="000000" w:themeColor="text1"/>
              <w:bottom w:val="single" w:sz="4" w:space="0" w:color="A6A6A6" w:themeColor="accent5"/>
            </w:tcBorders>
            <w:noWrap/>
          </w:tcPr>
          <w:p w14:paraId="7A792332" w14:textId="77777777" w:rsidR="00265792" w:rsidRPr="00BA7805" w:rsidRDefault="00265792" w:rsidP="00E032E1">
            <w:pPr>
              <w:pStyle w:val="ARfintablebodyright8pt"/>
              <w:rPr>
                <w:highlight w:val="green"/>
              </w:rPr>
            </w:pPr>
          </w:p>
        </w:tc>
        <w:tc>
          <w:tcPr>
            <w:tcW w:w="785" w:type="dxa"/>
            <w:tcBorders>
              <w:top w:val="single" w:sz="4" w:space="0" w:color="000000" w:themeColor="text1"/>
              <w:bottom w:val="single" w:sz="4" w:space="0" w:color="A6A6A6" w:themeColor="accent5"/>
            </w:tcBorders>
            <w:noWrap/>
          </w:tcPr>
          <w:p w14:paraId="144825A2" w14:textId="77777777" w:rsidR="00265792" w:rsidRPr="00BA7805" w:rsidRDefault="00265792" w:rsidP="00E032E1">
            <w:pPr>
              <w:pStyle w:val="ARfintablebodyright8pt"/>
              <w:rPr>
                <w:highlight w:val="green"/>
              </w:rPr>
            </w:pPr>
          </w:p>
        </w:tc>
        <w:tc>
          <w:tcPr>
            <w:tcW w:w="785" w:type="dxa"/>
            <w:tcBorders>
              <w:top w:val="single" w:sz="4" w:space="0" w:color="000000" w:themeColor="text1"/>
              <w:bottom w:val="single" w:sz="4" w:space="0" w:color="A6A6A6" w:themeColor="accent5"/>
            </w:tcBorders>
            <w:noWrap/>
          </w:tcPr>
          <w:p w14:paraId="2ED8840E" w14:textId="77777777" w:rsidR="00265792" w:rsidRPr="00BA7805" w:rsidRDefault="00265792" w:rsidP="00E032E1">
            <w:pPr>
              <w:pStyle w:val="ARfintablebodyright8pt"/>
              <w:rPr>
                <w:highlight w:val="green"/>
              </w:rPr>
            </w:pPr>
          </w:p>
        </w:tc>
      </w:tr>
      <w:tr w:rsidR="00265792" w:rsidRPr="00BA7805" w14:paraId="08F049AE" w14:textId="77777777" w:rsidTr="00B155CF">
        <w:trPr>
          <w:trHeight w:val="170"/>
        </w:trPr>
        <w:tc>
          <w:tcPr>
            <w:tcW w:w="2008" w:type="dxa"/>
            <w:tcBorders>
              <w:top w:val="single" w:sz="4" w:space="0" w:color="A6A6A6" w:themeColor="accent5"/>
              <w:bottom w:val="single" w:sz="4" w:space="0" w:color="000000" w:themeColor="text1"/>
            </w:tcBorders>
          </w:tcPr>
          <w:p w14:paraId="436E55BF" w14:textId="77777777" w:rsidR="00265792" w:rsidRPr="00BA7805" w:rsidRDefault="00265792" w:rsidP="00E032E1">
            <w:pPr>
              <w:pStyle w:val="ARfintablebody8pt"/>
              <w:rPr>
                <w:highlight w:val="green"/>
              </w:rPr>
            </w:pPr>
            <w:r w:rsidRPr="008F2747">
              <w:t>Liabilities</w:t>
            </w:r>
          </w:p>
        </w:tc>
        <w:tc>
          <w:tcPr>
            <w:tcW w:w="785" w:type="dxa"/>
            <w:tcBorders>
              <w:top w:val="single" w:sz="4" w:space="0" w:color="A6A6A6" w:themeColor="accent5"/>
              <w:bottom w:val="single" w:sz="4" w:space="0" w:color="000000" w:themeColor="text1"/>
            </w:tcBorders>
            <w:noWrap/>
          </w:tcPr>
          <w:p w14:paraId="7ADC5727" w14:textId="77777777" w:rsidR="00265792" w:rsidRPr="00BA7805" w:rsidRDefault="00265792" w:rsidP="00E032E1">
            <w:pPr>
              <w:pStyle w:val="ARfintablebodyright8pt"/>
              <w:rPr>
                <w:highlight w:val="green"/>
              </w:rPr>
            </w:pPr>
            <w:r w:rsidRPr="008F2747">
              <w:t>(343.6)</w:t>
            </w:r>
          </w:p>
        </w:tc>
        <w:tc>
          <w:tcPr>
            <w:tcW w:w="786" w:type="dxa"/>
            <w:tcBorders>
              <w:top w:val="single" w:sz="4" w:space="0" w:color="A6A6A6" w:themeColor="accent5"/>
              <w:bottom w:val="single" w:sz="4" w:space="0" w:color="000000" w:themeColor="text1"/>
            </w:tcBorders>
            <w:noWrap/>
          </w:tcPr>
          <w:p w14:paraId="72085A0B" w14:textId="77777777" w:rsidR="00265792" w:rsidRPr="00BA7805" w:rsidRDefault="00265792" w:rsidP="00E032E1">
            <w:pPr>
              <w:pStyle w:val="ARfintablebodyright8pt"/>
              <w:rPr>
                <w:highlight w:val="green"/>
              </w:rPr>
            </w:pPr>
            <w:r w:rsidRPr="008F2747">
              <w:t>(607.4)</w:t>
            </w:r>
          </w:p>
        </w:tc>
        <w:tc>
          <w:tcPr>
            <w:tcW w:w="786" w:type="dxa"/>
            <w:tcBorders>
              <w:top w:val="single" w:sz="4" w:space="0" w:color="A6A6A6" w:themeColor="accent5"/>
              <w:bottom w:val="single" w:sz="4" w:space="0" w:color="000000" w:themeColor="text1"/>
            </w:tcBorders>
            <w:noWrap/>
          </w:tcPr>
          <w:p w14:paraId="457340F8" w14:textId="77777777" w:rsidR="00265792" w:rsidRPr="00BA7805" w:rsidRDefault="00265792" w:rsidP="00E032E1">
            <w:pPr>
              <w:pStyle w:val="ARfintablebodyright8pt"/>
              <w:rPr>
                <w:highlight w:val="green"/>
              </w:rPr>
            </w:pPr>
            <w:r w:rsidRPr="008F2747">
              <w:t>(162.7)</w:t>
            </w:r>
          </w:p>
        </w:tc>
        <w:tc>
          <w:tcPr>
            <w:tcW w:w="786" w:type="dxa"/>
            <w:tcBorders>
              <w:top w:val="single" w:sz="4" w:space="0" w:color="A6A6A6" w:themeColor="accent5"/>
              <w:bottom w:val="single" w:sz="4" w:space="0" w:color="000000" w:themeColor="text1"/>
            </w:tcBorders>
            <w:noWrap/>
          </w:tcPr>
          <w:p w14:paraId="7190565D" w14:textId="77777777" w:rsidR="00265792" w:rsidRPr="00BA7805" w:rsidRDefault="00265792" w:rsidP="00E032E1">
            <w:pPr>
              <w:pStyle w:val="ARfintablebodyright8pt"/>
              <w:rPr>
                <w:highlight w:val="green"/>
              </w:rPr>
            </w:pPr>
            <w:r w:rsidRPr="008F2747">
              <w:t>(4.8)</w:t>
            </w:r>
          </w:p>
        </w:tc>
        <w:tc>
          <w:tcPr>
            <w:tcW w:w="786" w:type="dxa"/>
            <w:tcBorders>
              <w:top w:val="single" w:sz="4" w:space="0" w:color="A6A6A6" w:themeColor="accent5"/>
              <w:bottom w:val="single" w:sz="4" w:space="0" w:color="000000" w:themeColor="text1"/>
            </w:tcBorders>
            <w:noWrap/>
          </w:tcPr>
          <w:p w14:paraId="494E19AF" w14:textId="77777777" w:rsidR="00265792" w:rsidRPr="00BA7805" w:rsidRDefault="00265792" w:rsidP="00E032E1">
            <w:pPr>
              <w:pStyle w:val="ARfintablebodyright8pt"/>
              <w:rPr>
                <w:highlight w:val="green"/>
              </w:rPr>
            </w:pPr>
            <w:r w:rsidRPr="008F2747">
              <w:t>(2.0)</w:t>
            </w:r>
          </w:p>
        </w:tc>
        <w:tc>
          <w:tcPr>
            <w:tcW w:w="785" w:type="dxa"/>
            <w:tcBorders>
              <w:top w:val="single" w:sz="4" w:space="0" w:color="A6A6A6" w:themeColor="accent5"/>
              <w:bottom w:val="single" w:sz="4" w:space="0" w:color="000000" w:themeColor="text1"/>
            </w:tcBorders>
            <w:noWrap/>
          </w:tcPr>
          <w:p w14:paraId="543C17A1" w14:textId="77777777" w:rsidR="00265792" w:rsidRPr="00BA7805" w:rsidRDefault="00265792" w:rsidP="00E032E1">
            <w:pPr>
              <w:pStyle w:val="ARfintablebodyright8pt"/>
              <w:rPr>
                <w:highlight w:val="green"/>
              </w:rPr>
            </w:pPr>
            <w:r w:rsidRPr="008F2747">
              <w:t>(3.8)</w:t>
            </w:r>
          </w:p>
        </w:tc>
        <w:tc>
          <w:tcPr>
            <w:tcW w:w="785" w:type="dxa"/>
            <w:tcBorders>
              <w:top w:val="single" w:sz="4" w:space="0" w:color="A6A6A6" w:themeColor="accent5"/>
              <w:bottom w:val="single" w:sz="4" w:space="0" w:color="000000" w:themeColor="text1"/>
            </w:tcBorders>
            <w:noWrap/>
          </w:tcPr>
          <w:p w14:paraId="20635927" w14:textId="77777777" w:rsidR="00265792" w:rsidRPr="00BA7805" w:rsidRDefault="00265792" w:rsidP="00E032E1">
            <w:pPr>
              <w:pStyle w:val="ARfintablebodyright8pt"/>
              <w:rPr>
                <w:highlight w:val="green"/>
              </w:rPr>
            </w:pPr>
            <w:r w:rsidRPr="008F2747">
              <w:t>(0.9)</w:t>
            </w:r>
          </w:p>
        </w:tc>
        <w:tc>
          <w:tcPr>
            <w:tcW w:w="785" w:type="dxa"/>
            <w:tcBorders>
              <w:top w:val="single" w:sz="4" w:space="0" w:color="A6A6A6" w:themeColor="accent5"/>
              <w:bottom w:val="single" w:sz="4" w:space="0" w:color="000000" w:themeColor="text1"/>
            </w:tcBorders>
            <w:noWrap/>
          </w:tcPr>
          <w:p w14:paraId="1E5FE298" w14:textId="77777777" w:rsidR="00265792" w:rsidRPr="00BA7805" w:rsidRDefault="00265792" w:rsidP="00E032E1">
            <w:pPr>
              <w:pStyle w:val="ARfintablebodyright8pt"/>
              <w:rPr>
                <w:highlight w:val="green"/>
              </w:rPr>
            </w:pPr>
            <w:r w:rsidRPr="008F2747">
              <w:t>(1.4)</w:t>
            </w:r>
          </w:p>
        </w:tc>
        <w:tc>
          <w:tcPr>
            <w:tcW w:w="784" w:type="dxa"/>
            <w:tcBorders>
              <w:top w:val="single" w:sz="4" w:space="0" w:color="A6A6A6" w:themeColor="accent5"/>
              <w:bottom w:val="single" w:sz="4" w:space="0" w:color="000000" w:themeColor="text1"/>
            </w:tcBorders>
            <w:noWrap/>
          </w:tcPr>
          <w:p w14:paraId="5F84A840" w14:textId="77777777" w:rsidR="00265792" w:rsidRPr="00BA7805" w:rsidRDefault="00265792" w:rsidP="00E032E1">
            <w:pPr>
              <w:pStyle w:val="ARfintablebodyright8pt"/>
              <w:rPr>
                <w:highlight w:val="green"/>
              </w:rPr>
            </w:pPr>
            <w:r w:rsidRPr="008F2747">
              <w:t>(2.2)</w:t>
            </w:r>
          </w:p>
        </w:tc>
        <w:tc>
          <w:tcPr>
            <w:tcW w:w="785" w:type="dxa"/>
            <w:tcBorders>
              <w:top w:val="single" w:sz="4" w:space="0" w:color="A6A6A6" w:themeColor="accent5"/>
              <w:bottom w:val="single" w:sz="4" w:space="0" w:color="000000" w:themeColor="text1"/>
            </w:tcBorders>
            <w:noWrap/>
          </w:tcPr>
          <w:p w14:paraId="7F378094" w14:textId="77777777" w:rsidR="00265792" w:rsidRPr="00BA7805" w:rsidRDefault="00265792" w:rsidP="00E032E1">
            <w:pPr>
              <w:pStyle w:val="ARfintablebodyright8pt"/>
              <w:rPr>
                <w:highlight w:val="green"/>
              </w:rPr>
            </w:pPr>
            <w:r w:rsidRPr="008F2747">
              <w:t>(6.2)</w:t>
            </w:r>
          </w:p>
        </w:tc>
        <w:tc>
          <w:tcPr>
            <w:tcW w:w="785" w:type="dxa"/>
            <w:tcBorders>
              <w:top w:val="single" w:sz="4" w:space="0" w:color="A6A6A6" w:themeColor="accent5"/>
              <w:bottom w:val="single" w:sz="4" w:space="0" w:color="000000" w:themeColor="text1"/>
            </w:tcBorders>
            <w:noWrap/>
          </w:tcPr>
          <w:p w14:paraId="0F4CAC19" w14:textId="77777777" w:rsidR="00265792" w:rsidRPr="00BA7805" w:rsidRDefault="00265792" w:rsidP="00E032E1">
            <w:pPr>
              <w:pStyle w:val="ARfintablebodyright8pt"/>
              <w:rPr>
                <w:highlight w:val="green"/>
              </w:rPr>
            </w:pPr>
            <w:r w:rsidRPr="008F2747">
              <w:t>(2.0)</w:t>
            </w:r>
          </w:p>
        </w:tc>
        <w:tc>
          <w:tcPr>
            <w:tcW w:w="785" w:type="dxa"/>
            <w:tcBorders>
              <w:top w:val="single" w:sz="4" w:space="0" w:color="A6A6A6" w:themeColor="accent5"/>
              <w:bottom w:val="single" w:sz="4" w:space="0" w:color="000000" w:themeColor="text1"/>
            </w:tcBorders>
            <w:noWrap/>
          </w:tcPr>
          <w:p w14:paraId="0B72F827" w14:textId="77777777" w:rsidR="00265792" w:rsidRPr="00BA7805" w:rsidRDefault="00265792" w:rsidP="00E032E1">
            <w:pPr>
              <w:pStyle w:val="ARfintablebodyright8pt"/>
              <w:rPr>
                <w:highlight w:val="green"/>
              </w:rPr>
            </w:pPr>
            <w:r w:rsidRPr="008F2747">
              <w:t>(0.3)</w:t>
            </w:r>
          </w:p>
        </w:tc>
        <w:tc>
          <w:tcPr>
            <w:tcW w:w="785" w:type="dxa"/>
            <w:tcBorders>
              <w:top w:val="single" w:sz="4" w:space="0" w:color="A6A6A6" w:themeColor="accent5"/>
              <w:bottom w:val="single" w:sz="4" w:space="0" w:color="000000" w:themeColor="text1"/>
            </w:tcBorders>
            <w:noWrap/>
          </w:tcPr>
          <w:p w14:paraId="54A6A511" w14:textId="77777777" w:rsidR="00265792" w:rsidRPr="00BA7805" w:rsidRDefault="00265792" w:rsidP="00E032E1">
            <w:pPr>
              <w:pStyle w:val="ARfintablebodyright8pt"/>
              <w:rPr>
                <w:highlight w:val="green"/>
              </w:rPr>
            </w:pPr>
            <w:r w:rsidRPr="008F2747">
              <w:t>(18.5)</w:t>
            </w:r>
          </w:p>
        </w:tc>
        <w:tc>
          <w:tcPr>
            <w:tcW w:w="785" w:type="dxa"/>
            <w:tcBorders>
              <w:top w:val="single" w:sz="4" w:space="0" w:color="A6A6A6" w:themeColor="accent5"/>
              <w:bottom w:val="single" w:sz="4" w:space="0" w:color="000000" w:themeColor="text1"/>
            </w:tcBorders>
            <w:noWrap/>
          </w:tcPr>
          <w:p w14:paraId="18176029" w14:textId="77777777" w:rsidR="00265792" w:rsidRPr="00BA7805" w:rsidRDefault="00265792" w:rsidP="00E032E1">
            <w:pPr>
              <w:pStyle w:val="ARfintablebodyright8pt"/>
              <w:rPr>
                <w:highlight w:val="green"/>
              </w:rPr>
            </w:pPr>
            <w:r>
              <w:t>(777.2)</w:t>
            </w:r>
          </w:p>
        </w:tc>
        <w:tc>
          <w:tcPr>
            <w:tcW w:w="785" w:type="dxa"/>
            <w:tcBorders>
              <w:top w:val="single" w:sz="4" w:space="0" w:color="A6A6A6" w:themeColor="accent5"/>
              <w:bottom w:val="single" w:sz="4" w:space="0" w:color="000000" w:themeColor="text1"/>
            </w:tcBorders>
            <w:noWrap/>
          </w:tcPr>
          <w:p w14:paraId="53D0B659" w14:textId="77777777" w:rsidR="00265792" w:rsidRPr="00BA7805" w:rsidRDefault="00265792" w:rsidP="00E032E1">
            <w:pPr>
              <w:pStyle w:val="ARfintablebodyright8pt"/>
              <w:rPr>
                <w:highlight w:val="green"/>
              </w:rPr>
            </w:pPr>
            <w:r w:rsidRPr="008F2747">
              <w:t>(1,933.1)</w:t>
            </w:r>
          </w:p>
        </w:tc>
      </w:tr>
      <w:tr w:rsidR="00265792" w:rsidRPr="00BA7805" w14:paraId="656B6B4D" w14:textId="77777777" w:rsidTr="00B155CF">
        <w:trPr>
          <w:trHeight w:val="170"/>
        </w:trPr>
        <w:tc>
          <w:tcPr>
            <w:tcW w:w="2008" w:type="dxa"/>
            <w:tcBorders>
              <w:top w:val="single" w:sz="4" w:space="0" w:color="000000" w:themeColor="text1"/>
              <w:bottom w:val="single" w:sz="4" w:space="0" w:color="000000" w:themeColor="text1"/>
            </w:tcBorders>
          </w:tcPr>
          <w:p w14:paraId="0547476B" w14:textId="77777777" w:rsidR="00265792" w:rsidRPr="00BA7805" w:rsidRDefault="00265792" w:rsidP="009B0F18">
            <w:pPr>
              <w:pStyle w:val="ARfintablebodybold8pt"/>
              <w:rPr>
                <w:highlight w:val="green"/>
              </w:rPr>
            </w:pPr>
            <w:r w:rsidRPr="008F2747">
              <w:t>Total liabilities</w:t>
            </w:r>
          </w:p>
        </w:tc>
        <w:tc>
          <w:tcPr>
            <w:tcW w:w="785" w:type="dxa"/>
            <w:tcBorders>
              <w:top w:val="single" w:sz="4" w:space="0" w:color="000000" w:themeColor="text1"/>
              <w:bottom w:val="single" w:sz="4" w:space="0" w:color="000000" w:themeColor="text1"/>
            </w:tcBorders>
            <w:noWrap/>
          </w:tcPr>
          <w:p w14:paraId="1A8B97FC" w14:textId="77777777" w:rsidR="00265792" w:rsidRPr="00BA7805" w:rsidRDefault="00265792" w:rsidP="00D60B79">
            <w:pPr>
              <w:pStyle w:val="ARfintablebodyrightbold8pt"/>
              <w:rPr>
                <w:highlight w:val="green"/>
              </w:rPr>
            </w:pPr>
            <w:r w:rsidRPr="008F2747">
              <w:t>(343.6)</w:t>
            </w:r>
          </w:p>
        </w:tc>
        <w:tc>
          <w:tcPr>
            <w:tcW w:w="786" w:type="dxa"/>
            <w:tcBorders>
              <w:top w:val="single" w:sz="4" w:space="0" w:color="000000" w:themeColor="text1"/>
              <w:bottom w:val="single" w:sz="4" w:space="0" w:color="000000" w:themeColor="text1"/>
            </w:tcBorders>
            <w:noWrap/>
          </w:tcPr>
          <w:p w14:paraId="7852564A" w14:textId="77777777" w:rsidR="00265792" w:rsidRPr="00BA7805" w:rsidRDefault="00265792" w:rsidP="00D60B79">
            <w:pPr>
              <w:pStyle w:val="ARfintablebodyrightbold8pt"/>
              <w:rPr>
                <w:highlight w:val="green"/>
              </w:rPr>
            </w:pPr>
            <w:r w:rsidRPr="008F2747">
              <w:t>(607.4)</w:t>
            </w:r>
          </w:p>
        </w:tc>
        <w:tc>
          <w:tcPr>
            <w:tcW w:w="786" w:type="dxa"/>
            <w:tcBorders>
              <w:top w:val="single" w:sz="4" w:space="0" w:color="000000" w:themeColor="text1"/>
              <w:bottom w:val="single" w:sz="4" w:space="0" w:color="000000" w:themeColor="text1"/>
            </w:tcBorders>
            <w:noWrap/>
          </w:tcPr>
          <w:p w14:paraId="09C55A7C" w14:textId="77777777" w:rsidR="00265792" w:rsidRPr="00BA7805" w:rsidRDefault="00265792" w:rsidP="00D60B79">
            <w:pPr>
              <w:pStyle w:val="ARfintablebodyrightbold8pt"/>
              <w:rPr>
                <w:highlight w:val="green"/>
              </w:rPr>
            </w:pPr>
            <w:r w:rsidRPr="008F2747">
              <w:t>(162.7)</w:t>
            </w:r>
          </w:p>
        </w:tc>
        <w:tc>
          <w:tcPr>
            <w:tcW w:w="786" w:type="dxa"/>
            <w:tcBorders>
              <w:top w:val="single" w:sz="4" w:space="0" w:color="000000" w:themeColor="text1"/>
              <w:bottom w:val="single" w:sz="4" w:space="0" w:color="000000" w:themeColor="text1"/>
            </w:tcBorders>
            <w:noWrap/>
          </w:tcPr>
          <w:p w14:paraId="732CF56D" w14:textId="77777777" w:rsidR="00265792" w:rsidRPr="00BA7805" w:rsidRDefault="00265792" w:rsidP="00D60B79">
            <w:pPr>
              <w:pStyle w:val="ARfintablebodyrightbold8pt"/>
              <w:rPr>
                <w:highlight w:val="green"/>
              </w:rPr>
            </w:pPr>
            <w:r w:rsidRPr="008F2747">
              <w:t>(4.8)</w:t>
            </w:r>
          </w:p>
        </w:tc>
        <w:tc>
          <w:tcPr>
            <w:tcW w:w="786" w:type="dxa"/>
            <w:tcBorders>
              <w:top w:val="single" w:sz="4" w:space="0" w:color="000000" w:themeColor="text1"/>
              <w:bottom w:val="single" w:sz="4" w:space="0" w:color="000000" w:themeColor="text1"/>
            </w:tcBorders>
            <w:noWrap/>
          </w:tcPr>
          <w:p w14:paraId="1ED04126" w14:textId="77777777" w:rsidR="00265792" w:rsidRPr="00BA7805" w:rsidRDefault="00265792" w:rsidP="00D60B79">
            <w:pPr>
              <w:pStyle w:val="ARfintablebodyrightbold8pt"/>
              <w:rPr>
                <w:highlight w:val="green"/>
              </w:rPr>
            </w:pPr>
            <w:r w:rsidRPr="008F2747">
              <w:t>(2.0)</w:t>
            </w:r>
          </w:p>
        </w:tc>
        <w:tc>
          <w:tcPr>
            <w:tcW w:w="785" w:type="dxa"/>
            <w:tcBorders>
              <w:top w:val="single" w:sz="4" w:space="0" w:color="000000" w:themeColor="text1"/>
              <w:bottom w:val="single" w:sz="4" w:space="0" w:color="000000" w:themeColor="text1"/>
            </w:tcBorders>
            <w:noWrap/>
          </w:tcPr>
          <w:p w14:paraId="36600DAC" w14:textId="77777777" w:rsidR="00265792" w:rsidRPr="00BA7805" w:rsidRDefault="00265792" w:rsidP="00D60B79">
            <w:pPr>
              <w:pStyle w:val="ARfintablebodyrightbold8pt"/>
              <w:rPr>
                <w:highlight w:val="green"/>
              </w:rPr>
            </w:pPr>
            <w:r w:rsidRPr="008F2747">
              <w:t>(3.8)</w:t>
            </w:r>
          </w:p>
        </w:tc>
        <w:tc>
          <w:tcPr>
            <w:tcW w:w="785" w:type="dxa"/>
            <w:tcBorders>
              <w:top w:val="single" w:sz="4" w:space="0" w:color="000000" w:themeColor="text1"/>
              <w:bottom w:val="single" w:sz="4" w:space="0" w:color="000000" w:themeColor="text1"/>
            </w:tcBorders>
            <w:noWrap/>
          </w:tcPr>
          <w:p w14:paraId="1DF9422C" w14:textId="77777777" w:rsidR="00265792" w:rsidRPr="00BA7805" w:rsidRDefault="00265792" w:rsidP="00D60B79">
            <w:pPr>
              <w:pStyle w:val="ARfintablebodyrightbold8pt"/>
              <w:rPr>
                <w:highlight w:val="green"/>
              </w:rPr>
            </w:pPr>
            <w:r w:rsidRPr="008F2747">
              <w:t>(0.9)</w:t>
            </w:r>
          </w:p>
        </w:tc>
        <w:tc>
          <w:tcPr>
            <w:tcW w:w="785" w:type="dxa"/>
            <w:tcBorders>
              <w:top w:val="single" w:sz="4" w:space="0" w:color="000000" w:themeColor="text1"/>
              <w:bottom w:val="single" w:sz="4" w:space="0" w:color="000000" w:themeColor="text1"/>
            </w:tcBorders>
            <w:noWrap/>
          </w:tcPr>
          <w:p w14:paraId="7E6C5EC8" w14:textId="77777777" w:rsidR="00265792" w:rsidRPr="00BA7805" w:rsidRDefault="00265792" w:rsidP="00D60B79">
            <w:pPr>
              <w:pStyle w:val="ARfintablebodyrightbold8pt"/>
              <w:rPr>
                <w:highlight w:val="green"/>
              </w:rPr>
            </w:pPr>
            <w:r w:rsidRPr="008F2747">
              <w:t>(1.4)</w:t>
            </w:r>
          </w:p>
        </w:tc>
        <w:tc>
          <w:tcPr>
            <w:tcW w:w="784" w:type="dxa"/>
            <w:tcBorders>
              <w:top w:val="single" w:sz="4" w:space="0" w:color="000000" w:themeColor="text1"/>
              <w:bottom w:val="single" w:sz="4" w:space="0" w:color="000000" w:themeColor="text1"/>
            </w:tcBorders>
            <w:noWrap/>
          </w:tcPr>
          <w:p w14:paraId="1E7D25D4" w14:textId="77777777" w:rsidR="00265792" w:rsidRPr="00BA7805" w:rsidRDefault="00265792" w:rsidP="00D60B79">
            <w:pPr>
              <w:pStyle w:val="ARfintablebodyrightbold8pt"/>
              <w:rPr>
                <w:highlight w:val="green"/>
              </w:rPr>
            </w:pPr>
            <w:r w:rsidRPr="008F2747">
              <w:t>(2.2)</w:t>
            </w:r>
          </w:p>
        </w:tc>
        <w:tc>
          <w:tcPr>
            <w:tcW w:w="785" w:type="dxa"/>
            <w:tcBorders>
              <w:top w:val="single" w:sz="4" w:space="0" w:color="000000" w:themeColor="text1"/>
              <w:bottom w:val="single" w:sz="4" w:space="0" w:color="000000" w:themeColor="text1"/>
            </w:tcBorders>
            <w:noWrap/>
          </w:tcPr>
          <w:p w14:paraId="42210391" w14:textId="77777777" w:rsidR="00265792" w:rsidRPr="00BA7805" w:rsidRDefault="00265792" w:rsidP="00D60B79">
            <w:pPr>
              <w:pStyle w:val="ARfintablebodyrightbold8pt"/>
              <w:rPr>
                <w:highlight w:val="green"/>
              </w:rPr>
            </w:pPr>
            <w:r w:rsidRPr="008F2747">
              <w:t>(6.2)</w:t>
            </w:r>
          </w:p>
        </w:tc>
        <w:tc>
          <w:tcPr>
            <w:tcW w:w="785" w:type="dxa"/>
            <w:tcBorders>
              <w:top w:val="single" w:sz="4" w:space="0" w:color="000000" w:themeColor="text1"/>
              <w:bottom w:val="single" w:sz="4" w:space="0" w:color="000000" w:themeColor="text1"/>
            </w:tcBorders>
            <w:noWrap/>
          </w:tcPr>
          <w:p w14:paraId="0792AB72" w14:textId="77777777" w:rsidR="00265792" w:rsidRPr="00BA7805" w:rsidRDefault="00265792" w:rsidP="00D60B79">
            <w:pPr>
              <w:pStyle w:val="ARfintablebodyrightbold8pt"/>
              <w:rPr>
                <w:highlight w:val="green"/>
              </w:rPr>
            </w:pPr>
            <w:r w:rsidRPr="008F2747">
              <w:t>(2.0)</w:t>
            </w:r>
          </w:p>
        </w:tc>
        <w:tc>
          <w:tcPr>
            <w:tcW w:w="785" w:type="dxa"/>
            <w:tcBorders>
              <w:top w:val="single" w:sz="4" w:space="0" w:color="000000" w:themeColor="text1"/>
              <w:bottom w:val="single" w:sz="4" w:space="0" w:color="000000" w:themeColor="text1"/>
            </w:tcBorders>
            <w:noWrap/>
          </w:tcPr>
          <w:p w14:paraId="20C7D8C2" w14:textId="77777777" w:rsidR="00265792" w:rsidRPr="00BA7805" w:rsidRDefault="00265792" w:rsidP="00D60B79">
            <w:pPr>
              <w:pStyle w:val="ARfintablebodyrightbold8pt"/>
              <w:rPr>
                <w:highlight w:val="green"/>
              </w:rPr>
            </w:pPr>
            <w:r w:rsidRPr="008F2747">
              <w:t>(0.3)</w:t>
            </w:r>
          </w:p>
        </w:tc>
        <w:tc>
          <w:tcPr>
            <w:tcW w:w="785" w:type="dxa"/>
            <w:tcBorders>
              <w:top w:val="single" w:sz="4" w:space="0" w:color="000000" w:themeColor="text1"/>
              <w:bottom w:val="single" w:sz="4" w:space="0" w:color="000000" w:themeColor="text1"/>
            </w:tcBorders>
            <w:noWrap/>
          </w:tcPr>
          <w:p w14:paraId="2DD341A0" w14:textId="77777777" w:rsidR="00265792" w:rsidRPr="00BA7805" w:rsidRDefault="00265792" w:rsidP="00D60B79">
            <w:pPr>
              <w:pStyle w:val="ARfintablebodyrightbold8pt"/>
              <w:rPr>
                <w:highlight w:val="green"/>
              </w:rPr>
            </w:pPr>
            <w:r w:rsidRPr="008F2747">
              <w:t>(18.5)</w:t>
            </w:r>
          </w:p>
        </w:tc>
        <w:tc>
          <w:tcPr>
            <w:tcW w:w="785" w:type="dxa"/>
            <w:tcBorders>
              <w:top w:val="single" w:sz="4" w:space="0" w:color="000000" w:themeColor="text1"/>
              <w:bottom w:val="single" w:sz="4" w:space="0" w:color="000000" w:themeColor="text1"/>
            </w:tcBorders>
            <w:noWrap/>
          </w:tcPr>
          <w:p w14:paraId="1C8964FA" w14:textId="77777777" w:rsidR="00265792" w:rsidRPr="00BA7805" w:rsidRDefault="00265792" w:rsidP="00D60B79">
            <w:pPr>
              <w:pStyle w:val="ARfintablebodyrightbold8pt"/>
              <w:rPr>
                <w:highlight w:val="green"/>
              </w:rPr>
            </w:pPr>
            <w:r>
              <w:t>(777.2)</w:t>
            </w:r>
          </w:p>
        </w:tc>
        <w:tc>
          <w:tcPr>
            <w:tcW w:w="785" w:type="dxa"/>
            <w:tcBorders>
              <w:top w:val="single" w:sz="4" w:space="0" w:color="000000" w:themeColor="text1"/>
              <w:bottom w:val="single" w:sz="4" w:space="0" w:color="000000" w:themeColor="text1"/>
            </w:tcBorders>
            <w:noWrap/>
          </w:tcPr>
          <w:p w14:paraId="5DF39A18" w14:textId="77777777" w:rsidR="00265792" w:rsidRPr="00BA7805" w:rsidRDefault="00265792" w:rsidP="00D60B79">
            <w:pPr>
              <w:pStyle w:val="ARfintablebodyrightbold8pt"/>
              <w:rPr>
                <w:highlight w:val="green"/>
              </w:rPr>
            </w:pPr>
            <w:r w:rsidRPr="008F2747">
              <w:t>(1,933.1)</w:t>
            </w:r>
          </w:p>
        </w:tc>
      </w:tr>
      <w:tr w:rsidR="00265792" w:rsidRPr="00BA7805" w14:paraId="5D91C937" w14:textId="77777777" w:rsidTr="00B155CF">
        <w:trPr>
          <w:cnfStyle w:val="010000000000" w:firstRow="0" w:lastRow="1" w:firstColumn="0" w:lastColumn="0" w:oddVBand="0" w:evenVBand="0" w:oddHBand="0" w:evenHBand="0" w:firstRowFirstColumn="0" w:firstRowLastColumn="0" w:lastRowFirstColumn="0" w:lastRowLastColumn="0"/>
          <w:trHeight w:val="170"/>
        </w:trPr>
        <w:tc>
          <w:tcPr>
            <w:tcW w:w="2008" w:type="dxa"/>
          </w:tcPr>
          <w:p w14:paraId="650047FB" w14:textId="77777777" w:rsidR="00265792" w:rsidRPr="00BA7805" w:rsidRDefault="00265792" w:rsidP="009B0F18">
            <w:pPr>
              <w:pStyle w:val="ARfintablebodybold8pt"/>
              <w:rPr>
                <w:highlight w:val="green"/>
              </w:rPr>
            </w:pPr>
            <w:r w:rsidRPr="008F2747">
              <w:t>Net assets</w:t>
            </w:r>
          </w:p>
        </w:tc>
        <w:tc>
          <w:tcPr>
            <w:tcW w:w="785" w:type="dxa"/>
            <w:noWrap/>
          </w:tcPr>
          <w:p w14:paraId="56D64E4F" w14:textId="77777777" w:rsidR="00265792" w:rsidRPr="00BA7805" w:rsidRDefault="00265792" w:rsidP="00D60B79">
            <w:pPr>
              <w:pStyle w:val="ARfintablebodyrightbold8pt"/>
              <w:rPr>
                <w:highlight w:val="green"/>
              </w:rPr>
            </w:pPr>
            <w:r w:rsidRPr="008F2747">
              <w:t>1,159.5</w:t>
            </w:r>
          </w:p>
        </w:tc>
        <w:tc>
          <w:tcPr>
            <w:tcW w:w="786" w:type="dxa"/>
            <w:noWrap/>
          </w:tcPr>
          <w:p w14:paraId="76871CA4" w14:textId="77777777" w:rsidR="00265792" w:rsidRPr="00BA7805" w:rsidRDefault="00265792" w:rsidP="00D60B79">
            <w:pPr>
              <w:pStyle w:val="ARfintablebodyrightbold8pt"/>
              <w:rPr>
                <w:highlight w:val="green"/>
              </w:rPr>
            </w:pPr>
            <w:r w:rsidRPr="008F2747">
              <w:t>(29.4)</w:t>
            </w:r>
          </w:p>
        </w:tc>
        <w:tc>
          <w:tcPr>
            <w:tcW w:w="786" w:type="dxa"/>
            <w:noWrap/>
          </w:tcPr>
          <w:p w14:paraId="3862A7A8" w14:textId="77777777" w:rsidR="00265792" w:rsidRPr="00BA7805" w:rsidRDefault="00265792" w:rsidP="00D60B79">
            <w:pPr>
              <w:pStyle w:val="ARfintablebodyrightbold8pt"/>
              <w:rPr>
                <w:highlight w:val="green"/>
              </w:rPr>
            </w:pPr>
            <w:r w:rsidRPr="008F2747">
              <w:t>45.0</w:t>
            </w:r>
          </w:p>
        </w:tc>
        <w:tc>
          <w:tcPr>
            <w:tcW w:w="786" w:type="dxa"/>
            <w:noWrap/>
          </w:tcPr>
          <w:p w14:paraId="3BC6970C" w14:textId="77777777" w:rsidR="00265792" w:rsidRPr="00BA7805" w:rsidRDefault="00265792" w:rsidP="00D60B79">
            <w:pPr>
              <w:pStyle w:val="ARfintablebodyrightbold8pt"/>
              <w:rPr>
                <w:highlight w:val="green"/>
              </w:rPr>
            </w:pPr>
            <w:r w:rsidRPr="008F2747">
              <w:t>11.1</w:t>
            </w:r>
          </w:p>
        </w:tc>
        <w:tc>
          <w:tcPr>
            <w:tcW w:w="786" w:type="dxa"/>
            <w:noWrap/>
          </w:tcPr>
          <w:p w14:paraId="4C9D77FB" w14:textId="77777777" w:rsidR="00265792" w:rsidRPr="00BA7805" w:rsidRDefault="00265792" w:rsidP="00D60B79">
            <w:pPr>
              <w:pStyle w:val="ARfintablebodyrightbold8pt"/>
              <w:rPr>
                <w:highlight w:val="green"/>
              </w:rPr>
            </w:pPr>
            <w:r w:rsidRPr="008F2747">
              <w:t>13.5</w:t>
            </w:r>
          </w:p>
        </w:tc>
        <w:tc>
          <w:tcPr>
            <w:tcW w:w="785" w:type="dxa"/>
            <w:noWrap/>
          </w:tcPr>
          <w:p w14:paraId="5010C31B" w14:textId="77777777" w:rsidR="00265792" w:rsidRPr="00BA7805" w:rsidRDefault="00265792" w:rsidP="00D60B79">
            <w:pPr>
              <w:pStyle w:val="ARfintablebodyrightbold8pt"/>
              <w:rPr>
                <w:highlight w:val="green"/>
              </w:rPr>
            </w:pPr>
            <w:r w:rsidRPr="008F2747">
              <w:t>14.2</w:t>
            </w:r>
          </w:p>
        </w:tc>
        <w:tc>
          <w:tcPr>
            <w:tcW w:w="785" w:type="dxa"/>
            <w:noWrap/>
          </w:tcPr>
          <w:p w14:paraId="2E19C45E" w14:textId="77777777" w:rsidR="00265792" w:rsidRPr="00BA7805" w:rsidRDefault="00265792" w:rsidP="00D60B79">
            <w:pPr>
              <w:pStyle w:val="ARfintablebodyrightbold8pt"/>
              <w:rPr>
                <w:highlight w:val="green"/>
              </w:rPr>
            </w:pPr>
            <w:r w:rsidRPr="008F2747">
              <w:t>16.4</w:t>
            </w:r>
          </w:p>
        </w:tc>
        <w:tc>
          <w:tcPr>
            <w:tcW w:w="785" w:type="dxa"/>
            <w:noWrap/>
          </w:tcPr>
          <w:p w14:paraId="2D8F10A8" w14:textId="77777777" w:rsidR="00265792" w:rsidRPr="00BA7805" w:rsidRDefault="00265792" w:rsidP="00D60B79">
            <w:pPr>
              <w:pStyle w:val="ARfintablebodyrightbold8pt"/>
              <w:rPr>
                <w:highlight w:val="green"/>
              </w:rPr>
            </w:pPr>
            <w:r w:rsidRPr="008F2747">
              <w:t>11.8</w:t>
            </w:r>
          </w:p>
        </w:tc>
        <w:tc>
          <w:tcPr>
            <w:tcW w:w="784" w:type="dxa"/>
            <w:noWrap/>
          </w:tcPr>
          <w:p w14:paraId="647ED3F2" w14:textId="77777777" w:rsidR="00265792" w:rsidRPr="00BA7805" w:rsidRDefault="00265792" w:rsidP="00D60B79">
            <w:pPr>
              <w:pStyle w:val="ARfintablebodyrightbold8pt"/>
              <w:rPr>
                <w:highlight w:val="green"/>
              </w:rPr>
            </w:pPr>
            <w:r w:rsidRPr="008F2747">
              <w:t>22.7</w:t>
            </w:r>
          </w:p>
        </w:tc>
        <w:tc>
          <w:tcPr>
            <w:tcW w:w="785" w:type="dxa"/>
            <w:noWrap/>
          </w:tcPr>
          <w:p w14:paraId="7095DFBA" w14:textId="77777777" w:rsidR="00265792" w:rsidRPr="00BA7805" w:rsidRDefault="00265792" w:rsidP="00D60B79">
            <w:pPr>
              <w:pStyle w:val="ARfintablebodyrightbold8pt"/>
              <w:rPr>
                <w:highlight w:val="green"/>
              </w:rPr>
            </w:pPr>
            <w:r w:rsidRPr="008F2747">
              <w:t>36.9</w:t>
            </w:r>
          </w:p>
        </w:tc>
        <w:tc>
          <w:tcPr>
            <w:tcW w:w="785" w:type="dxa"/>
            <w:noWrap/>
          </w:tcPr>
          <w:p w14:paraId="40B4C33A" w14:textId="77777777" w:rsidR="00265792" w:rsidRPr="00BA7805" w:rsidRDefault="00265792" w:rsidP="00D60B79">
            <w:pPr>
              <w:pStyle w:val="ARfintablebodyrightbold8pt"/>
              <w:rPr>
                <w:highlight w:val="green"/>
              </w:rPr>
            </w:pPr>
            <w:r w:rsidRPr="008F2747">
              <w:t>33.7</w:t>
            </w:r>
          </w:p>
        </w:tc>
        <w:tc>
          <w:tcPr>
            <w:tcW w:w="785" w:type="dxa"/>
            <w:noWrap/>
          </w:tcPr>
          <w:p w14:paraId="71B26E32" w14:textId="77777777" w:rsidR="00265792" w:rsidRPr="00BA7805" w:rsidRDefault="00265792" w:rsidP="00D60B79">
            <w:pPr>
              <w:pStyle w:val="ARfintablebodyrightbold8pt"/>
              <w:rPr>
                <w:highlight w:val="green"/>
              </w:rPr>
            </w:pPr>
            <w:r w:rsidRPr="008F2747">
              <w:t>19.8</w:t>
            </w:r>
          </w:p>
        </w:tc>
        <w:tc>
          <w:tcPr>
            <w:tcW w:w="785" w:type="dxa"/>
            <w:noWrap/>
          </w:tcPr>
          <w:p w14:paraId="653A641B" w14:textId="77777777" w:rsidR="00265792" w:rsidRPr="00BA7805" w:rsidRDefault="00265792" w:rsidP="00D60B79">
            <w:pPr>
              <w:pStyle w:val="ARfintablebodyrightbold8pt"/>
              <w:rPr>
                <w:highlight w:val="green"/>
              </w:rPr>
            </w:pPr>
            <w:r w:rsidRPr="008F2747">
              <w:t>109.7</w:t>
            </w:r>
          </w:p>
        </w:tc>
        <w:tc>
          <w:tcPr>
            <w:tcW w:w="785" w:type="dxa"/>
            <w:noWrap/>
          </w:tcPr>
          <w:p w14:paraId="0C1F480A" w14:textId="77777777" w:rsidR="00265792" w:rsidRPr="00BA7805" w:rsidRDefault="00265792" w:rsidP="00D60B79">
            <w:pPr>
              <w:pStyle w:val="ARfintablebodyrightbold8pt"/>
              <w:rPr>
                <w:highlight w:val="green"/>
              </w:rPr>
            </w:pPr>
            <w:r w:rsidRPr="008F2747">
              <w:t>37,097.5</w:t>
            </w:r>
          </w:p>
        </w:tc>
        <w:tc>
          <w:tcPr>
            <w:tcW w:w="785" w:type="dxa"/>
            <w:noWrap/>
          </w:tcPr>
          <w:p w14:paraId="271B4E26" w14:textId="77777777" w:rsidR="00265792" w:rsidRPr="00BA7805" w:rsidRDefault="00265792" w:rsidP="00D60B79">
            <w:pPr>
              <w:pStyle w:val="ARfintablebodyrightbold8pt"/>
              <w:rPr>
                <w:highlight w:val="green"/>
              </w:rPr>
            </w:pPr>
            <w:r w:rsidRPr="008F2747">
              <w:t>38,562.3</w:t>
            </w:r>
          </w:p>
        </w:tc>
      </w:tr>
    </w:tbl>
    <w:p w14:paraId="3CE132C6" w14:textId="77777777" w:rsidR="00265792" w:rsidRDefault="00265792" w:rsidP="00E032E1">
      <w:pPr>
        <w:pStyle w:val="ARfintablefootnote"/>
      </w:pPr>
      <w:r>
        <w:t>Note:</w:t>
      </w:r>
    </w:p>
    <w:p w14:paraId="2665B012" w14:textId="77777777" w:rsidR="00265792" w:rsidRDefault="00265792" w:rsidP="00E032E1">
      <w:pPr>
        <w:pStyle w:val="ARfintablefootnotetabindent"/>
        <w:tabs>
          <w:tab w:val="left" w:pos="813"/>
        </w:tabs>
      </w:pPr>
      <w:r>
        <w:t>(</w:t>
      </w:r>
      <w:proofErr w:type="spellStart"/>
      <w:r>
        <w:t>i</w:t>
      </w:r>
      <w:proofErr w:type="spellEnd"/>
      <w:r>
        <w:t xml:space="preserve">) </w:t>
      </w:r>
      <w:r>
        <w:tab/>
        <w:t>Refer to Note 4.1.1 for output definitions.</w:t>
      </w:r>
    </w:p>
    <w:p w14:paraId="262069B9" w14:textId="77777777" w:rsidR="00265792" w:rsidRPr="00B767C2" w:rsidRDefault="00265792" w:rsidP="002542E1">
      <w:pPr>
        <w:pStyle w:val="ARfinbody"/>
        <w:rPr>
          <w:highlight w:val="green"/>
        </w:rPr>
      </w:pPr>
      <w:r w:rsidRPr="00BA7805">
        <w:rPr>
          <w:highlight w:val="green"/>
        </w:rPr>
        <w:br w:type="page"/>
      </w:r>
    </w:p>
    <w:p w14:paraId="4484A71D" w14:textId="77777777" w:rsidR="00265792" w:rsidRDefault="00265792" w:rsidP="0092385F">
      <w:pPr>
        <w:pStyle w:val="Heading4"/>
        <w:rPr>
          <w:lang w:eastAsia="en-AU"/>
        </w:rPr>
      </w:pPr>
      <w:r w:rsidRPr="004C40F3">
        <w:rPr>
          <w:lang w:eastAsia="en-AU"/>
        </w:rPr>
        <w:lastRenderedPageBreak/>
        <w:t xml:space="preserve">4.2 Administered (non-controlled) </w:t>
      </w:r>
      <w:r w:rsidRPr="0092385F">
        <w:t>items</w:t>
      </w:r>
    </w:p>
    <w:p w14:paraId="300BD343" w14:textId="261FDD8D" w:rsidR="00265792" w:rsidRPr="0092385F" w:rsidRDefault="00265792" w:rsidP="0092385F">
      <w:pPr>
        <w:pStyle w:val="ARfinbody"/>
      </w:pPr>
      <w:r>
        <w:t xml:space="preserve">The department’s administered activities mainly relate to the output of disability services. The distinction between controlled and administered items is drawn based on whether the department </w:t>
      </w:r>
      <w:proofErr w:type="gramStart"/>
      <w:r>
        <w:t>has the ability to</w:t>
      </w:r>
      <w:proofErr w:type="gramEnd"/>
      <w:r>
        <w:t xml:space="preserve"> deploy the resources in </w:t>
      </w:r>
      <w:r w:rsidRPr="0092385F">
        <w:t xml:space="preserve">question for its own benefits (controlled items) or whether it does so on behalf of the </w:t>
      </w:r>
      <w:r w:rsidR="00C8397D">
        <w:t>state</w:t>
      </w:r>
      <w:r w:rsidRPr="0092385F">
        <w:t xml:space="preserve"> (administered). The department remains accountable for transactions involving administered items, but it does not recognise these items in its controlled financial statements. Administered income includes Victoria’s contribution to the National Disability Insurance Scheme, Natural Disaster Relief and Recovery Arrangements, fees, Commonwealth grants and the proceeds from the sale of administered surplus land and building. </w:t>
      </w:r>
    </w:p>
    <w:p w14:paraId="50B46F01" w14:textId="77777777" w:rsidR="00265792" w:rsidRPr="0092385F" w:rsidRDefault="00265792" w:rsidP="0092385F">
      <w:pPr>
        <w:pStyle w:val="ARfinbody"/>
      </w:pPr>
      <w:r w:rsidRPr="0092385F">
        <w:t>Except as otherwise disclosed, administered resources are accounted for on an accrual basis using the same accounting policies adopted for recognition of the departmental items in the financial statements. Both the controlled department financial statements and these administered items are consolidated into the financial statements of the state.</w:t>
      </w:r>
    </w:p>
    <w:p w14:paraId="35136603" w14:textId="5675B269" w:rsidR="00265792" w:rsidRDefault="00265792" w:rsidP="0092385F">
      <w:pPr>
        <w:pStyle w:val="ARfinbody"/>
      </w:pPr>
      <w:r w:rsidRPr="0092385F">
        <w:t>The department does not gain control over assets arising from statutory</w:t>
      </w:r>
      <w:r>
        <w:t xml:space="preserve"> income, consequently no income is recognised in the department’s financial statements. The department collects these amounts on behalf of the state. Accordingly, the amounts are disclosed as income in the schedule of </w:t>
      </w:r>
      <w:r w:rsidR="00E962E9">
        <w:t>administered i</w:t>
      </w:r>
      <w:r>
        <w:t>tems.</w:t>
      </w:r>
    </w:p>
    <w:p w14:paraId="443D431A" w14:textId="77777777" w:rsidR="00265792" w:rsidRPr="00970A1A" w:rsidRDefault="00265792" w:rsidP="00207901">
      <w:pPr>
        <w:pStyle w:val="Heading5"/>
      </w:pPr>
      <w:r w:rsidRPr="00970A1A">
        <w:rPr>
          <w:lang w:eastAsia="en-AU"/>
        </w:rPr>
        <w:t>4.2.1 Administered income and expenses for the year ended 30 June 202</w:t>
      </w:r>
      <w:r>
        <w:rPr>
          <w:lang w:eastAsia="en-AU"/>
        </w:rPr>
        <w:t>5</w:t>
      </w:r>
    </w:p>
    <w:tbl>
      <w:tblPr>
        <w:tblStyle w:val="DFFHARtable1"/>
        <w:tblW w:w="5000" w:type="pct"/>
        <w:tblLayout w:type="fixed"/>
        <w:tblLook w:val="06E0" w:firstRow="1" w:lastRow="1" w:firstColumn="1" w:lastColumn="0" w:noHBand="1" w:noVBand="1"/>
      </w:tblPr>
      <w:tblGrid>
        <w:gridCol w:w="3707"/>
        <w:gridCol w:w="725"/>
        <w:gridCol w:w="726"/>
        <w:gridCol w:w="725"/>
        <w:gridCol w:w="726"/>
        <w:gridCol w:w="724"/>
        <w:gridCol w:w="725"/>
        <w:gridCol w:w="723"/>
        <w:gridCol w:w="724"/>
        <w:gridCol w:w="723"/>
        <w:gridCol w:w="724"/>
        <w:gridCol w:w="723"/>
        <w:gridCol w:w="724"/>
        <w:gridCol w:w="723"/>
        <w:gridCol w:w="724"/>
        <w:gridCol w:w="724"/>
      </w:tblGrid>
      <w:tr w:rsidR="00265792" w:rsidRPr="00BA7805" w14:paraId="1A585DF0" w14:textId="77777777" w:rsidTr="00CB4C64">
        <w:trPr>
          <w:cnfStyle w:val="100000000000" w:firstRow="1" w:lastRow="0" w:firstColumn="0" w:lastColumn="0" w:oddVBand="0" w:evenVBand="0" w:oddHBand="0" w:evenHBand="0" w:firstRowFirstColumn="0" w:firstRowLastColumn="0" w:lastRowFirstColumn="0" w:lastRowLastColumn="0"/>
          <w:tblHeader/>
        </w:trPr>
        <w:tc>
          <w:tcPr>
            <w:tcW w:w="3707" w:type="dxa"/>
            <w:hideMark/>
          </w:tcPr>
          <w:p w14:paraId="7D441741" w14:textId="77777777" w:rsidR="00265792" w:rsidRPr="005D7D5C" w:rsidRDefault="00265792">
            <w:pPr>
              <w:pStyle w:val="ARfintablecolhead"/>
              <w:spacing w:before="10" w:after="10" w:line="216" w:lineRule="auto"/>
              <w:ind w:right="0"/>
              <w:rPr>
                <w:rStyle w:val="Superscript"/>
                <w:rFonts w:cs="Arial"/>
                <w:sz w:val="15"/>
                <w:szCs w:val="15"/>
              </w:rPr>
            </w:pPr>
            <w:r w:rsidRPr="005D7D5C">
              <w:rPr>
                <w:rFonts w:cs="Arial"/>
                <w:sz w:val="15"/>
                <w:szCs w:val="15"/>
              </w:rPr>
              <w:t xml:space="preserve">Output </w:t>
            </w:r>
            <w:r w:rsidRPr="005D7D5C">
              <w:rPr>
                <w:rStyle w:val="Superscript"/>
                <w:rFonts w:cs="Arial"/>
                <w:sz w:val="15"/>
                <w:szCs w:val="15"/>
              </w:rPr>
              <w:t>(</w:t>
            </w:r>
            <w:proofErr w:type="spellStart"/>
            <w:r w:rsidRPr="005D7D5C">
              <w:rPr>
                <w:rStyle w:val="Superscript"/>
                <w:rFonts w:cs="Arial"/>
                <w:sz w:val="15"/>
                <w:szCs w:val="15"/>
              </w:rPr>
              <w:t>i</w:t>
            </w:r>
            <w:proofErr w:type="spellEnd"/>
            <w:r w:rsidRPr="005D7D5C">
              <w:rPr>
                <w:rStyle w:val="Superscript"/>
                <w:rFonts w:cs="Arial"/>
                <w:sz w:val="15"/>
                <w:szCs w:val="15"/>
              </w:rPr>
              <w:t>)(ii)</w:t>
            </w:r>
          </w:p>
          <w:p w14:paraId="383D1E83" w14:textId="77777777" w:rsidR="00265792" w:rsidRPr="005D7D5C" w:rsidRDefault="00265792">
            <w:pPr>
              <w:pStyle w:val="ARfintablecolhead"/>
              <w:spacing w:before="10" w:after="10" w:line="216" w:lineRule="auto"/>
              <w:rPr>
                <w:rFonts w:cs="Arial"/>
                <w:sz w:val="15"/>
                <w:szCs w:val="15"/>
              </w:rPr>
            </w:pPr>
            <w:r w:rsidRPr="005D7D5C">
              <w:rPr>
                <w:rFonts w:cs="Arial"/>
                <w:sz w:val="15"/>
                <w:szCs w:val="15"/>
              </w:rPr>
              <w:t>202</w:t>
            </w:r>
            <w:r>
              <w:rPr>
                <w:rFonts w:cs="Arial"/>
                <w:sz w:val="15"/>
                <w:szCs w:val="15"/>
              </w:rPr>
              <w:t>5</w:t>
            </w:r>
          </w:p>
        </w:tc>
        <w:tc>
          <w:tcPr>
            <w:tcW w:w="725" w:type="dxa"/>
            <w:hideMark/>
          </w:tcPr>
          <w:p w14:paraId="1BC851D9"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1</w:t>
            </w:r>
          </w:p>
          <w:p w14:paraId="6EF8A588"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c>
          <w:tcPr>
            <w:tcW w:w="726" w:type="dxa"/>
            <w:hideMark/>
          </w:tcPr>
          <w:p w14:paraId="53F338FB"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2</w:t>
            </w:r>
          </w:p>
          <w:p w14:paraId="34DDE8A6"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c>
          <w:tcPr>
            <w:tcW w:w="725" w:type="dxa"/>
            <w:hideMark/>
          </w:tcPr>
          <w:p w14:paraId="4032FE9F"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3</w:t>
            </w:r>
          </w:p>
          <w:p w14:paraId="7F5EFD30"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c>
          <w:tcPr>
            <w:tcW w:w="726" w:type="dxa"/>
            <w:hideMark/>
          </w:tcPr>
          <w:p w14:paraId="7A241C0F" w14:textId="77777777" w:rsidR="00265792" w:rsidRDefault="00265792" w:rsidP="002542E1">
            <w:pPr>
              <w:pStyle w:val="ARfintablecolheadright"/>
              <w:spacing w:before="10" w:after="10" w:line="216" w:lineRule="auto"/>
              <w:rPr>
                <w:rStyle w:val="Superscript"/>
              </w:rPr>
            </w:pPr>
            <w:r w:rsidRPr="005D7D5C">
              <w:rPr>
                <w:rFonts w:cs="Arial"/>
                <w:sz w:val="15"/>
                <w:szCs w:val="15"/>
              </w:rPr>
              <w:t>4</w:t>
            </w:r>
          </w:p>
          <w:p w14:paraId="565574F1" w14:textId="77777777" w:rsidR="00265792" w:rsidRPr="005D7D5C" w:rsidRDefault="00265792" w:rsidP="002542E1">
            <w:pPr>
              <w:pStyle w:val="ARfintablecolheadright"/>
              <w:spacing w:before="10" w:after="10" w:line="216" w:lineRule="auto"/>
              <w:rPr>
                <w:rFonts w:cs="Arial"/>
                <w:sz w:val="15"/>
                <w:szCs w:val="15"/>
              </w:rPr>
            </w:pPr>
            <w:r w:rsidRPr="005D7D5C">
              <w:rPr>
                <w:rFonts w:cs="Arial"/>
                <w:sz w:val="15"/>
                <w:szCs w:val="15"/>
              </w:rPr>
              <w:t>$M</w:t>
            </w:r>
          </w:p>
        </w:tc>
        <w:tc>
          <w:tcPr>
            <w:tcW w:w="724" w:type="dxa"/>
            <w:hideMark/>
          </w:tcPr>
          <w:p w14:paraId="27742761"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5</w:t>
            </w:r>
          </w:p>
          <w:p w14:paraId="2E17884F"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c>
          <w:tcPr>
            <w:tcW w:w="725" w:type="dxa"/>
            <w:hideMark/>
          </w:tcPr>
          <w:p w14:paraId="57D510E5"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6</w:t>
            </w:r>
          </w:p>
          <w:p w14:paraId="23F604FF"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c>
          <w:tcPr>
            <w:tcW w:w="723" w:type="dxa"/>
            <w:hideMark/>
          </w:tcPr>
          <w:p w14:paraId="302A8261"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7</w:t>
            </w:r>
          </w:p>
          <w:p w14:paraId="69D8919C"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c>
          <w:tcPr>
            <w:tcW w:w="724" w:type="dxa"/>
            <w:hideMark/>
          </w:tcPr>
          <w:p w14:paraId="34570DBA"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8</w:t>
            </w:r>
          </w:p>
          <w:p w14:paraId="0AB65C4F"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c>
          <w:tcPr>
            <w:tcW w:w="723" w:type="dxa"/>
            <w:hideMark/>
          </w:tcPr>
          <w:p w14:paraId="10FFFDF8"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9</w:t>
            </w:r>
          </w:p>
          <w:p w14:paraId="47BEE092"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c>
          <w:tcPr>
            <w:tcW w:w="724" w:type="dxa"/>
            <w:hideMark/>
          </w:tcPr>
          <w:p w14:paraId="00BA13D7"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10</w:t>
            </w:r>
          </w:p>
          <w:p w14:paraId="7D97C790"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c>
          <w:tcPr>
            <w:tcW w:w="723" w:type="dxa"/>
            <w:hideMark/>
          </w:tcPr>
          <w:p w14:paraId="42CFE2D0"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11</w:t>
            </w:r>
          </w:p>
          <w:p w14:paraId="3C3D228D"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c>
          <w:tcPr>
            <w:tcW w:w="724" w:type="dxa"/>
            <w:hideMark/>
          </w:tcPr>
          <w:p w14:paraId="10633EA9"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12</w:t>
            </w:r>
          </w:p>
          <w:p w14:paraId="4A679F27"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c>
          <w:tcPr>
            <w:tcW w:w="723" w:type="dxa"/>
            <w:hideMark/>
          </w:tcPr>
          <w:p w14:paraId="04517922"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13</w:t>
            </w:r>
          </w:p>
          <w:p w14:paraId="44A0B849"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c>
          <w:tcPr>
            <w:tcW w:w="724" w:type="dxa"/>
            <w:hideMark/>
          </w:tcPr>
          <w:p w14:paraId="64CAA56E" w14:textId="77777777" w:rsidR="00265792" w:rsidRDefault="00265792">
            <w:pPr>
              <w:pStyle w:val="ARfintablecolheadright"/>
              <w:spacing w:before="10" w:after="10" w:line="216" w:lineRule="auto"/>
              <w:rPr>
                <w:rFonts w:cs="Arial"/>
                <w:sz w:val="15"/>
                <w:szCs w:val="15"/>
              </w:rPr>
            </w:pPr>
            <w:r>
              <w:rPr>
                <w:rFonts w:cs="Arial"/>
                <w:sz w:val="15"/>
                <w:szCs w:val="15"/>
              </w:rPr>
              <w:t>15</w:t>
            </w:r>
          </w:p>
          <w:p w14:paraId="4D394FCA"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r>
              <w:rPr>
                <w:rFonts w:cs="Arial"/>
                <w:sz w:val="15"/>
                <w:szCs w:val="15"/>
              </w:rPr>
              <w:t xml:space="preserve"> </w:t>
            </w:r>
            <w:r w:rsidRPr="008C4181">
              <w:rPr>
                <w:vertAlign w:val="superscript"/>
              </w:rPr>
              <w:t>(iii)</w:t>
            </w:r>
          </w:p>
        </w:tc>
        <w:tc>
          <w:tcPr>
            <w:tcW w:w="724" w:type="dxa"/>
            <w:hideMark/>
          </w:tcPr>
          <w:p w14:paraId="2AB6E8A1"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Total</w:t>
            </w:r>
          </w:p>
          <w:p w14:paraId="46071FB6" w14:textId="77777777" w:rsidR="00265792" w:rsidRPr="005D7D5C" w:rsidRDefault="00265792">
            <w:pPr>
              <w:pStyle w:val="ARfintablecolheadright"/>
              <w:spacing w:before="10" w:after="10" w:line="216" w:lineRule="auto"/>
              <w:rPr>
                <w:rFonts w:cs="Arial"/>
                <w:sz w:val="15"/>
                <w:szCs w:val="15"/>
              </w:rPr>
            </w:pPr>
            <w:r w:rsidRPr="005D7D5C">
              <w:rPr>
                <w:rFonts w:cs="Arial"/>
                <w:sz w:val="15"/>
                <w:szCs w:val="15"/>
              </w:rPr>
              <w:t>$M</w:t>
            </w:r>
          </w:p>
        </w:tc>
      </w:tr>
      <w:tr w:rsidR="00265792" w:rsidRPr="00BA7805" w14:paraId="3DE6A059" w14:textId="77777777" w:rsidTr="001501B1">
        <w:tc>
          <w:tcPr>
            <w:tcW w:w="3707" w:type="dxa"/>
          </w:tcPr>
          <w:p w14:paraId="4B188B57" w14:textId="77777777" w:rsidR="00265792" w:rsidRPr="00BA7805" w:rsidRDefault="00265792" w:rsidP="00D60B79">
            <w:pPr>
              <w:pStyle w:val="ARfintablebodybold8pt"/>
              <w:rPr>
                <w:sz w:val="15"/>
                <w:highlight w:val="green"/>
              </w:rPr>
            </w:pPr>
            <w:r w:rsidRPr="000B2EA5">
              <w:t>Administered income from transactions</w:t>
            </w:r>
          </w:p>
        </w:tc>
        <w:tc>
          <w:tcPr>
            <w:tcW w:w="725" w:type="dxa"/>
            <w:noWrap/>
          </w:tcPr>
          <w:p w14:paraId="07A66991" w14:textId="77777777" w:rsidR="00265792" w:rsidRPr="00BA7805" w:rsidRDefault="00265792" w:rsidP="001501B1">
            <w:pPr>
              <w:pStyle w:val="ARfintablebodyright8pt"/>
              <w:rPr>
                <w:highlight w:val="green"/>
              </w:rPr>
            </w:pPr>
          </w:p>
        </w:tc>
        <w:tc>
          <w:tcPr>
            <w:tcW w:w="726" w:type="dxa"/>
            <w:noWrap/>
          </w:tcPr>
          <w:p w14:paraId="162C94CE" w14:textId="77777777" w:rsidR="00265792" w:rsidRPr="00BA7805" w:rsidRDefault="00265792" w:rsidP="001501B1">
            <w:pPr>
              <w:pStyle w:val="ARfintablebodyright8pt"/>
              <w:rPr>
                <w:highlight w:val="green"/>
              </w:rPr>
            </w:pPr>
          </w:p>
        </w:tc>
        <w:tc>
          <w:tcPr>
            <w:tcW w:w="725" w:type="dxa"/>
            <w:noWrap/>
          </w:tcPr>
          <w:p w14:paraId="47554DFF" w14:textId="77777777" w:rsidR="00265792" w:rsidRPr="00BA7805" w:rsidRDefault="00265792" w:rsidP="001501B1">
            <w:pPr>
              <w:pStyle w:val="ARfintablebodyright8pt"/>
              <w:rPr>
                <w:highlight w:val="green"/>
              </w:rPr>
            </w:pPr>
          </w:p>
        </w:tc>
        <w:tc>
          <w:tcPr>
            <w:tcW w:w="726" w:type="dxa"/>
            <w:noWrap/>
          </w:tcPr>
          <w:p w14:paraId="2E9DFB17" w14:textId="77777777" w:rsidR="00265792" w:rsidRPr="00BA7805" w:rsidRDefault="00265792" w:rsidP="001501B1">
            <w:pPr>
              <w:pStyle w:val="ARfintablebodyright8pt"/>
              <w:rPr>
                <w:highlight w:val="green"/>
              </w:rPr>
            </w:pPr>
          </w:p>
        </w:tc>
        <w:tc>
          <w:tcPr>
            <w:tcW w:w="724" w:type="dxa"/>
            <w:noWrap/>
          </w:tcPr>
          <w:p w14:paraId="7DB677D2" w14:textId="77777777" w:rsidR="00265792" w:rsidRPr="00BA7805" w:rsidRDefault="00265792" w:rsidP="001501B1">
            <w:pPr>
              <w:pStyle w:val="ARfintablebodyright8pt"/>
              <w:rPr>
                <w:highlight w:val="green"/>
              </w:rPr>
            </w:pPr>
          </w:p>
        </w:tc>
        <w:tc>
          <w:tcPr>
            <w:tcW w:w="725" w:type="dxa"/>
            <w:noWrap/>
          </w:tcPr>
          <w:p w14:paraId="5C1FA4A7" w14:textId="77777777" w:rsidR="00265792" w:rsidRPr="00BA7805" w:rsidRDefault="00265792" w:rsidP="001501B1">
            <w:pPr>
              <w:pStyle w:val="ARfintablebodyright8pt"/>
              <w:rPr>
                <w:highlight w:val="green"/>
              </w:rPr>
            </w:pPr>
          </w:p>
        </w:tc>
        <w:tc>
          <w:tcPr>
            <w:tcW w:w="723" w:type="dxa"/>
            <w:noWrap/>
          </w:tcPr>
          <w:p w14:paraId="44FC9420" w14:textId="77777777" w:rsidR="00265792" w:rsidRPr="00BA7805" w:rsidRDefault="00265792" w:rsidP="001501B1">
            <w:pPr>
              <w:pStyle w:val="ARfintablebodyright8pt"/>
              <w:rPr>
                <w:highlight w:val="green"/>
              </w:rPr>
            </w:pPr>
          </w:p>
        </w:tc>
        <w:tc>
          <w:tcPr>
            <w:tcW w:w="724" w:type="dxa"/>
            <w:noWrap/>
          </w:tcPr>
          <w:p w14:paraId="28CB7A53" w14:textId="77777777" w:rsidR="00265792" w:rsidRPr="00BA7805" w:rsidRDefault="00265792" w:rsidP="001501B1">
            <w:pPr>
              <w:pStyle w:val="ARfintablebodyright8pt"/>
              <w:rPr>
                <w:highlight w:val="green"/>
              </w:rPr>
            </w:pPr>
          </w:p>
        </w:tc>
        <w:tc>
          <w:tcPr>
            <w:tcW w:w="723" w:type="dxa"/>
            <w:noWrap/>
          </w:tcPr>
          <w:p w14:paraId="21208ECE" w14:textId="77777777" w:rsidR="00265792" w:rsidRPr="00BA7805" w:rsidRDefault="00265792" w:rsidP="001501B1">
            <w:pPr>
              <w:pStyle w:val="ARfintablebodyright8pt"/>
              <w:rPr>
                <w:highlight w:val="green"/>
              </w:rPr>
            </w:pPr>
          </w:p>
        </w:tc>
        <w:tc>
          <w:tcPr>
            <w:tcW w:w="724" w:type="dxa"/>
            <w:noWrap/>
          </w:tcPr>
          <w:p w14:paraId="791347B4" w14:textId="77777777" w:rsidR="00265792" w:rsidRPr="00BA7805" w:rsidRDefault="00265792" w:rsidP="001501B1">
            <w:pPr>
              <w:pStyle w:val="ARfintablebodyright8pt"/>
              <w:rPr>
                <w:highlight w:val="green"/>
              </w:rPr>
            </w:pPr>
          </w:p>
        </w:tc>
        <w:tc>
          <w:tcPr>
            <w:tcW w:w="723" w:type="dxa"/>
            <w:noWrap/>
          </w:tcPr>
          <w:p w14:paraId="73B2C08B" w14:textId="77777777" w:rsidR="00265792" w:rsidRPr="00BA7805" w:rsidRDefault="00265792" w:rsidP="001501B1">
            <w:pPr>
              <w:pStyle w:val="ARfintablebodyright8pt"/>
              <w:rPr>
                <w:highlight w:val="green"/>
              </w:rPr>
            </w:pPr>
          </w:p>
        </w:tc>
        <w:tc>
          <w:tcPr>
            <w:tcW w:w="724" w:type="dxa"/>
            <w:noWrap/>
          </w:tcPr>
          <w:p w14:paraId="2B9193F3" w14:textId="77777777" w:rsidR="00265792" w:rsidRPr="00BA7805" w:rsidRDefault="00265792" w:rsidP="001501B1">
            <w:pPr>
              <w:pStyle w:val="ARfintablebodyright8pt"/>
              <w:rPr>
                <w:highlight w:val="green"/>
              </w:rPr>
            </w:pPr>
          </w:p>
        </w:tc>
        <w:tc>
          <w:tcPr>
            <w:tcW w:w="723" w:type="dxa"/>
            <w:noWrap/>
          </w:tcPr>
          <w:p w14:paraId="0AE5AA12" w14:textId="77777777" w:rsidR="00265792" w:rsidRPr="00BA7805" w:rsidRDefault="00265792" w:rsidP="001501B1">
            <w:pPr>
              <w:pStyle w:val="ARfintablebodyright8pt"/>
              <w:rPr>
                <w:highlight w:val="green"/>
              </w:rPr>
            </w:pPr>
          </w:p>
        </w:tc>
        <w:tc>
          <w:tcPr>
            <w:tcW w:w="724" w:type="dxa"/>
            <w:noWrap/>
          </w:tcPr>
          <w:p w14:paraId="27BA3162" w14:textId="77777777" w:rsidR="00265792" w:rsidRPr="00BA7805" w:rsidRDefault="00265792" w:rsidP="001501B1">
            <w:pPr>
              <w:pStyle w:val="ARfintablebodyright8pt"/>
              <w:rPr>
                <w:highlight w:val="green"/>
              </w:rPr>
            </w:pPr>
          </w:p>
        </w:tc>
        <w:tc>
          <w:tcPr>
            <w:tcW w:w="724" w:type="dxa"/>
            <w:noWrap/>
          </w:tcPr>
          <w:p w14:paraId="2D0542F6" w14:textId="77777777" w:rsidR="00265792" w:rsidRPr="00BA7805" w:rsidRDefault="00265792" w:rsidP="001501B1">
            <w:pPr>
              <w:pStyle w:val="ARfintablebodyright8pt"/>
              <w:rPr>
                <w:highlight w:val="green"/>
              </w:rPr>
            </w:pPr>
          </w:p>
        </w:tc>
      </w:tr>
      <w:tr w:rsidR="00265792" w:rsidRPr="00BA7805" w14:paraId="62C47D27" w14:textId="77777777" w:rsidTr="001501B1">
        <w:tc>
          <w:tcPr>
            <w:tcW w:w="3707" w:type="dxa"/>
          </w:tcPr>
          <w:p w14:paraId="53A24D06" w14:textId="77777777" w:rsidR="00265792" w:rsidRPr="00BA7805" w:rsidRDefault="00265792" w:rsidP="001501B1">
            <w:pPr>
              <w:pStyle w:val="ARfintablebody8pt"/>
              <w:rPr>
                <w:sz w:val="15"/>
                <w:highlight w:val="green"/>
              </w:rPr>
            </w:pPr>
            <w:r w:rsidRPr="000B2EA5">
              <w:t>Commonwealth grants</w:t>
            </w:r>
          </w:p>
        </w:tc>
        <w:tc>
          <w:tcPr>
            <w:tcW w:w="725" w:type="dxa"/>
            <w:noWrap/>
          </w:tcPr>
          <w:p w14:paraId="1471BF17" w14:textId="77777777" w:rsidR="00265792" w:rsidRPr="00BA7805" w:rsidRDefault="00265792" w:rsidP="001501B1">
            <w:pPr>
              <w:pStyle w:val="ARfintablebodyright8pt"/>
              <w:rPr>
                <w:highlight w:val="green"/>
              </w:rPr>
            </w:pPr>
            <w:r w:rsidRPr="000B2EA5">
              <w:t>0.5</w:t>
            </w:r>
          </w:p>
        </w:tc>
        <w:tc>
          <w:tcPr>
            <w:tcW w:w="726" w:type="dxa"/>
            <w:noWrap/>
          </w:tcPr>
          <w:p w14:paraId="6ABC9C03" w14:textId="77777777" w:rsidR="00265792" w:rsidRPr="00BA7805" w:rsidRDefault="00265792" w:rsidP="001501B1">
            <w:pPr>
              <w:pStyle w:val="ARfintablebodyright8pt"/>
              <w:rPr>
                <w:highlight w:val="green"/>
              </w:rPr>
            </w:pPr>
            <w:r w:rsidRPr="000B2EA5">
              <w:t>4.2</w:t>
            </w:r>
          </w:p>
        </w:tc>
        <w:tc>
          <w:tcPr>
            <w:tcW w:w="725" w:type="dxa"/>
            <w:noWrap/>
          </w:tcPr>
          <w:p w14:paraId="60BA03F1" w14:textId="77777777" w:rsidR="00265792" w:rsidRPr="00BA7805" w:rsidRDefault="00265792" w:rsidP="001501B1">
            <w:pPr>
              <w:pStyle w:val="ARfintablebodyright8pt"/>
              <w:rPr>
                <w:highlight w:val="green"/>
              </w:rPr>
            </w:pPr>
            <w:r>
              <w:t>–</w:t>
            </w:r>
          </w:p>
        </w:tc>
        <w:tc>
          <w:tcPr>
            <w:tcW w:w="726" w:type="dxa"/>
            <w:noWrap/>
          </w:tcPr>
          <w:p w14:paraId="5B36211F" w14:textId="77777777" w:rsidR="00265792" w:rsidRPr="00BA7805" w:rsidRDefault="00265792" w:rsidP="001501B1">
            <w:pPr>
              <w:pStyle w:val="ARfintablebodyright8pt"/>
              <w:rPr>
                <w:highlight w:val="green"/>
              </w:rPr>
            </w:pPr>
            <w:r>
              <w:t>–</w:t>
            </w:r>
          </w:p>
        </w:tc>
        <w:tc>
          <w:tcPr>
            <w:tcW w:w="724" w:type="dxa"/>
            <w:noWrap/>
          </w:tcPr>
          <w:p w14:paraId="46A183AB" w14:textId="77777777" w:rsidR="00265792" w:rsidRPr="00BA7805" w:rsidRDefault="00265792" w:rsidP="001501B1">
            <w:pPr>
              <w:pStyle w:val="ARfintablebodyright8pt"/>
              <w:rPr>
                <w:highlight w:val="green"/>
              </w:rPr>
            </w:pPr>
            <w:r>
              <w:t>–</w:t>
            </w:r>
          </w:p>
        </w:tc>
        <w:tc>
          <w:tcPr>
            <w:tcW w:w="725" w:type="dxa"/>
            <w:noWrap/>
          </w:tcPr>
          <w:p w14:paraId="3D45160E" w14:textId="77777777" w:rsidR="00265792" w:rsidRPr="00BA7805" w:rsidRDefault="00265792" w:rsidP="001501B1">
            <w:pPr>
              <w:pStyle w:val="ARfintablebodyright8pt"/>
              <w:rPr>
                <w:highlight w:val="green"/>
              </w:rPr>
            </w:pPr>
            <w:r>
              <w:t>–</w:t>
            </w:r>
          </w:p>
        </w:tc>
        <w:tc>
          <w:tcPr>
            <w:tcW w:w="723" w:type="dxa"/>
            <w:noWrap/>
          </w:tcPr>
          <w:p w14:paraId="1E6BF63F" w14:textId="77777777" w:rsidR="00265792" w:rsidRPr="00BA7805" w:rsidRDefault="00265792" w:rsidP="001501B1">
            <w:pPr>
              <w:pStyle w:val="ARfintablebodyright8pt"/>
              <w:rPr>
                <w:highlight w:val="green"/>
              </w:rPr>
            </w:pPr>
            <w:r>
              <w:t>–</w:t>
            </w:r>
          </w:p>
        </w:tc>
        <w:tc>
          <w:tcPr>
            <w:tcW w:w="724" w:type="dxa"/>
            <w:noWrap/>
          </w:tcPr>
          <w:p w14:paraId="2ED29C97" w14:textId="77777777" w:rsidR="00265792" w:rsidRPr="00BA7805" w:rsidRDefault="00265792" w:rsidP="001501B1">
            <w:pPr>
              <w:pStyle w:val="ARfintablebodyright8pt"/>
              <w:rPr>
                <w:highlight w:val="green"/>
              </w:rPr>
            </w:pPr>
            <w:r>
              <w:t>–</w:t>
            </w:r>
          </w:p>
        </w:tc>
        <w:tc>
          <w:tcPr>
            <w:tcW w:w="723" w:type="dxa"/>
            <w:noWrap/>
          </w:tcPr>
          <w:p w14:paraId="60CE0E31" w14:textId="77777777" w:rsidR="00265792" w:rsidRPr="00BA7805" w:rsidRDefault="00265792" w:rsidP="001501B1">
            <w:pPr>
              <w:pStyle w:val="ARfintablebodyright8pt"/>
              <w:rPr>
                <w:highlight w:val="green"/>
              </w:rPr>
            </w:pPr>
            <w:r w:rsidRPr="000B2EA5">
              <w:t>0.5</w:t>
            </w:r>
          </w:p>
        </w:tc>
        <w:tc>
          <w:tcPr>
            <w:tcW w:w="724" w:type="dxa"/>
            <w:noWrap/>
          </w:tcPr>
          <w:p w14:paraId="5C0356A0" w14:textId="77777777" w:rsidR="00265792" w:rsidRPr="00BA7805" w:rsidRDefault="00265792" w:rsidP="001501B1">
            <w:pPr>
              <w:pStyle w:val="ARfintablebodyright8pt"/>
              <w:rPr>
                <w:highlight w:val="green"/>
              </w:rPr>
            </w:pPr>
            <w:r>
              <w:t>–</w:t>
            </w:r>
          </w:p>
        </w:tc>
        <w:tc>
          <w:tcPr>
            <w:tcW w:w="723" w:type="dxa"/>
            <w:noWrap/>
          </w:tcPr>
          <w:p w14:paraId="071F1663" w14:textId="77777777" w:rsidR="00265792" w:rsidRPr="00BA7805" w:rsidRDefault="00265792" w:rsidP="001501B1">
            <w:pPr>
              <w:pStyle w:val="ARfintablebodyright8pt"/>
              <w:rPr>
                <w:highlight w:val="green"/>
              </w:rPr>
            </w:pPr>
            <w:r>
              <w:t>–</w:t>
            </w:r>
          </w:p>
        </w:tc>
        <w:tc>
          <w:tcPr>
            <w:tcW w:w="724" w:type="dxa"/>
            <w:noWrap/>
          </w:tcPr>
          <w:p w14:paraId="4EAA9AC6" w14:textId="77777777" w:rsidR="00265792" w:rsidRPr="00BA7805" w:rsidRDefault="00265792" w:rsidP="001501B1">
            <w:pPr>
              <w:pStyle w:val="ARfintablebodyright8pt"/>
              <w:rPr>
                <w:highlight w:val="green"/>
              </w:rPr>
            </w:pPr>
            <w:r>
              <w:t>–</w:t>
            </w:r>
          </w:p>
        </w:tc>
        <w:tc>
          <w:tcPr>
            <w:tcW w:w="723" w:type="dxa"/>
            <w:noWrap/>
          </w:tcPr>
          <w:p w14:paraId="02006A5C" w14:textId="77777777" w:rsidR="00265792" w:rsidRPr="00BA7805" w:rsidRDefault="00265792" w:rsidP="001501B1">
            <w:pPr>
              <w:pStyle w:val="ARfintablebodyright8pt"/>
              <w:rPr>
                <w:highlight w:val="green"/>
              </w:rPr>
            </w:pPr>
            <w:r w:rsidRPr="000B2EA5">
              <w:t>1.3</w:t>
            </w:r>
          </w:p>
        </w:tc>
        <w:tc>
          <w:tcPr>
            <w:tcW w:w="724" w:type="dxa"/>
            <w:noWrap/>
          </w:tcPr>
          <w:p w14:paraId="64FD0963" w14:textId="77777777" w:rsidR="00265792" w:rsidRPr="00BA7805" w:rsidRDefault="00265792" w:rsidP="001501B1">
            <w:pPr>
              <w:pStyle w:val="ARfintablebodyright8pt"/>
              <w:rPr>
                <w:highlight w:val="green"/>
              </w:rPr>
            </w:pPr>
            <w:r>
              <w:t>–</w:t>
            </w:r>
          </w:p>
        </w:tc>
        <w:tc>
          <w:tcPr>
            <w:tcW w:w="724" w:type="dxa"/>
            <w:noWrap/>
          </w:tcPr>
          <w:p w14:paraId="5A5DFD1F" w14:textId="77777777" w:rsidR="00265792" w:rsidRPr="00BA7805" w:rsidRDefault="00265792" w:rsidP="001501B1">
            <w:pPr>
              <w:pStyle w:val="ARfintablebodyright8pt"/>
              <w:rPr>
                <w:highlight w:val="green"/>
              </w:rPr>
            </w:pPr>
            <w:r w:rsidRPr="000B2EA5">
              <w:t>6.5</w:t>
            </w:r>
          </w:p>
        </w:tc>
      </w:tr>
      <w:tr w:rsidR="00265792" w:rsidRPr="00BA7805" w14:paraId="66141B99" w14:textId="77777777" w:rsidTr="001501B1">
        <w:tc>
          <w:tcPr>
            <w:tcW w:w="3707" w:type="dxa"/>
          </w:tcPr>
          <w:p w14:paraId="27023AC7" w14:textId="77777777" w:rsidR="00265792" w:rsidRPr="00BA7805" w:rsidRDefault="00265792" w:rsidP="001501B1">
            <w:pPr>
              <w:pStyle w:val="ARfintablebody8pt"/>
              <w:rPr>
                <w:sz w:val="15"/>
                <w:highlight w:val="green"/>
              </w:rPr>
            </w:pPr>
            <w:r w:rsidRPr="000B2EA5">
              <w:t>Sales of goods and services</w:t>
            </w:r>
          </w:p>
        </w:tc>
        <w:tc>
          <w:tcPr>
            <w:tcW w:w="725" w:type="dxa"/>
            <w:noWrap/>
          </w:tcPr>
          <w:p w14:paraId="1B95B691" w14:textId="77777777" w:rsidR="00265792" w:rsidRPr="00BA7805" w:rsidRDefault="00265792" w:rsidP="001501B1">
            <w:pPr>
              <w:pStyle w:val="ARfintablebodyright8pt"/>
              <w:rPr>
                <w:highlight w:val="green"/>
              </w:rPr>
            </w:pPr>
            <w:r w:rsidRPr="000B2EA5">
              <w:t>41.9</w:t>
            </w:r>
          </w:p>
        </w:tc>
        <w:tc>
          <w:tcPr>
            <w:tcW w:w="726" w:type="dxa"/>
            <w:noWrap/>
          </w:tcPr>
          <w:p w14:paraId="59899D16" w14:textId="77777777" w:rsidR="00265792" w:rsidRPr="00BA7805" w:rsidRDefault="00265792" w:rsidP="001501B1">
            <w:pPr>
              <w:pStyle w:val="ARfintablebodyright8pt"/>
              <w:rPr>
                <w:highlight w:val="green"/>
              </w:rPr>
            </w:pPr>
            <w:r>
              <w:t>–</w:t>
            </w:r>
          </w:p>
        </w:tc>
        <w:tc>
          <w:tcPr>
            <w:tcW w:w="725" w:type="dxa"/>
            <w:noWrap/>
          </w:tcPr>
          <w:p w14:paraId="0F5C289E" w14:textId="77777777" w:rsidR="00265792" w:rsidRPr="00BA7805" w:rsidRDefault="00265792" w:rsidP="001501B1">
            <w:pPr>
              <w:pStyle w:val="ARfintablebodyright8pt"/>
              <w:rPr>
                <w:highlight w:val="green"/>
              </w:rPr>
            </w:pPr>
            <w:r>
              <w:t>–</w:t>
            </w:r>
          </w:p>
        </w:tc>
        <w:tc>
          <w:tcPr>
            <w:tcW w:w="726" w:type="dxa"/>
            <w:noWrap/>
          </w:tcPr>
          <w:p w14:paraId="5D8EDDC9" w14:textId="77777777" w:rsidR="00265792" w:rsidRPr="00BA7805" w:rsidRDefault="00265792" w:rsidP="001501B1">
            <w:pPr>
              <w:pStyle w:val="ARfintablebodyright8pt"/>
              <w:rPr>
                <w:highlight w:val="green"/>
              </w:rPr>
            </w:pPr>
            <w:r>
              <w:t>–</w:t>
            </w:r>
          </w:p>
        </w:tc>
        <w:tc>
          <w:tcPr>
            <w:tcW w:w="724" w:type="dxa"/>
            <w:noWrap/>
          </w:tcPr>
          <w:p w14:paraId="4CDF3E30" w14:textId="77777777" w:rsidR="00265792" w:rsidRPr="00BA7805" w:rsidRDefault="00265792" w:rsidP="001501B1">
            <w:pPr>
              <w:pStyle w:val="ARfintablebodyright8pt"/>
              <w:rPr>
                <w:highlight w:val="green"/>
              </w:rPr>
            </w:pPr>
            <w:r>
              <w:t>–</w:t>
            </w:r>
          </w:p>
        </w:tc>
        <w:tc>
          <w:tcPr>
            <w:tcW w:w="725" w:type="dxa"/>
            <w:noWrap/>
          </w:tcPr>
          <w:p w14:paraId="2B618CEF" w14:textId="77777777" w:rsidR="00265792" w:rsidRPr="00BA7805" w:rsidRDefault="00265792" w:rsidP="001501B1">
            <w:pPr>
              <w:pStyle w:val="ARfintablebodyright8pt"/>
              <w:rPr>
                <w:highlight w:val="green"/>
              </w:rPr>
            </w:pPr>
            <w:r w:rsidRPr="000B2EA5">
              <w:t>0.8</w:t>
            </w:r>
          </w:p>
        </w:tc>
        <w:tc>
          <w:tcPr>
            <w:tcW w:w="723" w:type="dxa"/>
            <w:noWrap/>
          </w:tcPr>
          <w:p w14:paraId="586869F7" w14:textId="77777777" w:rsidR="00265792" w:rsidRPr="00BA7805" w:rsidRDefault="00265792" w:rsidP="001501B1">
            <w:pPr>
              <w:pStyle w:val="ARfintablebodyright8pt"/>
              <w:rPr>
                <w:highlight w:val="green"/>
              </w:rPr>
            </w:pPr>
            <w:r>
              <w:t>–</w:t>
            </w:r>
          </w:p>
        </w:tc>
        <w:tc>
          <w:tcPr>
            <w:tcW w:w="724" w:type="dxa"/>
            <w:noWrap/>
          </w:tcPr>
          <w:p w14:paraId="38B60AF6" w14:textId="77777777" w:rsidR="00265792" w:rsidRPr="00BA7805" w:rsidRDefault="00265792" w:rsidP="001501B1">
            <w:pPr>
              <w:pStyle w:val="ARfintablebodyright8pt"/>
              <w:rPr>
                <w:highlight w:val="green"/>
              </w:rPr>
            </w:pPr>
            <w:r>
              <w:t>–</w:t>
            </w:r>
          </w:p>
        </w:tc>
        <w:tc>
          <w:tcPr>
            <w:tcW w:w="723" w:type="dxa"/>
            <w:noWrap/>
          </w:tcPr>
          <w:p w14:paraId="3ACF5E3A" w14:textId="77777777" w:rsidR="00265792" w:rsidRPr="00BA7805" w:rsidRDefault="00265792" w:rsidP="001501B1">
            <w:pPr>
              <w:pStyle w:val="ARfintablebodyright8pt"/>
              <w:rPr>
                <w:highlight w:val="green"/>
              </w:rPr>
            </w:pPr>
            <w:r>
              <w:t>–</w:t>
            </w:r>
          </w:p>
        </w:tc>
        <w:tc>
          <w:tcPr>
            <w:tcW w:w="724" w:type="dxa"/>
            <w:noWrap/>
          </w:tcPr>
          <w:p w14:paraId="405EAF43" w14:textId="77777777" w:rsidR="00265792" w:rsidRPr="00BA7805" w:rsidRDefault="00265792" w:rsidP="001501B1">
            <w:pPr>
              <w:pStyle w:val="ARfintablebodyright8pt"/>
              <w:rPr>
                <w:highlight w:val="green"/>
              </w:rPr>
            </w:pPr>
            <w:r>
              <w:t>–</w:t>
            </w:r>
          </w:p>
        </w:tc>
        <w:tc>
          <w:tcPr>
            <w:tcW w:w="723" w:type="dxa"/>
            <w:noWrap/>
          </w:tcPr>
          <w:p w14:paraId="0B766F2A" w14:textId="77777777" w:rsidR="00265792" w:rsidRPr="00BA7805" w:rsidRDefault="00265792" w:rsidP="001501B1">
            <w:pPr>
              <w:pStyle w:val="ARfintablebodyright8pt"/>
              <w:rPr>
                <w:highlight w:val="green"/>
              </w:rPr>
            </w:pPr>
            <w:r>
              <w:t>–</w:t>
            </w:r>
          </w:p>
        </w:tc>
        <w:tc>
          <w:tcPr>
            <w:tcW w:w="724" w:type="dxa"/>
            <w:noWrap/>
          </w:tcPr>
          <w:p w14:paraId="59935F38" w14:textId="77777777" w:rsidR="00265792" w:rsidRPr="00BA7805" w:rsidRDefault="00265792" w:rsidP="001501B1">
            <w:pPr>
              <w:pStyle w:val="ARfintablebodyright8pt"/>
              <w:rPr>
                <w:highlight w:val="green"/>
              </w:rPr>
            </w:pPr>
            <w:r>
              <w:t>–</w:t>
            </w:r>
          </w:p>
        </w:tc>
        <w:tc>
          <w:tcPr>
            <w:tcW w:w="723" w:type="dxa"/>
            <w:noWrap/>
          </w:tcPr>
          <w:p w14:paraId="05B8D3B2" w14:textId="77777777" w:rsidR="00265792" w:rsidRPr="00BA7805" w:rsidRDefault="00265792" w:rsidP="001501B1">
            <w:pPr>
              <w:pStyle w:val="ARfintablebodyright8pt"/>
              <w:rPr>
                <w:highlight w:val="green"/>
              </w:rPr>
            </w:pPr>
            <w:r>
              <w:t>–</w:t>
            </w:r>
          </w:p>
        </w:tc>
        <w:tc>
          <w:tcPr>
            <w:tcW w:w="724" w:type="dxa"/>
            <w:noWrap/>
          </w:tcPr>
          <w:p w14:paraId="1E9DF9CE" w14:textId="77777777" w:rsidR="00265792" w:rsidRPr="00BA7805" w:rsidRDefault="00265792" w:rsidP="001501B1">
            <w:pPr>
              <w:pStyle w:val="ARfintablebodyright8pt"/>
              <w:rPr>
                <w:highlight w:val="green"/>
              </w:rPr>
            </w:pPr>
            <w:r>
              <w:t>–</w:t>
            </w:r>
          </w:p>
        </w:tc>
        <w:tc>
          <w:tcPr>
            <w:tcW w:w="724" w:type="dxa"/>
            <w:noWrap/>
          </w:tcPr>
          <w:p w14:paraId="2D8518C5" w14:textId="77777777" w:rsidR="00265792" w:rsidRPr="00BA7805" w:rsidRDefault="00265792" w:rsidP="001501B1">
            <w:pPr>
              <w:pStyle w:val="ARfintablebodyright8pt"/>
              <w:rPr>
                <w:highlight w:val="green"/>
              </w:rPr>
            </w:pPr>
            <w:r w:rsidRPr="000B2EA5">
              <w:t>42.7</w:t>
            </w:r>
          </w:p>
        </w:tc>
      </w:tr>
      <w:tr w:rsidR="00265792" w:rsidRPr="00BA7805" w14:paraId="6A7A89D4" w14:textId="77777777" w:rsidTr="001501B1">
        <w:tc>
          <w:tcPr>
            <w:tcW w:w="3707" w:type="dxa"/>
          </w:tcPr>
          <w:p w14:paraId="2C73BB36" w14:textId="77777777" w:rsidR="00265792" w:rsidRPr="00AE386F" w:rsidRDefault="00265792" w:rsidP="001501B1">
            <w:pPr>
              <w:pStyle w:val="ARfintablebody8pt"/>
              <w:rPr>
                <w:spacing w:val="-4"/>
                <w:sz w:val="15"/>
                <w:highlight w:val="green"/>
              </w:rPr>
            </w:pPr>
            <w:r w:rsidRPr="00AE386F">
              <w:rPr>
                <w:spacing w:val="-4"/>
              </w:rPr>
              <w:t xml:space="preserve">Appropriations </w:t>
            </w:r>
            <w:r>
              <w:rPr>
                <w:spacing w:val="-4"/>
              </w:rPr>
              <w:t>–</w:t>
            </w:r>
            <w:r w:rsidRPr="00AE386F">
              <w:rPr>
                <w:spacing w:val="-4"/>
              </w:rPr>
              <w:t xml:space="preserve"> payments made on behalf of the state</w:t>
            </w:r>
          </w:p>
        </w:tc>
        <w:tc>
          <w:tcPr>
            <w:tcW w:w="725" w:type="dxa"/>
            <w:noWrap/>
          </w:tcPr>
          <w:p w14:paraId="6EE1DF68" w14:textId="77777777" w:rsidR="00265792" w:rsidRPr="00BA7805" w:rsidRDefault="00265792" w:rsidP="001501B1">
            <w:pPr>
              <w:pStyle w:val="ARfintablebodyright8pt"/>
              <w:rPr>
                <w:highlight w:val="green"/>
              </w:rPr>
            </w:pPr>
            <w:r w:rsidRPr="000B2EA5">
              <w:t>76.6</w:t>
            </w:r>
          </w:p>
        </w:tc>
        <w:tc>
          <w:tcPr>
            <w:tcW w:w="726" w:type="dxa"/>
            <w:noWrap/>
          </w:tcPr>
          <w:p w14:paraId="6A447BFC" w14:textId="77777777" w:rsidR="00265792" w:rsidRPr="00BA7805" w:rsidRDefault="00265792" w:rsidP="001501B1">
            <w:pPr>
              <w:pStyle w:val="ARfintablebodyright8pt"/>
              <w:rPr>
                <w:highlight w:val="green"/>
              </w:rPr>
            </w:pPr>
            <w:r>
              <w:t>–</w:t>
            </w:r>
          </w:p>
        </w:tc>
        <w:tc>
          <w:tcPr>
            <w:tcW w:w="725" w:type="dxa"/>
            <w:noWrap/>
          </w:tcPr>
          <w:p w14:paraId="60555F44" w14:textId="77777777" w:rsidR="00265792" w:rsidRPr="00BA7805" w:rsidRDefault="00265792" w:rsidP="001501B1">
            <w:pPr>
              <w:pStyle w:val="ARfintablebodyright8pt"/>
              <w:rPr>
                <w:highlight w:val="green"/>
              </w:rPr>
            </w:pPr>
            <w:r>
              <w:t>–</w:t>
            </w:r>
          </w:p>
        </w:tc>
        <w:tc>
          <w:tcPr>
            <w:tcW w:w="726" w:type="dxa"/>
            <w:noWrap/>
          </w:tcPr>
          <w:p w14:paraId="4634A30C" w14:textId="77777777" w:rsidR="00265792" w:rsidRPr="00BA7805" w:rsidRDefault="00265792" w:rsidP="001501B1">
            <w:pPr>
              <w:pStyle w:val="ARfintablebodyright8pt"/>
              <w:rPr>
                <w:highlight w:val="green"/>
              </w:rPr>
            </w:pPr>
            <w:r>
              <w:t>–</w:t>
            </w:r>
          </w:p>
        </w:tc>
        <w:tc>
          <w:tcPr>
            <w:tcW w:w="724" w:type="dxa"/>
            <w:noWrap/>
          </w:tcPr>
          <w:p w14:paraId="6C5FDA0D" w14:textId="77777777" w:rsidR="00265792" w:rsidRPr="00BA7805" w:rsidRDefault="00265792" w:rsidP="001501B1">
            <w:pPr>
              <w:pStyle w:val="ARfintablebodyright8pt"/>
              <w:rPr>
                <w:highlight w:val="green"/>
              </w:rPr>
            </w:pPr>
            <w:r>
              <w:t>–</w:t>
            </w:r>
          </w:p>
        </w:tc>
        <w:tc>
          <w:tcPr>
            <w:tcW w:w="725" w:type="dxa"/>
            <w:noWrap/>
          </w:tcPr>
          <w:p w14:paraId="343D04A2" w14:textId="77777777" w:rsidR="00265792" w:rsidRPr="00BA7805" w:rsidRDefault="00265792" w:rsidP="001501B1">
            <w:pPr>
              <w:pStyle w:val="ARfintablebodyright8pt"/>
              <w:rPr>
                <w:highlight w:val="green"/>
              </w:rPr>
            </w:pPr>
            <w:r>
              <w:t>–</w:t>
            </w:r>
          </w:p>
        </w:tc>
        <w:tc>
          <w:tcPr>
            <w:tcW w:w="723" w:type="dxa"/>
            <w:noWrap/>
          </w:tcPr>
          <w:p w14:paraId="23E78183" w14:textId="77777777" w:rsidR="00265792" w:rsidRPr="00BA7805" w:rsidRDefault="00265792" w:rsidP="001501B1">
            <w:pPr>
              <w:pStyle w:val="ARfintablebodyright8pt"/>
              <w:rPr>
                <w:highlight w:val="green"/>
              </w:rPr>
            </w:pPr>
            <w:r>
              <w:t>–</w:t>
            </w:r>
          </w:p>
        </w:tc>
        <w:tc>
          <w:tcPr>
            <w:tcW w:w="724" w:type="dxa"/>
            <w:noWrap/>
          </w:tcPr>
          <w:p w14:paraId="03603D16" w14:textId="77777777" w:rsidR="00265792" w:rsidRPr="00BA7805" w:rsidRDefault="00265792" w:rsidP="001501B1">
            <w:pPr>
              <w:pStyle w:val="ARfintablebodyright8pt"/>
              <w:rPr>
                <w:highlight w:val="green"/>
              </w:rPr>
            </w:pPr>
            <w:r>
              <w:t>–</w:t>
            </w:r>
          </w:p>
        </w:tc>
        <w:tc>
          <w:tcPr>
            <w:tcW w:w="723" w:type="dxa"/>
            <w:noWrap/>
          </w:tcPr>
          <w:p w14:paraId="1E1414D7" w14:textId="77777777" w:rsidR="00265792" w:rsidRPr="00BA7805" w:rsidRDefault="00265792" w:rsidP="001501B1">
            <w:pPr>
              <w:pStyle w:val="ARfintablebodyright8pt"/>
              <w:rPr>
                <w:highlight w:val="green"/>
              </w:rPr>
            </w:pPr>
            <w:r>
              <w:t>–</w:t>
            </w:r>
          </w:p>
        </w:tc>
        <w:tc>
          <w:tcPr>
            <w:tcW w:w="724" w:type="dxa"/>
            <w:noWrap/>
          </w:tcPr>
          <w:p w14:paraId="03703727" w14:textId="77777777" w:rsidR="00265792" w:rsidRPr="00BA7805" w:rsidRDefault="00265792" w:rsidP="001501B1">
            <w:pPr>
              <w:pStyle w:val="ARfintablebodyright8pt"/>
              <w:rPr>
                <w:highlight w:val="green"/>
              </w:rPr>
            </w:pPr>
            <w:r>
              <w:t>–</w:t>
            </w:r>
          </w:p>
        </w:tc>
        <w:tc>
          <w:tcPr>
            <w:tcW w:w="723" w:type="dxa"/>
            <w:noWrap/>
          </w:tcPr>
          <w:p w14:paraId="03008BBE" w14:textId="77777777" w:rsidR="00265792" w:rsidRPr="00BA7805" w:rsidRDefault="00265792" w:rsidP="001501B1">
            <w:pPr>
              <w:pStyle w:val="ARfintablebodyright8pt"/>
              <w:rPr>
                <w:highlight w:val="green"/>
              </w:rPr>
            </w:pPr>
            <w:r>
              <w:t>–</w:t>
            </w:r>
          </w:p>
        </w:tc>
        <w:tc>
          <w:tcPr>
            <w:tcW w:w="724" w:type="dxa"/>
            <w:noWrap/>
          </w:tcPr>
          <w:p w14:paraId="46FDB0D2" w14:textId="77777777" w:rsidR="00265792" w:rsidRPr="00BA7805" w:rsidRDefault="00265792" w:rsidP="001501B1">
            <w:pPr>
              <w:pStyle w:val="ARfintablebodyright8pt"/>
              <w:rPr>
                <w:highlight w:val="green"/>
              </w:rPr>
            </w:pPr>
            <w:r>
              <w:t>–</w:t>
            </w:r>
          </w:p>
        </w:tc>
        <w:tc>
          <w:tcPr>
            <w:tcW w:w="723" w:type="dxa"/>
            <w:noWrap/>
          </w:tcPr>
          <w:p w14:paraId="0D7535FF" w14:textId="77777777" w:rsidR="00265792" w:rsidRPr="00BA7805" w:rsidRDefault="00265792" w:rsidP="001501B1">
            <w:pPr>
              <w:pStyle w:val="ARfintablebodyright8pt"/>
              <w:rPr>
                <w:highlight w:val="green"/>
              </w:rPr>
            </w:pPr>
            <w:r>
              <w:t>–</w:t>
            </w:r>
          </w:p>
        </w:tc>
        <w:tc>
          <w:tcPr>
            <w:tcW w:w="724" w:type="dxa"/>
            <w:noWrap/>
          </w:tcPr>
          <w:p w14:paraId="64A5299D" w14:textId="77777777" w:rsidR="00265792" w:rsidRPr="00BA7805" w:rsidRDefault="00265792" w:rsidP="001501B1">
            <w:pPr>
              <w:pStyle w:val="ARfintablebodyright8pt"/>
              <w:rPr>
                <w:highlight w:val="green"/>
              </w:rPr>
            </w:pPr>
            <w:r w:rsidRPr="000B2EA5">
              <w:t>2,899.0</w:t>
            </w:r>
          </w:p>
        </w:tc>
        <w:tc>
          <w:tcPr>
            <w:tcW w:w="724" w:type="dxa"/>
            <w:noWrap/>
          </w:tcPr>
          <w:p w14:paraId="2F3A4BCB" w14:textId="77777777" w:rsidR="00265792" w:rsidRPr="00BA7805" w:rsidRDefault="00265792" w:rsidP="001501B1">
            <w:pPr>
              <w:pStyle w:val="ARfintablebodyright8pt"/>
              <w:rPr>
                <w:highlight w:val="green"/>
              </w:rPr>
            </w:pPr>
            <w:r w:rsidRPr="000B2EA5">
              <w:t>2,975.6</w:t>
            </w:r>
          </w:p>
        </w:tc>
      </w:tr>
      <w:tr w:rsidR="00265792" w:rsidRPr="00BA7805" w14:paraId="2A0F7291" w14:textId="77777777" w:rsidTr="00D60B79">
        <w:tc>
          <w:tcPr>
            <w:tcW w:w="3707" w:type="dxa"/>
            <w:tcBorders>
              <w:bottom w:val="single" w:sz="4" w:space="0" w:color="A6A6A6" w:themeColor="accent5"/>
            </w:tcBorders>
          </w:tcPr>
          <w:p w14:paraId="7A06771C" w14:textId="77777777" w:rsidR="00265792" w:rsidRPr="00BA7805" w:rsidRDefault="00265792" w:rsidP="001501B1">
            <w:pPr>
              <w:pStyle w:val="ARfintablebody8pt"/>
              <w:rPr>
                <w:sz w:val="15"/>
                <w:highlight w:val="green"/>
              </w:rPr>
            </w:pPr>
            <w:r w:rsidRPr="000B2EA5">
              <w:t xml:space="preserve">Grants </w:t>
            </w:r>
            <w:r w:rsidRPr="00AE386F">
              <w:rPr>
                <w:vertAlign w:val="superscript"/>
              </w:rPr>
              <w:t>(iii)</w:t>
            </w:r>
          </w:p>
        </w:tc>
        <w:tc>
          <w:tcPr>
            <w:tcW w:w="725" w:type="dxa"/>
            <w:tcBorders>
              <w:bottom w:val="single" w:sz="4" w:space="0" w:color="A6A6A6" w:themeColor="accent5"/>
            </w:tcBorders>
            <w:noWrap/>
          </w:tcPr>
          <w:p w14:paraId="651458FE" w14:textId="77777777" w:rsidR="00265792" w:rsidRPr="00BA7805" w:rsidRDefault="00265792" w:rsidP="001501B1">
            <w:pPr>
              <w:pStyle w:val="ARfintablebodyright8pt"/>
              <w:rPr>
                <w:highlight w:val="green"/>
              </w:rPr>
            </w:pPr>
            <w:r w:rsidRPr="000B2EA5">
              <w:t>14.7</w:t>
            </w:r>
          </w:p>
        </w:tc>
        <w:tc>
          <w:tcPr>
            <w:tcW w:w="726" w:type="dxa"/>
            <w:tcBorders>
              <w:bottom w:val="single" w:sz="4" w:space="0" w:color="A6A6A6" w:themeColor="accent5"/>
            </w:tcBorders>
            <w:noWrap/>
          </w:tcPr>
          <w:p w14:paraId="58A6F0CC" w14:textId="77777777" w:rsidR="00265792" w:rsidRPr="00BA7805" w:rsidRDefault="00265792" w:rsidP="001501B1">
            <w:pPr>
              <w:pStyle w:val="ARfintablebodyright8pt"/>
              <w:rPr>
                <w:highlight w:val="green"/>
              </w:rPr>
            </w:pPr>
            <w:r w:rsidRPr="000B2EA5">
              <w:t>0.3</w:t>
            </w:r>
          </w:p>
        </w:tc>
        <w:tc>
          <w:tcPr>
            <w:tcW w:w="725" w:type="dxa"/>
            <w:tcBorders>
              <w:bottom w:val="single" w:sz="4" w:space="0" w:color="A6A6A6" w:themeColor="accent5"/>
            </w:tcBorders>
            <w:noWrap/>
          </w:tcPr>
          <w:p w14:paraId="1770AADD" w14:textId="77777777" w:rsidR="00265792" w:rsidRPr="00BA7805" w:rsidRDefault="00265792" w:rsidP="001501B1">
            <w:pPr>
              <w:pStyle w:val="ARfintablebodyright8pt"/>
              <w:rPr>
                <w:highlight w:val="green"/>
              </w:rPr>
            </w:pPr>
            <w:r w:rsidRPr="000B2EA5">
              <w:t>1.6</w:t>
            </w:r>
          </w:p>
        </w:tc>
        <w:tc>
          <w:tcPr>
            <w:tcW w:w="726" w:type="dxa"/>
            <w:tcBorders>
              <w:bottom w:val="single" w:sz="4" w:space="0" w:color="A6A6A6" w:themeColor="accent5"/>
            </w:tcBorders>
            <w:noWrap/>
          </w:tcPr>
          <w:p w14:paraId="58579136" w14:textId="77777777" w:rsidR="00265792" w:rsidRPr="00BA7805" w:rsidRDefault="00265792" w:rsidP="001501B1">
            <w:pPr>
              <w:pStyle w:val="ARfintablebodyright8pt"/>
              <w:rPr>
                <w:highlight w:val="green"/>
              </w:rPr>
            </w:pPr>
            <w:r>
              <w:t>–</w:t>
            </w:r>
          </w:p>
        </w:tc>
        <w:tc>
          <w:tcPr>
            <w:tcW w:w="724" w:type="dxa"/>
            <w:tcBorders>
              <w:bottom w:val="single" w:sz="4" w:space="0" w:color="A6A6A6" w:themeColor="accent5"/>
            </w:tcBorders>
            <w:noWrap/>
          </w:tcPr>
          <w:p w14:paraId="326AB5E9" w14:textId="77777777" w:rsidR="00265792" w:rsidRPr="00BA7805" w:rsidRDefault="00265792" w:rsidP="001501B1">
            <w:pPr>
              <w:pStyle w:val="ARfintablebodyright8pt"/>
              <w:rPr>
                <w:highlight w:val="green"/>
              </w:rPr>
            </w:pPr>
            <w:r>
              <w:t>–</w:t>
            </w:r>
          </w:p>
        </w:tc>
        <w:tc>
          <w:tcPr>
            <w:tcW w:w="725" w:type="dxa"/>
            <w:tcBorders>
              <w:bottom w:val="single" w:sz="4" w:space="0" w:color="A6A6A6" w:themeColor="accent5"/>
            </w:tcBorders>
            <w:noWrap/>
          </w:tcPr>
          <w:p w14:paraId="42D177B2" w14:textId="77777777" w:rsidR="00265792" w:rsidRPr="00BA7805" w:rsidRDefault="00265792" w:rsidP="001501B1">
            <w:pPr>
              <w:pStyle w:val="ARfintablebodyright8pt"/>
              <w:rPr>
                <w:highlight w:val="green"/>
              </w:rPr>
            </w:pPr>
            <w:r>
              <w:t>–</w:t>
            </w:r>
          </w:p>
        </w:tc>
        <w:tc>
          <w:tcPr>
            <w:tcW w:w="723" w:type="dxa"/>
            <w:tcBorders>
              <w:bottom w:val="single" w:sz="4" w:space="0" w:color="A6A6A6" w:themeColor="accent5"/>
            </w:tcBorders>
            <w:noWrap/>
          </w:tcPr>
          <w:p w14:paraId="78E9CF83" w14:textId="77777777" w:rsidR="00265792" w:rsidRPr="00BA7805" w:rsidRDefault="00265792" w:rsidP="001501B1">
            <w:pPr>
              <w:pStyle w:val="ARfintablebodyright8pt"/>
              <w:rPr>
                <w:highlight w:val="green"/>
              </w:rPr>
            </w:pPr>
            <w:r>
              <w:t>–</w:t>
            </w:r>
          </w:p>
        </w:tc>
        <w:tc>
          <w:tcPr>
            <w:tcW w:w="724" w:type="dxa"/>
            <w:tcBorders>
              <w:bottom w:val="single" w:sz="4" w:space="0" w:color="A6A6A6" w:themeColor="accent5"/>
            </w:tcBorders>
            <w:noWrap/>
          </w:tcPr>
          <w:p w14:paraId="3CCACB5A" w14:textId="77777777" w:rsidR="00265792" w:rsidRPr="00BA7805" w:rsidRDefault="00265792" w:rsidP="001501B1">
            <w:pPr>
              <w:pStyle w:val="ARfintablebodyright8pt"/>
              <w:rPr>
                <w:highlight w:val="green"/>
              </w:rPr>
            </w:pPr>
            <w:r>
              <w:t>–</w:t>
            </w:r>
          </w:p>
        </w:tc>
        <w:tc>
          <w:tcPr>
            <w:tcW w:w="723" w:type="dxa"/>
            <w:tcBorders>
              <w:bottom w:val="single" w:sz="4" w:space="0" w:color="A6A6A6" w:themeColor="accent5"/>
            </w:tcBorders>
            <w:noWrap/>
          </w:tcPr>
          <w:p w14:paraId="4AE811CA" w14:textId="77777777" w:rsidR="00265792" w:rsidRPr="00BA7805" w:rsidRDefault="00265792" w:rsidP="001501B1">
            <w:pPr>
              <w:pStyle w:val="ARfintablebodyright8pt"/>
              <w:rPr>
                <w:highlight w:val="green"/>
              </w:rPr>
            </w:pPr>
            <w:r>
              <w:t>–</w:t>
            </w:r>
          </w:p>
        </w:tc>
        <w:tc>
          <w:tcPr>
            <w:tcW w:w="724" w:type="dxa"/>
            <w:tcBorders>
              <w:bottom w:val="single" w:sz="4" w:space="0" w:color="A6A6A6" w:themeColor="accent5"/>
            </w:tcBorders>
            <w:noWrap/>
          </w:tcPr>
          <w:p w14:paraId="43FF40E8" w14:textId="77777777" w:rsidR="00265792" w:rsidRPr="00BA7805" w:rsidRDefault="00265792" w:rsidP="001501B1">
            <w:pPr>
              <w:pStyle w:val="ARfintablebodyright8pt"/>
              <w:rPr>
                <w:highlight w:val="green"/>
              </w:rPr>
            </w:pPr>
            <w:r>
              <w:t>–</w:t>
            </w:r>
          </w:p>
        </w:tc>
        <w:tc>
          <w:tcPr>
            <w:tcW w:w="723" w:type="dxa"/>
            <w:tcBorders>
              <w:bottom w:val="single" w:sz="4" w:space="0" w:color="A6A6A6" w:themeColor="accent5"/>
            </w:tcBorders>
            <w:noWrap/>
          </w:tcPr>
          <w:p w14:paraId="3269EBE9" w14:textId="77777777" w:rsidR="00265792" w:rsidRPr="00BA7805" w:rsidRDefault="00265792" w:rsidP="001501B1">
            <w:pPr>
              <w:pStyle w:val="ARfintablebodyright8pt"/>
              <w:rPr>
                <w:highlight w:val="green"/>
              </w:rPr>
            </w:pPr>
            <w:r>
              <w:t>–</w:t>
            </w:r>
          </w:p>
        </w:tc>
        <w:tc>
          <w:tcPr>
            <w:tcW w:w="724" w:type="dxa"/>
            <w:tcBorders>
              <w:bottom w:val="single" w:sz="4" w:space="0" w:color="A6A6A6" w:themeColor="accent5"/>
            </w:tcBorders>
            <w:noWrap/>
          </w:tcPr>
          <w:p w14:paraId="248C0524" w14:textId="77777777" w:rsidR="00265792" w:rsidRPr="00BA7805" w:rsidRDefault="00265792" w:rsidP="001501B1">
            <w:pPr>
              <w:pStyle w:val="ARfintablebodyright8pt"/>
              <w:rPr>
                <w:highlight w:val="green"/>
              </w:rPr>
            </w:pPr>
            <w:r>
              <w:t>–</w:t>
            </w:r>
          </w:p>
        </w:tc>
        <w:tc>
          <w:tcPr>
            <w:tcW w:w="723" w:type="dxa"/>
            <w:tcBorders>
              <w:bottom w:val="single" w:sz="4" w:space="0" w:color="A6A6A6" w:themeColor="accent5"/>
            </w:tcBorders>
            <w:noWrap/>
          </w:tcPr>
          <w:p w14:paraId="2AADF219" w14:textId="77777777" w:rsidR="00265792" w:rsidRPr="00BA7805" w:rsidRDefault="00265792" w:rsidP="001501B1">
            <w:pPr>
              <w:pStyle w:val="ARfintablebodyright8pt"/>
              <w:rPr>
                <w:highlight w:val="green"/>
              </w:rPr>
            </w:pPr>
            <w:r>
              <w:t>–</w:t>
            </w:r>
          </w:p>
        </w:tc>
        <w:tc>
          <w:tcPr>
            <w:tcW w:w="724" w:type="dxa"/>
            <w:tcBorders>
              <w:bottom w:val="single" w:sz="4" w:space="0" w:color="A6A6A6" w:themeColor="accent5"/>
            </w:tcBorders>
            <w:noWrap/>
          </w:tcPr>
          <w:p w14:paraId="6E2D6F83" w14:textId="77777777" w:rsidR="00265792" w:rsidRPr="00BA7805" w:rsidRDefault="00265792" w:rsidP="001501B1">
            <w:pPr>
              <w:pStyle w:val="ARfintablebodyright8pt"/>
              <w:rPr>
                <w:highlight w:val="green"/>
              </w:rPr>
            </w:pPr>
            <w:r>
              <w:t>–</w:t>
            </w:r>
          </w:p>
        </w:tc>
        <w:tc>
          <w:tcPr>
            <w:tcW w:w="724" w:type="dxa"/>
            <w:tcBorders>
              <w:bottom w:val="single" w:sz="4" w:space="0" w:color="A6A6A6" w:themeColor="accent5"/>
            </w:tcBorders>
            <w:noWrap/>
          </w:tcPr>
          <w:p w14:paraId="601BEAE6" w14:textId="77777777" w:rsidR="00265792" w:rsidRPr="00BA7805" w:rsidRDefault="00265792" w:rsidP="001501B1">
            <w:pPr>
              <w:pStyle w:val="ARfintablebodyright8pt"/>
              <w:rPr>
                <w:highlight w:val="green"/>
              </w:rPr>
            </w:pPr>
            <w:r w:rsidRPr="000B2EA5">
              <w:t>16.6</w:t>
            </w:r>
          </w:p>
        </w:tc>
      </w:tr>
      <w:tr w:rsidR="00265792" w:rsidRPr="00BA7805" w14:paraId="71E63352" w14:textId="77777777" w:rsidTr="00D60B79">
        <w:tc>
          <w:tcPr>
            <w:tcW w:w="3707" w:type="dxa"/>
            <w:tcBorders>
              <w:top w:val="single" w:sz="4" w:space="0" w:color="A6A6A6" w:themeColor="accent5"/>
              <w:bottom w:val="single" w:sz="4" w:space="0" w:color="000000" w:themeColor="text1"/>
            </w:tcBorders>
          </w:tcPr>
          <w:p w14:paraId="2DAAE591" w14:textId="77777777" w:rsidR="00265792" w:rsidRPr="00BA7805" w:rsidRDefault="00265792" w:rsidP="001501B1">
            <w:pPr>
              <w:pStyle w:val="ARfintablebody8pt"/>
              <w:rPr>
                <w:sz w:val="15"/>
                <w:highlight w:val="green"/>
              </w:rPr>
            </w:pPr>
            <w:r w:rsidRPr="000B2EA5">
              <w:t>Other</w:t>
            </w:r>
          </w:p>
        </w:tc>
        <w:tc>
          <w:tcPr>
            <w:tcW w:w="725" w:type="dxa"/>
            <w:tcBorders>
              <w:top w:val="single" w:sz="4" w:space="0" w:color="A6A6A6" w:themeColor="accent5"/>
              <w:bottom w:val="single" w:sz="4" w:space="0" w:color="000000" w:themeColor="text1"/>
            </w:tcBorders>
            <w:noWrap/>
          </w:tcPr>
          <w:p w14:paraId="1035AAB2" w14:textId="77777777" w:rsidR="00265792" w:rsidRPr="00BA7805" w:rsidRDefault="00265792" w:rsidP="001501B1">
            <w:pPr>
              <w:pStyle w:val="ARfintablebodyright8pt"/>
              <w:rPr>
                <w:highlight w:val="green"/>
              </w:rPr>
            </w:pPr>
            <w:r w:rsidRPr="000B2EA5">
              <w:t>1.0</w:t>
            </w:r>
          </w:p>
        </w:tc>
        <w:tc>
          <w:tcPr>
            <w:tcW w:w="726" w:type="dxa"/>
            <w:tcBorders>
              <w:top w:val="single" w:sz="4" w:space="0" w:color="A6A6A6" w:themeColor="accent5"/>
              <w:bottom w:val="single" w:sz="4" w:space="0" w:color="000000" w:themeColor="text1"/>
            </w:tcBorders>
            <w:noWrap/>
          </w:tcPr>
          <w:p w14:paraId="75E218EC" w14:textId="77777777" w:rsidR="00265792" w:rsidRPr="00BA7805" w:rsidRDefault="00265792" w:rsidP="001501B1">
            <w:pPr>
              <w:pStyle w:val="ARfintablebodyright8pt"/>
              <w:rPr>
                <w:highlight w:val="green"/>
              </w:rPr>
            </w:pPr>
            <w:r w:rsidRPr="000B2EA5">
              <w:t>(0.1)</w:t>
            </w:r>
          </w:p>
        </w:tc>
        <w:tc>
          <w:tcPr>
            <w:tcW w:w="725" w:type="dxa"/>
            <w:tcBorders>
              <w:top w:val="single" w:sz="4" w:space="0" w:color="A6A6A6" w:themeColor="accent5"/>
              <w:bottom w:val="single" w:sz="4" w:space="0" w:color="000000" w:themeColor="text1"/>
            </w:tcBorders>
            <w:noWrap/>
          </w:tcPr>
          <w:p w14:paraId="7DE300A7" w14:textId="77777777" w:rsidR="00265792" w:rsidRPr="00BA7805" w:rsidRDefault="00265792" w:rsidP="001501B1">
            <w:pPr>
              <w:pStyle w:val="ARfintablebodyright8pt"/>
              <w:rPr>
                <w:highlight w:val="green"/>
              </w:rPr>
            </w:pPr>
            <w:r>
              <w:t>–</w:t>
            </w:r>
          </w:p>
        </w:tc>
        <w:tc>
          <w:tcPr>
            <w:tcW w:w="726" w:type="dxa"/>
            <w:tcBorders>
              <w:top w:val="single" w:sz="4" w:space="0" w:color="A6A6A6" w:themeColor="accent5"/>
              <w:bottom w:val="single" w:sz="4" w:space="0" w:color="000000" w:themeColor="text1"/>
            </w:tcBorders>
            <w:noWrap/>
          </w:tcPr>
          <w:p w14:paraId="089D0EAB"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0C485D50" w14:textId="77777777" w:rsidR="00265792" w:rsidRPr="00BA7805" w:rsidRDefault="00265792" w:rsidP="001501B1">
            <w:pPr>
              <w:pStyle w:val="ARfintablebodyright8pt"/>
              <w:rPr>
                <w:highlight w:val="green"/>
              </w:rPr>
            </w:pPr>
            <w:r>
              <w:t>–</w:t>
            </w:r>
          </w:p>
        </w:tc>
        <w:tc>
          <w:tcPr>
            <w:tcW w:w="725" w:type="dxa"/>
            <w:tcBorders>
              <w:top w:val="single" w:sz="4" w:space="0" w:color="A6A6A6" w:themeColor="accent5"/>
              <w:bottom w:val="single" w:sz="4" w:space="0" w:color="000000" w:themeColor="text1"/>
            </w:tcBorders>
            <w:noWrap/>
          </w:tcPr>
          <w:p w14:paraId="4F307976" w14:textId="77777777" w:rsidR="00265792" w:rsidRPr="00BA7805" w:rsidRDefault="00265792" w:rsidP="001501B1">
            <w:pPr>
              <w:pStyle w:val="ARfintablebodyright8pt"/>
              <w:rPr>
                <w:highlight w:val="green"/>
              </w:rPr>
            </w:pPr>
            <w:r>
              <w:t>–</w:t>
            </w:r>
          </w:p>
        </w:tc>
        <w:tc>
          <w:tcPr>
            <w:tcW w:w="723" w:type="dxa"/>
            <w:tcBorders>
              <w:top w:val="single" w:sz="4" w:space="0" w:color="A6A6A6" w:themeColor="accent5"/>
              <w:bottom w:val="single" w:sz="4" w:space="0" w:color="000000" w:themeColor="text1"/>
            </w:tcBorders>
            <w:noWrap/>
          </w:tcPr>
          <w:p w14:paraId="11B094F0"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3E4E7256" w14:textId="77777777" w:rsidR="00265792" w:rsidRPr="00BA7805" w:rsidRDefault="00265792" w:rsidP="001501B1">
            <w:pPr>
              <w:pStyle w:val="ARfintablebodyright8pt"/>
              <w:rPr>
                <w:highlight w:val="green"/>
              </w:rPr>
            </w:pPr>
            <w:r>
              <w:t>–</w:t>
            </w:r>
          </w:p>
        </w:tc>
        <w:tc>
          <w:tcPr>
            <w:tcW w:w="723" w:type="dxa"/>
            <w:tcBorders>
              <w:top w:val="single" w:sz="4" w:space="0" w:color="A6A6A6" w:themeColor="accent5"/>
              <w:bottom w:val="single" w:sz="4" w:space="0" w:color="000000" w:themeColor="text1"/>
            </w:tcBorders>
            <w:noWrap/>
          </w:tcPr>
          <w:p w14:paraId="62851B17"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276D36FF" w14:textId="77777777" w:rsidR="00265792" w:rsidRPr="00BA7805" w:rsidRDefault="00265792" w:rsidP="001501B1">
            <w:pPr>
              <w:pStyle w:val="ARfintablebodyright8pt"/>
              <w:rPr>
                <w:highlight w:val="green"/>
              </w:rPr>
            </w:pPr>
            <w:r>
              <w:t>–</w:t>
            </w:r>
          </w:p>
        </w:tc>
        <w:tc>
          <w:tcPr>
            <w:tcW w:w="723" w:type="dxa"/>
            <w:tcBorders>
              <w:top w:val="single" w:sz="4" w:space="0" w:color="A6A6A6" w:themeColor="accent5"/>
              <w:bottom w:val="single" w:sz="4" w:space="0" w:color="000000" w:themeColor="text1"/>
            </w:tcBorders>
            <w:noWrap/>
          </w:tcPr>
          <w:p w14:paraId="23E38EDC"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6BEC4691" w14:textId="77777777" w:rsidR="00265792" w:rsidRPr="00BA7805" w:rsidRDefault="00265792" w:rsidP="001501B1">
            <w:pPr>
              <w:pStyle w:val="ARfintablebodyright8pt"/>
              <w:rPr>
                <w:highlight w:val="green"/>
              </w:rPr>
            </w:pPr>
            <w:r>
              <w:t>–</w:t>
            </w:r>
          </w:p>
        </w:tc>
        <w:tc>
          <w:tcPr>
            <w:tcW w:w="723" w:type="dxa"/>
            <w:tcBorders>
              <w:top w:val="single" w:sz="4" w:space="0" w:color="A6A6A6" w:themeColor="accent5"/>
              <w:bottom w:val="single" w:sz="4" w:space="0" w:color="000000" w:themeColor="text1"/>
            </w:tcBorders>
            <w:noWrap/>
          </w:tcPr>
          <w:p w14:paraId="625C0ECD"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00B0BE7F"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1788B075" w14:textId="77777777" w:rsidR="00265792" w:rsidRPr="00BA7805" w:rsidRDefault="00265792" w:rsidP="001501B1">
            <w:pPr>
              <w:pStyle w:val="ARfintablebodyright8pt"/>
              <w:rPr>
                <w:highlight w:val="green"/>
              </w:rPr>
            </w:pPr>
            <w:r w:rsidRPr="000B2EA5">
              <w:t>0.9</w:t>
            </w:r>
          </w:p>
        </w:tc>
      </w:tr>
      <w:tr w:rsidR="00265792" w:rsidRPr="00BA7805" w14:paraId="29A10568" w14:textId="77777777" w:rsidTr="00D60B79">
        <w:tc>
          <w:tcPr>
            <w:tcW w:w="3707" w:type="dxa"/>
            <w:tcBorders>
              <w:top w:val="single" w:sz="4" w:space="0" w:color="000000" w:themeColor="text1"/>
              <w:bottom w:val="single" w:sz="4" w:space="0" w:color="000000" w:themeColor="text1"/>
            </w:tcBorders>
          </w:tcPr>
          <w:p w14:paraId="274BCCAF" w14:textId="77777777" w:rsidR="00265792" w:rsidRPr="00AE386F" w:rsidRDefault="00265792" w:rsidP="00D60B79">
            <w:pPr>
              <w:pStyle w:val="ARfintablebodybold8pt"/>
              <w:rPr>
                <w:sz w:val="15"/>
                <w:highlight w:val="green"/>
              </w:rPr>
            </w:pPr>
            <w:r w:rsidRPr="00AE386F">
              <w:t>Total administered revenue and income from</w:t>
            </w:r>
            <w:r>
              <w:t> </w:t>
            </w:r>
            <w:r w:rsidRPr="00AE386F">
              <w:t>transactions</w:t>
            </w:r>
          </w:p>
        </w:tc>
        <w:tc>
          <w:tcPr>
            <w:tcW w:w="725" w:type="dxa"/>
            <w:tcBorders>
              <w:top w:val="single" w:sz="4" w:space="0" w:color="000000" w:themeColor="text1"/>
              <w:bottom w:val="single" w:sz="4" w:space="0" w:color="000000" w:themeColor="text1"/>
            </w:tcBorders>
            <w:noWrap/>
          </w:tcPr>
          <w:p w14:paraId="21F8296C" w14:textId="77777777" w:rsidR="00265792" w:rsidRPr="00BA7805" w:rsidRDefault="00265792" w:rsidP="00D60B79">
            <w:pPr>
              <w:pStyle w:val="ARfintablebodyrightbold8pt"/>
              <w:rPr>
                <w:highlight w:val="green"/>
              </w:rPr>
            </w:pPr>
            <w:r w:rsidRPr="000B2EA5">
              <w:t>134.7</w:t>
            </w:r>
          </w:p>
        </w:tc>
        <w:tc>
          <w:tcPr>
            <w:tcW w:w="726" w:type="dxa"/>
            <w:tcBorders>
              <w:top w:val="single" w:sz="4" w:space="0" w:color="000000" w:themeColor="text1"/>
              <w:bottom w:val="single" w:sz="4" w:space="0" w:color="000000" w:themeColor="text1"/>
            </w:tcBorders>
            <w:noWrap/>
          </w:tcPr>
          <w:p w14:paraId="4859D187" w14:textId="77777777" w:rsidR="00265792" w:rsidRPr="00BA7805" w:rsidRDefault="00265792" w:rsidP="00D60B79">
            <w:pPr>
              <w:pStyle w:val="ARfintablebodyrightbold8pt"/>
              <w:rPr>
                <w:highlight w:val="green"/>
              </w:rPr>
            </w:pPr>
            <w:r w:rsidRPr="000B2EA5">
              <w:t>4.4</w:t>
            </w:r>
          </w:p>
        </w:tc>
        <w:tc>
          <w:tcPr>
            <w:tcW w:w="725" w:type="dxa"/>
            <w:tcBorders>
              <w:top w:val="single" w:sz="4" w:space="0" w:color="000000" w:themeColor="text1"/>
              <w:bottom w:val="single" w:sz="4" w:space="0" w:color="000000" w:themeColor="text1"/>
            </w:tcBorders>
            <w:noWrap/>
          </w:tcPr>
          <w:p w14:paraId="38C7F1D9" w14:textId="77777777" w:rsidR="00265792" w:rsidRPr="00BA7805" w:rsidRDefault="00265792" w:rsidP="00D60B79">
            <w:pPr>
              <w:pStyle w:val="ARfintablebodyrightbold8pt"/>
              <w:rPr>
                <w:highlight w:val="green"/>
              </w:rPr>
            </w:pPr>
            <w:r w:rsidRPr="000B2EA5">
              <w:t>1.6</w:t>
            </w:r>
          </w:p>
        </w:tc>
        <w:tc>
          <w:tcPr>
            <w:tcW w:w="726" w:type="dxa"/>
            <w:tcBorders>
              <w:top w:val="single" w:sz="4" w:space="0" w:color="000000" w:themeColor="text1"/>
              <w:bottom w:val="single" w:sz="4" w:space="0" w:color="000000" w:themeColor="text1"/>
            </w:tcBorders>
            <w:noWrap/>
          </w:tcPr>
          <w:p w14:paraId="6995E872"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37035CB8" w14:textId="77777777" w:rsidR="00265792" w:rsidRPr="00BA7805" w:rsidRDefault="00265792" w:rsidP="00D60B79">
            <w:pPr>
              <w:pStyle w:val="ARfintablebodyrightbold8pt"/>
              <w:rPr>
                <w:highlight w:val="green"/>
              </w:rPr>
            </w:pPr>
            <w:r>
              <w:t>–</w:t>
            </w:r>
          </w:p>
        </w:tc>
        <w:tc>
          <w:tcPr>
            <w:tcW w:w="725" w:type="dxa"/>
            <w:tcBorders>
              <w:top w:val="single" w:sz="4" w:space="0" w:color="000000" w:themeColor="text1"/>
              <w:bottom w:val="single" w:sz="4" w:space="0" w:color="000000" w:themeColor="text1"/>
            </w:tcBorders>
            <w:noWrap/>
          </w:tcPr>
          <w:p w14:paraId="1708C9A0" w14:textId="77777777" w:rsidR="00265792" w:rsidRPr="00BA7805" w:rsidRDefault="00265792" w:rsidP="00D60B79">
            <w:pPr>
              <w:pStyle w:val="ARfintablebodyrightbold8pt"/>
              <w:rPr>
                <w:highlight w:val="green"/>
              </w:rPr>
            </w:pPr>
            <w:r w:rsidRPr="000B2EA5">
              <w:t>0.8</w:t>
            </w:r>
          </w:p>
        </w:tc>
        <w:tc>
          <w:tcPr>
            <w:tcW w:w="723" w:type="dxa"/>
            <w:tcBorders>
              <w:top w:val="single" w:sz="4" w:space="0" w:color="000000" w:themeColor="text1"/>
              <w:bottom w:val="single" w:sz="4" w:space="0" w:color="000000" w:themeColor="text1"/>
            </w:tcBorders>
            <w:noWrap/>
          </w:tcPr>
          <w:p w14:paraId="472BBD3E"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7407BD40"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67F43643" w14:textId="77777777" w:rsidR="00265792" w:rsidRPr="00BA7805" w:rsidRDefault="00265792" w:rsidP="00D60B79">
            <w:pPr>
              <w:pStyle w:val="ARfintablebodyrightbold8pt"/>
              <w:rPr>
                <w:highlight w:val="green"/>
              </w:rPr>
            </w:pPr>
            <w:r w:rsidRPr="000B2EA5">
              <w:t>0.5</w:t>
            </w:r>
          </w:p>
        </w:tc>
        <w:tc>
          <w:tcPr>
            <w:tcW w:w="724" w:type="dxa"/>
            <w:tcBorders>
              <w:top w:val="single" w:sz="4" w:space="0" w:color="000000" w:themeColor="text1"/>
              <w:bottom w:val="single" w:sz="4" w:space="0" w:color="000000" w:themeColor="text1"/>
            </w:tcBorders>
            <w:noWrap/>
          </w:tcPr>
          <w:p w14:paraId="1ED2857A"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0D576AB2"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6DA4EC2D"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6B057F6B" w14:textId="77777777" w:rsidR="00265792" w:rsidRPr="00BA7805" w:rsidRDefault="00265792" w:rsidP="00D60B79">
            <w:pPr>
              <w:pStyle w:val="ARfintablebodyrightbold8pt"/>
              <w:rPr>
                <w:highlight w:val="green"/>
              </w:rPr>
            </w:pPr>
            <w:r w:rsidRPr="000B2EA5">
              <w:t>1.3</w:t>
            </w:r>
          </w:p>
        </w:tc>
        <w:tc>
          <w:tcPr>
            <w:tcW w:w="724" w:type="dxa"/>
            <w:tcBorders>
              <w:top w:val="single" w:sz="4" w:space="0" w:color="000000" w:themeColor="text1"/>
              <w:bottom w:val="single" w:sz="4" w:space="0" w:color="000000" w:themeColor="text1"/>
            </w:tcBorders>
            <w:noWrap/>
          </w:tcPr>
          <w:p w14:paraId="4CF61C7D" w14:textId="77777777" w:rsidR="00265792" w:rsidRPr="00BA7805" w:rsidRDefault="00265792" w:rsidP="00D60B79">
            <w:pPr>
              <w:pStyle w:val="ARfintablebodyrightbold8pt"/>
              <w:rPr>
                <w:highlight w:val="green"/>
              </w:rPr>
            </w:pPr>
            <w:r w:rsidRPr="000B2EA5">
              <w:t>2,899.0</w:t>
            </w:r>
          </w:p>
        </w:tc>
        <w:tc>
          <w:tcPr>
            <w:tcW w:w="724" w:type="dxa"/>
            <w:tcBorders>
              <w:top w:val="single" w:sz="4" w:space="0" w:color="000000" w:themeColor="text1"/>
              <w:bottom w:val="single" w:sz="4" w:space="0" w:color="000000" w:themeColor="text1"/>
            </w:tcBorders>
            <w:noWrap/>
          </w:tcPr>
          <w:p w14:paraId="18AFC18D" w14:textId="77777777" w:rsidR="00265792" w:rsidRPr="00BA7805" w:rsidRDefault="00265792" w:rsidP="00D60B79">
            <w:pPr>
              <w:pStyle w:val="ARfintablebodyrightbold8pt"/>
              <w:rPr>
                <w:highlight w:val="green"/>
              </w:rPr>
            </w:pPr>
            <w:r w:rsidRPr="000B2EA5">
              <w:t>3,042.3</w:t>
            </w:r>
          </w:p>
        </w:tc>
      </w:tr>
      <w:tr w:rsidR="00265792" w:rsidRPr="00BA7805" w14:paraId="3F3F7293" w14:textId="77777777" w:rsidTr="00D60B79">
        <w:tc>
          <w:tcPr>
            <w:tcW w:w="3707" w:type="dxa"/>
            <w:tcBorders>
              <w:top w:val="single" w:sz="4" w:space="0" w:color="000000" w:themeColor="text1"/>
            </w:tcBorders>
          </w:tcPr>
          <w:p w14:paraId="21592FB0" w14:textId="77777777" w:rsidR="00265792" w:rsidRPr="00BA7805" w:rsidRDefault="00265792">
            <w:pPr>
              <w:pStyle w:val="ARfintablebodybold8pt"/>
              <w:rPr>
                <w:sz w:val="15"/>
                <w:highlight w:val="green"/>
              </w:rPr>
            </w:pPr>
            <w:r w:rsidRPr="000B2EA5">
              <w:t>Administered expenses from transactions</w:t>
            </w:r>
          </w:p>
        </w:tc>
        <w:tc>
          <w:tcPr>
            <w:tcW w:w="725" w:type="dxa"/>
            <w:tcBorders>
              <w:top w:val="single" w:sz="4" w:space="0" w:color="000000" w:themeColor="text1"/>
            </w:tcBorders>
            <w:noWrap/>
          </w:tcPr>
          <w:p w14:paraId="758742A9" w14:textId="77777777" w:rsidR="00265792" w:rsidRPr="00BA7805" w:rsidRDefault="00265792" w:rsidP="001501B1">
            <w:pPr>
              <w:pStyle w:val="ARfintablebodyright8pt"/>
              <w:rPr>
                <w:highlight w:val="green"/>
              </w:rPr>
            </w:pPr>
          </w:p>
        </w:tc>
        <w:tc>
          <w:tcPr>
            <w:tcW w:w="726" w:type="dxa"/>
            <w:tcBorders>
              <w:top w:val="single" w:sz="4" w:space="0" w:color="000000" w:themeColor="text1"/>
            </w:tcBorders>
            <w:noWrap/>
          </w:tcPr>
          <w:p w14:paraId="6115316C" w14:textId="77777777" w:rsidR="00265792" w:rsidRPr="00BA7805" w:rsidRDefault="00265792" w:rsidP="001501B1">
            <w:pPr>
              <w:pStyle w:val="ARfintablebodyright8pt"/>
              <w:rPr>
                <w:highlight w:val="green"/>
              </w:rPr>
            </w:pPr>
          </w:p>
        </w:tc>
        <w:tc>
          <w:tcPr>
            <w:tcW w:w="725" w:type="dxa"/>
            <w:tcBorders>
              <w:top w:val="single" w:sz="4" w:space="0" w:color="000000" w:themeColor="text1"/>
            </w:tcBorders>
            <w:noWrap/>
          </w:tcPr>
          <w:p w14:paraId="0515E8F6" w14:textId="77777777" w:rsidR="00265792" w:rsidRPr="00BA7805" w:rsidRDefault="00265792" w:rsidP="001501B1">
            <w:pPr>
              <w:pStyle w:val="ARfintablebodyright8pt"/>
              <w:rPr>
                <w:highlight w:val="green"/>
              </w:rPr>
            </w:pPr>
          </w:p>
        </w:tc>
        <w:tc>
          <w:tcPr>
            <w:tcW w:w="726" w:type="dxa"/>
            <w:tcBorders>
              <w:top w:val="single" w:sz="4" w:space="0" w:color="000000" w:themeColor="text1"/>
            </w:tcBorders>
            <w:noWrap/>
          </w:tcPr>
          <w:p w14:paraId="3496C7FC" w14:textId="77777777" w:rsidR="00265792" w:rsidRPr="00BA7805" w:rsidRDefault="00265792" w:rsidP="001501B1">
            <w:pPr>
              <w:pStyle w:val="ARfintablebodyright8pt"/>
              <w:rPr>
                <w:highlight w:val="green"/>
              </w:rPr>
            </w:pPr>
          </w:p>
        </w:tc>
        <w:tc>
          <w:tcPr>
            <w:tcW w:w="724" w:type="dxa"/>
            <w:tcBorders>
              <w:top w:val="single" w:sz="4" w:space="0" w:color="000000" w:themeColor="text1"/>
            </w:tcBorders>
            <w:noWrap/>
          </w:tcPr>
          <w:p w14:paraId="1782E53E" w14:textId="77777777" w:rsidR="00265792" w:rsidRPr="00BA7805" w:rsidRDefault="00265792" w:rsidP="001501B1">
            <w:pPr>
              <w:pStyle w:val="ARfintablebodyright8pt"/>
              <w:rPr>
                <w:highlight w:val="green"/>
              </w:rPr>
            </w:pPr>
          </w:p>
        </w:tc>
        <w:tc>
          <w:tcPr>
            <w:tcW w:w="725" w:type="dxa"/>
            <w:tcBorders>
              <w:top w:val="single" w:sz="4" w:space="0" w:color="000000" w:themeColor="text1"/>
            </w:tcBorders>
            <w:noWrap/>
          </w:tcPr>
          <w:p w14:paraId="13A13512" w14:textId="77777777" w:rsidR="00265792" w:rsidRPr="00BA7805" w:rsidRDefault="00265792" w:rsidP="001501B1">
            <w:pPr>
              <w:pStyle w:val="ARfintablebodyright8pt"/>
              <w:rPr>
                <w:highlight w:val="green"/>
              </w:rPr>
            </w:pPr>
          </w:p>
        </w:tc>
        <w:tc>
          <w:tcPr>
            <w:tcW w:w="723" w:type="dxa"/>
            <w:tcBorders>
              <w:top w:val="single" w:sz="4" w:space="0" w:color="000000" w:themeColor="text1"/>
            </w:tcBorders>
            <w:noWrap/>
          </w:tcPr>
          <w:p w14:paraId="2A7DBA33" w14:textId="77777777" w:rsidR="00265792" w:rsidRPr="00BA7805" w:rsidRDefault="00265792" w:rsidP="001501B1">
            <w:pPr>
              <w:pStyle w:val="ARfintablebodyright8pt"/>
              <w:rPr>
                <w:highlight w:val="green"/>
              </w:rPr>
            </w:pPr>
          </w:p>
        </w:tc>
        <w:tc>
          <w:tcPr>
            <w:tcW w:w="724" w:type="dxa"/>
            <w:tcBorders>
              <w:top w:val="single" w:sz="4" w:space="0" w:color="000000" w:themeColor="text1"/>
            </w:tcBorders>
            <w:noWrap/>
          </w:tcPr>
          <w:p w14:paraId="345CF505" w14:textId="77777777" w:rsidR="00265792" w:rsidRPr="00BA7805" w:rsidRDefault="00265792" w:rsidP="001501B1">
            <w:pPr>
              <w:pStyle w:val="ARfintablebodyright8pt"/>
              <w:rPr>
                <w:highlight w:val="green"/>
              </w:rPr>
            </w:pPr>
          </w:p>
        </w:tc>
        <w:tc>
          <w:tcPr>
            <w:tcW w:w="723" w:type="dxa"/>
            <w:tcBorders>
              <w:top w:val="single" w:sz="4" w:space="0" w:color="000000" w:themeColor="text1"/>
            </w:tcBorders>
            <w:noWrap/>
          </w:tcPr>
          <w:p w14:paraId="6D308706" w14:textId="77777777" w:rsidR="00265792" w:rsidRPr="00BA7805" w:rsidRDefault="00265792" w:rsidP="001501B1">
            <w:pPr>
              <w:pStyle w:val="ARfintablebodyright8pt"/>
              <w:rPr>
                <w:highlight w:val="green"/>
              </w:rPr>
            </w:pPr>
          </w:p>
        </w:tc>
        <w:tc>
          <w:tcPr>
            <w:tcW w:w="724" w:type="dxa"/>
            <w:tcBorders>
              <w:top w:val="single" w:sz="4" w:space="0" w:color="000000" w:themeColor="text1"/>
            </w:tcBorders>
            <w:noWrap/>
          </w:tcPr>
          <w:p w14:paraId="79B8D295" w14:textId="77777777" w:rsidR="00265792" w:rsidRPr="00BA7805" w:rsidRDefault="00265792" w:rsidP="001501B1">
            <w:pPr>
              <w:pStyle w:val="ARfintablebodyright8pt"/>
              <w:rPr>
                <w:highlight w:val="green"/>
              </w:rPr>
            </w:pPr>
          </w:p>
        </w:tc>
        <w:tc>
          <w:tcPr>
            <w:tcW w:w="723" w:type="dxa"/>
            <w:tcBorders>
              <w:top w:val="single" w:sz="4" w:space="0" w:color="000000" w:themeColor="text1"/>
            </w:tcBorders>
            <w:noWrap/>
          </w:tcPr>
          <w:p w14:paraId="4273A36D" w14:textId="77777777" w:rsidR="00265792" w:rsidRPr="00BA7805" w:rsidRDefault="00265792" w:rsidP="001501B1">
            <w:pPr>
              <w:pStyle w:val="ARfintablebodyright8pt"/>
              <w:rPr>
                <w:highlight w:val="green"/>
              </w:rPr>
            </w:pPr>
          </w:p>
        </w:tc>
        <w:tc>
          <w:tcPr>
            <w:tcW w:w="724" w:type="dxa"/>
            <w:tcBorders>
              <w:top w:val="single" w:sz="4" w:space="0" w:color="000000" w:themeColor="text1"/>
            </w:tcBorders>
            <w:noWrap/>
          </w:tcPr>
          <w:p w14:paraId="69516BD4" w14:textId="77777777" w:rsidR="00265792" w:rsidRPr="00BA7805" w:rsidRDefault="00265792" w:rsidP="001501B1">
            <w:pPr>
              <w:pStyle w:val="ARfintablebodyright8pt"/>
              <w:rPr>
                <w:highlight w:val="green"/>
              </w:rPr>
            </w:pPr>
          </w:p>
        </w:tc>
        <w:tc>
          <w:tcPr>
            <w:tcW w:w="723" w:type="dxa"/>
            <w:tcBorders>
              <w:top w:val="single" w:sz="4" w:space="0" w:color="000000" w:themeColor="text1"/>
            </w:tcBorders>
            <w:noWrap/>
          </w:tcPr>
          <w:p w14:paraId="73A29F0C" w14:textId="77777777" w:rsidR="00265792" w:rsidRPr="00BA7805" w:rsidRDefault="00265792" w:rsidP="001501B1">
            <w:pPr>
              <w:pStyle w:val="ARfintablebodyright8pt"/>
              <w:rPr>
                <w:highlight w:val="green"/>
              </w:rPr>
            </w:pPr>
          </w:p>
        </w:tc>
        <w:tc>
          <w:tcPr>
            <w:tcW w:w="724" w:type="dxa"/>
            <w:tcBorders>
              <w:top w:val="single" w:sz="4" w:space="0" w:color="000000" w:themeColor="text1"/>
            </w:tcBorders>
            <w:noWrap/>
          </w:tcPr>
          <w:p w14:paraId="40BC72F0" w14:textId="77777777" w:rsidR="00265792" w:rsidRPr="00BA7805" w:rsidRDefault="00265792" w:rsidP="001501B1">
            <w:pPr>
              <w:pStyle w:val="ARfintablebodyright8pt"/>
              <w:rPr>
                <w:highlight w:val="green"/>
              </w:rPr>
            </w:pPr>
          </w:p>
        </w:tc>
        <w:tc>
          <w:tcPr>
            <w:tcW w:w="724" w:type="dxa"/>
            <w:tcBorders>
              <w:top w:val="single" w:sz="4" w:space="0" w:color="000000" w:themeColor="text1"/>
            </w:tcBorders>
            <w:noWrap/>
          </w:tcPr>
          <w:p w14:paraId="18924A77" w14:textId="77777777" w:rsidR="00265792" w:rsidRPr="00BA7805" w:rsidRDefault="00265792" w:rsidP="001501B1">
            <w:pPr>
              <w:pStyle w:val="ARfintablebodyright8pt"/>
              <w:rPr>
                <w:highlight w:val="green"/>
              </w:rPr>
            </w:pPr>
          </w:p>
        </w:tc>
      </w:tr>
      <w:tr w:rsidR="00265792" w:rsidRPr="00BA7805" w14:paraId="0D386C83" w14:textId="77777777" w:rsidTr="001501B1">
        <w:tc>
          <w:tcPr>
            <w:tcW w:w="3707" w:type="dxa"/>
          </w:tcPr>
          <w:p w14:paraId="001B45DA" w14:textId="77777777" w:rsidR="00265792" w:rsidRPr="00BA7805" w:rsidRDefault="00265792" w:rsidP="001501B1">
            <w:pPr>
              <w:pStyle w:val="ARfintablebody8pt"/>
              <w:rPr>
                <w:sz w:val="15"/>
                <w:highlight w:val="green"/>
              </w:rPr>
            </w:pPr>
            <w:r w:rsidRPr="000B2EA5">
              <w:t xml:space="preserve">Grants and other transfers </w:t>
            </w:r>
          </w:p>
        </w:tc>
        <w:tc>
          <w:tcPr>
            <w:tcW w:w="725" w:type="dxa"/>
            <w:noWrap/>
          </w:tcPr>
          <w:p w14:paraId="31536482" w14:textId="77777777" w:rsidR="00265792" w:rsidRPr="00BA7805" w:rsidRDefault="00265792" w:rsidP="001501B1">
            <w:pPr>
              <w:pStyle w:val="ARfintablebodyright8pt"/>
              <w:rPr>
                <w:highlight w:val="green"/>
              </w:rPr>
            </w:pPr>
            <w:r w:rsidRPr="000B2EA5">
              <w:t>76.6</w:t>
            </w:r>
          </w:p>
        </w:tc>
        <w:tc>
          <w:tcPr>
            <w:tcW w:w="726" w:type="dxa"/>
            <w:noWrap/>
          </w:tcPr>
          <w:p w14:paraId="67439E6D" w14:textId="77777777" w:rsidR="00265792" w:rsidRPr="00BA7805" w:rsidRDefault="00265792" w:rsidP="001501B1">
            <w:pPr>
              <w:pStyle w:val="ARfintablebodyright8pt"/>
              <w:rPr>
                <w:highlight w:val="green"/>
              </w:rPr>
            </w:pPr>
            <w:r>
              <w:t>–</w:t>
            </w:r>
          </w:p>
        </w:tc>
        <w:tc>
          <w:tcPr>
            <w:tcW w:w="725" w:type="dxa"/>
            <w:noWrap/>
          </w:tcPr>
          <w:p w14:paraId="2821A39A" w14:textId="77777777" w:rsidR="00265792" w:rsidRPr="00BA7805" w:rsidRDefault="00265792" w:rsidP="001501B1">
            <w:pPr>
              <w:pStyle w:val="ARfintablebodyright8pt"/>
              <w:rPr>
                <w:highlight w:val="green"/>
              </w:rPr>
            </w:pPr>
            <w:r w:rsidRPr="000B2EA5">
              <w:t>1.5</w:t>
            </w:r>
          </w:p>
        </w:tc>
        <w:tc>
          <w:tcPr>
            <w:tcW w:w="726" w:type="dxa"/>
            <w:noWrap/>
          </w:tcPr>
          <w:p w14:paraId="2D8E02EB" w14:textId="77777777" w:rsidR="00265792" w:rsidRPr="00BA7805" w:rsidRDefault="00265792" w:rsidP="001501B1">
            <w:pPr>
              <w:pStyle w:val="ARfintablebodyright8pt"/>
              <w:rPr>
                <w:highlight w:val="green"/>
              </w:rPr>
            </w:pPr>
            <w:r>
              <w:t>–</w:t>
            </w:r>
          </w:p>
        </w:tc>
        <w:tc>
          <w:tcPr>
            <w:tcW w:w="724" w:type="dxa"/>
            <w:noWrap/>
          </w:tcPr>
          <w:p w14:paraId="3C12BF26" w14:textId="77777777" w:rsidR="00265792" w:rsidRPr="00BA7805" w:rsidRDefault="00265792" w:rsidP="001501B1">
            <w:pPr>
              <w:pStyle w:val="ARfintablebodyright8pt"/>
              <w:rPr>
                <w:highlight w:val="green"/>
              </w:rPr>
            </w:pPr>
            <w:r>
              <w:t>–</w:t>
            </w:r>
          </w:p>
        </w:tc>
        <w:tc>
          <w:tcPr>
            <w:tcW w:w="725" w:type="dxa"/>
            <w:noWrap/>
          </w:tcPr>
          <w:p w14:paraId="363BDD1D" w14:textId="77777777" w:rsidR="00265792" w:rsidRPr="00BA7805" w:rsidRDefault="00265792" w:rsidP="001501B1">
            <w:pPr>
              <w:pStyle w:val="ARfintablebodyright8pt"/>
              <w:rPr>
                <w:highlight w:val="green"/>
              </w:rPr>
            </w:pPr>
            <w:r>
              <w:t>–</w:t>
            </w:r>
          </w:p>
        </w:tc>
        <w:tc>
          <w:tcPr>
            <w:tcW w:w="723" w:type="dxa"/>
            <w:noWrap/>
          </w:tcPr>
          <w:p w14:paraId="319E5FE0" w14:textId="77777777" w:rsidR="00265792" w:rsidRPr="00BA7805" w:rsidRDefault="00265792" w:rsidP="001501B1">
            <w:pPr>
              <w:pStyle w:val="ARfintablebodyright8pt"/>
              <w:rPr>
                <w:highlight w:val="green"/>
              </w:rPr>
            </w:pPr>
            <w:r>
              <w:t>–</w:t>
            </w:r>
          </w:p>
        </w:tc>
        <w:tc>
          <w:tcPr>
            <w:tcW w:w="724" w:type="dxa"/>
            <w:noWrap/>
          </w:tcPr>
          <w:p w14:paraId="23D0F303" w14:textId="77777777" w:rsidR="00265792" w:rsidRPr="00BA7805" w:rsidRDefault="00265792" w:rsidP="001501B1">
            <w:pPr>
              <w:pStyle w:val="ARfintablebodyright8pt"/>
              <w:rPr>
                <w:highlight w:val="green"/>
              </w:rPr>
            </w:pPr>
            <w:r>
              <w:t>–</w:t>
            </w:r>
          </w:p>
        </w:tc>
        <w:tc>
          <w:tcPr>
            <w:tcW w:w="723" w:type="dxa"/>
            <w:noWrap/>
          </w:tcPr>
          <w:p w14:paraId="22077D61" w14:textId="77777777" w:rsidR="00265792" w:rsidRPr="00BA7805" w:rsidRDefault="00265792" w:rsidP="001501B1">
            <w:pPr>
              <w:pStyle w:val="ARfintablebodyright8pt"/>
              <w:rPr>
                <w:highlight w:val="green"/>
              </w:rPr>
            </w:pPr>
            <w:r>
              <w:t>–</w:t>
            </w:r>
          </w:p>
        </w:tc>
        <w:tc>
          <w:tcPr>
            <w:tcW w:w="724" w:type="dxa"/>
            <w:noWrap/>
          </w:tcPr>
          <w:p w14:paraId="1461AA10" w14:textId="77777777" w:rsidR="00265792" w:rsidRPr="00BA7805" w:rsidRDefault="00265792" w:rsidP="001501B1">
            <w:pPr>
              <w:pStyle w:val="ARfintablebodyright8pt"/>
              <w:rPr>
                <w:highlight w:val="green"/>
              </w:rPr>
            </w:pPr>
            <w:r>
              <w:t>–</w:t>
            </w:r>
          </w:p>
        </w:tc>
        <w:tc>
          <w:tcPr>
            <w:tcW w:w="723" w:type="dxa"/>
            <w:noWrap/>
          </w:tcPr>
          <w:p w14:paraId="01C5E7A8" w14:textId="77777777" w:rsidR="00265792" w:rsidRPr="00BA7805" w:rsidRDefault="00265792" w:rsidP="001501B1">
            <w:pPr>
              <w:pStyle w:val="ARfintablebodyright8pt"/>
              <w:rPr>
                <w:highlight w:val="green"/>
              </w:rPr>
            </w:pPr>
            <w:r>
              <w:t>–</w:t>
            </w:r>
          </w:p>
        </w:tc>
        <w:tc>
          <w:tcPr>
            <w:tcW w:w="724" w:type="dxa"/>
            <w:noWrap/>
          </w:tcPr>
          <w:p w14:paraId="2054C238" w14:textId="77777777" w:rsidR="00265792" w:rsidRPr="00BA7805" w:rsidRDefault="00265792" w:rsidP="001501B1">
            <w:pPr>
              <w:pStyle w:val="ARfintablebodyright8pt"/>
              <w:rPr>
                <w:highlight w:val="green"/>
              </w:rPr>
            </w:pPr>
            <w:r>
              <w:t>–</w:t>
            </w:r>
          </w:p>
        </w:tc>
        <w:tc>
          <w:tcPr>
            <w:tcW w:w="723" w:type="dxa"/>
            <w:noWrap/>
          </w:tcPr>
          <w:p w14:paraId="6EAB9BEF" w14:textId="77777777" w:rsidR="00265792" w:rsidRPr="00BA7805" w:rsidRDefault="00265792" w:rsidP="001501B1">
            <w:pPr>
              <w:pStyle w:val="ARfintablebodyright8pt"/>
              <w:rPr>
                <w:highlight w:val="green"/>
              </w:rPr>
            </w:pPr>
            <w:r>
              <w:t>–</w:t>
            </w:r>
          </w:p>
        </w:tc>
        <w:tc>
          <w:tcPr>
            <w:tcW w:w="724" w:type="dxa"/>
            <w:noWrap/>
          </w:tcPr>
          <w:p w14:paraId="488A1C81" w14:textId="77777777" w:rsidR="00265792" w:rsidRPr="00BA7805" w:rsidRDefault="00265792" w:rsidP="001501B1">
            <w:pPr>
              <w:pStyle w:val="ARfintablebodyright8pt"/>
              <w:rPr>
                <w:highlight w:val="green"/>
              </w:rPr>
            </w:pPr>
            <w:r w:rsidRPr="000B2EA5">
              <w:t>2,899.0</w:t>
            </w:r>
          </w:p>
        </w:tc>
        <w:tc>
          <w:tcPr>
            <w:tcW w:w="724" w:type="dxa"/>
            <w:noWrap/>
          </w:tcPr>
          <w:p w14:paraId="7574644A" w14:textId="77777777" w:rsidR="00265792" w:rsidRPr="00BA7805" w:rsidRDefault="00265792" w:rsidP="001501B1">
            <w:pPr>
              <w:pStyle w:val="ARfintablebodyright8pt"/>
              <w:rPr>
                <w:highlight w:val="green"/>
              </w:rPr>
            </w:pPr>
            <w:r w:rsidRPr="000B2EA5">
              <w:t>2,977.1</w:t>
            </w:r>
          </w:p>
        </w:tc>
      </w:tr>
      <w:tr w:rsidR="00265792" w:rsidRPr="00BA7805" w14:paraId="27E8E6C1" w14:textId="77777777" w:rsidTr="00D60B79">
        <w:tc>
          <w:tcPr>
            <w:tcW w:w="3707" w:type="dxa"/>
            <w:tcBorders>
              <w:bottom w:val="single" w:sz="4" w:space="0" w:color="A6A6A6" w:themeColor="accent5"/>
            </w:tcBorders>
          </w:tcPr>
          <w:p w14:paraId="48A79A5B" w14:textId="77777777" w:rsidR="00265792" w:rsidRPr="00BA7805" w:rsidRDefault="00265792">
            <w:pPr>
              <w:pStyle w:val="ARfintablebody8pt"/>
              <w:rPr>
                <w:sz w:val="15"/>
                <w:highlight w:val="green"/>
              </w:rPr>
            </w:pPr>
            <w:r w:rsidRPr="000B2EA5">
              <w:t>Other operating expenses</w:t>
            </w:r>
          </w:p>
        </w:tc>
        <w:tc>
          <w:tcPr>
            <w:tcW w:w="725" w:type="dxa"/>
            <w:tcBorders>
              <w:bottom w:val="single" w:sz="4" w:space="0" w:color="A6A6A6" w:themeColor="accent5"/>
            </w:tcBorders>
            <w:noWrap/>
          </w:tcPr>
          <w:p w14:paraId="60D97ACF" w14:textId="77777777" w:rsidR="00265792" w:rsidRPr="00BA7805" w:rsidRDefault="00265792">
            <w:pPr>
              <w:pStyle w:val="ARfintablebodyright8pt"/>
              <w:rPr>
                <w:highlight w:val="green"/>
              </w:rPr>
            </w:pPr>
            <w:r w:rsidRPr="00C90EE2">
              <w:t>–</w:t>
            </w:r>
          </w:p>
        </w:tc>
        <w:tc>
          <w:tcPr>
            <w:tcW w:w="726" w:type="dxa"/>
            <w:tcBorders>
              <w:bottom w:val="single" w:sz="4" w:space="0" w:color="A6A6A6" w:themeColor="accent5"/>
            </w:tcBorders>
            <w:noWrap/>
          </w:tcPr>
          <w:p w14:paraId="12494AAB" w14:textId="77777777" w:rsidR="00265792" w:rsidRPr="00BA7805" w:rsidRDefault="00265792">
            <w:pPr>
              <w:pStyle w:val="ARfintablebodyright8pt"/>
              <w:rPr>
                <w:highlight w:val="green"/>
              </w:rPr>
            </w:pPr>
            <w:r w:rsidRPr="00C90EE2">
              <w:t>–</w:t>
            </w:r>
          </w:p>
        </w:tc>
        <w:tc>
          <w:tcPr>
            <w:tcW w:w="725" w:type="dxa"/>
            <w:tcBorders>
              <w:bottom w:val="single" w:sz="4" w:space="0" w:color="A6A6A6" w:themeColor="accent5"/>
            </w:tcBorders>
            <w:noWrap/>
          </w:tcPr>
          <w:p w14:paraId="20C23214" w14:textId="77777777" w:rsidR="00265792" w:rsidRPr="00BA7805" w:rsidRDefault="00265792">
            <w:pPr>
              <w:pStyle w:val="ARfintablebodyright8pt"/>
              <w:rPr>
                <w:highlight w:val="green"/>
              </w:rPr>
            </w:pPr>
            <w:r w:rsidRPr="000B2EA5">
              <w:t>0.1</w:t>
            </w:r>
          </w:p>
        </w:tc>
        <w:tc>
          <w:tcPr>
            <w:tcW w:w="726" w:type="dxa"/>
            <w:tcBorders>
              <w:bottom w:val="single" w:sz="4" w:space="0" w:color="A6A6A6" w:themeColor="accent5"/>
            </w:tcBorders>
            <w:noWrap/>
          </w:tcPr>
          <w:p w14:paraId="5507E655" w14:textId="77777777" w:rsidR="00265792" w:rsidRPr="00BA7805" w:rsidRDefault="00265792">
            <w:pPr>
              <w:pStyle w:val="ARfintablebodyright8pt"/>
              <w:rPr>
                <w:highlight w:val="green"/>
              </w:rPr>
            </w:pPr>
            <w:r>
              <w:t>–</w:t>
            </w:r>
          </w:p>
        </w:tc>
        <w:tc>
          <w:tcPr>
            <w:tcW w:w="724" w:type="dxa"/>
            <w:tcBorders>
              <w:bottom w:val="single" w:sz="4" w:space="0" w:color="A6A6A6" w:themeColor="accent5"/>
            </w:tcBorders>
            <w:noWrap/>
          </w:tcPr>
          <w:p w14:paraId="2B1C2625" w14:textId="77777777" w:rsidR="00265792" w:rsidRPr="00BA7805" w:rsidRDefault="00265792">
            <w:pPr>
              <w:pStyle w:val="ARfintablebodyright8pt"/>
              <w:rPr>
                <w:highlight w:val="green"/>
              </w:rPr>
            </w:pPr>
            <w:r>
              <w:t>–</w:t>
            </w:r>
          </w:p>
        </w:tc>
        <w:tc>
          <w:tcPr>
            <w:tcW w:w="725" w:type="dxa"/>
            <w:tcBorders>
              <w:bottom w:val="single" w:sz="4" w:space="0" w:color="A6A6A6" w:themeColor="accent5"/>
            </w:tcBorders>
            <w:noWrap/>
          </w:tcPr>
          <w:p w14:paraId="71F0160E" w14:textId="77777777" w:rsidR="00265792" w:rsidRPr="00BA7805" w:rsidRDefault="00265792">
            <w:pPr>
              <w:pStyle w:val="ARfintablebodyright8pt"/>
              <w:rPr>
                <w:highlight w:val="green"/>
              </w:rPr>
            </w:pPr>
            <w:r>
              <w:t>–</w:t>
            </w:r>
          </w:p>
        </w:tc>
        <w:tc>
          <w:tcPr>
            <w:tcW w:w="723" w:type="dxa"/>
            <w:tcBorders>
              <w:bottom w:val="single" w:sz="4" w:space="0" w:color="A6A6A6" w:themeColor="accent5"/>
            </w:tcBorders>
            <w:noWrap/>
          </w:tcPr>
          <w:p w14:paraId="228B1544" w14:textId="77777777" w:rsidR="00265792" w:rsidRPr="00BA7805" w:rsidRDefault="00265792">
            <w:pPr>
              <w:pStyle w:val="ARfintablebodyright8pt"/>
              <w:rPr>
                <w:highlight w:val="green"/>
              </w:rPr>
            </w:pPr>
            <w:r>
              <w:t>–</w:t>
            </w:r>
          </w:p>
        </w:tc>
        <w:tc>
          <w:tcPr>
            <w:tcW w:w="724" w:type="dxa"/>
            <w:tcBorders>
              <w:bottom w:val="single" w:sz="4" w:space="0" w:color="A6A6A6" w:themeColor="accent5"/>
            </w:tcBorders>
            <w:noWrap/>
          </w:tcPr>
          <w:p w14:paraId="4CBBA70C" w14:textId="77777777" w:rsidR="00265792" w:rsidRPr="00BA7805" w:rsidRDefault="00265792">
            <w:pPr>
              <w:pStyle w:val="ARfintablebodyright8pt"/>
              <w:rPr>
                <w:highlight w:val="green"/>
              </w:rPr>
            </w:pPr>
            <w:r>
              <w:t>–</w:t>
            </w:r>
          </w:p>
        </w:tc>
        <w:tc>
          <w:tcPr>
            <w:tcW w:w="723" w:type="dxa"/>
            <w:tcBorders>
              <w:bottom w:val="single" w:sz="4" w:space="0" w:color="A6A6A6" w:themeColor="accent5"/>
            </w:tcBorders>
            <w:noWrap/>
          </w:tcPr>
          <w:p w14:paraId="56044CED" w14:textId="77777777" w:rsidR="00265792" w:rsidRPr="00BA7805" w:rsidRDefault="00265792">
            <w:pPr>
              <w:pStyle w:val="ARfintablebodyright8pt"/>
              <w:rPr>
                <w:highlight w:val="green"/>
              </w:rPr>
            </w:pPr>
            <w:r>
              <w:t>–</w:t>
            </w:r>
          </w:p>
        </w:tc>
        <w:tc>
          <w:tcPr>
            <w:tcW w:w="724" w:type="dxa"/>
            <w:tcBorders>
              <w:bottom w:val="single" w:sz="4" w:space="0" w:color="A6A6A6" w:themeColor="accent5"/>
            </w:tcBorders>
            <w:noWrap/>
          </w:tcPr>
          <w:p w14:paraId="7E080A91" w14:textId="77777777" w:rsidR="00265792" w:rsidRPr="00BA7805" w:rsidRDefault="00265792">
            <w:pPr>
              <w:pStyle w:val="ARfintablebodyright8pt"/>
              <w:rPr>
                <w:highlight w:val="green"/>
              </w:rPr>
            </w:pPr>
            <w:r>
              <w:t>–</w:t>
            </w:r>
          </w:p>
        </w:tc>
        <w:tc>
          <w:tcPr>
            <w:tcW w:w="723" w:type="dxa"/>
            <w:tcBorders>
              <w:bottom w:val="single" w:sz="4" w:space="0" w:color="A6A6A6" w:themeColor="accent5"/>
            </w:tcBorders>
            <w:noWrap/>
          </w:tcPr>
          <w:p w14:paraId="158A6127" w14:textId="77777777" w:rsidR="00265792" w:rsidRPr="00BA7805" w:rsidRDefault="00265792">
            <w:pPr>
              <w:pStyle w:val="ARfintablebodyright8pt"/>
              <w:rPr>
                <w:highlight w:val="green"/>
              </w:rPr>
            </w:pPr>
            <w:r>
              <w:t>–</w:t>
            </w:r>
          </w:p>
        </w:tc>
        <w:tc>
          <w:tcPr>
            <w:tcW w:w="724" w:type="dxa"/>
            <w:tcBorders>
              <w:bottom w:val="single" w:sz="4" w:space="0" w:color="A6A6A6" w:themeColor="accent5"/>
            </w:tcBorders>
            <w:noWrap/>
          </w:tcPr>
          <w:p w14:paraId="78BDCE09" w14:textId="77777777" w:rsidR="00265792" w:rsidRPr="00BA7805" w:rsidRDefault="00265792">
            <w:pPr>
              <w:pStyle w:val="ARfintablebodyright8pt"/>
              <w:rPr>
                <w:highlight w:val="green"/>
              </w:rPr>
            </w:pPr>
            <w:r>
              <w:t>–</w:t>
            </w:r>
          </w:p>
        </w:tc>
        <w:tc>
          <w:tcPr>
            <w:tcW w:w="723" w:type="dxa"/>
            <w:tcBorders>
              <w:bottom w:val="single" w:sz="4" w:space="0" w:color="A6A6A6" w:themeColor="accent5"/>
            </w:tcBorders>
            <w:noWrap/>
          </w:tcPr>
          <w:p w14:paraId="24962A4E" w14:textId="77777777" w:rsidR="00265792" w:rsidRPr="00BA7805" w:rsidRDefault="00265792">
            <w:pPr>
              <w:pStyle w:val="ARfintablebodyright8pt"/>
              <w:rPr>
                <w:highlight w:val="green"/>
              </w:rPr>
            </w:pPr>
            <w:r>
              <w:t>–</w:t>
            </w:r>
          </w:p>
        </w:tc>
        <w:tc>
          <w:tcPr>
            <w:tcW w:w="724" w:type="dxa"/>
            <w:tcBorders>
              <w:bottom w:val="single" w:sz="4" w:space="0" w:color="A6A6A6" w:themeColor="accent5"/>
            </w:tcBorders>
            <w:noWrap/>
          </w:tcPr>
          <w:p w14:paraId="2FE1AFB4" w14:textId="77777777" w:rsidR="00265792" w:rsidRPr="00BA7805" w:rsidRDefault="00265792">
            <w:pPr>
              <w:pStyle w:val="ARfintablebodyright8pt"/>
              <w:rPr>
                <w:highlight w:val="green"/>
              </w:rPr>
            </w:pPr>
            <w:r>
              <w:t>–</w:t>
            </w:r>
          </w:p>
        </w:tc>
        <w:tc>
          <w:tcPr>
            <w:tcW w:w="724" w:type="dxa"/>
            <w:tcBorders>
              <w:bottom w:val="single" w:sz="4" w:space="0" w:color="A6A6A6" w:themeColor="accent5"/>
            </w:tcBorders>
            <w:noWrap/>
          </w:tcPr>
          <w:p w14:paraId="001E5D2B" w14:textId="77777777" w:rsidR="00265792" w:rsidRPr="00BA7805" w:rsidRDefault="00265792">
            <w:pPr>
              <w:pStyle w:val="ARfintablebodyright8pt"/>
              <w:rPr>
                <w:highlight w:val="green"/>
              </w:rPr>
            </w:pPr>
            <w:r w:rsidRPr="000B2EA5">
              <w:t>0.1</w:t>
            </w:r>
          </w:p>
        </w:tc>
      </w:tr>
      <w:tr w:rsidR="00265792" w:rsidRPr="00BA7805" w14:paraId="37D35FDF" w14:textId="77777777" w:rsidTr="00D60B79">
        <w:tc>
          <w:tcPr>
            <w:tcW w:w="3707" w:type="dxa"/>
            <w:tcBorders>
              <w:top w:val="single" w:sz="4" w:space="0" w:color="A6A6A6" w:themeColor="accent5"/>
              <w:bottom w:val="single" w:sz="4" w:space="0" w:color="000000" w:themeColor="text1"/>
            </w:tcBorders>
          </w:tcPr>
          <w:p w14:paraId="2CE9536E" w14:textId="77777777" w:rsidR="00265792" w:rsidRPr="00BA7805" w:rsidRDefault="00265792" w:rsidP="001501B1">
            <w:pPr>
              <w:pStyle w:val="ARfintablebody8pt"/>
              <w:rPr>
                <w:sz w:val="15"/>
                <w:highlight w:val="green"/>
              </w:rPr>
            </w:pPr>
            <w:r w:rsidRPr="000B2EA5">
              <w:t>Payments into the consolidated fund</w:t>
            </w:r>
          </w:p>
        </w:tc>
        <w:tc>
          <w:tcPr>
            <w:tcW w:w="725" w:type="dxa"/>
            <w:tcBorders>
              <w:top w:val="single" w:sz="4" w:space="0" w:color="A6A6A6" w:themeColor="accent5"/>
              <w:bottom w:val="single" w:sz="4" w:space="0" w:color="000000" w:themeColor="text1"/>
            </w:tcBorders>
            <w:noWrap/>
          </w:tcPr>
          <w:p w14:paraId="0E32789B" w14:textId="77777777" w:rsidR="00265792" w:rsidRPr="00BA7805" w:rsidRDefault="00265792" w:rsidP="001501B1">
            <w:pPr>
              <w:pStyle w:val="ARfintablebodyright8pt"/>
              <w:rPr>
                <w:highlight w:val="green"/>
              </w:rPr>
            </w:pPr>
            <w:r w:rsidRPr="000B2EA5">
              <w:t>58.7</w:t>
            </w:r>
          </w:p>
        </w:tc>
        <w:tc>
          <w:tcPr>
            <w:tcW w:w="726" w:type="dxa"/>
            <w:tcBorders>
              <w:top w:val="single" w:sz="4" w:space="0" w:color="A6A6A6" w:themeColor="accent5"/>
              <w:bottom w:val="single" w:sz="4" w:space="0" w:color="000000" w:themeColor="text1"/>
            </w:tcBorders>
            <w:noWrap/>
          </w:tcPr>
          <w:p w14:paraId="41499D63" w14:textId="77777777" w:rsidR="00265792" w:rsidRPr="00BA7805" w:rsidRDefault="00265792" w:rsidP="001501B1">
            <w:pPr>
              <w:pStyle w:val="ARfintablebodyright8pt"/>
              <w:rPr>
                <w:highlight w:val="green"/>
              </w:rPr>
            </w:pPr>
            <w:r w:rsidRPr="000B2EA5">
              <w:t>4.9</w:t>
            </w:r>
          </w:p>
        </w:tc>
        <w:tc>
          <w:tcPr>
            <w:tcW w:w="725" w:type="dxa"/>
            <w:tcBorders>
              <w:top w:val="single" w:sz="4" w:space="0" w:color="A6A6A6" w:themeColor="accent5"/>
              <w:bottom w:val="single" w:sz="4" w:space="0" w:color="000000" w:themeColor="text1"/>
            </w:tcBorders>
            <w:noWrap/>
          </w:tcPr>
          <w:p w14:paraId="4027B8F4" w14:textId="77777777" w:rsidR="00265792" w:rsidRPr="00BA7805" w:rsidRDefault="00265792" w:rsidP="001501B1">
            <w:pPr>
              <w:pStyle w:val="ARfintablebodyright8pt"/>
              <w:rPr>
                <w:highlight w:val="green"/>
              </w:rPr>
            </w:pPr>
            <w:r>
              <w:t>–</w:t>
            </w:r>
          </w:p>
        </w:tc>
        <w:tc>
          <w:tcPr>
            <w:tcW w:w="726" w:type="dxa"/>
            <w:tcBorders>
              <w:top w:val="single" w:sz="4" w:space="0" w:color="A6A6A6" w:themeColor="accent5"/>
              <w:bottom w:val="single" w:sz="4" w:space="0" w:color="000000" w:themeColor="text1"/>
            </w:tcBorders>
            <w:noWrap/>
          </w:tcPr>
          <w:p w14:paraId="4EEF4840"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4CB39066" w14:textId="77777777" w:rsidR="00265792" w:rsidRPr="00BA7805" w:rsidRDefault="00265792" w:rsidP="001501B1">
            <w:pPr>
              <w:pStyle w:val="ARfintablebodyright8pt"/>
              <w:rPr>
                <w:highlight w:val="green"/>
              </w:rPr>
            </w:pPr>
            <w:r>
              <w:t>–</w:t>
            </w:r>
          </w:p>
        </w:tc>
        <w:tc>
          <w:tcPr>
            <w:tcW w:w="725" w:type="dxa"/>
            <w:tcBorders>
              <w:top w:val="single" w:sz="4" w:space="0" w:color="A6A6A6" w:themeColor="accent5"/>
              <w:bottom w:val="single" w:sz="4" w:space="0" w:color="000000" w:themeColor="text1"/>
            </w:tcBorders>
            <w:noWrap/>
          </w:tcPr>
          <w:p w14:paraId="1FB76808" w14:textId="77777777" w:rsidR="00265792" w:rsidRPr="00BA7805" w:rsidRDefault="00265792" w:rsidP="001501B1">
            <w:pPr>
              <w:pStyle w:val="ARfintablebodyright8pt"/>
              <w:rPr>
                <w:highlight w:val="green"/>
              </w:rPr>
            </w:pPr>
            <w:r w:rsidRPr="000B2EA5">
              <w:t>0.8</w:t>
            </w:r>
          </w:p>
        </w:tc>
        <w:tc>
          <w:tcPr>
            <w:tcW w:w="723" w:type="dxa"/>
            <w:tcBorders>
              <w:top w:val="single" w:sz="4" w:space="0" w:color="A6A6A6" w:themeColor="accent5"/>
              <w:bottom w:val="single" w:sz="4" w:space="0" w:color="000000" w:themeColor="text1"/>
            </w:tcBorders>
            <w:noWrap/>
          </w:tcPr>
          <w:p w14:paraId="5A1EBF9D"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68A9D987" w14:textId="77777777" w:rsidR="00265792" w:rsidRPr="00BA7805" w:rsidRDefault="00265792" w:rsidP="001501B1">
            <w:pPr>
              <w:pStyle w:val="ARfintablebodyright8pt"/>
              <w:rPr>
                <w:highlight w:val="green"/>
              </w:rPr>
            </w:pPr>
            <w:r>
              <w:t>–</w:t>
            </w:r>
          </w:p>
        </w:tc>
        <w:tc>
          <w:tcPr>
            <w:tcW w:w="723" w:type="dxa"/>
            <w:tcBorders>
              <w:top w:val="single" w:sz="4" w:space="0" w:color="A6A6A6" w:themeColor="accent5"/>
              <w:bottom w:val="single" w:sz="4" w:space="0" w:color="000000" w:themeColor="text1"/>
            </w:tcBorders>
            <w:noWrap/>
          </w:tcPr>
          <w:p w14:paraId="570AF4AC" w14:textId="77777777" w:rsidR="00265792" w:rsidRPr="00BA7805" w:rsidRDefault="00265792" w:rsidP="001501B1">
            <w:pPr>
              <w:pStyle w:val="ARfintablebodyright8pt"/>
              <w:rPr>
                <w:highlight w:val="green"/>
              </w:rPr>
            </w:pPr>
            <w:r w:rsidRPr="000B2EA5">
              <w:t>0.5</w:t>
            </w:r>
          </w:p>
        </w:tc>
        <w:tc>
          <w:tcPr>
            <w:tcW w:w="724" w:type="dxa"/>
            <w:tcBorders>
              <w:top w:val="single" w:sz="4" w:space="0" w:color="A6A6A6" w:themeColor="accent5"/>
              <w:bottom w:val="single" w:sz="4" w:space="0" w:color="000000" w:themeColor="text1"/>
            </w:tcBorders>
            <w:noWrap/>
          </w:tcPr>
          <w:p w14:paraId="5A594226" w14:textId="77777777" w:rsidR="00265792" w:rsidRPr="00BA7805" w:rsidRDefault="00265792" w:rsidP="001501B1">
            <w:pPr>
              <w:pStyle w:val="ARfintablebodyright8pt"/>
              <w:rPr>
                <w:highlight w:val="green"/>
              </w:rPr>
            </w:pPr>
            <w:r>
              <w:t>–</w:t>
            </w:r>
          </w:p>
        </w:tc>
        <w:tc>
          <w:tcPr>
            <w:tcW w:w="723" w:type="dxa"/>
            <w:tcBorders>
              <w:top w:val="single" w:sz="4" w:space="0" w:color="A6A6A6" w:themeColor="accent5"/>
              <w:bottom w:val="single" w:sz="4" w:space="0" w:color="000000" w:themeColor="text1"/>
            </w:tcBorders>
            <w:noWrap/>
          </w:tcPr>
          <w:p w14:paraId="2D4B9993"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484F7A36" w14:textId="77777777" w:rsidR="00265792" w:rsidRPr="00BA7805" w:rsidRDefault="00265792" w:rsidP="001501B1">
            <w:pPr>
              <w:pStyle w:val="ARfintablebodyright8pt"/>
              <w:rPr>
                <w:highlight w:val="green"/>
              </w:rPr>
            </w:pPr>
            <w:r>
              <w:t>–</w:t>
            </w:r>
          </w:p>
        </w:tc>
        <w:tc>
          <w:tcPr>
            <w:tcW w:w="723" w:type="dxa"/>
            <w:tcBorders>
              <w:top w:val="single" w:sz="4" w:space="0" w:color="A6A6A6" w:themeColor="accent5"/>
              <w:bottom w:val="single" w:sz="4" w:space="0" w:color="000000" w:themeColor="text1"/>
            </w:tcBorders>
            <w:noWrap/>
          </w:tcPr>
          <w:p w14:paraId="2C105358" w14:textId="77777777" w:rsidR="00265792" w:rsidRPr="00BA7805" w:rsidRDefault="00265792" w:rsidP="001501B1">
            <w:pPr>
              <w:pStyle w:val="ARfintablebodyright8pt"/>
              <w:rPr>
                <w:highlight w:val="green"/>
              </w:rPr>
            </w:pPr>
            <w:r w:rsidRPr="000B2EA5">
              <w:t>1.3</w:t>
            </w:r>
          </w:p>
        </w:tc>
        <w:tc>
          <w:tcPr>
            <w:tcW w:w="724" w:type="dxa"/>
            <w:tcBorders>
              <w:top w:val="single" w:sz="4" w:space="0" w:color="A6A6A6" w:themeColor="accent5"/>
              <w:bottom w:val="single" w:sz="4" w:space="0" w:color="000000" w:themeColor="text1"/>
            </w:tcBorders>
            <w:noWrap/>
          </w:tcPr>
          <w:p w14:paraId="095A15C3"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6001958E" w14:textId="77777777" w:rsidR="00265792" w:rsidRPr="00BA7805" w:rsidRDefault="00265792" w:rsidP="001501B1">
            <w:pPr>
              <w:pStyle w:val="ARfintablebodyright8pt"/>
              <w:rPr>
                <w:highlight w:val="green"/>
              </w:rPr>
            </w:pPr>
            <w:r w:rsidRPr="000B2EA5">
              <w:t>66.2</w:t>
            </w:r>
          </w:p>
        </w:tc>
      </w:tr>
      <w:tr w:rsidR="00265792" w:rsidRPr="00BA7805" w14:paraId="16A148BF" w14:textId="77777777" w:rsidTr="00D60B79">
        <w:tc>
          <w:tcPr>
            <w:tcW w:w="3707" w:type="dxa"/>
            <w:tcBorders>
              <w:top w:val="single" w:sz="4" w:space="0" w:color="000000" w:themeColor="text1"/>
              <w:bottom w:val="single" w:sz="4" w:space="0" w:color="000000" w:themeColor="text1"/>
            </w:tcBorders>
          </w:tcPr>
          <w:p w14:paraId="4311CE72" w14:textId="77777777" w:rsidR="00265792" w:rsidRPr="00BA7805" w:rsidRDefault="00265792" w:rsidP="00D60B79">
            <w:pPr>
              <w:pStyle w:val="ARfintablebodybold8pt"/>
              <w:rPr>
                <w:sz w:val="15"/>
                <w:highlight w:val="green"/>
              </w:rPr>
            </w:pPr>
            <w:r w:rsidRPr="000B2EA5">
              <w:t>Total administered expenses from transactions</w:t>
            </w:r>
          </w:p>
        </w:tc>
        <w:tc>
          <w:tcPr>
            <w:tcW w:w="725" w:type="dxa"/>
            <w:tcBorders>
              <w:top w:val="single" w:sz="4" w:space="0" w:color="000000" w:themeColor="text1"/>
              <w:bottom w:val="single" w:sz="4" w:space="0" w:color="000000" w:themeColor="text1"/>
            </w:tcBorders>
            <w:noWrap/>
          </w:tcPr>
          <w:p w14:paraId="1D29BC7D" w14:textId="77777777" w:rsidR="00265792" w:rsidRPr="00BA7805" w:rsidRDefault="00265792" w:rsidP="00D60B79">
            <w:pPr>
              <w:pStyle w:val="ARfintablebodyrightbold8pt"/>
              <w:rPr>
                <w:highlight w:val="green"/>
              </w:rPr>
            </w:pPr>
            <w:r w:rsidRPr="000B2EA5">
              <w:t>135.4</w:t>
            </w:r>
          </w:p>
        </w:tc>
        <w:tc>
          <w:tcPr>
            <w:tcW w:w="726" w:type="dxa"/>
            <w:tcBorders>
              <w:top w:val="single" w:sz="4" w:space="0" w:color="000000" w:themeColor="text1"/>
              <w:bottom w:val="single" w:sz="4" w:space="0" w:color="000000" w:themeColor="text1"/>
            </w:tcBorders>
            <w:noWrap/>
          </w:tcPr>
          <w:p w14:paraId="6530CF6A" w14:textId="77777777" w:rsidR="00265792" w:rsidRPr="00BA7805" w:rsidRDefault="00265792" w:rsidP="00D60B79">
            <w:pPr>
              <w:pStyle w:val="ARfintablebodyrightbold8pt"/>
              <w:rPr>
                <w:highlight w:val="green"/>
              </w:rPr>
            </w:pPr>
            <w:r w:rsidRPr="000B2EA5">
              <w:t>4.9</w:t>
            </w:r>
          </w:p>
        </w:tc>
        <w:tc>
          <w:tcPr>
            <w:tcW w:w="725" w:type="dxa"/>
            <w:tcBorders>
              <w:top w:val="single" w:sz="4" w:space="0" w:color="000000" w:themeColor="text1"/>
              <w:bottom w:val="single" w:sz="4" w:space="0" w:color="000000" w:themeColor="text1"/>
            </w:tcBorders>
            <w:noWrap/>
          </w:tcPr>
          <w:p w14:paraId="1C9204B4" w14:textId="77777777" w:rsidR="00265792" w:rsidRPr="00BA7805" w:rsidRDefault="00265792" w:rsidP="00D60B79">
            <w:pPr>
              <w:pStyle w:val="ARfintablebodyrightbold8pt"/>
              <w:rPr>
                <w:highlight w:val="green"/>
              </w:rPr>
            </w:pPr>
            <w:r w:rsidRPr="000B2EA5">
              <w:t>1.6</w:t>
            </w:r>
          </w:p>
        </w:tc>
        <w:tc>
          <w:tcPr>
            <w:tcW w:w="726" w:type="dxa"/>
            <w:tcBorders>
              <w:top w:val="single" w:sz="4" w:space="0" w:color="000000" w:themeColor="text1"/>
              <w:bottom w:val="single" w:sz="4" w:space="0" w:color="000000" w:themeColor="text1"/>
            </w:tcBorders>
            <w:noWrap/>
          </w:tcPr>
          <w:p w14:paraId="28CB3626"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16E91198" w14:textId="77777777" w:rsidR="00265792" w:rsidRPr="00BA7805" w:rsidRDefault="00265792" w:rsidP="00D60B79">
            <w:pPr>
              <w:pStyle w:val="ARfintablebodyrightbold8pt"/>
              <w:rPr>
                <w:highlight w:val="green"/>
              </w:rPr>
            </w:pPr>
            <w:r>
              <w:t>–</w:t>
            </w:r>
          </w:p>
        </w:tc>
        <w:tc>
          <w:tcPr>
            <w:tcW w:w="725" w:type="dxa"/>
            <w:tcBorders>
              <w:top w:val="single" w:sz="4" w:space="0" w:color="000000" w:themeColor="text1"/>
              <w:bottom w:val="single" w:sz="4" w:space="0" w:color="000000" w:themeColor="text1"/>
            </w:tcBorders>
            <w:noWrap/>
          </w:tcPr>
          <w:p w14:paraId="0654BA21" w14:textId="77777777" w:rsidR="00265792" w:rsidRPr="00BA7805" w:rsidRDefault="00265792" w:rsidP="00D60B79">
            <w:pPr>
              <w:pStyle w:val="ARfintablebodyrightbold8pt"/>
              <w:rPr>
                <w:highlight w:val="green"/>
              </w:rPr>
            </w:pPr>
            <w:r w:rsidRPr="000B2EA5">
              <w:t>0.8</w:t>
            </w:r>
          </w:p>
        </w:tc>
        <w:tc>
          <w:tcPr>
            <w:tcW w:w="723" w:type="dxa"/>
            <w:tcBorders>
              <w:top w:val="single" w:sz="4" w:space="0" w:color="000000" w:themeColor="text1"/>
              <w:bottom w:val="single" w:sz="4" w:space="0" w:color="000000" w:themeColor="text1"/>
            </w:tcBorders>
            <w:noWrap/>
          </w:tcPr>
          <w:p w14:paraId="7B754985"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5D9262BC"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53E2A408" w14:textId="77777777" w:rsidR="00265792" w:rsidRPr="00BA7805" w:rsidRDefault="00265792" w:rsidP="00D60B79">
            <w:pPr>
              <w:pStyle w:val="ARfintablebodyrightbold8pt"/>
              <w:rPr>
                <w:highlight w:val="green"/>
              </w:rPr>
            </w:pPr>
            <w:r w:rsidRPr="000B2EA5">
              <w:t>0.5</w:t>
            </w:r>
          </w:p>
        </w:tc>
        <w:tc>
          <w:tcPr>
            <w:tcW w:w="724" w:type="dxa"/>
            <w:tcBorders>
              <w:top w:val="single" w:sz="4" w:space="0" w:color="000000" w:themeColor="text1"/>
              <w:bottom w:val="single" w:sz="4" w:space="0" w:color="000000" w:themeColor="text1"/>
            </w:tcBorders>
            <w:noWrap/>
          </w:tcPr>
          <w:p w14:paraId="38BBA9AA"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1268A1AC"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530EFED4"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0152DF77" w14:textId="77777777" w:rsidR="00265792" w:rsidRPr="00BA7805" w:rsidRDefault="00265792" w:rsidP="00D60B79">
            <w:pPr>
              <w:pStyle w:val="ARfintablebodyrightbold8pt"/>
              <w:rPr>
                <w:highlight w:val="green"/>
              </w:rPr>
            </w:pPr>
            <w:r w:rsidRPr="000B2EA5">
              <w:t>1.3</w:t>
            </w:r>
          </w:p>
        </w:tc>
        <w:tc>
          <w:tcPr>
            <w:tcW w:w="724" w:type="dxa"/>
            <w:tcBorders>
              <w:top w:val="single" w:sz="4" w:space="0" w:color="000000" w:themeColor="text1"/>
              <w:bottom w:val="single" w:sz="4" w:space="0" w:color="000000" w:themeColor="text1"/>
            </w:tcBorders>
            <w:noWrap/>
          </w:tcPr>
          <w:p w14:paraId="6353808A" w14:textId="77777777" w:rsidR="00265792" w:rsidRPr="00BA7805" w:rsidRDefault="00265792" w:rsidP="00D60B79">
            <w:pPr>
              <w:pStyle w:val="ARfintablebodyrightbold8pt"/>
              <w:rPr>
                <w:highlight w:val="green"/>
              </w:rPr>
            </w:pPr>
            <w:r w:rsidRPr="000B2EA5">
              <w:t>2,899.0</w:t>
            </w:r>
          </w:p>
        </w:tc>
        <w:tc>
          <w:tcPr>
            <w:tcW w:w="724" w:type="dxa"/>
            <w:tcBorders>
              <w:top w:val="single" w:sz="4" w:space="0" w:color="000000" w:themeColor="text1"/>
              <w:bottom w:val="single" w:sz="4" w:space="0" w:color="000000" w:themeColor="text1"/>
            </w:tcBorders>
            <w:noWrap/>
          </w:tcPr>
          <w:p w14:paraId="157723B3" w14:textId="77777777" w:rsidR="00265792" w:rsidRPr="00BA7805" w:rsidRDefault="00265792" w:rsidP="00D60B79">
            <w:pPr>
              <w:pStyle w:val="ARfintablebodyrightbold8pt"/>
              <w:rPr>
                <w:highlight w:val="green"/>
              </w:rPr>
            </w:pPr>
            <w:r w:rsidRPr="000B2EA5">
              <w:t>3,043.4</w:t>
            </w:r>
          </w:p>
        </w:tc>
      </w:tr>
      <w:tr w:rsidR="00265792" w:rsidRPr="00BA7805" w14:paraId="7491A03F" w14:textId="77777777" w:rsidTr="00D60B79">
        <w:tc>
          <w:tcPr>
            <w:tcW w:w="3707" w:type="dxa"/>
            <w:tcBorders>
              <w:top w:val="single" w:sz="4" w:space="0" w:color="000000" w:themeColor="text1"/>
              <w:bottom w:val="single" w:sz="4" w:space="0" w:color="000000" w:themeColor="text1"/>
            </w:tcBorders>
          </w:tcPr>
          <w:p w14:paraId="44707C23" w14:textId="77777777" w:rsidR="00265792" w:rsidRPr="00BA7805" w:rsidRDefault="00265792" w:rsidP="00D60B79">
            <w:pPr>
              <w:pStyle w:val="ARfintablebodybold8pt"/>
              <w:rPr>
                <w:sz w:val="15"/>
                <w:highlight w:val="green"/>
              </w:rPr>
            </w:pPr>
            <w:r w:rsidRPr="000B2EA5">
              <w:t>Total administered net result from transactions</w:t>
            </w:r>
          </w:p>
        </w:tc>
        <w:tc>
          <w:tcPr>
            <w:tcW w:w="725" w:type="dxa"/>
            <w:tcBorders>
              <w:top w:val="single" w:sz="4" w:space="0" w:color="000000" w:themeColor="text1"/>
              <w:bottom w:val="single" w:sz="4" w:space="0" w:color="000000" w:themeColor="text1"/>
            </w:tcBorders>
            <w:noWrap/>
          </w:tcPr>
          <w:p w14:paraId="2A571FC3" w14:textId="77777777" w:rsidR="00265792" w:rsidRPr="00BA7805" w:rsidRDefault="00265792" w:rsidP="00D60B79">
            <w:pPr>
              <w:pStyle w:val="ARfintablebodyrightbold8pt"/>
              <w:rPr>
                <w:highlight w:val="green"/>
              </w:rPr>
            </w:pPr>
            <w:r w:rsidRPr="000B2EA5">
              <w:t>(0.6)</w:t>
            </w:r>
          </w:p>
        </w:tc>
        <w:tc>
          <w:tcPr>
            <w:tcW w:w="726" w:type="dxa"/>
            <w:tcBorders>
              <w:top w:val="single" w:sz="4" w:space="0" w:color="000000" w:themeColor="text1"/>
              <w:bottom w:val="single" w:sz="4" w:space="0" w:color="000000" w:themeColor="text1"/>
            </w:tcBorders>
            <w:noWrap/>
          </w:tcPr>
          <w:p w14:paraId="6B6A3588" w14:textId="77777777" w:rsidR="00265792" w:rsidRPr="00BA7805" w:rsidRDefault="00265792" w:rsidP="00D60B79">
            <w:pPr>
              <w:pStyle w:val="ARfintablebodyrightbold8pt"/>
              <w:rPr>
                <w:highlight w:val="green"/>
              </w:rPr>
            </w:pPr>
            <w:r w:rsidRPr="000B2EA5">
              <w:t>(0.5)</w:t>
            </w:r>
          </w:p>
        </w:tc>
        <w:tc>
          <w:tcPr>
            <w:tcW w:w="725" w:type="dxa"/>
            <w:tcBorders>
              <w:top w:val="single" w:sz="4" w:space="0" w:color="000000" w:themeColor="text1"/>
              <w:bottom w:val="single" w:sz="4" w:space="0" w:color="000000" w:themeColor="text1"/>
            </w:tcBorders>
            <w:noWrap/>
          </w:tcPr>
          <w:p w14:paraId="64949D5D" w14:textId="77777777" w:rsidR="00265792" w:rsidRPr="00BA7805" w:rsidRDefault="00265792" w:rsidP="00D60B79">
            <w:pPr>
              <w:pStyle w:val="ARfintablebodyrightbold8pt"/>
              <w:rPr>
                <w:highlight w:val="green"/>
              </w:rPr>
            </w:pPr>
            <w:r w:rsidRPr="000B2EA5">
              <w:t>(0.1)</w:t>
            </w:r>
          </w:p>
        </w:tc>
        <w:tc>
          <w:tcPr>
            <w:tcW w:w="726" w:type="dxa"/>
            <w:tcBorders>
              <w:top w:val="single" w:sz="4" w:space="0" w:color="000000" w:themeColor="text1"/>
              <w:bottom w:val="single" w:sz="4" w:space="0" w:color="000000" w:themeColor="text1"/>
            </w:tcBorders>
            <w:noWrap/>
          </w:tcPr>
          <w:p w14:paraId="3465D579"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41BB50E2" w14:textId="77777777" w:rsidR="00265792" w:rsidRPr="00BA7805" w:rsidRDefault="00265792" w:rsidP="00D60B79">
            <w:pPr>
              <w:pStyle w:val="ARfintablebodyrightbold8pt"/>
              <w:rPr>
                <w:highlight w:val="green"/>
              </w:rPr>
            </w:pPr>
            <w:r>
              <w:t>–</w:t>
            </w:r>
          </w:p>
        </w:tc>
        <w:tc>
          <w:tcPr>
            <w:tcW w:w="725" w:type="dxa"/>
            <w:tcBorders>
              <w:top w:val="single" w:sz="4" w:space="0" w:color="000000" w:themeColor="text1"/>
              <w:bottom w:val="single" w:sz="4" w:space="0" w:color="000000" w:themeColor="text1"/>
            </w:tcBorders>
            <w:noWrap/>
          </w:tcPr>
          <w:p w14:paraId="4A1AC458"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7FEB406D"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7F139B57"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2E3B61A7"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371DFFB0"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14E6C960"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74C81175"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3A52AE70"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10FADF20"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034E7957" w14:textId="77777777" w:rsidR="00265792" w:rsidRPr="00BA7805" w:rsidRDefault="00265792" w:rsidP="00D60B79">
            <w:pPr>
              <w:pStyle w:val="ARfintablebodyrightbold8pt"/>
              <w:rPr>
                <w:highlight w:val="green"/>
              </w:rPr>
            </w:pPr>
            <w:r w:rsidRPr="000B2EA5">
              <w:t>(1.1)</w:t>
            </w:r>
          </w:p>
        </w:tc>
      </w:tr>
      <w:tr w:rsidR="00265792" w:rsidRPr="00BA7805" w14:paraId="2DE78577" w14:textId="77777777" w:rsidTr="00D60B79">
        <w:tc>
          <w:tcPr>
            <w:tcW w:w="14570" w:type="dxa"/>
            <w:gridSpan w:val="16"/>
            <w:tcBorders>
              <w:top w:val="single" w:sz="4" w:space="0" w:color="000000" w:themeColor="text1"/>
              <w:bottom w:val="single" w:sz="4" w:space="0" w:color="A6A6A6" w:themeColor="accent5"/>
            </w:tcBorders>
          </w:tcPr>
          <w:p w14:paraId="11BD8016" w14:textId="77777777" w:rsidR="00265792" w:rsidRPr="00BA7805" w:rsidRDefault="00265792" w:rsidP="00D60B79">
            <w:pPr>
              <w:pStyle w:val="ARfintablebodybold8pt"/>
              <w:rPr>
                <w:highlight w:val="green"/>
              </w:rPr>
            </w:pPr>
            <w:r w:rsidRPr="00AE386F">
              <w:t>Administered other economic flows included in net result</w:t>
            </w:r>
          </w:p>
        </w:tc>
      </w:tr>
      <w:tr w:rsidR="00265792" w:rsidRPr="00BA7805" w14:paraId="5A18051E" w14:textId="77777777" w:rsidTr="00D60B79">
        <w:tc>
          <w:tcPr>
            <w:tcW w:w="3707" w:type="dxa"/>
            <w:tcBorders>
              <w:top w:val="single" w:sz="4" w:space="0" w:color="A6A6A6" w:themeColor="accent5"/>
              <w:bottom w:val="single" w:sz="4" w:space="0" w:color="000000" w:themeColor="text1"/>
            </w:tcBorders>
          </w:tcPr>
          <w:p w14:paraId="25F7E5EC" w14:textId="77777777" w:rsidR="00265792" w:rsidRPr="00BA7805" w:rsidRDefault="00265792" w:rsidP="001501B1">
            <w:pPr>
              <w:pStyle w:val="ARfintablebody8pt"/>
              <w:rPr>
                <w:sz w:val="15"/>
                <w:highlight w:val="green"/>
              </w:rPr>
            </w:pPr>
            <w:r w:rsidRPr="000B2EA5">
              <w:t>Net gain/(loss) on non-financial assets</w:t>
            </w:r>
          </w:p>
        </w:tc>
        <w:tc>
          <w:tcPr>
            <w:tcW w:w="725" w:type="dxa"/>
            <w:tcBorders>
              <w:top w:val="single" w:sz="4" w:space="0" w:color="A6A6A6" w:themeColor="accent5"/>
              <w:bottom w:val="single" w:sz="4" w:space="0" w:color="000000" w:themeColor="text1"/>
            </w:tcBorders>
            <w:noWrap/>
          </w:tcPr>
          <w:p w14:paraId="323C5159" w14:textId="77777777" w:rsidR="00265792" w:rsidRPr="00BA7805" w:rsidRDefault="00265792" w:rsidP="001501B1">
            <w:pPr>
              <w:pStyle w:val="ARfintablebodyright8pt"/>
              <w:rPr>
                <w:highlight w:val="green"/>
              </w:rPr>
            </w:pPr>
            <w:r>
              <w:t>–</w:t>
            </w:r>
          </w:p>
        </w:tc>
        <w:tc>
          <w:tcPr>
            <w:tcW w:w="726" w:type="dxa"/>
            <w:tcBorders>
              <w:top w:val="single" w:sz="4" w:space="0" w:color="A6A6A6" w:themeColor="accent5"/>
              <w:bottom w:val="single" w:sz="4" w:space="0" w:color="000000" w:themeColor="text1"/>
            </w:tcBorders>
            <w:noWrap/>
          </w:tcPr>
          <w:p w14:paraId="4F09892A" w14:textId="77777777" w:rsidR="00265792" w:rsidRPr="00BA7805" w:rsidRDefault="00265792" w:rsidP="001501B1">
            <w:pPr>
              <w:pStyle w:val="ARfintablebodyright8pt"/>
              <w:rPr>
                <w:highlight w:val="green"/>
              </w:rPr>
            </w:pPr>
            <w:r w:rsidRPr="000B2EA5">
              <w:t>0.8</w:t>
            </w:r>
          </w:p>
        </w:tc>
        <w:tc>
          <w:tcPr>
            <w:tcW w:w="725" w:type="dxa"/>
            <w:tcBorders>
              <w:top w:val="single" w:sz="4" w:space="0" w:color="A6A6A6" w:themeColor="accent5"/>
              <w:bottom w:val="single" w:sz="4" w:space="0" w:color="000000" w:themeColor="text1"/>
            </w:tcBorders>
            <w:noWrap/>
          </w:tcPr>
          <w:p w14:paraId="3BDFF530" w14:textId="77777777" w:rsidR="00265792" w:rsidRPr="00BA7805" w:rsidRDefault="00265792" w:rsidP="001501B1">
            <w:pPr>
              <w:pStyle w:val="ARfintablebodyright8pt"/>
              <w:rPr>
                <w:highlight w:val="green"/>
              </w:rPr>
            </w:pPr>
            <w:r>
              <w:t>–</w:t>
            </w:r>
          </w:p>
        </w:tc>
        <w:tc>
          <w:tcPr>
            <w:tcW w:w="726" w:type="dxa"/>
            <w:tcBorders>
              <w:top w:val="single" w:sz="4" w:space="0" w:color="A6A6A6" w:themeColor="accent5"/>
              <w:bottom w:val="single" w:sz="4" w:space="0" w:color="000000" w:themeColor="text1"/>
            </w:tcBorders>
            <w:noWrap/>
          </w:tcPr>
          <w:p w14:paraId="19CDFF9E"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0ED40753" w14:textId="77777777" w:rsidR="00265792" w:rsidRPr="00BA7805" w:rsidRDefault="00265792" w:rsidP="001501B1">
            <w:pPr>
              <w:pStyle w:val="ARfintablebodyright8pt"/>
              <w:rPr>
                <w:highlight w:val="green"/>
              </w:rPr>
            </w:pPr>
            <w:r>
              <w:t>–</w:t>
            </w:r>
          </w:p>
        </w:tc>
        <w:tc>
          <w:tcPr>
            <w:tcW w:w="725" w:type="dxa"/>
            <w:tcBorders>
              <w:top w:val="single" w:sz="4" w:space="0" w:color="A6A6A6" w:themeColor="accent5"/>
              <w:bottom w:val="single" w:sz="4" w:space="0" w:color="000000" w:themeColor="text1"/>
            </w:tcBorders>
            <w:noWrap/>
          </w:tcPr>
          <w:p w14:paraId="7729B418" w14:textId="77777777" w:rsidR="00265792" w:rsidRPr="00BA7805" w:rsidRDefault="00265792" w:rsidP="001501B1">
            <w:pPr>
              <w:pStyle w:val="ARfintablebodyright8pt"/>
              <w:rPr>
                <w:highlight w:val="green"/>
              </w:rPr>
            </w:pPr>
            <w:r>
              <w:t>–</w:t>
            </w:r>
          </w:p>
        </w:tc>
        <w:tc>
          <w:tcPr>
            <w:tcW w:w="723" w:type="dxa"/>
            <w:tcBorders>
              <w:top w:val="single" w:sz="4" w:space="0" w:color="A6A6A6" w:themeColor="accent5"/>
              <w:bottom w:val="single" w:sz="4" w:space="0" w:color="000000" w:themeColor="text1"/>
            </w:tcBorders>
            <w:noWrap/>
          </w:tcPr>
          <w:p w14:paraId="15EEFEB9"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0CAEB861" w14:textId="77777777" w:rsidR="00265792" w:rsidRPr="00BA7805" w:rsidRDefault="00265792" w:rsidP="001501B1">
            <w:pPr>
              <w:pStyle w:val="ARfintablebodyright8pt"/>
              <w:rPr>
                <w:highlight w:val="green"/>
              </w:rPr>
            </w:pPr>
            <w:r>
              <w:t>–</w:t>
            </w:r>
          </w:p>
        </w:tc>
        <w:tc>
          <w:tcPr>
            <w:tcW w:w="723" w:type="dxa"/>
            <w:tcBorders>
              <w:top w:val="single" w:sz="4" w:space="0" w:color="A6A6A6" w:themeColor="accent5"/>
              <w:bottom w:val="single" w:sz="4" w:space="0" w:color="000000" w:themeColor="text1"/>
            </w:tcBorders>
            <w:noWrap/>
          </w:tcPr>
          <w:p w14:paraId="25E42B6B"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3D627AF8" w14:textId="77777777" w:rsidR="00265792" w:rsidRPr="00BA7805" w:rsidRDefault="00265792" w:rsidP="001501B1">
            <w:pPr>
              <w:pStyle w:val="ARfintablebodyright8pt"/>
              <w:rPr>
                <w:highlight w:val="green"/>
              </w:rPr>
            </w:pPr>
            <w:r>
              <w:t>–</w:t>
            </w:r>
          </w:p>
        </w:tc>
        <w:tc>
          <w:tcPr>
            <w:tcW w:w="723" w:type="dxa"/>
            <w:tcBorders>
              <w:top w:val="single" w:sz="4" w:space="0" w:color="A6A6A6" w:themeColor="accent5"/>
              <w:bottom w:val="single" w:sz="4" w:space="0" w:color="000000" w:themeColor="text1"/>
            </w:tcBorders>
            <w:noWrap/>
          </w:tcPr>
          <w:p w14:paraId="0614406F"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51F8889D" w14:textId="77777777" w:rsidR="00265792" w:rsidRPr="00BA7805" w:rsidRDefault="00265792" w:rsidP="001501B1">
            <w:pPr>
              <w:pStyle w:val="ARfintablebodyright8pt"/>
              <w:rPr>
                <w:highlight w:val="green"/>
              </w:rPr>
            </w:pPr>
            <w:r>
              <w:t>–</w:t>
            </w:r>
          </w:p>
        </w:tc>
        <w:tc>
          <w:tcPr>
            <w:tcW w:w="723" w:type="dxa"/>
            <w:tcBorders>
              <w:top w:val="single" w:sz="4" w:space="0" w:color="A6A6A6" w:themeColor="accent5"/>
              <w:bottom w:val="single" w:sz="4" w:space="0" w:color="000000" w:themeColor="text1"/>
            </w:tcBorders>
            <w:noWrap/>
          </w:tcPr>
          <w:p w14:paraId="469DC1E8"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2D24B713" w14:textId="77777777" w:rsidR="00265792" w:rsidRPr="00BA7805" w:rsidRDefault="00265792" w:rsidP="001501B1">
            <w:pPr>
              <w:pStyle w:val="ARfintablebodyright8pt"/>
              <w:rPr>
                <w:highlight w:val="green"/>
              </w:rPr>
            </w:pPr>
            <w:r>
              <w:t>–</w:t>
            </w:r>
          </w:p>
        </w:tc>
        <w:tc>
          <w:tcPr>
            <w:tcW w:w="724" w:type="dxa"/>
            <w:tcBorders>
              <w:top w:val="single" w:sz="4" w:space="0" w:color="A6A6A6" w:themeColor="accent5"/>
              <w:bottom w:val="single" w:sz="4" w:space="0" w:color="000000" w:themeColor="text1"/>
            </w:tcBorders>
            <w:noWrap/>
          </w:tcPr>
          <w:p w14:paraId="74902CEA" w14:textId="77777777" w:rsidR="00265792" w:rsidRPr="00BA7805" w:rsidRDefault="00265792" w:rsidP="001501B1">
            <w:pPr>
              <w:pStyle w:val="ARfintablebodyright8pt"/>
              <w:rPr>
                <w:highlight w:val="green"/>
              </w:rPr>
            </w:pPr>
            <w:r w:rsidRPr="000B2EA5">
              <w:t>0.8</w:t>
            </w:r>
          </w:p>
        </w:tc>
      </w:tr>
      <w:tr w:rsidR="00265792" w:rsidRPr="00BA7805" w14:paraId="36DA390A" w14:textId="77777777" w:rsidTr="00D60B79">
        <w:tc>
          <w:tcPr>
            <w:tcW w:w="3707" w:type="dxa"/>
            <w:tcBorders>
              <w:top w:val="single" w:sz="4" w:space="0" w:color="000000" w:themeColor="text1"/>
              <w:bottom w:val="single" w:sz="4" w:space="0" w:color="000000" w:themeColor="text1"/>
            </w:tcBorders>
          </w:tcPr>
          <w:p w14:paraId="66893054" w14:textId="77777777" w:rsidR="00265792" w:rsidRPr="005A731F" w:rsidRDefault="00265792" w:rsidP="00D60B79">
            <w:pPr>
              <w:pStyle w:val="ARfintablebodybold8pt"/>
              <w:rPr>
                <w:spacing w:val="-6"/>
                <w:sz w:val="15"/>
                <w:highlight w:val="green"/>
              </w:rPr>
            </w:pPr>
            <w:r w:rsidRPr="000B2EA5">
              <w:t>Total administered other economic flows</w:t>
            </w:r>
          </w:p>
        </w:tc>
        <w:tc>
          <w:tcPr>
            <w:tcW w:w="725" w:type="dxa"/>
            <w:tcBorders>
              <w:top w:val="single" w:sz="4" w:space="0" w:color="000000" w:themeColor="text1"/>
              <w:bottom w:val="single" w:sz="4" w:space="0" w:color="000000" w:themeColor="text1"/>
            </w:tcBorders>
            <w:noWrap/>
          </w:tcPr>
          <w:p w14:paraId="380FFDF4" w14:textId="77777777" w:rsidR="00265792" w:rsidRPr="00BA7805" w:rsidRDefault="00265792" w:rsidP="00D60B79">
            <w:pPr>
              <w:pStyle w:val="ARfintablebodyrightbold8pt"/>
              <w:rPr>
                <w:highlight w:val="green"/>
              </w:rPr>
            </w:pPr>
            <w:r>
              <w:t>–</w:t>
            </w:r>
          </w:p>
        </w:tc>
        <w:tc>
          <w:tcPr>
            <w:tcW w:w="726" w:type="dxa"/>
            <w:tcBorders>
              <w:top w:val="single" w:sz="4" w:space="0" w:color="000000" w:themeColor="text1"/>
              <w:bottom w:val="single" w:sz="4" w:space="0" w:color="000000" w:themeColor="text1"/>
            </w:tcBorders>
            <w:noWrap/>
          </w:tcPr>
          <w:p w14:paraId="588E41A5" w14:textId="77777777" w:rsidR="00265792" w:rsidRPr="00BA7805" w:rsidRDefault="00265792" w:rsidP="00D60B79">
            <w:pPr>
              <w:pStyle w:val="ARfintablebodyrightbold8pt"/>
              <w:rPr>
                <w:highlight w:val="green"/>
              </w:rPr>
            </w:pPr>
            <w:r w:rsidRPr="000B2EA5">
              <w:t>0.8</w:t>
            </w:r>
          </w:p>
        </w:tc>
        <w:tc>
          <w:tcPr>
            <w:tcW w:w="725" w:type="dxa"/>
            <w:tcBorders>
              <w:top w:val="single" w:sz="4" w:space="0" w:color="000000" w:themeColor="text1"/>
              <w:bottom w:val="single" w:sz="4" w:space="0" w:color="000000" w:themeColor="text1"/>
            </w:tcBorders>
            <w:noWrap/>
          </w:tcPr>
          <w:p w14:paraId="64794622" w14:textId="77777777" w:rsidR="00265792" w:rsidRPr="00BA7805" w:rsidRDefault="00265792" w:rsidP="00D60B79">
            <w:pPr>
              <w:pStyle w:val="ARfintablebodyrightbold8pt"/>
              <w:rPr>
                <w:highlight w:val="green"/>
              </w:rPr>
            </w:pPr>
            <w:r>
              <w:t>–</w:t>
            </w:r>
          </w:p>
        </w:tc>
        <w:tc>
          <w:tcPr>
            <w:tcW w:w="726" w:type="dxa"/>
            <w:tcBorders>
              <w:top w:val="single" w:sz="4" w:space="0" w:color="000000" w:themeColor="text1"/>
              <w:bottom w:val="single" w:sz="4" w:space="0" w:color="000000" w:themeColor="text1"/>
            </w:tcBorders>
            <w:noWrap/>
          </w:tcPr>
          <w:p w14:paraId="1B847579"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439B64BF" w14:textId="77777777" w:rsidR="00265792" w:rsidRPr="00BA7805" w:rsidRDefault="00265792" w:rsidP="00D60B79">
            <w:pPr>
              <w:pStyle w:val="ARfintablebodyrightbold8pt"/>
              <w:rPr>
                <w:highlight w:val="green"/>
              </w:rPr>
            </w:pPr>
            <w:r>
              <w:t>–</w:t>
            </w:r>
          </w:p>
        </w:tc>
        <w:tc>
          <w:tcPr>
            <w:tcW w:w="725" w:type="dxa"/>
            <w:tcBorders>
              <w:top w:val="single" w:sz="4" w:space="0" w:color="000000" w:themeColor="text1"/>
              <w:bottom w:val="single" w:sz="4" w:space="0" w:color="000000" w:themeColor="text1"/>
            </w:tcBorders>
            <w:noWrap/>
          </w:tcPr>
          <w:p w14:paraId="3B74B94C"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07F55E26"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6B297A7F"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314D37CC"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7A62690B"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2C64C654"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31195DC2" w14:textId="77777777" w:rsidR="00265792" w:rsidRPr="00BA7805" w:rsidRDefault="00265792" w:rsidP="00D60B79">
            <w:pPr>
              <w:pStyle w:val="ARfintablebodyrightbold8pt"/>
              <w:rPr>
                <w:highlight w:val="green"/>
              </w:rPr>
            </w:pPr>
            <w:r>
              <w:t>–</w:t>
            </w:r>
          </w:p>
        </w:tc>
        <w:tc>
          <w:tcPr>
            <w:tcW w:w="723" w:type="dxa"/>
            <w:tcBorders>
              <w:top w:val="single" w:sz="4" w:space="0" w:color="000000" w:themeColor="text1"/>
              <w:bottom w:val="single" w:sz="4" w:space="0" w:color="000000" w:themeColor="text1"/>
            </w:tcBorders>
            <w:noWrap/>
          </w:tcPr>
          <w:p w14:paraId="352E9BC4"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581A8232" w14:textId="77777777" w:rsidR="00265792" w:rsidRPr="00BA7805" w:rsidRDefault="00265792" w:rsidP="00D60B79">
            <w:pPr>
              <w:pStyle w:val="ARfintablebodyrightbold8pt"/>
              <w:rPr>
                <w:highlight w:val="green"/>
              </w:rPr>
            </w:pPr>
            <w:r>
              <w:t>–</w:t>
            </w:r>
          </w:p>
        </w:tc>
        <w:tc>
          <w:tcPr>
            <w:tcW w:w="724" w:type="dxa"/>
            <w:tcBorders>
              <w:top w:val="single" w:sz="4" w:space="0" w:color="000000" w:themeColor="text1"/>
              <w:bottom w:val="single" w:sz="4" w:space="0" w:color="000000" w:themeColor="text1"/>
            </w:tcBorders>
            <w:noWrap/>
          </w:tcPr>
          <w:p w14:paraId="0C01A9C2" w14:textId="77777777" w:rsidR="00265792" w:rsidRPr="00BA7805" w:rsidRDefault="00265792" w:rsidP="00D60B79">
            <w:pPr>
              <w:pStyle w:val="ARfintablebodyrightbold8pt"/>
              <w:rPr>
                <w:highlight w:val="green"/>
              </w:rPr>
            </w:pPr>
            <w:r w:rsidRPr="000B2EA5">
              <w:t>0.8</w:t>
            </w:r>
          </w:p>
        </w:tc>
      </w:tr>
      <w:tr w:rsidR="00265792" w:rsidRPr="00BA7805" w14:paraId="15266B92" w14:textId="77777777" w:rsidTr="001501B1">
        <w:trPr>
          <w:cnfStyle w:val="010000000000" w:firstRow="0" w:lastRow="1" w:firstColumn="0" w:lastColumn="0" w:oddVBand="0" w:evenVBand="0" w:oddHBand="0" w:evenHBand="0" w:firstRowFirstColumn="0" w:firstRowLastColumn="0" w:lastRowFirstColumn="0" w:lastRowLastColumn="0"/>
        </w:trPr>
        <w:tc>
          <w:tcPr>
            <w:tcW w:w="3707" w:type="dxa"/>
          </w:tcPr>
          <w:p w14:paraId="6CCB0BFF" w14:textId="77777777" w:rsidR="00265792" w:rsidRPr="00BA7805" w:rsidRDefault="00265792" w:rsidP="00D60B79">
            <w:pPr>
              <w:pStyle w:val="ARfintablebodybold8pt"/>
              <w:rPr>
                <w:sz w:val="15"/>
                <w:highlight w:val="green"/>
              </w:rPr>
            </w:pPr>
            <w:r w:rsidRPr="000B2EA5">
              <w:t>Administered net result</w:t>
            </w:r>
          </w:p>
        </w:tc>
        <w:tc>
          <w:tcPr>
            <w:tcW w:w="725" w:type="dxa"/>
            <w:noWrap/>
          </w:tcPr>
          <w:p w14:paraId="44982DE6" w14:textId="77777777" w:rsidR="00265792" w:rsidRPr="00BA7805" w:rsidRDefault="00265792" w:rsidP="00D60B79">
            <w:pPr>
              <w:pStyle w:val="ARfintablebodyrightbold8pt"/>
              <w:rPr>
                <w:highlight w:val="green"/>
              </w:rPr>
            </w:pPr>
            <w:r w:rsidRPr="000B2EA5">
              <w:t>(0.6)</w:t>
            </w:r>
          </w:p>
        </w:tc>
        <w:tc>
          <w:tcPr>
            <w:tcW w:w="726" w:type="dxa"/>
            <w:noWrap/>
          </w:tcPr>
          <w:p w14:paraId="1D259890" w14:textId="77777777" w:rsidR="00265792" w:rsidRPr="00BA7805" w:rsidRDefault="00265792" w:rsidP="00D60B79">
            <w:pPr>
              <w:pStyle w:val="ARfintablebodyrightbold8pt"/>
              <w:rPr>
                <w:highlight w:val="green"/>
              </w:rPr>
            </w:pPr>
            <w:r w:rsidRPr="000B2EA5">
              <w:t>0.3</w:t>
            </w:r>
          </w:p>
        </w:tc>
        <w:tc>
          <w:tcPr>
            <w:tcW w:w="725" w:type="dxa"/>
            <w:noWrap/>
          </w:tcPr>
          <w:p w14:paraId="465A9525" w14:textId="77777777" w:rsidR="00265792" w:rsidRPr="00BA7805" w:rsidRDefault="00265792" w:rsidP="00D60B79">
            <w:pPr>
              <w:pStyle w:val="ARfintablebodyrightbold8pt"/>
              <w:rPr>
                <w:highlight w:val="green"/>
              </w:rPr>
            </w:pPr>
            <w:r w:rsidRPr="000B2EA5">
              <w:t>(0.1)</w:t>
            </w:r>
          </w:p>
        </w:tc>
        <w:tc>
          <w:tcPr>
            <w:tcW w:w="726" w:type="dxa"/>
            <w:noWrap/>
          </w:tcPr>
          <w:p w14:paraId="1C187533" w14:textId="77777777" w:rsidR="00265792" w:rsidRPr="00DF4ECC" w:rsidRDefault="00265792">
            <w:pPr>
              <w:pStyle w:val="ARfintablebodyrightbold8pt"/>
              <w:rPr>
                <w:highlight w:val="green"/>
              </w:rPr>
            </w:pPr>
            <w:r>
              <w:t>–</w:t>
            </w:r>
          </w:p>
        </w:tc>
        <w:tc>
          <w:tcPr>
            <w:tcW w:w="724" w:type="dxa"/>
            <w:noWrap/>
          </w:tcPr>
          <w:p w14:paraId="7154E750" w14:textId="77777777" w:rsidR="00265792" w:rsidRPr="00BA7805" w:rsidRDefault="00265792" w:rsidP="00D60B79">
            <w:pPr>
              <w:pStyle w:val="ARfintablebodyrightbold8pt"/>
              <w:rPr>
                <w:highlight w:val="green"/>
              </w:rPr>
            </w:pPr>
            <w:r>
              <w:t>–</w:t>
            </w:r>
          </w:p>
        </w:tc>
        <w:tc>
          <w:tcPr>
            <w:tcW w:w="725" w:type="dxa"/>
            <w:noWrap/>
          </w:tcPr>
          <w:p w14:paraId="613AD455" w14:textId="77777777" w:rsidR="00265792" w:rsidRPr="00BA7805" w:rsidRDefault="00265792" w:rsidP="00D60B79">
            <w:pPr>
              <w:pStyle w:val="ARfintablebodyrightbold8pt"/>
              <w:rPr>
                <w:highlight w:val="green"/>
              </w:rPr>
            </w:pPr>
            <w:r>
              <w:t>–</w:t>
            </w:r>
          </w:p>
        </w:tc>
        <w:tc>
          <w:tcPr>
            <w:tcW w:w="723" w:type="dxa"/>
            <w:noWrap/>
          </w:tcPr>
          <w:p w14:paraId="28F0ACDA" w14:textId="77777777" w:rsidR="00265792" w:rsidRPr="00BA7805" w:rsidRDefault="00265792" w:rsidP="00D60B79">
            <w:pPr>
              <w:pStyle w:val="ARfintablebodyrightbold8pt"/>
              <w:rPr>
                <w:highlight w:val="green"/>
              </w:rPr>
            </w:pPr>
            <w:r>
              <w:t>–</w:t>
            </w:r>
          </w:p>
        </w:tc>
        <w:tc>
          <w:tcPr>
            <w:tcW w:w="724" w:type="dxa"/>
            <w:noWrap/>
          </w:tcPr>
          <w:p w14:paraId="3423F738" w14:textId="77777777" w:rsidR="00265792" w:rsidRPr="00BA7805" w:rsidRDefault="00265792" w:rsidP="00D60B79">
            <w:pPr>
              <w:pStyle w:val="ARfintablebodyrightbold8pt"/>
              <w:rPr>
                <w:highlight w:val="green"/>
              </w:rPr>
            </w:pPr>
            <w:r>
              <w:t>–</w:t>
            </w:r>
          </w:p>
        </w:tc>
        <w:tc>
          <w:tcPr>
            <w:tcW w:w="723" w:type="dxa"/>
            <w:noWrap/>
          </w:tcPr>
          <w:p w14:paraId="62CFF8E2" w14:textId="77777777" w:rsidR="00265792" w:rsidRPr="00BA7805" w:rsidRDefault="00265792" w:rsidP="00D60B79">
            <w:pPr>
              <w:pStyle w:val="ARfintablebodyrightbold8pt"/>
              <w:rPr>
                <w:highlight w:val="green"/>
              </w:rPr>
            </w:pPr>
            <w:r>
              <w:t>–</w:t>
            </w:r>
          </w:p>
        </w:tc>
        <w:tc>
          <w:tcPr>
            <w:tcW w:w="724" w:type="dxa"/>
            <w:noWrap/>
          </w:tcPr>
          <w:p w14:paraId="5F8BD243" w14:textId="77777777" w:rsidR="00265792" w:rsidRPr="00BA7805" w:rsidRDefault="00265792" w:rsidP="00D60B79">
            <w:pPr>
              <w:pStyle w:val="ARfintablebodyrightbold8pt"/>
              <w:rPr>
                <w:highlight w:val="green"/>
              </w:rPr>
            </w:pPr>
            <w:r>
              <w:t>–</w:t>
            </w:r>
          </w:p>
        </w:tc>
        <w:tc>
          <w:tcPr>
            <w:tcW w:w="723" w:type="dxa"/>
            <w:noWrap/>
          </w:tcPr>
          <w:p w14:paraId="120E3E37" w14:textId="77777777" w:rsidR="00265792" w:rsidRPr="00BA7805" w:rsidRDefault="00265792" w:rsidP="00D60B79">
            <w:pPr>
              <w:pStyle w:val="ARfintablebodyrightbold8pt"/>
              <w:rPr>
                <w:highlight w:val="green"/>
              </w:rPr>
            </w:pPr>
            <w:r>
              <w:t>–</w:t>
            </w:r>
          </w:p>
        </w:tc>
        <w:tc>
          <w:tcPr>
            <w:tcW w:w="724" w:type="dxa"/>
            <w:noWrap/>
          </w:tcPr>
          <w:p w14:paraId="477590B5" w14:textId="77777777" w:rsidR="00265792" w:rsidRPr="00BA7805" w:rsidRDefault="00265792" w:rsidP="00D60B79">
            <w:pPr>
              <w:pStyle w:val="ARfintablebodyrightbold8pt"/>
              <w:rPr>
                <w:highlight w:val="green"/>
              </w:rPr>
            </w:pPr>
            <w:r>
              <w:t>–</w:t>
            </w:r>
          </w:p>
        </w:tc>
        <w:tc>
          <w:tcPr>
            <w:tcW w:w="723" w:type="dxa"/>
            <w:noWrap/>
          </w:tcPr>
          <w:p w14:paraId="043D4999" w14:textId="77777777" w:rsidR="00265792" w:rsidRPr="00DF4ECC" w:rsidRDefault="00265792">
            <w:pPr>
              <w:pStyle w:val="ARfintablebodyrightbold8pt"/>
              <w:rPr>
                <w:highlight w:val="green"/>
              </w:rPr>
            </w:pPr>
            <w:r>
              <w:t>–</w:t>
            </w:r>
          </w:p>
        </w:tc>
        <w:tc>
          <w:tcPr>
            <w:tcW w:w="724" w:type="dxa"/>
            <w:noWrap/>
          </w:tcPr>
          <w:p w14:paraId="3E3D1DE4" w14:textId="77777777" w:rsidR="00265792" w:rsidRPr="00BA7805" w:rsidRDefault="00265792" w:rsidP="00D60B79">
            <w:pPr>
              <w:pStyle w:val="ARfintablebodyrightbold8pt"/>
              <w:rPr>
                <w:highlight w:val="green"/>
              </w:rPr>
            </w:pPr>
            <w:r>
              <w:t>–</w:t>
            </w:r>
          </w:p>
        </w:tc>
        <w:tc>
          <w:tcPr>
            <w:tcW w:w="724" w:type="dxa"/>
            <w:noWrap/>
          </w:tcPr>
          <w:p w14:paraId="49B08D38" w14:textId="77777777" w:rsidR="00265792" w:rsidRPr="00BA7805" w:rsidRDefault="00265792" w:rsidP="00D60B79">
            <w:pPr>
              <w:pStyle w:val="ARfintablebodyrightbold8pt"/>
              <w:rPr>
                <w:highlight w:val="green"/>
              </w:rPr>
            </w:pPr>
            <w:r w:rsidRPr="000B2EA5">
              <w:t>(0.3)</w:t>
            </w:r>
          </w:p>
        </w:tc>
      </w:tr>
    </w:tbl>
    <w:p w14:paraId="7DF98BCA" w14:textId="77777777" w:rsidR="00265792" w:rsidRDefault="00265792" w:rsidP="00406706">
      <w:pPr>
        <w:pStyle w:val="ARfintablefootnotetabindent"/>
      </w:pPr>
      <w:r>
        <w:t>Notes:</w:t>
      </w:r>
    </w:p>
    <w:p w14:paraId="6974B6B9" w14:textId="77777777" w:rsidR="00265792" w:rsidRDefault="00265792" w:rsidP="00406706">
      <w:pPr>
        <w:pStyle w:val="ARfintablefootnotetabindent"/>
      </w:pPr>
      <w:r>
        <w:t>(</w:t>
      </w:r>
      <w:proofErr w:type="spellStart"/>
      <w:r>
        <w:t>i</w:t>
      </w:r>
      <w:proofErr w:type="spellEnd"/>
      <w:r>
        <w:t xml:space="preserve">) </w:t>
      </w:r>
      <w:r>
        <w:tab/>
        <w:t>Refer to Note 4.1.1 for output definitions.</w:t>
      </w:r>
    </w:p>
    <w:p w14:paraId="3D92B83D" w14:textId="77777777" w:rsidR="00265792" w:rsidRDefault="00265792" w:rsidP="00406706">
      <w:pPr>
        <w:pStyle w:val="ARfintablefootnotetabindent"/>
      </w:pPr>
      <w:r>
        <w:t xml:space="preserve">(ii) </w:t>
      </w:r>
      <w:r>
        <w:tab/>
        <w:t>Output 14 Housing Assistance is not applicable for administered activities.</w:t>
      </w:r>
    </w:p>
    <w:p w14:paraId="40B2DE9E" w14:textId="688C6C5C" w:rsidR="00265792" w:rsidRDefault="00265792" w:rsidP="00406706">
      <w:pPr>
        <w:pStyle w:val="ARfintablefootnotetabindent"/>
      </w:pPr>
      <w:r>
        <w:t xml:space="preserve">(iii) </w:t>
      </w:r>
      <w:r>
        <w:tab/>
      </w:r>
      <w:r w:rsidR="00396926" w:rsidRPr="00396926">
        <w:t xml:space="preserve">Grant income includes National Disability Insurance Scheme funding contribution from other departments within the </w:t>
      </w:r>
      <w:r w:rsidR="00C8397D">
        <w:t>state</w:t>
      </w:r>
      <w:r w:rsidR="00396926" w:rsidRPr="00396926">
        <w:t xml:space="preserve">, payment reimbursement from the Department of Justice and Community Safety relating to </w:t>
      </w:r>
      <w:r w:rsidR="000C421D">
        <w:t>n</w:t>
      </w:r>
      <w:r w:rsidR="000C421D" w:rsidRPr="00396926">
        <w:t xml:space="preserve">atural </w:t>
      </w:r>
      <w:r w:rsidR="000C421D">
        <w:t>d</w:t>
      </w:r>
      <w:r w:rsidR="000C421D" w:rsidRPr="00396926">
        <w:t xml:space="preserve">isaster </w:t>
      </w:r>
      <w:r w:rsidR="000C421D">
        <w:t>r</w:t>
      </w:r>
      <w:r w:rsidR="000C421D" w:rsidRPr="00396926">
        <w:t xml:space="preserve">elief </w:t>
      </w:r>
      <w:r w:rsidR="00396926" w:rsidRPr="00396926">
        <w:t xml:space="preserve">and recovery </w:t>
      </w:r>
      <w:r w:rsidR="000C421D">
        <w:t>a</w:t>
      </w:r>
      <w:r w:rsidR="000C421D" w:rsidRPr="00396926">
        <w:t xml:space="preserve">rrangement </w:t>
      </w:r>
      <w:r w:rsidR="00396926" w:rsidRPr="00396926">
        <w:t>expenses</w:t>
      </w:r>
      <w:r w:rsidR="00396926">
        <w:t>.</w:t>
      </w:r>
    </w:p>
    <w:p w14:paraId="291320CD" w14:textId="77777777" w:rsidR="00265792" w:rsidRDefault="00265792" w:rsidP="00BB7D40">
      <w:pPr>
        <w:pStyle w:val="ARbody"/>
        <w:rPr>
          <w:lang w:eastAsia="en-AU"/>
        </w:rPr>
      </w:pPr>
      <w:r>
        <w:br w:type="page"/>
      </w:r>
    </w:p>
    <w:tbl>
      <w:tblPr>
        <w:tblStyle w:val="DFFHARtable1"/>
        <w:tblW w:w="5000" w:type="pct"/>
        <w:tblLayout w:type="fixed"/>
        <w:tblLook w:val="06E0" w:firstRow="1" w:lastRow="1" w:firstColumn="1" w:lastColumn="0" w:noHBand="1" w:noVBand="1"/>
      </w:tblPr>
      <w:tblGrid>
        <w:gridCol w:w="3846"/>
        <w:gridCol w:w="715"/>
        <w:gridCol w:w="715"/>
        <w:gridCol w:w="715"/>
        <w:gridCol w:w="714"/>
        <w:gridCol w:w="714"/>
        <w:gridCol w:w="715"/>
        <w:gridCol w:w="715"/>
        <w:gridCol w:w="715"/>
        <w:gridCol w:w="715"/>
        <w:gridCol w:w="715"/>
        <w:gridCol w:w="715"/>
        <w:gridCol w:w="715"/>
        <w:gridCol w:w="715"/>
        <w:gridCol w:w="715"/>
        <w:gridCol w:w="716"/>
      </w:tblGrid>
      <w:tr w:rsidR="00DA4567" w:rsidRPr="005D7D5C" w14:paraId="1E45BFFD" w14:textId="77777777">
        <w:trPr>
          <w:cnfStyle w:val="100000000000" w:firstRow="1" w:lastRow="0" w:firstColumn="0" w:lastColumn="0" w:oddVBand="0" w:evenVBand="0" w:oddHBand="0" w:evenHBand="0" w:firstRowFirstColumn="0" w:firstRowLastColumn="0" w:lastRowFirstColumn="0" w:lastRowLastColumn="0"/>
          <w:tblHeader/>
        </w:trPr>
        <w:tc>
          <w:tcPr>
            <w:tcW w:w="3846" w:type="dxa"/>
            <w:hideMark/>
          </w:tcPr>
          <w:p w14:paraId="47D7CF55" w14:textId="77777777" w:rsidR="00DA4567" w:rsidRPr="005D7D5C" w:rsidRDefault="00DA4567">
            <w:pPr>
              <w:pStyle w:val="ARfintablecolhead"/>
              <w:spacing w:before="10" w:after="10" w:line="216" w:lineRule="auto"/>
              <w:ind w:right="0"/>
              <w:rPr>
                <w:rStyle w:val="Superscript"/>
                <w:rFonts w:cs="Arial"/>
                <w:sz w:val="15"/>
                <w:szCs w:val="15"/>
              </w:rPr>
            </w:pPr>
            <w:r w:rsidRPr="005D7D5C">
              <w:rPr>
                <w:rFonts w:cs="Arial"/>
                <w:sz w:val="15"/>
                <w:szCs w:val="15"/>
              </w:rPr>
              <w:lastRenderedPageBreak/>
              <w:t xml:space="preserve">Output </w:t>
            </w:r>
            <w:r w:rsidRPr="005D7D5C">
              <w:rPr>
                <w:rStyle w:val="Superscript"/>
                <w:rFonts w:cs="Arial"/>
                <w:sz w:val="15"/>
                <w:szCs w:val="15"/>
              </w:rPr>
              <w:t>(</w:t>
            </w:r>
            <w:proofErr w:type="spellStart"/>
            <w:r w:rsidRPr="005D7D5C">
              <w:rPr>
                <w:rStyle w:val="Superscript"/>
                <w:rFonts w:cs="Arial"/>
                <w:sz w:val="15"/>
                <w:szCs w:val="15"/>
              </w:rPr>
              <w:t>i</w:t>
            </w:r>
            <w:proofErr w:type="spellEnd"/>
            <w:r w:rsidRPr="005D7D5C">
              <w:rPr>
                <w:rStyle w:val="Superscript"/>
                <w:rFonts w:cs="Arial"/>
                <w:sz w:val="15"/>
                <w:szCs w:val="15"/>
              </w:rPr>
              <w:t>)(ii)</w:t>
            </w:r>
          </w:p>
          <w:p w14:paraId="3D39CA51" w14:textId="77777777" w:rsidR="00DA4567" w:rsidRPr="005D7D5C" w:rsidRDefault="00DA4567">
            <w:pPr>
              <w:pStyle w:val="ARfintablecolhead"/>
              <w:spacing w:before="10" w:after="10" w:line="216" w:lineRule="auto"/>
              <w:rPr>
                <w:rFonts w:cs="Arial"/>
                <w:sz w:val="15"/>
                <w:szCs w:val="15"/>
              </w:rPr>
            </w:pPr>
            <w:r w:rsidRPr="005D7D5C">
              <w:rPr>
                <w:rFonts w:cs="Arial"/>
                <w:sz w:val="15"/>
                <w:szCs w:val="15"/>
              </w:rPr>
              <w:t>202</w:t>
            </w:r>
            <w:r>
              <w:rPr>
                <w:rFonts w:cs="Arial"/>
                <w:sz w:val="15"/>
                <w:szCs w:val="15"/>
              </w:rPr>
              <w:t>4</w:t>
            </w:r>
          </w:p>
        </w:tc>
        <w:tc>
          <w:tcPr>
            <w:tcW w:w="715" w:type="dxa"/>
            <w:hideMark/>
          </w:tcPr>
          <w:p w14:paraId="6D13687B"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1</w:t>
            </w:r>
          </w:p>
          <w:p w14:paraId="1C9C1578"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5" w:type="dxa"/>
            <w:hideMark/>
          </w:tcPr>
          <w:p w14:paraId="2AF06DE4"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2</w:t>
            </w:r>
          </w:p>
          <w:p w14:paraId="64B4A0BD"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5" w:type="dxa"/>
            <w:hideMark/>
          </w:tcPr>
          <w:p w14:paraId="0087557F"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3</w:t>
            </w:r>
          </w:p>
          <w:p w14:paraId="62E78CA7"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4" w:type="dxa"/>
            <w:hideMark/>
          </w:tcPr>
          <w:p w14:paraId="680BC041" w14:textId="77777777" w:rsidR="00DA4567" w:rsidRDefault="00DA4567">
            <w:pPr>
              <w:pStyle w:val="ARfintablecolheadright"/>
              <w:spacing w:before="10" w:after="10" w:line="216" w:lineRule="auto"/>
              <w:rPr>
                <w:rStyle w:val="Superscript"/>
              </w:rPr>
            </w:pPr>
            <w:r w:rsidRPr="005D7D5C">
              <w:rPr>
                <w:rFonts w:cs="Arial"/>
                <w:sz w:val="15"/>
                <w:szCs w:val="15"/>
              </w:rPr>
              <w:t>4</w:t>
            </w:r>
          </w:p>
          <w:p w14:paraId="25DB5DE6"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4" w:type="dxa"/>
            <w:hideMark/>
          </w:tcPr>
          <w:p w14:paraId="6BAE03B0"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5</w:t>
            </w:r>
          </w:p>
          <w:p w14:paraId="0DD06D8D"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5" w:type="dxa"/>
            <w:hideMark/>
          </w:tcPr>
          <w:p w14:paraId="10078262"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6</w:t>
            </w:r>
          </w:p>
          <w:p w14:paraId="0B219A02"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5" w:type="dxa"/>
            <w:hideMark/>
          </w:tcPr>
          <w:p w14:paraId="231DFF3E"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7</w:t>
            </w:r>
          </w:p>
          <w:p w14:paraId="50D5B00F"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5" w:type="dxa"/>
            <w:hideMark/>
          </w:tcPr>
          <w:p w14:paraId="30D014AE"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8</w:t>
            </w:r>
          </w:p>
          <w:p w14:paraId="39B619E6"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5" w:type="dxa"/>
            <w:hideMark/>
          </w:tcPr>
          <w:p w14:paraId="1A0C595C"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9</w:t>
            </w:r>
          </w:p>
          <w:p w14:paraId="66CCD8DD"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5" w:type="dxa"/>
            <w:hideMark/>
          </w:tcPr>
          <w:p w14:paraId="5BA88A33"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10</w:t>
            </w:r>
          </w:p>
          <w:p w14:paraId="6BCAA04A"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5" w:type="dxa"/>
            <w:hideMark/>
          </w:tcPr>
          <w:p w14:paraId="577427F3"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11</w:t>
            </w:r>
          </w:p>
          <w:p w14:paraId="1E2D72DD"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5" w:type="dxa"/>
            <w:hideMark/>
          </w:tcPr>
          <w:p w14:paraId="509C5D1A"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12</w:t>
            </w:r>
          </w:p>
          <w:p w14:paraId="19AC9FF7"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5" w:type="dxa"/>
            <w:hideMark/>
          </w:tcPr>
          <w:p w14:paraId="0E818154"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13</w:t>
            </w:r>
          </w:p>
          <w:p w14:paraId="194B28A4"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c>
          <w:tcPr>
            <w:tcW w:w="715" w:type="dxa"/>
            <w:hideMark/>
          </w:tcPr>
          <w:p w14:paraId="7362ED19" w14:textId="77777777" w:rsidR="00DA4567" w:rsidRPr="005D7D5C" w:rsidRDefault="00DA4567">
            <w:pPr>
              <w:pStyle w:val="ARfintablecolheadright"/>
              <w:spacing w:before="10" w:after="10" w:line="216" w:lineRule="auto"/>
              <w:rPr>
                <w:rFonts w:cs="Arial"/>
                <w:sz w:val="15"/>
                <w:szCs w:val="15"/>
              </w:rPr>
            </w:pPr>
            <w:r>
              <w:rPr>
                <w:rFonts w:cs="Arial"/>
                <w:sz w:val="15"/>
                <w:szCs w:val="15"/>
              </w:rPr>
              <w:t>15</w:t>
            </w:r>
          </w:p>
          <w:p w14:paraId="352EC9E6"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r>
              <w:rPr>
                <w:rFonts w:cs="Arial"/>
                <w:sz w:val="15"/>
                <w:szCs w:val="15"/>
              </w:rPr>
              <w:t xml:space="preserve"> </w:t>
            </w:r>
            <w:r w:rsidRPr="008C4181">
              <w:rPr>
                <w:vertAlign w:val="superscript"/>
              </w:rPr>
              <w:t>(iii)</w:t>
            </w:r>
          </w:p>
        </w:tc>
        <w:tc>
          <w:tcPr>
            <w:tcW w:w="716" w:type="dxa"/>
            <w:hideMark/>
          </w:tcPr>
          <w:p w14:paraId="5F045318"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Total</w:t>
            </w:r>
          </w:p>
          <w:p w14:paraId="43F4B80E" w14:textId="77777777" w:rsidR="00DA4567" w:rsidRPr="005D7D5C" w:rsidRDefault="00DA4567">
            <w:pPr>
              <w:pStyle w:val="ARfintablecolheadright"/>
              <w:spacing w:before="10" w:after="10" w:line="216" w:lineRule="auto"/>
              <w:rPr>
                <w:rFonts w:cs="Arial"/>
                <w:sz w:val="15"/>
                <w:szCs w:val="15"/>
              </w:rPr>
            </w:pPr>
            <w:r w:rsidRPr="005D7D5C">
              <w:rPr>
                <w:rFonts w:cs="Arial"/>
                <w:sz w:val="15"/>
                <w:szCs w:val="15"/>
              </w:rPr>
              <w:t>$M</w:t>
            </w:r>
          </w:p>
        </w:tc>
      </w:tr>
      <w:tr w:rsidR="00DA4567" w:rsidRPr="00BA7805" w14:paraId="35FC782F" w14:textId="77777777">
        <w:tc>
          <w:tcPr>
            <w:tcW w:w="3846" w:type="dxa"/>
          </w:tcPr>
          <w:p w14:paraId="74E30AA6" w14:textId="77777777" w:rsidR="00DA4567" w:rsidRPr="00BA7805" w:rsidRDefault="00DA4567">
            <w:pPr>
              <w:pStyle w:val="ARfintablebodybold8pt"/>
              <w:rPr>
                <w:sz w:val="15"/>
                <w:highlight w:val="green"/>
              </w:rPr>
            </w:pPr>
            <w:r w:rsidRPr="00CE0F71">
              <w:t>Administered income from transactions</w:t>
            </w:r>
          </w:p>
        </w:tc>
        <w:tc>
          <w:tcPr>
            <w:tcW w:w="715" w:type="dxa"/>
            <w:noWrap/>
          </w:tcPr>
          <w:p w14:paraId="451C75EB" w14:textId="77777777" w:rsidR="00DA4567" w:rsidRPr="00BA7805" w:rsidRDefault="00DA4567">
            <w:pPr>
              <w:pStyle w:val="ARfintablebodyright8pt"/>
              <w:rPr>
                <w:highlight w:val="green"/>
              </w:rPr>
            </w:pPr>
          </w:p>
        </w:tc>
        <w:tc>
          <w:tcPr>
            <w:tcW w:w="715" w:type="dxa"/>
            <w:noWrap/>
          </w:tcPr>
          <w:p w14:paraId="6FE49CB3" w14:textId="77777777" w:rsidR="00DA4567" w:rsidRPr="00BA7805" w:rsidRDefault="00DA4567">
            <w:pPr>
              <w:pStyle w:val="ARfintablebodyright8pt"/>
              <w:rPr>
                <w:highlight w:val="green"/>
              </w:rPr>
            </w:pPr>
          </w:p>
        </w:tc>
        <w:tc>
          <w:tcPr>
            <w:tcW w:w="715" w:type="dxa"/>
            <w:noWrap/>
          </w:tcPr>
          <w:p w14:paraId="305C612F" w14:textId="77777777" w:rsidR="00DA4567" w:rsidRPr="00BA7805" w:rsidRDefault="00DA4567">
            <w:pPr>
              <w:pStyle w:val="ARfintablebodyright8pt"/>
              <w:rPr>
                <w:highlight w:val="green"/>
              </w:rPr>
            </w:pPr>
          </w:p>
        </w:tc>
        <w:tc>
          <w:tcPr>
            <w:tcW w:w="714" w:type="dxa"/>
            <w:noWrap/>
          </w:tcPr>
          <w:p w14:paraId="6309201D" w14:textId="77777777" w:rsidR="00DA4567" w:rsidRPr="00BA7805" w:rsidRDefault="00DA4567">
            <w:pPr>
              <w:pStyle w:val="ARfintablebodyright8pt"/>
              <w:rPr>
                <w:highlight w:val="green"/>
              </w:rPr>
            </w:pPr>
          </w:p>
        </w:tc>
        <w:tc>
          <w:tcPr>
            <w:tcW w:w="714" w:type="dxa"/>
            <w:noWrap/>
          </w:tcPr>
          <w:p w14:paraId="7021E2C8" w14:textId="77777777" w:rsidR="00DA4567" w:rsidRPr="00BA7805" w:rsidRDefault="00DA4567">
            <w:pPr>
              <w:pStyle w:val="ARfintablebodyright8pt"/>
              <w:rPr>
                <w:highlight w:val="green"/>
              </w:rPr>
            </w:pPr>
          </w:p>
        </w:tc>
        <w:tc>
          <w:tcPr>
            <w:tcW w:w="715" w:type="dxa"/>
            <w:noWrap/>
          </w:tcPr>
          <w:p w14:paraId="5F060239" w14:textId="77777777" w:rsidR="00DA4567" w:rsidRPr="00BA7805" w:rsidRDefault="00DA4567">
            <w:pPr>
              <w:pStyle w:val="ARfintablebodyright8pt"/>
              <w:rPr>
                <w:highlight w:val="green"/>
              </w:rPr>
            </w:pPr>
          </w:p>
        </w:tc>
        <w:tc>
          <w:tcPr>
            <w:tcW w:w="715" w:type="dxa"/>
            <w:noWrap/>
          </w:tcPr>
          <w:p w14:paraId="04903062" w14:textId="77777777" w:rsidR="00DA4567" w:rsidRPr="00BA7805" w:rsidRDefault="00DA4567">
            <w:pPr>
              <w:pStyle w:val="ARfintablebodyright8pt"/>
              <w:rPr>
                <w:highlight w:val="green"/>
              </w:rPr>
            </w:pPr>
          </w:p>
        </w:tc>
        <w:tc>
          <w:tcPr>
            <w:tcW w:w="715" w:type="dxa"/>
            <w:noWrap/>
          </w:tcPr>
          <w:p w14:paraId="2A9CD3C1" w14:textId="77777777" w:rsidR="00DA4567" w:rsidRPr="00BA7805" w:rsidRDefault="00DA4567">
            <w:pPr>
              <w:pStyle w:val="ARfintablebodyright8pt"/>
              <w:rPr>
                <w:highlight w:val="green"/>
              </w:rPr>
            </w:pPr>
          </w:p>
        </w:tc>
        <w:tc>
          <w:tcPr>
            <w:tcW w:w="715" w:type="dxa"/>
            <w:noWrap/>
          </w:tcPr>
          <w:p w14:paraId="5D7456C6" w14:textId="77777777" w:rsidR="00DA4567" w:rsidRPr="00BA7805" w:rsidRDefault="00DA4567">
            <w:pPr>
              <w:pStyle w:val="ARfintablebodyright8pt"/>
              <w:rPr>
                <w:highlight w:val="green"/>
              </w:rPr>
            </w:pPr>
          </w:p>
        </w:tc>
        <w:tc>
          <w:tcPr>
            <w:tcW w:w="715" w:type="dxa"/>
            <w:noWrap/>
          </w:tcPr>
          <w:p w14:paraId="5331C498" w14:textId="77777777" w:rsidR="00DA4567" w:rsidRPr="00BA7805" w:rsidRDefault="00DA4567">
            <w:pPr>
              <w:pStyle w:val="ARfintablebodyright8pt"/>
              <w:rPr>
                <w:highlight w:val="green"/>
              </w:rPr>
            </w:pPr>
          </w:p>
        </w:tc>
        <w:tc>
          <w:tcPr>
            <w:tcW w:w="715" w:type="dxa"/>
            <w:noWrap/>
          </w:tcPr>
          <w:p w14:paraId="374FCCD1" w14:textId="77777777" w:rsidR="00DA4567" w:rsidRPr="00BA7805" w:rsidRDefault="00DA4567">
            <w:pPr>
              <w:pStyle w:val="ARfintablebodyright8pt"/>
              <w:rPr>
                <w:highlight w:val="green"/>
              </w:rPr>
            </w:pPr>
          </w:p>
        </w:tc>
        <w:tc>
          <w:tcPr>
            <w:tcW w:w="715" w:type="dxa"/>
            <w:noWrap/>
          </w:tcPr>
          <w:p w14:paraId="0B71405A" w14:textId="77777777" w:rsidR="00DA4567" w:rsidRPr="00BA7805" w:rsidRDefault="00DA4567">
            <w:pPr>
              <w:pStyle w:val="ARfintablebodyright8pt"/>
              <w:rPr>
                <w:highlight w:val="green"/>
              </w:rPr>
            </w:pPr>
          </w:p>
        </w:tc>
        <w:tc>
          <w:tcPr>
            <w:tcW w:w="715" w:type="dxa"/>
            <w:noWrap/>
          </w:tcPr>
          <w:p w14:paraId="12BE68AE" w14:textId="77777777" w:rsidR="00DA4567" w:rsidRPr="00BA7805" w:rsidRDefault="00DA4567">
            <w:pPr>
              <w:pStyle w:val="ARfintablebodyright8pt"/>
              <w:rPr>
                <w:highlight w:val="green"/>
              </w:rPr>
            </w:pPr>
          </w:p>
        </w:tc>
        <w:tc>
          <w:tcPr>
            <w:tcW w:w="715" w:type="dxa"/>
            <w:noWrap/>
          </w:tcPr>
          <w:p w14:paraId="2DC2A697" w14:textId="77777777" w:rsidR="00DA4567" w:rsidRPr="00BA7805" w:rsidRDefault="00DA4567">
            <w:pPr>
              <w:pStyle w:val="ARfintablebodyright8pt"/>
              <w:rPr>
                <w:highlight w:val="green"/>
              </w:rPr>
            </w:pPr>
          </w:p>
        </w:tc>
        <w:tc>
          <w:tcPr>
            <w:tcW w:w="716" w:type="dxa"/>
            <w:noWrap/>
          </w:tcPr>
          <w:p w14:paraId="1F7DBE5B" w14:textId="77777777" w:rsidR="00DA4567" w:rsidRPr="00BA7805" w:rsidRDefault="00DA4567">
            <w:pPr>
              <w:pStyle w:val="ARfintablebodyright8pt"/>
              <w:rPr>
                <w:highlight w:val="green"/>
              </w:rPr>
            </w:pPr>
          </w:p>
        </w:tc>
      </w:tr>
      <w:tr w:rsidR="00DA4567" w:rsidRPr="00BA7805" w14:paraId="32EC8FCC" w14:textId="77777777">
        <w:tc>
          <w:tcPr>
            <w:tcW w:w="3846" w:type="dxa"/>
          </w:tcPr>
          <w:p w14:paraId="319B75B9" w14:textId="77777777" w:rsidR="00DA4567" w:rsidRPr="00BA7805" w:rsidRDefault="00DA4567">
            <w:pPr>
              <w:pStyle w:val="ARfintablebody8pt"/>
              <w:rPr>
                <w:sz w:val="15"/>
                <w:highlight w:val="green"/>
              </w:rPr>
            </w:pPr>
            <w:r w:rsidRPr="00CE0F71">
              <w:t>Commonwealth grants</w:t>
            </w:r>
          </w:p>
        </w:tc>
        <w:tc>
          <w:tcPr>
            <w:tcW w:w="715" w:type="dxa"/>
            <w:noWrap/>
          </w:tcPr>
          <w:p w14:paraId="33FFFB19" w14:textId="77777777" w:rsidR="00DA4567" w:rsidRPr="00BA7805" w:rsidRDefault="00DA4567">
            <w:pPr>
              <w:pStyle w:val="ARfintablebodyright8pt"/>
              <w:rPr>
                <w:highlight w:val="green"/>
              </w:rPr>
            </w:pPr>
            <w:r>
              <w:t>–</w:t>
            </w:r>
          </w:p>
        </w:tc>
        <w:tc>
          <w:tcPr>
            <w:tcW w:w="715" w:type="dxa"/>
            <w:noWrap/>
          </w:tcPr>
          <w:p w14:paraId="7E50AD18" w14:textId="77777777" w:rsidR="00DA4567" w:rsidRPr="00BA7805" w:rsidRDefault="00DA4567">
            <w:pPr>
              <w:pStyle w:val="ARfintablebodyright8pt"/>
              <w:rPr>
                <w:highlight w:val="green"/>
              </w:rPr>
            </w:pPr>
            <w:r w:rsidRPr="00CE0F71">
              <w:t>2.2</w:t>
            </w:r>
          </w:p>
        </w:tc>
        <w:tc>
          <w:tcPr>
            <w:tcW w:w="715" w:type="dxa"/>
            <w:noWrap/>
          </w:tcPr>
          <w:p w14:paraId="780D68B4" w14:textId="77777777" w:rsidR="00DA4567" w:rsidRPr="00BA7805" w:rsidRDefault="00DA4567">
            <w:pPr>
              <w:pStyle w:val="ARfintablebodyright8pt"/>
              <w:rPr>
                <w:highlight w:val="green"/>
              </w:rPr>
            </w:pPr>
            <w:r>
              <w:t>–</w:t>
            </w:r>
          </w:p>
        </w:tc>
        <w:tc>
          <w:tcPr>
            <w:tcW w:w="714" w:type="dxa"/>
            <w:noWrap/>
          </w:tcPr>
          <w:p w14:paraId="3576AC50" w14:textId="77777777" w:rsidR="00DA4567" w:rsidRPr="00BA7805" w:rsidRDefault="00DA4567">
            <w:pPr>
              <w:pStyle w:val="ARfintablebodyright8pt"/>
              <w:rPr>
                <w:highlight w:val="green"/>
              </w:rPr>
            </w:pPr>
            <w:r>
              <w:t>–</w:t>
            </w:r>
          </w:p>
        </w:tc>
        <w:tc>
          <w:tcPr>
            <w:tcW w:w="714" w:type="dxa"/>
            <w:noWrap/>
          </w:tcPr>
          <w:p w14:paraId="24BD5AB2" w14:textId="77777777" w:rsidR="00DA4567" w:rsidRPr="00BA7805" w:rsidRDefault="00DA4567">
            <w:pPr>
              <w:pStyle w:val="ARfintablebodyright8pt"/>
              <w:rPr>
                <w:highlight w:val="green"/>
              </w:rPr>
            </w:pPr>
            <w:r>
              <w:t>–</w:t>
            </w:r>
          </w:p>
        </w:tc>
        <w:tc>
          <w:tcPr>
            <w:tcW w:w="715" w:type="dxa"/>
            <w:noWrap/>
          </w:tcPr>
          <w:p w14:paraId="0F4D2C25" w14:textId="77777777" w:rsidR="00DA4567" w:rsidRPr="00BA7805" w:rsidRDefault="00DA4567">
            <w:pPr>
              <w:pStyle w:val="ARfintablebodyright8pt"/>
              <w:rPr>
                <w:highlight w:val="green"/>
              </w:rPr>
            </w:pPr>
            <w:r>
              <w:t>–</w:t>
            </w:r>
          </w:p>
        </w:tc>
        <w:tc>
          <w:tcPr>
            <w:tcW w:w="715" w:type="dxa"/>
            <w:noWrap/>
          </w:tcPr>
          <w:p w14:paraId="1EA333E0" w14:textId="77777777" w:rsidR="00DA4567" w:rsidRPr="00BA7805" w:rsidRDefault="00DA4567">
            <w:pPr>
              <w:pStyle w:val="ARfintablebodyright8pt"/>
              <w:rPr>
                <w:highlight w:val="green"/>
              </w:rPr>
            </w:pPr>
            <w:r>
              <w:t>–</w:t>
            </w:r>
          </w:p>
        </w:tc>
        <w:tc>
          <w:tcPr>
            <w:tcW w:w="715" w:type="dxa"/>
            <w:noWrap/>
          </w:tcPr>
          <w:p w14:paraId="7609E732" w14:textId="77777777" w:rsidR="00DA4567" w:rsidRPr="00BA7805" w:rsidRDefault="00DA4567">
            <w:pPr>
              <w:pStyle w:val="ARfintablebodyright8pt"/>
              <w:rPr>
                <w:highlight w:val="green"/>
              </w:rPr>
            </w:pPr>
            <w:r>
              <w:t>–</w:t>
            </w:r>
          </w:p>
        </w:tc>
        <w:tc>
          <w:tcPr>
            <w:tcW w:w="715" w:type="dxa"/>
            <w:noWrap/>
          </w:tcPr>
          <w:p w14:paraId="74F76CA9" w14:textId="77777777" w:rsidR="00DA4567" w:rsidRPr="00BA7805" w:rsidRDefault="00DA4567">
            <w:pPr>
              <w:pStyle w:val="ARfintablebodyright8pt"/>
              <w:rPr>
                <w:highlight w:val="green"/>
              </w:rPr>
            </w:pPr>
            <w:r>
              <w:t>–</w:t>
            </w:r>
          </w:p>
        </w:tc>
        <w:tc>
          <w:tcPr>
            <w:tcW w:w="715" w:type="dxa"/>
            <w:noWrap/>
          </w:tcPr>
          <w:p w14:paraId="53108734" w14:textId="77777777" w:rsidR="00DA4567" w:rsidRPr="00BA7805" w:rsidRDefault="00DA4567">
            <w:pPr>
              <w:pStyle w:val="ARfintablebodyright8pt"/>
              <w:rPr>
                <w:highlight w:val="green"/>
              </w:rPr>
            </w:pPr>
            <w:r>
              <w:t>–</w:t>
            </w:r>
          </w:p>
        </w:tc>
        <w:tc>
          <w:tcPr>
            <w:tcW w:w="715" w:type="dxa"/>
            <w:noWrap/>
          </w:tcPr>
          <w:p w14:paraId="3C1FC0D0" w14:textId="77777777" w:rsidR="00DA4567" w:rsidRPr="00BA7805" w:rsidRDefault="00DA4567">
            <w:pPr>
              <w:pStyle w:val="ARfintablebodyright8pt"/>
              <w:rPr>
                <w:highlight w:val="green"/>
              </w:rPr>
            </w:pPr>
            <w:r>
              <w:t>–</w:t>
            </w:r>
          </w:p>
        </w:tc>
        <w:tc>
          <w:tcPr>
            <w:tcW w:w="715" w:type="dxa"/>
            <w:noWrap/>
          </w:tcPr>
          <w:p w14:paraId="2934CD1F" w14:textId="77777777" w:rsidR="00DA4567" w:rsidRPr="00BA7805" w:rsidRDefault="00DA4567">
            <w:pPr>
              <w:pStyle w:val="ARfintablebodyright8pt"/>
              <w:rPr>
                <w:highlight w:val="green"/>
              </w:rPr>
            </w:pPr>
            <w:r>
              <w:t>–</w:t>
            </w:r>
          </w:p>
        </w:tc>
        <w:tc>
          <w:tcPr>
            <w:tcW w:w="715" w:type="dxa"/>
            <w:noWrap/>
          </w:tcPr>
          <w:p w14:paraId="69ADE4C4" w14:textId="77777777" w:rsidR="00DA4567" w:rsidRPr="00BA7805" w:rsidRDefault="00DA4567">
            <w:pPr>
              <w:pStyle w:val="ARfintablebodyright8pt"/>
              <w:rPr>
                <w:highlight w:val="green"/>
              </w:rPr>
            </w:pPr>
            <w:r w:rsidRPr="00CE0F71">
              <w:t>1.5</w:t>
            </w:r>
          </w:p>
        </w:tc>
        <w:tc>
          <w:tcPr>
            <w:tcW w:w="715" w:type="dxa"/>
            <w:noWrap/>
          </w:tcPr>
          <w:p w14:paraId="4F2E307C" w14:textId="77777777" w:rsidR="00DA4567" w:rsidRPr="00BA7805" w:rsidRDefault="00DA4567">
            <w:pPr>
              <w:pStyle w:val="ARfintablebodyright8pt"/>
              <w:rPr>
                <w:highlight w:val="green"/>
              </w:rPr>
            </w:pPr>
            <w:r>
              <w:t>–</w:t>
            </w:r>
          </w:p>
        </w:tc>
        <w:tc>
          <w:tcPr>
            <w:tcW w:w="716" w:type="dxa"/>
            <w:noWrap/>
          </w:tcPr>
          <w:p w14:paraId="3A06D37F" w14:textId="77777777" w:rsidR="00DA4567" w:rsidRPr="00BA7805" w:rsidRDefault="00DA4567">
            <w:pPr>
              <w:pStyle w:val="ARfintablebodyright8pt"/>
              <w:rPr>
                <w:highlight w:val="green"/>
              </w:rPr>
            </w:pPr>
            <w:r w:rsidRPr="00CE0F71">
              <w:t>3.6</w:t>
            </w:r>
          </w:p>
        </w:tc>
      </w:tr>
      <w:tr w:rsidR="00DA4567" w:rsidRPr="00BA7805" w14:paraId="2A747A5E" w14:textId="77777777">
        <w:tc>
          <w:tcPr>
            <w:tcW w:w="3846" w:type="dxa"/>
          </w:tcPr>
          <w:p w14:paraId="385544B9" w14:textId="77777777" w:rsidR="00DA4567" w:rsidRPr="00BA7805" w:rsidRDefault="00DA4567">
            <w:pPr>
              <w:pStyle w:val="ARfintablebody8pt"/>
              <w:rPr>
                <w:sz w:val="15"/>
                <w:highlight w:val="green"/>
              </w:rPr>
            </w:pPr>
            <w:r w:rsidRPr="00CE0F71">
              <w:t>Sales of goods and services</w:t>
            </w:r>
          </w:p>
        </w:tc>
        <w:tc>
          <w:tcPr>
            <w:tcW w:w="715" w:type="dxa"/>
            <w:noWrap/>
          </w:tcPr>
          <w:p w14:paraId="3A3A4F37" w14:textId="77777777" w:rsidR="00DA4567" w:rsidRPr="00BA7805" w:rsidRDefault="00DA4567">
            <w:pPr>
              <w:pStyle w:val="ARfintablebodyright8pt"/>
              <w:rPr>
                <w:highlight w:val="green"/>
              </w:rPr>
            </w:pPr>
            <w:r w:rsidRPr="00CE0F71">
              <w:t>35.9</w:t>
            </w:r>
          </w:p>
        </w:tc>
        <w:tc>
          <w:tcPr>
            <w:tcW w:w="715" w:type="dxa"/>
            <w:noWrap/>
          </w:tcPr>
          <w:p w14:paraId="69FDBAEF" w14:textId="77777777" w:rsidR="00DA4567" w:rsidRPr="00BA7805" w:rsidRDefault="00DA4567">
            <w:pPr>
              <w:pStyle w:val="ARfintablebodyright8pt"/>
              <w:rPr>
                <w:highlight w:val="green"/>
              </w:rPr>
            </w:pPr>
            <w:r>
              <w:t>–</w:t>
            </w:r>
          </w:p>
        </w:tc>
        <w:tc>
          <w:tcPr>
            <w:tcW w:w="715" w:type="dxa"/>
            <w:noWrap/>
          </w:tcPr>
          <w:p w14:paraId="45F94761" w14:textId="77777777" w:rsidR="00DA4567" w:rsidRPr="00BA7805" w:rsidRDefault="00DA4567">
            <w:pPr>
              <w:pStyle w:val="ARfintablebodyright8pt"/>
              <w:rPr>
                <w:highlight w:val="green"/>
              </w:rPr>
            </w:pPr>
            <w:r>
              <w:t>–</w:t>
            </w:r>
          </w:p>
        </w:tc>
        <w:tc>
          <w:tcPr>
            <w:tcW w:w="714" w:type="dxa"/>
            <w:noWrap/>
          </w:tcPr>
          <w:p w14:paraId="073424F1" w14:textId="77777777" w:rsidR="00DA4567" w:rsidRPr="00BA7805" w:rsidRDefault="00DA4567">
            <w:pPr>
              <w:pStyle w:val="ARfintablebodyright8pt"/>
              <w:rPr>
                <w:highlight w:val="green"/>
              </w:rPr>
            </w:pPr>
            <w:r>
              <w:t>–</w:t>
            </w:r>
          </w:p>
        </w:tc>
        <w:tc>
          <w:tcPr>
            <w:tcW w:w="714" w:type="dxa"/>
            <w:noWrap/>
          </w:tcPr>
          <w:p w14:paraId="7679D6B6" w14:textId="77777777" w:rsidR="00DA4567" w:rsidRPr="00BA7805" w:rsidRDefault="00DA4567">
            <w:pPr>
              <w:pStyle w:val="ARfintablebodyright8pt"/>
              <w:rPr>
                <w:highlight w:val="green"/>
              </w:rPr>
            </w:pPr>
            <w:r>
              <w:t>–</w:t>
            </w:r>
          </w:p>
        </w:tc>
        <w:tc>
          <w:tcPr>
            <w:tcW w:w="715" w:type="dxa"/>
            <w:noWrap/>
          </w:tcPr>
          <w:p w14:paraId="3B2F07EB" w14:textId="77777777" w:rsidR="00DA4567" w:rsidRPr="00BA7805" w:rsidRDefault="00DA4567">
            <w:pPr>
              <w:pStyle w:val="ARfintablebodyright8pt"/>
              <w:rPr>
                <w:highlight w:val="green"/>
              </w:rPr>
            </w:pPr>
            <w:r w:rsidRPr="00CE0F71">
              <w:t>0.7</w:t>
            </w:r>
          </w:p>
        </w:tc>
        <w:tc>
          <w:tcPr>
            <w:tcW w:w="715" w:type="dxa"/>
            <w:noWrap/>
          </w:tcPr>
          <w:p w14:paraId="164F8955" w14:textId="77777777" w:rsidR="00DA4567" w:rsidRPr="00BA7805" w:rsidRDefault="00DA4567">
            <w:pPr>
              <w:pStyle w:val="ARfintablebodyright8pt"/>
              <w:rPr>
                <w:highlight w:val="green"/>
              </w:rPr>
            </w:pPr>
            <w:r>
              <w:t>–</w:t>
            </w:r>
          </w:p>
        </w:tc>
        <w:tc>
          <w:tcPr>
            <w:tcW w:w="715" w:type="dxa"/>
            <w:noWrap/>
          </w:tcPr>
          <w:p w14:paraId="045435E2" w14:textId="77777777" w:rsidR="00DA4567" w:rsidRPr="00BA7805" w:rsidRDefault="00DA4567">
            <w:pPr>
              <w:pStyle w:val="ARfintablebodyright8pt"/>
              <w:rPr>
                <w:highlight w:val="green"/>
              </w:rPr>
            </w:pPr>
            <w:r>
              <w:t>–</w:t>
            </w:r>
          </w:p>
        </w:tc>
        <w:tc>
          <w:tcPr>
            <w:tcW w:w="715" w:type="dxa"/>
            <w:noWrap/>
          </w:tcPr>
          <w:p w14:paraId="2DA3D4D4" w14:textId="77777777" w:rsidR="00DA4567" w:rsidRPr="00BA7805" w:rsidRDefault="00DA4567">
            <w:pPr>
              <w:pStyle w:val="ARfintablebodyright8pt"/>
              <w:rPr>
                <w:highlight w:val="green"/>
              </w:rPr>
            </w:pPr>
            <w:r>
              <w:t>–</w:t>
            </w:r>
          </w:p>
        </w:tc>
        <w:tc>
          <w:tcPr>
            <w:tcW w:w="715" w:type="dxa"/>
            <w:noWrap/>
          </w:tcPr>
          <w:p w14:paraId="01288590" w14:textId="77777777" w:rsidR="00DA4567" w:rsidRPr="00BA7805" w:rsidRDefault="00DA4567">
            <w:pPr>
              <w:pStyle w:val="ARfintablebodyright8pt"/>
              <w:rPr>
                <w:highlight w:val="green"/>
              </w:rPr>
            </w:pPr>
            <w:r>
              <w:t>–</w:t>
            </w:r>
          </w:p>
        </w:tc>
        <w:tc>
          <w:tcPr>
            <w:tcW w:w="715" w:type="dxa"/>
            <w:noWrap/>
          </w:tcPr>
          <w:p w14:paraId="0A988FCD" w14:textId="77777777" w:rsidR="00DA4567" w:rsidRPr="00BA7805" w:rsidRDefault="00DA4567">
            <w:pPr>
              <w:pStyle w:val="ARfintablebodyright8pt"/>
              <w:rPr>
                <w:highlight w:val="green"/>
              </w:rPr>
            </w:pPr>
            <w:r>
              <w:t>–</w:t>
            </w:r>
          </w:p>
        </w:tc>
        <w:tc>
          <w:tcPr>
            <w:tcW w:w="715" w:type="dxa"/>
            <w:noWrap/>
          </w:tcPr>
          <w:p w14:paraId="19D15E94" w14:textId="77777777" w:rsidR="00DA4567" w:rsidRPr="00BA7805" w:rsidRDefault="00DA4567">
            <w:pPr>
              <w:pStyle w:val="ARfintablebodyright8pt"/>
              <w:rPr>
                <w:highlight w:val="green"/>
              </w:rPr>
            </w:pPr>
            <w:r>
              <w:t>–</w:t>
            </w:r>
          </w:p>
        </w:tc>
        <w:tc>
          <w:tcPr>
            <w:tcW w:w="715" w:type="dxa"/>
            <w:noWrap/>
          </w:tcPr>
          <w:p w14:paraId="10260E1A" w14:textId="77777777" w:rsidR="00DA4567" w:rsidRPr="00BA7805" w:rsidRDefault="00DA4567">
            <w:pPr>
              <w:pStyle w:val="ARfintablebodyright8pt"/>
              <w:rPr>
                <w:highlight w:val="green"/>
              </w:rPr>
            </w:pPr>
            <w:r>
              <w:t>–</w:t>
            </w:r>
          </w:p>
        </w:tc>
        <w:tc>
          <w:tcPr>
            <w:tcW w:w="715" w:type="dxa"/>
            <w:noWrap/>
          </w:tcPr>
          <w:p w14:paraId="1EF7AB5D" w14:textId="77777777" w:rsidR="00DA4567" w:rsidRPr="00BA7805" w:rsidRDefault="00DA4567">
            <w:pPr>
              <w:pStyle w:val="ARfintablebodyright8pt"/>
              <w:rPr>
                <w:highlight w:val="green"/>
              </w:rPr>
            </w:pPr>
            <w:r>
              <w:t>–</w:t>
            </w:r>
          </w:p>
        </w:tc>
        <w:tc>
          <w:tcPr>
            <w:tcW w:w="716" w:type="dxa"/>
            <w:noWrap/>
          </w:tcPr>
          <w:p w14:paraId="1E75DB8D" w14:textId="77777777" w:rsidR="00DA4567" w:rsidRPr="00BA7805" w:rsidRDefault="00DA4567">
            <w:pPr>
              <w:pStyle w:val="ARfintablebodyright8pt"/>
              <w:rPr>
                <w:highlight w:val="green"/>
              </w:rPr>
            </w:pPr>
            <w:r w:rsidRPr="00CE0F71">
              <w:t>36.6</w:t>
            </w:r>
          </w:p>
        </w:tc>
      </w:tr>
      <w:tr w:rsidR="00DA4567" w:rsidRPr="00BA7805" w14:paraId="332A2498" w14:textId="77777777">
        <w:tc>
          <w:tcPr>
            <w:tcW w:w="3846" w:type="dxa"/>
          </w:tcPr>
          <w:p w14:paraId="51872494" w14:textId="77777777" w:rsidR="00DA4567" w:rsidRPr="00AE386F" w:rsidRDefault="00DA4567">
            <w:pPr>
              <w:pStyle w:val="ARfintablebody8pt"/>
              <w:rPr>
                <w:spacing w:val="-8"/>
                <w:sz w:val="15"/>
                <w:highlight w:val="green"/>
              </w:rPr>
            </w:pPr>
            <w:r w:rsidRPr="00AE386F">
              <w:rPr>
                <w:spacing w:val="-8"/>
              </w:rPr>
              <w:t xml:space="preserve">Appropriations </w:t>
            </w:r>
            <w:r>
              <w:rPr>
                <w:spacing w:val="-8"/>
              </w:rPr>
              <w:t>–</w:t>
            </w:r>
            <w:r w:rsidRPr="00AE386F">
              <w:rPr>
                <w:spacing w:val="-8"/>
              </w:rPr>
              <w:t xml:space="preserve"> payments made on behalf of the state</w:t>
            </w:r>
          </w:p>
        </w:tc>
        <w:tc>
          <w:tcPr>
            <w:tcW w:w="715" w:type="dxa"/>
            <w:noWrap/>
          </w:tcPr>
          <w:p w14:paraId="48931B58" w14:textId="77777777" w:rsidR="00DA4567" w:rsidRPr="00BA7805" w:rsidRDefault="00DA4567">
            <w:pPr>
              <w:pStyle w:val="ARfintablebodyright8pt"/>
              <w:rPr>
                <w:highlight w:val="green"/>
              </w:rPr>
            </w:pPr>
            <w:r w:rsidRPr="00CE0F71">
              <w:t>74.0</w:t>
            </w:r>
          </w:p>
        </w:tc>
        <w:tc>
          <w:tcPr>
            <w:tcW w:w="715" w:type="dxa"/>
            <w:noWrap/>
          </w:tcPr>
          <w:p w14:paraId="4E8CCB65" w14:textId="77777777" w:rsidR="00DA4567" w:rsidRPr="00BA7805" w:rsidRDefault="00DA4567">
            <w:pPr>
              <w:pStyle w:val="ARfintablebodyright8pt"/>
              <w:rPr>
                <w:highlight w:val="green"/>
              </w:rPr>
            </w:pPr>
            <w:r>
              <w:t>–</w:t>
            </w:r>
          </w:p>
        </w:tc>
        <w:tc>
          <w:tcPr>
            <w:tcW w:w="715" w:type="dxa"/>
            <w:noWrap/>
          </w:tcPr>
          <w:p w14:paraId="0A63C606" w14:textId="77777777" w:rsidR="00DA4567" w:rsidRPr="00BA7805" w:rsidRDefault="00DA4567">
            <w:pPr>
              <w:pStyle w:val="ARfintablebodyright8pt"/>
              <w:rPr>
                <w:highlight w:val="green"/>
              </w:rPr>
            </w:pPr>
            <w:r>
              <w:t>–</w:t>
            </w:r>
          </w:p>
        </w:tc>
        <w:tc>
          <w:tcPr>
            <w:tcW w:w="714" w:type="dxa"/>
            <w:noWrap/>
          </w:tcPr>
          <w:p w14:paraId="30B08FF9" w14:textId="77777777" w:rsidR="00DA4567" w:rsidRPr="00BA7805" w:rsidRDefault="00DA4567">
            <w:pPr>
              <w:pStyle w:val="ARfintablebodyright8pt"/>
              <w:rPr>
                <w:highlight w:val="green"/>
              </w:rPr>
            </w:pPr>
            <w:r>
              <w:t>–</w:t>
            </w:r>
          </w:p>
        </w:tc>
        <w:tc>
          <w:tcPr>
            <w:tcW w:w="714" w:type="dxa"/>
            <w:noWrap/>
          </w:tcPr>
          <w:p w14:paraId="00901B5A" w14:textId="77777777" w:rsidR="00DA4567" w:rsidRPr="00BA7805" w:rsidRDefault="00DA4567">
            <w:pPr>
              <w:pStyle w:val="ARfintablebodyright8pt"/>
              <w:rPr>
                <w:highlight w:val="green"/>
              </w:rPr>
            </w:pPr>
            <w:r>
              <w:t>–</w:t>
            </w:r>
          </w:p>
        </w:tc>
        <w:tc>
          <w:tcPr>
            <w:tcW w:w="715" w:type="dxa"/>
            <w:noWrap/>
          </w:tcPr>
          <w:p w14:paraId="337601A5" w14:textId="77777777" w:rsidR="00DA4567" w:rsidRPr="00BA7805" w:rsidRDefault="00DA4567">
            <w:pPr>
              <w:pStyle w:val="ARfintablebodyright8pt"/>
              <w:rPr>
                <w:highlight w:val="green"/>
              </w:rPr>
            </w:pPr>
            <w:r>
              <w:t>–</w:t>
            </w:r>
          </w:p>
        </w:tc>
        <w:tc>
          <w:tcPr>
            <w:tcW w:w="715" w:type="dxa"/>
            <w:noWrap/>
          </w:tcPr>
          <w:p w14:paraId="5129E864" w14:textId="77777777" w:rsidR="00DA4567" w:rsidRPr="00BA7805" w:rsidRDefault="00DA4567">
            <w:pPr>
              <w:pStyle w:val="ARfintablebodyright8pt"/>
              <w:rPr>
                <w:highlight w:val="green"/>
              </w:rPr>
            </w:pPr>
            <w:r>
              <w:t>–</w:t>
            </w:r>
          </w:p>
        </w:tc>
        <w:tc>
          <w:tcPr>
            <w:tcW w:w="715" w:type="dxa"/>
            <w:noWrap/>
          </w:tcPr>
          <w:p w14:paraId="4FC51450" w14:textId="77777777" w:rsidR="00DA4567" w:rsidRPr="00BA7805" w:rsidRDefault="00DA4567">
            <w:pPr>
              <w:pStyle w:val="ARfintablebodyright8pt"/>
              <w:rPr>
                <w:highlight w:val="green"/>
              </w:rPr>
            </w:pPr>
            <w:r>
              <w:t>–</w:t>
            </w:r>
          </w:p>
        </w:tc>
        <w:tc>
          <w:tcPr>
            <w:tcW w:w="715" w:type="dxa"/>
            <w:noWrap/>
          </w:tcPr>
          <w:p w14:paraId="56A92A43" w14:textId="77777777" w:rsidR="00DA4567" w:rsidRPr="00BA7805" w:rsidRDefault="00DA4567">
            <w:pPr>
              <w:pStyle w:val="ARfintablebodyright8pt"/>
              <w:rPr>
                <w:highlight w:val="green"/>
              </w:rPr>
            </w:pPr>
            <w:r>
              <w:t>–</w:t>
            </w:r>
          </w:p>
        </w:tc>
        <w:tc>
          <w:tcPr>
            <w:tcW w:w="715" w:type="dxa"/>
            <w:noWrap/>
          </w:tcPr>
          <w:p w14:paraId="32C72714" w14:textId="77777777" w:rsidR="00DA4567" w:rsidRPr="00BA7805" w:rsidRDefault="00DA4567">
            <w:pPr>
              <w:pStyle w:val="ARfintablebodyright8pt"/>
              <w:rPr>
                <w:highlight w:val="green"/>
              </w:rPr>
            </w:pPr>
            <w:r>
              <w:t>–</w:t>
            </w:r>
          </w:p>
        </w:tc>
        <w:tc>
          <w:tcPr>
            <w:tcW w:w="715" w:type="dxa"/>
            <w:noWrap/>
          </w:tcPr>
          <w:p w14:paraId="1D3302D5" w14:textId="77777777" w:rsidR="00DA4567" w:rsidRPr="00BA7805" w:rsidRDefault="00DA4567">
            <w:pPr>
              <w:pStyle w:val="ARfintablebodyright8pt"/>
              <w:rPr>
                <w:highlight w:val="green"/>
              </w:rPr>
            </w:pPr>
            <w:r>
              <w:t>–</w:t>
            </w:r>
          </w:p>
        </w:tc>
        <w:tc>
          <w:tcPr>
            <w:tcW w:w="715" w:type="dxa"/>
            <w:noWrap/>
          </w:tcPr>
          <w:p w14:paraId="490073AE" w14:textId="77777777" w:rsidR="00DA4567" w:rsidRPr="00BA7805" w:rsidRDefault="00DA4567">
            <w:pPr>
              <w:pStyle w:val="ARfintablebodyright8pt"/>
              <w:rPr>
                <w:highlight w:val="green"/>
              </w:rPr>
            </w:pPr>
            <w:r>
              <w:t>–</w:t>
            </w:r>
          </w:p>
        </w:tc>
        <w:tc>
          <w:tcPr>
            <w:tcW w:w="715" w:type="dxa"/>
            <w:noWrap/>
          </w:tcPr>
          <w:p w14:paraId="3162ACEF" w14:textId="77777777" w:rsidR="00DA4567" w:rsidRPr="00BA7805" w:rsidRDefault="00DA4567">
            <w:pPr>
              <w:pStyle w:val="ARfintablebodyright8pt"/>
              <w:rPr>
                <w:highlight w:val="green"/>
              </w:rPr>
            </w:pPr>
            <w:r>
              <w:t>–</w:t>
            </w:r>
          </w:p>
        </w:tc>
        <w:tc>
          <w:tcPr>
            <w:tcW w:w="715" w:type="dxa"/>
            <w:noWrap/>
          </w:tcPr>
          <w:p w14:paraId="319114AF" w14:textId="77777777" w:rsidR="00DA4567" w:rsidRPr="00BA7805" w:rsidRDefault="00DA4567">
            <w:pPr>
              <w:pStyle w:val="ARfintablebodyright8pt"/>
              <w:rPr>
                <w:highlight w:val="green"/>
              </w:rPr>
            </w:pPr>
            <w:r w:rsidRPr="00CE0F71">
              <w:t>2,788.7</w:t>
            </w:r>
          </w:p>
        </w:tc>
        <w:tc>
          <w:tcPr>
            <w:tcW w:w="716" w:type="dxa"/>
            <w:noWrap/>
          </w:tcPr>
          <w:p w14:paraId="25D33878" w14:textId="77777777" w:rsidR="00DA4567" w:rsidRPr="00BA7805" w:rsidRDefault="00DA4567">
            <w:pPr>
              <w:pStyle w:val="ARfintablebodyright8pt"/>
              <w:rPr>
                <w:highlight w:val="green"/>
              </w:rPr>
            </w:pPr>
            <w:r w:rsidRPr="00CE0F71">
              <w:t>2,862.7</w:t>
            </w:r>
          </w:p>
        </w:tc>
      </w:tr>
      <w:tr w:rsidR="00DA4567" w:rsidRPr="00BA7805" w14:paraId="4BF78BC1" w14:textId="77777777">
        <w:tc>
          <w:tcPr>
            <w:tcW w:w="3846" w:type="dxa"/>
            <w:tcBorders>
              <w:bottom w:val="single" w:sz="4" w:space="0" w:color="A6A6A6" w:themeColor="accent5"/>
            </w:tcBorders>
          </w:tcPr>
          <w:p w14:paraId="72CA9C41" w14:textId="77777777" w:rsidR="00DA4567" w:rsidRPr="00BA7805" w:rsidRDefault="00DA4567">
            <w:pPr>
              <w:pStyle w:val="ARfintablebody8pt"/>
              <w:rPr>
                <w:sz w:val="15"/>
                <w:highlight w:val="green"/>
              </w:rPr>
            </w:pPr>
            <w:r w:rsidRPr="00CE0F71">
              <w:t xml:space="preserve">Grants </w:t>
            </w:r>
            <w:r w:rsidRPr="00AE386F">
              <w:rPr>
                <w:vertAlign w:val="superscript"/>
              </w:rPr>
              <w:t>(iii)</w:t>
            </w:r>
          </w:p>
        </w:tc>
        <w:tc>
          <w:tcPr>
            <w:tcW w:w="715" w:type="dxa"/>
            <w:tcBorders>
              <w:bottom w:val="single" w:sz="4" w:space="0" w:color="A6A6A6" w:themeColor="accent5"/>
            </w:tcBorders>
            <w:noWrap/>
          </w:tcPr>
          <w:p w14:paraId="61D95CED" w14:textId="77777777" w:rsidR="00DA4567" w:rsidRPr="00BA7805" w:rsidRDefault="00DA4567">
            <w:pPr>
              <w:pStyle w:val="ARfintablebodyright8pt"/>
              <w:rPr>
                <w:highlight w:val="green"/>
              </w:rPr>
            </w:pPr>
            <w:r w:rsidRPr="00CE0F71">
              <w:t>11.5</w:t>
            </w:r>
          </w:p>
        </w:tc>
        <w:tc>
          <w:tcPr>
            <w:tcW w:w="715" w:type="dxa"/>
            <w:tcBorders>
              <w:bottom w:val="single" w:sz="4" w:space="0" w:color="A6A6A6" w:themeColor="accent5"/>
            </w:tcBorders>
            <w:noWrap/>
          </w:tcPr>
          <w:p w14:paraId="6ACEDEEA" w14:textId="77777777" w:rsidR="00DA4567" w:rsidRPr="00BA7805" w:rsidRDefault="00DA4567">
            <w:pPr>
              <w:pStyle w:val="ARfintablebodyright8pt"/>
              <w:rPr>
                <w:highlight w:val="green"/>
              </w:rPr>
            </w:pPr>
            <w:r w:rsidRPr="00CE0F71">
              <w:t>0.3</w:t>
            </w:r>
          </w:p>
        </w:tc>
        <w:tc>
          <w:tcPr>
            <w:tcW w:w="715" w:type="dxa"/>
            <w:tcBorders>
              <w:bottom w:val="single" w:sz="4" w:space="0" w:color="A6A6A6" w:themeColor="accent5"/>
            </w:tcBorders>
            <w:noWrap/>
          </w:tcPr>
          <w:p w14:paraId="1D4AA9A7" w14:textId="77777777" w:rsidR="00DA4567" w:rsidRPr="00BA7805" w:rsidRDefault="00DA4567">
            <w:pPr>
              <w:pStyle w:val="ARfintablebodyright8pt"/>
              <w:rPr>
                <w:highlight w:val="green"/>
              </w:rPr>
            </w:pPr>
            <w:r w:rsidRPr="00CE0F71">
              <w:t>6.1</w:t>
            </w:r>
          </w:p>
        </w:tc>
        <w:tc>
          <w:tcPr>
            <w:tcW w:w="714" w:type="dxa"/>
            <w:tcBorders>
              <w:bottom w:val="single" w:sz="4" w:space="0" w:color="A6A6A6" w:themeColor="accent5"/>
            </w:tcBorders>
            <w:noWrap/>
          </w:tcPr>
          <w:p w14:paraId="545B1BD9" w14:textId="77777777" w:rsidR="00DA4567" w:rsidRPr="00BA7805" w:rsidRDefault="00DA4567">
            <w:pPr>
              <w:pStyle w:val="ARfintablebodyright8pt"/>
              <w:rPr>
                <w:highlight w:val="green"/>
              </w:rPr>
            </w:pPr>
            <w:r>
              <w:t>–</w:t>
            </w:r>
          </w:p>
        </w:tc>
        <w:tc>
          <w:tcPr>
            <w:tcW w:w="714" w:type="dxa"/>
            <w:tcBorders>
              <w:bottom w:val="single" w:sz="4" w:space="0" w:color="A6A6A6" w:themeColor="accent5"/>
            </w:tcBorders>
            <w:noWrap/>
          </w:tcPr>
          <w:p w14:paraId="464825CE" w14:textId="77777777" w:rsidR="00DA4567" w:rsidRPr="00BA7805" w:rsidRDefault="00DA4567">
            <w:pPr>
              <w:pStyle w:val="ARfintablebodyright8pt"/>
              <w:rPr>
                <w:highlight w:val="green"/>
              </w:rPr>
            </w:pPr>
            <w:r>
              <w:t>–</w:t>
            </w:r>
          </w:p>
        </w:tc>
        <w:tc>
          <w:tcPr>
            <w:tcW w:w="715" w:type="dxa"/>
            <w:tcBorders>
              <w:bottom w:val="single" w:sz="4" w:space="0" w:color="A6A6A6" w:themeColor="accent5"/>
            </w:tcBorders>
            <w:noWrap/>
          </w:tcPr>
          <w:p w14:paraId="58DF1EBC" w14:textId="77777777" w:rsidR="00DA4567" w:rsidRPr="00BA7805" w:rsidRDefault="00DA4567">
            <w:pPr>
              <w:pStyle w:val="ARfintablebodyright8pt"/>
              <w:rPr>
                <w:highlight w:val="green"/>
              </w:rPr>
            </w:pPr>
            <w:r>
              <w:t>–</w:t>
            </w:r>
          </w:p>
        </w:tc>
        <w:tc>
          <w:tcPr>
            <w:tcW w:w="715" w:type="dxa"/>
            <w:tcBorders>
              <w:bottom w:val="single" w:sz="4" w:space="0" w:color="A6A6A6" w:themeColor="accent5"/>
            </w:tcBorders>
            <w:noWrap/>
          </w:tcPr>
          <w:p w14:paraId="02AAF668" w14:textId="77777777" w:rsidR="00DA4567" w:rsidRPr="00BA7805" w:rsidRDefault="00DA4567">
            <w:pPr>
              <w:pStyle w:val="ARfintablebodyright8pt"/>
              <w:rPr>
                <w:highlight w:val="green"/>
              </w:rPr>
            </w:pPr>
            <w:r>
              <w:t>–</w:t>
            </w:r>
          </w:p>
        </w:tc>
        <w:tc>
          <w:tcPr>
            <w:tcW w:w="715" w:type="dxa"/>
            <w:tcBorders>
              <w:bottom w:val="single" w:sz="4" w:space="0" w:color="A6A6A6" w:themeColor="accent5"/>
            </w:tcBorders>
            <w:noWrap/>
          </w:tcPr>
          <w:p w14:paraId="73BB9AAB" w14:textId="77777777" w:rsidR="00DA4567" w:rsidRPr="00BA7805" w:rsidRDefault="00DA4567">
            <w:pPr>
              <w:pStyle w:val="ARfintablebodyright8pt"/>
              <w:rPr>
                <w:highlight w:val="green"/>
              </w:rPr>
            </w:pPr>
            <w:r>
              <w:t>–</w:t>
            </w:r>
          </w:p>
        </w:tc>
        <w:tc>
          <w:tcPr>
            <w:tcW w:w="715" w:type="dxa"/>
            <w:tcBorders>
              <w:bottom w:val="single" w:sz="4" w:space="0" w:color="A6A6A6" w:themeColor="accent5"/>
            </w:tcBorders>
            <w:noWrap/>
          </w:tcPr>
          <w:p w14:paraId="7F297660" w14:textId="77777777" w:rsidR="00DA4567" w:rsidRPr="00BA7805" w:rsidRDefault="00DA4567">
            <w:pPr>
              <w:pStyle w:val="ARfintablebodyright8pt"/>
              <w:rPr>
                <w:highlight w:val="green"/>
              </w:rPr>
            </w:pPr>
            <w:r>
              <w:t>–</w:t>
            </w:r>
          </w:p>
        </w:tc>
        <w:tc>
          <w:tcPr>
            <w:tcW w:w="715" w:type="dxa"/>
            <w:tcBorders>
              <w:bottom w:val="single" w:sz="4" w:space="0" w:color="A6A6A6" w:themeColor="accent5"/>
            </w:tcBorders>
            <w:noWrap/>
          </w:tcPr>
          <w:p w14:paraId="74AF3323" w14:textId="77777777" w:rsidR="00DA4567" w:rsidRPr="00BA7805" w:rsidRDefault="00DA4567">
            <w:pPr>
              <w:pStyle w:val="ARfintablebodyright8pt"/>
              <w:rPr>
                <w:highlight w:val="green"/>
              </w:rPr>
            </w:pPr>
            <w:r>
              <w:t>–</w:t>
            </w:r>
          </w:p>
        </w:tc>
        <w:tc>
          <w:tcPr>
            <w:tcW w:w="715" w:type="dxa"/>
            <w:tcBorders>
              <w:bottom w:val="single" w:sz="4" w:space="0" w:color="A6A6A6" w:themeColor="accent5"/>
            </w:tcBorders>
            <w:noWrap/>
          </w:tcPr>
          <w:p w14:paraId="0049C612" w14:textId="77777777" w:rsidR="00DA4567" w:rsidRPr="00BA7805" w:rsidRDefault="00DA4567">
            <w:pPr>
              <w:pStyle w:val="ARfintablebodyright8pt"/>
              <w:rPr>
                <w:highlight w:val="green"/>
              </w:rPr>
            </w:pPr>
            <w:r>
              <w:t>–</w:t>
            </w:r>
          </w:p>
        </w:tc>
        <w:tc>
          <w:tcPr>
            <w:tcW w:w="715" w:type="dxa"/>
            <w:tcBorders>
              <w:bottom w:val="single" w:sz="4" w:space="0" w:color="A6A6A6" w:themeColor="accent5"/>
            </w:tcBorders>
            <w:noWrap/>
          </w:tcPr>
          <w:p w14:paraId="294059DC" w14:textId="77777777" w:rsidR="00DA4567" w:rsidRPr="00BA7805" w:rsidRDefault="00DA4567">
            <w:pPr>
              <w:pStyle w:val="ARfintablebodyright8pt"/>
              <w:rPr>
                <w:highlight w:val="green"/>
              </w:rPr>
            </w:pPr>
            <w:r>
              <w:t>–</w:t>
            </w:r>
          </w:p>
        </w:tc>
        <w:tc>
          <w:tcPr>
            <w:tcW w:w="715" w:type="dxa"/>
            <w:tcBorders>
              <w:bottom w:val="single" w:sz="4" w:space="0" w:color="A6A6A6" w:themeColor="accent5"/>
            </w:tcBorders>
            <w:noWrap/>
          </w:tcPr>
          <w:p w14:paraId="24C4250A" w14:textId="77777777" w:rsidR="00DA4567" w:rsidRPr="00BA7805" w:rsidRDefault="00DA4567">
            <w:pPr>
              <w:pStyle w:val="ARfintablebodyright8pt"/>
              <w:rPr>
                <w:highlight w:val="green"/>
              </w:rPr>
            </w:pPr>
            <w:r>
              <w:t>–</w:t>
            </w:r>
          </w:p>
        </w:tc>
        <w:tc>
          <w:tcPr>
            <w:tcW w:w="715" w:type="dxa"/>
            <w:tcBorders>
              <w:bottom w:val="single" w:sz="4" w:space="0" w:color="A6A6A6" w:themeColor="accent5"/>
            </w:tcBorders>
            <w:noWrap/>
          </w:tcPr>
          <w:p w14:paraId="13CDC9E0" w14:textId="77777777" w:rsidR="00DA4567" w:rsidRPr="00BA7805" w:rsidRDefault="00DA4567">
            <w:pPr>
              <w:pStyle w:val="ARfintablebodyright8pt"/>
              <w:rPr>
                <w:highlight w:val="green"/>
              </w:rPr>
            </w:pPr>
            <w:r>
              <w:t>–</w:t>
            </w:r>
          </w:p>
        </w:tc>
        <w:tc>
          <w:tcPr>
            <w:tcW w:w="716" w:type="dxa"/>
            <w:tcBorders>
              <w:bottom w:val="single" w:sz="4" w:space="0" w:color="A6A6A6" w:themeColor="accent5"/>
            </w:tcBorders>
            <w:noWrap/>
          </w:tcPr>
          <w:p w14:paraId="58C656AA" w14:textId="77777777" w:rsidR="00DA4567" w:rsidRPr="00BA7805" w:rsidRDefault="00DA4567">
            <w:pPr>
              <w:pStyle w:val="ARfintablebodyright8pt"/>
              <w:rPr>
                <w:highlight w:val="green"/>
              </w:rPr>
            </w:pPr>
            <w:r w:rsidRPr="00CE0F71">
              <w:t>17.9</w:t>
            </w:r>
          </w:p>
        </w:tc>
      </w:tr>
      <w:tr w:rsidR="00DA4567" w:rsidRPr="00BA7805" w14:paraId="5C593FFB" w14:textId="77777777">
        <w:tc>
          <w:tcPr>
            <w:tcW w:w="3846" w:type="dxa"/>
            <w:tcBorders>
              <w:top w:val="single" w:sz="4" w:space="0" w:color="A6A6A6" w:themeColor="accent5"/>
              <w:bottom w:val="single" w:sz="4" w:space="0" w:color="000000" w:themeColor="text1"/>
            </w:tcBorders>
          </w:tcPr>
          <w:p w14:paraId="72B93657" w14:textId="77777777" w:rsidR="00DA4567" w:rsidRPr="00BA7805" w:rsidRDefault="00DA4567">
            <w:pPr>
              <w:pStyle w:val="ARfintablebody8pt"/>
              <w:rPr>
                <w:sz w:val="15"/>
                <w:highlight w:val="green"/>
              </w:rPr>
            </w:pPr>
            <w:r w:rsidRPr="00CE0F71">
              <w:t>Other</w:t>
            </w:r>
          </w:p>
        </w:tc>
        <w:tc>
          <w:tcPr>
            <w:tcW w:w="715" w:type="dxa"/>
            <w:tcBorders>
              <w:top w:val="single" w:sz="4" w:space="0" w:color="A6A6A6" w:themeColor="accent5"/>
              <w:bottom w:val="single" w:sz="4" w:space="0" w:color="000000" w:themeColor="text1"/>
            </w:tcBorders>
            <w:noWrap/>
          </w:tcPr>
          <w:p w14:paraId="46668F88" w14:textId="77777777" w:rsidR="00DA4567" w:rsidRPr="00BA7805" w:rsidRDefault="00DA4567">
            <w:pPr>
              <w:pStyle w:val="ARfintablebodyright8pt"/>
              <w:rPr>
                <w:highlight w:val="green"/>
              </w:rPr>
            </w:pPr>
            <w:r w:rsidRPr="00CE0F71">
              <w:t>16.7</w:t>
            </w:r>
          </w:p>
        </w:tc>
        <w:tc>
          <w:tcPr>
            <w:tcW w:w="715" w:type="dxa"/>
            <w:tcBorders>
              <w:top w:val="single" w:sz="4" w:space="0" w:color="A6A6A6" w:themeColor="accent5"/>
              <w:bottom w:val="single" w:sz="4" w:space="0" w:color="000000" w:themeColor="text1"/>
            </w:tcBorders>
            <w:noWrap/>
          </w:tcPr>
          <w:p w14:paraId="679D2BD8" w14:textId="77777777" w:rsidR="00DA4567" w:rsidRPr="00BA7805" w:rsidRDefault="00DA4567">
            <w:pPr>
              <w:pStyle w:val="ARfintablebodyright8pt"/>
              <w:rPr>
                <w:highlight w:val="green"/>
              </w:rPr>
            </w:pPr>
            <w:r w:rsidRPr="00CE0F71">
              <w:t>2.5</w:t>
            </w:r>
          </w:p>
        </w:tc>
        <w:tc>
          <w:tcPr>
            <w:tcW w:w="715" w:type="dxa"/>
            <w:tcBorders>
              <w:top w:val="single" w:sz="4" w:space="0" w:color="A6A6A6" w:themeColor="accent5"/>
              <w:bottom w:val="single" w:sz="4" w:space="0" w:color="000000" w:themeColor="text1"/>
            </w:tcBorders>
            <w:noWrap/>
          </w:tcPr>
          <w:p w14:paraId="13A7FCB3" w14:textId="619B35E6" w:rsidR="00DA4567" w:rsidRPr="00BA7805" w:rsidRDefault="00430898">
            <w:pPr>
              <w:pStyle w:val="ARfintablebodyright8pt"/>
              <w:rPr>
                <w:highlight w:val="green"/>
              </w:rPr>
            </w:pPr>
            <w:r w:rsidRPr="00977145">
              <w:t>–</w:t>
            </w:r>
          </w:p>
        </w:tc>
        <w:tc>
          <w:tcPr>
            <w:tcW w:w="714" w:type="dxa"/>
            <w:tcBorders>
              <w:top w:val="single" w:sz="4" w:space="0" w:color="A6A6A6" w:themeColor="accent5"/>
              <w:bottom w:val="single" w:sz="4" w:space="0" w:color="000000" w:themeColor="text1"/>
            </w:tcBorders>
            <w:noWrap/>
          </w:tcPr>
          <w:p w14:paraId="2E9622D7" w14:textId="77777777" w:rsidR="00DA4567" w:rsidRPr="00BA7805" w:rsidRDefault="00DA4567">
            <w:pPr>
              <w:pStyle w:val="ARfintablebodyright8pt"/>
              <w:rPr>
                <w:highlight w:val="green"/>
              </w:rPr>
            </w:pPr>
            <w:r w:rsidRPr="00CE0F71">
              <w:t>0.2</w:t>
            </w:r>
          </w:p>
        </w:tc>
        <w:tc>
          <w:tcPr>
            <w:tcW w:w="714" w:type="dxa"/>
            <w:tcBorders>
              <w:top w:val="single" w:sz="4" w:space="0" w:color="A6A6A6" w:themeColor="accent5"/>
              <w:bottom w:val="single" w:sz="4" w:space="0" w:color="000000" w:themeColor="text1"/>
            </w:tcBorders>
            <w:noWrap/>
          </w:tcPr>
          <w:p w14:paraId="50C35457"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70877D52" w14:textId="77777777" w:rsidR="00DA4567" w:rsidRPr="00BA7805" w:rsidRDefault="00DA4567">
            <w:pPr>
              <w:pStyle w:val="ARfintablebodyright8pt"/>
              <w:rPr>
                <w:highlight w:val="green"/>
              </w:rPr>
            </w:pPr>
            <w:r w:rsidRPr="00CE0F71">
              <w:t>1.3</w:t>
            </w:r>
          </w:p>
        </w:tc>
        <w:tc>
          <w:tcPr>
            <w:tcW w:w="715" w:type="dxa"/>
            <w:tcBorders>
              <w:top w:val="single" w:sz="4" w:space="0" w:color="A6A6A6" w:themeColor="accent5"/>
              <w:bottom w:val="single" w:sz="4" w:space="0" w:color="000000" w:themeColor="text1"/>
            </w:tcBorders>
            <w:noWrap/>
          </w:tcPr>
          <w:p w14:paraId="18DFAC53"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57E2B79B"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2FAA8BC7" w14:textId="77777777" w:rsidR="00DA4567" w:rsidRPr="00BA7805" w:rsidRDefault="00DA4567">
            <w:pPr>
              <w:pStyle w:val="ARfintablebodyright8pt"/>
              <w:rPr>
                <w:highlight w:val="green"/>
              </w:rPr>
            </w:pPr>
            <w:r w:rsidRPr="00CE0F71">
              <w:t>0.1</w:t>
            </w:r>
          </w:p>
        </w:tc>
        <w:tc>
          <w:tcPr>
            <w:tcW w:w="715" w:type="dxa"/>
            <w:tcBorders>
              <w:top w:val="single" w:sz="4" w:space="0" w:color="A6A6A6" w:themeColor="accent5"/>
              <w:bottom w:val="single" w:sz="4" w:space="0" w:color="000000" w:themeColor="text1"/>
            </w:tcBorders>
            <w:noWrap/>
          </w:tcPr>
          <w:p w14:paraId="3CC11C4C"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576762A1"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343F9E38" w14:textId="77777777" w:rsidR="00DA4567" w:rsidRPr="00BA7805" w:rsidRDefault="00DA4567">
            <w:pPr>
              <w:pStyle w:val="ARfintablebodyright8pt"/>
              <w:rPr>
                <w:highlight w:val="green"/>
              </w:rPr>
            </w:pPr>
            <w:r w:rsidRPr="00CE0F71">
              <w:t>1.1</w:t>
            </w:r>
          </w:p>
        </w:tc>
        <w:tc>
          <w:tcPr>
            <w:tcW w:w="715" w:type="dxa"/>
            <w:tcBorders>
              <w:top w:val="single" w:sz="4" w:space="0" w:color="A6A6A6" w:themeColor="accent5"/>
              <w:bottom w:val="single" w:sz="4" w:space="0" w:color="000000" w:themeColor="text1"/>
            </w:tcBorders>
            <w:noWrap/>
          </w:tcPr>
          <w:p w14:paraId="07A59B1F" w14:textId="77777777" w:rsidR="00DA4567" w:rsidRPr="00BA7805" w:rsidRDefault="00DA4567">
            <w:pPr>
              <w:pStyle w:val="ARfintablebodyright8pt"/>
              <w:rPr>
                <w:highlight w:val="green"/>
              </w:rPr>
            </w:pPr>
            <w:r w:rsidRPr="00CE0F71">
              <w:t>5.1</w:t>
            </w:r>
          </w:p>
        </w:tc>
        <w:tc>
          <w:tcPr>
            <w:tcW w:w="715" w:type="dxa"/>
            <w:tcBorders>
              <w:top w:val="single" w:sz="4" w:space="0" w:color="A6A6A6" w:themeColor="accent5"/>
              <w:bottom w:val="single" w:sz="4" w:space="0" w:color="000000" w:themeColor="text1"/>
            </w:tcBorders>
            <w:noWrap/>
          </w:tcPr>
          <w:p w14:paraId="773CA064" w14:textId="77777777" w:rsidR="00DA4567" w:rsidRPr="00BA7805" w:rsidRDefault="00DA4567">
            <w:pPr>
              <w:pStyle w:val="ARfintablebodyright8pt"/>
              <w:rPr>
                <w:highlight w:val="green"/>
              </w:rPr>
            </w:pPr>
            <w:r>
              <w:t>–</w:t>
            </w:r>
          </w:p>
        </w:tc>
        <w:tc>
          <w:tcPr>
            <w:tcW w:w="716" w:type="dxa"/>
            <w:tcBorders>
              <w:top w:val="single" w:sz="4" w:space="0" w:color="A6A6A6" w:themeColor="accent5"/>
              <w:bottom w:val="single" w:sz="4" w:space="0" w:color="000000" w:themeColor="text1"/>
            </w:tcBorders>
            <w:noWrap/>
          </w:tcPr>
          <w:p w14:paraId="6BE21C01" w14:textId="77777777" w:rsidR="00DA4567" w:rsidRPr="00BA7805" w:rsidRDefault="00DA4567">
            <w:pPr>
              <w:pStyle w:val="ARfintablebodyright8pt"/>
              <w:rPr>
                <w:highlight w:val="green"/>
              </w:rPr>
            </w:pPr>
            <w:r w:rsidRPr="00CE0F71">
              <w:t>27.2</w:t>
            </w:r>
          </w:p>
        </w:tc>
      </w:tr>
      <w:tr w:rsidR="00DA4567" w:rsidRPr="00BA7805" w14:paraId="084F25E4" w14:textId="77777777">
        <w:tc>
          <w:tcPr>
            <w:tcW w:w="3846" w:type="dxa"/>
            <w:tcBorders>
              <w:top w:val="single" w:sz="4" w:space="0" w:color="000000" w:themeColor="text1"/>
              <w:bottom w:val="single" w:sz="4" w:space="0" w:color="000000" w:themeColor="text1"/>
            </w:tcBorders>
          </w:tcPr>
          <w:p w14:paraId="66F8767E" w14:textId="77777777" w:rsidR="00DA4567" w:rsidRPr="00BA7805" w:rsidRDefault="00DA4567">
            <w:pPr>
              <w:pStyle w:val="ARfintablebodybold8pt"/>
              <w:rPr>
                <w:sz w:val="15"/>
                <w:highlight w:val="green"/>
              </w:rPr>
            </w:pPr>
            <w:r w:rsidRPr="00CE0F71">
              <w:t>Total administered revenue and income from</w:t>
            </w:r>
            <w:r>
              <w:t> </w:t>
            </w:r>
            <w:r w:rsidRPr="00CE0F71">
              <w:t>transactions</w:t>
            </w:r>
          </w:p>
        </w:tc>
        <w:tc>
          <w:tcPr>
            <w:tcW w:w="715" w:type="dxa"/>
            <w:tcBorders>
              <w:top w:val="single" w:sz="4" w:space="0" w:color="000000" w:themeColor="text1"/>
              <w:bottom w:val="single" w:sz="4" w:space="0" w:color="000000" w:themeColor="text1"/>
            </w:tcBorders>
            <w:noWrap/>
          </w:tcPr>
          <w:p w14:paraId="64E6B8B5" w14:textId="77777777" w:rsidR="00DA4567" w:rsidRPr="00BA7805" w:rsidRDefault="00DA4567">
            <w:pPr>
              <w:pStyle w:val="ARfintablebodyrightbold8pt"/>
              <w:rPr>
                <w:highlight w:val="green"/>
              </w:rPr>
            </w:pPr>
            <w:r w:rsidRPr="00CE0F71">
              <w:t>138.2</w:t>
            </w:r>
          </w:p>
        </w:tc>
        <w:tc>
          <w:tcPr>
            <w:tcW w:w="715" w:type="dxa"/>
            <w:tcBorders>
              <w:top w:val="single" w:sz="4" w:space="0" w:color="000000" w:themeColor="text1"/>
              <w:bottom w:val="single" w:sz="4" w:space="0" w:color="000000" w:themeColor="text1"/>
            </w:tcBorders>
            <w:noWrap/>
          </w:tcPr>
          <w:p w14:paraId="0248D80A" w14:textId="77777777" w:rsidR="00DA4567" w:rsidRPr="00BA7805" w:rsidRDefault="00DA4567">
            <w:pPr>
              <w:pStyle w:val="ARfintablebodyrightbold8pt"/>
              <w:rPr>
                <w:highlight w:val="green"/>
              </w:rPr>
            </w:pPr>
            <w:r w:rsidRPr="00CE0F71">
              <w:t>5.0</w:t>
            </w:r>
          </w:p>
        </w:tc>
        <w:tc>
          <w:tcPr>
            <w:tcW w:w="715" w:type="dxa"/>
            <w:tcBorders>
              <w:top w:val="single" w:sz="4" w:space="0" w:color="000000" w:themeColor="text1"/>
              <w:bottom w:val="single" w:sz="4" w:space="0" w:color="000000" w:themeColor="text1"/>
            </w:tcBorders>
            <w:noWrap/>
          </w:tcPr>
          <w:p w14:paraId="3F94BAC5" w14:textId="77777777" w:rsidR="00DA4567" w:rsidRPr="00BA7805" w:rsidRDefault="00DA4567">
            <w:pPr>
              <w:pStyle w:val="ARfintablebodyrightbold8pt"/>
              <w:rPr>
                <w:highlight w:val="green"/>
              </w:rPr>
            </w:pPr>
            <w:r w:rsidRPr="00CE0F71">
              <w:t>6.1</w:t>
            </w:r>
          </w:p>
        </w:tc>
        <w:tc>
          <w:tcPr>
            <w:tcW w:w="714" w:type="dxa"/>
            <w:tcBorders>
              <w:top w:val="single" w:sz="4" w:space="0" w:color="000000" w:themeColor="text1"/>
              <w:bottom w:val="single" w:sz="4" w:space="0" w:color="000000" w:themeColor="text1"/>
            </w:tcBorders>
            <w:noWrap/>
          </w:tcPr>
          <w:p w14:paraId="47CDE7D1" w14:textId="77777777" w:rsidR="00DA4567" w:rsidRPr="00BA7805" w:rsidRDefault="00DA4567">
            <w:pPr>
              <w:pStyle w:val="ARfintablebodyrightbold8pt"/>
              <w:rPr>
                <w:highlight w:val="green"/>
              </w:rPr>
            </w:pPr>
            <w:r w:rsidRPr="00CE0F71">
              <w:t>0.2</w:t>
            </w:r>
          </w:p>
        </w:tc>
        <w:tc>
          <w:tcPr>
            <w:tcW w:w="714" w:type="dxa"/>
            <w:tcBorders>
              <w:top w:val="single" w:sz="4" w:space="0" w:color="000000" w:themeColor="text1"/>
              <w:bottom w:val="single" w:sz="4" w:space="0" w:color="000000" w:themeColor="text1"/>
            </w:tcBorders>
            <w:noWrap/>
          </w:tcPr>
          <w:p w14:paraId="41431C03"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469665D2" w14:textId="77777777" w:rsidR="00DA4567" w:rsidRPr="00BA7805" w:rsidRDefault="00DA4567">
            <w:pPr>
              <w:pStyle w:val="ARfintablebodyrightbold8pt"/>
              <w:rPr>
                <w:highlight w:val="green"/>
              </w:rPr>
            </w:pPr>
            <w:r w:rsidRPr="00CE0F71">
              <w:t>2.0</w:t>
            </w:r>
          </w:p>
        </w:tc>
        <w:tc>
          <w:tcPr>
            <w:tcW w:w="715" w:type="dxa"/>
            <w:tcBorders>
              <w:top w:val="single" w:sz="4" w:space="0" w:color="000000" w:themeColor="text1"/>
              <w:bottom w:val="single" w:sz="4" w:space="0" w:color="000000" w:themeColor="text1"/>
            </w:tcBorders>
            <w:noWrap/>
          </w:tcPr>
          <w:p w14:paraId="12CD151D"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60AFBB9F"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50BDA48B" w14:textId="77777777" w:rsidR="00DA4567" w:rsidRPr="00BA7805" w:rsidRDefault="00DA4567">
            <w:pPr>
              <w:pStyle w:val="ARfintablebodyrightbold8pt"/>
              <w:rPr>
                <w:highlight w:val="green"/>
              </w:rPr>
            </w:pPr>
            <w:r w:rsidRPr="00CE0F71">
              <w:t>0.1</w:t>
            </w:r>
          </w:p>
        </w:tc>
        <w:tc>
          <w:tcPr>
            <w:tcW w:w="715" w:type="dxa"/>
            <w:tcBorders>
              <w:top w:val="single" w:sz="4" w:space="0" w:color="000000" w:themeColor="text1"/>
              <w:bottom w:val="single" w:sz="4" w:space="0" w:color="000000" w:themeColor="text1"/>
            </w:tcBorders>
            <w:noWrap/>
          </w:tcPr>
          <w:p w14:paraId="165E43E9"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39600C33"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34C0D01A" w14:textId="77777777" w:rsidR="00DA4567" w:rsidRPr="00BA7805" w:rsidRDefault="00DA4567">
            <w:pPr>
              <w:pStyle w:val="ARfintablebodyrightbold8pt"/>
              <w:rPr>
                <w:highlight w:val="green"/>
              </w:rPr>
            </w:pPr>
            <w:r w:rsidRPr="00CE0F71">
              <w:t>1.1</w:t>
            </w:r>
          </w:p>
        </w:tc>
        <w:tc>
          <w:tcPr>
            <w:tcW w:w="715" w:type="dxa"/>
            <w:tcBorders>
              <w:top w:val="single" w:sz="4" w:space="0" w:color="000000" w:themeColor="text1"/>
              <w:bottom w:val="single" w:sz="4" w:space="0" w:color="000000" w:themeColor="text1"/>
            </w:tcBorders>
            <w:noWrap/>
          </w:tcPr>
          <w:p w14:paraId="63FC4B89" w14:textId="77777777" w:rsidR="00DA4567" w:rsidRPr="00BA7805" w:rsidRDefault="00DA4567">
            <w:pPr>
              <w:pStyle w:val="ARfintablebodyrightbold8pt"/>
              <w:rPr>
                <w:highlight w:val="green"/>
              </w:rPr>
            </w:pPr>
            <w:r w:rsidRPr="00CE0F71">
              <w:t>6.6</w:t>
            </w:r>
          </w:p>
        </w:tc>
        <w:tc>
          <w:tcPr>
            <w:tcW w:w="715" w:type="dxa"/>
            <w:tcBorders>
              <w:top w:val="single" w:sz="4" w:space="0" w:color="000000" w:themeColor="text1"/>
              <w:bottom w:val="single" w:sz="4" w:space="0" w:color="000000" w:themeColor="text1"/>
            </w:tcBorders>
            <w:noWrap/>
          </w:tcPr>
          <w:p w14:paraId="60EABBA8" w14:textId="77777777" w:rsidR="00DA4567" w:rsidRPr="00BA7805" w:rsidRDefault="00DA4567">
            <w:pPr>
              <w:pStyle w:val="ARfintablebodyrightbold8pt"/>
              <w:rPr>
                <w:highlight w:val="green"/>
              </w:rPr>
            </w:pPr>
            <w:r w:rsidRPr="00CE0F71">
              <w:t>2,788.7</w:t>
            </w:r>
          </w:p>
        </w:tc>
        <w:tc>
          <w:tcPr>
            <w:tcW w:w="716" w:type="dxa"/>
            <w:tcBorders>
              <w:top w:val="single" w:sz="4" w:space="0" w:color="000000" w:themeColor="text1"/>
              <w:bottom w:val="single" w:sz="4" w:space="0" w:color="000000" w:themeColor="text1"/>
            </w:tcBorders>
            <w:noWrap/>
          </w:tcPr>
          <w:p w14:paraId="282E03A9" w14:textId="77777777" w:rsidR="00DA4567" w:rsidRPr="00BA7805" w:rsidRDefault="00DA4567">
            <w:pPr>
              <w:pStyle w:val="ARfintablebodyrightbold8pt"/>
              <w:rPr>
                <w:highlight w:val="green"/>
              </w:rPr>
            </w:pPr>
            <w:r w:rsidRPr="00CE0F71">
              <w:t>2,948.0</w:t>
            </w:r>
          </w:p>
        </w:tc>
      </w:tr>
      <w:tr w:rsidR="00DA4567" w:rsidRPr="00BA7805" w14:paraId="2847BB14" w14:textId="77777777">
        <w:tc>
          <w:tcPr>
            <w:tcW w:w="3846" w:type="dxa"/>
            <w:tcBorders>
              <w:top w:val="single" w:sz="4" w:space="0" w:color="000000" w:themeColor="text1"/>
            </w:tcBorders>
          </w:tcPr>
          <w:p w14:paraId="5F6D57D8" w14:textId="77777777" w:rsidR="00DA4567" w:rsidRPr="00BA7805" w:rsidRDefault="00DA4567">
            <w:pPr>
              <w:pStyle w:val="ARfintablebodybold8pt"/>
              <w:rPr>
                <w:sz w:val="15"/>
                <w:highlight w:val="green"/>
              </w:rPr>
            </w:pPr>
            <w:r w:rsidRPr="00CE0F71">
              <w:t>Administered expenses from transactions</w:t>
            </w:r>
          </w:p>
        </w:tc>
        <w:tc>
          <w:tcPr>
            <w:tcW w:w="715" w:type="dxa"/>
            <w:tcBorders>
              <w:top w:val="single" w:sz="4" w:space="0" w:color="000000" w:themeColor="text1"/>
            </w:tcBorders>
            <w:noWrap/>
          </w:tcPr>
          <w:p w14:paraId="00CFE645" w14:textId="77777777" w:rsidR="00DA4567" w:rsidRPr="00BA7805" w:rsidRDefault="00DA4567">
            <w:pPr>
              <w:pStyle w:val="ARfintablebodyright8pt"/>
              <w:rPr>
                <w:highlight w:val="green"/>
              </w:rPr>
            </w:pPr>
          </w:p>
        </w:tc>
        <w:tc>
          <w:tcPr>
            <w:tcW w:w="715" w:type="dxa"/>
            <w:tcBorders>
              <w:top w:val="single" w:sz="4" w:space="0" w:color="000000" w:themeColor="text1"/>
            </w:tcBorders>
            <w:noWrap/>
          </w:tcPr>
          <w:p w14:paraId="42C18EA7" w14:textId="77777777" w:rsidR="00DA4567" w:rsidRPr="00BA7805" w:rsidRDefault="00DA4567">
            <w:pPr>
              <w:pStyle w:val="ARfintablebodyright8pt"/>
              <w:rPr>
                <w:highlight w:val="green"/>
              </w:rPr>
            </w:pPr>
          </w:p>
        </w:tc>
        <w:tc>
          <w:tcPr>
            <w:tcW w:w="715" w:type="dxa"/>
            <w:tcBorders>
              <w:top w:val="single" w:sz="4" w:space="0" w:color="000000" w:themeColor="text1"/>
            </w:tcBorders>
            <w:noWrap/>
          </w:tcPr>
          <w:p w14:paraId="168A6F3E" w14:textId="77777777" w:rsidR="00DA4567" w:rsidRPr="00BA7805" w:rsidRDefault="00DA4567">
            <w:pPr>
              <w:pStyle w:val="ARfintablebodyright8pt"/>
              <w:rPr>
                <w:highlight w:val="green"/>
              </w:rPr>
            </w:pPr>
          </w:p>
        </w:tc>
        <w:tc>
          <w:tcPr>
            <w:tcW w:w="714" w:type="dxa"/>
            <w:tcBorders>
              <w:top w:val="single" w:sz="4" w:space="0" w:color="000000" w:themeColor="text1"/>
            </w:tcBorders>
            <w:noWrap/>
          </w:tcPr>
          <w:p w14:paraId="57DA62E8" w14:textId="77777777" w:rsidR="00DA4567" w:rsidRPr="00BA7805" w:rsidRDefault="00DA4567">
            <w:pPr>
              <w:pStyle w:val="ARfintablebodyright8pt"/>
              <w:rPr>
                <w:highlight w:val="green"/>
              </w:rPr>
            </w:pPr>
          </w:p>
        </w:tc>
        <w:tc>
          <w:tcPr>
            <w:tcW w:w="714" w:type="dxa"/>
            <w:tcBorders>
              <w:top w:val="single" w:sz="4" w:space="0" w:color="000000" w:themeColor="text1"/>
            </w:tcBorders>
            <w:noWrap/>
          </w:tcPr>
          <w:p w14:paraId="70113FC3" w14:textId="77777777" w:rsidR="00DA4567" w:rsidRPr="00BA7805" w:rsidRDefault="00DA4567">
            <w:pPr>
              <w:pStyle w:val="ARfintablebodyright8pt"/>
              <w:rPr>
                <w:highlight w:val="green"/>
              </w:rPr>
            </w:pPr>
          </w:p>
        </w:tc>
        <w:tc>
          <w:tcPr>
            <w:tcW w:w="715" w:type="dxa"/>
            <w:tcBorders>
              <w:top w:val="single" w:sz="4" w:space="0" w:color="000000" w:themeColor="text1"/>
            </w:tcBorders>
            <w:noWrap/>
          </w:tcPr>
          <w:p w14:paraId="60C801BE" w14:textId="77777777" w:rsidR="00DA4567" w:rsidRPr="00BA7805" w:rsidRDefault="00DA4567">
            <w:pPr>
              <w:pStyle w:val="ARfintablebodyright8pt"/>
              <w:rPr>
                <w:highlight w:val="green"/>
              </w:rPr>
            </w:pPr>
          </w:p>
        </w:tc>
        <w:tc>
          <w:tcPr>
            <w:tcW w:w="715" w:type="dxa"/>
            <w:tcBorders>
              <w:top w:val="single" w:sz="4" w:space="0" w:color="000000" w:themeColor="text1"/>
            </w:tcBorders>
            <w:noWrap/>
          </w:tcPr>
          <w:p w14:paraId="73F7B10F" w14:textId="77777777" w:rsidR="00DA4567" w:rsidRPr="00BA7805" w:rsidRDefault="00DA4567">
            <w:pPr>
              <w:pStyle w:val="ARfintablebodyright8pt"/>
              <w:rPr>
                <w:highlight w:val="green"/>
              </w:rPr>
            </w:pPr>
          </w:p>
        </w:tc>
        <w:tc>
          <w:tcPr>
            <w:tcW w:w="715" w:type="dxa"/>
            <w:tcBorders>
              <w:top w:val="single" w:sz="4" w:space="0" w:color="000000" w:themeColor="text1"/>
            </w:tcBorders>
            <w:noWrap/>
          </w:tcPr>
          <w:p w14:paraId="005080E4" w14:textId="77777777" w:rsidR="00DA4567" w:rsidRPr="00BA7805" w:rsidRDefault="00DA4567">
            <w:pPr>
              <w:pStyle w:val="ARfintablebodyright8pt"/>
              <w:rPr>
                <w:highlight w:val="green"/>
              </w:rPr>
            </w:pPr>
          </w:p>
        </w:tc>
        <w:tc>
          <w:tcPr>
            <w:tcW w:w="715" w:type="dxa"/>
            <w:tcBorders>
              <w:top w:val="single" w:sz="4" w:space="0" w:color="000000" w:themeColor="text1"/>
            </w:tcBorders>
            <w:noWrap/>
          </w:tcPr>
          <w:p w14:paraId="2B6D68CC" w14:textId="77777777" w:rsidR="00DA4567" w:rsidRPr="00BA7805" w:rsidRDefault="00DA4567">
            <w:pPr>
              <w:pStyle w:val="ARfintablebodyright8pt"/>
              <w:rPr>
                <w:highlight w:val="green"/>
              </w:rPr>
            </w:pPr>
          </w:p>
        </w:tc>
        <w:tc>
          <w:tcPr>
            <w:tcW w:w="715" w:type="dxa"/>
            <w:tcBorders>
              <w:top w:val="single" w:sz="4" w:space="0" w:color="000000" w:themeColor="text1"/>
            </w:tcBorders>
            <w:noWrap/>
          </w:tcPr>
          <w:p w14:paraId="1F5A15E8" w14:textId="77777777" w:rsidR="00DA4567" w:rsidRPr="00BA7805" w:rsidRDefault="00DA4567">
            <w:pPr>
              <w:pStyle w:val="ARfintablebodyright8pt"/>
              <w:rPr>
                <w:highlight w:val="green"/>
              </w:rPr>
            </w:pPr>
          </w:p>
        </w:tc>
        <w:tc>
          <w:tcPr>
            <w:tcW w:w="715" w:type="dxa"/>
            <w:tcBorders>
              <w:top w:val="single" w:sz="4" w:space="0" w:color="000000" w:themeColor="text1"/>
            </w:tcBorders>
            <w:noWrap/>
          </w:tcPr>
          <w:p w14:paraId="5E072532" w14:textId="77777777" w:rsidR="00DA4567" w:rsidRPr="00BA7805" w:rsidRDefault="00DA4567">
            <w:pPr>
              <w:pStyle w:val="ARfintablebodyright8pt"/>
              <w:rPr>
                <w:highlight w:val="green"/>
              </w:rPr>
            </w:pPr>
          </w:p>
        </w:tc>
        <w:tc>
          <w:tcPr>
            <w:tcW w:w="715" w:type="dxa"/>
            <w:tcBorders>
              <w:top w:val="single" w:sz="4" w:space="0" w:color="000000" w:themeColor="text1"/>
            </w:tcBorders>
            <w:noWrap/>
          </w:tcPr>
          <w:p w14:paraId="532AC6AE" w14:textId="77777777" w:rsidR="00DA4567" w:rsidRPr="00BA7805" w:rsidRDefault="00DA4567">
            <w:pPr>
              <w:pStyle w:val="ARfintablebodyright8pt"/>
              <w:rPr>
                <w:highlight w:val="green"/>
              </w:rPr>
            </w:pPr>
          </w:p>
        </w:tc>
        <w:tc>
          <w:tcPr>
            <w:tcW w:w="715" w:type="dxa"/>
            <w:tcBorders>
              <w:top w:val="single" w:sz="4" w:space="0" w:color="000000" w:themeColor="text1"/>
            </w:tcBorders>
            <w:noWrap/>
          </w:tcPr>
          <w:p w14:paraId="2B14E10C" w14:textId="77777777" w:rsidR="00DA4567" w:rsidRPr="00BA7805" w:rsidRDefault="00DA4567">
            <w:pPr>
              <w:pStyle w:val="ARfintablebodyright8pt"/>
              <w:rPr>
                <w:highlight w:val="green"/>
              </w:rPr>
            </w:pPr>
          </w:p>
        </w:tc>
        <w:tc>
          <w:tcPr>
            <w:tcW w:w="715" w:type="dxa"/>
            <w:tcBorders>
              <w:top w:val="single" w:sz="4" w:space="0" w:color="000000" w:themeColor="text1"/>
            </w:tcBorders>
            <w:noWrap/>
          </w:tcPr>
          <w:p w14:paraId="5B0A490C" w14:textId="77777777" w:rsidR="00DA4567" w:rsidRPr="00BA7805" w:rsidRDefault="00DA4567">
            <w:pPr>
              <w:pStyle w:val="ARfintablebodyright8pt"/>
              <w:rPr>
                <w:highlight w:val="green"/>
              </w:rPr>
            </w:pPr>
          </w:p>
        </w:tc>
        <w:tc>
          <w:tcPr>
            <w:tcW w:w="716" w:type="dxa"/>
            <w:tcBorders>
              <w:top w:val="single" w:sz="4" w:space="0" w:color="000000" w:themeColor="text1"/>
            </w:tcBorders>
            <w:noWrap/>
          </w:tcPr>
          <w:p w14:paraId="34A13A56" w14:textId="77777777" w:rsidR="00DA4567" w:rsidRPr="00BA7805" w:rsidRDefault="00DA4567">
            <w:pPr>
              <w:pStyle w:val="ARfintablebodyright8pt"/>
              <w:rPr>
                <w:highlight w:val="green"/>
              </w:rPr>
            </w:pPr>
          </w:p>
        </w:tc>
      </w:tr>
      <w:tr w:rsidR="00DA4567" w:rsidRPr="00BA7805" w14:paraId="6F695A9A" w14:textId="77777777">
        <w:tc>
          <w:tcPr>
            <w:tcW w:w="3846" w:type="dxa"/>
          </w:tcPr>
          <w:p w14:paraId="62E0ACD4" w14:textId="77777777" w:rsidR="00DA4567" w:rsidRPr="00BA7805" w:rsidRDefault="00DA4567">
            <w:pPr>
              <w:pStyle w:val="ARfintablebody8pt"/>
              <w:rPr>
                <w:sz w:val="15"/>
                <w:highlight w:val="green"/>
              </w:rPr>
            </w:pPr>
            <w:r w:rsidRPr="00CE0F71">
              <w:t xml:space="preserve">Grants and other expense transfers </w:t>
            </w:r>
          </w:p>
        </w:tc>
        <w:tc>
          <w:tcPr>
            <w:tcW w:w="715" w:type="dxa"/>
            <w:noWrap/>
          </w:tcPr>
          <w:p w14:paraId="6053348E" w14:textId="77777777" w:rsidR="00DA4567" w:rsidRPr="00BA7805" w:rsidRDefault="00DA4567">
            <w:pPr>
              <w:pStyle w:val="ARfintablebodyright8pt"/>
              <w:rPr>
                <w:highlight w:val="green"/>
              </w:rPr>
            </w:pPr>
            <w:r w:rsidRPr="00CE0F71">
              <w:t>74.0</w:t>
            </w:r>
          </w:p>
        </w:tc>
        <w:tc>
          <w:tcPr>
            <w:tcW w:w="715" w:type="dxa"/>
            <w:noWrap/>
          </w:tcPr>
          <w:p w14:paraId="731408DE" w14:textId="77777777" w:rsidR="00DA4567" w:rsidRPr="00BA7805" w:rsidRDefault="00DA4567">
            <w:pPr>
              <w:pStyle w:val="ARfintablebodyright8pt"/>
              <w:rPr>
                <w:highlight w:val="green"/>
              </w:rPr>
            </w:pPr>
            <w:r>
              <w:t>–</w:t>
            </w:r>
          </w:p>
        </w:tc>
        <w:tc>
          <w:tcPr>
            <w:tcW w:w="715" w:type="dxa"/>
            <w:noWrap/>
          </w:tcPr>
          <w:p w14:paraId="62A53252" w14:textId="77777777" w:rsidR="00DA4567" w:rsidRPr="00BA7805" w:rsidRDefault="00DA4567">
            <w:pPr>
              <w:pStyle w:val="ARfintablebodyright8pt"/>
              <w:rPr>
                <w:highlight w:val="green"/>
              </w:rPr>
            </w:pPr>
            <w:r w:rsidRPr="00CE0F71">
              <w:t>6.1</w:t>
            </w:r>
          </w:p>
        </w:tc>
        <w:tc>
          <w:tcPr>
            <w:tcW w:w="714" w:type="dxa"/>
            <w:noWrap/>
          </w:tcPr>
          <w:p w14:paraId="76884F6C" w14:textId="77777777" w:rsidR="00DA4567" w:rsidRPr="00BA7805" w:rsidRDefault="00DA4567">
            <w:pPr>
              <w:pStyle w:val="ARfintablebodyright8pt"/>
              <w:rPr>
                <w:highlight w:val="green"/>
              </w:rPr>
            </w:pPr>
            <w:r>
              <w:t>–</w:t>
            </w:r>
          </w:p>
        </w:tc>
        <w:tc>
          <w:tcPr>
            <w:tcW w:w="714" w:type="dxa"/>
            <w:noWrap/>
          </w:tcPr>
          <w:p w14:paraId="665BE80E" w14:textId="77777777" w:rsidR="00DA4567" w:rsidRPr="00BA7805" w:rsidRDefault="00DA4567">
            <w:pPr>
              <w:pStyle w:val="ARfintablebodyright8pt"/>
              <w:rPr>
                <w:highlight w:val="green"/>
              </w:rPr>
            </w:pPr>
            <w:r>
              <w:t>–</w:t>
            </w:r>
          </w:p>
        </w:tc>
        <w:tc>
          <w:tcPr>
            <w:tcW w:w="715" w:type="dxa"/>
            <w:noWrap/>
          </w:tcPr>
          <w:p w14:paraId="6EE24ACF" w14:textId="77777777" w:rsidR="00DA4567" w:rsidRPr="00BA7805" w:rsidRDefault="00DA4567">
            <w:pPr>
              <w:pStyle w:val="ARfintablebodyright8pt"/>
              <w:rPr>
                <w:highlight w:val="green"/>
              </w:rPr>
            </w:pPr>
            <w:r>
              <w:t>–</w:t>
            </w:r>
          </w:p>
        </w:tc>
        <w:tc>
          <w:tcPr>
            <w:tcW w:w="715" w:type="dxa"/>
            <w:noWrap/>
          </w:tcPr>
          <w:p w14:paraId="7A5CCC59" w14:textId="77777777" w:rsidR="00DA4567" w:rsidRPr="00BA7805" w:rsidRDefault="00DA4567">
            <w:pPr>
              <w:pStyle w:val="ARfintablebodyright8pt"/>
              <w:rPr>
                <w:highlight w:val="green"/>
              </w:rPr>
            </w:pPr>
            <w:r>
              <w:t>–</w:t>
            </w:r>
          </w:p>
        </w:tc>
        <w:tc>
          <w:tcPr>
            <w:tcW w:w="715" w:type="dxa"/>
            <w:noWrap/>
          </w:tcPr>
          <w:p w14:paraId="55187AED" w14:textId="77777777" w:rsidR="00DA4567" w:rsidRPr="00BA7805" w:rsidRDefault="00DA4567">
            <w:pPr>
              <w:pStyle w:val="ARfintablebodyright8pt"/>
              <w:rPr>
                <w:highlight w:val="green"/>
              </w:rPr>
            </w:pPr>
            <w:r>
              <w:t>–</w:t>
            </w:r>
          </w:p>
        </w:tc>
        <w:tc>
          <w:tcPr>
            <w:tcW w:w="715" w:type="dxa"/>
            <w:noWrap/>
          </w:tcPr>
          <w:p w14:paraId="2730B509" w14:textId="77777777" w:rsidR="00DA4567" w:rsidRPr="00BA7805" w:rsidRDefault="00DA4567">
            <w:pPr>
              <w:pStyle w:val="ARfintablebodyright8pt"/>
              <w:rPr>
                <w:highlight w:val="green"/>
              </w:rPr>
            </w:pPr>
            <w:r>
              <w:t>–</w:t>
            </w:r>
          </w:p>
        </w:tc>
        <w:tc>
          <w:tcPr>
            <w:tcW w:w="715" w:type="dxa"/>
            <w:noWrap/>
          </w:tcPr>
          <w:p w14:paraId="129DD311" w14:textId="77777777" w:rsidR="00DA4567" w:rsidRPr="00BA7805" w:rsidRDefault="00DA4567">
            <w:pPr>
              <w:pStyle w:val="ARfintablebodyright8pt"/>
              <w:rPr>
                <w:highlight w:val="green"/>
              </w:rPr>
            </w:pPr>
            <w:r>
              <w:t>–</w:t>
            </w:r>
          </w:p>
        </w:tc>
        <w:tc>
          <w:tcPr>
            <w:tcW w:w="715" w:type="dxa"/>
            <w:noWrap/>
          </w:tcPr>
          <w:p w14:paraId="4BB700E0" w14:textId="77777777" w:rsidR="00DA4567" w:rsidRPr="00BA7805" w:rsidRDefault="00DA4567">
            <w:pPr>
              <w:pStyle w:val="ARfintablebodyright8pt"/>
              <w:rPr>
                <w:highlight w:val="green"/>
              </w:rPr>
            </w:pPr>
            <w:r>
              <w:t>–</w:t>
            </w:r>
          </w:p>
        </w:tc>
        <w:tc>
          <w:tcPr>
            <w:tcW w:w="715" w:type="dxa"/>
            <w:noWrap/>
          </w:tcPr>
          <w:p w14:paraId="46A97913" w14:textId="77777777" w:rsidR="00DA4567" w:rsidRPr="00BA7805" w:rsidRDefault="00DA4567">
            <w:pPr>
              <w:pStyle w:val="ARfintablebodyright8pt"/>
              <w:rPr>
                <w:highlight w:val="green"/>
              </w:rPr>
            </w:pPr>
            <w:r>
              <w:t>–</w:t>
            </w:r>
          </w:p>
        </w:tc>
        <w:tc>
          <w:tcPr>
            <w:tcW w:w="715" w:type="dxa"/>
            <w:noWrap/>
          </w:tcPr>
          <w:p w14:paraId="6E96B6B9" w14:textId="77777777" w:rsidR="00DA4567" w:rsidRPr="00BA7805" w:rsidRDefault="00DA4567">
            <w:pPr>
              <w:pStyle w:val="ARfintablebodyright8pt"/>
              <w:rPr>
                <w:highlight w:val="green"/>
              </w:rPr>
            </w:pPr>
            <w:r>
              <w:t>–</w:t>
            </w:r>
          </w:p>
        </w:tc>
        <w:tc>
          <w:tcPr>
            <w:tcW w:w="715" w:type="dxa"/>
            <w:noWrap/>
          </w:tcPr>
          <w:p w14:paraId="26ECDBD5" w14:textId="77777777" w:rsidR="00DA4567" w:rsidRPr="00BA7805" w:rsidRDefault="00DA4567">
            <w:pPr>
              <w:pStyle w:val="ARfintablebodyright8pt"/>
              <w:rPr>
                <w:highlight w:val="green"/>
              </w:rPr>
            </w:pPr>
            <w:r w:rsidRPr="00CE0F71">
              <w:t>2,788.7</w:t>
            </w:r>
          </w:p>
        </w:tc>
        <w:tc>
          <w:tcPr>
            <w:tcW w:w="716" w:type="dxa"/>
            <w:noWrap/>
          </w:tcPr>
          <w:p w14:paraId="67BA4155" w14:textId="77777777" w:rsidR="00DA4567" w:rsidRPr="00BA7805" w:rsidRDefault="00DA4567">
            <w:pPr>
              <w:pStyle w:val="ARfintablebodyright8pt"/>
              <w:rPr>
                <w:highlight w:val="green"/>
              </w:rPr>
            </w:pPr>
            <w:r w:rsidRPr="00CE0F71">
              <w:t>2,868.8</w:t>
            </w:r>
          </w:p>
        </w:tc>
      </w:tr>
      <w:tr w:rsidR="00430898" w:rsidRPr="00BA7805" w14:paraId="6814284A" w14:textId="77777777">
        <w:tc>
          <w:tcPr>
            <w:tcW w:w="3846" w:type="dxa"/>
            <w:tcBorders>
              <w:bottom w:val="single" w:sz="4" w:space="0" w:color="A6A6A6" w:themeColor="accent5"/>
            </w:tcBorders>
          </w:tcPr>
          <w:p w14:paraId="37C5C865" w14:textId="77777777" w:rsidR="00430898" w:rsidRPr="00BA7805" w:rsidRDefault="00430898" w:rsidP="00430898">
            <w:pPr>
              <w:pStyle w:val="ARfintablebody8pt"/>
              <w:rPr>
                <w:sz w:val="15"/>
                <w:highlight w:val="green"/>
              </w:rPr>
            </w:pPr>
            <w:r w:rsidRPr="00CE0F71">
              <w:t>Other operating expenses</w:t>
            </w:r>
          </w:p>
        </w:tc>
        <w:tc>
          <w:tcPr>
            <w:tcW w:w="715" w:type="dxa"/>
            <w:tcBorders>
              <w:bottom w:val="single" w:sz="4" w:space="0" w:color="A6A6A6" w:themeColor="accent5"/>
            </w:tcBorders>
            <w:noWrap/>
          </w:tcPr>
          <w:p w14:paraId="39A5ADAC" w14:textId="22E53D96" w:rsidR="00430898" w:rsidRPr="00BA7805" w:rsidRDefault="00430898" w:rsidP="00430898">
            <w:pPr>
              <w:pStyle w:val="ARfintablebodyright8pt"/>
              <w:rPr>
                <w:highlight w:val="green"/>
              </w:rPr>
            </w:pPr>
            <w:r w:rsidRPr="00E24E27">
              <w:t>–</w:t>
            </w:r>
          </w:p>
        </w:tc>
        <w:tc>
          <w:tcPr>
            <w:tcW w:w="715" w:type="dxa"/>
            <w:tcBorders>
              <w:bottom w:val="single" w:sz="4" w:space="0" w:color="A6A6A6" w:themeColor="accent5"/>
            </w:tcBorders>
            <w:noWrap/>
          </w:tcPr>
          <w:p w14:paraId="2404774D" w14:textId="5B5903F7" w:rsidR="00430898" w:rsidRPr="00BA7805" w:rsidRDefault="00430898" w:rsidP="00430898">
            <w:pPr>
              <w:pStyle w:val="ARfintablebodyright8pt"/>
              <w:rPr>
                <w:highlight w:val="green"/>
              </w:rPr>
            </w:pPr>
            <w:r w:rsidRPr="00E24E27">
              <w:t>–</w:t>
            </w:r>
          </w:p>
        </w:tc>
        <w:tc>
          <w:tcPr>
            <w:tcW w:w="715" w:type="dxa"/>
            <w:tcBorders>
              <w:bottom w:val="single" w:sz="4" w:space="0" w:color="A6A6A6" w:themeColor="accent5"/>
            </w:tcBorders>
            <w:noWrap/>
          </w:tcPr>
          <w:p w14:paraId="5A619A51" w14:textId="77777777" w:rsidR="00430898" w:rsidRPr="00BA7805" w:rsidRDefault="00430898" w:rsidP="00430898">
            <w:pPr>
              <w:pStyle w:val="ARfintablebodyright8pt"/>
              <w:rPr>
                <w:highlight w:val="green"/>
              </w:rPr>
            </w:pPr>
            <w:r>
              <w:t>–</w:t>
            </w:r>
          </w:p>
        </w:tc>
        <w:tc>
          <w:tcPr>
            <w:tcW w:w="714" w:type="dxa"/>
            <w:tcBorders>
              <w:bottom w:val="single" w:sz="4" w:space="0" w:color="A6A6A6" w:themeColor="accent5"/>
            </w:tcBorders>
            <w:noWrap/>
          </w:tcPr>
          <w:p w14:paraId="6D69EAFE" w14:textId="11E302CC" w:rsidR="00430898" w:rsidRPr="00BA7805" w:rsidRDefault="00430898" w:rsidP="00430898">
            <w:pPr>
              <w:pStyle w:val="ARfintablebodyright8pt"/>
              <w:rPr>
                <w:highlight w:val="green"/>
              </w:rPr>
            </w:pPr>
            <w:r w:rsidRPr="00977145">
              <w:t>–</w:t>
            </w:r>
          </w:p>
        </w:tc>
        <w:tc>
          <w:tcPr>
            <w:tcW w:w="714" w:type="dxa"/>
            <w:tcBorders>
              <w:bottom w:val="single" w:sz="4" w:space="0" w:color="A6A6A6" w:themeColor="accent5"/>
            </w:tcBorders>
            <w:noWrap/>
          </w:tcPr>
          <w:p w14:paraId="1368FCC0" w14:textId="77777777" w:rsidR="00430898" w:rsidRPr="00BA7805" w:rsidRDefault="00430898" w:rsidP="00430898">
            <w:pPr>
              <w:pStyle w:val="ARfintablebodyright8pt"/>
              <w:rPr>
                <w:highlight w:val="green"/>
              </w:rPr>
            </w:pPr>
            <w:r>
              <w:t>–</w:t>
            </w:r>
          </w:p>
        </w:tc>
        <w:tc>
          <w:tcPr>
            <w:tcW w:w="715" w:type="dxa"/>
            <w:tcBorders>
              <w:bottom w:val="single" w:sz="4" w:space="0" w:color="A6A6A6" w:themeColor="accent5"/>
            </w:tcBorders>
            <w:noWrap/>
          </w:tcPr>
          <w:p w14:paraId="3DB50992" w14:textId="77777777" w:rsidR="00430898" w:rsidRPr="00BA7805" w:rsidRDefault="00430898" w:rsidP="00430898">
            <w:pPr>
              <w:pStyle w:val="ARfintablebodyright8pt"/>
              <w:rPr>
                <w:highlight w:val="green"/>
              </w:rPr>
            </w:pPr>
            <w:r>
              <w:t>–</w:t>
            </w:r>
          </w:p>
        </w:tc>
        <w:tc>
          <w:tcPr>
            <w:tcW w:w="715" w:type="dxa"/>
            <w:tcBorders>
              <w:bottom w:val="single" w:sz="4" w:space="0" w:color="A6A6A6" w:themeColor="accent5"/>
            </w:tcBorders>
            <w:noWrap/>
          </w:tcPr>
          <w:p w14:paraId="653D0C3D" w14:textId="77777777" w:rsidR="00430898" w:rsidRPr="00BA7805" w:rsidRDefault="00430898" w:rsidP="00430898">
            <w:pPr>
              <w:pStyle w:val="ARfintablebodyright8pt"/>
              <w:rPr>
                <w:highlight w:val="green"/>
              </w:rPr>
            </w:pPr>
            <w:r>
              <w:t>–</w:t>
            </w:r>
          </w:p>
        </w:tc>
        <w:tc>
          <w:tcPr>
            <w:tcW w:w="715" w:type="dxa"/>
            <w:tcBorders>
              <w:bottom w:val="single" w:sz="4" w:space="0" w:color="A6A6A6" w:themeColor="accent5"/>
            </w:tcBorders>
            <w:noWrap/>
          </w:tcPr>
          <w:p w14:paraId="720B7712" w14:textId="77777777" w:rsidR="00430898" w:rsidRPr="00BA7805" w:rsidRDefault="00430898" w:rsidP="00430898">
            <w:pPr>
              <w:pStyle w:val="ARfintablebodyright8pt"/>
              <w:rPr>
                <w:highlight w:val="green"/>
              </w:rPr>
            </w:pPr>
            <w:r>
              <w:t>–</w:t>
            </w:r>
          </w:p>
        </w:tc>
        <w:tc>
          <w:tcPr>
            <w:tcW w:w="715" w:type="dxa"/>
            <w:tcBorders>
              <w:bottom w:val="single" w:sz="4" w:space="0" w:color="A6A6A6" w:themeColor="accent5"/>
            </w:tcBorders>
            <w:noWrap/>
          </w:tcPr>
          <w:p w14:paraId="3CE3D17E" w14:textId="77777777" w:rsidR="00430898" w:rsidRPr="00BA7805" w:rsidRDefault="00430898" w:rsidP="00430898">
            <w:pPr>
              <w:pStyle w:val="ARfintablebodyright8pt"/>
              <w:rPr>
                <w:highlight w:val="green"/>
              </w:rPr>
            </w:pPr>
            <w:r>
              <w:t>–</w:t>
            </w:r>
          </w:p>
        </w:tc>
        <w:tc>
          <w:tcPr>
            <w:tcW w:w="715" w:type="dxa"/>
            <w:tcBorders>
              <w:bottom w:val="single" w:sz="4" w:space="0" w:color="A6A6A6" w:themeColor="accent5"/>
            </w:tcBorders>
            <w:noWrap/>
          </w:tcPr>
          <w:p w14:paraId="0AE8B49B" w14:textId="77777777" w:rsidR="00430898" w:rsidRPr="00BA7805" w:rsidRDefault="00430898" w:rsidP="00430898">
            <w:pPr>
              <w:pStyle w:val="ARfintablebodyright8pt"/>
              <w:rPr>
                <w:highlight w:val="green"/>
              </w:rPr>
            </w:pPr>
            <w:r>
              <w:t>–</w:t>
            </w:r>
          </w:p>
        </w:tc>
        <w:tc>
          <w:tcPr>
            <w:tcW w:w="715" w:type="dxa"/>
            <w:tcBorders>
              <w:bottom w:val="single" w:sz="4" w:space="0" w:color="A6A6A6" w:themeColor="accent5"/>
            </w:tcBorders>
            <w:noWrap/>
          </w:tcPr>
          <w:p w14:paraId="1C654C04" w14:textId="77777777" w:rsidR="00430898" w:rsidRPr="00BA7805" w:rsidRDefault="00430898" w:rsidP="00430898">
            <w:pPr>
              <w:pStyle w:val="ARfintablebodyright8pt"/>
              <w:rPr>
                <w:highlight w:val="green"/>
              </w:rPr>
            </w:pPr>
            <w:r>
              <w:t>–</w:t>
            </w:r>
          </w:p>
        </w:tc>
        <w:tc>
          <w:tcPr>
            <w:tcW w:w="715" w:type="dxa"/>
            <w:tcBorders>
              <w:bottom w:val="single" w:sz="4" w:space="0" w:color="A6A6A6" w:themeColor="accent5"/>
            </w:tcBorders>
            <w:noWrap/>
          </w:tcPr>
          <w:p w14:paraId="752207A6" w14:textId="77777777" w:rsidR="00430898" w:rsidRPr="00BA7805" w:rsidRDefault="00430898" w:rsidP="00430898">
            <w:pPr>
              <w:pStyle w:val="ARfintablebodyright8pt"/>
              <w:rPr>
                <w:highlight w:val="green"/>
              </w:rPr>
            </w:pPr>
            <w:r>
              <w:t>–</w:t>
            </w:r>
          </w:p>
        </w:tc>
        <w:tc>
          <w:tcPr>
            <w:tcW w:w="715" w:type="dxa"/>
            <w:tcBorders>
              <w:bottom w:val="single" w:sz="4" w:space="0" w:color="A6A6A6" w:themeColor="accent5"/>
            </w:tcBorders>
            <w:noWrap/>
          </w:tcPr>
          <w:p w14:paraId="358C4F1C" w14:textId="77777777" w:rsidR="00430898" w:rsidRPr="00BA7805" w:rsidRDefault="00430898" w:rsidP="00430898">
            <w:pPr>
              <w:pStyle w:val="ARfintablebodyright8pt"/>
              <w:rPr>
                <w:highlight w:val="green"/>
              </w:rPr>
            </w:pPr>
            <w:r>
              <w:t>–</w:t>
            </w:r>
          </w:p>
        </w:tc>
        <w:tc>
          <w:tcPr>
            <w:tcW w:w="715" w:type="dxa"/>
            <w:tcBorders>
              <w:bottom w:val="single" w:sz="4" w:space="0" w:color="A6A6A6" w:themeColor="accent5"/>
            </w:tcBorders>
            <w:noWrap/>
          </w:tcPr>
          <w:p w14:paraId="62C3BCE9" w14:textId="77777777" w:rsidR="00430898" w:rsidRPr="00BA7805" w:rsidRDefault="00430898" w:rsidP="00430898">
            <w:pPr>
              <w:pStyle w:val="ARfintablebodyright8pt"/>
              <w:rPr>
                <w:highlight w:val="green"/>
              </w:rPr>
            </w:pPr>
            <w:r>
              <w:t>–</w:t>
            </w:r>
          </w:p>
        </w:tc>
        <w:tc>
          <w:tcPr>
            <w:tcW w:w="716" w:type="dxa"/>
            <w:tcBorders>
              <w:bottom w:val="single" w:sz="4" w:space="0" w:color="A6A6A6" w:themeColor="accent5"/>
            </w:tcBorders>
            <w:noWrap/>
          </w:tcPr>
          <w:p w14:paraId="0A332B63" w14:textId="77777777" w:rsidR="00430898" w:rsidRPr="00BA7805" w:rsidRDefault="00430898" w:rsidP="00430898">
            <w:pPr>
              <w:pStyle w:val="ARfintablebodyright8pt"/>
              <w:rPr>
                <w:highlight w:val="green"/>
              </w:rPr>
            </w:pPr>
            <w:r w:rsidRPr="00CE0F71">
              <w:t>0.1</w:t>
            </w:r>
          </w:p>
        </w:tc>
      </w:tr>
      <w:tr w:rsidR="00DA4567" w:rsidRPr="00BA7805" w14:paraId="5410B848" w14:textId="77777777">
        <w:tc>
          <w:tcPr>
            <w:tcW w:w="3846" w:type="dxa"/>
            <w:tcBorders>
              <w:top w:val="single" w:sz="4" w:space="0" w:color="A6A6A6" w:themeColor="accent5"/>
              <w:bottom w:val="single" w:sz="4" w:space="0" w:color="000000" w:themeColor="text1"/>
            </w:tcBorders>
          </w:tcPr>
          <w:p w14:paraId="685A88FB" w14:textId="77777777" w:rsidR="00DA4567" w:rsidRPr="00BA7805" w:rsidRDefault="00DA4567">
            <w:pPr>
              <w:pStyle w:val="ARfintablebody8pt"/>
              <w:rPr>
                <w:sz w:val="15"/>
                <w:highlight w:val="green"/>
              </w:rPr>
            </w:pPr>
            <w:r w:rsidRPr="00CE0F71">
              <w:t>Payments into the consolidated fund</w:t>
            </w:r>
          </w:p>
        </w:tc>
        <w:tc>
          <w:tcPr>
            <w:tcW w:w="715" w:type="dxa"/>
            <w:tcBorders>
              <w:top w:val="single" w:sz="4" w:space="0" w:color="A6A6A6" w:themeColor="accent5"/>
              <w:bottom w:val="single" w:sz="4" w:space="0" w:color="000000" w:themeColor="text1"/>
            </w:tcBorders>
            <w:noWrap/>
          </w:tcPr>
          <w:p w14:paraId="7445E6D0" w14:textId="77777777" w:rsidR="00DA4567" w:rsidRPr="00BA7805" w:rsidRDefault="00DA4567">
            <w:pPr>
              <w:pStyle w:val="ARfintablebodyright8pt"/>
              <w:rPr>
                <w:highlight w:val="green"/>
              </w:rPr>
            </w:pPr>
            <w:r w:rsidRPr="00CE0F71">
              <w:t>62.5</w:t>
            </w:r>
          </w:p>
        </w:tc>
        <w:tc>
          <w:tcPr>
            <w:tcW w:w="715" w:type="dxa"/>
            <w:tcBorders>
              <w:top w:val="single" w:sz="4" w:space="0" w:color="A6A6A6" w:themeColor="accent5"/>
              <w:bottom w:val="single" w:sz="4" w:space="0" w:color="000000" w:themeColor="text1"/>
            </w:tcBorders>
            <w:noWrap/>
          </w:tcPr>
          <w:p w14:paraId="38B4AD67" w14:textId="77777777" w:rsidR="00DA4567" w:rsidRPr="00BA7805" w:rsidRDefault="00DA4567">
            <w:pPr>
              <w:pStyle w:val="ARfintablebodyright8pt"/>
              <w:rPr>
                <w:highlight w:val="green"/>
              </w:rPr>
            </w:pPr>
            <w:r w:rsidRPr="00CE0F71">
              <w:t>4.8</w:t>
            </w:r>
          </w:p>
        </w:tc>
        <w:tc>
          <w:tcPr>
            <w:tcW w:w="715" w:type="dxa"/>
            <w:tcBorders>
              <w:top w:val="single" w:sz="4" w:space="0" w:color="A6A6A6" w:themeColor="accent5"/>
              <w:bottom w:val="single" w:sz="4" w:space="0" w:color="000000" w:themeColor="text1"/>
            </w:tcBorders>
            <w:noWrap/>
          </w:tcPr>
          <w:p w14:paraId="066D1B5E" w14:textId="4B618EEA" w:rsidR="00DA4567" w:rsidRPr="00BA7805" w:rsidRDefault="00430898">
            <w:pPr>
              <w:pStyle w:val="ARfintablebodyright8pt"/>
              <w:rPr>
                <w:highlight w:val="green"/>
              </w:rPr>
            </w:pPr>
            <w:r w:rsidRPr="00977145">
              <w:t>–</w:t>
            </w:r>
          </w:p>
        </w:tc>
        <w:tc>
          <w:tcPr>
            <w:tcW w:w="714" w:type="dxa"/>
            <w:tcBorders>
              <w:top w:val="single" w:sz="4" w:space="0" w:color="A6A6A6" w:themeColor="accent5"/>
              <w:bottom w:val="single" w:sz="4" w:space="0" w:color="000000" w:themeColor="text1"/>
            </w:tcBorders>
            <w:noWrap/>
          </w:tcPr>
          <w:p w14:paraId="22BF9B8C" w14:textId="77777777" w:rsidR="00DA4567" w:rsidRPr="00BA7805" w:rsidRDefault="00DA4567">
            <w:pPr>
              <w:pStyle w:val="ARfintablebodyright8pt"/>
              <w:rPr>
                <w:highlight w:val="green"/>
              </w:rPr>
            </w:pPr>
            <w:r w:rsidRPr="00CE0F71">
              <w:t>0.2</w:t>
            </w:r>
          </w:p>
        </w:tc>
        <w:tc>
          <w:tcPr>
            <w:tcW w:w="714" w:type="dxa"/>
            <w:tcBorders>
              <w:top w:val="single" w:sz="4" w:space="0" w:color="A6A6A6" w:themeColor="accent5"/>
              <w:bottom w:val="single" w:sz="4" w:space="0" w:color="000000" w:themeColor="text1"/>
            </w:tcBorders>
            <w:noWrap/>
          </w:tcPr>
          <w:p w14:paraId="2BBF1EC1"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5E0BA43C" w14:textId="77777777" w:rsidR="00DA4567" w:rsidRPr="00BA7805" w:rsidRDefault="00DA4567">
            <w:pPr>
              <w:pStyle w:val="ARfintablebodyright8pt"/>
              <w:rPr>
                <w:highlight w:val="green"/>
              </w:rPr>
            </w:pPr>
            <w:r w:rsidRPr="00CE0F71">
              <w:t>2.0</w:t>
            </w:r>
          </w:p>
        </w:tc>
        <w:tc>
          <w:tcPr>
            <w:tcW w:w="715" w:type="dxa"/>
            <w:tcBorders>
              <w:top w:val="single" w:sz="4" w:space="0" w:color="A6A6A6" w:themeColor="accent5"/>
              <w:bottom w:val="single" w:sz="4" w:space="0" w:color="000000" w:themeColor="text1"/>
            </w:tcBorders>
            <w:noWrap/>
          </w:tcPr>
          <w:p w14:paraId="7FA86EA1"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7BA918B6"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2125F2A2" w14:textId="77777777" w:rsidR="00DA4567" w:rsidRPr="00BA7805" w:rsidRDefault="00DA4567">
            <w:pPr>
              <w:pStyle w:val="ARfintablebodyright8pt"/>
              <w:rPr>
                <w:highlight w:val="green"/>
              </w:rPr>
            </w:pPr>
            <w:r w:rsidRPr="00CE0F71">
              <w:t>0.1</w:t>
            </w:r>
          </w:p>
        </w:tc>
        <w:tc>
          <w:tcPr>
            <w:tcW w:w="715" w:type="dxa"/>
            <w:tcBorders>
              <w:top w:val="single" w:sz="4" w:space="0" w:color="A6A6A6" w:themeColor="accent5"/>
              <w:bottom w:val="single" w:sz="4" w:space="0" w:color="000000" w:themeColor="text1"/>
            </w:tcBorders>
            <w:noWrap/>
          </w:tcPr>
          <w:p w14:paraId="47D9F5B6"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0FB41E30"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0BF6CD77" w14:textId="77777777" w:rsidR="00DA4567" w:rsidRPr="00BA7805" w:rsidRDefault="00DA4567">
            <w:pPr>
              <w:pStyle w:val="ARfintablebodyright8pt"/>
              <w:rPr>
                <w:highlight w:val="green"/>
              </w:rPr>
            </w:pPr>
            <w:r w:rsidRPr="00CE0F71">
              <w:t>1.1</w:t>
            </w:r>
          </w:p>
        </w:tc>
        <w:tc>
          <w:tcPr>
            <w:tcW w:w="715" w:type="dxa"/>
            <w:tcBorders>
              <w:top w:val="single" w:sz="4" w:space="0" w:color="A6A6A6" w:themeColor="accent5"/>
              <w:bottom w:val="single" w:sz="4" w:space="0" w:color="000000" w:themeColor="text1"/>
            </w:tcBorders>
            <w:noWrap/>
          </w:tcPr>
          <w:p w14:paraId="16350049" w14:textId="77777777" w:rsidR="00DA4567" w:rsidRPr="00BA7805" w:rsidRDefault="00DA4567">
            <w:pPr>
              <w:pStyle w:val="ARfintablebodyright8pt"/>
              <w:rPr>
                <w:highlight w:val="green"/>
              </w:rPr>
            </w:pPr>
            <w:r w:rsidRPr="00CE0F71">
              <w:t>6.6</w:t>
            </w:r>
          </w:p>
        </w:tc>
        <w:tc>
          <w:tcPr>
            <w:tcW w:w="715" w:type="dxa"/>
            <w:tcBorders>
              <w:top w:val="single" w:sz="4" w:space="0" w:color="A6A6A6" w:themeColor="accent5"/>
              <w:bottom w:val="single" w:sz="4" w:space="0" w:color="000000" w:themeColor="text1"/>
            </w:tcBorders>
            <w:noWrap/>
          </w:tcPr>
          <w:p w14:paraId="0A58B0E3" w14:textId="77777777" w:rsidR="00DA4567" w:rsidRPr="00BA7805" w:rsidRDefault="00DA4567">
            <w:pPr>
              <w:pStyle w:val="ARfintablebodyright8pt"/>
              <w:rPr>
                <w:highlight w:val="green"/>
              </w:rPr>
            </w:pPr>
            <w:r>
              <w:t>–</w:t>
            </w:r>
          </w:p>
        </w:tc>
        <w:tc>
          <w:tcPr>
            <w:tcW w:w="716" w:type="dxa"/>
            <w:tcBorders>
              <w:top w:val="single" w:sz="4" w:space="0" w:color="A6A6A6" w:themeColor="accent5"/>
              <w:bottom w:val="single" w:sz="4" w:space="0" w:color="000000" w:themeColor="text1"/>
            </w:tcBorders>
            <w:noWrap/>
          </w:tcPr>
          <w:p w14:paraId="0786A911" w14:textId="77777777" w:rsidR="00DA4567" w:rsidRPr="00BA7805" w:rsidRDefault="00DA4567">
            <w:pPr>
              <w:pStyle w:val="ARfintablebodyright8pt"/>
              <w:rPr>
                <w:highlight w:val="green"/>
              </w:rPr>
            </w:pPr>
            <w:r w:rsidRPr="00CE0F71">
              <w:t>77.4</w:t>
            </w:r>
          </w:p>
        </w:tc>
      </w:tr>
      <w:tr w:rsidR="00DA4567" w:rsidRPr="00BA7805" w14:paraId="6F14A94B" w14:textId="77777777">
        <w:tc>
          <w:tcPr>
            <w:tcW w:w="3846" w:type="dxa"/>
            <w:tcBorders>
              <w:top w:val="single" w:sz="4" w:space="0" w:color="000000" w:themeColor="text1"/>
              <w:bottom w:val="single" w:sz="4" w:space="0" w:color="000000" w:themeColor="text1"/>
            </w:tcBorders>
          </w:tcPr>
          <w:p w14:paraId="207A8A75" w14:textId="77777777" w:rsidR="00DA4567" w:rsidRPr="00BA7805" w:rsidRDefault="00DA4567">
            <w:pPr>
              <w:pStyle w:val="ARfintablebodybold8pt"/>
              <w:rPr>
                <w:sz w:val="15"/>
                <w:highlight w:val="green"/>
              </w:rPr>
            </w:pPr>
            <w:r w:rsidRPr="00CE0F71">
              <w:t>Total administered expenses from transactions</w:t>
            </w:r>
          </w:p>
        </w:tc>
        <w:tc>
          <w:tcPr>
            <w:tcW w:w="715" w:type="dxa"/>
            <w:tcBorders>
              <w:top w:val="single" w:sz="4" w:space="0" w:color="000000" w:themeColor="text1"/>
              <w:bottom w:val="single" w:sz="4" w:space="0" w:color="000000" w:themeColor="text1"/>
            </w:tcBorders>
            <w:noWrap/>
          </w:tcPr>
          <w:p w14:paraId="181E7E5A" w14:textId="77777777" w:rsidR="00DA4567" w:rsidRPr="00BA7805" w:rsidRDefault="00DA4567">
            <w:pPr>
              <w:pStyle w:val="ARfintablebodyrightbold8pt"/>
              <w:rPr>
                <w:highlight w:val="green"/>
              </w:rPr>
            </w:pPr>
            <w:r w:rsidRPr="00CE0F71">
              <w:t>136.6</w:t>
            </w:r>
          </w:p>
        </w:tc>
        <w:tc>
          <w:tcPr>
            <w:tcW w:w="715" w:type="dxa"/>
            <w:tcBorders>
              <w:top w:val="single" w:sz="4" w:space="0" w:color="000000" w:themeColor="text1"/>
              <w:bottom w:val="single" w:sz="4" w:space="0" w:color="000000" w:themeColor="text1"/>
            </w:tcBorders>
            <w:noWrap/>
          </w:tcPr>
          <w:p w14:paraId="64E1FFFC" w14:textId="77777777" w:rsidR="00DA4567" w:rsidRPr="00BA7805" w:rsidRDefault="00DA4567">
            <w:pPr>
              <w:pStyle w:val="ARfintablebodyrightbold8pt"/>
              <w:rPr>
                <w:highlight w:val="green"/>
              </w:rPr>
            </w:pPr>
            <w:r w:rsidRPr="00CE0F71">
              <w:t>4.9</w:t>
            </w:r>
          </w:p>
        </w:tc>
        <w:tc>
          <w:tcPr>
            <w:tcW w:w="715" w:type="dxa"/>
            <w:tcBorders>
              <w:top w:val="single" w:sz="4" w:space="0" w:color="000000" w:themeColor="text1"/>
              <w:bottom w:val="single" w:sz="4" w:space="0" w:color="000000" w:themeColor="text1"/>
            </w:tcBorders>
            <w:noWrap/>
          </w:tcPr>
          <w:p w14:paraId="4D2656B7" w14:textId="77777777" w:rsidR="00DA4567" w:rsidRPr="00BA7805" w:rsidRDefault="00DA4567">
            <w:pPr>
              <w:pStyle w:val="ARfintablebodyrightbold8pt"/>
              <w:rPr>
                <w:highlight w:val="green"/>
              </w:rPr>
            </w:pPr>
            <w:r w:rsidRPr="00CE0F71">
              <w:t>6.1</w:t>
            </w:r>
          </w:p>
        </w:tc>
        <w:tc>
          <w:tcPr>
            <w:tcW w:w="714" w:type="dxa"/>
            <w:tcBorders>
              <w:top w:val="single" w:sz="4" w:space="0" w:color="000000" w:themeColor="text1"/>
              <w:bottom w:val="single" w:sz="4" w:space="0" w:color="000000" w:themeColor="text1"/>
            </w:tcBorders>
            <w:noWrap/>
          </w:tcPr>
          <w:p w14:paraId="52D98119" w14:textId="77777777" w:rsidR="00DA4567" w:rsidRPr="00BA7805" w:rsidRDefault="00DA4567">
            <w:pPr>
              <w:pStyle w:val="ARfintablebodyrightbold8pt"/>
              <w:rPr>
                <w:highlight w:val="green"/>
              </w:rPr>
            </w:pPr>
            <w:r w:rsidRPr="00CE0F71">
              <w:t>0.2</w:t>
            </w:r>
          </w:p>
        </w:tc>
        <w:tc>
          <w:tcPr>
            <w:tcW w:w="714" w:type="dxa"/>
            <w:tcBorders>
              <w:top w:val="single" w:sz="4" w:space="0" w:color="000000" w:themeColor="text1"/>
              <w:bottom w:val="single" w:sz="4" w:space="0" w:color="000000" w:themeColor="text1"/>
            </w:tcBorders>
            <w:noWrap/>
          </w:tcPr>
          <w:p w14:paraId="7D3A7505"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46A831F5" w14:textId="77777777" w:rsidR="00DA4567" w:rsidRPr="00BA7805" w:rsidRDefault="00DA4567">
            <w:pPr>
              <w:pStyle w:val="ARfintablebodyrightbold8pt"/>
              <w:rPr>
                <w:highlight w:val="green"/>
              </w:rPr>
            </w:pPr>
            <w:r w:rsidRPr="00CE0F71">
              <w:t>2.0</w:t>
            </w:r>
          </w:p>
        </w:tc>
        <w:tc>
          <w:tcPr>
            <w:tcW w:w="715" w:type="dxa"/>
            <w:tcBorders>
              <w:top w:val="single" w:sz="4" w:space="0" w:color="000000" w:themeColor="text1"/>
              <w:bottom w:val="single" w:sz="4" w:space="0" w:color="000000" w:themeColor="text1"/>
            </w:tcBorders>
            <w:noWrap/>
          </w:tcPr>
          <w:p w14:paraId="3D9168A2"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0E67E685"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430343B9" w14:textId="77777777" w:rsidR="00DA4567" w:rsidRPr="00BA7805" w:rsidRDefault="00DA4567">
            <w:pPr>
              <w:pStyle w:val="ARfintablebodyrightbold8pt"/>
              <w:rPr>
                <w:highlight w:val="green"/>
              </w:rPr>
            </w:pPr>
            <w:r w:rsidRPr="00CE0F71">
              <w:t>0.1</w:t>
            </w:r>
          </w:p>
        </w:tc>
        <w:tc>
          <w:tcPr>
            <w:tcW w:w="715" w:type="dxa"/>
            <w:tcBorders>
              <w:top w:val="single" w:sz="4" w:space="0" w:color="000000" w:themeColor="text1"/>
              <w:bottom w:val="single" w:sz="4" w:space="0" w:color="000000" w:themeColor="text1"/>
            </w:tcBorders>
            <w:noWrap/>
          </w:tcPr>
          <w:p w14:paraId="6F49EE04"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023CF92E"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78301893" w14:textId="77777777" w:rsidR="00DA4567" w:rsidRPr="00BA7805" w:rsidRDefault="00DA4567">
            <w:pPr>
              <w:pStyle w:val="ARfintablebodyrightbold8pt"/>
              <w:rPr>
                <w:highlight w:val="green"/>
              </w:rPr>
            </w:pPr>
            <w:r w:rsidRPr="00CE0F71">
              <w:t>1.1</w:t>
            </w:r>
          </w:p>
        </w:tc>
        <w:tc>
          <w:tcPr>
            <w:tcW w:w="715" w:type="dxa"/>
            <w:tcBorders>
              <w:top w:val="single" w:sz="4" w:space="0" w:color="000000" w:themeColor="text1"/>
              <w:bottom w:val="single" w:sz="4" w:space="0" w:color="000000" w:themeColor="text1"/>
            </w:tcBorders>
            <w:noWrap/>
          </w:tcPr>
          <w:p w14:paraId="682BA874" w14:textId="77777777" w:rsidR="00DA4567" w:rsidRPr="00BA7805" w:rsidRDefault="00DA4567">
            <w:pPr>
              <w:pStyle w:val="ARfintablebodyrightbold8pt"/>
              <w:rPr>
                <w:highlight w:val="green"/>
              </w:rPr>
            </w:pPr>
            <w:r w:rsidRPr="00CE0F71">
              <w:t>6.6</w:t>
            </w:r>
          </w:p>
        </w:tc>
        <w:tc>
          <w:tcPr>
            <w:tcW w:w="715" w:type="dxa"/>
            <w:tcBorders>
              <w:top w:val="single" w:sz="4" w:space="0" w:color="000000" w:themeColor="text1"/>
              <w:bottom w:val="single" w:sz="4" w:space="0" w:color="000000" w:themeColor="text1"/>
            </w:tcBorders>
            <w:noWrap/>
          </w:tcPr>
          <w:p w14:paraId="6DEA4E04" w14:textId="77777777" w:rsidR="00DA4567" w:rsidRPr="00BA7805" w:rsidRDefault="00DA4567">
            <w:pPr>
              <w:pStyle w:val="ARfintablebodyrightbold8pt"/>
              <w:rPr>
                <w:highlight w:val="green"/>
              </w:rPr>
            </w:pPr>
            <w:r w:rsidRPr="00CE0F71">
              <w:t>2,788.7</w:t>
            </w:r>
          </w:p>
        </w:tc>
        <w:tc>
          <w:tcPr>
            <w:tcW w:w="716" w:type="dxa"/>
            <w:tcBorders>
              <w:top w:val="single" w:sz="4" w:space="0" w:color="000000" w:themeColor="text1"/>
              <w:bottom w:val="single" w:sz="4" w:space="0" w:color="000000" w:themeColor="text1"/>
            </w:tcBorders>
            <w:noWrap/>
          </w:tcPr>
          <w:p w14:paraId="50BFF486" w14:textId="77777777" w:rsidR="00DA4567" w:rsidRPr="00BA7805" w:rsidRDefault="00DA4567">
            <w:pPr>
              <w:pStyle w:val="ARfintablebodyrightbold8pt"/>
              <w:rPr>
                <w:highlight w:val="green"/>
              </w:rPr>
            </w:pPr>
            <w:r w:rsidRPr="00CE0F71">
              <w:t>2,946.3</w:t>
            </w:r>
          </w:p>
        </w:tc>
      </w:tr>
      <w:tr w:rsidR="00DA4567" w:rsidRPr="00BA7805" w14:paraId="4273D5CC" w14:textId="77777777">
        <w:tc>
          <w:tcPr>
            <w:tcW w:w="3846" w:type="dxa"/>
            <w:tcBorders>
              <w:top w:val="single" w:sz="4" w:space="0" w:color="000000" w:themeColor="text1"/>
              <w:bottom w:val="single" w:sz="4" w:space="0" w:color="000000" w:themeColor="text1"/>
            </w:tcBorders>
          </w:tcPr>
          <w:p w14:paraId="06AFA2AD" w14:textId="77777777" w:rsidR="00DA4567" w:rsidRPr="00BA7805" w:rsidRDefault="00DA4567">
            <w:pPr>
              <w:pStyle w:val="ARfintablebodybold8pt"/>
              <w:rPr>
                <w:sz w:val="15"/>
                <w:highlight w:val="green"/>
              </w:rPr>
            </w:pPr>
            <w:r w:rsidRPr="00CE0F71">
              <w:t>Total administered net result from transactions</w:t>
            </w:r>
          </w:p>
        </w:tc>
        <w:tc>
          <w:tcPr>
            <w:tcW w:w="715" w:type="dxa"/>
            <w:tcBorders>
              <w:top w:val="single" w:sz="4" w:space="0" w:color="000000" w:themeColor="text1"/>
              <w:bottom w:val="single" w:sz="4" w:space="0" w:color="000000" w:themeColor="text1"/>
            </w:tcBorders>
            <w:noWrap/>
          </w:tcPr>
          <w:p w14:paraId="1B008737" w14:textId="77777777" w:rsidR="00DA4567" w:rsidRPr="00BA7805" w:rsidRDefault="00DA4567">
            <w:pPr>
              <w:pStyle w:val="ARfintablebodyrightbold8pt"/>
              <w:rPr>
                <w:highlight w:val="green"/>
              </w:rPr>
            </w:pPr>
            <w:r w:rsidRPr="00CE0F71">
              <w:t>1.6</w:t>
            </w:r>
          </w:p>
        </w:tc>
        <w:tc>
          <w:tcPr>
            <w:tcW w:w="715" w:type="dxa"/>
            <w:tcBorders>
              <w:top w:val="single" w:sz="4" w:space="0" w:color="000000" w:themeColor="text1"/>
              <w:bottom w:val="single" w:sz="4" w:space="0" w:color="000000" w:themeColor="text1"/>
            </w:tcBorders>
            <w:noWrap/>
          </w:tcPr>
          <w:p w14:paraId="7E4FFD94" w14:textId="77777777" w:rsidR="00DA4567" w:rsidRPr="00BA7805" w:rsidRDefault="00DA4567">
            <w:pPr>
              <w:pStyle w:val="ARfintablebodyrightbold8pt"/>
              <w:rPr>
                <w:highlight w:val="green"/>
              </w:rPr>
            </w:pPr>
            <w:r w:rsidRPr="00CE0F71">
              <w:t>0.1</w:t>
            </w:r>
          </w:p>
        </w:tc>
        <w:tc>
          <w:tcPr>
            <w:tcW w:w="715" w:type="dxa"/>
            <w:tcBorders>
              <w:top w:val="single" w:sz="4" w:space="0" w:color="000000" w:themeColor="text1"/>
              <w:bottom w:val="single" w:sz="4" w:space="0" w:color="000000" w:themeColor="text1"/>
            </w:tcBorders>
            <w:noWrap/>
          </w:tcPr>
          <w:p w14:paraId="5DC0043C" w14:textId="77777777" w:rsidR="00DA4567" w:rsidRPr="00BA7805" w:rsidRDefault="00DA4567">
            <w:pPr>
              <w:pStyle w:val="ARfintablebodyrightbold8pt"/>
              <w:rPr>
                <w:highlight w:val="green"/>
              </w:rPr>
            </w:pPr>
            <w:r>
              <w:t>–</w:t>
            </w:r>
          </w:p>
        </w:tc>
        <w:tc>
          <w:tcPr>
            <w:tcW w:w="714" w:type="dxa"/>
            <w:tcBorders>
              <w:top w:val="single" w:sz="4" w:space="0" w:color="000000" w:themeColor="text1"/>
              <w:bottom w:val="single" w:sz="4" w:space="0" w:color="000000" w:themeColor="text1"/>
            </w:tcBorders>
            <w:noWrap/>
          </w:tcPr>
          <w:p w14:paraId="2A6F5A2C" w14:textId="77777777" w:rsidR="00DA4567" w:rsidRPr="00BA7805" w:rsidRDefault="00DA4567">
            <w:pPr>
              <w:pStyle w:val="ARfintablebodyrightbold8pt"/>
              <w:rPr>
                <w:highlight w:val="green"/>
              </w:rPr>
            </w:pPr>
            <w:r>
              <w:t>–</w:t>
            </w:r>
          </w:p>
        </w:tc>
        <w:tc>
          <w:tcPr>
            <w:tcW w:w="714" w:type="dxa"/>
            <w:tcBorders>
              <w:top w:val="single" w:sz="4" w:space="0" w:color="000000" w:themeColor="text1"/>
              <w:bottom w:val="single" w:sz="4" w:space="0" w:color="000000" w:themeColor="text1"/>
            </w:tcBorders>
            <w:noWrap/>
          </w:tcPr>
          <w:p w14:paraId="0CE324CD"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010785A6"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189ED520"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2062D95C"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0B396E43"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3547B547"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1B023814"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3F2E19D7"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66A222A2"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75179AFB" w14:textId="77777777" w:rsidR="00DA4567" w:rsidRPr="00BA7805" w:rsidRDefault="00DA4567">
            <w:pPr>
              <w:pStyle w:val="ARfintablebodyrightbold8pt"/>
              <w:rPr>
                <w:highlight w:val="green"/>
              </w:rPr>
            </w:pPr>
            <w:r>
              <w:t>–</w:t>
            </w:r>
          </w:p>
        </w:tc>
        <w:tc>
          <w:tcPr>
            <w:tcW w:w="716" w:type="dxa"/>
            <w:tcBorders>
              <w:top w:val="single" w:sz="4" w:space="0" w:color="000000" w:themeColor="text1"/>
              <w:bottom w:val="single" w:sz="4" w:space="0" w:color="000000" w:themeColor="text1"/>
            </w:tcBorders>
            <w:noWrap/>
          </w:tcPr>
          <w:p w14:paraId="25A1923C" w14:textId="77777777" w:rsidR="00DA4567" w:rsidRPr="00BA7805" w:rsidRDefault="00DA4567">
            <w:pPr>
              <w:pStyle w:val="ARfintablebodyrightbold8pt"/>
              <w:rPr>
                <w:highlight w:val="green"/>
              </w:rPr>
            </w:pPr>
            <w:r w:rsidRPr="00CE0F71">
              <w:t>1.7</w:t>
            </w:r>
          </w:p>
        </w:tc>
      </w:tr>
      <w:tr w:rsidR="00DA4567" w:rsidRPr="00BA7805" w14:paraId="57B211E8" w14:textId="77777777">
        <w:tc>
          <w:tcPr>
            <w:tcW w:w="3846" w:type="dxa"/>
            <w:tcBorders>
              <w:top w:val="single" w:sz="4" w:space="0" w:color="000000" w:themeColor="text1"/>
              <w:bottom w:val="single" w:sz="4" w:space="0" w:color="A6A6A6" w:themeColor="accent5"/>
            </w:tcBorders>
          </w:tcPr>
          <w:p w14:paraId="70DDD051" w14:textId="77777777" w:rsidR="00DA4567" w:rsidRPr="00AE386F" w:rsidRDefault="00DA4567">
            <w:pPr>
              <w:pStyle w:val="ARfintablebody8pt"/>
              <w:rPr>
                <w:spacing w:val="-8"/>
                <w:sz w:val="15"/>
                <w:highlight w:val="green"/>
              </w:rPr>
            </w:pPr>
            <w:r w:rsidRPr="00AE386F">
              <w:rPr>
                <w:spacing w:val="-8"/>
              </w:rPr>
              <w:t>Administered other economic flows included in net result</w:t>
            </w:r>
          </w:p>
        </w:tc>
        <w:tc>
          <w:tcPr>
            <w:tcW w:w="715" w:type="dxa"/>
            <w:tcBorders>
              <w:top w:val="single" w:sz="4" w:space="0" w:color="000000" w:themeColor="text1"/>
              <w:bottom w:val="single" w:sz="4" w:space="0" w:color="A6A6A6" w:themeColor="accent5"/>
            </w:tcBorders>
            <w:noWrap/>
          </w:tcPr>
          <w:p w14:paraId="088DB222" w14:textId="77777777" w:rsidR="00DA4567" w:rsidRPr="00BA7805" w:rsidRDefault="00DA4567">
            <w:pPr>
              <w:pStyle w:val="ARfintablebodyright8pt"/>
              <w:rPr>
                <w:highlight w:val="green"/>
              </w:rPr>
            </w:pPr>
          </w:p>
        </w:tc>
        <w:tc>
          <w:tcPr>
            <w:tcW w:w="715" w:type="dxa"/>
            <w:tcBorders>
              <w:top w:val="single" w:sz="4" w:space="0" w:color="000000" w:themeColor="text1"/>
              <w:bottom w:val="single" w:sz="4" w:space="0" w:color="A6A6A6" w:themeColor="accent5"/>
            </w:tcBorders>
            <w:noWrap/>
          </w:tcPr>
          <w:p w14:paraId="3EF77BD2" w14:textId="77777777" w:rsidR="00DA4567" w:rsidRPr="00BA7805" w:rsidRDefault="00DA4567">
            <w:pPr>
              <w:pStyle w:val="ARfintablebodyright8pt"/>
              <w:rPr>
                <w:highlight w:val="green"/>
              </w:rPr>
            </w:pPr>
          </w:p>
        </w:tc>
        <w:tc>
          <w:tcPr>
            <w:tcW w:w="715" w:type="dxa"/>
            <w:tcBorders>
              <w:top w:val="single" w:sz="4" w:space="0" w:color="000000" w:themeColor="text1"/>
              <w:bottom w:val="single" w:sz="4" w:space="0" w:color="A6A6A6" w:themeColor="accent5"/>
            </w:tcBorders>
            <w:noWrap/>
          </w:tcPr>
          <w:p w14:paraId="37560D58" w14:textId="77777777" w:rsidR="00DA4567" w:rsidRPr="00BA7805" w:rsidRDefault="00DA4567">
            <w:pPr>
              <w:pStyle w:val="ARfintablebodyright8pt"/>
              <w:rPr>
                <w:highlight w:val="green"/>
              </w:rPr>
            </w:pPr>
          </w:p>
        </w:tc>
        <w:tc>
          <w:tcPr>
            <w:tcW w:w="714" w:type="dxa"/>
            <w:tcBorders>
              <w:top w:val="single" w:sz="4" w:space="0" w:color="000000" w:themeColor="text1"/>
              <w:bottom w:val="single" w:sz="4" w:space="0" w:color="A6A6A6" w:themeColor="accent5"/>
            </w:tcBorders>
            <w:noWrap/>
          </w:tcPr>
          <w:p w14:paraId="7B4AAB94" w14:textId="77777777" w:rsidR="00DA4567" w:rsidRPr="00BA7805" w:rsidRDefault="00DA4567">
            <w:pPr>
              <w:pStyle w:val="ARfintablebodyright8pt"/>
              <w:rPr>
                <w:highlight w:val="green"/>
              </w:rPr>
            </w:pPr>
          </w:p>
        </w:tc>
        <w:tc>
          <w:tcPr>
            <w:tcW w:w="714" w:type="dxa"/>
            <w:tcBorders>
              <w:top w:val="single" w:sz="4" w:space="0" w:color="000000" w:themeColor="text1"/>
              <w:bottom w:val="single" w:sz="4" w:space="0" w:color="A6A6A6" w:themeColor="accent5"/>
            </w:tcBorders>
            <w:noWrap/>
          </w:tcPr>
          <w:p w14:paraId="7AA538F5" w14:textId="77777777" w:rsidR="00DA4567" w:rsidRPr="00BA7805" w:rsidRDefault="00DA4567">
            <w:pPr>
              <w:pStyle w:val="ARfintablebodyright8pt"/>
              <w:rPr>
                <w:highlight w:val="green"/>
              </w:rPr>
            </w:pPr>
          </w:p>
        </w:tc>
        <w:tc>
          <w:tcPr>
            <w:tcW w:w="715" w:type="dxa"/>
            <w:tcBorders>
              <w:top w:val="single" w:sz="4" w:space="0" w:color="000000" w:themeColor="text1"/>
              <w:bottom w:val="single" w:sz="4" w:space="0" w:color="A6A6A6" w:themeColor="accent5"/>
            </w:tcBorders>
            <w:noWrap/>
          </w:tcPr>
          <w:p w14:paraId="2F871A4C" w14:textId="77777777" w:rsidR="00DA4567" w:rsidRPr="00BA7805" w:rsidRDefault="00DA4567">
            <w:pPr>
              <w:pStyle w:val="ARfintablebodyright8pt"/>
              <w:rPr>
                <w:highlight w:val="green"/>
              </w:rPr>
            </w:pPr>
          </w:p>
        </w:tc>
        <w:tc>
          <w:tcPr>
            <w:tcW w:w="715" w:type="dxa"/>
            <w:tcBorders>
              <w:top w:val="single" w:sz="4" w:space="0" w:color="000000" w:themeColor="text1"/>
              <w:bottom w:val="single" w:sz="4" w:space="0" w:color="A6A6A6" w:themeColor="accent5"/>
            </w:tcBorders>
            <w:noWrap/>
          </w:tcPr>
          <w:p w14:paraId="6D08A2DC" w14:textId="77777777" w:rsidR="00DA4567" w:rsidRPr="00BA7805" w:rsidRDefault="00DA4567">
            <w:pPr>
              <w:pStyle w:val="ARfintablebodyright8pt"/>
              <w:rPr>
                <w:highlight w:val="green"/>
              </w:rPr>
            </w:pPr>
          </w:p>
        </w:tc>
        <w:tc>
          <w:tcPr>
            <w:tcW w:w="715" w:type="dxa"/>
            <w:tcBorders>
              <w:top w:val="single" w:sz="4" w:space="0" w:color="000000" w:themeColor="text1"/>
              <w:bottom w:val="single" w:sz="4" w:space="0" w:color="A6A6A6" w:themeColor="accent5"/>
            </w:tcBorders>
            <w:noWrap/>
          </w:tcPr>
          <w:p w14:paraId="7F5CB62C" w14:textId="77777777" w:rsidR="00DA4567" w:rsidRPr="00BA7805" w:rsidRDefault="00DA4567">
            <w:pPr>
              <w:pStyle w:val="ARfintablebodyright8pt"/>
              <w:rPr>
                <w:highlight w:val="green"/>
              </w:rPr>
            </w:pPr>
          </w:p>
        </w:tc>
        <w:tc>
          <w:tcPr>
            <w:tcW w:w="715" w:type="dxa"/>
            <w:tcBorders>
              <w:top w:val="single" w:sz="4" w:space="0" w:color="000000" w:themeColor="text1"/>
              <w:bottom w:val="single" w:sz="4" w:space="0" w:color="A6A6A6" w:themeColor="accent5"/>
            </w:tcBorders>
            <w:noWrap/>
          </w:tcPr>
          <w:p w14:paraId="22C5B7B0" w14:textId="77777777" w:rsidR="00DA4567" w:rsidRPr="00BA7805" w:rsidRDefault="00DA4567">
            <w:pPr>
              <w:pStyle w:val="ARfintablebodyright8pt"/>
              <w:rPr>
                <w:highlight w:val="green"/>
              </w:rPr>
            </w:pPr>
          </w:p>
        </w:tc>
        <w:tc>
          <w:tcPr>
            <w:tcW w:w="715" w:type="dxa"/>
            <w:tcBorders>
              <w:top w:val="single" w:sz="4" w:space="0" w:color="000000" w:themeColor="text1"/>
              <w:bottom w:val="single" w:sz="4" w:space="0" w:color="A6A6A6" w:themeColor="accent5"/>
            </w:tcBorders>
            <w:noWrap/>
          </w:tcPr>
          <w:p w14:paraId="16249E9A" w14:textId="77777777" w:rsidR="00DA4567" w:rsidRPr="00BA7805" w:rsidRDefault="00DA4567">
            <w:pPr>
              <w:pStyle w:val="ARfintablebodyright8pt"/>
              <w:rPr>
                <w:highlight w:val="green"/>
              </w:rPr>
            </w:pPr>
          </w:p>
        </w:tc>
        <w:tc>
          <w:tcPr>
            <w:tcW w:w="715" w:type="dxa"/>
            <w:tcBorders>
              <w:top w:val="single" w:sz="4" w:space="0" w:color="000000" w:themeColor="text1"/>
              <w:bottom w:val="single" w:sz="4" w:space="0" w:color="A6A6A6" w:themeColor="accent5"/>
            </w:tcBorders>
            <w:noWrap/>
          </w:tcPr>
          <w:p w14:paraId="15E52E40" w14:textId="77777777" w:rsidR="00DA4567" w:rsidRPr="00BA7805" w:rsidRDefault="00DA4567">
            <w:pPr>
              <w:pStyle w:val="ARfintablebodyright8pt"/>
              <w:rPr>
                <w:highlight w:val="green"/>
              </w:rPr>
            </w:pPr>
          </w:p>
        </w:tc>
        <w:tc>
          <w:tcPr>
            <w:tcW w:w="715" w:type="dxa"/>
            <w:tcBorders>
              <w:top w:val="single" w:sz="4" w:space="0" w:color="000000" w:themeColor="text1"/>
              <w:bottom w:val="single" w:sz="4" w:space="0" w:color="A6A6A6" w:themeColor="accent5"/>
            </w:tcBorders>
            <w:noWrap/>
          </w:tcPr>
          <w:p w14:paraId="142BF87D" w14:textId="77777777" w:rsidR="00DA4567" w:rsidRPr="00BA7805" w:rsidRDefault="00DA4567">
            <w:pPr>
              <w:pStyle w:val="ARfintablebodyright8pt"/>
              <w:rPr>
                <w:highlight w:val="green"/>
              </w:rPr>
            </w:pPr>
          </w:p>
        </w:tc>
        <w:tc>
          <w:tcPr>
            <w:tcW w:w="715" w:type="dxa"/>
            <w:tcBorders>
              <w:top w:val="single" w:sz="4" w:space="0" w:color="000000" w:themeColor="text1"/>
              <w:bottom w:val="single" w:sz="4" w:space="0" w:color="A6A6A6" w:themeColor="accent5"/>
            </w:tcBorders>
            <w:noWrap/>
          </w:tcPr>
          <w:p w14:paraId="75E87F77" w14:textId="77777777" w:rsidR="00DA4567" w:rsidRPr="00BA7805" w:rsidRDefault="00DA4567">
            <w:pPr>
              <w:pStyle w:val="ARfintablebodyright8pt"/>
              <w:rPr>
                <w:highlight w:val="green"/>
              </w:rPr>
            </w:pPr>
          </w:p>
        </w:tc>
        <w:tc>
          <w:tcPr>
            <w:tcW w:w="715" w:type="dxa"/>
            <w:tcBorders>
              <w:top w:val="single" w:sz="4" w:space="0" w:color="000000" w:themeColor="text1"/>
              <w:bottom w:val="single" w:sz="4" w:space="0" w:color="A6A6A6" w:themeColor="accent5"/>
            </w:tcBorders>
            <w:noWrap/>
          </w:tcPr>
          <w:p w14:paraId="736EF0F0" w14:textId="77777777" w:rsidR="00DA4567" w:rsidRPr="00BA7805" w:rsidRDefault="00DA4567">
            <w:pPr>
              <w:pStyle w:val="ARfintablebodyright8pt"/>
              <w:rPr>
                <w:highlight w:val="green"/>
              </w:rPr>
            </w:pPr>
          </w:p>
        </w:tc>
        <w:tc>
          <w:tcPr>
            <w:tcW w:w="716" w:type="dxa"/>
            <w:tcBorders>
              <w:top w:val="single" w:sz="4" w:space="0" w:color="000000" w:themeColor="text1"/>
              <w:bottom w:val="single" w:sz="4" w:space="0" w:color="A6A6A6" w:themeColor="accent5"/>
            </w:tcBorders>
            <w:noWrap/>
          </w:tcPr>
          <w:p w14:paraId="021E1902" w14:textId="77777777" w:rsidR="00DA4567" w:rsidRPr="00BA7805" w:rsidRDefault="00DA4567">
            <w:pPr>
              <w:pStyle w:val="ARfintablebodyright8pt"/>
              <w:rPr>
                <w:highlight w:val="green"/>
              </w:rPr>
            </w:pPr>
          </w:p>
        </w:tc>
      </w:tr>
      <w:tr w:rsidR="00DA4567" w:rsidRPr="00BA7805" w14:paraId="0BC50289" w14:textId="77777777">
        <w:tc>
          <w:tcPr>
            <w:tcW w:w="3846" w:type="dxa"/>
            <w:tcBorders>
              <w:top w:val="single" w:sz="4" w:space="0" w:color="A6A6A6" w:themeColor="accent5"/>
              <w:bottom w:val="single" w:sz="4" w:space="0" w:color="000000" w:themeColor="text1"/>
            </w:tcBorders>
          </w:tcPr>
          <w:p w14:paraId="6565C341" w14:textId="77777777" w:rsidR="00DA4567" w:rsidRPr="00BA7805" w:rsidRDefault="00DA4567">
            <w:pPr>
              <w:pStyle w:val="ARfintablebody8pt"/>
              <w:rPr>
                <w:sz w:val="15"/>
                <w:highlight w:val="green"/>
              </w:rPr>
            </w:pPr>
            <w:r w:rsidRPr="00CE0F71">
              <w:t>Net gain/(loss) on non-financial assets</w:t>
            </w:r>
          </w:p>
        </w:tc>
        <w:tc>
          <w:tcPr>
            <w:tcW w:w="715" w:type="dxa"/>
            <w:tcBorders>
              <w:top w:val="single" w:sz="4" w:space="0" w:color="A6A6A6" w:themeColor="accent5"/>
              <w:bottom w:val="single" w:sz="4" w:space="0" w:color="000000" w:themeColor="text1"/>
            </w:tcBorders>
            <w:noWrap/>
          </w:tcPr>
          <w:p w14:paraId="0C007A85"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0968F4FF" w14:textId="77777777" w:rsidR="00DA4567" w:rsidRPr="00BA7805" w:rsidRDefault="00DA4567">
            <w:pPr>
              <w:pStyle w:val="ARfintablebodyright8pt"/>
              <w:rPr>
                <w:highlight w:val="green"/>
              </w:rPr>
            </w:pPr>
            <w:r w:rsidRPr="00CE0F71">
              <w:t>(0.3)</w:t>
            </w:r>
          </w:p>
        </w:tc>
        <w:tc>
          <w:tcPr>
            <w:tcW w:w="715" w:type="dxa"/>
            <w:tcBorders>
              <w:top w:val="single" w:sz="4" w:space="0" w:color="A6A6A6" w:themeColor="accent5"/>
              <w:bottom w:val="single" w:sz="4" w:space="0" w:color="000000" w:themeColor="text1"/>
            </w:tcBorders>
            <w:noWrap/>
          </w:tcPr>
          <w:p w14:paraId="1A8B825A" w14:textId="77777777" w:rsidR="00DA4567" w:rsidRPr="00BA7805" w:rsidRDefault="00DA4567">
            <w:pPr>
              <w:pStyle w:val="ARfintablebodyright8pt"/>
              <w:rPr>
                <w:highlight w:val="green"/>
              </w:rPr>
            </w:pPr>
            <w:r>
              <w:t>–</w:t>
            </w:r>
          </w:p>
        </w:tc>
        <w:tc>
          <w:tcPr>
            <w:tcW w:w="714" w:type="dxa"/>
            <w:tcBorders>
              <w:top w:val="single" w:sz="4" w:space="0" w:color="A6A6A6" w:themeColor="accent5"/>
              <w:bottom w:val="single" w:sz="4" w:space="0" w:color="000000" w:themeColor="text1"/>
            </w:tcBorders>
            <w:noWrap/>
          </w:tcPr>
          <w:p w14:paraId="75147482" w14:textId="77777777" w:rsidR="00DA4567" w:rsidRPr="00BA7805" w:rsidRDefault="00DA4567">
            <w:pPr>
              <w:pStyle w:val="ARfintablebodyright8pt"/>
              <w:rPr>
                <w:highlight w:val="green"/>
              </w:rPr>
            </w:pPr>
            <w:r>
              <w:t>–</w:t>
            </w:r>
          </w:p>
        </w:tc>
        <w:tc>
          <w:tcPr>
            <w:tcW w:w="714" w:type="dxa"/>
            <w:tcBorders>
              <w:top w:val="single" w:sz="4" w:space="0" w:color="A6A6A6" w:themeColor="accent5"/>
              <w:bottom w:val="single" w:sz="4" w:space="0" w:color="000000" w:themeColor="text1"/>
            </w:tcBorders>
            <w:noWrap/>
          </w:tcPr>
          <w:p w14:paraId="2CC699D0"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5A077A55"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6BECEA70"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7AEAC98A"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1C42A0E8"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43239BCE"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481CF82A"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1A69444B"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536DAD56" w14:textId="77777777" w:rsidR="00DA4567" w:rsidRPr="00BA7805" w:rsidRDefault="00DA4567">
            <w:pPr>
              <w:pStyle w:val="ARfintablebodyright8pt"/>
              <w:rPr>
                <w:highlight w:val="green"/>
              </w:rPr>
            </w:pPr>
            <w:r>
              <w:t>–</w:t>
            </w:r>
          </w:p>
        </w:tc>
        <w:tc>
          <w:tcPr>
            <w:tcW w:w="715" w:type="dxa"/>
            <w:tcBorders>
              <w:top w:val="single" w:sz="4" w:space="0" w:color="A6A6A6" w:themeColor="accent5"/>
              <w:bottom w:val="single" w:sz="4" w:space="0" w:color="000000" w:themeColor="text1"/>
            </w:tcBorders>
            <w:noWrap/>
          </w:tcPr>
          <w:p w14:paraId="319FB002" w14:textId="77777777" w:rsidR="00DA4567" w:rsidRPr="00BA7805" w:rsidRDefault="00DA4567">
            <w:pPr>
              <w:pStyle w:val="ARfintablebodyright8pt"/>
              <w:rPr>
                <w:highlight w:val="green"/>
              </w:rPr>
            </w:pPr>
            <w:r>
              <w:t>–</w:t>
            </w:r>
          </w:p>
        </w:tc>
        <w:tc>
          <w:tcPr>
            <w:tcW w:w="716" w:type="dxa"/>
            <w:tcBorders>
              <w:top w:val="single" w:sz="4" w:space="0" w:color="A6A6A6" w:themeColor="accent5"/>
              <w:bottom w:val="single" w:sz="4" w:space="0" w:color="000000" w:themeColor="text1"/>
            </w:tcBorders>
            <w:noWrap/>
          </w:tcPr>
          <w:p w14:paraId="5630088E" w14:textId="77777777" w:rsidR="00DA4567" w:rsidRPr="00BA7805" w:rsidRDefault="00DA4567">
            <w:pPr>
              <w:pStyle w:val="ARfintablebodyright8pt"/>
              <w:rPr>
                <w:highlight w:val="green"/>
              </w:rPr>
            </w:pPr>
            <w:r w:rsidRPr="00CE0F71">
              <w:t>(0.3)</w:t>
            </w:r>
          </w:p>
        </w:tc>
      </w:tr>
      <w:tr w:rsidR="00DA4567" w:rsidRPr="00BA7805" w14:paraId="17E56A73" w14:textId="77777777">
        <w:tc>
          <w:tcPr>
            <w:tcW w:w="3846" w:type="dxa"/>
            <w:tcBorders>
              <w:top w:val="single" w:sz="4" w:space="0" w:color="000000" w:themeColor="text1"/>
              <w:bottom w:val="single" w:sz="4" w:space="0" w:color="000000" w:themeColor="text1"/>
            </w:tcBorders>
          </w:tcPr>
          <w:p w14:paraId="1FFEF82B" w14:textId="77777777" w:rsidR="00DA4567" w:rsidRPr="00BA7805" w:rsidRDefault="00DA4567">
            <w:pPr>
              <w:pStyle w:val="ARfintablebodybold8pt"/>
              <w:rPr>
                <w:sz w:val="15"/>
                <w:highlight w:val="green"/>
              </w:rPr>
            </w:pPr>
            <w:r w:rsidRPr="00CE0F71">
              <w:t>Total administered other economic flows</w:t>
            </w:r>
          </w:p>
        </w:tc>
        <w:tc>
          <w:tcPr>
            <w:tcW w:w="715" w:type="dxa"/>
            <w:tcBorders>
              <w:top w:val="single" w:sz="4" w:space="0" w:color="000000" w:themeColor="text1"/>
              <w:bottom w:val="single" w:sz="4" w:space="0" w:color="000000" w:themeColor="text1"/>
            </w:tcBorders>
            <w:noWrap/>
          </w:tcPr>
          <w:p w14:paraId="13835E85"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31CDC013" w14:textId="77777777" w:rsidR="00DA4567" w:rsidRPr="00BA7805" w:rsidRDefault="00DA4567">
            <w:pPr>
              <w:pStyle w:val="ARfintablebodyrightbold8pt"/>
              <w:rPr>
                <w:highlight w:val="green"/>
              </w:rPr>
            </w:pPr>
            <w:r w:rsidRPr="00CE0F71">
              <w:t>(0.3)</w:t>
            </w:r>
          </w:p>
        </w:tc>
        <w:tc>
          <w:tcPr>
            <w:tcW w:w="715" w:type="dxa"/>
            <w:tcBorders>
              <w:top w:val="single" w:sz="4" w:space="0" w:color="000000" w:themeColor="text1"/>
              <w:bottom w:val="single" w:sz="4" w:space="0" w:color="000000" w:themeColor="text1"/>
            </w:tcBorders>
            <w:noWrap/>
          </w:tcPr>
          <w:p w14:paraId="3D4E75BD" w14:textId="77777777" w:rsidR="00DA4567" w:rsidRPr="00BA7805" w:rsidRDefault="00DA4567">
            <w:pPr>
              <w:pStyle w:val="ARfintablebodyrightbold8pt"/>
              <w:rPr>
                <w:highlight w:val="green"/>
              </w:rPr>
            </w:pPr>
            <w:r>
              <w:t>–</w:t>
            </w:r>
          </w:p>
        </w:tc>
        <w:tc>
          <w:tcPr>
            <w:tcW w:w="714" w:type="dxa"/>
            <w:tcBorders>
              <w:top w:val="single" w:sz="4" w:space="0" w:color="000000" w:themeColor="text1"/>
              <w:bottom w:val="single" w:sz="4" w:space="0" w:color="000000" w:themeColor="text1"/>
            </w:tcBorders>
            <w:noWrap/>
          </w:tcPr>
          <w:p w14:paraId="0607AF87" w14:textId="77777777" w:rsidR="00DA4567" w:rsidRPr="00BA7805" w:rsidRDefault="00DA4567">
            <w:pPr>
              <w:pStyle w:val="ARfintablebodyrightbold8pt"/>
              <w:rPr>
                <w:highlight w:val="green"/>
              </w:rPr>
            </w:pPr>
            <w:r>
              <w:t>–</w:t>
            </w:r>
          </w:p>
        </w:tc>
        <w:tc>
          <w:tcPr>
            <w:tcW w:w="714" w:type="dxa"/>
            <w:tcBorders>
              <w:top w:val="single" w:sz="4" w:space="0" w:color="000000" w:themeColor="text1"/>
              <w:bottom w:val="single" w:sz="4" w:space="0" w:color="000000" w:themeColor="text1"/>
            </w:tcBorders>
            <w:noWrap/>
          </w:tcPr>
          <w:p w14:paraId="6FE575AD"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50E0716C"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4D6C1493"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465E2B29"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25AAA2FB"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1E3B3DEB"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61C325D4"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168F1E78"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0B909D04" w14:textId="77777777" w:rsidR="00DA4567" w:rsidRPr="00BA7805" w:rsidRDefault="00DA4567">
            <w:pPr>
              <w:pStyle w:val="ARfintablebodyrightbold8pt"/>
              <w:rPr>
                <w:highlight w:val="green"/>
              </w:rPr>
            </w:pPr>
            <w:r>
              <w:t>–</w:t>
            </w:r>
          </w:p>
        </w:tc>
        <w:tc>
          <w:tcPr>
            <w:tcW w:w="715" w:type="dxa"/>
            <w:tcBorders>
              <w:top w:val="single" w:sz="4" w:space="0" w:color="000000" w:themeColor="text1"/>
              <w:bottom w:val="single" w:sz="4" w:space="0" w:color="000000" w:themeColor="text1"/>
            </w:tcBorders>
            <w:noWrap/>
          </w:tcPr>
          <w:p w14:paraId="45E45781" w14:textId="77777777" w:rsidR="00DA4567" w:rsidRPr="00BA7805" w:rsidRDefault="00DA4567">
            <w:pPr>
              <w:pStyle w:val="ARfintablebodyrightbold8pt"/>
              <w:rPr>
                <w:highlight w:val="green"/>
              </w:rPr>
            </w:pPr>
            <w:r>
              <w:t>–</w:t>
            </w:r>
          </w:p>
        </w:tc>
        <w:tc>
          <w:tcPr>
            <w:tcW w:w="716" w:type="dxa"/>
            <w:tcBorders>
              <w:top w:val="single" w:sz="4" w:space="0" w:color="000000" w:themeColor="text1"/>
              <w:bottom w:val="single" w:sz="4" w:space="0" w:color="000000" w:themeColor="text1"/>
            </w:tcBorders>
            <w:noWrap/>
          </w:tcPr>
          <w:p w14:paraId="63FDBA6A" w14:textId="77777777" w:rsidR="00DA4567" w:rsidRPr="00BA7805" w:rsidRDefault="00DA4567">
            <w:pPr>
              <w:pStyle w:val="ARfintablebodyrightbold8pt"/>
              <w:rPr>
                <w:highlight w:val="green"/>
              </w:rPr>
            </w:pPr>
            <w:r w:rsidRPr="00CE0F71">
              <w:t>(0.3)</w:t>
            </w:r>
          </w:p>
        </w:tc>
      </w:tr>
      <w:tr w:rsidR="00DA4567" w:rsidRPr="00BA7805" w14:paraId="2540DAA7" w14:textId="77777777">
        <w:trPr>
          <w:cnfStyle w:val="010000000000" w:firstRow="0" w:lastRow="1" w:firstColumn="0" w:lastColumn="0" w:oddVBand="0" w:evenVBand="0" w:oddHBand="0" w:evenHBand="0" w:firstRowFirstColumn="0" w:firstRowLastColumn="0" w:lastRowFirstColumn="0" w:lastRowLastColumn="0"/>
        </w:trPr>
        <w:tc>
          <w:tcPr>
            <w:tcW w:w="3846" w:type="dxa"/>
          </w:tcPr>
          <w:p w14:paraId="57316D81" w14:textId="77777777" w:rsidR="00DA4567" w:rsidRPr="00BA7805" w:rsidRDefault="00DA4567">
            <w:pPr>
              <w:pStyle w:val="ARfintablebodybold8pt"/>
              <w:rPr>
                <w:sz w:val="15"/>
                <w:highlight w:val="green"/>
              </w:rPr>
            </w:pPr>
            <w:r w:rsidRPr="00CE0F71">
              <w:t>Administered net result</w:t>
            </w:r>
          </w:p>
        </w:tc>
        <w:tc>
          <w:tcPr>
            <w:tcW w:w="715" w:type="dxa"/>
            <w:noWrap/>
          </w:tcPr>
          <w:p w14:paraId="1E42E2C1" w14:textId="77777777" w:rsidR="00DA4567" w:rsidRPr="00BA7805" w:rsidRDefault="00DA4567">
            <w:pPr>
              <w:pStyle w:val="ARfintablebodyrightbold8pt"/>
              <w:rPr>
                <w:highlight w:val="green"/>
              </w:rPr>
            </w:pPr>
            <w:r w:rsidRPr="00CE0F71">
              <w:t>1.6</w:t>
            </w:r>
          </w:p>
        </w:tc>
        <w:tc>
          <w:tcPr>
            <w:tcW w:w="715" w:type="dxa"/>
            <w:noWrap/>
          </w:tcPr>
          <w:p w14:paraId="0701C761" w14:textId="77777777" w:rsidR="00DA4567" w:rsidRPr="00BA7805" w:rsidRDefault="00DA4567">
            <w:pPr>
              <w:pStyle w:val="ARfintablebodyrightbold8pt"/>
              <w:rPr>
                <w:highlight w:val="green"/>
              </w:rPr>
            </w:pPr>
            <w:r w:rsidRPr="00CE0F71">
              <w:t>(0.1)</w:t>
            </w:r>
          </w:p>
        </w:tc>
        <w:tc>
          <w:tcPr>
            <w:tcW w:w="715" w:type="dxa"/>
            <w:noWrap/>
          </w:tcPr>
          <w:p w14:paraId="6A4A8FBB" w14:textId="77777777" w:rsidR="00DA4567" w:rsidRPr="00BA7805" w:rsidRDefault="00DA4567">
            <w:pPr>
              <w:pStyle w:val="ARfintablebodyrightbold8pt"/>
              <w:rPr>
                <w:highlight w:val="green"/>
              </w:rPr>
            </w:pPr>
            <w:r>
              <w:t>–</w:t>
            </w:r>
          </w:p>
        </w:tc>
        <w:tc>
          <w:tcPr>
            <w:tcW w:w="714" w:type="dxa"/>
            <w:noWrap/>
          </w:tcPr>
          <w:p w14:paraId="4978DB50" w14:textId="77777777" w:rsidR="00DA4567" w:rsidRPr="00BA7805" w:rsidRDefault="00DA4567">
            <w:pPr>
              <w:pStyle w:val="ARfintablebodyrightbold8pt"/>
              <w:rPr>
                <w:highlight w:val="green"/>
              </w:rPr>
            </w:pPr>
            <w:r>
              <w:t>–</w:t>
            </w:r>
          </w:p>
        </w:tc>
        <w:tc>
          <w:tcPr>
            <w:tcW w:w="714" w:type="dxa"/>
            <w:noWrap/>
          </w:tcPr>
          <w:p w14:paraId="3C8278DC" w14:textId="77777777" w:rsidR="00DA4567" w:rsidRPr="00BA7805" w:rsidRDefault="00DA4567">
            <w:pPr>
              <w:pStyle w:val="ARfintablebodyrightbold8pt"/>
              <w:rPr>
                <w:highlight w:val="green"/>
              </w:rPr>
            </w:pPr>
            <w:r>
              <w:t>–</w:t>
            </w:r>
          </w:p>
        </w:tc>
        <w:tc>
          <w:tcPr>
            <w:tcW w:w="715" w:type="dxa"/>
            <w:noWrap/>
          </w:tcPr>
          <w:p w14:paraId="74635FDE" w14:textId="77777777" w:rsidR="00DA4567" w:rsidRPr="00BA7805" w:rsidRDefault="00DA4567">
            <w:pPr>
              <w:pStyle w:val="ARfintablebodyrightbold8pt"/>
              <w:rPr>
                <w:highlight w:val="green"/>
              </w:rPr>
            </w:pPr>
            <w:r>
              <w:t>–</w:t>
            </w:r>
          </w:p>
        </w:tc>
        <w:tc>
          <w:tcPr>
            <w:tcW w:w="715" w:type="dxa"/>
            <w:noWrap/>
          </w:tcPr>
          <w:p w14:paraId="2361C096" w14:textId="77777777" w:rsidR="00DA4567" w:rsidRPr="00BA7805" w:rsidRDefault="00DA4567">
            <w:pPr>
              <w:pStyle w:val="ARfintablebodyrightbold8pt"/>
              <w:rPr>
                <w:highlight w:val="green"/>
              </w:rPr>
            </w:pPr>
            <w:r>
              <w:t>–</w:t>
            </w:r>
          </w:p>
        </w:tc>
        <w:tc>
          <w:tcPr>
            <w:tcW w:w="715" w:type="dxa"/>
            <w:noWrap/>
          </w:tcPr>
          <w:p w14:paraId="7825F48F" w14:textId="77777777" w:rsidR="00DA4567" w:rsidRPr="00BA7805" w:rsidRDefault="00DA4567">
            <w:pPr>
              <w:pStyle w:val="ARfintablebodyrightbold8pt"/>
              <w:rPr>
                <w:highlight w:val="green"/>
              </w:rPr>
            </w:pPr>
            <w:r>
              <w:t>–</w:t>
            </w:r>
          </w:p>
        </w:tc>
        <w:tc>
          <w:tcPr>
            <w:tcW w:w="715" w:type="dxa"/>
            <w:noWrap/>
          </w:tcPr>
          <w:p w14:paraId="63240962" w14:textId="77777777" w:rsidR="00DA4567" w:rsidRPr="00BA7805" w:rsidRDefault="00DA4567">
            <w:pPr>
              <w:pStyle w:val="ARfintablebodyrightbold8pt"/>
              <w:rPr>
                <w:highlight w:val="green"/>
              </w:rPr>
            </w:pPr>
            <w:r>
              <w:t>–</w:t>
            </w:r>
          </w:p>
        </w:tc>
        <w:tc>
          <w:tcPr>
            <w:tcW w:w="715" w:type="dxa"/>
            <w:noWrap/>
          </w:tcPr>
          <w:p w14:paraId="7888E31E" w14:textId="77777777" w:rsidR="00DA4567" w:rsidRPr="00BA7805" w:rsidRDefault="00DA4567">
            <w:pPr>
              <w:pStyle w:val="ARfintablebodyrightbold8pt"/>
              <w:rPr>
                <w:highlight w:val="green"/>
              </w:rPr>
            </w:pPr>
            <w:r>
              <w:t>–</w:t>
            </w:r>
          </w:p>
        </w:tc>
        <w:tc>
          <w:tcPr>
            <w:tcW w:w="715" w:type="dxa"/>
            <w:noWrap/>
          </w:tcPr>
          <w:p w14:paraId="367DF308" w14:textId="77777777" w:rsidR="00DA4567" w:rsidRPr="00BA7805" w:rsidRDefault="00DA4567">
            <w:pPr>
              <w:pStyle w:val="ARfintablebodyrightbold8pt"/>
              <w:rPr>
                <w:highlight w:val="green"/>
              </w:rPr>
            </w:pPr>
            <w:r>
              <w:t>–</w:t>
            </w:r>
          </w:p>
        </w:tc>
        <w:tc>
          <w:tcPr>
            <w:tcW w:w="715" w:type="dxa"/>
            <w:noWrap/>
          </w:tcPr>
          <w:p w14:paraId="18E13A92" w14:textId="77777777" w:rsidR="00DA4567" w:rsidRPr="00BA7805" w:rsidRDefault="00DA4567">
            <w:pPr>
              <w:pStyle w:val="ARfintablebodyrightbold8pt"/>
              <w:rPr>
                <w:highlight w:val="green"/>
              </w:rPr>
            </w:pPr>
            <w:r>
              <w:t>–</w:t>
            </w:r>
          </w:p>
        </w:tc>
        <w:tc>
          <w:tcPr>
            <w:tcW w:w="715" w:type="dxa"/>
            <w:noWrap/>
          </w:tcPr>
          <w:p w14:paraId="1390C384" w14:textId="77777777" w:rsidR="00DA4567" w:rsidRPr="00BA7805" w:rsidRDefault="00DA4567">
            <w:pPr>
              <w:pStyle w:val="ARfintablebodyrightbold8pt"/>
              <w:rPr>
                <w:highlight w:val="green"/>
              </w:rPr>
            </w:pPr>
            <w:r w:rsidRPr="00785C92">
              <w:t>–</w:t>
            </w:r>
          </w:p>
        </w:tc>
        <w:tc>
          <w:tcPr>
            <w:tcW w:w="715" w:type="dxa"/>
            <w:noWrap/>
          </w:tcPr>
          <w:p w14:paraId="33A95594" w14:textId="77777777" w:rsidR="00DA4567" w:rsidRPr="00BA7805" w:rsidRDefault="00DA4567">
            <w:pPr>
              <w:pStyle w:val="ARfintablebodyrightbold8pt"/>
              <w:rPr>
                <w:highlight w:val="green"/>
              </w:rPr>
            </w:pPr>
            <w:r w:rsidRPr="00785C92">
              <w:t>–</w:t>
            </w:r>
          </w:p>
        </w:tc>
        <w:tc>
          <w:tcPr>
            <w:tcW w:w="716" w:type="dxa"/>
            <w:noWrap/>
          </w:tcPr>
          <w:p w14:paraId="0244D235" w14:textId="77777777" w:rsidR="00DA4567" w:rsidRPr="00BA7805" w:rsidRDefault="00DA4567">
            <w:pPr>
              <w:pStyle w:val="ARfintablebodyrightbold8pt"/>
              <w:rPr>
                <w:highlight w:val="green"/>
              </w:rPr>
            </w:pPr>
            <w:r w:rsidRPr="00CE0F71">
              <w:t>1.4</w:t>
            </w:r>
          </w:p>
        </w:tc>
      </w:tr>
    </w:tbl>
    <w:p w14:paraId="5E619735" w14:textId="7D6AF4A8" w:rsidR="00265792" w:rsidRDefault="00265792" w:rsidP="008F7CC3">
      <w:pPr>
        <w:pStyle w:val="ARfintablefootnote"/>
      </w:pPr>
      <w:r>
        <w:t xml:space="preserve">Notes: </w:t>
      </w:r>
    </w:p>
    <w:p w14:paraId="60F2A5A4" w14:textId="77777777" w:rsidR="00265792" w:rsidRPr="008F7CC3" w:rsidRDefault="00265792" w:rsidP="008F7CC3">
      <w:pPr>
        <w:pStyle w:val="ARfintablefootnotetabindent"/>
      </w:pPr>
      <w:r>
        <w:t>(</w:t>
      </w:r>
      <w:proofErr w:type="spellStart"/>
      <w:r>
        <w:t>i</w:t>
      </w:r>
      <w:proofErr w:type="spellEnd"/>
      <w:r>
        <w:t xml:space="preserve">) </w:t>
      </w:r>
      <w:r>
        <w:tab/>
      </w:r>
      <w:r w:rsidRPr="008F7CC3">
        <w:t>Refer to Note 4.1.1 for output definitions.</w:t>
      </w:r>
    </w:p>
    <w:p w14:paraId="57C9792A" w14:textId="77777777" w:rsidR="00265792" w:rsidRPr="008F7CC3" w:rsidRDefault="00265792" w:rsidP="008F7CC3">
      <w:pPr>
        <w:pStyle w:val="ARfintablefootnotetabindent"/>
      </w:pPr>
      <w:r w:rsidRPr="008F7CC3">
        <w:t xml:space="preserve">(ii) </w:t>
      </w:r>
      <w:r>
        <w:tab/>
      </w:r>
      <w:r w:rsidRPr="008F7CC3">
        <w:t>Output 14 Housing Assistance is not applicable for administered activities.</w:t>
      </w:r>
    </w:p>
    <w:p w14:paraId="673A325F" w14:textId="1FA4EDA4" w:rsidR="00265792" w:rsidRDefault="00265792" w:rsidP="008F7CC3">
      <w:pPr>
        <w:pStyle w:val="ARfintablefootnotetabindent"/>
        <w:rPr>
          <w:highlight w:val="green"/>
        </w:rPr>
      </w:pPr>
      <w:r w:rsidRPr="008F7CC3">
        <w:t xml:space="preserve">(iii) </w:t>
      </w:r>
      <w:r>
        <w:tab/>
      </w:r>
      <w:r w:rsidRPr="008F7CC3">
        <w:t xml:space="preserve">Grant income includes National Disability Insurance Scheme funding contribution from other departments within the </w:t>
      </w:r>
      <w:r w:rsidR="00C8397D">
        <w:t>state</w:t>
      </w:r>
      <w:r w:rsidRPr="008F7CC3">
        <w:t xml:space="preserve">, payment reimbursement from </w:t>
      </w:r>
      <w:r w:rsidR="000C421D">
        <w:t>the Department of Justice and Community Safety</w:t>
      </w:r>
      <w:r w:rsidR="000C421D" w:rsidRPr="008F7CC3">
        <w:t xml:space="preserve"> </w:t>
      </w:r>
      <w:r w:rsidRPr="008F7CC3">
        <w:t xml:space="preserve">relating to </w:t>
      </w:r>
      <w:r w:rsidR="000C421D">
        <w:t>n</w:t>
      </w:r>
      <w:r w:rsidR="000C421D" w:rsidRPr="008F7CC3">
        <w:t xml:space="preserve">atural </w:t>
      </w:r>
      <w:r w:rsidR="000C421D">
        <w:t>d</w:t>
      </w:r>
      <w:r w:rsidR="000C421D" w:rsidRPr="008F7CC3">
        <w:t xml:space="preserve">isaster </w:t>
      </w:r>
      <w:r w:rsidR="000C421D">
        <w:t>r</w:t>
      </w:r>
      <w:r w:rsidR="000C421D" w:rsidRPr="008F7CC3">
        <w:t xml:space="preserve">elief </w:t>
      </w:r>
      <w:r w:rsidRPr="008F7CC3">
        <w:t>and recovery</w:t>
      </w:r>
      <w:r>
        <w:t xml:space="preserve"> </w:t>
      </w:r>
      <w:r w:rsidR="000C421D">
        <w:t xml:space="preserve">arrangement </w:t>
      </w:r>
      <w:r>
        <w:t>expenses.</w:t>
      </w:r>
    </w:p>
    <w:p w14:paraId="3EAB58DA" w14:textId="77777777" w:rsidR="00265792" w:rsidRPr="00BA7805" w:rsidRDefault="00265792">
      <w:pPr>
        <w:pStyle w:val="ARfintablefootnotetabindent"/>
        <w:spacing w:before="10" w:after="10"/>
        <w:rPr>
          <w:sz w:val="15"/>
          <w:szCs w:val="15"/>
          <w:highlight w:val="green"/>
        </w:rPr>
      </w:pPr>
    </w:p>
    <w:p w14:paraId="4E7C8414" w14:textId="77777777" w:rsidR="00265792" w:rsidRPr="00BA7805" w:rsidRDefault="00265792">
      <w:pPr>
        <w:pStyle w:val="ARfinbody"/>
        <w:rPr>
          <w:highlight w:val="green"/>
        </w:rPr>
        <w:sectPr w:rsidR="00265792" w:rsidRPr="00BA7805" w:rsidSect="007F43B1">
          <w:footerReference w:type="even" r:id="rId150"/>
          <w:endnotePr>
            <w:numFmt w:val="decimal"/>
          </w:endnotePr>
          <w:pgSz w:w="16838" w:h="11906" w:orient="landscape" w:code="9"/>
          <w:pgMar w:top="1134" w:right="1134" w:bottom="851" w:left="1134" w:header="510" w:footer="340" w:gutter="0"/>
          <w:cols w:space="708"/>
          <w:docGrid w:linePitch="360"/>
        </w:sectPr>
      </w:pPr>
    </w:p>
    <w:p w14:paraId="19E3C7CA" w14:textId="77777777" w:rsidR="00265792" w:rsidRPr="009E4744" w:rsidRDefault="00265792" w:rsidP="002542E1">
      <w:pPr>
        <w:pStyle w:val="Heading5"/>
        <w:spacing w:before="0"/>
      </w:pPr>
      <w:r w:rsidRPr="009E4744">
        <w:lastRenderedPageBreak/>
        <w:t xml:space="preserve">4.2.2 Administered assets and liabilities </w:t>
      </w:r>
      <w:r w:rsidRPr="009E4744">
        <w:rPr>
          <w:rStyle w:val="Superscript"/>
          <w:rFonts w:eastAsia="Times"/>
        </w:rPr>
        <w:t>(</w:t>
      </w:r>
      <w:proofErr w:type="spellStart"/>
      <w:r w:rsidRPr="009E4744">
        <w:rPr>
          <w:rStyle w:val="Superscript"/>
          <w:rFonts w:eastAsia="Times"/>
        </w:rPr>
        <w:t>i</w:t>
      </w:r>
      <w:proofErr w:type="spellEnd"/>
      <w:r w:rsidRPr="009E4744">
        <w:rPr>
          <w:rStyle w:val="Superscript"/>
          <w:rFonts w:eastAsia="Times"/>
        </w:rPr>
        <w:t>)</w:t>
      </w:r>
    </w:p>
    <w:tbl>
      <w:tblPr>
        <w:tblStyle w:val="TableGrid"/>
        <w:tblW w:w="9637" w:type="dxa"/>
        <w:tblLayout w:type="fixed"/>
        <w:tblLook w:val="06E0" w:firstRow="1" w:lastRow="1" w:firstColumn="1" w:lastColumn="0" w:noHBand="1" w:noVBand="1"/>
      </w:tblPr>
      <w:tblGrid>
        <w:gridCol w:w="6941"/>
        <w:gridCol w:w="1348"/>
        <w:gridCol w:w="1348"/>
      </w:tblGrid>
      <w:tr w:rsidR="00265792" w:rsidRPr="00BA7805" w14:paraId="39FDB4EB" w14:textId="77777777" w:rsidTr="00CB4C64">
        <w:trPr>
          <w:cnfStyle w:val="100000000000" w:firstRow="1" w:lastRow="0" w:firstColumn="0" w:lastColumn="0" w:oddVBand="0" w:evenVBand="0" w:oddHBand="0" w:evenHBand="0" w:firstRowFirstColumn="0" w:firstRowLastColumn="0" w:lastRowFirstColumn="0" w:lastRowLastColumn="0"/>
          <w:tblHeader/>
        </w:trPr>
        <w:tc>
          <w:tcPr>
            <w:tcW w:w="6941" w:type="dxa"/>
            <w:hideMark/>
          </w:tcPr>
          <w:p w14:paraId="52743FA9" w14:textId="77777777" w:rsidR="00265792" w:rsidRPr="00BA7805" w:rsidRDefault="00265792">
            <w:pPr>
              <w:pStyle w:val="ARfintablecolhead"/>
              <w:rPr>
                <w:highlight w:val="green"/>
              </w:rPr>
            </w:pPr>
          </w:p>
        </w:tc>
        <w:tc>
          <w:tcPr>
            <w:tcW w:w="1348" w:type="dxa"/>
            <w:shd w:val="clear" w:color="auto" w:fill="EEEEEF" w:themeFill="accent4"/>
            <w:hideMark/>
          </w:tcPr>
          <w:p w14:paraId="50BB27D6" w14:textId="77777777" w:rsidR="00265792" w:rsidRPr="009E4744" w:rsidRDefault="00265792">
            <w:pPr>
              <w:pStyle w:val="ARfintablecolheadright"/>
            </w:pPr>
            <w:r w:rsidRPr="009E4744">
              <w:t>202</w:t>
            </w:r>
            <w:r>
              <w:t>5</w:t>
            </w:r>
          </w:p>
          <w:p w14:paraId="36F416BB" w14:textId="77777777" w:rsidR="00265792" w:rsidRPr="009E4744" w:rsidRDefault="00265792">
            <w:pPr>
              <w:pStyle w:val="ARfintablecolheadright"/>
            </w:pPr>
            <w:r w:rsidRPr="009E4744">
              <w:t>$M</w:t>
            </w:r>
          </w:p>
        </w:tc>
        <w:tc>
          <w:tcPr>
            <w:tcW w:w="1348" w:type="dxa"/>
            <w:hideMark/>
          </w:tcPr>
          <w:p w14:paraId="4D18E38B" w14:textId="77777777" w:rsidR="00265792" w:rsidRPr="009E4744" w:rsidRDefault="00265792">
            <w:pPr>
              <w:pStyle w:val="ARfintablecolheadright"/>
            </w:pPr>
            <w:r w:rsidRPr="009E4744">
              <w:t>202</w:t>
            </w:r>
            <w:r>
              <w:t>4</w:t>
            </w:r>
          </w:p>
          <w:p w14:paraId="4EDE1CA5" w14:textId="77777777" w:rsidR="00265792" w:rsidRPr="009E4744" w:rsidRDefault="00265792">
            <w:pPr>
              <w:pStyle w:val="ARfintablecolheadright"/>
            </w:pPr>
            <w:r w:rsidRPr="009E4744">
              <w:t>$M</w:t>
            </w:r>
          </w:p>
        </w:tc>
      </w:tr>
      <w:tr w:rsidR="00265792" w:rsidRPr="00BA7805" w14:paraId="6C8D5C79" w14:textId="77777777" w:rsidTr="0004700F">
        <w:tc>
          <w:tcPr>
            <w:tcW w:w="6941" w:type="dxa"/>
          </w:tcPr>
          <w:p w14:paraId="55126014" w14:textId="77777777" w:rsidR="00265792" w:rsidRPr="00BA7805" w:rsidRDefault="00265792" w:rsidP="0004700F">
            <w:pPr>
              <w:pStyle w:val="ARfintablebodybold"/>
              <w:rPr>
                <w:highlight w:val="green"/>
              </w:rPr>
            </w:pPr>
            <w:r w:rsidRPr="000A387B">
              <w:t>Administered assets</w:t>
            </w:r>
          </w:p>
        </w:tc>
        <w:tc>
          <w:tcPr>
            <w:tcW w:w="1348" w:type="dxa"/>
            <w:noWrap/>
          </w:tcPr>
          <w:p w14:paraId="3CFCCEC2" w14:textId="77777777" w:rsidR="00265792" w:rsidRPr="00BA7805" w:rsidRDefault="00265792" w:rsidP="002402B4">
            <w:pPr>
              <w:pStyle w:val="ARfintablebodyright"/>
              <w:rPr>
                <w:highlight w:val="green"/>
              </w:rPr>
            </w:pPr>
          </w:p>
        </w:tc>
        <w:tc>
          <w:tcPr>
            <w:tcW w:w="1348" w:type="dxa"/>
            <w:noWrap/>
          </w:tcPr>
          <w:p w14:paraId="4994CD1B" w14:textId="77777777" w:rsidR="00265792" w:rsidRPr="00BA7805" w:rsidRDefault="00265792" w:rsidP="002402B4">
            <w:pPr>
              <w:pStyle w:val="ARfintablebodyright"/>
              <w:rPr>
                <w:highlight w:val="green"/>
              </w:rPr>
            </w:pPr>
          </w:p>
        </w:tc>
      </w:tr>
      <w:tr w:rsidR="00265792" w:rsidRPr="00BA7805" w14:paraId="06A1626A" w14:textId="77777777" w:rsidTr="0004700F">
        <w:tc>
          <w:tcPr>
            <w:tcW w:w="6941" w:type="dxa"/>
            <w:tcBorders>
              <w:bottom w:val="single" w:sz="4" w:space="0" w:color="A6A6A6" w:themeColor="accent5"/>
            </w:tcBorders>
          </w:tcPr>
          <w:p w14:paraId="06217BBB" w14:textId="77777777" w:rsidR="00265792" w:rsidRPr="00BA7805" w:rsidRDefault="00265792" w:rsidP="0004700F">
            <w:pPr>
              <w:pStyle w:val="ARfintablebodybold"/>
              <w:rPr>
                <w:highlight w:val="green"/>
              </w:rPr>
            </w:pPr>
            <w:r w:rsidRPr="000A387B">
              <w:t>Financial assets</w:t>
            </w:r>
          </w:p>
        </w:tc>
        <w:tc>
          <w:tcPr>
            <w:tcW w:w="1348" w:type="dxa"/>
            <w:tcBorders>
              <w:bottom w:val="single" w:sz="4" w:space="0" w:color="A6A6A6" w:themeColor="accent5"/>
            </w:tcBorders>
            <w:noWrap/>
          </w:tcPr>
          <w:p w14:paraId="4D946C74" w14:textId="77777777" w:rsidR="00265792" w:rsidRPr="00BA7805" w:rsidRDefault="00265792" w:rsidP="002402B4">
            <w:pPr>
              <w:pStyle w:val="ARfintablebodyright"/>
              <w:rPr>
                <w:highlight w:val="green"/>
              </w:rPr>
            </w:pPr>
          </w:p>
        </w:tc>
        <w:tc>
          <w:tcPr>
            <w:tcW w:w="1348" w:type="dxa"/>
            <w:tcBorders>
              <w:bottom w:val="single" w:sz="4" w:space="0" w:color="A6A6A6" w:themeColor="accent5"/>
            </w:tcBorders>
            <w:noWrap/>
          </w:tcPr>
          <w:p w14:paraId="52118ED5" w14:textId="77777777" w:rsidR="00265792" w:rsidRPr="00BA7805" w:rsidRDefault="00265792" w:rsidP="002402B4">
            <w:pPr>
              <w:pStyle w:val="ARfintablebodyright"/>
              <w:rPr>
                <w:highlight w:val="green"/>
              </w:rPr>
            </w:pPr>
          </w:p>
        </w:tc>
      </w:tr>
      <w:tr w:rsidR="00265792" w:rsidRPr="00BA7805" w14:paraId="3516F2B6" w14:textId="77777777" w:rsidTr="0004700F">
        <w:tc>
          <w:tcPr>
            <w:tcW w:w="6941" w:type="dxa"/>
            <w:tcBorders>
              <w:top w:val="single" w:sz="4" w:space="0" w:color="A6A6A6" w:themeColor="accent5"/>
              <w:bottom w:val="single" w:sz="4" w:space="0" w:color="000000" w:themeColor="text1"/>
            </w:tcBorders>
          </w:tcPr>
          <w:p w14:paraId="78493899" w14:textId="77777777" w:rsidR="00265792" w:rsidRPr="00BA7805" w:rsidRDefault="00265792" w:rsidP="009C6221">
            <w:pPr>
              <w:pStyle w:val="ARfintablebody"/>
              <w:rPr>
                <w:highlight w:val="green"/>
              </w:rPr>
            </w:pPr>
            <w:r w:rsidRPr="000A387B">
              <w:t>Receivables</w:t>
            </w:r>
          </w:p>
        </w:tc>
        <w:tc>
          <w:tcPr>
            <w:tcW w:w="1348" w:type="dxa"/>
            <w:tcBorders>
              <w:top w:val="single" w:sz="4" w:space="0" w:color="A6A6A6" w:themeColor="accent5"/>
              <w:bottom w:val="single" w:sz="4" w:space="0" w:color="000000" w:themeColor="text1"/>
            </w:tcBorders>
            <w:shd w:val="clear" w:color="auto" w:fill="EEEEEF" w:themeFill="accent4"/>
            <w:noWrap/>
          </w:tcPr>
          <w:p w14:paraId="2C0D3959" w14:textId="77777777" w:rsidR="00265792" w:rsidRPr="00BA7805" w:rsidRDefault="00265792" w:rsidP="009C6221">
            <w:pPr>
              <w:pStyle w:val="ARfintablebodyright"/>
              <w:rPr>
                <w:highlight w:val="green"/>
              </w:rPr>
            </w:pPr>
            <w:r w:rsidRPr="00EE07F9">
              <w:t>3.3</w:t>
            </w:r>
          </w:p>
        </w:tc>
        <w:tc>
          <w:tcPr>
            <w:tcW w:w="1348" w:type="dxa"/>
            <w:tcBorders>
              <w:top w:val="single" w:sz="4" w:space="0" w:color="A6A6A6" w:themeColor="accent5"/>
              <w:bottom w:val="single" w:sz="4" w:space="0" w:color="000000" w:themeColor="text1"/>
            </w:tcBorders>
            <w:noWrap/>
          </w:tcPr>
          <w:p w14:paraId="125DD73D" w14:textId="77777777" w:rsidR="00265792" w:rsidRPr="00BA7805" w:rsidRDefault="00265792" w:rsidP="009C6221">
            <w:pPr>
              <w:pStyle w:val="ARfintablebodyright"/>
              <w:rPr>
                <w:highlight w:val="green"/>
              </w:rPr>
            </w:pPr>
            <w:r w:rsidRPr="00EE07F9">
              <w:t>3.6</w:t>
            </w:r>
          </w:p>
        </w:tc>
      </w:tr>
      <w:tr w:rsidR="00265792" w:rsidRPr="00BA7805" w14:paraId="2830D225" w14:textId="77777777" w:rsidTr="0004700F">
        <w:tc>
          <w:tcPr>
            <w:tcW w:w="6941" w:type="dxa"/>
            <w:tcBorders>
              <w:top w:val="single" w:sz="4" w:space="0" w:color="000000" w:themeColor="text1"/>
              <w:bottom w:val="single" w:sz="4" w:space="0" w:color="000000" w:themeColor="text1"/>
            </w:tcBorders>
          </w:tcPr>
          <w:p w14:paraId="4C6A08C2" w14:textId="77777777" w:rsidR="00265792" w:rsidRPr="00BA7805" w:rsidRDefault="00265792" w:rsidP="0004700F">
            <w:pPr>
              <w:pStyle w:val="ARfintablebodybold"/>
              <w:rPr>
                <w:highlight w:val="green"/>
              </w:rPr>
            </w:pPr>
            <w:r w:rsidRPr="000A387B">
              <w:t>Total administered assets</w:t>
            </w:r>
          </w:p>
        </w:tc>
        <w:tc>
          <w:tcPr>
            <w:tcW w:w="1348" w:type="dxa"/>
            <w:tcBorders>
              <w:top w:val="single" w:sz="4" w:space="0" w:color="000000" w:themeColor="text1"/>
              <w:bottom w:val="single" w:sz="4" w:space="0" w:color="000000" w:themeColor="text1"/>
            </w:tcBorders>
            <w:shd w:val="clear" w:color="auto" w:fill="EEEEEF" w:themeFill="accent4"/>
            <w:noWrap/>
          </w:tcPr>
          <w:p w14:paraId="1ADECFBF" w14:textId="77777777" w:rsidR="00265792" w:rsidRPr="00BA7805" w:rsidRDefault="00265792" w:rsidP="0004700F">
            <w:pPr>
              <w:pStyle w:val="ARfintablebodyrightbold"/>
              <w:rPr>
                <w:highlight w:val="green"/>
              </w:rPr>
            </w:pPr>
            <w:r w:rsidRPr="00EE07F9">
              <w:t>3.3</w:t>
            </w:r>
          </w:p>
        </w:tc>
        <w:tc>
          <w:tcPr>
            <w:tcW w:w="1348" w:type="dxa"/>
            <w:tcBorders>
              <w:top w:val="single" w:sz="4" w:space="0" w:color="000000" w:themeColor="text1"/>
              <w:bottom w:val="single" w:sz="4" w:space="0" w:color="000000" w:themeColor="text1"/>
            </w:tcBorders>
            <w:noWrap/>
          </w:tcPr>
          <w:p w14:paraId="70D4A0FC" w14:textId="77777777" w:rsidR="00265792" w:rsidRPr="00BA7805" w:rsidRDefault="00265792" w:rsidP="0004700F">
            <w:pPr>
              <w:pStyle w:val="ARfintablebodyrightbold"/>
              <w:rPr>
                <w:highlight w:val="green"/>
              </w:rPr>
            </w:pPr>
            <w:r w:rsidRPr="00EE07F9">
              <w:t>3.6</w:t>
            </w:r>
          </w:p>
        </w:tc>
      </w:tr>
      <w:tr w:rsidR="00265792" w:rsidRPr="00BA7805" w14:paraId="5E408A8C" w14:textId="77777777" w:rsidTr="0004700F">
        <w:tc>
          <w:tcPr>
            <w:tcW w:w="6941" w:type="dxa"/>
            <w:tcBorders>
              <w:top w:val="single" w:sz="4" w:space="0" w:color="000000" w:themeColor="text1"/>
              <w:bottom w:val="single" w:sz="4" w:space="0" w:color="A6A6A6" w:themeColor="accent5"/>
            </w:tcBorders>
          </w:tcPr>
          <w:p w14:paraId="73FA8CD0" w14:textId="77777777" w:rsidR="00265792" w:rsidRPr="00BA7805" w:rsidRDefault="00265792" w:rsidP="0004700F">
            <w:pPr>
              <w:pStyle w:val="ARfintablebodybold"/>
              <w:rPr>
                <w:highlight w:val="green"/>
              </w:rPr>
            </w:pPr>
            <w:r w:rsidRPr="000A387B">
              <w:t>Administered liabilities</w:t>
            </w:r>
          </w:p>
        </w:tc>
        <w:tc>
          <w:tcPr>
            <w:tcW w:w="1348" w:type="dxa"/>
            <w:tcBorders>
              <w:top w:val="single" w:sz="4" w:space="0" w:color="000000" w:themeColor="text1"/>
              <w:bottom w:val="single" w:sz="4" w:space="0" w:color="A6A6A6" w:themeColor="accent5"/>
            </w:tcBorders>
            <w:noWrap/>
          </w:tcPr>
          <w:p w14:paraId="6DF8EA51" w14:textId="77777777" w:rsidR="00265792" w:rsidRPr="00BA7805" w:rsidRDefault="00265792" w:rsidP="009C6221">
            <w:pPr>
              <w:pStyle w:val="ARfintablebodyright"/>
              <w:rPr>
                <w:highlight w:val="green"/>
              </w:rPr>
            </w:pPr>
          </w:p>
        </w:tc>
        <w:tc>
          <w:tcPr>
            <w:tcW w:w="1348" w:type="dxa"/>
            <w:tcBorders>
              <w:top w:val="single" w:sz="4" w:space="0" w:color="000000" w:themeColor="text1"/>
              <w:bottom w:val="single" w:sz="4" w:space="0" w:color="A6A6A6" w:themeColor="accent5"/>
            </w:tcBorders>
            <w:noWrap/>
          </w:tcPr>
          <w:p w14:paraId="01420EDB" w14:textId="77777777" w:rsidR="00265792" w:rsidRPr="00BA7805" w:rsidRDefault="00265792" w:rsidP="009C6221">
            <w:pPr>
              <w:pStyle w:val="ARfintablebodyright"/>
              <w:rPr>
                <w:highlight w:val="green"/>
              </w:rPr>
            </w:pPr>
          </w:p>
        </w:tc>
      </w:tr>
      <w:tr w:rsidR="00265792" w:rsidRPr="00BA7805" w14:paraId="04F573E2" w14:textId="77777777" w:rsidTr="0004700F">
        <w:tc>
          <w:tcPr>
            <w:tcW w:w="6941" w:type="dxa"/>
            <w:tcBorders>
              <w:top w:val="single" w:sz="4" w:space="0" w:color="A6A6A6" w:themeColor="accent5"/>
              <w:bottom w:val="single" w:sz="4" w:space="0" w:color="A6A6A6" w:themeColor="accent5"/>
            </w:tcBorders>
          </w:tcPr>
          <w:p w14:paraId="6D101664" w14:textId="77777777" w:rsidR="00265792" w:rsidRPr="00BA7805" w:rsidRDefault="00265792" w:rsidP="0004700F">
            <w:pPr>
              <w:pStyle w:val="ARfintablebody"/>
              <w:rPr>
                <w:highlight w:val="green"/>
              </w:rPr>
            </w:pPr>
            <w:r w:rsidRPr="000A387B">
              <w:t>Financial liabilities</w:t>
            </w:r>
          </w:p>
        </w:tc>
        <w:tc>
          <w:tcPr>
            <w:tcW w:w="1348" w:type="dxa"/>
            <w:tcBorders>
              <w:top w:val="single" w:sz="4" w:space="0" w:color="A6A6A6" w:themeColor="accent5"/>
              <w:bottom w:val="single" w:sz="4" w:space="0" w:color="A6A6A6" w:themeColor="accent5"/>
            </w:tcBorders>
            <w:noWrap/>
          </w:tcPr>
          <w:p w14:paraId="1D37F776" w14:textId="77777777" w:rsidR="00265792" w:rsidRPr="00BA7805" w:rsidRDefault="00265792" w:rsidP="0004700F">
            <w:pPr>
              <w:pStyle w:val="ARfintablebodyright"/>
              <w:rPr>
                <w:highlight w:val="green"/>
              </w:rPr>
            </w:pPr>
          </w:p>
        </w:tc>
        <w:tc>
          <w:tcPr>
            <w:tcW w:w="1348" w:type="dxa"/>
            <w:tcBorders>
              <w:top w:val="single" w:sz="4" w:space="0" w:color="A6A6A6" w:themeColor="accent5"/>
              <w:bottom w:val="single" w:sz="4" w:space="0" w:color="A6A6A6" w:themeColor="accent5"/>
            </w:tcBorders>
            <w:noWrap/>
          </w:tcPr>
          <w:p w14:paraId="071D2A89" w14:textId="77777777" w:rsidR="00265792" w:rsidRPr="00BA7805" w:rsidRDefault="00265792" w:rsidP="0004700F">
            <w:pPr>
              <w:pStyle w:val="ARfintablebodyright"/>
              <w:rPr>
                <w:highlight w:val="green"/>
              </w:rPr>
            </w:pPr>
          </w:p>
        </w:tc>
      </w:tr>
      <w:tr w:rsidR="00265792" w:rsidRPr="00BA7805" w14:paraId="64FABF01" w14:textId="77777777" w:rsidTr="0004700F">
        <w:tc>
          <w:tcPr>
            <w:tcW w:w="6941" w:type="dxa"/>
            <w:tcBorders>
              <w:top w:val="single" w:sz="4" w:space="0" w:color="A6A6A6" w:themeColor="accent5"/>
              <w:bottom w:val="single" w:sz="4" w:space="0" w:color="000000" w:themeColor="text1"/>
            </w:tcBorders>
          </w:tcPr>
          <w:p w14:paraId="576B5BB9" w14:textId="77777777" w:rsidR="00265792" w:rsidRPr="00BA7805" w:rsidRDefault="00265792" w:rsidP="0004700F">
            <w:pPr>
              <w:pStyle w:val="ARfintablebody"/>
              <w:rPr>
                <w:highlight w:val="green"/>
              </w:rPr>
            </w:pPr>
            <w:r w:rsidRPr="000A387B">
              <w:t>Amounts payable to the consolidated fund</w:t>
            </w:r>
          </w:p>
        </w:tc>
        <w:tc>
          <w:tcPr>
            <w:tcW w:w="1348" w:type="dxa"/>
            <w:tcBorders>
              <w:top w:val="single" w:sz="4" w:space="0" w:color="A6A6A6" w:themeColor="accent5"/>
              <w:bottom w:val="single" w:sz="4" w:space="0" w:color="000000" w:themeColor="text1"/>
            </w:tcBorders>
            <w:shd w:val="clear" w:color="auto" w:fill="EEEEEF" w:themeFill="accent4"/>
            <w:noWrap/>
          </w:tcPr>
          <w:p w14:paraId="4CAAB201" w14:textId="77777777" w:rsidR="00265792" w:rsidRPr="00BA7805" w:rsidRDefault="00265792" w:rsidP="0004700F">
            <w:pPr>
              <w:pStyle w:val="ARfintablebodyright"/>
              <w:rPr>
                <w:highlight w:val="green"/>
              </w:rPr>
            </w:pPr>
            <w:r w:rsidRPr="00EE07F9">
              <w:t>3.3</w:t>
            </w:r>
          </w:p>
        </w:tc>
        <w:tc>
          <w:tcPr>
            <w:tcW w:w="1348" w:type="dxa"/>
            <w:tcBorders>
              <w:top w:val="single" w:sz="4" w:space="0" w:color="A6A6A6" w:themeColor="accent5"/>
              <w:bottom w:val="single" w:sz="4" w:space="0" w:color="000000" w:themeColor="text1"/>
            </w:tcBorders>
            <w:noWrap/>
          </w:tcPr>
          <w:p w14:paraId="4B7BBC7C" w14:textId="77777777" w:rsidR="00265792" w:rsidRPr="00BA7805" w:rsidRDefault="00265792" w:rsidP="0004700F">
            <w:pPr>
              <w:pStyle w:val="ARfintablebodyright"/>
              <w:rPr>
                <w:highlight w:val="green"/>
              </w:rPr>
            </w:pPr>
            <w:r w:rsidRPr="00EE07F9">
              <w:t>3.6</w:t>
            </w:r>
          </w:p>
        </w:tc>
      </w:tr>
      <w:tr w:rsidR="00265792" w:rsidRPr="00BA7805" w14:paraId="74A69351" w14:textId="77777777" w:rsidTr="0004700F">
        <w:tc>
          <w:tcPr>
            <w:tcW w:w="6941" w:type="dxa"/>
            <w:tcBorders>
              <w:top w:val="single" w:sz="4" w:space="0" w:color="000000" w:themeColor="text1"/>
              <w:bottom w:val="single" w:sz="4" w:space="0" w:color="000000" w:themeColor="text1"/>
            </w:tcBorders>
          </w:tcPr>
          <w:p w14:paraId="027E8107" w14:textId="77777777" w:rsidR="00265792" w:rsidRPr="00BA7805" w:rsidRDefault="00265792" w:rsidP="0004700F">
            <w:pPr>
              <w:pStyle w:val="ARfintablebodybold"/>
              <w:rPr>
                <w:highlight w:val="green"/>
              </w:rPr>
            </w:pPr>
            <w:r w:rsidRPr="000A387B">
              <w:t>Total administered liabilities</w:t>
            </w:r>
          </w:p>
        </w:tc>
        <w:tc>
          <w:tcPr>
            <w:tcW w:w="1348" w:type="dxa"/>
            <w:tcBorders>
              <w:top w:val="single" w:sz="4" w:space="0" w:color="000000" w:themeColor="text1"/>
              <w:bottom w:val="single" w:sz="4" w:space="0" w:color="000000" w:themeColor="text1"/>
            </w:tcBorders>
            <w:shd w:val="clear" w:color="auto" w:fill="EEEEEF" w:themeFill="accent4"/>
            <w:noWrap/>
          </w:tcPr>
          <w:p w14:paraId="4A28A017" w14:textId="77777777" w:rsidR="00265792" w:rsidRPr="00BA7805" w:rsidRDefault="00265792" w:rsidP="0004700F">
            <w:pPr>
              <w:pStyle w:val="ARfintablebodyrightbold"/>
              <w:rPr>
                <w:highlight w:val="green"/>
              </w:rPr>
            </w:pPr>
            <w:r w:rsidRPr="00EE07F9">
              <w:t>3.3</w:t>
            </w:r>
          </w:p>
        </w:tc>
        <w:tc>
          <w:tcPr>
            <w:tcW w:w="1348" w:type="dxa"/>
            <w:tcBorders>
              <w:top w:val="single" w:sz="4" w:space="0" w:color="000000" w:themeColor="text1"/>
              <w:bottom w:val="single" w:sz="4" w:space="0" w:color="000000" w:themeColor="text1"/>
            </w:tcBorders>
            <w:noWrap/>
          </w:tcPr>
          <w:p w14:paraId="13927531" w14:textId="77777777" w:rsidR="00265792" w:rsidRPr="00BA7805" w:rsidRDefault="00265792" w:rsidP="0004700F">
            <w:pPr>
              <w:pStyle w:val="ARfintablebodyrightbold"/>
              <w:rPr>
                <w:highlight w:val="green"/>
              </w:rPr>
            </w:pPr>
            <w:r w:rsidRPr="00EE07F9">
              <w:t>3.6</w:t>
            </w:r>
          </w:p>
        </w:tc>
      </w:tr>
      <w:tr w:rsidR="00265792" w:rsidRPr="00BA7805" w14:paraId="222C7A80" w14:textId="77777777" w:rsidTr="0004700F">
        <w:trPr>
          <w:cnfStyle w:val="010000000000" w:firstRow="0" w:lastRow="1" w:firstColumn="0" w:lastColumn="0" w:oddVBand="0" w:evenVBand="0" w:oddHBand="0" w:evenHBand="0" w:firstRowFirstColumn="0" w:firstRowLastColumn="0" w:lastRowFirstColumn="0" w:lastRowLastColumn="0"/>
        </w:trPr>
        <w:tc>
          <w:tcPr>
            <w:tcW w:w="6941" w:type="dxa"/>
          </w:tcPr>
          <w:p w14:paraId="356E854F" w14:textId="77777777" w:rsidR="00265792" w:rsidRPr="00BA7805" w:rsidRDefault="00265792" w:rsidP="007F499E">
            <w:pPr>
              <w:pStyle w:val="ARfintablebodybold"/>
              <w:rPr>
                <w:highlight w:val="green"/>
              </w:rPr>
            </w:pPr>
            <w:r w:rsidRPr="000A387B">
              <w:t>Total administered net assets</w:t>
            </w:r>
          </w:p>
        </w:tc>
        <w:tc>
          <w:tcPr>
            <w:tcW w:w="1348" w:type="dxa"/>
            <w:shd w:val="clear" w:color="auto" w:fill="EEEEEF" w:themeFill="accent4"/>
            <w:noWrap/>
          </w:tcPr>
          <w:p w14:paraId="6BFCFD57" w14:textId="77777777" w:rsidR="00265792" w:rsidRPr="00BA7805" w:rsidRDefault="00265792" w:rsidP="007F499E">
            <w:pPr>
              <w:pStyle w:val="ARfintablebodyrightbold"/>
              <w:rPr>
                <w:highlight w:val="green"/>
              </w:rPr>
            </w:pPr>
            <w:r w:rsidRPr="008E5C76">
              <w:t>–</w:t>
            </w:r>
          </w:p>
        </w:tc>
        <w:tc>
          <w:tcPr>
            <w:tcW w:w="1348" w:type="dxa"/>
            <w:noWrap/>
          </w:tcPr>
          <w:p w14:paraId="638FE40C" w14:textId="77777777" w:rsidR="00265792" w:rsidRPr="00BA7805" w:rsidRDefault="00265792" w:rsidP="007F499E">
            <w:pPr>
              <w:pStyle w:val="ARfintablebodyrightbold"/>
              <w:rPr>
                <w:highlight w:val="green"/>
              </w:rPr>
            </w:pPr>
            <w:r w:rsidRPr="008E5C76">
              <w:t>–</w:t>
            </w:r>
          </w:p>
        </w:tc>
      </w:tr>
    </w:tbl>
    <w:p w14:paraId="1F6447AF" w14:textId="77777777" w:rsidR="00265792" w:rsidRDefault="00265792" w:rsidP="009C6221">
      <w:pPr>
        <w:pStyle w:val="ARfintablefootnote"/>
      </w:pPr>
      <w:r>
        <w:t xml:space="preserve">Note: </w:t>
      </w:r>
    </w:p>
    <w:p w14:paraId="651ECD7A" w14:textId="71274D66" w:rsidR="00265792" w:rsidRDefault="00265792" w:rsidP="009C6221">
      <w:pPr>
        <w:pStyle w:val="ARfintablefootnotetabindent"/>
      </w:pPr>
      <w:r>
        <w:t>(</w:t>
      </w:r>
      <w:proofErr w:type="spellStart"/>
      <w:r>
        <w:t>i</w:t>
      </w:r>
      <w:proofErr w:type="spellEnd"/>
      <w:r>
        <w:t xml:space="preserve">) </w:t>
      </w:r>
      <w:r>
        <w:tab/>
        <w:t xml:space="preserve">The administered assets and liabilities are not disclosed by output, which is </w:t>
      </w:r>
      <w:proofErr w:type="gramStart"/>
      <w:r>
        <w:t>due to the fact that</w:t>
      </w:r>
      <w:proofErr w:type="gramEnd"/>
      <w:r>
        <w:t xml:space="preserve"> the administered assets and liabilities predominantly relates to the Victorian Natural Disasters Relief Trust Account and Specialist Disability Accommodation.</w:t>
      </w:r>
    </w:p>
    <w:p w14:paraId="69BDB768" w14:textId="77777777" w:rsidR="00265792" w:rsidRDefault="00265792" w:rsidP="00B80CE4">
      <w:pPr>
        <w:pStyle w:val="Heading4"/>
      </w:pPr>
      <w:r>
        <w:t>4.3 Restructuring of administrative arrangements</w:t>
      </w:r>
    </w:p>
    <w:p w14:paraId="2E31F4D0" w14:textId="77777777" w:rsidR="00265792" w:rsidRDefault="00265792" w:rsidP="00B80CE4">
      <w:pPr>
        <w:pStyle w:val="ARfinbody"/>
      </w:pPr>
      <w:r>
        <w:t>During 2024–25, there were no machinery of government changes for the Department of Families, Fairness and Housing.</w:t>
      </w:r>
    </w:p>
    <w:p w14:paraId="4D8995D8" w14:textId="77777777" w:rsidR="00265792" w:rsidRDefault="00265792" w:rsidP="00B14D8E">
      <w:pPr>
        <w:pStyle w:val="Heading5"/>
      </w:pPr>
      <w:r>
        <w:t>Transfer of function and net assets from Department of Families, Fairness and Housing to Department of Premier and Cabinet from 1 February 2024</w:t>
      </w:r>
    </w:p>
    <w:p w14:paraId="324667D8" w14:textId="77777777" w:rsidR="00265792" w:rsidRDefault="00265792" w:rsidP="00B80CE4">
      <w:pPr>
        <w:pStyle w:val="ARfinbody"/>
      </w:pPr>
      <w:r>
        <w:t>The Department of Families, Fairness and Housing (as transferor) transferred the Multicultural Affairs functions to the Department of Premier and Cabinet (as transferee) effective from 1 February 2024.</w:t>
      </w:r>
    </w:p>
    <w:p w14:paraId="520AA448" w14:textId="77777777" w:rsidR="00265792" w:rsidRPr="00B14D8E" w:rsidRDefault="00265792" w:rsidP="00B14D8E">
      <w:pPr>
        <w:pStyle w:val="ARfinbodylargespace"/>
      </w:pPr>
      <w:r>
        <w:t>The net assets transferred by the department for these functions are at the carrying amount of those assets in the department's respective balance sheets immediately before the transfers:</w:t>
      </w:r>
    </w:p>
    <w:tbl>
      <w:tblPr>
        <w:tblStyle w:val="TableGrid"/>
        <w:tblW w:w="0" w:type="auto"/>
        <w:tblLook w:val="04E0" w:firstRow="1" w:lastRow="1" w:firstColumn="1" w:lastColumn="0" w:noHBand="0" w:noVBand="1"/>
      </w:tblPr>
      <w:tblGrid>
        <w:gridCol w:w="5382"/>
        <w:gridCol w:w="1415"/>
        <w:gridCol w:w="1415"/>
        <w:gridCol w:w="1416"/>
      </w:tblGrid>
      <w:tr w:rsidR="00265792" w14:paraId="663E8D5F" w14:textId="77777777" w:rsidTr="00CB4C64">
        <w:trPr>
          <w:cnfStyle w:val="100000000000" w:firstRow="1" w:lastRow="0" w:firstColumn="0" w:lastColumn="0" w:oddVBand="0" w:evenVBand="0" w:oddHBand="0" w:evenHBand="0" w:firstRowFirstColumn="0" w:firstRowLastColumn="0" w:lastRowFirstColumn="0" w:lastRowLastColumn="0"/>
          <w:tblHeader/>
        </w:trPr>
        <w:tc>
          <w:tcPr>
            <w:tcW w:w="5382" w:type="dxa"/>
          </w:tcPr>
          <w:p w14:paraId="7D4D3DB0" w14:textId="77777777" w:rsidR="00265792" w:rsidRDefault="00265792" w:rsidP="00DF220B">
            <w:pPr>
              <w:pStyle w:val="ARfintablecolhead"/>
            </w:pPr>
            <w:r w:rsidRPr="00320506">
              <w:t>Function</w:t>
            </w:r>
          </w:p>
        </w:tc>
        <w:tc>
          <w:tcPr>
            <w:tcW w:w="1415" w:type="dxa"/>
            <w:shd w:val="clear" w:color="auto" w:fill="EEEEEF" w:themeFill="accent4"/>
          </w:tcPr>
          <w:p w14:paraId="1744797C" w14:textId="77777777" w:rsidR="00265792" w:rsidRDefault="00265792" w:rsidP="00DF220B">
            <w:pPr>
              <w:pStyle w:val="ARtablecolheadright"/>
            </w:pPr>
            <w:r w:rsidRPr="00320506">
              <w:t>Transferor</w:t>
            </w:r>
          </w:p>
        </w:tc>
        <w:tc>
          <w:tcPr>
            <w:tcW w:w="1415" w:type="dxa"/>
          </w:tcPr>
          <w:p w14:paraId="38F536EE" w14:textId="77777777" w:rsidR="00265792" w:rsidRDefault="00265792" w:rsidP="00DF220B">
            <w:pPr>
              <w:pStyle w:val="ARtablecolheadright"/>
            </w:pPr>
            <w:r w:rsidRPr="00320506">
              <w:t>Transferee</w:t>
            </w:r>
          </w:p>
        </w:tc>
        <w:tc>
          <w:tcPr>
            <w:tcW w:w="1416" w:type="dxa"/>
            <w:shd w:val="clear" w:color="auto" w:fill="EEEEEF" w:themeFill="accent4"/>
          </w:tcPr>
          <w:p w14:paraId="32491ABC" w14:textId="77777777" w:rsidR="00265792" w:rsidRDefault="00265792" w:rsidP="00DF220B">
            <w:pPr>
              <w:pStyle w:val="ARtablecolheadright"/>
            </w:pPr>
            <w:r w:rsidRPr="00320506">
              <w:t>2024</w:t>
            </w:r>
          </w:p>
          <w:p w14:paraId="399362B5" w14:textId="77777777" w:rsidR="00265792" w:rsidRDefault="00265792" w:rsidP="00DF220B">
            <w:pPr>
              <w:pStyle w:val="ARtablecolheadright"/>
            </w:pPr>
            <w:r w:rsidRPr="00320506">
              <w:t>$M</w:t>
            </w:r>
          </w:p>
        </w:tc>
      </w:tr>
      <w:tr w:rsidR="00265792" w14:paraId="69D6877D" w14:textId="77777777" w:rsidTr="007F499E">
        <w:trPr>
          <w:cnfStyle w:val="010000000000" w:firstRow="0" w:lastRow="1" w:firstColumn="0" w:lastColumn="0" w:oddVBand="0" w:evenVBand="0" w:oddHBand="0" w:evenHBand="0" w:firstRowFirstColumn="0" w:firstRowLastColumn="0" w:lastRowFirstColumn="0" w:lastRowLastColumn="0"/>
        </w:trPr>
        <w:tc>
          <w:tcPr>
            <w:tcW w:w="5382" w:type="dxa"/>
          </w:tcPr>
          <w:p w14:paraId="08C26AA1" w14:textId="77777777" w:rsidR="00265792" w:rsidRDefault="00265792" w:rsidP="00F64E19">
            <w:pPr>
              <w:pStyle w:val="ARfintablebody"/>
            </w:pPr>
            <w:r w:rsidRPr="007A402D">
              <w:t>Multicultural Affairs</w:t>
            </w:r>
          </w:p>
        </w:tc>
        <w:tc>
          <w:tcPr>
            <w:tcW w:w="1415" w:type="dxa"/>
            <w:shd w:val="clear" w:color="auto" w:fill="EEEEEF" w:themeFill="accent4"/>
          </w:tcPr>
          <w:p w14:paraId="2581524B" w14:textId="77777777" w:rsidR="00265792" w:rsidRDefault="00265792" w:rsidP="00F64E19">
            <w:pPr>
              <w:pStyle w:val="ARtabletextright"/>
            </w:pPr>
            <w:r w:rsidRPr="007A402D">
              <w:t>Department</w:t>
            </w:r>
            <w:r>
              <w:t xml:space="preserve"> </w:t>
            </w:r>
            <w:r w:rsidRPr="007A402D">
              <w:t>of</w:t>
            </w:r>
            <w:r>
              <w:t xml:space="preserve"> </w:t>
            </w:r>
            <w:r w:rsidRPr="007A402D">
              <w:t>Families,</w:t>
            </w:r>
            <w:r>
              <w:t xml:space="preserve"> </w:t>
            </w:r>
            <w:r w:rsidRPr="007A402D">
              <w:t>Fairness</w:t>
            </w:r>
            <w:r>
              <w:t xml:space="preserve"> </w:t>
            </w:r>
            <w:r w:rsidRPr="007A402D">
              <w:t>and</w:t>
            </w:r>
            <w:r>
              <w:t xml:space="preserve"> </w:t>
            </w:r>
            <w:r w:rsidRPr="007A402D">
              <w:t>Housing</w:t>
            </w:r>
          </w:p>
        </w:tc>
        <w:tc>
          <w:tcPr>
            <w:tcW w:w="1415" w:type="dxa"/>
          </w:tcPr>
          <w:p w14:paraId="6D3EDCBD" w14:textId="77777777" w:rsidR="00265792" w:rsidRDefault="00265792" w:rsidP="00F64E19">
            <w:pPr>
              <w:pStyle w:val="ARtabletextright"/>
            </w:pPr>
            <w:r w:rsidRPr="007A402D">
              <w:t>Department</w:t>
            </w:r>
            <w:r>
              <w:t xml:space="preserve"> </w:t>
            </w:r>
            <w:r w:rsidRPr="007A402D">
              <w:t>of</w:t>
            </w:r>
            <w:r>
              <w:t xml:space="preserve"> </w:t>
            </w:r>
            <w:r w:rsidRPr="007A402D">
              <w:t>Premier</w:t>
            </w:r>
            <w:r>
              <w:t xml:space="preserve"> </w:t>
            </w:r>
            <w:r w:rsidRPr="007A402D">
              <w:t>and</w:t>
            </w:r>
            <w:r>
              <w:t xml:space="preserve"> </w:t>
            </w:r>
            <w:r w:rsidRPr="007A402D">
              <w:t>Cabinet</w:t>
            </w:r>
          </w:p>
        </w:tc>
        <w:tc>
          <w:tcPr>
            <w:tcW w:w="1416" w:type="dxa"/>
            <w:shd w:val="clear" w:color="auto" w:fill="EEEEEF" w:themeFill="accent4"/>
          </w:tcPr>
          <w:p w14:paraId="1FA7222B" w14:textId="77777777" w:rsidR="00265792" w:rsidRDefault="00265792" w:rsidP="00F64E19">
            <w:pPr>
              <w:pStyle w:val="ARtabletextright"/>
            </w:pPr>
            <w:r w:rsidRPr="007A402D">
              <w:t>0.9</w:t>
            </w:r>
          </w:p>
        </w:tc>
      </w:tr>
    </w:tbl>
    <w:p w14:paraId="6618A544" w14:textId="77777777" w:rsidR="00265792" w:rsidRPr="009951B1" w:rsidRDefault="00265792" w:rsidP="002542E1">
      <w:pPr>
        <w:pStyle w:val="ARfinbodyaftertable"/>
        <w:spacing w:after="240"/>
      </w:pPr>
      <w:r w:rsidRPr="007D742D">
        <w:t>The net asset transfers were treated as a contribution of capital by the state.</w:t>
      </w:r>
    </w:p>
    <w:tbl>
      <w:tblPr>
        <w:tblStyle w:val="TableGrid"/>
        <w:tblW w:w="9639" w:type="dxa"/>
        <w:tblLayout w:type="fixed"/>
        <w:tblLook w:val="06E0" w:firstRow="1" w:lastRow="1" w:firstColumn="1" w:lastColumn="0" w:noHBand="1" w:noVBand="1"/>
      </w:tblPr>
      <w:tblGrid>
        <w:gridCol w:w="6091"/>
        <w:gridCol w:w="1842"/>
        <w:gridCol w:w="1706"/>
      </w:tblGrid>
      <w:tr w:rsidR="00265792" w:rsidRPr="00BA7805" w14:paraId="414DB121" w14:textId="77777777" w:rsidTr="00CB4C64">
        <w:trPr>
          <w:cnfStyle w:val="100000000000" w:firstRow="1" w:lastRow="0" w:firstColumn="0" w:lastColumn="0" w:oddVBand="0" w:evenVBand="0" w:oddHBand="0" w:evenHBand="0" w:firstRowFirstColumn="0" w:firstRowLastColumn="0" w:lastRowFirstColumn="0" w:lastRowLastColumn="0"/>
          <w:tblHeader/>
        </w:trPr>
        <w:tc>
          <w:tcPr>
            <w:tcW w:w="6091" w:type="dxa"/>
            <w:hideMark/>
          </w:tcPr>
          <w:p w14:paraId="5A892041" w14:textId="77777777" w:rsidR="00265792" w:rsidRPr="00BA7805" w:rsidRDefault="00265792">
            <w:pPr>
              <w:pStyle w:val="ARfintablecolhead"/>
              <w:rPr>
                <w:highlight w:val="green"/>
              </w:rPr>
            </w:pPr>
          </w:p>
        </w:tc>
        <w:tc>
          <w:tcPr>
            <w:tcW w:w="1842" w:type="dxa"/>
            <w:shd w:val="clear" w:color="auto" w:fill="EEEEEF" w:themeFill="accent4"/>
            <w:hideMark/>
          </w:tcPr>
          <w:p w14:paraId="59A755CC" w14:textId="77777777" w:rsidR="00265792" w:rsidRDefault="00265792" w:rsidP="00DF220B">
            <w:pPr>
              <w:pStyle w:val="ARfintablecolheadright"/>
            </w:pPr>
            <w:r w:rsidRPr="000F1D8D">
              <w:t>2024</w:t>
            </w:r>
          </w:p>
          <w:p w14:paraId="03935A71" w14:textId="77777777" w:rsidR="00265792" w:rsidRPr="000F1D8D" w:rsidRDefault="00265792" w:rsidP="00DF220B">
            <w:pPr>
              <w:pStyle w:val="ARfintablecolheadright"/>
            </w:pPr>
            <w:r w:rsidRPr="000F1D8D">
              <w:t xml:space="preserve">DFFH – transfer </w:t>
            </w:r>
            <w:r>
              <w:t>out</w:t>
            </w:r>
          </w:p>
          <w:p w14:paraId="470140AC" w14:textId="77777777" w:rsidR="00265792" w:rsidRPr="000F1D8D" w:rsidRDefault="00265792" w:rsidP="00DF220B">
            <w:pPr>
              <w:pStyle w:val="ARfintablecolheadright"/>
            </w:pPr>
            <w:r w:rsidRPr="000F1D8D">
              <w:t>$M</w:t>
            </w:r>
          </w:p>
        </w:tc>
        <w:tc>
          <w:tcPr>
            <w:tcW w:w="1706" w:type="dxa"/>
            <w:hideMark/>
          </w:tcPr>
          <w:p w14:paraId="161AD2FD" w14:textId="77777777" w:rsidR="00265792" w:rsidRDefault="00265792" w:rsidP="00DF220B">
            <w:pPr>
              <w:pStyle w:val="ARfintablecolheadright"/>
            </w:pPr>
            <w:r>
              <w:t>2024</w:t>
            </w:r>
          </w:p>
          <w:p w14:paraId="1E1CF8D9" w14:textId="77777777" w:rsidR="00265792" w:rsidRPr="000F1D8D" w:rsidRDefault="00265792" w:rsidP="00DF220B">
            <w:pPr>
              <w:pStyle w:val="ARfintablecolheadright"/>
            </w:pPr>
            <w:r w:rsidRPr="000F1D8D">
              <w:t>Net transfer</w:t>
            </w:r>
          </w:p>
          <w:p w14:paraId="58835481" w14:textId="77777777" w:rsidR="00265792" w:rsidRPr="000F1D8D" w:rsidRDefault="00265792" w:rsidP="00DF220B">
            <w:pPr>
              <w:pStyle w:val="ARfintablecolheadright"/>
            </w:pPr>
            <w:r w:rsidRPr="000F1D8D">
              <w:t>$M</w:t>
            </w:r>
          </w:p>
        </w:tc>
      </w:tr>
      <w:tr w:rsidR="00265792" w:rsidRPr="00BA7805" w14:paraId="38F7F4E7" w14:textId="77777777" w:rsidTr="00CB4C64">
        <w:tc>
          <w:tcPr>
            <w:tcW w:w="6091" w:type="dxa"/>
          </w:tcPr>
          <w:p w14:paraId="5C9117C7" w14:textId="77777777" w:rsidR="00265792" w:rsidRPr="00BA7805" w:rsidRDefault="00265792" w:rsidP="00CB4C64">
            <w:pPr>
              <w:pStyle w:val="ARfintablebodybold"/>
              <w:rPr>
                <w:highlight w:val="green"/>
              </w:rPr>
            </w:pPr>
            <w:r w:rsidRPr="004D3820">
              <w:t>Assets</w:t>
            </w:r>
          </w:p>
        </w:tc>
        <w:tc>
          <w:tcPr>
            <w:tcW w:w="1842" w:type="dxa"/>
            <w:noWrap/>
          </w:tcPr>
          <w:p w14:paraId="454A107F" w14:textId="77777777" w:rsidR="00265792" w:rsidRPr="00BA7805" w:rsidRDefault="00265792" w:rsidP="007D742D">
            <w:pPr>
              <w:pStyle w:val="ARfintablebodyright"/>
              <w:rPr>
                <w:highlight w:val="green"/>
              </w:rPr>
            </w:pPr>
          </w:p>
        </w:tc>
        <w:tc>
          <w:tcPr>
            <w:tcW w:w="1706" w:type="dxa"/>
            <w:noWrap/>
          </w:tcPr>
          <w:p w14:paraId="4567C4DC" w14:textId="77777777" w:rsidR="00265792" w:rsidRPr="00BA7805" w:rsidRDefault="00265792" w:rsidP="007D742D">
            <w:pPr>
              <w:pStyle w:val="ARfintablebodyright"/>
              <w:rPr>
                <w:highlight w:val="green"/>
              </w:rPr>
            </w:pPr>
          </w:p>
        </w:tc>
      </w:tr>
      <w:tr w:rsidR="00265792" w:rsidRPr="00BA7805" w14:paraId="7BA52DDF" w14:textId="77777777" w:rsidTr="00CB4C64">
        <w:tc>
          <w:tcPr>
            <w:tcW w:w="6091" w:type="dxa"/>
          </w:tcPr>
          <w:p w14:paraId="1B7B189D" w14:textId="77777777" w:rsidR="00265792" w:rsidRPr="00BA7805" w:rsidRDefault="00265792" w:rsidP="007D742D">
            <w:pPr>
              <w:pStyle w:val="ARfintablebody"/>
              <w:rPr>
                <w:highlight w:val="green"/>
              </w:rPr>
            </w:pPr>
            <w:r w:rsidRPr="004D3820">
              <w:t>Cash and deposits</w:t>
            </w:r>
          </w:p>
        </w:tc>
        <w:tc>
          <w:tcPr>
            <w:tcW w:w="1842" w:type="dxa"/>
            <w:shd w:val="clear" w:color="auto" w:fill="EEEEEF" w:themeFill="accent4"/>
            <w:noWrap/>
          </w:tcPr>
          <w:p w14:paraId="5C6BF894" w14:textId="77777777" w:rsidR="00265792" w:rsidRPr="00BA7805" w:rsidRDefault="00265792" w:rsidP="007D742D">
            <w:pPr>
              <w:pStyle w:val="ARfintablebodyright"/>
              <w:rPr>
                <w:highlight w:val="green"/>
              </w:rPr>
            </w:pPr>
            <w:r w:rsidRPr="004D3820">
              <w:t>0.9</w:t>
            </w:r>
          </w:p>
        </w:tc>
        <w:tc>
          <w:tcPr>
            <w:tcW w:w="1706" w:type="dxa"/>
            <w:noWrap/>
          </w:tcPr>
          <w:p w14:paraId="352C32CA" w14:textId="77777777" w:rsidR="00265792" w:rsidRPr="00BA7805" w:rsidRDefault="00265792" w:rsidP="007D742D">
            <w:pPr>
              <w:pStyle w:val="ARfintablebodyright"/>
              <w:rPr>
                <w:highlight w:val="green"/>
              </w:rPr>
            </w:pPr>
            <w:r w:rsidRPr="004D3820">
              <w:t>0.9</w:t>
            </w:r>
          </w:p>
        </w:tc>
      </w:tr>
      <w:tr w:rsidR="00265792" w:rsidRPr="00BA7805" w14:paraId="294E5D71" w14:textId="77777777" w:rsidTr="00CB4C64">
        <w:tc>
          <w:tcPr>
            <w:tcW w:w="6091" w:type="dxa"/>
          </w:tcPr>
          <w:p w14:paraId="0ADDB096" w14:textId="77777777" w:rsidR="00265792" w:rsidRPr="00BA7805" w:rsidRDefault="00265792" w:rsidP="007D742D">
            <w:pPr>
              <w:pStyle w:val="ARfintablebody"/>
              <w:rPr>
                <w:highlight w:val="green"/>
              </w:rPr>
            </w:pPr>
            <w:r w:rsidRPr="004D3820">
              <w:t>Receivables</w:t>
            </w:r>
          </w:p>
        </w:tc>
        <w:tc>
          <w:tcPr>
            <w:tcW w:w="1842" w:type="dxa"/>
            <w:shd w:val="clear" w:color="auto" w:fill="EEEEEF" w:themeFill="accent4"/>
            <w:noWrap/>
          </w:tcPr>
          <w:p w14:paraId="75CC259C" w14:textId="77777777" w:rsidR="00265792" w:rsidRPr="00BA7805" w:rsidRDefault="00265792" w:rsidP="007D742D">
            <w:pPr>
              <w:pStyle w:val="ARfintablebodyright"/>
              <w:rPr>
                <w:highlight w:val="green"/>
              </w:rPr>
            </w:pPr>
            <w:r w:rsidRPr="004D3820">
              <w:t>2.5</w:t>
            </w:r>
          </w:p>
        </w:tc>
        <w:tc>
          <w:tcPr>
            <w:tcW w:w="1706" w:type="dxa"/>
            <w:noWrap/>
          </w:tcPr>
          <w:p w14:paraId="33CBB793" w14:textId="77777777" w:rsidR="00265792" w:rsidRPr="00BA7805" w:rsidRDefault="00265792" w:rsidP="007D742D">
            <w:pPr>
              <w:pStyle w:val="ARfintablebodyright"/>
              <w:rPr>
                <w:highlight w:val="green"/>
              </w:rPr>
            </w:pPr>
            <w:r w:rsidRPr="004D3820">
              <w:t>2.5</w:t>
            </w:r>
          </w:p>
        </w:tc>
      </w:tr>
      <w:tr w:rsidR="00265792" w:rsidRPr="00BA7805" w14:paraId="41380538" w14:textId="77777777" w:rsidTr="00CB4C64">
        <w:tc>
          <w:tcPr>
            <w:tcW w:w="6091" w:type="dxa"/>
          </w:tcPr>
          <w:p w14:paraId="3E638620" w14:textId="77777777" w:rsidR="00265792" w:rsidRPr="00BA7805" w:rsidRDefault="00265792" w:rsidP="007D742D">
            <w:pPr>
              <w:pStyle w:val="ARfintablebody"/>
              <w:rPr>
                <w:highlight w:val="green"/>
              </w:rPr>
            </w:pPr>
            <w:r w:rsidRPr="004D3820">
              <w:t>Leased assets</w:t>
            </w:r>
          </w:p>
        </w:tc>
        <w:tc>
          <w:tcPr>
            <w:tcW w:w="1842" w:type="dxa"/>
            <w:shd w:val="clear" w:color="auto" w:fill="EEEEEF" w:themeFill="accent4"/>
            <w:noWrap/>
          </w:tcPr>
          <w:p w14:paraId="0B1D5DCF" w14:textId="77777777" w:rsidR="00265792" w:rsidRPr="00BA7805" w:rsidRDefault="00265792" w:rsidP="007D742D">
            <w:pPr>
              <w:pStyle w:val="ARfintablebodyright"/>
              <w:rPr>
                <w:highlight w:val="green"/>
              </w:rPr>
            </w:pPr>
            <w:r w:rsidRPr="004D3820">
              <w:t>0.1</w:t>
            </w:r>
          </w:p>
        </w:tc>
        <w:tc>
          <w:tcPr>
            <w:tcW w:w="1706" w:type="dxa"/>
            <w:noWrap/>
          </w:tcPr>
          <w:p w14:paraId="00A47C0F" w14:textId="77777777" w:rsidR="00265792" w:rsidRPr="00BA7805" w:rsidRDefault="00265792" w:rsidP="007D742D">
            <w:pPr>
              <w:pStyle w:val="ARfintablebodyright"/>
              <w:rPr>
                <w:highlight w:val="green"/>
              </w:rPr>
            </w:pPr>
            <w:r w:rsidRPr="004D3820">
              <w:t>0.1</w:t>
            </w:r>
          </w:p>
        </w:tc>
      </w:tr>
      <w:tr w:rsidR="00265792" w:rsidRPr="00BA7805" w14:paraId="0798BD75" w14:textId="77777777" w:rsidTr="00CB4C64">
        <w:tc>
          <w:tcPr>
            <w:tcW w:w="6091" w:type="dxa"/>
          </w:tcPr>
          <w:p w14:paraId="1D2D10E9" w14:textId="77777777" w:rsidR="00265792" w:rsidRPr="00BA7805" w:rsidRDefault="00265792" w:rsidP="00CB4C64">
            <w:pPr>
              <w:pStyle w:val="ARfintablebodybold"/>
              <w:rPr>
                <w:highlight w:val="green"/>
              </w:rPr>
            </w:pPr>
            <w:r w:rsidRPr="004D3820">
              <w:t>Liabilities</w:t>
            </w:r>
          </w:p>
        </w:tc>
        <w:tc>
          <w:tcPr>
            <w:tcW w:w="1842" w:type="dxa"/>
            <w:noWrap/>
          </w:tcPr>
          <w:p w14:paraId="64EE783C" w14:textId="77777777" w:rsidR="00265792" w:rsidRPr="00BA7805" w:rsidRDefault="00265792" w:rsidP="007D742D">
            <w:pPr>
              <w:pStyle w:val="ARfintablebodyright"/>
              <w:rPr>
                <w:highlight w:val="green"/>
              </w:rPr>
            </w:pPr>
          </w:p>
        </w:tc>
        <w:tc>
          <w:tcPr>
            <w:tcW w:w="1706" w:type="dxa"/>
            <w:noWrap/>
          </w:tcPr>
          <w:p w14:paraId="2B877B7A" w14:textId="77777777" w:rsidR="00265792" w:rsidRPr="00BA7805" w:rsidRDefault="00265792" w:rsidP="007D742D">
            <w:pPr>
              <w:pStyle w:val="ARfintablebodyright"/>
              <w:rPr>
                <w:highlight w:val="green"/>
              </w:rPr>
            </w:pPr>
          </w:p>
        </w:tc>
      </w:tr>
      <w:tr w:rsidR="00265792" w:rsidRPr="00BA7805" w14:paraId="12A14E21" w14:textId="77777777" w:rsidTr="00CB4C64">
        <w:tc>
          <w:tcPr>
            <w:tcW w:w="6091" w:type="dxa"/>
          </w:tcPr>
          <w:p w14:paraId="09A8E595" w14:textId="77777777" w:rsidR="00265792" w:rsidRPr="00BA7805" w:rsidRDefault="00265792" w:rsidP="007D742D">
            <w:pPr>
              <w:pStyle w:val="ARfintablebody"/>
              <w:rPr>
                <w:highlight w:val="green"/>
              </w:rPr>
            </w:pPr>
            <w:r w:rsidRPr="004D3820">
              <w:t>Payables and accruals</w:t>
            </w:r>
          </w:p>
        </w:tc>
        <w:tc>
          <w:tcPr>
            <w:tcW w:w="1842" w:type="dxa"/>
            <w:shd w:val="clear" w:color="auto" w:fill="EEEEEF" w:themeFill="accent4"/>
            <w:noWrap/>
          </w:tcPr>
          <w:p w14:paraId="2F7C41D2" w14:textId="77777777" w:rsidR="00265792" w:rsidRPr="00BA7805" w:rsidRDefault="00265792" w:rsidP="007D742D">
            <w:pPr>
              <w:pStyle w:val="ARfintablebodyright"/>
              <w:rPr>
                <w:highlight w:val="green"/>
              </w:rPr>
            </w:pPr>
            <w:r w:rsidRPr="004D3820">
              <w:t>(0.6)</w:t>
            </w:r>
          </w:p>
        </w:tc>
        <w:tc>
          <w:tcPr>
            <w:tcW w:w="1706" w:type="dxa"/>
            <w:noWrap/>
          </w:tcPr>
          <w:p w14:paraId="4CF5F413" w14:textId="77777777" w:rsidR="00265792" w:rsidRPr="00BA7805" w:rsidRDefault="00265792" w:rsidP="007D742D">
            <w:pPr>
              <w:pStyle w:val="ARfintablebodyright"/>
              <w:rPr>
                <w:highlight w:val="green"/>
              </w:rPr>
            </w:pPr>
            <w:r w:rsidRPr="004D3820">
              <w:t>(0.6)</w:t>
            </w:r>
          </w:p>
        </w:tc>
      </w:tr>
      <w:tr w:rsidR="00265792" w:rsidRPr="00BA7805" w14:paraId="4C71D274" w14:textId="77777777" w:rsidTr="00CB4C64">
        <w:tc>
          <w:tcPr>
            <w:tcW w:w="6091" w:type="dxa"/>
            <w:tcBorders>
              <w:bottom w:val="single" w:sz="4" w:space="0" w:color="A6A6A6" w:themeColor="accent5"/>
            </w:tcBorders>
          </w:tcPr>
          <w:p w14:paraId="513EF791" w14:textId="77777777" w:rsidR="00265792" w:rsidRPr="00BA7805" w:rsidRDefault="00265792" w:rsidP="007D742D">
            <w:pPr>
              <w:pStyle w:val="ARfintablebody"/>
              <w:rPr>
                <w:highlight w:val="green"/>
              </w:rPr>
            </w:pPr>
            <w:r w:rsidRPr="004D3820">
              <w:t>Employee related provisions</w:t>
            </w:r>
          </w:p>
        </w:tc>
        <w:tc>
          <w:tcPr>
            <w:tcW w:w="1842" w:type="dxa"/>
            <w:tcBorders>
              <w:bottom w:val="single" w:sz="4" w:space="0" w:color="A6A6A6" w:themeColor="accent5"/>
            </w:tcBorders>
            <w:shd w:val="clear" w:color="auto" w:fill="EEEEEF" w:themeFill="accent4"/>
            <w:noWrap/>
          </w:tcPr>
          <w:p w14:paraId="77AC5CA0" w14:textId="77777777" w:rsidR="00265792" w:rsidRPr="00BA7805" w:rsidRDefault="00265792" w:rsidP="007D742D">
            <w:pPr>
              <w:pStyle w:val="ARfintablebodyright"/>
              <w:rPr>
                <w:highlight w:val="green"/>
              </w:rPr>
            </w:pPr>
            <w:r w:rsidRPr="004D3820">
              <w:t>(1.9)</w:t>
            </w:r>
          </w:p>
        </w:tc>
        <w:tc>
          <w:tcPr>
            <w:tcW w:w="1706" w:type="dxa"/>
            <w:tcBorders>
              <w:bottom w:val="single" w:sz="4" w:space="0" w:color="A6A6A6" w:themeColor="accent5"/>
            </w:tcBorders>
            <w:noWrap/>
          </w:tcPr>
          <w:p w14:paraId="2A6A55FF" w14:textId="77777777" w:rsidR="00265792" w:rsidRPr="00BA7805" w:rsidRDefault="00265792" w:rsidP="007D742D">
            <w:pPr>
              <w:pStyle w:val="ARfintablebodyright"/>
              <w:rPr>
                <w:highlight w:val="green"/>
              </w:rPr>
            </w:pPr>
            <w:r w:rsidRPr="004D3820">
              <w:t>(1.9)</w:t>
            </w:r>
          </w:p>
        </w:tc>
      </w:tr>
      <w:tr w:rsidR="00265792" w:rsidRPr="00BA7805" w14:paraId="05A63E8A" w14:textId="77777777" w:rsidTr="00CB4C64">
        <w:tc>
          <w:tcPr>
            <w:tcW w:w="6091" w:type="dxa"/>
            <w:tcBorders>
              <w:top w:val="single" w:sz="4" w:space="0" w:color="A6A6A6" w:themeColor="accent5"/>
              <w:bottom w:val="single" w:sz="4" w:space="0" w:color="000000" w:themeColor="text1"/>
            </w:tcBorders>
          </w:tcPr>
          <w:p w14:paraId="45A39C88" w14:textId="77777777" w:rsidR="00265792" w:rsidRPr="00BA7805" w:rsidRDefault="00265792" w:rsidP="007D742D">
            <w:pPr>
              <w:pStyle w:val="ARfintablebody"/>
              <w:rPr>
                <w:highlight w:val="green"/>
              </w:rPr>
            </w:pPr>
            <w:r w:rsidRPr="004D3820">
              <w:t>Lease liabilities</w:t>
            </w:r>
          </w:p>
        </w:tc>
        <w:tc>
          <w:tcPr>
            <w:tcW w:w="1842" w:type="dxa"/>
            <w:tcBorders>
              <w:top w:val="single" w:sz="4" w:space="0" w:color="A6A6A6" w:themeColor="accent5"/>
              <w:bottom w:val="single" w:sz="4" w:space="0" w:color="000000" w:themeColor="text1"/>
            </w:tcBorders>
            <w:shd w:val="clear" w:color="auto" w:fill="EEEEEF" w:themeFill="accent4"/>
            <w:noWrap/>
          </w:tcPr>
          <w:p w14:paraId="30B8F8EE" w14:textId="77777777" w:rsidR="00265792" w:rsidRPr="00BA7805" w:rsidRDefault="00265792" w:rsidP="007D742D">
            <w:pPr>
              <w:pStyle w:val="ARfintablebodyright"/>
              <w:rPr>
                <w:highlight w:val="green"/>
              </w:rPr>
            </w:pPr>
            <w:r w:rsidRPr="004D3820">
              <w:t>(0.1)</w:t>
            </w:r>
          </w:p>
        </w:tc>
        <w:tc>
          <w:tcPr>
            <w:tcW w:w="1706" w:type="dxa"/>
            <w:tcBorders>
              <w:top w:val="single" w:sz="4" w:space="0" w:color="A6A6A6" w:themeColor="accent5"/>
              <w:bottom w:val="single" w:sz="4" w:space="0" w:color="000000" w:themeColor="text1"/>
            </w:tcBorders>
            <w:noWrap/>
          </w:tcPr>
          <w:p w14:paraId="43328F0A" w14:textId="77777777" w:rsidR="00265792" w:rsidRPr="00BA7805" w:rsidRDefault="00265792" w:rsidP="007D742D">
            <w:pPr>
              <w:pStyle w:val="ARfintablebodyright"/>
              <w:rPr>
                <w:highlight w:val="green"/>
              </w:rPr>
            </w:pPr>
            <w:r w:rsidRPr="004D3820">
              <w:t>(0.1)</w:t>
            </w:r>
          </w:p>
        </w:tc>
      </w:tr>
      <w:tr w:rsidR="00265792" w:rsidRPr="00BA7805" w14:paraId="78A0F1D9" w14:textId="77777777" w:rsidTr="00CB4C64">
        <w:tc>
          <w:tcPr>
            <w:tcW w:w="6091" w:type="dxa"/>
            <w:tcBorders>
              <w:top w:val="single" w:sz="4" w:space="0" w:color="000000" w:themeColor="text1"/>
              <w:bottom w:val="single" w:sz="4" w:space="0" w:color="000000" w:themeColor="text1"/>
            </w:tcBorders>
          </w:tcPr>
          <w:p w14:paraId="55B9E7AF" w14:textId="77777777" w:rsidR="00265792" w:rsidRPr="00BA7805" w:rsidRDefault="00265792" w:rsidP="00CB4C64">
            <w:pPr>
              <w:pStyle w:val="ARfintablebodybold"/>
              <w:rPr>
                <w:highlight w:val="green"/>
              </w:rPr>
            </w:pPr>
            <w:r w:rsidRPr="004D3820">
              <w:t>Net assets recognised/(transferred)</w:t>
            </w:r>
          </w:p>
        </w:tc>
        <w:tc>
          <w:tcPr>
            <w:tcW w:w="1842" w:type="dxa"/>
            <w:tcBorders>
              <w:top w:val="single" w:sz="4" w:space="0" w:color="000000" w:themeColor="text1"/>
              <w:bottom w:val="single" w:sz="4" w:space="0" w:color="000000" w:themeColor="text1"/>
            </w:tcBorders>
            <w:shd w:val="clear" w:color="auto" w:fill="EEEEEF" w:themeFill="accent4"/>
            <w:noWrap/>
          </w:tcPr>
          <w:p w14:paraId="57F9FD37" w14:textId="77777777" w:rsidR="00265792" w:rsidRPr="00BA7805" w:rsidRDefault="00265792" w:rsidP="00CB4C64">
            <w:pPr>
              <w:pStyle w:val="ARfintablebodyrightbold"/>
              <w:rPr>
                <w:highlight w:val="green"/>
              </w:rPr>
            </w:pPr>
            <w:r w:rsidRPr="004D3820">
              <w:t>0.9</w:t>
            </w:r>
          </w:p>
        </w:tc>
        <w:tc>
          <w:tcPr>
            <w:tcW w:w="1706" w:type="dxa"/>
            <w:tcBorders>
              <w:top w:val="single" w:sz="4" w:space="0" w:color="000000" w:themeColor="text1"/>
              <w:bottom w:val="single" w:sz="4" w:space="0" w:color="000000" w:themeColor="text1"/>
            </w:tcBorders>
            <w:noWrap/>
          </w:tcPr>
          <w:p w14:paraId="2C73FC40" w14:textId="77777777" w:rsidR="00265792" w:rsidRPr="00BA7805" w:rsidRDefault="00265792" w:rsidP="00CB4C64">
            <w:pPr>
              <w:pStyle w:val="ARfintablebodyrightbold"/>
              <w:rPr>
                <w:highlight w:val="green"/>
              </w:rPr>
            </w:pPr>
            <w:r w:rsidRPr="004D3820">
              <w:t>0.9</w:t>
            </w:r>
          </w:p>
        </w:tc>
      </w:tr>
      <w:tr w:rsidR="00265792" w:rsidRPr="00BA7805" w14:paraId="55B8FE20" w14:textId="77777777" w:rsidTr="00CB4C64">
        <w:trPr>
          <w:cnfStyle w:val="010000000000" w:firstRow="0" w:lastRow="1" w:firstColumn="0" w:lastColumn="0" w:oddVBand="0" w:evenVBand="0" w:oddHBand="0" w:evenHBand="0" w:firstRowFirstColumn="0" w:firstRowLastColumn="0" w:lastRowFirstColumn="0" w:lastRowLastColumn="0"/>
        </w:trPr>
        <w:tc>
          <w:tcPr>
            <w:tcW w:w="6091" w:type="dxa"/>
          </w:tcPr>
          <w:p w14:paraId="516B006D" w14:textId="77777777" w:rsidR="00265792" w:rsidRPr="00BA7805" w:rsidRDefault="00265792" w:rsidP="00CB4C64">
            <w:pPr>
              <w:pStyle w:val="ARfintablebodybold"/>
              <w:rPr>
                <w:highlight w:val="green"/>
              </w:rPr>
            </w:pPr>
            <w:r w:rsidRPr="004D3820">
              <w:t>Net capital contribution from the Crown</w:t>
            </w:r>
          </w:p>
        </w:tc>
        <w:tc>
          <w:tcPr>
            <w:tcW w:w="1842" w:type="dxa"/>
            <w:shd w:val="clear" w:color="auto" w:fill="EEEEEF" w:themeFill="accent4"/>
            <w:noWrap/>
          </w:tcPr>
          <w:p w14:paraId="10FC3356" w14:textId="77777777" w:rsidR="00265792" w:rsidRPr="00BA7805" w:rsidRDefault="00265792" w:rsidP="00CB4C64">
            <w:pPr>
              <w:pStyle w:val="ARfintablebodyrightbold"/>
              <w:rPr>
                <w:highlight w:val="green"/>
              </w:rPr>
            </w:pPr>
            <w:r w:rsidRPr="004D3820">
              <w:t>0.9</w:t>
            </w:r>
          </w:p>
        </w:tc>
        <w:tc>
          <w:tcPr>
            <w:tcW w:w="1706" w:type="dxa"/>
            <w:noWrap/>
          </w:tcPr>
          <w:p w14:paraId="364A26A3" w14:textId="77777777" w:rsidR="00265792" w:rsidRPr="00BA7805" w:rsidRDefault="00265792" w:rsidP="00CB4C64">
            <w:pPr>
              <w:pStyle w:val="ARfintablebodyrightbold"/>
              <w:rPr>
                <w:highlight w:val="green"/>
              </w:rPr>
            </w:pPr>
            <w:r w:rsidRPr="004D3820">
              <w:t>0.9</w:t>
            </w:r>
          </w:p>
        </w:tc>
      </w:tr>
    </w:tbl>
    <w:p w14:paraId="34F9F355" w14:textId="77777777" w:rsidR="00265792" w:rsidRPr="00E502FC" w:rsidRDefault="00265792" w:rsidP="002542E1">
      <w:pPr>
        <w:pStyle w:val="ARfinbodyaftertable"/>
        <w:rPr>
          <w:highlight w:val="green"/>
        </w:rPr>
      </w:pPr>
      <w:r w:rsidRPr="00BA7805">
        <w:rPr>
          <w:highlight w:val="green"/>
        </w:rPr>
        <w:br w:type="page"/>
      </w:r>
    </w:p>
    <w:p w14:paraId="73F8D852" w14:textId="77777777" w:rsidR="00265792" w:rsidRPr="00675D30" w:rsidRDefault="00265792" w:rsidP="002542E1">
      <w:pPr>
        <w:pStyle w:val="Heading3"/>
        <w:spacing w:before="0"/>
      </w:pPr>
      <w:bookmarkStart w:id="272" w:name="_5._Key_assets"/>
      <w:bookmarkStart w:id="273" w:name="_Toc212041660"/>
      <w:bookmarkEnd w:id="272"/>
      <w:r w:rsidRPr="00675D30">
        <w:lastRenderedPageBreak/>
        <w:t>5. Key assets available to support output delivery</w:t>
      </w:r>
      <w:bookmarkEnd w:id="273"/>
    </w:p>
    <w:p w14:paraId="2C8FB6D4" w14:textId="77777777" w:rsidR="00265792" w:rsidRDefault="00265792" w:rsidP="00D82200">
      <w:pPr>
        <w:pStyle w:val="Heading4"/>
      </w:pPr>
      <w:r>
        <w:t>Introduction</w:t>
      </w:r>
    </w:p>
    <w:p w14:paraId="2065B25E" w14:textId="77777777" w:rsidR="00265792" w:rsidRDefault="00265792" w:rsidP="00D82200">
      <w:pPr>
        <w:pStyle w:val="ARfinbody"/>
      </w:pPr>
      <w:r>
        <w:t>The department controls infrastructure and other investments that are utilised in fulfilling its objectives and conducting its activities. They represent the key resources that have been entrusted to the department to be utilised for delivery of those outputs, which primarily relates to the delivery of housing output.</w:t>
      </w:r>
    </w:p>
    <w:p w14:paraId="78788155" w14:textId="77777777" w:rsidR="00265792" w:rsidRDefault="00265792" w:rsidP="00D82200">
      <w:pPr>
        <w:pStyle w:val="Heading4"/>
      </w:pPr>
      <w:r>
        <w:t>Fair value measurement</w:t>
      </w:r>
    </w:p>
    <w:p w14:paraId="42069B21" w14:textId="77777777" w:rsidR="00265792" w:rsidRDefault="00265792" w:rsidP="00D82200">
      <w:pPr>
        <w:pStyle w:val="ARfinbody"/>
      </w:pPr>
      <w:r>
        <w:t>Other than assets under construction, these assets are carried at fair value, additional information is disclosed in Note 8.3 in connection with how those fair values were determined.</w:t>
      </w:r>
    </w:p>
    <w:p w14:paraId="127A2791" w14:textId="77777777" w:rsidR="00265792" w:rsidRDefault="00265792" w:rsidP="00D82200">
      <w:pPr>
        <w:pStyle w:val="Heading4"/>
      </w:pPr>
      <w:r>
        <w:t>Structure</w:t>
      </w:r>
    </w:p>
    <w:p w14:paraId="734CB2B3" w14:textId="77777777" w:rsidR="00265792" w:rsidRDefault="00265792" w:rsidP="00D82200">
      <w:pPr>
        <w:pStyle w:val="ARfinstructure1"/>
      </w:pPr>
      <w:r>
        <w:t xml:space="preserve">5.1 </w:t>
      </w:r>
      <w:r>
        <w:tab/>
        <w:t>Total property, plant and equipment</w:t>
      </w:r>
    </w:p>
    <w:p w14:paraId="607072BD" w14:textId="77777777" w:rsidR="00265792" w:rsidRPr="00342C5B" w:rsidRDefault="00265792" w:rsidP="00342C5B">
      <w:pPr>
        <w:pStyle w:val="ARfinstructure2"/>
      </w:pPr>
      <w:r>
        <w:t xml:space="preserve">5.1.1 </w:t>
      </w:r>
      <w:r>
        <w:tab/>
      </w:r>
      <w:r w:rsidRPr="00342C5B">
        <w:t>Total service concession assets</w:t>
      </w:r>
    </w:p>
    <w:p w14:paraId="54EEA449" w14:textId="77777777" w:rsidR="00265792" w:rsidRPr="00342C5B" w:rsidRDefault="00265792" w:rsidP="00342C5B">
      <w:pPr>
        <w:pStyle w:val="ARfinstructure2"/>
      </w:pPr>
      <w:r w:rsidRPr="00342C5B">
        <w:t xml:space="preserve">5.1.2 </w:t>
      </w:r>
      <w:r w:rsidRPr="00342C5B">
        <w:tab/>
        <w:t>Depreciation and amortisation</w:t>
      </w:r>
    </w:p>
    <w:p w14:paraId="62216660" w14:textId="77777777" w:rsidR="00265792" w:rsidRDefault="00265792" w:rsidP="00342C5B">
      <w:pPr>
        <w:pStyle w:val="ARfinstructure2"/>
      </w:pPr>
      <w:r w:rsidRPr="00342C5B">
        <w:t xml:space="preserve">5.1.3 </w:t>
      </w:r>
      <w:r w:rsidRPr="00342C5B">
        <w:tab/>
        <w:t>Reconciliation of movements in carrying values of land, buildings, plant and equipment, motor vehicles and assets under</w:t>
      </w:r>
      <w:r>
        <w:t xml:space="preserve"> construction</w:t>
      </w:r>
    </w:p>
    <w:p w14:paraId="36615342" w14:textId="77777777" w:rsidR="00265792" w:rsidRPr="00CE41D5" w:rsidRDefault="00265792">
      <w:pPr>
        <w:pStyle w:val="Heading4Grants"/>
        <w:rPr>
          <w:lang w:eastAsia="en-AU"/>
        </w:rPr>
      </w:pPr>
      <w:r w:rsidRPr="00CE41D5">
        <w:rPr>
          <w:lang w:eastAsia="en-AU"/>
        </w:rPr>
        <w:t>5.1 Total property, plant and equipment</w:t>
      </w:r>
    </w:p>
    <w:tbl>
      <w:tblPr>
        <w:tblStyle w:val="TableGrid"/>
        <w:tblW w:w="9637" w:type="dxa"/>
        <w:tblLayout w:type="fixed"/>
        <w:tblLook w:val="06E0" w:firstRow="1" w:lastRow="1" w:firstColumn="1" w:lastColumn="0" w:noHBand="1" w:noVBand="1"/>
      </w:tblPr>
      <w:tblGrid>
        <w:gridCol w:w="3512"/>
        <w:gridCol w:w="1020"/>
        <w:gridCol w:w="1021"/>
        <w:gridCol w:w="1021"/>
        <w:gridCol w:w="1021"/>
        <w:gridCol w:w="1021"/>
        <w:gridCol w:w="1021"/>
      </w:tblGrid>
      <w:tr w:rsidR="00265792" w:rsidRPr="00BA7805" w14:paraId="25384FC2" w14:textId="77777777" w:rsidTr="005204DB">
        <w:trPr>
          <w:cnfStyle w:val="100000000000" w:firstRow="1" w:lastRow="0" w:firstColumn="0" w:lastColumn="0" w:oddVBand="0" w:evenVBand="0" w:oddHBand="0" w:evenHBand="0" w:firstRowFirstColumn="0" w:firstRowLastColumn="0" w:lastRowFirstColumn="0" w:lastRowLastColumn="0"/>
          <w:tblHeader/>
        </w:trPr>
        <w:tc>
          <w:tcPr>
            <w:tcW w:w="3512" w:type="dxa"/>
            <w:vMerge w:val="restart"/>
            <w:noWrap/>
            <w:hideMark/>
          </w:tcPr>
          <w:p w14:paraId="4EC3D169" w14:textId="77777777" w:rsidR="00265792" w:rsidRPr="00BA7805" w:rsidRDefault="00265792">
            <w:pPr>
              <w:pStyle w:val="ARfintablecolhead"/>
              <w:rPr>
                <w:highlight w:val="green"/>
              </w:rPr>
            </w:pPr>
          </w:p>
        </w:tc>
        <w:tc>
          <w:tcPr>
            <w:tcW w:w="2041" w:type="dxa"/>
            <w:gridSpan w:val="2"/>
            <w:shd w:val="clear" w:color="auto" w:fill="EEEEEF" w:themeFill="accent4"/>
            <w:hideMark/>
          </w:tcPr>
          <w:p w14:paraId="49457918" w14:textId="77777777" w:rsidR="00265792" w:rsidRPr="00CE41D5" w:rsidRDefault="00265792">
            <w:pPr>
              <w:pStyle w:val="ARfintablecolheadcentre"/>
            </w:pPr>
            <w:r w:rsidRPr="00CE41D5">
              <w:t>Gross carrying amount</w:t>
            </w:r>
          </w:p>
        </w:tc>
        <w:tc>
          <w:tcPr>
            <w:tcW w:w="2042" w:type="dxa"/>
            <w:gridSpan w:val="2"/>
            <w:hideMark/>
          </w:tcPr>
          <w:p w14:paraId="0943604B" w14:textId="77777777" w:rsidR="00265792" w:rsidRPr="00CE41D5" w:rsidRDefault="00265792">
            <w:pPr>
              <w:pStyle w:val="ARfintablecolheadcentre"/>
            </w:pPr>
            <w:r w:rsidRPr="00CE41D5">
              <w:t>Accumulated depreciation</w:t>
            </w:r>
          </w:p>
        </w:tc>
        <w:tc>
          <w:tcPr>
            <w:tcW w:w="2042" w:type="dxa"/>
            <w:gridSpan w:val="2"/>
            <w:shd w:val="clear" w:color="auto" w:fill="EEEEEF" w:themeFill="accent4"/>
            <w:hideMark/>
          </w:tcPr>
          <w:p w14:paraId="78D1D72A" w14:textId="77777777" w:rsidR="00265792" w:rsidRPr="00CE41D5" w:rsidRDefault="00265792">
            <w:pPr>
              <w:pStyle w:val="ARfintablecolheadcentre"/>
            </w:pPr>
            <w:r w:rsidRPr="00CE41D5">
              <w:t xml:space="preserve">Net carrying </w:t>
            </w:r>
            <w:r w:rsidRPr="00CE41D5">
              <w:br/>
              <w:t>amount</w:t>
            </w:r>
          </w:p>
        </w:tc>
      </w:tr>
      <w:tr w:rsidR="00265792" w:rsidRPr="00BA7805" w14:paraId="00C72AD0" w14:textId="77777777" w:rsidTr="005204DB">
        <w:trPr>
          <w:cnfStyle w:val="100000000000" w:firstRow="1" w:lastRow="0" w:firstColumn="0" w:lastColumn="0" w:oddVBand="0" w:evenVBand="0" w:oddHBand="0" w:evenHBand="0" w:firstRowFirstColumn="0" w:firstRowLastColumn="0" w:lastRowFirstColumn="0" w:lastRowLastColumn="0"/>
          <w:tblHeader/>
        </w:trPr>
        <w:tc>
          <w:tcPr>
            <w:tcW w:w="3512" w:type="dxa"/>
            <w:vMerge/>
            <w:hideMark/>
          </w:tcPr>
          <w:p w14:paraId="7C5895B9" w14:textId="77777777" w:rsidR="00265792" w:rsidRPr="00BA7805" w:rsidRDefault="00265792" w:rsidP="002542E1">
            <w:pPr>
              <w:pStyle w:val="ARfintablecolhead"/>
              <w:rPr>
                <w:highlight w:val="green"/>
              </w:rPr>
            </w:pPr>
          </w:p>
        </w:tc>
        <w:tc>
          <w:tcPr>
            <w:tcW w:w="1020" w:type="dxa"/>
            <w:shd w:val="clear" w:color="auto" w:fill="EEEEEF" w:themeFill="accent4"/>
            <w:hideMark/>
          </w:tcPr>
          <w:p w14:paraId="6D74C8A6" w14:textId="77777777" w:rsidR="00265792" w:rsidRPr="00CE41D5" w:rsidRDefault="00265792" w:rsidP="002542E1">
            <w:pPr>
              <w:pStyle w:val="ARfintablecolheadright"/>
            </w:pPr>
            <w:r w:rsidRPr="00CE41D5">
              <w:t>202</w:t>
            </w:r>
            <w:r>
              <w:t>5</w:t>
            </w:r>
          </w:p>
          <w:p w14:paraId="34427E9E" w14:textId="77777777" w:rsidR="00265792" w:rsidRPr="00CE41D5" w:rsidRDefault="00265792" w:rsidP="002542E1">
            <w:pPr>
              <w:pStyle w:val="ARfintablecolheadright"/>
            </w:pPr>
            <w:r w:rsidRPr="00CE41D5">
              <w:t>$M</w:t>
            </w:r>
          </w:p>
        </w:tc>
        <w:tc>
          <w:tcPr>
            <w:tcW w:w="1021" w:type="dxa"/>
            <w:shd w:val="clear" w:color="auto" w:fill="EEEEEF" w:themeFill="accent4"/>
            <w:hideMark/>
          </w:tcPr>
          <w:p w14:paraId="7600460B" w14:textId="77777777" w:rsidR="00265792" w:rsidRPr="00CE41D5" w:rsidRDefault="00265792" w:rsidP="002542E1">
            <w:pPr>
              <w:pStyle w:val="ARfintablecolheadright"/>
            </w:pPr>
            <w:r w:rsidRPr="00CE41D5">
              <w:t>202</w:t>
            </w:r>
            <w:r>
              <w:t>4</w:t>
            </w:r>
          </w:p>
          <w:p w14:paraId="038BFB40" w14:textId="77777777" w:rsidR="00265792" w:rsidRPr="00CE41D5" w:rsidRDefault="00265792" w:rsidP="002542E1">
            <w:pPr>
              <w:pStyle w:val="ARfintablecolheadright"/>
            </w:pPr>
            <w:r w:rsidRPr="00CE41D5">
              <w:t>$M</w:t>
            </w:r>
          </w:p>
        </w:tc>
        <w:tc>
          <w:tcPr>
            <w:tcW w:w="1021" w:type="dxa"/>
            <w:hideMark/>
          </w:tcPr>
          <w:p w14:paraId="2C32856B" w14:textId="77777777" w:rsidR="00265792" w:rsidRPr="00CE41D5" w:rsidRDefault="00265792" w:rsidP="002542E1">
            <w:pPr>
              <w:pStyle w:val="ARfintablecolheadright"/>
            </w:pPr>
            <w:r w:rsidRPr="00CE41D5">
              <w:t>202</w:t>
            </w:r>
            <w:r>
              <w:t>5</w:t>
            </w:r>
          </w:p>
          <w:p w14:paraId="29351212" w14:textId="77777777" w:rsidR="00265792" w:rsidRPr="00CE41D5" w:rsidRDefault="00265792" w:rsidP="002542E1">
            <w:pPr>
              <w:pStyle w:val="ARfintablecolheadright"/>
            </w:pPr>
            <w:r w:rsidRPr="00CE41D5">
              <w:t>$M</w:t>
            </w:r>
          </w:p>
        </w:tc>
        <w:tc>
          <w:tcPr>
            <w:tcW w:w="1021" w:type="dxa"/>
            <w:hideMark/>
          </w:tcPr>
          <w:p w14:paraId="7402F8DA" w14:textId="77777777" w:rsidR="00265792" w:rsidRPr="00CE41D5" w:rsidRDefault="00265792" w:rsidP="002542E1">
            <w:pPr>
              <w:pStyle w:val="ARfintablecolheadright"/>
            </w:pPr>
            <w:r w:rsidRPr="00CE41D5">
              <w:t>202</w:t>
            </w:r>
            <w:r>
              <w:t>4</w:t>
            </w:r>
          </w:p>
          <w:p w14:paraId="3111CBDE" w14:textId="77777777" w:rsidR="00265792" w:rsidRPr="00CE41D5" w:rsidRDefault="00265792" w:rsidP="002542E1">
            <w:pPr>
              <w:pStyle w:val="ARfintablecolheadright"/>
            </w:pPr>
            <w:r w:rsidRPr="00CE41D5">
              <w:t>$M</w:t>
            </w:r>
          </w:p>
        </w:tc>
        <w:tc>
          <w:tcPr>
            <w:tcW w:w="1021" w:type="dxa"/>
            <w:shd w:val="clear" w:color="auto" w:fill="EEEEEF" w:themeFill="accent4"/>
            <w:hideMark/>
          </w:tcPr>
          <w:p w14:paraId="12C6C31E" w14:textId="77777777" w:rsidR="00265792" w:rsidRPr="00CE41D5" w:rsidRDefault="00265792" w:rsidP="002542E1">
            <w:pPr>
              <w:pStyle w:val="ARfintablecolheadright"/>
            </w:pPr>
            <w:r w:rsidRPr="00CE41D5">
              <w:t>202</w:t>
            </w:r>
            <w:r>
              <w:t>5</w:t>
            </w:r>
          </w:p>
          <w:p w14:paraId="6E38039A" w14:textId="77777777" w:rsidR="00265792" w:rsidRPr="00CE41D5" w:rsidRDefault="00265792" w:rsidP="002542E1">
            <w:pPr>
              <w:pStyle w:val="ARfintablecolheadright"/>
            </w:pPr>
            <w:r w:rsidRPr="00CE41D5">
              <w:t>$M</w:t>
            </w:r>
          </w:p>
        </w:tc>
        <w:tc>
          <w:tcPr>
            <w:tcW w:w="1021" w:type="dxa"/>
            <w:shd w:val="clear" w:color="auto" w:fill="EEEEEF" w:themeFill="accent4"/>
            <w:hideMark/>
          </w:tcPr>
          <w:p w14:paraId="75EF2381" w14:textId="77777777" w:rsidR="00265792" w:rsidRPr="00CE41D5" w:rsidRDefault="00265792" w:rsidP="002542E1">
            <w:pPr>
              <w:pStyle w:val="ARfintablecolheadright"/>
            </w:pPr>
            <w:r w:rsidRPr="00CE41D5">
              <w:t>202</w:t>
            </w:r>
            <w:r>
              <w:t>4</w:t>
            </w:r>
          </w:p>
          <w:p w14:paraId="7231EFBD" w14:textId="77777777" w:rsidR="00265792" w:rsidRPr="00CE41D5" w:rsidRDefault="00265792" w:rsidP="002542E1">
            <w:pPr>
              <w:pStyle w:val="ARfintablecolheadright"/>
            </w:pPr>
            <w:r w:rsidRPr="00CE41D5">
              <w:t>$M</w:t>
            </w:r>
          </w:p>
        </w:tc>
      </w:tr>
      <w:tr w:rsidR="00265792" w:rsidRPr="00BA7805" w14:paraId="07390EF5" w14:textId="77777777" w:rsidTr="005204DB">
        <w:tc>
          <w:tcPr>
            <w:tcW w:w="3512" w:type="dxa"/>
          </w:tcPr>
          <w:p w14:paraId="73C2187E" w14:textId="77777777" w:rsidR="00265792" w:rsidRPr="00BA7805" w:rsidRDefault="00265792" w:rsidP="005A366C">
            <w:pPr>
              <w:pStyle w:val="ARfintablebody"/>
              <w:rPr>
                <w:highlight w:val="green"/>
              </w:rPr>
            </w:pPr>
            <w:r w:rsidRPr="008831FB">
              <w:t>Land at fair value</w:t>
            </w:r>
            <w:r>
              <w:t xml:space="preserve"> </w:t>
            </w:r>
            <w:r w:rsidRPr="005A366C">
              <w:rPr>
                <w:vertAlign w:val="superscript"/>
              </w:rPr>
              <w:t>(</w:t>
            </w:r>
            <w:proofErr w:type="spellStart"/>
            <w:r w:rsidRPr="005A366C">
              <w:rPr>
                <w:vertAlign w:val="superscript"/>
              </w:rPr>
              <w:t>i</w:t>
            </w:r>
            <w:proofErr w:type="spellEnd"/>
            <w:r w:rsidRPr="005A366C">
              <w:rPr>
                <w:vertAlign w:val="superscript"/>
              </w:rPr>
              <w:t>)</w:t>
            </w:r>
          </w:p>
        </w:tc>
        <w:tc>
          <w:tcPr>
            <w:tcW w:w="1020" w:type="dxa"/>
            <w:shd w:val="clear" w:color="auto" w:fill="EEEEEF" w:themeFill="accent4"/>
            <w:noWrap/>
          </w:tcPr>
          <w:p w14:paraId="78329D0C" w14:textId="77777777" w:rsidR="00265792" w:rsidRPr="00C443CA" w:rsidRDefault="00265792">
            <w:pPr>
              <w:pStyle w:val="ARfintablebodyright"/>
              <w:rPr>
                <w:highlight w:val="green"/>
              </w:rPr>
            </w:pPr>
            <w:r w:rsidRPr="00C443CA">
              <w:t>24,237.9</w:t>
            </w:r>
          </w:p>
        </w:tc>
        <w:tc>
          <w:tcPr>
            <w:tcW w:w="1021" w:type="dxa"/>
            <w:shd w:val="clear" w:color="auto" w:fill="EEEEEF" w:themeFill="accent4"/>
            <w:noWrap/>
          </w:tcPr>
          <w:p w14:paraId="48BFC3BB" w14:textId="77777777" w:rsidR="00265792" w:rsidRPr="00C443CA" w:rsidRDefault="00265792">
            <w:pPr>
              <w:pStyle w:val="ARfintablebodyright"/>
              <w:rPr>
                <w:highlight w:val="green"/>
              </w:rPr>
            </w:pPr>
            <w:r w:rsidRPr="00C443CA">
              <w:t>24,114.9</w:t>
            </w:r>
          </w:p>
        </w:tc>
        <w:tc>
          <w:tcPr>
            <w:tcW w:w="1021" w:type="dxa"/>
            <w:noWrap/>
          </w:tcPr>
          <w:p w14:paraId="7FC4A5D6" w14:textId="77777777" w:rsidR="00265792" w:rsidRPr="00C443CA" w:rsidRDefault="00265792">
            <w:pPr>
              <w:pStyle w:val="ARfintablebodyright"/>
              <w:rPr>
                <w:highlight w:val="green"/>
              </w:rPr>
            </w:pPr>
            <w:r w:rsidRPr="00C443CA">
              <w:t>(5.3)</w:t>
            </w:r>
          </w:p>
        </w:tc>
        <w:tc>
          <w:tcPr>
            <w:tcW w:w="1021" w:type="dxa"/>
            <w:noWrap/>
          </w:tcPr>
          <w:p w14:paraId="361AF8D5" w14:textId="77777777" w:rsidR="00265792" w:rsidRPr="00C443CA" w:rsidRDefault="00265792">
            <w:pPr>
              <w:pStyle w:val="ARfintablebodyright"/>
              <w:rPr>
                <w:highlight w:val="green"/>
              </w:rPr>
            </w:pPr>
            <w:r w:rsidRPr="00C443CA">
              <w:t>(4.3)</w:t>
            </w:r>
          </w:p>
        </w:tc>
        <w:tc>
          <w:tcPr>
            <w:tcW w:w="1021" w:type="dxa"/>
            <w:shd w:val="clear" w:color="auto" w:fill="EEEEEF" w:themeFill="accent4"/>
            <w:noWrap/>
          </w:tcPr>
          <w:p w14:paraId="43C8C10C" w14:textId="77777777" w:rsidR="00265792" w:rsidRPr="00C443CA" w:rsidRDefault="00265792">
            <w:pPr>
              <w:pStyle w:val="ARfintablebodyright"/>
              <w:rPr>
                <w:highlight w:val="green"/>
              </w:rPr>
            </w:pPr>
            <w:r w:rsidRPr="00C443CA">
              <w:t>24,232.6</w:t>
            </w:r>
          </w:p>
        </w:tc>
        <w:tc>
          <w:tcPr>
            <w:tcW w:w="1021" w:type="dxa"/>
            <w:shd w:val="clear" w:color="auto" w:fill="EEEEEF" w:themeFill="accent4"/>
            <w:noWrap/>
          </w:tcPr>
          <w:p w14:paraId="07A2AFA5" w14:textId="77777777" w:rsidR="00265792" w:rsidRPr="00C443CA" w:rsidRDefault="00265792">
            <w:pPr>
              <w:pStyle w:val="ARfintablebodyright"/>
              <w:rPr>
                <w:highlight w:val="green"/>
              </w:rPr>
            </w:pPr>
            <w:r w:rsidRPr="00C443CA">
              <w:t>24,110.6</w:t>
            </w:r>
          </w:p>
        </w:tc>
      </w:tr>
      <w:tr w:rsidR="00265792" w:rsidRPr="00BA7805" w14:paraId="21D774A6" w14:textId="77777777" w:rsidTr="005204DB">
        <w:tc>
          <w:tcPr>
            <w:tcW w:w="3512" w:type="dxa"/>
          </w:tcPr>
          <w:p w14:paraId="32FF8174" w14:textId="77777777" w:rsidR="00265792" w:rsidRPr="00BA7805" w:rsidRDefault="00265792" w:rsidP="005A366C">
            <w:pPr>
              <w:pStyle w:val="ARfintablebody"/>
              <w:rPr>
                <w:highlight w:val="green"/>
              </w:rPr>
            </w:pPr>
            <w:r w:rsidRPr="008831FB">
              <w:t>Buildings at fair value</w:t>
            </w:r>
          </w:p>
        </w:tc>
        <w:tc>
          <w:tcPr>
            <w:tcW w:w="1020" w:type="dxa"/>
            <w:shd w:val="clear" w:color="auto" w:fill="EEEEEF" w:themeFill="accent4"/>
            <w:noWrap/>
          </w:tcPr>
          <w:p w14:paraId="0F161EAD" w14:textId="77777777" w:rsidR="00265792" w:rsidRPr="00C443CA" w:rsidRDefault="00265792">
            <w:pPr>
              <w:pStyle w:val="ARfintablebodyright"/>
              <w:rPr>
                <w:highlight w:val="green"/>
              </w:rPr>
            </w:pPr>
            <w:r w:rsidRPr="00C443CA">
              <w:t>13,841.6</w:t>
            </w:r>
          </w:p>
        </w:tc>
        <w:tc>
          <w:tcPr>
            <w:tcW w:w="1021" w:type="dxa"/>
            <w:shd w:val="clear" w:color="auto" w:fill="EEEEEF" w:themeFill="accent4"/>
            <w:noWrap/>
          </w:tcPr>
          <w:p w14:paraId="5EA39D06" w14:textId="77777777" w:rsidR="00265792" w:rsidRPr="00C443CA" w:rsidRDefault="00265792">
            <w:pPr>
              <w:pStyle w:val="ARfintablebodyright"/>
              <w:rPr>
                <w:highlight w:val="green"/>
              </w:rPr>
            </w:pPr>
            <w:r w:rsidRPr="00C443CA">
              <w:t>13,284.1</w:t>
            </w:r>
          </w:p>
        </w:tc>
        <w:tc>
          <w:tcPr>
            <w:tcW w:w="1021" w:type="dxa"/>
            <w:noWrap/>
          </w:tcPr>
          <w:p w14:paraId="45CBE8A3" w14:textId="77777777" w:rsidR="00265792" w:rsidRPr="00C443CA" w:rsidRDefault="00265792">
            <w:pPr>
              <w:pStyle w:val="ARfintablebodyright"/>
              <w:rPr>
                <w:highlight w:val="green"/>
              </w:rPr>
            </w:pPr>
            <w:r w:rsidRPr="00C443CA">
              <w:t>(616.6)</w:t>
            </w:r>
          </w:p>
        </w:tc>
        <w:tc>
          <w:tcPr>
            <w:tcW w:w="1021" w:type="dxa"/>
            <w:noWrap/>
          </w:tcPr>
          <w:p w14:paraId="3AA89FEA" w14:textId="77777777" w:rsidR="00265792" w:rsidRPr="00C443CA" w:rsidRDefault="00265792">
            <w:pPr>
              <w:pStyle w:val="ARfintablebodyright"/>
              <w:rPr>
                <w:highlight w:val="green"/>
              </w:rPr>
            </w:pPr>
            <w:r w:rsidRPr="00C443CA">
              <w:t>(125.3)</w:t>
            </w:r>
          </w:p>
        </w:tc>
        <w:tc>
          <w:tcPr>
            <w:tcW w:w="1021" w:type="dxa"/>
            <w:shd w:val="clear" w:color="auto" w:fill="EEEEEF" w:themeFill="accent4"/>
            <w:noWrap/>
          </w:tcPr>
          <w:p w14:paraId="720BA0A8" w14:textId="77777777" w:rsidR="00265792" w:rsidRPr="00C443CA" w:rsidRDefault="00265792">
            <w:pPr>
              <w:pStyle w:val="ARfintablebodyright"/>
              <w:rPr>
                <w:highlight w:val="green"/>
              </w:rPr>
            </w:pPr>
            <w:r w:rsidRPr="00C443CA">
              <w:t>13,225.0</w:t>
            </w:r>
          </w:p>
        </w:tc>
        <w:tc>
          <w:tcPr>
            <w:tcW w:w="1021" w:type="dxa"/>
            <w:shd w:val="clear" w:color="auto" w:fill="EEEEEF" w:themeFill="accent4"/>
            <w:noWrap/>
          </w:tcPr>
          <w:p w14:paraId="431F4644" w14:textId="77777777" w:rsidR="00265792" w:rsidRPr="00C443CA" w:rsidRDefault="00265792">
            <w:pPr>
              <w:pStyle w:val="ARfintablebodyright"/>
              <w:rPr>
                <w:highlight w:val="green"/>
              </w:rPr>
            </w:pPr>
            <w:r w:rsidRPr="00C443CA">
              <w:t>13,158.8</w:t>
            </w:r>
          </w:p>
        </w:tc>
      </w:tr>
      <w:tr w:rsidR="00265792" w:rsidRPr="00BA7805" w14:paraId="2B46E215" w14:textId="77777777" w:rsidTr="005204DB">
        <w:tc>
          <w:tcPr>
            <w:tcW w:w="3512" w:type="dxa"/>
          </w:tcPr>
          <w:p w14:paraId="61A2C4E4" w14:textId="77777777" w:rsidR="00265792" w:rsidRPr="00BA7805" w:rsidRDefault="00265792" w:rsidP="005A366C">
            <w:pPr>
              <w:pStyle w:val="ARfintablebody"/>
              <w:rPr>
                <w:highlight w:val="green"/>
              </w:rPr>
            </w:pPr>
            <w:r w:rsidRPr="008831FB">
              <w:t>Plant and equipment at fair value</w:t>
            </w:r>
          </w:p>
        </w:tc>
        <w:tc>
          <w:tcPr>
            <w:tcW w:w="1020" w:type="dxa"/>
            <w:shd w:val="clear" w:color="auto" w:fill="EEEEEF" w:themeFill="accent4"/>
            <w:noWrap/>
          </w:tcPr>
          <w:p w14:paraId="3C684EB2" w14:textId="77777777" w:rsidR="00265792" w:rsidRPr="00C443CA" w:rsidRDefault="00265792">
            <w:pPr>
              <w:pStyle w:val="ARfintablebodyright"/>
              <w:rPr>
                <w:highlight w:val="green"/>
              </w:rPr>
            </w:pPr>
            <w:r w:rsidRPr="00C443CA">
              <w:t>3.0</w:t>
            </w:r>
          </w:p>
        </w:tc>
        <w:tc>
          <w:tcPr>
            <w:tcW w:w="1021" w:type="dxa"/>
            <w:shd w:val="clear" w:color="auto" w:fill="EEEEEF" w:themeFill="accent4"/>
            <w:noWrap/>
          </w:tcPr>
          <w:p w14:paraId="089FE3C6" w14:textId="77777777" w:rsidR="00265792" w:rsidRPr="00C443CA" w:rsidRDefault="00265792">
            <w:pPr>
              <w:pStyle w:val="ARfintablebodyright"/>
              <w:rPr>
                <w:highlight w:val="green"/>
              </w:rPr>
            </w:pPr>
            <w:r w:rsidRPr="00C443CA">
              <w:t>3.0</w:t>
            </w:r>
          </w:p>
        </w:tc>
        <w:tc>
          <w:tcPr>
            <w:tcW w:w="1021" w:type="dxa"/>
            <w:noWrap/>
          </w:tcPr>
          <w:p w14:paraId="78F1E5FD" w14:textId="77777777" w:rsidR="00265792" w:rsidRPr="00C443CA" w:rsidRDefault="00265792">
            <w:pPr>
              <w:pStyle w:val="ARfintablebodyright"/>
            </w:pPr>
            <w:r w:rsidRPr="00C443CA">
              <w:t>(2.7)</w:t>
            </w:r>
          </w:p>
        </w:tc>
        <w:tc>
          <w:tcPr>
            <w:tcW w:w="1021" w:type="dxa"/>
            <w:noWrap/>
          </w:tcPr>
          <w:p w14:paraId="73110A8D" w14:textId="77777777" w:rsidR="00265792" w:rsidRPr="00C443CA" w:rsidRDefault="00265792">
            <w:pPr>
              <w:pStyle w:val="ARfintablebodyright"/>
              <w:rPr>
                <w:highlight w:val="green"/>
              </w:rPr>
            </w:pPr>
            <w:r w:rsidRPr="00C443CA">
              <w:t>(2.6)</w:t>
            </w:r>
          </w:p>
        </w:tc>
        <w:tc>
          <w:tcPr>
            <w:tcW w:w="1021" w:type="dxa"/>
            <w:shd w:val="clear" w:color="auto" w:fill="EEEEEF" w:themeFill="accent4"/>
            <w:noWrap/>
          </w:tcPr>
          <w:p w14:paraId="6FCEB5EF" w14:textId="77777777" w:rsidR="00265792" w:rsidRPr="00C443CA" w:rsidRDefault="00265792">
            <w:pPr>
              <w:pStyle w:val="ARfintablebodyright"/>
            </w:pPr>
            <w:r w:rsidRPr="00C443CA">
              <w:t>0.3</w:t>
            </w:r>
          </w:p>
        </w:tc>
        <w:tc>
          <w:tcPr>
            <w:tcW w:w="1021" w:type="dxa"/>
            <w:shd w:val="clear" w:color="auto" w:fill="EEEEEF" w:themeFill="accent4"/>
            <w:noWrap/>
          </w:tcPr>
          <w:p w14:paraId="6826959F" w14:textId="77777777" w:rsidR="00265792" w:rsidRPr="00C443CA" w:rsidRDefault="00265792">
            <w:pPr>
              <w:pStyle w:val="ARfintablebodyright"/>
              <w:rPr>
                <w:highlight w:val="green"/>
              </w:rPr>
            </w:pPr>
            <w:r w:rsidRPr="00C443CA">
              <w:t>0.4</w:t>
            </w:r>
          </w:p>
        </w:tc>
      </w:tr>
      <w:tr w:rsidR="00265792" w:rsidRPr="00BA7805" w14:paraId="1BCAE6A9" w14:textId="77777777" w:rsidTr="005204DB">
        <w:tc>
          <w:tcPr>
            <w:tcW w:w="3512" w:type="dxa"/>
          </w:tcPr>
          <w:p w14:paraId="595C19FE" w14:textId="77777777" w:rsidR="00265792" w:rsidRPr="00BA7805" w:rsidRDefault="00265792" w:rsidP="005A366C">
            <w:pPr>
              <w:pStyle w:val="ARfintablebody"/>
              <w:rPr>
                <w:highlight w:val="green"/>
              </w:rPr>
            </w:pPr>
            <w:r w:rsidRPr="008831FB">
              <w:t xml:space="preserve">Motor vehicles at fair value </w:t>
            </w:r>
            <w:r w:rsidRPr="005A366C">
              <w:rPr>
                <w:vertAlign w:val="superscript"/>
              </w:rPr>
              <w:t>(ii)</w:t>
            </w:r>
          </w:p>
        </w:tc>
        <w:tc>
          <w:tcPr>
            <w:tcW w:w="1020" w:type="dxa"/>
            <w:shd w:val="clear" w:color="auto" w:fill="EEEEEF" w:themeFill="accent4"/>
            <w:noWrap/>
          </w:tcPr>
          <w:p w14:paraId="3D5E015C" w14:textId="77777777" w:rsidR="00265792" w:rsidRPr="00C443CA" w:rsidRDefault="00265792">
            <w:pPr>
              <w:pStyle w:val="ARfintablebodyright"/>
              <w:rPr>
                <w:highlight w:val="green"/>
              </w:rPr>
            </w:pPr>
            <w:r w:rsidRPr="00C443CA">
              <w:t>40.7</w:t>
            </w:r>
          </w:p>
        </w:tc>
        <w:tc>
          <w:tcPr>
            <w:tcW w:w="1021" w:type="dxa"/>
            <w:shd w:val="clear" w:color="auto" w:fill="EEEEEF" w:themeFill="accent4"/>
            <w:noWrap/>
          </w:tcPr>
          <w:p w14:paraId="5A670953" w14:textId="77777777" w:rsidR="00265792" w:rsidRPr="00C443CA" w:rsidRDefault="00265792">
            <w:pPr>
              <w:pStyle w:val="ARfintablebodyright"/>
              <w:rPr>
                <w:highlight w:val="green"/>
              </w:rPr>
            </w:pPr>
            <w:r w:rsidRPr="00C443CA">
              <w:t xml:space="preserve">36.5 </w:t>
            </w:r>
          </w:p>
        </w:tc>
        <w:tc>
          <w:tcPr>
            <w:tcW w:w="1021" w:type="dxa"/>
            <w:noWrap/>
          </w:tcPr>
          <w:p w14:paraId="3DDDAC5D" w14:textId="77777777" w:rsidR="00265792" w:rsidRPr="00C443CA" w:rsidRDefault="00265792">
            <w:pPr>
              <w:pStyle w:val="ARfintablebodyright"/>
              <w:rPr>
                <w:highlight w:val="green"/>
              </w:rPr>
            </w:pPr>
            <w:r w:rsidRPr="00C443CA">
              <w:t>0.7</w:t>
            </w:r>
          </w:p>
        </w:tc>
        <w:tc>
          <w:tcPr>
            <w:tcW w:w="1021" w:type="dxa"/>
            <w:noWrap/>
          </w:tcPr>
          <w:p w14:paraId="7C2A453F" w14:textId="77777777" w:rsidR="00265792" w:rsidRPr="00C443CA" w:rsidRDefault="00265792">
            <w:pPr>
              <w:pStyle w:val="ARfintablebodyright"/>
              <w:rPr>
                <w:highlight w:val="green"/>
              </w:rPr>
            </w:pPr>
            <w:r w:rsidRPr="00C443CA">
              <w:t>2.5</w:t>
            </w:r>
          </w:p>
        </w:tc>
        <w:tc>
          <w:tcPr>
            <w:tcW w:w="1021" w:type="dxa"/>
            <w:shd w:val="clear" w:color="auto" w:fill="EEEEEF" w:themeFill="accent4"/>
            <w:noWrap/>
          </w:tcPr>
          <w:p w14:paraId="7CAF7D71" w14:textId="77777777" w:rsidR="00265792" w:rsidRPr="00C443CA" w:rsidRDefault="00265792">
            <w:pPr>
              <w:pStyle w:val="ARfintablebodyright"/>
              <w:rPr>
                <w:highlight w:val="green"/>
              </w:rPr>
            </w:pPr>
            <w:r w:rsidRPr="00C443CA">
              <w:t>41.4</w:t>
            </w:r>
          </w:p>
        </w:tc>
        <w:tc>
          <w:tcPr>
            <w:tcW w:w="1021" w:type="dxa"/>
            <w:shd w:val="clear" w:color="auto" w:fill="EEEEEF" w:themeFill="accent4"/>
            <w:noWrap/>
          </w:tcPr>
          <w:p w14:paraId="736C461E" w14:textId="77777777" w:rsidR="00265792" w:rsidRPr="00C443CA" w:rsidRDefault="00265792">
            <w:pPr>
              <w:pStyle w:val="ARfintablebodyright"/>
              <w:rPr>
                <w:highlight w:val="green"/>
              </w:rPr>
            </w:pPr>
            <w:r w:rsidRPr="00C443CA">
              <w:t>39.0</w:t>
            </w:r>
          </w:p>
        </w:tc>
      </w:tr>
      <w:tr w:rsidR="00265792" w:rsidRPr="00BA7805" w14:paraId="509C4C16" w14:textId="77777777" w:rsidTr="005204DB">
        <w:tc>
          <w:tcPr>
            <w:tcW w:w="3512" w:type="dxa"/>
          </w:tcPr>
          <w:p w14:paraId="51FF9B50" w14:textId="77777777" w:rsidR="00265792" w:rsidRPr="00BA7805" w:rsidRDefault="00265792" w:rsidP="005A366C">
            <w:pPr>
              <w:pStyle w:val="ARfintablebody"/>
              <w:rPr>
                <w:highlight w:val="green"/>
              </w:rPr>
            </w:pPr>
            <w:r w:rsidRPr="008831FB">
              <w:t>Assets under construction</w:t>
            </w:r>
          </w:p>
        </w:tc>
        <w:tc>
          <w:tcPr>
            <w:tcW w:w="1020" w:type="dxa"/>
            <w:shd w:val="clear" w:color="auto" w:fill="EEEEEF" w:themeFill="accent4"/>
            <w:noWrap/>
          </w:tcPr>
          <w:p w14:paraId="55F6358F" w14:textId="77777777" w:rsidR="00265792" w:rsidRPr="00C443CA" w:rsidRDefault="00265792">
            <w:pPr>
              <w:pStyle w:val="ARfintablebodyright"/>
              <w:rPr>
                <w:highlight w:val="green"/>
              </w:rPr>
            </w:pPr>
            <w:r w:rsidRPr="00C443CA">
              <w:t>1,455.5</w:t>
            </w:r>
          </w:p>
        </w:tc>
        <w:tc>
          <w:tcPr>
            <w:tcW w:w="1021" w:type="dxa"/>
            <w:shd w:val="clear" w:color="auto" w:fill="EEEEEF" w:themeFill="accent4"/>
            <w:noWrap/>
          </w:tcPr>
          <w:p w14:paraId="6171A58F" w14:textId="77777777" w:rsidR="00265792" w:rsidRPr="00C443CA" w:rsidRDefault="00265792">
            <w:pPr>
              <w:pStyle w:val="ARfintablebodyright"/>
              <w:rPr>
                <w:highlight w:val="green"/>
              </w:rPr>
            </w:pPr>
            <w:r w:rsidRPr="00C443CA">
              <w:t xml:space="preserve">1,175.5 </w:t>
            </w:r>
          </w:p>
        </w:tc>
        <w:tc>
          <w:tcPr>
            <w:tcW w:w="1021" w:type="dxa"/>
            <w:noWrap/>
          </w:tcPr>
          <w:p w14:paraId="5FE94D64" w14:textId="77777777" w:rsidR="00265792" w:rsidRPr="00C443CA" w:rsidRDefault="00265792">
            <w:pPr>
              <w:pStyle w:val="ARfintablebodyright"/>
            </w:pPr>
            <w:r w:rsidRPr="00C443CA">
              <w:t>–</w:t>
            </w:r>
          </w:p>
        </w:tc>
        <w:tc>
          <w:tcPr>
            <w:tcW w:w="1021" w:type="dxa"/>
            <w:noWrap/>
          </w:tcPr>
          <w:p w14:paraId="144AEB7E" w14:textId="77777777" w:rsidR="00265792" w:rsidRPr="00C443CA" w:rsidRDefault="00265792">
            <w:pPr>
              <w:pStyle w:val="ARfintablebodyright"/>
              <w:rPr>
                <w:highlight w:val="green"/>
              </w:rPr>
            </w:pPr>
            <w:r w:rsidRPr="00C443CA">
              <w:t>–</w:t>
            </w:r>
          </w:p>
        </w:tc>
        <w:tc>
          <w:tcPr>
            <w:tcW w:w="1021" w:type="dxa"/>
            <w:shd w:val="clear" w:color="auto" w:fill="EEEEEF" w:themeFill="accent4"/>
            <w:noWrap/>
          </w:tcPr>
          <w:p w14:paraId="19390569" w14:textId="77777777" w:rsidR="00265792" w:rsidRPr="00C443CA" w:rsidRDefault="00265792">
            <w:pPr>
              <w:pStyle w:val="ARfintablebodyright"/>
            </w:pPr>
            <w:r w:rsidRPr="00C443CA">
              <w:t>1,455.5</w:t>
            </w:r>
          </w:p>
        </w:tc>
        <w:tc>
          <w:tcPr>
            <w:tcW w:w="1021" w:type="dxa"/>
            <w:shd w:val="clear" w:color="auto" w:fill="EEEEEF" w:themeFill="accent4"/>
            <w:noWrap/>
          </w:tcPr>
          <w:p w14:paraId="3B914F4F" w14:textId="77777777" w:rsidR="00265792" w:rsidRPr="00C443CA" w:rsidRDefault="00265792">
            <w:pPr>
              <w:pStyle w:val="ARfintablebodyright"/>
            </w:pPr>
            <w:r w:rsidRPr="00C443CA">
              <w:t>1,175.5</w:t>
            </w:r>
          </w:p>
        </w:tc>
      </w:tr>
      <w:tr w:rsidR="00265792" w:rsidRPr="00BA7805" w14:paraId="1BC6D77F" w14:textId="77777777" w:rsidTr="005204DB">
        <w:trPr>
          <w:cnfStyle w:val="010000000000" w:firstRow="0" w:lastRow="1" w:firstColumn="0" w:lastColumn="0" w:oddVBand="0" w:evenVBand="0" w:oddHBand="0" w:evenHBand="0" w:firstRowFirstColumn="0" w:firstRowLastColumn="0" w:lastRowFirstColumn="0" w:lastRowLastColumn="0"/>
        </w:trPr>
        <w:tc>
          <w:tcPr>
            <w:tcW w:w="3512" w:type="dxa"/>
          </w:tcPr>
          <w:p w14:paraId="171FBF49" w14:textId="77777777" w:rsidR="00265792" w:rsidRPr="00BA7805" w:rsidRDefault="00265792" w:rsidP="005A366C">
            <w:pPr>
              <w:pStyle w:val="ARfintablebodybold"/>
              <w:rPr>
                <w:highlight w:val="green"/>
              </w:rPr>
            </w:pPr>
            <w:r w:rsidRPr="008831FB">
              <w:t>Net carrying amount</w:t>
            </w:r>
          </w:p>
        </w:tc>
        <w:tc>
          <w:tcPr>
            <w:tcW w:w="1020" w:type="dxa"/>
            <w:shd w:val="clear" w:color="auto" w:fill="EEEEEF" w:themeFill="accent4"/>
            <w:noWrap/>
          </w:tcPr>
          <w:p w14:paraId="37FA1E73" w14:textId="77777777" w:rsidR="00265792" w:rsidRPr="00BA7805" w:rsidRDefault="00265792" w:rsidP="005A366C">
            <w:pPr>
              <w:pStyle w:val="ARfintablebodyrightbold"/>
              <w:rPr>
                <w:highlight w:val="green"/>
              </w:rPr>
            </w:pPr>
            <w:r w:rsidRPr="008831FB">
              <w:t>39,578.8</w:t>
            </w:r>
          </w:p>
        </w:tc>
        <w:tc>
          <w:tcPr>
            <w:tcW w:w="1021" w:type="dxa"/>
            <w:shd w:val="clear" w:color="auto" w:fill="EEEEEF" w:themeFill="accent4"/>
            <w:noWrap/>
          </w:tcPr>
          <w:p w14:paraId="116EEDD5" w14:textId="77777777" w:rsidR="00265792" w:rsidRPr="00BA7805" w:rsidRDefault="00265792" w:rsidP="005A366C">
            <w:pPr>
              <w:pStyle w:val="ARfintablebodyrightbold"/>
              <w:rPr>
                <w:highlight w:val="green"/>
              </w:rPr>
            </w:pPr>
            <w:r w:rsidRPr="00C72C09">
              <w:rPr>
                <w:bCs/>
              </w:rPr>
              <w:t>38,614.0</w:t>
            </w:r>
          </w:p>
        </w:tc>
        <w:tc>
          <w:tcPr>
            <w:tcW w:w="1021" w:type="dxa"/>
            <w:noWrap/>
          </w:tcPr>
          <w:p w14:paraId="67A6C5DD" w14:textId="77777777" w:rsidR="00265792" w:rsidRPr="00BA7805" w:rsidRDefault="00265792">
            <w:pPr>
              <w:pStyle w:val="ARfintablebodyrightbold"/>
              <w:rPr>
                <w:highlight w:val="green"/>
              </w:rPr>
            </w:pPr>
            <w:r w:rsidRPr="008831FB">
              <w:t>(623.9)</w:t>
            </w:r>
          </w:p>
        </w:tc>
        <w:tc>
          <w:tcPr>
            <w:tcW w:w="1021" w:type="dxa"/>
            <w:noWrap/>
          </w:tcPr>
          <w:p w14:paraId="0401A60D" w14:textId="77777777" w:rsidR="00265792" w:rsidRPr="00BA7805" w:rsidRDefault="00265792">
            <w:pPr>
              <w:pStyle w:val="ARfintablebodyrightbold"/>
              <w:rPr>
                <w:highlight w:val="green"/>
              </w:rPr>
            </w:pPr>
            <w:r w:rsidRPr="008831FB">
              <w:t>(129.7)</w:t>
            </w:r>
          </w:p>
        </w:tc>
        <w:tc>
          <w:tcPr>
            <w:tcW w:w="1021" w:type="dxa"/>
            <w:shd w:val="clear" w:color="auto" w:fill="EEEEEF" w:themeFill="accent4"/>
            <w:noWrap/>
          </w:tcPr>
          <w:p w14:paraId="4E4BF060" w14:textId="77777777" w:rsidR="00265792" w:rsidRPr="00BA7805" w:rsidRDefault="00265792">
            <w:pPr>
              <w:pStyle w:val="ARfintablebodyrightbold"/>
              <w:rPr>
                <w:highlight w:val="green"/>
              </w:rPr>
            </w:pPr>
            <w:r w:rsidRPr="008831FB">
              <w:t>38,954.9</w:t>
            </w:r>
          </w:p>
        </w:tc>
        <w:tc>
          <w:tcPr>
            <w:tcW w:w="1021" w:type="dxa"/>
            <w:shd w:val="clear" w:color="auto" w:fill="EEEEEF" w:themeFill="accent4"/>
            <w:noWrap/>
          </w:tcPr>
          <w:p w14:paraId="525180CB" w14:textId="77777777" w:rsidR="00265792" w:rsidRPr="00BA7805" w:rsidRDefault="00265792" w:rsidP="005A366C">
            <w:pPr>
              <w:pStyle w:val="ARfintablebodyrightbold"/>
              <w:rPr>
                <w:highlight w:val="green"/>
              </w:rPr>
            </w:pPr>
            <w:r w:rsidRPr="00C72C09">
              <w:rPr>
                <w:bCs/>
              </w:rPr>
              <w:t>38,484.3</w:t>
            </w:r>
          </w:p>
        </w:tc>
      </w:tr>
    </w:tbl>
    <w:p w14:paraId="3645DE42" w14:textId="77777777" w:rsidR="00265792" w:rsidRDefault="00265792" w:rsidP="005A366C">
      <w:pPr>
        <w:pStyle w:val="ARfintablefootnote"/>
      </w:pPr>
      <w:r>
        <w:t>Notes:</w:t>
      </w:r>
    </w:p>
    <w:p w14:paraId="316C4984" w14:textId="77777777" w:rsidR="00265792" w:rsidRPr="005A366C" w:rsidRDefault="00265792" w:rsidP="005A366C">
      <w:pPr>
        <w:pStyle w:val="ARfintablefootnotetabindent"/>
      </w:pPr>
      <w:r>
        <w:t>(</w:t>
      </w:r>
      <w:proofErr w:type="spellStart"/>
      <w:r>
        <w:t>i</w:t>
      </w:r>
      <w:proofErr w:type="spellEnd"/>
      <w:r>
        <w:t xml:space="preserve">) </w:t>
      </w:r>
      <w:r>
        <w:tab/>
      </w:r>
      <w:r w:rsidRPr="005A366C">
        <w:t>Accumulated depreciation of land at fair value relates to right-of-use assets.</w:t>
      </w:r>
    </w:p>
    <w:p w14:paraId="224D27FE" w14:textId="77777777" w:rsidR="00265792" w:rsidRPr="00BF1E43" w:rsidRDefault="00265792" w:rsidP="00BF1E43">
      <w:pPr>
        <w:pStyle w:val="ARfintablefootnotetabindent"/>
      </w:pPr>
      <w:r w:rsidRPr="005A366C">
        <w:t xml:space="preserve">(ii) </w:t>
      </w:r>
      <w:r>
        <w:tab/>
      </w:r>
      <w:r w:rsidRPr="005A366C">
        <w:t>Motor vehicles at</w:t>
      </w:r>
      <w:r>
        <w:t xml:space="preserve"> fair value relate to Vic Fleet Assets.</w:t>
      </w:r>
    </w:p>
    <w:p w14:paraId="0504095A" w14:textId="77777777" w:rsidR="00265792" w:rsidRDefault="00265792" w:rsidP="00BF1E43">
      <w:pPr>
        <w:pStyle w:val="Heading5"/>
      </w:pPr>
      <w:bookmarkStart w:id="274" w:name="_Ref178665174"/>
      <w:r w:rsidRPr="00852FCD">
        <w:t>5.1</w:t>
      </w:r>
      <w:r>
        <w:t>.1</w:t>
      </w:r>
      <w:r w:rsidRPr="00852FCD">
        <w:t xml:space="preserve"> Total </w:t>
      </w:r>
      <w:r w:rsidRPr="00414D5A">
        <w:t xml:space="preserve">service </w:t>
      </w:r>
      <w:r w:rsidRPr="00BF1E43">
        <w:t>concession</w:t>
      </w:r>
      <w:r w:rsidRPr="00414D5A">
        <w:t xml:space="preserve"> assets</w:t>
      </w:r>
      <w:bookmarkEnd w:id="274"/>
    </w:p>
    <w:tbl>
      <w:tblPr>
        <w:tblStyle w:val="TableGrid"/>
        <w:tblW w:w="9637" w:type="dxa"/>
        <w:tblLayout w:type="fixed"/>
        <w:tblLook w:val="06E0" w:firstRow="1" w:lastRow="1" w:firstColumn="1" w:lastColumn="0" w:noHBand="1" w:noVBand="1"/>
      </w:tblPr>
      <w:tblGrid>
        <w:gridCol w:w="7145"/>
        <w:gridCol w:w="1245"/>
        <w:gridCol w:w="1247"/>
      </w:tblGrid>
      <w:tr w:rsidR="00265792" w:rsidRPr="006153A2" w14:paraId="00FE39B9" w14:textId="77777777" w:rsidTr="005204DB">
        <w:trPr>
          <w:cnfStyle w:val="100000000000" w:firstRow="1" w:lastRow="0" w:firstColumn="0" w:lastColumn="0" w:oddVBand="0" w:evenVBand="0" w:oddHBand="0" w:evenHBand="0" w:firstRowFirstColumn="0" w:firstRowLastColumn="0" w:lastRowFirstColumn="0" w:lastRowLastColumn="0"/>
          <w:tblHeader/>
        </w:trPr>
        <w:tc>
          <w:tcPr>
            <w:tcW w:w="7145" w:type="dxa"/>
            <w:noWrap/>
            <w:hideMark/>
          </w:tcPr>
          <w:p w14:paraId="06E77F84" w14:textId="77777777" w:rsidR="00265792" w:rsidRPr="00BA7805" w:rsidRDefault="00265792">
            <w:pPr>
              <w:pStyle w:val="ARfintablecolhead"/>
              <w:rPr>
                <w:highlight w:val="green"/>
              </w:rPr>
            </w:pPr>
          </w:p>
        </w:tc>
        <w:tc>
          <w:tcPr>
            <w:tcW w:w="1245" w:type="dxa"/>
            <w:shd w:val="clear" w:color="auto" w:fill="EEEEEF" w:themeFill="accent4"/>
            <w:hideMark/>
          </w:tcPr>
          <w:p w14:paraId="7A1398CE" w14:textId="77777777" w:rsidR="00265792" w:rsidRPr="006153A2" w:rsidRDefault="00265792">
            <w:pPr>
              <w:pStyle w:val="ARfintablecolheadright"/>
            </w:pPr>
            <w:r w:rsidRPr="006153A2">
              <w:t>202</w:t>
            </w:r>
            <w:r>
              <w:t>5</w:t>
            </w:r>
          </w:p>
          <w:p w14:paraId="5CDA1D55" w14:textId="77777777" w:rsidR="00265792" w:rsidRPr="006153A2" w:rsidRDefault="00265792">
            <w:pPr>
              <w:pStyle w:val="ARfintablecolheadright"/>
            </w:pPr>
            <w:r w:rsidRPr="006153A2">
              <w:t>$M</w:t>
            </w:r>
          </w:p>
        </w:tc>
        <w:tc>
          <w:tcPr>
            <w:tcW w:w="1247" w:type="dxa"/>
            <w:hideMark/>
          </w:tcPr>
          <w:p w14:paraId="36A42184" w14:textId="77777777" w:rsidR="00265792" w:rsidRPr="006153A2" w:rsidRDefault="00265792">
            <w:pPr>
              <w:pStyle w:val="ARfintablecolheadright"/>
            </w:pPr>
            <w:r w:rsidRPr="006153A2">
              <w:t>202</w:t>
            </w:r>
            <w:r>
              <w:t>4</w:t>
            </w:r>
          </w:p>
          <w:p w14:paraId="51A6A469" w14:textId="77777777" w:rsidR="00265792" w:rsidRPr="006153A2" w:rsidRDefault="00265792">
            <w:pPr>
              <w:pStyle w:val="ARfintablecolheadright"/>
            </w:pPr>
            <w:r w:rsidRPr="006153A2">
              <w:t>$M</w:t>
            </w:r>
          </w:p>
        </w:tc>
      </w:tr>
      <w:tr w:rsidR="00265792" w:rsidRPr="00BA7805" w14:paraId="01E2E11D" w14:textId="77777777" w:rsidTr="005204DB">
        <w:tc>
          <w:tcPr>
            <w:tcW w:w="7145" w:type="dxa"/>
            <w:noWrap/>
          </w:tcPr>
          <w:p w14:paraId="33F91F10" w14:textId="77777777" w:rsidR="00265792" w:rsidRPr="00BA7805" w:rsidRDefault="00265792" w:rsidP="00AE0DAD">
            <w:pPr>
              <w:pStyle w:val="ARfintablebody"/>
              <w:rPr>
                <w:highlight w:val="green"/>
              </w:rPr>
            </w:pPr>
            <w:r w:rsidRPr="00A26A07">
              <w:t>Buildings at fair value</w:t>
            </w:r>
          </w:p>
        </w:tc>
        <w:tc>
          <w:tcPr>
            <w:tcW w:w="1245" w:type="dxa"/>
            <w:shd w:val="clear" w:color="auto" w:fill="EEEEEF" w:themeFill="accent4"/>
          </w:tcPr>
          <w:p w14:paraId="77296CC5" w14:textId="77777777" w:rsidR="00265792" w:rsidRPr="00BA7805" w:rsidRDefault="00265792" w:rsidP="00AE0DAD">
            <w:pPr>
              <w:pStyle w:val="ARfintablebodyright"/>
              <w:rPr>
                <w:highlight w:val="green"/>
              </w:rPr>
            </w:pPr>
            <w:r w:rsidRPr="00A26A07">
              <w:t>352.5</w:t>
            </w:r>
          </w:p>
        </w:tc>
        <w:tc>
          <w:tcPr>
            <w:tcW w:w="1247" w:type="dxa"/>
          </w:tcPr>
          <w:p w14:paraId="0B3EC39C" w14:textId="77777777" w:rsidR="00265792" w:rsidRPr="00BA7805" w:rsidRDefault="00265792" w:rsidP="00AE0DAD">
            <w:pPr>
              <w:pStyle w:val="ARfintablebodyright"/>
              <w:rPr>
                <w:highlight w:val="green"/>
              </w:rPr>
            </w:pPr>
            <w:r w:rsidRPr="00A26A07">
              <w:t>352.5</w:t>
            </w:r>
          </w:p>
        </w:tc>
      </w:tr>
      <w:tr w:rsidR="00265792" w:rsidRPr="00BA7805" w14:paraId="0A344F94" w14:textId="77777777" w:rsidTr="005204DB">
        <w:tc>
          <w:tcPr>
            <w:tcW w:w="7145" w:type="dxa"/>
            <w:noWrap/>
          </w:tcPr>
          <w:p w14:paraId="77E2B3CE" w14:textId="77777777" w:rsidR="00265792" w:rsidRPr="00BA7805" w:rsidRDefault="00265792" w:rsidP="00AE0DAD">
            <w:pPr>
              <w:pStyle w:val="ARfintablebody"/>
              <w:rPr>
                <w:highlight w:val="green"/>
              </w:rPr>
            </w:pPr>
            <w:r w:rsidRPr="00A26A07">
              <w:t xml:space="preserve">Assets under construction </w:t>
            </w:r>
            <w:r w:rsidRPr="002670E2">
              <w:rPr>
                <w:vertAlign w:val="superscript"/>
              </w:rPr>
              <w:t>(</w:t>
            </w:r>
            <w:proofErr w:type="spellStart"/>
            <w:r w:rsidRPr="002670E2">
              <w:rPr>
                <w:vertAlign w:val="superscript"/>
              </w:rPr>
              <w:t>i</w:t>
            </w:r>
            <w:proofErr w:type="spellEnd"/>
            <w:r w:rsidRPr="002670E2">
              <w:rPr>
                <w:vertAlign w:val="superscript"/>
              </w:rPr>
              <w:t>)</w:t>
            </w:r>
          </w:p>
        </w:tc>
        <w:tc>
          <w:tcPr>
            <w:tcW w:w="1245" w:type="dxa"/>
            <w:shd w:val="clear" w:color="auto" w:fill="EEEEEF" w:themeFill="accent4"/>
          </w:tcPr>
          <w:p w14:paraId="4F18CE5D" w14:textId="77777777" w:rsidR="00265792" w:rsidRPr="00BA7805" w:rsidRDefault="00265792" w:rsidP="00AE0DAD">
            <w:pPr>
              <w:pStyle w:val="ARfintablebodyright"/>
              <w:rPr>
                <w:highlight w:val="green"/>
              </w:rPr>
            </w:pPr>
            <w:r w:rsidRPr="00A26A07">
              <w:t>399.4</w:t>
            </w:r>
          </w:p>
        </w:tc>
        <w:tc>
          <w:tcPr>
            <w:tcW w:w="1247" w:type="dxa"/>
          </w:tcPr>
          <w:p w14:paraId="05B19F2E" w14:textId="77777777" w:rsidR="00265792" w:rsidRPr="00BA7805" w:rsidRDefault="00265792" w:rsidP="00AE0DAD">
            <w:pPr>
              <w:pStyle w:val="ARfintablebodyright"/>
              <w:rPr>
                <w:highlight w:val="green"/>
              </w:rPr>
            </w:pPr>
            <w:r w:rsidRPr="00A26A07">
              <w:t>91.2</w:t>
            </w:r>
          </w:p>
        </w:tc>
      </w:tr>
      <w:tr w:rsidR="00265792" w:rsidRPr="00BA7805" w14:paraId="0060AAB2" w14:textId="77777777" w:rsidTr="005204DB">
        <w:trPr>
          <w:trHeight w:val="255"/>
        </w:trPr>
        <w:tc>
          <w:tcPr>
            <w:tcW w:w="7145" w:type="dxa"/>
          </w:tcPr>
          <w:p w14:paraId="13DD8628" w14:textId="77777777" w:rsidR="00265792" w:rsidRPr="00BA7805" w:rsidRDefault="00265792" w:rsidP="00AE0DAD">
            <w:pPr>
              <w:pStyle w:val="ARfintablebody"/>
              <w:rPr>
                <w:highlight w:val="green"/>
              </w:rPr>
            </w:pPr>
            <w:r w:rsidRPr="00A26A07">
              <w:t xml:space="preserve">Buildings at fair value </w:t>
            </w:r>
            <w:r>
              <w:t>–</w:t>
            </w:r>
            <w:r w:rsidRPr="00A26A07">
              <w:t xml:space="preserve"> accum</w:t>
            </w:r>
            <w:r>
              <w:t>ulated</w:t>
            </w:r>
            <w:r w:rsidRPr="00A26A07">
              <w:t xml:space="preserve"> depreciation</w:t>
            </w:r>
          </w:p>
        </w:tc>
        <w:tc>
          <w:tcPr>
            <w:tcW w:w="1245" w:type="dxa"/>
            <w:shd w:val="clear" w:color="auto" w:fill="EEEEEF" w:themeFill="accent4"/>
            <w:noWrap/>
          </w:tcPr>
          <w:p w14:paraId="34707882" w14:textId="77777777" w:rsidR="00265792" w:rsidRPr="00BA7805" w:rsidRDefault="00265792" w:rsidP="00AE0DAD">
            <w:pPr>
              <w:pStyle w:val="ARfintablebodyright"/>
              <w:rPr>
                <w:highlight w:val="green"/>
              </w:rPr>
            </w:pPr>
            <w:r w:rsidRPr="00A26A07">
              <w:t>(10.6)</w:t>
            </w:r>
          </w:p>
        </w:tc>
        <w:tc>
          <w:tcPr>
            <w:tcW w:w="1247" w:type="dxa"/>
            <w:noWrap/>
          </w:tcPr>
          <w:p w14:paraId="59CBF41C" w14:textId="77777777" w:rsidR="00265792" w:rsidRPr="00BA7805" w:rsidRDefault="00265792" w:rsidP="00AE0DAD">
            <w:pPr>
              <w:pStyle w:val="ARfintablebodyright"/>
              <w:rPr>
                <w:highlight w:val="green"/>
              </w:rPr>
            </w:pPr>
            <w:r w:rsidRPr="00A26A07">
              <w:t>(3.5)</w:t>
            </w:r>
          </w:p>
        </w:tc>
      </w:tr>
      <w:tr w:rsidR="00265792" w:rsidRPr="00BA7805" w14:paraId="4B80AA2B" w14:textId="77777777" w:rsidTr="005204DB">
        <w:trPr>
          <w:cnfStyle w:val="010000000000" w:firstRow="0" w:lastRow="1" w:firstColumn="0" w:lastColumn="0" w:oddVBand="0" w:evenVBand="0" w:oddHBand="0" w:evenHBand="0" w:firstRowFirstColumn="0" w:firstRowLastColumn="0" w:lastRowFirstColumn="0" w:lastRowLastColumn="0"/>
          <w:trHeight w:val="255"/>
        </w:trPr>
        <w:tc>
          <w:tcPr>
            <w:tcW w:w="7145" w:type="dxa"/>
          </w:tcPr>
          <w:p w14:paraId="17811DF2" w14:textId="77777777" w:rsidR="00265792" w:rsidRPr="00BA7805" w:rsidRDefault="00265792" w:rsidP="005204DB">
            <w:pPr>
              <w:pStyle w:val="ARfintablebodybold"/>
              <w:rPr>
                <w:highlight w:val="green"/>
              </w:rPr>
            </w:pPr>
            <w:r w:rsidRPr="00A26A07">
              <w:t>Net carrying amount</w:t>
            </w:r>
          </w:p>
        </w:tc>
        <w:tc>
          <w:tcPr>
            <w:tcW w:w="1245" w:type="dxa"/>
            <w:shd w:val="clear" w:color="auto" w:fill="EEEEEF" w:themeFill="accent4"/>
            <w:noWrap/>
          </w:tcPr>
          <w:p w14:paraId="4F6697FE" w14:textId="77777777" w:rsidR="00265792" w:rsidRPr="00BA7805" w:rsidRDefault="00265792" w:rsidP="005204DB">
            <w:pPr>
              <w:pStyle w:val="ARfintablebodyrightbold"/>
              <w:rPr>
                <w:highlight w:val="green"/>
              </w:rPr>
            </w:pPr>
            <w:r w:rsidRPr="00A26A07">
              <w:t>741.3</w:t>
            </w:r>
          </w:p>
        </w:tc>
        <w:tc>
          <w:tcPr>
            <w:tcW w:w="1247" w:type="dxa"/>
            <w:noWrap/>
          </w:tcPr>
          <w:p w14:paraId="2DE1D3A2" w14:textId="77777777" w:rsidR="00265792" w:rsidRPr="00BA7805" w:rsidRDefault="00265792" w:rsidP="005204DB">
            <w:pPr>
              <w:pStyle w:val="ARfintablebodyrightbold"/>
              <w:rPr>
                <w:highlight w:val="green"/>
              </w:rPr>
            </w:pPr>
            <w:r w:rsidRPr="00A26A07">
              <w:t>440.2</w:t>
            </w:r>
          </w:p>
        </w:tc>
      </w:tr>
    </w:tbl>
    <w:p w14:paraId="220D15EE" w14:textId="77777777" w:rsidR="00265792" w:rsidRDefault="00265792" w:rsidP="009F02E8">
      <w:pPr>
        <w:pStyle w:val="ARfintablefootnote"/>
      </w:pPr>
      <w:r>
        <w:t>Note:</w:t>
      </w:r>
    </w:p>
    <w:p w14:paraId="6B0F0AEC" w14:textId="77777777" w:rsidR="00265792" w:rsidRDefault="00265792" w:rsidP="009F02E8">
      <w:pPr>
        <w:pStyle w:val="ARfintablefootnotetabindent"/>
      </w:pPr>
      <w:r>
        <w:t>(</w:t>
      </w:r>
      <w:proofErr w:type="spellStart"/>
      <w:r>
        <w:t>i</w:t>
      </w:r>
      <w:proofErr w:type="spellEnd"/>
      <w:r>
        <w:t xml:space="preserve">) </w:t>
      </w:r>
      <w:r>
        <w:tab/>
        <w:t>Refer to Note 7.5.3 Service concession arrangements for further details.</w:t>
      </w:r>
    </w:p>
    <w:p w14:paraId="3B22FA2B" w14:textId="77777777" w:rsidR="00265792" w:rsidRDefault="00265792" w:rsidP="007B710E">
      <w:pPr>
        <w:pStyle w:val="Heading6"/>
      </w:pPr>
      <w:r>
        <w:t>Initial recognition</w:t>
      </w:r>
    </w:p>
    <w:p w14:paraId="47E415F8" w14:textId="77777777" w:rsidR="00265792" w:rsidRDefault="00265792" w:rsidP="007B710E">
      <w:pPr>
        <w:pStyle w:val="ARfinbody"/>
      </w:pPr>
      <w:r>
        <w:t xml:space="preserve">Items of property, plant and equipment are measured initially at cost and subsequently revalued at fair value less accumulated depreciation and impairment. Where an asset is acquired for no or nominal consideration, the cost is the asset’s fair value at the date of acquisition. Assets transferred as part of a machinery of government change are transferred at their carrying amount. </w:t>
      </w:r>
    </w:p>
    <w:p w14:paraId="142B967A" w14:textId="77777777" w:rsidR="00265792" w:rsidRDefault="00265792" w:rsidP="007B710E">
      <w:pPr>
        <w:pStyle w:val="ARfinbody"/>
      </w:pPr>
      <w:r>
        <w:t>The cost of constructed non-financial physical assets includes the cost of all materials used in construction, direct labour on the project and an appropriate proportion of variable and fixed overheads. Homes Victoria uses specific estimates to allocate these overheads to capital projects, ensuring each project bears its fair share of indirect costs.</w:t>
      </w:r>
    </w:p>
    <w:p w14:paraId="67386F74" w14:textId="77777777" w:rsidR="00265792" w:rsidRDefault="00265792" w:rsidP="007B710E">
      <w:pPr>
        <w:pStyle w:val="ARfinbody"/>
      </w:pPr>
      <w:r>
        <w:t>The cost of leasehold improvements is capitalised and depreciated over the shorter of the remaining term of the leases or their estimated useful lives.</w:t>
      </w:r>
    </w:p>
    <w:p w14:paraId="7B18AAA0" w14:textId="0BD1330D" w:rsidR="00265792" w:rsidRDefault="00265792" w:rsidP="007B710E">
      <w:pPr>
        <w:pStyle w:val="Heading7"/>
      </w:pPr>
      <w:r>
        <w:lastRenderedPageBreak/>
        <w:t xml:space="preserve">Service concession assets (under AASB 1059 </w:t>
      </w:r>
      <w:r w:rsidRPr="00E15716">
        <w:rPr>
          <w:rStyle w:val="Emphasis"/>
        </w:rPr>
        <w:t>Service Concession Assets: Grantors</w:t>
      </w:r>
      <w:r>
        <w:t xml:space="preserve">) – </w:t>
      </w:r>
      <w:r w:rsidR="00040240">
        <w:t>initial </w:t>
      </w:r>
      <w:r>
        <w:t>measurement</w:t>
      </w:r>
    </w:p>
    <w:p w14:paraId="7C56B521" w14:textId="77777777" w:rsidR="00265792" w:rsidRDefault="00265792" w:rsidP="007B710E">
      <w:pPr>
        <w:pStyle w:val="ARfinbody"/>
      </w:pPr>
      <w:r>
        <w:t xml:space="preserve">The department initially recognises service concession assets and service concession assets under construction at current replacement cost in accordance with the cost approach to fair value in AASB 13 </w:t>
      </w:r>
      <w:r w:rsidRPr="00E15716">
        <w:rPr>
          <w:rStyle w:val="Emphasis"/>
        </w:rPr>
        <w:t>Fair Value Measurement</w:t>
      </w:r>
      <w:r>
        <w:t xml:space="preserve">. </w:t>
      </w:r>
    </w:p>
    <w:p w14:paraId="256FC0AE" w14:textId="77777777" w:rsidR="00265792" w:rsidRDefault="00265792" w:rsidP="007B710E">
      <w:pPr>
        <w:pStyle w:val="ARfinbody"/>
      </w:pPr>
      <w:r>
        <w:t>As part of the application of AASB 1059, the department uses a fair value proxy approach for the service concession assets that are under construction. The fair value proxy approach captures the financing cost incurred during the construction of a service concession asset by the private sector, with the aim of achieving faithful representation of the current replacement cost of service concession assets under construction balance.</w:t>
      </w:r>
    </w:p>
    <w:p w14:paraId="4B3F9945" w14:textId="77777777" w:rsidR="00265792" w:rsidRDefault="00265792" w:rsidP="007B710E">
      <w:pPr>
        <w:pStyle w:val="Heading7"/>
      </w:pPr>
      <w:r>
        <w:t>Subsequent measurement</w:t>
      </w:r>
    </w:p>
    <w:p w14:paraId="61E7BF89" w14:textId="73A029E6" w:rsidR="00265792" w:rsidRDefault="00265792" w:rsidP="007B710E">
      <w:pPr>
        <w:pStyle w:val="ARfinbody"/>
      </w:pPr>
      <w:r>
        <w:t xml:space="preserve">Property, plant and equipment (PPE) as well as right-of-use assets under leases and service concession assets are subsequently measured at fair value less accumulated depreciation and impairment. Fair value is determined </w:t>
      </w:r>
      <w:proofErr w:type="gramStart"/>
      <w:r>
        <w:t>with regard to</w:t>
      </w:r>
      <w:proofErr w:type="gramEnd"/>
      <w:r>
        <w:t xml:space="preserve"> the asset</w:t>
      </w:r>
      <w:r w:rsidR="00040240">
        <w:t>’</w:t>
      </w:r>
      <w:r>
        <w:t>s highest and best use (considering legal or physical restrictions imposed on the asset, public announcements or commitments made in relation to the intended use of the asset) and is summarised below by asset category.</w:t>
      </w:r>
    </w:p>
    <w:p w14:paraId="12ABD1F3" w14:textId="77777777" w:rsidR="00265792" w:rsidRDefault="00265792" w:rsidP="007B710E">
      <w:pPr>
        <w:pStyle w:val="ARfinbody"/>
      </w:pPr>
      <w:r>
        <w:t>In accordance with FRD 103, the department will apply Appendix F of AASB 13 prospectively in its next scheduled formal revaluation in 2028 or interim revaluation process (whichever is earlier). Based on the 2025 fair value assessment using the Valuer-General Victoria (VGV) Land and Building indices, the estimated movements were approximately 0.30% for land and 2.16% for buildings and were deemed not material.</w:t>
      </w:r>
    </w:p>
    <w:p w14:paraId="64A20F52" w14:textId="627454E3" w:rsidR="00265792" w:rsidRDefault="00265792" w:rsidP="007B710E">
      <w:pPr>
        <w:pStyle w:val="Heading7"/>
      </w:pPr>
      <w:r>
        <w:t xml:space="preserve">Service concession assets – </w:t>
      </w:r>
      <w:r w:rsidR="00040240">
        <w:t>s</w:t>
      </w:r>
      <w:r>
        <w:t>ubsequent measurement</w:t>
      </w:r>
    </w:p>
    <w:p w14:paraId="3832B7E6" w14:textId="77777777" w:rsidR="00265792" w:rsidRDefault="00265792" w:rsidP="007B710E">
      <w:pPr>
        <w:pStyle w:val="ARfinbody"/>
      </w:pPr>
      <w:r>
        <w:t>Service concession assets are subject to revaluation as required by FRD 103. When revalued, the fair value of service concession assets will be determined based on current replacement cost.</w:t>
      </w:r>
    </w:p>
    <w:p w14:paraId="0CC5B6BE" w14:textId="23E97DE1" w:rsidR="00265792" w:rsidRDefault="00265792">
      <w:pPr>
        <w:pStyle w:val="Heading7"/>
      </w:pPr>
      <w:r>
        <w:t xml:space="preserve">Non-specialised land and non-specialised buildings – </w:t>
      </w:r>
      <w:r w:rsidR="00040240">
        <w:t>s</w:t>
      </w:r>
      <w:r>
        <w:t>ubsequent measurement</w:t>
      </w:r>
    </w:p>
    <w:p w14:paraId="180055BE" w14:textId="77777777" w:rsidR="00265792" w:rsidRDefault="00265792" w:rsidP="007B710E">
      <w:pPr>
        <w:pStyle w:val="ARfinbody"/>
      </w:pPr>
      <w:r>
        <w:t>Non-specialised land and non-specialised buildings are valued using the market approach, whereby assets are compared to recent comparable sales or sales of comparable assets that are considered to have nominal value.</w:t>
      </w:r>
    </w:p>
    <w:p w14:paraId="5FE60EC5" w14:textId="4F8EEC6A" w:rsidR="00265792" w:rsidRDefault="00265792" w:rsidP="007B710E">
      <w:pPr>
        <w:pStyle w:val="Heading7"/>
      </w:pPr>
      <w:r>
        <w:t xml:space="preserve">Specialised land and specialised buildings – </w:t>
      </w:r>
      <w:r w:rsidR="00040240">
        <w:t>s</w:t>
      </w:r>
      <w:r>
        <w:t xml:space="preserve">ubsequent measurement </w:t>
      </w:r>
    </w:p>
    <w:p w14:paraId="17D196FA" w14:textId="77777777" w:rsidR="00265792" w:rsidRDefault="00265792" w:rsidP="007B710E">
      <w:pPr>
        <w:pStyle w:val="ARfinbody"/>
      </w:pPr>
      <w:r>
        <w:t>The market approach is also used for specialised land, although is adjusted for the community service obligation (CSO) to reflect the specialised nature of the land being valued.</w:t>
      </w:r>
    </w:p>
    <w:p w14:paraId="5E99AE83" w14:textId="77777777" w:rsidR="00265792" w:rsidRDefault="00265792" w:rsidP="007B710E">
      <w:pPr>
        <w:pStyle w:val="ARfinbody"/>
      </w:pPr>
      <w:r>
        <w:t xml:space="preserve">The CSO adjustment </w:t>
      </w:r>
      <w:proofErr w:type="gramStart"/>
      <w:r>
        <w:t>is a reflection of</w:t>
      </w:r>
      <w:proofErr w:type="gramEnd"/>
      <w:r>
        <w:t xml:space="preserve"> the valuer’s assessment of the impact of restrictions associated with an asset to the extent that is also equally applicable to market participants. This is a material estimate.</w:t>
      </w:r>
    </w:p>
    <w:p w14:paraId="48C8D28C" w14:textId="77777777" w:rsidR="00265792" w:rsidRDefault="00265792" w:rsidP="007B710E">
      <w:pPr>
        <w:pStyle w:val="ARfinbody"/>
      </w:pPr>
      <w:r>
        <w:t xml:space="preserve">For </w:t>
      </w:r>
      <w:proofErr w:type="gramStart"/>
      <w:r>
        <w:t>the majority of</w:t>
      </w:r>
      <w:proofErr w:type="gramEnd"/>
      <w:r>
        <w:t xml:space="preserve"> the department's specialised buildings which are under Homes Victoria, the current replacement cost method is used, adjusting for the associated depreciation.</w:t>
      </w:r>
    </w:p>
    <w:p w14:paraId="5B422178" w14:textId="77777777" w:rsidR="00265792" w:rsidRDefault="00265792" w:rsidP="007B710E">
      <w:pPr>
        <w:pStyle w:val="ARfinbody"/>
      </w:pPr>
      <w:r>
        <w:t>Refer to Note 8.3.2 for additional information on fair value determination of property, plant and equipment.</w:t>
      </w:r>
    </w:p>
    <w:p w14:paraId="130AE5EB" w14:textId="77777777" w:rsidR="00265792" w:rsidRDefault="00265792" w:rsidP="007B710E">
      <w:pPr>
        <w:pStyle w:val="Heading6"/>
      </w:pPr>
      <w:r>
        <w:t>Impairment of property, plant and equipment</w:t>
      </w:r>
    </w:p>
    <w:p w14:paraId="24231C60" w14:textId="391089E1" w:rsidR="00892351" w:rsidRDefault="00265792" w:rsidP="007B710E">
      <w:pPr>
        <w:pStyle w:val="ARfinbody"/>
      </w:pPr>
      <w:r>
        <w:t>The recoverable amounts of these assets are expected to be materially the same as fair value determined under AASB</w:t>
      </w:r>
      <w:r w:rsidR="00040240">
        <w:t> </w:t>
      </w:r>
      <w:r>
        <w:t xml:space="preserve">13 </w:t>
      </w:r>
      <w:r w:rsidRPr="00E15716">
        <w:rPr>
          <w:rStyle w:val="Emphasis"/>
        </w:rPr>
        <w:t>Fair Value Measurement</w:t>
      </w:r>
      <w:r>
        <w:t>, with the consequence that AASB 136 does not apply to such assets that are regularly revalued.</w:t>
      </w:r>
      <w:r w:rsidR="00892351">
        <w:br w:type="page"/>
      </w:r>
    </w:p>
    <w:p w14:paraId="72044499" w14:textId="77777777" w:rsidR="00265792" w:rsidRPr="006153A2" w:rsidRDefault="00265792" w:rsidP="00BB645D">
      <w:pPr>
        <w:pStyle w:val="Heading5"/>
        <w:spacing w:before="0"/>
      </w:pPr>
      <w:r w:rsidRPr="006153A2">
        <w:lastRenderedPageBreak/>
        <w:t>5.1.</w:t>
      </w:r>
      <w:r>
        <w:t>2</w:t>
      </w:r>
      <w:r w:rsidRPr="006153A2">
        <w:t xml:space="preserve"> Depreciation and amortisation</w:t>
      </w:r>
    </w:p>
    <w:p w14:paraId="28C8847D" w14:textId="77777777" w:rsidR="00265792" w:rsidRPr="006153A2" w:rsidRDefault="00265792">
      <w:pPr>
        <w:pStyle w:val="Heading6"/>
        <w:spacing w:before="160"/>
      </w:pPr>
      <w:r w:rsidRPr="006153A2">
        <w:t>Charge for the period</w:t>
      </w:r>
    </w:p>
    <w:tbl>
      <w:tblPr>
        <w:tblStyle w:val="TableGrid"/>
        <w:tblW w:w="9637" w:type="dxa"/>
        <w:tblLayout w:type="fixed"/>
        <w:tblLook w:val="06E0" w:firstRow="1" w:lastRow="1" w:firstColumn="1" w:lastColumn="0" w:noHBand="1" w:noVBand="1"/>
      </w:tblPr>
      <w:tblGrid>
        <w:gridCol w:w="7083"/>
        <w:gridCol w:w="1276"/>
        <w:gridCol w:w="1278"/>
      </w:tblGrid>
      <w:tr w:rsidR="00265792" w:rsidRPr="00BA7805" w14:paraId="6799A88E" w14:textId="77777777" w:rsidTr="00E0209A">
        <w:trPr>
          <w:cnfStyle w:val="100000000000" w:firstRow="1" w:lastRow="0" w:firstColumn="0" w:lastColumn="0" w:oddVBand="0" w:evenVBand="0" w:oddHBand="0" w:evenHBand="0" w:firstRowFirstColumn="0" w:firstRowLastColumn="0" w:lastRowFirstColumn="0" w:lastRowLastColumn="0"/>
          <w:tblHeader/>
        </w:trPr>
        <w:tc>
          <w:tcPr>
            <w:tcW w:w="7083" w:type="dxa"/>
            <w:noWrap/>
            <w:hideMark/>
          </w:tcPr>
          <w:p w14:paraId="2F8F8042" w14:textId="77777777" w:rsidR="00265792" w:rsidRPr="00BA7805" w:rsidRDefault="00265792">
            <w:pPr>
              <w:pStyle w:val="ARfintablecolhead"/>
              <w:rPr>
                <w:highlight w:val="green"/>
              </w:rPr>
            </w:pPr>
          </w:p>
        </w:tc>
        <w:tc>
          <w:tcPr>
            <w:tcW w:w="1276" w:type="dxa"/>
            <w:shd w:val="clear" w:color="auto" w:fill="EEEEEF" w:themeFill="accent4"/>
            <w:hideMark/>
          </w:tcPr>
          <w:p w14:paraId="2F383D71" w14:textId="77777777" w:rsidR="00265792" w:rsidRPr="006153A2" w:rsidRDefault="00265792">
            <w:pPr>
              <w:pStyle w:val="ARfintablecolheadright"/>
            </w:pPr>
            <w:r w:rsidRPr="006153A2">
              <w:t>202</w:t>
            </w:r>
            <w:r>
              <w:t>5</w:t>
            </w:r>
          </w:p>
          <w:p w14:paraId="1B99ED3F" w14:textId="77777777" w:rsidR="00265792" w:rsidRPr="006153A2" w:rsidRDefault="00265792">
            <w:pPr>
              <w:pStyle w:val="ARfintablecolheadright"/>
            </w:pPr>
            <w:r w:rsidRPr="006153A2">
              <w:t>$M</w:t>
            </w:r>
          </w:p>
        </w:tc>
        <w:tc>
          <w:tcPr>
            <w:tcW w:w="1278" w:type="dxa"/>
            <w:hideMark/>
          </w:tcPr>
          <w:p w14:paraId="7B2F5184" w14:textId="77777777" w:rsidR="00265792" w:rsidRPr="006153A2" w:rsidRDefault="00265792">
            <w:pPr>
              <w:pStyle w:val="ARfintablecolheadright"/>
            </w:pPr>
            <w:r w:rsidRPr="006153A2">
              <w:t>202</w:t>
            </w:r>
            <w:r>
              <w:t>4</w:t>
            </w:r>
          </w:p>
          <w:p w14:paraId="615727AB" w14:textId="77777777" w:rsidR="00265792" w:rsidRPr="006153A2" w:rsidRDefault="00265792">
            <w:pPr>
              <w:pStyle w:val="ARfintablecolheadright"/>
            </w:pPr>
            <w:r w:rsidRPr="006153A2">
              <w:t>$M</w:t>
            </w:r>
          </w:p>
        </w:tc>
      </w:tr>
      <w:tr w:rsidR="00265792" w:rsidRPr="00BA7805" w14:paraId="6E0B573E" w14:textId="77777777" w:rsidTr="00E0000F">
        <w:tc>
          <w:tcPr>
            <w:tcW w:w="7083" w:type="dxa"/>
            <w:noWrap/>
          </w:tcPr>
          <w:p w14:paraId="0CE43CD6" w14:textId="77777777" w:rsidR="00265792" w:rsidRPr="00BA7805" w:rsidRDefault="00265792" w:rsidP="00DC5E56">
            <w:pPr>
              <w:pStyle w:val="ARfintablebody"/>
              <w:rPr>
                <w:highlight w:val="green"/>
              </w:rPr>
            </w:pPr>
            <w:r w:rsidRPr="00130B2D">
              <w:t>Buildings</w:t>
            </w:r>
          </w:p>
        </w:tc>
        <w:tc>
          <w:tcPr>
            <w:tcW w:w="1276" w:type="dxa"/>
            <w:shd w:val="clear" w:color="auto" w:fill="EEEEEF" w:themeFill="accent4"/>
          </w:tcPr>
          <w:p w14:paraId="2AFE8AC7" w14:textId="77777777" w:rsidR="00265792" w:rsidRPr="00BA7805" w:rsidRDefault="00265792" w:rsidP="00DC5E56">
            <w:pPr>
              <w:pStyle w:val="ARfintablebodyright"/>
              <w:rPr>
                <w:highlight w:val="green"/>
              </w:rPr>
            </w:pPr>
            <w:r w:rsidRPr="00130B2D">
              <w:t>487.2</w:t>
            </w:r>
          </w:p>
        </w:tc>
        <w:tc>
          <w:tcPr>
            <w:tcW w:w="1278" w:type="dxa"/>
          </w:tcPr>
          <w:p w14:paraId="021EAE24" w14:textId="77777777" w:rsidR="00265792" w:rsidRPr="00BA7805" w:rsidRDefault="00265792" w:rsidP="00DC5E56">
            <w:pPr>
              <w:pStyle w:val="ARfintablebodyright"/>
              <w:rPr>
                <w:highlight w:val="green"/>
              </w:rPr>
            </w:pPr>
            <w:r w:rsidRPr="00130B2D">
              <w:t>362.4</w:t>
            </w:r>
          </w:p>
        </w:tc>
      </w:tr>
      <w:tr w:rsidR="00265792" w:rsidRPr="00BA7805" w14:paraId="1A838FC2" w14:textId="77777777" w:rsidTr="00E0000F">
        <w:tc>
          <w:tcPr>
            <w:tcW w:w="7083" w:type="dxa"/>
            <w:noWrap/>
          </w:tcPr>
          <w:p w14:paraId="441EE042" w14:textId="77777777" w:rsidR="00265792" w:rsidRPr="00BA7805" w:rsidRDefault="00265792" w:rsidP="00DC5E56">
            <w:pPr>
              <w:pStyle w:val="ARfintablebody"/>
              <w:rPr>
                <w:highlight w:val="green"/>
              </w:rPr>
            </w:pPr>
            <w:r w:rsidRPr="00130B2D">
              <w:t>Plant and equipment</w:t>
            </w:r>
          </w:p>
        </w:tc>
        <w:tc>
          <w:tcPr>
            <w:tcW w:w="1276" w:type="dxa"/>
            <w:shd w:val="clear" w:color="auto" w:fill="EEEEEF" w:themeFill="accent4"/>
          </w:tcPr>
          <w:p w14:paraId="6F8E22C2" w14:textId="77777777" w:rsidR="00265792" w:rsidRPr="00BA7805" w:rsidRDefault="00265792" w:rsidP="00DC5E56">
            <w:pPr>
              <w:pStyle w:val="ARfintablebodyright"/>
              <w:rPr>
                <w:highlight w:val="green"/>
              </w:rPr>
            </w:pPr>
            <w:r w:rsidRPr="00130B2D">
              <w:t>0.1</w:t>
            </w:r>
          </w:p>
        </w:tc>
        <w:tc>
          <w:tcPr>
            <w:tcW w:w="1278" w:type="dxa"/>
          </w:tcPr>
          <w:p w14:paraId="3AD86410" w14:textId="77777777" w:rsidR="00265792" w:rsidRPr="00BA7805" w:rsidRDefault="00265792" w:rsidP="00DC5E56">
            <w:pPr>
              <w:pStyle w:val="ARfintablebodyright"/>
              <w:rPr>
                <w:highlight w:val="green"/>
              </w:rPr>
            </w:pPr>
            <w:r w:rsidRPr="00130B2D">
              <w:t>0.1</w:t>
            </w:r>
          </w:p>
        </w:tc>
      </w:tr>
      <w:tr w:rsidR="00265792" w:rsidRPr="00BA7805" w14:paraId="4DDC4BD9" w14:textId="77777777" w:rsidTr="00E0209A">
        <w:tc>
          <w:tcPr>
            <w:tcW w:w="7083" w:type="dxa"/>
            <w:tcBorders>
              <w:bottom w:val="single" w:sz="4" w:space="0" w:color="A6A6A6" w:themeColor="accent5"/>
            </w:tcBorders>
            <w:noWrap/>
          </w:tcPr>
          <w:p w14:paraId="442EC611" w14:textId="77777777" w:rsidR="00265792" w:rsidRPr="00BA7805" w:rsidRDefault="00265792" w:rsidP="00DC5E56">
            <w:pPr>
              <w:pStyle w:val="ARfintablebody"/>
              <w:rPr>
                <w:highlight w:val="green"/>
              </w:rPr>
            </w:pPr>
            <w:r w:rsidRPr="00130B2D">
              <w:t>Intangible assets</w:t>
            </w:r>
          </w:p>
        </w:tc>
        <w:tc>
          <w:tcPr>
            <w:tcW w:w="1276" w:type="dxa"/>
            <w:tcBorders>
              <w:bottom w:val="single" w:sz="4" w:space="0" w:color="A6A6A6" w:themeColor="accent5"/>
            </w:tcBorders>
            <w:shd w:val="clear" w:color="auto" w:fill="EEEEEF" w:themeFill="accent4"/>
          </w:tcPr>
          <w:p w14:paraId="517143AE" w14:textId="77777777" w:rsidR="00265792" w:rsidRPr="00BA7805" w:rsidRDefault="00265792" w:rsidP="00DC5E56">
            <w:pPr>
              <w:pStyle w:val="ARfintablebodyright"/>
              <w:rPr>
                <w:highlight w:val="green"/>
              </w:rPr>
            </w:pPr>
            <w:r w:rsidRPr="00130B2D">
              <w:t>22.4</w:t>
            </w:r>
          </w:p>
        </w:tc>
        <w:tc>
          <w:tcPr>
            <w:tcW w:w="1278" w:type="dxa"/>
            <w:tcBorders>
              <w:bottom w:val="single" w:sz="4" w:space="0" w:color="A6A6A6" w:themeColor="accent5"/>
            </w:tcBorders>
          </w:tcPr>
          <w:p w14:paraId="013E4B52" w14:textId="77777777" w:rsidR="00265792" w:rsidRPr="00BA7805" w:rsidRDefault="00265792" w:rsidP="00DC5E56">
            <w:pPr>
              <w:pStyle w:val="ARfintablebodyright"/>
              <w:rPr>
                <w:highlight w:val="green"/>
              </w:rPr>
            </w:pPr>
            <w:r w:rsidRPr="00130B2D">
              <w:t>23.4</w:t>
            </w:r>
          </w:p>
        </w:tc>
      </w:tr>
      <w:tr w:rsidR="00265792" w:rsidRPr="00BA7805" w14:paraId="22A52450" w14:textId="77777777" w:rsidTr="00E0209A">
        <w:tc>
          <w:tcPr>
            <w:tcW w:w="7083" w:type="dxa"/>
            <w:tcBorders>
              <w:top w:val="single" w:sz="4" w:space="0" w:color="A6A6A6" w:themeColor="accent5"/>
              <w:bottom w:val="single" w:sz="4" w:space="0" w:color="000000" w:themeColor="text1"/>
            </w:tcBorders>
            <w:noWrap/>
          </w:tcPr>
          <w:p w14:paraId="1756B37B" w14:textId="77777777" w:rsidR="00265792" w:rsidRPr="00BA7805" w:rsidRDefault="00265792" w:rsidP="00DC5E56">
            <w:pPr>
              <w:pStyle w:val="ARfintablebody"/>
              <w:rPr>
                <w:highlight w:val="green"/>
              </w:rPr>
            </w:pPr>
            <w:r w:rsidRPr="00130B2D">
              <w:t>Right-of-use assets</w:t>
            </w:r>
          </w:p>
        </w:tc>
        <w:tc>
          <w:tcPr>
            <w:tcW w:w="1276" w:type="dxa"/>
            <w:tcBorders>
              <w:top w:val="single" w:sz="4" w:space="0" w:color="A6A6A6" w:themeColor="accent5"/>
              <w:bottom w:val="single" w:sz="4" w:space="0" w:color="000000" w:themeColor="text1"/>
            </w:tcBorders>
            <w:shd w:val="clear" w:color="auto" w:fill="EEEEEF" w:themeFill="accent4"/>
          </w:tcPr>
          <w:p w14:paraId="743026FC" w14:textId="77777777" w:rsidR="00265792" w:rsidRPr="00BA7805" w:rsidRDefault="00265792" w:rsidP="00DC5E56">
            <w:pPr>
              <w:pStyle w:val="ARfintablebodyright"/>
              <w:rPr>
                <w:highlight w:val="green"/>
              </w:rPr>
            </w:pPr>
            <w:r w:rsidRPr="00130B2D">
              <w:t>27.0</w:t>
            </w:r>
          </w:p>
        </w:tc>
        <w:tc>
          <w:tcPr>
            <w:tcW w:w="1278" w:type="dxa"/>
            <w:tcBorders>
              <w:top w:val="single" w:sz="4" w:space="0" w:color="A6A6A6" w:themeColor="accent5"/>
              <w:bottom w:val="single" w:sz="4" w:space="0" w:color="000000" w:themeColor="text1"/>
            </w:tcBorders>
          </w:tcPr>
          <w:p w14:paraId="76547F50" w14:textId="77777777" w:rsidR="00265792" w:rsidRPr="00BA7805" w:rsidRDefault="00265792" w:rsidP="00DC5E56">
            <w:pPr>
              <w:pStyle w:val="ARfintablebodyright"/>
              <w:rPr>
                <w:highlight w:val="green"/>
              </w:rPr>
            </w:pPr>
            <w:r w:rsidRPr="00130B2D">
              <w:t>25.2</w:t>
            </w:r>
          </w:p>
        </w:tc>
      </w:tr>
      <w:tr w:rsidR="00265792" w:rsidRPr="00BA7805" w14:paraId="4CD8C057" w14:textId="77777777" w:rsidTr="00E0209A">
        <w:tc>
          <w:tcPr>
            <w:tcW w:w="7083" w:type="dxa"/>
            <w:tcBorders>
              <w:top w:val="single" w:sz="4" w:space="0" w:color="000000" w:themeColor="text1"/>
              <w:bottom w:val="single" w:sz="4" w:space="0" w:color="A6A6A6" w:themeColor="accent5"/>
            </w:tcBorders>
            <w:noWrap/>
          </w:tcPr>
          <w:p w14:paraId="346EDB78" w14:textId="77777777" w:rsidR="00265792" w:rsidRPr="00BA7805" w:rsidRDefault="00265792" w:rsidP="00DC5E56">
            <w:pPr>
              <w:pStyle w:val="ARfintablebody"/>
              <w:rPr>
                <w:highlight w:val="green"/>
              </w:rPr>
            </w:pPr>
            <w:r w:rsidRPr="00130B2D">
              <w:t>Aggregate depreciation and amortisation allocated</w:t>
            </w:r>
          </w:p>
        </w:tc>
        <w:tc>
          <w:tcPr>
            <w:tcW w:w="1276" w:type="dxa"/>
            <w:tcBorders>
              <w:top w:val="single" w:sz="4" w:space="0" w:color="000000" w:themeColor="text1"/>
              <w:bottom w:val="single" w:sz="4" w:space="0" w:color="A6A6A6" w:themeColor="accent5"/>
            </w:tcBorders>
            <w:shd w:val="clear" w:color="auto" w:fill="EEEEEF" w:themeFill="accent4"/>
          </w:tcPr>
          <w:p w14:paraId="1BE64C3C" w14:textId="77777777" w:rsidR="00265792" w:rsidRPr="00BA7805" w:rsidRDefault="00265792" w:rsidP="00DC5E56">
            <w:pPr>
              <w:pStyle w:val="ARfintablebodyright"/>
              <w:rPr>
                <w:highlight w:val="green"/>
              </w:rPr>
            </w:pPr>
            <w:r w:rsidRPr="00130B2D">
              <w:t>536.7</w:t>
            </w:r>
          </w:p>
        </w:tc>
        <w:tc>
          <w:tcPr>
            <w:tcW w:w="1278" w:type="dxa"/>
            <w:tcBorders>
              <w:top w:val="single" w:sz="4" w:space="0" w:color="000000" w:themeColor="text1"/>
              <w:bottom w:val="single" w:sz="4" w:space="0" w:color="A6A6A6" w:themeColor="accent5"/>
            </w:tcBorders>
          </w:tcPr>
          <w:p w14:paraId="6D0751C4" w14:textId="77777777" w:rsidR="00265792" w:rsidRPr="00BA7805" w:rsidRDefault="00265792" w:rsidP="00DC5E56">
            <w:pPr>
              <w:pStyle w:val="ARfintablebodyright"/>
              <w:rPr>
                <w:highlight w:val="green"/>
              </w:rPr>
            </w:pPr>
            <w:r w:rsidRPr="00130B2D">
              <w:t>411.1</w:t>
            </w:r>
          </w:p>
        </w:tc>
      </w:tr>
      <w:tr w:rsidR="00265792" w:rsidRPr="00BA7805" w14:paraId="74023599" w14:textId="77777777" w:rsidTr="00E0209A">
        <w:tc>
          <w:tcPr>
            <w:tcW w:w="7083" w:type="dxa"/>
            <w:tcBorders>
              <w:top w:val="single" w:sz="4" w:space="0" w:color="A6A6A6" w:themeColor="accent5"/>
            </w:tcBorders>
            <w:noWrap/>
          </w:tcPr>
          <w:p w14:paraId="3257B86D" w14:textId="77777777" w:rsidR="00265792" w:rsidRPr="00BA7805" w:rsidRDefault="00265792" w:rsidP="00DC5E56">
            <w:pPr>
              <w:pStyle w:val="ARfintablebody"/>
              <w:rPr>
                <w:highlight w:val="green"/>
              </w:rPr>
            </w:pPr>
            <w:r w:rsidRPr="00130B2D">
              <w:t>Less depreciation and amortisation capitalised to carrying amount of other assets during the year</w:t>
            </w:r>
          </w:p>
        </w:tc>
        <w:tc>
          <w:tcPr>
            <w:tcW w:w="1276" w:type="dxa"/>
            <w:tcBorders>
              <w:top w:val="single" w:sz="4" w:space="0" w:color="A6A6A6" w:themeColor="accent5"/>
            </w:tcBorders>
            <w:shd w:val="clear" w:color="auto" w:fill="EEEEEF" w:themeFill="accent4"/>
          </w:tcPr>
          <w:p w14:paraId="6A4AF9DF" w14:textId="77777777" w:rsidR="00265792" w:rsidRPr="00BA7805" w:rsidRDefault="00265792" w:rsidP="00DC5E56">
            <w:pPr>
              <w:pStyle w:val="ARfintablebodyright"/>
              <w:rPr>
                <w:highlight w:val="green"/>
              </w:rPr>
            </w:pPr>
            <w:r w:rsidRPr="00130B2D">
              <w:t>(1.3)</w:t>
            </w:r>
          </w:p>
        </w:tc>
        <w:tc>
          <w:tcPr>
            <w:tcW w:w="1278" w:type="dxa"/>
            <w:tcBorders>
              <w:top w:val="single" w:sz="4" w:space="0" w:color="A6A6A6" w:themeColor="accent5"/>
            </w:tcBorders>
          </w:tcPr>
          <w:p w14:paraId="5960DCC4" w14:textId="77777777" w:rsidR="00265792" w:rsidRPr="00BA7805" w:rsidRDefault="00265792" w:rsidP="00DC5E56">
            <w:pPr>
              <w:pStyle w:val="ARfintablebodyright"/>
              <w:rPr>
                <w:highlight w:val="green"/>
              </w:rPr>
            </w:pPr>
            <w:r w:rsidRPr="00130B2D">
              <w:t>(1.1)</w:t>
            </w:r>
          </w:p>
        </w:tc>
      </w:tr>
      <w:tr w:rsidR="00265792" w:rsidRPr="00BA7805" w14:paraId="08FC501F" w14:textId="77777777" w:rsidTr="00E0000F">
        <w:trPr>
          <w:cnfStyle w:val="010000000000" w:firstRow="0" w:lastRow="1" w:firstColumn="0" w:lastColumn="0" w:oddVBand="0" w:evenVBand="0" w:oddHBand="0" w:evenHBand="0" w:firstRowFirstColumn="0" w:firstRowLastColumn="0" w:lastRowFirstColumn="0" w:lastRowLastColumn="0"/>
          <w:trHeight w:val="255"/>
        </w:trPr>
        <w:tc>
          <w:tcPr>
            <w:tcW w:w="7083" w:type="dxa"/>
          </w:tcPr>
          <w:p w14:paraId="13CF2C17" w14:textId="77777777" w:rsidR="00265792" w:rsidRPr="00BA7805" w:rsidRDefault="00265792" w:rsidP="00E0000F">
            <w:pPr>
              <w:pStyle w:val="ARfintablebodybold"/>
              <w:rPr>
                <w:highlight w:val="green"/>
              </w:rPr>
            </w:pPr>
            <w:r w:rsidRPr="00130B2D">
              <w:t>Total depreciation and amortisation</w:t>
            </w:r>
          </w:p>
        </w:tc>
        <w:tc>
          <w:tcPr>
            <w:tcW w:w="1276" w:type="dxa"/>
            <w:shd w:val="clear" w:color="auto" w:fill="EEEEEF" w:themeFill="accent4"/>
            <w:noWrap/>
          </w:tcPr>
          <w:p w14:paraId="0DDB2B6D" w14:textId="77777777" w:rsidR="00265792" w:rsidRPr="00BA7805" w:rsidRDefault="00265792" w:rsidP="00E0000F">
            <w:pPr>
              <w:pStyle w:val="ARfintablebodyrightbold"/>
              <w:rPr>
                <w:highlight w:val="green"/>
              </w:rPr>
            </w:pPr>
            <w:r w:rsidRPr="00130B2D">
              <w:t>535.4</w:t>
            </w:r>
          </w:p>
        </w:tc>
        <w:tc>
          <w:tcPr>
            <w:tcW w:w="1278" w:type="dxa"/>
            <w:noWrap/>
          </w:tcPr>
          <w:p w14:paraId="2C1DA980" w14:textId="77777777" w:rsidR="00265792" w:rsidRPr="00BA7805" w:rsidRDefault="00265792" w:rsidP="00E0000F">
            <w:pPr>
              <w:pStyle w:val="ARfintablebodyrightbold"/>
              <w:rPr>
                <w:highlight w:val="green"/>
              </w:rPr>
            </w:pPr>
            <w:r w:rsidRPr="00130B2D">
              <w:t>410.0</w:t>
            </w:r>
          </w:p>
        </w:tc>
      </w:tr>
    </w:tbl>
    <w:p w14:paraId="529A66B7" w14:textId="77777777" w:rsidR="00265792" w:rsidRDefault="00265792" w:rsidP="00A9116F">
      <w:pPr>
        <w:pStyle w:val="ARfinbodyaftertable"/>
      </w:pPr>
      <w:r>
        <w:t xml:space="preserve">All buildings, plant, equipment and vehicles that have finite useful lives are depreciated. The exceptions to this rule include items under assets held for sale and land. </w:t>
      </w:r>
    </w:p>
    <w:p w14:paraId="08634FD4" w14:textId="77777777" w:rsidR="00265792" w:rsidRDefault="00265792" w:rsidP="00A9116F">
      <w:pPr>
        <w:pStyle w:val="ARfinbody"/>
      </w:pPr>
      <w:r>
        <w:t xml:space="preserve">Depreciation is calculated on a straight-line basis at rates that allocate the asset value, less any estimated residual value, over its estimated useful life. </w:t>
      </w:r>
    </w:p>
    <w:p w14:paraId="64FA2738" w14:textId="77777777" w:rsidR="00265792" w:rsidRPr="00A9116F" w:rsidRDefault="00265792" w:rsidP="00A9116F">
      <w:pPr>
        <w:pStyle w:val="ARfinbodylargespace"/>
        <w:rPr>
          <w:highlight w:val="green"/>
        </w:rPr>
      </w:pPr>
      <w:r>
        <w:t>Typical estimated useful lives for the different asset classes for the current and prior year are included in the table below:</w:t>
      </w:r>
    </w:p>
    <w:tbl>
      <w:tblPr>
        <w:tblStyle w:val="TableGrid"/>
        <w:tblW w:w="9639" w:type="dxa"/>
        <w:tblLook w:val="06E0" w:firstRow="1" w:lastRow="1" w:firstColumn="1" w:lastColumn="0" w:noHBand="1" w:noVBand="1"/>
      </w:tblPr>
      <w:tblGrid>
        <w:gridCol w:w="6232"/>
        <w:gridCol w:w="1701"/>
        <w:gridCol w:w="1706"/>
      </w:tblGrid>
      <w:tr w:rsidR="00265792" w:rsidRPr="00BA7805" w14:paraId="3D018E88" w14:textId="77777777" w:rsidTr="00E0209A">
        <w:trPr>
          <w:cnfStyle w:val="100000000000" w:firstRow="1" w:lastRow="0" w:firstColumn="0" w:lastColumn="0" w:oddVBand="0" w:evenVBand="0" w:oddHBand="0" w:evenHBand="0" w:firstRowFirstColumn="0" w:firstRowLastColumn="0" w:lastRowFirstColumn="0" w:lastRowLastColumn="0"/>
          <w:tblHeader/>
        </w:trPr>
        <w:tc>
          <w:tcPr>
            <w:tcW w:w="6232" w:type="dxa"/>
          </w:tcPr>
          <w:p w14:paraId="6BBF79D1" w14:textId="77777777" w:rsidR="00265792" w:rsidRPr="00E849B6" w:rsidRDefault="00265792">
            <w:pPr>
              <w:pStyle w:val="ARfintablecolhead"/>
            </w:pPr>
            <w:r w:rsidRPr="00E849B6">
              <w:t>Asset class</w:t>
            </w:r>
          </w:p>
        </w:tc>
        <w:tc>
          <w:tcPr>
            <w:tcW w:w="1701" w:type="dxa"/>
            <w:shd w:val="clear" w:color="auto" w:fill="EEEEEF" w:themeFill="accent4"/>
          </w:tcPr>
          <w:p w14:paraId="2BB1250A" w14:textId="77777777" w:rsidR="00265792" w:rsidRPr="00E849B6" w:rsidRDefault="00265792" w:rsidP="002542E1">
            <w:pPr>
              <w:pStyle w:val="ARfintablecolheadcentre"/>
            </w:pPr>
            <w:r w:rsidRPr="00E849B6">
              <w:t>202</w:t>
            </w:r>
            <w:r>
              <w:t>5</w:t>
            </w:r>
          </w:p>
        </w:tc>
        <w:tc>
          <w:tcPr>
            <w:tcW w:w="1706" w:type="dxa"/>
          </w:tcPr>
          <w:p w14:paraId="45E6A981" w14:textId="77777777" w:rsidR="00265792" w:rsidRPr="00E849B6" w:rsidRDefault="00265792" w:rsidP="002542E1">
            <w:pPr>
              <w:pStyle w:val="ARfintablecolheadcentre"/>
            </w:pPr>
            <w:r w:rsidRPr="00E849B6">
              <w:t>202</w:t>
            </w:r>
            <w:r>
              <w:t>4</w:t>
            </w:r>
          </w:p>
        </w:tc>
      </w:tr>
      <w:tr w:rsidR="00265792" w:rsidRPr="00BA7805" w14:paraId="78314430" w14:textId="77777777" w:rsidTr="00F66709">
        <w:trPr>
          <w:trHeight w:val="57"/>
        </w:trPr>
        <w:tc>
          <w:tcPr>
            <w:tcW w:w="6232" w:type="dxa"/>
          </w:tcPr>
          <w:p w14:paraId="7FC5DAFB" w14:textId="77777777" w:rsidR="00265792" w:rsidRPr="00BA7805" w:rsidRDefault="00265792" w:rsidP="007E5841">
            <w:pPr>
              <w:pStyle w:val="ARfintablebody"/>
              <w:rPr>
                <w:highlight w:val="green"/>
              </w:rPr>
            </w:pPr>
            <w:r w:rsidRPr="00CF7597">
              <w:t xml:space="preserve">Buildings </w:t>
            </w:r>
          </w:p>
        </w:tc>
        <w:tc>
          <w:tcPr>
            <w:tcW w:w="1701" w:type="dxa"/>
            <w:shd w:val="clear" w:color="auto" w:fill="EEEEEF" w:themeFill="accent4"/>
          </w:tcPr>
          <w:p w14:paraId="646EDEBF" w14:textId="77777777" w:rsidR="00265792" w:rsidRPr="00BA7805" w:rsidRDefault="00265792" w:rsidP="007E5841">
            <w:pPr>
              <w:pStyle w:val="ARtabletextcentre"/>
              <w:rPr>
                <w:highlight w:val="green"/>
              </w:rPr>
            </w:pPr>
            <w:r w:rsidRPr="00CF7597">
              <w:t>5 to 85 years</w:t>
            </w:r>
          </w:p>
        </w:tc>
        <w:tc>
          <w:tcPr>
            <w:tcW w:w="1706" w:type="dxa"/>
          </w:tcPr>
          <w:p w14:paraId="0C642021" w14:textId="77777777" w:rsidR="00265792" w:rsidRPr="00BA7805" w:rsidRDefault="00265792" w:rsidP="007E5841">
            <w:pPr>
              <w:pStyle w:val="ARtabletextcentre"/>
              <w:rPr>
                <w:highlight w:val="green"/>
              </w:rPr>
            </w:pPr>
            <w:r w:rsidRPr="00CF7597">
              <w:t>5 to 85 years</w:t>
            </w:r>
          </w:p>
        </w:tc>
      </w:tr>
      <w:tr w:rsidR="00265792" w:rsidRPr="00BA7805" w14:paraId="23790278" w14:textId="77777777" w:rsidTr="00F66709">
        <w:trPr>
          <w:trHeight w:val="57"/>
        </w:trPr>
        <w:tc>
          <w:tcPr>
            <w:tcW w:w="6232" w:type="dxa"/>
          </w:tcPr>
          <w:p w14:paraId="1511DA1B" w14:textId="77777777" w:rsidR="00265792" w:rsidRPr="007E5841" w:rsidRDefault="00265792" w:rsidP="00F66709">
            <w:pPr>
              <w:pStyle w:val="ARfintablebullet1"/>
            </w:pPr>
            <w:r w:rsidRPr="007E5841">
              <w:t>Leasehold improvements</w:t>
            </w:r>
          </w:p>
        </w:tc>
        <w:tc>
          <w:tcPr>
            <w:tcW w:w="1701" w:type="dxa"/>
            <w:shd w:val="clear" w:color="auto" w:fill="EEEEEF" w:themeFill="accent4"/>
          </w:tcPr>
          <w:p w14:paraId="68E8EA3D" w14:textId="77777777" w:rsidR="00265792" w:rsidRPr="00BA7805" w:rsidRDefault="00265792" w:rsidP="007E5841">
            <w:pPr>
              <w:pStyle w:val="ARtabletextcentre"/>
              <w:rPr>
                <w:highlight w:val="green"/>
              </w:rPr>
            </w:pPr>
            <w:r w:rsidRPr="00CF7597">
              <w:t>5 to 10 years</w:t>
            </w:r>
          </w:p>
        </w:tc>
        <w:tc>
          <w:tcPr>
            <w:tcW w:w="1706" w:type="dxa"/>
          </w:tcPr>
          <w:p w14:paraId="4A6F1B59" w14:textId="77777777" w:rsidR="00265792" w:rsidRPr="00BA7805" w:rsidRDefault="00265792" w:rsidP="007E5841">
            <w:pPr>
              <w:pStyle w:val="ARtabletextcentre"/>
              <w:rPr>
                <w:highlight w:val="green"/>
              </w:rPr>
            </w:pPr>
            <w:r w:rsidRPr="00CF7597">
              <w:t>5 to 10 years</w:t>
            </w:r>
          </w:p>
        </w:tc>
      </w:tr>
      <w:tr w:rsidR="00265792" w:rsidRPr="00BA7805" w14:paraId="03EF39BB" w14:textId="77777777" w:rsidTr="00F66709">
        <w:trPr>
          <w:trHeight w:val="57"/>
        </w:trPr>
        <w:tc>
          <w:tcPr>
            <w:tcW w:w="6232" w:type="dxa"/>
            <w:tcBorders>
              <w:bottom w:val="single" w:sz="4" w:space="0" w:color="A6A6A6" w:themeColor="accent5"/>
            </w:tcBorders>
          </w:tcPr>
          <w:p w14:paraId="746086F7" w14:textId="77777777" w:rsidR="00265792" w:rsidRPr="007E5841" w:rsidRDefault="00265792" w:rsidP="00F66709">
            <w:pPr>
              <w:pStyle w:val="ARfintablebullet1"/>
            </w:pPr>
            <w:r w:rsidRPr="007E5841">
              <w:t>Buildings</w:t>
            </w:r>
          </w:p>
        </w:tc>
        <w:tc>
          <w:tcPr>
            <w:tcW w:w="1701" w:type="dxa"/>
            <w:tcBorders>
              <w:bottom w:val="single" w:sz="4" w:space="0" w:color="A6A6A6" w:themeColor="accent5"/>
            </w:tcBorders>
            <w:shd w:val="clear" w:color="auto" w:fill="EEEEEF" w:themeFill="accent4"/>
          </w:tcPr>
          <w:p w14:paraId="3626959C" w14:textId="77777777" w:rsidR="00265792" w:rsidRPr="00BA7805" w:rsidRDefault="00265792" w:rsidP="007E5841">
            <w:pPr>
              <w:pStyle w:val="ARtabletextcentre"/>
              <w:rPr>
                <w:highlight w:val="green"/>
              </w:rPr>
            </w:pPr>
            <w:r w:rsidRPr="00CF7597">
              <w:t>45 to 85 years</w:t>
            </w:r>
          </w:p>
        </w:tc>
        <w:tc>
          <w:tcPr>
            <w:tcW w:w="1706" w:type="dxa"/>
            <w:tcBorders>
              <w:bottom w:val="single" w:sz="4" w:space="0" w:color="A6A6A6" w:themeColor="accent5"/>
            </w:tcBorders>
          </w:tcPr>
          <w:p w14:paraId="01466076" w14:textId="77777777" w:rsidR="00265792" w:rsidRPr="00BA7805" w:rsidRDefault="00265792" w:rsidP="007E5841">
            <w:pPr>
              <w:pStyle w:val="ARtabletextcentre"/>
              <w:rPr>
                <w:highlight w:val="green"/>
              </w:rPr>
            </w:pPr>
            <w:r w:rsidRPr="00CF7597">
              <w:t>45 to 85 years</w:t>
            </w:r>
          </w:p>
        </w:tc>
      </w:tr>
      <w:tr w:rsidR="00265792" w:rsidRPr="00BA7805" w14:paraId="6F6E66B7" w14:textId="77777777" w:rsidTr="00F66709">
        <w:trPr>
          <w:trHeight w:val="57"/>
        </w:trPr>
        <w:tc>
          <w:tcPr>
            <w:tcW w:w="6232" w:type="dxa"/>
            <w:tcBorders>
              <w:top w:val="single" w:sz="4" w:space="0" w:color="A6A6A6" w:themeColor="accent5"/>
              <w:bottom w:val="single" w:sz="4" w:space="0" w:color="A6A6A6" w:themeColor="accent5"/>
            </w:tcBorders>
          </w:tcPr>
          <w:p w14:paraId="0B866A85" w14:textId="77777777" w:rsidR="00265792" w:rsidRPr="00BA7805" w:rsidRDefault="00265792" w:rsidP="007E5841">
            <w:pPr>
              <w:pStyle w:val="ARfintablebody"/>
              <w:rPr>
                <w:highlight w:val="green"/>
              </w:rPr>
            </w:pPr>
            <w:r w:rsidRPr="00CF7597">
              <w:t>Plant, equipment and vehicles</w:t>
            </w:r>
          </w:p>
        </w:tc>
        <w:tc>
          <w:tcPr>
            <w:tcW w:w="1701" w:type="dxa"/>
            <w:tcBorders>
              <w:top w:val="single" w:sz="4" w:space="0" w:color="A6A6A6" w:themeColor="accent5"/>
              <w:bottom w:val="single" w:sz="4" w:space="0" w:color="A6A6A6" w:themeColor="accent5"/>
            </w:tcBorders>
            <w:shd w:val="clear" w:color="auto" w:fill="EEEEEF" w:themeFill="accent4"/>
          </w:tcPr>
          <w:p w14:paraId="3EB1160A" w14:textId="77777777" w:rsidR="00265792" w:rsidRPr="00BA7805" w:rsidRDefault="00265792" w:rsidP="007E5841">
            <w:pPr>
              <w:pStyle w:val="ARtabletextcentre"/>
              <w:rPr>
                <w:highlight w:val="green"/>
              </w:rPr>
            </w:pPr>
            <w:r w:rsidRPr="00CF7597">
              <w:t>3 to 15 years</w:t>
            </w:r>
          </w:p>
        </w:tc>
        <w:tc>
          <w:tcPr>
            <w:tcW w:w="1706" w:type="dxa"/>
            <w:tcBorders>
              <w:top w:val="single" w:sz="4" w:space="0" w:color="A6A6A6" w:themeColor="accent5"/>
              <w:bottom w:val="single" w:sz="4" w:space="0" w:color="A6A6A6" w:themeColor="accent5"/>
            </w:tcBorders>
          </w:tcPr>
          <w:p w14:paraId="2AA74E2A" w14:textId="77777777" w:rsidR="00265792" w:rsidRPr="00BA7805" w:rsidRDefault="00265792" w:rsidP="007E5841">
            <w:pPr>
              <w:pStyle w:val="ARtabletextcentre"/>
              <w:rPr>
                <w:highlight w:val="green"/>
              </w:rPr>
            </w:pPr>
            <w:r w:rsidRPr="00CF7597">
              <w:t>3 to 15 years</w:t>
            </w:r>
          </w:p>
        </w:tc>
      </w:tr>
      <w:tr w:rsidR="00265792" w:rsidRPr="00BA7805" w14:paraId="2658BC65" w14:textId="77777777" w:rsidTr="00F66709">
        <w:trPr>
          <w:cnfStyle w:val="010000000000" w:firstRow="0" w:lastRow="1" w:firstColumn="0" w:lastColumn="0" w:oddVBand="0" w:evenVBand="0" w:oddHBand="0" w:evenHBand="0" w:firstRowFirstColumn="0" w:firstRowLastColumn="0" w:lastRowFirstColumn="0" w:lastRowLastColumn="0"/>
          <w:trHeight w:val="57"/>
        </w:trPr>
        <w:tc>
          <w:tcPr>
            <w:tcW w:w="6232" w:type="dxa"/>
            <w:tcBorders>
              <w:top w:val="single" w:sz="4" w:space="0" w:color="A6A6A6" w:themeColor="accent5"/>
            </w:tcBorders>
          </w:tcPr>
          <w:p w14:paraId="796762ED" w14:textId="77777777" w:rsidR="00265792" w:rsidRPr="00BA7805" w:rsidRDefault="00265792" w:rsidP="007E5841">
            <w:pPr>
              <w:pStyle w:val="ARfintablebody"/>
              <w:rPr>
                <w:highlight w:val="green"/>
              </w:rPr>
            </w:pPr>
            <w:r w:rsidRPr="00CF7597">
              <w:t>Intangible assets</w:t>
            </w:r>
          </w:p>
        </w:tc>
        <w:tc>
          <w:tcPr>
            <w:tcW w:w="1701" w:type="dxa"/>
            <w:tcBorders>
              <w:top w:val="single" w:sz="4" w:space="0" w:color="A6A6A6" w:themeColor="accent5"/>
            </w:tcBorders>
            <w:shd w:val="clear" w:color="auto" w:fill="EEEEEF" w:themeFill="accent4"/>
          </w:tcPr>
          <w:p w14:paraId="0E4B2665" w14:textId="77777777" w:rsidR="00265792" w:rsidRPr="00BA7805" w:rsidRDefault="00265792" w:rsidP="007E5841">
            <w:pPr>
              <w:pStyle w:val="ARtabletextcentre"/>
              <w:rPr>
                <w:highlight w:val="green"/>
              </w:rPr>
            </w:pPr>
            <w:r w:rsidRPr="00CF7597">
              <w:t>3 to 20 years</w:t>
            </w:r>
          </w:p>
        </w:tc>
        <w:tc>
          <w:tcPr>
            <w:tcW w:w="1706" w:type="dxa"/>
            <w:tcBorders>
              <w:top w:val="single" w:sz="4" w:space="0" w:color="A6A6A6" w:themeColor="accent5"/>
            </w:tcBorders>
          </w:tcPr>
          <w:p w14:paraId="740CB3C0" w14:textId="77777777" w:rsidR="00265792" w:rsidRPr="00BA7805" w:rsidRDefault="00265792" w:rsidP="007E5841">
            <w:pPr>
              <w:pStyle w:val="ARtabletextcentre"/>
              <w:rPr>
                <w:highlight w:val="green"/>
              </w:rPr>
            </w:pPr>
            <w:r w:rsidRPr="00CF7597">
              <w:t>3 to 20 years</w:t>
            </w:r>
          </w:p>
        </w:tc>
      </w:tr>
    </w:tbl>
    <w:p w14:paraId="35403B0B" w14:textId="77777777" w:rsidR="00265792" w:rsidRDefault="00265792" w:rsidP="0092793A">
      <w:pPr>
        <w:pStyle w:val="ARfinbodyaftertable"/>
      </w:pPr>
      <w:r>
        <w:t>The estimated useful lives, residual value and depreciation method are reviewed at the end of each annual reporting period. Estimated useful lives for buildings, and plant, equipment and vehicles remain unchanged since June 2019. Note the estimated useful lives of assets directly impact their depreciation rates, which in turn materially affects the annual depreciation expense.</w:t>
      </w:r>
    </w:p>
    <w:p w14:paraId="7C25F25A" w14:textId="274193B7" w:rsidR="00265792" w:rsidRDefault="00260D9A" w:rsidP="0092793A">
      <w:pPr>
        <w:pStyle w:val="ARfinbodylargespace"/>
      </w:pPr>
      <w:r w:rsidRPr="00260D9A">
        <w:t xml:space="preserve">AASB 116 requires annual reviews and adjustments of fixed asset useful life estimates for accurate depreciation. Buildings depreciate in accordance with the straight-line depreciation method. For buildings marked for early retirement and demolition, accelerated depreciation is applied if approval is given well in advance. If approval is given close to the demolition/retirement date, the building assets are written off. This ensures buildings are fully depreciated or impaired, leaving no residual value by the end of their serviceable period. Depreciation for 2024–25 includes the impact of accelerated depreciation of $95.5 million (2023–24 $35.9 million) which relates to the high-rise towers with established demolition plans that are part of the 44 </w:t>
      </w:r>
      <w:r w:rsidR="00040240">
        <w:t>A</w:t>
      </w:r>
      <w:r w:rsidRPr="00260D9A">
        <w:t xml:space="preserve">geing </w:t>
      </w:r>
      <w:r w:rsidR="00040240">
        <w:t>H</w:t>
      </w:r>
      <w:r w:rsidR="00040240" w:rsidRPr="00260D9A">
        <w:t>igh</w:t>
      </w:r>
      <w:r w:rsidRPr="00260D9A">
        <w:t>-</w:t>
      </w:r>
      <w:r w:rsidR="00040240">
        <w:t>Ri</w:t>
      </w:r>
      <w:r w:rsidRPr="00260D9A">
        <w:t xml:space="preserve">se </w:t>
      </w:r>
      <w:r w:rsidR="00040240">
        <w:t>R</w:t>
      </w:r>
      <w:r w:rsidRPr="00260D9A">
        <w:t xml:space="preserve">enewal </w:t>
      </w:r>
      <w:r w:rsidR="00040240">
        <w:t>P</w:t>
      </w:r>
      <w:r w:rsidR="00040240" w:rsidRPr="00260D9A">
        <w:t>roject</w:t>
      </w:r>
      <w:r>
        <w:t>.</w:t>
      </w:r>
      <w:r w:rsidR="00265792">
        <w:br w:type="page"/>
      </w:r>
    </w:p>
    <w:p w14:paraId="56CF7356" w14:textId="77777777" w:rsidR="00265792" w:rsidRDefault="00265792" w:rsidP="007E4432">
      <w:pPr>
        <w:pStyle w:val="Heading5"/>
        <w:rPr>
          <w:highlight w:val="green"/>
        </w:rPr>
      </w:pPr>
      <w:r w:rsidRPr="007E4432">
        <w:lastRenderedPageBreak/>
        <w:t>5.1.3 Reconciliation of movements in carrying values of land, buildings, plant and equipment, motor vehicles and assets under construction</w:t>
      </w:r>
    </w:p>
    <w:tbl>
      <w:tblPr>
        <w:tblStyle w:val="TableGrid"/>
        <w:tblW w:w="9637" w:type="dxa"/>
        <w:tblLayout w:type="fixed"/>
        <w:tblLook w:val="06E0" w:firstRow="1" w:lastRow="1" w:firstColumn="1" w:lastColumn="0" w:noHBand="1" w:noVBand="1"/>
      </w:tblPr>
      <w:tblGrid>
        <w:gridCol w:w="2835"/>
        <w:gridCol w:w="1133"/>
        <w:gridCol w:w="1134"/>
        <w:gridCol w:w="1134"/>
        <w:gridCol w:w="1133"/>
        <w:gridCol w:w="1134"/>
        <w:gridCol w:w="1134"/>
      </w:tblGrid>
      <w:tr w:rsidR="00336F56" w:rsidRPr="00BA7805" w14:paraId="410D5226"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2835" w:type="dxa"/>
            <w:hideMark/>
          </w:tcPr>
          <w:p w14:paraId="6F8881D5" w14:textId="77777777" w:rsidR="00265792" w:rsidRPr="005037A7" w:rsidRDefault="00265792">
            <w:pPr>
              <w:pStyle w:val="ARfintablecolhead"/>
              <w:spacing w:before="30" w:line="228" w:lineRule="auto"/>
            </w:pPr>
          </w:p>
        </w:tc>
        <w:tc>
          <w:tcPr>
            <w:tcW w:w="1133" w:type="dxa"/>
            <w:shd w:val="clear" w:color="auto" w:fill="EEEEEF" w:themeFill="accent4"/>
            <w:hideMark/>
          </w:tcPr>
          <w:p w14:paraId="62E9AF2E" w14:textId="77777777" w:rsidR="00265792" w:rsidRPr="005037A7" w:rsidRDefault="00265792" w:rsidP="00DF220B">
            <w:pPr>
              <w:pStyle w:val="ARfintablecolheadright"/>
              <w:spacing w:before="30" w:line="228" w:lineRule="auto"/>
            </w:pPr>
            <w:r w:rsidRPr="005037A7">
              <w:t>Land at fair value</w:t>
            </w:r>
          </w:p>
          <w:p w14:paraId="39F259A5" w14:textId="77777777" w:rsidR="00265792" w:rsidRPr="005037A7" w:rsidRDefault="00265792" w:rsidP="00DF220B">
            <w:pPr>
              <w:pStyle w:val="ARfintablecolheadright"/>
              <w:spacing w:before="30" w:line="228" w:lineRule="auto"/>
            </w:pPr>
            <w:r w:rsidRPr="005037A7">
              <w:t>$M</w:t>
            </w:r>
          </w:p>
        </w:tc>
        <w:tc>
          <w:tcPr>
            <w:tcW w:w="1134" w:type="dxa"/>
            <w:hideMark/>
          </w:tcPr>
          <w:p w14:paraId="2165D1EE" w14:textId="77777777" w:rsidR="00265792" w:rsidRPr="005037A7" w:rsidRDefault="00265792" w:rsidP="00DF220B">
            <w:pPr>
              <w:pStyle w:val="ARfintablecolheadright"/>
              <w:spacing w:before="30" w:line="228" w:lineRule="auto"/>
            </w:pPr>
            <w:r w:rsidRPr="005037A7">
              <w:t>Buildings at fair value</w:t>
            </w:r>
          </w:p>
          <w:p w14:paraId="5A3359C5" w14:textId="77777777" w:rsidR="00265792" w:rsidRPr="005037A7" w:rsidRDefault="00265792" w:rsidP="00DF220B">
            <w:pPr>
              <w:pStyle w:val="ARfintablecolheadright"/>
              <w:spacing w:before="30" w:line="228" w:lineRule="auto"/>
            </w:pPr>
            <w:r w:rsidRPr="005037A7">
              <w:t>$M</w:t>
            </w:r>
          </w:p>
        </w:tc>
        <w:tc>
          <w:tcPr>
            <w:tcW w:w="1134" w:type="dxa"/>
            <w:shd w:val="clear" w:color="auto" w:fill="EEEEEF" w:themeFill="accent4"/>
            <w:hideMark/>
          </w:tcPr>
          <w:p w14:paraId="7F07D140" w14:textId="77777777" w:rsidR="00265792" w:rsidRPr="005037A7" w:rsidRDefault="00265792" w:rsidP="00DF220B">
            <w:pPr>
              <w:pStyle w:val="ARfintablecolheadright"/>
              <w:spacing w:before="30" w:line="228" w:lineRule="auto"/>
            </w:pPr>
            <w:r w:rsidRPr="005037A7">
              <w:t>Plant and equipment at fair value</w:t>
            </w:r>
          </w:p>
          <w:p w14:paraId="69F379A9" w14:textId="77777777" w:rsidR="00265792" w:rsidRPr="005037A7" w:rsidRDefault="00265792" w:rsidP="00DF220B">
            <w:pPr>
              <w:pStyle w:val="ARfintablecolheadright"/>
              <w:spacing w:before="30" w:line="228" w:lineRule="auto"/>
            </w:pPr>
            <w:r w:rsidRPr="005037A7">
              <w:t>$M</w:t>
            </w:r>
          </w:p>
        </w:tc>
        <w:tc>
          <w:tcPr>
            <w:tcW w:w="1133" w:type="dxa"/>
            <w:hideMark/>
          </w:tcPr>
          <w:p w14:paraId="3C8F3A83" w14:textId="77777777" w:rsidR="00265792" w:rsidRPr="005037A7" w:rsidRDefault="00265792" w:rsidP="00DF220B">
            <w:pPr>
              <w:pStyle w:val="ARfintablecolheadright"/>
              <w:spacing w:before="30" w:line="228" w:lineRule="auto"/>
            </w:pPr>
            <w:r w:rsidRPr="005037A7">
              <w:t>Motor vehicles at fair value</w:t>
            </w:r>
          </w:p>
          <w:p w14:paraId="5DC47F91" w14:textId="77777777" w:rsidR="00265792" w:rsidRPr="005037A7" w:rsidRDefault="00265792" w:rsidP="00DF220B">
            <w:pPr>
              <w:pStyle w:val="ARfintablecolheadright"/>
              <w:spacing w:before="30" w:line="228" w:lineRule="auto"/>
            </w:pPr>
            <w:r w:rsidRPr="005037A7">
              <w:t>$M</w:t>
            </w:r>
          </w:p>
        </w:tc>
        <w:tc>
          <w:tcPr>
            <w:tcW w:w="1134" w:type="dxa"/>
            <w:shd w:val="clear" w:color="auto" w:fill="EEEEEF" w:themeFill="accent4"/>
            <w:hideMark/>
          </w:tcPr>
          <w:p w14:paraId="565EBE8F" w14:textId="77777777" w:rsidR="00265792" w:rsidRPr="005037A7" w:rsidRDefault="00265792" w:rsidP="00DF220B">
            <w:pPr>
              <w:pStyle w:val="ARfintablecolheadright"/>
              <w:spacing w:before="30" w:line="228" w:lineRule="auto"/>
            </w:pPr>
            <w:r w:rsidRPr="005037A7">
              <w:t xml:space="preserve">Assets under </w:t>
            </w:r>
            <w:proofErr w:type="spellStart"/>
            <w:r w:rsidRPr="005037A7">
              <w:t>construc-tion</w:t>
            </w:r>
            <w:proofErr w:type="spellEnd"/>
            <w:r w:rsidRPr="005037A7">
              <w:t xml:space="preserve"> at cost</w:t>
            </w:r>
          </w:p>
          <w:p w14:paraId="0BC14879" w14:textId="77777777" w:rsidR="00265792" w:rsidRPr="005037A7" w:rsidRDefault="00265792" w:rsidP="00DF220B">
            <w:pPr>
              <w:pStyle w:val="ARfintablecolheadright"/>
              <w:spacing w:before="30" w:line="228" w:lineRule="auto"/>
            </w:pPr>
            <w:r w:rsidRPr="005037A7">
              <w:t>$M</w:t>
            </w:r>
          </w:p>
        </w:tc>
        <w:tc>
          <w:tcPr>
            <w:tcW w:w="1134" w:type="dxa"/>
            <w:hideMark/>
          </w:tcPr>
          <w:p w14:paraId="1105F93D" w14:textId="77777777" w:rsidR="00265792" w:rsidRPr="005037A7" w:rsidRDefault="00265792" w:rsidP="00DF220B">
            <w:pPr>
              <w:pStyle w:val="ARfintablecolheadright"/>
              <w:spacing w:before="30" w:line="228" w:lineRule="auto"/>
            </w:pPr>
            <w:r w:rsidRPr="005037A7">
              <w:t>Total</w:t>
            </w:r>
          </w:p>
          <w:p w14:paraId="2D37643D" w14:textId="77777777" w:rsidR="00265792" w:rsidRPr="005037A7" w:rsidRDefault="00265792" w:rsidP="00DF220B">
            <w:pPr>
              <w:pStyle w:val="ARfintablecolheadright"/>
              <w:spacing w:before="30" w:line="228" w:lineRule="auto"/>
            </w:pPr>
            <w:r w:rsidRPr="005037A7">
              <w:t>$M</w:t>
            </w:r>
          </w:p>
        </w:tc>
      </w:tr>
      <w:tr w:rsidR="00265792" w:rsidRPr="00BA7805" w14:paraId="47552205" w14:textId="77777777">
        <w:trPr>
          <w:trHeight w:val="255"/>
        </w:trPr>
        <w:tc>
          <w:tcPr>
            <w:tcW w:w="2835" w:type="dxa"/>
          </w:tcPr>
          <w:p w14:paraId="37155B6A" w14:textId="77777777" w:rsidR="00265792" w:rsidRPr="00BA7805" w:rsidRDefault="00265792" w:rsidP="00D9659D">
            <w:pPr>
              <w:pStyle w:val="ARfintablebodybold"/>
              <w:rPr>
                <w:highlight w:val="green"/>
              </w:rPr>
            </w:pPr>
            <w:r w:rsidRPr="008B0B5A">
              <w:t xml:space="preserve">Balance </w:t>
            </w:r>
            <w:proofErr w:type="gramStart"/>
            <w:r w:rsidRPr="008B0B5A">
              <w:t>at</w:t>
            </w:r>
            <w:proofErr w:type="gramEnd"/>
            <w:r w:rsidRPr="008B0B5A">
              <w:t xml:space="preserve"> 1 July 2023</w:t>
            </w:r>
          </w:p>
        </w:tc>
        <w:tc>
          <w:tcPr>
            <w:tcW w:w="1133" w:type="dxa"/>
            <w:shd w:val="clear" w:color="auto" w:fill="EEEEEF" w:themeFill="accent4"/>
            <w:noWrap/>
          </w:tcPr>
          <w:p w14:paraId="4960C2A8" w14:textId="77777777" w:rsidR="00265792" w:rsidRPr="00BA7805" w:rsidRDefault="00265792">
            <w:pPr>
              <w:pStyle w:val="ARfintablebodyrightbold"/>
              <w:rPr>
                <w:highlight w:val="green"/>
              </w:rPr>
            </w:pPr>
            <w:r w:rsidRPr="008B0B5A">
              <w:t>24,142.2</w:t>
            </w:r>
          </w:p>
        </w:tc>
        <w:tc>
          <w:tcPr>
            <w:tcW w:w="1134" w:type="dxa"/>
            <w:noWrap/>
          </w:tcPr>
          <w:p w14:paraId="20187602" w14:textId="77777777" w:rsidR="00265792" w:rsidRPr="00BA7805" w:rsidRDefault="00265792">
            <w:pPr>
              <w:pStyle w:val="ARfintablebodyrightbold"/>
              <w:rPr>
                <w:highlight w:val="green"/>
              </w:rPr>
            </w:pPr>
            <w:r w:rsidRPr="008B0B5A">
              <w:t>11,388.5</w:t>
            </w:r>
          </w:p>
        </w:tc>
        <w:tc>
          <w:tcPr>
            <w:tcW w:w="1134" w:type="dxa"/>
            <w:shd w:val="clear" w:color="auto" w:fill="EEEEEF" w:themeFill="accent4"/>
            <w:noWrap/>
          </w:tcPr>
          <w:p w14:paraId="6573EF6F" w14:textId="77777777" w:rsidR="00265792" w:rsidRPr="00BA7805" w:rsidRDefault="00265792">
            <w:pPr>
              <w:pStyle w:val="ARfintablebodyrightbold"/>
              <w:rPr>
                <w:highlight w:val="green"/>
              </w:rPr>
            </w:pPr>
            <w:r w:rsidRPr="008B0B5A">
              <w:t>0.2</w:t>
            </w:r>
          </w:p>
        </w:tc>
        <w:tc>
          <w:tcPr>
            <w:tcW w:w="1133" w:type="dxa"/>
            <w:noWrap/>
          </w:tcPr>
          <w:p w14:paraId="2BB564D2" w14:textId="77777777" w:rsidR="00265792" w:rsidRPr="00BA7805" w:rsidRDefault="00265792">
            <w:pPr>
              <w:pStyle w:val="ARfintablebodyrightbold"/>
              <w:rPr>
                <w:highlight w:val="green"/>
              </w:rPr>
            </w:pPr>
            <w:r w:rsidRPr="008B0B5A">
              <w:t>32.2</w:t>
            </w:r>
          </w:p>
        </w:tc>
        <w:tc>
          <w:tcPr>
            <w:tcW w:w="1134" w:type="dxa"/>
            <w:shd w:val="clear" w:color="auto" w:fill="EEEEEF" w:themeFill="accent4"/>
            <w:noWrap/>
          </w:tcPr>
          <w:p w14:paraId="68E98A8D" w14:textId="77777777" w:rsidR="00265792" w:rsidRPr="00BA7805" w:rsidRDefault="00265792">
            <w:pPr>
              <w:pStyle w:val="ARfintablebodyrightbold"/>
              <w:rPr>
                <w:highlight w:val="green"/>
              </w:rPr>
            </w:pPr>
            <w:r w:rsidRPr="008B0B5A">
              <w:t>1,316.3</w:t>
            </w:r>
          </w:p>
        </w:tc>
        <w:tc>
          <w:tcPr>
            <w:tcW w:w="1134" w:type="dxa"/>
            <w:noWrap/>
          </w:tcPr>
          <w:p w14:paraId="62754140" w14:textId="77777777" w:rsidR="00265792" w:rsidRPr="00BA7805" w:rsidRDefault="00265792">
            <w:pPr>
              <w:pStyle w:val="ARfintablebodyrightbold"/>
              <w:rPr>
                <w:highlight w:val="green"/>
              </w:rPr>
            </w:pPr>
            <w:r w:rsidRPr="008B0B5A">
              <w:t>36,879.3</w:t>
            </w:r>
          </w:p>
        </w:tc>
      </w:tr>
      <w:tr w:rsidR="00265792" w:rsidRPr="00BA7805" w14:paraId="0DF1E61E" w14:textId="77777777">
        <w:trPr>
          <w:trHeight w:val="255"/>
        </w:trPr>
        <w:tc>
          <w:tcPr>
            <w:tcW w:w="2835" w:type="dxa"/>
          </w:tcPr>
          <w:p w14:paraId="2806F7A1" w14:textId="77777777" w:rsidR="00265792" w:rsidRPr="00BA7805" w:rsidRDefault="00265792" w:rsidP="00EB2244">
            <w:pPr>
              <w:pStyle w:val="ARfintablebody"/>
              <w:rPr>
                <w:highlight w:val="green"/>
              </w:rPr>
            </w:pPr>
            <w:r w:rsidRPr="008B0B5A">
              <w:t>Additions</w:t>
            </w:r>
          </w:p>
        </w:tc>
        <w:tc>
          <w:tcPr>
            <w:tcW w:w="1133" w:type="dxa"/>
            <w:shd w:val="clear" w:color="auto" w:fill="EEEEEF" w:themeFill="accent4"/>
            <w:noWrap/>
          </w:tcPr>
          <w:p w14:paraId="2E569EDA" w14:textId="77777777" w:rsidR="00265792" w:rsidRPr="00BA7805" w:rsidRDefault="00265792" w:rsidP="00EB2244">
            <w:pPr>
              <w:pStyle w:val="ARfintablebodyright"/>
              <w:rPr>
                <w:highlight w:val="green"/>
              </w:rPr>
            </w:pPr>
            <w:r w:rsidRPr="008B0B5A">
              <w:t>0.3</w:t>
            </w:r>
          </w:p>
        </w:tc>
        <w:tc>
          <w:tcPr>
            <w:tcW w:w="1134" w:type="dxa"/>
            <w:noWrap/>
          </w:tcPr>
          <w:p w14:paraId="4C18CFFC" w14:textId="77777777" w:rsidR="00265792" w:rsidRPr="00BA7805" w:rsidRDefault="00265792" w:rsidP="00EB2244">
            <w:pPr>
              <w:pStyle w:val="ARfintablebodyright"/>
              <w:rPr>
                <w:highlight w:val="green"/>
              </w:rPr>
            </w:pPr>
            <w:r w:rsidRPr="008B0B5A">
              <w:t>4.4</w:t>
            </w:r>
          </w:p>
        </w:tc>
        <w:tc>
          <w:tcPr>
            <w:tcW w:w="1134" w:type="dxa"/>
            <w:shd w:val="clear" w:color="auto" w:fill="EEEEEF" w:themeFill="accent4"/>
            <w:noWrap/>
          </w:tcPr>
          <w:p w14:paraId="6EEFD8A0" w14:textId="77777777" w:rsidR="00265792" w:rsidRPr="00BA7805" w:rsidRDefault="00265792" w:rsidP="00EB2244">
            <w:pPr>
              <w:pStyle w:val="ARfintablebodyright"/>
              <w:rPr>
                <w:highlight w:val="green"/>
              </w:rPr>
            </w:pPr>
            <w:r w:rsidRPr="008B0B5A">
              <w:t>0.3</w:t>
            </w:r>
          </w:p>
        </w:tc>
        <w:tc>
          <w:tcPr>
            <w:tcW w:w="1133" w:type="dxa"/>
            <w:noWrap/>
          </w:tcPr>
          <w:p w14:paraId="0256696A" w14:textId="77777777" w:rsidR="00265792" w:rsidRPr="00BA7805" w:rsidRDefault="00265792" w:rsidP="00EB2244">
            <w:pPr>
              <w:pStyle w:val="ARfintablebodyright"/>
              <w:rPr>
                <w:highlight w:val="green"/>
              </w:rPr>
            </w:pPr>
            <w:r w:rsidRPr="008B0B5A">
              <w:t>19.3</w:t>
            </w:r>
          </w:p>
        </w:tc>
        <w:tc>
          <w:tcPr>
            <w:tcW w:w="1134" w:type="dxa"/>
            <w:shd w:val="clear" w:color="auto" w:fill="EEEEEF" w:themeFill="accent4"/>
            <w:noWrap/>
          </w:tcPr>
          <w:p w14:paraId="4816C194" w14:textId="77777777" w:rsidR="00265792" w:rsidRPr="00BA7805" w:rsidRDefault="00265792" w:rsidP="00EB2244">
            <w:pPr>
              <w:pStyle w:val="ARfintablebodyright"/>
              <w:rPr>
                <w:highlight w:val="green"/>
              </w:rPr>
            </w:pPr>
            <w:r w:rsidRPr="008B0B5A">
              <w:t>1,057.0</w:t>
            </w:r>
          </w:p>
        </w:tc>
        <w:tc>
          <w:tcPr>
            <w:tcW w:w="1134" w:type="dxa"/>
            <w:noWrap/>
          </w:tcPr>
          <w:p w14:paraId="2C0D1BD8" w14:textId="77777777" w:rsidR="00265792" w:rsidRPr="00BA7805" w:rsidRDefault="00265792" w:rsidP="00EB2244">
            <w:pPr>
              <w:pStyle w:val="ARfintablebodyright"/>
              <w:rPr>
                <w:highlight w:val="green"/>
              </w:rPr>
            </w:pPr>
            <w:r w:rsidRPr="008B0B5A">
              <w:t>1,081.3</w:t>
            </w:r>
          </w:p>
        </w:tc>
      </w:tr>
      <w:tr w:rsidR="00265792" w:rsidRPr="00BA7805" w14:paraId="5C215CBE" w14:textId="77777777">
        <w:trPr>
          <w:trHeight w:val="255"/>
        </w:trPr>
        <w:tc>
          <w:tcPr>
            <w:tcW w:w="2835" w:type="dxa"/>
          </w:tcPr>
          <w:p w14:paraId="1415CCAA" w14:textId="77777777" w:rsidR="00265792" w:rsidRPr="00BA7805" w:rsidRDefault="00265792" w:rsidP="00EB2244">
            <w:pPr>
              <w:pStyle w:val="ARfintablebody"/>
              <w:rPr>
                <w:highlight w:val="green"/>
              </w:rPr>
            </w:pPr>
            <w:r w:rsidRPr="008B0B5A">
              <w:t>Disposals</w:t>
            </w:r>
          </w:p>
        </w:tc>
        <w:tc>
          <w:tcPr>
            <w:tcW w:w="1133" w:type="dxa"/>
            <w:shd w:val="clear" w:color="auto" w:fill="EEEEEF" w:themeFill="accent4"/>
            <w:noWrap/>
          </w:tcPr>
          <w:p w14:paraId="23595F57" w14:textId="77777777" w:rsidR="00265792" w:rsidRPr="00BA7805" w:rsidRDefault="00265792" w:rsidP="00EB2244">
            <w:pPr>
              <w:pStyle w:val="ARfintablebodyright"/>
              <w:rPr>
                <w:highlight w:val="green"/>
              </w:rPr>
            </w:pPr>
            <w:r w:rsidRPr="008B0B5A">
              <w:t>(111.9)</w:t>
            </w:r>
          </w:p>
        </w:tc>
        <w:tc>
          <w:tcPr>
            <w:tcW w:w="1134" w:type="dxa"/>
            <w:noWrap/>
          </w:tcPr>
          <w:p w14:paraId="36AB4E52" w14:textId="77777777" w:rsidR="00265792" w:rsidRPr="00BA7805" w:rsidRDefault="00265792" w:rsidP="00EB2244">
            <w:pPr>
              <w:pStyle w:val="ARfintablebodyright"/>
              <w:rPr>
                <w:highlight w:val="green"/>
              </w:rPr>
            </w:pPr>
            <w:r w:rsidRPr="008B0B5A">
              <w:t>(169.4)</w:t>
            </w:r>
          </w:p>
        </w:tc>
        <w:tc>
          <w:tcPr>
            <w:tcW w:w="1134" w:type="dxa"/>
            <w:shd w:val="clear" w:color="auto" w:fill="EEEEEF" w:themeFill="accent4"/>
            <w:noWrap/>
          </w:tcPr>
          <w:p w14:paraId="64E85EBA" w14:textId="77777777" w:rsidR="00265792" w:rsidRPr="00BA7805" w:rsidRDefault="00265792" w:rsidP="00EB2244">
            <w:pPr>
              <w:pStyle w:val="ARfintablebodyright"/>
              <w:rPr>
                <w:highlight w:val="green"/>
              </w:rPr>
            </w:pPr>
            <w:r>
              <w:t>–</w:t>
            </w:r>
          </w:p>
        </w:tc>
        <w:tc>
          <w:tcPr>
            <w:tcW w:w="1133" w:type="dxa"/>
            <w:noWrap/>
          </w:tcPr>
          <w:p w14:paraId="4186F597" w14:textId="77777777" w:rsidR="00265792" w:rsidRPr="00BA7805" w:rsidRDefault="00265792" w:rsidP="00EB2244">
            <w:pPr>
              <w:pStyle w:val="ARfintablebodyright"/>
              <w:rPr>
                <w:highlight w:val="green"/>
              </w:rPr>
            </w:pPr>
            <w:r w:rsidRPr="008B0B5A">
              <w:t>(6.3)</w:t>
            </w:r>
          </w:p>
        </w:tc>
        <w:tc>
          <w:tcPr>
            <w:tcW w:w="1134" w:type="dxa"/>
            <w:shd w:val="clear" w:color="auto" w:fill="EEEEEF" w:themeFill="accent4"/>
            <w:noWrap/>
          </w:tcPr>
          <w:p w14:paraId="71886A89" w14:textId="77777777" w:rsidR="00265792" w:rsidRPr="00BA7805" w:rsidRDefault="00265792" w:rsidP="00EB2244">
            <w:pPr>
              <w:pStyle w:val="ARfintablebodyright"/>
              <w:rPr>
                <w:highlight w:val="green"/>
              </w:rPr>
            </w:pPr>
            <w:r>
              <w:t>–</w:t>
            </w:r>
          </w:p>
        </w:tc>
        <w:tc>
          <w:tcPr>
            <w:tcW w:w="1134" w:type="dxa"/>
            <w:noWrap/>
          </w:tcPr>
          <w:p w14:paraId="196BEAF4" w14:textId="77777777" w:rsidR="00265792" w:rsidRPr="00BA7805" w:rsidRDefault="00265792" w:rsidP="00EB2244">
            <w:pPr>
              <w:pStyle w:val="ARfintablebodyright"/>
              <w:rPr>
                <w:highlight w:val="green"/>
              </w:rPr>
            </w:pPr>
            <w:r w:rsidRPr="008B0B5A">
              <w:t>(287.7)</w:t>
            </w:r>
          </w:p>
        </w:tc>
      </w:tr>
      <w:tr w:rsidR="00265792" w:rsidRPr="00BA7805" w14:paraId="3226443D" w14:textId="77777777">
        <w:trPr>
          <w:trHeight w:val="255"/>
        </w:trPr>
        <w:tc>
          <w:tcPr>
            <w:tcW w:w="2835" w:type="dxa"/>
          </w:tcPr>
          <w:p w14:paraId="06EFD785" w14:textId="77777777" w:rsidR="00265792" w:rsidRPr="00BA7805" w:rsidRDefault="00265792" w:rsidP="00EB2244">
            <w:pPr>
              <w:pStyle w:val="ARfintablebody"/>
              <w:rPr>
                <w:highlight w:val="green"/>
              </w:rPr>
            </w:pPr>
            <w:r w:rsidRPr="008B0B5A">
              <w:t>Net revaluation increments/(decrements)</w:t>
            </w:r>
            <w:r>
              <w:t xml:space="preserve"> </w:t>
            </w:r>
            <w:r w:rsidRPr="00A16449">
              <w:rPr>
                <w:vertAlign w:val="superscript"/>
              </w:rPr>
              <w:t>(</w:t>
            </w:r>
            <w:proofErr w:type="spellStart"/>
            <w:r w:rsidRPr="00A16449">
              <w:rPr>
                <w:vertAlign w:val="superscript"/>
              </w:rPr>
              <w:t>i</w:t>
            </w:r>
            <w:proofErr w:type="spellEnd"/>
            <w:r w:rsidRPr="00A16449">
              <w:rPr>
                <w:vertAlign w:val="superscript"/>
              </w:rPr>
              <w:t>)</w:t>
            </w:r>
          </w:p>
        </w:tc>
        <w:tc>
          <w:tcPr>
            <w:tcW w:w="1133" w:type="dxa"/>
            <w:shd w:val="clear" w:color="auto" w:fill="EEEEEF" w:themeFill="accent4"/>
            <w:noWrap/>
          </w:tcPr>
          <w:p w14:paraId="3A2BAB69" w14:textId="77777777" w:rsidR="00265792" w:rsidRPr="00BA7805" w:rsidRDefault="00265792" w:rsidP="00EB2244">
            <w:pPr>
              <w:pStyle w:val="ARfintablebodyright"/>
              <w:rPr>
                <w:highlight w:val="green"/>
              </w:rPr>
            </w:pPr>
            <w:r w:rsidRPr="008B0B5A">
              <w:t>26.3</w:t>
            </w:r>
          </w:p>
        </w:tc>
        <w:tc>
          <w:tcPr>
            <w:tcW w:w="1134" w:type="dxa"/>
            <w:noWrap/>
          </w:tcPr>
          <w:p w14:paraId="385BA76C" w14:textId="77777777" w:rsidR="00265792" w:rsidRPr="00BA7805" w:rsidRDefault="00265792" w:rsidP="00EB2244">
            <w:pPr>
              <w:pStyle w:val="ARfintablebodyright"/>
              <w:rPr>
                <w:highlight w:val="green"/>
              </w:rPr>
            </w:pPr>
            <w:r w:rsidRPr="008B0B5A">
              <w:t>1,150.2</w:t>
            </w:r>
          </w:p>
        </w:tc>
        <w:tc>
          <w:tcPr>
            <w:tcW w:w="1134" w:type="dxa"/>
            <w:shd w:val="clear" w:color="auto" w:fill="EEEEEF" w:themeFill="accent4"/>
            <w:noWrap/>
          </w:tcPr>
          <w:p w14:paraId="2F32B0A1" w14:textId="77777777" w:rsidR="00265792" w:rsidRPr="00BA7805" w:rsidRDefault="00265792" w:rsidP="00EB2244">
            <w:pPr>
              <w:pStyle w:val="ARfintablebodyright"/>
              <w:rPr>
                <w:highlight w:val="green"/>
              </w:rPr>
            </w:pPr>
            <w:r>
              <w:t>–</w:t>
            </w:r>
          </w:p>
        </w:tc>
        <w:tc>
          <w:tcPr>
            <w:tcW w:w="1133" w:type="dxa"/>
            <w:noWrap/>
          </w:tcPr>
          <w:p w14:paraId="46AED486" w14:textId="77777777" w:rsidR="00265792" w:rsidRPr="00BA7805" w:rsidRDefault="00265792" w:rsidP="00EB2244">
            <w:pPr>
              <w:pStyle w:val="ARfintablebodyright"/>
              <w:rPr>
                <w:highlight w:val="green"/>
              </w:rPr>
            </w:pPr>
            <w:r>
              <w:t>–</w:t>
            </w:r>
          </w:p>
        </w:tc>
        <w:tc>
          <w:tcPr>
            <w:tcW w:w="1134" w:type="dxa"/>
            <w:shd w:val="clear" w:color="auto" w:fill="EEEEEF" w:themeFill="accent4"/>
            <w:noWrap/>
          </w:tcPr>
          <w:p w14:paraId="3C1BEFD2" w14:textId="77777777" w:rsidR="00265792" w:rsidRPr="00BA7805" w:rsidRDefault="00265792" w:rsidP="00EB2244">
            <w:pPr>
              <w:pStyle w:val="ARfintablebodyright"/>
              <w:rPr>
                <w:highlight w:val="green"/>
              </w:rPr>
            </w:pPr>
            <w:r w:rsidRPr="008B0B5A">
              <w:t>8.3</w:t>
            </w:r>
          </w:p>
        </w:tc>
        <w:tc>
          <w:tcPr>
            <w:tcW w:w="1134" w:type="dxa"/>
            <w:noWrap/>
          </w:tcPr>
          <w:p w14:paraId="16CC2EA6" w14:textId="77777777" w:rsidR="00265792" w:rsidRPr="00BA7805" w:rsidRDefault="00265792" w:rsidP="00EB2244">
            <w:pPr>
              <w:pStyle w:val="ARfintablebodyright"/>
              <w:rPr>
                <w:highlight w:val="green"/>
              </w:rPr>
            </w:pPr>
            <w:r w:rsidRPr="008B0B5A">
              <w:t>1,184.8</w:t>
            </w:r>
          </w:p>
        </w:tc>
      </w:tr>
      <w:tr w:rsidR="00265792" w:rsidRPr="00BA7805" w14:paraId="46BA6373" w14:textId="77777777">
        <w:trPr>
          <w:trHeight w:val="255"/>
        </w:trPr>
        <w:tc>
          <w:tcPr>
            <w:tcW w:w="2835" w:type="dxa"/>
          </w:tcPr>
          <w:p w14:paraId="011498E7" w14:textId="77777777" w:rsidR="00265792" w:rsidRPr="00BA7805" w:rsidRDefault="00265792" w:rsidP="00EB2244">
            <w:pPr>
              <w:pStyle w:val="ARfintablebody"/>
              <w:rPr>
                <w:highlight w:val="green"/>
              </w:rPr>
            </w:pPr>
            <w:r w:rsidRPr="008B0B5A">
              <w:t>Depreciation and amortisation</w:t>
            </w:r>
          </w:p>
        </w:tc>
        <w:tc>
          <w:tcPr>
            <w:tcW w:w="1133" w:type="dxa"/>
            <w:shd w:val="clear" w:color="auto" w:fill="EEEEEF" w:themeFill="accent4"/>
            <w:noWrap/>
          </w:tcPr>
          <w:p w14:paraId="0E3A8700" w14:textId="77777777" w:rsidR="00265792" w:rsidRPr="00BA7805" w:rsidRDefault="00265792" w:rsidP="00EB2244">
            <w:pPr>
              <w:pStyle w:val="ARfintablebodyright"/>
              <w:rPr>
                <w:highlight w:val="green"/>
              </w:rPr>
            </w:pPr>
            <w:r w:rsidRPr="008B0B5A">
              <w:t>(0.9)</w:t>
            </w:r>
          </w:p>
        </w:tc>
        <w:tc>
          <w:tcPr>
            <w:tcW w:w="1134" w:type="dxa"/>
            <w:noWrap/>
          </w:tcPr>
          <w:p w14:paraId="7659BD80" w14:textId="77777777" w:rsidR="00265792" w:rsidRPr="00BA7805" w:rsidRDefault="00265792" w:rsidP="00EB2244">
            <w:pPr>
              <w:pStyle w:val="ARfintablebodyright"/>
              <w:rPr>
                <w:highlight w:val="green"/>
              </w:rPr>
            </w:pPr>
            <w:r w:rsidRPr="008B0B5A">
              <w:t>(379.7)</w:t>
            </w:r>
          </w:p>
        </w:tc>
        <w:tc>
          <w:tcPr>
            <w:tcW w:w="1134" w:type="dxa"/>
            <w:shd w:val="clear" w:color="auto" w:fill="EEEEEF" w:themeFill="accent4"/>
            <w:noWrap/>
          </w:tcPr>
          <w:p w14:paraId="6BC7CD2C" w14:textId="77777777" w:rsidR="00265792" w:rsidRPr="00BA7805" w:rsidRDefault="00265792" w:rsidP="00EB2244">
            <w:pPr>
              <w:pStyle w:val="ARfintablebodyright"/>
              <w:rPr>
                <w:highlight w:val="green"/>
              </w:rPr>
            </w:pPr>
            <w:r w:rsidRPr="008B0B5A">
              <w:t>(0.1)</w:t>
            </w:r>
          </w:p>
        </w:tc>
        <w:tc>
          <w:tcPr>
            <w:tcW w:w="1133" w:type="dxa"/>
            <w:noWrap/>
          </w:tcPr>
          <w:p w14:paraId="6B170858" w14:textId="77777777" w:rsidR="00265792" w:rsidRPr="00BA7805" w:rsidRDefault="00265792" w:rsidP="00EB2244">
            <w:pPr>
              <w:pStyle w:val="ARfintablebodyright"/>
              <w:rPr>
                <w:highlight w:val="green"/>
              </w:rPr>
            </w:pPr>
            <w:r w:rsidRPr="008B0B5A">
              <w:t>(6.9)</w:t>
            </w:r>
          </w:p>
        </w:tc>
        <w:tc>
          <w:tcPr>
            <w:tcW w:w="1134" w:type="dxa"/>
            <w:shd w:val="clear" w:color="auto" w:fill="EEEEEF" w:themeFill="accent4"/>
            <w:noWrap/>
          </w:tcPr>
          <w:p w14:paraId="6DA7FF71" w14:textId="77777777" w:rsidR="00265792" w:rsidRPr="00BA7805" w:rsidRDefault="00265792" w:rsidP="00EB2244">
            <w:pPr>
              <w:pStyle w:val="ARfintablebodyright"/>
              <w:rPr>
                <w:highlight w:val="green"/>
              </w:rPr>
            </w:pPr>
            <w:r>
              <w:t>–</w:t>
            </w:r>
          </w:p>
        </w:tc>
        <w:tc>
          <w:tcPr>
            <w:tcW w:w="1134" w:type="dxa"/>
            <w:noWrap/>
          </w:tcPr>
          <w:p w14:paraId="60FF8C68" w14:textId="77777777" w:rsidR="00265792" w:rsidRPr="00BA7805" w:rsidRDefault="00265792" w:rsidP="00EB2244">
            <w:pPr>
              <w:pStyle w:val="ARfintablebodyright"/>
              <w:rPr>
                <w:highlight w:val="green"/>
              </w:rPr>
            </w:pPr>
            <w:r w:rsidRPr="008B0B5A">
              <w:t>(387.6)</w:t>
            </w:r>
          </w:p>
        </w:tc>
      </w:tr>
      <w:tr w:rsidR="00265792" w:rsidRPr="00BA7805" w14:paraId="3015320A" w14:textId="77777777">
        <w:trPr>
          <w:trHeight w:val="255"/>
        </w:trPr>
        <w:tc>
          <w:tcPr>
            <w:tcW w:w="2835" w:type="dxa"/>
          </w:tcPr>
          <w:p w14:paraId="7785FB4E" w14:textId="77777777" w:rsidR="00265792" w:rsidRPr="00BA7805" w:rsidRDefault="00265792" w:rsidP="00EB2244">
            <w:pPr>
              <w:pStyle w:val="ARfintablebody"/>
              <w:rPr>
                <w:highlight w:val="green"/>
              </w:rPr>
            </w:pPr>
            <w:r w:rsidRPr="008B0B5A">
              <w:t>Fair value of assets received/(provided) free of charge or</w:t>
            </w:r>
            <w:r>
              <w:t> </w:t>
            </w:r>
            <w:r w:rsidRPr="008B0B5A">
              <w:t>for nominal consideration</w:t>
            </w:r>
          </w:p>
        </w:tc>
        <w:tc>
          <w:tcPr>
            <w:tcW w:w="1133" w:type="dxa"/>
            <w:shd w:val="clear" w:color="auto" w:fill="EEEEEF" w:themeFill="accent4"/>
            <w:noWrap/>
          </w:tcPr>
          <w:p w14:paraId="6A06D8F1" w14:textId="77777777" w:rsidR="00265792" w:rsidRPr="00BA7805" w:rsidRDefault="00265792" w:rsidP="00EB2244">
            <w:pPr>
              <w:pStyle w:val="ARfintablebodyright"/>
              <w:rPr>
                <w:highlight w:val="green"/>
              </w:rPr>
            </w:pPr>
            <w:r>
              <w:t>–</w:t>
            </w:r>
          </w:p>
        </w:tc>
        <w:tc>
          <w:tcPr>
            <w:tcW w:w="1134" w:type="dxa"/>
            <w:noWrap/>
          </w:tcPr>
          <w:p w14:paraId="23BD8E43" w14:textId="77777777" w:rsidR="00265792" w:rsidRPr="00BA7805" w:rsidRDefault="00265792" w:rsidP="00EB2244">
            <w:pPr>
              <w:pStyle w:val="ARfintablebodyright"/>
              <w:rPr>
                <w:highlight w:val="green"/>
              </w:rPr>
            </w:pPr>
            <w:r>
              <w:t>–</w:t>
            </w:r>
          </w:p>
        </w:tc>
        <w:tc>
          <w:tcPr>
            <w:tcW w:w="1134" w:type="dxa"/>
            <w:shd w:val="clear" w:color="auto" w:fill="EEEEEF" w:themeFill="accent4"/>
            <w:noWrap/>
          </w:tcPr>
          <w:p w14:paraId="3A076BB8" w14:textId="77777777" w:rsidR="00265792" w:rsidRPr="00BA7805" w:rsidRDefault="00265792" w:rsidP="00EB2244">
            <w:pPr>
              <w:pStyle w:val="ARfintablebodyright"/>
              <w:rPr>
                <w:highlight w:val="green"/>
              </w:rPr>
            </w:pPr>
            <w:r>
              <w:t>–</w:t>
            </w:r>
          </w:p>
        </w:tc>
        <w:tc>
          <w:tcPr>
            <w:tcW w:w="1133" w:type="dxa"/>
            <w:noWrap/>
          </w:tcPr>
          <w:p w14:paraId="49BC4158" w14:textId="77777777" w:rsidR="00265792" w:rsidRPr="00BA7805" w:rsidRDefault="00265792" w:rsidP="00EB2244">
            <w:pPr>
              <w:pStyle w:val="ARfintablebodyright"/>
              <w:rPr>
                <w:highlight w:val="green"/>
              </w:rPr>
            </w:pPr>
            <w:r>
              <w:t>–</w:t>
            </w:r>
          </w:p>
        </w:tc>
        <w:tc>
          <w:tcPr>
            <w:tcW w:w="1134" w:type="dxa"/>
            <w:shd w:val="clear" w:color="auto" w:fill="EEEEEF" w:themeFill="accent4"/>
            <w:noWrap/>
          </w:tcPr>
          <w:p w14:paraId="56239C18" w14:textId="77777777" w:rsidR="00265792" w:rsidRPr="00BA7805" w:rsidRDefault="00265792" w:rsidP="00EB2244">
            <w:pPr>
              <w:pStyle w:val="ARfintablebodyright"/>
              <w:rPr>
                <w:highlight w:val="green"/>
              </w:rPr>
            </w:pPr>
            <w:r w:rsidRPr="008B0B5A">
              <w:t>(3.2)</w:t>
            </w:r>
          </w:p>
        </w:tc>
        <w:tc>
          <w:tcPr>
            <w:tcW w:w="1134" w:type="dxa"/>
            <w:noWrap/>
          </w:tcPr>
          <w:p w14:paraId="2F28175E" w14:textId="77777777" w:rsidR="00265792" w:rsidRPr="00BA7805" w:rsidRDefault="00265792" w:rsidP="00EB2244">
            <w:pPr>
              <w:pStyle w:val="ARfintablebodyright"/>
              <w:rPr>
                <w:highlight w:val="green"/>
              </w:rPr>
            </w:pPr>
            <w:r w:rsidRPr="008B0B5A">
              <w:t>(3.1)</w:t>
            </w:r>
          </w:p>
        </w:tc>
      </w:tr>
      <w:tr w:rsidR="00265792" w:rsidRPr="00BA7805" w14:paraId="26D27ADD" w14:textId="77777777">
        <w:trPr>
          <w:trHeight w:val="255"/>
        </w:trPr>
        <w:tc>
          <w:tcPr>
            <w:tcW w:w="2835" w:type="dxa"/>
          </w:tcPr>
          <w:p w14:paraId="382D68A6" w14:textId="77777777" w:rsidR="00265792" w:rsidRPr="00BA7805" w:rsidRDefault="00265792" w:rsidP="00EB2244">
            <w:pPr>
              <w:pStyle w:val="ARfintablebody"/>
              <w:rPr>
                <w:highlight w:val="green"/>
              </w:rPr>
            </w:pPr>
            <w:r w:rsidRPr="008B0B5A">
              <w:t>Transfers in/(out) of assets under</w:t>
            </w:r>
            <w:r>
              <w:t> </w:t>
            </w:r>
            <w:r w:rsidRPr="008B0B5A">
              <w:t>construction</w:t>
            </w:r>
          </w:p>
        </w:tc>
        <w:tc>
          <w:tcPr>
            <w:tcW w:w="1133" w:type="dxa"/>
            <w:shd w:val="clear" w:color="auto" w:fill="EEEEEF" w:themeFill="accent4"/>
            <w:noWrap/>
          </w:tcPr>
          <w:p w14:paraId="411478EE" w14:textId="77777777" w:rsidR="00265792" w:rsidRPr="00BA7805" w:rsidRDefault="00265792" w:rsidP="00EB2244">
            <w:pPr>
              <w:pStyle w:val="ARfintablebodyright"/>
              <w:rPr>
                <w:highlight w:val="green"/>
              </w:rPr>
            </w:pPr>
            <w:r w:rsidRPr="008B0B5A">
              <w:t>54.5</w:t>
            </w:r>
          </w:p>
        </w:tc>
        <w:tc>
          <w:tcPr>
            <w:tcW w:w="1134" w:type="dxa"/>
            <w:noWrap/>
          </w:tcPr>
          <w:p w14:paraId="49700705" w14:textId="77777777" w:rsidR="00265792" w:rsidRPr="00BA7805" w:rsidRDefault="00265792" w:rsidP="00EB2244">
            <w:pPr>
              <w:pStyle w:val="ARfintablebodyright"/>
              <w:rPr>
                <w:highlight w:val="green"/>
              </w:rPr>
            </w:pPr>
            <w:r w:rsidRPr="008B0B5A">
              <w:t>1,148.4</w:t>
            </w:r>
          </w:p>
        </w:tc>
        <w:tc>
          <w:tcPr>
            <w:tcW w:w="1134" w:type="dxa"/>
            <w:shd w:val="clear" w:color="auto" w:fill="EEEEEF" w:themeFill="accent4"/>
            <w:noWrap/>
          </w:tcPr>
          <w:p w14:paraId="69CA2C5F" w14:textId="77777777" w:rsidR="00265792" w:rsidRPr="00BA7805" w:rsidRDefault="00265792" w:rsidP="00EB2244">
            <w:pPr>
              <w:pStyle w:val="ARfintablebodyright"/>
              <w:rPr>
                <w:highlight w:val="green"/>
              </w:rPr>
            </w:pPr>
            <w:r>
              <w:t>–</w:t>
            </w:r>
          </w:p>
        </w:tc>
        <w:tc>
          <w:tcPr>
            <w:tcW w:w="1133" w:type="dxa"/>
            <w:noWrap/>
          </w:tcPr>
          <w:p w14:paraId="0C152563" w14:textId="77777777" w:rsidR="00265792" w:rsidRPr="00BA7805" w:rsidRDefault="00265792" w:rsidP="00EB2244">
            <w:pPr>
              <w:pStyle w:val="ARfintablebodyright"/>
              <w:rPr>
                <w:highlight w:val="green"/>
              </w:rPr>
            </w:pPr>
            <w:r>
              <w:t>–</w:t>
            </w:r>
          </w:p>
        </w:tc>
        <w:tc>
          <w:tcPr>
            <w:tcW w:w="1134" w:type="dxa"/>
            <w:shd w:val="clear" w:color="auto" w:fill="EEEEEF" w:themeFill="accent4"/>
            <w:noWrap/>
          </w:tcPr>
          <w:p w14:paraId="2247F785" w14:textId="77777777" w:rsidR="00265792" w:rsidRPr="00BA7805" w:rsidRDefault="00265792" w:rsidP="00EB2244">
            <w:pPr>
              <w:pStyle w:val="ARfintablebodyright"/>
              <w:rPr>
                <w:highlight w:val="green"/>
              </w:rPr>
            </w:pPr>
            <w:r w:rsidRPr="008B0B5A">
              <w:t>(1,202.9)</w:t>
            </w:r>
          </w:p>
        </w:tc>
        <w:tc>
          <w:tcPr>
            <w:tcW w:w="1134" w:type="dxa"/>
            <w:noWrap/>
          </w:tcPr>
          <w:p w14:paraId="3DEF77C4" w14:textId="77777777" w:rsidR="00265792" w:rsidRPr="00BA7805" w:rsidRDefault="00265792" w:rsidP="00EB2244">
            <w:pPr>
              <w:pStyle w:val="ARfintablebodyright"/>
              <w:rPr>
                <w:highlight w:val="green"/>
              </w:rPr>
            </w:pPr>
            <w:r>
              <w:t>–</w:t>
            </w:r>
          </w:p>
        </w:tc>
      </w:tr>
      <w:tr w:rsidR="00265792" w:rsidRPr="00BA7805" w14:paraId="4027B6F2" w14:textId="77777777">
        <w:trPr>
          <w:trHeight w:val="255"/>
        </w:trPr>
        <w:tc>
          <w:tcPr>
            <w:tcW w:w="2835" w:type="dxa"/>
            <w:tcBorders>
              <w:bottom w:val="single" w:sz="4" w:space="0" w:color="A6A6A6" w:themeColor="accent5"/>
            </w:tcBorders>
          </w:tcPr>
          <w:p w14:paraId="73C02FE5" w14:textId="77777777" w:rsidR="00265792" w:rsidRPr="00BA7805" w:rsidRDefault="00265792" w:rsidP="00EB2244">
            <w:pPr>
              <w:pStyle w:val="ARfintablebody"/>
              <w:rPr>
                <w:highlight w:val="green"/>
              </w:rPr>
            </w:pPr>
            <w:r w:rsidRPr="008B0B5A">
              <w:t>Transfers (to)/from assets held for</w:t>
            </w:r>
            <w:r>
              <w:t> </w:t>
            </w:r>
            <w:r w:rsidRPr="008B0B5A">
              <w:t>sale</w:t>
            </w:r>
          </w:p>
        </w:tc>
        <w:tc>
          <w:tcPr>
            <w:tcW w:w="1133" w:type="dxa"/>
            <w:tcBorders>
              <w:bottom w:val="single" w:sz="4" w:space="0" w:color="A6A6A6" w:themeColor="accent5"/>
            </w:tcBorders>
            <w:shd w:val="clear" w:color="auto" w:fill="EEEEEF" w:themeFill="accent4"/>
            <w:noWrap/>
          </w:tcPr>
          <w:p w14:paraId="2EFA6C90" w14:textId="77777777" w:rsidR="00265792" w:rsidRPr="00BA7805" w:rsidRDefault="00265792" w:rsidP="00EB2244">
            <w:pPr>
              <w:pStyle w:val="ARfintablebodyright"/>
              <w:rPr>
                <w:highlight w:val="green"/>
              </w:rPr>
            </w:pPr>
            <w:r>
              <w:t>–</w:t>
            </w:r>
          </w:p>
        </w:tc>
        <w:tc>
          <w:tcPr>
            <w:tcW w:w="1134" w:type="dxa"/>
            <w:tcBorders>
              <w:bottom w:val="single" w:sz="4" w:space="0" w:color="A6A6A6" w:themeColor="accent5"/>
            </w:tcBorders>
            <w:noWrap/>
          </w:tcPr>
          <w:p w14:paraId="58239A44" w14:textId="77777777" w:rsidR="00265792" w:rsidRPr="00BA7805" w:rsidRDefault="00265792" w:rsidP="00EB2244">
            <w:pPr>
              <w:pStyle w:val="ARfintablebodyright"/>
              <w:rPr>
                <w:highlight w:val="green"/>
              </w:rPr>
            </w:pPr>
            <w:r w:rsidRPr="008B0B5A">
              <w:t>(8.2)</w:t>
            </w:r>
          </w:p>
        </w:tc>
        <w:tc>
          <w:tcPr>
            <w:tcW w:w="1134" w:type="dxa"/>
            <w:tcBorders>
              <w:bottom w:val="single" w:sz="4" w:space="0" w:color="A6A6A6" w:themeColor="accent5"/>
            </w:tcBorders>
            <w:shd w:val="clear" w:color="auto" w:fill="EEEEEF" w:themeFill="accent4"/>
            <w:noWrap/>
          </w:tcPr>
          <w:p w14:paraId="68E20741" w14:textId="77777777" w:rsidR="00265792" w:rsidRPr="00BA7805" w:rsidRDefault="00265792" w:rsidP="00EB2244">
            <w:pPr>
              <w:pStyle w:val="ARfintablebodyright"/>
              <w:rPr>
                <w:highlight w:val="green"/>
              </w:rPr>
            </w:pPr>
            <w:r>
              <w:t>–</w:t>
            </w:r>
          </w:p>
        </w:tc>
        <w:tc>
          <w:tcPr>
            <w:tcW w:w="1133" w:type="dxa"/>
            <w:tcBorders>
              <w:bottom w:val="single" w:sz="4" w:space="0" w:color="A6A6A6" w:themeColor="accent5"/>
            </w:tcBorders>
            <w:noWrap/>
          </w:tcPr>
          <w:p w14:paraId="423D3FAD" w14:textId="77777777" w:rsidR="00265792" w:rsidRPr="00BA7805" w:rsidRDefault="00265792" w:rsidP="00EB2244">
            <w:pPr>
              <w:pStyle w:val="ARfintablebodyright"/>
              <w:rPr>
                <w:highlight w:val="green"/>
              </w:rPr>
            </w:pPr>
            <w:r w:rsidRPr="008B0B5A">
              <w:t>0.1</w:t>
            </w:r>
          </w:p>
        </w:tc>
        <w:tc>
          <w:tcPr>
            <w:tcW w:w="1134" w:type="dxa"/>
            <w:tcBorders>
              <w:bottom w:val="single" w:sz="4" w:space="0" w:color="A6A6A6" w:themeColor="accent5"/>
            </w:tcBorders>
            <w:shd w:val="clear" w:color="auto" w:fill="EEEEEF" w:themeFill="accent4"/>
            <w:noWrap/>
          </w:tcPr>
          <w:p w14:paraId="42C09B60" w14:textId="77777777" w:rsidR="00265792" w:rsidRPr="00BA7805" w:rsidRDefault="00265792" w:rsidP="00EB2244">
            <w:pPr>
              <w:pStyle w:val="ARfintablebodyright"/>
              <w:rPr>
                <w:highlight w:val="green"/>
              </w:rPr>
            </w:pPr>
            <w:r>
              <w:t>–</w:t>
            </w:r>
          </w:p>
        </w:tc>
        <w:tc>
          <w:tcPr>
            <w:tcW w:w="1134" w:type="dxa"/>
            <w:tcBorders>
              <w:bottom w:val="single" w:sz="4" w:space="0" w:color="A6A6A6" w:themeColor="accent5"/>
            </w:tcBorders>
            <w:noWrap/>
          </w:tcPr>
          <w:p w14:paraId="72158F4F" w14:textId="77777777" w:rsidR="00265792" w:rsidRPr="00BA7805" w:rsidRDefault="00265792" w:rsidP="00EB2244">
            <w:pPr>
              <w:pStyle w:val="ARfintablebodyright"/>
              <w:rPr>
                <w:highlight w:val="green"/>
              </w:rPr>
            </w:pPr>
            <w:r w:rsidRPr="008B0B5A">
              <w:t>(8.1)</w:t>
            </w:r>
          </w:p>
        </w:tc>
      </w:tr>
      <w:tr w:rsidR="00265792" w:rsidRPr="00BA7805" w14:paraId="060AE5B3" w14:textId="77777777">
        <w:trPr>
          <w:trHeight w:val="255"/>
        </w:trPr>
        <w:tc>
          <w:tcPr>
            <w:tcW w:w="2835" w:type="dxa"/>
            <w:tcBorders>
              <w:top w:val="single" w:sz="4" w:space="0" w:color="A6A6A6" w:themeColor="accent5"/>
              <w:bottom w:val="single" w:sz="4" w:space="0" w:color="000000" w:themeColor="text1"/>
            </w:tcBorders>
          </w:tcPr>
          <w:p w14:paraId="4EA23575" w14:textId="77777777" w:rsidR="00265792" w:rsidRPr="00BA7805" w:rsidRDefault="00265792" w:rsidP="00EB2244">
            <w:pPr>
              <w:pStyle w:val="ARfintablebody"/>
              <w:rPr>
                <w:highlight w:val="green"/>
              </w:rPr>
            </w:pPr>
            <w:r w:rsidRPr="008B0B5A">
              <w:t>Other changes</w:t>
            </w:r>
          </w:p>
        </w:tc>
        <w:tc>
          <w:tcPr>
            <w:tcW w:w="1133" w:type="dxa"/>
            <w:tcBorders>
              <w:top w:val="single" w:sz="4" w:space="0" w:color="A6A6A6" w:themeColor="accent5"/>
              <w:bottom w:val="single" w:sz="4" w:space="0" w:color="000000" w:themeColor="text1"/>
            </w:tcBorders>
            <w:shd w:val="clear" w:color="auto" w:fill="EEEEEF" w:themeFill="accent4"/>
            <w:noWrap/>
          </w:tcPr>
          <w:p w14:paraId="3FE9B7A6" w14:textId="77777777" w:rsidR="00265792" w:rsidRPr="00BA7805" w:rsidRDefault="00265792" w:rsidP="00EB2244">
            <w:pPr>
              <w:pStyle w:val="ARfintablebodyright"/>
              <w:rPr>
                <w:highlight w:val="green"/>
              </w:rPr>
            </w:pPr>
            <w:r w:rsidRPr="008B0B5A">
              <w:t>0.1</w:t>
            </w:r>
          </w:p>
        </w:tc>
        <w:tc>
          <w:tcPr>
            <w:tcW w:w="1134" w:type="dxa"/>
            <w:tcBorders>
              <w:top w:val="single" w:sz="4" w:space="0" w:color="A6A6A6" w:themeColor="accent5"/>
              <w:bottom w:val="single" w:sz="4" w:space="0" w:color="000000" w:themeColor="text1"/>
            </w:tcBorders>
            <w:noWrap/>
          </w:tcPr>
          <w:p w14:paraId="04373599" w14:textId="77777777" w:rsidR="00265792" w:rsidRPr="00BA7805" w:rsidRDefault="00265792" w:rsidP="00EB2244">
            <w:pPr>
              <w:pStyle w:val="ARfintablebodyright"/>
              <w:rPr>
                <w:highlight w:val="green"/>
              </w:rPr>
            </w:pPr>
            <w:r w:rsidRPr="008B0B5A">
              <w:t>24.7</w:t>
            </w:r>
          </w:p>
        </w:tc>
        <w:tc>
          <w:tcPr>
            <w:tcW w:w="1134" w:type="dxa"/>
            <w:tcBorders>
              <w:top w:val="single" w:sz="4" w:space="0" w:color="A6A6A6" w:themeColor="accent5"/>
              <w:bottom w:val="single" w:sz="4" w:space="0" w:color="000000" w:themeColor="text1"/>
            </w:tcBorders>
            <w:shd w:val="clear" w:color="auto" w:fill="EEEEEF" w:themeFill="accent4"/>
            <w:noWrap/>
          </w:tcPr>
          <w:p w14:paraId="550FDD56" w14:textId="77777777" w:rsidR="00265792" w:rsidRPr="00BA7805" w:rsidRDefault="00265792" w:rsidP="00EB2244">
            <w:pPr>
              <w:pStyle w:val="ARfintablebodyright"/>
              <w:rPr>
                <w:highlight w:val="green"/>
              </w:rPr>
            </w:pPr>
            <w:r>
              <w:t>–</w:t>
            </w:r>
          </w:p>
        </w:tc>
        <w:tc>
          <w:tcPr>
            <w:tcW w:w="1133" w:type="dxa"/>
            <w:tcBorders>
              <w:top w:val="single" w:sz="4" w:space="0" w:color="A6A6A6" w:themeColor="accent5"/>
              <w:bottom w:val="single" w:sz="4" w:space="0" w:color="000000" w:themeColor="text1"/>
            </w:tcBorders>
            <w:noWrap/>
          </w:tcPr>
          <w:p w14:paraId="5CAB1344" w14:textId="77777777" w:rsidR="00265792" w:rsidRPr="00BA7805" w:rsidRDefault="00265792" w:rsidP="00EB2244">
            <w:pPr>
              <w:pStyle w:val="ARfintablebodyright"/>
              <w:rPr>
                <w:highlight w:val="green"/>
              </w:rPr>
            </w:pPr>
            <w:r w:rsidRPr="008B0B5A">
              <w:t>0.7</w:t>
            </w:r>
          </w:p>
        </w:tc>
        <w:tc>
          <w:tcPr>
            <w:tcW w:w="1134" w:type="dxa"/>
            <w:tcBorders>
              <w:top w:val="single" w:sz="4" w:space="0" w:color="A6A6A6" w:themeColor="accent5"/>
              <w:bottom w:val="single" w:sz="4" w:space="0" w:color="000000" w:themeColor="text1"/>
            </w:tcBorders>
            <w:shd w:val="clear" w:color="auto" w:fill="EEEEEF" w:themeFill="accent4"/>
            <w:noWrap/>
          </w:tcPr>
          <w:p w14:paraId="2A0F0E8B" w14:textId="77777777" w:rsidR="00265792" w:rsidRPr="00BA7805" w:rsidRDefault="00265792" w:rsidP="00EB2244">
            <w:pPr>
              <w:pStyle w:val="ARfintablebodyright"/>
              <w:rPr>
                <w:highlight w:val="green"/>
              </w:rPr>
            </w:pPr>
            <w:r>
              <w:t>–</w:t>
            </w:r>
          </w:p>
        </w:tc>
        <w:tc>
          <w:tcPr>
            <w:tcW w:w="1134" w:type="dxa"/>
            <w:tcBorders>
              <w:top w:val="single" w:sz="4" w:space="0" w:color="A6A6A6" w:themeColor="accent5"/>
              <w:bottom w:val="single" w:sz="4" w:space="0" w:color="000000" w:themeColor="text1"/>
            </w:tcBorders>
            <w:noWrap/>
          </w:tcPr>
          <w:p w14:paraId="1EADA11F" w14:textId="77777777" w:rsidR="00265792" w:rsidRPr="00BA7805" w:rsidRDefault="00265792" w:rsidP="00EB2244">
            <w:pPr>
              <w:pStyle w:val="ARfintablebodyright"/>
              <w:rPr>
                <w:highlight w:val="green"/>
              </w:rPr>
            </w:pPr>
            <w:r w:rsidRPr="008B0B5A">
              <w:t>25.5</w:t>
            </w:r>
          </w:p>
        </w:tc>
      </w:tr>
      <w:tr w:rsidR="00265792" w:rsidRPr="00BA7805" w14:paraId="6DA03868" w14:textId="77777777">
        <w:trPr>
          <w:trHeight w:val="255"/>
        </w:trPr>
        <w:tc>
          <w:tcPr>
            <w:tcW w:w="2835" w:type="dxa"/>
            <w:tcBorders>
              <w:top w:val="single" w:sz="4" w:space="0" w:color="000000" w:themeColor="text1"/>
              <w:bottom w:val="single" w:sz="4" w:space="0" w:color="000000" w:themeColor="text1"/>
            </w:tcBorders>
          </w:tcPr>
          <w:p w14:paraId="6B1AC9C9" w14:textId="77777777" w:rsidR="00265792" w:rsidRPr="00BA7805" w:rsidRDefault="00265792" w:rsidP="00D9659D">
            <w:pPr>
              <w:pStyle w:val="ARfintablebodybold"/>
              <w:rPr>
                <w:highlight w:val="green"/>
              </w:rPr>
            </w:pPr>
            <w:r w:rsidRPr="008B0B5A">
              <w:t xml:space="preserve">Balance </w:t>
            </w:r>
            <w:proofErr w:type="gramStart"/>
            <w:r w:rsidRPr="008B0B5A">
              <w:t>at</w:t>
            </w:r>
            <w:proofErr w:type="gramEnd"/>
            <w:r w:rsidRPr="008B0B5A">
              <w:t xml:space="preserve"> 1 July 2024</w:t>
            </w:r>
          </w:p>
        </w:tc>
        <w:tc>
          <w:tcPr>
            <w:tcW w:w="1133" w:type="dxa"/>
            <w:tcBorders>
              <w:top w:val="single" w:sz="4" w:space="0" w:color="000000" w:themeColor="text1"/>
              <w:bottom w:val="single" w:sz="4" w:space="0" w:color="000000" w:themeColor="text1"/>
            </w:tcBorders>
            <w:shd w:val="clear" w:color="auto" w:fill="EEEEEF" w:themeFill="accent4"/>
            <w:noWrap/>
          </w:tcPr>
          <w:p w14:paraId="7DBC01FA" w14:textId="77777777" w:rsidR="00265792" w:rsidRPr="00BA7805" w:rsidRDefault="00265792">
            <w:pPr>
              <w:pStyle w:val="ARfintablebodyrightbold"/>
              <w:rPr>
                <w:highlight w:val="green"/>
              </w:rPr>
            </w:pPr>
            <w:r w:rsidRPr="008B0B5A">
              <w:t>24,110.6</w:t>
            </w:r>
          </w:p>
        </w:tc>
        <w:tc>
          <w:tcPr>
            <w:tcW w:w="1134" w:type="dxa"/>
            <w:tcBorders>
              <w:top w:val="single" w:sz="4" w:space="0" w:color="000000" w:themeColor="text1"/>
              <w:bottom w:val="single" w:sz="4" w:space="0" w:color="000000" w:themeColor="text1"/>
            </w:tcBorders>
            <w:noWrap/>
          </w:tcPr>
          <w:p w14:paraId="30A4CBA2" w14:textId="77777777" w:rsidR="00265792" w:rsidRPr="00BA7805" w:rsidRDefault="00265792">
            <w:pPr>
              <w:pStyle w:val="ARfintablebodyrightbold"/>
              <w:rPr>
                <w:highlight w:val="green"/>
              </w:rPr>
            </w:pPr>
            <w:r w:rsidRPr="008B0B5A">
              <w:t>13,158.9</w:t>
            </w:r>
          </w:p>
        </w:tc>
        <w:tc>
          <w:tcPr>
            <w:tcW w:w="1134" w:type="dxa"/>
            <w:tcBorders>
              <w:top w:val="single" w:sz="4" w:space="0" w:color="000000" w:themeColor="text1"/>
              <w:bottom w:val="single" w:sz="4" w:space="0" w:color="000000" w:themeColor="text1"/>
            </w:tcBorders>
            <w:shd w:val="clear" w:color="auto" w:fill="EEEEEF" w:themeFill="accent4"/>
            <w:noWrap/>
          </w:tcPr>
          <w:p w14:paraId="3D24CA69" w14:textId="77777777" w:rsidR="00265792" w:rsidRPr="00BA7805" w:rsidRDefault="00265792">
            <w:pPr>
              <w:pStyle w:val="ARfintablebodyrightbold"/>
              <w:rPr>
                <w:highlight w:val="green"/>
              </w:rPr>
            </w:pPr>
            <w:r w:rsidRPr="008B0B5A">
              <w:t>0.4</w:t>
            </w:r>
          </w:p>
        </w:tc>
        <w:tc>
          <w:tcPr>
            <w:tcW w:w="1133" w:type="dxa"/>
            <w:tcBorders>
              <w:top w:val="single" w:sz="4" w:space="0" w:color="000000" w:themeColor="text1"/>
              <w:bottom w:val="single" w:sz="4" w:space="0" w:color="000000" w:themeColor="text1"/>
            </w:tcBorders>
            <w:noWrap/>
          </w:tcPr>
          <w:p w14:paraId="4775FFB3" w14:textId="77777777" w:rsidR="00265792" w:rsidRPr="00BA7805" w:rsidRDefault="00265792">
            <w:pPr>
              <w:pStyle w:val="ARfintablebodyrightbold"/>
              <w:rPr>
                <w:highlight w:val="green"/>
              </w:rPr>
            </w:pPr>
            <w:r w:rsidRPr="008B0B5A">
              <w:t>39.0</w:t>
            </w:r>
          </w:p>
        </w:tc>
        <w:tc>
          <w:tcPr>
            <w:tcW w:w="1134" w:type="dxa"/>
            <w:tcBorders>
              <w:top w:val="single" w:sz="4" w:space="0" w:color="000000" w:themeColor="text1"/>
              <w:bottom w:val="single" w:sz="4" w:space="0" w:color="000000" w:themeColor="text1"/>
            </w:tcBorders>
            <w:shd w:val="clear" w:color="auto" w:fill="EEEEEF" w:themeFill="accent4"/>
            <w:noWrap/>
          </w:tcPr>
          <w:p w14:paraId="14DF62E7" w14:textId="77777777" w:rsidR="00265792" w:rsidRPr="00BA7805" w:rsidRDefault="00265792">
            <w:pPr>
              <w:pStyle w:val="ARfintablebodyrightbold"/>
              <w:rPr>
                <w:highlight w:val="green"/>
              </w:rPr>
            </w:pPr>
            <w:r w:rsidRPr="008B0B5A">
              <w:t>1,175.5</w:t>
            </w:r>
          </w:p>
        </w:tc>
        <w:tc>
          <w:tcPr>
            <w:tcW w:w="1134" w:type="dxa"/>
            <w:tcBorders>
              <w:top w:val="single" w:sz="4" w:space="0" w:color="000000" w:themeColor="text1"/>
              <w:bottom w:val="single" w:sz="4" w:space="0" w:color="000000" w:themeColor="text1"/>
            </w:tcBorders>
            <w:noWrap/>
          </w:tcPr>
          <w:p w14:paraId="58E1E878" w14:textId="77777777" w:rsidR="00265792" w:rsidRPr="00BA7805" w:rsidRDefault="00265792">
            <w:pPr>
              <w:pStyle w:val="ARfintablebodyrightbold"/>
              <w:rPr>
                <w:highlight w:val="green"/>
              </w:rPr>
            </w:pPr>
            <w:r w:rsidRPr="008B0B5A">
              <w:t>38,484.3</w:t>
            </w:r>
          </w:p>
        </w:tc>
      </w:tr>
      <w:tr w:rsidR="00265792" w:rsidRPr="00BA7805" w14:paraId="5DF976A1" w14:textId="77777777">
        <w:trPr>
          <w:trHeight w:val="255"/>
        </w:trPr>
        <w:tc>
          <w:tcPr>
            <w:tcW w:w="2835" w:type="dxa"/>
            <w:tcBorders>
              <w:top w:val="single" w:sz="4" w:space="0" w:color="000000" w:themeColor="text1"/>
              <w:bottom w:val="single" w:sz="4" w:space="0" w:color="A6A6A6" w:themeColor="accent5"/>
            </w:tcBorders>
          </w:tcPr>
          <w:p w14:paraId="36A0CE71" w14:textId="77777777" w:rsidR="00265792" w:rsidRPr="00BA7805" w:rsidRDefault="00265792" w:rsidP="00EB2244">
            <w:pPr>
              <w:pStyle w:val="ARfintablebody"/>
              <w:rPr>
                <w:highlight w:val="green"/>
              </w:rPr>
            </w:pPr>
            <w:r w:rsidRPr="008B0B5A">
              <w:t>Capital contributed from asset</w:t>
            </w:r>
            <w:r>
              <w:t> </w:t>
            </w:r>
            <w:r w:rsidRPr="008B0B5A">
              <w:t>transfers</w:t>
            </w:r>
          </w:p>
        </w:tc>
        <w:tc>
          <w:tcPr>
            <w:tcW w:w="1133" w:type="dxa"/>
            <w:tcBorders>
              <w:top w:val="single" w:sz="4" w:space="0" w:color="000000" w:themeColor="text1"/>
              <w:bottom w:val="single" w:sz="4" w:space="0" w:color="A6A6A6" w:themeColor="accent5"/>
            </w:tcBorders>
            <w:shd w:val="clear" w:color="auto" w:fill="EEEEEF" w:themeFill="accent4"/>
            <w:noWrap/>
          </w:tcPr>
          <w:p w14:paraId="521C84D0" w14:textId="77777777" w:rsidR="00265792" w:rsidRPr="00BA7805" w:rsidRDefault="00265792" w:rsidP="00EB2244">
            <w:pPr>
              <w:pStyle w:val="ARfintablebodyright"/>
              <w:rPr>
                <w:highlight w:val="green"/>
              </w:rPr>
            </w:pPr>
            <w:r w:rsidRPr="008B0B5A">
              <w:t>(6.2)</w:t>
            </w:r>
          </w:p>
        </w:tc>
        <w:tc>
          <w:tcPr>
            <w:tcW w:w="1134" w:type="dxa"/>
            <w:tcBorders>
              <w:top w:val="single" w:sz="4" w:space="0" w:color="000000" w:themeColor="text1"/>
              <w:bottom w:val="single" w:sz="4" w:space="0" w:color="A6A6A6" w:themeColor="accent5"/>
            </w:tcBorders>
            <w:noWrap/>
          </w:tcPr>
          <w:p w14:paraId="2B200F82" w14:textId="77777777" w:rsidR="00265792" w:rsidRPr="00BA7805" w:rsidRDefault="00265792" w:rsidP="00EB2244">
            <w:pPr>
              <w:pStyle w:val="ARfintablebodyright"/>
              <w:rPr>
                <w:highlight w:val="green"/>
              </w:rPr>
            </w:pPr>
            <w:r w:rsidRPr="008B0B5A">
              <w:t>(0.6)</w:t>
            </w:r>
          </w:p>
        </w:tc>
        <w:tc>
          <w:tcPr>
            <w:tcW w:w="1134" w:type="dxa"/>
            <w:tcBorders>
              <w:top w:val="single" w:sz="4" w:space="0" w:color="000000" w:themeColor="text1"/>
              <w:bottom w:val="single" w:sz="4" w:space="0" w:color="A6A6A6" w:themeColor="accent5"/>
            </w:tcBorders>
            <w:shd w:val="clear" w:color="auto" w:fill="EEEEEF" w:themeFill="accent4"/>
            <w:noWrap/>
          </w:tcPr>
          <w:p w14:paraId="07FFAFF1" w14:textId="77777777" w:rsidR="00265792" w:rsidRPr="00BA7805" w:rsidRDefault="00265792" w:rsidP="00EB2244">
            <w:pPr>
              <w:pStyle w:val="ARfintablebodyright"/>
              <w:rPr>
                <w:highlight w:val="green"/>
              </w:rPr>
            </w:pPr>
            <w:r>
              <w:t>–</w:t>
            </w:r>
          </w:p>
        </w:tc>
        <w:tc>
          <w:tcPr>
            <w:tcW w:w="1133" w:type="dxa"/>
            <w:tcBorders>
              <w:top w:val="single" w:sz="4" w:space="0" w:color="000000" w:themeColor="text1"/>
              <w:bottom w:val="single" w:sz="4" w:space="0" w:color="A6A6A6" w:themeColor="accent5"/>
            </w:tcBorders>
            <w:noWrap/>
          </w:tcPr>
          <w:p w14:paraId="770D6F7D" w14:textId="77777777" w:rsidR="00265792" w:rsidRPr="00BA7805" w:rsidRDefault="00265792" w:rsidP="00EB2244">
            <w:pPr>
              <w:pStyle w:val="ARfintablebodyright"/>
              <w:rPr>
                <w:highlight w:val="green"/>
              </w:rPr>
            </w:pPr>
            <w:r>
              <w:t>–</w:t>
            </w:r>
          </w:p>
        </w:tc>
        <w:tc>
          <w:tcPr>
            <w:tcW w:w="1134" w:type="dxa"/>
            <w:tcBorders>
              <w:top w:val="single" w:sz="4" w:space="0" w:color="000000" w:themeColor="text1"/>
              <w:bottom w:val="single" w:sz="4" w:space="0" w:color="A6A6A6" w:themeColor="accent5"/>
            </w:tcBorders>
            <w:shd w:val="clear" w:color="auto" w:fill="EEEEEF" w:themeFill="accent4"/>
            <w:noWrap/>
          </w:tcPr>
          <w:p w14:paraId="597AFE6D" w14:textId="77777777" w:rsidR="00265792" w:rsidRPr="00BA7805" w:rsidRDefault="00265792" w:rsidP="00EB2244">
            <w:pPr>
              <w:pStyle w:val="ARfintablebodyright"/>
              <w:rPr>
                <w:highlight w:val="green"/>
              </w:rPr>
            </w:pPr>
            <w:r>
              <w:t>–</w:t>
            </w:r>
          </w:p>
        </w:tc>
        <w:tc>
          <w:tcPr>
            <w:tcW w:w="1134" w:type="dxa"/>
            <w:tcBorders>
              <w:top w:val="single" w:sz="4" w:space="0" w:color="000000" w:themeColor="text1"/>
              <w:bottom w:val="single" w:sz="4" w:space="0" w:color="A6A6A6" w:themeColor="accent5"/>
            </w:tcBorders>
            <w:noWrap/>
          </w:tcPr>
          <w:p w14:paraId="5E7F8AB7" w14:textId="77777777" w:rsidR="00265792" w:rsidRPr="00BA7805" w:rsidRDefault="00265792" w:rsidP="00EB2244">
            <w:pPr>
              <w:pStyle w:val="ARfintablebodyright"/>
              <w:rPr>
                <w:highlight w:val="green"/>
              </w:rPr>
            </w:pPr>
            <w:r w:rsidRPr="008B0B5A">
              <w:t>(6.8)</w:t>
            </w:r>
          </w:p>
        </w:tc>
      </w:tr>
      <w:tr w:rsidR="00265792" w:rsidRPr="00BA7805" w14:paraId="5E5CDABF" w14:textId="77777777">
        <w:trPr>
          <w:trHeight w:val="255"/>
        </w:trPr>
        <w:tc>
          <w:tcPr>
            <w:tcW w:w="2835" w:type="dxa"/>
            <w:tcBorders>
              <w:top w:val="single" w:sz="4" w:space="0" w:color="A6A6A6" w:themeColor="accent5"/>
            </w:tcBorders>
          </w:tcPr>
          <w:p w14:paraId="4648EAC2" w14:textId="77777777" w:rsidR="00265792" w:rsidRPr="00BA7805" w:rsidRDefault="00265792" w:rsidP="00EB2244">
            <w:pPr>
              <w:pStyle w:val="ARfintablebody"/>
              <w:rPr>
                <w:highlight w:val="green"/>
              </w:rPr>
            </w:pPr>
            <w:r w:rsidRPr="008B0B5A">
              <w:t>Additions</w:t>
            </w:r>
          </w:p>
        </w:tc>
        <w:tc>
          <w:tcPr>
            <w:tcW w:w="1133" w:type="dxa"/>
            <w:tcBorders>
              <w:top w:val="single" w:sz="4" w:space="0" w:color="A6A6A6" w:themeColor="accent5"/>
            </w:tcBorders>
            <w:shd w:val="clear" w:color="auto" w:fill="EEEEEF" w:themeFill="accent4"/>
            <w:noWrap/>
          </w:tcPr>
          <w:p w14:paraId="7663005F" w14:textId="77777777" w:rsidR="00265792" w:rsidRPr="00BA7805" w:rsidRDefault="00265792" w:rsidP="00EB2244">
            <w:pPr>
              <w:pStyle w:val="ARfintablebodyright"/>
              <w:rPr>
                <w:highlight w:val="green"/>
              </w:rPr>
            </w:pPr>
            <w:r>
              <w:t>–</w:t>
            </w:r>
          </w:p>
        </w:tc>
        <w:tc>
          <w:tcPr>
            <w:tcW w:w="1134" w:type="dxa"/>
            <w:tcBorders>
              <w:top w:val="single" w:sz="4" w:space="0" w:color="A6A6A6" w:themeColor="accent5"/>
            </w:tcBorders>
            <w:noWrap/>
          </w:tcPr>
          <w:p w14:paraId="4F122BEE" w14:textId="77777777" w:rsidR="00265792" w:rsidRPr="00BA7805" w:rsidRDefault="00265792" w:rsidP="00EB2244">
            <w:pPr>
              <w:pStyle w:val="ARfintablebodyright"/>
              <w:rPr>
                <w:highlight w:val="green"/>
              </w:rPr>
            </w:pPr>
            <w:r w:rsidRPr="008B0B5A">
              <w:t>4.9</w:t>
            </w:r>
          </w:p>
        </w:tc>
        <w:tc>
          <w:tcPr>
            <w:tcW w:w="1134" w:type="dxa"/>
            <w:tcBorders>
              <w:top w:val="single" w:sz="4" w:space="0" w:color="A6A6A6" w:themeColor="accent5"/>
            </w:tcBorders>
            <w:shd w:val="clear" w:color="auto" w:fill="EEEEEF" w:themeFill="accent4"/>
            <w:noWrap/>
          </w:tcPr>
          <w:p w14:paraId="072C2733" w14:textId="77777777" w:rsidR="00265792" w:rsidRPr="00BA7805" w:rsidRDefault="00265792" w:rsidP="00EB2244">
            <w:pPr>
              <w:pStyle w:val="ARfintablebodyright"/>
              <w:rPr>
                <w:highlight w:val="green"/>
              </w:rPr>
            </w:pPr>
            <w:r>
              <w:t>–</w:t>
            </w:r>
          </w:p>
        </w:tc>
        <w:tc>
          <w:tcPr>
            <w:tcW w:w="1133" w:type="dxa"/>
            <w:tcBorders>
              <w:top w:val="single" w:sz="4" w:space="0" w:color="A6A6A6" w:themeColor="accent5"/>
            </w:tcBorders>
            <w:noWrap/>
          </w:tcPr>
          <w:p w14:paraId="43E88BEB" w14:textId="77777777" w:rsidR="00265792" w:rsidRPr="00BA7805" w:rsidRDefault="00265792" w:rsidP="00EB2244">
            <w:pPr>
              <w:pStyle w:val="ARfintablebodyright"/>
              <w:rPr>
                <w:highlight w:val="green"/>
              </w:rPr>
            </w:pPr>
            <w:r w:rsidRPr="008B0B5A">
              <w:t>16.3</w:t>
            </w:r>
          </w:p>
        </w:tc>
        <w:tc>
          <w:tcPr>
            <w:tcW w:w="1134" w:type="dxa"/>
            <w:tcBorders>
              <w:top w:val="single" w:sz="4" w:space="0" w:color="A6A6A6" w:themeColor="accent5"/>
            </w:tcBorders>
            <w:shd w:val="clear" w:color="auto" w:fill="EEEEEF" w:themeFill="accent4"/>
            <w:noWrap/>
          </w:tcPr>
          <w:p w14:paraId="4B4C9FA5" w14:textId="77777777" w:rsidR="00265792" w:rsidRPr="00BA7805" w:rsidRDefault="00265792" w:rsidP="00EB2244">
            <w:pPr>
              <w:pStyle w:val="ARfintablebodyright"/>
              <w:rPr>
                <w:highlight w:val="green"/>
              </w:rPr>
            </w:pPr>
            <w:r w:rsidRPr="008B0B5A">
              <w:t>1,070.4</w:t>
            </w:r>
          </w:p>
        </w:tc>
        <w:tc>
          <w:tcPr>
            <w:tcW w:w="1134" w:type="dxa"/>
            <w:tcBorders>
              <w:top w:val="single" w:sz="4" w:space="0" w:color="A6A6A6" w:themeColor="accent5"/>
            </w:tcBorders>
            <w:noWrap/>
          </w:tcPr>
          <w:p w14:paraId="55955EA6" w14:textId="77777777" w:rsidR="00265792" w:rsidRPr="00BA7805" w:rsidRDefault="00265792" w:rsidP="00EB2244">
            <w:pPr>
              <w:pStyle w:val="ARfintablebodyright"/>
              <w:rPr>
                <w:highlight w:val="green"/>
              </w:rPr>
            </w:pPr>
            <w:r w:rsidRPr="008B0B5A">
              <w:t>1,091.7</w:t>
            </w:r>
          </w:p>
        </w:tc>
      </w:tr>
      <w:tr w:rsidR="00265792" w:rsidRPr="00BA7805" w14:paraId="314F5240" w14:textId="77777777">
        <w:trPr>
          <w:trHeight w:val="255"/>
        </w:trPr>
        <w:tc>
          <w:tcPr>
            <w:tcW w:w="2835" w:type="dxa"/>
          </w:tcPr>
          <w:p w14:paraId="2B40C66D" w14:textId="77777777" w:rsidR="00265792" w:rsidRPr="00BA7805" w:rsidRDefault="00265792" w:rsidP="00EB2244">
            <w:pPr>
              <w:pStyle w:val="ARfintablebody"/>
              <w:rPr>
                <w:highlight w:val="green"/>
              </w:rPr>
            </w:pPr>
            <w:r w:rsidRPr="008B0B5A">
              <w:t>Disposals</w:t>
            </w:r>
          </w:p>
        </w:tc>
        <w:tc>
          <w:tcPr>
            <w:tcW w:w="1133" w:type="dxa"/>
            <w:shd w:val="clear" w:color="auto" w:fill="EEEEEF" w:themeFill="accent4"/>
            <w:noWrap/>
          </w:tcPr>
          <w:p w14:paraId="6F0912CB" w14:textId="77777777" w:rsidR="00265792" w:rsidRPr="00BA7805" w:rsidRDefault="00265792" w:rsidP="00EB2244">
            <w:pPr>
              <w:pStyle w:val="ARfintablebodyright"/>
              <w:rPr>
                <w:highlight w:val="green"/>
              </w:rPr>
            </w:pPr>
            <w:r w:rsidRPr="008B0B5A">
              <w:t>(56.1)</w:t>
            </w:r>
          </w:p>
        </w:tc>
        <w:tc>
          <w:tcPr>
            <w:tcW w:w="1134" w:type="dxa"/>
            <w:noWrap/>
          </w:tcPr>
          <w:p w14:paraId="4A22F5B9" w14:textId="77777777" w:rsidR="00265792" w:rsidRPr="00BA7805" w:rsidRDefault="00265792" w:rsidP="00EB2244">
            <w:pPr>
              <w:pStyle w:val="ARfintablebodyright"/>
              <w:rPr>
                <w:highlight w:val="green"/>
              </w:rPr>
            </w:pPr>
            <w:r w:rsidRPr="008B0B5A">
              <w:t>(37.6)</w:t>
            </w:r>
          </w:p>
        </w:tc>
        <w:tc>
          <w:tcPr>
            <w:tcW w:w="1134" w:type="dxa"/>
            <w:shd w:val="clear" w:color="auto" w:fill="EEEEEF" w:themeFill="accent4"/>
            <w:noWrap/>
          </w:tcPr>
          <w:p w14:paraId="3A399D56" w14:textId="77777777" w:rsidR="00265792" w:rsidRPr="00BA7805" w:rsidRDefault="00265792" w:rsidP="00EB2244">
            <w:pPr>
              <w:pStyle w:val="ARfintablebodyright"/>
              <w:rPr>
                <w:highlight w:val="green"/>
              </w:rPr>
            </w:pPr>
            <w:r>
              <w:t>–</w:t>
            </w:r>
          </w:p>
        </w:tc>
        <w:tc>
          <w:tcPr>
            <w:tcW w:w="1133" w:type="dxa"/>
            <w:noWrap/>
          </w:tcPr>
          <w:p w14:paraId="4F55D1FF" w14:textId="77777777" w:rsidR="00265792" w:rsidRPr="00BA7805" w:rsidRDefault="00265792" w:rsidP="00EB2244">
            <w:pPr>
              <w:pStyle w:val="ARfintablebodyright"/>
              <w:rPr>
                <w:highlight w:val="green"/>
              </w:rPr>
            </w:pPr>
            <w:r w:rsidRPr="008B0B5A">
              <w:t>(7.1)</w:t>
            </w:r>
          </w:p>
        </w:tc>
        <w:tc>
          <w:tcPr>
            <w:tcW w:w="1134" w:type="dxa"/>
            <w:shd w:val="clear" w:color="auto" w:fill="EEEEEF" w:themeFill="accent4"/>
            <w:noWrap/>
          </w:tcPr>
          <w:p w14:paraId="2A65F0BD" w14:textId="77777777" w:rsidR="00265792" w:rsidRPr="00BA7805" w:rsidRDefault="00265792" w:rsidP="00EB2244">
            <w:pPr>
              <w:pStyle w:val="ARfintablebodyright"/>
              <w:rPr>
                <w:highlight w:val="green"/>
              </w:rPr>
            </w:pPr>
            <w:r>
              <w:t>–</w:t>
            </w:r>
          </w:p>
        </w:tc>
        <w:tc>
          <w:tcPr>
            <w:tcW w:w="1134" w:type="dxa"/>
            <w:noWrap/>
          </w:tcPr>
          <w:p w14:paraId="23D158FB" w14:textId="77777777" w:rsidR="00265792" w:rsidRPr="00BA7805" w:rsidRDefault="00265792" w:rsidP="00EB2244">
            <w:pPr>
              <w:pStyle w:val="ARfintablebodyright"/>
              <w:rPr>
                <w:highlight w:val="green"/>
              </w:rPr>
            </w:pPr>
            <w:r w:rsidRPr="008B0B5A">
              <w:t>(100.8)</w:t>
            </w:r>
          </w:p>
        </w:tc>
      </w:tr>
      <w:tr w:rsidR="00265792" w:rsidRPr="00BA7805" w14:paraId="3E69F4D5" w14:textId="77777777">
        <w:trPr>
          <w:trHeight w:val="255"/>
        </w:trPr>
        <w:tc>
          <w:tcPr>
            <w:tcW w:w="2835" w:type="dxa"/>
          </w:tcPr>
          <w:p w14:paraId="4B133C83" w14:textId="77777777" w:rsidR="00265792" w:rsidRPr="00BA7805" w:rsidRDefault="00265792" w:rsidP="00EB2244">
            <w:pPr>
              <w:pStyle w:val="ARfintablebody"/>
              <w:rPr>
                <w:highlight w:val="green"/>
              </w:rPr>
            </w:pPr>
            <w:r w:rsidRPr="008B0B5A">
              <w:t>Net revaluation increments/(decrements)</w:t>
            </w:r>
          </w:p>
        </w:tc>
        <w:tc>
          <w:tcPr>
            <w:tcW w:w="1133" w:type="dxa"/>
            <w:shd w:val="clear" w:color="auto" w:fill="EEEEEF" w:themeFill="accent4"/>
            <w:noWrap/>
          </w:tcPr>
          <w:p w14:paraId="3C055092" w14:textId="77777777" w:rsidR="00265792" w:rsidRPr="00BA7805" w:rsidRDefault="00265792" w:rsidP="00EB2244">
            <w:pPr>
              <w:pStyle w:val="ARfintablebodyright"/>
              <w:rPr>
                <w:highlight w:val="green"/>
              </w:rPr>
            </w:pPr>
            <w:r w:rsidRPr="008B0B5A">
              <w:t>0.2</w:t>
            </w:r>
          </w:p>
        </w:tc>
        <w:tc>
          <w:tcPr>
            <w:tcW w:w="1134" w:type="dxa"/>
            <w:noWrap/>
          </w:tcPr>
          <w:p w14:paraId="32F0C8DB" w14:textId="77777777" w:rsidR="00265792" w:rsidRPr="00BA7805" w:rsidRDefault="00265792" w:rsidP="00EB2244">
            <w:pPr>
              <w:pStyle w:val="ARfintablebodyright"/>
              <w:rPr>
                <w:highlight w:val="green"/>
              </w:rPr>
            </w:pPr>
            <w:r w:rsidRPr="008B0B5A">
              <w:t>(20.2)</w:t>
            </w:r>
          </w:p>
        </w:tc>
        <w:tc>
          <w:tcPr>
            <w:tcW w:w="1134" w:type="dxa"/>
            <w:shd w:val="clear" w:color="auto" w:fill="EEEEEF" w:themeFill="accent4"/>
            <w:noWrap/>
          </w:tcPr>
          <w:p w14:paraId="5A564EE7" w14:textId="77777777" w:rsidR="00265792" w:rsidRPr="00BA7805" w:rsidRDefault="00265792" w:rsidP="00EB2244">
            <w:pPr>
              <w:pStyle w:val="ARfintablebodyright"/>
              <w:rPr>
                <w:highlight w:val="green"/>
              </w:rPr>
            </w:pPr>
            <w:r>
              <w:t>–</w:t>
            </w:r>
          </w:p>
        </w:tc>
        <w:tc>
          <w:tcPr>
            <w:tcW w:w="1133" w:type="dxa"/>
            <w:noWrap/>
          </w:tcPr>
          <w:p w14:paraId="3C1DC97D" w14:textId="77777777" w:rsidR="00265792" w:rsidRPr="00BA7805" w:rsidRDefault="00265792" w:rsidP="00EB2244">
            <w:pPr>
              <w:pStyle w:val="ARfintablebodyright"/>
              <w:rPr>
                <w:highlight w:val="green"/>
              </w:rPr>
            </w:pPr>
            <w:r>
              <w:t>–</w:t>
            </w:r>
          </w:p>
        </w:tc>
        <w:tc>
          <w:tcPr>
            <w:tcW w:w="1134" w:type="dxa"/>
            <w:shd w:val="clear" w:color="auto" w:fill="EEEEEF" w:themeFill="accent4"/>
            <w:noWrap/>
          </w:tcPr>
          <w:p w14:paraId="5DC78485" w14:textId="77777777" w:rsidR="00265792" w:rsidRPr="00BA7805" w:rsidRDefault="00265792" w:rsidP="00EB2244">
            <w:pPr>
              <w:pStyle w:val="ARfintablebodyright"/>
              <w:rPr>
                <w:highlight w:val="green"/>
              </w:rPr>
            </w:pPr>
            <w:r w:rsidRPr="008B0B5A">
              <w:t>18.2</w:t>
            </w:r>
          </w:p>
        </w:tc>
        <w:tc>
          <w:tcPr>
            <w:tcW w:w="1134" w:type="dxa"/>
            <w:noWrap/>
          </w:tcPr>
          <w:p w14:paraId="4A33C06D" w14:textId="77777777" w:rsidR="00265792" w:rsidRPr="00BA7805" w:rsidRDefault="00265792" w:rsidP="00EB2244">
            <w:pPr>
              <w:pStyle w:val="ARfintablebodyright"/>
              <w:rPr>
                <w:highlight w:val="green"/>
              </w:rPr>
            </w:pPr>
            <w:r w:rsidRPr="008B0B5A">
              <w:t>(1.8)</w:t>
            </w:r>
          </w:p>
        </w:tc>
      </w:tr>
      <w:tr w:rsidR="00265792" w:rsidRPr="00BA7805" w14:paraId="2BA3C197" w14:textId="77777777">
        <w:trPr>
          <w:trHeight w:val="255"/>
        </w:trPr>
        <w:tc>
          <w:tcPr>
            <w:tcW w:w="2835" w:type="dxa"/>
          </w:tcPr>
          <w:p w14:paraId="01E2640D" w14:textId="77777777" w:rsidR="00265792" w:rsidRPr="00BA7805" w:rsidRDefault="00265792" w:rsidP="00EB2244">
            <w:pPr>
              <w:pStyle w:val="ARfintablebody"/>
              <w:rPr>
                <w:highlight w:val="green"/>
              </w:rPr>
            </w:pPr>
            <w:r w:rsidRPr="008B0B5A">
              <w:t>Depreciation and amortisation</w:t>
            </w:r>
          </w:p>
        </w:tc>
        <w:tc>
          <w:tcPr>
            <w:tcW w:w="1133" w:type="dxa"/>
            <w:shd w:val="clear" w:color="auto" w:fill="EEEEEF" w:themeFill="accent4"/>
            <w:noWrap/>
          </w:tcPr>
          <w:p w14:paraId="652503F0" w14:textId="77777777" w:rsidR="00265792" w:rsidRPr="00BA7805" w:rsidRDefault="00265792" w:rsidP="00EB2244">
            <w:pPr>
              <w:pStyle w:val="ARfintablebodyright"/>
              <w:rPr>
                <w:highlight w:val="green"/>
              </w:rPr>
            </w:pPr>
            <w:r w:rsidRPr="008B0B5A">
              <w:t>(0.9)</w:t>
            </w:r>
          </w:p>
        </w:tc>
        <w:tc>
          <w:tcPr>
            <w:tcW w:w="1134" w:type="dxa"/>
            <w:noWrap/>
          </w:tcPr>
          <w:p w14:paraId="5814F763" w14:textId="77777777" w:rsidR="00265792" w:rsidRPr="00BA7805" w:rsidRDefault="00265792" w:rsidP="00EB2244">
            <w:pPr>
              <w:pStyle w:val="ARfintablebodyright"/>
              <w:rPr>
                <w:highlight w:val="green"/>
              </w:rPr>
            </w:pPr>
            <w:r w:rsidRPr="008B0B5A">
              <w:t>(505.7)</w:t>
            </w:r>
          </w:p>
        </w:tc>
        <w:tc>
          <w:tcPr>
            <w:tcW w:w="1134" w:type="dxa"/>
            <w:shd w:val="clear" w:color="auto" w:fill="EEEEEF" w:themeFill="accent4"/>
            <w:noWrap/>
          </w:tcPr>
          <w:p w14:paraId="376382B5" w14:textId="77777777" w:rsidR="00265792" w:rsidRPr="00BA7805" w:rsidRDefault="00265792" w:rsidP="00EB2244">
            <w:pPr>
              <w:pStyle w:val="ARfintablebodyright"/>
              <w:rPr>
                <w:highlight w:val="green"/>
              </w:rPr>
            </w:pPr>
            <w:r w:rsidRPr="008B0B5A">
              <w:t>(0.1)</w:t>
            </w:r>
          </w:p>
        </w:tc>
        <w:tc>
          <w:tcPr>
            <w:tcW w:w="1133" w:type="dxa"/>
            <w:noWrap/>
          </w:tcPr>
          <w:p w14:paraId="7F9A2940" w14:textId="77777777" w:rsidR="00265792" w:rsidRPr="00BA7805" w:rsidRDefault="00265792" w:rsidP="00EB2244">
            <w:pPr>
              <w:pStyle w:val="ARfintablebodyright"/>
              <w:rPr>
                <w:highlight w:val="green"/>
              </w:rPr>
            </w:pPr>
            <w:r w:rsidRPr="008B0B5A">
              <w:t>(7.5)</w:t>
            </w:r>
          </w:p>
        </w:tc>
        <w:tc>
          <w:tcPr>
            <w:tcW w:w="1134" w:type="dxa"/>
            <w:shd w:val="clear" w:color="auto" w:fill="EEEEEF" w:themeFill="accent4"/>
            <w:noWrap/>
          </w:tcPr>
          <w:p w14:paraId="582D71BD" w14:textId="77777777" w:rsidR="00265792" w:rsidRPr="00BA7805" w:rsidRDefault="00265792" w:rsidP="00EB2244">
            <w:pPr>
              <w:pStyle w:val="ARfintablebodyright"/>
              <w:rPr>
                <w:highlight w:val="green"/>
              </w:rPr>
            </w:pPr>
            <w:r>
              <w:t>–</w:t>
            </w:r>
          </w:p>
        </w:tc>
        <w:tc>
          <w:tcPr>
            <w:tcW w:w="1134" w:type="dxa"/>
            <w:noWrap/>
          </w:tcPr>
          <w:p w14:paraId="6271324E" w14:textId="77777777" w:rsidR="00265792" w:rsidRPr="00BA7805" w:rsidRDefault="00265792" w:rsidP="00EB2244">
            <w:pPr>
              <w:pStyle w:val="ARfintablebodyright"/>
              <w:rPr>
                <w:highlight w:val="green"/>
              </w:rPr>
            </w:pPr>
            <w:r w:rsidRPr="008B0B5A">
              <w:t>(514.3)</w:t>
            </w:r>
          </w:p>
        </w:tc>
      </w:tr>
      <w:tr w:rsidR="00265792" w:rsidRPr="00BA7805" w14:paraId="3ED8A8C4" w14:textId="77777777">
        <w:trPr>
          <w:trHeight w:val="255"/>
        </w:trPr>
        <w:tc>
          <w:tcPr>
            <w:tcW w:w="2835" w:type="dxa"/>
          </w:tcPr>
          <w:p w14:paraId="44467CDF" w14:textId="77777777" w:rsidR="00265792" w:rsidRPr="00BA7805" w:rsidRDefault="00265792" w:rsidP="00EB2244">
            <w:pPr>
              <w:pStyle w:val="ARfintablebody"/>
              <w:rPr>
                <w:highlight w:val="green"/>
              </w:rPr>
            </w:pPr>
            <w:r w:rsidRPr="008B0B5A">
              <w:t>Fair value of assets received/(provided) free of charge or for nominal consideration</w:t>
            </w:r>
          </w:p>
        </w:tc>
        <w:tc>
          <w:tcPr>
            <w:tcW w:w="1133" w:type="dxa"/>
            <w:shd w:val="clear" w:color="auto" w:fill="EEEEEF" w:themeFill="accent4"/>
            <w:noWrap/>
          </w:tcPr>
          <w:p w14:paraId="5F3147A2" w14:textId="77777777" w:rsidR="00265792" w:rsidRPr="00BA7805" w:rsidRDefault="00265792" w:rsidP="00EB2244">
            <w:pPr>
              <w:pStyle w:val="ARfintablebodyright"/>
              <w:rPr>
                <w:highlight w:val="green"/>
              </w:rPr>
            </w:pPr>
            <w:r w:rsidRPr="008B0B5A">
              <w:t>(2.6)</w:t>
            </w:r>
          </w:p>
        </w:tc>
        <w:tc>
          <w:tcPr>
            <w:tcW w:w="1134" w:type="dxa"/>
            <w:noWrap/>
          </w:tcPr>
          <w:p w14:paraId="0095FCC7" w14:textId="77777777" w:rsidR="00265792" w:rsidRPr="00BA7805" w:rsidRDefault="00265792" w:rsidP="00EB2244">
            <w:pPr>
              <w:pStyle w:val="ARfintablebodyright"/>
              <w:rPr>
                <w:highlight w:val="green"/>
              </w:rPr>
            </w:pPr>
            <w:r>
              <w:t>–</w:t>
            </w:r>
          </w:p>
        </w:tc>
        <w:tc>
          <w:tcPr>
            <w:tcW w:w="1134" w:type="dxa"/>
            <w:shd w:val="clear" w:color="auto" w:fill="EEEEEF" w:themeFill="accent4"/>
            <w:noWrap/>
          </w:tcPr>
          <w:p w14:paraId="150F197D" w14:textId="77777777" w:rsidR="00265792" w:rsidRPr="00BA7805" w:rsidRDefault="00265792" w:rsidP="00EB2244">
            <w:pPr>
              <w:pStyle w:val="ARfintablebodyright"/>
              <w:rPr>
                <w:highlight w:val="green"/>
              </w:rPr>
            </w:pPr>
            <w:r>
              <w:t>–</w:t>
            </w:r>
          </w:p>
        </w:tc>
        <w:tc>
          <w:tcPr>
            <w:tcW w:w="1133" w:type="dxa"/>
            <w:noWrap/>
          </w:tcPr>
          <w:p w14:paraId="7F5196EA" w14:textId="77777777" w:rsidR="00265792" w:rsidRPr="00BA7805" w:rsidRDefault="00265792" w:rsidP="00EB2244">
            <w:pPr>
              <w:pStyle w:val="ARfintablebodyright"/>
              <w:rPr>
                <w:highlight w:val="green"/>
              </w:rPr>
            </w:pPr>
            <w:r>
              <w:t>–</w:t>
            </w:r>
          </w:p>
        </w:tc>
        <w:tc>
          <w:tcPr>
            <w:tcW w:w="1134" w:type="dxa"/>
            <w:shd w:val="clear" w:color="auto" w:fill="EEEEEF" w:themeFill="accent4"/>
            <w:noWrap/>
          </w:tcPr>
          <w:p w14:paraId="781797C9" w14:textId="77777777" w:rsidR="00265792" w:rsidRPr="00BA7805" w:rsidRDefault="00265792" w:rsidP="00EB2244">
            <w:pPr>
              <w:pStyle w:val="ARfintablebodyright"/>
              <w:rPr>
                <w:highlight w:val="green"/>
              </w:rPr>
            </w:pPr>
            <w:r>
              <w:t>–</w:t>
            </w:r>
          </w:p>
        </w:tc>
        <w:tc>
          <w:tcPr>
            <w:tcW w:w="1134" w:type="dxa"/>
            <w:noWrap/>
          </w:tcPr>
          <w:p w14:paraId="3C26FD85" w14:textId="77777777" w:rsidR="00265792" w:rsidRPr="00BA7805" w:rsidRDefault="00265792" w:rsidP="00EB2244">
            <w:pPr>
              <w:pStyle w:val="ARfintablebodyright"/>
              <w:rPr>
                <w:highlight w:val="green"/>
              </w:rPr>
            </w:pPr>
            <w:r w:rsidRPr="008B0B5A">
              <w:t>(2.6)</w:t>
            </w:r>
          </w:p>
        </w:tc>
      </w:tr>
      <w:tr w:rsidR="00265792" w:rsidRPr="00BA7805" w14:paraId="100F653A" w14:textId="77777777">
        <w:tc>
          <w:tcPr>
            <w:tcW w:w="2835" w:type="dxa"/>
          </w:tcPr>
          <w:p w14:paraId="18CF2BB1" w14:textId="77777777" w:rsidR="00265792" w:rsidRPr="00BA7805" w:rsidRDefault="00265792" w:rsidP="00EB2244">
            <w:pPr>
              <w:pStyle w:val="ARfintablebody"/>
              <w:rPr>
                <w:highlight w:val="green"/>
              </w:rPr>
            </w:pPr>
            <w:r w:rsidRPr="008B0B5A">
              <w:t>Transfers in/(out) of assets under construction</w:t>
            </w:r>
          </w:p>
        </w:tc>
        <w:tc>
          <w:tcPr>
            <w:tcW w:w="1133" w:type="dxa"/>
            <w:shd w:val="clear" w:color="auto" w:fill="EEEEEF" w:themeFill="accent4"/>
            <w:noWrap/>
          </w:tcPr>
          <w:p w14:paraId="5ECBD986" w14:textId="77777777" w:rsidR="00265792" w:rsidRPr="00BA7805" w:rsidRDefault="00265792" w:rsidP="00EB2244">
            <w:pPr>
              <w:pStyle w:val="ARfintablebodyright"/>
              <w:rPr>
                <w:highlight w:val="green"/>
              </w:rPr>
            </w:pPr>
            <w:r w:rsidRPr="008B0B5A">
              <w:t>187.6</w:t>
            </w:r>
          </w:p>
        </w:tc>
        <w:tc>
          <w:tcPr>
            <w:tcW w:w="1134" w:type="dxa"/>
            <w:noWrap/>
          </w:tcPr>
          <w:p w14:paraId="4D64DAAC" w14:textId="77777777" w:rsidR="00265792" w:rsidRPr="00BA7805" w:rsidRDefault="00265792" w:rsidP="00EB2244">
            <w:pPr>
              <w:pStyle w:val="ARfintablebodyright"/>
              <w:rPr>
                <w:highlight w:val="green"/>
              </w:rPr>
            </w:pPr>
            <w:r w:rsidRPr="008B0B5A">
              <w:t>621.1</w:t>
            </w:r>
          </w:p>
        </w:tc>
        <w:tc>
          <w:tcPr>
            <w:tcW w:w="1134" w:type="dxa"/>
            <w:shd w:val="clear" w:color="auto" w:fill="EEEEEF" w:themeFill="accent4"/>
            <w:noWrap/>
          </w:tcPr>
          <w:p w14:paraId="3125CF07" w14:textId="77777777" w:rsidR="00265792" w:rsidRPr="00BA7805" w:rsidRDefault="00265792" w:rsidP="00EB2244">
            <w:pPr>
              <w:pStyle w:val="ARfintablebodyright"/>
              <w:rPr>
                <w:highlight w:val="green"/>
              </w:rPr>
            </w:pPr>
            <w:r>
              <w:t>–</w:t>
            </w:r>
          </w:p>
        </w:tc>
        <w:tc>
          <w:tcPr>
            <w:tcW w:w="1133" w:type="dxa"/>
            <w:noWrap/>
          </w:tcPr>
          <w:p w14:paraId="12841185" w14:textId="77777777" w:rsidR="00265792" w:rsidRPr="00BA7805" w:rsidRDefault="00265792" w:rsidP="00EB2244">
            <w:pPr>
              <w:pStyle w:val="ARfintablebodyright"/>
              <w:rPr>
                <w:highlight w:val="green"/>
              </w:rPr>
            </w:pPr>
            <w:r>
              <w:t>–</w:t>
            </w:r>
          </w:p>
        </w:tc>
        <w:tc>
          <w:tcPr>
            <w:tcW w:w="1134" w:type="dxa"/>
            <w:shd w:val="clear" w:color="auto" w:fill="EEEEEF" w:themeFill="accent4"/>
            <w:noWrap/>
          </w:tcPr>
          <w:p w14:paraId="6FA0C3DA" w14:textId="77777777" w:rsidR="00265792" w:rsidRPr="00BA7805" w:rsidRDefault="00265792" w:rsidP="00EB2244">
            <w:pPr>
              <w:pStyle w:val="ARfintablebodyright"/>
              <w:rPr>
                <w:highlight w:val="green"/>
              </w:rPr>
            </w:pPr>
            <w:r w:rsidRPr="008B0B5A">
              <w:t>(808.6)</w:t>
            </w:r>
          </w:p>
        </w:tc>
        <w:tc>
          <w:tcPr>
            <w:tcW w:w="1134" w:type="dxa"/>
            <w:noWrap/>
          </w:tcPr>
          <w:p w14:paraId="0586664E" w14:textId="77777777" w:rsidR="00265792" w:rsidRPr="00BA7805" w:rsidRDefault="00265792" w:rsidP="00EB2244">
            <w:pPr>
              <w:pStyle w:val="ARfintablebodyright"/>
              <w:rPr>
                <w:highlight w:val="green"/>
              </w:rPr>
            </w:pPr>
            <w:r>
              <w:t>–</w:t>
            </w:r>
          </w:p>
        </w:tc>
      </w:tr>
      <w:tr w:rsidR="00265792" w:rsidRPr="00BA7805" w14:paraId="54220A33" w14:textId="77777777">
        <w:tc>
          <w:tcPr>
            <w:tcW w:w="2835" w:type="dxa"/>
          </w:tcPr>
          <w:p w14:paraId="39AB1FF6" w14:textId="77777777" w:rsidR="00265792" w:rsidRPr="00BA7805" w:rsidRDefault="00265792" w:rsidP="00EB2244">
            <w:pPr>
              <w:pStyle w:val="ARfintablebody"/>
              <w:rPr>
                <w:highlight w:val="green"/>
              </w:rPr>
            </w:pPr>
            <w:r w:rsidRPr="008B0B5A">
              <w:t>Transfers (to)/from assets held for</w:t>
            </w:r>
            <w:r>
              <w:t> </w:t>
            </w:r>
            <w:r w:rsidRPr="008B0B5A">
              <w:t>sale</w:t>
            </w:r>
          </w:p>
        </w:tc>
        <w:tc>
          <w:tcPr>
            <w:tcW w:w="1133" w:type="dxa"/>
            <w:shd w:val="clear" w:color="auto" w:fill="EEEEEF" w:themeFill="accent4"/>
            <w:noWrap/>
          </w:tcPr>
          <w:p w14:paraId="74F5FB8D" w14:textId="77777777" w:rsidR="00265792" w:rsidRPr="00BA7805" w:rsidRDefault="00265792" w:rsidP="00EB2244">
            <w:pPr>
              <w:pStyle w:val="ARfintablebodyright"/>
              <w:rPr>
                <w:highlight w:val="green"/>
              </w:rPr>
            </w:pPr>
            <w:r>
              <w:t>–</w:t>
            </w:r>
          </w:p>
        </w:tc>
        <w:tc>
          <w:tcPr>
            <w:tcW w:w="1134" w:type="dxa"/>
            <w:noWrap/>
          </w:tcPr>
          <w:p w14:paraId="1BC0529A" w14:textId="77777777" w:rsidR="00265792" w:rsidRPr="00BA7805" w:rsidRDefault="00265792" w:rsidP="00EB2244">
            <w:pPr>
              <w:pStyle w:val="ARfintablebodyright"/>
              <w:rPr>
                <w:highlight w:val="green"/>
              </w:rPr>
            </w:pPr>
            <w:r w:rsidRPr="008B0B5A">
              <w:t>(10.6)</w:t>
            </w:r>
          </w:p>
        </w:tc>
        <w:tc>
          <w:tcPr>
            <w:tcW w:w="1134" w:type="dxa"/>
            <w:shd w:val="clear" w:color="auto" w:fill="EEEEEF" w:themeFill="accent4"/>
            <w:noWrap/>
          </w:tcPr>
          <w:p w14:paraId="3C2D9385" w14:textId="77777777" w:rsidR="00265792" w:rsidRPr="00BA7805" w:rsidRDefault="00265792" w:rsidP="00EB2244">
            <w:pPr>
              <w:pStyle w:val="ARfintablebodyright"/>
              <w:rPr>
                <w:highlight w:val="green"/>
              </w:rPr>
            </w:pPr>
            <w:r>
              <w:t>–</w:t>
            </w:r>
          </w:p>
        </w:tc>
        <w:tc>
          <w:tcPr>
            <w:tcW w:w="1133" w:type="dxa"/>
            <w:noWrap/>
          </w:tcPr>
          <w:p w14:paraId="3B812A49" w14:textId="77777777" w:rsidR="00265792" w:rsidRPr="00BA7805" w:rsidRDefault="00265792" w:rsidP="00EB2244">
            <w:pPr>
              <w:pStyle w:val="ARfintablebodyright"/>
              <w:rPr>
                <w:highlight w:val="green"/>
              </w:rPr>
            </w:pPr>
            <w:r w:rsidRPr="008B0B5A">
              <w:t>0.4</w:t>
            </w:r>
          </w:p>
        </w:tc>
        <w:tc>
          <w:tcPr>
            <w:tcW w:w="1134" w:type="dxa"/>
            <w:shd w:val="clear" w:color="auto" w:fill="EEEEEF" w:themeFill="accent4"/>
            <w:noWrap/>
          </w:tcPr>
          <w:p w14:paraId="65400B9B" w14:textId="77777777" w:rsidR="00265792" w:rsidRPr="00BA7805" w:rsidRDefault="00265792" w:rsidP="00EB2244">
            <w:pPr>
              <w:pStyle w:val="ARfintablebodyright"/>
              <w:rPr>
                <w:highlight w:val="green"/>
              </w:rPr>
            </w:pPr>
            <w:r>
              <w:t>–</w:t>
            </w:r>
          </w:p>
        </w:tc>
        <w:tc>
          <w:tcPr>
            <w:tcW w:w="1134" w:type="dxa"/>
            <w:noWrap/>
          </w:tcPr>
          <w:p w14:paraId="650A3863" w14:textId="77777777" w:rsidR="00265792" w:rsidRPr="00BA7805" w:rsidRDefault="00265792" w:rsidP="00EB2244">
            <w:pPr>
              <w:pStyle w:val="ARfintablebodyright"/>
              <w:rPr>
                <w:highlight w:val="green"/>
              </w:rPr>
            </w:pPr>
            <w:r w:rsidRPr="008B0B5A">
              <w:t>(10.2)</w:t>
            </w:r>
          </w:p>
        </w:tc>
      </w:tr>
      <w:tr w:rsidR="00265792" w:rsidRPr="00BA7805" w14:paraId="42423682" w14:textId="77777777">
        <w:tc>
          <w:tcPr>
            <w:tcW w:w="2835" w:type="dxa"/>
          </w:tcPr>
          <w:p w14:paraId="38EE375F" w14:textId="77777777" w:rsidR="00265792" w:rsidRPr="00BA7805" w:rsidRDefault="00265792" w:rsidP="00EB2244">
            <w:pPr>
              <w:pStyle w:val="ARfintablebody"/>
              <w:rPr>
                <w:highlight w:val="green"/>
              </w:rPr>
            </w:pPr>
            <w:r w:rsidRPr="008B0B5A">
              <w:t>Other changes</w:t>
            </w:r>
          </w:p>
        </w:tc>
        <w:tc>
          <w:tcPr>
            <w:tcW w:w="1133" w:type="dxa"/>
            <w:shd w:val="clear" w:color="auto" w:fill="EEEEEF" w:themeFill="accent4"/>
            <w:noWrap/>
          </w:tcPr>
          <w:p w14:paraId="25CF001F" w14:textId="77777777" w:rsidR="00265792" w:rsidRPr="00BA7805" w:rsidRDefault="00265792" w:rsidP="00EB2244">
            <w:pPr>
              <w:pStyle w:val="ARfintablebodyright"/>
              <w:rPr>
                <w:highlight w:val="green"/>
              </w:rPr>
            </w:pPr>
            <w:r>
              <w:t>–</w:t>
            </w:r>
          </w:p>
        </w:tc>
        <w:tc>
          <w:tcPr>
            <w:tcW w:w="1134" w:type="dxa"/>
            <w:noWrap/>
          </w:tcPr>
          <w:p w14:paraId="1144591E" w14:textId="77777777" w:rsidR="00265792" w:rsidRPr="00BA7805" w:rsidRDefault="00265792" w:rsidP="00EB2244">
            <w:pPr>
              <w:pStyle w:val="ARfintablebodyright"/>
              <w:rPr>
                <w:highlight w:val="green"/>
              </w:rPr>
            </w:pPr>
            <w:r w:rsidRPr="008B0B5A">
              <w:t>14.9</w:t>
            </w:r>
          </w:p>
        </w:tc>
        <w:tc>
          <w:tcPr>
            <w:tcW w:w="1134" w:type="dxa"/>
            <w:shd w:val="clear" w:color="auto" w:fill="EEEEEF" w:themeFill="accent4"/>
            <w:noWrap/>
          </w:tcPr>
          <w:p w14:paraId="061B7BB0" w14:textId="77777777" w:rsidR="00265792" w:rsidRPr="00BA7805" w:rsidRDefault="00265792" w:rsidP="00EB2244">
            <w:pPr>
              <w:pStyle w:val="ARfintablebodyright"/>
              <w:rPr>
                <w:highlight w:val="green"/>
              </w:rPr>
            </w:pPr>
            <w:r>
              <w:t>–</w:t>
            </w:r>
          </w:p>
        </w:tc>
        <w:tc>
          <w:tcPr>
            <w:tcW w:w="1133" w:type="dxa"/>
            <w:noWrap/>
          </w:tcPr>
          <w:p w14:paraId="6764D3B8" w14:textId="77777777" w:rsidR="00265792" w:rsidRPr="00BA7805" w:rsidRDefault="00265792" w:rsidP="00EB2244">
            <w:pPr>
              <w:pStyle w:val="ARfintablebodyright"/>
              <w:rPr>
                <w:highlight w:val="green"/>
              </w:rPr>
            </w:pPr>
            <w:r w:rsidRPr="008B0B5A">
              <w:t>0.4</w:t>
            </w:r>
          </w:p>
        </w:tc>
        <w:tc>
          <w:tcPr>
            <w:tcW w:w="1134" w:type="dxa"/>
            <w:shd w:val="clear" w:color="auto" w:fill="EEEEEF" w:themeFill="accent4"/>
            <w:noWrap/>
          </w:tcPr>
          <w:p w14:paraId="221B304F" w14:textId="77777777" w:rsidR="00265792" w:rsidRPr="00BA7805" w:rsidRDefault="00265792" w:rsidP="00EB2244">
            <w:pPr>
              <w:pStyle w:val="ARfintablebodyright"/>
              <w:rPr>
                <w:highlight w:val="green"/>
              </w:rPr>
            </w:pPr>
            <w:r>
              <w:t>–</w:t>
            </w:r>
          </w:p>
        </w:tc>
        <w:tc>
          <w:tcPr>
            <w:tcW w:w="1134" w:type="dxa"/>
            <w:noWrap/>
          </w:tcPr>
          <w:p w14:paraId="081900D9" w14:textId="77777777" w:rsidR="00265792" w:rsidRPr="00BA7805" w:rsidRDefault="00265792" w:rsidP="00EB2244">
            <w:pPr>
              <w:pStyle w:val="ARfintablebodyright"/>
              <w:rPr>
                <w:highlight w:val="green"/>
              </w:rPr>
            </w:pPr>
            <w:r w:rsidRPr="008B0B5A">
              <w:t>15.3</w:t>
            </w:r>
          </w:p>
        </w:tc>
      </w:tr>
      <w:tr w:rsidR="00265792" w:rsidRPr="00BA7805" w14:paraId="51B5D9EF" w14:textId="77777777">
        <w:trPr>
          <w:cnfStyle w:val="010000000000" w:firstRow="0" w:lastRow="1" w:firstColumn="0" w:lastColumn="0" w:oddVBand="0" w:evenVBand="0" w:oddHBand="0" w:evenHBand="0" w:firstRowFirstColumn="0" w:firstRowLastColumn="0" w:lastRowFirstColumn="0" w:lastRowLastColumn="0"/>
        </w:trPr>
        <w:tc>
          <w:tcPr>
            <w:tcW w:w="2835" w:type="dxa"/>
          </w:tcPr>
          <w:p w14:paraId="0132037B" w14:textId="77777777" w:rsidR="00265792" w:rsidRPr="00BA7805" w:rsidRDefault="00265792" w:rsidP="005B133A">
            <w:pPr>
              <w:pStyle w:val="ARfintablebodybold"/>
              <w:rPr>
                <w:highlight w:val="green"/>
              </w:rPr>
            </w:pPr>
            <w:r w:rsidRPr="008B0B5A">
              <w:t xml:space="preserve">Balance </w:t>
            </w:r>
            <w:proofErr w:type="gramStart"/>
            <w:r w:rsidRPr="008B0B5A">
              <w:t>at</w:t>
            </w:r>
            <w:proofErr w:type="gramEnd"/>
            <w:r w:rsidRPr="008B0B5A">
              <w:t xml:space="preserve"> 30 June 2025</w:t>
            </w:r>
          </w:p>
        </w:tc>
        <w:tc>
          <w:tcPr>
            <w:tcW w:w="1133" w:type="dxa"/>
            <w:shd w:val="clear" w:color="auto" w:fill="EEEEEF" w:themeFill="accent4"/>
            <w:noWrap/>
          </w:tcPr>
          <w:p w14:paraId="76BC2886" w14:textId="77777777" w:rsidR="00265792" w:rsidRPr="00BA7805" w:rsidRDefault="00265792" w:rsidP="005B133A">
            <w:pPr>
              <w:pStyle w:val="ARfintablebodyrightbold"/>
              <w:rPr>
                <w:highlight w:val="green"/>
              </w:rPr>
            </w:pPr>
            <w:r w:rsidRPr="008B0B5A">
              <w:t>24,232.6</w:t>
            </w:r>
          </w:p>
        </w:tc>
        <w:tc>
          <w:tcPr>
            <w:tcW w:w="1134" w:type="dxa"/>
            <w:noWrap/>
          </w:tcPr>
          <w:p w14:paraId="2B6B8848" w14:textId="77777777" w:rsidR="00265792" w:rsidRPr="00BA7805" w:rsidRDefault="00265792" w:rsidP="005B133A">
            <w:pPr>
              <w:pStyle w:val="ARfintablebodyrightbold"/>
              <w:rPr>
                <w:highlight w:val="green"/>
              </w:rPr>
            </w:pPr>
            <w:r w:rsidRPr="008B0B5A">
              <w:t>13,225.0</w:t>
            </w:r>
          </w:p>
        </w:tc>
        <w:tc>
          <w:tcPr>
            <w:tcW w:w="1134" w:type="dxa"/>
            <w:shd w:val="clear" w:color="auto" w:fill="EEEEEF" w:themeFill="accent4"/>
            <w:noWrap/>
          </w:tcPr>
          <w:p w14:paraId="5757EAE0" w14:textId="77777777" w:rsidR="00265792" w:rsidRPr="00BA7805" w:rsidRDefault="00265792" w:rsidP="005B133A">
            <w:pPr>
              <w:pStyle w:val="ARfintablebodyrightbold"/>
              <w:rPr>
                <w:highlight w:val="green"/>
              </w:rPr>
            </w:pPr>
            <w:r w:rsidRPr="008B0B5A">
              <w:t>0.3</w:t>
            </w:r>
          </w:p>
        </w:tc>
        <w:tc>
          <w:tcPr>
            <w:tcW w:w="1133" w:type="dxa"/>
            <w:noWrap/>
          </w:tcPr>
          <w:p w14:paraId="62DA8078" w14:textId="77777777" w:rsidR="00265792" w:rsidRPr="00BA7805" w:rsidRDefault="00265792" w:rsidP="005B133A">
            <w:pPr>
              <w:pStyle w:val="ARfintablebodyrightbold"/>
              <w:rPr>
                <w:highlight w:val="green"/>
              </w:rPr>
            </w:pPr>
            <w:r w:rsidRPr="008B0B5A">
              <w:t>41.4</w:t>
            </w:r>
          </w:p>
        </w:tc>
        <w:tc>
          <w:tcPr>
            <w:tcW w:w="1134" w:type="dxa"/>
            <w:shd w:val="clear" w:color="auto" w:fill="EEEEEF" w:themeFill="accent4"/>
            <w:noWrap/>
          </w:tcPr>
          <w:p w14:paraId="737F676A" w14:textId="77777777" w:rsidR="00265792" w:rsidRPr="00BA7805" w:rsidRDefault="00265792" w:rsidP="005B133A">
            <w:pPr>
              <w:pStyle w:val="ARfintablebodyrightbold"/>
              <w:rPr>
                <w:highlight w:val="green"/>
              </w:rPr>
            </w:pPr>
            <w:r w:rsidRPr="008B0B5A">
              <w:t>1,455.5</w:t>
            </w:r>
          </w:p>
        </w:tc>
        <w:tc>
          <w:tcPr>
            <w:tcW w:w="1134" w:type="dxa"/>
            <w:noWrap/>
          </w:tcPr>
          <w:p w14:paraId="79AF35F4" w14:textId="77777777" w:rsidR="00265792" w:rsidRPr="00BA7805" w:rsidRDefault="00265792" w:rsidP="005B133A">
            <w:pPr>
              <w:pStyle w:val="ARfintablebodyrightbold"/>
              <w:rPr>
                <w:highlight w:val="green"/>
              </w:rPr>
            </w:pPr>
            <w:r w:rsidRPr="008B0B5A">
              <w:t>38,954.9</w:t>
            </w:r>
          </w:p>
        </w:tc>
      </w:tr>
    </w:tbl>
    <w:p w14:paraId="48768F40" w14:textId="77777777" w:rsidR="00265792" w:rsidRDefault="00265792" w:rsidP="0063683A">
      <w:pPr>
        <w:pStyle w:val="ARfintablefootnote"/>
      </w:pPr>
      <w:r>
        <w:t>Note:</w:t>
      </w:r>
    </w:p>
    <w:p w14:paraId="07625389" w14:textId="77777777" w:rsidR="00265792" w:rsidRDefault="00265792" w:rsidP="0063683A">
      <w:pPr>
        <w:pStyle w:val="ARfintablefootnotetabindent"/>
        <w:rPr>
          <w:highlight w:val="green"/>
        </w:rPr>
      </w:pPr>
      <w:r w:rsidRPr="00D9659D">
        <w:t>(</w:t>
      </w:r>
      <w:proofErr w:type="spellStart"/>
      <w:r w:rsidRPr="00D9659D">
        <w:t>i</w:t>
      </w:r>
      <w:proofErr w:type="spellEnd"/>
      <w:r w:rsidRPr="00D9659D">
        <w:t xml:space="preserve">) </w:t>
      </w:r>
      <w:r>
        <w:tab/>
      </w:r>
      <w:r w:rsidRPr="00D9659D">
        <w:t xml:space="preserve">In the financial year ending 30 June 2024, a full revaluation of the department's land and buildings was performed by the independent </w:t>
      </w:r>
      <w:r w:rsidRPr="0063683A">
        <w:t>valuer</w:t>
      </w:r>
      <w:r w:rsidRPr="00D9659D">
        <w:t xml:space="preserve"> Valuer-General Victoria. This has been performed in accordance with FRD103. Refer to Note 8.3.2 for additional information on fair value determination of property, plant and equipment.</w:t>
      </w:r>
    </w:p>
    <w:p w14:paraId="622B549B" w14:textId="77777777" w:rsidR="00265792" w:rsidRPr="006D79F5" w:rsidRDefault="00265792" w:rsidP="002542E1">
      <w:pPr>
        <w:pStyle w:val="ARfinbody"/>
        <w:rPr>
          <w:highlight w:val="green"/>
        </w:rPr>
      </w:pPr>
      <w:r w:rsidRPr="00BA7805">
        <w:rPr>
          <w:highlight w:val="green"/>
        </w:rPr>
        <w:br w:type="page"/>
      </w:r>
    </w:p>
    <w:p w14:paraId="3359B419" w14:textId="77777777" w:rsidR="00265792" w:rsidRPr="00F900D3" w:rsidRDefault="00265792" w:rsidP="00BB645D">
      <w:pPr>
        <w:pStyle w:val="Heading3"/>
        <w:spacing w:before="0"/>
      </w:pPr>
      <w:bookmarkStart w:id="275" w:name="_Toc212041661"/>
      <w:r w:rsidRPr="00F900D3">
        <w:lastRenderedPageBreak/>
        <w:t>6. Other assets and liabilities</w:t>
      </w:r>
      <w:bookmarkEnd w:id="275"/>
    </w:p>
    <w:p w14:paraId="135EEB3E" w14:textId="77777777" w:rsidR="00265792" w:rsidRDefault="00265792" w:rsidP="00673841">
      <w:pPr>
        <w:pStyle w:val="Heading4"/>
      </w:pPr>
      <w:r>
        <w:t>Introduction</w:t>
      </w:r>
    </w:p>
    <w:p w14:paraId="3B7359ED" w14:textId="19CC9917" w:rsidR="00265792" w:rsidRDefault="00265792" w:rsidP="00673841">
      <w:pPr>
        <w:pStyle w:val="ARfinbody"/>
      </w:pPr>
      <w:r>
        <w:t xml:space="preserve">This section sets out those assets and liabilities that arose from the </w:t>
      </w:r>
      <w:proofErr w:type="gramStart"/>
      <w:r>
        <w:t>department</w:t>
      </w:r>
      <w:r w:rsidR="00565654">
        <w:t>’</w:t>
      </w:r>
      <w:r>
        <w:t>s controlled</w:t>
      </w:r>
      <w:proofErr w:type="gramEnd"/>
      <w:r>
        <w:t xml:space="preserve"> operations.</w:t>
      </w:r>
    </w:p>
    <w:p w14:paraId="534DBFF9" w14:textId="77777777" w:rsidR="00265792" w:rsidRDefault="00265792" w:rsidP="00673841">
      <w:pPr>
        <w:pStyle w:val="Heading4"/>
      </w:pPr>
      <w:r>
        <w:t>Structure</w:t>
      </w:r>
    </w:p>
    <w:p w14:paraId="68CA9C5B" w14:textId="77777777" w:rsidR="00265792" w:rsidRDefault="00265792" w:rsidP="00673841">
      <w:pPr>
        <w:pStyle w:val="ARfinstructure1"/>
      </w:pPr>
      <w:r>
        <w:t xml:space="preserve">6.1 </w:t>
      </w:r>
      <w:r>
        <w:tab/>
        <w:t>Receivables</w:t>
      </w:r>
    </w:p>
    <w:p w14:paraId="3FDD3449" w14:textId="77777777" w:rsidR="00265792" w:rsidRDefault="00265792" w:rsidP="00673841">
      <w:pPr>
        <w:pStyle w:val="ARfinstructure1"/>
      </w:pPr>
      <w:r>
        <w:t xml:space="preserve">6.2 </w:t>
      </w:r>
      <w:r>
        <w:tab/>
        <w:t>Loans</w:t>
      </w:r>
    </w:p>
    <w:p w14:paraId="242BBD92" w14:textId="77777777" w:rsidR="00265792" w:rsidRDefault="00265792" w:rsidP="00673841">
      <w:pPr>
        <w:pStyle w:val="ARfinstructure1"/>
      </w:pPr>
      <w:r>
        <w:t xml:space="preserve">6.3 </w:t>
      </w:r>
      <w:r>
        <w:tab/>
        <w:t>Payables</w:t>
      </w:r>
    </w:p>
    <w:p w14:paraId="3D1456D7" w14:textId="77777777" w:rsidR="00265792" w:rsidRDefault="00265792" w:rsidP="00673841">
      <w:pPr>
        <w:pStyle w:val="ARfinstructure2"/>
      </w:pPr>
      <w:r>
        <w:t xml:space="preserve">6.3.1 </w:t>
      </w:r>
      <w:r>
        <w:tab/>
        <w:t>Maturity analysis of contractual payables</w:t>
      </w:r>
    </w:p>
    <w:p w14:paraId="505456EA" w14:textId="77777777" w:rsidR="00265792" w:rsidRDefault="00265792" w:rsidP="00673841">
      <w:pPr>
        <w:pStyle w:val="ARfinstructure1"/>
      </w:pPr>
      <w:r>
        <w:t xml:space="preserve">6.4 </w:t>
      </w:r>
      <w:r>
        <w:tab/>
        <w:t>Other provisions</w:t>
      </w:r>
    </w:p>
    <w:p w14:paraId="4E971C8F" w14:textId="77777777" w:rsidR="00265792" w:rsidRDefault="00265792" w:rsidP="00673841">
      <w:pPr>
        <w:pStyle w:val="ARfinstructure2"/>
      </w:pPr>
      <w:r>
        <w:t xml:space="preserve">6.4.1 </w:t>
      </w:r>
      <w:r>
        <w:tab/>
        <w:t>Reconciliation of movements in other provisions</w:t>
      </w:r>
    </w:p>
    <w:p w14:paraId="162F73B7" w14:textId="77777777" w:rsidR="00265792" w:rsidRDefault="00265792" w:rsidP="00673841">
      <w:pPr>
        <w:pStyle w:val="ARfinstructure1"/>
      </w:pPr>
      <w:r>
        <w:t xml:space="preserve">6.5 </w:t>
      </w:r>
      <w:r>
        <w:tab/>
        <w:t>Other liabilities</w:t>
      </w:r>
    </w:p>
    <w:p w14:paraId="3576FE2F" w14:textId="77777777" w:rsidR="00265792" w:rsidRPr="00F24892" w:rsidRDefault="00265792">
      <w:pPr>
        <w:pStyle w:val="Heading4"/>
        <w:rPr>
          <w:lang w:eastAsia="en-AU"/>
        </w:rPr>
      </w:pPr>
      <w:r w:rsidRPr="00F24892">
        <w:rPr>
          <w:lang w:eastAsia="en-AU"/>
        </w:rPr>
        <w:t>6.1 Receivables</w:t>
      </w:r>
    </w:p>
    <w:tbl>
      <w:tblPr>
        <w:tblStyle w:val="TableGrid"/>
        <w:tblW w:w="0" w:type="auto"/>
        <w:tblLayout w:type="fixed"/>
        <w:tblLook w:val="04E0" w:firstRow="1" w:lastRow="1" w:firstColumn="1" w:lastColumn="0" w:noHBand="0" w:noVBand="1"/>
      </w:tblPr>
      <w:tblGrid>
        <w:gridCol w:w="6932"/>
        <w:gridCol w:w="1353"/>
        <w:gridCol w:w="1353"/>
      </w:tblGrid>
      <w:tr w:rsidR="00265792" w:rsidRPr="00FE7A80" w14:paraId="4480560E" w14:textId="77777777" w:rsidTr="004466F8">
        <w:trPr>
          <w:cnfStyle w:val="100000000000" w:firstRow="1" w:lastRow="0" w:firstColumn="0" w:lastColumn="0" w:oddVBand="0" w:evenVBand="0" w:oddHBand="0" w:evenHBand="0" w:firstRowFirstColumn="0" w:firstRowLastColumn="0" w:lastRowFirstColumn="0" w:lastRowLastColumn="0"/>
          <w:trHeight w:val="574"/>
          <w:tblHeader/>
        </w:trPr>
        <w:tc>
          <w:tcPr>
            <w:tcW w:w="6932" w:type="dxa"/>
            <w:noWrap/>
            <w:hideMark/>
          </w:tcPr>
          <w:p w14:paraId="31022E96" w14:textId="77777777" w:rsidR="00265792" w:rsidRPr="00FE7A80" w:rsidRDefault="00265792" w:rsidP="00F35189">
            <w:pPr>
              <w:pStyle w:val="ARfintablecolheadright"/>
            </w:pPr>
          </w:p>
        </w:tc>
        <w:tc>
          <w:tcPr>
            <w:tcW w:w="1353" w:type="dxa"/>
            <w:shd w:val="clear" w:color="auto" w:fill="EEEEEF" w:themeFill="accent4"/>
            <w:noWrap/>
            <w:hideMark/>
          </w:tcPr>
          <w:p w14:paraId="3BC1FE58" w14:textId="77777777" w:rsidR="00265792" w:rsidRPr="00FE7A80" w:rsidRDefault="00265792" w:rsidP="00F35189">
            <w:pPr>
              <w:pStyle w:val="ARfintablecolheadright"/>
            </w:pPr>
            <w:r w:rsidRPr="00FE7A80">
              <w:t>2025</w:t>
            </w:r>
          </w:p>
          <w:p w14:paraId="1C47453F" w14:textId="77777777" w:rsidR="00265792" w:rsidRPr="00FE7A80" w:rsidRDefault="00265792" w:rsidP="00F35189">
            <w:pPr>
              <w:pStyle w:val="ARfintablecolheadright"/>
            </w:pPr>
            <w:r w:rsidRPr="00FE7A80">
              <w:t>$M</w:t>
            </w:r>
          </w:p>
        </w:tc>
        <w:tc>
          <w:tcPr>
            <w:tcW w:w="1353" w:type="dxa"/>
            <w:noWrap/>
            <w:hideMark/>
          </w:tcPr>
          <w:p w14:paraId="75383C1A" w14:textId="77777777" w:rsidR="00265792" w:rsidRPr="00FE7A80" w:rsidRDefault="00265792" w:rsidP="00F35189">
            <w:pPr>
              <w:pStyle w:val="ARfintablecolheadright"/>
            </w:pPr>
            <w:r w:rsidRPr="00FE7A80">
              <w:t>2024</w:t>
            </w:r>
          </w:p>
          <w:p w14:paraId="0966B6D2" w14:textId="77777777" w:rsidR="00265792" w:rsidRPr="00FE7A80" w:rsidRDefault="00265792" w:rsidP="00F35189">
            <w:pPr>
              <w:pStyle w:val="ARfintablecolheadright"/>
            </w:pPr>
            <w:r w:rsidRPr="00FE7A80">
              <w:t>$M</w:t>
            </w:r>
          </w:p>
        </w:tc>
      </w:tr>
      <w:tr w:rsidR="00265792" w:rsidRPr="00FE7A80" w14:paraId="64485C3A" w14:textId="77777777" w:rsidTr="004466F8">
        <w:trPr>
          <w:trHeight w:val="255"/>
        </w:trPr>
        <w:tc>
          <w:tcPr>
            <w:tcW w:w="6932" w:type="dxa"/>
            <w:noWrap/>
            <w:hideMark/>
          </w:tcPr>
          <w:p w14:paraId="0A7220AB" w14:textId="77777777" w:rsidR="00265792" w:rsidRPr="00FE7A80" w:rsidRDefault="00265792" w:rsidP="008B23E1">
            <w:pPr>
              <w:pStyle w:val="ARfintablebodybold"/>
            </w:pPr>
            <w:r w:rsidRPr="00FE7A80">
              <w:t>Current receivables</w:t>
            </w:r>
          </w:p>
        </w:tc>
        <w:tc>
          <w:tcPr>
            <w:tcW w:w="1353" w:type="dxa"/>
            <w:noWrap/>
            <w:hideMark/>
          </w:tcPr>
          <w:p w14:paraId="575C01D5" w14:textId="77777777" w:rsidR="00265792" w:rsidRPr="00FE7A80" w:rsidRDefault="00265792" w:rsidP="00F35189">
            <w:pPr>
              <w:pStyle w:val="ARfintablebodyright"/>
            </w:pPr>
          </w:p>
        </w:tc>
        <w:tc>
          <w:tcPr>
            <w:tcW w:w="1353" w:type="dxa"/>
            <w:noWrap/>
            <w:hideMark/>
          </w:tcPr>
          <w:p w14:paraId="7FBF2DAE" w14:textId="77777777" w:rsidR="00265792" w:rsidRPr="00FE7A80" w:rsidRDefault="00265792" w:rsidP="00F35189">
            <w:pPr>
              <w:pStyle w:val="ARfintablebodyright"/>
            </w:pPr>
          </w:p>
        </w:tc>
      </w:tr>
      <w:tr w:rsidR="00265792" w:rsidRPr="00FE7A80" w14:paraId="40EA0FD0" w14:textId="77777777" w:rsidTr="004466F8">
        <w:trPr>
          <w:trHeight w:val="255"/>
        </w:trPr>
        <w:tc>
          <w:tcPr>
            <w:tcW w:w="6932" w:type="dxa"/>
            <w:noWrap/>
            <w:hideMark/>
          </w:tcPr>
          <w:p w14:paraId="47070C30" w14:textId="77777777" w:rsidR="00265792" w:rsidRPr="00FE7A80" w:rsidRDefault="00265792" w:rsidP="00734B8E">
            <w:pPr>
              <w:pStyle w:val="ARfintablebodyitalics"/>
            </w:pPr>
            <w:r w:rsidRPr="00FE7A80">
              <w:t xml:space="preserve">Contractual </w:t>
            </w:r>
          </w:p>
        </w:tc>
        <w:tc>
          <w:tcPr>
            <w:tcW w:w="1353" w:type="dxa"/>
            <w:noWrap/>
            <w:hideMark/>
          </w:tcPr>
          <w:p w14:paraId="746B7596" w14:textId="77777777" w:rsidR="00265792" w:rsidRPr="00E15716" w:rsidRDefault="00265792">
            <w:pPr>
              <w:pStyle w:val="ARfintablebodyright"/>
            </w:pPr>
          </w:p>
        </w:tc>
        <w:tc>
          <w:tcPr>
            <w:tcW w:w="1353" w:type="dxa"/>
            <w:noWrap/>
            <w:hideMark/>
          </w:tcPr>
          <w:p w14:paraId="598AE7C3" w14:textId="77777777" w:rsidR="00265792" w:rsidRPr="00FE7A80" w:rsidRDefault="00265792" w:rsidP="00F35189">
            <w:pPr>
              <w:pStyle w:val="ARfintablebodyright"/>
            </w:pPr>
          </w:p>
        </w:tc>
      </w:tr>
      <w:tr w:rsidR="00265792" w:rsidRPr="00FE7A80" w14:paraId="653BE2FE" w14:textId="77777777" w:rsidTr="004466F8">
        <w:trPr>
          <w:trHeight w:val="255"/>
        </w:trPr>
        <w:tc>
          <w:tcPr>
            <w:tcW w:w="6932" w:type="dxa"/>
            <w:noWrap/>
            <w:hideMark/>
          </w:tcPr>
          <w:p w14:paraId="6E6D6E95" w14:textId="77777777" w:rsidR="00265792" w:rsidRPr="00FE7A80" w:rsidRDefault="00265792" w:rsidP="00F35189">
            <w:pPr>
              <w:pStyle w:val="ARfintablebody"/>
            </w:pPr>
            <w:r w:rsidRPr="00FE7A80">
              <w:t>Tenants in arrears</w:t>
            </w:r>
          </w:p>
        </w:tc>
        <w:tc>
          <w:tcPr>
            <w:tcW w:w="1353" w:type="dxa"/>
            <w:shd w:val="clear" w:color="auto" w:fill="EEEEEF" w:themeFill="accent4"/>
            <w:noWrap/>
            <w:hideMark/>
          </w:tcPr>
          <w:p w14:paraId="77384A07" w14:textId="77777777" w:rsidR="00265792" w:rsidRPr="00FE7A80" w:rsidRDefault="00265792" w:rsidP="00F35189">
            <w:pPr>
              <w:pStyle w:val="ARfintablebodyright"/>
            </w:pPr>
            <w:r w:rsidRPr="00FE7A80">
              <w:t>23.4</w:t>
            </w:r>
          </w:p>
        </w:tc>
        <w:tc>
          <w:tcPr>
            <w:tcW w:w="1353" w:type="dxa"/>
            <w:noWrap/>
            <w:hideMark/>
          </w:tcPr>
          <w:p w14:paraId="457CF125" w14:textId="77777777" w:rsidR="00265792" w:rsidRPr="00FE7A80" w:rsidRDefault="00265792" w:rsidP="00F35189">
            <w:pPr>
              <w:pStyle w:val="ARfintablebodyright"/>
            </w:pPr>
            <w:r w:rsidRPr="00FE7A80">
              <w:t>21.0</w:t>
            </w:r>
          </w:p>
        </w:tc>
      </w:tr>
      <w:tr w:rsidR="00265792" w:rsidRPr="00FE7A80" w14:paraId="49947434" w14:textId="77777777" w:rsidTr="004466F8">
        <w:trPr>
          <w:trHeight w:val="255"/>
        </w:trPr>
        <w:tc>
          <w:tcPr>
            <w:tcW w:w="6932" w:type="dxa"/>
            <w:tcBorders>
              <w:bottom w:val="single" w:sz="4" w:space="0" w:color="A6A6A6" w:themeColor="accent5"/>
            </w:tcBorders>
            <w:noWrap/>
            <w:hideMark/>
          </w:tcPr>
          <w:p w14:paraId="45802036" w14:textId="77777777" w:rsidR="00265792" w:rsidRPr="00FE7A80" w:rsidRDefault="00265792" w:rsidP="00F35189">
            <w:pPr>
              <w:pStyle w:val="ARfintablebody"/>
            </w:pPr>
            <w:r w:rsidRPr="00FE7A80">
              <w:t>Other receivables</w:t>
            </w:r>
          </w:p>
        </w:tc>
        <w:tc>
          <w:tcPr>
            <w:tcW w:w="1353" w:type="dxa"/>
            <w:tcBorders>
              <w:bottom w:val="single" w:sz="4" w:space="0" w:color="A6A6A6" w:themeColor="accent5"/>
            </w:tcBorders>
            <w:shd w:val="clear" w:color="auto" w:fill="EEEEEF" w:themeFill="accent4"/>
            <w:noWrap/>
            <w:hideMark/>
          </w:tcPr>
          <w:p w14:paraId="5F608DB5" w14:textId="77777777" w:rsidR="00265792" w:rsidRPr="00FE7A80" w:rsidRDefault="00265792">
            <w:pPr>
              <w:pStyle w:val="ARfintablebodyright"/>
            </w:pPr>
            <w:r w:rsidRPr="004C19DB">
              <w:t>211.7</w:t>
            </w:r>
          </w:p>
        </w:tc>
        <w:tc>
          <w:tcPr>
            <w:tcW w:w="1353" w:type="dxa"/>
            <w:tcBorders>
              <w:bottom w:val="single" w:sz="4" w:space="0" w:color="A6A6A6" w:themeColor="accent5"/>
            </w:tcBorders>
            <w:noWrap/>
            <w:hideMark/>
          </w:tcPr>
          <w:p w14:paraId="16294DA5" w14:textId="77777777" w:rsidR="00265792" w:rsidRPr="00FE7A80" w:rsidRDefault="00265792">
            <w:pPr>
              <w:pStyle w:val="ARfintablebodyright"/>
            </w:pPr>
            <w:r w:rsidRPr="004C19DB">
              <w:t>301.1</w:t>
            </w:r>
          </w:p>
        </w:tc>
      </w:tr>
      <w:tr w:rsidR="00265792" w:rsidRPr="00FE7A80" w14:paraId="362BC4F3" w14:textId="77777777" w:rsidTr="004466F8">
        <w:trPr>
          <w:trHeight w:val="255"/>
        </w:trPr>
        <w:tc>
          <w:tcPr>
            <w:tcW w:w="6932" w:type="dxa"/>
            <w:tcBorders>
              <w:top w:val="single" w:sz="4" w:space="0" w:color="A6A6A6" w:themeColor="accent5"/>
              <w:bottom w:val="single" w:sz="4" w:space="0" w:color="000000" w:themeColor="text1"/>
            </w:tcBorders>
            <w:noWrap/>
            <w:hideMark/>
          </w:tcPr>
          <w:p w14:paraId="5F3AD0BF" w14:textId="77777777" w:rsidR="00265792" w:rsidRPr="00FE7A80" w:rsidRDefault="00265792" w:rsidP="004466F8">
            <w:pPr>
              <w:pStyle w:val="ARfintablebodyitalics"/>
            </w:pPr>
            <w:r w:rsidRPr="00FE7A80">
              <w:t>Less allowance for impairment losses of contractual receivables</w:t>
            </w:r>
          </w:p>
        </w:tc>
        <w:tc>
          <w:tcPr>
            <w:tcW w:w="1353" w:type="dxa"/>
            <w:tcBorders>
              <w:top w:val="single" w:sz="4" w:space="0" w:color="A6A6A6" w:themeColor="accent5"/>
              <w:bottom w:val="single" w:sz="4" w:space="0" w:color="000000" w:themeColor="text1"/>
            </w:tcBorders>
            <w:shd w:val="clear" w:color="auto" w:fill="EEEEEF" w:themeFill="accent4"/>
            <w:noWrap/>
            <w:hideMark/>
          </w:tcPr>
          <w:p w14:paraId="6E6711C4" w14:textId="77777777" w:rsidR="00265792" w:rsidRPr="00FE7A80" w:rsidRDefault="00265792" w:rsidP="00F35189">
            <w:pPr>
              <w:pStyle w:val="ARfintablebodyright"/>
            </w:pPr>
            <w:r w:rsidRPr="00FE7A80">
              <w:t>(9.7)</w:t>
            </w:r>
          </w:p>
        </w:tc>
        <w:tc>
          <w:tcPr>
            <w:tcW w:w="1353" w:type="dxa"/>
            <w:tcBorders>
              <w:top w:val="single" w:sz="4" w:space="0" w:color="A6A6A6" w:themeColor="accent5"/>
              <w:bottom w:val="single" w:sz="4" w:space="0" w:color="000000" w:themeColor="text1"/>
            </w:tcBorders>
            <w:noWrap/>
            <w:hideMark/>
          </w:tcPr>
          <w:p w14:paraId="03217901" w14:textId="77777777" w:rsidR="00265792" w:rsidRPr="00FE7A80" w:rsidRDefault="00265792" w:rsidP="00F35189">
            <w:pPr>
              <w:pStyle w:val="ARfintablebodyright"/>
            </w:pPr>
            <w:r w:rsidRPr="00FE7A80">
              <w:t>(7.1)</w:t>
            </w:r>
          </w:p>
        </w:tc>
      </w:tr>
      <w:tr w:rsidR="00265792" w:rsidRPr="00FE7A80" w14:paraId="3C329CF4" w14:textId="77777777" w:rsidTr="004466F8">
        <w:trPr>
          <w:trHeight w:val="255"/>
        </w:trPr>
        <w:tc>
          <w:tcPr>
            <w:tcW w:w="6932" w:type="dxa"/>
            <w:tcBorders>
              <w:top w:val="single" w:sz="4" w:space="0" w:color="000000" w:themeColor="text1"/>
              <w:bottom w:val="single" w:sz="4" w:space="0" w:color="A6A6A6" w:themeColor="accent5"/>
            </w:tcBorders>
            <w:noWrap/>
            <w:hideMark/>
          </w:tcPr>
          <w:p w14:paraId="482F70DA" w14:textId="77777777" w:rsidR="00265792" w:rsidRPr="00FE7A80" w:rsidRDefault="00265792" w:rsidP="00F35189">
            <w:pPr>
              <w:pStyle w:val="ARfintablebody"/>
            </w:pPr>
            <w:r w:rsidRPr="00FE7A80">
              <w:t> </w:t>
            </w:r>
          </w:p>
        </w:tc>
        <w:tc>
          <w:tcPr>
            <w:tcW w:w="1353" w:type="dxa"/>
            <w:tcBorders>
              <w:top w:val="single" w:sz="4" w:space="0" w:color="000000" w:themeColor="text1"/>
              <w:bottom w:val="single" w:sz="4" w:space="0" w:color="A6A6A6" w:themeColor="accent5"/>
            </w:tcBorders>
            <w:shd w:val="clear" w:color="auto" w:fill="EEEEEF" w:themeFill="accent4"/>
            <w:noWrap/>
            <w:hideMark/>
          </w:tcPr>
          <w:p w14:paraId="5F092C1E" w14:textId="77777777" w:rsidR="00265792" w:rsidRPr="00CD68EA" w:rsidRDefault="00265792">
            <w:pPr>
              <w:pStyle w:val="ARfintablebodyrightbold"/>
            </w:pPr>
            <w:r w:rsidRPr="00CD68EA">
              <w:t>225.4</w:t>
            </w:r>
          </w:p>
        </w:tc>
        <w:tc>
          <w:tcPr>
            <w:tcW w:w="1353" w:type="dxa"/>
            <w:tcBorders>
              <w:top w:val="single" w:sz="4" w:space="0" w:color="000000" w:themeColor="text1"/>
              <w:bottom w:val="single" w:sz="4" w:space="0" w:color="A6A6A6" w:themeColor="accent5"/>
            </w:tcBorders>
            <w:noWrap/>
            <w:hideMark/>
          </w:tcPr>
          <w:p w14:paraId="7DEE5B54" w14:textId="77777777" w:rsidR="00265792" w:rsidRPr="00CD68EA" w:rsidRDefault="00265792">
            <w:pPr>
              <w:pStyle w:val="ARfintablebodyrightbold"/>
            </w:pPr>
            <w:r w:rsidRPr="00CD68EA">
              <w:t>315.0</w:t>
            </w:r>
          </w:p>
        </w:tc>
      </w:tr>
      <w:tr w:rsidR="00265792" w:rsidRPr="00FE7A80" w14:paraId="787693E3" w14:textId="77777777" w:rsidTr="004466F8">
        <w:trPr>
          <w:trHeight w:val="255"/>
        </w:trPr>
        <w:tc>
          <w:tcPr>
            <w:tcW w:w="6932" w:type="dxa"/>
            <w:tcBorders>
              <w:top w:val="single" w:sz="4" w:space="0" w:color="A6A6A6" w:themeColor="accent5"/>
            </w:tcBorders>
            <w:noWrap/>
            <w:hideMark/>
          </w:tcPr>
          <w:p w14:paraId="7CBC04CB" w14:textId="77777777" w:rsidR="00265792" w:rsidRPr="008B23E1" w:rsidRDefault="00265792" w:rsidP="008B23E1">
            <w:pPr>
              <w:pStyle w:val="ARfintablebodyitalics"/>
            </w:pPr>
            <w:r w:rsidRPr="008B23E1">
              <w:t>Statutory</w:t>
            </w:r>
          </w:p>
        </w:tc>
        <w:tc>
          <w:tcPr>
            <w:tcW w:w="1353" w:type="dxa"/>
            <w:tcBorders>
              <w:top w:val="single" w:sz="4" w:space="0" w:color="A6A6A6" w:themeColor="accent5"/>
            </w:tcBorders>
            <w:noWrap/>
            <w:hideMark/>
          </w:tcPr>
          <w:p w14:paraId="5410DCE0" w14:textId="77777777" w:rsidR="00265792" w:rsidRPr="00FE7A80" w:rsidRDefault="00265792" w:rsidP="00F35189">
            <w:pPr>
              <w:pStyle w:val="ARfintablebodyright"/>
            </w:pPr>
          </w:p>
        </w:tc>
        <w:tc>
          <w:tcPr>
            <w:tcW w:w="1353" w:type="dxa"/>
            <w:tcBorders>
              <w:top w:val="single" w:sz="4" w:space="0" w:color="A6A6A6" w:themeColor="accent5"/>
            </w:tcBorders>
            <w:noWrap/>
            <w:hideMark/>
          </w:tcPr>
          <w:p w14:paraId="25F66467" w14:textId="77777777" w:rsidR="00265792" w:rsidRPr="00FE7A80" w:rsidRDefault="00265792" w:rsidP="00F35189">
            <w:pPr>
              <w:pStyle w:val="ARfintablebodyright"/>
            </w:pPr>
          </w:p>
        </w:tc>
      </w:tr>
      <w:tr w:rsidR="00265792" w:rsidRPr="00FE7A80" w14:paraId="5D706037" w14:textId="77777777" w:rsidTr="004466F8">
        <w:trPr>
          <w:trHeight w:val="255"/>
        </w:trPr>
        <w:tc>
          <w:tcPr>
            <w:tcW w:w="6932" w:type="dxa"/>
            <w:tcBorders>
              <w:bottom w:val="single" w:sz="4" w:space="0" w:color="A6A6A6" w:themeColor="accent5"/>
            </w:tcBorders>
            <w:noWrap/>
            <w:hideMark/>
          </w:tcPr>
          <w:p w14:paraId="78146ED0" w14:textId="77777777" w:rsidR="00265792" w:rsidRPr="00FE7A80" w:rsidRDefault="00265792" w:rsidP="00F35189">
            <w:pPr>
              <w:pStyle w:val="ARfintablebody"/>
            </w:pPr>
            <w:r w:rsidRPr="00FE7A80">
              <w:t>Amounts owing from Victorian Government</w:t>
            </w:r>
          </w:p>
        </w:tc>
        <w:tc>
          <w:tcPr>
            <w:tcW w:w="1353" w:type="dxa"/>
            <w:tcBorders>
              <w:bottom w:val="single" w:sz="4" w:space="0" w:color="A6A6A6" w:themeColor="accent5"/>
            </w:tcBorders>
            <w:shd w:val="clear" w:color="auto" w:fill="EEEEEF" w:themeFill="accent4"/>
            <w:noWrap/>
            <w:hideMark/>
          </w:tcPr>
          <w:p w14:paraId="42EC0B70" w14:textId="77777777" w:rsidR="00265792" w:rsidRPr="00FE7A80" w:rsidRDefault="00265792" w:rsidP="00F35189">
            <w:pPr>
              <w:pStyle w:val="ARfintablebodyright"/>
            </w:pPr>
            <w:r w:rsidRPr="00FE7A80">
              <w:t>633.2</w:t>
            </w:r>
          </w:p>
        </w:tc>
        <w:tc>
          <w:tcPr>
            <w:tcW w:w="1353" w:type="dxa"/>
            <w:tcBorders>
              <w:bottom w:val="single" w:sz="4" w:space="0" w:color="A6A6A6" w:themeColor="accent5"/>
            </w:tcBorders>
            <w:noWrap/>
            <w:hideMark/>
          </w:tcPr>
          <w:p w14:paraId="747F947C" w14:textId="77777777" w:rsidR="00265792" w:rsidRPr="00FE7A80" w:rsidRDefault="00265792" w:rsidP="00F35189">
            <w:pPr>
              <w:pStyle w:val="ARfintablebodyright"/>
            </w:pPr>
            <w:r w:rsidRPr="00FE7A80">
              <w:t>625.9</w:t>
            </w:r>
          </w:p>
        </w:tc>
      </w:tr>
      <w:tr w:rsidR="00265792" w:rsidRPr="00FE7A80" w14:paraId="4D642944" w14:textId="77777777" w:rsidTr="004466F8">
        <w:trPr>
          <w:trHeight w:val="255"/>
        </w:trPr>
        <w:tc>
          <w:tcPr>
            <w:tcW w:w="6932" w:type="dxa"/>
            <w:tcBorders>
              <w:top w:val="single" w:sz="4" w:space="0" w:color="A6A6A6" w:themeColor="accent5"/>
              <w:bottom w:val="single" w:sz="4" w:space="0" w:color="000000" w:themeColor="text1"/>
            </w:tcBorders>
            <w:noWrap/>
            <w:hideMark/>
          </w:tcPr>
          <w:p w14:paraId="3B2811E5" w14:textId="77777777" w:rsidR="00265792" w:rsidRPr="00FE7A80" w:rsidRDefault="00265792" w:rsidP="00F35189">
            <w:pPr>
              <w:pStyle w:val="ARfintablebody"/>
            </w:pPr>
            <w:r w:rsidRPr="00FE7A80">
              <w:t>GST input tax credit recoverable</w:t>
            </w:r>
          </w:p>
        </w:tc>
        <w:tc>
          <w:tcPr>
            <w:tcW w:w="1353" w:type="dxa"/>
            <w:tcBorders>
              <w:top w:val="single" w:sz="4" w:space="0" w:color="A6A6A6" w:themeColor="accent5"/>
              <w:bottom w:val="single" w:sz="4" w:space="0" w:color="000000" w:themeColor="text1"/>
            </w:tcBorders>
            <w:shd w:val="clear" w:color="auto" w:fill="EEEEEF" w:themeFill="accent4"/>
            <w:noWrap/>
            <w:hideMark/>
          </w:tcPr>
          <w:p w14:paraId="0B4357F6" w14:textId="77777777" w:rsidR="00265792" w:rsidRPr="00FE7A80" w:rsidRDefault="00265792" w:rsidP="00F35189">
            <w:pPr>
              <w:pStyle w:val="ARfintablebodyright"/>
            </w:pPr>
            <w:r w:rsidRPr="00FE7A80">
              <w:t>36.4</w:t>
            </w:r>
          </w:p>
        </w:tc>
        <w:tc>
          <w:tcPr>
            <w:tcW w:w="1353" w:type="dxa"/>
            <w:tcBorders>
              <w:top w:val="single" w:sz="4" w:space="0" w:color="A6A6A6" w:themeColor="accent5"/>
              <w:bottom w:val="single" w:sz="4" w:space="0" w:color="000000" w:themeColor="text1"/>
            </w:tcBorders>
            <w:noWrap/>
            <w:hideMark/>
          </w:tcPr>
          <w:p w14:paraId="31921CB5" w14:textId="77777777" w:rsidR="00265792" w:rsidRPr="00FE7A80" w:rsidRDefault="00265792" w:rsidP="00F35189">
            <w:pPr>
              <w:pStyle w:val="ARfintablebodyright"/>
            </w:pPr>
            <w:r w:rsidRPr="00FE7A80">
              <w:t>48.7</w:t>
            </w:r>
          </w:p>
        </w:tc>
      </w:tr>
      <w:tr w:rsidR="00265792" w:rsidRPr="00FE7A80" w14:paraId="1E0060E0" w14:textId="77777777" w:rsidTr="004466F8">
        <w:trPr>
          <w:trHeight w:val="255"/>
        </w:trPr>
        <w:tc>
          <w:tcPr>
            <w:tcW w:w="6932" w:type="dxa"/>
            <w:tcBorders>
              <w:top w:val="single" w:sz="4" w:space="0" w:color="000000" w:themeColor="text1"/>
              <w:bottom w:val="single" w:sz="4" w:space="0" w:color="000000" w:themeColor="text1"/>
            </w:tcBorders>
            <w:noWrap/>
            <w:hideMark/>
          </w:tcPr>
          <w:p w14:paraId="168FE38E" w14:textId="77777777" w:rsidR="00265792" w:rsidRPr="00FE7A80" w:rsidRDefault="00265792" w:rsidP="00F35189">
            <w:pPr>
              <w:pStyle w:val="ARfintablebody"/>
            </w:pPr>
          </w:p>
        </w:tc>
        <w:tc>
          <w:tcPr>
            <w:tcW w:w="1353" w:type="dxa"/>
            <w:tcBorders>
              <w:top w:val="single" w:sz="4" w:space="0" w:color="000000" w:themeColor="text1"/>
              <w:bottom w:val="single" w:sz="4" w:space="0" w:color="000000" w:themeColor="text1"/>
            </w:tcBorders>
            <w:shd w:val="clear" w:color="auto" w:fill="EEEEEF" w:themeFill="accent4"/>
            <w:noWrap/>
            <w:hideMark/>
          </w:tcPr>
          <w:p w14:paraId="29198DDD" w14:textId="77777777" w:rsidR="00265792" w:rsidRPr="00FE7A80" w:rsidRDefault="00265792" w:rsidP="00F35189">
            <w:pPr>
              <w:pStyle w:val="ARfintablebodyright"/>
            </w:pPr>
            <w:r w:rsidRPr="00FE7A80">
              <w:t>669.6</w:t>
            </w:r>
          </w:p>
        </w:tc>
        <w:tc>
          <w:tcPr>
            <w:tcW w:w="1353" w:type="dxa"/>
            <w:tcBorders>
              <w:top w:val="single" w:sz="4" w:space="0" w:color="000000" w:themeColor="text1"/>
              <w:bottom w:val="single" w:sz="4" w:space="0" w:color="000000" w:themeColor="text1"/>
            </w:tcBorders>
            <w:noWrap/>
            <w:hideMark/>
          </w:tcPr>
          <w:p w14:paraId="54641181" w14:textId="77777777" w:rsidR="00265792" w:rsidRPr="00FE7A80" w:rsidRDefault="00265792" w:rsidP="00F35189">
            <w:pPr>
              <w:pStyle w:val="ARfintablebodyright"/>
            </w:pPr>
            <w:r w:rsidRPr="00FE7A80">
              <w:t>674.6</w:t>
            </w:r>
          </w:p>
        </w:tc>
      </w:tr>
      <w:tr w:rsidR="00265792" w:rsidRPr="00FE7A80" w14:paraId="3D5EA51D" w14:textId="77777777" w:rsidTr="004466F8">
        <w:trPr>
          <w:trHeight w:val="255"/>
        </w:trPr>
        <w:tc>
          <w:tcPr>
            <w:tcW w:w="6932" w:type="dxa"/>
            <w:tcBorders>
              <w:top w:val="single" w:sz="4" w:space="0" w:color="000000" w:themeColor="text1"/>
              <w:bottom w:val="single" w:sz="4" w:space="0" w:color="000000" w:themeColor="text1"/>
            </w:tcBorders>
            <w:noWrap/>
            <w:hideMark/>
          </w:tcPr>
          <w:p w14:paraId="0F913124" w14:textId="77777777" w:rsidR="00265792" w:rsidRPr="00FE7A80" w:rsidRDefault="00265792" w:rsidP="00734B8E">
            <w:pPr>
              <w:pStyle w:val="ARfintablebodybold"/>
            </w:pPr>
            <w:r w:rsidRPr="00FE7A80">
              <w:t>Total current receivables</w:t>
            </w:r>
          </w:p>
        </w:tc>
        <w:tc>
          <w:tcPr>
            <w:tcW w:w="1353" w:type="dxa"/>
            <w:tcBorders>
              <w:top w:val="single" w:sz="4" w:space="0" w:color="000000" w:themeColor="text1"/>
              <w:bottom w:val="single" w:sz="4" w:space="0" w:color="000000" w:themeColor="text1"/>
            </w:tcBorders>
            <w:shd w:val="clear" w:color="auto" w:fill="EEEEEF" w:themeFill="accent4"/>
            <w:noWrap/>
            <w:hideMark/>
          </w:tcPr>
          <w:p w14:paraId="5016FBA8" w14:textId="77777777" w:rsidR="00265792" w:rsidRPr="00FE7A80" w:rsidRDefault="00265792" w:rsidP="00734B8E">
            <w:pPr>
              <w:pStyle w:val="ARfintablebodyrightbold"/>
            </w:pPr>
            <w:r w:rsidRPr="004C19DB">
              <w:rPr>
                <w:bCs/>
              </w:rPr>
              <w:t>895.0</w:t>
            </w:r>
          </w:p>
        </w:tc>
        <w:tc>
          <w:tcPr>
            <w:tcW w:w="1353" w:type="dxa"/>
            <w:tcBorders>
              <w:top w:val="single" w:sz="4" w:space="0" w:color="000000" w:themeColor="text1"/>
              <w:bottom w:val="single" w:sz="4" w:space="0" w:color="000000" w:themeColor="text1"/>
            </w:tcBorders>
            <w:noWrap/>
            <w:hideMark/>
          </w:tcPr>
          <w:p w14:paraId="1CC1441C" w14:textId="77777777" w:rsidR="00265792" w:rsidRPr="00FE7A80" w:rsidRDefault="00265792">
            <w:pPr>
              <w:pStyle w:val="ARfintablebodyrightbold"/>
            </w:pPr>
            <w:r w:rsidRPr="004C19DB">
              <w:rPr>
                <w:bCs/>
              </w:rPr>
              <w:t>989.6</w:t>
            </w:r>
          </w:p>
        </w:tc>
      </w:tr>
      <w:tr w:rsidR="00265792" w:rsidRPr="00FE7A80" w14:paraId="5848006B" w14:textId="77777777" w:rsidTr="004466F8">
        <w:trPr>
          <w:trHeight w:val="255"/>
        </w:trPr>
        <w:tc>
          <w:tcPr>
            <w:tcW w:w="6932" w:type="dxa"/>
            <w:tcBorders>
              <w:top w:val="single" w:sz="4" w:space="0" w:color="000000" w:themeColor="text1"/>
              <w:bottom w:val="single" w:sz="4" w:space="0" w:color="A6A6A6" w:themeColor="accent5"/>
            </w:tcBorders>
            <w:noWrap/>
            <w:hideMark/>
          </w:tcPr>
          <w:p w14:paraId="72F11330" w14:textId="77777777" w:rsidR="00265792" w:rsidRPr="00FE7A80" w:rsidRDefault="00265792" w:rsidP="00734B8E">
            <w:pPr>
              <w:pStyle w:val="ARfintablebodybold"/>
            </w:pPr>
            <w:r w:rsidRPr="00FE7A80">
              <w:t>Non-current receivables</w:t>
            </w:r>
          </w:p>
        </w:tc>
        <w:tc>
          <w:tcPr>
            <w:tcW w:w="1353" w:type="dxa"/>
            <w:tcBorders>
              <w:top w:val="single" w:sz="4" w:space="0" w:color="000000" w:themeColor="text1"/>
              <w:bottom w:val="single" w:sz="4" w:space="0" w:color="A6A6A6" w:themeColor="accent5"/>
            </w:tcBorders>
            <w:noWrap/>
            <w:hideMark/>
          </w:tcPr>
          <w:p w14:paraId="257A077C" w14:textId="77777777" w:rsidR="00265792" w:rsidRPr="00FE7A80" w:rsidRDefault="00265792" w:rsidP="00F35189">
            <w:pPr>
              <w:pStyle w:val="ARfintablebodyright"/>
            </w:pPr>
          </w:p>
        </w:tc>
        <w:tc>
          <w:tcPr>
            <w:tcW w:w="1353" w:type="dxa"/>
            <w:tcBorders>
              <w:top w:val="single" w:sz="4" w:space="0" w:color="000000" w:themeColor="text1"/>
              <w:bottom w:val="single" w:sz="4" w:space="0" w:color="A6A6A6" w:themeColor="accent5"/>
            </w:tcBorders>
            <w:noWrap/>
            <w:hideMark/>
          </w:tcPr>
          <w:p w14:paraId="557DDB04" w14:textId="77777777" w:rsidR="00265792" w:rsidRPr="00FE7A80" w:rsidRDefault="00265792" w:rsidP="00F35189">
            <w:pPr>
              <w:pStyle w:val="ARfintablebodyright"/>
            </w:pPr>
          </w:p>
        </w:tc>
      </w:tr>
      <w:tr w:rsidR="00265792" w:rsidRPr="00FE7A80" w14:paraId="7D3552B3" w14:textId="77777777" w:rsidTr="004466F8">
        <w:trPr>
          <w:trHeight w:val="255"/>
        </w:trPr>
        <w:tc>
          <w:tcPr>
            <w:tcW w:w="6932" w:type="dxa"/>
            <w:tcBorders>
              <w:top w:val="single" w:sz="4" w:space="0" w:color="A6A6A6" w:themeColor="accent5"/>
              <w:bottom w:val="single" w:sz="4" w:space="0" w:color="A6A6A6" w:themeColor="accent5"/>
            </w:tcBorders>
            <w:noWrap/>
            <w:hideMark/>
          </w:tcPr>
          <w:p w14:paraId="5D44EC26" w14:textId="77777777" w:rsidR="00265792" w:rsidRPr="00FE7A80" w:rsidRDefault="00265792" w:rsidP="00734B8E">
            <w:pPr>
              <w:pStyle w:val="ARfintablebodyitalics"/>
            </w:pPr>
            <w:r w:rsidRPr="00FE7A80">
              <w:t>Statutory</w:t>
            </w:r>
          </w:p>
        </w:tc>
        <w:tc>
          <w:tcPr>
            <w:tcW w:w="1353" w:type="dxa"/>
            <w:tcBorders>
              <w:top w:val="single" w:sz="4" w:space="0" w:color="A6A6A6" w:themeColor="accent5"/>
              <w:bottom w:val="single" w:sz="4" w:space="0" w:color="A6A6A6" w:themeColor="accent5"/>
            </w:tcBorders>
            <w:noWrap/>
            <w:hideMark/>
          </w:tcPr>
          <w:p w14:paraId="3824617F" w14:textId="77777777" w:rsidR="00265792" w:rsidRPr="00FE7A80" w:rsidRDefault="00265792" w:rsidP="00F35189">
            <w:pPr>
              <w:pStyle w:val="ARfintablebodyright"/>
            </w:pPr>
          </w:p>
        </w:tc>
        <w:tc>
          <w:tcPr>
            <w:tcW w:w="1353" w:type="dxa"/>
            <w:tcBorders>
              <w:top w:val="single" w:sz="4" w:space="0" w:color="A6A6A6" w:themeColor="accent5"/>
              <w:bottom w:val="single" w:sz="4" w:space="0" w:color="A6A6A6" w:themeColor="accent5"/>
            </w:tcBorders>
            <w:noWrap/>
            <w:hideMark/>
          </w:tcPr>
          <w:p w14:paraId="66BD09FE" w14:textId="77777777" w:rsidR="00265792" w:rsidRPr="00FE7A80" w:rsidRDefault="00265792" w:rsidP="00F35189">
            <w:pPr>
              <w:pStyle w:val="ARfintablebodyright"/>
            </w:pPr>
          </w:p>
        </w:tc>
      </w:tr>
      <w:tr w:rsidR="00265792" w:rsidRPr="00FE7A80" w14:paraId="238A8D8B" w14:textId="77777777" w:rsidTr="004466F8">
        <w:trPr>
          <w:trHeight w:val="255"/>
        </w:trPr>
        <w:tc>
          <w:tcPr>
            <w:tcW w:w="6932" w:type="dxa"/>
            <w:tcBorders>
              <w:top w:val="single" w:sz="4" w:space="0" w:color="A6A6A6" w:themeColor="accent5"/>
              <w:bottom w:val="single" w:sz="4" w:space="0" w:color="000000" w:themeColor="text1"/>
            </w:tcBorders>
            <w:noWrap/>
            <w:hideMark/>
          </w:tcPr>
          <w:p w14:paraId="01B29FC8" w14:textId="77777777" w:rsidR="00265792" w:rsidRPr="00FE7A80" w:rsidRDefault="00265792" w:rsidP="00F35189">
            <w:pPr>
              <w:pStyle w:val="ARfintablebody"/>
            </w:pPr>
            <w:r w:rsidRPr="00FE7A80">
              <w:t>Amounts owing from Victorian Government</w:t>
            </w:r>
          </w:p>
        </w:tc>
        <w:tc>
          <w:tcPr>
            <w:tcW w:w="1353" w:type="dxa"/>
            <w:tcBorders>
              <w:top w:val="single" w:sz="4" w:space="0" w:color="A6A6A6" w:themeColor="accent5"/>
              <w:bottom w:val="single" w:sz="4" w:space="0" w:color="000000" w:themeColor="text1"/>
            </w:tcBorders>
            <w:shd w:val="clear" w:color="auto" w:fill="EEEEEF" w:themeFill="accent4"/>
            <w:noWrap/>
            <w:hideMark/>
          </w:tcPr>
          <w:p w14:paraId="3CA86DC9" w14:textId="77777777" w:rsidR="00265792" w:rsidRPr="00FE7A80" w:rsidRDefault="00265792" w:rsidP="00F35189">
            <w:pPr>
              <w:pStyle w:val="ARfintablebodyright"/>
            </w:pPr>
            <w:r w:rsidRPr="00FE7A80">
              <w:t>179.6</w:t>
            </w:r>
          </w:p>
        </w:tc>
        <w:tc>
          <w:tcPr>
            <w:tcW w:w="1353" w:type="dxa"/>
            <w:tcBorders>
              <w:top w:val="single" w:sz="4" w:space="0" w:color="A6A6A6" w:themeColor="accent5"/>
              <w:bottom w:val="single" w:sz="4" w:space="0" w:color="000000" w:themeColor="text1"/>
            </w:tcBorders>
            <w:noWrap/>
            <w:hideMark/>
          </w:tcPr>
          <w:p w14:paraId="24887F5B" w14:textId="77777777" w:rsidR="00265792" w:rsidRPr="00FE7A80" w:rsidRDefault="00265792" w:rsidP="00F35189">
            <w:pPr>
              <w:pStyle w:val="ARfintablebodyright"/>
            </w:pPr>
            <w:r w:rsidRPr="00FE7A80">
              <w:t>171.4</w:t>
            </w:r>
          </w:p>
        </w:tc>
      </w:tr>
      <w:tr w:rsidR="00265792" w:rsidRPr="00FE7A80" w14:paraId="12A84612" w14:textId="77777777" w:rsidTr="004466F8">
        <w:trPr>
          <w:trHeight w:val="255"/>
        </w:trPr>
        <w:tc>
          <w:tcPr>
            <w:tcW w:w="6932" w:type="dxa"/>
            <w:tcBorders>
              <w:top w:val="single" w:sz="4" w:space="0" w:color="000000" w:themeColor="text1"/>
              <w:bottom w:val="single" w:sz="4" w:space="0" w:color="000000" w:themeColor="text1"/>
            </w:tcBorders>
            <w:noWrap/>
            <w:hideMark/>
          </w:tcPr>
          <w:p w14:paraId="1564CBEA" w14:textId="77777777" w:rsidR="00265792" w:rsidRPr="00FE7A80" w:rsidRDefault="00265792" w:rsidP="00734B8E">
            <w:pPr>
              <w:pStyle w:val="ARfintablebodybold"/>
            </w:pPr>
            <w:r w:rsidRPr="00FE7A80">
              <w:t>Total non-current receivables</w:t>
            </w:r>
          </w:p>
        </w:tc>
        <w:tc>
          <w:tcPr>
            <w:tcW w:w="1353" w:type="dxa"/>
            <w:tcBorders>
              <w:top w:val="single" w:sz="4" w:space="0" w:color="000000" w:themeColor="text1"/>
              <w:bottom w:val="single" w:sz="4" w:space="0" w:color="000000" w:themeColor="text1"/>
            </w:tcBorders>
            <w:shd w:val="clear" w:color="auto" w:fill="EEEEEF" w:themeFill="accent4"/>
            <w:noWrap/>
            <w:hideMark/>
          </w:tcPr>
          <w:p w14:paraId="56EF8F3F" w14:textId="77777777" w:rsidR="00265792" w:rsidRPr="00FE7A80" w:rsidRDefault="00265792" w:rsidP="00734B8E">
            <w:pPr>
              <w:pStyle w:val="ARfintablebodyrightbold"/>
            </w:pPr>
            <w:r w:rsidRPr="00FE7A80">
              <w:t>179.6</w:t>
            </w:r>
          </w:p>
        </w:tc>
        <w:tc>
          <w:tcPr>
            <w:tcW w:w="1353" w:type="dxa"/>
            <w:tcBorders>
              <w:top w:val="single" w:sz="4" w:space="0" w:color="000000" w:themeColor="text1"/>
              <w:bottom w:val="single" w:sz="4" w:space="0" w:color="000000" w:themeColor="text1"/>
            </w:tcBorders>
            <w:noWrap/>
            <w:hideMark/>
          </w:tcPr>
          <w:p w14:paraId="3F57496A" w14:textId="77777777" w:rsidR="00265792" w:rsidRPr="00FE7A80" w:rsidRDefault="00265792" w:rsidP="00734B8E">
            <w:pPr>
              <w:pStyle w:val="ARfintablebodyrightbold"/>
            </w:pPr>
            <w:r w:rsidRPr="00FE7A80">
              <w:t>171.4</w:t>
            </w:r>
          </w:p>
        </w:tc>
      </w:tr>
      <w:tr w:rsidR="00265792" w:rsidRPr="00FE7A80" w14:paraId="5F31779A" w14:textId="77777777" w:rsidTr="004466F8">
        <w:trPr>
          <w:cnfStyle w:val="010000000000" w:firstRow="0" w:lastRow="1" w:firstColumn="0" w:lastColumn="0" w:oddVBand="0" w:evenVBand="0" w:oddHBand="0" w:evenHBand="0" w:firstRowFirstColumn="0" w:firstRowLastColumn="0" w:lastRowFirstColumn="0" w:lastRowLastColumn="0"/>
          <w:trHeight w:val="255"/>
        </w:trPr>
        <w:tc>
          <w:tcPr>
            <w:tcW w:w="6932" w:type="dxa"/>
            <w:noWrap/>
            <w:hideMark/>
          </w:tcPr>
          <w:p w14:paraId="5C94DCDB" w14:textId="77777777" w:rsidR="00265792" w:rsidRPr="00FE7A80" w:rsidRDefault="00265792" w:rsidP="00734B8E">
            <w:pPr>
              <w:pStyle w:val="ARfintablebodybold"/>
            </w:pPr>
            <w:r w:rsidRPr="00FE7A80">
              <w:t>Total receivables</w:t>
            </w:r>
          </w:p>
        </w:tc>
        <w:tc>
          <w:tcPr>
            <w:tcW w:w="1353" w:type="dxa"/>
            <w:shd w:val="clear" w:color="auto" w:fill="EEEEEF" w:themeFill="accent4"/>
            <w:noWrap/>
            <w:hideMark/>
          </w:tcPr>
          <w:p w14:paraId="55E99FDD" w14:textId="77777777" w:rsidR="00265792" w:rsidRPr="00FE7A80" w:rsidRDefault="00265792">
            <w:pPr>
              <w:pStyle w:val="ARfintablebodyrightbold"/>
            </w:pPr>
            <w:r w:rsidRPr="004C19DB">
              <w:rPr>
                <w:bCs/>
              </w:rPr>
              <w:t>1,074.6</w:t>
            </w:r>
          </w:p>
        </w:tc>
        <w:tc>
          <w:tcPr>
            <w:tcW w:w="1353" w:type="dxa"/>
            <w:noWrap/>
            <w:hideMark/>
          </w:tcPr>
          <w:p w14:paraId="7EA6C71C" w14:textId="77777777" w:rsidR="00265792" w:rsidRPr="00FE7A80" w:rsidRDefault="00265792">
            <w:pPr>
              <w:pStyle w:val="ARfintablebodyrightbold"/>
            </w:pPr>
            <w:r w:rsidRPr="004C19DB">
              <w:rPr>
                <w:bCs/>
              </w:rPr>
              <w:t>1,161.0</w:t>
            </w:r>
          </w:p>
        </w:tc>
      </w:tr>
    </w:tbl>
    <w:p w14:paraId="07C647A9" w14:textId="4F687DC7" w:rsidR="00265792" w:rsidRDefault="00265792" w:rsidP="00EE327B">
      <w:pPr>
        <w:pStyle w:val="ARfinbodyaftertable"/>
      </w:pPr>
      <w:r w:rsidRPr="004466F8">
        <w:rPr>
          <w:rStyle w:val="Strong"/>
        </w:rPr>
        <w:t>Contractual receivables</w:t>
      </w:r>
      <w:r>
        <w:t xml:space="preserve"> are classified as financial instruments and categorised as </w:t>
      </w:r>
      <w:r w:rsidR="00565654">
        <w:t>‘</w:t>
      </w:r>
      <w:r>
        <w:t xml:space="preserve">financial assets at amortised </w:t>
      </w:r>
      <w:proofErr w:type="gramStart"/>
      <w:r>
        <w:t>costs</w:t>
      </w:r>
      <w:r w:rsidR="00565654">
        <w:t>’</w:t>
      </w:r>
      <w:proofErr w:type="gramEnd"/>
      <w:r>
        <w:t xml:space="preserve">. They are initially recognised at fair value plus any directly attributable transaction costs. The department holds the contractual receivables with the objective to collect the contractual cash flows and therefore </w:t>
      </w:r>
      <w:proofErr w:type="gramStart"/>
      <w:r>
        <w:t>subsequent to</w:t>
      </w:r>
      <w:proofErr w:type="gramEnd"/>
      <w:r>
        <w:t xml:space="preserve"> initial measurement they are measured at amortised cost using the effective interest method, less any impairment. </w:t>
      </w:r>
    </w:p>
    <w:p w14:paraId="5CB7C368" w14:textId="76AE1774" w:rsidR="00265792" w:rsidRDefault="00265792" w:rsidP="00EE327B">
      <w:pPr>
        <w:pStyle w:val="ARfinbodyaftertable"/>
      </w:pPr>
      <w:r w:rsidRPr="004466F8">
        <w:rPr>
          <w:rStyle w:val="Strong"/>
        </w:rPr>
        <w:t>Statutory receivables</w:t>
      </w:r>
      <w:r>
        <w:t xml:space="preserve"> do not arise from contracts and are recognised and measured similarly to contractual receivables (except for impairment) but are not classified as financial instruments for disclosure purposes. The department applies AASB 9 for initial measurement of the statutory receivables and, as a result, statutory receivables are initially recognised at fair value plus any directly attributable transaction costs.</w:t>
      </w:r>
    </w:p>
    <w:p w14:paraId="10D062A6" w14:textId="0FC6A704" w:rsidR="00265792" w:rsidRPr="00BA7805" w:rsidRDefault="00265792" w:rsidP="00EE327B">
      <w:pPr>
        <w:pStyle w:val="ARfinbody"/>
        <w:rPr>
          <w:highlight w:val="green"/>
        </w:rPr>
      </w:pPr>
      <w:r>
        <w:t>Details about the department</w:t>
      </w:r>
      <w:r w:rsidR="00565654">
        <w:t>’</w:t>
      </w:r>
      <w:r>
        <w:t>s impairment policies, the department's exposure to credit risks and the calculation of the loss allowance are set out in Note 8.1.3.1.</w:t>
      </w:r>
    </w:p>
    <w:p w14:paraId="25652311" w14:textId="77777777" w:rsidR="00265792" w:rsidRPr="00BA7805" w:rsidRDefault="00265792">
      <w:pPr>
        <w:pStyle w:val="ARfinbody"/>
        <w:rPr>
          <w:highlight w:val="green"/>
        </w:rPr>
      </w:pPr>
      <w:r w:rsidRPr="00BA7805">
        <w:rPr>
          <w:highlight w:val="green"/>
        </w:rPr>
        <w:br w:type="page"/>
      </w:r>
    </w:p>
    <w:p w14:paraId="33FF15D3" w14:textId="77777777" w:rsidR="00265792" w:rsidRPr="006A4005" w:rsidRDefault="00265792">
      <w:pPr>
        <w:pStyle w:val="Heading4"/>
      </w:pPr>
      <w:r w:rsidRPr="006A4005">
        <w:lastRenderedPageBreak/>
        <w:t>6.2 Loans</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229C0ECF" w14:textId="77777777" w:rsidTr="00973C2B">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5BF5008A" w14:textId="77777777" w:rsidR="00265792" w:rsidRPr="006A4005" w:rsidRDefault="00265792">
            <w:pPr>
              <w:pStyle w:val="ARfintablecolhead"/>
            </w:pPr>
          </w:p>
        </w:tc>
        <w:tc>
          <w:tcPr>
            <w:tcW w:w="1361" w:type="dxa"/>
            <w:shd w:val="clear" w:color="auto" w:fill="EEEEEF" w:themeFill="accent4"/>
            <w:hideMark/>
          </w:tcPr>
          <w:p w14:paraId="61229382" w14:textId="77777777" w:rsidR="00265792" w:rsidRPr="006A4005" w:rsidRDefault="00265792">
            <w:pPr>
              <w:pStyle w:val="ARfintablecolheadright"/>
            </w:pPr>
            <w:r w:rsidRPr="006A4005">
              <w:t>202</w:t>
            </w:r>
            <w:r>
              <w:t>5</w:t>
            </w:r>
          </w:p>
          <w:p w14:paraId="0681D937" w14:textId="77777777" w:rsidR="00265792" w:rsidRPr="006A4005" w:rsidRDefault="00265792">
            <w:pPr>
              <w:pStyle w:val="ARfintablecolheadright"/>
            </w:pPr>
            <w:r w:rsidRPr="006A4005">
              <w:t>$M</w:t>
            </w:r>
          </w:p>
        </w:tc>
        <w:tc>
          <w:tcPr>
            <w:tcW w:w="1361" w:type="dxa"/>
            <w:hideMark/>
          </w:tcPr>
          <w:p w14:paraId="3E76D78A" w14:textId="77777777" w:rsidR="00265792" w:rsidRPr="006A4005" w:rsidRDefault="00265792">
            <w:pPr>
              <w:pStyle w:val="ARfintablecolheadright"/>
            </w:pPr>
            <w:r w:rsidRPr="006A4005">
              <w:t>202</w:t>
            </w:r>
            <w:r>
              <w:t>4</w:t>
            </w:r>
          </w:p>
          <w:p w14:paraId="7037AAB0" w14:textId="77777777" w:rsidR="00265792" w:rsidRPr="006A4005" w:rsidRDefault="00265792">
            <w:pPr>
              <w:pStyle w:val="ARfintablecolheadright"/>
            </w:pPr>
            <w:r w:rsidRPr="006A4005">
              <w:t>$M</w:t>
            </w:r>
          </w:p>
        </w:tc>
      </w:tr>
      <w:tr w:rsidR="00265792" w:rsidRPr="00BA7805" w14:paraId="3F3BED17" w14:textId="77777777" w:rsidTr="00973C2B">
        <w:tc>
          <w:tcPr>
            <w:tcW w:w="6915" w:type="dxa"/>
          </w:tcPr>
          <w:p w14:paraId="57F0F231" w14:textId="77777777" w:rsidR="00265792" w:rsidRPr="00BA7805" w:rsidRDefault="00265792" w:rsidP="009C089D">
            <w:pPr>
              <w:pStyle w:val="ARfintablebodybold"/>
              <w:rPr>
                <w:highlight w:val="green"/>
              </w:rPr>
            </w:pPr>
            <w:r w:rsidRPr="00521C57">
              <w:t xml:space="preserve">Current loans </w:t>
            </w:r>
          </w:p>
        </w:tc>
        <w:tc>
          <w:tcPr>
            <w:tcW w:w="1361" w:type="dxa"/>
            <w:noWrap/>
          </w:tcPr>
          <w:p w14:paraId="51881738" w14:textId="77777777" w:rsidR="00265792" w:rsidRPr="00BA7805" w:rsidRDefault="00265792" w:rsidP="00634FE2">
            <w:pPr>
              <w:pStyle w:val="ARfintablebodyright"/>
              <w:rPr>
                <w:highlight w:val="green"/>
              </w:rPr>
            </w:pPr>
          </w:p>
        </w:tc>
        <w:tc>
          <w:tcPr>
            <w:tcW w:w="1361" w:type="dxa"/>
            <w:noWrap/>
          </w:tcPr>
          <w:p w14:paraId="6CEF9BE1" w14:textId="77777777" w:rsidR="00265792" w:rsidRPr="00BA7805" w:rsidRDefault="00265792" w:rsidP="00634FE2">
            <w:pPr>
              <w:pStyle w:val="ARfintablebodyright"/>
              <w:rPr>
                <w:highlight w:val="green"/>
              </w:rPr>
            </w:pPr>
          </w:p>
        </w:tc>
      </w:tr>
      <w:tr w:rsidR="00265792" w:rsidRPr="00BA7805" w14:paraId="6D9D124B" w14:textId="77777777" w:rsidTr="00973C2B">
        <w:tc>
          <w:tcPr>
            <w:tcW w:w="6915" w:type="dxa"/>
          </w:tcPr>
          <w:p w14:paraId="790369FD" w14:textId="77777777" w:rsidR="00265792" w:rsidRPr="00BA7805" w:rsidRDefault="00265792" w:rsidP="00236FC7">
            <w:pPr>
              <w:pStyle w:val="ARfintablebodyitalics"/>
              <w:rPr>
                <w:highlight w:val="green"/>
              </w:rPr>
            </w:pPr>
            <w:r w:rsidRPr="00521C57">
              <w:t>Contractual</w:t>
            </w:r>
          </w:p>
        </w:tc>
        <w:tc>
          <w:tcPr>
            <w:tcW w:w="1361" w:type="dxa"/>
            <w:noWrap/>
          </w:tcPr>
          <w:p w14:paraId="1305F890" w14:textId="77777777" w:rsidR="00265792" w:rsidRPr="00BA7805" w:rsidRDefault="00265792" w:rsidP="00634FE2">
            <w:pPr>
              <w:pStyle w:val="ARfintablebodyright"/>
              <w:rPr>
                <w:highlight w:val="green"/>
              </w:rPr>
            </w:pPr>
          </w:p>
        </w:tc>
        <w:tc>
          <w:tcPr>
            <w:tcW w:w="1361" w:type="dxa"/>
            <w:noWrap/>
          </w:tcPr>
          <w:p w14:paraId="671D6448" w14:textId="77777777" w:rsidR="00265792" w:rsidRPr="00BA7805" w:rsidRDefault="00265792" w:rsidP="00634FE2">
            <w:pPr>
              <w:pStyle w:val="ARfintablebodyright"/>
              <w:rPr>
                <w:highlight w:val="green"/>
              </w:rPr>
            </w:pPr>
          </w:p>
        </w:tc>
      </w:tr>
      <w:tr w:rsidR="00265792" w:rsidRPr="00BA7805" w14:paraId="3170134A" w14:textId="77777777" w:rsidTr="00973C2B">
        <w:tc>
          <w:tcPr>
            <w:tcW w:w="6915" w:type="dxa"/>
          </w:tcPr>
          <w:p w14:paraId="3DD3B5EA" w14:textId="77777777" w:rsidR="00265792" w:rsidRPr="00BA7805" w:rsidRDefault="00265792" w:rsidP="00634FE2">
            <w:pPr>
              <w:pStyle w:val="ARfintablebody"/>
              <w:rPr>
                <w:highlight w:val="green"/>
              </w:rPr>
            </w:pPr>
            <w:r w:rsidRPr="00521C57">
              <w:t>Fixed interest home loans</w:t>
            </w:r>
          </w:p>
        </w:tc>
        <w:tc>
          <w:tcPr>
            <w:tcW w:w="1361" w:type="dxa"/>
            <w:shd w:val="clear" w:color="auto" w:fill="EEEEEF" w:themeFill="accent4"/>
            <w:noWrap/>
          </w:tcPr>
          <w:p w14:paraId="7DF6B6C8" w14:textId="77777777" w:rsidR="00265792" w:rsidRPr="00BA7805" w:rsidRDefault="00265792" w:rsidP="00634FE2">
            <w:pPr>
              <w:pStyle w:val="ARfintablebodyright"/>
              <w:rPr>
                <w:highlight w:val="green"/>
              </w:rPr>
            </w:pPr>
            <w:r w:rsidRPr="00521C57">
              <w:t>0.5</w:t>
            </w:r>
          </w:p>
        </w:tc>
        <w:tc>
          <w:tcPr>
            <w:tcW w:w="1361" w:type="dxa"/>
            <w:noWrap/>
          </w:tcPr>
          <w:p w14:paraId="7CCF229E" w14:textId="77777777" w:rsidR="00265792" w:rsidRPr="00BA7805" w:rsidRDefault="00265792" w:rsidP="00634FE2">
            <w:pPr>
              <w:pStyle w:val="ARfintablebodyright"/>
              <w:rPr>
                <w:highlight w:val="green"/>
              </w:rPr>
            </w:pPr>
            <w:r w:rsidRPr="00521C57">
              <w:t>0.5</w:t>
            </w:r>
          </w:p>
        </w:tc>
      </w:tr>
      <w:tr w:rsidR="00265792" w:rsidRPr="00BA7805" w14:paraId="4D690731" w14:textId="77777777" w:rsidTr="00973C2B">
        <w:tc>
          <w:tcPr>
            <w:tcW w:w="6915" w:type="dxa"/>
            <w:tcBorders>
              <w:bottom w:val="single" w:sz="4" w:space="0" w:color="A6A6A6" w:themeColor="accent5"/>
            </w:tcBorders>
          </w:tcPr>
          <w:p w14:paraId="33A0DC85" w14:textId="77777777" w:rsidR="00265792" w:rsidRPr="00BA7805" w:rsidRDefault="00265792" w:rsidP="00634FE2">
            <w:pPr>
              <w:pStyle w:val="ARfintablebody"/>
              <w:rPr>
                <w:highlight w:val="green"/>
              </w:rPr>
            </w:pPr>
            <w:r w:rsidRPr="00521C57">
              <w:t>Indexed interest home loans</w:t>
            </w:r>
          </w:p>
        </w:tc>
        <w:tc>
          <w:tcPr>
            <w:tcW w:w="1361" w:type="dxa"/>
            <w:tcBorders>
              <w:bottom w:val="single" w:sz="4" w:space="0" w:color="A6A6A6" w:themeColor="accent5"/>
            </w:tcBorders>
            <w:shd w:val="clear" w:color="auto" w:fill="EEEEEF" w:themeFill="accent4"/>
            <w:noWrap/>
          </w:tcPr>
          <w:p w14:paraId="3D389D9A" w14:textId="77777777" w:rsidR="00265792" w:rsidRPr="00BA7805" w:rsidRDefault="00265792" w:rsidP="00634FE2">
            <w:pPr>
              <w:pStyle w:val="ARfintablebodyright"/>
              <w:rPr>
                <w:highlight w:val="green"/>
              </w:rPr>
            </w:pPr>
            <w:r w:rsidRPr="00521C57">
              <w:t>6.4</w:t>
            </w:r>
          </w:p>
        </w:tc>
        <w:tc>
          <w:tcPr>
            <w:tcW w:w="1361" w:type="dxa"/>
            <w:tcBorders>
              <w:bottom w:val="single" w:sz="4" w:space="0" w:color="A6A6A6" w:themeColor="accent5"/>
            </w:tcBorders>
            <w:noWrap/>
          </w:tcPr>
          <w:p w14:paraId="4002FB21" w14:textId="77777777" w:rsidR="00265792" w:rsidRPr="00BA7805" w:rsidRDefault="00265792" w:rsidP="00634FE2">
            <w:pPr>
              <w:pStyle w:val="ARfintablebodyright"/>
              <w:rPr>
                <w:highlight w:val="green"/>
              </w:rPr>
            </w:pPr>
            <w:r w:rsidRPr="00521C57">
              <w:t>7.0</w:t>
            </w:r>
          </w:p>
        </w:tc>
      </w:tr>
      <w:tr w:rsidR="00265792" w:rsidRPr="00BA7805" w14:paraId="7A1F31BB" w14:textId="77777777" w:rsidTr="00973C2B">
        <w:tc>
          <w:tcPr>
            <w:tcW w:w="6915" w:type="dxa"/>
            <w:tcBorders>
              <w:top w:val="single" w:sz="4" w:space="0" w:color="A6A6A6" w:themeColor="accent5"/>
              <w:bottom w:val="single" w:sz="4" w:space="0" w:color="000000" w:themeColor="text1"/>
            </w:tcBorders>
          </w:tcPr>
          <w:p w14:paraId="5145B359" w14:textId="77777777" w:rsidR="00265792" w:rsidRPr="00BA7805" w:rsidRDefault="00265792" w:rsidP="00634FE2">
            <w:pPr>
              <w:pStyle w:val="ARfintablebody"/>
              <w:rPr>
                <w:highlight w:val="green"/>
              </w:rPr>
            </w:pPr>
            <w:r w:rsidRPr="00521C57">
              <w:t>Community housing loans</w:t>
            </w:r>
          </w:p>
        </w:tc>
        <w:tc>
          <w:tcPr>
            <w:tcW w:w="1361" w:type="dxa"/>
            <w:tcBorders>
              <w:top w:val="single" w:sz="4" w:space="0" w:color="A6A6A6" w:themeColor="accent5"/>
              <w:bottom w:val="single" w:sz="4" w:space="0" w:color="000000" w:themeColor="text1"/>
            </w:tcBorders>
            <w:shd w:val="clear" w:color="auto" w:fill="EEEEEF" w:themeFill="accent4"/>
            <w:noWrap/>
          </w:tcPr>
          <w:p w14:paraId="79FE4148" w14:textId="77777777" w:rsidR="00265792" w:rsidRPr="00BA7805" w:rsidRDefault="00265792" w:rsidP="00634FE2">
            <w:pPr>
              <w:pStyle w:val="ARfintablebodyright"/>
              <w:rPr>
                <w:highlight w:val="green"/>
              </w:rPr>
            </w:pPr>
            <w:r w:rsidRPr="00521C57">
              <w:t>38.9</w:t>
            </w:r>
          </w:p>
        </w:tc>
        <w:tc>
          <w:tcPr>
            <w:tcW w:w="1361" w:type="dxa"/>
            <w:tcBorders>
              <w:top w:val="single" w:sz="4" w:space="0" w:color="A6A6A6" w:themeColor="accent5"/>
              <w:bottom w:val="single" w:sz="4" w:space="0" w:color="000000" w:themeColor="text1"/>
            </w:tcBorders>
            <w:noWrap/>
          </w:tcPr>
          <w:p w14:paraId="2A1B7333" w14:textId="77777777" w:rsidR="00265792" w:rsidRPr="00BA7805" w:rsidRDefault="00265792" w:rsidP="00634FE2">
            <w:pPr>
              <w:pStyle w:val="ARfintablebodyright"/>
              <w:rPr>
                <w:highlight w:val="green"/>
              </w:rPr>
            </w:pPr>
            <w:r>
              <w:t>–</w:t>
            </w:r>
          </w:p>
        </w:tc>
      </w:tr>
      <w:tr w:rsidR="00265792" w:rsidRPr="00BA7805" w14:paraId="4AE857C3" w14:textId="77777777" w:rsidTr="00973C2B">
        <w:tc>
          <w:tcPr>
            <w:tcW w:w="6915" w:type="dxa"/>
            <w:tcBorders>
              <w:top w:val="single" w:sz="4" w:space="0" w:color="000000" w:themeColor="text1"/>
              <w:bottom w:val="single" w:sz="4" w:space="0" w:color="000000" w:themeColor="text1"/>
            </w:tcBorders>
          </w:tcPr>
          <w:p w14:paraId="19C3DAB5" w14:textId="77777777" w:rsidR="00265792" w:rsidRPr="00BA7805" w:rsidRDefault="00265792" w:rsidP="009C089D">
            <w:pPr>
              <w:pStyle w:val="ARfintablebodybold"/>
              <w:rPr>
                <w:highlight w:val="green"/>
              </w:rPr>
            </w:pPr>
            <w:r w:rsidRPr="00521C57">
              <w:t>Total current loans</w:t>
            </w:r>
          </w:p>
        </w:tc>
        <w:tc>
          <w:tcPr>
            <w:tcW w:w="1361" w:type="dxa"/>
            <w:tcBorders>
              <w:top w:val="single" w:sz="4" w:space="0" w:color="000000" w:themeColor="text1"/>
              <w:bottom w:val="single" w:sz="4" w:space="0" w:color="000000" w:themeColor="text1"/>
            </w:tcBorders>
            <w:shd w:val="clear" w:color="auto" w:fill="EEEEEF" w:themeFill="accent4"/>
            <w:noWrap/>
          </w:tcPr>
          <w:p w14:paraId="09AA0A54" w14:textId="77777777" w:rsidR="00265792" w:rsidRPr="00BA7805" w:rsidRDefault="00265792" w:rsidP="00973C2B">
            <w:pPr>
              <w:pStyle w:val="ARfintablebodyrightbold"/>
              <w:rPr>
                <w:highlight w:val="green"/>
              </w:rPr>
            </w:pPr>
            <w:r w:rsidRPr="00521C57">
              <w:t>45.8</w:t>
            </w:r>
          </w:p>
        </w:tc>
        <w:tc>
          <w:tcPr>
            <w:tcW w:w="1361" w:type="dxa"/>
            <w:tcBorders>
              <w:top w:val="single" w:sz="4" w:space="0" w:color="000000" w:themeColor="text1"/>
              <w:bottom w:val="single" w:sz="4" w:space="0" w:color="000000" w:themeColor="text1"/>
            </w:tcBorders>
            <w:noWrap/>
          </w:tcPr>
          <w:p w14:paraId="5B5AF14F" w14:textId="77777777" w:rsidR="00265792" w:rsidRPr="00BA7805" w:rsidRDefault="00265792" w:rsidP="00973C2B">
            <w:pPr>
              <w:pStyle w:val="ARfintablebodyrightbold"/>
              <w:rPr>
                <w:highlight w:val="green"/>
              </w:rPr>
            </w:pPr>
            <w:r w:rsidRPr="00521C57">
              <w:t>7.5</w:t>
            </w:r>
          </w:p>
        </w:tc>
      </w:tr>
      <w:tr w:rsidR="00265792" w:rsidRPr="00BA7805" w14:paraId="2ED785A9" w14:textId="77777777" w:rsidTr="00973C2B">
        <w:tc>
          <w:tcPr>
            <w:tcW w:w="6915" w:type="dxa"/>
            <w:tcBorders>
              <w:top w:val="single" w:sz="4" w:space="0" w:color="000000" w:themeColor="text1"/>
              <w:bottom w:val="single" w:sz="4" w:space="0" w:color="A6A6A6" w:themeColor="accent5"/>
            </w:tcBorders>
          </w:tcPr>
          <w:p w14:paraId="4E7BBB8A" w14:textId="77777777" w:rsidR="00265792" w:rsidRPr="00BA7805" w:rsidRDefault="00265792" w:rsidP="009C089D">
            <w:pPr>
              <w:pStyle w:val="ARfintablebodybold"/>
              <w:rPr>
                <w:highlight w:val="green"/>
              </w:rPr>
            </w:pPr>
            <w:r w:rsidRPr="00521C57">
              <w:t xml:space="preserve">Non-current loans </w:t>
            </w:r>
          </w:p>
        </w:tc>
        <w:tc>
          <w:tcPr>
            <w:tcW w:w="1361" w:type="dxa"/>
            <w:tcBorders>
              <w:top w:val="single" w:sz="4" w:space="0" w:color="000000" w:themeColor="text1"/>
              <w:bottom w:val="single" w:sz="4" w:space="0" w:color="A6A6A6" w:themeColor="accent5"/>
            </w:tcBorders>
            <w:noWrap/>
          </w:tcPr>
          <w:p w14:paraId="7BD685F4" w14:textId="77777777" w:rsidR="00265792" w:rsidRPr="00BA7805" w:rsidRDefault="00265792" w:rsidP="00634FE2">
            <w:pPr>
              <w:pStyle w:val="ARfintablebodyright"/>
              <w:rPr>
                <w:highlight w:val="green"/>
              </w:rPr>
            </w:pPr>
          </w:p>
        </w:tc>
        <w:tc>
          <w:tcPr>
            <w:tcW w:w="1361" w:type="dxa"/>
            <w:tcBorders>
              <w:top w:val="single" w:sz="4" w:space="0" w:color="000000" w:themeColor="text1"/>
              <w:bottom w:val="single" w:sz="4" w:space="0" w:color="A6A6A6" w:themeColor="accent5"/>
            </w:tcBorders>
            <w:noWrap/>
          </w:tcPr>
          <w:p w14:paraId="6FDDE643" w14:textId="77777777" w:rsidR="00265792" w:rsidRPr="00BA7805" w:rsidRDefault="00265792" w:rsidP="00634FE2">
            <w:pPr>
              <w:pStyle w:val="ARfintablebodyright"/>
              <w:rPr>
                <w:highlight w:val="green"/>
              </w:rPr>
            </w:pPr>
          </w:p>
        </w:tc>
      </w:tr>
      <w:tr w:rsidR="00265792" w:rsidRPr="00BA7805" w14:paraId="78901464" w14:textId="77777777" w:rsidTr="00973C2B">
        <w:tc>
          <w:tcPr>
            <w:tcW w:w="6915" w:type="dxa"/>
            <w:tcBorders>
              <w:top w:val="single" w:sz="4" w:space="0" w:color="A6A6A6" w:themeColor="accent5"/>
            </w:tcBorders>
          </w:tcPr>
          <w:p w14:paraId="1D2F7ED6" w14:textId="77777777" w:rsidR="00265792" w:rsidRPr="00BA7805" w:rsidRDefault="00265792" w:rsidP="00236FC7">
            <w:pPr>
              <w:pStyle w:val="ARfintablebodyitalics"/>
              <w:rPr>
                <w:highlight w:val="green"/>
              </w:rPr>
            </w:pPr>
            <w:r w:rsidRPr="00521C57">
              <w:t>Contractual</w:t>
            </w:r>
          </w:p>
        </w:tc>
        <w:tc>
          <w:tcPr>
            <w:tcW w:w="1361" w:type="dxa"/>
            <w:tcBorders>
              <w:top w:val="single" w:sz="4" w:space="0" w:color="A6A6A6" w:themeColor="accent5"/>
            </w:tcBorders>
            <w:noWrap/>
          </w:tcPr>
          <w:p w14:paraId="4221946F" w14:textId="77777777" w:rsidR="00265792" w:rsidRPr="00BA7805" w:rsidRDefault="00265792" w:rsidP="00634FE2">
            <w:pPr>
              <w:pStyle w:val="ARfintablebodyright"/>
              <w:rPr>
                <w:highlight w:val="green"/>
              </w:rPr>
            </w:pPr>
          </w:p>
        </w:tc>
        <w:tc>
          <w:tcPr>
            <w:tcW w:w="1361" w:type="dxa"/>
            <w:tcBorders>
              <w:top w:val="single" w:sz="4" w:space="0" w:color="A6A6A6" w:themeColor="accent5"/>
            </w:tcBorders>
            <w:noWrap/>
          </w:tcPr>
          <w:p w14:paraId="1D48451C" w14:textId="77777777" w:rsidR="00265792" w:rsidRPr="00BA7805" w:rsidRDefault="00265792" w:rsidP="00634FE2">
            <w:pPr>
              <w:pStyle w:val="ARfintablebodyright"/>
              <w:rPr>
                <w:highlight w:val="green"/>
              </w:rPr>
            </w:pPr>
          </w:p>
        </w:tc>
      </w:tr>
      <w:tr w:rsidR="00265792" w:rsidRPr="00BA7805" w14:paraId="678DDD9A" w14:textId="77777777" w:rsidTr="00973C2B">
        <w:tc>
          <w:tcPr>
            <w:tcW w:w="6915" w:type="dxa"/>
          </w:tcPr>
          <w:p w14:paraId="4A6B3CA2" w14:textId="77777777" w:rsidR="00265792" w:rsidRPr="002C7359" w:rsidRDefault="00265792">
            <w:pPr>
              <w:pStyle w:val="ARfintablebody"/>
              <w:rPr>
                <w:b/>
                <w:highlight w:val="green"/>
              </w:rPr>
            </w:pPr>
            <w:r w:rsidRPr="002C7359">
              <w:t>Fixed interest home loans</w:t>
            </w:r>
          </w:p>
        </w:tc>
        <w:tc>
          <w:tcPr>
            <w:tcW w:w="1361" w:type="dxa"/>
            <w:shd w:val="clear" w:color="auto" w:fill="EEEEEF" w:themeFill="accent4"/>
            <w:noWrap/>
          </w:tcPr>
          <w:p w14:paraId="0F01F9E2" w14:textId="77777777" w:rsidR="00265792" w:rsidRPr="002C7359" w:rsidRDefault="00265792">
            <w:pPr>
              <w:pStyle w:val="ARfintablebodyright"/>
              <w:rPr>
                <w:b/>
                <w:highlight w:val="green"/>
              </w:rPr>
            </w:pPr>
            <w:r w:rsidRPr="002C7359">
              <w:t>0.2</w:t>
            </w:r>
          </w:p>
        </w:tc>
        <w:tc>
          <w:tcPr>
            <w:tcW w:w="1361" w:type="dxa"/>
            <w:noWrap/>
          </w:tcPr>
          <w:p w14:paraId="59DBFD36" w14:textId="77777777" w:rsidR="00265792" w:rsidRPr="002C7359" w:rsidRDefault="00265792">
            <w:pPr>
              <w:pStyle w:val="ARfintablebodyright"/>
              <w:rPr>
                <w:b/>
                <w:highlight w:val="green"/>
              </w:rPr>
            </w:pPr>
            <w:r w:rsidRPr="002C7359">
              <w:t>0.3</w:t>
            </w:r>
          </w:p>
        </w:tc>
      </w:tr>
      <w:tr w:rsidR="00265792" w:rsidRPr="00BA7805" w14:paraId="558C10B7" w14:textId="77777777" w:rsidTr="00973C2B">
        <w:tc>
          <w:tcPr>
            <w:tcW w:w="6915" w:type="dxa"/>
            <w:tcBorders>
              <w:bottom w:val="single" w:sz="4" w:space="0" w:color="A6A6A6" w:themeColor="accent5"/>
            </w:tcBorders>
          </w:tcPr>
          <w:p w14:paraId="487B46BE" w14:textId="77777777" w:rsidR="00265792" w:rsidRPr="00BA7805" w:rsidRDefault="00265792" w:rsidP="00634FE2">
            <w:pPr>
              <w:pStyle w:val="ARfintablebody"/>
              <w:rPr>
                <w:highlight w:val="green"/>
              </w:rPr>
            </w:pPr>
            <w:r w:rsidRPr="00521C57">
              <w:t>Indexed interest home loans</w:t>
            </w:r>
          </w:p>
        </w:tc>
        <w:tc>
          <w:tcPr>
            <w:tcW w:w="1361" w:type="dxa"/>
            <w:tcBorders>
              <w:bottom w:val="single" w:sz="4" w:space="0" w:color="A6A6A6" w:themeColor="accent5"/>
            </w:tcBorders>
            <w:shd w:val="clear" w:color="auto" w:fill="EEEEEF" w:themeFill="accent4"/>
            <w:noWrap/>
          </w:tcPr>
          <w:p w14:paraId="3C55D325" w14:textId="77777777" w:rsidR="00265792" w:rsidRPr="00BA7805" w:rsidRDefault="00265792" w:rsidP="00634FE2">
            <w:pPr>
              <w:pStyle w:val="ARfintablebodyright"/>
              <w:rPr>
                <w:highlight w:val="green"/>
              </w:rPr>
            </w:pPr>
            <w:r w:rsidRPr="00521C57">
              <w:t>0.6</w:t>
            </w:r>
          </w:p>
        </w:tc>
        <w:tc>
          <w:tcPr>
            <w:tcW w:w="1361" w:type="dxa"/>
            <w:tcBorders>
              <w:bottom w:val="single" w:sz="4" w:space="0" w:color="A6A6A6" w:themeColor="accent5"/>
            </w:tcBorders>
            <w:noWrap/>
          </w:tcPr>
          <w:p w14:paraId="43921067" w14:textId="77777777" w:rsidR="00265792" w:rsidRPr="00BA7805" w:rsidRDefault="00265792" w:rsidP="00634FE2">
            <w:pPr>
              <w:pStyle w:val="ARfintablebodyright"/>
              <w:rPr>
                <w:highlight w:val="green"/>
              </w:rPr>
            </w:pPr>
            <w:r w:rsidRPr="00521C57">
              <w:t>0.3</w:t>
            </w:r>
          </w:p>
        </w:tc>
      </w:tr>
      <w:tr w:rsidR="00265792" w:rsidRPr="00BA7805" w14:paraId="5B817376" w14:textId="77777777" w:rsidTr="00973C2B">
        <w:tc>
          <w:tcPr>
            <w:tcW w:w="6915" w:type="dxa"/>
            <w:tcBorders>
              <w:top w:val="single" w:sz="4" w:space="0" w:color="A6A6A6" w:themeColor="accent5"/>
              <w:bottom w:val="single" w:sz="4" w:space="0" w:color="000000" w:themeColor="text1"/>
            </w:tcBorders>
          </w:tcPr>
          <w:p w14:paraId="796A1963" w14:textId="77777777" w:rsidR="00265792" w:rsidRPr="00BA7805" w:rsidRDefault="00265792" w:rsidP="00634FE2">
            <w:pPr>
              <w:pStyle w:val="ARfintablebody"/>
              <w:rPr>
                <w:highlight w:val="green"/>
              </w:rPr>
            </w:pPr>
            <w:r w:rsidRPr="00521C57">
              <w:t>Community housing loans</w:t>
            </w:r>
          </w:p>
        </w:tc>
        <w:tc>
          <w:tcPr>
            <w:tcW w:w="1361" w:type="dxa"/>
            <w:tcBorders>
              <w:top w:val="single" w:sz="4" w:space="0" w:color="A6A6A6" w:themeColor="accent5"/>
              <w:bottom w:val="single" w:sz="4" w:space="0" w:color="000000" w:themeColor="text1"/>
            </w:tcBorders>
            <w:shd w:val="clear" w:color="auto" w:fill="EEEEEF" w:themeFill="accent4"/>
            <w:noWrap/>
          </w:tcPr>
          <w:p w14:paraId="765CF428" w14:textId="77777777" w:rsidR="00265792" w:rsidRPr="00BA7805" w:rsidRDefault="00265792" w:rsidP="00634FE2">
            <w:pPr>
              <w:pStyle w:val="ARfintablebodyright"/>
              <w:rPr>
                <w:highlight w:val="green"/>
              </w:rPr>
            </w:pPr>
            <w:r w:rsidRPr="00521C57">
              <w:t>20.2</w:t>
            </w:r>
          </w:p>
        </w:tc>
        <w:tc>
          <w:tcPr>
            <w:tcW w:w="1361" w:type="dxa"/>
            <w:tcBorders>
              <w:top w:val="single" w:sz="4" w:space="0" w:color="A6A6A6" w:themeColor="accent5"/>
              <w:bottom w:val="single" w:sz="4" w:space="0" w:color="000000" w:themeColor="text1"/>
            </w:tcBorders>
            <w:noWrap/>
          </w:tcPr>
          <w:p w14:paraId="670F92D9" w14:textId="77777777" w:rsidR="00265792" w:rsidRPr="00BA7805" w:rsidRDefault="00265792" w:rsidP="00634FE2">
            <w:pPr>
              <w:pStyle w:val="ARfintablebodyright"/>
              <w:rPr>
                <w:highlight w:val="green"/>
              </w:rPr>
            </w:pPr>
            <w:r w:rsidRPr="00521C57">
              <w:t>20.2</w:t>
            </w:r>
          </w:p>
        </w:tc>
      </w:tr>
      <w:tr w:rsidR="00265792" w:rsidRPr="00BA7805" w14:paraId="2C111C42" w14:textId="77777777" w:rsidTr="00973C2B">
        <w:tc>
          <w:tcPr>
            <w:tcW w:w="6915" w:type="dxa"/>
            <w:tcBorders>
              <w:top w:val="single" w:sz="4" w:space="0" w:color="000000" w:themeColor="text1"/>
              <w:bottom w:val="single" w:sz="4" w:space="0" w:color="000000" w:themeColor="text1"/>
            </w:tcBorders>
          </w:tcPr>
          <w:p w14:paraId="10374D89" w14:textId="77777777" w:rsidR="00265792" w:rsidRPr="00BA7805" w:rsidRDefault="00265792" w:rsidP="00236FC7">
            <w:pPr>
              <w:pStyle w:val="ARfintablebodybold"/>
              <w:rPr>
                <w:highlight w:val="green"/>
              </w:rPr>
            </w:pPr>
            <w:r w:rsidRPr="00521C57">
              <w:t xml:space="preserve">Total non-current loans </w:t>
            </w:r>
          </w:p>
        </w:tc>
        <w:tc>
          <w:tcPr>
            <w:tcW w:w="1361" w:type="dxa"/>
            <w:tcBorders>
              <w:top w:val="single" w:sz="4" w:space="0" w:color="000000" w:themeColor="text1"/>
              <w:bottom w:val="single" w:sz="4" w:space="0" w:color="000000" w:themeColor="text1"/>
            </w:tcBorders>
            <w:shd w:val="clear" w:color="auto" w:fill="EEEEEF" w:themeFill="accent4"/>
            <w:noWrap/>
          </w:tcPr>
          <w:p w14:paraId="34A6482D" w14:textId="77777777" w:rsidR="00265792" w:rsidRPr="00BA7805" w:rsidRDefault="00265792" w:rsidP="00236FC7">
            <w:pPr>
              <w:pStyle w:val="ARfintablebodyrightbold"/>
              <w:rPr>
                <w:highlight w:val="green"/>
              </w:rPr>
            </w:pPr>
            <w:r w:rsidRPr="00521C57">
              <w:t>21.0</w:t>
            </w:r>
          </w:p>
        </w:tc>
        <w:tc>
          <w:tcPr>
            <w:tcW w:w="1361" w:type="dxa"/>
            <w:tcBorders>
              <w:top w:val="single" w:sz="4" w:space="0" w:color="000000" w:themeColor="text1"/>
              <w:bottom w:val="single" w:sz="4" w:space="0" w:color="000000" w:themeColor="text1"/>
            </w:tcBorders>
            <w:noWrap/>
          </w:tcPr>
          <w:p w14:paraId="6A2BC428" w14:textId="77777777" w:rsidR="00265792" w:rsidRPr="00BA7805" w:rsidRDefault="00265792" w:rsidP="00236FC7">
            <w:pPr>
              <w:pStyle w:val="ARfintablebodyrightbold"/>
              <w:rPr>
                <w:highlight w:val="green"/>
              </w:rPr>
            </w:pPr>
            <w:r w:rsidRPr="00521C57">
              <w:t>20.8</w:t>
            </w:r>
          </w:p>
        </w:tc>
      </w:tr>
      <w:tr w:rsidR="00265792" w:rsidRPr="00BA7805" w14:paraId="16CBFB7D" w14:textId="77777777" w:rsidTr="00973C2B">
        <w:tc>
          <w:tcPr>
            <w:tcW w:w="6915" w:type="dxa"/>
            <w:tcBorders>
              <w:top w:val="single" w:sz="4" w:space="0" w:color="000000" w:themeColor="text1"/>
              <w:bottom w:val="single" w:sz="4" w:space="0" w:color="A6A6A6" w:themeColor="accent5"/>
            </w:tcBorders>
          </w:tcPr>
          <w:p w14:paraId="2775CEC5" w14:textId="77777777" w:rsidR="00265792" w:rsidRPr="00BA7805" w:rsidRDefault="00265792" w:rsidP="00236FC7">
            <w:pPr>
              <w:pStyle w:val="ARfintablebodybold"/>
              <w:rPr>
                <w:highlight w:val="green"/>
              </w:rPr>
            </w:pPr>
            <w:r w:rsidRPr="00521C57">
              <w:t>Less allowance for impairment losses of contractual loans</w:t>
            </w:r>
          </w:p>
        </w:tc>
        <w:tc>
          <w:tcPr>
            <w:tcW w:w="1361" w:type="dxa"/>
            <w:tcBorders>
              <w:top w:val="single" w:sz="4" w:space="0" w:color="000000" w:themeColor="text1"/>
              <w:bottom w:val="single" w:sz="4" w:space="0" w:color="A6A6A6" w:themeColor="accent5"/>
            </w:tcBorders>
            <w:noWrap/>
          </w:tcPr>
          <w:p w14:paraId="6D8A1748" w14:textId="77777777" w:rsidR="00265792" w:rsidRPr="00BA7805" w:rsidRDefault="00265792" w:rsidP="00634FE2">
            <w:pPr>
              <w:pStyle w:val="ARfintablebodyrightbold"/>
              <w:rPr>
                <w:highlight w:val="green"/>
              </w:rPr>
            </w:pPr>
          </w:p>
        </w:tc>
        <w:tc>
          <w:tcPr>
            <w:tcW w:w="1361" w:type="dxa"/>
            <w:tcBorders>
              <w:top w:val="single" w:sz="4" w:space="0" w:color="000000" w:themeColor="text1"/>
              <w:bottom w:val="single" w:sz="4" w:space="0" w:color="A6A6A6" w:themeColor="accent5"/>
            </w:tcBorders>
            <w:noWrap/>
          </w:tcPr>
          <w:p w14:paraId="65AC1C71" w14:textId="77777777" w:rsidR="00265792" w:rsidRPr="00BA7805" w:rsidRDefault="00265792" w:rsidP="00634FE2">
            <w:pPr>
              <w:pStyle w:val="ARfintablebodyrightbold"/>
              <w:rPr>
                <w:highlight w:val="green"/>
              </w:rPr>
            </w:pPr>
          </w:p>
        </w:tc>
      </w:tr>
      <w:tr w:rsidR="00265792" w:rsidRPr="00BA7805" w14:paraId="02290150" w14:textId="77777777" w:rsidTr="00973C2B">
        <w:tc>
          <w:tcPr>
            <w:tcW w:w="6915" w:type="dxa"/>
            <w:tcBorders>
              <w:top w:val="single" w:sz="4" w:space="0" w:color="A6A6A6" w:themeColor="accent5"/>
            </w:tcBorders>
          </w:tcPr>
          <w:p w14:paraId="2A7B951F" w14:textId="77777777" w:rsidR="00265792" w:rsidRPr="00BA7805" w:rsidRDefault="00265792" w:rsidP="00634FE2">
            <w:pPr>
              <w:pStyle w:val="ARfintablebody"/>
              <w:rPr>
                <w:highlight w:val="green"/>
              </w:rPr>
            </w:pPr>
            <w:r w:rsidRPr="00521C57">
              <w:t>Indexed interest home loans</w:t>
            </w:r>
          </w:p>
        </w:tc>
        <w:tc>
          <w:tcPr>
            <w:tcW w:w="1361" w:type="dxa"/>
            <w:tcBorders>
              <w:top w:val="single" w:sz="4" w:space="0" w:color="A6A6A6" w:themeColor="accent5"/>
            </w:tcBorders>
            <w:shd w:val="clear" w:color="auto" w:fill="EEEEEF" w:themeFill="accent4"/>
            <w:noWrap/>
          </w:tcPr>
          <w:p w14:paraId="62148E44" w14:textId="77777777" w:rsidR="00265792" w:rsidRPr="00BA7805" w:rsidRDefault="00265792" w:rsidP="00634FE2">
            <w:pPr>
              <w:pStyle w:val="ARfintablebodyright"/>
              <w:rPr>
                <w:highlight w:val="green"/>
              </w:rPr>
            </w:pPr>
            <w:r w:rsidRPr="00521C57">
              <w:t>(0.1)</w:t>
            </w:r>
          </w:p>
        </w:tc>
        <w:tc>
          <w:tcPr>
            <w:tcW w:w="1361" w:type="dxa"/>
            <w:tcBorders>
              <w:top w:val="single" w:sz="4" w:space="0" w:color="A6A6A6" w:themeColor="accent5"/>
            </w:tcBorders>
            <w:noWrap/>
          </w:tcPr>
          <w:p w14:paraId="49A2B5E5" w14:textId="77777777" w:rsidR="00265792" w:rsidRPr="00BA7805" w:rsidRDefault="00265792" w:rsidP="00634FE2">
            <w:pPr>
              <w:pStyle w:val="ARfintablebodyright"/>
              <w:rPr>
                <w:highlight w:val="green"/>
              </w:rPr>
            </w:pPr>
            <w:r w:rsidRPr="00521C57">
              <w:t>(0.1)</w:t>
            </w:r>
          </w:p>
        </w:tc>
      </w:tr>
      <w:tr w:rsidR="00265792" w:rsidRPr="00BA7805" w14:paraId="7D959E51" w14:textId="77777777" w:rsidTr="00973C2B">
        <w:tc>
          <w:tcPr>
            <w:tcW w:w="6915" w:type="dxa"/>
          </w:tcPr>
          <w:p w14:paraId="7A241BD9" w14:textId="77777777" w:rsidR="00265792" w:rsidRPr="00BA7805" w:rsidRDefault="00265792" w:rsidP="00634FE2">
            <w:pPr>
              <w:pStyle w:val="ARfintablebodybold"/>
              <w:rPr>
                <w:highlight w:val="green"/>
              </w:rPr>
            </w:pPr>
            <w:r w:rsidRPr="00521C57">
              <w:t>Total allowance for impairment losses of contractual loans</w:t>
            </w:r>
          </w:p>
        </w:tc>
        <w:tc>
          <w:tcPr>
            <w:tcW w:w="1361" w:type="dxa"/>
            <w:shd w:val="clear" w:color="auto" w:fill="EEEEEF" w:themeFill="accent4"/>
            <w:noWrap/>
          </w:tcPr>
          <w:p w14:paraId="564D401B" w14:textId="77777777" w:rsidR="00265792" w:rsidRPr="00BA7805" w:rsidRDefault="00265792" w:rsidP="00634FE2">
            <w:pPr>
              <w:pStyle w:val="ARfintablebodyrightbold"/>
              <w:rPr>
                <w:highlight w:val="green"/>
              </w:rPr>
            </w:pPr>
            <w:r w:rsidRPr="00521C57">
              <w:t>(0.1)</w:t>
            </w:r>
          </w:p>
        </w:tc>
        <w:tc>
          <w:tcPr>
            <w:tcW w:w="1361" w:type="dxa"/>
            <w:noWrap/>
          </w:tcPr>
          <w:p w14:paraId="6CA12858" w14:textId="77777777" w:rsidR="00265792" w:rsidRPr="00BA7805" w:rsidRDefault="00265792" w:rsidP="00634FE2">
            <w:pPr>
              <w:pStyle w:val="ARfintablebodyrightbold"/>
              <w:rPr>
                <w:highlight w:val="green"/>
              </w:rPr>
            </w:pPr>
            <w:r w:rsidRPr="00521C57">
              <w:t>(0.1)</w:t>
            </w:r>
          </w:p>
        </w:tc>
      </w:tr>
      <w:tr w:rsidR="00265792" w:rsidRPr="00BA7805" w14:paraId="26490A7C" w14:textId="77777777" w:rsidTr="00973C2B">
        <w:trPr>
          <w:cnfStyle w:val="010000000000" w:firstRow="0" w:lastRow="1" w:firstColumn="0" w:lastColumn="0" w:oddVBand="0" w:evenVBand="0" w:oddHBand="0" w:evenHBand="0" w:firstRowFirstColumn="0" w:firstRowLastColumn="0" w:lastRowFirstColumn="0" w:lastRowLastColumn="0"/>
        </w:trPr>
        <w:tc>
          <w:tcPr>
            <w:tcW w:w="6915" w:type="dxa"/>
          </w:tcPr>
          <w:p w14:paraId="6FE78E6C" w14:textId="77777777" w:rsidR="00265792" w:rsidRPr="00BA7805" w:rsidRDefault="00265792" w:rsidP="00634FE2">
            <w:pPr>
              <w:pStyle w:val="ARfintablebodybold"/>
              <w:rPr>
                <w:highlight w:val="green"/>
              </w:rPr>
            </w:pPr>
            <w:r w:rsidRPr="00521C57">
              <w:t xml:space="preserve">Total loans </w:t>
            </w:r>
          </w:p>
        </w:tc>
        <w:tc>
          <w:tcPr>
            <w:tcW w:w="1361" w:type="dxa"/>
            <w:shd w:val="clear" w:color="auto" w:fill="EEEEEF" w:themeFill="accent4"/>
            <w:noWrap/>
          </w:tcPr>
          <w:p w14:paraId="214FAEF6" w14:textId="77777777" w:rsidR="00265792" w:rsidRPr="00BA7805" w:rsidRDefault="00265792" w:rsidP="00634FE2">
            <w:pPr>
              <w:pStyle w:val="ARfintablebodyrightbold"/>
              <w:rPr>
                <w:highlight w:val="green"/>
              </w:rPr>
            </w:pPr>
            <w:r w:rsidRPr="00521C57">
              <w:t>66.7</w:t>
            </w:r>
          </w:p>
        </w:tc>
        <w:tc>
          <w:tcPr>
            <w:tcW w:w="1361" w:type="dxa"/>
            <w:noWrap/>
          </w:tcPr>
          <w:p w14:paraId="08F7D23C" w14:textId="77777777" w:rsidR="00265792" w:rsidRPr="00BA7805" w:rsidRDefault="00265792" w:rsidP="00634FE2">
            <w:pPr>
              <w:pStyle w:val="ARfintablebodyrightbold"/>
              <w:rPr>
                <w:highlight w:val="green"/>
              </w:rPr>
            </w:pPr>
            <w:r w:rsidRPr="00521C57">
              <w:t>28.2</w:t>
            </w:r>
          </w:p>
        </w:tc>
      </w:tr>
    </w:tbl>
    <w:p w14:paraId="5B2403D9" w14:textId="53021141" w:rsidR="00265792" w:rsidRDefault="00265792" w:rsidP="00CE1C72">
      <w:pPr>
        <w:pStyle w:val="ARfinbodyaftertable"/>
      </w:pPr>
      <w:r>
        <w:t xml:space="preserve">The department’s loans are related to housing loan programs that are no longer active. </w:t>
      </w:r>
      <w:proofErr w:type="gramStart"/>
      <w:r>
        <w:t>The majority of</w:t>
      </w:r>
      <w:proofErr w:type="gramEnd"/>
      <w:r>
        <w:t xml:space="preserve"> these housing loans are secured by a registered mortgage. However, there are a small number of loans that are on terms incorporated in the contracts of sale. Whil</w:t>
      </w:r>
      <w:r w:rsidR="00A062A6">
        <w:t>e</w:t>
      </w:r>
      <w:r>
        <w:t xml:space="preserve"> the title remains in the name of the vendor, Homes Victoria has claim to the title until the amount owing under the contract of sale is paid in full.</w:t>
      </w:r>
    </w:p>
    <w:p w14:paraId="0FB47CA5" w14:textId="77777777" w:rsidR="00265792" w:rsidRDefault="00265792" w:rsidP="00CE1C72">
      <w:pPr>
        <w:pStyle w:val="ARfinbodylargespace"/>
      </w:pPr>
      <w:r>
        <w:t xml:space="preserve">Loans are initially recognised at fair value plus any directly attributable transaction costs. </w:t>
      </w:r>
      <w:proofErr w:type="gramStart"/>
      <w:r>
        <w:t>Subsequent to</w:t>
      </w:r>
      <w:proofErr w:type="gramEnd"/>
      <w:r>
        <w:t xml:space="preserve"> initial measurement they are measured at amortised cost using the effective interest method, less any impairment.</w:t>
      </w:r>
    </w:p>
    <w:p w14:paraId="1A1E6D22" w14:textId="77777777" w:rsidR="00265792" w:rsidRDefault="00265792" w:rsidP="00CE1C72">
      <w:pPr>
        <w:pStyle w:val="ARfinbodylargespace"/>
        <w:rPr>
          <w:highlight w:val="green"/>
        </w:rPr>
      </w:pPr>
      <w:r w:rsidRPr="00CE1C72">
        <w:rPr>
          <w:rStyle w:val="Strong"/>
        </w:rPr>
        <w:t>Defaults and breaches:</w:t>
      </w:r>
      <w:r>
        <w:t xml:space="preserve"> During the current and prior year, there were no defaults and breaches of any of the loans.</w:t>
      </w:r>
    </w:p>
    <w:p w14:paraId="1C4D64C1" w14:textId="77777777" w:rsidR="00265792" w:rsidRPr="00BA7805" w:rsidRDefault="00265792" w:rsidP="005C7C7D">
      <w:pPr>
        <w:pStyle w:val="ARbody"/>
        <w:rPr>
          <w:highlight w:val="green"/>
        </w:rPr>
      </w:pPr>
      <w:r w:rsidRPr="00BA7805">
        <w:rPr>
          <w:highlight w:val="green"/>
        </w:rPr>
        <w:br w:type="page"/>
      </w:r>
    </w:p>
    <w:p w14:paraId="601F0AD1" w14:textId="77777777" w:rsidR="00265792" w:rsidRPr="00E24EDF" w:rsidRDefault="00265792">
      <w:pPr>
        <w:pStyle w:val="Heading4"/>
        <w:rPr>
          <w:highlight w:val="cyan"/>
        </w:rPr>
      </w:pPr>
      <w:r w:rsidRPr="00F17E25">
        <w:lastRenderedPageBreak/>
        <w:t>6.</w:t>
      </w:r>
      <w:r>
        <w:t>3</w:t>
      </w:r>
      <w:r w:rsidRPr="00F17E25">
        <w:t xml:space="preserve"> </w:t>
      </w:r>
      <w:r w:rsidRPr="00770AFF">
        <w:t>Payables</w:t>
      </w:r>
    </w:p>
    <w:tbl>
      <w:tblPr>
        <w:tblStyle w:val="TableGrid"/>
        <w:tblW w:w="9637" w:type="dxa"/>
        <w:tblLayout w:type="fixed"/>
        <w:tblLook w:val="06E0" w:firstRow="1" w:lastRow="1" w:firstColumn="1" w:lastColumn="0" w:noHBand="1" w:noVBand="1"/>
      </w:tblPr>
      <w:tblGrid>
        <w:gridCol w:w="6941"/>
        <w:gridCol w:w="1418"/>
        <w:gridCol w:w="1278"/>
      </w:tblGrid>
      <w:tr w:rsidR="00265792" w:rsidRPr="00E24EDF" w14:paraId="215731E0" w14:textId="77777777" w:rsidTr="00D1014F">
        <w:trPr>
          <w:cnfStyle w:val="100000000000" w:firstRow="1" w:lastRow="0" w:firstColumn="0" w:lastColumn="0" w:oddVBand="0" w:evenVBand="0" w:oddHBand="0" w:evenHBand="0" w:firstRowFirstColumn="0" w:firstRowLastColumn="0" w:lastRowFirstColumn="0" w:lastRowLastColumn="0"/>
        </w:trPr>
        <w:tc>
          <w:tcPr>
            <w:tcW w:w="6941" w:type="dxa"/>
            <w:noWrap/>
            <w:hideMark/>
          </w:tcPr>
          <w:p w14:paraId="21EED170" w14:textId="77777777" w:rsidR="00265792" w:rsidRPr="00E24EDF" w:rsidRDefault="00265792">
            <w:pPr>
              <w:pStyle w:val="ARfintablecolhead"/>
              <w:rPr>
                <w:highlight w:val="cyan"/>
              </w:rPr>
            </w:pPr>
          </w:p>
        </w:tc>
        <w:tc>
          <w:tcPr>
            <w:tcW w:w="1418" w:type="dxa"/>
            <w:shd w:val="clear" w:color="auto" w:fill="EEEEEF" w:themeFill="accent4"/>
            <w:hideMark/>
          </w:tcPr>
          <w:p w14:paraId="61E58389" w14:textId="77777777" w:rsidR="00265792" w:rsidRPr="001C69A0" w:rsidRDefault="00265792">
            <w:pPr>
              <w:pStyle w:val="ARfintablecolheadright"/>
            </w:pPr>
            <w:r w:rsidRPr="001C69A0">
              <w:t>202</w:t>
            </w:r>
            <w:r>
              <w:t>5</w:t>
            </w:r>
          </w:p>
          <w:p w14:paraId="3CF41468" w14:textId="77777777" w:rsidR="00265792" w:rsidRPr="001C69A0" w:rsidRDefault="00265792">
            <w:pPr>
              <w:pStyle w:val="ARfintablecolheadright"/>
            </w:pPr>
            <w:r w:rsidRPr="001C69A0">
              <w:t>$M</w:t>
            </w:r>
          </w:p>
        </w:tc>
        <w:tc>
          <w:tcPr>
            <w:tcW w:w="1278" w:type="dxa"/>
            <w:hideMark/>
          </w:tcPr>
          <w:p w14:paraId="7ABFBA5C" w14:textId="77777777" w:rsidR="00265792" w:rsidRPr="001C69A0" w:rsidRDefault="00265792">
            <w:pPr>
              <w:pStyle w:val="ARfintablecolheadright"/>
            </w:pPr>
            <w:r w:rsidRPr="001C69A0">
              <w:t>202</w:t>
            </w:r>
            <w:r>
              <w:t>4</w:t>
            </w:r>
          </w:p>
          <w:p w14:paraId="285D60CC" w14:textId="77777777" w:rsidR="00265792" w:rsidRPr="001C69A0" w:rsidRDefault="00265792">
            <w:pPr>
              <w:pStyle w:val="ARfintablecolheadright"/>
            </w:pPr>
            <w:r w:rsidRPr="001C69A0">
              <w:t>$M</w:t>
            </w:r>
          </w:p>
        </w:tc>
      </w:tr>
      <w:tr w:rsidR="00265792" w:rsidRPr="00E24EDF" w14:paraId="356350AD" w14:textId="77777777" w:rsidTr="00D1014F">
        <w:tc>
          <w:tcPr>
            <w:tcW w:w="6941" w:type="dxa"/>
          </w:tcPr>
          <w:p w14:paraId="292127F5" w14:textId="77777777" w:rsidR="00265792" w:rsidRPr="007C1757" w:rsidRDefault="00265792" w:rsidP="00D1014F">
            <w:pPr>
              <w:pStyle w:val="ARfintablebodybold"/>
            </w:pPr>
            <w:r w:rsidRPr="007C1757">
              <w:t>Current payables</w:t>
            </w:r>
          </w:p>
        </w:tc>
        <w:tc>
          <w:tcPr>
            <w:tcW w:w="1418" w:type="dxa"/>
            <w:noWrap/>
          </w:tcPr>
          <w:p w14:paraId="7806A3B7" w14:textId="77777777" w:rsidR="00265792" w:rsidRPr="00E24EDF" w:rsidRDefault="00265792" w:rsidP="00E03927">
            <w:pPr>
              <w:pStyle w:val="ARfintablebodyright"/>
              <w:rPr>
                <w:highlight w:val="cyan"/>
              </w:rPr>
            </w:pPr>
          </w:p>
        </w:tc>
        <w:tc>
          <w:tcPr>
            <w:tcW w:w="1278" w:type="dxa"/>
            <w:noWrap/>
          </w:tcPr>
          <w:p w14:paraId="31C388C9" w14:textId="77777777" w:rsidR="00265792" w:rsidRPr="00E24EDF" w:rsidRDefault="00265792" w:rsidP="00E03927">
            <w:pPr>
              <w:pStyle w:val="ARfintablebodyright"/>
              <w:rPr>
                <w:highlight w:val="cyan"/>
              </w:rPr>
            </w:pPr>
          </w:p>
        </w:tc>
      </w:tr>
      <w:tr w:rsidR="00265792" w:rsidRPr="00E24EDF" w14:paraId="44392E9B" w14:textId="77777777" w:rsidTr="00D1014F">
        <w:tc>
          <w:tcPr>
            <w:tcW w:w="6941" w:type="dxa"/>
          </w:tcPr>
          <w:p w14:paraId="3E1AC587" w14:textId="77777777" w:rsidR="00265792" w:rsidRPr="007C1757" w:rsidRDefault="00265792" w:rsidP="00D1014F">
            <w:pPr>
              <w:pStyle w:val="ARfintablebodyitalics"/>
            </w:pPr>
            <w:r w:rsidRPr="007C1757">
              <w:t>Statutory</w:t>
            </w:r>
          </w:p>
        </w:tc>
        <w:tc>
          <w:tcPr>
            <w:tcW w:w="1418" w:type="dxa"/>
            <w:noWrap/>
          </w:tcPr>
          <w:p w14:paraId="2418AD3A" w14:textId="77777777" w:rsidR="00265792" w:rsidRPr="00E24EDF" w:rsidRDefault="00265792" w:rsidP="00E03927">
            <w:pPr>
              <w:pStyle w:val="ARfintablebodyright"/>
              <w:rPr>
                <w:highlight w:val="cyan"/>
              </w:rPr>
            </w:pPr>
          </w:p>
        </w:tc>
        <w:tc>
          <w:tcPr>
            <w:tcW w:w="1278" w:type="dxa"/>
            <w:noWrap/>
          </w:tcPr>
          <w:p w14:paraId="61BA5419" w14:textId="77777777" w:rsidR="00265792" w:rsidRPr="00E24EDF" w:rsidRDefault="00265792" w:rsidP="00E03927">
            <w:pPr>
              <w:pStyle w:val="ARfintablebodyright"/>
              <w:rPr>
                <w:highlight w:val="cyan"/>
              </w:rPr>
            </w:pPr>
          </w:p>
        </w:tc>
      </w:tr>
      <w:tr w:rsidR="00265792" w:rsidRPr="00E24EDF" w14:paraId="1D5E6A75" w14:textId="77777777" w:rsidTr="00D1014F">
        <w:tc>
          <w:tcPr>
            <w:tcW w:w="6941" w:type="dxa"/>
          </w:tcPr>
          <w:p w14:paraId="60BDBCE2" w14:textId="77777777" w:rsidR="00265792" w:rsidRPr="007C1757" w:rsidRDefault="00265792" w:rsidP="00E03927">
            <w:pPr>
              <w:pStyle w:val="ARfintablebody"/>
            </w:pPr>
            <w:r w:rsidRPr="007C1757">
              <w:t>FBT payable</w:t>
            </w:r>
          </w:p>
        </w:tc>
        <w:tc>
          <w:tcPr>
            <w:tcW w:w="1418" w:type="dxa"/>
            <w:shd w:val="clear" w:color="auto" w:fill="EEEEEF" w:themeFill="accent4"/>
            <w:noWrap/>
          </w:tcPr>
          <w:p w14:paraId="6A041C5D" w14:textId="77777777" w:rsidR="00265792" w:rsidRPr="00E24EDF" w:rsidRDefault="00265792" w:rsidP="00E03927">
            <w:pPr>
              <w:pStyle w:val="ARfintablebodyright"/>
              <w:rPr>
                <w:highlight w:val="cyan"/>
              </w:rPr>
            </w:pPr>
            <w:r w:rsidRPr="00F73363">
              <w:t>0.9</w:t>
            </w:r>
          </w:p>
        </w:tc>
        <w:tc>
          <w:tcPr>
            <w:tcW w:w="1278" w:type="dxa"/>
            <w:noWrap/>
          </w:tcPr>
          <w:p w14:paraId="3AC11C10" w14:textId="77777777" w:rsidR="00265792" w:rsidRPr="00E24EDF" w:rsidRDefault="00265792" w:rsidP="00E03927">
            <w:pPr>
              <w:pStyle w:val="ARfintablebodyright"/>
              <w:rPr>
                <w:highlight w:val="cyan"/>
              </w:rPr>
            </w:pPr>
            <w:r w:rsidRPr="00F73363">
              <w:t>0.1</w:t>
            </w:r>
          </w:p>
        </w:tc>
      </w:tr>
      <w:tr w:rsidR="00265792" w:rsidRPr="00E24EDF" w14:paraId="1E0CED23" w14:textId="77777777" w:rsidTr="00992778">
        <w:tc>
          <w:tcPr>
            <w:tcW w:w="6941" w:type="dxa"/>
          </w:tcPr>
          <w:p w14:paraId="4A26B969" w14:textId="77777777" w:rsidR="00265792" w:rsidRPr="007C1757" w:rsidRDefault="00265792" w:rsidP="00D1014F">
            <w:pPr>
              <w:pStyle w:val="ARfintablebodyitalics"/>
            </w:pPr>
            <w:r w:rsidRPr="007C1757">
              <w:t>Contractual</w:t>
            </w:r>
          </w:p>
        </w:tc>
        <w:tc>
          <w:tcPr>
            <w:tcW w:w="1418" w:type="dxa"/>
            <w:noWrap/>
          </w:tcPr>
          <w:p w14:paraId="4AA3BFBE" w14:textId="77777777" w:rsidR="00265792" w:rsidRPr="00E24EDF" w:rsidRDefault="00265792" w:rsidP="00E03927">
            <w:pPr>
              <w:pStyle w:val="ARfintablebodyright"/>
              <w:rPr>
                <w:highlight w:val="cyan"/>
              </w:rPr>
            </w:pPr>
          </w:p>
        </w:tc>
        <w:tc>
          <w:tcPr>
            <w:tcW w:w="1278" w:type="dxa"/>
            <w:noWrap/>
          </w:tcPr>
          <w:p w14:paraId="06FFCA9F" w14:textId="77777777" w:rsidR="00265792" w:rsidRPr="00E24EDF" w:rsidRDefault="00265792" w:rsidP="00E03927">
            <w:pPr>
              <w:pStyle w:val="ARfintablebodyright"/>
              <w:rPr>
                <w:highlight w:val="cyan"/>
              </w:rPr>
            </w:pPr>
          </w:p>
        </w:tc>
      </w:tr>
      <w:tr w:rsidR="00265792" w:rsidRPr="00E24EDF" w14:paraId="3184E38F" w14:textId="77777777" w:rsidTr="00D1014F">
        <w:tc>
          <w:tcPr>
            <w:tcW w:w="6941" w:type="dxa"/>
          </w:tcPr>
          <w:p w14:paraId="70F2141B" w14:textId="77777777" w:rsidR="00265792" w:rsidRPr="007C1757" w:rsidRDefault="00265792" w:rsidP="00E03927">
            <w:pPr>
              <w:pStyle w:val="ARfintablebody"/>
            </w:pPr>
            <w:r w:rsidRPr="007C1757">
              <w:t xml:space="preserve">Employee benefits payable </w:t>
            </w:r>
          </w:p>
        </w:tc>
        <w:tc>
          <w:tcPr>
            <w:tcW w:w="1418" w:type="dxa"/>
            <w:shd w:val="clear" w:color="auto" w:fill="EEEEEF" w:themeFill="accent4"/>
            <w:noWrap/>
          </w:tcPr>
          <w:p w14:paraId="11FA3916" w14:textId="77777777" w:rsidR="00265792" w:rsidRPr="00E24EDF" w:rsidRDefault="00265792" w:rsidP="00E03927">
            <w:pPr>
              <w:pStyle w:val="ARfintablebodyright"/>
              <w:rPr>
                <w:highlight w:val="cyan"/>
              </w:rPr>
            </w:pPr>
            <w:r w:rsidRPr="00F73363">
              <w:t>18.2</w:t>
            </w:r>
          </w:p>
        </w:tc>
        <w:tc>
          <w:tcPr>
            <w:tcW w:w="1278" w:type="dxa"/>
            <w:noWrap/>
          </w:tcPr>
          <w:p w14:paraId="476CBC69" w14:textId="77777777" w:rsidR="00265792" w:rsidRPr="00E24EDF" w:rsidRDefault="00265792" w:rsidP="00E03927">
            <w:pPr>
              <w:pStyle w:val="ARfintablebodyright"/>
              <w:rPr>
                <w:highlight w:val="cyan"/>
              </w:rPr>
            </w:pPr>
            <w:r w:rsidRPr="00F73363">
              <w:t>24.6</w:t>
            </w:r>
          </w:p>
        </w:tc>
      </w:tr>
      <w:tr w:rsidR="00265792" w:rsidRPr="00E24EDF" w14:paraId="6D6EDC2E" w14:textId="77777777" w:rsidTr="00D1014F">
        <w:tc>
          <w:tcPr>
            <w:tcW w:w="6941" w:type="dxa"/>
          </w:tcPr>
          <w:p w14:paraId="521AAF81" w14:textId="77777777" w:rsidR="00265792" w:rsidRPr="007C1757" w:rsidRDefault="00265792" w:rsidP="00E03927">
            <w:pPr>
              <w:pStyle w:val="ARfintablebody"/>
            </w:pPr>
            <w:r w:rsidRPr="007C1757">
              <w:t>Supplies and services</w:t>
            </w:r>
          </w:p>
        </w:tc>
        <w:tc>
          <w:tcPr>
            <w:tcW w:w="1418" w:type="dxa"/>
            <w:shd w:val="clear" w:color="auto" w:fill="EEEEEF" w:themeFill="accent4"/>
            <w:noWrap/>
          </w:tcPr>
          <w:p w14:paraId="64CBB76F" w14:textId="77777777" w:rsidR="00265792" w:rsidRPr="00E24EDF" w:rsidRDefault="00265792" w:rsidP="00E03927">
            <w:pPr>
              <w:pStyle w:val="ARfintablebodyright"/>
              <w:rPr>
                <w:highlight w:val="cyan"/>
              </w:rPr>
            </w:pPr>
            <w:r w:rsidRPr="00F73363">
              <w:t>127.9</w:t>
            </w:r>
          </w:p>
        </w:tc>
        <w:tc>
          <w:tcPr>
            <w:tcW w:w="1278" w:type="dxa"/>
            <w:noWrap/>
          </w:tcPr>
          <w:p w14:paraId="764919C7" w14:textId="77777777" w:rsidR="00265792" w:rsidRPr="00E24EDF" w:rsidRDefault="00265792" w:rsidP="00E03927">
            <w:pPr>
              <w:pStyle w:val="ARfintablebodyright"/>
              <w:rPr>
                <w:highlight w:val="cyan"/>
              </w:rPr>
            </w:pPr>
            <w:r w:rsidRPr="00F73363">
              <w:t>165.1</w:t>
            </w:r>
          </w:p>
        </w:tc>
      </w:tr>
      <w:tr w:rsidR="00265792" w:rsidRPr="00E24EDF" w14:paraId="33CAC78E" w14:textId="77777777" w:rsidTr="00D1014F">
        <w:tc>
          <w:tcPr>
            <w:tcW w:w="6941" w:type="dxa"/>
          </w:tcPr>
          <w:p w14:paraId="5101B856" w14:textId="77777777" w:rsidR="00265792" w:rsidRPr="007C1757" w:rsidRDefault="00265792" w:rsidP="00E03927">
            <w:pPr>
              <w:pStyle w:val="ARfintablebody"/>
            </w:pPr>
            <w:r w:rsidRPr="007C1757">
              <w:t>Amounts payable to external agencies</w:t>
            </w:r>
          </w:p>
        </w:tc>
        <w:tc>
          <w:tcPr>
            <w:tcW w:w="1418" w:type="dxa"/>
            <w:shd w:val="clear" w:color="auto" w:fill="EEEEEF" w:themeFill="accent4"/>
            <w:noWrap/>
          </w:tcPr>
          <w:p w14:paraId="4A099D2C" w14:textId="77777777" w:rsidR="00265792" w:rsidRPr="00E24EDF" w:rsidRDefault="00265792" w:rsidP="00E03927">
            <w:pPr>
              <w:pStyle w:val="ARfintablebodyright"/>
              <w:rPr>
                <w:highlight w:val="cyan"/>
              </w:rPr>
            </w:pPr>
            <w:r w:rsidRPr="00F73363">
              <w:t>44.3</w:t>
            </w:r>
          </w:p>
        </w:tc>
        <w:tc>
          <w:tcPr>
            <w:tcW w:w="1278" w:type="dxa"/>
            <w:noWrap/>
          </w:tcPr>
          <w:p w14:paraId="6DDF8A55" w14:textId="77777777" w:rsidR="00265792" w:rsidRPr="00E24EDF" w:rsidRDefault="00265792" w:rsidP="00E03927">
            <w:pPr>
              <w:pStyle w:val="ARfintablebodyright"/>
              <w:rPr>
                <w:highlight w:val="cyan"/>
              </w:rPr>
            </w:pPr>
            <w:r w:rsidRPr="00F73363">
              <w:t>86.5</w:t>
            </w:r>
          </w:p>
        </w:tc>
      </w:tr>
      <w:tr w:rsidR="00265792" w:rsidRPr="00E24EDF" w14:paraId="4FDA082E" w14:textId="77777777" w:rsidTr="00D1014F">
        <w:tc>
          <w:tcPr>
            <w:tcW w:w="6941" w:type="dxa"/>
          </w:tcPr>
          <w:p w14:paraId="055662FD" w14:textId="77777777" w:rsidR="00265792" w:rsidRPr="007C1757" w:rsidRDefault="00265792" w:rsidP="00E03927">
            <w:pPr>
              <w:pStyle w:val="ARfintablebody"/>
            </w:pPr>
            <w:r w:rsidRPr="007C1757">
              <w:t xml:space="preserve">Concession payments to pensioners </w:t>
            </w:r>
          </w:p>
        </w:tc>
        <w:tc>
          <w:tcPr>
            <w:tcW w:w="1418" w:type="dxa"/>
            <w:shd w:val="clear" w:color="auto" w:fill="EEEEEF" w:themeFill="accent4"/>
            <w:noWrap/>
          </w:tcPr>
          <w:p w14:paraId="5E203390" w14:textId="77777777" w:rsidR="00265792" w:rsidRPr="00E24EDF" w:rsidRDefault="00265792" w:rsidP="00E03927">
            <w:pPr>
              <w:pStyle w:val="ARfintablebodyright"/>
              <w:rPr>
                <w:highlight w:val="cyan"/>
              </w:rPr>
            </w:pPr>
            <w:r w:rsidRPr="00F73363">
              <w:t>133.0</w:t>
            </w:r>
          </w:p>
        </w:tc>
        <w:tc>
          <w:tcPr>
            <w:tcW w:w="1278" w:type="dxa"/>
            <w:noWrap/>
          </w:tcPr>
          <w:p w14:paraId="1467093C" w14:textId="77777777" w:rsidR="00265792" w:rsidRPr="00E24EDF" w:rsidRDefault="00265792" w:rsidP="00E03927">
            <w:pPr>
              <w:pStyle w:val="ARfintablebodyright"/>
              <w:rPr>
                <w:highlight w:val="cyan"/>
              </w:rPr>
            </w:pPr>
            <w:r w:rsidRPr="00F73363">
              <w:t>106.6</w:t>
            </w:r>
          </w:p>
        </w:tc>
      </w:tr>
      <w:tr w:rsidR="00265792" w:rsidRPr="00E24EDF" w14:paraId="2F45990A" w14:textId="77777777" w:rsidTr="00D1014F">
        <w:tc>
          <w:tcPr>
            <w:tcW w:w="6941" w:type="dxa"/>
            <w:tcBorders>
              <w:bottom w:val="single" w:sz="4" w:space="0" w:color="A6A6A6" w:themeColor="accent5"/>
            </w:tcBorders>
          </w:tcPr>
          <w:p w14:paraId="7A78AE30" w14:textId="77777777" w:rsidR="00265792" w:rsidRPr="007C1757" w:rsidRDefault="00265792" w:rsidP="00E03927">
            <w:pPr>
              <w:pStyle w:val="ARfintablebody"/>
            </w:pPr>
            <w:r w:rsidRPr="007C1757">
              <w:t>Tenants in advance</w:t>
            </w:r>
          </w:p>
        </w:tc>
        <w:tc>
          <w:tcPr>
            <w:tcW w:w="1418" w:type="dxa"/>
            <w:tcBorders>
              <w:bottom w:val="single" w:sz="4" w:space="0" w:color="A6A6A6" w:themeColor="accent5"/>
            </w:tcBorders>
            <w:shd w:val="clear" w:color="auto" w:fill="EEEEEF" w:themeFill="accent4"/>
            <w:noWrap/>
          </w:tcPr>
          <w:p w14:paraId="02BF73B5" w14:textId="77777777" w:rsidR="00265792" w:rsidRPr="00E24EDF" w:rsidRDefault="00265792" w:rsidP="00E03927">
            <w:pPr>
              <w:pStyle w:val="ARfintablebodyright"/>
              <w:rPr>
                <w:highlight w:val="cyan"/>
              </w:rPr>
            </w:pPr>
            <w:r w:rsidRPr="00F73363">
              <w:t>31.9</w:t>
            </w:r>
          </w:p>
        </w:tc>
        <w:tc>
          <w:tcPr>
            <w:tcW w:w="1278" w:type="dxa"/>
            <w:tcBorders>
              <w:bottom w:val="single" w:sz="4" w:space="0" w:color="A6A6A6" w:themeColor="accent5"/>
            </w:tcBorders>
            <w:noWrap/>
          </w:tcPr>
          <w:p w14:paraId="05C69B6F" w14:textId="77777777" w:rsidR="00265792" w:rsidRPr="00E24EDF" w:rsidRDefault="00265792" w:rsidP="00E03927">
            <w:pPr>
              <w:pStyle w:val="ARfintablebodyright"/>
              <w:rPr>
                <w:highlight w:val="cyan"/>
              </w:rPr>
            </w:pPr>
            <w:r w:rsidRPr="00F73363">
              <w:t>30.1</w:t>
            </w:r>
          </w:p>
        </w:tc>
      </w:tr>
      <w:tr w:rsidR="00265792" w:rsidRPr="00E24EDF" w14:paraId="16DDB1A1" w14:textId="77777777" w:rsidTr="00D1014F">
        <w:tc>
          <w:tcPr>
            <w:tcW w:w="6941" w:type="dxa"/>
            <w:tcBorders>
              <w:top w:val="single" w:sz="4" w:space="0" w:color="A6A6A6" w:themeColor="accent5"/>
              <w:bottom w:val="single" w:sz="4" w:space="0" w:color="000000" w:themeColor="text1"/>
            </w:tcBorders>
          </w:tcPr>
          <w:p w14:paraId="1C0CE972" w14:textId="77777777" w:rsidR="00265792" w:rsidRPr="007C1757" w:rsidRDefault="00265792" w:rsidP="00E03927">
            <w:pPr>
              <w:pStyle w:val="ARfintablebody"/>
            </w:pPr>
            <w:r w:rsidRPr="007C1757">
              <w:t>Other</w:t>
            </w:r>
          </w:p>
        </w:tc>
        <w:tc>
          <w:tcPr>
            <w:tcW w:w="1418" w:type="dxa"/>
            <w:tcBorders>
              <w:top w:val="single" w:sz="4" w:space="0" w:color="A6A6A6" w:themeColor="accent5"/>
              <w:bottom w:val="single" w:sz="4" w:space="0" w:color="000000" w:themeColor="text1"/>
            </w:tcBorders>
            <w:shd w:val="clear" w:color="auto" w:fill="EEEEEF" w:themeFill="accent4"/>
            <w:noWrap/>
          </w:tcPr>
          <w:p w14:paraId="36647652" w14:textId="77777777" w:rsidR="00265792" w:rsidRPr="00E24EDF" w:rsidRDefault="00265792" w:rsidP="00E03927">
            <w:pPr>
              <w:pStyle w:val="ARfintablebodyright"/>
              <w:rPr>
                <w:highlight w:val="cyan"/>
              </w:rPr>
            </w:pPr>
            <w:r w:rsidRPr="00F73363">
              <w:t>93.6</w:t>
            </w:r>
          </w:p>
        </w:tc>
        <w:tc>
          <w:tcPr>
            <w:tcW w:w="1278" w:type="dxa"/>
            <w:tcBorders>
              <w:top w:val="single" w:sz="4" w:space="0" w:color="A6A6A6" w:themeColor="accent5"/>
              <w:bottom w:val="single" w:sz="4" w:space="0" w:color="000000" w:themeColor="text1"/>
            </w:tcBorders>
            <w:noWrap/>
          </w:tcPr>
          <w:p w14:paraId="471BF6F3" w14:textId="77777777" w:rsidR="00265792" w:rsidRPr="00E24EDF" w:rsidRDefault="00265792" w:rsidP="00E03927">
            <w:pPr>
              <w:pStyle w:val="ARfintablebodyright"/>
              <w:rPr>
                <w:highlight w:val="cyan"/>
              </w:rPr>
            </w:pPr>
            <w:r w:rsidRPr="00F73363">
              <w:t>65.8</w:t>
            </w:r>
          </w:p>
        </w:tc>
      </w:tr>
      <w:tr w:rsidR="00265792" w:rsidRPr="00E24EDF" w14:paraId="764DE092" w14:textId="77777777" w:rsidTr="00D1014F">
        <w:tc>
          <w:tcPr>
            <w:tcW w:w="6941" w:type="dxa"/>
            <w:tcBorders>
              <w:top w:val="single" w:sz="4" w:space="0" w:color="000000" w:themeColor="text1"/>
              <w:bottom w:val="single" w:sz="4" w:space="0" w:color="000000" w:themeColor="text1"/>
            </w:tcBorders>
          </w:tcPr>
          <w:p w14:paraId="51F42FCD" w14:textId="77777777" w:rsidR="00265792" w:rsidRPr="007C1757" w:rsidRDefault="00265792" w:rsidP="00D1014F">
            <w:pPr>
              <w:pStyle w:val="ARfintablebodybold"/>
            </w:pPr>
            <w:r w:rsidRPr="007C1757">
              <w:t>Total current payables</w:t>
            </w:r>
          </w:p>
        </w:tc>
        <w:tc>
          <w:tcPr>
            <w:tcW w:w="1418" w:type="dxa"/>
            <w:tcBorders>
              <w:top w:val="single" w:sz="4" w:space="0" w:color="000000" w:themeColor="text1"/>
              <w:bottom w:val="single" w:sz="4" w:space="0" w:color="000000" w:themeColor="text1"/>
            </w:tcBorders>
            <w:shd w:val="clear" w:color="auto" w:fill="EEEEEF" w:themeFill="accent4"/>
            <w:noWrap/>
          </w:tcPr>
          <w:p w14:paraId="1FDA9BCC" w14:textId="77777777" w:rsidR="00265792" w:rsidRPr="00E24EDF" w:rsidRDefault="00265792" w:rsidP="00D1014F">
            <w:pPr>
              <w:pStyle w:val="ARfintablebodyrightbold"/>
              <w:rPr>
                <w:highlight w:val="cyan"/>
              </w:rPr>
            </w:pPr>
            <w:r w:rsidRPr="00F73363">
              <w:t>449.8</w:t>
            </w:r>
          </w:p>
        </w:tc>
        <w:tc>
          <w:tcPr>
            <w:tcW w:w="1278" w:type="dxa"/>
            <w:tcBorders>
              <w:top w:val="single" w:sz="4" w:space="0" w:color="000000" w:themeColor="text1"/>
              <w:bottom w:val="single" w:sz="4" w:space="0" w:color="000000" w:themeColor="text1"/>
            </w:tcBorders>
            <w:noWrap/>
          </w:tcPr>
          <w:p w14:paraId="2097B029" w14:textId="77777777" w:rsidR="00265792" w:rsidRPr="00E24EDF" w:rsidRDefault="00265792" w:rsidP="00D1014F">
            <w:pPr>
              <w:pStyle w:val="ARfintablebodyrightbold"/>
              <w:rPr>
                <w:highlight w:val="cyan"/>
              </w:rPr>
            </w:pPr>
            <w:r w:rsidRPr="00F73363">
              <w:t>478.8</w:t>
            </w:r>
          </w:p>
        </w:tc>
      </w:tr>
      <w:tr w:rsidR="00265792" w:rsidRPr="00E24EDF" w14:paraId="70094354" w14:textId="77777777" w:rsidTr="00D1014F">
        <w:tc>
          <w:tcPr>
            <w:tcW w:w="6941" w:type="dxa"/>
            <w:tcBorders>
              <w:top w:val="single" w:sz="4" w:space="0" w:color="000000" w:themeColor="text1"/>
              <w:bottom w:val="single" w:sz="4" w:space="0" w:color="A6A6A6" w:themeColor="accent5"/>
            </w:tcBorders>
          </w:tcPr>
          <w:p w14:paraId="24AD2C6A" w14:textId="77777777" w:rsidR="00265792" w:rsidRPr="007C1757" w:rsidRDefault="00265792" w:rsidP="00D1014F">
            <w:pPr>
              <w:pStyle w:val="ARfintablebodybold"/>
            </w:pPr>
            <w:r w:rsidRPr="007C1757">
              <w:t>Non-current payables</w:t>
            </w:r>
          </w:p>
        </w:tc>
        <w:tc>
          <w:tcPr>
            <w:tcW w:w="1418" w:type="dxa"/>
            <w:tcBorders>
              <w:top w:val="single" w:sz="4" w:space="0" w:color="000000" w:themeColor="text1"/>
              <w:bottom w:val="single" w:sz="4" w:space="0" w:color="A6A6A6" w:themeColor="accent5"/>
            </w:tcBorders>
            <w:noWrap/>
          </w:tcPr>
          <w:p w14:paraId="228D9D3A" w14:textId="77777777" w:rsidR="00265792" w:rsidRPr="00E24EDF" w:rsidRDefault="00265792" w:rsidP="00E03927">
            <w:pPr>
              <w:pStyle w:val="ARfintablebodyright"/>
              <w:rPr>
                <w:highlight w:val="cyan"/>
              </w:rPr>
            </w:pPr>
          </w:p>
        </w:tc>
        <w:tc>
          <w:tcPr>
            <w:tcW w:w="1278" w:type="dxa"/>
            <w:tcBorders>
              <w:top w:val="single" w:sz="4" w:space="0" w:color="000000" w:themeColor="text1"/>
              <w:bottom w:val="single" w:sz="4" w:space="0" w:color="A6A6A6" w:themeColor="accent5"/>
            </w:tcBorders>
            <w:noWrap/>
          </w:tcPr>
          <w:p w14:paraId="2DD56ED2" w14:textId="77777777" w:rsidR="00265792" w:rsidRPr="00E24EDF" w:rsidRDefault="00265792" w:rsidP="00E03927">
            <w:pPr>
              <w:pStyle w:val="ARfintablebodyright"/>
              <w:rPr>
                <w:highlight w:val="cyan"/>
              </w:rPr>
            </w:pPr>
          </w:p>
        </w:tc>
      </w:tr>
      <w:tr w:rsidR="00265792" w:rsidRPr="00E24EDF" w14:paraId="34E474CE" w14:textId="77777777" w:rsidTr="00D1014F">
        <w:tc>
          <w:tcPr>
            <w:tcW w:w="6941" w:type="dxa"/>
            <w:tcBorders>
              <w:top w:val="single" w:sz="4" w:space="0" w:color="A6A6A6" w:themeColor="accent5"/>
              <w:bottom w:val="single" w:sz="4" w:space="0" w:color="A6A6A6" w:themeColor="accent5"/>
            </w:tcBorders>
          </w:tcPr>
          <w:p w14:paraId="2E68F3F0" w14:textId="77777777" w:rsidR="00265792" w:rsidRPr="007C1757" w:rsidRDefault="00265792" w:rsidP="00D1014F">
            <w:pPr>
              <w:pStyle w:val="ARfintablebodyitalics"/>
            </w:pPr>
            <w:r w:rsidRPr="007C1757">
              <w:t>Contractual</w:t>
            </w:r>
          </w:p>
        </w:tc>
        <w:tc>
          <w:tcPr>
            <w:tcW w:w="1418" w:type="dxa"/>
            <w:tcBorders>
              <w:top w:val="single" w:sz="4" w:space="0" w:color="A6A6A6" w:themeColor="accent5"/>
              <w:bottom w:val="single" w:sz="4" w:space="0" w:color="A6A6A6" w:themeColor="accent5"/>
            </w:tcBorders>
            <w:noWrap/>
          </w:tcPr>
          <w:p w14:paraId="0B6312EF" w14:textId="77777777" w:rsidR="00265792" w:rsidRPr="00E24EDF" w:rsidRDefault="00265792" w:rsidP="00E03927">
            <w:pPr>
              <w:pStyle w:val="ARfintablebodyright"/>
              <w:rPr>
                <w:highlight w:val="cyan"/>
              </w:rPr>
            </w:pPr>
          </w:p>
        </w:tc>
        <w:tc>
          <w:tcPr>
            <w:tcW w:w="1278" w:type="dxa"/>
            <w:tcBorders>
              <w:top w:val="single" w:sz="4" w:space="0" w:color="A6A6A6" w:themeColor="accent5"/>
              <w:bottom w:val="single" w:sz="4" w:space="0" w:color="A6A6A6" w:themeColor="accent5"/>
            </w:tcBorders>
            <w:noWrap/>
          </w:tcPr>
          <w:p w14:paraId="72DA1F02" w14:textId="77777777" w:rsidR="00265792" w:rsidRPr="00E24EDF" w:rsidRDefault="00265792" w:rsidP="00E03927">
            <w:pPr>
              <w:pStyle w:val="ARfintablebodyright"/>
              <w:rPr>
                <w:highlight w:val="cyan"/>
              </w:rPr>
            </w:pPr>
          </w:p>
        </w:tc>
      </w:tr>
      <w:tr w:rsidR="00265792" w:rsidRPr="00E24EDF" w14:paraId="2D7256A1" w14:textId="77777777" w:rsidTr="00D1014F">
        <w:tc>
          <w:tcPr>
            <w:tcW w:w="6941" w:type="dxa"/>
            <w:tcBorders>
              <w:top w:val="single" w:sz="4" w:space="0" w:color="A6A6A6" w:themeColor="accent5"/>
              <w:bottom w:val="single" w:sz="4" w:space="0" w:color="000000" w:themeColor="text1"/>
            </w:tcBorders>
          </w:tcPr>
          <w:p w14:paraId="3B61DE06" w14:textId="77777777" w:rsidR="00265792" w:rsidRPr="007C1757" w:rsidRDefault="00265792" w:rsidP="00E03927">
            <w:pPr>
              <w:pStyle w:val="ARfintablebody"/>
            </w:pPr>
            <w:r w:rsidRPr="007C1757">
              <w:t>Other</w:t>
            </w:r>
          </w:p>
        </w:tc>
        <w:tc>
          <w:tcPr>
            <w:tcW w:w="1418" w:type="dxa"/>
            <w:tcBorders>
              <w:top w:val="single" w:sz="4" w:space="0" w:color="A6A6A6" w:themeColor="accent5"/>
              <w:bottom w:val="single" w:sz="4" w:space="0" w:color="000000" w:themeColor="text1"/>
            </w:tcBorders>
            <w:shd w:val="clear" w:color="auto" w:fill="EEEEEF" w:themeFill="accent4"/>
            <w:noWrap/>
          </w:tcPr>
          <w:p w14:paraId="348F6831" w14:textId="77777777" w:rsidR="00265792" w:rsidRPr="00E24EDF" w:rsidRDefault="00265792" w:rsidP="00E03927">
            <w:pPr>
              <w:pStyle w:val="ARfintablebodyright"/>
              <w:rPr>
                <w:highlight w:val="cyan"/>
              </w:rPr>
            </w:pPr>
            <w:r w:rsidRPr="00F73363">
              <w:t>0.8</w:t>
            </w:r>
          </w:p>
        </w:tc>
        <w:tc>
          <w:tcPr>
            <w:tcW w:w="1278" w:type="dxa"/>
            <w:tcBorders>
              <w:top w:val="single" w:sz="4" w:space="0" w:color="A6A6A6" w:themeColor="accent5"/>
              <w:bottom w:val="single" w:sz="4" w:space="0" w:color="000000" w:themeColor="text1"/>
            </w:tcBorders>
            <w:noWrap/>
          </w:tcPr>
          <w:p w14:paraId="7C9CFBBC" w14:textId="77777777" w:rsidR="00265792" w:rsidRPr="00E24EDF" w:rsidRDefault="00265792" w:rsidP="00E03927">
            <w:pPr>
              <w:pStyle w:val="ARfintablebodyright"/>
              <w:rPr>
                <w:highlight w:val="cyan"/>
              </w:rPr>
            </w:pPr>
            <w:r w:rsidRPr="00F73363">
              <w:t>0.8</w:t>
            </w:r>
          </w:p>
        </w:tc>
      </w:tr>
      <w:tr w:rsidR="00265792" w:rsidRPr="00E24EDF" w14:paraId="4543739E" w14:textId="77777777" w:rsidTr="00D1014F">
        <w:tc>
          <w:tcPr>
            <w:tcW w:w="6941" w:type="dxa"/>
            <w:tcBorders>
              <w:top w:val="single" w:sz="4" w:space="0" w:color="000000" w:themeColor="text1"/>
              <w:bottom w:val="single" w:sz="4" w:space="0" w:color="000000" w:themeColor="text1"/>
            </w:tcBorders>
          </w:tcPr>
          <w:p w14:paraId="167237BB" w14:textId="77777777" w:rsidR="00265792" w:rsidRPr="007C1757" w:rsidRDefault="00265792" w:rsidP="00D1014F">
            <w:pPr>
              <w:pStyle w:val="ARfintablebodybold"/>
            </w:pPr>
            <w:r w:rsidRPr="007C1757">
              <w:t>Total non-current payables</w:t>
            </w:r>
          </w:p>
        </w:tc>
        <w:tc>
          <w:tcPr>
            <w:tcW w:w="1418" w:type="dxa"/>
            <w:tcBorders>
              <w:top w:val="single" w:sz="4" w:space="0" w:color="000000" w:themeColor="text1"/>
              <w:bottom w:val="single" w:sz="4" w:space="0" w:color="000000" w:themeColor="text1"/>
            </w:tcBorders>
            <w:shd w:val="clear" w:color="auto" w:fill="EEEEEF" w:themeFill="accent4"/>
            <w:noWrap/>
          </w:tcPr>
          <w:p w14:paraId="36D0C139" w14:textId="77777777" w:rsidR="00265792" w:rsidRPr="00E24EDF" w:rsidRDefault="00265792" w:rsidP="00D1014F">
            <w:pPr>
              <w:pStyle w:val="ARfintablebodyrightbold"/>
              <w:rPr>
                <w:highlight w:val="cyan"/>
              </w:rPr>
            </w:pPr>
            <w:r w:rsidRPr="00F73363">
              <w:t>0.8</w:t>
            </w:r>
          </w:p>
        </w:tc>
        <w:tc>
          <w:tcPr>
            <w:tcW w:w="1278" w:type="dxa"/>
            <w:tcBorders>
              <w:top w:val="single" w:sz="4" w:space="0" w:color="000000" w:themeColor="text1"/>
              <w:bottom w:val="single" w:sz="4" w:space="0" w:color="000000" w:themeColor="text1"/>
            </w:tcBorders>
            <w:noWrap/>
          </w:tcPr>
          <w:p w14:paraId="01917BB5" w14:textId="77777777" w:rsidR="00265792" w:rsidRPr="00E24EDF" w:rsidRDefault="00265792" w:rsidP="00D1014F">
            <w:pPr>
              <w:pStyle w:val="ARfintablebodyrightbold"/>
              <w:rPr>
                <w:highlight w:val="cyan"/>
              </w:rPr>
            </w:pPr>
            <w:r w:rsidRPr="00F73363">
              <w:t>0.8</w:t>
            </w:r>
          </w:p>
        </w:tc>
      </w:tr>
      <w:tr w:rsidR="00265792" w:rsidRPr="00E24EDF" w14:paraId="1E489A2F" w14:textId="77777777" w:rsidTr="00D1014F">
        <w:trPr>
          <w:cnfStyle w:val="010000000000" w:firstRow="0" w:lastRow="1" w:firstColumn="0" w:lastColumn="0" w:oddVBand="0" w:evenVBand="0" w:oddHBand="0" w:evenHBand="0" w:firstRowFirstColumn="0" w:firstRowLastColumn="0" w:lastRowFirstColumn="0" w:lastRowLastColumn="0"/>
        </w:trPr>
        <w:tc>
          <w:tcPr>
            <w:tcW w:w="6941" w:type="dxa"/>
          </w:tcPr>
          <w:p w14:paraId="47B75C53" w14:textId="77777777" w:rsidR="00265792" w:rsidRPr="007C1757" w:rsidRDefault="00265792" w:rsidP="00D1014F">
            <w:pPr>
              <w:pStyle w:val="ARfintablebodybold"/>
            </w:pPr>
            <w:r w:rsidRPr="007C1757">
              <w:t>Total payables</w:t>
            </w:r>
          </w:p>
        </w:tc>
        <w:tc>
          <w:tcPr>
            <w:tcW w:w="1418" w:type="dxa"/>
            <w:shd w:val="clear" w:color="auto" w:fill="EEEEEF" w:themeFill="accent4"/>
            <w:noWrap/>
          </w:tcPr>
          <w:p w14:paraId="605DBEFB" w14:textId="77777777" w:rsidR="00265792" w:rsidRPr="00E24EDF" w:rsidRDefault="00265792" w:rsidP="00D1014F">
            <w:pPr>
              <w:pStyle w:val="ARfintablebodyrightbold"/>
              <w:rPr>
                <w:highlight w:val="cyan"/>
              </w:rPr>
            </w:pPr>
            <w:r w:rsidRPr="00F73363">
              <w:t>450.6</w:t>
            </w:r>
          </w:p>
        </w:tc>
        <w:tc>
          <w:tcPr>
            <w:tcW w:w="1278" w:type="dxa"/>
            <w:noWrap/>
          </w:tcPr>
          <w:p w14:paraId="0774936E" w14:textId="77777777" w:rsidR="00265792" w:rsidRPr="00E24EDF" w:rsidRDefault="00265792" w:rsidP="00D1014F">
            <w:pPr>
              <w:pStyle w:val="ARfintablebodyrightbold"/>
              <w:rPr>
                <w:highlight w:val="cyan"/>
              </w:rPr>
            </w:pPr>
            <w:r w:rsidRPr="00F73363">
              <w:t>479.6</w:t>
            </w:r>
          </w:p>
        </w:tc>
      </w:tr>
    </w:tbl>
    <w:p w14:paraId="624FD1E4" w14:textId="77777777" w:rsidR="00265792" w:rsidRDefault="00265792">
      <w:pPr>
        <w:pStyle w:val="ARfinbodyaftertable"/>
      </w:pPr>
      <w:r>
        <w:t>Payables consist of:</w:t>
      </w:r>
    </w:p>
    <w:p w14:paraId="2B340959" w14:textId="2FF4BBC9" w:rsidR="00265792" w:rsidRDefault="00265792" w:rsidP="00E03927">
      <w:pPr>
        <w:pStyle w:val="ARfinbullet1"/>
      </w:pPr>
      <w:r w:rsidRPr="006E230C">
        <w:rPr>
          <w:rStyle w:val="Strong"/>
        </w:rPr>
        <w:t>contractual payables</w:t>
      </w:r>
      <w:r>
        <w:t xml:space="preserve">, other than the </w:t>
      </w:r>
      <w:r w:rsidR="00565654">
        <w:t>g</w:t>
      </w:r>
      <w:r>
        <w:t>rant of right to operate liability, classified as financial instruments and measured at amortised cost. Accounts payable represent liabilities for goods and services provided to the department prior to the end of the reporting period that are unpaid</w:t>
      </w:r>
    </w:p>
    <w:p w14:paraId="065755EE" w14:textId="5AD4E7C8" w:rsidR="00265792" w:rsidRDefault="00265792" w:rsidP="00E03927">
      <w:pPr>
        <w:pStyle w:val="ARfinbullet1"/>
      </w:pPr>
      <w:r w:rsidRPr="006E230C">
        <w:rPr>
          <w:rStyle w:val="Strong"/>
        </w:rPr>
        <w:t>statutory payables</w:t>
      </w:r>
      <w:r>
        <w:t xml:space="preserve"> that are recognised and measured similarly to contractual </w:t>
      </w:r>
      <w:proofErr w:type="gramStart"/>
      <w:r>
        <w:t>payables, but</w:t>
      </w:r>
      <w:proofErr w:type="gramEnd"/>
      <w:r>
        <w:t xml:space="preserve"> are not classified as financial instruments and are not included in financial liabilities at amortised cost, because they do not arise from a contract. </w:t>
      </w:r>
    </w:p>
    <w:p w14:paraId="5F884095" w14:textId="77777777" w:rsidR="00265792" w:rsidRDefault="00265792" w:rsidP="00E03927">
      <w:pPr>
        <w:pStyle w:val="ARfinbodylargespace"/>
      </w:pPr>
      <w:r>
        <w:t xml:space="preserve">Payables for supplies and services have an average credit period of 30 days. </w:t>
      </w:r>
    </w:p>
    <w:p w14:paraId="09228C05" w14:textId="77777777" w:rsidR="00265792" w:rsidRDefault="00265792" w:rsidP="00E03927">
      <w:pPr>
        <w:pStyle w:val="ARfinbodylargespace"/>
      </w:pPr>
      <w:r>
        <w:t xml:space="preserve">The terms and conditions of amounts payable to the government and agencies vary according to the </w:t>
      </w:r>
      <w:proofErr w:type="gramStart"/>
      <w:r>
        <w:t>particular agreements</w:t>
      </w:r>
      <w:proofErr w:type="gramEnd"/>
      <w:r>
        <w:t xml:space="preserve"> and as they are not legislative payables, they are not classified as financial instruments.</w:t>
      </w:r>
    </w:p>
    <w:p w14:paraId="0D6240E9" w14:textId="77777777" w:rsidR="00265792" w:rsidRPr="005D27DE" w:rsidRDefault="00265792" w:rsidP="00207901">
      <w:pPr>
        <w:pStyle w:val="Heading5"/>
      </w:pPr>
      <w:r w:rsidRPr="005D27DE">
        <w:t>6.</w:t>
      </w:r>
      <w:r>
        <w:t>3</w:t>
      </w:r>
      <w:r w:rsidRPr="005D27DE">
        <w:t>.1 Maturity analysis of contractual payables</w:t>
      </w:r>
      <w:r>
        <w:t xml:space="preserve"> </w:t>
      </w:r>
      <w:r w:rsidRPr="005D27DE">
        <w:rPr>
          <w:rStyle w:val="Superscript"/>
          <w:rFonts w:eastAsia="Times"/>
        </w:rPr>
        <w:t>(</w:t>
      </w:r>
      <w:proofErr w:type="spellStart"/>
      <w:r w:rsidRPr="005D27DE">
        <w:rPr>
          <w:rStyle w:val="Superscript"/>
          <w:rFonts w:eastAsia="Times"/>
        </w:rPr>
        <w:t>i</w:t>
      </w:r>
      <w:proofErr w:type="spellEnd"/>
      <w:r w:rsidRPr="005D27DE">
        <w:rPr>
          <w:rStyle w:val="Superscript"/>
          <w:rFonts w:eastAsia="Times"/>
        </w:rPr>
        <w:t>)</w:t>
      </w:r>
    </w:p>
    <w:tbl>
      <w:tblPr>
        <w:tblStyle w:val="TableGrid"/>
        <w:tblW w:w="9637" w:type="dxa"/>
        <w:tblLayout w:type="fixed"/>
        <w:tblLook w:val="06E0" w:firstRow="1" w:lastRow="1" w:firstColumn="1" w:lastColumn="0" w:noHBand="1" w:noVBand="1"/>
      </w:tblPr>
      <w:tblGrid>
        <w:gridCol w:w="1700"/>
        <w:gridCol w:w="1133"/>
        <w:gridCol w:w="1134"/>
        <w:gridCol w:w="1134"/>
        <w:gridCol w:w="1134"/>
        <w:gridCol w:w="1134"/>
        <w:gridCol w:w="1134"/>
        <w:gridCol w:w="1134"/>
      </w:tblGrid>
      <w:tr w:rsidR="00265792" w:rsidRPr="00BA7805" w14:paraId="26372253" w14:textId="77777777" w:rsidTr="00753BA0">
        <w:trPr>
          <w:cnfStyle w:val="100000000000" w:firstRow="1" w:lastRow="0" w:firstColumn="0" w:lastColumn="0" w:oddVBand="0" w:evenVBand="0" w:oddHBand="0" w:evenHBand="0" w:firstRowFirstColumn="0" w:firstRowLastColumn="0" w:lastRowFirstColumn="0" w:lastRowLastColumn="0"/>
          <w:trHeight w:val="255"/>
          <w:tblHeader/>
        </w:trPr>
        <w:tc>
          <w:tcPr>
            <w:tcW w:w="1700" w:type="dxa"/>
            <w:vMerge w:val="restart"/>
            <w:tcBorders>
              <w:top w:val="nil"/>
            </w:tcBorders>
            <w:noWrap/>
            <w:hideMark/>
          </w:tcPr>
          <w:p w14:paraId="0D60DAC0" w14:textId="77777777" w:rsidR="00265792" w:rsidRPr="003C3F67" w:rsidRDefault="00265792">
            <w:pPr>
              <w:pStyle w:val="ARfintablecolhead"/>
            </w:pPr>
          </w:p>
        </w:tc>
        <w:tc>
          <w:tcPr>
            <w:tcW w:w="1133" w:type="dxa"/>
            <w:vMerge w:val="restart"/>
            <w:tcBorders>
              <w:top w:val="nil"/>
            </w:tcBorders>
            <w:shd w:val="clear" w:color="auto" w:fill="EEEEEF" w:themeFill="accent4"/>
            <w:noWrap/>
            <w:hideMark/>
          </w:tcPr>
          <w:p w14:paraId="57B4C2C1" w14:textId="77777777" w:rsidR="00265792" w:rsidRPr="003C3F67" w:rsidRDefault="00265792" w:rsidP="004D25D7">
            <w:pPr>
              <w:pStyle w:val="ARfintablecolheadright"/>
            </w:pPr>
            <w:r w:rsidRPr="003C3F67">
              <w:t>Carrying amount</w:t>
            </w:r>
          </w:p>
          <w:p w14:paraId="4CA03922" w14:textId="77777777" w:rsidR="00265792" w:rsidRPr="003C3F67" w:rsidRDefault="00265792" w:rsidP="004D25D7">
            <w:pPr>
              <w:pStyle w:val="ARfintablecolheadright"/>
            </w:pPr>
            <w:r w:rsidRPr="003C3F67">
              <w:t>$M</w:t>
            </w:r>
          </w:p>
        </w:tc>
        <w:tc>
          <w:tcPr>
            <w:tcW w:w="1134" w:type="dxa"/>
            <w:vMerge w:val="restart"/>
            <w:tcBorders>
              <w:top w:val="nil"/>
            </w:tcBorders>
            <w:noWrap/>
            <w:hideMark/>
          </w:tcPr>
          <w:p w14:paraId="39BCB115" w14:textId="77777777" w:rsidR="00265792" w:rsidRPr="003C3F67" w:rsidRDefault="00265792" w:rsidP="004D25D7">
            <w:pPr>
              <w:pStyle w:val="ARfintablecolheadright"/>
            </w:pPr>
            <w:r w:rsidRPr="003C3F67">
              <w:t>Nominal amount</w:t>
            </w:r>
          </w:p>
          <w:p w14:paraId="16E24368" w14:textId="77777777" w:rsidR="00265792" w:rsidRPr="003C3F67" w:rsidRDefault="00265792" w:rsidP="004D25D7">
            <w:pPr>
              <w:pStyle w:val="ARfintablecolheadright"/>
            </w:pPr>
            <w:r w:rsidRPr="003C3F67">
              <w:t>$M</w:t>
            </w:r>
          </w:p>
        </w:tc>
        <w:tc>
          <w:tcPr>
            <w:tcW w:w="5670" w:type="dxa"/>
            <w:gridSpan w:val="5"/>
            <w:tcBorders>
              <w:top w:val="nil"/>
            </w:tcBorders>
            <w:shd w:val="clear" w:color="auto" w:fill="EEEEEF" w:themeFill="accent4"/>
            <w:noWrap/>
            <w:hideMark/>
          </w:tcPr>
          <w:p w14:paraId="014098EB" w14:textId="77777777" w:rsidR="00265792" w:rsidRPr="003C3F67" w:rsidRDefault="00265792">
            <w:pPr>
              <w:pStyle w:val="ARfintablecolheadcentre"/>
            </w:pPr>
            <w:r w:rsidRPr="003C3F67">
              <w:t>Maturity dates</w:t>
            </w:r>
          </w:p>
        </w:tc>
      </w:tr>
      <w:tr w:rsidR="00265792" w:rsidRPr="00BA7805" w14:paraId="245B81FB" w14:textId="77777777" w:rsidTr="00753BA0">
        <w:trPr>
          <w:cnfStyle w:val="100000000000" w:firstRow="1" w:lastRow="0" w:firstColumn="0" w:lastColumn="0" w:oddVBand="0" w:evenVBand="0" w:oddHBand="0" w:evenHBand="0" w:firstRowFirstColumn="0" w:firstRowLastColumn="0" w:lastRowFirstColumn="0" w:lastRowLastColumn="0"/>
          <w:trHeight w:val="255"/>
          <w:tblHeader/>
        </w:trPr>
        <w:tc>
          <w:tcPr>
            <w:tcW w:w="1700" w:type="dxa"/>
            <w:vMerge/>
            <w:tcBorders>
              <w:top w:val="single" w:sz="4" w:space="0" w:color="000000" w:themeColor="text1"/>
            </w:tcBorders>
            <w:hideMark/>
          </w:tcPr>
          <w:p w14:paraId="2C2C9169" w14:textId="77777777" w:rsidR="00265792" w:rsidRPr="003C3F67" w:rsidRDefault="00265792">
            <w:pPr>
              <w:pStyle w:val="ARfintablecolhead"/>
            </w:pPr>
          </w:p>
        </w:tc>
        <w:tc>
          <w:tcPr>
            <w:tcW w:w="1133" w:type="dxa"/>
            <w:vMerge/>
            <w:tcBorders>
              <w:top w:val="single" w:sz="4" w:space="0" w:color="000000" w:themeColor="text1"/>
            </w:tcBorders>
            <w:shd w:val="clear" w:color="auto" w:fill="EEEEEF" w:themeFill="accent4"/>
            <w:hideMark/>
          </w:tcPr>
          <w:p w14:paraId="44D34485" w14:textId="77777777" w:rsidR="00265792" w:rsidRPr="003C3F67" w:rsidRDefault="00265792">
            <w:pPr>
              <w:pStyle w:val="ARfintablecolheadright"/>
            </w:pPr>
          </w:p>
        </w:tc>
        <w:tc>
          <w:tcPr>
            <w:tcW w:w="1134" w:type="dxa"/>
            <w:vMerge/>
            <w:tcBorders>
              <w:top w:val="single" w:sz="4" w:space="0" w:color="000000" w:themeColor="text1"/>
            </w:tcBorders>
            <w:hideMark/>
          </w:tcPr>
          <w:p w14:paraId="77F87C90" w14:textId="77777777" w:rsidR="00265792" w:rsidRPr="003C3F67" w:rsidRDefault="00265792">
            <w:pPr>
              <w:pStyle w:val="ARfintablecolheadright"/>
            </w:pPr>
          </w:p>
        </w:tc>
        <w:tc>
          <w:tcPr>
            <w:tcW w:w="1134" w:type="dxa"/>
            <w:tcBorders>
              <w:top w:val="single" w:sz="4" w:space="0" w:color="000000" w:themeColor="text1"/>
            </w:tcBorders>
            <w:shd w:val="clear" w:color="auto" w:fill="EEEEEF" w:themeFill="accent4"/>
            <w:hideMark/>
          </w:tcPr>
          <w:p w14:paraId="12CFAB88" w14:textId="77777777" w:rsidR="00265792" w:rsidRPr="003C3F67" w:rsidRDefault="00265792" w:rsidP="004D25D7">
            <w:pPr>
              <w:pStyle w:val="ARfintablecolheadright"/>
            </w:pPr>
            <w:r w:rsidRPr="003C3F67">
              <w:t>Less than 1 month</w:t>
            </w:r>
          </w:p>
          <w:p w14:paraId="43F446C4" w14:textId="77777777" w:rsidR="00265792" w:rsidRPr="003C3F67" w:rsidRDefault="00265792" w:rsidP="004D25D7">
            <w:pPr>
              <w:pStyle w:val="ARfintablecolheadright"/>
            </w:pPr>
            <w:r w:rsidRPr="003C3F67">
              <w:t>$M</w:t>
            </w:r>
          </w:p>
        </w:tc>
        <w:tc>
          <w:tcPr>
            <w:tcW w:w="1134" w:type="dxa"/>
            <w:tcBorders>
              <w:top w:val="single" w:sz="4" w:space="0" w:color="000000" w:themeColor="text1"/>
            </w:tcBorders>
            <w:shd w:val="clear" w:color="auto" w:fill="EEEEEF" w:themeFill="accent4"/>
            <w:hideMark/>
          </w:tcPr>
          <w:p w14:paraId="0D4B9630" w14:textId="77777777" w:rsidR="00265792" w:rsidRPr="003C3F67" w:rsidRDefault="00265792" w:rsidP="004D25D7">
            <w:pPr>
              <w:pStyle w:val="ARfintablecolheadright"/>
            </w:pPr>
            <w:r w:rsidRPr="003C3F67">
              <w:t>1–3 months</w:t>
            </w:r>
          </w:p>
          <w:p w14:paraId="27CD5FC5" w14:textId="77777777" w:rsidR="00265792" w:rsidRPr="003C3F67" w:rsidRDefault="00265792" w:rsidP="004D25D7">
            <w:pPr>
              <w:pStyle w:val="ARfintablecolheadright"/>
            </w:pPr>
            <w:r w:rsidRPr="003C3F67">
              <w:t>$M</w:t>
            </w:r>
          </w:p>
        </w:tc>
        <w:tc>
          <w:tcPr>
            <w:tcW w:w="1134" w:type="dxa"/>
            <w:tcBorders>
              <w:top w:val="single" w:sz="4" w:space="0" w:color="000000" w:themeColor="text1"/>
            </w:tcBorders>
            <w:shd w:val="clear" w:color="auto" w:fill="EEEEEF" w:themeFill="accent4"/>
            <w:hideMark/>
          </w:tcPr>
          <w:p w14:paraId="0CDFC21D" w14:textId="77777777" w:rsidR="00265792" w:rsidRPr="003C3F67" w:rsidRDefault="00265792" w:rsidP="004D25D7">
            <w:pPr>
              <w:pStyle w:val="ARfintablecolheadright"/>
            </w:pPr>
            <w:r w:rsidRPr="003C3F67">
              <w:t>3 months – 1 year</w:t>
            </w:r>
          </w:p>
          <w:p w14:paraId="7F269930" w14:textId="77777777" w:rsidR="00265792" w:rsidRPr="003C3F67" w:rsidRDefault="00265792" w:rsidP="004D25D7">
            <w:pPr>
              <w:pStyle w:val="ARfintablecolheadright"/>
            </w:pPr>
            <w:r w:rsidRPr="003C3F67">
              <w:t>$M</w:t>
            </w:r>
          </w:p>
        </w:tc>
        <w:tc>
          <w:tcPr>
            <w:tcW w:w="1134" w:type="dxa"/>
            <w:tcBorders>
              <w:top w:val="single" w:sz="4" w:space="0" w:color="000000" w:themeColor="text1"/>
            </w:tcBorders>
            <w:shd w:val="clear" w:color="auto" w:fill="EEEEEF" w:themeFill="accent4"/>
            <w:hideMark/>
          </w:tcPr>
          <w:p w14:paraId="06CFD1A8" w14:textId="77777777" w:rsidR="00265792" w:rsidRPr="003C3F67" w:rsidRDefault="00265792" w:rsidP="004D25D7">
            <w:pPr>
              <w:pStyle w:val="ARfintablecolheadright"/>
            </w:pPr>
            <w:r w:rsidRPr="003C3F67">
              <w:t>1–5 years</w:t>
            </w:r>
          </w:p>
          <w:p w14:paraId="6DAAE063" w14:textId="77777777" w:rsidR="00265792" w:rsidRPr="003C3F67" w:rsidRDefault="00265792" w:rsidP="004D25D7">
            <w:pPr>
              <w:pStyle w:val="ARfintablecolheadright"/>
            </w:pPr>
            <w:r w:rsidRPr="003C3F67">
              <w:t>$M</w:t>
            </w:r>
          </w:p>
        </w:tc>
        <w:tc>
          <w:tcPr>
            <w:tcW w:w="1134" w:type="dxa"/>
            <w:tcBorders>
              <w:top w:val="single" w:sz="4" w:space="0" w:color="000000" w:themeColor="text1"/>
            </w:tcBorders>
            <w:shd w:val="clear" w:color="auto" w:fill="EEEEEF" w:themeFill="accent4"/>
            <w:hideMark/>
          </w:tcPr>
          <w:p w14:paraId="4F6F254F" w14:textId="77777777" w:rsidR="00265792" w:rsidRPr="003C3F67" w:rsidRDefault="00265792" w:rsidP="004D25D7">
            <w:pPr>
              <w:pStyle w:val="ARfintablecolheadright"/>
            </w:pPr>
            <w:r w:rsidRPr="003C3F67">
              <w:t>5+ years</w:t>
            </w:r>
          </w:p>
          <w:p w14:paraId="75F71E8A" w14:textId="77777777" w:rsidR="00265792" w:rsidRPr="003C3F67" w:rsidRDefault="00265792" w:rsidP="004D25D7">
            <w:pPr>
              <w:pStyle w:val="ARfintablecolheadright"/>
            </w:pPr>
            <w:r w:rsidRPr="003C3F67">
              <w:t>$M</w:t>
            </w:r>
          </w:p>
        </w:tc>
      </w:tr>
      <w:tr w:rsidR="00265792" w:rsidRPr="00BA7805" w14:paraId="747CCDA8" w14:textId="77777777" w:rsidTr="00753BA0">
        <w:trPr>
          <w:trHeight w:val="255"/>
        </w:trPr>
        <w:tc>
          <w:tcPr>
            <w:tcW w:w="1700" w:type="dxa"/>
            <w:tcBorders>
              <w:top w:val="single" w:sz="4" w:space="0" w:color="000000" w:themeColor="text1"/>
              <w:bottom w:val="single" w:sz="4" w:space="0" w:color="000000" w:themeColor="text1"/>
            </w:tcBorders>
          </w:tcPr>
          <w:p w14:paraId="659638BF" w14:textId="77777777" w:rsidR="00265792" w:rsidRPr="00BA7805" w:rsidRDefault="00265792" w:rsidP="00006FF7">
            <w:pPr>
              <w:pStyle w:val="ARfintablebodybold"/>
              <w:rPr>
                <w:highlight w:val="green"/>
              </w:rPr>
            </w:pPr>
            <w:r w:rsidRPr="006E230C">
              <w:t>2025</w:t>
            </w:r>
          </w:p>
        </w:tc>
        <w:tc>
          <w:tcPr>
            <w:tcW w:w="1133" w:type="dxa"/>
            <w:tcBorders>
              <w:top w:val="single" w:sz="4" w:space="0" w:color="000000" w:themeColor="text1"/>
              <w:bottom w:val="single" w:sz="4" w:space="0" w:color="000000" w:themeColor="text1"/>
            </w:tcBorders>
            <w:noWrap/>
          </w:tcPr>
          <w:p w14:paraId="4F0BEAED" w14:textId="77777777" w:rsidR="00265792" w:rsidRPr="00BA7805" w:rsidRDefault="00265792" w:rsidP="002542E1">
            <w:pPr>
              <w:pStyle w:val="ARfintablebodyright"/>
              <w:rPr>
                <w:highlight w:val="green"/>
              </w:rPr>
            </w:pPr>
          </w:p>
        </w:tc>
        <w:tc>
          <w:tcPr>
            <w:tcW w:w="1134" w:type="dxa"/>
            <w:tcBorders>
              <w:top w:val="single" w:sz="4" w:space="0" w:color="000000" w:themeColor="text1"/>
              <w:bottom w:val="single" w:sz="4" w:space="0" w:color="000000" w:themeColor="text1"/>
            </w:tcBorders>
            <w:noWrap/>
          </w:tcPr>
          <w:p w14:paraId="17406363" w14:textId="77777777" w:rsidR="00265792" w:rsidRPr="00BA7805" w:rsidRDefault="00265792" w:rsidP="002542E1">
            <w:pPr>
              <w:pStyle w:val="ARfintablebodyright"/>
              <w:rPr>
                <w:highlight w:val="green"/>
              </w:rPr>
            </w:pPr>
          </w:p>
        </w:tc>
        <w:tc>
          <w:tcPr>
            <w:tcW w:w="1134" w:type="dxa"/>
            <w:tcBorders>
              <w:top w:val="single" w:sz="4" w:space="0" w:color="000000" w:themeColor="text1"/>
              <w:bottom w:val="single" w:sz="4" w:space="0" w:color="000000" w:themeColor="text1"/>
            </w:tcBorders>
            <w:noWrap/>
          </w:tcPr>
          <w:p w14:paraId="1C3185EA" w14:textId="77777777" w:rsidR="00265792" w:rsidRPr="00BA7805" w:rsidRDefault="00265792" w:rsidP="002542E1">
            <w:pPr>
              <w:pStyle w:val="ARfintablebodyright"/>
              <w:rPr>
                <w:highlight w:val="green"/>
              </w:rPr>
            </w:pPr>
          </w:p>
        </w:tc>
        <w:tc>
          <w:tcPr>
            <w:tcW w:w="1134" w:type="dxa"/>
            <w:tcBorders>
              <w:top w:val="single" w:sz="4" w:space="0" w:color="000000" w:themeColor="text1"/>
              <w:bottom w:val="single" w:sz="4" w:space="0" w:color="000000" w:themeColor="text1"/>
            </w:tcBorders>
            <w:noWrap/>
          </w:tcPr>
          <w:p w14:paraId="32EB1748" w14:textId="77777777" w:rsidR="00265792" w:rsidRPr="00BA7805" w:rsidRDefault="00265792" w:rsidP="002542E1">
            <w:pPr>
              <w:pStyle w:val="ARfintablebodyright"/>
              <w:rPr>
                <w:highlight w:val="green"/>
              </w:rPr>
            </w:pPr>
          </w:p>
        </w:tc>
        <w:tc>
          <w:tcPr>
            <w:tcW w:w="1134" w:type="dxa"/>
            <w:tcBorders>
              <w:top w:val="single" w:sz="4" w:space="0" w:color="000000" w:themeColor="text1"/>
              <w:bottom w:val="single" w:sz="4" w:space="0" w:color="000000" w:themeColor="text1"/>
            </w:tcBorders>
            <w:noWrap/>
          </w:tcPr>
          <w:p w14:paraId="7FE9049C" w14:textId="77777777" w:rsidR="00265792" w:rsidRPr="00BA7805" w:rsidRDefault="00265792" w:rsidP="002542E1">
            <w:pPr>
              <w:pStyle w:val="ARfintablebodyright"/>
              <w:rPr>
                <w:highlight w:val="green"/>
              </w:rPr>
            </w:pPr>
          </w:p>
        </w:tc>
        <w:tc>
          <w:tcPr>
            <w:tcW w:w="1134" w:type="dxa"/>
            <w:tcBorders>
              <w:top w:val="single" w:sz="4" w:space="0" w:color="000000" w:themeColor="text1"/>
              <w:bottom w:val="single" w:sz="4" w:space="0" w:color="000000" w:themeColor="text1"/>
            </w:tcBorders>
            <w:noWrap/>
          </w:tcPr>
          <w:p w14:paraId="2962E49C" w14:textId="77777777" w:rsidR="00265792" w:rsidRPr="00BA7805" w:rsidRDefault="00265792" w:rsidP="002542E1">
            <w:pPr>
              <w:pStyle w:val="ARfintablebodyright"/>
              <w:rPr>
                <w:highlight w:val="green"/>
              </w:rPr>
            </w:pPr>
          </w:p>
        </w:tc>
        <w:tc>
          <w:tcPr>
            <w:tcW w:w="1134" w:type="dxa"/>
            <w:tcBorders>
              <w:top w:val="single" w:sz="4" w:space="0" w:color="000000" w:themeColor="text1"/>
              <w:bottom w:val="single" w:sz="4" w:space="0" w:color="000000" w:themeColor="text1"/>
            </w:tcBorders>
            <w:noWrap/>
          </w:tcPr>
          <w:p w14:paraId="51E90BF6" w14:textId="77777777" w:rsidR="00265792" w:rsidRPr="00695376" w:rsidRDefault="00265792" w:rsidP="002542E1">
            <w:pPr>
              <w:pStyle w:val="ARfintablebodyright"/>
            </w:pPr>
          </w:p>
        </w:tc>
      </w:tr>
      <w:tr w:rsidR="00265792" w:rsidRPr="00BA7805" w14:paraId="021B3271" w14:textId="77777777" w:rsidTr="00753BA0">
        <w:trPr>
          <w:trHeight w:val="255"/>
        </w:trPr>
        <w:tc>
          <w:tcPr>
            <w:tcW w:w="1700" w:type="dxa"/>
            <w:tcBorders>
              <w:top w:val="single" w:sz="4" w:space="0" w:color="000000" w:themeColor="text1"/>
              <w:bottom w:val="single" w:sz="4" w:space="0" w:color="000000" w:themeColor="text1"/>
            </w:tcBorders>
          </w:tcPr>
          <w:p w14:paraId="72EA9872" w14:textId="77777777" w:rsidR="00265792" w:rsidRPr="00BA7805" w:rsidRDefault="00265792" w:rsidP="00BC7F5A">
            <w:pPr>
              <w:pStyle w:val="ARfintablebody"/>
              <w:rPr>
                <w:highlight w:val="green"/>
              </w:rPr>
            </w:pPr>
            <w:r w:rsidRPr="00F158A3">
              <w:t>Payables</w:t>
            </w:r>
          </w:p>
        </w:tc>
        <w:tc>
          <w:tcPr>
            <w:tcW w:w="1133" w:type="dxa"/>
            <w:tcBorders>
              <w:top w:val="single" w:sz="4" w:space="0" w:color="000000" w:themeColor="text1"/>
              <w:bottom w:val="single" w:sz="4" w:space="0" w:color="000000" w:themeColor="text1"/>
            </w:tcBorders>
            <w:shd w:val="clear" w:color="auto" w:fill="EEEEEF" w:themeFill="accent4"/>
            <w:noWrap/>
          </w:tcPr>
          <w:p w14:paraId="2CE73557" w14:textId="77777777" w:rsidR="00265792" w:rsidRPr="00BA7805" w:rsidRDefault="00265792" w:rsidP="00BC7F5A">
            <w:pPr>
              <w:pStyle w:val="ARfintablebodyright"/>
              <w:rPr>
                <w:highlight w:val="green"/>
              </w:rPr>
            </w:pPr>
            <w:r w:rsidRPr="0006490C">
              <w:t>449.7</w:t>
            </w:r>
          </w:p>
        </w:tc>
        <w:tc>
          <w:tcPr>
            <w:tcW w:w="1134" w:type="dxa"/>
            <w:tcBorders>
              <w:top w:val="single" w:sz="4" w:space="0" w:color="000000" w:themeColor="text1"/>
              <w:bottom w:val="single" w:sz="4" w:space="0" w:color="000000" w:themeColor="text1"/>
            </w:tcBorders>
            <w:noWrap/>
          </w:tcPr>
          <w:p w14:paraId="3CF6220C" w14:textId="77777777" w:rsidR="00265792" w:rsidRPr="00BA7805" w:rsidRDefault="00265792" w:rsidP="00BC7F5A">
            <w:pPr>
              <w:pStyle w:val="ARfintablebodyright"/>
              <w:rPr>
                <w:highlight w:val="green"/>
              </w:rPr>
            </w:pPr>
            <w:r w:rsidRPr="0006490C">
              <w:t>449.7</w:t>
            </w:r>
          </w:p>
        </w:tc>
        <w:tc>
          <w:tcPr>
            <w:tcW w:w="1134" w:type="dxa"/>
            <w:tcBorders>
              <w:top w:val="single" w:sz="4" w:space="0" w:color="000000" w:themeColor="text1"/>
              <w:bottom w:val="single" w:sz="4" w:space="0" w:color="000000" w:themeColor="text1"/>
            </w:tcBorders>
            <w:shd w:val="clear" w:color="auto" w:fill="EEEEEF" w:themeFill="accent4"/>
            <w:noWrap/>
          </w:tcPr>
          <w:p w14:paraId="4984FF39" w14:textId="77777777" w:rsidR="00265792" w:rsidRPr="00BA7805" w:rsidRDefault="00265792" w:rsidP="00BC7F5A">
            <w:pPr>
              <w:pStyle w:val="ARfintablebodyright"/>
              <w:rPr>
                <w:highlight w:val="green"/>
              </w:rPr>
            </w:pPr>
            <w:r w:rsidRPr="0006490C">
              <w:t>418.8</w:t>
            </w:r>
          </w:p>
        </w:tc>
        <w:tc>
          <w:tcPr>
            <w:tcW w:w="1134" w:type="dxa"/>
            <w:tcBorders>
              <w:top w:val="single" w:sz="4" w:space="0" w:color="000000" w:themeColor="text1"/>
              <w:bottom w:val="single" w:sz="4" w:space="0" w:color="000000" w:themeColor="text1"/>
            </w:tcBorders>
            <w:shd w:val="clear" w:color="auto" w:fill="EEEEEF" w:themeFill="accent4"/>
            <w:noWrap/>
          </w:tcPr>
          <w:p w14:paraId="0E4017E2" w14:textId="77777777" w:rsidR="00265792" w:rsidRPr="00BA7805" w:rsidRDefault="00265792" w:rsidP="00BC7F5A">
            <w:pPr>
              <w:pStyle w:val="ARfintablebodyright"/>
              <w:rPr>
                <w:highlight w:val="green"/>
              </w:rPr>
            </w:pPr>
            <w:r w:rsidRPr="0006490C">
              <w:t>22.5</w:t>
            </w:r>
          </w:p>
        </w:tc>
        <w:tc>
          <w:tcPr>
            <w:tcW w:w="1134" w:type="dxa"/>
            <w:tcBorders>
              <w:top w:val="single" w:sz="4" w:space="0" w:color="000000" w:themeColor="text1"/>
              <w:bottom w:val="single" w:sz="4" w:space="0" w:color="000000" w:themeColor="text1"/>
            </w:tcBorders>
            <w:shd w:val="clear" w:color="auto" w:fill="EEEEEF" w:themeFill="accent4"/>
            <w:noWrap/>
          </w:tcPr>
          <w:p w14:paraId="4BE0FB56" w14:textId="77777777" w:rsidR="00265792" w:rsidRPr="00BA7805" w:rsidRDefault="00265792" w:rsidP="00BC7F5A">
            <w:pPr>
              <w:pStyle w:val="ARfintablebodyright"/>
              <w:rPr>
                <w:highlight w:val="green"/>
              </w:rPr>
            </w:pPr>
            <w:r w:rsidRPr="0006490C">
              <w:t>0.6</w:t>
            </w:r>
          </w:p>
        </w:tc>
        <w:tc>
          <w:tcPr>
            <w:tcW w:w="1134" w:type="dxa"/>
            <w:tcBorders>
              <w:top w:val="single" w:sz="4" w:space="0" w:color="000000" w:themeColor="text1"/>
              <w:bottom w:val="single" w:sz="4" w:space="0" w:color="000000" w:themeColor="text1"/>
            </w:tcBorders>
            <w:shd w:val="clear" w:color="auto" w:fill="EEEEEF" w:themeFill="accent4"/>
            <w:noWrap/>
          </w:tcPr>
          <w:p w14:paraId="111701F7" w14:textId="77777777" w:rsidR="00265792" w:rsidRPr="00BA7805" w:rsidRDefault="00265792" w:rsidP="00BC7F5A">
            <w:pPr>
              <w:pStyle w:val="ARfintablebodyright"/>
              <w:rPr>
                <w:highlight w:val="green"/>
              </w:rPr>
            </w:pPr>
            <w:r w:rsidRPr="0006490C">
              <w:t>1.2</w:t>
            </w:r>
          </w:p>
        </w:tc>
        <w:tc>
          <w:tcPr>
            <w:tcW w:w="1134" w:type="dxa"/>
            <w:tcBorders>
              <w:top w:val="single" w:sz="4" w:space="0" w:color="000000" w:themeColor="text1"/>
              <w:bottom w:val="single" w:sz="4" w:space="0" w:color="000000" w:themeColor="text1"/>
            </w:tcBorders>
            <w:shd w:val="clear" w:color="auto" w:fill="EEEEEF" w:themeFill="accent4"/>
            <w:noWrap/>
          </w:tcPr>
          <w:p w14:paraId="3AB30D8A" w14:textId="77777777" w:rsidR="00265792" w:rsidRPr="00695376" w:rsidRDefault="00265792" w:rsidP="00BC7F5A">
            <w:pPr>
              <w:pStyle w:val="ARfintablebodyright"/>
            </w:pPr>
            <w:r w:rsidRPr="0006490C">
              <w:t>6.6</w:t>
            </w:r>
          </w:p>
        </w:tc>
      </w:tr>
      <w:tr w:rsidR="00265792" w:rsidRPr="00BA7805" w14:paraId="47C56172" w14:textId="77777777" w:rsidTr="00753BA0">
        <w:trPr>
          <w:trHeight w:val="255"/>
        </w:trPr>
        <w:tc>
          <w:tcPr>
            <w:tcW w:w="1700" w:type="dxa"/>
            <w:tcBorders>
              <w:top w:val="single" w:sz="4" w:space="0" w:color="000000" w:themeColor="text1"/>
              <w:bottom w:val="single" w:sz="4" w:space="0" w:color="000000" w:themeColor="text1"/>
            </w:tcBorders>
          </w:tcPr>
          <w:p w14:paraId="686ABB37" w14:textId="77777777" w:rsidR="00265792" w:rsidRPr="00BA7805" w:rsidRDefault="00265792">
            <w:pPr>
              <w:pStyle w:val="ARfintablebodybold"/>
              <w:rPr>
                <w:highlight w:val="green"/>
              </w:rPr>
            </w:pPr>
            <w:r w:rsidRPr="00F158A3">
              <w:t>Total</w:t>
            </w:r>
          </w:p>
        </w:tc>
        <w:tc>
          <w:tcPr>
            <w:tcW w:w="1133" w:type="dxa"/>
            <w:tcBorders>
              <w:top w:val="single" w:sz="4" w:space="0" w:color="000000" w:themeColor="text1"/>
              <w:bottom w:val="single" w:sz="4" w:space="0" w:color="000000" w:themeColor="text1"/>
            </w:tcBorders>
            <w:shd w:val="clear" w:color="auto" w:fill="EEEEEF" w:themeFill="accent4"/>
            <w:noWrap/>
          </w:tcPr>
          <w:p w14:paraId="619D2697" w14:textId="77777777" w:rsidR="00265792" w:rsidRPr="00B54ADF" w:rsidRDefault="00265792">
            <w:pPr>
              <w:pStyle w:val="ARfintablebodyrightbold"/>
              <w:rPr>
                <w:highlight w:val="green"/>
              </w:rPr>
            </w:pPr>
            <w:r w:rsidRPr="00B54ADF">
              <w:t>449.7</w:t>
            </w:r>
          </w:p>
        </w:tc>
        <w:tc>
          <w:tcPr>
            <w:tcW w:w="1134" w:type="dxa"/>
            <w:tcBorders>
              <w:top w:val="single" w:sz="4" w:space="0" w:color="000000" w:themeColor="text1"/>
              <w:bottom w:val="single" w:sz="4" w:space="0" w:color="000000" w:themeColor="text1"/>
            </w:tcBorders>
            <w:noWrap/>
          </w:tcPr>
          <w:p w14:paraId="64DE5821" w14:textId="77777777" w:rsidR="00265792" w:rsidRPr="00B54ADF" w:rsidRDefault="00265792">
            <w:pPr>
              <w:pStyle w:val="ARfintablebodyrightbold"/>
              <w:rPr>
                <w:highlight w:val="green"/>
              </w:rPr>
            </w:pPr>
            <w:r w:rsidRPr="00B54ADF">
              <w:t>449.7</w:t>
            </w:r>
          </w:p>
        </w:tc>
        <w:tc>
          <w:tcPr>
            <w:tcW w:w="1134" w:type="dxa"/>
            <w:tcBorders>
              <w:top w:val="single" w:sz="4" w:space="0" w:color="000000" w:themeColor="text1"/>
              <w:bottom w:val="single" w:sz="4" w:space="0" w:color="000000" w:themeColor="text1"/>
            </w:tcBorders>
            <w:shd w:val="clear" w:color="auto" w:fill="EEEEEF" w:themeFill="accent4"/>
            <w:noWrap/>
          </w:tcPr>
          <w:p w14:paraId="40E7CBB2" w14:textId="77777777" w:rsidR="00265792" w:rsidRPr="00B54ADF" w:rsidRDefault="00265792">
            <w:pPr>
              <w:pStyle w:val="ARfintablebodyrightbold"/>
              <w:rPr>
                <w:highlight w:val="green"/>
              </w:rPr>
            </w:pPr>
            <w:r w:rsidRPr="00B54ADF">
              <w:t>418.8</w:t>
            </w:r>
          </w:p>
        </w:tc>
        <w:tc>
          <w:tcPr>
            <w:tcW w:w="1134" w:type="dxa"/>
            <w:tcBorders>
              <w:top w:val="single" w:sz="4" w:space="0" w:color="000000" w:themeColor="text1"/>
              <w:bottom w:val="single" w:sz="4" w:space="0" w:color="000000" w:themeColor="text1"/>
            </w:tcBorders>
            <w:shd w:val="clear" w:color="auto" w:fill="EEEEEF" w:themeFill="accent4"/>
            <w:noWrap/>
          </w:tcPr>
          <w:p w14:paraId="177E401C" w14:textId="77777777" w:rsidR="00265792" w:rsidRPr="00B54ADF" w:rsidRDefault="00265792">
            <w:pPr>
              <w:pStyle w:val="ARfintablebodyrightbold"/>
              <w:rPr>
                <w:highlight w:val="green"/>
              </w:rPr>
            </w:pPr>
            <w:r w:rsidRPr="00B54ADF">
              <w:t>22.5</w:t>
            </w:r>
          </w:p>
        </w:tc>
        <w:tc>
          <w:tcPr>
            <w:tcW w:w="1134" w:type="dxa"/>
            <w:tcBorders>
              <w:top w:val="single" w:sz="4" w:space="0" w:color="000000" w:themeColor="text1"/>
              <w:bottom w:val="single" w:sz="4" w:space="0" w:color="000000" w:themeColor="text1"/>
            </w:tcBorders>
            <w:shd w:val="clear" w:color="auto" w:fill="EEEEEF" w:themeFill="accent4"/>
            <w:noWrap/>
          </w:tcPr>
          <w:p w14:paraId="616E40D8" w14:textId="77777777" w:rsidR="00265792" w:rsidRPr="00B54ADF" w:rsidRDefault="00265792">
            <w:pPr>
              <w:pStyle w:val="ARfintablebodyrightbold"/>
              <w:rPr>
                <w:highlight w:val="green"/>
              </w:rPr>
            </w:pPr>
            <w:r w:rsidRPr="00B54ADF">
              <w:t>0.6</w:t>
            </w:r>
          </w:p>
        </w:tc>
        <w:tc>
          <w:tcPr>
            <w:tcW w:w="1134" w:type="dxa"/>
            <w:tcBorders>
              <w:top w:val="single" w:sz="4" w:space="0" w:color="000000" w:themeColor="text1"/>
              <w:bottom w:val="single" w:sz="4" w:space="0" w:color="000000" w:themeColor="text1"/>
            </w:tcBorders>
            <w:shd w:val="clear" w:color="auto" w:fill="EEEEEF" w:themeFill="accent4"/>
            <w:noWrap/>
          </w:tcPr>
          <w:p w14:paraId="5DBA9408" w14:textId="77777777" w:rsidR="00265792" w:rsidRPr="00B54ADF" w:rsidRDefault="00265792">
            <w:pPr>
              <w:pStyle w:val="ARfintablebodyrightbold"/>
              <w:rPr>
                <w:highlight w:val="green"/>
              </w:rPr>
            </w:pPr>
            <w:r w:rsidRPr="00B54ADF">
              <w:t>1.2</w:t>
            </w:r>
          </w:p>
        </w:tc>
        <w:tc>
          <w:tcPr>
            <w:tcW w:w="1134" w:type="dxa"/>
            <w:tcBorders>
              <w:top w:val="single" w:sz="4" w:space="0" w:color="000000" w:themeColor="text1"/>
              <w:bottom w:val="single" w:sz="4" w:space="0" w:color="000000" w:themeColor="text1"/>
            </w:tcBorders>
            <w:shd w:val="clear" w:color="auto" w:fill="EEEEEF" w:themeFill="accent4"/>
            <w:noWrap/>
          </w:tcPr>
          <w:p w14:paraId="59CDD085" w14:textId="77777777" w:rsidR="00265792" w:rsidRPr="00B54ADF" w:rsidRDefault="00265792">
            <w:pPr>
              <w:pStyle w:val="ARfintablebodyrightbold"/>
            </w:pPr>
            <w:r w:rsidRPr="00B54ADF">
              <w:t>6.6</w:t>
            </w:r>
          </w:p>
        </w:tc>
      </w:tr>
      <w:tr w:rsidR="00265792" w:rsidRPr="00BA7805" w14:paraId="0F15EB51" w14:textId="77777777" w:rsidTr="00753BA0">
        <w:trPr>
          <w:trHeight w:val="255"/>
        </w:trPr>
        <w:tc>
          <w:tcPr>
            <w:tcW w:w="1700" w:type="dxa"/>
            <w:tcBorders>
              <w:top w:val="single" w:sz="4" w:space="0" w:color="000000" w:themeColor="text1"/>
              <w:bottom w:val="single" w:sz="4" w:space="0" w:color="A6A6A6" w:themeColor="accent5"/>
            </w:tcBorders>
          </w:tcPr>
          <w:p w14:paraId="7A38382A" w14:textId="77777777" w:rsidR="00265792" w:rsidRPr="00BA7805" w:rsidRDefault="00265792" w:rsidP="006B7602">
            <w:pPr>
              <w:pStyle w:val="ARfintablebodybold"/>
              <w:rPr>
                <w:highlight w:val="green"/>
              </w:rPr>
            </w:pPr>
            <w:r w:rsidRPr="00F158A3">
              <w:t>2024</w:t>
            </w:r>
          </w:p>
        </w:tc>
        <w:tc>
          <w:tcPr>
            <w:tcW w:w="1133" w:type="dxa"/>
            <w:tcBorders>
              <w:top w:val="single" w:sz="4" w:space="0" w:color="000000" w:themeColor="text1"/>
              <w:bottom w:val="single" w:sz="4" w:space="0" w:color="A6A6A6" w:themeColor="accent5"/>
            </w:tcBorders>
            <w:noWrap/>
          </w:tcPr>
          <w:p w14:paraId="59CF96B9" w14:textId="77777777" w:rsidR="00265792" w:rsidRPr="00BA7805" w:rsidRDefault="00265792" w:rsidP="00BC7F5A">
            <w:pPr>
              <w:pStyle w:val="ARfintablebodyright"/>
              <w:rPr>
                <w:highlight w:val="green"/>
              </w:rPr>
            </w:pPr>
          </w:p>
        </w:tc>
        <w:tc>
          <w:tcPr>
            <w:tcW w:w="1134" w:type="dxa"/>
            <w:tcBorders>
              <w:top w:val="single" w:sz="4" w:space="0" w:color="000000" w:themeColor="text1"/>
              <w:bottom w:val="single" w:sz="4" w:space="0" w:color="A6A6A6" w:themeColor="accent5"/>
            </w:tcBorders>
            <w:noWrap/>
          </w:tcPr>
          <w:p w14:paraId="0BD60D9A" w14:textId="77777777" w:rsidR="00265792" w:rsidRPr="00BA7805" w:rsidRDefault="00265792" w:rsidP="00BC7F5A">
            <w:pPr>
              <w:pStyle w:val="ARfintablebodyright"/>
              <w:rPr>
                <w:highlight w:val="green"/>
              </w:rPr>
            </w:pPr>
          </w:p>
        </w:tc>
        <w:tc>
          <w:tcPr>
            <w:tcW w:w="1134" w:type="dxa"/>
            <w:tcBorders>
              <w:top w:val="single" w:sz="4" w:space="0" w:color="000000" w:themeColor="text1"/>
              <w:bottom w:val="single" w:sz="4" w:space="0" w:color="A6A6A6" w:themeColor="accent5"/>
            </w:tcBorders>
            <w:noWrap/>
          </w:tcPr>
          <w:p w14:paraId="2DD490FB" w14:textId="77777777" w:rsidR="00265792" w:rsidRPr="00BA7805" w:rsidRDefault="00265792" w:rsidP="00BC7F5A">
            <w:pPr>
              <w:pStyle w:val="ARfintablebodyright"/>
              <w:rPr>
                <w:highlight w:val="green"/>
              </w:rPr>
            </w:pPr>
          </w:p>
        </w:tc>
        <w:tc>
          <w:tcPr>
            <w:tcW w:w="1134" w:type="dxa"/>
            <w:tcBorders>
              <w:top w:val="single" w:sz="4" w:space="0" w:color="000000" w:themeColor="text1"/>
              <w:bottom w:val="single" w:sz="4" w:space="0" w:color="A6A6A6" w:themeColor="accent5"/>
            </w:tcBorders>
            <w:noWrap/>
          </w:tcPr>
          <w:p w14:paraId="4ECAC453" w14:textId="77777777" w:rsidR="00265792" w:rsidRPr="00BA7805" w:rsidRDefault="00265792" w:rsidP="00BC7F5A">
            <w:pPr>
              <w:pStyle w:val="ARfintablebodyright"/>
              <w:rPr>
                <w:highlight w:val="green"/>
              </w:rPr>
            </w:pPr>
          </w:p>
        </w:tc>
        <w:tc>
          <w:tcPr>
            <w:tcW w:w="1134" w:type="dxa"/>
            <w:tcBorders>
              <w:top w:val="single" w:sz="4" w:space="0" w:color="000000" w:themeColor="text1"/>
              <w:bottom w:val="single" w:sz="4" w:space="0" w:color="A6A6A6" w:themeColor="accent5"/>
            </w:tcBorders>
            <w:noWrap/>
          </w:tcPr>
          <w:p w14:paraId="53DA8782" w14:textId="77777777" w:rsidR="00265792" w:rsidRPr="00BA7805" w:rsidRDefault="00265792" w:rsidP="00BC7F5A">
            <w:pPr>
              <w:pStyle w:val="ARfintablebodyright"/>
              <w:rPr>
                <w:highlight w:val="green"/>
              </w:rPr>
            </w:pPr>
          </w:p>
        </w:tc>
        <w:tc>
          <w:tcPr>
            <w:tcW w:w="1134" w:type="dxa"/>
            <w:tcBorders>
              <w:top w:val="single" w:sz="4" w:space="0" w:color="000000" w:themeColor="text1"/>
              <w:bottom w:val="single" w:sz="4" w:space="0" w:color="A6A6A6" w:themeColor="accent5"/>
            </w:tcBorders>
            <w:noWrap/>
          </w:tcPr>
          <w:p w14:paraId="018D5A86" w14:textId="77777777" w:rsidR="00265792" w:rsidRPr="00BA7805" w:rsidRDefault="00265792" w:rsidP="00BC7F5A">
            <w:pPr>
              <w:pStyle w:val="ARfintablebodyright"/>
              <w:rPr>
                <w:highlight w:val="green"/>
              </w:rPr>
            </w:pPr>
          </w:p>
        </w:tc>
        <w:tc>
          <w:tcPr>
            <w:tcW w:w="1134" w:type="dxa"/>
            <w:tcBorders>
              <w:top w:val="single" w:sz="4" w:space="0" w:color="000000" w:themeColor="text1"/>
              <w:bottom w:val="single" w:sz="4" w:space="0" w:color="A6A6A6" w:themeColor="accent5"/>
            </w:tcBorders>
            <w:noWrap/>
          </w:tcPr>
          <w:p w14:paraId="26D6876B" w14:textId="77777777" w:rsidR="00265792" w:rsidRPr="00695376" w:rsidRDefault="00265792" w:rsidP="00BC7F5A">
            <w:pPr>
              <w:pStyle w:val="ARfintablebodyright"/>
            </w:pPr>
          </w:p>
        </w:tc>
      </w:tr>
      <w:tr w:rsidR="00265792" w:rsidRPr="00BA7805" w14:paraId="73506FBD" w14:textId="77777777" w:rsidTr="00753BA0">
        <w:trPr>
          <w:trHeight w:val="255"/>
        </w:trPr>
        <w:tc>
          <w:tcPr>
            <w:tcW w:w="1700" w:type="dxa"/>
            <w:tcBorders>
              <w:top w:val="single" w:sz="4" w:space="0" w:color="A6A6A6" w:themeColor="accent5"/>
            </w:tcBorders>
          </w:tcPr>
          <w:p w14:paraId="56F1406E" w14:textId="77777777" w:rsidR="00265792" w:rsidRPr="001F08B4" w:rsidRDefault="00265792" w:rsidP="006B7602">
            <w:pPr>
              <w:pStyle w:val="ARfintablebody"/>
              <w:rPr>
                <w:highlight w:val="green"/>
              </w:rPr>
            </w:pPr>
            <w:r w:rsidRPr="00F158A3">
              <w:t>Payables</w:t>
            </w:r>
          </w:p>
        </w:tc>
        <w:tc>
          <w:tcPr>
            <w:tcW w:w="1133" w:type="dxa"/>
            <w:tcBorders>
              <w:top w:val="single" w:sz="4" w:space="0" w:color="A6A6A6" w:themeColor="accent5"/>
            </w:tcBorders>
            <w:shd w:val="clear" w:color="auto" w:fill="EEEEEF" w:themeFill="accent4"/>
            <w:noWrap/>
          </w:tcPr>
          <w:p w14:paraId="00418E6C" w14:textId="77777777" w:rsidR="00265792" w:rsidRPr="001F08B4" w:rsidRDefault="00265792" w:rsidP="006B7602">
            <w:pPr>
              <w:pStyle w:val="ARfintablebodyright"/>
              <w:rPr>
                <w:highlight w:val="green"/>
              </w:rPr>
            </w:pPr>
            <w:r w:rsidRPr="0006490C">
              <w:t>479.5</w:t>
            </w:r>
          </w:p>
        </w:tc>
        <w:tc>
          <w:tcPr>
            <w:tcW w:w="1134" w:type="dxa"/>
            <w:tcBorders>
              <w:top w:val="single" w:sz="4" w:space="0" w:color="A6A6A6" w:themeColor="accent5"/>
            </w:tcBorders>
            <w:noWrap/>
          </w:tcPr>
          <w:p w14:paraId="6E0187EB" w14:textId="77777777" w:rsidR="00265792" w:rsidRPr="001F08B4" w:rsidRDefault="00265792" w:rsidP="006B7602">
            <w:pPr>
              <w:pStyle w:val="ARfintablebodyright"/>
              <w:rPr>
                <w:highlight w:val="green"/>
              </w:rPr>
            </w:pPr>
            <w:r w:rsidRPr="0006490C">
              <w:t>479.4</w:t>
            </w:r>
          </w:p>
        </w:tc>
        <w:tc>
          <w:tcPr>
            <w:tcW w:w="1134" w:type="dxa"/>
            <w:tcBorders>
              <w:top w:val="single" w:sz="4" w:space="0" w:color="A6A6A6" w:themeColor="accent5"/>
            </w:tcBorders>
            <w:shd w:val="clear" w:color="auto" w:fill="EEEEEF" w:themeFill="accent4"/>
            <w:noWrap/>
          </w:tcPr>
          <w:p w14:paraId="4BC83589" w14:textId="77777777" w:rsidR="00265792" w:rsidRPr="001F08B4" w:rsidRDefault="00265792" w:rsidP="006B7602">
            <w:pPr>
              <w:pStyle w:val="ARfintablebodyright"/>
              <w:rPr>
                <w:highlight w:val="green"/>
              </w:rPr>
            </w:pPr>
            <w:r w:rsidRPr="0006490C">
              <w:t>390.8</w:t>
            </w:r>
          </w:p>
        </w:tc>
        <w:tc>
          <w:tcPr>
            <w:tcW w:w="1134" w:type="dxa"/>
            <w:tcBorders>
              <w:top w:val="single" w:sz="4" w:space="0" w:color="A6A6A6" w:themeColor="accent5"/>
            </w:tcBorders>
            <w:shd w:val="clear" w:color="auto" w:fill="EEEEEF" w:themeFill="accent4"/>
            <w:noWrap/>
          </w:tcPr>
          <w:p w14:paraId="5ABAB809" w14:textId="77777777" w:rsidR="00265792" w:rsidRPr="001F08B4" w:rsidRDefault="00265792" w:rsidP="006B7602">
            <w:pPr>
              <w:pStyle w:val="ARfintablebodyright"/>
              <w:rPr>
                <w:highlight w:val="green"/>
              </w:rPr>
            </w:pPr>
            <w:r w:rsidRPr="0006490C">
              <w:t>80.2</w:t>
            </w:r>
          </w:p>
        </w:tc>
        <w:tc>
          <w:tcPr>
            <w:tcW w:w="1134" w:type="dxa"/>
            <w:tcBorders>
              <w:top w:val="single" w:sz="4" w:space="0" w:color="A6A6A6" w:themeColor="accent5"/>
            </w:tcBorders>
            <w:shd w:val="clear" w:color="auto" w:fill="EEEEEF" w:themeFill="accent4"/>
            <w:noWrap/>
          </w:tcPr>
          <w:p w14:paraId="4833275B" w14:textId="77777777" w:rsidR="00265792" w:rsidRPr="001F08B4" w:rsidRDefault="00265792" w:rsidP="006B7602">
            <w:pPr>
              <w:pStyle w:val="ARfintablebodyright"/>
              <w:rPr>
                <w:highlight w:val="green"/>
              </w:rPr>
            </w:pPr>
            <w:r w:rsidRPr="0006490C">
              <w:t>0.3</w:t>
            </w:r>
          </w:p>
        </w:tc>
        <w:tc>
          <w:tcPr>
            <w:tcW w:w="1134" w:type="dxa"/>
            <w:tcBorders>
              <w:top w:val="single" w:sz="4" w:space="0" w:color="A6A6A6" w:themeColor="accent5"/>
            </w:tcBorders>
            <w:shd w:val="clear" w:color="auto" w:fill="EEEEEF" w:themeFill="accent4"/>
            <w:noWrap/>
          </w:tcPr>
          <w:p w14:paraId="6D79B216" w14:textId="77777777" w:rsidR="00265792" w:rsidRPr="001F08B4" w:rsidRDefault="00265792" w:rsidP="006B7602">
            <w:pPr>
              <w:pStyle w:val="ARfintablebodyright"/>
              <w:rPr>
                <w:highlight w:val="green"/>
              </w:rPr>
            </w:pPr>
            <w:r w:rsidRPr="0006490C">
              <w:t>7.3</w:t>
            </w:r>
          </w:p>
        </w:tc>
        <w:tc>
          <w:tcPr>
            <w:tcW w:w="1134" w:type="dxa"/>
            <w:tcBorders>
              <w:top w:val="single" w:sz="4" w:space="0" w:color="A6A6A6" w:themeColor="accent5"/>
            </w:tcBorders>
            <w:shd w:val="clear" w:color="auto" w:fill="EEEEEF" w:themeFill="accent4"/>
            <w:noWrap/>
          </w:tcPr>
          <w:p w14:paraId="70B1E2A3" w14:textId="77777777" w:rsidR="00265792" w:rsidRPr="001F08B4" w:rsidRDefault="00265792" w:rsidP="006B7602">
            <w:pPr>
              <w:pStyle w:val="ARfintablebodyright"/>
            </w:pPr>
            <w:r w:rsidRPr="0006490C">
              <w:t>0.9</w:t>
            </w:r>
          </w:p>
        </w:tc>
      </w:tr>
      <w:tr w:rsidR="00265792" w:rsidRPr="00BA7805" w14:paraId="2A23974F" w14:textId="77777777" w:rsidTr="00753BA0">
        <w:trPr>
          <w:cnfStyle w:val="010000000000" w:firstRow="0" w:lastRow="1" w:firstColumn="0" w:lastColumn="0" w:oddVBand="0" w:evenVBand="0" w:oddHBand="0" w:evenHBand="0" w:firstRowFirstColumn="0" w:firstRowLastColumn="0" w:lastRowFirstColumn="0" w:lastRowLastColumn="0"/>
          <w:trHeight w:val="255"/>
        </w:trPr>
        <w:tc>
          <w:tcPr>
            <w:tcW w:w="1700" w:type="dxa"/>
          </w:tcPr>
          <w:p w14:paraId="6FDB8E7B" w14:textId="77777777" w:rsidR="00265792" w:rsidRPr="00BA7805" w:rsidRDefault="00265792" w:rsidP="00753BA0">
            <w:pPr>
              <w:pStyle w:val="ARfintablebodybold"/>
              <w:rPr>
                <w:highlight w:val="green"/>
              </w:rPr>
            </w:pPr>
            <w:r w:rsidRPr="00F158A3">
              <w:t>Total</w:t>
            </w:r>
          </w:p>
        </w:tc>
        <w:tc>
          <w:tcPr>
            <w:tcW w:w="1133" w:type="dxa"/>
            <w:shd w:val="clear" w:color="auto" w:fill="EEEEEF" w:themeFill="accent4"/>
            <w:noWrap/>
          </w:tcPr>
          <w:p w14:paraId="54F60961" w14:textId="77777777" w:rsidR="00265792" w:rsidRPr="00BA7805" w:rsidRDefault="00265792" w:rsidP="00753BA0">
            <w:pPr>
              <w:pStyle w:val="ARfintablebodyrightbold"/>
              <w:rPr>
                <w:highlight w:val="green"/>
              </w:rPr>
            </w:pPr>
            <w:r w:rsidRPr="0006490C">
              <w:t>479.5</w:t>
            </w:r>
          </w:p>
        </w:tc>
        <w:tc>
          <w:tcPr>
            <w:tcW w:w="1134" w:type="dxa"/>
            <w:noWrap/>
          </w:tcPr>
          <w:p w14:paraId="7DD2C273" w14:textId="77777777" w:rsidR="00265792" w:rsidRPr="00BA7805" w:rsidRDefault="00265792" w:rsidP="00753BA0">
            <w:pPr>
              <w:pStyle w:val="ARfintablebodyrightbold"/>
              <w:rPr>
                <w:highlight w:val="green"/>
              </w:rPr>
            </w:pPr>
            <w:r w:rsidRPr="0006490C">
              <w:t>479.4</w:t>
            </w:r>
          </w:p>
        </w:tc>
        <w:tc>
          <w:tcPr>
            <w:tcW w:w="1134" w:type="dxa"/>
            <w:shd w:val="clear" w:color="auto" w:fill="EEEEEF" w:themeFill="accent4"/>
            <w:noWrap/>
          </w:tcPr>
          <w:p w14:paraId="197AAB6B" w14:textId="77777777" w:rsidR="00265792" w:rsidRPr="00BA7805" w:rsidRDefault="00265792" w:rsidP="00753BA0">
            <w:pPr>
              <w:pStyle w:val="ARfintablebodyrightbold"/>
              <w:rPr>
                <w:highlight w:val="green"/>
              </w:rPr>
            </w:pPr>
            <w:r w:rsidRPr="0006490C">
              <w:t>390.8</w:t>
            </w:r>
          </w:p>
        </w:tc>
        <w:tc>
          <w:tcPr>
            <w:tcW w:w="1134" w:type="dxa"/>
            <w:shd w:val="clear" w:color="auto" w:fill="EEEEEF" w:themeFill="accent4"/>
            <w:noWrap/>
          </w:tcPr>
          <w:p w14:paraId="120EE23E" w14:textId="77777777" w:rsidR="00265792" w:rsidRPr="00BA7805" w:rsidRDefault="00265792" w:rsidP="00753BA0">
            <w:pPr>
              <w:pStyle w:val="ARfintablebodyrightbold"/>
              <w:rPr>
                <w:highlight w:val="green"/>
              </w:rPr>
            </w:pPr>
            <w:r w:rsidRPr="0006490C">
              <w:t>80.2</w:t>
            </w:r>
          </w:p>
        </w:tc>
        <w:tc>
          <w:tcPr>
            <w:tcW w:w="1134" w:type="dxa"/>
            <w:shd w:val="clear" w:color="auto" w:fill="EEEEEF" w:themeFill="accent4"/>
            <w:noWrap/>
          </w:tcPr>
          <w:p w14:paraId="600A2B1B" w14:textId="77777777" w:rsidR="00265792" w:rsidRPr="00BA7805" w:rsidRDefault="00265792" w:rsidP="00753BA0">
            <w:pPr>
              <w:pStyle w:val="ARfintablebodyrightbold"/>
              <w:rPr>
                <w:highlight w:val="green"/>
              </w:rPr>
            </w:pPr>
            <w:r w:rsidRPr="0006490C">
              <w:t>0.3</w:t>
            </w:r>
          </w:p>
        </w:tc>
        <w:tc>
          <w:tcPr>
            <w:tcW w:w="1134" w:type="dxa"/>
            <w:shd w:val="clear" w:color="auto" w:fill="EEEEEF" w:themeFill="accent4"/>
            <w:noWrap/>
          </w:tcPr>
          <w:p w14:paraId="012488B3" w14:textId="77777777" w:rsidR="00265792" w:rsidRPr="00BA7805" w:rsidRDefault="00265792" w:rsidP="00753BA0">
            <w:pPr>
              <w:pStyle w:val="ARfintablebodyrightbold"/>
              <w:rPr>
                <w:color w:val="000000" w:themeColor="text1"/>
                <w:szCs w:val="18"/>
                <w:highlight w:val="green"/>
              </w:rPr>
            </w:pPr>
            <w:r w:rsidRPr="0006490C">
              <w:t>7.3</w:t>
            </w:r>
          </w:p>
        </w:tc>
        <w:tc>
          <w:tcPr>
            <w:tcW w:w="1134" w:type="dxa"/>
            <w:shd w:val="clear" w:color="auto" w:fill="EEEEEF" w:themeFill="accent4"/>
            <w:noWrap/>
          </w:tcPr>
          <w:p w14:paraId="719CDEFD" w14:textId="77777777" w:rsidR="00265792" w:rsidRPr="00695376" w:rsidRDefault="00265792" w:rsidP="00753BA0">
            <w:pPr>
              <w:pStyle w:val="ARfintablebodyrightbold"/>
            </w:pPr>
            <w:r w:rsidRPr="0006490C">
              <w:t>0.9</w:t>
            </w:r>
          </w:p>
        </w:tc>
      </w:tr>
    </w:tbl>
    <w:p w14:paraId="32707968" w14:textId="77777777" w:rsidR="00265792" w:rsidRPr="00BC7F5A" w:rsidRDefault="00265792" w:rsidP="00BC7F5A">
      <w:pPr>
        <w:pStyle w:val="ARfinbodyaftertable"/>
      </w:pPr>
      <w:r w:rsidRPr="00BC7F5A">
        <w:t>Note:</w:t>
      </w:r>
    </w:p>
    <w:p w14:paraId="1FEE5E1B" w14:textId="77777777" w:rsidR="00265792" w:rsidRDefault="00265792" w:rsidP="00BC7F5A">
      <w:pPr>
        <w:pStyle w:val="ARfintablefootnotetabindent"/>
      </w:pPr>
      <w:r w:rsidRPr="00BC7F5A">
        <w:t xml:space="preserve"> (</w:t>
      </w:r>
      <w:proofErr w:type="spellStart"/>
      <w:r w:rsidRPr="00BC7F5A">
        <w:t>i</w:t>
      </w:r>
      <w:proofErr w:type="spellEnd"/>
      <w:r w:rsidRPr="00BC7F5A">
        <w:t xml:space="preserve">) </w:t>
      </w:r>
      <w:r>
        <w:tab/>
      </w:r>
      <w:r w:rsidRPr="00BC7F5A">
        <w:t xml:space="preserve">Maturity analysis is presented using the contractual undiscounted cash flows. </w:t>
      </w:r>
    </w:p>
    <w:p w14:paraId="169CE4B0" w14:textId="77777777" w:rsidR="00265792" w:rsidRDefault="00265792" w:rsidP="001D573C">
      <w:pPr>
        <w:pStyle w:val="ARfinbodyaftertable"/>
      </w:pPr>
      <w:r>
        <w:br w:type="page"/>
      </w:r>
    </w:p>
    <w:p w14:paraId="1BFDF43A" w14:textId="77777777" w:rsidR="00265792" w:rsidRPr="006074D0" w:rsidRDefault="00265792" w:rsidP="00BC7F5A">
      <w:pPr>
        <w:pStyle w:val="Heading5"/>
      </w:pPr>
      <w:r w:rsidRPr="006074D0">
        <w:lastRenderedPageBreak/>
        <w:t>6.</w:t>
      </w:r>
      <w:r>
        <w:t>4</w:t>
      </w:r>
      <w:r w:rsidRPr="006074D0">
        <w:t xml:space="preserve"> Other provisions</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1C931C03" w14:textId="77777777" w:rsidTr="00416EAF">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788F2910" w14:textId="77777777" w:rsidR="00265792" w:rsidRPr="00BA7805" w:rsidRDefault="00265792">
            <w:pPr>
              <w:pStyle w:val="ARfintablecolhead"/>
              <w:spacing w:before="30"/>
              <w:rPr>
                <w:highlight w:val="green"/>
              </w:rPr>
            </w:pPr>
          </w:p>
        </w:tc>
        <w:tc>
          <w:tcPr>
            <w:tcW w:w="1361" w:type="dxa"/>
            <w:shd w:val="clear" w:color="auto" w:fill="EEEEEF" w:themeFill="accent4"/>
            <w:hideMark/>
          </w:tcPr>
          <w:p w14:paraId="27273C68" w14:textId="77777777" w:rsidR="00265792" w:rsidRPr="006074D0" w:rsidRDefault="00265792">
            <w:pPr>
              <w:pStyle w:val="ARfintablecolheadright"/>
            </w:pPr>
            <w:r w:rsidRPr="006074D0">
              <w:t>202</w:t>
            </w:r>
            <w:r>
              <w:t>5</w:t>
            </w:r>
          </w:p>
          <w:p w14:paraId="27452358" w14:textId="77777777" w:rsidR="00265792" w:rsidRPr="006074D0" w:rsidRDefault="00265792">
            <w:pPr>
              <w:pStyle w:val="ARfintablecolheadright"/>
              <w:spacing w:before="30"/>
            </w:pPr>
            <w:r w:rsidRPr="006074D0">
              <w:t>$M</w:t>
            </w:r>
          </w:p>
        </w:tc>
        <w:tc>
          <w:tcPr>
            <w:tcW w:w="1361" w:type="dxa"/>
            <w:hideMark/>
          </w:tcPr>
          <w:p w14:paraId="2269BE56" w14:textId="77777777" w:rsidR="00265792" w:rsidRPr="006074D0" w:rsidRDefault="00265792">
            <w:pPr>
              <w:pStyle w:val="ARfintablecolheadright"/>
            </w:pPr>
            <w:r w:rsidRPr="006074D0">
              <w:t>202</w:t>
            </w:r>
            <w:r>
              <w:t>4</w:t>
            </w:r>
          </w:p>
          <w:p w14:paraId="4DB7BB23" w14:textId="77777777" w:rsidR="00265792" w:rsidRPr="006074D0" w:rsidRDefault="00265792">
            <w:pPr>
              <w:pStyle w:val="ARfintablecolheadright"/>
              <w:spacing w:before="30"/>
            </w:pPr>
            <w:r w:rsidRPr="006074D0">
              <w:t>$M</w:t>
            </w:r>
          </w:p>
        </w:tc>
      </w:tr>
      <w:tr w:rsidR="00265792" w:rsidRPr="00BA7805" w14:paraId="36AD475D" w14:textId="77777777" w:rsidTr="00416EAF">
        <w:tc>
          <w:tcPr>
            <w:tcW w:w="6915" w:type="dxa"/>
          </w:tcPr>
          <w:p w14:paraId="52A660F3" w14:textId="77777777" w:rsidR="00265792" w:rsidRPr="00BA7805" w:rsidRDefault="00265792" w:rsidP="00416EAF">
            <w:pPr>
              <w:pStyle w:val="ARfintablebodybold"/>
              <w:rPr>
                <w:highlight w:val="green"/>
              </w:rPr>
            </w:pPr>
            <w:r w:rsidRPr="00EA1778">
              <w:t>Current provisions</w:t>
            </w:r>
          </w:p>
        </w:tc>
        <w:tc>
          <w:tcPr>
            <w:tcW w:w="1361" w:type="dxa"/>
            <w:noWrap/>
          </w:tcPr>
          <w:p w14:paraId="53E23D84" w14:textId="77777777" w:rsidR="00265792" w:rsidRPr="00BA7805" w:rsidRDefault="00265792" w:rsidP="003943B4">
            <w:pPr>
              <w:pStyle w:val="ARfintablebodyright"/>
              <w:spacing w:before="30"/>
              <w:rPr>
                <w:highlight w:val="green"/>
              </w:rPr>
            </w:pPr>
          </w:p>
        </w:tc>
        <w:tc>
          <w:tcPr>
            <w:tcW w:w="1361" w:type="dxa"/>
            <w:noWrap/>
          </w:tcPr>
          <w:p w14:paraId="295ED8BB" w14:textId="77777777" w:rsidR="00265792" w:rsidRPr="00BA7805" w:rsidRDefault="00265792" w:rsidP="003943B4">
            <w:pPr>
              <w:pStyle w:val="ARfintablebodyright"/>
              <w:spacing w:before="30"/>
              <w:rPr>
                <w:highlight w:val="green"/>
              </w:rPr>
            </w:pPr>
          </w:p>
        </w:tc>
      </w:tr>
      <w:tr w:rsidR="00265792" w:rsidRPr="00BA7805" w14:paraId="42516389" w14:textId="77777777" w:rsidTr="00416EAF">
        <w:tc>
          <w:tcPr>
            <w:tcW w:w="6915" w:type="dxa"/>
            <w:tcBorders>
              <w:bottom w:val="single" w:sz="4" w:space="0" w:color="A6A6A6" w:themeColor="accent5"/>
            </w:tcBorders>
          </w:tcPr>
          <w:p w14:paraId="309794ED" w14:textId="77777777" w:rsidR="00265792" w:rsidRPr="00BA7805" w:rsidRDefault="00265792" w:rsidP="00EA5FAB">
            <w:pPr>
              <w:pStyle w:val="ARfintablebody"/>
              <w:spacing w:before="30"/>
              <w:rPr>
                <w:highlight w:val="green"/>
              </w:rPr>
            </w:pPr>
            <w:r w:rsidRPr="00EA1778">
              <w:t>Insurance claims</w:t>
            </w:r>
          </w:p>
        </w:tc>
        <w:tc>
          <w:tcPr>
            <w:tcW w:w="1361" w:type="dxa"/>
            <w:tcBorders>
              <w:bottom w:val="single" w:sz="4" w:space="0" w:color="A6A6A6" w:themeColor="accent5"/>
            </w:tcBorders>
            <w:shd w:val="clear" w:color="auto" w:fill="EEEEEF" w:themeFill="accent4"/>
            <w:noWrap/>
          </w:tcPr>
          <w:p w14:paraId="42390F48" w14:textId="77777777" w:rsidR="00265792" w:rsidRPr="00BA7805" w:rsidRDefault="00265792" w:rsidP="00EA5FAB">
            <w:pPr>
              <w:pStyle w:val="ARfintablebodyright"/>
              <w:spacing w:before="30"/>
              <w:rPr>
                <w:highlight w:val="green"/>
              </w:rPr>
            </w:pPr>
            <w:r w:rsidRPr="003F2888">
              <w:t>249.0</w:t>
            </w:r>
          </w:p>
        </w:tc>
        <w:tc>
          <w:tcPr>
            <w:tcW w:w="1361" w:type="dxa"/>
            <w:tcBorders>
              <w:bottom w:val="single" w:sz="4" w:space="0" w:color="A6A6A6" w:themeColor="accent5"/>
            </w:tcBorders>
            <w:noWrap/>
          </w:tcPr>
          <w:p w14:paraId="220C0610" w14:textId="77777777" w:rsidR="00265792" w:rsidRPr="00BA7805" w:rsidRDefault="00265792" w:rsidP="00EA5FAB">
            <w:pPr>
              <w:pStyle w:val="ARfintablebodyright"/>
              <w:spacing w:before="30"/>
              <w:rPr>
                <w:highlight w:val="green"/>
              </w:rPr>
            </w:pPr>
            <w:r w:rsidRPr="003F2888">
              <w:t>168.1</w:t>
            </w:r>
          </w:p>
        </w:tc>
      </w:tr>
      <w:tr w:rsidR="00265792" w:rsidRPr="00BA7805" w14:paraId="397B724D" w14:textId="77777777" w:rsidTr="00416EAF">
        <w:tc>
          <w:tcPr>
            <w:tcW w:w="6915" w:type="dxa"/>
            <w:tcBorders>
              <w:top w:val="single" w:sz="4" w:space="0" w:color="A6A6A6" w:themeColor="accent5"/>
              <w:bottom w:val="single" w:sz="4" w:space="0" w:color="000000" w:themeColor="text1"/>
            </w:tcBorders>
          </w:tcPr>
          <w:p w14:paraId="476462CC" w14:textId="77777777" w:rsidR="00265792" w:rsidRPr="00BA7805" w:rsidRDefault="00265792" w:rsidP="00EA5FAB">
            <w:pPr>
              <w:pStyle w:val="ARfintablebody"/>
              <w:spacing w:before="30"/>
              <w:rPr>
                <w:highlight w:val="green"/>
              </w:rPr>
            </w:pPr>
            <w:r w:rsidRPr="00EA1778">
              <w:t>Make-good provision</w:t>
            </w:r>
          </w:p>
        </w:tc>
        <w:tc>
          <w:tcPr>
            <w:tcW w:w="1361" w:type="dxa"/>
            <w:tcBorders>
              <w:top w:val="single" w:sz="4" w:space="0" w:color="A6A6A6" w:themeColor="accent5"/>
              <w:bottom w:val="single" w:sz="4" w:space="0" w:color="000000" w:themeColor="text1"/>
            </w:tcBorders>
            <w:shd w:val="clear" w:color="auto" w:fill="EEEEEF" w:themeFill="accent4"/>
            <w:noWrap/>
          </w:tcPr>
          <w:p w14:paraId="712F18C1" w14:textId="77777777" w:rsidR="00265792" w:rsidRPr="00BA7805" w:rsidRDefault="00265792" w:rsidP="00EA5FAB">
            <w:pPr>
              <w:pStyle w:val="ARfintablebodyright"/>
              <w:spacing w:before="30"/>
              <w:rPr>
                <w:highlight w:val="green"/>
              </w:rPr>
            </w:pPr>
            <w:r w:rsidRPr="003F2888">
              <w:t>4.6</w:t>
            </w:r>
          </w:p>
        </w:tc>
        <w:tc>
          <w:tcPr>
            <w:tcW w:w="1361" w:type="dxa"/>
            <w:tcBorders>
              <w:top w:val="single" w:sz="4" w:space="0" w:color="A6A6A6" w:themeColor="accent5"/>
              <w:bottom w:val="single" w:sz="4" w:space="0" w:color="000000" w:themeColor="text1"/>
            </w:tcBorders>
            <w:noWrap/>
          </w:tcPr>
          <w:p w14:paraId="36D58C7D" w14:textId="77777777" w:rsidR="00265792" w:rsidRPr="00BA7805" w:rsidRDefault="00265792" w:rsidP="00EA5FAB">
            <w:pPr>
              <w:pStyle w:val="ARfintablebodyright"/>
              <w:spacing w:before="30"/>
              <w:rPr>
                <w:highlight w:val="green"/>
              </w:rPr>
            </w:pPr>
            <w:r w:rsidRPr="003F2888">
              <w:t>3.1</w:t>
            </w:r>
          </w:p>
        </w:tc>
      </w:tr>
      <w:tr w:rsidR="00265792" w:rsidRPr="00BA7805" w14:paraId="5D784B1D" w14:textId="77777777" w:rsidTr="00416EAF">
        <w:tc>
          <w:tcPr>
            <w:tcW w:w="6915" w:type="dxa"/>
            <w:tcBorders>
              <w:top w:val="single" w:sz="4" w:space="0" w:color="000000" w:themeColor="text1"/>
              <w:bottom w:val="single" w:sz="4" w:space="0" w:color="000000" w:themeColor="text1"/>
            </w:tcBorders>
          </w:tcPr>
          <w:p w14:paraId="4FDCB41C" w14:textId="5AFA1C92" w:rsidR="00265792" w:rsidRPr="00B6064B" w:rsidRDefault="00265792" w:rsidP="00416EAF">
            <w:pPr>
              <w:pStyle w:val="ARfintablebodybold"/>
              <w:rPr>
                <w:b w:val="0"/>
                <w:bCs w:val="0"/>
              </w:rPr>
            </w:pPr>
            <w:r w:rsidRPr="00B6064B">
              <w:rPr>
                <w:b w:val="0"/>
                <w:bCs w:val="0"/>
              </w:rPr>
              <w:t>Redress provision</w:t>
            </w:r>
          </w:p>
        </w:tc>
        <w:tc>
          <w:tcPr>
            <w:tcW w:w="1361" w:type="dxa"/>
            <w:tcBorders>
              <w:top w:val="single" w:sz="4" w:space="0" w:color="000000" w:themeColor="text1"/>
              <w:bottom w:val="single" w:sz="4" w:space="0" w:color="000000" w:themeColor="text1"/>
            </w:tcBorders>
            <w:shd w:val="clear" w:color="auto" w:fill="EEEEEF" w:themeFill="accent4"/>
            <w:noWrap/>
          </w:tcPr>
          <w:p w14:paraId="60F68297" w14:textId="77777777" w:rsidR="00265792" w:rsidRPr="00B6064B" w:rsidRDefault="00265792" w:rsidP="00416EAF">
            <w:pPr>
              <w:pStyle w:val="ARfintablebodyrightbold"/>
              <w:rPr>
                <w:b w:val="0"/>
                <w:bCs/>
              </w:rPr>
            </w:pPr>
            <w:r w:rsidRPr="00B6064B">
              <w:rPr>
                <w:b w:val="0"/>
                <w:bCs/>
              </w:rPr>
              <w:t>203.6</w:t>
            </w:r>
          </w:p>
        </w:tc>
        <w:tc>
          <w:tcPr>
            <w:tcW w:w="1361" w:type="dxa"/>
            <w:tcBorders>
              <w:top w:val="single" w:sz="4" w:space="0" w:color="000000" w:themeColor="text1"/>
              <w:bottom w:val="single" w:sz="4" w:space="0" w:color="000000" w:themeColor="text1"/>
            </w:tcBorders>
            <w:noWrap/>
          </w:tcPr>
          <w:p w14:paraId="6BFCD4B0" w14:textId="77777777" w:rsidR="00265792" w:rsidRPr="00B6064B" w:rsidRDefault="00265792" w:rsidP="00416EAF">
            <w:pPr>
              <w:pStyle w:val="ARfintablebodyrightbold"/>
              <w:rPr>
                <w:b w:val="0"/>
                <w:bCs/>
              </w:rPr>
            </w:pPr>
            <w:r>
              <w:rPr>
                <w:b w:val="0"/>
                <w:bCs/>
              </w:rPr>
              <w:t>–</w:t>
            </w:r>
          </w:p>
        </w:tc>
      </w:tr>
      <w:tr w:rsidR="00265792" w:rsidRPr="00BA7805" w14:paraId="33DBDF0C" w14:textId="77777777" w:rsidTr="00416EAF">
        <w:tc>
          <w:tcPr>
            <w:tcW w:w="6915" w:type="dxa"/>
            <w:tcBorders>
              <w:top w:val="single" w:sz="4" w:space="0" w:color="000000" w:themeColor="text1"/>
              <w:bottom w:val="single" w:sz="4" w:space="0" w:color="000000" w:themeColor="text1"/>
            </w:tcBorders>
          </w:tcPr>
          <w:p w14:paraId="6AE67604" w14:textId="77777777" w:rsidR="00265792" w:rsidRPr="00BA7805" w:rsidRDefault="00265792" w:rsidP="00416EAF">
            <w:pPr>
              <w:pStyle w:val="ARfintablebodybold"/>
              <w:rPr>
                <w:highlight w:val="green"/>
              </w:rPr>
            </w:pPr>
            <w:r w:rsidRPr="00EA1778">
              <w:t>Total current provisions</w:t>
            </w:r>
          </w:p>
        </w:tc>
        <w:tc>
          <w:tcPr>
            <w:tcW w:w="1361" w:type="dxa"/>
            <w:tcBorders>
              <w:top w:val="single" w:sz="4" w:space="0" w:color="000000" w:themeColor="text1"/>
              <w:bottom w:val="single" w:sz="4" w:space="0" w:color="000000" w:themeColor="text1"/>
            </w:tcBorders>
            <w:shd w:val="clear" w:color="auto" w:fill="EEEEEF" w:themeFill="accent4"/>
            <w:noWrap/>
          </w:tcPr>
          <w:p w14:paraId="264A7988" w14:textId="77777777" w:rsidR="00265792" w:rsidRPr="00BA7805" w:rsidRDefault="00265792" w:rsidP="00416EAF">
            <w:pPr>
              <w:pStyle w:val="ARfintablebodyrightbold"/>
              <w:rPr>
                <w:highlight w:val="green"/>
              </w:rPr>
            </w:pPr>
            <w:r>
              <w:t>457.2</w:t>
            </w:r>
          </w:p>
        </w:tc>
        <w:tc>
          <w:tcPr>
            <w:tcW w:w="1361" w:type="dxa"/>
            <w:tcBorders>
              <w:top w:val="single" w:sz="4" w:space="0" w:color="000000" w:themeColor="text1"/>
              <w:bottom w:val="single" w:sz="4" w:space="0" w:color="000000" w:themeColor="text1"/>
            </w:tcBorders>
            <w:noWrap/>
          </w:tcPr>
          <w:p w14:paraId="12251679" w14:textId="77777777" w:rsidR="00265792" w:rsidRPr="00BA7805" w:rsidRDefault="00265792" w:rsidP="00416EAF">
            <w:pPr>
              <w:pStyle w:val="ARfintablebodyrightbold"/>
              <w:rPr>
                <w:highlight w:val="green"/>
              </w:rPr>
            </w:pPr>
            <w:r w:rsidRPr="003F2888">
              <w:t>171.2</w:t>
            </w:r>
          </w:p>
        </w:tc>
      </w:tr>
      <w:tr w:rsidR="00265792" w:rsidRPr="00BA7805" w14:paraId="799FFB83" w14:textId="77777777" w:rsidTr="00416EAF">
        <w:tc>
          <w:tcPr>
            <w:tcW w:w="6915" w:type="dxa"/>
            <w:tcBorders>
              <w:top w:val="single" w:sz="4" w:space="0" w:color="000000" w:themeColor="text1"/>
              <w:bottom w:val="single" w:sz="4" w:space="0" w:color="A6A6A6" w:themeColor="accent5"/>
            </w:tcBorders>
          </w:tcPr>
          <w:p w14:paraId="1508A6F4" w14:textId="77777777" w:rsidR="00265792" w:rsidRPr="00BA7805" w:rsidRDefault="00265792" w:rsidP="00416EAF">
            <w:pPr>
              <w:pStyle w:val="ARfintablebodybold"/>
              <w:rPr>
                <w:highlight w:val="green"/>
              </w:rPr>
            </w:pPr>
            <w:r w:rsidRPr="00EA1778">
              <w:t>Non-current provisions</w:t>
            </w:r>
          </w:p>
        </w:tc>
        <w:tc>
          <w:tcPr>
            <w:tcW w:w="1361" w:type="dxa"/>
            <w:tcBorders>
              <w:top w:val="single" w:sz="4" w:space="0" w:color="000000" w:themeColor="text1"/>
              <w:bottom w:val="single" w:sz="4" w:space="0" w:color="A6A6A6" w:themeColor="accent5"/>
            </w:tcBorders>
            <w:noWrap/>
          </w:tcPr>
          <w:p w14:paraId="07F99F15" w14:textId="77777777" w:rsidR="00265792" w:rsidRPr="00BA7805" w:rsidRDefault="00265792" w:rsidP="00EA5FAB">
            <w:pPr>
              <w:pStyle w:val="ARfintablebodyright"/>
              <w:spacing w:before="30"/>
              <w:rPr>
                <w:highlight w:val="green"/>
              </w:rPr>
            </w:pPr>
          </w:p>
        </w:tc>
        <w:tc>
          <w:tcPr>
            <w:tcW w:w="1361" w:type="dxa"/>
            <w:tcBorders>
              <w:top w:val="single" w:sz="4" w:space="0" w:color="000000" w:themeColor="text1"/>
              <w:bottom w:val="single" w:sz="4" w:space="0" w:color="A6A6A6" w:themeColor="accent5"/>
            </w:tcBorders>
            <w:noWrap/>
          </w:tcPr>
          <w:p w14:paraId="0E58A433" w14:textId="77777777" w:rsidR="00265792" w:rsidRPr="00BA7805" w:rsidRDefault="00265792" w:rsidP="00EA5FAB">
            <w:pPr>
              <w:pStyle w:val="ARfintablebodyright"/>
              <w:spacing w:before="30"/>
              <w:rPr>
                <w:highlight w:val="green"/>
              </w:rPr>
            </w:pPr>
          </w:p>
        </w:tc>
      </w:tr>
      <w:tr w:rsidR="00265792" w:rsidRPr="00BA7805" w14:paraId="26CCF1CA" w14:textId="77777777" w:rsidTr="00416EAF">
        <w:tc>
          <w:tcPr>
            <w:tcW w:w="6915" w:type="dxa"/>
            <w:tcBorders>
              <w:top w:val="single" w:sz="4" w:space="0" w:color="A6A6A6" w:themeColor="accent5"/>
            </w:tcBorders>
          </w:tcPr>
          <w:p w14:paraId="0980B945" w14:textId="4826F9FC" w:rsidR="00265792" w:rsidRPr="00BA7805" w:rsidRDefault="00265792" w:rsidP="00EA5FAB">
            <w:pPr>
              <w:pStyle w:val="ARfintablebody"/>
              <w:spacing w:before="30"/>
              <w:rPr>
                <w:highlight w:val="green"/>
              </w:rPr>
            </w:pPr>
            <w:r w:rsidRPr="00EA1778">
              <w:t>Redress provision</w:t>
            </w:r>
          </w:p>
        </w:tc>
        <w:tc>
          <w:tcPr>
            <w:tcW w:w="1361" w:type="dxa"/>
            <w:tcBorders>
              <w:top w:val="single" w:sz="4" w:space="0" w:color="A6A6A6" w:themeColor="accent5"/>
            </w:tcBorders>
            <w:shd w:val="clear" w:color="auto" w:fill="EEEEEF" w:themeFill="accent4"/>
            <w:noWrap/>
          </w:tcPr>
          <w:p w14:paraId="2A50361A" w14:textId="77777777" w:rsidR="00265792" w:rsidRPr="00BA7805" w:rsidRDefault="00265792" w:rsidP="00EA5FAB">
            <w:pPr>
              <w:pStyle w:val="ARfintablebodyright"/>
              <w:spacing w:before="30"/>
              <w:rPr>
                <w:highlight w:val="green"/>
              </w:rPr>
            </w:pPr>
            <w:r>
              <w:t>–</w:t>
            </w:r>
          </w:p>
        </w:tc>
        <w:tc>
          <w:tcPr>
            <w:tcW w:w="1361" w:type="dxa"/>
            <w:tcBorders>
              <w:top w:val="single" w:sz="4" w:space="0" w:color="A6A6A6" w:themeColor="accent5"/>
            </w:tcBorders>
            <w:noWrap/>
          </w:tcPr>
          <w:p w14:paraId="62385976" w14:textId="77777777" w:rsidR="00265792" w:rsidRPr="00BA7805" w:rsidRDefault="00265792" w:rsidP="00EA5FAB">
            <w:pPr>
              <w:pStyle w:val="ARfintablebodyright"/>
              <w:spacing w:before="30"/>
              <w:rPr>
                <w:highlight w:val="green"/>
              </w:rPr>
            </w:pPr>
            <w:r w:rsidRPr="003F2888">
              <w:t>170.7</w:t>
            </w:r>
          </w:p>
        </w:tc>
      </w:tr>
      <w:tr w:rsidR="00265792" w:rsidRPr="00BA7805" w14:paraId="344A995C" w14:textId="77777777" w:rsidTr="00416EAF">
        <w:tc>
          <w:tcPr>
            <w:tcW w:w="6915" w:type="dxa"/>
            <w:tcBorders>
              <w:bottom w:val="single" w:sz="4" w:space="0" w:color="A6A6A6" w:themeColor="accent5"/>
            </w:tcBorders>
          </w:tcPr>
          <w:p w14:paraId="1F6497C5" w14:textId="77777777" w:rsidR="00265792" w:rsidRPr="00BA7805" w:rsidRDefault="00265792" w:rsidP="00EA5FAB">
            <w:pPr>
              <w:pStyle w:val="ARfintablebody"/>
              <w:spacing w:before="30"/>
              <w:rPr>
                <w:highlight w:val="green"/>
              </w:rPr>
            </w:pPr>
            <w:r w:rsidRPr="00EA1778">
              <w:t>Insurance claims</w:t>
            </w:r>
          </w:p>
        </w:tc>
        <w:tc>
          <w:tcPr>
            <w:tcW w:w="1361" w:type="dxa"/>
            <w:tcBorders>
              <w:bottom w:val="single" w:sz="4" w:space="0" w:color="A6A6A6" w:themeColor="accent5"/>
            </w:tcBorders>
            <w:shd w:val="clear" w:color="auto" w:fill="EEEEEF" w:themeFill="accent4"/>
            <w:noWrap/>
          </w:tcPr>
          <w:p w14:paraId="711F1BAF" w14:textId="77777777" w:rsidR="00265792" w:rsidRPr="00BA7805" w:rsidRDefault="00265792" w:rsidP="00EA5FAB">
            <w:pPr>
              <w:pStyle w:val="ARfintablebodyright"/>
              <w:spacing w:before="30"/>
              <w:rPr>
                <w:highlight w:val="green"/>
              </w:rPr>
            </w:pPr>
            <w:r w:rsidRPr="003F2888">
              <w:t>273.6</w:t>
            </w:r>
          </w:p>
        </w:tc>
        <w:tc>
          <w:tcPr>
            <w:tcW w:w="1361" w:type="dxa"/>
            <w:tcBorders>
              <w:bottom w:val="single" w:sz="4" w:space="0" w:color="A6A6A6" w:themeColor="accent5"/>
            </w:tcBorders>
            <w:noWrap/>
          </w:tcPr>
          <w:p w14:paraId="5175EE7A" w14:textId="77777777" w:rsidR="00265792" w:rsidRPr="00BA7805" w:rsidRDefault="00265792" w:rsidP="00EA5FAB">
            <w:pPr>
              <w:pStyle w:val="ARfintablebodyright"/>
              <w:spacing w:before="30"/>
              <w:rPr>
                <w:highlight w:val="green"/>
              </w:rPr>
            </w:pPr>
            <w:r w:rsidRPr="003F2888">
              <w:t>181.1</w:t>
            </w:r>
          </w:p>
        </w:tc>
      </w:tr>
      <w:tr w:rsidR="00265792" w:rsidRPr="00BA7805" w14:paraId="30207D13" w14:textId="77777777" w:rsidTr="00416EAF">
        <w:tc>
          <w:tcPr>
            <w:tcW w:w="6915" w:type="dxa"/>
            <w:tcBorders>
              <w:top w:val="single" w:sz="4" w:space="0" w:color="A6A6A6" w:themeColor="accent5"/>
              <w:bottom w:val="single" w:sz="4" w:space="0" w:color="000000" w:themeColor="text1"/>
            </w:tcBorders>
          </w:tcPr>
          <w:p w14:paraId="2CEA2C80" w14:textId="77777777" w:rsidR="00265792" w:rsidRPr="00BA7805" w:rsidRDefault="00265792" w:rsidP="00416EAF">
            <w:pPr>
              <w:pStyle w:val="ARfintablebody"/>
              <w:rPr>
                <w:highlight w:val="green"/>
              </w:rPr>
            </w:pPr>
            <w:r w:rsidRPr="00EA1778">
              <w:t>Make-good provision</w:t>
            </w:r>
          </w:p>
        </w:tc>
        <w:tc>
          <w:tcPr>
            <w:tcW w:w="1361" w:type="dxa"/>
            <w:tcBorders>
              <w:top w:val="single" w:sz="4" w:space="0" w:color="A6A6A6" w:themeColor="accent5"/>
              <w:bottom w:val="single" w:sz="4" w:space="0" w:color="000000" w:themeColor="text1"/>
            </w:tcBorders>
            <w:shd w:val="clear" w:color="auto" w:fill="EEEEEF" w:themeFill="accent4"/>
            <w:noWrap/>
          </w:tcPr>
          <w:p w14:paraId="2EB9E851" w14:textId="77777777" w:rsidR="00265792" w:rsidRPr="00BA7805" w:rsidRDefault="00265792" w:rsidP="00416EAF">
            <w:pPr>
              <w:pStyle w:val="ARfintablebodyright"/>
              <w:rPr>
                <w:highlight w:val="green"/>
              </w:rPr>
            </w:pPr>
            <w:r w:rsidRPr="003F2888">
              <w:t>11.1</w:t>
            </w:r>
          </w:p>
        </w:tc>
        <w:tc>
          <w:tcPr>
            <w:tcW w:w="1361" w:type="dxa"/>
            <w:tcBorders>
              <w:top w:val="single" w:sz="4" w:space="0" w:color="A6A6A6" w:themeColor="accent5"/>
              <w:bottom w:val="single" w:sz="4" w:space="0" w:color="000000" w:themeColor="text1"/>
            </w:tcBorders>
            <w:noWrap/>
          </w:tcPr>
          <w:p w14:paraId="2D123FA6" w14:textId="77777777" w:rsidR="00265792" w:rsidRPr="00BA7805" w:rsidRDefault="00265792" w:rsidP="00416EAF">
            <w:pPr>
              <w:pStyle w:val="ARfintablebodyright"/>
              <w:rPr>
                <w:highlight w:val="green"/>
              </w:rPr>
            </w:pPr>
            <w:r w:rsidRPr="003F2888">
              <w:t>7.7</w:t>
            </w:r>
          </w:p>
        </w:tc>
      </w:tr>
      <w:tr w:rsidR="00265792" w:rsidRPr="00BA7805" w14:paraId="24666AFA" w14:textId="77777777" w:rsidTr="00416EAF">
        <w:tc>
          <w:tcPr>
            <w:tcW w:w="6915" w:type="dxa"/>
            <w:tcBorders>
              <w:top w:val="single" w:sz="4" w:space="0" w:color="000000" w:themeColor="text1"/>
              <w:bottom w:val="single" w:sz="4" w:space="0" w:color="000000" w:themeColor="text1"/>
            </w:tcBorders>
          </w:tcPr>
          <w:p w14:paraId="696B1D76" w14:textId="77777777" w:rsidR="00265792" w:rsidRPr="00BA7805" w:rsidRDefault="00265792" w:rsidP="00416EAF">
            <w:pPr>
              <w:pStyle w:val="ARfintablebodybold"/>
              <w:rPr>
                <w:highlight w:val="green"/>
              </w:rPr>
            </w:pPr>
            <w:r w:rsidRPr="00EA1778">
              <w:t>Total non-current provisions</w:t>
            </w:r>
          </w:p>
        </w:tc>
        <w:tc>
          <w:tcPr>
            <w:tcW w:w="1361" w:type="dxa"/>
            <w:tcBorders>
              <w:top w:val="single" w:sz="4" w:space="0" w:color="000000" w:themeColor="text1"/>
              <w:bottom w:val="single" w:sz="4" w:space="0" w:color="000000" w:themeColor="text1"/>
            </w:tcBorders>
            <w:shd w:val="clear" w:color="auto" w:fill="EEEEEF" w:themeFill="accent4"/>
            <w:noWrap/>
          </w:tcPr>
          <w:p w14:paraId="4D5636B8" w14:textId="77777777" w:rsidR="00265792" w:rsidRPr="00BA7805" w:rsidRDefault="00265792" w:rsidP="00416EAF">
            <w:pPr>
              <w:pStyle w:val="ARfintablebodyrightbold"/>
              <w:rPr>
                <w:highlight w:val="green"/>
              </w:rPr>
            </w:pPr>
            <w:r>
              <w:t>284.7</w:t>
            </w:r>
          </w:p>
        </w:tc>
        <w:tc>
          <w:tcPr>
            <w:tcW w:w="1361" w:type="dxa"/>
            <w:tcBorders>
              <w:top w:val="single" w:sz="4" w:space="0" w:color="000000" w:themeColor="text1"/>
              <w:bottom w:val="single" w:sz="4" w:space="0" w:color="000000" w:themeColor="text1"/>
            </w:tcBorders>
            <w:noWrap/>
          </w:tcPr>
          <w:p w14:paraId="7F7E1E89" w14:textId="77777777" w:rsidR="00265792" w:rsidRPr="00BA7805" w:rsidRDefault="00265792" w:rsidP="00416EAF">
            <w:pPr>
              <w:pStyle w:val="ARfintablebodyrightbold"/>
              <w:rPr>
                <w:highlight w:val="green"/>
              </w:rPr>
            </w:pPr>
            <w:r w:rsidRPr="003F2888">
              <w:t>359.5</w:t>
            </w:r>
          </w:p>
        </w:tc>
      </w:tr>
      <w:tr w:rsidR="00265792" w:rsidRPr="00BA7805" w14:paraId="1BFDEF6E" w14:textId="77777777" w:rsidTr="00416EAF">
        <w:trPr>
          <w:cnfStyle w:val="010000000000" w:firstRow="0" w:lastRow="1" w:firstColumn="0" w:lastColumn="0" w:oddVBand="0" w:evenVBand="0" w:oddHBand="0" w:evenHBand="0" w:firstRowFirstColumn="0" w:firstRowLastColumn="0" w:lastRowFirstColumn="0" w:lastRowLastColumn="0"/>
        </w:trPr>
        <w:tc>
          <w:tcPr>
            <w:tcW w:w="6915" w:type="dxa"/>
          </w:tcPr>
          <w:p w14:paraId="0822C061" w14:textId="77777777" w:rsidR="00265792" w:rsidRPr="00BA7805" w:rsidRDefault="00265792" w:rsidP="00416EAF">
            <w:pPr>
              <w:pStyle w:val="ARfintablebodybold"/>
              <w:rPr>
                <w:highlight w:val="green"/>
              </w:rPr>
            </w:pPr>
            <w:r w:rsidRPr="00EA1778">
              <w:t>Total other provisions</w:t>
            </w:r>
          </w:p>
        </w:tc>
        <w:tc>
          <w:tcPr>
            <w:tcW w:w="1361" w:type="dxa"/>
            <w:shd w:val="clear" w:color="auto" w:fill="EEEEEF" w:themeFill="accent4"/>
            <w:noWrap/>
          </w:tcPr>
          <w:p w14:paraId="383B0E9F" w14:textId="77777777" w:rsidR="00265792" w:rsidRPr="00BA7805" w:rsidRDefault="00265792" w:rsidP="00416EAF">
            <w:pPr>
              <w:pStyle w:val="ARfintablebodyrightbold"/>
              <w:rPr>
                <w:highlight w:val="green"/>
              </w:rPr>
            </w:pPr>
            <w:r w:rsidRPr="003F2888">
              <w:t>741.9</w:t>
            </w:r>
          </w:p>
        </w:tc>
        <w:tc>
          <w:tcPr>
            <w:tcW w:w="1361" w:type="dxa"/>
            <w:noWrap/>
          </w:tcPr>
          <w:p w14:paraId="4CACCB3E" w14:textId="77777777" w:rsidR="00265792" w:rsidRPr="00BA7805" w:rsidRDefault="00265792" w:rsidP="00416EAF">
            <w:pPr>
              <w:pStyle w:val="ARfintablebodyrightbold"/>
              <w:rPr>
                <w:highlight w:val="green"/>
              </w:rPr>
            </w:pPr>
            <w:r w:rsidRPr="003F2888">
              <w:t>530.7</w:t>
            </w:r>
          </w:p>
        </w:tc>
      </w:tr>
    </w:tbl>
    <w:p w14:paraId="77D703A2" w14:textId="77777777" w:rsidR="00265792" w:rsidRDefault="00265792" w:rsidP="00EA5FAB">
      <w:pPr>
        <w:pStyle w:val="ARfinbodyaftertable"/>
      </w:pPr>
      <w:r>
        <w:t xml:space="preserve">Provisions are recognised when the department has a present obligation, the future sacrifice of economic benefits is probable, and the amount of the provision can be measured reliably. The amount recognised as a provision is the best estimate of the consideration required to settle the present obligation at reporting date, </w:t>
      </w:r>
      <w:proofErr w:type="gramStart"/>
      <w:r>
        <w:t>taking into account</w:t>
      </w:r>
      <w:proofErr w:type="gramEnd"/>
      <w:r>
        <w:t xml:space="preserve"> the risks and uncertainties surrounding the obligation.</w:t>
      </w:r>
    </w:p>
    <w:p w14:paraId="0EB3524B" w14:textId="77777777" w:rsidR="00265792" w:rsidRPr="00EA5FAB" w:rsidRDefault="00265792" w:rsidP="00EA5FAB">
      <w:pPr>
        <w:pStyle w:val="ARfinbody"/>
      </w:pPr>
      <w:r>
        <w:t xml:space="preserve">Where a provision is measured using the cash flows estimated to settle the present obligation, </w:t>
      </w:r>
      <w:proofErr w:type="gramStart"/>
      <w:r>
        <w:t>its</w:t>
      </w:r>
      <w:proofErr w:type="gramEnd"/>
      <w:r>
        <w:t xml:space="preserve"> carrying amount is the present value of those cash flows, using a discount rate that reflects the time, value of money and risks specific to the provision.</w:t>
      </w:r>
    </w:p>
    <w:p w14:paraId="1068C537" w14:textId="77777777" w:rsidR="00265792" w:rsidRPr="00DA1D59" w:rsidRDefault="00265792" w:rsidP="00207901">
      <w:pPr>
        <w:pStyle w:val="Heading5"/>
        <w:rPr>
          <w:lang w:eastAsia="en-AU"/>
        </w:rPr>
      </w:pPr>
      <w:r w:rsidRPr="00DA1D59">
        <w:t>6.4.1 Reconciliation of movements in other provisions</w:t>
      </w:r>
    </w:p>
    <w:tbl>
      <w:tblPr>
        <w:tblStyle w:val="TableGrid"/>
        <w:tblW w:w="5000" w:type="pct"/>
        <w:tblLayout w:type="fixed"/>
        <w:tblLook w:val="06E0" w:firstRow="1" w:lastRow="1" w:firstColumn="1" w:lastColumn="0" w:noHBand="1" w:noVBand="1"/>
      </w:tblPr>
      <w:tblGrid>
        <w:gridCol w:w="3493"/>
        <w:gridCol w:w="1535"/>
        <w:gridCol w:w="1537"/>
        <w:gridCol w:w="1536"/>
        <w:gridCol w:w="1537"/>
      </w:tblGrid>
      <w:tr w:rsidR="00265792" w:rsidRPr="00BA7805" w14:paraId="110E78C8" w14:textId="77777777" w:rsidTr="00992778">
        <w:trPr>
          <w:cnfStyle w:val="100000000000" w:firstRow="1" w:lastRow="0" w:firstColumn="0" w:lastColumn="0" w:oddVBand="0" w:evenVBand="0" w:oddHBand="0" w:evenHBand="0" w:firstRowFirstColumn="0" w:firstRowLastColumn="0" w:lastRowFirstColumn="0" w:lastRowLastColumn="0"/>
          <w:trHeight w:val="255"/>
          <w:tblHeader/>
        </w:trPr>
        <w:tc>
          <w:tcPr>
            <w:tcW w:w="3493" w:type="dxa"/>
            <w:hideMark/>
          </w:tcPr>
          <w:p w14:paraId="1E628AC7" w14:textId="77777777" w:rsidR="00265792" w:rsidRPr="00BA7805" w:rsidRDefault="00265792">
            <w:pPr>
              <w:pStyle w:val="ARfintablecolhead"/>
              <w:rPr>
                <w:highlight w:val="green"/>
              </w:rPr>
            </w:pPr>
          </w:p>
        </w:tc>
        <w:tc>
          <w:tcPr>
            <w:tcW w:w="1535" w:type="dxa"/>
            <w:shd w:val="clear" w:color="auto" w:fill="EEEEEF" w:themeFill="accent4"/>
          </w:tcPr>
          <w:p w14:paraId="4572A5D2" w14:textId="1A51166F" w:rsidR="00265792" w:rsidRPr="00DA1D59" w:rsidRDefault="00265792" w:rsidP="004D25D7">
            <w:pPr>
              <w:pStyle w:val="ARfintablecolheadright"/>
            </w:pPr>
            <w:r w:rsidRPr="00354542">
              <w:t>Redress provision</w:t>
            </w:r>
            <w:r w:rsidRPr="00DA1D59">
              <w:br/>
              <w:t>202</w:t>
            </w:r>
            <w:r>
              <w:t>5</w:t>
            </w:r>
          </w:p>
          <w:p w14:paraId="5A504599" w14:textId="77777777" w:rsidR="00265792" w:rsidRPr="00DA1D59" w:rsidRDefault="00265792" w:rsidP="004D25D7">
            <w:pPr>
              <w:pStyle w:val="ARfintablecolheadright"/>
            </w:pPr>
            <w:r w:rsidRPr="00DA1D59">
              <w:t>$M</w:t>
            </w:r>
          </w:p>
        </w:tc>
        <w:tc>
          <w:tcPr>
            <w:tcW w:w="1537" w:type="dxa"/>
            <w:hideMark/>
          </w:tcPr>
          <w:p w14:paraId="548AF664" w14:textId="77777777" w:rsidR="00265792" w:rsidRPr="00DA1D59" w:rsidRDefault="00265792" w:rsidP="004D25D7">
            <w:pPr>
              <w:pStyle w:val="ARfintablecolheadright"/>
            </w:pPr>
            <w:r w:rsidRPr="00DA1D59">
              <w:t xml:space="preserve">Make-good </w:t>
            </w:r>
            <w:r w:rsidRPr="00DA1D59">
              <w:br/>
              <w:t>202</w:t>
            </w:r>
            <w:r>
              <w:t>5</w:t>
            </w:r>
          </w:p>
          <w:p w14:paraId="721B452C" w14:textId="77777777" w:rsidR="00265792" w:rsidRPr="00DA1D59" w:rsidRDefault="00265792" w:rsidP="004D25D7">
            <w:pPr>
              <w:pStyle w:val="ARfintablecolheadright"/>
            </w:pPr>
            <w:r w:rsidRPr="00DA1D59">
              <w:t>$M</w:t>
            </w:r>
          </w:p>
        </w:tc>
        <w:tc>
          <w:tcPr>
            <w:tcW w:w="1536" w:type="dxa"/>
            <w:shd w:val="clear" w:color="auto" w:fill="EEEEEF" w:themeFill="accent4"/>
            <w:hideMark/>
          </w:tcPr>
          <w:p w14:paraId="1B39A9F0" w14:textId="77777777" w:rsidR="00265792" w:rsidRPr="00DA1D59" w:rsidRDefault="00265792" w:rsidP="004D25D7">
            <w:pPr>
              <w:pStyle w:val="ARfintablecolheadright"/>
            </w:pPr>
            <w:r w:rsidRPr="00DA1D59">
              <w:t>Insurance claims</w:t>
            </w:r>
            <w:r w:rsidRPr="00DA1D59">
              <w:br/>
              <w:t>202</w:t>
            </w:r>
            <w:r>
              <w:t>5</w:t>
            </w:r>
          </w:p>
          <w:p w14:paraId="0E3926E5" w14:textId="77777777" w:rsidR="00265792" w:rsidRPr="00DA1D59" w:rsidRDefault="00265792" w:rsidP="004D25D7">
            <w:pPr>
              <w:pStyle w:val="ARfintablecolheadright"/>
            </w:pPr>
            <w:r w:rsidRPr="00DA1D59">
              <w:t>$M</w:t>
            </w:r>
          </w:p>
        </w:tc>
        <w:tc>
          <w:tcPr>
            <w:tcW w:w="1537" w:type="dxa"/>
            <w:hideMark/>
          </w:tcPr>
          <w:p w14:paraId="4195D657" w14:textId="77777777" w:rsidR="00265792" w:rsidRPr="00DA1D59" w:rsidRDefault="00265792" w:rsidP="004D25D7">
            <w:pPr>
              <w:pStyle w:val="ARfintablecolheadright"/>
            </w:pPr>
            <w:r w:rsidRPr="00DA1D59">
              <w:t xml:space="preserve">Total </w:t>
            </w:r>
            <w:r w:rsidRPr="00DA1D59">
              <w:br/>
              <w:t>202</w:t>
            </w:r>
            <w:r>
              <w:t>5</w:t>
            </w:r>
          </w:p>
          <w:p w14:paraId="2C4C9575" w14:textId="77777777" w:rsidR="00265792" w:rsidRPr="00DA1D59" w:rsidRDefault="00265792" w:rsidP="004D25D7">
            <w:pPr>
              <w:pStyle w:val="ARfintablecolheadright"/>
            </w:pPr>
            <w:r w:rsidRPr="00DA1D59">
              <w:t>$M</w:t>
            </w:r>
          </w:p>
        </w:tc>
      </w:tr>
      <w:tr w:rsidR="00265792" w:rsidRPr="00BA7805" w14:paraId="2185EFF4" w14:textId="77777777" w:rsidTr="00992778">
        <w:trPr>
          <w:trHeight w:val="255"/>
        </w:trPr>
        <w:tc>
          <w:tcPr>
            <w:tcW w:w="3493" w:type="dxa"/>
          </w:tcPr>
          <w:p w14:paraId="733C4ADF" w14:textId="77777777" w:rsidR="00265792" w:rsidRPr="00BA7805" w:rsidRDefault="00265792" w:rsidP="005213B4">
            <w:pPr>
              <w:pStyle w:val="ARfintablebodybold"/>
              <w:rPr>
                <w:highlight w:val="green"/>
              </w:rPr>
            </w:pPr>
            <w:r w:rsidRPr="00FA681A">
              <w:t>Opening balance</w:t>
            </w:r>
          </w:p>
        </w:tc>
        <w:tc>
          <w:tcPr>
            <w:tcW w:w="1535" w:type="dxa"/>
            <w:shd w:val="clear" w:color="auto" w:fill="EEEEEF" w:themeFill="accent4"/>
          </w:tcPr>
          <w:p w14:paraId="6B115262" w14:textId="77777777" w:rsidR="00265792" w:rsidRPr="00BA7805" w:rsidRDefault="00265792" w:rsidP="00992778">
            <w:pPr>
              <w:pStyle w:val="ARfintablebodyrightbold"/>
              <w:rPr>
                <w:highlight w:val="green"/>
              </w:rPr>
            </w:pPr>
            <w:r w:rsidRPr="00FA681A">
              <w:t>170.7</w:t>
            </w:r>
          </w:p>
        </w:tc>
        <w:tc>
          <w:tcPr>
            <w:tcW w:w="1537" w:type="dxa"/>
            <w:noWrap/>
          </w:tcPr>
          <w:p w14:paraId="12925FBB" w14:textId="77777777" w:rsidR="00265792" w:rsidRPr="00BA7805" w:rsidRDefault="00265792" w:rsidP="00992778">
            <w:pPr>
              <w:pStyle w:val="ARfintablebodyrightbold"/>
              <w:rPr>
                <w:highlight w:val="green"/>
              </w:rPr>
            </w:pPr>
            <w:r w:rsidRPr="00FA681A">
              <w:t>10.8</w:t>
            </w:r>
          </w:p>
        </w:tc>
        <w:tc>
          <w:tcPr>
            <w:tcW w:w="1536" w:type="dxa"/>
            <w:shd w:val="clear" w:color="auto" w:fill="EEEEEF" w:themeFill="accent4"/>
            <w:noWrap/>
          </w:tcPr>
          <w:p w14:paraId="146F5297" w14:textId="77777777" w:rsidR="00265792" w:rsidRPr="00BA7805" w:rsidRDefault="00265792" w:rsidP="00992778">
            <w:pPr>
              <w:pStyle w:val="ARfintablebodyrightbold"/>
              <w:rPr>
                <w:highlight w:val="green"/>
              </w:rPr>
            </w:pPr>
            <w:r w:rsidRPr="00FA681A">
              <w:t>349.2</w:t>
            </w:r>
          </w:p>
        </w:tc>
        <w:tc>
          <w:tcPr>
            <w:tcW w:w="1537" w:type="dxa"/>
            <w:noWrap/>
          </w:tcPr>
          <w:p w14:paraId="0DC0338A" w14:textId="77777777" w:rsidR="00265792" w:rsidRPr="00BA7805" w:rsidRDefault="00265792" w:rsidP="00992778">
            <w:pPr>
              <w:pStyle w:val="ARfintablebodyrightbold"/>
              <w:rPr>
                <w:highlight w:val="green"/>
              </w:rPr>
            </w:pPr>
            <w:r w:rsidRPr="00FA681A">
              <w:t>530.7</w:t>
            </w:r>
          </w:p>
        </w:tc>
      </w:tr>
      <w:tr w:rsidR="00265792" w:rsidRPr="00BA7805" w14:paraId="05E30E9F" w14:textId="77777777" w:rsidTr="00992778">
        <w:trPr>
          <w:trHeight w:val="255"/>
        </w:trPr>
        <w:tc>
          <w:tcPr>
            <w:tcW w:w="3493" w:type="dxa"/>
          </w:tcPr>
          <w:p w14:paraId="2A532DAC" w14:textId="77777777" w:rsidR="00265792" w:rsidRPr="00BA7805" w:rsidRDefault="00265792" w:rsidP="005213B4">
            <w:pPr>
              <w:pStyle w:val="ARfintablebody"/>
              <w:rPr>
                <w:highlight w:val="green"/>
              </w:rPr>
            </w:pPr>
            <w:r w:rsidRPr="00FA681A">
              <w:t>Additional provisions recognised</w:t>
            </w:r>
          </w:p>
        </w:tc>
        <w:tc>
          <w:tcPr>
            <w:tcW w:w="1535" w:type="dxa"/>
            <w:shd w:val="clear" w:color="auto" w:fill="EEEEEF" w:themeFill="accent4"/>
          </w:tcPr>
          <w:p w14:paraId="540BE4A4" w14:textId="77777777" w:rsidR="00265792" w:rsidRPr="00BA7805" w:rsidRDefault="00265792" w:rsidP="005213B4">
            <w:pPr>
              <w:pStyle w:val="ARfintablebodyright"/>
              <w:rPr>
                <w:highlight w:val="green"/>
              </w:rPr>
            </w:pPr>
            <w:r w:rsidRPr="00FA681A">
              <w:t>38.9</w:t>
            </w:r>
          </w:p>
        </w:tc>
        <w:tc>
          <w:tcPr>
            <w:tcW w:w="1537" w:type="dxa"/>
            <w:noWrap/>
          </w:tcPr>
          <w:p w14:paraId="674F5A84" w14:textId="77777777" w:rsidR="00265792" w:rsidRPr="00BA7805" w:rsidRDefault="00265792" w:rsidP="005213B4">
            <w:pPr>
              <w:pStyle w:val="ARfintablebodyright"/>
              <w:rPr>
                <w:highlight w:val="green"/>
              </w:rPr>
            </w:pPr>
            <w:r w:rsidRPr="00FA681A">
              <w:t>4.9</w:t>
            </w:r>
          </w:p>
        </w:tc>
        <w:tc>
          <w:tcPr>
            <w:tcW w:w="1536" w:type="dxa"/>
            <w:shd w:val="clear" w:color="auto" w:fill="EEEEEF" w:themeFill="accent4"/>
            <w:noWrap/>
          </w:tcPr>
          <w:p w14:paraId="6A506C37" w14:textId="77777777" w:rsidR="00265792" w:rsidRPr="00BA7805" w:rsidRDefault="00265792" w:rsidP="005213B4">
            <w:pPr>
              <w:pStyle w:val="ARfintablebodyright"/>
              <w:rPr>
                <w:highlight w:val="green"/>
              </w:rPr>
            </w:pPr>
            <w:r w:rsidRPr="00FA681A">
              <w:t>140.0</w:t>
            </w:r>
          </w:p>
        </w:tc>
        <w:tc>
          <w:tcPr>
            <w:tcW w:w="1537" w:type="dxa"/>
            <w:noWrap/>
          </w:tcPr>
          <w:p w14:paraId="2A547A42" w14:textId="77777777" w:rsidR="00265792" w:rsidRPr="00BA7805" w:rsidRDefault="00265792" w:rsidP="005213B4">
            <w:pPr>
              <w:pStyle w:val="ARfintablebodyright"/>
              <w:rPr>
                <w:highlight w:val="green"/>
              </w:rPr>
            </w:pPr>
            <w:r w:rsidRPr="00FA681A">
              <w:t>183.8</w:t>
            </w:r>
          </w:p>
        </w:tc>
      </w:tr>
      <w:tr w:rsidR="00265792" w:rsidRPr="00BA7805" w14:paraId="516EB163" w14:textId="77777777" w:rsidTr="00992778">
        <w:trPr>
          <w:trHeight w:val="255"/>
        </w:trPr>
        <w:tc>
          <w:tcPr>
            <w:tcW w:w="3493" w:type="dxa"/>
          </w:tcPr>
          <w:p w14:paraId="72B498AA" w14:textId="77777777" w:rsidR="00265792" w:rsidRPr="00BA7805" w:rsidRDefault="00265792" w:rsidP="005213B4">
            <w:pPr>
              <w:pStyle w:val="ARfintablebody"/>
              <w:rPr>
                <w:highlight w:val="green"/>
              </w:rPr>
            </w:pPr>
            <w:r w:rsidRPr="00FA681A">
              <w:t>Reductions arising from payments/claims handling expenses/other sacrifices of future economic benefits</w:t>
            </w:r>
          </w:p>
        </w:tc>
        <w:tc>
          <w:tcPr>
            <w:tcW w:w="1535" w:type="dxa"/>
            <w:shd w:val="clear" w:color="auto" w:fill="EEEEEF" w:themeFill="accent4"/>
          </w:tcPr>
          <w:p w14:paraId="1551A6B9" w14:textId="77777777" w:rsidR="00265792" w:rsidRPr="00BA7805" w:rsidRDefault="00265792" w:rsidP="005213B4">
            <w:pPr>
              <w:pStyle w:val="ARfintablebodyright"/>
              <w:rPr>
                <w:highlight w:val="green"/>
              </w:rPr>
            </w:pPr>
            <w:r w:rsidRPr="00FA681A">
              <w:t>(6.0)</w:t>
            </w:r>
          </w:p>
        </w:tc>
        <w:tc>
          <w:tcPr>
            <w:tcW w:w="1537" w:type="dxa"/>
            <w:noWrap/>
          </w:tcPr>
          <w:p w14:paraId="7875CF82" w14:textId="77777777" w:rsidR="00265792" w:rsidRPr="00BA7805" w:rsidRDefault="00265792" w:rsidP="005213B4">
            <w:pPr>
              <w:pStyle w:val="ARfintablebodyright"/>
              <w:rPr>
                <w:highlight w:val="green"/>
              </w:rPr>
            </w:pPr>
            <w:r>
              <w:t>–</w:t>
            </w:r>
          </w:p>
        </w:tc>
        <w:tc>
          <w:tcPr>
            <w:tcW w:w="1536" w:type="dxa"/>
            <w:shd w:val="clear" w:color="auto" w:fill="EEEEEF" w:themeFill="accent4"/>
            <w:noWrap/>
          </w:tcPr>
          <w:p w14:paraId="5AA6B94B" w14:textId="77777777" w:rsidR="00265792" w:rsidRPr="00BA7805" w:rsidRDefault="00265792" w:rsidP="005213B4">
            <w:pPr>
              <w:pStyle w:val="ARfintablebodyright"/>
              <w:rPr>
                <w:highlight w:val="green"/>
              </w:rPr>
            </w:pPr>
            <w:r w:rsidRPr="00FA681A">
              <w:t>(130.6)</w:t>
            </w:r>
          </w:p>
        </w:tc>
        <w:tc>
          <w:tcPr>
            <w:tcW w:w="1537" w:type="dxa"/>
            <w:noWrap/>
          </w:tcPr>
          <w:p w14:paraId="491F50E1" w14:textId="77777777" w:rsidR="00265792" w:rsidRPr="00BA7805" w:rsidRDefault="00265792" w:rsidP="005213B4">
            <w:pPr>
              <w:pStyle w:val="ARfintablebodyright"/>
              <w:rPr>
                <w:highlight w:val="green"/>
              </w:rPr>
            </w:pPr>
            <w:r w:rsidRPr="00FA681A">
              <w:t>(136.6)</w:t>
            </w:r>
          </w:p>
        </w:tc>
      </w:tr>
      <w:tr w:rsidR="00265792" w:rsidRPr="00BA7805" w14:paraId="56E7705D" w14:textId="77777777" w:rsidTr="00992778">
        <w:trPr>
          <w:trHeight w:val="255"/>
        </w:trPr>
        <w:tc>
          <w:tcPr>
            <w:tcW w:w="3493" w:type="dxa"/>
          </w:tcPr>
          <w:p w14:paraId="1E980127" w14:textId="77777777" w:rsidR="00265792" w:rsidRPr="00BA7805" w:rsidRDefault="00265792" w:rsidP="005213B4">
            <w:pPr>
              <w:pStyle w:val="ARfintablebody"/>
              <w:rPr>
                <w:highlight w:val="green"/>
              </w:rPr>
            </w:pPr>
            <w:r w:rsidRPr="00FA681A">
              <w:t>Actuarial revaluations of insurance claims liability inclusive of risk margin</w:t>
            </w:r>
          </w:p>
        </w:tc>
        <w:tc>
          <w:tcPr>
            <w:tcW w:w="1535" w:type="dxa"/>
            <w:shd w:val="clear" w:color="auto" w:fill="EEEEEF" w:themeFill="accent4"/>
          </w:tcPr>
          <w:p w14:paraId="4870F502" w14:textId="77777777" w:rsidR="00265792" w:rsidRPr="00BA7805" w:rsidRDefault="00265792" w:rsidP="005213B4">
            <w:pPr>
              <w:pStyle w:val="ARfintablebodyright"/>
              <w:rPr>
                <w:highlight w:val="green"/>
              </w:rPr>
            </w:pPr>
            <w:r>
              <w:t>–</w:t>
            </w:r>
          </w:p>
        </w:tc>
        <w:tc>
          <w:tcPr>
            <w:tcW w:w="1537" w:type="dxa"/>
            <w:noWrap/>
          </w:tcPr>
          <w:p w14:paraId="30741E47" w14:textId="77777777" w:rsidR="00265792" w:rsidRPr="00BA7805" w:rsidRDefault="00265792" w:rsidP="005213B4">
            <w:pPr>
              <w:pStyle w:val="ARfintablebodyright"/>
              <w:rPr>
                <w:highlight w:val="green"/>
              </w:rPr>
            </w:pPr>
            <w:r>
              <w:t>–</w:t>
            </w:r>
          </w:p>
        </w:tc>
        <w:tc>
          <w:tcPr>
            <w:tcW w:w="1536" w:type="dxa"/>
            <w:shd w:val="clear" w:color="auto" w:fill="EEEEEF" w:themeFill="accent4"/>
            <w:noWrap/>
          </w:tcPr>
          <w:p w14:paraId="71BA4762" w14:textId="77777777" w:rsidR="00265792" w:rsidRPr="00BA7805" w:rsidRDefault="00265792" w:rsidP="005213B4">
            <w:pPr>
              <w:pStyle w:val="ARfintablebodyright"/>
              <w:rPr>
                <w:highlight w:val="green"/>
              </w:rPr>
            </w:pPr>
            <w:r w:rsidRPr="00FA681A">
              <w:t>149.6</w:t>
            </w:r>
          </w:p>
        </w:tc>
        <w:tc>
          <w:tcPr>
            <w:tcW w:w="1537" w:type="dxa"/>
            <w:noWrap/>
          </w:tcPr>
          <w:p w14:paraId="12516048" w14:textId="77777777" w:rsidR="00265792" w:rsidRPr="00BA7805" w:rsidRDefault="00265792" w:rsidP="005213B4">
            <w:pPr>
              <w:pStyle w:val="ARfintablebodyright"/>
              <w:rPr>
                <w:highlight w:val="green"/>
              </w:rPr>
            </w:pPr>
            <w:r w:rsidRPr="00FA681A">
              <w:t>149.6</w:t>
            </w:r>
          </w:p>
        </w:tc>
      </w:tr>
      <w:tr w:rsidR="00265792" w:rsidRPr="00BA7805" w14:paraId="13EC73AF" w14:textId="77777777" w:rsidTr="00992778">
        <w:trPr>
          <w:trHeight w:val="255"/>
        </w:trPr>
        <w:tc>
          <w:tcPr>
            <w:tcW w:w="3493" w:type="dxa"/>
          </w:tcPr>
          <w:p w14:paraId="07CE8132" w14:textId="77777777" w:rsidR="00265792" w:rsidRPr="00BA7805" w:rsidRDefault="00265792" w:rsidP="005213B4">
            <w:pPr>
              <w:pStyle w:val="ARfintablebody"/>
              <w:rPr>
                <w:highlight w:val="green"/>
              </w:rPr>
            </w:pPr>
            <w:r w:rsidRPr="00FA681A">
              <w:t>Unwind of discount and effect of changes in the discount rate</w:t>
            </w:r>
          </w:p>
        </w:tc>
        <w:tc>
          <w:tcPr>
            <w:tcW w:w="1535" w:type="dxa"/>
            <w:shd w:val="clear" w:color="auto" w:fill="EEEEEF" w:themeFill="accent4"/>
          </w:tcPr>
          <w:p w14:paraId="183F13BD" w14:textId="77777777" w:rsidR="00265792" w:rsidRPr="00BA7805" w:rsidRDefault="00265792" w:rsidP="005213B4">
            <w:pPr>
              <w:pStyle w:val="ARfintablebodyright"/>
              <w:rPr>
                <w:highlight w:val="green"/>
              </w:rPr>
            </w:pPr>
            <w:r>
              <w:t>–</w:t>
            </w:r>
          </w:p>
        </w:tc>
        <w:tc>
          <w:tcPr>
            <w:tcW w:w="1537" w:type="dxa"/>
            <w:noWrap/>
          </w:tcPr>
          <w:p w14:paraId="46E4F275" w14:textId="77777777" w:rsidR="00265792" w:rsidRPr="00BA7805" w:rsidRDefault="00265792" w:rsidP="005213B4">
            <w:pPr>
              <w:pStyle w:val="ARfintablebodyright"/>
              <w:rPr>
                <w:highlight w:val="green"/>
              </w:rPr>
            </w:pPr>
            <w:r>
              <w:t>–</w:t>
            </w:r>
          </w:p>
        </w:tc>
        <w:tc>
          <w:tcPr>
            <w:tcW w:w="1536" w:type="dxa"/>
            <w:shd w:val="clear" w:color="auto" w:fill="EEEEEF" w:themeFill="accent4"/>
            <w:noWrap/>
          </w:tcPr>
          <w:p w14:paraId="58364034" w14:textId="77777777" w:rsidR="00265792" w:rsidRPr="00BA7805" w:rsidRDefault="00265792" w:rsidP="005213B4">
            <w:pPr>
              <w:pStyle w:val="ARfintablebodyright"/>
              <w:rPr>
                <w:highlight w:val="green"/>
              </w:rPr>
            </w:pPr>
            <w:r w:rsidRPr="00FA681A">
              <w:t>14.4</w:t>
            </w:r>
          </w:p>
        </w:tc>
        <w:tc>
          <w:tcPr>
            <w:tcW w:w="1537" w:type="dxa"/>
            <w:noWrap/>
          </w:tcPr>
          <w:p w14:paraId="3449F298" w14:textId="77777777" w:rsidR="00265792" w:rsidRPr="00BA7805" w:rsidRDefault="00265792" w:rsidP="005213B4">
            <w:pPr>
              <w:pStyle w:val="ARfintablebodyright"/>
              <w:rPr>
                <w:highlight w:val="green"/>
              </w:rPr>
            </w:pPr>
            <w:r w:rsidRPr="00FA681A">
              <w:t>14.4</w:t>
            </w:r>
          </w:p>
        </w:tc>
      </w:tr>
      <w:tr w:rsidR="00265792" w:rsidRPr="00BA7805" w14:paraId="03B5ECBA" w14:textId="77777777" w:rsidTr="00992778">
        <w:trPr>
          <w:cnfStyle w:val="010000000000" w:firstRow="0" w:lastRow="1" w:firstColumn="0" w:lastColumn="0" w:oddVBand="0" w:evenVBand="0" w:oddHBand="0" w:evenHBand="0" w:firstRowFirstColumn="0" w:firstRowLastColumn="0" w:lastRowFirstColumn="0" w:lastRowLastColumn="0"/>
          <w:trHeight w:val="255"/>
        </w:trPr>
        <w:tc>
          <w:tcPr>
            <w:tcW w:w="3493" w:type="dxa"/>
          </w:tcPr>
          <w:p w14:paraId="711EB878" w14:textId="77777777" w:rsidR="00265792" w:rsidRPr="009A793A" w:rsidRDefault="00265792">
            <w:pPr>
              <w:pStyle w:val="ARfintablebodybold"/>
              <w:rPr>
                <w:highlight w:val="green"/>
              </w:rPr>
            </w:pPr>
            <w:r w:rsidRPr="00FA681A">
              <w:t>Closing balance</w:t>
            </w:r>
          </w:p>
        </w:tc>
        <w:tc>
          <w:tcPr>
            <w:tcW w:w="1535" w:type="dxa"/>
            <w:shd w:val="clear" w:color="auto" w:fill="EEEEEF" w:themeFill="accent4"/>
          </w:tcPr>
          <w:p w14:paraId="4297C0C4" w14:textId="77777777" w:rsidR="00265792" w:rsidRPr="00BA7805" w:rsidRDefault="00265792" w:rsidP="005213B4">
            <w:pPr>
              <w:pStyle w:val="ARfintablebodyrightbold"/>
              <w:rPr>
                <w:highlight w:val="green"/>
              </w:rPr>
            </w:pPr>
            <w:r w:rsidRPr="00FA681A">
              <w:t>203.6</w:t>
            </w:r>
          </w:p>
        </w:tc>
        <w:tc>
          <w:tcPr>
            <w:tcW w:w="1537" w:type="dxa"/>
            <w:noWrap/>
          </w:tcPr>
          <w:p w14:paraId="52CAEBB4" w14:textId="77777777" w:rsidR="00265792" w:rsidRPr="00BA7805" w:rsidRDefault="00265792" w:rsidP="005213B4">
            <w:pPr>
              <w:pStyle w:val="ARfintablebodyrightbold"/>
              <w:rPr>
                <w:highlight w:val="green"/>
              </w:rPr>
            </w:pPr>
            <w:r w:rsidRPr="00FA681A">
              <w:t>15.7</w:t>
            </w:r>
          </w:p>
        </w:tc>
        <w:tc>
          <w:tcPr>
            <w:tcW w:w="1536" w:type="dxa"/>
            <w:shd w:val="clear" w:color="auto" w:fill="EEEEEF" w:themeFill="accent4"/>
            <w:noWrap/>
          </w:tcPr>
          <w:p w14:paraId="4DC143B0" w14:textId="77777777" w:rsidR="00265792" w:rsidRPr="00BA7805" w:rsidRDefault="00265792" w:rsidP="005213B4">
            <w:pPr>
              <w:pStyle w:val="ARfintablebodyrightbold"/>
              <w:rPr>
                <w:highlight w:val="green"/>
              </w:rPr>
            </w:pPr>
            <w:r w:rsidRPr="00FA681A">
              <w:t>522.6</w:t>
            </w:r>
          </w:p>
        </w:tc>
        <w:tc>
          <w:tcPr>
            <w:tcW w:w="1537" w:type="dxa"/>
            <w:noWrap/>
          </w:tcPr>
          <w:p w14:paraId="0A4E94FA" w14:textId="77777777" w:rsidR="00265792" w:rsidRPr="00BA7805" w:rsidRDefault="00265792" w:rsidP="005213B4">
            <w:pPr>
              <w:pStyle w:val="ARfintablebodyrightbold"/>
              <w:rPr>
                <w:highlight w:val="green"/>
              </w:rPr>
            </w:pPr>
            <w:r w:rsidRPr="00FA681A">
              <w:t>741.9</w:t>
            </w:r>
          </w:p>
        </w:tc>
      </w:tr>
    </w:tbl>
    <w:p w14:paraId="75474DFE" w14:textId="77777777" w:rsidR="00265792" w:rsidRDefault="00265792" w:rsidP="005213B4">
      <w:pPr>
        <w:pStyle w:val="ARfinbodyaftertable"/>
      </w:pPr>
      <w:r>
        <w:t xml:space="preserve">When some or </w:t>
      </w:r>
      <w:proofErr w:type="gramStart"/>
      <w:r>
        <w:t>all of</w:t>
      </w:r>
      <w:proofErr w:type="gramEnd"/>
      <w:r>
        <w:t xml:space="preserve"> the economic benefits required to settle a provision are expected to be received from a third party, the receivable is recognised as an asset if it is virtually certain that recovery will be received and the amount of the receivable can be measured reliably.</w:t>
      </w:r>
    </w:p>
    <w:p w14:paraId="4B8812D7" w14:textId="77777777" w:rsidR="00265792" w:rsidRDefault="00265792" w:rsidP="005213B4">
      <w:pPr>
        <w:pStyle w:val="ARfinbody"/>
      </w:pPr>
      <w:r>
        <w:t xml:space="preserve">The </w:t>
      </w:r>
      <w:r w:rsidRPr="00205430">
        <w:rPr>
          <w:rStyle w:val="Strong"/>
        </w:rPr>
        <w:t>make-good</w:t>
      </w:r>
      <w:r>
        <w:t xml:space="preserve"> provision is recognised in accordance with the lease agreement over the building facilities. The department must remove any leasehold improvements from the leased building and restore the premises to its original condition at the end of the lease term. </w:t>
      </w:r>
    </w:p>
    <w:p w14:paraId="3E47AED4" w14:textId="588152B1" w:rsidR="00265792" w:rsidRDefault="00265792" w:rsidP="005213B4">
      <w:pPr>
        <w:pStyle w:val="ARfinbody"/>
      </w:pPr>
      <w:r w:rsidRPr="00205430">
        <w:rPr>
          <w:rStyle w:val="Strong"/>
        </w:rPr>
        <w:t xml:space="preserve">Redress </w:t>
      </w:r>
      <w:r>
        <w:t xml:space="preserve">is the recognition of the compensation amount of </w:t>
      </w:r>
      <w:r w:rsidR="00837036">
        <w:t>r</w:t>
      </w:r>
      <w:r>
        <w:t>edress for Victorians who were placed in institutional care prior to 1990 (</w:t>
      </w:r>
      <w:r w:rsidR="00223930">
        <w:t>pre</w:t>
      </w:r>
      <w:r>
        <w:t xml:space="preserve">-1990 </w:t>
      </w:r>
      <w:proofErr w:type="spellStart"/>
      <w:r w:rsidR="00223930">
        <w:t>care</w:t>
      </w:r>
      <w:proofErr w:type="spellEnd"/>
      <w:r w:rsidR="00223930">
        <w:t xml:space="preserve"> leavers</w:t>
      </w:r>
      <w:r>
        <w:t>) and experienced physical, psychological, and emotional abuse or neglect, with its key assumption being based on an actuarial assessment of the number of eligible claimant population and approved eligible redress payment amount.</w:t>
      </w:r>
      <w:r>
        <w:br w:type="page"/>
      </w:r>
    </w:p>
    <w:p w14:paraId="5F0AC3FF" w14:textId="047DCC42" w:rsidR="00265792" w:rsidRPr="009B32BD" w:rsidRDefault="00265792">
      <w:pPr>
        <w:pStyle w:val="ARfinbody"/>
        <w:rPr>
          <w:rFonts w:eastAsia="Times New Roman" w:cs="Times New Roman"/>
          <w:b/>
          <w:bCs/>
          <w:color w:val="auto"/>
          <w:sz w:val="20"/>
          <w:szCs w:val="24"/>
          <w:lang w:val="x-none" w:eastAsia="en-US"/>
        </w:rPr>
      </w:pPr>
      <w:r w:rsidRPr="009B32BD">
        <w:rPr>
          <w:rFonts w:eastAsia="Times New Roman" w:cs="Times New Roman"/>
          <w:b/>
          <w:bCs/>
          <w:color w:val="auto"/>
          <w:sz w:val="20"/>
          <w:szCs w:val="24"/>
          <w:lang w:val="x-none" w:eastAsia="en-US"/>
        </w:rPr>
        <w:lastRenderedPageBreak/>
        <w:t>Redress:</w:t>
      </w:r>
    </w:p>
    <w:p w14:paraId="3B0DE454" w14:textId="21F067F5" w:rsidR="00265792" w:rsidRDefault="00265792">
      <w:pPr>
        <w:pStyle w:val="ARfinbody"/>
      </w:pPr>
      <w:r>
        <w:t xml:space="preserve">On 12 October </w:t>
      </w:r>
      <w:r w:rsidR="00293173">
        <w:t>2022,</w:t>
      </w:r>
      <w:r>
        <w:t xml:space="preserve"> the former Victorian Premier announced the development of Redress for Historical Institutional Abuse (redress). Redress opened for application 10 December 2024.</w:t>
      </w:r>
    </w:p>
    <w:p w14:paraId="1EFD4A6D" w14:textId="77777777" w:rsidR="00265792" w:rsidRDefault="00265792">
      <w:pPr>
        <w:pStyle w:val="ARfinbody"/>
      </w:pPr>
      <w:r>
        <w:t xml:space="preserve">Redress is for people who experienced physical, emotional or psychological abuse and neglect as children in institutional settings in Victoria before 1990. People who apply and are found eligible are offered: </w:t>
      </w:r>
    </w:p>
    <w:p w14:paraId="761CFE41" w14:textId="77777777" w:rsidR="00265792" w:rsidRDefault="00265792">
      <w:pPr>
        <w:pStyle w:val="ARfinbullet1"/>
      </w:pPr>
      <w:r>
        <w:t xml:space="preserve">a payment of up to $20,000 </w:t>
      </w:r>
    </w:p>
    <w:p w14:paraId="5152E877" w14:textId="77777777" w:rsidR="00265792" w:rsidRDefault="00265792">
      <w:pPr>
        <w:pStyle w:val="ARfinbullet1"/>
      </w:pPr>
      <w:r>
        <w:t xml:space="preserve">a personal acknowledgement or apology </w:t>
      </w:r>
    </w:p>
    <w:p w14:paraId="74AD09F3" w14:textId="77777777" w:rsidR="00265792" w:rsidRDefault="00265792">
      <w:pPr>
        <w:pStyle w:val="ARfinbullet1"/>
      </w:pPr>
      <w:r>
        <w:t xml:space="preserve">up to 20 counselling sessions. </w:t>
      </w:r>
    </w:p>
    <w:p w14:paraId="2D639E9F" w14:textId="77777777" w:rsidR="00265792" w:rsidRDefault="00265792">
      <w:pPr>
        <w:pStyle w:val="ARfinbody"/>
      </w:pPr>
      <w:r>
        <w:t xml:space="preserve">To be </w:t>
      </w:r>
      <w:r w:rsidRPr="009A793A">
        <w:t>eligible</w:t>
      </w:r>
      <w:r>
        <w:t xml:space="preserve">, applicants must meet the following criteria: </w:t>
      </w:r>
    </w:p>
    <w:p w14:paraId="61C9109A" w14:textId="77777777" w:rsidR="00265792" w:rsidRDefault="00265792">
      <w:pPr>
        <w:pStyle w:val="ARfinbullet1"/>
      </w:pPr>
      <w:r>
        <w:t xml:space="preserve">lived as a child (before the age of 18) in a Victorian institution for at least 6 months (in total) before 1 January 1990 </w:t>
      </w:r>
    </w:p>
    <w:p w14:paraId="798ED1C9" w14:textId="77777777" w:rsidR="00265792" w:rsidRDefault="00265792">
      <w:pPr>
        <w:pStyle w:val="ARfinbullet1"/>
      </w:pPr>
      <w:r>
        <w:t xml:space="preserve">experienced physical, psychological, or emotional abuse or neglect in the Victorian institution. </w:t>
      </w:r>
    </w:p>
    <w:p w14:paraId="77131729" w14:textId="77777777" w:rsidR="00265792" w:rsidRPr="009B32BD" w:rsidRDefault="00265792">
      <w:pPr>
        <w:pStyle w:val="Heading6"/>
      </w:pPr>
      <w:r w:rsidRPr="002C7359">
        <w:t>Significant judgements and assumptions</w:t>
      </w:r>
      <w:r>
        <w:t xml:space="preserve"> </w:t>
      </w:r>
    </w:p>
    <w:p w14:paraId="326C6593" w14:textId="076606A4" w:rsidR="00265792" w:rsidRDefault="00ED5C0B" w:rsidP="00ED5C0B">
      <w:pPr>
        <w:pStyle w:val="ARfinbody"/>
      </w:pPr>
      <w:r w:rsidRPr="00ED5C0B">
        <w:t xml:space="preserve">Redress is the recognition of the compensation amount of </w:t>
      </w:r>
      <w:r w:rsidR="0009049C">
        <w:t>r</w:t>
      </w:r>
      <w:r w:rsidRPr="00ED5C0B">
        <w:t xml:space="preserve">edress for Victorians who were placed in institutional care prior to 1990 </w:t>
      </w:r>
      <w:r w:rsidR="00223930" w:rsidRPr="00ED5C0B">
        <w:t>(</w:t>
      </w:r>
      <w:r w:rsidR="00223930">
        <w:t>‘p</w:t>
      </w:r>
      <w:r w:rsidR="00223930" w:rsidRPr="00ED5C0B">
        <w:t>re</w:t>
      </w:r>
      <w:r w:rsidRPr="00ED5C0B">
        <w:t xml:space="preserve">-1990 </w:t>
      </w:r>
      <w:proofErr w:type="spellStart"/>
      <w:r w:rsidR="00223930">
        <w:t>c</w:t>
      </w:r>
      <w:r w:rsidRPr="00ED5C0B">
        <w:t>are</w:t>
      </w:r>
      <w:proofErr w:type="spellEnd"/>
      <w:r w:rsidRPr="00ED5C0B">
        <w:t xml:space="preserve"> </w:t>
      </w:r>
      <w:r w:rsidR="00223930">
        <w:t>l</w:t>
      </w:r>
      <w:r w:rsidRPr="00ED5C0B">
        <w:t>eavers</w:t>
      </w:r>
      <w:r w:rsidR="00223930">
        <w:t>’</w:t>
      </w:r>
      <w:r w:rsidRPr="00ED5C0B">
        <w:t>) and experienced physical, psychological, and emotional abuse or neglect, with its key assumption being based on an actuarial assessment of the number of eligible claimant population and approved eligible redress payment amount.</w:t>
      </w:r>
    </w:p>
    <w:p w14:paraId="03817E9D" w14:textId="77777777" w:rsidR="00265792" w:rsidRDefault="00265792">
      <w:pPr>
        <w:pStyle w:val="ARfinbody"/>
      </w:pPr>
      <w:r>
        <w:t xml:space="preserve">The numbers of children in care historically, prevalence of abuse and likelihood of people seeking and obtaining Redress are largely unknown and can only be estimated. </w:t>
      </w:r>
    </w:p>
    <w:p w14:paraId="19E30815" w14:textId="1B61AF1F" w:rsidR="00265792" w:rsidRDefault="00265792">
      <w:pPr>
        <w:pStyle w:val="ARfinbody"/>
      </w:pPr>
      <w:r>
        <w:t xml:space="preserve">The department has therefore obtained actuarial advice in December 2024 from an independent actuary to estimate the likely number of claims to be accepted </w:t>
      </w:r>
      <w:r w:rsidR="00A76760">
        <w:t xml:space="preserve">through </w:t>
      </w:r>
      <w:r w:rsidR="00BA15DC">
        <w:t>R</w:t>
      </w:r>
      <w:r w:rsidR="00A76760">
        <w:t>edress</w:t>
      </w:r>
      <w:r>
        <w:t xml:space="preserve">. </w:t>
      </w:r>
      <w:r w:rsidR="00223930">
        <w:t>The department</w:t>
      </w:r>
      <w:r>
        <w:t xml:space="preserve"> then used this information, among other judgements, to determine the liability in accordance with AASB 137 </w:t>
      </w:r>
      <w:r w:rsidRPr="00294497">
        <w:t>Provisions, Contingent Liabilities and Contingent</w:t>
      </w:r>
      <w:r>
        <w:t> </w:t>
      </w:r>
      <w:r w:rsidRPr="00294497">
        <w:t>Assets</w:t>
      </w:r>
      <w:r>
        <w:t xml:space="preserve">. </w:t>
      </w:r>
    </w:p>
    <w:p w14:paraId="68597696" w14:textId="293E818D" w:rsidR="00C226F2" w:rsidRPr="00B55528" w:rsidRDefault="00C226F2" w:rsidP="00C226F2">
      <w:pPr>
        <w:pStyle w:val="ARfinbody"/>
      </w:pPr>
      <w:r w:rsidRPr="00B55528">
        <w:t>The advice has considered an estimate of the number of Redress participants and average payment size. An actuarial assessment will be performed quarterly to inform government of key Redress data and performance. </w:t>
      </w:r>
    </w:p>
    <w:p w14:paraId="4F3166EA" w14:textId="0D8809B6" w:rsidR="00265792" w:rsidRDefault="00C226F2">
      <w:pPr>
        <w:pStyle w:val="ARfinbody"/>
      </w:pPr>
      <w:r w:rsidRPr="00B55528">
        <w:t xml:space="preserve">The Redress </w:t>
      </w:r>
      <w:r w:rsidR="00223930">
        <w:t>b</w:t>
      </w:r>
      <w:r w:rsidRPr="00B55528">
        <w:t>udget provision:</w:t>
      </w:r>
    </w:p>
    <w:p w14:paraId="354607D5" w14:textId="2F9FA189" w:rsidR="00265792" w:rsidRDefault="00223930">
      <w:pPr>
        <w:pStyle w:val="ARfinbullet1"/>
      </w:pPr>
      <w:r>
        <w:t xml:space="preserve">includes </w:t>
      </w:r>
      <w:r w:rsidR="00265792">
        <w:t>Redress payments, counselling and personal acknowledgement or apology costs, and internal administration expenses, such as staff costs and operating expense that may be incurred in administering Redress</w:t>
      </w:r>
    </w:p>
    <w:p w14:paraId="5AA754A3" w14:textId="45955299" w:rsidR="00265792" w:rsidRDefault="00223930">
      <w:pPr>
        <w:pStyle w:val="ARfinbullet1"/>
      </w:pPr>
      <w:r>
        <w:t xml:space="preserve">includes </w:t>
      </w:r>
      <w:r w:rsidR="00265792">
        <w:t>escalation of internal administration and operating costs across the period of Redress</w:t>
      </w:r>
    </w:p>
    <w:p w14:paraId="6066DE62" w14:textId="0C8E898F" w:rsidR="00265792" w:rsidRDefault="00223930">
      <w:pPr>
        <w:pStyle w:val="ARfinbullet1"/>
      </w:pPr>
      <w:r>
        <w:t>i</w:t>
      </w:r>
      <w:r w:rsidR="00265792">
        <w:t>s a best estimate and does not include any additional risk margin related to the uncertainty of the estimates.</w:t>
      </w:r>
    </w:p>
    <w:p w14:paraId="656E4864" w14:textId="533FDB7C" w:rsidR="00265792" w:rsidRDefault="00265792" w:rsidP="00205430">
      <w:pPr>
        <w:pStyle w:val="Heading6"/>
      </w:pPr>
      <w:r>
        <w:t>Insurance claims</w:t>
      </w:r>
    </w:p>
    <w:p w14:paraId="52DC08A8" w14:textId="77777777" w:rsidR="00265792" w:rsidRDefault="00265792">
      <w:pPr>
        <w:pStyle w:val="ARfinbody"/>
      </w:pPr>
      <w:r>
        <w:t xml:space="preserve">The department engaged the Victorian Managed Insurance Authority (VMIA) under a claims administration agreement to manage its </w:t>
      </w:r>
      <w:r w:rsidRPr="00D452F5">
        <w:t>insurance</w:t>
      </w:r>
      <w:r>
        <w:t xml:space="preserve"> arrangements. These arrangements include corporate (including property and liability), community service organisation (CSOs) insurance covers as well as self-insured historical abuse claims.</w:t>
      </w:r>
    </w:p>
    <w:p w14:paraId="5E44F730" w14:textId="77777777" w:rsidR="00265792" w:rsidRDefault="00265792" w:rsidP="00205430">
      <w:pPr>
        <w:pStyle w:val="Heading6"/>
      </w:pPr>
      <w:r>
        <w:t xml:space="preserve">Significant judgements and assumptions </w:t>
      </w:r>
    </w:p>
    <w:p w14:paraId="16CBC455" w14:textId="77777777" w:rsidR="00265792" w:rsidRDefault="00265792">
      <w:pPr>
        <w:pStyle w:val="ARfinbody"/>
      </w:pPr>
      <w:r>
        <w:t xml:space="preserve">The department makes significant judgements and assumptions in respect to its self-insured historical abuse claims provision. These judgements and assumptions include whether possible obligations arising from cases that may be lodged in the future by possible claimants should be included in the provision and the calculation of estimated average settlement costs. </w:t>
      </w:r>
    </w:p>
    <w:p w14:paraId="2237A6D4" w14:textId="77777777" w:rsidR="00265792" w:rsidRDefault="00265792">
      <w:pPr>
        <w:pStyle w:val="ARfinbody"/>
      </w:pPr>
      <w:r>
        <w:t xml:space="preserve">The amount provided for historical abuse claims is based on assessed claims lodged on the basis that these represent present obligations in line with the requirements of AASB 137. Possible obligations arising from future claims that may or may not take place by future </w:t>
      </w:r>
      <w:r w:rsidRPr="00850E81">
        <w:t>claimants</w:t>
      </w:r>
      <w:r>
        <w:t xml:space="preserve"> are classified as contingent liabilities (refer to Note 8.2 for more details). Another key judgement for this cohort relates to the ultimate average settlement costs. Average settlement costs are projected with reference to recent average settlement trends and allowance for future superimposed inflation.</w:t>
      </w:r>
    </w:p>
    <w:p w14:paraId="4C07E476" w14:textId="77777777" w:rsidR="00265792" w:rsidRDefault="00265792">
      <w:pPr>
        <w:pStyle w:val="ARfinbody"/>
      </w:pPr>
      <w:r>
        <w:t xml:space="preserve">To assist with this, the department has obtained actuarial advice from an independent actuary to determine the liability in accordance with AASB 137 </w:t>
      </w:r>
      <w:r w:rsidRPr="005D4EEE">
        <w:t xml:space="preserve">Provisions, Contingent </w:t>
      </w:r>
      <w:r w:rsidRPr="00850E81">
        <w:t>Liabilities</w:t>
      </w:r>
      <w:r w:rsidRPr="005D4EEE">
        <w:t xml:space="preserve"> and Contingent Assets</w:t>
      </w:r>
      <w:r>
        <w:t xml:space="preserve">. </w:t>
      </w:r>
    </w:p>
    <w:p w14:paraId="65D46DB7" w14:textId="77777777" w:rsidR="00265792" w:rsidRDefault="00265792">
      <w:pPr>
        <w:pStyle w:val="ARfinbody"/>
      </w:pPr>
      <w:r>
        <w:br w:type="page"/>
      </w:r>
    </w:p>
    <w:p w14:paraId="2181E012" w14:textId="77777777" w:rsidR="00265792" w:rsidRDefault="00265792">
      <w:pPr>
        <w:pStyle w:val="ARfinbody"/>
      </w:pPr>
      <w:r>
        <w:lastRenderedPageBreak/>
        <w:t xml:space="preserve">The provision: </w:t>
      </w:r>
    </w:p>
    <w:p w14:paraId="0E7DDD2C" w14:textId="08498D6C" w:rsidR="00265792" w:rsidRDefault="00223930" w:rsidP="00205430">
      <w:pPr>
        <w:pStyle w:val="ARfinbullet1"/>
      </w:pPr>
      <w:r>
        <w:t>c</w:t>
      </w:r>
      <w:r w:rsidR="00265792">
        <w:t>ontains an allowance for the time value of money. Claim costs have been discounted back to the valuation date using risk-free discount rates</w:t>
      </w:r>
    </w:p>
    <w:p w14:paraId="0D9A912B" w14:textId="419A74D0" w:rsidR="00265792" w:rsidRDefault="00223930" w:rsidP="00205430">
      <w:pPr>
        <w:pStyle w:val="ARfinbullet1"/>
      </w:pPr>
      <w:r>
        <w:t>c</w:t>
      </w:r>
      <w:r w:rsidR="00265792">
        <w:t xml:space="preserve">ontains allowances for economic inflation and superimposed inflation (where relevant), which reflect trends in court awards and increases in the level of compensation for injuries </w:t>
      </w:r>
    </w:p>
    <w:p w14:paraId="7DBFCA3A" w14:textId="4F36F27D" w:rsidR="00265792" w:rsidRDefault="00223930" w:rsidP="00205430">
      <w:pPr>
        <w:pStyle w:val="ARfinbullet1"/>
      </w:pPr>
      <w:r>
        <w:t>in</w:t>
      </w:r>
      <w:r w:rsidR="00265792">
        <w:t xml:space="preserve">cludes an allowance for claims management fees </w:t>
      </w:r>
      <w:r>
        <w:t xml:space="preserve">that </w:t>
      </w:r>
      <w:r w:rsidR="00265792">
        <w:t xml:space="preserve">are paid to VMIA to manage these claims in accordance with an agreed </w:t>
      </w:r>
      <w:r>
        <w:t xml:space="preserve">memorandum </w:t>
      </w:r>
      <w:r w:rsidR="00265792">
        <w:t xml:space="preserve">of </w:t>
      </w:r>
      <w:r>
        <w:t>understanding</w:t>
      </w:r>
      <w:r w:rsidR="00265792">
        <w:t xml:space="preserve">. </w:t>
      </w:r>
    </w:p>
    <w:p w14:paraId="41BE0855" w14:textId="0A0181A7" w:rsidR="00265792" w:rsidRDefault="00265792" w:rsidP="009F689C">
      <w:pPr>
        <w:pStyle w:val="ARfinbody"/>
      </w:pPr>
      <w:r>
        <w:t xml:space="preserve">A risk margin is applied to the net central estimate of the claims liabilities to achieve a 75% probability that the claims liabilities will be sufficient. To estimate the risk margin, the </w:t>
      </w:r>
      <w:r w:rsidRPr="009F689C">
        <w:t>independent</w:t>
      </w:r>
      <w:r>
        <w:t xml:space="preserve"> actuary considers the uncertainty associated with the actuarial models and assumptions, the quality of the data used and the external environmental impacts. Risk margins are set for each class of business, although the risk margin for the abuse claims </w:t>
      </w:r>
      <w:proofErr w:type="gramStart"/>
      <w:r>
        <w:t>is considered to be</w:t>
      </w:r>
      <w:proofErr w:type="gramEnd"/>
      <w:r>
        <w:t xml:space="preserve"> a significant judgement given both the materiality of these liabilities and the associated uncertainties in future cost outcomes for abuse claims.</w:t>
      </w:r>
    </w:p>
    <w:p w14:paraId="3252890F" w14:textId="77777777" w:rsidR="00265792" w:rsidRDefault="00265792">
      <w:pPr>
        <w:pStyle w:val="ARfinbody"/>
      </w:pPr>
      <w:r>
        <w:t>These liabilities have been assessed in accordance with actuarial Professional Standard 302 Valuations of General Insurance Claims (PS 302), which applies to actuaries undertaking a valuation of various liabilities including general insurance, accident compensation and self-insurance claims for an entity.</w:t>
      </w:r>
    </w:p>
    <w:p w14:paraId="2360D8AC" w14:textId="77777777" w:rsidR="00265792" w:rsidRDefault="00265792" w:rsidP="00686B28">
      <w:pPr>
        <w:pStyle w:val="Heading4"/>
      </w:pPr>
      <w:r w:rsidRPr="00686B28">
        <w:t>6.5 Other</w:t>
      </w:r>
      <w:r>
        <w:t xml:space="preserve"> </w:t>
      </w:r>
      <w:r w:rsidRPr="00686B28">
        <w:t>liabilities</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3A4291E3" w14:textId="77777777" w:rsidTr="00CA3060">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5564F841" w14:textId="77777777" w:rsidR="00265792" w:rsidRPr="00BA7805" w:rsidRDefault="00265792">
            <w:pPr>
              <w:pStyle w:val="ARfintablecolhead"/>
              <w:spacing w:before="30"/>
              <w:rPr>
                <w:highlight w:val="green"/>
              </w:rPr>
            </w:pPr>
          </w:p>
        </w:tc>
        <w:tc>
          <w:tcPr>
            <w:tcW w:w="1361" w:type="dxa"/>
            <w:shd w:val="clear" w:color="auto" w:fill="EEEEEF" w:themeFill="accent4"/>
            <w:hideMark/>
          </w:tcPr>
          <w:p w14:paraId="1D94B12E" w14:textId="77777777" w:rsidR="00265792" w:rsidRPr="006074D0" w:rsidRDefault="00265792">
            <w:pPr>
              <w:pStyle w:val="ARfintablecolheadright"/>
            </w:pPr>
            <w:r w:rsidRPr="006074D0">
              <w:t>202</w:t>
            </w:r>
            <w:r>
              <w:t>5</w:t>
            </w:r>
          </w:p>
          <w:p w14:paraId="6C5DE3D6" w14:textId="77777777" w:rsidR="00265792" w:rsidRPr="006074D0" w:rsidRDefault="00265792">
            <w:pPr>
              <w:pStyle w:val="ARfintablecolheadright"/>
              <w:spacing w:before="30"/>
            </w:pPr>
            <w:r w:rsidRPr="006074D0">
              <w:t>$M</w:t>
            </w:r>
          </w:p>
        </w:tc>
        <w:tc>
          <w:tcPr>
            <w:tcW w:w="1361" w:type="dxa"/>
            <w:hideMark/>
          </w:tcPr>
          <w:p w14:paraId="68FA766F" w14:textId="77777777" w:rsidR="00265792" w:rsidRPr="006074D0" w:rsidRDefault="00265792">
            <w:pPr>
              <w:pStyle w:val="ARfintablecolheadright"/>
            </w:pPr>
            <w:r w:rsidRPr="006074D0">
              <w:t>202</w:t>
            </w:r>
            <w:r>
              <w:t>4</w:t>
            </w:r>
          </w:p>
          <w:p w14:paraId="6B9E7D87" w14:textId="77777777" w:rsidR="00265792" w:rsidRPr="006074D0" w:rsidRDefault="00265792">
            <w:pPr>
              <w:pStyle w:val="ARfintablecolheadright"/>
              <w:spacing w:before="30"/>
            </w:pPr>
            <w:r w:rsidRPr="006074D0">
              <w:t>$M</w:t>
            </w:r>
          </w:p>
        </w:tc>
      </w:tr>
      <w:tr w:rsidR="00265792" w:rsidRPr="00BA7805" w14:paraId="3EDC4222" w14:textId="77777777" w:rsidTr="00CA3060">
        <w:tc>
          <w:tcPr>
            <w:tcW w:w="6915" w:type="dxa"/>
          </w:tcPr>
          <w:p w14:paraId="26E39665" w14:textId="77777777" w:rsidR="00265792" w:rsidRPr="00BA7805" w:rsidRDefault="00265792" w:rsidP="00CA3060">
            <w:pPr>
              <w:pStyle w:val="ARfintablebodybold"/>
              <w:rPr>
                <w:highlight w:val="green"/>
              </w:rPr>
            </w:pPr>
            <w:r w:rsidRPr="00C74303">
              <w:t xml:space="preserve">Other liabilities </w:t>
            </w:r>
            <w:r>
              <w:t xml:space="preserve">– </w:t>
            </w:r>
            <w:r w:rsidRPr="00C74303">
              <w:t>current</w:t>
            </w:r>
          </w:p>
        </w:tc>
        <w:tc>
          <w:tcPr>
            <w:tcW w:w="1361" w:type="dxa"/>
            <w:noWrap/>
          </w:tcPr>
          <w:p w14:paraId="040D6DDF" w14:textId="77777777" w:rsidR="00265792" w:rsidRPr="00BA7805" w:rsidRDefault="00265792" w:rsidP="00686B28">
            <w:pPr>
              <w:pStyle w:val="ARfintablebodyright"/>
              <w:spacing w:before="30"/>
              <w:rPr>
                <w:highlight w:val="green"/>
              </w:rPr>
            </w:pPr>
          </w:p>
        </w:tc>
        <w:tc>
          <w:tcPr>
            <w:tcW w:w="1361" w:type="dxa"/>
            <w:noWrap/>
          </w:tcPr>
          <w:p w14:paraId="123CBAF0" w14:textId="77777777" w:rsidR="00265792" w:rsidRPr="00BA7805" w:rsidRDefault="00265792" w:rsidP="00686B28">
            <w:pPr>
              <w:pStyle w:val="ARfintablebodyright"/>
              <w:spacing w:before="30"/>
              <w:rPr>
                <w:highlight w:val="green"/>
              </w:rPr>
            </w:pPr>
          </w:p>
        </w:tc>
      </w:tr>
      <w:tr w:rsidR="00265792" w:rsidRPr="00BA7805" w14:paraId="4CA7A56C" w14:textId="77777777" w:rsidTr="00CA3060">
        <w:tc>
          <w:tcPr>
            <w:tcW w:w="6915" w:type="dxa"/>
          </w:tcPr>
          <w:p w14:paraId="22E1EDFE" w14:textId="77777777" w:rsidR="00265792" w:rsidRPr="00BA7805" w:rsidRDefault="00265792" w:rsidP="00266168">
            <w:pPr>
              <w:pStyle w:val="ARfintablebody"/>
              <w:spacing w:before="30"/>
              <w:rPr>
                <w:highlight w:val="green"/>
              </w:rPr>
            </w:pPr>
            <w:r w:rsidRPr="00C74303">
              <w:t>Grant of right to operate liability</w:t>
            </w:r>
          </w:p>
        </w:tc>
        <w:tc>
          <w:tcPr>
            <w:tcW w:w="1361" w:type="dxa"/>
            <w:shd w:val="clear" w:color="auto" w:fill="EEEEEF" w:themeFill="accent4"/>
            <w:noWrap/>
            <w:vAlign w:val="center"/>
          </w:tcPr>
          <w:p w14:paraId="5073E25E" w14:textId="77777777" w:rsidR="00265792" w:rsidRPr="00BA7805" w:rsidRDefault="00265792" w:rsidP="00266168">
            <w:pPr>
              <w:pStyle w:val="ARfintablebodyright"/>
              <w:rPr>
                <w:highlight w:val="green"/>
              </w:rPr>
            </w:pPr>
            <w:r>
              <w:t>2.0</w:t>
            </w:r>
          </w:p>
        </w:tc>
        <w:tc>
          <w:tcPr>
            <w:tcW w:w="1361" w:type="dxa"/>
            <w:noWrap/>
            <w:vAlign w:val="center"/>
          </w:tcPr>
          <w:p w14:paraId="08C019BA" w14:textId="77777777" w:rsidR="00265792" w:rsidRPr="00BA7805" w:rsidRDefault="00265792" w:rsidP="00266168">
            <w:pPr>
              <w:pStyle w:val="ARfintablebodyright"/>
              <w:rPr>
                <w:highlight w:val="green"/>
              </w:rPr>
            </w:pPr>
            <w:r>
              <w:t>2.0</w:t>
            </w:r>
          </w:p>
        </w:tc>
      </w:tr>
      <w:tr w:rsidR="00265792" w:rsidRPr="00BA7805" w14:paraId="6953E294" w14:textId="77777777" w:rsidTr="00CA3060">
        <w:tc>
          <w:tcPr>
            <w:tcW w:w="6915" w:type="dxa"/>
          </w:tcPr>
          <w:p w14:paraId="56820A8E" w14:textId="77777777" w:rsidR="00265792" w:rsidRPr="00BA7805" w:rsidRDefault="00265792" w:rsidP="00CA3060">
            <w:pPr>
              <w:pStyle w:val="ARfintablebodybold"/>
              <w:rPr>
                <w:highlight w:val="green"/>
              </w:rPr>
            </w:pPr>
            <w:r w:rsidRPr="00C74303">
              <w:t xml:space="preserve">Other liabilities </w:t>
            </w:r>
            <w:r w:rsidRPr="0093309B">
              <w:t>–</w:t>
            </w:r>
            <w:r w:rsidRPr="00C74303">
              <w:t xml:space="preserve"> non-current </w:t>
            </w:r>
          </w:p>
        </w:tc>
        <w:tc>
          <w:tcPr>
            <w:tcW w:w="1361" w:type="dxa"/>
            <w:noWrap/>
            <w:vAlign w:val="center"/>
          </w:tcPr>
          <w:p w14:paraId="55DBE01F" w14:textId="77777777" w:rsidR="00265792" w:rsidRPr="00BA7805" w:rsidRDefault="00265792" w:rsidP="00266168">
            <w:pPr>
              <w:pStyle w:val="ARfintablebodyright"/>
              <w:rPr>
                <w:highlight w:val="green"/>
              </w:rPr>
            </w:pPr>
          </w:p>
        </w:tc>
        <w:tc>
          <w:tcPr>
            <w:tcW w:w="1361" w:type="dxa"/>
            <w:noWrap/>
          </w:tcPr>
          <w:p w14:paraId="6F31ECBC" w14:textId="77777777" w:rsidR="00265792" w:rsidRPr="00BA7805" w:rsidRDefault="00265792" w:rsidP="00266168">
            <w:pPr>
              <w:pStyle w:val="ARfintablebodyright"/>
              <w:rPr>
                <w:highlight w:val="green"/>
              </w:rPr>
            </w:pPr>
          </w:p>
        </w:tc>
      </w:tr>
      <w:tr w:rsidR="00265792" w:rsidRPr="00BA7805" w14:paraId="24BE2920" w14:textId="77777777" w:rsidTr="00CA3060">
        <w:tc>
          <w:tcPr>
            <w:tcW w:w="6915" w:type="dxa"/>
          </w:tcPr>
          <w:p w14:paraId="52283263" w14:textId="77777777" w:rsidR="00265792" w:rsidRPr="00BA7805" w:rsidRDefault="00265792" w:rsidP="00266168">
            <w:pPr>
              <w:pStyle w:val="ARfintablebody"/>
              <w:spacing w:before="30"/>
              <w:rPr>
                <w:highlight w:val="green"/>
              </w:rPr>
            </w:pPr>
            <w:r w:rsidRPr="00C74303">
              <w:t>Grant of right to operate liability</w:t>
            </w:r>
          </w:p>
        </w:tc>
        <w:tc>
          <w:tcPr>
            <w:tcW w:w="1361" w:type="dxa"/>
            <w:shd w:val="clear" w:color="auto" w:fill="EEEEEF" w:themeFill="accent4"/>
            <w:noWrap/>
            <w:vAlign w:val="center"/>
          </w:tcPr>
          <w:p w14:paraId="6B21EC02" w14:textId="77777777" w:rsidR="00265792" w:rsidRPr="00BA7805" w:rsidRDefault="00265792" w:rsidP="00266168">
            <w:pPr>
              <w:pStyle w:val="ARfintablebodyright"/>
              <w:rPr>
                <w:highlight w:val="green"/>
              </w:rPr>
            </w:pPr>
            <w:r>
              <w:t>117.8</w:t>
            </w:r>
          </w:p>
        </w:tc>
        <w:tc>
          <w:tcPr>
            <w:tcW w:w="1361" w:type="dxa"/>
            <w:noWrap/>
          </w:tcPr>
          <w:p w14:paraId="0F680616" w14:textId="77777777" w:rsidR="00265792" w:rsidRPr="00BA7805" w:rsidRDefault="00265792" w:rsidP="00266168">
            <w:pPr>
              <w:pStyle w:val="ARfintablebodyright"/>
              <w:rPr>
                <w:highlight w:val="green"/>
              </w:rPr>
            </w:pPr>
            <w:r>
              <w:t>84.3</w:t>
            </w:r>
          </w:p>
        </w:tc>
      </w:tr>
      <w:tr w:rsidR="00265792" w:rsidRPr="00BA7805" w14:paraId="4E71EA44" w14:textId="77777777" w:rsidTr="00CA3060">
        <w:trPr>
          <w:cnfStyle w:val="010000000000" w:firstRow="0" w:lastRow="1" w:firstColumn="0" w:lastColumn="0" w:oddVBand="0" w:evenVBand="0" w:oddHBand="0" w:evenHBand="0" w:firstRowFirstColumn="0" w:firstRowLastColumn="0" w:lastRowFirstColumn="0" w:lastRowLastColumn="0"/>
        </w:trPr>
        <w:tc>
          <w:tcPr>
            <w:tcW w:w="6915" w:type="dxa"/>
          </w:tcPr>
          <w:p w14:paraId="2E3C6DC5" w14:textId="77777777" w:rsidR="00265792" w:rsidRPr="00BA7805" w:rsidRDefault="00265792" w:rsidP="00CA3060">
            <w:pPr>
              <w:pStyle w:val="ARfintablebodybold"/>
              <w:rPr>
                <w:highlight w:val="green"/>
              </w:rPr>
            </w:pPr>
            <w:r w:rsidRPr="00C74303">
              <w:t>Total other liabilities</w:t>
            </w:r>
          </w:p>
        </w:tc>
        <w:tc>
          <w:tcPr>
            <w:tcW w:w="1361" w:type="dxa"/>
            <w:shd w:val="clear" w:color="auto" w:fill="EEEEEF" w:themeFill="accent4"/>
            <w:noWrap/>
          </w:tcPr>
          <w:p w14:paraId="5F4BDA6F" w14:textId="77777777" w:rsidR="00265792" w:rsidRPr="00BA7805" w:rsidRDefault="00265792" w:rsidP="00266168">
            <w:pPr>
              <w:pStyle w:val="ARfintablebodyright"/>
              <w:rPr>
                <w:highlight w:val="green"/>
              </w:rPr>
            </w:pPr>
            <w:r>
              <w:rPr>
                <w:b/>
                <w:bCs/>
              </w:rPr>
              <w:t>119.8</w:t>
            </w:r>
          </w:p>
        </w:tc>
        <w:tc>
          <w:tcPr>
            <w:tcW w:w="1361" w:type="dxa"/>
            <w:noWrap/>
          </w:tcPr>
          <w:p w14:paraId="7C07B32E" w14:textId="77777777" w:rsidR="00265792" w:rsidRPr="00BA7805" w:rsidRDefault="00265792" w:rsidP="00266168">
            <w:pPr>
              <w:pStyle w:val="ARfintablebodyright"/>
              <w:rPr>
                <w:highlight w:val="green"/>
              </w:rPr>
            </w:pPr>
            <w:r>
              <w:rPr>
                <w:b/>
                <w:bCs/>
              </w:rPr>
              <w:t>86.3</w:t>
            </w:r>
          </w:p>
        </w:tc>
      </w:tr>
    </w:tbl>
    <w:p w14:paraId="0335049B" w14:textId="77777777" w:rsidR="00265792" w:rsidRDefault="00265792" w:rsidP="00266168">
      <w:pPr>
        <w:pStyle w:val="ARfinbodyaftertable"/>
      </w:pPr>
      <w:r w:rsidRPr="00266168">
        <w:t xml:space="preserve">A </w:t>
      </w:r>
      <w:r w:rsidRPr="00266168">
        <w:rPr>
          <w:rStyle w:val="Strong"/>
        </w:rPr>
        <w:t>grant of right to the operator (GORTO) liability</w:t>
      </w:r>
      <w:r w:rsidRPr="00266168">
        <w:t xml:space="preserve"> is recognised where the department does not have a contractual obligation to pay cash or another financial asset but grants the right to the operator to earn revenue from the public use of the asset. This type of arrangement is commonly referred to as an economic service concession arrangement. It represents unearned revenue and is progressively reduced over the period of the arrangement in accordance with its substance. Further information is included in Note 7.5.3 Service concession arrangements.</w:t>
      </w:r>
    </w:p>
    <w:p w14:paraId="23FE4FE1" w14:textId="77777777" w:rsidR="00265792" w:rsidRPr="00BA7805" w:rsidRDefault="00265792">
      <w:pPr>
        <w:pStyle w:val="ARfinbody"/>
        <w:rPr>
          <w:highlight w:val="green"/>
        </w:rPr>
      </w:pPr>
      <w:r w:rsidRPr="00BA7805">
        <w:rPr>
          <w:highlight w:val="green"/>
        </w:rPr>
        <w:br w:type="page"/>
      </w:r>
    </w:p>
    <w:p w14:paraId="6E4B2C9A" w14:textId="77777777" w:rsidR="00265792" w:rsidRPr="00AB2F62" w:rsidRDefault="00265792" w:rsidP="000F4DD4">
      <w:pPr>
        <w:pStyle w:val="Heading3"/>
        <w:spacing w:before="0"/>
      </w:pPr>
      <w:bookmarkStart w:id="276" w:name="_Toc212041662"/>
      <w:r w:rsidRPr="00AB2F62">
        <w:lastRenderedPageBreak/>
        <w:t>7. How we financed our operations</w:t>
      </w:r>
      <w:bookmarkEnd w:id="276"/>
    </w:p>
    <w:p w14:paraId="54FAF3D3" w14:textId="77777777" w:rsidR="00265792" w:rsidRDefault="00265792" w:rsidP="007F19A8">
      <w:pPr>
        <w:pStyle w:val="Heading4"/>
      </w:pPr>
      <w:r>
        <w:t>Introduction</w:t>
      </w:r>
    </w:p>
    <w:p w14:paraId="3A68C470" w14:textId="77777777" w:rsidR="00265792" w:rsidRDefault="00265792">
      <w:pPr>
        <w:pStyle w:val="ARfinbody"/>
      </w:pPr>
      <w:r>
        <w:t xml:space="preserve">This section provides information on the sources of finance utilised by the department during its operations, along with interest expenses (the </w:t>
      </w:r>
      <w:r w:rsidRPr="00A54DE5">
        <w:t>cost</w:t>
      </w:r>
      <w:r>
        <w:t xml:space="preserve"> of borrowings) and other information related to financing activities of the department.</w:t>
      </w:r>
    </w:p>
    <w:p w14:paraId="6044CDE8" w14:textId="77777777" w:rsidR="00265792" w:rsidRDefault="00265792" w:rsidP="007F19A8">
      <w:pPr>
        <w:pStyle w:val="ARfinbody"/>
      </w:pPr>
      <w:r>
        <w:t xml:space="preserve">This section includes disclosures of balances that are financial instruments (such as borrowings and cash balances). Notes 8.1 and 8.3 provide additional, </w:t>
      </w:r>
      <w:r w:rsidRPr="00A54DE5">
        <w:t>specific</w:t>
      </w:r>
      <w:r>
        <w:t xml:space="preserve"> financial instrument disclosures.</w:t>
      </w:r>
    </w:p>
    <w:p w14:paraId="4A9C3996" w14:textId="77777777" w:rsidR="00265792" w:rsidRDefault="00265792" w:rsidP="007F19A8">
      <w:pPr>
        <w:pStyle w:val="Heading4"/>
      </w:pPr>
      <w:r>
        <w:t>Structure</w:t>
      </w:r>
    </w:p>
    <w:p w14:paraId="665A1671" w14:textId="77777777" w:rsidR="00265792" w:rsidRDefault="00265792" w:rsidP="007F19A8">
      <w:pPr>
        <w:pStyle w:val="ARfinstructure1"/>
      </w:pPr>
      <w:r>
        <w:t xml:space="preserve">7.1 </w:t>
      </w:r>
      <w:r>
        <w:tab/>
        <w:t xml:space="preserve">Borrowings </w:t>
      </w:r>
    </w:p>
    <w:p w14:paraId="291BDCEC" w14:textId="77777777" w:rsidR="00265792" w:rsidRDefault="00265792" w:rsidP="007F19A8">
      <w:pPr>
        <w:pStyle w:val="ARfinstructure1"/>
      </w:pPr>
      <w:r>
        <w:t xml:space="preserve">7.2 </w:t>
      </w:r>
      <w:r>
        <w:tab/>
        <w:t>Maturity analysis of borrowings</w:t>
      </w:r>
    </w:p>
    <w:p w14:paraId="2CF7047B" w14:textId="77777777" w:rsidR="00265792" w:rsidRDefault="00265792" w:rsidP="007F19A8">
      <w:pPr>
        <w:pStyle w:val="ARfinstructure1"/>
      </w:pPr>
      <w:r>
        <w:t xml:space="preserve">7.3 </w:t>
      </w:r>
      <w:r>
        <w:tab/>
        <w:t>Cash flow information and balances</w:t>
      </w:r>
    </w:p>
    <w:p w14:paraId="1B73A5BF" w14:textId="77777777" w:rsidR="00265792" w:rsidRDefault="00265792" w:rsidP="007F19A8">
      <w:pPr>
        <w:pStyle w:val="ARfinstructure2"/>
      </w:pPr>
      <w:r>
        <w:t xml:space="preserve">7.3.1 </w:t>
      </w:r>
      <w:r>
        <w:tab/>
        <w:t>Reconciliation of net result for the period to net cash flow from operating activities</w:t>
      </w:r>
    </w:p>
    <w:p w14:paraId="3EAA59AB" w14:textId="77777777" w:rsidR="00265792" w:rsidRDefault="00265792" w:rsidP="007F19A8">
      <w:pPr>
        <w:pStyle w:val="ARfinstructure1"/>
      </w:pPr>
      <w:r>
        <w:t>7.4</w:t>
      </w:r>
      <w:r>
        <w:tab/>
        <w:t>Trust account</w:t>
      </w:r>
    </w:p>
    <w:p w14:paraId="283EC153" w14:textId="77777777" w:rsidR="00265792" w:rsidRDefault="00265792" w:rsidP="007F19A8">
      <w:pPr>
        <w:pStyle w:val="ARfinstructure2"/>
      </w:pPr>
      <w:r>
        <w:t xml:space="preserve">7.4.1 </w:t>
      </w:r>
      <w:r>
        <w:tab/>
        <w:t>Trust account balances</w:t>
      </w:r>
    </w:p>
    <w:p w14:paraId="0A8B5C94" w14:textId="76D787C8" w:rsidR="00265792" w:rsidRDefault="00265792" w:rsidP="007F19A8">
      <w:pPr>
        <w:pStyle w:val="ARfinstructure2"/>
      </w:pPr>
      <w:r>
        <w:t xml:space="preserve">7.4.2 </w:t>
      </w:r>
      <w:r>
        <w:tab/>
        <w:t xml:space="preserve">Trust account – </w:t>
      </w:r>
      <w:r w:rsidR="00223930">
        <w:t>l</w:t>
      </w:r>
      <w:r>
        <w:t xml:space="preserve">egislative references and nature </w:t>
      </w:r>
    </w:p>
    <w:p w14:paraId="1F6B61ED" w14:textId="77777777" w:rsidR="00265792" w:rsidRDefault="00265792" w:rsidP="007F19A8">
      <w:pPr>
        <w:pStyle w:val="ARfinstructure1"/>
      </w:pPr>
      <w:r>
        <w:t xml:space="preserve">7.5 </w:t>
      </w:r>
      <w:r>
        <w:tab/>
        <w:t>Commitments for expenditure</w:t>
      </w:r>
    </w:p>
    <w:p w14:paraId="75987180" w14:textId="77777777" w:rsidR="00265792" w:rsidRDefault="00265792" w:rsidP="007F19A8">
      <w:pPr>
        <w:pStyle w:val="ARfinstructure2"/>
      </w:pPr>
      <w:r>
        <w:t xml:space="preserve">7.5.1 </w:t>
      </w:r>
      <w:r>
        <w:tab/>
        <w:t>Total commitments payable</w:t>
      </w:r>
    </w:p>
    <w:p w14:paraId="74472260" w14:textId="77777777" w:rsidR="00265792" w:rsidRDefault="00265792" w:rsidP="007F19A8">
      <w:pPr>
        <w:pStyle w:val="ARfinstructure2"/>
      </w:pPr>
      <w:r>
        <w:t xml:space="preserve">7.5.2 </w:t>
      </w:r>
      <w:r>
        <w:tab/>
        <w:t>Service concession arrangements commitments</w:t>
      </w:r>
    </w:p>
    <w:p w14:paraId="67FEA5D9" w14:textId="77777777" w:rsidR="00265792" w:rsidRDefault="00265792" w:rsidP="007F19A8">
      <w:pPr>
        <w:pStyle w:val="ARfinstructure2"/>
      </w:pPr>
      <w:r>
        <w:t xml:space="preserve">7.5.3 </w:t>
      </w:r>
      <w:r>
        <w:tab/>
        <w:t>Service concession arrangements</w:t>
      </w:r>
    </w:p>
    <w:p w14:paraId="2F2D621B" w14:textId="77777777" w:rsidR="00265792" w:rsidRPr="00AB2F62" w:rsidRDefault="00265792">
      <w:pPr>
        <w:pStyle w:val="Heading4"/>
        <w:rPr>
          <w:lang w:eastAsia="en-AU"/>
        </w:rPr>
      </w:pPr>
      <w:r w:rsidRPr="00AB2F62">
        <w:rPr>
          <w:lang w:eastAsia="en-AU"/>
        </w:rPr>
        <w:t xml:space="preserve">7.1 </w:t>
      </w:r>
      <w:r w:rsidRPr="00E27223">
        <w:t>Borrowings</w:t>
      </w:r>
    </w:p>
    <w:tbl>
      <w:tblPr>
        <w:tblStyle w:val="TableGrid"/>
        <w:tblW w:w="9637" w:type="dxa"/>
        <w:tblLayout w:type="fixed"/>
        <w:tblLook w:val="06E0" w:firstRow="1" w:lastRow="1" w:firstColumn="1" w:lastColumn="0" w:noHBand="1" w:noVBand="1"/>
      </w:tblPr>
      <w:tblGrid>
        <w:gridCol w:w="6822"/>
        <w:gridCol w:w="1407"/>
        <w:gridCol w:w="1408"/>
      </w:tblGrid>
      <w:tr w:rsidR="00265792" w:rsidRPr="00BA7805" w14:paraId="5594863E" w14:textId="77777777" w:rsidTr="0051201B">
        <w:trPr>
          <w:cnfStyle w:val="100000000000" w:firstRow="1" w:lastRow="0" w:firstColumn="0" w:lastColumn="0" w:oddVBand="0" w:evenVBand="0" w:oddHBand="0" w:evenHBand="0" w:firstRowFirstColumn="0" w:firstRowLastColumn="0" w:lastRowFirstColumn="0" w:lastRowLastColumn="0"/>
          <w:tblHeader/>
        </w:trPr>
        <w:tc>
          <w:tcPr>
            <w:tcW w:w="6822" w:type="dxa"/>
            <w:noWrap/>
            <w:hideMark/>
          </w:tcPr>
          <w:p w14:paraId="7B196B57" w14:textId="77777777" w:rsidR="00265792" w:rsidRPr="00BA7805" w:rsidRDefault="00265792">
            <w:pPr>
              <w:pStyle w:val="ARfintablecolhead"/>
              <w:rPr>
                <w:highlight w:val="green"/>
              </w:rPr>
            </w:pPr>
          </w:p>
        </w:tc>
        <w:tc>
          <w:tcPr>
            <w:tcW w:w="1407" w:type="dxa"/>
            <w:shd w:val="clear" w:color="auto" w:fill="EEEEEF" w:themeFill="accent4"/>
            <w:hideMark/>
          </w:tcPr>
          <w:p w14:paraId="1937D807" w14:textId="77777777" w:rsidR="00265792" w:rsidRPr="000F42E2" w:rsidRDefault="00265792">
            <w:pPr>
              <w:pStyle w:val="ARfintablecolheadright"/>
            </w:pPr>
            <w:r w:rsidRPr="000F42E2">
              <w:t>202</w:t>
            </w:r>
            <w:r>
              <w:t>5</w:t>
            </w:r>
          </w:p>
          <w:p w14:paraId="0E673BEB" w14:textId="77777777" w:rsidR="00265792" w:rsidRPr="000F42E2" w:rsidRDefault="00265792">
            <w:pPr>
              <w:pStyle w:val="ARfintablecolheadright"/>
            </w:pPr>
            <w:r w:rsidRPr="000F42E2">
              <w:t>$M</w:t>
            </w:r>
          </w:p>
        </w:tc>
        <w:tc>
          <w:tcPr>
            <w:tcW w:w="1408" w:type="dxa"/>
            <w:hideMark/>
          </w:tcPr>
          <w:p w14:paraId="297262C4" w14:textId="77777777" w:rsidR="00265792" w:rsidRPr="000F42E2" w:rsidRDefault="00265792">
            <w:pPr>
              <w:pStyle w:val="ARfintablecolheadright"/>
            </w:pPr>
            <w:r w:rsidRPr="000F42E2">
              <w:t>202</w:t>
            </w:r>
            <w:r>
              <w:t>4</w:t>
            </w:r>
          </w:p>
          <w:p w14:paraId="2443BC1E" w14:textId="77777777" w:rsidR="00265792" w:rsidRPr="000F42E2" w:rsidRDefault="00265792">
            <w:pPr>
              <w:pStyle w:val="ARfintablecolheadright"/>
            </w:pPr>
            <w:r w:rsidRPr="000F42E2">
              <w:t>$M</w:t>
            </w:r>
          </w:p>
        </w:tc>
      </w:tr>
      <w:tr w:rsidR="00265792" w:rsidRPr="00BA7805" w14:paraId="716070D1" w14:textId="77777777" w:rsidTr="0051201B">
        <w:tc>
          <w:tcPr>
            <w:tcW w:w="6822" w:type="dxa"/>
          </w:tcPr>
          <w:p w14:paraId="3DEECCF8" w14:textId="77777777" w:rsidR="00265792" w:rsidRPr="00BA7805" w:rsidRDefault="00265792" w:rsidP="00327A89">
            <w:pPr>
              <w:pStyle w:val="ARfintablebodybold"/>
              <w:rPr>
                <w:highlight w:val="green"/>
              </w:rPr>
            </w:pPr>
            <w:r w:rsidRPr="00FB0A00">
              <w:t>Current borrowings</w:t>
            </w:r>
          </w:p>
        </w:tc>
        <w:tc>
          <w:tcPr>
            <w:tcW w:w="1407" w:type="dxa"/>
            <w:noWrap/>
          </w:tcPr>
          <w:p w14:paraId="0D3A14C6" w14:textId="77777777" w:rsidR="00265792" w:rsidRPr="00BA7805" w:rsidRDefault="00265792" w:rsidP="00235064">
            <w:pPr>
              <w:pStyle w:val="ARfintablebodyright"/>
              <w:rPr>
                <w:highlight w:val="green"/>
              </w:rPr>
            </w:pPr>
          </w:p>
        </w:tc>
        <w:tc>
          <w:tcPr>
            <w:tcW w:w="1408" w:type="dxa"/>
            <w:noWrap/>
          </w:tcPr>
          <w:p w14:paraId="083B98C5" w14:textId="77777777" w:rsidR="00265792" w:rsidRPr="00BA7805" w:rsidRDefault="00265792" w:rsidP="00235064">
            <w:pPr>
              <w:pStyle w:val="ARfintablebodyright"/>
              <w:rPr>
                <w:highlight w:val="green"/>
              </w:rPr>
            </w:pPr>
          </w:p>
        </w:tc>
      </w:tr>
      <w:tr w:rsidR="00265792" w:rsidRPr="00BA7805" w14:paraId="06CFE977" w14:textId="77777777" w:rsidTr="0051201B">
        <w:tc>
          <w:tcPr>
            <w:tcW w:w="6822" w:type="dxa"/>
          </w:tcPr>
          <w:p w14:paraId="1BD4E50F" w14:textId="77777777" w:rsidR="00265792" w:rsidRPr="00BA7805" w:rsidRDefault="00265792" w:rsidP="00235064">
            <w:pPr>
              <w:pStyle w:val="ARfintablebody"/>
              <w:rPr>
                <w:highlight w:val="green"/>
              </w:rPr>
            </w:pPr>
            <w:r w:rsidRPr="00FB0A00">
              <w:t>Advances from Victorian Government</w:t>
            </w:r>
          </w:p>
        </w:tc>
        <w:tc>
          <w:tcPr>
            <w:tcW w:w="1407" w:type="dxa"/>
            <w:shd w:val="clear" w:color="auto" w:fill="EEEEEF" w:themeFill="accent4"/>
            <w:noWrap/>
          </w:tcPr>
          <w:p w14:paraId="51642FEA" w14:textId="77777777" w:rsidR="00265792" w:rsidRPr="00BA7805" w:rsidRDefault="00265792" w:rsidP="00235064">
            <w:pPr>
              <w:pStyle w:val="ARfintablebodyright"/>
              <w:rPr>
                <w:highlight w:val="green"/>
              </w:rPr>
            </w:pPr>
            <w:r w:rsidRPr="00FB0A00">
              <w:t>32.5</w:t>
            </w:r>
          </w:p>
        </w:tc>
        <w:tc>
          <w:tcPr>
            <w:tcW w:w="1408" w:type="dxa"/>
            <w:noWrap/>
          </w:tcPr>
          <w:p w14:paraId="0B8EF815" w14:textId="77777777" w:rsidR="00265792" w:rsidRPr="00BA7805" w:rsidRDefault="00265792" w:rsidP="00235064">
            <w:pPr>
              <w:pStyle w:val="ARfintablebodyright"/>
              <w:rPr>
                <w:highlight w:val="green"/>
              </w:rPr>
            </w:pPr>
            <w:r w:rsidRPr="00FB0A00">
              <w:t>35.3</w:t>
            </w:r>
          </w:p>
        </w:tc>
      </w:tr>
      <w:tr w:rsidR="00265792" w:rsidRPr="00BA7805" w14:paraId="6EE712F9" w14:textId="77777777" w:rsidTr="0051201B">
        <w:tc>
          <w:tcPr>
            <w:tcW w:w="6822" w:type="dxa"/>
            <w:tcBorders>
              <w:bottom w:val="single" w:sz="4" w:space="0" w:color="A6A6A6" w:themeColor="accent5"/>
            </w:tcBorders>
          </w:tcPr>
          <w:p w14:paraId="713C37AB" w14:textId="77777777" w:rsidR="00265792" w:rsidRPr="00BA7805" w:rsidRDefault="00265792" w:rsidP="00235064">
            <w:pPr>
              <w:pStyle w:val="ARfintablebody"/>
              <w:rPr>
                <w:highlight w:val="green"/>
              </w:rPr>
            </w:pPr>
            <w:r w:rsidRPr="00FB0A00">
              <w:t>Service concession financial liability</w:t>
            </w:r>
          </w:p>
        </w:tc>
        <w:tc>
          <w:tcPr>
            <w:tcW w:w="1407" w:type="dxa"/>
            <w:tcBorders>
              <w:bottom w:val="single" w:sz="4" w:space="0" w:color="A6A6A6" w:themeColor="accent5"/>
            </w:tcBorders>
            <w:shd w:val="clear" w:color="auto" w:fill="EEEEEF" w:themeFill="accent4"/>
            <w:noWrap/>
          </w:tcPr>
          <w:p w14:paraId="2E30993A" w14:textId="77777777" w:rsidR="00265792" w:rsidRPr="00BA7805" w:rsidRDefault="00265792" w:rsidP="00235064">
            <w:pPr>
              <w:pStyle w:val="ARfintablebodyright"/>
              <w:rPr>
                <w:highlight w:val="green"/>
              </w:rPr>
            </w:pPr>
            <w:r w:rsidRPr="00FB0A00">
              <w:t>2.0</w:t>
            </w:r>
          </w:p>
        </w:tc>
        <w:tc>
          <w:tcPr>
            <w:tcW w:w="1408" w:type="dxa"/>
            <w:tcBorders>
              <w:bottom w:val="single" w:sz="4" w:space="0" w:color="A6A6A6" w:themeColor="accent5"/>
            </w:tcBorders>
            <w:noWrap/>
          </w:tcPr>
          <w:p w14:paraId="19731486" w14:textId="77777777" w:rsidR="00265792" w:rsidRPr="00BA7805" w:rsidRDefault="00265792" w:rsidP="00235064">
            <w:pPr>
              <w:pStyle w:val="ARfintablebodyright"/>
              <w:rPr>
                <w:highlight w:val="green"/>
              </w:rPr>
            </w:pPr>
            <w:r w:rsidRPr="00FB0A00">
              <w:t>1.9</w:t>
            </w:r>
          </w:p>
        </w:tc>
      </w:tr>
      <w:tr w:rsidR="00265792" w:rsidRPr="00BA7805" w14:paraId="434C4BD3" w14:textId="77777777" w:rsidTr="0051201B">
        <w:tc>
          <w:tcPr>
            <w:tcW w:w="6822" w:type="dxa"/>
            <w:tcBorders>
              <w:top w:val="single" w:sz="4" w:space="0" w:color="A6A6A6" w:themeColor="accent5"/>
              <w:bottom w:val="single" w:sz="4" w:space="0" w:color="000000" w:themeColor="text1"/>
            </w:tcBorders>
          </w:tcPr>
          <w:p w14:paraId="31CFC070" w14:textId="77777777" w:rsidR="00265792" w:rsidRPr="00BA7805" w:rsidRDefault="00265792" w:rsidP="00235064">
            <w:pPr>
              <w:pStyle w:val="ARfintablebody"/>
              <w:rPr>
                <w:highlight w:val="green"/>
              </w:rPr>
            </w:pPr>
            <w:r w:rsidRPr="00FB0A00">
              <w:t>Lease liabilities</w:t>
            </w:r>
          </w:p>
        </w:tc>
        <w:tc>
          <w:tcPr>
            <w:tcW w:w="1407" w:type="dxa"/>
            <w:tcBorders>
              <w:top w:val="single" w:sz="4" w:space="0" w:color="A6A6A6" w:themeColor="accent5"/>
              <w:bottom w:val="single" w:sz="4" w:space="0" w:color="000000" w:themeColor="text1"/>
            </w:tcBorders>
            <w:shd w:val="clear" w:color="auto" w:fill="EEEEEF" w:themeFill="accent4"/>
            <w:noWrap/>
          </w:tcPr>
          <w:p w14:paraId="0A164469" w14:textId="77777777" w:rsidR="00265792" w:rsidRPr="00BA7805" w:rsidRDefault="00265792" w:rsidP="00235064">
            <w:pPr>
              <w:pStyle w:val="ARfintablebodyright"/>
              <w:rPr>
                <w:highlight w:val="green"/>
              </w:rPr>
            </w:pPr>
            <w:r w:rsidRPr="00FB0A00">
              <w:t>35.0</w:t>
            </w:r>
          </w:p>
        </w:tc>
        <w:tc>
          <w:tcPr>
            <w:tcW w:w="1408" w:type="dxa"/>
            <w:tcBorders>
              <w:top w:val="single" w:sz="4" w:space="0" w:color="A6A6A6" w:themeColor="accent5"/>
              <w:bottom w:val="single" w:sz="4" w:space="0" w:color="000000" w:themeColor="text1"/>
            </w:tcBorders>
            <w:noWrap/>
          </w:tcPr>
          <w:p w14:paraId="134B1AB5" w14:textId="77777777" w:rsidR="00265792" w:rsidRPr="00BA7805" w:rsidRDefault="00265792" w:rsidP="00235064">
            <w:pPr>
              <w:pStyle w:val="ARfintablebodyright"/>
              <w:rPr>
                <w:highlight w:val="green"/>
              </w:rPr>
            </w:pPr>
            <w:r w:rsidRPr="00FB0A00">
              <w:t>30.8</w:t>
            </w:r>
          </w:p>
        </w:tc>
      </w:tr>
      <w:tr w:rsidR="00265792" w:rsidRPr="00BA7805" w14:paraId="559D9956" w14:textId="77777777" w:rsidTr="0051201B">
        <w:tc>
          <w:tcPr>
            <w:tcW w:w="6822" w:type="dxa"/>
            <w:tcBorders>
              <w:top w:val="single" w:sz="4" w:space="0" w:color="000000" w:themeColor="text1"/>
              <w:bottom w:val="single" w:sz="4" w:space="0" w:color="000000" w:themeColor="text1"/>
            </w:tcBorders>
          </w:tcPr>
          <w:p w14:paraId="6105AEB9" w14:textId="77777777" w:rsidR="00265792" w:rsidRPr="00BA7805" w:rsidRDefault="00265792" w:rsidP="00327A89">
            <w:pPr>
              <w:pStyle w:val="ARfintablebodybold"/>
              <w:rPr>
                <w:highlight w:val="green"/>
              </w:rPr>
            </w:pPr>
            <w:r w:rsidRPr="00FB0A00">
              <w:t>Total current borrowings</w:t>
            </w:r>
          </w:p>
        </w:tc>
        <w:tc>
          <w:tcPr>
            <w:tcW w:w="1407" w:type="dxa"/>
            <w:tcBorders>
              <w:top w:val="single" w:sz="4" w:space="0" w:color="000000" w:themeColor="text1"/>
              <w:bottom w:val="single" w:sz="4" w:space="0" w:color="000000" w:themeColor="text1"/>
            </w:tcBorders>
            <w:shd w:val="clear" w:color="auto" w:fill="EEEEEF" w:themeFill="accent4"/>
            <w:noWrap/>
          </w:tcPr>
          <w:p w14:paraId="320CDD94" w14:textId="77777777" w:rsidR="00265792" w:rsidRPr="00BA7805" w:rsidRDefault="00265792" w:rsidP="00327A89">
            <w:pPr>
              <w:pStyle w:val="ARfintablebodyrightbold"/>
              <w:rPr>
                <w:highlight w:val="green"/>
              </w:rPr>
            </w:pPr>
            <w:r w:rsidRPr="00FB0A00">
              <w:t>69.4</w:t>
            </w:r>
          </w:p>
        </w:tc>
        <w:tc>
          <w:tcPr>
            <w:tcW w:w="1408" w:type="dxa"/>
            <w:tcBorders>
              <w:top w:val="single" w:sz="4" w:space="0" w:color="000000" w:themeColor="text1"/>
              <w:bottom w:val="single" w:sz="4" w:space="0" w:color="000000" w:themeColor="text1"/>
            </w:tcBorders>
            <w:noWrap/>
          </w:tcPr>
          <w:p w14:paraId="329D3F99" w14:textId="77777777" w:rsidR="00265792" w:rsidRPr="00BA7805" w:rsidRDefault="00265792" w:rsidP="00327A89">
            <w:pPr>
              <w:pStyle w:val="ARfintablebodyrightbold"/>
              <w:rPr>
                <w:highlight w:val="green"/>
              </w:rPr>
            </w:pPr>
            <w:r w:rsidRPr="00FB0A00">
              <w:t>68.0</w:t>
            </w:r>
          </w:p>
        </w:tc>
      </w:tr>
      <w:tr w:rsidR="00265792" w:rsidRPr="00BA7805" w14:paraId="31DE14BE" w14:textId="77777777" w:rsidTr="0051201B">
        <w:tc>
          <w:tcPr>
            <w:tcW w:w="6822" w:type="dxa"/>
            <w:tcBorders>
              <w:top w:val="single" w:sz="4" w:space="0" w:color="000000" w:themeColor="text1"/>
              <w:bottom w:val="single" w:sz="4" w:space="0" w:color="A6A6A6" w:themeColor="accent5"/>
            </w:tcBorders>
          </w:tcPr>
          <w:p w14:paraId="1A106065" w14:textId="77777777" w:rsidR="00265792" w:rsidRPr="00BA7805" w:rsidRDefault="00265792" w:rsidP="00327A89">
            <w:pPr>
              <w:pStyle w:val="ARfintablebodybold"/>
              <w:rPr>
                <w:highlight w:val="green"/>
              </w:rPr>
            </w:pPr>
            <w:r w:rsidRPr="00FB0A00">
              <w:t>Non-current borrowings</w:t>
            </w:r>
          </w:p>
        </w:tc>
        <w:tc>
          <w:tcPr>
            <w:tcW w:w="1407" w:type="dxa"/>
            <w:tcBorders>
              <w:top w:val="single" w:sz="4" w:space="0" w:color="000000" w:themeColor="text1"/>
              <w:bottom w:val="single" w:sz="4" w:space="0" w:color="A6A6A6" w:themeColor="accent5"/>
            </w:tcBorders>
            <w:noWrap/>
          </w:tcPr>
          <w:p w14:paraId="014EC89B" w14:textId="77777777" w:rsidR="00265792" w:rsidRPr="00BA7805" w:rsidRDefault="00265792" w:rsidP="00235064">
            <w:pPr>
              <w:pStyle w:val="ARfintablebodyright"/>
              <w:rPr>
                <w:highlight w:val="green"/>
              </w:rPr>
            </w:pPr>
          </w:p>
        </w:tc>
        <w:tc>
          <w:tcPr>
            <w:tcW w:w="1408" w:type="dxa"/>
            <w:tcBorders>
              <w:top w:val="single" w:sz="4" w:space="0" w:color="000000" w:themeColor="text1"/>
              <w:bottom w:val="single" w:sz="4" w:space="0" w:color="A6A6A6" w:themeColor="accent5"/>
            </w:tcBorders>
            <w:noWrap/>
          </w:tcPr>
          <w:p w14:paraId="4672817B" w14:textId="77777777" w:rsidR="00265792" w:rsidRPr="00BA7805" w:rsidRDefault="00265792" w:rsidP="00235064">
            <w:pPr>
              <w:pStyle w:val="ARfintablebodyright"/>
              <w:rPr>
                <w:highlight w:val="green"/>
              </w:rPr>
            </w:pPr>
          </w:p>
        </w:tc>
      </w:tr>
      <w:tr w:rsidR="00265792" w:rsidRPr="00BA7805" w14:paraId="67695776" w14:textId="77777777" w:rsidTr="0051201B">
        <w:tc>
          <w:tcPr>
            <w:tcW w:w="6822" w:type="dxa"/>
            <w:tcBorders>
              <w:top w:val="single" w:sz="4" w:space="0" w:color="A6A6A6" w:themeColor="accent5"/>
            </w:tcBorders>
          </w:tcPr>
          <w:p w14:paraId="2FCE7FC9" w14:textId="77777777" w:rsidR="00265792" w:rsidRPr="00BA7805" w:rsidRDefault="00265792" w:rsidP="00327A89">
            <w:pPr>
              <w:pStyle w:val="ARfintablebody"/>
              <w:rPr>
                <w:highlight w:val="green"/>
              </w:rPr>
            </w:pPr>
            <w:r w:rsidRPr="00FB0A00">
              <w:t>Advances from Victorian Government</w:t>
            </w:r>
          </w:p>
        </w:tc>
        <w:tc>
          <w:tcPr>
            <w:tcW w:w="1407" w:type="dxa"/>
            <w:tcBorders>
              <w:top w:val="single" w:sz="4" w:space="0" w:color="A6A6A6" w:themeColor="accent5"/>
            </w:tcBorders>
            <w:shd w:val="clear" w:color="auto" w:fill="EEEEEF" w:themeFill="accent4"/>
            <w:noWrap/>
          </w:tcPr>
          <w:p w14:paraId="200915CB" w14:textId="77777777" w:rsidR="00265792" w:rsidRPr="002C7359" w:rsidRDefault="00265792" w:rsidP="00235064">
            <w:pPr>
              <w:pStyle w:val="ARfintablebodyrightbold"/>
              <w:rPr>
                <w:b w:val="0"/>
                <w:bCs/>
                <w:highlight w:val="green"/>
              </w:rPr>
            </w:pPr>
            <w:r w:rsidRPr="002C7359">
              <w:rPr>
                <w:b w:val="0"/>
                <w:bCs/>
              </w:rPr>
              <w:t>129.8</w:t>
            </w:r>
          </w:p>
        </w:tc>
        <w:tc>
          <w:tcPr>
            <w:tcW w:w="1408" w:type="dxa"/>
            <w:tcBorders>
              <w:top w:val="single" w:sz="4" w:space="0" w:color="A6A6A6" w:themeColor="accent5"/>
            </w:tcBorders>
            <w:noWrap/>
          </w:tcPr>
          <w:p w14:paraId="1795C312" w14:textId="77777777" w:rsidR="00265792" w:rsidRPr="002C7359" w:rsidRDefault="00265792" w:rsidP="00235064">
            <w:pPr>
              <w:pStyle w:val="ARfintablebodyrightbold"/>
              <w:rPr>
                <w:b w:val="0"/>
                <w:bCs/>
                <w:highlight w:val="green"/>
              </w:rPr>
            </w:pPr>
            <w:r w:rsidRPr="002C7359">
              <w:rPr>
                <w:b w:val="0"/>
                <w:bCs/>
              </w:rPr>
              <w:t>130.9</w:t>
            </w:r>
          </w:p>
        </w:tc>
      </w:tr>
      <w:tr w:rsidR="00265792" w:rsidRPr="00BA7805" w14:paraId="0B14B439" w14:textId="77777777" w:rsidTr="0051201B">
        <w:tc>
          <w:tcPr>
            <w:tcW w:w="6822" w:type="dxa"/>
            <w:tcBorders>
              <w:bottom w:val="single" w:sz="4" w:space="0" w:color="A6A6A6" w:themeColor="accent5"/>
            </w:tcBorders>
          </w:tcPr>
          <w:p w14:paraId="4F4D4679" w14:textId="77777777" w:rsidR="00265792" w:rsidRPr="00BA7805" w:rsidRDefault="00265792" w:rsidP="00327A89">
            <w:pPr>
              <w:pStyle w:val="ARfintablebody"/>
              <w:rPr>
                <w:highlight w:val="green"/>
              </w:rPr>
            </w:pPr>
            <w:r w:rsidRPr="00FB0A00">
              <w:t>Service concession financial liabilities</w:t>
            </w:r>
          </w:p>
        </w:tc>
        <w:tc>
          <w:tcPr>
            <w:tcW w:w="1407" w:type="dxa"/>
            <w:tcBorders>
              <w:bottom w:val="single" w:sz="4" w:space="0" w:color="A6A6A6" w:themeColor="accent5"/>
            </w:tcBorders>
            <w:shd w:val="clear" w:color="auto" w:fill="EEEEEF" w:themeFill="accent4"/>
            <w:noWrap/>
          </w:tcPr>
          <w:p w14:paraId="62956C6B" w14:textId="77777777" w:rsidR="00265792" w:rsidRPr="00BA7805" w:rsidRDefault="00265792" w:rsidP="00235064">
            <w:pPr>
              <w:pStyle w:val="ARfintablebodyright"/>
              <w:rPr>
                <w:highlight w:val="green"/>
              </w:rPr>
            </w:pPr>
            <w:r w:rsidRPr="00FB0A00">
              <w:t>525.2</w:t>
            </w:r>
          </w:p>
        </w:tc>
        <w:tc>
          <w:tcPr>
            <w:tcW w:w="1408" w:type="dxa"/>
            <w:tcBorders>
              <w:bottom w:val="single" w:sz="4" w:space="0" w:color="A6A6A6" w:themeColor="accent5"/>
            </w:tcBorders>
            <w:noWrap/>
          </w:tcPr>
          <w:p w14:paraId="196D2442" w14:textId="77777777" w:rsidR="00265792" w:rsidRPr="00BA7805" w:rsidRDefault="00265792" w:rsidP="00235064">
            <w:pPr>
              <w:pStyle w:val="ARfintablebodyright"/>
              <w:rPr>
                <w:highlight w:val="green"/>
              </w:rPr>
            </w:pPr>
            <w:r w:rsidRPr="00FB0A00">
              <w:t>287.8</w:t>
            </w:r>
          </w:p>
        </w:tc>
      </w:tr>
      <w:tr w:rsidR="00265792" w:rsidRPr="00BA7805" w14:paraId="0D326294" w14:textId="77777777" w:rsidTr="0051201B">
        <w:tc>
          <w:tcPr>
            <w:tcW w:w="6822" w:type="dxa"/>
            <w:tcBorders>
              <w:top w:val="single" w:sz="4" w:space="0" w:color="A6A6A6" w:themeColor="accent5"/>
              <w:bottom w:val="single" w:sz="4" w:space="0" w:color="000000" w:themeColor="text1"/>
            </w:tcBorders>
          </w:tcPr>
          <w:p w14:paraId="3452A3AF" w14:textId="77777777" w:rsidR="00265792" w:rsidRPr="00BA7805" w:rsidRDefault="00265792" w:rsidP="00327A89">
            <w:pPr>
              <w:pStyle w:val="ARfintablebody"/>
              <w:rPr>
                <w:highlight w:val="green"/>
              </w:rPr>
            </w:pPr>
            <w:r w:rsidRPr="00FB0A00">
              <w:t>Lease liabilities</w:t>
            </w:r>
          </w:p>
        </w:tc>
        <w:tc>
          <w:tcPr>
            <w:tcW w:w="1407" w:type="dxa"/>
            <w:tcBorders>
              <w:top w:val="single" w:sz="4" w:space="0" w:color="A6A6A6" w:themeColor="accent5"/>
              <w:bottom w:val="single" w:sz="4" w:space="0" w:color="000000" w:themeColor="text1"/>
            </w:tcBorders>
            <w:shd w:val="clear" w:color="auto" w:fill="EEEEEF" w:themeFill="accent4"/>
            <w:noWrap/>
          </w:tcPr>
          <w:p w14:paraId="615E3428" w14:textId="77777777" w:rsidR="00265792" w:rsidRPr="00BA7805" w:rsidRDefault="00265792" w:rsidP="00235064">
            <w:pPr>
              <w:pStyle w:val="ARfintablebodyright"/>
              <w:rPr>
                <w:highlight w:val="green"/>
              </w:rPr>
            </w:pPr>
            <w:r w:rsidRPr="00FB0A00">
              <w:t>44.1</w:t>
            </w:r>
          </w:p>
        </w:tc>
        <w:tc>
          <w:tcPr>
            <w:tcW w:w="1408" w:type="dxa"/>
            <w:tcBorders>
              <w:top w:val="single" w:sz="4" w:space="0" w:color="A6A6A6" w:themeColor="accent5"/>
              <w:bottom w:val="single" w:sz="4" w:space="0" w:color="000000" w:themeColor="text1"/>
            </w:tcBorders>
            <w:noWrap/>
          </w:tcPr>
          <w:p w14:paraId="7603DC96" w14:textId="77777777" w:rsidR="00265792" w:rsidRPr="00BA7805" w:rsidRDefault="00265792" w:rsidP="00235064">
            <w:pPr>
              <w:pStyle w:val="ARfintablebodyright"/>
              <w:rPr>
                <w:highlight w:val="green"/>
              </w:rPr>
            </w:pPr>
            <w:r w:rsidRPr="00FB0A00">
              <w:t>50.6</w:t>
            </w:r>
          </w:p>
        </w:tc>
      </w:tr>
      <w:tr w:rsidR="00265792" w:rsidRPr="00BA7805" w14:paraId="207D7EBA" w14:textId="77777777" w:rsidTr="0051201B">
        <w:tc>
          <w:tcPr>
            <w:tcW w:w="6822" w:type="dxa"/>
            <w:tcBorders>
              <w:top w:val="single" w:sz="4" w:space="0" w:color="000000" w:themeColor="text1"/>
              <w:bottom w:val="single" w:sz="4" w:space="0" w:color="000000" w:themeColor="text1"/>
            </w:tcBorders>
          </w:tcPr>
          <w:p w14:paraId="60FC7372" w14:textId="77777777" w:rsidR="00265792" w:rsidRPr="00BA7805" w:rsidRDefault="00265792" w:rsidP="00327A89">
            <w:pPr>
              <w:pStyle w:val="ARfintablebodybold"/>
              <w:rPr>
                <w:highlight w:val="green"/>
              </w:rPr>
            </w:pPr>
            <w:r w:rsidRPr="00FB0A00">
              <w:t>Total non-current borrowings</w:t>
            </w:r>
          </w:p>
        </w:tc>
        <w:tc>
          <w:tcPr>
            <w:tcW w:w="1407" w:type="dxa"/>
            <w:tcBorders>
              <w:top w:val="single" w:sz="4" w:space="0" w:color="000000" w:themeColor="text1"/>
              <w:bottom w:val="single" w:sz="4" w:space="0" w:color="000000" w:themeColor="text1"/>
            </w:tcBorders>
            <w:shd w:val="clear" w:color="auto" w:fill="EEEEEF" w:themeFill="accent4"/>
            <w:noWrap/>
          </w:tcPr>
          <w:p w14:paraId="4FE5D8A5" w14:textId="77777777" w:rsidR="00265792" w:rsidRPr="00BA7805" w:rsidRDefault="00265792" w:rsidP="00327A89">
            <w:pPr>
              <w:pStyle w:val="ARfintablebodyrightbold"/>
              <w:rPr>
                <w:highlight w:val="green"/>
              </w:rPr>
            </w:pPr>
            <w:r w:rsidRPr="00FB0A00">
              <w:t>699.1</w:t>
            </w:r>
          </w:p>
        </w:tc>
        <w:tc>
          <w:tcPr>
            <w:tcW w:w="1408" w:type="dxa"/>
            <w:tcBorders>
              <w:top w:val="single" w:sz="4" w:space="0" w:color="000000" w:themeColor="text1"/>
              <w:bottom w:val="single" w:sz="4" w:space="0" w:color="000000" w:themeColor="text1"/>
            </w:tcBorders>
            <w:noWrap/>
          </w:tcPr>
          <w:p w14:paraId="3FB511ED" w14:textId="77777777" w:rsidR="00265792" w:rsidRPr="00BA7805" w:rsidRDefault="00265792" w:rsidP="00327A89">
            <w:pPr>
              <w:pStyle w:val="ARfintablebodyrightbold"/>
              <w:rPr>
                <w:highlight w:val="green"/>
              </w:rPr>
            </w:pPr>
            <w:r w:rsidRPr="00FB0A00">
              <w:t>469.2</w:t>
            </w:r>
          </w:p>
        </w:tc>
      </w:tr>
      <w:tr w:rsidR="00265792" w:rsidRPr="00BA7805" w14:paraId="47502B7D" w14:textId="77777777" w:rsidTr="0051201B">
        <w:trPr>
          <w:cnfStyle w:val="010000000000" w:firstRow="0" w:lastRow="1" w:firstColumn="0" w:lastColumn="0" w:oddVBand="0" w:evenVBand="0" w:oddHBand="0" w:evenHBand="0" w:firstRowFirstColumn="0" w:firstRowLastColumn="0" w:lastRowFirstColumn="0" w:lastRowLastColumn="0"/>
        </w:trPr>
        <w:tc>
          <w:tcPr>
            <w:tcW w:w="6822" w:type="dxa"/>
          </w:tcPr>
          <w:p w14:paraId="09735FF1" w14:textId="77777777" w:rsidR="00265792" w:rsidRPr="00BA7805" w:rsidRDefault="00265792" w:rsidP="00327A89">
            <w:pPr>
              <w:pStyle w:val="ARfintablebodybold"/>
              <w:rPr>
                <w:highlight w:val="green"/>
              </w:rPr>
            </w:pPr>
            <w:r w:rsidRPr="00FB0A00">
              <w:t>Total borrowings</w:t>
            </w:r>
          </w:p>
        </w:tc>
        <w:tc>
          <w:tcPr>
            <w:tcW w:w="1407" w:type="dxa"/>
            <w:shd w:val="clear" w:color="auto" w:fill="EEEEEF" w:themeFill="accent4"/>
            <w:noWrap/>
          </w:tcPr>
          <w:p w14:paraId="2A346723" w14:textId="77777777" w:rsidR="00265792" w:rsidRPr="00BA7805" w:rsidRDefault="00265792" w:rsidP="00327A89">
            <w:pPr>
              <w:pStyle w:val="ARfintablebodyrightbold"/>
              <w:rPr>
                <w:highlight w:val="green"/>
              </w:rPr>
            </w:pPr>
            <w:r w:rsidRPr="00FB0A00">
              <w:t>768.5</w:t>
            </w:r>
          </w:p>
        </w:tc>
        <w:tc>
          <w:tcPr>
            <w:tcW w:w="1408" w:type="dxa"/>
            <w:noWrap/>
          </w:tcPr>
          <w:p w14:paraId="3765613D" w14:textId="77777777" w:rsidR="00265792" w:rsidRPr="00BA7805" w:rsidRDefault="00265792" w:rsidP="00327A89">
            <w:pPr>
              <w:pStyle w:val="ARfintablebodyrightbold"/>
              <w:rPr>
                <w:highlight w:val="green"/>
              </w:rPr>
            </w:pPr>
            <w:r w:rsidRPr="00FB0A00">
              <w:t>537.2</w:t>
            </w:r>
          </w:p>
        </w:tc>
      </w:tr>
    </w:tbl>
    <w:p w14:paraId="69A13B71" w14:textId="77777777" w:rsidR="00265792" w:rsidRDefault="00265792" w:rsidP="00B725C2">
      <w:pPr>
        <w:pStyle w:val="ARfinbodyaftertable"/>
      </w:pPr>
      <w:r w:rsidRPr="0051201B">
        <w:rPr>
          <w:rStyle w:val="Strong"/>
        </w:rPr>
        <w:t>Service concession financial liability</w:t>
      </w:r>
      <w:r>
        <w:t xml:space="preserve"> relates to the Ground Lease Model – public housing renewal program arrangement recognised applying AASB 1059. Interest is charged on the liability and recognised in the interest expense section below. The liability is reduced over the term of the arrangement through quarterly cash payments to the operator. Further information is included in Note 7.5.3 Service concession arrangements.</w:t>
      </w:r>
    </w:p>
    <w:p w14:paraId="69724081" w14:textId="72C08A26" w:rsidR="00265792" w:rsidRDefault="00265792">
      <w:pPr>
        <w:pStyle w:val="ARfinbody"/>
      </w:pPr>
      <w:r w:rsidRPr="0051201B">
        <w:rPr>
          <w:rStyle w:val="Strong"/>
        </w:rPr>
        <w:t>Borrowing</w:t>
      </w:r>
      <w:r w:rsidRPr="002C7359">
        <w:rPr>
          <w:b/>
          <w:bCs/>
        </w:rPr>
        <w:t>s</w:t>
      </w:r>
      <w:r>
        <w:t xml:space="preserve"> are classified as financial instruments. All interest-bearing liabilities are initially recognised at the fair value of the consideration received, less directly attributable transaction costs. The measurement basis </w:t>
      </w:r>
      <w:proofErr w:type="gramStart"/>
      <w:r>
        <w:t>subsequent to</w:t>
      </w:r>
      <w:proofErr w:type="gramEnd"/>
      <w:r>
        <w:t xml:space="preserve"> initial recognition </w:t>
      </w:r>
      <w:r w:rsidRPr="00A54DE5">
        <w:t>depends</w:t>
      </w:r>
      <w:r>
        <w:t xml:space="preserve"> on whether the department has categorised its interest-bearing liabilities as either </w:t>
      </w:r>
      <w:r w:rsidR="00223930">
        <w:t xml:space="preserve">‘financial </w:t>
      </w:r>
      <w:r>
        <w:t>liabilities designated at fair value through profit or loss</w:t>
      </w:r>
      <w:r w:rsidR="00223930">
        <w:t>’</w:t>
      </w:r>
      <w:r>
        <w:t xml:space="preserve">, or financial liabilities at </w:t>
      </w:r>
      <w:r w:rsidR="00223930">
        <w:t>‘</w:t>
      </w:r>
      <w:r>
        <w:t>amortised cost</w:t>
      </w:r>
      <w:r w:rsidR="00223930">
        <w:t>’</w:t>
      </w:r>
      <w:r>
        <w:t>. The classification depends on the nature and purpose of the interest-bearing liabilities. The department determines the classification of interest-bearing liabilities at initial recognition.</w:t>
      </w:r>
    </w:p>
    <w:p w14:paraId="5F2188A0" w14:textId="77777777" w:rsidR="00265792" w:rsidRDefault="00265792" w:rsidP="00B725C2">
      <w:pPr>
        <w:pStyle w:val="ARfinbody"/>
      </w:pPr>
      <w:r w:rsidRPr="0051201B">
        <w:rPr>
          <w:rStyle w:val="Strong"/>
        </w:rPr>
        <w:t>Defaults and breaches</w:t>
      </w:r>
      <w:r>
        <w:t>: During the current and previous financial year, there were no defaults or breaches of required conditions in relation to any of the borrowings.</w:t>
      </w:r>
    </w:p>
    <w:p w14:paraId="24835451" w14:textId="77777777" w:rsidR="00265792" w:rsidRDefault="00265792">
      <w:pPr>
        <w:pStyle w:val="ARfinbodylargespace"/>
      </w:pPr>
      <w:r w:rsidRPr="0051201B">
        <w:rPr>
          <w:rStyle w:val="Strong"/>
        </w:rPr>
        <w:t>Advances from Victorian Government</w:t>
      </w:r>
      <w:r>
        <w:t xml:space="preserve"> are advances from the Department of Treasury and Finance. These advances are non-interest bearing.</w:t>
      </w:r>
      <w:r>
        <w:br w:type="page"/>
      </w:r>
    </w:p>
    <w:p w14:paraId="5D467A5F" w14:textId="77777777" w:rsidR="00265792" w:rsidRPr="00FB4CC1" w:rsidRDefault="00265792" w:rsidP="002542E1">
      <w:pPr>
        <w:pStyle w:val="Heading4"/>
      </w:pPr>
      <w:r w:rsidRPr="00FB4CC1">
        <w:lastRenderedPageBreak/>
        <w:t>7.2 Maturity analysis of borrowings</w:t>
      </w:r>
    </w:p>
    <w:tbl>
      <w:tblPr>
        <w:tblStyle w:val="TableGrid"/>
        <w:tblW w:w="9637" w:type="dxa"/>
        <w:tblLayout w:type="fixed"/>
        <w:tblLook w:val="06E0" w:firstRow="1" w:lastRow="1" w:firstColumn="1" w:lastColumn="0" w:noHBand="1" w:noVBand="1"/>
      </w:tblPr>
      <w:tblGrid>
        <w:gridCol w:w="2495"/>
        <w:gridCol w:w="1021"/>
        <w:gridCol w:w="1021"/>
        <w:gridCol w:w="1020"/>
        <w:gridCol w:w="1020"/>
        <w:gridCol w:w="1020"/>
        <w:gridCol w:w="1020"/>
        <w:gridCol w:w="1020"/>
      </w:tblGrid>
      <w:tr w:rsidR="00265792" w:rsidRPr="00BA7805" w14:paraId="559E564C" w14:textId="77777777" w:rsidTr="0051201B">
        <w:trPr>
          <w:cnfStyle w:val="100000000000" w:firstRow="1" w:lastRow="0" w:firstColumn="0" w:lastColumn="0" w:oddVBand="0" w:evenVBand="0" w:oddHBand="0" w:evenHBand="0" w:firstRowFirstColumn="0" w:firstRowLastColumn="0" w:lastRowFirstColumn="0" w:lastRowLastColumn="0"/>
          <w:trHeight w:val="255"/>
          <w:tblHeader/>
        </w:trPr>
        <w:tc>
          <w:tcPr>
            <w:tcW w:w="2495" w:type="dxa"/>
            <w:vMerge w:val="restart"/>
            <w:tcBorders>
              <w:top w:val="nil"/>
            </w:tcBorders>
            <w:noWrap/>
            <w:hideMark/>
          </w:tcPr>
          <w:p w14:paraId="73D16B45" w14:textId="77777777" w:rsidR="00265792" w:rsidRPr="00BA7805" w:rsidRDefault="00265792">
            <w:pPr>
              <w:pStyle w:val="ARfintablecolhead"/>
              <w:rPr>
                <w:highlight w:val="green"/>
              </w:rPr>
            </w:pPr>
          </w:p>
        </w:tc>
        <w:tc>
          <w:tcPr>
            <w:tcW w:w="1021" w:type="dxa"/>
            <w:vMerge w:val="restart"/>
            <w:tcBorders>
              <w:top w:val="nil"/>
            </w:tcBorders>
            <w:shd w:val="clear" w:color="auto" w:fill="EEEEEF" w:themeFill="accent4"/>
            <w:noWrap/>
            <w:hideMark/>
          </w:tcPr>
          <w:p w14:paraId="440D3153" w14:textId="77777777" w:rsidR="00265792" w:rsidRPr="00FB4CC1" w:rsidRDefault="00265792" w:rsidP="004D25D7">
            <w:pPr>
              <w:pStyle w:val="ARfintablecolheadright"/>
              <w:ind w:right="0"/>
            </w:pPr>
            <w:r w:rsidRPr="00FB4CC1">
              <w:t>Carrying amount</w:t>
            </w:r>
          </w:p>
          <w:p w14:paraId="492A0F59" w14:textId="77777777" w:rsidR="00265792" w:rsidRPr="00FB4CC1" w:rsidRDefault="00265792" w:rsidP="004D25D7">
            <w:pPr>
              <w:pStyle w:val="ARfintablecolheadright"/>
              <w:ind w:right="0"/>
            </w:pPr>
            <w:r w:rsidRPr="00FB4CC1">
              <w:t>$M</w:t>
            </w:r>
          </w:p>
        </w:tc>
        <w:tc>
          <w:tcPr>
            <w:tcW w:w="1021" w:type="dxa"/>
            <w:vMerge w:val="restart"/>
            <w:tcBorders>
              <w:top w:val="nil"/>
            </w:tcBorders>
            <w:noWrap/>
            <w:hideMark/>
          </w:tcPr>
          <w:p w14:paraId="6D9BAD22" w14:textId="77777777" w:rsidR="00265792" w:rsidRPr="00FB4CC1" w:rsidRDefault="00265792" w:rsidP="004D25D7">
            <w:pPr>
              <w:pStyle w:val="ARfintablecolheadright"/>
              <w:ind w:right="0"/>
            </w:pPr>
            <w:r w:rsidRPr="00FB4CC1">
              <w:t>Nominal amount</w:t>
            </w:r>
          </w:p>
          <w:p w14:paraId="084DEF76" w14:textId="77777777" w:rsidR="00265792" w:rsidRPr="00FB4CC1" w:rsidRDefault="00265792" w:rsidP="004D25D7">
            <w:pPr>
              <w:pStyle w:val="ARfintablecolheadright"/>
              <w:ind w:right="0"/>
            </w:pPr>
            <w:r w:rsidRPr="00FB4CC1">
              <w:t>$M</w:t>
            </w:r>
          </w:p>
        </w:tc>
        <w:tc>
          <w:tcPr>
            <w:tcW w:w="5100" w:type="dxa"/>
            <w:gridSpan w:val="5"/>
            <w:tcBorders>
              <w:top w:val="nil"/>
            </w:tcBorders>
            <w:shd w:val="clear" w:color="auto" w:fill="EEEEEF" w:themeFill="accent4"/>
            <w:noWrap/>
            <w:hideMark/>
          </w:tcPr>
          <w:p w14:paraId="30E829F4" w14:textId="77777777" w:rsidR="00265792" w:rsidRPr="00FB4CC1" w:rsidRDefault="00265792">
            <w:pPr>
              <w:pStyle w:val="ARfintablecolheadcentre"/>
            </w:pPr>
            <w:r w:rsidRPr="00FB4CC1">
              <w:t>Maturity dates</w:t>
            </w:r>
          </w:p>
        </w:tc>
      </w:tr>
      <w:tr w:rsidR="00265792" w:rsidRPr="00BA7805" w14:paraId="19FD43AB" w14:textId="77777777" w:rsidTr="0051201B">
        <w:trPr>
          <w:cnfStyle w:val="100000000000" w:firstRow="1" w:lastRow="0" w:firstColumn="0" w:lastColumn="0" w:oddVBand="0" w:evenVBand="0" w:oddHBand="0" w:evenHBand="0" w:firstRowFirstColumn="0" w:firstRowLastColumn="0" w:lastRowFirstColumn="0" w:lastRowLastColumn="0"/>
          <w:trHeight w:val="255"/>
          <w:tblHeader/>
        </w:trPr>
        <w:tc>
          <w:tcPr>
            <w:tcW w:w="2495" w:type="dxa"/>
            <w:vMerge/>
            <w:tcBorders>
              <w:top w:val="single" w:sz="4" w:space="0" w:color="000000" w:themeColor="text1"/>
            </w:tcBorders>
            <w:hideMark/>
          </w:tcPr>
          <w:p w14:paraId="36618796" w14:textId="77777777" w:rsidR="00265792" w:rsidRPr="00BA7805" w:rsidRDefault="00265792">
            <w:pPr>
              <w:pStyle w:val="ARfintablecolhead"/>
              <w:rPr>
                <w:highlight w:val="green"/>
              </w:rPr>
            </w:pPr>
          </w:p>
        </w:tc>
        <w:tc>
          <w:tcPr>
            <w:tcW w:w="1021" w:type="dxa"/>
            <w:vMerge/>
            <w:tcBorders>
              <w:top w:val="single" w:sz="4" w:space="0" w:color="000000" w:themeColor="text1"/>
            </w:tcBorders>
            <w:shd w:val="clear" w:color="auto" w:fill="EEEEEF" w:themeFill="accent4"/>
            <w:hideMark/>
          </w:tcPr>
          <w:p w14:paraId="569B677F" w14:textId="77777777" w:rsidR="00265792" w:rsidRPr="00FB4CC1" w:rsidRDefault="00265792">
            <w:pPr>
              <w:pStyle w:val="ARfintablecolheadright"/>
              <w:ind w:right="0"/>
            </w:pPr>
          </w:p>
        </w:tc>
        <w:tc>
          <w:tcPr>
            <w:tcW w:w="1021" w:type="dxa"/>
            <w:vMerge/>
            <w:tcBorders>
              <w:top w:val="single" w:sz="4" w:space="0" w:color="000000" w:themeColor="text1"/>
            </w:tcBorders>
            <w:hideMark/>
          </w:tcPr>
          <w:p w14:paraId="22DE6375" w14:textId="77777777" w:rsidR="00265792" w:rsidRPr="00FB4CC1" w:rsidRDefault="00265792">
            <w:pPr>
              <w:pStyle w:val="ARfintablecolheadright"/>
              <w:ind w:right="0"/>
            </w:pPr>
          </w:p>
        </w:tc>
        <w:tc>
          <w:tcPr>
            <w:tcW w:w="1020" w:type="dxa"/>
            <w:tcBorders>
              <w:top w:val="single" w:sz="4" w:space="0" w:color="000000" w:themeColor="text1"/>
            </w:tcBorders>
            <w:shd w:val="clear" w:color="auto" w:fill="EEEEEF" w:themeFill="accent4"/>
            <w:hideMark/>
          </w:tcPr>
          <w:p w14:paraId="489A3DB2" w14:textId="77777777" w:rsidR="00265792" w:rsidRPr="006149D0" w:rsidRDefault="00265792" w:rsidP="00832274">
            <w:pPr>
              <w:pStyle w:val="ARfintablecolheadright"/>
            </w:pPr>
            <w:r w:rsidRPr="006149D0">
              <w:t>Less than 1 month</w:t>
            </w:r>
          </w:p>
          <w:p w14:paraId="603DA65C" w14:textId="77777777" w:rsidR="00265792" w:rsidRPr="006149D0" w:rsidRDefault="00265792" w:rsidP="00832274">
            <w:pPr>
              <w:pStyle w:val="ARfintablecolheadright"/>
            </w:pPr>
            <w:r w:rsidRPr="006149D0">
              <w:t>$M</w:t>
            </w:r>
          </w:p>
        </w:tc>
        <w:tc>
          <w:tcPr>
            <w:tcW w:w="1020" w:type="dxa"/>
            <w:tcBorders>
              <w:top w:val="single" w:sz="4" w:space="0" w:color="000000" w:themeColor="text1"/>
            </w:tcBorders>
            <w:shd w:val="clear" w:color="auto" w:fill="EEEEEF" w:themeFill="accent4"/>
            <w:hideMark/>
          </w:tcPr>
          <w:p w14:paraId="38240950" w14:textId="77777777" w:rsidR="00265792" w:rsidRPr="006149D0" w:rsidRDefault="00265792" w:rsidP="00832274">
            <w:pPr>
              <w:pStyle w:val="ARfintablecolheadright"/>
            </w:pPr>
            <w:r w:rsidRPr="006149D0">
              <w:t>1–3 months</w:t>
            </w:r>
          </w:p>
          <w:p w14:paraId="59861F7F" w14:textId="77777777" w:rsidR="00265792" w:rsidRPr="006149D0" w:rsidRDefault="00265792" w:rsidP="00832274">
            <w:pPr>
              <w:pStyle w:val="ARfintablecolheadright"/>
            </w:pPr>
            <w:r w:rsidRPr="006149D0">
              <w:t>$M</w:t>
            </w:r>
          </w:p>
        </w:tc>
        <w:tc>
          <w:tcPr>
            <w:tcW w:w="1020" w:type="dxa"/>
            <w:tcBorders>
              <w:top w:val="single" w:sz="4" w:space="0" w:color="000000" w:themeColor="text1"/>
            </w:tcBorders>
            <w:shd w:val="clear" w:color="auto" w:fill="EEEEEF" w:themeFill="accent4"/>
            <w:hideMark/>
          </w:tcPr>
          <w:p w14:paraId="09733863" w14:textId="6AEAD2B6" w:rsidR="00265792" w:rsidRPr="006149D0" w:rsidRDefault="00265792" w:rsidP="00832274">
            <w:pPr>
              <w:pStyle w:val="ARfintablecolheadright"/>
            </w:pPr>
            <w:r w:rsidRPr="006149D0">
              <w:t>3 months–1 year</w:t>
            </w:r>
          </w:p>
          <w:p w14:paraId="2446DB00" w14:textId="77777777" w:rsidR="00265792" w:rsidRPr="006149D0" w:rsidRDefault="00265792" w:rsidP="00832274">
            <w:pPr>
              <w:pStyle w:val="ARfintablecolheadright"/>
            </w:pPr>
            <w:r w:rsidRPr="006149D0">
              <w:t>$M</w:t>
            </w:r>
          </w:p>
        </w:tc>
        <w:tc>
          <w:tcPr>
            <w:tcW w:w="1020" w:type="dxa"/>
            <w:tcBorders>
              <w:top w:val="single" w:sz="4" w:space="0" w:color="000000" w:themeColor="text1"/>
            </w:tcBorders>
            <w:shd w:val="clear" w:color="auto" w:fill="EEEEEF" w:themeFill="accent4"/>
            <w:hideMark/>
          </w:tcPr>
          <w:p w14:paraId="4D4C48D8" w14:textId="77777777" w:rsidR="00265792" w:rsidRPr="006149D0" w:rsidRDefault="00265792" w:rsidP="00832274">
            <w:pPr>
              <w:pStyle w:val="ARfintablecolheadright"/>
            </w:pPr>
            <w:r w:rsidRPr="006149D0">
              <w:t>1–5 years</w:t>
            </w:r>
          </w:p>
          <w:p w14:paraId="02936901" w14:textId="77777777" w:rsidR="00265792" w:rsidRPr="006149D0" w:rsidRDefault="00265792" w:rsidP="00832274">
            <w:pPr>
              <w:pStyle w:val="ARfintablecolheadright"/>
            </w:pPr>
            <w:r w:rsidRPr="006149D0">
              <w:t>$M</w:t>
            </w:r>
          </w:p>
        </w:tc>
        <w:tc>
          <w:tcPr>
            <w:tcW w:w="1020" w:type="dxa"/>
            <w:tcBorders>
              <w:top w:val="single" w:sz="4" w:space="0" w:color="000000" w:themeColor="text1"/>
            </w:tcBorders>
            <w:shd w:val="clear" w:color="auto" w:fill="EEEEEF" w:themeFill="accent4"/>
            <w:hideMark/>
          </w:tcPr>
          <w:p w14:paraId="6C2FF95E" w14:textId="77777777" w:rsidR="00265792" w:rsidRPr="006149D0" w:rsidRDefault="00265792" w:rsidP="00832274">
            <w:pPr>
              <w:pStyle w:val="ARfintablecolheadright"/>
            </w:pPr>
            <w:r w:rsidRPr="006149D0">
              <w:t>5+ years</w:t>
            </w:r>
          </w:p>
          <w:p w14:paraId="077E7939" w14:textId="77777777" w:rsidR="00265792" w:rsidRPr="006149D0" w:rsidRDefault="00265792" w:rsidP="00832274">
            <w:pPr>
              <w:pStyle w:val="ARfintablecolheadright"/>
            </w:pPr>
            <w:r w:rsidRPr="006149D0">
              <w:t>$M</w:t>
            </w:r>
          </w:p>
        </w:tc>
      </w:tr>
      <w:tr w:rsidR="00265792" w:rsidRPr="00BA7805" w14:paraId="134CF338" w14:textId="77777777" w:rsidTr="0051201B">
        <w:trPr>
          <w:trHeight w:val="255"/>
        </w:trPr>
        <w:tc>
          <w:tcPr>
            <w:tcW w:w="2495" w:type="dxa"/>
            <w:tcBorders>
              <w:top w:val="single" w:sz="4" w:space="0" w:color="000000" w:themeColor="text1"/>
              <w:bottom w:val="single" w:sz="4" w:space="0" w:color="A6A6A6" w:themeColor="accent5"/>
            </w:tcBorders>
          </w:tcPr>
          <w:p w14:paraId="2419C74C" w14:textId="77777777" w:rsidR="00265792" w:rsidRPr="00CB53BD" w:rsidRDefault="00265792" w:rsidP="0051201B">
            <w:pPr>
              <w:pStyle w:val="ARfintablebodybold"/>
            </w:pPr>
            <w:r>
              <w:t>2025</w:t>
            </w:r>
          </w:p>
        </w:tc>
        <w:tc>
          <w:tcPr>
            <w:tcW w:w="1021" w:type="dxa"/>
            <w:tcBorders>
              <w:top w:val="single" w:sz="4" w:space="0" w:color="000000" w:themeColor="text1"/>
              <w:bottom w:val="single" w:sz="4" w:space="0" w:color="A6A6A6" w:themeColor="accent5"/>
            </w:tcBorders>
            <w:noWrap/>
          </w:tcPr>
          <w:p w14:paraId="0BFF6FBA" w14:textId="77777777" w:rsidR="00265792" w:rsidRPr="00CB53BD" w:rsidRDefault="00265792" w:rsidP="008261B3">
            <w:pPr>
              <w:pStyle w:val="ARfintablebodyright"/>
            </w:pPr>
          </w:p>
        </w:tc>
        <w:tc>
          <w:tcPr>
            <w:tcW w:w="1021" w:type="dxa"/>
            <w:tcBorders>
              <w:top w:val="single" w:sz="4" w:space="0" w:color="000000" w:themeColor="text1"/>
              <w:bottom w:val="single" w:sz="4" w:space="0" w:color="A6A6A6" w:themeColor="accent5"/>
            </w:tcBorders>
            <w:noWrap/>
          </w:tcPr>
          <w:p w14:paraId="616DE020" w14:textId="77777777" w:rsidR="00265792" w:rsidRPr="00CB53BD" w:rsidRDefault="00265792" w:rsidP="008261B3">
            <w:pPr>
              <w:pStyle w:val="ARfintablebodyright"/>
            </w:pPr>
          </w:p>
        </w:tc>
        <w:tc>
          <w:tcPr>
            <w:tcW w:w="1020" w:type="dxa"/>
            <w:tcBorders>
              <w:top w:val="single" w:sz="4" w:space="0" w:color="000000" w:themeColor="text1"/>
              <w:bottom w:val="single" w:sz="4" w:space="0" w:color="A6A6A6" w:themeColor="accent5"/>
            </w:tcBorders>
            <w:noWrap/>
          </w:tcPr>
          <w:p w14:paraId="4F3C163F" w14:textId="77777777" w:rsidR="00265792" w:rsidRPr="00CB53BD" w:rsidRDefault="00265792" w:rsidP="008261B3">
            <w:pPr>
              <w:pStyle w:val="ARfintablebodyright"/>
            </w:pPr>
          </w:p>
        </w:tc>
        <w:tc>
          <w:tcPr>
            <w:tcW w:w="1020" w:type="dxa"/>
            <w:tcBorders>
              <w:top w:val="single" w:sz="4" w:space="0" w:color="000000" w:themeColor="text1"/>
              <w:bottom w:val="single" w:sz="4" w:space="0" w:color="A6A6A6" w:themeColor="accent5"/>
            </w:tcBorders>
            <w:noWrap/>
          </w:tcPr>
          <w:p w14:paraId="4F2E5AEF" w14:textId="77777777" w:rsidR="00265792" w:rsidRPr="00CB53BD" w:rsidRDefault="00265792" w:rsidP="008261B3">
            <w:pPr>
              <w:pStyle w:val="ARfintablebodyright"/>
            </w:pPr>
          </w:p>
        </w:tc>
        <w:tc>
          <w:tcPr>
            <w:tcW w:w="1020" w:type="dxa"/>
            <w:tcBorders>
              <w:top w:val="single" w:sz="4" w:space="0" w:color="000000" w:themeColor="text1"/>
              <w:bottom w:val="single" w:sz="4" w:space="0" w:color="A6A6A6" w:themeColor="accent5"/>
            </w:tcBorders>
            <w:noWrap/>
          </w:tcPr>
          <w:p w14:paraId="406359D1" w14:textId="77777777" w:rsidR="00265792" w:rsidRPr="00CB53BD" w:rsidRDefault="00265792" w:rsidP="008261B3">
            <w:pPr>
              <w:pStyle w:val="ARfintablebodyright"/>
            </w:pPr>
          </w:p>
        </w:tc>
        <w:tc>
          <w:tcPr>
            <w:tcW w:w="1020" w:type="dxa"/>
            <w:tcBorders>
              <w:top w:val="single" w:sz="4" w:space="0" w:color="000000" w:themeColor="text1"/>
              <w:bottom w:val="single" w:sz="4" w:space="0" w:color="A6A6A6" w:themeColor="accent5"/>
            </w:tcBorders>
            <w:noWrap/>
          </w:tcPr>
          <w:p w14:paraId="3E797C58" w14:textId="77777777" w:rsidR="00265792" w:rsidRPr="00CB53BD" w:rsidRDefault="00265792" w:rsidP="008261B3">
            <w:pPr>
              <w:pStyle w:val="ARfintablebodyright"/>
            </w:pPr>
          </w:p>
        </w:tc>
        <w:tc>
          <w:tcPr>
            <w:tcW w:w="1020" w:type="dxa"/>
            <w:tcBorders>
              <w:top w:val="single" w:sz="4" w:space="0" w:color="000000" w:themeColor="text1"/>
              <w:bottom w:val="single" w:sz="4" w:space="0" w:color="A6A6A6" w:themeColor="accent5"/>
            </w:tcBorders>
            <w:noWrap/>
          </w:tcPr>
          <w:p w14:paraId="55A41881" w14:textId="77777777" w:rsidR="00265792" w:rsidRPr="00CB53BD" w:rsidRDefault="00265792" w:rsidP="008261B3">
            <w:pPr>
              <w:pStyle w:val="ARfintablebodyright"/>
            </w:pPr>
          </w:p>
        </w:tc>
      </w:tr>
      <w:tr w:rsidR="00265792" w:rsidRPr="00BA7805" w14:paraId="2CC43DF6" w14:textId="77777777" w:rsidTr="0051201B">
        <w:trPr>
          <w:trHeight w:val="255"/>
        </w:trPr>
        <w:tc>
          <w:tcPr>
            <w:tcW w:w="2495" w:type="dxa"/>
            <w:tcBorders>
              <w:top w:val="single" w:sz="4" w:space="0" w:color="A6A6A6" w:themeColor="accent5"/>
            </w:tcBorders>
          </w:tcPr>
          <w:p w14:paraId="0A1B6378" w14:textId="77777777" w:rsidR="00265792" w:rsidRPr="00BA7805" w:rsidRDefault="00265792" w:rsidP="008261B3">
            <w:pPr>
              <w:pStyle w:val="ARfintablebody"/>
              <w:rPr>
                <w:highlight w:val="green"/>
              </w:rPr>
            </w:pPr>
            <w:r w:rsidRPr="00CB53BD">
              <w:t>Advances from Victorian Government</w:t>
            </w:r>
          </w:p>
        </w:tc>
        <w:tc>
          <w:tcPr>
            <w:tcW w:w="1021" w:type="dxa"/>
            <w:tcBorders>
              <w:top w:val="single" w:sz="4" w:space="0" w:color="A6A6A6" w:themeColor="accent5"/>
            </w:tcBorders>
            <w:shd w:val="clear" w:color="auto" w:fill="EEEEEF" w:themeFill="accent4"/>
            <w:noWrap/>
          </w:tcPr>
          <w:p w14:paraId="57C3A7F1" w14:textId="77777777" w:rsidR="00265792" w:rsidRPr="00BA7805" w:rsidRDefault="00265792" w:rsidP="008261B3">
            <w:pPr>
              <w:pStyle w:val="ARfintablebodyright"/>
              <w:rPr>
                <w:highlight w:val="green"/>
              </w:rPr>
            </w:pPr>
            <w:r w:rsidRPr="00CB53BD">
              <w:t>162.3</w:t>
            </w:r>
          </w:p>
        </w:tc>
        <w:tc>
          <w:tcPr>
            <w:tcW w:w="1021" w:type="dxa"/>
            <w:tcBorders>
              <w:top w:val="single" w:sz="4" w:space="0" w:color="A6A6A6" w:themeColor="accent5"/>
            </w:tcBorders>
            <w:noWrap/>
          </w:tcPr>
          <w:p w14:paraId="080EAEFB" w14:textId="77777777" w:rsidR="00265792" w:rsidRPr="00BA7805" w:rsidRDefault="00265792" w:rsidP="008261B3">
            <w:pPr>
              <w:pStyle w:val="ARfintablebodyright"/>
              <w:rPr>
                <w:highlight w:val="green"/>
              </w:rPr>
            </w:pPr>
            <w:r w:rsidRPr="00CB53BD">
              <w:t>162.3</w:t>
            </w:r>
          </w:p>
        </w:tc>
        <w:tc>
          <w:tcPr>
            <w:tcW w:w="1020" w:type="dxa"/>
            <w:tcBorders>
              <w:top w:val="single" w:sz="4" w:space="0" w:color="A6A6A6" w:themeColor="accent5"/>
            </w:tcBorders>
            <w:shd w:val="clear" w:color="auto" w:fill="EEEEEF" w:themeFill="accent4"/>
            <w:noWrap/>
          </w:tcPr>
          <w:p w14:paraId="365B9246" w14:textId="77777777" w:rsidR="00265792" w:rsidRPr="00BA7805" w:rsidRDefault="00265792" w:rsidP="008261B3">
            <w:pPr>
              <w:pStyle w:val="ARfintablebodyright"/>
              <w:rPr>
                <w:highlight w:val="green"/>
              </w:rPr>
            </w:pPr>
            <w:r w:rsidRPr="00CB53BD">
              <w:t>31.5</w:t>
            </w:r>
          </w:p>
        </w:tc>
        <w:tc>
          <w:tcPr>
            <w:tcW w:w="1020" w:type="dxa"/>
            <w:tcBorders>
              <w:top w:val="single" w:sz="4" w:space="0" w:color="A6A6A6" w:themeColor="accent5"/>
            </w:tcBorders>
            <w:shd w:val="clear" w:color="auto" w:fill="EEEEEF" w:themeFill="accent4"/>
            <w:noWrap/>
          </w:tcPr>
          <w:p w14:paraId="72075F05" w14:textId="77777777" w:rsidR="00265792" w:rsidRPr="00BA7805" w:rsidRDefault="00265792" w:rsidP="008261B3">
            <w:pPr>
              <w:pStyle w:val="ARfintablebodyright"/>
              <w:rPr>
                <w:highlight w:val="green"/>
              </w:rPr>
            </w:pPr>
            <w:r>
              <w:t>–</w:t>
            </w:r>
          </w:p>
        </w:tc>
        <w:tc>
          <w:tcPr>
            <w:tcW w:w="1020" w:type="dxa"/>
            <w:tcBorders>
              <w:top w:val="single" w:sz="4" w:space="0" w:color="A6A6A6" w:themeColor="accent5"/>
            </w:tcBorders>
            <w:shd w:val="clear" w:color="auto" w:fill="EEEEEF" w:themeFill="accent4"/>
            <w:noWrap/>
          </w:tcPr>
          <w:p w14:paraId="1FD5299F" w14:textId="77777777" w:rsidR="00265792" w:rsidRPr="00BA7805" w:rsidRDefault="00265792" w:rsidP="008261B3">
            <w:pPr>
              <w:pStyle w:val="ARfintablebodyright"/>
              <w:rPr>
                <w:highlight w:val="green"/>
              </w:rPr>
            </w:pPr>
            <w:r w:rsidRPr="00CB53BD">
              <w:t>1.0</w:t>
            </w:r>
          </w:p>
        </w:tc>
        <w:tc>
          <w:tcPr>
            <w:tcW w:w="1020" w:type="dxa"/>
            <w:tcBorders>
              <w:top w:val="single" w:sz="4" w:space="0" w:color="A6A6A6" w:themeColor="accent5"/>
            </w:tcBorders>
            <w:shd w:val="clear" w:color="auto" w:fill="EEEEEF" w:themeFill="accent4"/>
            <w:noWrap/>
          </w:tcPr>
          <w:p w14:paraId="4FAA7454" w14:textId="77777777" w:rsidR="00265792" w:rsidRPr="00BA7805" w:rsidRDefault="00265792" w:rsidP="008261B3">
            <w:pPr>
              <w:pStyle w:val="ARfintablebodyright"/>
              <w:rPr>
                <w:highlight w:val="green"/>
              </w:rPr>
            </w:pPr>
            <w:r w:rsidRPr="00CB53BD">
              <w:t>129.8</w:t>
            </w:r>
          </w:p>
        </w:tc>
        <w:tc>
          <w:tcPr>
            <w:tcW w:w="1020" w:type="dxa"/>
            <w:tcBorders>
              <w:top w:val="single" w:sz="4" w:space="0" w:color="A6A6A6" w:themeColor="accent5"/>
            </w:tcBorders>
            <w:shd w:val="clear" w:color="auto" w:fill="EEEEEF" w:themeFill="accent4"/>
            <w:noWrap/>
          </w:tcPr>
          <w:p w14:paraId="593DA3DD" w14:textId="77777777" w:rsidR="00265792" w:rsidRPr="00BA7805" w:rsidRDefault="00265792" w:rsidP="008261B3">
            <w:pPr>
              <w:pStyle w:val="ARfintablebodyright"/>
              <w:rPr>
                <w:highlight w:val="green"/>
              </w:rPr>
            </w:pPr>
            <w:r>
              <w:t>–</w:t>
            </w:r>
          </w:p>
        </w:tc>
      </w:tr>
      <w:tr w:rsidR="00265792" w:rsidRPr="00BA7805" w14:paraId="3B593D96" w14:textId="77777777" w:rsidTr="0051201B">
        <w:trPr>
          <w:trHeight w:val="255"/>
        </w:trPr>
        <w:tc>
          <w:tcPr>
            <w:tcW w:w="2495" w:type="dxa"/>
            <w:tcBorders>
              <w:bottom w:val="single" w:sz="4" w:space="0" w:color="A6A6A6" w:themeColor="accent5"/>
            </w:tcBorders>
          </w:tcPr>
          <w:p w14:paraId="7F89D6B0" w14:textId="77777777" w:rsidR="00265792" w:rsidRPr="00BA7805" w:rsidRDefault="00265792" w:rsidP="008261B3">
            <w:pPr>
              <w:pStyle w:val="ARfintablebody"/>
              <w:rPr>
                <w:highlight w:val="green"/>
              </w:rPr>
            </w:pPr>
            <w:r w:rsidRPr="00CB53BD">
              <w:t>Service concession financial</w:t>
            </w:r>
            <w:r>
              <w:t> </w:t>
            </w:r>
            <w:r w:rsidRPr="00CB53BD">
              <w:t>liability</w:t>
            </w:r>
          </w:p>
        </w:tc>
        <w:tc>
          <w:tcPr>
            <w:tcW w:w="1021" w:type="dxa"/>
            <w:tcBorders>
              <w:bottom w:val="single" w:sz="4" w:space="0" w:color="A6A6A6" w:themeColor="accent5"/>
            </w:tcBorders>
            <w:shd w:val="clear" w:color="auto" w:fill="EEEEEF" w:themeFill="accent4"/>
            <w:noWrap/>
          </w:tcPr>
          <w:p w14:paraId="65FE1359" w14:textId="77777777" w:rsidR="00265792" w:rsidRPr="00BA7805" w:rsidRDefault="00265792" w:rsidP="008261B3">
            <w:pPr>
              <w:pStyle w:val="ARfintablebodyright"/>
              <w:rPr>
                <w:highlight w:val="green"/>
              </w:rPr>
            </w:pPr>
            <w:r w:rsidRPr="00CB53BD">
              <w:t>527.2</w:t>
            </w:r>
          </w:p>
        </w:tc>
        <w:tc>
          <w:tcPr>
            <w:tcW w:w="1021" w:type="dxa"/>
            <w:tcBorders>
              <w:bottom w:val="single" w:sz="4" w:space="0" w:color="A6A6A6" w:themeColor="accent5"/>
            </w:tcBorders>
            <w:noWrap/>
          </w:tcPr>
          <w:p w14:paraId="5F392F72" w14:textId="77777777" w:rsidR="00265792" w:rsidRPr="00BA7805" w:rsidRDefault="00265792" w:rsidP="008261B3">
            <w:pPr>
              <w:pStyle w:val="ARfintablebodyright"/>
              <w:rPr>
                <w:highlight w:val="green"/>
              </w:rPr>
            </w:pPr>
            <w:r w:rsidRPr="00CB53BD">
              <w:t>701.9</w:t>
            </w:r>
          </w:p>
        </w:tc>
        <w:tc>
          <w:tcPr>
            <w:tcW w:w="1020" w:type="dxa"/>
            <w:tcBorders>
              <w:bottom w:val="single" w:sz="4" w:space="0" w:color="A6A6A6" w:themeColor="accent5"/>
            </w:tcBorders>
            <w:shd w:val="clear" w:color="auto" w:fill="EEEEEF" w:themeFill="accent4"/>
            <w:noWrap/>
          </w:tcPr>
          <w:p w14:paraId="2FDE1AC2" w14:textId="77777777" w:rsidR="00265792" w:rsidRPr="00BA7805" w:rsidRDefault="00265792" w:rsidP="008261B3">
            <w:pPr>
              <w:pStyle w:val="ARfintablebodyright"/>
              <w:rPr>
                <w:highlight w:val="green"/>
              </w:rPr>
            </w:pPr>
            <w:r>
              <w:t>–</w:t>
            </w:r>
          </w:p>
        </w:tc>
        <w:tc>
          <w:tcPr>
            <w:tcW w:w="1020" w:type="dxa"/>
            <w:tcBorders>
              <w:bottom w:val="single" w:sz="4" w:space="0" w:color="A6A6A6" w:themeColor="accent5"/>
            </w:tcBorders>
            <w:shd w:val="clear" w:color="auto" w:fill="EEEEEF" w:themeFill="accent4"/>
            <w:noWrap/>
          </w:tcPr>
          <w:p w14:paraId="76B53EFE" w14:textId="77777777" w:rsidR="00265792" w:rsidRPr="00BA7805" w:rsidRDefault="00265792" w:rsidP="008261B3">
            <w:pPr>
              <w:pStyle w:val="ARfintablebodyright"/>
              <w:rPr>
                <w:highlight w:val="green"/>
              </w:rPr>
            </w:pPr>
            <w:r w:rsidRPr="00CB53BD">
              <w:t>0.5</w:t>
            </w:r>
          </w:p>
        </w:tc>
        <w:tc>
          <w:tcPr>
            <w:tcW w:w="1020" w:type="dxa"/>
            <w:tcBorders>
              <w:bottom w:val="single" w:sz="4" w:space="0" w:color="A6A6A6" w:themeColor="accent5"/>
            </w:tcBorders>
            <w:shd w:val="clear" w:color="auto" w:fill="EEEEEF" w:themeFill="accent4"/>
            <w:noWrap/>
          </w:tcPr>
          <w:p w14:paraId="223E9128" w14:textId="77777777" w:rsidR="00265792" w:rsidRPr="00BA7805" w:rsidRDefault="00265792" w:rsidP="008261B3">
            <w:pPr>
              <w:pStyle w:val="ARfintablebodyright"/>
              <w:rPr>
                <w:highlight w:val="green"/>
              </w:rPr>
            </w:pPr>
            <w:r w:rsidRPr="00CB53BD">
              <w:t>1.5</w:t>
            </w:r>
          </w:p>
        </w:tc>
        <w:tc>
          <w:tcPr>
            <w:tcW w:w="1020" w:type="dxa"/>
            <w:tcBorders>
              <w:bottom w:val="single" w:sz="4" w:space="0" w:color="A6A6A6" w:themeColor="accent5"/>
            </w:tcBorders>
            <w:shd w:val="clear" w:color="auto" w:fill="EEEEEF" w:themeFill="accent4"/>
            <w:noWrap/>
          </w:tcPr>
          <w:p w14:paraId="5553812C" w14:textId="77777777" w:rsidR="00265792" w:rsidRPr="00BA7805" w:rsidRDefault="00265792" w:rsidP="008261B3">
            <w:pPr>
              <w:pStyle w:val="ARfintablebodyright"/>
              <w:rPr>
                <w:highlight w:val="green"/>
              </w:rPr>
            </w:pPr>
            <w:r w:rsidRPr="00CB53BD">
              <w:t>38.0</w:t>
            </w:r>
          </w:p>
        </w:tc>
        <w:tc>
          <w:tcPr>
            <w:tcW w:w="1020" w:type="dxa"/>
            <w:tcBorders>
              <w:bottom w:val="single" w:sz="4" w:space="0" w:color="A6A6A6" w:themeColor="accent5"/>
            </w:tcBorders>
            <w:shd w:val="clear" w:color="auto" w:fill="EEEEEF" w:themeFill="accent4"/>
            <w:noWrap/>
          </w:tcPr>
          <w:p w14:paraId="7F8F666C" w14:textId="77777777" w:rsidR="00265792" w:rsidRPr="00BA7805" w:rsidRDefault="00265792" w:rsidP="008261B3">
            <w:pPr>
              <w:pStyle w:val="ARfintablebodyright"/>
              <w:rPr>
                <w:highlight w:val="green"/>
              </w:rPr>
            </w:pPr>
            <w:r w:rsidRPr="00CB53BD">
              <w:t>661.9</w:t>
            </w:r>
          </w:p>
        </w:tc>
      </w:tr>
      <w:tr w:rsidR="00265792" w:rsidRPr="00BA7805" w14:paraId="305CA364" w14:textId="77777777" w:rsidTr="0051201B">
        <w:trPr>
          <w:trHeight w:val="255"/>
        </w:trPr>
        <w:tc>
          <w:tcPr>
            <w:tcW w:w="2495" w:type="dxa"/>
            <w:tcBorders>
              <w:top w:val="single" w:sz="4" w:space="0" w:color="A6A6A6" w:themeColor="accent5"/>
              <w:bottom w:val="single" w:sz="4" w:space="0" w:color="000000" w:themeColor="text1"/>
            </w:tcBorders>
          </w:tcPr>
          <w:p w14:paraId="699C832C" w14:textId="77777777" w:rsidR="00265792" w:rsidRPr="00BA7805" w:rsidRDefault="00265792" w:rsidP="008261B3">
            <w:pPr>
              <w:pStyle w:val="ARfintablebody"/>
              <w:rPr>
                <w:highlight w:val="green"/>
              </w:rPr>
            </w:pPr>
            <w:r w:rsidRPr="00CB53BD">
              <w:t>Lease liabilities</w:t>
            </w:r>
          </w:p>
        </w:tc>
        <w:tc>
          <w:tcPr>
            <w:tcW w:w="1021" w:type="dxa"/>
            <w:tcBorders>
              <w:top w:val="single" w:sz="4" w:space="0" w:color="A6A6A6" w:themeColor="accent5"/>
              <w:bottom w:val="single" w:sz="4" w:space="0" w:color="000000" w:themeColor="text1"/>
            </w:tcBorders>
            <w:shd w:val="clear" w:color="auto" w:fill="EEEEEF" w:themeFill="accent4"/>
            <w:noWrap/>
          </w:tcPr>
          <w:p w14:paraId="34612D77" w14:textId="77777777" w:rsidR="00265792" w:rsidRPr="00BA7805" w:rsidRDefault="00265792" w:rsidP="008261B3">
            <w:pPr>
              <w:pStyle w:val="ARfintablebodyright"/>
              <w:rPr>
                <w:highlight w:val="green"/>
              </w:rPr>
            </w:pPr>
            <w:r w:rsidRPr="00CB53BD">
              <w:t>79.0</w:t>
            </w:r>
          </w:p>
        </w:tc>
        <w:tc>
          <w:tcPr>
            <w:tcW w:w="1021" w:type="dxa"/>
            <w:tcBorders>
              <w:top w:val="single" w:sz="4" w:space="0" w:color="A6A6A6" w:themeColor="accent5"/>
              <w:bottom w:val="single" w:sz="4" w:space="0" w:color="000000" w:themeColor="text1"/>
            </w:tcBorders>
            <w:noWrap/>
          </w:tcPr>
          <w:p w14:paraId="0F19F916" w14:textId="77777777" w:rsidR="00265792" w:rsidRPr="00BA7805" w:rsidRDefault="00265792" w:rsidP="008261B3">
            <w:pPr>
              <w:pStyle w:val="ARfintablebodyright"/>
              <w:rPr>
                <w:highlight w:val="green"/>
              </w:rPr>
            </w:pPr>
            <w:r w:rsidRPr="00CB53BD">
              <w:t>84.6</w:t>
            </w:r>
          </w:p>
        </w:tc>
        <w:tc>
          <w:tcPr>
            <w:tcW w:w="1020" w:type="dxa"/>
            <w:tcBorders>
              <w:top w:val="single" w:sz="4" w:space="0" w:color="A6A6A6" w:themeColor="accent5"/>
              <w:bottom w:val="single" w:sz="4" w:space="0" w:color="000000" w:themeColor="text1"/>
            </w:tcBorders>
            <w:shd w:val="clear" w:color="auto" w:fill="EEEEEF" w:themeFill="accent4"/>
            <w:noWrap/>
          </w:tcPr>
          <w:p w14:paraId="72758613" w14:textId="77777777" w:rsidR="00265792" w:rsidRPr="00BA7805" w:rsidRDefault="00265792" w:rsidP="008261B3">
            <w:pPr>
              <w:pStyle w:val="ARfintablebodyright"/>
              <w:rPr>
                <w:highlight w:val="green"/>
              </w:rPr>
            </w:pPr>
            <w:r w:rsidRPr="00CB53BD">
              <w:t>5.8</w:t>
            </w:r>
          </w:p>
        </w:tc>
        <w:tc>
          <w:tcPr>
            <w:tcW w:w="1020" w:type="dxa"/>
            <w:tcBorders>
              <w:top w:val="single" w:sz="4" w:space="0" w:color="A6A6A6" w:themeColor="accent5"/>
              <w:bottom w:val="single" w:sz="4" w:space="0" w:color="000000" w:themeColor="text1"/>
            </w:tcBorders>
            <w:shd w:val="clear" w:color="auto" w:fill="EEEEEF" w:themeFill="accent4"/>
            <w:noWrap/>
          </w:tcPr>
          <w:p w14:paraId="21A572E0" w14:textId="77777777" w:rsidR="00265792" w:rsidRPr="00BA7805" w:rsidRDefault="00265792" w:rsidP="008261B3">
            <w:pPr>
              <w:pStyle w:val="ARfintablebodyright"/>
              <w:rPr>
                <w:highlight w:val="green"/>
              </w:rPr>
            </w:pPr>
            <w:r w:rsidRPr="00CB53BD">
              <w:t>5.6</w:t>
            </w:r>
          </w:p>
        </w:tc>
        <w:tc>
          <w:tcPr>
            <w:tcW w:w="1020" w:type="dxa"/>
            <w:tcBorders>
              <w:top w:val="single" w:sz="4" w:space="0" w:color="A6A6A6" w:themeColor="accent5"/>
              <w:bottom w:val="single" w:sz="4" w:space="0" w:color="000000" w:themeColor="text1"/>
            </w:tcBorders>
            <w:shd w:val="clear" w:color="auto" w:fill="EEEEEF" w:themeFill="accent4"/>
            <w:noWrap/>
          </w:tcPr>
          <w:p w14:paraId="6334CB79" w14:textId="77777777" w:rsidR="00265792" w:rsidRPr="00BA7805" w:rsidRDefault="00265792" w:rsidP="008261B3">
            <w:pPr>
              <w:pStyle w:val="ARfintablebodyright"/>
              <w:rPr>
                <w:highlight w:val="green"/>
              </w:rPr>
            </w:pPr>
            <w:r w:rsidRPr="00CB53BD">
              <w:t>26.0</w:t>
            </w:r>
          </w:p>
        </w:tc>
        <w:tc>
          <w:tcPr>
            <w:tcW w:w="1020" w:type="dxa"/>
            <w:tcBorders>
              <w:top w:val="single" w:sz="4" w:space="0" w:color="A6A6A6" w:themeColor="accent5"/>
              <w:bottom w:val="single" w:sz="4" w:space="0" w:color="000000" w:themeColor="text1"/>
            </w:tcBorders>
            <w:shd w:val="clear" w:color="auto" w:fill="EEEEEF" w:themeFill="accent4"/>
            <w:noWrap/>
          </w:tcPr>
          <w:p w14:paraId="7B6EC176" w14:textId="77777777" w:rsidR="00265792" w:rsidRPr="00BA7805" w:rsidRDefault="00265792" w:rsidP="008261B3">
            <w:pPr>
              <w:pStyle w:val="ARfintablebodyright"/>
              <w:rPr>
                <w:highlight w:val="green"/>
              </w:rPr>
            </w:pPr>
            <w:r w:rsidRPr="00CB53BD">
              <w:t>42.8</w:t>
            </w:r>
          </w:p>
        </w:tc>
        <w:tc>
          <w:tcPr>
            <w:tcW w:w="1020" w:type="dxa"/>
            <w:tcBorders>
              <w:top w:val="single" w:sz="4" w:space="0" w:color="A6A6A6" w:themeColor="accent5"/>
              <w:bottom w:val="single" w:sz="4" w:space="0" w:color="000000" w:themeColor="text1"/>
            </w:tcBorders>
            <w:shd w:val="clear" w:color="auto" w:fill="EEEEEF" w:themeFill="accent4"/>
            <w:noWrap/>
          </w:tcPr>
          <w:p w14:paraId="6300CA45" w14:textId="77777777" w:rsidR="00265792" w:rsidRPr="00BA7805" w:rsidRDefault="00265792" w:rsidP="008261B3">
            <w:pPr>
              <w:pStyle w:val="ARfintablebodyright"/>
              <w:rPr>
                <w:highlight w:val="green"/>
              </w:rPr>
            </w:pPr>
            <w:r w:rsidRPr="00CB53BD">
              <w:t>4.4</w:t>
            </w:r>
          </w:p>
        </w:tc>
      </w:tr>
      <w:tr w:rsidR="00265792" w:rsidRPr="00BA7805" w14:paraId="347C48B4" w14:textId="77777777" w:rsidTr="0051201B">
        <w:trPr>
          <w:trHeight w:val="255"/>
        </w:trPr>
        <w:tc>
          <w:tcPr>
            <w:tcW w:w="2495" w:type="dxa"/>
            <w:tcBorders>
              <w:top w:val="single" w:sz="4" w:space="0" w:color="000000" w:themeColor="text1"/>
              <w:bottom w:val="single" w:sz="4" w:space="0" w:color="000000" w:themeColor="text1"/>
            </w:tcBorders>
          </w:tcPr>
          <w:p w14:paraId="6CF50380" w14:textId="77777777" w:rsidR="00265792" w:rsidRPr="00BA7805" w:rsidRDefault="00265792" w:rsidP="0051201B">
            <w:pPr>
              <w:pStyle w:val="ARfintablebodybold"/>
              <w:rPr>
                <w:highlight w:val="green"/>
              </w:rPr>
            </w:pPr>
            <w:r w:rsidRPr="00CB53BD">
              <w:t>Total</w:t>
            </w:r>
          </w:p>
        </w:tc>
        <w:tc>
          <w:tcPr>
            <w:tcW w:w="1021" w:type="dxa"/>
            <w:tcBorders>
              <w:top w:val="single" w:sz="4" w:space="0" w:color="000000" w:themeColor="text1"/>
              <w:bottom w:val="single" w:sz="4" w:space="0" w:color="000000" w:themeColor="text1"/>
            </w:tcBorders>
            <w:shd w:val="clear" w:color="auto" w:fill="EEEEEF" w:themeFill="accent4"/>
            <w:noWrap/>
          </w:tcPr>
          <w:p w14:paraId="0E942CFB" w14:textId="77777777" w:rsidR="00265792" w:rsidRPr="00BA7805" w:rsidRDefault="00265792" w:rsidP="0051201B">
            <w:pPr>
              <w:pStyle w:val="ARfintablebodyrightbold"/>
              <w:rPr>
                <w:highlight w:val="green"/>
              </w:rPr>
            </w:pPr>
            <w:r w:rsidRPr="00CB53BD">
              <w:t>768.5</w:t>
            </w:r>
          </w:p>
        </w:tc>
        <w:tc>
          <w:tcPr>
            <w:tcW w:w="1021" w:type="dxa"/>
            <w:tcBorders>
              <w:top w:val="single" w:sz="4" w:space="0" w:color="000000" w:themeColor="text1"/>
              <w:bottom w:val="single" w:sz="4" w:space="0" w:color="000000" w:themeColor="text1"/>
            </w:tcBorders>
            <w:noWrap/>
          </w:tcPr>
          <w:p w14:paraId="658E46D0" w14:textId="77777777" w:rsidR="00265792" w:rsidRPr="00BA7805" w:rsidRDefault="00265792" w:rsidP="0051201B">
            <w:pPr>
              <w:pStyle w:val="ARfintablebodyrightbold"/>
              <w:rPr>
                <w:highlight w:val="green"/>
              </w:rPr>
            </w:pPr>
            <w:r w:rsidRPr="00CB53BD">
              <w:t>948.8</w:t>
            </w:r>
          </w:p>
        </w:tc>
        <w:tc>
          <w:tcPr>
            <w:tcW w:w="1020" w:type="dxa"/>
            <w:tcBorders>
              <w:top w:val="single" w:sz="4" w:space="0" w:color="000000" w:themeColor="text1"/>
              <w:bottom w:val="single" w:sz="4" w:space="0" w:color="000000" w:themeColor="text1"/>
            </w:tcBorders>
            <w:shd w:val="clear" w:color="auto" w:fill="EEEEEF" w:themeFill="accent4"/>
            <w:noWrap/>
          </w:tcPr>
          <w:p w14:paraId="1E3F8B28" w14:textId="77777777" w:rsidR="00265792" w:rsidRPr="00BA7805" w:rsidRDefault="00265792" w:rsidP="0051201B">
            <w:pPr>
              <w:pStyle w:val="ARfintablebodyrightbold"/>
              <w:rPr>
                <w:highlight w:val="green"/>
              </w:rPr>
            </w:pPr>
            <w:r w:rsidRPr="00CB53BD">
              <w:t>37.3</w:t>
            </w:r>
          </w:p>
        </w:tc>
        <w:tc>
          <w:tcPr>
            <w:tcW w:w="1020" w:type="dxa"/>
            <w:tcBorders>
              <w:top w:val="single" w:sz="4" w:space="0" w:color="000000" w:themeColor="text1"/>
              <w:bottom w:val="single" w:sz="4" w:space="0" w:color="000000" w:themeColor="text1"/>
            </w:tcBorders>
            <w:shd w:val="clear" w:color="auto" w:fill="EEEEEF" w:themeFill="accent4"/>
            <w:noWrap/>
          </w:tcPr>
          <w:p w14:paraId="06CA3F19" w14:textId="77777777" w:rsidR="00265792" w:rsidRPr="00BA7805" w:rsidRDefault="00265792" w:rsidP="0051201B">
            <w:pPr>
              <w:pStyle w:val="ARfintablebodyrightbold"/>
              <w:rPr>
                <w:highlight w:val="green"/>
              </w:rPr>
            </w:pPr>
            <w:r w:rsidRPr="00CB53BD">
              <w:t>6.1</w:t>
            </w:r>
          </w:p>
        </w:tc>
        <w:tc>
          <w:tcPr>
            <w:tcW w:w="1020" w:type="dxa"/>
            <w:tcBorders>
              <w:top w:val="single" w:sz="4" w:space="0" w:color="000000" w:themeColor="text1"/>
              <w:bottom w:val="single" w:sz="4" w:space="0" w:color="000000" w:themeColor="text1"/>
            </w:tcBorders>
            <w:shd w:val="clear" w:color="auto" w:fill="EEEEEF" w:themeFill="accent4"/>
            <w:noWrap/>
          </w:tcPr>
          <w:p w14:paraId="17E35317" w14:textId="77777777" w:rsidR="00265792" w:rsidRPr="00BA7805" w:rsidRDefault="00265792" w:rsidP="0051201B">
            <w:pPr>
              <w:pStyle w:val="ARfintablebodyrightbold"/>
              <w:rPr>
                <w:highlight w:val="green"/>
              </w:rPr>
            </w:pPr>
            <w:r w:rsidRPr="00CB53BD">
              <w:t>28.5</w:t>
            </w:r>
          </w:p>
        </w:tc>
        <w:tc>
          <w:tcPr>
            <w:tcW w:w="1020" w:type="dxa"/>
            <w:tcBorders>
              <w:top w:val="single" w:sz="4" w:space="0" w:color="000000" w:themeColor="text1"/>
              <w:bottom w:val="single" w:sz="4" w:space="0" w:color="000000" w:themeColor="text1"/>
            </w:tcBorders>
            <w:shd w:val="clear" w:color="auto" w:fill="EEEEEF" w:themeFill="accent4"/>
            <w:noWrap/>
          </w:tcPr>
          <w:p w14:paraId="06F744E5" w14:textId="77777777" w:rsidR="00265792" w:rsidRPr="00BA7805" w:rsidRDefault="00265792" w:rsidP="0051201B">
            <w:pPr>
              <w:pStyle w:val="ARfintablebodyrightbold"/>
              <w:rPr>
                <w:highlight w:val="green"/>
              </w:rPr>
            </w:pPr>
            <w:r w:rsidRPr="00CB53BD">
              <w:t>210.6</w:t>
            </w:r>
          </w:p>
        </w:tc>
        <w:tc>
          <w:tcPr>
            <w:tcW w:w="1020" w:type="dxa"/>
            <w:tcBorders>
              <w:top w:val="single" w:sz="4" w:space="0" w:color="000000" w:themeColor="text1"/>
              <w:bottom w:val="single" w:sz="4" w:space="0" w:color="000000" w:themeColor="text1"/>
            </w:tcBorders>
            <w:shd w:val="clear" w:color="auto" w:fill="EEEEEF" w:themeFill="accent4"/>
            <w:noWrap/>
          </w:tcPr>
          <w:p w14:paraId="571AA6C2" w14:textId="77777777" w:rsidR="00265792" w:rsidRPr="00BA7805" w:rsidRDefault="00265792" w:rsidP="0051201B">
            <w:pPr>
              <w:pStyle w:val="ARfintablebodyrightbold"/>
              <w:rPr>
                <w:highlight w:val="green"/>
              </w:rPr>
            </w:pPr>
            <w:r w:rsidRPr="00CB53BD">
              <w:t>666.3</w:t>
            </w:r>
          </w:p>
        </w:tc>
      </w:tr>
      <w:tr w:rsidR="00265792" w:rsidRPr="00BA7805" w14:paraId="4413E1FC" w14:textId="77777777" w:rsidTr="0051201B">
        <w:trPr>
          <w:trHeight w:val="255"/>
        </w:trPr>
        <w:tc>
          <w:tcPr>
            <w:tcW w:w="2495" w:type="dxa"/>
            <w:tcBorders>
              <w:top w:val="single" w:sz="4" w:space="0" w:color="A6A6A6" w:themeColor="accent5"/>
            </w:tcBorders>
          </w:tcPr>
          <w:p w14:paraId="1EFDEE45" w14:textId="77777777" w:rsidR="00265792" w:rsidRPr="00BA7805" w:rsidRDefault="00265792" w:rsidP="0051201B">
            <w:pPr>
              <w:pStyle w:val="ARfintablebodybold"/>
              <w:rPr>
                <w:highlight w:val="green"/>
              </w:rPr>
            </w:pPr>
            <w:r w:rsidRPr="00CB53BD">
              <w:t>2024</w:t>
            </w:r>
          </w:p>
        </w:tc>
        <w:tc>
          <w:tcPr>
            <w:tcW w:w="1021" w:type="dxa"/>
            <w:tcBorders>
              <w:top w:val="single" w:sz="4" w:space="0" w:color="A6A6A6" w:themeColor="accent5"/>
            </w:tcBorders>
            <w:noWrap/>
          </w:tcPr>
          <w:p w14:paraId="0EAA8E7B" w14:textId="77777777" w:rsidR="00265792" w:rsidRPr="00BA7805" w:rsidRDefault="00265792" w:rsidP="008261B3">
            <w:pPr>
              <w:pStyle w:val="ARfintablebodyright"/>
              <w:rPr>
                <w:highlight w:val="green"/>
              </w:rPr>
            </w:pPr>
          </w:p>
        </w:tc>
        <w:tc>
          <w:tcPr>
            <w:tcW w:w="1021" w:type="dxa"/>
            <w:tcBorders>
              <w:top w:val="single" w:sz="4" w:space="0" w:color="A6A6A6" w:themeColor="accent5"/>
            </w:tcBorders>
            <w:noWrap/>
          </w:tcPr>
          <w:p w14:paraId="4028CE1D" w14:textId="77777777" w:rsidR="00265792" w:rsidRPr="00BA7805" w:rsidRDefault="00265792" w:rsidP="008261B3">
            <w:pPr>
              <w:pStyle w:val="ARfintablebodyright"/>
              <w:rPr>
                <w:highlight w:val="green"/>
              </w:rPr>
            </w:pPr>
          </w:p>
        </w:tc>
        <w:tc>
          <w:tcPr>
            <w:tcW w:w="1020" w:type="dxa"/>
            <w:tcBorders>
              <w:top w:val="single" w:sz="4" w:space="0" w:color="A6A6A6" w:themeColor="accent5"/>
            </w:tcBorders>
            <w:noWrap/>
          </w:tcPr>
          <w:p w14:paraId="787808AC" w14:textId="77777777" w:rsidR="00265792" w:rsidRPr="00BA7805" w:rsidRDefault="00265792" w:rsidP="008261B3">
            <w:pPr>
              <w:pStyle w:val="ARfintablebodyright"/>
              <w:rPr>
                <w:highlight w:val="green"/>
              </w:rPr>
            </w:pPr>
          </w:p>
        </w:tc>
        <w:tc>
          <w:tcPr>
            <w:tcW w:w="1020" w:type="dxa"/>
            <w:tcBorders>
              <w:top w:val="single" w:sz="4" w:space="0" w:color="A6A6A6" w:themeColor="accent5"/>
            </w:tcBorders>
            <w:noWrap/>
          </w:tcPr>
          <w:p w14:paraId="2FF19C08" w14:textId="77777777" w:rsidR="00265792" w:rsidRPr="00BA7805" w:rsidRDefault="00265792" w:rsidP="008261B3">
            <w:pPr>
              <w:pStyle w:val="ARfintablebodyright"/>
              <w:rPr>
                <w:highlight w:val="green"/>
              </w:rPr>
            </w:pPr>
          </w:p>
        </w:tc>
        <w:tc>
          <w:tcPr>
            <w:tcW w:w="1020" w:type="dxa"/>
            <w:tcBorders>
              <w:top w:val="single" w:sz="4" w:space="0" w:color="A6A6A6" w:themeColor="accent5"/>
            </w:tcBorders>
            <w:noWrap/>
          </w:tcPr>
          <w:p w14:paraId="62FBA7F6" w14:textId="77777777" w:rsidR="00265792" w:rsidRPr="00BA7805" w:rsidRDefault="00265792" w:rsidP="008261B3">
            <w:pPr>
              <w:pStyle w:val="ARfintablebodyright"/>
              <w:rPr>
                <w:highlight w:val="green"/>
              </w:rPr>
            </w:pPr>
          </w:p>
        </w:tc>
        <w:tc>
          <w:tcPr>
            <w:tcW w:w="1020" w:type="dxa"/>
            <w:tcBorders>
              <w:top w:val="single" w:sz="4" w:space="0" w:color="A6A6A6" w:themeColor="accent5"/>
            </w:tcBorders>
            <w:noWrap/>
          </w:tcPr>
          <w:p w14:paraId="6B676606" w14:textId="77777777" w:rsidR="00265792" w:rsidRPr="00BA7805" w:rsidRDefault="00265792" w:rsidP="008261B3">
            <w:pPr>
              <w:pStyle w:val="ARfintablebodyright"/>
              <w:rPr>
                <w:highlight w:val="green"/>
              </w:rPr>
            </w:pPr>
          </w:p>
        </w:tc>
        <w:tc>
          <w:tcPr>
            <w:tcW w:w="1020" w:type="dxa"/>
            <w:tcBorders>
              <w:top w:val="single" w:sz="4" w:space="0" w:color="A6A6A6" w:themeColor="accent5"/>
            </w:tcBorders>
            <w:noWrap/>
          </w:tcPr>
          <w:p w14:paraId="78C1F654" w14:textId="77777777" w:rsidR="00265792" w:rsidRPr="00BA7805" w:rsidRDefault="00265792" w:rsidP="008261B3">
            <w:pPr>
              <w:pStyle w:val="ARfintablebodyright"/>
              <w:rPr>
                <w:highlight w:val="green"/>
              </w:rPr>
            </w:pPr>
          </w:p>
        </w:tc>
      </w:tr>
      <w:tr w:rsidR="00265792" w:rsidRPr="00BA7805" w14:paraId="3FF1F9A3" w14:textId="77777777" w:rsidTr="0051201B">
        <w:trPr>
          <w:trHeight w:val="255"/>
        </w:trPr>
        <w:tc>
          <w:tcPr>
            <w:tcW w:w="2495" w:type="dxa"/>
          </w:tcPr>
          <w:p w14:paraId="49D168EC" w14:textId="77777777" w:rsidR="00265792" w:rsidRPr="00BA7805" w:rsidRDefault="00265792" w:rsidP="008261B3">
            <w:pPr>
              <w:pStyle w:val="ARfintablebody"/>
              <w:rPr>
                <w:highlight w:val="green"/>
              </w:rPr>
            </w:pPr>
            <w:r w:rsidRPr="00CB53BD">
              <w:t>Advances from Victorian</w:t>
            </w:r>
            <w:r>
              <w:t> </w:t>
            </w:r>
            <w:r w:rsidRPr="00CB53BD">
              <w:t>Government</w:t>
            </w:r>
          </w:p>
        </w:tc>
        <w:tc>
          <w:tcPr>
            <w:tcW w:w="1021" w:type="dxa"/>
            <w:shd w:val="clear" w:color="auto" w:fill="EEEEEF" w:themeFill="accent4"/>
            <w:noWrap/>
          </w:tcPr>
          <w:p w14:paraId="01B3008D" w14:textId="77777777" w:rsidR="00265792" w:rsidRPr="00BA7805" w:rsidRDefault="00265792" w:rsidP="008261B3">
            <w:pPr>
              <w:pStyle w:val="ARfintablebodyright"/>
              <w:rPr>
                <w:highlight w:val="green"/>
              </w:rPr>
            </w:pPr>
            <w:r w:rsidRPr="00CB53BD">
              <w:t>166.3</w:t>
            </w:r>
          </w:p>
        </w:tc>
        <w:tc>
          <w:tcPr>
            <w:tcW w:w="1021" w:type="dxa"/>
            <w:noWrap/>
          </w:tcPr>
          <w:p w14:paraId="4B28DA65" w14:textId="77777777" w:rsidR="00265792" w:rsidRPr="00BA7805" w:rsidRDefault="00265792" w:rsidP="008261B3">
            <w:pPr>
              <w:pStyle w:val="ARfintablebodyright"/>
              <w:rPr>
                <w:highlight w:val="green"/>
              </w:rPr>
            </w:pPr>
            <w:r w:rsidRPr="00CB53BD">
              <w:t>166.3</w:t>
            </w:r>
          </w:p>
        </w:tc>
        <w:tc>
          <w:tcPr>
            <w:tcW w:w="1020" w:type="dxa"/>
            <w:shd w:val="clear" w:color="auto" w:fill="EEEEEF" w:themeFill="accent4"/>
            <w:noWrap/>
          </w:tcPr>
          <w:p w14:paraId="794F1EDF" w14:textId="77777777" w:rsidR="00265792" w:rsidRPr="00BA7805" w:rsidRDefault="00265792" w:rsidP="008261B3">
            <w:pPr>
              <w:pStyle w:val="ARfintablebodyright"/>
              <w:rPr>
                <w:highlight w:val="green"/>
              </w:rPr>
            </w:pPr>
            <w:r w:rsidRPr="00CB53BD">
              <w:t>33.5</w:t>
            </w:r>
          </w:p>
        </w:tc>
        <w:tc>
          <w:tcPr>
            <w:tcW w:w="1020" w:type="dxa"/>
            <w:shd w:val="clear" w:color="auto" w:fill="EEEEEF" w:themeFill="accent4"/>
            <w:noWrap/>
          </w:tcPr>
          <w:p w14:paraId="6B603B1C" w14:textId="77777777" w:rsidR="00265792" w:rsidRPr="00BA7805" w:rsidRDefault="00265792" w:rsidP="008261B3">
            <w:pPr>
              <w:pStyle w:val="ARfintablebodyright"/>
              <w:rPr>
                <w:highlight w:val="green"/>
              </w:rPr>
            </w:pPr>
            <w:r>
              <w:t>–</w:t>
            </w:r>
          </w:p>
        </w:tc>
        <w:tc>
          <w:tcPr>
            <w:tcW w:w="1020" w:type="dxa"/>
            <w:shd w:val="clear" w:color="auto" w:fill="EEEEEF" w:themeFill="accent4"/>
            <w:noWrap/>
          </w:tcPr>
          <w:p w14:paraId="65C882CD" w14:textId="77777777" w:rsidR="00265792" w:rsidRPr="00BA7805" w:rsidRDefault="00265792" w:rsidP="008261B3">
            <w:pPr>
              <w:pStyle w:val="ARfintablebodyright"/>
              <w:rPr>
                <w:highlight w:val="green"/>
              </w:rPr>
            </w:pPr>
            <w:r w:rsidRPr="00CB53BD">
              <w:t>1.9</w:t>
            </w:r>
          </w:p>
        </w:tc>
        <w:tc>
          <w:tcPr>
            <w:tcW w:w="1020" w:type="dxa"/>
            <w:shd w:val="clear" w:color="auto" w:fill="EEEEEF" w:themeFill="accent4"/>
            <w:noWrap/>
          </w:tcPr>
          <w:p w14:paraId="584EE663" w14:textId="77777777" w:rsidR="00265792" w:rsidRPr="00BA7805" w:rsidRDefault="00265792" w:rsidP="008261B3">
            <w:pPr>
              <w:pStyle w:val="ARfintablebodyright"/>
              <w:rPr>
                <w:highlight w:val="green"/>
              </w:rPr>
            </w:pPr>
            <w:r w:rsidRPr="00CB53BD">
              <w:t>130.9</w:t>
            </w:r>
          </w:p>
        </w:tc>
        <w:tc>
          <w:tcPr>
            <w:tcW w:w="1020" w:type="dxa"/>
            <w:shd w:val="clear" w:color="auto" w:fill="EEEEEF" w:themeFill="accent4"/>
            <w:noWrap/>
          </w:tcPr>
          <w:p w14:paraId="65E93DBA" w14:textId="076D9A4B" w:rsidR="00265792" w:rsidRPr="00BA7805" w:rsidRDefault="005C4803" w:rsidP="008261B3">
            <w:pPr>
              <w:pStyle w:val="ARfintablebodyright"/>
              <w:rPr>
                <w:highlight w:val="green"/>
              </w:rPr>
            </w:pPr>
            <w:r>
              <w:t>–</w:t>
            </w:r>
          </w:p>
        </w:tc>
      </w:tr>
      <w:tr w:rsidR="00265792" w:rsidRPr="00BA7805" w14:paraId="5C14D552" w14:textId="77777777" w:rsidTr="0051201B">
        <w:trPr>
          <w:trHeight w:val="255"/>
        </w:trPr>
        <w:tc>
          <w:tcPr>
            <w:tcW w:w="2495" w:type="dxa"/>
          </w:tcPr>
          <w:p w14:paraId="4102BFBA" w14:textId="77777777" w:rsidR="00265792" w:rsidRPr="00BA7805" w:rsidRDefault="00265792" w:rsidP="008261B3">
            <w:pPr>
              <w:pStyle w:val="ARfintablebody"/>
              <w:rPr>
                <w:highlight w:val="green"/>
              </w:rPr>
            </w:pPr>
            <w:r w:rsidRPr="00CB53BD">
              <w:t>Service concession financial</w:t>
            </w:r>
            <w:r>
              <w:t> </w:t>
            </w:r>
            <w:r w:rsidRPr="00CB53BD">
              <w:t>liability</w:t>
            </w:r>
          </w:p>
        </w:tc>
        <w:tc>
          <w:tcPr>
            <w:tcW w:w="1021" w:type="dxa"/>
            <w:shd w:val="clear" w:color="auto" w:fill="EEEEEF" w:themeFill="accent4"/>
            <w:noWrap/>
          </w:tcPr>
          <w:p w14:paraId="2182106C" w14:textId="77777777" w:rsidR="00265792" w:rsidRPr="00BA7805" w:rsidRDefault="00265792" w:rsidP="008261B3">
            <w:pPr>
              <w:pStyle w:val="ARfintablebodyright"/>
              <w:rPr>
                <w:highlight w:val="green"/>
              </w:rPr>
            </w:pPr>
            <w:r w:rsidRPr="00CB53BD">
              <w:t>289.6</w:t>
            </w:r>
          </w:p>
        </w:tc>
        <w:tc>
          <w:tcPr>
            <w:tcW w:w="1021" w:type="dxa"/>
            <w:noWrap/>
          </w:tcPr>
          <w:p w14:paraId="15BCCE83" w14:textId="77777777" w:rsidR="00265792" w:rsidRPr="00BA7805" w:rsidRDefault="00265792" w:rsidP="008261B3">
            <w:pPr>
              <w:pStyle w:val="ARfintablebodyright"/>
              <w:rPr>
                <w:highlight w:val="green"/>
              </w:rPr>
            </w:pPr>
            <w:r w:rsidRPr="00CB53BD">
              <w:t>703.8</w:t>
            </w:r>
          </w:p>
        </w:tc>
        <w:tc>
          <w:tcPr>
            <w:tcW w:w="1020" w:type="dxa"/>
            <w:shd w:val="clear" w:color="auto" w:fill="EEEEEF" w:themeFill="accent4"/>
            <w:noWrap/>
          </w:tcPr>
          <w:p w14:paraId="074B31D0" w14:textId="77777777" w:rsidR="00265792" w:rsidRPr="00BA7805" w:rsidRDefault="00265792" w:rsidP="008261B3">
            <w:pPr>
              <w:pStyle w:val="ARfintablebodyright"/>
              <w:rPr>
                <w:highlight w:val="green"/>
              </w:rPr>
            </w:pPr>
            <w:r>
              <w:t>–</w:t>
            </w:r>
          </w:p>
        </w:tc>
        <w:tc>
          <w:tcPr>
            <w:tcW w:w="1020" w:type="dxa"/>
            <w:shd w:val="clear" w:color="auto" w:fill="EEEEEF" w:themeFill="accent4"/>
            <w:noWrap/>
          </w:tcPr>
          <w:p w14:paraId="6AC2B135" w14:textId="77777777" w:rsidR="00265792" w:rsidRPr="00BA7805" w:rsidRDefault="00265792" w:rsidP="008261B3">
            <w:pPr>
              <w:pStyle w:val="ARfintablebodyright"/>
              <w:rPr>
                <w:highlight w:val="green"/>
              </w:rPr>
            </w:pPr>
            <w:r w:rsidRPr="00CB53BD">
              <w:t>0.4</w:t>
            </w:r>
          </w:p>
        </w:tc>
        <w:tc>
          <w:tcPr>
            <w:tcW w:w="1020" w:type="dxa"/>
            <w:shd w:val="clear" w:color="auto" w:fill="EEEEEF" w:themeFill="accent4"/>
            <w:noWrap/>
          </w:tcPr>
          <w:p w14:paraId="4A152462" w14:textId="77777777" w:rsidR="00265792" w:rsidRPr="00BA7805" w:rsidRDefault="00265792" w:rsidP="008261B3">
            <w:pPr>
              <w:pStyle w:val="ARfintablebodyright"/>
              <w:rPr>
                <w:highlight w:val="green"/>
              </w:rPr>
            </w:pPr>
            <w:r w:rsidRPr="00CB53BD">
              <w:t>1.4</w:t>
            </w:r>
          </w:p>
        </w:tc>
        <w:tc>
          <w:tcPr>
            <w:tcW w:w="1020" w:type="dxa"/>
            <w:shd w:val="clear" w:color="auto" w:fill="EEEEEF" w:themeFill="accent4"/>
            <w:noWrap/>
          </w:tcPr>
          <w:p w14:paraId="28218D2F" w14:textId="77777777" w:rsidR="00265792" w:rsidRPr="00BA7805" w:rsidRDefault="00265792" w:rsidP="008261B3">
            <w:pPr>
              <w:pStyle w:val="ARfintablebodyright"/>
              <w:rPr>
                <w:highlight w:val="green"/>
              </w:rPr>
            </w:pPr>
            <w:r w:rsidRPr="00CB53BD">
              <w:t>28.5</w:t>
            </w:r>
          </w:p>
        </w:tc>
        <w:tc>
          <w:tcPr>
            <w:tcW w:w="1020" w:type="dxa"/>
            <w:shd w:val="clear" w:color="auto" w:fill="EEEEEF" w:themeFill="accent4"/>
            <w:noWrap/>
          </w:tcPr>
          <w:p w14:paraId="2A3205CA" w14:textId="77777777" w:rsidR="00265792" w:rsidRPr="00BA7805" w:rsidRDefault="00265792" w:rsidP="008261B3">
            <w:pPr>
              <w:pStyle w:val="ARfintablebodyright"/>
              <w:rPr>
                <w:highlight w:val="green"/>
              </w:rPr>
            </w:pPr>
            <w:r w:rsidRPr="00CB53BD">
              <w:t>673.4</w:t>
            </w:r>
          </w:p>
        </w:tc>
      </w:tr>
      <w:tr w:rsidR="00265792" w:rsidRPr="00BA7805" w14:paraId="77F0B9D5" w14:textId="77777777" w:rsidTr="0051201B">
        <w:trPr>
          <w:trHeight w:val="255"/>
        </w:trPr>
        <w:tc>
          <w:tcPr>
            <w:tcW w:w="2495" w:type="dxa"/>
          </w:tcPr>
          <w:p w14:paraId="26489ACF" w14:textId="77777777" w:rsidR="00265792" w:rsidRPr="00BA7805" w:rsidRDefault="00265792" w:rsidP="008261B3">
            <w:pPr>
              <w:pStyle w:val="ARfintablebody"/>
              <w:rPr>
                <w:highlight w:val="green"/>
              </w:rPr>
            </w:pPr>
            <w:r w:rsidRPr="00CB53BD">
              <w:t>Lease liabilities</w:t>
            </w:r>
          </w:p>
        </w:tc>
        <w:tc>
          <w:tcPr>
            <w:tcW w:w="1021" w:type="dxa"/>
            <w:shd w:val="clear" w:color="auto" w:fill="EEEEEF" w:themeFill="accent4"/>
            <w:noWrap/>
          </w:tcPr>
          <w:p w14:paraId="4A67BFE1" w14:textId="77777777" w:rsidR="00265792" w:rsidRPr="00BA7805" w:rsidRDefault="00265792" w:rsidP="008261B3">
            <w:pPr>
              <w:pStyle w:val="ARfintablebodyright"/>
              <w:rPr>
                <w:highlight w:val="green"/>
              </w:rPr>
            </w:pPr>
            <w:r w:rsidRPr="00CB53BD">
              <w:t>81.3</w:t>
            </w:r>
          </w:p>
        </w:tc>
        <w:tc>
          <w:tcPr>
            <w:tcW w:w="1021" w:type="dxa"/>
            <w:noWrap/>
          </w:tcPr>
          <w:p w14:paraId="0938FBED" w14:textId="77777777" w:rsidR="00265792" w:rsidRPr="00BA7805" w:rsidRDefault="00265792" w:rsidP="008261B3">
            <w:pPr>
              <w:pStyle w:val="ARfintablebodyright"/>
              <w:rPr>
                <w:highlight w:val="green"/>
              </w:rPr>
            </w:pPr>
            <w:r w:rsidRPr="00CB53BD">
              <w:t>87.4</w:t>
            </w:r>
          </w:p>
        </w:tc>
        <w:tc>
          <w:tcPr>
            <w:tcW w:w="1020" w:type="dxa"/>
            <w:shd w:val="clear" w:color="auto" w:fill="EEEEEF" w:themeFill="accent4"/>
            <w:noWrap/>
          </w:tcPr>
          <w:p w14:paraId="6A2556C3" w14:textId="77777777" w:rsidR="00265792" w:rsidRPr="00BA7805" w:rsidRDefault="00265792" w:rsidP="008261B3">
            <w:pPr>
              <w:pStyle w:val="ARfintablebodyright"/>
              <w:rPr>
                <w:highlight w:val="green"/>
              </w:rPr>
            </w:pPr>
            <w:r w:rsidRPr="00CB53BD">
              <w:t>4.6</w:t>
            </w:r>
          </w:p>
        </w:tc>
        <w:tc>
          <w:tcPr>
            <w:tcW w:w="1020" w:type="dxa"/>
            <w:shd w:val="clear" w:color="auto" w:fill="EEEEEF" w:themeFill="accent4"/>
            <w:noWrap/>
          </w:tcPr>
          <w:p w14:paraId="357E625D" w14:textId="77777777" w:rsidR="00265792" w:rsidRPr="00BA7805" w:rsidRDefault="00265792" w:rsidP="008261B3">
            <w:pPr>
              <w:pStyle w:val="ARfintablebodyright"/>
              <w:rPr>
                <w:highlight w:val="green"/>
              </w:rPr>
            </w:pPr>
            <w:r w:rsidRPr="00CB53BD">
              <w:t>5.2</w:t>
            </w:r>
          </w:p>
        </w:tc>
        <w:tc>
          <w:tcPr>
            <w:tcW w:w="1020" w:type="dxa"/>
            <w:shd w:val="clear" w:color="auto" w:fill="EEEEEF" w:themeFill="accent4"/>
            <w:noWrap/>
          </w:tcPr>
          <w:p w14:paraId="4C90565D" w14:textId="77777777" w:rsidR="00265792" w:rsidRPr="00BA7805" w:rsidRDefault="00265792" w:rsidP="008261B3">
            <w:pPr>
              <w:pStyle w:val="ARfintablebodyright"/>
              <w:rPr>
                <w:highlight w:val="green"/>
              </w:rPr>
            </w:pPr>
            <w:r w:rsidRPr="00CB53BD">
              <w:t>22.7</w:t>
            </w:r>
          </w:p>
        </w:tc>
        <w:tc>
          <w:tcPr>
            <w:tcW w:w="1020" w:type="dxa"/>
            <w:shd w:val="clear" w:color="auto" w:fill="EEEEEF" w:themeFill="accent4"/>
            <w:noWrap/>
          </w:tcPr>
          <w:p w14:paraId="584DF9B0" w14:textId="77777777" w:rsidR="00265792" w:rsidRPr="00BA7805" w:rsidRDefault="00265792" w:rsidP="008261B3">
            <w:pPr>
              <w:pStyle w:val="ARfintablebodyright"/>
              <w:rPr>
                <w:highlight w:val="green"/>
              </w:rPr>
            </w:pPr>
            <w:r w:rsidRPr="00CB53BD">
              <w:t>48.7</w:t>
            </w:r>
          </w:p>
        </w:tc>
        <w:tc>
          <w:tcPr>
            <w:tcW w:w="1020" w:type="dxa"/>
            <w:shd w:val="clear" w:color="auto" w:fill="EEEEEF" w:themeFill="accent4"/>
            <w:noWrap/>
          </w:tcPr>
          <w:p w14:paraId="4270AEDA" w14:textId="77777777" w:rsidR="00265792" w:rsidRPr="00BA7805" w:rsidRDefault="00265792" w:rsidP="008261B3">
            <w:pPr>
              <w:pStyle w:val="ARfintablebodyright"/>
              <w:rPr>
                <w:highlight w:val="green"/>
              </w:rPr>
            </w:pPr>
            <w:r w:rsidRPr="00CB53BD">
              <w:t>6.1</w:t>
            </w:r>
          </w:p>
        </w:tc>
      </w:tr>
      <w:tr w:rsidR="00265792" w:rsidRPr="00BA7805" w14:paraId="573C924F" w14:textId="77777777" w:rsidTr="0051201B">
        <w:trPr>
          <w:cnfStyle w:val="010000000000" w:firstRow="0" w:lastRow="1" w:firstColumn="0" w:lastColumn="0" w:oddVBand="0" w:evenVBand="0" w:oddHBand="0" w:evenHBand="0" w:firstRowFirstColumn="0" w:firstRowLastColumn="0" w:lastRowFirstColumn="0" w:lastRowLastColumn="0"/>
          <w:trHeight w:val="255"/>
        </w:trPr>
        <w:tc>
          <w:tcPr>
            <w:tcW w:w="2495" w:type="dxa"/>
            <w:noWrap/>
          </w:tcPr>
          <w:p w14:paraId="69161C02" w14:textId="77777777" w:rsidR="00265792" w:rsidRPr="00BA7805" w:rsidRDefault="00265792" w:rsidP="0051201B">
            <w:pPr>
              <w:pStyle w:val="ARfintablebodybold"/>
              <w:rPr>
                <w:highlight w:val="green"/>
              </w:rPr>
            </w:pPr>
            <w:r w:rsidRPr="00CB53BD">
              <w:t>Total</w:t>
            </w:r>
          </w:p>
        </w:tc>
        <w:tc>
          <w:tcPr>
            <w:tcW w:w="1021" w:type="dxa"/>
            <w:shd w:val="clear" w:color="auto" w:fill="EEEEEF" w:themeFill="accent4"/>
            <w:noWrap/>
          </w:tcPr>
          <w:p w14:paraId="103D6DD8" w14:textId="77777777" w:rsidR="00265792" w:rsidRPr="00BA7805" w:rsidRDefault="00265792" w:rsidP="0051201B">
            <w:pPr>
              <w:pStyle w:val="ARfintablebodyrightbold"/>
              <w:rPr>
                <w:highlight w:val="green"/>
              </w:rPr>
            </w:pPr>
            <w:r w:rsidRPr="00CB53BD">
              <w:t>537.2</w:t>
            </w:r>
          </w:p>
        </w:tc>
        <w:tc>
          <w:tcPr>
            <w:tcW w:w="1021" w:type="dxa"/>
            <w:noWrap/>
          </w:tcPr>
          <w:p w14:paraId="1FABA746" w14:textId="77777777" w:rsidR="00265792" w:rsidRPr="00BA7805" w:rsidRDefault="00265792" w:rsidP="0051201B">
            <w:pPr>
              <w:pStyle w:val="ARfintablebodyrightbold"/>
              <w:rPr>
                <w:highlight w:val="green"/>
              </w:rPr>
            </w:pPr>
            <w:r w:rsidRPr="00CB53BD">
              <w:t>957.4</w:t>
            </w:r>
          </w:p>
        </w:tc>
        <w:tc>
          <w:tcPr>
            <w:tcW w:w="1020" w:type="dxa"/>
            <w:shd w:val="clear" w:color="auto" w:fill="EEEEEF" w:themeFill="accent4"/>
            <w:noWrap/>
          </w:tcPr>
          <w:p w14:paraId="173CFDED" w14:textId="77777777" w:rsidR="00265792" w:rsidRPr="00BA7805" w:rsidRDefault="00265792" w:rsidP="0051201B">
            <w:pPr>
              <w:pStyle w:val="ARfintablebodyrightbold"/>
              <w:rPr>
                <w:highlight w:val="green"/>
              </w:rPr>
            </w:pPr>
            <w:r w:rsidRPr="00CB53BD">
              <w:t>38.1</w:t>
            </w:r>
          </w:p>
        </w:tc>
        <w:tc>
          <w:tcPr>
            <w:tcW w:w="1020" w:type="dxa"/>
            <w:shd w:val="clear" w:color="auto" w:fill="EEEEEF" w:themeFill="accent4"/>
            <w:noWrap/>
          </w:tcPr>
          <w:p w14:paraId="19E62A3E" w14:textId="77777777" w:rsidR="00265792" w:rsidRPr="00BA7805" w:rsidRDefault="00265792" w:rsidP="0051201B">
            <w:pPr>
              <w:pStyle w:val="ARfintablebodyrightbold"/>
              <w:rPr>
                <w:highlight w:val="green"/>
              </w:rPr>
            </w:pPr>
            <w:r w:rsidRPr="00CB53BD">
              <w:t>5.7</w:t>
            </w:r>
          </w:p>
        </w:tc>
        <w:tc>
          <w:tcPr>
            <w:tcW w:w="1020" w:type="dxa"/>
            <w:shd w:val="clear" w:color="auto" w:fill="EEEEEF" w:themeFill="accent4"/>
            <w:noWrap/>
          </w:tcPr>
          <w:p w14:paraId="2DEF4864" w14:textId="77777777" w:rsidR="00265792" w:rsidRPr="00BA7805" w:rsidRDefault="00265792" w:rsidP="0051201B">
            <w:pPr>
              <w:pStyle w:val="ARfintablebodyrightbold"/>
              <w:rPr>
                <w:highlight w:val="green"/>
              </w:rPr>
            </w:pPr>
            <w:r w:rsidRPr="00CB53BD">
              <w:t>26.0</w:t>
            </w:r>
          </w:p>
        </w:tc>
        <w:tc>
          <w:tcPr>
            <w:tcW w:w="1020" w:type="dxa"/>
            <w:shd w:val="clear" w:color="auto" w:fill="EEEEEF" w:themeFill="accent4"/>
            <w:noWrap/>
          </w:tcPr>
          <w:p w14:paraId="4FB90330" w14:textId="77777777" w:rsidR="00265792" w:rsidRPr="00BA7805" w:rsidRDefault="00265792" w:rsidP="0051201B">
            <w:pPr>
              <w:pStyle w:val="ARfintablebodyrightbold"/>
              <w:rPr>
                <w:highlight w:val="green"/>
              </w:rPr>
            </w:pPr>
            <w:r w:rsidRPr="00CB53BD">
              <w:t>208.1</w:t>
            </w:r>
          </w:p>
        </w:tc>
        <w:tc>
          <w:tcPr>
            <w:tcW w:w="1020" w:type="dxa"/>
            <w:shd w:val="clear" w:color="auto" w:fill="EEEEEF" w:themeFill="accent4"/>
            <w:noWrap/>
          </w:tcPr>
          <w:p w14:paraId="07BC20A2" w14:textId="77777777" w:rsidR="00265792" w:rsidRPr="00BA7805" w:rsidRDefault="00265792" w:rsidP="0051201B">
            <w:pPr>
              <w:pStyle w:val="ARfintablebodyrightbold"/>
              <w:rPr>
                <w:highlight w:val="green"/>
              </w:rPr>
            </w:pPr>
            <w:r w:rsidRPr="00CB53BD">
              <w:t>679.5</w:t>
            </w:r>
          </w:p>
        </w:tc>
      </w:tr>
    </w:tbl>
    <w:p w14:paraId="49C5C806" w14:textId="77777777" w:rsidR="00265792" w:rsidRDefault="00265792" w:rsidP="002542E1">
      <w:pPr>
        <w:pStyle w:val="Heading4"/>
      </w:pPr>
      <w:bookmarkStart w:id="277" w:name="_Ref178665431"/>
      <w:r>
        <w:t>7.3 Cash flow information and balances</w:t>
      </w:r>
      <w:bookmarkEnd w:id="277"/>
    </w:p>
    <w:p w14:paraId="43977A87" w14:textId="77777777" w:rsidR="00265792" w:rsidRPr="002F75CB" w:rsidRDefault="00265792" w:rsidP="00C67175">
      <w:pPr>
        <w:pStyle w:val="ARfinbodylargespace"/>
        <w:rPr>
          <w:highlight w:val="green"/>
        </w:rPr>
      </w:pPr>
      <w:r w:rsidRPr="00C67175">
        <w:t>Cash and deposits, including cash equivalents, comprise cash on hand and cash at bank, deposits at call and highly liquid investments with an original maturity of three months or less, which are held for the purpose of meeting short-term cash commitments rather than for investment purposes and are readily convertible to known amounts of cash with an insignificant risk of changes in value.</w:t>
      </w:r>
    </w:p>
    <w:tbl>
      <w:tblPr>
        <w:tblStyle w:val="TableGrid"/>
        <w:tblW w:w="9639" w:type="dxa"/>
        <w:tblLayout w:type="fixed"/>
        <w:tblLook w:val="06E0" w:firstRow="1" w:lastRow="1" w:firstColumn="1" w:lastColumn="0" w:noHBand="1" w:noVBand="1"/>
      </w:tblPr>
      <w:tblGrid>
        <w:gridCol w:w="6917"/>
        <w:gridCol w:w="1361"/>
        <w:gridCol w:w="1361"/>
      </w:tblGrid>
      <w:tr w:rsidR="00265792" w:rsidRPr="00BA7805" w14:paraId="11BEA6E3" w14:textId="77777777" w:rsidTr="00E944D0">
        <w:trPr>
          <w:cnfStyle w:val="100000000000" w:firstRow="1" w:lastRow="0" w:firstColumn="0" w:lastColumn="0" w:oddVBand="0" w:evenVBand="0" w:oddHBand="0" w:evenHBand="0" w:firstRowFirstColumn="0" w:firstRowLastColumn="0" w:lastRowFirstColumn="0" w:lastRowLastColumn="0"/>
          <w:tblHeader/>
        </w:trPr>
        <w:tc>
          <w:tcPr>
            <w:tcW w:w="6917" w:type="dxa"/>
            <w:noWrap/>
            <w:hideMark/>
          </w:tcPr>
          <w:p w14:paraId="2544598C" w14:textId="77777777" w:rsidR="00265792" w:rsidRPr="00E944D0" w:rsidRDefault="00265792" w:rsidP="00E944D0">
            <w:pPr>
              <w:pStyle w:val="ARfintablecolhead"/>
              <w:rPr>
                <w:highlight w:val="green"/>
              </w:rPr>
            </w:pPr>
            <w:r w:rsidRPr="00E944D0">
              <w:t>Total cash and deposits disclosed in the balance sheet</w:t>
            </w:r>
          </w:p>
        </w:tc>
        <w:tc>
          <w:tcPr>
            <w:tcW w:w="1361" w:type="dxa"/>
            <w:shd w:val="clear" w:color="auto" w:fill="EEEEEF" w:themeFill="accent4"/>
            <w:hideMark/>
          </w:tcPr>
          <w:p w14:paraId="4A2C14CB" w14:textId="77777777" w:rsidR="00265792" w:rsidRPr="00715772" w:rsidRDefault="00265792">
            <w:pPr>
              <w:pStyle w:val="ARfintablecolheadright"/>
            </w:pPr>
            <w:r w:rsidRPr="00715772">
              <w:t>202</w:t>
            </w:r>
            <w:r>
              <w:t>5</w:t>
            </w:r>
          </w:p>
          <w:p w14:paraId="18268DC9" w14:textId="77777777" w:rsidR="00265792" w:rsidRPr="00715772" w:rsidRDefault="00265792">
            <w:pPr>
              <w:pStyle w:val="ARfintablecolheadright"/>
            </w:pPr>
            <w:r w:rsidRPr="00715772">
              <w:t>$M</w:t>
            </w:r>
          </w:p>
        </w:tc>
        <w:tc>
          <w:tcPr>
            <w:tcW w:w="1361" w:type="dxa"/>
          </w:tcPr>
          <w:p w14:paraId="1A1A09ED" w14:textId="77777777" w:rsidR="00265792" w:rsidRPr="00715772" w:rsidRDefault="00265792">
            <w:pPr>
              <w:pStyle w:val="ARfintablecolheadright"/>
            </w:pPr>
            <w:r w:rsidRPr="00715772">
              <w:t>202</w:t>
            </w:r>
            <w:r>
              <w:t>4</w:t>
            </w:r>
          </w:p>
          <w:p w14:paraId="73FB7B86" w14:textId="77777777" w:rsidR="00265792" w:rsidRPr="00715772" w:rsidRDefault="00265792">
            <w:pPr>
              <w:pStyle w:val="ARfintablecolheadright"/>
            </w:pPr>
            <w:r w:rsidRPr="00715772">
              <w:t>$M</w:t>
            </w:r>
          </w:p>
        </w:tc>
      </w:tr>
      <w:tr w:rsidR="00265792" w:rsidRPr="00BA7805" w14:paraId="75FC947A" w14:textId="77777777" w:rsidTr="00E944D0">
        <w:tc>
          <w:tcPr>
            <w:tcW w:w="6917" w:type="dxa"/>
          </w:tcPr>
          <w:p w14:paraId="5A1518D2" w14:textId="77777777" w:rsidR="00265792" w:rsidRPr="00BA7805" w:rsidRDefault="00265792" w:rsidP="00C67175">
            <w:pPr>
              <w:pStyle w:val="ARfintablebody"/>
              <w:rPr>
                <w:highlight w:val="green"/>
              </w:rPr>
            </w:pPr>
            <w:r w:rsidRPr="00B418AA">
              <w:t xml:space="preserve">Short-term deposits </w:t>
            </w:r>
            <w:r w:rsidRPr="00E944D0">
              <w:rPr>
                <w:vertAlign w:val="superscript"/>
              </w:rPr>
              <w:t>(</w:t>
            </w:r>
            <w:proofErr w:type="spellStart"/>
            <w:r w:rsidRPr="00E944D0">
              <w:rPr>
                <w:vertAlign w:val="superscript"/>
              </w:rPr>
              <w:t>i</w:t>
            </w:r>
            <w:proofErr w:type="spellEnd"/>
            <w:r w:rsidRPr="00E944D0">
              <w:rPr>
                <w:vertAlign w:val="superscript"/>
              </w:rPr>
              <w:t>)</w:t>
            </w:r>
          </w:p>
        </w:tc>
        <w:tc>
          <w:tcPr>
            <w:tcW w:w="1361" w:type="dxa"/>
            <w:shd w:val="clear" w:color="auto" w:fill="EEEEEF" w:themeFill="accent4"/>
            <w:noWrap/>
          </w:tcPr>
          <w:p w14:paraId="76661FA1" w14:textId="77777777" w:rsidR="00265792" w:rsidRPr="00BA7805" w:rsidRDefault="00265792" w:rsidP="00C67175">
            <w:pPr>
              <w:pStyle w:val="ARfintablebodyright"/>
              <w:rPr>
                <w:highlight w:val="green"/>
              </w:rPr>
            </w:pPr>
            <w:r w:rsidRPr="00B418AA">
              <w:t>966.3</w:t>
            </w:r>
          </w:p>
        </w:tc>
        <w:tc>
          <w:tcPr>
            <w:tcW w:w="1361" w:type="dxa"/>
          </w:tcPr>
          <w:p w14:paraId="46D8608B" w14:textId="77777777" w:rsidR="00265792" w:rsidRPr="00BA7805" w:rsidRDefault="00265792" w:rsidP="00C67175">
            <w:pPr>
              <w:pStyle w:val="ARfintablebodyright"/>
              <w:rPr>
                <w:highlight w:val="green"/>
              </w:rPr>
            </w:pPr>
            <w:r w:rsidRPr="00B418AA">
              <w:t>528.2</w:t>
            </w:r>
          </w:p>
        </w:tc>
      </w:tr>
      <w:tr w:rsidR="00265792" w:rsidRPr="00BA7805" w14:paraId="3610F90A" w14:textId="77777777" w:rsidTr="00E944D0">
        <w:tc>
          <w:tcPr>
            <w:tcW w:w="6917" w:type="dxa"/>
          </w:tcPr>
          <w:p w14:paraId="75D9004E" w14:textId="77777777" w:rsidR="00265792" w:rsidRPr="00BA7805" w:rsidRDefault="00265792" w:rsidP="00C67175">
            <w:pPr>
              <w:pStyle w:val="ARfintablebody"/>
              <w:rPr>
                <w:highlight w:val="green"/>
              </w:rPr>
            </w:pPr>
            <w:r w:rsidRPr="00B418AA">
              <w:t xml:space="preserve">Cash at bank </w:t>
            </w:r>
            <w:r w:rsidRPr="00E944D0">
              <w:rPr>
                <w:vertAlign w:val="superscript"/>
              </w:rPr>
              <w:t>(</w:t>
            </w:r>
            <w:proofErr w:type="spellStart"/>
            <w:r w:rsidRPr="00E944D0">
              <w:rPr>
                <w:vertAlign w:val="superscript"/>
              </w:rPr>
              <w:t>i</w:t>
            </w:r>
            <w:proofErr w:type="spellEnd"/>
            <w:r w:rsidRPr="00E944D0">
              <w:rPr>
                <w:vertAlign w:val="superscript"/>
              </w:rPr>
              <w:t>)</w:t>
            </w:r>
          </w:p>
        </w:tc>
        <w:tc>
          <w:tcPr>
            <w:tcW w:w="1361" w:type="dxa"/>
            <w:shd w:val="clear" w:color="auto" w:fill="EEEEEF" w:themeFill="accent4"/>
            <w:noWrap/>
          </w:tcPr>
          <w:p w14:paraId="20EDB76F" w14:textId="77777777" w:rsidR="00265792" w:rsidRPr="00BA7805" w:rsidRDefault="00265792" w:rsidP="00C67175">
            <w:pPr>
              <w:pStyle w:val="ARfintablebodyright"/>
              <w:rPr>
                <w:highlight w:val="green"/>
              </w:rPr>
            </w:pPr>
            <w:r w:rsidRPr="00B418AA">
              <w:t>30.0</w:t>
            </w:r>
          </w:p>
        </w:tc>
        <w:tc>
          <w:tcPr>
            <w:tcW w:w="1361" w:type="dxa"/>
          </w:tcPr>
          <w:p w14:paraId="5AA2E3FB" w14:textId="77777777" w:rsidR="00265792" w:rsidRPr="00BA7805" w:rsidRDefault="00265792" w:rsidP="00C67175">
            <w:pPr>
              <w:pStyle w:val="ARfintablebodyright"/>
              <w:rPr>
                <w:highlight w:val="green"/>
              </w:rPr>
            </w:pPr>
            <w:r w:rsidRPr="00B418AA">
              <w:t>24.9</w:t>
            </w:r>
          </w:p>
        </w:tc>
      </w:tr>
      <w:tr w:rsidR="00265792" w:rsidRPr="00BA7805" w14:paraId="3606B6D7" w14:textId="77777777" w:rsidTr="00E944D0">
        <w:tc>
          <w:tcPr>
            <w:tcW w:w="6917" w:type="dxa"/>
          </w:tcPr>
          <w:p w14:paraId="442EBAD7" w14:textId="77777777" w:rsidR="00265792" w:rsidRPr="00B418AA" w:rsidRDefault="00265792" w:rsidP="00C67175">
            <w:pPr>
              <w:pStyle w:val="ARfintablebody"/>
            </w:pPr>
            <w:r>
              <w:t xml:space="preserve">Restricted cash </w:t>
            </w:r>
            <w:r w:rsidRPr="00E944D0">
              <w:rPr>
                <w:vertAlign w:val="superscript"/>
              </w:rPr>
              <w:t>(ii)</w:t>
            </w:r>
          </w:p>
        </w:tc>
        <w:tc>
          <w:tcPr>
            <w:tcW w:w="1361" w:type="dxa"/>
            <w:shd w:val="clear" w:color="auto" w:fill="EEEEEF" w:themeFill="accent4"/>
            <w:noWrap/>
          </w:tcPr>
          <w:p w14:paraId="4FC2AB83" w14:textId="77777777" w:rsidR="00265792" w:rsidRPr="00B418AA" w:rsidRDefault="00265792" w:rsidP="00C67175">
            <w:pPr>
              <w:pStyle w:val="ARfintablebodyright"/>
            </w:pPr>
            <w:r>
              <w:t>267.1</w:t>
            </w:r>
          </w:p>
        </w:tc>
        <w:tc>
          <w:tcPr>
            <w:tcW w:w="1361" w:type="dxa"/>
          </w:tcPr>
          <w:p w14:paraId="7A3A9F85" w14:textId="77777777" w:rsidR="00265792" w:rsidRPr="00B418AA" w:rsidRDefault="00265792" w:rsidP="00C67175">
            <w:pPr>
              <w:pStyle w:val="ARfintablebodyright"/>
            </w:pPr>
            <w:r>
              <w:t>121.2</w:t>
            </w:r>
          </w:p>
        </w:tc>
      </w:tr>
      <w:tr w:rsidR="00265792" w:rsidRPr="00BA7805" w14:paraId="358C1AE3" w14:textId="77777777" w:rsidTr="00E944D0">
        <w:tc>
          <w:tcPr>
            <w:tcW w:w="6917" w:type="dxa"/>
          </w:tcPr>
          <w:p w14:paraId="3AA123F5" w14:textId="77777777" w:rsidR="00265792" w:rsidRPr="00BA7805" w:rsidRDefault="00265792" w:rsidP="00C67175">
            <w:pPr>
              <w:pStyle w:val="ARfintablebody"/>
              <w:rPr>
                <w:highlight w:val="green"/>
              </w:rPr>
            </w:pPr>
            <w:r w:rsidRPr="00B418AA">
              <w:t xml:space="preserve">Funds held in trust </w:t>
            </w:r>
            <w:r w:rsidRPr="00E944D0">
              <w:rPr>
                <w:vertAlign w:val="superscript"/>
              </w:rPr>
              <w:t>(i</w:t>
            </w:r>
            <w:r>
              <w:rPr>
                <w:vertAlign w:val="superscript"/>
              </w:rPr>
              <w:t>i</w:t>
            </w:r>
            <w:r w:rsidRPr="00E944D0">
              <w:rPr>
                <w:vertAlign w:val="superscript"/>
              </w:rPr>
              <w:t>i)</w:t>
            </w:r>
          </w:p>
        </w:tc>
        <w:tc>
          <w:tcPr>
            <w:tcW w:w="1361" w:type="dxa"/>
            <w:shd w:val="clear" w:color="auto" w:fill="EEEEEF" w:themeFill="accent4"/>
            <w:noWrap/>
          </w:tcPr>
          <w:p w14:paraId="52ED3D47" w14:textId="77777777" w:rsidR="00265792" w:rsidRPr="00BA7805" w:rsidRDefault="00265792" w:rsidP="00C67175">
            <w:pPr>
              <w:pStyle w:val="ARfintablebodyright"/>
              <w:rPr>
                <w:highlight w:val="green"/>
              </w:rPr>
            </w:pPr>
            <w:r w:rsidRPr="00B418AA">
              <w:t>48.5</w:t>
            </w:r>
          </w:p>
        </w:tc>
        <w:tc>
          <w:tcPr>
            <w:tcW w:w="1361" w:type="dxa"/>
          </w:tcPr>
          <w:p w14:paraId="7254AD5F" w14:textId="77777777" w:rsidR="00265792" w:rsidRPr="00BA7805" w:rsidRDefault="00265792" w:rsidP="00C67175">
            <w:pPr>
              <w:pStyle w:val="ARfintablebodyright"/>
              <w:rPr>
                <w:highlight w:val="green"/>
              </w:rPr>
            </w:pPr>
            <w:r w:rsidRPr="00B418AA">
              <w:t>47.1</w:t>
            </w:r>
          </w:p>
        </w:tc>
      </w:tr>
      <w:tr w:rsidR="00265792" w:rsidRPr="00BA7805" w14:paraId="3828B690" w14:textId="77777777" w:rsidTr="00E944D0">
        <w:tc>
          <w:tcPr>
            <w:tcW w:w="6917" w:type="dxa"/>
          </w:tcPr>
          <w:p w14:paraId="5AF0363A" w14:textId="77777777" w:rsidR="00265792" w:rsidRPr="00BA7805" w:rsidRDefault="00265792" w:rsidP="00C67175">
            <w:pPr>
              <w:pStyle w:val="ARfintablebody"/>
              <w:rPr>
                <w:highlight w:val="green"/>
              </w:rPr>
            </w:pPr>
            <w:proofErr w:type="spellStart"/>
            <w:r w:rsidRPr="00B418AA">
              <w:t>RentAssist</w:t>
            </w:r>
            <w:proofErr w:type="spellEnd"/>
            <w:r w:rsidRPr="00B418AA">
              <w:t xml:space="preserve"> bonds</w:t>
            </w:r>
          </w:p>
        </w:tc>
        <w:tc>
          <w:tcPr>
            <w:tcW w:w="1361" w:type="dxa"/>
            <w:shd w:val="clear" w:color="auto" w:fill="EEEEEF" w:themeFill="accent4"/>
            <w:noWrap/>
          </w:tcPr>
          <w:p w14:paraId="4C5D3F03" w14:textId="77777777" w:rsidR="00265792" w:rsidRPr="00BA7805" w:rsidRDefault="00265792" w:rsidP="00C67175">
            <w:pPr>
              <w:pStyle w:val="ARfintablebodyright"/>
              <w:rPr>
                <w:highlight w:val="green"/>
              </w:rPr>
            </w:pPr>
            <w:r w:rsidRPr="00B418AA">
              <w:t>0.3</w:t>
            </w:r>
          </w:p>
        </w:tc>
        <w:tc>
          <w:tcPr>
            <w:tcW w:w="1361" w:type="dxa"/>
          </w:tcPr>
          <w:p w14:paraId="30473E2B" w14:textId="77777777" w:rsidR="00265792" w:rsidRPr="00BA7805" w:rsidRDefault="00265792" w:rsidP="00C67175">
            <w:pPr>
              <w:pStyle w:val="ARfintablebodyright"/>
              <w:rPr>
                <w:highlight w:val="green"/>
              </w:rPr>
            </w:pPr>
            <w:r w:rsidRPr="00B418AA">
              <w:t>0.3</w:t>
            </w:r>
          </w:p>
        </w:tc>
      </w:tr>
      <w:tr w:rsidR="00265792" w:rsidRPr="00BA7805" w14:paraId="141FC492" w14:textId="77777777" w:rsidTr="00E944D0">
        <w:trPr>
          <w:cnfStyle w:val="010000000000" w:firstRow="0" w:lastRow="1" w:firstColumn="0" w:lastColumn="0" w:oddVBand="0" w:evenVBand="0" w:oddHBand="0" w:evenHBand="0" w:firstRowFirstColumn="0" w:firstRowLastColumn="0" w:lastRowFirstColumn="0" w:lastRowLastColumn="0"/>
        </w:trPr>
        <w:tc>
          <w:tcPr>
            <w:tcW w:w="6917" w:type="dxa"/>
          </w:tcPr>
          <w:p w14:paraId="0CF07BF8" w14:textId="77777777" w:rsidR="00265792" w:rsidRPr="00BA7805" w:rsidRDefault="00265792" w:rsidP="00E944D0">
            <w:pPr>
              <w:pStyle w:val="ARfintablebodybold"/>
              <w:rPr>
                <w:highlight w:val="green"/>
              </w:rPr>
            </w:pPr>
            <w:r w:rsidRPr="00B418AA">
              <w:t>Balance as per cash flow statement</w:t>
            </w:r>
          </w:p>
        </w:tc>
        <w:tc>
          <w:tcPr>
            <w:tcW w:w="1361" w:type="dxa"/>
            <w:shd w:val="clear" w:color="auto" w:fill="EEEEEF" w:themeFill="accent4"/>
            <w:noWrap/>
          </w:tcPr>
          <w:p w14:paraId="00D0A1C7" w14:textId="77777777" w:rsidR="00265792" w:rsidRPr="00BA7805" w:rsidRDefault="00265792" w:rsidP="00E944D0">
            <w:pPr>
              <w:pStyle w:val="ARfintablebodyrightbold"/>
              <w:rPr>
                <w:highlight w:val="green"/>
              </w:rPr>
            </w:pPr>
            <w:r w:rsidRPr="00B418AA">
              <w:t>1,</w:t>
            </w:r>
            <w:r>
              <w:t>312</w:t>
            </w:r>
            <w:r w:rsidRPr="00B418AA">
              <w:t>.</w:t>
            </w:r>
            <w:r>
              <w:t>2</w:t>
            </w:r>
          </w:p>
        </w:tc>
        <w:tc>
          <w:tcPr>
            <w:tcW w:w="1361" w:type="dxa"/>
          </w:tcPr>
          <w:p w14:paraId="5EDB0A1C" w14:textId="77777777" w:rsidR="00265792" w:rsidRPr="00BA7805" w:rsidRDefault="00265792" w:rsidP="00E944D0">
            <w:pPr>
              <w:pStyle w:val="ARfintablebodyrightbold"/>
              <w:rPr>
                <w:highlight w:val="green"/>
              </w:rPr>
            </w:pPr>
            <w:r>
              <w:t>721.7</w:t>
            </w:r>
          </w:p>
        </w:tc>
      </w:tr>
    </w:tbl>
    <w:p w14:paraId="21C4BF4D" w14:textId="77777777" w:rsidR="00265792" w:rsidRDefault="00265792" w:rsidP="00DB407D">
      <w:pPr>
        <w:pStyle w:val="ARfintablefootnote"/>
      </w:pPr>
      <w:r>
        <w:t>Notes:</w:t>
      </w:r>
    </w:p>
    <w:p w14:paraId="13EBB189" w14:textId="77777777" w:rsidR="00265792" w:rsidRDefault="00265792">
      <w:pPr>
        <w:pStyle w:val="ARfintablefootnotetabindent"/>
      </w:pPr>
      <w:r>
        <w:t>(</w:t>
      </w:r>
      <w:proofErr w:type="spellStart"/>
      <w:r>
        <w:t>i</w:t>
      </w:r>
      <w:proofErr w:type="spellEnd"/>
      <w:r>
        <w:t xml:space="preserve">) </w:t>
      </w:r>
      <w:r>
        <w:tab/>
        <w:t xml:space="preserve">Cash and short-term deposits include funds held by Homes Victoria in the Central Banking System as well as funds that have been </w:t>
      </w:r>
      <w:r w:rsidRPr="00A54DE5">
        <w:t>committed</w:t>
      </w:r>
      <w:r>
        <w:t xml:space="preserve"> to </w:t>
      </w:r>
      <w:proofErr w:type="gramStart"/>
      <w:r>
        <w:t>a number of</w:t>
      </w:r>
      <w:proofErr w:type="gramEnd"/>
      <w:r>
        <w:t xml:space="preserve"> significant projects and are expected to be expensed in 2025–26 (as disclosed in Note 7.5).</w:t>
      </w:r>
    </w:p>
    <w:p w14:paraId="54068FF6" w14:textId="18153ED0" w:rsidR="00265792" w:rsidRDefault="00265792">
      <w:pPr>
        <w:pStyle w:val="ARfintablefootnotetabindent"/>
      </w:pPr>
      <w:r>
        <w:t xml:space="preserve">(ii) </w:t>
      </w:r>
      <w:r>
        <w:tab/>
      </w:r>
      <w:r w:rsidR="000C6C75" w:rsidRPr="000C6C75">
        <w:t>As of 30 June 2025, the department held restricted cash of $267.1 million (2024: $121.2 million) representing funds set aside for</w:t>
      </w:r>
      <w:r w:rsidR="000C6C75">
        <w:t> </w:t>
      </w:r>
      <w:r w:rsidR="000C6C75" w:rsidRPr="000C6C75">
        <w:t>settling obligations under its various services concession arrangements. These balances are not available for general operational</w:t>
      </w:r>
      <w:r w:rsidR="000C6C75">
        <w:t> </w:t>
      </w:r>
      <w:r w:rsidR="000C6C75" w:rsidRPr="000C6C75">
        <w:t>use</w:t>
      </w:r>
      <w:r>
        <w:t>.</w:t>
      </w:r>
    </w:p>
    <w:p w14:paraId="1ACDBD3E" w14:textId="77777777" w:rsidR="00265792" w:rsidRDefault="00265792" w:rsidP="00DB407D">
      <w:pPr>
        <w:pStyle w:val="ARfintablefootnotetabindent"/>
      </w:pPr>
      <w:r w:rsidRPr="001F782F">
        <w:t>(i</w:t>
      </w:r>
      <w:r>
        <w:t>i</w:t>
      </w:r>
      <w:r w:rsidRPr="001F782F">
        <w:t xml:space="preserve">i) </w:t>
      </w:r>
      <w:r w:rsidRPr="001F782F">
        <w:tab/>
        <w:t>Please refer to Note 7.4.1 Trust account balances for further details.</w:t>
      </w:r>
    </w:p>
    <w:p w14:paraId="61E1A413" w14:textId="77777777" w:rsidR="00265792" w:rsidRDefault="00265792">
      <w:pPr>
        <w:pStyle w:val="ARfinbodyaftertable"/>
      </w:pPr>
      <w:r>
        <w:t xml:space="preserve">Due to the state’s investment policy and funding arrangements, the department does not hold a large cash reserve in its bank accounts. Cash received from generation of income is generally paid into the state’s bank account (‘public account’). Similarly, departmental expenditure, including in the form of cheques drawn for the payments to its suppliers and creditors, are made </w:t>
      </w:r>
      <w:r w:rsidRPr="00A54DE5">
        <w:t>via</w:t>
      </w:r>
      <w:r>
        <w:t xml:space="preserve"> the public account. The public account remits to the department the cash required upon presentation of cheques by the department’s suppliers or creditors.</w:t>
      </w:r>
    </w:p>
    <w:p w14:paraId="286061B8" w14:textId="77777777" w:rsidR="00265792" w:rsidRDefault="00265792" w:rsidP="002542E1">
      <w:pPr>
        <w:pStyle w:val="ARbody"/>
        <w:rPr>
          <w:rFonts w:eastAsia="MS Mincho"/>
          <w:color w:val="000000"/>
          <w:sz w:val="18"/>
          <w:szCs w:val="16"/>
          <w:lang w:eastAsia="en-AU"/>
        </w:rPr>
      </w:pPr>
      <w:r>
        <w:br w:type="page"/>
      </w:r>
    </w:p>
    <w:p w14:paraId="14918A24" w14:textId="77777777" w:rsidR="00265792" w:rsidRPr="00BA7805" w:rsidRDefault="00265792" w:rsidP="00207901">
      <w:pPr>
        <w:pStyle w:val="Heading5"/>
        <w:rPr>
          <w:highlight w:val="green"/>
        </w:rPr>
      </w:pPr>
      <w:r w:rsidRPr="006B2B33">
        <w:lastRenderedPageBreak/>
        <w:t>7.3.1 Reconciliation of net result for the period to net cash flow from operating activities</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3AB5C94F" w14:textId="77777777" w:rsidTr="00DF04D2">
        <w:trPr>
          <w:cnfStyle w:val="100000000000" w:firstRow="1" w:lastRow="0" w:firstColumn="0" w:lastColumn="0" w:oddVBand="0" w:evenVBand="0" w:oddHBand="0" w:evenHBand="0" w:firstRowFirstColumn="0" w:firstRowLastColumn="0" w:lastRowFirstColumn="0" w:lastRowLastColumn="0"/>
        </w:trPr>
        <w:tc>
          <w:tcPr>
            <w:tcW w:w="6915" w:type="dxa"/>
            <w:hideMark/>
          </w:tcPr>
          <w:p w14:paraId="2E6D46B2" w14:textId="77777777" w:rsidR="00265792" w:rsidRPr="00BA7805" w:rsidRDefault="00265792">
            <w:pPr>
              <w:pStyle w:val="ARfintablecolhead"/>
              <w:rPr>
                <w:highlight w:val="green"/>
              </w:rPr>
            </w:pPr>
          </w:p>
        </w:tc>
        <w:tc>
          <w:tcPr>
            <w:tcW w:w="1361" w:type="dxa"/>
            <w:shd w:val="clear" w:color="auto" w:fill="EEEEEF" w:themeFill="accent4"/>
            <w:hideMark/>
          </w:tcPr>
          <w:p w14:paraId="313DD64F" w14:textId="77777777" w:rsidR="00265792" w:rsidRPr="00877DF9" w:rsidRDefault="00265792">
            <w:pPr>
              <w:pStyle w:val="ARfintablecolheadright"/>
            </w:pPr>
            <w:r w:rsidRPr="00877DF9">
              <w:t>202</w:t>
            </w:r>
            <w:r>
              <w:t>5</w:t>
            </w:r>
          </w:p>
          <w:p w14:paraId="2C535EA8" w14:textId="77777777" w:rsidR="00265792" w:rsidRPr="00877DF9" w:rsidRDefault="00265792">
            <w:pPr>
              <w:pStyle w:val="ARfintablecolheadright"/>
            </w:pPr>
            <w:r w:rsidRPr="00877DF9">
              <w:t>$M</w:t>
            </w:r>
          </w:p>
        </w:tc>
        <w:tc>
          <w:tcPr>
            <w:tcW w:w="1361" w:type="dxa"/>
            <w:hideMark/>
          </w:tcPr>
          <w:p w14:paraId="1563113A" w14:textId="77777777" w:rsidR="00265792" w:rsidRPr="00877DF9" w:rsidRDefault="00265792">
            <w:pPr>
              <w:pStyle w:val="ARfintablecolheadright"/>
            </w:pPr>
            <w:r w:rsidRPr="00877DF9">
              <w:t>202</w:t>
            </w:r>
            <w:r>
              <w:t>4</w:t>
            </w:r>
          </w:p>
          <w:p w14:paraId="14988868" w14:textId="77777777" w:rsidR="00265792" w:rsidRPr="00877DF9" w:rsidRDefault="00265792">
            <w:pPr>
              <w:pStyle w:val="ARfintablecolheadright"/>
            </w:pPr>
            <w:r w:rsidRPr="00877DF9">
              <w:t>$M</w:t>
            </w:r>
          </w:p>
        </w:tc>
      </w:tr>
      <w:tr w:rsidR="00265792" w:rsidRPr="00BA7805" w14:paraId="71EF60C4" w14:textId="77777777" w:rsidTr="00DF04D2">
        <w:tc>
          <w:tcPr>
            <w:tcW w:w="6915" w:type="dxa"/>
            <w:tcBorders>
              <w:top w:val="single" w:sz="4" w:space="0" w:color="000000" w:themeColor="text1"/>
              <w:bottom w:val="single" w:sz="4" w:space="0" w:color="000000" w:themeColor="text1"/>
            </w:tcBorders>
          </w:tcPr>
          <w:p w14:paraId="6AF8B922" w14:textId="77777777" w:rsidR="00265792" w:rsidRPr="00BA7805" w:rsidRDefault="00265792" w:rsidP="00DF04D2">
            <w:pPr>
              <w:pStyle w:val="ARfintablebodybold"/>
              <w:rPr>
                <w:highlight w:val="green"/>
              </w:rPr>
            </w:pPr>
            <w:r w:rsidRPr="00EF5ADF">
              <w:t>Net result for the period</w:t>
            </w:r>
          </w:p>
        </w:tc>
        <w:tc>
          <w:tcPr>
            <w:tcW w:w="1361" w:type="dxa"/>
            <w:tcBorders>
              <w:top w:val="single" w:sz="4" w:space="0" w:color="000000" w:themeColor="text1"/>
              <w:bottom w:val="single" w:sz="4" w:space="0" w:color="000000" w:themeColor="text1"/>
            </w:tcBorders>
            <w:shd w:val="clear" w:color="auto" w:fill="EEEEEF" w:themeFill="accent4"/>
            <w:noWrap/>
          </w:tcPr>
          <w:p w14:paraId="62E33A98" w14:textId="77777777" w:rsidR="00265792" w:rsidRPr="006149D0" w:rsidRDefault="00265792" w:rsidP="006149D0">
            <w:pPr>
              <w:pStyle w:val="ARfintablebodyrightbold"/>
              <w:rPr>
                <w:highlight w:val="green"/>
              </w:rPr>
            </w:pPr>
            <w:r w:rsidRPr="006149D0">
              <w:t>(522.2)</w:t>
            </w:r>
          </w:p>
        </w:tc>
        <w:tc>
          <w:tcPr>
            <w:tcW w:w="1361" w:type="dxa"/>
            <w:tcBorders>
              <w:top w:val="single" w:sz="4" w:space="0" w:color="000000" w:themeColor="text1"/>
              <w:bottom w:val="single" w:sz="4" w:space="0" w:color="000000" w:themeColor="text1"/>
            </w:tcBorders>
            <w:noWrap/>
          </w:tcPr>
          <w:p w14:paraId="424BD321" w14:textId="77777777" w:rsidR="00265792" w:rsidRPr="006149D0" w:rsidRDefault="00265792" w:rsidP="006149D0">
            <w:pPr>
              <w:pStyle w:val="ARfintablebodyrightbold"/>
              <w:rPr>
                <w:highlight w:val="green"/>
              </w:rPr>
            </w:pPr>
            <w:r w:rsidRPr="006149D0">
              <w:t>(638.4)</w:t>
            </w:r>
          </w:p>
        </w:tc>
      </w:tr>
      <w:tr w:rsidR="00265792" w:rsidRPr="00BA7805" w14:paraId="516003BD" w14:textId="77777777" w:rsidTr="00DF04D2">
        <w:tc>
          <w:tcPr>
            <w:tcW w:w="6915" w:type="dxa"/>
            <w:tcBorders>
              <w:top w:val="single" w:sz="4" w:space="0" w:color="000000" w:themeColor="text1"/>
              <w:bottom w:val="single" w:sz="4" w:space="0" w:color="A6A6A6" w:themeColor="accent5"/>
            </w:tcBorders>
          </w:tcPr>
          <w:p w14:paraId="07603FDC" w14:textId="77777777" w:rsidR="00265792" w:rsidRPr="00BA7805" w:rsidRDefault="00265792" w:rsidP="00DF04D2">
            <w:pPr>
              <w:pStyle w:val="ARfintablebodybold"/>
              <w:rPr>
                <w:highlight w:val="green"/>
              </w:rPr>
            </w:pPr>
            <w:r w:rsidRPr="00EF5ADF">
              <w:t>Non-cash movements</w:t>
            </w:r>
          </w:p>
        </w:tc>
        <w:tc>
          <w:tcPr>
            <w:tcW w:w="1361" w:type="dxa"/>
            <w:tcBorders>
              <w:top w:val="single" w:sz="4" w:space="0" w:color="000000" w:themeColor="text1"/>
              <w:bottom w:val="single" w:sz="4" w:space="0" w:color="A6A6A6" w:themeColor="accent5"/>
            </w:tcBorders>
            <w:noWrap/>
          </w:tcPr>
          <w:p w14:paraId="127E89C1" w14:textId="77777777" w:rsidR="00265792" w:rsidRPr="00CF4569" w:rsidRDefault="00265792" w:rsidP="0077000F">
            <w:pPr>
              <w:pStyle w:val="ARfintablebodyright"/>
              <w:ind w:right="0"/>
              <w:rPr>
                <w:highlight w:val="green"/>
              </w:rPr>
            </w:pPr>
          </w:p>
        </w:tc>
        <w:tc>
          <w:tcPr>
            <w:tcW w:w="1361" w:type="dxa"/>
            <w:tcBorders>
              <w:top w:val="single" w:sz="4" w:space="0" w:color="000000" w:themeColor="text1"/>
              <w:bottom w:val="single" w:sz="4" w:space="0" w:color="A6A6A6" w:themeColor="accent5"/>
            </w:tcBorders>
            <w:noWrap/>
          </w:tcPr>
          <w:p w14:paraId="1B7778BF" w14:textId="77777777" w:rsidR="00265792" w:rsidRPr="00CF4569" w:rsidRDefault="00265792" w:rsidP="0077000F">
            <w:pPr>
              <w:pStyle w:val="ARfintablebodyright"/>
              <w:ind w:right="0"/>
              <w:rPr>
                <w:highlight w:val="green"/>
              </w:rPr>
            </w:pPr>
          </w:p>
        </w:tc>
      </w:tr>
      <w:tr w:rsidR="00265792" w:rsidRPr="00BA7805" w14:paraId="41DC2680" w14:textId="77777777" w:rsidTr="00DF04D2">
        <w:tc>
          <w:tcPr>
            <w:tcW w:w="6915" w:type="dxa"/>
            <w:tcBorders>
              <w:top w:val="single" w:sz="4" w:space="0" w:color="A6A6A6" w:themeColor="accent5"/>
            </w:tcBorders>
          </w:tcPr>
          <w:p w14:paraId="6B7C4705" w14:textId="77777777" w:rsidR="00265792" w:rsidRPr="00BA7805" w:rsidRDefault="00265792" w:rsidP="00CF4569">
            <w:pPr>
              <w:pStyle w:val="ARfintablebody"/>
              <w:rPr>
                <w:highlight w:val="green"/>
              </w:rPr>
            </w:pPr>
            <w:r w:rsidRPr="00EF5ADF">
              <w:t>(Gain)/loss on sale of non-financial assets</w:t>
            </w:r>
          </w:p>
        </w:tc>
        <w:tc>
          <w:tcPr>
            <w:tcW w:w="1361" w:type="dxa"/>
            <w:tcBorders>
              <w:top w:val="single" w:sz="4" w:space="0" w:color="A6A6A6" w:themeColor="accent5"/>
            </w:tcBorders>
            <w:shd w:val="clear" w:color="auto" w:fill="EEEEEF" w:themeFill="accent4"/>
            <w:noWrap/>
          </w:tcPr>
          <w:p w14:paraId="19BD7119" w14:textId="77777777" w:rsidR="00265792" w:rsidRPr="006149D0" w:rsidRDefault="00265792" w:rsidP="006149D0">
            <w:pPr>
              <w:pStyle w:val="ARfintablebodyright"/>
              <w:rPr>
                <w:highlight w:val="green"/>
              </w:rPr>
            </w:pPr>
            <w:r w:rsidRPr="006149D0">
              <w:t>6.5</w:t>
            </w:r>
          </w:p>
        </w:tc>
        <w:tc>
          <w:tcPr>
            <w:tcW w:w="1361" w:type="dxa"/>
            <w:tcBorders>
              <w:top w:val="single" w:sz="4" w:space="0" w:color="A6A6A6" w:themeColor="accent5"/>
            </w:tcBorders>
            <w:noWrap/>
          </w:tcPr>
          <w:p w14:paraId="13A87D50" w14:textId="77777777" w:rsidR="00265792" w:rsidRPr="006149D0" w:rsidRDefault="00265792" w:rsidP="006149D0">
            <w:pPr>
              <w:pStyle w:val="ARfintablebodyright"/>
              <w:rPr>
                <w:highlight w:val="green"/>
              </w:rPr>
            </w:pPr>
            <w:r w:rsidRPr="006149D0">
              <w:t>8.6</w:t>
            </w:r>
          </w:p>
        </w:tc>
      </w:tr>
      <w:tr w:rsidR="00265792" w:rsidRPr="00BA7805" w14:paraId="543D3932" w14:textId="77777777" w:rsidTr="00DF04D2">
        <w:tc>
          <w:tcPr>
            <w:tcW w:w="6915" w:type="dxa"/>
          </w:tcPr>
          <w:p w14:paraId="35BDDE6F" w14:textId="77777777" w:rsidR="00265792" w:rsidRPr="00BA7805" w:rsidRDefault="00265792" w:rsidP="00CF4569">
            <w:pPr>
              <w:pStyle w:val="ARfintablebody"/>
              <w:rPr>
                <w:highlight w:val="green"/>
              </w:rPr>
            </w:pPr>
            <w:r w:rsidRPr="00EF5ADF">
              <w:t>Depreciation and amortisation</w:t>
            </w:r>
          </w:p>
        </w:tc>
        <w:tc>
          <w:tcPr>
            <w:tcW w:w="1361" w:type="dxa"/>
            <w:shd w:val="clear" w:color="auto" w:fill="EEEEEF" w:themeFill="accent4"/>
            <w:noWrap/>
          </w:tcPr>
          <w:p w14:paraId="500B0B4F" w14:textId="77777777" w:rsidR="00265792" w:rsidRPr="006149D0" w:rsidRDefault="00265792" w:rsidP="006149D0">
            <w:pPr>
              <w:pStyle w:val="ARfintablebodyright"/>
              <w:rPr>
                <w:highlight w:val="green"/>
              </w:rPr>
            </w:pPr>
            <w:r w:rsidRPr="006149D0">
              <w:t>535.4</w:t>
            </w:r>
          </w:p>
        </w:tc>
        <w:tc>
          <w:tcPr>
            <w:tcW w:w="1361" w:type="dxa"/>
            <w:noWrap/>
          </w:tcPr>
          <w:p w14:paraId="52BDBE60" w14:textId="77777777" w:rsidR="00265792" w:rsidRPr="006149D0" w:rsidRDefault="00265792" w:rsidP="006149D0">
            <w:pPr>
              <w:pStyle w:val="ARfintablebodyright"/>
              <w:rPr>
                <w:highlight w:val="green"/>
              </w:rPr>
            </w:pPr>
            <w:r w:rsidRPr="006149D0">
              <w:t>410.0</w:t>
            </w:r>
          </w:p>
        </w:tc>
      </w:tr>
      <w:tr w:rsidR="00265792" w:rsidRPr="00BA7805" w14:paraId="1CC48F3D" w14:textId="77777777" w:rsidTr="00DF04D2">
        <w:tc>
          <w:tcPr>
            <w:tcW w:w="6915" w:type="dxa"/>
          </w:tcPr>
          <w:p w14:paraId="4BC82894" w14:textId="77777777" w:rsidR="00265792" w:rsidRPr="00BA7805" w:rsidRDefault="00265792" w:rsidP="00CF4569">
            <w:pPr>
              <w:pStyle w:val="ARfintablebody"/>
              <w:rPr>
                <w:highlight w:val="green"/>
              </w:rPr>
            </w:pPr>
            <w:r w:rsidRPr="00EF5ADF">
              <w:t>Resources (received)/provided free of charge</w:t>
            </w:r>
          </w:p>
        </w:tc>
        <w:tc>
          <w:tcPr>
            <w:tcW w:w="1361" w:type="dxa"/>
            <w:shd w:val="clear" w:color="auto" w:fill="EEEEEF" w:themeFill="accent4"/>
            <w:noWrap/>
          </w:tcPr>
          <w:p w14:paraId="58C98171" w14:textId="77777777" w:rsidR="00265792" w:rsidRPr="006149D0" w:rsidRDefault="00265792" w:rsidP="006149D0">
            <w:pPr>
              <w:pStyle w:val="ARfintablebodyright"/>
              <w:rPr>
                <w:highlight w:val="green"/>
              </w:rPr>
            </w:pPr>
            <w:r w:rsidRPr="006149D0">
              <w:t>2.6</w:t>
            </w:r>
          </w:p>
        </w:tc>
        <w:tc>
          <w:tcPr>
            <w:tcW w:w="1361" w:type="dxa"/>
            <w:noWrap/>
          </w:tcPr>
          <w:p w14:paraId="4577B76C" w14:textId="77777777" w:rsidR="00265792" w:rsidRPr="006149D0" w:rsidRDefault="00265792" w:rsidP="006149D0">
            <w:pPr>
              <w:pStyle w:val="ARfintablebodyright"/>
              <w:rPr>
                <w:highlight w:val="green"/>
              </w:rPr>
            </w:pPr>
            <w:r w:rsidRPr="006149D0">
              <w:t>–</w:t>
            </w:r>
          </w:p>
        </w:tc>
      </w:tr>
      <w:tr w:rsidR="00265792" w:rsidRPr="00BA7805" w14:paraId="5D652130" w14:textId="77777777" w:rsidTr="00DF04D2">
        <w:tc>
          <w:tcPr>
            <w:tcW w:w="6915" w:type="dxa"/>
          </w:tcPr>
          <w:p w14:paraId="3BB7EB4E" w14:textId="77777777" w:rsidR="00265792" w:rsidRPr="00BA7805" w:rsidRDefault="00265792" w:rsidP="00DF04D2">
            <w:pPr>
              <w:pStyle w:val="ARfintablebodybold"/>
              <w:rPr>
                <w:highlight w:val="green"/>
              </w:rPr>
            </w:pPr>
            <w:r w:rsidRPr="00EF5ADF">
              <w:t>Movements in assets and liabilities</w:t>
            </w:r>
          </w:p>
        </w:tc>
        <w:tc>
          <w:tcPr>
            <w:tcW w:w="1361" w:type="dxa"/>
            <w:noWrap/>
          </w:tcPr>
          <w:p w14:paraId="19CAE881" w14:textId="77777777" w:rsidR="00265792" w:rsidRPr="006149D0" w:rsidRDefault="00265792" w:rsidP="006149D0">
            <w:pPr>
              <w:pStyle w:val="ARfintablebodyright"/>
              <w:rPr>
                <w:highlight w:val="green"/>
              </w:rPr>
            </w:pPr>
          </w:p>
        </w:tc>
        <w:tc>
          <w:tcPr>
            <w:tcW w:w="1361" w:type="dxa"/>
            <w:noWrap/>
          </w:tcPr>
          <w:p w14:paraId="18465630" w14:textId="77777777" w:rsidR="00265792" w:rsidRPr="006149D0" w:rsidRDefault="00265792" w:rsidP="006149D0">
            <w:pPr>
              <w:pStyle w:val="ARfintablebodyright"/>
              <w:rPr>
                <w:highlight w:val="green"/>
              </w:rPr>
            </w:pPr>
          </w:p>
        </w:tc>
      </w:tr>
      <w:tr w:rsidR="00265792" w:rsidRPr="00BA7805" w14:paraId="3ABE9C40" w14:textId="77777777" w:rsidTr="00DF04D2">
        <w:tc>
          <w:tcPr>
            <w:tcW w:w="6915" w:type="dxa"/>
          </w:tcPr>
          <w:p w14:paraId="0BB71FA8" w14:textId="77777777" w:rsidR="00265792" w:rsidRPr="00BA7805" w:rsidRDefault="00265792" w:rsidP="00DF04D2">
            <w:pPr>
              <w:pStyle w:val="ARfintablebodybold"/>
              <w:rPr>
                <w:highlight w:val="green"/>
              </w:rPr>
            </w:pPr>
            <w:r w:rsidRPr="00EF5ADF">
              <w:t>Financial assets</w:t>
            </w:r>
          </w:p>
        </w:tc>
        <w:tc>
          <w:tcPr>
            <w:tcW w:w="1361" w:type="dxa"/>
            <w:noWrap/>
          </w:tcPr>
          <w:p w14:paraId="0B46351E" w14:textId="77777777" w:rsidR="00265792" w:rsidRPr="006149D0" w:rsidRDefault="00265792" w:rsidP="006149D0">
            <w:pPr>
              <w:pStyle w:val="ARfintablebodyright"/>
              <w:rPr>
                <w:highlight w:val="green"/>
              </w:rPr>
            </w:pPr>
          </w:p>
        </w:tc>
        <w:tc>
          <w:tcPr>
            <w:tcW w:w="1361" w:type="dxa"/>
            <w:noWrap/>
          </w:tcPr>
          <w:p w14:paraId="1F708582" w14:textId="77777777" w:rsidR="00265792" w:rsidRPr="006149D0" w:rsidRDefault="00265792" w:rsidP="006149D0">
            <w:pPr>
              <w:pStyle w:val="ARfintablebodyright"/>
              <w:rPr>
                <w:highlight w:val="green"/>
              </w:rPr>
            </w:pPr>
          </w:p>
        </w:tc>
      </w:tr>
      <w:tr w:rsidR="00265792" w:rsidRPr="00BA7805" w14:paraId="491C843D" w14:textId="77777777" w:rsidTr="00DF04D2">
        <w:tc>
          <w:tcPr>
            <w:tcW w:w="6915" w:type="dxa"/>
          </w:tcPr>
          <w:p w14:paraId="3D7D1CCA" w14:textId="77777777" w:rsidR="00265792" w:rsidRPr="00BA7805" w:rsidRDefault="00265792" w:rsidP="00CF4569">
            <w:pPr>
              <w:pStyle w:val="ARfintablebody"/>
              <w:rPr>
                <w:highlight w:val="green"/>
              </w:rPr>
            </w:pPr>
            <w:r w:rsidRPr="00EF5ADF">
              <w:t>(Increase)/decrease in receivables</w:t>
            </w:r>
          </w:p>
        </w:tc>
        <w:tc>
          <w:tcPr>
            <w:tcW w:w="1361" w:type="dxa"/>
            <w:shd w:val="clear" w:color="auto" w:fill="EEEEEF" w:themeFill="accent4"/>
            <w:noWrap/>
          </w:tcPr>
          <w:p w14:paraId="03C64D8C" w14:textId="77777777" w:rsidR="00265792" w:rsidRPr="006149D0" w:rsidRDefault="00265792" w:rsidP="006149D0">
            <w:pPr>
              <w:pStyle w:val="ARfintablebodyright"/>
              <w:rPr>
                <w:highlight w:val="green"/>
              </w:rPr>
            </w:pPr>
            <w:r>
              <w:t>86.4</w:t>
            </w:r>
          </w:p>
        </w:tc>
        <w:tc>
          <w:tcPr>
            <w:tcW w:w="1361" w:type="dxa"/>
            <w:noWrap/>
          </w:tcPr>
          <w:p w14:paraId="6999B75E" w14:textId="77777777" w:rsidR="00265792" w:rsidRPr="006149D0" w:rsidRDefault="00265792" w:rsidP="006149D0">
            <w:pPr>
              <w:pStyle w:val="ARfintablebodyright"/>
              <w:rPr>
                <w:highlight w:val="green"/>
              </w:rPr>
            </w:pPr>
            <w:r w:rsidRPr="006149D0">
              <w:t>(</w:t>
            </w:r>
            <w:r>
              <w:t>346.6</w:t>
            </w:r>
            <w:r w:rsidRPr="006149D0">
              <w:t>)</w:t>
            </w:r>
          </w:p>
        </w:tc>
      </w:tr>
      <w:tr w:rsidR="00265792" w:rsidRPr="00BA7805" w14:paraId="0F6EF59A" w14:textId="77777777" w:rsidTr="00DF04D2">
        <w:tc>
          <w:tcPr>
            <w:tcW w:w="6915" w:type="dxa"/>
          </w:tcPr>
          <w:p w14:paraId="6609F1FF" w14:textId="77777777" w:rsidR="00265792" w:rsidRPr="00BA7805" w:rsidRDefault="00265792" w:rsidP="00CF4569">
            <w:pPr>
              <w:pStyle w:val="ARfintablebody"/>
              <w:rPr>
                <w:highlight w:val="green"/>
              </w:rPr>
            </w:pPr>
            <w:r w:rsidRPr="00EF5ADF">
              <w:t>(Increase)/decrease in prepayments</w:t>
            </w:r>
          </w:p>
        </w:tc>
        <w:tc>
          <w:tcPr>
            <w:tcW w:w="1361" w:type="dxa"/>
            <w:shd w:val="clear" w:color="auto" w:fill="EEEEEF" w:themeFill="accent4"/>
            <w:noWrap/>
          </w:tcPr>
          <w:p w14:paraId="2695BBAC" w14:textId="77777777" w:rsidR="00265792" w:rsidRPr="006149D0" w:rsidRDefault="00265792" w:rsidP="006149D0">
            <w:pPr>
              <w:pStyle w:val="ARfintablebodyright"/>
              <w:rPr>
                <w:highlight w:val="green"/>
              </w:rPr>
            </w:pPr>
            <w:r w:rsidRPr="006149D0">
              <w:t>12.9</w:t>
            </w:r>
          </w:p>
        </w:tc>
        <w:tc>
          <w:tcPr>
            <w:tcW w:w="1361" w:type="dxa"/>
            <w:noWrap/>
          </w:tcPr>
          <w:p w14:paraId="594D8EDF" w14:textId="77777777" w:rsidR="00265792" w:rsidRPr="006149D0" w:rsidRDefault="00265792" w:rsidP="006149D0">
            <w:pPr>
              <w:pStyle w:val="ARfintablebodyright"/>
              <w:rPr>
                <w:highlight w:val="green"/>
              </w:rPr>
            </w:pPr>
            <w:r w:rsidRPr="006149D0">
              <w:t>25.0</w:t>
            </w:r>
          </w:p>
        </w:tc>
      </w:tr>
      <w:tr w:rsidR="00265792" w:rsidRPr="00BA7805" w14:paraId="4A6F0768" w14:textId="77777777" w:rsidTr="00DF04D2">
        <w:tc>
          <w:tcPr>
            <w:tcW w:w="6915" w:type="dxa"/>
          </w:tcPr>
          <w:p w14:paraId="2ED0E0B3" w14:textId="77777777" w:rsidR="00265792" w:rsidRPr="002C7359" w:rsidRDefault="00265792" w:rsidP="00CF4569">
            <w:pPr>
              <w:pStyle w:val="ARfintablebody"/>
              <w:rPr>
                <w:b/>
                <w:bCs/>
                <w:highlight w:val="green"/>
              </w:rPr>
            </w:pPr>
            <w:r w:rsidRPr="002C7359">
              <w:rPr>
                <w:b/>
                <w:bCs/>
              </w:rPr>
              <w:t>Financial liabilities</w:t>
            </w:r>
          </w:p>
        </w:tc>
        <w:tc>
          <w:tcPr>
            <w:tcW w:w="1361" w:type="dxa"/>
            <w:noWrap/>
          </w:tcPr>
          <w:p w14:paraId="1E48FF02" w14:textId="77777777" w:rsidR="00265792" w:rsidRPr="006149D0" w:rsidRDefault="00265792" w:rsidP="006149D0">
            <w:pPr>
              <w:pStyle w:val="ARfintablebodyright"/>
              <w:rPr>
                <w:highlight w:val="green"/>
              </w:rPr>
            </w:pPr>
          </w:p>
        </w:tc>
        <w:tc>
          <w:tcPr>
            <w:tcW w:w="1361" w:type="dxa"/>
            <w:noWrap/>
          </w:tcPr>
          <w:p w14:paraId="716BAA3E" w14:textId="77777777" w:rsidR="00265792" w:rsidRPr="006149D0" w:rsidRDefault="00265792" w:rsidP="006149D0">
            <w:pPr>
              <w:pStyle w:val="ARfintablebodyright"/>
              <w:rPr>
                <w:highlight w:val="green"/>
              </w:rPr>
            </w:pPr>
          </w:p>
        </w:tc>
      </w:tr>
      <w:tr w:rsidR="00265792" w:rsidRPr="00BA7805" w14:paraId="20C0CD5A" w14:textId="77777777" w:rsidTr="00DF04D2">
        <w:tc>
          <w:tcPr>
            <w:tcW w:w="6915" w:type="dxa"/>
          </w:tcPr>
          <w:p w14:paraId="207BF66D" w14:textId="77777777" w:rsidR="00265792" w:rsidRPr="00B526A6" w:rsidRDefault="00265792" w:rsidP="00CF4569">
            <w:pPr>
              <w:pStyle w:val="ARfintablebody"/>
            </w:pPr>
            <w:r w:rsidRPr="00EF5ADF">
              <w:t>Increase/(decrease) in payables</w:t>
            </w:r>
          </w:p>
        </w:tc>
        <w:tc>
          <w:tcPr>
            <w:tcW w:w="1361" w:type="dxa"/>
            <w:shd w:val="clear" w:color="auto" w:fill="EEEEEF" w:themeFill="accent4"/>
            <w:noWrap/>
          </w:tcPr>
          <w:p w14:paraId="4EA97EAD" w14:textId="77777777" w:rsidR="00265792" w:rsidRPr="006149D0" w:rsidRDefault="00265792" w:rsidP="006149D0">
            <w:pPr>
              <w:pStyle w:val="ARfintablebodyright"/>
            </w:pPr>
            <w:r w:rsidRPr="006149D0">
              <w:t>(21.1)</w:t>
            </w:r>
          </w:p>
        </w:tc>
        <w:tc>
          <w:tcPr>
            <w:tcW w:w="1361" w:type="dxa"/>
            <w:noWrap/>
          </w:tcPr>
          <w:p w14:paraId="576D8CD6" w14:textId="77777777" w:rsidR="00265792" w:rsidRPr="006149D0" w:rsidRDefault="00265792" w:rsidP="006149D0">
            <w:pPr>
              <w:pStyle w:val="ARfintablebodyright"/>
            </w:pPr>
            <w:r w:rsidRPr="006149D0">
              <w:t>120.5</w:t>
            </w:r>
          </w:p>
        </w:tc>
      </w:tr>
      <w:tr w:rsidR="00265792" w:rsidRPr="00BA7805" w14:paraId="2184F9C2" w14:textId="77777777" w:rsidTr="00DF04D2">
        <w:tc>
          <w:tcPr>
            <w:tcW w:w="6915" w:type="dxa"/>
          </w:tcPr>
          <w:p w14:paraId="1F92C6D8" w14:textId="77777777" w:rsidR="00265792" w:rsidRPr="00BA7805" w:rsidRDefault="00265792" w:rsidP="00CF4569">
            <w:pPr>
              <w:pStyle w:val="ARfintablebody"/>
              <w:rPr>
                <w:highlight w:val="green"/>
              </w:rPr>
            </w:pPr>
            <w:r w:rsidRPr="00EF5ADF">
              <w:t>Increase/(decrease) in employee related provisions and other provisions</w:t>
            </w:r>
          </w:p>
        </w:tc>
        <w:tc>
          <w:tcPr>
            <w:tcW w:w="1361" w:type="dxa"/>
            <w:shd w:val="clear" w:color="auto" w:fill="EEEEEF" w:themeFill="accent4"/>
            <w:noWrap/>
          </w:tcPr>
          <w:p w14:paraId="5CE31B71" w14:textId="77777777" w:rsidR="00265792" w:rsidRPr="006149D0" w:rsidRDefault="00265792" w:rsidP="006149D0">
            <w:pPr>
              <w:pStyle w:val="ARfintablebodyright"/>
              <w:rPr>
                <w:highlight w:val="green"/>
              </w:rPr>
            </w:pPr>
            <w:r w:rsidRPr="006149D0">
              <w:t>233.1</w:t>
            </w:r>
          </w:p>
        </w:tc>
        <w:tc>
          <w:tcPr>
            <w:tcW w:w="1361" w:type="dxa"/>
            <w:noWrap/>
          </w:tcPr>
          <w:p w14:paraId="0FA0A920" w14:textId="77777777" w:rsidR="00265792" w:rsidRPr="006149D0" w:rsidRDefault="00265792" w:rsidP="006149D0">
            <w:pPr>
              <w:pStyle w:val="ARfintablebodyright"/>
              <w:rPr>
                <w:highlight w:val="green"/>
              </w:rPr>
            </w:pPr>
            <w:r w:rsidRPr="006149D0">
              <w:t>317.7</w:t>
            </w:r>
          </w:p>
        </w:tc>
      </w:tr>
      <w:tr w:rsidR="00265792" w:rsidRPr="00BA7805" w14:paraId="716C1FA3" w14:textId="77777777" w:rsidTr="00DF04D2">
        <w:trPr>
          <w:cnfStyle w:val="010000000000" w:firstRow="0" w:lastRow="1" w:firstColumn="0" w:lastColumn="0" w:oddVBand="0" w:evenVBand="0" w:oddHBand="0" w:evenHBand="0" w:firstRowFirstColumn="0" w:firstRowLastColumn="0" w:lastRowFirstColumn="0" w:lastRowLastColumn="0"/>
        </w:trPr>
        <w:tc>
          <w:tcPr>
            <w:tcW w:w="6915" w:type="dxa"/>
          </w:tcPr>
          <w:p w14:paraId="056E45BF" w14:textId="77777777" w:rsidR="00265792" w:rsidRPr="00B526A6" w:rsidRDefault="00265792" w:rsidP="00DF04D2">
            <w:pPr>
              <w:pStyle w:val="ARfintablebodybold"/>
            </w:pPr>
            <w:r w:rsidRPr="00EF5ADF">
              <w:t>Net cash flows from</w:t>
            </w:r>
            <w:proofErr w:type="gramStart"/>
            <w:r w:rsidRPr="00EF5ADF">
              <w:t>/(</w:t>
            </w:r>
            <w:proofErr w:type="gramEnd"/>
            <w:r w:rsidRPr="00EF5ADF">
              <w:t>used in) operating activities</w:t>
            </w:r>
          </w:p>
        </w:tc>
        <w:tc>
          <w:tcPr>
            <w:tcW w:w="1361" w:type="dxa"/>
            <w:shd w:val="clear" w:color="auto" w:fill="EEEEEF" w:themeFill="accent4"/>
            <w:noWrap/>
          </w:tcPr>
          <w:p w14:paraId="727661B0" w14:textId="77777777" w:rsidR="00265792" w:rsidRPr="006149D0" w:rsidRDefault="00265792" w:rsidP="006149D0">
            <w:pPr>
              <w:pStyle w:val="ARfintablebodyrightbold"/>
            </w:pPr>
            <w:r>
              <w:t>333.7</w:t>
            </w:r>
          </w:p>
        </w:tc>
        <w:tc>
          <w:tcPr>
            <w:tcW w:w="1361" w:type="dxa"/>
            <w:noWrap/>
          </w:tcPr>
          <w:p w14:paraId="428E8AB5" w14:textId="77777777" w:rsidR="00265792" w:rsidRPr="006149D0" w:rsidRDefault="00265792" w:rsidP="006149D0">
            <w:pPr>
              <w:pStyle w:val="ARfintablebodyrightbold"/>
            </w:pPr>
            <w:r w:rsidRPr="006149D0">
              <w:t>(</w:t>
            </w:r>
            <w:r>
              <w:t>103.2</w:t>
            </w:r>
            <w:r w:rsidRPr="006149D0">
              <w:t>)</w:t>
            </w:r>
          </w:p>
        </w:tc>
      </w:tr>
    </w:tbl>
    <w:p w14:paraId="5C06A0E8" w14:textId="77777777" w:rsidR="00265792" w:rsidRPr="00FD1FEA" w:rsidRDefault="00265792" w:rsidP="002542E1">
      <w:pPr>
        <w:pStyle w:val="ARfinbody"/>
        <w:rPr>
          <w:highlight w:val="green"/>
        </w:rPr>
      </w:pPr>
    </w:p>
    <w:p w14:paraId="0557C551" w14:textId="77777777" w:rsidR="00265792" w:rsidRPr="00BA7805" w:rsidRDefault="00265792">
      <w:pPr>
        <w:pStyle w:val="ARfinbody"/>
        <w:rPr>
          <w:highlight w:val="green"/>
        </w:rPr>
        <w:sectPr w:rsidR="00265792" w:rsidRPr="00BA7805" w:rsidSect="007F43B1">
          <w:footerReference w:type="even" r:id="rId151"/>
          <w:endnotePr>
            <w:numFmt w:val="decimal"/>
          </w:endnotePr>
          <w:pgSz w:w="11906" w:h="16838" w:code="9"/>
          <w:pgMar w:top="1588" w:right="1134" w:bottom="851" w:left="1134" w:header="510" w:footer="340" w:gutter="0"/>
          <w:cols w:space="708"/>
          <w:docGrid w:linePitch="360"/>
        </w:sectPr>
      </w:pPr>
    </w:p>
    <w:p w14:paraId="13397085" w14:textId="77777777" w:rsidR="00265792" w:rsidRPr="000F3599" w:rsidRDefault="00265792">
      <w:pPr>
        <w:pStyle w:val="Heading4"/>
        <w:spacing w:before="0"/>
        <w:rPr>
          <w:lang w:eastAsia="en-AU"/>
        </w:rPr>
      </w:pPr>
      <w:r w:rsidRPr="000F3599">
        <w:rPr>
          <w:lang w:eastAsia="en-AU"/>
        </w:rPr>
        <w:lastRenderedPageBreak/>
        <w:t>7.4 Trust account</w:t>
      </w:r>
    </w:p>
    <w:p w14:paraId="1D9E6BB8" w14:textId="77777777" w:rsidR="00265792" w:rsidRDefault="00265792" w:rsidP="0074244A">
      <w:pPr>
        <w:pStyle w:val="Heading5"/>
      </w:pPr>
      <w:r>
        <w:t>7.4.1 Trust account balances</w:t>
      </w:r>
    </w:p>
    <w:p w14:paraId="61973DAB" w14:textId="77777777" w:rsidR="00265792" w:rsidRDefault="00265792" w:rsidP="0074244A">
      <w:pPr>
        <w:pStyle w:val="ARfinbody"/>
      </w:pPr>
      <w:r>
        <w:t xml:space="preserve">The department has responsibility for transactions and balances relating to trust funds held on behalf of third parties external to the department. Funds managed on behalf of third parties are not recognised in these financial statements as they are managed on a fiduciary and custodial </w:t>
      </w:r>
      <w:proofErr w:type="gramStart"/>
      <w:r>
        <w:t>basis, and</w:t>
      </w:r>
      <w:proofErr w:type="gramEnd"/>
      <w:r>
        <w:t xml:space="preserve"> therefore are not controlled by the department. For trust accounts that are controlled by the department, the transactions are incorporated as part of the department’s financial statements. Please refer to Note 7.3 Cash flow information and balances.</w:t>
      </w:r>
    </w:p>
    <w:p w14:paraId="0225C26F" w14:textId="77777777" w:rsidR="00265792" w:rsidRDefault="00265792" w:rsidP="0074244A">
      <w:pPr>
        <w:pStyle w:val="ARfinbody"/>
      </w:pPr>
      <w:r>
        <w:t>Any earnings on the funds held pending distribution are also applied to the trust funds under management as appropriate.</w:t>
      </w:r>
    </w:p>
    <w:p w14:paraId="7DA0D2B8" w14:textId="77777777" w:rsidR="00265792" w:rsidRDefault="00265792" w:rsidP="0075736F">
      <w:pPr>
        <w:pStyle w:val="ARfinbodylargespace"/>
      </w:pPr>
      <w:r>
        <w:t xml:space="preserve">The following is a listing of trust account balances relating to trust accounts controlled and administered by the </w:t>
      </w:r>
      <w:r w:rsidRPr="0075736F">
        <w:t>department</w:t>
      </w:r>
      <w:r>
        <w:t>.</w:t>
      </w:r>
    </w:p>
    <w:tbl>
      <w:tblPr>
        <w:tblStyle w:val="TableGrid"/>
        <w:tblW w:w="5000" w:type="pct"/>
        <w:tblLayout w:type="fixed"/>
        <w:tblLook w:val="06E0" w:firstRow="1" w:lastRow="1" w:firstColumn="1" w:lastColumn="0" w:noHBand="1" w:noVBand="1"/>
      </w:tblPr>
      <w:tblGrid>
        <w:gridCol w:w="3069"/>
        <w:gridCol w:w="1045"/>
        <w:gridCol w:w="1045"/>
        <w:gridCol w:w="1046"/>
        <w:gridCol w:w="1045"/>
        <w:gridCol w:w="1046"/>
        <w:gridCol w:w="1045"/>
        <w:gridCol w:w="1046"/>
        <w:gridCol w:w="1046"/>
        <w:gridCol w:w="1045"/>
        <w:gridCol w:w="1046"/>
        <w:gridCol w:w="1046"/>
      </w:tblGrid>
      <w:tr w:rsidR="004B21C8" w:rsidRPr="00BE649C" w14:paraId="11B25EB6" w14:textId="77777777">
        <w:trPr>
          <w:cnfStyle w:val="100000000000" w:firstRow="1" w:lastRow="0" w:firstColumn="0" w:lastColumn="0" w:oddVBand="0" w:evenVBand="0" w:oddHBand="0" w:evenHBand="0" w:firstRowFirstColumn="0" w:firstRowLastColumn="0" w:lastRowFirstColumn="0" w:lastRowLastColumn="0"/>
          <w:tblHeader/>
        </w:trPr>
        <w:tc>
          <w:tcPr>
            <w:tcW w:w="3069" w:type="dxa"/>
            <w:vMerge w:val="restart"/>
          </w:tcPr>
          <w:p w14:paraId="7BDBD72E" w14:textId="77777777" w:rsidR="004B21C8" w:rsidRPr="00BE649C" w:rsidRDefault="004B21C8">
            <w:pPr>
              <w:pStyle w:val="ARfintablecolheadright"/>
              <w:spacing w:before="30" w:after="30" w:line="216" w:lineRule="auto"/>
              <w:ind w:right="0"/>
              <w:rPr>
                <w:sz w:val="15"/>
                <w:szCs w:val="15"/>
              </w:rPr>
            </w:pPr>
          </w:p>
        </w:tc>
        <w:tc>
          <w:tcPr>
            <w:tcW w:w="5227" w:type="dxa"/>
            <w:gridSpan w:val="5"/>
            <w:tcBorders>
              <w:top w:val="nil"/>
              <w:bottom w:val="single" w:sz="4" w:space="0" w:color="000000" w:themeColor="text1"/>
            </w:tcBorders>
            <w:shd w:val="clear" w:color="auto" w:fill="EEEEEF" w:themeFill="accent4"/>
          </w:tcPr>
          <w:p w14:paraId="3BDAE923" w14:textId="77777777" w:rsidR="004B21C8" w:rsidRPr="00BE649C" w:rsidRDefault="004B21C8">
            <w:pPr>
              <w:pStyle w:val="ARfintablecolhead8"/>
              <w:jc w:val="center"/>
            </w:pPr>
            <w:r>
              <w:t>2025</w:t>
            </w:r>
          </w:p>
        </w:tc>
        <w:tc>
          <w:tcPr>
            <w:tcW w:w="6274" w:type="dxa"/>
            <w:gridSpan w:val="6"/>
            <w:tcBorders>
              <w:top w:val="nil"/>
              <w:bottom w:val="single" w:sz="4" w:space="0" w:color="000000" w:themeColor="text1"/>
            </w:tcBorders>
          </w:tcPr>
          <w:p w14:paraId="582EAD12" w14:textId="77777777" w:rsidR="004B21C8" w:rsidRPr="00BE649C" w:rsidRDefault="004B21C8">
            <w:pPr>
              <w:pStyle w:val="ARfintablecolhead8"/>
              <w:jc w:val="center"/>
            </w:pPr>
            <w:r>
              <w:t>2024</w:t>
            </w:r>
          </w:p>
        </w:tc>
      </w:tr>
      <w:tr w:rsidR="004B21C8" w:rsidRPr="00BE649C" w14:paraId="389862D0" w14:textId="77777777">
        <w:trPr>
          <w:cnfStyle w:val="100000000000" w:firstRow="1" w:lastRow="0" w:firstColumn="0" w:lastColumn="0" w:oddVBand="0" w:evenVBand="0" w:oddHBand="0" w:evenHBand="0" w:firstRowFirstColumn="0" w:firstRowLastColumn="0" w:lastRowFirstColumn="0" w:lastRowLastColumn="0"/>
          <w:tblHeader/>
        </w:trPr>
        <w:tc>
          <w:tcPr>
            <w:tcW w:w="3069" w:type="dxa"/>
            <w:vMerge/>
          </w:tcPr>
          <w:p w14:paraId="02E8376D" w14:textId="77777777" w:rsidR="004B21C8" w:rsidRPr="00BE649C" w:rsidRDefault="004B21C8">
            <w:pPr>
              <w:pStyle w:val="ARfintablecolheadright"/>
              <w:spacing w:before="30" w:after="30" w:line="216" w:lineRule="auto"/>
              <w:ind w:right="0"/>
              <w:rPr>
                <w:sz w:val="15"/>
                <w:szCs w:val="15"/>
              </w:rPr>
            </w:pPr>
          </w:p>
        </w:tc>
        <w:tc>
          <w:tcPr>
            <w:tcW w:w="1045" w:type="dxa"/>
            <w:tcBorders>
              <w:top w:val="single" w:sz="4" w:space="0" w:color="000000" w:themeColor="text1"/>
            </w:tcBorders>
            <w:shd w:val="clear" w:color="auto" w:fill="EEEEEF" w:themeFill="accent4"/>
            <w:hideMark/>
          </w:tcPr>
          <w:p w14:paraId="21A2F2C4" w14:textId="77777777" w:rsidR="004B21C8" w:rsidRPr="004B21C8" w:rsidRDefault="004B21C8" w:rsidP="004B21C8">
            <w:pPr>
              <w:pStyle w:val="ARfintablecolheadright8"/>
              <w:rPr>
                <w:sz w:val="15"/>
              </w:rPr>
            </w:pPr>
            <w:r w:rsidRPr="004B21C8">
              <w:rPr>
                <w:sz w:val="15"/>
              </w:rPr>
              <w:t xml:space="preserve">Opening balance </w:t>
            </w:r>
            <w:r w:rsidRPr="004B21C8">
              <w:rPr>
                <w:sz w:val="15"/>
              </w:rPr>
              <w:br/>
              <w:t xml:space="preserve">as at </w:t>
            </w:r>
            <w:r w:rsidRPr="004B21C8">
              <w:rPr>
                <w:sz w:val="15"/>
              </w:rPr>
              <w:br/>
              <w:t xml:space="preserve">1 July </w:t>
            </w:r>
            <w:r w:rsidRPr="004B21C8">
              <w:rPr>
                <w:sz w:val="15"/>
              </w:rPr>
              <w:br/>
              <w:t>2024</w:t>
            </w:r>
          </w:p>
          <w:p w14:paraId="03481C74" w14:textId="77777777" w:rsidR="004B21C8" w:rsidRPr="004B21C8" w:rsidRDefault="004B21C8" w:rsidP="004B21C8">
            <w:pPr>
              <w:pStyle w:val="ARfintablecolheadright8"/>
              <w:rPr>
                <w:sz w:val="15"/>
              </w:rPr>
            </w:pPr>
            <w:r w:rsidRPr="004B21C8">
              <w:rPr>
                <w:sz w:val="15"/>
              </w:rPr>
              <w:t>$M</w:t>
            </w:r>
          </w:p>
        </w:tc>
        <w:tc>
          <w:tcPr>
            <w:tcW w:w="1045" w:type="dxa"/>
            <w:tcBorders>
              <w:top w:val="single" w:sz="4" w:space="0" w:color="000000" w:themeColor="text1"/>
            </w:tcBorders>
            <w:shd w:val="clear" w:color="auto" w:fill="EEEEEF" w:themeFill="accent4"/>
            <w:hideMark/>
          </w:tcPr>
          <w:p w14:paraId="0078510E" w14:textId="77777777" w:rsidR="004B21C8" w:rsidRPr="004B21C8" w:rsidRDefault="004B21C8" w:rsidP="004B21C8">
            <w:pPr>
              <w:pStyle w:val="ARfintablecolheadright8"/>
              <w:rPr>
                <w:sz w:val="15"/>
              </w:rPr>
            </w:pPr>
            <w:r w:rsidRPr="004B21C8">
              <w:rPr>
                <w:sz w:val="15"/>
              </w:rPr>
              <w:t>Total receipts</w:t>
            </w:r>
          </w:p>
          <w:p w14:paraId="22CA416F" w14:textId="77777777" w:rsidR="004B21C8" w:rsidRPr="004B21C8" w:rsidRDefault="004B21C8" w:rsidP="004B21C8">
            <w:pPr>
              <w:pStyle w:val="ARfintablecolheadright8"/>
              <w:rPr>
                <w:sz w:val="15"/>
              </w:rPr>
            </w:pPr>
            <w:r w:rsidRPr="004B21C8">
              <w:rPr>
                <w:sz w:val="15"/>
              </w:rPr>
              <w:t>$M</w:t>
            </w:r>
          </w:p>
        </w:tc>
        <w:tc>
          <w:tcPr>
            <w:tcW w:w="1046" w:type="dxa"/>
            <w:tcBorders>
              <w:top w:val="single" w:sz="4" w:space="0" w:color="000000" w:themeColor="text1"/>
            </w:tcBorders>
            <w:shd w:val="clear" w:color="auto" w:fill="EEEEEF" w:themeFill="accent4"/>
            <w:hideMark/>
          </w:tcPr>
          <w:p w14:paraId="443D0467" w14:textId="77777777" w:rsidR="004B21C8" w:rsidRPr="004B21C8" w:rsidRDefault="004B21C8" w:rsidP="004B21C8">
            <w:pPr>
              <w:pStyle w:val="ARfintablecolheadright8"/>
              <w:rPr>
                <w:sz w:val="15"/>
              </w:rPr>
            </w:pPr>
            <w:r w:rsidRPr="004B21C8">
              <w:rPr>
                <w:sz w:val="15"/>
              </w:rPr>
              <w:t>Total payments</w:t>
            </w:r>
          </w:p>
          <w:p w14:paraId="73DEBC3E" w14:textId="77777777" w:rsidR="004B21C8" w:rsidRPr="004B21C8" w:rsidRDefault="004B21C8" w:rsidP="004B21C8">
            <w:pPr>
              <w:pStyle w:val="ARfintablecolheadright8"/>
              <w:rPr>
                <w:sz w:val="15"/>
              </w:rPr>
            </w:pPr>
            <w:r w:rsidRPr="004B21C8">
              <w:rPr>
                <w:sz w:val="15"/>
              </w:rPr>
              <w:t>$M</w:t>
            </w:r>
          </w:p>
        </w:tc>
        <w:tc>
          <w:tcPr>
            <w:tcW w:w="1045" w:type="dxa"/>
            <w:tcBorders>
              <w:top w:val="single" w:sz="4" w:space="0" w:color="000000" w:themeColor="text1"/>
            </w:tcBorders>
            <w:shd w:val="clear" w:color="auto" w:fill="EEEEEF" w:themeFill="accent4"/>
            <w:hideMark/>
          </w:tcPr>
          <w:p w14:paraId="42E8905B" w14:textId="77777777" w:rsidR="004B21C8" w:rsidRPr="004B21C8" w:rsidRDefault="004B21C8" w:rsidP="004B21C8">
            <w:pPr>
              <w:pStyle w:val="ARfintablecolheadright8"/>
              <w:rPr>
                <w:sz w:val="15"/>
              </w:rPr>
            </w:pPr>
            <w:r w:rsidRPr="004B21C8">
              <w:rPr>
                <w:sz w:val="15"/>
              </w:rPr>
              <w:t>Non-cash movement</w:t>
            </w:r>
          </w:p>
          <w:p w14:paraId="6EF6DA62" w14:textId="77777777" w:rsidR="004B21C8" w:rsidRPr="004B21C8" w:rsidRDefault="004B21C8" w:rsidP="004B21C8">
            <w:pPr>
              <w:pStyle w:val="ARfintablecolheadright8"/>
              <w:rPr>
                <w:sz w:val="15"/>
              </w:rPr>
            </w:pPr>
            <w:r w:rsidRPr="004B21C8">
              <w:rPr>
                <w:sz w:val="15"/>
              </w:rPr>
              <w:t>$M</w:t>
            </w:r>
          </w:p>
        </w:tc>
        <w:tc>
          <w:tcPr>
            <w:tcW w:w="1046" w:type="dxa"/>
            <w:tcBorders>
              <w:top w:val="single" w:sz="4" w:space="0" w:color="000000" w:themeColor="text1"/>
            </w:tcBorders>
            <w:shd w:val="clear" w:color="auto" w:fill="EEEEEF" w:themeFill="accent4"/>
            <w:hideMark/>
          </w:tcPr>
          <w:p w14:paraId="0F24CDF4" w14:textId="77777777" w:rsidR="004B21C8" w:rsidRPr="004B21C8" w:rsidRDefault="004B21C8" w:rsidP="004B21C8">
            <w:pPr>
              <w:pStyle w:val="ARfintablecolheadright8"/>
              <w:rPr>
                <w:sz w:val="15"/>
              </w:rPr>
            </w:pPr>
            <w:r w:rsidRPr="004B21C8">
              <w:rPr>
                <w:sz w:val="15"/>
              </w:rPr>
              <w:t xml:space="preserve">Closing balance </w:t>
            </w:r>
            <w:r w:rsidRPr="004B21C8">
              <w:rPr>
                <w:sz w:val="15"/>
              </w:rPr>
              <w:br/>
              <w:t xml:space="preserve">as at </w:t>
            </w:r>
            <w:r w:rsidRPr="004B21C8">
              <w:rPr>
                <w:sz w:val="15"/>
              </w:rPr>
              <w:br/>
              <w:t>30 June 2025</w:t>
            </w:r>
          </w:p>
          <w:p w14:paraId="11FDAFEF" w14:textId="77777777" w:rsidR="004B21C8" w:rsidRPr="004B21C8" w:rsidRDefault="004B21C8" w:rsidP="004B21C8">
            <w:pPr>
              <w:pStyle w:val="ARfintablecolheadright8"/>
              <w:rPr>
                <w:sz w:val="15"/>
              </w:rPr>
            </w:pPr>
            <w:r w:rsidRPr="004B21C8">
              <w:rPr>
                <w:sz w:val="15"/>
              </w:rPr>
              <w:t>$M</w:t>
            </w:r>
          </w:p>
        </w:tc>
        <w:tc>
          <w:tcPr>
            <w:tcW w:w="1045" w:type="dxa"/>
            <w:tcBorders>
              <w:top w:val="single" w:sz="4" w:space="0" w:color="000000" w:themeColor="text1"/>
            </w:tcBorders>
            <w:hideMark/>
          </w:tcPr>
          <w:p w14:paraId="4C531055" w14:textId="77777777" w:rsidR="004B21C8" w:rsidRPr="004B21C8" w:rsidRDefault="004B21C8" w:rsidP="004B21C8">
            <w:pPr>
              <w:pStyle w:val="ARfintablecolheadright8"/>
              <w:rPr>
                <w:sz w:val="15"/>
              </w:rPr>
            </w:pPr>
            <w:r w:rsidRPr="004B21C8">
              <w:rPr>
                <w:sz w:val="15"/>
              </w:rPr>
              <w:t xml:space="preserve">Opening balance </w:t>
            </w:r>
            <w:r w:rsidRPr="004B21C8">
              <w:rPr>
                <w:sz w:val="15"/>
              </w:rPr>
              <w:br/>
              <w:t xml:space="preserve">as at </w:t>
            </w:r>
            <w:r w:rsidRPr="004B21C8">
              <w:rPr>
                <w:sz w:val="15"/>
              </w:rPr>
              <w:br/>
              <w:t xml:space="preserve">1 July </w:t>
            </w:r>
            <w:r w:rsidRPr="004B21C8">
              <w:rPr>
                <w:sz w:val="15"/>
              </w:rPr>
              <w:br/>
              <w:t>2023</w:t>
            </w:r>
          </w:p>
          <w:p w14:paraId="29A662AC" w14:textId="77777777" w:rsidR="004B21C8" w:rsidRPr="004B21C8" w:rsidRDefault="004B21C8" w:rsidP="004B21C8">
            <w:pPr>
              <w:pStyle w:val="ARfintablecolheadright8"/>
              <w:rPr>
                <w:sz w:val="15"/>
              </w:rPr>
            </w:pPr>
            <w:r w:rsidRPr="004B21C8">
              <w:rPr>
                <w:sz w:val="15"/>
              </w:rPr>
              <w:t>$M</w:t>
            </w:r>
          </w:p>
        </w:tc>
        <w:tc>
          <w:tcPr>
            <w:tcW w:w="1046" w:type="dxa"/>
            <w:tcBorders>
              <w:top w:val="single" w:sz="4" w:space="0" w:color="000000" w:themeColor="text1"/>
            </w:tcBorders>
          </w:tcPr>
          <w:p w14:paraId="6F24397F" w14:textId="4DA287DA" w:rsidR="004B21C8" w:rsidRPr="004B21C8" w:rsidRDefault="004B21C8" w:rsidP="004B21C8">
            <w:pPr>
              <w:pStyle w:val="ARfintablecolheadright8"/>
              <w:rPr>
                <w:sz w:val="15"/>
              </w:rPr>
            </w:pPr>
            <w:r w:rsidRPr="004B21C8">
              <w:rPr>
                <w:sz w:val="15"/>
              </w:rPr>
              <w:t xml:space="preserve">Machinery of </w:t>
            </w:r>
            <w:r w:rsidR="00054189">
              <w:rPr>
                <w:sz w:val="15"/>
              </w:rPr>
              <w:t>g</w:t>
            </w:r>
            <w:r w:rsidRPr="004B21C8">
              <w:rPr>
                <w:sz w:val="15"/>
              </w:rPr>
              <w:t>overnment – transfer in/(out)</w:t>
            </w:r>
          </w:p>
          <w:p w14:paraId="5BBEB53F" w14:textId="77777777" w:rsidR="004B21C8" w:rsidRPr="004B21C8" w:rsidRDefault="004B21C8" w:rsidP="004B21C8">
            <w:pPr>
              <w:pStyle w:val="ARfintablecolheadright8"/>
              <w:rPr>
                <w:sz w:val="15"/>
              </w:rPr>
            </w:pPr>
            <w:r w:rsidRPr="004B21C8">
              <w:rPr>
                <w:sz w:val="15"/>
              </w:rPr>
              <w:t>$M</w:t>
            </w:r>
          </w:p>
        </w:tc>
        <w:tc>
          <w:tcPr>
            <w:tcW w:w="1046" w:type="dxa"/>
            <w:tcBorders>
              <w:top w:val="single" w:sz="4" w:space="0" w:color="000000" w:themeColor="text1"/>
            </w:tcBorders>
            <w:hideMark/>
          </w:tcPr>
          <w:p w14:paraId="3E3C1252" w14:textId="77777777" w:rsidR="004B21C8" w:rsidRPr="004B21C8" w:rsidRDefault="004B21C8" w:rsidP="004B21C8">
            <w:pPr>
              <w:pStyle w:val="ARfintablecolheadright8"/>
              <w:rPr>
                <w:sz w:val="15"/>
              </w:rPr>
            </w:pPr>
            <w:r w:rsidRPr="004B21C8">
              <w:rPr>
                <w:sz w:val="15"/>
              </w:rPr>
              <w:t>Total receipts</w:t>
            </w:r>
          </w:p>
          <w:p w14:paraId="2197A4DD" w14:textId="77777777" w:rsidR="004B21C8" w:rsidRPr="004B21C8" w:rsidRDefault="004B21C8" w:rsidP="004B21C8">
            <w:pPr>
              <w:pStyle w:val="ARfintablecolheadright8"/>
              <w:rPr>
                <w:sz w:val="15"/>
              </w:rPr>
            </w:pPr>
            <w:r w:rsidRPr="004B21C8">
              <w:rPr>
                <w:sz w:val="15"/>
              </w:rPr>
              <w:t>$M</w:t>
            </w:r>
          </w:p>
        </w:tc>
        <w:tc>
          <w:tcPr>
            <w:tcW w:w="1045" w:type="dxa"/>
            <w:tcBorders>
              <w:top w:val="single" w:sz="4" w:space="0" w:color="000000" w:themeColor="text1"/>
            </w:tcBorders>
            <w:hideMark/>
          </w:tcPr>
          <w:p w14:paraId="519C7A4A" w14:textId="77777777" w:rsidR="004B21C8" w:rsidRPr="004B21C8" w:rsidRDefault="004B21C8" w:rsidP="004B21C8">
            <w:pPr>
              <w:pStyle w:val="ARfintablecolheadright8"/>
              <w:rPr>
                <w:sz w:val="15"/>
              </w:rPr>
            </w:pPr>
            <w:r w:rsidRPr="004B21C8">
              <w:rPr>
                <w:sz w:val="15"/>
              </w:rPr>
              <w:t>Total payments</w:t>
            </w:r>
          </w:p>
          <w:p w14:paraId="7B0C5813" w14:textId="77777777" w:rsidR="004B21C8" w:rsidRPr="004B21C8" w:rsidRDefault="004B21C8" w:rsidP="004B21C8">
            <w:pPr>
              <w:pStyle w:val="ARfintablecolheadright8"/>
              <w:rPr>
                <w:sz w:val="15"/>
              </w:rPr>
            </w:pPr>
            <w:r w:rsidRPr="004B21C8">
              <w:rPr>
                <w:sz w:val="15"/>
              </w:rPr>
              <w:t>$M</w:t>
            </w:r>
          </w:p>
        </w:tc>
        <w:tc>
          <w:tcPr>
            <w:tcW w:w="1046" w:type="dxa"/>
            <w:tcBorders>
              <w:top w:val="single" w:sz="4" w:space="0" w:color="000000" w:themeColor="text1"/>
            </w:tcBorders>
            <w:hideMark/>
          </w:tcPr>
          <w:p w14:paraId="239BC006" w14:textId="77777777" w:rsidR="004B21C8" w:rsidRPr="004B21C8" w:rsidRDefault="004B21C8" w:rsidP="004B21C8">
            <w:pPr>
              <w:pStyle w:val="ARfintablecolheadright8"/>
              <w:rPr>
                <w:sz w:val="15"/>
              </w:rPr>
            </w:pPr>
            <w:r w:rsidRPr="004B21C8">
              <w:rPr>
                <w:sz w:val="15"/>
              </w:rPr>
              <w:t>Non-cash movement</w:t>
            </w:r>
          </w:p>
          <w:p w14:paraId="2922680B" w14:textId="77777777" w:rsidR="004B21C8" w:rsidRPr="004B21C8" w:rsidRDefault="004B21C8" w:rsidP="004B21C8">
            <w:pPr>
              <w:pStyle w:val="ARfintablecolheadright8"/>
              <w:rPr>
                <w:sz w:val="15"/>
              </w:rPr>
            </w:pPr>
            <w:r w:rsidRPr="004B21C8">
              <w:rPr>
                <w:sz w:val="15"/>
              </w:rPr>
              <w:t>$M</w:t>
            </w:r>
          </w:p>
        </w:tc>
        <w:tc>
          <w:tcPr>
            <w:tcW w:w="1046" w:type="dxa"/>
            <w:tcBorders>
              <w:top w:val="single" w:sz="4" w:space="0" w:color="000000" w:themeColor="text1"/>
            </w:tcBorders>
            <w:hideMark/>
          </w:tcPr>
          <w:p w14:paraId="27FE3AE0" w14:textId="77777777" w:rsidR="004B21C8" w:rsidRPr="004B21C8" w:rsidRDefault="004B21C8" w:rsidP="004B21C8">
            <w:pPr>
              <w:pStyle w:val="ARfintablecolheadright8"/>
              <w:rPr>
                <w:sz w:val="15"/>
              </w:rPr>
            </w:pPr>
            <w:r w:rsidRPr="004B21C8">
              <w:rPr>
                <w:sz w:val="15"/>
              </w:rPr>
              <w:t xml:space="preserve">Closing balance </w:t>
            </w:r>
            <w:r w:rsidRPr="004B21C8">
              <w:rPr>
                <w:sz w:val="15"/>
              </w:rPr>
              <w:br/>
              <w:t xml:space="preserve">as at </w:t>
            </w:r>
            <w:r w:rsidRPr="004B21C8">
              <w:rPr>
                <w:sz w:val="15"/>
              </w:rPr>
              <w:br/>
              <w:t>30 June 2024</w:t>
            </w:r>
          </w:p>
          <w:p w14:paraId="5F2564C9" w14:textId="77777777" w:rsidR="004B21C8" w:rsidRPr="004B21C8" w:rsidRDefault="004B21C8" w:rsidP="004B21C8">
            <w:pPr>
              <w:pStyle w:val="ARfintablecolheadright8"/>
              <w:rPr>
                <w:sz w:val="15"/>
              </w:rPr>
            </w:pPr>
            <w:r w:rsidRPr="004B21C8">
              <w:rPr>
                <w:sz w:val="15"/>
              </w:rPr>
              <w:t>$M</w:t>
            </w:r>
          </w:p>
        </w:tc>
      </w:tr>
      <w:tr w:rsidR="004B21C8" w:rsidRPr="00BA7805" w14:paraId="3B80E2E1" w14:textId="77777777">
        <w:tc>
          <w:tcPr>
            <w:tcW w:w="3069" w:type="dxa"/>
          </w:tcPr>
          <w:p w14:paraId="49139FB3" w14:textId="77777777" w:rsidR="004B21C8" w:rsidRPr="00BA7805" w:rsidRDefault="004B21C8">
            <w:pPr>
              <w:pStyle w:val="ARfintablebodybold8pt"/>
              <w:rPr>
                <w:highlight w:val="green"/>
              </w:rPr>
            </w:pPr>
            <w:r w:rsidRPr="00DF2DA2">
              <w:t>Controlled trusts</w:t>
            </w:r>
          </w:p>
        </w:tc>
        <w:tc>
          <w:tcPr>
            <w:tcW w:w="1045" w:type="dxa"/>
            <w:noWrap/>
          </w:tcPr>
          <w:p w14:paraId="10E28393" w14:textId="77777777" w:rsidR="004B21C8" w:rsidRPr="00BA7805" w:rsidRDefault="004B21C8">
            <w:pPr>
              <w:pStyle w:val="ARfintablebodyright8pt"/>
              <w:rPr>
                <w:highlight w:val="green"/>
              </w:rPr>
            </w:pPr>
          </w:p>
        </w:tc>
        <w:tc>
          <w:tcPr>
            <w:tcW w:w="1045" w:type="dxa"/>
            <w:noWrap/>
          </w:tcPr>
          <w:p w14:paraId="5CDE674E" w14:textId="77777777" w:rsidR="004B21C8" w:rsidRPr="00BA7805" w:rsidRDefault="004B21C8">
            <w:pPr>
              <w:pStyle w:val="ARfintablebodyright8pt"/>
              <w:rPr>
                <w:highlight w:val="green"/>
              </w:rPr>
            </w:pPr>
          </w:p>
        </w:tc>
        <w:tc>
          <w:tcPr>
            <w:tcW w:w="1046" w:type="dxa"/>
            <w:noWrap/>
          </w:tcPr>
          <w:p w14:paraId="5B2E116C" w14:textId="77777777" w:rsidR="004B21C8" w:rsidRPr="00BA7805" w:rsidRDefault="004B21C8">
            <w:pPr>
              <w:pStyle w:val="ARfintablebodyright8pt"/>
              <w:rPr>
                <w:highlight w:val="green"/>
              </w:rPr>
            </w:pPr>
          </w:p>
        </w:tc>
        <w:tc>
          <w:tcPr>
            <w:tcW w:w="1045" w:type="dxa"/>
            <w:noWrap/>
          </w:tcPr>
          <w:p w14:paraId="115F4044" w14:textId="77777777" w:rsidR="004B21C8" w:rsidRPr="00BA7805" w:rsidRDefault="004B21C8">
            <w:pPr>
              <w:pStyle w:val="ARfintablebodyright8pt"/>
              <w:rPr>
                <w:highlight w:val="green"/>
              </w:rPr>
            </w:pPr>
          </w:p>
        </w:tc>
        <w:tc>
          <w:tcPr>
            <w:tcW w:w="1046" w:type="dxa"/>
            <w:noWrap/>
          </w:tcPr>
          <w:p w14:paraId="0E3136FD" w14:textId="77777777" w:rsidR="004B21C8" w:rsidRPr="00BA7805" w:rsidRDefault="004B21C8">
            <w:pPr>
              <w:pStyle w:val="ARfintablebodyright8pt"/>
              <w:rPr>
                <w:highlight w:val="green"/>
              </w:rPr>
            </w:pPr>
          </w:p>
        </w:tc>
        <w:tc>
          <w:tcPr>
            <w:tcW w:w="1045" w:type="dxa"/>
            <w:noWrap/>
          </w:tcPr>
          <w:p w14:paraId="111749ED" w14:textId="77777777" w:rsidR="004B21C8" w:rsidRPr="00BA7805" w:rsidRDefault="004B21C8">
            <w:pPr>
              <w:pStyle w:val="ARfintablebodyright8pt"/>
              <w:rPr>
                <w:highlight w:val="green"/>
              </w:rPr>
            </w:pPr>
          </w:p>
        </w:tc>
        <w:tc>
          <w:tcPr>
            <w:tcW w:w="1046" w:type="dxa"/>
          </w:tcPr>
          <w:p w14:paraId="457BBD8C" w14:textId="77777777" w:rsidR="004B21C8" w:rsidRPr="00BA7805" w:rsidRDefault="004B21C8">
            <w:pPr>
              <w:pStyle w:val="ARfintablebodyright8pt"/>
              <w:rPr>
                <w:highlight w:val="green"/>
              </w:rPr>
            </w:pPr>
          </w:p>
        </w:tc>
        <w:tc>
          <w:tcPr>
            <w:tcW w:w="1046" w:type="dxa"/>
            <w:noWrap/>
          </w:tcPr>
          <w:p w14:paraId="37238365" w14:textId="77777777" w:rsidR="004B21C8" w:rsidRPr="00BA7805" w:rsidRDefault="004B21C8">
            <w:pPr>
              <w:pStyle w:val="ARfintablebodyright8pt"/>
              <w:rPr>
                <w:highlight w:val="green"/>
              </w:rPr>
            </w:pPr>
          </w:p>
        </w:tc>
        <w:tc>
          <w:tcPr>
            <w:tcW w:w="1045" w:type="dxa"/>
            <w:noWrap/>
          </w:tcPr>
          <w:p w14:paraId="687483DE" w14:textId="77777777" w:rsidR="004B21C8" w:rsidRPr="00BA7805" w:rsidRDefault="004B21C8">
            <w:pPr>
              <w:pStyle w:val="ARfintablebodyright8pt"/>
              <w:rPr>
                <w:highlight w:val="green"/>
              </w:rPr>
            </w:pPr>
          </w:p>
        </w:tc>
        <w:tc>
          <w:tcPr>
            <w:tcW w:w="1046" w:type="dxa"/>
            <w:noWrap/>
          </w:tcPr>
          <w:p w14:paraId="58F3D51B" w14:textId="77777777" w:rsidR="004B21C8" w:rsidRPr="00BA7805" w:rsidRDefault="004B21C8">
            <w:pPr>
              <w:pStyle w:val="ARfintablebodyright8pt"/>
              <w:rPr>
                <w:highlight w:val="green"/>
              </w:rPr>
            </w:pPr>
          </w:p>
        </w:tc>
        <w:tc>
          <w:tcPr>
            <w:tcW w:w="1046" w:type="dxa"/>
            <w:noWrap/>
          </w:tcPr>
          <w:p w14:paraId="1D435782" w14:textId="77777777" w:rsidR="004B21C8" w:rsidRPr="00BA7805" w:rsidRDefault="004B21C8">
            <w:pPr>
              <w:pStyle w:val="ARfintablebodyright8pt"/>
              <w:rPr>
                <w:highlight w:val="green"/>
              </w:rPr>
            </w:pPr>
          </w:p>
        </w:tc>
      </w:tr>
      <w:tr w:rsidR="004B21C8" w:rsidRPr="00BA7805" w14:paraId="629C8E3A" w14:textId="77777777">
        <w:tc>
          <w:tcPr>
            <w:tcW w:w="3069" w:type="dxa"/>
          </w:tcPr>
          <w:p w14:paraId="5A8CA49C" w14:textId="77777777" w:rsidR="004B21C8" w:rsidRPr="0003478E" w:rsidRDefault="004B21C8">
            <w:pPr>
              <w:pStyle w:val="ARfintablebody8pt"/>
            </w:pPr>
            <w:r w:rsidRPr="00DF2DA2">
              <w:t>Intellectually Handicapped Children's Amenities Fund</w:t>
            </w:r>
          </w:p>
        </w:tc>
        <w:tc>
          <w:tcPr>
            <w:tcW w:w="1045" w:type="dxa"/>
            <w:shd w:val="clear" w:color="auto" w:fill="EEEEEF" w:themeFill="accent4"/>
            <w:noWrap/>
          </w:tcPr>
          <w:p w14:paraId="6093CA77" w14:textId="77777777" w:rsidR="004B21C8" w:rsidRPr="00BA7805" w:rsidRDefault="004B21C8">
            <w:pPr>
              <w:pStyle w:val="ARfintablebodyright8pt"/>
              <w:rPr>
                <w:highlight w:val="green"/>
              </w:rPr>
            </w:pPr>
            <w:r w:rsidRPr="00222E51">
              <w:t>0.1</w:t>
            </w:r>
          </w:p>
        </w:tc>
        <w:tc>
          <w:tcPr>
            <w:tcW w:w="1045" w:type="dxa"/>
            <w:shd w:val="clear" w:color="auto" w:fill="EEEEEF" w:themeFill="accent4"/>
            <w:noWrap/>
          </w:tcPr>
          <w:p w14:paraId="20CB103F" w14:textId="77777777" w:rsidR="004B21C8" w:rsidRPr="00BA7805" w:rsidRDefault="004B21C8">
            <w:pPr>
              <w:pStyle w:val="ARfintablebodyright8pt"/>
              <w:rPr>
                <w:highlight w:val="green"/>
              </w:rPr>
            </w:pPr>
            <w:r>
              <w:t>–</w:t>
            </w:r>
          </w:p>
        </w:tc>
        <w:tc>
          <w:tcPr>
            <w:tcW w:w="1046" w:type="dxa"/>
            <w:shd w:val="clear" w:color="auto" w:fill="EEEEEF" w:themeFill="accent4"/>
            <w:noWrap/>
          </w:tcPr>
          <w:p w14:paraId="293B12A3" w14:textId="77777777" w:rsidR="004B21C8" w:rsidRPr="00BA7805" w:rsidRDefault="004B21C8">
            <w:pPr>
              <w:pStyle w:val="ARfintablebodyright8pt"/>
              <w:rPr>
                <w:highlight w:val="green"/>
              </w:rPr>
            </w:pPr>
            <w:r>
              <w:t>–</w:t>
            </w:r>
          </w:p>
        </w:tc>
        <w:tc>
          <w:tcPr>
            <w:tcW w:w="1045" w:type="dxa"/>
            <w:shd w:val="clear" w:color="auto" w:fill="EEEEEF" w:themeFill="accent4"/>
            <w:noWrap/>
          </w:tcPr>
          <w:p w14:paraId="5A46B135" w14:textId="77777777" w:rsidR="004B21C8" w:rsidRPr="00BA7805" w:rsidRDefault="004B21C8">
            <w:pPr>
              <w:pStyle w:val="ARfintablebodyright8pt"/>
              <w:rPr>
                <w:highlight w:val="green"/>
              </w:rPr>
            </w:pPr>
            <w:r>
              <w:t>–</w:t>
            </w:r>
          </w:p>
        </w:tc>
        <w:tc>
          <w:tcPr>
            <w:tcW w:w="1046" w:type="dxa"/>
            <w:shd w:val="clear" w:color="auto" w:fill="EEEEEF" w:themeFill="accent4"/>
            <w:noWrap/>
          </w:tcPr>
          <w:p w14:paraId="65092EB8" w14:textId="77777777" w:rsidR="004B21C8" w:rsidRPr="00BA7805" w:rsidRDefault="004B21C8">
            <w:pPr>
              <w:pStyle w:val="ARfintablebodyright8pt"/>
              <w:rPr>
                <w:highlight w:val="green"/>
              </w:rPr>
            </w:pPr>
            <w:r w:rsidRPr="00222E51">
              <w:t>0.1</w:t>
            </w:r>
          </w:p>
        </w:tc>
        <w:tc>
          <w:tcPr>
            <w:tcW w:w="1045" w:type="dxa"/>
            <w:noWrap/>
          </w:tcPr>
          <w:p w14:paraId="2C523B56" w14:textId="77777777" w:rsidR="004B21C8" w:rsidRPr="00BA7805" w:rsidRDefault="004B21C8">
            <w:pPr>
              <w:pStyle w:val="ARfintablebodyright8pt"/>
              <w:rPr>
                <w:highlight w:val="green"/>
              </w:rPr>
            </w:pPr>
            <w:r w:rsidRPr="00222E51">
              <w:t>0.1</w:t>
            </w:r>
          </w:p>
        </w:tc>
        <w:tc>
          <w:tcPr>
            <w:tcW w:w="1046" w:type="dxa"/>
          </w:tcPr>
          <w:p w14:paraId="69BB1AB2" w14:textId="77777777" w:rsidR="004B21C8" w:rsidRDefault="004B21C8">
            <w:pPr>
              <w:pStyle w:val="ARfintablebodyright8pt"/>
            </w:pPr>
            <w:r>
              <w:t>–</w:t>
            </w:r>
          </w:p>
        </w:tc>
        <w:tc>
          <w:tcPr>
            <w:tcW w:w="1046" w:type="dxa"/>
            <w:noWrap/>
          </w:tcPr>
          <w:p w14:paraId="49FC114E" w14:textId="77777777" w:rsidR="004B21C8" w:rsidRPr="00BA7805" w:rsidRDefault="004B21C8">
            <w:pPr>
              <w:pStyle w:val="ARfintablebodyright8pt"/>
              <w:rPr>
                <w:highlight w:val="green"/>
              </w:rPr>
            </w:pPr>
            <w:r>
              <w:t>–</w:t>
            </w:r>
          </w:p>
        </w:tc>
        <w:tc>
          <w:tcPr>
            <w:tcW w:w="1045" w:type="dxa"/>
            <w:noWrap/>
          </w:tcPr>
          <w:p w14:paraId="6630B3BA" w14:textId="77777777" w:rsidR="004B21C8" w:rsidRPr="00BA7805" w:rsidRDefault="004B21C8">
            <w:pPr>
              <w:pStyle w:val="ARfintablebodyright8pt"/>
              <w:rPr>
                <w:highlight w:val="green"/>
              </w:rPr>
            </w:pPr>
            <w:r>
              <w:t>–</w:t>
            </w:r>
          </w:p>
        </w:tc>
        <w:tc>
          <w:tcPr>
            <w:tcW w:w="1046" w:type="dxa"/>
            <w:noWrap/>
          </w:tcPr>
          <w:p w14:paraId="756BD0F7" w14:textId="77777777" w:rsidR="004B21C8" w:rsidRPr="00BA7805" w:rsidRDefault="004B21C8">
            <w:pPr>
              <w:pStyle w:val="ARfintablebodyright8pt"/>
              <w:rPr>
                <w:highlight w:val="green"/>
              </w:rPr>
            </w:pPr>
            <w:r>
              <w:t>–</w:t>
            </w:r>
          </w:p>
        </w:tc>
        <w:tc>
          <w:tcPr>
            <w:tcW w:w="1046" w:type="dxa"/>
            <w:noWrap/>
          </w:tcPr>
          <w:p w14:paraId="443C913C" w14:textId="77777777" w:rsidR="004B21C8" w:rsidRPr="00BA7805" w:rsidRDefault="004B21C8">
            <w:pPr>
              <w:pStyle w:val="ARfintablebodyright8pt"/>
              <w:rPr>
                <w:highlight w:val="green"/>
              </w:rPr>
            </w:pPr>
            <w:r w:rsidRPr="00222E51">
              <w:t>0.1</w:t>
            </w:r>
          </w:p>
        </w:tc>
      </w:tr>
      <w:tr w:rsidR="004B21C8" w:rsidRPr="00BA7805" w14:paraId="5F0506A6" w14:textId="77777777">
        <w:tc>
          <w:tcPr>
            <w:tcW w:w="3069" w:type="dxa"/>
          </w:tcPr>
          <w:p w14:paraId="2B092256" w14:textId="77777777" w:rsidR="004B21C8" w:rsidRPr="0003478E" w:rsidRDefault="004B21C8">
            <w:pPr>
              <w:pStyle w:val="ARfintablebody8pt"/>
            </w:pPr>
            <w:r w:rsidRPr="00DF2DA2">
              <w:t>Mental Health Fund</w:t>
            </w:r>
          </w:p>
        </w:tc>
        <w:tc>
          <w:tcPr>
            <w:tcW w:w="1045" w:type="dxa"/>
            <w:shd w:val="clear" w:color="auto" w:fill="EEEEEF" w:themeFill="accent4"/>
            <w:noWrap/>
          </w:tcPr>
          <w:p w14:paraId="1876F9DD" w14:textId="77777777" w:rsidR="004B21C8" w:rsidRPr="00BA7805" w:rsidRDefault="004B21C8">
            <w:pPr>
              <w:pStyle w:val="ARfintablebodyright8pt"/>
              <w:rPr>
                <w:highlight w:val="green"/>
              </w:rPr>
            </w:pPr>
            <w:r w:rsidRPr="00222E51">
              <w:t>2.1</w:t>
            </w:r>
          </w:p>
        </w:tc>
        <w:tc>
          <w:tcPr>
            <w:tcW w:w="1045" w:type="dxa"/>
            <w:shd w:val="clear" w:color="auto" w:fill="EEEEEF" w:themeFill="accent4"/>
            <w:noWrap/>
          </w:tcPr>
          <w:p w14:paraId="275C44BD" w14:textId="77777777" w:rsidR="004B21C8" w:rsidRPr="00BA7805" w:rsidRDefault="004B21C8">
            <w:pPr>
              <w:pStyle w:val="ARfintablebodyright8pt"/>
              <w:rPr>
                <w:highlight w:val="green"/>
              </w:rPr>
            </w:pPr>
            <w:r w:rsidRPr="00222E51">
              <w:t>63.9</w:t>
            </w:r>
          </w:p>
        </w:tc>
        <w:tc>
          <w:tcPr>
            <w:tcW w:w="1046" w:type="dxa"/>
            <w:shd w:val="clear" w:color="auto" w:fill="EEEEEF" w:themeFill="accent4"/>
            <w:noWrap/>
          </w:tcPr>
          <w:p w14:paraId="19C5DC02" w14:textId="77777777" w:rsidR="004B21C8" w:rsidRPr="00BA7805" w:rsidRDefault="004B21C8">
            <w:pPr>
              <w:pStyle w:val="ARfintablebodyright8pt"/>
              <w:rPr>
                <w:highlight w:val="green"/>
              </w:rPr>
            </w:pPr>
            <w:r w:rsidRPr="00222E51">
              <w:t>63.9</w:t>
            </w:r>
          </w:p>
        </w:tc>
        <w:tc>
          <w:tcPr>
            <w:tcW w:w="1045" w:type="dxa"/>
            <w:shd w:val="clear" w:color="auto" w:fill="EEEEEF" w:themeFill="accent4"/>
            <w:noWrap/>
          </w:tcPr>
          <w:p w14:paraId="5695E7EE" w14:textId="77777777" w:rsidR="004B21C8" w:rsidRPr="00BA7805" w:rsidRDefault="004B21C8">
            <w:pPr>
              <w:pStyle w:val="ARfintablebodyright8pt"/>
              <w:rPr>
                <w:highlight w:val="green"/>
              </w:rPr>
            </w:pPr>
            <w:r>
              <w:t>–</w:t>
            </w:r>
          </w:p>
        </w:tc>
        <w:tc>
          <w:tcPr>
            <w:tcW w:w="1046" w:type="dxa"/>
            <w:shd w:val="clear" w:color="auto" w:fill="EEEEEF" w:themeFill="accent4"/>
            <w:noWrap/>
          </w:tcPr>
          <w:p w14:paraId="4FEF7FEF" w14:textId="77777777" w:rsidR="004B21C8" w:rsidRPr="00BA7805" w:rsidRDefault="004B21C8">
            <w:pPr>
              <w:pStyle w:val="ARfintablebodyright8pt"/>
              <w:rPr>
                <w:highlight w:val="green"/>
              </w:rPr>
            </w:pPr>
            <w:r w:rsidRPr="00222E51">
              <w:t>2.1</w:t>
            </w:r>
          </w:p>
        </w:tc>
        <w:tc>
          <w:tcPr>
            <w:tcW w:w="1045" w:type="dxa"/>
            <w:noWrap/>
          </w:tcPr>
          <w:p w14:paraId="320BD1EF" w14:textId="77777777" w:rsidR="004B21C8" w:rsidRPr="00BA7805" w:rsidRDefault="004B21C8">
            <w:pPr>
              <w:pStyle w:val="ARfintablebodyright8pt"/>
              <w:rPr>
                <w:highlight w:val="green"/>
              </w:rPr>
            </w:pPr>
            <w:r w:rsidRPr="00222E51">
              <w:t>2.1</w:t>
            </w:r>
          </w:p>
        </w:tc>
        <w:tc>
          <w:tcPr>
            <w:tcW w:w="1046" w:type="dxa"/>
          </w:tcPr>
          <w:p w14:paraId="0A819D10" w14:textId="77777777" w:rsidR="004B21C8" w:rsidRPr="0003478E" w:rsidRDefault="004B21C8">
            <w:pPr>
              <w:pStyle w:val="ARfintablebodyright8pt"/>
            </w:pPr>
            <w:r>
              <w:t>–</w:t>
            </w:r>
          </w:p>
        </w:tc>
        <w:tc>
          <w:tcPr>
            <w:tcW w:w="1046" w:type="dxa"/>
            <w:noWrap/>
          </w:tcPr>
          <w:p w14:paraId="29731D1F" w14:textId="77777777" w:rsidR="004B21C8" w:rsidRPr="00BA7805" w:rsidRDefault="004B21C8">
            <w:pPr>
              <w:pStyle w:val="ARfintablebodyright8pt"/>
              <w:rPr>
                <w:highlight w:val="green"/>
              </w:rPr>
            </w:pPr>
            <w:r w:rsidRPr="00222E51">
              <w:t>63.9</w:t>
            </w:r>
          </w:p>
        </w:tc>
        <w:tc>
          <w:tcPr>
            <w:tcW w:w="1045" w:type="dxa"/>
            <w:noWrap/>
          </w:tcPr>
          <w:p w14:paraId="4030EB7A" w14:textId="77777777" w:rsidR="004B21C8" w:rsidRPr="00BA7805" w:rsidRDefault="004B21C8">
            <w:pPr>
              <w:pStyle w:val="ARfintablebodyright8pt"/>
              <w:rPr>
                <w:highlight w:val="green"/>
              </w:rPr>
            </w:pPr>
            <w:r w:rsidRPr="00222E51">
              <w:t>63.9</w:t>
            </w:r>
          </w:p>
        </w:tc>
        <w:tc>
          <w:tcPr>
            <w:tcW w:w="1046" w:type="dxa"/>
            <w:noWrap/>
          </w:tcPr>
          <w:p w14:paraId="2FC69085" w14:textId="77777777" w:rsidR="004B21C8" w:rsidRPr="00BA7805" w:rsidRDefault="004B21C8">
            <w:pPr>
              <w:pStyle w:val="ARfintablebodyright8pt"/>
              <w:rPr>
                <w:highlight w:val="green"/>
              </w:rPr>
            </w:pPr>
            <w:r>
              <w:t>–</w:t>
            </w:r>
          </w:p>
        </w:tc>
        <w:tc>
          <w:tcPr>
            <w:tcW w:w="1046" w:type="dxa"/>
            <w:noWrap/>
          </w:tcPr>
          <w:p w14:paraId="6FA3190D" w14:textId="77777777" w:rsidR="004B21C8" w:rsidRPr="00BA7805" w:rsidRDefault="004B21C8">
            <w:pPr>
              <w:pStyle w:val="ARfintablebodyright8pt"/>
              <w:rPr>
                <w:highlight w:val="green"/>
              </w:rPr>
            </w:pPr>
            <w:r w:rsidRPr="00222E51">
              <w:t>2.1</w:t>
            </w:r>
          </w:p>
        </w:tc>
      </w:tr>
      <w:tr w:rsidR="004B21C8" w:rsidRPr="00BA7805" w14:paraId="7C00CF38" w14:textId="77777777">
        <w:tc>
          <w:tcPr>
            <w:tcW w:w="3069" w:type="dxa"/>
          </w:tcPr>
          <w:p w14:paraId="5EDD031E" w14:textId="77777777" w:rsidR="004B21C8" w:rsidRPr="0003478E" w:rsidRDefault="004B21C8">
            <w:pPr>
              <w:pStyle w:val="ARfintablebody8pt"/>
            </w:pPr>
            <w:r w:rsidRPr="00DF2DA2">
              <w:t>Treasury Trust</w:t>
            </w:r>
          </w:p>
        </w:tc>
        <w:tc>
          <w:tcPr>
            <w:tcW w:w="1045" w:type="dxa"/>
            <w:shd w:val="clear" w:color="auto" w:fill="EEEEEF" w:themeFill="accent4"/>
            <w:noWrap/>
          </w:tcPr>
          <w:p w14:paraId="5FCD768E" w14:textId="77777777" w:rsidR="004B21C8" w:rsidRPr="00BA7805" w:rsidRDefault="004B21C8">
            <w:pPr>
              <w:pStyle w:val="ARfintablebodyright8pt"/>
              <w:rPr>
                <w:highlight w:val="green"/>
              </w:rPr>
            </w:pPr>
            <w:r w:rsidRPr="00222E51">
              <w:t>12.4</w:t>
            </w:r>
          </w:p>
        </w:tc>
        <w:tc>
          <w:tcPr>
            <w:tcW w:w="1045" w:type="dxa"/>
            <w:shd w:val="clear" w:color="auto" w:fill="EEEEEF" w:themeFill="accent4"/>
            <w:noWrap/>
          </w:tcPr>
          <w:p w14:paraId="684A0B90" w14:textId="77777777" w:rsidR="004B21C8" w:rsidRPr="00BA7805" w:rsidRDefault="004B21C8">
            <w:pPr>
              <w:pStyle w:val="ARfintablebodyright8pt"/>
              <w:rPr>
                <w:highlight w:val="green"/>
              </w:rPr>
            </w:pPr>
            <w:r w:rsidRPr="00222E51">
              <w:t>4.7</w:t>
            </w:r>
          </w:p>
        </w:tc>
        <w:tc>
          <w:tcPr>
            <w:tcW w:w="1046" w:type="dxa"/>
            <w:shd w:val="clear" w:color="auto" w:fill="EEEEEF" w:themeFill="accent4"/>
            <w:noWrap/>
          </w:tcPr>
          <w:p w14:paraId="7BAA7551" w14:textId="77777777" w:rsidR="004B21C8" w:rsidRPr="00BA7805" w:rsidRDefault="004B21C8">
            <w:pPr>
              <w:pStyle w:val="ARfintablebodyright8pt"/>
              <w:rPr>
                <w:highlight w:val="green"/>
              </w:rPr>
            </w:pPr>
            <w:r w:rsidRPr="00222E51">
              <w:t>5.3</w:t>
            </w:r>
          </w:p>
        </w:tc>
        <w:tc>
          <w:tcPr>
            <w:tcW w:w="1045" w:type="dxa"/>
            <w:shd w:val="clear" w:color="auto" w:fill="EEEEEF" w:themeFill="accent4"/>
            <w:noWrap/>
          </w:tcPr>
          <w:p w14:paraId="556394BE" w14:textId="191097D6" w:rsidR="004B21C8" w:rsidRPr="00BA7805" w:rsidRDefault="00430898">
            <w:pPr>
              <w:pStyle w:val="ARfintablebodyright8pt"/>
              <w:rPr>
                <w:highlight w:val="green"/>
              </w:rPr>
            </w:pPr>
            <w:r w:rsidRPr="00977145">
              <w:t>–</w:t>
            </w:r>
          </w:p>
        </w:tc>
        <w:tc>
          <w:tcPr>
            <w:tcW w:w="1046" w:type="dxa"/>
            <w:shd w:val="clear" w:color="auto" w:fill="EEEEEF" w:themeFill="accent4"/>
            <w:noWrap/>
          </w:tcPr>
          <w:p w14:paraId="684E21A6" w14:textId="77777777" w:rsidR="004B21C8" w:rsidRPr="00BA7805" w:rsidRDefault="004B21C8">
            <w:pPr>
              <w:pStyle w:val="ARfintablebodyright8pt"/>
              <w:rPr>
                <w:highlight w:val="green"/>
              </w:rPr>
            </w:pPr>
            <w:r w:rsidRPr="00222E51">
              <w:t>11.9</w:t>
            </w:r>
          </w:p>
        </w:tc>
        <w:tc>
          <w:tcPr>
            <w:tcW w:w="1045" w:type="dxa"/>
            <w:noWrap/>
          </w:tcPr>
          <w:p w14:paraId="186DDB56" w14:textId="77777777" w:rsidR="004B21C8" w:rsidRPr="00BA7805" w:rsidRDefault="004B21C8">
            <w:pPr>
              <w:pStyle w:val="ARfintablebodyright8pt"/>
              <w:rPr>
                <w:highlight w:val="green"/>
              </w:rPr>
            </w:pPr>
            <w:r w:rsidRPr="00222E51">
              <w:t>34.1</w:t>
            </w:r>
          </w:p>
        </w:tc>
        <w:tc>
          <w:tcPr>
            <w:tcW w:w="1046" w:type="dxa"/>
          </w:tcPr>
          <w:p w14:paraId="498439A6" w14:textId="77777777" w:rsidR="004B21C8" w:rsidRPr="0003478E" w:rsidRDefault="004B21C8">
            <w:pPr>
              <w:pStyle w:val="ARfintablebodyright8pt"/>
            </w:pPr>
            <w:r w:rsidRPr="00222E51">
              <w:t>(0.5)</w:t>
            </w:r>
          </w:p>
        </w:tc>
        <w:tc>
          <w:tcPr>
            <w:tcW w:w="1046" w:type="dxa"/>
            <w:noWrap/>
          </w:tcPr>
          <w:p w14:paraId="70A4731D" w14:textId="77777777" w:rsidR="004B21C8" w:rsidRPr="00BA7805" w:rsidRDefault="004B21C8">
            <w:pPr>
              <w:pStyle w:val="ARfintablebodyright8pt"/>
              <w:rPr>
                <w:highlight w:val="green"/>
              </w:rPr>
            </w:pPr>
            <w:r w:rsidRPr="00222E51">
              <w:t>5.3</w:t>
            </w:r>
          </w:p>
        </w:tc>
        <w:tc>
          <w:tcPr>
            <w:tcW w:w="1045" w:type="dxa"/>
            <w:noWrap/>
          </w:tcPr>
          <w:p w14:paraId="6FE10942" w14:textId="77777777" w:rsidR="004B21C8" w:rsidRPr="00BA7805" w:rsidRDefault="004B21C8">
            <w:pPr>
              <w:pStyle w:val="ARfintablebodyright8pt"/>
              <w:rPr>
                <w:highlight w:val="green"/>
              </w:rPr>
            </w:pPr>
            <w:r w:rsidRPr="00222E51">
              <w:t>26.4</w:t>
            </w:r>
          </w:p>
        </w:tc>
        <w:tc>
          <w:tcPr>
            <w:tcW w:w="1046" w:type="dxa"/>
            <w:noWrap/>
          </w:tcPr>
          <w:p w14:paraId="272D0E35" w14:textId="77777777" w:rsidR="004B21C8" w:rsidRPr="00BA7805" w:rsidRDefault="004B21C8">
            <w:pPr>
              <w:pStyle w:val="ARfintablebodyright8pt"/>
              <w:rPr>
                <w:highlight w:val="green"/>
              </w:rPr>
            </w:pPr>
            <w:r w:rsidRPr="00222E51">
              <w:t>(0.1)</w:t>
            </w:r>
          </w:p>
        </w:tc>
        <w:tc>
          <w:tcPr>
            <w:tcW w:w="1046" w:type="dxa"/>
            <w:noWrap/>
          </w:tcPr>
          <w:p w14:paraId="0686CA05" w14:textId="77777777" w:rsidR="004B21C8" w:rsidRPr="00BA7805" w:rsidRDefault="004B21C8">
            <w:pPr>
              <w:pStyle w:val="ARfintablebodyright8pt"/>
              <w:rPr>
                <w:highlight w:val="green"/>
              </w:rPr>
            </w:pPr>
            <w:r w:rsidRPr="00222E51">
              <w:t>12.4</w:t>
            </w:r>
          </w:p>
        </w:tc>
      </w:tr>
      <w:tr w:rsidR="004B21C8" w:rsidRPr="00BA7805" w14:paraId="77DC9833" w14:textId="77777777">
        <w:tc>
          <w:tcPr>
            <w:tcW w:w="3069" w:type="dxa"/>
          </w:tcPr>
          <w:p w14:paraId="461A9A65" w14:textId="77777777" w:rsidR="004B21C8" w:rsidRPr="0003478E" w:rsidRDefault="004B21C8">
            <w:pPr>
              <w:pStyle w:val="ARfintablebody8pt"/>
            </w:pPr>
            <w:r w:rsidRPr="00DF2DA2">
              <w:t>Inter-departmental Transfer Trust</w:t>
            </w:r>
          </w:p>
        </w:tc>
        <w:tc>
          <w:tcPr>
            <w:tcW w:w="1045" w:type="dxa"/>
            <w:shd w:val="clear" w:color="auto" w:fill="EEEEEF" w:themeFill="accent4"/>
            <w:noWrap/>
          </w:tcPr>
          <w:p w14:paraId="05A1E2B2" w14:textId="77777777" w:rsidR="004B21C8" w:rsidRPr="00BA7805" w:rsidRDefault="004B21C8">
            <w:pPr>
              <w:pStyle w:val="ARfintablebodyright8pt"/>
              <w:rPr>
                <w:highlight w:val="green"/>
              </w:rPr>
            </w:pPr>
            <w:r w:rsidRPr="00222E51">
              <w:t>18.3</w:t>
            </w:r>
          </w:p>
        </w:tc>
        <w:tc>
          <w:tcPr>
            <w:tcW w:w="1045" w:type="dxa"/>
            <w:shd w:val="clear" w:color="auto" w:fill="EEEEEF" w:themeFill="accent4"/>
            <w:noWrap/>
          </w:tcPr>
          <w:p w14:paraId="2E827D83" w14:textId="77777777" w:rsidR="004B21C8" w:rsidRPr="00BA7805" w:rsidRDefault="004B21C8">
            <w:pPr>
              <w:pStyle w:val="ARfintablebodyright8pt"/>
              <w:rPr>
                <w:highlight w:val="green"/>
              </w:rPr>
            </w:pPr>
            <w:r w:rsidRPr="00222E51">
              <w:t>31.1</w:t>
            </w:r>
          </w:p>
        </w:tc>
        <w:tc>
          <w:tcPr>
            <w:tcW w:w="1046" w:type="dxa"/>
            <w:shd w:val="clear" w:color="auto" w:fill="EEEEEF" w:themeFill="accent4"/>
            <w:noWrap/>
          </w:tcPr>
          <w:p w14:paraId="5F15E2EE" w14:textId="77777777" w:rsidR="004B21C8" w:rsidRPr="00BA7805" w:rsidRDefault="004B21C8">
            <w:pPr>
              <w:pStyle w:val="ARfintablebodyright8pt"/>
              <w:rPr>
                <w:highlight w:val="green"/>
              </w:rPr>
            </w:pPr>
            <w:r w:rsidRPr="00222E51">
              <w:t>29.6</w:t>
            </w:r>
          </w:p>
        </w:tc>
        <w:tc>
          <w:tcPr>
            <w:tcW w:w="1045" w:type="dxa"/>
            <w:shd w:val="clear" w:color="auto" w:fill="EEEEEF" w:themeFill="accent4"/>
            <w:noWrap/>
          </w:tcPr>
          <w:p w14:paraId="65AFA438" w14:textId="77777777" w:rsidR="004B21C8" w:rsidRPr="00BA7805" w:rsidRDefault="004B21C8">
            <w:pPr>
              <w:pStyle w:val="ARfintablebodyright8pt"/>
              <w:rPr>
                <w:highlight w:val="green"/>
              </w:rPr>
            </w:pPr>
            <w:r w:rsidRPr="00222E51">
              <w:t>(3.9)</w:t>
            </w:r>
          </w:p>
        </w:tc>
        <w:tc>
          <w:tcPr>
            <w:tcW w:w="1046" w:type="dxa"/>
            <w:shd w:val="clear" w:color="auto" w:fill="EEEEEF" w:themeFill="accent4"/>
            <w:noWrap/>
          </w:tcPr>
          <w:p w14:paraId="1E3BD76E" w14:textId="77777777" w:rsidR="004B21C8" w:rsidRPr="00BA7805" w:rsidRDefault="004B21C8">
            <w:pPr>
              <w:pStyle w:val="ARfintablebodyright8pt"/>
              <w:rPr>
                <w:highlight w:val="green"/>
              </w:rPr>
            </w:pPr>
            <w:r w:rsidRPr="00222E51">
              <w:t>15.9</w:t>
            </w:r>
          </w:p>
        </w:tc>
        <w:tc>
          <w:tcPr>
            <w:tcW w:w="1045" w:type="dxa"/>
            <w:noWrap/>
          </w:tcPr>
          <w:p w14:paraId="78C45DB1" w14:textId="77777777" w:rsidR="004B21C8" w:rsidRPr="00BA7805" w:rsidRDefault="004B21C8">
            <w:pPr>
              <w:pStyle w:val="ARfintablebodyright8pt"/>
              <w:rPr>
                <w:highlight w:val="green"/>
              </w:rPr>
            </w:pPr>
            <w:r w:rsidRPr="00222E51">
              <w:t>22.7</w:t>
            </w:r>
          </w:p>
        </w:tc>
        <w:tc>
          <w:tcPr>
            <w:tcW w:w="1046" w:type="dxa"/>
          </w:tcPr>
          <w:p w14:paraId="204B3B20" w14:textId="77777777" w:rsidR="004B21C8" w:rsidRPr="0003478E" w:rsidRDefault="004B21C8">
            <w:pPr>
              <w:pStyle w:val="ARfintablebodyright8pt"/>
            </w:pPr>
            <w:r w:rsidRPr="00222E51">
              <w:t>(0.4)</w:t>
            </w:r>
          </w:p>
        </w:tc>
        <w:tc>
          <w:tcPr>
            <w:tcW w:w="1046" w:type="dxa"/>
            <w:noWrap/>
          </w:tcPr>
          <w:p w14:paraId="0127FCCA" w14:textId="77777777" w:rsidR="004B21C8" w:rsidRPr="00BA7805" w:rsidRDefault="004B21C8">
            <w:pPr>
              <w:pStyle w:val="ARfintablebodyright8pt"/>
              <w:rPr>
                <w:highlight w:val="green"/>
              </w:rPr>
            </w:pPr>
            <w:r w:rsidRPr="00222E51">
              <w:t>36.7</w:t>
            </w:r>
          </w:p>
        </w:tc>
        <w:tc>
          <w:tcPr>
            <w:tcW w:w="1045" w:type="dxa"/>
            <w:noWrap/>
          </w:tcPr>
          <w:p w14:paraId="761993C4" w14:textId="77777777" w:rsidR="004B21C8" w:rsidRPr="00BA7805" w:rsidRDefault="004B21C8">
            <w:pPr>
              <w:pStyle w:val="ARfintablebodyright8pt"/>
              <w:rPr>
                <w:highlight w:val="green"/>
              </w:rPr>
            </w:pPr>
            <w:r w:rsidRPr="00222E51">
              <w:t>44.6</w:t>
            </w:r>
          </w:p>
        </w:tc>
        <w:tc>
          <w:tcPr>
            <w:tcW w:w="1046" w:type="dxa"/>
            <w:noWrap/>
          </w:tcPr>
          <w:p w14:paraId="4E46C3DC" w14:textId="77777777" w:rsidR="004B21C8" w:rsidRPr="00BA7805" w:rsidRDefault="004B21C8">
            <w:pPr>
              <w:pStyle w:val="ARfintablebodyright8pt"/>
              <w:rPr>
                <w:highlight w:val="green"/>
              </w:rPr>
            </w:pPr>
            <w:r w:rsidRPr="00222E51">
              <w:t>3.9</w:t>
            </w:r>
          </w:p>
        </w:tc>
        <w:tc>
          <w:tcPr>
            <w:tcW w:w="1046" w:type="dxa"/>
            <w:noWrap/>
          </w:tcPr>
          <w:p w14:paraId="0BD4A578" w14:textId="77777777" w:rsidR="004B21C8" w:rsidRPr="00BA7805" w:rsidRDefault="004B21C8">
            <w:pPr>
              <w:pStyle w:val="ARfintablebodyright8pt"/>
              <w:rPr>
                <w:highlight w:val="green"/>
              </w:rPr>
            </w:pPr>
            <w:r w:rsidRPr="00222E51">
              <w:t>18.3</w:t>
            </w:r>
          </w:p>
        </w:tc>
      </w:tr>
      <w:tr w:rsidR="004B21C8" w:rsidRPr="00BA7805" w14:paraId="31F87E2C" w14:textId="77777777">
        <w:tc>
          <w:tcPr>
            <w:tcW w:w="3069" w:type="dxa"/>
          </w:tcPr>
          <w:p w14:paraId="64C7D1CA" w14:textId="77777777" w:rsidR="004B21C8" w:rsidRPr="0003478E" w:rsidRDefault="004B21C8">
            <w:pPr>
              <w:pStyle w:val="ARfintablebody8pt"/>
            </w:pPr>
            <w:r w:rsidRPr="00DF2DA2">
              <w:t>Vehicle Lease Trust Account</w:t>
            </w:r>
          </w:p>
        </w:tc>
        <w:tc>
          <w:tcPr>
            <w:tcW w:w="1045" w:type="dxa"/>
            <w:shd w:val="clear" w:color="auto" w:fill="EEEEEF" w:themeFill="accent4"/>
            <w:noWrap/>
          </w:tcPr>
          <w:p w14:paraId="60C8168F" w14:textId="77777777" w:rsidR="004B21C8" w:rsidRPr="00BA7805" w:rsidRDefault="004B21C8">
            <w:pPr>
              <w:pStyle w:val="ARfintablebodyright8pt"/>
              <w:rPr>
                <w:highlight w:val="green"/>
              </w:rPr>
            </w:pPr>
            <w:r w:rsidRPr="00222E51">
              <w:t>13.2</w:t>
            </w:r>
          </w:p>
        </w:tc>
        <w:tc>
          <w:tcPr>
            <w:tcW w:w="1045" w:type="dxa"/>
            <w:shd w:val="clear" w:color="auto" w:fill="EEEEEF" w:themeFill="accent4"/>
            <w:noWrap/>
          </w:tcPr>
          <w:p w14:paraId="77166687" w14:textId="77777777" w:rsidR="004B21C8" w:rsidRPr="00BA7805" w:rsidRDefault="004B21C8">
            <w:pPr>
              <w:pStyle w:val="ARfintablebodyright8pt"/>
              <w:rPr>
                <w:highlight w:val="green"/>
              </w:rPr>
            </w:pPr>
            <w:r w:rsidRPr="00222E51">
              <w:t>3.5</w:t>
            </w:r>
          </w:p>
        </w:tc>
        <w:tc>
          <w:tcPr>
            <w:tcW w:w="1046" w:type="dxa"/>
            <w:shd w:val="clear" w:color="auto" w:fill="EEEEEF" w:themeFill="accent4"/>
            <w:noWrap/>
          </w:tcPr>
          <w:p w14:paraId="31684F8A" w14:textId="77777777" w:rsidR="004B21C8" w:rsidRPr="00BA7805" w:rsidRDefault="004B21C8">
            <w:pPr>
              <w:pStyle w:val="ARfintablebodyright8pt"/>
              <w:rPr>
                <w:highlight w:val="green"/>
              </w:rPr>
            </w:pPr>
            <w:r w:rsidRPr="00222E51">
              <w:t>4.0</w:t>
            </w:r>
          </w:p>
        </w:tc>
        <w:tc>
          <w:tcPr>
            <w:tcW w:w="1045" w:type="dxa"/>
            <w:shd w:val="clear" w:color="auto" w:fill="EEEEEF" w:themeFill="accent4"/>
            <w:noWrap/>
          </w:tcPr>
          <w:p w14:paraId="09C03CC6" w14:textId="77777777" w:rsidR="004B21C8" w:rsidRPr="00BA7805" w:rsidRDefault="004B21C8">
            <w:pPr>
              <w:pStyle w:val="ARfintablebodyright8pt"/>
              <w:rPr>
                <w:highlight w:val="green"/>
              </w:rPr>
            </w:pPr>
            <w:r>
              <w:t>–</w:t>
            </w:r>
          </w:p>
        </w:tc>
        <w:tc>
          <w:tcPr>
            <w:tcW w:w="1046" w:type="dxa"/>
            <w:shd w:val="clear" w:color="auto" w:fill="EEEEEF" w:themeFill="accent4"/>
            <w:noWrap/>
          </w:tcPr>
          <w:p w14:paraId="2EE83107" w14:textId="77777777" w:rsidR="004B21C8" w:rsidRPr="00BA7805" w:rsidRDefault="004B21C8">
            <w:pPr>
              <w:pStyle w:val="ARfintablebodyright8pt"/>
              <w:rPr>
                <w:highlight w:val="green"/>
              </w:rPr>
            </w:pPr>
            <w:r w:rsidRPr="00222E51">
              <w:t>12.7</w:t>
            </w:r>
          </w:p>
        </w:tc>
        <w:tc>
          <w:tcPr>
            <w:tcW w:w="1045" w:type="dxa"/>
            <w:noWrap/>
          </w:tcPr>
          <w:p w14:paraId="1CAD9CC2" w14:textId="77777777" w:rsidR="004B21C8" w:rsidRPr="00BA7805" w:rsidRDefault="004B21C8">
            <w:pPr>
              <w:pStyle w:val="ARfintablebodyright8pt"/>
              <w:rPr>
                <w:highlight w:val="green"/>
              </w:rPr>
            </w:pPr>
            <w:r w:rsidRPr="00222E51">
              <w:t>10.1</w:t>
            </w:r>
          </w:p>
        </w:tc>
        <w:tc>
          <w:tcPr>
            <w:tcW w:w="1046" w:type="dxa"/>
          </w:tcPr>
          <w:p w14:paraId="4B636F54" w14:textId="77777777" w:rsidR="004B21C8" w:rsidRPr="0003478E" w:rsidRDefault="004B21C8">
            <w:pPr>
              <w:pStyle w:val="ARfintablebodyright8pt"/>
            </w:pPr>
            <w:r>
              <w:t>–</w:t>
            </w:r>
          </w:p>
        </w:tc>
        <w:tc>
          <w:tcPr>
            <w:tcW w:w="1046" w:type="dxa"/>
            <w:noWrap/>
          </w:tcPr>
          <w:p w14:paraId="40B2D3D7" w14:textId="77777777" w:rsidR="004B21C8" w:rsidRPr="00BA7805" w:rsidRDefault="004B21C8">
            <w:pPr>
              <w:pStyle w:val="ARfintablebodyright8pt"/>
              <w:rPr>
                <w:highlight w:val="green"/>
              </w:rPr>
            </w:pPr>
            <w:r w:rsidRPr="00222E51">
              <w:t>5.7</w:t>
            </w:r>
          </w:p>
        </w:tc>
        <w:tc>
          <w:tcPr>
            <w:tcW w:w="1045" w:type="dxa"/>
            <w:noWrap/>
          </w:tcPr>
          <w:p w14:paraId="2775AF48" w14:textId="77777777" w:rsidR="004B21C8" w:rsidRPr="00BA7805" w:rsidRDefault="004B21C8">
            <w:pPr>
              <w:pStyle w:val="ARfintablebodyright8pt"/>
              <w:rPr>
                <w:highlight w:val="green"/>
              </w:rPr>
            </w:pPr>
            <w:r w:rsidRPr="00222E51">
              <w:t>2.7</w:t>
            </w:r>
          </w:p>
        </w:tc>
        <w:tc>
          <w:tcPr>
            <w:tcW w:w="1046" w:type="dxa"/>
            <w:noWrap/>
          </w:tcPr>
          <w:p w14:paraId="68D21E44" w14:textId="77777777" w:rsidR="004B21C8" w:rsidRPr="00BA7805" w:rsidRDefault="004B21C8">
            <w:pPr>
              <w:pStyle w:val="ARfintablebodyright8pt"/>
              <w:rPr>
                <w:highlight w:val="green"/>
              </w:rPr>
            </w:pPr>
            <w:r w:rsidRPr="00222E51">
              <w:t>0.1</w:t>
            </w:r>
          </w:p>
        </w:tc>
        <w:tc>
          <w:tcPr>
            <w:tcW w:w="1046" w:type="dxa"/>
            <w:noWrap/>
          </w:tcPr>
          <w:p w14:paraId="5FE010FC" w14:textId="77777777" w:rsidR="004B21C8" w:rsidRPr="00BA7805" w:rsidRDefault="004B21C8">
            <w:pPr>
              <w:pStyle w:val="ARfintablebodyright8pt"/>
              <w:rPr>
                <w:highlight w:val="green"/>
              </w:rPr>
            </w:pPr>
            <w:r w:rsidRPr="00222E51">
              <w:t>13.2</w:t>
            </w:r>
          </w:p>
        </w:tc>
      </w:tr>
      <w:tr w:rsidR="004B21C8" w:rsidRPr="00BA7805" w14:paraId="389336DA" w14:textId="77777777">
        <w:tc>
          <w:tcPr>
            <w:tcW w:w="3069" w:type="dxa"/>
          </w:tcPr>
          <w:p w14:paraId="250D23AB" w14:textId="77777777" w:rsidR="004B21C8" w:rsidRPr="0003478E" w:rsidRDefault="004B21C8">
            <w:pPr>
              <w:pStyle w:val="ARfintablebody8pt"/>
            </w:pPr>
            <w:r w:rsidRPr="00DF2DA2">
              <w:t>Victorian Veterans Fund</w:t>
            </w:r>
          </w:p>
        </w:tc>
        <w:tc>
          <w:tcPr>
            <w:tcW w:w="1045" w:type="dxa"/>
            <w:shd w:val="clear" w:color="auto" w:fill="EEEEEF" w:themeFill="accent4"/>
            <w:noWrap/>
          </w:tcPr>
          <w:p w14:paraId="041E2E1E" w14:textId="77777777" w:rsidR="004B21C8" w:rsidRPr="00BA7805" w:rsidRDefault="004B21C8">
            <w:pPr>
              <w:pStyle w:val="ARfintablebodyright8pt"/>
              <w:rPr>
                <w:highlight w:val="green"/>
              </w:rPr>
            </w:pPr>
            <w:r w:rsidRPr="00222E51">
              <w:t>0.2</w:t>
            </w:r>
          </w:p>
        </w:tc>
        <w:tc>
          <w:tcPr>
            <w:tcW w:w="1045" w:type="dxa"/>
            <w:shd w:val="clear" w:color="auto" w:fill="EEEEEF" w:themeFill="accent4"/>
            <w:noWrap/>
          </w:tcPr>
          <w:p w14:paraId="14DBE3F5" w14:textId="77777777" w:rsidR="004B21C8" w:rsidRPr="00BA7805" w:rsidRDefault="004B21C8">
            <w:pPr>
              <w:pStyle w:val="ARfintablebodyright8pt"/>
              <w:rPr>
                <w:highlight w:val="green"/>
              </w:rPr>
            </w:pPr>
            <w:r w:rsidRPr="00222E51">
              <w:t>0.5</w:t>
            </w:r>
          </w:p>
        </w:tc>
        <w:tc>
          <w:tcPr>
            <w:tcW w:w="1046" w:type="dxa"/>
            <w:shd w:val="clear" w:color="auto" w:fill="EEEEEF" w:themeFill="accent4"/>
            <w:noWrap/>
          </w:tcPr>
          <w:p w14:paraId="52C4E42D" w14:textId="77777777" w:rsidR="004B21C8" w:rsidRPr="00BA7805" w:rsidRDefault="004B21C8">
            <w:pPr>
              <w:pStyle w:val="ARfintablebodyright8pt"/>
              <w:rPr>
                <w:highlight w:val="green"/>
              </w:rPr>
            </w:pPr>
            <w:r w:rsidRPr="00222E51">
              <w:t>0.7</w:t>
            </w:r>
          </w:p>
        </w:tc>
        <w:tc>
          <w:tcPr>
            <w:tcW w:w="1045" w:type="dxa"/>
            <w:shd w:val="clear" w:color="auto" w:fill="EEEEEF" w:themeFill="accent4"/>
            <w:noWrap/>
          </w:tcPr>
          <w:p w14:paraId="667278B3" w14:textId="77777777" w:rsidR="004B21C8" w:rsidRPr="00BA7805" w:rsidRDefault="004B21C8">
            <w:pPr>
              <w:pStyle w:val="ARfintablebodyright8pt"/>
              <w:rPr>
                <w:highlight w:val="green"/>
              </w:rPr>
            </w:pPr>
            <w:r>
              <w:t>–</w:t>
            </w:r>
          </w:p>
        </w:tc>
        <w:tc>
          <w:tcPr>
            <w:tcW w:w="1046" w:type="dxa"/>
            <w:shd w:val="clear" w:color="auto" w:fill="EEEEEF" w:themeFill="accent4"/>
            <w:noWrap/>
          </w:tcPr>
          <w:p w14:paraId="508D4983" w14:textId="0A6D57EC" w:rsidR="004B21C8" w:rsidRPr="00BA7805" w:rsidRDefault="00430898">
            <w:pPr>
              <w:pStyle w:val="ARfintablebodyright8pt"/>
              <w:rPr>
                <w:highlight w:val="green"/>
              </w:rPr>
            </w:pPr>
            <w:r w:rsidRPr="00977145">
              <w:t>–</w:t>
            </w:r>
          </w:p>
        </w:tc>
        <w:tc>
          <w:tcPr>
            <w:tcW w:w="1045" w:type="dxa"/>
            <w:noWrap/>
          </w:tcPr>
          <w:p w14:paraId="574A024D" w14:textId="77777777" w:rsidR="004B21C8" w:rsidRPr="00BA7805" w:rsidRDefault="004B21C8">
            <w:pPr>
              <w:pStyle w:val="ARfintablebodyright8pt"/>
              <w:rPr>
                <w:highlight w:val="green"/>
              </w:rPr>
            </w:pPr>
            <w:r w:rsidRPr="00222E51">
              <w:t>0.2</w:t>
            </w:r>
          </w:p>
        </w:tc>
        <w:tc>
          <w:tcPr>
            <w:tcW w:w="1046" w:type="dxa"/>
          </w:tcPr>
          <w:p w14:paraId="4D472A66" w14:textId="77777777" w:rsidR="004B21C8" w:rsidRPr="0003478E" w:rsidRDefault="004B21C8">
            <w:pPr>
              <w:pStyle w:val="ARfintablebodyright8pt"/>
            </w:pPr>
            <w:r>
              <w:t>–</w:t>
            </w:r>
          </w:p>
        </w:tc>
        <w:tc>
          <w:tcPr>
            <w:tcW w:w="1046" w:type="dxa"/>
            <w:noWrap/>
          </w:tcPr>
          <w:p w14:paraId="3E327082" w14:textId="77777777" w:rsidR="004B21C8" w:rsidRPr="00BA7805" w:rsidRDefault="004B21C8">
            <w:pPr>
              <w:pStyle w:val="ARfintablebodyright8pt"/>
              <w:rPr>
                <w:highlight w:val="green"/>
              </w:rPr>
            </w:pPr>
            <w:r w:rsidRPr="00222E51">
              <w:t>0.5</w:t>
            </w:r>
          </w:p>
        </w:tc>
        <w:tc>
          <w:tcPr>
            <w:tcW w:w="1045" w:type="dxa"/>
            <w:noWrap/>
          </w:tcPr>
          <w:p w14:paraId="301302D2" w14:textId="77777777" w:rsidR="004B21C8" w:rsidRPr="00BA7805" w:rsidRDefault="004B21C8">
            <w:pPr>
              <w:pStyle w:val="ARfintablebodyright8pt"/>
              <w:rPr>
                <w:highlight w:val="green"/>
              </w:rPr>
            </w:pPr>
            <w:r w:rsidRPr="00222E51">
              <w:t>0.4</w:t>
            </w:r>
          </w:p>
        </w:tc>
        <w:tc>
          <w:tcPr>
            <w:tcW w:w="1046" w:type="dxa"/>
            <w:noWrap/>
          </w:tcPr>
          <w:p w14:paraId="645FF2BA" w14:textId="77777777" w:rsidR="004B21C8" w:rsidRPr="00BA7805" w:rsidRDefault="004B21C8">
            <w:pPr>
              <w:pStyle w:val="ARfintablebodyright8pt"/>
              <w:rPr>
                <w:highlight w:val="green"/>
              </w:rPr>
            </w:pPr>
            <w:r>
              <w:t>–</w:t>
            </w:r>
          </w:p>
        </w:tc>
        <w:tc>
          <w:tcPr>
            <w:tcW w:w="1046" w:type="dxa"/>
            <w:noWrap/>
          </w:tcPr>
          <w:p w14:paraId="4FEFAB80" w14:textId="77777777" w:rsidR="004B21C8" w:rsidRPr="00BA7805" w:rsidRDefault="004B21C8">
            <w:pPr>
              <w:pStyle w:val="ARfintablebodyright8pt"/>
              <w:rPr>
                <w:highlight w:val="green"/>
              </w:rPr>
            </w:pPr>
            <w:r w:rsidRPr="00222E51">
              <w:t>0.2</w:t>
            </w:r>
          </w:p>
        </w:tc>
      </w:tr>
      <w:tr w:rsidR="004B21C8" w:rsidRPr="00BA7805" w14:paraId="298A4B78" w14:textId="77777777">
        <w:tc>
          <w:tcPr>
            <w:tcW w:w="3069" w:type="dxa"/>
          </w:tcPr>
          <w:p w14:paraId="02AC0B83" w14:textId="77777777" w:rsidR="004B21C8" w:rsidRPr="0003478E" w:rsidRDefault="004B21C8">
            <w:pPr>
              <w:pStyle w:val="ARfintablebody8pt"/>
            </w:pPr>
            <w:r w:rsidRPr="00DF2DA2">
              <w:t>Anzac Day Proceeds Fund</w:t>
            </w:r>
          </w:p>
        </w:tc>
        <w:tc>
          <w:tcPr>
            <w:tcW w:w="1045" w:type="dxa"/>
            <w:shd w:val="clear" w:color="auto" w:fill="EEEEEF" w:themeFill="accent4"/>
            <w:noWrap/>
          </w:tcPr>
          <w:p w14:paraId="1D424A8D" w14:textId="77777777" w:rsidR="004B21C8" w:rsidRPr="00BA7805" w:rsidRDefault="004B21C8">
            <w:pPr>
              <w:pStyle w:val="ARfintablebodyright8pt"/>
              <w:rPr>
                <w:highlight w:val="green"/>
              </w:rPr>
            </w:pPr>
            <w:r w:rsidRPr="00222E51">
              <w:t>0.8</w:t>
            </w:r>
          </w:p>
        </w:tc>
        <w:tc>
          <w:tcPr>
            <w:tcW w:w="1045" w:type="dxa"/>
            <w:shd w:val="clear" w:color="auto" w:fill="EEEEEF" w:themeFill="accent4"/>
            <w:noWrap/>
          </w:tcPr>
          <w:p w14:paraId="1332D247" w14:textId="77777777" w:rsidR="004B21C8" w:rsidRPr="00BA7805" w:rsidRDefault="004B21C8">
            <w:pPr>
              <w:pStyle w:val="ARfintablebodyright8pt"/>
              <w:rPr>
                <w:highlight w:val="green"/>
              </w:rPr>
            </w:pPr>
            <w:r w:rsidRPr="00222E51">
              <w:t>1.1</w:t>
            </w:r>
          </w:p>
        </w:tc>
        <w:tc>
          <w:tcPr>
            <w:tcW w:w="1046" w:type="dxa"/>
            <w:shd w:val="clear" w:color="auto" w:fill="EEEEEF" w:themeFill="accent4"/>
            <w:noWrap/>
          </w:tcPr>
          <w:p w14:paraId="1FB9AA1D" w14:textId="77777777" w:rsidR="004B21C8" w:rsidRPr="00BA7805" w:rsidRDefault="004B21C8">
            <w:pPr>
              <w:pStyle w:val="ARfintablebodyright8pt"/>
              <w:rPr>
                <w:highlight w:val="green"/>
              </w:rPr>
            </w:pPr>
            <w:r w:rsidRPr="00222E51">
              <w:t>1.0</w:t>
            </w:r>
          </w:p>
        </w:tc>
        <w:tc>
          <w:tcPr>
            <w:tcW w:w="1045" w:type="dxa"/>
            <w:shd w:val="clear" w:color="auto" w:fill="EEEEEF" w:themeFill="accent4"/>
            <w:noWrap/>
          </w:tcPr>
          <w:p w14:paraId="30BFD67B" w14:textId="77777777" w:rsidR="004B21C8" w:rsidRPr="00BA7805" w:rsidRDefault="004B21C8">
            <w:pPr>
              <w:pStyle w:val="ARfintablebodyright8pt"/>
              <w:rPr>
                <w:highlight w:val="green"/>
              </w:rPr>
            </w:pPr>
            <w:r w:rsidRPr="00222E51">
              <w:t>0.2</w:t>
            </w:r>
          </w:p>
        </w:tc>
        <w:tc>
          <w:tcPr>
            <w:tcW w:w="1046" w:type="dxa"/>
            <w:shd w:val="clear" w:color="auto" w:fill="EEEEEF" w:themeFill="accent4"/>
            <w:noWrap/>
          </w:tcPr>
          <w:p w14:paraId="4A93EC26" w14:textId="77777777" w:rsidR="004B21C8" w:rsidRPr="00BA7805" w:rsidRDefault="004B21C8">
            <w:pPr>
              <w:pStyle w:val="ARfintablebodyright8pt"/>
              <w:rPr>
                <w:highlight w:val="green"/>
              </w:rPr>
            </w:pPr>
            <w:r w:rsidRPr="00222E51">
              <w:t>1.1</w:t>
            </w:r>
          </w:p>
        </w:tc>
        <w:tc>
          <w:tcPr>
            <w:tcW w:w="1045" w:type="dxa"/>
            <w:noWrap/>
          </w:tcPr>
          <w:p w14:paraId="27D741E0" w14:textId="77777777" w:rsidR="004B21C8" w:rsidRPr="00BA7805" w:rsidRDefault="004B21C8">
            <w:pPr>
              <w:pStyle w:val="ARfintablebodyright8pt"/>
              <w:rPr>
                <w:highlight w:val="green"/>
              </w:rPr>
            </w:pPr>
            <w:r w:rsidRPr="00222E51">
              <w:t>0.7</w:t>
            </w:r>
          </w:p>
        </w:tc>
        <w:tc>
          <w:tcPr>
            <w:tcW w:w="1046" w:type="dxa"/>
          </w:tcPr>
          <w:p w14:paraId="08070093" w14:textId="77777777" w:rsidR="004B21C8" w:rsidRPr="0003478E" w:rsidRDefault="004B21C8">
            <w:pPr>
              <w:pStyle w:val="ARfintablebodyright8pt"/>
            </w:pPr>
            <w:r>
              <w:t>–</w:t>
            </w:r>
          </w:p>
        </w:tc>
        <w:tc>
          <w:tcPr>
            <w:tcW w:w="1046" w:type="dxa"/>
            <w:noWrap/>
          </w:tcPr>
          <w:p w14:paraId="0FADC4D9" w14:textId="77777777" w:rsidR="004B21C8" w:rsidRPr="00BA7805" w:rsidRDefault="004B21C8">
            <w:pPr>
              <w:pStyle w:val="ARfintablebodyright8pt"/>
              <w:rPr>
                <w:highlight w:val="green"/>
              </w:rPr>
            </w:pPr>
            <w:r w:rsidRPr="00222E51">
              <w:t>0.7</w:t>
            </w:r>
          </w:p>
        </w:tc>
        <w:tc>
          <w:tcPr>
            <w:tcW w:w="1045" w:type="dxa"/>
            <w:noWrap/>
          </w:tcPr>
          <w:p w14:paraId="18656A36" w14:textId="77777777" w:rsidR="004B21C8" w:rsidRPr="00BA7805" w:rsidRDefault="004B21C8">
            <w:pPr>
              <w:pStyle w:val="ARfintablebodyright8pt"/>
              <w:rPr>
                <w:highlight w:val="green"/>
              </w:rPr>
            </w:pPr>
            <w:r w:rsidRPr="00222E51">
              <w:t>0.7</w:t>
            </w:r>
          </w:p>
        </w:tc>
        <w:tc>
          <w:tcPr>
            <w:tcW w:w="1046" w:type="dxa"/>
            <w:noWrap/>
          </w:tcPr>
          <w:p w14:paraId="05A867FF" w14:textId="77777777" w:rsidR="004B21C8" w:rsidRPr="00BA7805" w:rsidRDefault="004B21C8">
            <w:pPr>
              <w:pStyle w:val="ARfintablebodyright8pt"/>
              <w:rPr>
                <w:highlight w:val="green"/>
              </w:rPr>
            </w:pPr>
            <w:r>
              <w:t>–</w:t>
            </w:r>
          </w:p>
        </w:tc>
        <w:tc>
          <w:tcPr>
            <w:tcW w:w="1046" w:type="dxa"/>
            <w:noWrap/>
          </w:tcPr>
          <w:p w14:paraId="28AA54F7" w14:textId="77777777" w:rsidR="004B21C8" w:rsidRPr="00BA7805" w:rsidRDefault="004B21C8">
            <w:pPr>
              <w:pStyle w:val="ARfintablebodyright8pt"/>
              <w:rPr>
                <w:highlight w:val="green"/>
              </w:rPr>
            </w:pPr>
            <w:r w:rsidRPr="00222E51">
              <w:t>0.8</w:t>
            </w:r>
          </w:p>
        </w:tc>
      </w:tr>
      <w:tr w:rsidR="004B21C8" w:rsidRPr="00BA7805" w14:paraId="021C8BA1" w14:textId="77777777">
        <w:tc>
          <w:tcPr>
            <w:tcW w:w="3069" w:type="dxa"/>
          </w:tcPr>
          <w:p w14:paraId="397DF5DD" w14:textId="77777777" w:rsidR="004B21C8" w:rsidRDefault="004B21C8">
            <w:pPr>
              <w:pStyle w:val="ARfintablebody8pt"/>
            </w:pPr>
            <w:r w:rsidRPr="00DF2DA2">
              <w:t>Commonwealth Treasury Trust Fund</w:t>
            </w:r>
          </w:p>
        </w:tc>
        <w:tc>
          <w:tcPr>
            <w:tcW w:w="1045" w:type="dxa"/>
            <w:shd w:val="clear" w:color="auto" w:fill="EEEEEF" w:themeFill="accent4"/>
            <w:noWrap/>
          </w:tcPr>
          <w:p w14:paraId="304DECC3" w14:textId="77777777" w:rsidR="004B21C8" w:rsidRPr="00BA7805" w:rsidRDefault="004B21C8">
            <w:pPr>
              <w:pStyle w:val="ARfintablebodyright8pt"/>
              <w:rPr>
                <w:highlight w:val="green"/>
              </w:rPr>
            </w:pPr>
            <w:r>
              <w:t>–</w:t>
            </w:r>
          </w:p>
        </w:tc>
        <w:tc>
          <w:tcPr>
            <w:tcW w:w="1045" w:type="dxa"/>
            <w:shd w:val="clear" w:color="auto" w:fill="EEEEEF" w:themeFill="accent4"/>
            <w:noWrap/>
          </w:tcPr>
          <w:p w14:paraId="3880C7A3" w14:textId="77777777" w:rsidR="004B21C8" w:rsidRPr="00BA7805" w:rsidRDefault="004B21C8">
            <w:pPr>
              <w:pStyle w:val="ARfintablebodyright8pt"/>
              <w:rPr>
                <w:highlight w:val="green"/>
              </w:rPr>
            </w:pPr>
            <w:r w:rsidRPr="00222E51">
              <w:t>4.7</w:t>
            </w:r>
          </w:p>
        </w:tc>
        <w:tc>
          <w:tcPr>
            <w:tcW w:w="1046" w:type="dxa"/>
            <w:shd w:val="clear" w:color="auto" w:fill="EEEEEF" w:themeFill="accent4"/>
            <w:noWrap/>
          </w:tcPr>
          <w:p w14:paraId="3F77870A" w14:textId="77777777" w:rsidR="004B21C8" w:rsidRPr="00BA7805" w:rsidRDefault="004B21C8">
            <w:pPr>
              <w:pStyle w:val="ARfintablebodyright8pt"/>
              <w:rPr>
                <w:highlight w:val="green"/>
              </w:rPr>
            </w:pPr>
            <w:r>
              <w:t>–</w:t>
            </w:r>
          </w:p>
        </w:tc>
        <w:tc>
          <w:tcPr>
            <w:tcW w:w="1045" w:type="dxa"/>
            <w:shd w:val="clear" w:color="auto" w:fill="EEEEEF" w:themeFill="accent4"/>
            <w:noWrap/>
          </w:tcPr>
          <w:p w14:paraId="678467C4" w14:textId="77777777" w:rsidR="004B21C8" w:rsidRPr="00BA7805" w:rsidRDefault="004B21C8">
            <w:pPr>
              <w:pStyle w:val="ARfintablebodyright8pt"/>
              <w:rPr>
                <w:highlight w:val="green"/>
              </w:rPr>
            </w:pPr>
            <w:r>
              <w:t>–</w:t>
            </w:r>
          </w:p>
        </w:tc>
        <w:tc>
          <w:tcPr>
            <w:tcW w:w="1046" w:type="dxa"/>
            <w:shd w:val="clear" w:color="auto" w:fill="EEEEEF" w:themeFill="accent4"/>
            <w:noWrap/>
          </w:tcPr>
          <w:p w14:paraId="5D8DC1F0" w14:textId="77777777" w:rsidR="004B21C8" w:rsidRPr="00BA7805" w:rsidRDefault="004B21C8">
            <w:pPr>
              <w:pStyle w:val="ARfintablebodyright8pt"/>
              <w:rPr>
                <w:highlight w:val="green"/>
              </w:rPr>
            </w:pPr>
            <w:r w:rsidRPr="00222E51">
              <w:t>4.7</w:t>
            </w:r>
          </w:p>
        </w:tc>
        <w:tc>
          <w:tcPr>
            <w:tcW w:w="1045" w:type="dxa"/>
            <w:noWrap/>
          </w:tcPr>
          <w:p w14:paraId="2255F812" w14:textId="77777777" w:rsidR="004B21C8" w:rsidRPr="00BA7805" w:rsidRDefault="004B21C8">
            <w:pPr>
              <w:pStyle w:val="ARfintablebodyright8pt"/>
              <w:rPr>
                <w:highlight w:val="green"/>
              </w:rPr>
            </w:pPr>
            <w:r>
              <w:t>–</w:t>
            </w:r>
          </w:p>
        </w:tc>
        <w:tc>
          <w:tcPr>
            <w:tcW w:w="1046" w:type="dxa"/>
          </w:tcPr>
          <w:p w14:paraId="571A82E2" w14:textId="77777777" w:rsidR="004B21C8" w:rsidRDefault="004B21C8">
            <w:pPr>
              <w:pStyle w:val="ARfintablebodyright8pt"/>
            </w:pPr>
            <w:r>
              <w:t>–</w:t>
            </w:r>
          </w:p>
        </w:tc>
        <w:tc>
          <w:tcPr>
            <w:tcW w:w="1046" w:type="dxa"/>
            <w:noWrap/>
          </w:tcPr>
          <w:p w14:paraId="2F1C08B8" w14:textId="77777777" w:rsidR="004B21C8" w:rsidRPr="00BA7805" w:rsidRDefault="004B21C8">
            <w:pPr>
              <w:pStyle w:val="ARfintablebodyright8pt"/>
              <w:rPr>
                <w:highlight w:val="green"/>
              </w:rPr>
            </w:pPr>
            <w:r>
              <w:t>–</w:t>
            </w:r>
          </w:p>
        </w:tc>
        <w:tc>
          <w:tcPr>
            <w:tcW w:w="1045" w:type="dxa"/>
            <w:noWrap/>
          </w:tcPr>
          <w:p w14:paraId="618754E8" w14:textId="77777777" w:rsidR="004B21C8" w:rsidRPr="00BA7805" w:rsidRDefault="004B21C8">
            <w:pPr>
              <w:pStyle w:val="ARfintablebodyright8pt"/>
              <w:rPr>
                <w:highlight w:val="green"/>
              </w:rPr>
            </w:pPr>
            <w:r>
              <w:t>–</w:t>
            </w:r>
          </w:p>
        </w:tc>
        <w:tc>
          <w:tcPr>
            <w:tcW w:w="1046" w:type="dxa"/>
            <w:noWrap/>
          </w:tcPr>
          <w:p w14:paraId="1FD12EDC" w14:textId="77777777" w:rsidR="004B21C8" w:rsidRPr="00BA7805" w:rsidRDefault="004B21C8">
            <w:pPr>
              <w:pStyle w:val="ARfintablebodyright8pt"/>
              <w:rPr>
                <w:highlight w:val="green"/>
              </w:rPr>
            </w:pPr>
            <w:r>
              <w:t>–</w:t>
            </w:r>
          </w:p>
        </w:tc>
        <w:tc>
          <w:tcPr>
            <w:tcW w:w="1046" w:type="dxa"/>
            <w:noWrap/>
          </w:tcPr>
          <w:p w14:paraId="36FF7AF3" w14:textId="77777777" w:rsidR="004B21C8" w:rsidRPr="00BA7805" w:rsidRDefault="004B21C8">
            <w:pPr>
              <w:pStyle w:val="ARfintablebodyright8pt"/>
              <w:rPr>
                <w:highlight w:val="green"/>
              </w:rPr>
            </w:pPr>
            <w:r>
              <w:t>–</w:t>
            </w:r>
          </w:p>
        </w:tc>
      </w:tr>
      <w:tr w:rsidR="004B21C8" w:rsidRPr="00BA7805" w14:paraId="10BAAA1E" w14:textId="77777777">
        <w:trPr>
          <w:cnfStyle w:val="010000000000" w:firstRow="0" w:lastRow="1" w:firstColumn="0" w:lastColumn="0" w:oddVBand="0" w:evenVBand="0" w:oddHBand="0" w:evenHBand="0" w:firstRowFirstColumn="0" w:firstRowLastColumn="0" w:lastRowFirstColumn="0" w:lastRowLastColumn="0"/>
        </w:trPr>
        <w:tc>
          <w:tcPr>
            <w:tcW w:w="3069" w:type="dxa"/>
          </w:tcPr>
          <w:p w14:paraId="1C2560AE" w14:textId="77777777" w:rsidR="004B21C8" w:rsidRPr="0003478E" w:rsidRDefault="004B21C8">
            <w:pPr>
              <w:pStyle w:val="ARfintablebodybold8pt"/>
            </w:pPr>
            <w:r w:rsidRPr="00DF2DA2">
              <w:t>Total</w:t>
            </w:r>
            <w:r>
              <w:t xml:space="preserve"> </w:t>
            </w:r>
            <w:r w:rsidRPr="00DF2DA2">
              <w:t>controlled</w:t>
            </w:r>
            <w:r>
              <w:t xml:space="preserve"> </w:t>
            </w:r>
            <w:r w:rsidRPr="00DF2DA2">
              <w:t>trusts</w:t>
            </w:r>
          </w:p>
        </w:tc>
        <w:tc>
          <w:tcPr>
            <w:tcW w:w="1045" w:type="dxa"/>
            <w:shd w:val="clear" w:color="auto" w:fill="EEEEEF" w:themeFill="accent4"/>
            <w:noWrap/>
          </w:tcPr>
          <w:p w14:paraId="60FAA7BD" w14:textId="77777777" w:rsidR="004B21C8" w:rsidRPr="00BA7805" w:rsidRDefault="004B21C8">
            <w:pPr>
              <w:pStyle w:val="ARfintablebodyrightbold8pt"/>
              <w:rPr>
                <w:highlight w:val="green"/>
              </w:rPr>
            </w:pPr>
            <w:r w:rsidRPr="00222E51">
              <w:t>47.1</w:t>
            </w:r>
          </w:p>
        </w:tc>
        <w:tc>
          <w:tcPr>
            <w:tcW w:w="1045" w:type="dxa"/>
            <w:shd w:val="clear" w:color="auto" w:fill="EEEEEF" w:themeFill="accent4"/>
            <w:noWrap/>
          </w:tcPr>
          <w:p w14:paraId="0B01D4CE" w14:textId="77777777" w:rsidR="004B21C8" w:rsidRPr="00BA7805" w:rsidRDefault="004B21C8">
            <w:pPr>
              <w:pStyle w:val="ARfintablebodyrightbold8pt"/>
              <w:rPr>
                <w:highlight w:val="green"/>
              </w:rPr>
            </w:pPr>
            <w:r w:rsidRPr="00222E51">
              <w:t>109.5</w:t>
            </w:r>
          </w:p>
        </w:tc>
        <w:tc>
          <w:tcPr>
            <w:tcW w:w="1046" w:type="dxa"/>
            <w:shd w:val="clear" w:color="auto" w:fill="EEEEEF" w:themeFill="accent4"/>
            <w:noWrap/>
          </w:tcPr>
          <w:p w14:paraId="604D9FD3" w14:textId="77777777" w:rsidR="004B21C8" w:rsidRPr="00BA7805" w:rsidRDefault="004B21C8">
            <w:pPr>
              <w:pStyle w:val="ARfintablebodyrightbold8pt"/>
              <w:rPr>
                <w:highlight w:val="green"/>
              </w:rPr>
            </w:pPr>
            <w:r w:rsidRPr="00222E51">
              <w:t>104.5</w:t>
            </w:r>
          </w:p>
        </w:tc>
        <w:tc>
          <w:tcPr>
            <w:tcW w:w="1045" w:type="dxa"/>
            <w:shd w:val="clear" w:color="auto" w:fill="EEEEEF" w:themeFill="accent4"/>
            <w:noWrap/>
          </w:tcPr>
          <w:p w14:paraId="1CF95C50" w14:textId="77777777" w:rsidR="004B21C8" w:rsidRPr="00BA7805" w:rsidRDefault="004B21C8">
            <w:pPr>
              <w:pStyle w:val="ARfintablebodyrightbold8pt"/>
              <w:rPr>
                <w:highlight w:val="green"/>
              </w:rPr>
            </w:pPr>
            <w:r w:rsidRPr="00222E51">
              <w:t>(3.7)</w:t>
            </w:r>
          </w:p>
        </w:tc>
        <w:tc>
          <w:tcPr>
            <w:tcW w:w="1046" w:type="dxa"/>
            <w:shd w:val="clear" w:color="auto" w:fill="EEEEEF" w:themeFill="accent4"/>
            <w:noWrap/>
          </w:tcPr>
          <w:p w14:paraId="255729CD" w14:textId="77777777" w:rsidR="004B21C8" w:rsidRPr="00BA7805" w:rsidRDefault="004B21C8">
            <w:pPr>
              <w:pStyle w:val="ARfintablebodyrightbold8pt"/>
              <w:rPr>
                <w:highlight w:val="green"/>
              </w:rPr>
            </w:pPr>
            <w:r w:rsidRPr="00222E51">
              <w:t>48.5</w:t>
            </w:r>
          </w:p>
        </w:tc>
        <w:tc>
          <w:tcPr>
            <w:tcW w:w="1045" w:type="dxa"/>
            <w:noWrap/>
          </w:tcPr>
          <w:p w14:paraId="1BEB74EB" w14:textId="77777777" w:rsidR="004B21C8" w:rsidRPr="00BA7805" w:rsidRDefault="004B21C8">
            <w:pPr>
              <w:pStyle w:val="ARfintablebodyrightbold8pt"/>
              <w:rPr>
                <w:highlight w:val="green"/>
              </w:rPr>
            </w:pPr>
            <w:r w:rsidRPr="00222E51">
              <w:t>70.0</w:t>
            </w:r>
          </w:p>
        </w:tc>
        <w:tc>
          <w:tcPr>
            <w:tcW w:w="1046" w:type="dxa"/>
          </w:tcPr>
          <w:p w14:paraId="32F10DE0" w14:textId="77777777" w:rsidR="004B21C8" w:rsidRPr="0003478E" w:rsidRDefault="004B21C8">
            <w:pPr>
              <w:pStyle w:val="ARfintablebodyrightbold8pt"/>
            </w:pPr>
            <w:r w:rsidRPr="00222E51">
              <w:t>(0.9)</w:t>
            </w:r>
          </w:p>
        </w:tc>
        <w:tc>
          <w:tcPr>
            <w:tcW w:w="1046" w:type="dxa"/>
            <w:noWrap/>
          </w:tcPr>
          <w:p w14:paraId="64AE0E2F" w14:textId="77777777" w:rsidR="004B21C8" w:rsidRPr="00BA7805" w:rsidRDefault="004B21C8">
            <w:pPr>
              <w:pStyle w:val="ARfintablebodyrightbold8pt"/>
              <w:rPr>
                <w:highlight w:val="green"/>
              </w:rPr>
            </w:pPr>
            <w:r w:rsidRPr="00222E51">
              <w:t>112.9</w:t>
            </w:r>
          </w:p>
        </w:tc>
        <w:tc>
          <w:tcPr>
            <w:tcW w:w="1045" w:type="dxa"/>
            <w:noWrap/>
          </w:tcPr>
          <w:p w14:paraId="046309AE" w14:textId="77777777" w:rsidR="004B21C8" w:rsidRPr="00BA7805" w:rsidRDefault="004B21C8">
            <w:pPr>
              <w:pStyle w:val="ARfintablebodyrightbold8pt"/>
              <w:rPr>
                <w:highlight w:val="green"/>
              </w:rPr>
            </w:pPr>
            <w:r w:rsidRPr="00222E51">
              <w:t>138.8</w:t>
            </w:r>
          </w:p>
        </w:tc>
        <w:tc>
          <w:tcPr>
            <w:tcW w:w="1046" w:type="dxa"/>
            <w:noWrap/>
          </w:tcPr>
          <w:p w14:paraId="6676FB33" w14:textId="77777777" w:rsidR="004B21C8" w:rsidRPr="00BA7805" w:rsidRDefault="004B21C8">
            <w:pPr>
              <w:pStyle w:val="ARfintablebodyrightbold8pt"/>
              <w:rPr>
                <w:highlight w:val="green"/>
              </w:rPr>
            </w:pPr>
            <w:r w:rsidRPr="00222E51">
              <w:t>4.1</w:t>
            </w:r>
          </w:p>
        </w:tc>
        <w:tc>
          <w:tcPr>
            <w:tcW w:w="1046" w:type="dxa"/>
            <w:noWrap/>
          </w:tcPr>
          <w:p w14:paraId="7D8FCD0F" w14:textId="77777777" w:rsidR="004B21C8" w:rsidRPr="00BA7805" w:rsidRDefault="004B21C8">
            <w:pPr>
              <w:pStyle w:val="ARfintablebodyrightbold8pt"/>
              <w:rPr>
                <w:highlight w:val="green"/>
              </w:rPr>
            </w:pPr>
            <w:r w:rsidRPr="00222E51">
              <w:t>47.1</w:t>
            </w:r>
          </w:p>
        </w:tc>
      </w:tr>
    </w:tbl>
    <w:p w14:paraId="4B8CA520" w14:textId="77777777" w:rsidR="00265792" w:rsidRPr="00BA7805" w:rsidRDefault="00265792" w:rsidP="004B21C8">
      <w:pPr>
        <w:pStyle w:val="ARbody"/>
        <w:rPr>
          <w:highlight w:val="green"/>
        </w:rPr>
      </w:pPr>
    </w:p>
    <w:tbl>
      <w:tblPr>
        <w:tblStyle w:val="TableGrid"/>
        <w:tblW w:w="14560" w:type="dxa"/>
        <w:tblLayout w:type="fixed"/>
        <w:tblLook w:val="06E0" w:firstRow="1" w:lastRow="1" w:firstColumn="1" w:lastColumn="0" w:noHBand="1" w:noVBand="1"/>
      </w:tblPr>
      <w:tblGrid>
        <w:gridCol w:w="3112"/>
        <w:gridCol w:w="1039"/>
        <w:gridCol w:w="1039"/>
        <w:gridCol w:w="1040"/>
        <w:gridCol w:w="1040"/>
        <w:gridCol w:w="1040"/>
        <w:gridCol w:w="1046"/>
        <w:gridCol w:w="1041"/>
        <w:gridCol w:w="1041"/>
        <w:gridCol w:w="1040"/>
        <w:gridCol w:w="1041"/>
        <w:gridCol w:w="1041"/>
      </w:tblGrid>
      <w:tr w:rsidR="00265792" w:rsidRPr="00BA7805" w14:paraId="05731442" w14:textId="77777777">
        <w:trPr>
          <w:cnfStyle w:val="100000000000" w:firstRow="1" w:lastRow="0" w:firstColumn="0" w:lastColumn="0" w:oddVBand="0" w:evenVBand="0" w:oddHBand="0" w:evenHBand="0" w:firstRowFirstColumn="0" w:firstRowLastColumn="0" w:lastRowFirstColumn="0" w:lastRowLastColumn="0"/>
        </w:trPr>
        <w:tc>
          <w:tcPr>
            <w:tcW w:w="3112" w:type="dxa"/>
            <w:vMerge w:val="restart"/>
            <w:tcBorders>
              <w:top w:val="nil"/>
              <w:bottom w:val="single" w:sz="4" w:space="0" w:color="A6A6A6" w:themeColor="accent5"/>
            </w:tcBorders>
            <w:noWrap/>
          </w:tcPr>
          <w:p w14:paraId="6DA790C4" w14:textId="77777777" w:rsidR="00265792" w:rsidRPr="005A6151" w:rsidRDefault="00265792" w:rsidP="00BE040F">
            <w:pPr>
              <w:pStyle w:val="ARfintablebodybold8pt"/>
            </w:pPr>
          </w:p>
        </w:tc>
        <w:tc>
          <w:tcPr>
            <w:tcW w:w="5198" w:type="dxa"/>
            <w:gridSpan w:val="5"/>
            <w:tcBorders>
              <w:top w:val="nil"/>
            </w:tcBorders>
            <w:shd w:val="clear" w:color="auto" w:fill="EEEEEF" w:themeFill="accent4"/>
            <w:noWrap/>
          </w:tcPr>
          <w:p w14:paraId="5069AEBB" w14:textId="77777777" w:rsidR="00265792" w:rsidRPr="00AE7F5B" w:rsidRDefault="00265792" w:rsidP="004B21C8">
            <w:pPr>
              <w:pStyle w:val="ARfintablecolhead8"/>
              <w:jc w:val="center"/>
            </w:pPr>
            <w:r w:rsidRPr="00AE7F5B">
              <w:t>2025</w:t>
            </w:r>
          </w:p>
        </w:tc>
        <w:tc>
          <w:tcPr>
            <w:tcW w:w="6250" w:type="dxa"/>
            <w:gridSpan w:val="6"/>
            <w:tcBorders>
              <w:top w:val="nil"/>
            </w:tcBorders>
          </w:tcPr>
          <w:p w14:paraId="01611BC5" w14:textId="77777777" w:rsidR="00265792" w:rsidRPr="00AE7F5B" w:rsidRDefault="00265792" w:rsidP="004B21C8">
            <w:pPr>
              <w:pStyle w:val="ARfintablecolhead8"/>
              <w:jc w:val="center"/>
            </w:pPr>
            <w:r w:rsidRPr="00AE7F5B">
              <w:t>2024</w:t>
            </w:r>
          </w:p>
        </w:tc>
      </w:tr>
      <w:tr w:rsidR="00265792" w:rsidRPr="00BA7805" w14:paraId="70360097" w14:textId="77777777">
        <w:tc>
          <w:tcPr>
            <w:tcW w:w="3112" w:type="dxa"/>
            <w:vMerge/>
            <w:tcBorders>
              <w:top w:val="single" w:sz="4" w:space="0" w:color="A6A6A6" w:themeColor="accent5"/>
              <w:bottom w:val="single" w:sz="4" w:space="0" w:color="A6A6A6" w:themeColor="accent5"/>
            </w:tcBorders>
            <w:noWrap/>
          </w:tcPr>
          <w:p w14:paraId="2ADCEA97" w14:textId="77777777" w:rsidR="00265792" w:rsidRPr="005A6151" w:rsidRDefault="00265792">
            <w:pPr>
              <w:pStyle w:val="ARfintablebodybold8pt"/>
            </w:pPr>
          </w:p>
        </w:tc>
        <w:tc>
          <w:tcPr>
            <w:tcW w:w="1039" w:type="dxa"/>
            <w:tcBorders>
              <w:top w:val="single" w:sz="4" w:space="0" w:color="000000" w:themeColor="text1"/>
              <w:bottom w:val="single" w:sz="4" w:space="0" w:color="A6A6A6" w:themeColor="accent5"/>
            </w:tcBorders>
            <w:shd w:val="clear" w:color="auto" w:fill="EEEEEF" w:themeFill="accent4"/>
            <w:noWrap/>
            <w:vAlign w:val="bottom"/>
          </w:tcPr>
          <w:p w14:paraId="7820742F" w14:textId="77777777" w:rsidR="00265792" w:rsidRPr="004B21C8" w:rsidRDefault="00265792" w:rsidP="004B21C8">
            <w:pPr>
              <w:pStyle w:val="ARfintablecolheadright8"/>
              <w:rPr>
                <w:sz w:val="15"/>
              </w:rPr>
            </w:pPr>
            <w:r w:rsidRPr="004B21C8">
              <w:rPr>
                <w:sz w:val="15"/>
              </w:rPr>
              <w:t xml:space="preserve">Opening balance </w:t>
            </w:r>
            <w:r w:rsidRPr="004B21C8">
              <w:rPr>
                <w:sz w:val="15"/>
              </w:rPr>
              <w:br/>
              <w:t xml:space="preserve">as at </w:t>
            </w:r>
            <w:r w:rsidRPr="004B21C8">
              <w:rPr>
                <w:sz w:val="15"/>
              </w:rPr>
              <w:br/>
              <w:t xml:space="preserve">1 July </w:t>
            </w:r>
            <w:r w:rsidRPr="004B21C8">
              <w:rPr>
                <w:sz w:val="15"/>
              </w:rPr>
              <w:br/>
              <w:t>2024</w:t>
            </w:r>
          </w:p>
          <w:p w14:paraId="10161B03" w14:textId="77777777" w:rsidR="00265792" w:rsidRPr="004B21C8" w:rsidRDefault="00265792" w:rsidP="004B21C8">
            <w:pPr>
              <w:pStyle w:val="ARfintablecolheadright8"/>
              <w:rPr>
                <w:sz w:val="15"/>
                <w:highlight w:val="green"/>
              </w:rPr>
            </w:pPr>
            <w:r w:rsidRPr="004B21C8">
              <w:rPr>
                <w:sz w:val="15"/>
              </w:rPr>
              <w:t>$M</w:t>
            </w:r>
          </w:p>
        </w:tc>
        <w:tc>
          <w:tcPr>
            <w:tcW w:w="1039" w:type="dxa"/>
            <w:tcBorders>
              <w:top w:val="single" w:sz="4" w:space="0" w:color="000000" w:themeColor="text1"/>
              <w:bottom w:val="single" w:sz="4" w:space="0" w:color="A6A6A6" w:themeColor="accent5"/>
            </w:tcBorders>
            <w:shd w:val="clear" w:color="auto" w:fill="EEEEEF" w:themeFill="accent4"/>
            <w:noWrap/>
            <w:vAlign w:val="bottom"/>
          </w:tcPr>
          <w:p w14:paraId="3B16FB8F" w14:textId="77777777" w:rsidR="00265792" w:rsidRPr="004B21C8" w:rsidRDefault="00265792" w:rsidP="004B21C8">
            <w:pPr>
              <w:pStyle w:val="ARfintablecolheadright8"/>
              <w:rPr>
                <w:sz w:val="15"/>
              </w:rPr>
            </w:pPr>
            <w:r w:rsidRPr="004B21C8">
              <w:rPr>
                <w:sz w:val="15"/>
              </w:rPr>
              <w:t>Total receipts</w:t>
            </w:r>
          </w:p>
          <w:p w14:paraId="7BBD8300" w14:textId="77777777" w:rsidR="00265792" w:rsidRPr="004B21C8" w:rsidRDefault="00265792" w:rsidP="004B21C8">
            <w:pPr>
              <w:pStyle w:val="ARfintablecolheadright8"/>
              <w:rPr>
                <w:sz w:val="15"/>
                <w:highlight w:val="green"/>
              </w:rPr>
            </w:pPr>
            <w:r w:rsidRPr="004B21C8">
              <w:rPr>
                <w:sz w:val="15"/>
              </w:rPr>
              <w:t>$M</w:t>
            </w:r>
          </w:p>
        </w:tc>
        <w:tc>
          <w:tcPr>
            <w:tcW w:w="1040" w:type="dxa"/>
            <w:tcBorders>
              <w:top w:val="single" w:sz="4" w:space="0" w:color="000000" w:themeColor="text1"/>
              <w:bottom w:val="single" w:sz="4" w:space="0" w:color="A6A6A6" w:themeColor="accent5"/>
            </w:tcBorders>
            <w:shd w:val="clear" w:color="auto" w:fill="EEEEEF" w:themeFill="accent4"/>
            <w:noWrap/>
            <w:vAlign w:val="bottom"/>
          </w:tcPr>
          <w:p w14:paraId="30577FFA" w14:textId="77777777" w:rsidR="00265792" w:rsidRPr="004B21C8" w:rsidRDefault="00265792" w:rsidP="004B21C8">
            <w:pPr>
              <w:pStyle w:val="ARfintablecolheadright8"/>
              <w:rPr>
                <w:sz w:val="15"/>
              </w:rPr>
            </w:pPr>
            <w:r w:rsidRPr="004B21C8">
              <w:rPr>
                <w:sz w:val="15"/>
              </w:rPr>
              <w:t>Total payments</w:t>
            </w:r>
          </w:p>
          <w:p w14:paraId="27D55FBB" w14:textId="77777777" w:rsidR="00265792" w:rsidRPr="004B21C8" w:rsidRDefault="00265792" w:rsidP="004B21C8">
            <w:pPr>
              <w:pStyle w:val="ARfintablecolheadright8"/>
              <w:rPr>
                <w:sz w:val="15"/>
                <w:highlight w:val="green"/>
              </w:rPr>
            </w:pPr>
            <w:r w:rsidRPr="004B21C8">
              <w:rPr>
                <w:sz w:val="15"/>
              </w:rPr>
              <w:t>$M</w:t>
            </w:r>
          </w:p>
        </w:tc>
        <w:tc>
          <w:tcPr>
            <w:tcW w:w="1040" w:type="dxa"/>
            <w:tcBorders>
              <w:top w:val="single" w:sz="4" w:space="0" w:color="000000" w:themeColor="text1"/>
              <w:bottom w:val="single" w:sz="4" w:space="0" w:color="A6A6A6" w:themeColor="accent5"/>
            </w:tcBorders>
            <w:shd w:val="clear" w:color="auto" w:fill="EEEEEF" w:themeFill="accent4"/>
            <w:noWrap/>
            <w:vAlign w:val="bottom"/>
          </w:tcPr>
          <w:p w14:paraId="3FC64E78" w14:textId="77777777" w:rsidR="00265792" w:rsidRPr="004B21C8" w:rsidRDefault="00265792" w:rsidP="004B21C8">
            <w:pPr>
              <w:pStyle w:val="ARfintablecolheadright8"/>
              <w:rPr>
                <w:sz w:val="15"/>
              </w:rPr>
            </w:pPr>
            <w:r w:rsidRPr="004B21C8">
              <w:rPr>
                <w:sz w:val="15"/>
              </w:rPr>
              <w:t>Non-cash movement</w:t>
            </w:r>
          </w:p>
          <w:p w14:paraId="35BD1AA6" w14:textId="77777777" w:rsidR="00265792" w:rsidRPr="004B21C8" w:rsidRDefault="00265792" w:rsidP="004B21C8">
            <w:pPr>
              <w:pStyle w:val="ARfintablecolheadright8"/>
              <w:rPr>
                <w:sz w:val="15"/>
                <w:highlight w:val="green"/>
              </w:rPr>
            </w:pPr>
            <w:r w:rsidRPr="004B21C8">
              <w:rPr>
                <w:sz w:val="15"/>
              </w:rPr>
              <w:t>$M</w:t>
            </w:r>
          </w:p>
        </w:tc>
        <w:tc>
          <w:tcPr>
            <w:tcW w:w="1040" w:type="dxa"/>
            <w:tcBorders>
              <w:top w:val="single" w:sz="4" w:space="0" w:color="000000" w:themeColor="text1"/>
              <w:bottom w:val="single" w:sz="4" w:space="0" w:color="A6A6A6" w:themeColor="accent5"/>
            </w:tcBorders>
            <w:shd w:val="clear" w:color="auto" w:fill="EEEEEF" w:themeFill="accent4"/>
            <w:noWrap/>
            <w:vAlign w:val="bottom"/>
          </w:tcPr>
          <w:p w14:paraId="32B42FF7" w14:textId="77777777" w:rsidR="00265792" w:rsidRPr="004B21C8" w:rsidRDefault="00265792" w:rsidP="004B21C8">
            <w:pPr>
              <w:pStyle w:val="ARfintablecolheadright8"/>
              <w:rPr>
                <w:sz w:val="15"/>
              </w:rPr>
            </w:pPr>
            <w:r w:rsidRPr="004B21C8">
              <w:rPr>
                <w:sz w:val="15"/>
              </w:rPr>
              <w:t xml:space="preserve">Closing balance </w:t>
            </w:r>
            <w:r w:rsidRPr="004B21C8">
              <w:rPr>
                <w:sz w:val="15"/>
              </w:rPr>
              <w:br/>
              <w:t xml:space="preserve">as at </w:t>
            </w:r>
            <w:r w:rsidRPr="004B21C8">
              <w:rPr>
                <w:sz w:val="15"/>
              </w:rPr>
              <w:br/>
              <w:t>30 June 2025</w:t>
            </w:r>
          </w:p>
          <w:p w14:paraId="45A0F285" w14:textId="77777777" w:rsidR="00265792" w:rsidRPr="004B21C8" w:rsidRDefault="00265792" w:rsidP="004B21C8">
            <w:pPr>
              <w:pStyle w:val="ARfintablecolheadright8"/>
              <w:rPr>
                <w:sz w:val="15"/>
                <w:highlight w:val="green"/>
              </w:rPr>
            </w:pPr>
            <w:r w:rsidRPr="004B21C8">
              <w:rPr>
                <w:sz w:val="15"/>
              </w:rPr>
              <w:t>$M</w:t>
            </w:r>
          </w:p>
        </w:tc>
        <w:tc>
          <w:tcPr>
            <w:tcW w:w="1046" w:type="dxa"/>
            <w:tcBorders>
              <w:top w:val="single" w:sz="4" w:space="0" w:color="000000" w:themeColor="text1"/>
              <w:bottom w:val="single" w:sz="4" w:space="0" w:color="A6A6A6" w:themeColor="accent5"/>
            </w:tcBorders>
            <w:noWrap/>
            <w:vAlign w:val="bottom"/>
          </w:tcPr>
          <w:p w14:paraId="4A849F59" w14:textId="77777777" w:rsidR="00265792" w:rsidRPr="004B21C8" w:rsidRDefault="00265792" w:rsidP="004B21C8">
            <w:pPr>
              <w:pStyle w:val="ARfintablecolheadright8"/>
              <w:rPr>
                <w:sz w:val="15"/>
              </w:rPr>
            </w:pPr>
            <w:r w:rsidRPr="004B21C8">
              <w:rPr>
                <w:sz w:val="15"/>
              </w:rPr>
              <w:t xml:space="preserve">Opening balance </w:t>
            </w:r>
            <w:r w:rsidRPr="004B21C8">
              <w:rPr>
                <w:sz w:val="15"/>
              </w:rPr>
              <w:br/>
              <w:t xml:space="preserve">as at </w:t>
            </w:r>
            <w:r w:rsidRPr="004B21C8">
              <w:rPr>
                <w:sz w:val="15"/>
              </w:rPr>
              <w:br/>
              <w:t xml:space="preserve">1 July </w:t>
            </w:r>
            <w:r w:rsidRPr="004B21C8">
              <w:rPr>
                <w:sz w:val="15"/>
              </w:rPr>
              <w:br/>
              <w:t>2023</w:t>
            </w:r>
          </w:p>
          <w:p w14:paraId="5CE1FAAA" w14:textId="77777777" w:rsidR="00265792" w:rsidRPr="004B21C8" w:rsidRDefault="00265792" w:rsidP="004B21C8">
            <w:pPr>
              <w:pStyle w:val="ARfintablecolheadright8"/>
              <w:rPr>
                <w:sz w:val="15"/>
                <w:highlight w:val="green"/>
              </w:rPr>
            </w:pPr>
            <w:r w:rsidRPr="004B21C8">
              <w:rPr>
                <w:sz w:val="15"/>
              </w:rPr>
              <w:t>$M</w:t>
            </w:r>
          </w:p>
        </w:tc>
        <w:tc>
          <w:tcPr>
            <w:tcW w:w="1041" w:type="dxa"/>
            <w:tcBorders>
              <w:top w:val="single" w:sz="4" w:space="0" w:color="000000" w:themeColor="text1"/>
              <w:bottom w:val="single" w:sz="4" w:space="0" w:color="A6A6A6" w:themeColor="accent5"/>
            </w:tcBorders>
            <w:vAlign w:val="bottom"/>
          </w:tcPr>
          <w:p w14:paraId="645A23B9" w14:textId="6F429A39" w:rsidR="00265792" w:rsidRPr="004B21C8" w:rsidRDefault="00265792" w:rsidP="004B21C8">
            <w:pPr>
              <w:pStyle w:val="ARfintablecolheadright8"/>
              <w:rPr>
                <w:sz w:val="15"/>
              </w:rPr>
            </w:pPr>
            <w:r w:rsidRPr="004B21C8">
              <w:rPr>
                <w:sz w:val="15"/>
              </w:rPr>
              <w:t xml:space="preserve">Machinery of </w:t>
            </w:r>
            <w:r w:rsidR="00054189">
              <w:rPr>
                <w:sz w:val="15"/>
              </w:rPr>
              <w:t>g</w:t>
            </w:r>
            <w:r w:rsidRPr="004B21C8">
              <w:rPr>
                <w:sz w:val="15"/>
              </w:rPr>
              <w:t>overnment – transfer in/(out)</w:t>
            </w:r>
          </w:p>
          <w:p w14:paraId="7119537C" w14:textId="77777777" w:rsidR="00265792" w:rsidRPr="004B21C8" w:rsidRDefault="00265792" w:rsidP="004B21C8">
            <w:pPr>
              <w:pStyle w:val="ARfintablecolheadright8"/>
              <w:rPr>
                <w:sz w:val="15"/>
                <w:highlight w:val="green"/>
              </w:rPr>
            </w:pPr>
            <w:r w:rsidRPr="004B21C8">
              <w:rPr>
                <w:sz w:val="15"/>
              </w:rPr>
              <w:t>$M</w:t>
            </w:r>
          </w:p>
        </w:tc>
        <w:tc>
          <w:tcPr>
            <w:tcW w:w="1041" w:type="dxa"/>
            <w:tcBorders>
              <w:top w:val="single" w:sz="4" w:space="0" w:color="000000" w:themeColor="text1"/>
              <w:bottom w:val="single" w:sz="4" w:space="0" w:color="A6A6A6" w:themeColor="accent5"/>
            </w:tcBorders>
            <w:noWrap/>
            <w:vAlign w:val="bottom"/>
          </w:tcPr>
          <w:p w14:paraId="73A4AFBC" w14:textId="77777777" w:rsidR="00265792" w:rsidRPr="004B21C8" w:rsidRDefault="00265792" w:rsidP="004B21C8">
            <w:pPr>
              <w:pStyle w:val="ARfintablecolheadright8"/>
              <w:rPr>
                <w:sz w:val="15"/>
              </w:rPr>
            </w:pPr>
            <w:r w:rsidRPr="004B21C8">
              <w:rPr>
                <w:sz w:val="15"/>
              </w:rPr>
              <w:t>Total receipts</w:t>
            </w:r>
          </w:p>
          <w:p w14:paraId="0FF6AA86" w14:textId="77777777" w:rsidR="00265792" w:rsidRPr="004B21C8" w:rsidRDefault="00265792" w:rsidP="004B21C8">
            <w:pPr>
              <w:pStyle w:val="ARfintablecolheadright8"/>
              <w:rPr>
                <w:sz w:val="15"/>
                <w:highlight w:val="green"/>
              </w:rPr>
            </w:pPr>
            <w:r w:rsidRPr="004B21C8">
              <w:rPr>
                <w:sz w:val="15"/>
              </w:rPr>
              <w:t>$M</w:t>
            </w:r>
          </w:p>
        </w:tc>
        <w:tc>
          <w:tcPr>
            <w:tcW w:w="1040" w:type="dxa"/>
            <w:tcBorders>
              <w:top w:val="single" w:sz="4" w:space="0" w:color="000000" w:themeColor="text1"/>
              <w:bottom w:val="single" w:sz="4" w:space="0" w:color="A6A6A6" w:themeColor="accent5"/>
            </w:tcBorders>
            <w:noWrap/>
            <w:vAlign w:val="bottom"/>
          </w:tcPr>
          <w:p w14:paraId="04F88776" w14:textId="77777777" w:rsidR="00265792" w:rsidRPr="004B21C8" w:rsidRDefault="00265792" w:rsidP="004B21C8">
            <w:pPr>
              <w:pStyle w:val="ARfintablecolheadright8"/>
              <w:rPr>
                <w:sz w:val="15"/>
              </w:rPr>
            </w:pPr>
            <w:r w:rsidRPr="004B21C8">
              <w:rPr>
                <w:sz w:val="15"/>
              </w:rPr>
              <w:t>Total payments</w:t>
            </w:r>
          </w:p>
          <w:p w14:paraId="4D7176DC" w14:textId="77777777" w:rsidR="00265792" w:rsidRPr="004B21C8" w:rsidRDefault="00265792" w:rsidP="004B21C8">
            <w:pPr>
              <w:pStyle w:val="ARfintablecolheadright8"/>
              <w:rPr>
                <w:sz w:val="15"/>
                <w:highlight w:val="green"/>
              </w:rPr>
            </w:pPr>
            <w:r w:rsidRPr="004B21C8">
              <w:rPr>
                <w:sz w:val="15"/>
              </w:rPr>
              <w:t>$M</w:t>
            </w:r>
          </w:p>
        </w:tc>
        <w:tc>
          <w:tcPr>
            <w:tcW w:w="1041" w:type="dxa"/>
            <w:tcBorders>
              <w:top w:val="single" w:sz="4" w:space="0" w:color="000000" w:themeColor="text1"/>
              <w:bottom w:val="single" w:sz="4" w:space="0" w:color="A6A6A6" w:themeColor="accent5"/>
            </w:tcBorders>
            <w:noWrap/>
            <w:vAlign w:val="bottom"/>
          </w:tcPr>
          <w:p w14:paraId="14E9AA38" w14:textId="77777777" w:rsidR="00265792" w:rsidRPr="004B21C8" w:rsidRDefault="00265792" w:rsidP="004B21C8">
            <w:pPr>
              <w:pStyle w:val="ARfintablecolheadright8"/>
              <w:rPr>
                <w:sz w:val="15"/>
              </w:rPr>
            </w:pPr>
            <w:r w:rsidRPr="004B21C8">
              <w:rPr>
                <w:sz w:val="15"/>
              </w:rPr>
              <w:t>Non-cash movement</w:t>
            </w:r>
          </w:p>
          <w:p w14:paraId="6333E714" w14:textId="77777777" w:rsidR="00265792" w:rsidRPr="004B21C8" w:rsidRDefault="00265792" w:rsidP="004B21C8">
            <w:pPr>
              <w:pStyle w:val="ARfintablecolheadright8"/>
              <w:rPr>
                <w:sz w:val="15"/>
                <w:highlight w:val="green"/>
              </w:rPr>
            </w:pPr>
            <w:r w:rsidRPr="004B21C8">
              <w:rPr>
                <w:sz w:val="15"/>
              </w:rPr>
              <w:t>$M</w:t>
            </w:r>
          </w:p>
        </w:tc>
        <w:tc>
          <w:tcPr>
            <w:tcW w:w="1041" w:type="dxa"/>
            <w:tcBorders>
              <w:top w:val="single" w:sz="4" w:space="0" w:color="000000" w:themeColor="text1"/>
              <w:bottom w:val="single" w:sz="4" w:space="0" w:color="A6A6A6" w:themeColor="accent5"/>
            </w:tcBorders>
            <w:noWrap/>
            <w:vAlign w:val="bottom"/>
          </w:tcPr>
          <w:p w14:paraId="5934E812" w14:textId="77777777" w:rsidR="00265792" w:rsidRPr="004B21C8" w:rsidRDefault="00265792" w:rsidP="004B21C8">
            <w:pPr>
              <w:pStyle w:val="ARfintablecolheadright8"/>
              <w:rPr>
                <w:sz w:val="15"/>
              </w:rPr>
            </w:pPr>
            <w:r w:rsidRPr="004B21C8">
              <w:rPr>
                <w:sz w:val="15"/>
              </w:rPr>
              <w:t xml:space="preserve">Closing balance </w:t>
            </w:r>
            <w:r w:rsidRPr="004B21C8">
              <w:rPr>
                <w:sz w:val="15"/>
              </w:rPr>
              <w:br/>
              <w:t xml:space="preserve">as at </w:t>
            </w:r>
            <w:r w:rsidRPr="004B21C8">
              <w:rPr>
                <w:sz w:val="15"/>
              </w:rPr>
              <w:br/>
              <w:t>30 June 2024</w:t>
            </w:r>
          </w:p>
          <w:p w14:paraId="5DB7D367" w14:textId="77777777" w:rsidR="00265792" w:rsidRPr="004B21C8" w:rsidRDefault="00265792" w:rsidP="004B21C8">
            <w:pPr>
              <w:pStyle w:val="ARfintablecolheadright8"/>
              <w:rPr>
                <w:sz w:val="15"/>
                <w:highlight w:val="green"/>
              </w:rPr>
            </w:pPr>
            <w:r w:rsidRPr="004B21C8">
              <w:rPr>
                <w:sz w:val="15"/>
              </w:rPr>
              <w:t>$M</w:t>
            </w:r>
          </w:p>
        </w:tc>
      </w:tr>
      <w:tr w:rsidR="00265792" w:rsidRPr="00BA7805" w14:paraId="2AECA946" w14:textId="77777777">
        <w:tc>
          <w:tcPr>
            <w:tcW w:w="3112" w:type="dxa"/>
            <w:tcBorders>
              <w:top w:val="single" w:sz="4" w:space="0" w:color="A6A6A6" w:themeColor="accent5"/>
              <w:bottom w:val="single" w:sz="4" w:space="0" w:color="A6A6A6" w:themeColor="accent5"/>
            </w:tcBorders>
            <w:noWrap/>
          </w:tcPr>
          <w:p w14:paraId="62C18974" w14:textId="77777777" w:rsidR="00265792" w:rsidRPr="00BA7805" w:rsidRDefault="00265792" w:rsidP="00BE040F">
            <w:pPr>
              <w:pStyle w:val="ARfintablebodybold8pt"/>
              <w:rPr>
                <w:highlight w:val="green"/>
              </w:rPr>
            </w:pPr>
            <w:r w:rsidRPr="005A6151">
              <w:t>Administered trusts</w:t>
            </w:r>
          </w:p>
        </w:tc>
        <w:tc>
          <w:tcPr>
            <w:tcW w:w="1039" w:type="dxa"/>
            <w:tcBorders>
              <w:top w:val="single" w:sz="4" w:space="0" w:color="A6A6A6" w:themeColor="accent5"/>
              <w:bottom w:val="single" w:sz="4" w:space="0" w:color="A6A6A6" w:themeColor="accent5"/>
            </w:tcBorders>
            <w:noWrap/>
          </w:tcPr>
          <w:p w14:paraId="35C316DC" w14:textId="77777777" w:rsidR="00265792" w:rsidRPr="00BA7805" w:rsidRDefault="00265792" w:rsidP="007B301C">
            <w:pPr>
              <w:pStyle w:val="ARfintablebodyright8pt"/>
              <w:rPr>
                <w:highlight w:val="green"/>
              </w:rPr>
            </w:pPr>
          </w:p>
        </w:tc>
        <w:tc>
          <w:tcPr>
            <w:tcW w:w="1039" w:type="dxa"/>
            <w:tcBorders>
              <w:top w:val="single" w:sz="4" w:space="0" w:color="A6A6A6" w:themeColor="accent5"/>
              <w:bottom w:val="single" w:sz="4" w:space="0" w:color="A6A6A6" w:themeColor="accent5"/>
            </w:tcBorders>
            <w:noWrap/>
          </w:tcPr>
          <w:p w14:paraId="1850C918" w14:textId="77777777" w:rsidR="00265792" w:rsidRPr="00BA7805" w:rsidRDefault="00265792" w:rsidP="007B301C">
            <w:pPr>
              <w:pStyle w:val="ARfintablebodyright8pt"/>
              <w:rPr>
                <w:highlight w:val="green"/>
              </w:rPr>
            </w:pPr>
          </w:p>
        </w:tc>
        <w:tc>
          <w:tcPr>
            <w:tcW w:w="1040" w:type="dxa"/>
            <w:tcBorders>
              <w:top w:val="single" w:sz="4" w:space="0" w:color="A6A6A6" w:themeColor="accent5"/>
              <w:bottom w:val="single" w:sz="4" w:space="0" w:color="A6A6A6" w:themeColor="accent5"/>
            </w:tcBorders>
            <w:noWrap/>
          </w:tcPr>
          <w:p w14:paraId="6E3F6905" w14:textId="77777777" w:rsidR="00265792" w:rsidRPr="00BA7805" w:rsidRDefault="00265792" w:rsidP="007B301C">
            <w:pPr>
              <w:pStyle w:val="ARfintablebodyright8pt"/>
              <w:rPr>
                <w:highlight w:val="green"/>
              </w:rPr>
            </w:pPr>
          </w:p>
        </w:tc>
        <w:tc>
          <w:tcPr>
            <w:tcW w:w="1040" w:type="dxa"/>
            <w:tcBorders>
              <w:top w:val="single" w:sz="4" w:space="0" w:color="A6A6A6" w:themeColor="accent5"/>
              <w:bottom w:val="single" w:sz="4" w:space="0" w:color="A6A6A6" w:themeColor="accent5"/>
            </w:tcBorders>
            <w:noWrap/>
          </w:tcPr>
          <w:p w14:paraId="11ACD3B7" w14:textId="77777777" w:rsidR="00265792" w:rsidRPr="00BA7805" w:rsidRDefault="00265792" w:rsidP="007B301C">
            <w:pPr>
              <w:pStyle w:val="ARfintablebodyright8pt"/>
              <w:rPr>
                <w:highlight w:val="green"/>
              </w:rPr>
            </w:pPr>
          </w:p>
        </w:tc>
        <w:tc>
          <w:tcPr>
            <w:tcW w:w="1040" w:type="dxa"/>
            <w:tcBorders>
              <w:top w:val="single" w:sz="4" w:space="0" w:color="A6A6A6" w:themeColor="accent5"/>
              <w:bottom w:val="single" w:sz="4" w:space="0" w:color="A6A6A6" w:themeColor="accent5"/>
            </w:tcBorders>
            <w:noWrap/>
          </w:tcPr>
          <w:p w14:paraId="2E42C05D" w14:textId="77777777" w:rsidR="00265792" w:rsidRPr="00BA7805" w:rsidRDefault="00265792" w:rsidP="007B301C">
            <w:pPr>
              <w:pStyle w:val="ARfintablebodyright8pt"/>
              <w:rPr>
                <w:highlight w:val="green"/>
              </w:rPr>
            </w:pPr>
          </w:p>
        </w:tc>
        <w:tc>
          <w:tcPr>
            <w:tcW w:w="1046" w:type="dxa"/>
            <w:tcBorders>
              <w:top w:val="single" w:sz="4" w:space="0" w:color="A6A6A6" w:themeColor="accent5"/>
              <w:bottom w:val="single" w:sz="4" w:space="0" w:color="A6A6A6" w:themeColor="accent5"/>
            </w:tcBorders>
            <w:noWrap/>
          </w:tcPr>
          <w:p w14:paraId="51DA820E" w14:textId="77777777" w:rsidR="00265792" w:rsidRPr="00BA7805" w:rsidRDefault="00265792" w:rsidP="007B301C">
            <w:pPr>
              <w:pStyle w:val="ARfintablebodyright8pt"/>
              <w:rPr>
                <w:highlight w:val="green"/>
              </w:rPr>
            </w:pPr>
          </w:p>
        </w:tc>
        <w:tc>
          <w:tcPr>
            <w:tcW w:w="1041" w:type="dxa"/>
            <w:tcBorders>
              <w:top w:val="single" w:sz="4" w:space="0" w:color="A6A6A6" w:themeColor="accent5"/>
              <w:bottom w:val="single" w:sz="4" w:space="0" w:color="A6A6A6" w:themeColor="accent5"/>
            </w:tcBorders>
          </w:tcPr>
          <w:p w14:paraId="46BC3DDC" w14:textId="77777777" w:rsidR="00265792" w:rsidRPr="00BA7805" w:rsidRDefault="00265792" w:rsidP="007B301C">
            <w:pPr>
              <w:pStyle w:val="ARfintablebodyright8pt"/>
              <w:rPr>
                <w:highlight w:val="green"/>
              </w:rPr>
            </w:pPr>
          </w:p>
        </w:tc>
        <w:tc>
          <w:tcPr>
            <w:tcW w:w="1041" w:type="dxa"/>
            <w:tcBorders>
              <w:top w:val="single" w:sz="4" w:space="0" w:color="A6A6A6" w:themeColor="accent5"/>
              <w:bottom w:val="single" w:sz="4" w:space="0" w:color="A6A6A6" w:themeColor="accent5"/>
            </w:tcBorders>
            <w:noWrap/>
          </w:tcPr>
          <w:p w14:paraId="3E9DF48B" w14:textId="77777777" w:rsidR="00265792" w:rsidRPr="00BA7805" w:rsidRDefault="00265792" w:rsidP="007B301C">
            <w:pPr>
              <w:pStyle w:val="ARfintablebodyright8pt"/>
              <w:rPr>
                <w:highlight w:val="green"/>
              </w:rPr>
            </w:pPr>
          </w:p>
        </w:tc>
        <w:tc>
          <w:tcPr>
            <w:tcW w:w="1040" w:type="dxa"/>
            <w:tcBorders>
              <w:top w:val="single" w:sz="4" w:space="0" w:color="A6A6A6" w:themeColor="accent5"/>
              <w:bottom w:val="single" w:sz="4" w:space="0" w:color="A6A6A6" w:themeColor="accent5"/>
            </w:tcBorders>
            <w:noWrap/>
          </w:tcPr>
          <w:p w14:paraId="4CBB473F" w14:textId="77777777" w:rsidR="00265792" w:rsidRPr="00BA7805" w:rsidRDefault="00265792" w:rsidP="007B301C">
            <w:pPr>
              <w:pStyle w:val="ARfintablebodyright8pt"/>
              <w:rPr>
                <w:highlight w:val="green"/>
              </w:rPr>
            </w:pPr>
          </w:p>
        </w:tc>
        <w:tc>
          <w:tcPr>
            <w:tcW w:w="1041" w:type="dxa"/>
            <w:tcBorders>
              <w:top w:val="single" w:sz="4" w:space="0" w:color="A6A6A6" w:themeColor="accent5"/>
              <w:bottom w:val="single" w:sz="4" w:space="0" w:color="A6A6A6" w:themeColor="accent5"/>
            </w:tcBorders>
            <w:noWrap/>
          </w:tcPr>
          <w:p w14:paraId="47A9120E" w14:textId="77777777" w:rsidR="00265792" w:rsidRPr="00BA7805" w:rsidRDefault="00265792" w:rsidP="007B301C">
            <w:pPr>
              <w:pStyle w:val="ARfintablebodyright8pt"/>
              <w:rPr>
                <w:highlight w:val="green"/>
              </w:rPr>
            </w:pPr>
          </w:p>
        </w:tc>
        <w:tc>
          <w:tcPr>
            <w:tcW w:w="1041" w:type="dxa"/>
            <w:tcBorders>
              <w:top w:val="single" w:sz="4" w:space="0" w:color="A6A6A6" w:themeColor="accent5"/>
              <w:bottom w:val="single" w:sz="4" w:space="0" w:color="A6A6A6" w:themeColor="accent5"/>
            </w:tcBorders>
            <w:noWrap/>
          </w:tcPr>
          <w:p w14:paraId="3C267894" w14:textId="77777777" w:rsidR="00265792" w:rsidRPr="00BA7805" w:rsidRDefault="00265792" w:rsidP="007B301C">
            <w:pPr>
              <w:pStyle w:val="ARfintablebodyright8pt"/>
              <w:rPr>
                <w:highlight w:val="green"/>
              </w:rPr>
            </w:pPr>
          </w:p>
        </w:tc>
      </w:tr>
      <w:tr w:rsidR="00265792" w:rsidRPr="00BA7805" w14:paraId="68C440E4" w14:textId="77777777">
        <w:tc>
          <w:tcPr>
            <w:tcW w:w="3112" w:type="dxa"/>
            <w:tcBorders>
              <w:top w:val="single" w:sz="4" w:space="0" w:color="A6A6A6" w:themeColor="accent5"/>
            </w:tcBorders>
            <w:noWrap/>
          </w:tcPr>
          <w:p w14:paraId="54269E4C" w14:textId="77777777" w:rsidR="00265792" w:rsidRPr="00BA7805" w:rsidRDefault="00265792">
            <w:pPr>
              <w:pStyle w:val="ARfintablebody8pt"/>
              <w:rPr>
                <w:highlight w:val="green"/>
              </w:rPr>
            </w:pPr>
            <w:r w:rsidRPr="005A6151">
              <w:t>Public Service Commuter Club</w:t>
            </w:r>
          </w:p>
        </w:tc>
        <w:tc>
          <w:tcPr>
            <w:tcW w:w="1039" w:type="dxa"/>
            <w:tcBorders>
              <w:top w:val="single" w:sz="4" w:space="0" w:color="A6A6A6" w:themeColor="accent5"/>
            </w:tcBorders>
            <w:shd w:val="clear" w:color="auto" w:fill="EEEEEF" w:themeFill="accent4"/>
            <w:noWrap/>
          </w:tcPr>
          <w:p w14:paraId="6893A877" w14:textId="77777777" w:rsidR="00265792" w:rsidRPr="00BA7805" w:rsidRDefault="00265792">
            <w:pPr>
              <w:pStyle w:val="ARfintablebodyright8pt"/>
              <w:rPr>
                <w:highlight w:val="green"/>
              </w:rPr>
            </w:pPr>
            <w:r w:rsidRPr="00987C3D">
              <w:t>(0.1)</w:t>
            </w:r>
          </w:p>
        </w:tc>
        <w:tc>
          <w:tcPr>
            <w:tcW w:w="1039" w:type="dxa"/>
            <w:tcBorders>
              <w:top w:val="single" w:sz="4" w:space="0" w:color="A6A6A6" w:themeColor="accent5"/>
            </w:tcBorders>
            <w:shd w:val="clear" w:color="auto" w:fill="EEEEEF" w:themeFill="accent4"/>
            <w:noWrap/>
          </w:tcPr>
          <w:p w14:paraId="03B2DBCA" w14:textId="77777777" w:rsidR="00265792" w:rsidRPr="00BA7805" w:rsidRDefault="00265792">
            <w:pPr>
              <w:pStyle w:val="ARfintablebodyright8pt"/>
              <w:rPr>
                <w:highlight w:val="green"/>
              </w:rPr>
            </w:pPr>
            <w:r w:rsidRPr="00987C3D">
              <w:t>0.1</w:t>
            </w:r>
          </w:p>
        </w:tc>
        <w:tc>
          <w:tcPr>
            <w:tcW w:w="1040" w:type="dxa"/>
            <w:tcBorders>
              <w:top w:val="single" w:sz="4" w:space="0" w:color="A6A6A6" w:themeColor="accent5"/>
            </w:tcBorders>
            <w:shd w:val="clear" w:color="auto" w:fill="EEEEEF" w:themeFill="accent4"/>
            <w:noWrap/>
          </w:tcPr>
          <w:p w14:paraId="7FA67FD6" w14:textId="77777777" w:rsidR="00265792" w:rsidRPr="00BA7805" w:rsidRDefault="00265792">
            <w:pPr>
              <w:pStyle w:val="ARfintablebodyright8pt"/>
              <w:rPr>
                <w:highlight w:val="green"/>
              </w:rPr>
            </w:pPr>
            <w:r w:rsidRPr="00987C3D">
              <w:t>0.1</w:t>
            </w:r>
          </w:p>
        </w:tc>
        <w:tc>
          <w:tcPr>
            <w:tcW w:w="1040" w:type="dxa"/>
            <w:tcBorders>
              <w:top w:val="single" w:sz="4" w:space="0" w:color="A6A6A6" w:themeColor="accent5"/>
            </w:tcBorders>
            <w:shd w:val="clear" w:color="auto" w:fill="EEEEEF" w:themeFill="accent4"/>
            <w:noWrap/>
          </w:tcPr>
          <w:p w14:paraId="3183426F" w14:textId="77777777" w:rsidR="00265792" w:rsidRPr="00BA7805" w:rsidRDefault="00265792">
            <w:pPr>
              <w:pStyle w:val="ARfintablebodyright8pt"/>
              <w:rPr>
                <w:highlight w:val="green"/>
              </w:rPr>
            </w:pPr>
            <w:r>
              <w:t>–</w:t>
            </w:r>
          </w:p>
        </w:tc>
        <w:tc>
          <w:tcPr>
            <w:tcW w:w="1040" w:type="dxa"/>
            <w:tcBorders>
              <w:top w:val="single" w:sz="4" w:space="0" w:color="A6A6A6" w:themeColor="accent5"/>
            </w:tcBorders>
            <w:shd w:val="clear" w:color="auto" w:fill="EEEEEF" w:themeFill="accent4"/>
            <w:noWrap/>
          </w:tcPr>
          <w:p w14:paraId="13986263" w14:textId="77777777" w:rsidR="00265792" w:rsidRPr="00BA7805" w:rsidRDefault="00265792">
            <w:pPr>
              <w:pStyle w:val="ARfintablebodyright8pt"/>
              <w:rPr>
                <w:highlight w:val="green"/>
              </w:rPr>
            </w:pPr>
            <w:r w:rsidRPr="00987C3D">
              <w:t>(0.1)</w:t>
            </w:r>
          </w:p>
        </w:tc>
        <w:tc>
          <w:tcPr>
            <w:tcW w:w="1046" w:type="dxa"/>
            <w:tcBorders>
              <w:top w:val="single" w:sz="4" w:space="0" w:color="A6A6A6" w:themeColor="accent5"/>
            </w:tcBorders>
            <w:noWrap/>
          </w:tcPr>
          <w:p w14:paraId="58031D12" w14:textId="77777777" w:rsidR="00265792" w:rsidRPr="00BA7805" w:rsidRDefault="00265792">
            <w:pPr>
              <w:pStyle w:val="ARfintablebodyright8pt"/>
              <w:rPr>
                <w:highlight w:val="green"/>
              </w:rPr>
            </w:pPr>
            <w:r w:rsidRPr="00987C3D">
              <w:t>(0.1)</w:t>
            </w:r>
          </w:p>
        </w:tc>
        <w:tc>
          <w:tcPr>
            <w:tcW w:w="1041" w:type="dxa"/>
            <w:tcBorders>
              <w:top w:val="single" w:sz="4" w:space="0" w:color="A6A6A6" w:themeColor="accent5"/>
            </w:tcBorders>
          </w:tcPr>
          <w:p w14:paraId="0A7F22B8" w14:textId="77777777" w:rsidR="00265792" w:rsidRPr="005A6151" w:rsidRDefault="00265792">
            <w:pPr>
              <w:pStyle w:val="ARfintablebodyright8pt"/>
            </w:pPr>
            <w:r>
              <w:t>–</w:t>
            </w:r>
          </w:p>
        </w:tc>
        <w:tc>
          <w:tcPr>
            <w:tcW w:w="1041" w:type="dxa"/>
            <w:tcBorders>
              <w:top w:val="single" w:sz="4" w:space="0" w:color="A6A6A6" w:themeColor="accent5"/>
            </w:tcBorders>
            <w:noWrap/>
          </w:tcPr>
          <w:p w14:paraId="4A63A4E4" w14:textId="77777777" w:rsidR="00265792" w:rsidRPr="00BA7805" w:rsidRDefault="00265792">
            <w:pPr>
              <w:pStyle w:val="ARfintablebodyright8pt"/>
              <w:rPr>
                <w:highlight w:val="green"/>
              </w:rPr>
            </w:pPr>
            <w:r w:rsidRPr="00987C3D">
              <w:t>0.1</w:t>
            </w:r>
          </w:p>
        </w:tc>
        <w:tc>
          <w:tcPr>
            <w:tcW w:w="1040" w:type="dxa"/>
            <w:tcBorders>
              <w:top w:val="single" w:sz="4" w:space="0" w:color="A6A6A6" w:themeColor="accent5"/>
            </w:tcBorders>
            <w:noWrap/>
          </w:tcPr>
          <w:p w14:paraId="6BB99392" w14:textId="77777777" w:rsidR="00265792" w:rsidRPr="00BA7805" w:rsidRDefault="00265792">
            <w:pPr>
              <w:pStyle w:val="ARfintablebodyright8pt"/>
              <w:rPr>
                <w:highlight w:val="green"/>
              </w:rPr>
            </w:pPr>
            <w:r w:rsidRPr="00987C3D">
              <w:t>0.1</w:t>
            </w:r>
          </w:p>
        </w:tc>
        <w:tc>
          <w:tcPr>
            <w:tcW w:w="1041" w:type="dxa"/>
            <w:tcBorders>
              <w:top w:val="single" w:sz="4" w:space="0" w:color="A6A6A6" w:themeColor="accent5"/>
            </w:tcBorders>
            <w:noWrap/>
          </w:tcPr>
          <w:p w14:paraId="495F3296" w14:textId="77777777" w:rsidR="00265792" w:rsidRPr="00BA7805" w:rsidRDefault="00265792">
            <w:pPr>
              <w:pStyle w:val="ARfintablebodyright8pt"/>
              <w:rPr>
                <w:highlight w:val="green"/>
              </w:rPr>
            </w:pPr>
            <w:r>
              <w:t>–</w:t>
            </w:r>
          </w:p>
        </w:tc>
        <w:tc>
          <w:tcPr>
            <w:tcW w:w="1041" w:type="dxa"/>
            <w:tcBorders>
              <w:top w:val="single" w:sz="4" w:space="0" w:color="A6A6A6" w:themeColor="accent5"/>
            </w:tcBorders>
            <w:noWrap/>
          </w:tcPr>
          <w:p w14:paraId="642489B8" w14:textId="77777777" w:rsidR="00265792" w:rsidRPr="00BA7805" w:rsidRDefault="00265792">
            <w:pPr>
              <w:pStyle w:val="ARfintablebodyright8pt"/>
              <w:rPr>
                <w:highlight w:val="green"/>
              </w:rPr>
            </w:pPr>
            <w:r w:rsidRPr="00987C3D">
              <w:t>(0.1)</w:t>
            </w:r>
          </w:p>
        </w:tc>
      </w:tr>
      <w:tr w:rsidR="00265792" w:rsidRPr="00BA7805" w14:paraId="1C53A3A5" w14:textId="77777777">
        <w:tc>
          <w:tcPr>
            <w:tcW w:w="3112" w:type="dxa"/>
          </w:tcPr>
          <w:p w14:paraId="4BFA5DFE" w14:textId="77777777" w:rsidR="00265792" w:rsidRPr="00BA7805" w:rsidRDefault="00265792">
            <w:pPr>
              <w:pStyle w:val="ARfintablebody8pt"/>
              <w:rPr>
                <w:highlight w:val="green"/>
              </w:rPr>
            </w:pPr>
            <w:r w:rsidRPr="005A6151">
              <w:t>Revenue Suspense Account</w:t>
            </w:r>
          </w:p>
        </w:tc>
        <w:tc>
          <w:tcPr>
            <w:tcW w:w="1039" w:type="dxa"/>
            <w:shd w:val="clear" w:color="auto" w:fill="EEEEEF" w:themeFill="accent4"/>
            <w:noWrap/>
          </w:tcPr>
          <w:p w14:paraId="5EF4BA14" w14:textId="77777777" w:rsidR="00265792" w:rsidRPr="00BA7805" w:rsidRDefault="00265792">
            <w:pPr>
              <w:pStyle w:val="ARfintablebodyright8pt"/>
              <w:rPr>
                <w:highlight w:val="green"/>
              </w:rPr>
            </w:pPr>
            <w:r w:rsidRPr="00987C3D">
              <w:t>0.5</w:t>
            </w:r>
          </w:p>
        </w:tc>
        <w:tc>
          <w:tcPr>
            <w:tcW w:w="1039" w:type="dxa"/>
            <w:shd w:val="clear" w:color="auto" w:fill="EEEEEF" w:themeFill="accent4"/>
            <w:noWrap/>
          </w:tcPr>
          <w:p w14:paraId="6D93852D" w14:textId="77777777" w:rsidR="00265792" w:rsidRPr="00BA7805" w:rsidRDefault="00265792">
            <w:pPr>
              <w:pStyle w:val="ARfintablebodyright8pt"/>
              <w:rPr>
                <w:highlight w:val="green"/>
              </w:rPr>
            </w:pPr>
            <w:r w:rsidRPr="00987C3D">
              <w:t>0.3</w:t>
            </w:r>
          </w:p>
        </w:tc>
        <w:tc>
          <w:tcPr>
            <w:tcW w:w="1040" w:type="dxa"/>
            <w:shd w:val="clear" w:color="auto" w:fill="EEEEEF" w:themeFill="accent4"/>
            <w:noWrap/>
          </w:tcPr>
          <w:p w14:paraId="4F690F79" w14:textId="77777777" w:rsidR="00265792" w:rsidRPr="00BA7805" w:rsidRDefault="00265792">
            <w:pPr>
              <w:pStyle w:val="ARfintablebodyright8pt"/>
              <w:rPr>
                <w:highlight w:val="green"/>
              </w:rPr>
            </w:pPr>
            <w:r>
              <w:t>–</w:t>
            </w:r>
          </w:p>
        </w:tc>
        <w:tc>
          <w:tcPr>
            <w:tcW w:w="1040" w:type="dxa"/>
            <w:shd w:val="clear" w:color="auto" w:fill="EEEEEF" w:themeFill="accent4"/>
            <w:noWrap/>
          </w:tcPr>
          <w:p w14:paraId="0C83862D" w14:textId="77777777" w:rsidR="00265792" w:rsidRPr="00BA7805" w:rsidRDefault="00265792">
            <w:pPr>
              <w:pStyle w:val="ARfintablebodyright8pt"/>
              <w:rPr>
                <w:highlight w:val="green"/>
              </w:rPr>
            </w:pPr>
            <w:r>
              <w:t>–</w:t>
            </w:r>
          </w:p>
        </w:tc>
        <w:tc>
          <w:tcPr>
            <w:tcW w:w="1040" w:type="dxa"/>
            <w:shd w:val="clear" w:color="auto" w:fill="EEEEEF" w:themeFill="accent4"/>
            <w:noWrap/>
          </w:tcPr>
          <w:p w14:paraId="2CBF316F" w14:textId="77777777" w:rsidR="00265792" w:rsidRPr="00BA7805" w:rsidRDefault="00265792">
            <w:pPr>
              <w:pStyle w:val="ARfintablebodyright8pt"/>
              <w:rPr>
                <w:highlight w:val="green"/>
              </w:rPr>
            </w:pPr>
            <w:r w:rsidRPr="00987C3D">
              <w:t>0.8</w:t>
            </w:r>
          </w:p>
        </w:tc>
        <w:tc>
          <w:tcPr>
            <w:tcW w:w="1046" w:type="dxa"/>
            <w:noWrap/>
          </w:tcPr>
          <w:p w14:paraId="3DD834EF" w14:textId="77777777" w:rsidR="00265792" w:rsidRPr="00BA7805" w:rsidRDefault="00265792">
            <w:pPr>
              <w:pStyle w:val="ARfintablebodyright8pt"/>
              <w:rPr>
                <w:highlight w:val="green"/>
              </w:rPr>
            </w:pPr>
            <w:r w:rsidRPr="00987C3D">
              <w:t>0.2</w:t>
            </w:r>
          </w:p>
        </w:tc>
        <w:tc>
          <w:tcPr>
            <w:tcW w:w="1041" w:type="dxa"/>
          </w:tcPr>
          <w:p w14:paraId="2A7384D9" w14:textId="77777777" w:rsidR="00265792" w:rsidRPr="005A6151" w:rsidRDefault="00265792">
            <w:pPr>
              <w:pStyle w:val="ARfintablebodyright8pt"/>
            </w:pPr>
            <w:r>
              <w:t>–</w:t>
            </w:r>
          </w:p>
        </w:tc>
        <w:tc>
          <w:tcPr>
            <w:tcW w:w="1041" w:type="dxa"/>
            <w:noWrap/>
          </w:tcPr>
          <w:p w14:paraId="2CBC525F" w14:textId="77777777" w:rsidR="00265792" w:rsidRPr="00BA7805" w:rsidRDefault="00265792">
            <w:pPr>
              <w:pStyle w:val="ARfintablebodyright8pt"/>
              <w:rPr>
                <w:highlight w:val="green"/>
              </w:rPr>
            </w:pPr>
            <w:r w:rsidRPr="00987C3D">
              <w:t>0.3</w:t>
            </w:r>
          </w:p>
        </w:tc>
        <w:tc>
          <w:tcPr>
            <w:tcW w:w="1040" w:type="dxa"/>
            <w:noWrap/>
          </w:tcPr>
          <w:p w14:paraId="4FB0E2AC" w14:textId="77777777" w:rsidR="00265792" w:rsidRPr="00BA7805" w:rsidRDefault="00265792">
            <w:pPr>
              <w:pStyle w:val="ARfintablebodyright8pt"/>
              <w:rPr>
                <w:highlight w:val="green"/>
              </w:rPr>
            </w:pPr>
            <w:r>
              <w:t>–</w:t>
            </w:r>
          </w:p>
        </w:tc>
        <w:tc>
          <w:tcPr>
            <w:tcW w:w="1041" w:type="dxa"/>
            <w:noWrap/>
          </w:tcPr>
          <w:p w14:paraId="4FF4CA5B" w14:textId="77777777" w:rsidR="00265792" w:rsidRPr="00BA7805" w:rsidRDefault="00265792">
            <w:pPr>
              <w:pStyle w:val="ARfintablebodyright8pt"/>
              <w:rPr>
                <w:highlight w:val="green"/>
              </w:rPr>
            </w:pPr>
            <w:r>
              <w:t>–</w:t>
            </w:r>
          </w:p>
        </w:tc>
        <w:tc>
          <w:tcPr>
            <w:tcW w:w="1041" w:type="dxa"/>
            <w:noWrap/>
          </w:tcPr>
          <w:p w14:paraId="7D03F825" w14:textId="77777777" w:rsidR="00265792" w:rsidRPr="00BA7805" w:rsidRDefault="00265792">
            <w:pPr>
              <w:pStyle w:val="ARfintablebodyright8pt"/>
              <w:rPr>
                <w:highlight w:val="green"/>
              </w:rPr>
            </w:pPr>
            <w:r w:rsidRPr="00987C3D">
              <w:t>0.5</w:t>
            </w:r>
          </w:p>
        </w:tc>
      </w:tr>
      <w:tr w:rsidR="00265792" w:rsidRPr="00BA7805" w14:paraId="6C8CD6EA" w14:textId="77777777">
        <w:tc>
          <w:tcPr>
            <w:tcW w:w="3112" w:type="dxa"/>
            <w:noWrap/>
          </w:tcPr>
          <w:p w14:paraId="4FB9C2B0" w14:textId="77777777" w:rsidR="00265792" w:rsidRPr="00BA7805" w:rsidRDefault="00265792">
            <w:pPr>
              <w:pStyle w:val="ARfintablebody8pt"/>
              <w:rPr>
                <w:highlight w:val="green"/>
              </w:rPr>
            </w:pPr>
            <w:r w:rsidRPr="005A6151">
              <w:t>Victorian Natural Disasters Relief Fund</w:t>
            </w:r>
          </w:p>
        </w:tc>
        <w:tc>
          <w:tcPr>
            <w:tcW w:w="1039" w:type="dxa"/>
            <w:shd w:val="clear" w:color="auto" w:fill="EEEEEF" w:themeFill="accent4"/>
            <w:noWrap/>
          </w:tcPr>
          <w:p w14:paraId="246EBA4C" w14:textId="77777777" w:rsidR="00265792" w:rsidRPr="00BA7805" w:rsidRDefault="00265792">
            <w:pPr>
              <w:pStyle w:val="ARfintablebodyright8pt"/>
              <w:rPr>
                <w:highlight w:val="green"/>
              </w:rPr>
            </w:pPr>
            <w:r w:rsidRPr="00987C3D">
              <w:t>(10.3)</w:t>
            </w:r>
          </w:p>
        </w:tc>
        <w:tc>
          <w:tcPr>
            <w:tcW w:w="1039" w:type="dxa"/>
            <w:shd w:val="clear" w:color="auto" w:fill="EEEEEF" w:themeFill="accent4"/>
            <w:noWrap/>
          </w:tcPr>
          <w:p w14:paraId="46EDBFB7" w14:textId="77777777" w:rsidR="00265792" w:rsidRPr="00BA7805" w:rsidRDefault="00265792">
            <w:pPr>
              <w:pStyle w:val="ARfintablebodyright8pt"/>
              <w:rPr>
                <w:highlight w:val="green"/>
              </w:rPr>
            </w:pPr>
            <w:r w:rsidRPr="00987C3D">
              <w:t>1.6</w:t>
            </w:r>
          </w:p>
        </w:tc>
        <w:tc>
          <w:tcPr>
            <w:tcW w:w="1040" w:type="dxa"/>
            <w:shd w:val="clear" w:color="auto" w:fill="EEEEEF" w:themeFill="accent4"/>
            <w:noWrap/>
          </w:tcPr>
          <w:p w14:paraId="29E09B9C" w14:textId="77777777" w:rsidR="00265792" w:rsidRPr="00BA7805" w:rsidRDefault="00265792">
            <w:pPr>
              <w:pStyle w:val="ARfintablebodyright8pt"/>
              <w:rPr>
                <w:highlight w:val="green"/>
              </w:rPr>
            </w:pPr>
            <w:r w:rsidRPr="00987C3D">
              <w:t>1.6</w:t>
            </w:r>
          </w:p>
        </w:tc>
        <w:tc>
          <w:tcPr>
            <w:tcW w:w="1040" w:type="dxa"/>
            <w:shd w:val="clear" w:color="auto" w:fill="EEEEEF" w:themeFill="accent4"/>
            <w:noWrap/>
          </w:tcPr>
          <w:p w14:paraId="28BE7821" w14:textId="77777777" w:rsidR="00265792" w:rsidRPr="00BA7805" w:rsidRDefault="00265792">
            <w:pPr>
              <w:pStyle w:val="ARfintablebodyright8pt"/>
              <w:rPr>
                <w:highlight w:val="green"/>
              </w:rPr>
            </w:pPr>
            <w:r w:rsidRPr="00987C3D">
              <w:t>4.5</w:t>
            </w:r>
          </w:p>
        </w:tc>
        <w:tc>
          <w:tcPr>
            <w:tcW w:w="1040" w:type="dxa"/>
            <w:shd w:val="clear" w:color="auto" w:fill="EEEEEF" w:themeFill="accent4"/>
            <w:noWrap/>
          </w:tcPr>
          <w:p w14:paraId="2E135644" w14:textId="77777777" w:rsidR="00265792" w:rsidRPr="00BA7805" w:rsidRDefault="00265792">
            <w:pPr>
              <w:pStyle w:val="ARfintablebodyright8pt"/>
              <w:rPr>
                <w:highlight w:val="green"/>
              </w:rPr>
            </w:pPr>
            <w:r w:rsidRPr="00987C3D">
              <w:t>(5.8)</w:t>
            </w:r>
          </w:p>
        </w:tc>
        <w:tc>
          <w:tcPr>
            <w:tcW w:w="1046" w:type="dxa"/>
            <w:noWrap/>
          </w:tcPr>
          <w:p w14:paraId="36E14519" w14:textId="77777777" w:rsidR="00265792" w:rsidRPr="00BA7805" w:rsidRDefault="00265792">
            <w:pPr>
              <w:pStyle w:val="ARfintablebodyright8pt"/>
              <w:rPr>
                <w:highlight w:val="green"/>
              </w:rPr>
            </w:pPr>
            <w:r w:rsidRPr="00987C3D">
              <w:t>(46.0)</w:t>
            </w:r>
          </w:p>
        </w:tc>
        <w:tc>
          <w:tcPr>
            <w:tcW w:w="1041" w:type="dxa"/>
          </w:tcPr>
          <w:p w14:paraId="7B24941D" w14:textId="77777777" w:rsidR="00265792" w:rsidRPr="005A6151" w:rsidRDefault="00265792">
            <w:pPr>
              <w:pStyle w:val="ARfintablebodyright8pt"/>
            </w:pPr>
            <w:r>
              <w:t>–</w:t>
            </w:r>
          </w:p>
        </w:tc>
        <w:tc>
          <w:tcPr>
            <w:tcW w:w="1041" w:type="dxa"/>
            <w:noWrap/>
          </w:tcPr>
          <w:p w14:paraId="45531A0A" w14:textId="77777777" w:rsidR="00265792" w:rsidRPr="00BA7805" w:rsidRDefault="00265792">
            <w:pPr>
              <w:pStyle w:val="ARfintablebodyright8pt"/>
              <w:rPr>
                <w:highlight w:val="green"/>
              </w:rPr>
            </w:pPr>
            <w:r w:rsidRPr="00987C3D">
              <w:t>6.1</w:t>
            </w:r>
          </w:p>
        </w:tc>
        <w:tc>
          <w:tcPr>
            <w:tcW w:w="1040" w:type="dxa"/>
            <w:noWrap/>
          </w:tcPr>
          <w:p w14:paraId="201AD511" w14:textId="77777777" w:rsidR="00265792" w:rsidRPr="00BA7805" w:rsidRDefault="00265792">
            <w:pPr>
              <w:pStyle w:val="ARfintablebodyright8pt"/>
              <w:rPr>
                <w:highlight w:val="green"/>
              </w:rPr>
            </w:pPr>
            <w:r w:rsidRPr="00987C3D">
              <w:t>6.1</w:t>
            </w:r>
          </w:p>
        </w:tc>
        <w:tc>
          <w:tcPr>
            <w:tcW w:w="1041" w:type="dxa"/>
            <w:noWrap/>
          </w:tcPr>
          <w:p w14:paraId="406CA213" w14:textId="77777777" w:rsidR="00265792" w:rsidRPr="00BA7805" w:rsidRDefault="00265792">
            <w:pPr>
              <w:pStyle w:val="ARfintablebodyright8pt"/>
              <w:rPr>
                <w:highlight w:val="green"/>
              </w:rPr>
            </w:pPr>
            <w:r w:rsidRPr="00987C3D">
              <w:t>35.8</w:t>
            </w:r>
          </w:p>
        </w:tc>
        <w:tc>
          <w:tcPr>
            <w:tcW w:w="1041" w:type="dxa"/>
            <w:noWrap/>
          </w:tcPr>
          <w:p w14:paraId="229295E2" w14:textId="77777777" w:rsidR="00265792" w:rsidRPr="00BA7805" w:rsidRDefault="00265792">
            <w:pPr>
              <w:pStyle w:val="ARfintablebodyright8pt"/>
              <w:rPr>
                <w:highlight w:val="green"/>
              </w:rPr>
            </w:pPr>
            <w:r w:rsidRPr="00987C3D">
              <w:t>(10.3)</w:t>
            </w:r>
          </w:p>
        </w:tc>
      </w:tr>
      <w:tr w:rsidR="00265792" w:rsidRPr="00BA7805" w14:paraId="7DB578FD" w14:textId="77777777">
        <w:trPr>
          <w:cnfStyle w:val="010000000000" w:firstRow="0" w:lastRow="1" w:firstColumn="0" w:lastColumn="0" w:oddVBand="0" w:evenVBand="0" w:oddHBand="0" w:evenHBand="0" w:firstRowFirstColumn="0" w:firstRowLastColumn="0" w:lastRowFirstColumn="0" w:lastRowLastColumn="0"/>
        </w:trPr>
        <w:tc>
          <w:tcPr>
            <w:tcW w:w="3112" w:type="dxa"/>
          </w:tcPr>
          <w:p w14:paraId="721DCAB6" w14:textId="77777777" w:rsidR="00265792" w:rsidRPr="00BA7805" w:rsidRDefault="00265792">
            <w:pPr>
              <w:pStyle w:val="ARfintablebodybold8pt"/>
              <w:rPr>
                <w:highlight w:val="green"/>
              </w:rPr>
            </w:pPr>
            <w:r w:rsidRPr="005A6151">
              <w:t>Total administered trusts</w:t>
            </w:r>
          </w:p>
        </w:tc>
        <w:tc>
          <w:tcPr>
            <w:tcW w:w="1039" w:type="dxa"/>
            <w:shd w:val="clear" w:color="auto" w:fill="EEEEEF" w:themeFill="accent4"/>
            <w:noWrap/>
          </w:tcPr>
          <w:p w14:paraId="7BF6A41F" w14:textId="77777777" w:rsidR="00265792" w:rsidRPr="00BA7805" w:rsidRDefault="00265792">
            <w:pPr>
              <w:pStyle w:val="ARfintablebodyrightbold8pt"/>
              <w:rPr>
                <w:highlight w:val="green"/>
              </w:rPr>
            </w:pPr>
            <w:r w:rsidRPr="00987C3D">
              <w:t>(9.9)</w:t>
            </w:r>
          </w:p>
        </w:tc>
        <w:tc>
          <w:tcPr>
            <w:tcW w:w="1039" w:type="dxa"/>
            <w:shd w:val="clear" w:color="auto" w:fill="EEEEEF" w:themeFill="accent4"/>
            <w:noWrap/>
          </w:tcPr>
          <w:p w14:paraId="40032AC7" w14:textId="77777777" w:rsidR="00265792" w:rsidRPr="00BA7805" w:rsidRDefault="00265792">
            <w:pPr>
              <w:pStyle w:val="ARfintablebodyrightbold8pt"/>
              <w:rPr>
                <w:highlight w:val="green"/>
              </w:rPr>
            </w:pPr>
            <w:r w:rsidRPr="00987C3D">
              <w:t>2.0</w:t>
            </w:r>
          </w:p>
        </w:tc>
        <w:tc>
          <w:tcPr>
            <w:tcW w:w="1040" w:type="dxa"/>
            <w:shd w:val="clear" w:color="auto" w:fill="EEEEEF" w:themeFill="accent4"/>
            <w:noWrap/>
          </w:tcPr>
          <w:p w14:paraId="548CF553" w14:textId="77777777" w:rsidR="00265792" w:rsidRPr="00BA7805" w:rsidRDefault="00265792">
            <w:pPr>
              <w:pStyle w:val="ARfintablebodyrightbold8pt"/>
              <w:rPr>
                <w:highlight w:val="green"/>
              </w:rPr>
            </w:pPr>
            <w:r w:rsidRPr="00987C3D">
              <w:t>1.7</w:t>
            </w:r>
          </w:p>
        </w:tc>
        <w:tc>
          <w:tcPr>
            <w:tcW w:w="1040" w:type="dxa"/>
            <w:shd w:val="clear" w:color="auto" w:fill="EEEEEF" w:themeFill="accent4"/>
            <w:noWrap/>
          </w:tcPr>
          <w:p w14:paraId="3EAC539C" w14:textId="77777777" w:rsidR="00265792" w:rsidRPr="00BA7805" w:rsidRDefault="00265792">
            <w:pPr>
              <w:pStyle w:val="ARfintablebodyrightbold8pt"/>
              <w:rPr>
                <w:highlight w:val="green"/>
              </w:rPr>
            </w:pPr>
            <w:r w:rsidRPr="00987C3D">
              <w:t>4.5</w:t>
            </w:r>
          </w:p>
        </w:tc>
        <w:tc>
          <w:tcPr>
            <w:tcW w:w="1040" w:type="dxa"/>
            <w:shd w:val="clear" w:color="auto" w:fill="EEEEEF" w:themeFill="accent4"/>
            <w:noWrap/>
          </w:tcPr>
          <w:p w14:paraId="74105512" w14:textId="77777777" w:rsidR="00265792" w:rsidRPr="00BA7805" w:rsidRDefault="00265792">
            <w:pPr>
              <w:pStyle w:val="ARfintablebodyrightbold8pt"/>
              <w:rPr>
                <w:highlight w:val="green"/>
              </w:rPr>
            </w:pPr>
            <w:r w:rsidRPr="00987C3D">
              <w:t>(5.1)</w:t>
            </w:r>
          </w:p>
        </w:tc>
        <w:tc>
          <w:tcPr>
            <w:tcW w:w="1046" w:type="dxa"/>
            <w:noWrap/>
          </w:tcPr>
          <w:p w14:paraId="319C85BB" w14:textId="77777777" w:rsidR="00265792" w:rsidRPr="00BA7805" w:rsidRDefault="00265792">
            <w:pPr>
              <w:pStyle w:val="ARfintablebodyrightbold8pt"/>
              <w:rPr>
                <w:highlight w:val="green"/>
              </w:rPr>
            </w:pPr>
            <w:r w:rsidRPr="00987C3D">
              <w:t>(45.9)</w:t>
            </w:r>
          </w:p>
        </w:tc>
        <w:tc>
          <w:tcPr>
            <w:tcW w:w="1041" w:type="dxa"/>
          </w:tcPr>
          <w:p w14:paraId="5CC329E1" w14:textId="77777777" w:rsidR="00265792" w:rsidRPr="005A6151" w:rsidRDefault="00265792">
            <w:pPr>
              <w:pStyle w:val="ARfintablebodyrightbold8pt"/>
            </w:pPr>
            <w:r>
              <w:t>–</w:t>
            </w:r>
          </w:p>
        </w:tc>
        <w:tc>
          <w:tcPr>
            <w:tcW w:w="1041" w:type="dxa"/>
            <w:noWrap/>
          </w:tcPr>
          <w:p w14:paraId="462A7980" w14:textId="77777777" w:rsidR="00265792" w:rsidRPr="00BA7805" w:rsidRDefault="00265792">
            <w:pPr>
              <w:pStyle w:val="ARfintablebodyrightbold8pt"/>
              <w:rPr>
                <w:highlight w:val="green"/>
              </w:rPr>
            </w:pPr>
            <w:r w:rsidRPr="00987C3D">
              <w:t>6.5</w:t>
            </w:r>
          </w:p>
        </w:tc>
        <w:tc>
          <w:tcPr>
            <w:tcW w:w="1040" w:type="dxa"/>
            <w:noWrap/>
          </w:tcPr>
          <w:p w14:paraId="6683F864" w14:textId="77777777" w:rsidR="00265792" w:rsidRPr="00BA7805" w:rsidRDefault="00265792">
            <w:pPr>
              <w:pStyle w:val="ARfintablebodyrightbold8pt"/>
              <w:rPr>
                <w:highlight w:val="green"/>
              </w:rPr>
            </w:pPr>
            <w:r w:rsidRPr="00987C3D">
              <w:t>6.2</w:t>
            </w:r>
          </w:p>
        </w:tc>
        <w:tc>
          <w:tcPr>
            <w:tcW w:w="1041" w:type="dxa"/>
            <w:noWrap/>
          </w:tcPr>
          <w:p w14:paraId="6FDD0CCF" w14:textId="77777777" w:rsidR="00265792" w:rsidRPr="00BA7805" w:rsidRDefault="00265792">
            <w:pPr>
              <w:pStyle w:val="ARfintablebodyrightbold8pt"/>
              <w:rPr>
                <w:highlight w:val="green"/>
              </w:rPr>
            </w:pPr>
            <w:r w:rsidRPr="00987C3D">
              <w:t>35.8</w:t>
            </w:r>
          </w:p>
        </w:tc>
        <w:tc>
          <w:tcPr>
            <w:tcW w:w="1041" w:type="dxa"/>
            <w:noWrap/>
          </w:tcPr>
          <w:p w14:paraId="0E416467" w14:textId="77777777" w:rsidR="00265792" w:rsidRPr="00BA7805" w:rsidRDefault="00265792">
            <w:pPr>
              <w:pStyle w:val="ARfintablebodyrightbold8pt"/>
              <w:rPr>
                <w:highlight w:val="green"/>
              </w:rPr>
            </w:pPr>
            <w:r w:rsidRPr="00987C3D">
              <w:t>(9.9)</w:t>
            </w:r>
          </w:p>
        </w:tc>
      </w:tr>
    </w:tbl>
    <w:p w14:paraId="35EF7D3E" w14:textId="77777777" w:rsidR="00265792" w:rsidRPr="00BA7805" w:rsidRDefault="00265792">
      <w:pPr>
        <w:pStyle w:val="ARfintablefootnotetabindent"/>
        <w:spacing w:before="10" w:after="10"/>
        <w:rPr>
          <w:highlight w:val="green"/>
        </w:rPr>
      </w:pPr>
    </w:p>
    <w:p w14:paraId="3FA48CC3" w14:textId="77777777" w:rsidR="00265792" w:rsidRPr="00CF4F23" w:rsidRDefault="00265792" w:rsidP="002542E1">
      <w:pPr>
        <w:pStyle w:val="ARfinbody"/>
        <w:rPr>
          <w:highlight w:val="green"/>
        </w:rPr>
        <w:sectPr w:rsidR="00265792" w:rsidRPr="00CF4F23" w:rsidSect="007F43B1">
          <w:footerReference w:type="even" r:id="rId152"/>
          <w:endnotePr>
            <w:numFmt w:val="decimal"/>
          </w:endnotePr>
          <w:pgSz w:w="16838" w:h="11906" w:orient="landscape" w:code="9"/>
          <w:pgMar w:top="1134" w:right="1134" w:bottom="1916" w:left="1134" w:header="510" w:footer="340" w:gutter="0"/>
          <w:cols w:space="708"/>
          <w:docGrid w:linePitch="360"/>
        </w:sectPr>
      </w:pPr>
    </w:p>
    <w:p w14:paraId="26B8FB7E" w14:textId="77777777" w:rsidR="00265792" w:rsidRPr="00CF4F23" w:rsidRDefault="00265792" w:rsidP="002542E1">
      <w:pPr>
        <w:pStyle w:val="Heading5"/>
        <w:spacing w:before="0"/>
        <w:rPr>
          <w:lang w:eastAsia="en-AU"/>
        </w:rPr>
      </w:pPr>
      <w:r w:rsidRPr="00CF4F23">
        <w:rPr>
          <w:lang w:eastAsia="en-AU"/>
        </w:rPr>
        <w:lastRenderedPageBreak/>
        <w:t>7.4.2 Trust account – Legislative references and nature</w:t>
      </w:r>
    </w:p>
    <w:p w14:paraId="2194E4C5" w14:textId="77777777" w:rsidR="00265792" w:rsidRDefault="00265792" w:rsidP="0006084B">
      <w:pPr>
        <w:pStyle w:val="Heading6"/>
      </w:pPr>
      <w:r>
        <w:t>Controlled trusts</w:t>
      </w:r>
    </w:p>
    <w:p w14:paraId="681924CB" w14:textId="77777777" w:rsidR="00265792" w:rsidRDefault="00265792">
      <w:pPr>
        <w:pStyle w:val="Heading7"/>
      </w:pPr>
      <w:r>
        <w:t>Intellectually Handicapped Children’s Amenities Fund</w:t>
      </w:r>
    </w:p>
    <w:p w14:paraId="27A567AC" w14:textId="77777777" w:rsidR="00265792" w:rsidRDefault="00265792" w:rsidP="0006084B">
      <w:pPr>
        <w:pStyle w:val="ARfinbodylargespace"/>
      </w:pPr>
      <w:r>
        <w:t xml:space="preserve">Established under the </w:t>
      </w:r>
      <w:r w:rsidRPr="00E15716">
        <w:rPr>
          <w:rStyle w:val="Emphasis"/>
        </w:rPr>
        <w:t>Intellectually</w:t>
      </w:r>
      <w:r>
        <w:t xml:space="preserve"> </w:t>
      </w:r>
      <w:r w:rsidRPr="00E15716">
        <w:rPr>
          <w:rStyle w:val="Emphasis"/>
        </w:rPr>
        <w:t>Disabled Persons Act 1986</w:t>
      </w:r>
      <w:r>
        <w:t xml:space="preserve"> which was then repealed by the </w:t>
      </w:r>
      <w:r w:rsidRPr="00E15716">
        <w:rPr>
          <w:rStyle w:val="Emphasis"/>
        </w:rPr>
        <w:t>Disability Act 2006</w:t>
      </w:r>
      <w:r>
        <w:t>. The trust was established to meet the cost of the provision of amenities for children under the age of 16 years in the care of the department.</w:t>
      </w:r>
    </w:p>
    <w:p w14:paraId="0F8708DB" w14:textId="77777777" w:rsidR="00265792" w:rsidRDefault="00265792">
      <w:pPr>
        <w:pStyle w:val="Heading7"/>
      </w:pPr>
      <w:r>
        <w:t>Mental Health Fund</w:t>
      </w:r>
    </w:p>
    <w:p w14:paraId="4A6B6517" w14:textId="44C6547E" w:rsidR="00265792" w:rsidRDefault="00265792" w:rsidP="0006084B">
      <w:pPr>
        <w:pStyle w:val="ARfinbodylargespace"/>
      </w:pPr>
      <w:r>
        <w:t xml:space="preserve">Established under the </w:t>
      </w:r>
      <w:r w:rsidRPr="00E15716">
        <w:rPr>
          <w:rStyle w:val="Emphasis"/>
        </w:rPr>
        <w:t>Gaming Regulation Act 2003</w:t>
      </w:r>
      <w:r>
        <w:t xml:space="preserve"> for the establishment and maintenance of mental health services and residential institutions and facilities, for the administration of the </w:t>
      </w:r>
      <w:r w:rsidRPr="00E15716">
        <w:rPr>
          <w:rStyle w:val="Emphasis"/>
        </w:rPr>
        <w:t>Mental Health Act 1986</w:t>
      </w:r>
      <w:r>
        <w:t xml:space="preserve"> and for the administration of</w:t>
      </w:r>
      <w:r w:rsidR="00C07BFC">
        <w:t> </w:t>
      </w:r>
      <w:r>
        <w:t xml:space="preserve">the </w:t>
      </w:r>
      <w:r w:rsidRPr="00E15716">
        <w:rPr>
          <w:rStyle w:val="Emphasis"/>
        </w:rPr>
        <w:t>Disability Act 2006</w:t>
      </w:r>
      <w:r>
        <w:t>.</w:t>
      </w:r>
    </w:p>
    <w:p w14:paraId="151211A7" w14:textId="77777777" w:rsidR="00265792" w:rsidRDefault="00265792">
      <w:pPr>
        <w:pStyle w:val="Heading7"/>
      </w:pPr>
      <w:r>
        <w:t>Treasury Trust</w:t>
      </w:r>
    </w:p>
    <w:p w14:paraId="713BF587" w14:textId="77777777" w:rsidR="00265792" w:rsidRDefault="00265792" w:rsidP="0006084B">
      <w:pPr>
        <w:pStyle w:val="ARfinbodylargespace"/>
      </w:pPr>
      <w:r>
        <w:t>Established to record the receipt and disbursement of unclaimed monies and other funds held in trust.</w:t>
      </w:r>
    </w:p>
    <w:p w14:paraId="24472F49" w14:textId="77777777" w:rsidR="00265792" w:rsidRDefault="00265792">
      <w:pPr>
        <w:pStyle w:val="Heading7"/>
      </w:pPr>
      <w:r>
        <w:t xml:space="preserve">Inter-Departmental Transfer </w:t>
      </w:r>
      <w:r w:rsidRPr="00A36B3D">
        <w:t>Trust</w:t>
      </w:r>
    </w:p>
    <w:p w14:paraId="59EDC515" w14:textId="77777777" w:rsidR="00265792" w:rsidRDefault="00265792" w:rsidP="0006084B">
      <w:pPr>
        <w:pStyle w:val="ARfinbodylargespace"/>
      </w:pPr>
      <w:r>
        <w:t xml:space="preserve">Established under s. 19 of the </w:t>
      </w:r>
      <w:r w:rsidRPr="00E15716">
        <w:rPr>
          <w:rStyle w:val="Emphasis"/>
        </w:rPr>
        <w:t>Financial Management Act 1994</w:t>
      </w:r>
      <w:r>
        <w:t xml:space="preserve"> by the Minister for Finance to record inter-departmental transfers when no other trust arrangement exists.</w:t>
      </w:r>
    </w:p>
    <w:p w14:paraId="11AE8E00" w14:textId="77777777" w:rsidR="00265792" w:rsidRDefault="00265792">
      <w:pPr>
        <w:pStyle w:val="Heading7"/>
      </w:pPr>
      <w:r>
        <w:t>Vehicle Lease Trust Account</w:t>
      </w:r>
    </w:p>
    <w:p w14:paraId="708A4188" w14:textId="77777777" w:rsidR="00265792" w:rsidRDefault="00265792" w:rsidP="0006084B">
      <w:pPr>
        <w:pStyle w:val="ARfinbodylargespace"/>
      </w:pPr>
      <w:r>
        <w:t>Established to record transactions relating to the government’s vehicle pool and fleet management business.</w:t>
      </w:r>
    </w:p>
    <w:p w14:paraId="0300ECB4" w14:textId="77777777" w:rsidR="00265792" w:rsidRDefault="00265792">
      <w:pPr>
        <w:pStyle w:val="Heading7"/>
      </w:pPr>
      <w:r>
        <w:t>Departmental Suspense Account</w:t>
      </w:r>
    </w:p>
    <w:p w14:paraId="55857740" w14:textId="77777777" w:rsidR="00265792" w:rsidRDefault="00265792" w:rsidP="0006084B">
      <w:pPr>
        <w:pStyle w:val="ARfinbodylargespace"/>
      </w:pPr>
      <w:r>
        <w:t>Short-term clearing account pending correct identification of payments.</w:t>
      </w:r>
    </w:p>
    <w:p w14:paraId="7C3CC57D" w14:textId="77777777" w:rsidR="00265792" w:rsidRDefault="00265792">
      <w:pPr>
        <w:pStyle w:val="Heading7"/>
      </w:pPr>
      <w:r>
        <w:t>Victorian Veterans Fund</w:t>
      </w:r>
    </w:p>
    <w:p w14:paraId="42714B30" w14:textId="0E8D8A39" w:rsidR="00265792" w:rsidRDefault="00265792" w:rsidP="0006084B">
      <w:pPr>
        <w:pStyle w:val="ARfinbodylargespace"/>
      </w:pPr>
      <w:r>
        <w:t xml:space="preserve">Established under s. 20 of the </w:t>
      </w:r>
      <w:r w:rsidRPr="00E15716">
        <w:rPr>
          <w:rStyle w:val="Emphasis"/>
        </w:rPr>
        <w:t>Veterans Act 2005</w:t>
      </w:r>
      <w:r>
        <w:t xml:space="preserve"> to educate Victorians about Victoria's involvement in Australia</w:t>
      </w:r>
      <w:r w:rsidR="00054189">
        <w:t>’</w:t>
      </w:r>
      <w:r>
        <w:t>s war and service history, to honour or commemorate the service or sacrifice of veterans, to assist the education of veterans</w:t>
      </w:r>
      <w:r w:rsidR="00054189">
        <w:t>’</w:t>
      </w:r>
      <w:r>
        <w:t xml:space="preserve"> dependants and any other purpose agreed in writing by the Minister for Veterans. The Victorian Veterans Council may invest any part of the Victorian Veterans Fund not immediately required for the purposes of the Victorian Veterans Fund in any manner approved by the Treasurer.</w:t>
      </w:r>
    </w:p>
    <w:p w14:paraId="0F5E572B" w14:textId="77777777" w:rsidR="00265792" w:rsidRDefault="00265792">
      <w:pPr>
        <w:pStyle w:val="Heading7"/>
      </w:pPr>
      <w:r>
        <w:t>Anzac Day Proceeds Fund</w:t>
      </w:r>
    </w:p>
    <w:p w14:paraId="3142C139" w14:textId="77777777" w:rsidR="00265792" w:rsidRDefault="00265792" w:rsidP="0006084B">
      <w:pPr>
        <w:pStyle w:val="ARfinbodylargespace"/>
      </w:pPr>
      <w:r>
        <w:t xml:space="preserve">Established under s. 4A of the </w:t>
      </w:r>
      <w:r w:rsidRPr="00E15716">
        <w:rPr>
          <w:rStyle w:val="Emphasis"/>
        </w:rPr>
        <w:t>ANZAC Day Act 1958</w:t>
      </w:r>
      <w:r>
        <w:t xml:space="preserve"> to receive funds as required to be paid by the </w:t>
      </w:r>
      <w:r w:rsidRPr="00E15716">
        <w:rPr>
          <w:rStyle w:val="Emphasis"/>
        </w:rPr>
        <w:t>ANZAC Day Act 1958</w:t>
      </w:r>
      <w:r>
        <w:t xml:space="preserve"> and the </w:t>
      </w:r>
      <w:r w:rsidRPr="00E15716">
        <w:rPr>
          <w:rStyle w:val="Emphasis"/>
        </w:rPr>
        <w:t>Racing Act 1958</w:t>
      </w:r>
      <w:r>
        <w:t xml:space="preserve"> and to be credited to the Victorian Veterans Fund.</w:t>
      </w:r>
    </w:p>
    <w:p w14:paraId="68FB6ED0" w14:textId="77777777" w:rsidR="00265792" w:rsidRDefault="00265792">
      <w:pPr>
        <w:pStyle w:val="Heading7"/>
      </w:pPr>
      <w:r>
        <w:t xml:space="preserve">Commonwealth Treasury Trust Fund </w:t>
      </w:r>
    </w:p>
    <w:p w14:paraId="10D709DE" w14:textId="77777777" w:rsidR="00265792" w:rsidRDefault="00265792" w:rsidP="0006084B">
      <w:pPr>
        <w:pStyle w:val="ARfinbodylargespace"/>
      </w:pPr>
      <w:r>
        <w:t xml:space="preserve">Established under s. 19 of the </w:t>
      </w:r>
      <w:r w:rsidRPr="00E15716">
        <w:rPr>
          <w:rStyle w:val="Emphasis"/>
        </w:rPr>
        <w:t>Financial Management Act 1994</w:t>
      </w:r>
      <w:r>
        <w:t>, for the primary purpose of holding funds from the Commonwealth Government that are to be on-passed to relevant departments.</w:t>
      </w:r>
    </w:p>
    <w:p w14:paraId="24A23722" w14:textId="77777777" w:rsidR="00265792" w:rsidRDefault="00265792" w:rsidP="0006084B">
      <w:pPr>
        <w:pStyle w:val="Heading6"/>
      </w:pPr>
      <w:r>
        <w:t>Administered trusts</w:t>
      </w:r>
    </w:p>
    <w:p w14:paraId="7E29D0A4" w14:textId="77777777" w:rsidR="00265792" w:rsidRDefault="00265792" w:rsidP="0006084B">
      <w:pPr>
        <w:pStyle w:val="Heading7"/>
      </w:pPr>
      <w:r>
        <w:t>Public Service Commuter Club</w:t>
      </w:r>
    </w:p>
    <w:p w14:paraId="253613BF" w14:textId="77777777" w:rsidR="00265792" w:rsidRDefault="00265792" w:rsidP="0006084B">
      <w:pPr>
        <w:pStyle w:val="ARfinbodylargespace"/>
      </w:pPr>
      <w:r>
        <w:t>Established to record the receipt of amounts associated with the Public Service Commuter Club Scheme and deductions from club members' salaries as well as to record payment to the Public Transport Corporation.</w:t>
      </w:r>
    </w:p>
    <w:p w14:paraId="26A05D15" w14:textId="77777777" w:rsidR="00265792" w:rsidRDefault="00265792" w:rsidP="0006084B">
      <w:pPr>
        <w:pStyle w:val="Heading7"/>
      </w:pPr>
      <w:r>
        <w:t>Revenue Suspense Account</w:t>
      </w:r>
    </w:p>
    <w:p w14:paraId="711FA82C" w14:textId="77777777" w:rsidR="00265792" w:rsidRDefault="00265792" w:rsidP="0006084B">
      <w:pPr>
        <w:pStyle w:val="ARfinbodylargespace"/>
      </w:pPr>
      <w:r>
        <w:t>Short-term clearing account pending correct identification of receipts.</w:t>
      </w:r>
    </w:p>
    <w:p w14:paraId="66838D01" w14:textId="77777777" w:rsidR="00265792" w:rsidRDefault="00265792" w:rsidP="0006084B">
      <w:pPr>
        <w:pStyle w:val="Heading7"/>
      </w:pPr>
      <w:r>
        <w:t>Victorian Natural Disasters Relief Fund</w:t>
      </w:r>
    </w:p>
    <w:p w14:paraId="5FC5444A" w14:textId="77777777" w:rsidR="00265792" w:rsidRDefault="00265792" w:rsidP="0006084B">
      <w:pPr>
        <w:pStyle w:val="ARfinbodylargespace"/>
      </w:pPr>
      <w:r>
        <w:t xml:space="preserve">Established for the purpose of granting assistance to persons who suffer losses </w:t>
      </w:r>
      <w:proofErr w:type="gramStart"/>
      <w:r>
        <w:t>as a result of</w:t>
      </w:r>
      <w:proofErr w:type="gramEnd"/>
      <w:r>
        <w:t xml:space="preserve"> flood, bushfires and other natural disasters</w:t>
      </w:r>
    </w:p>
    <w:p w14:paraId="2DD9BE6C" w14:textId="77777777" w:rsidR="00265792" w:rsidRDefault="00265792" w:rsidP="0006084B">
      <w:pPr>
        <w:pStyle w:val="ARfinbodylargespace"/>
      </w:pPr>
      <w:r>
        <w:br w:type="page"/>
      </w:r>
    </w:p>
    <w:p w14:paraId="156B1286" w14:textId="77777777" w:rsidR="00265792" w:rsidRDefault="00265792" w:rsidP="00FE77E3">
      <w:pPr>
        <w:pStyle w:val="Heading4"/>
      </w:pPr>
      <w:r>
        <w:lastRenderedPageBreak/>
        <w:t>7.5 Commitments for expenditure</w:t>
      </w:r>
    </w:p>
    <w:p w14:paraId="47B257A0" w14:textId="77777777" w:rsidR="00265792" w:rsidRDefault="00265792" w:rsidP="00FE77E3">
      <w:pPr>
        <w:pStyle w:val="ARfinbodylargespace"/>
      </w:pPr>
      <w:r>
        <w:t xml:space="preserve">Commitments for future expenditure include operating and capital commitments arising from contracts. These commitments are recorded below at </w:t>
      </w:r>
      <w:r w:rsidRPr="00FE77E3">
        <w:t>their</w:t>
      </w:r>
      <w:r>
        <w:t xml:space="preserve"> nominal value and inclusive of GST where applicable. These future expenditures cease to be disclosed as commitments once the related liabilities are recognised in the balance sheet.</w:t>
      </w:r>
    </w:p>
    <w:p w14:paraId="1FD870C4" w14:textId="77777777" w:rsidR="00265792" w:rsidRDefault="00265792" w:rsidP="00E651F6">
      <w:pPr>
        <w:pStyle w:val="Heading5"/>
        <w:spacing w:before="120"/>
      </w:pPr>
      <w:r w:rsidRPr="00D82F5A">
        <w:t>7.5.1 Total commitments payable</w:t>
      </w:r>
    </w:p>
    <w:tbl>
      <w:tblPr>
        <w:tblStyle w:val="TableGrid"/>
        <w:tblW w:w="9637" w:type="dxa"/>
        <w:tblLayout w:type="fixed"/>
        <w:tblLook w:val="06E0" w:firstRow="1" w:lastRow="1" w:firstColumn="1" w:lastColumn="0" w:noHBand="1" w:noVBand="1"/>
      </w:tblPr>
      <w:tblGrid>
        <w:gridCol w:w="6946"/>
        <w:gridCol w:w="1413"/>
        <w:gridCol w:w="1278"/>
      </w:tblGrid>
      <w:tr w:rsidR="00265792" w:rsidRPr="00BA7805" w14:paraId="26639213" w14:textId="77777777">
        <w:trPr>
          <w:cnfStyle w:val="100000000000" w:firstRow="1" w:lastRow="0" w:firstColumn="0" w:lastColumn="0" w:oddVBand="0" w:evenVBand="0" w:oddHBand="0" w:evenHBand="0" w:firstRowFirstColumn="0" w:firstRowLastColumn="0" w:lastRowFirstColumn="0" w:lastRowLastColumn="0"/>
          <w:tblHeader/>
        </w:trPr>
        <w:tc>
          <w:tcPr>
            <w:tcW w:w="6946" w:type="dxa"/>
            <w:noWrap/>
            <w:hideMark/>
          </w:tcPr>
          <w:p w14:paraId="4D6AC84C" w14:textId="77777777" w:rsidR="00265792" w:rsidRPr="00BA7805" w:rsidRDefault="00265792">
            <w:pPr>
              <w:pStyle w:val="ARfintablebody"/>
              <w:rPr>
                <w:highlight w:val="green"/>
              </w:rPr>
            </w:pPr>
            <w:r>
              <w:t>The following commitments have not been recognised as liabilities in the financial statements.</w:t>
            </w:r>
          </w:p>
        </w:tc>
        <w:tc>
          <w:tcPr>
            <w:tcW w:w="1413" w:type="dxa"/>
            <w:shd w:val="clear" w:color="auto" w:fill="EEEEEF" w:themeFill="accent4"/>
            <w:hideMark/>
          </w:tcPr>
          <w:p w14:paraId="1492F530" w14:textId="77777777" w:rsidR="00265792" w:rsidRPr="005F5474" w:rsidRDefault="00265792" w:rsidP="00E651F6">
            <w:pPr>
              <w:pStyle w:val="ARfintablecolheadright"/>
              <w:spacing w:line="192" w:lineRule="auto"/>
            </w:pPr>
            <w:r w:rsidRPr="005F5474">
              <w:t>202</w:t>
            </w:r>
            <w:r>
              <w:t>5</w:t>
            </w:r>
          </w:p>
          <w:p w14:paraId="64D4E34A" w14:textId="77777777" w:rsidR="00265792" w:rsidRPr="005F5474" w:rsidRDefault="00265792" w:rsidP="00E651F6">
            <w:pPr>
              <w:pStyle w:val="ARfintablecolheadright"/>
              <w:spacing w:line="192" w:lineRule="auto"/>
            </w:pPr>
            <w:r w:rsidRPr="005F5474">
              <w:t>$M</w:t>
            </w:r>
          </w:p>
        </w:tc>
        <w:tc>
          <w:tcPr>
            <w:tcW w:w="1278" w:type="dxa"/>
            <w:hideMark/>
          </w:tcPr>
          <w:p w14:paraId="56207834" w14:textId="77777777" w:rsidR="00265792" w:rsidRPr="005F5474" w:rsidRDefault="00265792" w:rsidP="00E651F6">
            <w:pPr>
              <w:pStyle w:val="ARfintablecolheadright"/>
              <w:spacing w:line="192" w:lineRule="auto"/>
            </w:pPr>
            <w:r w:rsidRPr="005F5474">
              <w:t>202</w:t>
            </w:r>
            <w:r>
              <w:t>4</w:t>
            </w:r>
          </w:p>
          <w:p w14:paraId="36B0596E" w14:textId="77777777" w:rsidR="00265792" w:rsidRPr="005F5474" w:rsidRDefault="00265792" w:rsidP="00E651F6">
            <w:pPr>
              <w:pStyle w:val="ARfintablecolheadright"/>
              <w:spacing w:line="192" w:lineRule="auto"/>
            </w:pPr>
            <w:r w:rsidRPr="005F5474">
              <w:t>$M</w:t>
            </w:r>
          </w:p>
        </w:tc>
      </w:tr>
      <w:tr w:rsidR="00265792" w:rsidRPr="00BA7805" w14:paraId="7E359B4A" w14:textId="77777777" w:rsidTr="00DE1B01">
        <w:tc>
          <w:tcPr>
            <w:tcW w:w="6946" w:type="dxa"/>
          </w:tcPr>
          <w:p w14:paraId="54E7B6D2" w14:textId="77777777" w:rsidR="00265792" w:rsidRPr="00BA7805" w:rsidRDefault="00265792">
            <w:pPr>
              <w:pStyle w:val="ARfintablebodyboldcoloured"/>
              <w:rPr>
                <w:highlight w:val="green"/>
              </w:rPr>
            </w:pPr>
            <w:r w:rsidRPr="001449A7">
              <w:t>(a) Capital expenditure commitments</w:t>
            </w:r>
          </w:p>
        </w:tc>
        <w:tc>
          <w:tcPr>
            <w:tcW w:w="1413" w:type="dxa"/>
            <w:noWrap/>
          </w:tcPr>
          <w:p w14:paraId="585D80E9" w14:textId="77777777" w:rsidR="00265792" w:rsidRPr="00BA7805" w:rsidRDefault="00265792" w:rsidP="00D82F5A">
            <w:pPr>
              <w:pStyle w:val="ARfintablebodyright"/>
              <w:spacing w:before="10" w:after="10"/>
              <w:rPr>
                <w:highlight w:val="green"/>
              </w:rPr>
            </w:pPr>
          </w:p>
        </w:tc>
        <w:tc>
          <w:tcPr>
            <w:tcW w:w="1278" w:type="dxa"/>
            <w:noWrap/>
          </w:tcPr>
          <w:p w14:paraId="162756B2" w14:textId="77777777" w:rsidR="00265792" w:rsidRPr="00BA7805" w:rsidRDefault="00265792" w:rsidP="00D82F5A">
            <w:pPr>
              <w:pStyle w:val="ARfintablebodyright"/>
              <w:spacing w:before="10" w:after="10"/>
              <w:rPr>
                <w:highlight w:val="green"/>
              </w:rPr>
            </w:pPr>
          </w:p>
        </w:tc>
      </w:tr>
      <w:tr w:rsidR="00265792" w:rsidRPr="00BA7805" w14:paraId="775AEE10" w14:textId="77777777" w:rsidTr="00DE1B01">
        <w:tc>
          <w:tcPr>
            <w:tcW w:w="6946" w:type="dxa"/>
          </w:tcPr>
          <w:p w14:paraId="699361AA" w14:textId="77777777" w:rsidR="00265792" w:rsidRPr="00BA7805" w:rsidRDefault="00265792" w:rsidP="006A78E4">
            <w:pPr>
              <w:pStyle w:val="ARfintablebody"/>
              <w:rPr>
                <w:highlight w:val="green"/>
              </w:rPr>
            </w:pPr>
            <w:r w:rsidRPr="001449A7">
              <w:t>Less than 1 year</w:t>
            </w:r>
          </w:p>
        </w:tc>
        <w:tc>
          <w:tcPr>
            <w:tcW w:w="1413" w:type="dxa"/>
            <w:shd w:val="clear" w:color="auto" w:fill="EEEEEF" w:themeFill="accent4"/>
            <w:noWrap/>
          </w:tcPr>
          <w:p w14:paraId="5616934B" w14:textId="77777777" w:rsidR="00265792" w:rsidRPr="00BA7805" w:rsidRDefault="00265792" w:rsidP="006A78E4">
            <w:pPr>
              <w:pStyle w:val="ARfintablebodyright"/>
              <w:rPr>
                <w:highlight w:val="green"/>
              </w:rPr>
            </w:pPr>
            <w:r w:rsidRPr="001449A7">
              <w:t>342.9</w:t>
            </w:r>
          </w:p>
        </w:tc>
        <w:tc>
          <w:tcPr>
            <w:tcW w:w="1278" w:type="dxa"/>
            <w:noWrap/>
          </w:tcPr>
          <w:p w14:paraId="3B1D8A99" w14:textId="77777777" w:rsidR="00265792" w:rsidRPr="00BA7805" w:rsidRDefault="00265792" w:rsidP="006A78E4">
            <w:pPr>
              <w:pStyle w:val="ARfintablebodyright"/>
              <w:rPr>
                <w:highlight w:val="green"/>
              </w:rPr>
            </w:pPr>
            <w:r w:rsidRPr="001449A7">
              <w:t>247.8</w:t>
            </w:r>
          </w:p>
        </w:tc>
      </w:tr>
      <w:tr w:rsidR="00265792" w:rsidRPr="00BA7805" w14:paraId="43EE5C9E" w14:textId="77777777" w:rsidTr="00DE1B01">
        <w:tc>
          <w:tcPr>
            <w:tcW w:w="6946" w:type="dxa"/>
            <w:tcBorders>
              <w:bottom w:val="single" w:sz="4" w:space="0" w:color="A6A6A6" w:themeColor="accent5"/>
            </w:tcBorders>
          </w:tcPr>
          <w:p w14:paraId="766BDDE3" w14:textId="77777777" w:rsidR="00265792" w:rsidRPr="00BA7805" w:rsidRDefault="00265792" w:rsidP="006A78E4">
            <w:pPr>
              <w:pStyle w:val="ARfintablebody"/>
              <w:rPr>
                <w:highlight w:val="green"/>
              </w:rPr>
            </w:pPr>
            <w:r w:rsidRPr="001449A7">
              <w:t>Longer than 1 year and not longer than 5 years</w:t>
            </w:r>
          </w:p>
        </w:tc>
        <w:tc>
          <w:tcPr>
            <w:tcW w:w="1413" w:type="dxa"/>
            <w:tcBorders>
              <w:bottom w:val="single" w:sz="4" w:space="0" w:color="A6A6A6" w:themeColor="accent5"/>
            </w:tcBorders>
            <w:shd w:val="clear" w:color="auto" w:fill="EEEEEF" w:themeFill="accent4"/>
            <w:noWrap/>
          </w:tcPr>
          <w:p w14:paraId="232C33E5" w14:textId="77777777" w:rsidR="00265792" w:rsidRPr="00BA7805" w:rsidRDefault="00265792" w:rsidP="006A78E4">
            <w:pPr>
              <w:pStyle w:val="ARfintablebodyright"/>
              <w:rPr>
                <w:highlight w:val="green"/>
              </w:rPr>
            </w:pPr>
            <w:r w:rsidRPr="001449A7">
              <w:t>1.8</w:t>
            </w:r>
          </w:p>
        </w:tc>
        <w:tc>
          <w:tcPr>
            <w:tcW w:w="1278" w:type="dxa"/>
            <w:tcBorders>
              <w:bottom w:val="single" w:sz="4" w:space="0" w:color="A6A6A6" w:themeColor="accent5"/>
            </w:tcBorders>
            <w:noWrap/>
          </w:tcPr>
          <w:p w14:paraId="71CF975A" w14:textId="77777777" w:rsidR="00265792" w:rsidRPr="00BA7805" w:rsidRDefault="00265792" w:rsidP="006A78E4">
            <w:pPr>
              <w:pStyle w:val="ARfintablebodyright"/>
              <w:rPr>
                <w:highlight w:val="green"/>
              </w:rPr>
            </w:pPr>
            <w:r>
              <w:t>–</w:t>
            </w:r>
          </w:p>
        </w:tc>
      </w:tr>
      <w:tr w:rsidR="00265792" w:rsidRPr="00BA7805" w14:paraId="23353C20" w14:textId="77777777" w:rsidTr="00DE1B01">
        <w:tc>
          <w:tcPr>
            <w:tcW w:w="6946" w:type="dxa"/>
            <w:tcBorders>
              <w:top w:val="single" w:sz="4" w:space="0" w:color="A6A6A6" w:themeColor="accent5"/>
              <w:bottom w:val="single" w:sz="4" w:space="0" w:color="000000" w:themeColor="text1"/>
            </w:tcBorders>
          </w:tcPr>
          <w:p w14:paraId="2A63FC3B" w14:textId="77777777" w:rsidR="00265792" w:rsidRPr="00BA7805" w:rsidRDefault="00265792" w:rsidP="006A78E4">
            <w:pPr>
              <w:pStyle w:val="ARfintablebody"/>
              <w:rPr>
                <w:highlight w:val="green"/>
              </w:rPr>
            </w:pPr>
            <w:r w:rsidRPr="001449A7">
              <w:t>Longer than 5 years</w:t>
            </w:r>
          </w:p>
        </w:tc>
        <w:tc>
          <w:tcPr>
            <w:tcW w:w="1413" w:type="dxa"/>
            <w:tcBorders>
              <w:top w:val="single" w:sz="4" w:space="0" w:color="A6A6A6" w:themeColor="accent5"/>
              <w:bottom w:val="single" w:sz="4" w:space="0" w:color="000000" w:themeColor="text1"/>
            </w:tcBorders>
            <w:shd w:val="clear" w:color="auto" w:fill="EEEEEF" w:themeFill="accent4"/>
            <w:noWrap/>
          </w:tcPr>
          <w:p w14:paraId="58D02D50" w14:textId="77777777" w:rsidR="00265792" w:rsidRPr="00BA7805" w:rsidRDefault="00265792" w:rsidP="006A78E4">
            <w:pPr>
              <w:pStyle w:val="ARfintablebodyright"/>
              <w:rPr>
                <w:highlight w:val="green"/>
              </w:rPr>
            </w:pPr>
            <w:r>
              <w:t>–</w:t>
            </w:r>
          </w:p>
        </w:tc>
        <w:tc>
          <w:tcPr>
            <w:tcW w:w="1278" w:type="dxa"/>
            <w:tcBorders>
              <w:top w:val="single" w:sz="4" w:space="0" w:color="A6A6A6" w:themeColor="accent5"/>
              <w:bottom w:val="single" w:sz="4" w:space="0" w:color="000000" w:themeColor="text1"/>
            </w:tcBorders>
            <w:noWrap/>
          </w:tcPr>
          <w:p w14:paraId="456733A6" w14:textId="77777777" w:rsidR="00265792" w:rsidRPr="00BA7805" w:rsidRDefault="00265792" w:rsidP="006A78E4">
            <w:pPr>
              <w:pStyle w:val="ARfintablebodyright"/>
              <w:rPr>
                <w:highlight w:val="green"/>
              </w:rPr>
            </w:pPr>
            <w:r>
              <w:t>–</w:t>
            </w:r>
          </w:p>
        </w:tc>
      </w:tr>
      <w:tr w:rsidR="00265792" w:rsidRPr="00BA7805" w14:paraId="3F0C032F" w14:textId="77777777" w:rsidTr="00DE1B01">
        <w:tc>
          <w:tcPr>
            <w:tcW w:w="6946" w:type="dxa"/>
            <w:tcBorders>
              <w:top w:val="single" w:sz="4" w:space="0" w:color="000000" w:themeColor="text1"/>
              <w:bottom w:val="single" w:sz="4" w:space="0" w:color="000000" w:themeColor="text1"/>
            </w:tcBorders>
          </w:tcPr>
          <w:p w14:paraId="4C5062C7" w14:textId="77777777" w:rsidR="00265792" w:rsidRPr="00BA7805" w:rsidRDefault="00265792" w:rsidP="00DE1B01">
            <w:pPr>
              <w:pStyle w:val="ARfintablebodybold"/>
              <w:rPr>
                <w:highlight w:val="green"/>
              </w:rPr>
            </w:pPr>
            <w:r w:rsidRPr="001449A7">
              <w:t>Total capital expenditure commitments</w:t>
            </w:r>
          </w:p>
        </w:tc>
        <w:tc>
          <w:tcPr>
            <w:tcW w:w="1413" w:type="dxa"/>
            <w:tcBorders>
              <w:top w:val="single" w:sz="4" w:space="0" w:color="000000" w:themeColor="text1"/>
              <w:bottom w:val="single" w:sz="4" w:space="0" w:color="000000" w:themeColor="text1"/>
            </w:tcBorders>
            <w:shd w:val="clear" w:color="auto" w:fill="EEEEEF" w:themeFill="accent4"/>
            <w:noWrap/>
          </w:tcPr>
          <w:p w14:paraId="42EA4D40" w14:textId="77777777" w:rsidR="00265792" w:rsidRPr="00BA7805" w:rsidRDefault="00265792" w:rsidP="00DE1B01">
            <w:pPr>
              <w:pStyle w:val="ARfintablebodyrightbold"/>
              <w:rPr>
                <w:highlight w:val="green"/>
              </w:rPr>
            </w:pPr>
            <w:r w:rsidRPr="001449A7">
              <w:t>344.7</w:t>
            </w:r>
          </w:p>
        </w:tc>
        <w:tc>
          <w:tcPr>
            <w:tcW w:w="1278" w:type="dxa"/>
            <w:tcBorders>
              <w:top w:val="single" w:sz="4" w:space="0" w:color="000000" w:themeColor="text1"/>
              <w:bottom w:val="single" w:sz="4" w:space="0" w:color="000000" w:themeColor="text1"/>
            </w:tcBorders>
            <w:noWrap/>
          </w:tcPr>
          <w:p w14:paraId="31A26BBD" w14:textId="77777777" w:rsidR="00265792" w:rsidRPr="00BA7805" w:rsidRDefault="00265792" w:rsidP="00DE1B01">
            <w:pPr>
              <w:pStyle w:val="ARfintablebodyrightbold"/>
              <w:rPr>
                <w:highlight w:val="green"/>
              </w:rPr>
            </w:pPr>
            <w:r w:rsidRPr="001449A7">
              <w:t>247.8</w:t>
            </w:r>
          </w:p>
        </w:tc>
      </w:tr>
      <w:tr w:rsidR="00265792" w:rsidRPr="00BA7805" w14:paraId="420CD050" w14:textId="77777777" w:rsidTr="00DE1B01">
        <w:tc>
          <w:tcPr>
            <w:tcW w:w="6946" w:type="dxa"/>
            <w:tcBorders>
              <w:top w:val="single" w:sz="4" w:space="0" w:color="000000" w:themeColor="text1"/>
              <w:bottom w:val="single" w:sz="4" w:space="0" w:color="A6A6A6" w:themeColor="accent5"/>
            </w:tcBorders>
          </w:tcPr>
          <w:p w14:paraId="4AE2ED87" w14:textId="77777777" w:rsidR="00265792" w:rsidRPr="00BA7805" w:rsidRDefault="00265792">
            <w:pPr>
              <w:pStyle w:val="ARfintablebodyboldcoloured"/>
              <w:rPr>
                <w:highlight w:val="green"/>
              </w:rPr>
            </w:pPr>
            <w:r w:rsidRPr="001449A7">
              <w:t>(b) Accommodation expenses payable</w:t>
            </w:r>
          </w:p>
        </w:tc>
        <w:tc>
          <w:tcPr>
            <w:tcW w:w="1413" w:type="dxa"/>
            <w:tcBorders>
              <w:top w:val="single" w:sz="4" w:space="0" w:color="000000" w:themeColor="text1"/>
              <w:bottom w:val="single" w:sz="4" w:space="0" w:color="A6A6A6" w:themeColor="accent5"/>
            </w:tcBorders>
            <w:noWrap/>
          </w:tcPr>
          <w:p w14:paraId="7EBF2A82" w14:textId="77777777" w:rsidR="00265792" w:rsidRPr="00BA7805" w:rsidRDefault="00265792" w:rsidP="006A78E4">
            <w:pPr>
              <w:pStyle w:val="ARfintablebodyright"/>
              <w:rPr>
                <w:highlight w:val="green"/>
              </w:rPr>
            </w:pPr>
          </w:p>
        </w:tc>
        <w:tc>
          <w:tcPr>
            <w:tcW w:w="1278" w:type="dxa"/>
            <w:tcBorders>
              <w:top w:val="single" w:sz="4" w:space="0" w:color="000000" w:themeColor="text1"/>
              <w:bottom w:val="single" w:sz="4" w:space="0" w:color="A6A6A6" w:themeColor="accent5"/>
            </w:tcBorders>
            <w:noWrap/>
          </w:tcPr>
          <w:p w14:paraId="06CEAE99" w14:textId="77777777" w:rsidR="00265792" w:rsidRPr="00BA7805" w:rsidRDefault="00265792" w:rsidP="006A78E4">
            <w:pPr>
              <w:pStyle w:val="ARfintablebodyright"/>
              <w:rPr>
                <w:highlight w:val="green"/>
              </w:rPr>
            </w:pPr>
          </w:p>
        </w:tc>
      </w:tr>
      <w:tr w:rsidR="00265792" w:rsidRPr="00BA7805" w14:paraId="342B3F3D" w14:textId="77777777" w:rsidTr="00DE1B01">
        <w:tc>
          <w:tcPr>
            <w:tcW w:w="6946" w:type="dxa"/>
            <w:tcBorders>
              <w:top w:val="single" w:sz="4" w:space="0" w:color="A6A6A6" w:themeColor="accent5"/>
            </w:tcBorders>
          </w:tcPr>
          <w:p w14:paraId="00A077C4" w14:textId="77777777" w:rsidR="00265792" w:rsidRPr="00BA7805" w:rsidRDefault="00265792" w:rsidP="006A78E4">
            <w:pPr>
              <w:pStyle w:val="ARfintablebody"/>
              <w:rPr>
                <w:highlight w:val="green"/>
              </w:rPr>
            </w:pPr>
            <w:r w:rsidRPr="001449A7">
              <w:t>Less than 1 year</w:t>
            </w:r>
          </w:p>
        </w:tc>
        <w:tc>
          <w:tcPr>
            <w:tcW w:w="1413" w:type="dxa"/>
            <w:tcBorders>
              <w:top w:val="single" w:sz="4" w:space="0" w:color="A6A6A6" w:themeColor="accent5"/>
            </w:tcBorders>
            <w:shd w:val="clear" w:color="auto" w:fill="EEEEEF" w:themeFill="accent4"/>
            <w:noWrap/>
          </w:tcPr>
          <w:p w14:paraId="271F407E" w14:textId="77777777" w:rsidR="00265792" w:rsidRPr="00BA7805" w:rsidRDefault="00265792" w:rsidP="006A78E4">
            <w:pPr>
              <w:pStyle w:val="ARfintablebodyright"/>
              <w:rPr>
                <w:highlight w:val="green"/>
              </w:rPr>
            </w:pPr>
            <w:r>
              <w:t>–</w:t>
            </w:r>
          </w:p>
        </w:tc>
        <w:tc>
          <w:tcPr>
            <w:tcW w:w="1278" w:type="dxa"/>
            <w:tcBorders>
              <w:top w:val="single" w:sz="4" w:space="0" w:color="A6A6A6" w:themeColor="accent5"/>
            </w:tcBorders>
            <w:noWrap/>
          </w:tcPr>
          <w:p w14:paraId="74F9F4A4" w14:textId="77777777" w:rsidR="00265792" w:rsidRPr="00BA7805" w:rsidRDefault="00265792" w:rsidP="006A78E4">
            <w:pPr>
              <w:pStyle w:val="ARfintablebodyright"/>
              <w:rPr>
                <w:highlight w:val="green"/>
              </w:rPr>
            </w:pPr>
            <w:r w:rsidRPr="001449A7">
              <w:t>86.5</w:t>
            </w:r>
          </w:p>
        </w:tc>
      </w:tr>
      <w:tr w:rsidR="00265792" w:rsidRPr="00BA7805" w14:paraId="10847E80" w14:textId="77777777" w:rsidTr="008D1289">
        <w:tc>
          <w:tcPr>
            <w:tcW w:w="6946" w:type="dxa"/>
            <w:tcBorders>
              <w:bottom w:val="single" w:sz="4" w:space="0" w:color="A6A6A6" w:themeColor="accent5"/>
            </w:tcBorders>
          </w:tcPr>
          <w:p w14:paraId="7A25C892" w14:textId="77777777" w:rsidR="00265792" w:rsidRPr="00BA7805" w:rsidRDefault="00265792" w:rsidP="006A78E4">
            <w:pPr>
              <w:pStyle w:val="ARfintablebody"/>
              <w:rPr>
                <w:highlight w:val="green"/>
              </w:rPr>
            </w:pPr>
            <w:r w:rsidRPr="001449A7">
              <w:t>Longer than 1 year and not longer than 5 years</w:t>
            </w:r>
          </w:p>
        </w:tc>
        <w:tc>
          <w:tcPr>
            <w:tcW w:w="1413" w:type="dxa"/>
            <w:tcBorders>
              <w:bottom w:val="single" w:sz="4" w:space="0" w:color="A6A6A6" w:themeColor="accent5"/>
            </w:tcBorders>
            <w:shd w:val="clear" w:color="auto" w:fill="EEEEEF" w:themeFill="accent4"/>
            <w:noWrap/>
          </w:tcPr>
          <w:p w14:paraId="168C78D6" w14:textId="77777777" w:rsidR="00265792" w:rsidRPr="00BA7805" w:rsidRDefault="00265792" w:rsidP="006A78E4">
            <w:pPr>
              <w:pStyle w:val="ARfintablebodyright"/>
              <w:rPr>
                <w:highlight w:val="green"/>
              </w:rPr>
            </w:pPr>
            <w:r>
              <w:t>–</w:t>
            </w:r>
          </w:p>
        </w:tc>
        <w:tc>
          <w:tcPr>
            <w:tcW w:w="1278" w:type="dxa"/>
            <w:tcBorders>
              <w:bottom w:val="single" w:sz="4" w:space="0" w:color="A6A6A6" w:themeColor="accent5"/>
            </w:tcBorders>
            <w:noWrap/>
          </w:tcPr>
          <w:p w14:paraId="26045D85" w14:textId="77777777" w:rsidR="00265792" w:rsidRPr="00BA7805" w:rsidRDefault="00265792" w:rsidP="006A78E4">
            <w:pPr>
              <w:pStyle w:val="ARfintablebodyright"/>
              <w:rPr>
                <w:highlight w:val="green"/>
              </w:rPr>
            </w:pPr>
            <w:r>
              <w:t>–</w:t>
            </w:r>
          </w:p>
        </w:tc>
      </w:tr>
      <w:tr w:rsidR="00265792" w:rsidRPr="00BA7805" w14:paraId="79846D8C" w14:textId="77777777" w:rsidTr="008D1289">
        <w:tc>
          <w:tcPr>
            <w:tcW w:w="6946" w:type="dxa"/>
            <w:tcBorders>
              <w:top w:val="single" w:sz="4" w:space="0" w:color="A6A6A6" w:themeColor="accent5"/>
              <w:bottom w:val="single" w:sz="4" w:space="0" w:color="000000" w:themeColor="text1"/>
            </w:tcBorders>
          </w:tcPr>
          <w:p w14:paraId="45F5BD68" w14:textId="77777777" w:rsidR="00265792" w:rsidRPr="00BA7805" w:rsidRDefault="00265792" w:rsidP="006A78E4">
            <w:pPr>
              <w:pStyle w:val="ARfintablebody"/>
              <w:rPr>
                <w:highlight w:val="green"/>
              </w:rPr>
            </w:pPr>
            <w:r w:rsidRPr="001449A7">
              <w:t>Longer than 5 years</w:t>
            </w:r>
          </w:p>
        </w:tc>
        <w:tc>
          <w:tcPr>
            <w:tcW w:w="1413" w:type="dxa"/>
            <w:tcBorders>
              <w:top w:val="single" w:sz="4" w:space="0" w:color="A6A6A6" w:themeColor="accent5"/>
              <w:bottom w:val="single" w:sz="4" w:space="0" w:color="000000" w:themeColor="text1"/>
            </w:tcBorders>
            <w:shd w:val="clear" w:color="auto" w:fill="EEEEEF" w:themeFill="accent4"/>
            <w:noWrap/>
          </w:tcPr>
          <w:p w14:paraId="7F700E80" w14:textId="77777777" w:rsidR="00265792" w:rsidRPr="00BA7805" w:rsidRDefault="00265792" w:rsidP="006A78E4">
            <w:pPr>
              <w:pStyle w:val="ARfintablebodyright"/>
              <w:rPr>
                <w:highlight w:val="green"/>
              </w:rPr>
            </w:pPr>
            <w:r>
              <w:t>–</w:t>
            </w:r>
          </w:p>
        </w:tc>
        <w:tc>
          <w:tcPr>
            <w:tcW w:w="1278" w:type="dxa"/>
            <w:tcBorders>
              <w:top w:val="single" w:sz="4" w:space="0" w:color="A6A6A6" w:themeColor="accent5"/>
              <w:bottom w:val="single" w:sz="4" w:space="0" w:color="000000" w:themeColor="text1"/>
            </w:tcBorders>
            <w:noWrap/>
          </w:tcPr>
          <w:p w14:paraId="08E94EE5" w14:textId="77777777" w:rsidR="00265792" w:rsidRPr="00BA7805" w:rsidRDefault="00265792" w:rsidP="006A78E4">
            <w:pPr>
              <w:pStyle w:val="ARfintablebodyright"/>
              <w:rPr>
                <w:highlight w:val="green"/>
              </w:rPr>
            </w:pPr>
            <w:r>
              <w:t>–</w:t>
            </w:r>
          </w:p>
        </w:tc>
      </w:tr>
      <w:tr w:rsidR="00265792" w:rsidRPr="00BA7805" w14:paraId="2B9DF639" w14:textId="77777777" w:rsidTr="008D1289">
        <w:tc>
          <w:tcPr>
            <w:tcW w:w="6946" w:type="dxa"/>
            <w:tcBorders>
              <w:top w:val="single" w:sz="4" w:space="0" w:color="000000" w:themeColor="text1"/>
              <w:bottom w:val="single" w:sz="4" w:space="0" w:color="000000" w:themeColor="text1"/>
            </w:tcBorders>
          </w:tcPr>
          <w:p w14:paraId="686B8333" w14:textId="77777777" w:rsidR="00265792" w:rsidRPr="00BA7805" w:rsidRDefault="00265792" w:rsidP="008D1289">
            <w:pPr>
              <w:pStyle w:val="ARfintablebodybold"/>
              <w:rPr>
                <w:highlight w:val="green"/>
              </w:rPr>
            </w:pPr>
            <w:r w:rsidRPr="001449A7">
              <w:t>Total accommodation expenses payable</w:t>
            </w:r>
          </w:p>
        </w:tc>
        <w:tc>
          <w:tcPr>
            <w:tcW w:w="1413" w:type="dxa"/>
            <w:tcBorders>
              <w:top w:val="single" w:sz="4" w:space="0" w:color="000000" w:themeColor="text1"/>
              <w:bottom w:val="single" w:sz="4" w:space="0" w:color="000000" w:themeColor="text1"/>
            </w:tcBorders>
            <w:shd w:val="clear" w:color="auto" w:fill="EEEEEF" w:themeFill="accent4"/>
            <w:noWrap/>
          </w:tcPr>
          <w:p w14:paraId="7F9538BB" w14:textId="77777777" w:rsidR="00265792" w:rsidRPr="00BA7805" w:rsidRDefault="00265792" w:rsidP="008D1289">
            <w:pPr>
              <w:pStyle w:val="ARfintablebodyrightbold"/>
              <w:rPr>
                <w:highlight w:val="green"/>
              </w:rPr>
            </w:pPr>
            <w:r>
              <w:t>–</w:t>
            </w:r>
          </w:p>
        </w:tc>
        <w:tc>
          <w:tcPr>
            <w:tcW w:w="1278" w:type="dxa"/>
            <w:tcBorders>
              <w:top w:val="single" w:sz="4" w:space="0" w:color="000000" w:themeColor="text1"/>
              <w:bottom w:val="single" w:sz="4" w:space="0" w:color="000000" w:themeColor="text1"/>
            </w:tcBorders>
            <w:noWrap/>
          </w:tcPr>
          <w:p w14:paraId="1AAE4BC8" w14:textId="77777777" w:rsidR="00265792" w:rsidRPr="00BA7805" w:rsidRDefault="00265792" w:rsidP="008D1289">
            <w:pPr>
              <w:pStyle w:val="ARfintablebodyrightbold"/>
              <w:rPr>
                <w:highlight w:val="green"/>
              </w:rPr>
            </w:pPr>
            <w:r w:rsidRPr="001449A7">
              <w:t>86.5</w:t>
            </w:r>
          </w:p>
        </w:tc>
      </w:tr>
      <w:tr w:rsidR="00265792" w:rsidRPr="00BA7805" w14:paraId="40187611" w14:textId="77777777" w:rsidTr="008D1289">
        <w:tc>
          <w:tcPr>
            <w:tcW w:w="6946" w:type="dxa"/>
            <w:tcBorders>
              <w:top w:val="single" w:sz="4" w:space="0" w:color="000000" w:themeColor="text1"/>
              <w:bottom w:val="single" w:sz="4" w:space="0" w:color="A6A6A6" w:themeColor="accent5"/>
            </w:tcBorders>
          </w:tcPr>
          <w:p w14:paraId="65FBB5E2" w14:textId="77777777" w:rsidR="00265792" w:rsidRPr="00BA7805" w:rsidRDefault="00265792">
            <w:pPr>
              <w:pStyle w:val="ARfintablebodyboldcoloured"/>
              <w:rPr>
                <w:highlight w:val="green"/>
              </w:rPr>
            </w:pPr>
            <w:r w:rsidRPr="001449A7">
              <w:t>(c) Other operating commitments</w:t>
            </w:r>
          </w:p>
        </w:tc>
        <w:tc>
          <w:tcPr>
            <w:tcW w:w="1413" w:type="dxa"/>
            <w:tcBorders>
              <w:top w:val="single" w:sz="4" w:space="0" w:color="000000" w:themeColor="text1"/>
              <w:bottom w:val="single" w:sz="4" w:space="0" w:color="A6A6A6" w:themeColor="accent5"/>
            </w:tcBorders>
            <w:noWrap/>
          </w:tcPr>
          <w:p w14:paraId="047D7C64" w14:textId="77777777" w:rsidR="00265792" w:rsidRPr="00BA7805" w:rsidRDefault="00265792" w:rsidP="006A78E4">
            <w:pPr>
              <w:pStyle w:val="ARfintablebodyright"/>
              <w:rPr>
                <w:highlight w:val="green"/>
              </w:rPr>
            </w:pPr>
          </w:p>
        </w:tc>
        <w:tc>
          <w:tcPr>
            <w:tcW w:w="1278" w:type="dxa"/>
            <w:tcBorders>
              <w:top w:val="single" w:sz="4" w:space="0" w:color="000000" w:themeColor="text1"/>
              <w:bottom w:val="single" w:sz="4" w:space="0" w:color="A6A6A6" w:themeColor="accent5"/>
            </w:tcBorders>
            <w:noWrap/>
          </w:tcPr>
          <w:p w14:paraId="5D19C146" w14:textId="77777777" w:rsidR="00265792" w:rsidRPr="00BA7805" w:rsidRDefault="00265792" w:rsidP="006A78E4">
            <w:pPr>
              <w:pStyle w:val="ARfintablebodyright"/>
              <w:rPr>
                <w:highlight w:val="green"/>
              </w:rPr>
            </w:pPr>
          </w:p>
        </w:tc>
      </w:tr>
      <w:tr w:rsidR="00265792" w:rsidRPr="00BA7805" w14:paraId="0D472EE4" w14:textId="77777777" w:rsidTr="008D1289">
        <w:tc>
          <w:tcPr>
            <w:tcW w:w="6946" w:type="dxa"/>
            <w:tcBorders>
              <w:top w:val="single" w:sz="4" w:space="0" w:color="A6A6A6" w:themeColor="accent5"/>
            </w:tcBorders>
          </w:tcPr>
          <w:p w14:paraId="057649A3" w14:textId="77777777" w:rsidR="00265792" w:rsidRPr="00BA7805" w:rsidRDefault="00265792" w:rsidP="006A78E4">
            <w:pPr>
              <w:pStyle w:val="ARfintablebody"/>
              <w:rPr>
                <w:highlight w:val="green"/>
              </w:rPr>
            </w:pPr>
            <w:r w:rsidRPr="001449A7">
              <w:t>Less than 1 year</w:t>
            </w:r>
          </w:p>
        </w:tc>
        <w:tc>
          <w:tcPr>
            <w:tcW w:w="1413" w:type="dxa"/>
            <w:tcBorders>
              <w:top w:val="single" w:sz="4" w:space="0" w:color="A6A6A6" w:themeColor="accent5"/>
            </w:tcBorders>
            <w:shd w:val="clear" w:color="auto" w:fill="EEEEEF" w:themeFill="accent4"/>
            <w:noWrap/>
          </w:tcPr>
          <w:p w14:paraId="25F3B56D" w14:textId="77777777" w:rsidR="00265792" w:rsidRPr="00BA7805" w:rsidRDefault="00265792" w:rsidP="006A78E4">
            <w:pPr>
              <w:pStyle w:val="ARfintablebodyright"/>
              <w:rPr>
                <w:highlight w:val="green"/>
              </w:rPr>
            </w:pPr>
            <w:r w:rsidRPr="001449A7">
              <w:t>164.4</w:t>
            </w:r>
          </w:p>
        </w:tc>
        <w:tc>
          <w:tcPr>
            <w:tcW w:w="1278" w:type="dxa"/>
            <w:tcBorders>
              <w:top w:val="single" w:sz="4" w:space="0" w:color="A6A6A6" w:themeColor="accent5"/>
            </w:tcBorders>
            <w:noWrap/>
          </w:tcPr>
          <w:p w14:paraId="1183EDD1" w14:textId="77777777" w:rsidR="00265792" w:rsidRPr="00BA7805" w:rsidRDefault="00265792" w:rsidP="006A78E4">
            <w:pPr>
              <w:pStyle w:val="ARfintablebodyright"/>
              <w:rPr>
                <w:highlight w:val="green"/>
              </w:rPr>
            </w:pPr>
            <w:r w:rsidRPr="001449A7">
              <w:t>170.5</w:t>
            </w:r>
          </w:p>
        </w:tc>
      </w:tr>
      <w:tr w:rsidR="00265792" w:rsidRPr="00BA7805" w14:paraId="6F3B86D6" w14:textId="77777777" w:rsidTr="008D1289">
        <w:tc>
          <w:tcPr>
            <w:tcW w:w="6946" w:type="dxa"/>
            <w:tcBorders>
              <w:bottom w:val="single" w:sz="4" w:space="0" w:color="A6A6A6" w:themeColor="accent5"/>
            </w:tcBorders>
          </w:tcPr>
          <w:p w14:paraId="7EDE8AA2" w14:textId="77777777" w:rsidR="00265792" w:rsidRPr="00BA7805" w:rsidRDefault="00265792" w:rsidP="006A78E4">
            <w:pPr>
              <w:pStyle w:val="ARfintablebody"/>
              <w:rPr>
                <w:highlight w:val="green"/>
              </w:rPr>
            </w:pPr>
            <w:r w:rsidRPr="001449A7">
              <w:t>Longer than 1 year and not longer than 5 years</w:t>
            </w:r>
          </w:p>
        </w:tc>
        <w:tc>
          <w:tcPr>
            <w:tcW w:w="1413" w:type="dxa"/>
            <w:tcBorders>
              <w:bottom w:val="single" w:sz="4" w:space="0" w:color="A6A6A6" w:themeColor="accent5"/>
            </w:tcBorders>
            <w:shd w:val="clear" w:color="auto" w:fill="EEEEEF" w:themeFill="accent4"/>
            <w:noWrap/>
          </w:tcPr>
          <w:p w14:paraId="3A7976B1" w14:textId="77777777" w:rsidR="00265792" w:rsidRPr="00BA7805" w:rsidRDefault="00265792" w:rsidP="006A78E4">
            <w:pPr>
              <w:pStyle w:val="ARfintablebodyright"/>
              <w:rPr>
                <w:highlight w:val="green"/>
              </w:rPr>
            </w:pPr>
            <w:r w:rsidRPr="001449A7">
              <w:t>17.6</w:t>
            </w:r>
          </w:p>
        </w:tc>
        <w:tc>
          <w:tcPr>
            <w:tcW w:w="1278" w:type="dxa"/>
            <w:tcBorders>
              <w:bottom w:val="single" w:sz="4" w:space="0" w:color="A6A6A6" w:themeColor="accent5"/>
            </w:tcBorders>
            <w:noWrap/>
          </w:tcPr>
          <w:p w14:paraId="60CB384B" w14:textId="77777777" w:rsidR="00265792" w:rsidRPr="00BA7805" w:rsidRDefault="00265792" w:rsidP="006A78E4">
            <w:pPr>
              <w:pStyle w:val="ARfintablebodyright"/>
              <w:rPr>
                <w:highlight w:val="green"/>
              </w:rPr>
            </w:pPr>
            <w:r w:rsidRPr="001449A7">
              <w:t>24.5</w:t>
            </w:r>
          </w:p>
        </w:tc>
      </w:tr>
      <w:tr w:rsidR="00265792" w:rsidRPr="00BA7805" w14:paraId="7ABCF385" w14:textId="77777777" w:rsidTr="008D1289">
        <w:tc>
          <w:tcPr>
            <w:tcW w:w="6946" w:type="dxa"/>
            <w:tcBorders>
              <w:top w:val="single" w:sz="4" w:space="0" w:color="A6A6A6" w:themeColor="accent5"/>
              <w:bottom w:val="single" w:sz="4" w:space="0" w:color="000000" w:themeColor="text1"/>
            </w:tcBorders>
          </w:tcPr>
          <w:p w14:paraId="59B0A7AB" w14:textId="77777777" w:rsidR="00265792" w:rsidRPr="00BA7805" w:rsidRDefault="00265792" w:rsidP="006A78E4">
            <w:pPr>
              <w:pStyle w:val="ARfintablebody"/>
              <w:rPr>
                <w:highlight w:val="green"/>
              </w:rPr>
            </w:pPr>
            <w:r w:rsidRPr="001449A7">
              <w:t>Longer than 5 years</w:t>
            </w:r>
          </w:p>
        </w:tc>
        <w:tc>
          <w:tcPr>
            <w:tcW w:w="1413" w:type="dxa"/>
            <w:tcBorders>
              <w:top w:val="single" w:sz="4" w:space="0" w:color="A6A6A6" w:themeColor="accent5"/>
              <w:bottom w:val="single" w:sz="4" w:space="0" w:color="000000" w:themeColor="text1"/>
            </w:tcBorders>
            <w:shd w:val="clear" w:color="auto" w:fill="EEEEEF" w:themeFill="accent4"/>
            <w:noWrap/>
          </w:tcPr>
          <w:p w14:paraId="691D228F" w14:textId="77777777" w:rsidR="00265792" w:rsidRPr="00BA7805" w:rsidRDefault="00265792" w:rsidP="006A78E4">
            <w:pPr>
              <w:pStyle w:val="ARfintablebodyright"/>
              <w:rPr>
                <w:highlight w:val="green"/>
              </w:rPr>
            </w:pPr>
            <w:r>
              <w:t>–</w:t>
            </w:r>
          </w:p>
        </w:tc>
        <w:tc>
          <w:tcPr>
            <w:tcW w:w="1278" w:type="dxa"/>
            <w:tcBorders>
              <w:top w:val="single" w:sz="4" w:space="0" w:color="A6A6A6" w:themeColor="accent5"/>
              <w:bottom w:val="single" w:sz="4" w:space="0" w:color="000000" w:themeColor="text1"/>
            </w:tcBorders>
            <w:noWrap/>
          </w:tcPr>
          <w:p w14:paraId="1DC3C72E" w14:textId="77777777" w:rsidR="00265792" w:rsidRPr="00BA7805" w:rsidRDefault="00265792" w:rsidP="006A78E4">
            <w:pPr>
              <w:pStyle w:val="ARfintablebodyright"/>
              <w:rPr>
                <w:highlight w:val="green"/>
              </w:rPr>
            </w:pPr>
            <w:r>
              <w:t>–</w:t>
            </w:r>
          </w:p>
        </w:tc>
      </w:tr>
      <w:tr w:rsidR="00265792" w:rsidRPr="00BA7805" w14:paraId="76E97F53" w14:textId="77777777" w:rsidTr="008D1289">
        <w:tc>
          <w:tcPr>
            <w:tcW w:w="6946" w:type="dxa"/>
            <w:tcBorders>
              <w:top w:val="single" w:sz="4" w:space="0" w:color="000000" w:themeColor="text1"/>
              <w:bottom w:val="single" w:sz="4" w:space="0" w:color="000000" w:themeColor="text1"/>
            </w:tcBorders>
          </w:tcPr>
          <w:p w14:paraId="3DD71DEB" w14:textId="77777777" w:rsidR="00265792" w:rsidRPr="00BA7805" w:rsidRDefault="00265792" w:rsidP="008D1289">
            <w:pPr>
              <w:pStyle w:val="ARfintablebodybold"/>
              <w:rPr>
                <w:highlight w:val="green"/>
              </w:rPr>
            </w:pPr>
            <w:r w:rsidRPr="001449A7">
              <w:t>Total other operating commitments</w:t>
            </w:r>
          </w:p>
        </w:tc>
        <w:tc>
          <w:tcPr>
            <w:tcW w:w="1413" w:type="dxa"/>
            <w:tcBorders>
              <w:top w:val="single" w:sz="4" w:space="0" w:color="000000" w:themeColor="text1"/>
              <w:bottom w:val="single" w:sz="4" w:space="0" w:color="000000" w:themeColor="text1"/>
            </w:tcBorders>
            <w:shd w:val="clear" w:color="auto" w:fill="EEEEEF" w:themeFill="accent4"/>
            <w:noWrap/>
          </w:tcPr>
          <w:p w14:paraId="00A389BB" w14:textId="77777777" w:rsidR="00265792" w:rsidRPr="00BA7805" w:rsidRDefault="00265792" w:rsidP="008D1289">
            <w:pPr>
              <w:pStyle w:val="ARfintablebodyrightbold"/>
              <w:rPr>
                <w:highlight w:val="green"/>
              </w:rPr>
            </w:pPr>
            <w:r w:rsidRPr="001449A7">
              <w:t>182.0</w:t>
            </w:r>
          </w:p>
        </w:tc>
        <w:tc>
          <w:tcPr>
            <w:tcW w:w="1278" w:type="dxa"/>
            <w:tcBorders>
              <w:top w:val="single" w:sz="4" w:space="0" w:color="000000" w:themeColor="text1"/>
              <w:bottom w:val="single" w:sz="4" w:space="0" w:color="000000" w:themeColor="text1"/>
            </w:tcBorders>
            <w:noWrap/>
          </w:tcPr>
          <w:p w14:paraId="1CE777BE" w14:textId="77777777" w:rsidR="00265792" w:rsidRPr="00BA7805" w:rsidRDefault="00265792" w:rsidP="008D1289">
            <w:pPr>
              <w:pStyle w:val="ARfintablebodyrightbold"/>
              <w:rPr>
                <w:highlight w:val="green"/>
              </w:rPr>
            </w:pPr>
            <w:r w:rsidRPr="001449A7">
              <w:t>195.0</w:t>
            </w:r>
          </w:p>
        </w:tc>
      </w:tr>
      <w:tr w:rsidR="00265792" w:rsidRPr="00BA7805" w14:paraId="7ABA017A" w14:textId="77777777" w:rsidTr="008D1289">
        <w:tc>
          <w:tcPr>
            <w:tcW w:w="6946" w:type="dxa"/>
            <w:tcBorders>
              <w:top w:val="single" w:sz="4" w:space="0" w:color="000000" w:themeColor="text1"/>
              <w:bottom w:val="single" w:sz="4" w:space="0" w:color="A6A6A6" w:themeColor="accent5"/>
            </w:tcBorders>
          </w:tcPr>
          <w:p w14:paraId="76C68D8B" w14:textId="77777777" w:rsidR="00265792" w:rsidRPr="00BA7805" w:rsidRDefault="00265792">
            <w:pPr>
              <w:pStyle w:val="ARfintablebodyboldcoloured"/>
              <w:rPr>
                <w:highlight w:val="green"/>
              </w:rPr>
            </w:pPr>
            <w:r w:rsidRPr="001449A7">
              <w:t>(d) Grant and other expense transfers to NGO</w:t>
            </w:r>
            <w:r>
              <w:t xml:space="preserve"> </w:t>
            </w:r>
            <w:r w:rsidRPr="0073199A">
              <w:rPr>
                <w:vertAlign w:val="superscript"/>
              </w:rPr>
              <w:t>(</w:t>
            </w:r>
            <w:proofErr w:type="spellStart"/>
            <w:r w:rsidRPr="0073199A">
              <w:rPr>
                <w:vertAlign w:val="superscript"/>
              </w:rPr>
              <w:t>i</w:t>
            </w:r>
            <w:proofErr w:type="spellEnd"/>
            <w:r w:rsidRPr="0073199A">
              <w:rPr>
                <w:vertAlign w:val="superscript"/>
              </w:rPr>
              <w:t>)</w:t>
            </w:r>
          </w:p>
        </w:tc>
        <w:tc>
          <w:tcPr>
            <w:tcW w:w="1413" w:type="dxa"/>
            <w:tcBorders>
              <w:top w:val="single" w:sz="4" w:space="0" w:color="000000" w:themeColor="text1"/>
              <w:bottom w:val="single" w:sz="4" w:space="0" w:color="A6A6A6" w:themeColor="accent5"/>
            </w:tcBorders>
            <w:noWrap/>
          </w:tcPr>
          <w:p w14:paraId="3A3115CB" w14:textId="77777777" w:rsidR="00265792" w:rsidRPr="00BA7805" w:rsidRDefault="00265792" w:rsidP="006A78E4">
            <w:pPr>
              <w:pStyle w:val="ARfintablebodyright"/>
              <w:rPr>
                <w:highlight w:val="green"/>
              </w:rPr>
            </w:pPr>
          </w:p>
        </w:tc>
        <w:tc>
          <w:tcPr>
            <w:tcW w:w="1278" w:type="dxa"/>
            <w:tcBorders>
              <w:top w:val="single" w:sz="4" w:space="0" w:color="000000" w:themeColor="text1"/>
              <w:bottom w:val="single" w:sz="4" w:space="0" w:color="A6A6A6" w:themeColor="accent5"/>
            </w:tcBorders>
            <w:noWrap/>
          </w:tcPr>
          <w:p w14:paraId="081DCFD0" w14:textId="77777777" w:rsidR="00265792" w:rsidRPr="00BA7805" w:rsidRDefault="00265792" w:rsidP="006A78E4">
            <w:pPr>
              <w:pStyle w:val="ARfintablebodyright"/>
              <w:rPr>
                <w:highlight w:val="green"/>
              </w:rPr>
            </w:pPr>
          </w:p>
        </w:tc>
      </w:tr>
      <w:tr w:rsidR="00265792" w:rsidRPr="00BA7805" w14:paraId="1B2B8C35" w14:textId="77777777" w:rsidTr="008D1289">
        <w:tc>
          <w:tcPr>
            <w:tcW w:w="6946" w:type="dxa"/>
            <w:tcBorders>
              <w:top w:val="single" w:sz="4" w:space="0" w:color="A6A6A6" w:themeColor="accent5"/>
            </w:tcBorders>
          </w:tcPr>
          <w:p w14:paraId="4CD797E3" w14:textId="77777777" w:rsidR="00265792" w:rsidRPr="00BA7805" w:rsidRDefault="00265792" w:rsidP="006A78E4">
            <w:pPr>
              <w:pStyle w:val="ARfintablebody"/>
              <w:rPr>
                <w:highlight w:val="green"/>
              </w:rPr>
            </w:pPr>
            <w:r w:rsidRPr="001449A7">
              <w:t>Less than 1 year</w:t>
            </w:r>
          </w:p>
        </w:tc>
        <w:tc>
          <w:tcPr>
            <w:tcW w:w="1413" w:type="dxa"/>
            <w:tcBorders>
              <w:top w:val="single" w:sz="4" w:space="0" w:color="A6A6A6" w:themeColor="accent5"/>
            </w:tcBorders>
            <w:shd w:val="clear" w:color="auto" w:fill="EEEEEF" w:themeFill="accent4"/>
            <w:noWrap/>
          </w:tcPr>
          <w:p w14:paraId="05EAAEF8" w14:textId="77777777" w:rsidR="00265792" w:rsidRPr="00BA7805" w:rsidRDefault="00265792" w:rsidP="006A78E4">
            <w:pPr>
              <w:pStyle w:val="ARfintablebodyright"/>
              <w:rPr>
                <w:highlight w:val="green"/>
              </w:rPr>
            </w:pPr>
            <w:r w:rsidRPr="001449A7">
              <w:t>1,108.7</w:t>
            </w:r>
          </w:p>
        </w:tc>
        <w:tc>
          <w:tcPr>
            <w:tcW w:w="1278" w:type="dxa"/>
            <w:tcBorders>
              <w:top w:val="single" w:sz="4" w:space="0" w:color="A6A6A6" w:themeColor="accent5"/>
            </w:tcBorders>
            <w:noWrap/>
          </w:tcPr>
          <w:p w14:paraId="174708DC" w14:textId="77777777" w:rsidR="00265792" w:rsidRPr="00BA7805" w:rsidRDefault="00265792" w:rsidP="006A78E4">
            <w:pPr>
              <w:pStyle w:val="ARfintablebodyright"/>
              <w:rPr>
                <w:highlight w:val="green"/>
              </w:rPr>
            </w:pPr>
            <w:r w:rsidRPr="001449A7">
              <w:t>593.1</w:t>
            </w:r>
          </w:p>
        </w:tc>
      </w:tr>
      <w:tr w:rsidR="00265792" w:rsidRPr="00BA7805" w14:paraId="0AA7CB7F" w14:textId="77777777" w:rsidTr="0073199A">
        <w:tc>
          <w:tcPr>
            <w:tcW w:w="6946" w:type="dxa"/>
            <w:tcBorders>
              <w:bottom w:val="single" w:sz="4" w:space="0" w:color="A6A6A6" w:themeColor="accent5"/>
            </w:tcBorders>
          </w:tcPr>
          <w:p w14:paraId="70AE8E24" w14:textId="77777777" w:rsidR="00265792" w:rsidRPr="00BA7805" w:rsidRDefault="00265792" w:rsidP="006A78E4">
            <w:pPr>
              <w:pStyle w:val="ARfintablebody"/>
              <w:rPr>
                <w:highlight w:val="green"/>
              </w:rPr>
            </w:pPr>
            <w:r w:rsidRPr="001449A7">
              <w:t>Longer than 1 year and not longer than 5 years</w:t>
            </w:r>
          </w:p>
        </w:tc>
        <w:tc>
          <w:tcPr>
            <w:tcW w:w="1413" w:type="dxa"/>
            <w:tcBorders>
              <w:bottom w:val="single" w:sz="4" w:space="0" w:color="A6A6A6" w:themeColor="accent5"/>
            </w:tcBorders>
            <w:shd w:val="clear" w:color="auto" w:fill="EEEEEF" w:themeFill="accent4"/>
            <w:noWrap/>
          </w:tcPr>
          <w:p w14:paraId="738FE074" w14:textId="77777777" w:rsidR="00265792" w:rsidRPr="00BA7805" w:rsidRDefault="00265792" w:rsidP="006A78E4">
            <w:pPr>
              <w:pStyle w:val="ARfintablebodyright"/>
              <w:rPr>
                <w:highlight w:val="green"/>
              </w:rPr>
            </w:pPr>
            <w:r w:rsidRPr="001449A7">
              <w:t>68.6</w:t>
            </w:r>
          </w:p>
        </w:tc>
        <w:tc>
          <w:tcPr>
            <w:tcW w:w="1278" w:type="dxa"/>
            <w:tcBorders>
              <w:bottom w:val="single" w:sz="4" w:space="0" w:color="A6A6A6" w:themeColor="accent5"/>
            </w:tcBorders>
            <w:noWrap/>
          </w:tcPr>
          <w:p w14:paraId="71A2B933" w14:textId="77777777" w:rsidR="00265792" w:rsidRPr="00BA7805" w:rsidRDefault="00265792" w:rsidP="006A78E4">
            <w:pPr>
              <w:pStyle w:val="ARfintablebodyright"/>
              <w:rPr>
                <w:highlight w:val="green"/>
              </w:rPr>
            </w:pPr>
            <w:r w:rsidRPr="001449A7">
              <w:t>67.3</w:t>
            </w:r>
          </w:p>
        </w:tc>
      </w:tr>
      <w:tr w:rsidR="00265792" w:rsidRPr="00BA7805" w14:paraId="10C3C576" w14:textId="77777777" w:rsidTr="0073199A">
        <w:tc>
          <w:tcPr>
            <w:tcW w:w="6946" w:type="dxa"/>
            <w:tcBorders>
              <w:top w:val="single" w:sz="4" w:space="0" w:color="A6A6A6" w:themeColor="accent5"/>
              <w:bottom w:val="single" w:sz="4" w:space="0" w:color="000000" w:themeColor="text1"/>
            </w:tcBorders>
          </w:tcPr>
          <w:p w14:paraId="62368540" w14:textId="77777777" w:rsidR="00265792" w:rsidRPr="00BA7805" w:rsidRDefault="00265792" w:rsidP="006A78E4">
            <w:pPr>
              <w:pStyle w:val="ARfintablebody"/>
              <w:rPr>
                <w:highlight w:val="green"/>
              </w:rPr>
            </w:pPr>
            <w:r w:rsidRPr="001449A7">
              <w:t>Longer than 5 years</w:t>
            </w:r>
          </w:p>
        </w:tc>
        <w:tc>
          <w:tcPr>
            <w:tcW w:w="1413" w:type="dxa"/>
            <w:tcBorders>
              <w:top w:val="single" w:sz="4" w:space="0" w:color="A6A6A6" w:themeColor="accent5"/>
              <w:bottom w:val="single" w:sz="4" w:space="0" w:color="000000" w:themeColor="text1"/>
            </w:tcBorders>
            <w:shd w:val="clear" w:color="auto" w:fill="EEEEEF" w:themeFill="accent4"/>
            <w:noWrap/>
          </w:tcPr>
          <w:p w14:paraId="60A2D857" w14:textId="77777777" w:rsidR="00265792" w:rsidRPr="00BA7805" w:rsidRDefault="00265792" w:rsidP="006A78E4">
            <w:pPr>
              <w:pStyle w:val="ARfintablebodyright"/>
              <w:rPr>
                <w:highlight w:val="green"/>
              </w:rPr>
            </w:pPr>
            <w:r w:rsidRPr="001449A7">
              <w:t>242.3</w:t>
            </w:r>
          </w:p>
        </w:tc>
        <w:tc>
          <w:tcPr>
            <w:tcW w:w="1278" w:type="dxa"/>
            <w:tcBorders>
              <w:top w:val="single" w:sz="4" w:space="0" w:color="A6A6A6" w:themeColor="accent5"/>
              <w:bottom w:val="single" w:sz="4" w:space="0" w:color="000000" w:themeColor="text1"/>
            </w:tcBorders>
            <w:noWrap/>
          </w:tcPr>
          <w:p w14:paraId="6252779E" w14:textId="77777777" w:rsidR="00265792" w:rsidRPr="00BA7805" w:rsidRDefault="00265792" w:rsidP="006A78E4">
            <w:pPr>
              <w:pStyle w:val="ARfintablebodyright"/>
              <w:rPr>
                <w:highlight w:val="green"/>
              </w:rPr>
            </w:pPr>
            <w:r w:rsidRPr="001449A7">
              <w:t>243.5</w:t>
            </w:r>
          </w:p>
        </w:tc>
      </w:tr>
      <w:tr w:rsidR="00265792" w:rsidRPr="00BA7805" w14:paraId="4E709A5D" w14:textId="77777777" w:rsidTr="0073199A">
        <w:tc>
          <w:tcPr>
            <w:tcW w:w="6946" w:type="dxa"/>
            <w:tcBorders>
              <w:top w:val="single" w:sz="4" w:space="0" w:color="000000" w:themeColor="text1"/>
              <w:bottom w:val="single" w:sz="4" w:space="0" w:color="000000" w:themeColor="text1"/>
            </w:tcBorders>
          </w:tcPr>
          <w:p w14:paraId="417B0A45" w14:textId="77777777" w:rsidR="00265792" w:rsidRPr="00BA7805" w:rsidRDefault="00265792" w:rsidP="0073199A">
            <w:pPr>
              <w:pStyle w:val="ARfintablebodybold"/>
              <w:rPr>
                <w:highlight w:val="green"/>
              </w:rPr>
            </w:pPr>
            <w:r w:rsidRPr="001449A7">
              <w:t>Total grant and other expense transfers to NGO</w:t>
            </w:r>
          </w:p>
        </w:tc>
        <w:tc>
          <w:tcPr>
            <w:tcW w:w="1413" w:type="dxa"/>
            <w:tcBorders>
              <w:top w:val="single" w:sz="4" w:space="0" w:color="000000" w:themeColor="text1"/>
              <w:bottom w:val="single" w:sz="4" w:space="0" w:color="000000" w:themeColor="text1"/>
            </w:tcBorders>
            <w:shd w:val="clear" w:color="auto" w:fill="EEEEEF" w:themeFill="accent4"/>
            <w:noWrap/>
          </w:tcPr>
          <w:p w14:paraId="2845E112" w14:textId="77777777" w:rsidR="00265792" w:rsidRPr="00BA7805" w:rsidRDefault="00265792" w:rsidP="0073199A">
            <w:pPr>
              <w:pStyle w:val="ARfintablebodyrightbold"/>
              <w:rPr>
                <w:highlight w:val="green"/>
              </w:rPr>
            </w:pPr>
            <w:r w:rsidRPr="001449A7">
              <w:t>1,419.6</w:t>
            </w:r>
          </w:p>
        </w:tc>
        <w:tc>
          <w:tcPr>
            <w:tcW w:w="1278" w:type="dxa"/>
            <w:tcBorders>
              <w:top w:val="single" w:sz="4" w:space="0" w:color="000000" w:themeColor="text1"/>
              <w:bottom w:val="single" w:sz="4" w:space="0" w:color="000000" w:themeColor="text1"/>
            </w:tcBorders>
            <w:noWrap/>
          </w:tcPr>
          <w:p w14:paraId="1BD82783" w14:textId="77777777" w:rsidR="00265792" w:rsidRPr="00BA7805" w:rsidRDefault="00265792" w:rsidP="0073199A">
            <w:pPr>
              <w:pStyle w:val="ARfintablebodyrightbold"/>
              <w:rPr>
                <w:highlight w:val="green"/>
              </w:rPr>
            </w:pPr>
            <w:r w:rsidRPr="001449A7">
              <w:t>903.9</w:t>
            </w:r>
          </w:p>
        </w:tc>
      </w:tr>
      <w:tr w:rsidR="00265792" w:rsidRPr="00BA7805" w14:paraId="26DAFE19" w14:textId="77777777" w:rsidTr="0073199A">
        <w:tc>
          <w:tcPr>
            <w:tcW w:w="6946" w:type="dxa"/>
            <w:tcBorders>
              <w:top w:val="single" w:sz="4" w:space="0" w:color="000000" w:themeColor="text1"/>
              <w:bottom w:val="single" w:sz="4" w:space="0" w:color="000000" w:themeColor="text1"/>
            </w:tcBorders>
          </w:tcPr>
          <w:p w14:paraId="50DED074" w14:textId="77777777" w:rsidR="00265792" w:rsidRPr="00BA7805" w:rsidRDefault="00265792" w:rsidP="008D1289">
            <w:pPr>
              <w:pStyle w:val="ARfintablebodybold"/>
              <w:rPr>
                <w:highlight w:val="green"/>
              </w:rPr>
            </w:pPr>
            <w:r w:rsidRPr="001449A7">
              <w:t>Total commitments other than SCA commitments</w:t>
            </w:r>
          </w:p>
        </w:tc>
        <w:tc>
          <w:tcPr>
            <w:tcW w:w="1413" w:type="dxa"/>
            <w:tcBorders>
              <w:top w:val="single" w:sz="4" w:space="0" w:color="000000" w:themeColor="text1"/>
              <w:bottom w:val="single" w:sz="4" w:space="0" w:color="000000" w:themeColor="text1"/>
            </w:tcBorders>
            <w:shd w:val="clear" w:color="auto" w:fill="EEEEEF" w:themeFill="accent4"/>
            <w:noWrap/>
          </w:tcPr>
          <w:p w14:paraId="0EEFD6D9" w14:textId="77777777" w:rsidR="00265792" w:rsidRPr="00BA7805" w:rsidRDefault="00265792" w:rsidP="008D1289">
            <w:pPr>
              <w:pStyle w:val="ARfintablebodyrightbold"/>
              <w:rPr>
                <w:highlight w:val="green"/>
              </w:rPr>
            </w:pPr>
            <w:r w:rsidRPr="001449A7">
              <w:t>1,946.3</w:t>
            </w:r>
          </w:p>
        </w:tc>
        <w:tc>
          <w:tcPr>
            <w:tcW w:w="1278" w:type="dxa"/>
            <w:tcBorders>
              <w:top w:val="single" w:sz="4" w:space="0" w:color="000000" w:themeColor="text1"/>
              <w:bottom w:val="single" w:sz="4" w:space="0" w:color="000000" w:themeColor="text1"/>
            </w:tcBorders>
            <w:noWrap/>
          </w:tcPr>
          <w:p w14:paraId="2211FB1B" w14:textId="77777777" w:rsidR="00265792" w:rsidRPr="00BA7805" w:rsidRDefault="00265792" w:rsidP="008D1289">
            <w:pPr>
              <w:pStyle w:val="ARfintablebodyrightbold"/>
              <w:rPr>
                <w:highlight w:val="green"/>
              </w:rPr>
            </w:pPr>
            <w:r w:rsidRPr="001449A7">
              <w:t>1,433.2</w:t>
            </w:r>
          </w:p>
        </w:tc>
      </w:tr>
      <w:tr w:rsidR="00265792" w:rsidRPr="00BA7805" w14:paraId="2B21BA28" w14:textId="77777777" w:rsidTr="0073199A">
        <w:tc>
          <w:tcPr>
            <w:tcW w:w="6946" w:type="dxa"/>
            <w:tcBorders>
              <w:top w:val="single" w:sz="4" w:space="0" w:color="000000" w:themeColor="text1"/>
              <w:bottom w:val="single" w:sz="4" w:space="0" w:color="000000" w:themeColor="text1"/>
            </w:tcBorders>
          </w:tcPr>
          <w:p w14:paraId="3A52BCE7" w14:textId="77777777" w:rsidR="00265792" w:rsidRPr="00BA7805" w:rsidRDefault="00265792">
            <w:pPr>
              <w:pStyle w:val="ARfintablebodyboldcoloured"/>
              <w:rPr>
                <w:highlight w:val="green"/>
              </w:rPr>
            </w:pPr>
            <w:r w:rsidRPr="00222084">
              <w:t xml:space="preserve">(e) SCA commitments </w:t>
            </w:r>
            <w:r w:rsidRPr="0073199A">
              <w:rPr>
                <w:vertAlign w:val="superscript"/>
              </w:rPr>
              <w:t>(ii)</w:t>
            </w:r>
          </w:p>
        </w:tc>
        <w:tc>
          <w:tcPr>
            <w:tcW w:w="1413" w:type="dxa"/>
            <w:tcBorders>
              <w:top w:val="single" w:sz="4" w:space="0" w:color="000000" w:themeColor="text1"/>
              <w:bottom w:val="single" w:sz="4" w:space="0" w:color="000000" w:themeColor="text1"/>
            </w:tcBorders>
            <w:noWrap/>
          </w:tcPr>
          <w:p w14:paraId="1325D020" w14:textId="77777777" w:rsidR="00265792" w:rsidRPr="00BA7805" w:rsidRDefault="00265792" w:rsidP="0087069E">
            <w:pPr>
              <w:pStyle w:val="ARfintablebodyright"/>
              <w:rPr>
                <w:highlight w:val="green"/>
              </w:rPr>
            </w:pPr>
          </w:p>
        </w:tc>
        <w:tc>
          <w:tcPr>
            <w:tcW w:w="1278" w:type="dxa"/>
            <w:tcBorders>
              <w:top w:val="single" w:sz="4" w:space="0" w:color="000000" w:themeColor="text1"/>
              <w:bottom w:val="single" w:sz="4" w:space="0" w:color="000000" w:themeColor="text1"/>
            </w:tcBorders>
            <w:noWrap/>
          </w:tcPr>
          <w:p w14:paraId="2CAE05D0" w14:textId="77777777" w:rsidR="00265792" w:rsidRPr="00BA7805" w:rsidRDefault="00265792" w:rsidP="0087069E">
            <w:pPr>
              <w:pStyle w:val="ARfintablebodyright"/>
              <w:rPr>
                <w:highlight w:val="green"/>
              </w:rPr>
            </w:pPr>
          </w:p>
        </w:tc>
      </w:tr>
      <w:tr w:rsidR="00265792" w:rsidRPr="00BA7805" w14:paraId="59BA9FAD" w14:textId="77777777" w:rsidTr="0073199A">
        <w:tc>
          <w:tcPr>
            <w:tcW w:w="6946" w:type="dxa"/>
            <w:tcBorders>
              <w:top w:val="single" w:sz="4" w:space="0" w:color="000000" w:themeColor="text1"/>
              <w:bottom w:val="single" w:sz="4" w:space="0" w:color="A6A6A6" w:themeColor="accent5"/>
            </w:tcBorders>
          </w:tcPr>
          <w:p w14:paraId="47EF4FD8" w14:textId="77777777" w:rsidR="00265792" w:rsidRPr="00BA7805" w:rsidRDefault="00265792" w:rsidP="0073199A">
            <w:pPr>
              <w:pStyle w:val="ARfintablebodybold"/>
              <w:rPr>
                <w:highlight w:val="green"/>
              </w:rPr>
            </w:pPr>
            <w:r w:rsidRPr="00222084">
              <w:t xml:space="preserve">Ground Lease Model 1 </w:t>
            </w:r>
            <w:r>
              <w:t>–</w:t>
            </w:r>
            <w:r w:rsidRPr="00222084">
              <w:t xml:space="preserve"> Public Housing Renewal Program</w:t>
            </w:r>
          </w:p>
        </w:tc>
        <w:tc>
          <w:tcPr>
            <w:tcW w:w="1413" w:type="dxa"/>
            <w:tcBorders>
              <w:top w:val="single" w:sz="4" w:space="0" w:color="000000" w:themeColor="text1"/>
              <w:bottom w:val="single" w:sz="4" w:space="0" w:color="A6A6A6" w:themeColor="accent5"/>
            </w:tcBorders>
            <w:noWrap/>
          </w:tcPr>
          <w:p w14:paraId="42D6FDF7" w14:textId="77777777" w:rsidR="00265792" w:rsidRPr="00BA7805" w:rsidRDefault="00265792" w:rsidP="0087069E">
            <w:pPr>
              <w:pStyle w:val="ARfintablebodyright"/>
              <w:rPr>
                <w:highlight w:val="green"/>
              </w:rPr>
            </w:pPr>
          </w:p>
        </w:tc>
        <w:tc>
          <w:tcPr>
            <w:tcW w:w="1278" w:type="dxa"/>
            <w:tcBorders>
              <w:top w:val="single" w:sz="4" w:space="0" w:color="000000" w:themeColor="text1"/>
              <w:bottom w:val="single" w:sz="4" w:space="0" w:color="A6A6A6" w:themeColor="accent5"/>
            </w:tcBorders>
            <w:noWrap/>
          </w:tcPr>
          <w:p w14:paraId="4CD9C72B" w14:textId="77777777" w:rsidR="00265792" w:rsidRPr="00BA7805" w:rsidRDefault="00265792" w:rsidP="0087069E">
            <w:pPr>
              <w:pStyle w:val="ARfintablebodyright"/>
              <w:rPr>
                <w:highlight w:val="green"/>
              </w:rPr>
            </w:pPr>
          </w:p>
        </w:tc>
      </w:tr>
      <w:tr w:rsidR="00265792" w:rsidRPr="00BA7805" w14:paraId="3D3A196C" w14:textId="77777777" w:rsidTr="0073199A">
        <w:tc>
          <w:tcPr>
            <w:tcW w:w="6946" w:type="dxa"/>
            <w:tcBorders>
              <w:top w:val="single" w:sz="4" w:space="0" w:color="A6A6A6" w:themeColor="accent5"/>
            </w:tcBorders>
          </w:tcPr>
          <w:p w14:paraId="678C8EA1" w14:textId="77777777" w:rsidR="00265792" w:rsidRPr="00BA7805" w:rsidRDefault="00265792" w:rsidP="0087069E">
            <w:pPr>
              <w:pStyle w:val="ARfintablebody"/>
              <w:rPr>
                <w:highlight w:val="green"/>
              </w:rPr>
            </w:pPr>
            <w:r w:rsidRPr="00222084">
              <w:t>Less than 1 year</w:t>
            </w:r>
          </w:p>
        </w:tc>
        <w:tc>
          <w:tcPr>
            <w:tcW w:w="1413" w:type="dxa"/>
            <w:tcBorders>
              <w:top w:val="single" w:sz="4" w:space="0" w:color="A6A6A6" w:themeColor="accent5"/>
            </w:tcBorders>
            <w:shd w:val="clear" w:color="auto" w:fill="EEEEEF" w:themeFill="accent4"/>
            <w:noWrap/>
          </w:tcPr>
          <w:p w14:paraId="1648AE14" w14:textId="77777777" w:rsidR="00265792" w:rsidRPr="00BA7805" w:rsidRDefault="00265792" w:rsidP="0087069E">
            <w:pPr>
              <w:pStyle w:val="ARfintablebodyright"/>
              <w:rPr>
                <w:highlight w:val="green"/>
              </w:rPr>
            </w:pPr>
            <w:r w:rsidRPr="00222084">
              <w:t>0.3</w:t>
            </w:r>
          </w:p>
        </w:tc>
        <w:tc>
          <w:tcPr>
            <w:tcW w:w="1278" w:type="dxa"/>
            <w:tcBorders>
              <w:top w:val="single" w:sz="4" w:space="0" w:color="A6A6A6" w:themeColor="accent5"/>
            </w:tcBorders>
            <w:noWrap/>
          </w:tcPr>
          <w:p w14:paraId="7D4AE4D7" w14:textId="77777777" w:rsidR="00265792" w:rsidRPr="00BA7805" w:rsidRDefault="00265792" w:rsidP="0087069E">
            <w:pPr>
              <w:pStyle w:val="ARfintablebodyright"/>
              <w:rPr>
                <w:highlight w:val="green"/>
              </w:rPr>
            </w:pPr>
            <w:r w:rsidRPr="00222084">
              <w:t>0.3</w:t>
            </w:r>
          </w:p>
        </w:tc>
      </w:tr>
      <w:tr w:rsidR="00265792" w:rsidRPr="00BA7805" w14:paraId="1F9DBDEB" w14:textId="77777777" w:rsidTr="00D72055">
        <w:tc>
          <w:tcPr>
            <w:tcW w:w="6946" w:type="dxa"/>
            <w:tcBorders>
              <w:bottom w:val="single" w:sz="4" w:space="0" w:color="A6A6A6" w:themeColor="accent5"/>
            </w:tcBorders>
          </w:tcPr>
          <w:p w14:paraId="78EE0DE3" w14:textId="77777777" w:rsidR="00265792" w:rsidRPr="00BA7805" w:rsidRDefault="00265792" w:rsidP="0087069E">
            <w:pPr>
              <w:pStyle w:val="ARfintablebody"/>
              <w:rPr>
                <w:highlight w:val="green"/>
              </w:rPr>
            </w:pPr>
            <w:r w:rsidRPr="00222084">
              <w:t>Longer than 1 year and not longer than 5 years</w:t>
            </w:r>
          </w:p>
        </w:tc>
        <w:tc>
          <w:tcPr>
            <w:tcW w:w="1413" w:type="dxa"/>
            <w:tcBorders>
              <w:bottom w:val="single" w:sz="4" w:space="0" w:color="A6A6A6" w:themeColor="accent5"/>
            </w:tcBorders>
            <w:shd w:val="clear" w:color="auto" w:fill="EEEEEF" w:themeFill="accent4"/>
            <w:noWrap/>
          </w:tcPr>
          <w:p w14:paraId="5F97AC82" w14:textId="77777777" w:rsidR="00265792" w:rsidRPr="00BA7805" w:rsidRDefault="00265792" w:rsidP="0087069E">
            <w:pPr>
              <w:pStyle w:val="ARfintablebodyright"/>
              <w:rPr>
                <w:highlight w:val="green"/>
              </w:rPr>
            </w:pPr>
            <w:r w:rsidRPr="00222084">
              <w:t>1.2</w:t>
            </w:r>
          </w:p>
        </w:tc>
        <w:tc>
          <w:tcPr>
            <w:tcW w:w="1278" w:type="dxa"/>
            <w:tcBorders>
              <w:bottom w:val="single" w:sz="4" w:space="0" w:color="A6A6A6" w:themeColor="accent5"/>
            </w:tcBorders>
            <w:noWrap/>
          </w:tcPr>
          <w:p w14:paraId="58C1D88F" w14:textId="77777777" w:rsidR="00265792" w:rsidRPr="00BA7805" w:rsidRDefault="00265792" w:rsidP="0087069E">
            <w:pPr>
              <w:pStyle w:val="ARfintablebodyright"/>
              <w:rPr>
                <w:highlight w:val="green"/>
              </w:rPr>
            </w:pPr>
            <w:r w:rsidRPr="00222084">
              <w:t>1.2</w:t>
            </w:r>
          </w:p>
        </w:tc>
      </w:tr>
      <w:tr w:rsidR="00265792" w:rsidRPr="00BA7805" w14:paraId="10D32BDB" w14:textId="77777777" w:rsidTr="00D72055">
        <w:tc>
          <w:tcPr>
            <w:tcW w:w="6946" w:type="dxa"/>
            <w:tcBorders>
              <w:top w:val="single" w:sz="4" w:space="0" w:color="A6A6A6" w:themeColor="accent5"/>
              <w:bottom w:val="single" w:sz="4" w:space="0" w:color="000000" w:themeColor="text1"/>
            </w:tcBorders>
          </w:tcPr>
          <w:p w14:paraId="018B9D4B" w14:textId="77777777" w:rsidR="00265792" w:rsidRPr="00BA7805" w:rsidRDefault="00265792" w:rsidP="0087069E">
            <w:pPr>
              <w:pStyle w:val="ARfintablebody"/>
              <w:rPr>
                <w:highlight w:val="green"/>
              </w:rPr>
            </w:pPr>
            <w:r w:rsidRPr="00222084">
              <w:t>Longer than 5 years</w:t>
            </w:r>
          </w:p>
        </w:tc>
        <w:tc>
          <w:tcPr>
            <w:tcW w:w="1413" w:type="dxa"/>
            <w:tcBorders>
              <w:top w:val="single" w:sz="4" w:space="0" w:color="A6A6A6" w:themeColor="accent5"/>
              <w:bottom w:val="single" w:sz="4" w:space="0" w:color="000000" w:themeColor="text1"/>
            </w:tcBorders>
            <w:shd w:val="clear" w:color="auto" w:fill="EEEEEF" w:themeFill="accent4"/>
            <w:noWrap/>
          </w:tcPr>
          <w:p w14:paraId="641DED35" w14:textId="77777777" w:rsidR="00265792" w:rsidRPr="00BA7805" w:rsidRDefault="00265792" w:rsidP="0087069E">
            <w:pPr>
              <w:pStyle w:val="ARfintablebodyright"/>
              <w:rPr>
                <w:highlight w:val="green"/>
              </w:rPr>
            </w:pPr>
            <w:r w:rsidRPr="00222084">
              <w:t>140.0</w:t>
            </w:r>
          </w:p>
        </w:tc>
        <w:tc>
          <w:tcPr>
            <w:tcW w:w="1278" w:type="dxa"/>
            <w:tcBorders>
              <w:top w:val="single" w:sz="4" w:space="0" w:color="A6A6A6" w:themeColor="accent5"/>
              <w:bottom w:val="single" w:sz="4" w:space="0" w:color="000000" w:themeColor="text1"/>
            </w:tcBorders>
            <w:noWrap/>
          </w:tcPr>
          <w:p w14:paraId="6B21F57A" w14:textId="77777777" w:rsidR="00265792" w:rsidRPr="00BA7805" w:rsidRDefault="00265792" w:rsidP="0087069E">
            <w:pPr>
              <w:pStyle w:val="ARfintablebodyright"/>
              <w:rPr>
                <w:highlight w:val="green"/>
              </w:rPr>
            </w:pPr>
            <w:r w:rsidRPr="00222084">
              <w:t>140.3</w:t>
            </w:r>
          </w:p>
        </w:tc>
      </w:tr>
      <w:tr w:rsidR="00265792" w:rsidRPr="00BA7805" w14:paraId="25A76941" w14:textId="77777777" w:rsidTr="00D72055">
        <w:tc>
          <w:tcPr>
            <w:tcW w:w="6946" w:type="dxa"/>
            <w:tcBorders>
              <w:top w:val="single" w:sz="4" w:space="0" w:color="000000" w:themeColor="text1"/>
              <w:bottom w:val="single" w:sz="4" w:space="0" w:color="000000" w:themeColor="text1"/>
            </w:tcBorders>
          </w:tcPr>
          <w:p w14:paraId="10461EA5" w14:textId="77777777" w:rsidR="00265792" w:rsidRPr="00BA7805" w:rsidRDefault="00265792" w:rsidP="00D72055">
            <w:pPr>
              <w:pStyle w:val="ARfintablebodybold"/>
              <w:rPr>
                <w:highlight w:val="green"/>
              </w:rPr>
            </w:pPr>
            <w:r w:rsidRPr="00222084">
              <w:t xml:space="preserve">Total Ground Lease Model 1 </w:t>
            </w:r>
            <w:r>
              <w:t>–</w:t>
            </w:r>
            <w:r w:rsidRPr="00222084">
              <w:t xml:space="preserve"> Public Housing Renewal Program commitments</w:t>
            </w:r>
          </w:p>
        </w:tc>
        <w:tc>
          <w:tcPr>
            <w:tcW w:w="1413" w:type="dxa"/>
            <w:tcBorders>
              <w:top w:val="single" w:sz="4" w:space="0" w:color="000000" w:themeColor="text1"/>
              <w:bottom w:val="single" w:sz="4" w:space="0" w:color="000000" w:themeColor="text1"/>
            </w:tcBorders>
            <w:shd w:val="clear" w:color="auto" w:fill="EEEEEF" w:themeFill="accent4"/>
            <w:noWrap/>
          </w:tcPr>
          <w:p w14:paraId="6D124840" w14:textId="77777777" w:rsidR="00265792" w:rsidRPr="00BA7805" w:rsidRDefault="00265792" w:rsidP="00D72055">
            <w:pPr>
              <w:pStyle w:val="ARfintablebodyrightbold"/>
              <w:rPr>
                <w:highlight w:val="green"/>
              </w:rPr>
            </w:pPr>
            <w:r w:rsidRPr="00222084">
              <w:t>141.5</w:t>
            </w:r>
          </w:p>
        </w:tc>
        <w:tc>
          <w:tcPr>
            <w:tcW w:w="1278" w:type="dxa"/>
            <w:tcBorders>
              <w:top w:val="single" w:sz="4" w:space="0" w:color="000000" w:themeColor="text1"/>
              <w:bottom w:val="single" w:sz="4" w:space="0" w:color="000000" w:themeColor="text1"/>
            </w:tcBorders>
            <w:noWrap/>
          </w:tcPr>
          <w:p w14:paraId="716AB4CF" w14:textId="77777777" w:rsidR="00265792" w:rsidRPr="00BA7805" w:rsidRDefault="00265792" w:rsidP="00D72055">
            <w:pPr>
              <w:pStyle w:val="ARfintablebodyrightbold"/>
              <w:rPr>
                <w:highlight w:val="green"/>
              </w:rPr>
            </w:pPr>
            <w:r w:rsidRPr="00222084">
              <w:t>141.8</w:t>
            </w:r>
          </w:p>
        </w:tc>
      </w:tr>
      <w:tr w:rsidR="00265792" w:rsidRPr="00BA7805" w14:paraId="37D46E41" w14:textId="77777777" w:rsidTr="0073199A">
        <w:tc>
          <w:tcPr>
            <w:tcW w:w="6946" w:type="dxa"/>
            <w:tcBorders>
              <w:top w:val="single" w:sz="4" w:space="0" w:color="000000" w:themeColor="text1"/>
              <w:bottom w:val="single" w:sz="4" w:space="0" w:color="A6A6A6" w:themeColor="accent5"/>
            </w:tcBorders>
          </w:tcPr>
          <w:p w14:paraId="227DA66D" w14:textId="77777777" w:rsidR="00265792" w:rsidRPr="00FA2C43" w:rsidRDefault="00265792" w:rsidP="00E651F6">
            <w:pPr>
              <w:pStyle w:val="ARfintablebodybold"/>
              <w:rPr>
                <w:highlight w:val="green"/>
              </w:rPr>
            </w:pPr>
            <w:r w:rsidRPr="00222084">
              <w:t>Ground Lease Model 2</w:t>
            </w:r>
          </w:p>
        </w:tc>
        <w:tc>
          <w:tcPr>
            <w:tcW w:w="1413" w:type="dxa"/>
            <w:tcBorders>
              <w:top w:val="single" w:sz="4" w:space="0" w:color="000000" w:themeColor="text1"/>
              <w:bottom w:val="single" w:sz="4" w:space="0" w:color="A6A6A6" w:themeColor="accent5"/>
            </w:tcBorders>
            <w:noWrap/>
          </w:tcPr>
          <w:p w14:paraId="496665D6" w14:textId="77777777" w:rsidR="00265792" w:rsidRPr="00FA2C43" w:rsidRDefault="00265792" w:rsidP="0087069E">
            <w:pPr>
              <w:pStyle w:val="ARfintablebodyright"/>
              <w:rPr>
                <w:highlight w:val="green"/>
              </w:rPr>
            </w:pPr>
          </w:p>
        </w:tc>
        <w:tc>
          <w:tcPr>
            <w:tcW w:w="1278" w:type="dxa"/>
            <w:tcBorders>
              <w:top w:val="single" w:sz="4" w:space="0" w:color="000000" w:themeColor="text1"/>
              <w:bottom w:val="single" w:sz="4" w:space="0" w:color="A6A6A6" w:themeColor="accent5"/>
            </w:tcBorders>
            <w:noWrap/>
          </w:tcPr>
          <w:p w14:paraId="785D8C18" w14:textId="77777777" w:rsidR="00265792" w:rsidRPr="00FA2C43" w:rsidRDefault="00265792" w:rsidP="0087069E">
            <w:pPr>
              <w:pStyle w:val="ARfintablebodyright"/>
              <w:rPr>
                <w:b/>
                <w:highlight w:val="green"/>
              </w:rPr>
            </w:pPr>
          </w:p>
        </w:tc>
      </w:tr>
      <w:tr w:rsidR="00265792" w:rsidRPr="00BA7805" w14:paraId="1C0637AE" w14:textId="77777777" w:rsidTr="00D72055">
        <w:tc>
          <w:tcPr>
            <w:tcW w:w="6946" w:type="dxa"/>
            <w:tcBorders>
              <w:top w:val="single" w:sz="4" w:space="0" w:color="A6A6A6" w:themeColor="accent5"/>
            </w:tcBorders>
          </w:tcPr>
          <w:p w14:paraId="6B967F10" w14:textId="77777777" w:rsidR="00265792" w:rsidRPr="00BA7805" w:rsidRDefault="00265792" w:rsidP="0087069E">
            <w:pPr>
              <w:pStyle w:val="ARfintablebody"/>
              <w:rPr>
                <w:highlight w:val="green"/>
              </w:rPr>
            </w:pPr>
            <w:r w:rsidRPr="00222084">
              <w:t>Less than 1 year</w:t>
            </w:r>
          </w:p>
        </w:tc>
        <w:tc>
          <w:tcPr>
            <w:tcW w:w="1413" w:type="dxa"/>
            <w:tcBorders>
              <w:top w:val="single" w:sz="4" w:space="0" w:color="A6A6A6" w:themeColor="accent5"/>
            </w:tcBorders>
            <w:shd w:val="clear" w:color="auto" w:fill="EEEEEF" w:themeFill="accent4"/>
            <w:noWrap/>
          </w:tcPr>
          <w:p w14:paraId="079585A6" w14:textId="77777777" w:rsidR="00265792" w:rsidRPr="00BA7805" w:rsidRDefault="00265792" w:rsidP="0087069E">
            <w:pPr>
              <w:pStyle w:val="ARfintablebodyright"/>
              <w:rPr>
                <w:highlight w:val="green"/>
              </w:rPr>
            </w:pPr>
            <w:r>
              <w:t>–</w:t>
            </w:r>
          </w:p>
        </w:tc>
        <w:tc>
          <w:tcPr>
            <w:tcW w:w="1278" w:type="dxa"/>
            <w:tcBorders>
              <w:top w:val="single" w:sz="4" w:space="0" w:color="A6A6A6" w:themeColor="accent5"/>
            </w:tcBorders>
            <w:noWrap/>
          </w:tcPr>
          <w:p w14:paraId="0E34D619" w14:textId="77777777" w:rsidR="00265792" w:rsidRPr="00BA7805" w:rsidRDefault="00265792" w:rsidP="0087069E">
            <w:pPr>
              <w:pStyle w:val="ARfintablebodyright"/>
              <w:rPr>
                <w:highlight w:val="green"/>
              </w:rPr>
            </w:pPr>
            <w:r>
              <w:t>–</w:t>
            </w:r>
          </w:p>
        </w:tc>
      </w:tr>
      <w:tr w:rsidR="00265792" w:rsidRPr="00BA7805" w14:paraId="35FB6880" w14:textId="77777777" w:rsidTr="00E651F6">
        <w:tc>
          <w:tcPr>
            <w:tcW w:w="6946" w:type="dxa"/>
            <w:tcBorders>
              <w:bottom w:val="single" w:sz="4" w:space="0" w:color="A6A6A6" w:themeColor="accent5"/>
            </w:tcBorders>
          </w:tcPr>
          <w:p w14:paraId="3592C356" w14:textId="77777777" w:rsidR="00265792" w:rsidRPr="001F08B4" w:rsidRDefault="00265792" w:rsidP="0087069E">
            <w:pPr>
              <w:pStyle w:val="ARfintablebody"/>
              <w:rPr>
                <w:highlight w:val="green"/>
              </w:rPr>
            </w:pPr>
            <w:r w:rsidRPr="00222084">
              <w:t>Longer than 1 year and not longer than 5 years</w:t>
            </w:r>
          </w:p>
        </w:tc>
        <w:tc>
          <w:tcPr>
            <w:tcW w:w="1413" w:type="dxa"/>
            <w:tcBorders>
              <w:bottom w:val="single" w:sz="4" w:space="0" w:color="A6A6A6" w:themeColor="accent5"/>
            </w:tcBorders>
            <w:shd w:val="clear" w:color="auto" w:fill="EEEEEF" w:themeFill="accent4"/>
            <w:noWrap/>
          </w:tcPr>
          <w:p w14:paraId="5A5C8BC3" w14:textId="77777777" w:rsidR="00265792" w:rsidRPr="00BA7805" w:rsidRDefault="00265792" w:rsidP="0087069E">
            <w:pPr>
              <w:pStyle w:val="ARfintablebodyright"/>
              <w:rPr>
                <w:highlight w:val="green"/>
              </w:rPr>
            </w:pPr>
            <w:r w:rsidRPr="00222084">
              <w:t>172.1</w:t>
            </w:r>
          </w:p>
        </w:tc>
        <w:tc>
          <w:tcPr>
            <w:tcW w:w="1278" w:type="dxa"/>
            <w:tcBorders>
              <w:bottom w:val="single" w:sz="4" w:space="0" w:color="A6A6A6" w:themeColor="accent5"/>
            </w:tcBorders>
            <w:noWrap/>
          </w:tcPr>
          <w:p w14:paraId="2B6AA9A8" w14:textId="77777777" w:rsidR="00265792" w:rsidRPr="00BA7805" w:rsidRDefault="00265792" w:rsidP="0087069E">
            <w:pPr>
              <w:pStyle w:val="ARfintablebodyright"/>
              <w:rPr>
                <w:highlight w:val="green"/>
              </w:rPr>
            </w:pPr>
            <w:r w:rsidRPr="00222084">
              <w:t>305.9</w:t>
            </w:r>
          </w:p>
        </w:tc>
      </w:tr>
      <w:tr w:rsidR="00265792" w:rsidRPr="00BA7805" w14:paraId="04183D28" w14:textId="77777777" w:rsidTr="00E651F6">
        <w:tc>
          <w:tcPr>
            <w:tcW w:w="6946" w:type="dxa"/>
            <w:tcBorders>
              <w:top w:val="single" w:sz="4" w:space="0" w:color="A6A6A6" w:themeColor="accent5"/>
              <w:bottom w:val="single" w:sz="4" w:space="0" w:color="000000" w:themeColor="text1"/>
            </w:tcBorders>
          </w:tcPr>
          <w:p w14:paraId="08E4C182" w14:textId="77777777" w:rsidR="00265792" w:rsidRPr="00BA7805" w:rsidRDefault="00265792" w:rsidP="0087069E">
            <w:pPr>
              <w:pStyle w:val="ARfintablebody"/>
              <w:rPr>
                <w:highlight w:val="green"/>
              </w:rPr>
            </w:pPr>
            <w:r w:rsidRPr="00222084">
              <w:t>Longer than 5 years</w:t>
            </w:r>
          </w:p>
        </w:tc>
        <w:tc>
          <w:tcPr>
            <w:tcW w:w="1413" w:type="dxa"/>
            <w:tcBorders>
              <w:top w:val="single" w:sz="4" w:space="0" w:color="A6A6A6" w:themeColor="accent5"/>
              <w:bottom w:val="single" w:sz="4" w:space="0" w:color="000000" w:themeColor="text1"/>
            </w:tcBorders>
            <w:shd w:val="clear" w:color="auto" w:fill="EEEEEF" w:themeFill="accent4"/>
            <w:noWrap/>
          </w:tcPr>
          <w:p w14:paraId="4AE044E2" w14:textId="77777777" w:rsidR="00265792" w:rsidRPr="00BA7805" w:rsidRDefault="00265792" w:rsidP="0087069E">
            <w:pPr>
              <w:pStyle w:val="ARfintablebodyright"/>
              <w:rPr>
                <w:highlight w:val="green"/>
              </w:rPr>
            </w:pPr>
            <w:r w:rsidRPr="00222084">
              <w:t>1,543.3</w:t>
            </w:r>
          </w:p>
        </w:tc>
        <w:tc>
          <w:tcPr>
            <w:tcW w:w="1278" w:type="dxa"/>
            <w:tcBorders>
              <w:top w:val="single" w:sz="4" w:space="0" w:color="A6A6A6" w:themeColor="accent5"/>
              <w:bottom w:val="single" w:sz="4" w:space="0" w:color="000000" w:themeColor="text1"/>
            </w:tcBorders>
            <w:noWrap/>
          </w:tcPr>
          <w:p w14:paraId="18BF75D5" w14:textId="77777777" w:rsidR="00265792" w:rsidRPr="00BA7805" w:rsidRDefault="00265792" w:rsidP="0087069E">
            <w:pPr>
              <w:pStyle w:val="ARfintablebodyright"/>
              <w:rPr>
                <w:highlight w:val="green"/>
              </w:rPr>
            </w:pPr>
            <w:r w:rsidRPr="00222084">
              <w:t>1,589.5</w:t>
            </w:r>
          </w:p>
        </w:tc>
      </w:tr>
      <w:tr w:rsidR="00265792" w:rsidRPr="00BA7805" w14:paraId="3D605EC5" w14:textId="77777777" w:rsidTr="00E651F6">
        <w:tc>
          <w:tcPr>
            <w:tcW w:w="6946" w:type="dxa"/>
            <w:tcBorders>
              <w:top w:val="single" w:sz="4" w:space="0" w:color="000000" w:themeColor="text1"/>
              <w:bottom w:val="single" w:sz="4" w:space="0" w:color="000000" w:themeColor="text1"/>
            </w:tcBorders>
          </w:tcPr>
          <w:p w14:paraId="30EED3AA" w14:textId="77777777" w:rsidR="00265792" w:rsidRPr="00BA7805" w:rsidRDefault="00265792" w:rsidP="00E651F6">
            <w:pPr>
              <w:pStyle w:val="ARfintablebodybold"/>
              <w:rPr>
                <w:highlight w:val="green"/>
              </w:rPr>
            </w:pPr>
            <w:r w:rsidRPr="00222084">
              <w:t>Total Ground Lease Model 2</w:t>
            </w:r>
          </w:p>
        </w:tc>
        <w:tc>
          <w:tcPr>
            <w:tcW w:w="1413" w:type="dxa"/>
            <w:tcBorders>
              <w:top w:val="single" w:sz="4" w:space="0" w:color="000000" w:themeColor="text1"/>
              <w:bottom w:val="single" w:sz="4" w:space="0" w:color="000000" w:themeColor="text1"/>
            </w:tcBorders>
            <w:shd w:val="clear" w:color="auto" w:fill="EEEEEF" w:themeFill="accent4"/>
            <w:noWrap/>
          </w:tcPr>
          <w:p w14:paraId="553AFA12" w14:textId="77777777" w:rsidR="00265792" w:rsidRPr="00BA7805" w:rsidRDefault="00265792" w:rsidP="00E651F6">
            <w:pPr>
              <w:pStyle w:val="ARfintablebodyrightbold"/>
              <w:rPr>
                <w:highlight w:val="green"/>
              </w:rPr>
            </w:pPr>
            <w:r w:rsidRPr="00222084">
              <w:t>1,715.4</w:t>
            </w:r>
          </w:p>
        </w:tc>
        <w:tc>
          <w:tcPr>
            <w:tcW w:w="1278" w:type="dxa"/>
            <w:tcBorders>
              <w:top w:val="single" w:sz="4" w:space="0" w:color="000000" w:themeColor="text1"/>
              <w:bottom w:val="single" w:sz="4" w:space="0" w:color="000000" w:themeColor="text1"/>
            </w:tcBorders>
            <w:noWrap/>
          </w:tcPr>
          <w:p w14:paraId="52987229" w14:textId="77777777" w:rsidR="00265792" w:rsidRPr="00BA7805" w:rsidRDefault="00265792" w:rsidP="00E651F6">
            <w:pPr>
              <w:pStyle w:val="ARfintablebodyrightbold"/>
              <w:rPr>
                <w:highlight w:val="green"/>
              </w:rPr>
            </w:pPr>
            <w:r w:rsidRPr="00222084">
              <w:t>1,895.4</w:t>
            </w:r>
          </w:p>
        </w:tc>
      </w:tr>
      <w:tr w:rsidR="00265792" w:rsidRPr="00BA7805" w14:paraId="2A1D901C" w14:textId="77777777" w:rsidTr="00E651F6">
        <w:tc>
          <w:tcPr>
            <w:tcW w:w="6946" w:type="dxa"/>
            <w:tcBorders>
              <w:top w:val="single" w:sz="4" w:space="0" w:color="000000" w:themeColor="text1"/>
              <w:bottom w:val="single" w:sz="4" w:space="0" w:color="000000" w:themeColor="text1"/>
            </w:tcBorders>
          </w:tcPr>
          <w:p w14:paraId="3520772C" w14:textId="77777777" w:rsidR="00265792" w:rsidRPr="00BA7805" w:rsidRDefault="00265792" w:rsidP="00E651F6">
            <w:pPr>
              <w:pStyle w:val="ARfintablebodybold"/>
              <w:rPr>
                <w:highlight w:val="green"/>
              </w:rPr>
            </w:pPr>
            <w:r w:rsidRPr="00222084">
              <w:t>Total SCA commitments</w:t>
            </w:r>
          </w:p>
        </w:tc>
        <w:tc>
          <w:tcPr>
            <w:tcW w:w="1413" w:type="dxa"/>
            <w:tcBorders>
              <w:top w:val="single" w:sz="4" w:space="0" w:color="000000" w:themeColor="text1"/>
              <w:bottom w:val="single" w:sz="4" w:space="0" w:color="000000" w:themeColor="text1"/>
            </w:tcBorders>
            <w:shd w:val="clear" w:color="auto" w:fill="EEEEEF" w:themeFill="accent4"/>
            <w:noWrap/>
          </w:tcPr>
          <w:p w14:paraId="39889107" w14:textId="77777777" w:rsidR="00265792" w:rsidRPr="00BA7805" w:rsidRDefault="00265792" w:rsidP="00E651F6">
            <w:pPr>
              <w:pStyle w:val="ARfintablebodyrightbold"/>
              <w:rPr>
                <w:highlight w:val="green"/>
              </w:rPr>
            </w:pPr>
            <w:r w:rsidRPr="00222084">
              <w:t>1,856.9</w:t>
            </w:r>
          </w:p>
        </w:tc>
        <w:tc>
          <w:tcPr>
            <w:tcW w:w="1278" w:type="dxa"/>
            <w:tcBorders>
              <w:top w:val="single" w:sz="4" w:space="0" w:color="000000" w:themeColor="text1"/>
              <w:bottom w:val="single" w:sz="4" w:space="0" w:color="000000" w:themeColor="text1"/>
            </w:tcBorders>
            <w:noWrap/>
          </w:tcPr>
          <w:p w14:paraId="47307C4E" w14:textId="77777777" w:rsidR="00265792" w:rsidRPr="00BA7805" w:rsidRDefault="00265792" w:rsidP="00E651F6">
            <w:pPr>
              <w:pStyle w:val="ARfintablebodyrightbold"/>
              <w:rPr>
                <w:highlight w:val="green"/>
              </w:rPr>
            </w:pPr>
            <w:r w:rsidRPr="00222084">
              <w:t>2,037.2</w:t>
            </w:r>
          </w:p>
        </w:tc>
      </w:tr>
      <w:tr w:rsidR="00265792" w:rsidRPr="00BA7805" w14:paraId="6523DF8C" w14:textId="77777777" w:rsidTr="00E651F6">
        <w:tc>
          <w:tcPr>
            <w:tcW w:w="6946" w:type="dxa"/>
            <w:tcBorders>
              <w:top w:val="single" w:sz="4" w:space="0" w:color="000000" w:themeColor="text1"/>
              <w:bottom w:val="single" w:sz="4" w:space="0" w:color="000000" w:themeColor="text1"/>
            </w:tcBorders>
          </w:tcPr>
          <w:p w14:paraId="4B2E387F" w14:textId="77777777" w:rsidR="00265792" w:rsidRPr="00BA7805" w:rsidRDefault="00265792" w:rsidP="00E651F6">
            <w:pPr>
              <w:pStyle w:val="ARfintablebodybold"/>
              <w:rPr>
                <w:highlight w:val="green"/>
              </w:rPr>
            </w:pPr>
            <w:r w:rsidRPr="00222084">
              <w:t xml:space="preserve">Total commitments for expenditure (inclusive of GST) </w:t>
            </w:r>
          </w:p>
        </w:tc>
        <w:tc>
          <w:tcPr>
            <w:tcW w:w="1413" w:type="dxa"/>
            <w:tcBorders>
              <w:top w:val="single" w:sz="4" w:space="0" w:color="000000" w:themeColor="text1"/>
              <w:bottom w:val="single" w:sz="4" w:space="0" w:color="000000" w:themeColor="text1"/>
            </w:tcBorders>
            <w:shd w:val="clear" w:color="auto" w:fill="EEEEEF" w:themeFill="accent4"/>
            <w:noWrap/>
          </w:tcPr>
          <w:p w14:paraId="473A2E10" w14:textId="77777777" w:rsidR="00265792" w:rsidRPr="00BA7805" w:rsidRDefault="00265792" w:rsidP="00E651F6">
            <w:pPr>
              <w:pStyle w:val="ARfintablebodyrightbold"/>
              <w:rPr>
                <w:highlight w:val="green"/>
              </w:rPr>
            </w:pPr>
            <w:r w:rsidRPr="00222084">
              <w:t>3,803.2</w:t>
            </w:r>
          </w:p>
        </w:tc>
        <w:tc>
          <w:tcPr>
            <w:tcW w:w="1278" w:type="dxa"/>
            <w:tcBorders>
              <w:top w:val="single" w:sz="4" w:space="0" w:color="000000" w:themeColor="text1"/>
              <w:bottom w:val="single" w:sz="4" w:space="0" w:color="000000" w:themeColor="text1"/>
            </w:tcBorders>
            <w:noWrap/>
          </w:tcPr>
          <w:p w14:paraId="1E05F20F" w14:textId="77777777" w:rsidR="00265792" w:rsidRPr="00BA7805" w:rsidRDefault="00265792" w:rsidP="00E651F6">
            <w:pPr>
              <w:pStyle w:val="ARfintablebodyrightbold"/>
              <w:rPr>
                <w:highlight w:val="green"/>
              </w:rPr>
            </w:pPr>
            <w:r w:rsidRPr="00222084">
              <w:t>3,470.4</w:t>
            </w:r>
          </w:p>
        </w:tc>
      </w:tr>
      <w:tr w:rsidR="00265792" w:rsidRPr="00BA7805" w14:paraId="549C791A" w14:textId="77777777" w:rsidTr="00E651F6">
        <w:tc>
          <w:tcPr>
            <w:tcW w:w="6946" w:type="dxa"/>
            <w:tcBorders>
              <w:top w:val="single" w:sz="4" w:space="0" w:color="000000" w:themeColor="text1"/>
              <w:bottom w:val="single" w:sz="4" w:space="0" w:color="000000" w:themeColor="text1"/>
            </w:tcBorders>
          </w:tcPr>
          <w:p w14:paraId="2C43DD3F" w14:textId="77777777" w:rsidR="00265792" w:rsidRPr="002C7359" w:rsidRDefault="00265792" w:rsidP="00E651F6">
            <w:pPr>
              <w:pStyle w:val="ARfintablebodybold"/>
              <w:rPr>
                <w:b w:val="0"/>
                <w:bCs w:val="0"/>
                <w:highlight w:val="green"/>
              </w:rPr>
            </w:pPr>
            <w:r w:rsidRPr="002C7359">
              <w:rPr>
                <w:b w:val="0"/>
                <w:bCs w:val="0"/>
              </w:rPr>
              <w:t>Less GST recoverable from the ATO</w:t>
            </w:r>
          </w:p>
        </w:tc>
        <w:tc>
          <w:tcPr>
            <w:tcW w:w="1413" w:type="dxa"/>
            <w:tcBorders>
              <w:top w:val="single" w:sz="4" w:space="0" w:color="000000" w:themeColor="text1"/>
              <w:bottom w:val="single" w:sz="4" w:space="0" w:color="000000" w:themeColor="text1"/>
            </w:tcBorders>
            <w:shd w:val="clear" w:color="auto" w:fill="EEEEEF" w:themeFill="accent4"/>
            <w:noWrap/>
          </w:tcPr>
          <w:p w14:paraId="428B7621" w14:textId="77777777" w:rsidR="00265792" w:rsidRPr="002C7359" w:rsidRDefault="00265792" w:rsidP="00E651F6">
            <w:pPr>
              <w:pStyle w:val="ARfintablebodyrightbold"/>
              <w:rPr>
                <w:b w:val="0"/>
                <w:highlight w:val="green"/>
              </w:rPr>
            </w:pPr>
            <w:r w:rsidRPr="002C7359">
              <w:rPr>
                <w:b w:val="0"/>
              </w:rPr>
              <w:t>308.0</w:t>
            </w:r>
          </w:p>
        </w:tc>
        <w:tc>
          <w:tcPr>
            <w:tcW w:w="1278" w:type="dxa"/>
            <w:tcBorders>
              <w:top w:val="single" w:sz="4" w:space="0" w:color="000000" w:themeColor="text1"/>
              <w:bottom w:val="single" w:sz="4" w:space="0" w:color="000000" w:themeColor="text1"/>
            </w:tcBorders>
            <w:noWrap/>
          </w:tcPr>
          <w:p w14:paraId="7B3FAB53" w14:textId="77777777" w:rsidR="00265792" w:rsidRPr="002C7359" w:rsidRDefault="00265792" w:rsidP="00E651F6">
            <w:pPr>
              <w:pStyle w:val="ARfintablebodyrightbold"/>
              <w:rPr>
                <w:b w:val="0"/>
                <w:highlight w:val="green"/>
              </w:rPr>
            </w:pPr>
            <w:r w:rsidRPr="002C7359">
              <w:rPr>
                <w:b w:val="0"/>
              </w:rPr>
              <w:t>299.4</w:t>
            </w:r>
          </w:p>
        </w:tc>
      </w:tr>
      <w:tr w:rsidR="00265792" w:rsidRPr="00BA7805" w14:paraId="28B1B8CE" w14:textId="77777777" w:rsidTr="00DE1B01">
        <w:trPr>
          <w:cnfStyle w:val="010000000000" w:firstRow="0" w:lastRow="1" w:firstColumn="0" w:lastColumn="0" w:oddVBand="0" w:evenVBand="0" w:oddHBand="0" w:evenHBand="0" w:firstRowFirstColumn="0" w:firstRowLastColumn="0" w:lastRowFirstColumn="0" w:lastRowLastColumn="0"/>
        </w:trPr>
        <w:tc>
          <w:tcPr>
            <w:tcW w:w="6946" w:type="dxa"/>
          </w:tcPr>
          <w:p w14:paraId="11DEAE4B" w14:textId="77777777" w:rsidR="00265792" w:rsidRPr="00BA7805" w:rsidRDefault="00265792" w:rsidP="00E651F6">
            <w:pPr>
              <w:pStyle w:val="ARfintablebodybold"/>
              <w:rPr>
                <w:highlight w:val="green"/>
              </w:rPr>
            </w:pPr>
            <w:r w:rsidRPr="00222084">
              <w:t>Total commitments for expenditure (exclusive of GST)</w:t>
            </w:r>
          </w:p>
        </w:tc>
        <w:tc>
          <w:tcPr>
            <w:tcW w:w="1413" w:type="dxa"/>
            <w:shd w:val="clear" w:color="auto" w:fill="EEEEEF" w:themeFill="accent4"/>
            <w:noWrap/>
          </w:tcPr>
          <w:p w14:paraId="26D1308A" w14:textId="77777777" w:rsidR="00265792" w:rsidRPr="00BA7805" w:rsidRDefault="00265792" w:rsidP="00E651F6">
            <w:pPr>
              <w:pStyle w:val="ARfintablebodyrightbold"/>
              <w:rPr>
                <w:highlight w:val="green"/>
              </w:rPr>
            </w:pPr>
            <w:r w:rsidRPr="00222084">
              <w:t>3,495.2</w:t>
            </w:r>
          </w:p>
        </w:tc>
        <w:tc>
          <w:tcPr>
            <w:tcW w:w="1278" w:type="dxa"/>
            <w:noWrap/>
          </w:tcPr>
          <w:p w14:paraId="423FE7F0" w14:textId="77777777" w:rsidR="00265792" w:rsidRPr="00BA7805" w:rsidRDefault="00265792" w:rsidP="00E651F6">
            <w:pPr>
              <w:pStyle w:val="ARfintablebodyrightbold"/>
              <w:rPr>
                <w:highlight w:val="green"/>
              </w:rPr>
            </w:pPr>
            <w:r w:rsidRPr="00222084">
              <w:t>3,171.0</w:t>
            </w:r>
          </w:p>
        </w:tc>
      </w:tr>
    </w:tbl>
    <w:p w14:paraId="450B8FC7" w14:textId="77777777" w:rsidR="00265792" w:rsidRDefault="00265792" w:rsidP="008B232B">
      <w:pPr>
        <w:pStyle w:val="ARfintablefootnote"/>
      </w:pPr>
      <w:r w:rsidRPr="008162E3">
        <w:t>Notes:</w:t>
      </w:r>
    </w:p>
    <w:p w14:paraId="67979012" w14:textId="221666C5" w:rsidR="00265792" w:rsidRDefault="00265792" w:rsidP="00E651F6">
      <w:pPr>
        <w:pStyle w:val="ARfintablefootnotetabindent"/>
        <w:spacing w:line="192" w:lineRule="auto"/>
      </w:pPr>
      <w:r>
        <w:t>(</w:t>
      </w:r>
      <w:proofErr w:type="spellStart"/>
      <w:r>
        <w:t>i</w:t>
      </w:r>
      <w:proofErr w:type="spellEnd"/>
      <w:r>
        <w:t xml:space="preserve">) </w:t>
      </w:r>
      <w:r>
        <w:tab/>
      </w:r>
      <w:r w:rsidR="00F50A21" w:rsidRPr="00F50A21">
        <w:t xml:space="preserve">‘NGO’ stands for </w:t>
      </w:r>
      <w:r w:rsidR="00054189">
        <w:t>‘n</w:t>
      </w:r>
      <w:r w:rsidR="00F50A21" w:rsidRPr="00F50A21">
        <w:t>on-</w:t>
      </w:r>
      <w:r w:rsidR="00054189">
        <w:t>g</w:t>
      </w:r>
      <w:r w:rsidR="00F50A21" w:rsidRPr="00F50A21">
        <w:t xml:space="preserve">overnment </w:t>
      </w:r>
      <w:r w:rsidR="00054189">
        <w:t>o</w:t>
      </w:r>
      <w:r w:rsidR="00F50A21" w:rsidRPr="00F50A21">
        <w:t>rganisation</w:t>
      </w:r>
      <w:r w:rsidR="00054189">
        <w:t>’</w:t>
      </w:r>
      <w:r w:rsidR="00F50A21" w:rsidRPr="00F50A21">
        <w:t>, which includes initiatives to increase social and affordable community housing</w:t>
      </w:r>
      <w:r w:rsidR="00F50A21">
        <w:t> </w:t>
      </w:r>
      <w:r w:rsidR="00F50A21" w:rsidRPr="00F50A21">
        <w:t>stock as part of the Big Housing Build as well as the Building Works Package to fund the maintenance and upgrade of</w:t>
      </w:r>
      <w:r w:rsidR="00F50A21">
        <w:t> </w:t>
      </w:r>
      <w:r w:rsidR="00F50A21" w:rsidRPr="00F50A21">
        <w:t>social</w:t>
      </w:r>
      <w:r w:rsidR="00F50A21">
        <w:t> </w:t>
      </w:r>
      <w:r w:rsidR="00F50A21" w:rsidRPr="00F50A21">
        <w:t>housing</w:t>
      </w:r>
      <w:r w:rsidR="00F50A21">
        <w:t>.</w:t>
      </w:r>
      <w:r>
        <w:t xml:space="preserve"> </w:t>
      </w:r>
    </w:p>
    <w:p w14:paraId="3C7EE705" w14:textId="77777777" w:rsidR="00265792" w:rsidRPr="008B232B" w:rsidRDefault="00265792" w:rsidP="00E651F6">
      <w:pPr>
        <w:pStyle w:val="ARfintablefootnotetabindent"/>
        <w:spacing w:line="192" w:lineRule="auto"/>
      </w:pPr>
      <w:r>
        <w:t>(ii)</w:t>
      </w:r>
      <w:r>
        <w:tab/>
        <w:t>The department has determined that the arrangements Homes Victoria entered into in June 2021 (Ground Lease Model 1) and August 2023 (Ground Lease Model 1 Modification, Flemington Phase 2) with Building Communities (Vic) Limited and November 2023 (Ground Lease Model 2) with Building Even Better Communities Limited for the design, construction, financing, management and maintenance of residential rental dwellings should be accounted for under AASB 1059 as service concession arrangements (SCAs).</w:t>
      </w:r>
    </w:p>
    <w:p w14:paraId="6B71748B" w14:textId="77777777" w:rsidR="00265792" w:rsidRDefault="00265792" w:rsidP="007D4020">
      <w:pPr>
        <w:pStyle w:val="Heading5"/>
      </w:pPr>
      <w:r>
        <w:lastRenderedPageBreak/>
        <w:t>7.5.2 Service concession arrangements commitments</w:t>
      </w:r>
      <w:r>
        <w:tab/>
      </w:r>
    </w:p>
    <w:p w14:paraId="7A90EE81" w14:textId="77777777" w:rsidR="00265792" w:rsidRDefault="00265792">
      <w:pPr>
        <w:pStyle w:val="ARfinbody"/>
      </w:pPr>
      <w:r>
        <w:t xml:space="preserve">AASB 1059 </w:t>
      </w:r>
      <w:r w:rsidRPr="00E15716">
        <w:rPr>
          <w:rStyle w:val="Emphasis"/>
        </w:rPr>
        <w:t>Service Concession Arrangements: Grantors</w:t>
      </w:r>
      <w:r>
        <w:t xml:space="preserve"> applies to arrangements where an operator provides public services, using a service concession asset, on behalf of the state and importantly, the operator manages at least some of the public service at its own discretion. The department must also control the asset for AASB 1059 to apply.</w:t>
      </w:r>
    </w:p>
    <w:p w14:paraId="251ACE5D" w14:textId="77777777" w:rsidR="00265792" w:rsidRDefault="00265792" w:rsidP="007D4020">
      <w:pPr>
        <w:pStyle w:val="Heading6"/>
      </w:pPr>
      <w:r>
        <w:t>Significant judgement – service concession arrangements</w:t>
      </w:r>
    </w:p>
    <w:p w14:paraId="106B973C" w14:textId="77777777" w:rsidR="00265792" w:rsidRDefault="00265792" w:rsidP="007D4020">
      <w:pPr>
        <w:pStyle w:val="ARfinbody"/>
      </w:pPr>
      <w:r>
        <w:t>There is significant judgement involved in determining what constitutes ‘public service’ and furthermore whether the operators manage at least some of that public service at their own discretion.</w:t>
      </w:r>
    </w:p>
    <w:p w14:paraId="0A959D49" w14:textId="77777777" w:rsidR="00265792" w:rsidRDefault="00265792" w:rsidP="007D4020">
      <w:pPr>
        <w:pStyle w:val="ARfinbody"/>
      </w:pPr>
      <w:r>
        <w:t xml:space="preserve">In the housing portfolio, Registered Housing Agencies (RHAs) are contracted to provide community housing services to the public with either existing or newly constructed dwellings and qualify as Operators. RHAs are required to be not-for-profit entities by the </w:t>
      </w:r>
      <w:r w:rsidRPr="00E15716">
        <w:rPr>
          <w:rStyle w:val="Emphasis"/>
        </w:rPr>
        <w:t>Housing Act 1983</w:t>
      </w:r>
      <w:r>
        <w:t>.</w:t>
      </w:r>
    </w:p>
    <w:p w14:paraId="28BFADBF" w14:textId="29540DE8" w:rsidR="00265792" w:rsidRDefault="00265792" w:rsidP="007D4020">
      <w:pPr>
        <w:pStyle w:val="ARfinbody"/>
      </w:pPr>
      <w:r>
        <w:t>The department considers that only the activities that involve the supply of dwellings (</w:t>
      </w:r>
      <w:r w:rsidR="00F83930">
        <w:t xml:space="preserve">that is, </w:t>
      </w:r>
      <w:r>
        <w:t>providing housing capacity) are fundamental to the overall delivery of public service. In other words, public housing services cannot be provided without the supply of dwellings, even if other peripheral activities (</w:t>
      </w:r>
      <w:r w:rsidR="00F83930">
        <w:t>for example,</w:t>
      </w:r>
      <w:r>
        <w:t xml:space="preserve"> tenancy management, cleaning and maintenance) are conducted. </w:t>
      </w:r>
    </w:p>
    <w:p w14:paraId="5C794304" w14:textId="5F9BFA3A" w:rsidR="00265792" w:rsidRDefault="00265792" w:rsidP="007D4020">
      <w:pPr>
        <w:pStyle w:val="ARfinbody"/>
      </w:pPr>
      <w:r>
        <w:t>As only the supply of dwellings and the management of the dwellings post construction are considered public service in the context of the housing portfolio, the operators are considered to have discretion in providing public service if they make decisions on the delivery of dwellings (</w:t>
      </w:r>
      <w:r w:rsidR="00F83930">
        <w:t>for example,</w:t>
      </w:r>
      <w:r>
        <w:t xml:space="preserve"> the detailed design of the dwellings, material used in the construction and scheduling of subcontractors, </w:t>
      </w:r>
      <w:r w:rsidR="00F83930">
        <w:t>et cetera</w:t>
      </w:r>
      <w:r>
        <w:t>).</w:t>
      </w:r>
    </w:p>
    <w:p w14:paraId="330CC6FF" w14:textId="028FE307" w:rsidR="00265792" w:rsidRPr="00BA7805" w:rsidRDefault="00265792" w:rsidP="007D4020">
      <w:pPr>
        <w:pStyle w:val="ARfinbody"/>
        <w:rPr>
          <w:highlight w:val="green"/>
        </w:rPr>
      </w:pPr>
      <w:r>
        <w:t>The department has determined that the arrangements Homes Victoria entered into in June 2021 (Ground Lease Model 1) and August 2023 (Ground Lease Model 1 Modification, Flemington Phase 2) with Building Communities (Vic</w:t>
      </w:r>
      <w:r w:rsidR="001F21B7">
        <w:t>.</w:t>
      </w:r>
      <w:r>
        <w:t xml:space="preserve">) Limited and November 2023 (Ground Lease Model 2) with Building Even Better Communities Limited for the design, construction, financing, management and maintenance of residential rental dwellings should be accounted for under AASB 1059. These projects deliver a mixture of dwellings, being social housing, affordable housing, specialist disability accommodation and private rentals across multiple sites for </w:t>
      </w:r>
      <w:r w:rsidDel="00F76D8C">
        <w:t>40</w:t>
      </w:r>
      <w:r>
        <w:t>-year concession periods, whereby all land remains in public ownership. Private rental dwellings do not form part of the Service Concession Asset, however, at the end of the 40-year concession period, all dwellings, including the private rental dwellings return to Homes Victoria's management. The details are provided in Note 7.5.3 below.</w:t>
      </w:r>
    </w:p>
    <w:p w14:paraId="0C3AF69D" w14:textId="77777777" w:rsidR="00265792" w:rsidRPr="005277DD" w:rsidRDefault="00265792" w:rsidP="005277DD">
      <w:pPr>
        <w:pStyle w:val="Heading5"/>
        <w:rPr>
          <w:rFonts w:eastAsiaTheme="minorEastAsia"/>
          <w:lang w:eastAsia="en-AU"/>
        </w:rPr>
      </w:pPr>
      <w:r w:rsidRPr="005277DD">
        <w:rPr>
          <w:rFonts w:eastAsiaTheme="minorEastAsia"/>
          <w:lang w:eastAsia="en-AU"/>
        </w:rPr>
        <w:t xml:space="preserve">7.5.3 Service concession arrangements </w:t>
      </w:r>
    </w:p>
    <w:p w14:paraId="4D138D92" w14:textId="431889A0" w:rsidR="00265792" w:rsidRPr="005277DD" w:rsidRDefault="00265792">
      <w:pPr>
        <w:pStyle w:val="ARfinbody"/>
      </w:pPr>
      <w:r w:rsidRPr="005277DD">
        <w:t xml:space="preserve">For arrangements within the scope of AASB 1059, at initial recognition the department records a </w:t>
      </w:r>
      <w:r w:rsidRPr="002C7359">
        <w:rPr>
          <w:rStyle w:val="Strong"/>
          <w:szCs w:val="18"/>
        </w:rPr>
        <w:t>service concession asset</w:t>
      </w:r>
      <w:r w:rsidRPr="00C3268C">
        <w:rPr>
          <w:rStyle w:val="Strong"/>
        </w:rPr>
        <w:t xml:space="preserve"> </w:t>
      </w:r>
      <w:r w:rsidRPr="005277DD">
        <w:t xml:space="preserve">(SCA) at current replacement cost, with a related liability, which could be a financial liability, an accrued revenue liability (referred to as the </w:t>
      </w:r>
      <w:r w:rsidR="00F83930">
        <w:t>‘g</w:t>
      </w:r>
      <w:r w:rsidR="00F83930" w:rsidRPr="005277DD">
        <w:t xml:space="preserve">rant </w:t>
      </w:r>
      <w:r w:rsidR="00F83930">
        <w:t>o</w:t>
      </w:r>
      <w:r w:rsidR="00F83930" w:rsidRPr="005277DD">
        <w:t xml:space="preserve">f </w:t>
      </w:r>
      <w:r w:rsidR="00F83930">
        <w:t>a</w:t>
      </w:r>
      <w:r w:rsidR="00F83930" w:rsidRPr="005277DD">
        <w:t xml:space="preserve"> </w:t>
      </w:r>
      <w:r w:rsidR="00F83930">
        <w:t>r</w:t>
      </w:r>
      <w:r w:rsidR="00F83930" w:rsidRPr="005277DD">
        <w:t xml:space="preserve">ight </w:t>
      </w:r>
      <w:r w:rsidR="00F83930">
        <w:t>t</w:t>
      </w:r>
      <w:r w:rsidR="00F83930" w:rsidRPr="005277DD">
        <w:t xml:space="preserve">o </w:t>
      </w:r>
      <w:r w:rsidR="00F83930">
        <w:t>t</w:t>
      </w:r>
      <w:r w:rsidRPr="005277DD">
        <w:t xml:space="preserve">he </w:t>
      </w:r>
      <w:r w:rsidR="00F83930">
        <w:t>o</w:t>
      </w:r>
      <w:r w:rsidRPr="005277DD">
        <w:t>perator' or GORTO liability) or a combination of both.</w:t>
      </w:r>
    </w:p>
    <w:p w14:paraId="022AFE26" w14:textId="1F649FB6" w:rsidR="00265792" w:rsidRPr="005277DD" w:rsidRDefault="00265792">
      <w:pPr>
        <w:pStyle w:val="ARfinbody"/>
      </w:pPr>
      <w:r w:rsidRPr="005277DD">
        <w:t xml:space="preserve">For both Ground Lease Model 1 </w:t>
      </w:r>
      <w:r>
        <w:t>–</w:t>
      </w:r>
      <w:r w:rsidRPr="005277DD">
        <w:t xml:space="preserve"> Public Housing renewal program phase 1</w:t>
      </w:r>
      <w:r w:rsidR="00F83930">
        <w:t xml:space="preserve"> and </w:t>
      </w:r>
      <w:r w:rsidRPr="005277DD">
        <w:t>2 and Ground Lease Model 2, the department initially recognised the liability at the same amount as the SCA, adjusted by the amount of any consideration from the department to the operator, or from the operator to the department.</w:t>
      </w:r>
    </w:p>
    <w:p w14:paraId="46649EB1" w14:textId="77777777" w:rsidR="00265792" w:rsidRPr="005277DD" w:rsidRDefault="00265792">
      <w:pPr>
        <w:pStyle w:val="ARfinbody"/>
      </w:pPr>
      <w:r w:rsidRPr="005277DD">
        <w:t>Exception to this occurs when the department reclassifies an existing asset to a SCA. When this occurs, no liability is recognised unless additional consideration is provided to the operator. Instead, the department recognises a SCA and a corresponding liability for the amounts spent on the upgrade/expansion work.</w:t>
      </w:r>
    </w:p>
    <w:p w14:paraId="1D28D08F" w14:textId="77777777" w:rsidR="00265792" w:rsidRPr="005277DD" w:rsidRDefault="00265792">
      <w:pPr>
        <w:pStyle w:val="ARfinbody"/>
      </w:pPr>
      <w:r w:rsidRPr="005277DD">
        <w:t xml:space="preserve">A </w:t>
      </w:r>
      <w:r w:rsidRPr="002C7359">
        <w:rPr>
          <w:rStyle w:val="Strong"/>
          <w:szCs w:val="18"/>
        </w:rPr>
        <w:t>financial liability</w:t>
      </w:r>
      <w:r w:rsidRPr="005277DD">
        <w:t xml:space="preserve"> is recognised where the department has a contractual obligation to pay the operator for providing the SCA. It is measured in accordance with AASB 9 </w:t>
      </w:r>
      <w:r w:rsidRPr="00E15716">
        <w:rPr>
          <w:rStyle w:val="Emphasis"/>
        </w:rPr>
        <w:t>Financial Instruments</w:t>
      </w:r>
      <w:r w:rsidRPr="005277DD">
        <w:t xml:space="preserve"> and is recognised as a borrowing (Note 7.1). The liability is increased by interest charges, based on the interest rate implicit in the arrangement. Where the interest rate is not specified in the arrangement, the prevailing market rate of interest for a similar instrument with similar credit ratings is used. The liability is reduced by any payments made by the department to the operator as required by the</w:t>
      </w:r>
      <w:r>
        <w:t> </w:t>
      </w:r>
      <w:r w:rsidRPr="005277DD">
        <w:t>contract.</w:t>
      </w:r>
    </w:p>
    <w:p w14:paraId="41D5C9C7" w14:textId="77777777" w:rsidR="00265792" w:rsidRPr="005277DD" w:rsidRDefault="00265792">
      <w:pPr>
        <w:pStyle w:val="ARfinbody"/>
      </w:pPr>
      <w:r w:rsidRPr="005277DD">
        <w:t xml:space="preserve">A </w:t>
      </w:r>
      <w:r w:rsidRPr="002C7359">
        <w:rPr>
          <w:rStyle w:val="Strong"/>
          <w:szCs w:val="18"/>
        </w:rPr>
        <w:t>grant of right to the operator (GORTO) liability</w:t>
      </w:r>
      <w:r w:rsidRPr="005277DD">
        <w:t xml:space="preserve"> is recognised where the department does not have a contractual obligation to pay cash or another financial asset but grants the right to the operator to earn revenue from the public use of the asset (Note 6.5). This type of arrangement is commonly referred to as an economic service concession arrangement. It represents unearned revenue and is progressively reduced over the period of the arrangement in accordance with its substance.</w:t>
      </w:r>
    </w:p>
    <w:p w14:paraId="41AAAA3D" w14:textId="77777777" w:rsidR="00265792" w:rsidRDefault="00265792">
      <w:pPr>
        <w:pStyle w:val="ARfinbody"/>
      </w:pPr>
      <w:r w:rsidRPr="005277DD">
        <w:t xml:space="preserve">After initial recognition, SCAs are subsequently measured applying the revaluation model (refer to </w:t>
      </w:r>
      <w:r w:rsidRPr="00F76D8C">
        <w:rPr>
          <w:szCs w:val="18"/>
        </w:rPr>
        <w:t xml:space="preserve">Note </w:t>
      </w:r>
      <w:r w:rsidRPr="00E15716">
        <w:rPr>
          <w:rStyle w:val="Emphasis"/>
        </w:rPr>
        <w:t>5.1 Total Property, Plant and Equipment</w:t>
      </w:r>
      <w:r w:rsidRPr="00F76D8C">
        <w:rPr>
          <w:szCs w:val="18"/>
        </w:rPr>
        <w:t>)</w:t>
      </w:r>
      <w:r w:rsidRPr="005277DD">
        <w:t>.</w:t>
      </w:r>
    </w:p>
    <w:p w14:paraId="4B51C2EC" w14:textId="77777777" w:rsidR="00265792" w:rsidRDefault="00265792">
      <w:pPr>
        <w:pStyle w:val="ARfinbody"/>
      </w:pPr>
      <w:r w:rsidRPr="009B5400">
        <w:t>As part of the application of AASB 1059, the department uses a fair value proxy approach for the service concession assets that</w:t>
      </w:r>
      <w:r>
        <w:t xml:space="preserve"> are under construction. The fair value proxy approach captures the financing cost incurred during the construction of a service concession asset by the private sector, with the aim of achieving faithful representation of the current replacement cost of service concession assets under construction balance.</w:t>
      </w:r>
    </w:p>
    <w:p w14:paraId="1AAFACA1" w14:textId="77777777" w:rsidR="00265792" w:rsidRDefault="00265792" w:rsidP="005277DD">
      <w:pPr>
        <w:pStyle w:val="ARbody"/>
        <w:rPr>
          <w:rFonts w:eastAsiaTheme="minorEastAsia" w:cs="ArialMT"/>
          <w:color w:val="000000"/>
          <w:sz w:val="18"/>
          <w:szCs w:val="16"/>
          <w:lang w:eastAsia="en-AU"/>
        </w:rPr>
        <w:sectPr w:rsidR="00265792" w:rsidSect="007F43B1">
          <w:endnotePr>
            <w:numFmt w:val="decimal"/>
          </w:endnotePr>
          <w:pgSz w:w="11900" w:h="16840" w:code="9"/>
          <w:pgMar w:top="1588" w:right="1134" w:bottom="851" w:left="1134" w:header="510" w:footer="340" w:gutter="0"/>
          <w:cols w:space="448"/>
          <w:docGrid w:linePitch="299"/>
        </w:sectPr>
      </w:pPr>
    </w:p>
    <w:p w14:paraId="607E6E9C" w14:textId="77777777" w:rsidR="00265792" w:rsidRPr="00880AA8" w:rsidRDefault="00265792" w:rsidP="00880AA8">
      <w:pPr>
        <w:pStyle w:val="ARbody"/>
        <w:rPr>
          <w:rFonts w:eastAsiaTheme="minorEastAsia" w:cs="ArialMT"/>
          <w:color w:val="000000"/>
          <w:sz w:val="18"/>
          <w:szCs w:val="16"/>
          <w:lang w:eastAsia="en-AU"/>
        </w:rPr>
      </w:pPr>
      <w:r w:rsidRPr="005277DD">
        <w:rPr>
          <w:rFonts w:eastAsiaTheme="minorEastAsia" w:cs="ArialMT"/>
          <w:color w:val="000000"/>
          <w:sz w:val="18"/>
          <w:szCs w:val="16"/>
          <w:lang w:eastAsia="en-AU"/>
        </w:rPr>
        <w:lastRenderedPageBreak/>
        <w:t>The department has the following service concession arrangements:</w:t>
      </w:r>
    </w:p>
    <w:tbl>
      <w:tblPr>
        <w:tblStyle w:val="TableGrid"/>
        <w:tblW w:w="5000" w:type="pct"/>
        <w:tblLayout w:type="fixed"/>
        <w:tblLook w:val="04A0" w:firstRow="1" w:lastRow="0" w:firstColumn="1" w:lastColumn="0" w:noHBand="0" w:noVBand="1"/>
      </w:tblPr>
      <w:tblGrid>
        <w:gridCol w:w="3119"/>
        <w:gridCol w:w="992"/>
        <w:gridCol w:w="1701"/>
        <w:gridCol w:w="1445"/>
        <w:gridCol w:w="1446"/>
        <w:gridCol w:w="1446"/>
        <w:gridCol w:w="1446"/>
        <w:gridCol w:w="1446"/>
        <w:gridCol w:w="1814"/>
      </w:tblGrid>
      <w:tr w:rsidR="00737EC8" w:rsidRPr="003C784D" w14:paraId="4DBAD455" w14:textId="77777777" w:rsidTr="0046720C">
        <w:trPr>
          <w:cnfStyle w:val="100000000000" w:firstRow="1" w:lastRow="0" w:firstColumn="0" w:lastColumn="0" w:oddVBand="0" w:evenVBand="0" w:oddHBand="0" w:evenHBand="0" w:firstRowFirstColumn="0" w:firstRowLastColumn="0" w:lastRowFirstColumn="0" w:lastRowLastColumn="0"/>
          <w:trHeight w:val="20"/>
        </w:trPr>
        <w:tc>
          <w:tcPr>
            <w:tcW w:w="3119" w:type="dxa"/>
            <w:hideMark/>
          </w:tcPr>
          <w:p w14:paraId="6D663381" w14:textId="77777777" w:rsidR="00265792" w:rsidRPr="003C784D" w:rsidRDefault="00265792" w:rsidP="006938EC">
            <w:pPr>
              <w:pStyle w:val="ARfintablecolhead"/>
            </w:pPr>
            <w:r w:rsidRPr="006938EC">
              <w:t>Commissioned</w:t>
            </w:r>
            <w:r w:rsidRPr="003C784D">
              <w:t xml:space="preserve"> 2025</w:t>
            </w:r>
          </w:p>
        </w:tc>
        <w:tc>
          <w:tcPr>
            <w:tcW w:w="992" w:type="dxa"/>
            <w:hideMark/>
          </w:tcPr>
          <w:p w14:paraId="04D2DE18" w14:textId="77777777" w:rsidR="00265792" w:rsidRPr="003C784D" w:rsidRDefault="00265792" w:rsidP="003C784D">
            <w:pPr>
              <w:pStyle w:val="ARfintablecolhead"/>
            </w:pPr>
            <w:r w:rsidRPr="003C784D">
              <w:t>Notes</w:t>
            </w:r>
          </w:p>
        </w:tc>
        <w:tc>
          <w:tcPr>
            <w:tcW w:w="1701" w:type="dxa"/>
            <w:shd w:val="clear" w:color="auto" w:fill="EEEEEF" w:themeFill="accent4"/>
            <w:hideMark/>
          </w:tcPr>
          <w:p w14:paraId="289EE682" w14:textId="724FC1C3" w:rsidR="00265792" w:rsidRPr="003C784D" w:rsidRDefault="00265792" w:rsidP="0046720C">
            <w:pPr>
              <w:pStyle w:val="ARfintablecolhead"/>
              <w:ind w:left="113"/>
            </w:pPr>
            <w:r w:rsidRPr="003C784D">
              <w:t xml:space="preserve">Classification of </w:t>
            </w:r>
            <w:r w:rsidR="00F83930">
              <w:t>a</w:t>
            </w:r>
            <w:r w:rsidRPr="003C784D">
              <w:t>rrangement</w:t>
            </w:r>
          </w:p>
        </w:tc>
        <w:tc>
          <w:tcPr>
            <w:tcW w:w="1445" w:type="dxa"/>
            <w:hideMark/>
          </w:tcPr>
          <w:p w14:paraId="72FDCE02" w14:textId="77777777" w:rsidR="00265792" w:rsidRPr="003C784D" w:rsidRDefault="00265792" w:rsidP="003C784D">
            <w:pPr>
              <w:pStyle w:val="ARfintablecolheadright"/>
            </w:pPr>
            <w:r w:rsidRPr="003C784D">
              <w:t xml:space="preserve">Carrying amount of asset as </w:t>
            </w:r>
            <w:proofErr w:type="gramStart"/>
            <w:r w:rsidRPr="003C784D">
              <w:t>at</w:t>
            </w:r>
            <w:proofErr w:type="gramEnd"/>
            <w:r w:rsidRPr="003C784D">
              <w:t xml:space="preserve"> 30 June</w:t>
            </w:r>
            <w:r>
              <w:t xml:space="preserve"> </w:t>
            </w:r>
            <w:r w:rsidRPr="003C784D">
              <w:rPr>
                <w:vertAlign w:val="superscript"/>
              </w:rPr>
              <w:t>(</w:t>
            </w:r>
            <w:proofErr w:type="spellStart"/>
            <w:r w:rsidRPr="003C784D">
              <w:rPr>
                <w:vertAlign w:val="superscript"/>
              </w:rPr>
              <w:t>i</w:t>
            </w:r>
            <w:proofErr w:type="spellEnd"/>
            <w:r w:rsidRPr="003C784D">
              <w:rPr>
                <w:vertAlign w:val="superscript"/>
              </w:rPr>
              <w:t>)</w:t>
            </w:r>
          </w:p>
          <w:p w14:paraId="0DD51931" w14:textId="77777777" w:rsidR="00265792" w:rsidRPr="003C784D" w:rsidRDefault="00265792" w:rsidP="003C784D">
            <w:pPr>
              <w:pStyle w:val="ARfintablecolheadright"/>
            </w:pPr>
            <w:r w:rsidRPr="003C784D">
              <w:t>$000</w:t>
            </w:r>
          </w:p>
        </w:tc>
        <w:tc>
          <w:tcPr>
            <w:tcW w:w="1446" w:type="dxa"/>
            <w:shd w:val="clear" w:color="auto" w:fill="EEEEEF" w:themeFill="accent4"/>
            <w:hideMark/>
          </w:tcPr>
          <w:p w14:paraId="43342705" w14:textId="77777777" w:rsidR="00265792" w:rsidRPr="003C784D" w:rsidRDefault="00265792" w:rsidP="003C784D">
            <w:pPr>
              <w:pStyle w:val="ARfintablecolheadright"/>
            </w:pPr>
            <w:r w:rsidRPr="003C784D">
              <w:t xml:space="preserve">Carrying amount of liability as </w:t>
            </w:r>
            <w:proofErr w:type="gramStart"/>
            <w:r w:rsidRPr="003C784D">
              <w:t>at</w:t>
            </w:r>
            <w:proofErr w:type="gramEnd"/>
            <w:r w:rsidRPr="003C784D">
              <w:t xml:space="preserve"> 30 June</w:t>
            </w:r>
            <w:r>
              <w:t xml:space="preserve"> </w:t>
            </w:r>
            <w:r w:rsidRPr="003C784D">
              <w:rPr>
                <w:vertAlign w:val="superscript"/>
              </w:rPr>
              <w:t>(</w:t>
            </w:r>
            <w:proofErr w:type="spellStart"/>
            <w:r w:rsidRPr="003C784D">
              <w:rPr>
                <w:vertAlign w:val="superscript"/>
              </w:rPr>
              <w:t>i</w:t>
            </w:r>
            <w:proofErr w:type="spellEnd"/>
            <w:r w:rsidRPr="003C784D">
              <w:rPr>
                <w:vertAlign w:val="superscript"/>
              </w:rPr>
              <w:t>)</w:t>
            </w:r>
          </w:p>
          <w:p w14:paraId="42C9C9D3" w14:textId="77777777" w:rsidR="00265792" w:rsidRPr="003C784D" w:rsidRDefault="00265792" w:rsidP="003C784D">
            <w:pPr>
              <w:pStyle w:val="ARfintablecolheadright"/>
            </w:pPr>
            <w:r w:rsidRPr="003C784D">
              <w:t>$000</w:t>
            </w:r>
          </w:p>
        </w:tc>
        <w:tc>
          <w:tcPr>
            <w:tcW w:w="1446" w:type="dxa"/>
            <w:hideMark/>
          </w:tcPr>
          <w:p w14:paraId="525089C7" w14:textId="77777777" w:rsidR="00265792" w:rsidRPr="003C784D" w:rsidRDefault="00265792" w:rsidP="003C784D">
            <w:pPr>
              <w:pStyle w:val="ARfintablecolheadright"/>
            </w:pPr>
            <w:r w:rsidRPr="003C784D">
              <w:t xml:space="preserve">Liability as </w:t>
            </w:r>
            <w:proofErr w:type="gramStart"/>
            <w:r w:rsidRPr="003C784D">
              <w:t>at</w:t>
            </w:r>
            <w:proofErr w:type="gramEnd"/>
            <w:r w:rsidRPr="003C784D">
              <w:t xml:space="preserve"> 30 June</w:t>
            </w:r>
            <w:r>
              <w:t xml:space="preserve"> </w:t>
            </w:r>
            <w:r w:rsidRPr="00E126D0">
              <w:rPr>
                <w:vertAlign w:val="superscript"/>
              </w:rPr>
              <w:t>(v)</w:t>
            </w:r>
          </w:p>
          <w:p w14:paraId="76C2873C" w14:textId="78C93BF7" w:rsidR="00265792" w:rsidRDefault="00F83930" w:rsidP="003C784D">
            <w:pPr>
              <w:pStyle w:val="ARfintablecolheadright"/>
            </w:pPr>
            <w:r>
              <w:t>d</w:t>
            </w:r>
            <w:r w:rsidR="00265792" w:rsidRPr="003C784D">
              <w:t>iscounted Value</w:t>
            </w:r>
          </w:p>
          <w:p w14:paraId="1FCAF0E0" w14:textId="77777777" w:rsidR="00265792" w:rsidRPr="003C784D" w:rsidRDefault="00265792" w:rsidP="003C784D">
            <w:pPr>
              <w:pStyle w:val="ARfintablecolheadright"/>
            </w:pPr>
            <w:r w:rsidRPr="003C784D">
              <w:t>$000</w:t>
            </w:r>
          </w:p>
        </w:tc>
        <w:tc>
          <w:tcPr>
            <w:tcW w:w="1446" w:type="dxa"/>
            <w:shd w:val="clear" w:color="auto" w:fill="EEEEEF" w:themeFill="accent4"/>
            <w:hideMark/>
          </w:tcPr>
          <w:p w14:paraId="47878064" w14:textId="5B0E62BF" w:rsidR="00265792" w:rsidRPr="003C784D" w:rsidRDefault="00265792" w:rsidP="003C784D">
            <w:pPr>
              <w:pStyle w:val="ARfintablecolheadright"/>
            </w:pPr>
            <w:r w:rsidRPr="003C784D">
              <w:t xml:space="preserve">Capital </w:t>
            </w:r>
            <w:r w:rsidR="00F83930">
              <w:t>c</w:t>
            </w:r>
            <w:r w:rsidRPr="003C784D">
              <w:t xml:space="preserve">ontribution </w:t>
            </w:r>
          </w:p>
          <w:p w14:paraId="34554CF4" w14:textId="5EF1C503" w:rsidR="00265792" w:rsidRDefault="00F83930" w:rsidP="003C784D">
            <w:pPr>
              <w:pStyle w:val="ARfintablecolheadright"/>
            </w:pPr>
            <w:r>
              <w:t>n</w:t>
            </w:r>
            <w:r w:rsidRPr="003C784D">
              <w:t xml:space="preserve">ominal </w:t>
            </w:r>
            <w:r>
              <w:t>v</w:t>
            </w:r>
            <w:r w:rsidRPr="003C784D">
              <w:t>alue</w:t>
            </w:r>
          </w:p>
          <w:p w14:paraId="4775F133" w14:textId="77777777" w:rsidR="00265792" w:rsidRPr="003C784D" w:rsidRDefault="00265792" w:rsidP="003C784D">
            <w:pPr>
              <w:pStyle w:val="ARfintablecolheadright"/>
            </w:pPr>
            <w:r w:rsidRPr="003C784D">
              <w:t>$000</w:t>
            </w:r>
          </w:p>
        </w:tc>
        <w:tc>
          <w:tcPr>
            <w:tcW w:w="1446" w:type="dxa"/>
            <w:hideMark/>
          </w:tcPr>
          <w:p w14:paraId="12B31316" w14:textId="7C1FF05C" w:rsidR="00265792" w:rsidRPr="003C784D" w:rsidRDefault="00265792" w:rsidP="003C784D">
            <w:pPr>
              <w:pStyle w:val="ARfintablecolheadright"/>
            </w:pPr>
            <w:r w:rsidRPr="003C784D">
              <w:t xml:space="preserve">Other </w:t>
            </w:r>
            <w:r w:rsidR="00F83930">
              <w:t>c</w:t>
            </w:r>
            <w:r w:rsidRPr="003C784D">
              <w:t>ommitments</w:t>
            </w:r>
          </w:p>
          <w:p w14:paraId="7AEFF97F" w14:textId="03EE43D9" w:rsidR="00265792" w:rsidRDefault="00F83930" w:rsidP="003C784D">
            <w:pPr>
              <w:pStyle w:val="ARfintablecolheadright"/>
            </w:pPr>
            <w:r>
              <w:t>p</w:t>
            </w:r>
            <w:r w:rsidRPr="003C784D">
              <w:t xml:space="preserve">resent </w:t>
            </w:r>
            <w:r>
              <w:t>v</w:t>
            </w:r>
            <w:r w:rsidR="00265792" w:rsidRPr="003C784D">
              <w:t>alue</w:t>
            </w:r>
          </w:p>
          <w:p w14:paraId="63437A6A" w14:textId="77777777" w:rsidR="00265792" w:rsidRPr="003C784D" w:rsidRDefault="00265792" w:rsidP="003C784D">
            <w:pPr>
              <w:pStyle w:val="ARfintablecolheadright"/>
            </w:pPr>
            <w:r w:rsidRPr="003C784D">
              <w:t>$000</w:t>
            </w:r>
          </w:p>
        </w:tc>
        <w:tc>
          <w:tcPr>
            <w:tcW w:w="1814" w:type="dxa"/>
            <w:shd w:val="clear" w:color="auto" w:fill="EEEEEF" w:themeFill="accent4"/>
            <w:hideMark/>
          </w:tcPr>
          <w:p w14:paraId="2EBC2953" w14:textId="77777777" w:rsidR="00265792" w:rsidRPr="003C784D" w:rsidRDefault="00265792" w:rsidP="003C784D">
            <w:pPr>
              <w:pStyle w:val="ARfintablecolheadright"/>
            </w:pPr>
            <w:r w:rsidRPr="003C784D">
              <w:t>Commitments</w:t>
            </w:r>
            <w:r>
              <w:t xml:space="preserve"> </w:t>
            </w:r>
            <w:r w:rsidRPr="003C784D">
              <w:rPr>
                <w:vertAlign w:val="superscript"/>
              </w:rPr>
              <w:t>(iii)</w:t>
            </w:r>
          </w:p>
          <w:p w14:paraId="038A0F73" w14:textId="2BF514A6" w:rsidR="00265792" w:rsidRDefault="00F83930" w:rsidP="003C784D">
            <w:pPr>
              <w:pStyle w:val="ARfintablecolheadright"/>
            </w:pPr>
            <w:r>
              <w:t>n</w:t>
            </w:r>
            <w:r w:rsidR="00265792" w:rsidRPr="003C784D">
              <w:t xml:space="preserve">ominal </w:t>
            </w:r>
            <w:r>
              <w:t>v</w:t>
            </w:r>
            <w:r w:rsidR="00265792" w:rsidRPr="003C784D">
              <w:t>alue</w:t>
            </w:r>
          </w:p>
          <w:p w14:paraId="627F6E64" w14:textId="77777777" w:rsidR="00265792" w:rsidRPr="003C784D" w:rsidRDefault="00265792" w:rsidP="003C784D">
            <w:pPr>
              <w:pStyle w:val="ARfintablecolheadright"/>
            </w:pPr>
            <w:r w:rsidRPr="003C784D">
              <w:t>$000</w:t>
            </w:r>
          </w:p>
        </w:tc>
      </w:tr>
      <w:tr w:rsidR="00265792" w:rsidRPr="003C784D" w14:paraId="3572BF38" w14:textId="77777777" w:rsidTr="0046720C">
        <w:trPr>
          <w:trHeight w:val="20"/>
        </w:trPr>
        <w:tc>
          <w:tcPr>
            <w:tcW w:w="3119" w:type="dxa"/>
            <w:tcBorders>
              <w:top w:val="single" w:sz="4" w:space="0" w:color="000000" w:themeColor="text1"/>
              <w:bottom w:val="single" w:sz="4" w:space="0" w:color="auto"/>
            </w:tcBorders>
            <w:hideMark/>
          </w:tcPr>
          <w:p w14:paraId="1370B133" w14:textId="77777777" w:rsidR="00265792" w:rsidRPr="003C784D" w:rsidRDefault="00265792" w:rsidP="003C784D">
            <w:pPr>
              <w:pStyle w:val="ARfintablebody"/>
            </w:pPr>
            <w:r w:rsidRPr="003C784D">
              <w:t xml:space="preserve">Ground Lease Model 1 </w:t>
            </w:r>
            <w:r w:rsidRPr="001A4E80">
              <w:t>–</w:t>
            </w:r>
            <w:r w:rsidRPr="003C784D">
              <w:t xml:space="preserve"> PHRP phase 1 </w:t>
            </w:r>
            <w:r w:rsidRPr="006938EC">
              <w:rPr>
                <w:vertAlign w:val="superscript"/>
              </w:rPr>
              <w:t>(iv)</w:t>
            </w:r>
          </w:p>
        </w:tc>
        <w:tc>
          <w:tcPr>
            <w:tcW w:w="992" w:type="dxa"/>
            <w:tcBorders>
              <w:top w:val="single" w:sz="4" w:space="0" w:color="000000" w:themeColor="text1"/>
              <w:bottom w:val="single" w:sz="4" w:space="0" w:color="auto"/>
            </w:tcBorders>
            <w:hideMark/>
          </w:tcPr>
          <w:p w14:paraId="654AAFB7" w14:textId="77777777" w:rsidR="00265792" w:rsidRPr="003C784D" w:rsidRDefault="00265792" w:rsidP="003C784D">
            <w:pPr>
              <w:pStyle w:val="ARfintablebody"/>
            </w:pPr>
            <w:r w:rsidRPr="003C784D">
              <w:t>7.5.3.1</w:t>
            </w:r>
          </w:p>
        </w:tc>
        <w:tc>
          <w:tcPr>
            <w:tcW w:w="1701" w:type="dxa"/>
            <w:tcBorders>
              <w:top w:val="single" w:sz="4" w:space="0" w:color="000000" w:themeColor="text1"/>
              <w:bottom w:val="single" w:sz="4" w:space="0" w:color="auto"/>
            </w:tcBorders>
            <w:shd w:val="clear" w:color="auto" w:fill="EEEEEF" w:themeFill="accent4"/>
            <w:hideMark/>
          </w:tcPr>
          <w:p w14:paraId="7D43F68A" w14:textId="1ABAD662" w:rsidR="00265792" w:rsidRPr="003C784D" w:rsidRDefault="00265792" w:rsidP="0046720C">
            <w:pPr>
              <w:pStyle w:val="ARfintablebody"/>
              <w:ind w:left="113"/>
            </w:pPr>
            <w:r w:rsidRPr="003C784D">
              <w:t xml:space="preserve">Hybrid (GORTO </w:t>
            </w:r>
            <w:r w:rsidR="00F83930">
              <w:t>and</w:t>
            </w:r>
            <w:r w:rsidRPr="003C784D">
              <w:t xml:space="preserve"> </w:t>
            </w:r>
            <w:r w:rsidR="00F83930">
              <w:t>f</w:t>
            </w:r>
            <w:r w:rsidRPr="003C784D">
              <w:t xml:space="preserve">inancial </w:t>
            </w:r>
            <w:r w:rsidR="00F83930">
              <w:t>l</w:t>
            </w:r>
            <w:r w:rsidRPr="003C784D">
              <w:t>iability)</w:t>
            </w:r>
          </w:p>
        </w:tc>
        <w:tc>
          <w:tcPr>
            <w:tcW w:w="1445" w:type="dxa"/>
            <w:tcBorders>
              <w:top w:val="single" w:sz="4" w:space="0" w:color="000000" w:themeColor="text1"/>
              <w:bottom w:val="single" w:sz="4" w:space="0" w:color="auto"/>
            </w:tcBorders>
            <w:hideMark/>
          </w:tcPr>
          <w:p w14:paraId="3355FE06" w14:textId="77777777" w:rsidR="00265792" w:rsidRPr="003C784D" w:rsidRDefault="00265792" w:rsidP="003C784D">
            <w:pPr>
              <w:pStyle w:val="ARfintablebodyright"/>
            </w:pPr>
            <w:r w:rsidRPr="003C784D">
              <w:t>341,966</w:t>
            </w:r>
          </w:p>
        </w:tc>
        <w:tc>
          <w:tcPr>
            <w:tcW w:w="1446" w:type="dxa"/>
            <w:tcBorders>
              <w:top w:val="single" w:sz="4" w:space="0" w:color="000000" w:themeColor="text1"/>
              <w:bottom w:val="single" w:sz="4" w:space="0" w:color="auto"/>
            </w:tcBorders>
            <w:shd w:val="clear" w:color="auto" w:fill="EEEEEF" w:themeFill="accent4"/>
            <w:hideMark/>
          </w:tcPr>
          <w:p w14:paraId="04FF099F" w14:textId="77777777" w:rsidR="00265792" w:rsidRPr="003C784D" w:rsidRDefault="00265792" w:rsidP="003C784D">
            <w:pPr>
              <w:pStyle w:val="ARfintablebodyright"/>
            </w:pPr>
            <w:r w:rsidRPr="003C784D">
              <w:t>297,621</w:t>
            </w:r>
          </w:p>
        </w:tc>
        <w:tc>
          <w:tcPr>
            <w:tcW w:w="1446" w:type="dxa"/>
            <w:tcBorders>
              <w:top w:val="single" w:sz="4" w:space="0" w:color="000000" w:themeColor="text1"/>
              <w:bottom w:val="single" w:sz="4" w:space="0" w:color="auto"/>
            </w:tcBorders>
            <w:hideMark/>
          </w:tcPr>
          <w:p w14:paraId="4720B948" w14:textId="77777777" w:rsidR="00265792" w:rsidRPr="003C784D" w:rsidRDefault="00265792" w:rsidP="003C784D">
            <w:pPr>
              <w:pStyle w:val="ARfintablebodyright"/>
            </w:pPr>
            <w:r>
              <w:t>–</w:t>
            </w:r>
          </w:p>
        </w:tc>
        <w:tc>
          <w:tcPr>
            <w:tcW w:w="1446" w:type="dxa"/>
            <w:tcBorders>
              <w:top w:val="single" w:sz="4" w:space="0" w:color="000000" w:themeColor="text1"/>
              <w:bottom w:val="single" w:sz="4" w:space="0" w:color="auto"/>
            </w:tcBorders>
            <w:shd w:val="clear" w:color="auto" w:fill="EEEEEF" w:themeFill="accent4"/>
            <w:hideMark/>
          </w:tcPr>
          <w:p w14:paraId="4D70D28D" w14:textId="77777777" w:rsidR="00265792" w:rsidRPr="003C784D" w:rsidRDefault="00265792" w:rsidP="003C784D">
            <w:pPr>
              <w:pStyle w:val="ARfintablebodyright"/>
            </w:pPr>
            <w:r>
              <w:t>–</w:t>
            </w:r>
          </w:p>
        </w:tc>
        <w:tc>
          <w:tcPr>
            <w:tcW w:w="1446" w:type="dxa"/>
            <w:tcBorders>
              <w:top w:val="single" w:sz="4" w:space="0" w:color="000000" w:themeColor="text1"/>
              <w:bottom w:val="single" w:sz="4" w:space="0" w:color="auto"/>
            </w:tcBorders>
            <w:hideMark/>
          </w:tcPr>
          <w:p w14:paraId="7C4A4B6D" w14:textId="77777777" w:rsidR="00265792" w:rsidRPr="003C784D" w:rsidRDefault="00265792" w:rsidP="003C784D">
            <w:pPr>
              <w:pStyle w:val="ARfintablebodyright"/>
            </w:pPr>
            <w:r w:rsidRPr="003C784D">
              <w:t>45,840</w:t>
            </w:r>
          </w:p>
        </w:tc>
        <w:tc>
          <w:tcPr>
            <w:tcW w:w="1814" w:type="dxa"/>
            <w:tcBorders>
              <w:top w:val="single" w:sz="4" w:space="0" w:color="000000" w:themeColor="text1"/>
              <w:bottom w:val="single" w:sz="4" w:space="0" w:color="auto"/>
            </w:tcBorders>
            <w:shd w:val="clear" w:color="auto" w:fill="EEEEEF" w:themeFill="accent4"/>
            <w:hideMark/>
          </w:tcPr>
          <w:p w14:paraId="493C9D7E" w14:textId="77777777" w:rsidR="00265792" w:rsidRPr="003C784D" w:rsidRDefault="00265792" w:rsidP="003C784D">
            <w:pPr>
              <w:pStyle w:val="ARfintablebodyright"/>
            </w:pPr>
            <w:r w:rsidRPr="003C784D">
              <w:t>141,566</w:t>
            </w:r>
          </w:p>
        </w:tc>
      </w:tr>
      <w:tr w:rsidR="00265792" w:rsidRPr="003C784D" w14:paraId="2B20CDA9" w14:textId="77777777" w:rsidTr="0046720C">
        <w:trPr>
          <w:trHeight w:val="20"/>
        </w:trPr>
        <w:tc>
          <w:tcPr>
            <w:tcW w:w="3119" w:type="dxa"/>
            <w:tcBorders>
              <w:top w:val="single" w:sz="4" w:space="0" w:color="auto"/>
              <w:bottom w:val="single" w:sz="4" w:space="0" w:color="auto"/>
            </w:tcBorders>
            <w:hideMark/>
          </w:tcPr>
          <w:p w14:paraId="0E1E9606" w14:textId="77777777" w:rsidR="00265792" w:rsidRPr="003C784D" w:rsidRDefault="00265792" w:rsidP="006938EC">
            <w:pPr>
              <w:pStyle w:val="ARfintablebodybold"/>
            </w:pPr>
            <w:r w:rsidRPr="003C784D">
              <w:t>Uncommissioned 2025</w:t>
            </w:r>
          </w:p>
        </w:tc>
        <w:tc>
          <w:tcPr>
            <w:tcW w:w="992" w:type="dxa"/>
            <w:tcBorders>
              <w:top w:val="single" w:sz="4" w:space="0" w:color="auto"/>
              <w:bottom w:val="single" w:sz="4" w:space="0" w:color="auto"/>
            </w:tcBorders>
            <w:hideMark/>
          </w:tcPr>
          <w:p w14:paraId="466E0D04" w14:textId="77777777" w:rsidR="00265792" w:rsidRPr="003C784D" w:rsidRDefault="00265792" w:rsidP="003C784D">
            <w:pPr>
              <w:pStyle w:val="ARfintablebody"/>
            </w:pPr>
          </w:p>
        </w:tc>
        <w:tc>
          <w:tcPr>
            <w:tcW w:w="1701" w:type="dxa"/>
            <w:tcBorders>
              <w:top w:val="single" w:sz="4" w:space="0" w:color="auto"/>
              <w:bottom w:val="single" w:sz="4" w:space="0" w:color="auto"/>
            </w:tcBorders>
            <w:hideMark/>
          </w:tcPr>
          <w:p w14:paraId="06F62C12" w14:textId="77777777" w:rsidR="00265792" w:rsidRPr="00766867" w:rsidRDefault="00265792">
            <w:pPr>
              <w:pStyle w:val="ARfintablebody"/>
            </w:pPr>
          </w:p>
        </w:tc>
        <w:tc>
          <w:tcPr>
            <w:tcW w:w="1445" w:type="dxa"/>
            <w:tcBorders>
              <w:top w:val="single" w:sz="4" w:space="0" w:color="auto"/>
              <w:bottom w:val="single" w:sz="4" w:space="0" w:color="auto"/>
            </w:tcBorders>
            <w:hideMark/>
          </w:tcPr>
          <w:p w14:paraId="2D056B4F" w14:textId="77777777" w:rsidR="00265792" w:rsidRPr="003C784D" w:rsidRDefault="00265792" w:rsidP="003C784D">
            <w:pPr>
              <w:pStyle w:val="ARfintablebodyright"/>
            </w:pPr>
          </w:p>
        </w:tc>
        <w:tc>
          <w:tcPr>
            <w:tcW w:w="1446" w:type="dxa"/>
            <w:tcBorders>
              <w:top w:val="single" w:sz="4" w:space="0" w:color="auto"/>
              <w:bottom w:val="single" w:sz="4" w:space="0" w:color="auto"/>
            </w:tcBorders>
            <w:hideMark/>
          </w:tcPr>
          <w:p w14:paraId="43F27517" w14:textId="77777777" w:rsidR="00265792" w:rsidRPr="003C784D" w:rsidRDefault="00265792" w:rsidP="003C784D">
            <w:pPr>
              <w:pStyle w:val="ARfintablebodyright"/>
            </w:pPr>
          </w:p>
        </w:tc>
        <w:tc>
          <w:tcPr>
            <w:tcW w:w="1446" w:type="dxa"/>
            <w:tcBorders>
              <w:top w:val="single" w:sz="4" w:space="0" w:color="auto"/>
              <w:bottom w:val="single" w:sz="4" w:space="0" w:color="auto"/>
            </w:tcBorders>
            <w:hideMark/>
          </w:tcPr>
          <w:p w14:paraId="4782C075" w14:textId="77777777" w:rsidR="00265792" w:rsidRPr="003C784D" w:rsidRDefault="00265792" w:rsidP="003C784D">
            <w:pPr>
              <w:pStyle w:val="ARfintablebodyright"/>
            </w:pPr>
          </w:p>
        </w:tc>
        <w:tc>
          <w:tcPr>
            <w:tcW w:w="1446" w:type="dxa"/>
            <w:tcBorders>
              <w:top w:val="single" w:sz="4" w:space="0" w:color="auto"/>
              <w:bottom w:val="single" w:sz="4" w:space="0" w:color="auto"/>
            </w:tcBorders>
            <w:hideMark/>
          </w:tcPr>
          <w:p w14:paraId="7E1E1ED1" w14:textId="77777777" w:rsidR="00265792" w:rsidRPr="003C784D" w:rsidRDefault="00265792" w:rsidP="003C784D">
            <w:pPr>
              <w:pStyle w:val="ARfintablebodyright"/>
            </w:pPr>
          </w:p>
        </w:tc>
        <w:tc>
          <w:tcPr>
            <w:tcW w:w="1446" w:type="dxa"/>
            <w:tcBorders>
              <w:top w:val="single" w:sz="4" w:space="0" w:color="auto"/>
              <w:bottom w:val="single" w:sz="4" w:space="0" w:color="auto"/>
            </w:tcBorders>
            <w:hideMark/>
          </w:tcPr>
          <w:p w14:paraId="649141B8" w14:textId="77777777" w:rsidR="00265792" w:rsidRPr="003C784D" w:rsidRDefault="00265792" w:rsidP="003C784D">
            <w:pPr>
              <w:pStyle w:val="ARfintablebodyright"/>
            </w:pPr>
          </w:p>
        </w:tc>
        <w:tc>
          <w:tcPr>
            <w:tcW w:w="1814" w:type="dxa"/>
            <w:tcBorders>
              <w:top w:val="single" w:sz="4" w:space="0" w:color="auto"/>
              <w:bottom w:val="single" w:sz="4" w:space="0" w:color="auto"/>
            </w:tcBorders>
            <w:hideMark/>
          </w:tcPr>
          <w:p w14:paraId="33930B2F" w14:textId="77777777" w:rsidR="00265792" w:rsidRPr="003C784D" w:rsidRDefault="00265792" w:rsidP="003C784D">
            <w:pPr>
              <w:pStyle w:val="ARfintablebodyright"/>
            </w:pPr>
          </w:p>
        </w:tc>
      </w:tr>
      <w:tr w:rsidR="00265792" w:rsidRPr="003C784D" w14:paraId="63D5A0FD" w14:textId="77777777" w:rsidTr="0046720C">
        <w:trPr>
          <w:trHeight w:val="20"/>
        </w:trPr>
        <w:tc>
          <w:tcPr>
            <w:tcW w:w="3119" w:type="dxa"/>
            <w:tcBorders>
              <w:top w:val="single" w:sz="4" w:space="0" w:color="auto"/>
              <w:bottom w:val="single" w:sz="4" w:space="0" w:color="000000" w:themeColor="text1"/>
            </w:tcBorders>
            <w:hideMark/>
          </w:tcPr>
          <w:p w14:paraId="247EA017" w14:textId="77777777" w:rsidR="00265792" w:rsidRPr="003C784D" w:rsidRDefault="00265792" w:rsidP="003C784D">
            <w:pPr>
              <w:pStyle w:val="ARfintablebody"/>
            </w:pPr>
            <w:r w:rsidRPr="003C784D">
              <w:t xml:space="preserve">Ground Lease Model 1 </w:t>
            </w:r>
            <w:r w:rsidRPr="001A4E80">
              <w:t>–</w:t>
            </w:r>
            <w:r w:rsidRPr="003C784D">
              <w:t xml:space="preserve"> Flemington phase 2</w:t>
            </w:r>
          </w:p>
        </w:tc>
        <w:tc>
          <w:tcPr>
            <w:tcW w:w="992" w:type="dxa"/>
            <w:tcBorders>
              <w:top w:val="single" w:sz="4" w:space="0" w:color="auto"/>
              <w:bottom w:val="single" w:sz="4" w:space="0" w:color="000000" w:themeColor="text1"/>
            </w:tcBorders>
            <w:hideMark/>
          </w:tcPr>
          <w:p w14:paraId="28D06813" w14:textId="77777777" w:rsidR="00265792" w:rsidRPr="003C784D" w:rsidRDefault="00265792" w:rsidP="003C784D">
            <w:pPr>
              <w:pStyle w:val="ARfintablebody"/>
            </w:pPr>
            <w:r w:rsidRPr="003C784D">
              <w:t>7.5.3.2</w:t>
            </w:r>
          </w:p>
        </w:tc>
        <w:tc>
          <w:tcPr>
            <w:tcW w:w="1701" w:type="dxa"/>
            <w:tcBorders>
              <w:top w:val="single" w:sz="4" w:space="0" w:color="auto"/>
              <w:bottom w:val="single" w:sz="4" w:space="0" w:color="000000" w:themeColor="text1"/>
            </w:tcBorders>
            <w:shd w:val="clear" w:color="auto" w:fill="EEEEEF" w:themeFill="accent4"/>
            <w:hideMark/>
          </w:tcPr>
          <w:p w14:paraId="5E3572F3" w14:textId="0CBF3C5B" w:rsidR="00265792" w:rsidRPr="003C784D" w:rsidRDefault="00265792" w:rsidP="0046720C">
            <w:pPr>
              <w:pStyle w:val="ARfintablebody"/>
              <w:ind w:left="113"/>
            </w:pPr>
            <w:r w:rsidRPr="003C784D">
              <w:t xml:space="preserve">GORTO </w:t>
            </w:r>
            <w:r w:rsidR="00F83930">
              <w:t>l</w:t>
            </w:r>
            <w:r w:rsidRPr="003C784D">
              <w:t>iability</w:t>
            </w:r>
          </w:p>
        </w:tc>
        <w:tc>
          <w:tcPr>
            <w:tcW w:w="1445" w:type="dxa"/>
            <w:tcBorders>
              <w:top w:val="single" w:sz="4" w:space="0" w:color="auto"/>
              <w:bottom w:val="single" w:sz="4" w:space="0" w:color="000000" w:themeColor="text1"/>
            </w:tcBorders>
            <w:hideMark/>
          </w:tcPr>
          <w:p w14:paraId="4387AA25" w14:textId="77777777" w:rsidR="00265792" w:rsidRPr="003C784D" w:rsidRDefault="00265792" w:rsidP="003C784D">
            <w:pPr>
              <w:pStyle w:val="ARfintablebodyright"/>
            </w:pPr>
            <w:r w:rsidRPr="003C784D">
              <w:t>84,731</w:t>
            </w:r>
          </w:p>
        </w:tc>
        <w:tc>
          <w:tcPr>
            <w:tcW w:w="1446" w:type="dxa"/>
            <w:tcBorders>
              <w:top w:val="single" w:sz="4" w:space="0" w:color="auto"/>
              <w:bottom w:val="single" w:sz="4" w:space="0" w:color="000000" w:themeColor="text1"/>
            </w:tcBorders>
            <w:shd w:val="clear" w:color="auto" w:fill="EEEEEF" w:themeFill="accent4"/>
            <w:hideMark/>
          </w:tcPr>
          <w:p w14:paraId="46972D6D" w14:textId="77777777" w:rsidR="00265792" w:rsidRPr="003C784D" w:rsidRDefault="00265792" w:rsidP="003C784D">
            <w:pPr>
              <w:pStyle w:val="ARfintablebodyright"/>
            </w:pPr>
            <w:r w:rsidRPr="003C784D">
              <w:t>34,563</w:t>
            </w:r>
          </w:p>
        </w:tc>
        <w:tc>
          <w:tcPr>
            <w:tcW w:w="1446" w:type="dxa"/>
            <w:tcBorders>
              <w:top w:val="single" w:sz="4" w:space="0" w:color="auto"/>
              <w:bottom w:val="single" w:sz="4" w:space="0" w:color="000000" w:themeColor="text1"/>
            </w:tcBorders>
            <w:hideMark/>
          </w:tcPr>
          <w:p w14:paraId="30B67C3A" w14:textId="77777777" w:rsidR="00265792" w:rsidRPr="003C784D" w:rsidRDefault="00265792" w:rsidP="003C784D">
            <w:pPr>
              <w:pStyle w:val="ARfintablebodyright"/>
            </w:pPr>
            <w:r>
              <w:t>–</w:t>
            </w:r>
          </w:p>
        </w:tc>
        <w:tc>
          <w:tcPr>
            <w:tcW w:w="1446" w:type="dxa"/>
            <w:tcBorders>
              <w:top w:val="single" w:sz="4" w:space="0" w:color="auto"/>
              <w:bottom w:val="single" w:sz="4" w:space="0" w:color="000000" w:themeColor="text1"/>
            </w:tcBorders>
            <w:shd w:val="clear" w:color="auto" w:fill="EEEEEF" w:themeFill="accent4"/>
            <w:hideMark/>
          </w:tcPr>
          <w:p w14:paraId="63C87770" w14:textId="77777777" w:rsidR="00265792" w:rsidRPr="003C784D" w:rsidRDefault="00265792" w:rsidP="003C784D">
            <w:pPr>
              <w:pStyle w:val="ARfintablebodyright"/>
            </w:pPr>
            <w:r w:rsidRPr="003C784D">
              <w:t>87,130</w:t>
            </w:r>
          </w:p>
        </w:tc>
        <w:tc>
          <w:tcPr>
            <w:tcW w:w="1446" w:type="dxa"/>
            <w:tcBorders>
              <w:top w:val="single" w:sz="4" w:space="0" w:color="auto"/>
              <w:bottom w:val="single" w:sz="4" w:space="0" w:color="000000" w:themeColor="text1"/>
            </w:tcBorders>
            <w:hideMark/>
          </w:tcPr>
          <w:p w14:paraId="1C9AF0A3" w14:textId="77777777" w:rsidR="00265792" w:rsidRPr="003C784D" w:rsidRDefault="00265792" w:rsidP="003C784D">
            <w:pPr>
              <w:pStyle w:val="ARfintablebodyright"/>
            </w:pPr>
            <w:r>
              <w:t>–</w:t>
            </w:r>
          </w:p>
        </w:tc>
        <w:tc>
          <w:tcPr>
            <w:tcW w:w="1814" w:type="dxa"/>
            <w:tcBorders>
              <w:top w:val="single" w:sz="4" w:space="0" w:color="auto"/>
              <w:bottom w:val="single" w:sz="4" w:space="0" w:color="000000" w:themeColor="text1"/>
            </w:tcBorders>
            <w:shd w:val="clear" w:color="auto" w:fill="EEEEEF" w:themeFill="accent4"/>
            <w:hideMark/>
          </w:tcPr>
          <w:p w14:paraId="7F0E54BC" w14:textId="77777777" w:rsidR="00265792" w:rsidRPr="003C784D" w:rsidRDefault="00265792" w:rsidP="003C784D">
            <w:pPr>
              <w:pStyle w:val="ARfintablebodyright"/>
            </w:pPr>
            <w:r>
              <w:t>–</w:t>
            </w:r>
          </w:p>
        </w:tc>
      </w:tr>
      <w:tr w:rsidR="00265792" w:rsidRPr="003C784D" w14:paraId="5FC18A26" w14:textId="77777777" w:rsidTr="0046720C">
        <w:trPr>
          <w:trHeight w:val="20"/>
        </w:trPr>
        <w:tc>
          <w:tcPr>
            <w:tcW w:w="3119" w:type="dxa"/>
            <w:tcBorders>
              <w:top w:val="single" w:sz="4" w:space="0" w:color="000000" w:themeColor="text1"/>
              <w:bottom w:val="single" w:sz="4" w:space="0" w:color="auto"/>
            </w:tcBorders>
            <w:hideMark/>
          </w:tcPr>
          <w:p w14:paraId="158DEAF2" w14:textId="77777777" w:rsidR="00265792" w:rsidRPr="003C784D" w:rsidRDefault="00265792" w:rsidP="003C784D">
            <w:pPr>
              <w:pStyle w:val="ARfintablebody"/>
            </w:pPr>
            <w:r w:rsidRPr="003C784D">
              <w:t>Ground Lease Model 2</w:t>
            </w:r>
          </w:p>
        </w:tc>
        <w:tc>
          <w:tcPr>
            <w:tcW w:w="992" w:type="dxa"/>
            <w:tcBorders>
              <w:top w:val="single" w:sz="4" w:space="0" w:color="000000" w:themeColor="text1"/>
              <w:bottom w:val="single" w:sz="4" w:space="0" w:color="auto"/>
            </w:tcBorders>
            <w:hideMark/>
          </w:tcPr>
          <w:p w14:paraId="007B0203" w14:textId="77777777" w:rsidR="00265792" w:rsidRPr="003C784D" w:rsidRDefault="00265792" w:rsidP="003C784D">
            <w:pPr>
              <w:pStyle w:val="ARfintablebody"/>
            </w:pPr>
            <w:r w:rsidRPr="003C784D">
              <w:t>7.5.3.3</w:t>
            </w:r>
          </w:p>
        </w:tc>
        <w:tc>
          <w:tcPr>
            <w:tcW w:w="1701" w:type="dxa"/>
            <w:tcBorders>
              <w:top w:val="single" w:sz="4" w:space="0" w:color="000000" w:themeColor="text1"/>
              <w:bottom w:val="single" w:sz="4" w:space="0" w:color="auto"/>
            </w:tcBorders>
            <w:shd w:val="clear" w:color="auto" w:fill="EEEEEF" w:themeFill="accent4"/>
            <w:hideMark/>
          </w:tcPr>
          <w:p w14:paraId="0A08D422" w14:textId="4BBE8ACC" w:rsidR="00265792" w:rsidRPr="003C784D" w:rsidRDefault="00265792" w:rsidP="0046720C">
            <w:pPr>
              <w:pStyle w:val="ARfintablebody"/>
              <w:ind w:left="113"/>
            </w:pPr>
            <w:r w:rsidRPr="003C784D">
              <w:t xml:space="preserve">Hybrid (GORTO </w:t>
            </w:r>
            <w:r w:rsidR="00F83930">
              <w:t>and</w:t>
            </w:r>
            <w:r w:rsidRPr="003C784D">
              <w:t xml:space="preserve"> </w:t>
            </w:r>
            <w:r w:rsidR="00F83930">
              <w:t>f</w:t>
            </w:r>
            <w:r w:rsidRPr="003C784D">
              <w:t xml:space="preserve">inancial </w:t>
            </w:r>
            <w:r w:rsidR="00F83930">
              <w:t>l</w:t>
            </w:r>
            <w:r w:rsidRPr="003C784D">
              <w:t>iability)</w:t>
            </w:r>
          </w:p>
        </w:tc>
        <w:tc>
          <w:tcPr>
            <w:tcW w:w="1445" w:type="dxa"/>
            <w:tcBorders>
              <w:top w:val="single" w:sz="4" w:space="0" w:color="000000" w:themeColor="text1"/>
              <w:bottom w:val="single" w:sz="4" w:space="0" w:color="auto"/>
            </w:tcBorders>
            <w:hideMark/>
          </w:tcPr>
          <w:p w14:paraId="0FBEC1D2" w14:textId="77777777" w:rsidR="00265792" w:rsidRPr="003C784D" w:rsidRDefault="00265792" w:rsidP="003C784D">
            <w:pPr>
              <w:pStyle w:val="ARfintablebodyright"/>
            </w:pPr>
            <w:r w:rsidRPr="003C784D">
              <w:t>314,699</w:t>
            </w:r>
          </w:p>
        </w:tc>
        <w:tc>
          <w:tcPr>
            <w:tcW w:w="1446" w:type="dxa"/>
            <w:tcBorders>
              <w:top w:val="single" w:sz="4" w:space="0" w:color="000000" w:themeColor="text1"/>
              <w:bottom w:val="single" w:sz="4" w:space="0" w:color="auto"/>
            </w:tcBorders>
            <w:shd w:val="clear" w:color="auto" w:fill="EEEEEF" w:themeFill="accent4"/>
            <w:hideMark/>
          </w:tcPr>
          <w:p w14:paraId="241E4D60" w14:textId="77777777" w:rsidR="00265792" w:rsidRPr="003C784D" w:rsidRDefault="00265792" w:rsidP="003C784D">
            <w:pPr>
              <w:pStyle w:val="ARfintablebodyright"/>
            </w:pPr>
            <w:r w:rsidRPr="003C784D">
              <w:t>314,699</w:t>
            </w:r>
          </w:p>
        </w:tc>
        <w:tc>
          <w:tcPr>
            <w:tcW w:w="1446" w:type="dxa"/>
            <w:tcBorders>
              <w:top w:val="single" w:sz="4" w:space="0" w:color="000000" w:themeColor="text1"/>
              <w:bottom w:val="single" w:sz="4" w:space="0" w:color="auto"/>
            </w:tcBorders>
            <w:hideMark/>
          </w:tcPr>
          <w:p w14:paraId="398B20EC" w14:textId="77777777" w:rsidR="00265792" w:rsidRPr="003C784D" w:rsidRDefault="00265792" w:rsidP="003C784D">
            <w:pPr>
              <w:pStyle w:val="ARfintablebodyright"/>
            </w:pPr>
            <w:r w:rsidRPr="003C784D">
              <w:t>489,200</w:t>
            </w:r>
          </w:p>
        </w:tc>
        <w:tc>
          <w:tcPr>
            <w:tcW w:w="1446" w:type="dxa"/>
            <w:tcBorders>
              <w:top w:val="single" w:sz="4" w:space="0" w:color="000000" w:themeColor="text1"/>
              <w:bottom w:val="single" w:sz="4" w:space="0" w:color="auto"/>
            </w:tcBorders>
            <w:shd w:val="clear" w:color="auto" w:fill="EEEEEF" w:themeFill="accent4"/>
            <w:hideMark/>
          </w:tcPr>
          <w:p w14:paraId="297AD30B" w14:textId="77777777" w:rsidR="00265792" w:rsidRPr="003C784D" w:rsidRDefault="00265792" w:rsidP="003C784D">
            <w:pPr>
              <w:pStyle w:val="ARfintablebodyright"/>
            </w:pPr>
            <w:r w:rsidRPr="003C784D">
              <w:t>180,000</w:t>
            </w:r>
          </w:p>
        </w:tc>
        <w:tc>
          <w:tcPr>
            <w:tcW w:w="1446" w:type="dxa"/>
            <w:tcBorders>
              <w:top w:val="single" w:sz="4" w:space="0" w:color="000000" w:themeColor="text1"/>
              <w:bottom w:val="single" w:sz="4" w:space="0" w:color="auto"/>
            </w:tcBorders>
            <w:hideMark/>
          </w:tcPr>
          <w:p w14:paraId="67FF0BEF" w14:textId="77777777" w:rsidR="00265792" w:rsidRPr="003C784D" w:rsidRDefault="00265792" w:rsidP="003C784D">
            <w:pPr>
              <w:pStyle w:val="ARfintablebodyright"/>
            </w:pPr>
            <w:r w:rsidRPr="003C784D">
              <w:t>49,817</w:t>
            </w:r>
          </w:p>
        </w:tc>
        <w:tc>
          <w:tcPr>
            <w:tcW w:w="1814" w:type="dxa"/>
            <w:tcBorders>
              <w:top w:val="single" w:sz="4" w:space="0" w:color="000000" w:themeColor="text1"/>
              <w:bottom w:val="single" w:sz="4" w:space="0" w:color="auto"/>
            </w:tcBorders>
            <w:shd w:val="clear" w:color="auto" w:fill="EEEEEF" w:themeFill="accent4"/>
            <w:hideMark/>
          </w:tcPr>
          <w:p w14:paraId="3E79BFD8" w14:textId="77777777" w:rsidR="00265792" w:rsidRPr="003C784D" w:rsidRDefault="00265792" w:rsidP="003C784D">
            <w:pPr>
              <w:pStyle w:val="ARfintablebodyright"/>
            </w:pPr>
            <w:r w:rsidRPr="003C784D">
              <w:t>1,715,364</w:t>
            </w:r>
          </w:p>
        </w:tc>
      </w:tr>
    </w:tbl>
    <w:p w14:paraId="1EDDB4FD" w14:textId="77777777" w:rsidR="00265792" w:rsidRPr="004D3A55" w:rsidRDefault="00265792">
      <w:pPr>
        <w:pStyle w:val="ARfintablefootnote"/>
      </w:pPr>
      <w:r w:rsidRPr="00CD67DA">
        <w:t>Notes:</w:t>
      </w:r>
    </w:p>
    <w:p w14:paraId="3A7517F1" w14:textId="0E78187F" w:rsidR="00265792" w:rsidRPr="004D3A55" w:rsidRDefault="00265792">
      <w:pPr>
        <w:pStyle w:val="ARfintablefootnotetabindent"/>
      </w:pPr>
      <w:r w:rsidRPr="004D3A55">
        <w:t>(</w:t>
      </w:r>
      <w:proofErr w:type="spellStart"/>
      <w:r w:rsidRPr="004D3A55">
        <w:t>i</w:t>
      </w:r>
      <w:proofErr w:type="spellEnd"/>
      <w:r w:rsidRPr="004D3A55">
        <w:t xml:space="preserve">) </w:t>
      </w:r>
      <w:r>
        <w:tab/>
      </w:r>
      <w:r w:rsidRPr="004D3A55">
        <w:t xml:space="preserve">For arrangements within the scope of AASB 1059, on transition and at initial recognition a public sector grantor is required to record the asset(s) used in the service concession arrangement at current replacement cost in accordance with the cost approach to fair value under AASB 13 </w:t>
      </w:r>
      <w:r w:rsidRPr="00E15716">
        <w:rPr>
          <w:rStyle w:val="Emphasis"/>
        </w:rPr>
        <w:t>Fair Value Measurement</w:t>
      </w:r>
      <w:r w:rsidRPr="004D3A55">
        <w:t>, with a related liability, which in the case of the Project results in the combination of a financial liability and a ‘</w:t>
      </w:r>
      <w:r w:rsidR="00F83930">
        <w:t>g</w:t>
      </w:r>
      <w:r w:rsidRPr="004D3A55">
        <w:t xml:space="preserve">rant </w:t>
      </w:r>
      <w:r w:rsidR="00F83930">
        <w:t>o</w:t>
      </w:r>
      <w:r w:rsidRPr="004D3A55">
        <w:t xml:space="preserve">f </w:t>
      </w:r>
      <w:r w:rsidR="00F83930">
        <w:t>a</w:t>
      </w:r>
      <w:r w:rsidRPr="004D3A55">
        <w:t xml:space="preserve"> </w:t>
      </w:r>
      <w:r w:rsidR="00F83930">
        <w:t>r</w:t>
      </w:r>
      <w:r w:rsidRPr="004D3A55">
        <w:t xml:space="preserve">ight </w:t>
      </w:r>
      <w:r w:rsidR="00F83930">
        <w:t>t</w:t>
      </w:r>
      <w:r w:rsidRPr="004D3A55">
        <w:t xml:space="preserve">o </w:t>
      </w:r>
      <w:r w:rsidR="00F83930">
        <w:t>t</w:t>
      </w:r>
      <w:r w:rsidRPr="004D3A55">
        <w:t>he Operator’ or GORTO liability.</w:t>
      </w:r>
    </w:p>
    <w:p w14:paraId="39243DB6" w14:textId="77777777" w:rsidR="00265792" w:rsidRPr="004D3A55" w:rsidRDefault="00265792">
      <w:pPr>
        <w:pStyle w:val="ARfintablefootnotetabindent"/>
      </w:pPr>
      <w:r w:rsidRPr="004D3A55">
        <w:t xml:space="preserve">(ii) </w:t>
      </w:r>
      <w:r>
        <w:tab/>
      </w:r>
      <w:r w:rsidRPr="004D3A55">
        <w:t>Total commitments represent the nominal value of the total service payments to be incurred during the Project’s 40-year operations phase and includes the capital contribution component.</w:t>
      </w:r>
    </w:p>
    <w:p w14:paraId="3E603BB2" w14:textId="77777777" w:rsidR="00265792" w:rsidRPr="004D3A55" w:rsidRDefault="00265792">
      <w:pPr>
        <w:pStyle w:val="ARfintablefootnotetabindent"/>
      </w:pPr>
      <w:r w:rsidRPr="004D3A55">
        <w:t xml:space="preserve">(iii) </w:t>
      </w:r>
      <w:r>
        <w:tab/>
      </w:r>
      <w:r w:rsidRPr="004D3A55">
        <w:t>The total nominal value of the commitments includes GST.</w:t>
      </w:r>
    </w:p>
    <w:p w14:paraId="0CDEE792" w14:textId="77777777" w:rsidR="00265792" w:rsidRDefault="00265792">
      <w:pPr>
        <w:pStyle w:val="ARfintablefootnotetabindent"/>
      </w:pPr>
      <w:r w:rsidRPr="004D3A55">
        <w:t xml:space="preserve">(iv) </w:t>
      </w:r>
      <w:r>
        <w:tab/>
      </w:r>
      <w:r w:rsidRPr="004D3A55">
        <w:t>Capital</w:t>
      </w:r>
      <w:r>
        <w:t xml:space="preserve"> contribution for Ground Lease Model 1 – PHRP phase 1 has been fully drawn down over the construction term.</w:t>
      </w:r>
      <w:r>
        <w:tab/>
      </w:r>
    </w:p>
    <w:p w14:paraId="5E667F97" w14:textId="77777777" w:rsidR="00265792" w:rsidRDefault="00265792">
      <w:pPr>
        <w:pStyle w:val="ARfintablefootnotetabindent"/>
      </w:pPr>
      <w:r>
        <w:t>(v)</w:t>
      </w:r>
      <w:r>
        <w:tab/>
      </w:r>
      <w:r w:rsidRPr="00F54EBE">
        <w:t xml:space="preserve">The discounted value of the liability </w:t>
      </w:r>
      <w:r>
        <w:t>represents</w:t>
      </w:r>
      <w:r w:rsidRPr="00F54EBE">
        <w:t xml:space="preserve"> the capital component of the future Quarterly Service Payment</w:t>
      </w:r>
      <w:r>
        <w:t xml:space="preserve"> </w:t>
      </w:r>
      <w:r w:rsidRPr="00F54EBE">
        <w:t>cash flows to be paid as at the expected date of commissioning (Commercial acceptance date).</w:t>
      </w:r>
    </w:p>
    <w:p w14:paraId="1D399C80" w14:textId="77777777" w:rsidR="00265792" w:rsidRDefault="00265792">
      <w:pPr>
        <w:pStyle w:val="ARfintablefootnotetabindent"/>
        <w:ind w:left="0" w:firstLine="0"/>
        <w:sectPr w:rsidR="00265792" w:rsidSect="007F43B1">
          <w:endnotePr>
            <w:numFmt w:val="decimal"/>
          </w:endnotePr>
          <w:pgSz w:w="16840" w:h="11900" w:orient="landscape" w:code="9"/>
          <w:pgMar w:top="1134" w:right="1134" w:bottom="1134" w:left="851" w:header="510" w:footer="340" w:gutter="0"/>
          <w:cols w:space="448"/>
          <w:docGrid w:linePitch="299"/>
        </w:sectPr>
      </w:pPr>
    </w:p>
    <w:tbl>
      <w:tblPr>
        <w:tblStyle w:val="TableGrid"/>
        <w:tblW w:w="14884" w:type="dxa"/>
        <w:tblLayout w:type="fixed"/>
        <w:tblLook w:val="04A0" w:firstRow="1" w:lastRow="0" w:firstColumn="1" w:lastColumn="0" w:noHBand="0" w:noVBand="1"/>
      </w:tblPr>
      <w:tblGrid>
        <w:gridCol w:w="3119"/>
        <w:gridCol w:w="992"/>
        <w:gridCol w:w="1701"/>
        <w:gridCol w:w="1468"/>
        <w:gridCol w:w="1440"/>
        <w:gridCol w:w="1440"/>
        <w:gridCol w:w="1440"/>
        <w:gridCol w:w="1441"/>
        <w:gridCol w:w="1843"/>
      </w:tblGrid>
      <w:tr w:rsidR="00737EC8" w:rsidRPr="00A6279C" w14:paraId="51D86B88" w14:textId="77777777" w:rsidTr="0046720C">
        <w:trPr>
          <w:cnfStyle w:val="100000000000" w:firstRow="1" w:lastRow="0" w:firstColumn="0" w:lastColumn="0" w:oddVBand="0" w:evenVBand="0" w:oddHBand="0" w:evenHBand="0" w:firstRowFirstColumn="0" w:firstRowLastColumn="0" w:lastRowFirstColumn="0" w:lastRowLastColumn="0"/>
          <w:trHeight w:val="20"/>
        </w:trPr>
        <w:tc>
          <w:tcPr>
            <w:tcW w:w="3119" w:type="dxa"/>
            <w:noWrap/>
            <w:hideMark/>
          </w:tcPr>
          <w:p w14:paraId="46358968" w14:textId="77777777" w:rsidR="00265792" w:rsidRPr="00A6279C" w:rsidRDefault="00265792" w:rsidP="006938EC">
            <w:pPr>
              <w:pStyle w:val="ARfintablecolhead"/>
            </w:pPr>
            <w:r w:rsidRPr="00A6279C">
              <w:lastRenderedPageBreak/>
              <w:t>Commissioned 2024</w:t>
            </w:r>
          </w:p>
        </w:tc>
        <w:tc>
          <w:tcPr>
            <w:tcW w:w="992" w:type="dxa"/>
            <w:hideMark/>
          </w:tcPr>
          <w:p w14:paraId="0EE52962" w14:textId="77777777" w:rsidR="00265792" w:rsidRPr="00A6279C" w:rsidRDefault="00265792" w:rsidP="00A6279C">
            <w:pPr>
              <w:pStyle w:val="ARfintablebody"/>
              <w:rPr>
                <w:b/>
                <w:bCs/>
              </w:rPr>
            </w:pPr>
            <w:r w:rsidRPr="00A6279C">
              <w:rPr>
                <w:b/>
                <w:bCs/>
              </w:rPr>
              <w:t>Notes</w:t>
            </w:r>
          </w:p>
        </w:tc>
        <w:tc>
          <w:tcPr>
            <w:tcW w:w="1701" w:type="dxa"/>
            <w:shd w:val="clear" w:color="auto" w:fill="EEEEEF" w:themeFill="accent4"/>
            <w:hideMark/>
          </w:tcPr>
          <w:p w14:paraId="08715CD6" w14:textId="77777777" w:rsidR="00265792" w:rsidRPr="00A6279C" w:rsidRDefault="00265792" w:rsidP="0046720C">
            <w:pPr>
              <w:pStyle w:val="ARfintablebody"/>
              <w:ind w:left="113"/>
              <w:rPr>
                <w:b/>
                <w:bCs/>
              </w:rPr>
            </w:pPr>
            <w:r w:rsidRPr="00A6279C">
              <w:rPr>
                <w:b/>
                <w:bCs/>
              </w:rPr>
              <w:t>Classification of Arrangement</w:t>
            </w:r>
          </w:p>
        </w:tc>
        <w:tc>
          <w:tcPr>
            <w:tcW w:w="1468" w:type="dxa"/>
            <w:hideMark/>
          </w:tcPr>
          <w:p w14:paraId="0003351E" w14:textId="77777777" w:rsidR="00265792" w:rsidRPr="00A6279C" w:rsidRDefault="00265792" w:rsidP="006938EC">
            <w:pPr>
              <w:pStyle w:val="ARfintablecolheadright"/>
            </w:pPr>
            <w:r w:rsidRPr="00A6279C">
              <w:t xml:space="preserve">Carrying amount of asset as </w:t>
            </w:r>
            <w:proofErr w:type="gramStart"/>
            <w:r w:rsidRPr="00A6279C">
              <w:t>at</w:t>
            </w:r>
            <w:proofErr w:type="gramEnd"/>
            <w:r w:rsidRPr="00A6279C">
              <w:t xml:space="preserve"> 30 June</w:t>
            </w:r>
            <w:r>
              <w:t xml:space="preserve"> </w:t>
            </w:r>
            <w:r w:rsidRPr="00A6279C">
              <w:rPr>
                <w:vertAlign w:val="superscript"/>
              </w:rPr>
              <w:t>(</w:t>
            </w:r>
            <w:proofErr w:type="spellStart"/>
            <w:r w:rsidRPr="00A6279C">
              <w:rPr>
                <w:vertAlign w:val="superscript"/>
              </w:rPr>
              <w:t>i</w:t>
            </w:r>
            <w:proofErr w:type="spellEnd"/>
            <w:r w:rsidRPr="00A6279C">
              <w:rPr>
                <w:vertAlign w:val="superscript"/>
              </w:rPr>
              <w:t>)</w:t>
            </w:r>
          </w:p>
          <w:p w14:paraId="16197C4B" w14:textId="77777777" w:rsidR="00265792" w:rsidRPr="00A6279C" w:rsidRDefault="00265792" w:rsidP="006938EC">
            <w:pPr>
              <w:pStyle w:val="ARfintablecolheadright"/>
            </w:pPr>
            <w:r w:rsidRPr="00A6279C">
              <w:t>$000</w:t>
            </w:r>
          </w:p>
        </w:tc>
        <w:tc>
          <w:tcPr>
            <w:tcW w:w="1440" w:type="dxa"/>
            <w:shd w:val="clear" w:color="auto" w:fill="EEEEEF" w:themeFill="accent4"/>
            <w:hideMark/>
          </w:tcPr>
          <w:p w14:paraId="6AC20C28" w14:textId="77777777" w:rsidR="00265792" w:rsidRPr="00A6279C" w:rsidRDefault="00265792" w:rsidP="006938EC">
            <w:pPr>
              <w:pStyle w:val="ARfintablecolheadright"/>
            </w:pPr>
            <w:r w:rsidRPr="00A6279C">
              <w:t xml:space="preserve">Carrying amount of liability as </w:t>
            </w:r>
            <w:proofErr w:type="gramStart"/>
            <w:r w:rsidRPr="00A6279C">
              <w:t>at</w:t>
            </w:r>
            <w:proofErr w:type="gramEnd"/>
            <w:r w:rsidRPr="00A6279C">
              <w:t xml:space="preserve"> 30 June</w:t>
            </w:r>
            <w:r>
              <w:t xml:space="preserve"> </w:t>
            </w:r>
            <w:r w:rsidRPr="00A6279C">
              <w:rPr>
                <w:vertAlign w:val="superscript"/>
              </w:rPr>
              <w:t>(</w:t>
            </w:r>
            <w:proofErr w:type="spellStart"/>
            <w:r w:rsidRPr="00A6279C">
              <w:rPr>
                <w:vertAlign w:val="superscript"/>
              </w:rPr>
              <w:t>i</w:t>
            </w:r>
            <w:proofErr w:type="spellEnd"/>
            <w:r w:rsidRPr="00A6279C">
              <w:rPr>
                <w:vertAlign w:val="superscript"/>
              </w:rPr>
              <w:t>)</w:t>
            </w:r>
          </w:p>
          <w:p w14:paraId="31594A10" w14:textId="77777777" w:rsidR="00265792" w:rsidRPr="00A6279C" w:rsidRDefault="00265792" w:rsidP="006938EC">
            <w:pPr>
              <w:pStyle w:val="ARfintablecolheadright"/>
            </w:pPr>
            <w:r w:rsidRPr="00A6279C">
              <w:t>$000</w:t>
            </w:r>
          </w:p>
        </w:tc>
        <w:tc>
          <w:tcPr>
            <w:tcW w:w="1440" w:type="dxa"/>
            <w:hideMark/>
          </w:tcPr>
          <w:p w14:paraId="497B1CC8" w14:textId="77777777" w:rsidR="00265792" w:rsidRPr="00A6279C" w:rsidRDefault="00265792" w:rsidP="006938EC">
            <w:pPr>
              <w:pStyle w:val="ARfintablecolheadright"/>
            </w:pPr>
            <w:r w:rsidRPr="00A6279C">
              <w:t xml:space="preserve">Liability as </w:t>
            </w:r>
            <w:proofErr w:type="gramStart"/>
            <w:r w:rsidRPr="00A6279C">
              <w:t>at</w:t>
            </w:r>
            <w:proofErr w:type="gramEnd"/>
            <w:r w:rsidRPr="00A6279C">
              <w:t xml:space="preserve"> 30 June</w:t>
            </w:r>
            <w:r>
              <w:t xml:space="preserve"> </w:t>
            </w:r>
            <w:r w:rsidRPr="00E126D0">
              <w:rPr>
                <w:vertAlign w:val="superscript"/>
              </w:rPr>
              <w:t>(v)</w:t>
            </w:r>
          </w:p>
          <w:p w14:paraId="130BFDC0" w14:textId="177076BB" w:rsidR="00265792" w:rsidRDefault="003B1593" w:rsidP="006938EC">
            <w:pPr>
              <w:pStyle w:val="ARfintablecolheadright"/>
            </w:pPr>
            <w:r>
              <w:t>d</w:t>
            </w:r>
            <w:r w:rsidR="00265792" w:rsidRPr="00A6279C">
              <w:t xml:space="preserve">iscounted </w:t>
            </w:r>
            <w:r>
              <w:t>v</w:t>
            </w:r>
            <w:r w:rsidR="00265792" w:rsidRPr="00A6279C">
              <w:t>alue</w:t>
            </w:r>
          </w:p>
          <w:p w14:paraId="4E12611A" w14:textId="77777777" w:rsidR="00265792" w:rsidRPr="00A6279C" w:rsidRDefault="00265792" w:rsidP="006938EC">
            <w:pPr>
              <w:pStyle w:val="ARfintablecolheadright"/>
            </w:pPr>
            <w:r w:rsidRPr="00A6279C">
              <w:t>$000</w:t>
            </w:r>
          </w:p>
        </w:tc>
        <w:tc>
          <w:tcPr>
            <w:tcW w:w="1440" w:type="dxa"/>
            <w:shd w:val="clear" w:color="auto" w:fill="EEEEEF" w:themeFill="accent4"/>
            <w:hideMark/>
          </w:tcPr>
          <w:p w14:paraId="3223FEAF" w14:textId="50879B9B" w:rsidR="00265792" w:rsidRPr="00A6279C" w:rsidRDefault="00265792" w:rsidP="006938EC">
            <w:pPr>
              <w:pStyle w:val="ARfintablecolheadright"/>
            </w:pPr>
            <w:r w:rsidRPr="00A6279C">
              <w:t xml:space="preserve">Capital </w:t>
            </w:r>
            <w:r w:rsidR="003B1593">
              <w:t>c</w:t>
            </w:r>
            <w:r w:rsidRPr="00A6279C">
              <w:t xml:space="preserve">ontribution </w:t>
            </w:r>
          </w:p>
          <w:p w14:paraId="29EE4A0E" w14:textId="4ED11D31" w:rsidR="00265792" w:rsidRDefault="003B1593" w:rsidP="006938EC">
            <w:pPr>
              <w:pStyle w:val="ARfintablecolheadright"/>
            </w:pPr>
            <w:r>
              <w:t>n</w:t>
            </w:r>
            <w:r w:rsidR="00265792" w:rsidRPr="00A6279C">
              <w:t xml:space="preserve">ominal </w:t>
            </w:r>
            <w:r>
              <w:t>v</w:t>
            </w:r>
            <w:r w:rsidR="00265792" w:rsidRPr="00A6279C">
              <w:t>alue</w:t>
            </w:r>
          </w:p>
          <w:p w14:paraId="359BC3B1" w14:textId="77777777" w:rsidR="00265792" w:rsidRPr="00A6279C" w:rsidRDefault="00265792" w:rsidP="006938EC">
            <w:pPr>
              <w:pStyle w:val="ARfintablecolheadright"/>
            </w:pPr>
            <w:r w:rsidRPr="00A6279C">
              <w:t>$000</w:t>
            </w:r>
          </w:p>
        </w:tc>
        <w:tc>
          <w:tcPr>
            <w:tcW w:w="1441" w:type="dxa"/>
            <w:hideMark/>
          </w:tcPr>
          <w:p w14:paraId="33AF3784" w14:textId="4759C415" w:rsidR="00265792" w:rsidRPr="00A6279C" w:rsidRDefault="00265792" w:rsidP="006938EC">
            <w:pPr>
              <w:pStyle w:val="ARfintablecolheadright"/>
            </w:pPr>
            <w:r w:rsidRPr="00A6279C">
              <w:t xml:space="preserve">Other </w:t>
            </w:r>
            <w:r w:rsidR="003B1593">
              <w:t>c</w:t>
            </w:r>
            <w:r w:rsidRPr="00A6279C">
              <w:t>ommitments</w:t>
            </w:r>
          </w:p>
          <w:p w14:paraId="63F1911A" w14:textId="551749DD" w:rsidR="00265792" w:rsidRDefault="003B1593" w:rsidP="006938EC">
            <w:pPr>
              <w:pStyle w:val="ARfintablecolheadright"/>
            </w:pPr>
            <w:r>
              <w:t>p</w:t>
            </w:r>
            <w:r w:rsidR="00265792" w:rsidRPr="00A6279C">
              <w:t xml:space="preserve">resent </w:t>
            </w:r>
            <w:r>
              <w:t>v</w:t>
            </w:r>
            <w:r w:rsidR="00265792" w:rsidRPr="00A6279C">
              <w:t>alue</w:t>
            </w:r>
          </w:p>
          <w:p w14:paraId="45587D98" w14:textId="77777777" w:rsidR="00265792" w:rsidRPr="00A6279C" w:rsidRDefault="00265792" w:rsidP="006938EC">
            <w:pPr>
              <w:pStyle w:val="ARfintablecolheadright"/>
            </w:pPr>
            <w:r w:rsidRPr="00A6279C">
              <w:t>$000</w:t>
            </w:r>
          </w:p>
        </w:tc>
        <w:tc>
          <w:tcPr>
            <w:tcW w:w="1843" w:type="dxa"/>
            <w:shd w:val="clear" w:color="auto" w:fill="EEEEEF" w:themeFill="accent4"/>
            <w:hideMark/>
          </w:tcPr>
          <w:p w14:paraId="6ED70051" w14:textId="77777777" w:rsidR="00265792" w:rsidRPr="00A6279C" w:rsidRDefault="00265792" w:rsidP="006938EC">
            <w:pPr>
              <w:pStyle w:val="ARfintablecolheadright"/>
            </w:pPr>
            <w:r w:rsidRPr="00A6279C">
              <w:t>Commitments</w:t>
            </w:r>
            <w:r>
              <w:t xml:space="preserve"> </w:t>
            </w:r>
            <w:r w:rsidRPr="00A6279C">
              <w:rPr>
                <w:vertAlign w:val="superscript"/>
              </w:rPr>
              <w:t>(ii)(iii)</w:t>
            </w:r>
          </w:p>
          <w:p w14:paraId="493403EF" w14:textId="4457AB15" w:rsidR="00265792" w:rsidRDefault="003B1593" w:rsidP="006938EC">
            <w:pPr>
              <w:pStyle w:val="ARfintablecolheadright"/>
            </w:pPr>
            <w:r>
              <w:t>n</w:t>
            </w:r>
            <w:r w:rsidR="00265792" w:rsidRPr="00A6279C">
              <w:t xml:space="preserve">ominal </w:t>
            </w:r>
            <w:r>
              <w:t>v</w:t>
            </w:r>
            <w:r w:rsidR="00265792" w:rsidRPr="00A6279C">
              <w:t>alue</w:t>
            </w:r>
          </w:p>
          <w:p w14:paraId="6B87BFDD" w14:textId="77777777" w:rsidR="00265792" w:rsidRPr="00A6279C" w:rsidRDefault="00265792" w:rsidP="006938EC">
            <w:pPr>
              <w:pStyle w:val="ARfintablecolheadright"/>
            </w:pPr>
            <w:r w:rsidRPr="00A6279C">
              <w:t>$000</w:t>
            </w:r>
          </w:p>
        </w:tc>
      </w:tr>
      <w:tr w:rsidR="00265792" w:rsidRPr="00A6279C" w14:paraId="2EA4221B" w14:textId="77777777" w:rsidTr="0046720C">
        <w:trPr>
          <w:trHeight w:val="20"/>
        </w:trPr>
        <w:tc>
          <w:tcPr>
            <w:tcW w:w="3119" w:type="dxa"/>
            <w:tcBorders>
              <w:top w:val="single" w:sz="4" w:space="0" w:color="000000" w:themeColor="text1"/>
              <w:bottom w:val="single" w:sz="4" w:space="0" w:color="auto"/>
            </w:tcBorders>
            <w:hideMark/>
          </w:tcPr>
          <w:p w14:paraId="76A2301F" w14:textId="77777777" w:rsidR="00265792" w:rsidRPr="006938EC" w:rsidRDefault="00265792" w:rsidP="006938EC">
            <w:pPr>
              <w:pStyle w:val="ARfintablebody"/>
            </w:pPr>
            <w:r w:rsidRPr="006938EC">
              <w:t xml:space="preserve">Ground Lease Model 1 </w:t>
            </w:r>
            <w:r w:rsidRPr="001A4E80">
              <w:t>–</w:t>
            </w:r>
            <w:r w:rsidRPr="006938EC">
              <w:t xml:space="preserve"> </w:t>
            </w:r>
            <w:r>
              <w:br/>
            </w:r>
            <w:r w:rsidRPr="006938EC">
              <w:t>PHRP phase 1 (iv)</w:t>
            </w:r>
          </w:p>
        </w:tc>
        <w:tc>
          <w:tcPr>
            <w:tcW w:w="992" w:type="dxa"/>
            <w:tcBorders>
              <w:top w:val="single" w:sz="4" w:space="0" w:color="000000" w:themeColor="text1"/>
              <w:bottom w:val="single" w:sz="4" w:space="0" w:color="auto"/>
            </w:tcBorders>
            <w:hideMark/>
          </w:tcPr>
          <w:p w14:paraId="471D0ECC" w14:textId="77777777" w:rsidR="00265792" w:rsidRPr="006938EC" w:rsidRDefault="00265792" w:rsidP="006938EC">
            <w:pPr>
              <w:pStyle w:val="ARfintablebody"/>
            </w:pPr>
            <w:r w:rsidRPr="006938EC">
              <w:t>7.5.3.1</w:t>
            </w:r>
          </w:p>
        </w:tc>
        <w:tc>
          <w:tcPr>
            <w:tcW w:w="1701" w:type="dxa"/>
            <w:tcBorders>
              <w:top w:val="single" w:sz="4" w:space="0" w:color="000000" w:themeColor="text1"/>
              <w:bottom w:val="single" w:sz="4" w:space="0" w:color="auto"/>
            </w:tcBorders>
            <w:shd w:val="clear" w:color="auto" w:fill="EEEEEF" w:themeFill="accent4"/>
            <w:hideMark/>
          </w:tcPr>
          <w:p w14:paraId="40CD7390" w14:textId="77777777" w:rsidR="00265792" w:rsidRPr="006938EC" w:rsidRDefault="00265792" w:rsidP="0046720C">
            <w:pPr>
              <w:pStyle w:val="ARfintablebody"/>
              <w:ind w:left="113"/>
            </w:pPr>
            <w:r w:rsidRPr="006938EC">
              <w:t>Hybrid (GORTO &amp; Financial Liability)</w:t>
            </w:r>
          </w:p>
        </w:tc>
        <w:tc>
          <w:tcPr>
            <w:tcW w:w="1468" w:type="dxa"/>
            <w:tcBorders>
              <w:top w:val="single" w:sz="4" w:space="0" w:color="000000" w:themeColor="text1"/>
              <w:bottom w:val="single" w:sz="4" w:space="0" w:color="auto"/>
            </w:tcBorders>
            <w:hideMark/>
          </w:tcPr>
          <w:p w14:paraId="24D731C8" w14:textId="77777777" w:rsidR="00265792" w:rsidRPr="00A6279C" w:rsidRDefault="00265792" w:rsidP="006938EC">
            <w:pPr>
              <w:pStyle w:val="ARfintablebodyright"/>
            </w:pPr>
            <w:r w:rsidRPr="00A6279C">
              <w:t>349,015</w:t>
            </w:r>
          </w:p>
        </w:tc>
        <w:tc>
          <w:tcPr>
            <w:tcW w:w="1440" w:type="dxa"/>
            <w:tcBorders>
              <w:top w:val="single" w:sz="4" w:space="0" w:color="000000" w:themeColor="text1"/>
              <w:bottom w:val="single" w:sz="4" w:space="0" w:color="auto"/>
            </w:tcBorders>
            <w:shd w:val="clear" w:color="auto" w:fill="EEEEEF" w:themeFill="accent4"/>
            <w:hideMark/>
          </w:tcPr>
          <w:p w14:paraId="6E9D90A8" w14:textId="77777777" w:rsidR="00265792" w:rsidRPr="00A6279C" w:rsidRDefault="00265792" w:rsidP="006938EC">
            <w:pPr>
              <w:pStyle w:val="ARfintablebodyright"/>
            </w:pPr>
            <w:r w:rsidRPr="00A6279C">
              <w:t>301,535</w:t>
            </w:r>
          </w:p>
        </w:tc>
        <w:tc>
          <w:tcPr>
            <w:tcW w:w="1440" w:type="dxa"/>
            <w:tcBorders>
              <w:top w:val="single" w:sz="4" w:space="0" w:color="000000" w:themeColor="text1"/>
              <w:bottom w:val="single" w:sz="4" w:space="0" w:color="auto"/>
            </w:tcBorders>
            <w:hideMark/>
          </w:tcPr>
          <w:p w14:paraId="2DC3766B" w14:textId="77777777" w:rsidR="00265792" w:rsidRPr="00A6279C" w:rsidRDefault="00265792" w:rsidP="006938EC">
            <w:pPr>
              <w:pStyle w:val="ARfintablebodyright"/>
            </w:pPr>
            <w:r>
              <w:t>–</w:t>
            </w:r>
          </w:p>
        </w:tc>
        <w:tc>
          <w:tcPr>
            <w:tcW w:w="1440" w:type="dxa"/>
            <w:tcBorders>
              <w:top w:val="single" w:sz="4" w:space="0" w:color="000000" w:themeColor="text1"/>
              <w:bottom w:val="single" w:sz="4" w:space="0" w:color="auto"/>
            </w:tcBorders>
            <w:shd w:val="clear" w:color="auto" w:fill="EEEEEF" w:themeFill="accent4"/>
            <w:hideMark/>
          </w:tcPr>
          <w:p w14:paraId="3EA2A43D" w14:textId="77777777" w:rsidR="00265792" w:rsidRPr="00A6279C" w:rsidRDefault="00265792" w:rsidP="006938EC">
            <w:pPr>
              <w:pStyle w:val="ARfintablebodyright"/>
            </w:pPr>
            <w:r>
              <w:t>–</w:t>
            </w:r>
          </w:p>
        </w:tc>
        <w:tc>
          <w:tcPr>
            <w:tcW w:w="1441" w:type="dxa"/>
            <w:tcBorders>
              <w:top w:val="single" w:sz="4" w:space="0" w:color="000000" w:themeColor="text1"/>
              <w:bottom w:val="single" w:sz="4" w:space="0" w:color="auto"/>
            </w:tcBorders>
            <w:hideMark/>
          </w:tcPr>
          <w:p w14:paraId="008388F0" w14:textId="77777777" w:rsidR="00265792" w:rsidRPr="00A6279C" w:rsidRDefault="00265792" w:rsidP="006938EC">
            <w:pPr>
              <w:pStyle w:val="ARfintablebodyright"/>
            </w:pPr>
            <w:r w:rsidRPr="00A6279C">
              <w:t>37,741.</w:t>
            </w:r>
          </w:p>
        </w:tc>
        <w:tc>
          <w:tcPr>
            <w:tcW w:w="1843" w:type="dxa"/>
            <w:tcBorders>
              <w:top w:val="single" w:sz="4" w:space="0" w:color="000000" w:themeColor="text1"/>
              <w:bottom w:val="single" w:sz="4" w:space="0" w:color="auto"/>
            </w:tcBorders>
            <w:shd w:val="clear" w:color="auto" w:fill="EEEEEF" w:themeFill="accent4"/>
            <w:hideMark/>
          </w:tcPr>
          <w:p w14:paraId="51290B52" w14:textId="77777777" w:rsidR="00265792" w:rsidRPr="00A6279C" w:rsidRDefault="00265792" w:rsidP="006938EC">
            <w:pPr>
              <w:pStyle w:val="ARfintablebodyright"/>
            </w:pPr>
            <w:r w:rsidRPr="00A6279C">
              <w:t>141,846</w:t>
            </w:r>
          </w:p>
        </w:tc>
      </w:tr>
      <w:tr w:rsidR="00265792" w:rsidRPr="00A6279C" w14:paraId="50B42796" w14:textId="77777777" w:rsidTr="0046720C">
        <w:trPr>
          <w:trHeight w:val="20"/>
        </w:trPr>
        <w:tc>
          <w:tcPr>
            <w:tcW w:w="3119" w:type="dxa"/>
            <w:tcBorders>
              <w:top w:val="single" w:sz="4" w:space="0" w:color="auto"/>
              <w:bottom w:val="single" w:sz="4" w:space="0" w:color="auto"/>
            </w:tcBorders>
            <w:hideMark/>
          </w:tcPr>
          <w:p w14:paraId="69BD3887" w14:textId="77777777" w:rsidR="00265792" w:rsidRPr="006938EC" w:rsidRDefault="00265792" w:rsidP="006938EC">
            <w:pPr>
              <w:pStyle w:val="ARfintablebodybold"/>
            </w:pPr>
            <w:r w:rsidRPr="006938EC">
              <w:t>Uncommissioned 2024</w:t>
            </w:r>
          </w:p>
        </w:tc>
        <w:tc>
          <w:tcPr>
            <w:tcW w:w="992" w:type="dxa"/>
            <w:tcBorders>
              <w:top w:val="single" w:sz="4" w:space="0" w:color="auto"/>
              <w:bottom w:val="single" w:sz="4" w:space="0" w:color="auto"/>
            </w:tcBorders>
          </w:tcPr>
          <w:p w14:paraId="1B2E8144" w14:textId="77777777" w:rsidR="00265792" w:rsidRPr="006938EC" w:rsidRDefault="00265792" w:rsidP="006938EC">
            <w:pPr>
              <w:pStyle w:val="ARfintablebody"/>
            </w:pPr>
          </w:p>
        </w:tc>
        <w:tc>
          <w:tcPr>
            <w:tcW w:w="1701" w:type="dxa"/>
            <w:tcBorders>
              <w:top w:val="single" w:sz="4" w:space="0" w:color="auto"/>
              <w:bottom w:val="single" w:sz="4" w:space="0" w:color="auto"/>
            </w:tcBorders>
          </w:tcPr>
          <w:p w14:paraId="6221C898" w14:textId="77777777" w:rsidR="00265792" w:rsidRPr="006938EC" w:rsidRDefault="00265792" w:rsidP="0046720C">
            <w:pPr>
              <w:pStyle w:val="ARfintablebody"/>
              <w:ind w:left="113"/>
            </w:pPr>
          </w:p>
        </w:tc>
        <w:tc>
          <w:tcPr>
            <w:tcW w:w="1468" w:type="dxa"/>
            <w:tcBorders>
              <w:top w:val="single" w:sz="4" w:space="0" w:color="auto"/>
              <w:bottom w:val="single" w:sz="4" w:space="0" w:color="auto"/>
            </w:tcBorders>
          </w:tcPr>
          <w:p w14:paraId="45196694" w14:textId="77777777" w:rsidR="00265792" w:rsidRPr="00A6279C" w:rsidRDefault="00265792" w:rsidP="006938EC">
            <w:pPr>
              <w:pStyle w:val="ARfintablebodyright"/>
            </w:pPr>
          </w:p>
        </w:tc>
        <w:tc>
          <w:tcPr>
            <w:tcW w:w="1440" w:type="dxa"/>
            <w:tcBorders>
              <w:top w:val="single" w:sz="4" w:space="0" w:color="auto"/>
              <w:bottom w:val="single" w:sz="4" w:space="0" w:color="auto"/>
            </w:tcBorders>
          </w:tcPr>
          <w:p w14:paraId="7A81232A" w14:textId="77777777" w:rsidR="00265792" w:rsidRPr="00A6279C" w:rsidRDefault="00265792" w:rsidP="006938EC">
            <w:pPr>
              <w:pStyle w:val="ARfintablebodyright"/>
            </w:pPr>
          </w:p>
        </w:tc>
        <w:tc>
          <w:tcPr>
            <w:tcW w:w="1440" w:type="dxa"/>
            <w:tcBorders>
              <w:top w:val="single" w:sz="4" w:space="0" w:color="auto"/>
              <w:bottom w:val="single" w:sz="4" w:space="0" w:color="auto"/>
            </w:tcBorders>
          </w:tcPr>
          <w:p w14:paraId="472EF593" w14:textId="77777777" w:rsidR="00265792" w:rsidRPr="00A6279C" w:rsidRDefault="00265792" w:rsidP="006938EC">
            <w:pPr>
              <w:pStyle w:val="ARfintablebodyright"/>
            </w:pPr>
          </w:p>
        </w:tc>
        <w:tc>
          <w:tcPr>
            <w:tcW w:w="1440" w:type="dxa"/>
            <w:tcBorders>
              <w:top w:val="single" w:sz="4" w:space="0" w:color="auto"/>
              <w:bottom w:val="single" w:sz="4" w:space="0" w:color="auto"/>
            </w:tcBorders>
          </w:tcPr>
          <w:p w14:paraId="6F8FD0DB" w14:textId="77777777" w:rsidR="00265792" w:rsidRPr="00A6279C" w:rsidRDefault="00265792" w:rsidP="006938EC">
            <w:pPr>
              <w:pStyle w:val="ARfintablebodyright"/>
            </w:pPr>
          </w:p>
        </w:tc>
        <w:tc>
          <w:tcPr>
            <w:tcW w:w="1441" w:type="dxa"/>
            <w:tcBorders>
              <w:top w:val="single" w:sz="4" w:space="0" w:color="auto"/>
              <w:bottom w:val="single" w:sz="4" w:space="0" w:color="auto"/>
            </w:tcBorders>
          </w:tcPr>
          <w:p w14:paraId="7B4C5432" w14:textId="77777777" w:rsidR="00265792" w:rsidRPr="00A6279C" w:rsidRDefault="00265792" w:rsidP="006938EC">
            <w:pPr>
              <w:pStyle w:val="ARfintablebodyright"/>
            </w:pPr>
          </w:p>
        </w:tc>
        <w:tc>
          <w:tcPr>
            <w:tcW w:w="1843" w:type="dxa"/>
            <w:tcBorders>
              <w:top w:val="single" w:sz="4" w:space="0" w:color="auto"/>
              <w:bottom w:val="single" w:sz="4" w:space="0" w:color="auto"/>
            </w:tcBorders>
            <w:hideMark/>
          </w:tcPr>
          <w:p w14:paraId="3A46FF12" w14:textId="77777777" w:rsidR="00265792" w:rsidRPr="00A6279C" w:rsidRDefault="00265792" w:rsidP="006938EC">
            <w:pPr>
              <w:pStyle w:val="ARfintablebodyright"/>
            </w:pPr>
          </w:p>
        </w:tc>
      </w:tr>
      <w:tr w:rsidR="00265792" w:rsidRPr="00A6279C" w14:paraId="53A5E6E3" w14:textId="77777777" w:rsidTr="0046720C">
        <w:trPr>
          <w:trHeight w:val="20"/>
        </w:trPr>
        <w:tc>
          <w:tcPr>
            <w:tcW w:w="3119" w:type="dxa"/>
            <w:tcBorders>
              <w:top w:val="single" w:sz="4" w:space="0" w:color="auto"/>
              <w:bottom w:val="single" w:sz="4" w:space="0" w:color="auto"/>
            </w:tcBorders>
            <w:hideMark/>
          </w:tcPr>
          <w:p w14:paraId="2A5F7B5D" w14:textId="77777777" w:rsidR="00265792" w:rsidRPr="006938EC" w:rsidRDefault="00265792" w:rsidP="006938EC">
            <w:pPr>
              <w:pStyle w:val="ARfintablebody"/>
            </w:pPr>
            <w:r w:rsidRPr="006938EC">
              <w:t xml:space="preserve">Ground Lease Model 1 </w:t>
            </w:r>
            <w:r w:rsidRPr="001A4E80">
              <w:t>–</w:t>
            </w:r>
            <w:r w:rsidRPr="006938EC">
              <w:t xml:space="preserve"> Flemington phase 2</w:t>
            </w:r>
          </w:p>
        </w:tc>
        <w:tc>
          <w:tcPr>
            <w:tcW w:w="992" w:type="dxa"/>
            <w:tcBorders>
              <w:top w:val="single" w:sz="4" w:space="0" w:color="auto"/>
              <w:bottom w:val="single" w:sz="4" w:space="0" w:color="auto"/>
            </w:tcBorders>
            <w:hideMark/>
          </w:tcPr>
          <w:p w14:paraId="2C0C5868" w14:textId="77777777" w:rsidR="00265792" w:rsidRPr="006938EC" w:rsidRDefault="00265792" w:rsidP="006938EC">
            <w:pPr>
              <w:pStyle w:val="ARfintablebody"/>
            </w:pPr>
            <w:r w:rsidRPr="006938EC">
              <w:t>7.5.3.2</w:t>
            </w:r>
          </w:p>
        </w:tc>
        <w:tc>
          <w:tcPr>
            <w:tcW w:w="1701" w:type="dxa"/>
            <w:tcBorders>
              <w:top w:val="single" w:sz="4" w:space="0" w:color="auto"/>
              <w:bottom w:val="single" w:sz="4" w:space="0" w:color="auto"/>
            </w:tcBorders>
            <w:shd w:val="clear" w:color="auto" w:fill="EEEEEF" w:themeFill="accent4"/>
            <w:hideMark/>
          </w:tcPr>
          <w:p w14:paraId="70A85B68" w14:textId="77777777" w:rsidR="00265792" w:rsidRPr="006938EC" w:rsidRDefault="00265792" w:rsidP="0046720C">
            <w:pPr>
              <w:pStyle w:val="ARfintablebody"/>
              <w:ind w:left="113"/>
            </w:pPr>
            <w:r w:rsidRPr="006938EC">
              <w:t>GORTO Liability</w:t>
            </w:r>
          </w:p>
        </w:tc>
        <w:tc>
          <w:tcPr>
            <w:tcW w:w="1468" w:type="dxa"/>
            <w:tcBorders>
              <w:top w:val="single" w:sz="4" w:space="0" w:color="auto"/>
              <w:bottom w:val="single" w:sz="4" w:space="0" w:color="auto"/>
            </w:tcBorders>
            <w:hideMark/>
          </w:tcPr>
          <w:p w14:paraId="05C78584" w14:textId="77777777" w:rsidR="00265792" w:rsidRPr="00A6279C" w:rsidRDefault="00265792" w:rsidP="006938EC">
            <w:pPr>
              <w:pStyle w:val="ARfintablebodyright"/>
            </w:pPr>
            <w:r w:rsidRPr="00A6279C">
              <w:t>21,258</w:t>
            </w:r>
          </w:p>
        </w:tc>
        <w:tc>
          <w:tcPr>
            <w:tcW w:w="1440" w:type="dxa"/>
            <w:tcBorders>
              <w:top w:val="single" w:sz="4" w:space="0" w:color="auto"/>
              <w:bottom w:val="single" w:sz="4" w:space="0" w:color="auto"/>
            </w:tcBorders>
            <w:shd w:val="clear" w:color="auto" w:fill="EEEEEF" w:themeFill="accent4"/>
            <w:hideMark/>
          </w:tcPr>
          <w:p w14:paraId="5259DF9C" w14:textId="77777777" w:rsidR="00265792" w:rsidRPr="00A6279C" w:rsidRDefault="00265792" w:rsidP="006938EC">
            <w:pPr>
              <w:pStyle w:val="ARfintablebodyright"/>
            </w:pPr>
            <w:r w:rsidRPr="00A6279C">
              <w:t>4,480</w:t>
            </w:r>
          </w:p>
        </w:tc>
        <w:tc>
          <w:tcPr>
            <w:tcW w:w="1440" w:type="dxa"/>
            <w:tcBorders>
              <w:top w:val="single" w:sz="4" w:space="0" w:color="auto"/>
              <w:bottom w:val="single" w:sz="4" w:space="0" w:color="auto"/>
            </w:tcBorders>
            <w:hideMark/>
          </w:tcPr>
          <w:p w14:paraId="5CE44886" w14:textId="77777777" w:rsidR="00265792" w:rsidRPr="00A6279C" w:rsidRDefault="00265792" w:rsidP="006938EC">
            <w:pPr>
              <w:pStyle w:val="ARfintablebodyright"/>
            </w:pPr>
            <w:r>
              <w:t>–</w:t>
            </w:r>
          </w:p>
        </w:tc>
        <w:tc>
          <w:tcPr>
            <w:tcW w:w="1440" w:type="dxa"/>
            <w:tcBorders>
              <w:top w:val="single" w:sz="4" w:space="0" w:color="auto"/>
              <w:bottom w:val="single" w:sz="4" w:space="0" w:color="auto"/>
            </w:tcBorders>
            <w:shd w:val="clear" w:color="auto" w:fill="EEEEEF" w:themeFill="accent4"/>
            <w:hideMark/>
          </w:tcPr>
          <w:p w14:paraId="3CBF2940" w14:textId="77777777" w:rsidR="00265792" w:rsidRPr="00A6279C" w:rsidRDefault="00265792" w:rsidP="006938EC">
            <w:pPr>
              <w:pStyle w:val="ARfintablebodyright"/>
            </w:pPr>
            <w:r w:rsidRPr="00A6279C">
              <w:t>121,266</w:t>
            </w:r>
          </w:p>
        </w:tc>
        <w:tc>
          <w:tcPr>
            <w:tcW w:w="1441" w:type="dxa"/>
            <w:tcBorders>
              <w:top w:val="single" w:sz="4" w:space="0" w:color="auto"/>
              <w:bottom w:val="single" w:sz="4" w:space="0" w:color="auto"/>
            </w:tcBorders>
            <w:hideMark/>
          </w:tcPr>
          <w:p w14:paraId="0C9E5DA9" w14:textId="77777777" w:rsidR="00265792" w:rsidRPr="00A6279C" w:rsidRDefault="00265792" w:rsidP="006938EC">
            <w:pPr>
              <w:pStyle w:val="ARfintablebodyright"/>
            </w:pPr>
            <w:r>
              <w:t>–</w:t>
            </w:r>
          </w:p>
        </w:tc>
        <w:tc>
          <w:tcPr>
            <w:tcW w:w="1843" w:type="dxa"/>
            <w:tcBorders>
              <w:top w:val="single" w:sz="4" w:space="0" w:color="auto"/>
              <w:bottom w:val="single" w:sz="4" w:space="0" w:color="auto"/>
            </w:tcBorders>
            <w:shd w:val="clear" w:color="auto" w:fill="EEEEEF" w:themeFill="accent4"/>
            <w:hideMark/>
          </w:tcPr>
          <w:p w14:paraId="327BD4F7" w14:textId="77777777" w:rsidR="00265792" w:rsidRPr="00A6279C" w:rsidRDefault="00265792" w:rsidP="006938EC">
            <w:pPr>
              <w:pStyle w:val="ARfintablebodyright"/>
            </w:pPr>
            <w:r>
              <w:t>–</w:t>
            </w:r>
          </w:p>
        </w:tc>
      </w:tr>
      <w:tr w:rsidR="00265792" w:rsidRPr="00A6279C" w14:paraId="4CB81528" w14:textId="77777777" w:rsidTr="0046720C">
        <w:trPr>
          <w:trHeight w:val="20"/>
        </w:trPr>
        <w:tc>
          <w:tcPr>
            <w:tcW w:w="3119" w:type="dxa"/>
            <w:tcBorders>
              <w:top w:val="single" w:sz="4" w:space="0" w:color="auto"/>
              <w:bottom w:val="single" w:sz="4" w:space="0" w:color="auto"/>
            </w:tcBorders>
          </w:tcPr>
          <w:p w14:paraId="1E978688" w14:textId="77777777" w:rsidR="00265792" w:rsidRPr="006938EC" w:rsidRDefault="00265792" w:rsidP="006938EC">
            <w:pPr>
              <w:pStyle w:val="ARfintablebody"/>
            </w:pPr>
            <w:r w:rsidRPr="006938EC">
              <w:t xml:space="preserve">Ground Lease Model 2 </w:t>
            </w:r>
          </w:p>
        </w:tc>
        <w:tc>
          <w:tcPr>
            <w:tcW w:w="992" w:type="dxa"/>
            <w:tcBorders>
              <w:top w:val="single" w:sz="4" w:space="0" w:color="auto"/>
              <w:bottom w:val="single" w:sz="4" w:space="0" w:color="auto"/>
            </w:tcBorders>
          </w:tcPr>
          <w:p w14:paraId="3610D0BF" w14:textId="77777777" w:rsidR="00265792" w:rsidRPr="006938EC" w:rsidRDefault="00265792" w:rsidP="006938EC">
            <w:pPr>
              <w:pStyle w:val="ARfintablebody"/>
            </w:pPr>
            <w:r w:rsidRPr="006938EC">
              <w:t>7.5.3.3</w:t>
            </w:r>
          </w:p>
        </w:tc>
        <w:tc>
          <w:tcPr>
            <w:tcW w:w="1701" w:type="dxa"/>
            <w:tcBorders>
              <w:top w:val="single" w:sz="4" w:space="0" w:color="auto"/>
              <w:bottom w:val="single" w:sz="4" w:space="0" w:color="auto"/>
            </w:tcBorders>
            <w:shd w:val="clear" w:color="auto" w:fill="EEEEEF" w:themeFill="accent4"/>
          </w:tcPr>
          <w:p w14:paraId="3E24F1D9" w14:textId="77777777" w:rsidR="00265792" w:rsidRPr="006938EC" w:rsidRDefault="00265792" w:rsidP="0046720C">
            <w:pPr>
              <w:pStyle w:val="ARfintablebody"/>
              <w:ind w:left="113"/>
            </w:pPr>
            <w:r w:rsidRPr="006938EC">
              <w:t>Hybrid (GORTO &amp; Financial Liability)</w:t>
            </w:r>
          </w:p>
        </w:tc>
        <w:tc>
          <w:tcPr>
            <w:tcW w:w="1468" w:type="dxa"/>
            <w:tcBorders>
              <w:top w:val="single" w:sz="4" w:space="0" w:color="auto"/>
              <w:bottom w:val="single" w:sz="4" w:space="0" w:color="auto"/>
            </w:tcBorders>
          </w:tcPr>
          <w:p w14:paraId="2A5EF018" w14:textId="77777777" w:rsidR="00265792" w:rsidRPr="00A6279C" w:rsidRDefault="00265792" w:rsidP="006938EC">
            <w:pPr>
              <w:pStyle w:val="ARfintablebodyright"/>
            </w:pPr>
            <w:r w:rsidRPr="00A6279C">
              <w:t>69,926</w:t>
            </w:r>
          </w:p>
        </w:tc>
        <w:tc>
          <w:tcPr>
            <w:tcW w:w="1440" w:type="dxa"/>
            <w:tcBorders>
              <w:top w:val="single" w:sz="4" w:space="0" w:color="auto"/>
              <w:bottom w:val="single" w:sz="4" w:space="0" w:color="auto"/>
            </w:tcBorders>
            <w:shd w:val="clear" w:color="auto" w:fill="EEEEEF" w:themeFill="accent4"/>
          </w:tcPr>
          <w:p w14:paraId="172D8F87" w14:textId="77777777" w:rsidR="00265792" w:rsidRPr="00A6279C" w:rsidRDefault="00265792" w:rsidP="006938EC">
            <w:pPr>
              <w:pStyle w:val="ARfintablebodyright"/>
            </w:pPr>
            <w:r w:rsidRPr="00A6279C">
              <w:t>69,926</w:t>
            </w:r>
          </w:p>
        </w:tc>
        <w:tc>
          <w:tcPr>
            <w:tcW w:w="1440" w:type="dxa"/>
            <w:tcBorders>
              <w:top w:val="single" w:sz="4" w:space="0" w:color="auto"/>
              <w:bottom w:val="single" w:sz="4" w:space="0" w:color="auto"/>
            </w:tcBorders>
          </w:tcPr>
          <w:p w14:paraId="49E7FA78" w14:textId="77777777" w:rsidR="00265792" w:rsidRDefault="00265792" w:rsidP="006938EC">
            <w:pPr>
              <w:pStyle w:val="ARfintablebodyright"/>
            </w:pPr>
            <w:r w:rsidRPr="00A6279C">
              <w:t>489,200</w:t>
            </w:r>
          </w:p>
        </w:tc>
        <w:tc>
          <w:tcPr>
            <w:tcW w:w="1440" w:type="dxa"/>
            <w:tcBorders>
              <w:top w:val="single" w:sz="4" w:space="0" w:color="auto"/>
              <w:bottom w:val="single" w:sz="4" w:space="0" w:color="auto"/>
            </w:tcBorders>
            <w:shd w:val="clear" w:color="auto" w:fill="EEEEEF" w:themeFill="accent4"/>
          </w:tcPr>
          <w:p w14:paraId="6380B1EC" w14:textId="77777777" w:rsidR="00265792" w:rsidRPr="00A6279C" w:rsidRDefault="00265792" w:rsidP="006938EC">
            <w:pPr>
              <w:pStyle w:val="ARfintablebodyright"/>
            </w:pPr>
            <w:r w:rsidRPr="00A6279C">
              <w:t>180,000</w:t>
            </w:r>
          </w:p>
        </w:tc>
        <w:tc>
          <w:tcPr>
            <w:tcW w:w="1441" w:type="dxa"/>
            <w:tcBorders>
              <w:top w:val="single" w:sz="4" w:space="0" w:color="auto"/>
              <w:bottom w:val="single" w:sz="4" w:space="0" w:color="auto"/>
            </w:tcBorders>
          </w:tcPr>
          <w:p w14:paraId="5B368CE4" w14:textId="77777777" w:rsidR="00265792" w:rsidRDefault="00265792" w:rsidP="006938EC">
            <w:pPr>
              <w:pStyle w:val="ARfintablebodyright"/>
            </w:pPr>
            <w:r w:rsidRPr="00A6279C">
              <w:t>44,325.</w:t>
            </w:r>
          </w:p>
        </w:tc>
        <w:tc>
          <w:tcPr>
            <w:tcW w:w="1843" w:type="dxa"/>
            <w:tcBorders>
              <w:top w:val="single" w:sz="4" w:space="0" w:color="auto"/>
              <w:bottom w:val="single" w:sz="4" w:space="0" w:color="auto"/>
            </w:tcBorders>
            <w:shd w:val="clear" w:color="auto" w:fill="EEEEEF" w:themeFill="accent4"/>
          </w:tcPr>
          <w:p w14:paraId="56C7DEB8" w14:textId="77777777" w:rsidR="00265792" w:rsidRDefault="00265792" w:rsidP="006938EC">
            <w:pPr>
              <w:pStyle w:val="ARfintablebodyright"/>
            </w:pPr>
            <w:r w:rsidRPr="00A6279C">
              <w:t>1,895,364</w:t>
            </w:r>
          </w:p>
        </w:tc>
      </w:tr>
    </w:tbl>
    <w:p w14:paraId="4D1070FA" w14:textId="77777777" w:rsidR="00265792" w:rsidRPr="004D3A55" w:rsidRDefault="00265792" w:rsidP="004D3A55">
      <w:pPr>
        <w:pStyle w:val="ARfintablefootnote"/>
      </w:pPr>
      <w:r w:rsidRPr="00CD67DA">
        <w:t>Notes:</w:t>
      </w:r>
    </w:p>
    <w:p w14:paraId="0ACB11AC" w14:textId="2ACCFF30" w:rsidR="00265792" w:rsidRPr="004D3A55" w:rsidRDefault="00265792" w:rsidP="004D3A55">
      <w:pPr>
        <w:pStyle w:val="ARfintablefootnotetabindent"/>
      </w:pPr>
      <w:r w:rsidRPr="004D3A55">
        <w:t>(</w:t>
      </w:r>
      <w:proofErr w:type="spellStart"/>
      <w:r w:rsidRPr="004D3A55">
        <w:t>i</w:t>
      </w:r>
      <w:proofErr w:type="spellEnd"/>
      <w:r w:rsidRPr="004D3A55">
        <w:t xml:space="preserve">) </w:t>
      </w:r>
      <w:r>
        <w:tab/>
      </w:r>
      <w:r w:rsidRPr="004D3A55">
        <w:t xml:space="preserve">For arrangements within the scope of AASB 1059, on transition and at initial recognition a public sector grantor is required to record the asset(s) used in the service concession arrangement at current replacement cost in accordance with the cost approach to fair value under AASB 13 </w:t>
      </w:r>
      <w:r w:rsidRPr="00E15716">
        <w:rPr>
          <w:rStyle w:val="Emphasis"/>
        </w:rPr>
        <w:t>Fair Value Measurement</w:t>
      </w:r>
      <w:r w:rsidRPr="004D3A55">
        <w:t>, with a related liability, which in the case of the Project results in the combination of a financial liability and a ‘</w:t>
      </w:r>
      <w:r w:rsidR="00731D8A">
        <w:t>g</w:t>
      </w:r>
      <w:r w:rsidRPr="004D3A55">
        <w:t xml:space="preserve">rant </w:t>
      </w:r>
      <w:r w:rsidR="00731D8A">
        <w:t>o</w:t>
      </w:r>
      <w:r w:rsidRPr="004D3A55">
        <w:t xml:space="preserve">f </w:t>
      </w:r>
      <w:r w:rsidR="00731D8A">
        <w:t>a</w:t>
      </w:r>
      <w:r w:rsidR="00731D8A" w:rsidRPr="004D3A55">
        <w:t xml:space="preserve"> </w:t>
      </w:r>
      <w:r w:rsidR="00731D8A">
        <w:t>r</w:t>
      </w:r>
      <w:r w:rsidRPr="004D3A55">
        <w:t xml:space="preserve">ight </w:t>
      </w:r>
      <w:r w:rsidR="00FD61B9">
        <w:t>t</w:t>
      </w:r>
      <w:r w:rsidRPr="004D3A55">
        <w:t xml:space="preserve">o </w:t>
      </w:r>
      <w:r w:rsidR="00FD61B9">
        <w:t>t</w:t>
      </w:r>
      <w:r w:rsidRPr="004D3A55">
        <w:t xml:space="preserve">he </w:t>
      </w:r>
      <w:r w:rsidR="00FD61B9">
        <w:t>o</w:t>
      </w:r>
      <w:r w:rsidRPr="004D3A55">
        <w:t>perator’ or GORTO liability.</w:t>
      </w:r>
    </w:p>
    <w:p w14:paraId="2B71A7B6" w14:textId="77777777" w:rsidR="00265792" w:rsidRPr="004D3A55" w:rsidRDefault="00265792" w:rsidP="004D3A55">
      <w:pPr>
        <w:pStyle w:val="ARfintablefootnotetabindent"/>
      </w:pPr>
      <w:r w:rsidRPr="004D3A55">
        <w:t xml:space="preserve">(ii) </w:t>
      </w:r>
      <w:r>
        <w:tab/>
      </w:r>
      <w:r w:rsidRPr="004D3A55">
        <w:t>Total commitments represent the nominal value of the total service payments to be incurred during the Project’s 40-year operations phase and includes the capital contribution component.</w:t>
      </w:r>
    </w:p>
    <w:p w14:paraId="423BBBBF" w14:textId="77777777" w:rsidR="00265792" w:rsidRPr="004D3A55" w:rsidRDefault="00265792" w:rsidP="004D3A55">
      <w:pPr>
        <w:pStyle w:val="ARfintablefootnotetabindent"/>
      </w:pPr>
      <w:r w:rsidRPr="004D3A55">
        <w:t xml:space="preserve">(iii) </w:t>
      </w:r>
      <w:r>
        <w:tab/>
      </w:r>
      <w:r w:rsidRPr="004D3A55">
        <w:t>The total nominal value of the commitments includes GST.</w:t>
      </w:r>
    </w:p>
    <w:p w14:paraId="089E64EF" w14:textId="15668CB6" w:rsidR="00265792" w:rsidRDefault="00265792">
      <w:pPr>
        <w:pStyle w:val="ARfintablefootnotetabindent"/>
      </w:pPr>
      <w:r w:rsidRPr="004D3A55">
        <w:t xml:space="preserve">(iv) </w:t>
      </w:r>
      <w:r>
        <w:tab/>
      </w:r>
      <w:r w:rsidRPr="004D3A55">
        <w:t>Capital</w:t>
      </w:r>
      <w:r>
        <w:t xml:space="preserve"> contribution for Ground Lease Model 1 – PHRP phase 1 has been fully drawn down over the construction term.</w:t>
      </w:r>
    </w:p>
    <w:p w14:paraId="3F92D06F" w14:textId="642E425A" w:rsidR="00265792" w:rsidRDefault="00265792">
      <w:pPr>
        <w:pStyle w:val="ARfintablefootnotetabindent"/>
        <w:sectPr w:rsidR="00265792" w:rsidSect="007F43B1">
          <w:endnotePr>
            <w:numFmt w:val="decimal"/>
          </w:endnotePr>
          <w:pgSz w:w="16840" w:h="11900" w:orient="landscape" w:code="9"/>
          <w:pgMar w:top="1588" w:right="1134" w:bottom="1134" w:left="851" w:header="510" w:footer="340" w:gutter="0"/>
          <w:cols w:space="448"/>
          <w:docGrid w:linePitch="299"/>
        </w:sectPr>
      </w:pPr>
      <w:r>
        <w:t>(v)</w:t>
      </w:r>
      <w:r>
        <w:tab/>
      </w:r>
      <w:r w:rsidRPr="00F54EBE">
        <w:t xml:space="preserve">The discounted value of the liability </w:t>
      </w:r>
      <w:r>
        <w:t>represents</w:t>
      </w:r>
      <w:r w:rsidRPr="00F54EBE">
        <w:t xml:space="preserve"> the capital component of the future </w:t>
      </w:r>
      <w:r w:rsidR="00FD61B9">
        <w:t>q</w:t>
      </w:r>
      <w:r w:rsidRPr="00F54EBE">
        <w:t xml:space="preserve">uarterly </w:t>
      </w:r>
      <w:r w:rsidR="00FD61B9">
        <w:t>s</w:t>
      </w:r>
      <w:r w:rsidRPr="00F54EBE">
        <w:t xml:space="preserve">ervice </w:t>
      </w:r>
      <w:r w:rsidR="00FD61B9">
        <w:t>p</w:t>
      </w:r>
      <w:r w:rsidRPr="00F54EBE">
        <w:t>ayment</w:t>
      </w:r>
      <w:r>
        <w:t xml:space="preserve"> </w:t>
      </w:r>
      <w:r w:rsidRPr="00F54EBE">
        <w:t>cash flows to be paid as at the expected date of commissioning (</w:t>
      </w:r>
      <w:r w:rsidR="00FD61B9">
        <w:t>c</w:t>
      </w:r>
      <w:r w:rsidRPr="00F54EBE">
        <w:t>ommercial acceptance date).</w:t>
      </w:r>
    </w:p>
    <w:p w14:paraId="7E530138" w14:textId="77777777" w:rsidR="00265792" w:rsidRDefault="00265792" w:rsidP="002542E1">
      <w:pPr>
        <w:pStyle w:val="Heading6"/>
      </w:pPr>
      <w:r>
        <w:lastRenderedPageBreak/>
        <w:t>Arrangement specific details</w:t>
      </w:r>
    </w:p>
    <w:p w14:paraId="5162CBCF" w14:textId="77777777" w:rsidR="00265792" w:rsidRDefault="00265792" w:rsidP="004D3A55">
      <w:pPr>
        <w:pStyle w:val="Heading7"/>
      </w:pPr>
      <w:r>
        <w:t>7.5.3.1 Ground Lease Model project – Public Housing Renewal Program 1</w:t>
      </w:r>
    </w:p>
    <w:p w14:paraId="5631B7D0" w14:textId="77777777" w:rsidR="00265792" w:rsidRDefault="00265792" w:rsidP="004D3A55">
      <w:pPr>
        <w:pStyle w:val="Heading8"/>
      </w:pPr>
      <w:r>
        <w:t>Operator: Building Communities (Vic) Ltd</w:t>
      </w:r>
    </w:p>
    <w:p w14:paraId="4C658AD1" w14:textId="77777777" w:rsidR="00265792" w:rsidRDefault="00265792" w:rsidP="004D3A55">
      <w:pPr>
        <w:pStyle w:val="Heading9"/>
      </w:pPr>
      <w:r>
        <w:t>Concession period: 40 years</w:t>
      </w:r>
    </w:p>
    <w:p w14:paraId="6E8B4F1C" w14:textId="77777777" w:rsidR="00265792" w:rsidRDefault="00265792" w:rsidP="0073726F">
      <w:pPr>
        <w:pStyle w:val="ARfinbody"/>
        <w:spacing w:after="50"/>
      </w:pPr>
      <w:r>
        <w:t>In June 2021, Homes Victoria achieved financial close on a housing arrangement whereby it has appointed the Building Communities consortium to finance, design, construct, maintain and operate construct and operate 619 brand-new social housing dwellings, 112 affordable homes, 327 private rental dwellings and 26 Specialist Disability Accommodation dwellings, at existing housing sites at Brighton, Flemington and Prahran.</w:t>
      </w:r>
    </w:p>
    <w:p w14:paraId="7166E78B" w14:textId="77777777" w:rsidR="00265792" w:rsidRDefault="00265792" w:rsidP="0073726F">
      <w:pPr>
        <w:pStyle w:val="ARfinbody"/>
        <w:spacing w:after="50"/>
      </w:pPr>
      <w:r>
        <w:t xml:space="preserve">The 3 redeveloped sites have been delivered under a Ground Lease Model on a fully financed, build-to-rent basis. The ground lease will be delivered as a Public Private Partnership arrangement under the Partnerships Victoria framework. Construction of the assets commenced in </w:t>
      </w:r>
      <w:proofErr w:type="gramStart"/>
      <w:r>
        <w:t>2021</w:t>
      </w:r>
      <w:proofErr w:type="gramEnd"/>
      <w:r>
        <w:t xml:space="preserve"> and Commercial Acceptance was achieved in early 2024. The service concession arrangement is now in the Operational Phase.</w:t>
      </w:r>
    </w:p>
    <w:p w14:paraId="13CDC1CD" w14:textId="77777777" w:rsidR="00265792" w:rsidRDefault="00265792" w:rsidP="0073726F">
      <w:pPr>
        <w:pStyle w:val="ARfinbody"/>
        <w:spacing w:after="50"/>
      </w:pPr>
      <w:r>
        <w:t xml:space="preserve">A ground lease model is being used for this package whereby title to public land and dwellings (which will have a residual design life) will revert to Homes Victoria at the end of the 40-year concession period. </w:t>
      </w:r>
    </w:p>
    <w:p w14:paraId="57908427" w14:textId="77777777" w:rsidR="00265792" w:rsidRDefault="00265792" w:rsidP="0073726F">
      <w:pPr>
        <w:pStyle w:val="ARfinbody"/>
        <w:spacing w:after="50"/>
      </w:pPr>
      <w:r>
        <w:t>Homes Victoria is contracted to make quarterly service payments for the 40-year operating term, which will include both a capital and a life cycle component. While operating the dwellings, Building Communities will perform the following functions: asset management, community engagement, maintenance and lifecycle replacement, tenancy management and residential lease management.</w:t>
      </w:r>
    </w:p>
    <w:p w14:paraId="5E2AAC39" w14:textId="77777777" w:rsidR="00265792" w:rsidRDefault="00265792" w:rsidP="004D3A55">
      <w:pPr>
        <w:pStyle w:val="Heading7"/>
      </w:pPr>
      <w:r>
        <w:t xml:space="preserve">7.5.3.2 Ground Lease Model 1 Flemington Phase 2 project </w:t>
      </w:r>
    </w:p>
    <w:p w14:paraId="261E01AB" w14:textId="77777777" w:rsidR="00265792" w:rsidRDefault="00265792" w:rsidP="004D3A55">
      <w:pPr>
        <w:pStyle w:val="Heading8"/>
      </w:pPr>
      <w:r>
        <w:t>Operator: Building Communities (Vic) Ltd</w:t>
      </w:r>
    </w:p>
    <w:p w14:paraId="6832B35E" w14:textId="77777777" w:rsidR="00265792" w:rsidRDefault="00265792" w:rsidP="004D3A55">
      <w:pPr>
        <w:pStyle w:val="Heading9"/>
      </w:pPr>
      <w:r>
        <w:t>Concession period: 40 years</w:t>
      </w:r>
    </w:p>
    <w:p w14:paraId="7C180A77" w14:textId="77777777" w:rsidR="00265792" w:rsidRDefault="00265792" w:rsidP="00AE5631">
      <w:pPr>
        <w:pStyle w:val="ARfinbody"/>
        <w:spacing w:after="50" w:line="240" w:lineRule="auto"/>
      </w:pPr>
      <w:r>
        <w:t>In August 2023, Homes Victoria achieved financial close on a housing arrangement Modification to the Ground Lease Model 1 (GLM1) Project Deed whereby it appointed the Building Communities consortium to finance, design, construct, maintain and operate an additional 50 new social housing dwellings, 221 affordable rental homes and 15 Specialist Disability Accommodation dwellings, at the Holland Court Flemington housing site (Flemington Phase 2).</w:t>
      </w:r>
    </w:p>
    <w:p w14:paraId="415677F5" w14:textId="77777777" w:rsidR="00265792" w:rsidRDefault="00265792" w:rsidP="00AE5631">
      <w:pPr>
        <w:pStyle w:val="ARfinbody"/>
        <w:spacing w:after="50" w:line="240" w:lineRule="auto"/>
      </w:pPr>
      <w:r>
        <w:t xml:space="preserve">The scope is being delivered as a Modification to the base GLM1 project on a fully financed, build-to-rent basis. GLM1, including Flemington Phase 2 is being delivered as a Public Private Partnership arrangement under the Partnerships Victoria framework. </w:t>
      </w:r>
    </w:p>
    <w:p w14:paraId="2D44CE3E" w14:textId="77777777" w:rsidR="00265792" w:rsidRDefault="00265792" w:rsidP="00AE5631">
      <w:pPr>
        <w:pStyle w:val="ARfinbody"/>
        <w:spacing w:after="50" w:line="240" w:lineRule="auto"/>
      </w:pPr>
      <w:r>
        <w:t>Enabling works and remediation works for Flemington Phase 2 commenced in mid-2024. Main works construction of the assets is well underway with renters expected to move into the new homes from late 2026.</w:t>
      </w:r>
    </w:p>
    <w:p w14:paraId="43A8EB01" w14:textId="77777777" w:rsidR="00265792" w:rsidRDefault="00265792" w:rsidP="00AE5631">
      <w:pPr>
        <w:pStyle w:val="ARfinbody"/>
        <w:spacing w:after="50" w:line="240" w:lineRule="auto"/>
      </w:pPr>
      <w:r>
        <w:t>A ground-lease model is being used for this project whereby title to public land and dwellings (which will have a residual design life) remains with Homes Victoria and control of the assets will revert to Homes Victoria at the end of the 40-year concession period.</w:t>
      </w:r>
    </w:p>
    <w:p w14:paraId="424C4DF8" w14:textId="77777777" w:rsidR="00265792" w:rsidRDefault="00265792" w:rsidP="00AE5631">
      <w:pPr>
        <w:pStyle w:val="ARfinbody"/>
        <w:spacing w:after="50" w:line="240" w:lineRule="auto"/>
      </w:pPr>
      <w:r>
        <w:t>Notwithstanding that the consortium will operate and maintain the assets for the 40-year concession term, there are no quarterly service payments that apply to this Modification. While operating the dwellings for the 40-year concession period, Building Communities will perform the following functions: asset management, community engagement, maintenance and lifecycle replacement, tenancy management and residential lease management.</w:t>
      </w:r>
    </w:p>
    <w:p w14:paraId="0457FD50" w14:textId="77777777" w:rsidR="00265792" w:rsidRDefault="00265792" w:rsidP="004D3A55">
      <w:pPr>
        <w:pStyle w:val="Heading7"/>
      </w:pPr>
      <w:r>
        <w:t xml:space="preserve">7.5.3.3 Ground Lease Model 2 project </w:t>
      </w:r>
    </w:p>
    <w:p w14:paraId="3E9D8DDA" w14:textId="77777777" w:rsidR="00265792" w:rsidRDefault="00265792" w:rsidP="004D3A55">
      <w:pPr>
        <w:pStyle w:val="Heading8"/>
      </w:pPr>
      <w:r>
        <w:t xml:space="preserve">Operator: Building Even Better Communities Limited </w:t>
      </w:r>
    </w:p>
    <w:p w14:paraId="3D57A8FB" w14:textId="77777777" w:rsidR="00265792" w:rsidRDefault="00265792" w:rsidP="004D3A55">
      <w:pPr>
        <w:pStyle w:val="Heading9"/>
      </w:pPr>
      <w:r>
        <w:t>Concession period: 40 years</w:t>
      </w:r>
    </w:p>
    <w:p w14:paraId="66FA7548" w14:textId="5DB45AA6" w:rsidR="00265792" w:rsidRDefault="00265792" w:rsidP="00AE5631">
      <w:pPr>
        <w:pStyle w:val="ARfinbody"/>
        <w:spacing w:after="50" w:line="240" w:lineRule="auto"/>
      </w:pPr>
      <w:r>
        <w:t>In November 2023, Homes Victoria achieved financial close on a housing arrangement whereby it appointed the Building Even Better Communities consortium to finance, design, construct, maintain and operate 659 brand</w:t>
      </w:r>
      <w:r w:rsidR="000B251F">
        <w:t>-</w:t>
      </w:r>
      <w:r>
        <w:t>new social housing dwellings, 182 affordable rental homes, 473 private rental dwellings and 56 Specialist Disability Accommodation dwellings, at existing housing sites at Simmons Street South Yarra, Essex Street Prahran, Bluff Road Hampton East and Barak-Beacon Port Melbourne.</w:t>
      </w:r>
    </w:p>
    <w:p w14:paraId="31722BAA" w14:textId="77777777" w:rsidR="00265792" w:rsidRDefault="00265792" w:rsidP="00AE5631">
      <w:pPr>
        <w:pStyle w:val="ARfinbody"/>
        <w:spacing w:after="50" w:line="240" w:lineRule="auto"/>
      </w:pPr>
      <w:r>
        <w:t xml:space="preserve">The four sites are being delivered under a Ground Lease Model on a fully financed, build-to-rent basis. The ground lease will be delivered as a Public Private Partnership arrangement under the Partnerships Victoria framework. Construction of the assets commenced in late 2024 and is well underway and Commercial Acceptance is expected by late 2026, with renters expected to move into the new homes shortly thereafter. </w:t>
      </w:r>
    </w:p>
    <w:p w14:paraId="0401F0CD" w14:textId="77777777" w:rsidR="00265792" w:rsidRDefault="00265792" w:rsidP="00AE5631">
      <w:pPr>
        <w:pStyle w:val="ARfinbody"/>
        <w:spacing w:after="50" w:line="240" w:lineRule="auto"/>
      </w:pPr>
      <w:r>
        <w:t>A ground-lease model is being used for this package whereby title to public land and dwellings (which will have a residual design life) will remain with Homes Victoria during the 40-year concession period and control of the assets will revert to Homes Victoria at the end of the 40-year concession period.</w:t>
      </w:r>
    </w:p>
    <w:p w14:paraId="597FAC5B" w14:textId="77777777" w:rsidR="00265792" w:rsidRDefault="00265792" w:rsidP="00AE5631">
      <w:pPr>
        <w:pStyle w:val="ARfinbody"/>
        <w:spacing w:after="50" w:line="240" w:lineRule="auto"/>
      </w:pPr>
      <w:r>
        <w:t>Homes Victoria is contracted to make quarterly service payments for the 40-year operating term, which will include both a capital and a life cycle component. While operating the dwellings, Building Even Better Communities will perform the following functions: asset management, community engagement, maintenance and lifecycle replacement, tenancy management and residential lease management.</w:t>
      </w:r>
      <w:r>
        <w:br w:type="page"/>
      </w:r>
    </w:p>
    <w:p w14:paraId="12040EA1" w14:textId="77777777" w:rsidR="00265792" w:rsidRPr="0089743D" w:rsidRDefault="00265792">
      <w:pPr>
        <w:pStyle w:val="Heading3"/>
        <w:spacing w:before="0"/>
      </w:pPr>
      <w:bookmarkStart w:id="278" w:name="_Toc212041663"/>
      <w:r w:rsidRPr="0089743D">
        <w:lastRenderedPageBreak/>
        <w:t>8. Risks, contingencies and valuation judgements</w:t>
      </w:r>
      <w:bookmarkEnd w:id="278"/>
    </w:p>
    <w:p w14:paraId="40B1FBB9" w14:textId="77777777" w:rsidR="00265792" w:rsidRDefault="00265792" w:rsidP="00E154F7">
      <w:pPr>
        <w:pStyle w:val="Heading4"/>
      </w:pPr>
      <w:r>
        <w:t>Introduction</w:t>
      </w:r>
    </w:p>
    <w:p w14:paraId="0712BBC2" w14:textId="77777777" w:rsidR="00265792" w:rsidRDefault="00265792" w:rsidP="00E154F7">
      <w:pPr>
        <w:pStyle w:val="ARfinbodylargespace"/>
      </w:pPr>
      <w:r>
        <w:t>The department is exposed to risk from its activities and outside factors. In addition, it is often necessary to make judgements and estimates associated with recognition and measurement of items in the financial statements. This section sets out financial instrument specific information (including exposures to financial risks), as well as those items that are contingent in nature or require a higher level of judgement to be applied, which for the department relate mainly to fair value determination.</w:t>
      </w:r>
    </w:p>
    <w:p w14:paraId="74B9A2E4" w14:textId="77777777" w:rsidR="00265792" w:rsidRDefault="00265792" w:rsidP="00E154F7">
      <w:pPr>
        <w:pStyle w:val="Heading4"/>
      </w:pPr>
      <w:r>
        <w:t>Structure</w:t>
      </w:r>
    </w:p>
    <w:p w14:paraId="10AB057C" w14:textId="77777777" w:rsidR="00265792" w:rsidRDefault="00265792" w:rsidP="00E154F7">
      <w:pPr>
        <w:pStyle w:val="ARfinstructure1"/>
      </w:pPr>
      <w:r>
        <w:t xml:space="preserve">8.1 </w:t>
      </w:r>
      <w:r>
        <w:tab/>
        <w:t>Financial instruments specific disclosures</w:t>
      </w:r>
    </w:p>
    <w:p w14:paraId="0BFE14E1" w14:textId="6B0677FB" w:rsidR="00265792" w:rsidRDefault="00265792" w:rsidP="00E154F7">
      <w:pPr>
        <w:pStyle w:val="ARfinstructure2"/>
      </w:pPr>
      <w:r>
        <w:t xml:space="preserve">8.1.1 </w:t>
      </w:r>
      <w:r>
        <w:tab/>
        <w:t xml:space="preserve">Financial instruments: </w:t>
      </w:r>
      <w:r w:rsidR="008E5027">
        <w:t>c</w:t>
      </w:r>
      <w:r>
        <w:t>ategorisation</w:t>
      </w:r>
    </w:p>
    <w:p w14:paraId="2D73C35F" w14:textId="7235C4AD" w:rsidR="00265792" w:rsidRDefault="00265792" w:rsidP="00E154F7">
      <w:pPr>
        <w:pStyle w:val="ARfinstructure2"/>
      </w:pPr>
      <w:r>
        <w:t xml:space="preserve">8.1.2 </w:t>
      </w:r>
      <w:r>
        <w:tab/>
        <w:t xml:space="preserve">Financial instruments: </w:t>
      </w:r>
      <w:r w:rsidR="008E5027">
        <w:t>n</w:t>
      </w:r>
      <w:r>
        <w:t>et holding gain/(loss) on financial instruments by category</w:t>
      </w:r>
    </w:p>
    <w:p w14:paraId="4D1ADFDD" w14:textId="77777777" w:rsidR="00265792" w:rsidRDefault="00265792" w:rsidP="00E154F7">
      <w:pPr>
        <w:pStyle w:val="ARfinstructure2"/>
      </w:pPr>
      <w:r>
        <w:t xml:space="preserve">8.1.3 </w:t>
      </w:r>
      <w:r>
        <w:tab/>
        <w:t>Financial risk management objectives and policies</w:t>
      </w:r>
    </w:p>
    <w:p w14:paraId="1B0AFEA6" w14:textId="77777777" w:rsidR="00265792" w:rsidRDefault="00265792" w:rsidP="00E154F7">
      <w:pPr>
        <w:pStyle w:val="ARfinstructure1"/>
      </w:pPr>
      <w:r>
        <w:t xml:space="preserve">8.2 </w:t>
      </w:r>
      <w:r>
        <w:tab/>
        <w:t>Contingent assets and contingent liabilities</w:t>
      </w:r>
    </w:p>
    <w:p w14:paraId="0FD7E639" w14:textId="77777777" w:rsidR="00265792" w:rsidRDefault="00265792" w:rsidP="00E154F7">
      <w:pPr>
        <w:pStyle w:val="ARfinstructure1"/>
      </w:pPr>
      <w:r>
        <w:t xml:space="preserve">8.3 </w:t>
      </w:r>
      <w:r>
        <w:tab/>
        <w:t>Fair value determination</w:t>
      </w:r>
    </w:p>
    <w:p w14:paraId="68A7C9DC" w14:textId="77777777" w:rsidR="00265792" w:rsidRDefault="00265792" w:rsidP="00E154F7">
      <w:pPr>
        <w:pStyle w:val="ARfinstructure2"/>
      </w:pPr>
      <w:r>
        <w:t xml:space="preserve">8.3.1 </w:t>
      </w:r>
      <w:r>
        <w:tab/>
        <w:t>Fair value determination of financial assets and liabilities</w:t>
      </w:r>
    </w:p>
    <w:p w14:paraId="07F7DCC2" w14:textId="77777777" w:rsidR="00265792" w:rsidRDefault="00265792" w:rsidP="00E154F7">
      <w:pPr>
        <w:pStyle w:val="ARfinstructure2"/>
      </w:pPr>
      <w:r>
        <w:t xml:space="preserve">8.3.2 </w:t>
      </w:r>
      <w:r>
        <w:tab/>
        <w:t>Fair value determination of non-financial physical assets</w:t>
      </w:r>
    </w:p>
    <w:p w14:paraId="4ADCBE2A" w14:textId="77777777" w:rsidR="00265792" w:rsidRDefault="00265792" w:rsidP="00DA7772">
      <w:pPr>
        <w:pStyle w:val="Heading4"/>
      </w:pPr>
      <w:r>
        <w:t>8.1 Financial instruments specific disclosures</w:t>
      </w:r>
    </w:p>
    <w:p w14:paraId="11783A3C" w14:textId="77777777" w:rsidR="00265792" w:rsidRDefault="00265792" w:rsidP="00DA7772">
      <w:pPr>
        <w:pStyle w:val="Heading5"/>
      </w:pPr>
      <w:r>
        <w:t>Introduction</w:t>
      </w:r>
    </w:p>
    <w:p w14:paraId="4C5ED5A1" w14:textId="77777777" w:rsidR="00265792" w:rsidRDefault="00265792" w:rsidP="00DA7772">
      <w:pPr>
        <w:pStyle w:val="ARfinbody"/>
      </w:pPr>
      <w:r>
        <w:t xml:space="preserve">Financial instruments arise out of contractual agreements that give rise to a financial asset of one entity and a financial liability or equity instrument of another entity. Due to the nature of the department’s activities, certain financial assets and financial liabilities arise under statute rather than a contract (for example taxes, fines and penalties). Such assets and liabilities do not meet the definition of financial instruments in AASB 132 </w:t>
      </w:r>
      <w:r w:rsidRPr="00E15716">
        <w:rPr>
          <w:rStyle w:val="Emphasis"/>
        </w:rPr>
        <w:t>Financial Instruments: Presentation</w:t>
      </w:r>
      <w:r>
        <w:t xml:space="preserve">. </w:t>
      </w:r>
    </w:p>
    <w:p w14:paraId="6D36666A" w14:textId="77777777" w:rsidR="00265792" w:rsidRDefault="00265792" w:rsidP="00DA7772">
      <w:pPr>
        <w:pStyle w:val="ARfinbody"/>
      </w:pPr>
      <w:r>
        <w:t>Guarantees issued on behalf of the department are financial instruments because, although authorised under statute, terms and conditions for each financial guarantee may vary and are subject to an agreement.</w:t>
      </w:r>
    </w:p>
    <w:p w14:paraId="5B03E40C" w14:textId="77777777" w:rsidR="00265792" w:rsidRDefault="00265792" w:rsidP="00732145">
      <w:pPr>
        <w:pStyle w:val="Heading5"/>
      </w:pPr>
      <w:r>
        <w:t>Categories of financial assets</w:t>
      </w:r>
    </w:p>
    <w:p w14:paraId="3F507DCC" w14:textId="77777777" w:rsidR="00265792" w:rsidRDefault="00265792" w:rsidP="00DA7772">
      <w:pPr>
        <w:pStyle w:val="ARfinbody"/>
      </w:pPr>
      <w:r w:rsidRPr="00DA7772">
        <w:rPr>
          <w:rStyle w:val="Strong"/>
        </w:rPr>
        <w:t>Financial assets at amortised costs</w:t>
      </w:r>
      <w:r>
        <w:t xml:space="preserve"> are recognised if both of the following criteria are met and the assets are not designated as fair value through net result:</w:t>
      </w:r>
    </w:p>
    <w:p w14:paraId="0DF6C1FF" w14:textId="77777777" w:rsidR="00265792" w:rsidRDefault="00265792" w:rsidP="00DA7772">
      <w:pPr>
        <w:pStyle w:val="ARfinbullet1"/>
      </w:pPr>
      <w:r>
        <w:t>the assets are held by the department to collect the contractual cash flows, and</w:t>
      </w:r>
    </w:p>
    <w:p w14:paraId="4E7D00AB" w14:textId="77777777" w:rsidR="00265792" w:rsidRDefault="00265792" w:rsidP="00DA7772">
      <w:pPr>
        <w:pStyle w:val="ARfinbullet1"/>
      </w:pPr>
      <w:r>
        <w:t>the assets’ contractual terms give rise to cash flows that are solely payments of principal and interest.</w:t>
      </w:r>
    </w:p>
    <w:p w14:paraId="2C8F8055" w14:textId="77777777" w:rsidR="00265792" w:rsidRDefault="00265792" w:rsidP="00DA7772">
      <w:pPr>
        <w:pStyle w:val="ARfinbody"/>
      </w:pPr>
      <w:r>
        <w:t>These assets are initially recognised at fair value plus any directly attributable transaction costs and subsequently measured at amortised cost using the effective interest method less any impairment.</w:t>
      </w:r>
    </w:p>
    <w:p w14:paraId="183AF90D" w14:textId="77777777" w:rsidR="00265792" w:rsidRDefault="00265792" w:rsidP="00DA7772">
      <w:pPr>
        <w:pStyle w:val="ARfinbody"/>
      </w:pPr>
      <w:r>
        <w:t>The department recognises the following assets in this category:</w:t>
      </w:r>
    </w:p>
    <w:p w14:paraId="297115BB" w14:textId="77777777" w:rsidR="00265792" w:rsidRDefault="00265792" w:rsidP="00DA7772">
      <w:pPr>
        <w:pStyle w:val="ARfinbullet1"/>
      </w:pPr>
      <w:r>
        <w:t>cash and deposits</w:t>
      </w:r>
    </w:p>
    <w:p w14:paraId="725B6EA3" w14:textId="77777777" w:rsidR="00265792" w:rsidRDefault="00265792" w:rsidP="00DA7772">
      <w:pPr>
        <w:pStyle w:val="ARfinbullet1"/>
      </w:pPr>
      <w:r>
        <w:t>receivables (excluding statutory receivables)</w:t>
      </w:r>
    </w:p>
    <w:p w14:paraId="38B05CE6" w14:textId="77777777" w:rsidR="00265792" w:rsidRDefault="00265792" w:rsidP="00DA7772">
      <w:pPr>
        <w:pStyle w:val="ARfinbullet1"/>
      </w:pPr>
      <w:r>
        <w:t>short-term deposits</w:t>
      </w:r>
    </w:p>
    <w:p w14:paraId="60E8BCCB" w14:textId="77777777" w:rsidR="00265792" w:rsidRDefault="00265792" w:rsidP="00DA7772">
      <w:pPr>
        <w:pStyle w:val="ARfinbullet1"/>
      </w:pPr>
      <w:r>
        <w:t>loan receivables.</w:t>
      </w:r>
    </w:p>
    <w:p w14:paraId="5B9F9E66" w14:textId="77777777" w:rsidR="00265792" w:rsidRDefault="00265792" w:rsidP="00DA7772">
      <w:pPr>
        <w:pStyle w:val="Heading5"/>
      </w:pPr>
      <w:r>
        <w:t>Categories of financial liabilities</w:t>
      </w:r>
    </w:p>
    <w:p w14:paraId="158C830D" w14:textId="77777777" w:rsidR="00265792" w:rsidRDefault="00265792" w:rsidP="00DA7772">
      <w:pPr>
        <w:pStyle w:val="ARfinbody"/>
      </w:pPr>
      <w:r w:rsidRPr="00732145">
        <w:rPr>
          <w:rStyle w:val="Strong"/>
        </w:rPr>
        <w:t>Financial liabilities at amortised cost</w:t>
      </w:r>
      <w:r>
        <w:t xml:space="preserve"> are initially recognised on the date they are originated. They are initially measured at fair value plus any directly attributable transaction costs. </w:t>
      </w:r>
      <w:proofErr w:type="gramStart"/>
      <w:r>
        <w:t>Subsequent to</w:t>
      </w:r>
      <w:proofErr w:type="gramEnd"/>
      <w:r>
        <w:t xml:space="preserve"> initial recognition, these financial instruments are measured at amortised cost with any difference between the initially recognised amount and the redemption value being recognised in profit and loss over the period of the interest-bearing liability, using the effective interest rate method. The department recognises the following liabilities in this category:</w:t>
      </w:r>
    </w:p>
    <w:p w14:paraId="4A8C54F3" w14:textId="77777777" w:rsidR="00265792" w:rsidRDefault="00265792" w:rsidP="00DA7772">
      <w:pPr>
        <w:pStyle w:val="ARfinbullet1"/>
      </w:pPr>
      <w:r>
        <w:t>payables (excluding statutory payables)</w:t>
      </w:r>
    </w:p>
    <w:p w14:paraId="04A3D635" w14:textId="77777777" w:rsidR="00265792" w:rsidRDefault="00265792" w:rsidP="00DA7772">
      <w:pPr>
        <w:pStyle w:val="ARfinbullet1"/>
      </w:pPr>
      <w:r>
        <w:t>borrowings (including lease liabilities).</w:t>
      </w:r>
      <w:r>
        <w:br w:type="page"/>
      </w:r>
    </w:p>
    <w:p w14:paraId="1C5D6042" w14:textId="76AC32B2" w:rsidR="00265792" w:rsidRDefault="00265792" w:rsidP="00DA7772">
      <w:pPr>
        <w:pStyle w:val="ARfinbody"/>
      </w:pPr>
      <w:r w:rsidRPr="00732145">
        <w:rPr>
          <w:rStyle w:val="Strong"/>
        </w:rPr>
        <w:lastRenderedPageBreak/>
        <w:t>Offsetting financial instruments:</w:t>
      </w:r>
      <w:r>
        <w:t xml:space="preserve"> Financial instrument assets and liabilities are offset and the net amount presented in</w:t>
      </w:r>
      <w:r w:rsidR="00C07BFC">
        <w:t> </w:t>
      </w:r>
      <w:r>
        <w:t>the balance sheet when, and only when, the department has a legal right to offset the amounts and intends either to</w:t>
      </w:r>
      <w:r w:rsidR="00C07BFC">
        <w:t> </w:t>
      </w:r>
      <w:r>
        <w:t xml:space="preserve">settle on a net basis or to realise the asset and settle the liability simultaneously. </w:t>
      </w:r>
    </w:p>
    <w:p w14:paraId="454295E0" w14:textId="75C750A4" w:rsidR="00265792" w:rsidRDefault="00265792" w:rsidP="00DA7772">
      <w:pPr>
        <w:pStyle w:val="ARfinbody"/>
      </w:pPr>
      <w:r>
        <w:t>Some master netting arrangements do not result in an offset of balance sheet assets and liabilities. Where the department does not have a legally enforceable right to offset recognised amounts, because the right to offset is enforceable only on the occurrence of future events such as default, insolvency or bankruptcy, they are reported on a</w:t>
      </w:r>
      <w:r w:rsidR="00C07BFC">
        <w:t> </w:t>
      </w:r>
      <w:r>
        <w:t>gross basis.</w:t>
      </w:r>
    </w:p>
    <w:p w14:paraId="267C7A4F" w14:textId="77777777" w:rsidR="00265792" w:rsidRDefault="00265792" w:rsidP="00DA7772">
      <w:pPr>
        <w:pStyle w:val="ARfinbody"/>
      </w:pPr>
      <w:r w:rsidRPr="00732145">
        <w:rPr>
          <w:rStyle w:val="Strong"/>
        </w:rPr>
        <w:t>Derecognition of financial assets:</w:t>
      </w:r>
      <w:r>
        <w:t xml:space="preserve"> A financial asset (or, where applicable, a part of a financial asset or part of a group of similar financial assets) is derecognised when:</w:t>
      </w:r>
    </w:p>
    <w:p w14:paraId="106CEA90" w14:textId="77777777" w:rsidR="00265792" w:rsidRDefault="00265792" w:rsidP="00DA7772">
      <w:pPr>
        <w:pStyle w:val="ARfinbullet1"/>
      </w:pPr>
      <w:r>
        <w:t>the rights to receive cash flows from the asset have expired, or</w:t>
      </w:r>
    </w:p>
    <w:p w14:paraId="3D6F6330" w14:textId="440C517E" w:rsidR="00265792" w:rsidRDefault="00265792" w:rsidP="00DA7772">
      <w:pPr>
        <w:pStyle w:val="ARfinbullet1"/>
      </w:pPr>
      <w:r>
        <w:t>the department retains the right to receive cash flows from the asset, but has assumed an obligation to pay them in</w:t>
      </w:r>
      <w:r w:rsidR="00C07BFC">
        <w:t> </w:t>
      </w:r>
      <w:r>
        <w:t>full without material delay to a third party under a ‘pass through’ arrangement, or</w:t>
      </w:r>
    </w:p>
    <w:p w14:paraId="753D1036" w14:textId="77777777" w:rsidR="00265792" w:rsidRDefault="00265792" w:rsidP="00DA7772">
      <w:pPr>
        <w:pStyle w:val="ARfinbullet1"/>
      </w:pPr>
      <w:r>
        <w:t>the department has transferred its rights to receive cash flows from the asset and either:</w:t>
      </w:r>
    </w:p>
    <w:p w14:paraId="42A3D769" w14:textId="77777777" w:rsidR="00265792" w:rsidRDefault="00265792" w:rsidP="00DA7772">
      <w:pPr>
        <w:pStyle w:val="ARfinbullet2"/>
      </w:pPr>
      <w:r>
        <w:t>has transferred substantially all the risks and rewards of the asset, or</w:t>
      </w:r>
    </w:p>
    <w:p w14:paraId="228BB149" w14:textId="77777777" w:rsidR="00265792" w:rsidRDefault="00265792" w:rsidP="00DA7772">
      <w:pPr>
        <w:pStyle w:val="ARfinbullet2"/>
      </w:pPr>
      <w:r>
        <w:t xml:space="preserve">has neither transferred nor retained substantially all the risks and rewards of the </w:t>
      </w:r>
      <w:proofErr w:type="gramStart"/>
      <w:r>
        <w:t>asset, but</w:t>
      </w:r>
      <w:proofErr w:type="gramEnd"/>
      <w:r>
        <w:t xml:space="preserve"> has transferred control of the asset.</w:t>
      </w:r>
    </w:p>
    <w:p w14:paraId="641D04B3" w14:textId="77777777" w:rsidR="00265792" w:rsidRDefault="00265792" w:rsidP="00DA7772">
      <w:pPr>
        <w:pStyle w:val="ARfinbody"/>
      </w:pPr>
      <w:r>
        <w:t>Where the department has neither transferred nor retained substantially all the risks and rewards or transferred control, the asset is recognised to the extent of the department’s continuing involvement in the asset.</w:t>
      </w:r>
    </w:p>
    <w:p w14:paraId="484A364C" w14:textId="77777777" w:rsidR="00265792" w:rsidRDefault="00265792" w:rsidP="00DA7772">
      <w:pPr>
        <w:pStyle w:val="ARfinbody"/>
      </w:pPr>
      <w:r w:rsidRPr="00732145">
        <w:rPr>
          <w:rStyle w:val="Strong"/>
        </w:rPr>
        <w:t>Derecognition of financial liabilities:</w:t>
      </w:r>
      <w:r>
        <w:t xml:space="preserve"> A financial liability is derecognised when the obligation under the liability is discharged, cancelled or expires.</w:t>
      </w:r>
    </w:p>
    <w:p w14:paraId="6211D155" w14:textId="77777777" w:rsidR="00265792" w:rsidRDefault="00265792" w:rsidP="00DA7772">
      <w:pPr>
        <w:pStyle w:val="ARfinbody"/>
      </w:pPr>
      <w:r>
        <w:t>When an existing financial liability is replaced by another from the same lender on substantially different terms, or the terms of an existing liability are substantially modified, such an exchange or modification is treated as a derecognition of the original liability and the recognition of a new liability. The difference in the respective carrying amounts is recognised as an ‘other economic flow’ in the comprehensive operating statement.</w:t>
      </w:r>
    </w:p>
    <w:p w14:paraId="60988DE8" w14:textId="77777777" w:rsidR="00265792" w:rsidRPr="007942D6" w:rsidRDefault="00265792" w:rsidP="00207901">
      <w:pPr>
        <w:pStyle w:val="Heading5"/>
      </w:pPr>
      <w:bookmarkStart w:id="279" w:name="_Ref178665586"/>
      <w:r w:rsidRPr="007942D6">
        <w:t xml:space="preserve">8.1.1 </w:t>
      </w:r>
      <w:bookmarkStart w:id="280" w:name="Financialinstruments190"/>
      <w:r w:rsidRPr="007942D6">
        <w:t>Financial instruments</w:t>
      </w:r>
      <w:bookmarkEnd w:id="280"/>
      <w:r w:rsidRPr="007942D6">
        <w:t>: Categorisation</w:t>
      </w:r>
      <w:bookmarkEnd w:id="279"/>
    </w:p>
    <w:tbl>
      <w:tblPr>
        <w:tblStyle w:val="TableGrid"/>
        <w:tblW w:w="9637" w:type="dxa"/>
        <w:tblLayout w:type="fixed"/>
        <w:tblLook w:val="06E0" w:firstRow="1" w:lastRow="1" w:firstColumn="1" w:lastColumn="0" w:noHBand="1" w:noVBand="1"/>
      </w:tblPr>
      <w:tblGrid>
        <w:gridCol w:w="3968"/>
        <w:gridCol w:w="1418"/>
        <w:gridCol w:w="1417"/>
        <w:gridCol w:w="1417"/>
        <w:gridCol w:w="1417"/>
      </w:tblGrid>
      <w:tr w:rsidR="00265792" w:rsidRPr="00BA7805" w14:paraId="345DA40B" w14:textId="77777777" w:rsidTr="00114C18">
        <w:trPr>
          <w:cnfStyle w:val="100000000000" w:firstRow="1" w:lastRow="0" w:firstColumn="0" w:lastColumn="0" w:oddVBand="0" w:evenVBand="0" w:oddHBand="0" w:evenHBand="0" w:firstRowFirstColumn="0" w:firstRowLastColumn="0" w:lastRowFirstColumn="0" w:lastRowLastColumn="0"/>
          <w:tblHeader/>
        </w:trPr>
        <w:tc>
          <w:tcPr>
            <w:tcW w:w="3968" w:type="dxa"/>
            <w:hideMark/>
          </w:tcPr>
          <w:p w14:paraId="5788E9ED" w14:textId="77777777" w:rsidR="00265792" w:rsidRPr="00114C18" w:rsidRDefault="00265792" w:rsidP="00114C18">
            <w:pPr>
              <w:pStyle w:val="ARfintablecolhead"/>
              <w:rPr>
                <w:highlight w:val="green"/>
              </w:rPr>
            </w:pPr>
            <w:r w:rsidRPr="007942D6">
              <w:t>202</w:t>
            </w:r>
            <w:r>
              <w:t>5</w:t>
            </w:r>
          </w:p>
        </w:tc>
        <w:tc>
          <w:tcPr>
            <w:tcW w:w="1418" w:type="dxa"/>
            <w:shd w:val="clear" w:color="auto" w:fill="EEEEEF" w:themeFill="accent4"/>
            <w:hideMark/>
          </w:tcPr>
          <w:p w14:paraId="3A831179" w14:textId="77777777" w:rsidR="00265792" w:rsidRPr="007942D6" w:rsidRDefault="00265792" w:rsidP="004D25D7">
            <w:pPr>
              <w:pStyle w:val="ARfintablecolheadright"/>
            </w:pPr>
            <w:r w:rsidRPr="007942D6">
              <w:t>Cash and deposits</w:t>
            </w:r>
          </w:p>
          <w:p w14:paraId="514229C5" w14:textId="77777777" w:rsidR="00265792" w:rsidRPr="007942D6" w:rsidRDefault="00265792" w:rsidP="004D25D7">
            <w:pPr>
              <w:pStyle w:val="ARfintablecolheadright"/>
            </w:pPr>
            <w:r w:rsidRPr="007942D6">
              <w:t>$M</w:t>
            </w:r>
          </w:p>
        </w:tc>
        <w:tc>
          <w:tcPr>
            <w:tcW w:w="1417" w:type="dxa"/>
            <w:hideMark/>
          </w:tcPr>
          <w:p w14:paraId="72494A19" w14:textId="77777777" w:rsidR="00265792" w:rsidRPr="007942D6" w:rsidRDefault="00265792" w:rsidP="004D25D7">
            <w:pPr>
              <w:pStyle w:val="ARfintablecolheadright"/>
            </w:pPr>
            <w:r w:rsidRPr="007942D6">
              <w:t xml:space="preserve">Financial </w:t>
            </w:r>
            <w:r w:rsidRPr="007942D6">
              <w:br/>
              <w:t>assets at amortised cost (AC)</w:t>
            </w:r>
          </w:p>
          <w:p w14:paraId="00AC91A1" w14:textId="77777777" w:rsidR="00265792" w:rsidRPr="007942D6" w:rsidRDefault="00265792" w:rsidP="004D25D7">
            <w:pPr>
              <w:pStyle w:val="ARfintablecolheadright"/>
            </w:pPr>
            <w:r w:rsidRPr="007942D6">
              <w:t>$M</w:t>
            </w:r>
          </w:p>
        </w:tc>
        <w:tc>
          <w:tcPr>
            <w:tcW w:w="1417" w:type="dxa"/>
            <w:shd w:val="clear" w:color="auto" w:fill="EEEEEF" w:themeFill="accent4"/>
            <w:hideMark/>
          </w:tcPr>
          <w:p w14:paraId="775B7A5E" w14:textId="77777777" w:rsidR="00265792" w:rsidRPr="007942D6" w:rsidRDefault="00265792" w:rsidP="004D25D7">
            <w:pPr>
              <w:pStyle w:val="ARfintablecolheadright"/>
            </w:pPr>
            <w:r w:rsidRPr="007942D6">
              <w:t>Financial liabilities at amortised cost (AC)</w:t>
            </w:r>
          </w:p>
          <w:p w14:paraId="0B7260CA" w14:textId="77777777" w:rsidR="00265792" w:rsidRPr="007942D6" w:rsidRDefault="00265792" w:rsidP="004D25D7">
            <w:pPr>
              <w:pStyle w:val="ARfintablecolheadright"/>
            </w:pPr>
            <w:r w:rsidRPr="007942D6">
              <w:t>$M</w:t>
            </w:r>
          </w:p>
        </w:tc>
        <w:tc>
          <w:tcPr>
            <w:tcW w:w="1417" w:type="dxa"/>
            <w:hideMark/>
          </w:tcPr>
          <w:p w14:paraId="3DF7CEF8" w14:textId="77777777" w:rsidR="00265792" w:rsidRPr="007942D6" w:rsidRDefault="00265792" w:rsidP="004D25D7">
            <w:pPr>
              <w:pStyle w:val="ARfintablecolheadright"/>
            </w:pPr>
            <w:r w:rsidRPr="007942D6">
              <w:t>Total</w:t>
            </w:r>
          </w:p>
          <w:p w14:paraId="66CBD2AA" w14:textId="77777777" w:rsidR="00265792" w:rsidRPr="007942D6" w:rsidRDefault="00265792" w:rsidP="004D25D7">
            <w:pPr>
              <w:pStyle w:val="ARfintablecolheadright"/>
            </w:pPr>
            <w:r w:rsidRPr="007942D6">
              <w:t>$M</w:t>
            </w:r>
          </w:p>
        </w:tc>
      </w:tr>
      <w:tr w:rsidR="00265792" w:rsidRPr="00BA7805" w14:paraId="7E794977" w14:textId="77777777" w:rsidTr="00114C18">
        <w:tc>
          <w:tcPr>
            <w:tcW w:w="3968" w:type="dxa"/>
          </w:tcPr>
          <w:p w14:paraId="076AFD23" w14:textId="77777777" w:rsidR="00265792" w:rsidRPr="00BA7805" w:rsidRDefault="00265792" w:rsidP="00114C18">
            <w:pPr>
              <w:pStyle w:val="ARfintablebodybold"/>
              <w:rPr>
                <w:highlight w:val="green"/>
              </w:rPr>
            </w:pPr>
            <w:r w:rsidRPr="00C21BB8">
              <w:t xml:space="preserve">Contractual financial assets </w:t>
            </w:r>
          </w:p>
        </w:tc>
        <w:tc>
          <w:tcPr>
            <w:tcW w:w="1418" w:type="dxa"/>
            <w:noWrap/>
          </w:tcPr>
          <w:p w14:paraId="2E7DD19A" w14:textId="77777777" w:rsidR="00265792" w:rsidRPr="00BA7805" w:rsidRDefault="00265792" w:rsidP="007A3842">
            <w:pPr>
              <w:pStyle w:val="ARfintablebodyright"/>
              <w:rPr>
                <w:highlight w:val="green"/>
              </w:rPr>
            </w:pPr>
          </w:p>
        </w:tc>
        <w:tc>
          <w:tcPr>
            <w:tcW w:w="1417" w:type="dxa"/>
            <w:noWrap/>
          </w:tcPr>
          <w:p w14:paraId="2BDEC907" w14:textId="77777777" w:rsidR="00265792" w:rsidRPr="00BA7805" w:rsidRDefault="00265792" w:rsidP="007A3842">
            <w:pPr>
              <w:pStyle w:val="ARfintablebodyright"/>
              <w:rPr>
                <w:highlight w:val="green"/>
              </w:rPr>
            </w:pPr>
          </w:p>
        </w:tc>
        <w:tc>
          <w:tcPr>
            <w:tcW w:w="1417" w:type="dxa"/>
            <w:noWrap/>
          </w:tcPr>
          <w:p w14:paraId="1CD2E158" w14:textId="77777777" w:rsidR="00265792" w:rsidRPr="00BA7805" w:rsidRDefault="00265792" w:rsidP="007A3842">
            <w:pPr>
              <w:pStyle w:val="ARfintablebodyright"/>
              <w:rPr>
                <w:highlight w:val="green"/>
              </w:rPr>
            </w:pPr>
          </w:p>
        </w:tc>
        <w:tc>
          <w:tcPr>
            <w:tcW w:w="1417" w:type="dxa"/>
            <w:noWrap/>
          </w:tcPr>
          <w:p w14:paraId="611BB19A" w14:textId="77777777" w:rsidR="00265792" w:rsidRPr="00BA7805" w:rsidRDefault="00265792" w:rsidP="007A3842">
            <w:pPr>
              <w:pStyle w:val="ARfintablebodyright"/>
              <w:rPr>
                <w:highlight w:val="green"/>
              </w:rPr>
            </w:pPr>
          </w:p>
        </w:tc>
      </w:tr>
      <w:tr w:rsidR="00265792" w:rsidRPr="00BA7805" w14:paraId="04FEE2E4" w14:textId="77777777" w:rsidTr="00114C18">
        <w:tc>
          <w:tcPr>
            <w:tcW w:w="3968" w:type="dxa"/>
          </w:tcPr>
          <w:p w14:paraId="0E046959" w14:textId="77777777" w:rsidR="00265792" w:rsidRPr="00BA7805" w:rsidRDefault="00265792" w:rsidP="007A3842">
            <w:pPr>
              <w:pStyle w:val="ARfintablebody"/>
              <w:rPr>
                <w:highlight w:val="green"/>
              </w:rPr>
            </w:pPr>
            <w:r w:rsidRPr="00C21BB8">
              <w:t xml:space="preserve">Cash and deposits </w:t>
            </w:r>
          </w:p>
        </w:tc>
        <w:tc>
          <w:tcPr>
            <w:tcW w:w="1418" w:type="dxa"/>
            <w:shd w:val="clear" w:color="auto" w:fill="EEEEEF" w:themeFill="accent4"/>
            <w:noWrap/>
          </w:tcPr>
          <w:p w14:paraId="5A4A2C69" w14:textId="77777777" w:rsidR="00265792" w:rsidRPr="00BA7805" w:rsidRDefault="00265792" w:rsidP="007A3842">
            <w:pPr>
              <w:pStyle w:val="ARfintablebodyright"/>
              <w:rPr>
                <w:highlight w:val="green"/>
              </w:rPr>
            </w:pPr>
            <w:r w:rsidRPr="00C21BB8">
              <w:t>1,</w:t>
            </w:r>
            <w:r>
              <w:t>312.2</w:t>
            </w:r>
          </w:p>
        </w:tc>
        <w:tc>
          <w:tcPr>
            <w:tcW w:w="1417" w:type="dxa"/>
            <w:noWrap/>
          </w:tcPr>
          <w:p w14:paraId="6A969102" w14:textId="77777777" w:rsidR="00265792" w:rsidRPr="00BA7805" w:rsidRDefault="00265792" w:rsidP="007A3842">
            <w:pPr>
              <w:pStyle w:val="ARfintablebodyright"/>
              <w:rPr>
                <w:highlight w:val="green"/>
              </w:rPr>
            </w:pPr>
            <w:r>
              <w:t>–</w:t>
            </w:r>
          </w:p>
        </w:tc>
        <w:tc>
          <w:tcPr>
            <w:tcW w:w="1417" w:type="dxa"/>
            <w:shd w:val="clear" w:color="auto" w:fill="EEEEEF" w:themeFill="accent4"/>
            <w:noWrap/>
          </w:tcPr>
          <w:p w14:paraId="2D45E3E7" w14:textId="77777777" w:rsidR="00265792" w:rsidRPr="00BA7805" w:rsidRDefault="00265792" w:rsidP="007A3842">
            <w:pPr>
              <w:pStyle w:val="ARfintablebodyright"/>
              <w:rPr>
                <w:highlight w:val="green"/>
              </w:rPr>
            </w:pPr>
            <w:r>
              <w:t>–</w:t>
            </w:r>
          </w:p>
        </w:tc>
        <w:tc>
          <w:tcPr>
            <w:tcW w:w="1417" w:type="dxa"/>
            <w:noWrap/>
          </w:tcPr>
          <w:p w14:paraId="6D44D727" w14:textId="77777777" w:rsidR="00265792" w:rsidRPr="00BA7805" w:rsidRDefault="00265792" w:rsidP="007A3842">
            <w:pPr>
              <w:pStyle w:val="ARfintablebodyright"/>
              <w:rPr>
                <w:highlight w:val="green"/>
              </w:rPr>
            </w:pPr>
            <w:r w:rsidRPr="00C21BB8">
              <w:t>1,</w:t>
            </w:r>
            <w:r>
              <w:t>312.2</w:t>
            </w:r>
          </w:p>
        </w:tc>
      </w:tr>
      <w:tr w:rsidR="00265792" w:rsidRPr="00BA7805" w14:paraId="75621D72" w14:textId="77777777" w:rsidTr="00114C18">
        <w:tc>
          <w:tcPr>
            <w:tcW w:w="3968" w:type="dxa"/>
            <w:tcBorders>
              <w:bottom w:val="single" w:sz="4" w:space="0" w:color="A6A6A6" w:themeColor="accent5"/>
            </w:tcBorders>
          </w:tcPr>
          <w:p w14:paraId="4152F1B6" w14:textId="77777777" w:rsidR="00265792" w:rsidRPr="00BA7805" w:rsidRDefault="00265792" w:rsidP="007A3842">
            <w:pPr>
              <w:pStyle w:val="ARfintablebody"/>
              <w:rPr>
                <w:highlight w:val="green"/>
              </w:rPr>
            </w:pPr>
            <w:r w:rsidRPr="00C21BB8">
              <w:t xml:space="preserve">Receivables </w:t>
            </w:r>
            <w:r w:rsidRPr="002670E2">
              <w:rPr>
                <w:vertAlign w:val="superscript"/>
              </w:rPr>
              <w:t>(</w:t>
            </w:r>
            <w:proofErr w:type="spellStart"/>
            <w:r w:rsidRPr="002670E2">
              <w:rPr>
                <w:vertAlign w:val="superscript"/>
              </w:rPr>
              <w:t>i</w:t>
            </w:r>
            <w:proofErr w:type="spellEnd"/>
            <w:r w:rsidRPr="002670E2">
              <w:rPr>
                <w:vertAlign w:val="superscript"/>
              </w:rPr>
              <w:t>)</w:t>
            </w:r>
          </w:p>
        </w:tc>
        <w:tc>
          <w:tcPr>
            <w:tcW w:w="1418" w:type="dxa"/>
            <w:tcBorders>
              <w:bottom w:val="single" w:sz="4" w:space="0" w:color="A6A6A6" w:themeColor="accent5"/>
            </w:tcBorders>
            <w:shd w:val="clear" w:color="auto" w:fill="EEEEEF" w:themeFill="accent4"/>
            <w:noWrap/>
          </w:tcPr>
          <w:p w14:paraId="260FA564" w14:textId="77777777" w:rsidR="00265792" w:rsidRPr="00BA7805" w:rsidRDefault="00265792" w:rsidP="007A3842">
            <w:pPr>
              <w:pStyle w:val="ARfintablebodyright"/>
              <w:rPr>
                <w:highlight w:val="green"/>
              </w:rPr>
            </w:pPr>
            <w:r>
              <w:t>–</w:t>
            </w:r>
          </w:p>
        </w:tc>
        <w:tc>
          <w:tcPr>
            <w:tcW w:w="1417" w:type="dxa"/>
            <w:tcBorders>
              <w:bottom w:val="single" w:sz="4" w:space="0" w:color="A6A6A6" w:themeColor="accent5"/>
            </w:tcBorders>
            <w:noWrap/>
          </w:tcPr>
          <w:p w14:paraId="4148B1BD" w14:textId="77777777" w:rsidR="00265792" w:rsidRPr="00BA7805" w:rsidRDefault="00265792" w:rsidP="007A3842">
            <w:pPr>
              <w:pStyle w:val="ARfintablebodyright"/>
              <w:rPr>
                <w:highlight w:val="green"/>
              </w:rPr>
            </w:pPr>
            <w:r w:rsidRPr="00C21BB8">
              <w:t>22</w:t>
            </w:r>
            <w:r>
              <w:t>5</w:t>
            </w:r>
            <w:r w:rsidRPr="00C21BB8">
              <w:t>.4</w:t>
            </w:r>
          </w:p>
        </w:tc>
        <w:tc>
          <w:tcPr>
            <w:tcW w:w="1417" w:type="dxa"/>
            <w:tcBorders>
              <w:bottom w:val="single" w:sz="4" w:space="0" w:color="A6A6A6" w:themeColor="accent5"/>
            </w:tcBorders>
            <w:shd w:val="clear" w:color="auto" w:fill="EEEEEF" w:themeFill="accent4"/>
            <w:noWrap/>
          </w:tcPr>
          <w:p w14:paraId="1CD77348" w14:textId="77777777" w:rsidR="00265792" w:rsidRPr="00BA7805" w:rsidRDefault="00265792" w:rsidP="007A3842">
            <w:pPr>
              <w:pStyle w:val="ARfintablebodyright"/>
              <w:rPr>
                <w:highlight w:val="green"/>
              </w:rPr>
            </w:pPr>
            <w:r>
              <w:t>–</w:t>
            </w:r>
          </w:p>
        </w:tc>
        <w:tc>
          <w:tcPr>
            <w:tcW w:w="1417" w:type="dxa"/>
            <w:tcBorders>
              <w:bottom w:val="single" w:sz="4" w:space="0" w:color="A6A6A6" w:themeColor="accent5"/>
            </w:tcBorders>
            <w:noWrap/>
          </w:tcPr>
          <w:p w14:paraId="106E5FE9" w14:textId="77777777" w:rsidR="00265792" w:rsidRPr="00BA7805" w:rsidRDefault="00265792" w:rsidP="007A3842">
            <w:pPr>
              <w:pStyle w:val="ARfintablebodyright"/>
              <w:rPr>
                <w:highlight w:val="green"/>
              </w:rPr>
            </w:pPr>
            <w:r w:rsidRPr="00C21BB8">
              <w:t>22</w:t>
            </w:r>
            <w:r>
              <w:t>5</w:t>
            </w:r>
            <w:r w:rsidRPr="00C21BB8">
              <w:t>.4</w:t>
            </w:r>
          </w:p>
        </w:tc>
      </w:tr>
      <w:tr w:rsidR="00265792" w:rsidRPr="00BA7805" w14:paraId="3E148413" w14:textId="77777777" w:rsidTr="00114C18">
        <w:tc>
          <w:tcPr>
            <w:tcW w:w="3968" w:type="dxa"/>
            <w:tcBorders>
              <w:top w:val="single" w:sz="4" w:space="0" w:color="A6A6A6" w:themeColor="accent5"/>
              <w:bottom w:val="single" w:sz="4" w:space="0" w:color="000000" w:themeColor="text1"/>
            </w:tcBorders>
          </w:tcPr>
          <w:p w14:paraId="50109A45" w14:textId="77777777" w:rsidR="00265792" w:rsidRPr="00BA7805" w:rsidRDefault="00265792" w:rsidP="007A3842">
            <w:pPr>
              <w:pStyle w:val="ARfintablebody"/>
              <w:rPr>
                <w:highlight w:val="green"/>
              </w:rPr>
            </w:pPr>
            <w:r w:rsidRPr="00C21BB8">
              <w:t>Loans</w:t>
            </w:r>
          </w:p>
        </w:tc>
        <w:tc>
          <w:tcPr>
            <w:tcW w:w="1418" w:type="dxa"/>
            <w:tcBorders>
              <w:top w:val="single" w:sz="4" w:space="0" w:color="A6A6A6" w:themeColor="accent5"/>
              <w:bottom w:val="single" w:sz="4" w:space="0" w:color="000000" w:themeColor="text1"/>
            </w:tcBorders>
            <w:shd w:val="clear" w:color="auto" w:fill="EEEEEF" w:themeFill="accent4"/>
            <w:noWrap/>
          </w:tcPr>
          <w:p w14:paraId="27FB2CA6" w14:textId="77777777" w:rsidR="00265792" w:rsidRPr="00BA7805" w:rsidRDefault="00265792" w:rsidP="007A3842">
            <w:pPr>
              <w:pStyle w:val="ARfintablebodyright"/>
              <w:rPr>
                <w:highlight w:val="green"/>
              </w:rPr>
            </w:pPr>
            <w:r>
              <w:t>–</w:t>
            </w:r>
          </w:p>
        </w:tc>
        <w:tc>
          <w:tcPr>
            <w:tcW w:w="1417" w:type="dxa"/>
            <w:tcBorders>
              <w:top w:val="single" w:sz="4" w:space="0" w:color="A6A6A6" w:themeColor="accent5"/>
              <w:bottom w:val="single" w:sz="4" w:space="0" w:color="000000" w:themeColor="text1"/>
            </w:tcBorders>
            <w:noWrap/>
          </w:tcPr>
          <w:p w14:paraId="69EC9F23" w14:textId="77777777" w:rsidR="00265792" w:rsidRPr="00BA7805" w:rsidRDefault="00265792" w:rsidP="007A3842">
            <w:pPr>
              <w:pStyle w:val="ARfintablebodyright"/>
              <w:rPr>
                <w:highlight w:val="green"/>
              </w:rPr>
            </w:pPr>
            <w:r w:rsidRPr="00C21BB8">
              <w:t>66.7</w:t>
            </w:r>
          </w:p>
        </w:tc>
        <w:tc>
          <w:tcPr>
            <w:tcW w:w="1417" w:type="dxa"/>
            <w:tcBorders>
              <w:top w:val="single" w:sz="4" w:space="0" w:color="A6A6A6" w:themeColor="accent5"/>
              <w:bottom w:val="single" w:sz="4" w:space="0" w:color="000000" w:themeColor="text1"/>
            </w:tcBorders>
            <w:shd w:val="clear" w:color="auto" w:fill="EEEEEF" w:themeFill="accent4"/>
            <w:noWrap/>
          </w:tcPr>
          <w:p w14:paraId="35A202D1" w14:textId="77777777" w:rsidR="00265792" w:rsidRPr="00BA7805" w:rsidRDefault="00265792" w:rsidP="007A3842">
            <w:pPr>
              <w:pStyle w:val="ARfintablebodyright"/>
              <w:rPr>
                <w:highlight w:val="green"/>
              </w:rPr>
            </w:pPr>
            <w:r>
              <w:t>–</w:t>
            </w:r>
          </w:p>
        </w:tc>
        <w:tc>
          <w:tcPr>
            <w:tcW w:w="1417" w:type="dxa"/>
            <w:tcBorders>
              <w:top w:val="single" w:sz="4" w:space="0" w:color="A6A6A6" w:themeColor="accent5"/>
              <w:bottom w:val="single" w:sz="4" w:space="0" w:color="000000" w:themeColor="text1"/>
            </w:tcBorders>
            <w:noWrap/>
          </w:tcPr>
          <w:p w14:paraId="2352E47E" w14:textId="77777777" w:rsidR="00265792" w:rsidRPr="00BA7805" w:rsidRDefault="00265792" w:rsidP="007A3842">
            <w:pPr>
              <w:pStyle w:val="ARfintablebodyright"/>
              <w:rPr>
                <w:highlight w:val="green"/>
              </w:rPr>
            </w:pPr>
            <w:r w:rsidRPr="00C21BB8">
              <w:t>66.7</w:t>
            </w:r>
          </w:p>
        </w:tc>
      </w:tr>
      <w:tr w:rsidR="00265792" w:rsidRPr="00BA7805" w14:paraId="1E9A06CB" w14:textId="77777777" w:rsidTr="00114C18">
        <w:tc>
          <w:tcPr>
            <w:tcW w:w="3968" w:type="dxa"/>
            <w:tcBorders>
              <w:top w:val="single" w:sz="4" w:space="0" w:color="000000" w:themeColor="text1"/>
              <w:bottom w:val="single" w:sz="4" w:space="0" w:color="000000" w:themeColor="text1"/>
            </w:tcBorders>
          </w:tcPr>
          <w:p w14:paraId="341B9FA0" w14:textId="77777777" w:rsidR="00265792" w:rsidRPr="00BA7805" w:rsidRDefault="00265792" w:rsidP="00114C18">
            <w:pPr>
              <w:pStyle w:val="ARfintablebodybold"/>
              <w:rPr>
                <w:highlight w:val="green"/>
              </w:rPr>
            </w:pPr>
            <w:r w:rsidRPr="00C21BB8">
              <w:t xml:space="preserve">Total contractual financial assets </w:t>
            </w:r>
          </w:p>
        </w:tc>
        <w:tc>
          <w:tcPr>
            <w:tcW w:w="1418" w:type="dxa"/>
            <w:tcBorders>
              <w:top w:val="single" w:sz="4" w:space="0" w:color="000000" w:themeColor="text1"/>
              <w:bottom w:val="single" w:sz="4" w:space="0" w:color="000000" w:themeColor="text1"/>
            </w:tcBorders>
            <w:shd w:val="clear" w:color="auto" w:fill="EEEEEF" w:themeFill="accent4"/>
            <w:noWrap/>
          </w:tcPr>
          <w:p w14:paraId="22C784FC" w14:textId="77777777" w:rsidR="00265792" w:rsidRPr="00BA7805" w:rsidRDefault="00265792" w:rsidP="00114C18">
            <w:pPr>
              <w:pStyle w:val="ARfintablebodyrightbold"/>
              <w:rPr>
                <w:highlight w:val="green"/>
              </w:rPr>
            </w:pPr>
            <w:r w:rsidRPr="00C21BB8">
              <w:t>1,</w:t>
            </w:r>
            <w:r>
              <w:t>312.2</w:t>
            </w:r>
          </w:p>
        </w:tc>
        <w:tc>
          <w:tcPr>
            <w:tcW w:w="1417" w:type="dxa"/>
            <w:tcBorders>
              <w:top w:val="single" w:sz="4" w:space="0" w:color="000000" w:themeColor="text1"/>
              <w:bottom w:val="single" w:sz="4" w:space="0" w:color="000000" w:themeColor="text1"/>
            </w:tcBorders>
            <w:noWrap/>
          </w:tcPr>
          <w:p w14:paraId="5B457270" w14:textId="77777777" w:rsidR="00265792" w:rsidRPr="00BA7805" w:rsidRDefault="00265792" w:rsidP="00114C18">
            <w:pPr>
              <w:pStyle w:val="ARfintablebodyrightbold"/>
              <w:rPr>
                <w:highlight w:val="green"/>
              </w:rPr>
            </w:pPr>
            <w:r w:rsidRPr="00C21BB8">
              <w:t>29</w:t>
            </w:r>
            <w:r>
              <w:t>2</w:t>
            </w:r>
            <w:r w:rsidRPr="00C21BB8">
              <w:t>.1</w:t>
            </w:r>
          </w:p>
        </w:tc>
        <w:tc>
          <w:tcPr>
            <w:tcW w:w="1417" w:type="dxa"/>
            <w:tcBorders>
              <w:top w:val="single" w:sz="4" w:space="0" w:color="000000" w:themeColor="text1"/>
              <w:bottom w:val="single" w:sz="4" w:space="0" w:color="000000" w:themeColor="text1"/>
            </w:tcBorders>
            <w:shd w:val="clear" w:color="auto" w:fill="EEEEEF" w:themeFill="accent4"/>
            <w:noWrap/>
          </w:tcPr>
          <w:p w14:paraId="12442A0D" w14:textId="77777777" w:rsidR="00265792" w:rsidRPr="00BA7805" w:rsidRDefault="00265792" w:rsidP="00114C18">
            <w:pPr>
              <w:pStyle w:val="ARfintablebodyrightbold"/>
              <w:rPr>
                <w:highlight w:val="green"/>
              </w:rPr>
            </w:pPr>
            <w:r>
              <w:t>–</w:t>
            </w:r>
          </w:p>
        </w:tc>
        <w:tc>
          <w:tcPr>
            <w:tcW w:w="1417" w:type="dxa"/>
            <w:tcBorders>
              <w:top w:val="single" w:sz="4" w:space="0" w:color="000000" w:themeColor="text1"/>
              <w:bottom w:val="single" w:sz="4" w:space="0" w:color="000000" w:themeColor="text1"/>
            </w:tcBorders>
            <w:noWrap/>
          </w:tcPr>
          <w:p w14:paraId="5C0DF5C2" w14:textId="77777777" w:rsidR="00265792" w:rsidRPr="00BA7805" w:rsidRDefault="00265792" w:rsidP="00114C18">
            <w:pPr>
              <w:pStyle w:val="ARfintablebodyrightbold"/>
              <w:rPr>
                <w:highlight w:val="green"/>
              </w:rPr>
            </w:pPr>
            <w:r w:rsidRPr="00C21BB8">
              <w:t>1,</w:t>
            </w:r>
            <w:r>
              <w:t>604</w:t>
            </w:r>
            <w:r w:rsidRPr="00C21BB8">
              <w:t>.</w:t>
            </w:r>
            <w:r>
              <w:t>3</w:t>
            </w:r>
          </w:p>
        </w:tc>
      </w:tr>
      <w:tr w:rsidR="00265792" w:rsidRPr="00BA7805" w14:paraId="0854198C" w14:textId="77777777" w:rsidTr="00114C18">
        <w:tc>
          <w:tcPr>
            <w:tcW w:w="3968" w:type="dxa"/>
            <w:tcBorders>
              <w:top w:val="single" w:sz="4" w:space="0" w:color="000000" w:themeColor="text1"/>
              <w:bottom w:val="single" w:sz="4" w:space="0" w:color="A6A6A6" w:themeColor="accent5"/>
            </w:tcBorders>
          </w:tcPr>
          <w:p w14:paraId="16036221" w14:textId="77777777" w:rsidR="00265792" w:rsidRPr="00BA7805" w:rsidRDefault="00265792" w:rsidP="00114C18">
            <w:pPr>
              <w:pStyle w:val="ARfintablebodybold"/>
              <w:rPr>
                <w:highlight w:val="green"/>
              </w:rPr>
            </w:pPr>
            <w:r w:rsidRPr="00C21BB8">
              <w:t xml:space="preserve">Contractual financial liabilities </w:t>
            </w:r>
          </w:p>
        </w:tc>
        <w:tc>
          <w:tcPr>
            <w:tcW w:w="1418" w:type="dxa"/>
            <w:tcBorders>
              <w:top w:val="single" w:sz="4" w:space="0" w:color="000000" w:themeColor="text1"/>
              <w:bottom w:val="single" w:sz="4" w:space="0" w:color="A6A6A6" w:themeColor="accent5"/>
            </w:tcBorders>
            <w:noWrap/>
          </w:tcPr>
          <w:p w14:paraId="1AD8514D" w14:textId="77777777" w:rsidR="00265792" w:rsidRPr="00BA7805" w:rsidRDefault="00265792" w:rsidP="007A3842">
            <w:pPr>
              <w:pStyle w:val="ARfintablebodyright"/>
              <w:rPr>
                <w:highlight w:val="green"/>
              </w:rPr>
            </w:pPr>
          </w:p>
        </w:tc>
        <w:tc>
          <w:tcPr>
            <w:tcW w:w="1417" w:type="dxa"/>
            <w:tcBorders>
              <w:top w:val="single" w:sz="4" w:space="0" w:color="000000" w:themeColor="text1"/>
              <w:bottom w:val="single" w:sz="4" w:space="0" w:color="A6A6A6" w:themeColor="accent5"/>
            </w:tcBorders>
            <w:noWrap/>
          </w:tcPr>
          <w:p w14:paraId="77B3AB1F" w14:textId="77777777" w:rsidR="00265792" w:rsidRPr="00BA7805" w:rsidRDefault="00265792" w:rsidP="007A3842">
            <w:pPr>
              <w:pStyle w:val="ARfintablebodyright"/>
              <w:rPr>
                <w:highlight w:val="green"/>
              </w:rPr>
            </w:pPr>
          </w:p>
        </w:tc>
        <w:tc>
          <w:tcPr>
            <w:tcW w:w="1417" w:type="dxa"/>
            <w:tcBorders>
              <w:top w:val="single" w:sz="4" w:space="0" w:color="000000" w:themeColor="text1"/>
              <w:bottom w:val="single" w:sz="4" w:space="0" w:color="A6A6A6" w:themeColor="accent5"/>
            </w:tcBorders>
            <w:noWrap/>
          </w:tcPr>
          <w:p w14:paraId="42B8AE49" w14:textId="77777777" w:rsidR="00265792" w:rsidRPr="00BA7805" w:rsidRDefault="00265792" w:rsidP="007A3842">
            <w:pPr>
              <w:pStyle w:val="ARfintablebodyright"/>
              <w:rPr>
                <w:highlight w:val="green"/>
              </w:rPr>
            </w:pPr>
          </w:p>
        </w:tc>
        <w:tc>
          <w:tcPr>
            <w:tcW w:w="1417" w:type="dxa"/>
            <w:tcBorders>
              <w:top w:val="single" w:sz="4" w:space="0" w:color="000000" w:themeColor="text1"/>
              <w:bottom w:val="single" w:sz="4" w:space="0" w:color="A6A6A6" w:themeColor="accent5"/>
            </w:tcBorders>
            <w:noWrap/>
          </w:tcPr>
          <w:p w14:paraId="42030142" w14:textId="77777777" w:rsidR="00265792" w:rsidRPr="00BA7805" w:rsidRDefault="00265792" w:rsidP="007A3842">
            <w:pPr>
              <w:pStyle w:val="ARfintablebodyright"/>
              <w:rPr>
                <w:highlight w:val="green"/>
              </w:rPr>
            </w:pPr>
          </w:p>
        </w:tc>
      </w:tr>
      <w:tr w:rsidR="00265792" w:rsidRPr="00BA7805" w14:paraId="2007B408" w14:textId="77777777" w:rsidTr="00114C18">
        <w:tc>
          <w:tcPr>
            <w:tcW w:w="3968" w:type="dxa"/>
            <w:tcBorders>
              <w:top w:val="single" w:sz="4" w:space="0" w:color="A6A6A6" w:themeColor="accent5"/>
            </w:tcBorders>
          </w:tcPr>
          <w:p w14:paraId="1D64B7CC" w14:textId="77777777" w:rsidR="00265792" w:rsidRPr="00BA7805" w:rsidRDefault="00265792" w:rsidP="007A3842">
            <w:pPr>
              <w:pStyle w:val="ARfintablebody"/>
              <w:rPr>
                <w:highlight w:val="green"/>
              </w:rPr>
            </w:pPr>
            <w:r w:rsidRPr="00C21BB8">
              <w:t xml:space="preserve">Payables </w:t>
            </w:r>
            <w:r w:rsidRPr="00114C18">
              <w:rPr>
                <w:vertAlign w:val="superscript"/>
              </w:rPr>
              <w:t>(</w:t>
            </w:r>
            <w:proofErr w:type="spellStart"/>
            <w:r w:rsidRPr="00114C18">
              <w:rPr>
                <w:vertAlign w:val="superscript"/>
              </w:rPr>
              <w:t>i</w:t>
            </w:r>
            <w:proofErr w:type="spellEnd"/>
            <w:r w:rsidRPr="00114C18">
              <w:rPr>
                <w:vertAlign w:val="superscript"/>
              </w:rPr>
              <w:t>)</w:t>
            </w:r>
          </w:p>
        </w:tc>
        <w:tc>
          <w:tcPr>
            <w:tcW w:w="1418" w:type="dxa"/>
            <w:tcBorders>
              <w:top w:val="single" w:sz="4" w:space="0" w:color="A6A6A6" w:themeColor="accent5"/>
            </w:tcBorders>
            <w:shd w:val="clear" w:color="auto" w:fill="EEEEEF" w:themeFill="accent4"/>
            <w:noWrap/>
          </w:tcPr>
          <w:p w14:paraId="3BEBDFD5" w14:textId="77777777" w:rsidR="00265792" w:rsidRPr="00BA7805" w:rsidRDefault="00265792" w:rsidP="007A3842">
            <w:pPr>
              <w:pStyle w:val="ARfintablebodyright"/>
              <w:rPr>
                <w:highlight w:val="green"/>
              </w:rPr>
            </w:pPr>
            <w:r>
              <w:t>–</w:t>
            </w:r>
          </w:p>
        </w:tc>
        <w:tc>
          <w:tcPr>
            <w:tcW w:w="1417" w:type="dxa"/>
            <w:tcBorders>
              <w:top w:val="single" w:sz="4" w:space="0" w:color="A6A6A6" w:themeColor="accent5"/>
            </w:tcBorders>
            <w:noWrap/>
          </w:tcPr>
          <w:p w14:paraId="62F6B63C" w14:textId="77777777" w:rsidR="00265792" w:rsidRPr="00BA7805" w:rsidRDefault="00265792" w:rsidP="007A3842">
            <w:pPr>
              <w:pStyle w:val="ARfintablebodyright"/>
              <w:rPr>
                <w:highlight w:val="green"/>
              </w:rPr>
            </w:pPr>
            <w:r>
              <w:t>–</w:t>
            </w:r>
          </w:p>
        </w:tc>
        <w:tc>
          <w:tcPr>
            <w:tcW w:w="1417" w:type="dxa"/>
            <w:tcBorders>
              <w:top w:val="single" w:sz="4" w:space="0" w:color="A6A6A6" w:themeColor="accent5"/>
            </w:tcBorders>
            <w:shd w:val="clear" w:color="auto" w:fill="EEEEEF" w:themeFill="accent4"/>
            <w:noWrap/>
          </w:tcPr>
          <w:p w14:paraId="2DB9FD0E" w14:textId="77777777" w:rsidR="00265792" w:rsidRPr="00BA7805" w:rsidRDefault="00265792" w:rsidP="007A3842">
            <w:pPr>
              <w:pStyle w:val="ARfintablebodyright"/>
              <w:rPr>
                <w:highlight w:val="green"/>
              </w:rPr>
            </w:pPr>
            <w:r w:rsidRPr="00C21BB8">
              <w:t>449.7</w:t>
            </w:r>
          </w:p>
        </w:tc>
        <w:tc>
          <w:tcPr>
            <w:tcW w:w="1417" w:type="dxa"/>
            <w:tcBorders>
              <w:top w:val="single" w:sz="4" w:space="0" w:color="A6A6A6" w:themeColor="accent5"/>
            </w:tcBorders>
            <w:noWrap/>
          </w:tcPr>
          <w:p w14:paraId="532DD315" w14:textId="77777777" w:rsidR="00265792" w:rsidRPr="00BA7805" w:rsidRDefault="00265792" w:rsidP="007A3842">
            <w:pPr>
              <w:pStyle w:val="ARfintablebodyright"/>
              <w:rPr>
                <w:highlight w:val="green"/>
              </w:rPr>
            </w:pPr>
            <w:r w:rsidRPr="00C21BB8">
              <w:t>449.7</w:t>
            </w:r>
          </w:p>
        </w:tc>
      </w:tr>
      <w:tr w:rsidR="00265792" w:rsidRPr="00BA7805" w14:paraId="25D7A5EC" w14:textId="77777777" w:rsidTr="00114C18">
        <w:tc>
          <w:tcPr>
            <w:tcW w:w="3968" w:type="dxa"/>
          </w:tcPr>
          <w:p w14:paraId="629263DB" w14:textId="77777777" w:rsidR="00265792" w:rsidRPr="00BA7805" w:rsidRDefault="00265792" w:rsidP="007A3842">
            <w:pPr>
              <w:pStyle w:val="ARfintablebody"/>
              <w:rPr>
                <w:highlight w:val="green"/>
              </w:rPr>
            </w:pPr>
            <w:r w:rsidRPr="00C21BB8">
              <w:t xml:space="preserve">Borrowings </w:t>
            </w:r>
            <w:r w:rsidRPr="00114C18">
              <w:rPr>
                <w:vertAlign w:val="superscript"/>
              </w:rPr>
              <w:t>(</w:t>
            </w:r>
            <w:proofErr w:type="spellStart"/>
            <w:r w:rsidRPr="00114C18">
              <w:rPr>
                <w:vertAlign w:val="superscript"/>
              </w:rPr>
              <w:t>i</w:t>
            </w:r>
            <w:proofErr w:type="spellEnd"/>
            <w:r w:rsidRPr="00114C18">
              <w:rPr>
                <w:vertAlign w:val="superscript"/>
              </w:rPr>
              <w:t>)</w:t>
            </w:r>
          </w:p>
        </w:tc>
        <w:tc>
          <w:tcPr>
            <w:tcW w:w="1418" w:type="dxa"/>
            <w:shd w:val="clear" w:color="auto" w:fill="EEEEEF" w:themeFill="accent4"/>
            <w:noWrap/>
          </w:tcPr>
          <w:p w14:paraId="250DB74E" w14:textId="77777777" w:rsidR="00265792" w:rsidRPr="00BA7805" w:rsidRDefault="00265792" w:rsidP="007A3842">
            <w:pPr>
              <w:pStyle w:val="ARfintablebodyright"/>
              <w:rPr>
                <w:highlight w:val="green"/>
              </w:rPr>
            </w:pPr>
            <w:r>
              <w:t>–</w:t>
            </w:r>
          </w:p>
        </w:tc>
        <w:tc>
          <w:tcPr>
            <w:tcW w:w="1417" w:type="dxa"/>
            <w:noWrap/>
          </w:tcPr>
          <w:p w14:paraId="1A3DF0A6" w14:textId="77777777" w:rsidR="00265792" w:rsidRPr="00BA7805" w:rsidRDefault="00265792" w:rsidP="007A3842">
            <w:pPr>
              <w:pStyle w:val="ARfintablebodyright"/>
              <w:rPr>
                <w:highlight w:val="green"/>
              </w:rPr>
            </w:pPr>
            <w:r>
              <w:t>–</w:t>
            </w:r>
          </w:p>
        </w:tc>
        <w:tc>
          <w:tcPr>
            <w:tcW w:w="1417" w:type="dxa"/>
            <w:shd w:val="clear" w:color="auto" w:fill="EEEEEF" w:themeFill="accent4"/>
            <w:noWrap/>
          </w:tcPr>
          <w:p w14:paraId="5545C474" w14:textId="77777777" w:rsidR="00265792" w:rsidRPr="00BA7805" w:rsidRDefault="00265792" w:rsidP="007A3842">
            <w:pPr>
              <w:pStyle w:val="ARfintablebodyright"/>
              <w:rPr>
                <w:highlight w:val="green"/>
              </w:rPr>
            </w:pPr>
            <w:r w:rsidRPr="00C21BB8">
              <w:t>737.0</w:t>
            </w:r>
          </w:p>
        </w:tc>
        <w:tc>
          <w:tcPr>
            <w:tcW w:w="1417" w:type="dxa"/>
            <w:noWrap/>
          </w:tcPr>
          <w:p w14:paraId="708E8029" w14:textId="77777777" w:rsidR="00265792" w:rsidRPr="00BA7805" w:rsidRDefault="00265792" w:rsidP="007A3842">
            <w:pPr>
              <w:pStyle w:val="ARfintablebodyright"/>
              <w:rPr>
                <w:highlight w:val="green"/>
              </w:rPr>
            </w:pPr>
            <w:r w:rsidRPr="00C21BB8">
              <w:t>737.0</w:t>
            </w:r>
          </w:p>
        </w:tc>
      </w:tr>
      <w:tr w:rsidR="00265792" w:rsidRPr="00BA7805" w14:paraId="20B43F33" w14:textId="77777777" w:rsidTr="00114C18">
        <w:trPr>
          <w:cnfStyle w:val="010000000000" w:firstRow="0" w:lastRow="1" w:firstColumn="0" w:lastColumn="0" w:oddVBand="0" w:evenVBand="0" w:oddHBand="0" w:evenHBand="0" w:firstRowFirstColumn="0" w:firstRowLastColumn="0" w:lastRowFirstColumn="0" w:lastRowLastColumn="0"/>
        </w:trPr>
        <w:tc>
          <w:tcPr>
            <w:tcW w:w="3968" w:type="dxa"/>
          </w:tcPr>
          <w:p w14:paraId="5D05207B" w14:textId="77777777" w:rsidR="00265792" w:rsidRPr="00BA7805" w:rsidRDefault="00265792" w:rsidP="00114C18">
            <w:pPr>
              <w:pStyle w:val="ARfintablebodybold"/>
              <w:rPr>
                <w:highlight w:val="green"/>
              </w:rPr>
            </w:pPr>
            <w:r w:rsidRPr="00C21BB8">
              <w:t xml:space="preserve">Total contractual financial liabilities </w:t>
            </w:r>
          </w:p>
        </w:tc>
        <w:tc>
          <w:tcPr>
            <w:tcW w:w="1418" w:type="dxa"/>
            <w:shd w:val="clear" w:color="auto" w:fill="EEEEEF" w:themeFill="accent4"/>
            <w:noWrap/>
          </w:tcPr>
          <w:p w14:paraId="28BBEF0B" w14:textId="77777777" w:rsidR="00265792" w:rsidRPr="00BA7805" w:rsidRDefault="00265792" w:rsidP="00114C18">
            <w:pPr>
              <w:pStyle w:val="ARfintablebodyrightbold"/>
              <w:rPr>
                <w:highlight w:val="green"/>
              </w:rPr>
            </w:pPr>
            <w:r>
              <w:t>–</w:t>
            </w:r>
          </w:p>
        </w:tc>
        <w:tc>
          <w:tcPr>
            <w:tcW w:w="1417" w:type="dxa"/>
            <w:noWrap/>
          </w:tcPr>
          <w:p w14:paraId="4CCE431A" w14:textId="77777777" w:rsidR="00265792" w:rsidRPr="00BA7805" w:rsidRDefault="00265792" w:rsidP="00114C18">
            <w:pPr>
              <w:pStyle w:val="ARfintablebodyrightbold"/>
              <w:rPr>
                <w:highlight w:val="green"/>
              </w:rPr>
            </w:pPr>
            <w:r>
              <w:t>–</w:t>
            </w:r>
          </w:p>
        </w:tc>
        <w:tc>
          <w:tcPr>
            <w:tcW w:w="1417" w:type="dxa"/>
            <w:shd w:val="clear" w:color="auto" w:fill="EEEEEF" w:themeFill="accent4"/>
            <w:noWrap/>
          </w:tcPr>
          <w:p w14:paraId="1FF10893" w14:textId="77777777" w:rsidR="00265792" w:rsidRPr="00BA7805" w:rsidRDefault="00265792" w:rsidP="00114C18">
            <w:pPr>
              <w:pStyle w:val="ARfintablebodyrightbold"/>
              <w:rPr>
                <w:highlight w:val="green"/>
              </w:rPr>
            </w:pPr>
            <w:r w:rsidRPr="00C21BB8">
              <w:t>1,186.7</w:t>
            </w:r>
          </w:p>
        </w:tc>
        <w:tc>
          <w:tcPr>
            <w:tcW w:w="1417" w:type="dxa"/>
            <w:noWrap/>
          </w:tcPr>
          <w:p w14:paraId="7CE2B7DB" w14:textId="77777777" w:rsidR="00265792" w:rsidRPr="00BA7805" w:rsidRDefault="00265792" w:rsidP="00114C18">
            <w:pPr>
              <w:pStyle w:val="ARfintablebodyrightbold"/>
              <w:rPr>
                <w:highlight w:val="green"/>
              </w:rPr>
            </w:pPr>
            <w:r w:rsidRPr="00C21BB8">
              <w:t>1,186.7</w:t>
            </w:r>
          </w:p>
        </w:tc>
      </w:tr>
    </w:tbl>
    <w:p w14:paraId="3DE95E12" w14:textId="77777777" w:rsidR="00265792" w:rsidRDefault="00265792" w:rsidP="002542E1">
      <w:pPr>
        <w:pStyle w:val="ARfinbody"/>
        <w:rPr>
          <w:highlight w:val="green"/>
        </w:rPr>
      </w:pPr>
      <w:r>
        <w:rPr>
          <w:highlight w:val="green"/>
        </w:rPr>
        <w:br w:type="page"/>
      </w:r>
    </w:p>
    <w:tbl>
      <w:tblPr>
        <w:tblStyle w:val="TableGrid"/>
        <w:tblW w:w="9637" w:type="dxa"/>
        <w:tblLayout w:type="fixed"/>
        <w:tblLook w:val="06E0" w:firstRow="1" w:lastRow="1" w:firstColumn="1" w:lastColumn="0" w:noHBand="1" w:noVBand="1"/>
      </w:tblPr>
      <w:tblGrid>
        <w:gridCol w:w="3968"/>
        <w:gridCol w:w="1418"/>
        <w:gridCol w:w="1417"/>
        <w:gridCol w:w="1417"/>
        <w:gridCol w:w="1417"/>
      </w:tblGrid>
      <w:tr w:rsidR="00265792" w:rsidRPr="00BA7805" w14:paraId="562B6B07" w14:textId="77777777" w:rsidTr="00114C18">
        <w:trPr>
          <w:cnfStyle w:val="100000000000" w:firstRow="1" w:lastRow="0" w:firstColumn="0" w:lastColumn="0" w:oddVBand="0" w:evenVBand="0" w:oddHBand="0" w:evenHBand="0" w:firstRowFirstColumn="0" w:firstRowLastColumn="0" w:lastRowFirstColumn="0" w:lastRowLastColumn="0"/>
          <w:tblHeader/>
        </w:trPr>
        <w:tc>
          <w:tcPr>
            <w:tcW w:w="3968" w:type="dxa"/>
            <w:hideMark/>
          </w:tcPr>
          <w:p w14:paraId="3CCAAA83" w14:textId="77777777" w:rsidR="00265792" w:rsidRPr="00BA7805" w:rsidRDefault="00265792" w:rsidP="004D25D7">
            <w:pPr>
              <w:pStyle w:val="ARfintablecolhead"/>
              <w:rPr>
                <w:highlight w:val="green"/>
              </w:rPr>
            </w:pPr>
            <w:r w:rsidRPr="007942D6">
              <w:lastRenderedPageBreak/>
              <w:t>202</w:t>
            </w:r>
            <w:r>
              <w:t>4</w:t>
            </w:r>
          </w:p>
        </w:tc>
        <w:tc>
          <w:tcPr>
            <w:tcW w:w="1418" w:type="dxa"/>
            <w:shd w:val="clear" w:color="auto" w:fill="EEEEEF" w:themeFill="accent4"/>
            <w:hideMark/>
          </w:tcPr>
          <w:p w14:paraId="45FC327D" w14:textId="77777777" w:rsidR="00265792" w:rsidRPr="007942D6" w:rsidRDefault="00265792" w:rsidP="004D25D7">
            <w:pPr>
              <w:pStyle w:val="ARfintablecolheadright"/>
            </w:pPr>
            <w:r w:rsidRPr="007942D6">
              <w:t>Cash and deposits</w:t>
            </w:r>
          </w:p>
          <w:p w14:paraId="7729C983" w14:textId="77777777" w:rsidR="00265792" w:rsidRPr="007942D6" w:rsidRDefault="00265792" w:rsidP="004D25D7">
            <w:pPr>
              <w:pStyle w:val="ARfintablecolheadright"/>
            </w:pPr>
            <w:r w:rsidRPr="007942D6">
              <w:t>$M</w:t>
            </w:r>
          </w:p>
        </w:tc>
        <w:tc>
          <w:tcPr>
            <w:tcW w:w="1417" w:type="dxa"/>
            <w:hideMark/>
          </w:tcPr>
          <w:p w14:paraId="19249A35" w14:textId="77777777" w:rsidR="00265792" w:rsidRPr="007942D6" w:rsidRDefault="00265792" w:rsidP="004D25D7">
            <w:pPr>
              <w:pStyle w:val="ARfintablecolheadright"/>
            </w:pPr>
            <w:r w:rsidRPr="007942D6">
              <w:t>Financial assets at amortised cost (AC)</w:t>
            </w:r>
          </w:p>
          <w:p w14:paraId="2C3CA139" w14:textId="77777777" w:rsidR="00265792" w:rsidRPr="007942D6" w:rsidRDefault="00265792" w:rsidP="004D25D7">
            <w:pPr>
              <w:pStyle w:val="ARfintablecolheadright"/>
            </w:pPr>
            <w:r w:rsidRPr="007942D6">
              <w:t>$M</w:t>
            </w:r>
          </w:p>
        </w:tc>
        <w:tc>
          <w:tcPr>
            <w:tcW w:w="1417" w:type="dxa"/>
            <w:shd w:val="clear" w:color="auto" w:fill="EEEEEF" w:themeFill="accent4"/>
            <w:hideMark/>
          </w:tcPr>
          <w:p w14:paraId="2D01C380" w14:textId="77777777" w:rsidR="00265792" w:rsidRPr="007942D6" w:rsidRDefault="00265792" w:rsidP="004D25D7">
            <w:pPr>
              <w:pStyle w:val="ARfintablecolheadright"/>
            </w:pPr>
            <w:r w:rsidRPr="007942D6">
              <w:t>Financial liabilities at amortised cost (AC)</w:t>
            </w:r>
          </w:p>
          <w:p w14:paraId="37B5DD64" w14:textId="77777777" w:rsidR="00265792" w:rsidRPr="007942D6" w:rsidRDefault="00265792" w:rsidP="004D25D7">
            <w:pPr>
              <w:pStyle w:val="ARfintablecolheadright"/>
            </w:pPr>
            <w:r w:rsidRPr="007942D6">
              <w:t>$M</w:t>
            </w:r>
          </w:p>
        </w:tc>
        <w:tc>
          <w:tcPr>
            <w:tcW w:w="1417" w:type="dxa"/>
            <w:hideMark/>
          </w:tcPr>
          <w:p w14:paraId="56FB21A4" w14:textId="77777777" w:rsidR="00265792" w:rsidRPr="007942D6" w:rsidRDefault="00265792" w:rsidP="004D25D7">
            <w:pPr>
              <w:pStyle w:val="ARfintablecolheadright"/>
            </w:pPr>
            <w:r w:rsidRPr="007942D6">
              <w:t>Total</w:t>
            </w:r>
          </w:p>
          <w:p w14:paraId="7B466206" w14:textId="77777777" w:rsidR="00265792" w:rsidRPr="007942D6" w:rsidRDefault="00265792" w:rsidP="004D25D7">
            <w:pPr>
              <w:pStyle w:val="ARfintablecolheadright"/>
            </w:pPr>
            <w:r w:rsidRPr="007942D6">
              <w:t>$M</w:t>
            </w:r>
          </w:p>
        </w:tc>
      </w:tr>
      <w:tr w:rsidR="00265792" w:rsidRPr="00BA7805" w14:paraId="43FECB9C" w14:textId="77777777" w:rsidTr="00114C18">
        <w:trPr>
          <w:trHeight w:val="255"/>
        </w:trPr>
        <w:tc>
          <w:tcPr>
            <w:tcW w:w="3968" w:type="dxa"/>
          </w:tcPr>
          <w:p w14:paraId="5AB5C648" w14:textId="77777777" w:rsidR="00265792" w:rsidRPr="00293C8B" w:rsidRDefault="00265792" w:rsidP="00114C18">
            <w:pPr>
              <w:pStyle w:val="ARfintablebodybold"/>
              <w:rPr>
                <w:highlight w:val="green"/>
              </w:rPr>
            </w:pPr>
            <w:r w:rsidRPr="00293C8B">
              <w:t xml:space="preserve">Contractual financial assets </w:t>
            </w:r>
          </w:p>
        </w:tc>
        <w:tc>
          <w:tcPr>
            <w:tcW w:w="1418" w:type="dxa"/>
            <w:noWrap/>
          </w:tcPr>
          <w:p w14:paraId="0A8490BA" w14:textId="77777777" w:rsidR="00265792" w:rsidRPr="00BA7805" w:rsidRDefault="00265792" w:rsidP="00293C8B">
            <w:pPr>
              <w:pStyle w:val="ARfintablebodyright"/>
              <w:rPr>
                <w:highlight w:val="green"/>
              </w:rPr>
            </w:pPr>
          </w:p>
        </w:tc>
        <w:tc>
          <w:tcPr>
            <w:tcW w:w="1417" w:type="dxa"/>
            <w:noWrap/>
          </w:tcPr>
          <w:p w14:paraId="1AB0D782" w14:textId="77777777" w:rsidR="00265792" w:rsidRPr="00BA7805" w:rsidRDefault="00265792" w:rsidP="00293C8B">
            <w:pPr>
              <w:pStyle w:val="ARfintablebodyright"/>
              <w:rPr>
                <w:highlight w:val="green"/>
              </w:rPr>
            </w:pPr>
          </w:p>
        </w:tc>
        <w:tc>
          <w:tcPr>
            <w:tcW w:w="1417" w:type="dxa"/>
            <w:noWrap/>
          </w:tcPr>
          <w:p w14:paraId="0D4868F3" w14:textId="77777777" w:rsidR="00265792" w:rsidRPr="00BA7805" w:rsidRDefault="00265792" w:rsidP="00293C8B">
            <w:pPr>
              <w:pStyle w:val="ARfintablebodyright"/>
              <w:rPr>
                <w:highlight w:val="green"/>
              </w:rPr>
            </w:pPr>
          </w:p>
        </w:tc>
        <w:tc>
          <w:tcPr>
            <w:tcW w:w="1417" w:type="dxa"/>
            <w:noWrap/>
          </w:tcPr>
          <w:p w14:paraId="2DEEFA23" w14:textId="77777777" w:rsidR="00265792" w:rsidRPr="00BA7805" w:rsidRDefault="00265792" w:rsidP="00293C8B">
            <w:pPr>
              <w:pStyle w:val="ARfintablebodyright"/>
              <w:rPr>
                <w:highlight w:val="green"/>
              </w:rPr>
            </w:pPr>
          </w:p>
        </w:tc>
      </w:tr>
      <w:tr w:rsidR="00265792" w:rsidRPr="00BA7805" w14:paraId="619D1023" w14:textId="77777777" w:rsidTr="00114C18">
        <w:trPr>
          <w:trHeight w:val="255"/>
        </w:trPr>
        <w:tc>
          <w:tcPr>
            <w:tcW w:w="3968" w:type="dxa"/>
          </w:tcPr>
          <w:p w14:paraId="20D5F0AC" w14:textId="77777777" w:rsidR="00265792" w:rsidRPr="00293C8B" w:rsidRDefault="00265792" w:rsidP="00293C8B">
            <w:pPr>
              <w:pStyle w:val="ARfintablebody"/>
              <w:rPr>
                <w:highlight w:val="green"/>
              </w:rPr>
            </w:pPr>
            <w:r w:rsidRPr="00293C8B">
              <w:t xml:space="preserve">Cash and deposits </w:t>
            </w:r>
          </w:p>
        </w:tc>
        <w:tc>
          <w:tcPr>
            <w:tcW w:w="1418" w:type="dxa"/>
            <w:shd w:val="clear" w:color="auto" w:fill="EEEEEF" w:themeFill="accent4"/>
            <w:noWrap/>
          </w:tcPr>
          <w:p w14:paraId="4A7EB786" w14:textId="77777777" w:rsidR="00265792" w:rsidRPr="00BA7805" w:rsidRDefault="00265792" w:rsidP="00293C8B">
            <w:pPr>
              <w:pStyle w:val="ARfintablebodyright"/>
              <w:rPr>
                <w:highlight w:val="green"/>
              </w:rPr>
            </w:pPr>
            <w:r>
              <w:t>721.7</w:t>
            </w:r>
          </w:p>
        </w:tc>
        <w:tc>
          <w:tcPr>
            <w:tcW w:w="1417" w:type="dxa"/>
            <w:noWrap/>
          </w:tcPr>
          <w:p w14:paraId="7A535CA1" w14:textId="77777777" w:rsidR="00265792" w:rsidRPr="00BA7805" w:rsidRDefault="00265792" w:rsidP="00293C8B">
            <w:pPr>
              <w:pStyle w:val="ARfintablebodyright"/>
              <w:rPr>
                <w:highlight w:val="green"/>
              </w:rPr>
            </w:pPr>
            <w:r>
              <w:t>–</w:t>
            </w:r>
          </w:p>
        </w:tc>
        <w:tc>
          <w:tcPr>
            <w:tcW w:w="1417" w:type="dxa"/>
            <w:shd w:val="clear" w:color="auto" w:fill="EEEEEF" w:themeFill="accent4"/>
            <w:noWrap/>
          </w:tcPr>
          <w:p w14:paraId="6B157B3B" w14:textId="77777777" w:rsidR="00265792" w:rsidRPr="00BA7805" w:rsidRDefault="00265792" w:rsidP="00293C8B">
            <w:pPr>
              <w:pStyle w:val="ARfintablebodyright"/>
              <w:rPr>
                <w:highlight w:val="green"/>
              </w:rPr>
            </w:pPr>
            <w:r>
              <w:t>–</w:t>
            </w:r>
          </w:p>
        </w:tc>
        <w:tc>
          <w:tcPr>
            <w:tcW w:w="1417" w:type="dxa"/>
            <w:noWrap/>
          </w:tcPr>
          <w:p w14:paraId="32257242" w14:textId="77777777" w:rsidR="00265792" w:rsidRPr="00BA7805" w:rsidRDefault="00265792" w:rsidP="00293C8B">
            <w:pPr>
              <w:pStyle w:val="ARfintablebodyright"/>
              <w:rPr>
                <w:highlight w:val="green"/>
              </w:rPr>
            </w:pPr>
            <w:r>
              <w:t>721.7</w:t>
            </w:r>
          </w:p>
        </w:tc>
      </w:tr>
      <w:tr w:rsidR="00265792" w:rsidRPr="00BA7805" w14:paraId="327D8AD9" w14:textId="77777777" w:rsidTr="00114C18">
        <w:trPr>
          <w:trHeight w:val="255"/>
        </w:trPr>
        <w:tc>
          <w:tcPr>
            <w:tcW w:w="3968" w:type="dxa"/>
            <w:tcBorders>
              <w:bottom w:val="single" w:sz="4" w:space="0" w:color="A6A6A6" w:themeColor="accent5"/>
            </w:tcBorders>
          </w:tcPr>
          <w:p w14:paraId="6180F776" w14:textId="77777777" w:rsidR="00265792" w:rsidRPr="00293C8B" w:rsidRDefault="00265792" w:rsidP="00293C8B">
            <w:pPr>
              <w:pStyle w:val="ARfintablebody"/>
              <w:rPr>
                <w:highlight w:val="green"/>
              </w:rPr>
            </w:pPr>
            <w:r w:rsidRPr="00293C8B">
              <w:t xml:space="preserve">Receivables </w:t>
            </w:r>
            <w:r w:rsidRPr="00114C18">
              <w:rPr>
                <w:vertAlign w:val="superscript"/>
              </w:rPr>
              <w:t>(</w:t>
            </w:r>
            <w:proofErr w:type="spellStart"/>
            <w:r w:rsidRPr="00114C18">
              <w:rPr>
                <w:vertAlign w:val="superscript"/>
              </w:rPr>
              <w:t>i</w:t>
            </w:r>
            <w:proofErr w:type="spellEnd"/>
            <w:r w:rsidRPr="00114C18" w:rsidDel="00F47609">
              <w:rPr>
                <w:vertAlign w:val="superscript"/>
              </w:rPr>
              <w:t>)</w:t>
            </w:r>
          </w:p>
        </w:tc>
        <w:tc>
          <w:tcPr>
            <w:tcW w:w="1418" w:type="dxa"/>
            <w:tcBorders>
              <w:bottom w:val="single" w:sz="4" w:space="0" w:color="A6A6A6" w:themeColor="accent5"/>
            </w:tcBorders>
            <w:shd w:val="clear" w:color="auto" w:fill="EEEEEF" w:themeFill="accent4"/>
            <w:noWrap/>
          </w:tcPr>
          <w:p w14:paraId="2BA26786" w14:textId="77777777" w:rsidR="00265792" w:rsidRPr="00BA7805" w:rsidRDefault="00265792" w:rsidP="00293C8B">
            <w:pPr>
              <w:pStyle w:val="ARfintablebodyright"/>
              <w:rPr>
                <w:highlight w:val="green"/>
              </w:rPr>
            </w:pPr>
            <w:r>
              <w:t>–</w:t>
            </w:r>
          </w:p>
        </w:tc>
        <w:tc>
          <w:tcPr>
            <w:tcW w:w="1417" w:type="dxa"/>
            <w:tcBorders>
              <w:bottom w:val="single" w:sz="4" w:space="0" w:color="A6A6A6" w:themeColor="accent5"/>
            </w:tcBorders>
            <w:noWrap/>
          </w:tcPr>
          <w:p w14:paraId="106A4A9C" w14:textId="77777777" w:rsidR="00265792" w:rsidRPr="00BA7805" w:rsidRDefault="00265792" w:rsidP="00293C8B">
            <w:pPr>
              <w:pStyle w:val="ARfintablebodyright"/>
              <w:rPr>
                <w:highlight w:val="green"/>
              </w:rPr>
            </w:pPr>
            <w:r>
              <w:t>315.0</w:t>
            </w:r>
          </w:p>
        </w:tc>
        <w:tc>
          <w:tcPr>
            <w:tcW w:w="1417" w:type="dxa"/>
            <w:tcBorders>
              <w:bottom w:val="single" w:sz="4" w:space="0" w:color="A6A6A6" w:themeColor="accent5"/>
            </w:tcBorders>
            <w:shd w:val="clear" w:color="auto" w:fill="EEEEEF" w:themeFill="accent4"/>
            <w:noWrap/>
          </w:tcPr>
          <w:p w14:paraId="58BD0EB9" w14:textId="77777777" w:rsidR="00265792" w:rsidRPr="00BA7805" w:rsidRDefault="00265792" w:rsidP="00293C8B">
            <w:pPr>
              <w:pStyle w:val="ARfintablebodyright"/>
              <w:rPr>
                <w:highlight w:val="green"/>
              </w:rPr>
            </w:pPr>
            <w:r>
              <w:t>–</w:t>
            </w:r>
          </w:p>
        </w:tc>
        <w:tc>
          <w:tcPr>
            <w:tcW w:w="1417" w:type="dxa"/>
            <w:tcBorders>
              <w:bottom w:val="single" w:sz="4" w:space="0" w:color="A6A6A6" w:themeColor="accent5"/>
            </w:tcBorders>
            <w:noWrap/>
          </w:tcPr>
          <w:p w14:paraId="67EAB70E" w14:textId="77777777" w:rsidR="00265792" w:rsidRPr="00BA7805" w:rsidRDefault="00265792" w:rsidP="00293C8B">
            <w:pPr>
              <w:pStyle w:val="ARfintablebodyright"/>
              <w:rPr>
                <w:highlight w:val="green"/>
              </w:rPr>
            </w:pPr>
            <w:r>
              <w:t>315.0</w:t>
            </w:r>
          </w:p>
        </w:tc>
      </w:tr>
      <w:tr w:rsidR="00265792" w:rsidRPr="00BA7805" w14:paraId="6D5DC3A9" w14:textId="77777777" w:rsidTr="00114C18">
        <w:trPr>
          <w:trHeight w:val="255"/>
        </w:trPr>
        <w:tc>
          <w:tcPr>
            <w:tcW w:w="3968" w:type="dxa"/>
            <w:tcBorders>
              <w:top w:val="single" w:sz="4" w:space="0" w:color="A6A6A6" w:themeColor="accent5"/>
              <w:bottom w:val="single" w:sz="4" w:space="0" w:color="000000" w:themeColor="text1"/>
            </w:tcBorders>
          </w:tcPr>
          <w:p w14:paraId="15447CDA" w14:textId="77777777" w:rsidR="00265792" w:rsidRPr="00293C8B" w:rsidRDefault="00265792" w:rsidP="00293C8B">
            <w:pPr>
              <w:pStyle w:val="ARfintablebody"/>
              <w:rPr>
                <w:highlight w:val="green"/>
              </w:rPr>
            </w:pPr>
            <w:r w:rsidRPr="00293C8B">
              <w:t>Loans</w:t>
            </w:r>
            <w:r>
              <w:t xml:space="preserve"> </w:t>
            </w:r>
          </w:p>
        </w:tc>
        <w:tc>
          <w:tcPr>
            <w:tcW w:w="1418" w:type="dxa"/>
            <w:tcBorders>
              <w:top w:val="single" w:sz="4" w:space="0" w:color="A6A6A6" w:themeColor="accent5"/>
              <w:bottom w:val="single" w:sz="4" w:space="0" w:color="000000" w:themeColor="text1"/>
            </w:tcBorders>
            <w:shd w:val="clear" w:color="auto" w:fill="EEEEEF" w:themeFill="accent4"/>
            <w:noWrap/>
          </w:tcPr>
          <w:p w14:paraId="7F767EC0" w14:textId="77777777" w:rsidR="00265792" w:rsidRPr="00BA7805" w:rsidRDefault="00265792" w:rsidP="00293C8B">
            <w:pPr>
              <w:pStyle w:val="ARfintablebodyright"/>
              <w:rPr>
                <w:highlight w:val="green"/>
              </w:rPr>
            </w:pPr>
            <w:r>
              <w:t>–</w:t>
            </w:r>
          </w:p>
        </w:tc>
        <w:tc>
          <w:tcPr>
            <w:tcW w:w="1417" w:type="dxa"/>
            <w:tcBorders>
              <w:top w:val="single" w:sz="4" w:space="0" w:color="A6A6A6" w:themeColor="accent5"/>
              <w:bottom w:val="single" w:sz="4" w:space="0" w:color="000000" w:themeColor="text1"/>
            </w:tcBorders>
            <w:noWrap/>
          </w:tcPr>
          <w:p w14:paraId="7FE9777E" w14:textId="77777777" w:rsidR="00265792" w:rsidRPr="00BA7805" w:rsidRDefault="00265792" w:rsidP="00293C8B">
            <w:pPr>
              <w:pStyle w:val="ARfintablebodyright"/>
              <w:rPr>
                <w:highlight w:val="green"/>
              </w:rPr>
            </w:pPr>
            <w:r w:rsidRPr="007820C9">
              <w:t>28.2</w:t>
            </w:r>
          </w:p>
        </w:tc>
        <w:tc>
          <w:tcPr>
            <w:tcW w:w="1417" w:type="dxa"/>
            <w:tcBorders>
              <w:top w:val="single" w:sz="4" w:space="0" w:color="A6A6A6" w:themeColor="accent5"/>
              <w:bottom w:val="single" w:sz="4" w:space="0" w:color="000000" w:themeColor="text1"/>
            </w:tcBorders>
            <w:shd w:val="clear" w:color="auto" w:fill="EEEEEF" w:themeFill="accent4"/>
            <w:noWrap/>
          </w:tcPr>
          <w:p w14:paraId="3A9A24C5" w14:textId="77777777" w:rsidR="00265792" w:rsidRPr="00BA7805" w:rsidRDefault="00265792" w:rsidP="00293C8B">
            <w:pPr>
              <w:pStyle w:val="ARfintablebodyright"/>
              <w:rPr>
                <w:highlight w:val="green"/>
              </w:rPr>
            </w:pPr>
            <w:r>
              <w:t>–</w:t>
            </w:r>
          </w:p>
        </w:tc>
        <w:tc>
          <w:tcPr>
            <w:tcW w:w="1417" w:type="dxa"/>
            <w:tcBorders>
              <w:top w:val="single" w:sz="4" w:space="0" w:color="A6A6A6" w:themeColor="accent5"/>
              <w:bottom w:val="single" w:sz="4" w:space="0" w:color="000000" w:themeColor="text1"/>
            </w:tcBorders>
            <w:noWrap/>
          </w:tcPr>
          <w:p w14:paraId="4681671E" w14:textId="77777777" w:rsidR="00265792" w:rsidRPr="00BA7805" w:rsidRDefault="00265792" w:rsidP="00293C8B">
            <w:pPr>
              <w:pStyle w:val="ARfintablebodyright"/>
              <w:rPr>
                <w:highlight w:val="green"/>
              </w:rPr>
            </w:pPr>
            <w:r w:rsidRPr="007820C9">
              <w:t>28.2</w:t>
            </w:r>
          </w:p>
        </w:tc>
      </w:tr>
      <w:tr w:rsidR="00265792" w:rsidRPr="00BA7805" w14:paraId="61C1CCEA" w14:textId="77777777" w:rsidTr="00114C18">
        <w:trPr>
          <w:trHeight w:val="255"/>
        </w:trPr>
        <w:tc>
          <w:tcPr>
            <w:tcW w:w="3968" w:type="dxa"/>
            <w:tcBorders>
              <w:top w:val="single" w:sz="4" w:space="0" w:color="000000" w:themeColor="text1"/>
              <w:bottom w:val="single" w:sz="4" w:space="0" w:color="000000" w:themeColor="text1"/>
            </w:tcBorders>
          </w:tcPr>
          <w:p w14:paraId="41281B76" w14:textId="77777777" w:rsidR="00265792" w:rsidRPr="00293C8B" w:rsidRDefault="00265792" w:rsidP="00114C18">
            <w:pPr>
              <w:pStyle w:val="ARfintablebodybold"/>
              <w:rPr>
                <w:highlight w:val="green"/>
              </w:rPr>
            </w:pPr>
            <w:r w:rsidRPr="00293C8B">
              <w:t xml:space="preserve">Total contractual financial assets </w:t>
            </w:r>
          </w:p>
        </w:tc>
        <w:tc>
          <w:tcPr>
            <w:tcW w:w="1418" w:type="dxa"/>
            <w:tcBorders>
              <w:top w:val="single" w:sz="4" w:space="0" w:color="000000" w:themeColor="text1"/>
              <w:bottom w:val="single" w:sz="4" w:space="0" w:color="000000" w:themeColor="text1"/>
            </w:tcBorders>
            <w:shd w:val="clear" w:color="auto" w:fill="EEEEEF" w:themeFill="accent4"/>
            <w:noWrap/>
          </w:tcPr>
          <w:p w14:paraId="3AB25B74" w14:textId="77777777" w:rsidR="00265792" w:rsidRPr="00BA7805" w:rsidRDefault="00265792" w:rsidP="00114C18">
            <w:pPr>
              <w:pStyle w:val="ARfintablebodyrightbold"/>
              <w:rPr>
                <w:highlight w:val="green"/>
              </w:rPr>
            </w:pPr>
            <w:r>
              <w:t>721.7</w:t>
            </w:r>
          </w:p>
        </w:tc>
        <w:tc>
          <w:tcPr>
            <w:tcW w:w="1417" w:type="dxa"/>
            <w:tcBorders>
              <w:top w:val="single" w:sz="4" w:space="0" w:color="000000" w:themeColor="text1"/>
              <w:bottom w:val="single" w:sz="4" w:space="0" w:color="000000" w:themeColor="text1"/>
            </w:tcBorders>
            <w:noWrap/>
          </w:tcPr>
          <w:p w14:paraId="676B45F5" w14:textId="77777777" w:rsidR="00265792" w:rsidRPr="00BA7805" w:rsidRDefault="00265792" w:rsidP="00114C18">
            <w:pPr>
              <w:pStyle w:val="ARfintablebodyrightbold"/>
              <w:rPr>
                <w:highlight w:val="green"/>
              </w:rPr>
            </w:pPr>
            <w:r>
              <w:t>343.2</w:t>
            </w:r>
          </w:p>
        </w:tc>
        <w:tc>
          <w:tcPr>
            <w:tcW w:w="1417" w:type="dxa"/>
            <w:tcBorders>
              <w:top w:val="single" w:sz="4" w:space="0" w:color="000000" w:themeColor="text1"/>
              <w:bottom w:val="single" w:sz="4" w:space="0" w:color="000000" w:themeColor="text1"/>
            </w:tcBorders>
            <w:shd w:val="clear" w:color="auto" w:fill="EEEEEF" w:themeFill="accent4"/>
            <w:noWrap/>
          </w:tcPr>
          <w:p w14:paraId="1967B986" w14:textId="77777777" w:rsidR="00265792" w:rsidRPr="00BA7805" w:rsidRDefault="00265792" w:rsidP="00114C18">
            <w:pPr>
              <w:pStyle w:val="ARfintablebodyrightbold"/>
              <w:rPr>
                <w:highlight w:val="green"/>
              </w:rPr>
            </w:pPr>
            <w:r>
              <w:t>–</w:t>
            </w:r>
          </w:p>
        </w:tc>
        <w:tc>
          <w:tcPr>
            <w:tcW w:w="1417" w:type="dxa"/>
            <w:tcBorders>
              <w:top w:val="single" w:sz="4" w:space="0" w:color="000000" w:themeColor="text1"/>
              <w:bottom w:val="single" w:sz="4" w:space="0" w:color="000000" w:themeColor="text1"/>
            </w:tcBorders>
            <w:noWrap/>
          </w:tcPr>
          <w:p w14:paraId="3B450446" w14:textId="77777777" w:rsidR="00265792" w:rsidRPr="00BA7805" w:rsidRDefault="00265792" w:rsidP="00114C18">
            <w:pPr>
              <w:pStyle w:val="ARfintablebodyrightbold"/>
              <w:rPr>
                <w:highlight w:val="green"/>
              </w:rPr>
            </w:pPr>
            <w:r w:rsidRPr="007820C9">
              <w:t>1,</w:t>
            </w:r>
            <w:r>
              <w:t>064.</w:t>
            </w:r>
            <w:r w:rsidRPr="007820C9" w:rsidDel="001A7CDA">
              <w:t>9</w:t>
            </w:r>
          </w:p>
        </w:tc>
      </w:tr>
      <w:tr w:rsidR="00265792" w:rsidRPr="00BA7805" w14:paraId="57897561" w14:textId="77777777" w:rsidTr="00114C18">
        <w:trPr>
          <w:trHeight w:val="255"/>
        </w:trPr>
        <w:tc>
          <w:tcPr>
            <w:tcW w:w="3968" w:type="dxa"/>
            <w:tcBorders>
              <w:top w:val="single" w:sz="4" w:space="0" w:color="000000" w:themeColor="text1"/>
              <w:bottom w:val="single" w:sz="4" w:space="0" w:color="A6A6A6" w:themeColor="accent5"/>
            </w:tcBorders>
          </w:tcPr>
          <w:p w14:paraId="62DF24E4" w14:textId="77777777" w:rsidR="00265792" w:rsidRPr="00293C8B" w:rsidRDefault="00265792" w:rsidP="00114C18">
            <w:pPr>
              <w:pStyle w:val="ARfintablebodybold"/>
              <w:rPr>
                <w:highlight w:val="green"/>
              </w:rPr>
            </w:pPr>
            <w:r w:rsidRPr="00293C8B">
              <w:t xml:space="preserve">Contractual financial liabilities </w:t>
            </w:r>
          </w:p>
        </w:tc>
        <w:tc>
          <w:tcPr>
            <w:tcW w:w="1418" w:type="dxa"/>
            <w:tcBorders>
              <w:top w:val="single" w:sz="4" w:space="0" w:color="000000" w:themeColor="text1"/>
              <w:bottom w:val="single" w:sz="4" w:space="0" w:color="A6A6A6" w:themeColor="accent5"/>
            </w:tcBorders>
            <w:noWrap/>
          </w:tcPr>
          <w:p w14:paraId="259730A5" w14:textId="77777777" w:rsidR="00265792" w:rsidRPr="00BA7805" w:rsidRDefault="00265792" w:rsidP="00293C8B">
            <w:pPr>
              <w:pStyle w:val="ARfintablebodyright"/>
              <w:rPr>
                <w:highlight w:val="green"/>
              </w:rPr>
            </w:pPr>
          </w:p>
        </w:tc>
        <w:tc>
          <w:tcPr>
            <w:tcW w:w="1417" w:type="dxa"/>
            <w:tcBorders>
              <w:top w:val="single" w:sz="4" w:space="0" w:color="000000" w:themeColor="text1"/>
              <w:bottom w:val="single" w:sz="4" w:space="0" w:color="A6A6A6" w:themeColor="accent5"/>
            </w:tcBorders>
            <w:noWrap/>
          </w:tcPr>
          <w:p w14:paraId="34320069" w14:textId="77777777" w:rsidR="00265792" w:rsidRPr="00BA7805" w:rsidRDefault="00265792" w:rsidP="00293C8B">
            <w:pPr>
              <w:pStyle w:val="ARfintablebodyright"/>
              <w:rPr>
                <w:highlight w:val="green"/>
              </w:rPr>
            </w:pPr>
          </w:p>
        </w:tc>
        <w:tc>
          <w:tcPr>
            <w:tcW w:w="1417" w:type="dxa"/>
            <w:tcBorders>
              <w:top w:val="single" w:sz="4" w:space="0" w:color="000000" w:themeColor="text1"/>
              <w:bottom w:val="single" w:sz="4" w:space="0" w:color="A6A6A6" w:themeColor="accent5"/>
            </w:tcBorders>
            <w:noWrap/>
          </w:tcPr>
          <w:p w14:paraId="7D468725" w14:textId="77777777" w:rsidR="00265792" w:rsidRPr="00BA7805" w:rsidRDefault="00265792" w:rsidP="00293C8B">
            <w:pPr>
              <w:pStyle w:val="ARfintablebodyright"/>
              <w:rPr>
                <w:highlight w:val="green"/>
              </w:rPr>
            </w:pPr>
          </w:p>
        </w:tc>
        <w:tc>
          <w:tcPr>
            <w:tcW w:w="1417" w:type="dxa"/>
            <w:tcBorders>
              <w:top w:val="single" w:sz="4" w:space="0" w:color="000000" w:themeColor="text1"/>
              <w:bottom w:val="single" w:sz="4" w:space="0" w:color="A6A6A6" w:themeColor="accent5"/>
            </w:tcBorders>
            <w:noWrap/>
          </w:tcPr>
          <w:p w14:paraId="15BB8FD4" w14:textId="77777777" w:rsidR="00265792" w:rsidRPr="00BA7805" w:rsidRDefault="00265792" w:rsidP="00293C8B">
            <w:pPr>
              <w:pStyle w:val="ARfintablebodyright"/>
              <w:rPr>
                <w:highlight w:val="green"/>
              </w:rPr>
            </w:pPr>
          </w:p>
        </w:tc>
      </w:tr>
      <w:tr w:rsidR="00265792" w:rsidRPr="00BA7805" w14:paraId="16BDFBF1" w14:textId="77777777" w:rsidTr="00114C18">
        <w:trPr>
          <w:trHeight w:val="255"/>
        </w:trPr>
        <w:tc>
          <w:tcPr>
            <w:tcW w:w="3968" w:type="dxa"/>
            <w:tcBorders>
              <w:top w:val="single" w:sz="4" w:space="0" w:color="A6A6A6" w:themeColor="accent5"/>
            </w:tcBorders>
          </w:tcPr>
          <w:p w14:paraId="4F690160" w14:textId="77777777" w:rsidR="00265792" w:rsidRPr="00293C8B" w:rsidRDefault="00265792" w:rsidP="00293C8B">
            <w:pPr>
              <w:pStyle w:val="ARfintablebody"/>
              <w:rPr>
                <w:highlight w:val="green"/>
              </w:rPr>
            </w:pPr>
            <w:r w:rsidRPr="00293C8B">
              <w:t xml:space="preserve">Payables </w:t>
            </w:r>
            <w:r w:rsidRPr="00114C18">
              <w:rPr>
                <w:vertAlign w:val="superscript"/>
              </w:rPr>
              <w:t>(</w:t>
            </w:r>
            <w:proofErr w:type="spellStart"/>
            <w:r w:rsidRPr="00114C18">
              <w:rPr>
                <w:vertAlign w:val="superscript"/>
              </w:rPr>
              <w:t>i</w:t>
            </w:r>
            <w:proofErr w:type="spellEnd"/>
            <w:r w:rsidRPr="00114C18">
              <w:rPr>
                <w:vertAlign w:val="superscript"/>
              </w:rPr>
              <w:t>)</w:t>
            </w:r>
          </w:p>
        </w:tc>
        <w:tc>
          <w:tcPr>
            <w:tcW w:w="1418" w:type="dxa"/>
            <w:tcBorders>
              <w:top w:val="single" w:sz="4" w:space="0" w:color="A6A6A6" w:themeColor="accent5"/>
            </w:tcBorders>
            <w:shd w:val="clear" w:color="auto" w:fill="EEEEEF" w:themeFill="accent4"/>
            <w:noWrap/>
          </w:tcPr>
          <w:p w14:paraId="0A669260" w14:textId="77777777" w:rsidR="00265792" w:rsidRPr="00BA7805" w:rsidRDefault="00265792" w:rsidP="00293C8B">
            <w:pPr>
              <w:pStyle w:val="ARfintablebodyright"/>
              <w:rPr>
                <w:highlight w:val="green"/>
              </w:rPr>
            </w:pPr>
            <w:r>
              <w:t>–</w:t>
            </w:r>
          </w:p>
        </w:tc>
        <w:tc>
          <w:tcPr>
            <w:tcW w:w="1417" w:type="dxa"/>
            <w:tcBorders>
              <w:top w:val="single" w:sz="4" w:space="0" w:color="A6A6A6" w:themeColor="accent5"/>
            </w:tcBorders>
            <w:noWrap/>
          </w:tcPr>
          <w:p w14:paraId="1C0A1FD4" w14:textId="77777777" w:rsidR="00265792" w:rsidRPr="00BA7805" w:rsidRDefault="00265792" w:rsidP="00293C8B">
            <w:pPr>
              <w:pStyle w:val="ARfintablebodyright"/>
              <w:rPr>
                <w:highlight w:val="green"/>
              </w:rPr>
            </w:pPr>
            <w:r>
              <w:t>–</w:t>
            </w:r>
          </w:p>
        </w:tc>
        <w:tc>
          <w:tcPr>
            <w:tcW w:w="1417" w:type="dxa"/>
            <w:tcBorders>
              <w:top w:val="single" w:sz="4" w:space="0" w:color="A6A6A6" w:themeColor="accent5"/>
            </w:tcBorders>
            <w:shd w:val="clear" w:color="auto" w:fill="EEEEEF" w:themeFill="accent4"/>
            <w:noWrap/>
          </w:tcPr>
          <w:p w14:paraId="4B73CF46" w14:textId="77777777" w:rsidR="00265792" w:rsidRPr="00BA7805" w:rsidRDefault="00265792" w:rsidP="00293C8B">
            <w:pPr>
              <w:pStyle w:val="ARfintablebodyright"/>
              <w:rPr>
                <w:highlight w:val="green"/>
              </w:rPr>
            </w:pPr>
            <w:r w:rsidRPr="007820C9">
              <w:t>479.5</w:t>
            </w:r>
          </w:p>
        </w:tc>
        <w:tc>
          <w:tcPr>
            <w:tcW w:w="1417" w:type="dxa"/>
            <w:tcBorders>
              <w:top w:val="single" w:sz="4" w:space="0" w:color="A6A6A6" w:themeColor="accent5"/>
            </w:tcBorders>
            <w:noWrap/>
          </w:tcPr>
          <w:p w14:paraId="34E3804E" w14:textId="77777777" w:rsidR="00265792" w:rsidRPr="00BA7805" w:rsidRDefault="00265792" w:rsidP="00293C8B">
            <w:pPr>
              <w:pStyle w:val="ARfintablebodyright"/>
              <w:rPr>
                <w:highlight w:val="green"/>
              </w:rPr>
            </w:pPr>
            <w:r w:rsidRPr="007820C9">
              <w:t>479.5</w:t>
            </w:r>
          </w:p>
        </w:tc>
      </w:tr>
      <w:tr w:rsidR="00265792" w:rsidRPr="00BA7805" w14:paraId="18A0F94C" w14:textId="77777777" w:rsidTr="00114C18">
        <w:trPr>
          <w:trHeight w:val="255"/>
        </w:trPr>
        <w:tc>
          <w:tcPr>
            <w:tcW w:w="3968" w:type="dxa"/>
          </w:tcPr>
          <w:p w14:paraId="11770A98" w14:textId="77777777" w:rsidR="00265792" w:rsidRPr="00293C8B" w:rsidRDefault="00265792" w:rsidP="00293C8B">
            <w:pPr>
              <w:pStyle w:val="ARfintablebody"/>
              <w:rPr>
                <w:highlight w:val="green"/>
              </w:rPr>
            </w:pPr>
            <w:r w:rsidRPr="00293C8B">
              <w:t xml:space="preserve">Borrowings </w:t>
            </w:r>
            <w:r w:rsidRPr="00114C18">
              <w:rPr>
                <w:vertAlign w:val="superscript"/>
              </w:rPr>
              <w:t>(</w:t>
            </w:r>
            <w:proofErr w:type="spellStart"/>
            <w:r w:rsidRPr="00114C18">
              <w:rPr>
                <w:vertAlign w:val="superscript"/>
              </w:rPr>
              <w:t>i</w:t>
            </w:r>
            <w:proofErr w:type="spellEnd"/>
            <w:r w:rsidRPr="00114C18">
              <w:rPr>
                <w:vertAlign w:val="superscript"/>
              </w:rPr>
              <w:t>)</w:t>
            </w:r>
          </w:p>
        </w:tc>
        <w:tc>
          <w:tcPr>
            <w:tcW w:w="1418" w:type="dxa"/>
            <w:shd w:val="clear" w:color="auto" w:fill="EEEEEF" w:themeFill="accent4"/>
            <w:noWrap/>
          </w:tcPr>
          <w:p w14:paraId="1EDE2BFB" w14:textId="77777777" w:rsidR="00265792" w:rsidRPr="00BA7805" w:rsidRDefault="00265792" w:rsidP="00293C8B">
            <w:pPr>
              <w:pStyle w:val="ARfintablebodyright"/>
              <w:rPr>
                <w:highlight w:val="green"/>
              </w:rPr>
            </w:pPr>
            <w:r>
              <w:t>–</w:t>
            </w:r>
          </w:p>
        </w:tc>
        <w:tc>
          <w:tcPr>
            <w:tcW w:w="1417" w:type="dxa"/>
            <w:noWrap/>
          </w:tcPr>
          <w:p w14:paraId="4C4A0FF4" w14:textId="77777777" w:rsidR="00265792" w:rsidRPr="00BA7805" w:rsidRDefault="00265792" w:rsidP="00293C8B">
            <w:pPr>
              <w:pStyle w:val="ARfintablebodyright"/>
              <w:rPr>
                <w:highlight w:val="green"/>
              </w:rPr>
            </w:pPr>
            <w:r>
              <w:t>–</w:t>
            </w:r>
          </w:p>
        </w:tc>
        <w:tc>
          <w:tcPr>
            <w:tcW w:w="1417" w:type="dxa"/>
            <w:shd w:val="clear" w:color="auto" w:fill="EEEEEF" w:themeFill="accent4"/>
            <w:noWrap/>
          </w:tcPr>
          <w:p w14:paraId="5052E054" w14:textId="77777777" w:rsidR="00265792" w:rsidRPr="00BA7805" w:rsidRDefault="00265792" w:rsidP="00293C8B">
            <w:pPr>
              <w:pStyle w:val="ARfintablebodyright"/>
              <w:rPr>
                <w:highlight w:val="green"/>
              </w:rPr>
            </w:pPr>
            <w:r w:rsidRPr="007820C9">
              <w:t>503.7</w:t>
            </w:r>
          </w:p>
        </w:tc>
        <w:tc>
          <w:tcPr>
            <w:tcW w:w="1417" w:type="dxa"/>
            <w:noWrap/>
          </w:tcPr>
          <w:p w14:paraId="1674C472" w14:textId="77777777" w:rsidR="00265792" w:rsidRPr="00BA7805" w:rsidRDefault="00265792" w:rsidP="00293C8B">
            <w:pPr>
              <w:pStyle w:val="ARfintablebodyright"/>
              <w:rPr>
                <w:highlight w:val="green"/>
              </w:rPr>
            </w:pPr>
            <w:r w:rsidRPr="007820C9">
              <w:t>503.7</w:t>
            </w:r>
          </w:p>
        </w:tc>
      </w:tr>
      <w:tr w:rsidR="00265792" w:rsidRPr="00BA7805" w14:paraId="5127AD31" w14:textId="77777777" w:rsidTr="00114C18">
        <w:trPr>
          <w:cnfStyle w:val="010000000000" w:firstRow="0" w:lastRow="1" w:firstColumn="0" w:lastColumn="0" w:oddVBand="0" w:evenVBand="0" w:oddHBand="0" w:evenHBand="0" w:firstRowFirstColumn="0" w:firstRowLastColumn="0" w:lastRowFirstColumn="0" w:lastRowLastColumn="0"/>
          <w:trHeight w:val="255"/>
        </w:trPr>
        <w:tc>
          <w:tcPr>
            <w:tcW w:w="3968" w:type="dxa"/>
          </w:tcPr>
          <w:p w14:paraId="72888EB4" w14:textId="77777777" w:rsidR="00265792" w:rsidRPr="00293C8B" w:rsidRDefault="00265792" w:rsidP="00114C18">
            <w:pPr>
              <w:pStyle w:val="ARfintablebodybold"/>
              <w:rPr>
                <w:highlight w:val="green"/>
              </w:rPr>
            </w:pPr>
            <w:r w:rsidRPr="00293C8B">
              <w:t xml:space="preserve">Total contractual financial liabilities </w:t>
            </w:r>
          </w:p>
        </w:tc>
        <w:tc>
          <w:tcPr>
            <w:tcW w:w="1418" w:type="dxa"/>
            <w:shd w:val="clear" w:color="auto" w:fill="EEEEEF" w:themeFill="accent4"/>
            <w:noWrap/>
          </w:tcPr>
          <w:p w14:paraId="7BD79522" w14:textId="77777777" w:rsidR="00265792" w:rsidRPr="00BA7805" w:rsidRDefault="00265792" w:rsidP="00114C18">
            <w:pPr>
              <w:pStyle w:val="ARfintablebodyrightbold"/>
              <w:rPr>
                <w:highlight w:val="green"/>
              </w:rPr>
            </w:pPr>
            <w:r>
              <w:t>–</w:t>
            </w:r>
          </w:p>
        </w:tc>
        <w:tc>
          <w:tcPr>
            <w:tcW w:w="1417" w:type="dxa"/>
            <w:noWrap/>
          </w:tcPr>
          <w:p w14:paraId="18814266" w14:textId="77777777" w:rsidR="00265792" w:rsidRPr="00BA7805" w:rsidRDefault="00265792" w:rsidP="00114C18">
            <w:pPr>
              <w:pStyle w:val="ARfintablebodyrightbold"/>
              <w:rPr>
                <w:highlight w:val="green"/>
              </w:rPr>
            </w:pPr>
            <w:r>
              <w:t>–</w:t>
            </w:r>
          </w:p>
        </w:tc>
        <w:tc>
          <w:tcPr>
            <w:tcW w:w="1417" w:type="dxa"/>
            <w:shd w:val="clear" w:color="auto" w:fill="EEEEEF" w:themeFill="accent4"/>
            <w:noWrap/>
          </w:tcPr>
          <w:p w14:paraId="31DCFF13" w14:textId="77777777" w:rsidR="00265792" w:rsidRPr="00BA7805" w:rsidRDefault="00265792" w:rsidP="00114C18">
            <w:pPr>
              <w:pStyle w:val="ARfintablebodyrightbold"/>
              <w:rPr>
                <w:highlight w:val="green"/>
              </w:rPr>
            </w:pPr>
            <w:r w:rsidRPr="007820C9">
              <w:t>983.2</w:t>
            </w:r>
          </w:p>
        </w:tc>
        <w:tc>
          <w:tcPr>
            <w:tcW w:w="1417" w:type="dxa"/>
            <w:noWrap/>
          </w:tcPr>
          <w:p w14:paraId="06324257" w14:textId="77777777" w:rsidR="00265792" w:rsidRPr="00BA7805" w:rsidRDefault="00265792" w:rsidP="00114C18">
            <w:pPr>
              <w:pStyle w:val="ARfintablebodyrightbold"/>
              <w:rPr>
                <w:highlight w:val="green"/>
              </w:rPr>
            </w:pPr>
            <w:r w:rsidRPr="007820C9">
              <w:t>983.2</w:t>
            </w:r>
          </w:p>
        </w:tc>
      </w:tr>
    </w:tbl>
    <w:p w14:paraId="7A2C035E" w14:textId="77777777" w:rsidR="00265792" w:rsidRPr="007B7C9C" w:rsidRDefault="00265792">
      <w:pPr>
        <w:pStyle w:val="ARfintablefootnote"/>
        <w:rPr>
          <w:lang w:eastAsia="en-AU"/>
        </w:rPr>
      </w:pPr>
      <w:r w:rsidRPr="002E01E3">
        <w:rPr>
          <w:lang w:eastAsia="en-AU"/>
        </w:rPr>
        <w:t>Note:</w:t>
      </w:r>
    </w:p>
    <w:p w14:paraId="058A33CC" w14:textId="13C721A7" w:rsidR="00265792" w:rsidRDefault="00265792" w:rsidP="002A06DF">
      <w:pPr>
        <w:pStyle w:val="ARfintablefootnotetabindent"/>
      </w:pPr>
      <w:r>
        <w:t>(</w:t>
      </w:r>
      <w:proofErr w:type="spellStart"/>
      <w:r>
        <w:t>i</w:t>
      </w:r>
      <w:proofErr w:type="spellEnd"/>
      <w:r>
        <w:t xml:space="preserve">) </w:t>
      </w:r>
      <w:r>
        <w:tab/>
        <w:t>The total amounts disclosed here exclude statutory amounts</w:t>
      </w:r>
      <w:r w:rsidR="00EF76A3">
        <w:t>,</w:t>
      </w:r>
      <w:r>
        <w:t xml:space="preserve"> </w:t>
      </w:r>
      <w:r w:rsidR="00EF76A3">
        <w:t>for example,</w:t>
      </w:r>
      <w:r>
        <w:t xml:space="preserve"> amounts owing to/from Victorian Government and GST input tax credit recoverable and taxes payable. Refer to Note 6.1 for the breakdown of contractual and statutory receivables, </w:t>
      </w:r>
      <w:proofErr w:type="gramStart"/>
      <w:r>
        <w:t>Note</w:t>
      </w:r>
      <w:proofErr w:type="gramEnd"/>
      <w:r>
        <w:t xml:space="preserve"> 6.3 for the breakdown of contractual and statutory payables, and Note 7.1 for the breakdown of borrowings.</w:t>
      </w:r>
    </w:p>
    <w:p w14:paraId="21F1DC52" w14:textId="77777777" w:rsidR="00265792" w:rsidRPr="005942B1" w:rsidRDefault="00265792" w:rsidP="00207901">
      <w:pPr>
        <w:pStyle w:val="Heading5"/>
      </w:pPr>
      <w:r w:rsidRPr="005942B1">
        <w:t>8.1.2 Financial instruments: Net holding gain/(loss) on financial instruments by category</w:t>
      </w:r>
    </w:p>
    <w:tbl>
      <w:tblPr>
        <w:tblStyle w:val="TableGrid"/>
        <w:tblW w:w="9639" w:type="dxa"/>
        <w:tblLayout w:type="fixed"/>
        <w:tblLook w:val="06E0" w:firstRow="1" w:lastRow="1" w:firstColumn="1" w:lastColumn="0" w:noHBand="1" w:noVBand="1"/>
      </w:tblPr>
      <w:tblGrid>
        <w:gridCol w:w="6804"/>
        <w:gridCol w:w="1417"/>
        <w:gridCol w:w="1418"/>
      </w:tblGrid>
      <w:tr w:rsidR="00265792" w:rsidRPr="00BA7805" w14:paraId="3B9D8355" w14:textId="77777777" w:rsidTr="008D32AA">
        <w:trPr>
          <w:cnfStyle w:val="100000000000" w:firstRow="1" w:lastRow="0" w:firstColumn="0" w:lastColumn="0" w:oddVBand="0" w:evenVBand="0" w:oddHBand="0" w:evenHBand="0" w:firstRowFirstColumn="0" w:firstRowLastColumn="0" w:lastRowFirstColumn="0" w:lastRowLastColumn="0"/>
        </w:trPr>
        <w:tc>
          <w:tcPr>
            <w:tcW w:w="6804" w:type="dxa"/>
            <w:hideMark/>
          </w:tcPr>
          <w:p w14:paraId="569E0D01" w14:textId="77777777" w:rsidR="00265792" w:rsidRPr="00BA7805" w:rsidRDefault="00265792">
            <w:pPr>
              <w:pStyle w:val="ARfintablecolhead"/>
              <w:spacing w:before="30" w:after="16"/>
              <w:rPr>
                <w:highlight w:val="green"/>
              </w:rPr>
            </w:pPr>
          </w:p>
        </w:tc>
        <w:tc>
          <w:tcPr>
            <w:tcW w:w="1417" w:type="dxa"/>
            <w:shd w:val="clear" w:color="auto" w:fill="EEEEEF" w:themeFill="accent4"/>
            <w:hideMark/>
          </w:tcPr>
          <w:p w14:paraId="0865C9B1" w14:textId="77777777" w:rsidR="00265792" w:rsidRPr="007D21BE" w:rsidRDefault="00265792">
            <w:pPr>
              <w:pStyle w:val="ARfintablecolheadright"/>
              <w:spacing w:before="30" w:after="16"/>
            </w:pPr>
            <w:r w:rsidRPr="007D21BE">
              <w:t>Total interest income/</w:t>
            </w:r>
            <w:r w:rsidRPr="007D21BE">
              <w:br/>
              <w:t>(expense)</w:t>
            </w:r>
          </w:p>
          <w:p w14:paraId="43F7351C" w14:textId="77777777" w:rsidR="00265792" w:rsidRPr="007D21BE" w:rsidRDefault="00265792">
            <w:pPr>
              <w:pStyle w:val="ARfintablecolheadright"/>
              <w:spacing w:before="30" w:after="16"/>
            </w:pPr>
            <w:r w:rsidRPr="007D21BE">
              <w:t>$M</w:t>
            </w:r>
          </w:p>
        </w:tc>
        <w:tc>
          <w:tcPr>
            <w:tcW w:w="1418" w:type="dxa"/>
            <w:hideMark/>
          </w:tcPr>
          <w:p w14:paraId="7DBD5AA5" w14:textId="77777777" w:rsidR="00265792" w:rsidRPr="007D21BE" w:rsidRDefault="00265792">
            <w:pPr>
              <w:pStyle w:val="ARfintablecolheadright"/>
              <w:spacing w:before="30" w:after="16"/>
            </w:pPr>
            <w:r w:rsidRPr="007D21BE">
              <w:t>Total</w:t>
            </w:r>
          </w:p>
          <w:p w14:paraId="644B6639" w14:textId="77777777" w:rsidR="00265792" w:rsidRPr="007D21BE" w:rsidRDefault="00265792">
            <w:pPr>
              <w:pStyle w:val="ARfintablecolheadright"/>
              <w:spacing w:before="30" w:after="16"/>
            </w:pPr>
            <w:r w:rsidRPr="007D21BE">
              <w:t>$M</w:t>
            </w:r>
          </w:p>
        </w:tc>
      </w:tr>
      <w:tr w:rsidR="00265792" w:rsidRPr="00BA7805" w14:paraId="293199A7" w14:textId="77777777" w:rsidTr="008D32AA">
        <w:tc>
          <w:tcPr>
            <w:tcW w:w="6804" w:type="dxa"/>
            <w:tcBorders>
              <w:top w:val="single" w:sz="4" w:space="0" w:color="000000" w:themeColor="text1"/>
              <w:bottom w:val="single" w:sz="4" w:space="0" w:color="000000" w:themeColor="text1"/>
            </w:tcBorders>
          </w:tcPr>
          <w:p w14:paraId="24C41990" w14:textId="77777777" w:rsidR="00265792" w:rsidRPr="00B60EE9" w:rsidRDefault="00265792" w:rsidP="008D32AA">
            <w:pPr>
              <w:pStyle w:val="ARfintablebodyboldcoloured"/>
            </w:pPr>
            <w:r>
              <w:t>2025</w:t>
            </w:r>
          </w:p>
        </w:tc>
        <w:tc>
          <w:tcPr>
            <w:tcW w:w="1417" w:type="dxa"/>
            <w:tcBorders>
              <w:top w:val="single" w:sz="4" w:space="0" w:color="000000" w:themeColor="text1"/>
              <w:bottom w:val="single" w:sz="4" w:space="0" w:color="000000" w:themeColor="text1"/>
            </w:tcBorders>
            <w:noWrap/>
          </w:tcPr>
          <w:p w14:paraId="1215804F" w14:textId="77777777" w:rsidR="00265792" w:rsidRPr="00B60EE9" w:rsidRDefault="00265792" w:rsidP="00B60EE9">
            <w:pPr>
              <w:pStyle w:val="ARfintablebodyright"/>
              <w:rPr>
                <w:highlight w:val="green"/>
              </w:rPr>
            </w:pPr>
          </w:p>
        </w:tc>
        <w:tc>
          <w:tcPr>
            <w:tcW w:w="1418" w:type="dxa"/>
            <w:tcBorders>
              <w:top w:val="single" w:sz="4" w:space="0" w:color="000000" w:themeColor="text1"/>
              <w:bottom w:val="single" w:sz="4" w:space="0" w:color="000000" w:themeColor="text1"/>
            </w:tcBorders>
            <w:noWrap/>
          </w:tcPr>
          <w:p w14:paraId="5DE805C1" w14:textId="77777777" w:rsidR="00265792" w:rsidRPr="00B60EE9" w:rsidRDefault="00265792" w:rsidP="00B60EE9">
            <w:pPr>
              <w:pStyle w:val="ARfintablebodyright"/>
              <w:rPr>
                <w:highlight w:val="green"/>
              </w:rPr>
            </w:pPr>
          </w:p>
        </w:tc>
      </w:tr>
      <w:tr w:rsidR="00265792" w:rsidRPr="00BA7805" w14:paraId="5CADE10E" w14:textId="77777777" w:rsidTr="008D32AA">
        <w:tc>
          <w:tcPr>
            <w:tcW w:w="6804" w:type="dxa"/>
            <w:tcBorders>
              <w:top w:val="single" w:sz="4" w:space="0" w:color="000000" w:themeColor="text1"/>
              <w:bottom w:val="single" w:sz="4" w:space="0" w:color="A6A6A6" w:themeColor="accent5"/>
            </w:tcBorders>
          </w:tcPr>
          <w:p w14:paraId="6EE05BA7" w14:textId="77777777" w:rsidR="00265792" w:rsidRPr="00B60EE9" w:rsidRDefault="00265792" w:rsidP="00114C18">
            <w:pPr>
              <w:pStyle w:val="ARfintablebodybold"/>
              <w:rPr>
                <w:highlight w:val="green"/>
              </w:rPr>
            </w:pPr>
            <w:r w:rsidRPr="00B60EE9">
              <w:t>Contractual financial assets</w:t>
            </w:r>
          </w:p>
        </w:tc>
        <w:tc>
          <w:tcPr>
            <w:tcW w:w="1417" w:type="dxa"/>
            <w:tcBorders>
              <w:top w:val="single" w:sz="4" w:space="0" w:color="000000" w:themeColor="text1"/>
              <w:bottom w:val="single" w:sz="4" w:space="0" w:color="A6A6A6" w:themeColor="accent5"/>
            </w:tcBorders>
            <w:noWrap/>
          </w:tcPr>
          <w:p w14:paraId="30291A84" w14:textId="77777777" w:rsidR="00265792" w:rsidRPr="00B60EE9" w:rsidRDefault="00265792" w:rsidP="00B60EE9">
            <w:pPr>
              <w:pStyle w:val="ARfintablebodyright"/>
              <w:rPr>
                <w:highlight w:val="green"/>
              </w:rPr>
            </w:pPr>
          </w:p>
        </w:tc>
        <w:tc>
          <w:tcPr>
            <w:tcW w:w="1418" w:type="dxa"/>
            <w:tcBorders>
              <w:top w:val="single" w:sz="4" w:space="0" w:color="000000" w:themeColor="text1"/>
              <w:bottom w:val="single" w:sz="4" w:space="0" w:color="A6A6A6" w:themeColor="accent5"/>
            </w:tcBorders>
            <w:noWrap/>
          </w:tcPr>
          <w:p w14:paraId="33EB15BE" w14:textId="77777777" w:rsidR="00265792" w:rsidRPr="00B60EE9" w:rsidRDefault="00265792" w:rsidP="00B60EE9">
            <w:pPr>
              <w:pStyle w:val="ARfintablebodyright"/>
              <w:rPr>
                <w:highlight w:val="green"/>
              </w:rPr>
            </w:pPr>
          </w:p>
        </w:tc>
      </w:tr>
      <w:tr w:rsidR="00265792" w:rsidRPr="00BA7805" w14:paraId="69E32781" w14:textId="77777777" w:rsidTr="008D32AA">
        <w:tc>
          <w:tcPr>
            <w:tcW w:w="6804" w:type="dxa"/>
            <w:tcBorders>
              <w:top w:val="single" w:sz="4" w:space="0" w:color="A6A6A6" w:themeColor="accent5"/>
              <w:bottom w:val="single" w:sz="4" w:space="0" w:color="A6A6A6" w:themeColor="accent5"/>
            </w:tcBorders>
          </w:tcPr>
          <w:p w14:paraId="159FB76C" w14:textId="77777777" w:rsidR="00265792" w:rsidRPr="00B60EE9" w:rsidRDefault="00265792" w:rsidP="00B60EE9">
            <w:pPr>
              <w:pStyle w:val="ARfintablebody"/>
              <w:rPr>
                <w:highlight w:val="green"/>
              </w:rPr>
            </w:pPr>
            <w:r w:rsidRPr="00B60EE9">
              <w:t xml:space="preserve">Loans </w:t>
            </w:r>
          </w:p>
        </w:tc>
        <w:tc>
          <w:tcPr>
            <w:tcW w:w="1417" w:type="dxa"/>
            <w:tcBorders>
              <w:top w:val="single" w:sz="4" w:space="0" w:color="A6A6A6" w:themeColor="accent5"/>
              <w:bottom w:val="single" w:sz="4" w:space="0" w:color="A6A6A6" w:themeColor="accent5"/>
            </w:tcBorders>
            <w:shd w:val="clear" w:color="auto" w:fill="EEEEEF" w:themeFill="accent4"/>
            <w:noWrap/>
          </w:tcPr>
          <w:p w14:paraId="2B4C5BD7" w14:textId="77777777" w:rsidR="00265792" w:rsidRPr="00B60EE9" w:rsidRDefault="00265792" w:rsidP="00B60EE9">
            <w:pPr>
              <w:pStyle w:val="ARfintablebodyright"/>
              <w:rPr>
                <w:highlight w:val="green"/>
              </w:rPr>
            </w:pPr>
            <w:r w:rsidRPr="00B60EE9">
              <w:t>5.8</w:t>
            </w:r>
          </w:p>
        </w:tc>
        <w:tc>
          <w:tcPr>
            <w:tcW w:w="1418" w:type="dxa"/>
            <w:tcBorders>
              <w:top w:val="single" w:sz="4" w:space="0" w:color="A6A6A6" w:themeColor="accent5"/>
              <w:bottom w:val="single" w:sz="4" w:space="0" w:color="A6A6A6" w:themeColor="accent5"/>
            </w:tcBorders>
            <w:noWrap/>
          </w:tcPr>
          <w:p w14:paraId="2B6C0406" w14:textId="77777777" w:rsidR="00265792" w:rsidRPr="00B60EE9" w:rsidRDefault="00265792" w:rsidP="00B60EE9">
            <w:pPr>
              <w:pStyle w:val="ARfintablebodyright"/>
              <w:rPr>
                <w:highlight w:val="green"/>
              </w:rPr>
            </w:pPr>
            <w:r w:rsidRPr="00B60EE9">
              <w:t>5.8</w:t>
            </w:r>
          </w:p>
        </w:tc>
      </w:tr>
      <w:tr w:rsidR="00265792" w:rsidRPr="00BA7805" w14:paraId="24F34B29" w14:textId="77777777" w:rsidTr="00114C18">
        <w:tc>
          <w:tcPr>
            <w:tcW w:w="6804" w:type="dxa"/>
            <w:tcBorders>
              <w:top w:val="single" w:sz="4" w:space="0" w:color="A6A6A6" w:themeColor="accent5"/>
              <w:bottom w:val="single" w:sz="4" w:space="0" w:color="000000" w:themeColor="text1"/>
            </w:tcBorders>
          </w:tcPr>
          <w:p w14:paraId="4A6F6B16" w14:textId="77777777" w:rsidR="00265792" w:rsidRPr="00B60EE9" w:rsidRDefault="00265792" w:rsidP="00B60EE9">
            <w:pPr>
              <w:pStyle w:val="ARfintablebody"/>
              <w:rPr>
                <w:highlight w:val="green"/>
              </w:rPr>
            </w:pPr>
            <w:r w:rsidRPr="00B60EE9">
              <w:t xml:space="preserve">Short-term investments </w:t>
            </w:r>
            <w:r>
              <w:t>–</w:t>
            </w:r>
            <w:r w:rsidRPr="00B60EE9">
              <w:t xml:space="preserve"> term deposits</w:t>
            </w:r>
          </w:p>
        </w:tc>
        <w:tc>
          <w:tcPr>
            <w:tcW w:w="1417" w:type="dxa"/>
            <w:tcBorders>
              <w:top w:val="single" w:sz="4" w:space="0" w:color="A6A6A6" w:themeColor="accent5"/>
              <w:bottom w:val="single" w:sz="4" w:space="0" w:color="000000" w:themeColor="text1"/>
            </w:tcBorders>
            <w:shd w:val="clear" w:color="auto" w:fill="EEEEEF" w:themeFill="accent4"/>
            <w:noWrap/>
          </w:tcPr>
          <w:p w14:paraId="2F6C020F" w14:textId="77777777" w:rsidR="00265792" w:rsidRPr="00B60EE9" w:rsidRDefault="00265792" w:rsidP="00B60EE9">
            <w:pPr>
              <w:pStyle w:val="ARfintablebodyright"/>
              <w:rPr>
                <w:highlight w:val="green"/>
              </w:rPr>
            </w:pPr>
            <w:r w:rsidRPr="00B60EE9">
              <w:t>37.5</w:t>
            </w:r>
          </w:p>
        </w:tc>
        <w:tc>
          <w:tcPr>
            <w:tcW w:w="1418" w:type="dxa"/>
            <w:tcBorders>
              <w:top w:val="single" w:sz="4" w:space="0" w:color="A6A6A6" w:themeColor="accent5"/>
              <w:bottom w:val="single" w:sz="4" w:space="0" w:color="000000" w:themeColor="text1"/>
            </w:tcBorders>
            <w:noWrap/>
          </w:tcPr>
          <w:p w14:paraId="5D97D5D6" w14:textId="77777777" w:rsidR="00265792" w:rsidRPr="00B60EE9" w:rsidRDefault="00265792" w:rsidP="00B60EE9">
            <w:pPr>
              <w:pStyle w:val="ARfintablebodyright"/>
              <w:rPr>
                <w:highlight w:val="green"/>
              </w:rPr>
            </w:pPr>
            <w:r w:rsidRPr="00B60EE9">
              <w:t>37.5</w:t>
            </w:r>
          </w:p>
        </w:tc>
      </w:tr>
      <w:tr w:rsidR="00265792" w:rsidRPr="00BA7805" w14:paraId="05F5CB56" w14:textId="77777777" w:rsidTr="00114C18">
        <w:tc>
          <w:tcPr>
            <w:tcW w:w="6804" w:type="dxa"/>
            <w:tcBorders>
              <w:top w:val="single" w:sz="4" w:space="0" w:color="000000" w:themeColor="text1"/>
              <w:bottom w:val="single" w:sz="4" w:space="0" w:color="000000" w:themeColor="text1"/>
            </w:tcBorders>
          </w:tcPr>
          <w:p w14:paraId="24972443" w14:textId="77777777" w:rsidR="00265792" w:rsidRPr="00B60EE9" w:rsidRDefault="00265792" w:rsidP="00114C18">
            <w:pPr>
              <w:pStyle w:val="ARfintablebodybold"/>
              <w:rPr>
                <w:highlight w:val="green"/>
              </w:rPr>
            </w:pPr>
            <w:r w:rsidRPr="00B60EE9">
              <w:t>Total contractual financial assets</w:t>
            </w:r>
          </w:p>
        </w:tc>
        <w:tc>
          <w:tcPr>
            <w:tcW w:w="1417" w:type="dxa"/>
            <w:tcBorders>
              <w:top w:val="single" w:sz="4" w:space="0" w:color="000000" w:themeColor="text1"/>
              <w:bottom w:val="single" w:sz="4" w:space="0" w:color="000000" w:themeColor="text1"/>
            </w:tcBorders>
            <w:shd w:val="clear" w:color="auto" w:fill="EEEEEF" w:themeFill="accent4"/>
            <w:noWrap/>
          </w:tcPr>
          <w:p w14:paraId="5556D2F0" w14:textId="77777777" w:rsidR="00265792" w:rsidRPr="00B60EE9" w:rsidRDefault="00265792" w:rsidP="00114C18">
            <w:pPr>
              <w:pStyle w:val="ARfintablebodyrightbold"/>
              <w:rPr>
                <w:highlight w:val="green"/>
              </w:rPr>
            </w:pPr>
            <w:r w:rsidRPr="00B60EE9">
              <w:t>43.3</w:t>
            </w:r>
          </w:p>
        </w:tc>
        <w:tc>
          <w:tcPr>
            <w:tcW w:w="1418" w:type="dxa"/>
            <w:tcBorders>
              <w:top w:val="single" w:sz="4" w:space="0" w:color="000000" w:themeColor="text1"/>
              <w:bottom w:val="single" w:sz="4" w:space="0" w:color="000000" w:themeColor="text1"/>
            </w:tcBorders>
            <w:noWrap/>
          </w:tcPr>
          <w:p w14:paraId="7EE72EA7" w14:textId="77777777" w:rsidR="00265792" w:rsidRPr="00B60EE9" w:rsidRDefault="00265792" w:rsidP="00114C18">
            <w:pPr>
              <w:pStyle w:val="ARfintablebodyrightbold"/>
              <w:rPr>
                <w:highlight w:val="green"/>
              </w:rPr>
            </w:pPr>
            <w:r w:rsidRPr="00B60EE9">
              <w:t>43.3</w:t>
            </w:r>
          </w:p>
        </w:tc>
      </w:tr>
      <w:tr w:rsidR="00265792" w:rsidRPr="00BA7805" w14:paraId="4F9397F9" w14:textId="77777777" w:rsidTr="00114C18">
        <w:tc>
          <w:tcPr>
            <w:tcW w:w="6804" w:type="dxa"/>
            <w:tcBorders>
              <w:top w:val="single" w:sz="4" w:space="0" w:color="000000" w:themeColor="text1"/>
              <w:bottom w:val="single" w:sz="4" w:space="0" w:color="A6A6A6" w:themeColor="accent5"/>
            </w:tcBorders>
          </w:tcPr>
          <w:p w14:paraId="41864FB9" w14:textId="77777777" w:rsidR="00265792" w:rsidRPr="00B60EE9" w:rsidRDefault="00265792" w:rsidP="00114C18">
            <w:pPr>
              <w:pStyle w:val="ARfintablebodybold"/>
              <w:rPr>
                <w:highlight w:val="green"/>
              </w:rPr>
            </w:pPr>
            <w:r w:rsidRPr="00B60EE9">
              <w:t>Contractual financial liabilities</w:t>
            </w:r>
          </w:p>
        </w:tc>
        <w:tc>
          <w:tcPr>
            <w:tcW w:w="1417" w:type="dxa"/>
            <w:tcBorders>
              <w:top w:val="single" w:sz="4" w:space="0" w:color="000000" w:themeColor="text1"/>
              <w:bottom w:val="single" w:sz="4" w:space="0" w:color="A6A6A6" w:themeColor="accent5"/>
            </w:tcBorders>
            <w:noWrap/>
          </w:tcPr>
          <w:p w14:paraId="58AD4FDC" w14:textId="77777777" w:rsidR="00265792" w:rsidRPr="00B60EE9" w:rsidRDefault="00265792" w:rsidP="00B60EE9">
            <w:pPr>
              <w:pStyle w:val="ARfintablebodyright"/>
              <w:rPr>
                <w:highlight w:val="green"/>
              </w:rPr>
            </w:pPr>
          </w:p>
        </w:tc>
        <w:tc>
          <w:tcPr>
            <w:tcW w:w="1418" w:type="dxa"/>
            <w:tcBorders>
              <w:top w:val="single" w:sz="4" w:space="0" w:color="000000" w:themeColor="text1"/>
              <w:bottom w:val="single" w:sz="4" w:space="0" w:color="A6A6A6" w:themeColor="accent5"/>
            </w:tcBorders>
            <w:noWrap/>
          </w:tcPr>
          <w:p w14:paraId="0BDD9B18" w14:textId="77777777" w:rsidR="00265792" w:rsidRPr="00B60EE9" w:rsidRDefault="00265792" w:rsidP="00B60EE9">
            <w:pPr>
              <w:pStyle w:val="ARfintablebodyright"/>
              <w:rPr>
                <w:highlight w:val="green"/>
              </w:rPr>
            </w:pPr>
          </w:p>
        </w:tc>
      </w:tr>
      <w:tr w:rsidR="00265792" w:rsidRPr="00BA7805" w14:paraId="0D88B365" w14:textId="77777777">
        <w:tc>
          <w:tcPr>
            <w:tcW w:w="6804" w:type="dxa"/>
            <w:tcBorders>
              <w:top w:val="single" w:sz="4" w:space="0" w:color="A6A6A6" w:themeColor="accent5"/>
              <w:bottom w:val="single" w:sz="4" w:space="0" w:color="A6A6A6" w:themeColor="accent5"/>
            </w:tcBorders>
          </w:tcPr>
          <w:p w14:paraId="6C3A0465" w14:textId="77777777" w:rsidR="00265792" w:rsidRPr="00B60EE9" w:rsidRDefault="00265792" w:rsidP="00B60EE9">
            <w:pPr>
              <w:pStyle w:val="ARfintablebody"/>
              <w:rPr>
                <w:highlight w:val="green"/>
              </w:rPr>
            </w:pPr>
            <w:r w:rsidRPr="00B60EE9">
              <w:t xml:space="preserve">Payables </w:t>
            </w:r>
            <w:r w:rsidRPr="00114C18">
              <w:rPr>
                <w:vertAlign w:val="superscript"/>
              </w:rPr>
              <w:t>(</w:t>
            </w:r>
            <w:proofErr w:type="spellStart"/>
            <w:r w:rsidRPr="00114C18">
              <w:rPr>
                <w:vertAlign w:val="superscript"/>
              </w:rPr>
              <w:t>i</w:t>
            </w:r>
            <w:proofErr w:type="spellEnd"/>
            <w:r w:rsidRPr="00114C18">
              <w:rPr>
                <w:vertAlign w:val="superscript"/>
              </w:rPr>
              <w:t>)</w:t>
            </w:r>
          </w:p>
        </w:tc>
        <w:tc>
          <w:tcPr>
            <w:tcW w:w="1417" w:type="dxa"/>
            <w:tcBorders>
              <w:top w:val="single" w:sz="4" w:space="0" w:color="A6A6A6" w:themeColor="accent5"/>
              <w:bottom w:val="single" w:sz="4" w:space="0" w:color="A6A6A6" w:themeColor="accent5"/>
            </w:tcBorders>
            <w:shd w:val="clear" w:color="auto" w:fill="EEEEEF" w:themeFill="accent4"/>
            <w:noWrap/>
          </w:tcPr>
          <w:p w14:paraId="08C787D6" w14:textId="77777777" w:rsidR="00265792" w:rsidRPr="00B60EE9" w:rsidRDefault="00265792" w:rsidP="00B60EE9">
            <w:pPr>
              <w:pStyle w:val="ARfintablebodyright"/>
              <w:rPr>
                <w:highlight w:val="green"/>
              </w:rPr>
            </w:pPr>
            <w:r>
              <w:t>–</w:t>
            </w:r>
          </w:p>
        </w:tc>
        <w:tc>
          <w:tcPr>
            <w:tcW w:w="1418" w:type="dxa"/>
            <w:tcBorders>
              <w:top w:val="single" w:sz="4" w:space="0" w:color="A6A6A6" w:themeColor="accent5"/>
              <w:bottom w:val="single" w:sz="4" w:space="0" w:color="A6A6A6" w:themeColor="accent5"/>
            </w:tcBorders>
            <w:noWrap/>
          </w:tcPr>
          <w:p w14:paraId="69B2DB01" w14:textId="77777777" w:rsidR="00265792" w:rsidRPr="00B60EE9" w:rsidRDefault="00265792" w:rsidP="00B60EE9">
            <w:pPr>
              <w:pStyle w:val="ARfintablebodyright"/>
              <w:rPr>
                <w:highlight w:val="green"/>
              </w:rPr>
            </w:pPr>
            <w:r>
              <w:t>–</w:t>
            </w:r>
          </w:p>
        </w:tc>
      </w:tr>
      <w:tr w:rsidR="00265792" w:rsidRPr="00BA7805" w14:paraId="00657B61" w14:textId="77777777">
        <w:tc>
          <w:tcPr>
            <w:tcW w:w="6804" w:type="dxa"/>
            <w:tcBorders>
              <w:top w:val="single" w:sz="4" w:space="0" w:color="A6A6A6" w:themeColor="accent5"/>
              <w:bottom w:val="single" w:sz="4" w:space="0" w:color="000000" w:themeColor="text1"/>
            </w:tcBorders>
          </w:tcPr>
          <w:p w14:paraId="5056F119" w14:textId="77777777" w:rsidR="00265792" w:rsidRPr="00B60EE9" w:rsidRDefault="00265792" w:rsidP="00B60EE9">
            <w:pPr>
              <w:pStyle w:val="ARfintablebody"/>
              <w:rPr>
                <w:highlight w:val="green"/>
              </w:rPr>
            </w:pPr>
            <w:r w:rsidRPr="00B60EE9">
              <w:t>Borrowings</w:t>
            </w:r>
          </w:p>
        </w:tc>
        <w:tc>
          <w:tcPr>
            <w:tcW w:w="1417" w:type="dxa"/>
            <w:tcBorders>
              <w:top w:val="single" w:sz="4" w:space="0" w:color="A6A6A6" w:themeColor="accent5"/>
              <w:bottom w:val="single" w:sz="4" w:space="0" w:color="000000" w:themeColor="text1"/>
            </w:tcBorders>
            <w:shd w:val="clear" w:color="auto" w:fill="EEEEEF" w:themeFill="accent4"/>
            <w:noWrap/>
          </w:tcPr>
          <w:p w14:paraId="326C29E5" w14:textId="77777777" w:rsidR="00265792" w:rsidRPr="00B60EE9" w:rsidRDefault="00265792" w:rsidP="00B60EE9">
            <w:pPr>
              <w:pStyle w:val="ARfintablebodyright"/>
              <w:rPr>
                <w:highlight w:val="green"/>
              </w:rPr>
            </w:pPr>
            <w:r w:rsidRPr="00B60EE9">
              <w:t>(36.9)</w:t>
            </w:r>
          </w:p>
        </w:tc>
        <w:tc>
          <w:tcPr>
            <w:tcW w:w="1418" w:type="dxa"/>
            <w:tcBorders>
              <w:top w:val="single" w:sz="4" w:space="0" w:color="A6A6A6" w:themeColor="accent5"/>
              <w:bottom w:val="single" w:sz="4" w:space="0" w:color="000000" w:themeColor="text1"/>
            </w:tcBorders>
            <w:noWrap/>
          </w:tcPr>
          <w:p w14:paraId="7A8FF98C" w14:textId="77777777" w:rsidR="00265792" w:rsidRPr="00B60EE9" w:rsidRDefault="00265792" w:rsidP="00B60EE9">
            <w:pPr>
              <w:pStyle w:val="ARfintablebodyright"/>
              <w:rPr>
                <w:highlight w:val="green"/>
              </w:rPr>
            </w:pPr>
            <w:r w:rsidRPr="00B60EE9">
              <w:t>(36.9)</w:t>
            </w:r>
          </w:p>
        </w:tc>
      </w:tr>
      <w:tr w:rsidR="00265792" w:rsidRPr="00BA7805" w14:paraId="3EDACC0E" w14:textId="77777777">
        <w:tc>
          <w:tcPr>
            <w:tcW w:w="6804" w:type="dxa"/>
            <w:tcBorders>
              <w:top w:val="single" w:sz="4" w:space="0" w:color="000000" w:themeColor="text1"/>
              <w:bottom w:val="single" w:sz="4" w:space="0" w:color="000000" w:themeColor="text1"/>
            </w:tcBorders>
          </w:tcPr>
          <w:p w14:paraId="503AF41B" w14:textId="77777777" w:rsidR="00265792" w:rsidRPr="00B60EE9" w:rsidRDefault="00265792">
            <w:pPr>
              <w:pStyle w:val="ARfintablebodybold"/>
              <w:rPr>
                <w:highlight w:val="green"/>
              </w:rPr>
            </w:pPr>
            <w:r w:rsidRPr="00B60EE9">
              <w:t>Total contractual financial liabilities</w:t>
            </w:r>
          </w:p>
        </w:tc>
        <w:tc>
          <w:tcPr>
            <w:tcW w:w="1417" w:type="dxa"/>
            <w:tcBorders>
              <w:top w:val="single" w:sz="4" w:space="0" w:color="000000" w:themeColor="text1"/>
              <w:bottom w:val="single" w:sz="4" w:space="0" w:color="000000" w:themeColor="text1"/>
            </w:tcBorders>
            <w:shd w:val="clear" w:color="auto" w:fill="EEEEEF" w:themeFill="accent4"/>
            <w:noWrap/>
          </w:tcPr>
          <w:p w14:paraId="00B38EAC" w14:textId="77777777" w:rsidR="00265792" w:rsidRPr="00B60EE9" w:rsidRDefault="00265792">
            <w:pPr>
              <w:pStyle w:val="ARfintablebodyrightbold"/>
              <w:rPr>
                <w:highlight w:val="green"/>
              </w:rPr>
            </w:pPr>
            <w:r w:rsidRPr="00B60EE9">
              <w:t>(36.9)</w:t>
            </w:r>
          </w:p>
        </w:tc>
        <w:tc>
          <w:tcPr>
            <w:tcW w:w="1418" w:type="dxa"/>
            <w:tcBorders>
              <w:top w:val="single" w:sz="4" w:space="0" w:color="000000" w:themeColor="text1"/>
              <w:bottom w:val="single" w:sz="4" w:space="0" w:color="000000" w:themeColor="text1"/>
            </w:tcBorders>
            <w:noWrap/>
          </w:tcPr>
          <w:p w14:paraId="03751CB4" w14:textId="77777777" w:rsidR="00265792" w:rsidRPr="00B60EE9" w:rsidRDefault="00265792">
            <w:pPr>
              <w:pStyle w:val="ARfintablebodyrightbold"/>
              <w:rPr>
                <w:highlight w:val="green"/>
              </w:rPr>
            </w:pPr>
            <w:r w:rsidRPr="00B60EE9">
              <w:t>(36.9)</w:t>
            </w:r>
          </w:p>
        </w:tc>
      </w:tr>
      <w:tr w:rsidR="00265792" w:rsidRPr="00BA7805" w14:paraId="6014250B" w14:textId="77777777" w:rsidTr="00114C18">
        <w:tc>
          <w:tcPr>
            <w:tcW w:w="6804" w:type="dxa"/>
            <w:tcBorders>
              <w:top w:val="single" w:sz="4" w:space="0" w:color="000000" w:themeColor="text1"/>
              <w:bottom w:val="single" w:sz="4" w:space="0" w:color="000000" w:themeColor="text1"/>
            </w:tcBorders>
          </w:tcPr>
          <w:p w14:paraId="6AD30FEE" w14:textId="77777777" w:rsidR="00265792" w:rsidRPr="00B60EE9" w:rsidRDefault="00265792" w:rsidP="008D32AA">
            <w:pPr>
              <w:pStyle w:val="ARfintablebodyboldcoloured"/>
              <w:rPr>
                <w:highlight w:val="green"/>
              </w:rPr>
            </w:pPr>
            <w:r w:rsidRPr="00B60EE9">
              <w:t>2024</w:t>
            </w:r>
          </w:p>
        </w:tc>
        <w:tc>
          <w:tcPr>
            <w:tcW w:w="1417" w:type="dxa"/>
            <w:tcBorders>
              <w:top w:val="single" w:sz="4" w:space="0" w:color="000000" w:themeColor="text1"/>
              <w:bottom w:val="single" w:sz="4" w:space="0" w:color="000000" w:themeColor="text1"/>
            </w:tcBorders>
            <w:noWrap/>
          </w:tcPr>
          <w:p w14:paraId="3E170C0E" w14:textId="77777777" w:rsidR="00265792" w:rsidRPr="00B60EE9" w:rsidRDefault="00265792" w:rsidP="00B60EE9">
            <w:pPr>
              <w:pStyle w:val="ARfintablebodyright"/>
              <w:rPr>
                <w:highlight w:val="green"/>
              </w:rPr>
            </w:pPr>
          </w:p>
        </w:tc>
        <w:tc>
          <w:tcPr>
            <w:tcW w:w="1418" w:type="dxa"/>
            <w:tcBorders>
              <w:top w:val="single" w:sz="4" w:space="0" w:color="000000" w:themeColor="text1"/>
              <w:bottom w:val="single" w:sz="4" w:space="0" w:color="000000" w:themeColor="text1"/>
            </w:tcBorders>
            <w:noWrap/>
          </w:tcPr>
          <w:p w14:paraId="153652D3" w14:textId="77777777" w:rsidR="00265792" w:rsidRPr="00B60EE9" w:rsidRDefault="00265792" w:rsidP="00B60EE9">
            <w:pPr>
              <w:pStyle w:val="ARfintablebodyright"/>
              <w:rPr>
                <w:highlight w:val="green"/>
              </w:rPr>
            </w:pPr>
          </w:p>
        </w:tc>
      </w:tr>
      <w:tr w:rsidR="00265792" w:rsidRPr="00BA7805" w14:paraId="6974A98D" w14:textId="77777777" w:rsidTr="000D7159">
        <w:tc>
          <w:tcPr>
            <w:tcW w:w="6804" w:type="dxa"/>
            <w:tcBorders>
              <w:top w:val="single" w:sz="4" w:space="0" w:color="000000" w:themeColor="text1"/>
              <w:bottom w:val="single" w:sz="4" w:space="0" w:color="A6A6A6" w:themeColor="accent5"/>
            </w:tcBorders>
          </w:tcPr>
          <w:p w14:paraId="7FDE0044" w14:textId="77777777" w:rsidR="00265792" w:rsidRPr="00B60EE9" w:rsidRDefault="00265792" w:rsidP="00114C18">
            <w:pPr>
              <w:pStyle w:val="ARfintablebodybold"/>
              <w:rPr>
                <w:highlight w:val="green"/>
              </w:rPr>
            </w:pPr>
            <w:r w:rsidRPr="00B60EE9">
              <w:t>Contractual financial assets</w:t>
            </w:r>
          </w:p>
        </w:tc>
        <w:tc>
          <w:tcPr>
            <w:tcW w:w="1417" w:type="dxa"/>
            <w:tcBorders>
              <w:top w:val="single" w:sz="4" w:space="0" w:color="000000" w:themeColor="text1"/>
              <w:bottom w:val="single" w:sz="4" w:space="0" w:color="A6A6A6" w:themeColor="accent5"/>
            </w:tcBorders>
            <w:noWrap/>
          </w:tcPr>
          <w:p w14:paraId="02BD38C7" w14:textId="77777777" w:rsidR="00265792" w:rsidRPr="00B60EE9" w:rsidRDefault="00265792" w:rsidP="00B60EE9">
            <w:pPr>
              <w:pStyle w:val="ARfintablebodyright"/>
              <w:rPr>
                <w:highlight w:val="green"/>
              </w:rPr>
            </w:pPr>
          </w:p>
        </w:tc>
        <w:tc>
          <w:tcPr>
            <w:tcW w:w="1418" w:type="dxa"/>
            <w:tcBorders>
              <w:top w:val="single" w:sz="4" w:space="0" w:color="000000" w:themeColor="text1"/>
              <w:bottom w:val="single" w:sz="4" w:space="0" w:color="A6A6A6" w:themeColor="accent5"/>
            </w:tcBorders>
            <w:noWrap/>
          </w:tcPr>
          <w:p w14:paraId="3037D860" w14:textId="77777777" w:rsidR="00265792" w:rsidRPr="00B60EE9" w:rsidRDefault="00265792" w:rsidP="00B60EE9">
            <w:pPr>
              <w:pStyle w:val="ARfintablebodyright"/>
              <w:rPr>
                <w:highlight w:val="green"/>
              </w:rPr>
            </w:pPr>
          </w:p>
        </w:tc>
      </w:tr>
      <w:tr w:rsidR="00265792" w:rsidRPr="00BA7805" w14:paraId="60984D5E" w14:textId="77777777" w:rsidTr="000D7159">
        <w:tc>
          <w:tcPr>
            <w:tcW w:w="6804" w:type="dxa"/>
            <w:tcBorders>
              <w:top w:val="single" w:sz="4" w:space="0" w:color="A6A6A6" w:themeColor="accent5"/>
              <w:bottom w:val="single" w:sz="4" w:space="0" w:color="A6A6A6" w:themeColor="accent5"/>
            </w:tcBorders>
          </w:tcPr>
          <w:p w14:paraId="3B996C6D" w14:textId="77777777" w:rsidR="00265792" w:rsidRPr="00B60EE9" w:rsidRDefault="00265792" w:rsidP="00B60EE9">
            <w:pPr>
              <w:pStyle w:val="ARfintablebody"/>
              <w:rPr>
                <w:highlight w:val="green"/>
              </w:rPr>
            </w:pPr>
            <w:r w:rsidRPr="00B60EE9">
              <w:t xml:space="preserve">Loans </w:t>
            </w:r>
          </w:p>
        </w:tc>
        <w:tc>
          <w:tcPr>
            <w:tcW w:w="1417" w:type="dxa"/>
            <w:tcBorders>
              <w:top w:val="single" w:sz="4" w:space="0" w:color="A6A6A6" w:themeColor="accent5"/>
              <w:bottom w:val="single" w:sz="4" w:space="0" w:color="A6A6A6" w:themeColor="accent5"/>
            </w:tcBorders>
            <w:shd w:val="clear" w:color="auto" w:fill="EEEEEF" w:themeFill="accent4"/>
            <w:noWrap/>
          </w:tcPr>
          <w:p w14:paraId="07E16226" w14:textId="77777777" w:rsidR="00265792" w:rsidRPr="00B60EE9" w:rsidRDefault="00265792" w:rsidP="00B60EE9">
            <w:pPr>
              <w:pStyle w:val="ARfintablebodyright"/>
              <w:rPr>
                <w:highlight w:val="green"/>
              </w:rPr>
            </w:pPr>
            <w:r w:rsidRPr="00B60EE9">
              <w:t>4.5</w:t>
            </w:r>
          </w:p>
        </w:tc>
        <w:tc>
          <w:tcPr>
            <w:tcW w:w="1418" w:type="dxa"/>
            <w:tcBorders>
              <w:top w:val="single" w:sz="4" w:space="0" w:color="A6A6A6" w:themeColor="accent5"/>
              <w:bottom w:val="single" w:sz="4" w:space="0" w:color="A6A6A6" w:themeColor="accent5"/>
            </w:tcBorders>
            <w:noWrap/>
          </w:tcPr>
          <w:p w14:paraId="6C7F0965" w14:textId="77777777" w:rsidR="00265792" w:rsidRPr="00B60EE9" w:rsidRDefault="00265792" w:rsidP="00B60EE9">
            <w:pPr>
              <w:pStyle w:val="ARfintablebodyright"/>
              <w:rPr>
                <w:highlight w:val="green"/>
              </w:rPr>
            </w:pPr>
            <w:r w:rsidRPr="00B60EE9">
              <w:t>4.5</w:t>
            </w:r>
          </w:p>
        </w:tc>
      </w:tr>
      <w:tr w:rsidR="00265792" w:rsidRPr="00BA7805" w14:paraId="0E90C33D" w14:textId="77777777" w:rsidTr="000D7159">
        <w:tc>
          <w:tcPr>
            <w:tcW w:w="6804" w:type="dxa"/>
            <w:tcBorders>
              <w:top w:val="single" w:sz="4" w:space="0" w:color="A6A6A6" w:themeColor="accent5"/>
              <w:bottom w:val="single" w:sz="4" w:space="0" w:color="000000" w:themeColor="text1"/>
            </w:tcBorders>
          </w:tcPr>
          <w:p w14:paraId="4DDCFBB8" w14:textId="77777777" w:rsidR="00265792" w:rsidRPr="00B60EE9" w:rsidRDefault="00265792" w:rsidP="00B60EE9">
            <w:pPr>
              <w:pStyle w:val="ARfintablebody"/>
              <w:rPr>
                <w:highlight w:val="green"/>
              </w:rPr>
            </w:pPr>
            <w:r w:rsidRPr="00B60EE9">
              <w:t xml:space="preserve">Short-term investments </w:t>
            </w:r>
            <w:r>
              <w:t>–</w:t>
            </w:r>
            <w:r w:rsidRPr="00B60EE9">
              <w:t xml:space="preserve"> term deposits</w:t>
            </w:r>
          </w:p>
        </w:tc>
        <w:tc>
          <w:tcPr>
            <w:tcW w:w="1417" w:type="dxa"/>
            <w:tcBorders>
              <w:top w:val="single" w:sz="4" w:space="0" w:color="A6A6A6" w:themeColor="accent5"/>
              <w:bottom w:val="single" w:sz="4" w:space="0" w:color="000000" w:themeColor="text1"/>
            </w:tcBorders>
            <w:shd w:val="clear" w:color="auto" w:fill="EEEEEF" w:themeFill="accent4"/>
            <w:noWrap/>
          </w:tcPr>
          <w:p w14:paraId="31B1A340" w14:textId="77777777" w:rsidR="00265792" w:rsidRPr="00B60EE9" w:rsidRDefault="00265792" w:rsidP="00B60EE9">
            <w:pPr>
              <w:pStyle w:val="ARfintablebodyright"/>
              <w:rPr>
                <w:highlight w:val="green"/>
              </w:rPr>
            </w:pPr>
            <w:r w:rsidRPr="00B60EE9">
              <w:t>28.2</w:t>
            </w:r>
          </w:p>
        </w:tc>
        <w:tc>
          <w:tcPr>
            <w:tcW w:w="1418" w:type="dxa"/>
            <w:tcBorders>
              <w:top w:val="single" w:sz="4" w:space="0" w:color="A6A6A6" w:themeColor="accent5"/>
              <w:bottom w:val="single" w:sz="4" w:space="0" w:color="000000" w:themeColor="text1"/>
            </w:tcBorders>
            <w:noWrap/>
          </w:tcPr>
          <w:p w14:paraId="06D0AD30" w14:textId="77777777" w:rsidR="00265792" w:rsidRPr="00B60EE9" w:rsidRDefault="00265792" w:rsidP="00B60EE9">
            <w:pPr>
              <w:pStyle w:val="ARfintablebodyright"/>
              <w:rPr>
                <w:highlight w:val="green"/>
              </w:rPr>
            </w:pPr>
            <w:r w:rsidRPr="00B60EE9">
              <w:t>28.2</w:t>
            </w:r>
          </w:p>
        </w:tc>
      </w:tr>
      <w:tr w:rsidR="00265792" w:rsidRPr="00BA7805" w14:paraId="39C43C03" w14:textId="77777777" w:rsidTr="000D7159">
        <w:tc>
          <w:tcPr>
            <w:tcW w:w="6804" w:type="dxa"/>
            <w:tcBorders>
              <w:top w:val="single" w:sz="4" w:space="0" w:color="000000" w:themeColor="text1"/>
              <w:bottom w:val="single" w:sz="4" w:space="0" w:color="000000" w:themeColor="text1"/>
            </w:tcBorders>
          </w:tcPr>
          <w:p w14:paraId="629EA27F" w14:textId="77777777" w:rsidR="00265792" w:rsidRPr="00B60EE9" w:rsidRDefault="00265792" w:rsidP="000D7159">
            <w:pPr>
              <w:pStyle w:val="ARfintablebodybold"/>
              <w:rPr>
                <w:highlight w:val="green"/>
              </w:rPr>
            </w:pPr>
            <w:r w:rsidRPr="00B60EE9">
              <w:t>Total contractual financial assets</w:t>
            </w:r>
          </w:p>
        </w:tc>
        <w:tc>
          <w:tcPr>
            <w:tcW w:w="1417" w:type="dxa"/>
            <w:tcBorders>
              <w:top w:val="single" w:sz="4" w:space="0" w:color="000000" w:themeColor="text1"/>
              <w:bottom w:val="single" w:sz="4" w:space="0" w:color="000000" w:themeColor="text1"/>
            </w:tcBorders>
            <w:shd w:val="clear" w:color="auto" w:fill="EEEEEF" w:themeFill="accent4"/>
            <w:noWrap/>
          </w:tcPr>
          <w:p w14:paraId="7ACCC9D6" w14:textId="77777777" w:rsidR="00265792" w:rsidRPr="00B60EE9" w:rsidRDefault="00265792" w:rsidP="000D7159">
            <w:pPr>
              <w:pStyle w:val="ARfintablebodyrightbold"/>
              <w:rPr>
                <w:highlight w:val="green"/>
              </w:rPr>
            </w:pPr>
            <w:r w:rsidRPr="00B60EE9">
              <w:t>32.7</w:t>
            </w:r>
          </w:p>
        </w:tc>
        <w:tc>
          <w:tcPr>
            <w:tcW w:w="1418" w:type="dxa"/>
            <w:tcBorders>
              <w:top w:val="single" w:sz="4" w:space="0" w:color="000000" w:themeColor="text1"/>
              <w:bottom w:val="single" w:sz="4" w:space="0" w:color="000000" w:themeColor="text1"/>
            </w:tcBorders>
            <w:noWrap/>
          </w:tcPr>
          <w:p w14:paraId="1D67FF92" w14:textId="77777777" w:rsidR="00265792" w:rsidRPr="00B60EE9" w:rsidRDefault="00265792" w:rsidP="000D7159">
            <w:pPr>
              <w:pStyle w:val="ARfintablebodyrightbold"/>
              <w:rPr>
                <w:highlight w:val="green"/>
              </w:rPr>
            </w:pPr>
            <w:r w:rsidRPr="00B60EE9">
              <w:t>32.7</w:t>
            </w:r>
          </w:p>
        </w:tc>
      </w:tr>
      <w:tr w:rsidR="00265792" w:rsidRPr="00BA7805" w14:paraId="5C0E379A" w14:textId="77777777" w:rsidTr="000D7159">
        <w:tc>
          <w:tcPr>
            <w:tcW w:w="6804" w:type="dxa"/>
            <w:tcBorders>
              <w:top w:val="single" w:sz="4" w:space="0" w:color="000000" w:themeColor="text1"/>
              <w:bottom w:val="single" w:sz="4" w:space="0" w:color="A6A6A6" w:themeColor="accent5"/>
            </w:tcBorders>
          </w:tcPr>
          <w:p w14:paraId="383F0CDE" w14:textId="77777777" w:rsidR="00265792" w:rsidRPr="00B60EE9" w:rsidRDefault="00265792" w:rsidP="000D7159">
            <w:pPr>
              <w:pStyle w:val="ARfintablebodybold"/>
              <w:rPr>
                <w:highlight w:val="green"/>
              </w:rPr>
            </w:pPr>
            <w:r w:rsidRPr="00B60EE9">
              <w:t>Contractual financial liabilities</w:t>
            </w:r>
          </w:p>
        </w:tc>
        <w:tc>
          <w:tcPr>
            <w:tcW w:w="1417" w:type="dxa"/>
            <w:tcBorders>
              <w:top w:val="single" w:sz="4" w:space="0" w:color="000000" w:themeColor="text1"/>
              <w:bottom w:val="single" w:sz="4" w:space="0" w:color="A6A6A6" w:themeColor="accent5"/>
            </w:tcBorders>
            <w:noWrap/>
          </w:tcPr>
          <w:p w14:paraId="65DD68F4" w14:textId="77777777" w:rsidR="00265792" w:rsidRPr="00B60EE9" w:rsidRDefault="00265792" w:rsidP="00B60EE9">
            <w:pPr>
              <w:pStyle w:val="ARfintablebodyright"/>
              <w:rPr>
                <w:highlight w:val="green"/>
              </w:rPr>
            </w:pPr>
          </w:p>
        </w:tc>
        <w:tc>
          <w:tcPr>
            <w:tcW w:w="1418" w:type="dxa"/>
            <w:tcBorders>
              <w:top w:val="single" w:sz="4" w:space="0" w:color="000000" w:themeColor="text1"/>
              <w:bottom w:val="single" w:sz="4" w:space="0" w:color="A6A6A6" w:themeColor="accent5"/>
            </w:tcBorders>
            <w:noWrap/>
          </w:tcPr>
          <w:p w14:paraId="7A103D57" w14:textId="77777777" w:rsidR="00265792" w:rsidRPr="00B60EE9" w:rsidRDefault="00265792" w:rsidP="00B60EE9">
            <w:pPr>
              <w:pStyle w:val="ARfintablebodyright"/>
              <w:rPr>
                <w:highlight w:val="green"/>
              </w:rPr>
            </w:pPr>
          </w:p>
        </w:tc>
      </w:tr>
      <w:tr w:rsidR="00265792" w:rsidRPr="00BA7805" w14:paraId="533F3A83" w14:textId="77777777" w:rsidTr="000D7159">
        <w:tc>
          <w:tcPr>
            <w:tcW w:w="6804" w:type="dxa"/>
            <w:tcBorders>
              <w:top w:val="single" w:sz="4" w:space="0" w:color="A6A6A6" w:themeColor="accent5"/>
            </w:tcBorders>
          </w:tcPr>
          <w:p w14:paraId="2877F8AC" w14:textId="77777777" w:rsidR="00265792" w:rsidRPr="00B60EE9" w:rsidRDefault="00265792" w:rsidP="00B60EE9">
            <w:pPr>
              <w:pStyle w:val="ARfintablebody"/>
              <w:rPr>
                <w:highlight w:val="green"/>
              </w:rPr>
            </w:pPr>
            <w:r w:rsidRPr="00B60EE9">
              <w:t xml:space="preserve">Payables </w:t>
            </w:r>
            <w:r w:rsidRPr="000D7159">
              <w:rPr>
                <w:vertAlign w:val="superscript"/>
              </w:rPr>
              <w:t>(</w:t>
            </w:r>
            <w:proofErr w:type="spellStart"/>
            <w:r w:rsidRPr="000D7159">
              <w:rPr>
                <w:vertAlign w:val="superscript"/>
              </w:rPr>
              <w:t>i</w:t>
            </w:r>
            <w:proofErr w:type="spellEnd"/>
            <w:r w:rsidRPr="000D7159">
              <w:rPr>
                <w:vertAlign w:val="superscript"/>
              </w:rPr>
              <w:t>)</w:t>
            </w:r>
          </w:p>
        </w:tc>
        <w:tc>
          <w:tcPr>
            <w:tcW w:w="1417" w:type="dxa"/>
            <w:tcBorders>
              <w:top w:val="single" w:sz="4" w:space="0" w:color="A6A6A6" w:themeColor="accent5"/>
            </w:tcBorders>
            <w:shd w:val="clear" w:color="auto" w:fill="EEEEEF" w:themeFill="accent4"/>
            <w:noWrap/>
          </w:tcPr>
          <w:p w14:paraId="1D8B9D47" w14:textId="77777777" w:rsidR="00265792" w:rsidRPr="00B60EE9" w:rsidRDefault="00265792" w:rsidP="00B60EE9">
            <w:pPr>
              <w:pStyle w:val="ARfintablebodyright"/>
              <w:rPr>
                <w:highlight w:val="green"/>
              </w:rPr>
            </w:pPr>
            <w:r>
              <w:t>–</w:t>
            </w:r>
          </w:p>
        </w:tc>
        <w:tc>
          <w:tcPr>
            <w:tcW w:w="1418" w:type="dxa"/>
            <w:tcBorders>
              <w:top w:val="single" w:sz="4" w:space="0" w:color="A6A6A6" w:themeColor="accent5"/>
            </w:tcBorders>
            <w:noWrap/>
          </w:tcPr>
          <w:p w14:paraId="101D6884" w14:textId="77777777" w:rsidR="00265792" w:rsidRPr="00B60EE9" w:rsidRDefault="00265792" w:rsidP="00B60EE9">
            <w:pPr>
              <w:pStyle w:val="ARfintablebodyright"/>
              <w:rPr>
                <w:highlight w:val="green"/>
              </w:rPr>
            </w:pPr>
            <w:r>
              <w:t>–</w:t>
            </w:r>
          </w:p>
        </w:tc>
      </w:tr>
      <w:tr w:rsidR="00265792" w:rsidRPr="00BA7805" w14:paraId="6B178097" w14:textId="77777777" w:rsidTr="00114C18">
        <w:tc>
          <w:tcPr>
            <w:tcW w:w="6804" w:type="dxa"/>
          </w:tcPr>
          <w:p w14:paraId="3BB49406" w14:textId="77777777" w:rsidR="00265792" w:rsidRPr="00B60EE9" w:rsidRDefault="00265792" w:rsidP="00B60EE9">
            <w:pPr>
              <w:pStyle w:val="ARfintablebody"/>
              <w:rPr>
                <w:highlight w:val="green"/>
              </w:rPr>
            </w:pPr>
            <w:r w:rsidRPr="00B60EE9">
              <w:t>Borrowings</w:t>
            </w:r>
          </w:p>
        </w:tc>
        <w:tc>
          <w:tcPr>
            <w:tcW w:w="1417" w:type="dxa"/>
            <w:shd w:val="clear" w:color="auto" w:fill="EEEEEF" w:themeFill="accent4"/>
            <w:noWrap/>
          </w:tcPr>
          <w:p w14:paraId="199F7B41" w14:textId="77777777" w:rsidR="00265792" w:rsidRPr="00B60EE9" w:rsidRDefault="00265792" w:rsidP="00B60EE9">
            <w:pPr>
              <w:pStyle w:val="ARfintablebodyright"/>
              <w:rPr>
                <w:highlight w:val="green"/>
              </w:rPr>
            </w:pPr>
            <w:r w:rsidRPr="00B60EE9">
              <w:t>(21.4)</w:t>
            </w:r>
          </w:p>
        </w:tc>
        <w:tc>
          <w:tcPr>
            <w:tcW w:w="1418" w:type="dxa"/>
            <w:noWrap/>
          </w:tcPr>
          <w:p w14:paraId="1648349F" w14:textId="77777777" w:rsidR="00265792" w:rsidRPr="00B60EE9" w:rsidRDefault="00265792" w:rsidP="00B60EE9">
            <w:pPr>
              <w:pStyle w:val="ARfintablebodyright"/>
              <w:rPr>
                <w:highlight w:val="green"/>
              </w:rPr>
            </w:pPr>
            <w:r w:rsidRPr="00B60EE9">
              <w:t>(21.4)</w:t>
            </w:r>
          </w:p>
        </w:tc>
      </w:tr>
      <w:tr w:rsidR="00265792" w:rsidRPr="00BA7805" w14:paraId="0811746D" w14:textId="77777777" w:rsidTr="00114C18">
        <w:trPr>
          <w:cnfStyle w:val="010000000000" w:firstRow="0" w:lastRow="1" w:firstColumn="0" w:lastColumn="0" w:oddVBand="0" w:evenVBand="0" w:oddHBand="0" w:evenHBand="0" w:firstRowFirstColumn="0" w:firstRowLastColumn="0" w:lastRowFirstColumn="0" w:lastRowLastColumn="0"/>
        </w:trPr>
        <w:tc>
          <w:tcPr>
            <w:tcW w:w="6804" w:type="dxa"/>
          </w:tcPr>
          <w:p w14:paraId="7FAD0FF8" w14:textId="77777777" w:rsidR="00265792" w:rsidRPr="00B60EE9" w:rsidRDefault="00265792" w:rsidP="000D7159">
            <w:pPr>
              <w:pStyle w:val="ARfintablebodybold"/>
              <w:rPr>
                <w:highlight w:val="green"/>
              </w:rPr>
            </w:pPr>
            <w:r w:rsidRPr="00B60EE9">
              <w:t>Total contractual financial liabilities</w:t>
            </w:r>
          </w:p>
        </w:tc>
        <w:tc>
          <w:tcPr>
            <w:tcW w:w="1417" w:type="dxa"/>
            <w:shd w:val="clear" w:color="auto" w:fill="EEEEEF" w:themeFill="accent4"/>
            <w:noWrap/>
          </w:tcPr>
          <w:p w14:paraId="2D4AABAF" w14:textId="77777777" w:rsidR="00265792" w:rsidRPr="00B60EE9" w:rsidRDefault="00265792" w:rsidP="000D7159">
            <w:pPr>
              <w:pStyle w:val="ARfintablebodyrightbold"/>
              <w:rPr>
                <w:highlight w:val="green"/>
              </w:rPr>
            </w:pPr>
            <w:r w:rsidRPr="00B60EE9">
              <w:t>(21.4)</w:t>
            </w:r>
          </w:p>
        </w:tc>
        <w:tc>
          <w:tcPr>
            <w:tcW w:w="1418" w:type="dxa"/>
            <w:noWrap/>
          </w:tcPr>
          <w:p w14:paraId="24A92587" w14:textId="77777777" w:rsidR="00265792" w:rsidRPr="00B60EE9" w:rsidRDefault="00265792" w:rsidP="000D7159">
            <w:pPr>
              <w:pStyle w:val="ARfintablebodyrightbold"/>
              <w:rPr>
                <w:highlight w:val="green"/>
              </w:rPr>
            </w:pPr>
            <w:r w:rsidRPr="00B60EE9">
              <w:t>(21.4)</w:t>
            </w:r>
          </w:p>
        </w:tc>
      </w:tr>
    </w:tbl>
    <w:p w14:paraId="20AC3EE9" w14:textId="77777777" w:rsidR="00265792" w:rsidRPr="00BC498B" w:rsidRDefault="00265792">
      <w:pPr>
        <w:pStyle w:val="ARfintablefootnote"/>
        <w:rPr>
          <w:lang w:eastAsia="en-AU"/>
        </w:rPr>
      </w:pPr>
      <w:r w:rsidRPr="00BC498B">
        <w:rPr>
          <w:lang w:eastAsia="en-AU"/>
        </w:rPr>
        <w:t>Note:</w:t>
      </w:r>
    </w:p>
    <w:p w14:paraId="0AF624CC" w14:textId="77777777" w:rsidR="00265792" w:rsidRDefault="00265792" w:rsidP="00127B0D">
      <w:pPr>
        <w:pStyle w:val="ARfintablefootnotetabindent"/>
      </w:pPr>
      <w:r>
        <w:t>(</w:t>
      </w:r>
      <w:proofErr w:type="spellStart"/>
      <w:r>
        <w:t>i</w:t>
      </w:r>
      <w:proofErr w:type="spellEnd"/>
      <w:r>
        <w:t xml:space="preserve">) </w:t>
      </w:r>
      <w:r>
        <w:tab/>
        <w:t>The total amounts disclosed here exclude statutory amounts, for example, amounts owing to/from Victo</w:t>
      </w:r>
      <w:r w:rsidRPr="00127B0D">
        <w:rPr>
          <w:rStyle w:val="ARfintablefootnotetabindentChar"/>
        </w:rPr>
        <w:t>rian</w:t>
      </w:r>
      <w:r>
        <w:t xml:space="preserve"> Government and GST input tax credit recoverable and taxes payable. </w:t>
      </w:r>
    </w:p>
    <w:p w14:paraId="1FEE69C6" w14:textId="77777777" w:rsidR="00265792" w:rsidRDefault="00265792" w:rsidP="00127B0D">
      <w:pPr>
        <w:pStyle w:val="ARfinbodyaftertable"/>
      </w:pPr>
      <w:r>
        <w:t>The net holding gains or losses disclosed above are determined as follows:</w:t>
      </w:r>
    </w:p>
    <w:p w14:paraId="185C853B" w14:textId="77777777" w:rsidR="00265792" w:rsidRDefault="00265792" w:rsidP="00127B0D">
      <w:pPr>
        <w:pStyle w:val="ARfinbullet1"/>
      </w:pPr>
      <w:r>
        <w:t>for cash and cash equivalents, loans and receivables, the net gain or loss is calculated by taking the movement in the fair value of the asset, the interest income, and minus any impairment recognised in the net result</w:t>
      </w:r>
    </w:p>
    <w:p w14:paraId="306FFA08" w14:textId="77777777" w:rsidR="00265792" w:rsidRPr="00127B0D" w:rsidRDefault="00265792" w:rsidP="002542E1">
      <w:pPr>
        <w:pStyle w:val="ARfinbullet1"/>
      </w:pPr>
      <w:r>
        <w:t xml:space="preserve">for financial liabilities measured at amortised cost, the net gain or loss is the interest expense. </w:t>
      </w:r>
      <w:r>
        <w:br w:type="page"/>
      </w:r>
    </w:p>
    <w:p w14:paraId="52D7D754" w14:textId="77777777" w:rsidR="00265792" w:rsidRPr="00B738E0" w:rsidRDefault="00265792" w:rsidP="002542E1">
      <w:pPr>
        <w:pStyle w:val="Heading5"/>
        <w:spacing w:before="0"/>
        <w:rPr>
          <w:lang w:eastAsia="en-AU"/>
        </w:rPr>
      </w:pPr>
      <w:bookmarkStart w:id="281" w:name="_Ref178665665"/>
      <w:r w:rsidRPr="00B738E0">
        <w:rPr>
          <w:lang w:eastAsia="en-AU"/>
        </w:rPr>
        <w:lastRenderedPageBreak/>
        <w:t>8.1.3 Financial risk management objectives and policies</w:t>
      </w:r>
      <w:bookmarkEnd w:id="281"/>
    </w:p>
    <w:p w14:paraId="3D6C83DD" w14:textId="77777777" w:rsidR="00265792" w:rsidRDefault="00265792" w:rsidP="00EA6912">
      <w:pPr>
        <w:pStyle w:val="ARfinbody"/>
      </w:pPr>
      <w:r>
        <w:t xml:space="preserve">The department does not </w:t>
      </w:r>
      <w:proofErr w:type="gramStart"/>
      <w:r>
        <w:t>enter into</w:t>
      </w:r>
      <w:proofErr w:type="gramEnd"/>
      <w:r>
        <w:t xml:space="preserve"> derivative financial instruments to manage its exposure to interest rates.</w:t>
      </w:r>
    </w:p>
    <w:p w14:paraId="070B80AB" w14:textId="1D08E1B0" w:rsidR="00265792" w:rsidRDefault="00265792" w:rsidP="00EA6912">
      <w:pPr>
        <w:pStyle w:val="ARfinbody"/>
      </w:pPr>
      <w:r>
        <w:t xml:space="preserve">The department does not </w:t>
      </w:r>
      <w:proofErr w:type="gramStart"/>
      <w:r>
        <w:t>enter into</w:t>
      </w:r>
      <w:proofErr w:type="gramEnd"/>
      <w:r>
        <w:t xml:space="preserve"> or trade financial instruments, including derivative financial instruments, for</w:t>
      </w:r>
      <w:r w:rsidR="00C07BFC">
        <w:t> </w:t>
      </w:r>
      <w:r>
        <w:t>speculative purposes.</w:t>
      </w:r>
    </w:p>
    <w:p w14:paraId="5F53C941" w14:textId="77777777" w:rsidR="00265792" w:rsidRDefault="00265792" w:rsidP="00EA6912">
      <w:pPr>
        <w:pStyle w:val="ARfinbody"/>
      </w:pPr>
      <w:r>
        <w:t>The department’s principal financial instruments comprise:</w:t>
      </w:r>
    </w:p>
    <w:p w14:paraId="2C5CB81A" w14:textId="77777777" w:rsidR="00265792" w:rsidRDefault="00265792" w:rsidP="00EA6912">
      <w:pPr>
        <w:pStyle w:val="ARfinbullet1"/>
      </w:pPr>
      <w:r>
        <w:t>cash and cash equivalents</w:t>
      </w:r>
    </w:p>
    <w:p w14:paraId="7C0F9016" w14:textId="77777777" w:rsidR="00265792" w:rsidRDefault="00265792" w:rsidP="00EA6912">
      <w:pPr>
        <w:pStyle w:val="ARfinbullet1"/>
      </w:pPr>
      <w:r>
        <w:t>receivables (excluding statutory receivables)</w:t>
      </w:r>
    </w:p>
    <w:p w14:paraId="7C17A99A" w14:textId="77777777" w:rsidR="00265792" w:rsidRDefault="00265792" w:rsidP="00EA6912">
      <w:pPr>
        <w:pStyle w:val="ARfinbullet1"/>
      </w:pPr>
      <w:r>
        <w:t>payables (excluding statutory payables)</w:t>
      </w:r>
    </w:p>
    <w:p w14:paraId="32D284D6" w14:textId="33478351" w:rsidR="00265792" w:rsidRDefault="00265792" w:rsidP="00EA6912">
      <w:pPr>
        <w:pStyle w:val="ARfinbullet1"/>
      </w:pPr>
      <w:r>
        <w:t>borrowings (including lease liabilities)</w:t>
      </w:r>
      <w:r w:rsidR="00EF76A3">
        <w:t>.</w:t>
      </w:r>
    </w:p>
    <w:p w14:paraId="513EE460" w14:textId="77777777" w:rsidR="00265792" w:rsidRDefault="00265792" w:rsidP="00EA6912">
      <w:pPr>
        <w:pStyle w:val="ARfinbody"/>
      </w:pPr>
      <w:r>
        <w:t>Details of the significant accounting policies and methods adopted, including the criteria for recognition, the basis of measurement, and the basis on which income and expenses are recognised, with respect to each class of financial asset, financial liability and equity instrument above are disclosed in Note 8.3 Fair value determination.</w:t>
      </w:r>
    </w:p>
    <w:p w14:paraId="74CC2085" w14:textId="77777777" w:rsidR="00265792" w:rsidRDefault="00265792" w:rsidP="00EA6912">
      <w:pPr>
        <w:pStyle w:val="ARfinbody"/>
      </w:pPr>
      <w:r>
        <w:t>The main purpose in holding financial instruments is to prudentially manage the department’s financial risks within the government policy parameters. The department uses different methods to measure and manage the different risks to which it is exposed.</w:t>
      </w:r>
    </w:p>
    <w:p w14:paraId="560892DD" w14:textId="77777777" w:rsidR="00265792" w:rsidRDefault="00265792" w:rsidP="00EA6912">
      <w:pPr>
        <w:pStyle w:val="ARfinbody"/>
      </w:pPr>
      <w:r>
        <w:t>The carrying amounts of the department's contractual financial assets and financial liabilities by category are disclosed in Note 8.1.1 Financial instruments: Categorisation.</w:t>
      </w:r>
    </w:p>
    <w:p w14:paraId="21F70E90" w14:textId="77777777" w:rsidR="00265792" w:rsidRDefault="00265792" w:rsidP="00C90C1D">
      <w:pPr>
        <w:pStyle w:val="Heading6"/>
      </w:pPr>
      <w:r>
        <w:t>8.1.3.1 Financial instruments: credit risk</w:t>
      </w:r>
    </w:p>
    <w:p w14:paraId="1DF681D5" w14:textId="5962C06F" w:rsidR="00265792" w:rsidRDefault="00265792" w:rsidP="00C90C1D">
      <w:pPr>
        <w:pStyle w:val="ARfinbody"/>
      </w:pPr>
      <w:r>
        <w:t>Credit risk refers to the possibility that a borrower will default on its financial obligations as and when they fall due. The department</w:t>
      </w:r>
      <w:r w:rsidR="00EF76A3">
        <w:t>’</w:t>
      </w:r>
      <w:r>
        <w:t xml:space="preserve">s exposure to credit risk arises from the potential default of a counter party on their contractual obligations resulting in financial loss to the department. </w:t>
      </w:r>
    </w:p>
    <w:p w14:paraId="14DF81DA" w14:textId="77777777" w:rsidR="00265792" w:rsidRDefault="00265792" w:rsidP="00C90C1D">
      <w:pPr>
        <w:pStyle w:val="ARfinbody"/>
      </w:pPr>
      <w:r>
        <w:t>Credit risk associated with the department's contractual financial assets is minimal because the main debtor is the Victorian Government. For debtors other than the Victorian Government and home loan recipients, it is the department’s policy to only deal with entities with high credit ratings of a minimum triple-B rating and to obtain sufficient collateral or credit enhancements, where appropriate. In addition, the department does not engage in hedging for its contractual financial assets.</w:t>
      </w:r>
    </w:p>
    <w:p w14:paraId="5D8547E2" w14:textId="77777777" w:rsidR="00265792" w:rsidRDefault="00265792" w:rsidP="00C90C1D">
      <w:pPr>
        <w:pStyle w:val="ARfinbody"/>
      </w:pPr>
      <w:r>
        <w:t xml:space="preserve">Provision of impairment for financial assets is calculated based on </w:t>
      </w:r>
      <w:proofErr w:type="gramStart"/>
      <w:r>
        <w:t>past experience</w:t>
      </w:r>
      <w:proofErr w:type="gramEnd"/>
      <w:r>
        <w:t>, and current and expected changes in client credit ratings, or based on the assumptions about risk of default and expected credit loss rates. Tenant loans are made up of small amounts therefore the likelihood of default is considered immaterial.</w:t>
      </w:r>
    </w:p>
    <w:p w14:paraId="5D239213" w14:textId="77777777" w:rsidR="00265792" w:rsidRDefault="00265792" w:rsidP="00C90C1D">
      <w:pPr>
        <w:pStyle w:val="ARfinbody"/>
      </w:pPr>
      <w:r>
        <w:t>Contract financial assets are written off against the carrying amount when there is no reasonable expectation of recovery. Bad debt written off by mutual consent is classified as a transaction expense. Bad debt written off following a unilateral decision is recognised as other economic flows in the net result.</w:t>
      </w:r>
    </w:p>
    <w:p w14:paraId="38A7CF19" w14:textId="77777777" w:rsidR="00265792" w:rsidRDefault="00265792" w:rsidP="00C90C1D">
      <w:pPr>
        <w:pStyle w:val="ARfinbody"/>
      </w:pPr>
      <w:r>
        <w:t>The department does not have material credit risk as the department mainly holds financial assets that are non-interest bearing except for cash and cash equivalents which are mainly cash at bank. As with the policy for debtors, the department's policy is to only deal with domestic banks with high credit ratings.</w:t>
      </w:r>
    </w:p>
    <w:p w14:paraId="18C0D703" w14:textId="77777777" w:rsidR="00265792" w:rsidRDefault="00265792" w:rsidP="00C90C1D">
      <w:pPr>
        <w:pStyle w:val="ARfinbody"/>
      </w:pPr>
      <w:r>
        <w:t>Except as otherwise detailed in the following table, the carrying amount of contractual financial assets recorded in the financial report statements, net of any allowances for losses, represents the department's maximum exposure to credit risk without taking account of the value of any collateral obtained.</w:t>
      </w:r>
    </w:p>
    <w:p w14:paraId="39055B44" w14:textId="77777777" w:rsidR="00265792" w:rsidRDefault="00265792" w:rsidP="00C90C1D">
      <w:pPr>
        <w:pStyle w:val="ARfinbody"/>
      </w:pPr>
      <w:r>
        <w:t>There has been no material change to the department's credit risk profile in 2024–25.</w:t>
      </w:r>
    </w:p>
    <w:p w14:paraId="1D8B1CFE" w14:textId="77777777" w:rsidR="00265792" w:rsidRDefault="00265792" w:rsidP="002542E1">
      <w:pPr>
        <w:pStyle w:val="ARbody"/>
        <w:rPr>
          <w:rFonts w:eastAsiaTheme="minorEastAsia" w:cs="ArialMT"/>
          <w:color w:val="000000"/>
          <w:sz w:val="18"/>
          <w:szCs w:val="16"/>
          <w:lang w:eastAsia="en-AU"/>
        </w:rPr>
      </w:pPr>
      <w:r>
        <w:br w:type="page"/>
      </w:r>
    </w:p>
    <w:p w14:paraId="7CE3F537" w14:textId="77777777" w:rsidR="00265792" w:rsidRPr="0027596F" w:rsidRDefault="00265792">
      <w:pPr>
        <w:pStyle w:val="Heading7"/>
      </w:pPr>
      <w:r w:rsidRPr="0027596F">
        <w:lastRenderedPageBreak/>
        <w:t>Credit quality of contractual financial assets</w:t>
      </w:r>
    </w:p>
    <w:tbl>
      <w:tblPr>
        <w:tblStyle w:val="TableGrid"/>
        <w:tblW w:w="9639" w:type="dxa"/>
        <w:tblLayout w:type="fixed"/>
        <w:tblLook w:val="06E0" w:firstRow="1" w:lastRow="1" w:firstColumn="1" w:lastColumn="0" w:noHBand="1" w:noVBand="1"/>
      </w:tblPr>
      <w:tblGrid>
        <w:gridCol w:w="4106"/>
        <w:gridCol w:w="1630"/>
        <w:gridCol w:w="1630"/>
        <w:gridCol w:w="1136"/>
        <w:gridCol w:w="1137"/>
      </w:tblGrid>
      <w:tr w:rsidR="00265792" w:rsidRPr="00BA7805" w14:paraId="67977AC3" w14:textId="77777777" w:rsidTr="003755B5">
        <w:trPr>
          <w:cnfStyle w:val="100000000000" w:firstRow="1" w:lastRow="0" w:firstColumn="0" w:lastColumn="0" w:oddVBand="0" w:evenVBand="0" w:oddHBand="0" w:evenHBand="0" w:firstRowFirstColumn="0" w:firstRowLastColumn="0" w:lastRowFirstColumn="0" w:lastRowLastColumn="0"/>
          <w:tblHeader/>
        </w:trPr>
        <w:tc>
          <w:tcPr>
            <w:tcW w:w="4106" w:type="dxa"/>
            <w:hideMark/>
          </w:tcPr>
          <w:p w14:paraId="504340FB" w14:textId="77777777" w:rsidR="00265792" w:rsidRPr="00BA7805" w:rsidRDefault="00265792">
            <w:pPr>
              <w:pStyle w:val="ARfintablecolhead"/>
              <w:spacing w:before="30"/>
              <w:rPr>
                <w:highlight w:val="green"/>
              </w:rPr>
            </w:pPr>
          </w:p>
        </w:tc>
        <w:tc>
          <w:tcPr>
            <w:tcW w:w="1630" w:type="dxa"/>
            <w:shd w:val="clear" w:color="auto" w:fill="EEEEEF" w:themeFill="accent4"/>
            <w:hideMark/>
          </w:tcPr>
          <w:p w14:paraId="3F20BCB8" w14:textId="77777777" w:rsidR="00265792" w:rsidRPr="0027596F" w:rsidRDefault="00265792">
            <w:pPr>
              <w:pStyle w:val="ARfintablecolheadright"/>
              <w:spacing w:before="30"/>
            </w:pPr>
            <w:r w:rsidRPr="0027596F">
              <w:t xml:space="preserve">Financial institutions </w:t>
            </w:r>
            <w:r w:rsidRPr="0027596F">
              <w:br/>
              <w:t xml:space="preserve">A plus </w:t>
            </w:r>
            <w:r>
              <w:br/>
            </w:r>
            <w:r w:rsidRPr="0027596F">
              <w:t>credit rating</w:t>
            </w:r>
          </w:p>
          <w:p w14:paraId="65F4A905" w14:textId="77777777" w:rsidR="00265792" w:rsidRPr="0027596F" w:rsidRDefault="00265792">
            <w:pPr>
              <w:pStyle w:val="ARfintablecolheadright"/>
              <w:spacing w:before="30"/>
            </w:pPr>
            <w:r w:rsidRPr="0027596F">
              <w:t>Total</w:t>
            </w:r>
          </w:p>
          <w:p w14:paraId="76051E46" w14:textId="77777777" w:rsidR="00265792" w:rsidRPr="0027596F" w:rsidRDefault="00265792">
            <w:pPr>
              <w:pStyle w:val="ARfintablecolheadright"/>
              <w:spacing w:before="30"/>
            </w:pPr>
            <w:r w:rsidRPr="0027596F">
              <w:t>$M</w:t>
            </w:r>
          </w:p>
        </w:tc>
        <w:tc>
          <w:tcPr>
            <w:tcW w:w="1630" w:type="dxa"/>
          </w:tcPr>
          <w:p w14:paraId="3D674E21" w14:textId="77777777" w:rsidR="00265792" w:rsidRPr="0027596F" w:rsidRDefault="00265792">
            <w:pPr>
              <w:pStyle w:val="ARfintablecolheadright"/>
              <w:spacing w:before="30"/>
            </w:pPr>
            <w:r w:rsidRPr="0027596F">
              <w:t xml:space="preserve">Government agencies </w:t>
            </w:r>
            <w:r w:rsidRPr="0027596F">
              <w:br/>
              <w:t>double-A credit rating</w:t>
            </w:r>
          </w:p>
          <w:p w14:paraId="3F2D14A4" w14:textId="77777777" w:rsidR="00265792" w:rsidRPr="0027596F" w:rsidRDefault="00265792">
            <w:pPr>
              <w:pStyle w:val="ARfintablecolheadright"/>
              <w:spacing w:before="30"/>
            </w:pPr>
            <w:r w:rsidRPr="0027596F">
              <w:t xml:space="preserve">Total </w:t>
            </w:r>
            <w:r w:rsidRPr="0027596F">
              <w:rPr>
                <w:rStyle w:val="Superscript"/>
              </w:rPr>
              <w:t>(</w:t>
            </w:r>
            <w:proofErr w:type="spellStart"/>
            <w:r w:rsidRPr="0027596F">
              <w:rPr>
                <w:rStyle w:val="Superscript"/>
              </w:rPr>
              <w:t>i</w:t>
            </w:r>
            <w:proofErr w:type="spellEnd"/>
            <w:r w:rsidRPr="0027596F">
              <w:rPr>
                <w:rStyle w:val="Superscript"/>
              </w:rPr>
              <w:t>)</w:t>
            </w:r>
          </w:p>
          <w:p w14:paraId="3F7DAA73" w14:textId="77777777" w:rsidR="00265792" w:rsidRPr="0027596F" w:rsidRDefault="00265792">
            <w:pPr>
              <w:pStyle w:val="ARfintablecolheadright"/>
              <w:spacing w:before="30"/>
            </w:pPr>
            <w:r w:rsidRPr="0027596F">
              <w:t>$M</w:t>
            </w:r>
          </w:p>
        </w:tc>
        <w:tc>
          <w:tcPr>
            <w:tcW w:w="1136" w:type="dxa"/>
            <w:shd w:val="clear" w:color="auto" w:fill="EEEEEF" w:themeFill="accent4"/>
            <w:hideMark/>
          </w:tcPr>
          <w:p w14:paraId="5300D392" w14:textId="77777777" w:rsidR="00265792" w:rsidRPr="0027596F" w:rsidRDefault="00265792">
            <w:pPr>
              <w:pStyle w:val="ARfintablecolheadright"/>
              <w:spacing w:before="30"/>
            </w:pPr>
            <w:r w:rsidRPr="0027596F">
              <w:t>Credit ratings not disclosed</w:t>
            </w:r>
          </w:p>
          <w:p w14:paraId="61C1610D" w14:textId="77777777" w:rsidR="00265792" w:rsidRPr="0027596F" w:rsidRDefault="00265792">
            <w:pPr>
              <w:pStyle w:val="ARfintablecolheadright"/>
              <w:spacing w:before="30"/>
            </w:pPr>
            <w:r w:rsidRPr="0027596F">
              <w:t>$M</w:t>
            </w:r>
          </w:p>
        </w:tc>
        <w:tc>
          <w:tcPr>
            <w:tcW w:w="1137" w:type="dxa"/>
            <w:hideMark/>
          </w:tcPr>
          <w:p w14:paraId="52B527D5" w14:textId="77777777" w:rsidR="00265792" w:rsidRPr="0027596F" w:rsidRDefault="00265792">
            <w:pPr>
              <w:pStyle w:val="ARfintablecolheadright"/>
              <w:spacing w:before="30"/>
            </w:pPr>
            <w:r w:rsidRPr="0027596F">
              <w:t>Total</w:t>
            </w:r>
          </w:p>
          <w:p w14:paraId="0AC5F6BE" w14:textId="77777777" w:rsidR="00265792" w:rsidRPr="0027596F" w:rsidRDefault="00265792">
            <w:pPr>
              <w:pStyle w:val="ARfintablecolheadright"/>
              <w:spacing w:before="30"/>
            </w:pPr>
            <w:r w:rsidRPr="0027596F">
              <w:t>$M</w:t>
            </w:r>
          </w:p>
        </w:tc>
      </w:tr>
      <w:tr w:rsidR="00265792" w:rsidRPr="00BA7805" w14:paraId="442EC217" w14:textId="77777777" w:rsidTr="003755B5">
        <w:tc>
          <w:tcPr>
            <w:tcW w:w="4106" w:type="dxa"/>
            <w:tcBorders>
              <w:top w:val="single" w:sz="4" w:space="0" w:color="000000" w:themeColor="text1"/>
              <w:bottom w:val="single" w:sz="4" w:space="0" w:color="000000" w:themeColor="text1"/>
            </w:tcBorders>
          </w:tcPr>
          <w:p w14:paraId="394D7D55" w14:textId="77777777" w:rsidR="00265792" w:rsidRPr="00BA7805" w:rsidRDefault="00265792" w:rsidP="000A3F82">
            <w:pPr>
              <w:pStyle w:val="ARfintablebodyboldcoloured"/>
              <w:rPr>
                <w:highlight w:val="green"/>
              </w:rPr>
            </w:pPr>
            <w:r w:rsidRPr="003D7998">
              <w:t>2025</w:t>
            </w:r>
          </w:p>
        </w:tc>
        <w:tc>
          <w:tcPr>
            <w:tcW w:w="1630" w:type="dxa"/>
            <w:tcBorders>
              <w:top w:val="single" w:sz="4" w:space="0" w:color="000000" w:themeColor="text1"/>
              <w:bottom w:val="single" w:sz="4" w:space="0" w:color="000000" w:themeColor="text1"/>
            </w:tcBorders>
            <w:noWrap/>
          </w:tcPr>
          <w:p w14:paraId="6CCDEE55" w14:textId="77777777" w:rsidR="00265792" w:rsidRPr="00BA7805" w:rsidRDefault="00265792" w:rsidP="003D7998">
            <w:pPr>
              <w:pStyle w:val="ARfintablebodyright"/>
              <w:rPr>
                <w:highlight w:val="green"/>
              </w:rPr>
            </w:pPr>
          </w:p>
        </w:tc>
        <w:tc>
          <w:tcPr>
            <w:tcW w:w="1630" w:type="dxa"/>
            <w:tcBorders>
              <w:top w:val="single" w:sz="4" w:space="0" w:color="000000" w:themeColor="text1"/>
              <w:bottom w:val="single" w:sz="4" w:space="0" w:color="000000" w:themeColor="text1"/>
            </w:tcBorders>
          </w:tcPr>
          <w:p w14:paraId="333D2585" w14:textId="77777777" w:rsidR="00265792" w:rsidRPr="00BA7805" w:rsidRDefault="00265792" w:rsidP="003D7998">
            <w:pPr>
              <w:pStyle w:val="ARfintablebodyright"/>
              <w:rPr>
                <w:highlight w:val="green"/>
              </w:rPr>
            </w:pPr>
          </w:p>
        </w:tc>
        <w:tc>
          <w:tcPr>
            <w:tcW w:w="1136" w:type="dxa"/>
            <w:tcBorders>
              <w:top w:val="single" w:sz="4" w:space="0" w:color="000000" w:themeColor="text1"/>
              <w:bottom w:val="single" w:sz="4" w:space="0" w:color="000000" w:themeColor="text1"/>
            </w:tcBorders>
            <w:noWrap/>
          </w:tcPr>
          <w:p w14:paraId="4BD535DC" w14:textId="77777777" w:rsidR="00265792" w:rsidRPr="00BA7805" w:rsidRDefault="00265792" w:rsidP="003D7998">
            <w:pPr>
              <w:pStyle w:val="ARfintablebodyright"/>
              <w:rPr>
                <w:highlight w:val="green"/>
              </w:rPr>
            </w:pPr>
          </w:p>
        </w:tc>
        <w:tc>
          <w:tcPr>
            <w:tcW w:w="1137" w:type="dxa"/>
            <w:tcBorders>
              <w:top w:val="single" w:sz="4" w:space="0" w:color="000000" w:themeColor="text1"/>
              <w:bottom w:val="single" w:sz="4" w:space="0" w:color="000000" w:themeColor="text1"/>
            </w:tcBorders>
            <w:noWrap/>
          </w:tcPr>
          <w:p w14:paraId="4D800AE5" w14:textId="77777777" w:rsidR="00265792" w:rsidRPr="00BA7805" w:rsidRDefault="00265792" w:rsidP="003D7998">
            <w:pPr>
              <w:pStyle w:val="ARfintablebodyright"/>
              <w:rPr>
                <w:highlight w:val="green"/>
              </w:rPr>
            </w:pPr>
          </w:p>
        </w:tc>
      </w:tr>
      <w:tr w:rsidR="00265792" w:rsidRPr="00BA7805" w14:paraId="0E4DF77B" w14:textId="77777777" w:rsidTr="003755B5">
        <w:tc>
          <w:tcPr>
            <w:tcW w:w="4106" w:type="dxa"/>
            <w:tcBorders>
              <w:top w:val="single" w:sz="4" w:space="0" w:color="000000" w:themeColor="text1"/>
              <w:bottom w:val="single" w:sz="4" w:space="0" w:color="A6A6A6" w:themeColor="accent5"/>
            </w:tcBorders>
          </w:tcPr>
          <w:p w14:paraId="50D8D075" w14:textId="77777777" w:rsidR="00265792" w:rsidRPr="00BA7805" w:rsidRDefault="00265792" w:rsidP="003D7998">
            <w:pPr>
              <w:pStyle w:val="ARfintablebody"/>
              <w:rPr>
                <w:highlight w:val="green"/>
              </w:rPr>
            </w:pPr>
            <w:r w:rsidRPr="00AC34D1">
              <w:t>Cash and deposits (not assessed for impairment due to the nature of cash)</w:t>
            </w:r>
          </w:p>
        </w:tc>
        <w:tc>
          <w:tcPr>
            <w:tcW w:w="1630" w:type="dxa"/>
            <w:tcBorders>
              <w:top w:val="single" w:sz="4" w:space="0" w:color="000000" w:themeColor="text1"/>
              <w:bottom w:val="single" w:sz="4" w:space="0" w:color="A6A6A6" w:themeColor="accent5"/>
            </w:tcBorders>
            <w:shd w:val="clear" w:color="auto" w:fill="EEEEEF" w:themeFill="accent4"/>
            <w:noWrap/>
          </w:tcPr>
          <w:p w14:paraId="28C20C1F" w14:textId="77777777" w:rsidR="00265792" w:rsidRPr="00BA7805" w:rsidRDefault="00265792" w:rsidP="003D7998">
            <w:pPr>
              <w:pStyle w:val="ARfintablebodyright"/>
              <w:rPr>
                <w:highlight w:val="green"/>
              </w:rPr>
            </w:pPr>
            <w:r>
              <w:t>1.262.3</w:t>
            </w:r>
          </w:p>
        </w:tc>
        <w:tc>
          <w:tcPr>
            <w:tcW w:w="1630" w:type="dxa"/>
            <w:tcBorders>
              <w:top w:val="single" w:sz="4" w:space="0" w:color="000000" w:themeColor="text1"/>
              <w:bottom w:val="single" w:sz="4" w:space="0" w:color="A6A6A6" w:themeColor="accent5"/>
            </w:tcBorders>
          </w:tcPr>
          <w:p w14:paraId="3757BF27" w14:textId="77777777" w:rsidR="00265792" w:rsidRPr="00BA7805" w:rsidRDefault="00265792" w:rsidP="003D7998">
            <w:pPr>
              <w:pStyle w:val="ARfintablebodyright"/>
              <w:rPr>
                <w:highlight w:val="green"/>
              </w:rPr>
            </w:pPr>
            <w:r w:rsidRPr="00AC34D1">
              <w:t>49.9</w:t>
            </w:r>
          </w:p>
        </w:tc>
        <w:tc>
          <w:tcPr>
            <w:tcW w:w="1136" w:type="dxa"/>
            <w:tcBorders>
              <w:top w:val="single" w:sz="4" w:space="0" w:color="000000" w:themeColor="text1"/>
              <w:bottom w:val="single" w:sz="4" w:space="0" w:color="A6A6A6" w:themeColor="accent5"/>
            </w:tcBorders>
            <w:shd w:val="clear" w:color="auto" w:fill="EEEEEF" w:themeFill="accent4"/>
            <w:noWrap/>
          </w:tcPr>
          <w:p w14:paraId="3C4D165B" w14:textId="77777777" w:rsidR="00265792" w:rsidRPr="00BA7805" w:rsidRDefault="00265792" w:rsidP="003D7998">
            <w:pPr>
              <w:pStyle w:val="ARfintablebodyright"/>
              <w:rPr>
                <w:highlight w:val="green"/>
              </w:rPr>
            </w:pPr>
            <w:r>
              <w:t>–</w:t>
            </w:r>
          </w:p>
        </w:tc>
        <w:tc>
          <w:tcPr>
            <w:tcW w:w="1137" w:type="dxa"/>
            <w:tcBorders>
              <w:top w:val="single" w:sz="4" w:space="0" w:color="000000" w:themeColor="text1"/>
              <w:bottom w:val="single" w:sz="4" w:space="0" w:color="A6A6A6" w:themeColor="accent5"/>
            </w:tcBorders>
            <w:noWrap/>
          </w:tcPr>
          <w:p w14:paraId="745F7D11" w14:textId="77777777" w:rsidR="00265792" w:rsidRPr="00BA7805" w:rsidRDefault="00265792" w:rsidP="003D7998">
            <w:pPr>
              <w:pStyle w:val="ARfintablebodyright"/>
              <w:rPr>
                <w:highlight w:val="green"/>
              </w:rPr>
            </w:pPr>
            <w:r w:rsidRPr="00AC34D1">
              <w:t>1,</w:t>
            </w:r>
            <w:r>
              <w:t>312</w:t>
            </w:r>
            <w:r w:rsidRPr="00AC34D1">
              <w:t>.</w:t>
            </w:r>
            <w:r>
              <w:t>2</w:t>
            </w:r>
          </w:p>
        </w:tc>
      </w:tr>
      <w:tr w:rsidR="00265792" w:rsidRPr="00BA7805" w14:paraId="6EDF15F2" w14:textId="77777777" w:rsidTr="003755B5">
        <w:tc>
          <w:tcPr>
            <w:tcW w:w="4106" w:type="dxa"/>
            <w:tcBorders>
              <w:top w:val="single" w:sz="4" w:space="0" w:color="A6A6A6" w:themeColor="accent5"/>
            </w:tcBorders>
          </w:tcPr>
          <w:p w14:paraId="601BD85D" w14:textId="77777777" w:rsidR="00265792" w:rsidRPr="00BA7805" w:rsidRDefault="00265792" w:rsidP="003D7998">
            <w:pPr>
              <w:pStyle w:val="ARfintablebody"/>
              <w:rPr>
                <w:highlight w:val="green"/>
              </w:rPr>
            </w:pPr>
            <w:r w:rsidRPr="00AC34D1">
              <w:t xml:space="preserve">Contractual receivables applying the simplified approach for impairment </w:t>
            </w:r>
            <w:r w:rsidRPr="003755B5">
              <w:rPr>
                <w:vertAlign w:val="superscript"/>
              </w:rPr>
              <w:t>(ii)(iii)</w:t>
            </w:r>
          </w:p>
        </w:tc>
        <w:tc>
          <w:tcPr>
            <w:tcW w:w="1630" w:type="dxa"/>
            <w:tcBorders>
              <w:top w:val="single" w:sz="4" w:space="0" w:color="A6A6A6" w:themeColor="accent5"/>
            </w:tcBorders>
            <w:shd w:val="clear" w:color="auto" w:fill="EEEEEF" w:themeFill="accent4"/>
            <w:noWrap/>
          </w:tcPr>
          <w:p w14:paraId="274847D8" w14:textId="77777777" w:rsidR="00265792" w:rsidRPr="00BA7805" w:rsidRDefault="00265792" w:rsidP="003D7998">
            <w:pPr>
              <w:pStyle w:val="ARfintablebodyright"/>
              <w:rPr>
                <w:highlight w:val="green"/>
              </w:rPr>
            </w:pPr>
            <w:r>
              <w:t>–</w:t>
            </w:r>
          </w:p>
        </w:tc>
        <w:tc>
          <w:tcPr>
            <w:tcW w:w="1630" w:type="dxa"/>
            <w:tcBorders>
              <w:top w:val="single" w:sz="4" w:space="0" w:color="A6A6A6" w:themeColor="accent5"/>
            </w:tcBorders>
          </w:tcPr>
          <w:p w14:paraId="1AF8FE11" w14:textId="77777777" w:rsidR="00265792" w:rsidRPr="00BA7805" w:rsidRDefault="00265792" w:rsidP="003D7998">
            <w:pPr>
              <w:pStyle w:val="ARfintablebodyright"/>
              <w:rPr>
                <w:highlight w:val="green"/>
              </w:rPr>
            </w:pPr>
            <w:r w:rsidRPr="00AC34D1">
              <w:t>50.7</w:t>
            </w:r>
          </w:p>
        </w:tc>
        <w:tc>
          <w:tcPr>
            <w:tcW w:w="1136" w:type="dxa"/>
            <w:tcBorders>
              <w:top w:val="single" w:sz="4" w:space="0" w:color="A6A6A6" w:themeColor="accent5"/>
            </w:tcBorders>
            <w:shd w:val="clear" w:color="auto" w:fill="EEEEEF" w:themeFill="accent4"/>
            <w:noWrap/>
          </w:tcPr>
          <w:p w14:paraId="5D37886C" w14:textId="77777777" w:rsidR="00265792" w:rsidRPr="00BA7805" w:rsidRDefault="00265792" w:rsidP="003D7998">
            <w:pPr>
              <w:pStyle w:val="ARfintablebodyright"/>
              <w:rPr>
                <w:highlight w:val="green"/>
              </w:rPr>
            </w:pPr>
            <w:r w:rsidRPr="00AC34D1">
              <w:t>17</w:t>
            </w:r>
            <w:r>
              <w:t>4</w:t>
            </w:r>
            <w:r w:rsidRPr="00AC34D1">
              <w:t>.7</w:t>
            </w:r>
          </w:p>
        </w:tc>
        <w:tc>
          <w:tcPr>
            <w:tcW w:w="1137" w:type="dxa"/>
            <w:tcBorders>
              <w:top w:val="single" w:sz="4" w:space="0" w:color="A6A6A6" w:themeColor="accent5"/>
            </w:tcBorders>
            <w:noWrap/>
          </w:tcPr>
          <w:p w14:paraId="3679848E" w14:textId="77777777" w:rsidR="00265792" w:rsidRPr="00BA7805" w:rsidRDefault="00265792" w:rsidP="003D7998">
            <w:pPr>
              <w:pStyle w:val="ARfintablebodyright"/>
              <w:rPr>
                <w:highlight w:val="green"/>
              </w:rPr>
            </w:pPr>
            <w:r w:rsidRPr="00AC34D1">
              <w:t>22</w:t>
            </w:r>
            <w:r>
              <w:t>5</w:t>
            </w:r>
            <w:r w:rsidRPr="00AC34D1">
              <w:t>.4</w:t>
            </w:r>
          </w:p>
        </w:tc>
      </w:tr>
      <w:tr w:rsidR="00265792" w:rsidRPr="00BA7805" w14:paraId="2624188C" w14:textId="77777777" w:rsidTr="003755B5">
        <w:tc>
          <w:tcPr>
            <w:tcW w:w="4106" w:type="dxa"/>
            <w:tcBorders>
              <w:bottom w:val="single" w:sz="4" w:space="0" w:color="A6A6A6" w:themeColor="accent5"/>
            </w:tcBorders>
          </w:tcPr>
          <w:p w14:paraId="7F59E75C" w14:textId="77777777" w:rsidR="00265792" w:rsidRPr="00BA7805" w:rsidRDefault="00265792" w:rsidP="003D7998">
            <w:pPr>
              <w:pStyle w:val="ARfintablebody"/>
              <w:rPr>
                <w:highlight w:val="green"/>
              </w:rPr>
            </w:pPr>
            <w:r w:rsidRPr="00AC34D1">
              <w:t xml:space="preserve">Loans </w:t>
            </w:r>
            <w:r w:rsidRPr="003755B5">
              <w:rPr>
                <w:vertAlign w:val="superscript"/>
              </w:rPr>
              <w:t>(iii)</w:t>
            </w:r>
          </w:p>
        </w:tc>
        <w:tc>
          <w:tcPr>
            <w:tcW w:w="1630" w:type="dxa"/>
            <w:tcBorders>
              <w:bottom w:val="single" w:sz="4" w:space="0" w:color="A6A6A6" w:themeColor="accent5"/>
            </w:tcBorders>
            <w:shd w:val="clear" w:color="auto" w:fill="EEEEEF" w:themeFill="accent4"/>
            <w:noWrap/>
          </w:tcPr>
          <w:p w14:paraId="370DBDC4" w14:textId="77777777" w:rsidR="00265792" w:rsidRPr="00BA7805" w:rsidRDefault="00265792" w:rsidP="003D7998">
            <w:pPr>
              <w:pStyle w:val="ARfintablebodyright"/>
              <w:rPr>
                <w:highlight w:val="green"/>
              </w:rPr>
            </w:pPr>
            <w:r>
              <w:t>–</w:t>
            </w:r>
          </w:p>
        </w:tc>
        <w:tc>
          <w:tcPr>
            <w:tcW w:w="1630" w:type="dxa"/>
            <w:tcBorders>
              <w:bottom w:val="single" w:sz="4" w:space="0" w:color="A6A6A6" w:themeColor="accent5"/>
            </w:tcBorders>
          </w:tcPr>
          <w:p w14:paraId="2535E019" w14:textId="77777777" w:rsidR="00265792" w:rsidRPr="00BA7805" w:rsidRDefault="00265792" w:rsidP="003D7998">
            <w:pPr>
              <w:pStyle w:val="ARfintablebodyright"/>
              <w:rPr>
                <w:highlight w:val="green"/>
              </w:rPr>
            </w:pPr>
            <w:r>
              <w:t>–</w:t>
            </w:r>
          </w:p>
        </w:tc>
        <w:tc>
          <w:tcPr>
            <w:tcW w:w="1136" w:type="dxa"/>
            <w:tcBorders>
              <w:bottom w:val="single" w:sz="4" w:space="0" w:color="A6A6A6" w:themeColor="accent5"/>
            </w:tcBorders>
            <w:shd w:val="clear" w:color="auto" w:fill="EEEEEF" w:themeFill="accent4"/>
            <w:noWrap/>
          </w:tcPr>
          <w:p w14:paraId="1EE2D508" w14:textId="77777777" w:rsidR="00265792" w:rsidRPr="00BA7805" w:rsidRDefault="00265792" w:rsidP="003D7998">
            <w:pPr>
              <w:pStyle w:val="ARfintablebodyright"/>
              <w:rPr>
                <w:highlight w:val="green"/>
              </w:rPr>
            </w:pPr>
            <w:r w:rsidRPr="00AC34D1">
              <w:t>66.7</w:t>
            </w:r>
          </w:p>
        </w:tc>
        <w:tc>
          <w:tcPr>
            <w:tcW w:w="1137" w:type="dxa"/>
            <w:tcBorders>
              <w:bottom w:val="single" w:sz="4" w:space="0" w:color="A6A6A6" w:themeColor="accent5"/>
            </w:tcBorders>
            <w:noWrap/>
          </w:tcPr>
          <w:p w14:paraId="7F13655A" w14:textId="77777777" w:rsidR="00265792" w:rsidRPr="00BA7805" w:rsidRDefault="00265792" w:rsidP="003D7998">
            <w:pPr>
              <w:pStyle w:val="ARfintablebodyright"/>
              <w:rPr>
                <w:highlight w:val="green"/>
              </w:rPr>
            </w:pPr>
            <w:r w:rsidRPr="00AC34D1">
              <w:t>66.7</w:t>
            </w:r>
          </w:p>
        </w:tc>
      </w:tr>
      <w:tr w:rsidR="00265792" w:rsidRPr="00BA7805" w14:paraId="641D6763" w14:textId="77777777" w:rsidTr="003755B5">
        <w:tc>
          <w:tcPr>
            <w:tcW w:w="4106" w:type="dxa"/>
            <w:tcBorders>
              <w:top w:val="single" w:sz="4" w:space="0" w:color="A6A6A6" w:themeColor="accent5"/>
              <w:bottom w:val="single" w:sz="4" w:space="0" w:color="000000" w:themeColor="text1"/>
            </w:tcBorders>
          </w:tcPr>
          <w:p w14:paraId="51CE673C" w14:textId="77777777" w:rsidR="00265792" w:rsidRPr="00BA7805" w:rsidRDefault="00265792" w:rsidP="003D7998">
            <w:pPr>
              <w:pStyle w:val="ARfintablebody"/>
              <w:rPr>
                <w:highlight w:val="green"/>
              </w:rPr>
            </w:pPr>
            <w:r w:rsidRPr="00AC34D1">
              <w:t>Statutory receivables (with no impairment loss</w:t>
            </w:r>
            <w:r>
              <w:t> </w:t>
            </w:r>
            <w:r w:rsidRPr="00AC34D1">
              <w:t>recognised)</w:t>
            </w:r>
          </w:p>
        </w:tc>
        <w:tc>
          <w:tcPr>
            <w:tcW w:w="1630" w:type="dxa"/>
            <w:tcBorders>
              <w:top w:val="single" w:sz="4" w:space="0" w:color="A6A6A6" w:themeColor="accent5"/>
              <w:bottom w:val="single" w:sz="4" w:space="0" w:color="000000" w:themeColor="text1"/>
            </w:tcBorders>
            <w:shd w:val="clear" w:color="auto" w:fill="EEEEEF" w:themeFill="accent4"/>
            <w:noWrap/>
          </w:tcPr>
          <w:p w14:paraId="765B415C" w14:textId="77777777" w:rsidR="00265792" w:rsidRPr="00BA7805" w:rsidRDefault="00265792" w:rsidP="003D7998">
            <w:pPr>
              <w:pStyle w:val="ARfintablebodyright"/>
              <w:rPr>
                <w:highlight w:val="green"/>
              </w:rPr>
            </w:pPr>
            <w:r w:rsidRPr="00AC34D1">
              <w:t>849.2</w:t>
            </w:r>
          </w:p>
        </w:tc>
        <w:tc>
          <w:tcPr>
            <w:tcW w:w="1630" w:type="dxa"/>
            <w:tcBorders>
              <w:top w:val="single" w:sz="4" w:space="0" w:color="A6A6A6" w:themeColor="accent5"/>
              <w:bottom w:val="single" w:sz="4" w:space="0" w:color="000000" w:themeColor="text1"/>
            </w:tcBorders>
          </w:tcPr>
          <w:p w14:paraId="25E75B16" w14:textId="77777777" w:rsidR="00265792" w:rsidRPr="00BA7805" w:rsidRDefault="00265792" w:rsidP="003D7998">
            <w:pPr>
              <w:pStyle w:val="ARfintablebodyright"/>
              <w:rPr>
                <w:highlight w:val="green"/>
              </w:rPr>
            </w:pPr>
            <w:r>
              <w:t>–</w:t>
            </w:r>
          </w:p>
        </w:tc>
        <w:tc>
          <w:tcPr>
            <w:tcW w:w="1136" w:type="dxa"/>
            <w:tcBorders>
              <w:top w:val="single" w:sz="4" w:space="0" w:color="A6A6A6" w:themeColor="accent5"/>
              <w:bottom w:val="single" w:sz="4" w:space="0" w:color="000000" w:themeColor="text1"/>
            </w:tcBorders>
            <w:shd w:val="clear" w:color="auto" w:fill="EEEEEF" w:themeFill="accent4"/>
            <w:noWrap/>
          </w:tcPr>
          <w:p w14:paraId="379E2DCA" w14:textId="77777777" w:rsidR="00265792" w:rsidRPr="00BA7805" w:rsidRDefault="00265792" w:rsidP="003D7998">
            <w:pPr>
              <w:pStyle w:val="ARfintablebodyright"/>
              <w:rPr>
                <w:highlight w:val="green"/>
              </w:rPr>
            </w:pPr>
            <w:r>
              <w:t>–</w:t>
            </w:r>
          </w:p>
        </w:tc>
        <w:tc>
          <w:tcPr>
            <w:tcW w:w="1137" w:type="dxa"/>
            <w:tcBorders>
              <w:top w:val="single" w:sz="4" w:space="0" w:color="A6A6A6" w:themeColor="accent5"/>
              <w:bottom w:val="single" w:sz="4" w:space="0" w:color="000000" w:themeColor="text1"/>
            </w:tcBorders>
            <w:noWrap/>
          </w:tcPr>
          <w:p w14:paraId="4A4F6D35" w14:textId="77777777" w:rsidR="00265792" w:rsidRPr="00BA7805" w:rsidRDefault="00265792" w:rsidP="003D7998">
            <w:pPr>
              <w:pStyle w:val="ARfintablebodyright"/>
              <w:rPr>
                <w:highlight w:val="green"/>
              </w:rPr>
            </w:pPr>
            <w:r w:rsidRPr="00AC34D1">
              <w:t>849.2</w:t>
            </w:r>
          </w:p>
        </w:tc>
      </w:tr>
      <w:tr w:rsidR="00265792" w:rsidRPr="00BA7805" w14:paraId="1C113542" w14:textId="77777777" w:rsidTr="003755B5">
        <w:tc>
          <w:tcPr>
            <w:tcW w:w="4106" w:type="dxa"/>
            <w:tcBorders>
              <w:top w:val="single" w:sz="4" w:space="0" w:color="000000" w:themeColor="text1"/>
              <w:bottom w:val="single" w:sz="4" w:space="0" w:color="000000" w:themeColor="text1"/>
            </w:tcBorders>
          </w:tcPr>
          <w:p w14:paraId="571438B3" w14:textId="77777777" w:rsidR="00265792" w:rsidRPr="00BA7805" w:rsidRDefault="00265792" w:rsidP="003755B5">
            <w:pPr>
              <w:pStyle w:val="ARfintablebodybold"/>
              <w:rPr>
                <w:highlight w:val="green"/>
              </w:rPr>
            </w:pPr>
            <w:r w:rsidRPr="00AC34D1">
              <w:t>Total financial assets</w:t>
            </w:r>
          </w:p>
        </w:tc>
        <w:tc>
          <w:tcPr>
            <w:tcW w:w="1630" w:type="dxa"/>
            <w:tcBorders>
              <w:top w:val="single" w:sz="4" w:space="0" w:color="000000" w:themeColor="text1"/>
              <w:bottom w:val="single" w:sz="4" w:space="0" w:color="000000" w:themeColor="text1"/>
            </w:tcBorders>
            <w:shd w:val="clear" w:color="auto" w:fill="EEEEEF" w:themeFill="accent4"/>
            <w:noWrap/>
          </w:tcPr>
          <w:p w14:paraId="3DD00EE8" w14:textId="77777777" w:rsidR="00265792" w:rsidRPr="00BA7805" w:rsidRDefault="00265792" w:rsidP="003755B5">
            <w:pPr>
              <w:pStyle w:val="ARfintablebodyrightbold"/>
              <w:rPr>
                <w:highlight w:val="green"/>
              </w:rPr>
            </w:pPr>
            <w:r>
              <w:t>2,111.5</w:t>
            </w:r>
          </w:p>
        </w:tc>
        <w:tc>
          <w:tcPr>
            <w:tcW w:w="1630" w:type="dxa"/>
            <w:tcBorders>
              <w:top w:val="single" w:sz="4" w:space="0" w:color="000000" w:themeColor="text1"/>
              <w:bottom w:val="single" w:sz="4" w:space="0" w:color="000000" w:themeColor="text1"/>
            </w:tcBorders>
          </w:tcPr>
          <w:p w14:paraId="71D8B8FD" w14:textId="77777777" w:rsidR="00265792" w:rsidRPr="00BA7805" w:rsidRDefault="00265792" w:rsidP="003755B5">
            <w:pPr>
              <w:pStyle w:val="ARfintablebodyrightbold"/>
              <w:rPr>
                <w:highlight w:val="green"/>
              </w:rPr>
            </w:pPr>
            <w:r w:rsidRPr="00AC34D1">
              <w:t>100.6</w:t>
            </w:r>
          </w:p>
        </w:tc>
        <w:tc>
          <w:tcPr>
            <w:tcW w:w="1136" w:type="dxa"/>
            <w:tcBorders>
              <w:top w:val="single" w:sz="4" w:space="0" w:color="000000" w:themeColor="text1"/>
              <w:bottom w:val="single" w:sz="4" w:space="0" w:color="000000" w:themeColor="text1"/>
            </w:tcBorders>
            <w:shd w:val="clear" w:color="auto" w:fill="EEEEEF" w:themeFill="accent4"/>
            <w:noWrap/>
          </w:tcPr>
          <w:p w14:paraId="223DB288" w14:textId="77777777" w:rsidR="00265792" w:rsidRPr="00BA7805" w:rsidRDefault="00265792" w:rsidP="003755B5">
            <w:pPr>
              <w:pStyle w:val="ARfintablebodyrightbold"/>
              <w:rPr>
                <w:highlight w:val="green"/>
              </w:rPr>
            </w:pPr>
            <w:r w:rsidRPr="00AC34D1">
              <w:t>24</w:t>
            </w:r>
            <w:r>
              <w:t>1</w:t>
            </w:r>
            <w:r w:rsidRPr="00AC34D1">
              <w:t>.4</w:t>
            </w:r>
          </w:p>
        </w:tc>
        <w:tc>
          <w:tcPr>
            <w:tcW w:w="1137" w:type="dxa"/>
            <w:tcBorders>
              <w:top w:val="single" w:sz="4" w:space="0" w:color="000000" w:themeColor="text1"/>
              <w:bottom w:val="single" w:sz="4" w:space="0" w:color="000000" w:themeColor="text1"/>
            </w:tcBorders>
            <w:noWrap/>
          </w:tcPr>
          <w:p w14:paraId="33F6BF2F" w14:textId="77777777" w:rsidR="00265792" w:rsidRPr="00BA7805" w:rsidRDefault="00265792" w:rsidP="003755B5">
            <w:pPr>
              <w:pStyle w:val="ARfintablebodyrightbold"/>
              <w:rPr>
                <w:highlight w:val="green"/>
              </w:rPr>
            </w:pPr>
            <w:r w:rsidRPr="00AC34D1">
              <w:t>2,</w:t>
            </w:r>
            <w:r>
              <w:t>453.5</w:t>
            </w:r>
          </w:p>
        </w:tc>
      </w:tr>
      <w:tr w:rsidR="00265792" w:rsidRPr="00BA7805" w14:paraId="115A0775" w14:textId="77777777" w:rsidTr="003755B5">
        <w:tc>
          <w:tcPr>
            <w:tcW w:w="4106" w:type="dxa"/>
            <w:tcBorders>
              <w:top w:val="single" w:sz="4" w:space="0" w:color="000000" w:themeColor="text1"/>
              <w:bottom w:val="single" w:sz="4" w:space="0" w:color="A6A6A6" w:themeColor="accent5"/>
            </w:tcBorders>
          </w:tcPr>
          <w:p w14:paraId="5B34EDE1" w14:textId="77777777" w:rsidR="00265792" w:rsidRPr="00BA7805" w:rsidRDefault="00265792" w:rsidP="000A3F82">
            <w:pPr>
              <w:pStyle w:val="ARfintablebodyboldcoloured"/>
              <w:rPr>
                <w:highlight w:val="green"/>
              </w:rPr>
            </w:pPr>
            <w:r w:rsidRPr="00AC34D1">
              <w:t>2024</w:t>
            </w:r>
          </w:p>
        </w:tc>
        <w:tc>
          <w:tcPr>
            <w:tcW w:w="1630" w:type="dxa"/>
            <w:tcBorders>
              <w:top w:val="single" w:sz="4" w:space="0" w:color="000000" w:themeColor="text1"/>
              <w:bottom w:val="single" w:sz="4" w:space="0" w:color="A6A6A6" w:themeColor="accent5"/>
            </w:tcBorders>
            <w:noWrap/>
          </w:tcPr>
          <w:p w14:paraId="1896C6D4" w14:textId="77777777" w:rsidR="00265792" w:rsidRPr="00BA7805" w:rsidRDefault="00265792" w:rsidP="003D7998">
            <w:pPr>
              <w:pStyle w:val="ARfintablebodyright"/>
              <w:rPr>
                <w:highlight w:val="green"/>
              </w:rPr>
            </w:pPr>
          </w:p>
        </w:tc>
        <w:tc>
          <w:tcPr>
            <w:tcW w:w="1630" w:type="dxa"/>
            <w:tcBorders>
              <w:top w:val="single" w:sz="4" w:space="0" w:color="000000" w:themeColor="text1"/>
              <w:bottom w:val="single" w:sz="4" w:space="0" w:color="A6A6A6" w:themeColor="accent5"/>
            </w:tcBorders>
          </w:tcPr>
          <w:p w14:paraId="6B5670AE" w14:textId="77777777" w:rsidR="00265792" w:rsidRPr="00BA7805" w:rsidRDefault="00265792" w:rsidP="003D7998">
            <w:pPr>
              <w:pStyle w:val="ARfintablebodyright"/>
              <w:rPr>
                <w:highlight w:val="green"/>
              </w:rPr>
            </w:pPr>
          </w:p>
        </w:tc>
        <w:tc>
          <w:tcPr>
            <w:tcW w:w="1136" w:type="dxa"/>
            <w:tcBorders>
              <w:top w:val="single" w:sz="4" w:space="0" w:color="000000" w:themeColor="text1"/>
              <w:bottom w:val="single" w:sz="4" w:space="0" w:color="A6A6A6" w:themeColor="accent5"/>
            </w:tcBorders>
            <w:noWrap/>
          </w:tcPr>
          <w:p w14:paraId="6E2DAFDB" w14:textId="77777777" w:rsidR="00265792" w:rsidRPr="00BA7805" w:rsidRDefault="00265792" w:rsidP="003D7998">
            <w:pPr>
              <w:pStyle w:val="ARfintablebodyright"/>
              <w:rPr>
                <w:highlight w:val="green"/>
              </w:rPr>
            </w:pPr>
          </w:p>
        </w:tc>
        <w:tc>
          <w:tcPr>
            <w:tcW w:w="1137" w:type="dxa"/>
            <w:tcBorders>
              <w:top w:val="single" w:sz="4" w:space="0" w:color="000000" w:themeColor="text1"/>
              <w:bottom w:val="single" w:sz="4" w:space="0" w:color="A6A6A6" w:themeColor="accent5"/>
            </w:tcBorders>
            <w:noWrap/>
          </w:tcPr>
          <w:p w14:paraId="69C04D15" w14:textId="77777777" w:rsidR="00265792" w:rsidRPr="00BA7805" w:rsidRDefault="00265792" w:rsidP="003D7998">
            <w:pPr>
              <w:pStyle w:val="ARfintablebodyright"/>
              <w:rPr>
                <w:highlight w:val="green"/>
              </w:rPr>
            </w:pPr>
          </w:p>
        </w:tc>
      </w:tr>
      <w:tr w:rsidR="00265792" w:rsidRPr="00BA7805" w14:paraId="560ECABA" w14:textId="77777777" w:rsidTr="003755B5">
        <w:tc>
          <w:tcPr>
            <w:tcW w:w="4106" w:type="dxa"/>
            <w:tcBorders>
              <w:top w:val="single" w:sz="4" w:space="0" w:color="A6A6A6" w:themeColor="accent5"/>
            </w:tcBorders>
          </w:tcPr>
          <w:p w14:paraId="45DCCB66" w14:textId="77777777" w:rsidR="00265792" w:rsidRPr="00BA7805" w:rsidRDefault="00265792" w:rsidP="003D7998">
            <w:pPr>
              <w:pStyle w:val="ARfintablebody"/>
              <w:rPr>
                <w:highlight w:val="green"/>
              </w:rPr>
            </w:pPr>
            <w:r w:rsidRPr="00AC34D1">
              <w:t>Cash and deposits (not assessed for impairment due to the nature of cash)</w:t>
            </w:r>
          </w:p>
        </w:tc>
        <w:tc>
          <w:tcPr>
            <w:tcW w:w="1630" w:type="dxa"/>
            <w:tcBorders>
              <w:top w:val="single" w:sz="4" w:space="0" w:color="A6A6A6" w:themeColor="accent5"/>
            </w:tcBorders>
            <w:shd w:val="clear" w:color="auto" w:fill="EEEEEF" w:themeFill="accent4"/>
            <w:noWrap/>
          </w:tcPr>
          <w:p w14:paraId="4273F53A" w14:textId="77777777" w:rsidR="00265792" w:rsidRPr="00BA7805" w:rsidRDefault="00265792" w:rsidP="003D7998">
            <w:pPr>
              <w:pStyle w:val="ARfintablebodyright"/>
              <w:rPr>
                <w:highlight w:val="green"/>
              </w:rPr>
            </w:pPr>
            <w:r>
              <w:t>674.5</w:t>
            </w:r>
          </w:p>
        </w:tc>
        <w:tc>
          <w:tcPr>
            <w:tcW w:w="1630" w:type="dxa"/>
            <w:tcBorders>
              <w:top w:val="single" w:sz="4" w:space="0" w:color="A6A6A6" w:themeColor="accent5"/>
            </w:tcBorders>
          </w:tcPr>
          <w:p w14:paraId="75937E7F" w14:textId="77777777" w:rsidR="00265792" w:rsidRPr="00BA7805" w:rsidRDefault="00265792" w:rsidP="003D7998">
            <w:pPr>
              <w:pStyle w:val="ARfintablebodyright"/>
              <w:rPr>
                <w:highlight w:val="green"/>
              </w:rPr>
            </w:pPr>
            <w:r w:rsidRPr="00AC34D1">
              <w:t>47.2</w:t>
            </w:r>
          </w:p>
        </w:tc>
        <w:tc>
          <w:tcPr>
            <w:tcW w:w="1136" w:type="dxa"/>
            <w:tcBorders>
              <w:top w:val="single" w:sz="4" w:space="0" w:color="A6A6A6" w:themeColor="accent5"/>
            </w:tcBorders>
            <w:shd w:val="clear" w:color="auto" w:fill="EEEEEF" w:themeFill="accent4"/>
            <w:noWrap/>
          </w:tcPr>
          <w:p w14:paraId="3668B277" w14:textId="77777777" w:rsidR="00265792" w:rsidRPr="00BA7805" w:rsidRDefault="00265792" w:rsidP="003D7998">
            <w:pPr>
              <w:pStyle w:val="ARfintablebodyright"/>
              <w:rPr>
                <w:highlight w:val="green"/>
              </w:rPr>
            </w:pPr>
            <w:r>
              <w:t>–</w:t>
            </w:r>
          </w:p>
        </w:tc>
        <w:tc>
          <w:tcPr>
            <w:tcW w:w="1137" w:type="dxa"/>
            <w:tcBorders>
              <w:top w:val="single" w:sz="4" w:space="0" w:color="A6A6A6" w:themeColor="accent5"/>
            </w:tcBorders>
            <w:noWrap/>
          </w:tcPr>
          <w:p w14:paraId="69936176" w14:textId="77777777" w:rsidR="00265792" w:rsidRPr="00BA7805" w:rsidRDefault="00265792" w:rsidP="003D7998">
            <w:pPr>
              <w:pStyle w:val="ARfintablebodyright"/>
              <w:rPr>
                <w:highlight w:val="green"/>
              </w:rPr>
            </w:pPr>
            <w:r>
              <w:t>721.7</w:t>
            </w:r>
          </w:p>
        </w:tc>
      </w:tr>
      <w:tr w:rsidR="00265792" w:rsidRPr="00BA7805" w14:paraId="3D5EB145" w14:textId="77777777" w:rsidTr="003755B5">
        <w:tc>
          <w:tcPr>
            <w:tcW w:w="4106" w:type="dxa"/>
          </w:tcPr>
          <w:p w14:paraId="108419C4" w14:textId="77777777" w:rsidR="00265792" w:rsidRPr="00BA7805" w:rsidRDefault="00265792" w:rsidP="003D7998">
            <w:pPr>
              <w:pStyle w:val="ARfintablebody"/>
              <w:rPr>
                <w:highlight w:val="green"/>
              </w:rPr>
            </w:pPr>
            <w:r w:rsidRPr="00AC34D1">
              <w:t xml:space="preserve">Contractual receivables applying the simplified approach for impairment </w:t>
            </w:r>
            <w:r w:rsidRPr="003755B5">
              <w:rPr>
                <w:vertAlign w:val="superscript"/>
              </w:rPr>
              <w:t>(ii)(iii</w:t>
            </w:r>
            <w:r w:rsidRPr="003755B5" w:rsidDel="00426368">
              <w:rPr>
                <w:vertAlign w:val="superscript"/>
              </w:rPr>
              <w:t>)</w:t>
            </w:r>
          </w:p>
        </w:tc>
        <w:tc>
          <w:tcPr>
            <w:tcW w:w="1630" w:type="dxa"/>
            <w:shd w:val="clear" w:color="auto" w:fill="EEEEEF" w:themeFill="accent4"/>
            <w:noWrap/>
          </w:tcPr>
          <w:p w14:paraId="36DD1FAA" w14:textId="77777777" w:rsidR="00265792" w:rsidRPr="00BA7805" w:rsidRDefault="00265792" w:rsidP="003D7998">
            <w:pPr>
              <w:pStyle w:val="ARfintablebodyright"/>
              <w:rPr>
                <w:highlight w:val="green"/>
              </w:rPr>
            </w:pPr>
            <w:r>
              <w:t>–</w:t>
            </w:r>
          </w:p>
        </w:tc>
        <w:tc>
          <w:tcPr>
            <w:tcW w:w="1630" w:type="dxa"/>
          </w:tcPr>
          <w:p w14:paraId="5C147DB8" w14:textId="77777777" w:rsidR="00265792" w:rsidRPr="00BA7805" w:rsidRDefault="00265792" w:rsidP="003D7998">
            <w:pPr>
              <w:pStyle w:val="ARfintablebodyright"/>
              <w:rPr>
                <w:highlight w:val="green"/>
              </w:rPr>
            </w:pPr>
            <w:r w:rsidRPr="00AC34D1">
              <w:t>49.3</w:t>
            </w:r>
          </w:p>
        </w:tc>
        <w:tc>
          <w:tcPr>
            <w:tcW w:w="1136" w:type="dxa"/>
            <w:shd w:val="clear" w:color="auto" w:fill="EEEEEF" w:themeFill="accent4"/>
            <w:noWrap/>
          </w:tcPr>
          <w:p w14:paraId="1927E831" w14:textId="77777777" w:rsidR="00265792" w:rsidRPr="00BA7805" w:rsidRDefault="00265792" w:rsidP="003D7998">
            <w:pPr>
              <w:pStyle w:val="ARfintablebodyright"/>
              <w:rPr>
                <w:highlight w:val="green"/>
              </w:rPr>
            </w:pPr>
            <w:r w:rsidRPr="00AC34D1">
              <w:t>26</w:t>
            </w:r>
            <w:r>
              <w:t>5</w:t>
            </w:r>
            <w:r w:rsidRPr="00AC34D1">
              <w:t>.</w:t>
            </w:r>
            <w:r>
              <w:t>7</w:t>
            </w:r>
          </w:p>
        </w:tc>
        <w:tc>
          <w:tcPr>
            <w:tcW w:w="1137" w:type="dxa"/>
            <w:noWrap/>
          </w:tcPr>
          <w:p w14:paraId="2B036C4E" w14:textId="77777777" w:rsidR="00265792" w:rsidRPr="00BA7805" w:rsidRDefault="00265792" w:rsidP="003D7998">
            <w:pPr>
              <w:pStyle w:val="ARfintablebodyright"/>
              <w:rPr>
                <w:highlight w:val="green"/>
              </w:rPr>
            </w:pPr>
            <w:r w:rsidRPr="00AC34D1">
              <w:t>31</w:t>
            </w:r>
            <w:r>
              <w:t>5.0</w:t>
            </w:r>
          </w:p>
        </w:tc>
      </w:tr>
      <w:tr w:rsidR="00265792" w:rsidRPr="00BA7805" w14:paraId="5F7AE7B1" w14:textId="77777777" w:rsidTr="003755B5">
        <w:tc>
          <w:tcPr>
            <w:tcW w:w="4106" w:type="dxa"/>
          </w:tcPr>
          <w:p w14:paraId="74C38219" w14:textId="77777777" w:rsidR="00265792" w:rsidRPr="00BA7805" w:rsidRDefault="00265792" w:rsidP="003D7998">
            <w:pPr>
              <w:pStyle w:val="ARfintablebody"/>
              <w:rPr>
                <w:highlight w:val="green"/>
              </w:rPr>
            </w:pPr>
            <w:r w:rsidRPr="00AC34D1">
              <w:t xml:space="preserve">Loans </w:t>
            </w:r>
            <w:r w:rsidRPr="003755B5">
              <w:rPr>
                <w:vertAlign w:val="superscript"/>
              </w:rPr>
              <w:t>(iii)</w:t>
            </w:r>
          </w:p>
        </w:tc>
        <w:tc>
          <w:tcPr>
            <w:tcW w:w="1630" w:type="dxa"/>
            <w:shd w:val="clear" w:color="auto" w:fill="EEEEEF" w:themeFill="accent4"/>
            <w:noWrap/>
          </w:tcPr>
          <w:p w14:paraId="0B62F7B7" w14:textId="77777777" w:rsidR="00265792" w:rsidRPr="00BA7805" w:rsidRDefault="00265792" w:rsidP="003D7998">
            <w:pPr>
              <w:pStyle w:val="ARfintablebodyright"/>
              <w:rPr>
                <w:highlight w:val="green"/>
              </w:rPr>
            </w:pPr>
            <w:r>
              <w:t>–</w:t>
            </w:r>
          </w:p>
        </w:tc>
        <w:tc>
          <w:tcPr>
            <w:tcW w:w="1630" w:type="dxa"/>
          </w:tcPr>
          <w:p w14:paraId="6EC5DA0E" w14:textId="77777777" w:rsidR="00265792" w:rsidRPr="00BA7805" w:rsidRDefault="00265792" w:rsidP="003D7998">
            <w:pPr>
              <w:pStyle w:val="ARfintablebodyright"/>
              <w:rPr>
                <w:highlight w:val="green"/>
              </w:rPr>
            </w:pPr>
            <w:r>
              <w:t>–</w:t>
            </w:r>
          </w:p>
        </w:tc>
        <w:tc>
          <w:tcPr>
            <w:tcW w:w="1136" w:type="dxa"/>
            <w:shd w:val="clear" w:color="auto" w:fill="EEEEEF" w:themeFill="accent4"/>
            <w:noWrap/>
          </w:tcPr>
          <w:p w14:paraId="374B3C3B" w14:textId="77777777" w:rsidR="00265792" w:rsidRPr="00BA7805" w:rsidRDefault="00265792" w:rsidP="003D7998">
            <w:pPr>
              <w:pStyle w:val="ARfintablebodyright"/>
              <w:rPr>
                <w:highlight w:val="green"/>
              </w:rPr>
            </w:pPr>
            <w:r w:rsidRPr="00AC34D1">
              <w:t>28.2</w:t>
            </w:r>
          </w:p>
        </w:tc>
        <w:tc>
          <w:tcPr>
            <w:tcW w:w="1137" w:type="dxa"/>
            <w:noWrap/>
          </w:tcPr>
          <w:p w14:paraId="5C5261B3" w14:textId="77777777" w:rsidR="00265792" w:rsidRPr="00BA7805" w:rsidRDefault="00265792" w:rsidP="003D7998">
            <w:pPr>
              <w:pStyle w:val="ARfintablebodyright"/>
              <w:rPr>
                <w:highlight w:val="green"/>
              </w:rPr>
            </w:pPr>
            <w:r w:rsidRPr="00AC34D1">
              <w:t>28.2</w:t>
            </w:r>
          </w:p>
        </w:tc>
      </w:tr>
      <w:tr w:rsidR="00265792" w:rsidRPr="00BA7805" w14:paraId="53D47A72" w14:textId="77777777" w:rsidTr="003755B5">
        <w:tc>
          <w:tcPr>
            <w:tcW w:w="4106" w:type="dxa"/>
          </w:tcPr>
          <w:p w14:paraId="09175F13" w14:textId="77777777" w:rsidR="00265792" w:rsidRPr="00BA7805" w:rsidRDefault="00265792" w:rsidP="003D7998">
            <w:pPr>
              <w:pStyle w:val="ARfintablebody"/>
              <w:rPr>
                <w:highlight w:val="green"/>
              </w:rPr>
            </w:pPr>
            <w:r w:rsidRPr="00AC34D1">
              <w:t>Statutory receivables (with no impairment loss</w:t>
            </w:r>
            <w:r>
              <w:t> </w:t>
            </w:r>
            <w:r w:rsidRPr="00AC34D1">
              <w:t>recognised)</w:t>
            </w:r>
          </w:p>
        </w:tc>
        <w:tc>
          <w:tcPr>
            <w:tcW w:w="1630" w:type="dxa"/>
            <w:shd w:val="clear" w:color="auto" w:fill="EEEEEF" w:themeFill="accent4"/>
            <w:noWrap/>
          </w:tcPr>
          <w:p w14:paraId="60A71359" w14:textId="77777777" w:rsidR="00265792" w:rsidRPr="00BA7805" w:rsidRDefault="00265792" w:rsidP="003D7998">
            <w:pPr>
              <w:pStyle w:val="ARfintablebodyright"/>
              <w:rPr>
                <w:highlight w:val="green"/>
              </w:rPr>
            </w:pPr>
            <w:r w:rsidRPr="00AC34D1">
              <w:t>846.0</w:t>
            </w:r>
          </w:p>
        </w:tc>
        <w:tc>
          <w:tcPr>
            <w:tcW w:w="1630" w:type="dxa"/>
          </w:tcPr>
          <w:p w14:paraId="049E270F" w14:textId="77777777" w:rsidR="00265792" w:rsidRPr="00BA7805" w:rsidRDefault="00265792" w:rsidP="003D7998">
            <w:pPr>
              <w:pStyle w:val="ARfintablebodyright"/>
              <w:rPr>
                <w:highlight w:val="green"/>
              </w:rPr>
            </w:pPr>
            <w:r>
              <w:t>–</w:t>
            </w:r>
          </w:p>
        </w:tc>
        <w:tc>
          <w:tcPr>
            <w:tcW w:w="1136" w:type="dxa"/>
            <w:shd w:val="clear" w:color="auto" w:fill="EEEEEF" w:themeFill="accent4"/>
            <w:noWrap/>
          </w:tcPr>
          <w:p w14:paraId="424D293D" w14:textId="77777777" w:rsidR="00265792" w:rsidRPr="00BA7805" w:rsidRDefault="00265792" w:rsidP="003D7998">
            <w:pPr>
              <w:pStyle w:val="ARfintablebodyright"/>
              <w:rPr>
                <w:highlight w:val="green"/>
              </w:rPr>
            </w:pPr>
            <w:r>
              <w:t>–</w:t>
            </w:r>
          </w:p>
        </w:tc>
        <w:tc>
          <w:tcPr>
            <w:tcW w:w="1137" w:type="dxa"/>
            <w:noWrap/>
          </w:tcPr>
          <w:p w14:paraId="2533EB3E" w14:textId="77777777" w:rsidR="00265792" w:rsidRPr="00BA7805" w:rsidRDefault="00265792" w:rsidP="003D7998">
            <w:pPr>
              <w:pStyle w:val="ARfintablebodyright"/>
              <w:rPr>
                <w:highlight w:val="green"/>
              </w:rPr>
            </w:pPr>
            <w:r w:rsidRPr="00AC34D1">
              <w:t>846.0</w:t>
            </w:r>
          </w:p>
        </w:tc>
      </w:tr>
      <w:tr w:rsidR="00265792" w:rsidRPr="00BA7805" w14:paraId="2AFB19F3" w14:textId="77777777" w:rsidTr="003755B5">
        <w:trPr>
          <w:cnfStyle w:val="010000000000" w:firstRow="0" w:lastRow="1" w:firstColumn="0" w:lastColumn="0" w:oddVBand="0" w:evenVBand="0" w:oddHBand="0" w:evenHBand="0" w:firstRowFirstColumn="0" w:firstRowLastColumn="0" w:lastRowFirstColumn="0" w:lastRowLastColumn="0"/>
        </w:trPr>
        <w:tc>
          <w:tcPr>
            <w:tcW w:w="4106" w:type="dxa"/>
          </w:tcPr>
          <w:p w14:paraId="196A47D9" w14:textId="77777777" w:rsidR="00265792" w:rsidRPr="00BA7805" w:rsidRDefault="00265792" w:rsidP="003755B5">
            <w:pPr>
              <w:pStyle w:val="ARfintablebodybold"/>
              <w:rPr>
                <w:highlight w:val="green"/>
              </w:rPr>
            </w:pPr>
            <w:r w:rsidRPr="00AC34D1">
              <w:t>Total financial assets</w:t>
            </w:r>
          </w:p>
        </w:tc>
        <w:tc>
          <w:tcPr>
            <w:tcW w:w="1630" w:type="dxa"/>
            <w:shd w:val="clear" w:color="auto" w:fill="EEEEEF" w:themeFill="accent4"/>
            <w:noWrap/>
          </w:tcPr>
          <w:p w14:paraId="1D5320E8" w14:textId="77777777" w:rsidR="00265792" w:rsidRPr="00BA7805" w:rsidRDefault="00265792" w:rsidP="003755B5">
            <w:pPr>
              <w:pStyle w:val="ARfintablebodyrightbold"/>
              <w:rPr>
                <w:highlight w:val="green"/>
              </w:rPr>
            </w:pPr>
            <w:r w:rsidRPr="00AC34D1">
              <w:t>1,</w:t>
            </w:r>
            <w:r>
              <w:t>520.5</w:t>
            </w:r>
          </w:p>
        </w:tc>
        <w:tc>
          <w:tcPr>
            <w:tcW w:w="1630" w:type="dxa"/>
          </w:tcPr>
          <w:p w14:paraId="19222C4A" w14:textId="77777777" w:rsidR="00265792" w:rsidRPr="00BA7805" w:rsidRDefault="00265792" w:rsidP="003755B5">
            <w:pPr>
              <w:pStyle w:val="ARfintablebodyrightbold"/>
              <w:rPr>
                <w:highlight w:val="green"/>
              </w:rPr>
            </w:pPr>
            <w:r w:rsidRPr="00AC34D1">
              <w:t>96.5</w:t>
            </w:r>
          </w:p>
        </w:tc>
        <w:tc>
          <w:tcPr>
            <w:tcW w:w="1136" w:type="dxa"/>
            <w:shd w:val="clear" w:color="auto" w:fill="EEEEEF" w:themeFill="accent4"/>
            <w:noWrap/>
          </w:tcPr>
          <w:p w14:paraId="4F09DBB6" w14:textId="77777777" w:rsidR="00265792" w:rsidRPr="00BA7805" w:rsidRDefault="00265792" w:rsidP="003755B5">
            <w:pPr>
              <w:pStyle w:val="ARfintablebodyrightbold"/>
              <w:rPr>
                <w:highlight w:val="green"/>
              </w:rPr>
            </w:pPr>
            <w:r w:rsidRPr="00AC34D1">
              <w:t>29</w:t>
            </w:r>
            <w:r>
              <w:t>3.9</w:t>
            </w:r>
          </w:p>
        </w:tc>
        <w:tc>
          <w:tcPr>
            <w:tcW w:w="1137" w:type="dxa"/>
            <w:noWrap/>
          </w:tcPr>
          <w:p w14:paraId="483EC43C" w14:textId="77777777" w:rsidR="00265792" w:rsidRPr="00BA7805" w:rsidRDefault="00265792" w:rsidP="003755B5">
            <w:pPr>
              <w:pStyle w:val="ARfintablebodyrightbold"/>
              <w:rPr>
                <w:highlight w:val="green"/>
              </w:rPr>
            </w:pPr>
            <w:r w:rsidRPr="00AC34D1">
              <w:t>1,</w:t>
            </w:r>
            <w:r>
              <w:t>910.</w:t>
            </w:r>
            <w:r w:rsidRPr="00AC34D1" w:rsidDel="000F0FEC">
              <w:t>9</w:t>
            </w:r>
          </w:p>
        </w:tc>
      </w:tr>
    </w:tbl>
    <w:p w14:paraId="7E1F452F" w14:textId="77777777" w:rsidR="00265792" w:rsidRPr="00934CD4" w:rsidRDefault="00265792" w:rsidP="00934CD4">
      <w:pPr>
        <w:pStyle w:val="ARfintablefootnote"/>
      </w:pPr>
      <w:r w:rsidRPr="00C429E5">
        <w:rPr>
          <w:lang w:eastAsia="en-AU"/>
        </w:rPr>
        <w:t>Notes:</w:t>
      </w:r>
    </w:p>
    <w:p w14:paraId="10AE07F9" w14:textId="77777777" w:rsidR="00265792" w:rsidRDefault="00265792" w:rsidP="00934CD4">
      <w:pPr>
        <w:pStyle w:val="ARfintablefootnotetabindent"/>
      </w:pPr>
      <w:r>
        <w:t>(</w:t>
      </w:r>
      <w:proofErr w:type="spellStart"/>
      <w:r>
        <w:t>i</w:t>
      </w:r>
      <w:proofErr w:type="spellEnd"/>
      <w:r>
        <w:t xml:space="preserve">) </w:t>
      </w:r>
      <w:r>
        <w:tab/>
        <w:t xml:space="preserve">State of Victoria credit rating was downgraded from AAA to AA as </w:t>
      </w:r>
      <w:proofErr w:type="gramStart"/>
      <w:r>
        <w:t>at</w:t>
      </w:r>
      <w:proofErr w:type="gramEnd"/>
      <w:r>
        <w:t xml:space="preserve"> 30 June 2021.</w:t>
      </w:r>
    </w:p>
    <w:p w14:paraId="7F74A482" w14:textId="77777777" w:rsidR="00265792" w:rsidRDefault="00265792" w:rsidP="00934CD4">
      <w:pPr>
        <w:pStyle w:val="ARfintablefootnotetabindent"/>
      </w:pPr>
      <w:r>
        <w:t xml:space="preserve">(ii) </w:t>
      </w:r>
      <w:r>
        <w:tab/>
        <w:t>The total amounts disclosed here exclude statutory amounts, for example, amounts owing from Victorian Government, GST input tax credit recoverable and other taxes payable.</w:t>
      </w:r>
    </w:p>
    <w:p w14:paraId="38D81340" w14:textId="77777777" w:rsidR="00265792" w:rsidRDefault="00265792" w:rsidP="00934CD4">
      <w:pPr>
        <w:pStyle w:val="ARfintablefootnotetabindent"/>
      </w:pPr>
      <w:r>
        <w:t xml:space="preserve">(iii) </w:t>
      </w:r>
      <w:r>
        <w:tab/>
        <w:t>The carrying amounts consist of amounts due from numerous counterparties for which no credit ratings have been disclosed due to impracticability.</w:t>
      </w:r>
    </w:p>
    <w:p w14:paraId="54675A30" w14:textId="77777777" w:rsidR="00265792" w:rsidRDefault="00265792" w:rsidP="00E873C4">
      <w:pPr>
        <w:pStyle w:val="Heading6"/>
      </w:pPr>
      <w:r>
        <w:t xml:space="preserve">Impairment of financial assets under AASB 9 </w:t>
      </w:r>
    </w:p>
    <w:p w14:paraId="1BFBB869" w14:textId="77777777" w:rsidR="00265792" w:rsidRDefault="00265792" w:rsidP="00E873C4">
      <w:pPr>
        <w:pStyle w:val="ARfinbody"/>
      </w:pPr>
      <w:r>
        <w:t>The department records the allowance for expected credit loss for the relevant financial instruments applying AASB 9's Expected Credit Loss approach. Subject to AASB 9 impairment assessment includes the department's contractual receivables and statutory receivables.</w:t>
      </w:r>
    </w:p>
    <w:p w14:paraId="22DE46E0" w14:textId="77777777" w:rsidR="00265792" w:rsidRDefault="00265792" w:rsidP="00E873C4">
      <w:pPr>
        <w:pStyle w:val="ARfinbody"/>
      </w:pPr>
      <w:r>
        <w:t>Equity instruments are not subject to impairment under AASB 9. Other financial assets mandatorily measured or designated at fair value through net result are not subject to impairment assessment under AASB 9. While cash and cash equivalents are also subject to the impairment requirements of AASB 9, the identified impairment loss was immaterial.</w:t>
      </w:r>
    </w:p>
    <w:p w14:paraId="4451B1BA" w14:textId="77777777" w:rsidR="00265792" w:rsidRDefault="00265792" w:rsidP="00E873C4">
      <w:pPr>
        <w:pStyle w:val="Heading6"/>
      </w:pPr>
      <w:r>
        <w:t>Contractual receivables at amortised cost</w:t>
      </w:r>
    </w:p>
    <w:p w14:paraId="0D1C08CF" w14:textId="3C7D4814" w:rsidR="00265792" w:rsidRDefault="00265792" w:rsidP="00E873C4">
      <w:pPr>
        <w:pStyle w:val="ARfinbody"/>
      </w:pPr>
      <w:r>
        <w:t xml:space="preserve">The department applies the AASB 9 simplified approach for all contractual receivables to measure expected credit losses using a lifetime expected loss allowance based on the assumptions about risk of default and expected loss rates. The department has grouped contractual receivables on shared credit risk characteristics and days past due and selected the expected credit loss rate based on the </w:t>
      </w:r>
      <w:r w:rsidR="00EF76A3">
        <w:t xml:space="preserve">department’s </w:t>
      </w:r>
      <w:proofErr w:type="gramStart"/>
      <w:r>
        <w:t>past history</w:t>
      </w:r>
      <w:proofErr w:type="gramEnd"/>
      <w:r>
        <w:t>, existing market conditions, as well as forward-looking estimates at the end of financial year.</w:t>
      </w:r>
      <w:r>
        <w:br w:type="page"/>
      </w:r>
    </w:p>
    <w:p w14:paraId="078AB7AF" w14:textId="77777777" w:rsidR="00265792" w:rsidRDefault="00265792" w:rsidP="00E873C4">
      <w:pPr>
        <w:pStyle w:val="ARfinbodylargespace"/>
      </w:pPr>
      <w:r>
        <w:lastRenderedPageBreak/>
        <w:t>On this basis, the department determines the loss allowance at the end of the financial year as follows:</w:t>
      </w:r>
    </w:p>
    <w:tbl>
      <w:tblPr>
        <w:tblStyle w:val="TableGrid"/>
        <w:tblW w:w="9639" w:type="dxa"/>
        <w:tblLayout w:type="fixed"/>
        <w:tblLook w:val="06E0" w:firstRow="1" w:lastRow="1" w:firstColumn="1" w:lastColumn="0" w:noHBand="1" w:noVBand="1"/>
      </w:tblPr>
      <w:tblGrid>
        <w:gridCol w:w="2263"/>
        <w:gridCol w:w="993"/>
        <w:gridCol w:w="1165"/>
        <w:gridCol w:w="1021"/>
        <w:gridCol w:w="1021"/>
        <w:gridCol w:w="1134"/>
        <w:gridCol w:w="1021"/>
        <w:gridCol w:w="1021"/>
      </w:tblGrid>
      <w:tr w:rsidR="00265792" w:rsidRPr="00BA7805" w14:paraId="1AFD96F9" w14:textId="77777777" w:rsidTr="00292DBE">
        <w:trPr>
          <w:cnfStyle w:val="100000000000" w:firstRow="1" w:lastRow="0" w:firstColumn="0" w:lastColumn="0" w:oddVBand="0" w:evenVBand="0" w:oddHBand="0" w:evenHBand="0" w:firstRowFirstColumn="0" w:firstRowLastColumn="0" w:lastRowFirstColumn="0" w:lastRowLastColumn="0"/>
          <w:tblHeader/>
        </w:trPr>
        <w:tc>
          <w:tcPr>
            <w:tcW w:w="2263" w:type="dxa"/>
            <w:vMerge w:val="restart"/>
            <w:tcBorders>
              <w:top w:val="nil"/>
            </w:tcBorders>
            <w:noWrap/>
            <w:hideMark/>
          </w:tcPr>
          <w:p w14:paraId="6FB556D0" w14:textId="77777777" w:rsidR="00265792" w:rsidRPr="00C76655" w:rsidRDefault="00265792">
            <w:pPr>
              <w:pStyle w:val="ARfintablecolhead"/>
              <w:spacing w:before="30"/>
            </w:pPr>
          </w:p>
        </w:tc>
        <w:tc>
          <w:tcPr>
            <w:tcW w:w="993" w:type="dxa"/>
            <w:vMerge w:val="restart"/>
            <w:tcBorders>
              <w:top w:val="nil"/>
            </w:tcBorders>
            <w:shd w:val="clear" w:color="auto" w:fill="EEEEEF" w:themeFill="accent4"/>
            <w:hideMark/>
          </w:tcPr>
          <w:p w14:paraId="1AD06A24" w14:textId="77777777" w:rsidR="00265792" w:rsidRPr="00C76655" w:rsidRDefault="00265792" w:rsidP="00E873C4">
            <w:pPr>
              <w:pStyle w:val="ARfintablecolheadright"/>
              <w:spacing w:before="30"/>
            </w:pPr>
            <w:r w:rsidRPr="00C76655">
              <w:t>Gross amount</w:t>
            </w:r>
          </w:p>
          <w:p w14:paraId="4884B53A" w14:textId="77777777" w:rsidR="00265792" w:rsidRPr="00C76655" w:rsidRDefault="00265792" w:rsidP="00E873C4">
            <w:pPr>
              <w:pStyle w:val="ARfintablecolheadright"/>
              <w:spacing w:before="30"/>
            </w:pPr>
            <w:r w:rsidRPr="00C76655">
              <w:t>$M</w:t>
            </w:r>
          </w:p>
        </w:tc>
        <w:tc>
          <w:tcPr>
            <w:tcW w:w="1165" w:type="dxa"/>
            <w:vMerge w:val="restart"/>
            <w:tcBorders>
              <w:top w:val="nil"/>
            </w:tcBorders>
          </w:tcPr>
          <w:p w14:paraId="26295D38" w14:textId="77777777" w:rsidR="00265792" w:rsidRPr="00C76655" w:rsidRDefault="00265792" w:rsidP="00E873C4">
            <w:pPr>
              <w:pStyle w:val="ARfintablecolheadright"/>
              <w:spacing w:before="30"/>
            </w:pPr>
            <w:r w:rsidRPr="00C76655">
              <w:t xml:space="preserve">Not past due and not impaired </w:t>
            </w:r>
            <w:r w:rsidRPr="00C76655">
              <w:rPr>
                <w:rFonts w:cs="Arial"/>
                <w:vertAlign w:val="superscript"/>
              </w:rPr>
              <w:t>(</w:t>
            </w:r>
            <w:proofErr w:type="spellStart"/>
            <w:r w:rsidRPr="00C76655">
              <w:rPr>
                <w:rFonts w:cs="Arial"/>
                <w:vertAlign w:val="superscript"/>
              </w:rPr>
              <w:t>i</w:t>
            </w:r>
            <w:proofErr w:type="spellEnd"/>
            <w:r w:rsidRPr="00C76655">
              <w:rPr>
                <w:rFonts w:cs="Arial"/>
                <w:vertAlign w:val="superscript"/>
              </w:rPr>
              <w:t>)</w:t>
            </w:r>
          </w:p>
          <w:p w14:paraId="1BE9FD72" w14:textId="77777777" w:rsidR="00265792" w:rsidRPr="00C76655" w:rsidRDefault="00265792" w:rsidP="00E873C4">
            <w:pPr>
              <w:pStyle w:val="ARfintablecolheadright"/>
              <w:spacing w:before="30"/>
            </w:pPr>
            <w:r w:rsidRPr="00C76655">
              <w:t>$M</w:t>
            </w:r>
          </w:p>
        </w:tc>
        <w:tc>
          <w:tcPr>
            <w:tcW w:w="4197" w:type="dxa"/>
            <w:gridSpan w:val="4"/>
            <w:tcBorders>
              <w:top w:val="nil"/>
            </w:tcBorders>
            <w:shd w:val="clear" w:color="auto" w:fill="EEEEEF" w:themeFill="accent4"/>
            <w:hideMark/>
          </w:tcPr>
          <w:p w14:paraId="7AACB88E" w14:textId="77777777" w:rsidR="00265792" w:rsidRPr="00C76655" w:rsidRDefault="00265792">
            <w:pPr>
              <w:pStyle w:val="ARfintablecolheadcentre"/>
              <w:spacing w:before="30"/>
            </w:pPr>
            <w:r w:rsidRPr="00C76655">
              <w:t>Past due</w:t>
            </w:r>
          </w:p>
        </w:tc>
        <w:tc>
          <w:tcPr>
            <w:tcW w:w="1021" w:type="dxa"/>
            <w:vMerge w:val="restart"/>
            <w:tcBorders>
              <w:top w:val="nil"/>
            </w:tcBorders>
          </w:tcPr>
          <w:p w14:paraId="4F311DFD" w14:textId="77777777" w:rsidR="00265792" w:rsidRPr="00C76655" w:rsidRDefault="00265792" w:rsidP="00E873C4">
            <w:pPr>
              <w:pStyle w:val="ARfintablecolheadright"/>
              <w:spacing w:before="30"/>
            </w:pPr>
            <w:r w:rsidRPr="00C76655">
              <w:t>Total</w:t>
            </w:r>
          </w:p>
          <w:p w14:paraId="2A585D3C" w14:textId="77777777" w:rsidR="00265792" w:rsidRPr="00C76655" w:rsidRDefault="00265792" w:rsidP="00E873C4">
            <w:pPr>
              <w:pStyle w:val="ARfintablecolheadright"/>
              <w:spacing w:before="30"/>
            </w:pPr>
            <w:r w:rsidRPr="00C76655">
              <w:t>$M</w:t>
            </w:r>
          </w:p>
        </w:tc>
      </w:tr>
      <w:tr w:rsidR="00265792" w:rsidRPr="00BA7805" w14:paraId="70866E8B" w14:textId="77777777" w:rsidTr="00292DBE">
        <w:trPr>
          <w:cnfStyle w:val="100000000000" w:firstRow="1" w:lastRow="0" w:firstColumn="0" w:lastColumn="0" w:oddVBand="0" w:evenVBand="0" w:oddHBand="0" w:evenHBand="0" w:firstRowFirstColumn="0" w:firstRowLastColumn="0" w:lastRowFirstColumn="0" w:lastRowLastColumn="0"/>
          <w:tblHeader/>
        </w:trPr>
        <w:tc>
          <w:tcPr>
            <w:tcW w:w="2263" w:type="dxa"/>
            <w:vMerge/>
            <w:tcBorders>
              <w:top w:val="single" w:sz="4" w:space="0" w:color="000000" w:themeColor="text1"/>
            </w:tcBorders>
            <w:hideMark/>
          </w:tcPr>
          <w:p w14:paraId="0D958F93" w14:textId="77777777" w:rsidR="00265792" w:rsidRPr="00BA7805" w:rsidRDefault="00265792">
            <w:pPr>
              <w:pStyle w:val="ARfintablecolhead"/>
              <w:spacing w:before="30"/>
              <w:rPr>
                <w:highlight w:val="green"/>
              </w:rPr>
            </w:pPr>
          </w:p>
        </w:tc>
        <w:tc>
          <w:tcPr>
            <w:tcW w:w="993" w:type="dxa"/>
            <w:vMerge/>
            <w:tcBorders>
              <w:top w:val="single" w:sz="4" w:space="0" w:color="000000" w:themeColor="text1"/>
            </w:tcBorders>
            <w:shd w:val="clear" w:color="auto" w:fill="EEEEEF" w:themeFill="accent4"/>
            <w:hideMark/>
          </w:tcPr>
          <w:p w14:paraId="3DB1A7F6" w14:textId="77777777" w:rsidR="00265792" w:rsidRPr="00BA7805" w:rsidRDefault="00265792">
            <w:pPr>
              <w:pStyle w:val="ARfintablecolheadright"/>
              <w:spacing w:before="30"/>
              <w:rPr>
                <w:highlight w:val="green"/>
              </w:rPr>
            </w:pPr>
          </w:p>
        </w:tc>
        <w:tc>
          <w:tcPr>
            <w:tcW w:w="1165" w:type="dxa"/>
            <w:vMerge/>
            <w:tcBorders>
              <w:top w:val="single" w:sz="4" w:space="0" w:color="000000" w:themeColor="text1"/>
            </w:tcBorders>
            <w:hideMark/>
          </w:tcPr>
          <w:p w14:paraId="63854CA0" w14:textId="77777777" w:rsidR="00265792" w:rsidRPr="00BA7805" w:rsidRDefault="00265792">
            <w:pPr>
              <w:pStyle w:val="ARfintablecolheadright"/>
              <w:spacing w:before="30"/>
              <w:rPr>
                <w:highlight w:val="green"/>
              </w:rPr>
            </w:pPr>
          </w:p>
        </w:tc>
        <w:tc>
          <w:tcPr>
            <w:tcW w:w="1021" w:type="dxa"/>
            <w:tcBorders>
              <w:top w:val="single" w:sz="4" w:space="0" w:color="000000" w:themeColor="text1"/>
            </w:tcBorders>
            <w:shd w:val="clear" w:color="auto" w:fill="EEEEEF" w:themeFill="accent4"/>
            <w:hideMark/>
          </w:tcPr>
          <w:p w14:paraId="0BD9822D" w14:textId="77777777" w:rsidR="00265792" w:rsidRPr="00C76655" w:rsidRDefault="00265792" w:rsidP="00E873C4">
            <w:pPr>
              <w:pStyle w:val="ARfintablecolheadright"/>
              <w:spacing w:before="30"/>
            </w:pPr>
            <w:r w:rsidRPr="00C76655">
              <w:t xml:space="preserve">Less than </w:t>
            </w:r>
            <w:r w:rsidRPr="00C76655">
              <w:br/>
              <w:t>1 month</w:t>
            </w:r>
          </w:p>
          <w:p w14:paraId="3263A8FA" w14:textId="77777777" w:rsidR="00265792" w:rsidRPr="00C76655" w:rsidRDefault="00265792" w:rsidP="00E873C4">
            <w:pPr>
              <w:pStyle w:val="ARfintablecolheadright"/>
              <w:spacing w:before="30"/>
            </w:pPr>
            <w:r w:rsidRPr="00C76655">
              <w:t>$M</w:t>
            </w:r>
          </w:p>
        </w:tc>
        <w:tc>
          <w:tcPr>
            <w:tcW w:w="1021" w:type="dxa"/>
            <w:tcBorders>
              <w:top w:val="single" w:sz="4" w:space="0" w:color="000000" w:themeColor="text1"/>
            </w:tcBorders>
            <w:shd w:val="clear" w:color="auto" w:fill="EEEEEF" w:themeFill="accent4"/>
            <w:hideMark/>
          </w:tcPr>
          <w:p w14:paraId="3456543D" w14:textId="77777777" w:rsidR="00265792" w:rsidRPr="00C76655" w:rsidRDefault="00265792" w:rsidP="00E873C4">
            <w:pPr>
              <w:pStyle w:val="ARfintablecolheadright"/>
              <w:spacing w:before="30"/>
            </w:pPr>
            <w:r w:rsidRPr="00C76655">
              <w:t>1–3 months</w:t>
            </w:r>
          </w:p>
          <w:p w14:paraId="6EEA84B2" w14:textId="77777777" w:rsidR="00265792" w:rsidRPr="00C76655" w:rsidRDefault="00265792" w:rsidP="00E873C4">
            <w:pPr>
              <w:pStyle w:val="ARfintablecolheadright"/>
              <w:spacing w:before="30"/>
            </w:pPr>
            <w:r w:rsidRPr="00C76655">
              <w:t>$M</w:t>
            </w:r>
          </w:p>
        </w:tc>
        <w:tc>
          <w:tcPr>
            <w:tcW w:w="1134" w:type="dxa"/>
            <w:tcBorders>
              <w:top w:val="single" w:sz="4" w:space="0" w:color="000000" w:themeColor="text1"/>
            </w:tcBorders>
            <w:shd w:val="clear" w:color="auto" w:fill="EEEEEF" w:themeFill="accent4"/>
            <w:hideMark/>
          </w:tcPr>
          <w:p w14:paraId="35F18704" w14:textId="77777777" w:rsidR="00265792" w:rsidRPr="00C76655" w:rsidRDefault="00265792" w:rsidP="00E873C4">
            <w:pPr>
              <w:pStyle w:val="ARfintablecolheadright"/>
              <w:spacing w:before="30"/>
            </w:pPr>
            <w:r w:rsidRPr="00C76655">
              <w:t>3 months – 1 year</w:t>
            </w:r>
          </w:p>
          <w:p w14:paraId="0DD58317" w14:textId="77777777" w:rsidR="00265792" w:rsidRPr="00C76655" w:rsidRDefault="00265792" w:rsidP="00E873C4">
            <w:pPr>
              <w:pStyle w:val="ARfintablecolheadright"/>
              <w:spacing w:before="30"/>
            </w:pPr>
            <w:r w:rsidRPr="00C76655">
              <w:t>$M</w:t>
            </w:r>
          </w:p>
        </w:tc>
        <w:tc>
          <w:tcPr>
            <w:tcW w:w="1021" w:type="dxa"/>
            <w:tcBorders>
              <w:top w:val="single" w:sz="4" w:space="0" w:color="000000" w:themeColor="text1"/>
            </w:tcBorders>
            <w:shd w:val="clear" w:color="auto" w:fill="EEEEEF" w:themeFill="accent4"/>
            <w:hideMark/>
          </w:tcPr>
          <w:p w14:paraId="5312CCA4" w14:textId="77777777" w:rsidR="00265792" w:rsidRPr="00C76655" w:rsidRDefault="00265792" w:rsidP="00E873C4">
            <w:pPr>
              <w:pStyle w:val="ARfintablecolheadright"/>
              <w:spacing w:before="30"/>
            </w:pPr>
            <w:r w:rsidRPr="00C76655">
              <w:t>1–5 years</w:t>
            </w:r>
          </w:p>
          <w:p w14:paraId="13418DC4" w14:textId="77777777" w:rsidR="00265792" w:rsidRPr="00C76655" w:rsidRDefault="00265792" w:rsidP="00E873C4">
            <w:pPr>
              <w:pStyle w:val="ARfintablecolheadright"/>
              <w:spacing w:before="30"/>
            </w:pPr>
            <w:r w:rsidRPr="00C76655">
              <w:t>$M</w:t>
            </w:r>
          </w:p>
        </w:tc>
        <w:tc>
          <w:tcPr>
            <w:tcW w:w="1021" w:type="dxa"/>
            <w:vMerge/>
            <w:tcBorders>
              <w:top w:val="single" w:sz="4" w:space="0" w:color="000000" w:themeColor="text1"/>
            </w:tcBorders>
            <w:hideMark/>
          </w:tcPr>
          <w:p w14:paraId="54E8580B" w14:textId="77777777" w:rsidR="00265792" w:rsidRPr="00BA7805" w:rsidRDefault="00265792">
            <w:pPr>
              <w:pStyle w:val="ARfintablecolheadright"/>
              <w:spacing w:before="30"/>
              <w:rPr>
                <w:highlight w:val="green"/>
              </w:rPr>
            </w:pPr>
          </w:p>
        </w:tc>
      </w:tr>
      <w:tr w:rsidR="00265792" w:rsidRPr="00BA7805" w14:paraId="565CF738" w14:textId="77777777" w:rsidTr="003D6A3A">
        <w:tc>
          <w:tcPr>
            <w:tcW w:w="2263" w:type="dxa"/>
            <w:tcBorders>
              <w:top w:val="single" w:sz="4" w:space="0" w:color="000000" w:themeColor="text1"/>
              <w:bottom w:val="single" w:sz="4" w:space="0" w:color="A6A6A6" w:themeColor="accent5"/>
            </w:tcBorders>
          </w:tcPr>
          <w:p w14:paraId="704BAE73" w14:textId="77777777" w:rsidR="00265792" w:rsidRPr="00B177AF" w:rsidRDefault="00265792" w:rsidP="003D6A3A">
            <w:pPr>
              <w:pStyle w:val="ARfintablebodyboldcoloured"/>
            </w:pPr>
            <w:r>
              <w:t>2025</w:t>
            </w:r>
          </w:p>
        </w:tc>
        <w:tc>
          <w:tcPr>
            <w:tcW w:w="993" w:type="dxa"/>
            <w:tcBorders>
              <w:top w:val="single" w:sz="4" w:space="0" w:color="000000" w:themeColor="text1"/>
              <w:bottom w:val="single" w:sz="4" w:space="0" w:color="A6A6A6" w:themeColor="accent5"/>
            </w:tcBorders>
            <w:noWrap/>
          </w:tcPr>
          <w:p w14:paraId="2270579B" w14:textId="77777777" w:rsidR="00265792" w:rsidRPr="009F29CC" w:rsidRDefault="00265792" w:rsidP="00D654D1">
            <w:pPr>
              <w:pStyle w:val="ARfintablebodyright"/>
              <w:spacing w:before="30"/>
            </w:pPr>
          </w:p>
        </w:tc>
        <w:tc>
          <w:tcPr>
            <w:tcW w:w="1165" w:type="dxa"/>
            <w:tcBorders>
              <w:top w:val="single" w:sz="4" w:space="0" w:color="000000" w:themeColor="text1"/>
              <w:bottom w:val="single" w:sz="4" w:space="0" w:color="A6A6A6" w:themeColor="accent5"/>
            </w:tcBorders>
            <w:noWrap/>
          </w:tcPr>
          <w:p w14:paraId="4ADDA974" w14:textId="77777777" w:rsidR="00265792" w:rsidRPr="009F29CC" w:rsidRDefault="00265792" w:rsidP="00D654D1">
            <w:pPr>
              <w:pStyle w:val="ARfintablebodyright"/>
              <w:spacing w:before="30"/>
            </w:pPr>
          </w:p>
        </w:tc>
        <w:tc>
          <w:tcPr>
            <w:tcW w:w="1021" w:type="dxa"/>
            <w:tcBorders>
              <w:top w:val="single" w:sz="4" w:space="0" w:color="000000" w:themeColor="text1"/>
              <w:bottom w:val="single" w:sz="4" w:space="0" w:color="A6A6A6" w:themeColor="accent5"/>
            </w:tcBorders>
            <w:noWrap/>
          </w:tcPr>
          <w:p w14:paraId="34BAA04E" w14:textId="77777777" w:rsidR="00265792" w:rsidRPr="009F29CC" w:rsidRDefault="00265792" w:rsidP="00D654D1">
            <w:pPr>
              <w:pStyle w:val="ARfintablebodyright"/>
              <w:spacing w:before="30"/>
            </w:pPr>
          </w:p>
        </w:tc>
        <w:tc>
          <w:tcPr>
            <w:tcW w:w="1021" w:type="dxa"/>
            <w:tcBorders>
              <w:top w:val="single" w:sz="4" w:space="0" w:color="000000" w:themeColor="text1"/>
              <w:bottom w:val="single" w:sz="4" w:space="0" w:color="A6A6A6" w:themeColor="accent5"/>
            </w:tcBorders>
            <w:noWrap/>
          </w:tcPr>
          <w:p w14:paraId="76A4B004" w14:textId="77777777" w:rsidR="00265792" w:rsidRPr="009F29CC" w:rsidRDefault="00265792" w:rsidP="00D654D1">
            <w:pPr>
              <w:pStyle w:val="ARfintablebodyright"/>
              <w:spacing w:before="30"/>
            </w:pPr>
          </w:p>
        </w:tc>
        <w:tc>
          <w:tcPr>
            <w:tcW w:w="1134" w:type="dxa"/>
            <w:tcBorders>
              <w:top w:val="single" w:sz="4" w:space="0" w:color="000000" w:themeColor="text1"/>
              <w:bottom w:val="single" w:sz="4" w:space="0" w:color="A6A6A6" w:themeColor="accent5"/>
            </w:tcBorders>
            <w:noWrap/>
          </w:tcPr>
          <w:p w14:paraId="270187EF" w14:textId="77777777" w:rsidR="00265792" w:rsidRPr="009F29CC" w:rsidRDefault="00265792" w:rsidP="00D654D1">
            <w:pPr>
              <w:pStyle w:val="ARfintablebodyright"/>
              <w:spacing w:before="30"/>
            </w:pPr>
          </w:p>
        </w:tc>
        <w:tc>
          <w:tcPr>
            <w:tcW w:w="1021" w:type="dxa"/>
            <w:tcBorders>
              <w:top w:val="single" w:sz="4" w:space="0" w:color="000000" w:themeColor="text1"/>
              <w:bottom w:val="single" w:sz="4" w:space="0" w:color="A6A6A6" w:themeColor="accent5"/>
            </w:tcBorders>
            <w:noWrap/>
          </w:tcPr>
          <w:p w14:paraId="00C8A6AF" w14:textId="77777777" w:rsidR="00265792" w:rsidRPr="009F29CC" w:rsidRDefault="00265792" w:rsidP="00D654D1">
            <w:pPr>
              <w:pStyle w:val="ARfintablebodyright"/>
              <w:spacing w:before="30"/>
            </w:pPr>
          </w:p>
        </w:tc>
        <w:tc>
          <w:tcPr>
            <w:tcW w:w="1021" w:type="dxa"/>
            <w:tcBorders>
              <w:top w:val="single" w:sz="4" w:space="0" w:color="000000" w:themeColor="text1"/>
              <w:bottom w:val="single" w:sz="4" w:space="0" w:color="A6A6A6" w:themeColor="accent5"/>
            </w:tcBorders>
            <w:noWrap/>
          </w:tcPr>
          <w:p w14:paraId="2CAF264C" w14:textId="77777777" w:rsidR="00265792" w:rsidRPr="00BA7805" w:rsidRDefault="00265792" w:rsidP="00D654D1">
            <w:pPr>
              <w:pStyle w:val="ARfintablebodyright"/>
              <w:spacing w:before="30"/>
              <w:rPr>
                <w:highlight w:val="green"/>
              </w:rPr>
            </w:pPr>
          </w:p>
        </w:tc>
      </w:tr>
      <w:tr w:rsidR="00265792" w:rsidRPr="00BA7805" w14:paraId="087152C2" w14:textId="77777777" w:rsidTr="003D6A3A">
        <w:tc>
          <w:tcPr>
            <w:tcW w:w="2263" w:type="dxa"/>
            <w:tcBorders>
              <w:top w:val="single" w:sz="4" w:space="0" w:color="000000" w:themeColor="text1"/>
              <w:bottom w:val="single" w:sz="4" w:space="0" w:color="A6A6A6" w:themeColor="accent5"/>
            </w:tcBorders>
          </w:tcPr>
          <w:p w14:paraId="4784FADE" w14:textId="77777777" w:rsidR="00265792" w:rsidRPr="00BA7805" w:rsidRDefault="00265792" w:rsidP="00292DBE">
            <w:pPr>
              <w:pStyle w:val="ARfintablebodybold"/>
              <w:rPr>
                <w:highlight w:val="green"/>
              </w:rPr>
            </w:pPr>
            <w:r w:rsidRPr="00B177AF">
              <w:t>Expected loss rate</w:t>
            </w:r>
          </w:p>
        </w:tc>
        <w:tc>
          <w:tcPr>
            <w:tcW w:w="993" w:type="dxa"/>
            <w:tcBorders>
              <w:top w:val="single" w:sz="4" w:space="0" w:color="000000" w:themeColor="text1"/>
              <w:bottom w:val="single" w:sz="4" w:space="0" w:color="A6A6A6" w:themeColor="accent5"/>
            </w:tcBorders>
            <w:shd w:val="clear" w:color="auto" w:fill="EEEEEF" w:themeFill="accent4"/>
            <w:noWrap/>
          </w:tcPr>
          <w:p w14:paraId="5398FECC" w14:textId="77777777" w:rsidR="00265792" w:rsidRPr="00BA7805" w:rsidRDefault="00265792" w:rsidP="00292DBE">
            <w:pPr>
              <w:pStyle w:val="ARfintablebodyright"/>
              <w:spacing w:before="30"/>
              <w:rPr>
                <w:highlight w:val="green"/>
              </w:rPr>
            </w:pPr>
          </w:p>
        </w:tc>
        <w:tc>
          <w:tcPr>
            <w:tcW w:w="1165" w:type="dxa"/>
            <w:tcBorders>
              <w:top w:val="single" w:sz="4" w:space="0" w:color="000000" w:themeColor="text1"/>
              <w:bottom w:val="single" w:sz="4" w:space="0" w:color="A6A6A6" w:themeColor="accent5"/>
            </w:tcBorders>
            <w:noWrap/>
          </w:tcPr>
          <w:p w14:paraId="2F73C462" w14:textId="77777777" w:rsidR="00265792" w:rsidRPr="00BA7805" w:rsidRDefault="00265792" w:rsidP="00292DBE">
            <w:pPr>
              <w:pStyle w:val="ARfintablebodyright"/>
              <w:spacing w:before="30"/>
              <w:rPr>
                <w:highlight w:val="green"/>
              </w:rPr>
            </w:pPr>
            <w:r w:rsidRPr="00564013">
              <w:t>0%</w:t>
            </w:r>
          </w:p>
        </w:tc>
        <w:tc>
          <w:tcPr>
            <w:tcW w:w="1021" w:type="dxa"/>
            <w:tcBorders>
              <w:top w:val="single" w:sz="4" w:space="0" w:color="000000" w:themeColor="text1"/>
              <w:bottom w:val="single" w:sz="4" w:space="0" w:color="A6A6A6" w:themeColor="accent5"/>
            </w:tcBorders>
            <w:shd w:val="clear" w:color="auto" w:fill="EEEEEF" w:themeFill="accent4"/>
            <w:noWrap/>
          </w:tcPr>
          <w:p w14:paraId="0741A924" w14:textId="77777777" w:rsidR="00265792" w:rsidRPr="00BA7805" w:rsidRDefault="00265792" w:rsidP="00292DBE">
            <w:pPr>
              <w:pStyle w:val="ARfintablebodyright"/>
              <w:spacing w:before="30"/>
              <w:rPr>
                <w:highlight w:val="green"/>
              </w:rPr>
            </w:pPr>
            <w:r w:rsidRPr="00564013">
              <w:t>0%</w:t>
            </w:r>
          </w:p>
        </w:tc>
        <w:tc>
          <w:tcPr>
            <w:tcW w:w="1021" w:type="dxa"/>
            <w:tcBorders>
              <w:top w:val="single" w:sz="4" w:space="0" w:color="000000" w:themeColor="text1"/>
              <w:bottom w:val="single" w:sz="4" w:space="0" w:color="A6A6A6" w:themeColor="accent5"/>
            </w:tcBorders>
            <w:shd w:val="clear" w:color="auto" w:fill="EEEEEF" w:themeFill="accent4"/>
            <w:noWrap/>
          </w:tcPr>
          <w:p w14:paraId="7D026CC4" w14:textId="77777777" w:rsidR="00265792" w:rsidRPr="00BA7805" w:rsidRDefault="00265792" w:rsidP="00292DBE">
            <w:pPr>
              <w:pStyle w:val="ARfintablebodyright"/>
              <w:spacing w:before="30"/>
              <w:rPr>
                <w:color w:val="000000" w:themeColor="text1"/>
                <w:szCs w:val="18"/>
                <w:highlight w:val="green"/>
              </w:rPr>
            </w:pPr>
            <w:r w:rsidRPr="00564013">
              <w:t>1%</w:t>
            </w:r>
          </w:p>
        </w:tc>
        <w:tc>
          <w:tcPr>
            <w:tcW w:w="1134" w:type="dxa"/>
            <w:tcBorders>
              <w:top w:val="single" w:sz="4" w:space="0" w:color="000000" w:themeColor="text1"/>
              <w:bottom w:val="single" w:sz="4" w:space="0" w:color="A6A6A6" w:themeColor="accent5"/>
            </w:tcBorders>
            <w:shd w:val="clear" w:color="auto" w:fill="EEEEEF" w:themeFill="accent4"/>
            <w:noWrap/>
          </w:tcPr>
          <w:p w14:paraId="61139F3A" w14:textId="77777777" w:rsidR="00265792" w:rsidRPr="00BA7805" w:rsidRDefault="00265792" w:rsidP="00292DBE">
            <w:pPr>
              <w:pStyle w:val="ARfintablebodyright"/>
              <w:spacing w:before="30"/>
              <w:rPr>
                <w:highlight w:val="green"/>
              </w:rPr>
            </w:pPr>
            <w:r w:rsidRPr="00564013">
              <w:t>25%</w:t>
            </w:r>
          </w:p>
        </w:tc>
        <w:tc>
          <w:tcPr>
            <w:tcW w:w="1021" w:type="dxa"/>
            <w:tcBorders>
              <w:top w:val="single" w:sz="4" w:space="0" w:color="000000" w:themeColor="text1"/>
              <w:bottom w:val="single" w:sz="4" w:space="0" w:color="A6A6A6" w:themeColor="accent5"/>
            </w:tcBorders>
            <w:shd w:val="clear" w:color="auto" w:fill="EEEEEF" w:themeFill="accent4"/>
            <w:noWrap/>
          </w:tcPr>
          <w:p w14:paraId="48D05002" w14:textId="77777777" w:rsidR="00265792" w:rsidRPr="00BA7805" w:rsidRDefault="00265792" w:rsidP="00292DBE">
            <w:pPr>
              <w:pStyle w:val="ARfintablebodyright"/>
              <w:spacing w:before="30"/>
              <w:rPr>
                <w:highlight w:val="green"/>
              </w:rPr>
            </w:pPr>
            <w:r w:rsidRPr="00564013">
              <w:t>52%</w:t>
            </w:r>
          </w:p>
        </w:tc>
        <w:tc>
          <w:tcPr>
            <w:tcW w:w="1021" w:type="dxa"/>
            <w:tcBorders>
              <w:top w:val="single" w:sz="4" w:space="0" w:color="000000" w:themeColor="text1"/>
              <w:bottom w:val="single" w:sz="4" w:space="0" w:color="A6A6A6" w:themeColor="accent5"/>
            </w:tcBorders>
            <w:noWrap/>
          </w:tcPr>
          <w:p w14:paraId="7A9A31B1" w14:textId="77777777" w:rsidR="00265792" w:rsidRPr="00BA7805" w:rsidRDefault="00265792" w:rsidP="00292DBE">
            <w:pPr>
              <w:pStyle w:val="ARfintablebodyright"/>
              <w:spacing w:before="30"/>
              <w:rPr>
                <w:highlight w:val="green"/>
              </w:rPr>
            </w:pPr>
          </w:p>
        </w:tc>
      </w:tr>
      <w:tr w:rsidR="00265792" w:rsidRPr="00BA7805" w14:paraId="391A9BDC" w14:textId="77777777" w:rsidTr="003D6A3A">
        <w:tc>
          <w:tcPr>
            <w:tcW w:w="2263" w:type="dxa"/>
            <w:tcBorders>
              <w:top w:val="single" w:sz="4" w:space="0" w:color="A6A6A6" w:themeColor="accent5"/>
              <w:bottom w:val="single" w:sz="4" w:space="0" w:color="000000" w:themeColor="text1"/>
            </w:tcBorders>
          </w:tcPr>
          <w:p w14:paraId="7E808EE6" w14:textId="77777777" w:rsidR="00265792" w:rsidRPr="00BA7805" w:rsidRDefault="00265792" w:rsidP="00AF564B">
            <w:pPr>
              <w:pStyle w:val="ARfintablebody"/>
              <w:rPr>
                <w:highlight w:val="green"/>
              </w:rPr>
            </w:pPr>
            <w:r w:rsidRPr="00B177AF">
              <w:t xml:space="preserve">Gross carrying </w:t>
            </w:r>
            <w:proofErr w:type="gramStart"/>
            <w:r w:rsidRPr="00B177AF">
              <w:t>amount</w:t>
            </w:r>
            <w:proofErr w:type="gramEnd"/>
            <w:r w:rsidRPr="00B177AF">
              <w:t xml:space="preserve"> of contractual receivables</w:t>
            </w:r>
          </w:p>
        </w:tc>
        <w:tc>
          <w:tcPr>
            <w:tcW w:w="993" w:type="dxa"/>
            <w:tcBorders>
              <w:top w:val="single" w:sz="4" w:space="0" w:color="A6A6A6" w:themeColor="accent5"/>
              <w:bottom w:val="single" w:sz="4" w:space="0" w:color="000000" w:themeColor="text1"/>
            </w:tcBorders>
            <w:shd w:val="clear" w:color="auto" w:fill="EEEEEF" w:themeFill="accent4"/>
            <w:noWrap/>
          </w:tcPr>
          <w:p w14:paraId="24F71720" w14:textId="77777777" w:rsidR="00265792" w:rsidRPr="00BA7805" w:rsidRDefault="00265792" w:rsidP="00AF564B">
            <w:pPr>
              <w:pStyle w:val="ARfintablebodyright"/>
              <w:spacing w:before="30"/>
              <w:rPr>
                <w:highlight w:val="green"/>
              </w:rPr>
            </w:pPr>
            <w:r w:rsidRPr="009F29CC">
              <w:t>23</w:t>
            </w:r>
            <w:r>
              <w:t>5.1</w:t>
            </w:r>
          </w:p>
        </w:tc>
        <w:tc>
          <w:tcPr>
            <w:tcW w:w="1165" w:type="dxa"/>
            <w:tcBorders>
              <w:top w:val="single" w:sz="4" w:space="0" w:color="A6A6A6" w:themeColor="accent5"/>
              <w:bottom w:val="single" w:sz="4" w:space="0" w:color="000000" w:themeColor="text1"/>
            </w:tcBorders>
            <w:noWrap/>
          </w:tcPr>
          <w:p w14:paraId="363EECFC" w14:textId="77777777" w:rsidR="00265792" w:rsidRPr="00BA7805" w:rsidRDefault="00265792" w:rsidP="00AF564B">
            <w:pPr>
              <w:pStyle w:val="ARfintablebodyright"/>
              <w:spacing w:before="30"/>
              <w:rPr>
                <w:highlight w:val="green"/>
              </w:rPr>
            </w:pPr>
            <w:r w:rsidRPr="009F29CC">
              <w:t>11</w:t>
            </w:r>
            <w:r>
              <w:t>7.0</w:t>
            </w:r>
          </w:p>
        </w:tc>
        <w:tc>
          <w:tcPr>
            <w:tcW w:w="1021" w:type="dxa"/>
            <w:tcBorders>
              <w:top w:val="single" w:sz="4" w:space="0" w:color="A6A6A6" w:themeColor="accent5"/>
              <w:bottom w:val="single" w:sz="4" w:space="0" w:color="000000" w:themeColor="text1"/>
            </w:tcBorders>
            <w:shd w:val="clear" w:color="auto" w:fill="EEEEEF" w:themeFill="accent4"/>
            <w:noWrap/>
          </w:tcPr>
          <w:p w14:paraId="27164887" w14:textId="77777777" w:rsidR="00265792" w:rsidRPr="00BA7805" w:rsidRDefault="00265792" w:rsidP="00AF564B">
            <w:pPr>
              <w:pStyle w:val="ARfintablebodyright"/>
              <w:spacing w:before="30"/>
              <w:rPr>
                <w:highlight w:val="green"/>
              </w:rPr>
            </w:pPr>
            <w:r w:rsidRPr="009F29CC">
              <w:t>77.8</w:t>
            </w:r>
          </w:p>
        </w:tc>
        <w:tc>
          <w:tcPr>
            <w:tcW w:w="1021" w:type="dxa"/>
            <w:tcBorders>
              <w:top w:val="single" w:sz="4" w:space="0" w:color="A6A6A6" w:themeColor="accent5"/>
              <w:bottom w:val="single" w:sz="4" w:space="0" w:color="000000" w:themeColor="text1"/>
            </w:tcBorders>
            <w:shd w:val="clear" w:color="auto" w:fill="EEEEEF" w:themeFill="accent4"/>
            <w:noWrap/>
          </w:tcPr>
          <w:p w14:paraId="1CE939BD" w14:textId="77777777" w:rsidR="00265792" w:rsidRPr="00BA7805" w:rsidRDefault="00265792" w:rsidP="00AF564B">
            <w:pPr>
              <w:pStyle w:val="ARfintablebodyright"/>
              <w:spacing w:before="30"/>
              <w:rPr>
                <w:color w:val="000000" w:themeColor="text1"/>
                <w:szCs w:val="18"/>
                <w:highlight w:val="green"/>
              </w:rPr>
            </w:pPr>
            <w:r w:rsidRPr="009F29CC">
              <w:t>11.7</w:t>
            </w:r>
          </w:p>
        </w:tc>
        <w:tc>
          <w:tcPr>
            <w:tcW w:w="1134" w:type="dxa"/>
            <w:tcBorders>
              <w:top w:val="single" w:sz="4" w:space="0" w:color="A6A6A6" w:themeColor="accent5"/>
              <w:bottom w:val="single" w:sz="4" w:space="0" w:color="000000" w:themeColor="text1"/>
            </w:tcBorders>
            <w:shd w:val="clear" w:color="auto" w:fill="EEEEEF" w:themeFill="accent4"/>
            <w:noWrap/>
          </w:tcPr>
          <w:p w14:paraId="3A58C135" w14:textId="77777777" w:rsidR="00265792" w:rsidRPr="00BA7805" w:rsidRDefault="00265792" w:rsidP="00AF564B">
            <w:pPr>
              <w:pStyle w:val="ARfintablebodyright"/>
              <w:spacing w:before="30"/>
              <w:rPr>
                <w:highlight w:val="green"/>
              </w:rPr>
            </w:pPr>
            <w:r w:rsidRPr="009F29CC">
              <w:t>18.7</w:t>
            </w:r>
          </w:p>
        </w:tc>
        <w:tc>
          <w:tcPr>
            <w:tcW w:w="1021" w:type="dxa"/>
            <w:tcBorders>
              <w:top w:val="single" w:sz="4" w:space="0" w:color="A6A6A6" w:themeColor="accent5"/>
              <w:bottom w:val="single" w:sz="4" w:space="0" w:color="000000" w:themeColor="text1"/>
            </w:tcBorders>
            <w:shd w:val="clear" w:color="auto" w:fill="EEEEEF" w:themeFill="accent4"/>
            <w:noWrap/>
          </w:tcPr>
          <w:p w14:paraId="79F8D4E8" w14:textId="77777777" w:rsidR="00265792" w:rsidRPr="002C7359" w:rsidRDefault="00265792" w:rsidP="00AF564B">
            <w:pPr>
              <w:pStyle w:val="ARfintablebodyright"/>
              <w:spacing w:before="30"/>
            </w:pPr>
            <w:r w:rsidRPr="003B1F7D">
              <w:t>9.9</w:t>
            </w:r>
          </w:p>
        </w:tc>
        <w:tc>
          <w:tcPr>
            <w:tcW w:w="1021" w:type="dxa"/>
            <w:tcBorders>
              <w:top w:val="single" w:sz="4" w:space="0" w:color="A6A6A6" w:themeColor="accent5"/>
              <w:bottom w:val="single" w:sz="4" w:space="0" w:color="000000" w:themeColor="text1"/>
            </w:tcBorders>
            <w:noWrap/>
          </w:tcPr>
          <w:p w14:paraId="5A0CD37F" w14:textId="77777777" w:rsidR="00265792" w:rsidRPr="002C7359" w:rsidRDefault="00265792" w:rsidP="00AF564B">
            <w:pPr>
              <w:pStyle w:val="ARfintablebodyright"/>
              <w:spacing w:before="30"/>
            </w:pPr>
          </w:p>
        </w:tc>
      </w:tr>
      <w:tr w:rsidR="00265792" w:rsidRPr="00BA7805" w14:paraId="6C9B8EF4" w14:textId="77777777">
        <w:tc>
          <w:tcPr>
            <w:tcW w:w="0" w:type="dxa"/>
            <w:tcBorders>
              <w:top w:val="single" w:sz="4" w:space="0" w:color="000000" w:themeColor="text1"/>
              <w:bottom w:val="single" w:sz="4" w:space="0" w:color="000000" w:themeColor="text1"/>
            </w:tcBorders>
          </w:tcPr>
          <w:p w14:paraId="4CDA0FE7" w14:textId="77777777" w:rsidR="00265792" w:rsidRPr="00BA7805" w:rsidRDefault="00265792" w:rsidP="00AF564B">
            <w:pPr>
              <w:pStyle w:val="ARfintablebodybold"/>
              <w:rPr>
                <w:highlight w:val="green"/>
              </w:rPr>
            </w:pPr>
            <w:r w:rsidRPr="00B177AF">
              <w:t>Loss allowance</w:t>
            </w:r>
          </w:p>
        </w:tc>
        <w:tc>
          <w:tcPr>
            <w:tcW w:w="0" w:type="dxa"/>
            <w:tcBorders>
              <w:top w:val="single" w:sz="4" w:space="0" w:color="000000" w:themeColor="text1"/>
              <w:bottom w:val="single" w:sz="4" w:space="0" w:color="000000" w:themeColor="text1"/>
            </w:tcBorders>
            <w:shd w:val="clear" w:color="auto" w:fill="EEEEEF" w:themeFill="accent4"/>
            <w:noWrap/>
          </w:tcPr>
          <w:p w14:paraId="64A0E79C" w14:textId="77777777" w:rsidR="00265792" w:rsidRPr="00BA7805" w:rsidRDefault="00265792" w:rsidP="00AF564B">
            <w:pPr>
              <w:pStyle w:val="ARfintablebodyright"/>
              <w:spacing w:before="30"/>
              <w:rPr>
                <w:highlight w:val="green"/>
              </w:rPr>
            </w:pPr>
          </w:p>
        </w:tc>
        <w:tc>
          <w:tcPr>
            <w:tcW w:w="0" w:type="dxa"/>
            <w:tcBorders>
              <w:top w:val="single" w:sz="4" w:space="0" w:color="000000" w:themeColor="text1"/>
              <w:bottom w:val="single" w:sz="4" w:space="0" w:color="000000" w:themeColor="text1"/>
            </w:tcBorders>
            <w:noWrap/>
          </w:tcPr>
          <w:p w14:paraId="0BE22B95" w14:textId="77777777" w:rsidR="00265792" w:rsidRPr="005138E4" w:rsidRDefault="00265792" w:rsidP="00AF564B">
            <w:pPr>
              <w:pStyle w:val="ARfintablebodyright"/>
              <w:spacing w:before="30"/>
              <w:rPr>
                <w:b/>
                <w:highlight w:val="green"/>
              </w:rPr>
            </w:pPr>
            <w:r w:rsidRPr="005138E4">
              <w:rPr>
                <w:b/>
              </w:rPr>
              <w:t>–</w:t>
            </w:r>
          </w:p>
        </w:tc>
        <w:tc>
          <w:tcPr>
            <w:tcW w:w="0" w:type="dxa"/>
            <w:tcBorders>
              <w:top w:val="single" w:sz="4" w:space="0" w:color="000000" w:themeColor="text1"/>
              <w:bottom w:val="single" w:sz="4" w:space="0" w:color="000000" w:themeColor="text1"/>
            </w:tcBorders>
            <w:shd w:val="clear" w:color="auto" w:fill="EEEEEF" w:themeFill="accent4"/>
            <w:noWrap/>
          </w:tcPr>
          <w:p w14:paraId="7EAEB9C8" w14:textId="77777777" w:rsidR="00265792" w:rsidRPr="005138E4" w:rsidRDefault="00265792" w:rsidP="00AF564B">
            <w:pPr>
              <w:pStyle w:val="ARfintablebodyright"/>
              <w:spacing w:before="30"/>
              <w:rPr>
                <w:b/>
                <w:highlight w:val="green"/>
              </w:rPr>
            </w:pPr>
            <w:r w:rsidRPr="005138E4">
              <w:rPr>
                <w:b/>
              </w:rPr>
              <w:t>–</w:t>
            </w:r>
          </w:p>
        </w:tc>
        <w:tc>
          <w:tcPr>
            <w:tcW w:w="0" w:type="dxa"/>
            <w:tcBorders>
              <w:top w:val="single" w:sz="4" w:space="0" w:color="000000" w:themeColor="text1"/>
              <w:bottom w:val="single" w:sz="4" w:space="0" w:color="000000" w:themeColor="text1"/>
            </w:tcBorders>
            <w:shd w:val="clear" w:color="auto" w:fill="EEEEEF" w:themeFill="accent4"/>
            <w:noWrap/>
          </w:tcPr>
          <w:p w14:paraId="101A38E0" w14:textId="77777777" w:rsidR="00265792" w:rsidRPr="005138E4" w:rsidRDefault="00265792" w:rsidP="00AF564B">
            <w:pPr>
              <w:pStyle w:val="ARfintablebodyright"/>
              <w:spacing w:before="30"/>
              <w:rPr>
                <w:b/>
                <w:color w:val="000000" w:themeColor="text1"/>
                <w:szCs w:val="18"/>
                <w:highlight w:val="green"/>
              </w:rPr>
            </w:pPr>
            <w:r w:rsidRPr="005138E4">
              <w:rPr>
                <w:b/>
              </w:rPr>
              <w:t>0.1</w:t>
            </w:r>
          </w:p>
        </w:tc>
        <w:tc>
          <w:tcPr>
            <w:tcW w:w="0" w:type="dxa"/>
            <w:tcBorders>
              <w:top w:val="single" w:sz="4" w:space="0" w:color="000000" w:themeColor="text1"/>
              <w:bottom w:val="single" w:sz="4" w:space="0" w:color="000000" w:themeColor="text1"/>
            </w:tcBorders>
            <w:shd w:val="clear" w:color="auto" w:fill="EEEEEF" w:themeFill="accent4"/>
            <w:noWrap/>
          </w:tcPr>
          <w:p w14:paraId="5904AFBB" w14:textId="77777777" w:rsidR="00265792" w:rsidRPr="005138E4" w:rsidRDefault="00265792" w:rsidP="00AF564B">
            <w:pPr>
              <w:pStyle w:val="ARfintablebodyright"/>
              <w:spacing w:before="30"/>
              <w:rPr>
                <w:b/>
              </w:rPr>
            </w:pPr>
            <w:r w:rsidRPr="005138E4">
              <w:rPr>
                <w:b/>
              </w:rPr>
              <w:t>4.6</w:t>
            </w:r>
          </w:p>
        </w:tc>
        <w:tc>
          <w:tcPr>
            <w:tcW w:w="0" w:type="dxa"/>
            <w:tcBorders>
              <w:top w:val="single" w:sz="4" w:space="0" w:color="000000" w:themeColor="text1"/>
              <w:bottom w:val="single" w:sz="4" w:space="0" w:color="000000" w:themeColor="text1"/>
            </w:tcBorders>
            <w:shd w:val="clear" w:color="auto" w:fill="EEEEEF" w:themeFill="accent4"/>
            <w:noWrap/>
          </w:tcPr>
          <w:p w14:paraId="23D68847" w14:textId="77777777" w:rsidR="00265792" w:rsidRPr="005138E4" w:rsidRDefault="00265792" w:rsidP="00AF564B">
            <w:pPr>
              <w:pStyle w:val="ARfintablebodyright"/>
              <w:spacing w:before="30"/>
              <w:rPr>
                <w:b/>
              </w:rPr>
            </w:pPr>
            <w:r w:rsidRPr="005138E4">
              <w:rPr>
                <w:b/>
              </w:rPr>
              <w:t>5.0</w:t>
            </w:r>
          </w:p>
        </w:tc>
        <w:tc>
          <w:tcPr>
            <w:tcW w:w="0" w:type="dxa"/>
            <w:tcBorders>
              <w:top w:val="single" w:sz="4" w:space="0" w:color="000000" w:themeColor="text1"/>
              <w:bottom w:val="single" w:sz="4" w:space="0" w:color="000000" w:themeColor="text1"/>
            </w:tcBorders>
            <w:noWrap/>
          </w:tcPr>
          <w:p w14:paraId="7836E27B" w14:textId="77777777" w:rsidR="00265792" w:rsidRPr="005138E4" w:rsidRDefault="00265792" w:rsidP="00AF564B">
            <w:pPr>
              <w:pStyle w:val="ARfintablebodyright"/>
              <w:spacing w:before="30"/>
              <w:rPr>
                <w:b/>
              </w:rPr>
            </w:pPr>
            <w:r w:rsidRPr="005138E4">
              <w:rPr>
                <w:b/>
              </w:rPr>
              <w:t>9.7</w:t>
            </w:r>
          </w:p>
        </w:tc>
      </w:tr>
      <w:tr w:rsidR="00265792" w:rsidRPr="00BA7805" w14:paraId="50942A51" w14:textId="77777777" w:rsidTr="003D6A3A">
        <w:tc>
          <w:tcPr>
            <w:tcW w:w="2263" w:type="dxa"/>
            <w:tcBorders>
              <w:top w:val="single" w:sz="4" w:space="0" w:color="000000" w:themeColor="text1"/>
              <w:bottom w:val="single" w:sz="4" w:space="0" w:color="A6A6A6" w:themeColor="accent5"/>
            </w:tcBorders>
          </w:tcPr>
          <w:p w14:paraId="26C813AA" w14:textId="77777777" w:rsidR="00265792" w:rsidRPr="00BA7805" w:rsidRDefault="00265792" w:rsidP="00D654D1">
            <w:pPr>
              <w:pStyle w:val="ARfintablebody"/>
              <w:rPr>
                <w:highlight w:val="green"/>
              </w:rPr>
            </w:pPr>
          </w:p>
        </w:tc>
        <w:tc>
          <w:tcPr>
            <w:tcW w:w="993" w:type="dxa"/>
            <w:tcBorders>
              <w:top w:val="single" w:sz="4" w:space="0" w:color="000000" w:themeColor="text1"/>
              <w:bottom w:val="single" w:sz="4" w:space="0" w:color="A6A6A6" w:themeColor="accent5"/>
            </w:tcBorders>
            <w:shd w:val="clear" w:color="auto" w:fill="EEEEEF" w:themeFill="accent4"/>
            <w:noWrap/>
          </w:tcPr>
          <w:p w14:paraId="64A71F52" w14:textId="77777777" w:rsidR="00265792" w:rsidRPr="00BA7805" w:rsidRDefault="00265792" w:rsidP="00D654D1">
            <w:pPr>
              <w:pStyle w:val="ARfintablebodyright"/>
              <w:spacing w:before="30"/>
              <w:rPr>
                <w:highlight w:val="green"/>
              </w:rPr>
            </w:pPr>
          </w:p>
        </w:tc>
        <w:tc>
          <w:tcPr>
            <w:tcW w:w="1165" w:type="dxa"/>
            <w:tcBorders>
              <w:top w:val="single" w:sz="4" w:space="0" w:color="000000" w:themeColor="text1"/>
              <w:bottom w:val="single" w:sz="4" w:space="0" w:color="A6A6A6" w:themeColor="accent5"/>
            </w:tcBorders>
            <w:noWrap/>
          </w:tcPr>
          <w:p w14:paraId="7A698053" w14:textId="77777777" w:rsidR="00265792" w:rsidRPr="00BA7805" w:rsidRDefault="00265792" w:rsidP="00D654D1">
            <w:pPr>
              <w:pStyle w:val="ARfintablebodyright"/>
              <w:spacing w:before="30"/>
              <w:rPr>
                <w:highlight w:val="green"/>
              </w:rPr>
            </w:pPr>
          </w:p>
        </w:tc>
        <w:tc>
          <w:tcPr>
            <w:tcW w:w="1021" w:type="dxa"/>
            <w:tcBorders>
              <w:top w:val="single" w:sz="4" w:space="0" w:color="000000" w:themeColor="text1"/>
              <w:bottom w:val="single" w:sz="4" w:space="0" w:color="A6A6A6" w:themeColor="accent5"/>
            </w:tcBorders>
            <w:shd w:val="clear" w:color="auto" w:fill="EEEEEF" w:themeFill="accent4"/>
            <w:noWrap/>
          </w:tcPr>
          <w:p w14:paraId="3C6CF3CD" w14:textId="77777777" w:rsidR="00265792" w:rsidRPr="00BA7805" w:rsidRDefault="00265792" w:rsidP="00D654D1">
            <w:pPr>
              <w:pStyle w:val="ARfintablebodyright"/>
              <w:spacing w:before="30"/>
              <w:rPr>
                <w:highlight w:val="green"/>
              </w:rPr>
            </w:pPr>
          </w:p>
        </w:tc>
        <w:tc>
          <w:tcPr>
            <w:tcW w:w="1021" w:type="dxa"/>
            <w:tcBorders>
              <w:top w:val="single" w:sz="4" w:space="0" w:color="000000" w:themeColor="text1"/>
              <w:bottom w:val="single" w:sz="4" w:space="0" w:color="A6A6A6" w:themeColor="accent5"/>
            </w:tcBorders>
            <w:shd w:val="clear" w:color="auto" w:fill="EEEEEF" w:themeFill="accent4"/>
            <w:noWrap/>
          </w:tcPr>
          <w:p w14:paraId="3AD1DEDB" w14:textId="77777777" w:rsidR="00265792" w:rsidRPr="00BA7805" w:rsidRDefault="00265792" w:rsidP="00D654D1">
            <w:pPr>
              <w:pStyle w:val="ARfintablebodyright"/>
              <w:spacing w:before="30"/>
              <w:rPr>
                <w:color w:val="000000" w:themeColor="text1"/>
                <w:szCs w:val="18"/>
                <w:highlight w:val="green"/>
              </w:rPr>
            </w:pPr>
          </w:p>
        </w:tc>
        <w:tc>
          <w:tcPr>
            <w:tcW w:w="1134" w:type="dxa"/>
            <w:tcBorders>
              <w:top w:val="single" w:sz="4" w:space="0" w:color="000000" w:themeColor="text1"/>
              <w:bottom w:val="single" w:sz="4" w:space="0" w:color="A6A6A6" w:themeColor="accent5"/>
            </w:tcBorders>
            <w:shd w:val="clear" w:color="auto" w:fill="EEEEEF" w:themeFill="accent4"/>
            <w:noWrap/>
          </w:tcPr>
          <w:p w14:paraId="205F5A2B" w14:textId="77777777" w:rsidR="00265792" w:rsidRPr="00BA7805" w:rsidRDefault="00265792" w:rsidP="00D654D1">
            <w:pPr>
              <w:pStyle w:val="ARfintablebodyright"/>
              <w:spacing w:before="30"/>
              <w:rPr>
                <w:highlight w:val="green"/>
              </w:rPr>
            </w:pPr>
          </w:p>
        </w:tc>
        <w:tc>
          <w:tcPr>
            <w:tcW w:w="1021" w:type="dxa"/>
            <w:tcBorders>
              <w:top w:val="single" w:sz="4" w:space="0" w:color="000000" w:themeColor="text1"/>
              <w:bottom w:val="single" w:sz="4" w:space="0" w:color="A6A6A6" w:themeColor="accent5"/>
            </w:tcBorders>
            <w:shd w:val="clear" w:color="auto" w:fill="EEEEEF" w:themeFill="accent4"/>
            <w:noWrap/>
          </w:tcPr>
          <w:p w14:paraId="0512D899" w14:textId="77777777" w:rsidR="00265792" w:rsidRPr="00BA7805" w:rsidRDefault="00265792" w:rsidP="00D654D1">
            <w:pPr>
              <w:pStyle w:val="ARfintablebodyright"/>
              <w:spacing w:before="30"/>
              <w:rPr>
                <w:highlight w:val="green"/>
              </w:rPr>
            </w:pPr>
          </w:p>
        </w:tc>
        <w:tc>
          <w:tcPr>
            <w:tcW w:w="1021" w:type="dxa"/>
            <w:tcBorders>
              <w:top w:val="single" w:sz="4" w:space="0" w:color="000000" w:themeColor="text1"/>
              <w:bottom w:val="single" w:sz="4" w:space="0" w:color="A6A6A6" w:themeColor="accent5"/>
            </w:tcBorders>
            <w:noWrap/>
          </w:tcPr>
          <w:p w14:paraId="3F0C292B" w14:textId="77777777" w:rsidR="00265792" w:rsidRPr="00BA7805" w:rsidRDefault="00265792" w:rsidP="00D654D1">
            <w:pPr>
              <w:pStyle w:val="ARfintablebodyright"/>
              <w:spacing w:before="30"/>
              <w:rPr>
                <w:highlight w:val="green"/>
              </w:rPr>
            </w:pPr>
          </w:p>
        </w:tc>
      </w:tr>
      <w:tr w:rsidR="00265792" w:rsidRPr="00BA7805" w14:paraId="28B0F934" w14:textId="77777777" w:rsidTr="003D6A3A">
        <w:tc>
          <w:tcPr>
            <w:tcW w:w="2263" w:type="dxa"/>
            <w:tcBorders>
              <w:top w:val="single" w:sz="4" w:space="0" w:color="A6A6A6" w:themeColor="accent5"/>
            </w:tcBorders>
          </w:tcPr>
          <w:p w14:paraId="5F283B24" w14:textId="77777777" w:rsidR="00265792" w:rsidRPr="00BA7805" w:rsidRDefault="00265792" w:rsidP="003D6A3A">
            <w:pPr>
              <w:pStyle w:val="ARfintablebodyboldcoloured"/>
              <w:rPr>
                <w:highlight w:val="green"/>
              </w:rPr>
            </w:pPr>
            <w:r w:rsidRPr="00B177AF">
              <w:t>2024</w:t>
            </w:r>
          </w:p>
        </w:tc>
        <w:tc>
          <w:tcPr>
            <w:tcW w:w="993" w:type="dxa"/>
            <w:tcBorders>
              <w:top w:val="single" w:sz="4" w:space="0" w:color="A6A6A6" w:themeColor="accent5"/>
            </w:tcBorders>
            <w:shd w:val="clear" w:color="auto" w:fill="EEEEEF" w:themeFill="accent4"/>
            <w:noWrap/>
          </w:tcPr>
          <w:p w14:paraId="2571CC7D" w14:textId="77777777" w:rsidR="00265792" w:rsidRPr="00BA7805" w:rsidRDefault="00265792" w:rsidP="00D654D1">
            <w:pPr>
              <w:pStyle w:val="ARfintablebodyright"/>
              <w:spacing w:before="30"/>
              <w:rPr>
                <w:highlight w:val="green"/>
              </w:rPr>
            </w:pPr>
          </w:p>
        </w:tc>
        <w:tc>
          <w:tcPr>
            <w:tcW w:w="1165" w:type="dxa"/>
            <w:tcBorders>
              <w:top w:val="single" w:sz="4" w:space="0" w:color="A6A6A6" w:themeColor="accent5"/>
            </w:tcBorders>
            <w:noWrap/>
          </w:tcPr>
          <w:p w14:paraId="19BEAD48" w14:textId="77777777" w:rsidR="00265792" w:rsidRPr="00BA7805" w:rsidRDefault="00265792" w:rsidP="00D654D1">
            <w:pPr>
              <w:pStyle w:val="ARfintablebodyright"/>
              <w:spacing w:before="30"/>
              <w:rPr>
                <w:highlight w:val="green"/>
              </w:rPr>
            </w:pPr>
          </w:p>
        </w:tc>
        <w:tc>
          <w:tcPr>
            <w:tcW w:w="1021" w:type="dxa"/>
            <w:tcBorders>
              <w:top w:val="single" w:sz="4" w:space="0" w:color="A6A6A6" w:themeColor="accent5"/>
            </w:tcBorders>
            <w:shd w:val="clear" w:color="auto" w:fill="EEEEEF" w:themeFill="accent4"/>
            <w:noWrap/>
          </w:tcPr>
          <w:p w14:paraId="430A5CC7" w14:textId="77777777" w:rsidR="00265792" w:rsidRPr="00BA7805" w:rsidRDefault="00265792" w:rsidP="00D654D1">
            <w:pPr>
              <w:pStyle w:val="ARfintablebodyright"/>
              <w:spacing w:before="30"/>
              <w:rPr>
                <w:highlight w:val="green"/>
              </w:rPr>
            </w:pPr>
          </w:p>
        </w:tc>
        <w:tc>
          <w:tcPr>
            <w:tcW w:w="1021" w:type="dxa"/>
            <w:tcBorders>
              <w:top w:val="single" w:sz="4" w:space="0" w:color="A6A6A6" w:themeColor="accent5"/>
            </w:tcBorders>
            <w:shd w:val="clear" w:color="auto" w:fill="EEEEEF" w:themeFill="accent4"/>
            <w:noWrap/>
          </w:tcPr>
          <w:p w14:paraId="7F960BEA" w14:textId="77777777" w:rsidR="00265792" w:rsidRPr="00BA7805" w:rsidRDefault="00265792" w:rsidP="00D654D1">
            <w:pPr>
              <w:pStyle w:val="ARfintablebodyright"/>
              <w:spacing w:before="30"/>
              <w:rPr>
                <w:color w:val="000000" w:themeColor="text1"/>
                <w:szCs w:val="18"/>
                <w:highlight w:val="green"/>
              </w:rPr>
            </w:pPr>
          </w:p>
        </w:tc>
        <w:tc>
          <w:tcPr>
            <w:tcW w:w="1134" w:type="dxa"/>
            <w:tcBorders>
              <w:top w:val="single" w:sz="4" w:space="0" w:color="A6A6A6" w:themeColor="accent5"/>
            </w:tcBorders>
            <w:shd w:val="clear" w:color="auto" w:fill="EEEEEF" w:themeFill="accent4"/>
            <w:noWrap/>
          </w:tcPr>
          <w:p w14:paraId="3A54171B" w14:textId="77777777" w:rsidR="00265792" w:rsidRPr="00BA7805" w:rsidRDefault="00265792" w:rsidP="00D654D1">
            <w:pPr>
              <w:pStyle w:val="ARfintablebodyright"/>
              <w:spacing w:before="30"/>
              <w:rPr>
                <w:highlight w:val="green"/>
              </w:rPr>
            </w:pPr>
          </w:p>
        </w:tc>
        <w:tc>
          <w:tcPr>
            <w:tcW w:w="1021" w:type="dxa"/>
            <w:tcBorders>
              <w:top w:val="single" w:sz="4" w:space="0" w:color="A6A6A6" w:themeColor="accent5"/>
            </w:tcBorders>
            <w:shd w:val="clear" w:color="auto" w:fill="EEEEEF" w:themeFill="accent4"/>
            <w:noWrap/>
          </w:tcPr>
          <w:p w14:paraId="47072D77" w14:textId="77777777" w:rsidR="00265792" w:rsidRPr="00BA7805" w:rsidRDefault="00265792" w:rsidP="00D654D1">
            <w:pPr>
              <w:pStyle w:val="ARfintablebodyright"/>
              <w:spacing w:before="30"/>
              <w:rPr>
                <w:highlight w:val="green"/>
              </w:rPr>
            </w:pPr>
          </w:p>
        </w:tc>
        <w:tc>
          <w:tcPr>
            <w:tcW w:w="1021" w:type="dxa"/>
            <w:tcBorders>
              <w:top w:val="single" w:sz="4" w:space="0" w:color="A6A6A6" w:themeColor="accent5"/>
            </w:tcBorders>
            <w:noWrap/>
          </w:tcPr>
          <w:p w14:paraId="79681315" w14:textId="77777777" w:rsidR="00265792" w:rsidRPr="00BA7805" w:rsidRDefault="00265792" w:rsidP="00D654D1">
            <w:pPr>
              <w:pStyle w:val="ARfintablebodyright"/>
              <w:spacing w:before="30"/>
              <w:rPr>
                <w:highlight w:val="green"/>
              </w:rPr>
            </w:pPr>
          </w:p>
        </w:tc>
      </w:tr>
      <w:tr w:rsidR="00265792" w:rsidRPr="00BA7805" w14:paraId="2B80B1EC" w14:textId="77777777" w:rsidTr="003755B5">
        <w:tc>
          <w:tcPr>
            <w:tcW w:w="2263" w:type="dxa"/>
          </w:tcPr>
          <w:p w14:paraId="2854FB03" w14:textId="77777777" w:rsidR="00265792" w:rsidRPr="00BA7805" w:rsidRDefault="00265792" w:rsidP="008E2490">
            <w:pPr>
              <w:pStyle w:val="ARfintablebodybold"/>
              <w:rPr>
                <w:highlight w:val="green"/>
              </w:rPr>
            </w:pPr>
            <w:r w:rsidRPr="00B177AF">
              <w:t>Expected loss rate</w:t>
            </w:r>
          </w:p>
        </w:tc>
        <w:tc>
          <w:tcPr>
            <w:tcW w:w="993" w:type="dxa"/>
            <w:shd w:val="clear" w:color="auto" w:fill="EEEEEF" w:themeFill="accent4"/>
            <w:noWrap/>
          </w:tcPr>
          <w:p w14:paraId="5F2E61A1" w14:textId="77777777" w:rsidR="00265792" w:rsidRPr="00BA7805" w:rsidRDefault="00265792" w:rsidP="00292DBE">
            <w:pPr>
              <w:pStyle w:val="ARfintablebodyright"/>
              <w:rPr>
                <w:highlight w:val="green"/>
              </w:rPr>
            </w:pPr>
          </w:p>
        </w:tc>
        <w:tc>
          <w:tcPr>
            <w:tcW w:w="1165" w:type="dxa"/>
            <w:noWrap/>
          </w:tcPr>
          <w:p w14:paraId="11643888" w14:textId="77777777" w:rsidR="00265792" w:rsidRPr="00BA7805" w:rsidRDefault="00265792" w:rsidP="00292DBE">
            <w:pPr>
              <w:pStyle w:val="ARfintablebodyright"/>
              <w:rPr>
                <w:highlight w:val="green"/>
              </w:rPr>
            </w:pPr>
            <w:r w:rsidRPr="009F29CC">
              <w:t>0%</w:t>
            </w:r>
          </w:p>
        </w:tc>
        <w:tc>
          <w:tcPr>
            <w:tcW w:w="1021" w:type="dxa"/>
            <w:shd w:val="clear" w:color="auto" w:fill="EEEEEF" w:themeFill="accent4"/>
            <w:noWrap/>
          </w:tcPr>
          <w:p w14:paraId="4CD9611E" w14:textId="77777777" w:rsidR="00265792" w:rsidRPr="00BA7805" w:rsidRDefault="00265792" w:rsidP="00292DBE">
            <w:pPr>
              <w:pStyle w:val="ARfintablebodyright"/>
              <w:rPr>
                <w:highlight w:val="green"/>
              </w:rPr>
            </w:pPr>
            <w:r w:rsidRPr="009F29CC">
              <w:t>0%</w:t>
            </w:r>
          </w:p>
        </w:tc>
        <w:tc>
          <w:tcPr>
            <w:tcW w:w="1021" w:type="dxa"/>
            <w:shd w:val="clear" w:color="auto" w:fill="EEEEEF" w:themeFill="accent4"/>
            <w:noWrap/>
          </w:tcPr>
          <w:p w14:paraId="4A6FA014" w14:textId="77777777" w:rsidR="00265792" w:rsidRPr="00BA7805" w:rsidRDefault="00265792" w:rsidP="00292DBE">
            <w:pPr>
              <w:pStyle w:val="ARfintablebodyright"/>
              <w:rPr>
                <w:color w:val="000000" w:themeColor="text1"/>
                <w:szCs w:val="18"/>
                <w:highlight w:val="green"/>
              </w:rPr>
            </w:pPr>
            <w:r w:rsidRPr="009F29CC">
              <w:t>5%</w:t>
            </w:r>
          </w:p>
        </w:tc>
        <w:tc>
          <w:tcPr>
            <w:tcW w:w="1134" w:type="dxa"/>
            <w:shd w:val="clear" w:color="auto" w:fill="EEEEEF" w:themeFill="accent4"/>
            <w:noWrap/>
          </w:tcPr>
          <w:p w14:paraId="375CF37C" w14:textId="77777777" w:rsidR="00265792" w:rsidRPr="00BA7805" w:rsidRDefault="00265792" w:rsidP="00292DBE">
            <w:pPr>
              <w:pStyle w:val="ARfintablebodyright"/>
              <w:rPr>
                <w:highlight w:val="green"/>
              </w:rPr>
            </w:pPr>
            <w:r w:rsidRPr="009F29CC">
              <w:t>35%</w:t>
            </w:r>
          </w:p>
        </w:tc>
        <w:tc>
          <w:tcPr>
            <w:tcW w:w="1021" w:type="dxa"/>
            <w:shd w:val="clear" w:color="auto" w:fill="EEEEEF" w:themeFill="accent4"/>
            <w:noWrap/>
          </w:tcPr>
          <w:p w14:paraId="03F5BC2F" w14:textId="77777777" w:rsidR="00265792" w:rsidRPr="00BA7805" w:rsidRDefault="00265792" w:rsidP="00292DBE">
            <w:pPr>
              <w:pStyle w:val="ARfintablebodyright"/>
              <w:rPr>
                <w:highlight w:val="green"/>
              </w:rPr>
            </w:pPr>
            <w:r w:rsidRPr="009F29CC">
              <w:t>62%</w:t>
            </w:r>
          </w:p>
        </w:tc>
        <w:tc>
          <w:tcPr>
            <w:tcW w:w="1021" w:type="dxa"/>
            <w:noWrap/>
          </w:tcPr>
          <w:p w14:paraId="05410C47" w14:textId="77777777" w:rsidR="00265792" w:rsidRPr="00BA7805" w:rsidRDefault="00265792" w:rsidP="00292DBE">
            <w:pPr>
              <w:pStyle w:val="ARfintablebodyright"/>
              <w:rPr>
                <w:highlight w:val="green"/>
              </w:rPr>
            </w:pPr>
          </w:p>
        </w:tc>
      </w:tr>
      <w:tr w:rsidR="00265792" w:rsidRPr="00BA7805" w14:paraId="19DE6B55" w14:textId="77777777" w:rsidTr="003755B5">
        <w:tc>
          <w:tcPr>
            <w:tcW w:w="2263" w:type="dxa"/>
          </w:tcPr>
          <w:p w14:paraId="03367212" w14:textId="77777777" w:rsidR="00265792" w:rsidRPr="00BA7805" w:rsidRDefault="00265792" w:rsidP="008E2490">
            <w:pPr>
              <w:pStyle w:val="ARfintablebody"/>
              <w:rPr>
                <w:highlight w:val="green"/>
              </w:rPr>
            </w:pPr>
            <w:r w:rsidRPr="00B177AF">
              <w:t xml:space="preserve">Gross carrying </w:t>
            </w:r>
            <w:proofErr w:type="gramStart"/>
            <w:r w:rsidRPr="00B177AF">
              <w:t>amount</w:t>
            </w:r>
            <w:proofErr w:type="gramEnd"/>
            <w:r w:rsidRPr="00B177AF">
              <w:t xml:space="preserve"> of contractual receivables </w:t>
            </w:r>
          </w:p>
        </w:tc>
        <w:tc>
          <w:tcPr>
            <w:tcW w:w="993" w:type="dxa"/>
            <w:shd w:val="clear" w:color="auto" w:fill="EEEEEF" w:themeFill="accent4"/>
            <w:noWrap/>
          </w:tcPr>
          <w:p w14:paraId="5AC2CD04" w14:textId="77777777" w:rsidR="00265792" w:rsidRPr="00BA7805" w:rsidRDefault="00265792" w:rsidP="008E2490">
            <w:pPr>
              <w:pStyle w:val="ARfintablebodyright"/>
              <w:spacing w:before="30"/>
              <w:rPr>
                <w:highlight w:val="green"/>
              </w:rPr>
            </w:pPr>
            <w:r w:rsidRPr="009F29CC">
              <w:t>32</w:t>
            </w:r>
            <w:r>
              <w:t>2.1</w:t>
            </w:r>
          </w:p>
        </w:tc>
        <w:tc>
          <w:tcPr>
            <w:tcW w:w="1165" w:type="dxa"/>
            <w:noWrap/>
          </w:tcPr>
          <w:p w14:paraId="7E40004C" w14:textId="77777777" w:rsidR="00265792" w:rsidRPr="00BA7805" w:rsidRDefault="00265792" w:rsidP="008E2490">
            <w:pPr>
              <w:pStyle w:val="ARfintablebodyright"/>
              <w:spacing w:before="30"/>
              <w:rPr>
                <w:highlight w:val="green"/>
              </w:rPr>
            </w:pPr>
            <w:r w:rsidRPr="009F29CC">
              <w:t>6</w:t>
            </w:r>
            <w:r>
              <w:t>5.6</w:t>
            </w:r>
          </w:p>
        </w:tc>
        <w:tc>
          <w:tcPr>
            <w:tcW w:w="1021" w:type="dxa"/>
            <w:shd w:val="clear" w:color="auto" w:fill="EEEEEF" w:themeFill="accent4"/>
            <w:noWrap/>
          </w:tcPr>
          <w:p w14:paraId="78585F63" w14:textId="77777777" w:rsidR="00265792" w:rsidRPr="00BA7805" w:rsidRDefault="00265792" w:rsidP="008E2490">
            <w:pPr>
              <w:pStyle w:val="ARfintablebodyright"/>
              <w:spacing w:before="30"/>
              <w:rPr>
                <w:highlight w:val="green"/>
              </w:rPr>
            </w:pPr>
            <w:r w:rsidRPr="009F29CC">
              <w:t>206.6</w:t>
            </w:r>
          </w:p>
        </w:tc>
        <w:tc>
          <w:tcPr>
            <w:tcW w:w="1021" w:type="dxa"/>
            <w:shd w:val="clear" w:color="auto" w:fill="EEEEEF" w:themeFill="accent4"/>
            <w:noWrap/>
          </w:tcPr>
          <w:p w14:paraId="71505BDD" w14:textId="77777777" w:rsidR="00265792" w:rsidRPr="00BA7805" w:rsidRDefault="00265792" w:rsidP="008E2490">
            <w:pPr>
              <w:pStyle w:val="ARfintablebodyright"/>
              <w:spacing w:before="30"/>
              <w:rPr>
                <w:highlight w:val="green"/>
              </w:rPr>
            </w:pPr>
            <w:r w:rsidRPr="009F29CC">
              <w:t>40.1</w:t>
            </w:r>
          </w:p>
        </w:tc>
        <w:tc>
          <w:tcPr>
            <w:tcW w:w="1134" w:type="dxa"/>
            <w:shd w:val="clear" w:color="auto" w:fill="EEEEEF" w:themeFill="accent4"/>
            <w:noWrap/>
          </w:tcPr>
          <w:p w14:paraId="32E113B7" w14:textId="77777777" w:rsidR="00265792" w:rsidRPr="00BA7805" w:rsidRDefault="00265792" w:rsidP="008E2490">
            <w:pPr>
              <w:pStyle w:val="ARfintablebodyright"/>
              <w:spacing w:before="30"/>
              <w:rPr>
                <w:highlight w:val="green"/>
              </w:rPr>
            </w:pPr>
            <w:r w:rsidRPr="009F29CC">
              <w:t>5.2</w:t>
            </w:r>
          </w:p>
        </w:tc>
        <w:tc>
          <w:tcPr>
            <w:tcW w:w="1021" w:type="dxa"/>
            <w:shd w:val="clear" w:color="auto" w:fill="EEEEEF" w:themeFill="accent4"/>
            <w:noWrap/>
          </w:tcPr>
          <w:p w14:paraId="7FBE12A4" w14:textId="77777777" w:rsidR="00265792" w:rsidRPr="00BA7805" w:rsidRDefault="00265792" w:rsidP="008E2490">
            <w:pPr>
              <w:pStyle w:val="ARfintablebodyright"/>
              <w:spacing w:before="30"/>
              <w:rPr>
                <w:highlight w:val="green"/>
              </w:rPr>
            </w:pPr>
            <w:r w:rsidRPr="009F29CC">
              <w:t>4.6</w:t>
            </w:r>
          </w:p>
        </w:tc>
        <w:tc>
          <w:tcPr>
            <w:tcW w:w="1021" w:type="dxa"/>
            <w:noWrap/>
          </w:tcPr>
          <w:p w14:paraId="39DE2280" w14:textId="77777777" w:rsidR="00265792" w:rsidRPr="00BA7805" w:rsidRDefault="00265792" w:rsidP="008E2490">
            <w:pPr>
              <w:pStyle w:val="ARfintablebodyright"/>
              <w:spacing w:before="30"/>
              <w:rPr>
                <w:highlight w:val="green"/>
              </w:rPr>
            </w:pPr>
          </w:p>
        </w:tc>
      </w:tr>
      <w:tr w:rsidR="00265792" w:rsidRPr="00BA7805" w14:paraId="77FEC45F" w14:textId="77777777" w:rsidTr="003755B5">
        <w:trPr>
          <w:cnfStyle w:val="010000000000" w:firstRow="0" w:lastRow="1" w:firstColumn="0" w:lastColumn="0" w:oddVBand="0" w:evenVBand="0" w:oddHBand="0" w:evenHBand="0" w:firstRowFirstColumn="0" w:firstRowLastColumn="0" w:lastRowFirstColumn="0" w:lastRowLastColumn="0"/>
        </w:trPr>
        <w:tc>
          <w:tcPr>
            <w:tcW w:w="2263" w:type="dxa"/>
          </w:tcPr>
          <w:p w14:paraId="04C865C3" w14:textId="77777777" w:rsidR="00265792" w:rsidRPr="00BA7805" w:rsidRDefault="00265792" w:rsidP="008E2490">
            <w:pPr>
              <w:pStyle w:val="ARfintablebodybold"/>
              <w:rPr>
                <w:highlight w:val="green"/>
              </w:rPr>
            </w:pPr>
            <w:r w:rsidRPr="00B177AF">
              <w:t>Loss allowance</w:t>
            </w:r>
          </w:p>
        </w:tc>
        <w:tc>
          <w:tcPr>
            <w:tcW w:w="993" w:type="dxa"/>
            <w:shd w:val="clear" w:color="auto" w:fill="EEEEEF" w:themeFill="accent4"/>
            <w:noWrap/>
          </w:tcPr>
          <w:p w14:paraId="16F4A111" w14:textId="77777777" w:rsidR="00265792" w:rsidRPr="00BA7805" w:rsidRDefault="00265792" w:rsidP="008E2490">
            <w:pPr>
              <w:pStyle w:val="ARfintablebodyrightbold"/>
              <w:spacing w:before="30"/>
              <w:rPr>
                <w:highlight w:val="green"/>
              </w:rPr>
            </w:pPr>
          </w:p>
        </w:tc>
        <w:tc>
          <w:tcPr>
            <w:tcW w:w="1165" w:type="dxa"/>
            <w:noWrap/>
          </w:tcPr>
          <w:p w14:paraId="41D3B7A2" w14:textId="77777777" w:rsidR="00265792" w:rsidRPr="00BA7805" w:rsidRDefault="00265792" w:rsidP="008E2490">
            <w:pPr>
              <w:pStyle w:val="ARfintablebodyrightbold"/>
              <w:spacing w:before="30"/>
              <w:rPr>
                <w:highlight w:val="green"/>
              </w:rPr>
            </w:pPr>
            <w:r>
              <w:t>–</w:t>
            </w:r>
          </w:p>
        </w:tc>
        <w:tc>
          <w:tcPr>
            <w:tcW w:w="1021" w:type="dxa"/>
            <w:shd w:val="clear" w:color="auto" w:fill="EEEEEF" w:themeFill="accent4"/>
            <w:noWrap/>
          </w:tcPr>
          <w:p w14:paraId="72388D00" w14:textId="77777777" w:rsidR="00265792" w:rsidRPr="00BA7805" w:rsidRDefault="00265792" w:rsidP="008E2490">
            <w:pPr>
              <w:pStyle w:val="ARfintablebodyrightbold"/>
              <w:spacing w:before="30"/>
              <w:rPr>
                <w:highlight w:val="green"/>
              </w:rPr>
            </w:pPr>
            <w:r w:rsidRPr="009F29CC">
              <w:t>0.6</w:t>
            </w:r>
          </w:p>
        </w:tc>
        <w:tc>
          <w:tcPr>
            <w:tcW w:w="1021" w:type="dxa"/>
            <w:shd w:val="clear" w:color="auto" w:fill="EEEEEF" w:themeFill="accent4"/>
            <w:noWrap/>
          </w:tcPr>
          <w:p w14:paraId="7E864051" w14:textId="77777777" w:rsidR="00265792" w:rsidRPr="00BA7805" w:rsidRDefault="00265792" w:rsidP="008E2490">
            <w:pPr>
              <w:pStyle w:val="ARfintablebodyrightbold"/>
              <w:spacing w:before="30"/>
              <w:rPr>
                <w:highlight w:val="green"/>
              </w:rPr>
            </w:pPr>
            <w:r w:rsidRPr="009F29CC">
              <w:t>1.9</w:t>
            </w:r>
          </w:p>
        </w:tc>
        <w:tc>
          <w:tcPr>
            <w:tcW w:w="1134" w:type="dxa"/>
            <w:shd w:val="clear" w:color="auto" w:fill="EEEEEF" w:themeFill="accent4"/>
            <w:noWrap/>
          </w:tcPr>
          <w:p w14:paraId="7F5E656C" w14:textId="77777777" w:rsidR="00265792" w:rsidRPr="00BA7805" w:rsidRDefault="00265792" w:rsidP="008E2490">
            <w:pPr>
              <w:pStyle w:val="ARfintablebodyrightbold"/>
              <w:spacing w:before="30"/>
              <w:rPr>
                <w:highlight w:val="green"/>
              </w:rPr>
            </w:pPr>
            <w:r w:rsidRPr="009F29CC">
              <w:t>1.8</w:t>
            </w:r>
          </w:p>
        </w:tc>
        <w:tc>
          <w:tcPr>
            <w:tcW w:w="1021" w:type="dxa"/>
            <w:shd w:val="clear" w:color="auto" w:fill="EEEEEF" w:themeFill="accent4"/>
            <w:noWrap/>
          </w:tcPr>
          <w:p w14:paraId="6365E621" w14:textId="77777777" w:rsidR="00265792" w:rsidRPr="00BA7805" w:rsidRDefault="00265792" w:rsidP="008E2490">
            <w:pPr>
              <w:pStyle w:val="ARfintablebodyrightbold"/>
              <w:spacing w:before="30"/>
              <w:rPr>
                <w:highlight w:val="green"/>
              </w:rPr>
            </w:pPr>
            <w:r w:rsidRPr="009F29CC">
              <w:t>2.8</w:t>
            </w:r>
          </w:p>
        </w:tc>
        <w:tc>
          <w:tcPr>
            <w:tcW w:w="1021" w:type="dxa"/>
            <w:noWrap/>
          </w:tcPr>
          <w:p w14:paraId="573A709B" w14:textId="77777777" w:rsidR="00265792" w:rsidRPr="00BA7805" w:rsidRDefault="00265792" w:rsidP="008E2490">
            <w:pPr>
              <w:pStyle w:val="ARfintablebodyrightbold"/>
              <w:spacing w:before="30"/>
              <w:rPr>
                <w:highlight w:val="green"/>
              </w:rPr>
            </w:pPr>
            <w:r w:rsidRPr="009F29CC">
              <w:t>7.1</w:t>
            </w:r>
          </w:p>
        </w:tc>
      </w:tr>
    </w:tbl>
    <w:p w14:paraId="03C05718" w14:textId="77777777" w:rsidR="00265792" w:rsidRPr="00D676EA" w:rsidRDefault="00265792">
      <w:pPr>
        <w:pStyle w:val="ARfintablefootnote"/>
        <w:rPr>
          <w:lang w:eastAsia="en-AU"/>
        </w:rPr>
      </w:pPr>
      <w:r w:rsidRPr="00D676EA">
        <w:rPr>
          <w:lang w:eastAsia="en-AU"/>
        </w:rPr>
        <w:t>Note:</w:t>
      </w:r>
    </w:p>
    <w:p w14:paraId="04D9DA76" w14:textId="77777777" w:rsidR="00265792" w:rsidRDefault="00265792" w:rsidP="00AD3856">
      <w:pPr>
        <w:pStyle w:val="ARfintablefootnotetabindent"/>
      </w:pPr>
      <w:r>
        <w:t>(</w:t>
      </w:r>
      <w:proofErr w:type="spellStart"/>
      <w:r>
        <w:t>i</w:t>
      </w:r>
      <w:proofErr w:type="spellEnd"/>
      <w:r>
        <w:t xml:space="preserve">) </w:t>
      </w:r>
      <w:r>
        <w:tab/>
        <w:t>The amounts disclosed here include repayments of borrowings that are not scheduled to be repaid in the next 12 months.</w:t>
      </w:r>
    </w:p>
    <w:p w14:paraId="349E90D3" w14:textId="77777777" w:rsidR="00265792" w:rsidRDefault="00265792" w:rsidP="00AD3856">
      <w:pPr>
        <w:pStyle w:val="ARfinbodyaftertable"/>
      </w:pPr>
      <w:r>
        <w:t>The average credit period for receivables is 30 days.</w:t>
      </w:r>
    </w:p>
    <w:p w14:paraId="4226ABB8" w14:textId="77777777" w:rsidR="00265792" w:rsidRDefault="00265792" w:rsidP="00AD3856">
      <w:pPr>
        <w:pStyle w:val="ARfinbodylargespace"/>
        <w:rPr>
          <w:highlight w:val="green"/>
        </w:rPr>
      </w:pPr>
      <w:r>
        <w:t>Reconciliation of movement in the loss allowance for contractual receivables is shown as follows:</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16D8C13E" w14:textId="77777777" w:rsidTr="0039474D">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60968D1B" w14:textId="77777777" w:rsidR="00265792" w:rsidRPr="00BA7805" w:rsidRDefault="00265792">
            <w:pPr>
              <w:pStyle w:val="ARfintablecolhead"/>
              <w:rPr>
                <w:highlight w:val="green"/>
              </w:rPr>
            </w:pPr>
          </w:p>
        </w:tc>
        <w:tc>
          <w:tcPr>
            <w:tcW w:w="1361" w:type="dxa"/>
            <w:shd w:val="clear" w:color="auto" w:fill="EEEEEF" w:themeFill="accent4"/>
            <w:hideMark/>
          </w:tcPr>
          <w:p w14:paraId="0AB027CB" w14:textId="77777777" w:rsidR="00265792" w:rsidRPr="001C5F4E" w:rsidRDefault="00265792">
            <w:pPr>
              <w:pStyle w:val="ARfintablecolheadright"/>
            </w:pPr>
            <w:r w:rsidRPr="001C5F4E">
              <w:t>2024</w:t>
            </w:r>
          </w:p>
          <w:p w14:paraId="22F34833" w14:textId="77777777" w:rsidR="00265792" w:rsidRPr="001C5F4E" w:rsidRDefault="00265792">
            <w:pPr>
              <w:pStyle w:val="ARfintablecolheadright"/>
            </w:pPr>
            <w:r w:rsidRPr="001C5F4E">
              <w:t>$M</w:t>
            </w:r>
          </w:p>
        </w:tc>
        <w:tc>
          <w:tcPr>
            <w:tcW w:w="1361" w:type="dxa"/>
            <w:hideMark/>
          </w:tcPr>
          <w:p w14:paraId="6A25A1DE" w14:textId="77777777" w:rsidR="00265792" w:rsidRPr="001C5F4E" w:rsidRDefault="00265792">
            <w:pPr>
              <w:pStyle w:val="ARfintablecolheadright"/>
            </w:pPr>
            <w:r w:rsidRPr="001C5F4E">
              <w:t>2023</w:t>
            </w:r>
          </w:p>
          <w:p w14:paraId="40BFBD95" w14:textId="77777777" w:rsidR="00265792" w:rsidRPr="001C5F4E" w:rsidRDefault="00265792">
            <w:pPr>
              <w:pStyle w:val="ARfintablecolheadright"/>
            </w:pPr>
            <w:r w:rsidRPr="001C5F4E">
              <w:t>$M</w:t>
            </w:r>
          </w:p>
        </w:tc>
      </w:tr>
      <w:tr w:rsidR="00265792" w:rsidRPr="00BA7805" w14:paraId="1EA59E29" w14:textId="77777777" w:rsidTr="0039474D">
        <w:tc>
          <w:tcPr>
            <w:tcW w:w="6915" w:type="dxa"/>
            <w:tcBorders>
              <w:top w:val="single" w:sz="4" w:space="0" w:color="000000" w:themeColor="text1"/>
              <w:bottom w:val="single" w:sz="4" w:space="0" w:color="auto"/>
            </w:tcBorders>
          </w:tcPr>
          <w:p w14:paraId="147A1F46" w14:textId="77777777" w:rsidR="00265792" w:rsidRPr="00084780" w:rsidRDefault="00265792" w:rsidP="00084780">
            <w:pPr>
              <w:pStyle w:val="ARfintablebodybold"/>
              <w:rPr>
                <w:highlight w:val="green"/>
              </w:rPr>
            </w:pPr>
            <w:r w:rsidRPr="00084780">
              <w:t>Balance at beginning of the year</w:t>
            </w:r>
          </w:p>
        </w:tc>
        <w:tc>
          <w:tcPr>
            <w:tcW w:w="1361" w:type="dxa"/>
            <w:tcBorders>
              <w:top w:val="single" w:sz="4" w:space="0" w:color="000000" w:themeColor="text1"/>
              <w:bottom w:val="single" w:sz="4" w:space="0" w:color="auto"/>
            </w:tcBorders>
            <w:shd w:val="clear" w:color="auto" w:fill="EEEEEF" w:themeFill="accent4"/>
            <w:noWrap/>
          </w:tcPr>
          <w:p w14:paraId="2C0E794D" w14:textId="77777777" w:rsidR="00265792" w:rsidRPr="00BA7805" w:rsidRDefault="00265792" w:rsidP="00084780">
            <w:pPr>
              <w:pStyle w:val="ARfintablebodyrightbold"/>
              <w:rPr>
                <w:highlight w:val="green"/>
              </w:rPr>
            </w:pPr>
            <w:r w:rsidRPr="00086B93">
              <w:t>(7.1)</w:t>
            </w:r>
          </w:p>
        </w:tc>
        <w:tc>
          <w:tcPr>
            <w:tcW w:w="1361" w:type="dxa"/>
            <w:tcBorders>
              <w:top w:val="single" w:sz="4" w:space="0" w:color="000000" w:themeColor="text1"/>
              <w:bottom w:val="single" w:sz="4" w:space="0" w:color="auto"/>
            </w:tcBorders>
            <w:noWrap/>
          </w:tcPr>
          <w:p w14:paraId="425053A4" w14:textId="77777777" w:rsidR="00265792" w:rsidRPr="00BA7805" w:rsidRDefault="00265792" w:rsidP="00084780">
            <w:pPr>
              <w:pStyle w:val="ARfintablebodyrightbold"/>
              <w:rPr>
                <w:highlight w:val="green"/>
              </w:rPr>
            </w:pPr>
            <w:r w:rsidRPr="00086B93">
              <w:t>(10.7)</w:t>
            </w:r>
          </w:p>
        </w:tc>
      </w:tr>
      <w:tr w:rsidR="00265792" w:rsidRPr="00BA7805" w14:paraId="6CC6E52C" w14:textId="77777777" w:rsidTr="0039474D">
        <w:tc>
          <w:tcPr>
            <w:tcW w:w="6915" w:type="dxa"/>
            <w:tcBorders>
              <w:top w:val="single" w:sz="4" w:space="0" w:color="auto"/>
              <w:bottom w:val="single" w:sz="4" w:space="0" w:color="auto"/>
            </w:tcBorders>
          </w:tcPr>
          <w:p w14:paraId="52B14DBB" w14:textId="77777777" w:rsidR="00265792" w:rsidRPr="00084780" w:rsidRDefault="00265792" w:rsidP="00084780">
            <w:pPr>
              <w:pStyle w:val="ARfintablebodybold"/>
              <w:rPr>
                <w:highlight w:val="green"/>
              </w:rPr>
            </w:pPr>
            <w:r w:rsidRPr="00084780">
              <w:t>Opening loss allowance</w:t>
            </w:r>
          </w:p>
        </w:tc>
        <w:tc>
          <w:tcPr>
            <w:tcW w:w="1361" w:type="dxa"/>
            <w:tcBorders>
              <w:top w:val="single" w:sz="4" w:space="0" w:color="auto"/>
              <w:bottom w:val="single" w:sz="4" w:space="0" w:color="auto"/>
            </w:tcBorders>
            <w:shd w:val="clear" w:color="auto" w:fill="EEEEEF" w:themeFill="accent4"/>
            <w:noWrap/>
          </w:tcPr>
          <w:p w14:paraId="76FFD9AB" w14:textId="77777777" w:rsidR="00265792" w:rsidRPr="00BA7805" w:rsidRDefault="00265792" w:rsidP="00084780">
            <w:pPr>
              <w:pStyle w:val="ARfintablebodyrightbold"/>
              <w:rPr>
                <w:highlight w:val="green"/>
              </w:rPr>
            </w:pPr>
            <w:r w:rsidRPr="00086B93">
              <w:t>(7.1)</w:t>
            </w:r>
          </w:p>
        </w:tc>
        <w:tc>
          <w:tcPr>
            <w:tcW w:w="1361" w:type="dxa"/>
            <w:tcBorders>
              <w:top w:val="single" w:sz="4" w:space="0" w:color="auto"/>
              <w:bottom w:val="single" w:sz="4" w:space="0" w:color="auto"/>
            </w:tcBorders>
            <w:noWrap/>
          </w:tcPr>
          <w:p w14:paraId="504E740D" w14:textId="77777777" w:rsidR="00265792" w:rsidRPr="00BA7805" w:rsidRDefault="00265792" w:rsidP="00084780">
            <w:pPr>
              <w:pStyle w:val="ARfintablebodyrightbold"/>
              <w:rPr>
                <w:highlight w:val="green"/>
              </w:rPr>
            </w:pPr>
            <w:r w:rsidRPr="00086B93">
              <w:t>(10.7)</w:t>
            </w:r>
          </w:p>
        </w:tc>
      </w:tr>
      <w:tr w:rsidR="00265792" w:rsidRPr="00BA7805" w14:paraId="4095981B" w14:textId="77777777" w:rsidTr="0039474D">
        <w:tc>
          <w:tcPr>
            <w:tcW w:w="6915" w:type="dxa"/>
            <w:tcBorders>
              <w:top w:val="single" w:sz="4" w:space="0" w:color="auto"/>
              <w:bottom w:val="single" w:sz="4" w:space="0" w:color="A6A6A6" w:themeColor="accent5"/>
            </w:tcBorders>
          </w:tcPr>
          <w:p w14:paraId="2552A9A5" w14:textId="77777777" w:rsidR="00265792" w:rsidRPr="00084780" w:rsidRDefault="00265792" w:rsidP="00084780">
            <w:pPr>
              <w:pStyle w:val="ARfintablebody"/>
              <w:rPr>
                <w:highlight w:val="green"/>
              </w:rPr>
            </w:pPr>
            <w:r w:rsidRPr="00084780">
              <w:t>Decrease/(increase) in provision recognised in the net result</w:t>
            </w:r>
          </w:p>
        </w:tc>
        <w:tc>
          <w:tcPr>
            <w:tcW w:w="1361" w:type="dxa"/>
            <w:tcBorders>
              <w:top w:val="single" w:sz="4" w:space="0" w:color="auto"/>
              <w:bottom w:val="single" w:sz="4" w:space="0" w:color="A6A6A6" w:themeColor="accent5"/>
            </w:tcBorders>
            <w:shd w:val="clear" w:color="auto" w:fill="EEEEEF" w:themeFill="accent4"/>
            <w:noWrap/>
          </w:tcPr>
          <w:p w14:paraId="6F42DEB4" w14:textId="77777777" w:rsidR="00265792" w:rsidRPr="00BA7805" w:rsidRDefault="00265792" w:rsidP="007E5A01">
            <w:pPr>
              <w:pStyle w:val="ARfintablebodyright"/>
              <w:rPr>
                <w:highlight w:val="green"/>
              </w:rPr>
            </w:pPr>
            <w:r w:rsidRPr="00086B93">
              <w:t>(5.9)</w:t>
            </w:r>
          </w:p>
        </w:tc>
        <w:tc>
          <w:tcPr>
            <w:tcW w:w="1361" w:type="dxa"/>
            <w:tcBorders>
              <w:top w:val="single" w:sz="4" w:space="0" w:color="auto"/>
              <w:bottom w:val="single" w:sz="4" w:space="0" w:color="A6A6A6" w:themeColor="accent5"/>
            </w:tcBorders>
            <w:noWrap/>
          </w:tcPr>
          <w:p w14:paraId="73668F55" w14:textId="77777777" w:rsidR="00265792" w:rsidRPr="00BA7805" w:rsidRDefault="00265792" w:rsidP="007E5A01">
            <w:pPr>
              <w:pStyle w:val="ARfintablebodyright"/>
              <w:rPr>
                <w:highlight w:val="green"/>
              </w:rPr>
            </w:pPr>
            <w:r w:rsidRPr="00086B93">
              <w:t>(1.1)</w:t>
            </w:r>
          </w:p>
        </w:tc>
      </w:tr>
      <w:tr w:rsidR="00265792" w:rsidRPr="00BA7805" w14:paraId="53C09D0A" w14:textId="77777777" w:rsidTr="0039474D">
        <w:tc>
          <w:tcPr>
            <w:tcW w:w="6915" w:type="dxa"/>
            <w:tcBorders>
              <w:top w:val="single" w:sz="4" w:space="0" w:color="A6A6A6" w:themeColor="accent5"/>
            </w:tcBorders>
          </w:tcPr>
          <w:p w14:paraId="45F910C3" w14:textId="77777777" w:rsidR="00265792" w:rsidRPr="00084780" w:rsidRDefault="00265792" w:rsidP="00084780">
            <w:pPr>
              <w:pStyle w:val="ARfintablebody"/>
              <w:rPr>
                <w:highlight w:val="green"/>
              </w:rPr>
            </w:pPr>
            <w:r w:rsidRPr="00084780">
              <w:t>Reversal of provision of receivables written off during the year as uncollectible</w:t>
            </w:r>
          </w:p>
        </w:tc>
        <w:tc>
          <w:tcPr>
            <w:tcW w:w="1361" w:type="dxa"/>
            <w:tcBorders>
              <w:top w:val="single" w:sz="4" w:space="0" w:color="A6A6A6" w:themeColor="accent5"/>
            </w:tcBorders>
            <w:shd w:val="clear" w:color="auto" w:fill="EEEEEF" w:themeFill="accent4"/>
            <w:noWrap/>
          </w:tcPr>
          <w:p w14:paraId="7F04D138" w14:textId="77777777" w:rsidR="00265792" w:rsidRPr="00BA7805" w:rsidRDefault="00265792" w:rsidP="007E5A01">
            <w:pPr>
              <w:pStyle w:val="ARfintablebodyright"/>
              <w:rPr>
                <w:highlight w:val="green"/>
              </w:rPr>
            </w:pPr>
            <w:r w:rsidRPr="00086B93">
              <w:t>3.3</w:t>
            </w:r>
          </w:p>
        </w:tc>
        <w:tc>
          <w:tcPr>
            <w:tcW w:w="1361" w:type="dxa"/>
            <w:tcBorders>
              <w:top w:val="single" w:sz="4" w:space="0" w:color="A6A6A6" w:themeColor="accent5"/>
            </w:tcBorders>
            <w:noWrap/>
          </w:tcPr>
          <w:p w14:paraId="76DB3D03" w14:textId="77777777" w:rsidR="00265792" w:rsidRPr="00BA7805" w:rsidRDefault="00265792" w:rsidP="007E5A01">
            <w:pPr>
              <w:pStyle w:val="ARfintablebodyright"/>
              <w:rPr>
                <w:highlight w:val="green"/>
              </w:rPr>
            </w:pPr>
            <w:r w:rsidRPr="00086B93">
              <w:t>4.6</w:t>
            </w:r>
          </w:p>
        </w:tc>
      </w:tr>
      <w:tr w:rsidR="00265792" w:rsidRPr="00BA7805" w14:paraId="7BEACED1" w14:textId="77777777" w:rsidTr="0039474D">
        <w:trPr>
          <w:cnfStyle w:val="010000000000" w:firstRow="0" w:lastRow="1" w:firstColumn="0" w:lastColumn="0" w:oddVBand="0" w:evenVBand="0" w:oddHBand="0" w:evenHBand="0" w:firstRowFirstColumn="0" w:firstRowLastColumn="0" w:lastRowFirstColumn="0" w:lastRowLastColumn="0"/>
        </w:trPr>
        <w:tc>
          <w:tcPr>
            <w:tcW w:w="6915" w:type="dxa"/>
          </w:tcPr>
          <w:p w14:paraId="1F5579B4" w14:textId="77777777" w:rsidR="00265792" w:rsidRPr="00BA7805" w:rsidRDefault="00265792" w:rsidP="00084780">
            <w:pPr>
              <w:pStyle w:val="ARfintablebodybold"/>
              <w:rPr>
                <w:highlight w:val="green"/>
              </w:rPr>
            </w:pPr>
            <w:r w:rsidRPr="00086B93">
              <w:t>Balance at the end of the year</w:t>
            </w:r>
          </w:p>
        </w:tc>
        <w:tc>
          <w:tcPr>
            <w:tcW w:w="1361" w:type="dxa"/>
            <w:shd w:val="clear" w:color="auto" w:fill="EEEEEF" w:themeFill="accent4"/>
            <w:noWrap/>
          </w:tcPr>
          <w:p w14:paraId="2D2AA58A" w14:textId="77777777" w:rsidR="00265792" w:rsidRPr="00BA7805" w:rsidRDefault="00265792" w:rsidP="00084780">
            <w:pPr>
              <w:pStyle w:val="ARfintablebodyrightbold"/>
              <w:rPr>
                <w:highlight w:val="green"/>
              </w:rPr>
            </w:pPr>
            <w:r w:rsidRPr="00086B93">
              <w:t>(9.7)</w:t>
            </w:r>
          </w:p>
        </w:tc>
        <w:tc>
          <w:tcPr>
            <w:tcW w:w="1361" w:type="dxa"/>
            <w:noWrap/>
          </w:tcPr>
          <w:p w14:paraId="581D6CFB" w14:textId="77777777" w:rsidR="00265792" w:rsidRPr="00BA7805" w:rsidRDefault="00265792" w:rsidP="00084780">
            <w:pPr>
              <w:pStyle w:val="ARfintablebodyrightbold"/>
              <w:rPr>
                <w:highlight w:val="green"/>
              </w:rPr>
            </w:pPr>
            <w:r w:rsidRPr="00086B93">
              <w:t>(7.1)</w:t>
            </w:r>
          </w:p>
        </w:tc>
      </w:tr>
    </w:tbl>
    <w:p w14:paraId="7A0D2EDE" w14:textId="77777777" w:rsidR="00265792" w:rsidRDefault="00265792" w:rsidP="00D84E82">
      <w:pPr>
        <w:pStyle w:val="ARfinbodyaftertable"/>
      </w:pPr>
      <w:r>
        <w:t>Credit loss allowance is classified as other economic flows in the net result. Contractual receivables are written off when there is no reasonable expectation of recovery and impairment losses are classified as a transaction expense. Subsequent recoveries of amounts previously written off are credited against the same line item.</w:t>
      </w:r>
    </w:p>
    <w:p w14:paraId="66CC0018" w14:textId="77777777" w:rsidR="00265792" w:rsidRDefault="00265792" w:rsidP="001577EC">
      <w:pPr>
        <w:pStyle w:val="Heading6"/>
      </w:pPr>
      <w:r>
        <w:t>Statutory receivables at amortised cost</w:t>
      </w:r>
    </w:p>
    <w:p w14:paraId="3B2C85E4" w14:textId="2D42F45E" w:rsidR="00265792" w:rsidRDefault="00265792" w:rsidP="00A24A50">
      <w:pPr>
        <w:pStyle w:val="ARfinbody"/>
      </w:pPr>
      <w:r>
        <w:t>The department</w:t>
      </w:r>
      <w:r w:rsidR="00EF76A3">
        <w:t>’</w:t>
      </w:r>
      <w:r>
        <w:t>s non-contractual receivables arising from statutory requirements are not financial instruments. However, they are nevertheless recognised and measured in accordance with AASB 9 requirements as if those receivables are financial instruments.</w:t>
      </w:r>
    </w:p>
    <w:p w14:paraId="36194842" w14:textId="77777777" w:rsidR="00265792" w:rsidRDefault="00265792" w:rsidP="00A24A50">
      <w:pPr>
        <w:pStyle w:val="ARfinbody"/>
      </w:pPr>
      <w:r>
        <w:t xml:space="preserve">Statutory receivables are considered to have low credit risk, </w:t>
      </w:r>
      <w:proofErr w:type="gramStart"/>
      <w:r>
        <w:t>taking into account</w:t>
      </w:r>
      <w:proofErr w:type="gramEnd"/>
      <w:r>
        <w:t xml:space="preserve"> the counterparty's credit rating, risk of default and capacity to meet contractual cash flow obligations in the near term. As a result, the loss allowance recognised for these financial assets during the period was limited to 12 months expected losses. No loss allowance has been recognised.</w:t>
      </w:r>
    </w:p>
    <w:p w14:paraId="02F5C9F2" w14:textId="77777777" w:rsidR="00265792" w:rsidRPr="00215776" w:rsidRDefault="00265792" w:rsidP="00B17497">
      <w:pPr>
        <w:pStyle w:val="Heading6"/>
        <w:rPr>
          <w:rFonts w:eastAsia="Times"/>
        </w:rPr>
      </w:pPr>
      <w:r w:rsidRPr="00215776">
        <w:rPr>
          <w:rFonts w:eastAsia="Times"/>
        </w:rPr>
        <w:t>8.1.3.2 Financial instruments: liquidity risk</w:t>
      </w:r>
    </w:p>
    <w:p w14:paraId="2A5104B5" w14:textId="77777777" w:rsidR="00265792" w:rsidRPr="00215776" w:rsidRDefault="00265792" w:rsidP="00215776">
      <w:pPr>
        <w:pStyle w:val="ARfinbody"/>
      </w:pPr>
      <w:r w:rsidRPr="00215776">
        <w:t xml:space="preserve">Liquidity risk arises from being unable to meet financial obligations as they fall due. The department operates under the government's fair payments policy of settling financial obligations within 30 days and, in the event of a dispute, of making payments within 30 days from the date of resolution. </w:t>
      </w:r>
    </w:p>
    <w:p w14:paraId="012E6BA7" w14:textId="77777777" w:rsidR="00265792" w:rsidRPr="00215776" w:rsidRDefault="00265792" w:rsidP="00215776">
      <w:pPr>
        <w:pStyle w:val="ARfinbody"/>
      </w:pPr>
      <w:r w:rsidRPr="00215776">
        <w:t>The department’s exposure to liquidity risk is deemed insignificant based on prior periods’ data and current assessment of risk.</w:t>
      </w:r>
    </w:p>
    <w:p w14:paraId="6CE48C41" w14:textId="77777777" w:rsidR="00265792" w:rsidRDefault="00265792">
      <w:pPr>
        <w:pStyle w:val="ARfinbody"/>
      </w:pPr>
      <w:r w:rsidRPr="00215776">
        <w:t xml:space="preserve">The carrying amount detailed in Notes 6.3.1 and </w:t>
      </w:r>
      <w:proofErr w:type="gramStart"/>
      <w:r w:rsidRPr="00215776">
        <w:t>7.2,</w:t>
      </w:r>
      <w:proofErr w:type="gramEnd"/>
      <w:r w:rsidRPr="00215776">
        <w:t xml:space="preserve"> of contractual financial liabilities recorded in the financial statements, represents the department's maximum exposure to liquidity risk.</w:t>
      </w:r>
      <w:r>
        <w:br w:type="page"/>
      </w:r>
    </w:p>
    <w:p w14:paraId="16E5885C" w14:textId="77777777" w:rsidR="00265792" w:rsidRDefault="00265792" w:rsidP="0075746B">
      <w:pPr>
        <w:pStyle w:val="Heading6"/>
      </w:pPr>
      <w:r>
        <w:lastRenderedPageBreak/>
        <w:t>8.1.3.3 Financial instruments: market risk</w:t>
      </w:r>
    </w:p>
    <w:p w14:paraId="7EAD0244" w14:textId="7CA59076" w:rsidR="00265792" w:rsidRDefault="00265792" w:rsidP="0075746B">
      <w:pPr>
        <w:pStyle w:val="ARfinbody"/>
      </w:pPr>
      <w:r>
        <w:t>The department’s exposure to market risk is primarily through interest rate risk. The department</w:t>
      </w:r>
      <w:r w:rsidR="00EF76A3">
        <w:t>’</w:t>
      </w:r>
      <w:r>
        <w:t>s exposure to other price risks is insignificant. Objectives, policies and processes used to manage the risk are disclosed below.</w:t>
      </w:r>
    </w:p>
    <w:p w14:paraId="4E3CEA88" w14:textId="77777777" w:rsidR="00265792" w:rsidRDefault="00265792" w:rsidP="0075746B">
      <w:pPr>
        <w:pStyle w:val="ARfinbody"/>
      </w:pPr>
      <w:r>
        <w:t>The tables that follow show the impact on the department’s net result and equity for each category of financial instrument held by the department at the end of the reporting period, if the above movements were to occur.</w:t>
      </w:r>
    </w:p>
    <w:p w14:paraId="11FE38C1" w14:textId="77777777" w:rsidR="00265792" w:rsidRDefault="00265792" w:rsidP="00AA2682">
      <w:pPr>
        <w:pStyle w:val="Heading7"/>
      </w:pPr>
      <w:r>
        <w:t>Interest rate risk</w:t>
      </w:r>
    </w:p>
    <w:p w14:paraId="60D3F351" w14:textId="77777777" w:rsidR="00265792" w:rsidRDefault="00265792" w:rsidP="0075746B">
      <w:pPr>
        <w:pStyle w:val="ARfinbody"/>
      </w:pPr>
      <w:r>
        <w:t>Cash flow interest rate risk is the risk that the future cash flows of a financial instrument will fluctuate because of changes in market interest rates. The department has minimal exposure to cash flow interest rate risks through cash and deposits and short-term deposits.</w:t>
      </w:r>
    </w:p>
    <w:p w14:paraId="3E2A54E6" w14:textId="77777777" w:rsidR="00265792" w:rsidRDefault="00265792" w:rsidP="0075746B">
      <w:pPr>
        <w:pStyle w:val="ARfinbody"/>
      </w:pPr>
      <w:r>
        <w:t>Interest rate exposures are insignificant and arise predominantly from liabilities bearing variable interest rates.</w:t>
      </w:r>
    </w:p>
    <w:p w14:paraId="7907D9A9" w14:textId="77777777" w:rsidR="00265792" w:rsidRDefault="00265792" w:rsidP="0075746B">
      <w:pPr>
        <w:pStyle w:val="ARfinbodylargespace"/>
      </w:pPr>
      <w:r>
        <w:t>The carrying amounts of financial assets and financial liabilities that are exposed to interest rates and the department's sensitivity to interest rate risk are set out in the table that follows.</w:t>
      </w:r>
    </w:p>
    <w:p w14:paraId="3D362DFE" w14:textId="77777777" w:rsidR="00265792" w:rsidRPr="00BB5122" w:rsidRDefault="00265792" w:rsidP="00221E2E">
      <w:pPr>
        <w:pStyle w:val="Heading7"/>
      </w:pPr>
      <w:r w:rsidRPr="00221E2E">
        <w:t>Interest rate exposure of financial instruments</w:t>
      </w:r>
    </w:p>
    <w:tbl>
      <w:tblPr>
        <w:tblStyle w:val="TableGrid"/>
        <w:tblW w:w="9639" w:type="dxa"/>
        <w:tblLayout w:type="fixed"/>
        <w:tblLook w:val="06E0" w:firstRow="1" w:lastRow="1" w:firstColumn="1" w:lastColumn="0" w:noHBand="1" w:noVBand="1"/>
      </w:tblPr>
      <w:tblGrid>
        <w:gridCol w:w="3969"/>
        <w:gridCol w:w="1134"/>
        <w:gridCol w:w="1134"/>
        <w:gridCol w:w="1134"/>
        <w:gridCol w:w="1134"/>
        <w:gridCol w:w="1134"/>
      </w:tblGrid>
      <w:tr w:rsidR="00265792" w:rsidRPr="00BA7805" w14:paraId="7AE8FB71" w14:textId="77777777" w:rsidTr="001C773F">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628F3E04" w14:textId="77777777" w:rsidR="00265792" w:rsidRPr="00BA7805" w:rsidRDefault="00265792">
            <w:pPr>
              <w:pStyle w:val="ARfintablecolhead"/>
              <w:rPr>
                <w:highlight w:val="green"/>
              </w:rPr>
            </w:pPr>
          </w:p>
        </w:tc>
        <w:tc>
          <w:tcPr>
            <w:tcW w:w="1134" w:type="dxa"/>
            <w:vMerge w:val="restart"/>
            <w:shd w:val="clear" w:color="auto" w:fill="EEEEEF" w:themeFill="accent4"/>
            <w:hideMark/>
          </w:tcPr>
          <w:p w14:paraId="2C4B0A01" w14:textId="77777777" w:rsidR="00265792" w:rsidRPr="00BB5122" w:rsidRDefault="00265792" w:rsidP="0075746B">
            <w:pPr>
              <w:pStyle w:val="ARfintablecolheadright"/>
            </w:pPr>
            <w:r w:rsidRPr="00BB5122">
              <w:t>Weighted average effective interest rate</w:t>
            </w:r>
          </w:p>
          <w:p w14:paraId="55CB8714" w14:textId="77777777" w:rsidR="00265792" w:rsidRPr="00BB5122" w:rsidRDefault="00265792" w:rsidP="0075746B">
            <w:pPr>
              <w:pStyle w:val="ARfintablecolheadright"/>
            </w:pPr>
            <w:r w:rsidRPr="00BB5122">
              <w:t>(%)</w:t>
            </w:r>
          </w:p>
        </w:tc>
        <w:tc>
          <w:tcPr>
            <w:tcW w:w="1134" w:type="dxa"/>
            <w:vMerge w:val="restart"/>
            <w:hideMark/>
          </w:tcPr>
          <w:p w14:paraId="7C09E560" w14:textId="77777777" w:rsidR="00265792" w:rsidRPr="00BB5122" w:rsidRDefault="00265792" w:rsidP="0075746B">
            <w:pPr>
              <w:pStyle w:val="ARfintablecolheadright"/>
            </w:pPr>
            <w:r w:rsidRPr="00BB5122">
              <w:t>Carrying amount</w:t>
            </w:r>
          </w:p>
          <w:p w14:paraId="22B18F49" w14:textId="77777777" w:rsidR="00265792" w:rsidRPr="00BB5122" w:rsidRDefault="00265792" w:rsidP="0075746B">
            <w:pPr>
              <w:pStyle w:val="ARfintablecolheadright"/>
            </w:pPr>
            <w:r w:rsidRPr="00BB5122">
              <w:t>$M</w:t>
            </w:r>
          </w:p>
        </w:tc>
        <w:tc>
          <w:tcPr>
            <w:tcW w:w="3402" w:type="dxa"/>
            <w:gridSpan w:val="3"/>
            <w:shd w:val="clear" w:color="auto" w:fill="EEEEEF" w:themeFill="accent4"/>
            <w:hideMark/>
          </w:tcPr>
          <w:p w14:paraId="10D29D4B" w14:textId="77777777" w:rsidR="00265792" w:rsidRPr="00BB5122" w:rsidRDefault="00265792">
            <w:pPr>
              <w:pStyle w:val="ARfintablecolheadright"/>
              <w:jc w:val="center"/>
            </w:pPr>
            <w:r w:rsidRPr="00BB5122">
              <w:t>Interest rate exposure</w:t>
            </w:r>
          </w:p>
        </w:tc>
      </w:tr>
      <w:tr w:rsidR="00265792" w:rsidRPr="00BA7805" w14:paraId="115A87DC" w14:textId="77777777" w:rsidTr="001C773F">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57031CE7" w14:textId="77777777" w:rsidR="00265792" w:rsidRPr="00BA7805" w:rsidRDefault="00265792">
            <w:pPr>
              <w:pStyle w:val="ARfintablecolhead"/>
              <w:rPr>
                <w:highlight w:val="green"/>
              </w:rPr>
            </w:pPr>
          </w:p>
        </w:tc>
        <w:tc>
          <w:tcPr>
            <w:tcW w:w="1134" w:type="dxa"/>
            <w:vMerge/>
            <w:shd w:val="clear" w:color="auto" w:fill="EEEEEF" w:themeFill="accent4"/>
            <w:hideMark/>
          </w:tcPr>
          <w:p w14:paraId="2D78B7B0" w14:textId="77777777" w:rsidR="00265792" w:rsidRPr="00BB5122" w:rsidRDefault="00265792">
            <w:pPr>
              <w:pStyle w:val="ARfintablecolheadright"/>
            </w:pPr>
          </w:p>
        </w:tc>
        <w:tc>
          <w:tcPr>
            <w:tcW w:w="1134" w:type="dxa"/>
            <w:vMerge/>
            <w:hideMark/>
          </w:tcPr>
          <w:p w14:paraId="0B2BB8C0" w14:textId="77777777" w:rsidR="00265792" w:rsidRPr="00BB5122" w:rsidRDefault="00265792">
            <w:pPr>
              <w:pStyle w:val="ARfintablecolheadright"/>
            </w:pPr>
          </w:p>
        </w:tc>
        <w:tc>
          <w:tcPr>
            <w:tcW w:w="1134" w:type="dxa"/>
            <w:shd w:val="clear" w:color="auto" w:fill="EEEEEF" w:themeFill="accent4"/>
            <w:hideMark/>
          </w:tcPr>
          <w:p w14:paraId="275B611D" w14:textId="77777777" w:rsidR="00265792" w:rsidRPr="00BB5122" w:rsidRDefault="00265792" w:rsidP="00237312">
            <w:pPr>
              <w:pStyle w:val="ARfintablecolheadright"/>
            </w:pPr>
            <w:r w:rsidRPr="00BB5122">
              <w:t>Fixed interest rate</w:t>
            </w:r>
          </w:p>
          <w:p w14:paraId="77A95452" w14:textId="77777777" w:rsidR="00265792" w:rsidRPr="00BB5122" w:rsidRDefault="00265792" w:rsidP="00237312">
            <w:pPr>
              <w:pStyle w:val="ARfintablecolheadright"/>
            </w:pPr>
            <w:r w:rsidRPr="00BB5122">
              <w:t>$M</w:t>
            </w:r>
          </w:p>
        </w:tc>
        <w:tc>
          <w:tcPr>
            <w:tcW w:w="1134" w:type="dxa"/>
            <w:shd w:val="clear" w:color="auto" w:fill="EEEEEF" w:themeFill="accent4"/>
            <w:hideMark/>
          </w:tcPr>
          <w:p w14:paraId="3614D63C" w14:textId="77777777" w:rsidR="00265792" w:rsidRPr="00BB5122" w:rsidRDefault="00265792" w:rsidP="00237312">
            <w:pPr>
              <w:pStyle w:val="ARfintablecolheadright"/>
            </w:pPr>
            <w:r w:rsidRPr="00BB5122">
              <w:t>Variable interest rate</w:t>
            </w:r>
          </w:p>
          <w:p w14:paraId="586B8CCB" w14:textId="77777777" w:rsidR="00265792" w:rsidRPr="00BB5122" w:rsidRDefault="00265792" w:rsidP="00237312">
            <w:pPr>
              <w:pStyle w:val="ARfintablecolheadright"/>
            </w:pPr>
            <w:r w:rsidRPr="00BB5122">
              <w:t>$M</w:t>
            </w:r>
          </w:p>
        </w:tc>
        <w:tc>
          <w:tcPr>
            <w:tcW w:w="1134" w:type="dxa"/>
            <w:shd w:val="clear" w:color="auto" w:fill="EEEEEF" w:themeFill="accent4"/>
            <w:hideMark/>
          </w:tcPr>
          <w:p w14:paraId="31052F26" w14:textId="77777777" w:rsidR="00265792" w:rsidRPr="00BB5122" w:rsidRDefault="00265792" w:rsidP="00237312">
            <w:pPr>
              <w:pStyle w:val="ARfintablecolheadright"/>
            </w:pPr>
            <w:r w:rsidRPr="00BB5122">
              <w:t>Non-interest bearing</w:t>
            </w:r>
          </w:p>
          <w:p w14:paraId="2EEE91C2" w14:textId="77777777" w:rsidR="00265792" w:rsidRPr="00BB5122" w:rsidRDefault="00265792" w:rsidP="00237312">
            <w:pPr>
              <w:pStyle w:val="ARfintablecolheadright"/>
            </w:pPr>
            <w:r w:rsidRPr="00BB5122">
              <w:t>$M</w:t>
            </w:r>
          </w:p>
        </w:tc>
      </w:tr>
      <w:tr w:rsidR="00265792" w:rsidRPr="00BA7805" w14:paraId="0F36AD2C" w14:textId="77777777" w:rsidTr="00A513BB">
        <w:tc>
          <w:tcPr>
            <w:tcW w:w="3969" w:type="dxa"/>
          </w:tcPr>
          <w:p w14:paraId="591AC83B" w14:textId="77777777" w:rsidR="00265792" w:rsidRPr="00DB7AA3" w:rsidRDefault="00265792" w:rsidP="001C773F">
            <w:pPr>
              <w:pStyle w:val="ARfintablebodyboldcoloured"/>
            </w:pPr>
            <w:r>
              <w:t>2025</w:t>
            </w:r>
          </w:p>
        </w:tc>
        <w:tc>
          <w:tcPr>
            <w:tcW w:w="1134" w:type="dxa"/>
            <w:noWrap/>
          </w:tcPr>
          <w:p w14:paraId="738059F2" w14:textId="77777777" w:rsidR="00265792" w:rsidRPr="00DB7AA3" w:rsidRDefault="00265792" w:rsidP="00DB7AA3">
            <w:pPr>
              <w:pStyle w:val="ARfintablebodyright"/>
              <w:rPr>
                <w:highlight w:val="green"/>
              </w:rPr>
            </w:pPr>
          </w:p>
        </w:tc>
        <w:tc>
          <w:tcPr>
            <w:tcW w:w="1134" w:type="dxa"/>
            <w:noWrap/>
          </w:tcPr>
          <w:p w14:paraId="1E0782F1" w14:textId="77777777" w:rsidR="00265792" w:rsidRPr="00DB7AA3" w:rsidRDefault="00265792" w:rsidP="00DB7AA3">
            <w:pPr>
              <w:pStyle w:val="ARfintablebodyright"/>
              <w:rPr>
                <w:highlight w:val="green"/>
              </w:rPr>
            </w:pPr>
          </w:p>
        </w:tc>
        <w:tc>
          <w:tcPr>
            <w:tcW w:w="1134" w:type="dxa"/>
            <w:noWrap/>
          </w:tcPr>
          <w:p w14:paraId="21370BEE" w14:textId="77777777" w:rsidR="00265792" w:rsidRPr="00DB7AA3" w:rsidRDefault="00265792" w:rsidP="00DB7AA3">
            <w:pPr>
              <w:pStyle w:val="ARfintablebodyright"/>
              <w:rPr>
                <w:highlight w:val="green"/>
              </w:rPr>
            </w:pPr>
          </w:p>
        </w:tc>
        <w:tc>
          <w:tcPr>
            <w:tcW w:w="1134" w:type="dxa"/>
            <w:noWrap/>
          </w:tcPr>
          <w:p w14:paraId="57D15BA9" w14:textId="77777777" w:rsidR="00265792" w:rsidRPr="00DB7AA3" w:rsidRDefault="00265792" w:rsidP="00DB7AA3">
            <w:pPr>
              <w:pStyle w:val="ARfintablebodyright"/>
              <w:rPr>
                <w:highlight w:val="green"/>
              </w:rPr>
            </w:pPr>
          </w:p>
        </w:tc>
        <w:tc>
          <w:tcPr>
            <w:tcW w:w="1134" w:type="dxa"/>
            <w:noWrap/>
          </w:tcPr>
          <w:p w14:paraId="15B65710" w14:textId="77777777" w:rsidR="00265792" w:rsidRPr="00DB7AA3" w:rsidRDefault="00265792" w:rsidP="00DB7AA3">
            <w:pPr>
              <w:pStyle w:val="ARfintablebodyright"/>
              <w:rPr>
                <w:highlight w:val="green"/>
              </w:rPr>
            </w:pPr>
          </w:p>
        </w:tc>
      </w:tr>
      <w:tr w:rsidR="00265792" w:rsidRPr="00BA7805" w14:paraId="1F3EA1C9" w14:textId="77777777" w:rsidTr="00A513BB">
        <w:tc>
          <w:tcPr>
            <w:tcW w:w="3969" w:type="dxa"/>
          </w:tcPr>
          <w:p w14:paraId="3F9E38D7" w14:textId="77777777" w:rsidR="00265792" w:rsidRPr="00DB7AA3" w:rsidRDefault="00265792" w:rsidP="00A513BB">
            <w:pPr>
              <w:pStyle w:val="ARfintablebodybold"/>
              <w:rPr>
                <w:highlight w:val="green"/>
              </w:rPr>
            </w:pPr>
            <w:r w:rsidRPr="00DB7AA3">
              <w:t>Financial assets</w:t>
            </w:r>
          </w:p>
        </w:tc>
        <w:tc>
          <w:tcPr>
            <w:tcW w:w="1134" w:type="dxa"/>
            <w:noWrap/>
          </w:tcPr>
          <w:p w14:paraId="33F7715D" w14:textId="77777777" w:rsidR="00265792" w:rsidRPr="00DB7AA3" w:rsidRDefault="00265792" w:rsidP="00DB7AA3">
            <w:pPr>
              <w:pStyle w:val="ARfintablebodyright"/>
              <w:rPr>
                <w:highlight w:val="green"/>
              </w:rPr>
            </w:pPr>
          </w:p>
        </w:tc>
        <w:tc>
          <w:tcPr>
            <w:tcW w:w="1134" w:type="dxa"/>
            <w:noWrap/>
          </w:tcPr>
          <w:p w14:paraId="36C4CDC9" w14:textId="77777777" w:rsidR="00265792" w:rsidRPr="00DB7AA3" w:rsidRDefault="00265792" w:rsidP="00DB7AA3">
            <w:pPr>
              <w:pStyle w:val="ARfintablebodyright"/>
              <w:rPr>
                <w:highlight w:val="green"/>
              </w:rPr>
            </w:pPr>
          </w:p>
        </w:tc>
        <w:tc>
          <w:tcPr>
            <w:tcW w:w="1134" w:type="dxa"/>
            <w:noWrap/>
          </w:tcPr>
          <w:p w14:paraId="3717590F" w14:textId="77777777" w:rsidR="00265792" w:rsidRPr="00DB7AA3" w:rsidRDefault="00265792" w:rsidP="00DB7AA3">
            <w:pPr>
              <w:pStyle w:val="ARfintablebodyright"/>
              <w:rPr>
                <w:highlight w:val="green"/>
              </w:rPr>
            </w:pPr>
          </w:p>
        </w:tc>
        <w:tc>
          <w:tcPr>
            <w:tcW w:w="1134" w:type="dxa"/>
            <w:noWrap/>
          </w:tcPr>
          <w:p w14:paraId="15C06167" w14:textId="77777777" w:rsidR="00265792" w:rsidRPr="00DB7AA3" w:rsidRDefault="00265792" w:rsidP="00DB7AA3">
            <w:pPr>
              <w:pStyle w:val="ARfintablebodyright"/>
              <w:rPr>
                <w:highlight w:val="green"/>
              </w:rPr>
            </w:pPr>
          </w:p>
        </w:tc>
        <w:tc>
          <w:tcPr>
            <w:tcW w:w="1134" w:type="dxa"/>
            <w:noWrap/>
          </w:tcPr>
          <w:p w14:paraId="106574CD" w14:textId="77777777" w:rsidR="00265792" w:rsidRPr="00DB7AA3" w:rsidRDefault="00265792" w:rsidP="00DB7AA3">
            <w:pPr>
              <w:pStyle w:val="ARfintablebodyright"/>
              <w:rPr>
                <w:highlight w:val="green"/>
              </w:rPr>
            </w:pPr>
          </w:p>
        </w:tc>
      </w:tr>
      <w:tr w:rsidR="00265792" w:rsidRPr="00BA7805" w14:paraId="53D726EE" w14:textId="77777777" w:rsidTr="001C773F">
        <w:tc>
          <w:tcPr>
            <w:tcW w:w="3969" w:type="dxa"/>
          </w:tcPr>
          <w:p w14:paraId="40D1502B" w14:textId="77777777" w:rsidR="00265792" w:rsidRPr="00DB7AA3" w:rsidRDefault="00265792" w:rsidP="00DB7AA3">
            <w:pPr>
              <w:pStyle w:val="ARfintablebody"/>
              <w:rPr>
                <w:highlight w:val="green"/>
              </w:rPr>
            </w:pPr>
            <w:r w:rsidRPr="00DB7AA3">
              <w:t>Cash and deposits</w:t>
            </w:r>
          </w:p>
        </w:tc>
        <w:tc>
          <w:tcPr>
            <w:tcW w:w="1134" w:type="dxa"/>
            <w:shd w:val="clear" w:color="auto" w:fill="EEEEEF" w:themeFill="accent4"/>
            <w:noWrap/>
          </w:tcPr>
          <w:p w14:paraId="38FD6BA5" w14:textId="77777777" w:rsidR="00265792" w:rsidRPr="00DB7AA3" w:rsidRDefault="00265792" w:rsidP="00DB7AA3">
            <w:pPr>
              <w:pStyle w:val="ARfintablebodyright"/>
              <w:rPr>
                <w:highlight w:val="green"/>
              </w:rPr>
            </w:pPr>
            <w:r>
              <w:t>4.2</w:t>
            </w:r>
            <w:r w:rsidRPr="00DB7AA3">
              <w:t>%</w:t>
            </w:r>
          </w:p>
        </w:tc>
        <w:tc>
          <w:tcPr>
            <w:tcW w:w="1134" w:type="dxa"/>
            <w:noWrap/>
          </w:tcPr>
          <w:p w14:paraId="6D17739A" w14:textId="77777777" w:rsidR="00265792" w:rsidRPr="00DB7AA3" w:rsidRDefault="00265792" w:rsidP="00DB7AA3">
            <w:pPr>
              <w:pStyle w:val="ARfintablebodyright"/>
              <w:rPr>
                <w:highlight w:val="green"/>
              </w:rPr>
            </w:pPr>
            <w:r w:rsidRPr="00DB7AA3">
              <w:t>1,</w:t>
            </w:r>
            <w:r>
              <w:t>312.2</w:t>
            </w:r>
          </w:p>
        </w:tc>
        <w:tc>
          <w:tcPr>
            <w:tcW w:w="1134" w:type="dxa"/>
            <w:shd w:val="clear" w:color="auto" w:fill="EEEEEF" w:themeFill="accent4"/>
            <w:noWrap/>
          </w:tcPr>
          <w:p w14:paraId="37BAD2E8" w14:textId="77777777" w:rsidR="00265792" w:rsidRPr="00DB7AA3" w:rsidRDefault="00265792" w:rsidP="00DB7AA3">
            <w:pPr>
              <w:pStyle w:val="ARfintablebodyright"/>
              <w:rPr>
                <w:highlight w:val="green"/>
              </w:rPr>
            </w:pPr>
            <w:r>
              <w:t>–</w:t>
            </w:r>
          </w:p>
        </w:tc>
        <w:tc>
          <w:tcPr>
            <w:tcW w:w="1134" w:type="dxa"/>
            <w:shd w:val="clear" w:color="auto" w:fill="EEEEEF" w:themeFill="accent4"/>
            <w:noWrap/>
          </w:tcPr>
          <w:p w14:paraId="1539E0C8" w14:textId="77777777" w:rsidR="00265792" w:rsidRPr="00DB7AA3" w:rsidRDefault="00265792" w:rsidP="00DB7AA3">
            <w:pPr>
              <w:pStyle w:val="ARfintablebodyright"/>
              <w:rPr>
                <w:highlight w:val="green"/>
              </w:rPr>
            </w:pPr>
            <w:r>
              <w:t>1,258.8</w:t>
            </w:r>
          </w:p>
        </w:tc>
        <w:tc>
          <w:tcPr>
            <w:tcW w:w="1134" w:type="dxa"/>
            <w:shd w:val="clear" w:color="auto" w:fill="EEEEEF" w:themeFill="accent4"/>
            <w:noWrap/>
          </w:tcPr>
          <w:p w14:paraId="68710B9B" w14:textId="77777777" w:rsidR="00265792" w:rsidRPr="00DB7AA3" w:rsidRDefault="00265792" w:rsidP="00DB7AA3">
            <w:pPr>
              <w:pStyle w:val="ARfintablebodyright"/>
              <w:rPr>
                <w:highlight w:val="green"/>
              </w:rPr>
            </w:pPr>
            <w:r w:rsidRPr="00DB7AA3">
              <w:t>53.4</w:t>
            </w:r>
          </w:p>
        </w:tc>
      </w:tr>
      <w:tr w:rsidR="00265792" w:rsidRPr="00BA7805" w14:paraId="314B8477" w14:textId="77777777" w:rsidTr="00A513BB">
        <w:tc>
          <w:tcPr>
            <w:tcW w:w="3969" w:type="dxa"/>
            <w:tcBorders>
              <w:bottom w:val="single" w:sz="4" w:space="0" w:color="A6A6A6" w:themeColor="accent5"/>
            </w:tcBorders>
          </w:tcPr>
          <w:p w14:paraId="7FFD4855" w14:textId="77777777" w:rsidR="00265792" w:rsidRPr="00DB7AA3" w:rsidRDefault="00265792" w:rsidP="00DB7AA3">
            <w:pPr>
              <w:pStyle w:val="ARfintablebody"/>
              <w:rPr>
                <w:highlight w:val="green"/>
              </w:rPr>
            </w:pPr>
            <w:r w:rsidRPr="00DB7AA3">
              <w:t xml:space="preserve">Receivables </w:t>
            </w:r>
            <w:r w:rsidRPr="00A513BB">
              <w:rPr>
                <w:vertAlign w:val="superscript"/>
              </w:rPr>
              <w:t>(</w:t>
            </w:r>
            <w:proofErr w:type="spellStart"/>
            <w:r w:rsidRPr="00A513BB">
              <w:rPr>
                <w:vertAlign w:val="superscript"/>
              </w:rPr>
              <w:t>i</w:t>
            </w:r>
            <w:proofErr w:type="spellEnd"/>
            <w:r w:rsidRPr="00A513BB">
              <w:rPr>
                <w:vertAlign w:val="superscript"/>
              </w:rPr>
              <w:t>)</w:t>
            </w:r>
          </w:p>
        </w:tc>
        <w:tc>
          <w:tcPr>
            <w:tcW w:w="1134" w:type="dxa"/>
            <w:tcBorders>
              <w:bottom w:val="single" w:sz="4" w:space="0" w:color="A6A6A6" w:themeColor="accent5"/>
            </w:tcBorders>
            <w:shd w:val="clear" w:color="auto" w:fill="EEEEEF" w:themeFill="accent4"/>
            <w:noWrap/>
          </w:tcPr>
          <w:p w14:paraId="32CCD6D9" w14:textId="77777777" w:rsidR="00265792" w:rsidRPr="00DB7AA3" w:rsidRDefault="00265792" w:rsidP="00DB7AA3">
            <w:pPr>
              <w:pStyle w:val="ARfintablebodyright"/>
              <w:rPr>
                <w:highlight w:val="green"/>
              </w:rPr>
            </w:pPr>
          </w:p>
        </w:tc>
        <w:tc>
          <w:tcPr>
            <w:tcW w:w="1134" w:type="dxa"/>
            <w:tcBorders>
              <w:bottom w:val="single" w:sz="4" w:space="0" w:color="A6A6A6" w:themeColor="accent5"/>
            </w:tcBorders>
            <w:noWrap/>
          </w:tcPr>
          <w:p w14:paraId="775B00F2" w14:textId="77777777" w:rsidR="00265792" w:rsidRPr="00DB7AA3" w:rsidRDefault="00265792" w:rsidP="00DB7AA3">
            <w:pPr>
              <w:pStyle w:val="ARfintablebodyright"/>
              <w:rPr>
                <w:highlight w:val="green"/>
              </w:rPr>
            </w:pPr>
            <w:r w:rsidRPr="00DB7AA3">
              <w:t>22</w:t>
            </w:r>
            <w:r>
              <w:t>5</w:t>
            </w:r>
            <w:r w:rsidRPr="00DB7AA3">
              <w:t>.4</w:t>
            </w:r>
          </w:p>
        </w:tc>
        <w:tc>
          <w:tcPr>
            <w:tcW w:w="1134" w:type="dxa"/>
            <w:tcBorders>
              <w:bottom w:val="single" w:sz="4" w:space="0" w:color="A6A6A6" w:themeColor="accent5"/>
            </w:tcBorders>
            <w:shd w:val="clear" w:color="auto" w:fill="EEEEEF" w:themeFill="accent4"/>
            <w:noWrap/>
          </w:tcPr>
          <w:p w14:paraId="79403401" w14:textId="77777777" w:rsidR="00265792" w:rsidRPr="00DB7AA3" w:rsidRDefault="00265792" w:rsidP="00DB7AA3">
            <w:pPr>
              <w:pStyle w:val="ARfintablebodyright"/>
              <w:rPr>
                <w:highlight w:val="green"/>
              </w:rPr>
            </w:pPr>
            <w:r>
              <w:t>–</w:t>
            </w:r>
          </w:p>
        </w:tc>
        <w:tc>
          <w:tcPr>
            <w:tcW w:w="1134" w:type="dxa"/>
            <w:tcBorders>
              <w:bottom w:val="single" w:sz="4" w:space="0" w:color="A6A6A6" w:themeColor="accent5"/>
            </w:tcBorders>
            <w:shd w:val="clear" w:color="auto" w:fill="EEEEEF" w:themeFill="accent4"/>
            <w:noWrap/>
          </w:tcPr>
          <w:p w14:paraId="2F180060" w14:textId="77777777" w:rsidR="00265792" w:rsidRPr="00DB7AA3" w:rsidRDefault="00265792" w:rsidP="00DB7AA3">
            <w:pPr>
              <w:pStyle w:val="ARfintablebodyright"/>
              <w:rPr>
                <w:highlight w:val="green"/>
              </w:rPr>
            </w:pPr>
            <w:r>
              <w:t>–</w:t>
            </w:r>
          </w:p>
        </w:tc>
        <w:tc>
          <w:tcPr>
            <w:tcW w:w="1134" w:type="dxa"/>
            <w:tcBorders>
              <w:bottom w:val="single" w:sz="4" w:space="0" w:color="A6A6A6" w:themeColor="accent5"/>
            </w:tcBorders>
            <w:shd w:val="clear" w:color="auto" w:fill="EEEEEF" w:themeFill="accent4"/>
            <w:noWrap/>
          </w:tcPr>
          <w:p w14:paraId="46D34003" w14:textId="77777777" w:rsidR="00265792" w:rsidRPr="00DB7AA3" w:rsidRDefault="00265792" w:rsidP="00DB7AA3">
            <w:pPr>
              <w:pStyle w:val="ARfintablebodyright"/>
              <w:rPr>
                <w:highlight w:val="green"/>
              </w:rPr>
            </w:pPr>
            <w:r w:rsidRPr="00DB7AA3">
              <w:t>22</w:t>
            </w:r>
            <w:r>
              <w:t>5</w:t>
            </w:r>
            <w:r w:rsidRPr="00DB7AA3">
              <w:t>.4</w:t>
            </w:r>
          </w:p>
        </w:tc>
      </w:tr>
      <w:tr w:rsidR="00265792" w:rsidRPr="00BA7805" w14:paraId="2C012AD3" w14:textId="77777777" w:rsidTr="00A513BB">
        <w:tc>
          <w:tcPr>
            <w:tcW w:w="3969" w:type="dxa"/>
            <w:tcBorders>
              <w:top w:val="single" w:sz="4" w:space="0" w:color="A6A6A6" w:themeColor="accent5"/>
              <w:bottom w:val="single" w:sz="4" w:space="0" w:color="auto"/>
            </w:tcBorders>
          </w:tcPr>
          <w:p w14:paraId="392586BF" w14:textId="77777777" w:rsidR="00265792" w:rsidRPr="00DB7AA3" w:rsidRDefault="00265792" w:rsidP="00DB7AA3">
            <w:pPr>
              <w:pStyle w:val="ARfintablebody"/>
              <w:rPr>
                <w:highlight w:val="green"/>
              </w:rPr>
            </w:pPr>
            <w:r w:rsidRPr="00DB7AA3">
              <w:t xml:space="preserve">Loans </w:t>
            </w:r>
            <w:r w:rsidRPr="00A513BB">
              <w:rPr>
                <w:vertAlign w:val="superscript"/>
              </w:rPr>
              <w:t>(i</w:t>
            </w:r>
            <w:r>
              <w:rPr>
                <w:vertAlign w:val="superscript"/>
              </w:rPr>
              <w:t>ii</w:t>
            </w:r>
            <w:r w:rsidRPr="00A513BB">
              <w:rPr>
                <w:vertAlign w:val="superscript"/>
              </w:rPr>
              <w:t>)</w:t>
            </w:r>
          </w:p>
        </w:tc>
        <w:tc>
          <w:tcPr>
            <w:tcW w:w="1134" w:type="dxa"/>
            <w:tcBorders>
              <w:top w:val="single" w:sz="4" w:space="0" w:color="A6A6A6" w:themeColor="accent5"/>
              <w:bottom w:val="single" w:sz="4" w:space="0" w:color="auto"/>
            </w:tcBorders>
            <w:shd w:val="clear" w:color="auto" w:fill="EEEEEF" w:themeFill="accent4"/>
            <w:noWrap/>
          </w:tcPr>
          <w:p w14:paraId="6FAF2C18" w14:textId="77777777" w:rsidR="00265792" w:rsidRPr="00DB7AA3" w:rsidRDefault="00265792" w:rsidP="00DB7AA3">
            <w:pPr>
              <w:pStyle w:val="ARfintablebodyright"/>
              <w:rPr>
                <w:highlight w:val="green"/>
              </w:rPr>
            </w:pPr>
            <w:r w:rsidRPr="00DB7AA3">
              <w:t>0.0%</w:t>
            </w:r>
          </w:p>
        </w:tc>
        <w:tc>
          <w:tcPr>
            <w:tcW w:w="1134" w:type="dxa"/>
            <w:tcBorders>
              <w:top w:val="single" w:sz="4" w:space="0" w:color="A6A6A6" w:themeColor="accent5"/>
              <w:bottom w:val="single" w:sz="4" w:space="0" w:color="auto"/>
            </w:tcBorders>
            <w:noWrap/>
          </w:tcPr>
          <w:p w14:paraId="2E3B8556" w14:textId="77777777" w:rsidR="00265792" w:rsidRPr="00DB7AA3" w:rsidRDefault="00265792" w:rsidP="00DB7AA3">
            <w:pPr>
              <w:pStyle w:val="ARfintablebodyright"/>
              <w:rPr>
                <w:highlight w:val="green"/>
              </w:rPr>
            </w:pPr>
            <w:r w:rsidRPr="00DB7AA3">
              <w:t>66.7</w:t>
            </w:r>
          </w:p>
        </w:tc>
        <w:tc>
          <w:tcPr>
            <w:tcW w:w="1134" w:type="dxa"/>
            <w:tcBorders>
              <w:top w:val="single" w:sz="4" w:space="0" w:color="A6A6A6" w:themeColor="accent5"/>
              <w:bottom w:val="single" w:sz="4" w:space="0" w:color="auto"/>
            </w:tcBorders>
            <w:shd w:val="clear" w:color="auto" w:fill="EEEEEF" w:themeFill="accent4"/>
            <w:noWrap/>
          </w:tcPr>
          <w:p w14:paraId="3C770E62" w14:textId="77777777" w:rsidR="00265792" w:rsidRPr="00DB7AA3" w:rsidRDefault="00265792" w:rsidP="00DB7AA3">
            <w:pPr>
              <w:pStyle w:val="ARfintablebodyright"/>
              <w:rPr>
                <w:highlight w:val="green"/>
              </w:rPr>
            </w:pPr>
            <w:r w:rsidRPr="00DB7AA3">
              <w:t>0.7</w:t>
            </w:r>
          </w:p>
        </w:tc>
        <w:tc>
          <w:tcPr>
            <w:tcW w:w="1134" w:type="dxa"/>
            <w:tcBorders>
              <w:top w:val="single" w:sz="4" w:space="0" w:color="A6A6A6" w:themeColor="accent5"/>
              <w:bottom w:val="single" w:sz="4" w:space="0" w:color="auto"/>
            </w:tcBorders>
            <w:shd w:val="clear" w:color="auto" w:fill="EEEEEF" w:themeFill="accent4"/>
            <w:noWrap/>
          </w:tcPr>
          <w:p w14:paraId="3E6F8CC9" w14:textId="77777777" w:rsidR="00265792" w:rsidRPr="00DB7AA3" w:rsidRDefault="00265792" w:rsidP="00DB7AA3">
            <w:pPr>
              <w:pStyle w:val="ARfintablebodyright"/>
              <w:rPr>
                <w:highlight w:val="green"/>
              </w:rPr>
            </w:pPr>
            <w:r w:rsidRPr="00DB7AA3">
              <w:t>45.9</w:t>
            </w:r>
          </w:p>
        </w:tc>
        <w:tc>
          <w:tcPr>
            <w:tcW w:w="1134" w:type="dxa"/>
            <w:tcBorders>
              <w:top w:val="single" w:sz="4" w:space="0" w:color="A6A6A6" w:themeColor="accent5"/>
              <w:bottom w:val="single" w:sz="4" w:space="0" w:color="auto"/>
            </w:tcBorders>
            <w:shd w:val="clear" w:color="auto" w:fill="EEEEEF" w:themeFill="accent4"/>
            <w:noWrap/>
          </w:tcPr>
          <w:p w14:paraId="5878C3EC" w14:textId="77777777" w:rsidR="00265792" w:rsidRPr="00DB7AA3" w:rsidRDefault="00265792" w:rsidP="00DB7AA3">
            <w:pPr>
              <w:pStyle w:val="ARfintablebodyright"/>
              <w:rPr>
                <w:highlight w:val="green"/>
              </w:rPr>
            </w:pPr>
            <w:r w:rsidRPr="00DB7AA3">
              <w:t>20.1</w:t>
            </w:r>
          </w:p>
        </w:tc>
      </w:tr>
      <w:tr w:rsidR="00265792" w:rsidRPr="00BA7805" w14:paraId="281B647A" w14:textId="77777777" w:rsidTr="00A513BB">
        <w:tc>
          <w:tcPr>
            <w:tcW w:w="3969" w:type="dxa"/>
            <w:tcBorders>
              <w:top w:val="single" w:sz="4" w:space="0" w:color="auto"/>
              <w:bottom w:val="single" w:sz="4" w:space="0" w:color="auto"/>
            </w:tcBorders>
          </w:tcPr>
          <w:p w14:paraId="43D49E52" w14:textId="77777777" w:rsidR="00265792" w:rsidRPr="00DB7AA3" w:rsidRDefault="00265792" w:rsidP="001C773F">
            <w:pPr>
              <w:pStyle w:val="ARfintablebodybold"/>
              <w:rPr>
                <w:highlight w:val="green"/>
              </w:rPr>
            </w:pPr>
            <w:r w:rsidRPr="00DB7AA3">
              <w:t>Total financial assets</w:t>
            </w:r>
          </w:p>
        </w:tc>
        <w:tc>
          <w:tcPr>
            <w:tcW w:w="1134" w:type="dxa"/>
            <w:tcBorders>
              <w:top w:val="single" w:sz="4" w:space="0" w:color="auto"/>
              <w:bottom w:val="single" w:sz="4" w:space="0" w:color="auto"/>
            </w:tcBorders>
            <w:shd w:val="clear" w:color="auto" w:fill="EEEEEF" w:themeFill="accent4"/>
            <w:noWrap/>
          </w:tcPr>
          <w:p w14:paraId="4ECA7612" w14:textId="77777777" w:rsidR="00265792" w:rsidRPr="00DB7AA3" w:rsidRDefault="00265792" w:rsidP="00A513BB">
            <w:pPr>
              <w:pStyle w:val="ARfintablebodyrightbold"/>
              <w:rPr>
                <w:highlight w:val="green"/>
              </w:rPr>
            </w:pPr>
          </w:p>
        </w:tc>
        <w:tc>
          <w:tcPr>
            <w:tcW w:w="1134" w:type="dxa"/>
            <w:tcBorders>
              <w:top w:val="single" w:sz="4" w:space="0" w:color="auto"/>
              <w:bottom w:val="single" w:sz="4" w:space="0" w:color="auto"/>
            </w:tcBorders>
            <w:noWrap/>
          </w:tcPr>
          <w:p w14:paraId="482078EA" w14:textId="77777777" w:rsidR="00265792" w:rsidRPr="00DB7AA3" w:rsidRDefault="00265792" w:rsidP="00A513BB">
            <w:pPr>
              <w:pStyle w:val="ARfintablebodyrightbold"/>
              <w:rPr>
                <w:highlight w:val="green"/>
              </w:rPr>
            </w:pPr>
            <w:r w:rsidRPr="00DB7AA3">
              <w:t>1,</w:t>
            </w:r>
            <w:r>
              <w:t>604.3</w:t>
            </w:r>
          </w:p>
        </w:tc>
        <w:tc>
          <w:tcPr>
            <w:tcW w:w="1134" w:type="dxa"/>
            <w:tcBorders>
              <w:top w:val="single" w:sz="4" w:space="0" w:color="auto"/>
              <w:bottom w:val="single" w:sz="4" w:space="0" w:color="auto"/>
            </w:tcBorders>
            <w:shd w:val="clear" w:color="auto" w:fill="EEEEEF" w:themeFill="accent4"/>
            <w:noWrap/>
          </w:tcPr>
          <w:p w14:paraId="20CB83D3" w14:textId="77777777" w:rsidR="00265792" w:rsidRPr="00DB7AA3" w:rsidRDefault="00265792" w:rsidP="00A513BB">
            <w:pPr>
              <w:pStyle w:val="ARfintablebodyrightbold"/>
              <w:rPr>
                <w:highlight w:val="green"/>
              </w:rPr>
            </w:pPr>
            <w:r w:rsidRPr="00DB7AA3">
              <w:t>0.7</w:t>
            </w:r>
          </w:p>
        </w:tc>
        <w:tc>
          <w:tcPr>
            <w:tcW w:w="1134" w:type="dxa"/>
            <w:tcBorders>
              <w:top w:val="single" w:sz="4" w:space="0" w:color="auto"/>
              <w:bottom w:val="single" w:sz="4" w:space="0" w:color="auto"/>
            </w:tcBorders>
            <w:shd w:val="clear" w:color="auto" w:fill="EEEEEF" w:themeFill="accent4"/>
            <w:noWrap/>
          </w:tcPr>
          <w:p w14:paraId="3A8CEED3" w14:textId="77777777" w:rsidR="00265792" w:rsidRPr="00DB7AA3" w:rsidRDefault="00265792" w:rsidP="00A513BB">
            <w:pPr>
              <w:pStyle w:val="ARfintablebodyrightbold"/>
              <w:rPr>
                <w:highlight w:val="green"/>
              </w:rPr>
            </w:pPr>
            <w:r w:rsidRPr="00DB7AA3">
              <w:t>1,</w:t>
            </w:r>
            <w:r>
              <w:t>304.7</w:t>
            </w:r>
          </w:p>
        </w:tc>
        <w:tc>
          <w:tcPr>
            <w:tcW w:w="1134" w:type="dxa"/>
            <w:tcBorders>
              <w:top w:val="single" w:sz="4" w:space="0" w:color="auto"/>
              <w:bottom w:val="single" w:sz="4" w:space="0" w:color="auto"/>
            </w:tcBorders>
            <w:shd w:val="clear" w:color="auto" w:fill="EEEEEF" w:themeFill="accent4"/>
            <w:noWrap/>
          </w:tcPr>
          <w:p w14:paraId="4BB2DED5" w14:textId="77777777" w:rsidR="00265792" w:rsidRPr="00DB7AA3" w:rsidRDefault="00265792" w:rsidP="00A513BB">
            <w:pPr>
              <w:pStyle w:val="ARfintablebodyrightbold"/>
              <w:rPr>
                <w:highlight w:val="green"/>
              </w:rPr>
            </w:pPr>
            <w:r w:rsidRPr="00DB7AA3">
              <w:t>29</w:t>
            </w:r>
            <w:r>
              <w:t>8.</w:t>
            </w:r>
            <w:r w:rsidRPr="00DB7AA3" w:rsidDel="009455F1">
              <w:t>9</w:t>
            </w:r>
          </w:p>
        </w:tc>
      </w:tr>
      <w:tr w:rsidR="00265792" w:rsidRPr="00BA7805" w14:paraId="4AC375EC" w14:textId="77777777" w:rsidTr="00A513BB">
        <w:tc>
          <w:tcPr>
            <w:tcW w:w="3969" w:type="dxa"/>
            <w:tcBorders>
              <w:top w:val="single" w:sz="4" w:space="0" w:color="auto"/>
              <w:bottom w:val="single" w:sz="4" w:space="0" w:color="A6A6A6" w:themeColor="accent5"/>
            </w:tcBorders>
          </w:tcPr>
          <w:p w14:paraId="3DEA60A8" w14:textId="77777777" w:rsidR="00265792" w:rsidRPr="00DB7AA3" w:rsidRDefault="00265792" w:rsidP="00A513BB">
            <w:pPr>
              <w:pStyle w:val="ARfintablebodybold"/>
              <w:rPr>
                <w:highlight w:val="green"/>
              </w:rPr>
            </w:pPr>
            <w:r w:rsidRPr="00DB7AA3">
              <w:t>Financial liabilities</w:t>
            </w:r>
          </w:p>
        </w:tc>
        <w:tc>
          <w:tcPr>
            <w:tcW w:w="1134" w:type="dxa"/>
            <w:tcBorders>
              <w:top w:val="single" w:sz="4" w:space="0" w:color="auto"/>
              <w:bottom w:val="single" w:sz="4" w:space="0" w:color="A6A6A6" w:themeColor="accent5"/>
            </w:tcBorders>
            <w:noWrap/>
          </w:tcPr>
          <w:p w14:paraId="638AD9AE"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6A6A6" w:themeColor="accent5"/>
            </w:tcBorders>
            <w:noWrap/>
          </w:tcPr>
          <w:p w14:paraId="60CDE171"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6A6A6" w:themeColor="accent5"/>
            </w:tcBorders>
            <w:noWrap/>
          </w:tcPr>
          <w:p w14:paraId="554EA835"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6A6A6" w:themeColor="accent5"/>
            </w:tcBorders>
            <w:noWrap/>
          </w:tcPr>
          <w:p w14:paraId="4597D245"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6A6A6" w:themeColor="accent5"/>
            </w:tcBorders>
            <w:noWrap/>
          </w:tcPr>
          <w:p w14:paraId="6C6A72D0" w14:textId="77777777" w:rsidR="00265792" w:rsidRPr="00DB7AA3" w:rsidRDefault="00265792" w:rsidP="00DB7AA3">
            <w:pPr>
              <w:pStyle w:val="ARfintablebodyright"/>
              <w:rPr>
                <w:highlight w:val="green"/>
              </w:rPr>
            </w:pPr>
          </w:p>
        </w:tc>
      </w:tr>
      <w:tr w:rsidR="00265792" w:rsidRPr="00BA7805" w14:paraId="79A2AEAC" w14:textId="77777777" w:rsidTr="00A513BB">
        <w:tc>
          <w:tcPr>
            <w:tcW w:w="3969" w:type="dxa"/>
            <w:tcBorders>
              <w:top w:val="single" w:sz="4" w:space="0" w:color="A6A6A6" w:themeColor="accent5"/>
              <w:bottom w:val="single" w:sz="4" w:space="0" w:color="A6A6A6" w:themeColor="accent5"/>
            </w:tcBorders>
          </w:tcPr>
          <w:p w14:paraId="478FA8FD" w14:textId="77777777" w:rsidR="00265792" w:rsidRPr="00DB7AA3" w:rsidRDefault="00265792" w:rsidP="00DB7AA3">
            <w:pPr>
              <w:pStyle w:val="ARfintablebody"/>
              <w:rPr>
                <w:highlight w:val="green"/>
              </w:rPr>
            </w:pPr>
            <w:r w:rsidRPr="00DB7AA3">
              <w:t xml:space="preserve">Payables </w:t>
            </w:r>
            <w:r w:rsidRPr="00A513BB">
              <w:rPr>
                <w:vertAlign w:val="superscript"/>
              </w:rPr>
              <w:t>(</w:t>
            </w:r>
            <w:proofErr w:type="spellStart"/>
            <w:r w:rsidRPr="00A513BB">
              <w:rPr>
                <w:vertAlign w:val="superscript"/>
              </w:rPr>
              <w:t>i</w:t>
            </w:r>
            <w:proofErr w:type="spellEnd"/>
            <w:r w:rsidRPr="00A513BB">
              <w:rPr>
                <w:vertAlign w:val="superscript"/>
              </w:rPr>
              <w:t>)(ii)</w:t>
            </w:r>
          </w:p>
        </w:tc>
        <w:tc>
          <w:tcPr>
            <w:tcW w:w="1134" w:type="dxa"/>
            <w:tcBorders>
              <w:top w:val="single" w:sz="4" w:space="0" w:color="A6A6A6" w:themeColor="accent5"/>
              <w:bottom w:val="single" w:sz="4" w:space="0" w:color="A6A6A6" w:themeColor="accent5"/>
            </w:tcBorders>
            <w:shd w:val="clear" w:color="auto" w:fill="EEEEEF" w:themeFill="accent4"/>
            <w:noWrap/>
          </w:tcPr>
          <w:p w14:paraId="6D52CBF9" w14:textId="77777777" w:rsidR="00265792" w:rsidRPr="00DB7AA3" w:rsidRDefault="00265792" w:rsidP="00DB7AA3">
            <w:pPr>
              <w:pStyle w:val="ARfintablebodyright"/>
              <w:rPr>
                <w:highlight w:val="green"/>
              </w:rPr>
            </w:pPr>
          </w:p>
        </w:tc>
        <w:tc>
          <w:tcPr>
            <w:tcW w:w="1134" w:type="dxa"/>
            <w:tcBorders>
              <w:top w:val="single" w:sz="4" w:space="0" w:color="A6A6A6" w:themeColor="accent5"/>
              <w:bottom w:val="single" w:sz="4" w:space="0" w:color="A6A6A6" w:themeColor="accent5"/>
            </w:tcBorders>
            <w:noWrap/>
          </w:tcPr>
          <w:p w14:paraId="1C67F609" w14:textId="77777777" w:rsidR="00265792" w:rsidRPr="00DB7AA3" w:rsidRDefault="00265792" w:rsidP="00DB7AA3">
            <w:pPr>
              <w:pStyle w:val="ARfintablebodyright"/>
              <w:rPr>
                <w:highlight w:val="green"/>
              </w:rPr>
            </w:pPr>
            <w:r w:rsidRPr="00DB7AA3">
              <w:t>449.7</w:t>
            </w:r>
          </w:p>
        </w:tc>
        <w:tc>
          <w:tcPr>
            <w:tcW w:w="1134" w:type="dxa"/>
            <w:tcBorders>
              <w:top w:val="single" w:sz="4" w:space="0" w:color="A6A6A6" w:themeColor="accent5"/>
              <w:bottom w:val="single" w:sz="4" w:space="0" w:color="A6A6A6" w:themeColor="accent5"/>
            </w:tcBorders>
            <w:shd w:val="clear" w:color="auto" w:fill="EEEEEF" w:themeFill="accent4"/>
            <w:noWrap/>
          </w:tcPr>
          <w:p w14:paraId="5B56845F" w14:textId="77777777" w:rsidR="00265792" w:rsidRPr="00DB7AA3" w:rsidRDefault="00265792" w:rsidP="00DB7AA3">
            <w:pPr>
              <w:pStyle w:val="ARfintablebodyright"/>
              <w:rPr>
                <w:highlight w:val="green"/>
              </w:rPr>
            </w:pPr>
            <w:r w:rsidRPr="00DB7AA3">
              <w:t>1.0</w:t>
            </w:r>
          </w:p>
        </w:tc>
        <w:tc>
          <w:tcPr>
            <w:tcW w:w="1134" w:type="dxa"/>
            <w:tcBorders>
              <w:top w:val="single" w:sz="4" w:space="0" w:color="A6A6A6" w:themeColor="accent5"/>
              <w:bottom w:val="single" w:sz="4" w:space="0" w:color="A6A6A6" w:themeColor="accent5"/>
            </w:tcBorders>
            <w:shd w:val="clear" w:color="auto" w:fill="EEEEEF" w:themeFill="accent4"/>
            <w:noWrap/>
          </w:tcPr>
          <w:p w14:paraId="212106D5" w14:textId="77777777" w:rsidR="00265792" w:rsidRPr="00DB7AA3" w:rsidRDefault="00265792" w:rsidP="00DB7AA3">
            <w:pPr>
              <w:pStyle w:val="ARfintablebodyright"/>
              <w:rPr>
                <w:highlight w:val="green"/>
              </w:rPr>
            </w:pPr>
            <w:r>
              <w:t>–</w:t>
            </w:r>
          </w:p>
        </w:tc>
        <w:tc>
          <w:tcPr>
            <w:tcW w:w="1134" w:type="dxa"/>
            <w:tcBorders>
              <w:top w:val="single" w:sz="4" w:space="0" w:color="A6A6A6" w:themeColor="accent5"/>
              <w:bottom w:val="single" w:sz="4" w:space="0" w:color="A6A6A6" w:themeColor="accent5"/>
            </w:tcBorders>
            <w:shd w:val="clear" w:color="auto" w:fill="EEEEEF" w:themeFill="accent4"/>
            <w:noWrap/>
          </w:tcPr>
          <w:p w14:paraId="0B0FD673" w14:textId="77777777" w:rsidR="00265792" w:rsidRPr="00DB7AA3" w:rsidRDefault="00265792" w:rsidP="00DB7AA3">
            <w:pPr>
              <w:pStyle w:val="ARfintablebodyright"/>
              <w:rPr>
                <w:highlight w:val="green"/>
              </w:rPr>
            </w:pPr>
            <w:r w:rsidRPr="00DB7AA3">
              <w:t>448.7</w:t>
            </w:r>
          </w:p>
        </w:tc>
      </w:tr>
      <w:tr w:rsidR="00265792" w:rsidRPr="00BA7805" w14:paraId="7270628D" w14:textId="77777777" w:rsidTr="00A513BB">
        <w:tc>
          <w:tcPr>
            <w:tcW w:w="3969" w:type="dxa"/>
            <w:tcBorders>
              <w:top w:val="single" w:sz="4" w:space="0" w:color="A6A6A6" w:themeColor="accent5"/>
              <w:bottom w:val="single" w:sz="4" w:space="0" w:color="auto"/>
            </w:tcBorders>
          </w:tcPr>
          <w:p w14:paraId="711405D3" w14:textId="77777777" w:rsidR="00265792" w:rsidRPr="00DB7AA3" w:rsidRDefault="00265792" w:rsidP="00DB7AA3">
            <w:pPr>
              <w:pStyle w:val="ARfintablebody"/>
              <w:rPr>
                <w:highlight w:val="green"/>
              </w:rPr>
            </w:pPr>
            <w:r w:rsidRPr="00DB7AA3">
              <w:t xml:space="preserve">Borrowings </w:t>
            </w:r>
            <w:r w:rsidRPr="00A513BB">
              <w:rPr>
                <w:vertAlign w:val="superscript"/>
              </w:rPr>
              <w:t>(</w:t>
            </w:r>
            <w:proofErr w:type="spellStart"/>
            <w:r w:rsidRPr="00A513BB">
              <w:rPr>
                <w:vertAlign w:val="superscript"/>
              </w:rPr>
              <w:t>i</w:t>
            </w:r>
            <w:proofErr w:type="spellEnd"/>
            <w:r w:rsidRPr="00A513BB">
              <w:rPr>
                <w:vertAlign w:val="superscript"/>
              </w:rPr>
              <w:t>)</w:t>
            </w:r>
          </w:p>
        </w:tc>
        <w:tc>
          <w:tcPr>
            <w:tcW w:w="1134" w:type="dxa"/>
            <w:tcBorders>
              <w:top w:val="single" w:sz="4" w:space="0" w:color="A6A6A6" w:themeColor="accent5"/>
              <w:bottom w:val="single" w:sz="4" w:space="0" w:color="auto"/>
            </w:tcBorders>
            <w:shd w:val="clear" w:color="auto" w:fill="EEEEEF" w:themeFill="accent4"/>
            <w:noWrap/>
          </w:tcPr>
          <w:p w14:paraId="28306DE9" w14:textId="77777777" w:rsidR="00265792" w:rsidRPr="00DB7AA3" w:rsidRDefault="00265792" w:rsidP="00DB7AA3">
            <w:pPr>
              <w:pStyle w:val="ARfintablebodyright"/>
              <w:rPr>
                <w:highlight w:val="green"/>
              </w:rPr>
            </w:pPr>
            <w:r w:rsidRPr="00DB7AA3">
              <w:t>6.0%</w:t>
            </w:r>
          </w:p>
        </w:tc>
        <w:tc>
          <w:tcPr>
            <w:tcW w:w="1134" w:type="dxa"/>
            <w:tcBorders>
              <w:top w:val="single" w:sz="4" w:space="0" w:color="A6A6A6" w:themeColor="accent5"/>
              <w:bottom w:val="single" w:sz="4" w:space="0" w:color="auto"/>
            </w:tcBorders>
            <w:noWrap/>
          </w:tcPr>
          <w:p w14:paraId="64F539AA" w14:textId="77777777" w:rsidR="00265792" w:rsidRPr="00DB7AA3" w:rsidRDefault="00265792" w:rsidP="00DB7AA3">
            <w:pPr>
              <w:pStyle w:val="ARfintablebodyright"/>
              <w:rPr>
                <w:highlight w:val="green"/>
              </w:rPr>
            </w:pPr>
            <w:r w:rsidRPr="00DB7AA3">
              <w:t>737.0</w:t>
            </w:r>
          </w:p>
        </w:tc>
        <w:tc>
          <w:tcPr>
            <w:tcW w:w="1134" w:type="dxa"/>
            <w:tcBorders>
              <w:top w:val="single" w:sz="4" w:space="0" w:color="A6A6A6" w:themeColor="accent5"/>
              <w:bottom w:val="single" w:sz="4" w:space="0" w:color="auto"/>
            </w:tcBorders>
            <w:shd w:val="clear" w:color="auto" w:fill="EEEEEF" w:themeFill="accent4"/>
            <w:noWrap/>
          </w:tcPr>
          <w:p w14:paraId="2EB22D8A" w14:textId="77777777" w:rsidR="00265792" w:rsidRPr="00DB7AA3" w:rsidRDefault="00265792" w:rsidP="00DB7AA3">
            <w:pPr>
              <w:pStyle w:val="ARfintablebodyright"/>
              <w:rPr>
                <w:highlight w:val="green"/>
              </w:rPr>
            </w:pPr>
            <w:r w:rsidRPr="00DB7AA3">
              <w:t>606.1</w:t>
            </w:r>
          </w:p>
        </w:tc>
        <w:tc>
          <w:tcPr>
            <w:tcW w:w="1134" w:type="dxa"/>
            <w:tcBorders>
              <w:top w:val="single" w:sz="4" w:space="0" w:color="A6A6A6" w:themeColor="accent5"/>
              <w:bottom w:val="single" w:sz="4" w:space="0" w:color="auto"/>
            </w:tcBorders>
            <w:shd w:val="clear" w:color="auto" w:fill="EEEEEF" w:themeFill="accent4"/>
            <w:noWrap/>
          </w:tcPr>
          <w:p w14:paraId="0489C780" w14:textId="77777777" w:rsidR="00265792" w:rsidRPr="00DB7AA3" w:rsidRDefault="00265792" w:rsidP="00DB7AA3">
            <w:pPr>
              <w:pStyle w:val="ARfintablebodyright"/>
              <w:rPr>
                <w:highlight w:val="green"/>
              </w:rPr>
            </w:pPr>
            <w:r>
              <w:t>–</w:t>
            </w:r>
          </w:p>
        </w:tc>
        <w:tc>
          <w:tcPr>
            <w:tcW w:w="1134" w:type="dxa"/>
            <w:tcBorders>
              <w:top w:val="single" w:sz="4" w:space="0" w:color="A6A6A6" w:themeColor="accent5"/>
              <w:bottom w:val="single" w:sz="4" w:space="0" w:color="auto"/>
            </w:tcBorders>
            <w:shd w:val="clear" w:color="auto" w:fill="EEEEEF" w:themeFill="accent4"/>
            <w:noWrap/>
          </w:tcPr>
          <w:p w14:paraId="34B72E1A" w14:textId="77777777" w:rsidR="00265792" w:rsidRPr="00DB7AA3" w:rsidRDefault="00265792" w:rsidP="00DB7AA3">
            <w:pPr>
              <w:pStyle w:val="ARfintablebodyright"/>
              <w:rPr>
                <w:highlight w:val="green"/>
              </w:rPr>
            </w:pPr>
            <w:r w:rsidRPr="00DB7AA3">
              <w:t>130.9</w:t>
            </w:r>
          </w:p>
        </w:tc>
      </w:tr>
      <w:tr w:rsidR="00265792" w:rsidRPr="00BA7805" w14:paraId="002AD4D8" w14:textId="77777777" w:rsidTr="00A513BB">
        <w:tc>
          <w:tcPr>
            <w:tcW w:w="3969" w:type="dxa"/>
            <w:tcBorders>
              <w:top w:val="single" w:sz="4" w:space="0" w:color="auto"/>
              <w:bottom w:val="single" w:sz="4" w:space="0" w:color="auto"/>
            </w:tcBorders>
          </w:tcPr>
          <w:p w14:paraId="5C81A385" w14:textId="77777777" w:rsidR="00265792" w:rsidRPr="00DB7AA3" w:rsidRDefault="00265792" w:rsidP="001C773F">
            <w:pPr>
              <w:pStyle w:val="ARfintablebodybold"/>
              <w:rPr>
                <w:highlight w:val="green"/>
              </w:rPr>
            </w:pPr>
            <w:r w:rsidRPr="00DB7AA3">
              <w:t>Total financial liabilities</w:t>
            </w:r>
          </w:p>
        </w:tc>
        <w:tc>
          <w:tcPr>
            <w:tcW w:w="1134" w:type="dxa"/>
            <w:tcBorders>
              <w:top w:val="single" w:sz="4" w:space="0" w:color="auto"/>
              <w:bottom w:val="single" w:sz="4" w:space="0" w:color="auto"/>
            </w:tcBorders>
            <w:shd w:val="clear" w:color="auto" w:fill="EEEEEF" w:themeFill="accent4"/>
            <w:noWrap/>
          </w:tcPr>
          <w:p w14:paraId="746B1F86"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uto"/>
            </w:tcBorders>
            <w:noWrap/>
          </w:tcPr>
          <w:p w14:paraId="4CA53B55" w14:textId="77777777" w:rsidR="00265792" w:rsidRPr="0053385F" w:rsidRDefault="00265792" w:rsidP="00DB7AA3">
            <w:pPr>
              <w:pStyle w:val="ARfintablebodyright"/>
              <w:rPr>
                <w:b/>
                <w:bCs/>
                <w:highlight w:val="green"/>
              </w:rPr>
            </w:pPr>
            <w:r w:rsidRPr="0053385F">
              <w:rPr>
                <w:b/>
                <w:bCs/>
              </w:rPr>
              <w:t>1,186.7</w:t>
            </w:r>
          </w:p>
        </w:tc>
        <w:tc>
          <w:tcPr>
            <w:tcW w:w="1134" w:type="dxa"/>
            <w:tcBorders>
              <w:top w:val="single" w:sz="4" w:space="0" w:color="auto"/>
              <w:bottom w:val="single" w:sz="4" w:space="0" w:color="auto"/>
            </w:tcBorders>
            <w:shd w:val="clear" w:color="auto" w:fill="EEEEEF" w:themeFill="accent4"/>
            <w:noWrap/>
          </w:tcPr>
          <w:p w14:paraId="79E21C31" w14:textId="77777777" w:rsidR="00265792" w:rsidRPr="0053385F" w:rsidRDefault="00265792" w:rsidP="00DB7AA3">
            <w:pPr>
              <w:pStyle w:val="ARfintablebodyright"/>
              <w:rPr>
                <w:b/>
                <w:bCs/>
                <w:highlight w:val="green"/>
              </w:rPr>
            </w:pPr>
            <w:r w:rsidRPr="0053385F">
              <w:rPr>
                <w:b/>
                <w:bCs/>
              </w:rPr>
              <w:t>607.1</w:t>
            </w:r>
          </w:p>
        </w:tc>
        <w:tc>
          <w:tcPr>
            <w:tcW w:w="1134" w:type="dxa"/>
            <w:tcBorders>
              <w:top w:val="single" w:sz="4" w:space="0" w:color="auto"/>
              <w:bottom w:val="single" w:sz="4" w:space="0" w:color="auto"/>
            </w:tcBorders>
            <w:shd w:val="clear" w:color="auto" w:fill="EEEEEF" w:themeFill="accent4"/>
            <w:noWrap/>
          </w:tcPr>
          <w:p w14:paraId="72608EB7" w14:textId="77777777" w:rsidR="00265792" w:rsidRPr="0053385F" w:rsidRDefault="00265792" w:rsidP="00DB7AA3">
            <w:pPr>
              <w:pStyle w:val="ARfintablebodyright"/>
              <w:rPr>
                <w:b/>
                <w:bCs/>
                <w:highlight w:val="green"/>
              </w:rPr>
            </w:pPr>
            <w:r w:rsidRPr="0053385F">
              <w:rPr>
                <w:b/>
                <w:bCs/>
              </w:rPr>
              <w:t>–</w:t>
            </w:r>
          </w:p>
        </w:tc>
        <w:tc>
          <w:tcPr>
            <w:tcW w:w="1134" w:type="dxa"/>
            <w:tcBorders>
              <w:top w:val="single" w:sz="4" w:space="0" w:color="auto"/>
              <w:bottom w:val="single" w:sz="4" w:space="0" w:color="auto"/>
            </w:tcBorders>
            <w:shd w:val="clear" w:color="auto" w:fill="EEEEEF" w:themeFill="accent4"/>
            <w:noWrap/>
          </w:tcPr>
          <w:p w14:paraId="7D4FF9B0" w14:textId="77777777" w:rsidR="00265792" w:rsidRPr="0053385F" w:rsidRDefault="00265792" w:rsidP="00DB7AA3">
            <w:pPr>
              <w:pStyle w:val="ARfintablebodyright"/>
              <w:rPr>
                <w:b/>
                <w:bCs/>
                <w:highlight w:val="green"/>
              </w:rPr>
            </w:pPr>
            <w:r w:rsidRPr="0053385F">
              <w:rPr>
                <w:b/>
                <w:bCs/>
              </w:rPr>
              <w:t>579.6</w:t>
            </w:r>
          </w:p>
        </w:tc>
      </w:tr>
      <w:tr w:rsidR="00265792" w:rsidRPr="00BA7805" w14:paraId="393E76C6" w14:textId="77777777" w:rsidTr="00A513BB">
        <w:tc>
          <w:tcPr>
            <w:tcW w:w="3969" w:type="dxa"/>
            <w:tcBorders>
              <w:top w:val="single" w:sz="4" w:space="0" w:color="auto"/>
              <w:bottom w:val="single" w:sz="4" w:space="0" w:color="A6A6A6" w:themeColor="accent5"/>
            </w:tcBorders>
          </w:tcPr>
          <w:p w14:paraId="06341859" w14:textId="77777777" w:rsidR="00265792" w:rsidRPr="00DB7AA3" w:rsidRDefault="00265792" w:rsidP="001C773F">
            <w:pPr>
              <w:pStyle w:val="ARfintablebodyboldcoloured"/>
              <w:rPr>
                <w:highlight w:val="green"/>
              </w:rPr>
            </w:pPr>
            <w:r w:rsidRPr="00DB7AA3">
              <w:t>2024</w:t>
            </w:r>
          </w:p>
        </w:tc>
        <w:tc>
          <w:tcPr>
            <w:tcW w:w="1134" w:type="dxa"/>
            <w:tcBorders>
              <w:top w:val="single" w:sz="4" w:space="0" w:color="auto"/>
              <w:bottom w:val="single" w:sz="4" w:space="0" w:color="A6A6A6" w:themeColor="accent5"/>
            </w:tcBorders>
            <w:noWrap/>
          </w:tcPr>
          <w:p w14:paraId="1796B274"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6A6A6" w:themeColor="accent5"/>
            </w:tcBorders>
            <w:noWrap/>
          </w:tcPr>
          <w:p w14:paraId="0B48BCC2"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6A6A6" w:themeColor="accent5"/>
            </w:tcBorders>
            <w:noWrap/>
          </w:tcPr>
          <w:p w14:paraId="007E1D02"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6A6A6" w:themeColor="accent5"/>
            </w:tcBorders>
            <w:noWrap/>
          </w:tcPr>
          <w:p w14:paraId="012B8C3E"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6A6A6" w:themeColor="accent5"/>
            </w:tcBorders>
            <w:noWrap/>
          </w:tcPr>
          <w:p w14:paraId="7EAFCC53" w14:textId="77777777" w:rsidR="00265792" w:rsidRPr="00DB7AA3" w:rsidRDefault="00265792" w:rsidP="00DB7AA3">
            <w:pPr>
              <w:pStyle w:val="ARfintablebodyright"/>
              <w:rPr>
                <w:highlight w:val="green"/>
              </w:rPr>
            </w:pPr>
          </w:p>
        </w:tc>
      </w:tr>
      <w:tr w:rsidR="00265792" w:rsidRPr="00BA7805" w14:paraId="04864CE9" w14:textId="77777777" w:rsidTr="00A513BB">
        <w:tc>
          <w:tcPr>
            <w:tcW w:w="3969" w:type="dxa"/>
            <w:tcBorders>
              <w:top w:val="single" w:sz="4" w:space="0" w:color="A6A6A6" w:themeColor="accent5"/>
            </w:tcBorders>
          </w:tcPr>
          <w:p w14:paraId="2C5F5F20" w14:textId="77777777" w:rsidR="00265792" w:rsidRPr="00DB7AA3" w:rsidRDefault="00265792">
            <w:pPr>
              <w:pStyle w:val="ARfintablebodybold"/>
              <w:rPr>
                <w:highlight w:val="green"/>
              </w:rPr>
            </w:pPr>
            <w:r w:rsidRPr="00DB7AA3">
              <w:t>Financial assets</w:t>
            </w:r>
          </w:p>
        </w:tc>
        <w:tc>
          <w:tcPr>
            <w:tcW w:w="1134" w:type="dxa"/>
            <w:tcBorders>
              <w:top w:val="single" w:sz="4" w:space="0" w:color="A6A6A6" w:themeColor="accent5"/>
            </w:tcBorders>
            <w:noWrap/>
          </w:tcPr>
          <w:p w14:paraId="61D11641" w14:textId="77777777" w:rsidR="00265792" w:rsidRPr="00DB7AA3" w:rsidRDefault="00265792" w:rsidP="00DB7AA3">
            <w:pPr>
              <w:pStyle w:val="ARfintablebodyright"/>
              <w:rPr>
                <w:highlight w:val="green"/>
              </w:rPr>
            </w:pPr>
          </w:p>
        </w:tc>
        <w:tc>
          <w:tcPr>
            <w:tcW w:w="1134" w:type="dxa"/>
            <w:tcBorders>
              <w:top w:val="single" w:sz="4" w:space="0" w:color="A6A6A6" w:themeColor="accent5"/>
            </w:tcBorders>
            <w:noWrap/>
          </w:tcPr>
          <w:p w14:paraId="2D4FAE54" w14:textId="77777777" w:rsidR="00265792" w:rsidRPr="00DB7AA3" w:rsidRDefault="00265792" w:rsidP="00DB7AA3">
            <w:pPr>
              <w:pStyle w:val="ARfintablebodyright"/>
              <w:rPr>
                <w:highlight w:val="green"/>
              </w:rPr>
            </w:pPr>
          </w:p>
        </w:tc>
        <w:tc>
          <w:tcPr>
            <w:tcW w:w="1134" w:type="dxa"/>
            <w:tcBorders>
              <w:top w:val="single" w:sz="4" w:space="0" w:color="A6A6A6" w:themeColor="accent5"/>
            </w:tcBorders>
            <w:noWrap/>
          </w:tcPr>
          <w:p w14:paraId="64DFA9E0" w14:textId="77777777" w:rsidR="00265792" w:rsidRPr="00DB7AA3" w:rsidRDefault="00265792" w:rsidP="00DB7AA3">
            <w:pPr>
              <w:pStyle w:val="ARfintablebodyright"/>
              <w:rPr>
                <w:highlight w:val="green"/>
              </w:rPr>
            </w:pPr>
          </w:p>
        </w:tc>
        <w:tc>
          <w:tcPr>
            <w:tcW w:w="1134" w:type="dxa"/>
            <w:tcBorders>
              <w:top w:val="single" w:sz="4" w:space="0" w:color="A6A6A6" w:themeColor="accent5"/>
            </w:tcBorders>
            <w:noWrap/>
          </w:tcPr>
          <w:p w14:paraId="7384DCA6" w14:textId="77777777" w:rsidR="00265792" w:rsidRPr="00DB7AA3" w:rsidRDefault="00265792" w:rsidP="00DB7AA3">
            <w:pPr>
              <w:pStyle w:val="ARfintablebodyright"/>
              <w:rPr>
                <w:highlight w:val="green"/>
              </w:rPr>
            </w:pPr>
          </w:p>
        </w:tc>
        <w:tc>
          <w:tcPr>
            <w:tcW w:w="1134" w:type="dxa"/>
            <w:tcBorders>
              <w:top w:val="single" w:sz="4" w:space="0" w:color="A6A6A6" w:themeColor="accent5"/>
            </w:tcBorders>
            <w:noWrap/>
          </w:tcPr>
          <w:p w14:paraId="4B11CA2F" w14:textId="77777777" w:rsidR="00265792" w:rsidRPr="00DB7AA3" w:rsidRDefault="00265792" w:rsidP="00DB7AA3">
            <w:pPr>
              <w:pStyle w:val="ARfintablebodyright"/>
              <w:rPr>
                <w:highlight w:val="green"/>
              </w:rPr>
            </w:pPr>
          </w:p>
        </w:tc>
      </w:tr>
      <w:tr w:rsidR="00265792" w:rsidRPr="00BA7805" w14:paraId="0CBC3E74" w14:textId="77777777" w:rsidTr="001C773F">
        <w:tc>
          <w:tcPr>
            <w:tcW w:w="3969" w:type="dxa"/>
          </w:tcPr>
          <w:p w14:paraId="2F414656" w14:textId="77777777" w:rsidR="00265792" w:rsidRPr="00DB7AA3" w:rsidRDefault="00265792" w:rsidP="00DB7AA3">
            <w:pPr>
              <w:pStyle w:val="ARfintablebody"/>
              <w:rPr>
                <w:highlight w:val="green"/>
              </w:rPr>
            </w:pPr>
            <w:r w:rsidRPr="00DB7AA3">
              <w:t>Cash and deposits</w:t>
            </w:r>
          </w:p>
        </w:tc>
        <w:tc>
          <w:tcPr>
            <w:tcW w:w="1134" w:type="dxa"/>
            <w:shd w:val="clear" w:color="auto" w:fill="EEEEEF" w:themeFill="accent4"/>
            <w:noWrap/>
          </w:tcPr>
          <w:p w14:paraId="763413DA" w14:textId="77777777" w:rsidR="00265792" w:rsidRPr="00DB7AA3" w:rsidRDefault="00265792" w:rsidP="00DB7AA3">
            <w:pPr>
              <w:pStyle w:val="ARfintablebodyright"/>
              <w:rPr>
                <w:highlight w:val="green"/>
              </w:rPr>
            </w:pPr>
            <w:r w:rsidRPr="00DB7AA3">
              <w:t>3.3%</w:t>
            </w:r>
          </w:p>
        </w:tc>
        <w:tc>
          <w:tcPr>
            <w:tcW w:w="1134" w:type="dxa"/>
            <w:noWrap/>
          </w:tcPr>
          <w:p w14:paraId="46EA7E64" w14:textId="77777777" w:rsidR="00265792" w:rsidRPr="00DB7AA3" w:rsidRDefault="00265792" w:rsidP="00DB7AA3">
            <w:pPr>
              <w:pStyle w:val="ARfintablebodyright"/>
              <w:rPr>
                <w:highlight w:val="green"/>
              </w:rPr>
            </w:pPr>
            <w:r>
              <w:t>721.7</w:t>
            </w:r>
          </w:p>
        </w:tc>
        <w:tc>
          <w:tcPr>
            <w:tcW w:w="1134" w:type="dxa"/>
            <w:shd w:val="clear" w:color="auto" w:fill="EEEEEF" w:themeFill="accent4"/>
            <w:noWrap/>
          </w:tcPr>
          <w:p w14:paraId="2CFFA742" w14:textId="77777777" w:rsidR="00265792" w:rsidRPr="00DB7AA3" w:rsidRDefault="00265792" w:rsidP="00DB7AA3">
            <w:pPr>
              <w:pStyle w:val="ARfintablebodyright"/>
              <w:rPr>
                <w:highlight w:val="green"/>
              </w:rPr>
            </w:pPr>
            <w:r>
              <w:t>–</w:t>
            </w:r>
          </w:p>
        </w:tc>
        <w:tc>
          <w:tcPr>
            <w:tcW w:w="1134" w:type="dxa"/>
            <w:shd w:val="clear" w:color="auto" w:fill="EEEEEF" w:themeFill="accent4"/>
            <w:noWrap/>
          </w:tcPr>
          <w:p w14:paraId="66C05C27" w14:textId="77777777" w:rsidR="00265792" w:rsidRPr="00DB7AA3" w:rsidRDefault="00265792" w:rsidP="00DB7AA3">
            <w:pPr>
              <w:pStyle w:val="ARfintablebodyright"/>
              <w:rPr>
                <w:highlight w:val="green"/>
              </w:rPr>
            </w:pPr>
            <w:r>
              <w:t>667.0</w:t>
            </w:r>
          </w:p>
        </w:tc>
        <w:tc>
          <w:tcPr>
            <w:tcW w:w="1134" w:type="dxa"/>
            <w:shd w:val="clear" w:color="auto" w:fill="EEEEEF" w:themeFill="accent4"/>
            <w:noWrap/>
          </w:tcPr>
          <w:p w14:paraId="7C9C2173" w14:textId="77777777" w:rsidR="00265792" w:rsidRPr="00DB7AA3" w:rsidRDefault="00265792" w:rsidP="00DB7AA3">
            <w:pPr>
              <w:pStyle w:val="ARfintablebodyright"/>
              <w:rPr>
                <w:highlight w:val="green"/>
              </w:rPr>
            </w:pPr>
            <w:r w:rsidRPr="00DB7AA3">
              <w:t>54.7</w:t>
            </w:r>
          </w:p>
        </w:tc>
      </w:tr>
      <w:tr w:rsidR="00265792" w:rsidRPr="00BA7805" w14:paraId="12EE9E89" w14:textId="77777777" w:rsidTr="00A513BB">
        <w:tc>
          <w:tcPr>
            <w:tcW w:w="3969" w:type="dxa"/>
            <w:tcBorders>
              <w:bottom w:val="single" w:sz="4" w:space="0" w:color="A6A6A6" w:themeColor="accent5"/>
            </w:tcBorders>
          </w:tcPr>
          <w:p w14:paraId="2CB49D6B" w14:textId="77777777" w:rsidR="00265792" w:rsidRPr="00DB7AA3" w:rsidRDefault="00265792" w:rsidP="00DB7AA3">
            <w:pPr>
              <w:pStyle w:val="ARfintablebody"/>
              <w:rPr>
                <w:highlight w:val="green"/>
              </w:rPr>
            </w:pPr>
            <w:r w:rsidRPr="00DB7AA3">
              <w:t xml:space="preserve">Receivables </w:t>
            </w:r>
            <w:r w:rsidRPr="00A513BB">
              <w:rPr>
                <w:vertAlign w:val="superscript"/>
              </w:rPr>
              <w:t>(</w:t>
            </w:r>
            <w:proofErr w:type="spellStart"/>
            <w:r w:rsidRPr="00A513BB">
              <w:rPr>
                <w:vertAlign w:val="superscript"/>
              </w:rPr>
              <w:t>i</w:t>
            </w:r>
            <w:proofErr w:type="spellEnd"/>
            <w:r w:rsidRPr="00A513BB" w:rsidDel="00264179">
              <w:rPr>
                <w:vertAlign w:val="superscript"/>
              </w:rPr>
              <w:t>)</w:t>
            </w:r>
          </w:p>
        </w:tc>
        <w:tc>
          <w:tcPr>
            <w:tcW w:w="1134" w:type="dxa"/>
            <w:tcBorders>
              <w:bottom w:val="single" w:sz="4" w:space="0" w:color="A6A6A6" w:themeColor="accent5"/>
            </w:tcBorders>
            <w:shd w:val="clear" w:color="auto" w:fill="EEEEEF" w:themeFill="accent4"/>
            <w:noWrap/>
          </w:tcPr>
          <w:p w14:paraId="2807CAF8" w14:textId="77777777" w:rsidR="00265792" w:rsidRPr="00DB7AA3" w:rsidRDefault="00265792" w:rsidP="00DB7AA3">
            <w:pPr>
              <w:pStyle w:val="ARfintablebodyright"/>
              <w:rPr>
                <w:highlight w:val="green"/>
              </w:rPr>
            </w:pPr>
          </w:p>
        </w:tc>
        <w:tc>
          <w:tcPr>
            <w:tcW w:w="1134" w:type="dxa"/>
            <w:tcBorders>
              <w:bottom w:val="single" w:sz="4" w:space="0" w:color="A6A6A6" w:themeColor="accent5"/>
            </w:tcBorders>
            <w:noWrap/>
          </w:tcPr>
          <w:p w14:paraId="4E024F4E" w14:textId="77777777" w:rsidR="00265792" w:rsidRPr="00DB7AA3" w:rsidRDefault="00265792" w:rsidP="00DB7AA3">
            <w:pPr>
              <w:pStyle w:val="ARfintablebodyright"/>
              <w:rPr>
                <w:highlight w:val="green"/>
              </w:rPr>
            </w:pPr>
            <w:r w:rsidRPr="00DB7AA3">
              <w:t>31</w:t>
            </w:r>
            <w:r>
              <w:t>5.0</w:t>
            </w:r>
          </w:p>
        </w:tc>
        <w:tc>
          <w:tcPr>
            <w:tcW w:w="1134" w:type="dxa"/>
            <w:tcBorders>
              <w:bottom w:val="single" w:sz="4" w:space="0" w:color="A6A6A6" w:themeColor="accent5"/>
            </w:tcBorders>
            <w:shd w:val="clear" w:color="auto" w:fill="EEEEEF" w:themeFill="accent4"/>
            <w:noWrap/>
          </w:tcPr>
          <w:p w14:paraId="49A93A8D" w14:textId="77777777" w:rsidR="00265792" w:rsidRPr="00DB7AA3" w:rsidRDefault="00265792" w:rsidP="00DB7AA3">
            <w:pPr>
              <w:pStyle w:val="ARfintablebodyright"/>
              <w:rPr>
                <w:highlight w:val="green"/>
              </w:rPr>
            </w:pPr>
            <w:r>
              <w:t>–</w:t>
            </w:r>
          </w:p>
        </w:tc>
        <w:tc>
          <w:tcPr>
            <w:tcW w:w="1134" w:type="dxa"/>
            <w:tcBorders>
              <w:bottom w:val="single" w:sz="4" w:space="0" w:color="A6A6A6" w:themeColor="accent5"/>
            </w:tcBorders>
            <w:shd w:val="clear" w:color="auto" w:fill="EEEEEF" w:themeFill="accent4"/>
            <w:noWrap/>
          </w:tcPr>
          <w:p w14:paraId="7C381D8B" w14:textId="77777777" w:rsidR="00265792" w:rsidRPr="00DB7AA3" w:rsidRDefault="00265792" w:rsidP="00DB7AA3">
            <w:pPr>
              <w:pStyle w:val="ARfintablebodyright"/>
              <w:rPr>
                <w:highlight w:val="green"/>
              </w:rPr>
            </w:pPr>
            <w:r>
              <w:t>–</w:t>
            </w:r>
          </w:p>
        </w:tc>
        <w:tc>
          <w:tcPr>
            <w:tcW w:w="1134" w:type="dxa"/>
            <w:tcBorders>
              <w:bottom w:val="single" w:sz="4" w:space="0" w:color="A6A6A6" w:themeColor="accent5"/>
            </w:tcBorders>
            <w:shd w:val="clear" w:color="auto" w:fill="EEEEEF" w:themeFill="accent4"/>
            <w:noWrap/>
          </w:tcPr>
          <w:p w14:paraId="0FD25409" w14:textId="77777777" w:rsidR="00265792" w:rsidRPr="00DB7AA3" w:rsidRDefault="00265792" w:rsidP="00DB7AA3">
            <w:pPr>
              <w:pStyle w:val="ARfintablebodyright"/>
              <w:rPr>
                <w:highlight w:val="green"/>
              </w:rPr>
            </w:pPr>
            <w:r w:rsidRPr="00DB7AA3">
              <w:t>31</w:t>
            </w:r>
            <w:r>
              <w:t>5.0</w:t>
            </w:r>
          </w:p>
        </w:tc>
      </w:tr>
      <w:tr w:rsidR="00265792" w:rsidRPr="00BA7805" w14:paraId="6FF147EC" w14:textId="77777777" w:rsidTr="00A513BB">
        <w:tc>
          <w:tcPr>
            <w:tcW w:w="3969" w:type="dxa"/>
            <w:tcBorders>
              <w:top w:val="single" w:sz="4" w:space="0" w:color="A6A6A6" w:themeColor="accent5"/>
              <w:bottom w:val="single" w:sz="4" w:space="0" w:color="auto"/>
            </w:tcBorders>
          </w:tcPr>
          <w:p w14:paraId="6744A943" w14:textId="77777777" w:rsidR="00265792" w:rsidRPr="00DB7AA3" w:rsidRDefault="00265792" w:rsidP="00DB7AA3">
            <w:pPr>
              <w:pStyle w:val="ARfintablebody"/>
              <w:rPr>
                <w:highlight w:val="green"/>
              </w:rPr>
            </w:pPr>
            <w:r w:rsidRPr="00DB7AA3">
              <w:t xml:space="preserve">Loans </w:t>
            </w:r>
          </w:p>
        </w:tc>
        <w:tc>
          <w:tcPr>
            <w:tcW w:w="1134" w:type="dxa"/>
            <w:tcBorders>
              <w:top w:val="single" w:sz="4" w:space="0" w:color="A6A6A6" w:themeColor="accent5"/>
              <w:bottom w:val="single" w:sz="4" w:space="0" w:color="auto"/>
            </w:tcBorders>
            <w:shd w:val="clear" w:color="auto" w:fill="EEEEEF" w:themeFill="accent4"/>
            <w:noWrap/>
          </w:tcPr>
          <w:p w14:paraId="501E51B8" w14:textId="77777777" w:rsidR="00265792" w:rsidRPr="00DB7AA3" w:rsidRDefault="00265792" w:rsidP="00DB7AA3">
            <w:pPr>
              <w:pStyle w:val="ARfintablebodyright"/>
              <w:rPr>
                <w:highlight w:val="green"/>
              </w:rPr>
            </w:pPr>
            <w:r w:rsidRPr="00DB7AA3">
              <w:t>2.2%</w:t>
            </w:r>
          </w:p>
        </w:tc>
        <w:tc>
          <w:tcPr>
            <w:tcW w:w="1134" w:type="dxa"/>
            <w:tcBorders>
              <w:top w:val="single" w:sz="4" w:space="0" w:color="A6A6A6" w:themeColor="accent5"/>
              <w:bottom w:val="single" w:sz="4" w:space="0" w:color="auto"/>
            </w:tcBorders>
            <w:noWrap/>
          </w:tcPr>
          <w:p w14:paraId="3631ECA4" w14:textId="77777777" w:rsidR="00265792" w:rsidRPr="00DB7AA3" w:rsidRDefault="00265792" w:rsidP="00DB7AA3">
            <w:pPr>
              <w:pStyle w:val="ARfintablebodyright"/>
              <w:rPr>
                <w:highlight w:val="green"/>
              </w:rPr>
            </w:pPr>
            <w:r w:rsidRPr="00DB7AA3">
              <w:t>28.2</w:t>
            </w:r>
          </w:p>
        </w:tc>
        <w:tc>
          <w:tcPr>
            <w:tcW w:w="1134" w:type="dxa"/>
            <w:tcBorders>
              <w:top w:val="single" w:sz="4" w:space="0" w:color="A6A6A6" w:themeColor="accent5"/>
              <w:bottom w:val="single" w:sz="4" w:space="0" w:color="auto"/>
            </w:tcBorders>
            <w:shd w:val="clear" w:color="auto" w:fill="EEEEEF" w:themeFill="accent4"/>
            <w:noWrap/>
          </w:tcPr>
          <w:p w14:paraId="34501F87" w14:textId="77777777" w:rsidR="00265792" w:rsidRPr="00DB7AA3" w:rsidRDefault="00265792" w:rsidP="00DB7AA3">
            <w:pPr>
              <w:pStyle w:val="ARfintablebodyright"/>
              <w:rPr>
                <w:highlight w:val="green"/>
              </w:rPr>
            </w:pPr>
            <w:r w:rsidRPr="00DB7AA3">
              <w:t>0.9</w:t>
            </w:r>
          </w:p>
        </w:tc>
        <w:tc>
          <w:tcPr>
            <w:tcW w:w="1134" w:type="dxa"/>
            <w:tcBorders>
              <w:top w:val="single" w:sz="4" w:space="0" w:color="A6A6A6" w:themeColor="accent5"/>
              <w:bottom w:val="single" w:sz="4" w:space="0" w:color="auto"/>
            </w:tcBorders>
            <w:shd w:val="clear" w:color="auto" w:fill="EEEEEF" w:themeFill="accent4"/>
            <w:noWrap/>
          </w:tcPr>
          <w:p w14:paraId="00D6509E" w14:textId="77777777" w:rsidR="00265792" w:rsidRPr="00DB7AA3" w:rsidRDefault="00265792" w:rsidP="00DB7AA3">
            <w:pPr>
              <w:pStyle w:val="ARfintablebodyright"/>
              <w:rPr>
                <w:highlight w:val="green"/>
              </w:rPr>
            </w:pPr>
            <w:r w:rsidRPr="00DB7AA3">
              <w:t>7.</w:t>
            </w:r>
            <w:r>
              <w:t>2</w:t>
            </w:r>
          </w:p>
        </w:tc>
        <w:tc>
          <w:tcPr>
            <w:tcW w:w="1134" w:type="dxa"/>
            <w:tcBorders>
              <w:top w:val="single" w:sz="4" w:space="0" w:color="A6A6A6" w:themeColor="accent5"/>
              <w:bottom w:val="single" w:sz="4" w:space="0" w:color="auto"/>
            </w:tcBorders>
            <w:shd w:val="clear" w:color="auto" w:fill="EEEEEF" w:themeFill="accent4"/>
            <w:noWrap/>
          </w:tcPr>
          <w:p w14:paraId="38DF7752" w14:textId="77777777" w:rsidR="00265792" w:rsidRPr="00DB7AA3" w:rsidRDefault="00265792" w:rsidP="00DB7AA3">
            <w:pPr>
              <w:pStyle w:val="ARfintablebodyright"/>
              <w:rPr>
                <w:highlight w:val="green"/>
              </w:rPr>
            </w:pPr>
            <w:r w:rsidRPr="00DB7AA3">
              <w:t>20.1</w:t>
            </w:r>
          </w:p>
        </w:tc>
      </w:tr>
      <w:tr w:rsidR="00265792" w:rsidRPr="00BA7805" w14:paraId="5649CB8B" w14:textId="77777777" w:rsidTr="00A513BB">
        <w:tc>
          <w:tcPr>
            <w:tcW w:w="3969" w:type="dxa"/>
            <w:tcBorders>
              <w:top w:val="single" w:sz="4" w:space="0" w:color="auto"/>
              <w:bottom w:val="single" w:sz="4" w:space="0" w:color="auto"/>
            </w:tcBorders>
          </w:tcPr>
          <w:p w14:paraId="16612AD0" w14:textId="77777777" w:rsidR="00265792" w:rsidRPr="00DB7AA3" w:rsidRDefault="00265792" w:rsidP="00A513BB">
            <w:pPr>
              <w:pStyle w:val="ARfintablebodybold"/>
              <w:rPr>
                <w:highlight w:val="green"/>
              </w:rPr>
            </w:pPr>
            <w:r w:rsidRPr="00DB7AA3">
              <w:t>Total financial assets</w:t>
            </w:r>
          </w:p>
        </w:tc>
        <w:tc>
          <w:tcPr>
            <w:tcW w:w="1134" w:type="dxa"/>
            <w:tcBorders>
              <w:top w:val="single" w:sz="4" w:space="0" w:color="auto"/>
              <w:bottom w:val="single" w:sz="4" w:space="0" w:color="auto"/>
            </w:tcBorders>
            <w:shd w:val="clear" w:color="auto" w:fill="EEEEEF" w:themeFill="accent4"/>
            <w:noWrap/>
          </w:tcPr>
          <w:p w14:paraId="28B42DA1" w14:textId="77777777" w:rsidR="00265792" w:rsidRPr="00DB7AA3" w:rsidRDefault="00265792">
            <w:pPr>
              <w:pStyle w:val="ARfintablebodyrightbold"/>
              <w:rPr>
                <w:highlight w:val="green"/>
              </w:rPr>
            </w:pPr>
          </w:p>
        </w:tc>
        <w:tc>
          <w:tcPr>
            <w:tcW w:w="1134" w:type="dxa"/>
            <w:tcBorders>
              <w:top w:val="single" w:sz="4" w:space="0" w:color="auto"/>
              <w:bottom w:val="single" w:sz="4" w:space="0" w:color="auto"/>
            </w:tcBorders>
            <w:noWrap/>
          </w:tcPr>
          <w:p w14:paraId="23473894" w14:textId="77777777" w:rsidR="00265792" w:rsidRPr="00DB7AA3" w:rsidRDefault="00265792">
            <w:pPr>
              <w:pStyle w:val="ARfintablebodycentrebold"/>
              <w:ind w:right="-253"/>
              <w:rPr>
                <w:highlight w:val="green"/>
              </w:rPr>
            </w:pPr>
            <w:r>
              <w:t>1,064.9</w:t>
            </w:r>
          </w:p>
        </w:tc>
        <w:tc>
          <w:tcPr>
            <w:tcW w:w="1134" w:type="dxa"/>
            <w:tcBorders>
              <w:top w:val="single" w:sz="4" w:space="0" w:color="auto"/>
              <w:bottom w:val="single" w:sz="4" w:space="0" w:color="auto"/>
            </w:tcBorders>
            <w:shd w:val="clear" w:color="auto" w:fill="EEEEEF" w:themeFill="accent4"/>
            <w:noWrap/>
          </w:tcPr>
          <w:p w14:paraId="7E525D5A" w14:textId="77777777" w:rsidR="00265792" w:rsidRPr="00DB7AA3" w:rsidRDefault="00265792">
            <w:pPr>
              <w:pStyle w:val="ARfintablebodycentrebold"/>
              <w:ind w:right="-529"/>
              <w:rPr>
                <w:highlight w:val="green"/>
              </w:rPr>
            </w:pPr>
            <w:r w:rsidRPr="00DB7AA3">
              <w:t>0.9</w:t>
            </w:r>
          </w:p>
        </w:tc>
        <w:tc>
          <w:tcPr>
            <w:tcW w:w="1134" w:type="dxa"/>
            <w:tcBorders>
              <w:top w:val="single" w:sz="4" w:space="0" w:color="auto"/>
              <w:bottom w:val="single" w:sz="4" w:space="0" w:color="auto"/>
            </w:tcBorders>
            <w:shd w:val="clear" w:color="auto" w:fill="EEEEEF" w:themeFill="accent4"/>
            <w:noWrap/>
          </w:tcPr>
          <w:p w14:paraId="38D452DC" w14:textId="77777777" w:rsidR="00265792" w:rsidRPr="00DB7AA3" w:rsidRDefault="00265792">
            <w:pPr>
              <w:pStyle w:val="ARfintablebodycentrebold"/>
              <w:ind w:right="-252"/>
              <w:rPr>
                <w:highlight w:val="green"/>
              </w:rPr>
            </w:pPr>
            <w:r>
              <w:t>674.2</w:t>
            </w:r>
          </w:p>
        </w:tc>
        <w:tc>
          <w:tcPr>
            <w:tcW w:w="1134" w:type="dxa"/>
            <w:tcBorders>
              <w:top w:val="single" w:sz="4" w:space="0" w:color="auto"/>
              <w:bottom w:val="single" w:sz="4" w:space="0" w:color="auto"/>
            </w:tcBorders>
            <w:shd w:val="clear" w:color="auto" w:fill="EEEEEF" w:themeFill="accent4"/>
            <w:noWrap/>
          </w:tcPr>
          <w:p w14:paraId="447BA3DA" w14:textId="77777777" w:rsidR="00265792" w:rsidRPr="00DB7AA3" w:rsidRDefault="00265792">
            <w:pPr>
              <w:pStyle w:val="ARfintablebodycentrebold"/>
              <w:ind w:right="-387"/>
              <w:rPr>
                <w:highlight w:val="green"/>
              </w:rPr>
            </w:pPr>
            <w:r w:rsidRPr="00DB7AA3">
              <w:t>38</w:t>
            </w:r>
            <w:r>
              <w:t>9.8</w:t>
            </w:r>
          </w:p>
        </w:tc>
      </w:tr>
      <w:tr w:rsidR="00265792" w:rsidRPr="00BA7805" w14:paraId="56331419" w14:textId="77777777" w:rsidTr="00A513BB">
        <w:tc>
          <w:tcPr>
            <w:tcW w:w="3969" w:type="dxa"/>
            <w:tcBorders>
              <w:top w:val="single" w:sz="4" w:space="0" w:color="auto"/>
              <w:bottom w:val="single" w:sz="4" w:space="0" w:color="A6A6A6" w:themeColor="accent5"/>
            </w:tcBorders>
          </w:tcPr>
          <w:p w14:paraId="68127C2B" w14:textId="77777777" w:rsidR="00265792" w:rsidRPr="00DB7AA3" w:rsidRDefault="00265792" w:rsidP="00A513BB">
            <w:pPr>
              <w:pStyle w:val="ARfintablebodybold"/>
              <w:rPr>
                <w:highlight w:val="green"/>
              </w:rPr>
            </w:pPr>
            <w:r w:rsidRPr="00DB7AA3">
              <w:t>Financial liabilities</w:t>
            </w:r>
          </w:p>
        </w:tc>
        <w:tc>
          <w:tcPr>
            <w:tcW w:w="1134" w:type="dxa"/>
            <w:tcBorders>
              <w:top w:val="single" w:sz="4" w:space="0" w:color="auto"/>
              <w:bottom w:val="single" w:sz="4" w:space="0" w:color="A6A6A6" w:themeColor="accent5"/>
            </w:tcBorders>
            <w:noWrap/>
          </w:tcPr>
          <w:p w14:paraId="2832744F"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6A6A6" w:themeColor="accent5"/>
            </w:tcBorders>
            <w:noWrap/>
          </w:tcPr>
          <w:p w14:paraId="32A4C9C0"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6A6A6" w:themeColor="accent5"/>
            </w:tcBorders>
            <w:noWrap/>
          </w:tcPr>
          <w:p w14:paraId="76DC966D"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6A6A6" w:themeColor="accent5"/>
            </w:tcBorders>
            <w:noWrap/>
          </w:tcPr>
          <w:p w14:paraId="0783BEF9" w14:textId="77777777" w:rsidR="00265792" w:rsidRPr="00DB7AA3" w:rsidRDefault="00265792" w:rsidP="00DB7AA3">
            <w:pPr>
              <w:pStyle w:val="ARfintablebodyright"/>
              <w:rPr>
                <w:highlight w:val="green"/>
              </w:rPr>
            </w:pPr>
          </w:p>
        </w:tc>
        <w:tc>
          <w:tcPr>
            <w:tcW w:w="1134" w:type="dxa"/>
            <w:tcBorders>
              <w:top w:val="single" w:sz="4" w:space="0" w:color="auto"/>
              <w:bottom w:val="single" w:sz="4" w:space="0" w:color="A6A6A6" w:themeColor="accent5"/>
            </w:tcBorders>
            <w:noWrap/>
          </w:tcPr>
          <w:p w14:paraId="6442152C" w14:textId="77777777" w:rsidR="00265792" w:rsidRPr="00DB7AA3" w:rsidRDefault="00265792" w:rsidP="00DB7AA3">
            <w:pPr>
              <w:pStyle w:val="ARfintablebodyright"/>
              <w:rPr>
                <w:highlight w:val="green"/>
              </w:rPr>
            </w:pPr>
          </w:p>
        </w:tc>
      </w:tr>
      <w:tr w:rsidR="00265792" w:rsidRPr="00BA7805" w14:paraId="5816406E" w14:textId="77777777" w:rsidTr="00A513BB">
        <w:tc>
          <w:tcPr>
            <w:tcW w:w="3969" w:type="dxa"/>
            <w:tcBorders>
              <w:top w:val="single" w:sz="4" w:space="0" w:color="A6A6A6" w:themeColor="accent5"/>
            </w:tcBorders>
          </w:tcPr>
          <w:p w14:paraId="0096D821" w14:textId="77777777" w:rsidR="00265792" w:rsidRPr="00DB7AA3" w:rsidRDefault="00265792" w:rsidP="00DB7AA3">
            <w:pPr>
              <w:pStyle w:val="ARfintablebody"/>
              <w:rPr>
                <w:highlight w:val="green"/>
              </w:rPr>
            </w:pPr>
            <w:r w:rsidRPr="00DB7AA3">
              <w:t xml:space="preserve">Payables </w:t>
            </w:r>
            <w:r w:rsidRPr="00A513BB">
              <w:rPr>
                <w:vertAlign w:val="superscript"/>
              </w:rPr>
              <w:t>(</w:t>
            </w:r>
            <w:proofErr w:type="spellStart"/>
            <w:r w:rsidRPr="00A513BB">
              <w:rPr>
                <w:vertAlign w:val="superscript"/>
              </w:rPr>
              <w:t>i</w:t>
            </w:r>
            <w:proofErr w:type="spellEnd"/>
            <w:r w:rsidRPr="00A513BB">
              <w:rPr>
                <w:vertAlign w:val="superscript"/>
              </w:rPr>
              <w:t>)(ii)</w:t>
            </w:r>
          </w:p>
        </w:tc>
        <w:tc>
          <w:tcPr>
            <w:tcW w:w="1134" w:type="dxa"/>
            <w:tcBorders>
              <w:top w:val="single" w:sz="4" w:space="0" w:color="A6A6A6" w:themeColor="accent5"/>
            </w:tcBorders>
            <w:shd w:val="clear" w:color="auto" w:fill="EEEEEF" w:themeFill="accent4"/>
            <w:noWrap/>
          </w:tcPr>
          <w:p w14:paraId="35EE23AF" w14:textId="77777777" w:rsidR="00265792" w:rsidRPr="00DB7AA3" w:rsidRDefault="00265792" w:rsidP="00DB7AA3">
            <w:pPr>
              <w:pStyle w:val="ARfintablebodyright"/>
              <w:rPr>
                <w:highlight w:val="green"/>
              </w:rPr>
            </w:pPr>
          </w:p>
        </w:tc>
        <w:tc>
          <w:tcPr>
            <w:tcW w:w="1134" w:type="dxa"/>
            <w:tcBorders>
              <w:top w:val="single" w:sz="4" w:space="0" w:color="A6A6A6" w:themeColor="accent5"/>
            </w:tcBorders>
            <w:noWrap/>
          </w:tcPr>
          <w:p w14:paraId="0BDBC52C" w14:textId="77777777" w:rsidR="00265792" w:rsidRPr="00DB7AA3" w:rsidRDefault="00265792" w:rsidP="00DB7AA3">
            <w:pPr>
              <w:pStyle w:val="ARfintablebodyright"/>
              <w:rPr>
                <w:highlight w:val="green"/>
              </w:rPr>
            </w:pPr>
            <w:r w:rsidRPr="00DB7AA3">
              <w:t>479.5</w:t>
            </w:r>
          </w:p>
        </w:tc>
        <w:tc>
          <w:tcPr>
            <w:tcW w:w="1134" w:type="dxa"/>
            <w:tcBorders>
              <w:top w:val="single" w:sz="4" w:space="0" w:color="A6A6A6" w:themeColor="accent5"/>
            </w:tcBorders>
            <w:shd w:val="clear" w:color="auto" w:fill="EEEEEF" w:themeFill="accent4"/>
            <w:noWrap/>
          </w:tcPr>
          <w:p w14:paraId="0927EAB3" w14:textId="77777777" w:rsidR="00265792" w:rsidRPr="00DB7AA3" w:rsidRDefault="00265792" w:rsidP="00DB7AA3">
            <w:pPr>
              <w:pStyle w:val="ARfintablebodyright"/>
              <w:rPr>
                <w:highlight w:val="green"/>
              </w:rPr>
            </w:pPr>
            <w:r w:rsidRPr="00DB7AA3">
              <w:t>1.0</w:t>
            </w:r>
          </w:p>
        </w:tc>
        <w:tc>
          <w:tcPr>
            <w:tcW w:w="1134" w:type="dxa"/>
            <w:tcBorders>
              <w:top w:val="single" w:sz="4" w:space="0" w:color="A6A6A6" w:themeColor="accent5"/>
            </w:tcBorders>
            <w:shd w:val="clear" w:color="auto" w:fill="EEEEEF" w:themeFill="accent4"/>
            <w:noWrap/>
          </w:tcPr>
          <w:p w14:paraId="5B6393F7" w14:textId="77777777" w:rsidR="00265792" w:rsidRPr="00DB7AA3" w:rsidRDefault="00265792" w:rsidP="00DB7AA3">
            <w:pPr>
              <w:pStyle w:val="ARfintablebodyright"/>
              <w:rPr>
                <w:highlight w:val="green"/>
              </w:rPr>
            </w:pPr>
            <w:r>
              <w:t>–</w:t>
            </w:r>
          </w:p>
        </w:tc>
        <w:tc>
          <w:tcPr>
            <w:tcW w:w="1134" w:type="dxa"/>
            <w:tcBorders>
              <w:top w:val="single" w:sz="4" w:space="0" w:color="A6A6A6" w:themeColor="accent5"/>
            </w:tcBorders>
            <w:shd w:val="clear" w:color="auto" w:fill="EEEEEF" w:themeFill="accent4"/>
            <w:noWrap/>
          </w:tcPr>
          <w:p w14:paraId="16305AC0" w14:textId="77777777" w:rsidR="00265792" w:rsidRPr="00DB7AA3" w:rsidRDefault="00265792" w:rsidP="00DB7AA3">
            <w:pPr>
              <w:pStyle w:val="ARfintablebodyright"/>
              <w:rPr>
                <w:highlight w:val="green"/>
              </w:rPr>
            </w:pPr>
            <w:r w:rsidRPr="00DB7AA3">
              <w:t>478.5</w:t>
            </w:r>
          </w:p>
        </w:tc>
      </w:tr>
      <w:tr w:rsidR="00265792" w:rsidRPr="00BA7805" w14:paraId="4C6CC867" w14:textId="77777777" w:rsidTr="001C773F">
        <w:tc>
          <w:tcPr>
            <w:tcW w:w="3969" w:type="dxa"/>
          </w:tcPr>
          <w:p w14:paraId="68B29D24" w14:textId="77777777" w:rsidR="00265792" w:rsidRPr="00DB7AA3" w:rsidRDefault="00265792" w:rsidP="00DB7AA3">
            <w:pPr>
              <w:pStyle w:val="ARfintablebody"/>
              <w:rPr>
                <w:highlight w:val="green"/>
              </w:rPr>
            </w:pPr>
            <w:r w:rsidRPr="00DB7AA3">
              <w:t xml:space="preserve">Borrowings </w:t>
            </w:r>
            <w:r w:rsidRPr="00A513BB">
              <w:rPr>
                <w:vertAlign w:val="superscript"/>
              </w:rPr>
              <w:t>(</w:t>
            </w:r>
            <w:proofErr w:type="spellStart"/>
            <w:r w:rsidRPr="00A513BB">
              <w:rPr>
                <w:vertAlign w:val="superscript"/>
              </w:rPr>
              <w:t>i</w:t>
            </w:r>
            <w:proofErr w:type="spellEnd"/>
            <w:r w:rsidRPr="00A513BB">
              <w:rPr>
                <w:vertAlign w:val="superscript"/>
              </w:rPr>
              <w:t>)</w:t>
            </w:r>
          </w:p>
        </w:tc>
        <w:tc>
          <w:tcPr>
            <w:tcW w:w="1134" w:type="dxa"/>
            <w:shd w:val="clear" w:color="auto" w:fill="EEEEEF" w:themeFill="accent4"/>
            <w:noWrap/>
          </w:tcPr>
          <w:p w14:paraId="27435E79" w14:textId="77777777" w:rsidR="00265792" w:rsidRPr="00DB7AA3" w:rsidRDefault="00265792" w:rsidP="00DB7AA3">
            <w:pPr>
              <w:pStyle w:val="ARfintablebodyright"/>
              <w:rPr>
                <w:highlight w:val="green"/>
              </w:rPr>
            </w:pPr>
            <w:r>
              <w:t>5.0</w:t>
            </w:r>
            <w:r w:rsidRPr="00DB7AA3">
              <w:t>%</w:t>
            </w:r>
          </w:p>
        </w:tc>
        <w:tc>
          <w:tcPr>
            <w:tcW w:w="1134" w:type="dxa"/>
            <w:noWrap/>
          </w:tcPr>
          <w:p w14:paraId="5E8C0D1D" w14:textId="77777777" w:rsidR="00265792" w:rsidRPr="00DB7AA3" w:rsidRDefault="00265792" w:rsidP="00DB7AA3">
            <w:pPr>
              <w:pStyle w:val="ARfintablebodyright"/>
              <w:rPr>
                <w:highlight w:val="green"/>
              </w:rPr>
            </w:pPr>
            <w:r w:rsidRPr="00DB7AA3">
              <w:t>503.7</w:t>
            </w:r>
          </w:p>
        </w:tc>
        <w:tc>
          <w:tcPr>
            <w:tcW w:w="1134" w:type="dxa"/>
            <w:shd w:val="clear" w:color="auto" w:fill="EEEEEF" w:themeFill="accent4"/>
            <w:noWrap/>
          </w:tcPr>
          <w:p w14:paraId="3DE0047A" w14:textId="77777777" w:rsidR="00265792" w:rsidRPr="00DB7AA3" w:rsidRDefault="00265792" w:rsidP="00DB7AA3">
            <w:pPr>
              <w:pStyle w:val="ARfintablebodyright"/>
              <w:rPr>
                <w:highlight w:val="green"/>
              </w:rPr>
            </w:pPr>
            <w:r w:rsidRPr="00DB7AA3">
              <w:t>371.1</w:t>
            </w:r>
          </w:p>
        </w:tc>
        <w:tc>
          <w:tcPr>
            <w:tcW w:w="1134" w:type="dxa"/>
            <w:shd w:val="clear" w:color="auto" w:fill="EEEEEF" w:themeFill="accent4"/>
            <w:noWrap/>
          </w:tcPr>
          <w:p w14:paraId="56188839" w14:textId="77777777" w:rsidR="00265792" w:rsidRPr="00DB7AA3" w:rsidRDefault="00265792" w:rsidP="00DB7AA3">
            <w:pPr>
              <w:pStyle w:val="ARfintablebodyright"/>
              <w:rPr>
                <w:highlight w:val="green"/>
              </w:rPr>
            </w:pPr>
            <w:r>
              <w:t>–</w:t>
            </w:r>
          </w:p>
        </w:tc>
        <w:tc>
          <w:tcPr>
            <w:tcW w:w="1134" w:type="dxa"/>
            <w:shd w:val="clear" w:color="auto" w:fill="EEEEEF" w:themeFill="accent4"/>
            <w:noWrap/>
          </w:tcPr>
          <w:p w14:paraId="062ECCA0" w14:textId="77777777" w:rsidR="00265792" w:rsidRPr="00DB7AA3" w:rsidRDefault="00265792" w:rsidP="00DB7AA3">
            <w:pPr>
              <w:pStyle w:val="ARfintablebodyright"/>
              <w:rPr>
                <w:highlight w:val="green"/>
              </w:rPr>
            </w:pPr>
            <w:r w:rsidRPr="00DB7AA3">
              <w:t>132.6</w:t>
            </w:r>
          </w:p>
        </w:tc>
      </w:tr>
      <w:tr w:rsidR="00265792" w:rsidRPr="00BA7805" w14:paraId="655ED828" w14:textId="77777777" w:rsidTr="001C773F">
        <w:trPr>
          <w:cnfStyle w:val="010000000000" w:firstRow="0" w:lastRow="1" w:firstColumn="0" w:lastColumn="0" w:oddVBand="0" w:evenVBand="0" w:oddHBand="0" w:evenHBand="0" w:firstRowFirstColumn="0" w:firstRowLastColumn="0" w:lastRowFirstColumn="0" w:lastRowLastColumn="0"/>
        </w:trPr>
        <w:tc>
          <w:tcPr>
            <w:tcW w:w="3969" w:type="dxa"/>
          </w:tcPr>
          <w:p w14:paraId="0450ECB1" w14:textId="77777777" w:rsidR="00265792" w:rsidRPr="00DB7AA3" w:rsidRDefault="00265792" w:rsidP="00A513BB">
            <w:pPr>
              <w:pStyle w:val="ARfintablebodybold"/>
              <w:rPr>
                <w:highlight w:val="green"/>
              </w:rPr>
            </w:pPr>
            <w:r w:rsidRPr="00DB7AA3">
              <w:t>Total financial liabilities</w:t>
            </w:r>
          </w:p>
        </w:tc>
        <w:tc>
          <w:tcPr>
            <w:tcW w:w="1134" w:type="dxa"/>
            <w:shd w:val="clear" w:color="auto" w:fill="EEEEEF" w:themeFill="accent4"/>
            <w:noWrap/>
          </w:tcPr>
          <w:p w14:paraId="2F94EA8A" w14:textId="77777777" w:rsidR="00265792" w:rsidRPr="00DB7AA3" w:rsidRDefault="00265792" w:rsidP="009632AB">
            <w:pPr>
              <w:pStyle w:val="ARfintablebodyrightbold"/>
              <w:rPr>
                <w:highlight w:val="green"/>
              </w:rPr>
            </w:pPr>
          </w:p>
        </w:tc>
        <w:tc>
          <w:tcPr>
            <w:tcW w:w="1134" w:type="dxa"/>
            <w:noWrap/>
          </w:tcPr>
          <w:p w14:paraId="7EF6785C" w14:textId="77777777" w:rsidR="00265792" w:rsidRPr="00DB7AA3" w:rsidRDefault="00265792" w:rsidP="009632AB">
            <w:pPr>
              <w:pStyle w:val="ARfintablebodyrightbold"/>
              <w:rPr>
                <w:highlight w:val="green"/>
              </w:rPr>
            </w:pPr>
            <w:r w:rsidRPr="00DB7AA3">
              <w:t>983.2</w:t>
            </w:r>
          </w:p>
        </w:tc>
        <w:tc>
          <w:tcPr>
            <w:tcW w:w="1134" w:type="dxa"/>
            <w:shd w:val="clear" w:color="auto" w:fill="EEEEEF" w:themeFill="accent4"/>
            <w:noWrap/>
          </w:tcPr>
          <w:p w14:paraId="50746585" w14:textId="77777777" w:rsidR="00265792" w:rsidRPr="00DB7AA3" w:rsidRDefault="00265792" w:rsidP="009632AB">
            <w:pPr>
              <w:pStyle w:val="ARfintablebodyrightbold"/>
              <w:rPr>
                <w:highlight w:val="green"/>
              </w:rPr>
            </w:pPr>
            <w:r w:rsidRPr="00DB7AA3">
              <w:t>372.1</w:t>
            </w:r>
          </w:p>
        </w:tc>
        <w:tc>
          <w:tcPr>
            <w:tcW w:w="1134" w:type="dxa"/>
            <w:shd w:val="clear" w:color="auto" w:fill="EEEEEF" w:themeFill="accent4"/>
            <w:noWrap/>
          </w:tcPr>
          <w:p w14:paraId="1C678226" w14:textId="77777777" w:rsidR="00265792" w:rsidRPr="00DB7AA3" w:rsidRDefault="00265792" w:rsidP="009632AB">
            <w:pPr>
              <w:pStyle w:val="ARfintablebodyrightbold"/>
              <w:rPr>
                <w:highlight w:val="green"/>
              </w:rPr>
            </w:pPr>
            <w:r>
              <w:t>–</w:t>
            </w:r>
          </w:p>
        </w:tc>
        <w:tc>
          <w:tcPr>
            <w:tcW w:w="1134" w:type="dxa"/>
            <w:shd w:val="clear" w:color="auto" w:fill="EEEEEF" w:themeFill="accent4"/>
            <w:noWrap/>
          </w:tcPr>
          <w:p w14:paraId="49F8B5AF" w14:textId="77777777" w:rsidR="00265792" w:rsidRPr="00DB7AA3" w:rsidRDefault="00265792" w:rsidP="009632AB">
            <w:pPr>
              <w:pStyle w:val="ARfintablebodyrightbold"/>
              <w:rPr>
                <w:highlight w:val="green"/>
              </w:rPr>
            </w:pPr>
            <w:r w:rsidRPr="00DB7AA3">
              <w:t>611.1</w:t>
            </w:r>
          </w:p>
        </w:tc>
      </w:tr>
    </w:tbl>
    <w:p w14:paraId="029771B8" w14:textId="77777777" w:rsidR="00265792" w:rsidRPr="008C162D" w:rsidRDefault="00265792" w:rsidP="002542E1">
      <w:pPr>
        <w:pStyle w:val="ARfintablefootnote"/>
        <w:rPr>
          <w:lang w:eastAsia="en-AU"/>
        </w:rPr>
      </w:pPr>
      <w:r w:rsidRPr="008C162D">
        <w:rPr>
          <w:lang w:eastAsia="en-AU"/>
        </w:rPr>
        <w:t>Notes:</w:t>
      </w:r>
    </w:p>
    <w:p w14:paraId="06F244A3" w14:textId="77777777" w:rsidR="00265792" w:rsidRDefault="00265792" w:rsidP="00DB7AA3">
      <w:pPr>
        <w:pStyle w:val="ARfintablefootnotetabindent"/>
      </w:pPr>
      <w:r>
        <w:t>(</w:t>
      </w:r>
      <w:proofErr w:type="spellStart"/>
      <w:r>
        <w:t>i</w:t>
      </w:r>
      <w:proofErr w:type="spellEnd"/>
      <w:r>
        <w:t xml:space="preserve">) </w:t>
      </w:r>
      <w:r>
        <w:tab/>
        <w:t>The carrying amounts disclosed here exclude statutory amounts, for example, amounts owing to/from Victorian Government and GST input tax credit recoverable and taxes payable.</w:t>
      </w:r>
    </w:p>
    <w:p w14:paraId="173FDBD0" w14:textId="77777777" w:rsidR="00265792" w:rsidRDefault="00265792" w:rsidP="00DB7AA3">
      <w:pPr>
        <w:pStyle w:val="ARfintablefootnotetabindent"/>
      </w:pPr>
      <w:r>
        <w:t xml:space="preserve">(ii) </w:t>
      </w:r>
      <w:r>
        <w:tab/>
        <w:t>Grant of right to operate liability has been removed from maturity analysis of contractual payables for 2023–24 and 2024–25, as it is not classified as financial instrument for reporting purpose.</w:t>
      </w:r>
    </w:p>
    <w:p w14:paraId="07E086AF" w14:textId="77777777" w:rsidR="00265792" w:rsidRDefault="00265792" w:rsidP="00DB7AA3">
      <w:pPr>
        <w:pStyle w:val="ARfintablefootnotetabindent"/>
      </w:pPr>
      <w:r>
        <w:t xml:space="preserve">(iii) </w:t>
      </w:r>
      <w:r>
        <w:tab/>
        <w:t>Homes Victoria suspended indefinitely the applicable interest rate and CPI for all the remaining client loans from December 2023.</w:t>
      </w:r>
      <w:r>
        <w:br w:type="page"/>
      </w:r>
    </w:p>
    <w:p w14:paraId="4B9BA0C8" w14:textId="77777777" w:rsidR="00265792" w:rsidRPr="00B72FFA" w:rsidRDefault="00265792" w:rsidP="00B72FFA">
      <w:pPr>
        <w:pStyle w:val="Heading7"/>
      </w:pPr>
      <w:r w:rsidRPr="00B72FFA">
        <w:lastRenderedPageBreak/>
        <w:t>Sensitivity disclosure analysis and assumptions</w:t>
      </w:r>
    </w:p>
    <w:p w14:paraId="2C73F981" w14:textId="77777777" w:rsidR="00265792" w:rsidRPr="00B72FFA" w:rsidRDefault="00265792" w:rsidP="00B72FFA">
      <w:pPr>
        <w:pStyle w:val="ARfinbody"/>
      </w:pPr>
      <w:r w:rsidRPr="00B72FFA">
        <w:t>The department’s sensitivity to market risk is determined based on the observed range of actual historical data for the preceding five-year period, with all variables other than the primary risk variable held constant. The department’s fund managers cannot be expected to predict movements in market rates and prices; sensitivity analyses are shown for illustrative purposes only. The following movements are ‘reasonably possible’ over the next 12 months.</w:t>
      </w:r>
    </w:p>
    <w:p w14:paraId="783787C0" w14:textId="77777777" w:rsidR="00265792" w:rsidRPr="00B72FFA" w:rsidRDefault="00265792" w:rsidP="00B72FFA">
      <w:pPr>
        <w:pStyle w:val="ARfinbody"/>
      </w:pPr>
      <w:r w:rsidRPr="00B72FFA">
        <w:t>A shift of +1.0% and -0.5% (2024: +1.0% and -0.5%) in market interest rates (AUD) from year-end rates.</w:t>
      </w:r>
    </w:p>
    <w:p w14:paraId="055FD24E" w14:textId="77777777" w:rsidR="00265792" w:rsidRPr="00B72FFA" w:rsidRDefault="00265792" w:rsidP="00B72FFA">
      <w:pPr>
        <w:pStyle w:val="ARfinbody"/>
      </w:pPr>
      <w:r w:rsidRPr="00B72FFA">
        <w:t>Several loan programs have loans with interest rates linked to movement in the consumer price index (CPI). The total balances outstanding under these programs have reduced to a level that any changes to the CPI have a limited impact on the amount of interest charged and no new lending is made under these programs.</w:t>
      </w:r>
    </w:p>
    <w:p w14:paraId="4813B00F" w14:textId="77777777" w:rsidR="00265792" w:rsidRDefault="00265792" w:rsidP="00B72FFA">
      <w:pPr>
        <w:pStyle w:val="ARfinbody"/>
      </w:pPr>
      <w:r w:rsidRPr="00B72FFA">
        <w:t>The table below discloses the impact on the department’s net result and equity for each category of financial instrument held by the department at the end of the reporting period.</w:t>
      </w:r>
    </w:p>
    <w:p w14:paraId="3656125B" w14:textId="77777777" w:rsidR="00265792" w:rsidRPr="00982510" w:rsidRDefault="00265792">
      <w:pPr>
        <w:pStyle w:val="Heading7"/>
      </w:pPr>
      <w:r w:rsidRPr="00982510">
        <w:t>Interest rate risk sensitivity analysis</w:t>
      </w:r>
    </w:p>
    <w:tbl>
      <w:tblPr>
        <w:tblStyle w:val="TableGrid"/>
        <w:tblW w:w="9639" w:type="dxa"/>
        <w:tblLayout w:type="fixed"/>
        <w:tblLook w:val="06E0" w:firstRow="1" w:lastRow="1" w:firstColumn="1" w:lastColumn="0" w:noHBand="1" w:noVBand="1"/>
      </w:tblPr>
      <w:tblGrid>
        <w:gridCol w:w="3969"/>
        <w:gridCol w:w="1134"/>
        <w:gridCol w:w="1134"/>
        <w:gridCol w:w="1134"/>
        <w:gridCol w:w="1134"/>
        <w:gridCol w:w="1134"/>
      </w:tblGrid>
      <w:tr w:rsidR="00265792" w:rsidRPr="00BA7805" w14:paraId="5A06E33C" w14:textId="77777777" w:rsidTr="00420523">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tcBorders>
              <w:top w:val="nil"/>
              <w:bottom w:val="single" w:sz="4" w:space="0" w:color="auto"/>
            </w:tcBorders>
            <w:hideMark/>
          </w:tcPr>
          <w:p w14:paraId="1F0AFDE9" w14:textId="77777777" w:rsidR="00265792" w:rsidRPr="00045210" w:rsidRDefault="00265792" w:rsidP="002D68CA">
            <w:pPr>
              <w:pStyle w:val="ARfintablecolhead"/>
              <w:rPr>
                <w:highlight w:val="green"/>
              </w:rPr>
            </w:pPr>
            <w:r w:rsidRPr="00B72FFA">
              <w:t>2025</w:t>
            </w:r>
          </w:p>
        </w:tc>
        <w:tc>
          <w:tcPr>
            <w:tcW w:w="1134" w:type="dxa"/>
            <w:vMerge w:val="restart"/>
            <w:tcBorders>
              <w:top w:val="nil"/>
              <w:bottom w:val="single" w:sz="4" w:space="0" w:color="auto"/>
            </w:tcBorders>
            <w:shd w:val="clear" w:color="auto" w:fill="EEEEEF" w:themeFill="accent4"/>
            <w:hideMark/>
          </w:tcPr>
          <w:p w14:paraId="03BB86C0" w14:textId="77777777" w:rsidR="00265792" w:rsidRPr="00407BE6" w:rsidRDefault="00265792">
            <w:pPr>
              <w:pStyle w:val="ARfintablecolheadright"/>
            </w:pPr>
            <w:r w:rsidRPr="00407BE6">
              <w:t>Carrying amount</w:t>
            </w:r>
          </w:p>
          <w:p w14:paraId="4C2D2294" w14:textId="77777777" w:rsidR="00265792" w:rsidRPr="00BA7805" w:rsidRDefault="00265792">
            <w:pPr>
              <w:pStyle w:val="ARfintablecolheadright"/>
              <w:rPr>
                <w:highlight w:val="green"/>
              </w:rPr>
            </w:pPr>
            <w:r w:rsidRPr="00407BE6">
              <w:t>$M</w:t>
            </w:r>
          </w:p>
        </w:tc>
        <w:tc>
          <w:tcPr>
            <w:tcW w:w="2268" w:type="dxa"/>
            <w:gridSpan w:val="2"/>
            <w:tcBorders>
              <w:top w:val="nil"/>
              <w:bottom w:val="single" w:sz="4" w:space="0" w:color="auto"/>
            </w:tcBorders>
            <w:hideMark/>
          </w:tcPr>
          <w:p w14:paraId="7A9475C2" w14:textId="77777777" w:rsidR="00265792" w:rsidRPr="00407BE6" w:rsidRDefault="00265792">
            <w:pPr>
              <w:pStyle w:val="ARfintablecolheadcentre"/>
            </w:pPr>
            <w:r w:rsidRPr="00407BE6">
              <w:t>Interest rate risk</w:t>
            </w:r>
          </w:p>
        </w:tc>
        <w:tc>
          <w:tcPr>
            <w:tcW w:w="2268" w:type="dxa"/>
            <w:gridSpan w:val="2"/>
            <w:tcBorders>
              <w:top w:val="nil"/>
              <w:bottom w:val="single" w:sz="4" w:space="0" w:color="auto"/>
            </w:tcBorders>
            <w:shd w:val="clear" w:color="auto" w:fill="EEEEEF" w:themeFill="accent4"/>
            <w:hideMark/>
          </w:tcPr>
          <w:p w14:paraId="2C768631" w14:textId="0DED16BC" w:rsidR="00265792" w:rsidRPr="00407BE6" w:rsidRDefault="00265792">
            <w:pPr>
              <w:pStyle w:val="ARfintablecolheadcentre"/>
            </w:pPr>
            <w:r w:rsidRPr="00407BE6">
              <w:t xml:space="preserve">Consumer </w:t>
            </w:r>
            <w:r w:rsidR="00EF76A3">
              <w:t>p</w:t>
            </w:r>
            <w:r w:rsidR="00EF76A3" w:rsidRPr="00407BE6">
              <w:t xml:space="preserve">rice </w:t>
            </w:r>
            <w:r w:rsidRPr="00407BE6">
              <w:br/>
            </w:r>
            <w:r w:rsidR="00EF76A3">
              <w:t>i</w:t>
            </w:r>
            <w:r w:rsidR="00EF76A3" w:rsidRPr="00407BE6">
              <w:t xml:space="preserve">ndex </w:t>
            </w:r>
            <w:r w:rsidRPr="00407BE6">
              <w:t>(CPI)</w:t>
            </w:r>
          </w:p>
        </w:tc>
      </w:tr>
      <w:tr w:rsidR="00265792" w:rsidRPr="00BA7805" w14:paraId="7F6E5FC7" w14:textId="77777777" w:rsidTr="00420523">
        <w:trPr>
          <w:cnfStyle w:val="100000000000" w:firstRow="1" w:lastRow="0" w:firstColumn="0" w:lastColumn="0" w:oddVBand="0" w:evenVBand="0" w:oddHBand="0" w:evenHBand="0" w:firstRowFirstColumn="0" w:firstRowLastColumn="0" w:lastRowFirstColumn="0" w:lastRowLastColumn="0"/>
          <w:tblHeader/>
        </w:trPr>
        <w:tc>
          <w:tcPr>
            <w:tcW w:w="3969" w:type="dxa"/>
            <w:vMerge/>
            <w:tcBorders>
              <w:top w:val="single" w:sz="4" w:space="0" w:color="auto"/>
              <w:bottom w:val="single" w:sz="4" w:space="0" w:color="auto"/>
            </w:tcBorders>
            <w:hideMark/>
          </w:tcPr>
          <w:p w14:paraId="5548620B" w14:textId="77777777" w:rsidR="00265792" w:rsidRPr="00BA7805" w:rsidRDefault="00265792">
            <w:pPr>
              <w:pStyle w:val="ARfintablecolhead"/>
              <w:rPr>
                <w:highlight w:val="green"/>
              </w:rPr>
            </w:pPr>
          </w:p>
        </w:tc>
        <w:tc>
          <w:tcPr>
            <w:tcW w:w="1134" w:type="dxa"/>
            <w:vMerge/>
            <w:tcBorders>
              <w:top w:val="single" w:sz="4" w:space="0" w:color="auto"/>
              <w:bottom w:val="single" w:sz="4" w:space="0" w:color="auto"/>
            </w:tcBorders>
            <w:shd w:val="clear" w:color="auto" w:fill="EEEEEF" w:themeFill="accent4"/>
            <w:hideMark/>
          </w:tcPr>
          <w:p w14:paraId="54E61364" w14:textId="77777777" w:rsidR="00265792" w:rsidRPr="00BA7805" w:rsidRDefault="00265792">
            <w:pPr>
              <w:pStyle w:val="ARfintablecolheadright"/>
              <w:rPr>
                <w:highlight w:val="green"/>
              </w:rPr>
            </w:pPr>
          </w:p>
        </w:tc>
        <w:tc>
          <w:tcPr>
            <w:tcW w:w="1134" w:type="dxa"/>
            <w:tcBorders>
              <w:top w:val="single" w:sz="4" w:space="0" w:color="auto"/>
              <w:bottom w:val="single" w:sz="4" w:space="0" w:color="auto"/>
            </w:tcBorders>
            <w:hideMark/>
          </w:tcPr>
          <w:p w14:paraId="1982C38A" w14:textId="77777777" w:rsidR="00265792" w:rsidRPr="00407BE6" w:rsidRDefault="00265792">
            <w:pPr>
              <w:pStyle w:val="ARfintablecolheadright"/>
            </w:pPr>
            <w:r w:rsidRPr="00407BE6">
              <w:rPr>
                <w:rFonts w:cs="Arial"/>
              </w:rPr>
              <w:t>−</w:t>
            </w:r>
            <w:r w:rsidRPr="00407BE6">
              <w:t>0.50%</w:t>
            </w:r>
            <w:r w:rsidRPr="00407BE6">
              <w:br/>
              <w:t>Net result</w:t>
            </w:r>
          </w:p>
          <w:p w14:paraId="4894414D" w14:textId="77777777" w:rsidR="00265792" w:rsidRPr="00407BE6" w:rsidRDefault="00265792">
            <w:pPr>
              <w:pStyle w:val="ARfintablecolheadright"/>
            </w:pPr>
            <w:r w:rsidRPr="00407BE6">
              <w:t>$M</w:t>
            </w:r>
          </w:p>
        </w:tc>
        <w:tc>
          <w:tcPr>
            <w:tcW w:w="1134" w:type="dxa"/>
            <w:tcBorders>
              <w:top w:val="single" w:sz="4" w:space="0" w:color="auto"/>
              <w:bottom w:val="single" w:sz="4" w:space="0" w:color="auto"/>
            </w:tcBorders>
            <w:hideMark/>
          </w:tcPr>
          <w:p w14:paraId="7A99FB57" w14:textId="77777777" w:rsidR="00265792" w:rsidRPr="00407BE6" w:rsidRDefault="00265792">
            <w:pPr>
              <w:pStyle w:val="ARfintablecolheadright"/>
            </w:pPr>
            <w:r w:rsidRPr="00407BE6">
              <w:t>+1.00%</w:t>
            </w:r>
            <w:r w:rsidRPr="00407BE6">
              <w:br/>
              <w:t>Net result</w:t>
            </w:r>
          </w:p>
          <w:p w14:paraId="004C26AE" w14:textId="77777777" w:rsidR="00265792" w:rsidRPr="00407BE6" w:rsidRDefault="00265792">
            <w:pPr>
              <w:pStyle w:val="ARfintablecolheadright"/>
            </w:pPr>
            <w:r w:rsidRPr="00407BE6">
              <w:t>$M</w:t>
            </w:r>
          </w:p>
        </w:tc>
        <w:tc>
          <w:tcPr>
            <w:tcW w:w="1134" w:type="dxa"/>
            <w:tcBorders>
              <w:top w:val="single" w:sz="4" w:space="0" w:color="auto"/>
              <w:bottom w:val="single" w:sz="4" w:space="0" w:color="auto"/>
            </w:tcBorders>
            <w:shd w:val="clear" w:color="auto" w:fill="EEEEEF" w:themeFill="accent4"/>
            <w:hideMark/>
          </w:tcPr>
          <w:p w14:paraId="04748E3F" w14:textId="77777777" w:rsidR="00265792" w:rsidRPr="00407BE6" w:rsidRDefault="00265792">
            <w:pPr>
              <w:pStyle w:val="ARfintablecolheadright"/>
            </w:pPr>
            <w:r w:rsidRPr="00407BE6">
              <w:rPr>
                <w:rFonts w:cs="Arial"/>
              </w:rPr>
              <w:t>−</w:t>
            </w:r>
            <w:r w:rsidRPr="00407BE6">
              <w:t>0.25%</w:t>
            </w:r>
            <w:r w:rsidRPr="00407BE6">
              <w:br/>
              <w:t>Net result</w:t>
            </w:r>
          </w:p>
          <w:p w14:paraId="0681C0BD" w14:textId="77777777" w:rsidR="00265792" w:rsidRPr="00407BE6" w:rsidRDefault="00265792">
            <w:pPr>
              <w:pStyle w:val="ARfintablecolheadright"/>
            </w:pPr>
            <w:r w:rsidRPr="00407BE6">
              <w:t>$M</w:t>
            </w:r>
          </w:p>
        </w:tc>
        <w:tc>
          <w:tcPr>
            <w:tcW w:w="1134" w:type="dxa"/>
            <w:tcBorders>
              <w:top w:val="single" w:sz="4" w:space="0" w:color="auto"/>
              <w:bottom w:val="single" w:sz="4" w:space="0" w:color="auto"/>
            </w:tcBorders>
            <w:shd w:val="clear" w:color="auto" w:fill="EEEEEF" w:themeFill="accent4"/>
            <w:hideMark/>
          </w:tcPr>
          <w:p w14:paraId="3ACBB6D6" w14:textId="77777777" w:rsidR="00265792" w:rsidRPr="00407BE6" w:rsidRDefault="00265792">
            <w:pPr>
              <w:pStyle w:val="ARfintablecolheadright"/>
            </w:pPr>
            <w:r w:rsidRPr="00407BE6">
              <w:t>+1.50%</w:t>
            </w:r>
            <w:r w:rsidRPr="00407BE6">
              <w:br/>
              <w:t>Net result</w:t>
            </w:r>
          </w:p>
          <w:p w14:paraId="34320ECB" w14:textId="77777777" w:rsidR="00265792" w:rsidRPr="00407BE6" w:rsidRDefault="00265792">
            <w:pPr>
              <w:pStyle w:val="ARfintablecolheadright"/>
            </w:pPr>
            <w:r w:rsidRPr="00407BE6">
              <w:t>$M</w:t>
            </w:r>
          </w:p>
        </w:tc>
      </w:tr>
      <w:tr w:rsidR="00265792" w:rsidRPr="00BA7805" w14:paraId="297B5438" w14:textId="77777777" w:rsidTr="002D68CA">
        <w:tc>
          <w:tcPr>
            <w:tcW w:w="3969" w:type="dxa"/>
            <w:tcBorders>
              <w:top w:val="single" w:sz="4" w:space="0" w:color="auto"/>
              <w:bottom w:val="single" w:sz="4" w:space="0" w:color="A6A6A6" w:themeColor="accent5"/>
            </w:tcBorders>
          </w:tcPr>
          <w:p w14:paraId="485D53EC" w14:textId="77777777" w:rsidR="00265792" w:rsidRPr="00B72FFA" w:rsidRDefault="00265792" w:rsidP="002D68CA">
            <w:pPr>
              <w:pStyle w:val="ARfintablebodybold"/>
              <w:rPr>
                <w:highlight w:val="green"/>
              </w:rPr>
            </w:pPr>
            <w:r w:rsidRPr="00B72FFA">
              <w:t>Contractual financial assets</w:t>
            </w:r>
          </w:p>
        </w:tc>
        <w:tc>
          <w:tcPr>
            <w:tcW w:w="1134" w:type="dxa"/>
            <w:tcBorders>
              <w:top w:val="single" w:sz="4" w:space="0" w:color="auto"/>
              <w:bottom w:val="single" w:sz="4" w:space="0" w:color="A6A6A6" w:themeColor="accent5"/>
            </w:tcBorders>
            <w:noWrap/>
          </w:tcPr>
          <w:p w14:paraId="3F695DAD" w14:textId="77777777" w:rsidR="00265792" w:rsidRPr="00BA7805" w:rsidRDefault="00265792" w:rsidP="00B72FFA">
            <w:pPr>
              <w:pStyle w:val="ARfintablebodyright"/>
              <w:rPr>
                <w:highlight w:val="green"/>
              </w:rPr>
            </w:pPr>
          </w:p>
        </w:tc>
        <w:tc>
          <w:tcPr>
            <w:tcW w:w="1134" w:type="dxa"/>
            <w:tcBorders>
              <w:top w:val="single" w:sz="4" w:space="0" w:color="auto"/>
              <w:bottom w:val="single" w:sz="4" w:space="0" w:color="A6A6A6" w:themeColor="accent5"/>
            </w:tcBorders>
            <w:noWrap/>
          </w:tcPr>
          <w:p w14:paraId="483B80A0" w14:textId="77777777" w:rsidR="00265792" w:rsidRPr="00BA7805" w:rsidRDefault="00265792" w:rsidP="00B72FFA">
            <w:pPr>
              <w:pStyle w:val="ARfintablebodyright"/>
              <w:rPr>
                <w:highlight w:val="green"/>
              </w:rPr>
            </w:pPr>
          </w:p>
        </w:tc>
        <w:tc>
          <w:tcPr>
            <w:tcW w:w="1134" w:type="dxa"/>
            <w:tcBorders>
              <w:top w:val="single" w:sz="4" w:space="0" w:color="auto"/>
              <w:bottom w:val="single" w:sz="4" w:space="0" w:color="A6A6A6" w:themeColor="accent5"/>
            </w:tcBorders>
            <w:noWrap/>
          </w:tcPr>
          <w:p w14:paraId="2DC25E9B" w14:textId="77777777" w:rsidR="00265792" w:rsidRPr="00BA7805" w:rsidRDefault="00265792" w:rsidP="00B72FFA">
            <w:pPr>
              <w:pStyle w:val="ARfintablebodyright"/>
              <w:rPr>
                <w:highlight w:val="green"/>
              </w:rPr>
            </w:pPr>
          </w:p>
        </w:tc>
        <w:tc>
          <w:tcPr>
            <w:tcW w:w="1134" w:type="dxa"/>
            <w:tcBorders>
              <w:top w:val="single" w:sz="4" w:space="0" w:color="auto"/>
              <w:bottom w:val="single" w:sz="4" w:space="0" w:color="A6A6A6" w:themeColor="accent5"/>
            </w:tcBorders>
            <w:noWrap/>
          </w:tcPr>
          <w:p w14:paraId="14B42A0A" w14:textId="77777777" w:rsidR="00265792" w:rsidRPr="00BA7805" w:rsidRDefault="00265792" w:rsidP="00B72FFA">
            <w:pPr>
              <w:pStyle w:val="ARfintablebodyright"/>
              <w:rPr>
                <w:highlight w:val="green"/>
              </w:rPr>
            </w:pPr>
          </w:p>
        </w:tc>
        <w:tc>
          <w:tcPr>
            <w:tcW w:w="1134" w:type="dxa"/>
            <w:tcBorders>
              <w:top w:val="single" w:sz="4" w:space="0" w:color="auto"/>
              <w:bottom w:val="single" w:sz="4" w:space="0" w:color="A6A6A6" w:themeColor="accent5"/>
            </w:tcBorders>
            <w:noWrap/>
          </w:tcPr>
          <w:p w14:paraId="5EBD9148" w14:textId="77777777" w:rsidR="00265792" w:rsidRPr="00BA7805" w:rsidRDefault="00265792" w:rsidP="00B72FFA">
            <w:pPr>
              <w:pStyle w:val="ARfintablebodyright"/>
              <w:rPr>
                <w:highlight w:val="green"/>
              </w:rPr>
            </w:pPr>
          </w:p>
        </w:tc>
      </w:tr>
      <w:tr w:rsidR="00265792" w:rsidRPr="00BA7805" w14:paraId="412E8F04" w14:textId="77777777" w:rsidTr="002D68CA">
        <w:tc>
          <w:tcPr>
            <w:tcW w:w="3969" w:type="dxa"/>
            <w:tcBorders>
              <w:top w:val="single" w:sz="4" w:space="0" w:color="A6A6A6" w:themeColor="accent5"/>
            </w:tcBorders>
          </w:tcPr>
          <w:p w14:paraId="7B5AB2BF" w14:textId="77777777" w:rsidR="00265792" w:rsidRPr="00B72FFA" w:rsidRDefault="00265792" w:rsidP="00B72FFA">
            <w:pPr>
              <w:pStyle w:val="ARfintablebody"/>
              <w:rPr>
                <w:highlight w:val="green"/>
              </w:rPr>
            </w:pPr>
            <w:r w:rsidRPr="00B72FFA">
              <w:t xml:space="preserve">Cash and deposits </w:t>
            </w:r>
            <w:r w:rsidRPr="00B72FFA">
              <w:rPr>
                <w:vertAlign w:val="superscript"/>
              </w:rPr>
              <w:t>(</w:t>
            </w:r>
            <w:proofErr w:type="spellStart"/>
            <w:r w:rsidRPr="00B72FFA">
              <w:rPr>
                <w:vertAlign w:val="superscript"/>
              </w:rPr>
              <w:t>i</w:t>
            </w:r>
            <w:proofErr w:type="spellEnd"/>
            <w:r w:rsidRPr="00B72FFA">
              <w:rPr>
                <w:vertAlign w:val="superscript"/>
              </w:rPr>
              <w:t>)</w:t>
            </w:r>
          </w:p>
        </w:tc>
        <w:tc>
          <w:tcPr>
            <w:tcW w:w="1134" w:type="dxa"/>
            <w:tcBorders>
              <w:top w:val="single" w:sz="4" w:space="0" w:color="A6A6A6" w:themeColor="accent5"/>
            </w:tcBorders>
            <w:shd w:val="clear" w:color="auto" w:fill="EEEEEF" w:themeFill="accent4"/>
            <w:noWrap/>
          </w:tcPr>
          <w:p w14:paraId="61883163" w14:textId="77777777" w:rsidR="00265792" w:rsidRPr="00BA7805" w:rsidRDefault="00265792" w:rsidP="00B72FFA">
            <w:pPr>
              <w:pStyle w:val="ARfintablebodyright"/>
              <w:rPr>
                <w:highlight w:val="green"/>
              </w:rPr>
            </w:pPr>
            <w:r w:rsidRPr="00647E74">
              <w:t>1,</w:t>
            </w:r>
            <w:r>
              <w:t>312.2</w:t>
            </w:r>
          </w:p>
        </w:tc>
        <w:tc>
          <w:tcPr>
            <w:tcW w:w="1134" w:type="dxa"/>
            <w:tcBorders>
              <w:top w:val="single" w:sz="4" w:space="0" w:color="A6A6A6" w:themeColor="accent5"/>
            </w:tcBorders>
            <w:noWrap/>
          </w:tcPr>
          <w:p w14:paraId="40DB814D" w14:textId="77777777" w:rsidR="00265792" w:rsidRPr="00BA7805" w:rsidRDefault="00265792" w:rsidP="00B72FFA">
            <w:pPr>
              <w:pStyle w:val="ARfintablebodyright"/>
              <w:rPr>
                <w:highlight w:val="green"/>
              </w:rPr>
            </w:pPr>
            <w:r w:rsidRPr="00647E74">
              <w:t>(</w:t>
            </w:r>
            <w:r>
              <w:t>6.3</w:t>
            </w:r>
            <w:r w:rsidRPr="00647E74">
              <w:t>)</w:t>
            </w:r>
          </w:p>
        </w:tc>
        <w:tc>
          <w:tcPr>
            <w:tcW w:w="1134" w:type="dxa"/>
            <w:tcBorders>
              <w:top w:val="single" w:sz="4" w:space="0" w:color="A6A6A6" w:themeColor="accent5"/>
            </w:tcBorders>
            <w:noWrap/>
          </w:tcPr>
          <w:p w14:paraId="3FFC34C0" w14:textId="77777777" w:rsidR="00265792" w:rsidRPr="00BA7805" w:rsidRDefault="00265792" w:rsidP="00B72FFA">
            <w:pPr>
              <w:pStyle w:val="ARfintablebodyright"/>
              <w:rPr>
                <w:highlight w:val="green"/>
              </w:rPr>
            </w:pPr>
            <w:r>
              <w:t>12.6</w:t>
            </w:r>
          </w:p>
        </w:tc>
        <w:tc>
          <w:tcPr>
            <w:tcW w:w="1134" w:type="dxa"/>
            <w:tcBorders>
              <w:top w:val="single" w:sz="4" w:space="0" w:color="A6A6A6" w:themeColor="accent5"/>
            </w:tcBorders>
            <w:shd w:val="clear" w:color="auto" w:fill="EEEEEF" w:themeFill="accent4"/>
            <w:noWrap/>
          </w:tcPr>
          <w:p w14:paraId="4980720E" w14:textId="77777777" w:rsidR="00265792" w:rsidRPr="00BA7805" w:rsidRDefault="00265792" w:rsidP="00B72FFA">
            <w:pPr>
              <w:pStyle w:val="ARfintablebodyright"/>
              <w:rPr>
                <w:highlight w:val="green"/>
              </w:rPr>
            </w:pPr>
            <w:r>
              <w:t>–</w:t>
            </w:r>
          </w:p>
        </w:tc>
        <w:tc>
          <w:tcPr>
            <w:tcW w:w="1134" w:type="dxa"/>
            <w:tcBorders>
              <w:top w:val="single" w:sz="4" w:space="0" w:color="A6A6A6" w:themeColor="accent5"/>
            </w:tcBorders>
            <w:shd w:val="clear" w:color="auto" w:fill="EEEEEF" w:themeFill="accent4"/>
            <w:noWrap/>
          </w:tcPr>
          <w:p w14:paraId="5FA467CA" w14:textId="77777777" w:rsidR="00265792" w:rsidRPr="00BA7805" w:rsidRDefault="00265792" w:rsidP="00B72FFA">
            <w:pPr>
              <w:pStyle w:val="ARfintablebodyright"/>
              <w:rPr>
                <w:highlight w:val="green"/>
              </w:rPr>
            </w:pPr>
            <w:r>
              <w:t>–</w:t>
            </w:r>
          </w:p>
        </w:tc>
      </w:tr>
      <w:tr w:rsidR="00265792" w:rsidRPr="00BA7805" w14:paraId="10DA15E8" w14:textId="77777777" w:rsidTr="002D68CA">
        <w:tc>
          <w:tcPr>
            <w:tcW w:w="3969" w:type="dxa"/>
            <w:tcBorders>
              <w:bottom w:val="single" w:sz="4" w:space="0" w:color="A6A6A6" w:themeColor="accent5"/>
            </w:tcBorders>
          </w:tcPr>
          <w:p w14:paraId="3231761A" w14:textId="77777777" w:rsidR="00265792" w:rsidRPr="00B72FFA" w:rsidRDefault="00265792" w:rsidP="00B72FFA">
            <w:pPr>
              <w:pStyle w:val="ARfintablebody"/>
              <w:rPr>
                <w:highlight w:val="green"/>
              </w:rPr>
            </w:pPr>
            <w:r w:rsidRPr="00B72FFA">
              <w:t xml:space="preserve">Receivables </w:t>
            </w:r>
            <w:r w:rsidRPr="00B72FFA">
              <w:rPr>
                <w:vertAlign w:val="superscript"/>
              </w:rPr>
              <w:t>(ii)(iii)</w:t>
            </w:r>
          </w:p>
        </w:tc>
        <w:tc>
          <w:tcPr>
            <w:tcW w:w="1134" w:type="dxa"/>
            <w:tcBorders>
              <w:bottom w:val="single" w:sz="4" w:space="0" w:color="A6A6A6" w:themeColor="accent5"/>
            </w:tcBorders>
            <w:shd w:val="clear" w:color="auto" w:fill="EEEEEF" w:themeFill="accent4"/>
            <w:noWrap/>
          </w:tcPr>
          <w:p w14:paraId="2E8CA1A2" w14:textId="77777777" w:rsidR="00265792" w:rsidRPr="00BA7805" w:rsidRDefault="00265792" w:rsidP="00B72FFA">
            <w:pPr>
              <w:pStyle w:val="ARfintablebodyright"/>
              <w:rPr>
                <w:highlight w:val="green"/>
              </w:rPr>
            </w:pPr>
            <w:r w:rsidRPr="00647E74">
              <w:t>22</w:t>
            </w:r>
            <w:r>
              <w:t>5</w:t>
            </w:r>
            <w:r w:rsidRPr="00647E74">
              <w:t>.4</w:t>
            </w:r>
          </w:p>
        </w:tc>
        <w:tc>
          <w:tcPr>
            <w:tcW w:w="1134" w:type="dxa"/>
            <w:tcBorders>
              <w:bottom w:val="single" w:sz="4" w:space="0" w:color="A6A6A6" w:themeColor="accent5"/>
            </w:tcBorders>
            <w:noWrap/>
          </w:tcPr>
          <w:p w14:paraId="642183B0" w14:textId="77777777" w:rsidR="00265792" w:rsidRPr="00BA7805" w:rsidRDefault="00265792" w:rsidP="00B72FFA">
            <w:pPr>
              <w:pStyle w:val="ARfintablebodyright"/>
              <w:rPr>
                <w:highlight w:val="green"/>
              </w:rPr>
            </w:pPr>
            <w:r>
              <w:t>–</w:t>
            </w:r>
          </w:p>
        </w:tc>
        <w:tc>
          <w:tcPr>
            <w:tcW w:w="1134" w:type="dxa"/>
            <w:tcBorders>
              <w:bottom w:val="single" w:sz="4" w:space="0" w:color="A6A6A6" w:themeColor="accent5"/>
            </w:tcBorders>
            <w:noWrap/>
          </w:tcPr>
          <w:p w14:paraId="74C5EDD9" w14:textId="77777777" w:rsidR="00265792" w:rsidRPr="00BA7805" w:rsidRDefault="00265792" w:rsidP="00B72FFA">
            <w:pPr>
              <w:pStyle w:val="ARfintablebodyright"/>
              <w:rPr>
                <w:highlight w:val="green"/>
              </w:rPr>
            </w:pPr>
            <w:r>
              <w:t>–</w:t>
            </w:r>
          </w:p>
        </w:tc>
        <w:tc>
          <w:tcPr>
            <w:tcW w:w="1134" w:type="dxa"/>
            <w:tcBorders>
              <w:bottom w:val="single" w:sz="4" w:space="0" w:color="A6A6A6" w:themeColor="accent5"/>
            </w:tcBorders>
            <w:shd w:val="clear" w:color="auto" w:fill="EEEEEF" w:themeFill="accent4"/>
            <w:noWrap/>
          </w:tcPr>
          <w:p w14:paraId="684281C9" w14:textId="77777777" w:rsidR="00265792" w:rsidRPr="00BA7805" w:rsidRDefault="00265792" w:rsidP="00B72FFA">
            <w:pPr>
              <w:pStyle w:val="ARfintablebodyright"/>
              <w:rPr>
                <w:highlight w:val="green"/>
              </w:rPr>
            </w:pPr>
            <w:r>
              <w:t>–</w:t>
            </w:r>
          </w:p>
        </w:tc>
        <w:tc>
          <w:tcPr>
            <w:tcW w:w="1134" w:type="dxa"/>
            <w:tcBorders>
              <w:bottom w:val="single" w:sz="4" w:space="0" w:color="A6A6A6" w:themeColor="accent5"/>
            </w:tcBorders>
            <w:shd w:val="clear" w:color="auto" w:fill="EEEEEF" w:themeFill="accent4"/>
            <w:noWrap/>
          </w:tcPr>
          <w:p w14:paraId="5A79E1D9" w14:textId="77777777" w:rsidR="00265792" w:rsidRPr="00BA7805" w:rsidRDefault="00265792" w:rsidP="00B72FFA">
            <w:pPr>
              <w:pStyle w:val="ARfintablebodyright"/>
              <w:rPr>
                <w:highlight w:val="green"/>
              </w:rPr>
            </w:pPr>
            <w:r>
              <w:t>–</w:t>
            </w:r>
          </w:p>
        </w:tc>
      </w:tr>
      <w:tr w:rsidR="00265792" w:rsidRPr="00BA7805" w14:paraId="4A3A3D88" w14:textId="77777777" w:rsidTr="002D68CA">
        <w:tc>
          <w:tcPr>
            <w:tcW w:w="3969" w:type="dxa"/>
            <w:tcBorders>
              <w:top w:val="single" w:sz="4" w:space="0" w:color="A6A6A6" w:themeColor="accent5"/>
              <w:bottom w:val="single" w:sz="4" w:space="0" w:color="auto"/>
            </w:tcBorders>
          </w:tcPr>
          <w:p w14:paraId="1987111E" w14:textId="77777777" w:rsidR="00265792" w:rsidRPr="00B72FFA" w:rsidRDefault="00265792" w:rsidP="00B72FFA">
            <w:pPr>
              <w:pStyle w:val="ARfintablebody"/>
              <w:rPr>
                <w:highlight w:val="green"/>
              </w:rPr>
            </w:pPr>
            <w:r w:rsidRPr="00B72FFA">
              <w:t xml:space="preserve">Loans </w:t>
            </w:r>
            <w:r w:rsidRPr="00B72FFA">
              <w:rPr>
                <w:vertAlign w:val="superscript"/>
              </w:rPr>
              <w:t>(iii)(v)</w:t>
            </w:r>
          </w:p>
        </w:tc>
        <w:tc>
          <w:tcPr>
            <w:tcW w:w="1134" w:type="dxa"/>
            <w:tcBorders>
              <w:top w:val="single" w:sz="4" w:space="0" w:color="A6A6A6" w:themeColor="accent5"/>
              <w:bottom w:val="single" w:sz="4" w:space="0" w:color="auto"/>
            </w:tcBorders>
            <w:shd w:val="clear" w:color="auto" w:fill="EEEEEF" w:themeFill="accent4"/>
            <w:noWrap/>
          </w:tcPr>
          <w:p w14:paraId="6DA86956" w14:textId="77777777" w:rsidR="00265792" w:rsidRPr="00BA7805" w:rsidRDefault="00265792" w:rsidP="00B72FFA">
            <w:pPr>
              <w:pStyle w:val="ARfintablebodyright"/>
              <w:rPr>
                <w:highlight w:val="green"/>
              </w:rPr>
            </w:pPr>
            <w:r w:rsidRPr="00647E74">
              <w:t>66.7</w:t>
            </w:r>
          </w:p>
        </w:tc>
        <w:tc>
          <w:tcPr>
            <w:tcW w:w="1134" w:type="dxa"/>
            <w:tcBorders>
              <w:top w:val="single" w:sz="4" w:space="0" w:color="A6A6A6" w:themeColor="accent5"/>
              <w:bottom w:val="single" w:sz="4" w:space="0" w:color="auto"/>
            </w:tcBorders>
            <w:noWrap/>
          </w:tcPr>
          <w:p w14:paraId="70DE0658" w14:textId="77777777" w:rsidR="00265792" w:rsidRPr="00BA7805" w:rsidRDefault="00265792" w:rsidP="00B72FFA">
            <w:pPr>
              <w:pStyle w:val="ARfintablebodyright"/>
              <w:rPr>
                <w:highlight w:val="green"/>
              </w:rPr>
            </w:pPr>
            <w:r>
              <w:t>–</w:t>
            </w:r>
          </w:p>
        </w:tc>
        <w:tc>
          <w:tcPr>
            <w:tcW w:w="1134" w:type="dxa"/>
            <w:tcBorders>
              <w:top w:val="single" w:sz="4" w:space="0" w:color="A6A6A6" w:themeColor="accent5"/>
              <w:bottom w:val="single" w:sz="4" w:space="0" w:color="auto"/>
            </w:tcBorders>
            <w:noWrap/>
          </w:tcPr>
          <w:p w14:paraId="10A652C9" w14:textId="77777777" w:rsidR="00265792" w:rsidRPr="00BA7805" w:rsidRDefault="00265792" w:rsidP="00B72FFA">
            <w:pPr>
              <w:pStyle w:val="ARfintablebodyright"/>
              <w:rPr>
                <w:highlight w:val="green"/>
              </w:rPr>
            </w:pPr>
            <w:r>
              <w:t>–</w:t>
            </w:r>
          </w:p>
        </w:tc>
        <w:tc>
          <w:tcPr>
            <w:tcW w:w="1134" w:type="dxa"/>
            <w:tcBorders>
              <w:top w:val="single" w:sz="4" w:space="0" w:color="A6A6A6" w:themeColor="accent5"/>
              <w:bottom w:val="single" w:sz="4" w:space="0" w:color="auto"/>
            </w:tcBorders>
            <w:shd w:val="clear" w:color="auto" w:fill="EEEEEF" w:themeFill="accent4"/>
            <w:noWrap/>
          </w:tcPr>
          <w:p w14:paraId="57C2A363" w14:textId="77777777" w:rsidR="00265792" w:rsidRPr="00BA7805" w:rsidRDefault="00265792" w:rsidP="00B72FFA">
            <w:pPr>
              <w:pStyle w:val="ARfintablebodyright"/>
              <w:rPr>
                <w:highlight w:val="green"/>
              </w:rPr>
            </w:pPr>
            <w:r>
              <w:t>–</w:t>
            </w:r>
          </w:p>
        </w:tc>
        <w:tc>
          <w:tcPr>
            <w:tcW w:w="1134" w:type="dxa"/>
            <w:tcBorders>
              <w:top w:val="single" w:sz="4" w:space="0" w:color="A6A6A6" w:themeColor="accent5"/>
              <w:bottom w:val="single" w:sz="4" w:space="0" w:color="auto"/>
            </w:tcBorders>
            <w:shd w:val="clear" w:color="auto" w:fill="EEEEEF" w:themeFill="accent4"/>
            <w:noWrap/>
          </w:tcPr>
          <w:p w14:paraId="6102F9E9" w14:textId="77777777" w:rsidR="00265792" w:rsidRPr="00BA7805" w:rsidRDefault="00265792" w:rsidP="00B72FFA">
            <w:pPr>
              <w:pStyle w:val="ARfintablebodyright"/>
              <w:rPr>
                <w:highlight w:val="green"/>
              </w:rPr>
            </w:pPr>
            <w:r>
              <w:t>–</w:t>
            </w:r>
          </w:p>
        </w:tc>
      </w:tr>
      <w:tr w:rsidR="00265792" w:rsidRPr="00BA7805" w14:paraId="57C2A26D" w14:textId="77777777" w:rsidTr="002D68CA">
        <w:tc>
          <w:tcPr>
            <w:tcW w:w="3969" w:type="dxa"/>
            <w:tcBorders>
              <w:top w:val="single" w:sz="4" w:space="0" w:color="auto"/>
              <w:bottom w:val="single" w:sz="4" w:space="0" w:color="auto"/>
            </w:tcBorders>
          </w:tcPr>
          <w:p w14:paraId="375754BC" w14:textId="77777777" w:rsidR="00265792" w:rsidRPr="00A70AE1" w:rsidRDefault="00265792">
            <w:pPr>
              <w:pStyle w:val="ARfintablebodybold"/>
              <w:rPr>
                <w:highlight w:val="green"/>
              </w:rPr>
            </w:pPr>
            <w:r w:rsidRPr="00B72FFA">
              <w:t>Total impact</w:t>
            </w:r>
          </w:p>
        </w:tc>
        <w:tc>
          <w:tcPr>
            <w:tcW w:w="1134" w:type="dxa"/>
            <w:tcBorders>
              <w:top w:val="single" w:sz="4" w:space="0" w:color="auto"/>
              <w:bottom w:val="single" w:sz="4" w:space="0" w:color="auto"/>
            </w:tcBorders>
            <w:shd w:val="clear" w:color="auto" w:fill="EEEEEF" w:themeFill="accent4"/>
            <w:noWrap/>
          </w:tcPr>
          <w:p w14:paraId="2C5A9155" w14:textId="77777777" w:rsidR="00265792" w:rsidRPr="0069267D" w:rsidRDefault="00265792">
            <w:pPr>
              <w:pStyle w:val="ARfintablebodyrightbold"/>
              <w:rPr>
                <w:highlight w:val="green"/>
              </w:rPr>
            </w:pPr>
            <w:r w:rsidRPr="0069267D">
              <w:t>1,604.3</w:t>
            </w:r>
          </w:p>
        </w:tc>
        <w:tc>
          <w:tcPr>
            <w:tcW w:w="1134" w:type="dxa"/>
            <w:tcBorders>
              <w:top w:val="single" w:sz="4" w:space="0" w:color="auto"/>
              <w:bottom w:val="single" w:sz="4" w:space="0" w:color="auto"/>
            </w:tcBorders>
            <w:noWrap/>
          </w:tcPr>
          <w:p w14:paraId="298625F9" w14:textId="77777777" w:rsidR="00265792" w:rsidRPr="0069267D" w:rsidRDefault="00265792">
            <w:pPr>
              <w:pStyle w:val="ARfintablebodyrightbold"/>
              <w:rPr>
                <w:highlight w:val="green"/>
              </w:rPr>
            </w:pPr>
            <w:r w:rsidRPr="0069267D">
              <w:t>(6.3)</w:t>
            </w:r>
          </w:p>
        </w:tc>
        <w:tc>
          <w:tcPr>
            <w:tcW w:w="1134" w:type="dxa"/>
            <w:tcBorders>
              <w:top w:val="single" w:sz="4" w:space="0" w:color="auto"/>
              <w:bottom w:val="single" w:sz="4" w:space="0" w:color="auto"/>
            </w:tcBorders>
            <w:noWrap/>
          </w:tcPr>
          <w:p w14:paraId="1A6B8EDC" w14:textId="77777777" w:rsidR="00265792" w:rsidRPr="0069267D" w:rsidRDefault="00265792">
            <w:pPr>
              <w:pStyle w:val="ARfintablebodyrightbold"/>
              <w:rPr>
                <w:highlight w:val="green"/>
              </w:rPr>
            </w:pPr>
            <w:r w:rsidRPr="0069267D">
              <w:t>12.6</w:t>
            </w:r>
          </w:p>
        </w:tc>
        <w:tc>
          <w:tcPr>
            <w:tcW w:w="1134" w:type="dxa"/>
            <w:tcBorders>
              <w:top w:val="single" w:sz="4" w:space="0" w:color="auto"/>
              <w:bottom w:val="single" w:sz="4" w:space="0" w:color="auto"/>
            </w:tcBorders>
            <w:shd w:val="clear" w:color="auto" w:fill="EEEEEF" w:themeFill="accent4"/>
            <w:noWrap/>
          </w:tcPr>
          <w:p w14:paraId="2B5459C0" w14:textId="77777777" w:rsidR="00265792" w:rsidRPr="0069267D" w:rsidRDefault="00265792">
            <w:pPr>
              <w:pStyle w:val="ARfintablebodyrightbold"/>
              <w:rPr>
                <w:highlight w:val="green"/>
              </w:rPr>
            </w:pPr>
            <w:r w:rsidRPr="0069267D">
              <w:t>–</w:t>
            </w:r>
          </w:p>
        </w:tc>
        <w:tc>
          <w:tcPr>
            <w:tcW w:w="1134" w:type="dxa"/>
            <w:tcBorders>
              <w:top w:val="single" w:sz="4" w:space="0" w:color="auto"/>
              <w:bottom w:val="single" w:sz="4" w:space="0" w:color="auto"/>
            </w:tcBorders>
            <w:shd w:val="clear" w:color="auto" w:fill="EEEEEF" w:themeFill="accent4"/>
            <w:noWrap/>
          </w:tcPr>
          <w:p w14:paraId="5E03EDB2" w14:textId="77777777" w:rsidR="00265792" w:rsidRPr="0069267D" w:rsidRDefault="00265792">
            <w:pPr>
              <w:pStyle w:val="ARfintablebodyrightbold"/>
              <w:rPr>
                <w:highlight w:val="green"/>
              </w:rPr>
            </w:pPr>
            <w:r w:rsidRPr="0069267D">
              <w:t>–</w:t>
            </w:r>
          </w:p>
        </w:tc>
      </w:tr>
      <w:tr w:rsidR="00265792" w:rsidRPr="00BA7805" w14:paraId="750369FC" w14:textId="77777777" w:rsidTr="002D68CA">
        <w:tc>
          <w:tcPr>
            <w:tcW w:w="3969" w:type="dxa"/>
            <w:tcBorders>
              <w:top w:val="single" w:sz="4" w:space="0" w:color="auto"/>
              <w:bottom w:val="single" w:sz="4" w:space="0" w:color="A6A6A6" w:themeColor="accent5"/>
            </w:tcBorders>
          </w:tcPr>
          <w:p w14:paraId="60DE047D" w14:textId="77777777" w:rsidR="00265792" w:rsidRPr="00B72FFA" w:rsidRDefault="00265792" w:rsidP="002D68CA">
            <w:pPr>
              <w:pStyle w:val="ARfintablebodybold"/>
              <w:rPr>
                <w:highlight w:val="green"/>
              </w:rPr>
            </w:pPr>
            <w:r w:rsidRPr="00B72FFA">
              <w:t>Contractual financial liabilities</w:t>
            </w:r>
          </w:p>
        </w:tc>
        <w:tc>
          <w:tcPr>
            <w:tcW w:w="1134" w:type="dxa"/>
            <w:tcBorders>
              <w:top w:val="single" w:sz="4" w:space="0" w:color="auto"/>
              <w:bottom w:val="single" w:sz="4" w:space="0" w:color="A6A6A6" w:themeColor="accent5"/>
            </w:tcBorders>
            <w:noWrap/>
          </w:tcPr>
          <w:p w14:paraId="405F27E5" w14:textId="77777777" w:rsidR="00265792" w:rsidRPr="00BA7805" w:rsidRDefault="00265792" w:rsidP="00B72FFA">
            <w:pPr>
              <w:pStyle w:val="ARfintablebodyright"/>
              <w:rPr>
                <w:highlight w:val="green"/>
              </w:rPr>
            </w:pPr>
          </w:p>
        </w:tc>
        <w:tc>
          <w:tcPr>
            <w:tcW w:w="1134" w:type="dxa"/>
            <w:tcBorders>
              <w:top w:val="single" w:sz="4" w:space="0" w:color="auto"/>
              <w:bottom w:val="single" w:sz="4" w:space="0" w:color="A6A6A6" w:themeColor="accent5"/>
            </w:tcBorders>
            <w:noWrap/>
          </w:tcPr>
          <w:p w14:paraId="1D8A5908" w14:textId="77777777" w:rsidR="00265792" w:rsidRPr="00BA7805" w:rsidRDefault="00265792" w:rsidP="00B72FFA">
            <w:pPr>
              <w:pStyle w:val="ARfintablebodyright"/>
              <w:rPr>
                <w:highlight w:val="green"/>
              </w:rPr>
            </w:pPr>
          </w:p>
        </w:tc>
        <w:tc>
          <w:tcPr>
            <w:tcW w:w="1134" w:type="dxa"/>
            <w:tcBorders>
              <w:top w:val="single" w:sz="4" w:space="0" w:color="auto"/>
              <w:bottom w:val="single" w:sz="4" w:space="0" w:color="A6A6A6" w:themeColor="accent5"/>
            </w:tcBorders>
            <w:noWrap/>
          </w:tcPr>
          <w:p w14:paraId="5F863D67" w14:textId="77777777" w:rsidR="00265792" w:rsidRPr="00BA7805" w:rsidRDefault="00265792" w:rsidP="00B72FFA">
            <w:pPr>
              <w:pStyle w:val="ARfintablebodyright"/>
              <w:rPr>
                <w:highlight w:val="green"/>
              </w:rPr>
            </w:pPr>
          </w:p>
        </w:tc>
        <w:tc>
          <w:tcPr>
            <w:tcW w:w="1134" w:type="dxa"/>
            <w:tcBorders>
              <w:top w:val="single" w:sz="4" w:space="0" w:color="auto"/>
              <w:bottom w:val="single" w:sz="4" w:space="0" w:color="A6A6A6" w:themeColor="accent5"/>
            </w:tcBorders>
            <w:noWrap/>
          </w:tcPr>
          <w:p w14:paraId="3BEE8CC8" w14:textId="77777777" w:rsidR="00265792" w:rsidRPr="00BA7805" w:rsidRDefault="00265792" w:rsidP="00B72FFA">
            <w:pPr>
              <w:pStyle w:val="ARfintablebodyright"/>
              <w:rPr>
                <w:highlight w:val="green"/>
              </w:rPr>
            </w:pPr>
          </w:p>
        </w:tc>
        <w:tc>
          <w:tcPr>
            <w:tcW w:w="1134" w:type="dxa"/>
            <w:tcBorders>
              <w:top w:val="single" w:sz="4" w:space="0" w:color="auto"/>
              <w:bottom w:val="single" w:sz="4" w:space="0" w:color="A6A6A6" w:themeColor="accent5"/>
            </w:tcBorders>
            <w:noWrap/>
          </w:tcPr>
          <w:p w14:paraId="499BB1DE" w14:textId="77777777" w:rsidR="00265792" w:rsidRPr="00BA7805" w:rsidRDefault="00265792" w:rsidP="00B72FFA">
            <w:pPr>
              <w:pStyle w:val="ARfintablebodyright"/>
              <w:rPr>
                <w:highlight w:val="green"/>
              </w:rPr>
            </w:pPr>
          </w:p>
        </w:tc>
      </w:tr>
      <w:tr w:rsidR="00265792" w:rsidRPr="00BA7805" w14:paraId="66BCFEE6" w14:textId="77777777" w:rsidTr="002D68CA">
        <w:tc>
          <w:tcPr>
            <w:tcW w:w="3969" w:type="dxa"/>
            <w:tcBorders>
              <w:top w:val="single" w:sz="4" w:space="0" w:color="A6A6A6" w:themeColor="accent5"/>
            </w:tcBorders>
          </w:tcPr>
          <w:p w14:paraId="1F05EEAC" w14:textId="77777777" w:rsidR="00265792" w:rsidRPr="00B72FFA" w:rsidRDefault="00265792" w:rsidP="00B72FFA">
            <w:pPr>
              <w:pStyle w:val="ARfintablebody"/>
              <w:rPr>
                <w:highlight w:val="green"/>
              </w:rPr>
            </w:pPr>
            <w:r w:rsidRPr="00B72FFA">
              <w:t xml:space="preserve">Payables </w:t>
            </w:r>
            <w:r w:rsidRPr="00B72FFA">
              <w:rPr>
                <w:vertAlign w:val="superscript"/>
              </w:rPr>
              <w:t>(iii)</w:t>
            </w:r>
          </w:p>
        </w:tc>
        <w:tc>
          <w:tcPr>
            <w:tcW w:w="1134" w:type="dxa"/>
            <w:tcBorders>
              <w:top w:val="single" w:sz="4" w:space="0" w:color="A6A6A6" w:themeColor="accent5"/>
            </w:tcBorders>
            <w:shd w:val="clear" w:color="auto" w:fill="EEEEEF" w:themeFill="accent4"/>
            <w:noWrap/>
          </w:tcPr>
          <w:p w14:paraId="41A1F55B" w14:textId="77777777" w:rsidR="00265792" w:rsidRPr="00BA7805" w:rsidRDefault="00265792" w:rsidP="00B72FFA">
            <w:pPr>
              <w:pStyle w:val="ARfintablebodyright"/>
              <w:rPr>
                <w:highlight w:val="green"/>
              </w:rPr>
            </w:pPr>
            <w:r w:rsidRPr="00647E74">
              <w:t>449.7</w:t>
            </w:r>
          </w:p>
        </w:tc>
        <w:tc>
          <w:tcPr>
            <w:tcW w:w="1134" w:type="dxa"/>
            <w:tcBorders>
              <w:top w:val="single" w:sz="4" w:space="0" w:color="A6A6A6" w:themeColor="accent5"/>
            </w:tcBorders>
            <w:noWrap/>
          </w:tcPr>
          <w:p w14:paraId="7D4E78B9" w14:textId="77777777" w:rsidR="00265792" w:rsidRPr="00BA7805" w:rsidRDefault="00265792" w:rsidP="00B72FFA">
            <w:pPr>
              <w:pStyle w:val="ARfintablebodyright"/>
              <w:rPr>
                <w:highlight w:val="green"/>
              </w:rPr>
            </w:pPr>
            <w:r>
              <w:t>–</w:t>
            </w:r>
          </w:p>
        </w:tc>
        <w:tc>
          <w:tcPr>
            <w:tcW w:w="1134" w:type="dxa"/>
            <w:tcBorders>
              <w:top w:val="single" w:sz="4" w:space="0" w:color="A6A6A6" w:themeColor="accent5"/>
            </w:tcBorders>
            <w:noWrap/>
          </w:tcPr>
          <w:p w14:paraId="467A5B26" w14:textId="77777777" w:rsidR="00265792" w:rsidRPr="00BA7805" w:rsidRDefault="00265792" w:rsidP="00B72FFA">
            <w:pPr>
              <w:pStyle w:val="ARfintablebodyright"/>
              <w:rPr>
                <w:highlight w:val="green"/>
              </w:rPr>
            </w:pPr>
            <w:r>
              <w:t>–</w:t>
            </w:r>
          </w:p>
        </w:tc>
        <w:tc>
          <w:tcPr>
            <w:tcW w:w="1134" w:type="dxa"/>
            <w:tcBorders>
              <w:top w:val="single" w:sz="4" w:space="0" w:color="A6A6A6" w:themeColor="accent5"/>
            </w:tcBorders>
            <w:shd w:val="clear" w:color="auto" w:fill="EEEEEF" w:themeFill="accent4"/>
            <w:noWrap/>
          </w:tcPr>
          <w:p w14:paraId="5F07AA14" w14:textId="77777777" w:rsidR="00265792" w:rsidRPr="00BA7805" w:rsidRDefault="00265792" w:rsidP="00B72FFA">
            <w:pPr>
              <w:pStyle w:val="ARfintablebodyright"/>
              <w:rPr>
                <w:highlight w:val="green"/>
              </w:rPr>
            </w:pPr>
            <w:r>
              <w:t>–</w:t>
            </w:r>
          </w:p>
        </w:tc>
        <w:tc>
          <w:tcPr>
            <w:tcW w:w="1134" w:type="dxa"/>
            <w:tcBorders>
              <w:top w:val="single" w:sz="4" w:space="0" w:color="A6A6A6" w:themeColor="accent5"/>
            </w:tcBorders>
            <w:shd w:val="clear" w:color="auto" w:fill="EEEEEF" w:themeFill="accent4"/>
            <w:noWrap/>
          </w:tcPr>
          <w:p w14:paraId="4414A2F9" w14:textId="77777777" w:rsidR="00265792" w:rsidRPr="00BA7805" w:rsidRDefault="00265792" w:rsidP="00B72FFA">
            <w:pPr>
              <w:pStyle w:val="ARfintablebodyright"/>
              <w:rPr>
                <w:highlight w:val="green"/>
              </w:rPr>
            </w:pPr>
            <w:r>
              <w:t>–</w:t>
            </w:r>
          </w:p>
        </w:tc>
      </w:tr>
      <w:tr w:rsidR="00265792" w:rsidRPr="00BA7805" w14:paraId="5800106A" w14:textId="77777777" w:rsidTr="00045210">
        <w:tc>
          <w:tcPr>
            <w:tcW w:w="3969" w:type="dxa"/>
          </w:tcPr>
          <w:p w14:paraId="7B8BB297" w14:textId="77777777" w:rsidR="00265792" w:rsidRPr="00B72FFA" w:rsidRDefault="00265792" w:rsidP="00B72FFA">
            <w:pPr>
              <w:pStyle w:val="ARfintablebody"/>
              <w:rPr>
                <w:highlight w:val="green"/>
              </w:rPr>
            </w:pPr>
            <w:r w:rsidRPr="00B72FFA">
              <w:t xml:space="preserve">Borrowings </w:t>
            </w:r>
            <w:r w:rsidRPr="00B72FFA">
              <w:rPr>
                <w:vertAlign w:val="superscript"/>
              </w:rPr>
              <w:t>(iv)</w:t>
            </w:r>
          </w:p>
        </w:tc>
        <w:tc>
          <w:tcPr>
            <w:tcW w:w="1134" w:type="dxa"/>
            <w:shd w:val="clear" w:color="auto" w:fill="EEEEEF" w:themeFill="accent4"/>
            <w:noWrap/>
          </w:tcPr>
          <w:p w14:paraId="394F406B" w14:textId="77777777" w:rsidR="00265792" w:rsidRPr="00BA7805" w:rsidRDefault="00265792" w:rsidP="00B72FFA">
            <w:pPr>
              <w:pStyle w:val="ARfintablebodyright"/>
              <w:rPr>
                <w:highlight w:val="green"/>
              </w:rPr>
            </w:pPr>
            <w:r w:rsidRPr="00647E74">
              <w:t>737.0</w:t>
            </w:r>
          </w:p>
        </w:tc>
        <w:tc>
          <w:tcPr>
            <w:tcW w:w="1134" w:type="dxa"/>
            <w:noWrap/>
          </w:tcPr>
          <w:p w14:paraId="30672290" w14:textId="77777777" w:rsidR="00265792" w:rsidRPr="00BA7805" w:rsidRDefault="00265792" w:rsidP="00B72FFA">
            <w:pPr>
              <w:pStyle w:val="ARfintablebodyright"/>
              <w:rPr>
                <w:highlight w:val="green"/>
              </w:rPr>
            </w:pPr>
            <w:r>
              <w:t>–</w:t>
            </w:r>
          </w:p>
        </w:tc>
        <w:tc>
          <w:tcPr>
            <w:tcW w:w="1134" w:type="dxa"/>
            <w:noWrap/>
          </w:tcPr>
          <w:p w14:paraId="7FA5B20B" w14:textId="77777777" w:rsidR="00265792" w:rsidRPr="00BA7805" w:rsidRDefault="00265792" w:rsidP="00B72FFA">
            <w:pPr>
              <w:pStyle w:val="ARfintablebodyright"/>
              <w:rPr>
                <w:highlight w:val="green"/>
              </w:rPr>
            </w:pPr>
            <w:r>
              <w:t>–</w:t>
            </w:r>
          </w:p>
        </w:tc>
        <w:tc>
          <w:tcPr>
            <w:tcW w:w="1134" w:type="dxa"/>
            <w:shd w:val="clear" w:color="auto" w:fill="EEEEEF" w:themeFill="accent4"/>
            <w:noWrap/>
          </w:tcPr>
          <w:p w14:paraId="12AC57FE" w14:textId="77777777" w:rsidR="00265792" w:rsidRPr="00BA7805" w:rsidRDefault="00265792" w:rsidP="00B72FFA">
            <w:pPr>
              <w:pStyle w:val="ARfintablebodyright"/>
              <w:rPr>
                <w:highlight w:val="green"/>
              </w:rPr>
            </w:pPr>
            <w:r>
              <w:t>–</w:t>
            </w:r>
          </w:p>
        </w:tc>
        <w:tc>
          <w:tcPr>
            <w:tcW w:w="1134" w:type="dxa"/>
            <w:shd w:val="clear" w:color="auto" w:fill="EEEEEF" w:themeFill="accent4"/>
            <w:noWrap/>
          </w:tcPr>
          <w:p w14:paraId="78B878D2" w14:textId="77777777" w:rsidR="00265792" w:rsidRPr="00BA7805" w:rsidRDefault="00265792" w:rsidP="00B72FFA">
            <w:pPr>
              <w:pStyle w:val="ARfintablebodyright"/>
              <w:rPr>
                <w:highlight w:val="green"/>
              </w:rPr>
            </w:pPr>
            <w:r>
              <w:t>–</w:t>
            </w:r>
          </w:p>
        </w:tc>
      </w:tr>
      <w:tr w:rsidR="00265792" w:rsidRPr="00BA7805" w14:paraId="2F223D21" w14:textId="77777777" w:rsidTr="00045210">
        <w:trPr>
          <w:cnfStyle w:val="010000000000" w:firstRow="0" w:lastRow="1" w:firstColumn="0" w:lastColumn="0" w:oddVBand="0" w:evenVBand="0" w:oddHBand="0" w:evenHBand="0" w:firstRowFirstColumn="0" w:firstRowLastColumn="0" w:lastRowFirstColumn="0" w:lastRowLastColumn="0"/>
        </w:trPr>
        <w:tc>
          <w:tcPr>
            <w:tcW w:w="3969" w:type="dxa"/>
          </w:tcPr>
          <w:p w14:paraId="1582A3BA" w14:textId="77777777" w:rsidR="00265792" w:rsidRPr="00B72FFA" w:rsidRDefault="00265792" w:rsidP="002D68CA">
            <w:pPr>
              <w:pStyle w:val="ARfintablebodybold"/>
              <w:rPr>
                <w:highlight w:val="green"/>
              </w:rPr>
            </w:pPr>
            <w:r w:rsidRPr="00B72FFA">
              <w:t>Total impact</w:t>
            </w:r>
          </w:p>
        </w:tc>
        <w:tc>
          <w:tcPr>
            <w:tcW w:w="1134" w:type="dxa"/>
            <w:shd w:val="clear" w:color="auto" w:fill="EEEEEF" w:themeFill="accent4"/>
            <w:noWrap/>
          </w:tcPr>
          <w:p w14:paraId="4FCFDBA7" w14:textId="77777777" w:rsidR="00265792" w:rsidRPr="00BA7805" w:rsidRDefault="00265792" w:rsidP="002D68CA">
            <w:pPr>
              <w:pStyle w:val="ARfintablebodyrightbold"/>
              <w:rPr>
                <w:highlight w:val="green"/>
              </w:rPr>
            </w:pPr>
            <w:r w:rsidRPr="00647E74">
              <w:t>1,186.7</w:t>
            </w:r>
          </w:p>
        </w:tc>
        <w:tc>
          <w:tcPr>
            <w:tcW w:w="1134" w:type="dxa"/>
            <w:noWrap/>
          </w:tcPr>
          <w:p w14:paraId="742A81A3" w14:textId="77777777" w:rsidR="00265792" w:rsidRPr="00BA7805" w:rsidRDefault="00265792" w:rsidP="002D68CA">
            <w:pPr>
              <w:pStyle w:val="ARfintablebodyrightbold"/>
              <w:rPr>
                <w:highlight w:val="green"/>
              </w:rPr>
            </w:pPr>
            <w:r>
              <w:t>–</w:t>
            </w:r>
          </w:p>
        </w:tc>
        <w:tc>
          <w:tcPr>
            <w:tcW w:w="1134" w:type="dxa"/>
            <w:noWrap/>
          </w:tcPr>
          <w:p w14:paraId="1DBC409B" w14:textId="77777777" w:rsidR="00265792" w:rsidRPr="00BA7805" w:rsidRDefault="00265792" w:rsidP="002D68CA">
            <w:pPr>
              <w:pStyle w:val="ARfintablebodyrightbold"/>
              <w:rPr>
                <w:highlight w:val="green"/>
              </w:rPr>
            </w:pPr>
            <w:r>
              <w:t>–</w:t>
            </w:r>
          </w:p>
        </w:tc>
        <w:tc>
          <w:tcPr>
            <w:tcW w:w="1134" w:type="dxa"/>
            <w:shd w:val="clear" w:color="auto" w:fill="EEEEEF" w:themeFill="accent4"/>
            <w:noWrap/>
          </w:tcPr>
          <w:p w14:paraId="5A072D7C" w14:textId="77777777" w:rsidR="00265792" w:rsidRPr="00BA7805" w:rsidRDefault="00265792" w:rsidP="002D68CA">
            <w:pPr>
              <w:pStyle w:val="ARfintablebodyrightbold"/>
              <w:rPr>
                <w:highlight w:val="green"/>
              </w:rPr>
            </w:pPr>
            <w:r>
              <w:t>–</w:t>
            </w:r>
          </w:p>
        </w:tc>
        <w:tc>
          <w:tcPr>
            <w:tcW w:w="1134" w:type="dxa"/>
            <w:shd w:val="clear" w:color="auto" w:fill="EEEEEF" w:themeFill="accent4"/>
            <w:noWrap/>
          </w:tcPr>
          <w:p w14:paraId="6068CA35" w14:textId="77777777" w:rsidR="00265792" w:rsidRPr="00BA7805" w:rsidRDefault="00265792" w:rsidP="002D68CA">
            <w:pPr>
              <w:pStyle w:val="ARfintablebodyrightbold"/>
              <w:rPr>
                <w:highlight w:val="green"/>
              </w:rPr>
            </w:pPr>
            <w:r>
              <w:t>–</w:t>
            </w:r>
          </w:p>
        </w:tc>
      </w:tr>
    </w:tbl>
    <w:p w14:paraId="4F8FE7B7" w14:textId="77777777" w:rsidR="00265792" w:rsidRPr="003B78BF" w:rsidRDefault="00265792" w:rsidP="002542E1">
      <w:pPr>
        <w:pStyle w:val="ARfinbody"/>
        <w:rPr>
          <w:highlight w:val="green"/>
        </w:rPr>
      </w:pPr>
    </w:p>
    <w:tbl>
      <w:tblPr>
        <w:tblStyle w:val="TableGrid"/>
        <w:tblW w:w="9639" w:type="dxa"/>
        <w:tblLayout w:type="fixed"/>
        <w:tblLook w:val="06E0" w:firstRow="1" w:lastRow="1" w:firstColumn="1" w:lastColumn="0" w:noHBand="1" w:noVBand="1"/>
      </w:tblPr>
      <w:tblGrid>
        <w:gridCol w:w="3969"/>
        <w:gridCol w:w="1134"/>
        <w:gridCol w:w="1134"/>
        <w:gridCol w:w="1134"/>
        <w:gridCol w:w="1134"/>
        <w:gridCol w:w="1134"/>
      </w:tblGrid>
      <w:tr w:rsidR="00265792" w:rsidRPr="00BA7805" w14:paraId="687AA221" w14:textId="77777777" w:rsidTr="00420523">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tcBorders>
              <w:top w:val="nil"/>
              <w:bottom w:val="single" w:sz="4" w:space="0" w:color="auto"/>
            </w:tcBorders>
            <w:hideMark/>
          </w:tcPr>
          <w:p w14:paraId="5EB93151" w14:textId="77777777" w:rsidR="00265792" w:rsidRPr="00BA7805" w:rsidRDefault="00265792" w:rsidP="002D68CA">
            <w:pPr>
              <w:pStyle w:val="ARfintablecolhead"/>
              <w:rPr>
                <w:highlight w:val="green"/>
              </w:rPr>
            </w:pPr>
            <w:r w:rsidRPr="00B72FFA">
              <w:t>2024</w:t>
            </w:r>
          </w:p>
        </w:tc>
        <w:tc>
          <w:tcPr>
            <w:tcW w:w="1134" w:type="dxa"/>
            <w:vMerge w:val="restart"/>
            <w:tcBorders>
              <w:top w:val="nil"/>
              <w:bottom w:val="single" w:sz="4" w:space="0" w:color="auto"/>
            </w:tcBorders>
            <w:shd w:val="clear" w:color="auto" w:fill="EEEEEF" w:themeFill="accent4"/>
            <w:hideMark/>
          </w:tcPr>
          <w:p w14:paraId="01A5E877" w14:textId="77777777" w:rsidR="00265792" w:rsidRPr="00BF5029" w:rsidRDefault="00265792">
            <w:pPr>
              <w:pStyle w:val="ARfintablecolheadright"/>
            </w:pPr>
            <w:r w:rsidRPr="00BF5029">
              <w:t>Carrying amount</w:t>
            </w:r>
          </w:p>
          <w:p w14:paraId="54D3D041" w14:textId="77777777" w:rsidR="00265792" w:rsidRPr="00BF5029" w:rsidRDefault="00265792">
            <w:pPr>
              <w:pStyle w:val="ARfintablecolheadright"/>
            </w:pPr>
            <w:r w:rsidRPr="00BF5029">
              <w:t>$M</w:t>
            </w:r>
          </w:p>
        </w:tc>
        <w:tc>
          <w:tcPr>
            <w:tcW w:w="2268" w:type="dxa"/>
            <w:gridSpan w:val="2"/>
            <w:tcBorders>
              <w:top w:val="nil"/>
              <w:bottom w:val="single" w:sz="4" w:space="0" w:color="auto"/>
            </w:tcBorders>
            <w:hideMark/>
          </w:tcPr>
          <w:p w14:paraId="5CE94234" w14:textId="77777777" w:rsidR="00265792" w:rsidRPr="00BF5029" w:rsidRDefault="00265792">
            <w:pPr>
              <w:pStyle w:val="ARfintablecolheadcentre"/>
            </w:pPr>
            <w:r w:rsidRPr="00BF5029">
              <w:t>Interest rate risk</w:t>
            </w:r>
          </w:p>
        </w:tc>
        <w:tc>
          <w:tcPr>
            <w:tcW w:w="2268" w:type="dxa"/>
            <w:gridSpan w:val="2"/>
            <w:tcBorders>
              <w:top w:val="nil"/>
              <w:bottom w:val="single" w:sz="4" w:space="0" w:color="auto"/>
            </w:tcBorders>
            <w:shd w:val="clear" w:color="auto" w:fill="EEEEEF" w:themeFill="accent4"/>
            <w:hideMark/>
          </w:tcPr>
          <w:p w14:paraId="7B9D9C1B" w14:textId="6EEEAAAA" w:rsidR="00265792" w:rsidRPr="00BF5029" w:rsidRDefault="00265792">
            <w:pPr>
              <w:pStyle w:val="ARfintablecolheadcentre"/>
            </w:pPr>
            <w:r w:rsidRPr="00BF5029">
              <w:t xml:space="preserve">Consumer </w:t>
            </w:r>
            <w:r w:rsidR="00EF76A3">
              <w:t>p</w:t>
            </w:r>
            <w:r w:rsidR="00EF76A3" w:rsidRPr="00BF5029">
              <w:t xml:space="preserve">rice </w:t>
            </w:r>
            <w:r w:rsidRPr="00BF5029">
              <w:br/>
            </w:r>
            <w:r w:rsidR="00EF76A3">
              <w:t>i</w:t>
            </w:r>
            <w:r w:rsidR="00EF76A3" w:rsidRPr="00BF5029">
              <w:t xml:space="preserve">ndex </w:t>
            </w:r>
            <w:r w:rsidRPr="00BF5029">
              <w:t>(CPI)</w:t>
            </w:r>
          </w:p>
        </w:tc>
      </w:tr>
      <w:tr w:rsidR="00265792" w:rsidRPr="00BA7805" w14:paraId="787D0C16" w14:textId="77777777" w:rsidTr="00420523">
        <w:trPr>
          <w:cnfStyle w:val="100000000000" w:firstRow="1" w:lastRow="0" w:firstColumn="0" w:lastColumn="0" w:oddVBand="0" w:evenVBand="0" w:oddHBand="0" w:evenHBand="0" w:firstRowFirstColumn="0" w:firstRowLastColumn="0" w:lastRowFirstColumn="0" w:lastRowLastColumn="0"/>
          <w:tblHeader/>
        </w:trPr>
        <w:tc>
          <w:tcPr>
            <w:tcW w:w="3969" w:type="dxa"/>
            <w:vMerge/>
            <w:tcBorders>
              <w:top w:val="single" w:sz="4" w:space="0" w:color="auto"/>
              <w:bottom w:val="single" w:sz="4" w:space="0" w:color="auto"/>
            </w:tcBorders>
            <w:hideMark/>
          </w:tcPr>
          <w:p w14:paraId="43AAC29A" w14:textId="77777777" w:rsidR="00265792" w:rsidRPr="00BA7805" w:rsidRDefault="00265792">
            <w:pPr>
              <w:pStyle w:val="ARfintablecolhead"/>
              <w:rPr>
                <w:highlight w:val="green"/>
              </w:rPr>
            </w:pPr>
          </w:p>
        </w:tc>
        <w:tc>
          <w:tcPr>
            <w:tcW w:w="1134" w:type="dxa"/>
            <w:vMerge/>
            <w:tcBorders>
              <w:top w:val="single" w:sz="4" w:space="0" w:color="auto"/>
              <w:bottom w:val="single" w:sz="4" w:space="0" w:color="auto"/>
            </w:tcBorders>
            <w:shd w:val="clear" w:color="auto" w:fill="EEEEEF" w:themeFill="accent4"/>
            <w:hideMark/>
          </w:tcPr>
          <w:p w14:paraId="08F85608" w14:textId="77777777" w:rsidR="00265792" w:rsidRPr="00BF5029" w:rsidRDefault="00265792">
            <w:pPr>
              <w:pStyle w:val="ARfintablecolheadright"/>
            </w:pPr>
          </w:p>
        </w:tc>
        <w:tc>
          <w:tcPr>
            <w:tcW w:w="1134" w:type="dxa"/>
            <w:tcBorders>
              <w:top w:val="single" w:sz="4" w:space="0" w:color="auto"/>
              <w:bottom w:val="single" w:sz="4" w:space="0" w:color="auto"/>
            </w:tcBorders>
            <w:hideMark/>
          </w:tcPr>
          <w:p w14:paraId="3A091A58" w14:textId="77777777" w:rsidR="00265792" w:rsidRPr="00BF5029" w:rsidRDefault="00265792">
            <w:pPr>
              <w:pStyle w:val="ARfintablecolheadright"/>
            </w:pPr>
            <w:r w:rsidRPr="00BF5029">
              <w:rPr>
                <w:rFonts w:cs="Arial"/>
              </w:rPr>
              <w:t>−</w:t>
            </w:r>
            <w:r w:rsidRPr="00BF5029">
              <w:t>0.50%</w:t>
            </w:r>
            <w:r w:rsidRPr="00BF5029">
              <w:br/>
              <w:t>Net result</w:t>
            </w:r>
          </w:p>
          <w:p w14:paraId="0A44669B" w14:textId="77777777" w:rsidR="00265792" w:rsidRPr="00BF5029" w:rsidRDefault="00265792">
            <w:pPr>
              <w:pStyle w:val="ARfintablecolheadright"/>
            </w:pPr>
            <w:r w:rsidRPr="00BF5029">
              <w:t>$M</w:t>
            </w:r>
          </w:p>
        </w:tc>
        <w:tc>
          <w:tcPr>
            <w:tcW w:w="1134" w:type="dxa"/>
            <w:tcBorders>
              <w:top w:val="single" w:sz="4" w:space="0" w:color="auto"/>
              <w:bottom w:val="single" w:sz="4" w:space="0" w:color="auto"/>
            </w:tcBorders>
            <w:hideMark/>
          </w:tcPr>
          <w:p w14:paraId="7D210A78" w14:textId="77777777" w:rsidR="00265792" w:rsidRPr="00BF5029" w:rsidRDefault="00265792">
            <w:pPr>
              <w:pStyle w:val="ARfintablecolheadright"/>
            </w:pPr>
            <w:r w:rsidRPr="00BF5029">
              <w:t>+1.00%</w:t>
            </w:r>
            <w:r w:rsidRPr="00BF5029">
              <w:br/>
              <w:t>Net result</w:t>
            </w:r>
          </w:p>
          <w:p w14:paraId="779B8657" w14:textId="77777777" w:rsidR="00265792" w:rsidRPr="00BF5029" w:rsidRDefault="00265792">
            <w:pPr>
              <w:pStyle w:val="ARfintablecolheadright"/>
            </w:pPr>
            <w:r w:rsidRPr="00BF5029">
              <w:t>$M</w:t>
            </w:r>
          </w:p>
        </w:tc>
        <w:tc>
          <w:tcPr>
            <w:tcW w:w="1134" w:type="dxa"/>
            <w:tcBorders>
              <w:top w:val="single" w:sz="4" w:space="0" w:color="auto"/>
              <w:bottom w:val="single" w:sz="4" w:space="0" w:color="auto"/>
            </w:tcBorders>
            <w:shd w:val="clear" w:color="auto" w:fill="EEEEEF" w:themeFill="accent4"/>
            <w:hideMark/>
          </w:tcPr>
          <w:p w14:paraId="247DB569" w14:textId="77777777" w:rsidR="00265792" w:rsidRPr="00BF5029" w:rsidRDefault="00265792">
            <w:pPr>
              <w:pStyle w:val="ARfintablecolheadright"/>
            </w:pPr>
            <w:r w:rsidRPr="00BF5029">
              <w:rPr>
                <w:rFonts w:cs="Arial"/>
              </w:rPr>
              <w:t>−</w:t>
            </w:r>
            <w:r w:rsidRPr="00BF5029">
              <w:t>0.25%</w:t>
            </w:r>
            <w:r w:rsidRPr="00BF5029">
              <w:br/>
              <w:t>Net result</w:t>
            </w:r>
          </w:p>
          <w:p w14:paraId="05A55617" w14:textId="77777777" w:rsidR="00265792" w:rsidRPr="00BF5029" w:rsidRDefault="00265792">
            <w:pPr>
              <w:pStyle w:val="ARfintablecolheadright"/>
            </w:pPr>
            <w:r w:rsidRPr="00BF5029">
              <w:t>$M</w:t>
            </w:r>
          </w:p>
        </w:tc>
        <w:tc>
          <w:tcPr>
            <w:tcW w:w="1134" w:type="dxa"/>
            <w:tcBorders>
              <w:top w:val="single" w:sz="4" w:space="0" w:color="auto"/>
              <w:bottom w:val="single" w:sz="4" w:space="0" w:color="auto"/>
            </w:tcBorders>
            <w:shd w:val="clear" w:color="auto" w:fill="EEEEEF" w:themeFill="accent4"/>
            <w:hideMark/>
          </w:tcPr>
          <w:p w14:paraId="32E454C6" w14:textId="77777777" w:rsidR="00265792" w:rsidRPr="00BF5029" w:rsidRDefault="00265792">
            <w:pPr>
              <w:pStyle w:val="ARfintablecolheadright"/>
            </w:pPr>
            <w:r w:rsidRPr="00BF5029">
              <w:t>+1.50%</w:t>
            </w:r>
            <w:r w:rsidRPr="00BF5029">
              <w:br/>
              <w:t>Net result</w:t>
            </w:r>
          </w:p>
          <w:p w14:paraId="7C94EE0B" w14:textId="77777777" w:rsidR="00265792" w:rsidRPr="00BF5029" w:rsidRDefault="00265792">
            <w:pPr>
              <w:pStyle w:val="ARfintablecolheadright"/>
            </w:pPr>
            <w:r w:rsidRPr="00BF5029">
              <w:t>$M</w:t>
            </w:r>
          </w:p>
        </w:tc>
      </w:tr>
      <w:tr w:rsidR="00265792" w:rsidRPr="00BA7805" w14:paraId="61441A65" w14:textId="77777777" w:rsidTr="00420523">
        <w:tc>
          <w:tcPr>
            <w:tcW w:w="3969" w:type="dxa"/>
            <w:tcBorders>
              <w:top w:val="single" w:sz="4" w:space="0" w:color="auto"/>
              <w:bottom w:val="single" w:sz="4" w:space="0" w:color="A6A6A6" w:themeColor="accent5"/>
            </w:tcBorders>
          </w:tcPr>
          <w:p w14:paraId="70459E00" w14:textId="77777777" w:rsidR="00265792" w:rsidRPr="00BA7805" w:rsidRDefault="00265792" w:rsidP="00420523">
            <w:pPr>
              <w:pStyle w:val="ARfintablebodybold"/>
              <w:rPr>
                <w:highlight w:val="green"/>
              </w:rPr>
            </w:pPr>
            <w:r w:rsidRPr="00AD035F">
              <w:t>Contractual financial assets</w:t>
            </w:r>
          </w:p>
        </w:tc>
        <w:tc>
          <w:tcPr>
            <w:tcW w:w="1134" w:type="dxa"/>
            <w:tcBorders>
              <w:top w:val="single" w:sz="4" w:space="0" w:color="auto"/>
              <w:bottom w:val="single" w:sz="4" w:space="0" w:color="A6A6A6" w:themeColor="accent5"/>
            </w:tcBorders>
            <w:noWrap/>
          </w:tcPr>
          <w:p w14:paraId="39CB6980" w14:textId="77777777" w:rsidR="00265792" w:rsidRPr="00BA7805" w:rsidRDefault="00265792" w:rsidP="00420523">
            <w:pPr>
              <w:pStyle w:val="ARfintablebodyright"/>
              <w:rPr>
                <w:highlight w:val="green"/>
              </w:rPr>
            </w:pPr>
          </w:p>
        </w:tc>
        <w:tc>
          <w:tcPr>
            <w:tcW w:w="1134" w:type="dxa"/>
            <w:tcBorders>
              <w:top w:val="single" w:sz="4" w:space="0" w:color="auto"/>
              <w:bottom w:val="single" w:sz="4" w:space="0" w:color="A6A6A6" w:themeColor="accent5"/>
            </w:tcBorders>
            <w:noWrap/>
          </w:tcPr>
          <w:p w14:paraId="4B9B24F2" w14:textId="77777777" w:rsidR="00265792" w:rsidRPr="00BA7805" w:rsidRDefault="00265792" w:rsidP="00420523">
            <w:pPr>
              <w:pStyle w:val="ARfintablebodyright"/>
              <w:rPr>
                <w:highlight w:val="green"/>
              </w:rPr>
            </w:pPr>
          </w:p>
        </w:tc>
        <w:tc>
          <w:tcPr>
            <w:tcW w:w="1134" w:type="dxa"/>
            <w:tcBorders>
              <w:top w:val="single" w:sz="4" w:space="0" w:color="auto"/>
              <w:bottom w:val="single" w:sz="4" w:space="0" w:color="A6A6A6" w:themeColor="accent5"/>
            </w:tcBorders>
            <w:noWrap/>
          </w:tcPr>
          <w:p w14:paraId="19E542C4" w14:textId="77777777" w:rsidR="00265792" w:rsidRPr="00BA7805" w:rsidRDefault="00265792" w:rsidP="00420523">
            <w:pPr>
              <w:pStyle w:val="ARfintablebodyright"/>
              <w:rPr>
                <w:highlight w:val="green"/>
              </w:rPr>
            </w:pPr>
          </w:p>
        </w:tc>
        <w:tc>
          <w:tcPr>
            <w:tcW w:w="1134" w:type="dxa"/>
            <w:tcBorders>
              <w:top w:val="single" w:sz="4" w:space="0" w:color="auto"/>
              <w:bottom w:val="single" w:sz="4" w:space="0" w:color="A6A6A6" w:themeColor="accent5"/>
            </w:tcBorders>
            <w:noWrap/>
          </w:tcPr>
          <w:p w14:paraId="0B3F0D6F" w14:textId="77777777" w:rsidR="00265792" w:rsidRPr="00BA7805" w:rsidRDefault="00265792" w:rsidP="00420523">
            <w:pPr>
              <w:pStyle w:val="ARfintablebodyright"/>
              <w:rPr>
                <w:highlight w:val="green"/>
              </w:rPr>
            </w:pPr>
          </w:p>
        </w:tc>
        <w:tc>
          <w:tcPr>
            <w:tcW w:w="1134" w:type="dxa"/>
            <w:tcBorders>
              <w:top w:val="single" w:sz="4" w:space="0" w:color="auto"/>
              <w:bottom w:val="single" w:sz="4" w:space="0" w:color="A6A6A6" w:themeColor="accent5"/>
            </w:tcBorders>
            <w:noWrap/>
          </w:tcPr>
          <w:p w14:paraId="0CF2FF98" w14:textId="77777777" w:rsidR="00265792" w:rsidRPr="00BA7805" w:rsidRDefault="00265792" w:rsidP="00420523">
            <w:pPr>
              <w:pStyle w:val="ARfintablebodyright"/>
              <w:rPr>
                <w:highlight w:val="green"/>
              </w:rPr>
            </w:pPr>
          </w:p>
        </w:tc>
      </w:tr>
      <w:tr w:rsidR="00265792" w:rsidRPr="00BA7805" w14:paraId="4DFED264" w14:textId="77777777" w:rsidTr="00420523">
        <w:tc>
          <w:tcPr>
            <w:tcW w:w="3969" w:type="dxa"/>
            <w:tcBorders>
              <w:top w:val="single" w:sz="4" w:space="0" w:color="A6A6A6" w:themeColor="accent5"/>
            </w:tcBorders>
          </w:tcPr>
          <w:p w14:paraId="0CB58D08" w14:textId="77777777" w:rsidR="00265792" w:rsidRPr="00BA7805" w:rsidRDefault="00265792" w:rsidP="00420523">
            <w:pPr>
              <w:pStyle w:val="ARfintablebody"/>
              <w:rPr>
                <w:highlight w:val="green"/>
              </w:rPr>
            </w:pPr>
            <w:r w:rsidRPr="00AD035F">
              <w:t xml:space="preserve">Cash and deposits </w:t>
            </w:r>
            <w:r w:rsidRPr="00420523">
              <w:rPr>
                <w:vertAlign w:val="superscript"/>
              </w:rPr>
              <w:t>(</w:t>
            </w:r>
            <w:proofErr w:type="spellStart"/>
            <w:r w:rsidRPr="00420523">
              <w:rPr>
                <w:vertAlign w:val="superscript"/>
              </w:rPr>
              <w:t>i</w:t>
            </w:r>
            <w:proofErr w:type="spellEnd"/>
            <w:r w:rsidRPr="00420523">
              <w:rPr>
                <w:vertAlign w:val="superscript"/>
              </w:rPr>
              <w:t>)</w:t>
            </w:r>
          </w:p>
        </w:tc>
        <w:tc>
          <w:tcPr>
            <w:tcW w:w="1134" w:type="dxa"/>
            <w:tcBorders>
              <w:top w:val="single" w:sz="4" w:space="0" w:color="A6A6A6" w:themeColor="accent5"/>
            </w:tcBorders>
            <w:shd w:val="clear" w:color="auto" w:fill="EEEEEF" w:themeFill="accent4"/>
            <w:noWrap/>
          </w:tcPr>
          <w:p w14:paraId="2BF01472" w14:textId="77777777" w:rsidR="00265792" w:rsidRPr="00BA7805" w:rsidRDefault="00265792" w:rsidP="00420523">
            <w:pPr>
              <w:pStyle w:val="ARfintablebodyright"/>
              <w:rPr>
                <w:highlight w:val="green"/>
              </w:rPr>
            </w:pPr>
            <w:r>
              <w:t>721.7</w:t>
            </w:r>
          </w:p>
        </w:tc>
        <w:tc>
          <w:tcPr>
            <w:tcW w:w="1134" w:type="dxa"/>
            <w:tcBorders>
              <w:top w:val="single" w:sz="4" w:space="0" w:color="A6A6A6" w:themeColor="accent5"/>
            </w:tcBorders>
            <w:noWrap/>
          </w:tcPr>
          <w:p w14:paraId="344D1728" w14:textId="77777777" w:rsidR="00265792" w:rsidRPr="00BA7805" w:rsidRDefault="00265792" w:rsidP="00420523">
            <w:pPr>
              <w:pStyle w:val="ARfintablebodyright"/>
              <w:rPr>
                <w:highlight w:val="green"/>
              </w:rPr>
            </w:pPr>
            <w:r w:rsidRPr="00AD035F">
              <w:t>(</w:t>
            </w:r>
            <w:r>
              <w:t>3.3</w:t>
            </w:r>
            <w:r w:rsidRPr="00AD035F">
              <w:t>)</w:t>
            </w:r>
          </w:p>
        </w:tc>
        <w:tc>
          <w:tcPr>
            <w:tcW w:w="1134" w:type="dxa"/>
            <w:tcBorders>
              <w:top w:val="single" w:sz="4" w:space="0" w:color="A6A6A6" w:themeColor="accent5"/>
            </w:tcBorders>
            <w:noWrap/>
          </w:tcPr>
          <w:p w14:paraId="0C7E26C9" w14:textId="77777777" w:rsidR="00265792" w:rsidRPr="00BA7805" w:rsidRDefault="00265792" w:rsidP="00420523">
            <w:pPr>
              <w:pStyle w:val="ARfintablebodyright"/>
              <w:rPr>
                <w:highlight w:val="green"/>
              </w:rPr>
            </w:pPr>
            <w:r>
              <w:t>6.7</w:t>
            </w:r>
          </w:p>
        </w:tc>
        <w:tc>
          <w:tcPr>
            <w:tcW w:w="1134" w:type="dxa"/>
            <w:tcBorders>
              <w:top w:val="single" w:sz="4" w:space="0" w:color="A6A6A6" w:themeColor="accent5"/>
            </w:tcBorders>
            <w:shd w:val="clear" w:color="auto" w:fill="EEEEEF" w:themeFill="accent4"/>
            <w:noWrap/>
          </w:tcPr>
          <w:p w14:paraId="5EA2AAE9" w14:textId="77777777" w:rsidR="00265792" w:rsidRPr="00BA7805" w:rsidRDefault="00265792" w:rsidP="00420523">
            <w:pPr>
              <w:pStyle w:val="ARfintablebodyright"/>
              <w:rPr>
                <w:highlight w:val="green"/>
              </w:rPr>
            </w:pPr>
            <w:r>
              <w:t>–</w:t>
            </w:r>
          </w:p>
        </w:tc>
        <w:tc>
          <w:tcPr>
            <w:tcW w:w="1134" w:type="dxa"/>
            <w:tcBorders>
              <w:top w:val="single" w:sz="4" w:space="0" w:color="A6A6A6" w:themeColor="accent5"/>
            </w:tcBorders>
            <w:shd w:val="clear" w:color="auto" w:fill="EEEEEF" w:themeFill="accent4"/>
            <w:noWrap/>
          </w:tcPr>
          <w:p w14:paraId="218387D6" w14:textId="77777777" w:rsidR="00265792" w:rsidRPr="00BA7805" w:rsidRDefault="00265792" w:rsidP="00420523">
            <w:pPr>
              <w:pStyle w:val="ARfintablebodyright"/>
              <w:rPr>
                <w:highlight w:val="green"/>
              </w:rPr>
            </w:pPr>
            <w:r>
              <w:t>–</w:t>
            </w:r>
          </w:p>
        </w:tc>
      </w:tr>
      <w:tr w:rsidR="00265792" w:rsidRPr="00BA7805" w14:paraId="76E200A3" w14:textId="77777777" w:rsidTr="00420523">
        <w:tc>
          <w:tcPr>
            <w:tcW w:w="3969" w:type="dxa"/>
            <w:tcBorders>
              <w:bottom w:val="single" w:sz="4" w:space="0" w:color="A6A6A6" w:themeColor="accent5"/>
            </w:tcBorders>
          </w:tcPr>
          <w:p w14:paraId="43DA2244" w14:textId="77777777" w:rsidR="00265792" w:rsidRPr="00BA7805" w:rsidRDefault="00265792" w:rsidP="00420523">
            <w:pPr>
              <w:pStyle w:val="ARfintablebody"/>
              <w:rPr>
                <w:highlight w:val="green"/>
              </w:rPr>
            </w:pPr>
            <w:r w:rsidRPr="00AD035F">
              <w:t xml:space="preserve">Receivables </w:t>
            </w:r>
            <w:r w:rsidRPr="00420523">
              <w:rPr>
                <w:vertAlign w:val="superscript"/>
              </w:rPr>
              <w:t>(ii)(iii</w:t>
            </w:r>
            <w:r w:rsidRPr="00420523" w:rsidDel="00643652">
              <w:rPr>
                <w:vertAlign w:val="superscript"/>
              </w:rPr>
              <w:t>)</w:t>
            </w:r>
          </w:p>
        </w:tc>
        <w:tc>
          <w:tcPr>
            <w:tcW w:w="1134" w:type="dxa"/>
            <w:tcBorders>
              <w:bottom w:val="single" w:sz="4" w:space="0" w:color="A6A6A6" w:themeColor="accent5"/>
            </w:tcBorders>
            <w:shd w:val="clear" w:color="auto" w:fill="EEEEEF" w:themeFill="accent4"/>
            <w:noWrap/>
          </w:tcPr>
          <w:p w14:paraId="22615FAD" w14:textId="77777777" w:rsidR="00265792" w:rsidRPr="00BA7805" w:rsidRDefault="00265792" w:rsidP="00420523">
            <w:pPr>
              <w:pStyle w:val="ARfintablebodyright"/>
              <w:rPr>
                <w:highlight w:val="green"/>
              </w:rPr>
            </w:pPr>
            <w:r w:rsidRPr="00AD035F">
              <w:t>31</w:t>
            </w:r>
            <w:r>
              <w:t>5.0</w:t>
            </w:r>
          </w:p>
        </w:tc>
        <w:tc>
          <w:tcPr>
            <w:tcW w:w="1134" w:type="dxa"/>
            <w:tcBorders>
              <w:bottom w:val="single" w:sz="4" w:space="0" w:color="A6A6A6" w:themeColor="accent5"/>
            </w:tcBorders>
            <w:noWrap/>
          </w:tcPr>
          <w:p w14:paraId="0CA02294" w14:textId="77777777" w:rsidR="00265792" w:rsidRPr="00BA7805" w:rsidRDefault="00265792" w:rsidP="00420523">
            <w:pPr>
              <w:pStyle w:val="ARfintablebodyright"/>
              <w:rPr>
                <w:highlight w:val="green"/>
              </w:rPr>
            </w:pPr>
            <w:r>
              <w:t>–</w:t>
            </w:r>
          </w:p>
        </w:tc>
        <w:tc>
          <w:tcPr>
            <w:tcW w:w="1134" w:type="dxa"/>
            <w:tcBorders>
              <w:bottom w:val="single" w:sz="4" w:space="0" w:color="A6A6A6" w:themeColor="accent5"/>
            </w:tcBorders>
            <w:noWrap/>
          </w:tcPr>
          <w:p w14:paraId="765B3A1D" w14:textId="77777777" w:rsidR="00265792" w:rsidRPr="00BA7805" w:rsidRDefault="00265792" w:rsidP="00420523">
            <w:pPr>
              <w:pStyle w:val="ARfintablebodyright"/>
              <w:rPr>
                <w:highlight w:val="green"/>
              </w:rPr>
            </w:pPr>
            <w:r>
              <w:t>–</w:t>
            </w:r>
          </w:p>
        </w:tc>
        <w:tc>
          <w:tcPr>
            <w:tcW w:w="1134" w:type="dxa"/>
            <w:tcBorders>
              <w:bottom w:val="single" w:sz="4" w:space="0" w:color="A6A6A6" w:themeColor="accent5"/>
            </w:tcBorders>
            <w:shd w:val="clear" w:color="auto" w:fill="EEEEEF" w:themeFill="accent4"/>
            <w:noWrap/>
          </w:tcPr>
          <w:p w14:paraId="24D16D23" w14:textId="77777777" w:rsidR="00265792" w:rsidRPr="00BA7805" w:rsidRDefault="00265792" w:rsidP="00420523">
            <w:pPr>
              <w:pStyle w:val="ARfintablebodyright"/>
              <w:rPr>
                <w:highlight w:val="green"/>
              </w:rPr>
            </w:pPr>
            <w:r>
              <w:t>–</w:t>
            </w:r>
          </w:p>
        </w:tc>
        <w:tc>
          <w:tcPr>
            <w:tcW w:w="1134" w:type="dxa"/>
            <w:tcBorders>
              <w:bottom w:val="single" w:sz="4" w:space="0" w:color="A6A6A6" w:themeColor="accent5"/>
            </w:tcBorders>
            <w:shd w:val="clear" w:color="auto" w:fill="EEEEEF" w:themeFill="accent4"/>
            <w:noWrap/>
          </w:tcPr>
          <w:p w14:paraId="1154A246" w14:textId="77777777" w:rsidR="00265792" w:rsidRPr="00BA7805" w:rsidRDefault="00265792" w:rsidP="00420523">
            <w:pPr>
              <w:pStyle w:val="ARfintablebodyright"/>
              <w:rPr>
                <w:highlight w:val="green"/>
              </w:rPr>
            </w:pPr>
            <w:r>
              <w:t>–</w:t>
            </w:r>
          </w:p>
        </w:tc>
      </w:tr>
      <w:tr w:rsidR="00265792" w:rsidRPr="00BA7805" w14:paraId="14DB62E2" w14:textId="77777777" w:rsidTr="00420523">
        <w:tc>
          <w:tcPr>
            <w:tcW w:w="3969" w:type="dxa"/>
            <w:tcBorders>
              <w:top w:val="single" w:sz="4" w:space="0" w:color="A6A6A6" w:themeColor="accent5"/>
              <w:bottom w:val="single" w:sz="4" w:space="0" w:color="auto"/>
            </w:tcBorders>
          </w:tcPr>
          <w:p w14:paraId="573F69AB" w14:textId="77777777" w:rsidR="00265792" w:rsidRPr="00BA7805" w:rsidRDefault="00265792" w:rsidP="00420523">
            <w:pPr>
              <w:pStyle w:val="ARfintablebody"/>
              <w:rPr>
                <w:highlight w:val="green"/>
              </w:rPr>
            </w:pPr>
            <w:r w:rsidRPr="00AD035F">
              <w:t xml:space="preserve">Loans </w:t>
            </w:r>
            <w:r w:rsidRPr="00420523">
              <w:rPr>
                <w:vertAlign w:val="superscript"/>
              </w:rPr>
              <w:t>(iii)</w:t>
            </w:r>
          </w:p>
        </w:tc>
        <w:tc>
          <w:tcPr>
            <w:tcW w:w="1134" w:type="dxa"/>
            <w:tcBorders>
              <w:top w:val="single" w:sz="4" w:space="0" w:color="A6A6A6" w:themeColor="accent5"/>
              <w:bottom w:val="single" w:sz="4" w:space="0" w:color="auto"/>
            </w:tcBorders>
            <w:shd w:val="clear" w:color="auto" w:fill="EEEEEF" w:themeFill="accent4"/>
            <w:noWrap/>
          </w:tcPr>
          <w:p w14:paraId="36C5BA16" w14:textId="77777777" w:rsidR="00265792" w:rsidRPr="00BA7805" w:rsidRDefault="00265792" w:rsidP="00420523">
            <w:pPr>
              <w:pStyle w:val="ARfintablebodyright"/>
              <w:rPr>
                <w:highlight w:val="green"/>
              </w:rPr>
            </w:pPr>
            <w:r w:rsidRPr="00AD035F">
              <w:t>28.2</w:t>
            </w:r>
          </w:p>
        </w:tc>
        <w:tc>
          <w:tcPr>
            <w:tcW w:w="1134" w:type="dxa"/>
            <w:tcBorders>
              <w:top w:val="single" w:sz="4" w:space="0" w:color="A6A6A6" w:themeColor="accent5"/>
              <w:bottom w:val="single" w:sz="4" w:space="0" w:color="auto"/>
            </w:tcBorders>
            <w:noWrap/>
          </w:tcPr>
          <w:p w14:paraId="5A80A639" w14:textId="77777777" w:rsidR="00265792" w:rsidRPr="00BA7805" w:rsidRDefault="00265792" w:rsidP="00420523">
            <w:pPr>
              <w:pStyle w:val="ARfintablebodyright"/>
              <w:rPr>
                <w:highlight w:val="green"/>
              </w:rPr>
            </w:pPr>
            <w:r>
              <w:t>–</w:t>
            </w:r>
          </w:p>
        </w:tc>
        <w:tc>
          <w:tcPr>
            <w:tcW w:w="1134" w:type="dxa"/>
            <w:tcBorders>
              <w:top w:val="single" w:sz="4" w:space="0" w:color="A6A6A6" w:themeColor="accent5"/>
              <w:bottom w:val="single" w:sz="4" w:space="0" w:color="auto"/>
            </w:tcBorders>
            <w:noWrap/>
          </w:tcPr>
          <w:p w14:paraId="1475B672" w14:textId="77777777" w:rsidR="00265792" w:rsidRPr="00BA7805" w:rsidRDefault="00265792" w:rsidP="00420523">
            <w:pPr>
              <w:pStyle w:val="ARfintablebodyright"/>
              <w:rPr>
                <w:highlight w:val="green"/>
              </w:rPr>
            </w:pPr>
            <w:r>
              <w:t>–</w:t>
            </w:r>
          </w:p>
        </w:tc>
        <w:tc>
          <w:tcPr>
            <w:tcW w:w="1134" w:type="dxa"/>
            <w:tcBorders>
              <w:top w:val="single" w:sz="4" w:space="0" w:color="A6A6A6" w:themeColor="accent5"/>
              <w:bottom w:val="single" w:sz="4" w:space="0" w:color="auto"/>
            </w:tcBorders>
            <w:shd w:val="clear" w:color="auto" w:fill="EEEEEF" w:themeFill="accent4"/>
            <w:noWrap/>
          </w:tcPr>
          <w:p w14:paraId="02E4EFCF" w14:textId="77777777" w:rsidR="00265792" w:rsidRPr="00BA7805" w:rsidRDefault="00265792" w:rsidP="00420523">
            <w:pPr>
              <w:pStyle w:val="ARfintablebodyright"/>
              <w:rPr>
                <w:highlight w:val="green"/>
              </w:rPr>
            </w:pPr>
            <w:r>
              <w:t>–</w:t>
            </w:r>
          </w:p>
        </w:tc>
        <w:tc>
          <w:tcPr>
            <w:tcW w:w="1134" w:type="dxa"/>
            <w:tcBorders>
              <w:top w:val="single" w:sz="4" w:space="0" w:color="A6A6A6" w:themeColor="accent5"/>
              <w:bottom w:val="single" w:sz="4" w:space="0" w:color="auto"/>
            </w:tcBorders>
            <w:shd w:val="clear" w:color="auto" w:fill="EEEEEF" w:themeFill="accent4"/>
            <w:noWrap/>
          </w:tcPr>
          <w:p w14:paraId="23D09B1D" w14:textId="77777777" w:rsidR="00265792" w:rsidRPr="00BA7805" w:rsidRDefault="00265792" w:rsidP="00420523">
            <w:pPr>
              <w:pStyle w:val="ARfintablebodyright"/>
              <w:rPr>
                <w:highlight w:val="green"/>
              </w:rPr>
            </w:pPr>
            <w:r w:rsidRPr="00AD035F">
              <w:t>0.1</w:t>
            </w:r>
          </w:p>
        </w:tc>
      </w:tr>
      <w:tr w:rsidR="00265792" w:rsidRPr="00BA7805" w14:paraId="20D4EE00" w14:textId="77777777" w:rsidTr="00420523">
        <w:tc>
          <w:tcPr>
            <w:tcW w:w="3969" w:type="dxa"/>
            <w:tcBorders>
              <w:top w:val="single" w:sz="4" w:space="0" w:color="auto"/>
              <w:bottom w:val="single" w:sz="4" w:space="0" w:color="auto"/>
            </w:tcBorders>
          </w:tcPr>
          <w:p w14:paraId="3F6D3D30" w14:textId="77777777" w:rsidR="00265792" w:rsidRPr="00BA7805" w:rsidRDefault="00265792" w:rsidP="00420523">
            <w:pPr>
              <w:pStyle w:val="ARfintablebodybold"/>
              <w:rPr>
                <w:highlight w:val="green"/>
              </w:rPr>
            </w:pPr>
            <w:r w:rsidRPr="00AD035F">
              <w:t>Total impact</w:t>
            </w:r>
          </w:p>
        </w:tc>
        <w:tc>
          <w:tcPr>
            <w:tcW w:w="1134" w:type="dxa"/>
            <w:tcBorders>
              <w:top w:val="single" w:sz="4" w:space="0" w:color="auto"/>
              <w:bottom w:val="single" w:sz="4" w:space="0" w:color="auto"/>
            </w:tcBorders>
            <w:shd w:val="clear" w:color="auto" w:fill="EEEEEF" w:themeFill="accent4"/>
            <w:noWrap/>
          </w:tcPr>
          <w:p w14:paraId="5CD1200B" w14:textId="77777777" w:rsidR="00265792" w:rsidRPr="00BA7805" w:rsidRDefault="00265792" w:rsidP="00420523">
            <w:pPr>
              <w:pStyle w:val="ARfintablebodyrightbold"/>
              <w:rPr>
                <w:highlight w:val="green"/>
              </w:rPr>
            </w:pPr>
            <w:r>
              <w:t>1,064.9</w:t>
            </w:r>
          </w:p>
        </w:tc>
        <w:tc>
          <w:tcPr>
            <w:tcW w:w="1134" w:type="dxa"/>
            <w:tcBorders>
              <w:top w:val="single" w:sz="4" w:space="0" w:color="auto"/>
              <w:bottom w:val="single" w:sz="4" w:space="0" w:color="auto"/>
            </w:tcBorders>
            <w:noWrap/>
          </w:tcPr>
          <w:p w14:paraId="5DC73C62" w14:textId="77777777" w:rsidR="00265792" w:rsidRPr="00BA7805" w:rsidRDefault="00265792" w:rsidP="00420523">
            <w:pPr>
              <w:pStyle w:val="ARfintablebodyrightbold"/>
              <w:rPr>
                <w:highlight w:val="green"/>
              </w:rPr>
            </w:pPr>
            <w:r w:rsidRPr="00AD035F">
              <w:t>(</w:t>
            </w:r>
            <w:r>
              <w:t>3.3</w:t>
            </w:r>
            <w:r w:rsidRPr="00AD035F">
              <w:t>)</w:t>
            </w:r>
          </w:p>
        </w:tc>
        <w:tc>
          <w:tcPr>
            <w:tcW w:w="1134" w:type="dxa"/>
            <w:tcBorders>
              <w:top w:val="single" w:sz="4" w:space="0" w:color="auto"/>
              <w:bottom w:val="single" w:sz="4" w:space="0" w:color="auto"/>
            </w:tcBorders>
            <w:noWrap/>
          </w:tcPr>
          <w:p w14:paraId="3F645524" w14:textId="77777777" w:rsidR="00265792" w:rsidRPr="00BA7805" w:rsidRDefault="00265792" w:rsidP="00420523">
            <w:pPr>
              <w:pStyle w:val="ARfintablebodyrightbold"/>
              <w:rPr>
                <w:highlight w:val="green"/>
              </w:rPr>
            </w:pPr>
            <w:r>
              <w:t>6.7</w:t>
            </w:r>
          </w:p>
        </w:tc>
        <w:tc>
          <w:tcPr>
            <w:tcW w:w="1134" w:type="dxa"/>
            <w:tcBorders>
              <w:top w:val="single" w:sz="4" w:space="0" w:color="auto"/>
              <w:bottom w:val="single" w:sz="4" w:space="0" w:color="auto"/>
            </w:tcBorders>
            <w:shd w:val="clear" w:color="auto" w:fill="EEEEEF" w:themeFill="accent4"/>
            <w:noWrap/>
          </w:tcPr>
          <w:p w14:paraId="0723223E" w14:textId="77777777" w:rsidR="00265792" w:rsidRPr="00BA7805" w:rsidRDefault="00265792" w:rsidP="00420523">
            <w:pPr>
              <w:pStyle w:val="ARfintablebodyrightbold"/>
              <w:rPr>
                <w:highlight w:val="green"/>
              </w:rPr>
            </w:pPr>
            <w:r>
              <w:t>–</w:t>
            </w:r>
          </w:p>
        </w:tc>
        <w:tc>
          <w:tcPr>
            <w:tcW w:w="1134" w:type="dxa"/>
            <w:tcBorders>
              <w:top w:val="single" w:sz="4" w:space="0" w:color="auto"/>
              <w:bottom w:val="single" w:sz="4" w:space="0" w:color="auto"/>
            </w:tcBorders>
            <w:shd w:val="clear" w:color="auto" w:fill="EEEEEF" w:themeFill="accent4"/>
            <w:noWrap/>
          </w:tcPr>
          <w:p w14:paraId="69E56808" w14:textId="77777777" w:rsidR="00265792" w:rsidRPr="00BA7805" w:rsidRDefault="00265792" w:rsidP="00420523">
            <w:pPr>
              <w:pStyle w:val="ARfintablebodyrightbold"/>
              <w:rPr>
                <w:highlight w:val="green"/>
              </w:rPr>
            </w:pPr>
            <w:r w:rsidRPr="00AD035F">
              <w:t>0.1</w:t>
            </w:r>
          </w:p>
        </w:tc>
      </w:tr>
      <w:tr w:rsidR="00265792" w:rsidRPr="00BA7805" w14:paraId="7F2F354E" w14:textId="77777777" w:rsidTr="00420523">
        <w:tc>
          <w:tcPr>
            <w:tcW w:w="3969" w:type="dxa"/>
            <w:tcBorders>
              <w:top w:val="single" w:sz="4" w:space="0" w:color="auto"/>
              <w:bottom w:val="single" w:sz="4" w:space="0" w:color="A6A6A6" w:themeColor="accent5"/>
            </w:tcBorders>
          </w:tcPr>
          <w:p w14:paraId="23BB297A" w14:textId="77777777" w:rsidR="00265792" w:rsidRPr="00BA7805" w:rsidRDefault="00265792">
            <w:pPr>
              <w:pStyle w:val="ARfintablebodybold"/>
              <w:rPr>
                <w:highlight w:val="green"/>
              </w:rPr>
            </w:pPr>
            <w:r w:rsidRPr="00AD035F">
              <w:t>Contractual financial liabilities</w:t>
            </w:r>
          </w:p>
        </w:tc>
        <w:tc>
          <w:tcPr>
            <w:tcW w:w="1134" w:type="dxa"/>
            <w:tcBorders>
              <w:top w:val="single" w:sz="4" w:space="0" w:color="auto"/>
              <w:bottom w:val="single" w:sz="4" w:space="0" w:color="A6A6A6" w:themeColor="accent5"/>
            </w:tcBorders>
            <w:noWrap/>
          </w:tcPr>
          <w:p w14:paraId="5E32FEFE" w14:textId="77777777" w:rsidR="00265792" w:rsidRPr="00BA7805" w:rsidRDefault="00265792" w:rsidP="00420523">
            <w:pPr>
              <w:pStyle w:val="ARfintablebodyright"/>
              <w:rPr>
                <w:highlight w:val="green"/>
              </w:rPr>
            </w:pPr>
          </w:p>
        </w:tc>
        <w:tc>
          <w:tcPr>
            <w:tcW w:w="1134" w:type="dxa"/>
            <w:tcBorders>
              <w:top w:val="single" w:sz="4" w:space="0" w:color="auto"/>
              <w:bottom w:val="single" w:sz="4" w:space="0" w:color="A6A6A6" w:themeColor="accent5"/>
            </w:tcBorders>
            <w:noWrap/>
          </w:tcPr>
          <w:p w14:paraId="656D2FA9" w14:textId="77777777" w:rsidR="00265792" w:rsidRPr="00BA7805" w:rsidRDefault="00265792" w:rsidP="00420523">
            <w:pPr>
              <w:pStyle w:val="ARfintablebodyright"/>
              <w:rPr>
                <w:highlight w:val="green"/>
              </w:rPr>
            </w:pPr>
          </w:p>
        </w:tc>
        <w:tc>
          <w:tcPr>
            <w:tcW w:w="1134" w:type="dxa"/>
            <w:tcBorders>
              <w:top w:val="single" w:sz="4" w:space="0" w:color="auto"/>
              <w:bottom w:val="single" w:sz="4" w:space="0" w:color="A6A6A6" w:themeColor="accent5"/>
            </w:tcBorders>
            <w:noWrap/>
          </w:tcPr>
          <w:p w14:paraId="28CA5AFC" w14:textId="77777777" w:rsidR="00265792" w:rsidRPr="00BA7805" w:rsidRDefault="00265792" w:rsidP="00420523">
            <w:pPr>
              <w:pStyle w:val="ARfintablebodyright"/>
              <w:rPr>
                <w:highlight w:val="green"/>
              </w:rPr>
            </w:pPr>
          </w:p>
        </w:tc>
        <w:tc>
          <w:tcPr>
            <w:tcW w:w="1134" w:type="dxa"/>
            <w:tcBorders>
              <w:top w:val="single" w:sz="4" w:space="0" w:color="auto"/>
              <w:bottom w:val="single" w:sz="4" w:space="0" w:color="A6A6A6" w:themeColor="accent5"/>
            </w:tcBorders>
            <w:noWrap/>
          </w:tcPr>
          <w:p w14:paraId="7611414C" w14:textId="77777777" w:rsidR="00265792" w:rsidRPr="00BA7805" w:rsidRDefault="00265792" w:rsidP="00420523">
            <w:pPr>
              <w:pStyle w:val="ARfintablebodyright"/>
              <w:rPr>
                <w:highlight w:val="green"/>
              </w:rPr>
            </w:pPr>
          </w:p>
        </w:tc>
        <w:tc>
          <w:tcPr>
            <w:tcW w:w="1134" w:type="dxa"/>
            <w:tcBorders>
              <w:top w:val="single" w:sz="4" w:space="0" w:color="auto"/>
              <w:bottom w:val="single" w:sz="4" w:space="0" w:color="A6A6A6" w:themeColor="accent5"/>
            </w:tcBorders>
            <w:noWrap/>
          </w:tcPr>
          <w:p w14:paraId="0F02F2F4" w14:textId="77777777" w:rsidR="00265792" w:rsidRPr="00BA7805" w:rsidRDefault="00265792" w:rsidP="00420523">
            <w:pPr>
              <w:pStyle w:val="ARfintablebodyright"/>
              <w:rPr>
                <w:highlight w:val="green"/>
              </w:rPr>
            </w:pPr>
          </w:p>
        </w:tc>
      </w:tr>
      <w:tr w:rsidR="00265792" w:rsidRPr="00BA7805" w14:paraId="6BB7964C" w14:textId="77777777">
        <w:trPr>
          <w:trHeight w:val="287"/>
        </w:trPr>
        <w:tc>
          <w:tcPr>
            <w:tcW w:w="0" w:type="dxa"/>
            <w:tcBorders>
              <w:top w:val="single" w:sz="4" w:space="0" w:color="A6A6A6" w:themeColor="accent5"/>
            </w:tcBorders>
          </w:tcPr>
          <w:p w14:paraId="511CFA27" w14:textId="77777777" w:rsidR="00265792" w:rsidRPr="00BA7805" w:rsidRDefault="00265792" w:rsidP="00420523">
            <w:pPr>
              <w:pStyle w:val="ARfintablebody"/>
              <w:rPr>
                <w:highlight w:val="green"/>
              </w:rPr>
            </w:pPr>
            <w:r w:rsidRPr="00AD035F">
              <w:t xml:space="preserve">Payables </w:t>
            </w:r>
            <w:r w:rsidRPr="00420523">
              <w:rPr>
                <w:vertAlign w:val="superscript"/>
              </w:rPr>
              <w:t>(iii)</w:t>
            </w:r>
          </w:p>
        </w:tc>
        <w:tc>
          <w:tcPr>
            <w:tcW w:w="0" w:type="dxa"/>
            <w:tcBorders>
              <w:top w:val="single" w:sz="4" w:space="0" w:color="A6A6A6" w:themeColor="accent5"/>
            </w:tcBorders>
            <w:shd w:val="clear" w:color="auto" w:fill="EEEEEF" w:themeFill="accent4"/>
            <w:noWrap/>
          </w:tcPr>
          <w:p w14:paraId="5FB59E15" w14:textId="77777777" w:rsidR="00265792" w:rsidRPr="00BA7805" w:rsidRDefault="00265792" w:rsidP="00420523">
            <w:pPr>
              <w:pStyle w:val="ARfintablebodyright"/>
              <w:rPr>
                <w:highlight w:val="green"/>
              </w:rPr>
            </w:pPr>
            <w:r w:rsidRPr="00AD035F">
              <w:t>479.5</w:t>
            </w:r>
          </w:p>
        </w:tc>
        <w:tc>
          <w:tcPr>
            <w:tcW w:w="0" w:type="dxa"/>
            <w:tcBorders>
              <w:top w:val="single" w:sz="4" w:space="0" w:color="A6A6A6" w:themeColor="accent5"/>
            </w:tcBorders>
            <w:noWrap/>
          </w:tcPr>
          <w:p w14:paraId="557E6564" w14:textId="77777777" w:rsidR="00265792" w:rsidRPr="00BA7805" w:rsidRDefault="00265792" w:rsidP="00420523">
            <w:pPr>
              <w:pStyle w:val="ARfintablebodyright"/>
              <w:rPr>
                <w:highlight w:val="green"/>
              </w:rPr>
            </w:pPr>
            <w:r>
              <w:t>–</w:t>
            </w:r>
          </w:p>
        </w:tc>
        <w:tc>
          <w:tcPr>
            <w:tcW w:w="0" w:type="dxa"/>
            <w:tcBorders>
              <w:top w:val="single" w:sz="4" w:space="0" w:color="A6A6A6" w:themeColor="accent5"/>
            </w:tcBorders>
            <w:noWrap/>
          </w:tcPr>
          <w:p w14:paraId="6D049E64" w14:textId="77777777" w:rsidR="00265792" w:rsidRPr="00BA7805" w:rsidRDefault="00265792" w:rsidP="00420523">
            <w:pPr>
              <w:pStyle w:val="ARfintablebodyright"/>
              <w:rPr>
                <w:highlight w:val="green"/>
              </w:rPr>
            </w:pPr>
            <w:r>
              <w:t>–</w:t>
            </w:r>
          </w:p>
        </w:tc>
        <w:tc>
          <w:tcPr>
            <w:tcW w:w="0" w:type="dxa"/>
            <w:tcBorders>
              <w:top w:val="single" w:sz="4" w:space="0" w:color="A6A6A6" w:themeColor="accent5"/>
            </w:tcBorders>
            <w:shd w:val="clear" w:color="auto" w:fill="EEEEEF" w:themeFill="accent4"/>
            <w:noWrap/>
          </w:tcPr>
          <w:p w14:paraId="653D6633" w14:textId="77777777" w:rsidR="00265792" w:rsidRPr="00BA7805" w:rsidRDefault="00265792" w:rsidP="00420523">
            <w:pPr>
              <w:pStyle w:val="ARfintablebodyright"/>
              <w:rPr>
                <w:highlight w:val="green"/>
              </w:rPr>
            </w:pPr>
            <w:r>
              <w:t>–</w:t>
            </w:r>
          </w:p>
        </w:tc>
        <w:tc>
          <w:tcPr>
            <w:tcW w:w="0" w:type="dxa"/>
            <w:tcBorders>
              <w:top w:val="single" w:sz="4" w:space="0" w:color="A6A6A6" w:themeColor="accent5"/>
            </w:tcBorders>
            <w:shd w:val="clear" w:color="auto" w:fill="EEEEEF" w:themeFill="accent4"/>
            <w:noWrap/>
          </w:tcPr>
          <w:p w14:paraId="7F86A6BD" w14:textId="77777777" w:rsidR="00265792" w:rsidRPr="00BA7805" w:rsidRDefault="00265792" w:rsidP="00420523">
            <w:pPr>
              <w:pStyle w:val="ARfintablebodyright"/>
              <w:rPr>
                <w:highlight w:val="green"/>
              </w:rPr>
            </w:pPr>
            <w:r>
              <w:t>–</w:t>
            </w:r>
          </w:p>
        </w:tc>
      </w:tr>
      <w:tr w:rsidR="00265792" w:rsidRPr="00BA7805" w14:paraId="1BB2EEF7" w14:textId="77777777" w:rsidTr="00420523">
        <w:tc>
          <w:tcPr>
            <w:tcW w:w="3969" w:type="dxa"/>
          </w:tcPr>
          <w:p w14:paraId="7D0DC257" w14:textId="77777777" w:rsidR="00265792" w:rsidRPr="009E10D6" w:rsidRDefault="00265792" w:rsidP="00420523">
            <w:pPr>
              <w:pStyle w:val="ARfintablebody"/>
            </w:pPr>
            <w:r w:rsidRPr="00AD035F">
              <w:t xml:space="preserve">Borrowings </w:t>
            </w:r>
            <w:r w:rsidRPr="00420523">
              <w:rPr>
                <w:vertAlign w:val="superscript"/>
              </w:rPr>
              <w:t>(</w:t>
            </w:r>
            <w:r>
              <w:rPr>
                <w:vertAlign w:val="superscript"/>
              </w:rPr>
              <w:t>i</w:t>
            </w:r>
            <w:r w:rsidRPr="00420523">
              <w:rPr>
                <w:vertAlign w:val="superscript"/>
              </w:rPr>
              <w:t>v)</w:t>
            </w:r>
          </w:p>
        </w:tc>
        <w:tc>
          <w:tcPr>
            <w:tcW w:w="1134" w:type="dxa"/>
            <w:shd w:val="clear" w:color="auto" w:fill="EEEEEF" w:themeFill="accent4"/>
            <w:noWrap/>
          </w:tcPr>
          <w:p w14:paraId="13E570A1" w14:textId="77777777" w:rsidR="00265792" w:rsidRPr="009E10D6" w:rsidRDefault="00265792" w:rsidP="00420523">
            <w:pPr>
              <w:pStyle w:val="ARfintablebodyright"/>
            </w:pPr>
            <w:r w:rsidRPr="00AD035F">
              <w:t>503.7</w:t>
            </w:r>
          </w:p>
        </w:tc>
        <w:tc>
          <w:tcPr>
            <w:tcW w:w="1134" w:type="dxa"/>
            <w:noWrap/>
          </w:tcPr>
          <w:p w14:paraId="641E8F0D" w14:textId="77777777" w:rsidR="00265792" w:rsidRPr="009E10D6" w:rsidRDefault="00265792" w:rsidP="00420523">
            <w:pPr>
              <w:pStyle w:val="ARfintablebodyright"/>
            </w:pPr>
            <w:r>
              <w:t>–</w:t>
            </w:r>
          </w:p>
        </w:tc>
        <w:tc>
          <w:tcPr>
            <w:tcW w:w="1134" w:type="dxa"/>
            <w:noWrap/>
          </w:tcPr>
          <w:p w14:paraId="0362D944" w14:textId="77777777" w:rsidR="00265792" w:rsidRPr="009E10D6" w:rsidRDefault="00265792" w:rsidP="00420523">
            <w:pPr>
              <w:pStyle w:val="ARfintablebodyright"/>
            </w:pPr>
            <w:r>
              <w:t>–</w:t>
            </w:r>
          </w:p>
        </w:tc>
        <w:tc>
          <w:tcPr>
            <w:tcW w:w="1134" w:type="dxa"/>
            <w:shd w:val="clear" w:color="auto" w:fill="EEEEEF" w:themeFill="accent4"/>
            <w:noWrap/>
          </w:tcPr>
          <w:p w14:paraId="0235BCA1" w14:textId="77777777" w:rsidR="00265792" w:rsidRDefault="00265792" w:rsidP="00420523">
            <w:pPr>
              <w:pStyle w:val="ARfintablebodyright"/>
            </w:pPr>
            <w:r>
              <w:t>–</w:t>
            </w:r>
          </w:p>
        </w:tc>
        <w:tc>
          <w:tcPr>
            <w:tcW w:w="1134" w:type="dxa"/>
            <w:shd w:val="clear" w:color="auto" w:fill="EEEEEF" w:themeFill="accent4"/>
            <w:noWrap/>
          </w:tcPr>
          <w:p w14:paraId="6292256F" w14:textId="77777777" w:rsidR="00265792" w:rsidRPr="009E10D6" w:rsidRDefault="00265792" w:rsidP="00420523">
            <w:pPr>
              <w:pStyle w:val="ARfintablebodyright"/>
            </w:pPr>
            <w:r>
              <w:t>–</w:t>
            </w:r>
          </w:p>
        </w:tc>
      </w:tr>
      <w:tr w:rsidR="00265792" w:rsidRPr="00BA7805" w14:paraId="492B1D4C" w14:textId="77777777" w:rsidTr="00420523">
        <w:trPr>
          <w:cnfStyle w:val="010000000000" w:firstRow="0" w:lastRow="1" w:firstColumn="0" w:lastColumn="0" w:oddVBand="0" w:evenVBand="0" w:oddHBand="0" w:evenHBand="0" w:firstRowFirstColumn="0" w:firstRowLastColumn="0" w:lastRowFirstColumn="0" w:lastRowLastColumn="0"/>
        </w:trPr>
        <w:tc>
          <w:tcPr>
            <w:tcW w:w="3969" w:type="dxa"/>
          </w:tcPr>
          <w:p w14:paraId="3A8649D4" w14:textId="77777777" w:rsidR="00265792" w:rsidRPr="009E10D6" w:rsidRDefault="00265792" w:rsidP="00420523">
            <w:pPr>
              <w:pStyle w:val="ARfintablebodybold"/>
            </w:pPr>
            <w:r w:rsidRPr="00AD035F">
              <w:t>Total impact</w:t>
            </w:r>
          </w:p>
        </w:tc>
        <w:tc>
          <w:tcPr>
            <w:tcW w:w="1134" w:type="dxa"/>
            <w:shd w:val="clear" w:color="auto" w:fill="EEEEEF" w:themeFill="accent4"/>
            <w:noWrap/>
          </w:tcPr>
          <w:p w14:paraId="4CCB2A86" w14:textId="77777777" w:rsidR="00265792" w:rsidRPr="009E10D6" w:rsidRDefault="00265792" w:rsidP="00420523">
            <w:pPr>
              <w:pStyle w:val="ARfintablebodyrightbold"/>
            </w:pPr>
            <w:r w:rsidRPr="00AD035F">
              <w:t>983.2</w:t>
            </w:r>
          </w:p>
        </w:tc>
        <w:tc>
          <w:tcPr>
            <w:tcW w:w="1134" w:type="dxa"/>
            <w:noWrap/>
          </w:tcPr>
          <w:p w14:paraId="292B2EB9" w14:textId="77777777" w:rsidR="00265792" w:rsidRPr="009E10D6" w:rsidRDefault="00265792" w:rsidP="00420523">
            <w:pPr>
              <w:pStyle w:val="ARfintablebodyrightbold"/>
            </w:pPr>
            <w:r>
              <w:t>–</w:t>
            </w:r>
          </w:p>
        </w:tc>
        <w:tc>
          <w:tcPr>
            <w:tcW w:w="1134" w:type="dxa"/>
            <w:noWrap/>
          </w:tcPr>
          <w:p w14:paraId="78AC3317" w14:textId="77777777" w:rsidR="00265792" w:rsidRPr="009E10D6" w:rsidRDefault="00265792" w:rsidP="00420523">
            <w:pPr>
              <w:pStyle w:val="ARfintablebodyrightbold"/>
            </w:pPr>
            <w:r>
              <w:t>–</w:t>
            </w:r>
          </w:p>
        </w:tc>
        <w:tc>
          <w:tcPr>
            <w:tcW w:w="1134" w:type="dxa"/>
            <w:shd w:val="clear" w:color="auto" w:fill="EEEEEF" w:themeFill="accent4"/>
            <w:noWrap/>
          </w:tcPr>
          <w:p w14:paraId="0130E8EE" w14:textId="77777777" w:rsidR="00265792" w:rsidRDefault="00265792" w:rsidP="00420523">
            <w:pPr>
              <w:pStyle w:val="ARfintablebodyrightbold"/>
            </w:pPr>
            <w:r>
              <w:t>–</w:t>
            </w:r>
          </w:p>
        </w:tc>
        <w:tc>
          <w:tcPr>
            <w:tcW w:w="1134" w:type="dxa"/>
            <w:shd w:val="clear" w:color="auto" w:fill="EEEEEF" w:themeFill="accent4"/>
            <w:noWrap/>
          </w:tcPr>
          <w:p w14:paraId="4C649168" w14:textId="77777777" w:rsidR="00265792" w:rsidRPr="009E10D6" w:rsidRDefault="00265792" w:rsidP="00420523">
            <w:pPr>
              <w:pStyle w:val="ARfintablebodyrightbold"/>
            </w:pPr>
            <w:r>
              <w:t>–</w:t>
            </w:r>
          </w:p>
        </w:tc>
      </w:tr>
    </w:tbl>
    <w:p w14:paraId="160FBBBD" w14:textId="77777777" w:rsidR="00265792" w:rsidRPr="003B78BF" w:rsidRDefault="00265792">
      <w:pPr>
        <w:pStyle w:val="ARfintablefootnote"/>
        <w:rPr>
          <w:lang w:eastAsia="en-AU"/>
        </w:rPr>
      </w:pPr>
      <w:r w:rsidRPr="003B78BF">
        <w:rPr>
          <w:lang w:eastAsia="en-AU"/>
        </w:rPr>
        <w:t>Notes:</w:t>
      </w:r>
    </w:p>
    <w:p w14:paraId="74A1EDF1" w14:textId="77777777" w:rsidR="00265792" w:rsidRDefault="00265792" w:rsidP="00B72FFA">
      <w:pPr>
        <w:pStyle w:val="ARfintablefootnotetabindent"/>
      </w:pPr>
      <w:r>
        <w:t>(</w:t>
      </w:r>
      <w:proofErr w:type="spellStart"/>
      <w:r>
        <w:t>i</w:t>
      </w:r>
      <w:proofErr w:type="spellEnd"/>
      <w:r>
        <w:t xml:space="preserve">) </w:t>
      </w:r>
      <w:r>
        <w:tab/>
        <w:t>All cash and deposits are held in Australian dollars and were held on deposits at fixed and variable interest rates. This item is not subject to any other identified risk sensitivities.</w:t>
      </w:r>
    </w:p>
    <w:p w14:paraId="03321DCE" w14:textId="77777777" w:rsidR="00265792" w:rsidRDefault="00265792" w:rsidP="00B72FFA">
      <w:pPr>
        <w:pStyle w:val="ARfintablefootnotetabindent"/>
      </w:pPr>
      <w:r>
        <w:t xml:space="preserve">(ii) </w:t>
      </w:r>
      <w:r>
        <w:tab/>
        <w:t>The carrying amount is denominated in Australian dollars and is non-interest bearing. This item is not subject to the identified risk sensitivities.</w:t>
      </w:r>
    </w:p>
    <w:p w14:paraId="34AE2700" w14:textId="77777777" w:rsidR="00265792" w:rsidRDefault="00265792" w:rsidP="00B72FFA">
      <w:pPr>
        <w:pStyle w:val="ARfintablefootnotetabindent"/>
      </w:pPr>
      <w:r>
        <w:t xml:space="preserve">(iii) </w:t>
      </w:r>
      <w:r>
        <w:tab/>
        <w:t xml:space="preserve">The total amounts disclosed here exclude statutory amounts, for example, amounts owing to/from Victorian Government and GST input tax credit recoverable and taxes payable. </w:t>
      </w:r>
    </w:p>
    <w:p w14:paraId="181B0991" w14:textId="77777777" w:rsidR="00265792" w:rsidRDefault="00265792" w:rsidP="00B72FFA">
      <w:pPr>
        <w:pStyle w:val="ARfintablefootnotetabindent"/>
      </w:pPr>
      <w:r>
        <w:t xml:space="preserve">(iv) </w:t>
      </w:r>
      <w:r>
        <w:tab/>
        <w:t>Borrowings are denominated in Australian dollars. $527.2 million (2024: $289.7 million) relates to Service concession financial liability and $79.1 million (2024: $81.4 million) relates to lease liabilities.</w:t>
      </w:r>
    </w:p>
    <w:p w14:paraId="604AACA2" w14:textId="77777777" w:rsidR="00265792" w:rsidRDefault="00265792" w:rsidP="00B72FFA">
      <w:pPr>
        <w:pStyle w:val="ARfintablefootnotetabindent"/>
      </w:pPr>
      <w:r>
        <w:t xml:space="preserve">(v) </w:t>
      </w:r>
      <w:r>
        <w:tab/>
        <w:t>Homes Victoria suspended indefinitely the applicable interest rate and CPI for all the remaining client loans from December 2023.</w:t>
      </w:r>
    </w:p>
    <w:p w14:paraId="2BCD9C18" w14:textId="77777777" w:rsidR="00265792" w:rsidRDefault="00265792" w:rsidP="005949D6">
      <w:pPr>
        <w:pStyle w:val="ARbody"/>
        <w:rPr>
          <w:lang w:eastAsia="en-AU"/>
        </w:rPr>
      </w:pPr>
      <w:r>
        <w:br w:type="page"/>
      </w:r>
    </w:p>
    <w:p w14:paraId="09EA0503" w14:textId="77777777" w:rsidR="00265792" w:rsidRPr="00FA2E3E" w:rsidRDefault="00265792" w:rsidP="00B72FFA">
      <w:pPr>
        <w:pStyle w:val="Heading4"/>
        <w:rPr>
          <w:lang w:eastAsia="en-AU"/>
        </w:rPr>
      </w:pPr>
      <w:r w:rsidRPr="00FA2E3E">
        <w:rPr>
          <w:lang w:eastAsia="en-AU"/>
        </w:rPr>
        <w:lastRenderedPageBreak/>
        <w:t>8.2 Contingent assets and contingent liabilities</w:t>
      </w:r>
    </w:p>
    <w:p w14:paraId="71CEF1B8" w14:textId="2966C7A2" w:rsidR="00265792" w:rsidRDefault="00265792" w:rsidP="00B72FFA">
      <w:pPr>
        <w:pStyle w:val="ARfinbody"/>
      </w:pPr>
      <w:r>
        <w:t>Contingent assets and contingent liabilities are not recognised in the balance sheet, but are disclosed by way of a disclosure and, if quantifiable, are stated at nominal value. Contingent assets and liabilities are presented inclusive of</w:t>
      </w:r>
      <w:r w:rsidR="006D00FD">
        <w:t> </w:t>
      </w:r>
      <w:r>
        <w:t>GST receivable or payable respectively.</w:t>
      </w:r>
    </w:p>
    <w:p w14:paraId="2B1C1170" w14:textId="77777777" w:rsidR="00265792" w:rsidRDefault="00265792" w:rsidP="00B72FFA">
      <w:pPr>
        <w:pStyle w:val="Heading5"/>
      </w:pPr>
      <w:r>
        <w:t>Contingent assets</w:t>
      </w:r>
    </w:p>
    <w:p w14:paraId="6ED5B73F" w14:textId="77777777" w:rsidR="00265792" w:rsidRDefault="00265792" w:rsidP="00B72FFA">
      <w:pPr>
        <w:pStyle w:val="ARfinbody"/>
      </w:pPr>
      <w:r>
        <w:t>Contingent assets are possible assets that arise from past events, whose existence will be confirmed only by the occurrence or non-occurrence of one or more uncertain future events not wholly within the control of the entity.</w:t>
      </w:r>
    </w:p>
    <w:p w14:paraId="17E3E99F" w14:textId="77777777" w:rsidR="00265792" w:rsidRDefault="00265792" w:rsidP="00B72FFA">
      <w:pPr>
        <w:pStyle w:val="ARfinbodylargespace"/>
      </w:pPr>
      <w:r>
        <w:t xml:space="preserve">These are classified as either </w:t>
      </w:r>
      <w:r w:rsidRPr="00B72FFA">
        <w:t>quantifiable</w:t>
      </w:r>
      <w:r>
        <w:t>, where the potential economic benefit is known, or non-quantifiable.</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5FFA8735" w14:textId="77777777" w:rsidTr="00225BBD">
        <w:trPr>
          <w:cnfStyle w:val="100000000000" w:firstRow="1" w:lastRow="0" w:firstColumn="0" w:lastColumn="0" w:oddVBand="0" w:evenVBand="0" w:oddHBand="0" w:evenHBand="0" w:firstRowFirstColumn="0" w:firstRowLastColumn="0" w:lastRowFirstColumn="0" w:lastRowLastColumn="0"/>
          <w:tblHeader/>
        </w:trPr>
        <w:tc>
          <w:tcPr>
            <w:tcW w:w="6915" w:type="dxa"/>
            <w:hideMark/>
          </w:tcPr>
          <w:p w14:paraId="1D862473" w14:textId="77777777" w:rsidR="00265792" w:rsidRPr="00BA7805" w:rsidRDefault="00265792">
            <w:pPr>
              <w:pStyle w:val="ARfintablecolhead"/>
              <w:rPr>
                <w:highlight w:val="green"/>
              </w:rPr>
            </w:pPr>
          </w:p>
        </w:tc>
        <w:tc>
          <w:tcPr>
            <w:tcW w:w="1361" w:type="dxa"/>
            <w:shd w:val="clear" w:color="auto" w:fill="EEEEEF" w:themeFill="accent4"/>
            <w:hideMark/>
          </w:tcPr>
          <w:p w14:paraId="3E30FF48" w14:textId="77777777" w:rsidR="00265792" w:rsidRPr="00FA2E3E" w:rsidRDefault="00265792">
            <w:pPr>
              <w:pStyle w:val="ARfintablecolheadright"/>
            </w:pPr>
            <w:r w:rsidRPr="00FA2E3E">
              <w:t>202</w:t>
            </w:r>
            <w:r>
              <w:t>5</w:t>
            </w:r>
          </w:p>
          <w:p w14:paraId="78BE4D23" w14:textId="77777777" w:rsidR="00265792" w:rsidRPr="00FA2E3E" w:rsidRDefault="00265792">
            <w:pPr>
              <w:pStyle w:val="ARfintablecolheadright"/>
            </w:pPr>
            <w:r w:rsidRPr="00FA2E3E">
              <w:t>$M</w:t>
            </w:r>
          </w:p>
        </w:tc>
        <w:tc>
          <w:tcPr>
            <w:tcW w:w="1361" w:type="dxa"/>
            <w:hideMark/>
          </w:tcPr>
          <w:p w14:paraId="37A22BB4" w14:textId="77777777" w:rsidR="00265792" w:rsidRPr="00FA2E3E" w:rsidRDefault="00265792">
            <w:pPr>
              <w:pStyle w:val="ARfintablecolheadright"/>
            </w:pPr>
            <w:r w:rsidRPr="00FA2E3E">
              <w:t>202</w:t>
            </w:r>
            <w:r>
              <w:t>4</w:t>
            </w:r>
          </w:p>
          <w:p w14:paraId="6373791F" w14:textId="77777777" w:rsidR="00265792" w:rsidRPr="00FA2E3E" w:rsidRDefault="00265792">
            <w:pPr>
              <w:pStyle w:val="ARfintablecolheadright"/>
            </w:pPr>
            <w:r w:rsidRPr="00FA2E3E">
              <w:t>$M</w:t>
            </w:r>
          </w:p>
        </w:tc>
      </w:tr>
      <w:tr w:rsidR="00265792" w:rsidRPr="00BA7805" w14:paraId="5AFA1504" w14:textId="77777777" w:rsidTr="00225BBD">
        <w:trPr>
          <w:trHeight w:val="255"/>
        </w:trPr>
        <w:tc>
          <w:tcPr>
            <w:tcW w:w="6915" w:type="dxa"/>
          </w:tcPr>
          <w:p w14:paraId="2921DA24" w14:textId="77777777" w:rsidR="00265792" w:rsidRPr="00BA7805" w:rsidRDefault="00265792" w:rsidP="004E5280">
            <w:pPr>
              <w:pStyle w:val="ARfintablebodybold"/>
              <w:rPr>
                <w:highlight w:val="green"/>
              </w:rPr>
            </w:pPr>
            <w:r w:rsidRPr="0095081D">
              <w:t xml:space="preserve"> Quantifiable contingent assets </w:t>
            </w:r>
          </w:p>
        </w:tc>
        <w:tc>
          <w:tcPr>
            <w:tcW w:w="1361" w:type="dxa"/>
            <w:noWrap/>
          </w:tcPr>
          <w:p w14:paraId="12BA6169" w14:textId="77777777" w:rsidR="00265792" w:rsidRPr="00BA7805" w:rsidRDefault="00265792" w:rsidP="00225BBD">
            <w:pPr>
              <w:pStyle w:val="ARfintablebodyright"/>
              <w:rPr>
                <w:highlight w:val="green"/>
              </w:rPr>
            </w:pPr>
          </w:p>
        </w:tc>
        <w:tc>
          <w:tcPr>
            <w:tcW w:w="1361" w:type="dxa"/>
            <w:noWrap/>
          </w:tcPr>
          <w:p w14:paraId="1337B3D1" w14:textId="77777777" w:rsidR="00265792" w:rsidRPr="00BA7805" w:rsidRDefault="00265792" w:rsidP="00225BBD">
            <w:pPr>
              <w:pStyle w:val="ARfintablebodyright"/>
              <w:rPr>
                <w:highlight w:val="green"/>
              </w:rPr>
            </w:pPr>
          </w:p>
        </w:tc>
      </w:tr>
      <w:tr w:rsidR="00265792" w:rsidRPr="00BA7805" w14:paraId="64169F38" w14:textId="77777777" w:rsidTr="00225BBD">
        <w:trPr>
          <w:trHeight w:val="255"/>
        </w:trPr>
        <w:tc>
          <w:tcPr>
            <w:tcW w:w="6915" w:type="dxa"/>
          </w:tcPr>
          <w:p w14:paraId="47052E38" w14:textId="77777777" w:rsidR="00265792" w:rsidRPr="00BA7805" w:rsidRDefault="00265792" w:rsidP="004E5280">
            <w:pPr>
              <w:pStyle w:val="ARfintablebody"/>
              <w:rPr>
                <w:highlight w:val="green"/>
              </w:rPr>
            </w:pPr>
            <w:r w:rsidRPr="0095081D">
              <w:t xml:space="preserve"> Details and estimates of contingent assets are as follows: </w:t>
            </w:r>
          </w:p>
        </w:tc>
        <w:tc>
          <w:tcPr>
            <w:tcW w:w="1361" w:type="dxa"/>
            <w:noWrap/>
          </w:tcPr>
          <w:p w14:paraId="2CCAE62C" w14:textId="77777777" w:rsidR="00265792" w:rsidRPr="00BA7805" w:rsidRDefault="00265792" w:rsidP="00225BBD">
            <w:pPr>
              <w:pStyle w:val="ARfintablebodyright"/>
              <w:rPr>
                <w:highlight w:val="green"/>
              </w:rPr>
            </w:pPr>
          </w:p>
        </w:tc>
        <w:tc>
          <w:tcPr>
            <w:tcW w:w="1361" w:type="dxa"/>
            <w:noWrap/>
          </w:tcPr>
          <w:p w14:paraId="7EECF8ED" w14:textId="77777777" w:rsidR="00265792" w:rsidRPr="00BA7805" w:rsidRDefault="00265792" w:rsidP="00225BBD">
            <w:pPr>
              <w:pStyle w:val="ARfintablebodyright"/>
              <w:rPr>
                <w:highlight w:val="green"/>
              </w:rPr>
            </w:pPr>
          </w:p>
        </w:tc>
      </w:tr>
      <w:tr w:rsidR="00265792" w:rsidRPr="00BA7805" w14:paraId="60E6545B" w14:textId="77777777" w:rsidTr="00225BBD">
        <w:trPr>
          <w:trHeight w:val="255"/>
        </w:trPr>
        <w:tc>
          <w:tcPr>
            <w:tcW w:w="6915" w:type="dxa"/>
          </w:tcPr>
          <w:p w14:paraId="52E722C0" w14:textId="77777777" w:rsidR="00265792" w:rsidRPr="004E5280" w:rsidRDefault="00265792" w:rsidP="00265792">
            <w:pPr>
              <w:pStyle w:val="ARfinnumberalpha1"/>
              <w:numPr>
                <w:ilvl w:val="0"/>
                <w:numId w:val="14"/>
              </w:numPr>
            </w:pPr>
            <w:r w:rsidRPr="004E5280">
              <w:t>Bank guarantee held for: building contracts</w:t>
            </w:r>
          </w:p>
        </w:tc>
        <w:tc>
          <w:tcPr>
            <w:tcW w:w="1361" w:type="dxa"/>
            <w:shd w:val="clear" w:color="auto" w:fill="EEEEEF" w:themeFill="accent4"/>
            <w:noWrap/>
          </w:tcPr>
          <w:p w14:paraId="082CFFD0" w14:textId="77777777" w:rsidR="00265792" w:rsidRPr="00BA7805" w:rsidRDefault="00265792" w:rsidP="00225BBD">
            <w:pPr>
              <w:pStyle w:val="ARfintablebodyright"/>
              <w:rPr>
                <w:highlight w:val="green"/>
              </w:rPr>
            </w:pPr>
            <w:r w:rsidRPr="0018259C">
              <w:t>52.6</w:t>
            </w:r>
          </w:p>
        </w:tc>
        <w:tc>
          <w:tcPr>
            <w:tcW w:w="1361" w:type="dxa"/>
            <w:noWrap/>
          </w:tcPr>
          <w:p w14:paraId="415E7CCB" w14:textId="77777777" w:rsidR="00265792" w:rsidRPr="00BA7805" w:rsidRDefault="00265792" w:rsidP="00225BBD">
            <w:pPr>
              <w:pStyle w:val="ARfintablebodyright"/>
              <w:rPr>
                <w:highlight w:val="green"/>
              </w:rPr>
            </w:pPr>
            <w:r w:rsidRPr="0018259C">
              <w:t>64.1</w:t>
            </w:r>
          </w:p>
        </w:tc>
      </w:tr>
      <w:tr w:rsidR="00265792" w:rsidRPr="00BA7805" w14:paraId="6A35248D" w14:textId="77777777" w:rsidTr="00225BBD">
        <w:trPr>
          <w:trHeight w:val="255"/>
        </w:trPr>
        <w:tc>
          <w:tcPr>
            <w:tcW w:w="6915" w:type="dxa"/>
          </w:tcPr>
          <w:p w14:paraId="7F3F1460" w14:textId="2753DCE8" w:rsidR="00265792" w:rsidRPr="004E5280" w:rsidRDefault="00265792" w:rsidP="004E5280">
            <w:pPr>
              <w:pStyle w:val="ARfinnumberalpha1"/>
            </w:pPr>
            <w:r w:rsidRPr="004E5280">
              <w:t xml:space="preserve">Reimbursement </w:t>
            </w:r>
            <w:proofErr w:type="gramStart"/>
            <w:r w:rsidRPr="004E5280">
              <w:t>claim</w:t>
            </w:r>
            <w:proofErr w:type="gramEnd"/>
            <w:r w:rsidRPr="004E5280">
              <w:t xml:space="preserve"> for the work undertaken by the landlord to </w:t>
            </w:r>
            <w:r w:rsidR="004A3ECF">
              <w:t xml:space="preserve">The </w:t>
            </w:r>
            <w:r w:rsidRPr="004E5280">
              <w:t>Orange Door</w:t>
            </w:r>
            <w:r>
              <w:t> </w:t>
            </w:r>
            <w:r w:rsidRPr="004E5280">
              <w:t>site</w:t>
            </w:r>
          </w:p>
        </w:tc>
        <w:tc>
          <w:tcPr>
            <w:tcW w:w="1361" w:type="dxa"/>
            <w:shd w:val="clear" w:color="auto" w:fill="EEEEEF" w:themeFill="accent4"/>
            <w:noWrap/>
          </w:tcPr>
          <w:p w14:paraId="31FDA79A" w14:textId="77777777" w:rsidR="00265792" w:rsidRPr="00BA7805" w:rsidRDefault="00265792" w:rsidP="00225BBD">
            <w:pPr>
              <w:pStyle w:val="ARfintablebodyright"/>
              <w:rPr>
                <w:highlight w:val="green"/>
              </w:rPr>
            </w:pPr>
            <w:r>
              <w:t>–</w:t>
            </w:r>
          </w:p>
        </w:tc>
        <w:tc>
          <w:tcPr>
            <w:tcW w:w="1361" w:type="dxa"/>
            <w:noWrap/>
          </w:tcPr>
          <w:p w14:paraId="6B139B2E" w14:textId="77777777" w:rsidR="00265792" w:rsidRPr="00BA7805" w:rsidRDefault="00265792" w:rsidP="00225BBD">
            <w:pPr>
              <w:pStyle w:val="ARfintablebodyright"/>
              <w:rPr>
                <w:highlight w:val="green"/>
              </w:rPr>
            </w:pPr>
            <w:r w:rsidRPr="0018259C">
              <w:t>0.1</w:t>
            </w:r>
          </w:p>
        </w:tc>
      </w:tr>
      <w:tr w:rsidR="00265792" w:rsidRPr="00BA7805" w14:paraId="57B30080" w14:textId="77777777" w:rsidTr="00225BBD">
        <w:trPr>
          <w:cnfStyle w:val="010000000000" w:firstRow="0" w:lastRow="1" w:firstColumn="0" w:lastColumn="0" w:oddVBand="0" w:evenVBand="0" w:oddHBand="0" w:evenHBand="0" w:firstRowFirstColumn="0" w:firstRowLastColumn="0" w:lastRowFirstColumn="0" w:lastRowLastColumn="0"/>
          <w:trHeight w:val="255"/>
        </w:trPr>
        <w:tc>
          <w:tcPr>
            <w:tcW w:w="6915" w:type="dxa"/>
          </w:tcPr>
          <w:p w14:paraId="13C82458" w14:textId="77777777" w:rsidR="00265792" w:rsidRPr="00BA7805" w:rsidRDefault="00265792" w:rsidP="004E5280">
            <w:pPr>
              <w:pStyle w:val="ARfintablebodybold"/>
              <w:rPr>
                <w:highlight w:val="green"/>
              </w:rPr>
            </w:pPr>
            <w:r w:rsidRPr="004E5280">
              <w:t>Total</w:t>
            </w:r>
          </w:p>
        </w:tc>
        <w:tc>
          <w:tcPr>
            <w:tcW w:w="1361" w:type="dxa"/>
            <w:shd w:val="clear" w:color="auto" w:fill="EEEEEF" w:themeFill="accent4"/>
            <w:noWrap/>
          </w:tcPr>
          <w:p w14:paraId="002705C3" w14:textId="77777777" w:rsidR="00265792" w:rsidRPr="00BA7805" w:rsidRDefault="00265792" w:rsidP="004E5280">
            <w:pPr>
              <w:pStyle w:val="ARfintablebodyrightbold"/>
              <w:rPr>
                <w:highlight w:val="green"/>
              </w:rPr>
            </w:pPr>
            <w:r w:rsidRPr="0018259C">
              <w:t>52.6</w:t>
            </w:r>
          </w:p>
        </w:tc>
        <w:tc>
          <w:tcPr>
            <w:tcW w:w="1361" w:type="dxa"/>
            <w:noWrap/>
          </w:tcPr>
          <w:p w14:paraId="7414A962" w14:textId="77777777" w:rsidR="00265792" w:rsidRPr="00BA7805" w:rsidRDefault="00265792" w:rsidP="004E5280">
            <w:pPr>
              <w:pStyle w:val="ARfintablebodyrightbold"/>
              <w:rPr>
                <w:highlight w:val="green"/>
              </w:rPr>
            </w:pPr>
            <w:r w:rsidRPr="0018259C">
              <w:t>64.2</w:t>
            </w:r>
          </w:p>
        </w:tc>
      </w:tr>
    </w:tbl>
    <w:p w14:paraId="092705F2" w14:textId="77777777" w:rsidR="00265792" w:rsidRDefault="00265792" w:rsidP="00B72FFA">
      <w:pPr>
        <w:pStyle w:val="Heading5"/>
        <w:rPr>
          <w:lang w:eastAsia="en-AU"/>
        </w:rPr>
      </w:pPr>
      <w:r w:rsidRPr="000808A0">
        <w:rPr>
          <w:lang w:eastAsia="en-AU"/>
        </w:rPr>
        <w:t>Contingent liabilities</w:t>
      </w:r>
    </w:p>
    <w:p w14:paraId="391BC76B" w14:textId="77777777" w:rsidR="00265792" w:rsidRDefault="00265792" w:rsidP="00B72FFA">
      <w:pPr>
        <w:pStyle w:val="ARfinbody"/>
      </w:pPr>
      <w:r>
        <w:t>Contingent liabilities are:</w:t>
      </w:r>
    </w:p>
    <w:p w14:paraId="79BE17AE" w14:textId="77777777" w:rsidR="00265792" w:rsidRDefault="00265792" w:rsidP="00B72FFA">
      <w:pPr>
        <w:pStyle w:val="ARfinbullet1"/>
      </w:pPr>
      <w:r>
        <w:t xml:space="preserve">possible obligations that arise from past events, whose existence will be confirmed only by the occurrence or </w:t>
      </w:r>
      <w:r>
        <w:br/>
        <w:t>non-occurrence of one or more uncertain future events not wholly within the control of the entity, or</w:t>
      </w:r>
    </w:p>
    <w:p w14:paraId="0C9F56D0" w14:textId="77777777" w:rsidR="00265792" w:rsidRDefault="00265792" w:rsidP="00B72FFA">
      <w:pPr>
        <w:pStyle w:val="ARfinbullet1"/>
      </w:pPr>
      <w:r>
        <w:t>present obligations that arise from past events but are not recognised because:</w:t>
      </w:r>
    </w:p>
    <w:p w14:paraId="57D232EB" w14:textId="55AF869B" w:rsidR="00265792" w:rsidRDefault="00265792" w:rsidP="00B72FFA">
      <w:pPr>
        <w:pStyle w:val="ARfinbullet2"/>
      </w:pPr>
      <w:r>
        <w:t>it is not probable that an outflow of resources embodying economic benefits will be required to settle the</w:t>
      </w:r>
      <w:r w:rsidR="006D00FD">
        <w:t> </w:t>
      </w:r>
      <w:r>
        <w:t>obligations, or</w:t>
      </w:r>
    </w:p>
    <w:p w14:paraId="35F8348B" w14:textId="77777777" w:rsidR="00265792" w:rsidRDefault="00265792" w:rsidP="00B72FFA">
      <w:pPr>
        <w:pStyle w:val="ARfinbullet2"/>
      </w:pPr>
      <w:r>
        <w:t>the amount of the obligations cannot be measured with sufficient reliability.</w:t>
      </w:r>
    </w:p>
    <w:p w14:paraId="0E0483CD" w14:textId="77777777" w:rsidR="00265792" w:rsidRPr="00B72FFA" w:rsidRDefault="00265792" w:rsidP="00B72FFA">
      <w:pPr>
        <w:pStyle w:val="ARfinbodylargespace"/>
      </w:pPr>
      <w:r>
        <w:t>Contingent liabilities are also classified as either quantifiable or non-quantifiable.</w:t>
      </w:r>
    </w:p>
    <w:tbl>
      <w:tblPr>
        <w:tblStyle w:val="TableGrid"/>
        <w:tblW w:w="9637" w:type="dxa"/>
        <w:tblLayout w:type="fixed"/>
        <w:tblLook w:val="06E0" w:firstRow="1" w:lastRow="1" w:firstColumn="1" w:lastColumn="0" w:noHBand="1" w:noVBand="1"/>
      </w:tblPr>
      <w:tblGrid>
        <w:gridCol w:w="6915"/>
        <w:gridCol w:w="1361"/>
        <w:gridCol w:w="1361"/>
      </w:tblGrid>
      <w:tr w:rsidR="00265792" w:rsidRPr="00BA7805" w14:paraId="0D920CFB" w14:textId="77777777" w:rsidTr="00225BBD">
        <w:trPr>
          <w:cnfStyle w:val="100000000000" w:firstRow="1" w:lastRow="0" w:firstColumn="0" w:lastColumn="0" w:oddVBand="0" w:evenVBand="0" w:oddHBand="0" w:evenHBand="0" w:firstRowFirstColumn="0" w:firstRowLastColumn="0" w:lastRowFirstColumn="0" w:lastRowLastColumn="0"/>
          <w:trHeight w:val="255"/>
          <w:tblHeader/>
        </w:trPr>
        <w:tc>
          <w:tcPr>
            <w:tcW w:w="6915" w:type="dxa"/>
            <w:hideMark/>
          </w:tcPr>
          <w:p w14:paraId="5E411800" w14:textId="77777777" w:rsidR="00265792" w:rsidRPr="00BA7805" w:rsidRDefault="00265792">
            <w:pPr>
              <w:pStyle w:val="ARfintablecolhead"/>
              <w:rPr>
                <w:highlight w:val="green"/>
              </w:rPr>
            </w:pPr>
          </w:p>
        </w:tc>
        <w:tc>
          <w:tcPr>
            <w:tcW w:w="1361" w:type="dxa"/>
            <w:shd w:val="clear" w:color="auto" w:fill="EEEEEF" w:themeFill="accent4"/>
            <w:hideMark/>
          </w:tcPr>
          <w:p w14:paraId="0242B19D" w14:textId="77777777" w:rsidR="00265792" w:rsidRPr="00B90B34" w:rsidRDefault="00265792">
            <w:pPr>
              <w:pStyle w:val="ARfintablecolheadright"/>
            </w:pPr>
            <w:r w:rsidRPr="00B90B34">
              <w:t>202</w:t>
            </w:r>
            <w:r>
              <w:t>5</w:t>
            </w:r>
          </w:p>
          <w:p w14:paraId="53A47FF1" w14:textId="77777777" w:rsidR="00265792" w:rsidRPr="00B90B34" w:rsidRDefault="00265792">
            <w:pPr>
              <w:pStyle w:val="ARfintablecolheadright"/>
            </w:pPr>
            <w:r w:rsidRPr="00B90B34">
              <w:t>$M</w:t>
            </w:r>
          </w:p>
        </w:tc>
        <w:tc>
          <w:tcPr>
            <w:tcW w:w="1361" w:type="dxa"/>
            <w:hideMark/>
          </w:tcPr>
          <w:p w14:paraId="68CD2B53" w14:textId="77777777" w:rsidR="00265792" w:rsidRPr="00B90B34" w:rsidRDefault="00265792">
            <w:pPr>
              <w:pStyle w:val="ARfintablecolheadright"/>
            </w:pPr>
            <w:r w:rsidRPr="00B90B34">
              <w:t>202</w:t>
            </w:r>
            <w:r>
              <w:t>4</w:t>
            </w:r>
          </w:p>
          <w:p w14:paraId="2203F9C7" w14:textId="77777777" w:rsidR="00265792" w:rsidRPr="00B90B34" w:rsidRDefault="00265792">
            <w:pPr>
              <w:pStyle w:val="ARfintablecolheadright"/>
            </w:pPr>
            <w:r w:rsidRPr="00B90B34">
              <w:t>$M</w:t>
            </w:r>
          </w:p>
        </w:tc>
      </w:tr>
      <w:tr w:rsidR="00265792" w:rsidRPr="00BA7805" w14:paraId="6E33BB31" w14:textId="77777777" w:rsidTr="00225BBD">
        <w:trPr>
          <w:trHeight w:val="255"/>
        </w:trPr>
        <w:tc>
          <w:tcPr>
            <w:tcW w:w="6915" w:type="dxa"/>
          </w:tcPr>
          <w:p w14:paraId="3708A9D0" w14:textId="77777777" w:rsidR="00265792" w:rsidRPr="00BA7805" w:rsidRDefault="00265792" w:rsidP="00225BBD">
            <w:pPr>
              <w:pStyle w:val="ARfintablebodybold"/>
              <w:rPr>
                <w:highlight w:val="green"/>
              </w:rPr>
            </w:pPr>
            <w:r w:rsidRPr="007D53AC">
              <w:t xml:space="preserve"> Quantifiable contingent liabilities </w:t>
            </w:r>
          </w:p>
        </w:tc>
        <w:tc>
          <w:tcPr>
            <w:tcW w:w="1361" w:type="dxa"/>
            <w:noWrap/>
          </w:tcPr>
          <w:p w14:paraId="626765FB" w14:textId="77777777" w:rsidR="00265792" w:rsidRPr="00BA7805" w:rsidRDefault="00265792" w:rsidP="004E5280">
            <w:pPr>
              <w:pStyle w:val="ARfintablebodyrightbold"/>
              <w:rPr>
                <w:highlight w:val="green"/>
              </w:rPr>
            </w:pPr>
          </w:p>
        </w:tc>
        <w:tc>
          <w:tcPr>
            <w:tcW w:w="1361" w:type="dxa"/>
            <w:noWrap/>
          </w:tcPr>
          <w:p w14:paraId="33C02AB9" w14:textId="77777777" w:rsidR="00265792" w:rsidRPr="00BA7805" w:rsidRDefault="00265792" w:rsidP="004E5280">
            <w:pPr>
              <w:pStyle w:val="ARfintablebodyrightbold"/>
              <w:rPr>
                <w:highlight w:val="green"/>
              </w:rPr>
            </w:pPr>
          </w:p>
        </w:tc>
      </w:tr>
      <w:tr w:rsidR="00265792" w:rsidRPr="00BA7805" w14:paraId="3A613D15" w14:textId="77777777" w:rsidTr="00225BBD">
        <w:trPr>
          <w:trHeight w:val="255"/>
        </w:trPr>
        <w:tc>
          <w:tcPr>
            <w:tcW w:w="6915" w:type="dxa"/>
          </w:tcPr>
          <w:p w14:paraId="51A14BA6" w14:textId="77777777" w:rsidR="00265792" w:rsidRPr="004E5280" w:rsidRDefault="00265792" w:rsidP="00265792">
            <w:pPr>
              <w:pStyle w:val="ARfinnumberalpha1"/>
              <w:numPr>
                <w:ilvl w:val="0"/>
                <w:numId w:val="15"/>
              </w:numPr>
              <w:spacing w:before="60"/>
            </w:pPr>
            <w:r w:rsidRPr="004E5280">
              <w:t xml:space="preserve">The department has estimated that potential liability exists in respect of </w:t>
            </w:r>
            <w:proofErr w:type="gramStart"/>
            <w:r w:rsidRPr="004E5280">
              <w:t>a number of</w:t>
            </w:r>
            <w:proofErr w:type="gramEnd"/>
            <w:r w:rsidRPr="004E5280">
              <w:t xml:space="preserve"> legal actions instigated by clients and their representatives, employees and others, and other contractual liabilities.</w:t>
            </w:r>
          </w:p>
        </w:tc>
        <w:tc>
          <w:tcPr>
            <w:tcW w:w="1361" w:type="dxa"/>
            <w:shd w:val="clear" w:color="auto" w:fill="EEEEEF" w:themeFill="accent4"/>
            <w:noWrap/>
          </w:tcPr>
          <w:p w14:paraId="33DFFB18" w14:textId="77777777" w:rsidR="00265792" w:rsidRPr="00BA7805" w:rsidRDefault="00265792" w:rsidP="00225BBD">
            <w:pPr>
              <w:pStyle w:val="ARfintablebodyright"/>
              <w:rPr>
                <w:highlight w:val="green"/>
              </w:rPr>
            </w:pPr>
            <w:r>
              <w:t>–</w:t>
            </w:r>
          </w:p>
        </w:tc>
        <w:tc>
          <w:tcPr>
            <w:tcW w:w="1361" w:type="dxa"/>
            <w:noWrap/>
          </w:tcPr>
          <w:p w14:paraId="32B08EC0" w14:textId="77777777" w:rsidR="00265792" w:rsidRPr="00BA7805" w:rsidRDefault="00265792" w:rsidP="00225BBD">
            <w:pPr>
              <w:pStyle w:val="ARfintablebodyright"/>
              <w:rPr>
                <w:highlight w:val="green"/>
              </w:rPr>
            </w:pPr>
            <w:r w:rsidRPr="000171F9">
              <w:t>0.3</w:t>
            </w:r>
          </w:p>
        </w:tc>
      </w:tr>
      <w:tr w:rsidR="00265792" w:rsidRPr="00BA7805" w14:paraId="2374F0E0" w14:textId="77777777" w:rsidTr="00225BBD">
        <w:trPr>
          <w:cnfStyle w:val="010000000000" w:firstRow="0" w:lastRow="1" w:firstColumn="0" w:lastColumn="0" w:oddVBand="0" w:evenVBand="0" w:oddHBand="0" w:evenHBand="0" w:firstRowFirstColumn="0" w:firstRowLastColumn="0" w:lastRowFirstColumn="0" w:lastRowLastColumn="0"/>
          <w:trHeight w:val="255"/>
        </w:trPr>
        <w:tc>
          <w:tcPr>
            <w:tcW w:w="6915" w:type="dxa"/>
          </w:tcPr>
          <w:p w14:paraId="3F712698" w14:textId="77777777" w:rsidR="00265792" w:rsidRPr="00BA7805" w:rsidRDefault="00265792" w:rsidP="00225BBD">
            <w:pPr>
              <w:pStyle w:val="ARfintablebodybold"/>
              <w:rPr>
                <w:highlight w:val="green"/>
              </w:rPr>
            </w:pPr>
            <w:r w:rsidRPr="007D53AC">
              <w:t xml:space="preserve">Total </w:t>
            </w:r>
          </w:p>
        </w:tc>
        <w:tc>
          <w:tcPr>
            <w:tcW w:w="1361" w:type="dxa"/>
            <w:shd w:val="clear" w:color="auto" w:fill="EEEEEF" w:themeFill="accent4"/>
            <w:noWrap/>
          </w:tcPr>
          <w:p w14:paraId="72E2787F" w14:textId="77777777" w:rsidR="00265792" w:rsidRPr="00BA7805" w:rsidRDefault="00265792" w:rsidP="00225BBD">
            <w:pPr>
              <w:pStyle w:val="ARfintablebodyrightbold"/>
              <w:rPr>
                <w:highlight w:val="green"/>
              </w:rPr>
            </w:pPr>
            <w:r>
              <w:t>–</w:t>
            </w:r>
          </w:p>
        </w:tc>
        <w:tc>
          <w:tcPr>
            <w:tcW w:w="1361" w:type="dxa"/>
            <w:noWrap/>
          </w:tcPr>
          <w:p w14:paraId="753593D3" w14:textId="77777777" w:rsidR="00265792" w:rsidRPr="00BA7805" w:rsidRDefault="00265792" w:rsidP="00225BBD">
            <w:pPr>
              <w:pStyle w:val="ARfintablebodyrightbold"/>
              <w:rPr>
                <w:highlight w:val="green"/>
              </w:rPr>
            </w:pPr>
            <w:r w:rsidRPr="000171F9">
              <w:t>0.3</w:t>
            </w:r>
          </w:p>
        </w:tc>
      </w:tr>
    </w:tbl>
    <w:p w14:paraId="58499884" w14:textId="77777777" w:rsidR="00265792" w:rsidRDefault="00265792" w:rsidP="00ED1129">
      <w:pPr>
        <w:pStyle w:val="Heading6"/>
      </w:pPr>
      <w:r>
        <w:t>Non-quantifiable contingent liabilities</w:t>
      </w:r>
    </w:p>
    <w:p w14:paraId="1A6CE350" w14:textId="77777777" w:rsidR="00265792" w:rsidRDefault="00265792" w:rsidP="00ED1129">
      <w:pPr>
        <w:pStyle w:val="ARfinbody"/>
      </w:pPr>
      <w:r>
        <w:t xml:space="preserve">From time to time the department </w:t>
      </w:r>
      <w:proofErr w:type="gramStart"/>
      <w:r>
        <w:t>enters into</w:t>
      </w:r>
      <w:proofErr w:type="gramEnd"/>
      <w:r>
        <w:t xml:space="preserve"> arrangements with other parties to compensate them for losses they might incur </w:t>
      </w:r>
      <w:proofErr w:type="gramStart"/>
      <w:r>
        <w:t>as a result of</w:t>
      </w:r>
      <w:proofErr w:type="gramEnd"/>
      <w:r>
        <w:t xml:space="preserve"> transactions they </w:t>
      </w:r>
      <w:proofErr w:type="gramStart"/>
      <w:r>
        <w:t>enter into</w:t>
      </w:r>
      <w:proofErr w:type="gramEnd"/>
      <w:r>
        <w:t xml:space="preserve">. The arrangements are evaluated to establish whether they represent onerous contracts, contingent liabilities or whether they are executory in nature. </w:t>
      </w:r>
    </w:p>
    <w:p w14:paraId="5E5921FE" w14:textId="551633B8" w:rsidR="00265792" w:rsidRDefault="00265792" w:rsidP="00ED1129">
      <w:pPr>
        <w:pStyle w:val="ARfinbody"/>
      </w:pPr>
      <w:r>
        <w:t xml:space="preserve">There are </w:t>
      </w:r>
      <w:proofErr w:type="gramStart"/>
      <w:r>
        <w:t>a number of</w:t>
      </w:r>
      <w:proofErr w:type="gramEnd"/>
      <w:r>
        <w:t xml:space="preserve"> litigations under way at balance date, the details of which are not disclosed in order not to prejudice the cases. Contingent liabilities are not secured over any of the assets of the </w:t>
      </w:r>
      <w:r w:rsidR="004A3ECF">
        <w:t>d</w:t>
      </w:r>
      <w:r>
        <w:t>epartment.</w:t>
      </w:r>
    </w:p>
    <w:p w14:paraId="1C79F461" w14:textId="77777777" w:rsidR="00265792" w:rsidRDefault="00265792" w:rsidP="00ED1129">
      <w:pPr>
        <w:pStyle w:val="Heading6"/>
      </w:pPr>
      <w:r>
        <w:t>Insurance claims</w:t>
      </w:r>
    </w:p>
    <w:p w14:paraId="0DA0DE52" w14:textId="77777777" w:rsidR="00265792" w:rsidRDefault="00265792" w:rsidP="00ED1129">
      <w:pPr>
        <w:pStyle w:val="ARfinbody"/>
      </w:pPr>
      <w:r>
        <w:t xml:space="preserve">The department engaged the Victorian Managed Insurance Authority (VMIA) under a claims administration agreement to manage its insurance arrangements, including those related to self-insured historical abuse claims that are civil in nature. </w:t>
      </w:r>
    </w:p>
    <w:p w14:paraId="6F7DA24A" w14:textId="77777777" w:rsidR="00265792" w:rsidRDefault="00265792" w:rsidP="00ED1129">
      <w:pPr>
        <w:pStyle w:val="ARfinbody"/>
      </w:pPr>
      <w:r>
        <w:t xml:space="preserve">For self-insured historical abuse claims, the department has been served with </w:t>
      </w:r>
      <w:proofErr w:type="gramStart"/>
      <w:r>
        <w:t>a number of</w:t>
      </w:r>
      <w:proofErr w:type="gramEnd"/>
      <w:r>
        <w:t xml:space="preserve"> claims and the amount provided for historical abuse claims is based on assessed claims lodged on the basis that these represent present obligations in line with the requirements of AASB 137.</w:t>
      </w:r>
    </w:p>
    <w:p w14:paraId="41C7DB0E" w14:textId="77777777" w:rsidR="00265792" w:rsidRDefault="00265792" w:rsidP="00ED1129">
      <w:pPr>
        <w:pStyle w:val="ARfinbody"/>
      </w:pPr>
      <w:r>
        <w:t xml:space="preserve">Possible future claims may or may not arise from future claimants and these possible liabilities can only be confirmed by claims being made and subsequent assessment. Given these circumstances, it is impracticable to accurately quantify the full financial effects of these potential future claims. </w:t>
      </w:r>
    </w:p>
    <w:p w14:paraId="2B2B90C3" w14:textId="77777777" w:rsidR="00265792" w:rsidRDefault="00265792" w:rsidP="004F3B5E">
      <w:pPr>
        <w:pStyle w:val="Heading4"/>
      </w:pPr>
      <w:r>
        <w:lastRenderedPageBreak/>
        <w:t xml:space="preserve">8.3 Fair value determination </w:t>
      </w:r>
    </w:p>
    <w:p w14:paraId="415D592A" w14:textId="77777777" w:rsidR="00265792" w:rsidRDefault="00265792" w:rsidP="004F3B5E">
      <w:pPr>
        <w:pStyle w:val="Heading5"/>
      </w:pPr>
      <w:r>
        <w:t>Significant judgement: Fair value measurements of assets and liabilities</w:t>
      </w:r>
    </w:p>
    <w:p w14:paraId="35326F4F" w14:textId="77777777" w:rsidR="00265792" w:rsidRDefault="00265792" w:rsidP="00ED1129">
      <w:pPr>
        <w:pStyle w:val="ARfinbody"/>
      </w:pPr>
      <w:r>
        <w:t>Fair value determination requires judgement and the use of assumptions. This section discloses the most significant assumptions used in determining fair values. Changes to assumptions could have a material impact on the results and financial position of the department.</w:t>
      </w:r>
    </w:p>
    <w:p w14:paraId="6AE4F560" w14:textId="77777777" w:rsidR="00265792" w:rsidRDefault="00265792" w:rsidP="00ED1129">
      <w:pPr>
        <w:pStyle w:val="ARfinbody"/>
      </w:pPr>
      <w:r>
        <w:t xml:space="preserve">This section sets out information on how the department determined fair value for financial reporting purposes. Fair value is the price that would be received to sell an asset or paid to transfer a liability in an orderly transaction between market participants at the measurement date. </w:t>
      </w:r>
    </w:p>
    <w:p w14:paraId="6CA64F3F" w14:textId="77777777" w:rsidR="00265792" w:rsidRDefault="00265792" w:rsidP="00ED1129">
      <w:pPr>
        <w:pStyle w:val="ARfinbody"/>
      </w:pPr>
      <w:r>
        <w:t xml:space="preserve">The following assets and liabilities are carried at fair value: </w:t>
      </w:r>
    </w:p>
    <w:p w14:paraId="433B08F7" w14:textId="77777777" w:rsidR="00265792" w:rsidRDefault="00265792" w:rsidP="004F3B5E">
      <w:pPr>
        <w:pStyle w:val="ARfinbullet1"/>
      </w:pPr>
      <w:r>
        <w:t>financial assets and liabilities at fair value through profit or loss</w:t>
      </w:r>
    </w:p>
    <w:p w14:paraId="4AD3C6EB" w14:textId="5C73BBD3" w:rsidR="00265792" w:rsidRDefault="00265792" w:rsidP="004F3B5E">
      <w:pPr>
        <w:pStyle w:val="ARfinbullet1"/>
      </w:pPr>
      <w:r>
        <w:t>financial assets at fair value through other comprehensive income land, buildings, infrastructure, plant and equipment</w:t>
      </w:r>
      <w:r w:rsidR="004A3ECF">
        <w:t>.</w:t>
      </w:r>
    </w:p>
    <w:p w14:paraId="39830162" w14:textId="77777777" w:rsidR="00265792" w:rsidRDefault="00265792" w:rsidP="00ED1129">
      <w:pPr>
        <w:pStyle w:val="ARfinbody"/>
      </w:pPr>
      <w:r>
        <w:t xml:space="preserve">In addition, the fair values of other assets and liabilities which are carried at amortised cost also need to be determined for disclosure purposes. </w:t>
      </w:r>
    </w:p>
    <w:p w14:paraId="71D8E889" w14:textId="77777777" w:rsidR="00265792" w:rsidRDefault="00265792" w:rsidP="00ED1129">
      <w:pPr>
        <w:pStyle w:val="ARfinbody"/>
      </w:pPr>
      <w:r>
        <w:t xml:space="preserve">The department determines the policies and procedures for determining fair values for both financial and non-financial assets and liabilities as required. </w:t>
      </w:r>
    </w:p>
    <w:p w14:paraId="295DCB1A" w14:textId="77777777" w:rsidR="00265792" w:rsidRDefault="00265792" w:rsidP="004F3B5E">
      <w:pPr>
        <w:pStyle w:val="Heading5"/>
      </w:pPr>
      <w:r>
        <w:t>Fair value hierarchy</w:t>
      </w:r>
    </w:p>
    <w:p w14:paraId="0E457DB0" w14:textId="77777777" w:rsidR="00265792" w:rsidRDefault="00265792" w:rsidP="00ED1129">
      <w:pPr>
        <w:pStyle w:val="ARfinbody"/>
      </w:pPr>
      <w:r>
        <w:t xml:space="preserve">In determining fair values, </w:t>
      </w:r>
      <w:proofErr w:type="gramStart"/>
      <w:r>
        <w:t>a number of</w:t>
      </w:r>
      <w:proofErr w:type="gramEnd"/>
      <w:r>
        <w:t xml:space="preserve"> inputs are used. To increase consistency and comparability in the financial statements, these inputs are categorised into three levels, also known as the fair value hierarchy. The levels are as follows:</w:t>
      </w:r>
    </w:p>
    <w:p w14:paraId="1AF3893B" w14:textId="77777777" w:rsidR="00265792" w:rsidRDefault="00265792" w:rsidP="004F3B5E">
      <w:pPr>
        <w:pStyle w:val="ARfinbullet1"/>
      </w:pPr>
      <w:r>
        <w:t>Level 1 – Quoted (unadjusted) market prices in active markets for identical assets or liabilities</w:t>
      </w:r>
    </w:p>
    <w:p w14:paraId="0BE44A12" w14:textId="77777777" w:rsidR="00265792" w:rsidRDefault="00265792" w:rsidP="004F3B5E">
      <w:pPr>
        <w:pStyle w:val="ARfinbullet1"/>
      </w:pPr>
      <w:r>
        <w:t>Level 2 – Valuation techniques for which the lowest level input that is significant to the fair value measurement is directly or indirectly observable</w:t>
      </w:r>
    </w:p>
    <w:p w14:paraId="4FFA3967" w14:textId="4163F3D4" w:rsidR="00265792" w:rsidRDefault="00265792" w:rsidP="004F3B5E">
      <w:pPr>
        <w:pStyle w:val="ARfinbullet1"/>
      </w:pPr>
      <w:r>
        <w:t>Level 3 – Valuation techniques for which the lowest level input that is significant to the fair value measurement is unobservable</w:t>
      </w:r>
      <w:r w:rsidR="004A3ECF">
        <w:t>.</w:t>
      </w:r>
    </w:p>
    <w:p w14:paraId="4D790C58" w14:textId="77777777" w:rsidR="00265792" w:rsidRDefault="00265792" w:rsidP="00ED1129">
      <w:pPr>
        <w:pStyle w:val="ARfinbody"/>
      </w:pPr>
      <w:r>
        <w:t>The department determines whether transfers have occurred between levels in the hierarchy by reassessing categorisation (based on the lowest level input that is significant to the fair value measurement as a whole) at the end of each reporting period.</w:t>
      </w:r>
    </w:p>
    <w:p w14:paraId="37DB6356" w14:textId="77777777" w:rsidR="00265792" w:rsidRDefault="00265792" w:rsidP="00ED1129">
      <w:pPr>
        <w:pStyle w:val="ARfinbody"/>
      </w:pPr>
      <w:r>
        <w:t>The Valuer-General Victoria (VGV) is the department's independent valuation agency. The department, in conjunction with VGV, monitors changes in the fair value of each asset and liability through relevant data sources to determine whether revaluation is required.</w:t>
      </w:r>
    </w:p>
    <w:p w14:paraId="767EAC23" w14:textId="77777777" w:rsidR="00265792" w:rsidRDefault="00265792" w:rsidP="004F3B5E">
      <w:pPr>
        <w:pStyle w:val="Heading5"/>
      </w:pPr>
      <w:r>
        <w:t>How this section is structured</w:t>
      </w:r>
    </w:p>
    <w:p w14:paraId="749EA902" w14:textId="77777777" w:rsidR="00265792" w:rsidRDefault="00265792" w:rsidP="00ED1129">
      <w:pPr>
        <w:pStyle w:val="ARfinbody"/>
      </w:pPr>
      <w:r>
        <w:t>For those assets and liabilities for which fair values are determined, the following disclosures are provided:</w:t>
      </w:r>
    </w:p>
    <w:p w14:paraId="05C699F5" w14:textId="77777777" w:rsidR="00265792" w:rsidRDefault="00265792" w:rsidP="004F3B5E">
      <w:pPr>
        <w:pStyle w:val="ARfinbullet1"/>
      </w:pPr>
      <w:r>
        <w:t>carrying amount and the fair value (which would be the same for those assets measured at fair value)</w:t>
      </w:r>
    </w:p>
    <w:p w14:paraId="2F0CF298" w14:textId="77777777" w:rsidR="00265792" w:rsidRDefault="00265792" w:rsidP="004F3B5E">
      <w:pPr>
        <w:pStyle w:val="ARfinbullet1"/>
      </w:pPr>
      <w:r>
        <w:t>which level of the fair value hierarchy was used to determine the fair value</w:t>
      </w:r>
    </w:p>
    <w:p w14:paraId="1EC3799A" w14:textId="77777777" w:rsidR="00265792" w:rsidRDefault="00265792" w:rsidP="004F3B5E">
      <w:pPr>
        <w:pStyle w:val="ARfinbullet1"/>
      </w:pPr>
      <w:r>
        <w:t>in respect of those assets and liabilities subject to fair value determination using Level 3 inputs:</w:t>
      </w:r>
    </w:p>
    <w:p w14:paraId="4C1CCE41" w14:textId="77777777" w:rsidR="00265792" w:rsidRDefault="00265792" w:rsidP="004F3B5E">
      <w:pPr>
        <w:pStyle w:val="ARfinbullet2"/>
      </w:pPr>
      <w:r>
        <w:t>a reconciliation of the movements in fair values from the beginning of the year to the end</w:t>
      </w:r>
    </w:p>
    <w:p w14:paraId="08216E21" w14:textId="77777777" w:rsidR="00265792" w:rsidRDefault="00265792" w:rsidP="004F3B5E">
      <w:pPr>
        <w:pStyle w:val="ARfinbullet2"/>
      </w:pPr>
      <w:r>
        <w:t xml:space="preserve">details of significant unobservable inputs used in the fair value determination. </w:t>
      </w:r>
    </w:p>
    <w:p w14:paraId="058AABA7" w14:textId="77777777" w:rsidR="00265792" w:rsidRDefault="00265792" w:rsidP="00ED1129">
      <w:pPr>
        <w:pStyle w:val="ARfinbody"/>
      </w:pPr>
      <w:r>
        <w:t>This section is divided between disclosures in connection with fair value determination for financial instruments (refer Note 8.3.1) and non-financial physical assets (refer Note 8.3.2).</w:t>
      </w:r>
    </w:p>
    <w:p w14:paraId="33E7D9F8" w14:textId="77777777" w:rsidR="00265792" w:rsidRDefault="00265792" w:rsidP="004F3B5E">
      <w:pPr>
        <w:pStyle w:val="Heading5"/>
      </w:pPr>
      <w:r>
        <w:t xml:space="preserve">8.3.1 Fair value determination of financial assets and liabilities </w:t>
      </w:r>
    </w:p>
    <w:p w14:paraId="60A1D0B0" w14:textId="77777777" w:rsidR="00265792" w:rsidRDefault="00265792" w:rsidP="00ED1129">
      <w:pPr>
        <w:pStyle w:val="ARfinbody"/>
      </w:pPr>
      <w:r>
        <w:t>The fair values and net fair values of financial assets and liabilities are determined as follows:</w:t>
      </w:r>
    </w:p>
    <w:p w14:paraId="3ACFE8B9" w14:textId="77777777" w:rsidR="00265792" w:rsidRDefault="00265792" w:rsidP="004F3B5E">
      <w:pPr>
        <w:pStyle w:val="ARfinbullet1"/>
      </w:pPr>
      <w:r>
        <w:t>Level 1 – the fair value of financial instruments with standard terms and conditions and traded in active liquid markets are determined with reference to quoted market prices</w:t>
      </w:r>
    </w:p>
    <w:p w14:paraId="551FD38D" w14:textId="77777777" w:rsidR="00265792" w:rsidRDefault="00265792" w:rsidP="004F3B5E">
      <w:pPr>
        <w:pStyle w:val="ARfinbullet1"/>
      </w:pPr>
      <w:r>
        <w:t>Level 2 – the fair value is determined using inputs other than quoted prices that are observable for the financial asset or liability, either directly or indirectly</w:t>
      </w:r>
    </w:p>
    <w:p w14:paraId="4103B9F7" w14:textId="77777777" w:rsidR="00265792" w:rsidRDefault="00265792" w:rsidP="004F3B5E">
      <w:pPr>
        <w:pStyle w:val="ARfinbullet1"/>
      </w:pPr>
      <w:r>
        <w:t>Level 3 – the fair value is determined in accordance with generally accepted pricing models based on discounted cash flow analysis using unobservable market inputs.</w:t>
      </w:r>
    </w:p>
    <w:p w14:paraId="4702083B" w14:textId="77777777" w:rsidR="00265792" w:rsidRDefault="00265792" w:rsidP="004F3B5E">
      <w:pPr>
        <w:pStyle w:val="ARfinbodylargespace"/>
      </w:pPr>
      <w:r>
        <w:t>The department currently holds a range of financial instruments that are recorded in the financial statements where the carrying amounts are a reasonable approximation of fair values, either due to their short-term nature or with the expectation that they will be paid in full by the end of the 2024–25 reporting period.</w:t>
      </w:r>
    </w:p>
    <w:p w14:paraId="34028E8F" w14:textId="77777777" w:rsidR="00265792" w:rsidRPr="00157B77" w:rsidRDefault="00265792" w:rsidP="00207901">
      <w:pPr>
        <w:pStyle w:val="Heading5"/>
        <w:rPr>
          <w:lang w:eastAsia="en-AU"/>
        </w:rPr>
      </w:pPr>
      <w:bookmarkStart w:id="282" w:name="_Ref178239567"/>
      <w:r w:rsidRPr="00157B77">
        <w:rPr>
          <w:lang w:eastAsia="en-AU"/>
        </w:rPr>
        <w:lastRenderedPageBreak/>
        <w:t>8.3.2 Fair value determination of non-financial physical assets</w:t>
      </w:r>
      <w:bookmarkEnd w:id="282"/>
    </w:p>
    <w:p w14:paraId="6123D698" w14:textId="77777777" w:rsidR="00265792" w:rsidRPr="00157B77" w:rsidRDefault="00265792">
      <w:pPr>
        <w:pStyle w:val="Heading6"/>
        <w:spacing w:before="160"/>
      </w:pPr>
      <w:r w:rsidRPr="00157B77">
        <w:rPr>
          <w:lang w:eastAsia="en-AU"/>
        </w:rPr>
        <w:t>Fair value measurement hierarchy</w:t>
      </w:r>
    </w:p>
    <w:tbl>
      <w:tblPr>
        <w:tblStyle w:val="TableGrid"/>
        <w:tblW w:w="9637" w:type="dxa"/>
        <w:tblLayout w:type="fixed"/>
        <w:tblLook w:val="06E0" w:firstRow="1" w:lastRow="1" w:firstColumn="1" w:lastColumn="0" w:noHBand="1" w:noVBand="1"/>
      </w:tblPr>
      <w:tblGrid>
        <w:gridCol w:w="5101"/>
        <w:gridCol w:w="1134"/>
        <w:gridCol w:w="1134"/>
        <w:gridCol w:w="1134"/>
        <w:gridCol w:w="1134"/>
      </w:tblGrid>
      <w:tr w:rsidR="00265792" w:rsidRPr="00BA7805" w14:paraId="05638A00" w14:textId="77777777" w:rsidTr="00225BBD">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tcBorders>
              <w:top w:val="nil"/>
              <w:bottom w:val="single" w:sz="4" w:space="0" w:color="auto"/>
            </w:tcBorders>
            <w:hideMark/>
          </w:tcPr>
          <w:p w14:paraId="36EC6C79" w14:textId="77777777" w:rsidR="00265792" w:rsidRPr="00BA7805" w:rsidRDefault="00265792">
            <w:pPr>
              <w:pStyle w:val="ARfintablecolhead"/>
              <w:rPr>
                <w:highlight w:val="green"/>
              </w:rPr>
            </w:pPr>
            <w:r w:rsidRPr="00157B77">
              <w:t>202</w:t>
            </w:r>
            <w:r>
              <w:t>5</w:t>
            </w:r>
          </w:p>
        </w:tc>
        <w:tc>
          <w:tcPr>
            <w:tcW w:w="1134" w:type="dxa"/>
            <w:vMerge w:val="restart"/>
            <w:tcBorders>
              <w:top w:val="nil"/>
              <w:bottom w:val="single" w:sz="4" w:space="0" w:color="auto"/>
            </w:tcBorders>
            <w:shd w:val="clear" w:color="auto" w:fill="EEEEEF" w:themeFill="accent4"/>
            <w:hideMark/>
          </w:tcPr>
          <w:p w14:paraId="270A1CF9" w14:textId="77777777" w:rsidR="00265792" w:rsidRPr="00157B77" w:rsidRDefault="00265792">
            <w:pPr>
              <w:pStyle w:val="ARfintablecolheadright"/>
            </w:pPr>
            <w:r w:rsidRPr="00157B77">
              <w:t>Carrying amount</w:t>
            </w:r>
          </w:p>
          <w:p w14:paraId="4A064D14" w14:textId="77777777" w:rsidR="00265792" w:rsidRPr="00157B77" w:rsidRDefault="00265792">
            <w:pPr>
              <w:pStyle w:val="ARfintablecolheadright"/>
            </w:pPr>
            <w:r w:rsidRPr="00157B77">
              <w:t>$M</w:t>
            </w:r>
          </w:p>
        </w:tc>
        <w:tc>
          <w:tcPr>
            <w:tcW w:w="3402" w:type="dxa"/>
            <w:gridSpan w:val="3"/>
            <w:tcBorders>
              <w:top w:val="nil"/>
              <w:bottom w:val="single" w:sz="4" w:space="0" w:color="auto"/>
            </w:tcBorders>
            <w:hideMark/>
          </w:tcPr>
          <w:p w14:paraId="6EC7E330" w14:textId="77777777" w:rsidR="00265792" w:rsidRPr="00157B77" w:rsidRDefault="00265792">
            <w:pPr>
              <w:pStyle w:val="ARfintablecolheadcentre"/>
            </w:pPr>
            <w:r w:rsidRPr="00157B77">
              <w:t xml:space="preserve">Fair value measurement at end </w:t>
            </w:r>
            <w:r w:rsidRPr="00157B77">
              <w:br/>
              <w:t>of reporting period using:</w:t>
            </w:r>
          </w:p>
        </w:tc>
      </w:tr>
      <w:tr w:rsidR="00265792" w:rsidRPr="00BA7805" w14:paraId="68EB6CD0" w14:textId="77777777" w:rsidTr="00225BBD">
        <w:trPr>
          <w:cnfStyle w:val="100000000000" w:firstRow="1" w:lastRow="0" w:firstColumn="0" w:lastColumn="0" w:oddVBand="0" w:evenVBand="0" w:oddHBand="0" w:evenHBand="0" w:firstRowFirstColumn="0" w:firstRowLastColumn="0" w:lastRowFirstColumn="0" w:lastRowLastColumn="0"/>
          <w:tblHeader/>
        </w:trPr>
        <w:tc>
          <w:tcPr>
            <w:tcW w:w="5101" w:type="dxa"/>
            <w:vMerge/>
            <w:tcBorders>
              <w:top w:val="single" w:sz="4" w:space="0" w:color="auto"/>
              <w:bottom w:val="single" w:sz="4" w:space="0" w:color="auto"/>
            </w:tcBorders>
            <w:hideMark/>
          </w:tcPr>
          <w:p w14:paraId="56B1C24B" w14:textId="77777777" w:rsidR="00265792" w:rsidRPr="00BA7805" w:rsidRDefault="00265792">
            <w:pPr>
              <w:pStyle w:val="ARfintablecolhead"/>
              <w:rPr>
                <w:highlight w:val="green"/>
              </w:rPr>
            </w:pPr>
          </w:p>
        </w:tc>
        <w:tc>
          <w:tcPr>
            <w:tcW w:w="1134" w:type="dxa"/>
            <w:vMerge/>
            <w:tcBorders>
              <w:top w:val="single" w:sz="4" w:space="0" w:color="auto"/>
              <w:bottom w:val="single" w:sz="4" w:space="0" w:color="auto"/>
            </w:tcBorders>
            <w:shd w:val="clear" w:color="auto" w:fill="EEEEEF" w:themeFill="accent4"/>
            <w:hideMark/>
          </w:tcPr>
          <w:p w14:paraId="7C779C19" w14:textId="77777777" w:rsidR="00265792" w:rsidRPr="00157B77" w:rsidRDefault="00265792">
            <w:pPr>
              <w:pStyle w:val="ARfintablecolheadright"/>
            </w:pPr>
          </w:p>
        </w:tc>
        <w:tc>
          <w:tcPr>
            <w:tcW w:w="1134" w:type="dxa"/>
            <w:tcBorders>
              <w:top w:val="single" w:sz="4" w:space="0" w:color="auto"/>
              <w:bottom w:val="single" w:sz="4" w:space="0" w:color="auto"/>
            </w:tcBorders>
            <w:hideMark/>
          </w:tcPr>
          <w:p w14:paraId="13AC57A8" w14:textId="77777777" w:rsidR="00265792" w:rsidRPr="00157B77" w:rsidRDefault="00265792">
            <w:pPr>
              <w:pStyle w:val="ARfintablecolheadright"/>
            </w:pPr>
            <w:r w:rsidRPr="00157B77">
              <w:t xml:space="preserve">Level 1 </w:t>
            </w:r>
            <w:r w:rsidRPr="00157B77">
              <w:rPr>
                <w:rStyle w:val="Superscript"/>
              </w:rPr>
              <w:t>(</w:t>
            </w:r>
            <w:proofErr w:type="spellStart"/>
            <w:r w:rsidRPr="00157B77">
              <w:rPr>
                <w:rStyle w:val="Superscript"/>
              </w:rPr>
              <w:t>i</w:t>
            </w:r>
            <w:proofErr w:type="spellEnd"/>
            <w:r w:rsidRPr="00157B77">
              <w:rPr>
                <w:rStyle w:val="Superscript"/>
              </w:rPr>
              <w:t>)</w:t>
            </w:r>
          </w:p>
          <w:p w14:paraId="55AB8326" w14:textId="77777777" w:rsidR="00265792" w:rsidRPr="00157B77" w:rsidRDefault="00265792">
            <w:pPr>
              <w:pStyle w:val="ARfintablecolheadright"/>
            </w:pPr>
            <w:r w:rsidRPr="00157B77">
              <w:t>$M</w:t>
            </w:r>
          </w:p>
        </w:tc>
        <w:tc>
          <w:tcPr>
            <w:tcW w:w="1134" w:type="dxa"/>
            <w:tcBorders>
              <w:top w:val="single" w:sz="4" w:space="0" w:color="auto"/>
              <w:bottom w:val="single" w:sz="4" w:space="0" w:color="auto"/>
            </w:tcBorders>
            <w:hideMark/>
          </w:tcPr>
          <w:p w14:paraId="2FD32EB5" w14:textId="77777777" w:rsidR="00265792" w:rsidRPr="00157B77" w:rsidRDefault="00265792">
            <w:pPr>
              <w:pStyle w:val="ARfintablecolheadright"/>
            </w:pPr>
            <w:r w:rsidRPr="00157B77">
              <w:t xml:space="preserve">Level 2 </w:t>
            </w:r>
            <w:r w:rsidRPr="00157B77">
              <w:rPr>
                <w:rStyle w:val="Superscript"/>
              </w:rPr>
              <w:t>(</w:t>
            </w:r>
            <w:proofErr w:type="spellStart"/>
            <w:r w:rsidRPr="00157B77">
              <w:rPr>
                <w:rStyle w:val="Superscript"/>
              </w:rPr>
              <w:t>i</w:t>
            </w:r>
            <w:proofErr w:type="spellEnd"/>
            <w:r w:rsidRPr="00157B77">
              <w:rPr>
                <w:rStyle w:val="Superscript"/>
              </w:rPr>
              <w:t>)</w:t>
            </w:r>
          </w:p>
          <w:p w14:paraId="53B3B0CA" w14:textId="77777777" w:rsidR="00265792" w:rsidRPr="00157B77" w:rsidRDefault="00265792">
            <w:pPr>
              <w:pStyle w:val="ARfintablecolheadright"/>
            </w:pPr>
            <w:r w:rsidRPr="00157B77">
              <w:t>$M</w:t>
            </w:r>
          </w:p>
        </w:tc>
        <w:tc>
          <w:tcPr>
            <w:tcW w:w="1134" w:type="dxa"/>
            <w:tcBorders>
              <w:top w:val="single" w:sz="4" w:space="0" w:color="auto"/>
              <w:bottom w:val="single" w:sz="4" w:space="0" w:color="auto"/>
            </w:tcBorders>
            <w:hideMark/>
          </w:tcPr>
          <w:p w14:paraId="2F9229D3" w14:textId="77777777" w:rsidR="00265792" w:rsidRPr="00157B77" w:rsidRDefault="00265792">
            <w:pPr>
              <w:pStyle w:val="ARfintablecolheadright"/>
            </w:pPr>
            <w:r w:rsidRPr="00157B77">
              <w:t xml:space="preserve">Level 3 </w:t>
            </w:r>
            <w:r w:rsidRPr="00157B77">
              <w:rPr>
                <w:rStyle w:val="Superscript"/>
              </w:rPr>
              <w:t>(</w:t>
            </w:r>
            <w:proofErr w:type="spellStart"/>
            <w:r w:rsidRPr="00157B77">
              <w:rPr>
                <w:rStyle w:val="Superscript"/>
              </w:rPr>
              <w:t>i</w:t>
            </w:r>
            <w:proofErr w:type="spellEnd"/>
            <w:r w:rsidRPr="00157B77">
              <w:rPr>
                <w:rStyle w:val="Superscript"/>
              </w:rPr>
              <w:t>)</w:t>
            </w:r>
          </w:p>
          <w:p w14:paraId="155B4179" w14:textId="77777777" w:rsidR="00265792" w:rsidRPr="00157B77" w:rsidRDefault="00265792">
            <w:pPr>
              <w:pStyle w:val="ARfintablecolheadright"/>
            </w:pPr>
            <w:r w:rsidRPr="00157B77">
              <w:t>$M</w:t>
            </w:r>
          </w:p>
        </w:tc>
      </w:tr>
      <w:tr w:rsidR="00265792" w:rsidRPr="00BA7805" w14:paraId="10621994" w14:textId="77777777" w:rsidTr="00C14997">
        <w:tc>
          <w:tcPr>
            <w:tcW w:w="5101" w:type="dxa"/>
            <w:tcBorders>
              <w:top w:val="single" w:sz="4" w:space="0" w:color="auto"/>
              <w:bottom w:val="single" w:sz="4" w:space="0" w:color="A6A6A6" w:themeColor="accent5"/>
            </w:tcBorders>
          </w:tcPr>
          <w:p w14:paraId="2ABA47B2" w14:textId="77777777" w:rsidR="00265792" w:rsidRPr="00BA7805" w:rsidRDefault="00265792" w:rsidP="000134FA">
            <w:pPr>
              <w:pStyle w:val="ARfintablebodybold"/>
              <w:rPr>
                <w:highlight w:val="green"/>
              </w:rPr>
            </w:pPr>
            <w:r w:rsidRPr="008854D0">
              <w:t>Land at fair value</w:t>
            </w:r>
          </w:p>
        </w:tc>
        <w:tc>
          <w:tcPr>
            <w:tcW w:w="1134" w:type="dxa"/>
            <w:tcBorders>
              <w:top w:val="single" w:sz="4" w:space="0" w:color="auto"/>
              <w:bottom w:val="single" w:sz="4" w:space="0" w:color="A6A6A6" w:themeColor="accent5"/>
            </w:tcBorders>
            <w:noWrap/>
          </w:tcPr>
          <w:p w14:paraId="475D533A" w14:textId="77777777" w:rsidR="00265792" w:rsidRPr="00BA7805" w:rsidRDefault="00265792" w:rsidP="00AF6585">
            <w:pPr>
              <w:pStyle w:val="ARfintablebodyright"/>
              <w:rPr>
                <w:highlight w:val="green"/>
              </w:rPr>
            </w:pPr>
          </w:p>
        </w:tc>
        <w:tc>
          <w:tcPr>
            <w:tcW w:w="1134" w:type="dxa"/>
            <w:tcBorders>
              <w:top w:val="single" w:sz="4" w:space="0" w:color="auto"/>
              <w:bottom w:val="single" w:sz="4" w:space="0" w:color="A6A6A6" w:themeColor="accent5"/>
            </w:tcBorders>
            <w:noWrap/>
          </w:tcPr>
          <w:p w14:paraId="624EB08F" w14:textId="77777777" w:rsidR="00265792" w:rsidRPr="00BA7805" w:rsidRDefault="00265792" w:rsidP="00AF6585">
            <w:pPr>
              <w:pStyle w:val="ARfintablebodyright"/>
              <w:rPr>
                <w:highlight w:val="green"/>
              </w:rPr>
            </w:pPr>
          </w:p>
        </w:tc>
        <w:tc>
          <w:tcPr>
            <w:tcW w:w="1134" w:type="dxa"/>
            <w:tcBorders>
              <w:top w:val="single" w:sz="4" w:space="0" w:color="auto"/>
              <w:bottom w:val="single" w:sz="4" w:space="0" w:color="A6A6A6" w:themeColor="accent5"/>
            </w:tcBorders>
            <w:noWrap/>
          </w:tcPr>
          <w:p w14:paraId="7FD84BA4" w14:textId="77777777" w:rsidR="00265792" w:rsidRPr="00BA7805" w:rsidRDefault="00265792" w:rsidP="00AF6585">
            <w:pPr>
              <w:pStyle w:val="ARfintablebodyright"/>
              <w:rPr>
                <w:highlight w:val="green"/>
              </w:rPr>
            </w:pPr>
          </w:p>
        </w:tc>
        <w:tc>
          <w:tcPr>
            <w:tcW w:w="1134" w:type="dxa"/>
            <w:tcBorders>
              <w:top w:val="single" w:sz="4" w:space="0" w:color="auto"/>
              <w:bottom w:val="single" w:sz="4" w:space="0" w:color="A6A6A6" w:themeColor="accent5"/>
            </w:tcBorders>
            <w:noWrap/>
          </w:tcPr>
          <w:p w14:paraId="27DACFC9" w14:textId="77777777" w:rsidR="00265792" w:rsidRPr="00BA7805" w:rsidRDefault="00265792" w:rsidP="00AF6585">
            <w:pPr>
              <w:pStyle w:val="ARfintablebodyright"/>
              <w:rPr>
                <w:highlight w:val="green"/>
              </w:rPr>
            </w:pPr>
          </w:p>
        </w:tc>
      </w:tr>
      <w:tr w:rsidR="00265792" w:rsidRPr="00BA7805" w14:paraId="5290EB0B" w14:textId="77777777" w:rsidTr="000134FA">
        <w:tc>
          <w:tcPr>
            <w:tcW w:w="5101" w:type="dxa"/>
            <w:tcBorders>
              <w:top w:val="single" w:sz="4" w:space="0" w:color="A6A6A6" w:themeColor="accent5"/>
              <w:bottom w:val="single" w:sz="4" w:space="0" w:color="A6A6A6" w:themeColor="accent5"/>
            </w:tcBorders>
          </w:tcPr>
          <w:p w14:paraId="1E7C0827" w14:textId="77777777" w:rsidR="00265792" w:rsidRPr="00BA7805" w:rsidRDefault="00265792" w:rsidP="00AF6585">
            <w:pPr>
              <w:pStyle w:val="ARfintablebody"/>
              <w:rPr>
                <w:highlight w:val="green"/>
              </w:rPr>
            </w:pPr>
            <w:r w:rsidRPr="008854D0">
              <w:t>Non-specialised land</w:t>
            </w:r>
          </w:p>
        </w:tc>
        <w:tc>
          <w:tcPr>
            <w:tcW w:w="1134" w:type="dxa"/>
            <w:tcBorders>
              <w:top w:val="single" w:sz="4" w:space="0" w:color="A6A6A6" w:themeColor="accent5"/>
              <w:bottom w:val="single" w:sz="4" w:space="0" w:color="A6A6A6" w:themeColor="accent5"/>
            </w:tcBorders>
            <w:shd w:val="clear" w:color="auto" w:fill="EEEEEF" w:themeFill="accent4"/>
            <w:noWrap/>
          </w:tcPr>
          <w:p w14:paraId="17517B4A" w14:textId="77777777" w:rsidR="00265792" w:rsidRPr="00BA7805" w:rsidRDefault="00265792" w:rsidP="00AF6585">
            <w:pPr>
              <w:pStyle w:val="ARfintablebodyright"/>
              <w:rPr>
                <w:highlight w:val="green"/>
              </w:rPr>
            </w:pPr>
            <w:r w:rsidRPr="008854D0">
              <w:t>24,068.5</w:t>
            </w:r>
          </w:p>
        </w:tc>
        <w:tc>
          <w:tcPr>
            <w:tcW w:w="1134" w:type="dxa"/>
            <w:tcBorders>
              <w:top w:val="single" w:sz="4" w:space="0" w:color="A6A6A6" w:themeColor="accent5"/>
              <w:bottom w:val="single" w:sz="4" w:space="0" w:color="A6A6A6" w:themeColor="accent5"/>
            </w:tcBorders>
            <w:noWrap/>
          </w:tcPr>
          <w:p w14:paraId="2BF3856C" w14:textId="77777777" w:rsidR="00265792" w:rsidRPr="00BA7805" w:rsidRDefault="00265792" w:rsidP="00AF6585">
            <w:pPr>
              <w:pStyle w:val="ARfintablebodyright"/>
              <w:rPr>
                <w:highlight w:val="green"/>
              </w:rPr>
            </w:pPr>
            <w:r>
              <w:t>–</w:t>
            </w:r>
          </w:p>
        </w:tc>
        <w:tc>
          <w:tcPr>
            <w:tcW w:w="1134" w:type="dxa"/>
            <w:tcBorders>
              <w:top w:val="single" w:sz="4" w:space="0" w:color="A6A6A6" w:themeColor="accent5"/>
              <w:bottom w:val="single" w:sz="4" w:space="0" w:color="A6A6A6" w:themeColor="accent5"/>
            </w:tcBorders>
            <w:noWrap/>
          </w:tcPr>
          <w:p w14:paraId="38525B46" w14:textId="77777777" w:rsidR="00265792" w:rsidRPr="00BA7805" w:rsidRDefault="00265792" w:rsidP="00AF6585">
            <w:pPr>
              <w:pStyle w:val="ARfintablebodyright"/>
              <w:rPr>
                <w:highlight w:val="green"/>
              </w:rPr>
            </w:pPr>
            <w:r w:rsidRPr="008854D0">
              <w:t>24,068.5</w:t>
            </w:r>
          </w:p>
        </w:tc>
        <w:tc>
          <w:tcPr>
            <w:tcW w:w="1134" w:type="dxa"/>
            <w:tcBorders>
              <w:top w:val="single" w:sz="4" w:space="0" w:color="A6A6A6" w:themeColor="accent5"/>
              <w:bottom w:val="single" w:sz="4" w:space="0" w:color="A6A6A6" w:themeColor="accent5"/>
            </w:tcBorders>
            <w:noWrap/>
          </w:tcPr>
          <w:p w14:paraId="4A845A81" w14:textId="77777777" w:rsidR="00265792" w:rsidRPr="00BA7805" w:rsidRDefault="00265792" w:rsidP="00AF6585">
            <w:pPr>
              <w:pStyle w:val="ARfintablebodyright"/>
              <w:rPr>
                <w:highlight w:val="green"/>
              </w:rPr>
            </w:pPr>
            <w:r>
              <w:t>–</w:t>
            </w:r>
          </w:p>
        </w:tc>
      </w:tr>
      <w:tr w:rsidR="00265792" w:rsidRPr="00BA7805" w14:paraId="793ECF23" w14:textId="77777777" w:rsidTr="000134FA">
        <w:tc>
          <w:tcPr>
            <w:tcW w:w="5101" w:type="dxa"/>
            <w:tcBorders>
              <w:top w:val="single" w:sz="4" w:space="0" w:color="A6A6A6" w:themeColor="accent5"/>
              <w:bottom w:val="single" w:sz="4" w:space="0" w:color="auto"/>
            </w:tcBorders>
          </w:tcPr>
          <w:p w14:paraId="1C95D938" w14:textId="77777777" w:rsidR="00265792" w:rsidRPr="00BA7805" w:rsidRDefault="00265792" w:rsidP="00AF6585">
            <w:pPr>
              <w:pStyle w:val="ARfintablebody"/>
              <w:rPr>
                <w:highlight w:val="green"/>
              </w:rPr>
            </w:pPr>
            <w:r w:rsidRPr="008854D0">
              <w:t>Specialised land</w:t>
            </w:r>
          </w:p>
        </w:tc>
        <w:tc>
          <w:tcPr>
            <w:tcW w:w="1134" w:type="dxa"/>
            <w:tcBorders>
              <w:top w:val="single" w:sz="4" w:space="0" w:color="A6A6A6" w:themeColor="accent5"/>
              <w:bottom w:val="single" w:sz="4" w:space="0" w:color="auto"/>
            </w:tcBorders>
            <w:shd w:val="clear" w:color="auto" w:fill="EEEEEF" w:themeFill="accent4"/>
            <w:noWrap/>
          </w:tcPr>
          <w:p w14:paraId="3BBAF31D" w14:textId="77777777" w:rsidR="00265792" w:rsidRPr="00BA7805" w:rsidRDefault="00265792" w:rsidP="00AF6585">
            <w:pPr>
              <w:pStyle w:val="ARfintablebodyright"/>
              <w:rPr>
                <w:highlight w:val="green"/>
              </w:rPr>
            </w:pPr>
            <w:r w:rsidRPr="008854D0">
              <w:t>164.1</w:t>
            </w:r>
          </w:p>
        </w:tc>
        <w:tc>
          <w:tcPr>
            <w:tcW w:w="1134" w:type="dxa"/>
            <w:tcBorders>
              <w:top w:val="single" w:sz="4" w:space="0" w:color="A6A6A6" w:themeColor="accent5"/>
              <w:bottom w:val="single" w:sz="4" w:space="0" w:color="auto"/>
            </w:tcBorders>
            <w:noWrap/>
          </w:tcPr>
          <w:p w14:paraId="0E0D7B1A" w14:textId="77777777" w:rsidR="00265792" w:rsidRPr="00BA7805" w:rsidRDefault="00265792" w:rsidP="00AF6585">
            <w:pPr>
              <w:pStyle w:val="ARfintablebodyright"/>
              <w:rPr>
                <w:highlight w:val="green"/>
              </w:rPr>
            </w:pPr>
            <w:r>
              <w:t>–</w:t>
            </w:r>
          </w:p>
        </w:tc>
        <w:tc>
          <w:tcPr>
            <w:tcW w:w="1134" w:type="dxa"/>
            <w:tcBorders>
              <w:top w:val="single" w:sz="4" w:space="0" w:color="A6A6A6" w:themeColor="accent5"/>
              <w:bottom w:val="single" w:sz="4" w:space="0" w:color="auto"/>
            </w:tcBorders>
            <w:noWrap/>
          </w:tcPr>
          <w:p w14:paraId="36384693" w14:textId="77777777" w:rsidR="00265792" w:rsidRPr="00BA7805" w:rsidRDefault="00265792" w:rsidP="00AF6585">
            <w:pPr>
              <w:pStyle w:val="ARfintablebodyright"/>
              <w:rPr>
                <w:highlight w:val="green"/>
              </w:rPr>
            </w:pPr>
            <w:r>
              <w:t>–</w:t>
            </w:r>
          </w:p>
        </w:tc>
        <w:tc>
          <w:tcPr>
            <w:tcW w:w="1134" w:type="dxa"/>
            <w:tcBorders>
              <w:top w:val="single" w:sz="4" w:space="0" w:color="A6A6A6" w:themeColor="accent5"/>
              <w:bottom w:val="single" w:sz="4" w:space="0" w:color="auto"/>
            </w:tcBorders>
            <w:noWrap/>
          </w:tcPr>
          <w:p w14:paraId="27F83CBC" w14:textId="77777777" w:rsidR="00265792" w:rsidRPr="00BA7805" w:rsidRDefault="00265792" w:rsidP="00AF6585">
            <w:pPr>
              <w:pStyle w:val="ARfintablebodyright"/>
              <w:rPr>
                <w:highlight w:val="green"/>
              </w:rPr>
            </w:pPr>
            <w:r w:rsidRPr="008854D0">
              <w:t>164.1</w:t>
            </w:r>
          </w:p>
        </w:tc>
      </w:tr>
      <w:tr w:rsidR="00265792" w:rsidRPr="00BA7805" w14:paraId="7330F66C" w14:textId="77777777" w:rsidTr="000134FA">
        <w:tc>
          <w:tcPr>
            <w:tcW w:w="5101" w:type="dxa"/>
            <w:tcBorders>
              <w:top w:val="single" w:sz="4" w:space="0" w:color="auto"/>
              <w:bottom w:val="single" w:sz="4" w:space="0" w:color="auto"/>
            </w:tcBorders>
          </w:tcPr>
          <w:p w14:paraId="799D5F8E" w14:textId="77777777" w:rsidR="00265792" w:rsidRPr="00BA7805" w:rsidRDefault="00265792" w:rsidP="000134FA">
            <w:pPr>
              <w:pStyle w:val="ARfintablebodybold"/>
              <w:rPr>
                <w:highlight w:val="green"/>
              </w:rPr>
            </w:pPr>
            <w:r w:rsidRPr="008854D0">
              <w:t>Total land at fair value</w:t>
            </w:r>
          </w:p>
        </w:tc>
        <w:tc>
          <w:tcPr>
            <w:tcW w:w="1134" w:type="dxa"/>
            <w:tcBorders>
              <w:top w:val="single" w:sz="4" w:space="0" w:color="auto"/>
              <w:bottom w:val="single" w:sz="4" w:space="0" w:color="auto"/>
            </w:tcBorders>
            <w:shd w:val="clear" w:color="auto" w:fill="EEEEEF" w:themeFill="accent4"/>
            <w:noWrap/>
          </w:tcPr>
          <w:p w14:paraId="2567D5E1" w14:textId="77777777" w:rsidR="00265792" w:rsidRPr="00BA7805" w:rsidRDefault="00265792" w:rsidP="000134FA">
            <w:pPr>
              <w:pStyle w:val="ARfintablebodyrightbold"/>
              <w:rPr>
                <w:highlight w:val="green"/>
              </w:rPr>
            </w:pPr>
            <w:r w:rsidRPr="008854D0">
              <w:t>24,232.6</w:t>
            </w:r>
          </w:p>
        </w:tc>
        <w:tc>
          <w:tcPr>
            <w:tcW w:w="1134" w:type="dxa"/>
            <w:tcBorders>
              <w:top w:val="single" w:sz="4" w:space="0" w:color="auto"/>
              <w:bottom w:val="single" w:sz="4" w:space="0" w:color="auto"/>
            </w:tcBorders>
            <w:noWrap/>
          </w:tcPr>
          <w:p w14:paraId="1B84E5FE" w14:textId="77777777" w:rsidR="00265792" w:rsidRPr="00BA7805" w:rsidRDefault="00265792" w:rsidP="000134FA">
            <w:pPr>
              <w:pStyle w:val="ARfintablebodyrightbold"/>
              <w:rPr>
                <w:highlight w:val="green"/>
              </w:rPr>
            </w:pPr>
            <w:r>
              <w:t>–</w:t>
            </w:r>
          </w:p>
        </w:tc>
        <w:tc>
          <w:tcPr>
            <w:tcW w:w="1134" w:type="dxa"/>
            <w:tcBorders>
              <w:top w:val="single" w:sz="4" w:space="0" w:color="auto"/>
              <w:bottom w:val="single" w:sz="4" w:space="0" w:color="auto"/>
            </w:tcBorders>
            <w:noWrap/>
          </w:tcPr>
          <w:p w14:paraId="5477FF2A" w14:textId="77777777" w:rsidR="00265792" w:rsidRPr="00BA7805" w:rsidRDefault="00265792" w:rsidP="000134FA">
            <w:pPr>
              <w:pStyle w:val="ARfintablebodyrightbold"/>
              <w:rPr>
                <w:highlight w:val="green"/>
              </w:rPr>
            </w:pPr>
            <w:r w:rsidRPr="008854D0">
              <w:t>24,068.5</w:t>
            </w:r>
          </w:p>
        </w:tc>
        <w:tc>
          <w:tcPr>
            <w:tcW w:w="1134" w:type="dxa"/>
            <w:tcBorders>
              <w:top w:val="single" w:sz="4" w:space="0" w:color="auto"/>
              <w:bottom w:val="single" w:sz="4" w:space="0" w:color="auto"/>
            </w:tcBorders>
            <w:noWrap/>
          </w:tcPr>
          <w:p w14:paraId="1A84C973" w14:textId="77777777" w:rsidR="00265792" w:rsidRPr="00BA7805" w:rsidRDefault="00265792" w:rsidP="000134FA">
            <w:pPr>
              <w:pStyle w:val="ARfintablebodyrightbold"/>
              <w:rPr>
                <w:highlight w:val="green"/>
              </w:rPr>
            </w:pPr>
            <w:r w:rsidRPr="008854D0">
              <w:t>164.1</w:t>
            </w:r>
          </w:p>
        </w:tc>
      </w:tr>
      <w:tr w:rsidR="00265792" w:rsidRPr="00BA7805" w14:paraId="385C2239" w14:textId="77777777" w:rsidTr="00C14997">
        <w:tc>
          <w:tcPr>
            <w:tcW w:w="5101" w:type="dxa"/>
            <w:tcBorders>
              <w:top w:val="single" w:sz="4" w:space="0" w:color="A6A6A6" w:themeColor="accent5"/>
            </w:tcBorders>
          </w:tcPr>
          <w:p w14:paraId="386A8F89" w14:textId="77777777" w:rsidR="00265792" w:rsidRPr="00BA7805" w:rsidRDefault="00265792" w:rsidP="000134FA">
            <w:pPr>
              <w:pStyle w:val="ARfintablebodybold"/>
              <w:rPr>
                <w:highlight w:val="green"/>
              </w:rPr>
            </w:pPr>
            <w:r w:rsidRPr="008854D0">
              <w:t>Buildings at fair value</w:t>
            </w:r>
          </w:p>
        </w:tc>
        <w:tc>
          <w:tcPr>
            <w:tcW w:w="1134" w:type="dxa"/>
            <w:tcBorders>
              <w:top w:val="single" w:sz="4" w:space="0" w:color="A6A6A6" w:themeColor="accent5"/>
            </w:tcBorders>
            <w:noWrap/>
          </w:tcPr>
          <w:p w14:paraId="6B114FD0" w14:textId="77777777" w:rsidR="00265792" w:rsidRPr="00BA7805" w:rsidRDefault="00265792" w:rsidP="00AF6585">
            <w:pPr>
              <w:pStyle w:val="ARfintablebodyright"/>
              <w:rPr>
                <w:highlight w:val="green"/>
              </w:rPr>
            </w:pPr>
          </w:p>
        </w:tc>
        <w:tc>
          <w:tcPr>
            <w:tcW w:w="1134" w:type="dxa"/>
            <w:tcBorders>
              <w:top w:val="single" w:sz="4" w:space="0" w:color="A6A6A6" w:themeColor="accent5"/>
            </w:tcBorders>
            <w:noWrap/>
          </w:tcPr>
          <w:p w14:paraId="122FBEA0" w14:textId="77777777" w:rsidR="00265792" w:rsidRPr="00BA7805" w:rsidRDefault="00265792" w:rsidP="00AF6585">
            <w:pPr>
              <w:pStyle w:val="ARfintablebodyright"/>
              <w:rPr>
                <w:highlight w:val="green"/>
              </w:rPr>
            </w:pPr>
          </w:p>
        </w:tc>
        <w:tc>
          <w:tcPr>
            <w:tcW w:w="1134" w:type="dxa"/>
            <w:tcBorders>
              <w:top w:val="single" w:sz="4" w:space="0" w:color="A6A6A6" w:themeColor="accent5"/>
            </w:tcBorders>
            <w:noWrap/>
          </w:tcPr>
          <w:p w14:paraId="4CB0AE81" w14:textId="77777777" w:rsidR="00265792" w:rsidRPr="00BA7805" w:rsidRDefault="00265792" w:rsidP="00AF6585">
            <w:pPr>
              <w:pStyle w:val="ARfintablebodyright"/>
              <w:rPr>
                <w:highlight w:val="green"/>
              </w:rPr>
            </w:pPr>
          </w:p>
        </w:tc>
        <w:tc>
          <w:tcPr>
            <w:tcW w:w="1134" w:type="dxa"/>
            <w:tcBorders>
              <w:top w:val="single" w:sz="4" w:space="0" w:color="A6A6A6" w:themeColor="accent5"/>
            </w:tcBorders>
            <w:noWrap/>
          </w:tcPr>
          <w:p w14:paraId="3123756A" w14:textId="77777777" w:rsidR="00265792" w:rsidRPr="00BA7805" w:rsidRDefault="00265792" w:rsidP="00AF6585">
            <w:pPr>
              <w:pStyle w:val="ARfintablebodyright"/>
              <w:rPr>
                <w:highlight w:val="green"/>
              </w:rPr>
            </w:pPr>
          </w:p>
        </w:tc>
      </w:tr>
      <w:tr w:rsidR="00265792" w:rsidRPr="00BA7805" w14:paraId="5E929E06" w14:textId="77777777" w:rsidTr="00C14997">
        <w:tc>
          <w:tcPr>
            <w:tcW w:w="5101" w:type="dxa"/>
            <w:tcBorders>
              <w:bottom w:val="single" w:sz="4" w:space="0" w:color="A6A6A6" w:themeColor="accent5"/>
            </w:tcBorders>
          </w:tcPr>
          <w:p w14:paraId="4199BFD2" w14:textId="77777777" w:rsidR="00265792" w:rsidRPr="00BA7805" w:rsidRDefault="00265792" w:rsidP="00AF6585">
            <w:pPr>
              <w:pStyle w:val="ARfintablebody"/>
              <w:rPr>
                <w:highlight w:val="green"/>
              </w:rPr>
            </w:pPr>
            <w:r w:rsidRPr="008854D0">
              <w:t>Non-specialised buildings</w:t>
            </w:r>
          </w:p>
        </w:tc>
        <w:tc>
          <w:tcPr>
            <w:tcW w:w="1134" w:type="dxa"/>
            <w:tcBorders>
              <w:bottom w:val="single" w:sz="4" w:space="0" w:color="A6A6A6" w:themeColor="accent5"/>
            </w:tcBorders>
            <w:shd w:val="clear" w:color="auto" w:fill="EEEEEF" w:themeFill="accent4"/>
            <w:noWrap/>
          </w:tcPr>
          <w:p w14:paraId="4260B055" w14:textId="77777777" w:rsidR="00265792" w:rsidRPr="00BA7805" w:rsidRDefault="00265792" w:rsidP="00AF6585">
            <w:pPr>
              <w:pStyle w:val="ARfintablebodyright"/>
              <w:rPr>
                <w:highlight w:val="green"/>
              </w:rPr>
            </w:pPr>
            <w:r w:rsidRPr="008854D0">
              <w:t>13,063.7</w:t>
            </w:r>
          </w:p>
        </w:tc>
        <w:tc>
          <w:tcPr>
            <w:tcW w:w="1134" w:type="dxa"/>
            <w:tcBorders>
              <w:bottom w:val="single" w:sz="4" w:space="0" w:color="A6A6A6" w:themeColor="accent5"/>
            </w:tcBorders>
            <w:noWrap/>
          </w:tcPr>
          <w:p w14:paraId="12598CF1" w14:textId="77777777" w:rsidR="00265792" w:rsidRPr="00BA7805" w:rsidRDefault="00265792" w:rsidP="00AF6585">
            <w:pPr>
              <w:pStyle w:val="ARfintablebodyright"/>
              <w:rPr>
                <w:highlight w:val="green"/>
              </w:rPr>
            </w:pPr>
            <w:r>
              <w:t>–</w:t>
            </w:r>
          </w:p>
        </w:tc>
        <w:tc>
          <w:tcPr>
            <w:tcW w:w="1134" w:type="dxa"/>
            <w:tcBorders>
              <w:bottom w:val="single" w:sz="4" w:space="0" w:color="A6A6A6" w:themeColor="accent5"/>
            </w:tcBorders>
            <w:noWrap/>
          </w:tcPr>
          <w:p w14:paraId="1080A7C9" w14:textId="77777777" w:rsidR="00265792" w:rsidRPr="00BA7805" w:rsidRDefault="00265792" w:rsidP="00AF6585">
            <w:pPr>
              <w:pStyle w:val="ARfintablebodyright"/>
              <w:rPr>
                <w:highlight w:val="green"/>
              </w:rPr>
            </w:pPr>
            <w:r w:rsidRPr="008854D0">
              <w:t>13,063.7</w:t>
            </w:r>
          </w:p>
        </w:tc>
        <w:tc>
          <w:tcPr>
            <w:tcW w:w="1134" w:type="dxa"/>
            <w:tcBorders>
              <w:bottom w:val="single" w:sz="4" w:space="0" w:color="A6A6A6" w:themeColor="accent5"/>
            </w:tcBorders>
            <w:noWrap/>
          </w:tcPr>
          <w:p w14:paraId="32B18045" w14:textId="77777777" w:rsidR="00265792" w:rsidRPr="00BA7805" w:rsidRDefault="00265792" w:rsidP="00AF6585">
            <w:pPr>
              <w:pStyle w:val="ARfintablebodyright"/>
              <w:rPr>
                <w:highlight w:val="green"/>
              </w:rPr>
            </w:pPr>
            <w:r>
              <w:t>–</w:t>
            </w:r>
          </w:p>
        </w:tc>
      </w:tr>
      <w:tr w:rsidR="00265792" w:rsidRPr="00BA7805" w14:paraId="37FDA7FB" w14:textId="77777777" w:rsidTr="00C14997">
        <w:tc>
          <w:tcPr>
            <w:tcW w:w="5101" w:type="dxa"/>
            <w:tcBorders>
              <w:top w:val="single" w:sz="4" w:space="0" w:color="A6A6A6" w:themeColor="accent5"/>
              <w:bottom w:val="single" w:sz="4" w:space="0" w:color="auto"/>
            </w:tcBorders>
          </w:tcPr>
          <w:p w14:paraId="39C5268B" w14:textId="77777777" w:rsidR="00265792" w:rsidRPr="00BA7805" w:rsidRDefault="00265792" w:rsidP="00AF6585">
            <w:pPr>
              <w:pStyle w:val="ARfintablebody"/>
              <w:rPr>
                <w:highlight w:val="green"/>
              </w:rPr>
            </w:pPr>
            <w:r w:rsidRPr="008854D0">
              <w:t>Specialised buildings</w:t>
            </w:r>
          </w:p>
        </w:tc>
        <w:tc>
          <w:tcPr>
            <w:tcW w:w="1134" w:type="dxa"/>
            <w:tcBorders>
              <w:top w:val="single" w:sz="4" w:space="0" w:color="A6A6A6" w:themeColor="accent5"/>
              <w:bottom w:val="single" w:sz="4" w:space="0" w:color="auto"/>
            </w:tcBorders>
            <w:shd w:val="clear" w:color="auto" w:fill="EEEEEF" w:themeFill="accent4"/>
            <w:noWrap/>
          </w:tcPr>
          <w:p w14:paraId="5B647E95" w14:textId="77777777" w:rsidR="00265792" w:rsidRPr="00BA7805" w:rsidRDefault="00265792" w:rsidP="00AF6585">
            <w:pPr>
              <w:pStyle w:val="ARfintablebodyright"/>
              <w:rPr>
                <w:highlight w:val="green"/>
              </w:rPr>
            </w:pPr>
            <w:r w:rsidRPr="008854D0">
              <w:t>126.9</w:t>
            </w:r>
          </w:p>
        </w:tc>
        <w:tc>
          <w:tcPr>
            <w:tcW w:w="1134" w:type="dxa"/>
            <w:tcBorders>
              <w:top w:val="single" w:sz="4" w:space="0" w:color="A6A6A6" w:themeColor="accent5"/>
              <w:bottom w:val="single" w:sz="4" w:space="0" w:color="auto"/>
            </w:tcBorders>
            <w:noWrap/>
          </w:tcPr>
          <w:p w14:paraId="3958FD09" w14:textId="77777777" w:rsidR="00265792" w:rsidRPr="00BA7805" w:rsidRDefault="00265792" w:rsidP="00AF6585">
            <w:pPr>
              <w:pStyle w:val="ARfintablebodyright"/>
              <w:rPr>
                <w:highlight w:val="green"/>
              </w:rPr>
            </w:pPr>
            <w:r>
              <w:t>–</w:t>
            </w:r>
          </w:p>
        </w:tc>
        <w:tc>
          <w:tcPr>
            <w:tcW w:w="1134" w:type="dxa"/>
            <w:tcBorders>
              <w:top w:val="single" w:sz="4" w:space="0" w:color="A6A6A6" w:themeColor="accent5"/>
              <w:bottom w:val="single" w:sz="4" w:space="0" w:color="auto"/>
            </w:tcBorders>
            <w:noWrap/>
          </w:tcPr>
          <w:p w14:paraId="25F0131E" w14:textId="77777777" w:rsidR="00265792" w:rsidRPr="00BA7805" w:rsidRDefault="00265792" w:rsidP="00AF6585">
            <w:pPr>
              <w:pStyle w:val="ARfintablebodyright"/>
              <w:rPr>
                <w:highlight w:val="green"/>
              </w:rPr>
            </w:pPr>
            <w:r>
              <w:t>–</w:t>
            </w:r>
          </w:p>
        </w:tc>
        <w:tc>
          <w:tcPr>
            <w:tcW w:w="1134" w:type="dxa"/>
            <w:tcBorders>
              <w:top w:val="single" w:sz="4" w:space="0" w:color="A6A6A6" w:themeColor="accent5"/>
              <w:bottom w:val="single" w:sz="4" w:space="0" w:color="auto"/>
            </w:tcBorders>
            <w:noWrap/>
          </w:tcPr>
          <w:p w14:paraId="061A3F5E" w14:textId="77777777" w:rsidR="00265792" w:rsidRPr="00BA7805" w:rsidRDefault="00265792" w:rsidP="00AF6585">
            <w:pPr>
              <w:pStyle w:val="ARfintablebodyright"/>
              <w:rPr>
                <w:highlight w:val="green"/>
              </w:rPr>
            </w:pPr>
            <w:r w:rsidRPr="008854D0">
              <w:t>126.9</w:t>
            </w:r>
          </w:p>
        </w:tc>
      </w:tr>
      <w:tr w:rsidR="00265792" w:rsidRPr="00BA7805" w14:paraId="1FF45A4C" w14:textId="77777777" w:rsidTr="00C14997">
        <w:tc>
          <w:tcPr>
            <w:tcW w:w="5101" w:type="dxa"/>
            <w:tcBorders>
              <w:top w:val="single" w:sz="4" w:space="0" w:color="auto"/>
              <w:bottom w:val="single" w:sz="4" w:space="0" w:color="auto"/>
            </w:tcBorders>
          </w:tcPr>
          <w:p w14:paraId="19220FD1" w14:textId="77777777" w:rsidR="00265792" w:rsidRPr="00BA7805" w:rsidRDefault="00265792" w:rsidP="00C14997">
            <w:pPr>
              <w:pStyle w:val="ARfintablebodybold"/>
              <w:rPr>
                <w:highlight w:val="green"/>
              </w:rPr>
            </w:pPr>
            <w:r w:rsidRPr="008854D0">
              <w:t>Total buildings at fair value</w:t>
            </w:r>
          </w:p>
        </w:tc>
        <w:tc>
          <w:tcPr>
            <w:tcW w:w="1134" w:type="dxa"/>
            <w:tcBorders>
              <w:top w:val="single" w:sz="4" w:space="0" w:color="auto"/>
              <w:bottom w:val="single" w:sz="4" w:space="0" w:color="auto"/>
            </w:tcBorders>
            <w:shd w:val="clear" w:color="auto" w:fill="EEEEEF" w:themeFill="accent4"/>
            <w:noWrap/>
          </w:tcPr>
          <w:p w14:paraId="4AC59147" w14:textId="77777777" w:rsidR="00265792" w:rsidRPr="00BA7805" w:rsidRDefault="00265792" w:rsidP="00C14997">
            <w:pPr>
              <w:pStyle w:val="ARfintablebodyrightbold"/>
              <w:rPr>
                <w:highlight w:val="green"/>
              </w:rPr>
            </w:pPr>
            <w:r w:rsidRPr="008854D0">
              <w:t>13,190.5</w:t>
            </w:r>
          </w:p>
        </w:tc>
        <w:tc>
          <w:tcPr>
            <w:tcW w:w="1134" w:type="dxa"/>
            <w:tcBorders>
              <w:top w:val="single" w:sz="4" w:space="0" w:color="auto"/>
              <w:bottom w:val="single" w:sz="4" w:space="0" w:color="auto"/>
            </w:tcBorders>
            <w:noWrap/>
          </w:tcPr>
          <w:p w14:paraId="18632E28" w14:textId="77777777" w:rsidR="00265792" w:rsidRPr="00BA7805" w:rsidRDefault="00265792" w:rsidP="00C14997">
            <w:pPr>
              <w:pStyle w:val="ARfintablebodyrightbold"/>
              <w:rPr>
                <w:highlight w:val="green"/>
              </w:rPr>
            </w:pPr>
            <w:r>
              <w:t>–</w:t>
            </w:r>
          </w:p>
        </w:tc>
        <w:tc>
          <w:tcPr>
            <w:tcW w:w="1134" w:type="dxa"/>
            <w:tcBorders>
              <w:top w:val="single" w:sz="4" w:space="0" w:color="auto"/>
              <w:bottom w:val="single" w:sz="4" w:space="0" w:color="auto"/>
            </w:tcBorders>
            <w:noWrap/>
          </w:tcPr>
          <w:p w14:paraId="2FEE7472" w14:textId="77777777" w:rsidR="00265792" w:rsidRPr="00BA7805" w:rsidRDefault="00265792" w:rsidP="00C14997">
            <w:pPr>
              <w:pStyle w:val="ARfintablebodyrightbold"/>
              <w:rPr>
                <w:highlight w:val="green"/>
              </w:rPr>
            </w:pPr>
            <w:r w:rsidRPr="008854D0">
              <w:t>13,063.7</w:t>
            </w:r>
          </w:p>
        </w:tc>
        <w:tc>
          <w:tcPr>
            <w:tcW w:w="1134" w:type="dxa"/>
            <w:tcBorders>
              <w:top w:val="single" w:sz="4" w:space="0" w:color="auto"/>
              <w:bottom w:val="single" w:sz="4" w:space="0" w:color="auto"/>
            </w:tcBorders>
            <w:noWrap/>
          </w:tcPr>
          <w:p w14:paraId="69F610EE" w14:textId="77777777" w:rsidR="00265792" w:rsidRPr="00BA7805" w:rsidRDefault="00265792" w:rsidP="00C14997">
            <w:pPr>
              <w:pStyle w:val="ARfintablebodyrightbold"/>
              <w:rPr>
                <w:highlight w:val="green"/>
              </w:rPr>
            </w:pPr>
            <w:r w:rsidRPr="008854D0">
              <w:t>126.9</w:t>
            </w:r>
          </w:p>
        </w:tc>
      </w:tr>
      <w:tr w:rsidR="00265792" w:rsidRPr="00BA7805" w14:paraId="70F73066" w14:textId="77777777" w:rsidTr="00C14997">
        <w:tc>
          <w:tcPr>
            <w:tcW w:w="5101" w:type="dxa"/>
            <w:tcBorders>
              <w:top w:val="single" w:sz="4" w:space="0" w:color="A6A6A6" w:themeColor="accent5"/>
            </w:tcBorders>
          </w:tcPr>
          <w:p w14:paraId="7C38D54C" w14:textId="77777777" w:rsidR="00265792" w:rsidRPr="00BA7805" w:rsidRDefault="00265792" w:rsidP="000134FA">
            <w:pPr>
              <w:pStyle w:val="ARfintablebodybold"/>
              <w:rPr>
                <w:highlight w:val="green"/>
              </w:rPr>
            </w:pPr>
            <w:r w:rsidRPr="008854D0">
              <w:t>Plant, equipment and vehicles at fair value</w:t>
            </w:r>
          </w:p>
        </w:tc>
        <w:tc>
          <w:tcPr>
            <w:tcW w:w="1134" w:type="dxa"/>
            <w:tcBorders>
              <w:top w:val="single" w:sz="4" w:space="0" w:color="A6A6A6" w:themeColor="accent5"/>
            </w:tcBorders>
            <w:noWrap/>
          </w:tcPr>
          <w:p w14:paraId="2B5BAD96" w14:textId="77777777" w:rsidR="00265792" w:rsidRPr="00BA7805" w:rsidRDefault="00265792" w:rsidP="00AF6585">
            <w:pPr>
              <w:pStyle w:val="ARfintablebodyright"/>
              <w:rPr>
                <w:highlight w:val="green"/>
              </w:rPr>
            </w:pPr>
          </w:p>
        </w:tc>
        <w:tc>
          <w:tcPr>
            <w:tcW w:w="1134" w:type="dxa"/>
            <w:tcBorders>
              <w:top w:val="single" w:sz="4" w:space="0" w:color="A6A6A6" w:themeColor="accent5"/>
            </w:tcBorders>
            <w:noWrap/>
          </w:tcPr>
          <w:p w14:paraId="771F1966" w14:textId="77777777" w:rsidR="00265792" w:rsidRPr="00BA7805" w:rsidRDefault="00265792" w:rsidP="00AF6585">
            <w:pPr>
              <w:pStyle w:val="ARfintablebodyright"/>
              <w:rPr>
                <w:highlight w:val="green"/>
              </w:rPr>
            </w:pPr>
          </w:p>
        </w:tc>
        <w:tc>
          <w:tcPr>
            <w:tcW w:w="1134" w:type="dxa"/>
            <w:tcBorders>
              <w:top w:val="single" w:sz="4" w:space="0" w:color="A6A6A6" w:themeColor="accent5"/>
            </w:tcBorders>
            <w:noWrap/>
          </w:tcPr>
          <w:p w14:paraId="7F1E49F3" w14:textId="77777777" w:rsidR="00265792" w:rsidRPr="00BA7805" w:rsidRDefault="00265792" w:rsidP="00AF6585">
            <w:pPr>
              <w:pStyle w:val="ARfintablebodyright"/>
              <w:rPr>
                <w:highlight w:val="green"/>
              </w:rPr>
            </w:pPr>
          </w:p>
        </w:tc>
        <w:tc>
          <w:tcPr>
            <w:tcW w:w="1134" w:type="dxa"/>
            <w:tcBorders>
              <w:top w:val="single" w:sz="4" w:space="0" w:color="A6A6A6" w:themeColor="accent5"/>
            </w:tcBorders>
            <w:noWrap/>
          </w:tcPr>
          <w:p w14:paraId="4807DEB2" w14:textId="77777777" w:rsidR="00265792" w:rsidRPr="00BA7805" w:rsidRDefault="00265792" w:rsidP="00AF6585">
            <w:pPr>
              <w:pStyle w:val="ARfintablebodyright"/>
              <w:rPr>
                <w:highlight w:val="green"/>
              </w:rPr>
            </w:pPr>
          </w:p>
        </w:tc>
      </w:tr>
      <w:tr w:rsidR="00265792" w:rsidRPr="00BA7805" w14:paraId="009CE79E" w14:textId="77777777" w:rsidTr="00225BBD">
        <w:tc>
          <w:tcPr>
            <w:tcW w:w="5101" w:type="dxa"/>
          </w:tcPr>
          <w:p w14:paraId="56089BCF" w14:textId="77777777" w:rsidR="00265792" w:rsidRPr="00BA7805" w:rsidRDefault="00265792" w:rsidP="00AF6585">
            <w:pPr>
              <w:pStyle w:val="ARfintablebody"/>
              <w:rPr>
                <w:highlight w:val="green"/>
              </w:rPr>
            </w:pPr>
            <w:r w:rsidRPr="008854D0">
              <w:t>Plant and equipment</w:t>
            </w:r>
          </w:p>
        </w:tc>
        <w:tc>
          <w:tcPr>
            <w:tcW w:w="1134" w:type="dxa"/>
            <w:shd w:val="clear" w:color="auto" w:fill="EEEEEF" w:themeFill="accent4"/>
            <w:noWrap/>
          </w:tcPr>
          <w:p w14:paraId="234E3DA0" w14:textId="77777777" w:rsidR="00265792" w:rsidRPr="00BA7805" w:rsidRDefault="00265792" w:rsidP="00AF6585">
            <w:pPr>
              <w:pStyle w:val="ARfintablebodyright"/>
              <w:rPr>
                <w:highlight w:val="green"/>
              </w:rPr>
            </w:pPr>
            <w:r w:rsidRPr="008854D0">
              <w:t>0.3</w:t>
            </w:r>
          </w:p>
        </w:tc>
        <w:tc>
          <w:tcPr>
            <w:tcW w:w="1134" w:type="dxa"/>
            <w:noWrap/>
          </w:tcPr>
          <w:p w14:paraId="0B9EEC69" w14:textId="77777777" w:rsidR="00265792" w:rsidRPr="00BA7805" w:rsidRDefault="00265792" w:rsidP="00AF6585">
            <w:pPr>
              <w:pStyle w:val="ARfintablebodyright"/>
              <w:rPr>
                <w:highlight w:val="green"/>
              </w:rPr>
            </w:pPr>
            <w:r>
              <w:t>–</w:t>
            </w:r>
          </w:p>
        </w:tc>
        <w:tc>
          <w:tcPr>
            <w:tcW w:w="1134" w:type="dxa"/>
            <w:noWrap/>
          </w:tcPr>
          <w:p w14:paraId="6AE01DFB" w14:textId="77777777" w:rsidR="00265792" w:rsidRPr="00BA7805" w:rsidRDefault="00265792" w:rsidP="00AF6585">
            <w:pPr>
              <w:pStyle w:val="ARfintablebodyright"/>
              <w:rPr>
                <w:highlight w:val="green"/>
              </w:rPr>
            </w:pPr>
            <w:r w:rsidRPr="008854D0">
              <w:t>0.3</w:t>
            </w:r>
          </w:p>
        </w:tc>
        <w:tc>
          <w:tcPr>
            <w:tcW w:w="1134" w:type="dxa"/>
            <w:noWrap/>
          </w:tcPr>
          <w:p w14:paraId="32EB1BF9" w14:textId="77777777" w:rsidR="00265792" w:rsidRPr="00BA7805" w:rsidRDefault="00265792" w:rsidP="00AF6585">
            <w:pPr>
              <w:pStyle w:val="ARfintablebodyright"/>
              <w:rPr>
                <w:highlight w:val="green"/>
              </w:rPr>
            </w:pPr>
            <w:r>
              <w:t>–</w:t>
            </w:r>
          </w:p>
        </w:tc>
      </w:tr>
      <w:tr w:rsidR="00265792" w:rsidRPr="00BA7805" w14:paraId="1D566326" w14:textId="77777777" w:rsidTr="00225BBD">
        <w:trPr>
          <w:cnfStyle w:val="010000000000" w:firstRow="0" w:lastRow="1" w:firstColumn="0" w:lastColumn="0" w:oddVBand="0" w:evenVBand="0" w:oddHBand="0" w:evenHBand="0" w:firstRowFirstColumn="0" w:firstRowLastColumn="0" w:lastRowFirstColumn="0" w:lastRowLastColumn="0"/>
        </w:trPr>
        <w:tc>
          <w:tcPr>
            <w:tcW w:w="5101" w:type="dxa"/>
          </w:tcPr>
          <w:p w14:paraId="1E6E48CE" w14:textId="77777777" w:rsidR="00265792" w:rsidRPr="00BA7805" w:rsidRDefault="00265792" w:rsidP="000134FA">
            <w:pPr>
              <w:pStyle w:val="ARfintablebodybold"/>
              <w:rPr>
                <w:highlight w:val="green"/>
              </w:rPr>
            </w:pPr>
            <w:r w:rsidRPr="008854D0">
              <w:t>Total plant, equipment and vehicles at fair value</w:t>
            </w:r>
          </w:p>
        </w:tc>
        <w:tc>
          <w:tcPr>
            <w:tcW w:w="1134" w:type="dxa"/>
            <w:shd w:val="clear" w:color="auto" w:fill="EEEEEF" w:themeFill="accent4"/>
            <w:noWrap/>
          </w:tcPr>
          <w:p w14:paraId="07EBC75B" w14:textId="77777777" w:rsidR="00265792" w:rsidRPr="00FB794F" w:rsidRDefault="00265792">
            <w:pPr>
              <w:pStyle w:val="ARfintablebodyrightbold"/>
              <w:rPr>
                <w:highlight w:val="green"/>
              </w:rPr>
            </w:pPr>
            <w:r w:rsidRPr="00FB794F">
              <w:t>0.3</w:t>
            </w:r>
          </w:p>
        </w:tc>
        <w:tc>
          <w:tcPr>
            <w:tcW w:w="1134" w:type="dxa"/>
            <w:noWrap/>
          </w:tcPr>
          <w:p w14:paraId="7B4B95BB" w14:textId="77777777" w:rsidR="00265792" w:rsidRPr="00FB794F" w:rsidRDefault="00265792">
            <w:pPr>
              <w:pStyle w:val="ARfintablebodyrightbold"/>
              <w:rPr>
                <w:highlight w:val="green"/>
              </w:rPr>
            </w:pPr>
            <w:r w:rsidRPr="00FB794F">
              <w:t>–</w:t>
            </w:r>
          </w:p>
        </w:tc>
        <w:tc>
          <w:tcPr>
            <w:tcW w:w="1134" w:type="dxa"/>
            <w:noWrap/>
          </w:tcPr>
          <w:p w14:paraId="1DBC1AD0" w14:textId="77777777" w:rsidR="00265792" w:rsidRPr="00FB794F" w:rsidRDefault="00265792">
            <w:pPr>
              <w:pStyle w:val="ARfintablebodyrightbold"/>
              <w:rPr>
                <w:highlight w:val="green"/>
              </w:rPr>
            </w:pPr>
            <w:r w:rsidRPr="00FB794F">
              <w:t>0.3</w:t>
            </w:r>
          </w:p>
        </w:tc>
        <w:tc>
          <w:tcPr>
            <w:tcW w:w="1134" w:type="dxa"/>
            <w:noWrap/>
          </w:tcPr>
          <w:p w14:paraId="545D60C6" w14:textId="77777777" w:rsidR="00265792" w:rsidRPr="00FB794F" w:rsidRDefault="00265792">
            <w:pPr>
              <w:pStyle w:val="ARfintablebodyrightbold"/>
              <w:rPr>
                <w:highlight w:val="green"/>
              </w:rPr>
            </w:pPr>
            <w:r w:rsidRPr="00FB794F">
              <w:t>–</w:t>
            </w:r>
          </w:p>
        </w:tc>
      </w:tr>
    </w:tbl>
    <w:p w14:paraId="16266CC4" w14:textId="77777777" w:rsidR="00265792" w:rsidRDefault="00265792" w:rsidP="002542E1">
      <w:pPr>
        <w:pStyle w:val="ARfinbody"/>
      </w:pPr>
    </w:p>
    <w:tbl>
      <w:tblPr>
        <w:tblStyle w:val="TableGrid"/>
        <w:tblW w:w="9637" w:type="dxa"/>
        <w:tblLayout w:type="fixed"/>
        <w:tblLook w:val="06E0" w:firstRow="1" w:lastRow="1" w:firstColumn="1" w:lastColumn="0" w:noHBand="1" w:noVBand="1"/>
      </w:tblPr>
      <w:tblGrid>
        <w:gridCol w:w="5101"/>
        <w:gridCol w:w="1134"/>
        <w:gridCol w:w="1134"/>
        <w:gridCol w:w="1134"/>
        <w:gridCol w:w="1134"/>
      </w:tblGrid>
      <w:tr w:rsidR="00265792" w:rsidRPr="00BA7805" w14:paraId="4375C315" w14:textId="77777777" w:rsidTr="00E66D65">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hideMark/>
          </w:tcPr>
          <w:p w14:paraId="5B276B60" w14:textId="77777777" w:rsidR="00265792" w:rsidRPr="002F4B20" w:rsidRDefault="00265792">
            <w:pPr>
              <w:pStyle w:val="ARfintablecolhead"/>
            </w:pPr>
            <w:r w:rsidRPr="002F4B20">
              <w:t>202</w:t>
            </w:r>
            <w:r>
              <w:t>4</w:t>
            </w:r>
          </w:p>
        </w:tc>
        <w:tc>
          <w:tcPr>
            <w:tcW w:w="1134" w:type="dxa"/>
            <w:vMerge w:val="restart"/>
            <w:shd w:val="clear" w:color="auto" w:fill="EEEEEF" w:themeFill="accent4"/>
            <w:hideMark/>
          </w:tcPr>
          <w:p w14:paraId="124F295B" w14:textId="77777777" w:rsidR="00265792" w:rsidRPr="002F4B20" w:rsidRDefault="00265792">
            <w:pPr>
              <w:pStyle w:val="ARfintablecolheadright"/>
            </w:pPr>
            <w:r w:rsidRPr="002F4B20">
              <w:t>Carrying amount</w:t>
            </w:r>
          </w:p>
          <w:p w14:paraId="01F2359E" w14:textId="77777777" w:rsidR="00265792" w:rsidRPr="002F4B20" w:rsidRDefault="00265792">
            <w:pPr>
              <w:pStyle w:val="ARfintablecolheadright"/>
            </w:pPr>
            <w:r w:rsidRPr="002F4B20">
              <w:t>$M</w:t>
            </w:r>
          </w:p>
        </w:tc>
        <w:tc>
          <w:tcPr>
            <w:tcW w:w="3402" w:type="dxa"/>
            <w:gridSpan w:val="3"/>
            <w:hideMark/>
          </w:tcPr>
          <w:p w14:paraId="43FFB2A8" w14:textId="77777777" w:rsidR="00265792" w:rsidRPr="002F4B20" w:rsidRDefault="00265792">
            <w:pPr>
              <w:pStyle w:val="ARfintablecolheadcentre"/>
            </w:pPr>
            <w:r w:rsidRPr="002F4B20">
              <w:t xml:space="preserve">Fair value measurement at end </w:t>
            </w:r>
            <w:r w:rsidRPr="002F4B20">
              <w:br/>
              <w:t>of reporting period using:</w:t>
            </w:r>
          </w:p>
        </w:tc>
      </w:tr>
      <w:tr w:rsidR="00265792" w:rsidRPr="00BA7805" w14:paraId="2879C506" w14:textId="77777777" w:rsidTr="00E66D65">
        <w:trPr>
          <w:cnfStyle w:val="100000000000" w:firstRow="1" w:lastRow="0" w:firstColumn="0" w:lastColumn="0" w:oddVBand="0" w:evenVBand="0" w:oddHBand="0" w:evenHBand="0" w:firstRowFirstColumn="0" w:firstRowLastColumn="0" w:lastRowFirstColumn="0" w:lastRowLastColumn="0"/>
          <w:trHeight w:val="255"/>
          <w:tblHeader/>
        </w:trPr>
        <w:tc>
          <w:tcPr>
            <w:tcW w:w="5101" w:type="dxa"/>
            <w:vMerge/>
            <w:hideMark/>
          </w:tcPr>
          <w:p w14:paraId="17C9C443" w14:textId="77777777" w:rsidR="00265792" w:rsidRPr="002F4B20" w:rsidRDefault="00265792">
            <w:pPr>
              <w:pStyle w:val="ARfintablecolhead"/>
            </w:pPr>
          </w:p>
        </w:tc>
        <w:tc>
          <w:tcPr>
            <w:tcW w:w="1134" w:type="dxa"/>
            <w:vMerge/>
            <w:shd w:val="clear" w:color="auto" w:fill="EEEEEF" w:themeFill="accent4"/>
            <w:hideMark/>
          </w:tcPr>
          <w:p w14:paraId="327B0AB1" w14:textId="77777777" w:rsidR="00265792" w:rsidRPr="002F4B20" w:rsidRDefault="00265792">
            <w:pPr>
              <w:pStyle w:val="ARfintablecolheadright"/>
            </w:pPr>
          </w:p>
        </w:tc>
        <w:tc>
          <w:tcPr>
            <w:tcW w:w="1134" w:type="dxa"/>
            <w:hideMark/>
          </w:tcPr>
          <w:p w14:paraId="355605AA" w14:textId="77777777" w:rsidR="00265792" w:rsidRPr="002F4B20" w:rsidRDefault="00265792">
            <w:pPr>
              <w:pStyle w:val="ARfintablecolheadright"/>
            </w:pPr>
            <w:r w:rsidRPr="002F4B20">
              <w:t xml:space="preserve">Level 1 </w:t>
            </w:r>
            <w:r w:rsidRPr="002F4B20">
              <w:rPr>
                <w:rStyle w:val="Superscript"/>
              </w:rPr>
              <w:t>(</w:t>
            </w:r>
            <w:proofErr w:type="spellStart"/>
            <w:r w:rsidRPr="002F4B20">
              <w:rPr>
                <w:rStyle w:val="Superscript"/>
              </w:rPr>
              <w:t>i</w:t>
            </w:r>
            <w:proofErr w:type="spellEnd"/>
            <w:r w:rsidRPr="002F4B20">
              <w:rPr>
                <w:rStyle w:val="Superscript"/>
              </w:rPr>
              <w:t>)</w:t>
            </w:r>
          </w:p>
          <w:p w14:paraId="40240AAC" w14:textId="77777777" w:rsidR="00265792" w:rsidRPr="002F4B20" w:rsidRDefault="00265792">
            <w:pPr>
              <w:pStyle w:val="ARfintablecolheadright"/>
            </w:pPr>
            <w:r w:rsidRPr="002F4B20">
              <w:t>$M</w:t>
            </w:r>
          </w:p>
        </w:tc>
        <w:tc>
          <w:tcPr>
            <w:tcW w:w="1134" w:type="dxa"/>
            <w:hideMark/>
          </w:tcPr>
          <w:p w14:paraId="41BA4000" w14:textId="77777777" w:rsidR="00265792" w:rsidRPr="002F4B20" w:rsidRDefault="00265792">
            <w:pPr>
              <w:pStyle w:val="ARfintablecolheadright"/>
            </w:pPr>
            <w:r w:rsidRPr="002F4B20">
              <w:t xml:space="preserve">Level 2 </w:t>
            </w:r>
            <w:r w:rsidRPr="002F4B20">
              <w:rPr>
                <w:rStyle w:val="Superscript"/>
              </w:rPr>
              <w:t>(</w:t>
            </w:r>
            <w:proofErr w:type="spellStart"/>
            <w:r w:rsidRPr="002F4B20">
              <w:rPr>
                <w:rStyle w:val="Superscript"/>
              </w:rPr>
              <w:t>i</w:t>
            </w:r>
            <w:proofErr w:type="spellEnd"/>
            <w:r w:rsidRPr="002F4B20">
              <w:rPr>
                <w:rStyle w:val="Superscript"/>
              </w:rPr>
              <w:t>)</w:t>
            </w:r>
          </w:p>
          <w:p w14:paraId="21361FD6" w14:textId="77777777" w:rsidR="00265792" w:rsidRPr="002F4B20" w:rsidRDefault="00265792">
            <w:pPr>
              <w:pStyle w:val="ARfintablecolheadright"/>
            </w:pPr>
            <w:r w:rsidRPr="002F4B20">
              <w:t>$M</w:t>
            </w:r>
          </w:p>
        </w:tc>
        <w:tc>
          <w:tcPr>
            <w:tcW w:w="1134" w:type="dxa"/>
            <w:hideMark/>
          </w:tcPr>
          <w:p w14:paraId="3470146F" w14:textId="77777777" w:rsidR="00265792" w:rsidRPr="002F4B20" w:rsidRDefault="00265792">
            <w:pPr>
              <w:pStyle w:val="ARfintablecolheadright"/>
            </w:pPr>
            <w:r w:rsidRPr="002F4B20">
              <w:t xml:space="preserve">Level 3 </w:t>
            </w:r>
            <w:r w:rsidRPr="002F4B20">
              <w:rPr>
                <w:rStyle w:val="Superscript"/>
              </w:rPr>
              <w:t>(</w:t>
            </w:r>
            <w:proofErr w:type="spellStart"/>
            <w:r w:rsidRPr="002F4B20">
              <w:rPr>
                <w:rStyle w:val="Superscript"/>
              </w:rPr>
              <w:t>i</w:t>
            </w:r>
            <w:proofErr w:type="spellEnd"/>
            <w:r w:rsidRPr="002F4B20">
              <w:rPr>
                <w:rStyle w:val="Superscript"/>
              </w:rPr>
              <w:t>)</w:t>
            </w:r>
          </w:p>
          <w:p w14:paraId="4ACCA8EF" w14:textId="77777777" w:rsidR="00265792" w:rsidRPr="002F4B20" w:rsidRDefault="00265792">
            <w:pPr>
              <w:pStyle w:val="ARfintablecolheadright"/>
            </w:pPr>
            <w:r w:rsidRPr="002F4B20">
              <w:t>$M</w:t>
            </w:r>
          </w:p>
        </w:tc>
      </w:tr>
      <w:tr w:rsidR="00265792" w:rsidRPr="00BA7805" w14:paraId="160D80B1" w14:textId="77777777" w:rsidTr="008F0E63">
        <w:trPr>
          <w:trHeight w:val="255"/>
        </w:trPr>
        <w:tc>
          <w:tcPr>
            <w:tcW w:w="5101" w:type="dxa"/>
          </w:tcPr>
          <w:p w14:paraId="628835BE" w14:textId="77777777" w:rsidR="00265792" w:rsidRPr="00BA7805" w:rsidRDefault="00265792" w:rsidP="008F0E63">
            <w:pPr>
              <w:pStyle w:val="ARfintablebodybold"/>
              <w:rPr>
                <w:highlight w:val="green"/>
              </w:rPr>
            </w:pPr>
            <w:r w:rsidRPr="00661E57">
              <w:t>Land at fair value</w:t>
            </w:r>
          </w:p>
        </w:tc>
        <w:tc>
          <w:tcPr>
            <w:tcW w:w="1134" w:type="dxa"/>
            <w:noWrap/>
          </w:tcPr>
          <w:p w14:paraId="1E82AD91" w14:textId="77777777" w:rsidR="00265792" w:rsidRPr="00BA7805" w:rsidRDefault="00265792" w:rsidP="00AF6585">
            <w:pPr>
              <w:pStyle w:val="ARfintablebodyright"/>
              <w:rPr>
                <w:highlight w:val="green"/>
              </w:rPr>
            </w:pPr>
          </w:p>
        </w:tc>
        <w:tc>
          <w:tcPr>
            <w:tcW w:w="1134" w:type="dxa"/>
            <w:noWrap/>
          </w:tcPr>
          <w:p w14:paraId="16494A9A" w14:textId="77777777" w:rsidR="00265792" w:rsidRPr="00BA7805" w:rsidRDefault="00265792" w:rsidP="00AF6585">
            <w:pPr>
              <w:pStyle w:val="ARfintablebodyright"/>
              <w:rPr>
                <w:highlight w:val="green"/>
              </w:rPr>
            </w:pPr>
          </w:p>
        </w:tc>
        <w:tc>
          <w:tcPr>
            <w:tcW w:w="1134" w:type="dxa"/>
            <w:noWrap/>
          </w:tcPr>
          <w:p w14:paraId="14BFAEE5" w14:textId="77777777" w:rsidR="00265792" w:rsidRPr="00BA7805" w:rsidRDefault="00265792" w:rsidP="00AF6585">
            <w:pPr>
              <w:pStyle w:val="ARfintablebodyright"/>
              <w:rPr>
                <w:highlight w:val="green"/>
              </w:rPr>
            </w:pPr>
          </w:p>
        </w:tc>
        <w:tc>
          <w:tcPr>
            <w:tcW w:w="1134" w:type="dxa"/>
            <w:noWrap/>
          </w:tcPr>
          <w:p w14:paraId="18A53C78" w14:textId="77777777" w:rsidR="00265792" w:rsidRPr="00BA7805" w:rsidRDefault="00265792" w:rsidP="00AF6585">
            <w:pPr>
              <w:pStyle w:val="ARfintablebodyright"/>
              <w:rPr>
                <w:highlight w:val="green"/>
              </w:rPr>
            </w:pPr>
          </w:p>
        </w:tc>
      </w:tr>
      <w:tr w:rsidR="00265792" w:rsidRPr="00BA7805" w14:paraId="1E90F897" w14:textId="77777777" w:rsidTr="008F0E63">
        <w:trPr>
          <w:trHeight w:val="255"/>
        </w:trPr>
        <w:tc>
          <w:tcPr>
            <w:tcW w:w="5101" w:type="dxa"/>
            <w:tcBorders>
              <w:bottom w:val="single" w:sz="4" w:space="0" w:color="A6A6A6" w:themeColor="accent5"/>
            </w:tcBorders>
          </w:tcPr>
          <w:p w14:paraId="1F0EC984" w14:textId="77777777" w:rsidR="00265792" w:rsidRPr="00BA7805" w:rsidRDefault="00265792" w:rsidP="00AF6585">
            <w:pPr>
              <w:pStyle w:val="ARfintablebody"/>
              <w:rPr>
                <w:highlight w:val="green"/>
              </w:rPr>
            </w:pPr>
            <w:r w:rsidRPr="00661E57">
              <w:t>Non-specialised land</w:t>
            </w:r>
          </w:p>
        </w:tc>
        <w:tc>
          <w:tcPr>
            <w:tcW w:w="1134" w:type="dxa"/>
            <w:tcBorders>
              <w:bottom w:val="single" w:sz="4" w:space="0" w:color="A6A6A6" w:themeColor="accent5"/>
            </w:tcBorders>
            <w:shd w:val="clear" w:color="auto" w:fill="EEEEEF" w:themeFill="accent4"/>
            <w:noWrap/>
          </w:tcPr>
          <w:p w14:paraId="15557DCF" w14:textId="77777777" w:rsidR="00265792" w:rsidRPr="00BA7805" w:rsidRDefault="00265792" w:rsidP="00AF6585">
            <w:pPr>
              <w:pStyle w:val="ARfintablebodyright"/>
              <w:rPr>
                <w:highlight w:val="green"/>
              </w:rPr>
            </w:pPr>
            <w:r w:rsidRPr="00661E57">
              <w:t>23,940.3</w:t>
            </w:r>
          </w:p>
        </w:tc>
        <w:tc>
          <w:tcPr>
            <w:tcW w:w="1134" w:type="dxa"/>
            <w:tcBorders>
              <w:bottom w:val="single" w:sz="4" w:space="0" w:color="A6A6A6" w:themeColor="accent5"/>
            </w:tcBorders>
            <w:noWrap/>
          </w:tcPr>
          <w:p w14:paraId="0BC8322A" w14:textId="77777777" w:rsidR="00265792" w:rsidRPr="00BA7805" w:rsidRDefault="00265792" w:rsidP="00AF6585">
            <w:pPr>
              <w:pStyle w:val="ARfintablebodyright"/>
              <w:rPr>
                <w:highlight w:val="green"/>
              </w:rPr>
            </w:pPr>
            <w:r>
              <w:t>–</w:t>
            </w:r>
          </w:p>
        </w:tc>
        <w:tc>
          <w:tcPr>
            <w:tcW w:w="1134" w:type="dxa"/>
            <w:tcBorders>
              <w:bottom w:val="single" w:sz="4" w:space="0" w:color="A6A6A6" w:themeColor="accent5"/>
            </w:tcBorders>
            <w:noWrap/>
          </w:tcPr>
          <w:p w14:paraId="1A391F12" w14:textId="77777777" w:rsidR="00265792" w:rsidRPr="00BA7805" w:rsidRDefault="00265792" w:rsidP="00AF6585">
            <w:pPr>
              <w:pStyle w:val="ARfintablebodyright"/>
              <w:rPr>
                <w:highlight w:val="green"/>
              </w:rPr>
            </w:pPr>
            <w:r w:rsidRPr="00661E57">
              <w:t>23,940.3</w:t>
            </w:r>
          </w:p>
        </w:tc>
        <w:tc>
          <w:tcPr>
            <w:tcW w:w="1134" w:type="dxa"/>
            <w:tcBorders>
              <w:bottom w:val="single" w:sz="4" w:space="0" w:color="A6A6A6" w:themeColor="accent5"/>
            </w:tcBorders>
            <w:noWrap/>
          </w:tcPr>
          <w:p w14:paraId="1C69B6A7" w14:textId="77777777" w:rsidR="00265792" w:rsidRPr="00BA7805" w:rsidRDefault="00265792" w:rsidP="00AF6585">
            <w:pPr>
              <w:pStyle w:val="ARfintablebodyright"/>
              <w:rPr>
                <w:highlight w:val="green"/>
              </w:rPr>
            </w:pPr>
            <w:r>
              <w:t>–</w:t>
            </w:r>
          </w:p>
        </w:tc>
      </w:tr>
      <w:tr w:rsidR="00265792" w:rsidRPr="00BA7805" w14:paraId="4CE836BD" w14:textId="77777777" w:rsidTr="008F0E63">
        <w:trPr>
          <w:trHeight w:val="255"/>
        </w:trPr>
        <w:tc>
          <w:tcPr>
            <w:tcW w:w="5101" w:type="dxa"/>
            <w:tcBorders>
              <w:top w:val="single" w:sz="4" w:space="0" w:color="A6A6A6" w:themeColor="accent5"/>
              <w:bottom w:val="single" w:sz="4" w:space="0" w:color="auto"/>
            </w:tcBorders>
          </w:tcPr>
          <w:p w14:paraId="3A9D7D1E" w14:textId="77777777" w:rsidR="00265792" w:rsidRPr="00BA7805" w:rsidRDefault="00265792" w:rsidP="00AF6585">
            <w:pPr>
              <w:pStyle w:val="ARfintablebody"/>
              <w:rPr>
                <w:highlight w:val="green"/>
              </w:rPr>
            </w:pPr>
            <w:r w:rsidRPr="00661E57">
              <w:t>Specialised land</w:t>
            </w:r>
          </w:p>
        </w:tc>
        <w:tc>
          <w:tcPr>
            <w:tcW w:w="1134" w:type="dxa"/>
            <w:tcBorders>
              <w:top w:val="single" w:sz="4" w:space="0" w:color="A6A6A6" w:themeColor="accent5"/>
              <w:bottom w:val="single" w:sz="4" w:space="0" w:color="auto"/>
            </w:tcBorders>
            <w:shd w:val="clear" w:color="auto" w:fill="EEEEEF" w:themeFill="accent4"/>
            <w:noWrap/>
          </w:tcPr>
          <w:p w14:paraId="46D5AD95" w14:textId="77777777" w:rsidR="00265792" w:rsidRPr="00BA7805" w:rsidRDefault="00265792" w:rsidP="00AF6585">
            <w:pPr>
              <w:pStyle w:val="ARfintablebodyright"/>
              <w:rPr>
                <w:highlight w:val="green"/>
              </w:rPr>
            </w:pPr>
            <w:r w:rsidRPr="00661E57">
              <w:t>170.2</w:t>
            </w:r>
          </w:p>
        </w:tc>
        <w:tc>
          <w:tcPr>
            <w:tcW w:w="1134" w:type="dxa"/>
            <w:tcBorders>
              <w:top w:val="single" w:sz="4" w:space="0" w:color="A6A6A6" w:themeColor="accent5"/>
              <w:bottom w:val="single" w:sz="4" w:space="0" w:color="auto"/>
            </w:tcBorders>
            <w:noWrap/>
          </w:tcPr>
          <w:p w14:paraId="0E710420" w14:textId="77777777" w:rsidR="00265792" w:rsidRPr="00BA7805" w:rsidRDefault="00265792" w:rsidP="00AF6585">
            <w:pPr>
              <w:pStyle w:val="ARfintablebodyright"/>
              <w:rPr>
                <w:highlight w:val="green"/>
              </w:rPr>
            </w:pPr>
            <w:r>
              <w:t>–</w:t>
            </w:r>
          </w:p>
        </w:tc>
        <w:tc>
          <w:tcPr>
            <w:tcW w:w="1134" w:type="dxa"/>
            <w:tcBorders>
              <w:top w:val="single" w:sz="4" w:space="0" w:color="A6A6A6" w:themeColor="accent5"/>
              <w:bottom w:val="single" w:sz="4" w:space="0" w:color="auto"/>
            </w:tcBorders>
            <w:noWrap/>
          </w:tcPr>
          <w:p w14:paraId="20B7EEAF" w14:textId="77777777" w:rsidR="00265792" w:rsidRPr="00BA7805" w:rsidRDefault="00265792" w:rsidP="00AF6585">
            <w:pPr>
              <w:pStyle w:val="ARfintablebodyright"/>
              <w:rPr>
                <w:highlight w:val="green"/>
              </w:rPr>
            </w:pPr>
            <w:r>
              <w:t>–</w:t>
            </w:r>
          </w:p>
        </w:tc>
        <w:tc>
          <w:tcPr>
            <w:tcW w:w="1134" w:type="dxa"/>
            <w:tcBorders>
              <w:top w:val="single" w:sz="4" w:space="0" w:color="A6A6A6" w:themeColor="accent5"/>
              <w:bottom w:val="single" w:sz="4" w:space="0" w:color="auto"/>
            </w:tcBorders>
            <w:noWrap/>
          </w:tcPr>
          <w:p w14:paraId="4B4C65BF" w14:textId="77777777" w:rsidR="00265792" w:rsidRPr="00BA7805" w:rsidRDefault="00265792" w:rsidP="00AF6585">
            <w:pPr>
              <w:pStyle w:val="ARfintablebodyright"/>
              <w:rPr>
                <w:highlight w:val="green"/>
              </w:rPr>
            </w:pPr>
            <w:r w:rsidRPr="00661E57">
              <w:t>170.2</w:t>
            </w:r>
          </w:p>
        </w:tc>
      </w:tr>
      <w:tr w:rsidR="00265792" w:rsidRPr="00BA7805" w14:paraId="4379A1C7" w14:textId="77777777" w:rsidTr="008F0E63">
        <w:trPr>
          <w:trHeight w:val="255"/>
        </w:trPr>
        <w:tc>
          <w:tcPr>
            <w:tcW w:w="5101" w:type="dxa"/>
            <w:tcBorders>
              <w:top w:val="single" w:sz="4" w:space="0" w:color="auto"/>
              <w:bottom w:val="single" w:sz="4" w:space="0" w:color="auto"/>
            </w:tcBorders>
          </w:tcPr>
          <w:p w14:paraId="0388CF26" w14:textId="77777777" w:rsidR="00265792" w:rsidRPr="00BA7805" w:rsidRDefault="00265792" w:rsidP="008F0E63">
            <w:pPr>
              <w:pStyle w:val="ARfintablebodybold"/>
              <w:rPr>
                <w:highlight w:val="green"/>
              </w:rPr>
            </w:pPr>
            <w:r w:rsidRPr="00661E57">
              <w:t>Total land at fair value</w:t>
            </w:r>
          </w:p>
        </w:tc>
        <w:tc>
          <w:tcPr>
            <w:tcW w:w="1134" w:type="dxa"/>
            <w:tcBorders>
              <w:top w:val="single" w:sz="4" w:space="0" w:color="auto"/>
              <w:bottom w:val="single" w:sz="4" w:space="0" w:color="auto"/>
            </w:tcBorders>
            <w:shd w:val="clear" w:color="auto" w:fill="EEEEEF" w:themeFill="accent4"/>
            <w:noWrap/>
          </w:tcPr>
          <w:p w14:paraId="327F9A28" w14:textId="77777777" w:rsidR="00265792" w:rsidRPr="00BA7805" w:rsidRDefault="00265792" w:rsidP="008F0E63">
            <w:pPr>
              <w:pStyle w:val="ARfintablebodyrightbold"/>
              <w:rPr>
                <w:highlight w:val="green"/>
              </w:rPr>
            </w:pPr>
            <w:r w:rsidRPr="00661E57">
              <w:t>24,110.5</w:t>
            </w:r>
          </w:p>
        </w:tc>
        <w:tc>
          <w:tcPr>
            <w:tcW w:w="1134" w:type="dxa"/>
            <w:tcBorders>
              <w:top w:val="single" w:sz="4" w:space="0" w:color="auto"/>
              <w:bottom w:val="single" w:sz="4" w:space="0" w:color="auto"/>
            </w:tcBorders>
            <w:noWrap/>
          </w:tcPr>
          <w:p w14:paraId="6449B098" w14:textId="77777777" w:rsidR="00265792" w:rsidRPr="00BA7805" w:rsidRDefault="00265792" w:rsidP="008F0E63">
            <w:pPr>
              <w:pStyle w:val="ARfintablebodyrightbold"/>
              <w:rPr>
                <w:highlight w:val="green"/>
              </w:rPr>
            </w:pPr>
            <w:r>
              <w:t>–</w:t>
            </w:r>
          </w:p>
        </w:tc>
        <w:tc>
          <w:tcPr>
            <w:tcW w:w="1134" w:type="dxa"/>
            <w:tcBorders>
              <w:top w:val="single" w:sz="4" w:space="0" w:color="auto"/>
              <w:bottom w:val="single" w:sz="4" w:space="0" w:color="auto"/>
            </w:tcBorders>
            <w:noWrap/>
          </w:tcPr>
          <w:p w14:paraId="7A089CAB" w14:textId="77777777" w:rsidR="00265792" w:rsidRPr="00BA7805" w:rsidRDefault="00265792" w:rsidP="008F0E63">
            <w:pPr>
              <w:pStyle w:val="ARfintablebodyrightbold"/>
              <w:rPr>
                <w:highlight w:val="green"/>
              </w:rPr>
            </w:pPr>
            <w:r w:rsidRPr="00661E57">
              <w:t>23,940.3</w:t>
            </w:r>
          </w:p>
        </w:tc>
        <w:tc>
          <w:tcPr>
            <w:tcW w:w="1134" w:type="dxa"/>
            <w:tcBorders>
              <w:top w:val="single" w:sz="4" w:space="0" w:color="auto"/>
              <w:bottom w:val="single" w:sz="4" w:space="0" w:color="auto"/>
            </w:tcBorders>
            <w:noWrap/>
          </w:tcPr>
          <w:p w14:paraId="376F4A14" w14:textId="77777777" w:rsidR="00265792" w:rsidRPr="00BA7805" w:rsidRDefault="00265792" w:rsidP="008F0E63">
            <w:pPr>
              <w:pStyle w:val="ARfintablebodyrightbold"/>
              <w:rPr>
                <w:highlight w:val="green"/>
              </w:rPr>
            </w:pPr>
            <w:r w:rsidRPr="00661E57">
              <w:t>170.2</w:t>
            </w:r>
          </w:p>
        </w:tc>
      </w:tr>
      <w:tr w:rsidR="00265792" w:rsidRPr="00BA7805" w14:paraId="625D89AD" w14:textId="77777777" w:rsidTr="008F0E63">
        <w:trPr>
          <w:trHeight w:val="255"/>
        </w:trPr>
        <w:tc>
          <w:tcPr>
            <w:tcW w:w="5101" w:type="dxa"/>
            <w:tcBorders>
              <w:top w:val="single" w:sz="4" w:space="0" w:color="A6A6A6" w:themeColor="accent5"/>
            </w:tcBorders>
          </w:tcPr>
          <w:p w14:paraId="2C403832" w14:textId="77777777" w:rsidR="00265792" w:rsidRPr="00BA7805" w:rsidRDefault="00265792" w:rsidP="008F0E63">
            <w:pPr>
              <w:pStyle w:val="ARfintablebodybold"/>
              <w:rPr>
                <w:highlight w:val="green"/>
              </w:rPr>
            </w:pPr>
            <w:r w:rsidRPr="00661E57">
              <w:t>Buildings at fair value</w:t>
            </w:r>
          </w:p>
        </w:tc>
        <w:tc>
          <w:tcPr>
            <w:tcW w:w="1134" w:type="dxa"/>
            <w:tcBorders>
              <w:top w:val="single" w:sz="4" w:space="0" w:color="A6A6A6" w:themeColor="accent5"/>
            </w:tcBorders>
            <w:noWrap/>
          </w:tcPr>
          <w:p w14:paraId="36B89508" w14:textId="77777777" w:rsidR="00265792" w:rsidRPr="00BA7805" w:rsidRDefault="00265792" w:rsidP="00AF6585">
            <w:pPr>
              <w:pStyle w:val="ARfintablebodyright"/>
              <w:rPr>
                <w:highlight w:val="green"/>
              </w:rPr>
            </w:pPr>
          </w:p>
        </w:tc>
        <w:tc>
          <w:tcPr>
            <w:tcW w:w="1134" w:type="dxa"/>
            <w:tcBorders>
              <w:top w:val="single" w:sz="4" w:space="0" w:color="A6A6A6" w:themeColor="accent5"/>
            </w:tcBorders>
            <w:noWrap/>
          </w:tcPr>
          <w:p w14:paraId="623A1697" w14:textId="77777777" w:rsidR="00265792" w:rsidRPr="00BA7805" w:rsidRDefault="00265792" w:rsidP="00AF6585">
            <w:pPr>
              <w:pStyle w:val="ARfintablebodyright"/>
              <w:rPr>
                <w:highlight w:val="green"/>
              </w:rPr>
            </w:pPr>
          </w:p>
        </w:tc>
        <w:tc>
          <w:tcPr>
            <w:tcW w:w="1134" w:type="dxa"/>
            <w:tcBorders>
              <w:top w:val="single" w:sz="4" w:space="0" w:color="A6A6A6" w:themeColor="accent5"/>
            </w:tcBorders>
            <w:noWrap/>
          </w:tcPr>
          <w:p w14:paraId="69819205" w14:textId="77777777" w:rsidR="00265792" w:rsidRPr="00BA7805" w:rsidRDefault="00265792" w:rsidP="00AF6585">
            <w:pPr>
              <w:pStyle w:val="ARfintablebodyright"/>
              <w:rPr>
                <w:highlight w:val="green"/>
              </w:rPr>
            </w:pPr>
          </w:p>
        </w:tc>
        <w:tc>
          <w:tcPr>
            <w:tcW w:w="1134" w:type="dxa"/>
            <w:tcBorders>
              <w:top w:val="single" w:sz="4" w:space="0" w:color="A6A6A6" w:themeColor="accent5"/>
            </w:tcBorders>
            <w:noWrap/>
          </w:tcPr>
          <w:p w14:paraId="2ACBAAA0" w14:textId="77777777" w:rsidR="00265792" w:rsidRPr="00BA7805" w:rsidRDefault="00265792" w:rsidP="00AF6585">
            <w:pPr>
              <w:pStyle w:val="ARfintablebodyright"/>
              <w:rPr>
                <w:highlight w:val="green"/>
              </w:rPr>
            </w:pPr>
          </w:p>
        </w:tc>
      </w:tr>
      <w:tr w:rsidR="00265792" w:rsidRPr="00BA7805" w14:paraId="34DA23E8" w14:textId="77777777" w:rsidTr="008F0E63">
        <w:trPr>
          <w:trHeight w:val="255"/>
        </w:trPr>
        <w:tc>
          <w:tcPr>
            <w:tcW w:w="5101" w:type="dxa"/>
            <w:tcBorders>
              <w:bottom w:val="single" w:sz="4" w:space="0" w:color="A6A6A6" w:themeColor="accent5"/>
            </w:tcBorders>
          </w:tcPr>
          <w:p w14:paraId="39778B9D" w14:textId="77777777" w:rsidR="00265792" w:rsidRPr="00BA7805" w:rsidRDefault="00265792" w:rsidP="00AF6585">
            <w:pPr>
              <w:pStyle w:val="ARfintablebody"/>
              <w:rPr>
                <w:highlight w:val="green"/>
              </w:rPr>
            </w:pPr>
            <w:r w:rsidRPr="00661E57">
              <w:t>Non-specialised buildings</w:t>
            </w:r>
          </w:p>
        </w:tc>
        <w:tc>
          <w:tcPr>
            <w:tcW w:w="1134" w:type="dxa"/>
            <w:tcBorders>
              <w:bottom w:val="single" w:sz="4" w:space="0" w:color="A6A6A6" w:themeColor="accent5"/>
            </w:tcBorders>
            <w:shd w:val="clear" w:color="auto" w:fill="EEEEEF" w:themeFill="accent4"/>
            <w:noWrap/>
          </w:tcPr>
          <w:p w14:paraId="3A33D0BD" w14:textId="77777777" w:rsidR="00265792" w:rsidRPr="00BA7805" w:rsidRDefault="00265792" w:rsidP="00AF6585">
            <w:pPr>
              <w:pStyle w:val="ARfintablebodyright"/>
              <w:rPr>
                <w:highlight w:val="green"/>
              </w:rPr>
            </w:pPr>
            <w:r w:rsidRPr="00661E57">
              <w:t>12,967.3</w:t>
            </w:r>
          </w:p>
        </w:tc>
        <w:tc>
          <w:tcPr>
            <w:tcW w:w="1134" w:type="dxa"/>
            <w:tcBorders>
              <w:bottom w:val="single" w:sz="4" w:space="0" w:color="A6A6A6" w:themeColor="accent5"/>
            </w:tcBorders>
            <w:noWrap/>
          </w:tcPr>
          <w:p w14:paraId="70DBC02B" w14:textId="77777777" w:rsidR="00265792" w:rsidRPr="00BA7805" w:rsidRDefault="00265792" w:rsidP="00AF6585">
            <w:pPr>
              <w:pStyle w:val="ARfintablebodyright"/>
              <w:rPr>
                <w:highlight w:val="green"/>
              </w:rPr>
            </w:pPr>
            <w:r>
              <w:t>–</w:t>
            </w:r>
          </w:p>
        </w:tc>
        <w:tc>
          <w:tcPr>
            <w:tcW w:w="1134" w:type="dxa"/>
            <w:tcBorders>
              <w:bottom w:val="single" w:sz="4" w:space="0" w:color="A6A6A6" w:themeColor="accent5"/>
            </w:tcBorders>
            <w:noWrap/>
          </w:tcPr>
          <w:p w14:paraId="396825D6" w14:textId="77777777" w:rsidR="00265792" w:rsidRPr="00BA7805" w:rsidRDefault="00265792" w:rsidP="00AF6585">
            <w:pPr>
              <w:pStyle w:val="ARfintablebodyright"/>
              <w:rPr>
                <w:highlight w:val="green"/>
              </w:rPr>
            </w:pPr>
            <w:r w:rsidRPr="00661E57">
              <w:t>12,967.3</w:t>
            </w:r>
          </w:p>
        </w:tc>
        <w:tc>
          <w:tcPr>
            <w:tcW w:w="1134" w:type="dxa"/>
            <w:tcBorders>
              <w:bottom w:val="single" w:sz="4" w:space="0" w:color="A6A6A6" w:themeColor="accent5"/>
            </w:tcBorders>
            <w:noWrap/>
          </w:tcPr>
          <w:p w14:paraId="6B805217" w14:textId="77777777" w:rsidR="00265792" w:rsidRPr="00BA7805" w:rsidRDefault="00265792" w:rsidP="00AF6585">
            <w:pPr>
              <w:pStyle w:val="ARfintablebodyright"/>
              <w:rPr>
                <w:highlight w:val="green"/>
              </w:rPr>
            </w:pPr>
            <w:r>
              <w:t>–</w:t>
            </w:r>
          </w:p>
        </w:tc>
      </w:tr>
      <w:tr w:rsidR="00265792" w:rsidRPr="00BA7805" w14:paraId="73C3B534" w14:textId="77777777" w:rsidTr="008F0E63">
        <w:trPr>
          <w:trHeight w:val="255"/>
        </w:trPr>
        <w:tc>
          <w:tcPr>
            <w:tcW w:w="5101" w:type="dxa"/>
            <w:tcBorders>
              <w:top w:val="single" w:sz="4" w:space="0" w:color="A6A6A6" w:themeColor="accent5"/>
              <w:bottom w:val="single" w:sz="4" w:space="0" w:color="auto"/>
            </w:tcBorders>
          </w:tcPr>
          <w:p w14:paraId="2FA05652" w14:textId="77777777" w:rsidR="00265792" w:rsidRPr="00BA7805" w:rsidRDefault="00265792" w:rsidP="00AF6585">
            <w:pPr>
              <w:pStyle w:val="ARfintablebody"/>
              <w:rPr>
                <w:highlight w:val="green"/>
              </w:rPr>
            </w:pPr>
            <w:r w:rsidRPr="00661E57">
              <w:t>Specialised buildings</w:t>
            </w:r>
          </w:p>
        </w:tc>
        <w:tc>
          <w:tcPr>
            <w:tcW w:w="1134" w:type="dxa"/>
            <w:tcBorders>
              <w:top w:val="single" w:sz="4" w:space="0" w:color="A6A6A6" w:themeColor="accent5"/>
              <w:bottom w:val="single" w:sz="4" w:space="0" w:color="auto"/>
            </w:tcBorders>
            <w:shd w:val="clear" w:color="auto" w:fill="EEEEEF" w:themeFill="accent4"/>
            <w:noWrap/>
          </w:tcPr>
          <w:p w14:paraId="351C55DE" w14:textId="77777777" w:rsidR="00265792" w:rsidRPr="00BA7805" w:rsidRDefault="00265792" w:rsidP="00AF6585">
            <w:pPr>
              <w:pStyle w:val="ARfintablebodyright"/>
              <w:rPr>
                <w:highlight w:val="green"/>
              </w:rPr>
            </w:pPr>
            <w:r w:rsidRPr="00661E57">
              <w:t>146.6</w:t>
            </w:r>
          </w:p>
        </w:tc>
        <w:tc>
          <w:tcPr>
            <w:tcW w:w="1134" w:type="dxa"/>
            <w:tcBorders>
              <w:top w:val="single" w:sz="4" w:space="0" w:color="A6A6A6" w:themeColor="accent5"/>
              <w:bottom w:val="single" w:sz="4" w:space="0" w:color="auto"/>
            </w:tcBorders>
            <w:noWrap/>
          </w:tcPr>
          <w:p w14:paraId="1B16E378" w14:textId="77777777" w:rsidR="00265792" w:rsidRPr="00BA7805" w:rsidRDefault="00265792" w:rsidP="00AF6585">
            <w:pPr>
              <w:pStyle w:val="ARfintablebodyright"/>
              <w:rPr>
                <w:highlight w:val="green"/>
              </w:rPr>
            </w:pPr>
            <w:r>
              <w:t>–</w:t>
            </w:r>
          </w:p>
        </w:tc>
        <w:tc>
          <w:tcPr>
            <w:tcW w:w="1134" w:type="dxa"/>
            <w:tcBorders>
              <w:top w:val="single" w:sz="4" w:space="0" w:color="A6A6A6" w:themeColor="accent5"/>
              <w:bottom w:val="single" w:sz="4" w:space="0" w:color="auto"/>
            </w:tcBorders>
            <w:noWrap/>
          </w:tcPr>
          <w:p w14:paraId="58212073" w14:textId="77777777" w:rsidR="00265792" w:rsidRPr="00BA7805" w:rsidRDefault="00265792" w:rsidP="00AF6585">
            <w:pPr>
              <w:pStyle w:val="ARfintablebodyright"/>
              <w:rPr>
                <w:highlight w:val="green"/>
              </w:rPr>
            </w:pPr>
            <w:r>
              <w:t>–</w:t>
            </w:r>
          </w:p>
        </w:tc>
        <w:tc>
          <w:tcPr>
            <w:tcW w:w="1134" w:type="dxa"/>
            <w:tcBorders>
              <w:top w:val="single" w:sz="4" w:space="0" w:color="A6A6A6" w:themeColor="accent5"/>
              <w:bottom w:val="single" w:sz="4" w:space="0" w:color="auto"/>
            </w:tcBorders>
            <w:noWrap/>
          </w:tcPr>
          <w:p w14:paraId="09E6BBEA" w14:textId="77777777" w:rsidR="00265792" w:rsidRPr="00BA7805" w:rsidRDefault="00265792" w:rsidP="00AF6585">
            <w:pPr>
              <w:pStyle w:val="ARfintablebodyright"/>
              <w:rPr>
                <w:highlight w:val="green"/>
              </w:rPr>
            </w:pPr>
            <w:r w:rsidRPr="00661E57">
              <w:t>146.6</w:t>
            </w:r>
          </w:p>
        </w:tc>
      </w:tr>
      <w:tr w:rsidR="00265792" w:rsidRPr="00BA7805" w14:paraId="20AE6A47" w14:textId="77777777" w:rsidTr="008F0E63">
        <w:trPr>
          <w:trHeight w:val="255"/>
        </w:trPr>
        <w:tc>
          <w:tcPr>
            <w:tcW w:w="5101" w:type="dxa"/>
            <w:tcBorders>
              <w:top w:val="single" w:sz="4" w:space="0" w:color="auto"/>
              <w:bottom w:val="single" w:sz="4" w:space="0" w:color="auto"/>
            </w:tcBorders>
          </w:tcPr>
          <w:p w14:paraId="360B8ABF" w14:textId="77777777" w:rsidR="00265792" w:rsidRPr="00BA7805" w:rsidRDefault="00265792" w:rsidP="008F0E63">
            <w:pPr>
              <w:pStyle w:val="ARfintablebodybold"/>
              <w:rPr>
                <w:highlight w:val="green"/>
              </w:rPr>
            </w:pPr>
            <w:r w:rsidRPr="00661E57">
              <w:t>Total buildings at fair value</w:t>
            </w:r>
          </w:p>
        </w:tc>
        <w:tc>
          <w:tcPr>
            <w:tcW w:w="1134" w:type="dxa"/>
            <w:tcBorders>
              <w:top w:val="single" w:sz="4" w:space="0" w:color="auto"/>
              <w:bottom w:val="single" w:sz="4" w:space="0" w:color="auto"/>
            </w:tcBorders>
            <w:shd w:val="clear" w:color="auto" w:fill="EEEEEF" w:themeFill="accent4"/>
            <w:noWrap/>
          </w:tcPr>
          <w:p w14:paraId="73D688CA" w14:textId="77777777" w:rsidR="00265792" w:rsidRPr="00BA7805" w:rsidRDefault="00265792" w:rsidP="008F0E63">
            <w:pPr>
              <w:pStyle w:val="ARfintablebodyrightbold"/>
              <w:rPr>
                <w:highlight w:val="green"/>
              </w:rPr>
            </w:pPr>
            <w:r w:rsidRPr="00661E57">
              <w:t>13,113.9</w:t>
            </w:r>
          </w:p>
        </w:tc>
        <w:tc>
          <w:tcPr>
            <w:tcW w:w="1134" w:type="dxa"/>
            <w:tcBorders>
              <w:top w:val="single" w:sz="4" w:space="0" w:color="auto"/>
              <w:bottom w:val="single" w:sz="4" w:space="0" w:color="auto"/>
            </w:tcBorders>
            <w:noWrap/>
          </w:tcPr>
          <w:p w14:paraId="084AB18F" w14:textId="77777777" w:rsidR="00265792" w:rsidRPr="00BA7805" w:rsidRDefault="00265792" w:rsidP="008F0E63">
            <w:pPr>
              <w:pStyle w:val="ARfintablebodyrightbold"/>
              <w:rPr>
                <w:highlight w:val="green"/>
              </w:rPr>
            </w:pPr>
            <w:r>
              <w:t>–</w:t>
            </w:r>
          </w:p>
        </w:tc>
        <w:tc>
          <w:tcPr>
            <w:tcW w:w="1134" w:type="dxa"/>
            <w:tcBorders>
              <w:top w:val="single" w:sz="4" w:space="0" w:color="auto"/>
              <w:bottom w:val="single" w:sz="4" w:space="0" w:color="auto"/>
            </w:tcBorders>
            <w:noWrap/>
          </w:tcPr>
          <w:p w14:paraId="348A7E50" w14:textId="77777777" w:rsidR="00265792" w:rsidRPr="00BA7805" w:rsidRDefault="00265792" w:rsidP="008F0E63">
            <w:pPr>
              <w:pStyle w:val="ARfintablebodyrightbold"/>
              <w:rPr>
                <w:highlight w:val="green"/>
              </w:rPr>
            </w:pPr>
            <w:r w:rsidRPr="00661E57">
              <w:t>12,967.3</w:t>
            </w:r>
          </w:p>
        </w:tc>
        <w:tc>
          <w:tcPr>
            <w:tcW w:w="1134" w:type="dxa"/>
            <w:tcBorders>
              <w:top w:val="single" w:sz="4" w:space="0" w:color="auto"/>
              <w:bottom w:val="single" w:sz="4" w:space="0" w:color="auto"/>
            </w:tcBorders>
            <w:noWrap/>
          </w:tcPr>
          <w:p w14:paraId="401C81DA" w14:textId="77777777" w:rsidR="00265792" w:rsidRPr="00BA7805" w:rsidRDefault="00265792" w:rsidP="008F0E63">
            <w:pPr>
              <w:pStyle w:val="ARfintablebodyrightbold"/>
              <w:rPr>
                <w:highlight w:val="green"/>
              </w:rPr>
            </w:pPr>
            <w:r w:rsidRPr="00661E57">
              <w:t>146.6</w:t>
            </w:r>
          </w:p>
        </w:tc>
      </w:tr>
      <w:tr w:rsidR="00265792" w:rsidRPr="00BA7805" w14:paraId="66A6500B" w14:textId="77777777" w:rsidTr="008F0E63">
        <w:trPr>
          <w:trHeight w:val="255"/>
        </w:trPr>
        <w:tc>
          <w:tcPr>
            <w:tcW w:w="5101" w:type="dxa"/>
            <w:tcBorders>
              <w:top w:val="single" w:sz="4" w:space="0" w:color="A6A6A6" w:themeColor="accent5"/>
            </w:tcBorders>
          </w:tcPr>
          <w:p w14:paraId="5E2FF6B7" w14:textId="77777777" w:rsidR="00265792" w:rsidRPr="00BA7805" w:rsidRDefault="00265792" w:rsidP="008F0E63">
            <w:pPr>
              <w:pStyle w:val="ARfintablebodybold"/>
              <w:rPr>
                <w:highlight w:val="green"/>
              </w:rPr>
            </w:pPr>
            <w:r w:rsidRPr="00661E57">
              <w:t>Plant, equipment and vehicles at fair value</w:t>
            </w:r>
          </w:p>
        </w:tc>
        <w:tc>
          <w:tcPr>
            <w:tcW w:w="1134" w:type="dxa"/>
            <w:tcBorders>
              <w:top w:val="single" w:sz="4" w:space="0" w:color="A6A6A6" w:themeColor="accent5"/>
            </w:tcBorders>
            <w:noWrap/>
          </w:tcPr>
          <w:p w14:paraId="7118AAE9" w14:textId="77777777" w:rsidR="00265792" w:rsidRPr="00BA7805" w:rsidRDefault="00265792" w:rsidP="00AF6585">
            <w:pPr>
              <w:pStyle w:val="ARfintablebodyright"/>
              <w:rPr>
                <w:highlight w:val="green"/>
              </w:rPr>
            </w:pPr>
          </w:p>
        </w:tc>
        <w:tc>
          <w:tcPr>
            <w:tcW w:w="1134" w:type="dxa"/>
            <w:tcBorders>
              <w:top w:val="single" w:sz="4" w:space="0" w:color="A6A6A6" w:themeColor="accent5"/>
            </w:tcBorders>
            <w:noWrap/>
          </w:tcPr>
          <w:p w14:paraId="5A61A414" w14:textId="77777777" w:rsidR="00265792" w:rsidRPr="00BA7805" w:rsidRDefault="00265792" w:rsidP="00AF6585">
            <w:pPr>
              <w:pStyle w:val="ARfintablebodyright"/>
              <w:rPr>
                <w:highlight w:val="green"/>
              </w:rPr>
            </w:pPr>
          </w:p>
        </w:tc>
        <w:tc>
          <w:tcPr>
            <w:tcW w:w="1134" w:type="dxa"/>
            <w:tcBorders>
              <w:top w:val="single" w:sz="4" w:space="0" w:color="A6A6A6" w:themeColor="accent5"/>
            </w:tcBorders>
            <w:noWrap/>
          </w:tcPr>
          <w:p w14:paraId="6EE081C8" w14:textId="77777777" w:rsidR="00265792" w:rsidRPr="00BA7805" w:rsidRDefault="00265792" w:rsidP="00AF6585">
            <w:pPr>
              <w:pStyle w:val="ARfintablebodyright"/>
              <w:rPr>
                <w:highlight w:val="green"/>
              </w:rPr>
            </w:pPr>
          </w:p>
        </w:tc>
        <w:tc>
          <w:tcPr>
            <w:tcW w:w="1134" w:type="dxa"/>
            <w:tcBorders>
              <w:top w:val="single" w:sz="4" w:space="0" w:color="A6A6A6" w:themeColor="accent5"/>
            </w:tcBorders>
            <w:noWrap/>
          </w:tcPr>
          <w:p w14:paraId="35DFD2CA" w14:textId="77777777" w:rsidR="00265792" w:rsidRPr="00BA7805" w:rsidRDefault="00265792" w:rsidP="00AF6585">
            <w:pPr>
              <w:pStyle w:val="ARfintablebodyright"/>
              <w:rPr>
                <w:highlight w:val="green"/>
              </w:rPr>
            </w:pPr>
          </w:p>
        </w:tc>
      </w:tr>
      <w:tr w:rsidR="00265792" w:rsidRPr="00BA7805" w14:paraId="72F54AC8" w14:textId="77777777" w:rsidTr="008F0E63">
        <w:trPr>
          <w:trHeight w:val="255"/>
        </w:trPr>
        <w:tc>
          <w:tcPr>
            <w:tcW w:w="5101" w:type="dxa"/>
          </w:tcPr>
          <w:p w14:paraId="1559ACD6" w14:textId="77777777" w:rsidR="00265792" w:rsidRPr="00BA7805" w:rsidRDefault="00265792" w:rsidP="00AF6585">
            <w:pPr>
              <w:pStyle w:val="ARfintablebody"/>
              <w:rPr>
                <w:highlight w:val="green"/>
              </w:rPr>
            </w:pPr>
            <w:r w:rsidRPr="00661E57">
              <w:t>Plant and equipment</w:t>
            </w:r>
          </w:p>
        </w:tc>
        <w:tc>
          <w:tcPr>
            <w:tcW w:w="1134" w:type="dxa"/>
            <w:shd w:val="clear" w:color="auto" w:fill="EEEEEF" w:themeFill="accent4"/>
            <w:noWrap/>
          </w:tcPr>
          <w:p w14:paraId="2C48445E" w14:textId="77777777" w:rsidR="00265792" w:rsidRPr="00BA7805" w:rsidRDefault="00265792" w:rsidP="00AF6585">
            <w:pPr>
              <w:pStyle w:val="ARfintablebodyright"/>
              <w:rPr>
                <w:highlight w:val="green"/>
              </w:rPr>
            </w:pPr>
            <w:r w:rsidRPr="00661E57">
              <w:t>0.4</w:t>
            </w:r>
          </w:p>
        </w:tc>
        <w:tc>
          <w:tcPr>
            <w:tcW w:w="1134" w:type="dxa"/>
            <w:noWrap/>
          </w:tcPr>
          <w:p w14:paraId="6B738D95" w14:textId="77777777" w:rsidR="00265792" w:rsidRPr="00BA7805" w:rsidRDefault="00265792" w:rsidP="00AF6585">
            <w:pPr>
              <w:pStyle w:val="ARfintablebodyright"/>
              <w:rPr>
                <w:highlight w:val="green"/>
              </w:rPr>
            </w:pPr>
            <w:r>
              <w:t>–</w:t>
            </w:r>
          </w:p>
        </w:tc>
        <w:tc>
          <w:tcPr>
            <w:tcW w:w="1134" w:type="dxa"/>
            <w:noWrap/>
          </w:tcPr>
          <w:p w14:paraId="4B0B7940" w14:textId="77777777" w:rsidR="00265792" w:rsidRPr="00BA7805" w:rsidRDefault="00265792" w:rsidP="00AF6585">
            <w:pPr>
              <w:pStyle w:val="ARfintablebodyright"/>
              <w:rPr>
                <w:highlight w:val="green"/>
              </w:rPr>
            </w:pPr>
            <w:r w:rsidRPr="00661E57">
              <w:t>0.4</w:t>
            </w:r>
          </w:p>
        </w:tc>
        <w:tc>
          <w:tcPr>
            <w:tcW w:w="1134" w:type="dxa"/>
            <w:noWrap/>
          </w:tcPr>
          <w:p w14:paraId="12376A4A" w14:textId="77777777" w:rsidR="00265792" w:rsidRPr="00BA7805" w:rsidRDefault="00265792" w:rsidP="00AF6585">
            <w:pPr>
              <w:pStyle w:val="ARfintablebodyright"/>
              <w:rPr>
                <w:highlight w:val="green"/>
              </w:rPr>
            </w:pPr>
            <w:r>
              <w:t>–</w:t>
            </w:r>
          </w:p>
        </w:tc>
      </w:tr>
      <w:tr w:rsidR="00265792" w:rsidRPr="00BA7805" w14:paraId="1D8B515C" w14:textId="77777777" w:rsidTr="008F0E63">
        <w:trPr>
          <w:cnfStyle w:val="010000000000" w:firstRow="0" w:lastRow="1" w:firstColumn="0" w:lastColumn="0" w:oddVBand="0" w:evenVBand="0" w:oddHBand="0" w:evenHBand="0" w:firstRowFirstColumn="0" w:firstRowLastColumn="0" w:lastRowFirstColumn="0" w:lastRowLastColumn="0"/>
          <w:trHeight w:val="255"/>
        </w:trPr>
        <w:tc>
          <w:tcPr>
            <w:tcW w:w="5101" w:type="dxa"/>
          </w:tcPr>
          <w:p w14:paraId="4742D9CF" w14:textId="77777777" w:rsidR="00265792" w:rsidRPr="00BA7805" w:rsidRDefault="00265792" w:rsidP="00AF6585">
            <w:pPr>
              <w:pStyle w:val="ARfintablebodybold"/>
              <w:rPr>
                <w:highlight w:val="green"/>
              </w:rPr>
            </w:pPr>
            <w:r w:rsidRPr="00661E57">
              <w:t>Total plant, equipment and vehicles at fair value</w:t>
            </w:r>
          </w:p>
        </w:tc>
        <w:tc>
          <w:tcPr>
            <w:tcW w:w="1134" w:type="dxa"/>
            <w:shd w:val="clear" w:color="auto" w:fill="EEEEEF" w:themeFill="accent4"/>
            <w:noWrap/>
          </w:tcPr>
          <w:p w14:paraId="6AAABD7A" w14:textId="77777777" w:rsidR="00265792" w:rsidRPr="00BA7805" w:rsidRDefault="00265792" w:rsidP="00AF6585">
            <w:pPr>
              <w:pStyle w:val="ARfintablebodyrightbold"/>
              <w:rPr>
                <w:highlight w:val="green"/>
              </w:rPr>
            </w:pPr>
            <w:r w:rsidRPr="00661E57">
              <w:t>0.4</w:t>
            </w:r>
          </w:p>
        </w:tc>
        <w:tc>
          <w:tcPr>
            <w:tcW w:w="1134" w:type="dxa"/>
            <w:noWrap/>
          </w:tcPr>
          <w:p w14:paraId="3333E503" w14:textId="77777777" w:rsidR="00265792" w:rsidRPr="00BA7805" w:rsidRDefault="00265792" w:rsidP="00AF6585">
            <w:pPr>
              <w:pStyle w:val="ARfintablebodyrightbold"/>
              <w:rPr>
                <w:highlight w:val="green"/>
              </w:rPr>
            </w:pPr>
            <w:r>
              <w:t>–</w:t>
            </w:r>
          </w:p>
        </w:tc>
        <w:tc>
          <w:tcPr>
            <w:tcW w:w="1134" w:type="dxa"/>
            <w:noWrap/>
          </w:tcPr>
          <w:p w14:paraId="68E568F2" w14:textId="77777777" w:rsidR="00265792" w:rsidRPr="00BA7805" w:rsidRDefault="00265792" w:rsidP="00AF6585">
            <w:pPr>
              <w:pStyle w:val="ARfintablebodyrightbold"/>
              <w:rPr>
                <w:highlight w:val="green"/>
              </w:rPr>
            </w:pPr>
            <w:r w:rsidRPr="00661E57">
              <w:t>0.4</w:t>
            </w:r>
          </w:p>
        </w:tc>
        <w:tc>
          <w:tcPr>
            <w:tcW w:w="1134" w:type="dxa"/>
            <w:noWrap/>
          </w:tcPr>
          <w:p w14:paraId="43F80958" w14:textId="77777777" w:rsidR="00265792" w:rsidRPr="00BA7805" w:rsidRDefault="00265792" w:rsidP="00AF6585">
            <w:pPr>
              <w:pStyle w:val="ARfintablebodyrightbold"/>
              <w:rPr>
                <w:highlight w:val="green"/>
              </w:rPr>
            </w:pPr>
            <w:r>
              <w:t>–</w:t>
            </w:r>
          </w:p>
        </w:tc>
      </w:tr>
    </w:tbl>
    <w:p w14:paraId="04BCE87A" w14:textId="77777777" w:rsidR="00265792" w:rsidRPr="008D0FF3" w:rsidRDefault="00265792">
      <w:pPr>
        <w:pStyle w:val="ARfintablefootnote"/>
        <w:rPr>
          <w:lang w:eastAsia="en-AU"/>
        </w:rPr>
      </w:pPr>
      <w:r w:rsidRPr="008D0FF3">
        <w:rPr>
          <w:lang w:eastAsia="en-AU"/>
        </w:rPr>
        <w:t>Note:</w:t>
      </w:r>
    </w:p>
    <w:p w14:paraId="5E2F50AF" w14:textId="77777777" w:rsidR="00265792" w:rsidRDefault="00265792" w:rsidP="00AF6585">
      <w:pPr>
        <w:pStyle w:val="ARfintablefootnotetabindent"/>
      </w:pPr>
      <w:r>
        <w:t>(</w:t>
      </w:r>
      <w:proofErr w:type="spellStart"/>
      <w:r>
        <w:t>i</w:t>
      </w:r>
      <w:proofErr w:type="spellEnd"/>
      <w:r>
        <w:t xml:space="preserve">) </w:t>
      </w:r>
      <w:r>
        <w:tab/>
        <w:t>Classified in accordance with the fair value hierarchy. The department, in conjunction with the VGV, monitors the changes in the fair value of building and land assets through relevant data sources to determine whether revaluation is required.</w:t>
      </w:r>
    </w:p>
    <w:p w14:paraId="58372489" w14:textId="77777777" w:rsidR="00265792" w:rsidRDefault="00265792" w:rsidP="00AF6585">
      <w:pPr>
        <w:pStyle w:val="ARfintablefootnotetabindent"/>
      </w:pPr>
      <w:r>
        <w:t xml:space="preserve">(ii) </w:t>
      </w:r>
      <w:r>
        <w:tab/>
        <w:t>The fair value for land and buildings has been restated for 2023–24 to reflect the exclusion of the right-of-use assets.</w:t>
      </w:r>
    </w:p>
    <w:p w14:paraId="5681893D" w14:textId="77777777" w:rsidR="00265792" w:rsidRDefault="00265792" w:rsidP="00AF6585">
      <w:pPr>
        <w:pStyle w:val="ARfinbodyaftertable"/>
      </w:pPr>
      <w:r w:rsidRPr="004F3B5E">
        <w:rPr>
          <w:rStyle w:val="Strong"/>
        </w:rPr>
        <w:t>Non-specialised land and non-specialised buildings</w:t>
      </w:r>
      <w:r>
        <w:t xml:space="preserve"> are valued using the market approach, whereby assets are compared to recent comparable sales or sales of comparable assets that are considered to have nominal value. </w:t>
      </w:r>
    </w:p>
    <w:p w14:paraId="427AD176" w14:textId="77777777" w:rsidR="00265792" w:rsidRDefault="00265792" w:rsidP="00AF6585">
      <w:pPr>
        <w:pStyle w:val="ARfinbody"/>
      </w:pPr>
      <w:r>
        <w:t>Homes Victoria land and buildings are primarily held in Level 2 as it is considered that each residential dwelling assessed has an active and liquid market. As such, the market value of each residential asset has been determined by reference to the current property market for similar assets.</w:t>
      </w:r>
    </w:p>
    <w:p w14:paraId="7CC26FB5" w14:textId="77777777" w:rsidR="00265792" w:rsidRDefault="00265792" w:rsidP="00AF6585">
      <w:pPr>
        <w:pStyle w:val="ARfinbody"/>
      </w:pPr>
      <w:r w:rsidRPr="004F3B5E">
        <w:rPr>
          <w:rStyle w:val="Strong"/>
        </w:rPr>
        <w:t>Specialised land and specialised buildings:</w:t>
      </w:r>
      <w:r>
        <w:t xml:space="preserve"> The market approach is used for specialised land, although may be adjusted for the community service obligation (CSO) to reflect the specialised nature of the land being valued. </w:t>
      </w:r>
    </w:p>
    <w:p w14:paraId="4A447CC6" w14:textId="77777777" w:rsidR="00265792" w:rsidRDefault="00265792" w:rsidP="00AF6585">
      <w:pPr>
        <w:pStyle w:val="ARfinbody"/>
      </w:pPr>
      <w:r>
        <w:t xml:space="preserve">The CSO adjustment </w:t>
      </w:r>
      <w:proofErr w:type="gramStart"/>
      <w:r>
        <w:t>is a reflection of</w:t>
      </w:r>
      <w:proofErr w:type="gramEnd"/>
      <w:r>
        <w:t xml:space="preserve"> the valuer’s assessment of the impact of restrictions associated with an asset to the extent that is also equally applicable to market participants. This approach is </w:t>
      </w:r>
      <w:proofErr w:type="gramStart"/>
      <w:r>
        <w:t>in light of</w:t>
      </w:r>
      <w:proofErr w:type="gramEnd"/>
      <w:r>
        <w:t xml:space="preserve"> the highest and best use consideration required for fair value </w:t>
      </w:r>
      <w:proofErr w:type="gramStart"/>
      <w:r>
        <w:t>measurement, and</w:t>
      </w:r>
      <w:proofErr w:type="gramEnd"/>
      <w:r>
        <w:t xml:space="preserve"> </w:t>
      </w:r>
      <w:proofErr w:type="gramStart"/>
      <w:r>
        <w:t>takes into account</w:t>
      </w:r>
      <w:proofErr w:type="gramEnd"/>
      <w:r>
        <w:t xml:space="preserve"> the use of the asset that is physically possible, legally permissible, and financially feasible. As adjustments of CSO are considered as significant unobservable inputs, specialised land with a CSO adjustment would primarily be classified as Level 3 assets. </w:t>
      </w:r>
    </w:p>
    <w:p w14:paraId="407381E2" w14:textId="77777777" w:rsidR="00265792" w:rsidRDefault="00265792" w:rsidP="00AF6585">
      <w:pPr>
        <w:pStyle w:val="ARfinbody"/>
      </w:pPr>
      <w:r>
        <w:t xml:space="preserve">For </w:t>
      </w:r>
      <w:proofErr w:type="gramStart"/>
      <w:r>
        <w:t>the majority of</w:t>
      </w:r>
      <w:proofErr w:type="gramEnd"/>
      <w:r>
        <w:t xml:space="preserve"> the department’s specialised buildings, the current replacement cost method is used, adjusting for the associated depreciations. As depreciation adjustments are considered as significant, unobservable inputs in nature, specialised buildings are primarily classified as Level 3 fair value measurements. </w:t>
      </w:r>
    </w:p>
    <w:p w14:paraId="2A4A9FA8" w14:textId="77777777" w:rsidR="00265792" w:rsidRDefault="00265792" w:rsidP="00AF6585">
      <w:pPr>
        <w:pStyle w:val="ARfinbody"/>
      </w:pPr>
      <w:r>
        <w:lastRenderedPageBreak/>
        <w:t>An independent valuation of the departments’ land and buildings was performed by the Valuer-General Victoria in financial year 2023–24. The effective date of the valuation is 30 June 2024.</w:t>
      </w:r>
    </w:p>
    <w:p w14:paraId="0BDBC0BC" w14:textId="77777777" w:rsidR="00265792" w:rsidRDefault="00265792" w:rsidP="00AF6585">
      <w:pPr>
        <w:pStyle w:val="ARfinbody"/>
      </w:pPr>
      <w:r w:rsidRPr="004F3B5E">
        <w:rPr>
          <w:rStyle w:val="Strong"/>
        </w:rPr>
        <w:t>Vehicles</w:t>
      </w:r>
      <w:r>
        <w:t xml:space="preserve"> are valued using the current replacement cost method. The department acquires new vehicles and at times disposes of them before the end of their economic life. The process of acquisition, use and disposal in the market is managed by experienced fleet managers in the department who set relevant depreciation rates during use to reflect the utilisation of the vehicles. </w:t>
      </w:r>
    </w:p>
    <w:p w14:paraId="087D9177" w14:textId="77777777" w:rsidR="00265792" w:rsidRDefault="00265792" w:rsidP="00AF6585">
      <w:pPr>
        <w:pStyle w:val="ARfinbody"/>
      </w:pPr>
      <w:r w:rsidRPr="004F3B5E">
        <w:rPr>
          <w:rStyle w:val="Strong"/>
        </w:rPr>
        <w:t>Plant and equipment</w:t>
      </w:r>
      <w:r>
        <w:t xml:space="preserve"> </w:t>
      </w:r>
      <w:proofErr w:type="gramStart"/>
      <w:r>
        <w:t>is</w:t>
      </w:r>
      <w:proofErr w:type="gramEnd"/>
      <w:r>
        <w:t xml:space="preserve"> held at fair value. When plant and equipment is specialised in use, such that it is rarely sold other than as part of a going concern, fair value is determined using the current replacement cost method.</w:t>
      </w:r>
    </w:p>
    <w:p w14:paraId="5442394D" w14:textId="77777777" w:rsidR="00265792" w:rsidRDefault="00265792" w:rsidP="00AF6585">
      <w:pPr>
        <w:pStyle w:val="ARfinbody"/>
      </w:pPr>
      <w:r>
        <w:t xml:space="preserve">There were no changes in valuation techniques throughout the period to 30 June 2025. </w:t>
      </w:r>
    </w:p>
    <w:p w14:paraId="0B9D2C39" w14:textId="77777777" w:rsidR="00265792" w:rsidRDefault="00265792" w:rsidP="00AF6585">
      <w:pPr>
        <w:pStyle w:val="ARfinbody"/>
      </w:pPr>
      <w:r>
        <w:t xml:space="preserve">For all assets measured at fair value, the current use is considered the highest and best use. </w:t>
      </w:r>
    </w:p>
    <w:p w14:paraId="27B633BE" w14:textId="77777777" w:rsidR="00265792" w:rsidRDefault="00265792" w:rsidP="00AF6585">
      <w:pPr>
        <w:pStyle w:val="ARfinbody"/>
      </w:pPr>
      <w:r>
        <w:t xml:space="preserve">AASB 2022-10 </w:t>
      </w:r>
      <w:r w:rsidRPr="00E15716">
        <w:rPr>
          <w:rStyle w:val="Emphasis"/>
        </w:rPr>
        <w:t>Amendments to Australian Accounting Standards – Fair Value Measurement of Non-Financial Assets of Not-for-Profit Public Sector Entities</w:t>
      </w:r>
      <w:r>
        <w:t xml:space="preserve"> amended AASB 13 by adding Appendix F Australian implementation guidance for not-for-profit public sector entities. Appendix F explains and illustrates the application of the principles in AASB 13 on developing unobservable inputs and the application of the cost approach. These clarifications are mandatorily applicable annual reporting periods beginning on or after 1 January 2024.</w:t>
      </w:r>
    </w:p>
    <w:p w14:paraId="13EBB9DF" w14:textId="4FCAEC57" w:rsidR="00265792" w:rsidRDefault="00265792" w:rsidP="00AF6585">
      <w:pPr>
        <w:pStyle w:val="ARfinbody"/>
      </w:pPr>
      <w:r>
        <w:t>FRD 103 permits Victorian public sector entities to apply Appendix F of AASB 13 in their next scheduled formal asset revaluation or interim revaluation (whichever is earlier). Annual fair value assessments for 30 June 2025 using indices did not give rise to material changes in the value of plant and equipment. In accordance with FRD 103, the department will apply Appendix F of AASB 13 prospectively in its next scheduled formal revaluation in 2028 or interim revaluation process (whichever is earlier). Based on the 2025 fair value assessment using the VGV Land and Building indices, the estimated movements were approximately 0.30% for land and 2.16% for buildings and were deemed not material.</w:t>
      </w:r>
    </w:p>
    <w:p w14:paraId="55465C2E" w14:textId="77777777" w:rsidR="00265792" w:rsidRPr="00036442" w:rsidRDefault="00265792">
      <w:pPr>
        <w:pStyle w:val="Heading6"/>
      </w:pPr>
      <w:r w:rsidRPr="00036442">
        <w:t>Reconciliation of Level 3 fair value movements</w:t>
      </w:r>
    </w:p>
    <w:tbl>
      <w:tblPr>
        <w:tblStyle w:val="TableGrid"/>
        <w:tblW w:w="9639" w:type="dxa"/>
        <w:tblLayout w:type="fixed"/>
        <w:tblLook w:val="06E0" w:firstRow="1" w:lastRow="1" w:firstColumn="1" w:lastColumn="0" w:noHBand="1" w:noVBand="1"/>
      </w:tblPr>
      <w:tblGrid>
        <w:gridCol w:w="2835"/>
        <w:gridCol w:w="1134"/>
        <w:gridCol w:w="1134"/>
        <w:gridCol w:w="1134"/>
        <w:gridCol w:w="1134"/>
        <w:gridCol w:w="1134"/>
        <w:gridCol w:w="1134"/>
      </w:tblGrid>
      <w:tr w:rsidR="00336F56" w:rsidRPr="00BA7805" w14:paraId="23514D62" w14:textId="77777777" w:rsidTr="00350078">
        <w:trPr>
          <w:cnfStyle w:val="100000000000" w:firstRow="1" w:lastRow="0" w:firstColumn="0" w:lastColumn="0" w:oddVBand="0" w:evenVBand="0" w:oddHBand="0" w:evenHBand="0" w:firstRowFirstColumn="0" w:firstRowLastColumn="0" w:lastRowFirstColumn="0" w:lastRowLastColumn="0"/>
          <w:tblHeader/>
        </w:trPr>
        <w:tc>
          <w:tcPr>
            <w:tcW w:w="2835" w:type="dxa"/>
            <w:hideMark/>
          </w:tcPr>
          <w:p w14:paraId="074B2515" w14:textId="77777777" w:rsidR="00265792" w:rsidRPr="00E66D65" w:rsidRDefault="00265792" w:rsidP="00E66D65">
            <w:pPr>
              <w:pStyle w:val="ARfintablecolhead"/>
            </w:pPr>
            <w:r w:rsidRPr="00036442">
              <w:t>202</w:t>
            </w:r>
            <w:r>
              <w:t>5</w:t>
            </w:r>
          </w:p>
        </w:tc>
        <w:tc>
          <w:tcPr>
            <w:tcW w:w="1134" w:type="dxa"/>
            <w:shd w:val="clear" w:color="auto" w:fill="EEEEEF" w:themeFill="accent4"/>
          </w:tcPr>
          <w:p w14:paraId="68DA5E55" w14:textId="77777777" w:rsidR="00265792" w:rsidRPr="00036442" w:rsidRDefault="00265792" w:rsidP="00304FA3">
            <w:pPr>
              <w:pStyle w:val="ARfintablecolheadright8"/>
            </w:pPr>
            <w:r w:rsidRPr="00036442">
              <w:t>Non-specialised land</w:t>
            </w:r>
          </w:p>
          <w:p w14:paraId="1C61DC91" w14:textId="77777777" w:rsidR="00265792" w:rsidRPr="00036442" w:rsidRDefault="00265792" w:rsidP="00304FA3">
            <w:pPr>
              <w:pStyle w:val="ARfintablecolheadright8"/>
            </w:pPr>
            <w:r w:rsidRPr="00036442">
              <w:t>$M</w:t>
            </w:r>
          </w:p>
        </w:tc>
        <w:tc>
          <w:tcPr>
            <w:tcW w:w="1134" w:type="dxa"/>
          </w:tcPr>
          <w:p w14:paraId="7157598D" w14:textId="77777777" w:rsidR="00265792" w:rsidRPr="00036442" w:rsidRDefault="00265792" w:rsidP="00304FA3">
            <w:pPr>
              <w:pStyle w:val="ARfintablecolheadright8"/>
            </w:pPr>
            <w:r w:rsidRPr="00036442">
              <w:t xml:space="preserve">Specialised </w:t>
            </w:r>
            <w:r w:rsidRPr="00036442">
              <w:br/>
              <w:t>land</w:t>
            </w:r>
          </w:p>
          <w:p w14:paraId="3F135CE0" w14:textId="77777777" w:rsidR="00265792" w:rsidRPr="00036442" w:rsidRDefault="00265792" w:rsidP="00304FA3">
            <w:pPr>
              <w:pStyle w:val="ARfintablecolheadright8"/>
            </w:pPr>
            <w:r w:rsidRPr="00036442">
              <w:t>$M</w:t>
            </w:r>
          </w:p>
        </w:tc>
        <w:tc>
          <w:tcPr>
            <w:tcW w:w="1134" w:type="dxa"/>
            <w:shd w:val="clear" w:color="auto" w:fill="EEEEEF" w:themeFill="accent4"/>
          </w:tcPr>
          <w:p w14:paraId="64DED184" w14:textId="77777777" w:rsidR="00265792" w:rsidRPr="00036442" w:rsidRDefault="00265792" w:rsidP="00304FA3">
            <w:pPr>
              <w:pStyle w:val="ARfintablecolheadright8"/>
            </w:pPr>
            <w:r w:rsidRPr="00036442">
              <w:t>Non-specialised buildings</w:t>
            </w:r>
          </w:p>
          <w:p w14:paraId="5318B47B" w14:textId="77777777" w:rsidR="00265792" w:rsidRPr="00036442" w:rsidRDefault="00265792" w:rsidP="00304FA3">
            <w:pPr>
              <w:pStyle w:val="ARfintablecolheadright8"/>
            </w:pPr>
            <w:r w:rsidRPr="00036442">
              <w:t>$M</w:t>
            </w:r>
          </w:p>
        </w:tc>
        <w:tc>
          <w:tcPr>
            <w:tcW w:w="1134" w:type="dxa"/>
            <w:hideMark/>
          </w:tcPr>
          <w:p w14:paraId="75D0B25D" w14:textId="77777777" w:rsidR="00265792" w:rsidRPr="00036442" w:rsidRDefault="00265792" w:rsidP="00304FA3">
            <w:pPr>
              <w:pStyle w:val="ARfintablecolheadright8"/>
            </w:pPr>
            <w:r w:rsidRPr="00036442">
              <w:t>Specialised buildings</w:t>
            </w:r>
          </w:p>
          <w:p w14:paraId="62579843" w14:textId="77777777" w:rsidR="00265792" w:rsidRPr="00036442" w:rsidRDefault="00265792" w:rsidP="00304FA3">
            <w:pPr>
              <w:pStyle w:val="ARfintablecolheadright8"/>
            </w:pPr>
            <w:r w:rsidRPr="00036442">
              <w:t>$M</w:t>
            </w:r>
          </w:p>
        </w:tc>
        <w:tc>
          <w:tcPr>
            <w:tcW w:w="1134" w:type="dxa"/>
            <w:shd w:val="clear" w:color="auto" w:fill="EEEEEF" w:themeFill="accent4"/>
            <w:hideMark/>
          </w:tcPr>
          <w:p w14:paraId="5579338E" w14:textId="77777777" w:rsidR="00265792" w:rsidRPr="00036442" w:rsidRDefault="00265792" w:rsidP="00304FA3">
            <w:pPr>
              <w:pStyle w:val="ARfintablecolheadright8"/>
            </w:pPr>
            <w:r w:rsidRPr="00036442">
              <w:t>Plant and equipment</w:t>
            </w:r>
          </w:p>
          <w:p w14:paraId="25BBBA09" w14:textId="77777777" w:rsidR="00265792" w:rsidRPr="00036442" w:rsidRDefault="00265792" w:rsidP="00304FA3">
            <w:pPr>
              <w:pStyle w:val="ARfintablecolheadright8"/>
            </w:pPr>
            <w:r w:rsidRPr="00036442">
              <w:t>$M</w:t>
            </w:r>
          </w:p>
        </w:tc>
        <w:tc>
          <w:tcPr>
            <w:tcW w:w="1134" w:type="dxa"/>
            <w:hideMark/>
          </w:tcPr>
          <w:p w14:paraId="2DDCB0E1" w14:textId="77777777" w:rsidR="00265792" w:rsidRPr="00036442" w:rsidRDefault="00265792" w:rsidP="00304FA3">
            <w:pPr>
              <w:pStyle w:val="ARfintablecolheadright8"/>
            </w:pPr>
            <w:r w:rsidRPr="00036442">
              <w:t>Total</w:t>
            </w:r>
          </w:p>
          <w:p w14:paraId="067A77C4" w14:textId="77777777" w:rsidR="00265792" w:rsidRPr="00036442" w:rsidRDefault="00265792" w:rsidP="00304FA3">
            <w:pPr>
              <w:pStyle w:val="ARfintablecolheadright8"/>
            </w:pPr>
            <w:r w:rsidRPr="00036442">
              <w:t>$M</w:t>
            </w:r>
          </w:p>
        </w:tc>
      </w:tr>
      <w:tr w:rsidR="00265792" w:rsidRPr="00BA7805" w14:paraId="5428F902" w14:textId="77777777" w:rsidTr="00350078">
        <w:tc>
          <w:tcPr>
            <w:tcW w:w="2835" w:type="dxa"/>
          </w:tcPr>
          <w:p w14:paraId="01125E67" w14:textId="77777777" w:rsidR="00265792" w:rsidRPr="00BA7805" w:rsidRDefault="00265792" w:rsidP="00E66D65">
            <w:pPr>
              <w:pStyle w:val="ARfintablebodybold"/>
              <w:rPr>
                <w:sz w:val="16"/>
                <w:highlight w:val="green"/>
              </w:rPr>
            </w:pPr>
            <w:r w:rsidRPr="00D64EA0">
              <w:t>Opening balance</w:t>
            </w:r>
          </w:p>
        </w:tc>
        <w:tc>
          <w:tcPr>
            <w:tcW w:w="1134" w:type="dxa"/>
            <w:shd w:val="clear" w:color="auto" w:fill="EEEEEF" w:themeFill="accent4"/>
          </w:tcPr>
          <w:p w14:paraId="38BC58EE" w14:textId="77777777" w:rsidR="00265792" w:rsidRPr="00BA7805" w:rsidRDefault="00265792" w:rsidP="00350078">
            <w:pPr>
              <w:pStyle w:val="ARfintablebodyrightbold"/>
              <w:rPr>
                <w:sz w:val="16"/>
                <w:highlight w:val="green"/>
              </w:rPr>
            </w:pPr>
            <w:r>
              <w:t>–</w:t>
            </w:r>
          </w:p>
        </w:tc>
        <w:tc>
          <w:tcPr>
            <w:tcW w:w="1134" w:type="dxa"/>
          </w:tcPr>
          <w:p w14:paraId="2CAC6F31" w14:textId="77777777" w:rsidR="00265792" w:rsidRPr="00BA7805" w:rsidRDefault="00265792" w:rsidP="00350078">
            <w:pPr>
              <w:pStyle w:val="ARfintablebodyrightbold"/>
              <w:rPr>
                <w:sz w:val="16"/>
                <w:highlight w:val="green"/>
              </w:rPr>
            </w:pPr>
            <w:r w:rsidRPr="00D64EA0">
              <w:t>170.2</w:t>
            </w:r>
          </w:p>
        </w:tc>
        <w:tc>
          <w:tcPr>
            <w:tcW w:w="1134" w:type="dxa"/>
            <w:shd w:val="clear" w:color="auto" w:fill="EEEEEF" w:themeFill="accent4"/>
          </w:tcPr>
          <w:p w14:paraId="6E3269BD" w14:textId="77777777" w:rsidR="00265792" w:rsidRPr="00BA7805" w:rsidRDefault="00265792" w:rsidP="00350078">
            <w:pPr>
              <w:pStyle w:val="ARfintablebodyrightbold"/>
              <w:rPr>
                <w:sz w:val="16"/>
                <w:highlight w:val="green"/>
              </w:rPr>
            </w:pPr>
            <w:r>
              <w:t>–</w:t>
            </w:r>
          </w:p>
        </w:tc>
        <w:tc>
          <w:tcPr>
            <w:tcW w:w="1134" w:type="dxa"/>
            <w:noWrap/>
          </w:tcPr>
          <w:p w14:paraId="1F0F67AE" w14:textId="77777777" w:rsidR="00265792" w:rsidRPr="00BA7805" w:rsidRDefault="00265792" w:rsidP="00350078">
            <w:pPr>
              <w:pStyle w:val="ARfintablebodyrightbold"/>
              <w:rPr>
                <w:sz w:val="16"/>
                <w:highlight w:val="green"/>
              </w:rPr>
            </w:pPr>
            <w:r w:rsidRPr="00D64EA0">
              <w:t>146.6</w:t>
            </w:r>
          </w:p>
        </w:tc>
        <w:tc>
          <w:tcPr>
            <w:tcW w:w="1134" w:type="dxa"/>
            <w:shd w:val="clear" w:color="auto" w:fill="EEEEEF" w:themeFill="accent4"/>
            <w:noWrap/>
          </w:tcPr>
          <w:p w14:paraId="2D0946F8" w14:textId="77777777" w:rsidR="00265792" w:rsidRPr="00BA7805" w:rsidRDefault="00265792" w:rsidP="00350078">
            <w:pPr>
              <w:pStyle w:val="ARfintablebodyrightbold"/>
              <w:rPr>
                <w:sz w:val="16"/>
                <w:highlight w:val="green"/>
              </w:rPr>
            </w:pPr>
            <w:r>
              <w:t>–</w:t>
            </w:r>
          </w:p>
        </w:tc>
        <w:tc>
          <w:tcPr>
            <w:tcW w:w="1134" w:type="dxa"/>
            <w:noWrap/>
          </w:tcPr>
          <w:p w14:paraId="57F459E1" w14:textId="77777777" w:rsidR="00265792" w:rsidRPr="00BA7805" w:rsidRDefault="00265792" w:rsidP="00350078">
            <w:pPr>
              <w:pStyle w:val="ARfintablebodyrightbold"/>
              <w:rPr>
                <w:sz w:val="16"/>
                <w:highlight w:val="green"/>
              </w:rPr>
            </w:pPr>
            <w:r w:rsidRPr="00D64EA0">
              <w:t>316.8</w:t>
            </w:r>
          </w:p>
        </w:tc>
      </w:tr>
      <w:tr w:rsidR="00265792" w:rsidRPr="00BA7805" w14:paraId="5104271F" w14:textId="77777777" w:rsidTr="00350078">
        <w:tc>
          <w:tcPr>
            <w:tcW w:w="2835" w:type="dxa"/>
          </w:tcPr>
          <w:p w14:paraId="42E5ADA0" w14:textId="77777777" w:rsidR="00265792" w:rsidRPr="00BA7805" w:rsidRDefault="00265792" w:rsidP="00A52D32">
            <w:pPr>
              <w:pStyle w:val="ARfintablebody"/>
              <w:rPr>
                <w:sz w:val="16"/>
                <w:highlight w:val="green"/>
              </w:rPr>
            </w:pPr>
            <w:r w:rsidRPr="00D64EA0">
              <w:t>Additions</w:t>
            </w:r>
          </w:p>
        </w:tc>
        <w:tc>
          <w:tcPr>
            <w:tcW w:w="1134" w:type="dxa"/>
            <w:shd w:val="clear" w:color="auto" w:fill="EEEEEF" w:themeFill="accent4"/>
          </w:tcPr>
          <w:p w14:paraId="00429C2F" w14:textId="77777777" w:rsidR="00265792" w:rsidRPr="00BA7805" w:rsidRDefault="00265792" w:rsidP="00A52D32">
            <w:pPr>
              <w:pStyle w:val="ARfintablebodyright"/>
              <w:rPr>
                <w:sz w:val="16"/>
                <w:highlight w:val="green"/>
              </w:rPr>
            </w:pPr>
            <w:r>
              <w:t>–</w:t>
            </w:r>
          </w:p>
        </w:tc>
        <w:tc>
          <w:tcPr>
            <w:tcW w:w="1134" w:type="dxa"/>
          </w:tcPr>
          <w:p w14:paraId="166E6E60" w14:textId="77777777" w:rsidR="00265792" w:rsidRPr="00BA7805" w:rsidRDefault="00265792" w:rsidP="00A52D32">
            <w:pPr>
              <w:pStyle w:val="ARfintablebodyright"/>
              <w:rPr>
                <w:sz w:val="16"/>
                <w:highlight w:val="green"/>
              </w:rPr>
            </w:pPr>
            <w:r>
              <w:t>–</w:t>
            </w:r>
          </w:p>
        </w:tc>
        <w:tc>
          <w:tcPr>
            <w:tcW w:w="1134" w:type="dxa"/>
            <w:shd w:val="clear" w:color="auto" w:fill="EEEEEF" w:themeFill="accent4"/>
          </w:tcPr>
          <w:p w14:paraId="258D0E4D" w14:textId="77777777" w:rsidR="00265792" w:rsidRPr="00BA7805" w:rsidRDefault="00265792" w:rsidP="00A52D32">
            <w:pPr>
              <w:pStyle w:val="ARfintablebodyright"/>
              <w:rPr>
                <w:sz w:val="16"/>
                <w:highlight w:val="green"/>
              </w:rPr>
            </w:pPr>
            <w:r>
              <w:t>–</w:t>
            </w:r>
          </w:p>
        </w:tc>
        <w:tc>
          <w:tcPr>
            <w:tcW w:w="1134" w:type="dxa"/>
            <w:noWrap/>
          </w:tcPr>
          <w:p w14:paraId="2F6A7560" w14:textId="77777777" w:rsidR="00265792" w:rsidRPr="00BA7805" w:rsidRDefault="00265792" w:rsidP="00A52D32">
            <w:pPr>
              <w:pStyle w:val="ARfintablebodyright"/>
              <w:rPr>
                <w:sz w:val="16"/>
                <w:highlight w:val="green"/>
              </w:rPr>
            </w:pPr>
            <w:r>
              <w:t>–</w:t>
            </w:r>
          </w:p>
        </w:tc>
        <w:tc>
          <w:tcPr>
            <w:tcW w:w="1134" w:type="dxa"/>
            <w:shd w:val="clear" w:color="auto" w:fill="EEEEEF" w:themeFill="accent4"/>
            <w:noWrap/>
          </w:tcPr>
          <w:p w14:paraId="2225A1EB" w14:textId="77777777" w:rsidR="00265792" w:rsidRPr="00BA7805" w:rsidRDefault="00265792" w:rsidP="00A52D32">
            <w:pPr>
              <w:pStyle w:val="ARfintablebodyright"/>
              <w:rPr>
                <w:sz w:val="16"/>
                <w:highlight w:val="green"/>
              </w:rPr>
            </w:pPr>
            <w:r>
              <w:t>–</w:t>
            </w:r>
          </w:p>
        </w:tc>
        <w:tc>
          <w:tcPr>
            <w:tcW w:w="1134" w:type="dxa"/>
            <w:noWrap/>
          </w:tcPr>
          <w:p w14:paraId="18C17723" w14:textId="77777777" w:rsidR="00265792" w:rsidRPr="00BA7805" w:rsidRDefault="00265792" w:rsidP="00A52D32">
            <w:pPr>
              <w:pStyle w:val="ARfintablebodyright"/>
              <w:rPr>
                <w:sz w:val="16"/>
                <w:highlight w:val="green"/>
              </w:rPr>
            </w:pPr>
            <w:r>
              <w:t>–</w:t>
            </w:r>
          </w:p>
        </w:tc>
      </w:tr>
      <w:tr w:rsidR="00265792" w:rsidRPr="00BA7805" w14:paraId="5770D29E" w14:textId="77777777" w:rsidTr="00350078">
        <w:tc>
          <w:tcPr>
            <w:tcW w:w="2835" w:type="dxa"/>
          </w:tcPr>
          <w:p w14:paraId="275DACF3" w14:textId="77777777" w:rsidR="00265792" w:rsidRPr="00BA7805" w:rsidRDefault="00265792" w:rsidP="00A52D32">
            <w:pPr>
              <w:pStyle w:val="ARfintablebody"/>
              <w:rPr>
                <w:sz w:val="16"/>
                <w:highlight w:val="green"/>
              </w:rPr>
            </w:pPr>
            <w:r w:rsidRPr="00D64EA0">
              <w:t>Capitalisation of work in</w:t>
            </w:r>
            <w:r>
              <w:t> </w:t>
            </w:r>
            <w:r w:rsidRPr="00D64EA0">
              <w:t>progress</w:t>
            </w:r>
          </w:p>
        </w:tc>
        <w:tc>
          <w:tcPr>
            <w:tcW w:w="1134" w:type="dxa"/>
            <w:shd w:val="clear" w:color="auto" w:fill="EEEEEF" w:themeFill="accent4"/>
          </w:tcPr>
          <w:p w14:paraId="4FC0B434" w14:textId="77777777" w:rsidR="00265792" w:rsidRPr="00BA7805" w:rsidRDefault="00265792" w:rsidP="00A52D32">
            <w:pPr>
              <w:pStyle w:val="ARfintablebodyright"/>
              <w:rPr>
                <w:sz w:val="16"/>
                <w:highlight w:val="green"/>
              </w:rPr>
            </w:pPr>
            <w:r>
              <w:t>–</w:t>
            </w:r>
          </w:p>
        </w:tc>
        <w:tc>
          <w:tcPr>
            <w:tcW w:w="1134" w:type="dxa"/>
          </w:tcPr>
          <w:p w14:paraId="2ECE0522" w14:textId="77777777" w:rsidR="00265792" w:rsidRPr="00BA7805" w:rsidRDefault="00265792" w:rsidP="00A52D32">
            <w:pPr>
              <w:pStyle w:val="ARfintablebodyright"/>
              <w:rPr>
                <w:sz w:val="16"/>
                <w:highlight w:val="green"/>
              </w:rPr>
            </w:pPr>
            <w:r>
              <w:t>–</w:t>
            </w:r>
          </w:p>
        </w:tc>
        <w:tc>
          <w:tcPr>
            <w:tcW w:w="1134" w:type="dxa"/>
            <w:shd w:val="clear" w:color="auto" w:fill="EEEEEF" w:themeFill="accent4"/>
          </w:tcPr>
          <w:p w14:paraId="30A7C5D0" w14:textId="77777777" w:rsidR="00265792" w:rsidRPr="00BA7805" w:rsidRDefault="00265792" w:rsidP="00A52D32">
            <w:pPr>
              <w:pStyle w:val="ARfintablebodyright"/>
              <w:rPr>
                <w:sz w:val="16"/>
                <w:highlight w:val="green"/>
              </w:rPr>
            </w:pPr>
            <w:r>
              <w:t>–</w:t>
            </w:r>
          </w:p>
        </w:tc>
        <w:tc>
          <w:tcPr>
            <w:tcW w:w="1134" w:type="dxa"/>
            <w:noWrap/>
          </w:tcPr>
          <w:p w14:paraId="2F5C9BF3" w14:textId="77777777" w:rsidR="00265792" w:rsidRPr="00BA7805" w:rsidRDefault="00265792" w:rsidP="00A52D32">
            <w:pPr>
              <w:pStyle w:val="ARfintablebodyright"/>
              <w:rPr>
                <w:sz w:val="16"/>
                <w:highlight w:val="green"/>
              </w:rPr>
            </w:pPr>
            <w:r w:rsidRPr="00D64EA0">
              <w:t>2.5</w:t>
            </w:r>
          </w:p>
        </w:tc>
        <w:tc>
          <w:tcPr>
            <w:tcW w:w="1134" w:type="dxa"/>
            <w:shd w:val="clear" w:color="auto" w:fill="EEEEEF" w:themeFill="accent4"/>
            <w:noWrap/>
          </w:tcPr>
          <w:p w14:paraId="0ED77586" w14:textId="77777777" w:rsidR="00265792" w:rsidRPr="00BA7805" w:rsidRDefault="00265792" w:rsidP="00A52D32">
            <w:pPr>
              <w:pStyle w:val="ARfintablebodyright"/>
              <w:rPr>
                <w:sz w:val="16"/>
                <w:highlight w:val="green"/>
              </w:rPr>
            </w:pPr>
            <w:r>
              <w:t>–</w:t>
            </w:r>
          </w:p>
        </w:tc>
        <w:tc>
          <w:tcPr>
            <w:tcW w:w="1134" w:type="dxa"/>
            <w:noWrap/>
          </w:tcPr>
          <w:p w14:paraId="7AC44AA7" w14:textId="77777777" w:rsidR="00265792" w:rsidRPr="00BA7805" w:rsidRDefault="00265792" w:rsidP="00A52D32">
            <w:pPr>
              <w:pStyle w:val="ARfintablebodyright"/>
              <w:rPr>
                <w:sz w:val="16"/>
                <w:highlight w:val="green"/>
              </w:rPr>
            </w:pPr>
            <w:r w:rsidRPr="00D64EA0">
              <w:t>2.5</w:t>
            </w:r>
          </w:p>
        </w:tc>
      </w:tr>
      <w:tr w:rsidR="00265792" w:rsidRPr="00BA7805" w14:paraId="6DED4ECF" w14:textId="77777777" w:rsidTr="00350078">
        <w:tc>
          <w:tcPr>
            <w:tcW w:w="2835" w:type="dxa"/>
          </w:tcPr>
          <w:p w14:paraId="1E4CCB3F" w14:textId="77777777" w:rsidR="00265792" w:rsidRPr="00BA7805" w:rsidRDefault="00265792" w:rsidP="00A52D32">
            <w:pPr>
              <w:pStyle w:val="ARfintablebody"/>
              <w:rPr>
                <w:sz w:val="16"/>
                <w:highlight w:val="green"/>
              </w:rPr>
            </w:pPr>
            <w:r w:rsidRPr="00D64EA0">
              <w:t>Reassessment of lease</w:t>
            </w:r>
            <w:r>
              <w:t> </w:t>
            </w:r>
            <w:r w:rsidRPr="00D64EA0">
              <w:t>payments</w:t>
            </w:r>
          </w:p>
        </w:tc>
        <w:tc>
          <w:tcPr>
            <w:tcW w:w="1134" w:type="dxa"/>
            <w:shd w:val="clear" w:color="auto" w:fill="EEEEEF" w:themeFill="accent4"/>
          </w:tcPr>
          <w:p w14:paraId="031DED2F" w14:textId="77777777" w:rsidR="00265792" w:rsidRPr="00BA7805" w:rsidRDefault="00265792" w:rsidP="00A52D32">
            <w:pPr>
              <w:pStyle w:val="ARfintablebodyright"/>
              <w:rPr>
                <w:sz w:val="16"/>
                <w:highlight w:val="green"/>
              </w:rPr>
            </w:pPr>
            <w:r>
              <w:t>–</w:t>
            </w:r>
          </w:p>
        </w:tc>
        <w:tc>
          <w:tcPr>
            <w:tcW w:w="1134" w:type="dxa"/>
          </w:tcPr>
          <w:p w14:paraId="2E20C784" w14:textId="77777777" w:rsidR="00265792" w:rsidRPr="00BA7805" w:rsidRDefault="00265792" w:rsidP="00A52D32">
            <w:pPr>
              <w:pStyle w:val="ARfintablebodyright"/>
              <w:rPr>
                <w:sz w:val="16"/>
                <w:highlight w:val="green"/>
              </w:rPr>
            </w:pPr>
            <w:r>
              <w:t>–</w:t>
            </w:r>
          </w:p>
        </w:tc>
        <w:tc>
          <w:tcPr>
            <w:tcW w:w="1134" w:type="dxa"/>
            <w:shd w:val="clear" w:color="auto" w:fill="EEEEEF" w:themeFill="accent4"/>
          </w:tcPr>
          <w:p w14:paraId="3A92E993" w14:textId="77777777" w:rsidR="00265792" w:rsidRPr="00BA7805" w:rsidRDefault="00265792" w:rsidP="00A52D32">
            <w:pPr>
              <w:pStyle w:val="ARfintablebodyright"/>
              <w:rPr>
                <w:sz w:val="16"/>
                <w:highlight w:val="green"/>
              </w:rPr>
            </w:pPr>
            <w:r>
              <w:t>–</w:t>
            </w:r>
          </w:p>
        </w:tc>
        <w:tc>
          <w:tcPr>
            <w:tcW w:w="1134" w:type="dxa"/>
            <w:noWrap/>
          </w:tcPr>
          <w:p w14:paraId="311775FC" w14:textId="77777777" w:rsidR="00265792" w:rsidRPr="00BA7805" w:rsidRDefault="00265792" w:rsidP="00A52D32">
            <w:pPr>
              <w:pStyle w:val="ARfintablebodyright"/>
              <w:rPr>
                <w:sz w:val="16"/>
                <w:highlight w:val="green"/>
              </w:rPr>
            </w:pPr>
            <w:r>
              <w:t>–</w:t>
            </w:r>
          </w:p>
        </w:tc>
        <w:tc>
          <w:tcPr>
            <w:tcW w:w="1134" w:type="dxa"/>
            <w:shd w:val="clear" w:color="auto" w:fill="EEEEEF" w:themeFill="accent4"/>
            <w:noWrap/>
          </w:tcPr>
          <w:p w14:paraId="6C160642" w14:textId="77777777" w:rsidR="00265792" w:rsidRPr="00BA7805" w:rsidRDefault="00265792" w:rsidP="00A52D32">
            <w:pPr>
              <w:pStyle w:val="ARfintablebodyright"/>
              <w:rPr>
                <w:sz w:val="16"/>
                <w:highlight w:val="green"/>
              </w:rPr>
            </w:pPr>
            <w:r>
              <w:t>–</w:t>
            </w:r>
          </w:p>
        </w:tc>
        <w:tc>
          <w:tcPr>
            <w:tcW w:w="1134" w:type="dxa"/>
            <w:noWrap/>
          </w:tcPr>
          <w:p w14:paraId="23FAF748" w14:textId="77777777" w:rsidR="00265792" w:rsidRPr="00BA7805" w:rsidRDefault="00265792" w:rsidP="00A52D32">
            <w:pPr>
              <w:pStyle w:val="ARfintablebodyright"/>
              <w:rPr>
                <w:sz w:val="16"/>
                <w:highlight w:val="green"/>
              </w:rPr>
            </w:pPr>
            <w:r>
              <w:t>–</w:t>
            </w:r>
          </w:p>
        </w:tc>
      </w:tr>
      <w:tr w:rsidR="00265792" w:rsidRPr="00BA7805" w14:paraId="27E946C6" w14:textId="77777777" w:rsidTr="00350078">
        <w:tc>
          <w:tcPr>
            <w:tcW w:w="2835" w:type="dxa"/>
          </w:tcPr>
          <w:p w14:paraId="43F54A3E" w14:textId="77777777" w:rsidR="00265792" w:rsidRPr="00BA7805" w:rsidRDefault="00265792" w:rsidP="00A52D32">
            <w:pPr>
              <w:pStyle w:val="ARfintablebody"/>
              <w:rPr>
                <w:sz w:val="16"/>
                <w:highlight w:val="green"/>
              </w:rPr>
            </w:pPr>
            <w:r w:rsidRPr="00D64EA0">
              <w:t xml:space="preserve">Increase/(decrease) in </w:t>
            </w:r>
            <w:r>
              <w:br/>
            </w:r>
            <w:r w:rsidRPr="00D64EA0">
              <w:t>make-good provision</w:t>
            </w:r>
          </w:p>
        </w:tc>
        <w:tc>
          <w:tcPr>
            <w:tcW w:w="1134" w:type="dxa"/>
            <w:shd w:val="clear" w:color="auto" w:fill="EEEEEF" w:themeFill="accent4"/>
          </w:tcPr>
          <w:p w14:paraId="342E0DDB" w14:textId="77777777" w:rsidR="00265792" w:rsidRPr="00BA7805" w:rsidRDefault="00265792" w:rsidP="00A52D32">
            <w:pPr>
              <w:pStyle w:val="ARfintablebodyright"/>
              <w:rPr>
                <w:sz w:val="16"/>
                <w:highlight w:val="green"/>
              </w:rPr>
            </w:pPr>
            <w:r>
              <w:t>–</w:t>
            </w:r>
          </w:p>
        </w:tc>
        <w:tc>
          <w:tcPr>
            <w:tcW w:w="1134" w:type="dxa"/>
          </w:tcPr>
          <w:p w14:paraId="65D66286" w14:textId="77777777" w:rsidR="00265792" w:rsidRPr="00BA7805" w:rsidRDefault="00265792" w:rsidP="00A52D32">
            <w:pPr>
              <w:pStyle w:val="ARfintablebodyright"/>
              <w:rPr>
                <w:sz w:val="16"/>
                <w:highlight w:val="green"/>
              </w:rPr>
            </w:pPr>
            <w:r>
              <w:t>–</w:t>
            </w:r>
          </w:p>
        </w:tc>
        <w:tc>
          <w:tcPr>
            <w:tcW w:w="1134" w:type="dxa"/>
            <w:shd w:val="clear" w:color="auto" w:fill="EEEEEF" w:themeFill="accent4"/>
          </w:tcPr>
          <w:p w14:paraId="6C8E91F5" w14:textId="77777777" w:rsidR="00265792" w:rsidRPr="00BA7805" w:rsidRDefault="00265792" w:rsidP="00A52D32">
            <w:pPr>
              <w:pStyle w:val="ARfintablebodyright"/>
              <w:rPr>
                <w:sz w:val="16"/>
                <w:highlight w:val="green"/>
              </w:rPr>
            </w:pPr>
            <w:r>
              <w:t>–</w:t>
            </w:r>
          </w:p>
        </w:tc>
        <w:tc>
          <w:tcPr>
            <w:tcW w:w="1134" w:type="dxa"/>
            <w:noWrap/>
          </w:tcPr>
          <w:p w14:paraId="348257B2" w14:textId="77777777" w:rsidR="00265792" w:rsidRPr="00BA7805" w:rsidRDefault="00265792" w:rsidP="00A52D32">
            <w:pPr>
              <w:pStyle w:val="ARfintablebodyright"/>
              <w:rPr>
                <w:sz w:val="16"/>
                <w:highlight w:val="green"/>
              </w:rPr>
            </w:pPr>
            <w:r>
              <w:t>–</w:t>
            </w:r>
          </w:p>
        </w:tc>
        <w:tc>
          <w:tcPr>
            <w:tcW w:w="1134" w:type="dxa"/>
            <w:shd w:val="clear" w:color="auto" w:fill="EEEEEF" w:themeFill="accent4"/>
            <w:noWrap/>
          </w:tcPr>
          <w:p w14:paraId="076B0C87" w14:textId="77777777" w:rsidR="00265792" w:rsidRPr="00BA7805" w:rsidRDefault="00265792" w:rsidP="00A52D32">
            <w:pPr>
              <w:pStyle w:val="ARfintablebodyright"/>
              <w:rPr>
                <w:sz w:val="16"/>
                <w:highlight w:val="green"/>
              </w:rPr>
            </w:pPr>
            <w:r>
              <w:t>–</w:t>
            </w:r>
          </w:p>
        </w:tc>
        <w:tc>
          <w:tcPr>
            <w:tcW w:w="1134" w:type="dxa"/>
            <w:noWrap/>
          </w:tcPr>
          <w:p w14:paraId="30CC47BF" w14:textId="77777777" w:rsidR="00265792" w:rsidRPr="00BA7805" w:rsidRDefault="00265792" w:rsidP="00A52D32">
            <w:pPr>
              <w:pStyle w:val="ARfintablebodyright"/>
              <w:rPr>
                <w:sz w:val="16"/>
                <w:highlight w:val="green"/>
              </w:rPr>
            </w:pPr>
            <w:r>
              <w:t>–</w:t>
            </w:r>
          </w:p>
        </w:tc>
      </w:tr>
      <w:tr w:rsidR="00265792" w:rsidRPr="00BA7805" w14:paraId="53D02207" w14:textId="77777777" w:rsidTr="00350078">
        <w:tc>
          <w:tcPr>
            <w:tcW w:w="2835" w:type="dxa"/>
          </w:tcPr>
          <w:p w14:paraId="3B4CF258" w14:textId="77777777" w:rsidR="00265792" w:rsidRPr="00BA7805" w:rsidRDefault="00265792" w:rsidP="00A52D32">
            <w:pPr>
              <w:pStyle w:val="ARfintablebody"/>
              <w:rPr>
                <w:sz w:val="16"/>
                <w:highlight w:val="green"/>
              </w:rPr>
            </w:pPr>
            <w:r w:rsidRPr="00D64EA0">
              <w:t>Disposals</w:t>
            </w:r>
          </w:p>
        </w:tc>
        <w:tc>
          <w:tcPr>
            <w:tcW w:w="1134" w:type="dxa"/>
            <w:shd w:val="clear" w:color="auto" w:fill="EEEEEF" w:themeFill="accent4"/>
          </w:tcPr>
          <w:p w14:paraId="11FA00B3" w14:textId="77777777" w:rsidR="00265792" w:rsidRPr="00BA7805" w:rsidRDefault="00265792" w:rsidP="00A52D32">
            <w:pPr>
              <w:pStyle w:val="ARfintablebodyright"/>
              <w:rPr>
                <w:sz w:val="16"/>
                <w:highlight w:val="green"/>
              </w:rPr>
            </w:pPr>
            <w:r>
              <w:t>–</w:t>
            </w:r>
          </w:p>
        </w:tc>
        <w:tc>
          <w:tcPr>
            <w:tcW w:w="1134" w:type="dxa"/>
          </w:tcPr>
          <w:p w14:paraId="3EF987A1" w14:textId="77777777" w:rsidR="00265792" w:rsidRPr="00BA7805" w:rsidRDefault="00265792" w:rsidP="00A52D32">
            <w:pPr>
              <w:pStyle w:val="ARfintablebodyright"/>
              <w:rPr>
                <w:sz w:val="16"/>
                <w:highlight w:val="green"/>
              </w:rPr>
            </w:pPr>
            <w:r>
              <w:t>–</w:t>
            </w:r>
          </w:p>
        </w:tc>
        <w:tc>
          <w:tcPr>
            <w:tcW w:w="1134" w:type="dxa"/>
            <w:shd w:val="clear" w:color="auto" w:fill="EEEEEF" w:themeFill="accent4"/>
          </w:tcPr>
          <w:p w14:paraId="05D4F299" w14:textId="77777777" w:rsidR="00265792" w:rsidRPr="00BA7805" w:rsidRDefault="00265792" w:rsidP="00A52D32">
            <w:pPr>
              <w:pStyle w:val="ARfintablebodyright"/>
              <w:rPr>
                <w:sz w:val="16"/>
                <w:highlight w:val="green"/>
              </w:rPr>
            </w:pPr>
            <w:r>
              <w:t>–</w:t>
            </w:r>
          </w:p>
        </w:tc>
        <w:tc>
          <w:tcPr>
            <w:tcW w:w="1134" w:type="dxa"/>
            <w:noWrap/>
          </w:tcPr>
          <w:p w14:paraId="556B9985" w14:textId="77777777" w:rsidR="00265792" w:rsidRPr="00BA7805" w:rsidRDefault="00265792" w:rsidP="00A52D32">
            <w:pPr>
              <w:pStyle w:val="ARfintablebodyright"/>
              <w:rPr>
                <w:sz w:val="16"/>
                <w:highlight w:val="green"/>
              </w:rPr>
            </w:pPr>
            <w:r>
              <w:t>–</w:t>
            </w:r>
          </w:p>
        </w:tc>
        <w:tc>
          <w:tcPr>
            <w:tcW w:w="1134" w:type="dxa"/>
            <w:shd w:val="clear" w:color="auto" w:fill="EEEEEF" w:themeFill="accent4"/>
            <w:noWrap/>
          </w:tcPr>
          <w:p w14:paraId="1BED572A" w14:textId="77777777" w:rsidR="00265792" w:rsidRPr="00BA7805" w:rsidRDefault="00265792" w:rsidP="00A52D32">
            <w:pPr>
              <w:pStyle w:val="ARfintablebodyright"/>
              <w:rPr>
                <w:sz w:val="16"/>
                <w:highlight w:val="green"/>
              </w:rPr>
            </w:pPr>
            <w:r>
              <w:t>–</w:t>
            </w:r>
          </w:p>
        </w:tc>
        <w:tc>
          <w:tcPr>
            <w:tcW w:w="1134" w:type="dxa"/>
            <w:noWrap/>
          </w:tcPr>
          <w:p w14:paraId="7B35A38C" w14:textId="77777777" w:rsidR="00265792" w:rsidRPr="00BA7805" w:rsidRDefault="00265792" w:rsidP="00A52D32">
            <w:pPr>
              <w:pStyle w:val="ARfintablebodyright"/>
              <w:rPr>
                <w:sz w:val="16"/>
                <w:highlight w:val="green"/>
              </w:rPr>
            </w:pPr>
            <w:r>
              <w:t>–</w:t>
            </w:r>
          </w:p>
        </w:tc>
      </w:tr>
      <w:tr w:rsidR="00265792" w:rsidRPr="00BA7805" w14:paraId="132F54AD" w14:textId="77777777">
        <w:tc>
          <w:tcPr>
            <w:tcW w:w="2835" w:type="dxa"/>
          </w:tcPr>
          <w:p w14:paraId="72B63D3B" w14:textId="77777777" w:rsidR="00265792" w:rsidRPr="00BA7805" w:rsidRDefault="00265792" w:rsidP="00A52D32">
            <w:pPr>
              <w:pStyle w:val="ARfintablebody"/>
              <w:rPr>
                <w:sz w:val="16"/>
                <w:highlight w:val="green"/>
              </w:rPr>
            </w:pPr>
            <w:r w:rsidRPr="00D64EA0">
              <w:t>Capital contributed from asset</w:t>
            </w:r>
            <w:r>
              <w:t> </w:t>
            </w:r>
            <w:r w:rsidRPr="00D64EA0">
              <w:t>transfers</w:t>
            </w:r>
          </w:p>
        </w:tc>
        <w:tc>
          <w:tcPr>
            <w:tcW w:w="1134" w:type="dxa"/>
            <w:shd w:val="clear" w:color="auto" w:fill="EEEEEF" w:themeFill="accent4"/>
          </w:tcPr>
          <w:p w14:paraId="545806B4" w14:textId="77777777" w:rsidR="00265792" w:rsidRPr="00BA7805" w:rsidRDefault="00265792" w:rsidP="00A52D32">
            <w:pPr>
              <w:pStyle w:val="ARfintablebodyright"/>
              <w:rPr>
                <w:sz w:val="16"/>
                <w:highlight w:val="green"/>
              </w:rPr>
            </w:pPr>
            <w:r>
              <w:t>–</w:t>
            </w:r>
          </w:p>
        </w:tc>
        <w:tc>
          <w:tcPr>
            <w:tcW w:w="1134" w:type="dxa"/>
          </w:tcPr>
          <w:p w14:paraId="50061469" w14:textId="77777777" w:rsidR="00265792" w:rsidRPr="00BA7805" w:rsidRDefault="00265792" w:rsidP="00A52D32">
            <w:pPr>
              <w:pStyle w:val="ARfintablebodyright"/>
              <w:rPr>
                <w:sz w:val="16"/>
                <w:highlight w:val="green"/>
              </w:rPr>
            </w:pPr>
            <w:r w:rsidRPr="005A4A47">
              <w:t>(6.2)</w:t>
            </w:r>
          </w:p>
        </w:tc>
        <w:tc>
          <w:tcPr>
            <w:tcW w:w="1134" w:type="dxa"/>
            <w:shd w:val="clear" w:color="auto" w:fill="EEEEEF" w:themeFill="accent4"/>
          </w:tcPr>
          <w:p w14:paraId="1449E500" w14:textId="77777777" w:rsidR="00265792" w:rsidRPr="00BA7805" w:rsidRDefault="00265792" w:rsidP="00A52D32">
            <w:pPr>
              <w:pStyle w:val="ARfintablebodyright"/>
              <w:rPr>
                <w:sz w:val="16"/>
                <w:highlight w:val="green"/>
              </w:rPr>
            </w:pPr>
            <w:r>
              <w:t>–</w:t>
            </w:r>
          </w:p>
        </w:tc>
        <w:tc>
          <w:tcPr>
            <w:tcW w:w="1134" w:type="dxa"/>
            <w:noWrap/>
          </w:tcPr>
          <w:p w14:paraId="71E2F735" w14:textId="77777777" w:rsidR="00265792" w:rsidRPr="00BA7805" w:rsidRDefault="00265792" w:rsidP="00A52D32">
            <w:pPr>
              <w:pStyle w:val="ARfintablebodyright"/>
              <w:rPr>
                <w:sz w:val="16"/>
                <w:highlight w:val="green"/>
              </w:rPr>
            </w:pPr>
            <w:r w:rsidRPr="00D64EA0">
              <w:t>(0.6)</w:t>
            </w:r>
          </w:p>
        </w:tc>
        <w:tc>
          <w:tcPr>
            <w:tcW w:w="1134" w:type="dxa"/>
            <w:shd w:val="clear" w:color="auto" w:fill="EEEEEF" w:themeFill="accent4"/>
            <w:noWrap/>
          </w:tcPr>
          <w:p w14:paraId="2B328DAA" w14:textId="77777777" w:rsidR="00265792" w:rsidRPr="00BA7805" w:rsidRDefault="00265792" w:rsidP="00A52D32">
            <w:pPr>
              <w:pStyle w:val="ARfintablebodyright"/>
              <w:rPr>
                <w:sz w:val="16"/>
                <w:highlight w:val="green"/>
              </w:rPr>
            </w:pPr>
            <w:r>
              <w:t>–</w:t>
            </w:r>
          </w:p>
        </w:tc>
        <w:tc>
          <w:tcPr>
            <w:tcW w:w="1134" w:type="dxa"/>
            <w:noWrap/>
          </w:tcPr>
          <w:p w14:paraId="4D716B54" w14:textId="77777777" w:rsidR="00265792" w:rsidRPr="00BA7805" w:rsidRDefault="00265792" w:rsidP="00A52D32">
            <w:pPr>
              <w:pStyle w:val="ARfintablebodyright"/>
              <w:rPr>
                <w:sz w:val="16"/>
                <w:highlight w:val="green"/>
              </w:rPr>
            </w:pPr>
            <w:r w:rsidRPr="00D64EA0">
              <w:t>(6.8)</w:t>
            </w:r>
          </w:p>
        </w:tc>
      </w:tr>
      <w:tr w:rsidR="00265792" w:rsidRPr="00BA7805" w14:paraId="4727304D" w14:textId="77777777" w:rsidTr="00350078">
        <w:tc>
          <w:tcPr>
            <w:tcW w:w="2835" w:type="dxa"/>
            <w:tcBorders>
              <w:bottom w:val="single" w:sz="4" w:space="0" w:color="A6A6A6" w:themeColor="accent5"/>
            </w:tcBorders>
          </w:tcPr>
          <w:p w14:paraId="19D03E8D" w14:textId="77777777" w:rsidR="00265792" w:rsidRPr="00BA7805" w:rsidRDefault="00265792" w:rsidP="00E17DB9">
            <w:pPr>
              <w:pStyle w:val="ARfintablebodybold"/>
              <w:rPr>
                <w:sz w:val="16"/>
                <w:highlight w:val="green"/>
              </w:rPr>
            </w:pPr>
            <w:r w:rsidRPr="00D64EA0">
              <w:t>Gains or losses recognised in net result</w:t>
            </w:r>
          </w:p>
        </w:tc>
        <w:tc>
          <w:tcPr>
            <w:tcW w:w="1134" w:type="dxa"/>
            <w:tcBorders>
              <w:bottom w:val="single" w:sz="4" w:space="0" w:color="A6A6A6" w:themeColor="accent5"/>
            </w:tcBorders>
          </w:tcPr>
          <w:p w14:paraId="64FC688F" w14:textId="77777777" w:rsidR="00265792" w:rsidRPr="00BA7805" w:rsidRDefault="00265792" w:rsidP="00A52D32">
            <w:pPr>
              <w:pStyle w:val="ARfintablebodyright"/>
              <w:rPr>
                <w:sz w:val="16"/>
                <w:highlight w:val="green"/>
              </w:rPr>
            </w:pPr>
          </w:p>
        </w:tc>
        <w:tc>
          <w:tcPr>
            <w:tcW w:w="1134" w:type="dxa"/>
            <w:tcBorders>
              <w:bottom w:val="single" w:sz="4" w:space="0" w:color="A6A6A6" w:themeColor="accent5"/>
            </w:tcBorders>
          </w:tcPr>
          <w:p w14:paraId="42441EC6" w14:textId="77777777" w:rsidR="00265792" w:rsidRPr="00BA7805" w:rsidRDefault="00265792" w:rsidP="00A52D32">
            <w:pPr>
              <w:pStyle w:val="ARfintablebodyright"/>
              <w:rPr>
                <w:sz w:val="16"/>
                <w:highlight w:val="green"/>
              </w:rPr>
            </w:pPr>
          </w:p>
        </w:tc>
        <w:tc>
          <w:tcPr>
            <w:tcW w:w="1134" w:type="dxa"/>
            <w:tcBorders>
              <w:bottom w:val="single" w:sz="4" w:space="0" w:color="A6A6A6" w:themeColor="accent5"/>
            </w:tcBorders>
          </w:tcPr>
          <w:p w14:paraId="4A5D7030" w14:textId="77777777" w:rsidR="00265792" w:rsidRPr="00BA7805" w:rsidRDefault="00265792" w:rsidP="00A52D32">
            <w:pPr>
              <w:pStyle w:val="ARfintablebodyright"/>
              <w:rPr>
                <w:sz w:val="16"/>
                <w:highlight w:val="green"/>
              </w:rPr>
            </w:pPr>
          </w:p>
        </w:tc>
        <w:tc>
          <w:tcPr>
            <w:tcW w:w="1134" w:type="dxa"/>
            <w:tcBorders>
              <w:bottom w:val="single" w:sz="4" w:space="0" w:color="A6A6A6" w:themeColor="accent5"/>
            </w:tcBorders>
            <w:noWrap/>
          </w:tcPr>
          <w:p w14:paraId="7DA5CE9B" w14:textId="77777777" w:rsidR="00265792" w:rsidRPr="00BA7805" w:rsidRDefault="00265792" w:rsidP="00A52D32">
            <w:pPr>
              <w:pStyle w:val="ARfintablebodyright"/>
              <w:rPr>
                <w:sz w:val="16"/>
                <w:highlight w:val="green"/>
              </w:rPr>
            </w:pPr>
          </w:p>
        </w:tc>
        <w:tc>
          <w:tcPr>
            <w:tcW w:w="1134" w:type="dxa"/>
            <w:tcBorders>
              <w:bottom w:val="single" w:sz="4" w:space="0" w:color="A6A6A6" w:themeColor="accent5"/>
            </w:tcBorders>
            <w:noWrap/>
          </w:tcPr>
          <w:p w14:paraId="5CF40319" w14:textId="77777777" w:rsidR="00265792" w:rsidRPr="00BA7805" w:rsidRDefault="00265792" w:rsidP="00A52D32">
            <w:pPr>
              <w:pStyle w:val="ARfintablebodyright"/>
              <w:rPr>
                <w:sz w:val="16"/>
                <w:highlight w:val="green"/>
              </w:rPr>
            </w:pPr>
          </w:p>
        </w:tc>
        <w:tc>
          <w:tcPr>
            <w:tcW w:w="1134" w:type="dxa"/>
            <w:tcBorders>
              <w:bottom w:val="single" w:sz="4" w:space="0" w:color="A6A6A6" w:themeColor="accent5"/>
            </w:tcBorders>
            <w:noWrap/>
          </w:tcPr>
          <w:p w14:paraId="1827BA6A" w14:textId="77777777" w:rsidR="00265792" w:rsidRPr="00BA7805" w:rsidRDefault="00265792" w:rsidP="00A52D32">
            <w:pPr>
              <w:pStyle w:val="ARfintablebodyright"/>
              <w:rPr>
                <w:sz w:val="16"/>
                <w:highlight w:val="green"/>
              </w:rPr>
            </w:pPr>
          </w:p>
        </w:tc>
      </w:tr>
      <w:tr w:rsidR="00265792" w:rsidRPr="00BA7805" w14:paraId="2091975C" w14:textId="77777777" w:rsidTr="00350078">
        <w:tc>
          <w:tcPr>
            <w:tcW w:w="2835" w:type="dxa"/>
            <w:tcBorders>
              <w:top w:val="single" w:sz="4" w:space="0" w:color="A6A6A6" w:themeColor="accent5"/>
              <w:bottom w:val="single" w:sz="4" w:space="0" w:color="auto"/>
            </w:tcBorders>
          </w:tcPr>
          <w:p w14:paraId="4574D1DD" w14:textId="77777777" w:rsidR="00265792" w:rsidRPr="00BA401C" w:rsidRDefault="00265792" w:rsidP="00A52D32">
            <w:pPr>
              <w:pStyle w:val="ARfintablebody"/>
              <w:rPr>
                <w:b/>
                <w:bCs/>
                <w:sz w:val="16"/>
                <w:highlight w:val="green"/>
              </w:rPr>
            </w:pPr>
            <w:r w:rsidRPr="00D64EA0">
              <w:t>Depreciation</w:t>
            </w:r>
          </w:p>
        </w:tc>
        <w:tc>
          <w:tcPr>
            <w:tcW w:w="1134" w:type="dxa"/>
            <w:tcBorders>
              <w:top w:val="single" w:sz="4" w:space="0" w:color="A6A6A6" w:themeColor="accent5"/>
              <w:bottom w:val="single" w:sz="4" w:space="0" w:color="auto"/>
            </w:tcBorders>
            <w:shd w:val="clear" w:color="auto" w:fill="EEEEEF" w:themeFill="accent4"/>
          </w:tcPr>
          <w:p w14:paraId="2DA3E799" w14:textId="77777777" w:rsidR="00265792" w:rsidRPr="00BA401C" w:rsidRDefault="00265792" w:rsidP="00A52D32">
            <w:pPr>
              <w:pStyle w:val="ARfintablebodyright"/>
              <w:rPr>
                <w:sz w:val="16"/>
                <w:highlight w:val="green"/>
              </w:rPr>
            </w:pPr>
            <w:r>
              <w:t>–</w:t>
            </w:r>
          </w:p>
        </w:tc>
        <w:tc>
          <w:tcPr>
            <w:tcW w:w="1134" w:type="dxa"/>
            <w:tcBorders>
              <w:top w:val="single" w:sz="4" w:space="0" w:color="A6A6A6" w:themeColor="accent5"/>
              <w:bottom w:val="single" w:sz="4" w:space="0" w:color="auto"/>
            </w:tcBorders>
          </w:tcPr>
          <w:p w14:paraId="03F8AA08" w14:textId="77777777" w:rsidR="00265792" w:rsidRPr="00BA401C" w:rsidRDefault="00265792" w:rsidP="00A52D32">
            <w:pPr>
              <w:pStyle w:val="ARfintablebodyright"/>
              <w:rPr>
                <w:sz w:val="16"/>
                <w:highlight w:val="green"/>
              </w:rPr>
            </w:pPr>
            <w:r>
              <w:t>–</w:t>
            </w:r>
          </w:p>
        </w:tc>
        <w:tc>
          <w:tcPr>
            <w:tcW w:w="1134" w:type="dxa"/>
            <w:tcBorders>
              <w:top w:val="single" w:sz="4" w:space="0" w:color="A6A6A6" w:themeColor="accent5"/>
              <w:bottom w:val="single" w:sz="4" w:space="0" w:color="auto"/>
            </w:tcBorders>
            <w:shd w:val="clear" w:color="auto" w:fill="EEEEEF" w:themeFill="accent4"/>
          </w:tcPr>
          <w:p w14:paraId="759FB963" w14:textId="77777777" w:rsidR="00265792" w:rsidRPr="00BA401C" w:rsidRDefault="00265792" w:rsidP="00A52D32">
            <w:pPr>
              <w:pStyle w:val="ARfintablebodyright"/>
              <w:rPr>
                <w:sz w:val="16"/>
                <w:highlight w:val="green"/>
              </w:rPr>
            </w:pPr>
            <w:r>
              <w:t>–</w:t>
            </w:r>
          </w:p>
        </w:tc>
        <w:tc>
          <w:tcPr>
            <w:tcW w:w="1134" w:type="dxa"/>
            <w:tcBorders>
              <w:top w:val="single" w:sz="4" w:space="0" w:color="A6A6A6" w:themeColor="accent5"/>
              <w:bottom w:val="single" w:sz="4" w:space="0" w:color="auto"/>
            </w:tcBorders>
            <w:noWrap/>
          </w:tcPr>
          <w:p w14:paraId="0B980BEC" w14:textId="77777777" w:rsidR="00265792" w:rsidRPr="00BA401C" w:rsidRDefault="00265792" w:rsidP="00A52D32">
            <w:pPr>
              <w:pStyle w:val="ARfintablebodyright"/>
              <w:rPr>
                <w:sz w:val="16"/>
                <w:highlight w:val="green"/>
              </w:rPr>
            </w:pPr>
            <w:r w:rsidRPr="00D64EA0">
              <w:t>(20.0)</w:t>
            </w:r>
          </w:p>
        </w:tc>
        <w:tc>
          <w:tcPr>
            <w:tcW w:w="1134" w:type="dxa"/>
            <w:tcBorders>
              <w:top w:val="single" w:sz="4" w:space="0" w:color="A6A6A6" w:themeColor="accent5"/>
              <w:bottom w:val="single" w:sz="4" w:space="0" w:color="auto"/>
            </w:tcBorders>
            <w:shd w:val="clear" w:color="auto" w:fill="EEEEEF" w:themeFill="accent4"/>
            <w:noWrap/>
          </w:tcPr>
          <w:p w14:paraId="630E0113" w14:textId="77777777" w:rsidR="00265792" w:rsidRPr="00BA401C" w:rsidRDefault="00265792" w:rsidP="00A52D32">
            <w:pPr>
              <w:pStyle w:val="ARfintablebodyright"/>
              <w:rPr>
                <w:sz w:val="16"/>
                <w:highlight w:val="green"/>
              </w:rPr>
            </w:pPr>
            <w:r>
              <w:t>–</w:t>
            </w:r>
          </w:p>
        </w:tc>
        <w:tc>
          <w:tcPr>
            <w:tcW w:w="1134" w:type="dxa"/>
            <w:tcBorders>
              <w:top w:val="single" w:sz="4" w:space="0" w:color="A6A6A6" w:themeColor="accent5"/>
              <w:bottom w:val="single" w:sz="4" w:space="0" w:color="auto"/>
            </w:tcBorders>
            <w:noWrap/>
          </w:tcPr>
          <w:p w14:paraId="2B4C136A" w14:textId="77777777" w:rsidR="00265792" w:rsidRPr="00BA401C" w:rsidDel="00E12820" w:rsidRDefault="00265792" w:rsidP="00A52D32">
            <w:pPr>
              <w:pStyle w:val="ARfintablebodyright"/>
              <w:rPr>
                <w:sz w:val="16"/>
                <w:highlight w:val="green"/>
              </w:rPr>
            </w:pPr>
            <w:r w:rsidRPr="00D64EA0">
              <w:t>(20.0)</w:t>
            </w:r>
          </w:p>
        </w:tc>
      </w:tr>
      <w:tr w:rsidR="00265792" w:rsidRPr="00BA7805" w14:paraId="25A347F3" w14:textId="77777777" w:rsidTr="00350078">
        <w:tc>
          <w:tcPr>
            <w:tcW w:w="2835" w:type="dxa"/>
            <w:tcBorders>
              <w:top w:val="single" w:sz="4" w:space="0" w:color="auto"/>
              <w:bottom w:val="single" w:sz="4" w:space="0" w:color="auto"/>
            </w:tcBorders>
          </w:tcPr>
          <w:p w14:paraId="0C6873B3" w14:textId="77777777" w:rsidR="00265792" w:rsidRPr="00BA7805" w:rsidRDefault="00265792" w:rsidP="00E17DB9">
            <w:pPr>
              <w:pStyle w:val="ARfintablebodybold"/>
              <w:rPr>
                <w:sz w:val="16"/>
                <w:highlight w:val="green"/>
              </w:rPr>
            </w:pPr>
            <w:r w:rsidRPr="00D64EA0">
              <w:t>Subtotal of gains or losses recognised in net result</w:t>
            </w:r>
          </w:p>
        </w:tc>
        <w:tc>
          <w:tcPr>
            <w:tcW w:w="1134" w:type="dxa"/>
            <w:tcBorders>
              <w:top w:val="single" w:sz="4" w:space="0" w:color="auto"/>
              <w:bottom w:val="single" w:sz="4" w:space="0" w:color="auto"/>
            </w:tcBorders>
            <w:shd w:val="clear" w:color="auto" w:fill="EEEEEF" w:themeFill="accent4"/>
          </w:tcPr>
          <w:p w14:paraId="1E2B5440" w14:textId="77777777" w:rsidR="00265792" w:rsidRPr="00BA7805" w:rsidRDefault="00265792" w:rsidP="00E17DB9">
            <w:pPr>
              <w:pStyle w:val="ARfintablebodyrightbold"/>
              <w:rPr>
                <w:sz w:val="16"/>
                <w:highlight w:val="green"/>
              </w:rPr>
            </w:pPr>
            <w:r>
              <w:t>–</w:t>
            </w:r>
          </w:p>
        </w:tc>
        <w:tc>
          <w:tcPr>
            <w:tcW w:w="1134" w:type="dxa"/>
            <w:tcBorders>
              <w:top w:val="single" w:sz="4" w:space="0" w:color="auto"/>
              <w:bottom w:val="single" w:sz="4" w:space="0" w:color="auto"/>
            </w:tcBorders>
          </w:tcPr>
          <w:p w14:paraId="7F4BD3E4" w14:textId="77777777" w:rsidR="00265792" w:rsidRPr="00BA7805" w:rsidRDefault="00265792" w:rsidP="00E17DB9">
            <w:pPr>
              <w:pStyle w:val="ARfintablebodyrightbold"/>
              <w:rPr>
                <w:sz w:val="16"/>
                <w:highlight w:val="green"/>
              </w:rPr>
            </w:pPr>
            <w:r>
              <w:t>–</w:t>
            </w:r>
          </w:p>
        </w:tc>
        <w:tc>
          <w:tcPr>
            <w:tcW w:w="1134" w:type="dxa"/>
            <w:tcBorders>
              <w:top w:val="single" w:sz="4" w:space="0" w:color="auto"/>
              <w:bottom w:val="single" w:sz="4" w:space="0" w:color="auto"/>
            </w:tcBorders>
            <w:shd w:val="clear" w:color="auto" w:fill="EEEEEF" w:themeFill="accent4"/>
          </w:tcPr>
          <w:p w14:paraId="1B0CDE52" w14:textId="77777777" w:rsidR="00265792" w:rsidRPr="00BA7805" w:rsidRDefault="00265792" w:rsidP="00E17DB9">
            <w:pPr>
              <w:pStyle w:val="ARfintablebodyrightbold"/>
              <w:rPr>
                <w:sz w:val="16"/>
                <w:highlight w:val="green"/>
              </w:rPr>
            </w:pPr>
            <w:r>
              <w:t>–</w:t>
            </w:r>
          </w:p>
        </w:tc>
        <w:tc>
          <w:tcPr>
            <w:tcW w:w="1134" w:type="dxa"/>
            <w:tcBorders>
              <w:top w:val="single" w:sz="4" w:space="0" w:color="auto"/>
              <w:bottom w:val="single" w:sz="4" w:space="0" w:color="auto"/>
            </w:tcBorders>
            <w:noWrap/>
          </w:tcPr>
          <w:p w14:paraId="57B9B971" w14:textId="77777777" w:rsidR="00265792" w:rsidRPr="00BA7805" w:rsidRDefault="00265792" w:rsidP="00E17DB9">
            <w:pPr>
              <w:pStyle w:val="ARfintablebodyrightbold"/>
              <w:rPr>
                <w:sz w:val="16"/>
                <w:highlight w:val="green"/>
              </w:rPr>
            </w:pPr>
            <w:r w:rsidRPr="00D64EA0">
              <w:t>(20.0)</w:t>
            </w:r>
          </w:p>
        </w:tc>
        <w:tc>
          <w:tcPr>
            <w:tcW w:w="1134" w:type="dxa"/>
            <w:tcBorders>
              <w:top w:val="single" w:sz="4" w:space="0" w:color="auto"/>
              <w:bottom w:val="single" w:sz="4" w:space="0" w:color="auto"/>
            </w:tcBorders>
            <w:shd w:val="clear" w:color="auto" w:fill="EEEEEF" w:themeFill="accent4"/>
            <w:noWrap/>
          </w:tcPr>
          <w:p w14:paraId="0B0C1319" w14:textId="77777777" w:rsidR="00265792" w:rsidRPr="00BA7805" w:rsidRDefault="00265792" w:rsidP="00E17DB9">
            <w:pPr>
              <w:pStyle w:val="ARfintablebodyrightbold"/>
              <w:rPr>
                <w:sz w:val="16"/>
                <w:highlight w:val="green"/>
              </w:rPr>
            </w:pPr>
            <w:r>
              <w:t>–</w:t>
            </w:r>
          </w:p>
        </w:tc>
        <w:tc>
          <w:tcPr>
            <w:tcW w:w="1134" w:type="dxa"/>
            <w:tcBorders>
              <w:top w:val="single" w:sz="4" w:space="0" w:color="auto"/>
              <w:bottom w:val="single" w:sz="4" w:space="0" w:color="auto"/>
            </w:tcBorders>
            <w:noWrap/>
          </w:tcPr>
          <w:p w14:paraId="694560E6" w14:textId="77777777" w:rsidR="00265792" w:rsidRPr="00BA7805" w:rsidRDefault="00265792" w:rsidP="00E17DB9">
            <w:pPr>
              <w:pStyle w:val="ARfintablebodyrightbold"/>
              <w:rPr>
                <w:sz w:val="16"/>
                <w:highlight w:val="green"/>
              </w:rPr>
            </w:pPr>
            <w:r w:rsidRPr="00D64EA0">
              <w:t>(20.0)</w:t>
            </w:r>
          </w:p>
        </w:tc>
      </w:tr>
      <w:tr w:rsidR="00265792" w:rsidRPr="00BA7805" w14:paraId="57B13E17" w14:textId="77777777" w:rsidTr="00CE779E">
        <w:tc>
          <w:tcPr>
            <w:tcW w:w="2835" w:type="dxa"/>
            <w:tcBorders>
              <w:top w:val="single" w:sz="4" w:space="0" w:color="auto"/>
              <w:bottom w:val="single" w:sz="4" w:space="0" w:color="A6A6A6" w:themeColor="accent5"/>
            </w:tcBorders>
          </w:tcPr>
          <w:p w14:paraId="040BFA71" w14:textId="77777777" w:rsidR="00265792" w:rsidRPr="00BA7805" w:rsidRDefault="00265792" w:rsidP="00E17DB9">
            <w:pPr>
              <w:pStyle w:val="ARfintablebodybold"/>
              <w:rPr>
                <w:sz w:val="16"/>
                <w:highlight w:val="green"/>
              </w:rPr>
            </w:pPr>
            <w:r w:rsidRPr="00D64EA0">
              <w:t xml:space="preserve">Gains or losses recognised in other economic flows </w:t>
            </w:r>
            <w:r>
              <w:t>–</w:t>
            </w:r>
            <w:r w:rsidRPr="00D64EA0">
              <w:t xml:space="preserve"> other comprehensive income</w:t>
            </w:r>
          </w:p>
        </w:tc>
        <w:tc>
          <w:tcPr>
            <w:tcW w:w="1134" w:type="dxa"/>
            <w:tcBorders>
              <w:top w:val="single" w:sz="4" w:space="0" w:color="auto"/>
              <w:bottom w:val="single" w:sz="4" w:space="0" w:color="A6A6A6" w:themeColor="accent5"/>
            </w:tcBorders>
          </w:tcPr>
          <w:p w14:paraId="5A936743" w14:textId="77777777" w:rsidR="00265792" w:rsidRPr="00BA7805" w:rsidRDefault="00265792" w:rsidP="00A52D32">
            <w:pPr>
              <w:pStyle w:val="ARfintablebodyright"/>
              <w:rPr>
                <w:sz w:val="16"/>
                <w:highlight w:val="green"/>
              </w:rPr>
            </w:pPr>
          </w:p>
        </w:tc>
        <w:tc>
          <w:tcPr>
            <w:tcW w:w="1134" w:type="dxa"/>
            <w:tcBorders>
              <w:top w:val="single" w:sz="4" w:space="0" w:color="auto"/>
              <w:bottom w:val="single" w:sz="4" w:space="0" w:color="A6A6A6" w:themeColor="accent5"/>
            </w:tcBorders>
          </w:tcPr>
          <w:p w14:paraId="63ED679B" w14:textId="77777777" w:rsidR="00265792" w:rsidRPr="00BA7805" w:rsidRDefault="00265792" w:rsidP="00A52D32">
            <w:pPr>
              <w:pStyle w:val="ARfintablebodyright"/>
              <w:rPr>
                <w:sz w:val="16"/>
                <w:highlight w:val="green"/>
              </w:rPr>
            </w:pPr>
          </w:p>
        </w:tc>
        <w:tc>
          <w:tcPr>
            <w:tcW w:w="1134" w:type="dxa"/>
            <w:tcBorders>
              <w:top w:val="single" w:sz="4" w:space="0" w:color="auto"/>
              <w:bottom w:val="single" w:sz="4" w:space="0" w:color="A6A6A6" w:themeColor="accent5"/>
            </w:tcBorders>
          </w:tcPr>
          <w:p w14:paraId="25AC7F39" w14:textId="77777777" w:rsidR="00265792" w:rsidRPr="00BA7805" w:rsidRDefault="00265792" w:rsidP="00A52D32">
            <w:pPr>
              <w:pStyle w:val="ARfintablebodyright"/>
              <w:rPr>
                <w:sz w:val="16"/>
                <w:highlight w:val="green"/>
              </w:rPr>
            </w:pPr>
          </w:p>
        </w:tc>
        <w:tc>
          <w:tcPr>
            <w:tcW w:w="1134" w:type="dxa"/>
            <w:tcBorders>
              <w:top w:val="single" w:sz="4" w:space="0" w:color="auto"/>
              <w:bottom w:val="single" w:sz="4" w:space="0" w:color="A6A6A6" w:themeColor="accent5"/>
            </w:tcBorders>
            <w:noWrap/>
          </w:tcPr>
          <w:p w14:paraId="65998658" w14:textId="77777777" w:rsidR="00265792" w:rsidRPr="00BA7805" w:rsidRDefault="00265792" w:rsidP="00A52D32">
            <w:pPr>
              <w:pStyle w:val="ARfintablebodyright"/>
              <w:rPr>
                <w:sz w:val="16"/>
                <w:highlight w:val="green"/>
              </w:rPr>
            </w:pPr>
          </w:p>
        </w:tc>
        <w:tc>
          <w:tcPr>
            <w:tcW w:w="1134" w:type="dxa"/>
            <w:tcBorders>
              <w:top w:val="single" w:sz="4" w:space="0" w:color="auto"/>
              <w:bottom w:val="single" w:sz="4" w:space="0" w:color="A6A6A6" w:themeColor="accent5"/>
            </w:tcBorders>
            <w:noWrap/>
          </w:tcPr>
          <w:p w14:paraId="4DC3D99A" w14:textId="77777777" w:rsidR="00265792" w:rsidRPr="00BA7805" w:rsidRDefault="00265792" w:rsidP="00A52D32">
            <w:pPr>
              <w:pStyle w:val="ARfintablebodyright"/>
              <w:rPr>
                <w:sz w:val="16"/>
                <w:highlight w:val="green"/>
              </w:rPr>
            </w:pPr>
          </w:p>
        </w:tc>
        <w:tc>
          <w:tcPr>
            <w:tcW w:w="1134" w:type="dxa"/>
            <w:tcBorders>
              <w:top w:val="single" w:sz="4" w:space="0" w:color="auto"/>
              <w:bottom w:val="single" w:sz="4" w:space="0" w:color="A6A6A6" w:themeColor="accent5"/>
            </w:tcBorders>
            <w:noWrap/>
          </w:tcPr>
          <w:p w14:paraId="6D7FB78B" w14:textId="77777777" w:rsidR="00265792" w:rsidRPr="00BA7805" w:rsidRDefault="00265792" w:rsidP="00A52D32">
            <w:pPr>
              <w:pStyle w:val="ARfintablebodyright"/>
              <w:rPr>
                <w:sz w:val="16"/>
                <w:highlight w:val="green"/>
              </w:rPr>
            </w:pPr>
          </w:p>
        </w:tc>
      </w:tr>
      <w:tr w:rsidR="00265792" w:rsidRPr="00BA7805" w14:paraId="34C6B940" w14:textId="77777777" w:rsidTr="00350078">
        <w:tc>
          <w:tcPr>
            <w:tcW w:w="2835" w:type="dxa"/>
            <w:tcBorders>
              <w:top w:val="single" w:sz="4" w:space="0" w:color="A6A6A6" w:themeColor="accent5"/>
              <w:bottom w:val="single" w:sz="4" w:space="0" w:color="auto"/>
            </w:tcBorders>
          </w:tcPr>
          <w:p w14:paraId="45A7D617" w14:textId="77777777" w:rsidR="00265792" w:rsidRPr="00BA7805" w:rsidRDefault="00265792" w:rsidP="00A52D32">
            <w:pPr>
              <w:pStyle w:val="ARfintablebody"/>
              <w:rPr>
                <w:sz w:val="16"/>
                <w:highlight w:val="green"/>
              </w:rPr>
            </w:pPr>
            <w:r w:rsidRPr="00D64EA0">
              <w:t>Net revaluation increments/(decrements)</w:t>
            </w:r>
          </w:p>
        </w:tc>
        <w:tc>
          <w:tcPr>
            <w:tcW w:w="1134" w:type="dxa"/>
            <w:tcBorders>
              <w:top w:val="single" w:sz="4" w:space="0" w:color="A6A6A6" w:themeColor="accent5"/>
              <w:bottom w:val="single" w:sz="4" w:space="0" w:color="auto"/>
            </w:tcBorders>
            <w:shd w:val="clear" w:color="auto" w:fill="EEEEEF" w:themeFill="accent4"/>
          </w:tcPr>
          <w:p w14:paraId="52CD131C" w14:textId="77777777" w:rsidR="00265792" w:rsidRPr="00BA7805" w:rsidRDefault="00265792" w:rsidP="00A52D32">
            <w:pPr>
              <w:pStyle w:val="ARfintablebodyright"/>
              <w:rPr>
                <w:sz w:val="16"/>
                <w:highlight w:val="green"/>
              </w:rPr>
            </w:pPr>
            <w:r>
              <w:t>–</w:t>
            </w:r>
          </w:p>
        </w:tc>
        <w:tc>
          <w:tcPr>
            <w:tcW w:w="1134" w:type="dxa"/>
            <w:tcBorders>
              <w:top w:val="single" w:sz="4" w:space="0" w:color="A6A6A6" w:themeColor="accent5"/>
              <w:bottom w:val="single" w:sz="4" w:space="0" w:color="auto"/>
            </w:tcBorders>
          </w:tcPr>
          <w:p w14:paraId="20630273" w14:textId="77777777" w:rsidR="00265792" w:rsidRPr="00BA7805" w:rsidRDefault="00265792" w:rsidP="00A52D32">
            <w:pPr>
              <w:pStyle w:val="ARfintablebodyright"/>
              <w:rPr>
                <w:sz w:val="16"/>
                <w:highlight w:val="green"/>
              </w:rPr>
            </w:pPr>
            <w:r>
              <w:t>–</w:t>
            </w:r>
          </w:p>
        </w:tc>
        <w:tc>
          <w:tcPr>
            <w:tcW w:w="1134" w:type="dxa"/>
            <w:tcBorders>
              <w:top w:val="single" w:sz="4" w:space="0" w:color="A6A6A6" w:themeColor="accent5"/>
              <w:bottom w:val="single" w:sz="4" w:space="0" w:color="auto"/>
            </w:tcBorders>
            <w:shd w:val="clear" w:color="auto" w:fill="EEEEEF" w:themeFill="accent4"/>
          </w:tcPr>
          <w:p w14:paraId="1161B120" w14:textId="77777777" w:rsidR="00265792" w:rsidRPr="00BA7805" w:rsidRDefault="00265792" w:rsidP="00A52D32">
            <w:pPr>
              <w:pStyle w:val="ARfintablebodyright"/>
              <w:rPr>
                <w:sz w:val="16"/>
                <w:highlight w:val="green"/>
              </w:rPr>
            </w:pPr>
            <w:r>
              <w:t>–</w:t>
            </w:r>
          </w:p>
        </w:tc>
        <w:tc>
          <w:tcPr>
            <w:tcW w:w="1134" w:type="dxa"/>
            <w:tcBorders>
              <w:top w:val="single" w:sz="4" w:space="0" w:color="A6A6A6" w:themeColor="accent5"/>
              <w:bottom w:val="single" w:sz="4" w:space="0" w:color="auto"/>
            </w:tcBorders>
            <w:noWrap/>
          </w:tcPr>
          <w:p w14:paraId="6BD4C6B4" w14:textId="77777777" w:rsidR="00265792" w:rsidRPr="00BA7805" w:rsidRDefault="00265792" w:rsidP="00A52D32">
            <w:pPr>
              <w:pStyle w:val="ARfintablebodyright"/>
              <w:rPr>
                <w:sz w:val="16"/>
                <w:highlight w:val="green"/>
              </w:rPr>
            </w:pPr>
            <w:r w:rsidRPr="00D64EA0">
              <w:t>(1.6)</w:t>
            </w:r>
          </w:p>
        </w:tc>
        <w:tc>
          <w:tcPr>
            <w:tcW w:w="1134" w:type="dxa"/>
            <w:tcBorders>
              <w:top w:val="single" w:sz="4" w:space="0" w:color="A6A6A6" w:themeColor="accent5"/>
              <w:bottom w:val="single" w:sz="4" w:space="0" w:color="auto"/>
            </w:tcBorders>
            <w:shd w:val="clear" w:color="auto" w:fill="EEEEEF" w:themeFill="accent4"/>
            <w:noWrap/>
          </w:tcPr>
          <w:p w14:paraId="5CD7DC6D" w14:textId="77777777" w:rsidR="00265792" w:rsidRPr="00BA7805" w:rsidRDefault="00265792" w:rsidP="00A52D32">
            <w:pPr>
              <w:pStyle w:val="ARfintablebodyright"/>
              <w:rPr>
                <w:sz w:val="16"/>
                <w:highlight w:val="green"/>
              </w:rPr>
            </w:pPr>
            <w:r>
              <w:t>–</w:t>
            </w:r>
          </w:p>
        </w:tc>
        <w:tc>
          <w:tcPr>
            <w:tcW w:w="1134" w:type="dxa"/>
            <w:tcBorders>
              <w:top w:val="single" w:sz="4" w:space="0" w:color="A6A6A6" w:themeColor="accent5"/>
              <w:bottom w:val="single" w:sz="4" w:space="0" w:color="auto"/>
            </w:tcBorders>
            <w:noWrap/>
          </w:tcPr>
          <w:p w14:paraId="6030374F" w14:textId="77777777" w:rsidR="00265792" w:rsidRPr="00BA7805" w:rsidRDefault="00265792" w:rsidP="00A52D32">
            <w:pPr>
              <w:pStyle w:val="ARfintablebodyright"/>
              <w:rPr>
                <w:sz w:val="16"/>
                <w:highlight w:val="green"/>
              </w:rPr>
            </w:pPr>
            <w:r w:rsidRPr="00D64EA0">
              <w:t>(1.6)</w:t>
            </w:r>
          </w:p>
        </w:tc>
      </w:tr>
      <w:tr w:rsidR="00265792" w:rsidRPr="00BA7805" w14:paraId="09BC4997" w14:textId="77777777">
        <w:tc>
          <w:tcPr>
            <w:tcW w:w="2835" w:type="dxa"/>
            <w:tcBorders>
              <w:top w:val="single" w:sz="4" w:space="0" w:color="auto"/>
              <w:bottom w:val="single" w:sz="4" w:space="0" w:color="000000" w:themeColor="text1"/>
            </w:tcBorders>
          </w:tcPr>
          <w:p w14:paraId="46BDA723" w14:textId="77777777" w:rsidR="00265792" w:rsidRPr="00BA7805" w:rsidRDefault="00265792" w:rsidP="00E17DB9">
            <w:pPr>
              <w:pStyle w:val="ARfintablebodybold"/>
              <w:rPr>
                <w:sz w:val="16"/>
                <w:highlight w:val="green"/>
              </w:rPr>
            </w:pPr>
            <w:r w:rsidRPr="00D64EA0">
              <w:t>Subtotal of gains or losses recognised in other economic flows</w:t>
            </w:r>
          </w:p>
        </w:tc>
        <w:tc>
          <w:tcPr>
            <w:tcW w:w="1134" w:type="dxa"/>
            <w:tcBorders>
              <w:top w:val="single" w:sz="4" w:space="0" w:color="auto"/>
              <w:bottom w:val="single" w:sz="4" w:space="0" w:color="000000" w:themeColor="text1"/>
            </w:tcBorders>
            <w:shd w:val="clear" w:color="auto" w:fill="EEEEEF" w:themeFill="accent4"/>
          </w:tcPr>
          <w:p w14:paraId="74C1D037" w14:textId="77777777" w:rsidR="00265792" w:rsidRPr="00BA7805" w:rsidRDefault="00265792" w:rsidP="00E17DB9">
            <w:pPr>
              <w:pStyle w:val="ARfintablebodyrightbold"/>
              <w:rPr>
                <w:highlight w:val="green"/>
              </w:rPr>
            </w:pPr>
            <w:r>
              <w:t>–</w:t>
            </w:r>
          </w:p>
        </w:tc>
        <w:tc>
          <w:tcPr>
            <w:tcW w:w="1134" w:type="dxa"/>
            <w:tcBorders>
              <w:top w:val="single" w:sz="4" w:space="0" w:color="auto"/>
              <w:bottom w:val="single" w:sz="4" w:space="0" w:color="000000" w:themeColor="text1"/>
            </w:tcBorders>
          </w:tcPr>
          <w:p w14:paraId="4A5DBA67" w14:textId="77777777" w:rsidR="00265792" w:rsidRPr="00BA7805" w:rsidRDefault="00265792" w:rsidP="00E17DB9">
            <w:pPr>
              <w:pStyle w:val="ARfintablebodyrightbold"/>
              <w:rPr>
                <w:highlight w:val="green"/>
              </w:rPr>
            </w:pPr>
            <w:r>
              <w:t>–</w:t>
            </w:r>
          </w:p>
        </w:tc>
        <w:tc>
          <w:tcPr>
            <w:tcW w:w="1134" w:type="dxa"/>
            <w:tcBorders>
              <w:top w:val="single" w:sz="4" w:space="0" w:color="auto"/>
              <w:bottom w:val="single" w:sz="4" w:space="0" w:color="000000" w:themeColor="text1"/>
            </w:tcBorders>
            <w:shd w:val="clear" w:color="auto" w:fill="EEEEEF" w:themeFill="accent4"/>
          </w:tcPr>
          <w:p w14:paraId="08C4D4F7" w14:textId="77777777" w:rsidR="00265792" w:rsidRPr="00BA7805" w:rsidRDefault="00265792" w:rsidP="00E17DB9">
            <w:pPr>
              <w:pStyle w:val="ARfintablebodyrightbold"/>
              <w:rPr>
                <w:highlight w:val="green"/>
              </w:rPr>
            </w:pPr>
            <w:r>
              <w:t>–</w:t>
            </w:r>
          </w:p>
        </w:tc>
        <w:tc>
          <w:tcPr>
            <w:tcW w:w="1134" w:type="dxa"/>
            <w:tcBorders>
              <w:top w:val="single" w:sz="4" w:space="0" w:color="auto"/>
              <w:bottom w:val="single" w:sz="4" w:space="0" w:color="000000" w:themeColor="text1"/>
            </w:tcBorders>
            <w:noWrap/>
          </w:tcPr>
          <w:p w14:paraId="022ACF84" w14:textId="77777777" w:rsidR="00265792" w:rsidRPr="00BA7805" w:rsidRDefault="00265792" w:rsidP="00E17DB9">
            <w:pPr>
              <w:pStyle w:val="ARfintablebodyrightbold"/>
              <w:rPr>
                <w:highlight w:val="green"/>
              </w:rPr>
            </w:pPr>
            <w:r w:rsidRPr="00D64EA0">
              <w:t>(1.6)</w:t>
            </w:r>
          </w:p>
        </w:tc>
        <w:tc>
          <w:tcPr>
            <w:tcW w:w="1134" w:type="dxa"/>
            <w:tcBorders>
              <w:top w:val="single" w:sz="4" w:space="0" w:color="auto"/>
              <w:bottom w:val="single" w:sz="4" w:space="0" w:color="000000" w:themeColor="text1"/>
            </w:tcBorders>
            <w:shd w:val="clear" w:color="auto" w:fill="EEEEEF" w:themeFill="accent4"/>
            <w:noWrap/>
          </w:tcPr>
          <w:p w14:paraId="3F67AEE1" w14:textId="77777777" w:rsidR="00265792" w:rsidRPr="00BA7805" w:rsidRDefault="00265792" w:rsidP="00E17DB9">
            <w:pPr>
              <w:pStyle w:val="ARfintablebodyrightbold"/>
              <w:rPr>
                <w:highlight w:val="green"/>
              </w:rPr>
            </w:pPr>
            <w:r>
              <w:t>–</w:t>
            </w:r>
          </w:p>
        </w:tc>
        <w:tc>
          <w:tcPr>
            <w:tcW w:w="1134" w:type="dxa"/>
            <w:tcBorders>
              <w:top w:val="single" w:sz="4" w:space="0" w:color="auto"/>
              <w:bottom w:val="single" w:sz="4" w:space="0" w:color="000000" w:themeColor="text1"/>
            </w:tcBorders>
            <w:noWrap/>
          </w:tcPr>
          <w:p w14:paraId="07ACC2DD" w14:textId="77777777" w:rsidR="00265792" w:rsidRPr="00BA7805" w:rsidRDefault="00265792" w:rsidP="00E17DB9">
            <w:pPr>
              <w:pStyle w:val="ARfintablebodyrightbold"/>
              <w:rPr>
                <w:highlight w:val="green"/>
              </w:rPr>
            </w:pPr>
            <w:r w:rsidRPr="00D64EA0">
              <w:t>(1.6)</w:t>
            </w:r>
          </w:p>
        </w:tc>
      </w:tr>
      <w:tr w:rsidR="00265792" w:rsidRPr="00BA7805" w14:paraId="1EA7EA00" w14:textId="77777777">
        <w:trPr>
          <w:cnfStyle w:val="010000000000" w:firstRow="0" w:lastRow="1" w:firstColumn="0" w:lastColumn="0" w:oddVBand="0" w:evenVBand="0" w:oddHBand="0" w:evenHBand="0" w:firstRowFirstColumn="0" w:firstRowLastColumn="0" w:lastRowFirstColumn="0" w:lastRowLastColumn="0"/>
        </w:trPr>
        <w:tc>
          <w:tcPr>
            <w:tcW w:w="2835" w:type="dxa"/>
          </w:tcPr>
          <w:p w14:paraId="175FED44" w14:textId="77777777" w:rsidR="00265792" w:rsidRPr="00BA7805" w:rsidRDefault="00265792" w:rsidP="00E17DB9">
            <w:pPr>
              <w:pStyle w:val="ARfintablebodybold"/>
              <w:rPr>
                <w:sz w:val="16"/>
                <w:highlight w:val="green"/>
              </w:rPr>
            </w:pPr>
            <w:r w:rsidRPr="00D64EA0">
              <w:t>Closing balance</w:t>
            </w:r>
          </w:p>
        </w:tc>
        <w:tc>
          <w:tcPr>
            <w:tcW w:w="1134" w:type="dxa"/>
            <w:shd w:val="clear" w:color="auto" w:fill="EEEEEF" w:themeFill="accent4"/>
          </w:tcPr>
          <w:p w14:paraId="561E0126" w14:textId="77777777" w:rsidR="00265792" w:rsidRPr="00BA7805" w:rsidRDefault="00265792" w:rsidP="00E17DB9">
            <w:pPr>
              <w:pStyle w:val="ARfintablebodyrightbold"/>
              <w:rPr>
                <w:sz w:val="16"/>
                <w:highlight w:val="green"/>
              </w:rPr>
            </w:pPr>
            <w:r>
              <w:t>–</w:t>
            </w:r>
          </w:p>
        </w:tc>
        <w:tc>
          <w:tcPr>
            <w:tcW w:w="1134" w:type="dxa"/>
          </w:tcPr>
          <w:p w14:paraId="581EF887" w14:textId="77777777" w:rsidR="00265792" w:rsidRPr="00BA7805" w:rsidRDefault="00265792" w:rsidP="00E17DB9">
            <w:pPr>
              <w:pStyle w:val="ARfintablebodyrightbold"/>
              <w:rPr>
                <w:sz w:val="16"/>
                <w:highlight w:val="green"/>
              </w:rPr>
            </w:pPr>
            <w:r w:rsidRPr="005A4A47">
              <w:t>164.1</w:t>
            </w:r>
          </w:p>
        </w:tc>
        <w:tc>
          <w:tcPr>
            <w:tcW w:w="1134" w:type="dxa"/>
            <w:shd w:val="clear" w:color="auto" w:fill="EEEEEF" w:themeFill="accent4"/>
          </w:tcPr>
          <w:p w14:paraId="37313832" w14:textId="77777777" w:rsidR="00265792" w:rsidRPr="00BA7805" w:rsidRDefault="00265792" w:rsidP="00E17DB9">
            <w:pPr>
              <w:pStyle w:val="ARfintablebodyrightbold"/>
              <w:rPr>
                <w:sz w:val="16"/>
                <w:highlight w:val="green"/>
              </w:rPr>
            </w:pPr>
            <w:r>
              <w:t>–</w:t>
            </w:r>
          </w:p>
        </w:tc>
        <w:tc>
          <w:tcPr>
            <w:tcW w:w="1134" w:type="dxa"/>
            <w:noWrap/>
          </w:tcPr>
          <w:p w14:paraId="7645B83E" w14:textId="77777777" w:rsidR="00265792" w:rsidRPr="00BA7805" w:rsidRDefault="00265792" w:rsidP="00E17DB9">
            <w:pPr>
              <w:pStyle w:val="ARfintablebodyrightbold"/>
              <w:rPr>
                <w:sz w:val="16"/>
                <w:highlight w:val="green"/>
              </w:rPr>
            </w:pPr>
            <w:r w:rsidRPr="00D64EA0">
              <w:t>126.9</w:t>
            </w:r>
          </w:p>
        </w:tc>
        <w:tc>
          <w:tcPr>
            <w:tcW w:w="1134" w:type="dxa"/>
            <w:shd w:val="clear" w:color="auto" w:fill="EEEEEF" w:themeFill="accent4"/>
            <w:noWrap/>
          </w:tcPr>
          <w:p w14:paraId="6BBA19CF" w14:textId="77777777" w:rsidR="00265792" w:rsidRPr="00BA7805" w:rsidRDefault="00265792" w:rsidP="00E17DB9">
            <w:pPr>
              <w:pStyle w:val="ARfintablebodyrightbold"/>
              <w:rPr>
                <w:sz w:val="16"/>
                <w:highlight w:val="green"/>
              </w:rPr>
            </w:pPr>
            <w:r>
              <w:t>–</w:t>
            </w:r>
          </w:p>
        </w:tc>
        <w:tc>
          <w:tcPr>
            <w:tcW w:w="1134" w:type="dxa"/>
            <w:noWrap/>
          </w:tcPr>
          <w:p w14:paraId="5D7CFAA1" w14:textId="77777777" w:rsidR="00265792" w:rsidRPr="00BA7805" w:rsidRDefault="00265792" w:rsidP="00E17DB9">
            <w:pPr>
              <w:pStyle w:val="ARfintablebodyrightbold"/>
              <w:rPr>
                <w:sz w:val="16"/>
                <w:highlight w:val="green"/>
              </w:rPr>
            </w:pPr>
            <w:r w:rsidRPr="00D64EA0">
              <w:t>291.0</w:t>
            </w:r>
          </w:p>
        </w:tc>
      </w:tr>
    </w:tbl>
    <w:p w14:paraId="2AC8D0FA" w14:textId="77777777" w:rsidR="00265792" w:rsidRDefault="00265792" w:rsidP="002542E1">
      <w:pPr>
        <w:pStyle w:val="ARfinbody"/>
        <w:rPr>
          <w:highlight w:val="green"/>
        </w:rPr>
      </w:pPr>
      <w:r>
        <w:rPr>
          <w:highlight w:val="green"/>
        </w:rPr>
        <w:br w:type="page"/>
      </w:r>
    </w:p>
    <w:tbl>
      <w:tblPr>
        <w:tblStyle w:val="TableGrid"/>
        <w:tblW w:w="9639" w:type="dxa"/>
        <w:tblLayout w:type="fixed"/>
        <w:tblLook w:val="06E0" w:firstRow="1" w:lastRow="1" w:firstColumn="1" w:lastColumn="0" w:noHBand="1" w:noVBand="1"/>
      </w:tblPr>
      <w:tblGrid>
        <w:gridCol w:w="2835"/>
        <w:gridCol w:w="1134"/>
        <w:gridCol w:w="1134"/>
        <w:gridCol w:w="1134"/>
        <w:gridCol w:w="1134"/>
        <w:gridCol w:w="1134"/>
        <w:gridCol w:w="1134"/>
      </w:tblGrid>
      <w:tr w:rsidR="00336F56" w:rsidRPr="00BA7805" w14:paraId="56A0D8E9" w14:textId="77777777" w:rsidTr="00CE779E">
        <w:trPr>
          <w:cnfStyle w:val="100000000000" w:firstRow="1" w:lastRow="0" w:firstColumn="0" w:lastColumn="0" w:oddVBand="0" w:evenVBand="0" w:oddHBand="0" w:evenHBand="0" w:firstRowFirstColumn="0" w:firstRowLastColumn="0" w:lastRowFirstColumn="0" w:lastRowLastColumn="0"/>
          <w:tblHeader/>
        </w:trPr>
        <w:tc>
          <w:tcPr>
            <w:tcW w:w="2835" w:type="dxa"/>
            <w:hideMark/>
          </w:tcPr>
          <w:p w14:paraId="7505CB87" w14:textId="77777777" w:rsidR="00265792" w:rsidRPr="0059256A" w:rsidRDefault="00265792">
            <w:pPr>
              <w:pStyle w:val="ARfintablecolhead"/>
              <w:spacing w:before="20" w:after="10" w:line="228" w:lineRule="auto"/>
              <w:rPr>
                <w:sz w:val="16"/>
              </w:rPr>
            </w:pPr>
            <w:r w:rsidRPr="0059256A">
              <w:rPr>
                <w:sz w:val="16"/>
              </w:rPr>
              <w:lastRenderedPageBreak/>
              <w:t>202</w:t>
            </w:r>
            <w:r>
              <w:rPr>
                <w:sz w:val="16"/>
              </w:rPr>
              <w:t>4</w:t>
            </w:r>
          </w:p>
        </w:tc>
        <w:tc>
          <w:tcPr>
            <w:tcW w:w="1134" w:type="dxa"/>
            <w:shd w:val="clear" w:color="auto" w:fill="EEEEEF" w:themeFill="accent4"/>
          </w:tcPr>
          <w:p w14:paraId="7A5DE988" w14:textId="77777777" w:rsidR="00265792" w:rsidRPr="0059256A" w:rsidRDefault="00265792">
            <w:pPr>
              <w:pStyle w:val="ARfintablecolheadright"/>
              <w:spacing w:before="20" w:after="10" w:line="228" w:lineRule="auto"/>
              <w:rPr>
                <w:sz w:val="16"/>
              </w:rPr>
            </w:pPr>
            <w:r w:rsidRPr="0059256A">
              <w:rPr>
                <w:sz w:val="16"/>
              </w:rPr>
              <w:t>Non-specialised land</w:t>
            </w:r>
          </w:p>
          <w:p w14:paraId="7FD51165" w14:textId="77777777" w:rsidR="00265792" w:rsidRPr="0059256A" w:rsidRDefault="00265792">
            <w:pPr>
              <w:pStyle w:val="ARfintablecolheadright"/>
              <w:spacing w:before="20" w:after="10" w:line="228" w:lineRule="auto"/>
              <w:rPr>
                <w:sz w:val="16"/>
              </w:rPr>
            </w:pPr>
            <w:r w:rsidRPr="0059256A">
              <w:rPr>
                <w:sz w:val="16"/>
              </w:rPr>
              <w:t>$M</w:t>
            </w:r>
          </w:p>
        </w:tc>
        <w:tc>
          <w:tcPr>
            <w:tcW w:w="1134" w:type="dxa"/>
          </w:tcPr>
          <w:p w14:paraId="2C094DCC" w14:textId="77777777" w:rsidR="00265792" w:rsidRPr="0059256A" w:rsidRDefault="00265792">
            <w:pPr>
              <w:pStyle w:val="ARfintablecolheadright"/>
              <w:spacing w:before="20" w:after="10" w:line="228" w:lineRule="auto"/>
              <w:rPr>
                <w:sz w:val="16"/>
              </w:rPr>
            </w:pPr>
            <w:r w:rsidRPr="0059256A">
              <w:rPr>
                <w:sz w:val="16"/>
              </w:rPr>
              <w:t xml:space="preserve">Specialised </w:t>
            </w:r>
            <w:r w:rsidRPr="0059256A">
              <w:rPr>
                <w:sz w:val="16"/>
              </w:rPr>
              <w:br/>
              <w:t>land</w:t>
            </w:r>
          </w:p>
          <w:p w14:paraId="7BFA598E" w14:textId="77777777" w:rsidR="00265792" w:rsidRPr="0059256A" w:rsidRDefault="00265792">
            <w:pPr>
              <w:pStyle w:val="ARfintablecolheadright"/>
              <w:spacing w:before="20" w:after="10" w:line="228" w:lineRule="auto"/>
              <w:rPr>
                <w:sz w:val="16"/>
              </w:rPr>
            </w:pPr>
            <w:r w:rsidRPr="0059256A">
              <w:rPr>
                <w:sz w:val="16"/>
              </w:rPr>
              <w:t>$M</w:t>
            </w:r>
          </w:p>
        </w:tc>
        <w:tc>
          <w:tcPr>
            <w:tcW w:w="1134" w:type="dxa"/>
            <w:shd w:val="clear" w:color="auto" w:fill="EEEEEF" w:themeFill="accent4"/>
          </w:tcPr>
          <w:p w14:paraId="4E4AA39B" w14:textId="77777777" w:rsidR="00265792" w:rsidRPr="0059256A" w:rsidRDefault="00265792">
            <w:pPr>
              <w:pStyle w:val="ARfintablecolheadright"/>
              <w:spacing w:before="20" w:after="10" w:line="228" w:lineRule="auto"/>
              <w:rPr>
                <w:sz w:val="16"/>
              </w:rPr>
            </w:pPr>
            <w:r w:rsidRPr="0059256A">
              <w:rPr>
                <w:sz w:val="16"/>
              </w:rPr>
              <w:t>Non-specialised buildings</w:t>
            </w:r>
          </w:p>
          <w:p w14:paraId="20735770" w14:textId="77777777" w:rsidR="00265792" w:rsidRPr="0059256A" w:rsidRDefault="00265792">
            <w:pPr>
              <w:pStyle w:val="ARfintablecolheadright"/>
              <w:spacing w:before="20" w:after="10" w:line="228" w:lineRule="auto"/>
              <w:rPr>
                <w:sz w:val="16"/>
              </w:rPr>
            </w:pPr>
            <w:r w:rsidRPr="0059256A">
              <w:rPr>
                <w:sz w:val="16"/>
              </w:rPr>
              <w:t>$M</w:t>
            </w:r>
          </w:p>
        </w:tc>
        <w:tc>
          <w:tcPr>
            <w:tcW w:w="1134" w:type="dxa"/>
            <w:hideMark/>
          </w:tcPr>
          <w:p w14:paraId="03EE2D45" w14:textId="77777777" w:rsidR="00265792" w:rsidRPr="0059256A" w:rsidRDefault="00265792">
            <w:pPr>
              <w:pStyle w:val="ARfintablecolheadright"/>
              <w:spacing w:before="20" w:after="10" w:line="228" w:lineRule="auto"/>
              <w:rPr>
                <w:sz w:val="16"/>
              </w:rPr>
            </w:pPr>
            <w:r w:rsidRPr="0059256A">
              <w:rPr>
                <w:sz w:val="16"/>
              </w:rPr>
              <w:t>Specialised buildings</w:t>
            </w:r>
          </w:p>
          <w:p w14:paraId="634B71C7" w14:textId="77777777" w:rsidR="00265792" w:rsidRPr="0059256A" w:rsidRDefault="00265792">
            <w:pPr>
              <w:pStyle w:val="ARfintablecolheadright"/>
              <w:spacing w:before="20" w:after="10" w:line="228" w:lineRule="auto"/>
              <w:rPr>
                <w:sz w:val="16"/>
              </w:rPr>
            </w:pPr>
            <w:r w:rsidRPr="0059256A">
              <w:rPr>
                <w:sz w:val="16"/>
              </w:rPr>
              <w:t>$M</w:t>
            </w:r>
          </w:p>
        </w:tc>
        <w:tc>
          <w:tcPr>
            <w:tcW w:w="1134" w:type="dxa"/>
            <w:shd w:val="clear" w:color="auto" w:fill="EEEEEF" w:themeFill="accent4"/>
            <w:hideMark/>
          </w:tcPr>
          <w:p w14:paraId="6058C498" w14:textId="77777777" w:rsidR="00265792" w:rsidRPr="0059256A" w:rsidRDefault="00265792">
            <w:pPr>
              <w:pStyle w:val="ARfintablecolheadright"/>
              <w:spacing w:before="20" w:after="10" w:line="228" w:lineRule="auto"/>
              <w:rPr>
                <w:sz w:val="16"/>
              </w:rPr>
            </w:pPr>
            <w:r w:rsidRPr="0059256A">
              <w:rPr>
                <w:sz w:val="16"/>
              </w:rPr>
              <w:t>Plant and equipment</w:t>
            </w:r>
          </w:p>
          <w:p w14:paraId="487AEB3D" w14:textId="77777777" w:rsidR="00265792" w:rsidRPr="0059256A" w:rsidRDefault="00265792">
            <w:pPr>
              <w:pStyle w:val="ARfintablecolheadright"/>
              <w:spacing w:before="20" w:after="10" w:line="228" w:lineRule="auto"/>
              <w:rPr>
                <w:sz w:val="16"/>
              </w:rPr>
            </w:pPr>
            <w:r w:rsidRPr="0059256A">
              <w:rPr>
                <w:sz w:val="16"/>
              </w:rPr>
              <w:t>$M</w:t>
            </w:r>
          </w:p>
        </w:tc>
        <w:tc>
          <w:tcPr>
            <w:tcW w:w="1134" w:type="dxa"/>
            <w:hideMark/>
          </w:tcPr>
          <w:p w14:paraId="2E9F4BD8" w14:textId="77777777" w:rsidR="00265792" w:rsidRPr="0059256A" w:rsidRDefault="00265792">
            <w:pPr>
              <w:pStyle w:val="ARfintablecolheadright"/>
              <w:spacing w:before="20" w:after="10" w:line="228" w:lineRule="auto"/>
              <w:rPr>
                <w:sz w:val="16"/>
              </w:rPr>
            </w:pPr>
            <w:r w:rsidRPr="0059256A">
              <w:rPr>
                <w:sz w:val="16"/>
              </w:rPr>
              <w:t>Total</w:t>
            </w:r>
          </w:p>
          <w:p w14:paraId="302D584A" w14:textId="77777777" w:rsidR="00265792" w:rsidRPr="0059256A" w:rsidRDefault="00265792">
            <w:pPr>
              <w:pStyle w:val="ARfintablecolheadright"/>
              <w:spacing w:before="20" w:after="10" w:line="228" w:lineRule="auto"/>
              <w:rPr>
                <w:sz w:val="16"/>
              </w:rPr>
            </w:pPr>
            <w:r w:rsidRPr="0059256A">
              <w:rPr>
                <w:sz w:val="16"/>
              </w:rPr>
              <w:t>$M</w:t>
            </w:r>
          </w:p>
        </w:tc>
      </w:tr>
      <w:tr w:rsidR="00265792" w:rsidRPr="00BA7805" w14:paraId="2C19A6E2" w14:textId="77777777" w:rsidTr="00CE779E">
        <w:tc>
          <w:tcPr>
            <w:tcW w:w="2835" w:type="dxa"/>
          </w:tcPr>
          <w:p w14:paraId="73AE4E2A" w14:textId="77777777" w:rsidR="00265792" w:rsidRPr="00BA7805" w:rsidRDefault="00265792" w:rsidP="00CE779E">
            <w:pPr>
              <w:pStyle w:val="ARfintablebodybold"/>
              <w:rPr>
                <w:sz w:val="16"/>
                <w:highlight w:val="green"/>
              </w:rPr>
            </w:pPr>
            <w:r w:rsidRPr="005E2D6C">
              <w:t>Opening balance</w:t>
            </w:r>
          </w:p>
        </w:tc>
        <w:tc>
          <w:tcPr>
            <w:tcW w:w="1134" w:type="dxa"/>
            <w:shd w:val="clear" w:color="auto" w:fill="EEEEEF" w:themeFill="accent4"/>
          </w:tcPr>
          <w:p w14:paraId="00F99434" w14:textId="77777777" w:rsidR="00265792" w:rsidRPr="003E4602" w:rsidRDefault="00265792" w:rsidP="00A52D32">
            <w:pPr>
              <w:pStyle w:val="ARfintablebodyright"/>
              <w:rPr>
                <w:b/>
                <w:bCs/>
                <w:sz w:val="16"/>
                <w:highlight w:val="green"/>
              </w:rPr>
            </w:pPr>
            <w:r w:rsidRPr="003E4602">
              <w:rPr>
                <w:b/>
                <w:bCs/>
              </w:rPr>
              <w:t>8.7</w:t>
            </w:r>
          </w:p>
        </w:tc>
        <w:tc>
          <w:tcPr>
            <w:tcW w:w="1134" w:type="dxa"/>
          </w:tcPr>
          <w:p w14:paraId="01B73495" w14:textId="77777777" w:rsidR="00265792" w:rsidRPr="003E4602" w:rsidRDefault="00265792" w:rsidP="00A52D32">
            <w:pPr>
              <w:pStyle w:val="ARfintablebodyright"/>
              <w:rPr>
                <w:b/>
                <w:bCs/>
                <w:sz w:val="16"/>
                <w:highlight w:val="green"/>
              </w:rPr>
            </w:pPr>
            <w:r w:rsidRPr="003E4602">
              <w:rPr>
                <w:b/>
                <w:bCs/>
              </w:rPr>
              <w:t>162.9</w:t>
            </w:r>
          </w:p>
        </w:tc>
        <w:tc>
          <w:tcPr>
            <w:tcW w:w="1134" w:type="dxa"/>
            <w:shd w:val="clear" w:color="auto" w:fill="EEEEEF" w:themeFill="accent4"/>
          </w:tcPr>
          <w:p w14:paraId="6C68F99D" w14:textId="77777777" w:rsidR="00265792" w:rsidRPr="003E4602" w:rsidRDefault="00265792" w:rsidP="00A52D32">
            <w:pPr>
              <w:pStyle w:val="ARfintablebodyright"/>
              <w:rPr>
                <w:b/>
                <w:bCs/>
                <w:sz w:val="16"/>
                <w:highlight w:val="green"/>
              </w:rPr>
            </w:pPr>
            <w:r w:rsidRPr="003E4602">
              <w:rPr>
                <w:b/>
                <w:bCs/>
              </w:rPr>
              <w:t>35.2</w:t>
            </w:r>
          </w:p>
        </w:tc>
        <w:tc>
          <w:tcPr>
            <w:tcW w:w="1134" w:type="dxa"/>
            <w:noWrap/>
          </w:tcPr>
          <w:p w14:paraId="123CFE4C" w14:textId="77777777" w:rsidR="00265792" w:rsidRPr="003E4602" w:rsidRDefault="00265792" w:rsidP="00A52D32">
            <w:pPr>
              <w:pStyle w:val="ARfintablebodyright"/>
              <w:rPr>
                <w:b/>
                <w:bCs/>
                <w:sz w:val="16"/>
                <w:highlight w:val="green"/>
              </w:rPr>
            </w:pPr>
            <w:r w:rsidRPr="003E4602">
              <w:rPr>
                <w:b/>
                <w:bCs/>
              </w:rPr>
              <w:t>134.6</w:t>
            </w:r>
          </w:p>
        </w:tc>
        <w:tc>
          <w:tcPr>
            <w:tcW w:w="1134" w:type="dxa"/>
            <w:shd w:val="clear" w:color="auto" w:fill="EEEEEF" w:themeFill="accent4"/>
            <w:noWrap/>
          </w:tcPr>
          <w:p w14:paraId="48F4774F" w14:textId="77777777" w:rsidR="00265792" w:rsidRPr="003E4602" w:rsidRDefault="00265792" w:rsidP="00A52D32">
            <w:pPr>
              <w:pStyle w:val="ARfintablebodyright"/>
              <w:rPr>
                <w:b/>
                <w:bCs/>
                <w:sz w:val="16"/>
                <w:highlight w:val="green"/>
              </w:rPr>
            </w:pPr>
            <w:r w:rsidRPr="003E4602">
              <w:rPr>
                <w:b/>
                <w:bCs/>
              </w:rPr>
              <w:t>0.2</w:t>
            </w:r>
          </w:p>
        </w:tc>
        <w:tc>
          <w:tcPr>
            <w:tcW w:w="1134" w:type="dxa"/>
            <w:noWrap/>
          </w:tcPr>
          <w:p w14:paraId="6591F966" w14:textId="77777777" w:rsidR="00265792" w:rsidRPr="003E4602" w:rsidRDefault="00265792" w:rsidP="00A52D32">
            <w:pPr>
              <w:pStyle w:val="ARfintablebodyright"/>
              <w:rPr>
                <w:b/>
                <w:bCs/>
                <w:sz w:val="16"/>
                <w:highlight w:val="green"/>
              </w:rPr>
            </w:pPr>
            <w:r w:rsidRPr="003E4602">
              <w:rPr>
                <w:b/>
                <w:bCs/>
              </w:rPr>
              <w:t>341.6</w:t>
            </w:r>
          </w:p>
        </w:tc>
      </w:tr>
      <w:tr w:rsidR="00265792" w:rsidRPr="00BA7805" w14:paraId="2055C637" w14:textId="77777777" w:rsidTr="00CE779E">
        <w:tc>
          <w:tcPr>
            <w:tcW w:w="2835" w:type="dxa"/>
          </w:tcPr>
          <w:p w14:paraId="6F23E3FF" w14:textId="77777777" w:rsidR="00265792" w:rsidRPr="00BA7805" w:rsidRDefault="00265792" w:rsidP="00A52D32">
            <w:pPr>
              <w:pStyle w:val="ARfintablebody"/>
              <w:rPr>
                <w:sz w:val="16"/>
                <w:highlight w:val="green"/>
              </w:rPr>
            </w:pPr>
            <w:r w:rsidRPr="005E2D6C">
              <w:t>Additions</w:t>
            </w:r>
          </w:p>
        </w:tc>
        <w:tc>
          <w:tcPr>
            <w:tcW w:w="1134" w:type="dxa"/>
            <w:shd w:val="clear" w:color="auto" w:fill="EEEEEF" w:themeFill="accent4"/>
          </w:tcPr>
          <w:p w14:paraId="4EEE9ACF" w14:textId="77777777" w:rsidR="00265792" w:rsidRPr="00BA7805" w:rsidRDefault="00265792" w:rsidP="00A52D32">
            <w:pPr>
              <w:pStyle w:val="ARfintablebodyright"/>
              <w:rPr>
                <w:sz w:val="16"/>
                <w:highlight w:val="green"/>
              </w:rPr>
            </w:pPr>
            <w:r>
              <w:t>–</w:t>
            </w:r>
          </w:p>
        </w:tc>
        <w:tc>
          <w:tcPr>
            <w:tcW w:w="1134" w:type="dxa"/>
          </w:tcPr>
          <w:p w14:paraId="32B5C3B4" w14:textId="77777777" w:rsidR="00265792" w:rsidRPr="00BA7805" w:rsidRDefault="00265792" w:rsidP="00A52D32">
            <w:pPr>
              <w:pStyle w:val="ARfintablebodyright"/>
              <w:rPr>
                <w:sz w:val="16"/>
                <w:highlight w:val="green"/>
              </w:rPr>
            </w:pPr>
            <w:r>
              <w:t>–</w:t>
            </w:r>
          </w:p>
        </w:tc>
        <w:tc>
          <w:tcPr>
            <w:tcW w:w="1134" w:type="dxa"/>
            <w:shd w:val="clear" w:color="auto" w:fill="EEEEEF" w:themeFill="accent4"/>
          </w:tcPr>
          <w:p w14:paraId="02219554" w14:textId="77777777" w:rsidR="00265792" w:rsidRPr="00BA7805" w:rsidRDefault="00265792" w:rsidP="00A52D32">
            <w:pPr>
              <w:pStyle w:val="ARfintablebodyright"/>
              <w:rPr>
                <w:sz w:val="16"/>
                <w:highlight w:val="green"/>
              </w:rPr>
            </w:pPr>
            <w:r w:rsidRPr="005E2D6C">
              <w:t>4.4</w:t>
            </w:r>
          </w:p>
        </w:tc>
        <w:tc>
          <w:tcPr>
            <w:tcW w:w="1134" w:type="dxa"/>
            <w:noWrap/>
          </w:tcPr>
          <w:p w14:paraId="5D6A6F30" w14:textId="77777777" w:rsidR="00265792" w:rsidRPr="00BA7805" w:rsidRDefault="00265792" w:rsidP="00A52D32">
            <w:pPr>
              <w:pStyle w:val="ARfintablebodyright"/>
              <w:rPr>
                <w:sz w:val="16"/>
                <w:highlight w:val="green"/>
              </w:rPr>
            </w:pPr>
            <w:r>
              <w:t>–</w:t>
            </w:r>
          </w:p>
        </w:tc>
        <w:tc>
          <w:tcPr>
            <w:tcW w:w="1134" w:type="dxa"/>
            <w:shd w:val="clear" w:color="auto" w:fill="EEEEEF" w:themeFill="accent4"/>
            <w:noWrap/>
          </w:tcPr>
          <w:p w14:paraId="57385CB4" w14:textId="77777777" w:rsidR="00265792" w:rsidRPr="00BA7805" w:rsidRDefault="00265792" w:rsidP="00A52D32">
            <w:pPr>
              <w:pStyle w:val="ARfintablebodyright"/>
              <w:rPr>
                <w:sz w:val="16"/>
                <w:highlight w:val="green"/>
              </w:rPr>
            </w:pPr>
            <w:r w:rsidRPr="005E2D6C">
              <w:t>0.3</w:t>
            </w:r>
          </w:p>
        </w:tc>
        <w:tc>
          <w:tcPr>
            <w:tcW w:w="1134" w:type="dxa"/>
            <w:noWrap/>
          </w:tcPr>
          <w:p w14:paraId="2849552F" w14:textId="77777777" w:rsidR="00265792" w:rsidRPr="00BA7805" w:rsidRDefault="00265792" w:rsidP="00A52D32">
            <w:pPr>
              <w:pStyle w:val="ARfintablebodyright"/>
              <w:rPr>
                <w:sz w:val="16"/>
                <w:highlight w:val="green"/>
              </w:rPr>
            </w:pPr>
            <w:r w:rsidRPr="005E2D6C">
              <w:t>4.7</w:t>
            </w:r>
          </w:p>
        </w:tc>
      </w:tr>
      <w:tr w:rsidR="00265792" w:rsidRPr="00BA7805" w14:paraId="2BE625F6" w14:textId="77777777" w:rsidTr="00CE779E">
        <w:tc>
          <w:tcPr>
            <w:tcW w:w="2835" w:type="dxa"/>
          </w:tcPr>
          <w:p w14:paraId="15A1F32A" w14:textId="77777777" w:rsidR="00265792" w:rsidRPr="00BA7805" w:rsidRDefault="00265792" w:rsidP="00A52D32">
            <w:pPr>
              <w:pStyle w:val="ARfintablebody"/>
              <w:rPr>
                <w:sz w:val="16"/>
                <w:highlight w:val="green"/>
              </w:rPr>
            </w:pPr>
            <w:r w:rsidRPr="005E2D6C">
              <w:t>Capitalisation of work in</w:t>
            </w:r>
            <w:r>
              <w:t> </w:t>
            </w:r>
            <w:r w:rsidRPr="005E2D6C">
              <w:t>progress</w:t>
            </w:r>
          </w:p>
        </w:tc>
        <w:tc>
          <w:tcPr>
            <w:tcW w:w="1134" w:type="dxa"/>
            <w:shd w:val="clear" w:color="auto" w:fill="EEEEEF" w:themeFill="accent4"/>
          </w:tcPr>
          <w:p w14:paraId="00FA5B2B" w14:textId="77777777" w:rsidR="00265792" w:rsidRPr="00BA7805" w:rsidRDefault="00265792" w:rsidP="00A52D32">
            <w:pPr>
              <w:pStyle w:val="ARfintablebodyright"/>
              <w:rPr>
                <w:sz w:val="16"/>
                <w:highlight w:val="green"/>
              </w:rPr>
            </w:pPr>
            <w:r>
              <w:t>–</w:t>
            </w:r>
          </w:p>
        </w:tc>
        <w:tc>
          <w:tcPr>
            <w:tcW w:w="1134" w:type="dxa"/>
          </w:tcPr>
          <w:p w14:paraId="1F8829FC" w14:textId="77777777" w:rsidR="00265792" w:rsidRPr="00BA7805" w:rsidRDefault="00265792" w:rsidP="00A52D32">
            <w:pPr>
              <w:pStyle w:val="ARfintablebodyright"/>
              <w:rPr>
                <w:sz w:val="16"/>
                <w:highlight w:val="green"/>
              </w:rPr>
            </w:pPr>
            <w:r>
              <w:t>–</w:t>
            </w:r>
          </w:p>
        </w:tc>
        <w:tc>
          <w:tcPr>
            <w:tcW w:w="1134" w:type="dxa"/>
            <w:shd w:val="clear" w:color="auto" w:fill="EEEEEF" w:themeFill="accent4"/>
          </w:tcPr>
          <w:p w14:paraId="45BF6637" w14:textId="77777777" w:rsidR="00265792" w:rsidRPr="00BA7805" w:rsidRDefault="00265792" w:rsidP="00A52D32">
            <w:pPr>
              <w:pStyle w:val="ARfintablebodyright"/>
              <w:rPr>
                <w:sz w:val="16"/>
                <w:highlight w:val="green"/>
              </w:rPr>
            </w:pPr>
            <w:r>
              <w:t>–</w:t>
            </w:r>
          </w:p>
        </w:tc>
        <w:tc>
          <w:tcPr>
            <w:tcW w:w="1134" w:type="dxa"/>
            <w:noWrap/>
          </w:tcPr>
          <w:p w14:paraId="5AC11DC3" w14:textId="77777777" w:rsidR="00265792" w:rsidRPr="00BA7805" w:rsidRDefault="00265792" w:rsidP="00A52D32">
            <w:pPr>
              <w:pStyle w:val="ARfintablebodyright"/>
              <w:rPr>
                <w:sz w:val="16"/>
                <w:highlight w:val="green"/>
              </w:rPr>
            </w:pPr>
            <w:r w:rsidRPr="005E2D6C">
              <w:t>3.6</w:t>
            </w:r>
          </w:p>
        </w:tc>
        <w:tc>
          <w:tcPr>
            <w:tcW w:w="1134" w:type="dxa"/>
            <w:shd w:val="clear" w:color="auto" w:fill="EEEEEF" w:themeFill="accent4"/>
            <w:noWrap/>
          </w:tcPr>
          <w:p w14:paraId="3D9FB8D4" w14:textId="77777777" w:rsidR="00265792" w:rsidRPr="00BA7805" w:rsidRDefault="00265792" w:rsidP="00A52D32">
            <w:pPr>
              <w:pStyle w:val="ARfintablebodyright"/>
              <w:rPr>
                <w:sz w:val="16"/>
                <w:highlight w:val="green"/>
              </w:rPr>
            </w:pPr>
            <w:r>
              <w:t>–</w:t>
            </w:r>
          </w:p>
        </w:tc>
        <w:tc>
          <w:tcPr>
            <w:tcW w:w="1134" w:type="dxa"/>
            <w:noWrap/>
          </w:tcPr>
          <w:p w14:paraId="33826193" w14:textId="77777777" w:rsidR="00265792" w:rsidRPr="00BA7805" w:rsidRDefault="00265792" w:rsidP="00A52D32">
            <w:pPr>
              <w:pStyle w:val="ARfintablebodyright"/>
              <w:rPr>
                <w:sz w:val="16"/>
                <w:highlight w:val="green"/>
              </w:rPr>
            </w:pPr>
            <w:r w:rsidRPr="005E2D6C">
              <w:t>3.6</w:t>
            </w:r>
          </w:p>
        </w:tc>
      </w:tr>
      <w:tr w:rsidR="00265792" w:rsidRPr="00BA7805" w14:paraId="747FD85A" w14:textId="77777777" w:rsidTr="00CE779E">
        <w:tc>
          <w:tcPr>
            <w:tcW w:w="2835" w:type="dxa"/>
          </w:tcPr>
          <w:p w14:paraId="374B14E0" w14:textId="77777777" w:rsidR="00265792" w:rsidRPr="00BA7805" w:rsidRDefault="00265792" w:rsidP="00A52D32">
            <w:pPr>
              <w:pStyle w:val="ARfintablebody"/>
              <w:rPr>
                <w:sz w:val="16"/>
                <w:highlight w:val="green"/>
              </w:rPr>
            </w:pPr>
            <w:r w:rsidRPr="005E2D6C">
              <w:t>Reassessment of lease payments</w:t>
            </w:r>
          </w:p>
        </w:tc>
        <w:tc>
          <w:tcPr>
            <w:tcW w:w="1134" w:type="dxa"/>
            <w:shd w:val="clear" w:color="auto" w:fill="EEEEEF" w:themeFill="accent4"/>
          </w:tcPr>
          <w:p w14:paraId="566CAC4A" w14:textId="77777777" w:rsidR="00265792" w:rsidRPr="00BA7805" w:rsidRDefault="00265792" w:rsidP="00A52D32">
            <w:pPr>
              <w:pStyle w:val="ARfintablebodyright"/>
              <w:rPr>
                <w:sz w:val="16"/>
                <w:highlight w:val="green"/>
              </w:rPr>
            </w:pPr>
            <w:r w:rsidRPr="005E2D6C">
              <w:t>0.1</w:t>
            </w:r>
          </w:p>
        </w:tc>
        <w:tc>
          <w:tcPr>
            <w:tcW w:w="1134" w:type="dxa"/>
          </w:tcPr>
          <w:p w14:paraId="221A87B3" w14:textId="77777777" w:rsidR="00265792" w:rsidRPr="00BA7805" w:rsidRDefault="00265792" w:rsidP="00A52D32">
            <w:pPr>
              <w:pStyle w:val="ARfintablebodyright"/>
              <w:rPr>
                <w:sz w:val="16"/>
                <w:highlight w:val="green"/>
              </w:rPr>
            </w:pPr>
            <w:r>
              <w:t>–</w:t>
            </w:r>
          </w:p>
        </w:tc>
        <w:tc>
          <w:tcPr>
            <w:tcW w:w="1134" w:type="dxa"/>
            <w:shd w:val="clear" w:color="auto" w:fill="EEEEEF" w:themeFill="accent4"/>
          </w:tcPr>
          <w:p w14:paraId="6ED49852" w14:textId="77777777" w:rsidR="00265792" w:rsidRPr="00BA7805" w:rsidRDefault="00265792" w:rsidP="00A52D32">
            <w:pPr>
              <w:pStyle w:val="ARfintablebodyright"/>
              <w:rPr>
                <w:sz w:val="16"/>
                <w:highlight w:val="green"/>
              </w:rPr>
            </w:pPr>
            <w:r w:rsidRPr="005E2D6C">
              <w:t>22.6</w:t>
            </w:r>
          </w:p>
        </w:tc>
        <w:tc>
          <w:tcPr>
            <w:tcW w:w="1134" w:type="dxa"/>
            <w:noWrap/>
          </w:tcPr>
          <w:p w14:paraId="6CE467C4" w14:textId="77777777" w:rsidR="00265792" w:rsidRPr="00BA7805" w:rsidRDefault="00265792" w:rsidP="00A52D32">
            <w:pPr>
              <w:pStyle w:val="ARfintablebodyright"/>
              <w:rPr>
                <w:sz w:val="16"/>
                <w:highlight w:val="green"/>
              </w:rPr>
            </w:pPr>
            <w:r>
              <w:t>–</w:t>
            </w:r>
          </w:p>
        </w:tc>
        <w:tc>
          <w:tcPr>
            <w:tcW w:w="1134" w:type="dxa"/>
            <w:shd w:val="clear" w:color="auto" w:fill="EEEEEF" w:themeFill="accent4"/>
            <w:noWrap/>
          </w:tcPr>
          <w:p w14:paraId="116DAC4A" w14:textId="77777777" w:rsidR="00265792" w:rsidRPr="00BA7805" w:rsidRDefault="00265792" w:rsidP="00A52D32">
            <w:pPr>
              <w:pStyle w:val="ARfintablebodyright"/>
              <w:rPr>
                <w:sz w:val="16"/>
                <w:highlight w:val="green"/>
              </w:rPr>
            </w:pPr>
            <w:r>
              <w:t>–</w:t>
            </w:r>
          </w:p>
        </w:tc>
        <w:tc>
          <w:tcPr>
            <w:tcW w:w="1134" w:type="dxa"/>
            <w:noWrap/>
          </w:tcPr>
          <w:p w14:paraId="37773D85" w14:textId="77777777" w:rsidR="00265792" w:rsidRPr="00BA7805" w:rsidRDefault="00265792" w:rsidP="00A52D32">
            <w:pPr>
              <w:pStyle w:val="ARfintablebodyright"/>
              <w:rPr>
                <w:sz w:val="16"/>
                <w:highlight w:val="green"/>
              </w:rPr>
            </w:pPr>
            <w:r w:rsidRPr="005E2D6C">
              <w:t>22.7</w:t>
            </w:r>
          </w:p>
        </w:tc>
      </w:tr>
      <w:tr w:rsidR="00265792" w:rsidRPr="00BA7805" w14:paraId="53271FDB" w14:textId="77777777" w:rsidTr="00CE779E">
        <w:tc>
          <w:tcPr>
            <w:tcW w:w="2835" w:type="dxa"/>
          </w:tcPr>
          <w:p w14:paraId="679BE802" w14:textId="77777777" w:rsidR="00265792" w:rsidRPr="00BA7805" w:rsidRDefault="00265792" w:rsidP="00A52D32">
            <w:pPr>
              <w:pStyle w:val="ARfintablebody"/>
              <w:rPr>
                <w:sz w:val="16"/>
                <w:highlight w:val="green"/>
              </w:rPr>
            </w:pPr>
            <w:r w:rsidRPr="005E2D6C">
              <w:t xml:space="preserve">Increase/(decrease) in </w:t>
            </w:r>
            <w:r>
              <w:br/>
            </w:r>
            <w:r w:rsidRPr="005E2D6C">
              <w:t>make-good provision</w:t>
            </w:r>
          </w:p>
        </w:tc>
        <w:tc>
          <w:tcPr>
            <w:tcW w:w="1134" w:type="dxa"/>
            <w:shd w:val="clear" w:color="auto" w:fill="EEEEEF" w:themeFill="accent4"/>
          </w:tcPr>
          <w:p w14:paraId="6320838B" w14:textId="77777777" w:rsidR="00265792" w:rsidRPr="00BA7805" w:rsidRDefault="00265792" w:rsidP="00A52D32">
            <w:pPr>
              <w:pStyle w:val="ARfintablebodyright"/>
              <w:rPr>
                <w:sz w:val="16"/>
                <w:highlight w:val="green"/>
              </w:rPr>
            </w:pPr>
            <w:r>
              <w:t>–</w:t>
            </w:r>
          </w:p>
        </w:tc>
        <w:tc>
          <w:tcPr>
            <w:tcW w:w="1134" w:type="dxa"/>
          </w:tcPr>
          <w:p w14:paraId="71635E22" w14:textId="77777777" w:rsidR="00265792" w:rsidRPr="00BA7805" w:rsidRDefault="00265792" w:rsidP="00A52D32">
            <w:pPr>
              <w:pStyle w:val="ARfintablebodyright"/>
              <w:rPr>
                <w:sz w:val="16"/>
                <w:highlight w:val="green"/>
              </w:rPr>
            </w:pPr>
            <w:r>
              <w:t>–</w:t>
            </w:r>
          </w:p>
        </w:tc>
        <w:tc>
          <w:tcPr>
            <w:tcW w:w="1134" w:type="dxa"/>
            <w:shd w:val="clear" w:color="auto" w:fill="EEEEEF" w:themeFill="accent4"/>
          </w:tcPr>
          <w:p w14:paraId="0C1F3B1C" w14:textId="77777777" w:rsidR="00265792" w:rsidRPr="00BA7805" w:rsidRDefault="00265792" w:rsidP="00A52D32">
            <w:pPr>
              <w:pStyle w:val="ARfintablebodyright"/>
              <w:rPr>
                <w:sz w:val="16"/>
                <w:highlight w:val="green"/>
              </w:rPr>
            </w:pPr>
            <w:r w:rsidRPr="005E2D6C">
              <w:t>2.1</w:t>
            </w:r>
          </w:p>
        </w:tc>
        <w:tc>
          <w:tcPr>
            <w:tcW w:w="1134" w:type="dxa"/>
            <w:noWrap/>
          </w:tcPr>
          <w:p w14:paraId="252B6549" w14:textId="77777777" w:rsidR="00265792" w:rsidRPr="00BA7805" w:rsidRDefault="00265792" w:rsidP="00A52D32">
            <w:pPr>
              <w:pStyle w:val="ARfintablebodyright"/>
              <w:rPr>
                <w:sz w:val="16"/>
                <w:highlight w:val="green"/>
              </w:rPr>
            </w:pPr>
            <w:r>
              <w:t>–</w:t>
            </w:r>
          </w:p>
        </w:tc>
        <w:tc>
          <w:tcPr>
            <w:tcW w:w="1134" w:type="dxa"/>
            <w:shd w:val="clear" w:color="auto" w:fill="EEEEEF" w:themeFill="accent4"/>
            <w:noWrap/>
          </w:tcPr>
          <w:p w14:paraId="0CD95945" w14:textId="77777777" w:rsidR="00265792" w:rsidRPr="00BA7805" w:rsidRDefault="00265792" w:rsidP="00A52D32">
            <w:pPr>
              <w:pStyle w:val="ARfintablebodyright"/>
              <w:rPr>
                <w:sz w:val="16"/>
                <w:highlight w:val="green"/>
              </w:rPr>
            </w:pPr>
            <w:r>
              <w:t>–</w:t>
            </w:r>
          </w:p>
        </w:tc>
        <w:tc>
          <w:tcPr>
            <w:tcW w:w="1134" w:type="dxa"/>
            <w:noWrap/>
          </w:tcPr>
          <w:p w14:paraId="094264F1" w14:textId="77777777" w:rsidR="00265792" w:rsidRPr="00BA7805" w:rsidRDefault="00265792" w:rsidP="00A52D32">
            <w:pPr>
              <w:pStyle w:val="ARfintablebodyright"/>
              <w:rPr>
                <w:sz w:val="16"/>
                <w:highlight w:val="green"/>
              </w:rPr>
            </w:pPr>
            <w:r w:rsidRPr="005E2D6C">
              <w:t>2.1</w:t>
            </w:r>
          </w:p>
        </w:tc>
      </w:tr>
      <w:tr w:rsidR="00265792" w:rsidRPr="00BA7805" w14:paraId="4E5B4DE0" w14:textId="77777777" w:rsidTr="00CE779E">
        <w:tc>
          <w:tcPr>
            <w:tcW w:w="2835" w:type="dxa"/>
          </w:tcPr>
          <w:p w14:paraId="1EFDF824" w14:textId="77777777" w:rsidR="00265792" w:rsidRPr="00BA7805" w:rsidRDefault="00265792" w:rsidP="00A52D32">
            <w:pPr>
              <w:pStyle w:val="ARfintablebody"/>
              <w:rPr>
                <w:b/>
                <w:bCs/>
                <w:sz w:val="16"/>
                <w:highlight w:val="green"/>
              </w:rPr>
            </w:pPr>
            <w:r w:rsidRPr="005E2D6C">
              <w:t>Disposals</w:t>
            </w:r>
          </w:p>
        </w:tc>
        <w:tc>
          <w:tcPr>
            <w:tcW w:w="1134" w:type="dxa"/>
            <w:shd w:val="clear" w:color="auto" w:fill="EEEEEF" w:themeFill="accent4"/>
          </w:tcPr>
          <w:p w14:paraId="10253FEB" w14:textId="77777777" w:rsidR="00265792" w:rsidRPr="00BA7805" w:rsidRDefault="00265792" w:rsidP="00A52D32">
            <w:pPr>
              <w:pStyle w:val="ARfintablebodyright"/>
              <w:rPr>
                <w:sz w:val="16"/>
                <w:highlight w:val="green"/>
              </w:rPr>
            </w:pPr>
            <w:r>
              <w:t>–</w:t>
            </w:r>
          </w:p>
        </w:tc>
        <w:tc>
          <w:tcPr>
            <w:tcW w:w="1134" w:type="dxa"/>
          </w:tcPr>
          <w:p w14:paraId="0011CEC0" w14:textId="77777777" w:rsidR="00265792" w:rsidRPr="00BA7805" w:rsidRDefault="00265792" w:rsidP="00A52D32">
            <w:pPr>
              <w:pStyle w:val="ARfintablebodyright"/>
              <w:rPr>
                <w:sz w:val="16"/>
                <w:highlight w:val="green"/>
              </w:rPr>
            </w:pPr>
            <w:r>
              <w:t>–</w:t>
            </w:r>
          </w:p>
        </w:tc>
        <w:tc>
          <w:tcPr>
            <w:tcW w:w="1134" w:type="dxa"/>
            <w:shd w:val="clear" w:color="auto" w:fill="EEEEEF" w:themeFill="accent4"/>
          </w:tcPr>
          <w:p w14:paraId="46354DF4" w14:textId="77777777" w:rsidR="00265792" w:rsidRPr="00BA7805" w:rsidRDefault="00265792" w:rsidP="00A52D32">
            <w:pPr>
              <w:pStyle w:val="ARfintablebodyright"/>
              <w:rPr>
                <w:sz w:val="16"/>
                <w:highlight w:val="green"/>
              </w:rPr>
            </w:pPr>
            <w:r w:rsidRPr="005E2D6C">
              <w:t>(3.7)</w:t>
            </w:r>
          </w:p>
        </w:tc>
        <w:tc>
          <w:tcPr>
            <w:tcW w:w="1134" w:type="dxa"/>
            <w:noWrap/>
          </w:tcPr>
          <w:p w14:paraId="05FC57F2" w14:textId="77777777" w:rsidR="00265792" w:rsidRPr="00BA7805" w:rsidRDefault="00265792" w:rsidP="00A52D32">
            <w:pPr>
              <w:pStyle w:val="ARfintablebodyright"/>
              <w:rPr>
                <w:sz w:val="16"/>
                <w:highlight w:val="green"/>
              </w:rPr>
            </w:pPr>
            <w:r w:rsidRPr="005E2D6C">
              <w:t>(3.8)</w:t>
            </w:r>
          </w:p>
        </w:tc>
        <w:tc>
          <w:tcPr>
            <w:tcW w:w="1134" w:type="dxa"/>
            <w:shd w:val="clear" w:color="auto" w:fill="EEEEEF" w:themeFill="accent4"/>
            <w:noWrap/>
          </w:tcPr>
          <w:p w14:paraId="3CC698E9" w14:textId="77777777" w:rsidR="00265792" w:rsidRPr="00BA7805" w:rsidRDefault="00265792" w:rsidP="00A52D32">
            <w:pPr>
              <w:pStyle w:val="ARfintablebodyright"/>
              <w:rPr>
                <w:sz w:val="16"/>
                <w:highlight w:val="green"/>
              </w:rPr>
            </w:pPr>
            <w:r>
              <w:t>–</w:t>
            </w:r>
          </w:p>
        </w:tc>
        <w:tc>
          <w:tcPr>
            <w:tcW w:w="1134" w:type="dxa"/>
            <w:noWrap/>
          </w:tcPr>
          <w:p w14:paraId="29E4ECC0" w14:textId="77777777" w:rsidR="00265792" w:rsidRPr="00BA7805" w:rsidRDefault="00265792" w:rsidP="00A52D32">
            <w:pPr>
              <w:pStyle w:val="ARfintablebodyright"/>
              <w:rPr>
                <w:sz w:val="16"/>
                <w:highlight w:val="green"/>
              </w:rPr>
            </w:pPr>
            <w:r w:rsidRPr="005E2D6C">
              <w:t>(7.5)</w:t>
            </w:r>
          </w:p>
        </w:tc>
      </w:tr>
      <w:tr w:rsidR="00265792" w:rsidRPr="00BA7805" w14:paraId="00DD8177" w14:textId="77777777" w:rsidTr="00CE779E">
        <w:tc>
          <w:tcPr>
            <w:tcW w:w="2835" w:type="dxa"/>
          </w:tcPr>
          <w:p w14:paraId="1FC77932" w14:textId="77777777" w:rsidR="00265792" w:rsidRPr="00BA7805" w:rsidRDefault="00265792" w:rsidP="00A52D32">
            <w:pPr>
              <w:pStyle w:val="ARfintablebody"/>
              <w:rPr>
                <w:sz w:val="16"/>
                <w:highlight w:val="green"/>
              </w:rPr>
            </w:pPr>
            <w:r w:rsidRPr="005E2D6C">
              <w:t>Transfers in/(out) of Level 3</w:t>
            </w:r>
          </w:p>
        </w:tc>
        <w:tc>
          <w:tcPr>
            <w:tcW w:w="1134" w:type="dxa"/>
            <w:shd w:val="clear" w:color="auto" w:fill="EEEEEF" w:themeFill="accent4"/>
          </w:tcPr>
          <w:p w14:paraId="42813F71" w14:textId="77777777" w:rsidR="00265792" w:rsidRPr="00BA7805" w:rsidRDefault="00265792" w:rsidP="00A52D32">
            <w:pPr>
              <w:pStyle w:val="ARfintablebodyright"/>
              <w:rPr>
                <w:sz w:val="16"/>
                <w:highlight w:val="green"/>
              </w:rPr>
            </w:pPr>
            <w:r w:rsidRPr="005E2D6C">
              <w:t>(7.9)</w:t>
            </w:r>
          </w:p>
        </w:tc>
        <w:tc>
          <w:tcPr>
            <w:tcW w:w="1134" w:type="dxa"/>
          </w:tcPr>
          <w:p w14:paraId="736BA871" w14:textId="77777777" w:rsidR="00265792" w:rsidRPr="00BA7805" w:rsidRDefault="00265792" w:rsidP="00A52D32">
            <w:pPr>
              <w:pStyle w:val="ARfintablebodyright"/>
              <w:rPr>
                <w:sz w:val="16"/>
                <w:highlight w:val="green"/>
              </w:rPr>
            </w:pPr>
            <w:r>
              <w:t>–</w:t>
            </w:r>
          </w:p>
        </w:tc>
        <w:tc>
          <w:tcPr>
            <w:tcW w:w="1134" w:type="dxa"/>
            <w:shd w:val="clear" w:color="auto" w:fill="EEEEEF" w:themeFill="accent4"/>
          </w:tcPr>
          <w:p w14:paraId="0429E174" w14:textId="77777777" w:rsidR="00265792" w:rsidRPr="00BA7805" w:rsidRDefault="00265792" w:rsidP="00A52D32">
            <w:pPr>
              <w:pStyle w:val="ARfintablebodyright"/>
              <w:rPr>
                <w:sz w:val="16"/>
                <w:highlight w:val="green"/>
              </w:rPr>
            </w:pPr>
            <w:r w:rsidRPr="005E2D6C">
              <w:t>(43.3)</w:t>
            </w:r>
          </w:p>
        </w:tc>
        <w:tc>
          <w:tcPr>
            <w:tcW w:w="1134" w:type="dxa"/>
            <w:noWrap/>
          </w:tcPr>
          <w:p w14:paraId="55BACFEB" w14:textId="77777777" w:rsidR="00265792" w:rsidRPr="00BA7805" w:rsidRDefault="00265792" w:rsidP="00A52D32">
            <w:pPr>
              <w:pStyle w:val="ARfintablebodyright"/>
              <w:rPr>
                <w:sz w:val="16"/>
                <w:highlight w:val="green"/>
              </w:rPr>
            </w:pPr>
            <w:r>
              <w:t>–</w:t>
            </w:r>
          </w:p>
        </w:tc>
        <w:tc>
          <w:tcPr>
            <w:tcW w:w="1134" w:type="dxa"/>
            <w:shd w:val="clear" w:color="auto" w:fill="EEEEEF" w:themeFill="accent4"/>
            <w:noWrap/>
          </w:tcPr>
          <w:p w14:paraId="7AC74DB9" w14:textId="77777777" w:rsidR="00265792" w:rsidRPr="00BA7805" w:rsidRDefault="00265792" w:rsidP="00A52D32">
            <w:pPr>
              <w:pStyle w:val="ARfintablebodyright"/>
              <w:rPr>
                <w:sz w:val="16"/>
                <w:highlight w:val="green"/>
              </w:rPr>
            </w:pPr>
            <w:r w:rsidRPr="005E2D6C">
              <w:t>(0.4)</w:t>
            </w:r>
          </w:p>
        </w:tc>
        <w:tc>
          <w:tcPr>
            <w:tcW w:w="1134" w:type="dxa"/>
            <w:noWrap/>
          </w:tcPr>
          <w:p w14:paraId="4AFDACDD" w14:textId="77777777" w:rsidR="00265792" w:rsidRPr="00BA7805" w:rsidRDefault="00265792" w:rsidP="00A52D32">
            <w:pPr>
              <w:pStyle w:val="ARfintablebodyright"/>
              <w:rPr>
                <w:sz w:val="16"/>
                <w:highlight w:val="green"/>
              </w:rPr>
            </w:pPr>
            <w:r w:rsidRPr="005E2D6C">
              <w:t>(51.6)</w:t>
            </w:r>
          </w:p>
        </w:tc>
      </w:tr>
      <w:tr w:rsidR="00265792" w:rsidRPr="00BA7805" w14:paraId="4EC2689E" w14:textId="77777777" w:rsidTr="00CE779E">
        <w:tc>
          <w:tcPr>
            <w:tcW w:w="2835" w:type="dxa"/>
            <w:tcBorders>
              <w:bottom w:val="single" w:sz="4" w:space="0" w:color="A6A6A6" w:themeColor="accent5"/>
            </w:tcBorders>
          </w:tcPr>
          <w:p w14:paraId="4CBC6A47" w14:textId="77777777" w:rsidR="00265792" w:rsidRPr="00BA7805" w:rsidRDefault="00265792" w:rsidP="00CE779E">
            <w:pPr>
              <w:pStyle w:val="ARfintablebodybold"/>
              <w:rPr>
                <w:sz w:val="16"/>
                <w:highlight w:val="green"/>
              </w:rPr>
            </w:pPr>
            <w:r w:rsidRPr="005E2D6C">
              <w:t>Gains or losses recognised in net result</w:t>
            </w:r>
          </w:p>
        </w:tc>
        <w:tc>
          <w:tcPr>
            <w:tcW w:w="1134" w:type="dxa"/>
            <w:tcBorders>
              <w:bottom w:val="single" w:sz="4" w:space="0" w:color="A6A6A6" w:themeColor="accent5"/>
            </w:tcBorders>
          </w:tcPr>
          <w:p w14:paraId="7345FA89" w14:textId="77777777" w:rsidR="00265792" w:rsidRPr="00BA7805" w:rsidRDefault="00265792" w:rsidP="00A52D32">
            <w:pPr>
              <w:pStyle w:val="ARfintablebodyright"/>
              <w:rPr>
                <w:sz w:val="16"/>
                <w:highlight w:val="green"/>
              </w:rPr>
            </w:pPr>
          </w:p>
        </w:tc>
        <w:tc>
          <w:tcPr>
            <w:tcW w:w="1134" w:type="dxa"/>
            <w:tcBorders>
              <w:bottom w:val="single" w:sz="4" w:space="0" w:color="A6A6A6" w:themeColor="accent5"/>
            </w:tcBorders>
          </w:tcPr>
          <w:p w14:paraId="5EA94FC8" w14:textId="77777777" w:rsidR="00265792" w:rsidRPr="00BA7805" w:rsidRDefault="00265792" w:rsidP="00A52D32">
            <w:pPr>
              <w:pStyle w:val="ARfintablebodyright"/>
              <w:rPr>
                <w:sz w:val="16"/>
                <w:highlight w:val="green"/>
              </w:rPr>
            </w:pPr>
          </w:p>
        </w:tc>
        <w:tc>
          <w:tcPr>
            <w:tcW w:w="1134" w:type="dxa"/>
            <w:tcBorders>
              <w:bottom w:val="single" w:sz="4" w:space="0" w:color="A6A6A6" w:themeColor="accent5"/>
            </w:tcBorders>
          </w:tcPr>
          <w:p w14:paraId="206688CB" w14:textId="77777777" w:rsidR="00265792" w:rsidRPr="00BA7805" w:rsidRDefault="00265792" w:rsidP="00A52D32">
            <w:pPr>
              <w:pStyle w:val="ARfintablebodyright"/>
              <w:rPr>
                <w:sz w:val="16"/>
                <w:highlight w:val="green"/>
              </w:rPr>
            </w:pPr>
          </w:p>
        </w:tc>
        <w:tc>
          <w:tcPr>
            <w:tcW w:w="1134" w:type="dxa"/>
            <w:tcBorders>
              <w:bottom w:val="single" w:sz="4" w:space="0" w:color="A6A6A6" w:themeColor="accent5"/>
            </w:tcBorders>
            <w:noWrap/>
          </w:tcPr>
          <w:p w14:paraId="189AA51F" w14:textId="77777777" w:rsidR="00265792" w:rsidRPr="00BA7805" w:rsidRDefault="00265792" w:rsidP="00A52D32">
            <w:pPr>
              <w:pStyle w:val="ARfintablebodyright"/>
              <w:rPr>
                <w:sz w:val="16"/>
                <w:highlight w:val="green"/>
              </w:rPr>
            </w:pPr>
          </w:p>
        </w:tc>
        <w:tc>
          <w:tcPr>
            <w:tcW w:w="1134" w:type="dxa"/>
            <w:tcBorders>
              <w:bottom w:val="single" w:sz="4" w:space="0" w:color="A6A6A6" w:themeColor="accent5"/>
            </w:tcBorders>
            <w:noWrap/>
          </w:tcPr>
          <w:p w14:paraId="7FBD53C6" w14:textId="77777777" w:rsidR="00265792" w:rsidRPr="00BA7805" w:rsidRDefault="00265792" w:rsidP="00A52D32">
            <w:pPr>
              <w:pStyle w:val="ARfintablebodyright"/>
              <w:rPr>
                <w:sz w:val="16"/>
                <w:highlight w:val="green"/>
              </w:rPr>
            </w:pPr>
          </w:p>
        </w:tc>
        <w:tc>
          <w:tcPr>
            <w:tcW w:w="1134" w:type="dxa"/>
            <w:tcBorders>
              <w:bottom w:val="single" w:sz="4" w:space="0" w:color="A6A6A6" w:themeColor="accent5"/>
            </w:tcBorders>
            <w:noWrap/>
          </w:tcPr>
          <w:p w14:paraId="1D43D801" w14:textId="77777777" w:rsidR="00265792" w:rsidRPr="00BA7805" w:rsidRDefault="00265792" w:rsidP="00A52D32">
            <w:pPr>
              <w:pStyle w:val="ARfintablebodyright"/>
              <w:rPr>
                <w:sz w:val="16"/>
                <w:highlight w:val="green"/>
              </w:rPr>
            </w:pPr>
          </w:p>
        </w:tc>
      </w:tr>
      <w:tr w:rsidR="00265792" w:rsidRPr="00BA7805" w14:paraId="565D872E" w14:textId="77777777" w:rsidTr="00CE779E">
        <w:tc>
          <w:tcPr>
            <w:tcW w:w="2835" w:type="dxa"/>
            <w:tcBorders>
              <w:top w:val="single" w:sz="4" w:space="0" w:color="A6A6A6" w:themeColor="accent5"/>
              <w:bottom w:val="single" w:sz="4" w:space="0" w:color="auto"/>
            </w:tcBorders>
          </w:tcPr>
          <w:p w14:paraId="13344F77" w14:textId="77777777" w:rsidR="00265792" w:rsidRPr="00BA7805" w:rsidRDefault="00265792" w:rsidP="00A52D32">
            <w:pPr>
              <w:pStyle w:val="ARfintablebody"/>
              <w:rPr>
                <w:sz w:val="16"/>
                <w:highlight w:val="green"/>
              </w:rPr>
            </w:pPr>
            <w:r w:rsidRPr="005E2D6C">
              <w:t>Depreciation</w:t>
            </w:r>
          </w:p>
        </w:tc>
        <w:tc>
          <w:tcPr>
            <w:tcW w:w="1134" w:type="dxa"/>
            <w:tcBorders>
              <w:top w:val="single" w:sz="4" w:space="0" w:color="A6A6A6" w:themeColor="accent5"/>
              <w:bottom w:val="single" w:sz="4" w:space="0" w:color="auto"/>
            </w:tcBorders>
            <w:shd w:val="clear" w:color="auto" w:fill="EEEEEF" w:themeFill="accent4"/>
          </w:tcPr>
          <w:p w14:paraId="58D94871" w14:textId="77777777" w:rsidR="00265792" w:rsidRPr="00BA7805" w:rsidRDefault="00265792" w:rsidP="00A52D32">
            <w:pPr>
              <w:pStyle w:val="ARfintablebodyright"/>
              <w:rPr>
                <w:sz w:val="16"/>
                <w:highlight w:val="green"/>
              </w:rPr>
            </w:pPr>
            <w:r w:rsidRPr="005E2D6C">
              <w:t>(0.9)</w:t>
            </w:r>
          </w:p>
        </w:tc>
        <w:tc>
          <w:tcPr>
            <w:tcW w:w="1134" w:type="dxa"/>
            <w:tcBorders>
              <w:top w:val="single" w:sz="4" w:space="0" w:color="A6A6A6" w:themeColor="accent5"/>
              <w:bottom w:val="single" w:sz="4" w:space="0" w:color="auto"/>
            </w:tcBorders>
          </w:tcPr>
          <w:p w14:paraId="22BD0A71" w14:textId="77777777" w:rsidR="00265792" w:rsidRPr="00BA7805" w:rsidRDefault="00265792" w:rsidP="00A52D32">
            <w:pPr>
              <w:pStyle w:val="ARfintablebodyright"/>
              <w:rPr>
                <w:sz w:val="16"/>
                <w:highlight w:val="green"/>
              </w:rPr>
            </w:pPr>
            <w:r>
              <w:t>–</w:t>
            </w:r>
          </w:p>
        </w:tc>
        <w:tc>
          <w:tcPr>
            <w:tcW w:w="1134" w:type="dxa"/>
            <w:tcBorders>
              <w:top w:val="single" w:sz="4" w:space="0" w:color="A6A6A6" w:themeColor="accent5"/>
              <w:bottom w:val="single" w:sz="4" w:space="0" w:color="auto"/>
            </w:tcBorders>
            <w:shd w:val="clear" w:color="auto" w:fill="EEEEEF" w:themeFill="accent4"/>
          </w:tcPr>
          <w:p w14:paraId="49466066" w14:textId="77777777" w:rsidR="00265792" w:rsidRPr="00BA7805" w:rsidRDefault="00265792" w:rsidP="00A52D32">
            <w:pPr>
              <w:pStyle w:val="ARfintablebodyright"/>
              <w:rPr>
                <w:sz w:val="16"/>
                <w:highlight w:val="green"/>
              </w:rPr>
            </w:pPr>
            <w:r w:rsidRPr="005E2D6C">
              <w:t>(17.3)</w:t>
            </w:r>
          </w:p>
        </w:tc>
        <w:tc>
          <w:tcPr>
            <w:tcW w:w="1134" w:type="dxa"/>
            <w:tcBorders>
              <w:top w:val="single" w:sz="4" w:space="0" w:color="A6A6A6" w:themeColor="accent5"/>
              <w:bottom w:val="single" w:sz="4" w:space="0" w:color="auto"/>
            </w:tcBorders>
            <w:noWrap/>
          </w:tcPr>
          <w:p w14:paraId="2BED109B" w14:textId="77777777" w:rsidR="00265792" w:rsidRPr="00BA7805" w:rsidRDefault="00265792" w:rsidP="00A52D32">
            <w:pPr>
              <w:pStyle w:val="ARfintablebodyright"/>
              <w:rPr>
                <w:sz w:val="16"/>
                <w:highlight w:val="green"/>
              </w:rPr>
            </w:pPr>
            <w:r w:rsidRPr="005E2D6C">
              <w:t>(11.0)</w:t>
            </w:r>
          </w:p>
        </w:tc>
        <w:tc>
          <w:tcPr>
            <w:tcW w:w="1134" w:type="dxa"/>
            <w:tcBorders>
              <w:top w:val="single" w:sz="4" w:space="0" w:color="A6A6A6" w:themeColor="accent5"/>
              <w:bottom w:val="single" w:sz="4" w:space="0" w:color="auto"/>
            </w:tcBorders>
            <w:shd w:val="clear" w:color="auto" w:fill="EEEEEF" w:themeFill="accent4"/>
            <w:noWrap/>
          </w:tcPr>
          <w:p w14:paraId="40A2E532" w14:textId="77777777" w:rsidR="00265792" w:rsidRPr="00BA7805" w:rsidRDefault="00265792" w:rsidP="00A52D32">
            <w:pPr>
              <w:pStyle w:val="ARfintablebodyright"/>
              <w:rPr>
                <w:sz w:val="16"/>
                <w:highlight w:val="green"/>
              </w:rPr>
            </w:pPr>
            <w:r w:rsidRPr="005E2D6C">
              <w:t>(0.1)</w:t>
            </w:r>
          </w:p>
        </w:tc>
        <w:tc>
          <w:tcPr>
            <w:tcW w:w="1134" w:type="dxa"/>
            <w:tcBorders>
              <w:top w:val="single" w:sz="4" w:space="0" w:color="A6A6A6" w:themeColor="accent5"/>
              <w:bottom w:val="single" w:sz="4" w:space="0" w:color="auto"/>
            </w:tcBorders>
            <w:noWrap/>
          </w:tcPr>
          <w:p w14:paraId="443F95AB" w14:textId="77777777" w:rsidR="00265792" w:rsidRPr="00BA7805" w:rsidRDefault="00265792" w:rsidP="00A52D32">
            <w:pPr>
              <w:pStyle w:val="ARfintablebodyright"/>
              <w:rPr>
                <w:sz w:val="16"/>
                <w:highlight w:val="green"/>
              </w:rPr>
            </w:pPr>
            <w:r w:rsidRPr="005E2D6C">
              <w:t>(29.3)</w:t>
            </w:r>
          </w:p>
        </w:tc>
      </w:tr>
      <w:tr w:rsidR="00265792" w:rsidRPr="00BA7805" w14:paraId="2B7717C8" w14:textId="77777777" w:rsidTr="00CE779E">
        <w:tc>
          <w:tcPr>
            <w:tcW w:w="2835" w:type="dxa"/>
            <w:tcBorders>
              <w:top w:val="single" w:sz="4" w:space="0" w:color="auto"/>
              <w:bottom w:val="single" w:sz="4" w:space="0" w:color="auto"/>
            </w:tcBorders>
          </w:tcPr>
          <w:p w14:paraId="5D17C32E" w14:textId="77777777" w:rsidR="00265792" w:rsidRPr="00BA7805" w:rsidRDefault="00265792" w:rsidP="00CE779E">
            <w:pPr>
              <w:pStyle w:val="ARfintablebodybold"/>
              <w:rPr>
                <w:sz w:val="16"/>
                <w:highlight w:val="green"/>
              </w:rPr>
            </w:pPr>
            <w:r w:rsidRPr="005E2D6C">
              <w:t>Subtotal of gains or losses recognised in net result</w:t>
            </w:r>
          </w:p>
        </w:tc>
        <w:tc>
          <w:tcPr>
            <w:tcW w:w="1134" w:type="dxa"/>
            <w:tcBorders>
              <w:top w:val="single" w:sz="4" w:space="0" w:color="auto"/>
              <w:bottom w:val="single" w:sz="4" w:space="0" w:color="auto"/>
            </w:tcBorders>
            <w:shd w:val="clear" w:color="auto" w:fill="EEEEEF" w:themeFill="accent4"/>
          </w:tcPr>
          <w:p w14:paraId="73A7A2E2" w14:textId="77777777" w:rsidR="00265792" w:rsidRPr="00BA7805" w:rsidRDefault="00265792" w:rsidP="00CE779E">
            <w:pPr>
              <w:pStyle w:val="ARfintablebodyrightbold"/>
              <w:rPr>
                <w:sz w:val="16"/>
                <w:highlight w:val="green"/>
              </w:rPr>
            </w:pPr>
            <w:r w:rsidRPr="005E2D6C">
              <w:t>(0.9)</w:t>
            </w:r>
          </w:p>
        </w:tc>
        <w:tc>
          <w:tcPr>
            <w:tcW w:w="1134" w:type="dxa"/>
            <w:tcBorders>
              <w:top w:val="single" w:sz="4" w:space="0" w:color="auto"/>
              <w:bottom w:val="single" w:sz="4" w:space="0" w:color="auto"/>
            </w:tcBorders>
          </w:tcPr>
          <w:p w14:paraId="0120BCE1" w14:textId="77777777" w:rsidR="00265792" w:rsidRPr="00BA7805" w:rsidRDefault="00265792" w:rsidP="00CE779E">
            <w:pPr>
              <w:pStyle w:val="ARfintablebodyrightbold"/>
              <w:rPr>
                <w:sz w:val="16"/>
                <w:highlight w:val="green"/>
              </w:rPr>
            </w:pPr>
            <w:r>
              <w:t>–</w:t>
            </w:r>
          </w:p>
        </w:tc>
        <w:tc>
          <w:tcPr>
            <w:tcW w:w="1134" w:type="dxa"/>
            <w:tcBorders>
              <w:top w:val="single" w:sz="4" w:space="0" w:color="auto"/>
              <w:bottom w:val="single" w:sz="4" w:space="0" w:color="auto"/>
            </w:tcBorders>
            <w:shd w:val="clear" w:color="auto" w:fill="EEEEEF" w:themeFill="accent4"/>
          </w:tcPr>
          <w:p w14:paraId="5FFAB21E" w14:textId="77777777" w:rsidR="00265792" w:rsidRPr="00BA7805" w:rsidRDefault="00265792" w:rsidP="00CE779E">
            <w:pPr>
              <w:pStyle w:val="ARfintablebodyrightbold"/>
              <w:rPr>
                <w:sz w:val="16"/>
                <w:highlight w:val="green"/>
              </w:rPr>
            </w:pPr>
            <w:r w:rsidRPr="005E2D6C">
              <w:t>(17.3)</w:t>
            </w:r>
          </w:p>
        </w:tc>
        <w:tc>
          <w:tcPr>
            <w:tcW w:w="1134" w:type="dxa"/>
            <w:tcBorders>
              <w:top w:val="single" w:sz="4" w:space="0" w:color="auto"/>
              <w:bottom w:val="single" w:sz="4" w:space="0" w:color="auto"/>
            </w:tcBorders>
            <w:noWrap/>
          </w:tcPr>
          <w:p w14:paraId="2F901373" w14:textId="77777777" w:rsidR="00265792" w:rsidRPr="00BA7805" w:rsidRDefault="00265792" w:rsidP="00CE779E">
            <w:pPr>
              <w:pStyle w:val="ARfintablebodyrightbold"/>
              <w:rPr>
                <w:sz w:val="16"/>
                <w:highlight w:val="green"/>
              </w:rPr>
            </w:pPr>
            <w:r w:rsidRPr="005E2D6C">
              <w:t>(11.0)</w:t>
            </w:r>
          </w:p>
        </w:tc>
        <w:tc>
          <w:tcPr>
            <w:tcW w:w="1134" w:type="dxa"/>
            <w:tcBorders>
              <w:top w:val="single" w:sz="4" w:space="0" w:color="auto"/>
              <w:bottom w:val="single" w:sz="4" w:space="0" w:color="auto"/>
            </w:tcBorders>
            <w:shd w:val="clear" w:color="auto" w:fill="EEEEEF" w:themeFill="accent4"/>
            <w:noWrap/>
          </w:tcPr>
          <w:p w14:paraId="4546ECF5" w14:textId="77777777" w:rsidR="00265792" w:rsidRPr="00BA7805" w:rsidRDefault="00265792" w:rsidP="00CE779E">
            <w:pPr>
              <w:pStyle w:val="ARfintablebodyrightbold"/>
              <w:rPr>
                <w:sz w:val="16"/>
                <w:highlight w:val="green"/>
              </w:rPr>
            </w:pPr>
            <w:r w:rsidRPr="005E2D6C">
              <w:t>(0.1)</w:t>
            </w:r>
          </w:p>
        </w:tc>
        <w:tc>
          <w:tcPr>
            <w:tcW w:w="1134" w:type="dxa"/>
            <w:tcBorders>
              <w:top w:val="single" w:sz="4" w:space="0" w:color="auto"/>
              <w:bottom w:val="single" w:sz="4" w:space="0" w:color="auto"/>
            </w:tcBorders>
            <w:noWrap/>
          </w:tcPr>
          <w:p w14:paraId="4CFD4619" w14:textId="77777777" w:rsidR="00265792" w:rsidRPr="00BA7805" w:rsidRDefault="00265792" w:rsidP="00CE779E">
            <w:pPr>
              <w:pStyle w:val="ARfintablebodyrightbold"/>
              <w:rPr>
                <w:sz w:val="16"/>
                <w:highlight w:val="green"/>
              </w:rPr>
            </w:pPr>
            <w:r w:rsidRPr="005E2D6C">
              <w:t>(29.3)</w:t>
            </w:r>
          </w:p>
        </w:tc>
      </w:tr>
      <w:tr w:rsidR="00265792" w:rsidRPr="00BA7805" w14:paraId="176F376F" w14:textId="77777777" w:rsidTr="00CE779E">
        <w:tc>
          <w:tcPr>
            <w:tcW w:w="2835" w:type="dxa"/>
            <w:tcBorders>
              <w:top w:val="single" w:sz="4" w:space="0" w:color="auto"/>
              <w:bottom w:val="single" w:sz="4" w:space="0" w:color="A6A6A6" w:themeColor="accent5"/>
            </w:tcBorders>
          </w:tcPr>
          <w:p w14:paraId="12D82050" w14:textId="77777777" w:rsidR="00265792" w:rsidRPr="00BA7805" w:rsidRDefault="00265792" w:rsidP="00CE779E">
            <w:pPr>
              <w:pStyle w:val="ARfintablebodybold"/>
              <w:rPr>
                <w:sz w:val="16"/>
                <w:highlight w:val="green"/>
              </w:rPr>
            </w:pPr>
            <w:r w:rsidRPr="005E2D6C">
              <w:t xml:space="preserve">Gains or losses recognised in other economic flows </w:t>
            </w:r>
            <w:r>
              <w:t>–</w:t>
            </w:r>
            <w:r w:rsidRPr="005E2D6C">
              <w:t xml:space="preserve"> other comprehensive income</w:t>
            </w:r>
          </w:p>
        </w:tc>
        <w:tc>
          <w:tcPr>
            <w:tcW w:w="1134" w:type="dxa"/>
            <w:tcBorders>
              <w:top w:val="single" w:sz="4" w:space="0" w:color="auto"/>
              <w:bottom w:val="single" w:sz="4" w:space="0" w:color="A6A6A6" w:themeColor="accent5"/>
            </w:tcBorders>
          </w:tcPr>
          <w:p w14:paraId="085C4993" w14:textId="77777777" w:rsidR="00265792" w:rsidRPr="00BA7805" w:rsidRDefault="00265792" w:rsidP="00A52D32">
            <w:pPr>
              <w:pStyle w:val="ARfintablebodyright"/>
              <w:rPr>
                <w:sz w:val="16"/>
                <w:highlight w:val="green"/>
              </w:rPr>
            </w:pPr>
          </w:p>
        </w:tc>
        <w:tc>
          <w:tcPr>
            <w:tcW w:w="1134" w:type="dxa"/>
            <w:tcBorders>
              <w:top w:val="single" w:sz="4" w:space="0" w:color="auto"/>
              <w:bottom w:val="single" w:sz="4" w:space="0" w:color="A6A6A6" w:themeColor="accent5"/>
            </w:tcBorders>
          </w:tcPr>
          <w:p w14:paraId="577F3BD5" w14:textId="77777777" w:rsidR="00265792" w:rsidRPr="00BA7805" w:rsidRDefault="00265792" w:rsidP="00A52D32">
            <w:pPr>
              <w:pStyle w:val="ARfintablebodyright"/>
              <w:rPr>
                <w:sz w:val="16"/>
                <w:highlight w:val="green"/>
              </w:rPr>
            </w:pPr>
          </w:p>
        </w:tc>
        <w:tc>
          <w:tcPr>
            <w:tcW w:w="1134" w:type="dxa"/>
            <w:tcBorders>
              <w:top w:val="single" w:sz="4" w:space="0" w:color="auto"/>
              <w:bottom w:val="single" w:sz="4" w:space="0" w:color="A6A6A6" w:themeColor="accent5"/>
            </w:tcBorders>
          </w:tcPr>
          <w:p w14:paraId="47273365" w14:textId="77777777" w:rsidR="00265792" w:rsidRPr="00BA7805" w:rsidRDefault="00265792" w:rsidP="00A52D32">
            <w:pPr>
              <w:pStyle w:val="ARfintablebodyright"/>
              <w:rPr>
                <w:sz w:val="16"/>
                <w:highlight w:val="green"/>
              </w:rPr>
            </w:pPr>
          </w:p>
        </w:tc>
        <w:tc>
          <w:tcPr>
            <w:tcW w:w="1134" w:type="dxa"/>
            <w:tcBorders>
              <w:top w:val="single" w:sz="4" w:space="0" w:color="auto"/>
              <w:bottom w:val="single" w:sz="4" w:space="0" w:color="A6A6A6" w:themeColor="accent5"/>
            </w:tcBorders>
            <w:noWrap/>
          </w:tcPr>
          <w:p w14:paraId="45EB7B70" w14:textId="77777777" w:rsidR="00265792" w:rsidRPr="00BA7805" w:rsidRDefault="00265792" w:rsidP="00A52D32">
            <w:pPr>
              <w:pStyle w:val="ARfintablebodyright"/>
              <w:rPr>
                <w:sz w:val="16"/>
                <w:highlight w:val="green"/>
              </w:rPr>
            </w:pPr>
          </w:p>
        </w:tc>
        <w:tc>
          <w:tcPr>
            <w:tcW w:w="1134" w:type="dxa"/>
            <w:tcBorders>
              <w:top w:val="single" w:sz="4" w:space="0" w:color="auto"/>
              <w:bottom w:val="single" w:sz="4" w:space="0" w:color="A6A6A6" w:themeColor="accent5"/>
            </w:tcBorders>
            <w:noWrap/>
          </w:tcPr>
          <w:p w14:paraId="75EB580B" w14:textId="77777777" w:rsidR="00265792" w:rsidRPr="00BA7805" w:rsidRDefault="00265792" w:rsidP="00A52D32">
            <w:pPr>
              <w:pStyle w:val="ARfintablebodyright"/>
              <w:rPr>
                <w:sz w:val="16"/>
                <w:highlight w:val="green"/>
              </w:rPr>
            </w:pPr>
          </w:p>
        </w:tc>
        <w:tc>
          <w:tcPr>
            <w:tcW w:w="1134" w:type="dxa"/>
            <w:tcBorders>
              <w:top w:val="single" w:sz="4" w:space="0" w:color="auto"/>
              <w:bottom w:val="single" w:sz="4" w:space="0" w:color="A6A6A6" w:themeColor="accent5"/>
            </w:tcBorders>
            <w:noWrap/>
          </w:tcPr>
          <w:p w14:paraId="609D8E76" w14:textId="77777777" w:rsidR="00265792" w:rsidRPr="00BA7805" w:rsidRDefault="00265792" w:rsidP="00A52D32">
            <w:pPr>
              <w:pStyle w:val="ARfintablebodyright"/>
              <w:rPr>
                <w:sz w:val="16"/>
                <w:highlight w:val="green"/>
              </w:rPr>
            </w:pPr>
          </w:p>
        </w:tc>
      </w:tr>
      <w:tr w:rsidR="00265792" w:rsidRPr="00BA7805" w14:paraId="6C83058A" w14:textId="77777777" w:rsidTr="00CE779E">
        <w:tc>
          <w:tcPr>
            <w:tcW w:w="2835" w:type="dxa"/>
            <w:tcBorders>
              <w:top w:val="single" w:sz="4" w:space="0" w:color="A6A6A6" w:themeColor="accent5"/>
              <w:bottom w:val="single" w:sz="4" w:space="0" w:color="auto"/>
            </w:tcBorders>
          </w:tcPr>
          <w:p w14:paraId="20AE6CC0" w14:textId="77777777" w:rsidR="00265792" w:rsidRPr="00BA7805" w:rsidRDefault="00265792" w:rsidP="00A52D32">
            <w:pPr>
              <w:pStyle w:val="ARfintablebody"/>
              <w:rPr>
                <w:sz w:val="16"/>
                <w:highlight w:val="green"/>
              </w:rPr>
            </w:pPr>
            <w:r w:rsidRPr="005E2D6C">
              <w:t>Net revaluation increments/(decrements)</w:t>
            </w:r>
          </w:p>
        </w:tc>
        <w:tc>
          <w:tcPr>
            <w:tcW w:w="1134" w:type="dxa"/>
            <w:tcBorders>
              <w:top w:val="single" w:sz="4" w:space="0" w:color="A6A6A6" w:themeColor="accent5"/>
              <w:bottom w:val="single" w:sz="4" w:space="0" w:color="auto"/>
            </w:tcBorders>
            <w:shd w:val="clear" w:color="auto" w:fill="EEEEEF" w:themeFill="accent4"/>
          </w:tcPr>
          <w:p w14:paraId="5E8EC9E8" w14:textId="77777777" w:rsidR="00265792" w:rsidRPr="00BA7805" w:rsidRDefault="00265792" w:rsidP="00A52D32">
            <w:pPr>
              <w:pStyle w:val="ARfintablebodyright"/>
              <w:rPr>
                <w:sz w:val="16"/>
                <w:highlight w:val="green"/>
              </w:rPr>
            </w:pPr>
            <w:r>
              <w:t>–</w:t>
            </w:r>
          </w:p>
        </w:tc>
        <w:tc>
          <w:tcPr>
            <w:tcW w:w="1134" w:type="dxa"/>
            <w:tcBorders>
              <w:top w:val="single" w:sz="4" w:space="0" w:color="A6A6A6" w:themeColor="accent5"/>
              <w:bottom w:val="single" w:sz="4" w:space="0" w:color="auto"/>
            </w:tcBorders>
          </w:tcPr>
          <w:p w14:paraId="26E4A00D" w14:textId="77777777" w:rsidR="00265792" w:rsidRPr="00BA7805" w:rsidRDefault="00265792" w:rsidP="00A52D32">
            <w:pPr>
              <w:pStyle w:val="ARfintablebodyright"/>
              <w:rPr>
                <w:sz w:val="16"/>
                <w:highlight w:val="green"/>
              </w:rPr>
            </w:pPr>
            <w:r w:rsidRPr="005E2D6C">
              <w:t>7.3</w:t>
            </w:r>
          </w:p>
        </w:tc>
        <w:tc>
          <w:tcPr>
            <w:tcW w:w="1134" w:type="dxa"/>
            <w:tcBorders>
              <w:top w:val="single" w:sz="4" w:space="0" w:color="A6A6A6" w:themeColor="accent5"/>
              <w:bottom w:val="single" w:sz="4" w:space="0" w:color="auto"/>
            </w:tcBorders>
            <w:shd w:val="clear" w:color="auto" w:fill="EEEEEF" w:themeFill="accent4"/>
          </w:tcPr>
          <w:p w14:paraId="2BDCD33D" w14:textId="77777777" w:rsidR="00265792" w:rsidRPr="00BA7805" w:rsidRDefault="00265792" w:rsidP="00A52D32">
            <w:pPr>
              <w:pStyle w:val="ARfintablebodyright"/>
              <w:rPr>
                <w:sz w:val="16"/>
                <w:highlight w:val="green"/>
              </w:rPr>
            </w:pPr>
            <w:r>
              <w:t>–</w:t>
            </w:r>
          </w:p>
        </w:tc>
        <w:tc>
          <w:tcPr>
            <w:tcW w:w="1134" w:type="dxa"/>
            <w:tcBorders>
              <w:top w:val="single" w:sz="4" w:space="0" w:color="A6A6A6" w:themeColor="accent5"/>
              <w:bottom w:val="single" w:sz="4" w:space="0" w:color="auto"/>
            </w:tcBorders>
            <w:noWrap/>
          </w:tcPr>
          <w:p w14:paraId="51A08DB2" w14:textId="77777777" w:rsidR="00265792" w:rsidRPr="00BA7805" w:rsidRDefault="00265792" w:rsidP="00A52D32">
            <w:pPr>
              <w:pStyle w:val="ARfintablebodyright"/>
              <w:rPr>
                <w:sz w:val="16"/>
                <w:highlight w:val="green"/>
              </w:rPr>
            </w:pPr>
            <w:r w:rsidRPr="005E2D6C">
              <w:t>23.3</w:t>
            </w:r>
          </w:p>
        </w:tc>
        <w:tc>
          <w:tcPr>
            <w:tcW w:w="1134" w:type="dxa"/>
            <w:tcBorders>
              <w:top w:val="single" w:sz="4" w:space="0" w:color="A6A6A6" w:themeColor="accent5"/>
              <w:bottom w:val="single" w:sz="4" w:space="0" w:color="auto"/>
            </w:tcBorders>
            <w:shd w:val="clear" w:color="auto" w:fill="EEEEEF" w:themeFill="accent4"/>
            <w:noWrap/>
          </w:tcPr>
          <w:p w14:paraId="1768CAE5" w14:textId="77777777" w:rsidR="00265792" w:rsidRPr="00BA7805" w:rsidRDefault="00265792" w:rsidP="00A52D32">
            <w:pPr>
              <w:pStyle w:val="ARfintablebodyright"/>
              <w:rPr>
                <w:sz w:val="16"/>
                <w:highlight w:val="green"/>
              </w:rPr>
            </w:pPr>
            <w:r>
              <w:t>–</w:t>
            </w:r>
          </w:p>
        </w:tc>
        <w:tc>
          <w:tcPr>
            <w:tcW w:w="1134" w:type="dxa"/>
            <w:tcBorders>
              <w:top w:val="single" w:sz="4" w:space="0" w:color="A6A6A6" w:themeColor="accent5"/>
              <w:bottom w:val="single" w:sz="4" w:space="0" w:color="auto"/>
            </w:tcBorders>
            <w:noWrap/>
          </w:tcPr>
          <w:p w14:paraId="2A3C75E1" w14:textId="77777777" w:rsidR="00265792" w:rsidRPr="00BA7805" w:rsidRDefault="00265792" w:rsidP="00A52D32">
            <w:pPr>
              <w:pStyle w:val="ARfintablebodyright"/>
              <w:rPr>
                <w:sz w:val="16"/>
                <w:highlight w:val="green"/>
              </w:rPr>
            </w:pPr>
            <w:r w:rsidRPr="005E2D6C">
              <w:t>30.6</w:t>
            </w:r>
          </w:p>
        </w:tc>
      </w:tr>
      <w:tr w:rsidR="00265792" w:rsidRPr="00BA7805" w14:paraId="4D22E67B" w14:textId="77777777" w:rsidTr="00CE779E">
        <w:tc>
          <w:tcPr>
            <w:tcW w:w="2835" w:type="dxa"/>
            <w:tcBorders>
              <w:top w:val="single" w:sz="4" w:space="0" w:color="auto"/>
              <w:bottom w:val="single" w:sz="4" w:space="0" w:color="000000" w:themeColor="text1"/>
            </w:tcBorders>
          </w:tcPr>
          <w:p w14:paraId="79785FF0" w14:textId="77777777" w:rsidR="00265792" w:rsidRPr="00BA7805" w:rsidRDefault="00265792" w:rsidP="00CE779E">
            <w:pPr>
              <w:pStyle w:val="ARfintablebodybold"/>
              <w:rPr>
                <w:sz w:val="16"/>
                <w:highlight w:val="green"/>
              </w:rPr>
            </w:pPr>
            <w:r w:rsidRPr="005E2D6C">
              <w:t>Subtotal of gains or losses recognised in other economic</w:t>
            </w:r>
            <w:r>
              <w:t> </w:t>
            </w:r>
            <w:r w:rsidRPr="005E2D6C">
              <w:t>flows</w:t>
            </w:r>
          </w:p>
        </w:tc>
        <w:tc>
          <w:tcPr>
            <w:tcW w:w="1134" w:type="dxa"/>
            <w:tcBorders>
              <w:top w:val="single" w:sz="4" w:space="0" w:color="auto"/>
              <w:bottom w:val="single" w:sz="4" w:space="0" w:color="000000" w:themeColor="text1"/>
            </w:tcBorders>
            <w:shd w:val="clear" w:color="auto" w:fill="EEEEEF" w:themeFill="accent4"/>
          </w:tcPr>
          <w:p w14:paraId="1A056E1B" w14:textId="77777777" w:rsidR="00265792" w:rsidRPr="00BA7805" w:rsidRDefault="00265792" w:rsidP="00CE779E">
            <w:pPr>
              <w:pStyle w:val="ARfintablebodyrightbold"/>
              <w:rPr>
                <w:sz w:val="16"/>
                <w:highlight w:val="green"/>
              </w:rPr>
            </w:pPr>
            <w:r>
              <w:t>–</w:t>
            </w:r>
          </w:p>
        </w:tc>
        <w:tc>
          <w:tcPr>
            <w:tcW w:w="1134" w:type="dxa"/>
            <w:tcBorders>
              <w:top w:val="single" w:sz="4" w:space="0" w:color="auto"/>
              <w:bottom w:val="single" w:sz="4" w:space="0" w:color="000000" w:themeColor="text1"/>
            </w:tcBorders>
          </w:tcPr>
          <w:p w14:paraId="5D5DB548" w14:textId="77777777" w:rsidR="00265792" w:rsidRPr="00BA7805" w:rsidRDefault="00265792" w:rsidP="00CE779E">
            <w:pPr>
              <w:pStyle w:val="ARfintablebodyrightbold"/>
              <w:rPr>
                <w:sz w:val="16"/>
                <w:highlight w:val="green"/>
              </w:rPr>
            </w:pPr>
            <w:r w:rsidRPr="005E2D6C">
              <w:t>7.3</w:t>
            </w:r>
          </w:p>
        </w:tc>
        <w:tc>
          <w:tcPr>
            <w:tcW w:w="1134" w:type="dxa"/>
            <w:tcBorders>
              <w:top w:val="single" w:sz="4" w:space="0" w:color="auto"/>
              <w:bottom w:val="single" w:sz="4" w:space="0" w:color="000000" w:themeColor="text1"/>
            </w:tcBorders>
            <w:shd w:val="clear" w:color="auto" w:fill="EEEEEF" w:themeFill="accent4"/>
          </w:tcPr>
          <w:p w14:paraId="6F008330" w14:textId="77777777" w:rsidR="00265792" w:rsidRPr="00BA7805" w:rsidRDefault="00265792" w:rsidP="00CE779E">
            <w:pPr>
              <w:pStyle w:val="ARfintablebodyrightbold"/>
              <w:rPr>
                <w:sz w:val="16"/>
                <w:highlight w:val="green"/>
              </w:rPr>
            </w:pPr>
            <w:r>
              <w:t>–</w:t>
            </w:r>
          </w:p>
        </w:tc>
        <w:tc>
          <w:tcPr>
            <w:tcW w:w="1134" w:type="dxa"/>
            <w:tcBorders>
              <w:top w:val="single" w:sz="4" w:space="0" w:color="auto"/>
              <w:bottom w:val="single" w:sz="4" w:space="0" w:color="000000" w:themeColor="text1"/>
            </w:tcBorders>
            <w:noWrap/>
          </w:tcPr>
          <w:p w14:paraId="01B5C832" w14:textId="77777777" w:rsidR="00265792" w:rsidRPr="00BA7805" w:rsidRDefault="00265792" w:rsidP="00CE779E">
            <w:pPr>
              <w:pStyle w:val="ARfintablebodyrightbold"/>
              <w:rPr>
                <w:sz w:val="16"/>
                <w:highlight w:val="green"/>
              </w:rPr>
            </w:pPr>
            <w:r w:rsidRPr="005E2D6C">
              <w:t>23.3</w:t>
            </w:r>
          </w:p>
        </w:tc>
        <w:tc>
          <w:tcPr>
            <w:tcW w:w="1134" w:type="dxa"/>
            <w:tcBorders>
              <w:top w:val="single" w:sz="4" w:space="0" w:color="auto"/>
              <w:bottom w:val="single" w:sz="4" w:space="0" w:color="000000" w:themeColor="text1"/>
            </w:tcBorders>
            <w:shd w:val="clear" w:color="auto" w:fill="EEEEEF" w:themeFill="accent4"/>
            <w:noWrap/>
          </w:tcPr>
          <w:p w14:paraId="35CDCE1A" w14:textId="77777777" w:rsidR="00265792" w:rsidRPr="00BA7805" w:rsidRDefault="00265792" w:rsidP="00CE779E">
            <w:pPr>
              <w:pStyle w:val="ARfintablebodyrightbold"/>
              <w:rPr>
                <w:sz w:val="16"/>
                <w:highlight w:val="green"/>
              </w:rPr>
            </w:pPr>
            <w:r>
              <w:t>–</w:t>
            </w:r>
          </w:p>
        </w:tc>
        <w:tc>
          <w:tcPr>
            <w:tcW w:w="1134" w:type="dxa"/>
            <w:tcBorders>
              <w:top w:val="single" w:sz="4" w:space="0" w:color="auto"/>
              <w:bottom w:val="single" w:sz="4" w:space="0" w:color="000000" w:themeColor="text1"/>
            </w:tcBorders>
            <w:noWrap/>
          </w:tcPr>
          <w:p w14:paraId="33688E2B" w14:textId="77777777" w:rsidR="00265792" w:rsidRPr="00BA7805" w:rsidRDefault="00265792" w:rsidP="00CE779E">
            <w:pPr>
              <w:pStyle w:val="ARfintablebodyrightbold"/>
              <w:rPr>
                <w:sz w:val="16"/>
                <w:highlight w:val="green"/>
              </w:rPr>
            </w:pPr>
            <w:r w:rsidRPr="005E2D6C">
              <w:t>30.6</w:t>
            </w:r>
          </w:p>
        </w:tc>
      </w:tr>
      <w:tr w:rsidR="00265792" w:rsidRPr="00BA7805" w14:paraId="6B8C442A" w14:textId="77777777" w:rsidTr="00CE779E">
        <w:trPr>
          <w:cnfStyle w:val="010000000000" w:firstRow="0" w:lastRow="1" w:firstColumn="0" w:lastColumn="0" w:oddVBand="0" w:evenVBand="0" w:oddHBand="0" w:evenHBand="0" w:firstRowFirstColumn="0" w:firstRowLastColumn="0" w:lastRowFirstColumn="0" w:lastRowLastColumn="0"/>
        </w:trPr>
        <w:tc>
          <w:tcPr>
            <w:tcW w:w="2835" w:type="dxa"/>
          </w:tcPr>
          <w:p w14:paraId="4EF0D4E0" w14:textId="77777777" w:rsidR="00265792" w:rsidRPr="00BA7805" w:rsidRDefault="00265792" w:rsidP="00CE779E">
            <w:pPr>
              <w:pStyle w:val="ARfintablebodybold"/>
              <w:rPr>
                <w:sz w:val="16"/>
                <w:highlight w:val="green"/>
              </w:rPr>
            </w:pPr>
            <w:r w:rsidRPr="005E2D6C">
              <w:t>Closing balance</w:t>
            </w:r>
          </w:p>
        </w:tc>
        <w:tc>
          <w:tcPr>
            <w:tcW w:w="1134" w:type="dxa"/>
            <w:shd w:val="clear" w:color="auto" w:fill="EEEEEF" w:themeFill="accent4"/>
          </w:tcPr>
          <w:p w14:paraId="08236733" w14:textId="77777777" w:rsidR="00265792" w:rsidRPr="00BA7805" w:rsidRDefault="00265792" w:rsidP="00CE779E">
            <w:pPr>
              <w:pStyle w:val="ARfintablebodyrightbold"/>
              <w:rPr>
                <w:sz w:val="16"/>
                <w:highlight w:val="green"/>
              </w:rPr>
            </w:pPr>
            <w:r>
              <w:t>–</w:t>
            </w:r>
          </w:p>
        </w:tc>
        <w:tc>
          <w:tcPr>
            <w:tcW w:w="1134" w:type="dxa"/>
          </w:tcPr>
          <w:p w14:paraId="513AD07D" w14:textId="77777777" w:rsidR="00265792" w:rsidRPr="00BA7805" w:rsidRDefault="00265792" w:rsidP="00CE779E">
            <w:pPr>
              <w:pStyle w:val="ARfintablebodyrightbold"/>
              <w:rPr>
                <w:sz w:val="16"/>
                <w:highlight w:val="green"/>
              </w:rPr>
            </w:pPr>
            <w:r w:rsidRPr="005E2D6C">
              <w:t>170.2</w:t>
            </w:r>
          </w:p>
        </w:tc>
        <w:tc>
          <w:tcPr>
            <w:tcW w:w="1134" w:type="dxa"/>
            <w:shd w:val="clear" w:color="auto" w:fill="EEEEEF" w:themeFill="accent4"/>
          </w:tcPr>
          <w:p w14:paraId="585D37C1" w14:textId="77777777" w:rsidR="00265792" w:rsidRPr="00BA7805" w:rsidRDefault="00265792" w:rsidP="00CE779E">
            <w:pPr>
              <w:pStyle w:val="ARfintablebodyrightbold"/>
              <w:rPr>
                <w:sz w:val="16"/>
                <w:highlight w:val="green"/>
              </w:rPr>
            </w:pPr>
            <w:r>
              <w:t>–</w:t>
            </w:r>
          </w:p>
        </w:tc>
        <w:tc>
          <w:tcPr>
            <w:tcW w:w="1134" w:type="dxa"/>
            <w:noWrap/>
          </w:tcPr>
          <w:p w14:paraId="0B30D9FB" w14:textId="77777777" w:rsidR="00265792" w:rsidRPr="00BA7805" w:rsidRDefault="00265792" w:rsidP="00CE779E">
            <w:pPr>
              <w:pStyle w:val="ARfintablebodyrightbold"/>
              <w:rPr>
                <w:sz w:val="16"/>
                <w:highlight w:val="green"/>
              </w:rPr>
            </w:pPr>
            <w:r w:rsidRPr="005E2D6C">
              <w:t>146.6</w:t>
            </w:r>
          </w:p>
        </w:tc>
        <w:tc>
          <w:tcPr>
            <w:tcW w:w="1134" w:type="dxa"/>
            <w:shd w:val="clear" w:color="auto" w:fill="EEEEEF" w:themeFill="accent4"/>
            <w:noWrap/>
          </w:tcPr>
          <w:p w14:paraId="6C27371E" w14:textId="77777777" w:rsidR="00265792" w:rsidRPr="00BA7805" w:rsidRDefault="00265792" w:rsidP="00CE779E">
            <w:pPr>
              <w:pStyle w:val="ARfintablebodyrightbold"/>
              <w:rPr>
                <w:sz w:val="16"/>
                <w:highlight w:val="green"/>
              </w:rPr>
            </w:pPr>
            <w:r>
              <w:t>–</w:t>
            </w:r>
          </w:p>
        </w:tc>
        <w:tc>
          <w:tcPr>
            <w:tcW w:w="1134" w:type="dxa"/>
            <w:noWrap/>
          </w:tcPr>
          <w:p w14:paraId="377A57EF" w14:textId="77777777" w:rsidR="00265792" w:rsidRPr="00BA7805" w:rsidRDefault="00265792" w:rsidP="00CE779E">
            <w:pPr>
              <w:pStyle w:val="ARfintablebodyrightbold"/>
              <w:rPr>
                <w:sz w:val="16"/>
                <w:highlight w:val="green"/>
              </w:rPr>
            </w:pPr>
            <w:r w:rsidRPr="005E2D6C">
              <w:t>316.8</w:t>
            </w:r>
          </w:p>
        </w:tc>
      </w:tr>
    </w:tbl>
    <w:p w14:paraId="7F1FDF03" w14:textId="77777777" w:rsidR="00265792" w:rsidRPr="00E62BD1" w:rsidRDefault="00265792">
      <w:pPr>
        <w:pStyle w:val="Heading6"/>
      </w:pPr>
      <w:r w:rsidRPr="00E62BD1">
        <w:t>Description of significant unobservable inputs to Level 3 valuations</w:t>
      </w:r>
    </w:p>
    <w:tbl>
      <w:tblPr>
        <w:tblStyle w:val="TableGrid"/>
        <w:tblW w:w="9639" w:type="dxa"/>
        <w:tblLayout w:type="fixed"/>
        <w:tblLook w:val="06E0" w:firstRow="1" w:lastRow="1" w:firstColumn="1" w:lastColumn="0" w:noHBand="1" w:noVBand="1"/>
      </w:tblPr>
      <w:tblGrid>
        <w:gridCol w:w="2495"/>
        <w:gridCol w:w="2948"/>
        <w:gridCol w:w="4196"/>
      </w:tblGrid>
      <w:tr w:rsidR="00265792" w:rsidRPr="00BA7805" w14:paraId="41CF1B8E" w14:textId="77777777" w:rsidTr="00784FE6">
        <w:trPr>
          <w:cnfStyle w:val="100000000000" w:firstRow="1" w:lastRow="0" w:firstColumn="0" w:lastColumn="0" w:oddVBand="0" w:evenVBand="0" w:oddHBand="0" w:evenHBand="0" w:firstRowFirstColumn="0" w:firstRowLastColumn="0" w:lastRowFirstColumn="0" w:lastRowLastColumn="0"/>
          <w:tblHeader/>
        </w:trPr>
        <w:tc>
          <w:tcPr>
            <w:tcW w:w="2495" w:type="dxa"/>
          </w:tcPr>
          <w:p w14:paraId="04BB7BB1" w14:textId="77777777" w:rsidR="00265792" w:rsidRPr="00BA7805" w:rsidRDefault="00265792" w:rsidP="002542E1">
            <w:pPr>
              <w:pStyle w:val="ARfintablecolhead"/>
              <w:rPr>
                <w:highlight w:val="green"/>
              </w:rPr>
            </w:pPr>
          </w:p>
        </w:tc>
        <w:tc>
          <w:tcPr>
            <w:tcW w:w="2948" w:type="dxa"/>
          </w:tcPr>
          <w:p w14:paraId="2784E3AF" w14:textId="77777777" w:rsidR="00265792" w:rsidRPr="00BA7805" w:rsidRDefault="00265792" w:rsidP="002542E1">
            <w:pPr>
              <w:pStyle w:val="ARfintablecolhead"/>
              <w:rPr>
                <w:highlight w:val="green"/>
              </w:rPr>
            </w:pPr>
            <w:r w:rsidRPr="00451382">
              <w:t>Valuation technique</w:t>
            </w:r>
            <w:r>
              <w:t xml:space="preserve"> </w:t>
            </w:r>
          </w:p>
        </w:tc>
        <w:tc>
          <w:tcPr>
            <w:tcW w:w="4196" w:type="dxa"/>
          </w:tcPr>
          <w:p w14:paraId="301F74C3" w14:textId="77777777" w:rsidR="00265792" w:rsidRPr="00BA7805" w:rsidRDefault="00265792" w:rsidP="002542E1">
            <w:pPr>
              <w:pStyle w:val="ARfintablecolhead"/>
              <w:rPr>
                <w:highlight w:val="green"/>
              </w:rPr>
            </w:pPr>
            <w:r w:rsidRPr="00451382">
              <w:t>Significant Unobservable Inputs</w:t>
            </w:r>
          </w:p>
        </w:tc>
      </w:tr>
      <w:tr w:rsidR="00265792" w:rsidRPr="00BA7805" w14:paraId="56CF692D" w14:textId="77777777" w:rsidTr="00784FE6">
        <w:tc>
          <w:tcPr>
            <w:tcW w:w="2495" w:type="dxa"/>
            <w:tcBorders>
              <w:top w:val="single" w:sz="4" w:space="0" w:color="000000" w:themeColor="text1"/>
              <w:bottom w:val="single" w:sz="4" w:space="0" w:color="auto"/>
            </w:tcBorders>
          </w:tcPr>
          <w:p w14:paraId="4160F1B3" w14:textId="77777777" w:rsidR="00265792" w:rsidRPr="00341BCA" w:rsidRDefault="00265792">
            <w:pPr>
              <w:pStyle w:val="ARfintablebodybold"/>
              <w:rPr>
                <w:rStyle w:val="CommentReference"/>
                <w:rFonts w:asciiTheme="minorHAnsi" w:eastAsiaTheme="minorHAnsi" w:hAnsiTheme="minorHAnsi" w:cstheme="minorBidi"/>
                <w:color w:val="auto"/>
                <w:sz w:val="18"/>
                <w:szCs w:val="18"/>
                <w:lang w:eastAsia="en-US"/>
              </w:rPr>
            </w:pPr>
            <w:r w:rsidRPr="0055703B">
              <w:t>Non-specialised land</w:t>
            </w:r>
          </w:p>
        </w:tc>
        <w:tc>
          <w:tcPr>
            <w:tcW w:w="2948" w:type="dxa"/>
            <w:tcBorders>
              <w:top w:val="single" w:sz="4" w:space="0" w:color="000000" w:themeColor="text1"/>
              <w:bottom w:val="single" w:sz="4" w:space="0" w:color="auto"/>
            </w:tcBorders>
          </w:tcPr>
          <w:p w14:paraId="3F253512" w14:textId="77777777" w:rsidR="00265792" w:rsidRPr="00C851C2" w:rsidRDefault="00265792" w:rsidP="00A52D32">
            <w:pPr>
              <w:pStyle w:val="ARfintablebody"/>
            </w:pPr>
            <w:r w:rsidRPr="0055703B">
              <w:t>Market approach</w:t>
            </w:r>
          </w:p>
        </w:tc>
        <w:tc>
          <w:tcPr>
            <w:tcW w:w="4196" w:type="dxa"/>
            <w:tcBorders>
              <w:top w:val="single" w:sz="4" w:space="0" w:color="000000" w:themeColor="text1"/>
              <w:bottom w:val="single" w:sz="4" w:space="0" w:color="auto"/>
            </w:tcBorders>
          </w:tcPr>
          <w:p w14:paraId="1171D39A" w14:textId="77777777" w:rsidR="00265792" w:rsidRPr="00C851C2" w:rsidRDefault="00265792" w:rsidP="00A52D32">
            <w:pPr>
              <w:pStyle w:val="ARfintablebody"/>
            </w:pPr>
            <w:r w:rsidRPr="0055703B">
              <w:t>Not applicable</w:t>
            </w:r>
          </w:p>
        </w:tc>
      </w:tr>
      <w:tr w:rsidR="00265792" w:rsidRPr="00BA7805" w14:paraId="48A2E4FC" w14:textId="77777777" w:rsidTr="00784FE6">
        <w:tc>
          <w:tcPr>
            <w:tcW w:w="2495" w:type="dxa"/>
            <w:tcBorders>
              <w:top w:val="single" w:sz="4" w:space="0" w:color="auto"/>
              <w:bottom w:val="single" w:sz="4" w:space="0" w:color="auto"/>
            </w:tcBorders>
          </w:tcPr>
          <w:p w14:paraId="6E02BFF5" w14:textId="77777777" w:rsidR="00265792" w:rsidRPr="00BA7805" w:rsidRDefault="00265792">
            <w:pPr>
              <w:pStyle w:val="ARfintablebodybold"/>
              <w:rPr>
                <w:rStyle w:val="Strong"/>
                <w:bCs/>
                <w:highlight w:val="green"/>
              </w:rPr>
            </w:pPr>
            <w:r w:rsidRPr="0055703B">
              <w:t>Specialised land</w:t>
            </w:r>
          </w:p>
        </w:tc>
        <w:tc>
          <w:tcPr>
            <w:tcW w:w="2948" w:type="dxa"/>
            <w:tcBorders>
              <w:top w:val="single" w:sz="4" w:space="0" w:color="auto"/>
              <w:bottom w:val="single" w:sz="4" w:space="0" w:color="auto"/>
            </w:tcBorders>
          </w:tcPr>
          <w:p w14:paraId="7A8B0752" w14:textId="77777777" w:rsidR="00265792" w:rsidRPr="00BA7805" w:rsidRDefault="00265792" w:rsidP="00A52D32">
            <w:pPr>
              <w:pStyle w:val="ARfintablebody"/>
              <w:rPr>
                <w:highlight w:val="green"/>
              </w:rPr>
            </w:pPr>
            <w:r w:rsidRPr="0055703B">
              <w:t>Market approach</w:t>
            </w:r>
          </w:p>
        </w:tc>
        <w:tc>
          <w:tcPr>
            <w:tcW w:w="4196" w:type="dxa"/>
            <w:tcBorders>
              <w:top w:val="single" w:sz="4" w:space="0" w:color="auto"/>
              <w:bottom w:val="single" w:sz="4" w:space="0" w:color="auto"/>
            </w:tcBorders>
          </w:tcPr>
          <w:p w14:paraId="42A4D597" w14:textId="3D8B0226" w:rsidR="00265792" w:rsidRPr="00BA7805" w:rsidRDefault="00265792" w:rsidP="00A52D32">
            <w:pPr>
              <w:pStyle w:val="ARfintablebody"/>
              <w:rPr>
                <w:highlight w:val="green"/>
              </w:rPr>
            </w:pPr>
            <w:r w:rsidRPr="0055703B">
              <w:t xml:space="preserve">Community </w:t>
            </w:r>
            <w:r w:rsidR="00D54EA4">
              <w:t>s</w:t>
            </w:r>
            <w:r w:rsidR="00D54EA4" w:rsidRPr="0055703B">
              <w:t xml:space="preserve">ervice </w:t>
            </w:r>
            <w:r w:rsidR="00D54EA4">
              <w:t>o</w:t>
            </w:r>
            <w:r w:rsidRPr="0055703B">
              <w:t>bligation (CSO) adjustment (rate 20</w:t>
            </w:r>
            <w:r w:rsidR="00D54EA4">
              <w:t>–</w:t>
            </w:r>
            <w:r w:rsidRPr="0055703B">
              <w:t>80%)</w:t>
            </w:r>
          </w:p>
        </w:tc>
      </w:tr>
      <w:tr w:rsidR="00265792" w:rsidRPr="00BA7805" w14:paraId="28D69AC6" w14:textId="77777777" w:rsidTr="00784FE6">
        <w:tc>
          <w:tcPr>
            <w:tcW w:w="2495" w:type="dxa"/>
            <w:tcBorders>
              <w:top w:val="single" w:sz="4" w:space="0" w:color="auto"/>
              <w:bottom w:val="single" w:sz="4" w:space="0" w:color="auto"/>
            </w:tcBorders>
          </w:tcPr>
          <w:p w14:paraId="2C377D4D" w14:textId="77777777" w:rsidR="00265792" w:rsidRPr="00BA7805" w:rsidRDefault="00265792">
            <w:pPr>
              <w:pStyle w:val="ARfintablebodybold"/>
              <w:rPr>
                <w:rStyle w:val="Strong"/>
                <w:bCs/>
                <w:highlight w:val="green"/>
              </w:rPr>
            </w:pPr>
            <w:r w:rsidRPr="0055703B">
              <w:t>Non-specialised buildings</w:t>
            </w:r>
          </w:p>
        </w:tc>
        <w:tc>
          <w:tcPr>
            <w:tcW w:w="2948" w:type="dxa"/>
            <w:tcBorders>
              <w:top w:val="single" w:sz="4" w:space="0" w:color="auto"/>
              <w:bottom w:val="single" w:sz="4" w:space="0" w:color="auto"/>
            </w:tcBorders>
          </w:tcPr>
          <w:p w14:paraId="67CEC012" w14:textId="77777777" w:rsidR="00265792" w:rsidRPr="00BA7805" w:rsidRDefault="00265792" w:rsidP="00A52D32">
            <w:pPr>
              <w:pStyle w:val="ARfintablebody"/>
              <w:rPr>
                <w:highlight w:val="green"/>
              </w:rPr>
            </w:pPr>
            <w:r w:rsidRPr="0055703B">
              <w:t>Market approach</w:t>
            </w:r>
          </w:p>
        </w:tc>
        <w:tc>
          <w:tcPr>
            <w:tcW w:w="4196" w:type="dxa"/>
            <w:tcBorders>
              <w:top w:val="single" w:sz="4" w:space="0" w:color="auto"/>
              <w:bottom w:val="single" w:sz="4" w:space="0" w:color="auto"/>
            </w:tcBorders>
          </w:tcPr>
          <w:p w14:paraId="01AB6F39" w14:textId="77777777" w:rsidR="00265792" w:rsidRPr="00BA7805" w:rsidRDefault="00265792" w:rsidP="00A52D32">
            <w:pPr>
              <w:pStyle w:val="ARfintablebody"/>
              <w:rPr>
                <w:highlight w:val="green"/>
              </w:rPr>
            </w:pPr>
            <w:r w:rsidRPr="0055703B">
              <w:t>Not applicable</w:t>
            </w:r>
          </w:p>
        </w:tc>
      </w:tr>
      <w:tr w:rsidR="00265792" w:rsidRPr="00BA7805" w14:paraId="00276ABD" w14:textId="77777777" w:rsidTr="00784FE6">
        <w:tc>
          <w:tcPr>
            <w:tcW w:w="2495" w:type="dxa"/>
            <w:tcBorders>
              <w:top w:val="single" w:sz="4" w:space="0" w:color="auto"/>
              <w:bottom w:val="nil"/>
            </w:tcBorders>
          </w:tcPr>
          <w:p w14:paraId="4BFC7932" w14:textId="77777777" w:rsidR="00265792" w:rsidRPr="00BA7805" w:rsidRDefault="00265792">
            <w:pPr>
              <w:pStyle w:val="ARfintablebodybold"/>
              <w:rPr>
                <w:rStyle w:val="Strong"/>
                <w:bCs/>
                <w:highlight w:val="green"/>
              </w:rPr>
            </w:pPr>
            <w:r w:rsidRPr="0055703B">
              <w:t>Specialised buildings</w:t>
            </w:r>
          </w:p>
        </w:tc>
        <w:tc>
          <w:tcPr>
            <w:tcW w:w="2948" w:type="dxa"/>
            <w:tcBorders>
              <w:top w:val="single" w:sz="4" w:space="0" w:color="auto"/>
              <w:bottom w:val="nil"/>
            </w:tcBorders>
          </w:tcPr>
          <w:p w14:paraId="2FC246C9" w14:textId="77777777" w:rsidR="00265792" w:rsidRPr="00BA7805" w:rsidRDefault="00265792" w:rsidP="00A52D32">
            <w:pPr>
              <w:pStyle w:val="ARfintablebody"/>
              <w:rPr>
                <w:highlight w:val="green"/>
              </w:rPr>
            </w:pPr>
            <w:r w:rsidRPr="0055703B">
              <w:t>Current replacement cost</w:t>
            </w:r>
          </w:p>
        </w:tc>
        <w:tc>
          <w:tcPr>
            <w:tcW w:w="4196" w:type="dxa"/>
            <w:tcBorders>
              <w:top w:val="single" w:sz="4" w:space="0" w:color="auto"/>
              <w:bottom w:val="single" w:sz="4" w:space="0" w:color="A6A6A6" w:themeColor="accent5"/>
            </w:tcBorders>
          </w:tcPr>
          <w:p w14:paraId="4B225BC5" w14:textId="77777777" w:rsidR="00265792" w:rsidRPr="00BA7805" w:rsidRDefault="00265792" w:rsidP="00A52D32">
            <w:pPr>
              <w:pStyle w:val="ARfintablebody"/>
              <w:rPr>
                <w:highlight w:val="green"/>
              </w:rPr>
            </w:pPr>
            <w:r w:rsidRPr="0055703B">
              <w:t>Direct cost per square metre</w:t>
            </w:r>
          </w:p>
        </w:tc>
      </w:tr>
      <w:tr w:rsidR="00265792" w:rsidRPr="00BA7805" w14:paraId="1C4F84AE" w14:textId="77777777" w:rsidTr="00784FE6">
        <w:tc>
          <w:tcPr>
            <w:tcW w:w="2495" w:type="dxa"/>
            <w:tcBorders>
              <w:top w:val="nil"/>
              <w:bottom w:val="single" w:sz="4" w:space="0" w:color="000000" w:themeColor="text1"/>
            </w:tcBorders>
          </w:tcPr>
          <w:p w14:paraId="033683CB" w14:textId="77777777" w:rsidR="00265792" w:rsidRPr="00BA7805" w:rsidRDefault="00265792">
            <w:pPr>
              <w:pStyle w:val="ARfintablebodybold"/>
              <w:rPr>
                <w:rStyle w:val="Strong"/>
                <w:bCs/>
                <w:highlight w:val="green"/>
              </w:rPr>
            </w:pPr>
          </w:p>
        </w:tc>
        <w:tc>
          <w:tcPr>
            <w:tcW w:w="2948" w:type="dxa"/>
            <w:tcBorders>
              <w:top w:val="nil"/>
              <w:bottom w:val="single" w:sz="4" w:space="0" w:color="000000" w:themeColor="text1"/>
            </w:tcBorders>
          </w:tcPr>
          <w:p w14:paraId="5D6ABFE3" w14:textId="77777777" w:rsidR="00265792" w:rsidRPr="00BA7805" w:rsidRDefault="00265792" w:rsidP="00A52D32">
            <w:pPr>
              <w:pStyle w:val="ARfintablebody"/>
              <w:rPr>
                <w:highlight w:val="green"/>
              </w:rPr>
            </w:pPr>
          </w:p>
        </w:tc>
        <w:tc>
          <w:tcPr>
            <w:tcW w:w="4196" w:type="dxa"/>
            <w:tcBorders>
              <w:top w:val="single" w:sz="4" w:space="0" w:color="A6A6A6" w:themeColor="accent5"/>
            </w:tcBorders>
          </w:tcPr>
          <w:p w14:paraId="63505812" w14:textId="77777777" w:rsidR="00265792" w:rsidRPr="00BA7805" w:rsidRDefault="00265792" w:rsidP="00A52D32">
            <w:pPr>
              <w:pStyle w:val="ARfintablebody"/>
              <w:rPr>
                <w:highlight w:val="green"/>
              </w:rPr>
            </w:pPr>
            <w:r w:rsidRPr="0055703B">
              <w:t>Useful life of specialised buildings</w:t>
            </w:r>
          </w:p>
        </w:tc>
      </w:tr>
      <w:tr w:rsidR="00265792" w:rsidRPr="00BA7805" w14:paraId="2AA5C65E" w14:textId="77777777" w:rsidTr="00784FE6">
        <w:trPr>
          <w:cnfStyle w:val="010000000000" w:firstRow="0" w:lastRow="1" w:firstColumn="0" w:lastColumn="0" w:oddVBand="0" w:evenVBand="0" w:oddHBand="0" w:evenHBand="0" w:firstRowFirstColumn="0" w:firstRowLastColumn="0" w:lastRowFirstColumn="0" w:lastRowLastColumn="0"/>
        </w:trPr>
        <w:tc>
          <w:tcPr>
            <w:tcW w:w="2495" w:type="dxa"/>
          </w:tcPr>
          <w:p w14:paraId="31A1CE65" w14:textId="77777777" w:rsidR="00265792" w:rsidRPr="00BA7805" w:rsidRDefault="00265792">
            <w:pPr>
              <w:pStyle w:val="ARfintablebodybold"/>
              <w:rPr>
                <w:rStyle w:val="Strong"/>
                <w:bCs/>
                <w:highlight w:val="green"/>
              </w:rPr>
            </w:pPr>
            <w:r w:rsidRPr="0055703B">
              <w:t>Plant and equipment</w:t>
            </w:r>
          </w:p>
        </w:tc>
        <w:tc>
          <w:tcPr>
            <w:tcW w:w="2948" w:type="dxa"/>
          </w:tcPr>
          <w:p w14:paraId="2777C199" w14:textId="77777777" w:rsidR="00265792" w:rsidRPr="00BA7805" w:rsidRDefault="00265792" w:rsidP="00A52D32">
            <w:pPr>
              <w:pStyle w:val="ARfintablebody"/>
              <w:rPr>
                <w:highlight w:val="green"/>
              </w:rPr>
            </w:pPr>
            <w:r w:rsidRPr="0055703B">
              <w:t>Current replacement cost</w:t>
            </w:r>
          </w:p>
        </w:tc>
        <w:tc>
          <w:tcPr>
            <w:tcW w:w="4196" w:type="dxa"/>
          </w:tcPr>
          <w:p w14:paraId="384ADA4E" w14:textId="77777777" w:rsidR="00265792" w:rsidRPr="00BA7805" w:rsidRDefault="00265792" w:rsidP="00A52D32">
            <w:pPr>
              <w:pStyle w:val="ARfintablebody"/>
              <w:rPr>
                <w:highlight w:val="green"/>
              </w:rPr>
            </w:pPr>
            <w:r w:rsidRPr="0055703B">
              <w:t>Useful life of equipment</w:t>
            </w:r>
          </w:p>
        </w:tc>
      </w:tr>
    </w:tbl>
    <w:p w14:paraId="34B7CA6F" w14:textId="77777777" w:rsidR="00265792" w:rsidRPr="00BA7805" w:rsidRDefault="00265792" w:rsidP="00A52D32">
      <w:pPr>
        <w:pStyle w:val="ARfintablefootnote"/>
        <w:rPr>
          <w:highlight w:val="green"/>
        </w:rPr>
      </w:pPr>
      <w:r w:rsidRPr="00646C7D">
        <w:t>Significant unobservable inputs have remained unchanged since June 2021.</w:t>
      </w:r>
    </w:p>
    <w:p w14:paraId="09DDC657" w14:textId="77777777" w:rsidR="00265792" w:rsidRPr="00BA7805" w:rsidRDefault="00265792">
      <w:pPr>
        <w:pStyle w:val="ARfinbody"/>
        <w:rPr>
          <w:highlight w:val="green"/>
        </w:rPr>
      </w:pPr>
      <w:r w:rsidRPr="00BA7805">
        <w:rPr>
          <w:highlight w:val="green"/>
        </w:rPr>
        <w:br w:type="page"/>
      </w:r>
    </w:p>
    <w:p w14:paraId="1C0EAC0F" w14:textId="77777777" w:rsidR="00265792" w:rsidRPr="001854B3" w:rsidRDefault="00265792">
      <w:pPr>
        <w:pStyle w:val="Heading3"/>
      </w:pPr>
      <w:bookmarkStart w:id="283" w:name="_9._Other_disclosures"/>
      <w:bookmarkStart w:id="284" w:name="_Toc212041664"/>
      <w:bookmarkEnd w:id="283"/>
      <w:r w:rsidRPr="001854B3">
        <w:lastRenderedPageBreak/>
        <w:t>9. Other disclosures</w:t>
      </w:r>
      <w:bookmarkEnd w:id="284"/>
    </w:p>
    <w:p w14:paraId="79EB749E" w14:textId="77777777" w:rsidR="00265792" w:rsidRPr="001854B3" w:rsidRDefault="00265792">
      <w:pPr>
        <w:pStyle w:val="Heading4"/>
        <w:rPr>
          <w:lang w:eastAsia="en-AU"/>
        </w:rPr>
      </w:pPr>
      <w:r w:rsidRPr="001854B3">
        <w:rPr>
          <w:lang w:eastAsia="en-AU"/>
        </w:rPr>
        <w:t>Introduction</w:t>
      </w:r>
    </w:p>
    <w:p w14:paraId="58E5C1F1" w14:textId="77777777" w:rsidR="00265792" w:rsidRDefault="00265792" w:rsidP="00A52D32">
      <w:pPr>
        <w:pStyle w:val="ARfinbodylargespace"/>
      </w:pPr>
      <w:r>
        <w:t>This section includes additional material disclosures required by accounting standards or otherwise, for the understanding of this financial report.</w:t>
      </w:r>
    </w:p>
    <w:p w14:paraId="014E0DCD" w14:textId="77777777" w:rsidR="00265792" w:rsidRDefault="00265792" w:rsidP="00A52D32">
      <w:pPr>
        <w:pStyle w:val="Heading4"/>
      </w:pPr>
      <w:r>
        <w:t>Structure</w:t>
      </w:r>
    </w:p>
    <w:p w14:paraId="2A741D62" w14:textId="18DE3769" w:rsidR="00265792" w:rsidRDefault="00265792" w:rsidP="00A52D32">
      <w:pPr>
        <w:pStyle w:val="ARfinstructure1"/>
      </w:pPr>
      <w:r>
        <w:t xml:space="preserve">9.1 </w:t>
      </w:r>
      <w:r>
        <w:tab/>
        <w:t>Ex</w:t>
      </w:r>
      <w:r w:rsidR="001F2C79">
        <w:t xml:space="preserve"> </w:t>
      </w:r>
      <w:r>
        <w:t>gratia expenses</w:t>
      </w:r>
    </w:p>
    <w:p w14:paraId="4397FD03" w14:textId="77777777" w:rsidR="00265792" w:rsidRDefault="00265792" w:rsidP="00A52D32">
      <w:pPr>
        <w:pStyle w:val="ARfinstructure1"/>
      </w:pPr>
      <w:r>
        <w:t xml:space="preserve">9.2 </w:t>
      </w:r>
      <w:r>
        <w:tab/>
        <w:t>Other economic flows included in net result</w:t>
      </w:r>
    </w:p>
    <w:p w14:paraId="38D23B36" w14:textId="77777777" w:rsidR="00265792" w:rsidRDefault="00265792" w:rsidP="00A52D32">
      <w:pPr>
        <w:pStyle w:val="ARfinstructure1"/>
      </w:pPr>
      <w:r>
        <w:t xml:space="preserve">9.3 </w:t>
      </w:r>
      <w:r>
        <w:tab/>
        <w:t>Reserves</w:t>
      </w:r>
    </w:p>
    <w:p w14:paraId="743663FA" w14:textId="77777777" w:rsidR="00265792" w:rsidRDefault="00265792" w:rsidP="00A52D32">
      <w:pPr>
        <w:pStyle w:val="ARfinstructure1"/>
      </w:pPr>
      <w:r>
        <w:t xml:space="preserve">9.4 </w:t>
      </w:r>
      <w:r>
        <w:tab/>
        <w:t>Entities included in the Department of Families, Fairness and Housing financial statements pursuant to section 53(1)(b) of the FMA</w:t>
      </w:r>
    </w:p>
    <w:p w14:paraId="65A65418" w14:textId="77777777" w:rsidR="00265792" w:rsidRDefault="00265792" w:rsidP="00A52D32">
      <w:pPr>
        <w:pStyle w:val="ARfinstructure1"/>
      </w:pPr>
      <w:r>
        <w:t xml:space="preserve">9.5 </w:t>
      </w:r>
      <w:r>
        <w:tab/>
        <w:t>Responsible persons</w:t>
      </w:r>
    </w:p>
    <w:p w14:paraId="38F51AAD" w14:textId="77777777" w:rsidR="00265792" w:rsidRDefault="00265792" w:rsidP="00A52D32">
      <w:pPr>
        <w:pStyle w:val="ARfinstructure1"/>
      </w:pPr>
      <w:r>
        <w:t xml:space="preserve">9.6 </w:t>
      </w:r>
      <w:r>
        <w:tab/>
        <w:t>Remuneration of executives</w:t>
      </w:r>
    </w:p>
    <w:p w14:paraId="2E0D1F4A" w14:textId="77777777" w:rsidR="00265792" w:rsidRDefault="00265792" w:rsidP="00A52D32">
      <w:pPr>
        <w:pStyle w:val="ARfinstructure1"/>
      </w:pPr>
      <w:r>
        <w:t xml:space="preserve">9.7 </w:t>
      </w:r>
      <w:r>
        <w:tab/>
        <w:t>Related parties</w:t>
      </w:r>
    </w:p>
    <w:p w14:paraId="48761573" w14:textId="77777777" w:rsidR="00265792" w:rsidRDefault="00265792" w:rsidP="00A52D32">
      <w:pPr>
        <w:pStyle w:val="ARfinstructure1"/>
      </w:pPr>
      <w:r>
        <w:t xml:space="preserve">9.8 </w:t>
      </w:r>
      <w:r>
        <w:tab/>
        <w:t>Remuneration of auditors</w:t>
      </w:r>
    </w:p>
    <w:p w14:paraId="7521C620" w14:textId="77777777" w:rsidR="00265792" w:rsidRDefault="00265792" w:rsidP="00A52D32">
      <w:pPr>
        <w:pStyle w:val="ARfinstructure1"/>
      </w:pPr>
      <w:r>
        <w:t xml:space="preserve">9.9 </w:t>
      </w:r>
      <w:r>
        <w:tab/>
        <w:t>Subsequent events</w:t>
      </w:r>
    </w:p>
    <w:p w14:paraId="2BBAA24D" w14:textId="77777777" w:rsidR="00265792" w:rsidRDefault="00265792" w:rsidP="00A52D32">
      <w:pPr>
        <w:pStyle w:val="ARfinstructure1"/>
      </w:pPr>
      <w:r>
        <w:t xml:space="preserve">9.10 </w:t>
      </w:r>
      <w:r>
        <w:tab/>
        <w:t>Other accounting policies</w:t>
      </w:r>
    </w:p>
    <w:p w14:paraId="31F1345F" w14:textId="77777777" w:rsidR="00265792" w:rsidRDefault="00265792" w:rsidP="00A52D32">
      <w:pPr>
        <w:pStyle w:val="ARfinstructure1"/>
      </w:pPr>
      <w:r>
        <w:t xml:space="preserve">9.11 </w:t>
      </w:r>
      <w:r>
        <w:tab/>
        <w:t>Australian Accounting Standards issued that are not yet effective</w:t>
      </w:r>
    </w:p>
    <w:p w14:paraId="0D72F688" w14:textId="77777777" w:rsidR="00265792" w:rsidRDefault="00265792" w:rsidP="00A52D32">
      <w:pPr>
        <w:pStyle w:val="ARfinstructure1"/>
      </w:pPr>
      <w:r>
        <w:t xml:space="preserve">9.12 </w:t>
      </w:r>
      <w:r>
        <w:tab/>
        <w:t>Glossary of technical terms</w:t>
      </w:r>
    </w:p>
    <w:p w14:paraId="0E6886F7" w14:textId="77777777" w:rsidR="00265792" w:rsidRDefault="00265792" w:rsidP="00A52D32">
      <w:pPr>
        <w:pStyle w:val="ARfinstructure1"/>
      </w:pPr>
      <w:r>
        <w:t xml:space="preserve">9.13 </w:t>
      </w:r>
      <w:r>
        <w:tab/>
        <w:t>Style conventions</w:t>
      </w:r>
    </w:p>
    <w:p w14:paraId="5B0E771D" w14:textId="20007530" w:rsidR="00265792" w:rsidRDefault="00265792" w:rsidP="00A52D32">
      <w:pPr>
        <w:pStyle w:val="Heading5"/>
      </w:pPr>
      <w:r>
        <w:t xml:space="preserve">9.1 </w:t>
      </w:r>
      <w:bookmarkStart w:id="285" w:name="Exgratiaexpenses"/>
      <w:r>
        <w:t>Ex</w:t>
      </w:r>
      <w:r w:rsidR="001F2C79">
        <w:t xml:space="preserve"> </w:t>
      </w:r>
      <w:r>
        <w:t>gratia expenses</w:t>
      </w:r>
      <w:bookmarkEnd w:id="285"/>
    </w:p>
    <w:p w14:paraId="54FC7504" w14:textId="4C9C7533" w:rsidR="00265792" w:rsidRDefault="00265792">
      <w:pPr>
        <w:pStyle w:val="ARfinbody"/>
      </w:pPr>
      <w:r>
        <w:t>Ex</w:t>
      </w:r>
      <w:r w:rsidR="001F2C79">
        <w:t xml:space="preserve"> </w:t>
      </w:r>
      <w:r>
        <w:t>gratia expenses are the voluntary payments of money or other non-monetary benefit (for example a write off) that is not made either to acquire goods, services or other benefits for the entity or to meet a legal liability, or to settle or resolve a possible legal liability of or claim against the entity.</w:t>
      </w:r>
    </w:p>
    <w:p w14:paraId="7422005A" w14:textId="6FD74AC3" w:rsidR="001A7DDA" w:rsidRDefault="00265792">
      <w:pPr>
        <w:pStyle w:val="ARfinbody"/>
      </w:pPr>
      <w:r>
        <w:t xml:space="preserve">There were no </w:t>
      </w:r>
      <w:proofErr w:type="gramStart"/>
      <w:r>
        <w:t>ex</w:t>
      </w:r>
      <w:r w:rsidR="001F2C79">
        <w:t xml:space="preserve"> </w:t>
      </w:r>
      <w:r>
        <w:t>gratia</w:t>
      </w:r>
      <w:proofErr w:type="gramEnd"/>
      <w:r>
        <w:t xml:space="preserve"> expense items greater than or equal to $5,000 in the current and previous year.</w:t>
      </w:r>
      <w:r w:rsidR="001A7DDA">
        <w:br w:type="page"/>
      </w:r>
    </w:p>
    <w:p w14:paraId="57747E18" w14:textId="77777777" w:rsidR="00265792" w:rsidRDefault="00265792" w:rsidP="00A52D32">
      <w:pPr>
        <w:pStyle w:val="Heading5"/>
      </w:pPr>
      <w:r>
        <w:lastRenderedPageBreak/>
        <w:t>9.2 Other economic flows included in net result</w:t>
      </w:r>
    </w:p>
    <w:p w14:paraId="2B16533C" w14:textId="77777777" w:rsidR="00265792" w:rsidRDefault="00265792">
      <w:pPr>
        <w:pStyle w:val="ARfinbody"/>
      </w:pPr>
      <w:r>
        <w:t xml:space="preserve">Other economic flows are changes in the volume or value of an asset or liability that do not result from transactions. Other gains/(losses) from other economic flows include the gains or losses from: </w:t>
      </w:r>
    </w:p>
    <w:p w14:paraId="1283E996" w14:textId="77777777" w:rsidR="00265792" w:rsidRDefault="00265792" w:rsidP="00A52D32">
      <w:pPr>
        <w:pStyle w:val="ARfinbullet1"/>
      </w:pPr>
      <w:r>
        <w:t>the revaluation of the present value of the long service leave liability due to changes in the bond interest rates and the effects of changes in actuarial assumptions</w:t>
      </w:r>
    </w:p>
    <w:p w14:paraId="69A4C93A" w14:textId="77777777" w:rsidR="00265792" w:rsidRDefault="00265792" w:rsidP="00A52D32">
      <w:pPr>
        <w:pStyle w:val="ARfinbullet1"/>
      </w:pPr>
      <w:r>
        <w:t>other revaluations on the value of outstanding insurance claims and liabilities</w:t>
      </w:r>
    </w:p>
    <w:p w14:paraId="71C89693" w14:textId="77777777" w:rsidR="00265792" w:rsidRDefault="00265792" w:rsidP="00A52D32">
      <w:pPr>
        <w:pStyle w:val="ARfinbullet1"/>
      </w:pPr>
      <w:r>
        <w:t>bad debt expenses.</w:t>
      </w:r>
    </w:p>
    <w:tbl>
      <w:tblPr>
        <w:tblStyle w:val="TableGrid"/>
        <w:tblW w:w="5000" w:type="pct"/>
        <w:tblLayout w:type="fixed"/>
        <w:tblLook w:val="04E0" w:firstRow="1" w:lastRow="1" w:firstColumn="1" w:lastColumn="0" w:noHBand="0" w:noVBand="1"/>
      </w:tblPr>
      <w:tblGrid>
        <w:gridCol w:w="7033"/>
        <w:gridCol w:w="1299"/>
        <w:gridCol w:w="1300"/>
      </w:tblGrid>
      <w:tr w:rsidR="00265792" w:rsidRPr="00B73580" w14:paraId="7EC860A2" w14:textId="77777777" w:rsidTr="00D930D0">
        <w:trPr>
          <w:cnfStyle w:val="100000000000" w:firstRow="1" w:lastRow="0" w:firstColumn="0" w:lastColumn="0" w:oddVBand="0" w:evenVBand="0" w:oddHBand="0" w:evenHBand="0" w:firstRowFirstColumn="0" w:firstRowLastColumn="0" w:lastRowFirstColumn="0" w:lastRowLastColumn="0"/>
          <w:trHeight w:val="575"/>
          <w:tblHeader/>
        </w:trPr>
        <w:tc>
          <w:tcPr>
            <w:tcW w:w="7033" w:type="dxa"/>
            <w:noWrap/>
            <w:hideMark/>
          </w:tcPr>
          <w:p w14:paraId="00DE602A" w14:textId="77777777" w:rsidR="00265792" w:rsidRPr="00B73580" w:rsidRDefault="00265792" w:rsidP="00B73580">
            <w:pPr>
              <w:pStyle w:val="ARfintablebody"/>
              <w:rPr>
                <w:lang w:val="en-US"/>
              </w:rPr>
            </w:pPr>
          </w:p>
        </w:tc>
        <w:tc>
          <w:tcPr>
            <w:tcW w:w="1299" w:type="dxa"/>
            <w:shd w:val="clear" w:color="auto" w:fill="EEEEEF" w:themeFill="accent4"/>
            <w:noWrap/>
            <w:hideMark/>
          </w:tcPr>
          <w:p w14:paraId="6E1BD511" w14:textId="77777777" w:rsidR="00265792" w:rsidRPr="00B73580" w:rsidRDefault="00265792" w:rsidP="00D32290">
            <w:pPr>
              <w:pStyle w:val="ARfintablecolheadright"/>
              <w:rPr>
                <w:lang w:val="en-US"/>
              </w:rPr>
            </w:pPr>
            <w:r w:rsidRPr="00B73580">
              <w:rPr>
                <w:lang w:val="en-US"/>
              </w:rPr>
              <w:t>2025</w:t>
            </w:r>
          </w:p>
          <w:p w14:paraId="3CC9D4A7" w14:textId="77777777" w:rsidR="00265792" w:rsidRPr="00B73580" w:rsidRDefault="00265792" w:rsidP="00D32290">
            <w:pPr>
              <w:pStyle w:val="ARfintablecolheadright"/>
              <w:rPr>
                <w:lang w:val="en-US"/>
              </w:rPr>
            </w:pPr>
            <w:r w:rsidRPr="00B73580">
              <w:rPr>
                <w:lang w:val="en-US"/>
              </w:rPr>
              <w:t>$M</w:t>
            </w:r>
          </w:p>
        </w:tc>
        <w:tc>
          <w:tcPr>
            <w:tcW w:w="1300" w:type="dxa"/>
            <w:noWrap/>
            <w:hideMark/>
          </w:tcPr>
          <w:p w14:paraId="25EFEA34" w14:textId="77777777" w:rsidR="00265792" w:rsidRPr="00B73580" w:rsidRDefault="00265792" w:rsidP="00D32290">
            <w:pPr>
              <w:pStyle w:val="ARfintablecolheadright"/>
              <w:rPr>
                <w:lang w:val="en-US"/>
              </w:rPr>
            </w:pPr>
            <w:r w:rsidRPr="00B73580">
              <w:rPr>
                <w:lang w:val="en-US"/>
              </w:rPr>
              <w:t>2024</w:t>
            </w:r>
          </w:p>
          <w:p w14:paraId="7FF89711" w14:textId="77777777" w:rsidR="00265792" w:rsidRPr="00B73580" w:rsidRDefault="00265792" w:rsidP="00D32290">
            <w:pPr>
              <w:pStyle w:val="ARfintablecolheadright"/>
              <w:rPr>
                <w:lang w:val="en-US"/>
              </w:rPr>
            </w:pPr>
            <w:r w:rsidRPr="00B73580">
              <w:rPr>
                <w:lang w:val="en-US"/>
              </w:rPr>
              <w:t>$M</w:t>
            </w:r>
          </w:p>
        </w:tc>
      </w:tr>
      <w:tr w:rsidR="00265792" w:rsidRPr="00B73580" w14:paraId="152FBEC7" w14:textId="77777777" w:rsidTr="00D930D0">
        <w:trPr>
          <w:trHeight w:val="255"/>
        </w:trPr>
        <w:tc>
          <w:tcPr>
            <w:tcW w:w="7033" w:type="dxa"/>
            <w:noWrap/>
            <w:hideMark/>
          </w:tcPr>
          <w:p w14:paraId="6830119F" w14:textId="77777777" w:rsidR="00265792" w:rsidRPr="00B73580" w:rsidRDefault="00265792" w:rsidP="00D930D0">
            <w:pPr>
              <w:pStyle w:val="ARfintablebodyboldcoloured"/>
              <w:rPr>
                <w:lang w:val="en-US"/>
              </w:rPr>
            </w:pPr>
            <w:r w:rsidRPr="00B73580">
              <w:rPr>
                <w:lang w:val="en-US"/>
              </w:rPr>
              <w:t xml:space="preserve">(a) Net </w:t>
            </w:r>
            <w:proofErr w:type="gramStart"/>
            <w:r w:rsidRPr="00B73580">
              <w:rPr>
                <w:lang w:val="en-US"/>
              </w:rPr>
              <w:t>gain/(</w:t>
            </w:r>
            <w:proofErr w:type="gramEnd"/>
            <w:r w:rsidRPr="00B73580">
              <w:rPr>
                <w:lang w:val="en-US"/>
              </w:rPr>
              <w:t>loss) on non-financial assets</w:t>
            </w:r>
          </w:p>
        </w:tc>
        <w:tc>
          <w:tcPr>
            <w:tcW w:w="1299" w:type="dxa"/>
            <w:noWrap/>
            <w:hideMark/>
          </w:tcPr>
          <w:p w14:paraId="1720FAD3" w14:textId="77777777" w:rsidR="00265792" w:rsidRPr="00B73580" w:rsidRDefault="00265792" w:rsidP="00B73580">
            <w:pPr>
              <w:pStyle w:val="ARfintablebodyright"/>
              <w:rPr>
                <w:lang w:val="en-US"/>
              </w:rPr>
            </w:pPr>
          </w:p>
        </w:tc>
        <w:tc>
          <w:tcPr>
            <w:tcW w:w="1300" w:type="dxa"/>
            <w:noWrap/>
            <w:hideMark/>
          </w:tcPr>
          <w:p w14:paraId="67432001" w14:textId="77777777" w:rsidR="00265792" w:rsidRPr="00B73580" w:rsidRDefault="00265792" w:rsidP="00B73580">
            <w:pPr>
              <w:pStyle w:val="ARfintablebodyright"/>
              <w:rPr>
                <w:lang w:val="en-US"/>
              </w:rPr>
            </w:pPr>
          </w:p>
        </w:tc>
      </w:tr>
      <w:tr w:rsidR="00265792" w:rsidRPr="00B73580" w14:paraId="268243B4" w14:textId="77777777" w:rsidTr="00D930D0">
        <w:trPr>
          <w:trHeight w:val="255"/>
        </w:trPr>
        <w:tc>
          <w:tcPr>
            <w:tcW w:w="7033" w:type="dxa"/>
            <w:noWrap/>
            <w:hideMark/>
          </w:tcPr>
          <w:p w14:paraId="63B687CC" w14:textId="77777777" w:rsidR="00265792" w:rsidRPr="00B73580" w:rsidRDefault="00265792" w:rsidP="00D930D0">
            <w:pPr>
              <w:pStyle w:val="ARfintablebodybold"/>
              <w:rPr>
                <w:lang w:val="en-US"/>
              </w:rPr>
            </w:pPr>
            <w:bookmarkStart w:id="286" w:name="nonfinancialassets203"/>
            <w:r w:rsidRPr="00B73580">
              <w:rPr>
                <w:lang w:val="en-US"/>
              </w:rPr>
              <w:t>Proceeds from disposal of non-financial physical assets</w:t>
            </w:r>
            <w:bookmarkEnd w:id="286"/>
          </w:p>
        </w:tc>
        <w:tc>
          <w:tcPr>
            <w:tcW w:w="1299" w:type="dxa"/>
            <w:noWrap/>
            <w:hideMark/>
          </w:tcPr>
          <w:p w14:paraId="6C847D17" w14:textId="77777777" w:rsidR="00265792" w:rsidRPr="00B73580" w:rsidRDefault="00265792" w:rsidP="00B73580">
            <w:pPr>
              <w:pStyle w:val="ARfintablebodyright"/>
              <w:rPr>
                <w:lang w:val="en-US"/>
              </w:rPr>
            </w:pPr>
          </w:p>
        </w:tc>
        <w:tc>
          <w:tcPr>
            <w:tcW w:w="1300" w:type="dxa"/>
            <w:noWrap/>
            <w:hideMark/>
          </w:tcPr>
          <w:p w14:paraId="31BFCF58" w14:textId="77777777" w:rsidR="00265792" w:rsidRPr="00B73580" w:rsidRDefault="00265792" w:rsidP="00B73580">
            <w:pPr>
              <w:pStyle w:val="ARfintablebodyright"/>
              <w:rPr>
                <w:lang w:val="en-US"/>
              </w:rPr>
            </w:pPr>
          </w:p>
        </w:tc>
      </w:tr>
      <w:tr w:rsidR="00265792" w:rsidRPr="00B73580" w14:paraId="424F8283" w14:textId="77777777" w:rsidTr="00D930D0">
        <w:trPr>
          <w:trHeight w:val="255"/>
        </w:trPr>
        <w:tc>
          <w:tcPr>
            <w:tcW w:w="7033" w:type="dxa"/>
            <w:noWrap/>
            <w:hideMark/>
          </w:tcPr>
          <w:p w14:paraId="6E6C16F8" w14:textId="77777777" w:rsidR="00265792" w:rsidRPr="00B73580" w:rsidRDefault="00265792" w:rsidP="00B73580">
            <w:pPr>
              <w:pStyle w:val="ARfintablebody"/>
              <w:rPr>
                <w:lang w:val="en-US"/>
              </w:rPr>
            </w:pPr>
            <w:r w:rsidRPr="00B73580">
              <w:rPr>
                <w:lang w:val="en-US"/>
              </w:rPr>
              <w:t>Land</w:t>
            </w:r>
          </w:p>
        </w:tc>
        <w:tc>
          <w:tcPr>
            <w:tcW w:w="1299" w:type="dxa"/>
            <w:shd w:val="clear" w:color="auto" w:fill="EEEEEF" w:themeFill="accent4"/>
            <w:noWrap/>
            <w:hideMark/>
          </w:tcPr>
          <w:p w14:paraId="43BA2C58" w14:textId="77777777" w:rsidR="00265792" w:rsidRPr="00B73580" w:rsidRDefault="00265792" w:rsidP="00B73580">
            <w:pPr>
              <w:pStyle w:val="ARfintablebodyright"/>
              <w:rPr>
                <w:lang w:val="en-US"/>
              </w:rPr>
            </w:pPr>
            <w:r w:rsidRPr="00B73580">
              <w:rPr>
                <w:lang w:val="en-US"/>
              </w:rPr>
              <w:t>48.5</w:t>
            </w:r>
          </w:p>
        </w:tc>
        <w:tc>
          <w:tcPr>
            <w:tcW w:w="1300" w:type="dxa"/>
            <w:noWrap/>
            <w:hideMark/>
          </w:tcPr>
          <w:p w14:paraId="5843F65F" w14:textId="77777777" w:rsidR="00265792" w:rsidRPr="00B73580" w:rsidRDefault="00265792" w:rsidP="00B73580">
            <w:pPr>
              <w:pStyle w:val="ARfintablebodyright"/>
              <w:rPr>
                <w:lang w:val="en-US"/>
              </w:rPr>
            </w:pPr>
            <w:r w:rsidRPr="00B73580">
              <w:rPr>
                <w:lang w:val="en-US"/>
              </w:rPr>
              <w:t>226.4</w:t>
            </w:r>
          </w:p>
        </w:tc>
      </w:tr>
      <w:tr w:rsidR="00265792" w:rsidRPr="00B73580" w14:paraId="480742A8" w14:textId="77777777" w:rsidTr="00D930D0">
        <w:trPr>
          <w:trHeight w:val="255"/>
        </w:trPr>
        <w:tc>
          <w:tcPr>
            <w:tcW w:w="7033" w:type="dxa"/>
            <w:noWrap/>
            <w:hideMark/>
          </w:tcPr>
          <w:p w14:paraId="7F4EB9EC" w14:textId="77777777" w:rsidR="00265792" w:rsidRPr="00B73580" w:rsidRDefault="00265792" w:rsidP="00B73580">
            <w:pPr>
              <w:pStyle w:val="ARfintablebody"/>
              <w:rPr>
                <w:lang w:val="en-US"/>
              </w:rPr>
            </w:pPr>
            <w:r w:rsidRPr="00B73580">
              <w:rPr>
                <w:lang w:val="en-US"/>
              </w:rPr>
              <w:t>Buildings</w:t>
            </w:r>
          </w:p>
        </w:tc>
        <w:tc>
          <w:tcPr>
            <w:tcW w:w="1299" w:type="dxa"/>
            <w:shd w:val="clear" w:color="auto" w:fill="EEEEEF" w:themeFill="accent4"/>
            <w:noWrap/>
            <w:hideMark/>
          </w:tcPr>
          <w:p w14:paraId="0A3F86E0" w14:textId="77777777" w:rsidR="00265792" w:rsidRPr="00B73580" w:rsidRDefault="00265792" w:rsidP="00B73580">
            <w:pPr>
              <w:pStyle w:val="ARfintablebodyright"/>
              <w:rPr>
                <w:lang w:val="en-US"/>
              </w:rPr>
            </w:pPr>
            <w:r w:rsidRPr="00B73580">
              <w:rPr>
                <w:lang w:val="en-US"/>
              </w:rPr>
              <w:t>40.3</w:t>
            </w:r>
          </w:p>
        </w:tc>
        <w:tc>
          <w:tcPr>
            <w:tcW w:w="1300" w:type="dxa"/>
            <w:noWrap/>
            <w:hideMark/>
          </w:tcPr>
          <w:p w14:paraId="422607D5" w14:textId="77777777" w:rsidR="00265792" w:rsidRPr="00B73580" w:rsidRDefault="00265792" w:rsidP="00B73580">
            <w:pPr>
              <w:pStyle w:val="ARfintablebodyright"/>
              <w:rPr>
                <w:lang w:val="en-US"/>
              </w:rPr>
            </w:pPr>
            <w:r w:rsidRPr="00B73580">
              <w:rPr>
                <w:lang w:val="en-US"/>
              </w:rPr>
              <w:t>47.3</w:t>
            </w:r>
          </w:p>
        </w:tc>
      </w:tr>
      <w:tr w:rsidR="00265792" w:rsidRPr="00B73580" w14:paraId="12DB0EA2" w14:textId="77777777" w:rsidTr="00D930D0">
        <w:trPr>
          <w:trHeight w:val="255"/>
        </w:trPr>
        <w:tc>
          <w:tcPr>
            <w:tcW w:w="7033" w:type="dxa"/>
            <w:tcBorders>
              <w:bottom w:val="single" w:sz="4" w:space="0" w:color="A6A6A6" w:themeColor="accent5"/>
            </w:tcBorders>
            <w:noWrap/>
            <w:hideMark/>
          </w:tcPr>
          <w:p w14:paraId="5994FD6C" w14:textId="77777777" w:rsidR="00265792" w:rsidRPr="00B73580" w:rsidRDefault="00265792" w:rsidP="00B73580">
            <w:pPr>
              <w:pStyle w:val="ARfintablebody"/>
              <w:rPr>
                <w:lang w:val="en-US"/>
              </w:rPr>
            </w:pPr>
            <w:r w:rsidRPr="00B73580">
              <w:rPr>
                <w:lang w:val="en-US"/>
              </w:rPr>
              <w:t>Shared home ownership scheme</w:t>
            </w:r>
          </w:p>
        </w:tc>
        <w:tc>
          <w:tcPr>
            <w:tcW w:w="1299" w:type="dxa"/>
            <w:tcBorders>
              <w:bottom w:val="single" w:sz="4" w:space="0" w:color="A6A6A6" w:themeColor="accent5"/>
            </w:tcBorders>
            <w:shd w:val="clear" w:color="auto" w:fill="EEEEEF" w:themeFill="accent4"/>
            <w:noWrap/>
            <w:hideMark/>
          </w:tcPr>
          <w:p w14:paraId="43CB02A2" w14:textId="77777777" w:rsidR="00265792" w:rsidRPr="00B73580" w:rsidRDefault="00265792" w:rsidP="00B73580">
            <w:pPr>
              <w:pStyle w:val="ARfintablebodyright"/>
              <w:rPr>
                <w:lang w:val="en-US"/>
              </w:rPr>
            </w:pPr>
            <w:r w:rsidRPr="00B73580">
              <w:rPr>
                <w:lang w:val="en-US"/>
              </w:rPr>
              <w:t>1.9</w:t>
            </w:r>
          </w:p>
        </w:tc>
        <w:tc>
          <w:tcPr>
            <w:tcW w:w="1300" w:type="dxa"/>
            <w:tcBorders>
              <w:bottom w:val="single" w:sz="4" w:space="0" w:color="A6A6A6" w:themeColor="accent5"/>
            </w:tcBorders>
            <w:noWrap/>
            <w:hideMark/>
          </w:tcPr>
          <w:p w14:paraId="5E30D7FE" w14:textId="77777777" w:rsidR="00265792" w:rsidRPr="00B73580" w:rsidRDefault="00265792" w:rsidP="00B73580">
            <w:pPr>
              <w:pStyle w:val="ARfintablebodyright"/>
              <w:rPr>
                <w:lang w:val="en-US"/>
              </w:rPr>
            </w:pPr>
            <w:r w:rsidRPr="00B73580">
              <w:rPr>
                <w:lang w:val="en-US"/>
              </w:rPr>
              <w:t>0.9</w:t>
            </w:r>
          </w:p>
        </w:tc>
      </w:tr>
      <w:tr w:rsidR="00265792" w:rsidRPr="00B73580" w14:paraId="581CFE4F" w14:textId="77777777" w:rsidTr="00D930D0">
        <w:trPr>
          <w:trHeight w:val="255"/>
        </w:trPr>
        <w:tc>
          <w:tcPr>
            <w:tcW w:w="7033" w:type="dxa"/>
            <w:tcBorders>
              <w:top w:val="single" w:sz="4" w:space="0" w:color="A6A6A6" w:themeColor="accent5"/>
              <w:bottom w:val="single" w:sz="4" w:space="0" w:color="auto"/>
            </w:tcBorders>
            <w:noWrap/>
            <w:hideMark/>
          </w:tcPr>
          <w:p w14:paraId="78CD0AC8" w14:textId="77777777" w:rsidR="00265792" w:rsidRPr="00B73580" w:rsidRDefault="00265792" w:rsidP="00B73580">
            <w:pPr>
              <w:pStyle w:val="ARfintablebody"/>
              <w:rPr>
                <w:lang w:val="en-US"/>
              </w:rPr>
            </w:pPr>
            <w:r w:rsidRPr="00B73580">
              <w:rPr>
                <w:lang w:val="en-US"/>
              </w:rPr>
              <w:t>Miscellaneous assets</w:t>
            </w:r>
          </w:p>
        </w:tc>
        <w:tc>
          <w:tcPr>
            <w:tcW w:w="1299" w:type="dxa"/>
            <w:tcBorders>
              <w:top w:val="single" w:sz="4" w:space="0" w:color="A6A6A6" w:themeColor="accent5"/>
              <w:bottom w:val="single" w:sz="4" w:space="0" w:color="auto"/>
            </w:tcBorders>
            <w:shd w:val="clear" w:color="auto" w:fill="EEEEEF" w:themeFill="accent4"/>
            <w:noWrap/>
            <w:hideMark/>
          </w:tcPr>
          <w:p w14:paraId="6D2381C1" w14:textId="77777777" w:rsidR="00265792" w:rsidRPr="00B73580" w:rsidRDefault="00265792" w:rsidP="00B73580">
            <w:pPr>
              <w:pStyle w:val="ARfintablebodyright"/>
              <w:rPr>
                <w:lang w:val="en-US"/>
              </w:rPr>
            </w:pPr>
            <w:r w:rsidRPr="00B73580">
              <w:rPr>
                <w:lang w:val="en-US"/>
              </w:rPr>
              <w:t>10.6</w:t>
            </w:r>
          </w:p>
        </w:tc>
        <w:tc>
          <w:tcPr>
            <w:tcW w:w="1300" w:type="dxa"/>
            <w:tcBorders>
              <w:top w:val="single" w:sz="4" w:space="0" w:color="A6A6A6" w:themeColor="accent5"/>
              <w:bottom w:val="single" w:sz="4" w:space="0" w:color="auto"/>
            </w:tcBorders>
            <w:noWrap/>
            <w:hideMark/>
          </w:tcPr>
          <w:p w14:paraId="0635C6EC" w14:textId="77777777" w:rsidR="00265792" w:rsidRPr="00B73580" w:rsidRDefault="00265792" w:rsidP="00B73580">
            <w:pPr>
              <w:pStyle w:val="ARfintablebodyright"/>
              <w:rPr>
                <w:lang w:val="en-US"/>
              </w:rPr>
            </w:pPr>
            <w:r w:rsidRPr="00B73580">
              <w:rPr>
                <w:lang w:val="en-US"/>
              </w:rPr>
              <w:t>12.0</w:t>
            </w:r>
          </w:p>
        </w:tc>
      </w:tr>
      <w:tr w:rsidR="00265792" w:rsidRPr="00B73580" w14:paraId="7CE82B39" w14:textId="77777777" w:rsidTr="00D930D0">
        <w:trPr>
          <w:trHeight w:val="255"/>
        </w:trPr>
        <w:tc>
          <w:tcPr>
            <w:tcW w:w="7033" w:type="dxa"/>
            <w:tcBorders>
              <w:top w:val="single" w:sz="4" w:space="0" w:color="auto"/>
              <w:bottom w:val="single" w:sz="4" w:space="0" w:color="auto"/>
            </w:tcBorders>
            <w:noWrap/>
            <w:hideMark/>
          </w:tcPr>
          <w:p w14:paraId="6B550DD7" w14:textId="77777777" w:rsidR="00265792" w:rsidRPr="00B73580" w:rsidRDefault="00265792" w:rsidP="00D930D0">
            <w:pPr>
              <w:pStyle w:val="ARfintablebodybold"/>
              <w:rPr>
                <w:lang w:val="en-US"/>
              </w:rPr>
            </w:pPr>
            <w:r w:rsidRPr="00B73580">
              <w:rPr>
                <w:lang w:val="en-US"/>
              </w:rPr>
              <w:t>Total revenue from disposal of non-financial physical assets</w:t>
            </w:r>
          </w:p>
        </w:tc>
        <w:tc>
          <w:tcPr>
            <w:tcW w:w="1299" w:type="dxa"/>
            <w:tcBorders>
              <w:top w:val="single" w:sz="4" w:space="0" w:color="auto"/>
              <w:bottom w:val="single" w:sz="4" w:space="0" w:color="auto"/>
            </w:tcBorders>
            <w:shd w:val="clear" w:color="auto" w:fill="EEEEEF" w:themeFill="accent4"/>
            <w:noWrap/>
            <w:hideMark/>
          </w:tcPr>
          <w:p w14:paraId="3900D596" w14:textId="77777777" w:rsidR="00265792" w:rsidRPr="00B73580" w:rsidRDefault="00265792" w:rsidP="00D930D0">
            <w:pPr>
              <w:pStyle w:val="ARfintablebodyrightbold"/>
              <w:rPr>
                <w:lang w:val="en-US"/>
              </w:rPr>
            </w:pPr>
            <w:r w:rsidRPr="00B73580">
              <w:rPr>
                <w:lang w:val="en-US"/>
              </w:rPr>
              <w:t>101.3</w:t>
            </w:r>
          </w:p>
        </w:tc>
        <w:tc>
          <w:tcPr>
            <w:tcW w:w="1300" w:type="dxa"/>
            <w:tcBorders>
              <w:top w:val="single" w:sz="4" w:space="0" w:color="auto"/>
              <w:bottom w:val="single" w:sz="4" w:space="0" w:color="auto"/>
            </w:tcBorders>
            <w:noWrap/>
            <w:hideMark/>
          </w:tcPr>
          <w:p w14:paraId="700EA54B" w14:textId="77777777" w:rsidR="00265792" w:rsidRPr="00B73580" w:rsidRDefault="00265792" w:rsidP="00D930D0">
            <w:pPr>
              <w:pStyle w:val="ARfintablebodyrightbold"/>
              <w:rPr>
                <w:lang w:val="en-US"/>
              </w:rPr>
            </w:pPr>
            <w:r w:rsidRPr="00B73580">
              <w:rPr>
                <w:lang w:val="en-US"/>
              </w:rPr>
              <w:t>286.6</w:t>
            </w:r>
          </w:p>
        </w:tc>
      </w:tr>
      <w:tr w:rsidR="00265792" w:rsidRPr="00B73580" w14:paraId="25B79C7B" w14:textId="77777777" w:rsidTr="00D930D0">
        <w:trPr>
          <w:trHeight w:val="255"/>
        </w:trPr>
        <w:tc>
          <w:tcPr>
            <w:tcW w:w="7033" w:type="dxa"/>
            <w:tcBorders>
              <w:top w:val="single" w:sz="4" w:space="0" w:color="auto"/>
              <w:bottom w:val="single" w:sz="4" w:space="0" w:color="A6A6A6" w:themeColor="accent5"/>
            </w:tcBorders>
            <w:noWrap/>
            <w:hideMark/>
          </w:tcPr>
          <w:p w14:paraId="71CF2902" w14:textId="77777777" w:rsidR="00265792" w:rsidRPr="00B73580" w:rsidRDefault="00265792" w:rsidP="00D930D0">
            <w:pPr>
              <w:pStyle w:val="ARfintablebodybold"/>
              <w:rPr>
                <w:lang w:val="en-US"/>
              </w:rPr>
            </w:pPr>
            <w:r w:rsidRPr="00B73580">
              <w:rPr>
                <w:lang w:val="en-US"/>
              </w:rPr>
              <w:t>Costs on disposal of non-financial physical assets</w:t>
            </w:r>
          </w:p>
        </w:tc>
        <w:tc>
          <w:tcPr>
            <w:tcW w:w="1299" w:type="dxa"/>
            <w:tcBorders>
              <w:top w:val="single" w:sz="4" w:space="0" w:color="auto"/>
              <w:bottom w:val="single" w:sz="4" w:space="0" w:color="A6A6A6" w:themeColor="accent5"/>
            </w:tcBorders>
            <w:noWrap/>
            <w:hideMark/>
          </w:tcPr>
          <w:p w14:paraId="336522F2" w14:textId="77777777" w:rsidR="00265792" w:rsidRPr="00B73580" w:rsidRDefault="00265792" w:rsidP="00B73580">
            <w:pPr>
              <w:pStyle w:val="ARfintablebodyright"/>
              <w:rPr>
                <w:lang w:val="en-US"/>
              </w:rPr>
            </w:pPr>
          </w:p>
        </w:tc>
        <w:tc>
          <w:tcPr>
            <w:tcW w:w="1300" w:type="dxa"/>
            <w:tcBorders>
              <w:top w:val="single" w:sz="4" w:space="0" w:color="auto"/>
              <w:bottom w:val="single" w:sz="4" w:space="0" w:color="A6A6A6" w:themeColor="accent5"/>
            </w:tcBorders>
            <w:noWrap/>
            <w:hideMark/>
          </w:tcPr>
          <w:p w14:paraId="49FA6313" w14:textId="77777777" w:rsidR="00265792" w:rsidRPr="00B73580" w:rsidRDefault="00265792" w:rsidP="00B73580">
            <w:pPr>
              <w:pStyle w:val="ARfintablebodyright"/>
              <w:rPr>
                <w:lang w:val="en-US"/>
              </w:rPr>
            </w:pPr>
          </w:p>
        </w:tc>
      </w:tr>
      <w:tr w:rsidR="00265792" w:rsidRPr="00B73580" w14:paraId="221C6C81" w14:textId="77777777" w:rsidTr="00D930D0">
        <w:trPr>
          <w:trHeight w:val="255"/>
        </w:trPr>
        <w:tc>
          <w:tcPr>
            <w:tcW w:w="7033" w:type="dxa"/>
            <w:tcBorders>
              <w:top w:val="single" w:sz="4" w:space="0" w:color="A6A6A6" w:themeColor="accent5"/>
            </w:tcBorders>
            <w:noWrap/>
            <w:hideMark/>
          </w:tcPr>
          <w:p w14:paraId="0FFAE697" w14:textId="77777777" w:rsidR="00265792" w:rsidRPr="00B73580" w:rsidRDefault="00265792" w:rsidP="00B73580">
            <w:pPr>
              <w:pStyle w:val="ARfintablebody"/>
              <w:rPr>
                <w:lang w:val="en-US"/>
              </w:rPr>
            </w:pPr>
            <w:r w:rsidRPr="00B73580">
              <w:rPr>
                <w:lang w:val="en-US"/>
              </w:rPr>
              <w:t>Land</w:t>
            </w:r>
          </w:p>
        </w:tc>
        <w:tc>
          <w:tcPr>
            <w:tcW w:w="1299" w:type="dxa"/>
            <w:tcBorders>
              <w:top w:val="single" w:sz="4" w:space="0" w:color="A6A6A6" w:themeColor="accent5"/>
            </w:tcBorders>
            <w:shd w:val="clear" w:color="auto" w:fill="EEEEEF" w:themeFill="accent4"/>
            <w:noWrap/>
            <w:hideMark/>
          </w:tcPr>
          <w:p w14:paraId="276CE268" w14:textId="77777777" w:rsidR="00265792" w:rsidRPr="00B73580" w:rsidRDefault="00265792" w:rsidP="00B73580">
            <w:pPr>
              <w:pStyle w:val="ARfintablebodyright"/>
              <w:rPr>
                <w:lang w:val="en-US"/>
              </w:rPr>
            </w:pPr>
            <w:r w:rsidRPr="00B73580">
              <w:rPr>
                <w:lang w:val="en-US"/>
              </w:rPr>
              <w:t>62.3</w:t>
            </w:r>
          </w:p>
        </w:tc>
        <w:tc>
          <w:tcPr>
            <w:tcW w:w="1300" w:type="dxa"/>
            <w:tcBorders>
              <w:top w:val="single" w:sz="4" w:space="0" w:color="A6A6A6" w:themeColor="accent5"/>
            </w:tcBorders>
            <w:noWrap/>
            <w:hideMark/>
          </w:tcPr>
          <w:p w14:paraId="1736886D" w14:textId="77777777" w:rsidR="00265792" w:rsidRPr="00B73580" w:rsidRDefault="00265792" w:rsidP="00B73580">
            <w:pPr>
              <w:pStyle w:val="ARfintablebodyright"/>
              <w:rPr>
                <w:lang w:val="en-US"/>
              </w:rPr>
            </w:pPr>
            <w:r w:rsidRPr="00B73580">
              <w:rPr>
                <w:lang w:val="en-US"/>
              </w:rPr>
              <w:t>121.3</w:t>
            </w:r>
          </w:p>
        </w:tc>
      </w:tr>
      <w:tr w:rsidR="00265792" w:rsidRPr="00B73580" w14:paraId="4A97F2B3" w14:textId="77777777" w:rsidTr="00D930D0">
        <w:trPr>
          <w:trHeight w:val="255"/>
        </w:trPr>
        <w:tc>
          <w:tcPr>
            <w:tcW w:w="7033" w:type="dxa"/>
            <w:noWrap/>
            <w:hideMark/>
          </w:tcPr>
          <w:p w14:paraId="377B5F77" w14:textId="77777777" w:rsidR="00265792" w:rsidRPr="00B73580" w:rsidRDefault="00265792" w:rsidP="00B73580">
            <w:pPr>
              <w:pStyle w:val="ARfintablebody"/>
              <w:rPr>
                <w:lang w:val="en-US"/>
              </w:rPr>
            </w:pPr>
            <w:r w:rsidRPr="00B73580">
              <w:rPr>
                <w:lang w:val="en-US"/>
              </w:rPr>
              <w:t>Buildings</w:t>
            </w:r>
          </w:p>
        </w:tc>
        <w:tc>
          <w:tcPr>
            <w:tcW w:w="1299" w:type="dxa"/>
            <w:shd w:val="clear" w:color="auto" w:fill="EEEEEF" w:themeFill="accent4"/>
            <w:noWrap/>
            <w:hideMark/>
          </w:tcPr>
          <w:p w14:paraId="130A2077" w14:textId="77777777" w:rsidR="00265792" w:rsidRPr="00B73580" w:rsidRDefault="00265792" w:rsidP="00B73580">
            <w:pPr>
              <w:pStyle w:val="ARfintablebodyright"/>
              <w:rPr>
                <w:lang w:val="en-US"/>
              </w:rPr>
            </w:pPr>
            <w:r w:rsidRPr="00B73580">
              <w:rPr>
                <w:lang w:val="en-US"/>
              </w:rPr>
              <w:t>36.4</w:t>
            </w:r>
          </w:p>
        </w:tc>
        <w:tc>
          <w:tcPr>
            <w:tcW w:w="1300" w:type="dxa"/>
            <w:noWrap/>
            <w:hideMark/>
          </w:tcPr>
          <w:p w14:paraId="068C2C9B" w14:textId="77777777" w:rsidR="00265792" w:rsidRPr="00B73580" w:rsidRDefault="00265792" w:rsidP="00B73580">
            <w:pPr>
              <w:pStyle w:val="ARfintablebodyright"/>
              <w:rPr>
                <w:lang w:val="en-US"/>
              </w:rPr>
            </w:pPr>
            <w:r w:rsidRPr="00B73580">
              <w:rPr>
                <w:lang w:val="en-US"/>
              </w:rPr>
              <w:t>166.7</w:t>
            </w:r>
          </w:p>
        </w:tc>
      </w:tr>
      <w:tr w:rsidR="00265792" w:rsidRPr="00B73580" w14:paraId="2FCE27B5" w14:textId="77777777" w:rsidTr="007A6553">
        <w:trPr>
          <w:trHeight w:val="255"/>
        </w:trPr>
        <w:tc>
          <w:tcPr>
            <w:tcW w:w="7033" w:type="dxa"/>
            <w:tcBorders>
              <w:bottom w:val="single" w:sz="4" w:space="0" w:color="A6A6A6" w:themeColor="accent5"/>
            </w:tcBorders>
            <w:noWrap/>
            <w:hideMark/>
          </w:tcPr>
          <w:p w14:paraId="4246A64D" w14:textId="77777777" w:rsidR="00265792" w:rsidRPr="00B73580" w:rsidRDefault="00265792" w:rsidP="00B73580">
            <w:pPr>
              <w:pStyle w:val="ARfintablebody"/>
              <w:rPr>
                <w:lang w:val="en-US"/>
              </w:rPr>
            </w:pPr>
            <w:r w:rsidRPr="00B73580">
              <w:rPr>
                <w:lang w:val="en-US"/>
              </w:rPr>
              <w:t xml:space="preserve">Shared home ownership scheme </w:t>
            </w:r>
          </w:p>
        </w:tc>
        <w:tc>
          <w:tcPr>
            <w:tcW w:w="1299" w:type="dxa"/>
            <w:tcBorders>
              <w:bottom w:val="single" w:sz="4" w:space="0" w:color="A6A6A6" w:themeColor="accent5"/>
            </w:tcBorders>
            <w:shd w:val="clear" w:color="auto" w:fill="EEEEEF" w:themeFill="accent4"/>
            <w:noWrap/>
            <w:hideMark/>
          </w:tcPr>
          <w:p w14:paraId="2B66B9AE" w14:textId="77777777" w:rsidR="00265792" w:rsidRPr="00B73580" w:rsidRDefault="00265792" w:rsidP="00B73580">
            <w:pPr>
              <w:pStyle w:val="ARfintablebodyright"/>
              <w:rPr>
                <w:lang w:val="en-US"/>
              </w:rPr>
            </w:pPr>
            <w:r w:rsidRPr="00B73580">
              <w:rPr>
                <w:lang w:val="en-US"/>
              </w:rPr>
              <w:t>2.1</w:t>
            </w:r>
          </w:p>
        </w:tc>
        <w:tc>
          <w:tcPr>
            <w:tcW w:w="1300" w:type="dxa"/>
            <w:tcBorders>
              <w:bottom w:val="single" w:sz="4" w:space="0" w:color="A6A6A6" w:themeColor="accent5"/>
            </w:tcBorders>
            <w:noWrap/>
            <w:hideMark/>
          </w:tcPr>
          <w:p w14:paraId="1EEE1CA8" w14:textId="77777777" w:rsidR="00265792" w:rsidRPr="00B73580" w:rsidRDefault="00265792" w:rsidP="00B73580">
            <w:pPr>
              <w:pStyle w:val="ARfintablebodyright"/>
              <w:rPr>
                <w:lang w:val="en-US"/>
              </w:rPr>
            </w:pPr>
            <w:r w:rsidRPr="00B73580">
              <w:rPr>
                <w:lang w:val="en-US"/>
              </w:rPr>
              <w:t>1.0</w:t>
            </w:r>
          </w:p>
        </w:tc>
      </w:tr>
      <w:tr w:rsidR="00265792" w:rsidRPr="00B73580" w14:paraId="75E635C6" w14:textId="77777777" w:rsidTr="007A6553">
        <w:trPr>
          <w:trHeight w:val="255"/>
        </w:trPr>
        <w:tc>
          <w:tcPr>
            <w:tcW w:w="7033" w:type="dxa"/>
            <w:tcBorders>
              <w:top w:val="single" w:sz="4" w:space="0" w:color="A6A6A6" w:themeColor="accent5"/>
              <w:bottom w:val="single" w:sz="4" w:space="0" w:color="auto"/>
            </w:tcBorders>
            <w:noWrap/>
            <w:hideMark/>
          </w:tcPr>
          <w:p w14:paraId="12D619F5" w14:textId="77777777" w:rsidR="00265792" w:rsidRPr="00B73580" w:rsidRDefault="00265792" w:rsidP="00B73580">
            <w:pPr>
              <w:pStyle w:val="ARfintablebody"/>
              <w:rPr>
                <w:lang w:val="en-US"/>
              </w:rPr>
            </w:pPr>
            <w:r w:rsidRPr="00B73580">
              <w:rPr>
                <w:lang w:val="en-US"/>
              </w:rPr>
              <w:t>Miscellaneous assets</w:t>
            </w:r>
          </w:p>
        </w:tc>
        <w:tc>
          <w:tcPr>
            <w:tcW w:w="1299" w:type="dxa"/>
            <w:tcBorders>
              <w:top w:val="single" w:sz="4" w:space="0" w:color="A6A6A6" w:themeColor="accent5"/>
              <w:bottom w:val="single" w:sz="4" w:space="0" w:color="auto"/>
            </w:tcBorders>
            <w:shd w:val="clear" w:color="auto" w:fill="EEEEEF" w:themeFill="accent4"/>
            <w:noWrap/>
            <w:hideMark/>
          </w:tcPr>
          <w:p w14:paraId="3AAE7F41" w14:textId="77777777" w:rsidR="00265792" w:rsidRPr="00B73580" w:rsidRDefault="00265792" w:rsidP="00B73580">
            <w:pPr>
              <w:pStyle w:val="ARfintablebodyright"/>
              <w:rPr>
                <w:lang w:val="en-US"/>
              </w:rPr>
            </w:pPr>
            <w:r w:rsidRPr="00B73580">
              <w:rPr>
                <w:lang w:val="en-US"/>
              </w:rPr>
              <w:t>7.0</w:t>
            </w:r>
          </w:p>
        </w:tc>
        <w:tc>
          <w:tcPr>
            <w:tcW w:w="1300" w:type="dxa"/>
            <w:tcBorders>
              <w:top w:val="single" w:sz="4" w:space="0" w:color="A6A6A6" w:themeColor="accent5"/>
              <w:bottom w:val="single" w:sz="4" w:space="0" w:color="auto"/>
            </w:tcBorders>
            <w:noWrap/>
            <w:hideMark/>
          </w:tcPr>
          <w:p w14:paraId="5354C3BE" w14:textId="77777777" w:rsidR="00265792" w:rsidRPr="00B73580" w:rsidRDefault="00265792" w:rsidP="00B73580">
            <w:pPr>
              <w:pStyle w:val="ARfintablebodyright"/>
              <w:rPr>
                <w:lang w:val="en-US"/>
              </w:rPr>
            </w:pPr>
            <w:r w:rsidRPr="00B73580">
              <w:rPr>
                <w:lang w:val="en-US"/>
              </w:rPr>
              <w:t>6.3</w:t>
            </w:r>
          </w:p>
        </w:tc>
      </w:tr>
      <w:tr w:rsidR="00265792" w:rsidRPr="00B73580" w14:paraId="6A6094AF" w14:textId="77777777" w:rsidTr="007A6553">
        <w:trPr>
          <w:trHeight w:val="255"/>
        </w:trPr>
        <w:tc>
          <w:tcPr>
            <w:tcW w:w="7033" w:type="dxa"/>
            <w:tcBorders>
              <w:top w:val="single" w:sz="4" w:space="0" w:color="auto"/>
              <w:bottom w:val="single" w:sz="4" w:space="0" w:color="auto"/>
            </w:tcBorders>
            <w:noWrap/>
            <w:hideMark/>
          </w:tcPr>
          <w:p w14:paraId="1BA9E066" w14:textId="77777777" w:rsidR="00265792" w:rsidRPr="00B73580" w:rsidRDefault="00265792" w:rsidP="00D930D0">
            <w:pPr>
              <w:pStyle w:val="ARfintablebodybold"/>
              <w:rPr>
                <w:lang w:val="en-US"/>
              </w:rPr>
            </w:pPr>
            <w:r w:rsidRPr="00B73580">
              <w:rPr>
                <w:lang w:val="en-US"/>
              </w:rPr>
              <w:t>Total costs on disposal of non-financial physical assets</w:t>
            </w:r>
          </w:p>
        </w:tc>
        <w:tc>
          <w:tcPr>
            <w:tcW w:w="1299" w:type="dxa"/>
            <w:tcBorders>
              <w:top w:val="single" w:sz="4" w:space="0" w:color="auto"/>
              <w:bottom w:val="single" w:sz="4" w:space="0" w:color="auto"/>
            </w:tcBorders>
            <w:shd w:val="clear" w:color="auto" w:fill="EEEEEF" w:themeFill="accent4"/>
            <w:noWrap/>
            <w:hideMark/>
          </w:tcPr>
          <w:p w14:paraId="5F125915" w14:textId="77777777" w:rsidR="00265792" w:rsidRPr="00B73580" w:rsidRDefault="00265792" w:rsidP="007A6553">
            <w:pPr>
              <w:pStyle w:val="ARfintablebodyrightbold"/>
              <w:rPr>
                <w:lang w:val="en-US"/>
              </w:rPr>
            </w:pPr>
            <w:r w:rsidRPr="00B73580">
              <w:rPr>
                <w:lang w:val="en-US"/>
              </w:rPr>
              <w:t>107.8</w:t>
            </w:r>
          </w:p>
        </w:tc>
        <w:tc>
          <w:tcPr>
            <w:tcW w:w="1300" w:type="dxa"/>
            <w:tcBorders>
              <w:top w:val="single" w:sz="4" w:space="0" w:color="auto"/>
              <w:bottom w:val="single" w:sz="4" w:space="0" w:color="auto"/>
            </w:tcBorders>
            <w:noWrap/>
            <w:hideMark/>
          </w:tcPr>
          <w:p w14:paraId="5DF06507" w14:textId="77777777" w:rsidR="00265792" w:rsidRPr="00B73580" w:rsidRDefault="00265792" w:rsidP="007A6553">
            <w:pPr>
              <w:pStyle w:val="ARfintablebodyrightbold"/>
              <w:rPr>
                <w:lang w:val="en-US"/>
              </w:rPr>
            </w:pPr>
            <w:r w:rsidRPr="00B73580">
              <w:rPr>
                <w:lang w:val="en-US"/>
              </w:rPr>
              <w:t>295.3</w:t>
            </w:r>
          </w:p>
        </w:tc>
      </w:tr>
      <w:tr w:rsidR="00265792" w:rsidRPr="00B73580" w14:paraId="34BA0A6C" w14:textId="77777777" w:rsidTr="007A6553">
        <w:trPr>
          <w:trHeight w:val="270"/>
        </w:trPr>
        <w:tc>
          <w:tcPr>
            <w:tcW w:w="7033" w:type="dxa"/>
            <w:tcBorders>
              <w:top w:val="single" w:sz="4" w:space="0" w:color="auto"/>
              <w:bottom w:val="single" w:sz="4" w:space="0" w:color="auto"/>
            </w:tcBorders>
            <w:noWrap/>
            <w:hideMark/>
          </w:tcPr>
          <w:p w14:paraId="1634E0EF" w14:textId="77777777" w:rsidR="00265792" w:rsidRPr="00B73580" w:rsidRDefault="00265792" w:rsidP="00D930D0">
            <w:pPr>
              <w:pStyle w:val="ARfintablebodybold"/>
              <w:rPr>
                <w:lang w:val="en-US"/>
              </w:rPr>
            </w:pPr>
            <w:r w:rsidRPr="00B73580">
              <w:rPr>
                <w:lang w:val="en-US"/>
              </w:rPr>
              <w:t xml:space="preserve">Net </w:t>
            </w:r>
            <w:proofErr w:type="gramStart"/>
            <w:r w:rsidRPr="00B73580">
              <w:rPr>
                <w:lang w:val="en-US"/>
              </w:rPr>
              <w:t>gain/(</w:t>
            </w:r>
            <w:proofErr w:type="gramEnd"/>
            <w:r w:rsidRPr="00B73580">
              <w:rPr>
                <w:lang w:val="en-US"/>
              </w:rPr>
              <w:t>loss) on disposal of non-financial assets</w:t>
            </w:r>
          </w:p>
        </w:tc>
        <w:tc>
          <w:tcPr>
            <w:tcW w:w="1299" w:type="dxa"/>
            <w:tcBorders>
              <w:top w:val="single" w:sz="4" w:space="0" w:color="auto"/>
              <w:bottom w:val="single" w:sz="4" w:space="0" w:color="auto"/>
            </w:tcBorders>
            <w:shd w:val="clear" w:color="auto" w:fill="EEEEEF" w:themeFill="accent4"/>
            <w:noWrap/>
            <w:hideMark/>
          </w:tcPr>
          <w:p w14:paraId="05A5DEC2" w14:textId="77777777" w:rsidR="00265792" w:rsidRPr="00B73580" w:rsidRDefault="00265792" w:rsidP="007A6553">
            <w:pPr>
              <w:pStyle w:val="ARfintablebodyrightbold"/>
              <w:rPr>
                <w:lang w:val="en-US"/>
              </w:rPr>
            </w:pPr>
            <w:r w:rsidRPr="00B73580">
              <w:rPr>
                <w:lang w:val="en-US"/>
              </w:rPr>
              <w:t>(6.5)</w:t>
            </w:r>
          </w:p>
        </w:tc>
        <w:tc>
          <w:tcPr>
            <w:tcW w:w="1300" w:type="dxa"/>
            <w:tcBorders>
              <w:top w:val="single" w:sz="4" w:space="0" w:color="auto"/>
              <w:bottom w:val="single" w:sz="4" w:space="0" w:color="auto"/>
            </w:tcBorders>
            <w:noWrap/>
            <w:hideMark/>
          </w:tcPr>
          <w:p w14:paraId="475F7937" w14:textId="77777777" w:rsidR="00265792" w:rsidRPr="00B73580" w:rsidRDefault="00265792" w:rsidP="007A6553">
            <w:pPr>
              <w:pStyle w:val="ARfintablebodyrightbold"/>
              <w:rPr>
                <w:lang w:val="en-US"/>
              </w:rPr>
            </w:pPr>
            <w:r w:rsidRPr="00B73580">
              <w:rPr>
                <w:lang w:val="en-US"/>
              </w:rPr>
              <w:t>(8.6)</w:t>
            </w:r>
          </w:p>
        </w:tc>
      </w:tr>
      <w:tr w:rsidR="00265792" w:rsidRPr="00B73580" w14:paraId="66865855" w14:textId="77777777" w:rsidTr="007A6553">
        <w:trPr>
          <w:trHeight w:val="76"/>
        </w:trPr>
        <w:tc>
          <w:tcPr>
            <w:tcW w:w="7033" w:type="dxa"/>
            <w:tcBorders>
              <w:top w:val="single" w:sz="4" w:space="0" w:color="auto"/>
              <w:bottom w:val="single" w:sz="4" w:space="0" w:color="A6A6A6" w:themeColor="accent5"/>
            </w:tcBorders>
            <w:noWrap/>
            <w:hideMark/>
          </w:tcPr>
          <w:p w14:paraId="602EAA19" w14:textId="77777777" w:rsidR="00265792" w:rsidRPr="00B73580" w:rsidRDefault="00265792" w:rsidP="00D930D0">
            <w:pPr>
              <w:pStyle w:val="ARfintablebodyboldcoloured"/>
              <w:rPr>
                <w:lang w:val="en-US"/>
              </w:rPr>
            </w:pPr>
            <w:r w:rsidRPr="00B73580">
              <w:rPr>
                <w:lang w:val="en-US"/>
              </w:rPr>
              <w:t>(b) Net gain/(loss) on financial instruments</w:t>
            </w:r>
          </w:p>
        </w:tc>
        <w:tc>
          <w:tcPr>
            <w:tcW w:w="1299" w:type="dxa"/>
            <w:tcBorders>
              <w:top w:val="single" w:sz="4" w:space="0" w:color="auto"/>
              <w:bottom w:val="single" w:sz="4" w:space="0" w:color="A6A6A6" w:themeColor="accent5"/>
            </w:tcBorders>
            <w:shd w:val="clear" w:color="auto" w:fill="EEEEEF" w:themeFill="accent4"/>
            <w:noWrap/>
            <w:hideMark/>
          </w:tcPr>
          <w:p w14:paraId="79406B41" w14:textId="77777777" w:rsidR="00265792" w:rsidRPr="00B73580" w:rsidRDefault="00265792" w:rsidP="00B73580">
            <w:pPr>
              <w:pStyle w:val="ARfintablebodyright"/>
              <w:rPr>
                <w:lang w:val="en-US"/>
              </w:rPr>
            </w:pPr>
          </w:p>
        </w:tc>
        <w:tc>
          <w:tcPr>
            <w:tcW w:w="1300" w:type="dxa"/>
            <w:tcBorders>
              <w:top w:val="single" w:sz="4" w:space="0" w:color="auto"/>
              <w:bottom w:val="single" w:sz="4" w:space="0" w:color="A6A6A6" w:themeColor="accent5"/>
            </w:tcBorders>
            <w:noWrap/>
            <w:hideMark/>
          </w:tcPr>
          <w:p w14:paraId="375F8537" w14:textId="77777777" w:rsidR="00265792" w:rsidRPr="00B73580" w:rsidRDefault="00265792" w:rsidP="00B73580">
            <w:pPr>
              <w:pStyle w:val="ARfintablebodyright"/>
              <w:rPr>
                <w:lang w:val="en-US"/>
              </w:rPr>
            </w:pPr>
          </w:p>
        </w:tc>
      </w:tr>
      <w:tr w:rsidR="00265792" w:rsidRPr="00B73580" w14:paraId="69434AF6" w14:textId="77777777" w:rsidTr="00D930D0">
        <w:trPr>
          <w:trHeight w:val="255"/>
        </w:trPr>
        <w:tc>
          <w:tcPr>
            <w:tcW w:w="7033" w:type="dxa"/>
            <w:tcBorders>
              <w:top w:val="single" w:sz="4" w:space="0" w:color="A6A6A6" w:themeColor="accent5"/>
              <w:bottom w:val="single" w:sz="4" w:space="0" w:color="auto"/>
            </w:tcBorders>
            <w:noWrap/>
            <w:hideMark/>
          </w:tcPr>
          <w:p w14:paraId="4AF7AE6A" w14:textId="77777777" w:rsidR="00265792" w:rsidRPr="00B73580" w:rsidRDefault="00265792" w:rsidP="00B73580">
            <w:pPr>
              <w:pStyle w:val="ARfintablebody"/>
              <w:rPr>
                <w:lang w:val="en-US"/>
              </w:rPr>
            </w:pPr>
            <w:r w:rsidRPr="00B73580">
              <w:rPr>
                <w:lang w:val="en-US"/>
              </w:rPr>
              <w:t xml:space="preserve">Net </w:t>
            </w:r>
            <w:proofErr w:type="gramStart"/>
            <w:r w:rsidRPr="00B73580">
              <w:rPr>
                <w:lang w:val="en-US"/>
              </w:rPr>
              <w:t>gain/(</w:t>
            </w:r>
            <w:proofErr w:type="gramEnd"/>
            <w:r w:rsidRPr="00B73580">
              <w:rPr>
                <w:lang w:val="en-US"/>
              </w:rPr>
              <w:t>loss) on financial instruments and statutory receivables/payables</w:t>
            </w:r>
          </w:p>
        </w:tc>
        <w:tc>
          <w:tcPr>
            <w:tcW w:w="1299" w:type="dxa"/>
            <w:tcBorders>
              <w:top w:val="single" w:sz="4" w:space="0" w:color="A6A6A6" w:themeColor="accent5"/>
              <w:bottom w:val="single" w:sz="4" w:space="0" w:color="auto"/>
            </w:tcBorders>
            <w:shd w:val="clear" w:color="auto" w:fill="EEEEEF" w:themeFill="accent4"/>
            <w:noWrap/>
            <w:hideMark/>
          </w:tcPr>
          <w:p w14:paraId="1AEAE3D0" w14:textId="77777777" w:rsidR="00265792" w:rsidRPr="00B73580" w:rsidRDefault="00265792" w:rsidP="00B73580">
            <w:pPr>
              <w:pStyle w:val="ARfintablebodyright"/>
              <w:rPr>
                <w:lang w:val="en-US"/>
              </w:rPr>
            </w:pPr>
            <w:r w:rsidRPr="00B73580">
              <w:rPr>
                <w:lang w:val="en-US"/>
              </w:rPr>
              <w:t>3.2</w:t>
            </w:r>
          </w:p>
        </w:tc>
        <w:tc>
          <w:tcPr>
            <w:tcW w:w="1300" w:type="dxa"/>
            <w:tcBorders>
              <w:top w:val="single" w:sz="4" w:space="0" w:color="A6A6A6" w:themeColor="accent5"/>
              <w:bottom w:val="single" w:sz="4" w:space="0" w:color="auto"/>
            </w:tcBorders>
            <w:noWrap/>
            <w:hideMark/>
          </w:tcPr>
          <w:p w14:paraId="40326B18" w14:textId="77777777" w:rsidR="00265792" w:rsidRPr="00B73580" w:rsidRDefault="00265792" w:rsidP="00B73580">
            <w:pPr>
              <w:pStyle w:val="ARfintablebodyright"/>
              <w:rPr>
                <w:lang w:val="en-US"/>
              </w:rPr>
            </w:pPr>
            <w:r w:rsidRPr="00B73580">
              <w:rPr>
                <w:lang w:val="en-US"/>
              </w:rPr>
              <w:t>2.0</w:t>
            </w:r>
          </w:p>
        </w:tc>
      </w:tr>
      <w:tr w:rsidR="00265792" w:rsidRPr="00B73580" w14:paraId="403064F9" w14:textId="77777777" w:rsidTr="00D930D0">
        <w:trPr>
          <w:trHeight w:val="255"/>
        </w:trPr>
        <w:tc>
          <w:tcPr>
            <w:tcW w:w="7033" w:type="dxa"/>
            <w:tcBorders>
              <w:top w:val="single" w:sz="4" w:space="0" w:color="auto"/>
              <w:bottom w:val="single" w:sz="4" w:space="0" w:color="auto"/>
            </w:tcBorders>
            <w:noWrap/>
            <w:hideMark/>
          </w:tcPr>
          <w:p w14:paraId="559FB800" w14:textId="77777777" w:rsidR="00265792" w:rsidRPr="00B73580" w:rsidRDefault="00265792" w:rsidP="00D930D0">
            <w:pPr>
              <w:pStyle w:val="ARfintablebodybold"/>
              <w:rPr>
                <w:lang w:val="en-US"/>
              </w:rPr>
            </w:pPr>
            <w:r w:rsidRPr="00B73580">
              <w:rPr>
                <w:lang w:val="en-US"/>
              </w:rPr>
              <w:t xml:space="preserve">Total net </w:t>
            </w:r>
            <w:proofErr w:type="gramStart"/>
            <w:r w:rsidRPr="00B73580">
              <w:rPr>
                <w:lang w:val="en-US"/>
              </w:rPr>
              <w:t>gain/(</w:t>
            </w:r>
            <w:proofErr w:type="gramEnd"/>
            <w:r w:rsidRPr="00B73580">
              <w:rPr>
                <w:lang w:val="en-US"/>
              </w:rPr>
              <w:t>loss) on financial instruments</w:t>
            </w:r>
          </w:p>
        </w:tc>
        <w:tc>
          <w:tcPr>
            <w:tcW w:w="1299" w:type="dxa"/>
            <w:tcBorders>
              <w:top w:val="single" w:sz="4" w:space="0" w:color="auto"/>
              <w:bottom w:val="single" w:sz="4" w:space="0" w:color="auto"/>
            </w:tcBorders>
            <w:shd w:val="clear" w:color="auto" w:fill="EEEEEF" w:themeFill="accent4"/>
            <w:noWrap/>
            <w:hideMark/>
          </w:tcPr>
          <w:p w14:paraId="6B62C2C5" w14:textId="77777777" w:rsidR="00265792" w:rsidRPr="00B73580" w:rsidRDefault="00265792" w:rsidP="00D930D0">
            <w:pPr>
              <w:pStyle w:val="ARfintablebodyrightbold"/>
              <w:rPr>
                <w:lang w:val="en-US"/>
              </w:rPr>
            </w:pPr>
            <w:r w:rsidRPr="00B73580">
              <w:rPr>
                <w:lang w:val="en-US"/>
              </w:rPr>
              <w:t>3.2</w:t>
            </w:r>
          </w:p>
        </w:tc>
        <w:tc>
          <w:tcPr>
            <w:tcW w:w="1300" w:type="dxa"/>
            <w:tcBorders>
              <w:top w:val="single" w:sz="4" w:space="0" w:color="auto"/>
              <w:bottom w:val="single" w:sz="4" w:space="0" w:color="auto"/>
            </w:tcBorders>
            <w:noWrap/>
            <w:hideMark/>
          </w:tcPr>
          <w:p w14:paraId="46D6F98D" w14:textId="77777777" w:rsidR="00265792" w:rsidRPr="00B73580" w:rsidRDefault="00265792" w:rsidP="00D930D0">
            <w:pPr>
              <w:pStyle w:val="ARfintablebodyrightbold"/>
              <w:rPr>
                <w:lang w:val="en-US"/>
              </w:rPr>
            </w:pPr>
            <w:r w:rsidRPr="00B73580">
              <w:rPr>
                <w:lang w:val="en-US"/>
              </w:rPr>
              <w:t>2.0</w:t>
            </w:r>
          </w:p>
        </w:tc>
      </w:tr>
      <w:tr w:rsidR="00265792" w:rsidRPr="00B73580" w14:paraId="39F9B926" w14:textId="77777777" w:rsidTr="00D930D0">
        <w:trPr>
          <w:trHeight w:val="76"/>
        </w:trPr>
        <w:tc>
          <w:tcPr>
            <w:tcW w:w="7033" w:type="dxa"/>
            <w:tcBorders>
              <w:top w:val="single" w:sz="4" w:space="0" w:color="auto"/>
              <w:bottom w:val="single" w:sz="4" w:space="0" w:color="A6A6A6" w:themeColor="accent5"/>
            </w:tcBorders>
            <w:noWrap/>
            <w:hideMark/>
          </w:tcPr>
          <w:p w14:paraId="1B9E7AA1" w14:textId="77777777" w:rsidR="00265792" w:rsidRPr="00B73580" w:rsidRDefault="00265792" w:rsidP="00D930D0">
            <w:pPr>
              <w:pStyle w:val="ARfintablebodyboldcoloured"/>
              <w:rPr>
                <w:lang w:val="en-US"/>
              </w:rPr>
            </w:pPr>
            <w:r w:rsidRPr="00B73580">
              <w:rPr>
                <w:lang w:val="en-US"/>
              </w:rPr>
              <w:t xml:space="preserve">(c) Other </w:t>
            </w:r>
            <w:proofErr w:type="gramStart"/>
            <w:r w:rsidRPr="00B73580">
              <w:rPr>
                <w:lang w:val="en-US"/>
              </w:rPr>
              <w:t>gains/(</w:t>
            </w:r>
            <w:proofErr w:type="gramEnd"/>
            <w:r w:rsidRPr="00B73580">
              <w:rPr>
                <w:lang w:val="en-US"/>
              </w:rPr>
              <w:t>losses) from other economic flows</w:t>
            </w:r>
          </w:p>
        </w:tc>
        <w:tc>
          <w:tcPr>
            <w:tcW w:w="1299" w:type="dxa"/>
            <w:tcBorders>
              <w:top w:val="single" w:sz="4" w:space="0" w:color="auto"/>
              <w:bottom w:val="single" w:sz="4" w:space="0" w:color="A6A6A6" w:themeColor="accent5"/>
            </w:tcBorders>
            <w:noWrap/>
            <w:hideMark/>
          </w:tcPr>
          <w:p w14:paraId="29D3219F" w14:textId="77777777" w:rsidR="00265792" w:rsidRPr="00B73580" w:rsidRDefault="00265792" w:rsidP="00B73580">
            <w:pPr>
              <w:pStyle w:val="ARfintablebodyright"/>
              <w:rPr>
                <w:lang w:val="en-US"/>
              </w:rPr>
            </w:pPr>
          </w:p>
        </w:tc>
        <w:tc>
          <w:tcPr>
            <w:tcW w:w="1300" w:type="dxa"/>
            <w:tcBorders>
              <w:top w:val="single" w:sz="4" w:space="0" w:color="auto"/>
              <w:bottom w:val="single" w:sz="4" w:space="0" w:color="A6A6A6" w:themeColor="accent5"/>
            </w:tcBorders>
            <w:noWrap/>
            <w:hideMark/>
          </w:tcPr>
          <w:p w14:paraId="23BD8DE8" w14:textId="77777777" w:rsidR="00265792" w:rsidRPr="00B73580" w:rsidRDefault="00265792" w:rsidP="00B73580">
            <w:pPr>
              <w:pStyle w:val="ARfintablebodyright"/>
              <w:rPr>
                <w:lang w:val="en-US"/>
              </w:rPr>
            </w:pPr>
          </w:p>
        </w:tc>
      </w:tr>
      <w:tr w:rsidR="00265792" w:rsidRPr="00B73580" w14:paraId="7AE9E468" w14:textId="77777777" w:rsidTr="00D930D0">
        <w:trPr>
          <w:trHeight w:val="255"/>
        </w:trPr>
        <w:tc>
          <w:tcPr>
            <w:tcW w:w="7033" w:type="dxa"/>
            <w:tcBorders>
              <w:top w:val="single" w:sz="4" w:space="0" w:color="A6A6A6" w:themeColor="accent5"/>
            </w:tcBorders>
            <w:noWrap/>
            <w:hideMark/>
          </w:tcPr>
          <w:p w14:paraId="3C40C5AA" w14:textId="77777777" w:rsidR="00265792" w:rsidRPr="00B73580" w:rsidRDefault="00265792" w:rsidP="00B73580">
            <w:pPr>
              <w:pStyle w:val="ARfintablebody"/>
              <w:rPr>
                <w:lang w:val="en-US"/>
              </w:rPr>
            </w:pPr>
            <w:r w:rsidRPr="00B73580">
              <w:rPr>
                <w:lang w:val="en-US"/>
              </w:rPr>
              <w:t xml:space="preserve">Net </w:t>
            </w:r>
            <w:proofErr w:type="gramStart"/>
            <w:r w:rsidRPr="00B73580">
              <w:rPr>
                <w:lang w:val="en-US"/>
              </w:rPr>
              <w:t>gain/(</w:t>
            </w:r>
            <w:proofErr w:type="gramEnd"/>
            <w:r w:rsidRPr="00B73580">
              <w:rPr>
                <w:lang w:val="en-US"/>
              </w:rPr>
              <w:t>loss) arising from revaluation of long service leave liability</w:t>
            </w:r>
          </w:p>
        </w:tc>
        <w:tc>
          <w:tcPr>
            <w:tcW w:w="1299" w:type="dxa"/>
            <w:tcBorders>
              <w:top w:val="single" w:sz="4" w:space="0" w:color="A6A6A6" w:themeColor="accent5"/>
            </w:tcBorders>
            <w:shd w:val="clear" w:color="auto" w:fill="EEEEEF" w:themeFill="accent4"/>
            <w:noWrap/>
            <w:hideMark/>
          </w:tcPr>
          <w:p w14:paraId="1BEBE2F3" w14:textId="77777777" w:rsidR="00265792" w:rsidRPr="00B73580" w:rsidRDefault="00265792" w:rsidP="00B73580">
            <w:pPr>
              <w:pStyle w:val="ARfintablebodyright"/>
              <w:rPr>
                <w:lang w:val="en-US"/>
              </w:rPr>
            </w:pPr>
            <w:r w:rsidRPr="00B73580">
              <w:rPr>
                <w:lang w:val="en-US"/>
              </w:rPr>
              <w:t>(4.9)</w:t>
            </w:r>
          </w:p>
        </w:tc>
        <w:tc>
          <w:tcPr>
            <w:tcW w:w="1300" w:type="dxa"/>
            <w:tcBorders>
              <w:top w:val="single" w:sz="4" w:space="0" w:color="A6A6A6" w:themeColor="accent5"/>
            </w:tcBorders>
            <w:noWrap/>
            <w:hideMark/>
          </w:tcPr>
          <w:p w14:paraId="436E5619" w14:textId="77777777" w:rsidR="00265792" w:rsidRPr="00B73580" w:rsidRDefault="00265792" w:rsidP="00B73580">
            <w:pPr>
              <w:pStyle w:val="ARfintablebodyright"/>
              <w:rPr>
                <w:lang w:val="en-US"/>
              </w:rPr>
            </w:pPr>
            <w:r w:rsidRPr="00B73580">
              <w:rPr>
                <w:lang w:val="en-US"/>
              </w:rPr>
              <w:t>(1.7)</w:t>
            </w:r>
          </w:p>
        </w:tc>
      </w:tr>
      <w:tr w:rsidR="00265792" w:rsidRPr="00B73580" w14:paraId="07DCDB85" w14:textId="77777777" w:rsidTr="00D930D0">
        <w:trPr>
          <w:trHeight w:val="255"/>
        </w:trPr>
        <w:tc>
          <w:tcPr>
            <w:tcW w:w="7033" w:type="dxa"/>
            <w:noWrap/>
            <w:hideMark/>
          </w:tcPr>
          <w:p w14:paraId="79EC5620" w14:textId="77777777" w:rsidR="00265792" w:rsidRPr="00B73580" w:rsidRDefault="00265792" w:rsidP="00B73580">
            <w:pPr>
              <w:pStyle w:val="ARfintablebody"/>
              <w:rPr>
                <w:lang w:val="en-US"/>
              </w:rPr>
            </w:pPr>
            <w:r w:rsidRPr="00B73580">
              <w:rPr>
                <w:lang w:val="en-US"/>
              </w:rPr>
              <w:t>Revaluation and adjustments of insurance claims</w:t>
            </w:r>
          </w:p>
        </w:tc>
        <w:tc>
          <w:tcPr>
            <w:tcW w:w="1299" w:type="dxa"/>
            <w:shd w:val="clear" w:color="auto" w:fill="EEEEEF" w:themeFill="accent4"/>
            <w:noWrap/>
            <w:hideMark/>
          </w:tcPr>
          <w:p w14:paraId="7AB0FCA3" w14:textId="77777777" w:rsidR="00265792" w:rsidRPr="00B73580" w:rsidRDefault="00265792" w:rsidP="00B73580">
            <w:pPr>
              <w:pStyle w:val="ARfintablebodyright"/>
              <w:rPr>
                <w:lang w:val="en-US"/>
              </w:rPr>
            </w:pPr>
            <w:r w:rsidRPr="00B73580">
              <w:rPr>
                <w:lang w:val="en-US"/>
              </w:rPr>
              <w:t>(38.5)</w:t>
            </w:r>
          </w:p>
        </w:tc>
        <w:tc>
          <w:tcPr>
            <w:tcW w:w="1300" w:type="dxa"/>
            <w:noWrap/>
            <w:hideMark/>
          </w:tcPr>
          <w:p w14:paraId="72D8F285" w14:textId="77777777" w:rsidR="00265792" w:rsidRPr="00B73580" w:rsidRDefault="00265792" w:rsidP="00B73580">
            <w:pPr>
              <w:pStyle w:val="ARfintablebodyright"/>
              <w:rPr>
                <w:lang w:val="en-US"/>
              </w:rPr>
            </w:pPr>
            <w:r w:rsidRPr="00B73580">
              <w:rPr>
                <w:lang w:val="en-US"/>
              </w:rPr>
              <w:t>(27.4)</w:t>
            </w:r>
          </w:p>
        </w:tc>
      </w:tr>
      <w:tr w:rsidR="00265792" w:rsidRPr="00B73580" w14:paraId="3E4C8D51" w14:textId="77777777" w:rsidTr="00D930D0">
        <w:trPr>
          <w:trHeight w:val="255"/>
        </w:trPr>
        <w:tc>
          <w:tcPr>
            <w:tcW w:w="7033" w:type="dxa"/>
            <w:noWrap/>
            <w:hideMark/>
          </w:tcPr>
          <w:p w14:paraId="3EDE32E4" w14:textId="77777777" w:rsidR="00265792" w:rsidRPr="00B73580" w:rsidRDefault="00265792" w:rsidP="00B73580">
            <w:pPr>
              <w:pStyle w:val="ARfintablebody"/>
              <w:rPr>
                <w:lang w:val="en-US"/>
              </w:rPr>
            </w:pPr>
            <w:r w:rsidRPr="00B73580">
              <w:rPr>
                <w:lang w:val="en-US"/>
              </w:rPr>
              <w:t>Bad debt expenses</w:t>
            </w:r>
          </w:p>
        </w:tc>
        <w:tc>
          <w:tcPr>
            <w:tcW w:w="1299" w:type="dxa"/>
            <w:shd w:val="clear" w:color="auto" w:fill="EEEEEF" w:themeFill="accent4"/>
            <w:noWrap/>
            <w:hideMark/>
          </w:tcPr>
          <w:p w14:paraId="6D5329CB" w14:textId="77777777" w:rsidR="00265792" w:rsidRPr="00B73580" w:rsidRDefault="00265792" w:rsidP="00B73580">
            <w:pPr>
              <w:pStyle w:val="ARfintablebodyright"/>
              <w:rPr>
                <w:lang w:val="en-US"/>
              </w:rPr>
            </w:pPr>
            <w:r w:rsidRPr="00B73580">
              <w:rPr>
                <w:lang w:val="en-US"/>
              </w:rPr>
              <w:t>(5.8)</w:t>
            </w:r>
          </w:p>
        </w:tc>
        <w:tc>
          <w:tcPr>
            <w:tcW w:w="1300" w:type="dxa"/>
            <w:noWrap/>
            <w:hideMark/>
          </w:tcPr>
          <w:p w14:paraId="2A775033" w14:textId="77777777" w:rsidR="00265792" w:rsidRPr="00B73580" w:rsidRDefault="00265792" w:rsidP="00B73580">
            <w:pPr>
              <w:pStyle w:val="ARfintablebodyright"/>
              <w:rPr>
                <w:lang w:val="en-US"/>
              </w:rPr>
            </w:pPr>
            <w:r w:rsidRPr="00B73580">
              <w:rPr>
                <w:lang w:val="en-US"/>
              </w:rPr>
              <w:t>(1.0)</w:t>
            </w:r>
          </w:p>
        </w:tc>
      </w:tr>
      <w:tr w:rsidR="00265792" w:rsidRPr="00B73580" w14:paraId="38109446" w14:textId="77777777" w:rsidTr="00D930D0">
        <w:trPr>
          <w:cnfStyle w:val="010000000000" w:firstRow="0" w:lastRow="1" w:firstColumn="0" w:lastColumn="0" w:oddVBand="0" w:evenVBand="0" w:oddHBand="0" w:evenHBand="0" w:firstRowFirstColumn="0" w:firstRowLastColumn="0" w:lastRowFirstColumn="0" w:lastRowLastColumn="0"/>
          <w:trHeight w:val="270"/>
        </w:trPr>
        <w:tc>
          <w:tcPr>
            <w:tcW w:w="7033" w:type="dxa"/>
            <w:noWrap/>
            <w:hideMark/>
          </w:tcPr>
          <w:p w14:paraId="19D63FA2" w14:textId="77777777" w:rsidR="00265792" w:rsidRPr="00B73580" w:rsidRDefault="00265792" w:rsidP="00D930D0">
            <w:pPr>
              <w:pStyle w:val="ARfintablebodybold"/>
              <w:rPr>
                <w:lang w:val="en-US"/>
              </w:rPr>
            </w:pPr>
            <w:r w:rsidRPr="00B73580">
              <w:rPr>
                <w:lang w:val="en-US"/>
              </w:rPr>
              <w:t xml:space="preserve">Total other </w:t>
            </w:r>
            <w:proofErr w:type="gramStart"/>
            <w:r w:rsidRPr="00B73580">
              <w:rPr>
                <w:lang w:val="en-US"/>
              </w:rPr>
              <w:t>gains/(</w:t>
            </w:r>
            <w:proofErr w:type="gramEnd"/>
            <w:r w:rsidRPr="00B73580">
              <w:rPr>
                <w:lang w:val="en-US"/>
              </w:rPr>
              <w:t>losses) from other economic flows</w:t>
            </w:r>
          </w:p>
        </w:tc>
        <w:tc>
          <w:tcPr>
            <w:tcW w:w="1299" w:type="dxa"/>
            <w:shd w:val="clear" w:color="auto" w:fill="EEEEEF" w:themeFill="accent4"/>
            <w:noWrap/>
            <w:hideMark/>
          </w:tcPr>
          <w:p w14:paraId="4B53F035" w14:textId="77777777" w:rsidR="00265792" w:rsidRPr="00B73580" w:rsidRDefault="00265792" w:rsidP="00D930D0">
            <w:pPr>
              <w:pStyle w:val="ARfintablebodyrightbold"/>
              <w:rPr>
                <w:lang w:val="en-US"/>
              </w:rPr>
            </w:pPr>
            <w:r w:rsidRPr="00B73580">
              <w:rPr>
                <w:lang w:val="en-US"/>
              </w:rPr>
              <w:t>(49.2)</w:t>
            </w:r>
          </w:p>
        </w:tc>
        <w:tc>
          <w:tcPr>
            <w:tcW w:w="1300" w:type="dxa"/>
            <w:noWrap/>
            <w:hideMark/>
          </w:tcPr>
          <w:p w14:paraId="6E331098" w14:textId="77777777" w:rsidR="00265792" w:rsidRPr="00B73580" w:rsidRDefault="00265792" w:rsidP="00D930D0">
            <w:pPr>
              <w:pStyle w:val="ARfintablebodyrightbold"/>
              <w:rPr>
                <w:lang w:val="en-US"/>
              </w:rPr>
            </w:pPr>
            <w:r w:rsidRPr="00B73580">
              <w:rPr>
                <w:lang w:val="en-US"/>
              </w:rPr>
              <w:t>(30.1)</w:t>
            </w:r>
          </w:p>
        </w:tc>
      </w:tr>
    </w:tbl>
    <w:p w14:paraId="6F152169" w14:textId="77777777" w:rsidR="00265792" w:rsidRDefault="00265792" w:rsidP="006B6650">
      <w:pPr>
        <w:pStyle w:val="ARfintablebody"/>
      </w:pPr>
      <w:r>
        <w:br w:type="page"/>
      </w:r>
    </w:p>
    <w:p w14:paraId="18AFAD23" w14:textId="77777777" w:rsidR="00265792" w:rsidRDefault="00265792" w:rsidP="00B73580">
      <w:pPr>
        <w:pStyle w:val="Heading5"/>
      </w:pPr>
      <w:bookmarkStart w:id="287" w:name="_9.3_Reserves"/>
      <w:bookmarkEnd w:id="287"/>
      <w:r w:rsidRPr="00B73580">
        <w:lastRenderedPageBreak/>
        <w:t>9.3 Reserves</w:t>
      </w:r>
    </w:p>
    <w:tbl>
      <w:tblPr>
        <w:tblStyle w:val="TableGrid"/>
        <w:tblW w:w="0" w:type="auto"/>
        <w:tblLayout w:type="fixed"/>
        <w:tblLook w:val="04E0" w:firstRow="1" w:lastRow="1" w:firstColumn="1" w:lastColumn="0" w:noHBand="0" w:noVBand="1"/>
      </w:tblPr>
      <w:tblGrid>
        <w:gridCol w:w="6946"/>
        <w:gridCol w:w="1418"/>
        <w:gridCol w:w="1268"/>
      </w:tblGrid>
      <w:tr w:rsidR="00265792" w:rsidRPr="00B73580" w14:paraId="349B18D6" w14:textId="77777777" w:rsidTr="00F62BD6">
        <w:trPr>
          <w:cnfStyle w:val="100000000000" w:firstRow="1" w:lastRow="0" w:firstColumn="0" w:lastColumn="0" w:oddVBand="0" w:evenVBand="0" w:oddHBand="0" w:evenHBand="0" w:firstRowFirstColumn="0" w:firstRowLastColumn="0" w:lastRowFirstColumn="0" w:lastRowLastColumn="0"/>
          <w:trHeight w:val="255"/>
          <w:tblHeader/>
        </w:trPr>
        <w:tc>
          <w:tcPr>
            <w:tcW w:w="6946" w:type="dxa"/>
            <w:noWrap/>
            <w:hideMark/>
          </w:tcPr>
          <w:p w14:paraId="2691D216" w14:textId="77777777" w:rsidR="00265792" w:rsidRPr="00B73580" w:rsidRDefault="00265792" w:rsidP="00B73580">
            <w:pPr>
              <w:pStyle w:val="ARfinbodylargespace"/>
              <w:rPr>
                <w:b/>
                <w:bCs/>
              </w:rPr>
            </w:pPr>
          </w:p>
        </w:tc>
        <w:tc>
          <w:tcPr>
            <w:tcW w:w="1418" w:type="dxa"/>
            <w:shd w:val="clear" w:color="auto" w:fill="EEEEEF" w:themeFill="accent4"/>
            <w:noWrap/>
            <w:hideMark/>
          </w:tcPr>
          <w:p w14:paraId="43355C93" w14:textId="77777777" w:rsidR="00265792" w:rsidRPr="00D32290" w:rsidRDefault="00265792" w:rsidP="00D32290">
            <w:pPr>
              <w:pStyle w:val="ARfintablecolheadright"/>
            </w:pPr>
            <w:r w:rsidRPr="00D32290">
              <w:t>2025</w:t>
            </w:r>
          </w:p>
          <w:p w14:paraId="712D5149" w14:textId="77777777" w:rsidR="00265792" w:rsidRPr="00D32290" w:rsidRDefault="00265792" w:rsidP="00D32290">
            <w:pPr>
              <w:pStyle w:val="ARfintablecolheadright"/>
            </w:pPr>
            <w:r w:rsidRPr="00D32290">
              <w:t>$M</w:t>
            </w:r>
          </w:p>
        </w:tc>
        <w:tc>
          <w:tcPr>
            <w:tcW w:w="1268" w:type="dxa"/>
            <w:noWrap/>
            <w:hideMark/>
          </w:tcPr>
          <w:p w14:paraId="72944E35" w14:textId="77777777" w:rsidR="00265792" w:rsidRPr="00D32290" w:rsidRDefault="00265792" w:rsidP="00D32290">
            <w:pPr>
              <w:pStyle w:val="ARfintablecolheadright"/>
            </w:pPr>
            <w:r w:rsidRPr="00D32290">
              <w:t>2024</w:t>
            </w:r>
          </w:p>
          <w:p w14:paraId="3E894EA6" w14:textId="77777777" w:rsidR="00265792" w:rsidRPr="00D32290" w:rsidRDefault="00265792" w:rsidP="00D32290">
            <w:pPr>
              <w:pStyle w:val="ARfintablecolheadright"/>
            </w:pPr>
            <w:r w:rsidRPr="00D32290">
              <w:t>$M</w:t>
            </w:r>
          </w:p>
        </w:tc>
      </w:tr>
      <w:tr w:rsidR="00265792" w:rsidRPr="00B73580" w14:paraId="066CF6B6" w14:textId="77777777" w:rsidTr="00F62BD6">
        <w:trPr>
          <w:trHeight w:val="255"/>
        </w:trPr>
        <w:tc>
          <w:tcPr>
            <w:tcW w:w="6946" w:type="dxa"/>
            <w:noWrap/>
            <w:hideMark/>
          </w:tcPr>
          <w:p w14:paraId="3D149E1D" w14:textId="77777777" w:rsidR="00265792" w:rsidRPr="006F6E7C" w:rsidRDefault="00265792" w:rsidP="000F1E93">
            <w:pPr>
              <w:pStyle w:val="ARfintablebodyboldcoloured"/>
            </w:pPr>
            <w:r w:rsidRPr="006F6E7C">
              <w:t>(a) Accumulated surplus/(deficit)</w:t>
            </w:r>
          </w:p>
        </w:tc>
        <w:tc>
          <w:tcPr>
            <w:tcW w:w="1418" w:type="dxa"/>
            <w:noWrap/>
            <w:hideMark/>
          </w:tcPr>
          <w:p w14:paraId="5B02863D" w14:textId="77777777" w:rsidR="00265792" w:rsidRPr="00B73580" w:rsidRDefault="00265792" w:rsidP="00B73580">
            <w:pPr>
              <w:pStyle w:val="ARfintablebodyright"/>
            </w:pPr>
          </w:p>
        </w:tc>
        <w:tc>
          <w:tcPr>
            <w:tcW w:w="1268" w:type="dxa"/>
            <w:noWrap/>
            <w:hideMark/>
          </w:tcPr>
          <w:p w14:paraId="0AE4CBD9" w14:textId="77777777" w:rsidR="00265792" w:rsidRPr="00B73580" w:rsidRDefault="00265792" w:rsidP="00B73580">
            <w:pPr>
              <w:pStyle w:val="ARfintablebodyright"/>
            </w:pPr>
          </w:p>
        </w:tc>
      </w:tr>
      <w:tr w:rsidR="00265792" w:rsidRPr="00B73580" w14:paraId="7B24443D" w14:textId="77777777" w:rsidTr="00F62BD6">
        <w:trPr>
          <w:trHeight w:val="255"/>
        </w:trPr>
        <w:tc>
          <w:tcPr>
            <w:tcW w:w="6946" w:type="dxa"/>
            <w:noWrap/>
            <w:hideMark/>
          </w:tcPr>
          <w:p w14:paraId="1D416468" w14:textId="77777777" w:rsidR="00265792" w:rsidRPr="006F6E7C" w:rsidRDefault="00265792" w:rsidP="006F6E7C">
            <w:pPr>
              <w:pStyle w:val="ARfintablebody"/>
            </w:pPr>
            <w:r w:rsidRPr="006F6E7C">
              <w:t>Balance at beginning of financial year</w:t>
            </w:r>
          </w:p>
        </w:tc>
        <w:tc>
          <w:tcPr>
            <w:tcW w:w="1418" w:type="dxa"/>
            <w:shd w:val="clear" w:color="auto" w:fill="EEEEEF" w:themeFill="accent4"/>
            <w:noWrap/>
            <w:hideMark/>
          </w:tcPr>
          <w:p w14:paraId="70B5BDC6" w14:textId="77777777" w:rsidR="00265792" w:rsidRPr="00B73580" w:rsidRDefault="00265792" w:rsidP="00B73580">
            <w:pPr>
              <w:pStyle w:val="ARfintablebodyright"/>
            </w:pPr>
            <w:r w:rsidRPr="00B73580">
              <w:t>(455.4)</w:t>
            </w:r>
          </w:p>
        </w:tc>
        <w:tc>
          <w:tcPr>
            <w:tcW w:w="1268" w:type="dxa"/>
            <w:noWrap/>
            <w:hideMark/>
          </w:tcPr>
          <w:p w14:paraId="073E4686" w14:textId="77777777" w:rsidR="00265792" w:rsidRPr="00B73580" w:rsidRDefault="00265792" w:rsidP="00B73580">
            <w:pPr>
              <w:pStyle w:val="ARfintablebodyright"/>
            </w:pPr>
            <w:r w:rsidRPr="00B73580">
              <w:t>180.9</w:t>
            </w:r>
          </w:p>
        </w:tc>
      </w:tr>
      <w:tr w:rsidR="00265792" w:rsidRPr="00B73580" w14:paraId="0E599AA9" w14:textId="77777777" w:rsidTr="00F62BD6">
        <w:trPr>
          <w:trHeight w:val="255"/>
        </w:trPr>
        <w:tc>
          <w:tcPr>
            <w:tcW w:w="6946" w:type="dxa"/>
            <w:tcBorders>
              <w:bottom w:val="single" w:sz="4" w:space="0" w:color="A6A6A6" w:themeColor="accent5"/>
            </w:tcBorders>
            <w:noWrap/>
            <w:hideMark/>
          </w:tcPr>
          <w:p w14:paraId="395AD5E4" w14:textId="77777777" w:rsidR="00265792" w:rsidRPr="006F6E7C" w:rsidRDefault="00265792" w:rsidP="006F6E7C">
            <w:pPr>
              <w:pStyle w:val="ARfintablebody"/>
            </w:pPr>
            <w:r w:rsidRPr="006F6E7C">
              <w:t>Net result for the year</w:t>
            </w:r>
          </w:p>
        </w:tc>
        <w:tc>
          <w:tcPr>
            <w:tcW w:w="1418" w:type="dxa"/>
            <w:tcBorders>
              <w:bottom w:val="single" w:sz="4" w:space="0" w:color="A6A6A6" w:themeColor="accent5"/>
            </w:tcBorders>
            <w:shd w:val="clear" w:color="auto" w:fill="EEEEEF" w:themeFill="accent4"/>
            <w:noWrap/>
            <w:hideMark/>
          </w:tcPr>
          <w:p w14:paraId="6CCC5DDF" w14:textId="77777777" w:rsidR="00265792" w:rsidRPr="00B73580" w:rsidRDefault="00265792" w:rsidP="00B73580">
            <w:pPr>
              <w:pStyle w:val="ARfintablebodyright"/>
            </w:pPr>
            <w:r w:rsidRPr="00B73580">
              <w:t>(522.2)</w:t>
            </w:r>
          </w:p>
        </w:tc>
        <w:tc>
          <w:tcPr>
            <w:tcW w:w="1268" w:type="dxa"/>
            <w:tcBorders>
              <w:bottom w:val="single" w:sz="4" w:space="0" w:color="A6A6A6" w:themeColor="accent5"/>
            </w:tcBorders>
            <w:noWrap/>
            <w:hideMark/>
          </w:tcPr>
          <w:p w14:paraId="773A303D" w14:textId="77777777" w:rsidR="00265792" w:rsidRPr="00B73580" w:rsidRDefault="00265792" w:rsidP="00B73580">
            <w:pPr>
              <w:pStyle w:val="ARfintablebodyright"/>
            </w:pPr>
            <w:r w:rsidRPr="00B73580">
              <w:t>(638.4)</w:t>
            </w:r>
          </w:p>
        </w:tc>
      </w:tr>
      <w:tr w:rsidR="00265792" w:rsidRPr="00B73580" w14:paraId="045AD4E7" w14:textId="77777777" w:rsidTr="00F62BD6">
        <w:trPr>
          <w:trHeight w:val="255"/>
        </w:trPr>
        <w:tc>
          <w:tcPr>
            <w:tcW w:w="6946" w:type="dxa"/>
            <w:tcBorders>
              <w:top w:val="single" w:sz="4" w:space="0" w:color="A6A6A6" w:themeColor="accent5"/>
              <w:bottom w:val="single" w:sz="4" w:space="0" w:color="auto"/>
            </w:tcBorders>
            <w:noWrap/>
            <w:hideMark/>
          </w:tcPr>
          <w:p w14:paraId="1E8EFAAC" w14:textId="77777777" w:rsidR="00265792" w:rsidRPr="006F6E7C" w:rsidRDefault="00265792" w:rsidP="006F6E7C">
            <w:pPr>
              <w:pStyle w:val="ARfintablebody"/>
            </w:pPr>
            <w:r w:rsidRPr="006F6E7C">
              <w:t>Remeasurement of superannuation defined benefit plans</w:t>
            </w:r>
          </w:p>
        </w:tc>
        <w:tc>
          <w:tcPr>
            <w:tcW w:w="1418" w:type="dxa"/>
            <w:tcBorders>
              <w:top w:val="single" w:sz="4" w:space="0" w:color="A6A6A6" w:themeColor="accent5"/>
              <w:bottom w:val="single" w:sz="4" w:space="0" w:color="auto"/>
            </w:tcBorders>
            <w:shd w:val="clear" w:color="auto" w:fill="EEEEEF" w:themeFill="accent4"/>
            <w:noWrap/>
            <w:hideMark/>
          </w:tcPr>
          <w:p w14:paraId="6E335194" w14:textId="77777777" w:rsidR="00265792" w:rsidRPr="00B73580" w:rsidRDefault="00265792" w:rsidP="00B73580">
            <w:pPr>
              <w:pStyle w:val="ARfintablebodyright"/>
            </w:pPr>
            <w:r w:rsidRPr="00B73580">
              <w:t>(1.2)</w:t>
            </w:r>
          </w:p>
        </w:tc>
        <w:tc>
          <w:tcPr>
            <w:tcW w:w="1268" w:type="dxa"/>
            <w:tcBorders>
              <w:top w:val="single" w:sz="4" w:space="0" w:color="A6A6A6" w:themeColor="accent5"/>
              <w:bottom w:val="single" w:sz="4" w:space="0" w:color="auto"/>
            </w:tcBorders>
            <w:noWrap/>
            <w:hideMark/>
          </w:tcPr>
          <w:p w14:paraId="41CD8457" w14:textId="77777777" w:rsidR="00265792" w:rsidRPr="00B73580" w:rsidRDefault="00265792" w:rsidP="00B73580">
            <w:pPr>
              <w:pStyle w:val="ARfintablebodyright"/>
            </w:pPr>
            <w:r w:rsidRPr="00B73580">
              <w:t>2.1</w:t>
            </w:r>
          </w:p>
        </w:tc>
      </w:tr>
      <w:tr w:rsidR="00265792" w:rsidRPr="00B73580" w14:paraId="31107639" w14:textId="77777777" w:rsidTr="00F62BD6">
        <w:trPr>
          <w:trHeight w:val="270"/>
        </w:trPr>
        <w:tc>
          <w:tcPr>
            <w:tcW w:w="6946" w:type="dxa"/>
            <w:tcBorders>
              <w:top w:val="single" w:sz="4" w:space="0" w:color="auto"/>
              <w:bottom w:val="single" w:sz="4" w:space="0" w:color="auto"/>
            </w:tcBorders>
            <w:noWrap/>
            <w:hideMark/>
          </w:tcPr>
          <w:p w14:paraId="2BA6467C" w14:textId="77777777" w:rsidR="00265792" w:rsidRPr="006F6E7C" w:rsidRDefault="00265792" w:rsidP="000F1E93">
            <w:pPr>
              <w:pStyle w:val="ARfintablebodybold"/>
            </w:pPr>
            <w:r w:rsidRPr="006F6E7C">
              <w:t>Balance at the end of financial year</w:t>
            </w:r>
          </w:p>
        </w:tc>
        <w:tc>
          <w:tcPr>
            <w:tcW w:w="1418" w:type="dxa"/>
            <w:tcBorders>
              <w:top w:val="single" w:sz="4" w:space="0" w:color="auto"/>
              <w:bottom w:val="single" w:sz="4" w:space="0" w:color="auto"/>
            </w:tcBorders>
            <w:shd w:val="clear" w:color="auto" w:fill="EEEEEF" w:themeFill="accent4"/>
            <w:noWrap/>
            <w:hideMark/>
          </w:tcPr>
          <w:p w14:paraId="24EACF1A" w14:textId="77777777" w:rsidR="00265792" w:rsidRPr="00B73580" w:rsidRDefault="00265792" w:rsidP="00724C8B">
            <w:pPr>
              <w:pStyle w:val="ARfintablebodyrightbold"/>
            </w:pPr>
            <w:r w:rsidRPr="00B73580">
              <w:t>(978.8)</w:t>
            </w:r>
          </w:p>
        </w:tc>
        <w:tc>
          <w:tcPr>
            <w:tcW w:w="1268" w:type="dxa"/>
            <w:tcBorders>
              <w:top w:val="single" w:sz="4" w:space="0" w:color="auto"/>
              <w:bottom w:val="single" w:sz="4" w:space="0" w:color="auto"/>
            </w:tcBorders>
            <w:noWrap/>
            <w:hideMark/>
          </w:tcPr>
          <w:p w14:paraId="5F17D9EE" w14:textId="77777777" w:rsidR="00265792" w:rsidRPr="00B73580" w:rsidRDefault="00265792" w:rsidP="00724C8B">
            <w:pPr>
              <w:pStyle w:val="ARfintablebodyrightbold"/>
            </w:pPr>
            <w:r w:rsidRPr="00B73580">
              <w:t>(455.4)</w:t>
            </w:r>
          </w:p>
        </w:tc>
      </w:tr>
      <w:tr w:rsidR="00265792" w:rsidRPr="00B73580" w14:paraId="493FEDFE" w14:textId="77777777" w:rsidTr="00F62BD6">
        <w:trPr>
          <w:trHeight w:val="255"/>
        </w:trPr>
        <w:tc>
          <w:tcPr>
            <w:tcW w:w="6946" w:type="dxa"/>
            <w:tcBorders>
              <w:top w:val="single" w:sz="4" w:space="0" w:color="auto"/>
              <w:bottom w:val="single" w:sz="4" w:space="0" w:color="A6A6A6" w:themeColor="accent5"/>
            </w:tcBorders>
            <w:noWrap/>
            <w:hideMark/>
          </w:tcPr>
          <w:p w14:paraId="5F943EB9" w14:textId="77777777" w:rsidR="00265792" w:rsidRPr="006F6E7C" w:rsidRDefault="00265792" w:rsidP="000F1E93">
            <w:pPr>
              <w:pStyle w:val="ARfintablebodyboldcoloured"/>
            </w:pPr>
            <w:r w:rsidRPr="006F6E7C">
              <w:t>(b) Physical asset revaluation surplus</w:t>
            </w:r>
          </w:p>
        </w:tc>
        <w:tc>
          <w:tcPr>
            <w:tcW w:w="1418" w:type="dxa"/>
            <w:tcBorders>
              <w:top w:val="single" w:sz="4" w:space="0" w:color="auto"/>
              <w:bottom w:val="single" w:sz="4" w:space="0" w:color="A6A6A6" w:themeColor="accent5"/>
            </w:tcBorders>
            <w:noWrap/>
            <w:hideMark/>
          </w:tcPr>
          <w:p w14:paraId="55372D20" w14:textId="77777777" w:rsidR="00265792" w:rsidRPr="00B73580" w:rsidRDefault="00265792" w:rsidP="00B73580">
            <w:pPr>
              <w:pStyle w:val="ARfintablebodyright"/>
            </w:pPr>
          </w:p>
        </w:tc>
        <w:tc>
          <w:tcPr>
            <w:tcW w:w="1268" w:type="dxa"/>
            <w:tcBorders>
              <w:top w:val="single" w:sz="4" w:space="0" w:color="auto"/>
              <w:bottom w:val="single" w:sz="4" w:space="0" w:color="A6A6A6" w:themeColor="accent5"/>
            </w:tcBorders>
            <w:noWrap/>
            <w:hideMark/>
          </w:tcPr>
          <w:p w14:paraId="40CB105F" w14:textId="77777777" w:rsidR="00265792" w:rsidRPr="00B73580" w:rsidRDefault="00265792" w:rsidP="00B73580">
            <w:pPr>
              <w:pStyle w:val="ARfintablebodyright"/>
            </w:pPr>
          </w:p>
        </w:tc>
      </w:tr>
      <w:tr w:rsidR="00265792" w:rsidRPr="00B73580" w14:paraId="2F8363D0" w14:textId="77777777" w:rsidTr="00F62BD6">
        <w:trPr>
          <w:trHeight w:val="255"/>
        </w:trPr>
        <w:tc>
          <w:tcPr>
            <w:tcW w:w="6946" w:type="dxa"/>
            <w:tcBorders>
              <w:top w:val="single" w:sz="4" w:space="0" w:color="A6A6A6" w:themeColor="accent5"/>
              <w:bottom w:val="single" w:sz="4" w:space="0" w:color="A6A6A6" w:themeColor="accent5"/>
            </w:tcBorders>
            <w:noWrap/>
            <w:hideMark/>
          </w:tcPr>
          <w:p w14:paraId="349A0F2D" w14:textId="77777777" w:rsidR="00265792" w:rsidRPr="006F6E7C" w:rsidRDefault="00265792" w:rsidP="006F6E7C">
            <w:pPr>
              <w:pStyle w:val="ARfintablebody"/>
            </w:pPr>
            <w:r w:rsidRPr="006F6E7C">
              <w:t>Balance at beginning of financial year</w:t>
            </w:r>
          </w:p>
        </w:tc>
        <w:tc>
          <w:tcPr>
            <w:tcW w:w="1418" w:type="dxa"/>
            <w:tcBorders>
              <w:top w:val="single" w:sz="4" w:space="0" w:color="A6A6A6" w:themeColor="accent5"/>
              <w:bottom w:val="single" w:sz="4" w:space="0" w:color="A6A6A6" w:themeColor="accent5"/>
            </w:tcBorders>
            <w:shd w:val="clear" w:color="auto" w:fill="EEEEEF" w:themeFill="accent4"/>
            <w:noWrap/>
            <w:hideMark/>
          </w:tcPr>
          <w:p w14:paraId="15450C63" w14:textId="77777777" w:rsidR="00265792" w:rsidRPr="00B73580" w:rsidRDefault="00265792" w:rsidP="00B73580">
            <w:pPr>
              <w:pStyle w:val="ARfintablebodyright"/>
            </w:pPr>
            <w:r w:rsidRPr="00B73580">
              <w:t>8,756.2</w:t>
            </w:r>
          </w:p>
        </w:tc>
        <w:tc>
          <w:tcPr>
            <w:tcW w:w="1268" w:type="dxa"/>
            <w:tcBorders>
              <w:top w:val="single" w:sz="4" w:space="0" w:color="A6A6A6" w:themeColor="accent5"/>
              <w:bottom w:val="single" w:sz="4" w:space="0" w:color="A6A6A6" w:themeColor="accent5"/>
            </w:tcBorders>
            <w:noWrap/>
            <w:hideMark/>
          </w:tcPr>
          <w:p w14:paraId="14F9000B" w14:textId="77777777" w:rsidR="00265792" w:rsidRPr="00B73580" w:rsidRDefault="00265792" w:rsidP="00B73580">
            <w:pPr>
              <w:pStyle w:val="ARfintablebodyright"/>
            </w:pPr>
            <w:r w:rsidRPr="00B73580">
              <w:t>7,570.5</w:t>
            </w:r>
          </w:p>
        </w:tc>
      </w:tr>
      <w:tr w:rsidR="00265792" w:rsidRPr="00B73580" w14:paraId="19E42268" w14:textId="77777777" w:rsidTr="00F62BD6">
        <w:trPr>
          <w:trHeight w:val="255"/>
        </w:trPr>
        <w:tc>
          <w:tcPr>
            <w:tcW w:w="6946" w:type="dxa"/>
            <w:tcBorders>
              <w:top w:val="single" w:sz="4" w:space="0" w:color="A6A6A6" w:themeColor="accent5"/>
              <w:bottom w:val="single" w:sz="4" w:space="0" w:color="auto"/>
            </w:tcBorders>
            <w:noWrap/>
            <w:hideMark/>
          </w:tcPr>
          <w:p w14:paraId="5E98F6C8" w14:textId="77777777" w:rsidR="00265792" w:rsidRPr="006F6E7C" w:rsidRDefault="00265792" w:rsidP="006F6E7C">
            <w:pPr>
              <w:pStyle w:val="ARfintablebody"/>
            </w:pPr>
            <w:r w:rsidRPr="006F6E7C">
              <w:t xml:space="preserve">Revaluation increments/(decrements) of land and buildings </w:t>
            </w:r>
            <w:r w:rsidRPr="002670E2">
              <w:rPr>
                <w:vertAlign w:val="superscript"/>
              </w:rPr>
              <w:t>(</w:t>
            </w:r>
            <w:proofErr w:type="spellStart"/>
            <w:r w:rsidRPr="002670E2">
              <w:rPr>
                <w:vertAlign w:val="superscript"/>
              </w:rPr>
              <w:t>i</w:t>
            </w:r>
            <w:proofErr w:type="spellEnd"/>
            <w:r w:rsidRPr="002670E2">
              <w:rPr>
                <w:vertAlign w:val="superscript"/>
              </w:rPr>
              <w:t>)</w:t>
            </w:r>
          </w:p>
        </w:tc>
        <w:tc>
          <w:tcPr>
            <w:tcW w:w="1418" w:type="dxa"/>
            <w:tcBorders>
              <w:top w:val="single" w:sz="4" w:space="0" w:color="A6A6A6" w:themeColor="accent5"/>
              <w:bottom w:val="single" w:sz="4" w:space="0" w:color="auto"/>
            </w:tcBorders>
            <w:shd w:val="clear" w:color="auto" w:fill="EEEEEF" w:themeFill="accent4"/>
            <w:noWrap/>
            <w:hideMark/>
          </w:tcPr>
          <w:p w14:paraId="2D4036CA" w14:textId="77777777" w:rsidR="00265792" w:rsidRPr="00B73580" w:rsidRDefault="00265792" w:rsidP="00B73580">
            <w:pPr>
              <w:pStyle w:val="ARfintablebodyright"/>
            </w:pPr>
            <w:r w:rsidRPr="00B73580">
              <w:t>(1.7)</w:t>
            </w:r>
          </w:p>
        </w:tc>
        <w:tc>
          <w:tcPr>
            <w:tcW w:w="1268" w:type="dxa"/>
            <w:tcBorders>
              <w:top w:val="single" w:sz="4" w:space="0" w:color="A6A6A6" w:themeColor="accent5"/>
              <w:bottom w:val="single" w:sz="4" w:space="0" w:color="auto"/>
            </w:tcBorders>
            <w:noWrap/>
            <w:hideMark/>
          </w:tcPr>
          <w:p w14:paraId="1382BEF3" w14:textId="77777777" w:rsidR="00265792" w:rsidRPr="00B73580" w:rsidRDefault="00265792" w:rsidP="00B73580">
            <w:pPr>
              <w:pStyle w:val="ARfintablebodyright"/>
            </w:pPr>
            <w:r w:rsidRPr="00B73580">
              <w:t>1,185.7</w:t>
            </w:r>
          </w:p>
        </w:tc>
      </w:tr>
      <w:tr w:rsidR="00265792" w:rsidRPr="00B73580" w14:paraId="074901A0" w14:textId="77777777" w:rsidTr="00F62BD6">
        <w:trPr>
          <w:trHeight w:val="270"/>
        </w:trPr>
        <w:tc>
          <w:tcPr>
            <w:tcW w:w="6946" w:type="dxa"/>
            <w:tcBorders>
              <w:top w:val="single" w:sz="4" w:space="0" w:color="auto"/>
              <w:bottom w:val="single" w:sz="4" w:space="0" w:color="auto"/>
            </w:tcBorders>
            <w:noWrap/>
            <w:hideMark/>
          </w:tcPr>
          <w:p w14:paraId="6008B71D" w14:textId="77777777" w:rsidR="00265792" w:rsidRPr="006F6E7C" w:rsidRDefault="00265792" w:rsidP="00724C8B">
            <w:pPr>
              <w:pStyle w:val="ARfintablebodybold"/>
            </w:pPr>
            <w:r w:rsidRPr="006F6E7C">
              <w:t>Balance at the end of financial year</w:t>
            </w:r>
          </w:p>
        </w:tc>
        <w:tc>
          <w:tcPr>
            <w:tcW w:w="1418" w:type="dxa"/>
            <w:tcBorders>
              <w:top w:val="single" w:sz="4" w:space="0" w:color="auto"/>
              <w:bottom w:val="single" w:sz="4" w:space="0" w:color="auto"/>
            </w:tcBorders>
            <w:shd w:val="clear" w:color="auto" w:fill="EEEEEF" w:themeFill="accent4"/>
            <w:noWrap/>
            <w:hideMark/>
          </w:tcPr>
          <w:p w14:paraId="4965AA60" w14:textId="77777777" w:rsidR="00265792" w:rsidRPr="00B73580" w:rsidRDefault="00265792" w:rsidP="00724C8B">
            <w:pPr>
              <w:pStyle w:val="ARfintablebodyrightbold"/>
            </w:pPr>
            <w:r w:rsidRPr="00B73580">
              <w:t>8,754.5</w:t>
            </w:r>
          </w:p>
        </w:tc>
        <w:tc>
          <w:tcPr>
            <w:tcW w:w="1268" w:type="dxa"/>
            <w:tcBorders>
              <w:top w:val="single" w:sz="4" w:space="0" w:color="auto"/>
              <w:bottom w:val="single" w:sz="4" w:space="0" w:color="auto"/>
            </w:tcBorders>
            <w:noWrap/>
            <w:hideMark/>
          </w:tcPr>
          <w:p w14:paraId="5C4612B8" w14:textId="77777777" w:rsidR="00265792" w:rsidRPr="00B73580" w:rsidRDefault="00265792" w:rsidP="00724C8B">
            <w:pPr>
              <w:pStyle w:val="ARfintablebodyrightbold"/>
            </w:pPr>
            <w:r w:rsidRPr="00B73580">
              <w:t>8,756.2</w:t>
            </w:r>
          </w:p>
        </w:tc>
      </w:tr>
      <w:tr w:rsidR="00265792" w:rsidRPr="00B73580" w14:paraId="4B40F071" w14:textId="77777777" w:rsidTr="00F62BD6">
        <w:trPr>
          <w:trHeight w:val="255"/>
        </w:trPr>
        <w:tc>
          <w:tcPr>
            <w:tcW w:w="6946" w:type="dxa"/>
            <w:tcBorders>
              <w:top w:val="single" w:sz="4" w:space="0" w:color="auto"/>
              <w:bottom w:val="single" w:sz="4" w:space="0" w:color="auto"/>
            </w:tcBorders>
            <w:noWrap/>
            <w:hideMark/>
          </w:tcPr>
          <w:p w14:paraId="16D0165E" w14:textId="77777777" w:rsidR="00265792" w:rsidRPr="006F6E7C" w:rsidRDefault="00265792" w:rsidP="00724C8B">
            <w:pPr>
              <w:pStyle w:val="ARfintablebodybold"/>
            </w:pPr>
            <w:r w:rsidRPr="006F6E7C">
              <w:t>Physical asset revaluation surplus represented by:</w:t>
            </w:r>
          </w:p>
        </w:tc>
        <w:tc>
          <w:tcPr>
            <w:tcW w:w="1418" w:type="dxa"/>
            <w:tcBorders>
              <w:top w:val="single" w:sz="4" w:space="0" w:color="auto"/>
              <w:bottom w:val="single" w:sz="4" w:space="0" w:color="auto"/>
            </w:tcBorders>
            <w:noWrap/>
            <w:hideMark/>
          </w:tcPr>
          <w:p w14:paraId="47F6D350" w14:textId="77777777" w:rsidR="00265792" w:rsidRPr="00B73580" w:rsidRDefault="00265792" w:rsidP="00B73580">
            <w:pPr>
              <w:pStyle w:val="ARfintablebodyright"/>
            </w:pPr>
          </w:p>
        </w:tc>
        <w:tc>
          <w:tcPr>
            <w:tcW w:w="1268" w:type="dxa"/>
            <w:tcBorders>
              <w:top w:val="single" w:sz="4" w:space="0" w:color="auto"/>
              <w:bottom w:val="single" w:sz="4" w:space="0" w:color="auto"/>
            </w:tcBorders>
            <w:noWrap/>
            <w:hideMark/>
          </w:tcPr>
          <w:p w14:paraId="6315829F" w14:textId="77777777" w:rsidR="00265792" w:rsidRPr="00B73580" w:rsidRDefault="00265792" w:rsidP="00B73580">
            <w:pPr>
              <w:pStyle w:val="ARfintablebodyright"/>
            </w:pPr>
          </w:p>
        </w:tc>
      </w:tr>
      <w:tr w:rsidR="00265792" w:rsidRPr="00B73580" w14:paraId="6BE39F1D" w14:textId="77777777" w:rsidTr="00F62BD6">
        <w:trPr>
          <w:trHeight w:val="255"/>
        </w:trPr>
        <w:tc>
          <w:tcPr>
            <w:tcW w:w="6946" w:type="dxa"/>
            <w:tcBorders>
              <w:top w:val="single" w:sz="4" w:space="0" w:color="auto"/>
              <w:bottom w:val="single" w:sz="4" w:space="0" w:color="A6A6A6" w:themeColor="accent5"/>
            </w:tcBorders>
            <w:noWrap/>
            <w:hideMark/>
          </w:tcPr>
          <w:p w14:paraId="1555015C" w14:textId="77777777" w:rsidR="00265792" w:rsidRPr="006F6E7C" w:rsidRDefault="00265792" w:rsidP="00B24428">
            <w:pPr>
              <w:pStyle w:val="ARfintablebullet1"/>
            </w:pPr>
            <w:r w:rsidRPr="006F6E7C">
              <w:t>Land</w:t>
            </w:r>
          </w:p>
        </w:tc>
        <w:tc>
          <w:tcPr>
            <w:tcW w:w="1418" w:type="dxa"/>
            <w:tcBorders>
              <w:top w:val="single" w:sz="4" w:space="0" w:color="auto"/>
              <w:bottom w:val="single" w:sz="4" w:space="0" w:color="A6A6A6" w:themeColor="accent5"/>
            </w:tcBorders>
            <w:shd w:val="clear" w:color="auto" w:fill="EEEEEF" w:themeFill="accent4"/>
            <w:noWrap/>
            <w:hideMark/>
          </w:tcPr>
          <w:p w14:paraId="7921E5E2" w14:textId="77777777" w:rsidR="00265792" w:rsidRPr="00B73580" w:rsidRDefault="00265792" w:rsidP="00B73580">
            <w:pPr>
              <w:pStyle w:val="ARfintablebodyright"/>
            </w:pPr>
            <w:r w:rsidRPr="00B73580">
              <w:t>6,076.9</w:t>
            </w:r>
          </w:p>
        </w:tc>
        <w:tc>
          <w:tcPr>
            <w:tcW w:w="1268" w:type="dxa"/>
            <w:tcBorders>
              <w:top w:val="single" w:sz="4" w:space="0" w:color="auto"/>
              <w:bottom w:val="single" w:sz="4" w:space="0" w:color="A6A6A6" w:themeColor="accent5"/>
            </w:tcBorders>
            <w:noWrap/>
            <w:hideMark/>
          </w:tcPr>
          <w:p w14:paraId="247D0989" w14:textId="77777777" w:rsidR="00265792" w:rsidRPr="00B73580" w:rsidRDefault="00265792" w:rsidP="00B73580">
            <w:pPr>
              <w:pStyle w:val="ARfintablebodyright"/>
            </w:pPr>
            <w:r w:rsidRPr="00B73580">
              <w:t>6,076.8</w:t>
            </w:r>
          </w:p>
        </w:tc>
      </w:tr>
      <w:tr w:rsidR="00265792" w:rsidRPr="00B73580" w14:paraId="5470CAF0" w14:textId="77777777" w:rsidTr="00F62BD6">
        <w:trPr>
          <w:trHeight w:val="255"/>
        </w:trPr>
        <w:tc>
          <w:tcPr>
            <w:tcW w:w="6946" w:type="dxa"/>
            <w:tcBorders>
              <w:top w:val="single" w:sz="4" w:space="0" w:color="A6A6A6" w:themeColor="accent5"/>
              <w:bottom w:val="single" w:sz="4" w:space="0" w:color="auto"/>
            </w:tcBorders>
            <w:noWrap/>
            <w:hideMark/>
          </w:tcPr>
          <w:p w14:paraId="165C0D47" w14:textId="77777777" w:rsidR="00265792" w:rsidRPr="006F6E7C" w:rsidRDefault="00265792" w:rsidP="00B24428">
            <w:pPr>
              <w:pStyle w:val="ARfintablebullet1"/>
            </w:pPr>
            <w:r w:rsidRPr="006F6E7C">
              <w:t>Buildings</w:t>
            </w:r>
          </w:p>
        </w:tc>
        <w:tc>
          <w:tcPr>
            <w:tcW w:w="1418" w:type="dxa"/>
            <w:tcBorders>
              <w:top w:val="single" w:sz="4" w:space="0" w:color="A6A6A6" w:themeColor="accent5"/>
              <w:bottom w:val="single" w:sz="4" w:space="0" w:color="auto"/>
            </w:tcBorders>
            <w:shd w:val="clear" w:color="auto" w:fill="EEEEEF" w:themeFill="accent4"/>
            <w:noWrap/>
            <w:hideMark/>
          </w:tcPr>
          <w:p w14:paraId="64762C71" w14:textId="77777777" w:rsidR="00265792" w:rsidRPr="00B73580" w:rsidRDefault="00265792" w:rsidP="00B73580">
            <w:pPr>
              <w:pStyle w:val="ARfintablebodyright"/>
            </w:pPr>
            <w:r w:rsidRPr="00B73580">
              <w:t>2,677.6</w:t>
            </w:r>
          </w:p>
        </w:tc>
        <w:tc>
          <w:tcPr>
            <w:tcW w:w="1268" w:type="dxa"/>
            <w:tcBorders>
              <w:top w:val="single" w:sz="4" w:space="0" w:color="A6A6A6" w:themeColor="accent5"/>
              <w:bottom w:val="single" w:sz="4" w:space="0" w:color="auto"/>
            </w:tcBorders>
            <w:noWrap/>
            <w:hideMark/>
          </w:tcPr>
          <w:p w14:paraId="2493C81D" w14:textId="77777777" w:rsidR="00265792" w:rsidRPr="00B73580" w:rsidRDefault="00265792" w:rsidP="00B73580">
            <w:pPr>
              <w:pStyle w:val="ARfintablebodyright"/>
            </w:pPr>
            <w:r w:rsidRPr="00B73580">
              <w:t>2,679.4</w:t>
            </w:r>
          </w:p>
        </w:tc>
      </w:tr>
      <w:tr w:rsidR="00265792" w:rsidRPr="00B73580" w14:paraId="1EE5E910" w14:textId="77777777" w:rsidTr="00F62BD6">
        <w:trPr>
          <w:trHeight w:val="270"/>
        </w:trPr>
        <w:tc>
          <w:tcPr>
            <w:tcW w:w="6946" w:type="dxa"/>
            <w:tcBorders>
              <w:top w:val="single" w:sz="4" w:space="0" w:color="auto"/>
              <w:bottom w:val="single" w:sz="4" w:space="0" w:color="auto"/>
            </w:tcBorders>
            <w:noWrap/>
            <w:hideMark/>
          </w:tcPr>
          <w:p w14:paraId="06264131" w14:textId="77777777" w:rsidR="00265792" w:rsidRPr="006F6E7C" w:rsidRDefault="00265792" w:rsidP="00724C8B">
            <w:pPr>
              <w:pStyle w:val="ARfintablebodybold"/>
            </w:pPr>
            <w:r w:rsidRPr="006F6E7C">
              <w:t>Total physical asset revaluation surplus</w:t>
            </w:r>
          </w:p>
        </w:tc>
        <w:tc>
          <w:tcPr>
            <w:tcW w:w="1418" w:type="dxa"/>
            <w:tcBorders>
              <w:top w:val="single" w:sz="4" w:space="0" w:color="auto"/>
              <w:bottom w:val="single" w:sz="4" w:space="0" w:color="auto"/>
            </w:tcBorders>
            <w:shd w:val="clear" w:color="auto" w:fill="EEEEEF" w:themeFill="accent4"/>
            <w:noWrap/>
            <w:hideMark/>
          </w:tcPr>
          <w:p w14:paraId="049FACC7" w14:textId="77777777" w:rsidR="00265792" w:rsidRPr="00B73580" w:rsidRDefault="00265792" w:rsidP="00724C8B">
            <w:pPr>
              <w:pStyle w:val="ARfintablebodyrightbold"/>
            </w:pPr>
            <w:r w:rsidRPr="00B73580">
              <w:t>8,754.5</w:t>
            </w:r>
          </w:p>
        </w:tc>
        <w:tc>
          <w:tcPr>
            <w:tcW w:w="1268" w:type="dxa"/>
            <w:tcBorders>
              <w:top w:val="single" w:sz="4" w:space="0" w:color="auto"/>
              <w:bottom w:val="single" w:sz="4" w:space="0" w:color="auto"/>
            </w:tcBorders>
            <w:noWrap/>
            <w:hideMark/>
          </w:tcPr>
          <w:p w14:paraId="7CB3F5B4" w14:textId="77777777" w:rsidR="00265792" w:rsidRPr="00B73580" w:rsidRDefault="00265792" w:rsidP="00724C8B">
            <w:pPr>
              <w:pStyle w:val="ARfintablebodyrightbold"/>
            </w:pPr>
            <w:r w:rsidRPr="00B73580">
              <w:t>8,756.2</w:t>
            </w:r>
          </w:p>
        </w:tc>
      </w:tr>
      <w:tr w:rsidR="00265792" w:rsidRPr="00B73580" w14:paraId="353080A6" w14:textId="77777777" w:rsidTr="00F62BD6">
        <w:trPr>
          <w:trHeight w:val="255"/>
        </w:trPr>
        <w:tc>
          <w:tcPr>
            <w:tcW w:w="6946" w:type="dxa"/>
            <w:tcBorders>
              <w:top w:val="single" w:sz="4" w:space="0" w:color="auto"/>
              <w:bottom w:val="single" w:sz="4" w:space="0" w:color="A6A6A6" w:themeColor="accent5"/>
            </w:tcBorders>
            <w:noWrap/>
            <w:hideMark/>
          </w:tcPr>
          <w:p w14:paraId="752AC93A" w14:textId="77777777" w:rsidR="00265792" w:rsidRPr="006F6E7C" w:rsidRDefault="00265792" w:rsidP="000F1E93">
            <w:pPr>
              <w:pStyle w:val="ARfintablebodyboldcoloured"/>
            </w:pPr>
            <w:r w:rsidRPr="006F6E7C">
              <w:t>(c) Contributed capital</w:t>
            </w:r>
          </w:p>
        </w:tc>
        <w:tc>
          <w:tcPr>
            <w:tcW w:w="1418" w:type="dxa"/>
            <w:tcBorders>
              <w:top w:val="single" w:sz="4" w:space="0" w:color="auto"/>
              <w:bottom w:val="single" w:sz="4" w:space="0" w:color="A6A6A6" w:themeColor="accent5"/>
            </w:tcBorders>
            <w:noWrap/>
            <w:hideMark/>
          </w:tcPr>
          <w:p w14:paraId="05769BAD" w14:textId="77777777" w:rsidR="00265792" w:rsidRPr="00B73580" w:rsidRDefault="00265792" w:rsidP="00B73580">
            <w:pPr>
              <w:pStyle w:val="ARfintablebodyright"/>
            </w:pPr>
          </w:p>
        </w:tc>
        <w:tc>
          <w:tcPr>
            <w:tcW w:w="1268" w:type="dxa"/>
            <w:tcBorders>
              <w:top w:val="single" w:sz="4" w:space="0" w:color="auto"/>
              <w:bottom w:val="single" w:sz="4" w:space="0" w:color="A6A6A6" w:themeColor="accent5"/>
            </w:tcBorders>
            <w:noWrap/>
            <w:hideMark/>
          </w:tcPr>
          <w:p w14:paraId="323EFB03" w14:textId="77777777" w:rsidR="00265792" w:rsidRPr="00B73580" w:rsidRDefault="00265792" w:rsidP="00B73580">
            <w:pPr>
              <w:pStyle w:val="ARfintablebodyright"/>
            </w:pPr>
          </w:p>
        </w:tc>
      </w:tr>
      <w:tr w:rsidR="00265792" w:rsidRPr="00B73580" w14:paraId="751B3E3F" w14:textId="77777777" w:rsidTr="00F62BD6">
        <w:trPr>
          <w:trHeight w:val="255"/>
        </w:trPr>
        <w:tc>
          <w:tcPr>
            <w:tcW w:w="6946" w:type="dxa"/>
            <w:tcBorders>
              <w:top w:val="single" w:sz="4" w:space="0" w:color="A6A6A6" w:themeColor="accent5"/>
            </w:tcBorders>
            <w:noWrap/>
            <w:hideMark/>
          </w:tcPr>
          <w:p w14:paraId="20C442FD" w14:textId="77777777" w:rsidR="00265792" w:rsidRPr="006F6E7C" w:rsidRDefault="00265792" w:rsidP="006F6E7C">
            <w:pPr>
              <w:pStyle w:val="ARfintablebody"/>
            </w:pPr>
            <w:r w:rsidRPr="006F6E7C">
              <w:t>Balance at beginning of financial year</w:t>
            </w:r>
          </w:p>
        </w:tc>
        <w:tc>
          <w:tcPr>
            <w:tcW w:w="1418" w:type="dxa"/>
            <w:tcBorders>
              <w:top w:val="single" w:sz="4" w:space="0" w:color="A6A6A6" w:themeColor="accent5"/>
            </w:tcBorders>
            <w:shd w:val="clear" w:color="auto" w:fill="EEEEEF" w:themeFill="accent4"/>
            <w:noWrap/>
            <w:hideMark/>
          </w:tcPr>
          <w:p w14:paraId="244A9FDB" w14:textId="77777777" w:rsidR="00265792" w:rsidRPr="00B73580" w:rsidRDefault="00265792" w:rsidP="00B73580">
            <w:pPr>
              <w:pStyle w:val="ARfintablebodyright"/>
            </w:pPr>
            <w:r w:rsidRPr="00B73580">
              <w:t>30,261.5</w:t>
            </w:r>
          </w:p>
        </w:tc>
        <w:tc>
          <w:tcPr>
            <w:tcW w:w="1268" w:type="dxa"/>
            <w:tcBorders>
              <w:top w:val="single" w:sz="4" w:space="0" w:color="A6A6A6" w:themeColor="accent5"/>
            </w:tcBorders>
            <w:noWrap/>
            <w:hideMark/>
          </w:tcPr>
          <w:p w14:paraId="5DE35405" w14:textId="77777777" w:rsidR="00265792" w:rsidRPr="00B73580" w:rsidRDefault="00265792" w:rsidP="00B73580">
            <w:pPr>
              <w:pStyle w:val="ARfintablebodyright"/>
            </w:pPr>
            <w:r w:rsidRPr="00B73580">
              <w:t>29,430.6</w:t>
            </w:r>
          </w:p>
        </w:tc>
      </w:tr>
      <w:tr w:rsidR="00265792" w:rsidRPr="00B73580" w14:paraId="1EFA7C43" w14:textId="77777777" w:rsidTr="00F62BD6">
        <w:trPr>
          <w:trHeight w:val="255"/>
        </w:trPr>
        <w:tc>
          <w:tcPr>
            <w:tcW w:w="6946" w:type="dxa"/>
            <w:noWrap/>
            <w:hideMark/>
          </w:tcPr>
          <w:p w14:paraId="312FEF73" w14:textId="77777777" w:rsidR="00265792" w:rsidRPr="006F6E7C" w:rsidRDefault="00265792" w:rsidP="006F6E7C">
            <w:pPr>
              <w:pStyle w:val="ARfintablebody"/>
            </w:pPr>
            <w:r>
              <w:t>Asset transfer via capital contribution</w:t>
            </w:r>
          </w:p>
        </w:tc>
        <w:tc>
          <w:tcPr>
            <w:tcW w:w="1418" w:type="dxa"/>
            <w:shd w:val="clear" w:color="auto" w:fill="EEEEEF" w:themeFill="accent4"/>
            <w:noWrap/>
            <w:hideMark/>
          </w:tcPr>
          <w:p w14:paraId="1701CC4C" w14:textId="77777777" w:rsidR="00265792" w:rsidRPr="00B73580" w:rsidRDefault="00265792" w:rsidP="00B73580">
            <w:pPr>
              <w:pStyle w:val="ARfintablebodyright"/>
            </w:pPr>
            <w:r w:rsidRPr="00B73580">
              <w:t>(6.8)</w:t>
            </w:r>
          </w:p>
        </w:tc>
        <w:tc>
          <w:tcPr>
            <w:tcW w:w="1268" w:type="dxa"/>
            <w:noWrap/>
            <w:hideMark/>
          </w:tcPr>
          <w:p w14:paraId="3B0737F5" w14:textId="77777777" w:rsidR="00265792" w:rsidRPr="00B73580" w:rsidRDefault="00265792" w:rsidP="00B73580">
            <w:pPr>
              <w:pStyle w:val="ARfintablebodyright"/>
            </w:pPr>
            <w:r w:rsidRPr="00B73580">
              <w:t>(0.4)</w:t>
            </w:r>
          </w:p>
        </w:tc>
      </w:tr>
      <w:tr w:rsidR="00265792" w:rsidRPr="00B73580" w14:paraId="7D756549" w14:textId="77777777" w:rsidTr="00F62BD6">
        <w:trPr>
          <w:trHeight w:val="255"/>
        </w:trPr>
        <w:tc>
          <w:tcPr>
            <w:tcW w:w="6946" w:type="dxa"/>
            <w:tcBorders>
              <w:bottom w:val="single" w:sz="4" w:space="0" w:color="A6A6A6" w:themeColor="accent5"/>
            </w:tcBorders>
            <w:noWrap/>
            <w:hideMark/>
          </w:tcPr>
          <w:p w14:paraId="0A7DCA0B" w14:textId="77777777" w:rsidR="00265792" w:rsidRPr="006F6E7C" w:rsidRDefault="00265792" w:rsidP="006F6E7C">
            <w:pPr>
              <w:pStyle w:val="ARfintablebody"/>
            </w:pPr>
            <w:r w:rsidRPr="006F6E7C">
              <w:t xml:space="preserve">Administrative restructure </w:t>
            </w:r>
            <w:r>
              <w:t>–</w:t>
            </w:r>
            <w:r w:rsidRPr="006F6E7C">
              <w:t xml:space="preserve"> net assets received/(transferred)</w:t>
            </w:r>
          </w:p>
        </w:tc>
        <w:tc>
          <w:tcPr>
            <w:tcW w:w="1418" w:type="dxa"/>
            <w:tcBorders>
              <w:bottom w:val="single" w:sz="4" w:space="0" w:color="A6A6A6" w:themeColor="accent5"/>
            </w:tcBorders>
            <w:shd w:val="clear" w:color="auto" w:fill="EEEEEF" w:themeFill="accent4"/>
            <w:noWrap/>
            <w:hideMark/>
          </w:tcPr>
          <w:p w14:paraId="16BCC836" w14:textId="77777777" w:rsidR="00265792" w:rsidRPr="00B73580" w:rsidRDefault="00265792" w:rsidP="00B73580">
            <w:pPr>
              <w:pStyle w:val="ARfintablebodyright"/>
            </w:pPr>
            <w:r>
              <w:t>–</w:t>
            </w:r>
          </w:p>
        </w:tc>
        <w:tc>
          <w:tcPr>
            <w:tcW w:w="1268" w:type="dxa"/>
            <w:tcBorders>
              <w:bottom w:val="single" w:sz="4" w:space="0" w:color="A6A6A6" w:themeColor="accent5"/>
            </w:tcBorders>
            <w:noWrap/>
            <w:hideMark/>
          </w:tcPr>
          <w:p w14:paraId="63598CA4" w14:textId="77777777" w:rsidR="00265792" w:rsidRPr="00B73580" w:rsidRDefault="00265792" w:rsidP="00B73580">
            <w:pPr>
              <w:pStyle w:val="ARfintablebodyright"/>
            </w:pPr>
            <w:r w:rsidRPr="00B73580">
              <w:t>(0.9)</w:t>
            </w:r>
          </w:p>
        </w:tc>
      </w:tr>
      <w:tr w:rsidR="00265792" w:rsidRPr="00B73580" w14:paraId="26C5151A" w14:textId="77777777" w:rsidTr="00F62BD6">
        <w:trPr>
          <w:trHeight w:val="270"/>
        </w:trPr>
        <w:tc>
          <w:tcPr>
            <w:tcW w:w="6946" w:type="dxa"/>
            <w:tcBorders>
              <w:top w:val="single" w:sz="4" w:space="0" w:color="A6A6A6" w:themeColor="accent5"/>
              <w:bottom w:val="single" w:sz="4" w:space="0" w:color="auto"/>
            </w:tcBorders>
            <w:noWrap/>
            <w:hideMark/>
          </w:tcPr>
          <w:p w14:paraId="1BBBAF70" w14:textId="77777777" w:rsidR="00265792" w:rsidRPr="006F6E7C" w:rsidRDefault="00265792" w:rsidP="006F6E7C">
            <w:pPr>
              <w:pStyle w:val="ARfintablebody"/>
            </w:pPr>
            <w:r w:rsidRPr="006F6E7C">
              <w:t>Capital contributions by Victorian State Government</w:t>
            </w:r>
          </w:p>
        </w:tc>
        <w:tc>
          <w:tcPr>
            <w:tcW w:w="1418" w:type="dxa"/>
            <w:tcBorders>
              <w:top w:val="single" w:sz="4" w:space="0" w:color="A6A6A6" w:themeColor="accent5"/>
              <w:bottom w:val="single" w:sz="4" w:space="0" w:color="auto"/>
            </w:tcBorders>
            <w:shd w:val="clear" w:color="auto" w:fill="EEEEEF" w:themeFill="accent4"/>
            <w:noWrap/>
            <w:hideMark/>
          </w:tcPr>
          <w:p w14:paraId="0A46105E" w14:textId="77777777" w:rsidR="00265792" w:rsidRPr="00B73580" w:rsidRDefault="00265792" w:rsidP="00B73580">
            <w:pPr>
              <w:pStyle w:val="ARfintablebodyright"/>
            </w:pPr>
            <w:r w:rsidRPr="00B73580">
              <w:t>1,063.4</w:t>
            </w:r>
          </w:p>
        </w:tc>
        <w:tc>
          <w:tcPr>
            <w:tcW w:w="1268" w:type="dxa"/>
            <w:tcBorders>
              <w:top w:val="single" w:sz="4" w:space="0" w:color="A6A6A6" w:themeColor="accent5"/>
              <w:bottom w:val="single" w:sz="4" w:space="0" w:color="auto"/>
            </w:tcBorders>
            <w:noWrap/>
            <w:hideMark/>
          </w:tcPr>
          <w:p w14:paraId="3CEE8DDC" w14:textId="77777777" w:rsidR="00265792" w:rsidRPr="00B73580" w:rsidRDefault="00265792" w:rsidP="00B73580">
            <w:pPr>
              <w:pStyle w:val="ARfintablebodyright"/>
            </w:pPr>
            <w:r w:rsidRPr="00B73580">
              <w:t>832.2</w:t>
            </w:r>
          </w:p>
        </w:tc>
      </w:tr>
      <w:tr w:rsidR="00265792" w:rsidRPr="00B73580" w14:paraId="231D85B1" w14:textId="77777777" w:rsidTr="00F62BD6">
        <w:trPr>
          <w:trHeight w:val="270"/>
        </w:trPr>
        <w:tc>
          <w:tcPr>
            <w:tcW w:w="6946" w:type="dxa"/>
            <w:tcBorders>
              <w:top w:val="single" w:sz="4" w:space="0" w:color="auto"/>
              <w:bottom w:val="single" w:sz="4" w:space="0" w:color="000000" w:themeColor="text1"/>
            </w:tcBorders>
            <w:noWrap/>
            <w:hideMark/>
          </w:tcPr>
          <w:p w14:paraId="71C75AA9" w14:textId="77777777" w:rsidR="00265792" w:rsidRPr="006F6E7C" w:rsidRDefault="00265792" w:rsidP="00F62BD6">
            <w:pPr>
              <w:pStyle w:val="ARfintablebodybold"/>
            </w:pPr>
            <w:r w:rsidRPr="006F6E7C">
              <w:t>Balance at the end of financial year</w:t>
            </w:r>
          </w:p>
        </w:tc>
        <w:tc>
          <w:tcPr>
            <w:tcW w:w="1418" w:type="dxa"/>
            <w:tcBorders>
              <w:top w:val="single" w:sz="4" w:space="0" w:color="auto"/>
              <w:bottom w:val="single" w:sz="4" w:space="0" w:color="000000" w:themeColor="text1"/>
            </w:tcBorders>
            <w:shd w:val="clear" w:color="auto" w:fill="EEEEEF" w:themeFill="accent4"/>
            <w:noWrap/>
            <w:hideMark/>
          </w:tcPr>
          <w:p w14:paraId="07EE0BE5" w14:textId="77777777" w:rsidR="00265792" w:rsidRPr="00B73580" w:rsidRDefault="00265792" w:rsidP="00F62BD6">
            <w:pPr>
              <w:pStyle w:val="ARfintablebodyrightbold"/>
            </w:pPr>
            <w:r w:rsidRPr="00B73580">
              <w:t>31,318.1</w:t>
            </w:r>
          </w:p>
        </w:tc>
        <w:tc>
          <w:tcPr>
            <w:tcW w:w="1268" w:type="dxa"/>
            <w:tcBorders>
              <w:top w:val="single" w:sz="4" w:space="0" w:color="auto"/>
              <w:bottom w:val="single" w:sz="4" w:space="0" w:color="000000" w:themeColor="text1"/>
            </w:tcBorders>
            <w:noWrap/>
            <w:hideMark/>
          </w:tcPr>
          <w:p w14:paraId="524B0577" w14:textId="77777777" w:rsidR="00265792" w:rsidRPr="00B73580" w:rsidRDefault="00265792" w:rsidP="00F62BD6">
            <w:pPr>
              <w:pStyle w:val="ARfintablebodyrightbold"/>
            </w:pPr>
            <w:r w:rsidRPr="00B73580">
              <w:t>30,261.5</w:t>
            </w:r>
          </w:p>
        </w:tc>
      </w:tr>
      <w:tr w:rsidR="00265792" w:rsidRPr="00B73580" w14:paraId="56503411" w14:textId="77777777" w:rsidTr="00F62BD6">
        <w:trPr>
          <w:cnfStyle w:val="010000000000" w:firstRow="0" w:lastRow="1" w:firstColumn="0" w:lastColumn="0" w:oddVBand="0" w:evenVBand="0" w:oddHBand="0" w:evenHBand="0" w:firstRowFirstColumn="0" w:firstRowLastColumn="0" w:lastRowFirstColumn="0" w:lastRowLastColumn="0"/>
          <w:trHeight w:val="270"/>
        </w:trPr>
        <w:tc>
          <w:tcPr>
            <w:tcW w:w="6946" w:type="dxa"/>
            <w:noWrap/>
            <w:hideMark/>
          </w:tcPr>
          <w:p w14:paraId="3E9E9A83" w14:textId="77777777" w:rsidR="00265792" w:rsidRPr="006F6E7C" w:rsidRDefault="00265792" w:rsidP="00F62BD6">
            <w:pPr>
              <w:pStyle w:val="ARfintablebodybold"/>
            </w:pPr>
            <w:r w:rsidRPr="006F6E7C">
              <w:t>Total equity</w:t>
            </w:r>
          </w:p>
        </w:tc>
        <w:tc>
          <w:tcPr>
            <w:tcW w:w="1418" w:type="dxa"/>
            <w:shd w:val="clear" w:color="auto" w:fill="EEEEEF" w:themeFill="accent4"/>
            <w:noWrap/>
            <w:hideMark/>
          </w:tcPr>
          <w:p w14:paraId="659A6ACE" w14:textId="77777777" w:rsidR="00265792" w:rsidRPr="00B73580" w:rsidRDefault="00265792" w:rsidP="00F62BD6">
            <w:pPr>
              <w:pStyle w:val="ARfintablebodyrightbold"/>
            </w:pPr>
            <w:r w:rsidRPr="00B73580">
              <w:t>39,093.8</w:t>
            </w:r>
          </w:p>
        </w:tc>
        <w:tc>
          <w:tcPr>
            <w:tcW w:w="1268" w:type="dxa"/>
            <w:noWrap/>
            <w:hideMark/>
          </w:tcPr>
          <w:p w14:paraId="70004B28" w14:textId="77777777" w:rsidR="00265792" w:rsidRPr="00B73580" w:rsidRDefault="00265792" w:rsidP="00F62BD6">
            <w:pPr>
              <w:pStyle w:val="ARfintablebodyrightbold"/>
            </w:pPr>
            <w:r w:rsidRPr="00B73580">
              <w:t>38,562.3</w:t>
            </w:r>
          </w:p>
        </w:tc>
      </w:tr>
    </w:tbl>
    <w:p w14:paraId="5DEA57CD" w14:textId="77777777" w:rsidR="00265792" w:rsidRDefault="00265792" w:rsidP="006F6E7C">
      <w:pPr>
        <w:pStyle w:val="ARfintablefootnote"/>
      </w:pPr>
      <w:r>
        <w:t>Notes:</w:t>
      </w:r>
    </w:p>
    <w:p w14:paraId="02373555" w14:textId="77777777" w:rsidR="00265792" w:rsidRPr="00BA7805" w:rsidRDefault="00265792" w:rsidP="006F6E7C">
      <w:pPr>
        <w:pStyle w:val="ARfintablefootnotetabindent"/>
        <w:rPr>
          <w:highlight w:val="green"/>
        </w:rPr>
      </w:pPr>
      <w:r>
        <w:t>(</w:t>
      </w:r>
      <w:proofErr w:type="spellStart"/>
      <w:r>
        <w:t>i</w:t>
      </w:r>
      <w:proofErr w:type="spellEnd"/>
      <w:r>
        <w:t xml:space="preserve">) </w:t>
      </w:r>
      <w:r>
        <w:tab/>
        <w:t>Movements in the physical asset revaluation reserve arise from the revaluation of land and buildings and the impairment of land and buildings that were previously revalued.</w:t>
      </w:r>
      <w:r w:rsidRPr="00BA7805">
        <w:rPr>
          <w:highlight w:val="green"/>
        </w:rPr>
        <w:br w:type="page"/>
      </w:r>
    </w:p>
    <w:p w14:paraId="1B05B9E6" w14:textId="6F90B54B" w:rsidR="00265792" w:rsidRDefault="00265792" w:rsidP="006F6E7C">
      <w:pPr>
        <w:pStyle w:val="Heading5"/>
      </w:pPr>
      <w:r>
        <w:lastRenderedPageBreak/>
        <w:t xml:space="preserve">9.4 Entities included in the Department of Families, Fairness and Housing financial statements pursuant to </w:t>
      </w:r>
      <w:r w:rsidR="004A3ECF">
        <w:t xml:space="preserve">s. </w:t>
      </w:r>
      <w:r>
        <w:t>53(1)(b) of the FMA</w:t>
      </w:r>
    </w:p>
    <w:p w14:paraId="45B972FD" w14:textId="77777777" w:rsidR="00265792" w:rsidRDefault="00265792" w:rsidP="006F6E7C">
      <w:pPr>
        <w:pStyle w:val="ARfinbody"/>
      </w:pPr>
      <w:r>
        <w:t xml:space="preserve">The financial information of the following entities has been included into the department’s 2024–25 financial statements pursuant to a determination made by the Minister for Finance under s. 53(1)(b) of the </w:t>
      </w:r>
      <w:r w:rsidRPr="00E15716">
        <w:rPr>
          <w:rStyle w:val="Emphasis"/>
        </w:rPr>
        <w:t>Financial Management Act 1994</w:t>
      </w:r>
      <w:r>
        <w:t>:</w:t>
      </w:r>
    </w:p>
    <w:p w14:paraId="767D3ADC" w14:textId="77777777" w:rsidR="00265792" w:rsidRDefault="00265792" w:rsidP="006F6E7C">
      <w:pPr>
        <w:pStyle w:val="ARfinbullet1"/>
      </w:pPr>
      <w:r>
        <w:t>Homes Victoria (from 1 February 2021)</w:t>
      </w:r>
    </w:p>
    <w:p w14:paraId="3D47F9CA" w14:textId="77777777" w:rsidR="00265792" w:rsidRDefault="00265792" w:rsidP="006F6E7C">
      <w:pPr>
        <w:pStyle w:val="ARfinbullet1"/>
      </w:pPr>
      <w:r>
        <w:t>Commission for Children and Young People (from 1 July 2015)</w:t>
      </w:r>
    </w:p>
    <w:p w14:paraId="0D469B91" w14:textId="77777777" w:rsidR="00265792" w:rsidRDefault="00265792" w:rsidP="006F6E7C">
      <w:pPr>
        <w:pStyle w:val="ARfinbullet1"/>
      </w:pPr>
      <w:r>
        <w:t>Disability Worker Registration Board (from 1 June 2020)</w:t>
      </w:r>
    </w:p>
    <w:p w14:paraId="68CAD3B4" w14:textId="77777777" w:rsidR="00265792" w:rsidRDefault="00265792" w:rsidP="006F6E7C">
      <w:pPr>
        <w:pStyle w:val="ARfinbullet1"/>
      </w:pPr>
      <w:r>
        <w:t>Victorian Disability Worker Commission (from 1 June 2020)</w:t>
      </w:r>
    </w:p>
    <w:p w14:paraId="48288BEA" w14:textId="77777777" w:rsidR="00265792" w:rsidRDefault="00265792" w:rsidP="006F6E7C">
      <w:pPr>
        <w:pStyle w:val="ARfinbullet1"/>
      </w:pPr>
      <w:r>
        <w:t>Respect Victoria (from 1 February 2021)</w:t>
      </w:r>
    </w:p>
    <w:p w14:paraId="568C5C95" w14:textId="77777777" w:rsidR="00265792" w:rsidRDefault="00265792" w:rsidP="006F6E7C">
      <w:pPr>
        <w:pStyle w:val="ARfinbullet1"/>
      </w:pPr>
      <w:r>
        <w:t>Victorian Veterans Council (from 1 February 2021)</w:t>
      </w:r>
    </w:p>
    <w:p w14:paraId="61C8B265" w14:textId="5B019EEE" w:rsidR="00265792" w:rsidRDefault="00265792" w:rsidP="006F6E7C">
      <w:pPr>
        <w:pStyle w:val="ARfinbullet1"/>
      </w:pPr>
      <w:r>
        <w:t>Social Services Regulator (from 1 July 2024)</w:t>
      </w:r>
      <w:r w:rsidR="004A3ECF">
        <w:t>.</w:t>
      </w:r>
    </w:p>
    <w:p w14:paraId="6B70A69A" w14:textId="77777777" w:rsidR="00265792" w:rsidRDefault="00265792" w:rsidP="006F6E7C">
      <w:pPr>
        <w:pStyle w:val="ARfinbodylargespace"/>
      </w:pPr>
      <w:r>
        <w:t>The financial effects of each of those entities, except Homes Victoria, were trivial to the financial statements, both individually and in aggregate. The Social Services Regulator was established effectively from 1 July 2024. Therefore, those entities are reported in aggregate, together with the Department of Families, Fairness and Housing in the table below.</w:t>
      </w:r>
    </w:p>
    <w:tbl>
      <w:tblPr>
        <w:tblStyle w:val="TableGrid"/>
        <w:tblW w:w="9637" w:type="dxa"/>
        <w:tblLayout w:type="fixed"/>
        <w:tblLook w:val="04E0" w:firstRow="1" w:lastRow="1" w:firstColumn="1" w:lastColumn="0" w:noHBand="0" w:noVBand="1"/>
      </w:tblPr>
      <w:tblGrid>
        <w:gridCol w:w="2093"/>
        <w:gridCol w:w="942"/>
        <w:gridCol w:w="946"/>
        <w:gridCol w:w="943"/>
        <w:gridCol w:w="942"/>
        <w:gridCol w:w="13"/>
        <w:gridCol w:w="929"/>
        <w:gridCol w:w="944"/>
        <w:gridCol w:w="942"/>
        <w:gridCol w:w="943"/>
      </w:tblGrid>
      <w:tr w:rsidR="002C42FB" w:rsidRPr="006F6E7C" w14:paraId="177F630E" w14:textId="77777777" w:rsidTr="004F7A5E">
        <w:trPr>
          <w:cnfStyle w:val="100000000000" w:firstRow="1" w:lastRow="0" w:firstColumn="0" w:lastColumn="0" w:oddVBand="0" w:evenVBand="0" w:oddHBand="0" w:evenHBand="0" w:firstRowFirstColumn="0" w:firstRowLastColumn="0" w:lastRowFirstColumn="0" w:lastRowLastColumn="0"/>
          <w:trHeight w:val="308"/>
          <w:tblHeader/>
        </w:trPr>
        <w:tc>
          <w:tcPr>
            <w:tcW w:w="2093" w:type="dxa"/>
            <w:tcBorders>
              <w:top w:val="nil"/>
              <w:bottom w:val="nil"/>
            </w:tcBorders>
            <w:noWrap/>
            <w:hideMark/>
          </w:tcPr>
          <w:p w14:paraId="5BB460F3" w14:textId="77777777" w:rsidR="00265792" w:rsidRPr="006F6E7C" w:rsidRDefault="00265792" w:rsidP="006F6E7C">
            <w:pPr>
              <w:pStyle w:val="ARfintablecolhead"/>
              <w:jc w:val="right"/>
            </w:pPr>
          </w:p>
        </w:tc>
        <w:tc>
          <w:tcPr>
            <w:tcW w:w="1888" w:type="dxa"/>
            <w:gridSpan w:val="2"/>
            <w:tcBorders>
              <w:top w:val="nil"/>
            </w:tcBorders>
            <w:shd w:val="clear" w:color="auto" w:fill="EEEEEF" w:themeFill="accent4"/>
            <w:hideMark/>
          </w:tcPr>
          <w:p w14:paraId="31F81F9F" w14:textId="77777777" w:rsidR="00265792" w:rsidRPr="006F6E7C" w:rsidRDefault="00265792" w:rsidP="004F7A5E">
            <w:pPr>
              <w:pStyle w:val="ARfintablecolheadcentre"/>
            </w:pPr>
            <w:r w:rsidRPr="006F6E7C">
              <w:t>Department of Families, Fairness and Housing</w:t>
            </w:r>
          </w:p>
        </w:tc>
        <w:tc>
          <w:tcPr>
            <w:tcW w:w="1898" w:type="dxa"/>
            <w:gridSpan w:val="3"/>
            <w:tcBorders>
              <w:top w:val="nil"/>
            </w:tcBorders>
            <w:hideMark/>
          </w:tcPr>
          <w:p w14:paraId="16E1EC55" w14:textId="77777777" w:rsidR="00265792" w:rsidRPr="006F6E7C" w:rsidRDefault="00265792" w:rsidP="004F7A5E">
            <w:pPr>
              <w:pStyle w:val="ARfintablecolheadcentre"/>
              <w:rPr>
                <w:bCs/>
              </w:rPr>
            </w:pPr>
            <w:r w:rsidRPr="006F6E7C">
              <w:rPr>
                <w:bCs/>
              </w:rPr>
              <w:t>Homes Victoria</w:t>
            </w:r>
          </w:p>
        </w:tc>
        <w:tc>
          <w:tcPr>
            <w:tcW w:w="1873" w:type="dxa"/>
            <w:gridSpan w:val="2"/>
            <w:tcBorders>
              <w:top w:val="nil"/>
            </w:tcBorders>
            <w:shd w:val="clear" w:color="auto" w:fill="EEEEEF" w:themeFill="accent4"/>
            <w:hideMark/>
          </w:tcPr>
          <w:p w14:paraId="74343CFC" w14:textId="77777777" w:rsidR="00265792" w:rsidRPr="006F6E7C" w:rsidRDefault="00265792" w:rsidP="004F7A5E">
            <w:pPr>
              <w:pStyle w:val="ARfintablecolheadcentre"/>
            </w:pPr>
            <w:r w:rsidRPr="006F6E7C">
              <w:t>Eliminations and adjustments</w:t>
            </w:r>
          </w:p>
        </w:tc>
        <w:tc>
          <w:tcPr>
            <w:tcW w:w="1885" w:type="dxa"/>
            <w:gridSpan w:val="2"/>
            <w:tcBorders>
              <w:top w:val="nil"/>
            </w:tcBorders>
            <w:hideMark/>
          </w:tcPr>
          <w:p w14:paraId="13149406" w14:textId="77777777" w:rsidR="00265792" w:rsidRPr="006F6E7C" w:rsidRDefault="00265792" w:rsidP="004F7A5E">
            <w:pPr>
              <w:pStyle w:val="ARfintablecolheadcentre"/>
              <w:rPr>
                <w:bCs/>
              </w:rPr>
            </w:pPr>
            <w:r w:rsidRPr="006F6E7C">
              <w:rPr>
                <w:bCs/>
              </w:rPr>
              <w:t>Total</w:t>
            </w:r>
          </w:p>
        </w:tc>
      </w:tr>
      <w:tr w:rsidR="00737EC8" w:rsidRPr="006F6E7C" w14:paraId="30BBB7DD" w14:textId="77777777" w:rsidTr="00527FA6">
        <w:trPr>
          <w:cnfStyle w:val="100000000000" w:firstRow="1" w:lastRow="0" w:firstColumn="0" w:lastColumn="0" w:oddVBand="0" w:evenVBand="0" w:oddHBand="0" w:evenHBand="0" w:firstRowFirstColumn="0" w:firstRowLastColumn="0" w:lastRowFirstColumn="0" w:lastRowLastColumn="0"/>
          <w:trHeight w:val="574"/>
          <w:tblHeader/>
        </w:trPr>
        <w:tc>
          <w:tcPr>
            <w:tcW w:w="2093" w:type="dxa"/>
            <w:tcBorders>
              <w:top w:val="nil"/>
            </w:tcBorders>
            <w:noWrap/>
            <w:hideMark/>
          </w:tcPr>
          <w:p w14:paraId="0D07BE65" w14:textId="77777777" w:rsidR="00265792" w:rsidRPr="006F6E7C" w:rsidRDefault="00265792" w:rsidP="006F6E7C">
            <w:pPr>
              <w:pStyle w:val="ARfintablecolhead"/>
              <w:jc w:val="right"/>
            </w:pPr>
          </w:p>
        </w:tc>
        <w:tc>
          <w:tcPr>
            <w:tcW w:w="942" w:type="dxa"/>
            <w:tcBorders>
              <w:top w:val="single" w:sz="4" w:space="0" w:color="000000" w:themeColor="text1"/>
            </w:tcBorders>
            <w:shd w:val="clear" w:color="auto" w:fill="EEEEEF" w:themeFill="accent4"/>
            <w:noWrap/>
            <w:hideMark/>
          </w:tcPr>
          <w:p w14:paraId="7D1FE5E8" w14:textId="77777777" w:rsidR="00265792" w:rsidRPr="006F6E7C" w:rsidRDefault="00265792" w:rsidP="006F6E7C">
            <w:pPr>
              <w:pStyle w:val="ARfintablecolhead"/>
              <w:jc w:val="right"/>
              <w:rPr>
                <w:bCs/>
              </w:rPr>
            </w:pPr>
            <w:r w:rsidRPr="006F6E7C">
              <w:rPr>
                <w:bCs/>
              </w:rPr>
              <w:t>2025</w:t>
            </w:r>
          </w:p>
          <w:p w14:paraId="4BC3DE7B" w14:textId="77777777" w:rsidR="00265792" w:rsidRPr="006F6E7C" w:rsidRDefault="00265792" w:rsidP="006F6E7C">
            <w:pPr>
              <w:pStyle w:val="ARfintablecolhead"/>
              <w:jc w:val="right"/>
              <w:rPr>
                <w:bCs/>
              </w:rPr>
            </w:pPr>
            <w:r w:rsidRPr="006F6E7C">
              <w:rPr>
                <w:bCs/>
              </w:rPr>
              <w:t xml:space="preserve">$M </w:t>
            </w:r>
          </w:p>
        </w:tc>
        <w:tc>
          <w:tcPr>
            <w:tcW w:w="946" w:type="dxa"/>
            <w:tcBorders>
              <w:top w:val="single" w:sz="4" w:space="0" w:color="000000" w:themeColor="text1"/>
            </w:tcBorders>
            <w:shd w:val="clear" w:color="auto" w:fill="EEEEEF" w:themeFill="accent4"/>
            <w:noWrap/>
            <w:hideMark/>
          </w:tcPr>
          <w:p w14:paraId="343AEF6C" w14:textId="77777777" w:rsidR="00265792" w:rsidRPr="006F6E7C" w:rsidRDefault="00265792" w:rsidP="006F6E7C">
            <w:pPr>
              <w:pStyle w:val="ARfintablecolhead"/>
              <w:jc w:val="right"/>
              <w:rPr>
                <w:bCs/>
              </w:rPr>
            </w:pPr>
            <w:r w:rsidRPr="006F6E7C">
              <w:rPr>
                <w:bCs/>
              </w:rPr>
              <w:t>2024</w:t>
            </w:r>
          </w:p>
          <w:p w14:paraId="53FFDACC" w14:textId="77777777" w:rsidR="00265792" w:rsidRPr="006F6E7C" w:rsidRDefault="00265792" w:rsidP="006F6E7C">
            <w:pPr>
              <w:pStyle w:val="ARfintablecolhead"/>
              <w:jc w:val="right"/>
              <w:rPr>
                <w:bCs/>
              </w:rPr>
            </w:pPr>
            <w:r w:rsidRPr="006F6E7C">
              <w:rPr>
                <w:bCs/>
              </w:rPr>
              <w:t xml:space="preserve">$M </w:t>
            </w:r>
          </w:p>
        </w:tc>
        <w:tc>
          <w:tcPr>
            <w:tcW w:w="943" w:type="dxa"/>
            <w:tcBorders>
              <w:top w:val="single" w:sz="4" w:space="0" w:color="000000" w:themeColor="text1"/>
            </w:tcBorders>
            <w:noWrap/>
            <w:hideMark/>
          </w:tcPr>
          <w:p w14:paraId="1979B8C7" w14:textId="77777777" w:rsidR="00265792" w:rsidRPr="006F6E7C" w:rsidRDefault="00265792" w:rsidP="006F6E7C">
            <w:pPr>
              <w:pStyle w:val="ARfintablecolhead"/>
              <w:jc w:val="right"/>
              <w:rPr>
                <w:bCs/>
              </w:rPr>
            </w:pPr>
            <w:r w:rsidRPr="006F6E7C">
              <w:rPr>
                <w:bCs/>
              </w:rPr>
              <w:t>2025</w:t>
            </w:r>
          </w:p>
          <w:p w14:paraId="6DB256A6" w14:textId="77777777" w:rsidR="00265792" w:rsidRPr="006F6E7C" w:rsidRDefault="00265792" w:rsidP="006F6E7C">
            <w:pPr>
              <w:pStyle w:val="ARfintablecolhead"/>
              <w:jc w:val="right"/>
              <w:rPr>
                <w:bCs/>
              </w:rPr>
            </w:pPr>
            <w:r w:rsidRPr="006F6E7C">
              <w:rPr>
                <w:bCs/>
              </w:rPr>
              <w:t xml:space="preserve">$M </w:t>
            </w:r>
          </w:p>
        </w:tc>
        <w:tc>
          <w:tcPr>
            <w:tcW w:w="942" w:type="dxa"/>
            <w:tcBorders>
              <w:top w:val="single" w:sz="4" w:space="0" w:color="000000" w:themeColor="text1"/>
            </w:tcBorders>
            <w:noWrap/>
            <w:hideMark/>
          </w:tcPr>
          <w:p w14:paraId="6DB30C86" w14:textId="77777777" w:rsidR="00265792" w:rsidRPr="006F6E7C" w:rsidRDefault="00265792" w:rsidP="006F6E7C">
            <w:pPr>
              <w:pStyle w:val="ARfintablecolhead"/>
              <w:jc w:val="right"/>
              <w:rPr>
                <w:bCs/>
              </w:rPr>
            </w:pPr>
            <w:r w:rsidRPr="006F6E7C">
              <w:rPr>
                <w:bCs/>
              </w:rPr>
              <w:t>2024</w:t>
            </w:r>
          </w:p>
          <w:p w14:paraId="08F45204" w14:textId="77777777" w:rsidR="00265792" w:rsidRPr="006F6E7C" w:rsidRDefault="00265792" w:rsidP="006F6E7C">
            <w:pPr>
              <w:pStyle w:val="ARfintablecolhead"/>
              <w:jc w:val="right"/>
              <w:rPr>
                <w:bCs/>
              </w:rPr>
            </w:pPr>
            <w:r w:rsidRPr="006F6E7C">
              <w:rPr>
                <w:bCs/>
              </w:rPr>
              <w:t xml:space="preserve">$M </w:t>
            </w:r>
          </w:p>
        </w:tc>
        <w:tc>
          <w:tcPr>
            <w:tcW w:w="942" w:type="dxa"/>
            <w:gridSpan w:val="2"/>
            <w:tcBorders>
              <w:top w:val="single" w:sz="4" w:space="0" w:color="000000" w:themeColor="text1"/>
            </w:tcBorders>
            <w:shd w:val="clear" w:color="auto" w:fill="EEEEEF" w:themeFill="accent4"/>
            <w:noWrap/>
            <w:hideMark/>
          </w:tcPr>
          <w:p w14:paraId="1FFB1522" w14:textId="77777777" w:rsidR="00265792" w:rsidRPr="006F6E7C" w:rsidRDefault="00265792" w:rsidP="006F6E7C">
            <w:pPr>
              <w:pStyle w:val="ARfintablecolhead"/>
              <w:jc w:val="right"/>
              <w:rPr>
                <w:bCs/>
              </w:rPr>
            </w:pPr>
            <w:r w:rsidRPr="006F6E7C">
              <w:rPr>
                <w:bCs/>
              </w:rPr>
              <w:t>2025</w:t>
            </w:r>
          </w:p>
          <w:p w14:paraId="7E667D3C" w14:textId="77777777" w:rsidR="00265792" w:rsidRPr="006F6E7C" w:rsidRDefault="00265792" w:rsidP="006F6E7C">
            <w:pPr>
              <w:pStyle w:val="ARfintablecolhead"/>
              <w:jc w:val="right"/>
              <w:rPr>
                <w:bCs/>
              </w:rPr>
            </w:pPr>
            <w:r w:rsidRPr="006F6E7C">
              <w:rPr>
                <w:bCs/>
              </w:rPr>
              <w:t xml:space="preserve">$M </w:t>
            </w:r>
          </w:p>
        </w:tc>
        <w:tc>
          <w:tcPr>
            <w:tcW w:w="944" w:type="dxa"/>
            <w:tcBorders>
              <w:top w:val="single" w:sz="4" w:space="0" w:color="000000" w:themeColor="text1"/>
            </w:tcBorders>
            <w:shd w:val="clear" w:color="auto" w:fill="EEEEEF" w:themeFill="accent4"/>
            <w:noWrap/>
            <w:hideMark/>
          </w:tcPr>
          <w:p w14:paraId="3CDF565E" w14:textId="77777777" w:rsidR="00265792" w:rsidRPr="006F6E7C" w:rsidRDefault="00265792" w:rsidP="006F6E7C">
            <w:pPr>
              <w:pStyle w:val="ARfintablecolhead"/>
              <w:jc w:val="right"/>
              <w:rPr>
                <w:bCs/>
              </w:rPr>
            </w:pPr>
            <w:r w:rsidRPr="006F6E7C">
              <w:rPr>
                <w:bCs/>
              </w:rPr>
              <w:t>2024</w:t>
            </w:r>
          </w:p>
          <w:p w14:paraId="5F011975" w14:textId="77777777" w:rsidR="00265792" w:rsidRPr="006F6E7C" w:rsidRDefault="00265792" w:rsidP="006F6E7C">
            <w:pPr>
              <w:pStyle w:val="ARfintablecolhead"/>
              <w:jc w:val="right"/>
              <w:rPr>
                <w:bCs/>
              </w:rPr>
            </w:pPr>
            <w:r w:rsidRPr="006F6E7C">
              <w:rPr>
                <w:bCs/>
              </w:rPr>
              <w:t xml:space="preserve">$M </w:t>
            </w:r>
          </w:p>
        </w:tc>
        <w:tc>
          <w:tcPr>
            <w:tcW w:w="942" w:type="dxa"/>
            <w:tcBorders>
              <w:top w:val="single" w:sz="4" w:space="0" w:color="000000" w:themeColor="text1"/>
            </w:tcBorders>
            <w:noWrap/>
            <w:hideMark/>
          </w:tcPr>
          <w:p w14:paraId="483A7804" w14:textId="77777777" w:rsidR="00265792" w:rsidRPr="006F6E7C" w:rsidRDefault="00265792" w:rsidP="006F6E7C">
            <w:pPr>
              <w:pStyle w:val="ARfintablecolhead"/>
              <w:jc w:val="right"/>
              <w:rPr>
                <w:bCs/>
              </w:rPr>
            </w:pPr>
            <w:r w:rsidRPr="006F6E7C">
              <w:rPr>
                <w:bCs/>
              </w:rPr>
              <w:t>2025</w:t>
            </w:r>
          </w:p>
          <w:p w14:paraId="061B1B7B" w14:textId="77777777" w:rsidR="00265792" w:rsidRPr="006F6E7C" w:rsidRDefault="00265792" w:rsidP="006F6E7C">
            <w:pPr>
              <w:pStyle w:val="ARfintablecolhead"/>
              <w:jc w:val="right"/>
              <w:rPr>
                <w:bCs/>
              </w:rPr>
            </w:pPr>
            <w:r w:rsidRPr="006F6E7C">
              <w:rPr>
                <w:bCs/>
              </w:rPr>
              <w:t xml:space="preserve">$M </w:t>
            </w:r>
          </w:p>
        </w:tc>
        <w:tc>
          <w:tcPr>
            <w:tcW w:w="943" w:type="dxa"/>
            <w:tcBorders>
              <w:top w:val="single" w:sz="4" w:space="0" w:color="000000" w:themeColor="text1"/>
            </w:tcBorders>
            <w:noWrap/>
            <w:hideMark/>
          </w:tcPr>
          <w:p w14:paraId="58F9F1FB" w14:textId="77777777" w:rsidR="00265792" w:rsidRPr="006F6E7C" w:rsidRDefault="00265792" w:rsidP="006F6E7C">
            <w:pPr>
              <w:pStyle w:val="ARfintablecolhead"/>
              <w:jc w:val="right"/>
              <w:rPr>
                <w:bCs/>
              </w:rPr>
            </w:pPr>
            <w:r w:rsidRPr="006F6E7C">
              <w:rPr>
                <w:bCs/>
              </w:rPr>
              <w:t>2024</w:t>
            </w:r>
          </w:p>
          <w:p w14:paraId="07C52226" w14:textId="77777777" w:rsidR="00265792" w:rsidRPr="006F6E7C" w:rsidRDefault="00265792" w:rsidP="006F6E7C">
            <w:pPr>
              <w:pStyle w:val="ARfintablecolhead"/>
              <w:jc w:val="right"/>
              <w:rPr>
                <w:bCs/>
              </w:rPr>
            </w:pPr>
            <w:r w:rsidRPr="006F6E7C">
              <w:rPr>
                <w:bCs/>
              </w:rPr>
              <w:t xml:space="preserve">$M </w:t>
            </w:r>
          </w:p>
        </w:tc>
      </w:tr>
      <w:tr w:rsidR="00265792" w:rsidRPr="006F6E7C" w14:paraId="721AABC2" w14:textId="77777777" w:rsidTr="00527FA6">
        <w:trPr>
          <w:trHeight w:val="510"/>
        </w:trPr>
        <w:tc>
          <w:tcPr>
            <w:tcW w:w="2093" w:type="dxa"/>
            <w:tcBorders>
              <w:top w:val="single" w:sz="4" w:space="0" w:color="000000" w:themeColor="text1"/>
              <w:bottom w:val="single" w:sz="4" w:space="0" w:color="A6A6A6" w:themeColor="accent5"/>
            </w:tcBorders>
            <w:hideMark/>
          </w:tcPr>
          <w:p w14:paraId="2C896BA2" w14:textId="77777777" w:rsidR="00265792" w:rsidRPr="006F6E7C" w:rsidRDefault="00265792" w:rsidP="006F6E7C">
            <w:pPr>
              <w:pStyle w:val="ARfintablebody"/>
            </w:pPr>
            <w:r w:rsidRPr="006F6E7C">
              <w:t>Total revenue and</w:t>
            </w:r>
            <w:r>
              <w:t> </w:t>
            </w:r>
            <w:r w:rsidRPr="006F6E7C">
              <w:t>income from</w:t>
            </w:r>
            <w:r>
              <w:t> </w:t>
            </w:r>
            <w:r w:rsidRPr="006F6E7C">
              <w:t>transactions</w:t>
            </w:r>
          </w:p>
        </w:tc>
        <w:tc>
          <w:tcPr>
            <w:tcW w:w="942" w:type="dxa"/>
            <w:tcBorders>
              <w:top w:val="single" w:sz="4" w:space="0" w:color="000000" w:themeColor="text1"/>
              <w:bottom w:val="single" w:sz="4" w:space="0" w:color="A6A6A6" w:themeColor="accent5"/>
            </w:tcBorders>
            <w:shd w:val="clear" w:color="auto" w:fill="EEEEEF" w:themeFill="accent4"/>
            <w:noWrap/>
            <w:hideMark/>
          </w:tcPr>
          <w:p w14:paraId="2EF2F13B" w14:textId="77777777" w:rsidR="00265792" w:rsidRPr="006F6E7C" w:rsidRDefault="00265792" w:rsidP="006F6E7C">
            <w:pPr>
              <w:pStyle w:val="ARfintablebodyright"/>
            </w:pPr>
            <w:r w:rsidRPr="006F6E7C">
              <w:t>5,675.9</w:t>
            </w:r>
          </w:p>
        </w:tc>
        <w:tc>
          <w:tcPr>
            <w:tcW w:w="946" w:type="dxa"/>
            <w:tcBorders>
              <w:top w:val="single" w:sz="4" w:space="0" w:color="000000" w:themeColor="text1"/>
              <w:bottom w:val="single" w:sz="4" w:space="0" w:color="A6A6A6" w:themeColor="accent5"/>
            </w:tcBorders>
            <w:shd w:val="clear" w:color="auto" w:fill="EEEEEF" w:themeFill="accent4"/>
            <w:noWrap/>
            <w:hideMark/>
          </w:tcPr>
          <w:p w14:paraId="391D33EF" w14:textId="77777777" w:rsidR="00265792" w:rsidRPr="006F6E7C" w:rsidRDefault="00265792" w:rsidP="006F6E7C">
            <w:pPr>
              <w:pStyle w:val="ARfintablebodyright"/>
            </w:pPr>
            <w:r w:rsidRPr="006F6E7C">
              <w:t>4,851.7</w:t>
            </w:r>
          </w:p>
        </w:tc>
        <w:tc>
          <w:tcPr>
            <w:tcW w:w="943" w:type="dxa"/>
            <w:tcBorders>
              <w:top w:val="single" w:sz="4" w:space="0" w:color="000000" w:themeColor="text1"/>
              <w:bottom w:val="single" w:sz="4" w:space="0" w:color="A6A6A6" w:themeColor="accent5"/>
            </w:tcBorders>
            <w:noWrap/>
            <w:hideMark/>
          </w:tcPr>
          <w:p w14:paraId="305E26F3" w14:textId="77777777" w:rsidR="00265792" w:rsidRPr="006F6E7C" w:rsidRDefault="00265792" w:rsidP="006F6E7C">
            <w:pPr>
              <w:pStyle w:val="ARfintablebodyright"/>
            </w:pPr>
            <w:r w:rsidRPr="006F6E7C">
              <w:t>1,681.4</w:t>
            </w:r>
          </w:p>
        </w:tc>
        <w:tc>
          <w:tcPr>
            <w:tcW w:w="942" w:type="dxa"/>
            <w:tcBorders>
              <w:top w:val="single" w:sz="4" w:space="0" w:color="000000" w:themeColor="text1"/>
              <w:bottom w:val="single" w:sz="4" w:space="0" w:color="A6A6A6" w:themeColor="accent5"/>
            </w:tcBorders>
            <w:noWrap/>
            <w:hideMark/>
          </w:tcPr>
          <w:p w14:paraId="27090AED" w14:textId="77777777" w:rsidR="00265792" w:rsidRPr="006F6E7C" w:rsidRDefault="00265792" w:rsidP="006F6E7C">
            <w:pPr>
              <w:pStyle w:val="ARfintablebodyright"/>
            </w:pPr>
            <w:r w:rsidRPr="006F6E7C">
              <w:t>1,570.4</w:t>
            </w:r>
          </w:p>
        </w:tc>
        <w:tc>
          <w:tcPr>
            <w:tcW w:w="942" w:type="dxa"/>
            <w:gridSpan w:val="2"/>
            <w:tcBorders>
              <w:top w:val="single" w:sz="4" w:space="0" w:color="000000" w:themeColor="text1"/>
              <w:bottom w:val="single" w:sz="4" w:space="0" w:color="A6A6A6" w:themeColor="accent5"/>
            </w:tcBorders>
            <w:shd w:val="clear" w:color="auto" w:fill="EEEEEF" w:themeFill="accent4"/>
            <w:noWrap/>
            <w:hideMark/>
          </w:tcPr>
          <w:p w14:paraId="20F4E6FD" w14:textId="77777777" w:rsidR="00265792" w:rsidRPr="006F6E7C" w:rsidRDefault="00265792" w:rsidP="006F6E7C">
            <w:pPr>
              <w:pStyle w:val="ARfintablebodyright"/>
            </w:pPr>
            <w:r w:rsidRPr="006F6E7C">
              <w:t>(15.5)</w:t>
            </w:r>
          </w:p>
        </w:tc>
        <w:tc>
          <w:tcPr>
            <w:tcW w:w="944" w:type="dxa"/>
            <w:tcBorders>
              <w:top w:val="single" w:sz="4" w:space="0" w:color="000000" w:themeColor="text1"/>
              <w:bottom w:val="single" w:sz="4" w:space="0" w:color="A6A6A6" w:themeColor="accent5"/>
            </w:tcBorders>
            <w:shd w:val="clear" w:color="auto" w:fill="EEEEEF" w:themeFill="accent4"/>
            <w:noWrap/>
            <w:hideMark/>
          </w:tcPr>
          <w:p w14:paraId="6E4E36EC" w14:textId="77777777" w:rsidR="00265792" w:rsidRPr="006F6E7C" w:rsidRDefault="00265792" w:rsidP="006F6E7C">
            <w:pPr>
              <w:pStyle w:val="ARfintablebodyright"/>
            </w:pPr>
            <w:r w:rsidRPr="006F6E7C">
              <w:t>(24.1)</w:t>
            </w:r>
          </w:p>
        </w:tc>
        <w:tc>
          <w:tcPr>
            <w:tcW w:w="942" w:type="dxa"/>
            <w:tcBorders>
              <w:top w:val="single" w:sz="4" w:space="0" w:color="000000" w:themeColor="text1"/>
              <w:bottom w:val="single" w:sz="4" w:space="0" w:color="A6A6A6" w:themeColor="accent5"/>
            </w:tcBorders>
            <w:noWrap/>
            <w:hideMark/>
          </w:tcPr>
          <w:p w14:paraId="499DF2B8" w14:textId="77777777" w:rsidR="00265792" w:rsidRPr="006F6E7C" w:rsidRDefault="00265792" w:rsidP="006F6E7C">
            <w:pPr>
              <w:pStyle w:val="ARfintablebodyright"/>
            </w:pPr>
            <w:r w:rsidRPr="006F6E7C">
              <w:t>7,341.8</w:t>
            </w:r>
          </w:p>
        </w:tc>
        <w:tc>
          <w:tcPr>
            <w:tcW w:w="943" w:type="dxa"/>
            <w:tcBorders>
              <w:top w:val="single" w:sz="4" w:space="0" w:color="000000" w:themeColor="text1"/>
              <w:bottom w:val="single" w:sz="4" w:space="0" w:color="A6A6A6" w:themeColor="accent5"/>
            </w:tcBorders>
            <w:noWrap/>
            <w:hideMark/>
          </w:tcPr>
          <w:p w14:paraId="4B7567C4" w14:textId="77777777" w:rsidR="00265792" w:rsidRPr="006F6E7C" w:rsidRDefault="00265792" w:rsidP="006F6E7C">
            <w:pPr>
              <w:pStyle w:val="ARfintablebodyright"/>
            </w:pPr>
            <w:r w:rsidRPr="006F6E7C">
              <w:t>6,398.0</w:t>
            </w:r>
          </w:p>
        </w:tc>
      </w:tr>
      <w:tr w:rsidR="00265792" w:rsidRPr="006F6E7C" w14:paraId="521A06FB" w14:textId="77777777" w:rsidTr="00527FA6">
        <w:trPr>
          <w:trHeight w:val="255"/>
        </w:trPr>
        <w:tc>
          <w:tcPr>
            <w:tcW w:w="2093" w:type="dxa"/>
            <w:tcBorders>
              <w:top w:val="single" w:sz="4" w:space="0" w:color="A6A6A6" w:themeColor="accent5"/>
            </w:tcBorders>
            <w:noWrap/>
            <w:hideMark/>
          </w:tcPr>
          <w:p w14:paraId="043C1E5A" w14:textId="77777777" w:rsidR="00265792" w:rsidRPr="006F6E7C" w:rsidRDefault="00265792" w:rsidP="006F6E7C">
            <w:pPr>
              <w:pStyle w:val="ARfintablebody"/>
            </w:pPr>
            <w:r w:rsidRPr="006F6E7C">
              <w:t>Total expenses from</w:t>
            </w:r>
            <w:r>
              <w:t> </w:t>
            </w:r>
            <w:r w:rsidRPr="006F6E7C">
              <w:t>transactions</w:t>
            </w:r>
          </w:p>
        </w:tc>
        <w:tc>
          <w:tcPr>
            <w:tcW w:w="942" w:type="dxa"/>
            <w:tcBorders>
              <w:top w:val="single" w:sz="4" w:space="0" w:color="A6A6A6" w:themeColor="accent5"/>
            </w:tcBorders>
            <w:shd w:val="clear" w:color="auto" w:fill="EEEEEF" w:themeFill="accent4"/>
            <w:noWrap/>
            <w:hideMark/>
          </w:tcPr>
          <w:p w14:paraId="11651354" w14:textId="77777777" w:rsidR="00265792" w:rsidRPr="006F6E7C" w:rsidRDefault="00265792" w:rsidP="006F6E7C">
            <w:pPr>
              <w:pStyle w:val="ARfintablebodyright"/>
            </w:pPr>
            <w:r w:rsidRPr="006F6E7C">
              <w:t>5,801.2</w:t>
            </w:r>
          </w:p>
        </w:tc>
        <w:tc>
          <w:tcPr>
            <w:tcW w:w="946" w:type="dxa"/>
            <w:tcBorders>
              <w:top w:val="single" w:sz="4" w:space="0" w:color="A6A6A6" w:themeColor="accent5"/>
            </w:tcBorders>
            <w:shd w:val="clear" w:color="auto" w:fill="EEEEEF" w:themeFill="accent4"/>
            <w:noWrap/>
            <w:hideMark/>
          </w:tcPr>
          <w:p w14:paraId="6DA32C91" w14:textId="77777777" w:rsidR="00265792" w:rsidRPr="006F6E7C" w:rsidRDefault="00265792" w:rsidP="006F6E7C">
            <w:pPr>
              <w:pStyle w:val="ARfintablebodyright"/>
            </w:pPr>
            <w:r w:rsidRPr="006F6E7C">
              <w:t>5,024.7</w:t>
            </w:r>
          </w:p>
        </w:tc>
        <w:tc>
          <w:tcPr>
            <w:tcW w:w="943" w:type="dxa"/>
            <w:tcBorders>
              <w:top w:val="single" w:sz="4" w:space="0" w:color="A6A6A6" w:themeColor="accent5"/>
            </w:tcBorders>
            <w:noWrap/>
            <w:hideMark/>
          </w:tcPr>
          <w:p w14:paraId="27F1B994" w14:textId="77777777" w:rsidR="00265792" w:rsidRPr="006F6E7C" w:rsidRDefault="00265792" w:rsidP="006F6E7C">
            <w:pPr>
              <w:pStyle w:val="ARfintablebodyright"/>
            </w:pPr>
            <w:r w:rsidRPr="006F6E7C">
              <w:t>2,025.8</w:t>
            </w:r>
          </w:p>
        </w:tc>
        <w:tc>
          <w:tcPr>
            <w:tcW w:w="942" w:type="dxa"/>
            <w:tcBorders>
              <w:top w:val="single" w:sz="4" w:space="0" w:color="A6A6A6" w:themeColor="accent5"/>
            </w:tcBorders>
            <w:noWrap/>
            <w:hideMark/>
          </w:tcPr>
          <w:p w14:paraId="7F6922D3" w14:textId="77777777" w:rsidR="00265792" w:rsidRPr="006F6E7C" w:rsidRDefault="00265792" w:rsidP="006F6E7C">
            <w:pPr>
              <w:pStyle w:val="ARfintablebodyright"/>
            </w:pPr>
            <w:r w:rsidRPr="006F6E7C">
              <w:t>1,999.0</w:t>
            </w:r>
          </w:p>
        </w:tc>
        <w:tc>
          <w:tcPr>
            <w:tcW w:w="942" w:type="dxa"/>
            <w:gridSpan w:val="2"/>
            <w:tcBorders>
              <w:top w:val="single" w:sz="4" w:space="0" w:color="A6A6A6" w:themeColor="accent5"/>
            </w:tcBorders>
            <w:shd w:val="clear" w:color="auto" w:fill="EEEEEF" w:themeFill="accent4"/>
            <w:noWrap/>
            <w:hideMark/>
          </w:tcPr>
          <w:p w14:paraId="7F6A0477" w14:textId="77777777" w:rsidR="00265792" w:rsidRPr="006F6E7C" w:rsidRDefault="00265792" w:rsidP="006F6E7C">
            <w:pPr>
              <w:pStyle w:val="ARfintablebodyright"/>
            </w:pPr>
            <w:r w:rsidRPr="006F6E7C">
              <w:t>(15.5)</w:t>
            </w:r>
          </w:p>
        </w:tc>
        <w:tc>
          <w:tcPr>
            <w:tcW w:w="944" w:type="dxa"/>
            <w:tcBorders>
              <w:top w:val="single" w:sz="4" w:space="0" w:color="A6A6A6" w:themeColor="accent5"/>
            </w:tcBorders>
            <w:shd w:val="clear" w:color="auto" w:fill="EEEEEF" w:themeFill="accent4"/>
            <w:noWrap/>
            <w:hideMark/>
          </w:tcPr>
          <w:p w14:paraId="213A4756" w14:textId="77777777" w:rsidR="00265792" w:rsidRPr="006F6E7C" w:rsidRDefault="00265792" w:rsidP="006F6E7C">
            <w:pPr>
              <w:pStyle w:val="ARfintablebodyright"/>
            </w:pPr>
            <w:r w:rsidRPr="006F6E7C">
              <w:t>(24.1)</w:t>
            </w:r>
          </w:p>
        </w:tc>
        <w:tc>
          <w:tcPr>
            <w:tcW w:w="942" w:type="dxa"/>
            <w:tcBorders>
              <w:top w:val="single" w:sz="4" w:space="0" w:color="A6A6A6" w:themeColor="accent5"/>
            </w:tcBorders>
            <w:noWrap/>
            <w:hideMark/>
          </w:tcPr>
          <w:p w14:paraId="53CF7CB1" w14:textId="77777777" w:rsidR="00265792" w:rsidRPr="006F6E7C" w:rsidRDefault="00265792" w:rsidP="006F6E7C">
            <w:pPr>
              <w:pStyle w:val="ARfintablebodyright"/>
            </w:pPr>
            <w:r w:rsidRPr="006F6E7C">
              <w:t>7,811.5</w:t>
            </w:r>
          </w:p>
        </w:tc>
        <w:tc>
          <w:tcPr>
            <w:tcW w:w="943" w:type="dxa"/>
            <w:tcBorders>
              <w:top w:val="single" w:sz="4" w:space="0" w:color="A6A6A6" w:themeColor="accent5"/>
            </w:tcBorders>
            <w:noWrap/>
            <w:hideMark/>
          </w:tcPr>
          <w:p w14:paraId="59EF72F5" w14:textId="77777777" w:rsidR="00265792" w:rsidRPr="006F6E7C" w:rsidRDefault="00265792" w:rsidP="006F6E7C">
            <w:pPr>
              <w:pStyle w:val="ARfintablebodyright"/>
            </w:pPr>
            <w:r w:rsidRPr="006F6E7C">
              <w:t>6,999.7</w:t>
            </w:r>
          </w:p>
        </w:tc>
      </w:tr>
      <w:tr w:rsidR="00265792" w:rsidRPr="006F6E7C" w14:paraId="5924886D" w14:textId="77777777" w:rsidTr="00527FA6">
        <w:trPr>
          <w:trHeight w:val="255"/>
        </w:trPr>
        <w:tc>
          <w:tcPr>
            <w:tcW w:w="2093" w:type="dxa"/>
            <w:noWrap/>
            <w:hideMark/>
          </w:tcPr>
          <w:p w14:paraId="4B8AAD30" w14:textId="77777777" w:rsidR="00265792" w:rsidRPr="006F6E7C" w:rsidRDefault="00265792" w:rsidP="006F6E7C">
            <w:pPr>
              <w:pStyle w:val="ARfintablebody"/>
            </w:pPr>
            <w:r w:rsidRPr="006F6E7C">
              <w:t>Net result from</w:t>
            </w:r>
            <w:r>
              <w:t> </w:t>
            </w:r>
            <w:r w:rsidRPr="006F6E7C">
              <w:t>transactions</w:t>
            </w:r>
          </w:p>
        </w:tc>
        <w:tc>
          <w:tcPr>
            <w:tcW w:w="942" w:type="dxa"/>
            <w:shd w:val="clear" w:color="auto" w:fill="EEEEEF" w:themeFill="accent4"/>
            <w:noWrap/>
            <w:hideMark/>
          </w:tcPr>
          <w:p w14:paraId="2222FAC2" w14:textId="77777777" w:rsidR="00265792" w:rsidRPr="006F6E7C" w:rsidRDefault="00265792" w:rsidP="006F6E7C">
            <w:pPr>
              <w:pStyle w:val="ARfintablebodyright"/>
            </w:pPr>
            <w:r w:rsidRPr="006F6E7C">
              <w:t>(125.3)</w:t>
            </w:r>
          </w:p>
        </w:tc>
        <w:tc>
          <w:tcPr>
            <w:tcW w:w="946" w:type="dxa"/>
            <w:shd w:val="clear" w:color="auto" w:fill="EEEEEF" w:themeFill="accent4"/>
            <w:noWrap/>
            <w:hideMark/>
          </w:tcPr>
          <w:p w14:paraId="32FAA2AB" w14:textId="77777777" w:rsidR="00265792" w:rsidRPr="006F6E7C" w:rsidRDefault="00265792" w:rsidP="006F6E7C">
            <w:pPr>
              <w:pStyle w:val="ARfintablebodyright"/>
            </w:pPr>
            <w:r w:rsidRPr="006F6E7C">
              <w:t>(173.0)</w:t>
            </w:r>
          </w:p>
        </w:tc>
        <w:tc>
          <w:tcPr>
            <w:tcW w:w="943" w:type="dxa"/>
            <w:noWrap/>
            <w:hideMark/>
          </w:tcPr>
          <w:p w14:paraId="543F4AD1" w14:textId="77777777" w:rsidR="00265792" w:rsidRPr="006F6E7C" w:rsidRDefault="00265792" w:rsidP="006F6E7C">
            <w:pPr>
              <w:pStyle w:val="ARfintablebodyright"/>
            </w:pPr>
            <w:r w:rsidRPr="006F6E7C">
              <w:t>(344.4)</w:t>
            </w:r>
          </w:p>
        </w:tc>
        <w:tc>
          <w:tcPr>
            <w:tcW w:w="942" w:type="dxa"/>
            <w:noWrap/>
            <w:hideMark/>
          </w:tcPr>
          <w:p w14:paraId="1B2625D2" w14:textId="77777777" w:rsidR="00265792" w:rsidRPr="006F6E7C" w:rsidRDefault="00265792" w:rsidP="006F6E7C">
            <w:pPr>
              <w:pStyle w:val="ARfintablebodyright"/>
            </w:pPr>
            <w:r w:rsidRPr="006F6E7C">
              <w:t>(428.6)</w:t>
            </w:r>
          </w:p>
        </w:tc>
        <w:tc>
          <w:tcPr>
            <w:tcW w:w="942" w:type="dxa"/>
            <w:gridSpan w:val="2"/>
            <w:shd w:val="clear" w:color="auto" w:fill="EEEEEF" w:themeFill="accent4"/>
            <w:noWrap/>
            <w:hideMark/>
          </w:tcPr>
          <w:p w14:paraId="2185A05D" w14:textId="77777777" w:rsidR="00265792" w:rsidRPr="006F6E7C" w:rsidRDefault="00265792" w:rsidP="006F6E7C">
            <w:pPr>
              <w:pStyle w:val="ARfintablebodyright"/>
            </w:pPr>
            <w:r>
              <w:t>–</w:t>
            </w:r>
          </w:p>
        </w:tc>
        <w:tc>
          <w:tcPr>
            <w:tcW w:w="944" w:type="dxa"/>
            <w:shd w:val="clear" w:color="auto" w:fill="EEEEEF" w:themeFill="accent4"/>
            <w:noWrap/>
            <w:hideMark/>
          </w:tcPr>
          <w:p w14:paraId="1E65D6AB" w14:textId="77777777" w:rsidR="00265792" w:rsidRPr="006F6E7C" w:rsidRDefault="00265792" w:rsidP="006F6E7C">
            <w:pPr>
              <w:pStyle w:val="ARfintablebodyright"/>
            </w:pPr>
            <w:r>
              <w:t>–</w:t>
            </w:r>
          </w:p>
        </w:tc>
        <w:tc>
          <w:tcPr>
            <w:tcW w:w="942" w:type="dxa"/>
            <w:noWrap/>
            <w:hideMark/>
          </w:tcPr>
          <w:p w14:paraId="43E93184" w14:textId="77777777" w:rsidR="00265792" w:rsidRPr="006F6E7C" w:rsidRDefault="00265792" w:rsidP="006F6E7C">
            <w:pPr>
              <w:pStyle w:val="ARfintablebodyright"/>
            </w:pPr>
            <w:r w:rsidRPr="006F6E7C">
              <w:t>(469.7)</w:t>
            </w:r>
          </w:p>
        </w:tc>
        <w:tc>
          <w:tcPr>
            <w:tcW w:w="943" w:type="dxa"/>
            <w:noWrap/>
            <w:hideMark/>
          </w:tcPr>
          <w:p w14:paraId="641D7529" w14:textId="77777777" w:rsidR="00265792" w:rsidRPr="006F6E7C" w:rsidRDefault="00265792" w:rsidP="006F6E7C">
            <w:pPr>
              <w:pStyle w:val="ARfintablebodyright"/>
            </w:pPr>
            <w:r w:rsidRPr="006F6E7C">
              <w:t>(601.7)</w:t>
            </w:r>
          </w:p>
        </w:tc>
      </w:tr>
      <w:tr w:rsidR="00265792" w:rsidRPr="006F6E7C" w14:paraId="10BF77AA" w14:textId="77777777" w:rsidTr="00527FA6">
        <w:trPr>
          <w:trHeight w:val="255"/>
        </w:trPr>
        <w:tc>
          <w:tcPr>
            <w:tcW w:w="2093" w:type="dxa"/>
            <w:noWrap/>
            <w:hideMark/>
          </w:tcPr>
          <w:p w14:paraId="699291F7" w14:textId="77777777" w:rsidR="00265792" w:rsidRPr="00F201AA" w:rsidRDefault="00265792">
            <w:pPr>
              <w:pStyle w:val="ARfintablebody"/>
            </w:pPr>
            <w:r w:rsidRPr="006F6E7C">
              <w:t>Total assets</w:t>
            </w:r>
          </w:p>
        </w:tc>
        <w:tc>
          <w:tcPr>
            <w:tcW w:w="942" w:type="dxa"/>
            <w:shd w:val="clear" w:color="auto" w:fill="EEEEEF" w:themeFill="accent4"/>
            <w:noWrap/>
            <w:hideMark/>
          </w:tcPr>
          <w:p w14:paraId="36F69ECD" w14:textId="77777777" w:rsidR="00265792" w:rsidRPr="00F201AA" w:rsidRDefault="00265792">
            <w:pPr>
              <w:pStyle w:val="ARfintablebodyright"/>
            </w:pPr>
            <w:r w:rsidRPr="00F201AA">
              <w:t>2,662.1</w:t>
            </w:r>
          </w:p>
        </w:tc>
        <w:tc>
          <w:tcPr>
            <w:tcW w:w="946" w:type="dxa"/>
            <w:shd w:val="clear" w:color="auto" w:fill="EEEEEF" w:themeFill="accent4"/>
            <w:noWrap/>
            <w:hideMark/>
          </w:tcPr>
          <w:p w14:paraId="2E36F1CB" w14:textId="77777777" w:rsidR="00265792" w:rsidRPr="00F201AA" w:rsidRDefault="00265792">
            <w:pPr>
              <w:pStyle w:val="ARfintablebodyright"/>
            </w:pPr>
            <w:r w:rsidRPr="00F201AA">
              <w:t>2,620.6</w:t>
            </w:r>
          </w:p>
        </w:tc>
        <w:tc>
          <w:tcPr>
            <w:tcW w:w="943" w:type="dxa"/>
            <w:noWrap/>
            <w:hideMark/>
          </w:tcPr>
          <w:p w14:paraId="0CE6D1FD" w14:textId="77777777" w:rsidR="00265792" w:rsidRPr="00F201AA" w:rsidRDefault="00265792">
            <w:pPr>
              <w:pStyle w:val="ARfintablebodyright"/>
            </w:pPr>
            <w:r w:rsidRPr="00F201AA">
              <w:t>38,848.2</w:t>
            </w:r>
          </w:p>
        </w:tc>
        <w:tc>
          <w:tcPr>
            <w:tcW w:w="942" w:type="dxa"/>
            <w:noWrap/>
            <w:hideMark/>
          </w:tcPr>
          <w:p w14:paraId="0E129734" w14:textId="77777777" w:rsidR="00265792" w:rsidRPr="00F201AA" w:rsidRDefault="00265792">
            <w:pPr>
              <w:pStyle w:val="ARfintablebodyright"/>
            </w:pPr>
            <w:r w:rsidRPr="00F201AA">
              <w:t>37,883.3</w:t>
            </w:r>
          </w:p>
        </w:tc>
        <w:tc>
          <w:tcPr>
            <w:tcW w:w="942" w:type="dxa"/>
            <w:gridSpan w:val="2"/>
            <w:shd w:val="clear" w:color="auto" w:fill="EEEEEF" w:themeFill="accent4"/>
            <w:noWrap/>
            <w:hideMark/>
          </w:tcPr>
          <w:p w14:paraId="7A3F5385" w14:textId="77777777" w:rsidR="00265792" w:rsidRPr="00F201AA" w:rsidRDefault="00265792">
            <w:pPr>
              <w:pStyle w:val="ARfintablebodyright"/>
            </w:pPr>
            <w:r w:rsidRPr="00F201AA">
              <w:t>(14.6)</w:t>
            </w:r>
          </w:p>
        </w:tc>
        <w:tc>
          <w:tcPr>
            <w:tcW w:w="944" w:type="dxa"/>
            <w:shd w:val="clear" w:color="auto" w:fill="EEEEEF" w:themeFill="accent4"/>
            <w:noWrap/>
            <w:hideMark/>
          </w:tcPr>
          <w:p w14:paraId="6A7406E8" w14:textId="77777777" w:rsidR="00265792" w:rsidRPr="00F201AA" w:rsidRDefault="00265792">
            <w:pPr>
              <w:pStyle w:val="ARfintablebodyright"/>
            </w:pPr>
            <w:r w:rsidRPr="00F201AA">
              <w:t>(8.6)</w:t>
            </w:r>
          </w:p>
        </w:tc>
        <w:tc>
          <w:tcPr>
            <w:tcW w:w="942" w:type="dxa"/>
            <w:noWrap/>
            <w:hideMark/>
          </w:tcPr>
          <w:p w14:paraId="0039DA36" w14:textId="77777777" w:rsidR="00265792" w:rsidRPr="00F201AA" w:rsidRDefault="00265792">
            <w:pPr>
              <w:pStyle w:val="ARfintablebodyright"/>
            </w:pPr>
            <w:r w:rsidRPr="00F201AA">
              <w:t>41,495.7</w:t>
            </w:r>
          </w:p>
        </w:tc>
        <w:tc>
          <w:tcPr>
            <w:tcW w:w="943" w:type="dxa"/>
            <w:noWrap/>
            <w:hideMark/>
          </w:tcPr>
          <w:p w14:paraId="4674FA9F" w14:textId="77777777" w:rsidR="00265792" w:rsidRPr="00F201AA" w:rsidRDefault="00265792">
            <w:pPr>
              <w:pStyle w:val="ARfintablebodyright"/>
            </w:pPr>
            <w:r w:rsidRPr="00F201AA">
              <w:t>40,495.4</w:t>
            </w:r>
          </w:p>
        </w:tc>
      </w:tr>
      <w:tr w:rsidR="00265792" w:rsidRPr="006F6E7C" w14:paraId="709E8764" w14:textId="77777777" w:rsidTr="00527FA6">
        <w:trPr>
          <w:cnfStyle w:val="010000000000" w:firstRow="0" w:lastRow="1" w:firstColumn="0" w:lastColumn="0" w:oddVBand="0" w:evenVBand="0" w:oddHBand="0" w:evenHBand="0" w:firstRowFirstColumn="0" w:firstRowLastColumn="0" w:lastRowFirstColumn="0" w:lastRowLastColumn="0"/>
          <w:trHeight w:val="255"/>
        </w:trPr>
        <w:tc>
          <w:tcPr>
            <w:tcW w:w="2093" w:type="dxa"/>
            <w:hideMark/>
          </w:tcPr>
          <w:p w14:paraId="1C5E64B7" w14:textId="77777777" w:rsidR="00265792" w:rsidRPr="002C7359" w:rsidRDefault="00265792">
            <w:pPr>
              <w:pStyle w:val="ARfintablebody"/>
              <w:rPr>
                <w:b/>
              </w:rPr>
            </w:pPr>
            <w:r w:rsidRPr="002C7359">
              <w:t>Total liabilities</w:t>
            </w:r>
          </w:p>
        </w:tc>
        <w:tc>
          <w:tcPr>
            <w:tcW w:w="942" w:type="dxa"/>
            <w:shd w:val="clear" w:color="auto" w:fill="EEEEEF" w:themeFill="accent4"/>
            <w:noWrap/>
            <w:hideMark/>
          </w:tcPr>
          <w:p w14:paraId="6C4A7D8B" w14:textId="77777777" w:rsidR="00265792" w:rsidRPr="002C7359" w:rsidRDefault="00265792">
            <w:pPr>
              <w:pStyle w:val="ARfintablebodyright"/>
              <w:rPr>
                <w:b/>
              </w:rPr>
            </w:pPr>
            <w:r w:rsidRPr="002C7359">
              <w:t>1,350.7</w:t>
            </w:r>
          </w:p>
        </w:tc>
        <w:tc>
          <w:tcPr>
            <w:tcW w:w="946" w:type="dxa"/>
            <w:shd w:val="clear" w:color="auto" w:fill="EEEEEF" w:themeFill="accent4"/>
            <w:noWrap/>
            <w:hideMark/>
          </w:tcPr>
          <w:p w14:paraId="00BF3F20" w14:textId="77777777" w:rsidR="00265792" w:rsidRPr="002C7359" w:rsidRDefault="00265792">
            <w:pPr>
              <w:pStyle w:val="ARfintablebodyright"/>
              <w:rPr>
                <w:b/>
              </w:rPr>
            </w:pPr>
            <w:r w:rsidRPr="002C7359">
              <w:t>1,155.8</w:t>
            </w:r>
          </w:p>
        </w:tc>
        <w:tc>
          <w:tcPr>
            <w:tcW w:w="943" w:type="dxa"/>
            <w:noWrap/>
            <w:hideMark/>
          </w:tcPr>
          <w:p w14:paraId="43E56B64" w14:textId="77777777" w:rsidR="00265792" w:rsidRPr="002C7359" w:rsidRDefault="00265792">
            <w:pPr>
              <w:pStyle w:val="ARfintablebodyright"/>
              <w:rPr>
                <w:b/>
              </w:rPr>
            </w:pPr>
            <w:r w:rsidRPr="002C7359">
              <w:t>1,065.8</w:t>
            </w:r>
          </w:p>
        </w:tc>
        <w:tc>
          <w:tcPr>
            <w:tcW w:w="942" w:type="dxa"/>
            <w:noWrap/>
            <w:hideMark/>
          </w:tcPr>
          <w:p w14:paraId="5355C115" w14:textId="77777777" w:rsidR="00265792" w:rsidRPr="002C7359" w:rsidRDefault="00265792">
            <w:pPr>
              <w:pStyle w:val="ARfintablebodyright"/>
              <w:rPr>
                <w:b/>
              </w:rPr>
            </w:pPr>
            <w:r w:rsidRPr="002C7359">
              <w:t>785.8</w:t>
            </w:r>
          </w:p>
        </w:tc>
        <w:tc>
          <w:tcPr>
            <w:tcW w:w="942" w:type="dxa"/>
            <w:gridSpan w:val="2"/>
            <w:shd w:val="clear" w:color="auto" w:fill="EEEEEF" w:themeFill="accent4"/>
            <w:noWrap/>
            <w:hideMark/>
          </w:tcPr>
          <w:p w14:paraId="1BDD1B32" w14:textId="77777777" w:rsidR="00265792" w:rsidRPr="002C7359" w:rsidRDefault="00265792">
            <w:pPr>
              <w:pStyle w:val="ARfintablebodyright"/>
              <w:rPr>
                <w:b/>
              </w:rPr>
            </w:pPr>
            <w:r w:rsidRPr="002C7359">
              <w:t>(14.6)</w:t>
            </w:r>
          </w:p>
        </w:tc>
        <w:tc>
          <w:tcPr>
            <w:tcW w:w="944" w:type="dxa"/>
            <w:shd w:val="clear" w:color="auto" w:fill="EEEEEF" w:themeFill="accent4"/>
            <w:noWrap/>
            <w:hideMark/>
          </w:tcPr>
          <w:p w14:paraId="0C691B78" w14:textId="77777777" w:rsidR="00265792" w:rsidRPr="002C7359" w:rsidRDefault="00265792">
            <w:pPr>
              <w:pStyle w:val="ARfintablebodyright"/>
              <w:rPr>
                <w:b/>
              </w:rPr>
            </w:pPr>
            <w:r w:rsidRPr="002C7359">
              <w:t>(8.6)</w:t>
            </w:r>
          </w:p>
        </w:tc>
        <w:tc>
          <w:tcPr>
            <w:tcW w:w="942" w:type="dxa"/>
            <w:noWrap/>
            <w:hideMark/>
          </w:tcPr>
          <w:p w14:paraId="374F76F4" w14:textId="77777777" w:rsidR="00265792" w:rsidRPr="002C7359" w:rsidRDefault="00265792">
            <w:pPr>
              <w:pStyle w:val="ARfintablebodyright"/>
              <w:rPr>
                <w:b/>
              </w:rPr>
            </w:pPr>
            <w:r w:rsidRPr="002C7359">
              <w:t>2,401.9</w:t>
            </w:r>
          </w:p>
        </w:tc>
        <w:tc>
          <w:tcPr>
            <w:tcW w:w="943" w:type="dxa"/>
            <w:noWrap/>
            <w:hideMark/>
          </w:tcPr>
          <w:p w14:paraId="7E93367E" w14:textId="77777777" w:rsidR="00265792" w:rsidRPr="002C7359" w:rsidRDefault="00265792">
            <w:pPr>
              <w:pStyle w:val="ARfintablebodyright"/>
              <w:rPr>
                <w:b/>
              </w:rPr>
            </w:pPr>
            <w:r w:rsidRPr="002C7359">
              <w:t>1,933.1</w:t>
            </w:r>
          </w:p>
        </w:tc>
      </w:tr>
    </w:tbl>
    <w:p w14:paraId="0CBCFED8" w14:textId="77777777" w:rsidR="00265792" w:rsidRDefault="00265792" w:rsidP="00527FA6">
      <w:pPr>
        <w:pStyle w:val="ARfinbody"/>
      </w:pPr>
      <w:r>
        <w:br w:type="page"/>
      </w:r>
    </w:p>
    <w:p w14:paraId="49894D28" w14:textId="77777777" w:rsidR="00265792" w:rsidRDefault="00265792" w:rsidP="006F6E7C">
      <w:pPr>
        <w:pStyle w:val="Heading5"/>
      </w:pPr>
      <w:bookmarkStart w:id="288" w:name="_9.5_Responsible_persons"/>
      <w:bookmarkEnd w:id="288"/>
      <w:r>
        <w:lastRenderedPageBreak/>
        <w:t>9.5 Responsible persons</w:t>
      </w:r>
    </w:p>
    <w:p w14:paraId="3361C336" w14:textId="77777777" w:rsidR="00265792" w:rsidRDefault="00265792" w:rsidP="006F6E7C">
      <w:pPr>
        <w:pStyle w:val="ARfinbodylargespace"/>
      </w:pPr>
      <w:r>
        <w:t xml:space="preserve">In accordance with the Directions of the Minister for Finance under the </w:t>
      </w:r>
      <w:r w:rsidRPr="00E15716">
        <w:rPr>
          <w:rStyle w:val="Emphasis"/>
        </w:rPr>
        <w:t>Financial Management Act 1994</w:t>
      </w:r>
      <w:r>
        <w:t xml:space="preserve"> the following disclosures are made for the responsible persons for the reporting period.</w:t>
      </w:r>
    </w:p>
    <w:p w14:paraId="488AB3A0" w14:textId="77777777" w:rsidR="00265792" w:rsidRDefault="00265792" w:rsidP="006F6E7C">
      <w:pPr>
        <w:pStyle w:val="Heading6"/>
      </w:pPr>
      <w:r>
        <w:t>Names</w:t>
      </w:r>
    </w:p>
    <w:p w14:paraId="0C19E622" w14:textId="77777777" w:rsidR="00265792" w:rsidRDefault="00265792" w:rsidP="006F6E7C">
      <w:pPr>
        <w:pStyle w:val="ARfinbodylargespace"/>
      </w:pPr>
      <w:r>
        <w:t xml:space="preserve">The persons who held the positions of Ministers and Accountable Officers </w:t>
      </w:r>
      <w:r w:rsidRPr="006F6E7C">
        <w:rPr>
          <w:vertAlign w:val="superscript"/>
        </w:rPr>
        <w:t>(</w:t>
      </w:r>
      <w:proofErr w:type="spellStart"/>
      <w:r w:rsidRPr="006F6E7C">
        <w:rPr>
          <w:vertAlign w:val="superscript"/>
        </w:rPr>
        <w:t>i</w:t>
      </w:r>
      <w:proofErr w:type="spellEnd"/>
      <w:r w:rsidRPr="006F6E7C">
        <w:rPr>
          <w:vertAlign w:val="superscript"/>
        </w:rPr>
        <w:t>)</w:t>
      </w:r>
      <w:r>
        <w:t xml:space="preserve"> in the department were as follows:</w:t>
      </w:r>
    </w:p>
    <w:tbl>
      <w:tblPr>
        <w:tblStyle w:val="TableGrid"/>
        <w:tblW w:w="0" w:type="auto"/>
        <w:tblLayout w:type="fixed"/>
        <w:tblLook w:val="04E0" w:firstRow="1" w:lastRow="1" w:firstColumn="1" w:lastColumn="0" w:noHBand="0" w:noVBand="1"/>
      </w:tblPr>
      <w:tblGrid>
        <w:gridCol w:w="2977"/>
        <w:gridCol w:w="3119"/>
        <w:gridCol w:w="3536"/>
      </w:tblGrid>
      <w:tr w:rsidR="00265792" w:rsidRPr="006F6E7C" w14:paraId="4686CD55" w14:textId="77777777" w:rsidTr="00E6675F">
        <w:trPr>
          <w:cnfStyle w:val="100000000000" w:firstRow="1" w:lastRow="0" w:firstColumn="0" w:lastColumn="0" w:oddVBand="0" w:evenVBand="0" w:oddHBand="0" w:evenHBand="0" w:firstRowFirstColumn="0" w:firstRowLastColumn="0" w:lastRowFirstColumn="0" w:lastRowLastColumn="0"/>
          <w:trHeight w:val="315"/>
          <w:tblHeader/>
        </w:trPr>
        <w:tc>
          <w:tcPr>
            <w:tcW w:w="2977" w:type="dxa"/>
            <w:hideMark/>
          </w:tcPr>
          <w:p w14:paraId="589E5422" w14:textId="77777777" w:rsidR="00265792" w:rsidRPr="006F6E7C" w:rsidRDefault="00265792" w:rsidP="006F6E7C">
            <w:pPr>
              <w:pStyle w:val="ARfintablecolhead"/>
            </w:pPr>
            <w:r w:rsidRPr="006F6E7C">
              <w:t>Relevant office</w:t>
            </w:r>
          </w:p>
        </w:tc>
        <w:tc>
          <w:tcPr>
            <w:tcW w:w="3119" w:type="dxa"/>
            <w:hideMark/>
          </w:tcPr>
          <w:p w14:paraId="4D0E7584" w14:textId="77777777" w:rsidR="00265792" w:rsidRPr="006F6E7C" w:rsidRDefault="00265792" w:rsidP="006F6E7C">
            <w:pPr>
              <w:pStyle w:val="ARfintablecolhead"/>
            </w:pPr>
            <w:r w:rsidRPr="006F6E7C">
              <w:t>Minister or Accountable Officer</w:t>
            </w:r>
          </w:p>
        </w:tc>
        <w:tc>
          <w:tcPr>
            <w:tcW w:w="3536" w:type="dxa"/>
            <w:hideMark/>
          </w:tcPr>
          <w:p w14:paraId="3EBF28A3" w14:textId="77777777" w:rsidR="00265792" w:rsidRPr="006F6E7C" w:rsidRDefault="00265792" w:rsidP="006F6E7C">
            <w:pPr>
              <w:pStyle w:val="ARfintablecolhead"/>
            </w:pPr>
            <w:r w:rsidRPr="006F6E7C">
              <w:t>Period</w:t>
            </w:r>
          </w:p>
        </w:tc>
      </w:tr>
      <w:tr w:rsidR="00265792" w:rsidRPr="006F6E7C" w14:paraId="11FEA1A5" w14:textId="77777777" w:rsidTr="00E6675F">
        <w:trPr>
          <w:trHeight w:val="315"/>
        </w:trPr>
        <w:tc>
          <w:tcPr>
            <w:tcW w:w="2977" w:type="dxa"/>
            <w:tcBorders>
              <w:top w:val="single" w:sz="4" w:space="0" w:color="000000" w:themeColor="text1"/>
              <w:bottom w:val="single" w:sz="4" w:space="0" w:color="000000" w:themeColor="text1"/>
            </w:tcBorders>
            <w:noWrap/>
            <w:hideMark/>
          </w:tcPr>
          <w:p w14:paraId="3C8000BC" w14:textId="77777777" w:rsidR="00265792" w:rsidRPr="006F6E7C" w:rsidRDefault="00265792" w:rsidP="006F6E7C">
            <w:pPr>
              <w:pStyle w:val="ARfintablebody"/>
            </w:pPr>
            <w:r w:rsidRPr="006F6E7C">
              <w:t>Minister for Disability</w:t>
            </w:r>
          </w:p>
        </w:tc>
        <w:tc>
          <w:tcPr>
            <w:tcW w:w="3119" w:type="dxa"/>
            <w:tcBorders>
              <w:top w:val="single" w:sz="4" w:space="0" w:color="000000" w:themeColor="text1"/>
              <w:bottom w:val="single" w:sz="4" w:space="0" w:color="000000" w:themeColor="text1"/>
            </w:tcBorders>
            <w:noWrap/>
            <w:hideMark/>
          </w:tcPr>
          <w:p w14:paraId="15A8F162" w14:textId="77777777" w:rsidR="00265792" w:rsidRPr="006F6E7C" w:rsidRDefault="00265792" w:rsidP="006F6E7C">
            <w:pPr>
              <w:pStyle w:val="ARfintablebody"/>
            </w:pPr>
            <w:r w:rsidRPr="006F6E7C">
              <w:t xml:space="preserve">Hon. Lizzie </w:t>
            </w:r>
            <w:proofErr w:type="spellStart"/>
            <w:r w:rsidRPr="006F6E7C">
              <w:t>Blandthorn</w:t>
            </w:r>
            <w:proofErr w:type="spellEnd"/>
          </w:p>
        </w:tc>
        <w:tc>
          <w:tcPr>
            <w:tcW w:w="3536" w:type="dxa"/>
            <w:tcBorders>
              <w:top w:val="single" w:sz="4" w:space="0" w:color="000000" w:themeColor="text1"/>
              <w:bottom w:val="single" w:sz="4" w:space="0" w:color="000000" w:themeColor="text1"/>
            </w:tcBorders>
            <w:noWrap/>
            <w:hideMark/>
          </w:tcPr>
          <w:p w14:paraId="0D410237" w14:textId="77777777" w:rsidR="00265792" w:rsidRPr="006F6E7C" w:rsidRDefault="00265792" w:rsidP="006F6E7C">
            <w:pPr>
              <w:pStyle w:val="ARfintablebody"/>
            </w:pPr>
            <w:r w:rsidRPr="006F6E7C">
              <w:t>1 July 2024 to 30 June 2025</w:t>
            </w:r>
          </w:p>
        </w:tc>
      </w:tr>
      <w:tr w:rsidR="00265792" w:rsidRPr="006F6E7C" w14:paraId="0511E6A0" w14:textId="77777777" w:rsidTr="00E6675F">
        <w:trPr>
          <w:trHeight w:val="315"/>
        </w:trPr>
        <w:tc>
          <w:tcPr>
            <w:tcW w:w="2977" w:type="dxa"/>
            <w:tcBorders>
              <w:top w:val="single" w:sz="4" w:space="0" w:color="000000" w:themeColor="text1"/>
              <w:bottom w:val="single" w:sz="4" w:space="0" w:color="000000" w:themeColor="text1"/>
            </w:tcBorders>
            <w:noWrap/>
            <w:hideMark/>
          </w:tcPr>
          <w:p w14:paraId="708BEA1D" w14:textId="77777777" w:rsidR="00265792" w:rsidRPr="006F6E7C" w:rsidRDefault="00265792" w:rsidP="006F6E7C">
            <w:pPr>
              <w:pStyle w:val="ARfintablebody"/>
            </w:pPr>
            <w:r w:rsidRPr="006F6E7C">
              <w:t>Minister for Children</w:t>
            </w:r>
          </w:p>
        </w:tc>
        <w:tc>
          <w:tcPr>
            <w:tcW w:w="3119" w:type="dxa"/>
            <w:tcBorders>
              <w:top w:val="single" w:sz="4" w:space="0" w:color="000000" w:themeColor="text1"/>
              <w:bottom w:val="single" w:sz="4" w:space="0" w:color="000000" w:themeColor="text1"/>
            </w:tcBorders>
            <w:noWrap/>
            <w:hideMark/>
          </w:tcPr>
          <w:p w14:paraId="42A15D0F" w14:textId="77777777" w:rsidR="00265792" w:rsidRPr="006F6E7C" w:rsidRDefault="00265792" w:rsidP="006F6E7C">
            <w:pPr>
              <w:pStyle w:val="ARfintablebody"/>
            </w:pPr>
            <w:r w:rsidRPr="006F6E7C">
              <w:t xml:space="preserve">Hon. Lizzie </w:t>
            </w:r>
            <w:proofErr w:type="spellStart"/>
            <w:r w:rsidRPr="006F6E7C">
              <w:t>Blandthorn</w:t>
            </w:r>
            <w:proofErr w:type="spellEnd"/>
          </w:p>
        </w:tc>
        <w:tc>
          <w:tcPr>
            <w:tcW w:w="3536" w:type="dxa"/>
            <w:tcBorders>
              <w:top w:val="single" w:sz="4" w:space="0" w:color="000000" w:themeColor="text1"/>
              <w:bottom w:val="single" w:sz="4" w:space="0" w:color="000000" w:themeColor="text1"/>
            </w:tcBorders>
            <w:noWrap/>
            <w:hideMark/>
          </w:tcPr>
          <w:p w14:paraId="437BF279" w14:textId="77777777" w:rsidR="00265792" w:rsidRPr="006F6E7C" w:rsidRDefault="00265792" w:rsidP="006F6E7C">
            <w:pPr>
              <w:pStyle w:val="ARfintablebody"/>
            </w:pPr>
            <w:r w:rsidRPr="006F6E7C">
              <w:t>1 July 2024 to 30 June 2025</w:t>
            </w:r>
          </w:p>
        </w:tc>
      </w:tr>
      <w:tr w:rsidR="00265792" w:rsidRPr="006F6E7C" w14:paraId="7FCF3F4D" w14:textId="77777777" w:rsidTr="00E6675F">
        <w:trPr>
          <w:trHeight w:val="315"/>
        </w:trPr>
        <w:tc>
          <w:tcPr>
            <w:tcW w:w="2977" w:type="dxa"/>
            <w:tcBorders>
              <w:top w:val="single" w:sz="4" w:space="0" w:color="000000" w:themeColor="text1"/>
              <w:bottom w:val="single" w:sz="4" w:space="0" w:color="000000" w:themeColor="text1"/>
            </w:tcBorders>
            <w:noWrap/>
            <w:hideMark/>
          </w:tcPr>
          <w:p w14:paraId="1AC9335C" w14:textId="77777777" w:rsidR="00265792" w:rsidRPr="006F6E7C" w:rsidRDefault="00265792" w:rsidP="006F6E7C">
            <w:pPr>
              <w:pStyle w:val="ARfintablebody"/>
            </w:pPr>
            <w:r w:rsidRPr="006F6E7C">
              <w:t>Minister for Housing</w:t>
            </w:r>
          </w:p>
        </w:tc>
        <w:tc>
          <w:tcPr>
            <w:tcW w:w="3119" w:type="dxa"/>
            <w:tcBorders>
              <w:top w:val="single" w:sz="4" w:space="0" w:color="000000" w:themeColor="text1"/>
              <w:bottom w:val="single" w:sz="4" w:space="0" w:color="000000" w:themeColor="text1"/>
            </w:tcBorders>
            <w:noWrap/>
            <w:hideMark/>
          </w:tcPr>
          <w:p w14:paraId="33C422D8" w14:textId="77777777" w:rsidR="00265792" w:rsidRPr="006F6E7C" w:rsidRDefault="00265792" w:rsidP="006F6E7C">
            <w:pPr>
              <w:pStyle w:val="ARfintablebody"/>
            </w:pPr>
            <w:r w:rsidRPr="006F6E7C">
              <w:t>Hon. Harriet Shing</w:t>
            </w:r>
          </w:p>
        </w:tc>
        <w:tc>
          <w:tcPr>
            <w:tcW w:w="3536" w:type="dxa"/>
            <w:tcBorders>
              <w:top w:val="single" w:sz="4" w:space="0" w:color="000000" w:themeColor="text1"/>
              <w:bottom w:val="single" w:sz="4" w:space="0" w:color="000000" w:themeColor="text1"/>
            </w:tcBorders>
            <w:noWrap/>
            <w:hideMark/>
          </w:tcPr>
          <w:p w14:paraId="06798AD2" w14:textId="77777777" w:rsidR="00265792" w:rsidRPr="006F6E7C" w:rsidRDefault="00265792" w:rsidP="006F6E7C">
            <w:pPr>
              <w:pStyle w:val="ARfintablebody"/>
            </w:pPr>
            <w:r w:rsidRPr="006F6E7C">
              <w:t>1 July 2024 to 18 December 2024</w:t>
            </w:r>
          </w:p>
        </w:tc>
      </w:tr>
      <w:tr w:rsidR="00265792" w:rsidRPr="006F6E7C" w14:paraId="4A60B363" w14:textId="77777777" w:rsidTr="00E6675F">
        <w:trPr>
          <w:trHeight w:val="300"/>
        </w:trPr>
        <w:tc>
          <w:tcPr>
            <w:tcW w:w="2977" w:type="dxa"/>
            <w:tcBorders>
              <w:top w:val="single" w:sz="4" w:space="0" w:color="000000" w:themeColor="text1"/>
              <w:bottom w:val="single" w:sz="4" w:space="0" w:color="000000" w:themeColor="text1"/>
            </w:tcBorders>
            <w:noWrap/>
            <w:hideMark/>
          </w:tcPr>
          <w:p w14:paraId="4CBC62D6" w14:textId="77777777" w:rsidR="00265792" w:rsidRPr="006F6E7C" w:rsidRDefault="00265792" w:rsidP="006F6E7C">
            <w:pPr>
              <w:pStyle w:val="ARfintablebody"/>
            </w:pPr>
            <w:r w:rsidRPr="006F6E7C">
              <w:t>Minister for Housing and Building</w:t>
            </w:r>
          </w:p>
        </w:tc>
        <w:tc>
          <w:tcPr>
            <w:tcW w:w="3119" w:type="dxa"/>
            <w:tcBorders>
              <w:top w:val="single" w:sz="4" w:space="0" w:color="000000" w:themeColor="text1"/>
              <w:bottom w:val="single" w:sz="4" w:space="0" w:color="000000" w:themeColor="text1"/>
            </w:tcBorders>
            <w:noWrap/>
            <w:hideMark/>
          </w:tcPr>
          <w:p w14:paraId="72287AF0" w14:textId="77777777" w:rsidR="00265792" w:rsidRPr="006F6E7C" w:rsidRDefault="00265792" w:rsidP="006F6E7C">
            <w:pPr>
              <w:pStyle w:val="ARfintablebody"/>
            </w:pPr>
            <w:r w:rsidRPr="006F6E7C">
              <w:t>Hon. Harriet Shing</w:t>
            </w:r>
          </w:p>
        </w:tc>
        <w:tc>
          <w:tcPr>
            <w:tcW w:w="3536" w:type="dxa"/>
            <w:tcBorders>
              <w:top w:val="single" w:sz="4" w:space="0" w:color="000000" w:themeColor="text1"/>
              <w:bottom w:val="single" w:sz="4" w:space="0" w:color="000000" w:themeColor="text1"/>
            </w:tcBorders>
            <w:noWrap/>
            <w:hideMark/>
          </w:tcPr>
          <w:p w14:paraId="1601492B" w14:textId="77777777" w:rsidR="00265792" w:rsidRPr="006F6E7C" w:rsidRDefault="00265792" w:rsidP="006F6E7C">
            <w:pPr>
              <w:pStyle w:val="ARfintablebody"/>
            </w:pPr>
            <w:r w:rsidRPr="006F6E7C">
              <w:t>19 December 2024 to 30 June 2025</w:t>
            </w:r>
          </w:p>
        </w:tc>
      </w:tr>
      <w:tr w:rsidR="00265792" w:rsidRPr="006F6E7C" w14:paraId="1B3A6DBD" w14:textId="77777777" w:rsidTr="00E6675F">
        <w:trPr>
          <w:trHeight w:val="300"/>
        </w:trPr>
        <w:tc>
          <w:tcPr>
            <w:tcW w:w="2977" w:type="dxa"/>
            <w:vMerge w:val="restart"/>
            <w:tcBorders>
              <w:top w:val="single" w:sz="4" w:space="0" w:color="000000" w:themeColor="text1"/>
              <w:bottom w:val="single" w:sz="4" w:space="0" w:color="000000" w:themeColor="text1"/>
            </w:tcBorders>
            <w:noWrap/>
            <w:hideMark/>
          </w:tcPr>
          <w:p w14:paraId="7ACEC2B7" w14:textId="77777777" w:rsidR="00265792" w:rsidRPr="006F6E7C" w:rsidRDefault="00265792" w:rsidP="006F6E7C">
            <w:pPr>
              <w:pStyle w:val="ARfintablebody"/>
            </w:pPr>
            <w:r w:rsidRPr="006F6E7C">
              <w:t>Minister for Equality</w:t>
            </w:r>
          </w:p>
        </w:tc>
        <w:tc>
          <w:tcPr>
            <w:tcW w:w="3119" w:type="dxa"/>
            <w:tcBorders>
              <w:top w:val="single" w:sz="4" w:space="0" w:color="000000" w:themeColor="text1"/>
              <w:bottom w:val="single" w:sz="4" w:space="0" w:color="A6A6A6" w:themeColor="accent5"/>
            </w:tcBorders>
            <w:noWrap/>
            <w:hideMark/>
          </w:tcPr>
          <w:p w14:paraId="6910D9F1" w14:textId="77777777" w:rsidR="00265792" w:rsidRPr="006F6E7C" w:rsidRDefault="00265792" w:rsidP="006F6E7C">
            <w:pPr>
              <w:pStyle w:val="ARfintablebody"/>
            </w:pPr>
            <w:r w:rsidRPr="006F6E7C">
              <w:t>Hon. Harriet Shing</w:t>
            </w:r>
          </w:p>
        </w:tc>
        <w:tc>
          <w:tcPr>
            <w:tcW w:w="3536" w:type="dxa"/>
            <w:tcBorders>
              <w:top w:val="single" w:sz="4" w:space="0" w:color="000000" w:themeColor="text1"/>
              <w:bottom w:val="single" w:sz="4" w:space="0" w:color="A6A6A6" w:themeColor="accent5"/>
            </w:tcBorders>
            <w:noWrap/>
            <w:hideMark/>
          </w:tcPr>
          <w:p w14:paraId="4685EF4E" w14:textId="77777777" w:rsidR="00265792" w:rsidRPr="006F6E7C" w:rsidRDefault="00265792" w:rsidP="006F6E7C">
            <w:pPr>
              <w:pStyle w:val="ARfintablebody"/>
            </w:pPr>
            <w:r w:rsidRPr="006F6E7C">
              <w:t>1 July 2024 to 18 December 2024</w:t>
            </w:r>
          </w:p>
        </w:tc>
      </w:tr>
      <w:tr w:rsidR="00265792" w:rsidRPr="006F6E7C" w14:paraId="037167FD" w14:textId="77777777" w:rsidTr="00E6675F">
        <w:trPr>
          <w:trHeight w:val="300"/>
        </w:trPr>
        <w:tc>
          <w:tcPr>
            <w:tcW w:w="2977" w:type="dxa"/>
            <w:vMerge/>
            <w:tcBorders>
              <w:top w:val="single" w:sz="4" w:space="0" w:color="000000" w:themeColor="text1"/>
              <w:bottom w:val="single" w:sz="4" w:space="0" w:color="000000" w:themeColor="text1"/>
            </w:tcBorders>
            <w:hideMark/>
          </w:tcPr>
          <w:p w14:paraId="2B909C71" w14:textId="77777777" w:rsidR="00265792" w:rsidRPr="006F6E7C" w:rsidRDefault="00265792" w:rsidP="006F6E7C">
            <w:pPr>
              <w:pStyle w:val="ARfintablebody"/>
            </w:pPr>
          </w:p>
        </w:tc>
        <w:tc>
          <w:tcPr>
            <w:tcW w:w="3119" w:type="dxa"/>
            <w:tcBorders>
              <w:top w:val="single" w:sz="4" w:space="0" w:color="A6A6A6" w:themeColor="accent5"/>
              <w:bottom w:val="single" w:sz="4" w:space="0" w:color="000000" w:themeColor="text1"/>
            </w:tcBorders>
            <w:noWrap/>
            <w:hideMark/>
          </w:tcPr>
          <w:p w14:paraId="65CE580A" w14:textId="77777777" w:rsidR="00265792" w:rsidRPr="006F6E7C" w:rsidRDefault="00265792" w:rsidP="006F6E7C">
            <w:pPr>
              <w:pStyle w:val="ARfintablebody"/>
            </w:pPr>
            <w:r w:rsidRPr="006F6E7C">
              <w:t>The Hon. Vicki Ward</w:t>
            </w:r>
          </w:p>
        </w:tc>
        <w:tc>
          <w:tcPr>
            <w:tcW w:w="3536" w:type="dxa"/>
            <w:tcBorders>
              <w:top w:val="single" w:sz="4" w:space="0" w:color="A6A6A6" w:themeColor="accent5"/>
              <w:bottom w:val="single" w:sz="4" w:space="0" w:color="000000" w:themeColor="text1"/>
            </w:tcBorders>
            <w:noWrap/>
            <w:hideMark/>
          </w:tcPr>
          <w:p w14:paraId="3814724B" w14:textId="77777777" w:rsidR="00265792" w:rsidRPr="006F6E7C" w:rsidRDefault="00265792" w:rsidP="006F6E7C">
            <w:pPr>
              <w:pStyle w:val="ARfintablebody"/>
            </w:pPr>
            <w:r w:rsidRPr="006F6E7C">
              <w:t>19 December 2024 to 30 June 2025</w:t>
            </w:r>
          </w:p>
        </w:tc>
      </w:tr>
      <w:tr w:rsidR="00265792" w:rsidRPr="006F6E7C" w14:paraId="2C34B70C" w14:textId="77777777" w:rsidTr="00E6675F">
        <w:trPr>
          <w:trHeight w:val="300"/>
        </w:trPr>
        <w:tc>
          <w:tcPr>
            <w:tcW w:w="2977" w:type="dxa"/>
            <w:vMerge w:val="restart"/>
            <w:tcBorders>
              <w:top w:val="single" w:sz="4" w:space="0" w:color="000000" w:themeColor="text1"/>
              <w:bottom w:val="single" w:sz="4" w:space="0" w:color="000000" w:themeColor="text1"/>
            </w:tcBorders>
            <w:noWrap/>
            <w:hideMark/>
          </w:tcPr>
          <w:p w14:paraId="30AF05FD" w14:textId="77777777" w:rsidR="00265792" w:rsidRPr="006F6E7C" w:rsidRDefault="00265792" w:rsidP="006F6E7C">
            <w:pPr>
              <w:pStyle w:val="ARfintablebody"/>
            </w:pPr>
            <w:r w:rsidRPr="006F6E7C">
              <w:t>Minister for Prevention of Family</w:t>
            </w:r>
            <w:r>
              <w:t> </w:t>
            </w:r>
            <w:r w:rsidRPr="006F6E7C">
              <w:t>Violence</w:t>
            </w:r>
          </w:p>
        </w:tc>
        <w:tc>
          <w:tcPr>
            <w:tcW w:w="3119" w:type="dxa"/>
            <w:tcBorders>
              <w:top w:val="single" w:sz="4" w:space="0" w:color="000000" w:themeColor="text1"/>
              <w:bottom w:val="single" w:sz="4" w:space="0" w:color="A6A6A6" w:themeColor="accent5"/>
            </w:tcBorders>
            <w:noWrap/>
            <w:hideMark/>
          </w:tcPr>
          <w:p w14:paraId="458593C6" w14:textId="77777777" w:rsidR="00265792" w:rsidRPr="006F6E7C" w:rsidRDefault="00265792" w:rsidP="006F6E7C">
            <w:pPr>
              <w:pStyle w:val="ARfintablebody"/>
            </w:pPr>
            <w:r w:rsidRPr="006F6E7C">
              <w:t>The Hon. Vicki Ward</w:t>
            </w:r>
          </w:p>
        </w:tc>
        <w:tc>
          <w:tcPr>
            <w:tcW w:w="3536" w:type="dxa"/>
            <w:tcBorders>
              <w:top w:val="single" w:sz="4" w:space="0" w:color="000000" w:themeColor="text1"/>
              <w:bottom w:val="single" w:sz="4" w:space="0" w:color="A6A6A6" w:themeColor="accent5"/>
            </w:tcBorders>
            <w:noWrap/>
            <w:hideMark/>
          </w:tcPr>
          <w:p w14:paraId="3082FD1B" w14:textId="77777777" w:rsidR="00265792" w:rsidRPr="006F6E7C" w:rsidRDefault="00265792" w:rsidP="006F6E7C">
            <w:pPr>
              <w:pStyle w:val="ARfintablebody"/>
            </w:pPr>
            <w:r w:rsidRPr="006F6E7C">
              <w:t>1 July 2024 to 18 December 2024</w:t>
            </w:r>
          </w:p>
        </w:tc>
      </w:tr>
      <w:tr w:rsidR="00265792" w:rsidRPr="006F6E7C" w14:paraId="06728CBC" w14:textId="77777777" w:rsidTr="00E6675F">
        <w:trPr>
          <w:trHeight w:val="300"/>
        </w:trPr>
        <w:tc>
          <w:tcPr>
            <w:tcW w:w="2977" w:type="dxa"/>
            <w:vMerge/>
            <w:tcBorders>
              <w:top w:val="single" w:sz="4" w:space="0" w:color="000000" w:themeColor="text1"/>
              <w:bottom w:val="single" w:sz="4" w:space="0" w:color="000000" w:themeColor="text1"/>
            </w:tcBorders>
            <w:hideMark/>
          </w:tcPr>
          <w:p w14:paraId="7D5F10B6" w14:textId="77777777" w:rsidR="00265792" w:rsidRPr="006F6E7C" w:rsidRDefault="00265792" w:rsidP="006F6E7C">
            <w:pPr>
              <w:pStyle w:val="ARfintablebody"/>
            </w:pPr>
          </w:p>
        </w:tc>
        <w:tc>
          <w:tcPr>
            <w:tcW w:w="3119" w:type="dxa"/>
            <w:tcBorders>
              <w:top w:val="single" w:sz="4" w:space="0" w:color="A6A6A6" w:themeColor="accent5"/>
              <w:bottom w:val="single" w:sz="4" w:space="0" w:color="000000" w:themeColor="text1"/>
            </w:tcBorders>
            <w:noWrap/>
            <w:hideMark/>
          </w:tcPr>
          <w:p w14:paraId="43110FA7" w14:textId="77777777" w:rsidR="00265792" w:rsidRPr="006F6E7C" w:rsidRDefault="00265792" w:rsidP="006F6E7C">
            <w:pPr>
              <w:pStyle w:val="ARfintablebody"/>
            </w:pPr>
            <w:r w:rsidRPr="006F6E7C">
              <w:t>The Hon. Natalie Hutchins</w:t>
            </w:r>
          </w:p>
        </w:tc>
        <w:tc>
          <w:tcPr>
            <w:tcW w:w="3536" w:type="dxa"/>
            <w:tcBorders>
              <w:top w:val="single" w:sz="4" w:space="0" w:color="A6A6A6" w:themeColor="accent5"/>
              <w:bottom w:val="single" w:sz="4" w:space="0" w:color="000000" w:themeColor="text1"/>
            </w:tcBorders>
            <w:noWrap/>
            <w:hideMark/>
          </w:tcPr>
          <w:p w14:paraId="00924520" w14:textId="77777777" w:rsidR="00265792" w:rsidRPr="006F6E7C" w:rsidRDefault="00265792" w:rsidP="006F6E7C">
            <w:pPr>
              <w:pStyle w:val="ARfintablebody"/>
            </w:pPr>
            <w:r w:rsidRPr="006F6E7C">
              <w:t>19 December 2024 to 30 June 2025</w:t>
            </w:r>
          </w:p>
        </w:tc>
      </w:tr>
      <w:tr w:rsidR="00265792" w:rsidRPr="006F6E7C" w14:paraId="6A258BE0" w14:textId="77777777" w:rsidTr="00E6675F">
        <w:trPr>
          <w:trHeight w:val="300"/>
        </w:trPr>
        <w:tc>
          <w:tcPr>
            <w:tcW w:w="2977" w:type="dxa"/>
            <w:tcBorders>
              <w:top w:val="single" w:sz="4" w:space="0" w:color="000000" w:themeColor="text1"/>
              <w:bottom w:val="single" w:sz="4" w:space="0" w:color="000000" w:themeColor="text1"/>
            </w:tcBorders>
            <w:noWrap/>
            <w:hideMark/>
          </w:tcPr>
          <w:p w14:paraId="738DACEF" w14:textId="77777777" w:rsidR="00265792" w:rsidRPr="006F6E7C" w:rsidRDefault="00265792" w:rsidP="006F6E7C">
            <w:pPr>
              <w:pStyle w:val="ARfintablebody"/>
            </w:pPr>
            <w:r w:rsidRPr="006F6E7C">
              <w:t>Minister for Veterans</w:t>
            </w:r>
          </w:p>
        </w:tc>
        <w:tc>
          <w:tcPr>
            <w:tcW w:w="3119" w:type="dxa"/>
            <w:tcBorders>
              <w:top w:val="single" w:sz="4" w:space="0" w:color="000000" w:themeColor="text1"/>
              <w:bottom w:val="single" w:sz="4" w:space="0" w:color="000000" w:themeColor="text1"/>
            </w:tcBorders>
            <w:noWrap/>
            <w:hideMark/>
          </w:tcPr>
          <w:p w14:paraId="1D3051B5" w14:textId="77777777" w:rsidR="00265792" w:rsidRPr="006F6E7C" w:rsidRDefault="00265792" w:rsidP="006F6E7C">
            <w:pPr>
              <w:pStyle w:val="ARfintablebody"/>
            </w:pPr>
            <w:r w:rsidRPr="006F6E7C">
              <w:t>Hon. Natalie Suleyman</w:t>
            </w:r>
          </w:p>
        </w:tc>
        <w:tc>
          <w:tcPr>
            <w:tcW w:w="3536" w:type="dxa"/>
            <w:tcBorders>
              <w:top w:val="single" w:sz="4" w:space="0" w:color="000000" w:themeColor="text1"/>
              <w:bottom w:val="single" w:sz="4" w:space="0" w:color="000000" w:themeColor="text1"/>
            </w:tcBorders>
            <w:noWrap/>
            <w:hideMark/>
          </w:tcPr>
          <w:p w14:paraId="61BB5129" w14:textId="77777777" w:rsidR="00265792" w:rsidRPr="006F6E7C" w:rsidRDefault="00265792" w:rsidP="006F6E7C">
            <w:pPr>
              <w:pStyle w:val="ARfintablebody"/>
            </w:pPr>
            <w:r w:rsidRPr="006F6E7C">
              <w:t>1 July 2024 to 30 June 2025</w:t>
            </w:r>
          </w:p>
        </w:tc>
      </w:tr>
      <w:tr w:rsidR="00265792" w:rsidRPr="006F6E7C" w14:paraId="6842D07B" w14:textId="77777777" w:rsidTr="00E6675F">
        <w:trPr>
          <w:trHeight w:val="300"/>
        </w:trPr>
        <w:tc>
          <w:tcPr>
            <w:tcW w:w="2977" w:type="dxa"/>
            <w:tcBorders>
              <w:top w:val="single" w:sz="4" w:space="0" w:color="000000" w:themeColor="text1"/>
              <w:bottom w:val="single" w:sz="4" w:space="0" w:color="000000" w:themeColor="text1"/>
            </w:tcBorders>
            <w:noWrap/>
            <w:hideMark/>
          </w:tcPr>
          <w:p w14:paraId="3D74057D" w14:textId="77777777" w:rsidR="00265792" w:rsidRPr="006F6E7C" w:rsidRDefault="00265792" w:rsidP="006F6E7C">
            <w:pPr>
              <w:pStyle w:val="ARfintablebody"/>
            </w:pPr>
            <w:r w:rsidRPr="006F6E7C">
              <w:t>Minister for Youth</w:t>
            </w:r>
          </w:p>
        </w:tc>
        <w:tc>
          <w:tcPr>
            <w:tcW w:w="3119" w:type="dxa"/>
            <w:tcBorders>
              <w:top w:val="single" w:sz="4" w:space="0" w:color="000000" w:themeColor="text1"/>
              <w:bottom w:val="single" w:sz="4" w:space="0" w:color="000000" w:themeColor="text1"/>
            </w:tcBorders>
            <w:noWrap/>
            <w:hideMark/>
          </w:tcPr>
          <w:p w14:paraId="27036294" w14:textId="77777777" w:rsidR="00265792" w:rsidRPr="006F6E7C" w:rsidRDefault="00265792" w:rsidP="006F6E7C">
            <w:pPr>
              <w:pStyle w:val="ARfintablebody"/>
            </w:pPr>
            <w:r w:rsidRPr="006F6E7C">
              <w:t>Hon. Natalie Suleyman</w:t>
            </w:r>
          </w:p>
        </w:tc>
        <w:tc>
          <w:tcPr>
            <w:tcW w:w="3536" w:type="dxa"/>
            <w:tcBorders>
              <w:top w:val="single" w:sz="4" w:space="0" w:color="000000" w:themeColor="text1"/>
              <w:bottom w:val="single" w:sz="4" w:space="0" w:color="000000" w:themeColor="text1"/>
            </w:tcBorders>
            <w:noWrap/>
            <w:hideMark/>
          </w:tcPr>
          <w:p w14:paraId="47E99D42" w14:textId="77777777" w:rsidR="00265792" w:rsidRPr="006F6E7C" w:rsidRDefault="00265792" w:rsidP="006F6E7C">
            <w:pPr>
              <w:pStyle w:val="ARfintablebody"/>
            </w:pPr>
            <w:r w:rsidRPr="006F6E7C">
              <w:t>1 July 2024 to 30 June 2025</w:t>
            </w:r>
          </w:p>
        </w:tc>
      </w:tr>
      <w:tr w:rsidR="00265792" w:rsidRPr="006F6E7C" w14:paraId="4E833D00" w14:textId="77777777" w:rsidTr="00E6675F">
        <w:trPr>
          <w:trHeight w:val="300"/>
        </w:trPr>
        <w:tc>
          <w:tcPr>
            <w:tcW w:w="2977" w:type="dxa"/>
            <w:tcBorders>
              <w:top w:val="single" w:sz="4" w:space="0" w:color="000000" w:themeColor="text1"/>
              <w:bottom w:val="single" w:sz="4" w:space="0" w:color="000000" w:themeColor="text1"/>
            </w:tcBorders>
            <w:noWrap/>
            <w:hideMark/>
          </w:tcPr>
          <w:p w14:paraId="6644E0EA" w14:textId="77777777" w:rsidR="00265792" w:rsidRPr="006F6E7C" w:rsidRDefault="00265792" w:rsidP="006F6E7C">
            <w:pPr>
              <w:pStyle w:val="ARfintablebody"/>
            </w:pPr>
            <w:r w:rsidRPr="006F6E7C">
              <w:t>Minister for Ageing</w:t>
            </w:r>
          </w:p>
        </w:tc>
        <w:tc>
          <w:tcPr>
            <w:tcW w:w="3119" w:type="dxa"/>
            <w:tcBorders>
              <w:top w:val="single" w:sz="4" w:space="0" w:color="000000" w:themeColor="text1"/>
              <w:bottom w:val="single" w:sz="4" w:space="0" w:color="000000" w:themeColor="text1"/>
            </w:tcBorders>
            <w:noWrap/>
            <w:hideMark/>
          </w:tcPr>
          <w:p w14:paraId="7B754FDD" w14:textId="77777777" w:rsidR="00265792" w:rsidRPr="006F6E7C" w:rsidRDefault="00265792" w:rsidP="006F6E7C">
            <w:pPr>
              <w:pStyle w:val="ARfintablebody"/>
            </w:pPr>
            <w:r w:rsidRPr="006F6E7C">
              <w:t>Ingrid Stitt MP</w:t>
            </w:r>
          </w:p>
        </w:tc>
        <w:tc>
          <w:tcPr>
            <w:tcW w:w="3536" w:type="dxa"/>
            <w:tcBorders>
              <w:top w:val="single" w:sz="4" w:space="0" w:color="000000" w:themeColor="text1"/>
              <w:bottom w:val="single" w:sz="4" w:space="0" w:color="000000" w:themeColor="text1"/>
            </w:tcBorders>
            <w:noWrap/>
            <w:hideMark/>
          </w:tcPr>
          <w:p w14:paraId="5E85CFD6" w14:textId="77777777" w:rsidR="00265792" w:rsidRPr="006F6E7C" w:rsidRDefault="00265792" w:rsidP="006F6E7C">
            <w:pPr>
              <w:pStyle w:val="ARfintablebody"/>
            </w:pPr>
            <w:r w:rsidRPr="006F6E7C">
              <w:t>1 July 2024 to 30 June 2025</w:t>
            </w:r>
          </w:p>
        </w:tc>
      </w:tr>
      <w:tr w:rsidR="00265792" w:rsidRPr="006F6E7C" w14:paraId="12E3C928" w14:textId="77777777" w:rsidTr="00E6675F">
        <w:trPr>
          <w:trHeight w:val="300"/>
        </w:trPr>
        <w:tc>
          <w:tcPr>
            <w:tcW w:w="2977" w:type="dxa"/>
            <w:tcBorders>
              <w:top w:val="single" w:sz="4" w:space="0" w:color="000000" w:themeColor="text1"/>
              <w:bottom w:val="single" w:sz="4" w:space="0" w:color="000000" w:themeColor="text1"/>
            </w:tcBorders>
            <w:noWrap/>
            <w:hideMark/>
          </w:tcPr>
          <w:p w14:paraId="1BC8174C" w14:textId="77777777" w:rsidR="00265792" w:rsidRPr="006F6E7C" w:rsidRDefault="00265792" w:rsidP="006F6E7C">
            <w:pPr>
              <w:pStyle w:val="ARfintablebody"/>
            </w:pPr>
            <w:r w:rsidRPr="006F6E7C">
              <w:t>Minister for Women</w:t>
            </w:r>
          </w:p>
        </w:tc>
        <w:tc>
          <w:tcPr>
            <w:tcW w:w="3119" w:type="dxa"/>
            <w:tcBorders>
              <w:top w:val="single" w:sz="4" w:space="0" w:color="000000" w:themeColor="text1"/>
              <w:bottom w:val="single" w:sz="4" w:space="0" w:color="000000" w:themeColor="text1"/>
            </w:tcBorders>
            <w:noWrap/>
            <w:hideMark/>
          </w:tcPr>
          <w:p w14:paraId="66328078" w14:textId="77777777" w:rsidR="00265792" w:rsidRPr="006F6E7C" w:rsidRDefault="00265792" w:rsidP="006F6E7C">
            <w:pPr>
              <w:pStyle w:val="ARfintablebody"/>
            </w:pPr>
            <w:r w:rsidRPr="006F6E7C">
              <w:t>The Hon. Natalie Hutchins</w:t>
            </w:r>
          </w:p>
        </w:tc>
        <w:tc>
          <w:tcPr>
            <w:tcW w:w="3536" w:type="dxa"/>
            <w:tcBorders>
              <w:top w:val="single" w:sz="4" w:space="0" w:color="000000" w:themeColor="text1"/>
              <w:bottom w:val="single" w:sz="4" w:space="0" w:color="000000" w:themeColor="text1"/>
            </w:tcBorders>
            <w:noWrap/>
            <w:hideMark/>
          </w:tcPr>
          <w:p w14:paraId="3A776ED6" w14:textId="77777777" w:rsidR="00265792" w:rsidRPr="006F6E7C" w:rsidRDefault="00265792" w:rsidP="006F6E7C">
            <w:pPr>
              <w:pStyle w:val="ARfintablebody"/>
            </w:pPr>
            <w:r w:rsidRPr="006F6E7C">
              <w:t>1 July 2024 to 30 June 2025</w:t>
            </w:r>
          </w:p>
        </w:tc>
      </w:tr>
      <w:tr w:rsidR="00265792" w:rsidRPr="006F6E7C" w14:paraId="40702A0D" w14:textId="77777777" w:rsidTr="00E6675F">
        <w:trPr>
          <w:trHeight w:val="360"/>
        </w:trPr>
        <w:tc>
          <w:tcPr>
            <w:tcW w:w="2977" w:type="dxa"/>
            <w:tcBorders>
              <w:top w:val="single" w:sz="4" w:space="0" w:color="000000" w:themeColor="text1"/>
              <w:bottom w:val="single" w:sz="4" w:space="0" w:color="000000" w:themeColor="text1"/>
            </w:tcBorders>
            <w:noWrap/>
            <w:hideMark/>
          </w:tcPr>
          <w:p w14:paraId="47A8CCF6" w14:textId="77777777" w:rsidR="00265792" w:rsidRPr="006F6E7C" w:rsidRDefault="00265792" w:rsidP="006F6E7C">
            <w:pPr>
              <w:pStyle w:val="ARfintablebody"/>
            </w:pPr>
            <w:r w:rsidRPr="006F6E7C">
              <w:t>Minister for Carers and Volunteers</w:t>
            </w:r>
          </w:p>
        </w:tc>
        <w:tc>
          <w:tcPr>
            <w:tcW w:w="3119" w:type="dxa"/>
            <w:tcBorders>
              <w:top w:val="single" w:sz="4" w:space="0" w:color="000000" w:themeColor="text1"/>
              <w:bottom w:val="single" w:sz="4" w:space="0" w:color="000000" w:themeColor="text1"/>
            </w:tcBorders>
            <w:noWrap/>
            <w:hideMark/>
          </w:tcPr>
          <w:p w14:paraId="31CBD382" w14:textId="77777777" w:rsidR="00265792" w:rsidRPr="006F6E7C" w:rsidRDefault="00265792" w:rsidP="006F6E7C">
            <w:pPr>
              <w:pStyle w:val="ARfintablebody"/>
            </w:pPr>
            <w:r w:rsidRPr="006F6E7C">
              <w:t>The Hon. Ros Spence</w:t>
            </w:r>
          </w:p>
        </w:tc>
        <w:tc>
          <w:tcPr>
            <w:tcW w:w="3536" w:type="dxa"/>
            <w:tcBorders>
              <w:top w:val="single" w:sz="4" w:space="0" w:color="000000" w:themeColor="text1"/>
              <w:bottom w:val="single" w:sz="4" w:space="0" w:color="000000" w:themeColor="text1"/>
            </w:tcBorders>
            <w:noWrap/>
            <w:hideMark/>
          </w:tcPr>
          <w:p w14:paraId="737DE968" w14:textId="77777777" w:rsidR="00265792" w:rsidRPr="006F6E7C" w:rsidRDefault="00265792" w:rsidP="006F6E7C">
            <w:pPr>
              <w:pStyle w:val="ARfintablebody"/>
            </w:pPr>
            <w:r w:rsidRPr="006F6E7C">
              <w:t>1 July 2024 to 30 June 2025</w:t>
            </w:r>
          </w:p>
        </w:tc>
      </w:tr>
      <w:tr w:rsidR="00265792" w:rsidRPr="006F6E7C" w14:paraId="0A7E093F" w14:textId="77777777" w:rsidTr="00E6675F">
        <w:trPr>
          <w:cnfStyle w:val="010000000000" w:firstRow="0" w:lastRow="1" w:firstColumn="0" w:lastColumn="0" w:oddVBand="0" w:evenVBand="0" w:oddHBand="0" w:evenHBand="0" w:firstRowFirstColumn="0" w:firstRowLastColumn="0" w:lastRowFirstColumn="0" w:lastRowLastColumn="0"/>
          <w:trHeight w:val="300"/>
        </w:trPr>
        <w:tc>
          <w:tcPr>
            <w:tcW w:w="2977" w:type="dxa"/>
            <w:noWrap/>
            <w:hideMark/>
          </w:tcPr>
          <w:p w14:paraId="2A0A0486" w14:textId="77777777" w:rsidR="00265792" w:rsidRPr="006F6E7C" w:rsidRDefault="00265792" w:rsidP="006F6E7C">
            <w:pPr>
              <w:pStyle w:val="ARfintablebody"/>
            </w:pPr>
            <w:r w:rsidRPr="006F6E7C">
              <w:t>Secretary</w:t>
            </w:r>
          </w:p>
        </w:tc>
        <w:tc>
          <w:tcPr>
            <w:tcW w:w="3119" w:type="dxa"/>
            <w:noWrap/>
            <w:hideMark/>
          </w:tcPr>
          <w:p w14:paraId="5D5C4D50" w14:textId="77777777" w:rsidR="00265792" w:rsidRPr="006F6E7C" w:rsidRDefault="00265792" w:rsidP="006F6E7C">
            <w:pPr>
              <w:pStyle w:val="ARfintablebody"/>
            </w:pPr>
            <w:r w:rsidRPr="006F6E7C">
              <w:t>Peta McCammon</w:t>
            </w:r>
          </w:p>
        </w:tc>
        <w:tc>
          <w:tcPr>
            <w:tcW w:w="3536" w:type="dxa"/>
            <w:noWrap/>
            <w:hideMark/>
          </w:tcPr>
          <w:p w14:paraId="390EDE97" w14:textId="77777777" w:rsidR="00265792" w:rsidRPr="006F6E7C" w:rsidRDefault="00265792" w:rsidP="006F6E7C">
            <w:pPr>
              <w:pStyle w:val="ARfintablebody"/>
            </w:pPr>
            <w:r w:rsidRPr="006F6E7C">
              <w:t>1 July 2024 to 30 June 2025</w:t>
            </w:r>
          </w:p>
        </w:tc>
      </w:tr>
    </w:tbl>
    <w:p w14:paraId="203566D1" w14:textId="77777777" w:rsidR="00265792" w:rsidRDefault="00265792" w:rsidP="006F6E7C">
      <w:pPr>
        <w:pStyle w:val="ARfinbodyafterandbeforetable"/>
      </w:pPr>
      <w:r w:rsidRPr="006F6E7C">
        <w:t xml:space="preserve">The persons who acted in the positions of Minister and of Accountable Officers </w:t>
      </w:r>
      <w:r w:rsidRPr="006F6E7C">
        <w:rPr>
          <w:vertAlign w:val="superscript"/>
        </w:rPr>
        <w:t>(</w:t>
      </w:r>
      <w:proofErr w:type="spellStart"/>
      <w:r w:rsidRPr="006F6E7C">
        <w:rPr>
          <w:vertAlign w:val="superscript"/>
        </w:rPr>
        <w:t>i</w:t>
      </w:r>
      <w:proofErr w:type="spellEnd"/>
      <w:r w:rsidRPr="006F6E7C">
        <w:rPr>
          <w:vertAlign w:val="superscript"/>
        </w:rPr>
        <w:t>)</w:t>
      </w:r>
      <w:r w:rsidRPr="006F6E7C">
        <w:t xml:space="preserve"> in the department were as follows:</w:t>
      </w:r>
    </w:p>
    <w:tbl>
      <w:tblPr>
        <w:tblStyle w:val="TableGrid"/>
        <w:tblW w:w="0" w:type="auto"/>
        <w:tblLayout w:type="fixed"/>
        <w:tblLook w:val="04A0" w:firstRow="1" w:lastRow="0" w:firstColumn="1" w:lastColumn="0" w:noHBand="0" w:noVBand="1"/>
      </w:tblPr>
      <w:tblGrid>
        <w:gridCol w:w="2977"/>
        <w:gridCol w:w="3119"/>
        <w:gridCol w:w="3536"/>
      </w:tblGrid>
      <w:tr w:rsidR="00265792" w:rsidRPr="006F6E7C" w14:paraId="1A172415" w14:textId="77777777" w:rsidTr="001F07A1">
        <w:trPr>
          <w:cnfStyle w:val="100000000000" w:firstRow="1" w:lastRow="0" w:firstColumn="0" w:lastColumn="0" w:oddVBand="0" w:evenVBand="0" w:oddHBand="0" w:evenHBand="0" w:firstRowFirstColumn="0" w:firstRowLastColumn="0" w:lastRowFirstColumn="0" w:lastRowLastColumn="0"/>
          <w:trHeight w:val="510"/>
          <w:tblHeader/>
        </w:trPr>
        <w:tc>
          <w:tcPr>
            <w:tcW w:w="2977" w:type="dxa"/>
            <w:hideMark/>
          </w:tcPr>
          <w:p w14:paraId="3BB62ADB" w14:textId="77777777" w:rsidR="00265792" w:rsidRPr="006F6E7C" w:rsidRDefault="00265792" w:rsidP="006F6E7C">
            <w:pPr>
              <w:pStyle w:val="ARfintablecolhead"/>
            </w:pPr>
            <w:r w:rsidRPr="006F6E7C">
              <w:t>Relevant office</w:t>
            </w:r>
          </w:p>
        </w:tc>
        <w:tc>
          <w:tcPr>
            <w:tcW w:w="3119" w:type="dxa"/>
            <w:hideMark/>
          </w:tcPr>
          <w:p w14:paraId="5696DF9C" w14:textId="77777777" w:rsidR="00265792" w:rsidRPr="006F6E7C" w:rsidRDefault="00265792" w:rsidP="006F6E7C">
            <w:pPr>
              <w:pStyle w:val="ARfintablecolhead"/>
            </w:pPr>
            <w:r w:rsidRPr="006F6E7C">
              <w:t>Acting Minister or Accountable</w:t>
            </w:r>
            <w:r>
              <w:t> </w:t>
            </w:r>
            <w:r w:rsidRPr="006F6E7C">
              <w:t>Officer</w:t>
            </w:r>
          </w:p>
        </w:tc>
        <w:tc>
          <w:tcPr>
            <w:tcW w:w="3536" w:type="dxa"/>
            <w:hideMark/>
          </w:tcPr>
          <w:p w14:paraId="750D4B85" w14:textId="77777777" w:rsidR="00265792" w:rsidRPr="006F6E7C" w:rsidRDefault="00265792" w:rsidP="006F6E7C">
            <w:pPr>
              <w:pStyle w:val="ARfintablecolhead"/>
            </w:pPr>
            <w:r w:rsidRPr="006F6E7C">
              <w:t>Period</w:t>
            </w:r>
          </w:p>
        </w:tc>
      </w:tr>
      <w:tr w:rsidR="00BE0A5D" w:rsidRPr="006F6E7C" w14:paraId="3D54CEA1" w14:textId="77777777" w:rsidTr="001F07A1">
        <w:trPr>
          <w:trHeight w:val="510"/>
        </w:trPr>
        <w:tc>
          <w:tcPr>
            <w:tcW w:w="0" w:type="dxa"/>
          </w:tcPr>
          <w:p w14:paraId="5D82B43B" w14:textId="22256453" w:rsidR="00BE0A5D" w:rsidRPr="00A906A4" w:rsidRDefault="00BE0A5D" w:rsidP="001F07A1">
            <w:pPr>
              <w:pStyle w:val="ARtabletext"/>
              <w:spacing w:before="20" w:after="20"/>
              <w:rPr>
                <w:b/>
              </w:rPr>
            </w:pPr>
            <w:r w:rsidRPr="00A906A4">
              <w:t>Acting Minister for Ageing</w:t>
            </w:r>
          </w:p>
        </w:tc>
        <w:tc>
          <w:tcPr>
            <w:tcW w:w="0" w:type="dxa"/>
          </w:tcPr>
          <w:p w14:paraId="7A492A2D" w14:textId="0993745C" w:rsidR="00BE0A5D" w:rsidRPr="00A906A4" w:rsidRDefault="00BE0A5D" w:rsidP="001F07A1">
            <w:pPr>
              <w:pStyle w:val="ARtabletext"/>
              <w:spacing w:before="20" w:after="20"/>
              <w:rPr>
                <w:b/>
              </w:rPr>
            </w:pPr>
            <w:r w:rsidRPr="00A906A4">
              <w:t>The H</w:t>
            </w:r>
            <w:r>
              <w:t>on. Mary-Anne Thomas</w:t>
            </w:r>
            <w:r w:rsidR="000D264E">
              <w:t xml:space="preserve"> MP</w:t>
            </w:r>
          </w:p>
        </w:tc>
        <w:tc>
          <w:tcPr>
            <w:tcW w:w="0" w:type="dxa"/>
          </w:tcPr>
          <w:p w14:paraId="55BD6369" w14:textId="77777777" w:rsidR="00BE0A5D" w:rsidRDefault="000D264E" w:rsidP="001F07A1">
            <w:pPr>
              <w:pStyle w:val="ARtabletext"/>
              <w:spacing w:before="20" w:after="20"/>
              <w:rPr>
                <w:b/>
              </w:rPr>
            </w:pPr>
            <w:r>
              <w:t>15 July 2024</w:t>
            </w:r>
            <w:r w:rsidR="00DE3714">
              <w:t xml:space="preserve"> to 24 July 2024</w:t>
            </w:r>
          </w:p>
          <w:p w14:paraId="185F9731" w14:textId="77777777" w:rsidR="00DE3714" w:rsidRDefault="00DE3714" w:rsidP="001F07A1">
            <w:pPr>
              <w:pStyle w:val="ARtabletext"/>
              <w:spacing w:before="20" w:after="20"/>
              <w:rPr>
                <w:b/>
              </w:rPr>
            </w:pPr>
            <w:r>
              <w:t>23 December 2024 to 12 January 2025</w:t>
            </w:r>
          </w:p>
          <w:p w14:paraId="63E40305" w14:textId="26674D2B" w:rsidR="00DE3714" w:rsidRPr="00A906A4" w:rsidRDefault="00DE3714" w:rsidP="001F07A1">
            <w:pPr>
              <w:pStyle w:val="ARtabletext"/>
              <w:spacing w:before="20" w:after="20"/>
              <w:rPr>
                <w:b/>
              </w:rPr>
            </w:pPr>
            <w:r>
              <w:t>18 April</w:t>
            </w:r>
            <w:r w:rsidR="00A62B12">
              <w:t xml:space="preserve"> 2025 to 27 April 2025</w:t>
            </w:r>
          </w:p>
        </w:tc>
      </w:tr>
      <w:tr w:rsidR="00265792" w:rsidRPr="006F6E7C" w14:paraId="6BD34AFD" w14:textId="77777777" w:rsidTr="001F07A1">
        <w:trPr>
          <w:trHeight w:val="300"/>
        </w:trPr>
        <w:tc>
          <w:tcPr>
            <w:tcW w:w="2977" w:type="dxa"/>
            <w:vMerge w:val="restart"/>
            <w:tcBorders>
              <w:top w:val="single" w:sz="4" w:space="0" w:color="000000" w:themeColor="text1"/>
              <w:bottom w:val="single" w:sz="4" w:space="0" w:color="A6A6A6" w:themeColor="accent5"/>
            </w:tcBorders>
            <w:noWrap/>
            <w:hideMark/>
          </w:tcPr>
          <w:p w14:paraId="04CFE95D" w14:textId="77777777" w:rsidR="00265792" w:rsidRPr="006F6E7C" w:rsidRDefault="00265792" w:rsidP="001F07A1">
            <w:pPr>
              <w:pStyle w:val="ARfintablebody"/>
              <w:spacing w:before="20"/>
            </w:pPr>
            <w:r w:rsidRPr="006F6E7C">
              <w:t>Acting Minister for Disability</w:t>
            </w:r>
          </w:p>
        </w:tc>
        <w:tc>
          <w:tcPr>
            <w:tcW w:w="3119" w:type="dxa"/>
            <w:noWrap/>
            <w:hideMark/>
          </w:tcPr>
          <w:p w14:paraId="37383CF3" w14:textId="77777777" w:rsidR="00265792" w:rsidRPr="006F6E7C" w:rsidRDefault="00265792" w:rsidP="001F07A1">
            <w:pPr>
              <w:pStyle w:val="ARfintablebody"/>
              <w:spacing w:before="20"/>
            </w:pPr>
            <w:r w:rsidRPr="006F6E7C">
              <w:t>The Hon. Ros Spence</w:t>
            </w:r>
          </w:p>
        </w:tc>
        <w:tc>
          <w:tcPr>
            <w:tcW w:w="3536" w:type="dxa"/>
            <w:noWrap/>
            <w:hideMark/>
          </w:tcPr>
          <w:p w14:paraId="0386F78B" w14:textId="77777777" w:rsidR="00265792" w:rsidRPr="006F6E7C" w:rsidRDefault="00265792" w:rsidP="001F07A1">
            <w:pPr>
              <w:pStyle w:val="ARfintablebody"/>
              <w:spacing w:before="20"/>
            </w:pPr>
            <w:r w:rsidRPr="006F6E7C">
              <w:t>1 July 2024 to 4 July 2024</w:t>
            </w:r>
          </w:p>
        </w:tc>
      </w:tr>
      <w:tr w:rsidR="00265792" w:rsidRPr="006F6E7C" w14:paraId="0EE0995C" w14:textId="77777777" w:rsidTr="001F07A1">
        <w:trPr>
          <w:trHeight w:val="600"/>
        </w:trPr>
        <w:tc>
          <w:tcPr>
            <w:tcW w:w="2977" w:type="dxa"/>
            <w:vMerge/>
            <w:tcBorders>
              <w:top w:val="single" w:sz="4" w:space="0" w:color="000000" w:themeColor="text1"/>
              <w:bottom w:val="single" w:sz="4" w:space="0" w:color="A6A6A6" w:themeColor="accent5"/>
            </w:tcBorders>
            <w:hideMark/>
          </w:tcPr>
          <w:p w14:paraId="23F0AE4B" w14:textId="77777777" w:rsidR="00265792" w:rsidRPr="006F6E7C" w:rsidRDefault="00265792" w:rsidP="001F07A1">
            <w:pPr>
              <w:pStyle w:val="ARfintablebody"/>
              <w:spacing w:before="20"/>
            </w:pPr>
          </w:p>
        </w:tc>
        <w:tc>
          <w:tcPr>
            <w:tcW w:w="3119" w:type="dxa"/>
            <w:noWrap/>
            <w:hideMark/>
          </w:tcPr>
          <w:p w14:paraId="635B39C0" w14:textId="77777777" w:rsidR="00265792" w:rsidRPr="006F6E7C" w:rsidRDefault="00265792" w:rsidP="001F07A1">
            <w:pPr>
              <w:pStyle w:val="ARfintablebody"/>
              <w:spacing w:before="20"/>
            </w:pPr>
            <w:r w:rsidRPr="006F6E7C">
              <w:t>Hon. Harriet Shing</w:t>
            </w:r>
          </w:p>
        </w:tc>
        <w:tc>
          <w:tcPr>
            <w:tcW w:w="3536" w:type="dxa"/>
            <w:hideMark/>
          </w:tcPr>
          <w:p w14:paraId="3DC37808" w14:textId="77777777" w:rsidR="00265792" w:rsidRPr="006F6E7C" w:rsidRDefault="00265792" w:rsidP="001F07A1">
            <w:pPr>
              <w:pStyle w:val="ARfintablebody"/>
              <w:spacing w:before="20"/>
            </w:pPr>
            <w:r w:rsidRPr="006F6E7C">
              <w:t>18 September 2024 to 5 October 2024</w:t>
            </w:r>
            <w:r w:rsidRPr="006F6E7C">
              <w:br/>
              <w:t>29 November 2024 to 4 December 2024</w:t>
            </w:r>
          </w:p>
        </w:tc>
      </w:tr>
      <w:tr w:rsidR="00265792" w:rsidRPr="006F6E7C" w14:paraId="17E3C78C" w14:textId="77777777" w:rsidTr="001F07A1">
        <w:trPr>
          <w:trHeight w:val="300"/>
        </w:trPr>
        <w:tc>
          <w:tcPr>
            <w:tcW w:w="2977" w:type="dxa"/>
            <w:vMerge/>
            <w:tcBorders>
              <w:top w:val="single" w:sz="4" w:space="0" w:color="000000" w:themeColor="text1"/>
              <w:bottom w:val="single" w:sz="4" w:space="0" w:color="A6A6A6" w:themeColor="accent5"/>
            </w:tcBorders>
            <w:hideMark/>
          </w:tcPr>
          <w:p w14:paraId="596818B7" w14:textId="77777777" w:rsidR="00265792" w:rsidRPr="006F6E7C" w:rsidRDefault="00265792" w:rsidP="001F07A1">
            <w:pPr>
              <w:pStyle w:val="ARfintablebody"/>
              <w:spacing w:before="20"/>
            </w:pPr>
          </w:p>
        </w:tc>
        <w:tc>
          <w:tcPr>
            <w:tcW w:w="3119" w:type="dxa"/>
            <w:tcBorders>
              <w:bottom w:val="single" w:sz="4" w:space="0" w:color="A6A6A6" w:themeColor="accent5"/>
            </w:tcBorders>
            <w:noWrap/>
            <w:hideMark/>
          </w:tcPr>
          <w:p w14:paraId="09890A76" w14:textId="77777777" w:rsidR="00265792" w:rsidRPr="006F6E7C" w:rsidRDefault="00265792" w:rsidP="001F07A1">
            <w:pPr>
              <w:pStyle w:val="ARfintablebody"/>
              <w:spacing w:before="20"/>
            </w:pPr>
            <w:r w:rsidRPr="006F6E7C">
              <w:t>The Hon. Ben Carroll</w:t>
            </w:r>
          </w:p>
        </w:tc>
        <w:tc>
          <w:tcPr>
            <w:tcW w:w="3536" w:type="dxa"/>
            <w:tcBorders>
              <w:bottom w:val="single" w:sz="4" w:space="0" w:color="A6A6A6" w:themeColor="accent5"/>
            </w:tcBorders>
            <w:noWrap/>
            <w:hideMark/>
          </w:tcPr>
          <w:p w14:paraId="69630C82" w14:textId="77777777" w:rsidR="00265792" w:rsidRPr="006F6E7C" w:rsidRDefault="00265792" w:rsidP="001F07A1">
            <w:pPr>
              <w:pStyle w:val="ARfintablebody"/>
              <w:spacing w:before="20"/>
            </w:pPr>
            <w:r w:rsidRPr="006F6E7C">
              <w:t xml:space="preserve">23 December 2024 to 3 January 2025 </w:t>
            </w:r>
          </w:p>
        </w:tc>
      </w:tr>
      <w:tr w:rsidR="00265792" w:rsidRPr="006F6E7C" w14:paraId="44921747" w14:textId="77777777" w:rsidTr="001F07A1">
        <w:trPr>
          <w:trHeight w:val="300"/>
        </w:trPr>
        <w:tc>
          <w:tcPr>
            <w:tcW w:w="2977" w:type="dxa"/>
            <w:vMerge/>
            <w:tcBorders>
              <w:top w:val="single" w:sz="4" w:space="0" w:color="000000" w:themeColor="text1"/>
              <w:bottom w:val="single" w:sz="4" w:space="0" w:color="A6A6A6" w:themeColor="accent5"/>
            </w:tcBorders>
            <w:hideMark/>
          </w:tcPr>
          <w:p w14:paraId="186B040D" w14:textId="77777777" w:rsidR="00265792" w:rsidRPr="006F6E7C" w:rsidRDefault="00265792" w:rsidP="001F07A1">
            <w:pPr>
              <w:pStyle w:val="ARfintablebody"/>
              <w:spacing w:before="20"/>
            </w:pPr>
          </w:p>
        </w:tc>
        <w:tc>
          <w:tcPr>
            <w:tcW w:w="3119" w:type="dxa"/>
            <w:tcBorders>
              <w:top w:val="single" w:sz="4" w:space="0" w:color="A6A6A6" w:themeColor="accent5"/>
              <w:bottom w:val="single" w:sz="4" w:space="0" w:color="000000" w:themeColor="text1"/>
            </w:tcBorders>
            <w:noWrap/>
            <w:hideMark/>
          </w:tcPr>
          <w:p w14:paraId="5C87376B" w14:textId="77777777" w:rsidR="00265792" w:rsidRPr="006F6E7C" w:rsidRDefault="00265792" w:rsidP="001F07A1">
            <w:pPr>
              <w:pStyle w:val="ARfintablebody"/>
              <w:spacing w:before="20"/>
            </w:pPr>
            <w:r w:rsidRPr="006F6E7C">
              <w:t>The Hon. Ros Spence</w:t>
            </w:r>
          </w:p>
        </w:tc>
        <w:tc>
          <w:tcPr>
            <w:tcW w:w="3536" w:type="dxa"/>
            <w:tcBorders>
              <w:top w:val="single" w:sz="4" w:space="0" w:color="A6A6A6" w:themeColor="accent5"/>
              <w:bottom w:val="single" w:sz="4" w:space="0" w:color="000000" w:themeColor="text1"/>
            </w:tcBorders>
            <w:noWrap/>
            <w:hideMark/>
          </w:tcPr>
          <w:p w14:paraId="4A65F5C3" w14:textId="77777777" w:rsidR="00265792" w:rsidRPr="006F6E7C" w:rsidRDefault="00265792" w:rsidP="001F07A1">
            <w:pPr>
              <w:pStyle w:val="ARfintablebody"/>
              <w:spacing w:before="20"/>
            </w:pPr>
            <w:r w:rsidRPr="006F6E7C">
              <w:t>5 May 2024 to 11 May 2025</w:t>
            </w:r>
          </w:p>
        </w:tc>
      </w:tr>
      <w:tr w:rsidR="00265792" w:rsidRPr="006F6E7C" w14:paraId="3C69C377" w14:textId="77777777" w:rsidTr="001F07A1">
        <w:trPr>
          <w:trHeight w:val="300"/>
        </w:trPr>
        <w:tc>
          <w:tcPr>
            <w:tcW w:w="2977" w:type="dxa"/>
            <w:vMerge w:val="restart"/>
            <w:tcBorders>
              <w:top w:val="single" w:sz="4" w:space="0" w:color="000000" w:themeColor="text1"/>
              <w:bottom w:val="single" w:sz="4" w:space="0" w:color="A6A6A6" w:themeColor="accent5"/>
            </w:tcBorders>
            <w:noWrap/>
            <w:hideMark/>
          </w:tcPr>
          <w:p w14:paraId="3393C5AD" w14:textId="77777777" w:rsidR="00265792" w:rsidRPr="006F6E7C" w:rsidRDefault="00265792" w:rsidP="001F07A1">
            <w:pPr>
              <w:pStyle w:val="ARfintablebody"/>
              <w:spacing w:before="20"/>
            </w:pPr>
            <w:r w:rsidRPr="006F6E7C">
              <w:t>Acting Minister for Children</w:t>
            </w:r>
          </w:p>
        </w:tc>
        <w:tc>
          <w:tcPr>
            <w:tcW w:w="3119" w:type="dxa"/>
            <w:tcBorders>
              <w:top w:val="single" w:sz="4" w:space="0" w:color="000000" w:themeColor="text1"/>
              <w:bottom w:val="single" w:sz="4" w:space="0" w:color="A6A6A6" w:themeColor="accent5"/>
            </w:tcBorders>
            <w:noWrap/>
            <w:hideMark/>
          </w:tcPr>
          <w:p w14:paraId="4713513E" w14:textId="77777777" w:rsidR="00265792" w:rsidRPr="006F6E7C" w:rsidRDefault="00265792" w:rsidP="001F07A1">
            <w:pPr>
              <w:pStyle w:val="ARfintablebody"/>
              <w:spacing w:before="20"/>
            </w:pPr>
            <w:r w:rsidRPr="006F6E7C">
              <w:t>The Hon. Ros Spence</w:t>
            </w:r>
          </w:p>
        </w:tc>
        <w:tc>
          <w:tcPr>
            <w:tcW w:w="3536" w:type="dxa"/>
            <w:tcBorders>
              <w:top w:val="single" w:sz="4" w:space="0" w:color="000000" w:themeColor="text1"/>
              <w:bottom w:val="single" w:sz="4" w:space="0" w:color="A6A6A6" w:themeColor="accent5"/>
            </w:tcBorders>
            <w:noWrap/>
            <w:hideMark/>
          </w:tcPr>
          <w:p w14:paraId="4B2097BB" w14:textId="77777777" w:rsidR="00265792" w:rsidRPr="006F6E7C" w:rsidRDefault="00265792" w:rsidP="001F07A1">
            <w:pPr>
              <w:pStyle w:val="ARfintablebody"/>
              <w:spacing w:before="20"/>
            </w:pPr>
            <w:r w:rsidRPr="006F6E7C">
              <w:t>1 July 2024 to 4 July 2024</w:t>
            </w:r>
          </w:p>
        </w:tc>
      </w:tr>
      <w:tr w:rsidR="00265792" w:rsidRPr="006F6E7C" w14:paraId="496D0B26" w14:textId="77777777" w:rsidTr="001F07A1">
        <w:trPr>
          <w:trHeight w:val="600"/>
        </w:trPr>
        <w:tc>
          <w:tcPr>
            <w:tcW w:w="2977" w:type="dxa"/>
            <w:vMerge/>
            <w:tcBorders>
              <w:top w:val="single" w:sz="4" w:space="0" w:color="000000" w:themeColor="text1"/>
              <w:bottom w:val="single" w:sz="4" w:space="0" w:color="A6A6A6" w:themeColor="accent5"/>
            </w:tcBorders>
            <w:hideMark/>
          </w:tcPr>
          <w:p w14:paraId="407C809A" w14:textId="77777777" w:rsidR="00265792" w:rsidRPr="006F6E7C" w:rsidRDefault="00265792" w:rsidP="001F07A1">
            <w:pPr>
              <w:pStyle w:val="ARfintablebody"/>
              <w:spacing w:before="20"/>
            </w:pPr>
          </w:p>
        </w:tc>
        <w:tc>
          <w:tcPr>
            <w:tcW w:w="3119" w:type="dxa"/>
            <w:tcBorders>
              <w:top w:val="single" w:sz="4" w:space="0" w:color="A6A6A6" w:themeColor="accent5"/>
            </w:tcBorders>
            <w:noWrap/>
            <w:hideMark/>
          </w:tcPr>
          <w:p w14:paraId="035E5BA8" w14:textId="77777777" w:rsidR="00265792" w:rsidRPr="006F6E7C" w:rsidRDefault="00265792" w:rsidP="001F07A1">
            <w:pPr>
              <w:pStyle w:val="ARfintablebody"/>
              <w:spacing w:before="20"/>
            </w:pPr>
            <w:r w:rsidRPr="006F6E7C">
              <w:t>Hon. Harriet Shing</w:t>
            </w:r>
          </w:p>
        </w:tc>
        <w:tc>
          <w:tcPr>
            <w:tcW w:w="3536" w:type="dxa"/>
            <w:tcBorders>
              <w:top w:val="single" w:sz="4" w:space="0" w:color="A6A6A6" w:themeColor="accent5"/>
            </w:tcBorders>
            <w:hideMark/>
          </w:tcPr>
          <w:p w14:paraId="55EEE8FD" w14:textId="77777777" w:rsidR="00265792" w:rsidRPr="006F6E7C" w:rsidRDefault="00265792" w:rsidP="001F07A1">
            <w:pPr>
              <w:pStyle w:val="ARfintablebody"/>
              <w:spacing w:before="20"/>
            </w:pPr>
            <w:r w:rsidRPr="006F6E7C">
              <w:t>18 September 2024 to 5 October 2024</w:t>
            </w:r>
            <w:r w:rsidRPr="006F6E7C">
              <w:br/>
              <w:t>29 November 2024 to 4 December 2024</w:t>
            </w:r>
          </w:p>
        </w:tc>
      </w:tr>
      <w:tr w:rsidR="00265792" w:rsidRPr="006F6E7C" w14:paraId="15114B5F" w14:textId="77777777" w:rsidTr="001F07A1">
        <w:trPr>
          <w:trHeight w:val="300"/>
        </w:trPr>
        <w:tc>
          <w:tcPr>
            <w:tcW w:w="2977" w:type="dxa"/>
            <w:vMerge/>
            <w:tcBorders>
              <w:top w:val="single" w:sz="4" w:space="0" w:color="000000" w:themeColor="text1"/>
              <w:bottom w:val="single" w:sz="4" w:space="0" w:color="A6A6A6" w:themeColor="accent5"/>
            </w:tcBorders>
            <w:hideMark/>
          </w:tcPr>
          <w:p w14:paraId="77519774" w14:textId="77777777" w:rsidR="00265792" w:rsidRPr="006F6E7C" w:rsidRDefault="00265792" w:rsidP="001F07A1">
            <w:pPr>
              <w:pStyle w:val="ARfintablebody"/>
              <w:spacing w:before="20"/>
            </w:pPr>
          </w:p>
        </w:tc>
        <w:tc>
          <w:tcPr>
            <w:tcW w:w="3119" w:type="dxa"/>
            <w:tcBorders>
              <w:bottom w:val="single" w:sz="4" w:space="0" w:color="A6A6A6" w:themeColor="accent5"/>
            </w:tcBorders>
            <w:noWrap/>
            <w:hideMark/>
          </w:tcPr>
          <w:p w14:paraId="102C3780" w14:textId="77777777" w:rsidR="00265792" w:rsidRPr="006F6E7C" w:rsidRDefault="00265792" w:rsidP="001F07A1">
            <w:pPr>
              <w:pStyle w:val="ARfintablebody"/>
              <w:spacing w:before="20"/>
            </w:pPr>
            <w:r w:rsidRPr="006F6E7C">
              <w:t>The Hon. Ben Carroll</w:t>
            </w:r>
          </w:p>
        </w:tc>
        <w:tc>
          <w:tcPr>
            <w:tcW w:w="3536" w:type="dxa"/>
            <w:tcBorders>
              <w:bottom w:val="single" w:sz="4" w:space="0" w:color="A6A6A6" w:themeColor="accent5"/>
            </w:tcBorders>
            <w:noWrap/>
            <w:hideMark/>
          </w:tcPr>
          <w:p w14:paraId="0B59F4CE" w14:textId="77777777" w:rsidR="00265792" w:rsidRPr="006F6E7C" w:rsidRDefault="00265792" w:rsidP="001F07A1">
            <w:pPr>
              <w:pStyle w:val="ARfintablebody"/>
              <w:spacing w:before="20"/>
            </w:pPr>
            <w:r w:rsidRPr="006F6E7C">
              <w:t xml:space="preserve">23 December 2024 to 3 January 2025 </w:t>
            </w:r>
          </w:p>
        </w:tc>
      </w:tr>
      <w:tr w:rsidR="00265792" w:rsidRPr="006F6E7C" w14:paraId="78C83CB2" w14:textId="77777777" w:rsidTr="001F07A1">
        <w:trPr>
          <w:trHeight w:val="300"/>
        </w:trPr>
        <w:tc>
          <w:tcPr>
            <w:tcW w:w="2977" w:type="dxa"/>
            <w:vMerge/>
            <w:tcBorders>
              <w:top w:val="single" w:sz="4" w:space="0" w:color="000000" w:themeColor="text1"/>
              <w:bottom w:val="single" w:sz="4" w:space="0" w:color="A6A6A6" w:themeColor="accent5"/>
            </w:tcBorders>
            <w:hideMark/>
          </w:tcPr>
          <w:p w14:paraId="53852865" w14:textId="77777777" w:rsidR="00265792" w:rsidRPr="006F6E7C" w:rsidRDefault="00265792" w:rsidP="001F07A1">
            <w:pPr>
              <w:pStyle w:val="ARfintablebody"/>
              <w:spacing w:before="20"/>
            </w:pPr>
          </w:p>
        </w:tc>
        <w:tc>
          <w:tcPr>
            <w:tcW w:w="3119" w:type="dxa"/>
            <w:tcBorders>
              <w:top w:val="single" w:sz="4" w:space="0" w:color="A6A6A6" w:themeColor="accent5"/>
              <w:bottom w:val="single" w:sz="4" w:space="0" w:color="000000" w:themeColor="text1"/>
            </w:tcBorders>
            <w:noWrap/>
            <w:hideMark/>
          </w:tcPr>
          <w:p w14:paraId="366B7CF7" w14:textId="77777777" w:rsidR="00265792" w:rsidRPr="006F6E7C" w:rsidRDefault="00265792" w:rsidP="001F07A1">
            <w:pPr>
              <w:pStyle w:val="ARfintablebody"/>
              <w:spacing w:before="20"/>
            </w:pPr>
            <w:r w:rsidRPr="006F6E7C">
              <w:t>The Hon. Ros Spence</w:t>
            </w:r>
          </w:p>
        </w:tc>
        <w:tc>
          <w:tcPr>
            <w:tcW w:w="3536" w:type="dxa"/>
            <w:tcBorders>
              <w:top w:val="single" w:sz="4" w:space="0" w:color="A6A6A6" w:themeColor="accent5"/>
              <w:bottom w:val="single" w:sz="4" w:space="0" w:color="000000" w:themeColor="text1"/>
            </w:tcBorders>
            <w:noWrap/>
            <w:hideMark/>
          </w:tcPr>
          <w:p w14:paraId="54A5D424" w14:textId="77777777" w:rsidR="00265792" w:rsidRPr="006F6E7C" w:rsidRDefault="00265792" w:rsidP="001F07A1">
            <w:pPr>
              <w:pStyle w:val="ARfintablebody"/>
              <w:spacing w:before="20"/>
            </w:pPr>
            <w:r w:rsidRPr="006F6E7C">
              <w:t>5 May 2024 to 11 May 2025</w:t>
            </w:r>
          </w:p>
        </w:tc>
      </w:tr>
      <w:tr w:rsidR="00265792" w:rsidRPr="006F6E7C" w14:paraId="71C013D1" w14:textId="77777777" w:rsidTr="001F07A1">
        <w:trPr>
          <w:trHeight w:val="300"/>
        </w:trPr>
        <w:tc>
          <w:tcPr>
            <w:tcW w:w="2977" w:type="dxa"/>
            <w:vMerge w:val="restart"/>
            <w:tcBorders>
              <w:top w:val="single" w:sz="4" w:space="0" w:color="000000" w:themeColor="text1"/>
              <w:bottom w:val="single" w:sz="4" w:space="0" w:color="A6A6A6" w:themeColor="accent5"/>
            </w:tcBorders>
            <w:noWrap/>
            <w:hideMark/>
          </w:tcPr>
          <w:p w14:paraId="34CD6DC7" w14:textId="77777777" w:rsidR="00265792" w:rsidRPr="006F6E7C" w:rsidRDefault="00265792" w:rsidP="001F07A1">
            <w:pPr>
              <w:pStyle w:val="ARfintablebody"/>
              <w:spacing w:before="20"/>
            </w:pPr>
            <w:r w:rsidRPr="006F6E7C">
              <w:t>Acting Minister for Youth</w:t>
            </w:r>
          </w:p>
        </w:tc>
        <w:tc>
          <w:tcPr>
            <w:tcW w:w="3119" w:type="dxa"/>
            <w:tcBorders>
              <w:top w:val="single" w:sz="4" w:space="0" w:color="000000" w:themeColor="text1"/>
              <w:bottom w:val="single" w:sz="4" w:space="0" w:color="A6A6A6" w:themeColor="accent5"/>
            </w:tcBorders>
            <w:noWrap/>
            <w:hideMark/>
          </w:tcPr>
          <w:p w14:paraId="47F94189" w14:textId="77777777" w:rsidR="00265792" w:rsidRPr="006F6E7C" w:rsidRDefault="00265792" w:rsidP="001F07A1">
            <w:pPr>
              <w:pStyle w:val="ARfintablebody"/>
              <w:spacing w:before="20"/>
            </w:pPr>
            <w:r w:rsidRPr="006F6E7C">
              <w:t>Hon. Harriet Shing</w:t>
            </w:r>
          </w:p>
        </w:tc>
        <w:tc>
          <w:tcPr>
            <w:tcW w:w="3536" w:type="dxa"/>
            <w:tcBorders>
              <w:top w:val="single" w:sz="4" w:space="0" w:color="000000" w:themeColor="text1"/>
              <w:bottom w:val="single" w:sz="4" w:space="0" w:color="A6A6A6" w:themeColor="accent5"/>
            </w:tcBorders>
            <w:noWrap/>
            <w:hideMark/>
          </w:tcPr>
          <w:p w14:paraId="4054013B" w14:textId="77777777" w:rsidR="00265792" w:rsidRPr="006F6E7C" w:rsidRDefault="00265792" w:rsidP="001F07A1">
            <w:pPr>
              <w:pStyle w:val="ARfintablebody"/>
              <w:spacing w:before="20"/>
            </w:pPr>
            <w:r w:rsidRPr="006F6E7C">
              <w:t>1 July 2024 to 24 July 2024</w:t>
            </w:r>
          </w:p>
        </w:tc>
      </w:tr>
      <w:tr w:rsidR="00265792" w:rsidRPr="006F6E7C" w14:paraId="2A1F4106" w14:textId="77777777" w:rsidTr="001F07A1">
        <w:trPr>
          <w:trHeight w:val="300"/>
        </w:trPr>
        <w:tc>
          <w:tcPr>
            <w:tcW w:w="2977" w:type="dxa"/>
            <w:vMerge/>
            <w:tcBorders>
              <w:top w:val="single" w:sz="4" w:space="0" w:color="000000" w:themeColor="text1"/>
              <w:bottom w:val="single" w:sz="4" w:space="0" w:color="A6A6A6" w:themeColor="accent5"/>
            </w:tcBorders>
            <w:hideMark/>
          </w:tcPr>
          <w:p w14:paraId="70C51B87" w14:textId="77777777" w:rsidR="00265792" w:rsidRPr="006F6E7C" w:rsidRDefault="00265792" w:rsidP="001F07A1">
            <w:pPr>
              <w:pStyle w:val="ARfintablebody"/>
              <w:spacing w:before="20"/>
            </w:pPr>
          </w:p>
        </w:tc>
        <w:tc>
          <w:tcPr>
            <w:tcW w:w="3119" w:type="dxa"/>
            <w:tcBorders>
              <w:top w:val="single" w:sz="4" w:space="0" w:color="A6A6A6" w:themeColor="accent5"/>
              <w:bottom w:val="single" w:sz="4" w:space="0" w:color="A6A6A6" w:themeColor="accent5"/>
            </w:tcBorders>
            <w:noWrap/>
            <w:hideMark/>
          </w:tcPr>
          <w:p w14:paraId="54BE0BBE" w14:textId="77777777" w:rsidR="00265792" w:rsidRPr="006F6E7C" w:rsidRDefault="00265792" w:rsidP="001F07A1">
            <w:pPr>
              <w:pStyle w:val="ARfintablebody"/>
              <w:spacing w:before="20"/>
            </w:pPr>
            <w:r w:rsidRPr="006F6E7C">
              <w:t>The Hon. Natalie Hutchins</w:t>
            </w:r>
          </w:p>
        </w:tc>
        <w:tc>
          <w:tcPr>
            <w:tcW w:w="3536" w:type="dxa"/>
            <w:tcBorders>
              <w:top w:val="single" w:sz="4" w:space="0" w:color="A6A6A6" w:themeColor="accent5"/>
              <w:bottom w:val="single" w:sz="4" w:space="0" w:color="A6A6A6" w:themeColor="accent5"/>
            </w:tcBorders>
            <w:noWrap/>
            <w:hideMark/>
          </w:tcPr>
          <w:p w14:paraId="19D5620D" w14:textId="77777777" w:rsidR="00265792" w:rsidRPr="006F6E7C" w:rsidRDefault="00265792" w:rsidP="001F07A1">
            <w:pPr>
              <w:pStyle w:val="ARfintablebody"/>
              <w:spacing w:before="20"/>
            </w:pPr>
            <w:r w:rsidRPr="006F6E7C">
              <w:t>16 April 2025 to 30 April 2025</w:t>
            </w:r>
          </w:p>
        </w:tc>
      </w:tr>
      <w:tr w:rsidR="00265792" w:rsidRPr="006F6E7C" w14:paraId="47757E65" w14:textId="77777777" w:rsidTr="001F07A1">
        <w:trPr>
          <w:trHeight w:val="300"/>
        </w:trPr>
        <w:tc>
          <w:tcPr>
            <w:tcW w:w="2977" w:type="dxa"/>
            <w:vMerge/>
            <w:tcBorders>
              <w:top w:val="single" w:sz="4" w:space="0" w:color="000000" w:themeColor="text1"/>
              <w:bottom w:val="single" w:sz="4" w:space="0" w:color="A6A6A6" w:themeColor="accent5"/>
            </w:tcBorders>
            <w:hideMark/>
          </w:tcPr>
          <w:p w14:paraId="0C0E54C8" w14:textId="77777777" w:rsidR="00265792" w:rsidRPr="006F6E7C" w:rsidRDefault="00265792" w:rsidP="001F07A1">
            <w:pPr>
              <w:pStyle w:val="ARfintablebody"/>
              <w:spacing w:before="20"/>
            </w:pPr>
          </w:p>
        </w:tc>
        <w:tc>
          <w:tcPr>
            <w:tcW w:w="3119" w:type="dxa"/>
            <w:tcBorders>
              <w:top w:val="single" w:sz="4" w:space="0" w:color="A6A6A6" w:themeColor="accent5"/>
              <w:bottom w:val="single" w:sz="4" w:space="0" w:color="000000" w:themeColor="text1"/>
            </w:tcBorders>
            <w:noWrap/>
            <w:hideMark/>
          </w:tcPr>
          <w:p w14:paraId="1CD728B7" w14:textId="77777777" w:rsidR="00265792" w:rsidRPr="006F6E7C" w:rsidRDefault="00265792" w:rsidP="001F07A1">
            <w:pPr>
              <w:pStyle w:val="ARfintablebody"/>
              <w:spacing w:before="20"/>
            </w:pPr>
            <w:r w:rsidRPr="006F6E7C">
              <w:t xml:space="preserve">Hon. Lizzie </w:t>
            </w:r>
            <w:proofErr w:type="spellStart"/>
            <w:r w:rsidRPr="006F6E7C">
              <w:t>Blandthorn</w:t>
            </w:r>
            <w:proofErr w:type="spellEnd"/>
          </w:p>
        </w:tc>
        <w:tc>
          <w:tcPr>
            <w:tcW w:w="3536" w:type="dxa"/>
            <w:tcBorders>
              <w:top w:val="single" w:sz="4" w:space="0" w:color="A6A6A6" w:themeColor="accent5"/>
              <w:bottom w:val="single" w:sz="4" w:space="0" w:color="000000" w:themeColor="text1"/>
            </w:tcBorders>
            <w:noWrap/>
            <w:hideMark/>
          </w:tcPr>
          <w:p w14:paraId="0541C6D5" w14:textId="77777777" w:rsidR="00265792" w:rsidRPr="006F6E7C" w:rsidRDefault="00265792" w:rsidP="001F07A1">
            <w:pPr>
              <w:pStyle w:val="ARfintablebody"/>
              <w:spacing w:before="20"/>
            </w:pPr>
            <w:r w:rsidRPr="006F6E7C">
              <w:t>20 June 2025 to 30 June 2025</w:t>
            </w:r>
          </w:p>
        </w:tc>
      </w:tr>
      <w:tr w:rsidR="00265792" w:rsidRPr="006F6E7C" w14:paraId="549617E3" w14:textId="77777777" w:rsidTr="001F07A1">
        <w:trPr>
          <w:trHeight w:val="300"/>
        </w:trPr>
        <w:tc>
          <w:tcPr>
            <w:tcW w:w="2977" w:type="dxa"/>
            <w:vMerge w:val="restart"/>
            <w:tcBorders>
              <w:top w:val="single" w:sz="4" w:space="0" w:color="000000" w:themeColor="text1"/>
              <w:bottom w:val="single" w:sz="4" w:space="0" w:color="A6A6A6" w:themeColor="accent5"/>
            </w:tcBorders>
            <w:hideMark/>
          </w:tcPr>
          <w:p w14:paraId="017EB832" w14:textId="77777777" w:rsidR="00265792" w:rsidRPr="006F6E7C" w:rsidRDefault="00265792" w:rsidP="001F07A1">
            <w:pPr>
              <w:pStyle w:val="ARfintablebody"/>
              <w:spacing w:before="20"/>
            </w:pPr>
            <w:r w:rsidRPr="006F6E7C">
              <w:t>Acting Minister for Veterans</w:t>
            </w:r>
          </w:p>
        </w:tc>
        <w:tc>
          <w:tcPr>
            <w:tcW w:w="3119" w:type="dxa"/>
            <w:tcBorders>
              <w:top w:val="single" w:sz="4" w:space="0" w:color="000000" w:themeColor="text1"/>
              <w:bottom w:val="single" w:sz="4" w:space="0" w:color="A6A6A6" w:themeColor="accent5"/>
            </w:tcBorders>
            <w:noWrap/>
            <w:hideMark/>
          </w:tcPr>
          <w:p w14:paraId="756CFEEC" w14:textId="77777777" w:rsidR="00265792" w:rsidRPr="006F6E7C" w:rsidRDefault="00265792" w:rsidP="001F07A1">
            <w:pPr>
              <w:pStyle w:val="ARfintablebody"/>
              <w:spacing w:before="20"/>
            </w:pPr>
            <w:r w:rsidRPr="006F6E7C">
              <w:t>Hon. Harriet Shing</w:t>
            </w:r>
          </w:p>
        </w:tc>
        <w:tc>
          <w:tcPr>
            <w:tcW w:w="3536" w:type="dxa"/>
            <w:tcBorders>
              <w:top w:val="single" w:sz="4" w:space="0" w:color="000000" w:themeColor="text1"/>
              <w:bottom w:val="single" w:sz="4" w:space="0" w:color="A6A6A6" w:themeColor="accent5"/>
            </w:tcBorders>
            <w:noWrap/>
            <w:hideMark/>
          </w:tcPr>
          <w:p w14:paraId="717C9CBE" w14:textId="77777777" w:rsidR="00265792" w:rsidRPr="006F6E7C" w:rsidRDefault="00265792" w:rsidP="001F07A1">
            <w:pPr>
              <w:pStyle w:val="ARfintablebody"/>
              <w:spacing w:before="20"/>
            </w:pPr>
            <w:r w:rsidRPr="006F6E7C">
              <w:t>1 July 2024 to 24 July 2024</w:t>
            </w:r>
          </w:p>
        </w:tc>
      </w:tr>
      <w:tr w:rsidR="00265792" w:rsidRPr="006F6E7C" w14:paraId="33999992" w14:textId="77777777" w:rsidTr="001F07A1">
        <w:trPr>
          <w:trHeight w:val="300"/>
        </w:trPr>
        <w:tc>
          <w:tcPr>
            <w:tcW w:w="2977" w:type="dxa"/>
            <w:vMerge/>
            <w:tcBorders>
              <w:top w:val="single" w:sz="4" w:space="0" w:color="000000" w:themeColor="text1"/>
              <w:bottom w:val="single" w:sz="4" w:space="0" w:color="A6A6A6" w:themeColor="accent5"/>
            </w:tcBorders>
            <w:hideMark/>
          </w:tcPr>
          <w:p w14:paraId="1D1F4AD7" w14:textId="77777777" w:rsidR="00265792" w:rsidRPr="006F6E7C" w:rsidRDefault="00265792" w:rsidP="001F07A1">
            <w:pPr>
              <w:pStyle w:val="ARfintablebody"/>
              <w:spacing w:before="20"/>
            </w:pPr>
          </w:p>
        </w:tc>
        <w:tc>
          <w:tcPr>
            <w:tcW w:w="3119" w:type="dxa"/>
            <w:tcBorders>
              <w:top w:val="single" w:sz="4" w:space="0" w:color="A6A6A6" w:themeColor="accent5"/>
              <w:bottom w:val="single" w:sz="4" w:space="0" w:color="A6A6A6" w:themeColor="accent5"/>
            </w:tcBorders>
            <w:noWrap/>
            <w:hideMark/>
          </w:tcPr>
          <w:p w14:paraId="5486D8BF" w14:textId="77777777" w:rsidR="00265792" w:rsidRPr="006F6E7C" w:rsidRDefault="00265792" w:rsidP="001F07A1">
            <w:pPr>
              <w:pStyle w:val="ARfintablebody"/>
              <w:spacing w:before="20"/>
            </w:pPr>
            <w:r w:rsidRPr="006F6E7C">
              <w:t>The Hon. Natalie Hutchins</w:t>
            </w:r>
          </w:p>
        </w:tc>
        <w:tc>
          <w:tcPr>
            <w:tcW w:w="3536" w:type="dxa"/>
            <w:tcBorders>
              <w:top w:val="single" w:sz="4" w:space="0" w:color="A6A6A6" w:themeColor="accent5"/>
              <w:bottom w:val="single" w:sz="4" w:space="0" w:color="A6A6A6" w:themeColor="accent5"/>
            </w:tcBorders>
            <w:noWrap/>
            <w:hideMark/>
          </w:tcPr>
          <w:p w14:paraId="5435EB88" w14:textId="77777777" w:rsidR="00265792" w:rsidRPr="006F6E7C" w:rsidRDefault="00265792" w:rsidP="001F07A1">
            <w:pPr>
              <w:pStyle w:val="ARfintablebody"/>
              <w:spacing w:before="20"/>
            </w:pPr>
            <w:r w:rsidRPr="006F6E7C">
              <w:t>16 April 2025 to 30 April 2025</w:t>
            </w:r>
          </w:p>
        </w:tc>
      </w:tr>
      <w:tr w:rsidR="00265792" w:rsidRPr="006F6E7C" w14:paraId="218302D0" w14:textId="77777777" w:rsidTr="001F07A1">
        <w:trPr>
          <w:trHeight w:val="300"/>
        </w:trPr>
        <w:tc>
          <w:tcPr>
            <w:tcW w:w="2977" w:type="dxa"/>
            <w:vMerge/>
            <w:tcBorders>
              <w:top w:val="single" w:sz="4" w:space="0" w:color="000000" w:themeColor="text1"/>
              <w:bottom w:val="single" w:sz="4" w:space="0" w:color="000000" w:themeColor="text1"/>
            </w:tcBorders>
            <w:hideMark/>
          </w:tcPr>
          <w:p w14:paraId="26A555B9" w14:textId="77777777" w:rsidR="00265792" w:rsidRPr="006F6E7C" w:rsidRDefault="00265792" w:rsidP="001F07A1">
            <w:pPr>
              <w:pStyle w:val="ARfintablebody"/>
              <w:spacing w:before="20"/>
            </w:pPr>
          </w:p>
        </w:tc>
        <w:tc>
          <w:tcPr>
            <w:tcW w:w="3119" w:type="dxa"/>
            <w:tcBorders>
              <w:top w:val="single" w:sz="4" w:space="0" w:color="A6A6A6" w:themeColor="accent5"/>
              <w:bottom w:val="single" w:sz="4" w:space="0" w:color="000000" w:themeColor="text1"/>
            </w:tcBorders>
            <w:noWrap/>
            <w:hideMark/>
          </w:tcPr>
          <w:p w14:paraId="2FD67253" w14:textId="77777777" w:rsidR="00265792" w:rsidRPr="006F6E7C" w:rsidRDefault="00265792" w:rsidP="001F07A1">
            <w:pPr>
              <w:pStyle w:val="ARfintablebody"/>
              <w:spacing w:before="20"/>
            </w:pPr>
            <w:r w:rsidRPr="006F6E7C">
              <w:t xml:space="preserve">Hon. Lizzie </w:t>
            </w:r>
            <w:proofErr w:type="spellStart"/>
            <w:r w:rsidRPr="006F6E7C">
              <w:t>Blandthorn</w:t>
            </w:r>
            <w:proofErr w:type="spellEnd"/>
          </w:p>
        </w:tc>
        <w:tc>
          <w:tcPr>
            <w:tcW w:w="3536" w:type="dxa"/>
            <w:tcBorders>
              <w:top w:val="single" w:sz="4" w:space="0" w:color="A6A6A6" w:themeColor="accent5"/>
              <w:bottom w:val="single" w:sz="4" w:space="0" w:color="000000" w:themeColor="text1"/>
            </w:tcBorders>
            <w:noWrap/>
            <w:hideMark/>
          </w:tcPr>
          <w:p w14:paraId="50ECA501" w14:textId="77777777" w:rsidR="00265792" w:rsidRPr="006F6E7C" w:rsidRDefault="00265792" w:rsidP="001F07A1">
            <w:pPr>
              <w:pStyle w:val="ARfintablebody"/>
              <w:spacing w:before="20"/>
            </w:pPr>
            <w:r w:rsidRPr="006F6E7C">
              <w:t>20 June 2025 to 30 June 2025</w:t>
            </w:r>
          </w:p>
        </w:tc>
      </w:tr>
      <w:tr w:rsidR="00265792" w:rsidRPr="006F6E7C" w14:paraId="27EEDD29" w14:textId="77777777" w:rsidTr="001F07A1">
        <w:trPr>
          <w:trHeight w:val="498"/>
        </w:trPr>
        <w:tc>
          <w:tcPr>
            <w:tcW w:w="2977" w:type="dxa"/>
            <w:vMerge w:val="restart"/>
            <w:tcBorders>
              <w:top w:val="single" w:sz="4" w:space="0" w:color="000000" w:themeColor="text1"/>
              <w:bottom w:val="nil"/>
            </w:tcBorders>
            <w:noWrap/>
            <w:hideMark/>
          </w:tcPr>
          <w:p w14:paraId="3A0FAB2C" w14:textId="77777777" w:rsidR="00265792" w:rsidRPr="006F6E7C" w:rsidRDefault="00265792" w:rsidP="001F07A1">
            <w:pPr>
              <w:pStyle w:val="ARfintablebody"/>
              <w:pageBreakBefore/>
              <w:spacing w:before="20"/>
            </w:pPr>
            <w:r w:rsidRPr="006F6E7C">
              <w:lastRenderedPageBreak/>
              <w:t>Acting Minister for Prevention of Family Violence</w:t>
            </w:r>
          </w:p>
        </w:tc>
        <w:tc>
          <w:tcPr>
            <w:tcW w:w="3119" w:type="dxa"/>
            <w:tcBorders>
              <w:top w:val="single" w:sz="4" w:space="0" w:color="000000" w:themeColor="text1"/>
              <w:bottom w:val="single" w:sz="4" w:space="0" w:color="A6A6A6" w:themeColor="accent5"/>
            </w:tcBorders>
            <w:noWrap/>
            <w:hideMark/>
          </w:tcPr>
          <w:p w14:paraId="06268703" w14:textId="77777777" w:rsidR="00265792" w:rsidRPr="006F6E7C" w:rsidRDefault="00265792" w:rsidP="001F07A1">
            <w:pPr>
              <w:pStyle w:val="ARfintablebody"/>
              <w:spacing w:before="20"/>
            </w:pPr>
            <w:r w:rsidRPr="006F6E7C">
              <w:t>The Hon. Natalie Hutchins</w:t>
            </w:r>
          </w:p>
        </w:tc>
        <w:tc>
          <w:tcPr>
            <w:tcW w:w="3536" w:type="dxa"/>
            <w:tcBorders>
              <w:top w:val="single" w:sz="4" w:space="0" w:color="000000" w:themeColor="text1"/>
              <w:bottom w:val="single" w:sz="4" w:space="0" w:color="A6A6A6" w:themeColor="accent5"/>
            </w:tcBorders>
            <w:hideMark/>
          </w:tcPr>
          <w:p w14:paraId="0F163145" w14:textId="77777777" w:rsidR="00265792" w:rsidRDefault="00265792" w:rsidP="001F07A1">
            <w:pPr>
              <w:pStyle w:val="ARfintablebody"/>
              <w:spacing w:before="20"/>
            </w:pPr>
            <w:r w:rsidRPr="006F6E7C">
              <w:t>1 July 2024 to 3 July 2024</w:t>
            </w:r>
          </w:p>
          <w:p w14:paraId="616CD9DD" w14:textId="77777777" w:rsidR="00265792" w:rsidRPr="006F6E7C" w:rsidRDefault="00265792" w:rsidP="001F07A1">
            <w:pPr>
              <w:pStyle w:val="ARfintablebody"/>
              <w:spacing w:before="20"/>
            </w:pPr>
            <w:r w:rsidRPr="006F6E7C">
              <w:t>19 September 2024 to 5 October 2024</w:t>
            </w:r>
            <w:r w:rsidRPr="006F6E7C">
              <w:br/>
              <w:t>7 January 2025 to 20 January 2025</w:t>
            </w:r>
          </w:p>
        </w:tc>
      </w:tr>
      <w:tr w:rsidR="00265792" w:rsidRPr="006F6E7C" w14:paraId="0D45AECB" w14:textId="77777777" w:rsidTr="001F07A1">
        <w:trPr>
          <w:trHeight w:val="300"/>
        </w:trPr>
        <w:tc>
          <w:tcPr>
            <w:tcW w:w="2977" w:type="dxa"/>
            <w:vMerge/>
            <w:tcBorders>
              <w:top w:val="single" w:sz="4" w:space="0" w:color="000000" w:themeColor="text1"/>
              <w:bottom w:val="single" w:sz="4" w:space="0" w:color="000000" w:themeColor="text1"/>
            </w:tcBorders>
            <w:hideMark/>
          </w:tcPr>
          <w:p w14:paraId="11A73AA0" w14:textId="77777777" w:rsidR="00265792" w:rsidRPr="006F6E7C" w:rsidRDefault="00265792" w:rsidP="001F07A1">
            <w:pPr>
              <w:pStyle w:val="ARfintablebody"/>
              <w:spacing w:before="20"/>
            </w:pPr>
          </w:p>
        </w:tc>
        <w:tc>
          <w:tcPr>
            <w:tcW w:w="3119" w:type="dxa"/>
            <w:tcBorders>
              <w:top w:val="single" w:sz="4" w:space="0" w:color="A6A6A6" w:themeColor="accent5"/>
              <w:bottom w:val="single" w:sz="4" w:space="0" w:color="000000" w:themeColor="text1"/>
            </w:tcBorders>
            <w:noWrap/>
            <w:hideMark/>
          </w:tcPr>
          <w:p w14:paraId="5780BF9A" w14:textId="77777777" w:rsidR="00265792" w:rsidRPr="006F6E7C" w:rsidRDefault="00265792" w:rsidP="001F07A1">
            <w:pPr>
              <w:pStyle w:val="ARfintablebody"/>
              <w:spacing w:before="20"/>
            </w:pPr>
            <w:r w:rsidRPr="006F6E7C">
              <w:t>The Hon. Vicki Ward</w:t>
            </w:r>
          </w:p>
        </w:tc>
        <w:tc>
          <w:tcPr>
            <w:tcW w:w="3536" w:type="dxa"/>
            <w:tcBorders>
              <w:top w:val="single" w:sz="4" w:space="0" w:color="A6A6A6" w:themeColor="accent5"/>
              <w:bottom w:val="single" w:sz="4" w:space="0" w:color="000000" w:themeColor="text1"/>
            </w:tcBorders>
            <w:noWrap/>
            <w:hideMark/>
          </w:tcPr>
          <w:p w14:paraId="0143489F" w14:textId="77777777" w:rsidR="00265792" w:rsidRPr="006F6E7C" w:rsidRDefault="00265792" w:rsidP="001F07A1">
            <w:pPr>
              <w:pStyle w:val="ARfintablebody"/>
              <w:spacing w:before="20"/>
            </w:pPr>
            <w:r w:rsidRPr="006F6E7C">
              <w:t>21 June 2025 to 30 June 2025</w:t>
            </w:r>
          </w:p>
        </w:tc>
      </w:tr>
      <w:tr w:rsidR="00265792" w:rsidRPr="006F6E7C" w14:paraId="354ECC70" w14:textId="77777777" w:rsidTr="001F07A1">
        <w:trPr>
          <w:trHeight w:val="300"/>
        </w:trPr>
        <w:tc>
          <w:tcPr>
            <w:tcW w:w="2977" w:type="dxa"/>
            <w:vMerge w:val="restart"/>
            <w:tcBorders>
              <w:top w:val="single" w:sz="4" w:space="0" w:color="000000" w:themeColor="text1"/>
              <w:bottom w:val="single" w:sz="4" w:space="0" w:color="A6A6A6" w:themeColor="accent5"/>
            </w:tcBorders>
            <w:noWrap/>
            <w:hideMark/>
          </w:tcPr>
          <w:p w14:paraId="454F499C" w14:textId="77777777" w:rsidR="00265792" w:rsidRPr="006F6E7C" w:rsidRDefault="00265792" w:rsidP="001F07A1">
            <w:pPr>
              <w:pStyle w:val="ARfintablebody"/>
            </w:pPr>
            <w:r w:rsidRPr="006F6E7C">
              <w:t>Acting Minister for Women</w:t>
            </w:r>
          </w:p>
        </w:tc>
        <w:tc>
          <w:tcPr>
            <w:tcW w:w="3119" w:type="dxa"/>
            <w:tcBorders>
              <w:top w:val="single" w:sz="4" w:space="0" w:color="000000" w:themeColor="text1"/>
              <w:bottom w:val="single" w:sz="4" w:space="0" w:color="A6A6A6" w:themeColor="accent5"/>
            </w:tcBorders>
            <w:noWrap/>
            <w:hideMark/>
          </w:tcPr>
          <w:p w14:paraId="0DC7BCEE" w14:textId="77777777" w:rsidR="00265792" w:rsidRPr="006F6E7C" w:rsidRDefault="00265792" w:rsidP="001F07A1">
            <w:pPr>
              <w:pStyle w:val="ARfintablebody"/>
            </w:pPr>
            <w:r w:rsidRPr="006F6E7C">
              <w:t>Hon. Harriet Shing</w:t>
            </w:r>
          </w:p>
        </w:tc>
        <w:tc>
          <w:tcPr>
            <w:tcW w:w="3536" w:type="dxa"/>
            <w:tcBorders>
              <w:top w:val="single" w:sz="4" w:space="0" w:color="000000" w:themeColor="text1"/>
              <w:bottom w:val="single" w:sz="4" w:space="0" w:color="A6A6A6" w:themeColor="accent5"/>
            </w:tcBorders>
            <w:noWrap/>
            <w:hideMark/>
          </w:tcPr>
          <w:p w14:paraId="42A7AAC3" w14:textId="77777777" w:rsidR="00265792" w:rsidRPr="006F6E7C" w:rsidRDefault="00265792" w:rsidP="001F07A1">
            <w:pPr>
              <w:pStyle w:val="ARfintablebody"/>
            </w:pPr>
            <w:r w:rsidRPr="006F6E7C">
              <w:t>11 July 2024 to 26 July 2024</w:t>
            </w:r>
          </w:p>
        </w:tc>
      </w:tr>
      <w:tr w:rsidR="00265792" w:rsidRPr="006F6E7C" w14:paraId="40E5682A" w14:textId="77777777" w:rsidTr="001F07A1">
        <w:trPr>
          <w:trHeight w:val="300"/>
        </w:trPr>
        <w:tc>
          <w:tcPr>
            <w:tcW w:w="2977" w:type="dxa"/>
            <w:vMerge/>
            <w:tcBorders>
              <w:top w:val="single" w:sz="4" w:space="0" w:color="000000" w:themeColor="text1"/>
              <w:bottom w:val="single" w:sz="4" w:space="0" w:color="A6A6A6" w:themeColor="accent5"/>
            </w:tcBorders>
            <w:hideMark/>
          </w:tcPr>
          <w:p w14:paraId="2B05B71C" w14:textId="77777777" w:rsidR="00265792" w:rsidRPr="006F6E7C" w:rsidRDefault="00265792">
            <w:pPr>
              <w:pStyle w:val="ARfintablebody"/>
            </w:pPr>
          </w:p>
        </w:tc>
        <w:tc>
          <w:tcPr>
            <w:tcW w:w="3119" w:type="dxa"/>
            <w:tcBorders>
              <w:top w:val="single" w:sz="4" w:space="0" w:color="A6A6A6" w:themeColor="accent5"/>
              <w:bottom w:val="single" w:sz="4" w:space="0" w:color="A6A6A6" w:themeColor="accent5"/>
            </w:tcBorders>
            <w:noWrap/>
            <w:hideMark/>
          </w:tcPr>
          <w:p w14:paraId="154E7F85" w14:textId="77777777" w:rsidR="00265792" w:rsidRPr="006F6E7C" w:rsidRDefault="00265792">
            <w:pPr>
              <w:pStyle w:val="ARfintablebody"/>
            </w:pPr>
            <w:r w:rsidRPr="006F6E7C">
              <w:t>The Hon. Gabrielle Williams</w:t>
            </w:r>
          </w:p>
        </w:tc>
        <w:tc>
          <w:tcPr>
            <w:tcW w:w="3536" w:type="dxa"/>
            <w:tcBorders>
              <w:top w:val="single" w:sz="4" w:space="0" w:color="A6A6A6" w:themeColor="accent5"/>
              <w:bottom w:val="single" w:sz="4" w:space="0" w:color="A6A6A6" w:themeColor="accent5"/>
            </w:tcBorders>
            <w:noWrap/>
            <w:hideMark/>
          </w:tcPr>
          <w:p w14:paraId="7F7EDCB1" w14:textId="77777777" w:rsidR="00265792" w:rsidRPr="006F6E7C" w:rsidRDefault="00265792">
            <w:pPr>
              <w:pStyle w:val="ARfintablebody"/>
            </w:pPr>
            <w:r w:rsidRPr="006F6E7C">
              <w:t>20 December 2024 to 5 January 2025</w:t>
            </w:r>
          </w:p>
        </w:tc>
      </w:tr>
      <w:tr w:rsidR="00265792" w:rsidRPr="006F6E7C" w14:paraId="05F0E84D" w14:textId="77777777" w:rsidTr="001F07A1">
        <w:trPr>
          <w:trHeight w:val="300"/>
        </w:trPr>
        <w:tc>
          <w:tcPr>
            <w:tcW w:w="2977" w:type="dxa"/>
            <w:vMerge/>
            <w:tcBorders>
              <w:top w:val="single" w:sz="4" w:space="0" w:color="000000" w:themeColor="text1"/>
              <w:bottom w:val="single" w:sz="4" w:space="0" w:color="A6A6A6" w:themeColor="accent5"/>
            </w:tcBorders>
            <w:hideMark/>
          </w:tcPr>
          <w:p w14:paraId="3BD9E275" w14:textId="77777777" w:rsidR="00265792" w:rsidRPr="006F6E7C" w:rsidRDefault="00265792">
            <w:pPr>
              <w:pStyle w:val="ARfintablebody"/>
            </w:pPr>
          </w:p>
        </w:tc>
        <w:tc>
          <w:tcPr>
            <w:tcW w:w="3119" w:type="dxa"/>
            <w:tcBorders>
              <w:top w:val="single" w:sz="4" w:space="0" w:color="A6A6A6" w:themeColor="accent5"/>
              <w:bottom w:val="single" w:sz="4" w:space="0" w:color="000000" w:themeColor="text1"/>
            </w:tcBorders>
            <w:noWrap/>
            <w:hideMark/>
          </w:tcPr>
          <w:p w14:paraId="30D17C1F" w14:textId="77777777" w:rsidR="00265792" w:rsidRPr="006F6E7C" w:rsidRDefault="00265792">
            <w:pPr>
              <w:pStyle w:val="ARfintablebody"/>
            </w:pPr>
            <w:r w:rsidRPr="006F6E7C">
              <w:t>The Hon. Vicki Ward</w:t>
            </w:r>
          </w:p>
        </w:tc>
        <w:tc>
          <w:tcPr>
            <w:tcW w:w="3536" w:type="dxa"/>
            <w:tcBorders>
              <w:top w:val="single" w:sz="4" w:space="0" w:color="A6A6A6" w:themeColor="accent5"/>
              <w:bottom w:val="single" w:sz="4" w:space="0" w:color="000000" w:themeColor="text1"/>
            </w:tcBorders>
            <w:noWrap/>
            <w:hideMark/>
          </w:tcPr>
          <w:p w14:paraId="6F936E07" w14:textId="77777777" w:rsidR="00265792" w:rsidRPr="006F6E7C" w:rsidRDefault="00265792">
            <w:pPr>
              <w:pStyle w:val="ARfintablebody"/>
            </w:pPr>
            <w:r w:rsidRPr="006F6E7C">
              <w:t>21 June 2025 to 30 June 2025</w:t>
            </w:r>
          </w:p>
        </w:tc>
      </w:tr>
      <w:tr w:rsidR="00265792" w:rsidRPr="006F6E7C" w14:paraId="74620CC7" w14:textId="77777777" w:rsidTr="001F07A1">
        <w:trPr>
          <w:trHeight w:val="300"/>
        </w:trPr>
        <w:tc>
          <w:tcPr>
            <w:tcW w:w="2977" w:type="dxa"/>
            <w:tcBorders>
              <w:top w:val="single" w:sz="4" w:space="0" w:color="000000" w:themeColor="text1"/>
              <w:bottom w:val="single" w:sz="4" w:space="0" w:color="A6A6A6" w:themeColor="accent5"/>
            </w:tcBorders>
            <w:noWrap/>
            <w:hideMark/>
          </w:tcPr>
          <w:p w14:paraId="060C78DD" w14:textId="77777777" w:rsidR="00265792" w:rsidRPr="006F6E7C" w:rsidRDefault="00265792">
            <w:pPr>
              <w:pStyle w:val="ARfintablebody"/>
            </w:pPr>
            <w:r w:rsidRPr="006F6E7C">
              <w:t>Acting Minister for Housing</w:t>
            </w:r>
          </w:p>
        </w:tc>
        <w:tc>
          <w:tcPr>
            <w:tcW w:w="3119" w:type="dxa"/>
            <w:tcBorders>
              <w:top w:val="single" w:sz="4" w:space="0" w:color="000000" w:themeColor="text1"/>
              <w:bottom w:val="single" w:sz="4" w:space="0" w:color="000000" w:themeColor="text1"/>
            </w:tcBorders>
            <w:noWrap/>
            <w:hideMark/>
          </w:tcPr>
          <w:p w14:paraId="2785742E" w14:textId="77777777" w:rsidR="00265792" w:rsidRPr="006F6E7C" w:rsidRDefault="00265792">
            <w:pPr>
              <w:pStyle w:val="ARfintablebody"/>
            </w:pPr>
            <w:r w:rsidRPr="006F6E7C">
              <w:t>Ingrid Stitt MP</w:t>
            </w:r>
          </w:p>
        </w:tc>
        <w:tc>
          <w:tcPr>
            <w:tcW w:w="3536" w:type="dxa"/>
            <w:tcBorders>
              <w:top w:val="single" w:sz="4" w:space="0" w:color="000000" w:themeColor="text1"/>
              <w:bottom w:val="single" w:sz="4" w:space="0" w:color="000000" w:themeColor="text1"/>
            </w:tcBorders>
            <w:noWrap/>
            <w:hideMark/>
          </w:tcPr>
          <w:p w14:paraId="45C6BD89" w14:textId="77777777" w:rsidR="00265792" w:rsidRPr="006F6E7C" w:rsidRDefault="00265792">
            <w:pPr>
              <w:pStyle w:val="ARfintablebody"/>
            </w:pPr>
            <w:r w:rsidRPr="006F6E7C">
              <w:t>7 October 2024 to 13 October 2024</w:t>
            </w:r>
          </w:p>
        </w:tc>
      </w:tr>
      <w:tr w:rsidR="00265792" w:rsidRPr="006F6E7C" w14:paraId="06A56B86" w14:textId="77777777" w:rsidTr="001F07A1">
        <w:trPr>
          <w:trHeight w:val="300"/>
        </w:trPr>
        <w:tc>
          <w:tcPr>
            <w:tcW w:w="2977" w:type="dxa"/>
            <w:vMerge w:val="restart"/>
            <w:tcBorders>
              <w:top w:val="single" w:sz="4" w:space="0" w:color="000000" w:themeColor="text1"/>
              <w:bottom w:val="single" w:sz="4" w:space="0" w:color="A6A6A6" w:themeColor="accent5"/>
            </w:tcBorders>
            <w:noWrap/>
            <w:hideMark/>
          </w:tcPr>
          <w:p w14:paraId="70913097" w14:textId="77777777" w:rsidR="00265792" w:rsidRPr="006F6E7C" w:rsidRDefault="00265792">
            <w:pPr>
              <w:pStyle w:val="ARfintablebody"/>
            </w:pPr>
            <w:r w:rsidRPr="006F6E7C">
              <w:t>Acting Minister for Housing and Building</w:t>
            </w:r>
          </w:p>
        </w:tc>
        <w:tc>
          <w:tcPr>
            <w:tcW w:w="3119" w:type="dxa"/>
            <w:tcBorders>
              <w:top w:val="single" w:sz="4" w:space="0" w:color="000000" w:themeColor="text1"/>
              <w:bottom w:val="single" w:sz="4" w:space="0" w:color="A6A6A6" w:themeColor="accent5"/>
            </w:tcBorders>
            <w:noWrap/>
            <w:hideMark/>
          </w:tcPr>
          <w:p w14:paraId="0D020C44" w14:textId="77777777" w:rsidR="00265792" w:rsidRPr="006F6E7C" w:rsidRDefault="00265792">
            <w:pPr>
              <w:pStyle w:val="ARfintablebody"/>
            </w:pPr>
            <w:r w:rsidRPr="006F6E7C">
              <w:t xml:space="preserve">Hon. Lizzie </w:t>
            </w:r>
            <w:proofErr w:type="spellStart"/>
            <w:r w:rsidRPr="006F6E7C">
              <w:t>Blandthorn</w:t>
            </w:r>
            <w:proofErr w:type="spellEnd"/>
          </w:p>
        </w:tc>
        <w:tc>
          <w:tcPr>
            <w:tcW w:w="3536" w:type="dxa"/>
            <w:tcBorders>
              <w:top w:val="single" w:sz="4" w:space="0" w:color="000000" w:themeColor="text1"/>
              <w:bottom w:val="single" w:sz="4" w:space="0" w:color="A6A6A6" w:themeColor="accent5"/>
            </w:tcBorders>
            <w:noWrap/>
            <w:hideMark/>
          </w:tcPr>
          <w:p w14:paraId="229D467A" w14:textId="77777777" w:rsidR="00265792" w:rsidRPr="006F6E7C" w:rsidRDefault="00265792">
            <w:pPr>
              <w:pStyle w:val="ARfintablebody"/>
            </w:pPr>
            <w:r w:rsidRPr="006F6E7C">
              <w:t>6 January 2025 to 19 January 2025</w:t>
            </w:r>
          </w:p>
        </w:tc>
      </w:tr>
      <w:tr w:rsidR="00265792" w:rsidRPr="006F6E7C" w14:paraId="72E41BBB" w14:textId="77777777" w:rsidTr="001F07A1">
        <w:trPr>
          <w:trHeight w:val="300"/>
        </w:trPr>
        <w:tc>
          <w:tcPr>
            <w:tcW w:w="2977" w:type="dxa"/>
            <w:vMerge/>
            <w:tcBorders>
              <w:top w:val="single" w:sz="4" w:space="0" w:color="000000" w:themeColor="text1"/>
              <w:bottom w:val="single" w:sz="4" w:space="0" w:color="A6A6A6" w:themeColor="accent5"/>
            </w:tcBorders>
            <w:hideMark/>
          </w:tcPr>
          <w:p w14:paraId="131AA5CF" w14:textId="77777777" w:rsidR="00265792" w:rsidRPr="006F6E7C" w:rsidRDefault="00265792">
            <w:pPr>
              <w:pStyle w:val="ARfintablebody"/>
            </w:pPr>
          </w:p>
        </w:tc>
        <w:tc>
          <w:tcPr>
            <w:tcW w:w="3119" w:type="dxa"/>
            <w:tcBorders>
              <w:top w:val="single" w:sz="4" w:space="0" w:color="A6A6A6" w:themeColor="accent5"/>
              <w:bottom w:val="single" w:sz="4" w:space="0" w:color="000000" w:themeColor="text1"/>
            </w:tcBorders>
            <w:noWrap/>
            <w:hideMark/>
          </w:tcPr>
          <w:p w14:paraId="0057BD89" w14:textId="77777777" w:rsidR="00265792" w:rsidRPr="006F6E7C" w:rsidRDefault="00265792">
            <w:pPr>
              <w:pStyle w:val="ARfintablebody"/>
            </w:pPr>
            <w:r w:rsidRPr="006F6E7C">
              <w:t>Hon. Natalie Suleyman</w:t>
            </w:r>
          </w:p>
        </w:tc>
        <w:tc>
          <w:tcPr>
            <w:tcW w:w="3536" w:type="dxa"/>
            <w:tcBorders>
              <w:top w:val="single" w:sz="4" w:space="0" w:color="A6A6A6" w:themeColor="accent5"/>
              <w:bottom w:val="single" w:sz="4" w:space="0" w:color="000000" w:themeColor="text1"/>
            </w:tcBorders>
            <w:noWrap/>
            <w:hideMark/>
          </w:tcPr>
          <w:p w14:paraId="410EE140" w14:textId="77777777" w:rsidR="00265792" w:rsidRPr="006F6E7C" w:rsidRDefault="00265792">
            <w:pPr>
              <w:pStyle w:val="ARfintablebody"/>
            </w:pPr>
            <w:r w:rsidRPr="006F6E7C">
              <w:t>20 January 2025 to 26 January 2025</w:t>
            </w:r>
          </w:p>
        </w:tc>
      </w:tr>
      <w:tr w:rsidR="00265792" w:rsidRPr="006F6E7C" w14:paraId="411DA3E5" w14:textId="77777777" w:rsidTr="001F07A1">
        <w:trPr>
          <w:trHeight w:val="300"/>
        </w:trPr>
        <w:tc>
          <w:tcPr>
            <w:tcW w:w="2977" w:type="dxa"/>
            <w:vMerge w:val="restart"/>
            <w:tcBorders>
              <w:top w:val="single" w:sz="4" w:space="0" w:color="000000" w:themeColor="text1"/>
              <w:bottom w:val="single" w:sz="4" w:space="0" w:color="A6A6A6" w:themeColor="accent5"/>
            </w:tcBorders>
            <w:noWrap/>
            <w:hideMark/>
          </w:tcPr>
          <w:p w14:paraId="3408C819" w14:textId="77777777" w:rsidR="00265792" w:rsidRPr="006F6E7C" w:rsidRDefault="00265792">
            <w:pPr>
              <w:pStyle w:val="ARfintablebody"/>
            </w:pPr>
            <w:r w:rsidRPr="006F6E7C">
              <w:t>Acting Minister for Equality</w:t>
            </w:r>
          </w:p>
        </w:tc>
        <w:tc>
          <w:tcPr>
            <w:tcW w:w="3119" w:type="dxa"/>
            <w:tcBorders>
              <w:top w:val="single" w:sz="4" w:space="0" w:color="000000" w:themeColor="text1"/>
              <w:bottom w:val="single" w:sz="4" w:space="0" w:color="A6A6A6" w:themeColor="accent5"/>
            </w:tcBorders>
            <w:noWrap/>
            <w:hideMark/>
          </w:tcPr>
          <w:p w14:paraId="4FF147F7" w14:textId="77777777" w:rsidR="00265792" w:rsidRPr="006F6E7C" w:rsidRDefault="00265792">
            <w:pPr>
              <w:pStyle w:val="ARfintablebody"/>
            </w:pPr>
            <w:r w:rsidRPr="006F6E7C">
              <w:t>Ingrid Stitt MP</w:t>
            </w:r>
          </w:p>
        </w:tc>
        <w:tc>
          <w:tcPr>
            <w:tcW w:w="3536" w:type="dxa"/>
            <w:tcBorders>
              <w:top w:val="single" w:sz="4" w:space="0" w:color="000000" w:themeColor="text1"/>
              <w:bottom w:val="single" w:sz="4" w:space="0" w:color="A6A6A6" w:themeColor="accent5"/>
            </w:tcBorders>
            <w:noWrap/>
            <w:hideMark/>
          </w:tcPr>
          <w:p w14:paraId="7662A33F" w14:textId="77777777" w:rsidR="00265792" w:rsidRPr="006F6E7C" w:rsidRDefault="00265792">
            <w:pPr>
              <w:pStyle w:val="ARfintablebody"/>
            </w:pPr>
            <w:r w:rsidRPr="006F6E7C">
              <w:t>7 October 2024 to 13 October 2024</w:t>
            </w:r>
          </w:p>
        </w:tc>
      </w:tr>
      <w:tr w:rsidR="00265792" w:rsidRPr="006F6E7C" w14:paraId="7EA8FE03" w14:textId="77777777" w:rsidTr="001F07A1">
        <w:trPr>
          <w:trHeight w:val="300"/>
        </w:trPr>
        <w:tc>
          <w:tcPr>
            <w:tcW w:w="2977" w:type="dxa"/>
            <w:vMerge/>
            <w:tcBorders>
              <w:top w:val="single" w:sz="4" w:space="0" w:color="000000" w:themeColor="text1"/>
              <w:bottom w:val="single" w:sz="4" w:space="0" w:color="A6A6A6" w:themeColor="accent5"/>
            </w:tcBorders>
            <w:hideMark/>
          </w:tcPr>
          <w:p w14:paraId="29255359" w14:textId="77777777" w:rsidR="00265792" w:rsidRPr="006F6E7C" w:rsidRDefault="00265792">
            <w:pPr>
              <w:pStyle w:val="ARfintablebody"/>
            </w:pPr>
          </w:p>
        </w:tc>
        <w:tc>
          <w:tcPr>
            <w:tcW w:w="3119" w:type="dxa"/>
            <w:tcBorders>
              <w:top w:val="single" w:sz="4" w:space="0" w:color="A6A6A6" w:themeColor="accent5"/>
            </w:tcBorders>
            <w:noWrap/>
            <w:hideMark/>
          </w:tcPr>
          <w:p w14:paraId="17FB37EE" w14:textId="77777777" w:rsidR="00265792" w:rsidRPr="006F6E7C" w:rsidRDefault="00265792">
            <w:pPr>
              <w:pStyle w:val="ARfintablebody"/>
            </w:pPr>
            <w:r w:rsidRPr="006F6E7C">
              <w:t xml:space="preserve">Hon. Lizzie </w:t>
            </w:r>
            <w:proofErr w:type="spellStart"/>
            <w:r w:rsidRPr="006F6E7C">
              <w:t>Blandthorn</w:t>
            </w:r>
            <w:proofErr w:type="spellEnd"/>
          </w:p>
        </w:tc>
        <w:tc>
          <w:tcPr>
            <w:tcW w:w="3536" w:type="dxa"/>
            <w:tcBorders>
              <w:top w:val="single" w:sz="4" w:space="0" w:color="A6A6A6" w:themeColor="accent5"/>
            </w:tcBorders>
            <w:noWrap/>
            <w:hideMark/>
          </w:tcPr>
          <w:p w14:paraId="1B9D5A96" w14:textId="77777777" w:rsidR="00265792" w:rsidRPr="006F6E7C" w:rsidRDefault="00265792">
            <w:pPr>
              <w:pStyle w:val="ARfintablebody"/>
            </w:pPr>
            <w:r w:rsidRPr="006F6E7C">
              <w:t>6 January 2025 to 19 January 2025</w:t>
            </w:r>
          </w:p>
        </w:tc>
      </w:tr>
      <w:tr w:rsidR="00265792" w:rsidRPr="006F6E7C" w14:paraId="0587B507" w14:textId="77777777" w:rsidTr="001F07A1">
        <w:trPr>
          <w:trHeight w:val="300"/>
        </w:trPr>
        <w:tc>
          <w:tcPr>
            <w:tcW w:w="2977" w:type="dxa"/>
            <w:vMerge/>
            <w:tcBorders>
              <w:top w:val="single" w:sz="4" w:space="0" w:color="000000" w:themeColor="text1"/>
              <w:bottom w:val="single" w:sz="4" w:space="0" w:color="A6A6A6" w:themeColor="accent5"/>
            </w:tcBorders>
            <w:hideMark/>
          </w:tcPr>
          <w:p w14:paraId="3425AAE8" w14:textId="77777777" w:rsidR="00265792" w:rsidRPr="006F6E7C" w:rsidRDefault="00265792">
            <w:pPr>
              <w:pStyle w:val="ARfintablebody"/>
            </w:pPr>
          </w:p>
        </w:tc>
        <w:tc>
          <w:tcPr>
            <w:tcW w:w="3119" w:type="dxa"/>
            <w:tcBorders>
              <w:bottom w:val="single" w:sz="4" w:space="0" w:color="A6A6A6" w:themeColor="accent5"/>
            </w:tcBorders>
            <w:noWrap/>
            <w:hideMark/>
          </w:tcPr>
          <w:p w14:paraId="241A5CD3" w14:textId="77777777" w:rsidR="00265792" w:rsidRPr="006F6E7C" w:rsidRDefault="00265792">
            <w:pPr>
              <w:pStyle w:val="ARfintablebody"/>
            </w:pPr>
            <w:r w:rsidRPr="006F6E7C">
              <w:t>Hon. Natalie Suleyman</w:t>
            </w:r>
          </w:p>
        </w:tc>
        <w:tc>
          <w:tcPr>
            <w:tcW w:w="3536" w:type="dxa"/>
            <w:tcBorders>
              <w:bottom w:val="single" w:sz="4" w:space="0" w:color="A6A6A6" w:themeColor="accent5"/>
            </w:tcBorders>
            <w:noWrap/>
            <w:hideMark/>
          </w:tcPr>
          <w:p w14:paraId="2267DCA0" w14:textId="77777777" w:rsidR="00265792" w:rsidRPr="006F6E7C" w:rsidRDefault="00265792">
            <w:pPr>
              <w:pStyle w:val="ARfintablebody"/>
            </w:pPr>
            <w:r w:rsidRPr="006F6E7C">
              <w:t>20 January 2025 to 26 January 2025</w:t>
            </w:r>
          </w:p>
        </w:tc>
      </w:tr>
      <w:tr w:rsidR="00265792" w:rsidRPr="006F6E7C" w14:paraId="1D09947B" w14:textId="77777777" w:rsidTr="001F07A1">
        <w:trPr>
          <w:trHeight w:val="300"/>
        </w:trPr>
        <w:tc>
          <w:tcPr>
            <w:tcW w:w="2977" w:type="dxa"/>
            <w:vMerge/>
            <w:tcBorders>
              <w:top w:val="single" w:sz="4" w:space="0" w:color="000000" w:themeColor="text1"/>
              <w:bottom w:val="single" w:sz="4" w:space="0" w:color="A6A6A6" w:themeColor="accent5"/>
            </w:tcBorders>
            <w:hideMark/>
          </w:tcPr>
          <w:p w14:paraId="42388B49" w14:textId="77777777" w:rsidR="00265792" w:rsidRPr="006F6E7C" w:rsidRDefault="00265792">
            <w:pPr>
              <w:pStyle w:val="ARfintablebody"/>
            </w:pPr>
          </w:p>
        </w:tc>
        <w:tc>
          <w:tcPr>
            <w:tcW w:w="3119" w:type="dxa"/>
            <w:tcBorders>
              <w:top w:val="single" w:sz="4" w:space="0" w:color="A6A6A6" w:themeColor="accent5"/>
              <w:bottom w:val="single" w:sz="4" w:space="0" w:color="000000" w:themeColor="text1"/>
            </w:tcBorders>
            <w:noWrap/>
            <w:hideMark/>
          </w:tcPr>
          <w:p w14:paraId="0E443CC6" w14:textId="77777777" w:rsidR="00265792" w:rsidRPr="006F6E7C" w:rsidRDefault="00265792">
            <w:pPr>
              <w:pStyle w:val="ARfintablebody"/>
            </w:pPr>
            <w:r w:rsidRPr="006F6E7C">
              <w:t>The Hon. Natalie Hutchins</w:t>
            </w:r>
          </w:p>
        </w:tc>
        <w:tc>
          <w:tcPr>
            <w:tcW w:w="3536" w:type="dxa"/>
            <w:tcBorders>
              <w:top w:val="single" w:sz="4" w:space="0" w:color="A6A6A6" w:themeColor="accent5"/>
              <w:bottom w:val="single" w:sz="4" w:space="0" w:color="000000" w:themeColor="text1"/>
            </w:tcBorders>
            <w:noWrap/>
            <w:hideMark/>
          </w:tcPr>
          <w:p w14:paraId="6ADC35D1" w14:textId="77777777" w:rsidR="00265792" w:rsidRPr="006F6E7C" w:rsidRDefault="00265792">
            <w:pPr>
              <w:pStyle w:val="ARfintablebody"/>
            </w:pPr>
            <w:r w:rsidRPr="006F6E7C">
              <w:t>4 June 2025 to 9 June 2025</w:t>
            </w:r>
          </w:p>
        </w:tc>
      </w:tr>
      <w:tr w:rsidR="00265792" w:rsidRPr="006F6E7C" w14:paraId="3693287C" w14:textId="77777777" w:rsidTr="001F07A1">
        <w:trPr>
          <w:trHeight w:val="76"/>
        </w:trPr>
        <w:tc>
          <w:tcPr>
            <w:tcW w:w="2977" w:type="dxa"/>
            <w:vMerge w:val="restart"/>
            <w:tcBorders>
              <w:top w:val="single" w:sz="4" w:space="0" w:color="000000" w:themeColor="text1"/>
              <w:bottom w:val="single" w:sz="4" w:space="0" w:color="A6A6A6" w:themeColor="accent5"/>
            </w:tcBorders>
            <w:noWrap/>
            <w:hideMark/>
          </w:tcPr>
          <w:p w14:paraId="1391E869" w14:textId="1D87F28A" w:rsidR="00265792" w:rsidRPr="006F6E7C" w:rsidRDefault="00265792">
            <w:pPr>
              <w:pStyle w:val="ARfintablebody"/>
            </w:pPr>
            <w:r w:rsidRPr="006F6E7C">
              <w:t xml:space="preserve">Acting Minister for Carers </w:t>
            </w:r>
            <w:r w:rsidR="00E66020">
              <w:t>and</w:t>
            </w:r>
            <w:r w:rsidRPr="006F6E7C">
              <w:t xml:space="preserve"> Volunteers</w:t>
            </w:r>
          </w:p>
        </w:tc>
        <w:tc>
          <w:tcPr>
            <w:tcW w:w="3119" w:type="dxa"/>
            <w:tcBorders>
              <w:top w:val="single" w:sz="4" w:space="0" w:color="000000" w:themeColor="text1"/>
              <w:bottom w:val="single" w:sz="4" w:space="0" w:color="A6A6A6" w:themeColor="accent5"/>
            </w:tcBorders>
            <w:noWrap/>
            <w:hideMark/>
          </w:tcPr>
          <w:p w14:paraId="5F8DC0AF" w14:textId="77777777" w:rsidR="00265792" w:rsidRPr="006F6E7C" w:rsidRDefault="00265792">
            <w:pPr>
              <w:pStyle w:val="ARfintablebody"/>
            </w:pPr>
            <w:r w:rsidRPr="006F6E7C">
              <w:t xml:space="preserve">Hon. Lizzie </w:t>
            </w:r>
            <w:proofErr w:type="spellStart"/>
            <w:r w:rsidRPr="006F6E7C">
              <w:t>Blandthorn</w:t>
            </w:r>
            <w:proofErr w:type="spellEnd"/>
          </w:p>
        </w:tc>
        <w:tc>
          <w:tcPr>
            <w:tcW w:w="3536" w:type="dxa"/>
            <w:tcBorders>
              <w:top w:val="single" w:sz="4" w:space="0" w:color="000000" w:themeColor="text1"/>
              <w:bottom w:val="single" w:sz="4" w:space="0" w:color="A6A6A6" w:themeColor="accent5"/>
            </w:tcBorders>
            <w:hideMark/>
          </w:tcPr>
          <w:p w14:paraId="5C25F0C9" w14:textId="77777777" w:rsidR="00265792" w:rsidRPr="006F6E7C" w:rsidRDefault="00265792">
            <w:pPr>
              <w:pStyle w:val="ARfintablebody"/>
            </w:pPr>
            <w:r w:rsidRPr="006F6E7C">
              <w:t>15 July 2024 to 28 July 2024</w:t>
            </w:r>
            <w:r w:rsidRPr="006F6E7C">
              <w:br/>
              <w:t>11 January 2025 to 19 January 2025</w:t>
            </w:r>
          </w:p>
        </w:tc>
      </w:tr>
      <w:tr w:rsidR="00265792" w:rsidRPr="006F6E7C" w14:paraId="6C44F989" w14:textId="77777777" w:rsidTr="001F07A1">
        <w:trPr>
          <w:trHeight w:val="300"/>
        </w:trPr>
        <w:tc>
          <w:tcPr>
            <w:tcW w:w="2977" w:type="dxa"/>
            <w:vMerge/>
            <w:tcBorders>
              <w:top w:val="single" w:sz="4" w:space="0" w:color="000000" w:themeColor="text1"/>
              <w:bottom w:val="single" w:sz="4" w:space="0" w:color="000000" w:themeColor="text1"/>
            </w:tcBorders>
            <w:hideMark/>
          </w:tcPr>
          <w:p w14:paraId="4684F23E" w14:textId="77777777" w:rsidR="00265792" w:rsidRPr="006F6E7C" w:rsidRDefault="00265792">
            <w:pPr>
              <w:pStyle w:val="ARfintablebody"/>
            </w:pPr>
          </w:p>
        </w:tc>
        <w:tc>
          <w:tcPr>
            <w:tcW w:w="3119" w:type="dxa"/>
            <w:tcBorders>
              <w:top w:val="single" w:sz="4" w:space="0" w:color="A6A6A6" w:themeColor="accent5"/>
              <w:bottom w:val="single" w:sz="4" w:space="0" w:color="000000" w:themeColor="text1"/>
            </w:tcBorders>
            <w:noWrap/>
            <w:hideMark/>
          </w:tcPr>
          <w:p w14:paraId="754DFC27" w14:textId="77777777" w:rsidR="00265792" w:rsidRPr="006F6E7C" w:rsidRDefault="00265792">
            <w:pPr>
              <w:pStyle w:val="ARfintablebody"/>
            </w:pPr>
            <w:r w:rsidRPr="006F6E7C">
              <w:t>Ingrid Stitt MP</w:t>
            </w:r>
          </w:p>
        </w:tc>
        <w:tc>
          <w:tcPr>
            <w:tcW w:w="3536" w:type="dxa"/>
            <w:tcBorders>
              <w:top w:val="single" w:sz="4" w:space="0" w:color="A6A6A6" w:themeColor="accent5"/>
              <w:bottom w:val="single" w:sz="4" w:space="0" w:color="000000" w:themeColor="text1"/>
            </w:tcBorders>
            <w:noWrap/>
            <w:hideMark/>
          </w:tcPr>
          <w:p w14:paraId="4BCF56E2" w14:textId="77777777" w:rsidR="00265792" w:rsidRPr="006F6E7C" w:rsidRDefault="00265792">
            <w:pPr>
              <w:pStyle w:val="ARfintablebody"/>
            </w:pPr>
            <w:r w:rsidRPr="006F6E7C">
              <w:t>20 January 2025 to 26 January 2025</w:t>
            </w:r>
          </w:p>
        </w:tc>
      </w:tr>
      <w:tr w:rsidR="00265792" w:rsidRPr="006F6E7C" w14:paraId="3263CD1C" w14:textId="77777777" w:rsidTr="001F07A1">
        <w:trPr>
          <w:trHeight w:val="570"/>
        </w:trPr>
        <w:tc>
          <w:tcPr>
            <w:tcW w:w="2977" w:type="dxa"/>
            <w:vMerge w:val="restart"/>
            <w:tcBorders>
              <w:top w:val="single" w:sz="4" w:space="0" w:color="000000" w:themeColor="text1"/>
              <w:bottom w:val="single" w:sz="4" w:space="0" w:color="A6A6A6" w:themeColor="accent5"/>
            </w:tcBorders>
            <w:noWrap/>
            <w:hideMark/>
          </w:tcPr>
          <w:p w14:paraId="2D25EA04" w14:textId="77777777" w:rsidR="00265792" w:rsidRPr="006F6E7C" w:rsidRDefault="00265792">
            <w:pPr>
              <w:pStyle w:val="ARfintablebody"/>
            </w:pPr>
            <w:r w:rsidRPr="006F6E7C">
              <w:t>Acting Secretary</w:t>
            </w:r>
          </w:p>
        </w:tc>
        <w:tc>
          <w:tcPr>
            <w:tcW w:w="3119" w:type="dxa"/>
            <w:tcBorders>
              <w:top w:val="single" w:sz="4" w:space="0" w:color="000000" w:themeColor="text1"/>
              <w:bottom w:val="single" w:sz="4" w:space="0" w:color="A6A6A6" w:themeColor="accent5"/>
            </w:tcBorders>
            <w:noWrap/>
            <w:hideMark/>
          </w:tcPr>
          <w:p w14:paraId="228F6F00" w14:textId="77777777" w:rsidR="00265792" w:rsidRPr="006F6E7C" w:rsidRDefault="00265792">
            <w:pPr>
              <w:pStyle w:val="ARfintablebody"/>
            </w:pPr>
            <w:r w:rsidRPr="006F6E7C">
              <w:t>Annette Lancy</w:t>
            </w:r>
          </w:p>
        </w:tc>
        <w:tc>
          <w:tcPr>
            <w:tcW w:w="3536" w:type="dxa"/>
            <w:tcBorders>
              <w:top w:val="single" w:sz="4" w:space="0" w:color="000000" w:themeColor="text1"/>
              <w:bottom w:val="single" w:sz="4" w:space="0" w:color="A6A6A6" w:themeColor="accent5"/>
            </w:tcBorders>
            <w:hideMark/>
          </w:tcPr>
          <w:p w14:paraId="73A21AC7" w14:textId="265AB53C" w:rsidR="00265792" w:rsidRDefault="00265792">
            <w:pPr>
              <w:pStyle w:val="ARfintablebody"/>
            </w:pPr>
            <w:r w:rsidRPr="006F6E7C">
              <w:t>20 September 2024 to 22 September</w:t>
            </w:r>
            <w:r w:rsidR="005949D6">
              <w:t> </w:t>
            </w:r>
            <w:r w:rsidRPr="006F6E7C">
              <w:t>2024</w:t>
            </w:r>
          </w:p>
          <w:p w14:paraId="2CEA44F2" w14:textId="77777777" w:rsidR="00265792" w:rsidRPr="006F6E7C" w:rsidRDefault="00265792">
            <w:pPr>
              <w:pStyle w:val="ARfintablebody"/>
            </w:pPr>
            <w:r w:rsidRPr="006F6E7C">
              <w:t>30 September 2024 to 7 October 2024</w:t>
            </w:r>
          </w:p>
        </w:tc>
      </w:tr>
      <w:tr w:rsidR="00265792" w:rsidRPr="006F6E7C" w14:paraId="02E30B64" w14:textId="77777777" w:rsidTr="001F07A1">
        <w:trPr>
          <w:trHeight w:val="300"/>
        </w:trPr>
        <w:tc>
          <w:tcPr>
            <w:tcW w:w="2977" w:type="dxa"/>
            <w:vMerge/>
            <w:tcBorders>
              <w:top w:val="single" w:sz="4" w:space="0" w:color="000000" w:themeColor="text1"/>
              <w:bottom w:val="single" w:sz="4" w:space="0" w:color="A6A6A6" w:themeColor="accent5"/>
            </w:tcBorders>
            <w:hideMark/>
          </w:tcPr>
          <w:p w14:paraId="39C072CE" w14:textId="77777777" w:rsidR="00265792" w:rsidRPr="006F6E7C" w:rsidRDefault="00265792">
            <w:pPr>
              <w:pStyle w:val="ARfintablebody"/>
            </w:pPr>
          </w:p>
        </w:tc>
        <w:tc>
          <w:tcPr>
            <w:tcW w:w="3119" w:type="dxa"/>
            <w:tcBorders>
              <w:top w:val="single" w:sz="4" w:space="0" w:color="A6A6A6" w:themeColor="accent5"/>
            </w:tcBorders>
            <w:noWrap/>
            <w:hideMark/>
          </w:tcPr>
          <w:p w14:paraId="27011531" w14:textId="77777777" w:rsidR="00265792" w:rsidRPr="006F6E7C" w:rsidRDefault="00265792">
            <w:pPr>
              <w:pStyle w:val="ARfintablebody"/>
            </w:pPr>
            <w:r w:rsidRPr="006F6E7C">
              <w:t>Simon Newport</w:t>
            </w:r>
          </w:p>
        </w:tc>
        <w:tc>
          <w:tcPr>
            <w:tcW w:w="3536" w:type="dxa"/>
            <w:tcBorders>
              <w:top w:val="single" w:sz="4" w:space="0" w:color="A6A6A6" w:themeColor="accent5"/>
            </w:tcBorders>
            <w:noWrap/>
            <w:hideMark/>
          </w:tcPr>
          <w:p w14:paraId="6F96AFCC" w14:textId="5213011A" w:rsidR="00265792" w:rsidRPr="006F6E7C" w:rsidRDefault="00265792">
            <w:pPr>
              <w:pStyle w:val="ARfintablebody"/>
            </w:pPr>
            <w:r w:rsidRPr="006F6E7C">
              <w:t>23 September 2024 to 29 September</w:t>
            </w:r>
            <w:r w:rsidR="005949D6">
              <w:t> </w:t>
            </w:r>
            <w:r w:rsidRPr="006F6E7C">
              <w:t>2024</w:t>
            </w:r>
          </w:p>
        </w:tc>
      </w:tr>
      <w:tr w:rsidR="00265792" w:rsidRPr="006F6E7C" w14:paraId="4324A7D6" w14:textId="77777777" w:rsidTr="001F07A1">
        <w:trPr>
          <w:trHeight w:val="300"/>
        </w:trPr>
        <w:tc>
          <w:tcPr>
            <w:tcW w:w="2977" w:type="dxa"/>
            <w:vMerge/>
            <w:tcBorders>
              <w:top w:val="single" w:sz="4" w:space="0" w:color="000000" w:themeColor="text1"/>
              <w:bottom w:val="single" w:sz="4" w:space="0" w:color="A6A6A6" w:themeColor="accent5"/>
            </w:tcBorders>
            <w:hideMark/>
          </w:tcPr>
          <w:p w14:paraId="5B38AC8E" w14:textId="77777777" w:rsidR="00265792" w:rsidRPr="006F6E7C" w:rsidRDefault="00265792">
            <w:pPr>
              <w:pStyle w:val="ARfintablebody"/>
            </w:pPr>
          </w:p>
        </w:tc>
        <w:tc>
          <w:tcPr>
            <w:tcW w:w="3119" w:type="dxa"/>
            <w:noWrap/>
            <w:hideMark/>
          </w:tcPr>
          <w:p w14:paraId="2840AA64" w14:textId="77777777" w:rsidR="00265792" w:rsidRPr="006F6E7C" w:rsidRDefault="00265792">
            <w:pPr>
              <w:pStyle w:val="ARfintablebody"/>
            </w:pPr>
            <w:r w:rsidRPr="006F6E7C">
              <w:t>Melanie Heenan</w:t>
            </w:r>
          </w:p>
        </w:tc>
        <w:tc>
          <w:tcPr>
            <w:tcW w:w="3536" w:type="dxa"/>
            <w:noWrap/>
            <w:hideMark/>
          </w:tcPr>
          <w:p w14:paraId="53D590E6" w14:textId="77777777" w:rsidR="00265792" w:rsidRPr="006F6E7C" w:rsidRDefault="00265792">
            <w:pPr>
              <w:pStyle w:val="ARfintablebody"/>
            </w:pPr>
            <w:r w:rsidRPr="006F6E7C">
              <w:t>6 January 2025 to 12 January 2025</w:t>
            </w:r>
          </w:p>
        </w:tc>
      </w:tr>
      <w:tr w:rsidR="00265792" w:rsidRPr="006F6E7C" w14:paraId="3F56EEC2" w14:textId="77777777" w:rsidTr="001F07A1">
        <w:trPr>
          <w:trHeight w:val="300"/>
        </w:trPr>
        <w:tc>
          <w:tcPr>
            <w:tcW w:w="2977" w:type="dxa"/>
            <w:vMerge/>
            <w:tcBorders>
              <w:top w:val="single" w:sz="4" w:space="0" w:color="000000" w:themeColor="text1"/>
              <w:bottom w:val="single" w:sz="4" w:space="0" w:color="000000" w:themeColor="text1"/>
            </w:tcBorders>
            <w:hideMark/>
          </w:tcPr>
          <w:p w14:paraId="7047A63D" w14:textId="77777777" w:rsidR="00265792" w:rsidRPr="006F6E7C" w:rsidRDefault="00265792">
            <w:pPr>
              <w:pStyle w:val="ARfintablebody"/>
            </w:pPr>
          </w:p>
        </w:tc>
        <w:tc>
          <w:tcPr>
            <w:tcW w:w="3119" w:type="dxa"/>
            <w:tcBorders>
              <w:bottom w:val="single" w:sz="4" w:space="0" w:color="000000" w:themeColor="text1"/>
            </w:tcBorders>
            <w:noWrap/>
            <w:hideMark/>
          </w:tcPr>
          <w:p w14:paraId="07C168C7" w14:textId="77777777" w:rsidR="00265792" w:rsidRPr="006F6E7C" w:rsidRDefault="00265792">
            <w:pPr>
              <w:pStyle w:val="ARfintablebody"/>
            </w:pPr>
            <w:r w:rsidRPr="006F6E7C">
              <w:t>Drew Warne-Smith</w:t>
            </w:r>
          </w:p>
        </w:tc>
        <w:tc>
          <w:tcPr>
            <w:tcW w:w="3536" w:type="dxa"/>
            <w:tcBorders>
              <w:bottom w:val="single" w:sz="4" w:space="0" w:color="000000" w:themeColor="text1"/>
            </w:tcBorders>
            <w:noWrap/>
            <w:hideMark/>
          </w:tcPr>
          <w:p w14:paraId="21DD3C16" w14:textId="77777777" w:rsidR="00265792" w:rsidRPr="006F6E7C" w:rsidRDefault="00265792">
            <w:pPr>
              <w:pStyle w:val="ARfintablebody"/>
            </w:pPr>
            <w:r w:rsidRPr="006F6E7C">
              <w:t>13 January 2025 to 19 January 2025</w:t>
            </w:r>
          </w:p>
        </w:tc>
      </w:tr>
    </w:tbl>
    <w:p w14:paraId="05126F5B" w14:textId="77777777" w:rsidR="00265792" w:rsidRDefault="00265792" w:rsidP="00B95117">
      <w:pPr>
        <w:pStyle w:val="ARfintablefootnotetabindent"/>
      </w:pPr>
      <w:r w:rsidRPr="006F6E7C">
        <w:t>(</w:t>
      </w:r>
      <w:proofErr w:type="spellStart"/>
      <w:r w:rsidRPr="006F6E7C">
        <w:t>i</w:t>
      </w:r>
      <w:proofErr w:type="spellEnd"/>
      <w:r w:rsidRPr="006F6E7C">
        <w:t xml:space="preserve">) </w:t>
      </w:r>
      <w:r>
        <w:tab/>
      </w:r>
      <w:r w:rsidRPr="006F6E7C">
        <w:t>The Secretary (as the Accountable Officer) and Acting Secretary are included in the above tables.</w:t>
      </w:r>
      <w:r w:rsidRPr="006F6E7C">
        <w:tab/>
      </w:r>
      <w:r w:rsidRPr="006F6E7C">
        <w:tab/>
      </w:r>
    </w:p>
    <w:p w14:paraId="2F46B899" w14:textId="77777777" w:rsidR="00265792" w:rsidRDefault="00265792" w:rsidP="006F6E7C">
      <w:pPr>
        <w:pStyle w:val="Heading6"/>
        <w:rPr>
          <w:lang w:eastAsia="en-AU"/>
        </w:rPr>
      </w:pPr>
      <w:r>
        <w:rPr>
          <w:lang w:eastAsia="en-AU"/>
        </w:rPr>
        <w:t>Remuneration</w:t>
      </w:r>
    </w:p>
    <w:p w14:paraId="47248472" w14:textId="77777777" w:rsidR="00265792" w:rsidRDefault="00265792">
      <w:pPr>
        <w:pStyle w:val="ARfinbody"/>
      </w:pPr>
      <w:r>
        <w:t xml:space="preserve">Remuneration received or receivable by the Accountable Officers </w:t>
      </w:r>
      <w:r w:rsidRPr="002670E2">
        <w:rPr>
          <w:vertAlign w:val="superscript"/>
        </w:rPr>
        <w:t>(</w:t>
      </w:r>
      <w:proofErr w:type="spellStart"/>
      <w:r w:rsidRPr="002670E2">
        <w:rPr>
          <w:vertAlign w:val="superscript"/>
        </w:rPr>
        <w:t>i</w:t>
      </w:r>
      <w:proofErr w:type="spellEnd"/>
      <w:r w:rsidRPr="002670E2">
        <w:rPr>
          <w:vertAlign w:val="superscript"/>
        </w:rPr>
        <w:t>)</w:t>
      </w:r>
      <w:r>
        <w:t xml:space="preserve"> in connection with the management of the department during the reporting period was in the range:</w:t>
      </w:r>
    </w:p>
    <w:tbl>
      <w:tblPr>
        <w:tblStyle w:val="TableGrid"/>
        <w:tblW w:w="0" w:type="auto"/>
        <w:tblLayout w:type="fixed"/>
        <w:tblLook w:val="04E0" w:firstRow="1" w:lastRow="1" w:firstColumn="1" w:lastColumn="0" w:noHBand="0" w:noVBand="1"/>
      </w:tblPr>
      <w:tblGrid>
        <w:gridCol w:w="6663"/>
        <w:gridCol w:w="1484"/>
        <w:gridCol w:w="1485"/>
      </w:tblGrid>
      <w:tr w:rsidR="00265792" w:rsidRPr="006F6E7C" w14:paraId="62B00D08" w14:textId="77777777" w:rsidTr="0097752C">
        <w:trPr>
          <w:cnfStyle w:val="100000000000" w:firstRow="1" w:lastRow="0" w:firstColumn="0" w:lastColumn="0" w:oddVBand="0" w:evenVBand="0" w:oddHBand="0" w:evenHBand="0" w:firstRowFirstColumn="0" w:firstRowLastColumn="0" w:lastRowFirstColumn="0" w:lastRowLastColumn="0"/>
          <w:trHeight w:val="86"/>
          <w:tblHeader/>
        </w:trPr>
        <w:tc>
          <w:tcPr>
            <w:tcW w:w="6663" w:type="dxa"/>
            <w:noWrap/>
            <w:hideMark/>
          </w:tcPr>
          <w:p w14:paraId="5EF9F276" w14:textId="77777777" w:rsidR="00265792" w:rsidRPr="006F6E7C" w:rsidRDefault="00265792" w:rsidP="006F6E7C">
            <w:pPr>
              <w:pStyle w:val="ARfintablecolhead"/>
            </w:pPr>
            <w:r w:rsidRPr="006F6E7C">
              <w:t xml:space="preserve">Income band </w:t>
            </w:r>
          </w:p>
        </w:tc>
        <w:tc>
          <w:tcPr>
            <w:tcW w:w="1484" w:type="dxa"/>
            <w:shd w:val="clear" w:color="auto" w:fill="EEEEEF" w:themeFill="accent4"/>
            <w:noWrap/>
            <w:hideMark/>
          </w:tcPr>
          <w:p w14:paraId="35D78C08" w14:textId="77777777" w:rsidR="00265792" w:rsidRPr="006F6E7C" w:rsidRDefault="00265792" w:rsidP="006F6E7C">
            <w:pPr>
              <w:pStyle w:val="ARfintablecolheadright"/>
            </w:pPr>
            <w:r w:rsidRPr="006F6E7C">
              <w:t>30 June 2025</w:t>
            </w:r>
          </w:p>
        </w:tc>
        <w:tc>
          <w:tcPr>
            <w:tcW w:w="1485" w:type="dxa"/>
            <w:noWrap/>
            <w:hideMark/>
          </w:tcPr>
          <w:p w14:paraId="2923EFB7" w14:textId="77777777" w:rsidR="00265792" w:rsidRPr="006F6E7C" w:rsidRDefault="00265792" w:rsidP="006F6E7C">
            <w:pPr>
              <w:pStyle w:val="ARfintablecolheadright"/>
            </w:pPr>
            <w:r w:rsidRPr="006F6E7C">
              <w:t>30 June 2024</w:t>
            </w:r>
          </w:p>
        </w:tc>
      </w:tr>
      <w:tr w:rsidR="00265792" w:rsidRPr="006F6E7C" w14:paraId="507F0021" w14:textId="77777777" w:rsidTr="00E6675F">
        <w:trPr>
          <w:trHeight w:val="255"/>
        </w:trPr>
        <w:tc>
          <w:tcPr>
            <w:tcW w:w="6663" w:type="dxa"/>
            <w:noWrap/>
            <w:hideMark/>
          </w:tcPr>
          <w:p w14:paraId="16F0C5AC" w14:textId="0587778E" w:rsidR="00265792" w:rsidRPr="006F6E7C" w:rsidRDefault="00265792" w:rsidP="006F6E7C">
            <w:pPr>
              <w:pStyle w:val="ARfintablebody"/>
            </w:pPr>
            <w:r w:rsidRPr="006F6E7C">
              <w:t>$0</w:t>
            </w:r>
            <w:r>
              <w:t>–</w:t>
            </w:r>
            <w:r w:rsidRPr="006F6E7C">
              <w:t>$10,000</w:t>
            </w:r>
          </w:p>
        </w:tc>
        <w:tc>
          <w:tcPr>
            <w:tcW w:w="1484" w:type="dxa"/>
            <w:shd w:val="clear" w:color="auto" w:fill="EEEEEF" w:themeFill="accent4"/>
            <w:noWrap/>
            <w:hideMark/>
          </w:tcPr>
          <w:p w14:paraId="2DDC2230" w14:textId="77777777" w:rsidR="00265792" w:rsidRPr="006F6E7C" w:rsidRDefault="00265792" w:rsidP="006F6E7C">
            <w:pPr>
              <w:pStyle w:val="ARfintablebodyright"/>
            </w:pPr>
            <w:r w:rsidRPr="006F6E7C">
              <w:t>3</w:t>
            </w:r>
          </w:p>
        </w:tc>
        <w:tc>
          <w:tcPr>
            <w:tcW w:w="1485" w:type="dxa"/>
            <w:noWrap/>
            <w:hideMark/>
          </w:tcPr>
          <w:p w14:paraId="711868F2" w14:textId="77777777" w:rsidR="00265792" w:rsidRPr="006F6E7C" w:rsidRDefault="00265792" w:rsidP="006F6E7C">
            <w:pPr>
              <w:pStyle w:val="ARfintablebodyright"/>
            </w:pPr>
            <w:r>
              <w:t>–</w:t>
            </w:r>
          </w:p>
        </w:tc>
      </w:tr>
      <w:tr w:rsidR="00265792" w:rsidRPr="006F6E7C" w14:paraId="3772FA5B" w14:textId="77777777" w:rsidTr="00E6675F">
        <w:trPr>
          <w:trHeight w:val="255"/>
        </w:trPr>
        <w:tc>
          <w:tcPr>
            <w:tcW w:w="6663" w:type="dxa"/>
            <w:noWrap/>
            <w:hideMark/>
          </w:tcPr>
          <w:p w14:paraId="3334C157" w14:textId="25B58BEB" w:rsidR="00265792" w:rsidRPr="006F6E7C" w:rsidRDefault="00265792" w:rsidP="006F6E7C">
            <w:pPr>
              <w:pStyle w:val="ARfintablebody"/>
            </w:pPr>
            <w:r w:rsidRPr="006F6E7C">
              <w:t>$10,000</w:t>
            </w:r>
            <w:r>
              <w:t>–</w:t>
            </w:r>
            <w:r w:rsidRPr="006F6E7C">
              <w:t>$20,000</w:t>
            </w:r>
          </w:p>
        </w:tc>
        <w:tc>
          <w:tcPr>
            <w:tcW w:w="1484" w:type="dxa"/>
            <w:shd w:val="clear" w:color="auto" w:fill="EEEEEF" w:themeFill="accent4"/>
            <w:noWrap/>
            <w:hideMark/>
          </w:tcPr>
          <w:p w14:paraId="09E9E7CC" w14:textId="77777777" w:rsidR="00265792" w:rsidRPr="006F6E7C" w:rsidRDefault="00265792" w:rsidP="006F6E7C">
            <w:pPr>
              <w:pStyle w:val="ARfintablebodyright"/>
            </w:pPr>
            <w:r w:rsidRPr="006F6E7C">
              <w:t>1</w:t>
            </w:r>
          </w:p>
        </w:tc>
        <w:tc>
          <w:tcPr>
            <w:tcW w:w="1485" w:type="dxa"/>
            <w:noWrap/>
            <w:hideMark/>
          </w:tcPr>
          <w:p w14:paraId="6D6E31A2" w14:textId="77777777" w:rsidR="00265792" w:rsidRPr="006F6E7C" w:rsidRDefault="00265792" w:rsidP="006F6E7C">
            <w:pPr>
              <w:pStyle w:val="ARfintablebodyright"/>
            </w:pPr>
            <w:r w:rsidRPr="006F6E7C">
              <w:t>1</w:t>
            </w:r>
          </w:p>
        </w:tc>
      </w:tr>
      <w:tr w:rsidR="00265792" w:rsidRPr="006F6E7C" w14:paraId="2998C090" w14:textId="77777777" w:rsidTr="00E6675F">
        <w:trPr>
          <w:trHeight w:val="255"/>
        </w:trPr>
        <w:tc>
          <w:tcPr>
            <w:tcW w:w="6663" w:type="dxa"/>
            <w:noWrap/>
            <w:hideMark/>
          </w:tcPr>
          <w:p w14:paraId="50FB3B1E" w14:textId="70B3F8EA" w:rsidR="00265792" w:rsidRPr="006F6E7C" w:rsidRDefault="00265792" w:rsidP="006F6E7C">
            <w:pPr>
              <w:pStyle w:val="ARfintablebody"/>
            </w:pPr>
            <w:r w:rsidRPr="006F6E7C">
              <w:t>$610,000</w:t>
            </w:r>
            <w:r>
              <w:t>–</w:t>
            </w:r>
            <w:r w:rsidRPr="006F6E7C">
              <w:t>$620,000</w:t>
            </w:r>
          </w:p>
        </w:tc>
        <w:tc>
          <w:tcPr>
            <w:tcW w:w="1484" w:type="dxa"/>
            <w:shd w:val="clear" w:color="auto" w:fill="EEEEEF" w:themeFill="accent4"/>
            <w:noWrap/>
            <w:hideMark/>
          </w:tcPr>
          <w:p w14:paraId="5117C15E" w14:textId="77777777" w:rsidR="00265792" w:rsidRPr="006F6E7C" w:rsidRDefault="00265792" w:rsidP="006F6E7C">
            <w:pPr>
              <w:pStyle w:val="ARfintablebodyright"/>
            </w:pPr>
            <w:r>
              <w:t>–</w:t>
            </w:r>
          </w:p>
        </w:tc>
        <w:tc>
          <w:tcPr>
            <w:tcW w:w="1485" w:type="dxa"/>
            <w:noWrap/>
            <w:hideMark/>
          </w:tcPr>
          <w:p w14:paraId="17621A54" w14:textId="77777777" w:rsidR="00265792" w:rsidRPr="006F6E7C" w:rsidRDefault="00265792" w:rsidP="006F6E7C">
            <w:pPr>
              <w:pStyle w:val="ARfintablebodyright"/>
            </w:pPr>
            <w:r w:rsidRPr="006F6E7C">
              <w:t>1</w:t>
            </w:r>
          </w:p>
        </w:tc>
      </w:tr>
      <w:tr w:rsidR="00265792" w:rsidRPr="006F6E7C" w14:paraId="6CBC4C92" w14:textId="77777777" w:rsidTr="00E6675F">
        <w:trPr>
          <w:trHeight w:val="255"/>
        </w:trPr>
        <w:tc>
          <w:tcPr>
            <w:tcW w:w="6663" w:type="dxa"/>
            <w:noWrap/>
            <w:hideMark/>
          </w:tcPr>
          <w:p w14:paraId="6420290E" w14:textId="008B18F9" w:rsidR="00265792" w:rsidRPr="006F6E7C" w:rsidRDefault="00265792" w:rsidP="006F6E7C">
            <w:pPr>
              <w:pStyle w:val="ARfintablebody"/>
            </w:pPr>
            <w:r w:rsidRPr="006F6E7C">
              <w:t>$630,000</w:t>
            </w:r>
            <w:r>
              <w:t>–</w:t>
            </w:r>
            <w:r w:rsidRPr="006F6E7C">
              <w:t>$640,000</w:t>
            </w:r>
          </w:p>
        </w:tc>
        <w:tc>
          <w:tcPr>
            <w:tcW w:w="1484" w:type="dxa"/>
            <w:shd w:val="clear" w:color="auto" w:fill="EEEEEF" w:themeFill="accent4"/>
            <w:noWrap/>
            <w:hideMark/>
          </w:tcPr>
          <w:p w14:paraId="40D3E8A2" w14:textId="77777777" w:rsidR="00265792" w:rsidRPr="006F6E7C" w:rsidRDefault="00265792" w:rsidP="006F6E7C">
            <w:pPr>
              <w:pStyle w:val="ARfintablebodyright"/>
            </w:pPr>
            <w:r w:rsidRPr="006F6E7C">
              <w:t>1</w:t>
            </w:r>
          </w:p>
        </w:tc>
        <w:tc>
          <w:tcPr>
            <w:tcW w:w="1485" w:type="dxa"/>
            <w:noWrap/>
            <w:hideMark/>
          </w:tcPr>
          <w:p w14:paraId="1C9073EF" w14:textId="77777777" w:rsidR="00265792" w:rsidRPr="006F6E7C" w:rsidRDefault="00265792" w:rsidP="006F6E7C">
            <w:pPr>
              <w:pStyle w:val="ARfintablebodyright"/>
            </w:pPr>
            <w:r>
              <w:t>–</w:t>
            </w:r>
          </w:p>
        </w:tc>
      </w:tr>
      <w:tr w:rsidR="00265792" w:rsidRPr="006F6E7C" w14:paraId="4F6E7AB9" w14:textId="77777777" w:rsidTr="00E6675F">
        <w:trPr>
          <w:cnfStyle w:val="010000000000" w:firstRow="0" w:lastRow="1" w:firstColumn="0" w:lastColumn="0" w:oddVBand="0" w:evenVBand="0" w:oddHBand="0" w:evenHBand="0" w:firstRowFirstColumn="0" w:firstRowLastColumn="0" w:lastRowFirstColumn="0" w:lastRowLastColumn="0"/>
          <w:trHeight w:val="270"/>
        </w:trPr>
        <w:tc>
          <w:tcPr>
            <w:tcW w:w="6663" w:type="dxa"/>
            <w:noWrap/>
            <w:hideMark/>
          </w:tcPr>
          <w:p w14:paraId="0ED27873" w14:textId="77777777" w:rsidR="00265792" w:rsidRPr="006F6E7C" w:rsidRDefault="00265792" w:rsidP="0097752C">
            <w:pPr>
              <w:pStyle w:val="ARfintablebodybold"/>
            </w:pPr>
            <w:r w:rsidRPr="006F6E7C">
              <w:t>Total</w:t>
            </w:r>
          </w:p>
        </w:tc>
        <w:tc>
          <w:tcPr>
            <w:tcW w:w="1484" w:type="dxa"/>
            <w:shd w:val="clear" w:color="auto" w:fill="EEEEEF" w:themeFill="accent4"/>
            <w:noWrap/>
            <w:hideMark/>
          </w:tcPr>
          <w:p w14:paraId="3B638D8C" w14:textId="77777777" w:rsidR="00265792" w:rsidRPr="006F6E7C" w:rsidRDefault="00265792" w:rsidP="0097752C">
            <w:pPr>
              <w:pStyle w:val="ARfintablebodyrightbold"/>
            </w:pPr>
            <w:r w:rsidRPr="006F6E7C">
              <w:t>5</w:t>
            </w:r>
          </w:p>
        </w:tc>
        <w:tc>
          <w:tcPr>
            <w:tcW w:w="1485" w:type="dxa"/>
            <w:noWrap/>
            <w:hideMark/>
          </w:tcPr>
          <w:p w14:paraId="753A0F6B" w14:textId="77777777" w:rsidR="00265792" w:rsidRPr="006F6E7C" w:rsidRDefault="00265792" w:rsidP="0097752C">
            <w:pPr>
              <w:pStyle w:val="ARfintablebodyrightbold"/>
            </w:pPr>
            <w:r w:rsidRPr="006F6E7C">
              <w:t>2</w:t>
            </w:r>
          </w:p>
        </w:tc>
      </w:tr>
    </w:tbl>
    <w:p w14:paraId="5C66F8FA" w14:textId="77777777" w:rsidR="00265792" w:rsidRDefault="00265792" w:rsidP="006F6E7C">
      <w:pPr>
        <w:pStyle w:val="ARfintablefootnote"/>
        <w:rPr>
          <w:lang w:eastAsia="en-AU"/>
        </w:rPr>
      </w:pPr>
      <w:r>
        <w:rPr>
          <w:lang w:eastAsia="en-AU"/>
        </w:rPr>
        <w:t>Note:</w:t>
      </w:r>
    </w:p>
    <w:p w14:paraId="756A6CA1" w14:textId="77777777" w:rsidR="00265792" w:rsidRDefault="00265792" w:rsidP="006F6E7C">
      <w:pPr>
        <w:pStyle w:val="ARfintablefootnotetabindent"/>
      </w:pPr>
      <w:r>
        <w:t>(</w:t>
      </w:r>
      <w:proofErr w:type="spellStart"/>
      <w:r>
        <w:t>i</w:t>
      </w:r>
      <w:proofErr w:type="spellEnd"/>
      <w:r>
        <w:t xml:space="preserve">) </w:t>
      </w:r>
      <w:r>
        <w:tab/>
        <w:t>The Secretary (as the Accountable Officer) and Acting Secretary are included in the above tables.</w:t>
      </w:r>
      <w:r>
        <w:tab/>
      </w:r>
      <w:r>
        <w:br w:type="page"/>
      </w:r>
    </w:p>
    <w:p w14:paraId="0ED64637" w14:textId="77777777" w:rsidR="00265792" w:rsidRDefault="00265792" w:rsidP="006F6E7C">
      <w:pPr>
        <w:pStyle w:val="Heading5"/>
      </w:pPr>
      <w:r>
        <w:lastRenderedPageBreak/>
        <w:t>9.6 Remuneration of executives</w:t>
      </w:r>
    </w:p>
    <w:p w14:paraId="4D506AD8" w14:textId="586541AE" w:rsidR="00265792" w:rsidRDefault="00265792" w:rsidP="006F6E7C">
      <w:pPr>
        <w:pStyle w:val="ARfinbody"/>
      </w:pPr>
      <w:r>
        <w:t>The numbers of executive officers, other than Ministers and Accountable Officers, and their total remuneration during the</w:t>
      </w:r>
      <w:r w:rsidR="00C07BFC">
        <w:t> </w:t>
      </w:r>
      <w:r>
        <w:t>reporting period are shown in the table below. Total annualised employee equivalent provides a measure of full-time equivalent executive officers over the reporting period.</w:t>
      </w:r>
    </w:p>
    <w:p w14:paraId="211FC985" w14:textId="77777777" w:rsidR="00265792" w:rsidRDefault="00265792" w:rsidP="006F6E7C">
      <w:pPr>
        <w:pStyle w:val="ARfinbody"/>
      </w:pPr>
      <w:r>
        <w:t xml:space="preserve">Remuneration comprises employee benefits in all forms of consideration paid, payable or provided by the entity, or on behalf of the entity, in exchange for services rendered, and is disclosed in the following categories. </w:t>
      </w:r>
    </w:p>
    <w:p w14:paraId="5B82C01E" w14:textId="77777777" w:rsidR="00265792" w:rsidRDefault="00265792" w:rsidP="006F6E7C">
      <w:pPr>
        <w:pStyle w:val="ARfinbody"/>
      </w:pPr>
      <w:r w:rsidRPr="006F6E7C">
        <w:rPr>
          <w:rStyle w:val="Strong"/>
        </w:rPr>
        <w:t>Short-term employee benefits</w:t>
      </w:r>
      <w:r>
        <w:t xml:space="preserve"> include amounts such as wages, salaries, annual leave or sick leave that are usually paid or payable on a regular basis, as well as non-monetary benefits such as allowances and free or subsidised goods or services. </w:t>
      </w:r>
    </w:p>
    <w:p w14:paraId="42111FB5" w14:textId="77777777" w:rsidR="00265792" w:rsidRDefault="00265792" w:rsidP="006F6E7C">
      <w:pPr>
        <w:pStyle w:val="ARfinbody"/>
      </w:pPr>
      <w:r w:rsidRPr="006F6E7C">
        <w:rPr>
          <w:rStyle w:val="Strong"/>
        </w:rPr>
        <w:t>Post-employment benefits</w:t>
      </w:r>
      <w:r>
        <w:t xml:space="preserve"> include pensions and other retirement benefits paid or payable on a discrete basis when employment has ceased. </w:t>
      </w:r>
    </w:p>
    <w:p w14:paraId="25FA304E" w14:textId="77777777" w:rsidR="00265792" w:rsidRDefault="00265792" w:rsidP="006F6E7C">
      <w:pPr>
        <w:pStyle w:val="ARfinbody"/>
      </w:pPr>
      <w:r w:rsidRPr="006F6E7C">
        <w:rPr>
          <w:rStyle w:val="Strong"/>
        </w:rPr>
        <w:t>Other long-term benefits</w:t>
      </w:r>
      <w:r>
        <w:t xml:space="preserve"> include long service leave, other long service benefit or deferred compensation. </w:t>
      </w:r>
    </w:p>
    <w:p w14:paraId="0A1BFA1B" w14:textId="77777777" w:rsidR="00265792" w:rsidRDefault="00265792" w:rsidP="006F6E7C">
      <w:pPr>
        <w:pStyle w:val="ARfinbodylargespace"/>
      </w:pPr>
      <w:r w:rsidRPr="006F6E7C">
        <w:rPr>
          <w:rStyle w:val="Strong"/>
        </w:rPr>
        <w:t>Termination benefits</w:t>
      </w:r>
      <w:r>
        <w:t xml:space="preserve"> include termination of employment payments, such as severance packages.</w:t>
      </w:r>
    </w:p>
    <w:tbl>
      <w:tblPr>
        <w:tblStyle w:val="TableGrid"/>
        <w:tblW w:w="5000" w:type="pct"/>
        <w:tblLook w:val="04E0" w:firstRow="1" w:lastRow="1" w:firstColumn="1" w:lastColumn="0" w:noHBand="0" w:noVBand="1"/>
      </w:tblPr>
      <w:tblGrid>
        <w:gridCol w:w="6591"/>
        <w:gridCol w:w="1521"/>
        <w:gridCol w:w="1520"/>
      </w:tblGrid>
      <w:tr w:rsidR="00265792" w:rsidRPr="006F6E7C" w14:paraId="2FF6F647" w14:textId="77777777" w:rsidTr="00D32290">
        <w:trPr>
          <w:cnfStyle w:val="100000000000" w:firstRow="1" w:lastRow="0" w:firstColumn="0" w:lastColumn="0" w:oddVBand="0" w:evenVBand="0" w:oddHBand="0" w:evenHBand="0" w:firstRowFirstColumn="0" w:firstRowLastColumn="0" w:lastRowFirstColumn="0" w:lastRowLastColumn="0"/>
          <w:trHeight w:val="255"/>
        </w:trPr>
        <w:tc>
          <w:tcPr>
            <w:tcW w:w="6600" w:type="dxa"/>
            <w:tcBorders>
              <w:top w:val="nil"/>
              <w:bottom w:val="nil"/>
            </w:tcBorders>
            <w:hideMark/>
          </w:tcPr>
          <w:p w14:paraId="6E568225" w14:textId="77777777" w:rsidR="00265792" w:rsidRPr="006F6E7C" w:rsidRDefault="00265792" w:rsidP="006F6E7C">
            <w:pPr>
              <w:pStyle w:val="ARfintablecolhead"/>
            </w:pPr>
          </w:p>
        </w:tc>
        <w:tc>
          <w:tcPr>
            <w:tcW w:w="3032" w:type="dxa"/>
            <w:gridSpan w:val="2"/>
            <w:tcBorders>
              <w:top w:val="nil"/>
            </w:tcBorders>
            <w:noWrap/>
            <w:tcMar>
              <w:left w:w="113" w:type="dxa"/>
            </w:tcMar>
            <w:hideMark/>
          </w:tcPr>
          <w:p w14:paraId="07CBC952" w14:textId="77777777" w:rsidR="00265792" w:rsidRPr="006F6E7C" w:rsidRDefault="00265792" w:rsidP="006F6E7C">
            <w:pPr>
              <w:pStyle w:val="ARfintablecolheadcentre"/>
            </w:pPr>
            <w:r w:rsidRPr="006F6E7C">
              <w:t>Total remuneration</w:t>
            </w:r>
          </w:p>
        </w:tc>
      </w:tr>
      <w:tr w:rsidR="00265792" w:rsidRPr="006F6E7C" w14:paraId="1F1A454A" w14:textId="77777777" w:rsidTr="00E6675F">
        <w:trPr>
          <w:trHeight w:val="575"/>
        </w:trPr>
        <w:tc>
          <w:tcPr>
            <w:tcW w:w="6600" w:type="dxa"/>
            <w:tcBorders>
              <w:top w:val="nil"/>
              <w:bottom w:val="single" w:sz="4" w:space="0" w:color="000000" w:themeColor="text1"/>
            </w:tcBorders>
            <w:noWrap/>
            <w:hideMark/>
          </w:tcPr>
          <w:p w14:paraId="3052D112" w14:textId="77777777" w:rsidR="00265792" w:rsidRPr="006F6E7C" w:rsidRDefault="00265792" w:rsidP="006F6E7C">
            <w:pPr>
              <w:pStyle w:val="ARfintablecolhead"/>
            </w:pPr>
            <w:r w:rsidRPr="006F6E7C">
              <w:t xml:space="preserve">Remuneration of executive officers </w:t>
            </w:r>
          </w:p>
          <w:p w14:paraId="742B59C1" w14:textId="77777777" w:rsidR="00265792" w:rsidRPr="006F6E7C" w:rsidRDefault="00265792" w:rsidP="006F6E7C">
            <w:pPr>
              <w:pStyle w:val="ARfintablecolhead"/>
            </w:pPr>
            <w:r w:rsidRPr="006F6E7C">
              <w:t>(including key management personnel disclosed in Note 9.7)</w:t>
            </w:r>
          </w:p>
        </w:tc>
        <w:tc>
          <w:tcPr>
            <w:tcW w:w="1516" w:type="dxa"/>
            <w:tcBorders>
              <w:top w:val="single" w:sz="4" w:space="0" w:color="000000" w:themeColor="text1"/>
              <w:bottom w:val="single" w:sz="4" w:space="0" w:color="000000" w:themeColor="text1"/>
            </w:tcBorders>
            <w:shd w:val="clear" w:color="auto" w:fill="EEEEEF" w:themeFill="accent4"/>
            <w:noWrap/>
            <w:hideMark/>
          </w:tcPr>
          <w:p w14:paraId="3E1F467C" w14:textId="77777777" w:rsidR="00265792" w:rsidRPr="006F6E7C" w:rsidRDefault="00265792" w:rsidP="006F6E7C">
            <w:pPr>
              <w:pStyle w:val="ARfintablecolheadright"/>
            </w:pPr>
            <w:r w:rsidRPr="006F6E7C">
              <w:t>2025</w:t>
            </w:r>
          </w:p>
          <w:p w14:paraId="50DFE92C" w14:textId="77777777" w:rsidR="00265792" w:rsidRPr="006F6E7C" w:rsidRDefault="00265792" w:rsidP="006F6E7C">
            <w:pPr>
              <w:pStyle w:val="ARfintablecolheadright"/>
            </w:pPr>
            <w:r w:rsidRPr="006F6E7C">
              <w:t xml:space="preserve">$M </w:t>
            </w:r>
          </w:p>
        </w:tc>
        <w:tc>
          <w:tcPr>
            <w:tcW w:w="1516" w:type="dxa"/>
            <w:tcBorders>
              <w:top w:val="single" w:sz="4" w:space="0" w:color="000000" w:themeColor="text1"/>
              <w:bottom w:val="single" w:sz="4" w:space="0" w:color="000000" w:themeColor="text1"/>
            </w:tcBorders>
            <w:noWrap/>
            <w:hideMark/>
          </w:tcPr>
          <w:p w14:paraId="39012CEE" w14:textId="77777777" w:rsidR="00265792" w:rsidRPr="006F6E7C" w:rsidRDefault="00265792" w:rsidP="006F6E7C">
            <w:pPr>
              <w:pStyle w:val="ARfintablecolheadright"/>
            </w:pPr>
            <w:r w:rsidRPr="006F6E7C">
              <w:t>2024</w:t>
            </w:r>
          </w:p>
          <w:p w14:paraId="7D25682B" w14:textId="77777777" w:rsidR="00265792" w:rsidRPr="006F6E7C" w:rsidRDefault="00265792" w:rsidP="006F6E7C">
            <w:pPr>
              <w:pStyle w:val="ARfintablecolheadright"/>
            </w:pPr>
            <w:r w:rsidRPr="006F6E7C">
              <w:t>$M</w:t>
            </w:r>
          </w:p>
        </w:tc>
      </w:tr>
      <w:tr w:rsidR="00265792" w:rsidRPr="006F6E7C" w14:paraId="7402206A" w14:textId="77777777" w:rsidTr="00E6675F">
        <w:trPr>
          <w:trHeight w:val="300"/>
        </w:trPr>
        <w:tc>
          <w:tcPr>
            <w:tcW w:w="6600" w:type="dxa"/>
            <w:tcBorders>
              <w:top w:val="single" w:sz="4" w:space="0" w:color="000000" w:themeColor="text1"/>
              <w:bottom w:val="single" w:sz="4" w:space="0" w:color="A6A6A6" w:themeColor="accent5"/>
            </w:tcBorders>
            <w:noWrap/>
            <w:hideMark/>
          </w:tcPr>
          <w:p w14:paraId="4DE0F189" w14:textId="77777777" w:rsidR="00265792" w:rsidRPr="006F6E7C" w:rsidRDefault="00265792" w:rsidP="006F6E7C">
            <w:pPr>
              <w:pStyle w:val="ARfintablebody"/>
            </w:pPr>
            <w:r w:rsidRPr="006F6E7C">
              <w:t>Short-term employee benefits</w:t>
            </w:r>
          </w:p>
        </w:tc>
        <w:tc>
          <w:tcPr>
            <w:tcW w:w="1516" w:type="dxa"/>
            <w:tcBorders>
              <w:top w:val="single" w:sz="4" w:space="0" w:color="000000" w:themeColor="text1"/>
              <w:bottom w:val="single" w:sz="4" w:space="0" w:color="A6A6A6" w:themeColor="accent5"/>
            </w:tcBorders>
            <w:shd w:val="clear" w:color="auto" w:fill="EEEEEF" w:themeFill="accent4"/>
            <w:noWrap/>
            <w:hideMark/>
          </w:tcPr>
          <w:p w14:paraId="499F03D0" w14:textId="77777777" w:rsidR="00265792" w:rsidRPr="006F6E7C" w:rsidRDefault="00265792" w:rsidP="006F6E7C">
            <w:pPr>
              <w:pStyle w:val="ARfintablebodyright"/>
            </w:pPr>
            <w:r w:rsidRPr="006F6E7C">
              <w:t>48.3</w:t>
            </w:r>
          </w:p>
        </w:tc>
        <w:tc>
          <w:tcPr>
            <w:tcW w:w="1516" w:type="dxa"/>
            <w:tcBorders>
              <w:top w:val="single" w:sz="4" w:space="0" w:color="000000" w:themeColor="text1"/>
              <w:bottom w:val="single" w:sz="4" w:space="0" w:color="A6A6A6" w:themeColor="accent5"/>
            </w:tcBorders>
            <w:noWrap/>
            <w:hideMark/>
          </w:tcPr>
          <w:p w14:paraId="746223BE" w14:textId="77777777" w:rsidR="00265792" w:rsidRPr="006F6E7C" w:rsidRDefault="00265792" w:rsidP="006F6E7C">
            <w:pPr>
              <w:pStyle w:val="ARfintablebodyright"/>
            </w:pPr>
            <w:r w:rsidRPr="006F6E7C">
              <w:t>46.5</w:t>
            </w:r>
          </w:p>
        </w:tc>
      </w:tr>
      <w:tr w:rsidR="00265792" w:rsidRPr="006F6E7C" w14:paraId="4379EB15" w14:textId="77777777" w:rsidTr="00E6675F">
        <w:trPr>
          <w:trHeight w:val="255"/>
        </w:trPr>
        <w:tc>
          <w:tcPr>
            <w:tcW w:w="6600" w:type="dxa"/>
            <w:tcBorders>
              <w:top w:val="single" w:sz="4" w:space="0" w:color="A6A6A6" w:themeColor="accent5"/>
            </w:tcBorders>
            <w:noWrap/>
            <w:hideMark/>
          </w:tcPr>
          <w:p w14:paraId="10A26E08" w14:textId="77777777" w:rsidR="00265792" w:rsidRPr="006F6E7C" w:rsidRDefault="00265792" w:rsidP="006F6E7C">
            <w:pPr>
              <w:pStyle w:val="ARfintablebody"/>
            </w:pPr>
            <w:r w:rsidRPr="006F6E7C">
              <w:t>Post-employment benefits</w:t>
            </w:r>
          </w:p>
        </w:tc>
        <w:tc>
          <w:tcPr>
            <w:tcW w:w="1516" w:type="dxa"/>
            <w:tcBorders>
              <w:top w:val="single" w:sz="4" w:space="0" w:color="A6A6A6" w:themeColor="accent5"/>
            </w:tcBorders>
            <w:shd w:val="clear" w:color="auto" w:fill="EEEEEF" w:themeFill="accent4"/>
            <w:noWrap/>
            <w:hideMark/>
          </w:tcPr>
          <w:p w14:paraId="4263F58F" w14:textId="77777777" w:rsidR="00265792" w:rsidRPr="006F6E7C" w:rsidRDefault="00265792" w:rsidP="006F6E7C">
            <w:pPr>
              <w:pStyle w:val="ARfintablebodyright"/>
            </w:pPr>
            <w:r w:rsidRPr="006F6E7C">
              <w:t>5.0</w:t>
            </w:r>
          </w:p>
        </w:tc>
        <w:tc>
          <w:tcPr>
            <w:tcW w:w="1516" w:type="dxa"/>
            <w:tcBorders>
              <w:top w:val="single" w:sz="4" w:space="0" w:color="A6A6A6" w:themeColor="accent5"/>
            </w:tcBorders>
            <w:noWrap/>
            <w:hideMark/>
          </w:tcPr>
          <w:p w14:paraId="0FD041D3" w14:textId="77777777" w:rsidR="00265792" w:rsidRPr="006F6E7C" w:rsidRDefault="00265792" w:rsidP="006F6E7C">
            <w:pPr>
              <w:pStyle w:val="ARfintablebodyright"/>
            </w:pPr>
            <w:r w:rsidRPr="006F6E7C">
              <w:t>4.5</w:t>
            </w:r>
          </w:p>
        </w:tc>
      </w:tr>
      <w:tr w:rsidR="00265792" w:rsidRPr="006F6E7C" w14:paraId="6CC961B6" w14:textId="77777777" w:rsidTr="00E6675F">
        <w:trPr>
          <w:trHeight w:val="255"/>
        </w:trPr>
        <w:tc>
          <w:tcPr>
            <w:tcW w:w="6600" w:type="dxa"/>
            <w:noWrap/>
            <w:hideMark/>
          </w:tcPr>
          <w:p w14:paraId="373C5DA5" w14:textId="77777777" w:rsidR="00265792" w:rsidRPr="006F6E7C" w:rsidRDefault="00265792" w:rsidP="006F6E7C">
            <w:pPr>
              <w:pStyle w:val="ARfintablebody"/>
            </w:pPr>
            <w:r w:rsidRPr="006F6E7C">
              <w:t>Other long-term benefits</w:t>
            </w:r>
          </w:p>
        </w:tc>
        <w:tc>
          <w:tcPr>
            <w:tcW w:w="1516" w:type="dxa"/>
            <w:shd w:val="clear" w:color="auto" w:fill="EEEEEF" w:themeFill="accent4"/>
            <w:noWrap/>
            <w:hideMark/>
          </w:tcPr>
          <w:p w14:paraId="21E154B1" w14:textId="77777777" w:rsidR="00265792" w:rsidRPr="006F6E7C" w:rsidRDefault="00265792" w:rsidP="006F6E7C">
            <w:pPr>
              <w:pStyle w:val="ARfintablebodyright"/>
            </w:pPr>
            <w:r w:rsidRPr="006F6E7C">
              <w:t>1.2</w:t>
            </w:r>
          </w:p>
        </w:tc>
        <w:tc>
          <w:tcPr>
            <w:tcW w:w="1516" w:type="dxa"/>
            <w:noWrap/>
            <w:hideMark/>
          </w:tcPr>
          <w:p w14:paraId="5C7AC44B" w14:textId="77777777" w:rsidR="00265792" w:rsidRPr="006F6E7C" w:rsidRDefault="00265792" w:rsidP="006F6E7C">
            <w:pPr>
              <w:pStyle w:val="ARfintablebodyright"/>
            </w:pPr>
            <w:r w:rsidRPr="006F6E7C">
              <w:t>1.3</w:t>
            </w:r>
          </w:p>
        </w:tc>
      </w:tr>
      <w:tr w:rsidR="00265792" w:rsidRPr="006F6E7C" w14:paraId="3D5E8719" w14:textId="77777777" w:rsidTr="000745C2">
        <w:trPr>
          <w:trHeight w:val="255"/>
        </w:trPr>
        <w:tc>
          <w:tcPr>
            <w:tcW w:w="6600" w:type="dxa"/>
            <w:tcBorders>
              <w:bottom w:val="single" w:sz="4" w:space="0" w:color="A6A6A6" w:themeColor="accent5"/>
            </w:tcBorders>
            <w:noWrap/>
            <w:hideMark/>
          </w:tcPr>
          <w:p w14:paraId="04B6759D" w14:textId="77777777" w:rsidR="00265792" w:rsidRPr="006F6E7C" w:rsidRDefault="00265792" w:rsidP="006F6E7C">
            <w:pPr>
              <w:pStyle w:val="ARfintablebody"/>
            </w:pPr>
            <w:r w:rsidRPr="006F6E7C">
              <w:t>Termination benefits</w:t>
            </w:r>
          </w:p>
        </w:tc>
        <w:tc>
          <w:tcPr>
            <w:tcW w:w="1516" w:type="dxa"/>
            <w:tcBorders>
              <w:bottom w:val="single" w:sz="4" w:space="0" w:color="A6A6A6" w:themeColor="accent5"/>
            </w:tcBorders>
            <w:shd w:val="clear" w:color="auto" w:fill="EEEEEF" w:themeFill="accent4"/>
            <w:noWrap/>
            <w:hideMark/>
          </w:tcPr>
          <w:p w14:paraId="66CAAA20" w14:textId="77777777" w:rsidR="00265792" w:rsidRPr="006F6E7C" w:rsidRDefault="00265792" w:rsidP="006F6E7C">
            <w:pPr>
              <w:pStyle w:val="ARfintablebodyright"/>
            </w:pPr>
            <w:r w:rsidRPr="006F6E7C">
              <w:t>0.5</w:t>
            </w:r>
          </w:p>
        </w:tc>
        <w:tc>
          <w:tcPr>
            <w:tcW w:w="1516" w:type="dxa"/>
            <w:tcBorders>
              <w:bottom w:val="single" w:sz="4" w:space="0" w:color="A6A6A6" w:themeColor="accent5"/>
            </w:tcBorders>
            <w:noWrap/>
            <w:hideMark/>
          </w:tcPr>
          <w:p w14:paraId="07ED8045" w14:textId="77777777" w:rsidR="00265792" w:rsidRPr="006F6E7C" w:rsidRDefault="00265792" w:rsidP="006F6E7C">
            <w:pPr>
              <w:pStyle w:val="ARfintablebodyright"/>
            </w:pPr>
            <w:r w:rsidRPr="006F6E7C">
              <w:t>5.2</w:t>
            </w:r>
          </w:p>
        </w:tc>
      </w:tr>
      <w:tr w:rsidR="00265792" w:rsidRPr="006F6E7C" w14:paraId="323D8414" w14:textId="77777777" w:rsidTr="000745C2">
        <w:trPr>
          <w:trHeight w:val="300"/>
        </w:trPr>
        <w:tc>
          <w:tcPr>
            <w:tcW w:w="6600" w:type="dxa"/>
            <w:tcBorders>
              <w:top w:val="single" w:sz="4" w:space="0" w:color="A6A6A6" w:themeColor="accent5"/>
              <w:bottom w:val="single" w:sz="4" w:space="0" w:color="auto"/>
            </w:tcBorders>
            <w:noWrap/>
            <w:hideMark/>
          </w:tcPr>
          <w:p w14:paraId="6E718E1D" w14:textId="77777777" w:rsidR="00265792" w:rsidRPr="006F6E7C" w:rsidRDefault="00265792" w:rsidP="000745C2">
            <w:pPr>
              <w:pStyle w:val="ARfintablebodybold"/>
            </w:pPr>
            <w:r w:rsidRPr="006F6E7C">
              <w:t>Total remuneration</w:t>
            </w:r>
            <w:r w:rsidRPr="006F6E7C">
              <w:rPr>
                <w:vertAlign w:val="superscript"/>
              </w:rPr>
              <w:t xml:space="preserve"> (</w:t>
            </w:r>
            <w:proofErr w:type="spellStart"/>
            <w:r w:rsidRPr="006F6E7C">
              <w:rPr>
                <w:vertAlign w:val="superscript"/>
              </w:rPr>
              <w:t>i</w:t>
            </w:r>
            <w:proofErr w:type="spellEnd"/>
            <w:r w:rsidRPr="006F6E7C">
              <w:rPr>
                <w:vertAlign w:val="superscript"/>
              </w:rPr>
              <w:t>)</w:t>
            </w:r>
          </w:p>
        </w:tc>
        <w:tc>
          <w:tcPr>
            <w:tcW w:w="1516" w:type="dxa"/>
            <w:tcBorders>
              <w:top w:val="single" w:sz="4" w:space="0" w:color="A6A6A6" w:themeColor="accent5"/>
              <w:bottom w:val="single" w:sz="4" w:space="0" w:color="auto"/>
            </w:tcBorders>
            <w:shd w:val="clear" w:color="auto" w:fill="EEEEEF" w:themeFill="accent4"/>
            <w:noWrap/>
            <w:hideMark/>
          </w:tcPr>
          <w:p w14:paraId="1565EC0B" w14:textId="77777777" w:rsidR="00265792" w:rsidRPr="006F6E7C" w:rsidRDefault="00265792" w:rsidP="000745C2">
            <w:pPr>
              <w:pStyle w:val="ARfintablebodyrightbold"/>
            </w:pPr>
            <w:r w:rsidRPr="006F6E7C">
              <w:t>55.0</w:t>
            </w:r>
          </w:p>
        </w:tc>
        <w:tc>
          <w:tcPr>
            <w:tcW w:w="1516" w:type="dxa"/>
            <w:tcBorders>
              <w:top w:val="single" w:sz="4" w:space="0" w:color="A6A6A6" w:themeColor="accent5"/>
              <w:bottom w:val="single" w:sz="4" w:space="0" w:color="auto"/>
            </w:tcBorders>
            <w:noWrap/>
            <w:hideMark/>
          </w:tcPr>
          <w:p w14:paraId="021D1F11" w14:textId="77777777" w:rsidR="00265792" w:rsidRPr="006F6E7C" w:rsidRDefault="00265792" w:rsidP="000745C2">
            <w:pPr>
              <w:pStyle w:val="ARfintablebodyrightbold"/>
            </w:pPr>
            <w:r w:rsidRPr="006F6E7C">
              <w:t>57.5</w:t>
            </w:r>
          </w:p>
        </w:tc>
      </w:tr>
      <w:tr w:rsidR="00265792" w:rsidRPr="006F6E7C" w14:paraId="70E1025A" w14:textId="77777777" w:rsidTr="000745C2">
        <w:trPr>
          <w:trHeight w:val="315"/>
        </w:trPr>
        <w:tc>
          <w:tcPr>
            <w:tcW w:w="6600" w:type="dxa"/>
            <w:tcBorders>
              <w:top w:val="single" w:sz="4" w:space="0" w:color="auto"/>
              <w:bottom w:val="single" w:sz="4" w:space="0" w:color="000000" w:themeColor="text1"/>
            </w:tcBorders>
            <w:noWrap/>
            <w:hideMark/>
          </w:tcPr>
          <w:p w14:paraId="7D00AFE2" w14:textId="77777777" w:rsidR="00265792" w:rsidRPr="006F6E7C" w:rsidRDefault="00265792" w:rsidP="000745C2">
            <w:pPr>
              <w:pStyle w:val="ARfintablebodybold"/>
            </w:pPr>
            <w:r w:rsidRPr="006F6E7C">
              <w:t xml:space="preserve">Total number of executives </w:t>
            </w:r>
            <w:r w:rsidRPr="006F6E7C">
              <w:rPr>
                <w:vertAlign w:val="superscript"/>
              </w:rPr>
              <w:t>(</w:t>
            </w:r>
            <w:proofErr w:type="spellStart"/>
            <w:r w:rsidRPr="006F6E7C">
              <w:rPr>
                <w:vertAlign w:val="superscript"/>
              </w:rPr>
              <w:t>i</w:t>
            </w:r>
            <w:proofErr w:type="spellEnd"/>
            <w:r w:rsidRPr="006F6E7C">
              <w:rPr>
                <w:vertAlign w:val="superscript"/>
              </w:rPr>
              <w:t>)</w:t>
            </w:r>
          </w:p>
        </w:tc>
        <w:tc>
          <w:tcPr>
            <w:tcW w:w="1516" w:type="dxa"/>
            <w:tcBorders>
              <w:top w:val="single" w:sz="4" w:space="0" w:color="auto"/>
              <w:bottom w:val="single" w:sz="4" w:space="0" w:color="000000" w:themeColor="text1"/>
            </w:tcBorders>
            <w:shd w:val="clear" w:color="auto" w:fill="EEEEEF" w:themeFill="accent4"/>
            <w:noWrap/>
            <w:hideMark/>
          </w:tcPr>
          <w:p w14:paraId="1E685FEC" w14:textId="77777777" w:rsidR="00265792" w:rsidRPr="006F6E7C" w:rsidRDefault="00265792" w:rsidP="000745C2">
            <w:pPr>
              <w:pStyle w:val="ARfintablebodyrightbold"/>
            </w:pPr>
            <w:r w:rsidRPr="006F6E7C">
              <w:t>216</w:t>
            </w:r>
          </w:p>
        </w:tc>
        <w:tc>
          <w:tcPr>
            <w:tcW w:w="1516" w:type="dxa"/>
            <w:tcBorders>
              <w:top w:val="single" w:sz="4" w:space="0" w:color="auto"/>
              <w:bottom w:val="single" w:sz="4" w:space="0" w:color="000000" w:themeColor="text1"/>
            </w:tcBorders>
            <w:noWrap/>
            <w:hideMark/>
          </w:tcPr>
          <w:p w14:paraId="2534AD17" w14:textId="77777777" w:rsidR="00265792" w:rsidRPr="006F6E7C" w:rsidRDefault="00265792" w:rsidP="000745C2">
            <w:pPr>
              <w:pStyle w:val="ARfintablebodyrightbold"/>
            </w:pPr>
            <w:r w:rsidRPr="006F6E7C">
              <w:t>256</w:t>
            </w:r>
          </w:p>
        </w:tc>
      </w:tr>
      <w:tr w:rsidR="00265792" w:rsidRPr="006F6E7C" w14:paraId="317A18D4" w14:textId="77777777" w:rsidTr="000745C2">
        <w:trPr>
          <w:cnfStyle w:val="010000000000" w:firstRow="0" w:lastRow="1" w:firstColumn="0" w:lastColumn="0" w:oddVBand="0" w:evenVBand="0" w:oddHBand="0" w:evenHBand="0" w:firstRowFirstColumn="0" w:firstRowLastColumn="0" w:lastRowFirstColumn="0" w:lastRowLastColumn="0"/>
          <w:trHeight w:val="345"/>
        </w:trPr>
        <w:tc>
          <w:tcPr>
            <w:tcW w:w="6600" w:type="dxa"/>
            <w:hideMark/>
          </w:tcPr>
          <w:p w14:paraId="03241CFA" w14:textId="77777777" w:rsidR="00265792" w:rsidRPr="006F6E7C" w:rsidRDefault="00265792" w:rsidP="000745C2">
            <w:pPr>
              <w:pStyle w:val="ARfintablebodybold"/>
            </w:pPr>
            <w:r w:rsidRPr="006F6E7C">
              <w:t xml:space="preserve">Total annualised employee equivalent (AEE) </w:t>
            </w:r>
            <w:r w:rsidRPr="006F6E7C">
              <w:rPr>
                <w:vertAlign w:val="superscript"/>
              </w:rPr>
              <w:t>(</w:t>
            </w:r>
            <w:proofErr w:type="spellStart"/>
            <w:r w:rsidRPr="006F6E7C">
              <w:rPr>
                <w:vertAlign w:val="superscript"/>
              </w:rPr>
              <w:t>i</w:t>
            </w:r>
            <w:proofErr w:type="spellEnd"/>
            <w:r w:rsidRPr="006F6E7C">
              <w:rPr>
                <w:vertAlign w:val="superscript"/>
              </w:rPr>
              <w:t>)(ii)</w:t>
            </w:r>
          </w:p>
        </w:tc>
        <w:tc>
          <w:tcPr>
            <w:tcW w:w="1516" w:type="dxa"/>
            <w:shd w:val="clear" w:color="auto" w:fill="EEEEEF" w:themeFill="accent4"/>
            <w:noWrap/>
            <w:hideMark/>
          </w:tcPr>
          <w:p w14:paraId="1B78540D" w14:textId="77777777" w:rsidR="00265792" w:rsidRPr="006F6E7C" w:rsidRDefault="00265792" w:rsidP="000745C2">
            <w:pPr>
              <w:pStyle w:val="ARfintablebodyrightbold"/>
            </w:pPr>
            <w:r w:rsidRPr="006F6E7C">
              <w:t>196.1</w:t>
            </w:r>
          </w:p>
        </w:tc>
        <w:tc>
          <w:tcPr>
            <w:tcW w:w="1516" w:type="dxa"/>
            <w:noWrap/>
            <w:hideMark/>
          </w:tcPr>
          <w:p w14:paraId="723D3729" w14:textId="77777777" w:rsidR="00265792" w:rsidRPr="006F6E7C" w:rsidRDefault="00265792" w:rsidP="000745C2">
            <w:pPr>
              <w:pStyle w:val="ARfintablebodyrightbold"/>
            </w:pPr>
            <w:r w:rsidRPr="006F6E7C">
              <w:t>193.4</w:t>
            </w:r>
          </w:p>
        </w:tc>
      </w:tr>
    </w:tbl>
    <w:p w14:paraId="34175D73" w14:textId="77777777" w:rsidR="00265792" w:rsidRDefault="00265792" w:rsidP="00E6675F">
      <w:pPr>
        <w:pStyle w:val="ARfintablefootnote"/>
      </w:pPr>
      <w:r>
        <w:t>Notes:</w:t>
      </w:r>
    </w:p>
    <w:p w14:paraId="7F68D5D9" w14:textId="77777777" w:rsidR="00265792" w:rsidRDefault="00265792" w:rsidP="00E6675F">
      <w:pPr>
        <w:pStyle w:val="ARfintablefootnotetabindent"/>
      </w:pPr>
      <w:r>
        <w:t>(</w:t>
      </w:r>
      <w:proofErr w:type="spellStart"/>
      <w:r>
        <w:t>i</w:t>
      </w:r>
      <w:proofErr w:type="spellEnd"/>
      <w:r>
        <w:t xml:space="preserve">) </w:t>
      </w:r>
      <w:r>
        <w:tab/>
        <w:t>Total figures for 2023–24 and 2024–25 include the remuneration of the Chief Finance Officer (CFO) who delivered services, as an executive officer to the department but is employed by the Department of Treasury and Finance.</w:t>
      </w:r>
    </w:p>
    <w:p w14:paraId="73E0D433" w14:textId="77777777" w:rsidR="00265792" w:rsidRDefault="00265792" w:rsidP="00E6675F">
      <w:pPr>
        <w:pStyle w:val="ARfintablefootnotetabindent"/>
      </w:pPr>
      <w:r>
        <w:t xml:space="preserve">(ii) </w:t>
      </w:r>
      <w:r>
        <w:tab/>
        <w:t>Annualised employee equivalent is based on the time fraction worked over the reporting period.</w:t>
      </w:r>
    </w:p>
    <w:p w14:paraId="133997CD" w14:textId="77777777" w:rsidR="00265792" w:rsidRDefault="00265792" w:rsidP="004F0B78">
      <w:pPr>
        <w:pStyle w:val="Heading5"/>
      </w:pPr>
      <w:r>
        <w:t>9.7 Related parties</w:t>
      </w:r>
    </w:p>
    <w:p w14:paraId="23813CE9" w14:textId="77777777" w:rsidR="00265792" w:rsidRDefault="00265792" w:rsidP="007D686C">
      <w:pPr>
        <w:pStyle w:val="ARfinbody"/>
      </w:pPr>
      <w:r>
        <w:t>The department is a wholly owned and controlled entity of the State of Victoria.</w:t>
      </w:r>
    </w:p>
    <w:p w14:paraId="300A7B48" w14:textId="77777777" w:rsidR="00265792" w:rsidRDefault="00265792" w:rsidP="007D686C">
      <w:pPr>
        <w:pStyle w:val="ARfinbody"/>
      </w:pPr>
      <w:r>
        <w:t xml:space="preserve">The following entities have been included into the department's financial statements pursuant to the determination made by the Minister for Finance under s. 53(1)(b) of the </w:t>
      </w:r>
      <w:r w:rsidRPr="00E15716">
        <w:rPr>
          <w:rStyle w:val="Emphasis"/>
        </w:rPr>
        <w:t>Financial Management Act 1994</w:t>
      </w:r>
      <w:r>
        <w:t>:</w:t>
      </w:r>
    </w:p>
    <w:p w14:paraId="1D283B52" w14:textId="77777777" w:rsidR="00265792" w:rsidRDefault="00265792" w:rsidP="007D686C">
      <w:pPr>
        <w:pStyle w:val="ARfinbullet1"/>
      </w:pPr>
      <w:r>
        <w:t>Commission for Children and Young People</w:t>
      </w:r>
    </w:p>
    <w:p w14:paraId="2B787B2D" w14:textId="77777777" w:rsidR="00265792" w:rsidRDefault="00265792" w:rsidP="007D686C">
      <w:pPr>
        <w:pStyle w:val="ARfinbullet1"/>
      </w:pPr>
      <w:r>
        <w:t xml:space="preserve">Homes Victoria </w:t>
      </w:r>
    </w:p>
    <w:p w14:paraId="481A44A4" w14:textId="77777777" w:rsidR="00265792" w:rsidRDefault="00265792" w:rsidP="007D686C">
      <w:pPr>
        <w:pStyle w:val="ARfinbullet1"/>
      </w:pPr>
      <w:r>
        <w:t>Disability Worker Registration Board</w:t>
      </w:r>
    </w:p>
    <w:p w14:paraId="32C81282" w14:textId="77777777" w:rsidR="00265792" w:rsidRDefault="00265792" w:rsidP="007D686C">
      <w:pPr>
        <w:pStyle w:val="ARfinbullet1"/>
      </w:pPr>
      <w:r>
        <w:t xml:space="preserve">Victorian Disability Worker Commission </w:t>
      </w:r>
    </w:p>
    <w:p w14:paraId="407AD147" w14:textId="77777777" w:rsidR="00265792" w:rsidRDefault="00265792" w:rsidP="007D686C">
      <w:pPr>
        <w:pStyle w:val="ARfinbullet1"/>
      </w:pPr>
      <w:r>
        <w:t>Respect Victoria</w:t>
      </w:r>
    </w:p>
    <w:p w14:paraId="42BB78A5" w14:textId="77777777" w:rsidR="00265792" w:rsidRDefault="00265792" w:rsidP="007D686C">
      <w:pPr>
        <w:pStyle w:val="ARfinbullet1"/>
      </w:pPr>
      <w:r>
        <w:t>Victorian Veterans Council</w:t>
      </w:r>
    </w:p>
    <w:p w14:paraId="2D102257" w14:textId="55911159" w:rsidR="00265792" w:rsidRDefault="00265792" w:rsidP="007D686C">
      <w:pPr>
        <w:pStyle w:val="ARfinbullet1"/>
      </w:pPr>
      <w:r>
        <w:t>Social Services Regulator (from 1 July 2024)</w:t>
      </w:r>
      <w:r w:rsidR="00E66020">
        <w:t>.</w:t>
      </w:r>
    </w:p>
    <w:p w14:paraId="5F02399F" w14:textId="77777777" w:rsidR="00265792" w:rsidRDefault="00265792" w:rsidP="007D686C">
      <w:pPr>
        <w:pStyle w:val="ARfinbody"/>
      </w:pPr>
      <w:r>
        <w:t>Related parties of the department and the abovementioned administrative offices and entities include:</w:t>
      </w:r>
    </w:p>
    <w:p w14:paraId="736976AE" w14:textId="77777777" w:rsidR="00265792" w:rsidRDefault="00265792" w:rsidP="007D686C">
      <w:pPr>
        <w:pStyle w:val="ARfinbullet1"/>
      </w:pPr>
      <w:r>
        <w:t>all key management personnel and their close family members and personal business interests (controlled entities, joint ventures and entities they have significant influence over)</w:t>
      </w:r>
    </w:p>
    <w:p w14:paraId="2FFADCF6" w14:textId="77777777" w:rsidR="00265792" w:rsidRDefault="00265792" w:rsidP="007D686C">
      <w:pPr>
        <w:pStyle w:val="ARfinbullet1"/>
      </w:pPr>
      <w:r>
        <w:t>all cabinet ministers and their close family members</w:t>
      </w:r>
    </w:p>
    <w:p w14:paraId="45FB84A3" w14:textId="77777777" w:rsidR="00265792" w:rsidRDefault="00265792" w:rsidP="007D686C">
      <w:pPr>
        <w:pStyle w:val="ARfinbullet1"/>
      </w:pPr>
      <w:r>
        <w:t>all departments and public sector entities that are controlled and consolidated into the whole of state consolidated financial statements.</w:t>
      </w:r>
    </w:p>
    <w:p w14:paraId="5D1C2EB0" w14:textId="77777777" w:rsidR="00265792" w:rsidRDefault="00265792" w:rsidP="007D686C">
      <w:pPr>
        <w:pStyle w:val="ARfinbody"/>
      </w:pPr>
      <w:r>
        <w:t>All related party transactions have been entered into on an arm's length basis.</w:t>
      </w:r>
    </w:p>
    <w:p w14:paraId="1D380F19" w14:textId="77777777" w:rsidR="00265792" w:rsidRDefault="00265792" w:rsidP="000275CD">
      <w:pPr>
        <w:pStyle w:val="Heading6"/>
      </w:pPr>
      <w:r>
        <w:t>Significant transactions with government-related entities</w:t>
      </w:r>
    </w:p>
    <w:p w14:paraId="0AA800E9" w14:textId="77777777" w:rsidR="00265792" w:rsidRDefault="00265792" w:rsidP="007D686C">
      <w:pPr>
        <w:pStyle w:val="ARfinbody"/>
      </w:pPr>
      <w:r>
        <w:t>The department received funding and made payments to the Consolidated Fund of $285.3 million (2024: $418.2 million) and $4,952.9 million (2024: $4,278.6 million) respectively.</w:t>
      </w:r>
    </w:p>
    <w:p w14:paraId="6A37A16A" w14:textId="77777777" w:rsidR="00265792" w:rsidRDefault="00265792" w:rsidP="007D686C">
      <w:pPr>
        <w:pStyle w:val="ARfinbody"/>
      </w:pPr>
      <w:r>
        <w:t>Refer to Note 2.4.2 and 3.1.2 for other government-related entity transactions.</w:t>
      </w:r>
    </w:p>
    <w:p w14:paraId="7338573E" w14:textId="77777777" w:rsidR="00265792" w:rsidRDefault="00265792" w:rsidP="000275CD">
      <w:pPr>
        <w:pStyle w:val="Heading6"/>
      </w:pPr>
      <w:r>
        <w:lastRenderedPageBreak/>
        <w:t>Key management personnel</w:t>
      </w:r>
    </w:p>
    <w:p w14:paraId="5377C967" w14:textId="77777777" w:rsidR="00265792" w:rsidRDefault="00265792" w:rsidP="00F87B04">
      <w:pPr>
        <w:pStyle w:val="ARfinbodylargespace"/>
      </w:pPr>
      <w:r w:rsidRPr="002C7359">
        <w:rPr>
          <w:b/>
        </w:rPr>
        <w:t>Key management personnel</w:t>
      </w:r>
      <w:r>
        <w:t xml:space="preserve"> of the department include the Portfolio Ministers: Hon. Harriet Shing, The Hon. Natalie Hutchins, Hon. Lizzie Blandthorn, The Hon. Ros Spence, The Hon. Ben Carroll, The Hon. Gabrielle Williams, The Hon. Vicki Ward, Ingrid Stitt MP, Hon. Natalie Suleyman, Secretary Peta McCammon and members of the senior executive team, which includes:</w:t>
      </w:r>
    </w:p>
    <w:tbl>
      <w:tblPr>
        <w:tblStyle w:val="TableGrid"/>
        <w:tblW w:w="0" w:type="auto"/>
        <w:tblLook w:val="04E0" w:firstRow="1" w:lastRow="1" w:firstColumn="1" w:lastColumn="0" w:noHBand="0" w:noVBand="1"/>
      </w:tblPr>
      <w:tblGrid>
        <w:gridCol w:w="2411"/>
        <w:gridCol w:w="1846"/>
        <w:gridCol w:w="2690"/>
        <w:gridCol w:w="2685"/>
      </w:tblGrid>
      <w:tr w:rsidR="00265792" w:rsidRPr="00F87B04" w14:paraId="2E1E46F0" w14:textId="77777777" w:rsidTr="005949D6">
        <w:trPr>
          <w:cnfStyle w:val="100000000000" w:firstRow="1" w:lastRow="0" w:firstColumn="0" w:lastColumn="0" w:oddVBand="0" w:evenVBand="0" w:oddHBand="0" w:evenHBand="0" w:firstRowFirstColumn="0" w:firstRowLastColumn="0" w:lastRowFirstColumn="0" w:lastRowLastColumn="0"/>
          <w:trHeight w:val="20"/>
          <w:tblHeader/>
        </w:trPr>
        <w:tc>
          <w:tcPr>
            <w:tcW w:w="2411" w:type="dxa"/>
            <w:noWrap/>
            <w:hideMark/>
          </w:tcPr>
          <w:p w14:paraId="35765334" w14:textId="77777777" w:rsidR="00265792" w:rsidRPr="00F87B04" w:rsidRDefault="00265792" w:rsidP="00F87B04">
            <w:pPr>
              <w:pStyle w:val="ARfintablecolhead"/>
            </w:pPr>
            <w:r w:rsidRPr="00F87B04">
              <w:t>Entity</w:t>
            </w:r>
          </w:p>
        </w:tc>
        <w:tc>
          <w:tcPr>
            <w:tcW w:w="1844" w:type="dxa"/>
            <w:noWrap/>
            <w:hideMark/>
          </w:tcPr>
          <w:p w14:paraId="1762C31E" w14:textId="77777777" w:rsidR="00265792" w:rsidRPr="00F87B04" w:rsidRDefault="00265792" w:rsidP="00F87B04">
            <w:pPr>
              <w:pStyle w:val="ARfintablecolhead"/>
            </w:pPr>
            <w:r w:rsidRPr="00F87B04">
              <w:t>Key management personnel</w:t>
            </w:r>
          </w:p>
        </w:tc>
        <w:tc>
          <w:tcPr>
            <w:tcW w:w="2691" w:type="dxa"/>
            <w:noWrap/>
            <w:hideMark/>
          </w:tcPr>
          <w:p w14:paraId="42E4057A" w14:textId="77777777" w:rsidR="00265792" w:rsidRPr="00F87B04" w:rsidRDefault="00265792" w:rsidP="00F87B04">
            <w:pPr>
              <w:pStyle w:val="ARfintablecolhead"/>
            </w:pPr>
            <w:r w:rsidRPr="00F87B04">
              <w:t>Position title</w:t>
            </w:r>
          </w:p>
        </w:tc>
        <w:tc>
          <w:tcPr>
            <w:tcW w:w="2686" w:type="dxa"/>
            <w:noWrap/>
            <w:hideMark/>
          </w:tcPr>
          <w:p w14:paraId="40B30046" w14:textId="77777777" w:rsidR="00265792" w:rsidRPr="00F87B04" w:rsidRDefault="00265792" w:rsidP="00F87B04">
            <w:pPr>
              <w:pStyle w:val="ARfintablecolhead"/>
            </w:pPr>
            <w:r w:rsidRPr="00F87B04">
              <w:t>Period</w:t>
            </w:r>
          </w:p>
        </w:tc>
      </w:tr>
      <w:tr w:rsidR="00265792" w:rsidRPr="00F87B04" w14:paraId="06603206" w14:textId="77777777" w:rsidTr="005949D6">
        <w:trPr>
          <w:trHeight w:val="20"/>
        </w:trPr>
        <w:tc>
          <w:tcPr>
            <w:tcW w:w="2411" w:type="dxa"/>
            <w:hideMark/>
          </w:tcPr>
          <w:p w14:paraId="5A941FEE" w14:textId="77777777" w:rsidR="00265792" w:rsidRPr="00F87B04" w:rsidRDefault="00265792" w:rsidP="00F87B04">
            <w:pPr>
              <w:pStyle w:val="ARfintablebody"/>
            </w:pPr>
            <w:r w:rsidRPr="00F87B04">
              <w:t>Department of Families, Fairness and Housing</w:t>
            </w:r>
          </w:p>
        </w:tc>
        <w:tc>
          <w:tcPr>
            <w:tcW w:w="1844" w:type="dxa"/>
            <w:hideMark/>
          </w:tcPr>
          <w:p w14:paraId="7F99D6E2" w14:textId="77777777" w:rsidR="00265792" w:rsidRPr="00F87B04" w:rsidRDefault="00265792" w:rsidP="00F87B04">
            <w:pPr>
              <w:pStyle w:val="ARfintablebody"/>
            </w:pPr>
            <w:r w:rsidRPr="00F87B04">
              <w:t>Nicola Quin</w:t>
            </w:r>
          </w:p>
        </w:tc>
        <w:tc>
          <w:tcPr>
            <w:tcW w:w="2691" w:type="dxa"/>
            <w:hideMark/>
          </w:tcPr>
          <w:p w14:paraId="4BD58BBF" w14:textId="77777777" w:rsidR="00265792" w:rsidRPr="00F87B04" w:rsidRDefault="00265792" w:rsidP="00F87B04">
            <w:pPr>
              <w:pStyle w:val="ARfintablebody"/>
            </w:pPr>
            <w:r w:rsidRPr="00F87B04">
              <w:t>Deputy Secretary, Corporate and Delivery Services</w:t>
            </w:r>
          </w:p>
        </w:tc>
        <w:tc>
          <w:tcPr>
            <w:tcW w:w="2686" w:type="dxa"/>
            <w:hideMark/>
          </w:tcPr>
          <w:p w14:paraId="5A5EEABD" w14:textId="77777777" w:rsidR="00265792" w:rsidRPr="00F87B04" w:rsidRDefault="00265792" w:rsidP="00F87B04">
            <w:pPr>
              <w:pStyle w:val="ARfintablebody"/>
            </w:pPr>
            <w:r w:rsidRPr="00F87B04">
              <w:t>1 July 2024 to 30 June 2025</w:t>
            </w:r>
          </w:p>
        </w:tc>
      </w:tr>
      <w:tr w:rsidR="00265792" w:rsidRPr="00F87B04" w14:paraId="4C534A1B" w14:textId="77777777" w:rsidTr="005949D6">
        <w:trPr>
          <w:trHeight w:val="20"/>
        </w:trPr>
        <w:tc>
          <w:tcPr>
            <w:tcW w:w="2411" w:type="dxa"/>
            <w:hideMark/>
          </w:tcPr>
          <w:p w14:paraId="336BD018" w14:textId="77777777" w:rsidR="00265792" w:rsidRPr="00F87B04" w:rsidRDefault="00265792" w:rsidP="00F87B04">
            <w:pPr>
              <w:pStyle w:val="ARfintablebody"/>
            </w:pPr>
            <w:r w:rsidRPr="00F87B04">
              <w:t>Department of Families, Fairness and Housing</w:t>
            </w:r>
          </w:p>
        </w:tc>
        <w:tc>
          <w:tcPr>
            <w:tcW w:w="1844" w:type="dxa"/>
            <w:hideMark/>
          </w:tcPr>
          <w:p w14:paraId="4A1B003C" w14:textId="77777777" w:rsidR="00265792" w:rsidRPr="00F87B04" w:rsidRDefault="00265792" w:rsidP="00F87B04">
            <w:pPr>
              <w:pStyle w:val="ARfintablebody"/>
            </w:pPr>
            <w:r w:rsidRPr="00F87B04">
              <w:t>Andrew Larkin</w:t>
            </w:r>
          </w:p>
        </w:tc>
        <w:tc>
          <w:tcPr>
            <w:tcW w:w="2691" w:type="dxa"/>
            <w:hideMark/>
          </w:tcPr>
          <w:p w14:paraId="08E4DDA2" w14:textId="77777777" w:rsidR="00265792" w:rsidRPr="00F87B04" w:rsidRDefault="00265792" w:rsidP="00F87B04">
            <w:pPr>
              <w:pStyle w:val="ARfintablebody"/>
            </w:pPr>
            <w:r w:rsidRPr="00F87B04">
              <w:t>Acting Deputy Secretary, Corporate and Delivery Services</w:t>
            </w:r>
          </w:p>
        </w:tc>
        <w:tc>
          <w:tcPr>
            <w:tcW w:w="2686" w:type="dxa"/>
            <w:hideMark/>
          </w:tcPr>
          <w:p w14:paraId="4F174F8A" w14:textId="77777777" w:rsidR="00265792" w:rsidRPr="00F87B04" w:rsidRDefault="00265792" w:rsidP="00F87B04">
            <w:pPr>
              <w:pStyle w:val="ARfintablebody"/>
            </w:pPr>
            <w:r w:rsidRPr="00F87B04">
              <w:t>25 December 2024 to 12 January 2025</w:t>
            </w:r>
          </w:p>
        </w:tc>
      </w:tr>
      <w:tr w:rsidR="00265792" w:rsidRPr="00F87B04" w14:paraId="14A734A1" w14:textId="77777777" w:rsidTr="005949D6">
        <w:trPr>
          <w:trHeight w:val="20"/>
        </w:trPr>
        <w:tc>
          <w:tcPr>
            <w:tcW w:w="2411" w:type="dxa"/>
            <w:hideMark/>
          </w:tcPr>
          <w:p w14:paraId="324EDA02" w14:textId="77777777" w:rsidR="00265792" w:rsidRPr="00F87B04" w:rsidRDefault="00265792" w:rsidP="00F87B04">
            <w:pPr>
              <w:pStyle w:val="ARfintablebody"/>
            </w:pPr>
            <w:r w:rsidRPr="00F87B04">
              <w:t>Department of Families, Fairness and Housing</w:t>
            </w:r>
          </w:p>
        </w:tc>
        <w:tc>
          <w:tcPr>
            <w:tcW w:w="1844" w:type="dxa"/>
            <w:noWrap/>
            <w:hideMark/>
          </w:tcPr>
          <w:p w14:paraId="160E3D4B" w14:textId="77777777" w:rsidR="00265792" w:rsidRPr="00F87B04" w:rsidRDefault="00265792" w:rsidP="00F87B04">
            <w:pPr>
              <w:pStyle w:val="ARfintablebody"/>
            </w:pPr>
            <w:r w:rsidRPr="00F87B04">
              <w:t>Elsie Loh</w:t>
            </w:r>
          </w:p>
        </w:tc>
        <w:tc>
          <w:tcPr>
            <w:tcW w:w="2691" w:type="dxa"/>
            <w:hideMark/>
          </w:tcPr>
          <w:p w14:paraId="3B52336C" w14:textId="77777777" w:rsidR="00265792" w:rsidRPr="00F87B04" w:rsidRDefault="00265792" w:rsidP="00F87B04">
            <w:pPr>
              <w:pStyle w:val="ARfintablebody"/>
            </w:pPr>
            <w:r w:rsidRPr="00F87B04">
              <w:t>Acting Deputy Secretary, Corporate and Delivery Services</w:t>
            </w:r>
          </w:p>
        </w:tc>
        <w:tc>
          <w:tcPr>
            <w:tcW w:w="2686" w:type="dxa"/>
            <w:hideMark/>
          </w:tcPr>
          <w:p w14:paraId="5B8B9385" w14:textId="4B904829" w:rsidR="00265792" w:rsidRPr="00F87B04" w:rsidRDefault="00265792" w:rsidP="00F87B04">
            <w:pPr>
              <w:pStyle w:val="ARfintablebody"/>
            </w:pPr>
            <w:r w:rsidRPr="00F87B04">
              <w:t>15 April 2025 to 22 April</w:t>
            </w:r>
            <w:r w:rsidR="005949D6">
              <w:t> </w:t>
            </w:r>
            <w:r w:rsidRPr="00F87B04">
              <w:t>2025</w:t>
            </w:r>
          </w:p>
        </w:tc>
      </w:tr>
      <w:tr w:rsidR="00265792" w:rsidRPr="00F87B04" w14:paraId="79A9E4FC" w14:textId="77777777" w:rsidTr="005949D6">
        <w:trPr>
          <w:trHeight w:val="20"/>
        </w:trPr>
        <w:tc>
          <w:tcPr>
            <w:tcW w:w="2411" w:type="dxa"/>
            <w:hideMark/>
          </w:tcPr>
          <w:p w14:paraId="6D9AB9C3" w14:textId="77777777" w:rsidR="00265792" w:rsidRPr="00F87B04" w:rsidRDefault="00265792" w:rsidP="00F87B04">
            <w:pPr>
              <w:pStyle w:val="ARfintablebody"/>
            </w:pPr>
            <w:r w:rsidRPr="00F87B04">
              <w:t>Department of Families, Fairness and Housing</w:t>
            </w:r>
          </w:p>
        </w:tc>
        <w:tc>
          <w:tcPr>
            <w:tcW w:w="1844" w:type="dxa"/>
            <w:hideMark/>
          </w:tcPr>
          <w:p w14:paraId="63D54D4C" w14:textId="77777777" w:rsidR="00265792" w:rsidRPr="00F87B04" w:rsidRDefault="00265792" w:rsidP="00F87B04">
            <w:pPr>
              <w:pStyle w:val="ARfintablebody"/>
            </w:pPr>
            <w:r w:rsidRPr="00F87B04">
              <w:t>Raylene Harradine</w:t>
            </w:r>
          </w:p>
        </w:tc>
        <w:tc>
          <w:tcPr>
            <w:tcW w:w="2691" w:type="dxa"/>
            <w:hideMark/>
          </w:tcPr>
          <w:p w14:paraId="09034656" w14:textId="77777777" w:rsidR="00265792" w:rsidRPr="00F87B04" w:rsidRDefault="00265792" w:rsidP="00F87B04">
            <w:pPr>
              <w:pStyle w:val="ARfintablebody"/>
            </w:pPr>
            <w:r w:rsidRPr="00F87B04">
              <w:t>Deputy Secretary, Aboriginal Self-determination and Outcomes</w:t>
            </w:r>
          </w:p>
        </w:tc>
        <w:tc>
          <w:tcPr>
            <w:tcW w:w="2686" w:type="dxa"/>
            <w:hideMark/>
          </w:tcPr>
          <w:p w14:paraId="5DAE1008" w14:textId="77777777" w:rsidR="00265792" w:rsidRPr="00F87B04" w:rsidRDefault="00265792" w:rsidP="00F87B04">
            <w:pPr>
              <w:pStyle w:val="ARfintablebody"/>
            </w:pPr>
            <w:r w:rsidRPr="00F87B04">
              <w:t>1 July 2024 to 30 June 2025</w:t>
            </w:r>
          </w:p>
        </w:tc>
      </w:tr>
      <w:tr w:rsidR="00265792" w:rsidRPr="00F87B04" w14:paraId="627C5589" w14:textId="77777777" w:rsidTr="005949D6">
        <w:trPr>
          <w:trHeight w:val="20"/>
        </w:trPr>
        <w:tc>
          <w:tcPr>
            <w:tcW w:w="2411" w:type="dxa"/>
            <w:hideMark/>
          </w:tcPr>
          <w:p w14:paraId="05C28ED6" w14:textId="77777777" w:rsidR="00265792" w:rsidRPr="00F87B04" w:rsidRDefault="00265792" w:rsidP="00F87B04">
            <w:pPr>
              <w:pStyle w:val="ARfintablebody"/>
            </w:pPr>
            <w:r w:rsidRPr="00F87B04">
              <w:t>Department of Families, Fairness and Housing</w:t>
            </w:r>
          </w:p>
        </w:tc>
        <w:tc>
          <w:tcPr>
            <w:tcW w:w="1844" w:type="dxa"/>
            <w:hideMark/>
          </w:tcPr>
          <w:p w14:paraId="13EE61D1" w14:textId="77777777" w:rsidR="00265792" w:rsidRPr="00F87B04" w:rsidRDefault="00265792" w:rsidP="00F87B04">
            <w:pPr>
              <w:pStyle w:val="ARfintablebody"/>
            </w:pPr>
            <w:r w:rsidRPr="00F87B04">
              <w:t>Tim Kanoa</w:t>
            </w:r>
          </w:p>
        </w:tc>
        <w:tc>
          <w:tcPr>
            <w:tcW w:w="2691" w:type="dxa"/>
            <w:hideMark/>
          </w:tcPr>
          <w:p w14:paraId="3B2B39A3" w14:textId="77777777" w:rsidR="00265792" w:rsidRPr="00F87B04" w:rsidRDefault="00265792" w:rsidP="00F87B04">
            <w:pPr>
              <w:pStyle w:val="ARfintablebody"/>
            </w:pPr>
            <w:r w:rsidRPr="00F87B04">
              <w:t>Acting Deputy Secretary, Aboriginal Self-determination and Outcomes</w:t>
            </w:r>
          </w:p>
        </w:tc>
        <w:tc>
          <w:tcPr>
            <w:tcW w:w="2686" w:type="dxa"/>
            <w:hideMark/>
          </w:tcPr>
          <w:p w14:paraId="044EEA3A" w14:textId="77777777" w:rsidR="00265792" w:rsidRPr="00F87B04" w:rsidRDefault="00265792" w:rsidP="00F87B04">
            <w:pPr>
              <w:pStyle w:val="ARfintablebody"/>
            </w:pPr>
            <w:r w:rsidRPr="00F87B04">
              <w:t>7 April 2025 to 29 April 2025</w:t>
            </w:r>
          </w:p>
        </w:tc>
      </w:tr>
      <w:tr w:rsidR="00265792" w:rsidRPr="00F87B04" w14:paraId="725340B8" w14:textId="77777777" w:rsidTr="005949D6">
        <w:trPr>
          <w:trHeight w:val="20"/>
        </w:trPr>
        <w:tc>
          <w:tcPr>
            <w:tcW w:w="2411" w:type="dxa"/>
            <w:hideMark/>
          </w:tcPr>
          <w:p w14:paraId="56EA57E3" w14:textId="77777777" w:rsidR="00265792" w:rsidRPr="00F87B04" w:rsidRDefault="00265792" w:rsidP="00F87B04">
            <w:pPr>
              <w:pStyle w:val="ARfintablebody"/>
            </w:pPr>
            <w:r w:rsidRPr="00F87B04">
              <w:t>Department of Families, Fairness and Housing</w:t>
            </w:r>
          </w:p>
        </w:tc>
        <w:tc>
          <w:tcPr>
            <w:tcW w:w="1844" w:type="dxa"/>
            <w:noWrap/>
            <w:hideMark/>
          </w:tcPr>
          <w:p w14:paraId="773A879D" w14:textId="77777777" w:rsidR="00265792" w:rsidRPr="00F87B04" w:rsidRDefault="00265792" w:rsidP="00F87B04">
            <w:pPr>
              <w:pStyle w:val="ARfintablebody"/>
            </w:pPr>
            <w:r w:rsidRPr="00F87B04">
              <w:t>Annette Lancy</w:t>
            </w:r>
          </w:p>
        </w:tc>
        <w:tc>
          <w:tcPr>
            <w:tcW w:w="2691" w:type="dxa"/>
            <w:hideMark/>
          </w:tcPr>
          <w:p w14:paraId="1B717E4F" w14:textId="77777777" w:rsidR="00265792" w:rsidRPr="00F87B04" w:rsidRDefault="00265792" w:rsidP="00F87B04">
            <w:pPr>
              <w:pStyle w:val="ARfintablebody"/>
            </w:pPr>
            <w:r w:rsidRPr="00F87B04">
              <w:t>Deputy Secretary, Children and Families</w:t>
            </w:r>
          </w:p>
        </w:tc>
        <w:tc>
          <w:tcPr>
            <w:tcW w:w="2686" w:type="dxa"/>
            <w:hideMark/>
          </w:tcPr>
          <w:p w14:paraId="6C07624E" w14:textId="77777777" w:rsidR="00265792" w:rsidRPr="00F87B04" w:rsidRDefault="00265792" w:rsidP="00F87B04">
            <w:pPr>
              <w:pStyle w:val="ARfintablebody"/>
            </w:pPr>
            <w:r w:rsidRPr="00F87B04">
              <w:t>1 July 2024 to 30 June 2025</w:t>
            </w:r>
          </w:p>
        </w:tc>
      </w:tr>
      <w:tr w:rsidR="00265792" w:rsidRPr="00F87B04" w14:paraId="7842ABFB" w14:textId="77777777" w:rsidTr="005949D6">
        <w:trPr>
          <w:trHeight w:val="20"/>
        </w:trPr>
        <w:tc>
          <w:tcPr>
            <w:tcW w:w="2411" w:type="dxa"/>
            <w:hideMark/>
          </w:tcPr>
          <w:p w14:paraId="7EE6D2BE" w14:textId="77777777" w:rsidR="00265792" w:rsidRPr="00F87B04" w:rsidRDefault="00265792" w:rsidP="00F87B04">
            <w:pPr>
              <w:pStyle w:val="ARfintablebody"/>
            </w:pPr>
            <w:r w:rsidRPr="00F87B04">
              <w:t>Department of Families, Fairness and Housing</w:t>
            </w:r>
          </w:p>
        </w:tc>
        <w:tc>
          <w:tcPr>
            <w:tcW w:w="1844" w:type="dxa"/>
            <w:noWrap/>
            <w:hideMark/>
          </w:tcPr>
          <w:p w14:paraId="782FC59F" w14:textId="77777777" w:rsidR="00265792" w:rsidRPr="00F87B04" w:rsidRDefault="00265792" w:rsidP="00F87B04">
            <w:pPr>
              <w:pStyle w:val="ARfintablebody"/>
            </w:pPr>
            <w:r w:rsidRPr="00F87B04">
              <w:t>Belinda Martin</w:t>
            </w:r>
          </w:p>
        </w:tc>
        <w:tc>
          <w:tcPr>
            <w:tcW w:w="2691" w:type="dxa"/>
            <w:hideMark/>
          </w:tcPr>
          <w:p w14:paraId="5BBD55AD" w14:textId="77777777" w:rsidR="00265792" w:rsidRPr="00F87B04" w:rsidRDefault="00265792" w:rsidP="00F87B04">
            <w:pPr>
              <w:pStyle w:val="ARfintablebody"/>
            </w:pPr>
            <w:r w:rsidRPr="00F87B04">
              <w:t>Acting Deputy Secretary, Children and Families</w:t>
            </w:r>
          </w:p>
        </w:tc>
        <w:tc>
          <w:tcPr>
            <w:tcW w:w="2686" w:type="dxa"/>
            <w:hideMark/>
          </w:tcPr>
          <w:p w14:paraId="098CC3DD" w14:textId="77777777" w:rsidR="00265792" w:rsidRPr="00F87B04" w:rsidRDefault="00265792" w:rsidP="00F87B04">
            <w:pPr>
              <w:pStyle w:val="ARfintablebody"/>
            </w:pPr>
            <w:r w:rsidRPr="00F87B04">
              <w:t>1 July 2024 to 9 July 2024</w:t>
            </w:r>
            <w:r w:rsidRPr="00F87B04">
              <w:br/>
              <w:t>20 September 2024 to 7 October 2024</w:t>
            </w:r>
          </w:p>
        </w:tc>
      </w:tr>
      <w:tr w:rsidR="00265792" w:rsidRPr="00F87B04" w14:paraId="0B04F2B7" w14:textId="77777777" w:rsidTr="005949D6">
        <w:trPr>
          <w:trHeight w:val="20"/>
        </w:trPr>
        <w:tc>
          <w:tcPr>
            <w:tcW w:w="2411" w:type="dxa"/>
            <w:hideMark/>
          </w:tcPr>
          <w:p w14:paraId="30CCACF4" w14:textId="77777777" w:rsidR="00265792" w:rsidRPr="00F87B04" w:rsidRDefault="00265792" w:rsidP="00F87B04">
            <w:pPr>
              <w:pStyle w:val="ARfintablebody"/>
            </w:pPr>
            <w:r w:rsidRPr="00F87B04">
              <w:t>Department of Families, Fairness and Housing</w:t>
            </w:r>
          </w:p>
        </w:tc>
        <w:tc>
          <w:tcPr>
            <w:tcW w:w="1844" w:type="dxa"/>
            <w:noWrap/>
            <w:hideMark/>
          </w:tcPr>
          <w:p w14:paraId="3713CE5B" w14:textId="77777777" w:rsidR="00265792" w:rsidRPr="00F87B04" w:rsidRDefault="00265792" w:rsidP="00F87B04">
            <w:pPr>
              <w:pStyle w:val="ARfintablebody"/>
            </w:pPr>
            <w:r w:rsidRPr="00F87B04">
              <w:t>David Atkinson</w:t>
            </w:r>
          </w:p>
        </w:tc>
        <w:tc>
          <w:tcPr>
            <w:tcW w:w="2691" w:type="dxa"/>
            <w:hideMark/>
          </w:tcPr>
          <w:p w14:paraId="0DE03800" w14:textId="77777777" w:rsidR="00265792" w:rsidRPr="00F87B04" w:rsidRDefault="00265792" w:rsidP="00F87B04">
            <w:pPr>
              <w:pStyle w:val="ARfintablebody"/>
            </w:pPr>
            <w:r w:rsidRPr="00F87B04">
              <w:t>Acting Deputy Secretary, Children and Families</w:t>
            </w:r>
          </w:p>
        </w:tc>
        <w:tc>
          <w:tcPr>
            <w:tcW w:w="2686" w:type="dxa"/>
            <w:hideMark/>
          </w:tcPr>
          <w:p w14:paraId="6DD121A7" w14:textId="41B1A21B" w:rsidR="00265792" w:rsidRPr="00F87B04" w:rsidRDefault="00265792" w:rsidP="00F87B04">
            <w:pPr>
              <w:pStyle w:val="ARfintablebody"/>
            </w:pPr>
            <w:r w:rsidRPr="00F87B04">
              <w:t>18 December 2024 to 8</w:t>
            </w:r>
            <w:r w:rsidR="005949D6">
              <w:t> </w:t>
            </w:r>
            <w:r w:rsidRPr="00F87B04">
              <w:t>January 2025</w:t>
            </w:r>
            <w:r w:rsidRPr="00F87B04">
              <w:br/>
              <w:t>23 June 2025 to 30 June 2025</w:t>
            </w:r>
          </w:p>
        </w:tc>
      </w:tr>
      <w:tr w:rsidR="00265792" w:rsidRPr="00F87B04" w14:paraId="4A32239E" w14:textId="77777777" w:rsidTr="005949D6">
        <w:trPr>
          <w:trHeight w:val="20"/>
        </w:trPr>
        <w:tc>
          <w:tcPr>
            <w:tcW w:w="2411" w:type="dxa"/>
            <w:hideMark/>
          </w:tcPr>
          <w:p w14:paraId="57E01173" w14:textId="77777777" w:rsidR="00265792" w:rsidRPr="00F87B04" w:rsidRDefault="00265792" w:rsidP="00F87B04">
            <w:pPr>
              <w:pStyle w:val="ARfintablebody"/>
            </w:pPr>
            <w:r w:rsidRPr="00F87B04">
              <w:t>Department of Families, Fairness and Housing</w:t>
            </w:r>
          </w:p>
        </w:tc>
        <w:tc>
          <w:tcPr>
            <w:tcW w:w="1844" w:type="dxa"/>
            <w:noWrap/>
            <w:hideMark/>
          </w:tcPr>
          <w:p w14:paraId="4A0A40BE" w14:textId="77777777" w:rsidR="00265792" w:rsidRPr="00F87B04" w:rsidRDefault="00265792" w:rsidP="00F87B04">
            <w:pPr>
              <w:pStyle w:val="ARfintablebody"/>
            </w:pPr>
            <w:r w:rsidRPr="00F87B04">
              <w:t>Danny O'Kelly</w:t>
            </w:r>
          </w:p>
        </w:tc>
        <w:tc>
          <w:tcPr>
            <w:tcW w:w="2691" w:type="dxa"/>
            <w:hideMark/>
          </w:tcPr>
          <w:p w14:paraId="06629C4F" w14:textId="77777777" w:rsidR="00265792" w:rsidRPr="00F87B04" w:rsidRDefault="00265792" w:rsidP="00F87B04">
            <w:pPr>
              <w:pStyle w:val="ARfintablebody"/>
            </w:pPr>
            <w:r w:rsidRPr="00F87B04">
              <w:t>Deputy Secretary, Community Operations and Practice Leadership</w:t>
            </w:r>
          </w:p>
        </w:tc>
        <w:tc>
          <w:tcPr>
            <w:tcW w:w="2686" w:type="dxa"/>
            <w:hideMark/>
          </w:tcPr>
          <w:p w14:paraId="101329AA" w14:textId="77777777" w:rsidR="00265792" w:rsidRPr="00F87B04" w:rsidRDefault="00265792" w:rsidP="00F87B04">
            <w:pPr>
              <w:pStyle w:val="ARfintablebody"/>
            </w:pPr>
            <w:r w:rsidRPr="00F87B04">
              <w:t>1 July 2024 to 30 June 2025</w:t>
            </w:r>
          </w:p>
        </w:tc>
      </w:tr>
      <w:tr w:rsidR="00265792" w:rsidRPr="00F87B04" w14:paraId="12475510" w14:textId="77777777" w:rsidTr="005949D6">
        <w:trPr>
          <w:trHeight w:val="20"/>
        </w:trPr>
        <w:tc>
          <w:tcPr>
            <w:tcW w:w="2411" w:type="dxa"/>
            <w:hideMark/>
          </w:tcPr>
          <w:p w14:paraId="008D3B78" w14:textId="77777777" w:rsidR="00265792" w:rsidRPr="00F87B04" w:rsidRDefault="00265792" w:rsidP="00F87B04">
            <w:pPr>
              <w:pStyle w:val="ARfintablebody"/>
            </w:pPr>
            <w:r w:rsidRPr="00F87B04">
              <w:t>Department of Families, Fairness and Housing</w:t>
            </w:r>
          </w:p>
        </w:tc>
        <w:tc>
          <w:tcPr>
            <w:tcW w:w="1844" w:type="dxa"/>
            <w:noWrap/>
            <w:hideMark/>
          </w:tcPr>
          <w:p w14:paraId="452F209E" w14:textId="77777777" w:rsidR="00265792" w:rsidRPr="00F87B04" w:rsidRDefault="00265792" w:rsidP="00F87B04">
            <w:pPr>
              <w:pStyle w:val="ARfintablebody"/>
            </w:pPr>
            <w:r w:rsidRPr="00F87B04">
              <w:t>Jenny Litsas</w:t>
            </w:r>
          </w:p>
        </w:tc>
        <w:tc>
          <w:tcPr>
            <w:tcW w:w="2691" w:type="dxa"/>
            <w:hideMark/>
          </w:tcPr>
          <w:p w14:paraId="3C0325D1" w14:textId="77777777" w:rsidR="00265792" w:rsidRPr="00F87B04" w:rsidRDefault="00265792" w:rsidP="00F87B04">
            <w:pPr>
              <w:pStyle w:val="ARfintablebody"/>
            </w:pPr>
            <w:r w:rsidRPr="00F87B04">
              <w:t>Acting Deputy Secretary, Community Operations and Practice Leadership</w:t>
            </w:r>
          </w:p>
        </w:tc>
        <w:tc>
          <w:tcPr>
            <w:tcW w:w="2686" w:type="dxa"/>
            <w:hideMark/>
          </w:tcPr>
          <w:p w14:paraId="5FCE8EC0" w14:textId="6A47A009" w:rsidR="00265792" w:rsidRPr="00F87B04" w:rsidRDefault="00265792" w:rsidP="00F87B04">
            <w:pPr>
              <w:pStyle w:val="ARfintablebody"/>
            </w:pPr>
            <w:r w:rsidRPr="00F87B04">
              <w:t>27 December 2024 to 6</w:t>
            </w:r>
            <w:r w:rsidR="005949D6">
              <w:t> </w:t>
            </w:r>
            <w:r w:rsidRPr="00F87B04">
              <w:t>January 2025</w:t>
            </w:r>
          </w:p>
        </w:tc>
      </w:tr>
      <w:tr w:rsidR="00265792" w:rsidRPr="00F87B04" w14:paraId="200B3A94" w14:textId="77777777" w:rsidTr="005949D6">
        <w:trPr>
          <w:trHeight w:val="20"/>
        </w:trPr>
        <w:tc>
          <w:tcPr>
            <w:tcW w:w="2411" w:type="dxa"/>
            <w:hideMark/>
          </w:tcPr>
          <w:p w14:paraId="5596FD36" w14:textId="77777777" w:rsidR="00265792" w:rsidRPr="00F87B04" w:rsidRDefault="00265792" w:rsidP="00F87B04">
            <w:pPr>
              <w:pStyle w:val="ARfintablebody"/>
            </w:pPr>
            <w:r w:rsidRPr="00F87B04">
              <w:t>Department of Families, Fairness and Housing</w:t>
            </w:r>
          </w:p>
        </w:tc>
        <w:tc>
          <w:tcPr>
            <w:tcW w:w="1844" w:type="dxa"/>
            <w:noWrap/>
            <w:hideMark/>
          </w:tcPr>
          <w:p w14:paraId="1C7CD583" w14:textId="77777777" w:rsidR="00265792" w:rsidRPr="00F87B04" w:rsidRDefault="00265792" w:rsidP="00F87B04">
            <w:pPr>
              <w:pStyle w:val="ARfintablebody"/>
            </w:pPr>
            <w:r w:rsidRPr="00F87B04">
              <w:t>Kathleen Alonso</w:t>
            </w:r>
          </w:p>
        </w:tc>
        <w:tc>
          <w:tcPr>
            <w:tcW w:w="2691" w:type="dxa"/>
            <w:hideMark/>
          </w:tcPr>
          <w:p w14:paraId="7C17D4B5" w14:textId="77777777" w:rsidR="00265792" w:rsidRPr="00F87B04" w:rsidRDefault="00265792" w:rsidP="00F87B04">
            <w:pPr>
              <w:pStyle w:val="ARfintablebody"/>
            </w:pPr>
            <w:r w:rsidRPr="00F87B04">
              <w:t>Acting Deputy Secretary, Community Operations and Practice Leadership</w:t>
            </w:r>
          </w:p>
        </w:tc>
        <w:tc>
          <w:tcPr>
            <w:tcW w:w="2686" w:type="dxa"/>
            <w:hideMark/>
          </w:tcPr>
          <w:p w14:paraId="394826F4" w14:textId="57FD9174" w:rsidR="00265792" w:rsidRPr="00F87B04" w:rsidRDefault="00265792" w:rsidP="00F87B04">
            <w:pPr>
              <w:pStyle w:val="ARfintablebody"/>
            </w:pPr>
            <w:r w:rsidRPr="00F87B04">
              <w:t>21 February 2025 to 2</w:t>
            </w:r>
            <w:r w:rsidR="005949D6">
              <w:t> </w:t>
            </w:r>
            <w:r w:rsidRPr="005949D6">
              <w:t>March</w:t>
            </w:r>
            <w:r w:rsidR="005949D6">
              <w:t> </w:t>
            </w:r>
            <w:r w:rsidRPr="005949D6">
              <w:t>2025</w:t>
            </w:r>
          </w:p>
        </w:tc>
      </w:tr>
      <w:tr w:rsidR="00265792" w:rsidRPr="00F87B04" w14:paraId="4F02E441" w14:textId="77777777" w:rsidTr="005949D6">
        <w:trPr>
          <w:trHeight w:val="20"/>
        </w:trPr>
        <w:tc>
          <w:tcPr>
            <w:tcW w:w="2411" w:type="dxa"/>
            <w:hideMark/>
          </w:tcPr>
          <w:p w14:paraId="69D314BB" w14:textId="77777777" w:rsidR="00265792" w:rsidRPr="00F87B04" w:rsidRDefault="00265792" w:rsidP="00F87B04">
            <w:pPr>
              <w:pStyle w:val="ARfintablebody"/>
            </w:pPr>
            <w:r w:rsidRPr="00F87B04">
              <w:t>Department of Families, Fairness and Housing</w:t>
            </w:r>
          </w:p>
        </w:tc>
        <w:tc>
          <w:tcPr>
            <w:tcW w:w="1844" w:type="dxa"/>
            <w:hideMark/>
          </w:tcPr>
          <w:p w14:paraId="61CF4963" w14:textId="77777777" w:rsidR="00265792" w:rsidRPr="00F87B04" w:rsidRDefault="00265792" w:rsidP="00F87B04">
            <w:pPr>
              <w:pStyle w:val="ARfintablebody"/>
            </w:pPr>
            <w:r w:rsidRPr="00F87B04">
              <w:t>Kirstie-Lee Lomas</w:t>
            </w:r>
          </w:p>
        </w:tc>
        <w:tc>
          <w:tcPr>
            <w:tcW w:w="2691" w:type="dxa"/>
            <w:hideMark/>
          </w:tcPr>
          <w:p w14:paraId="683F33AE" w14:textId="77777777" w:rsidR="00265792" w:rsidRPr="00F87B04" w:rsidRDefault="00265792" w:rsidP="00F87B04">
            <w:pPr>
              <w:pStyle w:val="ARfintablebody"/>
            </w:pPr>
            <w:r w:rsidRPr="00F87B04">
              <w:t>Acting Chief Practitioner, Office of Professional Practice</w:t>
            </w:r>
          </w:p>
        </w:tc>
        <w:tc>
          <w:tcPr>
            <w:tcW w:w="2686" w:type="dxa"/>
            <w:hideMark/>
          </w:tcPr>
          <w:p w14:paraId="5BAE7672" w14:textId="77777777" w:rsidR="00265792" w:rsidRPr="00F87B04" w:rsidRDefault="00265792" w:rsidP="00F87B04">
            <w:pPr>
              <w:pStyle w:val="ARfintablebody"/>
            </w:pPr>
            <w:r w:rsidRPr="00F87B04">
              <w:t>1 July 2024 to 19 August 2024</w:t>
            </w:r>
          </w:p>
        </w:tc>
      </w:tr>
      <w:tr w:rsidR="00265792" w:rsidRPr="00F87B04" w14:paraId="677FF275" w14:textId="77777777" w:rsidTr="005949D6">
        <w:trPr>
          <w:trHeight w:val="20"/>
        </w:trPr>
        <w:tc>
          <w:tcPr>
            <w:tcW w:w="2411" w:type="dxa"/>
            <w:hideMark/>
          </w:tcPr>
          <w:p w14:paraId="3CFB8095" w14:textId="77777777" w:rsidR="00265792" w:rsidRPr="00F87B04" w:rsidRDefault="00265792" w:rsidP="00F87B04">
            <w:pPr>
              <w:pStyle w:val="ARfintablebody"/>
            </w:pPr>
            <w:r w:rsidRPr="00F87B04">
              <w:t>Department of Families, Fairness and Housing</w:t>
            </w:r>
          </w:p>
        </w:tc>
        <w:tc>
          <w:tcPr>
            <w:tcW w:w="1844" w:type="dxa"/>
            <w:hideMark/>
          </w:tcPr>
          <w:p w14:paraId="1780AE58" w14:textId="77777777" w:rsidR="00265792" w:rsidRPr="00F87B04" w:rsidRDefault="00265792" w:rsidP="00F87B04">
            <w:pPr>
              <w:pStyle w:val="ARfintablebody"/>
            </w:pPr>
            <w:r w:rsidRPr="00F87B04">
              <w:t>Kirstie-Lee Lomas</w:t>
            </w:r>
          </w:p>
        </w:tc>
        <w:tc>
          <w:tcPr>
            <w:tcW w:w="2691" w:type="dxa"/>
            <w:hideMark/>
          </w:tcPr>
          <w:p w14:paraId="3EAD341F" w14:textId="77777777" w:rsidR="00265792" w:rsidRPr="00F87B04" w:rsidRDefault="00265792" w:rsidP="00F87B04">
            <w:pPr>
              <w:pStyle w:val="ARfintablebody"/>
            </w:pPr>
            <w:r w:rsidRPr="00F87B04">
              <w:t>Chief Practitioner, Office of Professional Practice</w:t>
            </w:r>
          </w:p>
        </w:tc>
        <w:tc>
          <w:tcPr>
            <w:tcW w:w="2686" w:type="dxa"/>
            <w:hideMark/>
          </w:tcPr>
          <w:p w14:paraId="15B54E0C" w14:textId="78E4C974" w:rsidR="00265792" w:rsidRPr="00F87B04" w:rsidRDefault="00265792" w:rsidP="00F87B04">
            <w:pPr>
              <w:pStyle w:val="ARfintablebody"/>
            </w:pPr>
            <w:r w:rsidRPr="00F87B04">
              <w:t>20 August 2024 to 30</w:t>
            </w:r>
            <w:r w:rsidR="005949D6">
              <w:t> </w:t>
            </w:r>
            <w:r w:rsidRPr="00F87B04">
              <w:t>June</w:t>
            </w:r>
            <w:r w:rsidR="005949D6">
              <w:t> </w:t>
            </w:r>
            <w:r w:rsidRPr="00F87B04">
              <w:t>2025</w:t>
            </w:r>
          </w:p>
        </w:tc>
      </w:tr>
      <w:tr w:rsidR="00265792" w:rsidRPr="00F87B04" w14:paraId="45C9EA75" w14:textId="77777777" w:rsidTr="005949D6">
        <w:trPr>
          <w:trHeight w:val="20"/>
        </w:trPr>
        <w:tc>
          <w:tcPr>
            <w:tcW w:w="2411" w:type="dxa"/>
            <w:hideMark/>
          </w:tcPr>
          <w:p w14:paraId="32855303" w14:textId="77777777" w:rsidR="00265792" w:rsidRPr="00F87B04" w:rsidRDefault="00265792" w:rsidP="00F87B04">
            <w:pPr>
              <w:pStyle w:val="ARfintablebody"/>
            </w:pPr>
            <w:r w:rsidRPr="00F87B04">
              <w:t>Department of Families, Fairness and Housing</w:t>
            </w:r>
          </w:p>
        </w:tc>
        <w:tc>
          <w:tcPr>
            <w:tcW w:w="1844" w:type="dxa"/>
            <w:hideMark/>
          </w:tcPr>
          <w:p w14:paraId="3FCE7222" w14:textId="77777777" w:rsidR="00265792" w:rsidRPr="00F87B04" w:rsidRDefault="00265792" w:rsidP="00F87B04">
            <w:pPr>
              <w:pStyle w:val="ARfintablebody"/>
            </w:pPr>
            <w:r w:rsidRPr="00F87B04">
              <w:t>Nathan Chapman</w:t>
            </w:r>
          </w:p>
        </w:tc>
        <w:tc>
          <w:tcPr>
            <w:tcW w:w="2691" w:type="dxa"/>
            <w:hideMark/>
          </w:tcPr>
          <w:p w14:paraId="6DFD463C" w14:textId="77777777" w:rsidR="00265792" w:rsidRPr="00F87B04" w:rsidRDefault="00265792" w:rsidP="00F87B04">
            <w:pPr>
              <w:pStyle w:val="ARfintablebody"/>
            </w:pPr>
            <w:r w:rsidRPr="00F87B04">
              <w:t>Acting Chief Practitioner, Office of Professional Practice</w:t>
            </w:r>
          </w:p>
        </w:tc>
        <w:tc>
          <w:tcPr>
            <w:tcW w:w="2686" w:type="dxa"/>
            <w:hideMark/>
          </w:tcPr>
          <w:p w14:paraId="287C5B5E" w14:textId="77777777" w:rsidR="00265792" w:rsidRPr="00F87B04" w:rsidRDefault="00265792" w:rsidP="00F87B04">
            <w:pPr>
              <w:pStyle w:val="ARfintablebody"/>
            </w:pPr>
            <w:r w:rsidRPr="00F87B04">
              <w:t>7 February 2025 to 28 February 2025</w:t>
            </w:r>
          </w:p>
        </w:tc>
      </w:tr>
      <w:tr w:rsidR="00265792" w:rsidRPr="00F87B04" w14:paraId="4E6A7EA0" w14:textId="77777777" w:rsidTr="005949D6">
        <w:trPr>
          <w:trHeight w:val="20"/>
        </w:trPr>
        <w:tc>
          <w:tcPr>
            <w:tcW w:w="2411" w:type="dxa"/>
            <w:tcBorders>
              <w:bottom w:val="single" w:sz="4" w:space="0" w:color="A6A6A6" w:themeColor="accent5"/>
            </w:tcBorders>
            <w:hideMark/>
          </w:tcPr>
          <w:p w14:paraId="6E346504" w14:textId="77777777" w:rsidR="00265792" w:rsidRPr="00F87B04" w:rsidRDefault="00265792" w:rsidP="00F87B04">
            <w:pPr>
              <w:pStyle w:val="ARfintablebody"/>
            </w:pPr>
            <w:r w:rsidRPr="00F87B04">
              <w:t>Department of Families, Fairness and Housing</w:t>
            </w:r>
          </w:p>
        </w:tc>
        <w:tc>
          <w:tcPr>
            <w:tcW w:w="1844" w:type="dxa"/>
            <w:tcBorders>
              <w:bottom w:val="single" w:sz="4" w:space="0" w:color="A6A6A6" w:themeColor="accent5"/>
            </w:tcBorders>
            <w:hideMark/>
          </w:tcPr>
          <w:p w14:paraId="6B143479" w14:textId="77777777" w:rsidR="00265792" w:rsidRPr="00F87B04" w:rsidRDefault="00265792" w:rsidP="00F87B04">
            <w:pPr>
              <w:pStyle w:val="ARfintablebody"/>
            </w:pPr>
            <w:r w:rsidRPr="00F87B04">
              <w:t>Cynthia Lahiff</w:t>
            </w:r>
          </w:p>
        </w:tc>
        <w:tc>
          <w:tcPr>
            <w:tcW w:w="2691" w:type="dxa"/>
            <w:tcBorders>
              <w:bottom w:val="single" w:sz="4" w:space="0" w:color="A6A6A6" w:themeColor="accent5"/>
            </w:tcBorders>
            <w:hideMark/>
          </w:tcPr>
          <w:p w14:paraId="012E0710" w14:textId="77777777" w:rsidR="00265792" w:rsidRPr="00F87B04" w:rsidRDefault="00265792" w:rsidP="00F87B04">
            <w:pPr>
              <w:pStyle w:val="ARfintablebody"/>
            </w:pPr>
            <w:r w:rsidRPr="00F87B04">
              <w:t>Chief Finance Officer</w:t>
            </w:r>
          </w:p>
        </w:tc>
        <w:tc>
          <w:tcPr>
            <w:tcW w:w="2686" w:type="dxa"/>
            <w:tcBorders>
              <w:bottom w:val="single" w:sz="4" w:space="0" w:color="A6A6A6" w:themeColor="accent5"/>
            </w:tcBorders>
            <w:hideMark/>
          </w:tcPr>
          <w:p w14:paraId="5DD1A317" w14:textId="77777777" w:rsidR="00265792" w:rsidRPr="00F87B04" w:rsidRDefault="00265792" w:rsidP="00F87B04">
            <w:pPr>
              <w:pStyle w:val="ARfintablebody"/>
            </w:pPr>
            <w:r w:rsidRPr="00F87B04">
              <w:t>1 July 2024 to 30 June 2025</w:t>
            </w:r>
          </w:p>
        </w:tc>
      </w:tr>
      <w:tr w:rsidR="00265792" w:rsidRPr="00F87B04" w14:paraId="420EE875" w14:textId="77777777" w:rsidTr="005949D6">
        <w:trPr>
          <w:trHeight w:val="20"/>
        </w:trPr>
        <w:tc>
          <w:tcPr>
            <w:tcW w:w="2411" w:type="dxa"/>
            <w:tcBorders>
              <w:top w:val="single" w:sz="4" w:space="0" w:color="A6A6A6" w:themeColor="accent5"/>
              <w:bottom w:val="single" w:sz="4" w:space="0" w:color="A6A6A6" w:themeColor="accent5"/>
            </w:tcBorders>
            <w:hideMark/>
          </w:tcPr>
          <w:p w14:paraId="66889A30" w14:textId="77777777" w:rsidR="00265792" w:rsidRPr="00F87B04" w:rsidRDefault="00265792" w:rsidP="00F87B04">
            <w:pPr>
              <w:pStyle w:val="ARfintablebody"/>
            </w:pPr>
            <w:r w:rsidRPr="00F87B04">
              <w:t>Department of Families, Fairness and Housing</w:t>
            </w:r>
          </w:p>
        </w:tc>
        <w:tc>
          <w:tcPr>
            <w:tcW w:w="1844" w:type="dxa"/>
            <w:tcBorders>
              <w:top w:val="single" w:sz="4" w:space="0" w:color="A6A6A6" w:themeColor="accent5"/>
              <w:bottom w:val="single" w:sz="4" w:space="0" w:color="A6A6A6" w:themeColor="accent5"/>
            </w:tcBorders>
            <w:hideMark/>
          </w:tcPr>
          <w:p w14:paraId="21900A04" w14:textId="77777777" w:rsidR="00265792" w:rsidRPr="00F87B04" w:rsidRDefault="00265792" w:rsidP="00F87B04">
            <w:pPr>
              <w:pStyle w:val="ARfintablebody"/>
            </w:pPr>
            <w:r w:rsidRPr="00F87B04">
              <w:t>Shane Lay</w:t>
            </w:r>
          </w:p>
        </w:tc>
        <w:tc>
          <w:tcPr>
            <w:tcW w:w="2691" w:type="dxa"/>
            <w:tcBorders>
              <w:top w:val="single" w:sz="4" w:space="0" w:color="A6A6A6" w:themeColor="accent5"/>
              <w:bottom w:val="single" w:sz="4" w:space="0" w:color="A6A6A6" w:themeColor="accent5"/>
            </w:tcBorders>
            <w:hideMark/>
          </w:tcPr>
          <w:p w14:paraId="2DDD087B" w14:textId="77777777" w:rsidR="00265792" w:rsidRPr="00F87B04" w:rsidRDefault="00265792" w:rsidP="00F87B04">
            <w:pPr>
              <w:pStyle w:val="ARfintablebody"/>
            </w:pPr>
            <w:r w:rsidRPr="00F87B04">
              <w:t>Acting Chief Finance Officer</w:t>
            </w:r>
          </w:p>
        </w:tc>
        <w:tc>
          <w:tcPr>
            <w:tcW w:w="2686" w:type="dxa"/>
            <w:tcBorders>
              <w:top w:val="single" w:sz="4" w:space="0" w:color="A6A6A6" w:themeColor="accent5"/>
              <w:bottom w:val="single" w:sz="4" w:space="0" w:color="A6A6A6" w:themeColor="accent5"/>
            </w:tcBorders>
            <w:hideMark/>
          </w:tcPr>
          <w:p w14:paraId="139B2609" w14:textId="4035697B" w:rsidR="00265792" w:rsidRPr="00F87B04" w:rsidRDefault="00265792" w:rsidP="00F87B04">
            <w:pPr>
              <w:pStyle w:val="ARfintablebody"/>
            </w:pPr>
            <w:r w:rsidRPr="00F87B04">
              <w:t>1 July 2024 to 9 July 2024</w:t>
            </w:r>
            <w:r w:rsidRPr="00F87B04">
              <w:br/>
              <w:t>9 September 2024 to 24 September 2024</w:t>
            </w:r>
            <w:r w:rsidRPr="00F87B04">
              <w:br/>
              <w:t>17 December 2024 to 28</w:t>
            </w:r>
            <w:r w:rsidR="005949D6">
              <w:t> </w:t>
            </w:r>
            <w:r w:rsidRPr="00F87B04">
              <w:t>January 2025</w:t>
            </w:r>
            <w:r w:rsidRPr="00F87B04">
              <w:br/>
              <w:t>19 May 2025 to 6 June 2025</w:t>
            </w:r>
          </w:p>
        </w:tc>
      </w:tr>
      <w:tr w:rsidR="00265792" w:rsidRPr="00F87B04" w14:paraId="5BAF6F94" w14:textId="77777777" w:rsidTr="005949D6">
        <w:trPr>
          <w:trHeight w:val="20"/>
        </w:trPr>
        <w:tc>
          <w:tcPr>
            <w:tcW w:w="2411" w:type="dxa"/>
            <w:tcBorders>
              <w:top w:val="single" w:sz="4" w:space="0" w:color="A6A6A6" w:themeColor="accent5"/>
              <w:bottom w:val="single" w:sz="4" w:space="0" w:color="A6A6A6" w:themeColor="accent5"/>
            </w:tcBorders>
            <w:hideMark/>
          </w:tcPr>
          <w:p w14:paraId="50F8AB64" w14:textId="77777777" w:rsidR="00265792" w:rsidRPr="00F87B04" w:rsidRDefault="00265792" w:rsidP="00F87B04">
            <w:pPr>
              <w:pStyle w:val="ARfintablebody"/>
            </w:pPr>
            <w:r w:rsidRPr="00F87B04">
              <w:t>Department of Families, Fairness and Housing</w:t>
            </w:r>
          </w:p>
        </w:tc>
        <w:tc>
          <w:tcPr>
            <w:tcW w:w="1844" w:type="dxa"/>
            <w:tcBorders>
              <w:top w:val="single" w:sz="4" w:space="0" w:color="A6A6A6" w:themeColor="accent5"/>
              <w:bottom w:val="single" w:sz="4" w:space="0" w:color="A6A6A6" w:themeColor="accent5"/>
            </w:tcBorders>
            <w:noWrap/>
            <w:hideMark/>
          </w:tcPr>
          <w:p w14:paraId="6ED401D4" w14:textId="77777777" w:rsidR="00265792" w:rsidRPr="00F87B04" w:rsidRDefault="00265792" w:rsidP="00F87B04">
            <w:pPr>
              <w:pStyle w:val="ARfintablebody"/>
            </w:pPr>
            <w:r w:rsidRPr="00F87B04">
              <w:t>Argiri Alisandratos</w:t>
            </w:r>
          </w:p>
        </w:tc>
        <w:tc>
          <w:tcPr>
            <w:tcW w:w="2691" w:type="dxa"/>
            <w:tcBorders>
              <w:top w:val="single" w:sz="4" w:space="0" w:color="A6A6A6" w:themeColor="accent5"/>
              <w:bottom w:val="single" w:sz="4" w:space="0" w:color="A6A6A6" w:themeColor="accent5"/>
            </w:tcBorders>
            <w:hideMark/>
          </w:tcPr>
          <w:p w14:paraId="56570E70" w14:textId="77777777" w:rsidR="00265792" w:rsidRPr="00F87B04" w:rsidRDefault="00265792" w:rsidP="00F87B04">
            <w:pPr>
              <w:pStyle w:val="ARfintablebody"/>
            </w:pPr>
            <w:r w:rsidRPr="00F87B04">
              <w:t>Deputy Secretary, Disability, Fairness and Emergency Management</w:t>
            </w:r>
          </w:p>
        </w:tc>
        <w:tc>
          <w:tcPr>
            <w:tcW w:w="2686" w:type="dxa"/>
            <w:tcBorders>
              <w:top w:val="single" w:sz="4" w:space="0" w:color="A6A6A6" w:themeColor="accent5"/>
              <w:bottom w:val="single" w:sz="4" w:space="0" w:color="A6A6A6" w:themeColor="accent5"/>
            </w:tcBorders>
            <w:hideMark/>
          </w:tcPr>
          <w:p w14:paraId="64D1B23B" w14:textId="77777777" w:rsidR="00265792" w:rsidRPr="00F87B04" w:rsidRDefault="00265792" w:rsidP="00F87B04">
            <w:pPr>
              <w:pStyle w:val="ARfintablebody"/>
            </w:pPr>
            <w:r w:rsidRPr="00F87B04">
              <w:t>1 July 2024 to 30 June 2025</w:t>
            </w:r>
          </w:p>
        </w:tc>
      </w:tr>
      <w:tr w:rsidR="00265792" w:rsidRPr="00F87B04" w14:paraId="79929052" w14:textId="77777777" w:rsidTr="005949D6">
        <w:trPr>
          <w:trHeight w:val="20"/>
        </w:trPr>
        <w:tc>
          <w:tcPr>
            <w:tcW w:w="2411" w:type="dxa"/>
            <w:tcBorders>
              <w:top w:val="single" w:sz="4" w:space="0" w:color="A6A6A6" w:themeColor="accent5"/>
            </w:tcBorders>
            <w:hideMark/>
          </w:tcPr>
          <w:p w14:paraId="74585B0D" w14:textId="77777777" w:rsidR="00265792" w:rsidRPr="00F87B04" w:rsidRDefault="00265792" w:rsidP="00F87B04">
            <w:pPr>
              <w:pStyle w:val="ARfintablebody"/>
            </w:pPr>
            <w:r w:rsidRPr="00F87B04">
              <w:lastRenderedPageBreak/>
              <w:t>Department of Families, Fairness and Housing</w:t>
            </w:r>
          </w:p>
        </w:tc>
        <w:tc>
          <w:tcPr>
            <w:tcW w:w="1844" w:type="dxa"/>
            <w:tcBorders>
              <w:top w:val="single" w:sz="4" w:space="0" w:color="A6A6A6" w:themeColor="accent5"/>
            </w:tcBorders>
            <w:noWrap/>
            <w:hideMark/>
          </w:tcPr>
          <w:p w14:paraId="7CA9FD33" w14:textId="77777777" w:rsidR="00265792" w:rsidRPr="00F87B04" w:rsidRDefault="00265792" w:rsidP="00F87B04">
            <w:pPr>
              <w:pStyle w:val="ARfintablebody"/>
            </w:pPr>
            <w:r w:rsidRPr="00F87B04">
              <w:t>Anne Congleton</w:t>
            </w:r>
          </w:p>
        </w:tc>
        <w:tc>
          <w:tcPr>
            <w:tcW w:w="2691" w:type="dxa"/>
            <w:tcBorders>
              <w:top w:val="single" w:sz="4" w:space="0" w:color="A6A6A6" w:themeColor="accent5"/>
            </w:tcBorders>
            <w:hideMark/>
          </w:tcPr>
          <w:p w14:paraId="20639AEB" w14:textId="77777777" w:rsidR="00265792" w:rsidRPr="00F87B04" w:rsidRDefault="00265792" w:rsidP="00F87B04">
            <w:pPr>
              <w:pStyle w:val="ARfintablebody"/>
            </w:pPr>
            <w:r w:rsidRPr="00F87B04">
              <w:t>Acting Deputy Secretary, Disability, Fairness and Emergency Management</w:t>
            </w:r>
          </w:p>
        </w:tc>
        <w:tc>
          <w:tcPr>
            <w:tcW w:w="2686" w:type="dxa"/>
            <w:tcBorders>
              <w:top w:val="single" w:sz="4" w:space="0" w:color="A6A6A6" w:themeColor="accent5"/>
            </w:tcBorders>
            <w:hideMark/>
          </w:tcPr>
          <w:p w14:paraId="283AF9EC" w14:textId="44BE3B13" w:rsidR="00265792" w:rsidRPr="00F87B04" w:rsidRDefault="00265792" w:rsidP="00F87B04">
            <w:pPr>
              <w:pStyle w:val="ARfintablebody"/>
            </w:pPr>
            <w:r w:rsidRPr="00F87B04">
              <w:t>31 August 2024 to 7</w:t>
            </w:r>
            <w:r w:rsidR="005949D6">
              <w:t> </w:t>
            </w:r>
            <w:r w:rsidRPr="005949D6">
              <w:t>October</w:t>
            </w:r>
            <w:r w:rsidR="005949D6">
              <w:t> </w:t>
            </w:r>
            <w:r w:rsidRPr="005949D6">
              <w:t>2024</w:t>
            </w:r>
            <w:r w:rsidRPr="00F87B04">
              <w:t xml:space="preserve"> </w:t>
            </w:r>
          </w:p>
        </w:tc>
      </w:tr>
      <w:tr w:rsidR="00265792" w:rsidRPr="00F87B04" w14:paraId="247F7592" w14:textId="77777777" w:rsidTr="005949D6">
        <w:trPr>
          <w:trHeight w:val="20"/>
        </w:trPr>
        <w:tc>
          <w:tcPr>
            <w:tcW w:w="2411" w:type="dxa"/>
            <w:hideMark/>
          </w:tcPr>
          <w:p w14:paraId="06B7A5D5" w14:textId="77777777" w:rsidR="00265792" w:rsidRPr="00F87B04" w:rsidRDefault="00265792" w:rsidP="00F87B04">
            <w:pPr>
              <w:pStyle w:val="ARfintablebody"/>
            </w:pPr>
            <w:r w:rsidRPr="00F87B04">
              <w:t>Department of Families, Fairness and Housing</w:t>
            </w:r>
          </w:p>
        </w:tc>
        <w:tc>
          <w:tcPr>
            <w:tcW w:w="1844" w:type="dxa"/>
            <w:hideMark/>
          </w:tcPr>
          <w:p w14:paraId="4E61A296" w14:textId="77777777" w:rsidR="00265792" w:rsidRPr="00F87B04" w:rsidRDefault="00265792" w:rsidP="00F87B04">
            <w:pPr>
              <w:pStyle w:val="ARfintablebody"/>
            </w:pPr>
            <w:r w:rsidRPr="00F87B04">
              <w:t>Ruth Ward</w:t>
            </w:r>
          </w:p>
        </w:tc>
        <w:tc>
          <w:tcPr>
            <w:tcW w:w="2691" w:type="dxa"/>
            <w:hideMark/>
          </w:tcPr>
          <w:p w14:paraId="12A735E7" w14:textId="77777777" w:rsidR="00265792" w:rsidRPr="00F87B04" w:rsidRDefault="00265792" w:rsidP="00F87B04">
            <w:pPr>
              <w:pStyle w:val="ARfintablebody"/>
            </w:pPr>
            <w:r w:rsidRPr="00F87B04">
              <w:t>Chief of Public Engagement, Fairer Victoria &amp; Engagement</w:t>
            </w:r>
          </w:p>
        </w:tc>
        <w:tc>
          <w:tcPr>
            <w:tcW w:w="2686" w:type="dxa"/>
            <w:hideMark/>
          </w:tcPr>
          <w:p w14:paraId="33CB977D" w14:textId="77777777" w:rsidR="00265792" w:rsidRPr="00F87B04" w:rsidRDefault="00265792" w:rsidP="00F87B04">
            <w:pPr>
              <w:pStyle w:val="ARfintablebody"/>
            </w:pPr>
            <w:r w:rsidRPr="00F87B04">
              <w:t>1 July 2024 to 5 July 2024</w:t>
            </w:r>
          </w:p>
        </w:tc>
      </w:tr>
      <w:tr w:rsidR="00265792" w:rsidRPr="00F87B04" w14:paraId="5DA26E9C" w14:textId="77777777" w:rsidTr="005949D6">
        <w:trPr>
          <w:trHeight w:val="20"/>
        </w:trPr>
        <w:tc>
          <w:tcPr>
            <w:tcW w:w="2411" w:type="dxa"/>
            <w:hideMark/>
          </w:tcPr>
          <w:p w14:paraId="48CE2FBD" w14:textId="77777777" w:rsidR="00265792" w:rsidRPr="00F87B04" w:rsidRDefault="00265792" w:rsidP="00F87B04">
            <w:pPr>
              <w:pStyle w:val="ARfintablebody"/>
            </w:pPr>
            <w:r w:rsidRPr="00F87B04">
              <w:t>Department of Families, Fairness and Housing</w:t>
            </w:r>
          </w:p>
        </w:tc>
        <w:tc>
          <w:tcPr>
            <w:tcW w:w="1844" w:type="dxa"/>
            <w:hideMark/>
          </w:tcPr>
          <w:p w14:paraId="290A4D5D" w14:textId="77777777" w:rsidR="00265792" w:rsidRPr="00F87B04" w:rsidRDefault="00265792" w:rsidP="00F87B04">
            <w:pPr>
              <w:pStyle w:val="ARfintablebody"/>
            </w:pPr>
            <w:r w:rsidRPr="00F87B04">
              <w:t>Ruth Ward</w:t>
            </w:r>
          </w:p>
        </w:tc>
        <w:tc>
          <w:tcPr>
            <w:tcW w:w="2691" w:type="dxa"/>
            <w:hideMark/>
          </w:tcPr>
          <w:p w14:paraId="0B46AB40" w14:textId="77777777" w:rsidR="00265792" w:rsidRPr="00F87B04" w:rsidRDefault="00265792" w:rsidP="00F87B04">
            <w:pPr>
              <w:pStyle w:val="ARfintablebody"/>
            </w:pPr>
            <w:r w:rsidRPr="00F87B04">
              <w:t>Chief of Public Engagement, System Reform, Workforce and Engagement</w:t>
            </w:r>
          </w:p>
        </w:tc>
        <w:tc>
          <w:tcPr>
            <w:tcW w:w="2686" w:type="dxa"/>
            <w:hideMark/>
          </w:tcPr>
          <w:p w14:paraId="31246E26" w14:textId="77777777" w:rsidR="00265792" w:rsidRPr="00F87B04" w:rsidRDefault="00265792" w:rsidP="00F87B04">
            <w:pPr>
              <w:pStyle w:val="ARfintablebody"/>
            </w:pPr>
            <w:r w:rsidRPr="00F87B04">
              <w:t>6 July 2024 to 30 June 2025</w:t>
            </w:r>
          </w:p>
        </w:tc>
      </w:tr>
      <w:tr w:rsidR="00265792" w:rsidRPr="00F87B04" w14:paraId="11B2C49A" w14:textId="77777777" w:rsidTr="005949D6">
        <w:trPr>
          <w:trHeight w:val="20"/>
        </w:trPr>
        <w:tc>
          <w:tcPr>
            <w:tcW w:w="2411" w:type="dxa"/>
            <w:hideMark/>
          </w:tcPr>
          <w:p w14:paraId="3B7A4976" w14:textId="77777777" w:rsidR="00265792" w:rsidRPr="00F87B04" w:rsidRDefault="00265792" w:rsidP="00F87B04">
            <w:pPr>
              <w:pStyle w:val="ARfintablebody"/>
            </w:pPr>
            <w:r w:rsidRPr="00F87B04">
              <w:t>Department of Families, Fairness and Housing</w:t>
            </w:r>
          </w:p>
        </w:tc>
        <w:tc>
          <w:tcPr>
            <w:tcW w:w="1844" w:type="dxa"/>
            <w:hideMark/>
          </w:tcPr>
          <w:p w14:paraId="5D611832" w14:textId="77777777" w:rsidR="00265792" w:rsidRPr="00F87B04" w:rsidRDefault="00265792" w:rsidP="00F87B04">
            <w:pPr>
              <w:pStyle w:val="ARfintablebody"/>
            </w:pPr>
            <w:r w:rsidRPr="00F87B04">
              <w:t>Louise Perry</w:t>
            </w:r>
          </w:p>
        </w:tc>
        <w:tc>
          <w:tcPr>
            <w:tcW w:w="2691" w:type="dxa"/>
            <w:hideMark/>
          </w:tcPr>
          <w:p w14:paraId="70EA1851" w14:textId="77777777" w:rsidR="00265792" w:rsidRPr="00F87B04" w:rsidRDefault="00265792" w:rsidP="00F87B04">
            <w:pPr>
              <w:pStyle w:val="ARfintablebody"/>
            </w:pPr>
            <w:r w:rsidRPr="00F87B04">
              <w:t>Deputy Secretary, Fairer Victoria, Engagement</w:t>
            </w:r>
          </w:p>
        </w:tc>
        <w:tc>
          <w:tcPr>
            <w:tcW w:w="2686" w:type="dxa"/>
            <w:hideMark/>
          </w:tcPr>
          <w:p w14:paraId="5FB3D9AE" w14:textId="77777777" w:rsidR="00265792" w:rsidRPr="00F87B04" w:rsidRDefault="00265792" w:rsidP="00F87B04">
            <w:pPr>
              <w:pStyle w:val="ARfintablebody"/>
            </w:pPr>
            <w:r w:rsidRPr="00F87B04">
              <w:t>1 July 2024 to 5 July 2024</w:t>
            </w:r>
          </w:p>
        </w:tc>
      </w:tr>
      <w:tr w:rsidR="00265792" w:rsidRPr="00F87B04" w14:paraId="55C609DC" w14:textId="77777777" w:rsidTr="005949D6">
        <w:trPr>
          <w:trHeight w:val="20"/>
        </w:trPr>
        <w:tc>
          <w:tcPr>
            <w:tcW w:w="2411" w:type="dxa"/>
            <w:hideMark/>
          </w:tcPr>
          <w:p w14:paraId="122CFA00" w14:textId="77777777" w:rsidR="00265792" w:rsidRPr="00F87B04" w:rsidRDefault="00265792" w:rsidP="00F87B04">
            <w:pPr>
              <w:pStyle w:val="ARfintablebody"/>
            </w:pPr>
            <w:r w:rsidRPr="00F87B04">
              <w:t>Department of Families, Fairness and Housing</w:t>
            </w:r>
          </w:p>
        </w:tc>
        <w:tc>
          <w:tcPr>
            <w:tcW w:w="1844" w:type="dxa"/>
            <w:noWrap/>
            <w:hideMark/>
          </w:tcPr>
          <w:p w14:paraId="627F925D" w14:textId="77777777" w:rsidR="00265792" w:rsidRPr="00F87B04" w:rsidRDefault="00265792" w:rsidP="00F87B04">
            <w:pPr>
              <w:pStyle w:val="ARfintablebody"/>
            </w:pPr>
            <w:r w:rsidRPr="00F87B04">
              <w:t>Melanie Heenan</w:t>
            </w:r>
          </w:p>
        </w:tc>
        <w:tc>
          <w:tcPr>
            <w:tcW w:w="2691" w:type="dxa"/>
            <w:hideMark/>
          </w:tcPr>
          <w:p w14:paraId="531ED4BF" w14:textId="77777777" w:rsidR="00265792" w:rsidRPr="00F87B04" w:rsidRDefault="00265792" w:rsidP="00F87B04">
            <w:pPr>
              <w:pStyle w:val="ARfintablebody"/>
            </w:pPr>
            <w:r w:rsidRPr="00F87B04">
              <w:t>Deputy Secretary, Family Safety Victoria</w:t>
            </w:r>
          </w:p>
        </w:tc>
        <w:tc>
          <w:tcPr>
            <w:tcW w:w="2686" w:type="dxa"/>
            <w:hideMark/>
          </w:tcPr>
          <w:p w14:paraId="60D490DB" w14:textId="77777777" w:rsidR="00265792" w:rsidRPr="00F87B04" w:rsidRDefault="00265792" w:rsidP="00F87B04">
            <w:pPr>
              <w:pStyle w:val="ARfintablebody"/>
            </w:pPr>
            <w:r w:rsidRPr="00F87B04">
              <w:t>1 July 2024 to 30 June 2025</w:t>
            </w:r>
          </w:p>
        </w:tc>
      </w:tr>
      <w:tr w:rsidR="00265792" w:rsidRPr="00F87B04" w14:paraId="04B10B62" w14:textId="77777777" w:rsidTr="005949D6">
        <w:trPr>
          <w:trHeight w:val="20"/>
        </w:trPr>
        <w:tc>
          <w:tcPr>
            <w:tcW w:w="2411" w:type="dxa"/>
            <w:hideMark/>
          </w:tcPr>
          <w:p w14:paraId="297510C5" w14:textId="77777777" w:rsidR="00265792" w:rsidRPr="00F87B04" w:rsidRDefault="00265792" w:rsidP="00F87B04">
            <w:pPr>
              <w:pStyle w:val="ARfintablebody"/>
            </w:pPr>
            <w:r w:rsidRPr="00F87B04">
              <w:t>Department of Families, Fairness and Housing</w:t>
            </w:r>
          </w:p>
        </w:tc>
        <w:tc>
          <w:tcPr>
            <w:tcW w:w="1844" w:type="dxa"/>
            <w:noWrap/>
            <w:hideMark/>
          </w:tcPr>
          <w:p w14:paraId="0B1112DC" w14:textId="77777777" w:rsidR="00265792" w:rsidRPr="00F87B04" w:rsidRDefault="00265792" w:rsidP="00F87B04">
            <w:pPr>
              <w:pStyle w:val="ARfintablebody"/>
            </w:pPr>
            <w:r w:rsidRPr="00F87B04">
              <w:t>Fran O'Toole</w:t>
            </w:r>
          </w:p>
        </w:tc>
        <w:tc>
          <w:tcPr>
            <w:tcW w:w="2691" w:type="dxa"/>
            <w:hideMark/>
          </w:tcPr>
          <w:p w14:paraId="290D4BBA" w14:textId="77777777" w:rsidR="00265792" w:rsidRPr="00F87B04" w:rsidRDefault="00265792" w:rsidP="00F87B04">
            <w:pPr>
              <w:pStyle w:val="ARfintablebody"/>
            </w:pPr>
            <w:r w:rsidRPr="00F87B04">
              <w:t>Acting Deputy Secretary, Family Safety Victoria</w:t>
            </w:r>
          </w:p>
        </w:tc>
        <w:tc>
          <w:tcPr>
            <w:tcW w:w="2686" w:type="dxa"/>
            <w:hideMark/>
          </w:tcPr>
          <w:p w14:paraId="7E1EF52F" w14:textId="79462F12" w:rsidR="00265792" w:rsidRPr="00F87B04" w:rsidRDefault="00265792" w:rsidP="00F87B04">
            <w:pPr>
              <w:pStyle w:val="ARfintablebody"/>
            </w:pPr>
            <w:r w:rsidRPr="00F87B04">
              <w:t>6 January 2025 to 12</w:t>
            </w:r>
            <w:r w:rsidR="005949D6">
              <w:t> </w:t>
            </w:r>
            <w:r w:rsidRPr="00F87B04">
              <w:t>January</w:t>
            </w:r>
            <w:r w:rsidR="005949D6">
              <w:t> </w:t>
            </w:r>
            <w:r w:rsidRPr="00F87B04">
              <w:t>2025</w:t>
            </w:r>
          </w:p>
        </w:tc>
      </w:tr>
      <w:tr w:rsidR="00265792" w:rsidRPr="00F87B04" w14:paraId="3B602B3A" w14:textId="77777777" w:rsidTr="005949D6">
        <w:trPr>
          <w:trHeight w:val="20"/>
        </w:trPr>
        <w:tc>
          <w:tcPr>
            <w:tcW w:w="2411" w:type="dxa"/>
            <w:hideMark/>
          </w:tcPr>
          <w:p w14:paraId="170E5318" w14:textId="77777777" w:rsidR="00265792" w:rsidRPr="00F87B04" w:rsidRDefault="00265792" w:rsidP="00F87B04">
            <w:pPr>
              <w:pStyle w:val="ARfintablebody"/>
            </w:pPr>
            <w:r w:rsidRPr="00F87B04">
              <w:t>Department of Families, Fairness and Housing</w:t>
            </w:r>
          </w:p>
        </w:tc>
        <w:tc>
          <w:tcPr>
            <w:tcW w:w="1844" w:type="dxa"/>
            <w:noWrap/>
            <w:hideMark/>
          </w:tcPr>
          <w:p w14:paraId="1B9684CE" w14:textId="77777777" w:rsidR="00265792" w:rsidRPr="00F87B04" w:rsidRDefault="00265792" w:rsidP="00F87B04">
            <w:pPr>
              <w:pStyle w:val="ARfintablebody"/>
            </w:pPr>
            <w:r w:rsidRPr="00F87B04">
              <w:t>Amber Griffiths</w:t>
            </w:r>
          </w:p>
        </w:tc>
        <w:tc>
          <w:tcPr>
            <w:tcW w:w="2691" w:type="dxa"/>
            <w:hideMark/>
          </w:tcPr>
          <w:p w14:paraId="78719871" w14:textId="77777777" w:rsidR="00265792" w:rsidRPr="00F87B04" w:rsidRDefault="00265792" w:rsidP="00F87B04">
            <w:pPr>
              <w:pStyle w:val="ARfintablebody"/>
            </w:pPr>
            <w:r w:rsidRPr="00F87B04">
              <w:t>Acting Deputy Secretary, Family Safety Victoria</w:t>
            </w:r>
          </w:p>
        </w:tc>
        <w:tc>
          <w:tcPr>
            <w:tcW w:w="2686" w:type="dxa"/>
            <w:hideMark/>
          </w:tcPr>
          <w:p w14:paraId="38F21D70" w14:textId="77777777" w:rsidR="00265792" w:rsidRPr="00F87B04" w:rsidRDefault="00265792" w:rsidP="00F87B04">
            <w:pPr>
              <w:pStyle w:val="ARfintablebody"/>
            </w:pPr>
            <w:r w:rsidRPr="00F87B04">
              <w:t>9 June 2025 to 30 June 2025</w:t>
            </w:r>
          </w:p>
        </w:tc>
      </w:tr>
      <w:tr w:rsidR="00265792" w:rsidRPr="00F87B04" w14:paraId="1ECAC341" w14:textId="77777777" w:rsidTr="005949D6">
        <w:trPr>
          <w:trHeight w:val="20"/>
        </w:trPr>
        <w:tc>
          <w:tcPr>
            <w:tcW w:w="2411" w:type="dxa"/>
            <w:hideMark/>
          </w:tcPr>
          <w:p w14:paraId="73672C3B" w14:textId="77777777" w:rsidR="00265792" w:rsidRPr="00F87B04" w:rsidRDefault="00265792" w:rsidP="00F87B04">
            <w:pPr>
              <w:pStyle w:val="ARfintablebody"/>
            </w:pPr>
            <w:r w:rsidRPr="00F87B04">
              <w:t>Department of Families, Fairness and Housing</w:t>
            </w:r>
          </w:p>
        </w:tc>
        <w:tc>
          <w:tcPr>
            <w:tcW w:w="1844" w:type="dxa"/>
            <w:noWrap/>
            <w:hideMark/>
          </w:tcPr>
          <w:p w14:paraId="5818BD4E" w14:textId="77777777" w:rsidR="00265792" w:rsidRPr="00F87B04" w:rsidRDefault="00265792" w:rsidP="00F87B04">
            <w:pPr>
              <w:pStyle w:val="ARfintablebody"/>
            </w:pPr>
            <w:r w:rsidRPr="00F87B04">
              <w:t>Simon Newport</w:t>
            </w:r>
          </w:p>
        </w:tc>
        <w:tc>
          <w:tcPr>
            <w:tcW w:w="2691" w:type="dxa"/>
            <w:hideMark/>
          </w:tcPr>
          <w:p w14:paraId="48234C80" w14:textId="77777777" w:rsidR="00265792" w:rsidRPr="00F87B04" w:rsidRDefault="00265792" w:rsidP="00F87B04">
            <w:pPr>
              <w:pStyle w:val="ARfintablebody"/>
            </w:pPr>
            <w:r w:rsidRPr="00F87B04">
              <w:t>Chief Executive Officer, Homes Victoria</w:t>
            </w:r>
          </w:p>
        </w:tc>
        <w:tc>
          <w:tcPr>
            <w:tcW w:w="2686" w:type="dxa"/>
            <w:hideMark/>
          </w:tcPr>
          <w:p w14:paraId="0D3AAB50" w14:textId="77777777" w:rsidR="00265792" w:rsidRPr="00F87B04" w:rsidRDefault="00265792" w:rsidP="00F87B04">
            <w:pPr>
              <w:pStyle w:val="ARfintablebody"/>
            </w:pPr>
            <w:r w:rsidRPr="00F87B04">
              <w:t>1 July 2024 to 30 June 2025</w:t>
            </w:r>
          </w:p>
        </w:tc>
      </w:tr>
      <w:tr w:rsidR="00265792" w:rsidRPr="00F87B04" w14:paraId="07D0931C" w14:textId="77777777" w:rsidTr="005949D6">
        <w:trPr>
          <w:trHeight w:val="20"/>
        </w:trPr>
        <w:tc>
          <w:tcPr>
            <w:tcW w:w="2411" w:type="dxa"/>
            <w:hideMark/>
          </w:tcPr>
          <w:p w14:paraId="63B14803" w14:textId="77777777" w:rsidR="00265792" w:rsidRPr="00F87B04" w:rsidRDefault="00265792" w:rsidP="00F87B04">
            <w:pPr>
              <w:pStyle w:val="ARfintablebody"/>
            </w:pPr>
            <w:r w:rsidRPr="00F87B04">
              <w:t>Department of Families, Fairness and Housing</w:t>
            </w:r>
          </w:p>
        </w:tc>
        <w:tc>
          <w:tcPr>
            <w:tcW w:w="1844" w:type="dxa"/>
            <w:noWrap/>
            <w:hideMark/>
          </w:tcPr>
          <w:p w14:paraId="23248C29" w14:textId="77777777" w:rsidR="00265792" w:rsidRPr="00F87B04" w:rsidRDefault="00265792" w:rsidP="00F87B04">
            <w:pPr>
              <w:pStyle w:val="ARfintablebody"/>
            </w:pPr>
            <w:r w:rsidRPr="00F87B04">
              <w:t>Dannii de Kretser</w:t>
            </w:r>
          </w:p>
        </w:tc>
        <w:tc>
          <w:tcPr>
            <w:tcW w:w="2691" w:type="dxa"/>
            <w:hideMark/>
          </w:tcPr>
          <w:p w14:paraId="4C21B80B" w14:textId="77777777" w:rsidR="00265792" w:rsidRPr="00F87B04" w:rsidRDefault="00265792" w:rsidP="00F87B04">
            <w:pPr>
              <w:pStyle w:val="ARfintablebody"/>
            </w:pPr>
            <w:r w:rsidRPr="00F87B04">
              <w:t>Acting Chief Executive Officer, Homes Victoria</w:t>
            </w:r>
          </w:p>
        </w:tc>
        <w:tc>
          <w:tcPr>
            <w:tcW w:w="2686" w:type="dxa"/>
            <w:hideMark/>
          </w:tcPr>
          <w:p w14:paraId="449E4BD9" w14:textId="77777777" w:rsidR="00265792" w:rsidRPr="00F87B04" w:rsidRDefault="00265792" w:rsidP="00F87B04">
            <w:pPr>
              <w:pStyle w:val="ARfintablebody"/>
            </w:pPr>
            <w:r w:rsidRPr="00F87B04">
              <w:t>5 September 2024 to 29 September 2024</w:t>
            </w:r>
          </w:p>
        </w:tc>
      </w:tr>
      <w:tr w:rsidR="00265792" w:rsidRPr="00F87B04" w14:paraId="43DD636E" w14:textId="77777777" w:rsidTr="005949D6">
        <w:trPr>
          <w:trHeight w:val="20"/>
        </w:trPr>
        <w:tc>
          <w:tcPr>
            <w:tcW w:w="2411" w:type="dxa"/>
            <w:hideMark/>
          </w:tcPr>
          <w:p w14:paraId="67A85364" w14:textId="77777777" w:rsidR="00265792" w:rsidRPr="00F87B04" w:rsidRDefault="00265792" w:rsidP="00F87B04">
            <w:pPr>
              <w:pStyle w:val="ARfintablebody"/>
            </w:pPr>
            <w:r w:rsidRPr="00F87B04">
              <w:t>Department of Families, Fairness and Housing</w:t>
            </w:r>
          </w:p>
        </w:tc>
        <w:tc>
          <w:tcPr>
            <w:tcW w:w="1844" w:type="dxa"/>
            <w:noWrap/>
            <w:hideMark/>
          </w:tcPr>
          <w:p w14:paraId="3F940256" w14:textId="77777777" w:rsidR="00265792" w:rsidRPr="00F87B04" w:rsidRDefault="00265792" w:rsidP="00F87B04">
            <w:pPr>
              <w:pStyle w:val="ARfintablebody"/>
            </w:pPr>
            <w:r w:rsidRPr="00F87B04">
              <w:t>Dannii de Kretser</w:t>
            </w:r>
          </w:p>
        </w:tc>
        <w:tc>
          <w:tcPr>
            <w:tcW w:w="2691" w:type="dxa"/>
            <w:hideMark/>
          </w:tcPr>
          <w:p w14:paraId="2C2A835F" w14:textId="77777777" w:rsidR="00265792" w:rsidRPr="00F87B04" w:rsidRDefault="00265792" w:rsidP="00F87B04">
            <w:pPr>
              <w:pStyle w:val="ARfintablebody"/>
            </w:pPr>
            <w:r w:rsidRPr="00F87B04">
              <w:t>Deputy CEO, Homes Victoria</w:t>
            </w:r>
          </w:p>
        </w:tc>
        <w:tc>
          <w:tcPr>
            <w:tcW w:w="2686" w:type="dxa"/>
            <w:hideMark/>
          </w:tcPr>
          <w:p w14:paraId="75FE9D17" w14:textId="77777777" w:rsidR="00265792" w:rsidRPr="00F87B04" w:rsidRDefault="00265792" w:rsidP="00F87B04">
            <w:pPr>
              <w:pStyle w:val="ARfintablebody"/>
            </w:pPr>
            <w:r w:rsidRPr="00F87B04">
              <w:t>1 July 2024 to 30 June 2025</w:t>
            </w:r>
          </w:p>
        </w:tc>
      </w:tr>
      <w:tr w:rsidR="00265792" w:rsidRPr="00F87B04" w14:paraId="18570BE4" w14:textId="77777777" w:rsidTr="005949D6">
        <w:trPr>
          <w:trHeight w:val="20"/>
        </w:trPr>
        <w:tc>
          <w:tcPr>
            <w:tcW w:w="2411" w:type="dxa"/>
            <w:hideMark/>
          </w:tcPr>
          <w:p w14:paraId="1F3C5857" w14:textId="77777777" w:rsidR="00265792" w:rsidRPr="00F87B04" w:rsidRDefault="00265792" w:rsidP="00F87B04">
            <w:pPr>
              <w:pStyle w:val="ARfintablebody"/>
            </w:pPr>
            <w:r w:rsidRPr="00F87B04">
              <w:t>Department of Families, Fairness and Housing</w:t>
            </w:r>
          </w:p>
        </w:tc>
        <w:tc>
          <w:tcPr>
            <w:tcW w:w="1844" w:type="dxa"/>
            <w:noWrap/>
            <w:hideMark/>
          </w:tcPr>
          <w:p w14:paraId="6915D23A" w14:textId="77777777" w:rsidR="00265792" w:rsidRPr="00F87B04" w:rsidRDefault="00265792" w:rsidP="00F87B04">
            <w:pPr>
              <w:pStyle w:val="ARfintablebody"/>
            </w:pPr>
            <w:r w:rsidRPr="00F87B04">
              <w:t>Elsie Loh</w:t>
            </w:r>
          </w:p>
        </w:tc>
        <w:tc>
          <w:tcPr>
            <w:tcW w:w="2691" w:type="dxa"/>
            <w:hideMark/>
          </w:tcPr>
          <w:p w14:paraId="052EE5FF" w14:textId="77777777" w:rsidR="00265792" w:rsidRPr="00F87B04" w:rsidRDefault="00265792" w:rsidP="00F87B04">
            <w:pPr>
              <w:pStyle w:val="ARfintablebody"/>
            </w:pPr>
            <w:r w:rsidRPr="00F87B04">
              <w:t>Acting Deputy CEO, Homes Victoria</w:t>
            </w:r>
          </w:p>
        </w:tc>
        <w:tc>
          <w:tcPr>
            <w:tcW w:w="2686" w:type="dxa"/>
            <w:hideMark/>
          </w:tcPr>
          <w:p w14:paraId="733A22D4" w14:textId="77777777" w:rsidR="00265792" w:rsidRPr="00F87B04" w:rsidRDefault="00265792" w:rsidP="00F87B04">
            <w:pPr>
              <w:pStyle w:val="ARfintablebody"/>
            </w:pPr>
            <w:r w:rsidRPr="00F87B04">
              <w:t>5 September 2024 to 27 September 2024</w:t>
            </w:r>
          </w:p>
        </w:tc>
      </w:tr>
      <w:tr w:rsidR="00265792" w:rsidRPr="00F87B04" w14:paraId="6092655B" w14:textId="77777777" w:rsidTr="005949D6">
        <w:trPr>
          <w:trHeight w:val="20"/>
        </w:trPr>
        <w:tc>
          <w:tcPr>
            <w:tcW w:w="2411" w:type="dxa"/>
            <w:tcBorders>
              <w:bottom w:val="single" w:sz="4" w:space="0" w:color="A6A6A6" w:themeColor="accent5"/>
            </w:tcBorders>
            <w:hideMark/>
          </w:tcPr>
          <w:p w14:paraId="5E6FDA74" w14:textId="77777777" w:rsidR="00265792" w:rsidRPr="00F87B04" w:rsidRDefault="00265792" w:rsidP="00F87B04">
            <w:pPr>
              <w:pStyle w:val="ARfintablebody"/>
            </w:pPr>
            <w:r w:rsidRPr="00F87B04">
              <w:t>Department of Families, Fairness and Housing</w:t>
            </w:r>
          </w:p>
        </w:tc>
        <w:tc>
          <w:tcPr>
            <w:tcW w:w="1844" w:type="dxa"/>
            <w:tcBorders>
              <w:bottom w:val="single" w:sz="4" w:space="0" w:color="A6A6A6" w:themeColor="accent5"/>
            </w:tcBorders>
            <w:noWrap/>
            <w:hideMark/>
          </w:tcPr>
          <w:p w14:paraId="041C8FED" w14:textId="77777777" w:rsidR="00265792" w:rsidRPr="00F87B04" w:rsidRDefault="00265792" w:rsidP="00F87B04">
            <w:pPr>
              <w:pStyle w:val="ARfintablebody"/>
            </w:pPr>
            <w:r w:rsidRPr="00F87B04">
              <w:t>Lucy Toovey</w:t>
            </w:r>
          </w:p>
        </w:tc>
        <w:tc>
          <w:tcPr>
            <w:tcW w:w="2691" w:type="dxa"/>
            <w:tcBorders>
              <w:bottom w:val="single" w:sz="4" w:space="0" w:color="A6A6A6" w:themeColor="accent5"/>
            </w:tcBorders>
            <w:hideMark/>
          </w:tcPr>
          <w:p w14:paraId="56CA2D45" w14:textId="77777777" w:rsidR="00265792" w:rsidRPr="00F87B04" w:rsidRDefault="00265792" w:rsidP="00F87B04">
            <w:pPr>
              <w:pStyle w:val="ARfintablebody"/>
            </w:pPr>
            <w:r w:rsidRPr="00F87B04">
              <w:t>Acting Deputy CEO, Homes Victoria</w:t>
            </w:r>
          </w:p>
        </w:tc>
        <w:tc>
          <w:tcPr>
            <w:tcW w:w="2686" w:type="dxa"/>
            <w:tcBorders>
              <w:bottom w:val="single" w:sz="4" w:space="0" w:color="A6A6A6" w:themeColor="accent5"/>
            </w:tcBorders>
            <w:hideMark/>
          </w:tcPr>
          <w:p w14:paraId="2537966C" w14:textId="3A5A40EC" w:rsidR="00265792" w:rsidRPr="00F87B04" w:rsidRDefault="00265792" w:rsidP="00F87B04">
            <w:pPr>
              <w:pStyle w:val="ARfintablebody"/>
            </w:pPr>
            <w:r w:rsidRPr="00F87B04">
              <w:t>2 December 2024 to 7</w:t>
            </w:r>
            <w:r w:rsidR="005949D6">
              <w:t> </w:t>
            </w:r>
            <w:r w:rsidRPr="00F87B04">
              <w:t>March</w:t>
            </w:r>
            <w:r w:rsidR="005949D6">
              <w:t> </w:t>
            </w:r>
            <w:r w:rsidRPr="00F87B04">
              <w:t>2025</w:t>
            </w:r>
          </w:p>
        </w:tc>
      </w:tr>
      <w:tr w:rsidR="00265792" w:rsidRPr="00F87B04" w14:paraId="2CA3C397" w14:textId="77777777" w:rsidTr="005949D6">
        <w:trPr>
          <w:trHeight w:val="20"/>
        </w:trPr>
        <w:tc>
          <w:tcPr>
            <w:tcW w:w="2411" w:type="dxa"/>
            <w:tcBorders>
              <w:top w:val="single" w:sz="4" w:space="0" w:color="A6A6A6" w:themeColor="accent5"/>
              <w:bottom w:val="single" w:sz="4" w:space="0" w:color="A6A6A6" w:themeColor="accent5"/>
            </w:tcBorders>
            <w:hideMark/>
          </w:tcPr>
          <w:p w14:paraId="6B472FC5" w14:textId="77777777" w:rsidR="00265792" w:rsidRPr="00F87B04" w:rsidRDefault="00265792" w:rsidP="00F87B04">
            <w:pPr>
              <w:pStyle w:val="ARfintablebody"/>
            </w:pPr>
            <w:r w:rsidRPr="00F87B04">
              <w:t>Department of Families, Fairness and Housing</w:t>
            </w:r>
          </w:p>
        </w:tc>
        <w:tc>
          <w:tcPr>
            <w:tcW w:w="1844" w:type="dxa"/>
            <w:tcBorders>
              <w:top w:val="single" w:sz="4" w:space="0" w:color="A6A6A6" w:themeColor="accent5"/>
              <w:bottom w:val="single" w:sz="4" w:space="0" w:color="A6A6A6" w:themeColor="accent5"/>
            </w:tcBorders>
            <w:noWrap/>
            <w:hideMark/>
          </w:tcPr>
          <w:p w14:paraId="25007EFF" w14:textId="77777777" w:rsidR="00265792" w:rsidRPr="00F87B04" w:rsidRDefault="00265792" w:rsidP="00F87B04">
            <w:pPr>
              <w:pStyle w:val="ARfintablebody"/>
            </w:pPr>
            <w:r w:rsidRPr="00F87B04">
              <w:t xml:space="preserve">Drew </w:t>
            </w:r>
            <w:r>
              <w:br/>
            </w:r>
            <w:r w:rsidRPr="00F87B04">
              <w:t>Warne-Smith</w:t>
            </w:r>
          </w:p>
        </w:tc>
        <w:tc>
          <w:tcPr>
            <w:tcW w:w="2691" w:type="dxa"/>
            <w:tcBorders>
              <w:top w:val="single" w:sz="4" w:space="0" w:color="A6A6A6" w:themeColor="accent5"/>
              <w:bottom w:val="single" w:sz="4" w:space="0" w:color="A6A6A6" w:themeColor="accent5"/>
            </w:tcBorders>
            <w:hideMark/>
          </w:tcPr>
          <w:p w14:paraId="1F14BBCE" w14:textId="77777777" w:rsidR="00265792" w:rsidRPr="00F87B04" w:rsidRDefault="00265792" w:rsidP="00F87B04">
            <w:pPr>
              <w:pStyle w:val="ARfintablebody"/>
            </w:pPr>
            <w:r w:rsidRPr="00F87B04">
              <w:t>Deputy Secretary, System Reform, Workforce and Engagement</w:t>
            </w:r>
          </w:p>
        </w:tc>
        <w:tc>
          <w:tcPr>
            <w:tcW w:w="2686" w:type="dxa"/>
            <w:tcBorders>
              <w:top w:val="single" w:sz="4" w:space="0" w:color="A6A6A6" w:themeColor="accent5"/>
              <w:bottom w:val="single" w:sz="4" w:space="0" w:color="A6A6A6" w:themeColor="accent5"/>
            </w:tcBorders>
            <w:hideMark/>
          </w:tcPr>
          <w:p w14:paraId="79758607" w14:textId="77777777" w:rsidR="00265792" w:rsidRPr="00F87B04" w:rsidRDefault="00265792" w:rsidP="00F87B04">
            <w:pPr>
              <w:pStyle w:val="ARfintablebody"/>
            </w:pPr>
            <w:r w:rsidRPr="00F87B04">
              <w:t>1 July 2024 to 30 June 2025</w:t>
            </w:r>
          </w:p>
        </w:tc>
      </w:tr>
      <w:tr w:rsidR="00265792" w:rsidRPr="00F87B04" w14:paraId="40A9CA4F" w14:textId="77777777" w:rsidTr="005949D6">
        <w:trPr>
          <w:cnfStyle w:val="010000000000" w:firstRow="0" w:lastRow="1" w:firstColumn="0" w:lastColumn="0" w:oddVBand="0" w:evenVBand="0" w:oddHBand="0" w:evenHBand="0" w:firstRowFirstColumn="0" w:firstRowLastColumn="0" w:lastRowFirstColumn="0" w:lastRowLastColumn="0"/>
          <w:trHeight w:val="20"/>
        </w:trPr>
        <w:tc>
          <w:tcPr>
            <w:tcW w:w="2411" w:type="dxa"/>
            <w:tcBorders>
              <w:top w:val="single" w:sz="4" w:space="0" w:color="A6A6A6" w:themeColor="accent5"/>
            </w:tcBorders>
            <w:hideMark/>
          </w:tcPr>
          <w:p w14:paraId="219333E0" w14:textId="77777777" w:rsidR="00265792" w:rsidRPr="00F87B04" w:rsidRDefault="00265792">
            <w:pPr>
              <w:pStyle w:val="ARfintablebody"/>
            </w:pPr>
            <w:r w:rsidRPr="00F87B04">
              <w:t xml:space="preserve">Department of </w:t>
            </w:r>
            <w:r w:rsidRPr="00F201AA">
              <w:t>Families</w:t>
            </w:r>
            <w:r w:rsidRPr="00F87B04">
              <w:t>, Fairness and Housing</w:t>
            </w:r>
          </w:p>
        </w:tc>
        <w:tc>
          <w:tcPr>
            <w:tcW w:w="1844" w:type="dxa"/>
            <w:tcBorders>
              <w:top w:val="single" w:sz="4" w:space="0" w:color="A6A6A6" w:themeColor="accent5"/>
            </w:tcBorders>
            <w:noWrap/>
            <w:hideMark/>
          </w:tcPr>
          <w:p w14:paraId="2739DECF" w14:textId="77777777" w:rsidR="00265792" w:rsidRPr="00F87B04" w:rsidRDefault="00265792">
            <w:pPr>
              <w:pStyle w:val="ARfintablebody"/>
            </w:pPr>
            <w:r w:rsidRPr="00F87B04">
              <w:t xml:space="preserve">Rachael </w:t>
            </w:r>
            <w:r w:rsidRPr="00F201AA">
              <w:t>Green</w:t>
            </w:r>
          </w:p>
        </w:tc>
        <w:tc>
          <w:tcPr>
            <w:tcW w:w="2691" w:type="dxa"/>
            <w:tcBorders>
              <w:top w:val="single" w:sz="4" w:space="0" w:color="A6A6A6" w:themeColor="accent5"/>
            </w:tcBorders>
            <w:hideMark/>
          </w:tcPr>
          <w:p w14:paraId="72257B25" w14:textId="77777777" w:rsidR="00265792" w:rsidRPr="00F87B04" w:rsidRDefault="00265792" w:rsidP="00F87B04">
            <w:pPr>
              <w:pStyle w:val="ARfintablebody"/>
            </w:pPr>
            <w:r w:rsidRPr="00F87B04">
              <w:t>Acting Deputy Secretary, System Reform, Workforce and Engagement</w:t>
            </w:r>
          </w:p>
        </w:tc>
        <w:tc>
          <w:tcPr>
            <w:tcW w:w="2686" w:type="dxa"/>
            <w:tcBorders>
              <w:top w:val="single" w:sz="4" w:space="0" w:color="A6A6A6" w:themeColor="accent5"/>
            </w:tcBorders>
            <w:hideMark/>
          </w:tcPr>
          <w:p w14:paraId="22F23361" w14:textId="77777777" w:rsidR="00265792" w:rsidRPr="00F87B04" w:rsidRDefault="00265792" w:rsidP="00F87B04">
            <w:pPr>
              <w:pStyle w:val="ARfintablebody"/>
            </w:pPr>
            <w:r w:rsidRPr="00F87B04">
              <w:t>29 July 2024 to 2 Aug</w:t>
            </w:r>
            <w:r>
              <w:t>ust</w:t>
            </w:r>
            <w:r w:rsidRPr="00F87B04">
              <w:t xml:space="preserve"> 2024</w:t>
            </w:r>
          </w:p>
        </w:tc>
      </w:tr>
    </w:tbl>
    <w:p w14:paraId="4CC309C5" w14:textId="77777777" w:rsidR="00265792" w:rsidRDefault="00265792" w:rsidP="00C75AD6">
      <w:pPr>
        <w:pStyle w:val="ARfinbodyafterandbeforetable"/>
      </w:pPr>
      <w:r>
        <w:br w:type="page"/>
      </w:r>
    </w:p>
    <w:p w14:paraId="715AB8EF" w14:textId="77777777" w:rsidR="00265792" w:rsidRDefault="00265792" w:rsidP="00C75AD6">
      <w:pPr>
        <w:pStyle w:val="ARfinbodyafterandbeforetable"/>
      </w:pPr>
      <w:r w:rsidRPr="002C7359">
        <w:rPr>
          <w:b/>
        </w:rPr>
        <w:lastRenderedPageBreak/>
        <w:t>Key management personnel</w:t>
      </w:r>
      <w:r w:rsidRPr="00C75AD6">
        <w:t xml:space="preserve"> of the agencies amalgamated pursuant to s. 53(1)(b) of the </w:t>
      </w:r>
      <w:r w:rsidRPr="00E15716">
        <w:rPr>
          <w:rStyle w:val="Emphasis"/>
        </w:rPr>
        <w:t>Financial Management Act 1994</w:t>
      </w:r>
      <w:r w:rsidRPr="00C75AD6">
        <w:t xml:space="preserve"> into the department's financial statements include:</w:t>
      </w:r>
    </w:p>
    <w:tbl>
      <w:tblPr>
        <w:tblStyle w:val="TableGrid"/>
        <w:tblW w:w="0" w:type="auto"/>
        <w:tblLook w:val="04E0" w:firstRow="1" w:lastRow="1" w:firstColumn="1" w:lastColumn="0" w:noHBand="0" w:noVBand="1"/>
      </w:tblPr>
      <w:tblGrid>
        <w:gridCol w:w="2560"/>
        <w:gridCol w:w="1803"/>
        <w:gridCol w:w="2447"/>
        <w:gridCol w:w="2822"/>
      </w:tblGrid>
      <w:tr w:rsidR="00265792" w:rsidRPr="00C75AD6" w14:paraId="032BE565" w14:textId="77777777">
        <w:trPr>
          <w:cnfStyle w:val="100000000000" w:firstRow="1" w:lastRow="0" w:firstColumn="0" w:lastColumn="0" w:oddVBand="0" w:evenVBand="0" w:oddHBand="0" w:evenHBand="0" w:firstRowFirstColumn="0" w:firstRowLastColumn="0" w:lastRowFirstColumn="0" w:lastRowLastColumn="0"/>
          <w:trHeight w:val="20"/>
          <w:tblHeader/>
        </w:trPr>
        <w:tc>
          <w:tcPr>
            <w:tcW w:w="2552" w:type="dxa"/>
            <w:noWrap/>
            <w:hideMark/>
          </w:tcPr>
          <w:p w14:paraId="40759805" w14:textId="77777777" w:rsidR="00265792" w:rsidRPr="00C75AD6" w:rsidRDefault="00265792" w:rsidP="00C75AD6">
            <w:pPr>
              <w:pStyle w:val="ARfintablecolhead"/>
            </w:pPr>
            <w:r w:rsidRPr="00C75AD6">
              <w:t>Entity</w:t>
            </w:r>
          </w:p>
        </w:tc>
        <w:tc>
          <w:tcPr>
            <w:tcW w:w="1827" w:type="dxa"/>
            <w:hideMark/>
          </w:tcPr>
          <w:p w14:paraId="7A55C092" w14:textId="77777777" w:rsidR="00265792" w:rsidRPr="00C75AD6" w:rsidRDefault="00265792" w:rsidP="00C75AD6">
            <w:pPr>
              <w:pStyle w:val="ARfintablecolhead"/>
            </w:pPr>
            <w:r w:rsidRPr="00C75AD6">
              <w:t>Key management personnel</w:t>
            </w:r>
          </w:p>
        </w:tc>
        <w:tc>
          <w:tcPr>
            <w:tcW w:w="2439" w:type="dxa"/>
            <w:noWrap/>
            <w:hideMark/>
          </w:tcPr>
          <w:p w14:paraId="46C98930" w14:textId="77777777" w:rsidR="00265792" w:rsidRPr="00C75AD6" w:rsidRDefault="00265792" w:rsidP="00C75AD6">
            <w:pPr>
              <w:pStyle w:val="ARfintablecolhead"/>
            </w:pPr>
            <w:r w:rsidRPr="00C75AD6">
              <w:t>Position title</w:t>
            </w:r>
          </w:p>
        </w:tc>
        <w:tc>
          <w:tcPr>
            <w:tcW w:w="2814" w:type="dxa"/>
            <w:noWrap/>
            <w:hideMark/>
          </w:tcPr>
          <w:p w14:paraId="3CA0E2DC" w14:textId="77777777" w:rsidR="00265792" w:rsidRPr="00C75AD6" w:rsidRDefault="00265792" w:rsidP="00C75AD6">
            <w:pPr>
              <w:pStyle w:val="ARfintablecolhead"/>
            </w:pPr>
            <w:r w:rsidRPr="00C75AD6">
              <w:t>Period</w:t>
            </w:r>
          </w:p>
        </w:tc>
      </w:tr>
      <w:tr w:rsidR="00265792" w:rsidRPr="00C75AD6" w14:paraId="042F31EC" w14:textId="77777777">
        <w:trPr>
          <w:trHeight w:val="20"/>
        </w:trPr>
        <w:tc>
          <w:tcPr>
            <w:tcW w:w="2552" w:type="dxa"/>
            <w:hideMark/>
          </w:tcPr>
          <w:p w14:paraId="460C1481" w14:textId="77777777" w:rsidR="00265792" w:rsidRPr="00C75AD6" w:rsidRDefault="00265792" w:rsidP="00C75AD6">
            <w:pPr>
              <w:pStyle w:val="ARfintablebody"/>
            </w:pPr>
            <w:r w:rsidRPr="00C75AD6">
              <w:t>Commission for Children &amp; Young People</w:t>
            </w:r>
          </w:p>
        </w:tc>
        <w:tc>
          <w:tcPr>
            <w:tcW w:w="1827" w:type="dxa"/>
            <w:hideMark/>
          </w:tcPr>
          <w:p w14:paraId="587B7746" w14:textId="77777777" w:rsidR="00265792" w:rsidRPr="00C75AD6" w:rsidRDefault="00265792" w:rsidP="00C75AD6">
            <w:pPr>
              <w:pStyle w:val="ARfintablebody"/>
            </w:pPr>
            <w:r w:rsidRPr="00C75AD6">
              <w:t>Meena Singh</w:t>
            </w:r>
          </w:p>
        </w:tc>
        <w:tc>
          <w:tcPr>
            <w:tcW w:w="2439" w:type="dxa"/>
            <w:hideMark/>
          </w:tcPr>
          <w:p w14:paraId="139BA42E" w14:textId="77777777" w:rsidR="00265792" w:rsidRPr="00C75AD6" w:rsidRDefault="00265792" w:rsidP="00C75AD6">
            <w:pPr>
              <w:pStyle w:val="ARfintablebody"/>
            </w:pPr>
            <w:r w:rsidRPr="00C75AD6">
              <w:t>Commissioner</w:t>
            </w:r>
          </w:p>
        </w:tc>
        <w:tc>
          <w:tcPr>
            <w:tcW w:w="2814" w:type="dxa"/>
            <w:hideMark/>
          </w:tcPr>
          <w:p w14:paraId="54F633D4" w14:textId="77777777" w:rsidR="00265792" w:rsidRPr="00C75AD6" w:rsidRDefault="00265792" w:rsidP="00C75AD6">
            <w:pPr>
              <w:pStyle w:val="ARfintablebody"/>
            </w:pPr>
            <w:r w:rsidRPr="00C75AD6">
              <w:t>1 July 2024 to 30 June 2025</w:t>
            </w:r>
          </w:p>
        </w:tc>
      </w:tr>
      <w:tr w:rsidR="00265792" w:rsidRPr="00C75AD6" w14:paraId="3AF8E8B0" w14:textId="77777777">
        <w:trPr>
          <w:trHeight w:val="20"/>
        </w:trPr>
        <w:tc>
          <w:tcPr>
            <w:tcW w:w="2552" w:type="dxa"/>
            <w:hideMark/>
          </w:tcPr>
          <w:p w14:paraId="219ADF69" w14:textId="77777777" w:rsidR="00265792" w:rsidRPr="00C75AD6" w:rsidRDefault="00265792" w:rsidP="00C75AD6">
            <w:pPr>
              <w:pStyle w:val="ARfintablebody"/>
            </w:pPr>
            <w:r w:rsidRPr="00C75AD6">
              <w:t>Commission for Children &amp; Young People</w:t>
            </w:r>
          </w:p>
        </w:tc>
        <w:tc>
          <w:tcPr>
            <w:tcW w:w="1827" w:type="dxa"/>
            <w:hideMark/>
          </w:tcPr>
          <w:p w14:paraId="4D798D38" w14:textId="77777777" w:rsidR="00265792" w:rsidRPr="00C75AD6" w:rsidRDefault="00265792" w:rsidP="00C75AD6">
            <w:pPr>
              <w:pStyle w:val="ARfintablebody"/>
            </w:pPr>
            <w:r w:rsidRPr="00C75AD6">
              <w:t>Liana Buchanan</w:t>
            </w:r>
          </w:p>
        </w:tc>
        <w:tc>
          <w:tcPr>
            <w:tcW w:w="2439" w:type="dxa"/>
            <w:hideMark/>
          </w:tcPr>
          <w:p w14:paraId="4B2B8186" w14:textId="77777777" w:rsidR="00265792" w:rsidRPr="00C75AD6" w:rsidRDefault="00265792" w:rsidP="00C75AD6">
            <w:pPr>
              <w:pStyle w:val="ARfintablebody"/>
            </w:pPr>
            <w:r w:rsidRPr="00C75AD6">
              <w:t>Principal Commissioner</w:t>
            </w:r>
          </w:p>
        </w:tc>
        <w:tc>
          <w:tcPr>
            <w:tcW w:w="2814" w:type="dxa"/>
            <w:hideMark/>
          </w:tcPr>
          <w:p w14:paraId="5F14C5E6" w14:textId="77777777" w:rsidR="00265792" w:rsidRPr="00C75AD6" w:rsidRDefault="00265792" w:rsidP="00C75AD6">
            <w:pPr>
              <w:pStyle w:val="ARfintablebody"/>
            </w:pPr>
            <w:r w:rsidRPr="00C75AD6">
              <w:t>1 July 2024 to 21 March 2025</w:t>
            </w:r>
          </w:p>
        </w:tc>
      </w:tr>
      <w:tr w:rsidR="00265792" w:rsidRPr="00C75AD6" w14:paraId="7184F668" w14:textId="77777777">
        <w:trPr>
          <w:trHeight w:val="20"/>
        </w:trPr>
        <w:tc>
          <w:tcPr>
            <w:tcW w:w="2552" w:type="dxa"/>
            <w:hideMark/>
          </w:tcPr>
          <w:p w14:paraId="7A03837F" w14:textId="77777777" w:rsidR="00265792" w:rsidRPr="00C75AD6" w:rsidRDefault="00265792" w:rsidP="00C75AD6">
            <w:pPr>
              <w:pStyle w:val="ARfintablebody"/>
            </w:pPr>
            <w:r w:rsidRPr="00C75AD6">
              <w:t>Commission for Children &amp; Young People</w:t>
            </w:r>
          </w:p>
        </w:tc>
        <w:tc>
          <w:tcPr>
            <w:tcW w:w="1827" w:type="dxa"/>
            <w:hideMark/>
          </w:tcPr>
          <w:p w14:paraId="73D89DFD" w14:textId="77777777" w:rsidR="00265792" w:rsidRPr="00C75AD6" w:rsidRDefault="00265792" w:rsidP="00C75AD6">
            <w:pPr>
              <w:pStyle w:val="ARfintablebody"/>
            </w:pPr>
            <w:r w:rsidRPr="00C75AD6">
              <w:t>Meena Singh</w:t>
            </w:r>
          </w:p>
        </w:tc>
        <w:tc>
          <w:tcPr>
            <w:tcW w:w="2439" w:type="dxa"/>
            <w:hideMark/>
          </w:tcPr>
          <w:p w14:paraId="5831E0AE" w14:textId="77777777" w:rsidR="00265792" w:rsidRPr="00C75AD6" w:rsidRDefault="00265792" w:rsidP="00C75AD6">
            <w:pPr>
              <w:pStyle w:val="ARfintablebody"/>
            </w:pPr>
            <w:r w:rsidRPr="00C75AD6">
              <w:t>Acting Principal Commissioner</w:t>
            </w:r>
          </w:p>
        </w:tc>
        <w:tc>
          <w:tcPr>
            <w:tcW w:w="2814" w:type="dxa"/>
            <w:hideMark/>
          </w:tcPr>
          <w:p w14:paraId="0C855119" w14:textId="77777777" w:rsidR="00265792" w:rsidRPr="00C75AD6" w:rsidRDefault="00265792" w:rsidP="00C75AD6">
            <w:pPr>
              <w:pStyle w:val="ARfintablebody"/>
            </w:pPr>
            <w:r w:rsidRPr="00C75AD6">
              <w:t>24 March 2025 to 30 June 2025</w:t>
            </w:r>
          </w:p>
        </w:tc>
      </w:tr>
      <w:tr w:rsidR="00265792" w:rsidRPr="00C75AD6" w14:paraId="10DFF710" w14:textId="77777777">
        <w:trPr>
          <w:trHeight w:val="20"/>
        </w:trPr>
        <w:tc>
          <w:tcPr>
            <w:tcW w:w="2552" w:type="dxa"/>
            <w:hideMark/>
          </w:tcPr>
          <w:p w14:paraId="14EDFB2E" w14:textId="77777777" w:rsidR="00265792" w:rsidRPr="00C75AD6" w:rsidRDefault="00265792" w:rsidP="00C75AD6">
            <w:pPr>
              <w:pStyle w:val="ARfintablebody"/>
            </w:pPr>
            <w:r w:rsidRPr="00C75AD6">
              <w:t>Commission for Children &amp; Young People</w:t>
            </w:r>
          </w:p>
        </w:tc>
        <w:tc>
          <w:tcPr>
            <w:tcW w:w="1827" w:type="dxa"/>
            <w:hideMark/>
          </w:tcPr>
          <w:p w14:paraId="08C9CFE2" w14:textId="77777777" w:rsidR="00265792" w:rsidRPr="00C75AD6" w:rsidRDefault="00265792" w:rsidP="00C75AD6">
            <w:pPr>
              <w:pStyle w:val="ARfintablebody"/>
            </w:pPr>
            <w:r w:rsidRPr="00C75AD6">
              <w:t>Leanne Barnes</w:t>
            </w:r>
          </w:p>
        </w:tc>
        <w:tc>
          <w:tcPr>
            <w:tcW w:w="2439" w:type="dxa"/>
            <w:hideMark/>
          </w:tcPr>
          <w:p w14:paraId="4138BF1C" w14:textId="77777777" w:rsidR="00265792" w:rsidRPr="00C75AD6" w:rsidRDefault="00265792" w:rsidP="00C75AD6">
            <w:pPr>
              <w:pStyle w:val="ARfintablebody"/>
            </w:pPr>
            <w:r w:rsidRPr="00C75AD6">
              <w:t>Chief Executive Officer</w:t>
            </w:r>
          </w:p>
        </w:tc>
        <w:tc>
          <w:tcPr>
            <w:tcW w:w="2814" w:type="dxa"/>
            <w:hideMark/>
          </w:tcPr>
          <w:p w14:paraId="39085CE1" w14:textId="77777777" w:rsidR="00265792" w:rsidRPr="00C75AD6" w:rsidRDefault="00265792" w:rsidP="00C75AD6">
            <w:pPr>
              <w:pStyle w:val="ARfintablebody"/>
            </w:pPr>
            <w:r w:rsidRPr="00C75AD6">
              <w:t>1 July 2024 to 30 June 2025</w:t>
            </w:r>
          </w:p>
        </w:tc>
      </w:tr>
      <w:tr w:rsidR="00265792" w:rsidRPr="00C75AD6" w14:paraId="2B567E18" w14:textId="77777777">
        <w:trPr>
          <w:trHeight w:val="20"/>
        </w:trPr>
        <w:tc>
          <w:tcPr>
            <w:tcW w:w="2552" w:type="dxa"/>
            <w:hideMark/>
          </w:tcPr>
          <w:p w14:paraId="7B15D3AF" w14:textId="77777777" w:rsidR="00265792" w:rsidRPr="00C75AD6" w:rsidRDefault="00265792" w:rsidP="00C75AD6">
            <w:pPr>
              <w:pStyle w:val="ARfintablebody"/>
            </w:pPr>
            <w:r w:rsidRPr="00C75AD6">
              <w:t>Commission for Children &amp; Young People</w:t>
            </w:r>
          </w:p>
        </w:tc>
        <w:tc>
          <w:tcPr>
            <w:tcW w:w="1827" w:type="dxa"/>
            <w:hideMark/>
          </w:tcPr>
          <w:p w14:paraId="0F66ED98" w14:textId="77777777" w:rsidR="00265792" w:rsidRPr="00C75AD6" w:rsidRDefault="00265792" w:rsidP="00C75AD6">
            <w:pPr>
              <w:pStyle w:val="ARfintablebody"/>
            </w:pPr>
            <w:r w:rsidRPr="00C75AD6">
              <w:t>Todd Sweeney</w:t>
            </w:r>
          </w:p>
        </w:tc>
        <w:tc>
          <w:tcPr>
            <w:tcW w:w="2439" w:type="dxa"/>
            <w:hideMark/>
          </w:tcPr>
          <w:p w14:paraId="7AB58DFF" w14:textId="77777777" w:rsidR="00265792" w:rsidRPr="00C75AD6" w:rsidRDefault="00265792" w:rsidP="00C75AD6">
            <w:pPr>
              <w:pStyle w:val="ARfintablebody"/>
            </w:pPr>
            <w:r w:rsidRPr="00C75AD6">
              <w:t>Acting Chief Executive Officer</w:t>
            </w:r>
          </w:p>
        </w:tc>
        <w:tc>
          <w:tcPr>
            <w:tcW w:w="2814" w:type="dxa"/>
            <w:hideMark/>
          </w:tcPr>
          <w:p w14:paraId="22156F2B" w14:textId="77777777" w:rsidR="00265792" w:rsidRPr="00C75AD6" w:rsidRDefault="00265792" w:rsidP="00C75AD6">
            <w:pPr>
              <w:pStyle w:val="ARfintablebody"/>
            </w:pPr>
            <w:r w:rsidRPr="00C75AD6">
              <w:t>29 July 2024 to 5 August 2024</w:t>
            </w:r>
            <w:r w:rsidRPr="00C75AD6">
              <w:br/>
              <w:t>23 December 2024 to 10 January 2025</w:t>
            </w:r>
          </w:p>
        </w:tc>
      </w:tr>
      <w:tr w:rsidR="00265792" w:rsidRPr="00C75AD6" w14:paraId="168E68BE" w14:textId="77777777">
        <w:trPr>
          <w:trHeight w:val="20"/>
        </w:trPr>
        <w:tc>
          <w:tcPr>
            <w:tcW w:w="2552" w:type="dxa"/>
            <w:hideMark/>
          </w:tcPr>
          <w:p w14:paraId="30301E69" w14:textId="77777777" w:rsidR="00265792" w:rsidRPr="00C75AD6" w:rsidRDefault="00265792" w:rsidP="00C75AD6">
            <w:pPr>
              <w:pStyle w:val="ARfintablebody"/>
            </w:pPr>
            <w:r w:rsidRPr="00C75AD6">
              <w:t>Disability Services Commissioner</w:t>
            </w:r>
          </w:p>
        </w:tc>
        <w:tc>
          <w:tcPr>
            <w:tcW w:w="1827" w:type="dxa"/>
            <w:hideMark/>
          </w:tcPr>
          <w:p w14:paraId="410B64C2" w14:textId="77777777" w:rsidR="00265792" w:rsidRPr="00C75AD6" w:rsidRDefault="00265792" w:rsidP="00C75AD6">
            <w:pPr>
              <w:pStyle w:val="ARfintablebody"/>
            </w:pPr>
            <w:r w:rsidRPr="00C75AD6">
              <w:t xml:space="preserve">Jennifer </w:t>
            </w:r>
            <w:r>
              <w:br/>
            </w:r>
            <w:r w:rsidRPr="00C75AD6">
              <w:t>Jackson-Hall</w:t>
            </w:r>
          </w:p>
        </w:tc>
        <w:tc>
          <w:tcPr>
            <w:tcW w:w="2439" w:type="dxa"/>
            <w:hideMark/>
          </w:tcPr>
          <w:p w14:paraId="6D252C4F" w14:textId="77777777" w:rsidR="00265792" w:rsidRPr="00C75AD6" w:rsidRDefault="00265792" w:rsidP="00C75AD6">
            <w:pPr>
              <w:pStyle w:val="ARfintablebody"/>
            </w:pPr>
            <w:r w:rsidRPr="00C75AD6">
              <w:t>Commissioner</w:t>
            </w:r>
          </w:p>
        </w:tc>
        <w:tc>
          <w:tcPr>
            <w:tcW w:w="2814" w:type="dxa"/>
            <w:hideMark/>
          </w:tcPr>
          <w:p w14:paraId="4621B7A1" w14:textId="77777777" w:rsidR="00265792" w:rsidRPr="00C75AD6" w:rsidRDefault="00265792" w:rsidP="00C75AD6">
            <w:pPr>
              <w:pStyle w:val="ARfintablebody"/>
            </w:pPr>
            <w:r w:rsidRPr="00C75AD6">
              <w:t>1 July 2024 to 30 June 2025</w:t>
            </w:r>
          </w:p>
        </w:tc>
      </w:tr>
      <w:tr w:rsidR="00265792" w:rsidRPr="00C75AD6" w14:paraId="5BAAC561" w14:textId="77777777">
        <w:trPr>
          <w:trHeight w:val="20"/>
        </w:trPr>
        <w:tc>
          <w:tcPr>
            <w:tcW w:w="2552" w:type="dxa"/>
            <w:hideMark/>
          </w:tcPr>
          <w:p w14:paraId="7054FEE9" w14:textId="77777777" w:rsidR="00265792" w:rsidRPr="00C75AD6" w:rsidRDefault="00265792" w:rsidP="00C75AD6">
            <w:pPr>
              <w:pStyle w:val="ARfintablebody"/>
            </w:pPr>
            <w:r w:rsidRPr="00C75AD6">
              <w:t>Disability Worker Registration Board of</w:t>
            </w:r>
            <w:r>
              <w:t> </w:t>
            </w:r>
            <w:r w:rsidRPr="00C75AD6">
              <w:t xml:space="preserve">Victoria </w:t>
            </w:r>
          </w:p>
        </w:tc>
        <w:tc>
          <w:tcPr>
            <w:tcW w:w="1827" w:type="dxa"/>
            <w:hideMark/>
          </w:tcPr>
          <w:p w14:paraId="07C43233" w14:textId="77777777" w:rsidR="00265792" w:rsidRPr="00C75AD6" w:rsidRDefault="00265792" w:rsidP="00C75AD6">
            <w:pPr>
              <w:pStyle w:val="ARfintablebody"/>
            </w:pPr>
            <w:r w:rsidRPr="00C75AD6">
              <w:t>Melanie Eagle</w:t>
            </w:r>
          </w:p>
        </w:tc>
        <w:tc>
          <w:tcPr>
            <w:tcW w:w="2439" w:type="dxa"/>
            <w:hideMark/>
          </w:tcPr>
          <w:p w14:paraId="0CC68441" w14:textId="77777777" w:rsidR="00265792" w:rsidRPr="00C75AD6" w:rsidRDefault="00265792" w:rsidP="00C75AD6">
            <w:pPr>
              <w:pStyle w:val="ARfintablebody"/>
            </w:pPr>
            <w:r w:rsidRPr="00C75AD6">
              <w:t>Chairperson</w:t>
            </w:r>
          </w:p>
        </w:tc>
        <w:tc>
          <w:tcPr>
            <w:tcW w:w="2814" w:type="dxa"/>
            <w:hideMark/>
          </w:tcPr>
          <w:p w14:paraId="36CC6E28" w14:textId="77777777" w:rsidR="00265792" w:rsidRPr="00C75AD6" w:rsidRDefault="00265792" w:rsidP="00C75AD6">
            <w:pPr>
              <w:pStyle w:val="ARfintablebody"/>
            </w:pPr>
            <w:r w:rsidRPr="00C75AD6">
              <w:t>1 July 2024 to 30 June 2025</w:t>
            </w:r>
          </w:p>
        </w:tc>
      </w:tr>
      <w:tr w:rsidR="00265792" w:rsidRPr="00C75AD6" w14:paraId="1DAD6A2F" w14:textId="77777777">
        <w:trPr>
          <w:trHeight w:val="20"/>
        </w:trPr>
        <w:tc>
          <w:tcPr>
            <w:tcW w:w="2552" w:type="dxa"/>
            <w:hideMark/>
          </w:tcPr>
          <w:p w14:paraId="4162F3B4" w14:textId="77777777" w:rsidR="00265792" w:rsidRPr="00C75AD6" w:rsidRDefault="00265792" w:rsidP="00C75AD6">
            <w:pPr>
              <w:pStyle w:val="ARfintablebody"/>
            </w:pPr>
            <w:r w:rsidRPr="00C75AD6">
              <w:t>Respect Victoria</w:t>
            </w:r>
          </w:p>
        </w:tc>
        <w:tc>
          <w:tcPr>
            <w:tcW w:w="1827" w:type="dxa"/>
            <w:hideMark/>
          </w:tcPr>
          <w:p w14:paraId="0C2C1596" w14:textId="77777777" w:rsidR="00265792" w:rsidRPr="00C75AD6" w:rsidRDefault="00265792" w:rsidP="00C75AD6">
            <w:pPr>
              <w:pStyle w:val="ARfintablebody"/>
            </w:pPr>
            <w:r w:rsidRPr="00C75AD6">
              <w:t>Serina McDuff</w:t>
            </w:r>
          </w:p>
        </w:tc>
        <w:tc>
          <w:tcPr>
            <w:tcW w:w="2439" w:type="dxa"/>
            <w:hideMark/>
          </w:tcPr>
          <w:p w14:paraId="1244E320" w14:textId="77777777" w:rsidR="00265792" w:rsidRPr="00C75AD6" w:rsidRDefault="00265792" w:rsidP="00C75AD6">
            <w:pPr>
              <w:pStyle w:val="ARfintablebody"/>
            </w:pPr>
            <w:r w:rsidRPr="00C75AD6">
              <w:t>Acting Chief Executive</w:t>
            </w:r>
            <w:r>
              <w:t> </w:t>
            </w:r>
            <w:r w:rsidRPr="00C75AD6">
              <w:t>Officer</w:t>
            </w:r>
          </w:p>
        </w:tc>
        <w:tc>
          <w:tcPr>
            <w:tcW w:w="2814" w:type="dxa"/>
            <w:hideMark/>
          </w:tcPr>
          <w:p w14:paraId="77CA0EF9" w14:textId="5E7E571D" w:rsidR="00265792" w:rsidRPr="00C75AD6" w:rsidRDefault="00265792" w:rsidP="00C75AD6">
            <w:pPr>
              <w:pStyle w:val="ARfintablebody"/>
            </w:pPr>
            <w:r w:rsidRPr="00C75AD6">
              <w:t>1 July 2024 to 3</w:t>
            </w:r>
            <w:r w:rsidR="005949D6">
              <w:t> </w:t>
            </w:r>
            <w:r w:rsidRPr="00C75AD6">
              <w:t>September</w:t>
            </w:r>
            <w:r>
              <w:t> </w:t>
            </w:r>
            <w:r w:rsidRPr="00C75AD6">
              <w:t>2024</w:t>
            </w:r>
          </w:p>
        </w:tc>
      </w:tr>
      <w:tr w:rsidR="00265792" w:rsidRPr="00C75AD6" w14:paraId="362E12CE" w14:textId="77777777">
        <w:trPr>
          <w:trHeight w:val="20"/>
        </w:trPr>
        <w:tc>
          <w:tcPr>
            <w:tcW w:w="2552" w:type="dxa"/>
            <w:hideMark/>
          </w:tcPr>
          <w:p w14:paraId="20CF4D24" w14:textId="77777777" w:rsidR="00265792" w:rsidRPr="00C75AD6" w:rsidRDefault="00265792" w:rsidP="00C75AD6">
            <w:pPr>
              <w:pStyle w:val="ARfintablebody"/>
            </w:pPr>
            <w:r w:rsidRPr="00C75AD6">
              <w:t>Respect Victoria</w:t>
            </w:r>
          </w:p>
        </w:tc>
        <w:tc>
          <w:tcPr>
            <w:tcW w:w="1827" w:type="dxa"/>
            <w:hideMark/>
          </w:tcPr>
          <w:p w14:paraId="4BCF1D2B" w14:textId="77777777" w:rsidR="00265792" w:rsidRPr="00C75AD6" w:rsidRDefault="00265792" w:rsidP="00C75AD6">
            <w:pPr>
              <w:pStyle w:val="ARfintablebody"/>
            </w:pPr>
            <w:r w:rsidRPr="00C75AD6">
              <w:t>Helen Bolton</w:t>
            </w:r>
          </w:p>
        </w:tc>
        <w:tc>
          <w:tcPr>
            <w:tcW w:w="2439" w:type="dxa"/>
            <w:hideMark/>
          </w:tcPr>
          <w:p w14:paraId="639ED236" w14:textId="77777777" w:rsidR="00265792" w:rsidRPr="00C75AD6" w:rsidRDefault="00265792" w:rsidP="00C75AD6">
            <w:pPr>
              <w:pStyle w:val="ARfintablebody"/>
            </w:pPr>
            <w:r w:rsidRPr="00C75AD6">
              <w:t>Chief Executive Officer</w:t>
            </w:r>
          </w:p>
        </w:tc>
        <w:tc>
          <w:tcPr>
            <w:tcW w:w="2814" w:type="dxa"/>
            <w:hideMark/>
          </w:tcPr>
          <w:p w14:paraId="5EF3486B" w14:textId="77777777" w:rsidR="00265792" w:rsidRPr="00F201AA" w:rsidRDefault="00265792" w:rsidP="00C75AD6">
            <w:pPr>
              <w:pStyle w:val="ARfintablebody"/>
              <w:rPr>
                <w:spacing w:val="-4"/>
              </w:rPr>
            </w:pPr>
            <w:r w:rsidRPr="00F201AA">
              <w:rPr>
                <w:spacing w:val="-4"/>
              </w:rPr>
              <w:t>16 August 2024 to 30 June 2025</w:t>
            </w:r>
          </w:p>
        </w:tc>
      </w:tr>
      <w:tr w:rsidR="00265792" w:rsidRPr="00C75AD6" w14:paraId="5EB1C164" w14:textId="77777777">
        <w:trPr>
          <w:trHeight w:val="20"/>
        </w:trPr>
        <w:tc>
          <w:tcPr>
            <w:tcW w:w="2552" w:type="dxa"/>
            <w:hideMark/>
          </w:tcPr>
          <w:p w14:paraId="20942BD3" w14:textId="77777777" w:rsidR="00265792" w:rsidRPr="00C75AD6" w:rsidRDefault="00265792" w:rsidP="00C75AD6">
            <w:pPr>
              <w:pStyle w:val="ARfintablebody"/>
            </w:pPr>
            <w:r w:rsidRPr="00C75AD6">
              <w:t>Respect Victoria</w:t>
            </w:r>
          </w:p>
        </w:tc>
        <w:tc>
          <w:tcPr>
            <w:tcW w:w="1827" w:type="dxa"/>
            <w:hideMark/>
          </w:tcPr>
          <w:p w14:paraId="6F61FFF6" w14:textId="77777777" w:rsidR="00265792" w:rsidRPr="00C75AD6" w:rsidRDefault="00265792" w:rsidP="00C75AD6">
            <w:pPr>
              <w:pStyle w:val="ARfintablebody"/>
            </w:pPr>
            <w:r w:rsidRPr="00C75AD6">
              <w:t>Jacquie O'Brien</w:t>
            </w:r>
          </w:p>
        </w:tc>
        <w:tc>
          <w:tcPr>
            <w:tcW w:w="2439" w:type="dxa"/>
            <w:hideMark/>
          </w:tcPr>
          <w:p w14:paraId="1DA5770E" w14:textId="77777777" w:rsidR="00265792" w:rsidRPr="00C75AD6" w:rsidRDefault="00265792" w:rsidP="00C75AD6">
            <w:pPr>
              <w:pStyle w:val="ARfintablebody"/>
            </w:pPr>
            <w:r w:rsidRPr="00C75AD6">
              <w:t>Acting Chief Executive Officer</w:t>
            </w:r>
          </w:p>
        </w:tc>
        <w:tc>
          <w:tcPr>
            <w:tcW w:w="2814" w:type="dxa"/>
            <w:hideMark/>
          </w:tcPr>
          <w:p w14:paraId="6FD52322" w14:textId="77777777" w:rsidR="00265792" w:rsidRPr="00C75AD6" w:rsidRDefault="00265792" w:rsidP="00C75AD6">
            <w:pPr>
              <w:pStyle w:val="ARfintablebody"/>
            </w:pPr>
            <w:r w:rsidRPr="00C75AD6">
              <w:t xml:space="preserve">2 September 2024 to </w:t>
            </w:r>
            <w:r>
              <w:br/>
            </w:r>
            <w:r w:rsidRPr="00C75AD6">
              <w:t>4 October</w:t>
            </w:r>
            <w:r>
              <w:t xml:space="preserve"> </w:t>
            </w:r>
            <w:r w:rsidRPr="00C75AD6">
              <w:t>2024</w:t>
            </w:r>
          </w:p>
        </w:tc>
      </w:tr>
      <w:tr w:rsidR="00265792" w:rsidRPr="00C75AD6" w14:paraId="56ABACE3" w14:textId="77777777">
        <w:trPr>
          <w:trHeight w:val="20"/>
        </w:trPr>
        <w:tc>
          <w:tcPr>
            <w:tcW w:w="2552" w:type="dxa"/>
            <w:hideMark/>
          </w:tcPr>
          <w:p w14:paraId="645504D9" w14:textId="77777777" w:rsidR="00265792" w:rsidRPr="00C75AD6" w:rsidRDefault="00265792" w:rsidP="00C75AD6">
            <w:pPr>
              <w:pStyle w:val="ARfintablebody"/>
            </w:pPr>
            <w:r w:rsidRPr="00C75AD6">
              <w:t>Respect Victoria</w:t>
            </w:r>
          </w:p>
        </w:tc>
        <w:tc>
          <w:tcPr>
            <w:tcW w:w="1827" w:type="dxa"/>
            <w:hideMark/>
          </w:tcPr>
          <w:p w14:paraId="2CA7EBC6" w14:textId="77777777" w:rsidR="00265792" w:rsidRPr="00C75AD6" w:rsidRDefault="00265792" w:rsidP="00C75AD6">
            <w:pPr>
              <w:pStyle w:val="ARfintablebody"/>
            </w:pPr>
            <w:r w:rsidRPr="00C75AD6">
              <w:t>Kate Fitz-Gibbon</w:t>
            </w:r>
          </w:p>
        </w:tc>
        <w:tc>
          <w:tcPr>
            <w:tcW w:w="2439" w:type="dxa"/>
            <w:hideMark/>
          </w:tcPr>
          <w:p w14:paraId="410CD6D5" w14:textId="77777777" w:rsidR="00265792" w:rsidRPr="00C75AD6" w:rsidRDefault="00265792" w:rsidP="00C75AD6">
            <w:pPr>
              <w:pStyle w:val="ARfintablebody"/>
            </w:pPr>
            <w:r w:rsidRPr="00C75AD6">
              <w:t>Chairperson</w:t>
            </w:r>
          </w:p>
        </w:tc>
        <w:tc>
          <w:tcPr>
            <w:tcW w:w="2814" w:type="dxa"/>
            <w:hideMark/>
          </w:tcPr>
          <w:p w14:paraId="249A834B" w14:textId="77777777" w:rsidR="00265792" w:rsidRPr="00C75AD6" w:rsidRDefault="00265792" w:rsidP="00C75AD6">
            <w:pPr>
              <w:pStyle w:val="ARfintablebody"/>
            </w:pPr>
            <w:r w:rsidRPr="00C75AD6">
              <w:t>1 July 2024 to 30 June 2025</w:t>
            </w:r>
          </w:p>
        </w:tc>
      </w:tr>
      <w:tr w:rsidR="00265792" w:rsidRPr="00C75AD6" w14:paraId="10B418F2" w14:textId="77777777">
        <w:trPr>
          <w:trHeight w:val="20"/>
        </w:trPr>
        <w:tc>
          <w:tcPr>
            <w:tcW w:w="2552" w:type="dxa"/>
            <w:hideMark/>
          </w:tcPr>
          <w:p w14:paraId="131455BC" w14:textId="77777777" w:rsidR="00265792" w:rsidRPr="00C75AD6" w:rsidRDefault="00265792" w:rsidP="00C75AD6">
            <w:pPr>
              <w:pStyle w:val="ARfintablebody"/>
            </w:pPr>
            <w:r w:rsidRPr="00C75AD6">
              <w:t>Respect Victoria</w:t>
            </w:r>
          </w:p>
        </w:tc>
        <w:tc>
          <w:tcPr>
            <w:tcW w:w="1827" w:type="dxa"/>
            <w:hideMark/>
          </w:tcPr>
          <w:p w14:paraId="0E29DBE6" w14:textId="77777777" w:rsidR="00265792" w:rsidRPr="00C75AD6" w:rsidRDefault="00265792" w:rsidP="00C75AD6">
            <w:pPr>
              <w:pStyle w:val="ARfintablebody"/>
            </w:pPr>
            <w:r w:rsidRPr="00C75AD6">
              <w:t>Claudia Fatone</w:t>
            </w:r>
          </w:p>
        </w:tc>
        <w:tc>
          <w:tcPr>
            <w:tcW w:w="2439" w:type="dxa"/>
            <w:hideMark/>
          </w:tcPr>
          <w:p w14:paraId="76E5CEC8" w14:textId="77777777" w:rsidR="00265792" w:rsidRPr="00C75AD6" w:rsidRDefault="00265792" w:rsidP="00C75AD6">
            <w:pPr>
              <w:pStyle w:val="ARfintablebody"/>
            </w:pPr>
            <w:r w:rsidRPr="00C75AD6">
              <w:t>Board Member</w:t>
            </w:r>
          </w:p>
        </w:tc>
        <w:tc>
          <w:tcPr>
            <w:tcW w:w="2814" w:type="dxa"/>
            <w:hideMark/>
          </w:tcPr>
          <w:p w14:paraId="693AD2C1" w14:textId="77777777" w:rsidR="00265792" w:rsidRPr="00C75AD6" w:rsidRDefault="00265792" w:rsidP="00C75AD6">
            <w:pPr>
              <w:pStyle w:val="ARfintablebody"/>
            </w:pPr>
            <w:r w:rsidRPr="00C75AD6">
              <w:t>1 July 2024 to 30 June 2025</w:t>
            </w:r>
          </w:p>
        </w:tc>
      </w:tr>
      <w:tr w:rsidR="00265792" w:rsidRPr="00C75AD6" w14:paraId="4B8D46BE" w14:textId="77777777">
        <w:trPr>
          <w:trHeight w:val="20"/>
        </w:trPr>
        <w:tc>
          <w:tcPr>
            <w:tcW w:w="2552" w:type="dxa"/>
            <w:hideMark/>
          </w:tcPr>
          <w:p w14:paraId="682DC5CB" w14:textId="77777777" w:rsidR="00265792" w:rsidRPr="00C75AD6" w:rsidRDefault="00265792" w:rsidP="00C75AD6">
            <w:pPr>
              <w:pStyle w:val="ARfintablebody"/>
            </w:pPr>
            <w:r w:rsidRPr="00C75AD6">
              <w:t>Respect Victoria</w:t>
            </w:r>
          </w:p>
        </w:tc>
        <w:tc>
          <w:tcPr>
            <w:tcW w:w="1827" w:type="dxa"/>
            <w:hideMark/>
          </w:tcPr>
          <w:p w14:paraId="3F09DA55" w14:textId="77777777" w:rsidR="00265792" w:rsidRPr="00C75AD6" w:rsidRDefault="00265792" w:rsidP="00C75AD6">
            <w:pPr>
              <w:pStyle w:val="ARfintablebody"/>
            </w:pPr>
            <w:r w:rsidRPr="00C75AD6">
              <w:t>Maxine McKew</w:t>
            </w:r>
          </w:p>
        </w:tc>
        <w:tc>
          <w:tcPr>
            <w:tcW w:w="2439" w:type="dxa"/>
            <w:hideMark/>
          </w:tcPr>
          <w:p w14:paraId="7809C3B2" w14:textId="77777777" w:rsidR="00265792" w:rsidRPr="00C75AD6" w:rsidRDefault="00265792" w:rsidP="00C75AD6">
            <w:pPr>
              <w:pStyle w:val="ARfintablebody"/>
            </w:pPr>
            <w:r w:rsidRPr="00C75AD6">
              <w:t>Board Member</w:t>
            </w:r>
          </w:p>
        </w:tc>
        <w:tc>
          <w:tcPr>
            <w:tcW w:w="2814" w:type="dxa"/>
            <w:hideMark/>
          </w:tcPr>
          <w:p w14:paraId="29A5752F" w14:textId="77777777" w:rsidR="00265792" w:rsidRPr="00C75AD6" w:rsidRDefault="00265792" w:rsidP="00C75AD6">
            <w:pPr>
              <w:pStyle w:val="ARfintablebody"/>
            </w:pPr>
            <w:r w:rsidRPr="00C75AD6">
              <w:t>1 July 2024 to 30 June 2025</w:t>
            </w:r>
          </w:p>
        </w:tc>
      </w:tr>
      <w:tr w:rsidR="00265792" w:rsidRPr="00C75AD6" w14:paraId="2EFA6D8F" w14:textId="77777777">
        <w:trPr>
          <w:trHeight w:val="20"/>
        </w:trPr>
        <w:tc>
          <w:tcPr>
            <w:tcW w:w="2552" w:type="dxa"/>
            <w:hideMark/>
          </w:tcPr>
          <w:p w14:paraId="05DFC97C" w14:textId="77777777" w:rsidR="00265792" w:rsidRPr="00C75AD6" w:rsidRDefault="00265792" w:rsidP="00C75AD6">
            <w:pPr>
              <w:pStyle w:val="ARfintablebody"/>
            </w:pPr>
            <w:r w:rsidRPr="00C75AD6">
              <w:t>Respect Victoria</w:t>
            </w:r>
          </w:p>
        </w:tc>
        <w:tc>
          <w:tcPr>
            <w:tcW w:w="1827" w:type="dxa"/>
            <w:hideMark/>
          </w:tcPr>
          <w:p w14:paraId="75414115" w14:textId="77777777" w:rsidR="00265792" w:rsidRPr="00C75AD6" w:rsidRDefault="00265792" w:rsidP="00C75AD6">
            <w:pPr>
              <w:pStyle w:val="ARfintablebody"/>
            </w:pPr>
            <w:r w:rsidRPr="00C75AD6">
              <w:t>Hang Vo</w:t>
            </w:r>
          </w:p>
        </w:tc>
        <w:tc>
          <w:tcPr>
            <w:tcW w:w="2439" w:type="dxa"/>
            <w:hideMark/>
          </w:tcPr>
          <w:p w14:paraId="636AB4D1" w14:textId="77777777" w:rsidR="00265792" w:rsidRPr="00C75AD6" w:rsidRDefault="00265792" w:rsidP="00C75AD6">
            <w:pPr>
              <w:pStyle w:val="ARfintablebody"/>
            </w:pPr>
            <w:r w:rsidRPr="00C75AD6">
              <w:t>Board Member</w:t>
            </w:r>
          </w:p>
        </w:tc>
        <w:tc>
          <w:tcPr>
            <w:tcW w:w="2814" w:type="dxa"/>
            <w:hideMark/>
          </w:tcPr>
          <w:p w14:paraId="0FA7AF3D" w14:textId="77777777" w:rsidR="00265792" w:rsidRPr="00C75AD6" w:rsidRDefault="00265792" w:rsidP="00C75AD6">
            <w:pPr>
              <w:pStyle w:val="ARfintablebody"/>
            </w:pPr>
            <w:r w:rsidRPr="00C75AD6">
              <w:t>1 July 2024 to 30 June 2025</w:t>
            </w:r>
          </w:p>
        </w:tc>
      </w:tr>
      <w:tr w:rsidR="00265792" w:rsidRPr="00C75AD6" w14:paraId="26DE9369" w14:textId="77777777">
        <w:trPr>
          <w:trHeight w:val="20"/>
        </w:trPr>
        <w:tc>
          <w:tcPr>
            <w:tcW w:w="2552" w:type="dxa"/>
            <w:hideMark/>
          </w:tcPr>
          <w:p w14:paraId="5849DBD8" w14:textId="77777777" w:rsidR="00265792" w:rsidRPr="00C75AD6" w:rsidRDefault="00265792" w:rsidP="00C75AD6">
            <w:pPr>
              <w:pStyle w:val="ARfintablebody"/>
            </w:pPr>
            <w:r w:rsidRPr="00C75AD6">
              <w:t>Respect Victoria</w:t>
            </w:r>
          </w:p>
        </w:tc>
        <w:tc>
          <w:tcPr>
            <w:tcW w:w="1827" w:type="dxa"/>
            <w:hideMark/>
          </w:tcPr>
          <w:p w14:paraId="2483BF98" w14:textId="77777777" w:rsidR="00265792" w:rsidRPr="00C75AD6" w:rsidRDefault="00265792" w:rsidP="00C75AD6">
            <w:pPr>
              <w:pStyle w:val="ARfintablebody"/>
            </w:pPr>
            <w:r w:rsidRPr="00C75AD6">
              <w:t xml:space="preserve">Nesreen </w:t>
            </w:r>
            <w:proofErr w:type="spellStart"/>
            <w:r w:rsidRPr="00C75AD6">
              <w:t>Bottriell</w:t>
            </w:r>
            <w:proofErr w:type="spellEnd"/>
          </w:p>
        </w:tc>
        <w:tc>
          <w:tcPr>
            <w:tcW w:w="2439" w:type="dxa"/>
            <w:hideMark/>
          </w:tcPr>
          <w:p w14:paraId="6D59E0B0" w14:textId="77777777" w:rsidR="00265792" w:rsidRPr="00C75AD6" w:rsidRDefault="00265792" w:rsidP="00C75AD6">
            <w:pPr>
              <w:pStyle w:val="ARfintablebody"/>
            </w:pPr>
            <w:r w:rsidRPr="00C75AD6">
              <w:t>Board Member</w:t>
            </w:r>
          </w:p>
        </w:tc>
        <w:tc>
          <w:tcPr>
            <w:tcW w:w="2814" w:type="dxa"/>
            <w:hideMark/>
          </w:tcPr>
          <w:p w14:paraId="2C0DC22A" w14:textId="77777777" w:rsidR="00265792" w:rsidRPr="00C75AD6" w:rsidRDefault="00265792" w:rsidP="00C75AD6">
            <w:pPr>
              <w:pStyle w:val="ARfintablebody"/>
            </w:pPr>
            <w:r w:rsidRPr="00C75AD6">
              <w:t>1 July 2024 to 30 June 2025</w:t>
            </w:r>
          </w:p>
        </w:tc>
      </w:tr>
      <w:tr w:rsidR="00265792" w:rsidRPr="00C75AD6" w14:paraId="33F8D5BF" w14:textId="77777777">
        <w:trPr>
          <w:trHeight w:val="20"/>
        </w:trPr>
        <w:tc>
          <w:tcPr>
            <w:tcW w:w="2552" w:type="dxa"/>
            <w:hideMark/>
          </w:tcPr>
          <w:p w14:paraId="43C9E7EE" w14:textId="77777777" w:rsidR="00265792" w:rsidRPr="00C75AD6" w:rsidRDefault="00265792" w:rsidP="00C75AD6">
            <w:pPr>
              <w:pStyle w:val="ARfintablebody"/>
            </w:pPr>
            <w:r w:rsidRPr="00C75AD6">
              <w:t>Respect Victoria</w:t>
            </w:r>
          </w:p>
        </w:tc>
        <w:tc>
          <w:tcPr>
            <w:tcW w:w="1827" w:type="dxa"/>
            <w:hideMark/>
          </w:tcPr>
          <w:p w14:paraId="33D3658F" w14:textId="77777777" w:rsidR="00265792" w:rsidRPr="00C75AD6" w:rsidRDefault="00265792" w:rsidP="00C75AD6">
            <w:pPr>
              <w:pStyle w:val="ARfintablebody"/>
            </w:pPr>
            <w:r w:rsidRPr="00C75AD6">
              <w:t>Steven Roberts</w:t>
            </w:r>
          </w:p>
        </w:tc>
        <w:tc>
          <w:tcPr>
            <w:tcW w:w="2439" w:type="dxa"/>
            <w:hideMark/>
          </w:tcPr>
          <w:p w14:paraId="4FEBFF75" w14:textId="77777777" w:rsidR="00265792" w:rsidRPr="00C75AD6" w:rsidRDefault="00265792" w:rsidP="00C75AD6">
            <w:pPr>
              <w:pStyle w:val="ARfintablebody"/>
            </w:pPr>
            <w:r w:rsidRPr="00C75AD6">
              <w:t>Board Member</w:t>
            </w:r>
          </w:p>
        </w:tc>
        <w:tc>
          <w:tcPr>
            <w:tcW w:w="2814" w:type="dxa"/>
            <w:hideMark/>
          </w:tcPr>
          <w:p w14:paraId="2BB4038C" w14:textId="77777777" w:rsidR="00265792" w:rsidRPr="00C75AD6" w:rsidRDefault="00265792" w:rsidP="00C75AD6">
            <w:pPr>
              <w:pStyle w:val="ARfintablebody"/>
            </w:pPr>
            <w:r w:rsidRPr="00C75AD6">
              <w:t>1 July 2024 to 30 June 2025</w:t>
            </w:r>
          </w:p>
        </w:tc>
      </w:tr>
      <w:tr w:rsidR="00265792" w:rsidRPr="00C75AD6" w14:paraId="11850A23" w14:textId="77777777">
        <w:trPr>
          <w:trHeight w:val="20"/>
        </w:trPr>
        <w:tc>
          <w:tcPr>
            <w:tcW w:w="2552" w:type="dxa"/>
            <w:hideMark/>
          </w:tcPr>
          <w:p w14:paraId="6C2CC997" w14:textId="77777777" w:rsidR="00265792" w:rsidRPr="00C75AD6" w:rsidRDefault="00265792" w:rsidP="00C75AD6">
            <w:pPr>
              <w:pStyle w:val="ARfintablebody"/>
            </w:pPr>
            <w:r w:rsidRPr="00C75AD6">
              <w:t>Respect Victoria</w:t>
            </w:r>
          </w:p>
        </w:tc>
        <w:tc>
          <w:tcPr>
            <w:tcW w:w="1827" w:type="dxa"/>
            <w:hideMark/>
          </w:tcPr>
          <w:p w14:paraId="0D3E9175" w14:textId="77777777" w:rsidR="00265792" w:rsidRPr="00C75AD6" w:rsidRDefault="00265792" w:rsidP="00C75AD6">
            <w:pPr>
              <w:pStyle w:val="ARfintablebody"/>
            </w:pPr>
            <w:r w:rsidRPr="00C75AD6">
              <w:t>Jan Noblett</w:t>
            </w:r>
          </w:p>
        </w:tc>
        <w:tc>
          <w:tcPr>
            <w:tcW w:w="2439" w:type="dxa"/>
            <w:hideMark/>
          </w:tcPr>
          <w:p w14:paraId="345EE2B0" w14:textId="77777777" w:rsidR="00265792" w:rsidRPr="00C75AD6" w:rsidRDefault="00265792" w:rsidP="00C75AD6">
            <w:pPr>
              <w:pStyle w:val="ARfintablebody"/>
            </w:pPr>
            <w:r w:rsidRPr="00C75AD6">
              <w:t>Board Member</w:t>
            </w:r>
          </w:p>
        </w:tc>
        <w:tc>
          <w:tcPr>
            <w:tcW w:w="2814" w:type="dxa"/>
            <w:hideMark/>
          </w:tcPr>
          <w:p w14:paraId="372B41B8" w14:textId="77777777" w:rsidR="00265792" w:rsidRPr="00C75AD6" w:rsidRDefault="00265792" w:rsidP="00C75AD6">
            <w:pPr>
              <w:pStyle w:val="ARfintablebody"/>
            </w:pPr>
            <w:r w:rsidRPr="00C75AD6">
              <w:t>1 July 2024 to 30 June 2025</w:t>
            </w:r>
          </w:p>
        </w:tc>
      </w:tr>
      <w:tr w:rsidR="00265792" w:rsidRPr="00C75AD6" w14:paraId="7EFA0174" w14:textId="77777777">
        <w:trPr>
          <w:trHeight w:val="20"/>
        </w:trPr>
        <w:tc>
          <w:tcPr>
            <w:tcW w:w="2552" w:type="dxa"/>
            <w:hideMark/>
          </w:tcPr>
          <w:p w14:paraId="37E28F79" w14:textId="77777777" w:rsidR="00265792" w:rsidRPr="00C75AD6" w:rsidRDefault="00265792" w:rsidP="00C75AD6">
            <w:pPr>
              <w:pStyle w:val="ARfintablebody"/>
            </w:pPr>
            <w:r w:rsidRPr="00C75AD6">
              <w:t>Victorian Disability Worker</w:t>
            </w:r>
            <w:r>
              <w:t> </w:t>
            </w:r>
            <w:r w:rsidRPr="00C75AD6">
              <w:t>Commission</w:t>
            </w:r>
          </w:p>
        </w:tc>
        <w:tc>
          <w:tcPr>
            <w:tcW w:w="1827" w:type="dxa"/>
            <w:hideMark/>
          </w:tcPr>
          <w:p w14:paraId="09A6D5A0" w14:textId="77777777" w:rsidR="00265792" w:rsidRPr="00C75AD6" w:rsidRDefault="00265792" w:rsidP="00C75AD6">
            <w:pPr>
              <w:pStyle w:val="ARfintablebody"/>
            </w:pPr>
            <w:r w:rsidRPr="00C75AD6">
              <w:t>Dan Stubbs</w:t>
            </w:r>
          </w:p>
        </w:tc>
        <w:tc>
          <w:tcPr>
            <w:tcW w:w="2439" w:type="dxa"/>
            <w:hideMark/>
          </w:tcPr>
          <w:p w14:paraId="605E053C" w14:textId="77777777" w:rsidR="00265792" w:rsidRPr="00C75AD6" w:rsidRDefault="00265792" w:rsidP="00C75AD6">
            <w:pPr>
              <w:pStyle w:val="ARfintablebody"/>
            </w:pPr>
            <w:r w:rsidRPr="00C75AD6">
              <w:t>Commissioner</w:t>
            </w:r>
          </w:p>
        </w:tc>
        <w:tc>
          <w:tcPr>
            <w:tcW w:w="2814" w:type="dxa"/>
            <w:hideMark/>
          </w:tcPr>
          <w:p w14:paraId="11FBABC9" w14:textId="77777777" w:rsidR="00265792" w:rsidRPr="00C75AD6" w:rsidRDefault="00265792" w:rsidP="00C75AD6">
            <w:pPr>
              <w:pStyle w:val="ARfintablebody"/>
            </w:pPr>
            <w:r w:rsidRPr="00C75AD6">
              <w:t>1 July 2024 to 30 June 2025</w:t>
            </w:r>
          </w:p>
        </w:tc>
      </w:tr>
      <w:tr w:rsidR="00265792" w:rsidRPr="00C75AD6" w14:paraId="1BD38699" w14:textId="77777777">
        <w:trPr>
          <w:trHeight w:val="20"/>
        </w:trPr>
        <w:tc>
          <w:tcPr>
            <w:tcW w:w="2552" w:type="dxa"/>
            <w:hideMark/>
          </w:tcPr>
          <w:p w14:paraId="5816AB43" w14:textId="77777777" w:rsidR="00265792" w:rsidRPr="00C75AD6" w:rsidRDefault="00265792" w:rsidP="00C75AD6">
            <w:pPr>
              <w:pStyle w:val="ARfintablebody"/>
            </w:pPr>
            <w:r w:rsidRPr="00C75AD6">
              <w:t>Victorian Veterans Council</w:t>
            </w:r>
          </w:p>
        </w:tc>
        <w:tc>
          <w:tcPr>
            <w:tcW w:w="1827" w:type="dxa"/>
            <w:hideMark/>
          </w:tcPr>
          <w:p w14:paraId="78B5075F" w14:textId="77777777" w:rsidR="00265792" w:rsidRPr="00C75AD6" w:rsidRDefault="00265792" w:rsidP="00C75AD6">
            <w:pPr>
              <w:pStyle w:val="ARfintablebody"/>
            </w:pPr>
            <w:r w:rsidRPr="00C75AD6">
              <w:t>Greg Yorke</w:t>
            </w:r>
          </w:p>
        </w:tc>
        <w:tc>
          <w:tcPr>
            <w:tcW w:w="2439" w:type="dxa"/>
            <w:hideMark/>
          </w:tcPr>
          <w:p w14:paraId="53E8C624" w14:textId="77777777" w:rsidR="00265792" w:rsidRPr="00C75AD6" w:rsidRDefault="00265792" w:rsidP="00C75AD6">
            <w:pPr>
              <w:pStyle w:val="ARfintablebody"/>
            </w:pPr>
            <w:r w:rsidRPr="00C75AD6">
              <w:t>Chairperson</w:t>
            </w:r>
          </w:p>
        </w:tc>
        <w:tc>
          <w:tcPr>
            <w:tcW w:w="2814" w:type="dxa"/>
            <w:hideMark/>
          </w:tcPr>
          <w:p w14:paraId="24062C05" w14:textId="77777777" w:rsidR="00265792" w:rsidRPr="00C75AD6" w:rsidRDefault="00265792" w:rsidP="00C75AD6">
            <w:pPr>
              <w:pStyle w:val="ARfintablebody"/>
            </w:pPr>
            <w:r w:rsidRPr="00C75AD6">
              <w:t>1 July 2024 to 30 June 2025</w:t>
            </w:r>
          </w:p>
        </w:tc>
      </w:tr>
      <w:tr w:rsidR="00265792" w:rsidRPr="00C75AD6" w14:paraId="0A0A5958" w14:textId="77777777">
        <w:trPr>
          <w:trHeight w:val="20"/>
        </w:trPr>
        <w:tc>
          <w:tcPr>
            <w:tcW w:w="2552" w:type="dxa"/>
            <w:hideMark/>
          </w:tcPr>
          <w:p w14:paraId="1CDF59B3" w14:textId="77777777" w:rsidR="00265792" w:rsidRPr="00C75AD6" w:rsidRDefault="00265792" w:rsidP="00C75AD6">
            <w:pPr>
              <w:pStyle w:val="ARfintablebody"/>
            </w:pPr>
            <w:r w:rsidRPr="00C75AD6">
              <w:t>Victorian Veterans Council</w:t>
            </w:r>
          </w:p>
        </w:tc>
        <w:tc>
          <w:tcPr>
            <w:tcW w:w="1827" w:type="dxa"/>
            <w:hideMark/>
          </w:tcPr>
          <w:p w14:paraId="3F80F1C2" w14:textId="77777777" w:rsidR="00265792" w:rsidRPr="00C75AD6" w:rsidRDefault="00265792" w:rsidP="00C75AD6">
            <w:pPr>
              <w:pStyle w:val="ARfintablebody"/>
            </w:pPr>
            <w:r w:rsidRPr="00C75AD6">
              <w:t>Brett West</w:t>
            </w:r>
          </w:p>
        </w:tc>
        <w:tc>
          <w:tcPr>
            <w:tcW w:w="2439" w:type="dxa"/>
            <w:hideMark/>
          </w:tcPr>
          <w:p w14:paraId="50C76F20" w14:textId="77777777" w:rsidR="00265792" w:rsidRPr="00C75AD6" w:rsidRDefault="00265792" w:rsidP="00C75AD6">
            <w:pPr>
              <w:pStyle w:val="ARfintablebody"/>
            </w:pPr>
            <w:r w:rsidRPr="00C75AD6">
              <w:t>Acting Chairperson</w:t>
            </w:r>
          </w:p>
        </w:tc>
        <w:tc>
          <w:tcPr>
            <w:tcW w:w="2814" w:type="dxa"/>
            <w:hideMark/>
          </w:tcPr>
          <w:p w14:paraId="0DFEFBB0" w14:textId="77777777" w:rsidR="00265792" w:rsidRPr="00C75AD6" w:rsidRDefault="00265792" w:rsidP="00C75AD6">
            <w:pPr>
              <w:pStyle w:val="ARfintablebody"/>
            </w:pPr>
            <w:r w:rsidRPr="00C75AD6">
              <w:t>25 June 2025 to 30 June 2025</w:t>
            </w:r>
          </w:p>
        </w:tc>
      </w:tr>
      <w:tr w:rsidR="00265792" w:rsidRPr="00C75AD6" w14:paraId="49E94282" w14:textId="77777777">
        <w:trPr>
          <w:trHeight w:val="20"/>
        </w:trPr>
        <w:tc>
          <w:tcPr>
            <w:tcW w:w="2552" w:type="dxa"/>
            <w:hideMark/>
          </w:tcPr>
          <w:p w14:paraId="4A12469B" w14:textId="77777777" w:rsidR="00265792" w:rsidRPr="00C75AD6" w:rsidRDefault="00265792" w:rsidP="00C75AD6">
            <w:pPr>
              <w:pStyle w:val="ARfintablebody"/>
            </w:pPr>
            <w:r w:rsidRPr="00C75AD6">
              <w:t>Social Services Regulator</w:t>
            </w:r>
          </w:p>
        </w:tc>
        <w:tc>
          <w:tcPr>
            <w:tcW w:w="1827" w:type="dxa"/>
            <w:hideMark/>
          </w:tcPr>
          <w:p w14:paraId="3A2B86A5" w14:textId="77777777" w:rsidR="00265792" w:rsidRPr="00C75AD6" w:rsidRDefault="00265792" w:rsidP="00C75AD6">
            <w:pPr>
              <w:pStyle w:val="ARfintablebody"/>
            </w:pPr>
            <w:r w:rsidRPr="00C75AD6">
              <w:t>Jonathan Kaplan</w:t>
            </w:r>
          </w:p>
        </w:tc>
        <w:tc>
          <w:tcPr>
            <w:tcW w:w="2439" w:type="dxa"/>
            <w:hideMark/>
          </w:tcPr>
          <w:p w14:paraId="32D935B8" w14:textId="77777777" w:rsidR="00265792" w:rsidRPr="00C75AD6" w:rsidRDefault="00265792" w:rsidP="00C75AD6">
            <w:pPr>
              <w:pStyle w:val="ARfintablebody"/>
            </w:pPr>
            <w:r w:rsidRPr="00C75AD6">
              <w:t>Social Services Regulator</w:t>
            </w:r>
          </w:p>
        </w:tc>
        <w:tc>
          <w:tcPr>
            <w:tcW w:w="2814" w:type="dxa"/>
            <w:hideMark/>
          </w:tcPr>
          <w:p w14:paraId="51EE9C26" w14:textId="77777777" w:rsidR="00265792" w:rsidRPr="00C75AD6" w:rsidRDefault="00265792" w:rsidP="00C75AD6">
            <w:pPr>
              <w:pStyle w:val="ARfintablebody"/>
            </w:pPr>
            <w:r w:rsidRPr="00C75AD6">
              <w:t>1 July 2024 to 30 June 2025</w:t>
            </w:r>
          </w:p>
        </w:tc>
      </w:tr>
      <w:tr w:rsidR="00265792" w:rsidRPr="00C75AD6" w14:paraId="48338A31" w14:textId="77777777">
        <w:trPr>
          <w:cnfStyle w:val="010000000000" w:firstRow="0" w:lastRow="1" w:firstColumn="0" w:lastColumn="0" w:oddVBand="0" w:evenVBand="0" w:oddHBand="0" w:evenHBand="0" w:firstRowFirstColumn="0" w:firstRowLastColumn="0" w:lastRowFirstColumn="0" w:lastRowLastColumn="0"/>
          <w:trHeight w:val="20"/>
        </w:trPr>
        <w:tc>
          <w:tcPr>
            <w:tcW w:w="2552" w:type="dxa"/>
            <w:hideMark/>
          </w:tcPr>
          <w:p w14:paraId="14A953DD" w14:textId="77777777" w:rsidR="00265792" w:rsidRPr="00C75AD6" w:rsidRDefault="00265792" w:rsidP="00C75AD6">
            <w:pPr>
              <w:pStyle w:val="ARfintablebody"/>
            </w:pPr>
            <w:r w:rsidRPr="00C75AD6">
              <w:t>Social Services Regulator</w:t>
            </w:r>
          </w:p>
        </w:tc>
        <w:tc>
          <w:tcPr>
            <w:tcW w:w="1827" w:type="dxa"/>
            <w:hideMark/>
          </w:tcPr>
          <w:p w14:paraId="3F030892" w14:textId="77777777" w:rsidR="00265792" w:rsidRPr="00C75AD6" w:rsidRDefault="00265792" w:rsidP="00C75AD6">
            <w:pPr>
              <w:pStyle w:val="ARfintablebody"/>
            </w:pPr>
            <w:r w:rsidRPr="00C75AD6">
              <w:t>Richard Marks</w:t>
            </w:r>
          </w:p>
        </w:tc>
        <w:tc>
          <w:tcPr>
            <w:tcW w:w="2439" w:type="dxa"/>
            <w:hideMark/>
          </w:tcPr>
          <w:p w14:paraId="726CA739" w14:textId="77777777" w:rsidR="00265792" w:rsidRPr="00C75AD6" w:rsidRDefault="00265792" w:rsidP="00C75AD6">
            <w:pPr>
              <w:pStyle w:val="ARfintablebody"/>
            </w:pPr>
            <w:r w:rsidRPr="00C75AD6">
              <w:t>Acting Social Services</w:t>
            </w:r>
            <w:r>
              <w:t> </w:t>
            </w:r>
            <w:r w:rsidRPr="00C75AD6">
              <w:t>Regulator</w:t>
            </w:r>
          </w:p>
        </w:tc>
        <w:tc>
          <w:tcPr>
            <w:tcW w:w="2814" w:type="dxa"/>
            <w:hideMark/>
          </w:tcPr>
          <w:p w14:paraId="4D581BE9" w14:textId="77777777" w:rsidR="00265792" w:rsidRPr="00C75AD6" w:rsidRDefault="00265792" w:rsidP="00C75AD6">
            <w:pPr>
              <w:pStyle w:val="ARfintablebody"/>
            </w:pPr>
            <w:r w:rsidRPr="00C75AD6">
              <w:t>24 June 2025 to 30 June 2025</w:t>
            </w:r>
          </w:p>
        </w:tc>
      </w:tr>
    </w:tbl>
    <w:p w14:paraId="7C495DC0" w14:textId="77777777" w:rsidR="00265792" w:rsidRDefault="00265792" w:rsidP="002542E1">
      <w:pPr>
        <w:pStyle w:val="ARfinbody"/>
      </w:pPr>
      <w:r>
        <w:br w:type="page"/>
      </w:r>
    </w:p>
    <w:p w14:paraId="259E9ACB" w14:textId="77777777" w:rsidR="00265792" w:rsidRDefault="00265792" w:rsidP="00A40381">
      <w:pPr>
        <w:pStyle w:val="Heading6"/>
      </w:pPr>
      <w:r>
        <w:lastRenderedPageBreak/>
        <w:t>Remuneration of key management personnel</w:t>
      </w:r>
    </w:p>
    <w:p w14:paraId="50A523F4" w14:textId="7349BB1B" w:rsidR="00265792" w:rsidRDefault="00265792" w:rsidP="00E83E65">
      <w:pPr>
        <w:pStyle w:val="ARfinbody"/>
      </w:pPr>
      <w:r>
        <w:t xml:space="preserve">The compensation detailed below excludes the salaries and benefits the Portfolio Ministers received. The Ministers' remuneration and allowances are set by the </w:t>
      </w:r>
      <w:r w:rsidRPr="00E15716">
        <w:rPr>
          <w:rStyle w:val="Emphasis"/>
        </w:rPr>
        <w:t>Parliamentary Salaries and Superannuation Act 1968</w:t>
      </w:r>
      <w:r>
        <w:t xml:space="preserve"> and are reported within the </w:t>
      </w:r>
      <w:r w:rsidR="00383D34">
        <w:t xml:space="preserve">state’s </w:t>
      </w:r>
      <w:r>
        <w:t>Annual Financial Report.</w:t>
      </w:r>
    </w:p>
    <w:tbl>
      <w:tblPr>
        <w:tblStyle w:val="TableGrid"/>
        <w:tblW w:w="0" w:type="auto"/>
        <w:tblLayout w:type="fixed"/>
        <w:tblLook w:val="04E0" w:firstRow="1" w:lastRow="1" w:firstColumn="1" w:lastColumn="0" w:noHBand="0" w:noVBand="1"/>
      </w:tblPr>
      <w:tblGrid>
        <w:gridCol w:w="4608"/>
        <w:gridCol w:w="1267"/>
        <w:gridCol w:w="1268"/>
        <w:gridCol w:w="1244"/>
        <w:gridCol w:w="1245"/>
      </w:tblGrid>
      <w:tr w:rsidR="00265792" w:rsidRPr="00A40381" w14:paraId="75B79F7B" w14:textId="77777777" w:rsidTr="004E26CC">
        <w:trPr>
          <w:cnfStyle w:val="100000000000" w:firstRow="1" w:lastRow="0" w:firstColumn="0" w:lastColumn="0" w:oddVBand="0" w:evenVBand="0" w:oddHBand="0" w:evenHBand="0" w:firstRowFirstColumn="0" w:firstRowLastColumn="0" w:lastRowFirstColumn="0" w:lastRowLastColumn="0"/>
          <w:trHeight w:val="86"/>
          <w:tblHeader/>
        </w:trPr>
        <w:tc>
          <w:tcPr>
            <w:tcW w:w="4608" w:type="dxa"/>
            <w:tcBorders>
              <w:top w:val="nil"/>
              <w:bottom w:val="nil"/>
            </w:tcBorders>
            <w:noWrap/>
            <w:hideMark/>
          </w:tcPr>
          <w:p w14:paraId="6A61290C" w14:textId="77777777" w:rsidR="00265792" w:rsidRPr="00A40381" w:rsidRDefault="00265792" w:rsidP="00A40381">
            <w:pPr>
              <w:pStyle w:val="ARfintablebody"/>
            </w:pPr>
          </w:p>
        </w:tc>
        <w:tc>
          <w:tcPr>
            <w:tcW w:w="2535" w:type="dxa"/>
            <w:gridSpan w:val="2"/>
            <w:shd w:val="clear" w:color="auto" w:fill="EEEEEF" w:themeFill="accent4"/>
            <w:tcMar>
              <w:left w:w="113" w:type="dxa"/>
            </w:tcMar>
            <w:hideMark/>
          </w:tcPr>
          <w:p w14:paraId="2C70904C" w14:textId="77777777" w:rsidR="00265792" w:rsidRPr="00A40381" w:rsidRDefault="00265792" w:rsidP="00A40381">
            <w:pPr>
              <w:pStyle w:val="ARfintablecolheadcentre"/>
            </w:pPr>
            <w:r w:rsidRPr="00A40381">
              <w:t>Department of Families, Fairness and Housing</w:t>
            </w:r>
            <w:r w:rsidRPr="00A40381">
              <w:rPr>
                <w:vertAlign w:val="superscript"/>
              </w:rPr>
              <w:t xml:space="preserve"> </w:t>
            </w:r>
          </w:p>
        </w:tc>
        <w:tc>
          <w:tcPr>
            <w:tcW w:w="2489" w:type="dxa"/>
            <w:gridSpan w:val="2"/>
            <w:tcMar>
              <w:left w:w="113" w:type="dxa"/>
            </w:tcMar>
            <w:hideMark/>
          </w:tcPr>
          <w:p w14:paraId="755C6C67" w14:textId="77777777" w:rsidR="00265792" w:rsidRPr="00A40381" w:rsidRDefault="00265792" w:rsidP="00A40381">
            <w:pPr>
              <w:pStyle w:val="ARfintablecolheadcentre"/>
            </w:pPr>
            <w:r w:rsidRPr="00A40381">
              <w:t xml:space="preserve">Other section 53 </w:t>
            </w:r>
            <w:r w:rsidRPr="00A40381">
              <w:rPr>
                <w:vertAlign w:val="superscript"/>
              </w:rPr>
              <w:t>(</w:t>
            </w:r>
            <w:proofErr w:type="spellStart"/>
            <w:r w:rsidRPr="00A40381">
              <w:rPr>
                <w:vertAlign w:val="superscript"/>
              </w:rPr>
              <w:t>i</w:t>
            </w:r>
            <w:proofErr w:type="spellEnd"/>
            <w:r w:rsidRPr="00A40381">
              <w:rPr>
                <w:vertAlign w:val="superscript"/>
              </w:rPr>
              <w:t>)</w:t>
            </w:r>
          </w:p>
        </w:tc>
      </w:tr>
      <w:tr w:rsidR="00265792" w:rsidRPr="00A40381" w14:paraId="7D4F4B87" w14:textId="77777777" w:rsidTr="00667BFB">
        <w:trPr>
          <w:cnfStyle w:val="100000000000" w:firstRow="1" w:lastRow="0" w:firstColumn="0" w:lastColumn="0" w:oddVBand="0" w:evenVBand="0" w:oddHBand="0" w:evenHBand="0" w:firstRowFirstColumn="0" w:firstRowLastColumn="0" w:lastRowFirstColumn="0" w:lastRowLastColumn="0"/>
          <w:trHeight w:val="574"/>
          <w:tblHeader/>
        </w:trPr>
        <w:tc>
          <w:tcPr>
            <w:tcW w:w="4608" w:type="dxa"/>
            <w:tcBorders>
              <w:top w:val="nil"/>
            </w:tcBorders>
            <w:noWrap/>
            <w:hideMark/>
          </w:tcPr>
          <w:p w14:paraId="206E1976" w14:textId="77777777" w:rsidR="00265792" w:rsidRPr="00A40381" w:rsidRDefault="00265792" w:rsidP="00A40381">
            <w:pPr>
              <w:pStyle w:val="ARfintablecolhead"/>
            </w:pPr>
            <w:r w:rsidRPr="00A40381">
              <w:t>Compensation of KMPs</w:t>
            </w:r>
          </w:p>
        </w:tc>
        <w:tc>
          <w:tcPr>
            <w:tcW w:w="1267" w:type="dxa"/>
            <w:shd w:val="clear" w:color="auto" w:fill="EEEEEF" w:themeFill="accent4"/>
            <w:hideMark/>
          </w:tcPr>
          <w:p w14:paraId="3AD38D5F" w14:textId="77777777" w:rsidR="00265792" w:rsidRPr="00A40381" w:rsidRDefault="00265792" w:rsidP="00A40381">
            <w:pPr>
              <w:pStyle w:val="ARfintablecolheadright"/>
            </w:pPr>
            <w:r w:rsidRPr="00A40381">
              <w:t>2025</w:t>
            </w:r>
          </w:p>
          <w:p w14:paraId="60E3569E" w14:textId="77777777" w:rsidR="00265792" w:rsidRPr="00A40381" w:rsidRDefault="00265792" w:rsidP="00A40381">
            <w:pPr>
              <w:pStyle w:val="ARfintablecolheadright"/>
            </w:pPr>
            <w:r w:rsidRPr="00A40381">
              <w:t>$M</w:t>
            </w:r>
          </w:p>
        </w:tc>
        <w:tc>
          <w:tcPr>
            <w:tcW w:w="1268" w:type="dxa"/>
            <w:shd w:val="clear" w:color="auto" w:fill="EEEEEF" w:themeFill="accent4"/>
            <w:noWrap/>
            <w:hideMark/>
          </w:tcPr>
          <w:p w14:paraId="0C7ED4D3" w14:textId="77777777" w:rsidR="00265792" w:rsidRPr="00A40381" w:rsidRDefault="00265792" w:rsidP="00A40381">
            <w:pPr>
              <w:pStyle w:val="ARfintablecolheadright"/>
            </w:pPr>
            <w:r w:rsidRPr="00A40381">
              <w:t>2024</w:t>
            </w:r>
          </w:p>
          <w:p w14:paraId="78B76BEE" w14:textId="77777777" w:rsidR="00265792" w:rsidRPr="00A40381" w:rsidRDefault="00265792" w:rsidP="00A40381">
            <w:pPr>
              <w:pStyle w:val="ARfintablecolheadright"/>
            </w:pPr>
            <w:r w:rsidRPr="00A40381">
              <w:t>$M</w:t>
            </w:r>
          </w:p>
        </w:tc>
        <w:tc>
          <w:tcPr>
            <w:tcW w:w="1244" w:type="dxa"/>
            <w:hideMark/>
          </w:tcPr>
          <w:p w14:paraId="2FB47C07" w14:textId="77777777" w:rsidR="00265792" w:rsidRPr="00A40381" w:rsidRDefault="00265792" w:rsidP="00A40381">
            <w:pPr>
              <w:pStyle w:val="ARfintablecolheadright"/>
            </w:pPr>
            <w:r w:rsidRPr="00A40381">
              <w:t>2025</w:t>
            </w:r>
          </w:p>
          <w:p w14:paraId="3A06E80B" w14:textId="77777777" w:rsidR="00265792" w:rsidRPr="00A40381" w:rsidRDefault="00265792" w:rsidP="00A40381">
            <w:pPr>
              <w:pStyle w:val="ARfintablecolheadright"/>
            </w:pPr>
            <w:r w:rsidRPr="00A40381">
              <w:t>$M</w:t>
            </w:r>
          </w:p>
        </w:tc>
        <w:tc>
          <w:tcPr>
            <w:tcW w:w="1245" w:type="dxa"/>
            <w:noWrap/>
            <w:hideMark/>
          </w:tcPr>
          <w:p w14:paraId="3600BD1F" w14:textId="77777777" w:rsidR="00265792" w:rsidRPr="00A40381" w:rsidRDefault="00265792" w:rsidP="00A40381">
            <w:pPr>
              <w:pStyle w:val="ARfintablecolheadright"/>
            </w:pPr>
            <w:r w:rsidRPr="00A40381">
              <w:t>2024</w:t>
            </w:r>
          </w:p>
          <w:p w14:paraId="556420E8" w14:textId="77777777" w:rsidR="00265792" w:rsidRPr="00A40381" w:rsidRDefault="00265792" w:rsidP="00A40381">
            <w:pPr>
              <w:pStyle w:val="ARfintablecolheadright"/>
            </w:pPr>
            <w:r w:rsidRPr="00A40381">
              <w:t>$M</w:t>
            </w:r>
          </w:p>
        </w:tc>
      </w:tr>
      <w:tr w:rsidR="00265792" w:rsidRPr="00A40381" w14:paraId="5B477C4A" w14:textId="77777777" w:rsidTr="00667BFB">
        <w:trPr>
          <w:trHeight w:val="255"/>
        </w:trPr>
        <w:tc>
          <w:tcPr>
            <w:tcW w:w="4608" w:type="dxa"/>
            <w:tcBorders>
              <w:top w:val="single" w:sz="4" w:space="0" w:color="000000" w:themeColor="text1"/>
              <w:bottom w:val="single" w:sz="4" w:space="0" w:color="A6A6A6" w:themeColor="accent5"/>
            </w:tcBorders>
            <w:noWrap/>
            <w:hideMark/>
          </w:tcPr>
          <w:p w14:paraId="661185C8" w14:textId="77777777" w:rsidR="00265792" w:rsidRPr="00A40381" w:rsidRDefault="00265792" w:rsidP="00A40381">
            <w:pPr>
              <w:pStyle w:val="ARfintablebody"/>
            </w:pPr>
            <w:r w:rsidRPr="00A40381">
              <w:t>Short-term employee benefits</w:t>
            </w:r>
          </w:p>
        </w:tc>
        <w:tc>
          <w:tcPr>
            <w:tcW w:w="1267" w:type="dxa"/>
            <w:tcBorders>
              <w:top w:val="single" w:sz="4" w:space="0" w:color="000000" w:themeColor="text1"/>
              <w:bottom w:val="single" w:sz="4" w:space="0" w:color="A6A6A6" w:themeColor="accent5"/>
            </w:tcBorders>
            <w:shd w:val="clear" w:color="auto" w:fill="EEEEEF" w:themeFill="accent4"/>
            <w:noWrap/>
            <w:hideMark/>
          </w:tcPr>
          <w:p w14:paraId="494640B8" w14:textId="77777777" w:rsidR="00265792" w:rsidRPr="00A40381" w:rsidRDefault="00265792" w:rsidP="00A40381">
            <w:pPr>
              <w:pStyle w:val="ARfintablebodyright"/>
            </w:pPr>
            <w:r w:rsidRPr="00A40381">
              <w:t>5.6</w:t>
            </w:r>
          </w:p>
        </w:tc>
        <w:tc>
          <w:tcPr>
            <w:tcW w:w="1268" w:type="dxa"/>
            <w:tcBorders>
              <w:top w:val="single" w:sz="4" w:space="0" w:color="000000" w:themeColor="text1"/>
              <w:bottom w:val="single" w:sz="4" w:space="0" w:color="A6A6A6" w:themeColor="accent5"/>
            </w:tcBorders>
            <w:shd w:val="clear" w:color="auto" w:fill="EEEEEF" w:themeFill="accent4"/>
            <w:noWrap/>
            <w:hideMark/>
          </w:tcPr>
          <w:p w14:paraId="272D9E60" w14:textId="77777777" w:rsidR="00265792" w:rsidRPr="00A40381" w:rsidRDefault="00265792" w:rsidP="00A40381">
            <w:pPr>
              <w:pStyle w:val="ARfintablebodyright"/>
            </w:pPr>
            <w:r w:rsidRPr="00A40381">
              <w:t>5.5</w:t>
            </w:r>
          </w:p>
        </w:tc>
        <w:tc>
          <w:tcPr>
            <w:tcW w:w="1244" w:type="dxa"/>
            <w:tcBorders>
              <w:top w:val="single" w:sz="4" w:space="0" w:color="000000" w:themeColor="text1"/>
              <w:bottom w:val="single" w:sz="4" w:space="0" w:color="A6A6A6" w:themeColor="accent5"/>
            </w:tcBorders>
            <w:noWrap/>
            <w:hideMark/>
          </w:tcPr>
          <w:p w14:paraId="1C217FF3" w14:textId="77777777" w:rsidR="00265792" w:rsidRPr="00A40381" w:rsidRDefault="00265792" w:rsidP="00A40381">
            <w:pPr>
              <w:pStyle w:val="ARfintablebodyright"/>
            </w:pPr>
            <w:r w:rsidRPr="00A40381">
              <w:t>1.9</w:t>
            </w:r>
          </w:p>
        </w:tc>
        <w:tc>
          <w:tcPr>
            <w:tcW w:w="1245" w:type="dxa"/>
            <w:tcBorders>
              <w:top w:val="single" w:sz="4" w:space="0" w:color="000000" w:themeColor="text1"/>
              <w:bottom w:val="single" w:sz="4" w:space="0" w:color="A6A6A6" w:themeColor="accent5"/>
            </w:tcBorders>
            <w:noWrap/>
            <w:hideMark/>
          </w:tcPr>
          <w:p w14:paraId="4C365429" w14:textId="77777777" w:rsidR="00265792" w:rsidRPr="00A40381" w:rsidRDefault="00265792" w:rsidP="00A40381">
            <w:pPr>
              <w:pStyle w:val="ARfintablebodyright"/>
            </w:pPr>
            <w:r w:rsidRPr="00A40381">
              <w:t>1.8</w:t>
            </w:r>
          </w:p>
        </w:tc>
      </w:tr>
      <w:tr w:rsidR="00265792" w:rsidRPr="00A40381" w14:paraId="6F4AB2F9" w14:textId="77777777" w:rsidTr="00667BFB">
        <w:trPr>
          <w:trHeight w:val="255"/>
        </w:trPr>
        <w:tc>
          <w:tcPr>
            <w:tcW w:w="4608" w:type="dxa"/>
            <w:tcBorders>
              <w:top w:val="single" w:sz="4" w:space="0" w:color="A6A6A6" w:themeColor="accent5"/>
            </w:tcBorders>
            <w:noWrap/>
            <w:hideMark/>
          </w:tcPr>
          <w:p w14:paraId="60780317" w14:textId="77777777" w:rsidR="00265792" w:rsidRPr="00A40381" w:rsidRDefault="00265792" w:rsidP="00A40381">
            <w:pPr>
              <w:pStyle w:val="ARfintablebody"/>
            </w:pPr>
            <w:r w:rsidRPr="00A40381">
              <w:t>Post-employment benefits</w:t>
            </w:r>
          </w:p>
        </w:tc>
        <w:tc>
          <w:tcPr>
            <w:tcW w:w="1267" w:type="dxa"/>
            <w:tcBorders>
              <w:top w:val="single" w:sz="4" w:space="0" w:color="A6A6A6" w:themeColor="accent5"/>
            </w:tcBorders>
            <w:shd w:val="clear" w:color="auto" w:fill="EEEEEF" w:themeFill="accent4"/>
            <w:noWrap/>
            <w:hideMark/>
          </w:tcPr>
          <w:p w14:paraId="771B6BE2" w14:textId="77777777" w:rsidR="00265792" w:rsidRPr="00A40381" w:rsidRDefault="00265792" w:rsidP="00A40381">
            <w:pPr>
              <w:pStyle w:val="ARfintablebodyright"/>
            </w:pPr>
            <w:r w:rsidRPr="00A40381">
              <w:t>0.4</w:t>
            </w:r>
          </w:p>
        </w:tc>
        <w:tc>
          <w:tcPr>
            <w:tcW w:w="1268" w:type="dxa"/>
            <w:tcBorders>
              <w:top w:val="single" w:sz="4" w:space="0" w:color="A6A6A6" w:themeColor="accent5"/>
            </w:tcBorders>
            <w:shd w:val="clear" w:color="auto" w:fill="EEEEEF" w:themeFill="accent4"/>
            <w:noWrap/>
            <w:hideMark/>
          </w:tcPr>
          <w:p w14:paraId="7206B7D5" w14:textId="77777777" w:rsidR="00265792" w:rsidRPr="00A40381" w:rsidRDefault="00265792" w:rsidP="00A40381">
            <w:pPr>
              <w:pStyle w:val="ARfintablebodyright"/>
            </w:pPr>
            <w:r w:rsidRPr="00A40381">
              <w:t>0.4</w:t>
            </w:r>
          </w:p>
        </w:tc>
        <w:tc>
          <w:tcPr>
            <w:tcW w:w="1244" w:type="dxa"/>
            <w:tcBorders>
              <w:top w:val="single" w:sz="4" w:space="0" w:color="A6A6A6" w:themeColor="accent5"/>
            </w:tcBorders>
            <w:noWrap/>
            <w:hideMark/>
          </w:tcPr>
          <w:p w14:paraId="06C7549A" w14:textId="77777777" w:rsidR="00265792" w:rsidRPr="00A40381" w:rsidRDefault="00265792" w:rsidP="00A40381">
            <w:pPr>
              <w:pStyle w:val="ARfintablebodyright"/>
            </w:pPr>
            <w:r w:rsidRPr="00A40381">
              <w:t>0.2</w:t>
            </w:r>
          </w:p>
        </w:tc>
        <w:tc>
          <w:tcPr>
            <w:tcW w:w="1245" w:type="dxa"/>
            <w:tcBorders>
              <w:top w:val="single" w:sz="4" w:space="0" w:color="A6A6A6" w:themeColor="accent5"/>
            </w:tcBorders>
            <w:noWrap/>
            <w:hideMark/>
          </w:tcPr>
          <w:p w14:paraId="280552EA" w14:textId="77777777" w:rsidR="00265792" w:rsidRPr="00A40381" w:rsidRDefault="00265792" w:rsidP="00A40381">
            <w:pPr>
              <w:pStyle w:val="ARfintablebodyright"/>
            </w:pPr>
            <w:r w:rsidRPr="00A40381">
              <w:t>0.2</w:t>
            </w:r>
          </w:p>
        </w:tc>
      </w:tr>
      <w:tr w:rsidR="00265792" w:rsidRPr="00A40381" w14:paraId="1F6614F2" w14:textId="77777777" w:rsidTr="00667BFB">
        <w:trPr>
          <w:trHeight w:val="255"/>
        </w:trPr>
        <w:tc>
          <w:tcPr>
            <w:tcW w:w="4608" w:type="dxa"/>
            <w:noWrap/>
            <w:hideMark/>
          </w:tcPr>
          <w:p w14:paraId="1FC0DDBD" w14:textId="77777777" w:rsidR="00265792" w:rsidRPr="00A40381" w:rsidRDefault="00265792" w:rsidP="00A40381">
            <w:pPr>
              <w:pStyle w:val="ARfintablebody"/>
            </w:pPr>
            <w:r w:rsidRPr="00A40381">
              <w:t>Other long-term benefits</w:t>
            </w:r>
          </w:p>
        </w:tc>
        <w:tc>
          <w:tcPr>
            <w:tcW w:w="1267" w:type="dxa"/>
            <w:shd w:val="clear" w:color="auto" w:fill="EEEEEF" w:themeFill="accent4"/>
            <w:noWrap/>
            <w:hideMark/>
          </w:tcPr>
          <w:p w14:paraId="45076910" w14:textId="77777777" w:rsidR="00265792" w:rsidRPr="00A40381" w:rsidRDefault="00265792" w:rsidP="00A40381">
            <w:pPr>
              <w:pStyle w:val="ARfintablebodyright"/>
            </w:pPr>
            <w:r w:rsidRPr="00A40381">
              <w:t>0.1</w:t>
            </w:r>
          </w:p>
        </w:tc>
        <w:tc>
          <w:tcPr>
            <w:tcW w:w="1268" w:type="dxa"/>
            <w:shd w:val="clear" w:color="auto" w:fill="EEEEEF" w:themeFill="accent4"/>
            <w:noWrap/>
            <w:hideMark/>
          </w:tcPr>
          <w:p w14:paraId="485656A4" w14:textId="77777777" w:rsidR="00265792" w:rsidRPr="00A40381" w:rsidRDefault="00265792" w:rsidP="00A40381">
            <w:pPr>
              <w:pStyle w:val="ARfintablebodyright"/>
            </w:pPr>
            <w:r w:rsidRPr="00A40381">
              <w:t>0.1</w:t>
            </w:r>
          </w:p>
        </w:tc>
        <w:tc>
          <w:tcPr>
            <w:tcW w:w="1244" w:type="dxa"/>
            <w:noWrap/>
            <w:hideMark/>
          </w:tcPr>
          <w:p w14:paraId="3346A486" w14:textId="77777777" w:rsidR="00265792" w:rsidRPr="00A40381" w:rsidRDefault="00265792" w:rsidP="00A40381">
            <w:pPr>
              <w:pStyle w:val="ARfintablebodyright"/>
            </w:pPr>
            <w:r>
              <w:t>–</w:t>
            </w:r>
          </w:p>
        </w:tc>
        <w:tc>
          <w:tcPr>
            <w:tcW w:w="1245" w:type="dxa"/>
            <w:noWrap/>
            <w:hideMark/>
          </w:tcPr>
          <w:p w14:paraId="38228571" w14:textId="77777777" w:rsidR="00265792" w:rsidRPr="00A40381" w:rsidRDefault="00265792" w:rsidP="00A40381">
            <w:pPr>
              <w:pStyle w:val="ARfintablebodyright"/>
            </w:pPr>
            <w:r w:rsidRPr="00A40381">
              <w:t>0.1</w:t>
            </w:r>
          </w:p>
        </w:tc>
      </w:tr>
      <w:tr w:rsidR="00265792" w:rsidRPr="00A40381" w14:paraId="19EF4552" w14:textId="77777777" w:rsidTr="00667BFB">
        <w:trPr>
          <w:trHeight w:val="255"/>
        </w:trPr>
        <w:tc>
          <w:tcPr>
            <w:tcW w:w="4608" w:type="dxa"/>
            <w:noWrap/>
            <w:hideMark/>
          </w:tcPr>
          <w:p w14:paraId="2A3E5A0A" w14:textId="77777777" w:rsidR="00265792" w:rsidRPr="00A40381" w:rsidRDefault="00265792" w:rsidP="00A40381">
            <w:pPr>
              <w:pStyle w:val="ARfintablebody"/>
            </w:pPr>
            <w:r w:rsidRPr="00A40381">
              <w:t>Termination benefits</w:t>
            </w:r>
          </w:p>
        </w:tc>
        <w:tc>
          <w:tcPr>
            <w:tcW w:w="1267" w:type="dxa"/>
            <w:shd w:val="clear" w:color="auto" w:fill="EEEEEF" w:themeFill="accent4"/>
            <w:noWrap/>
            <w:hideMark/>
          </w:tcPr>
          <w:p w14:paraId="3510E81B" w14:textId="77777777" w:rsidR="00265792" w:rsidRPr="00A40381" w:rsidRDefault="00265792" w:rsidP="00A40381">
            <w:pPr>
              <w:pStyle w:val="ARfintablebodyright"/>
            </w:pPr>
            <w:r w:rsidRPr="00DB118B">
              <w:rPr>
                <w:color w:val="auto"/>
              </w:rPr>
              <w:t>–</w:t>
            </w:r>
          </w:p>
        </w:tc>
        <w:tc>
          <w:tcPr>
            <w:tcW w:w="1268" w:type="dxa"/>
            <w:shd w:val="clear" w:color="auto" w:fill="EEEEEF" w:themeFill="accent4"/>
            <w:noWrap/>
            <w:hideMark/>
          </w:tcPr>
          <w:p w14:paraId="64A52FAB" w14:textId="77777777" w:rsidR="00265792" w:rsidRPr="00A40381" w:rsidRDefault="00265792" w:rsidP="00A40381">
            <w:pPr>
              <w:pStyle w:val="ARfintablebodyright"/>
            </w:pPr>
            <w:r>
              <w:t>–</w:t>
            </w:r>
          </w:p>
        </w:tc>
        <w:tc>
          <w:tcPr>
            <w:tcW w:w="1244" w:type="dxa"/>
            <w:noWrap/>
            <w:hideMark/>
          </w:tcPr>
          <w:p w14:paraId="3022A77C" w14:textId="77777777" w:rsidR="00265792" w:rsidRPr="00A40381" w:rsidRDefault="00265792" w:rsidP="00A40381">
            <w:pPr>
              <w:pStyle w:val="ARfintablebodyright"/>
            </w:pPr>
            <w:r>
              <w:t>–</w:t>
            </w:r>
          </w:p>
        </w:tc>
        <w:tc>
          <w:tcPr>
            <w:tcW w:w="1245" w:type="dxa"/>
            <w:noWrap/>
            <w:hideMark/>
          </w:tcPr>
          <w:p w14:paraId="3C801D42" w14:textId="77777777" w:rsidR="00265792" w:rsidRPr="00A40381" w:rsidRDefault="00265792" w:rsidP="00A40381">
            <w:pPr>
              <w:pStyle w:val="ARfintablebodyright"/>
            </w:pPr>
            <w:r w:rsidRPr="00A40381">
              <w:t>0.2</w:t>
            </w:r>
          </w:p>
        </w:tc>
      </w:tr>
      <w:tr w:rsidR="00265792" w:rsidRPr="00A40381" w14:paraId="56B0BF91" w14:textId="77777777" w:rsidTr="00667BFB">
        <w:trPr>
          <w:cnfStyle w:val="010000000000" w:firstRow="0" w:lastRow="1" w:firstColumn="0" w:lastColumn="0" w:oddVBand="0" w:evenVBand="0" w:oddHBand="0" w:evenHBand="0" w:firstRowFirstColumn="0" w:firstRowLastColumn="0" w:lastRowFirstColumn="0" w:lastRowLastColumn="0"/>
          <w:trHeight w:val="76"/>
        </w:trPr>
        <w:tc>
          <w:tcPr>
            <w:tcW w:w="4608" w:type="dxa"/>
            <w:noWrap/>
            <w:hideMark/>
          </w:tcPr>
          <w:p w14:paraId="0B431430" w14:textId="77777777" w:rsidR="00265792" w:rsidRPr="00A40381" w:rsidRDefault="00265792" w:rsidP="00667BFB">
            <w:pPr>
              <w:pStyle w:val="ARfintablebodybold"/>
            </w:pPr>
            <w:r w:rsidRPr="00A40381">
              <w:t xml:space="preserve">Total </w:t>
            </w:r>
            <w:r w:rsidRPr="00A40381">
              <w:rPr>
                <w:vertAlign w:val="superscript"/>
              </w:rPr>
              <w:t>(ii)(iii)</w:t>
            </w:r>
          </w:p>
        </w:tc>
        <w:tc>
          <w:tcPr>
            <w:tcW w:w="1267" w:type="dxa"/>
            <w:shd w:val="clear" w:color="auto" w:fill="EEEEEF" w:themeFill="accent4"/>
            <w:noWrap/>
            <w:hideMark/>
          </w:tcPr>
          <w:p w14:paraId="276A2E29" w14:textId="77777777" w:rsidR="00265792" w:rsidRPr="00A40381" w:rsidRDefault="00265792" w:rsidP="00522C6D">
            <w:pPr>
              <w:pStyle w:val="ARfintablebodyrightbold"/>
            </w:pPr>
            <w:r w:rsidRPr="00A40381">
              <w:t>6.1</w:t>
            </w:r>
          </w:p>
        </w:tc>
        <w:tc>
          <w:tcPr>
            <w:tcW w:w="1268" w:type="dxa"/>
            <w:shd w:val="clear" w:color="auto" w:fill="EEEEEF" w:themeFill="accent4"/>
            <w:noWrap/>
            <w:hideMark/>
          </w:tcPr>
          <w:p w14:paraId="2F79A1A1" w14:textId="77777777" w:rsidR="00265792" w:rsidRPr="00A40381" w:rsidRDefault="00265792" w:rsidP="00522C6D">
            <w:pPr>
              <w:pStyle w:val="ARfintablebodyrightbold"/>
            </w:pPr>
            <w:r w:rsidRPr="00A40381">
              <w:t>6.0</w:t>
            </w:r>
          </w:p>
        </w:tc>
        <w:tc>
          <w:tcPr>
            <w:tcW w:w="1244" w:type="dxa"/>
            <w:noWrap/>
            <w:hideMark/>
          </w:tcPr>
          <w:p w14:paraId="683A62F2" w14:textId="77777777" w:rsidR="00265792" w:rsidRPr="00A40381" w:rsidRDefault="00265792" w:rsidP="00522C6D">
            <w:pPr>
              <w:pStyle w:val="ARfintablebodyrightbold"/>
            </w:pPr>
            <w:r w:rsidRPr="00A40381">
              <w:t>2.1</w:t>
            </w:r>
          </w:p>
        </w:tc>
        <w:tc>
          <w:tcPr>
            <w:tcW w:w="1245" w:type="dxa"/>
            <w:noWrap/>
            <w:hideMark/>
          </w:tcPr>
          <w:p w14:paraId="22F2C65E" w14:textId="77777777" w:rsidR="00265792" w:rsidRPr="00A40381" w:rsidRDefault="00265792" w:rsidP="00522C6D">
            <w:pPr>
              <w:pStyle w:val="ARfintablebodyrightbold"/>
            </w:pPr>
            <w:r w:rsidRPr="00A40381">
              <w:t>2.3</w:t>
            </w:r>
          </w:p>
        </w:tc>
      </w:tr>
    </w:tbl>
    <w:p w14:paraId="55B1F916" w14:textId="77777777" w:rsidR="00265792" w:rsidRPr="00AA02D1" w:rsidRDefault="00265792" w:rsidP="00AA02D1">
      <w:pPr>
        <w:pStyle w:val="ARfinbody"/>
      </w:pPr>
      <w:r w:rsidRPr="00AA02D1">
        <w:t>Notes:</w:t>
      </w:r>
    </w:p>
    <w:p w14:paraId="27ADB1E9" w14:textId="6E9BF2EB" w:rsidR="00265792" w:rsidRPr="00AA02D1" w:rsidRDefault="00265792" w:rsidP="00AA02D1">
      <w:pPr>
        <w:pStyle w:val="ARfintablefootnotetabindent"/>
      </w:pPr>
      <w:r w:rsidRPr="00AA02D1">
        <w:t>(</w:t>
      </w:r>
      <w:proofErr w:type="spellStart"/>
      <w:r w:rsidRPr="00AA02D1">
        <w:t>i</w:t>
      </w:r>
      <w:proofErr w:type="spellEnd"/>
      <w:r w:rsidRPr="00AA02D1">
        <w:t xml:space="preserve">) </w:t>
      </w:r>
      <w:r>
        <w:tab/>
      </w:r>
      <w:r w:rsidRPr="00AA02D1">
        <w:t xml:space="preserve">This includes remuneration of </w:t>
      </w:r>
      <w:r w:rsidR="00383D34">
        <w:t>key management personnel</w:t>
      </w:r>
      <w:r w:rsidR="00383D34" w:rsidRPr="00AA02D1">
        <w:t xml:space="preserve"> </w:t>
      </w:r>
      <w:r w:rsidRPr="00AA02D1">
        <w:t>for Commission for Children and Young People, Disability Worker Registration Board of Victoria, Victorian Disability Worker Commission, Disability Services Commissioner, Respect Victoria, Victorian Veterans Council and Social Services Regulator. The remuneration of Homes Victoria's key management personnel is disclosed in the Department of Families, Fairness and Housing for the period 1 July 2024 – 30 June 2025.</w:t>
      </w:r>
    </w:p>
    <w:p w14:paraId="4D8F0738" w14:textId="77777777" w:rsidR="00265792" w:rsidRPr="00AA02D1" w:rsidRDefault="00265792" w:rsidP="00AA02D1">
      <w:pPr>
        <w:pStyle w:val="ARfintablefootnotetabindent"/>
      </w:pPr>
      <w:r w:rsidRPr="00AA02D1">
        <w:t xml:space="preserve">(ii) </w:t>
      </w:r>
      <w:r>
        <w:tab/>
      </w:r>
      <w:r w:rsidRPr="00AA02D1">
        <w:t>Total figures for 2023</w:t>
      </w:r>
      <w:r>
        <w:t>–</w:t>
      </w:r>
      <w:r w:rsidRPr="00AA02D1">
        <w:t>24 and 2024</w:t>
      </w:r>
      <w:r>
        <w:t>–</w:t>
      </w:r>
      <w:r w:rsidRPr="00AA02D1">
        <w:t>25 include the remuneration of the CFO who delivered services, as an executive officer to the department but is employed by the Department of Treasury and Finance.</w:t>
      </w:r>
    </w:p>
    <w:p w14:paraId="0314C571" w14:textId="77777777" w:rsidR="00265792" w:rsidRPr="00AA02D1" w:rsidRDefault="00265792" w:rsidP="00AA02D1">
      <w:pPr>
        <w:pStyle w:val="ARfintablefootnotetabindent"/>
      </w:pPr>
      <w:r w:rsidRPr="00AA02D1">
        <w:t xml:space="preserve">(iii) </w:t>
      </w:r>
      <w:r>
        <w:tab/>
      </w:r>
      <w:r w:rsidRPr="00AA02D1">
        <w:t>Note that KMPs are also reported in the disclosure of remuneration of Accountable Officers (refer to Note 9.5) and in the disclosure of remuneration of executive officers (refer to Note 9.6).</w:t>
      </w:r>
    </w:p>
    <w:p w14:paraId="4EE72836" w14:textId="77777777" w:rsidR="00265792" w:rsidRPr="00AA02D1" w:rsidRDefault="00265792" w:rsidP="002D0843">
      <w:pPr>
        <w:pStyle w:val="Heading6"/>
      </w:pPr>
      <w:r w:rsidRPr="00AA02D1">
        <w:t>Transactions and balances with key management personnel and other related parties</w:t>
      </w:r>
    </w:p>
    <w:p w14:paraId="14FE8740" w14:textId="77777777" w:rsidR="00265792" w:rsidRPr="00AA02D1" w:rsidRDefault="00265792" w:rsidP="00AA02D1">
      <w:pPr>
        <w:pStyle w:val="ARfinbody"/>
      </w:pPr>
      <w:r w:rsidRPr="00AA02D1">
        <w:t xml:space="preserve">Given the breadth and depth of state government activities, related parties transact with the Victorian public sector in a manner consistent with other members of the public, for example stamp duty and other government fees and charges. Further employment of processes within the Victorian public sector </w:t>
      </w:r>
      <w:proofErr w:type="gramStart"/>
      <w:r w:rsidRPr="00AA02D1">
        <w:t>occur</w:t>
      </w:r>
      <w:proofErr w:type="gramEnd"/>
      <w:r w:rsidRPr="00AA02D1">
        <w:t xml:space="preserve"> on terms and conditions consistent with the </w:t>
      </w:r>
      <w:bookmarkStart w:id="289" w:name="PAA212"/>
      <w:r w:rsidRPr="00E15716">
        <w:rPr>
          <w:rStyle w:val="Emphasis"/>
        </w:rPr>
        <w:t>Public Administration Act 2004</w:t>
      </w:r>
      <w:bookmarkEnd w:id="289"/>
      <w:r w:rsidRPr="00AA02D1">
        <w:t xml:space="preserve"> and Codes of Conduct and Standards issued by the Victorian Public Sector Commission. Procurement processes occur on terms and conditions consistent with the Victorian Government Procurement Board requirements.</w:t>
      </w:r>
    </w:p>
    <w:p w14:paraId="03974E63" w14:textId="77777777" w:rsidR="00265792" w:rsidRPr="00AA02D1" w:rsidRDefault="00265792" w:rsidP="00AA02D1">
      <w:pPr>
        <w:pStyle w:val="ARfinbody"/>
      </w:pPr>
      <w:r w:rsidRPr="00AA02D1">
        <w:t>Outside of normal citizen-type transactions, there were no material related party transactions that involved key management personnel, their close family members and their personal business interests with the department, the Administrative Offices or its s. 53(1)(b) entities.</w:t>
      </w:r>
    </w:p>
    <w:p w14:paraId="5EA6DEEA" w14:textId="77777777" w:rsidR="00265792" w:rsidRPr="00AA02D1" w:rsidRDefault="00265792" w:rsidP="00AA02D1">
      <w:pPr>
        <w:pStyle w:val="ARfinbody"/>
      </w:pPr>
      <w:r w:rsidRPr="00AA02D1">
        <w:t>No provision has been required, nor any expense recognised, for impairment of receivables from related parties.</w:t>
      </w:r>
    </w:p>
    <w:p w14:paraId="42C2A4A1" w14:textId="77777777" w:rsidR="00265792" w:rsidRPr="00AA02D1" w:rsidRDefault="00265792" w:rsidP="00A0243D">
      <w:pPr>
        <w:pStyle w:val="Heading5"/>
      </w:pPr>
      <w:r w:rsidRPr="002D0843">
        <w:t>9.8 Remuneration of auditors</w:t>
      </w:r>
    </w:p>
    <w:tbl>
      <w:tblPr>
        <w:tblStyle w:val="TableGrid"/>
        <w:tblW w:w="0" w:type="auto"/>
        <w:tblLook w:val="04E0" w:firstRow="1" w:lastRow="1" w:firstColumn="1" w:lastColumn="0" w:noHBand="0" w:noVBand="1"/>
      </w:tblPr>
      <w:tblGrid>
        <w:gridCol w:w="6624"/>
        <w:gridCol w:w="1448"/>
        <w:gridCol w:w="1560"/>
      </w:tblGrid>
      <w:tr w:rsidR="00265792" w:rsidRPr="008640DB" w14:paraId="744359E7" w14:textId="77777777" w:rsidTr="00292287">
        <w:trPr>
          <w:cnfStyle w:val="100000000000" w:firstRow="1" w:lastRow="0" w:firstColumn="0" w:lastColumn="0" w:oddVBand="0" w:evenVBand="0" w:oddHBand="0" w:evenHBand="0" w:firstRowFirstColumn="0" w:firstRowLastColumn="0" w:lastRowFirstColumn="0" w:lastRowLastColumn="0"/>
          <w:trHeight w:val="575"/>
        </w:trPr>
        <w:tc>
          <w:tcPr>
            <w:tcW w:w="6633" w:type="dxa"/>
            <w:noWrap/>
            <w:hideMark/>
          </w:tcPr>
          <w:p w14:paraId="4032845D" w14:textId="77777777" w:rsidR="00265792" w:rsidRPr="008640DB" w:rsidRDefault="00265792" w:rsidP="008640DB">
            <w:pPr>
              <w:pStyle w:val="ARfinbody"/>
              <w:rPr>
                <w:b/>
                <w:bCs/>
              </w:rPr>
            </w:pPr>
            <w:r w:rsidRPr="008640DB">
              <w:rPr>
                <w:b/>
                <w:bCs/>
              </w:rPr>
              <w:t> </w:t>
            </w:r>
          </w:p>
          <w:p w14:paraId="6D0CAF63" w14:textId="77777777" w:rsidR="00265792" w:rsidRPr="008640DB" w:rsidRDefault="00265792" w:rsidP="008640DB">
            <w:pPr>
              <w:pStyle w:val="ARfinbody"/>
              <w:rPr>
                <w:b/>
                <w:bCs/>
              </w:rPr>
            </w:pPr>
          </w:p>
        </w:tc>
        <w:tc>
          <w:tcPr>
            <w:tcW w:w="1443" w:type="dxa"/>
            <w:shd w:val="clear" w:color="auto" w:fill="EEEEEF" w:themeFill="accent4"/>
            <w:noWrap/>
            <w:hideMark/>
          </w:tcPr>
          <w:p w14:paraId="1AB14D5F" w14:textId="77777777" w:rsidR="00265792" w:rsidRPr="008640DB" w:rsidRDefault="00265792" w:rsidP="008640DB">
            <w:pPr>
              <w:pStyle w:val="ARfintablecolheadright"/>
            </w:pPr>
            <w:r w:rsidRPr="008640DB">
              <w:t>2025</w:t>
            </w:r>
          </w:p>
          <w:p w14:paraId="1EF1F846" w14:textId="77777777" w:rsidR="00265792" w:rsidRPr="008640DB" w:rsidRDefault="00265792" w:rsidP="008640DB">
            <w:pPr>
              <w:pStyle w:val="ARfintablecolheadright"/>
            </w:pPr>
            <w:r w:rsidRPr="008640DB">
              <w:t>$</w:t>
            </w:r>
          </w:p>
        </w:tc>
        <w:tc>
          <w:tcPr>
            <w:tcW w:w="1556" w:type="dxa"/>
            <w:noWrap/>
            <w:hideMark/>
          </w:tcPr>
          <w:p w14:paraId="43CE6933" w14:textId="77777777" w:rsidR="00265792" w:rsidRPr="008640DB" w:rsidRDefault="00265792" w:rsidP="008640DB">
            <w:pPr>
              <w:pStyle w:val="ARfintablecolheadright"/>
            </w:pPr>
            <w:r w:rsidRPr="008640DB">
              <w:t>2024</w:t>
            </w:r>
          </w:p>
          <w:p w14:paraId="60A6A636" w14:textId="77777777" w:rsidR="00265792" w:rsidRPr="008640DB" w:rsidRDefault="00265792" w:rsidP="008640DB">
            <w:pPr>
              <w:pStyle w:val="ARfintablecolheadright"/>
            </w:pPr>
            <w:r w:rsidRPr="008640DB">
              <w:t>$</w:t>
            </w:r>
          </w:p>
        </w:tc>
      </w:tr>
      <w:tr w:rsidR="00265792" w:rsidRPr="008640DB" w14:paraId="4CF29383" w14:textId="77777777" w:rsidTr="00292287">
        <w:trPr>
          <w:cnfStyle w:val="010000000000" w:firstRow="0" w:lastRow="1" w:firstColumn="0" w:lastColumn="0" w:oddVBand="0" w:evenVBand="0" w:oddHBand="0" w:evenHBand="0" w:firstRowFirstColumn="0" w:firstRowLastColumn="0" w:lastRowFirstColumn="0" w:lastRowLastColumn="0"/>
          <w:trHeight w:val="255"/>
        </w:trPr>
        <w:tc>
          <w:tcPr>
            <w:tcW w:w="6633" w:type="dxa"/>
            <w:noWrap/>
            <w:hideMark/>
          </w:tcPr>
          <w:p w14:paraId="56DCEF86" w14:textId="6FC30D57" w:rsidR="00265792" w:rsidRPr="002C7359" w:rsidRDefault="00265792">
            <w:pPr>
              <w:pStyle w:val="ARfintablebody"/>
              <w:rPr>
                <w:b/>
              </w:rPr>
            </w:pPr>
            <w:r w:rsidRPr="002C7359">
              <w:t xml:space="preserve"> Victorian Auditor-General</w:t>
            </w:r>
            <w:r w:rsidR="00E66020">
              <w:t>’</w:t>
            </w:r>
            <w:r w:rsidRPr="002C7359">
              <w:t xml:space="preserve">s Office – audit of the financial report </w:t>
            </w:r>
          </w:p>
        </w:tc>
        <w:tc>
          <w:tcPr>
            <w:tcW w:w="1443" w:type="dxa"/>
            <w:shd w:val="clear" w:color="auto" w:fill="EEEEEF" w:themeFill="accent4"/>
            <w:noWrap/>
            <w:hideMark/>
          </w:tcPr>
          <w:p w14:paraId="74DDC437" w14:textId="77777777" w:rsidR="00265792" w:rsidRPr="002C7359" w:rsidRDefault="00265792">
            <w:pPr>
              <w:pStyle w:val="ARfintablebodyright"/>
              <w:rPr>
                <w:b/>
              </w:rPr>
            </w:pPr>
            <w:r w:rsidRPr="002C7359">
              <w:t>563,000</w:t>
            </w:r>
          </w:p>
        </w:tc>
        <w:tc>
          <w:tcPr>
            <w:tcW w:w="1556" w:type="dxa"/>
            <w:noWrap/>
            <w:hideMark/>
          </w:tcPr>
          <w:p w14:paraId="7ABD5854" w14:textId="77777777" w:rsidR="00265792" w:rsidRPr="002C7359" w:rsidRDefault="00265792">
            <w:pPr>
              <w:pStyle w:val="ARfintablebodyright"/>
              <w:rPr>
                <w:b/>
              </w:rPr>
            </w:pPr>
            <w:r w:rsidRPr="002C7359">
              <w:t>530,400</w:t>
            </w:r>
          </w:p>
        </w:tc>
      </w:tr>
    </w:tbl>
    <w:p w14:paraId="1111F251" w14:textId="77777777" w:rsidR="00265792" w:rsidRPr="00A0243D" w:rsidRDefault="00265792" w:rsidP="00B246CD">
      <w:pPr>
        <w:pStyle w:val="Heading5"/>
      </w:pPr>
      <w:r>
        <w:t xml:space="preserve">9.9 </w:t>
      </w:r>
      <w:r w:rsidRPr="00A0243D">
        <w:t>Subsequent events</w:t>
      </w:r>
    </w:p>
    <w:p w14:paraId="7889CC36" w14:textId="77777777" w:rsidR="00265792" w:rsidRDefault="00265792" w:rsidP="00A0243D">
      <w:pPr>
        <w:pStyle w:val="ARfinbody"/>
      </w:pPr>
      <w:r w:rsidRPr="00A0243D">
        <w:t>There are no</w:t>
      </w:r>
      <w:r>
        <w:t xml:space="preserve"> subsequent events for the 2024–25 financial year.</w:t>
      </w:r>
    </w:p>
    <w:p w14:paraId="596C3C0F" w14:textId="77777777" w:rsidR="00265792" w:rsidRDefault="00265792" w:rsidP="00B246CD">
      <w:pPr>
        <w:pStyle w:val="Heading5"/>
      </w:pPr>
      <w:r>
        <w:t>9.10 Other accounting policies</w:t>
      </w:r>
    </w:p>
    <w:p w14:paraId="284902D0" w14:textId="77777777" w:rsidR="00265792" w:rsidRDefault="00265792" w:rsidP="009561B7">
      <w:pPr>
        <w:pStyle w:val="Heading6"/>
      </w:pPr>
      <w:r>
        <w:t>Contributions by owners</w:t>
      </w:r>
    </w:p>
    <w:p w14:paraId="13FDA69A" w14:textId="77777777" w:rsidR="00265792" w:rsidRDefault="00265792" w:rsidP="00B246CD">
      <w:pPr>
        <w:pStyle w:val="ARfinbody"/>
      </w:pPr>
      <w:r>
        <w:t xml:space="preserve">Consistent with the requirements of AASB 1004 </w:t>
      </w:r>
      <w:r w:rsidRPr="00E15716">
        <w:rPr>
          <w:rStyle w:val="Emphasis"/>
        </w:rPr>
        <w:t>Contributions</w:t>
      </w:r>
      <w:r>
        <w:t>, contributions by owners (that is, contributed capital and its repayment) are treated as equity transactions and therefore do not form part of the income and expenses of the department.</w:t>
      </w:r>
    </w:p>
    <w:p w14:paraId="04ED2EE7" w14:textId="77777777" w:rsidR="00265792" w:rsidRDefault="00265792" w:rsidP="00B246CD">
      <w:pPr>
        <w:pStyle w:val="ARfinbody"/>
      </w:pPr>
      <w:r>
        <w:t xml:space="preserve">Additions to net assets that have been designated as contributions by owners are recognised as contributed capital. Other transfers that are </w:t>
      </w:r>
      <w:proofErr w:type="gramStart"/>
      <w:r>
        <w:t>in the nature of contributions</w:t>
      </w:r>
      <w:proofErr w:type="gramEnd"/>
      <w:r>
        <w:t xml:space="preserve"> to or distributions by owners have also been designated as contributions by owners. </w:t>
      </w:r>
    </w:p>
    <w:p w14:paraId="1A2CF5F0" w14:textId="77777777" w:rsidR="00265792" w:rsidRDefault="00265792" w:rsidP="00B246CD">
      <w:pPr>
        <w:pStyle w:val="ARfinbody"/>
      </w:pPr>
      <w:r>
        <w:t>Transfers of net assets arising from administrative restructurings are treated as distributions to or contributions by owners. Transfers of net liabilities arising from administrative restructurings are treated as distributions to owners.</w:t>
      </w:r>
    </w:p>
    <w:p w14:paraId="49E3BD7F" w14:textId="77777777" w:rsidR="00265792" w:rsidRDefault="00265792" w:rsidP="002B795A">
      <w:pPr>
        <w:pStyle w:val="Heading5"/>
      </w:pPr>
      <w:r w:rsidRPr="002B795A">
        <w:rPr>
          <w:rFonts w:eastAsiaTheme="minorEastAsia"/>
        </w:rPr>
        <w:lastRenderedPageBreak/>
        <w:t>9.11 Australian Accounting Standards issued that are not yet effective</w:t>
      </w:r>
    </w:p>
    <w:p w14:paraId="40E98BA6" w14:textId="77777777" w:rsidR="00265792" w:rsidRDefault="00265792" w:rsidP="002B795A">
      <w:pPr>
        <w:pStyle w:val="ARfinbody"/>
      </w:pPr>
      <w:r>
        <w:t xml:space="preserve">Certain new and revised accounting standards have been issued but are not effective for the 2024–25 reporting period. These accounting standards have not been applied to the financial statements. </w:t>
      </w:r>
    </w:p>
    <w:p w14:paraId="5A9F4954" w14:textId="77777777" w:rsidR="00265792" w:rsidRDefault="00265792" w:rsidP="00E4144A">
      <w:pPr>
        <w:pStyle w:val="Heading6"/>
      </w:pPr>
      <w:r>
        <w:t xml:space="preserve">AASB 2022-10 </w:t>
      </w:r>
      <w:r w:rsidRPr="00E15716">
        <w:rPr>
          <w:rStyle w:val="Emphasis"/>
        </w:rPr>
        <w:t xml:space="preserve">Amendments to Australian Accounting Standards – Fair Value Measurement of </w:t>
      </w:r>
      <w:r w:rsidRPr="00E15716">
        <w:rPr>
          <w:rStyle w:val="Emphasis"/>
        </w:rPr>
        <w:br/>
        <w:t>Non-Financial Assets of Not-for-Profit Public Sector Entities</w:t>
      </w:r>
    </w:p>
    <w:p w14:paraId="2BCCF62E" w14:textId="77777777" w:rsidR="00265792" w:rsidRDefault="00265792" w:rsidP="002B795A">
      <w:pPr>
        <w:pStyle w:val="ARfinbody"/>
      </w:pPr>
      <w:r>
        <w:t xml:space="preserve">AASB 2022-10 </w:t>
      </w:r>
      <w:r w:rsidRPr="00E15716">
        <w:rPr>
          <w:rStyle w:val="Emphasis"/>
        </w:rPr>
        <w:t>Amendments to Australian Accounting Standards – Fair Value Measurement of Non-Financial Assets of Not-for-Profit Public Sector Entities</w:t>
      </w:r>
      <w:r>
        <w:t xml:space="preserve"> amended AASB 13 by adding Appendix F Australian implementation guidance for not-for-profit public sector entities. Appendix F explains and illustrates the application of the principles in AASB 13 on developing unobservable inputs and the application of the cost approach. These clarifications are mandatorily applicable annual reporting periods beginning on or after 1 January 2024. FRD 103 permits Victorian public sector entities to apply Appendix F of AASB 13 in their next scheduled formal asset revaluation or interim revaluation (whichever is earlier). In accordance with FRD 103, the department will apply Appendix F of AASB 13 in its next scheduled formal revaluation in 2028 or interim revaluation process (whichever is earlier).</w:t>
      </w:r>
    </w:p>
    <w:p w14:paraId="710D144E" w14:textId="77777777" w:rsidR="00265792" w:rsidRDefault="00265792" w:rsidP="00E4144A">
      <w:pPr>
        <w:pStyle w:val="Heading6"/>
      </w:pPr>
      <w:r>
        <w:t xml:space="preserve">AASB </w:t>
      </w:r>
      <w:r w:rsidRPr="00E15716">
        <w:rPr>
          <w:rStyle w:val="Emphasis"/>
        </w:rPr>
        <w:t xml:space="preserve">17 Insurance Contracts, </w:t>
      </w:r>
      <w:r w:rsidRPr="002C7359">
        <w:rPr>
          <w:rStyle w:val="Emphasis"/>
          <w:i w:val="0"/>
        </w:rPr>
        <w:t>AASB 2022-8</w:t>
      </w:r>
      <w:r w:rsidRPr="00E15716">
        <w:rPr>
          <w:rStyle w:val="Emphasis"/>
        </w:rPr>
        <w:t xml:space="preserve"> Amendments to Australian Accounting Standards – Insurance Contracts: Consequential Amendments and </w:t>
      </w:r>
      <w:r w:rsidRPr="002C7359">
        <w:rPr>
          <w:rStyle w:val="Emphasis"/>
          <w:i w:val="0"/>
        </w:rPr>
        <w:t>AASB 2022-9</w:t>
      </w:r>
      <w:r w:rsidRPr="00E15716">
        <w:rPr>
          <w:rStyle w:val="Emphasis"/>
        </w:rPr>
        <w:t xml:space="preserve"> Amendments to Australian Accounting Standards – Insurance Contracts in the Public Sector</w:t>
      </w:r>
    </w:p>
    <w:p w14:paraId="1DD0ED1F" w14:textId="28E3B912" w:rsidR="00265792" w:rsidRDefault="00265792" w:rsidP="002B795A">
      <w:pPr>
        <w:pStyle w:val="ARfinbody"/>
      </w:pPr>
      <w:r>
        <w:t xml:space="preserve">AASB 17 replaces AASB 4 </w:t>
      </w:r>
      <w:r w:rsidRPr="00E15716">
        <w:rPr>
          <w:rStyle w:val="Emphasis"/>
        </w:rPr>
        <w:t>Insurance Contracts</w:t>
      </w:r>
      <w:r>
        <w:t xml:space="preserve">, AASB 1023 </w:t>
      </w:r>
      <w:r w:rsidRPr="00E15716">
        <w:rPr>
          <w:rStyle w:val="Emphasis"/>
        </w:rPr>
        <w:t>General Insurance Contracts</w:t>
      </w:r>
      <w:r>
        <w:t xml:space="preserve"> and AASB 1038 </w:t>
      </w:r>
      <w:r w:rsidRPr="00E15716">
        <w:rPr>
          <w:rStyle w:val="Emphasis"/>
        </w:rPr>
        <w:t>Life Insurance Contracts</w:t>
      </w:r>
      <w:r>
        <w:t xml:space="preserve"> for not-for-profit public sector entities for annual reporting periods beginning on or after 1 July 2026. AASB 2022-9 amends AASB 17 to make public sector-related modifications (</w:t>
      </w:r>
      <w:r w:rsidR="00E66020">
        <w:t>for example,</w:t>
      </w:r>
      <w:r>
        <w:t xml:space="preserve"> it specifies the pre-requisites, indicators and other considerations in identifying arrangements that fall within the scope of AASB 17 in a public sector context). This Standard applies for annual reporting periods beginning on or after 1 July 2026. AASB 2022-8 makes consequential amendments to other Australian Accounting Standards so that public sector entities are permitted to continue to apply AASB 4 and AASB 1023 to annual periods before 1 July 2026. This Standard applies for annual reporting periods beginning on or after 1 January 2023.</w:t>
      </w:r>
    </w:p>
    <w:p w14:paraId="7325909B" w14:textId="77777777" w:rsidR="00265792" w:rsidRPr="00E15716" w:rsidRDefault="00265792" w:rsidP="00E4144A">
      <w:pPr>
        <w:pStyle w:val="Heading6"/>
        <w:rPr>
          <w:rStyle w:val="Emphasis"/>
        </w:rPr>
      </w:pPr>
      <w:r>
        <w:t xml:space="preserve">AASB 2024-2 </w:t>
      </w:r>
      <w:r w:rsidRPr="00E15716">
        <w:rPr>
          <w:rStyle w:val="Emphasis"/>
        </w:rPr>
        <w:t>Amendments to Australian Accounting Standards – Classification and Measurement of Financial Instruments</w:t>
      </w:r>
    </w:p>
    <w:p w14:paraId="03297C0E" w14:textId="77777777" w:rsidR="00265792" w:rsidRDefault="00265792" w:rsidP="002B795A">
      <w:pPr>
        <w:pStyle w:val="ARfinbody"/>
      </w:pPr>
      <w:r>
        <w:t xml:space="preserve">AASB 2024-2 amends AASB 7 </w:t>
      </w:r>
      <w:r w:rsidRPr="00E15716">
        <w:rPr>
          <w:rStyle w:val="Emphasis"/>
        </w:rPr>
        <w:t>Financial Instruments: Disclosures</w:t>
      </w:r>
      <w:r>
        <w:t xml:space="preserve"> and AASB 9 </w:t>
      </w:r>
      <w:r w:rsidRPr="00E15716">
        <w:rPr>
          <w:rStyle w:val="Emphasis"/>
        </w:rPr>
        <w:t>Financial Instruments</w:t>
      </w:r>
      <w:r>
        <w:t>.</w:t>
      </w:r>
    </w:p>
    <w:p w14:paraId="6988CE5F" w14:textId="77777777" w:rsidR="00265792" w:rsidRDefault="00265792" w:rsidP="002B795A">
      <w:pPr>
        <w:pStyle w:val="ARfinbody"/>
      </w:pPr>
      <w:r>
        <w:t>AASB 2024-2 amends requirements relating to:</w:t>
      </w:r>
    </w:p>
    <w:p w14:paraId="4061EF93" w14:textId="77777777" w:rsidR="00265792" w:rsidRDefault="00265792" w:rsidP="002B795A">
      <w:pPr>
        <w:pStyle w:val="ARfinbullet1"/>
      </w:pPr>
      <w:r>
        <w:t>settling financial liabilities using an electronic payment system</w:t>
      </w:r>
    </w:p>
    <w:p w14:paraId="0830BBD0" w14:textId="77777777" w:rsidR="00265792" w:rsidRDefault="00265792">
      <w:pPr>
        <w:pStyle w:val="ARfinbullet1"/>
      </w:pPr>
      <w:r>
        <w:t>assessing contractual cash flow characteristics of financial assets with environmental, social and corporate governance (ESG) and similar features</w:t>
      </w:r>
    </w:p>
    <w:p w14:paraId="50A1D322" w14:textId="77777777" w:rsidR="00265792" w:rsidRDefault="00265792">
      <w:pPr>
        <w:pStyle w:val="ARfinbullet1"/>
      </w:pPr>
      <w:r>
        <w:t>disclosure requirements for investments in equity instruments designated at fair value through other comprehensive income and financial instruments with contingent features that do not relate directly to basic lending risks and costs.</w:t>
      </w:r>
    </w:p>
    <w:p w14:paraId="6B2D9E82" w14:textId="77777777" w:rsidR="00265792" w:rsidRDefault="00265792" w:rsidP="002B795A">
      <w:pPr>
        <w:pStyle w:val="ARfinbody"/>
      </w:pPr>
      <w:r>
        <w:t>This amendment applies to annual reporting periods beginning on or after 1 January 2026.</w:t>
      </w:r>
    </w:p>
    <w:p w14:paraId="5026D54A" w14:textId="77777777" w:rsidR="00265792" w:rsidRPr="00E15716" w:rsidRDefault="00265792" w:rsidP="00E4144A">
      <w:pPr>
        <w:pStyle w:val="Heading6"/>
        <w:rPr>
          <w:rStyle w:val="Emphasis"/>
        </w:rPr>
      </w:pPr>
      <w:r>
        <w:t xml:space="preserve">AASB 18 </w:t>
      </w:r>
      <w:r w:rsidRPr="00E15716">
        <w:rPr>
          <w:rStyle w:val="Emphasis"/>
        </w:rPr>
        <w:t>Presentation and Disclosure of Financial Statements</w:t>
      </w:r>
    </w:p>
    <w:p w14:paraId="7CD15FA8" w14:textId="77777777" w:rsidR="00265792" w:rsidRDefault="00265792" w:rsidP="002B795A">
      <w:pPr>
        <w:pStyle w:val="ARfinbody"/>
      </w:pPr>
      <w:r>
        <w:t xml:space="preserve">AASB 18 replaces AASB 101 </w:t>
      </w:r>
      <w:r w:rsidRPr="00E15716">
        <w:rPr>
          <w:rStyle w:val="Emphasis"/>
        </w:rPr>
        <w:t>Presentation of Financial Statements</w:t>
      </w:r>
      <w:r>
        <w:t xml:space="preserve"> to improve how entities communicate in their financial statements, with a particular focus on information about financial performance in the statement of profit or loss.</w:t>
      </w:r>
    </w:p>
    <w:p w14:paraId="074F9FD4" w14:textId="77777777" w:rsidR="00265792" w:rsidRDefault="00265792" w:rsidP="002B795A">
      <w:pPr>
        <w:pStyle w:val="ARfinbody"/>
      </w:pPr>
      <w:r>
        <w:t>The key presentation and disclosure requirements established by AASB 18 is the presentation of newly defined subtotals in the statement of profit or loss.</w:t>
      </w:r>
    </w:p>
    <w:p w14:paraId="14B33BCB" w14:textId="77777777" w:rsidR="00265792" w:rsidRDefault="00265792" w:rsidP="002B795A">
      <w:pPr>
        <w:pStyle w:val="ARfinbody"/>
      </w:pPr>
      <w:r>
        <w:t>AASB 18 applies to annual reporting periods beginning on or after 1 January 2027 for for-profit entities and applies to annual reporting periods beginning on or after 1 January 2028 for not-for-profit entities. The delayed date of one year will allow the AASB to consult with stakeholders and consider potential modifications for application by not-for-profit public sector entities.</w:t>
      </w:r>
    </w:p>
    <w:p w14:paraId="3B09A1EE" w14:textId="77777777" w:rsidR="00265792" w:rsidRDefault="00265792" w:rsidP="002B795A">
      <w:pPr>
        <w:pStyle w:val="ARfinbody"/>
      </w:pPr>
      <w:r>
        <w:t>The department is currently in the process of assessing the potential impact of these standards and amendments.</w:t>
      </w:r>
    </w:p>
    <w:p w14:paraId="7B95F05D" w14:textId="58AC8604" w:rsidR="00265792" w:rsidRDefault="00265792" w:rsidP="002B795A">
      <w:pPr>
        <w:pStyle w:val="ARfinbody"/>
      </w:pPr>
      <w:proofErr w:type="gramStart"/>
      <w:r>
        <w:t>A number of</w:t>
      </w:r>
      <w:proofErr w:type="gramEnd"/>
      <w:r>
        <w:t xml:space="preserve"> other standards and amendments have also been issued that apply to future reporting periods</w:t>
      </w:r>
      <w:r w:rsidR="0011561F">
        <w:t>;</w:t>
      </w:r>
      <w:r>
        <w:t xml:space="preserve"> however</w:t>
      </w:r>
      <w:r w:rsidR="0011561F">
        <w:t>,</w:t>
      </w:r>
      <w:r>
        <w:t xml:space="preserve"> they are not expected to have any significant impact on the financial statements in the period of initial application.</w:t>
      </w:r>
      <w:r>
        <w:br w:type="page"/>
      </w:r>
    </w:p>
    <w:p w14:paraId="423315DF" w14:textId="77777777" w:rsidR="00265792" w:rsidRDefault="00265792" w:rsidP="00293D8D">
      <w:pPr>
        <w:pStyle w:val="Heading5"/>
      </w:pPr>
      <w:r>
        <w:lastRenderedPageBreak/>
        <w:t>9.12 Glossary of technical terms</w:t>
      </w:r>
    </w:p>
    <w:p w14:paraId="3CDAF00B" w14:textId="77777777" w:rsidR="00265792" w:rsidRDefault="00265792" w:rsidP="00105FC9">
      <w:pPr>
        <w:pStyle w:val="ARfinbody"/>
      </w:pPr>
      <w:r>
        <w:t>The following is a summary of the major technical terms used in this report.</w:t>
      </w:r>
    </w:p>
    <w:p w14:paraId="36379C48" w14:textId="77777777" w:rsidR="00265792" w:rsidRDefault="00265792" w:rsidP="00105FC9">
      <w:pPr>
        <w:pStyle w:val="ARfinbody"/>
      </w:pPr>
      <w:r w:rsidRPr="00267134">
        <w:rPr>
          <w:rStyle w:val="Strong"/>
        </w:rPr>
        <w:t>Actuarial gains or losses on superannuation defined benefit plans</w:t>
      </w:r>
      <w:r>
        <w:t xml:space="preserve"> are changes in the present value of the superannuation defined benefit liability resulting from: </w:t>
      </w:r>
    </w:p>
    <w:p w14:paraId="0E73382C" w14:textId="77777777" w:rsidR="00265792" w:rsidRDefault="00265792" w:rsidP="00265792">
      <w:pPr>
        <w:pStyle w:val="ARfinnumberalpha1"/>
        <w:numPr>
          <w:ilvl w:val="0"/>
          <w:numId w:val="16"/>
        </w:numPr>
      </w:pPr>
      <w:r>
        <w:t xml:space="preserve">experience adjustments (the effects of differences between the previous actuarial assumptions and what has </w:t>
      </w:r>
      <w:proofErr w:type="gramStart"/>
      <w:r>
        <w:t>actually occurred</w:t>
      </w:r>
      <w:proofErr w:type="gramEnd"/>
      <w:r>
        <w:t>)</w:t>
      </w:r>
    </w:p>
    <w:p w14:paraId="753EA46E" w14:textId="77777777" w:rsidR="00265792" w:rsidRDefault="00265792" w:rsidP="00293D8D">
      <w:pPr>
        <w:pStyle w:val="ARfinnumberalpha1"/>
      </w:pPr>
      <w:r>
        <w:t>the effects of changes in actuarial assumptions.</w:t>
      </w:r>
    </w:p>
    <w:p w14:paraId="7F3715DB" w14:textId="77777777" w:rsidR="00265792" w:rsidRDefault="00265792" w:rsidP="00105FC9">
      <w:pPr>
        <w:pStyle w:val="ARfinbody"/>
      </w:pPr>
      <w:r w:rsidRPr="00267134">
        <w:rPr>
          <w:rStyle w:val="Strong"/>
        </w:rPr>
        <w:t>Administered item</w:t>
      </w:r>
      <w:r>
        <w:t xml:space="preserve"> generally refers to a department lacking the capacity to benefit from that item in the pursuit of the entity’s objectives and to deny or regulate the access of others to that benefit.</w:t>
      </w:r>
    </w:p>
    <w:p w14:paraId="7F4E632C" w14:textId="77777777" w:rsidR="00265792" w:rsidRDefault="00265792" w:rsidP="00105FC9">
      <w:pPr>
        <w:pStyle w:val="ARfinbody"/>
      </w:pPr>
      <w:r w:rsidRPr="00267134">
        <w:rPr>
          <w:rStyle w:val="Strong"/>
        </w:rPr>
        <w:t>Amortisation</w:t>
      </w:r>
      <w:r>
        <w:t xml:space="preserve"> is the expense that results from the consumption, extraction or use over time of a non-produced physical or intangible asset. This expense is classified as an ‘other economic flow’.</w:t>
      </w:r>
    </w:p>
    <w:p w14:paraId="7D3F8F7C" w14:textId="77777777" w:rsidR="00265792" w:rsidRDefault="00265792" w:rsidP="00105FC9">
      <w:pPr>
        <w:pStyle w:val="ARfinbody"/>
      </w:pPr>
      <w:r w:rsidRPr="00267134">
        <w:rPr>
          <w:rStyle w:val="Strong"/>
        </w:rPr>
        <w:t xml:space="preserve">Borrowings </w:t>
      </w:r>
      <w:r>
        <w:t>refers to interest-bearing liabilities mainly raised from public borrowings raised through the Treasury Corporation of Victoria, finance leases, service concession arrangements and other interest-bearing arrangements. Borrowings also include non-interest-bearing advances from government that are acquired for policy purposes.</w:t>
      </w:r>
    </w:p>
    <w:p w14:paraId="0A7075AC" w14:textId="77777777" w:rsidR="00265792" w:rsidRDefault="00265792" w:rsidP="00105FC9">
      <w:pPr>
        <w:pStyle w:val="ARfinbody"/>
      </w:pPr>
      <w:r w:rsidRPr="00267134">
        <w:rPr>
          <w:rStyle w:val="Strong"/>
        </w:rPr>
        <w:t>Commitments</w:t>
      </w:r>
      <w:r>
        <w:t xml:space="preserve"> include those operating, capital and other outsourcing commitments arising from non-cancellable contractual or statutory sources.</w:t>
      </w:r>
    </w:p>
    <w:p w14:paraId="175EF113" w14:textId="77777777" w:rsidR="00265792" w:rsidRDefault="00265792" w:rsidP="00105FC9">
      <w:pPr>
        <w:pStyle w:val="ARfinbody"/>
      </w:pPr>
      <w:r w:rsidRPr="00267134">
        <w:rPr>
          <w:rStyle w:val="Strong"/>
        </w:rPr>
        <w:t>Comprehensive result</w:t>
      </w:r>
      <w:r>
        <w:t xml:space="preserve"> is the amount included in the operating statement representing total change in net worth other than transactions with owners as owners.</w:t>
      </w:r>
    </w:p>
    <w:p w14:paraId="3053121C" w14:textId="77777777" w:rsidR="00265792" w:rsidRDefault="00265792" w:rsidP="00105FC9">
      <w:pPr>
        <w:pStyle w:val="ARfinbody"/>
      </w:pPr>
      <w:r w:rsidRPr="00267134">
        <w:rPr>
          <w:rStyle w:val="Strong"/>
        </w:rPr>
        <w:t>Controlled item</w:t>
      </w:r>
      <w:r>
        <w:t xml:space="preserve"> generally refers to the capacity of a department to benefit from that item in the pursuit of the entity’s objectives and to deny or regulate the access of others to that benefit.</w:t>
      </w:r>
    </w:p>
    <w:p w14:paraId="7DEA9C74" w14:textId="77777777" w:rsidR="00265792" w:rsidRDefault="00265792" w:rsidP="00105FC9">
      <w:pPr>
        <w:pStyle w:val="ARfinbody"/>
      </w:pPr>
      <w:r w:rsidRPr="00267134">
        <w:rPr>
          <w:rStyle w:val="Strong"/>
        </w:rPr>
        <w:t>Current grants</w:t>
      </w:r>
      <w:r>
        <w:t xml:space="preserve"> are amounts payable or receivable for current purposes for which no economic benefits of equal value are receivable or payable in return.</w:t>
      </w:r>
    </w:p>
    <w:p w14:paraId="2C80F7A4" w14:textId="77777777" w:rsidR="00265792" w:rsidRDefault="00265792" w:rsidP="00105FC9">
      <w:pPr>
        <w:pStyle w:val="ARfinbody"/>
      </w:pPr>
      <w:r w:rsidRPr="00267134">
        <w:rPr>
          <w:rStyle w:val="Strong"/>
        </w:rPr>
        <w:t>Depreciation</w:t>
      </w:r>
      <w:r>
        <w:t xml:space="preserve"> is an expense that arises from the consumption through wear or time of a produced physical or intangible asset. This expense is classified as a ‘transaction’ and so reduces the ‘net result from transaction’.</w:t>
      </w:r>
    </w:p>
    <w:p w14:paraId="6AA91ED3" w14:textId="77777777" w:rsidR="00265792" w:rsidRDefault="00265792" w:rsidP="00105FC9">
      <w:pPr>
        <w:pStyle w:val="ARfinbody"/>
      </w:pPr>
      <w:r w:rsidRPr="009A70A9">
        <w:rPr>
          <w:rStyle w:val="Strong"/>
        </w:rPr>
        <w:t>Effective interest method</w:t>
      </w:r>
      <w:r>
        <w:t xml:space="preserve"> is the method used to calculate the amortised cost of a financial asset or liability and of allocating interest over the relevant period. The effective interest rate is the rate that exactly discounts estimated future cash flows through the expected life of the financial instrument or, where appropriate, a shorter period.</w:t>
      </w:r>
    </w:p>
    <w:p w14:paraId="75107318" w14:textId="6D9E25A3" w:rsidR="00265792" w:rsidRDefault="00265792" w:rsidP="00105FC9">
      <w:pPr>
        <w:pStyle w:val="ARfinbody"/>
      </w:pPr>
      <w:r w:rsidRPr="009A70A9">
        <w:rPr>
          <w:rStyle w:val="Strong"/>
        </w:rPr>
        <w:t>Employee benefits expenses</w:t>
      </w:r>
      <w:r>
        <w:t xml:space="preserve"> </w:t>
      </w:r>
      <w:r w:rsidR="0011561F">
        <w:t>include</w:t>
      </w:r>
      <w:r>
        <w:t xml:space="preserve"> all costs related to employment including salaries and wages, leave entitlements, redundancy payments, defined benefits superannuation plans, and defined contribution superannuation plans.</w:t>
      </w:r>
    </w:p>
    <w:p w14:paraId="131C55E2" w14:textId="433FA1C2" w:rsidR="00265792" w:rsidRDefault="00265792" w:rsidP="00105FC9">
      <w:pPr>
        <w:pStyle w:val="ARfinbody"/>
      </w:pPr>
      <w:r w:rsidRPr="009A70A9">
        <w:rPr>
          <w:rStyle w:val="Strong"/>
        </w:rPr>
        <w:t>Ex</w:t>
      </w:r>
      <w:r w:rsidR="001F2C79">
        <w:rPr>
          <w:rStyle w:val="Strong"/>
        </w:rPr>
        <w:t xml:space="preserve"> </w:t>
      </w:r>
      <w:r w:rsidRPr="009A70A9">
        <w:rPr>
          <w:rStyle w:val="Strong"/>
        </w:rPr>
        <w:t>gratia expenses</w:t>
      </w:r>
      <w:r>
        <w:t xml:space="preserve"> mean the voluntary payment of money or other non-monetary benefit (for example a write off) that is not made either to acquire goods, services or other benefits for the entity or to meet a legal liability, or to settle or resolve a possible legal liability or claim against the entity.</w:t>
      </w:r>
    </w:p>
    <w:p w14:paraId="411783D0" w14:textId="6CD23660" w:rsidR="00265792" w:rsidRDefault="00265792" w:rsidP="00105FC9">
      <w:pPr>
        <w:pStyle w:val="ARfinbody"/>
      </w:pPr>
      <w:r w:rsidRPr="009A70A9">
        <w:rPr>
          <w:rStyle w:val="Strong"/>
        </w:rPr>
        <w:t>Finance lease</w:t>
      </w:r>
      <w:r>
        <w:t xml:space="preserve"> is a lease that transfers substantially all the risks and rewards incidental to ownership of an underlying</w:t>
      </w:r>
      <w:r w:rsidR="0082747B">
        <w:t> </w:t>
      </w:r>
      <w:r>
        <w:t>asset.</w:t>
      </w:r>
    </w:p>
    <w:p w14:paraId="3E288BB1" w14:textId="77777777" w:rsidR="00265792" w:rsidRDefault="00265792" w:rsidP="00105FC9">
      <w:pPr>
        <w:pStyle w:val="ARfinbody"/>
      </w:pPr>
      <w:r w:rsidRPr="009A70A9">
        <w:rPr>
          <w:rStyle w:val="Strong"/>
        </w:rPr>
        <w:t xml:space="preserve">Financial asset </w:t>
      </w:r>
      <w:r>
        <w:t>is any asset that is:</w:t>
      </w:r>
    </w:p>
    <w:p w14:paraId="3483E9EE" w14:textId="77777777" w:rsidR="00265792" w:rsidRDefault="00265792" w:rsidP="00265792">
      <w:pPr>
        <w:pStyle w:val="ARfinnumberalpha1"/>
        <w:numPr>
          <w:ilvl w:val="0"/>
          <w:numId w:val="17"/>
        </w:numPr>
      </w:pPr>
      <w:r>
        <w:t>cash</w:t>
      </w:r>
    </w:p>
    <w:p w14:paraId="43B22721" w14:textId="77777777" w:rsidR="00265792" w:rsidRDefault="00265792" w:rsidP="009A70A9">
      <w:pPr>
        <w:pStyle w:val="ARfinnumberalpha1"/>
      </w:pPr>
      <w:r>
        <w:t>an equity instrument of another entity</w:t>
      </w:r>
    </w:p>
    <w:p w14:paraId="2493E466" w14:textId="77777777" w:rsidR="00265792" w:rsidRDefault="00265792" w:rsidP="009A70A9">
      <w:pPr>
        <w:pStyle w:val="ARfinnumberalpha1"/>
      </w:pPr>
      <w:r>
        <w:t>a contractual or statutory right:</w:t>
      </w:r>
    </w:p>
    <w:p w14:paraId="58ADD480" w14:textId="77777777" w:rsidR="00265792" w:rsidRDefault="00265792" w:rsidP="009A70A9">
      <w:pPr>
        <w:pStyle w:val="ARfinbullet1afterdigitoralpha"/>
      </w:pPr>
      <w:r>
        <w:t>to receive cash or another financial asset from another entity, or</w:t>
      </w:r>
    </w:p>
    <w:p w14:paraId="1FBE1C3A" w14:textId="77777777" w:rsidR="00265792" w:rsidRDefault="00265792" w:rsidP="009A70A9">
      <w:pPr>
        <w:pStyle w:val="ARfinbullet1afterdigitoralpha"/>
      </w:pPr>
      <w:r>
        <w:t>to exchange financial assets or financial liabilities with another entity under conditions that are potentially favourable to the entity, or</w:t>
      </w:r>
    </w:p>
    <w:p w14:paraId="5B4D9BDC" w14:textId="77777777" w:rsidR="00265792" w:rsidRDefault="00265792" w:rsidP="009A70A9">
      <w:pPr>
        <w:pStyle w:val="ARfinnumberalpha1"/>
      </w:pPr>
      <w:r>
        <w:t>a contract that will or may be settled in the entity’s own equity instruments and is:</w:t>
      </w:r>
    </w:p>
    <w:p w14:paraId="4B612901" w14:textId="77777777" w:rsidR="00265792" w:rsidRDefault="00265792" w:rsidP="009A70A9">
      <w:pPr>
        <w:pStyle w:val="ARfinbullet1afterdigitoralpha"/>
      </w:pPr>
      <w:r>
        <w:t>a non-derivative for which the entity is or may be obliged to receive a variable number of the entity’s own equity instruments, or</w:t>
      </w:r>
    </w:p>
    <w:p w14:paraId="696EDC49" w14:textId="77777777" w:rsidR="00265792" w:rsidRDefault="00265792" w:rsidP="009A70A9">
      <w:pPr>
        <w:pStyle w:val="ARfinbullet1afterdigitoralpha"/>
      </w:pPr>
      <w:r>
        <w:t>a derivative that will or may be settled other than by the exchange of a fixed amount of cash or another financial asset for a fixed number of the entity’s own equity instruments.</w:t>
      </w:r>
    </w:p>
    <w:p w14:paraId="5D05BCF3" w14:textId="77777777" w:rsidR="00265792" w:rsidRDefault="00265792" w:rsidP="00105FC9">
      <w:pPr>
        <w:pStyle w:val="ARfinbody"/>
      </w:pPr>
      <w:r w:rsidRPr="009A70A9">
        <w:rPr>
          <w:rStyle w:val="Strong"/>
        </w:rPr>
        <w:t>Financial</w:t>
      </w:r>
      <w:r>
        <w:rPr>
          <w:rStyle w:val="Strong"/>
        </w:rPr>
        <w:t xml:space="preserve"> </w:t>
      </w:r>
      <w:r w:rsidRPr="009A70A9">
        <w:rPr>
          <w:rStyle w:val="Strong"/>
        </w:rPr>
        <w:t>instrument</w:t>
      </w:r>
      <w:r>
        <w:t xml:space="preserve"> is any contract that gives rise to a financial asset of one entity and a financial liability or equity instrument of another entity.</w:t>
      </w:r>
      <w:r>
        <w:br w:type="page"/>
      </w:r>
    </w:p>
    <w:p w14:paraId="402EADB7" w14:textId="77777777" w:rsidR="00265792" w:rsidRDefault="00265792" w:rsidP="00105FC9">
      <w:pPr>
        <w:pStyle w:val="ARfinbody"/>
      </w:pPr>
      <w:r w:rsidRPr="009A70A9">
        <w:rPr>
          <w:rStyle w:val="Strong"/>
        </w:rPr>
        <w:lastRenderedPageBreak/>
        <w:t>Financial liability</w:t>
      </w:r>
      <w:r>
        <w:t xml:space="preserve"> is any liability that is:</w:t>
      </w:r>
    </w:p>
    <w:p w14:paraId="59CB0D7C" w14:textId="77777777" w:rsidR="00265792" w:rsidRDefault="00265792" w:rsidP="00265792">
      <w:pPr>
        <w:pStyle w:val="ARfinnumberalpha1"/>
        <w:numPr>
          <w:ilvl w:val="0"/>
          <w:numId w:val="18"/>
        </w:numPr>
      </w:pPr>
      <w:r>
        <w:t>a contractual or statutory obligation:</w:t>
      </w:r>
    </w:p>
    <w:p w14:paraId="5DD13D3D" w14:textId="77777777" w:rsidR="00265792" w:rsidRDefault="00265792" w:rsidP="009A70A9">
      <w:pPr>
        <w:pStyle w:val="ARfinbullet1afterdigitoralpha"/>
      </w:pPr>
      <w:r>
        <w:t>to deliver cash or another financial asset to another entity, or</w:t>
      </w:r>
    </w:p>
    <w:p w14:paraId="3F273C47" w14:textId="77777777" w:rsidR="00265792" w:rsidRDefault="00265792" w:rsidP="009A70A9">
      <w:pPr>
        <w:pStyle w:val="ARfinbullet1afterdigitoralpha"/>
      </w:pPr>
      <w:r>
        <w:t>to exchange financial assets or financial liabilities with another entity under conditions that are potentially unfavourable to the entity, or</w:t>
      </w:r>
    </w:p>
    <w:p w14:paraId="5F4057F1" w14:textId="77777777" w:rsidR="00265792" w:rsidRDefault="00265792" w:rsidP="009A70A9">
      <w:pPr>
        <w:pStyle w:val="ARfinnumberalpha1"/>
      </w:pPr>
      <w:r>
        <w:t>a contract that will or may be settled in the entity’s own equity instruments and is:</w:t>
      </w:r>
    </w:p>
    <w:p w14:paraId="427AA4D3" w14:textId="77777777" w:rsidR="00265792" w:rsidRDefault="00265792" w:rsidP="009A70A9">
      <w:pPr>
        <w:pStyle w:val="ARfinbullet1afterdigitoralpha"/>
      </w:pPr>
      <w:r>
        <w:t>a non-derivative for which the entity is or may be obliged to deliver a variable number of the entity’s own equity instruments, or</w:t>
      </w:r>
    </w:p>
    <w:p w14:paraId="7611F82F" w14:textId="77777777" w:rsidR="00265792" w:rsidRDefault="00265792" w:rsidP="009A70A9">
      <w:pPr>
        <w:pStyle w:val="ARfinbullet1afterdigitoralpha"/>
      </w:pPr>
      <w:r>
        <w:t xml:space="preserve">a derivative that will or may be settled other than by the exchange of a fixed amount of cash or another financial asset for a fixed number of the entity’s own equity instruments. For this </w:t>
      </w:r>
      <w:proofErr w:type="gramStart"/>
      <w:r>
        <w:t>purpose</w:t>
      </w:r>
      <w:proofErr w:type="gramEnd"/>
      <w:r>
        <w:t xml:space="preserve"> the entity’s own equity instruments do not include instruments that are themselves contracts for the future receipt or delivery of the entity’s own equity instruments.</w:t>
      </w:r>
    </w:p>
    <w:p w14:paraId="2A6B127F" w14:textId="77777777" w:rsidR="00265792" w:rsidRDefault="00265792" w:rsidP="00105FC9">
      <w:pPr>
        <w:pStyle w:val="ARfinbody"/>
      </w:pPr>
      <w:r w:rsidRPr="009A70A9">
        <w:rPr>
          <w:rStyle w:val="Strong"/>
        </w:rPr>
        <w:t>Financial statements</w:t>
      </w:r>
      <w:r>
        <w:t xml:space="preserve"> comprise:</w:t>
      </w:r>
    </w:p>
    <w:p w14:paraId="68B14982" w14:textId="77777777" w:rsidR="00265792" w:rsidRDefault="00265792" w:rsidP="00265792">
      <w:pPr>
        <w:pStyle w:val="ARfinnumberalpha1"/>
        <w:numPr>
          <w:ilvl w:val="0"/>
          <w:numId w:val="19"/>
        </w:numPr>
      </w:pPr>
      <w:r>
        <w:t>a balance sheet as at the end of the year</w:t>
      </w:r>
    </w:p>
    <w:p w14:paraId="745DE2FB" w14:textId="77777777" w:rsidR="00265792" w:rsidRDefault="00265792" w:rsidP="009A70A9">
      <w:pPr>
        <w:pStyle w:val="ARfinnumberalpha1"/>
      </w:pPr>
      <w:r>
        <w:t>a comprehensive operating statement for the year</w:t>
      </w:r>
    </w:p>
    <w:p w14:paraId="50D9A075" w14:textId="77777777" w:rsidR="00265792" w:rsidRDefault="00265792" w:rsidP="009A70A9">
      <w:pPr>
        <w:pStyle w:val="ARfinnumberalpha1"/>
      </w:pPr>
      <w:r>
        <w:t>a statement of changes in equity for the year</w:t>
      </w:r>
    </w:p>
    <w:p w14:paraId="47ED8A49" w14:textId="77777777" w:rsidR="00265792" w:rsidRDefault="00265792" w:rsidP="009A70A9">
      <w:pPr>
        <w:pStyle w:val="ARfinnumberalpha1"/>
      </w:pPr>
      <w:r>
        <w:t>a statement of cash flows for the year</w:t>
      </w:r>
    </w:p>
    <w:p w14:paraId="7EDEEDEE" w14:textId="77777777" w:rsidR="00265792" w:rsidRDefault="00265792" w:rsidP="009A70A9">
      <w:pPr>
        <w:pStyle w:val="ARfinnumberalpha1"/>
      </w:pPr>
      <w:r>
        <w:t>notes, comprising a summary of significant accounting policies and other explanatory information</w:t>
      </w:r>
    </w:p>
    <w:p w14:paraId="495AB461" w14:textId="77777777" w:rsidR="00265792" w:rsidRPr="00E15716" w:rsidRDefault="00265792" w:rsidP="009A70A9">
      <w:pPr>
        <w:pStyle w:val="ARfinnumberalpha1"/>
        <w:rPr>
          <w:rStyle w:val="Emphasis"/>
        </w:rPr>
      </w:pPr>
      <w:r>
        <w:t xml:space="preserve">comparative information in respect of the preceding year as specified in paragraph 38 of AASB 101 </w:t>
      </w:r>
      <w:r w:rsidRPr="00E15716">
        <w:rPr>
          <w:rStyle w:val="Emphasis"/>
        </w:rPr>
        <w:t>Presentation of Financial Statements</w:t>
      </w:r>
    </w:p>
    <w:p w14:paraId="37C6BCE3" w14:textId="77777777" w:rsidR="00265792" w:rsidRDefault="00265792" w:rsidP="009A70A9">
      <w:pPr>
        <w:pStyle w:val="ARfinnumberalpha1"/>
      </w:pPr>
      <w:r>
        <w:t>a balance sheet as at the beginning of the preceding year when an entity applies an accounting policy retrospectively or makes a retrospective restatement of items in its financial statements, or when it reclassifies items in its financial statements in accordance with paragraph 41 of AASB 101.</w:t>
      </w:r>
    </w:p>
    <w:p w14:paraId="5E492D86" w14:textId="77777777" w:rsidR="00265792" w:rsidRDefault="00265792" w:rsidP="00105FC9">
      <w:pPr>
        <w:pStyle w:val="ARfinbody"/>
      </w:pPr>
      <w:r w:rsidRPr="009A70A9">
        <w:rPr>
          <w:rStyle w:val="Strong"/>
        </w:rPr>
        <w:t>Grants and other (expense) transfers</w:t>
      </w:r>
      <w:r>
        <w:t xml:space="preserve"> are transactions in which one unit provides goods, services, assets (or extinguishes a liability) or labour to another unit without receiving approximately equal value in return. Grants can either be operating or capital in nature. </w:t>
      </w:r>
    </w:p>
    <w:p w14:paraId="38645E73" w14:textId="77777777" w:rsidR="00265792" w:rsidRDefault="00265792" w:rsidP="00105FC9">
      <w:pPr>
        <w:pStyle w:val="ARfinbody"/>
      </w:pPr>
      <w:r>
        <w:t xml:space="preserve">While grants to governments may result in the provision of some goods or services to the transferor, they do not give the transferor a claim to receive directly benefits of approximately equal value. For this reason, grants are referred to by the AASB as involuntary transfers and are termed non-reciprocal transfers. Receipt and sacrifice of approximately equal value may occur, but only by coincidence. For example, governments are not obliged to provide commensurate benefits, in the form of goods or services, to </w:t>
      </w:r>
      <w:proofErr w:type="gramStart"/>
      <w:r>
        <w:t>particular taxpayers</w:t>
      </w:r>
      <w:proofErr w:type="gramEnd"/>
      <w:r>
        <w:t xml:space="preserve"> in return for their taxes. </w:t>
      </w:r>
    </w:p>
    <w:p w14:paraId="7D882369" w14:textId="7B2D6E7B" w:rsidR="00265792" w:rsidRDefault="00265792" w:rsidP="00105FC9">
      <w:pPr>
        <w:pStyle w:val="ARfinbody"/>
      </w:pPr>
      <w:r>
        <w:t>Grants can be paid as general</w:t>
      </w:r>
      <w:r w:rsidR="001F2C79">
        <w:t>-</w:t>
      </w:r>
      <w:r>
        <w:t>purpose grants which refer to grants that are not subject to conditions regarding their use. Alternatively, they may be paid as specific purpose grants which are paid for a particular purpose and/or have conditions attached regarding their use.</w:t>
      </w:r>
    </w:p>
    <w:p w14:paraId="6AC377D7" w14:textId="77777777" w:rsidR="00265792" w:rsidRDefault="00265792" w:rsidP="00105FC9">
      <w:pPr>
        <w:pStyle w:val="ARfinbody"/>
      </w:pPr>
      <w:r w:rsidRPr="009A70A9">
        <w:rPr>
          <w:rStyle w:val="Strong"/>
        </w:rPr>
        <w:t>General government sector</w:t>
      </w:r>
      <w:r>
        <w:t xml:space="preserve"> comprises all government departments, offices and other bodies engaged in providing services free of charge or at prices significantly below their cost of production. General government services include those that are mainly non-market in nature, those that are largely for collective consumption by the community and those that involve the transfer or redistribution of income. These services are financed mainly through taxes, or other compulsory levies and user charges.</w:t>
      </w:r>
    </w:p>
    <w:p w14:paraId="67D96751" w14:textId="77777777" w:rsidR="00265792" w:rsidRDefault="00265792" w:rsidP="00105FC9">
      <w:pPr>
        <w:pStyle w:val="ARfinbody"/>
      </w:pPr>
      <w:r w:rsidRPr="009A70A9">
        <w:rPr>
          <w:rStyle w:val="Strong"/>
        </w:rPr>
        <w:t>Grants for on-passing</w:t>
      </w:r>
      <w:r>
        <w:t xml:space="preserve"> are grants paid to one institutional sector (for example a state general government entity) to be passed on to another institutional sector (for example local government or a private non-profit institution).</w:t>
      </w:r>
    </w:p>
    <w:p w14:paraId="1A5D8411" w14:textId="77777777" w:rsidR="00265792" w:rsidRDefault="00265792" w:rsidP="00105FC9">
      <w:pPr>
        <w:pStyle w:val="ARfinbody"/>
      </w:pPr>
      <w:r w:rsidRPr="0006456D">
        <w:rPr>
          <w:rStyle w:val="Strong"/>
        </w:rPr>
        <w:t>Intangible assets</w:t>
      </w:r>
      <w:r>
        <w:t xml:space="preserve"> represent identifiable non-monetary assets without physical substance.</w:t>
      </w:r>
    </w:p>
    <w:p w14:paraId="10A03A66" w14:textId="77777777" w:rsidR="00265792" w:rsidRDefault="00265792" w:rsidP="00105FC9">
      <w:pPr>
        <w:pStyle w:val="ARfinbody"/>
      </w:pPr>
      <w:r w:rsidRPr="009A70A9">
        <w:rPr>
          <w:rStyle w:val="Strong"/>
        </w:rPr>
        <w:t>Interest expense</w:t>
      </w:r>
      <w:r>
        <w:t xml:space="preserve"> represents costs incurred in connection with the borrowings. It includes interest on advances, loans, overdrafts, bonds and bills, deposits, interest components of lease repayments, service concession financial liabilities and amortisation of discounts or premiums in relation to borrowings.</w:t>
      </w:r>
    </w:p>
    <w:p w14:paraId="6DED13B3" w14:textId="77777777" w:rsidR="00265792" w:rsidRDefault="00265792" w:rsidP="00105FC9">
      <w:pPr>
        <w:pStyle w:val="ARfinbody"/>
      </w:pPr>
      <w:r w:rsidRPr="009A70A9">
        <w:rPr>
          <w:rStyle w:val="Strong"/>
        </w:rPr>
        <w:t>Interest income</w:t>
      </w:r>
      <w:r>
        <w:t xml:space="preserve"> includes unwinding over time of discounts on financial assets and interest received on bank term deposits and other investments. </w:t>
      </w:r>
    </w:p>
    <w:p w14:paraId="3B19A028" w14:textId="77777777" w:rsidR="00265792" w:rsidRDefault="00265792" w:rsidP="00105FC9">
      <w:pPr>
        <w:pStyle w:val="ARfinbody"/>
      </w:pPr>
      <w:r w:rsidRPr="009A70A9">
        <w:rPr>
          <w:rStyle w:val="Strong"/>
        </w:rPr>
        <w:t>Leases</w:t>
      </w:r>
      <w:r>
        <w:t xml:space="preserve"> are rights conveyed in a contract, or part of a contract, to use an asset (the underlying asset) for </w:t>
      </w:r>
      <w:proofErr w:type="gramStart"/>
      <w:r>
        <w:t>a period of time</w:t>
      </w:r>
      <w:proofErr w:type="gramEnd"/>
      <w:r>
        <w:t xml:space="preserve"> in exchange for consideration.</w:t>
      </w:r>
    </w:p>
    <w:p w14:paraId="6121E82F" w14:textId="77777777" w:rsidR="00265792" w:rsidRDefault="00265792" w:rsidP="00105FC9">
      <w:pPr>
        <w:pStyle w:val="ARfinbody"/>
      </w:pPr>
      <w:r w:rsidRPr="009A70A9">
        <w:rPr>
          <w:rStyle w:val="Strong"/>
        </w:rPr>
        <w:t>Net acquisition of non-financial assets</w:t>
      </w:r>
      <w:r>
        <w:t xml:space="preserve"> (from transactions) is the purchase (and other acquisition) of non-financial assets less sales (or disposals) of non-financial assets less depreciation plus changes in inventories and other movements in non-financial assets. Includes only those increases or decreases in non-financial assets resulting from transactions and therefore excludes write-offs, impairment write-downs and revaluations.</w:t>
      </w:r>
      <w:r>
        <w:br w:type="page"/>
      </w:r>
    </w:p>
    <w:p w14:paraId="6CD5421E" w14:textId="77777777" w:rsidR="00265792" w:rsidRDefault="00265792" w:rsidP="00105FC9">
      <w:pPr>
        <w:pStyle w:val="ARfinbody"/>
      </w:pPr>
      <w:r w:rsidRPr="00EB1FF2">
        <w:rPr>
          <w:rStyle w:val="Strong"/>
        </w:rPr>
        <w:lastRenderedPageBreak/>
        <w:t>Net financial liabilities</w:t>
      </w:r>
      <w:r>
        <w:t xml:space="preserve"> are calculated as liabilities </w:t>
      </w:r>
      <w:proofErr w:type="gramStart"/>
      <w:r>
        <w:t>less</w:t>
      </w:r>
      <w:proofErr w:type="gramEnd"/>
      <w:r>
        <w:t xml:space="preserve"> financial assets, other than equity in public non-financial corporations (PNFC) and public financial corporations (PFC). This measure is broader than net debt as it includes significant liabilities, other than borrowings (for example accrued employee liabilities such as superannuation and long service leave entitlements). For the PNFC and PFC sectors, it is equal to negative net financial worth.</w:t>
      </w:r>
    </w:p>
    <w:p w14:paraId="4C565A14" w14:textId="77777777" w:rsidR="00265792" w:rsidRDefault="00265792" w:rsidP="00105FC9">
      <w:pPr>
        <w:pStyle w:val="ARfinbody"/>
      </w:pPr>
      <w:r w:rsidRPr="00EB1FF2">
        <w:rPr>
          <w:rStyle w:val="Strong"/>
        </w:rPr>
        <w:t>Net financial worth</w:t>
      </w:r>
      <w:r>
        <w:t xml:space="preserve"> is equal to financial assets minus liabilities. It is a broader measure than net debt as it incorporates provisions made (such as </w:t>
      </w:r>
      <w:proofErr w:type="gramStart"/>
      <w:r>
        <w:t>superannuation, but</w:t>
      </w:r>
      <w:proofErr w:type="gramEnd"/>
      <w:r>
        <w:t xml:space="preserve"> excluding depreciation and bad debts) as well as holdings of equity. Net financial worth includes all classes of financial assets and liabilities, only some of which are included in net debt. </w:t>
      </w:r>
    </w:p>
    <w:p w14:paraId="27CAA1BC" w14:textId="77777777" w:rsidR="00265792" w:rsidRDefault="00265792" w:rsidP="00105FC9">
      <w:pPr>
        <w:pStyle w:val="ARfinbody"/>
      </w:pPr>
      <w:r w:rsidRPr="00EB1FF2">
        <w:rPr>
          <w:rStyle w:val="Strong"/>
        </w:rPr>
        <w:t xml:space="preserve">Net operating balance </w:t>
      </w:r>
      <w:r w:rsidRPr="002C7359">
        <w:rPr>
          <w:rStyle w:val="Strong"/>
          <w:b w:val="0"/>
        </w:rPr>
        <w:t>or</w:t>
      </w:r>
      <w:r w:rsidRPr="00EB1FF2">
        <w:rPr>
          <w:rStyle w:val="Strong"/>
        </w:rPr>
        <w:t xml:space="preserve"> net result from transactions</w:t>
      </w:r>
      <w:r>
        <w:t xml:space="preserve"> is a key fiscal aggregate and is revenue from transactions minus expenses from transactions. It is a summary measure of the ongoing sustainability of operations. It excludes gains and losses resulting from changes in price levels and other changes in the volume of assets. It is the component of the change in net worth that is due to transactions and can be attributed directly to government policies. </w:t>
      </w:r>
    </w:p>
    <w:p w14:paraId="23AB756D" w14:textId="77777777" w:rsidR="00265792" w:rsidRDefault="00265792" w:rsidP="00105FC9">
      <w:pPr>
        <w:pStyle w:val="ARfinbody"/>
      </w:pPr>
      <w:r w:rsidRPr="00B63C13">
        <w:rPr>
          <w:rStyle w:val="Strong"/>
        </w:rPr>
        <w:t>Net result</w:t>
      </w:r>
      <w:r>
        <w:t xml:space="preserve"> is a measure of financial performance of the operations for the period. It is the net result of items of income, gains and expenses (including losses) recognised for the period, excluding those that are classified as other economic flows – other comprehensive income.</w:t>
      </w:r>
    </w:p>
    <w:p w14:paraId="03C49F0F" w14:textId="77777777" w:rsidR="00265792" w:rsidRDefault="00265792" w:rsidP="00105FC9">
      <w:pPr>
        <w:pStyle w:val="ARfinbody"/>
      </w:pPr>
      <w:r w:rsidRPr="00EB1FF2">
        <w:rPr>
          <w:rStyle w:val="Strong"/>
        </w:rPr>
        <w:t>Net worth</w:t>
      </w:r>
      <w:r>
        <w:t xml:space="preserve"> is calculated as assets less liabilities, which is an economic measure of wealth. </w:t>
      </w:r>
    </w:p>
    <w:p w14:paraId="2916A85D" w14:textId="77777777" w:rsidR="00265792" w:rsidRDefault="00265792" w:rsidP="00105FC9">
      <w:pPr>
        <w:pStyle w:val="ARfinbody"/>
      </w:pPr>
      <w:r w:rsidRPr="00B63C13">
        <w:rPr>
          <w:rStyle w:val="Strong"/>
        </w:rPr>
        <w:t>Non-financial assets</w:t>
      </w:r>
      <w:r>
        <w:t xml:space="preserve"> are all assets that are not financial assets. It includes inventories, land, buildings, plant and equipment, and intangible assets.</w:t>
      </w:r>
    </w:p>
    <w:p w14:paraId="6545CE2D" w14:textId="77777777" w:rsidR="00265792" w:rsidRDefault="00265792" w:rsidP="00105FC9">
      <w:pPr>
        <w:pStyle w:val="ARfinbody"/>
      </w:pPr>
      <w:r w:rsidRPr="00B63C13">
        <w:rPr>
          <w:rStyle w:val="Strong"/>
        </w:rPr>
        <w:t>Non-financial public sector</w:t>
      </w:r>
      <w:r>
        <w:t xml:space="preserve"> represents the consolidated transactions and assets and liabilities of the general government and PNFC sectors. In compiling statistics for the non-financial public sector, transactions and debtor/creditor relationships between sub-sectors are eliminated to avoid double counting.</w:t>
      </w:r>
    </w:p>
    <w:p w14:paraId="42037EBF" w14:textId="77777777" w:rsidR="00265792" w:rsidRDefault="00265792" w:rsidP="00105FC9">
      <w:pPr>
        <w:pStyle w:val="ARfinbody"/>
      </w:pPr>
      <w:r w:rsidRPr="00B63C13">
        <w:rPr>
          <w:rStyle w:val="Strong"/>
        </w:rPr>
        <w:t>Non-produced assets</w:t>
      </w:r>
      <w:r>
        <w:t xml:space="preserve"> are assets needed for production that have not themselves been produced. They include land, subsoil assets, and certain intangible assets. Non-produced intangibles are intangible assets needed for production that have not themselves been produced. They include constructs of society such as patents. </w:t>
      </w:r>
    </w:p>
    <w:p w14:paraId="1B223C88" w14:textId="77777777" w:rsidR="00265792" w:rsidRDefault="00265792" w:rsidP="00105FC9">
      <w:pPr>
        <w:pStyle w:val="ARfinbody"/>
      </w:pPr>
      <w:r w:rsidRPr="00B63C13">
        <w:rPr>
          <w:rStyle w:val="Strong"/>
        </w:rPr>
        <w:t>Operating result</w:t>
      </w:r>
      <w:r>
        <w:t xml:space="preserve"> is a measure of financial performance of the operations for the period. It is the net result of items of revenue, gains and expenses (including losses) recognised for the period, excluding those that are classified as ‘other non-owner movements in equity’. Refer also ‘net result’. </w:t>
      </w:r>
    </w:p>
    <w:p w14:paraId="0B78EA67" w14:textId="77777777" w:rsidR="00265792" w:rsidRDefault="00265792" w:rsidP="00105FC9">
      <w:pPr>
        <w:pStyle w:val="ARfinbody"/>
      </w:pPr>
      <w:r w:rsidRPr="00B63C13">
        <w:rPr>
          <w:rStyle w:val="Strong"/>
        </w:rPr>
        <w:t>Other economic flows included in net result</w:t>
      </w:r>
      <w:r>
        <w:t xml:space="preserve"> are changes in the volume or value of an asset or liability that do not result from transactions. In simple terms, other economic flows are changes arising from market remeasurements. They include gains and losses from disposals, revaluations and impairments of non-current physical and intangible assets; actuarial gains and losses arising from defined benefit superannuation plans; fair value changes of financial instruments. </w:t>
      </w:r>
    </w:p>
    <w:p w14:paraId="38C51F5A" w14:textId="77777777" w:rsidR="00265792" w:rsidRDefault="00265792" w:rsidP="00105FC9">
      <w:pPr>
        <w:pStyle w:val="ARfinbody"/>
      </w:pPr>
      <w:r w:rsidRPr="00B63C13">
        <w:rPr>
          <w:rStyle w:val="Strong"/>
        </w:rPr>
        <w:t>Other economic flows – other comprehensive income</w:t>
      </w:r>
      <w:r>
        <w:t xml:space="preserve"> comprises items (including reclassification adjustments) that are not recognised in net result as required or permitted by other Australian Accounting Standards. They include changes in physical asset revaluation surplus; share of net movement in revaluation surplus of associates and joint ventures; and gains and losses on remeasuring available-for-sale financial assets.</w:t>
      </w:r>
    </w:p>
    <w:p w14:paraId="7D50806E" w14:textId="77777777" w:rsidR="00265792" w:rsidRDefault="00265792" w:rsidP="00105FC9">
      <w:pPr>
        <w:pStyle w:val="ARfinbody"/>
      </w:pPr>
      <w:r w:rsidRPr="00B63C13">
        <w:rPr>
          <w:rStyle w:val="Strong"/>
        </w:rPr>
        <w:t>Other operating expenses</w:t>
      </w:r>
      <w:r>
        <w:t xml:space="preserve"> generally represent cost of goods sold and the day to day running costs, including maintenance costs, incurred in the normal operations of the department. </w:t>
      </w:r>
    </w:p>
    <w:p w14:paraId="145BF9C5" w14:textId="77777777" w:rsidR="00265792" w:rsidRDefault="00265792" w:rsidP="00105FC9">
      <w:pPr>
        <w:pStyle w:val="ARfinbody"/>
      </w:pPr>
      <w:r w:rsidRPr="00B63C13">
        <w:rPr>
          <w:rStyle w:val="Strong"/>
        </w:rPr>
        <w:t>Payables</w:t>
      </w:r>
      <w:r>
        <w:t xml:space="preserve"> include short and long-term accounts payable, grants, taxes and interest payable.</w:t>
      </w:r>
    </w:p>
    <w:p w14:paraId="2789AD25" w14:textId="77777777" w:rsidR="00265792" w:rsidRDefault="00265792" w:rsidP="00105FC9">
      <w:pPr>
        <w:pStyle w:val="ARfinbody"/>
      </w:pPr>
      <w:r w:rsidRPr="00B63C13">
        <w:rPr>
          <w:rStyle w:val="Strong"/>
        </w:rPr>
        <w:t xml:space="preserve">Produced assets </w:t>
      </w:r>
      <w:r>
        <w:t>include buildings, plant and equipment, inventories, cultivated assets and certain intangible assets. Intangible produced assets may include computer software, motion picture films and research and development costs (which do not include the start-up costs associated with capital projects).</w:t>
      </w:r>
    </w:p>
    <w:p w14:paraId="67C42F38" w14:textId="77777777" w:rsidR="00265792" w:rsidRDefault="00265792" w:rsidP="00105FC9">
      <w:pPr>
        <w:pStyle w:val="ARfinbody"/>
      </w:pPr>
      <w:r w:rsidRPr="00B63C13">
        <w:rPr>
          <w:rStyle w:val="Strong"/>
        </w:rPr>
        <w:t>Public financial corporations</w:t>
      </w:r>
      <w:r>
        <w:t xml:space="preserve"> (PFC) are bodies primarily engaged in the provision of financial intermediation services or auxiliary financial services. They </w:t>
      </w:r>
      <w:proofErr w:type="gramStart"/>
      <w:r>
        <w:t>are able to</w:t>
      </w:r>
      <w:proofErr w:type="gramEnd"/>
      <w:r>
        <w:t xml:space="preserve"> incur financial liabilities on their own account (for example by taking deposits, issuing securities or providing insurance services). Estimates are not published for the public financial corporation sector.</w:t>
      </w:r>
    </w:p>
    <w:p w14:paraId="6C545BD2" w14:textId="6716C46A" w:rsidR="00265792" w:rsidRDefault="00265792" w:rsidP="00105FC9">
      <w:pPr>
        <w:pStyle w:val="ARfinbody"/>
      </w:pPr>
      <w:r w:rsidRPr="00B63C13">
        <w:rPr>
          <w:rStyle w:val="Strong"/>
        </w:rPr>
        <w:t>Public non-financial corporation</w:t>
      </w:r>
      <w:r>
        <w:t xml:space="preserve"> (PNFC) sector comprises bodies mainly engaged in the production of goods and services (of a non-financial nature) for sale in the </w:t>
      </w:r>
      <w:r w:rsidR="0011561F">
        <w:t>marketplace</w:t>
      </w:r>
      <w:r>
        <w:t xml:space="preserve"> at prices that aim to recover most of the costs involved (for example water and port authorities). In general, PNFCs are legally distinguishable from the governments which own them.</w:t>
      </w:r>
    </w:p>
    <w:p w14:paraId="7B537761" w14:textId="6F7A0D6B" w:rsidR="00265792" w:rsidRDefault="00265792" w:rsidP="00105FC9">
      <w:pPr>
        <w:pStyle w:val="ARfinbody"/>
      </w:pPr>
      <w:r w:rsidRPr="00B63C13">
        <w:rPr>
          <w:rStyle w:val="Strong"/>
        </w:rPr>
        <w:t>Receivables</w:t>
      </w:r>
      <w:r>
        <w:t xml:space="preserve"> </w:t>
      </w:r>
      <w:r w:rsidR="0011561F">
        <w:t>include</w:t>
      </w:r>
      <w:r>
        <w:t xml:space="preserve"> amounts owing from government through appropriation receivable, short and long-term accounts receivable, accrued investment income, grants, taxes and interest receivable.</w:t>
      </w:r>
    </w:p>
    <w:p w14:paraId="4C17BA40" w14:textId="77777777" w:rsidR="00265792" w:rsidRDefault="00265792" w:rsidP="00105FC9">
      <w:pPr>
        <w:pStyle w:val="ARfinbody"/>
      </w:pPr>
      <w:r w:rsidRPr="00B63C13">
        <w:rPr>
          <w:rStyle w:val="Strong"/>
        </w:rPr>
        <w:t>Rental income and income from services</w:t>
      </w:r>
      <w:r>
        <w:t xml:space="preserve"> includes rental income and income from the provision of </w:t>
      </w:r>
      <w:r>
        <w:br/>
        <w:t>user-charged services.</w:t>
      </w:r>
      <w:r>
        <w:br w:type="page"/>
      </w:r>
    </w:p>
    <w:p w14:paraId="45510663" w14:textId="77777777" w:rsidR="00265792" w:rsidRDefault="00265792" w:rsidP="00105FC9">
      <w:pPr>
        <w:pStyle w:val="ARfinbody"/>
      </w:pPr>
      <w:r w:rsidRPr="00B63C13">
        <w:rPr>
          <w:rStyle w:val="Strong"/>
        </w:rPr>
        <w:lastRenderedPageBreak/>
        <w:t>Service Concession Arrangement</w:t>
      </w:r>
      <w:r>
        <w:t xml:space="preserve"> is a contract effective during the reporting period between a grantor and an operator in which:</w:t>
      </w:r>
    </w:p>
    <w:p w14:paraId="506ED556" w14:textId="77777777" w:rsidR="00265792" w:rsidRDefault="00265792" w:rsidP="00265792">
      <w:pPr>
        <w:pStyle w:val="ARfinnumberalpha1"/>
        <w:numPr>
          <w:ilvl w:val="0"/>
          <w:numId w:val="20"/>
        </w:numPr>
      </w:pPr>
      <w:r>
        <w:t xml:space="preserve">the operator has the right of access to the service concession asset (or assets) to provide public services on behalf of the grantor for a specified </w:t>
      </w:r>
      <w:proofErr w:type="gramStart"/>
      <w:r>
        <w:t>period of time</w:t>
      </w:r>
      <w:proofErr w:type="gramEnd"/>
    </w:p>
    <w:p w14:paraId="46FB281F" w14:textId="77777777" w:rsidR="00265792" w:rsidRDefault="00265792" w:rsidP="00B63C13">
      <w:pPr>
        <w:pStyle w:val="ARfinnumberalpha1"/>
      </w:pPr>
      <w:r>
        <w:t>the operator is responsible for at least some of the management of the public services provided through the asset and does not act merely as an agent on behalf of the grantor, and</w:t>
      </w:r>
    </w:p>
    <w:p w14:paraId="2C3F0BF9" w14:textId="77777777" w:rsidR="00265792" w:rsidRDefault="00265792" w:rsidP="00B63C13">
      <w:pPr>
        <w:pStyle w:val="ARfinnumberalpha1"/>
      </w:pPr>
      <w:r>
        <w:t>the operator is compensated for its services over the period of the service concession arrangement.</w:t>
      </w:r>
    </w:p>
    <w:p w14:paraId="09BB19B7" w14:textId="18F4712D" w:rsidR="00265792" w:rsidRDefault="00265792" w:rsidP="00105FC9">
      <w:pPr>
        <w:pStyle w:val="ARfinbody"/>
      </w:pPr>
      <w:r w:rsidRPr="00B63C13">
        <w:rPr>
          <w:rStyle w:val="Strong"/>
        </w:rPr>
        <w:t>Transactions</w:t>
      </w:r>
      <w:r>
        <w:t xml:space="preserve"> are those economic flows that are considered to arise </w:t>
      </w:r>
      <w:proofErr w:type="gramStart"/>
      <w:r>
        <w:t>as a result of</w:t>
      </w:r>
      <w:proofErr w:type="gramEnd"/>
      <w:r>
        <w:t xml:space="preserve"> policy decisions, usually an interaction between two entities by mutual agreement. They also include flows within an entity such as depreciation where the owner is simultaneously acting as the owner of the depreciating asset and as the consumer of the service provided by the asset. Taxation is regarded as mutually agreed interactions between the government and taxpayers. Transactions can be in</w:t>
      </w:r>
      <w:r w:rsidR="00EB4E7E">
        <w:t>-</w:t>
      </w:r>
      <w:r>
        <w:t>kind (for example assets provided/given free of charge or for nominal consideration) or where the final consideration is cash. In simple terms, transactions arise from the policy decisions of the government.</w:t>
      </w:r>
    </w:p>
    <w:p w14:paraId="69D6352E" w14:textId="77777777" w:rsidR="00265792" w:rsidRDefault="00265792" w:rsidP="006D18BC">
      <w:pPr>
        <w:pStyle w:val="Heading5"/>
      </w:pPr>
      <w:r>
        <w:t>9.13 Style conventions</w:t>
      </w:r>
    </w:p>
    <w:p w14:paraId="59C30C49" w14:textId="77777777" w:rsidR="00265792" w:rsidRDefault="00265792" w:rsidP="006D18BC">
      <w:pPr>
        <w:pStyle w:val="ARfinbody"/>
      </w:pPr>
      <w:r>
        <w:t>Figures in the tables and in the text have been rounded. Discrepancies in tables between totals and sums of components reflect rounding. Percentage variations in all tables are based on the underlying unrounded amounts.</w:t>
      </w:r>
    </w:p>
    <w:p w14:paraId="2ABB3FE9" w14:textId="77777777" w:rsidR="00265792" w:rsidRDefault="00265792" w:rsidP="006D18BC">
      <w:pPr>
        <w:pStyle w:val="ARfinbody"/>
      </w:pPr>
      <w:r>
        <w:t>The notation used in the tables is as follows:</w:t>
      </w:r>
    </w:p>
    <w:p w14:paraId="6C8F9CFE" w14:textId="77777777" w:rsidR="00265792" w:rsidRDefault="00265792" w:rsidP="0042741E">
      <w:pPr>
        <w:pStyle w:val="ARfinbullet1"/>
        <w:spacing w:after="0"/>
      </w:pPr>
      <w:r w:rsidRPr="00B12BDE">
        <w:t>–</w:t>
      </w:r>
      <w:r>
        <w:t xml:space="preserve"> zero, or rounded to zero</w:t>
      </w:r>
    </w:p>
    <w:p w14:paraId="5C86A3D3" w14:textId="77777777" w:rsidR="00265792" w:rsidRDefault="00265792" w:rsidP="0042741E">
      <w:pPr>
        <w:pStyle w:val="ARfinbullet1"/>
        <w:spacing w:after="0"/>
      </w:pPr>
      <w:r>
        <w:t>(</w:t>
      </w:r>
      <w:proofErr w:type="spellStart"/>
      <w:r>
        <w:t>xxx.x</w:t>
      </w:r>
      <w:proofErr w:type="spellEnd"/>
      <w:r>
        <w:t>) negative numbers</w:t>
      </w:r>
    </w:p>
    <w:p w14:paraId="3447B0B1" w14:textId="77777777" w:rsidR="00265792" w:rsidRDefault="00265792" w:rsidP="0042741E">
      <w:pPr>
        <w:pStyle w:val="ARfinbullet1"/>
        <w:spacing w:after="0"/>
      </w:pPr>
      <w:r>
        <w:t>20xx year end</w:t>
      </w:r>
    </w:p>
    <w:p w14:paraId="3D524460" w14:textId="77777777" w:rsidR="00265792" w:rsidRDefault="00265792" w:rsidP="0042741E">
      <w:pPr>
        <w:pStyle w:val="ARfinbullet1"/>
      </w:pPr>
      <w:r>
        <w:t>20xx–</w:t>
      </w:r>
      <w:proofErr w:type="gramStart"/>
      <w:r>
        <w:t>xx year</w:t>
      </w:r>
      <w:proofErr w:type="gramEnd"/>
      <w:r>
        <w:t xml:space="preserve"> period.</w:t>
      </w:r>
    </w:p>
    <w:p w14:paraId="1815FB0F" w14:textId="77777777" w:rsidR="00265792" w:rsidRPr="00083017" w:rsidRDefault="00265792">
      <w:pPr>
        <w:pStyle w:val="ARfinbody"/>
        <w:rPr>
          <w:highlight w:val="green"/>
        </w:rPr>
      </w:pPr>
      <w:r>
        <w:t>The financial statements and notes are presented based on the illustration for a government department in the 2024–25 model report for Victorian Government departments. The presentation of other disclosures is generally consistent with the other disclosures made in earlier publications of the department’s annual reports.</w:t>
      </w:r>
      <w:bookmarkEnd w:id="247"/>
      <w:bookmarkEnd w:id="252"/>
    </w:p>
    <w:p w14:paraId="3FFA42B3" w14:textId="77777777" w:rsidR="004A2DF7" w:rsidRDefault="004A2DF7" w:rsidP="006768DE">
      <w:pPr>
        <w:pStyle w:val="ARbody"/>
        <w:rPr>
          <w:highlight w:val="green"/>
        </w:rPr>
        <w:sectPr w:rsidR="004A2DF7" w:rsidSect="007F43B1">
          <w:headerReference w:type="even" r:id="rId153"/>
          <w:headerReference w:type="default" r:id="rId154"/>
          <w:endnotePr>
            <w:numFmt w:val="decimal"/>
          </w:endnotePr>
          <w:pgSz w:w="11900" w:h="16840" w:code="9"/>
          <w:pgMar w:top="1588" w:right="1134" w:bottom="851" w:left="1134" w:header="510" w:footer="340" w:gutter="0"/>
          <w:cols w:space="454"/>
          <w:docGrid w:linePitch="299"/>
        </w:sectPr>
      </w:pPr>
    </w:p>
    <w:p w14:paraId="121297D7" w14:textId="77777777" w:rsidR="004A2DF7" w:rsidRPr="003342F9" w:rsidRDefault="004A2DF7" w:rsidP="0094349A">
      <w:pPr>
        <w:pStyle w:val="Heading1"/>
        <w:spacing w:after="240"/>
      </w:pPr>
      <w:bookmarkStart w:id="290" w:name="_Toc149587069"/>
      <w:bookmarkStart w:id="291" w:name="_Toc212039557"/>
      <w:r w:rsidRPr="00532DAE">
        <w:lastRenderedPageBreak/>
        <w:t>Section 6: Appendices</w:t>
      </w:r>
      <w:bookmarkEnd w:id="290"/>
      <w:bookmarkEnd w:id="291"/>
    </w:p>
    <w:p w14:paraId="6E57DAE2" w14:textId="77777777" w:rsidR="004A2DF7" w:rsidRPr="00532DAE" w:rsidRDefault="004A2DF7" w:rsidP="0094349A">
      <w:pPr>
        <w:pStyle w:val="Heading2"/>
        <w:spacing w:before="0"/>
      </w:pPr>
      <w:bookmarkStart w:id="292" w:name="_Hlk75964121"/>
      <w:bookmarkStart w:id="293" w:name="_Toc181101532"/>
      <w:bookmarkStart w:id="294" w:name="_Toc212039558"/>
      <w:bookmarkEnd w:id="292"/>
      <w:r w:rsidRPr="00532DAE">
        <w:t>Appendix 1: Budget portfolio outcomes</w:t>
      </w:r>
      <w:bookmarkEnd w:id="293"/>
      <w:bookmarkEnd w:id="294"/>
    </w:p>
    <w:p w14:paraId="3B7510C1" w14:textId="77777777" w:rsidR="004A2DF7" w:rsidRPr="009E0E8C" w:rsidRDefault="004A2DF7" w:rsidP="0094349A">
      <w:pPr>
        <w:pStyle w:val="Heading3"/>
        <w:spacing w:before="240"/>
      </w:pPr>
      <w:r w:rsidRPr="009E0E8C">
        <w:t>Comprehensive operating statement</w:t>
      </w:r>
      <w:r w:rsidRPr="009E0E8C">
        <w:br/>
        <w:t>for the financial year ended 30 June 2025</w:t>
      </w:r>
    </w:p>
    <w:tbl>
      <w:tblPr>
        <w:tblStyle w:val="TableGrid"/>
        <w:tblW w:w="9644" w:type="dxa"/>
        <w:tblInd w:w="-5" w:type="dxa"/>
        <w:tblLook w:val="02E0" w:firstRow="1" w:lastRow="1" w:firstColumn="1" w:lastColumn="0" w:noHBand="1" w:noVBand="0"/>
      </w:tblPr>
      <w:tblGrid>
        <w:gridCol w:w="5080"/>
        <w:gridCol w:w="1240"/>
        <w:gridCol w:w="1180"/>
        <w:gridCol w:w="1286"/>
        <w:gridCol w:w="858"/>
      </w:tblGrid>
      <w:tr w:rsidR="00D80E8D" w:rsidRPr="002917EA" w14:paraId="043EFF47" w14:textId="77777777" w:rsidTr="00D80E8D">
        <w:trPr>
          <w:cnfStyle w:val="100000000000" w:firstRow="1" w:lastRow="0" w:firstColumn="0" w:lastColumn="0" w:oddVBand="0" w:evenVBand="0" w:oddHBand="0" w:evenHBand="0" w:firstRowFirstColumn="0" w:firstRowLastColumn="0" w:lastRowFirstColumn="0" w:lastRowLastColumn="0"/>
          <w:tblHeader/>
        </w:trPr>
        <w:tc>
          <w:tcPr>
            <w:tcW w:w="5094" w:type="dxa"/>
            <w:tcBorders>
              <w:bottom w:val="single" w:sz="4" w:space="0" w:color="auto"/>
            </w:tcBorders>
            <w:hideMark/>
          </w:tcPr>
          <w:p w14:paraId="1510914F" w14:textId="77777777" w:rsidR="004A2DF7" w:rsidRPr="009E0E8C" w:rsidRDefault="004A2DF7">
            <w:pPr>
              <w:pStyle w:val="ARfintablecolhead"/>
            </w:pPr>
          </w:p>
        </w:tc>
        <w:tc>
          <w:tcPr>
            <w:cnfStyle w:val="000001000000" w:firstRow="0" w:lastRow="0" w:firstColumn="0" w:lastColumn="0" w:oddVBand="0" w:evenVBand="1" w:oddHBand="0" w:evenHBand="0" w:firstRowFirstColumn="0" w:firstRowLastColumn="0" w:lastRowFirstColumn="0" w:lastRowLastColumn="0"/>
            <w:tcW w:w="1242" w:type="dxa"/>
            <w:tcBorders>
              <w:bottom w:val="single" w:sz="4" w:space="0" w:color="auto"/>
            </w:tcBorders>
            <w:hideMark/>
          </w:tcPr>
          <w:p w14:paraId="37A34B55" w14:textId="77777777" w:rsidR="004A2DF7" w:rsidRPr="009E0E8C" w:rsidRDefault="004A2DF7">
            <w:pPr>
              <w:pStyle w:val="ARfintablecolheadright"/>
            </w:pPr>
            <w:r w:rsidRPr="009E0E8C">
              <w:t>2024–25</w:t>
            </w:r>
          </w:p>
          <w:p w14:paraId="0E8DC83C" w14:textId="77777777" w:rsidR="004A2DF7" w:rsidRPr="009E0E8C" w:rsidRDefault="004A2DF7">
            <w:pPr>
              <w:pStyle w:val="ARfintablecolheadright"/>
            </w:pPr>
            <w:r w:rsidRPr="009E0E8C">
              <w:t>Actual</w:t>
            </w:r>
          </w:p>
          <w:p w14:paraId="70475CCB" w14:textId="77777777" w:rsidR="004A2DF7" w:rsidRPr="009E0E8C" w:rsidRDefault="004A2DF7">
            <w:pPr>
              <w:pStyle w:val="ARfintablecolheadright"/>
            </w:pPr>
            <w:r w:rsidRPr="009E0E8C">
              <w:t>$M</w:t>
            </w:r>
          </w:p>
        </w:tc>
        <w:tc>
          <w:tcPr>
            <w:tcW w:w="1180" w:type="dxa"/>
            <w:tcBorders>
              <w:bottom w:val="single" w:sz="4" w:space="0" w:color="auto"/>
            </w:tcBorders>
            <w:hideMark/>
          </w:tcPr>
          <w:p w14:paraId="7CBFBE05" w14:textId="77777777" w:rsidR="004A2DF7" w:rsidRPr="009E0E8C"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9E0E8C">
              <w:t>2024–25</w:t>
            </w:r>
          </w:p>
          <w:p w14:paraId="62E9C3C5" w14:textId="77777777" w:rsidR="004A2DF7" w:rsidRPr="009E0E8C"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9E0E8C">
              <w:t>Published budget</w:t>
            </w:r>
          </w:p>
          <w:p w14:paraId="3D084372" w14:textId="77777777" w:rsidR="004A2DF7" w:rsidRPr="009E0E8C"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9E0E8C">
              <w:t>$M</w:t>
            </w:r>
          </w:p>
        </w:tc>
        <w:tc>
          <w:tcPr>
            <w:cnfStyle w:val="000001000000" w:firstRow="0" w:lastRow="0" w:firstColumn="0" w:lastColumn="0" w:oddVBand="0" w:evenVBand="1" w:oddHBand="0" w:evenHBand="0" w:firstRowFirstColumn="0" w:firstRowLastColumn="0" w:lastRowFirstColumn="0" w:lastRowLastColumn="0"/>
            <w:tcW w:w="1278" w:type="dxa"/>
            <w:tcBorders>
              <w:bottom w:val="single" w:sz="4" w:space="0" w:color="auto"/>
            </w:tcBorders>
            <w:noWrap/>
            <w:hideMark/>
          </w:tcPr>
          <w:p w14:paraId="01102EF4" w14:textId="77777777" w:rsidR="004A2DF7" w:rsidRPr="009E0E8C" w:rsidRDefault="004A2DF7">
            <w:pPr>
              <w:pStyle w:val="ARfintablecolheadright"/>
            </w:pPr>
            <w:r w:rsidRPr="009E0E8C">
              <w:t>Variation to published budget</w:t>
            </w:r>
          </w:p>
          <w:p w14:paraId="64E60581" w14:textId="77777777" w:rsidR="004A2DF7" w:rsidRPr="009E0E8C" w:rsidRDefault="004A2DF7">
            <w:pPr>
              <w:pStyle w:val="ARfintablecolheadright"/>
            </w:pPr>
            <w:r w:rsidRPr="009E0E8C">
              <w:t>%</w:t>
            </w:r>
          </w:p>
        </w:tc>
        <w:tc>
          <w:tcPr>
            <w:tcW w:w="850" w:type="dxa"/>
            <w:tcBorders>
              <w:bottom w:val="single" w:sz="4" w:space="0" w:color="auto"/>
            </w:tcBorders>
            <w:noWrap/>
            <w:hideMark/>
          </w:tcPr>
          <w:p w14:paraId="676E0EE9" w14:textId="77777777" w:rsidR="004A2DF7" w:rsidRPr="009E0E8C"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9E0E8C">
              <w:t>Notes</w:t>
            </w:r>
          </w:p>
        </w:tc>
      </w:tr>
      <w:tr w:rsidR="00AF57E7" w:rsidRPr="002917EA" w14:paraId="35513621" w14:textId="77777777" w:rsidTr="00D80E8D">
        <w:trPr>
          <w:cantSplit w:val="0"/>
        </w:trPr>
        <w:tc>
          <w:tcPr>
            <w:tcW w:w="5094" w:type="dxa"/>
            <w:tcBorders>
              <w:top w:val="single" w:sz="4" w:space="0" w:color="A6A6A6"/>
              <w:bottom w:val="single" w:sz="4" w:space="0" w:color="A6A6A6"/>
            </w:tcBorders>
          </w:tcPr>
          <w:p w14:paraId="2291D24C" w14:textId="7959B1E4" w:rsidR="00AF57E7" w:rsidRPr="00A971DA" w:rsidRDefault="00AF57E7" w:rsidP="00AF57E7">
            <w:pPr>
              <w:pStyle w:val="ARfintablebodyboldcoloured"/>
            </w:pPr>
            <w:r w:rsidRPr="00A971DA">
              <w:t>Net result from continuing operations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A6A6A6"/>
              <w:bottom w:val="single" w:sz="4" w:space="0" w:color="A6A6A6"/>
            </w:tcBorders>
          </w:tcPr>
          <w:p w14:paraId="4F3D6DF9" w14:textId="77777777" w:rsidR="00AF57E7" w:rsidRPr="00A971DA" w:rsidRDefault="00AF57E7" w:rsidP="00AF57E7">
            <w:pPr>
              <w:pStyle w:val="ARfintablebodyright"/>
            </w:pPr>
          </w:p>
        </w:tc>
        <w:tc>
          <w:tcPr>
            <w:tcW w:w="1180" w:type="dxa"/>
            <w:tcBorders>
              <w:top w:val="single" w:sz="4" w:space="0" w:color="A6A6A6"/>
              <w:bottom w:val="single" w:sz="4" w:space="0" w:color="A6A6A6"/>
            </w:tcBorders>
          </w:tcPr>
          <w:p w14:paraId="02B0C46D" w14:textId="77777777" w:rsidR="00AF57E7" w:rsidRPr="00A971DA" w:rsidRDefault="00AF57E7" w:rsidP="00AF57E7">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A6A6A6"/>
              <w:bottom w:val="single" w:sz="4" w:space="0" w:color="A6A6A6"/>
            </w:tcBorders>
          </w:tcPr>
          <w:p w14:paraId="526C2A57" w14:textId="77777777" w:rsidR="00AF57E7" w:rsidRPr="00A971DA" w:rsidRDefault="00AF57E7" w:rsidP="00AF57E7">
            <w:pPr>
              <w:pStyle w:val="ARfintablebodyright"/>
            </w:pPr>
          </w:p>
        </w:tc>
        <w:tc>
          <w:tcPr>
            <w:tcW w:w="850" w:type="dxa"/>
            <w:tcBorders>
              <w:top w:val="single" w:sz="4" w:space="0" w:color="A6A6A6"/>
              <w:bottom w:val="single" w:sz="4" w:space="0" w:color="A6A6A6"/>
            </w:tcBorders>
          </w:tcPr>
          <w:p w14:paraId="1AA133E9" w14:textId="77777777" w:rsidR="00AF57E7" w:rsidRPr="00C046C1"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p>
        </w:tc>
      </w:tr>
      <w:tr w:rsidR="00D80E8D" w:rsidRPr="002917EA" w14:paraId="3053722B" w14:textId="77777777" w:rsidTr="00D80E8D">
        <w:trPr>
          <w:cantSplit w:val="0"/>
        </w:trPr>
        <w:tc>
          <w:tcPr>
            <w:tcW w:w="5094" w:type="dxa"/>
            <w:tcBorders>
              <w:top w:val="single" w:sz="4" w:space="0" w:color="A6A6A6"/>
              <w:bottom w:val="single" w:sz="4" w:space="0" w:color="A6A6A6"/>
            </w:tcBorders>
          </w:tcPr>
          <w:p w14:paraId="3179780E" w14:textId="010A6D3F" w:rsidR="00AF57E7" w:rsidRPr="00A971DA" w:rsidRDefault="00AF57E7" w:rsidP="00AF57E7">
            <w:pPr>
              <w:pStyle w:val="ARfintablebodybold"/>
            </w:pPr>
            <w:r w:rsidRPr="00A971DA">
              <w:t>Income from transactions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A6A6A6"/>
              <w:bottom w:val="single" w:sz="4" w:space="0" w:color="A6A6A6"/>
            </w:tcBorders>
          </w:tcPr>
          <w:p w14:paraId="1BFF81C9" w14:textId="77777777" w:rsidR="00AF57E7" w:rsidRPr="00A971DA" w:rsidRDefault="00AF57E7" w:rsidP="00AF57E7">
            <w:pPr>
              <w:pStyle w:val="ARfintablebodyright"/>
            </w:pPr>
          </w:p>
        </w:tc>
        <w:tc>
          <w:tcPr>
            <w:tcW w:w="1180" w:type="dxa"/>
            <w:tcBorders>
              <w:top w:val="single" w:sz="4" w:space="0" w:color="A6A6A6"/>
              <w:bottom w:val="single" w:sz="4" w:space="0" w:color="A6A6A6"/>
            </w:tcBorders>
          </w:tcPr>
          <w:p w14:paraId="3422C78C" w14:textId="77777777" w:rsidR="00AF57E7" w:rsidRPr="00A971DA" w:rsidRDefault="00AF57E7" w:rsidP="00AF57E7">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A6A6A6"/>
              <w:bottom w:val="single" w:sz="4" w:space="0" w:color="A6A6A6"/>
            </w:tcBorders>
          </w:tcPr>
          <w:p w14:paraId="354E234C" w14:textId="77777777" w:rsidR="00AF57E7" w:rsidRPr="00A971DA" w:rsidRDefault="00AF57E7" w:rsidP="00AF57E7">
            <w:pPr>
              <w:pStyle w:val="ARfintablebodyright"/>
            </w:pPr>
          </w:p>
        </w:tc>
        <w:tc>
          <w:tcPr>
            <w:tcW w:w="850" w:type="dxa"/>
            <w:tcBorders>
              <w:top w:val="single" w:sz="4" w:space="0" w:color="A6A6A6"/>
              <w:bottom w:val="single" w:sz="4" w:space="0" w:color="A6A6A6"/>
            </w:tcBorders>
          </w:tcPr>
          <w:p w14:paraId="11ACE17F" w14:textId="77777777" w:rsidR="00AF57E7" w:rsidRPr="00C046C1"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p>
        </w:tc>
      </w:tr>
      <w:tr w:rsidR="00D80E8D" w:rsidRPr="002917EA" w14:paraId="238C8DFE" w14:textId="77777777" w:rsidTr="00D80E8D">
        <w:trPr>
          <w:cantSplit w:val="0"/>
        </w:trPr>
        <w:tc>
          <w:tcPr>
            <w:tcW w:w="5094" w:type="dxa"/>
            <w:tcBorders>
              <w:top w:val="single" w:sz="4" w:space="0" w:color="A6A6A6"/>
              <w:bottom w:val="single" w:sz="4" w:space="0" w:color="A6A6A6"/>
            </w:tcBorders>
            <w:hideMark/>
          </w:tcPr>
          <w:p w14:paraId="4C69B3DE" w14:textId="77777777" w:rsidR="004A2DF7" w:rsidRPr="00A971DA" w:rsidRDefault="004A2DF7">
            <w:pPr>
              <w:pStyle w:val="ARfintablebody"/>
            </w:pPr>
            <w:r w:rsidRPr="00A971DA">
              <w:t>Output appropriations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A6A6A6"/>
              <w:bottom w:val="single" w:sz="4" w:space="0" w:color="A6A6A6"/>
            </w:tcBorders>
            <w:hideMark/>
          </w:tcPr>
          <w:p w14:paraId="0E26227E" w14:textId="77777777" w:rsidR="004A2DF7" w:rsidRPr="00A971DA" w:rsidRDefault="004A2DF7">
            <w:pPr>
              <w:pStyle w:val="ARfintablebodyright"/>
            </w:pPr>
            <w:r w:rsidRPr="00A971DA">
              <w:t>6,307</w:t>
            </w:r>
          </w:p>
        </w:tc>
        <w:tc>
          <w:tcPr>
            <w:tcW w:w="1180" w:type="dxa"/>
            <w:tcBorders>
              <w:top w:val="single" w:sz="4" w:space="0" w:color="A6A6A6"/>
              <w:bottom w:val="single" w:sz="4" w:space="0" w:color="A6A6A6"/>
            </w:tcBorders>
            <w:hideMark/>
          </w:tcPr>
          <w:p w14:paraId="68060341" w14:textId="77777777" w:rsidR="004A2DF7" w:rsidRPr="00A971DA"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A971DA">
              <w:t>5,089</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A6A6A6"/>
              <w:bottom w:val="single" w:sz="4" w:space="0" w:color="A6A6A6"/>
            </w:tcBorders>
            <w:hideMark/>
          </w:tcPr>
          <w:p w14:paraId="49B7B964" w14:textId="77777777" w:rsidR="004A2DF7" w:rsidRPr="00A971DA" w:rsidRDefault="004A2DF7">
            <w:pPr>
              <w:pStyle w:val="ARfintablebodyright"/>
            </w:pPr>
            <w:r w:rsidRPr="00A971DA">
              <w:t>23.9</w:t>
            </w:r>
          </w:p>
        </w:tc>
        <w:tc>
          <w:tcPr>
            <w:tcW w:w="850" w:type="dxa"/>
            <w:tcBorders>
              <w:top w:val="single" w:sz="4" w:space="0" w:color="A6A6A6"/>
              <w:bottom w:val="single" w:sz="4" w:space="0" w:color="A6A6A6"/>
            </w:tcBorders>
            <w:hideMark/>
          </w:tcPr>
          <w:p w14:paraId="285016EF" w14:textId="77777777" w:rsidR="004A2DF7" w:rsidRPr="00C046C1" w:rsidRDefault="004A2DF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r w:rsidRPr="00C046C1">
              <w:rPr>
                <w:vertAlign w:val="superscript"/>
              </w:rPr>
              <w:t>(a)</w:t>
            </w:r>
          </w:p>
        </w:tc>
      </w:tr>
      <w:tr w:rsidR="00D80E8D" w:rsidRPr="002917EA" w14:paraId="5D1069DC" w14:textId="77777777" w:rsidTr="00D80E8D">
        <w:trPr>
          <w:cantSplit w:val="0"/>
        </w:trPr>
        <w:tc>
          <w:tcPr>
            <w:tcW w:w="5094" w:type="dxa"/>
            <w:tcBorders>
              <w:top w:val="single" w:sz="4" w:space="0" w:color="A6A6A6"/>
              <w:bottom w:val="single" w:sz="4" w:space="0" w:color="A6A6A6"/>
            </w:tcBorders>
            <w:hideMark/>
          </w:tcPr>
          <w:p w14:paraId="62300178" w14:textId="77777777" w:rsidR="004A2DF7" w:rsidRPr="00A971DA" w:rsidRDefault="004A2DF7">
            <w:pPr>
              <w:pStyle w:val="ARfintablebody"/>
            </w:pPr>
            <w:r w:rsidRPr="00A971DA">
              <w:t>Special appropriations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A6A6A6"/>
              <w:bottom w:val="single" w:sz="4" w:space="0" w:color="A6A6A6"/>
            </w:tcBorders>
            <w:hideMark/>
          </w:tcPr>
          <w:p w14:paraId="66B53B46" w14:textId="77777777" w:rsidR="004A2DF7" w:rsidRPr="00A971DA" w:rsidRDefault="004A2DF7">
            <w:pPr>
              <w:pStyle w:val="ARfintablebodyright"/>
            </w:pPr>
            <w:r w:rsidRPr="00A971DA">
              <w:t>101</w:t>
            </w:r>
          </w:p>
        </w:tc>
        <w:tc>
          <w:tcPr>
            <w:tcW w:w="1180" w:type="dxa"/>
            <w:tcBorders>
              <w:top w:val="single" w:sz="4" w:space="0" w:color="A6A6A6"/>
              <w:bottom w:val="single" w:sz="4" w:space="0" w:color="A6A6A6"/>
            </w:tcBorders>
            <w:hideMark/>
          </w:tcPr>
          <w:p w14:paraId="51AFCEBC" w14:textId="77777777" w:rsidR="004A2DF7" w:rsidRPr="00A971DA"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A971DA">
              <w:t>72</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A6A6A6"/>
              <w:bottom w:val="single" w:sz="4" w:space="0" w:color="A6A6A6"/>
            </w:tcBorders>
            <w:hideMark/>
          </w:tcPr>
          <w:p w14:paraId="609AE81F" w14:textId="77777777" w:rsidR="004A2DF7" w:rsidRPr="00A971DA" w:rsidRDefault="004A2DF7">
            <w:pPr>
              <w:pStyle w:val="ARfintablebodyright"/>
            </w:pPr>
            <w:r w:rsidRPr="00A971DA">
              <w:t>40.5</w:t>
            </w:r>
          </w:p>
        </w:tc>
        <w:tc>
          <w:tcPr>
            <w:tcW w:w="850" w:type="dxa"/>
            <w:tcBorders>
              <w:top w:val="single" w:sz="4" w:space="0" w:color="A6A6A6"/>
              <w:bottom w:val="single" w:sz="4" w:space="0" w:color="A6A6A6"/>
            </w:tcBorders>
            <w:hideMark/>
          </w:tcPr>
          <w:p w14:paraId="31C7E7B2" w14:textId="77777777" w:rsidR="004A2DF7" w:rsidRPr="00C046C1" w:rsidRDefault="004A2DF7">
            <w:pPr>
              <w:pStyle w:val="ARfintablebodycentre"/>
              <w:cnfStyle w:val="000000000000" w:firstRow="0" w:lastRow="0" w:firstColumn="0" w:lastColumn="0" w:oddVBand="0" w:evenVBand="0" w:oddHBand="0" w:evenHBand="0" w:firstRowFirstColumn="0" w:firstRowLastColumn="0" w:lastRowFirstColumn="0" w:lastRowLastColumn="0"/>
            </w:pPr>
            <w:r w:rsidRPr="00C046C1">
              <w:rPr>
                <w:vertAlign w:val="superscript"/>
              </w:rPr>
              <w:t>(b)</w:t>
            </w:r>
          </w:p>
        </w:tc>
      </w:tr>
      <w:tr w:rsidR="00D80E8D" w:rsidRPr="002917EA" w14:paraId="58675E16" w14:textId="77777777" w:rsidTr="00D80E8D">
        <w:trPr>
          <w:cantSplit w:val="0"/>
        </w:trPr>
        <w:tc>
          <w:tcPr>
            <w:tcW w:w="5094" w:type="dxa"/>
            <w:tcBorders>
              <w:top w:val="single" w:sz="4" w:space="0" w:color="A6A6A6"/>
              <w:bottom w:val="single" w:sz="4" w:space="0" w:color="A6A6A6"/>
            </w:tcBorders>
            <w:hideMark/>
          </w:tcPr>
          <w:p w14:paraId="59BA00BA" w14:textId="77777777" w:rsidR="004A2DF7" w:rsidRPr="00A971DA" w:rsidRDefault="004A2DF7">
            <w:pPr>
              <w:pStyle w:val="ARfintablebody"/>
            </w:pPr>
            <w:r w:rsidRPr="00A971DA">
              <w:t>Grants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A6A6A6"/>
              <w:bottom w:val="single" w:sz="4" w:space="0" w:color="A6A6A6"/>
            </w:tcBorders>
            <w:hideMark/>
          </w:tcPr>
          <w:p w14:paraId="4FBAB750" w14:textId="77777777" w:rsidR="004A2DF7" w:rsidRPr="00A971DA" w:rsidRDefault="004A2DF7">
            <w:pPr>
              <w:pStyle w:val="ARfintablebodyright"/>
            </w:pPr>
            <w:r w:rsidRPr="00A971DA">
              <w:t>41</w:t>
            </w:r>
          </w:p>
        </w:tc>
        <w:tc>
          <w:tcPr>
            <w:tcW w:w="1180" w:type="dxa"/>
            <w:tcBorders>
              <w:top w:val="single" w:sz="4" w:space="0" w:color="A6A6A6"/>
              <w:bottom w:val="single" w:sz="4" w:space="0" w:color="A6A6A6"/>
            </w:tcBorders>
            <w:hideMark/>
          </w:tcPr>
          <w:p w14:paraId="49174670" w14:textId="77777777" w:rsidR="004A2DF7" w:rsidRPr="00A971DA"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A971DA">
              <w:t>29</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A6A6A6"/>
              <w:bottom w:val="single" w:sz="4" w:space="0" w:color="A6A6A6"/>
            </w:tcBorders>
            <w:hideMark/>
          </w:tcPr>
          <w:p w14:paraId="1CF61061" w14:textId="77777777" w:rsidR="004A2DF7" w:rsidRPr="00A971DA" w:rsidRDefault="004A2DF7">
            <w:pPr>
              <w:pStyle w:val="ARfintablebodyright"/>
            </w:pPr>
            <w:r w:rsidRPr="00A971DA">
              <w:t>42.7</w:t>
            </w:r>
          </w:p>
        </w:tc>
        <w:tc>
          <w:tcPr>
            <w:tcW w:w="850" w:type="dxa"/>
            <w:tcBorders>
              <w:top w:val="single" w:sz="4" w:space="0" w:color="A6A6A6"/>
              <w:bottom w:val="single" w:sz="4" w:space="0" w:color="A6A6A6"/>
            </w:tcBorders>
            <w:hideMark/>
          </w:tcPr>
          <w:p w14:paraId="26DF1CFA" w14:textId="77777777" w:rsidR="004A2DF7" w:rsidRPr="00C046C1"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2917EA" w14:paraId="29F245BC" w14:textId="77777777" w:rsidTr="00D80E8D">
        <w:trPr>
          <w:cantSplit w:val="0"/>
        </w:trPr>
        <w:tc>
          <w:tcPr>
            <w:tcW w:w="5094" w:type="dxa"/>
            <w:tcBorders>
              <w:top w:val="single" w:sz="4" w:space="0" w:color="A6A6A6"/>
              <w:bottom w:val="single" w:sz="4" w:space="0" w:color="000000" w:themeColor="text1"/>
            </w:tcBorders>
            <w:hideMark/>
          </w:tcPr>
          <w:p w14:paraId="109165D6" w14:textId="77777777" w:rsidR="004A2DF7" w:rsidRPr="00A971DA" w:rsidRDefault="004A2DF7">
            <w:pPr>
              <w:pStyle w:val="ARfintablebody"/>
            </w:pPr>
            <w:r w:rsidRPr="00A971DA">
              <w:t>Other income</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A6A6A6"/>
              <w:bottom w:val="single" w:sz="4" w:space="0" w:color="000000" w:themeColor="text1"/>
            </w:tcBorders>
            <w:hideMark/>
          </w:tcPr>
          <w:p w14:paraId="34FC6F2D" w14:textId="77777777" w:rsidR="004A2DF7" w:rsidRPr="00A971DA" w:rsidRDefault="004A2DF7">
            <w:pPr>
              <w:pStyle w:val="ARfintablebodyright"/>
            </w:pPr>
            <w:r w:rsidRPr="00A971DA">
              <w:t>3</w:t>
            </w:r>
          </w:p>
        </w:tc>
        <w:tc>
          <w:tcPr>
            <w:tcW w:w="1180" w:type="dxa"/>
            <w:tcBorders>
              <w:top w:val="single" w:sz="4" w:space="0" w:color="A6A6A6"/>
              <w:bottom w:val="single" w:sz="4" w:space="0" w:color="000000" w:themeColor="text1"/>
            </w:tcBorders>
            <w:hideMark/>
          </w:tcPr>
          <w:p w14:paraId="5341E02C" w14:textId="77777777" w:rsidR="004A2DF7" w:rsidRPr="00A971DA"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A971DA">
              <w:t>0</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A6A6A6"/>
              <w:bottom w:val="single" w:sz="4" w:space="0" w:color="000000" w:themeColor="text1"/>
            </w:tcBorders>
            <w:hideMark/>
          </w:tcPr>
          <w:p w14:paraId="2141D51F" w14:textId="77777777" w:rsidR="004A2DF7" w:rsidRPr="00A971DA" w:rsidRDefault="004A2DF7">
            <w:pPr>
              <w:pStyle w:val="ARfintablebodyright"/>
            </w:pPr>
            <w:r w:rsidRPr="00A971DA">
              <w:t>–</w:t>
            </w:r>
          </w:p>
        </w:tc>
        <w:tc>
          <w:tcPr>
            <w:tcW w:w="850" w:type="dxa"/>
            <w:tcBorders>
              <w:top w:val="single" w:sz="4" w:space="0" w:color="A6A6A6"/>
              <w:bottom w:val="single" w:sz="4" w:space="0" w:color="000000" w:themeColor="text1"/>
            </w:tcBorders>
            <w:hideMark/>
          </w:tcPr>
          <w:p w14:paraId="7599D7A2" w14:textId="77777777" w:rsidR="004A2DF7" w:rsidRPr="00C046C1"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2917EA" w14:paraId="59328422" w14:textId="77777777" w:rsidTr="00D80E8D">
        <w:trPr>
          <w:cantSplit w:val="0"/>
        </w:trPr>
        <w:tc>
          <w:tcPr>
            <w:tcW w:w="5094" w:type="dxa"/>
            <w:tcBorders>
              <w:top w:val="single" w:sz="4" w:space="0" w:color="000000" w:themeColor="text1"/>
              <w:bottom w:val="single" w:sz="4" w:space="0" w:color="auto"/>
            </w:tcBorders>
            <w:hideMark/>
          </w:tcPr>
          <w:p w14:paraId="4E69F5B8" w14:textId="77777777" w:rsidR="004A2DF7" w:rsidRPr="00A971DA" w:rsidRDefault="004A2DF7">
            <w:pPr>
              <w:pStyle w:val="ARfintablebodybold"/>
            </w:pPr>
            <w:r w:rsidRPr="00A971DA">
              <w:t>Total income from transactions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000000" w:themeColor="text1"/>
              <w:bottom w:val="single" w:sz="4" w:space="0" w:color="auto"/>
            </w:tcBorders>
            <w:hideMark/>
          </w:tcPr>
          <w:p w14:paraId="52046511" w14:textId="77777777" w:rsidR="004A2DF7" w:rsidRPr="00A971DA" w:rsidRDefault="004A2DF7">
            <w:pPr>
              <w:pStyle w:val="ARfintablebodyrightbold"/>
            </w:pPr>
            <w:r w:rsidRPr="00A971DA">
              <w:t>6,452</w:t>
            </w:r>
          </w:p>
        </w:tc>
        <w:tc>
          <w:tcPr>
            <w:tcW w:w="1180" w:type="dxa"/>
            <w:tcBorders>
              <w:top w:val="single" w:sz="4" w:space="0" w:color="000000" w:themeColor="text1"/>
              <w:bottom w:val="single" w:sz="4" w:space="0" w:color="auto"/>
            </w:tcBorders>
            <w:hideMark/>
          </w:tcPr>
          <w:p w14:paraId="0DA6131F" w14:textId="77777777" w:rsidR="004A2DF7" w:rsidRPr="00A971DA"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A971DA">
              <w:t>5,189</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000000" w:themeColor="text1"/>
              <w:bottom w:val="single" w:sz="4" w:space="0" w:color="auto"/>
            </w:tcBorders>
            <w:hideMark/>
          </w:tcPr>
          <w:p w14:paraId="37384CDA" w14:textId="77777777" w:rsidR="004A2DF7" w:rsidRPr="00A971DA" w:rsidRDefault="004A2DF7">
            <w:pPr>
              <w:pStyle w:val="ARfintablebodyrightbold"/>
            </w:pPr>
            <w:r w:rsidRPr="00A971DA">
              <w:t>24.3</w:t>
            </w:r>
          </w:p>
        </w:tc>
        <w:tc>
          <w:tcPr>
            <w:tcW w:w="850" w:type="dxa"/>
            <w:tcBorders>
              <w:top w:val="single" w:sz="4" w:space="0" w:color="000000" w:themeColor="text1"/>
              <w:bottom w:val="single" w:sz="4" w:space="0" w:color="auto"/>
            </w:tcBorders>
            <w:hideMark/>
          </w:tcPr>
          <w:p w14:paraId="05E910B4" w14:textId="77777777" w:rsidR="004A2DF7" w:rsidRPr="00C046C1"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AF57E7" w:rsidRPr="002917EA" w14:paraId="5B8061D4" w14:textId="77777777" w:rsidTr="00D80E8D">
        <w:trPr>
          <w:cantSplit w:val="0"/>
        </w:trPr>
        <w:tc>
          <w:tcPr>
            <w:tcW w:w="5094" w:type="dxa"/>
            <w:tcBorders>
              <w:top w:val="single" w:sz="4" w:space="0" w:color="7F7F7F" w:themeColor="text1" w:themeTint="80"/>
              <w:bottom w:val="single" w:sz="4" w:space="0" w:color="A6A6A6"/>
            </w:tcBorders>
          </w:tcPr>
          <w:p w14:paraId="7730799F" w14:textId="40ECA0F8" w:rsidR="00AF57E7" w:rsidRPr="00A971DA" w:rsidRDefault="00AF57E7" w:rsidP="00AF57E7">
            <w:pPr>
              <w:pStyle w:val="ARfintablebodyboldcoloured"/>
            </w:pPr>
            <w:r w:rsidRPr="00C046C1">
              <w:t>Expenses from transactions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7F7F7F" w:themeColor="text1" w:themeTint="80"/>
              <w:bottom w:val="single" w:sz="4" w:space="0" w:color="A6A6A6"/>
            </w:tcBorders>
          </w:tcPr>
          <w:p w14:paraId="19B6B5EF" w14:textId="77777777" w:rsidR="00AF57E7" w:rsidRPr="00F66351" w:rsidRDefault="00AF57E7">
            <w:pPr>
              <w:pStyle w:val="ARfintablebodyright"/>
            </w:pPr>
          </w:p>
        </w:tc>
        <w:tc>
          <w:tcPr>
            <w:tcW w:w="1180" w:type="dxa"/>
            <w:tcBorders>
              <w:top w:val="single" w:sz="4" w:space="0" w:color="7F7F7F" w:themeColor="text1" w:themeTint="80"/>
              <w:bottom w:val="single" w:sz="4" w:space="0" w:color="A6A6A6"/>
            </w:tcBorders>
          </w:tcPr>
          <w:p w14:paraId="116E5E54" w14:textId="77777777" w:rsidR="00AF57E7" w:rsidRPr="00F66351" w:rsidRDefault="00AF57E7">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7F7F7F" w:themeColor="text1" w:themeTint="80"/>
              <w:bottom w:val="single" w:sz="4" w:space="0" w:color="A6A6A6"/>
            </w:tcBorders>
          </w:tcPr>
          <w:p w14:paraId="52258173" w14:textId="77777777" w:rsidR="00AF57E7" w:rsidRPr="00F66351" w:rsidRDefault="00AF57E7">
            <w:pPr>
              <w:pStyle w:val="ARfintablebodyright"/>
            </w:pPr>
          </w:p>
        </w:tc>
        <w:tc>
          <w:tcPr>
            <w:tcW w:w="850" w:type="dxa"/>
            <w:tcBorders>
              <w:top w:val="single" w:sz="4" w:space="0" w:color="7F7F7F" w:themeColor="text1" w:themeTint="80"/>
              <w:bottom w:val="single" w:sz="4" w:space="0" w:color="A6A6A6"/>
            </w:tcBorders>
          </w:tcPr>
          <w:p w14:paraId="03E3F6D1" w14:textId="77777777" w:rsidR="00AF57E7" w:rsidRPr="00C046C1" w:rsidRDefault="00AF57E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p>
        </w:tc>
      </w:tr>
      <w:tr w:rsidR="00D80E8D" w:rsidRPr="002917EA" w14:paraId="1969F4B7" w14:textId="77777777" w:rsidTr="00D80E8D">
        <w:trPr>
          <w:cantSplit w:val="0"/>
        </w:trPr>
        <w:tc>
          <w:tcPr>
            <w:tcW w:w="5094" w:type="dxa"/>
            <w:tcBorders>
              <w:top w:val="single" w:sz="4" w:space="0" w:color="7F7F7F" w:themeColor="text1" w:themeTint="80"/>
              <w:bottom w:val="single" w:sz="4" w:space="0" w:color="A6A6A6"/>
            </w:tcBorders>
            <w:hideMark/>
          </w:tcPr>
          <w:p w14:paraId="189B7F9C" w14:textId="77777777" w:rsidR="004A2DF7" w:rsidRPr="00A971DA" w:rsidRDefault="004A2DF7">
            <w:pPr>
              <w:pStyle w:val="ARfintablebody"/>
            </w:pPr>
            <w:r w:rsidRPr="00A971DA">
              <w:t>Employee benefits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7F7F7F" w:themeColor="text1" w:themeTint="80"/>
              <w:bottom w:val="single" w:sz="4" w:space="0" w:color="A6A6A6"/>
            </w:tcBorders>
            <w:hideMark/>
          </w:tcPr>
          <w:p w14:paraId="207B43BD" w14:textId="77777777" w:rsidR="004A2DF7" w:rsidRPr="00F66351" w:rsidRDefault="004A2DF7">
            <w:pPr>
              <w:pStyle w:val="ARfintablebodyright"/>
            </w:pPr>
            <w:r w:rsidRPr="00F66351">
              <w:t>875</w:t>
            </w:r>
          </w:p>
        </w:tc>
        <w:tc>
          <w:tcPr>
            <w:tcW w:w="1180" w:type="dxa"/>
            <w:tcBorders>
              <w:top w:val="single" w:sz="4" w:space="0" w:color="7F7F7F" w:themeColor="text1" w:themeTint="80"/>
              <w:bottom w:val="single" w:sz="4" w:space="0" w:color="A6A6A6"/>
            </w:tcBorders>
            <w:hideMark/>
          </w:tcPr>
          <w:p w14:paraId="33E268C0" w14:textId="77777777" w:rsidR="004A2DF7" w:rsidRPr="00F66351"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F66351">
              <w:t>681</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7F7F7F" w:themeColor="text1" w:themeTint="80"/>
              <w:bottom w:val="single" w:sz="4" w:space="0" w:color="A6A6A6"/>
            </w:tcBorders>
            <w:hideMark/>
          </w:tcPr>
          <w:p w14:paraId="0FD96558" w14:textId="77777777" w:rsidR="004A2DF7" w:rsidRPr="00F66351" w:rsidRDefault="004A2DF7">
            <w:pPr>
              <w:pStyle w:val="ARfintablebodyright"/>
            </w:pPr>
            <w:r w:rsidRPr="00F66351">
              <w:t>28.4</w:t>
            </w:r>
          </w:p>
        </w:tc>
        <w:tc>
          <w:tcPr>
            <w:tcW w:w="850" w:type="dxa"/>
            <w:tcBorders>
              <w:top w:val="single" w:sz="4" w:space="0" w:color="7F7F7F" w:themeColor="text1" w:themeTint="80"/>
              <w:bottom w:val="single" w:sz="4" w:space="0" w:color="A6A6A6"/>
            </w:tcBorders>
            <w:hideMark/>
          </w:tcPr>
          <w:p w14:paraId="2211A169" w14:textId="77777777" w:rsidR="004A2DF7" w:rsidRPr="00C046C1" w:rsidRDefault="004A2DF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r w:rsidRPr="00C046C1">
              <w:rPr>
                <w:vertAlign w:val="superscript"/>
              </w:rPr>
              <w:t>(c)</w:t>
            </w:r>
          </w:p>
        </w:tc>
      </w:tr>
      <w:tr w:rsidR="00D80E8D" w:rsidRPr="002917EA" w14:paraId="46CB4453" w14:textId="77777777" w:rsidTr="00D80E8D">
        <w:trPr>
          <w:cantSplit w:val="0"/>
        </w:trPr>
        <w:tc>
          <w:tcPr>
            <w:tcW w:w="5094" w:type="dxa"/>
            <w:tcBorders>
              <w:top w:val="single" w:sz="4" w:space="0" w:color="A6A6A6"/>
              <w:bottom w:val="single" w:sz="4" w:space="0" w:color="A6A6A6"/>
            </w:tcBorders>
            <w:hideMark/>
          </w:tcPr>
          <w:p w14:paraId="10DDD378" w14:textId="77777777" w:rsidR="004A2DF7" w:rsidRPr="00A971DA" w:rsidRDefault="004A2DF7">
            <w:pPr>
              <w:pStyle w:val="ARfintablebody"/>
            </w:pPr>
            <w:r w:rsidRPr="00A971DA">
              <w:t>Depreciation</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A6A6A6"/>
              <w:bottom w:val="single" w:sz="4" w:space="0" w:color="A6A6A6"/>
            </w:tcBorders>
            <w:hideMark/>
          </w:tcPr>
          <w:p w14:paraId="290664E8" w14:textId="77777777" w:rsidR="004A2DF7" w:rsidRPr="00F66351" w:rsidRDefault="004A2DF7">
            <w:pPr>
              <w:pStyle w:val="ARfintablebodyright"/>
            </w:pPr>
            <w:r w:rsidRPr="00F66351">
              <w:t>45</w:t>
            </w:r>
          </w:p>
        </w:tc>
        <w:tc>
          <w:tcPr>
            <w:tcW w:w="1180" w:type="dxa"/>
            <w:tcBorders>
              <w:top w:val="single" w:sz="4" w:space="0" w:color="A6A6A6"/>
              <w:bottom w:val="single" w:sz="4" w:space="0" w:color="A6A6A6"/>
            </w:tcBorders>
            <w:hideMark/>
          </w:tcPr>
          <w:p w14:paraId="7559E89A" w14:textId="77777777" w:rsidR="004A2DF7" w:rsidRPr="00F66351"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F66351">
              <w:t>50</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A6A6A6"/>
              <w:bottom w:val="single" w:sz="4" w:space="0" w:color="A6A6A6"/>
            </w:tcBorders>
            <w:hideMark/>
          </w:tcPr>
          <w:p w14:paraId="153D515C" w14:textId="77777777" w:rsidR="004A2DF7" w:rsidRPr="00F66351" w:rsidRDefault="004A2DF7">
            <w:pPr>
              <w:pStyle w:val="ARfintablebodyright"/>
            </w:pPr>
            <w:r w:rsidRPr="00F66351">
              <w:t>(9.9)</w:t>
            </w:r>
          </w:p>
        </w:tc>
        <w:tc>
          <w:tcPr>
            <w:tcW w:w="850" w:type="dxa"/>
            <w:tcBorders>
              <w:top w:val="single" w:sz="4" w:space="0" w:color="A6A6A6"/>
              <w:bottom w:val="single" w:sz="4" w:space="0" w:color="A6A6A6"/>
            </w:tcBorders>
            <w:hideMark/>
          </w:tcPr>
          <w:p w14:paraId="6C67022C" w14:textId="77777777" w:rsidR="004A2DF7" w:rsidRPr="002917EA" w:rsidRDefault="004A2DF7">
            <w:pPr>
              <w:pStyle w:val="ARfintablebodycentre"/>
              <w:cnfStyle w:val="000000000000" w:firstRow="0" w:lastRow="0" w:firstColumn="0" w:lastColumn="0" w:oddVBand="0" w:evenVBand="0" w:oddHBand="0" w:evenHBand="0" w:firstRowFirstColumn="0" w:firstRowLastColumn="0" w:lastRowFirstColumn="0" w:lastRowLastColumn="0"/>
              <w:rPr>
                <w:highlight w:val="cyan"/>
              </w:rPr>
            </w:pPr>
          </w:p>
        </w:tc>
      </w:tr>
      <w:tr w:rsidR="00D80E8D" w:rsidRPr="002917EA" w14:paraId="60CB5893" w14:textId="77777777" w:rsidTr="00D80E8D">
        <w:trPr>
          <w:cantSplit w:val="0"/>
        </w:trPr>
        <w:tc>
          <w:tcPr>
            <w:tcW w:w="5094" w:type="dxa"/>
            <w:tcBorders>
              <w:top w:val="single" w:sz="4" w:space="0" w:color="A6A6A6"/>
              <w:bottom w:val="single" w:sz="4" w:space="0" w:color="A6A6A6"/>
            </w:tcBorders>
            <w:hideMark/>
          </w:tcPr>
          <w:p w14:paraId="7F09052E" w14:textId="77777777" w:rsidR="004A2DF7" w:rsidRPr="00A971DA" w:rsidRDefault="004A2DF7">
            <w:pPr>
              <w:pStyle w:val="ARfintablebody"/>
            </w:pPr>
            <w:r w:rsidRPr="00A971DA">
              <w:t>Interest expense</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A6A6A6"/>
              <w:bottom w:val="single" w:sz="4" w:space="0" w:color="A6A6A6"/>
            </w:tcBorders>
            <w:hideMark/>
          </w:tcPr>
          <w:p w14:paraId="1818BE88" w14:textId="77777777" w:rsidR="004A2DF7" w:rsidRPr="00F66351" w:rsidRDefault="004A2DF7">
            <w:pPr>
              <w:pStyle w:val="ARfintablebodyright"/>
            </w:pPr>
            <w:r w:rsidRPr="00F66351">
              <w:t>1</w:t>
            </w:r>
          </w:p>
        </w:tc>
        <w:tc>
          <w:tcPr>
            <w:tcW w:w="1180" w:type="dxa"/>
            <w:tcBorders>
              <w:top w:val="single" w:sz="4" w:space="0" w:color="A6A6A6"/>
              <w:bottom w:val="single" w:sz="4" w:space="0" w:color="A6A6A6"/>
            </w:tcBorders>
            <w:hideMark/>
          </w:tcPr>
          <w:p w14:paraId="085234F6" w14:textId="77777777" w:rsidR="004A2DF7" w:rsidRPr="00F66351"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F66351">
              <w:t>3</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A6A6A6"/>
              <w:bottom w:val="single" w:sz="4" w:space="0" w:color="A6A6A6"/>
            </w:tcBorders>
            <w:hideMark/>
          </w:tcPr>
          <w:p w14:paraId="54C674C4" w14:textId="77777777" w:rsidR="004A2DF7" w:rsidRPr="00F66351" w:rsidRDefault="004A2DF7">
            <w:pPr>
              <w:pStyle w:val="ARfintablebodyright"/>
            </w:pPr>
            <w:r w:rsidRPr="00F66351">
              <w:t>(50.5)</w:t>
            </w:r>
          </w:p>
        </w:tc>
        <w:tc>
          <w:tcPr>
            <w:tcW w:w="850" w:type="dxa"/>
            <w:tcBorders>
              <w:top w:val="single" w:sz="4" w:space="0" w:color="A6A6A6"/>
              <w:bottom w:val="single" w:sz="4" w:space="0" w:color="A6A6A6"/>
            </w:tcBorders>
            <w:hideMark/>
          </w:tcPr>
          <w:p w14:paraId="5C7A7445" w14:textId="77777777" w:rsidR="004A2DF7" w:rsidRPr="002917EA" w:rsidRDefault="004A2DF7">
            <w:pPr>
              <w:pStyle w:val="ARfintablebodycentre"/>
              <w:cnfStyle w:val="000000000000" w:firstRow="0" w:lastRow="0" w:firstColumn="0" w:lastColumn="0" w:oddVBand="0" w:evenVBand="0" w:oddHBand="0" w:evenHBand="0" w:firstRowFirstColumn="0" w:firstRowLastColumn="0" w:lastRowFirstColumn="0" w:lastRowLastColumn="0"/>
              <w:rPr>
                <w:highlight w:val="cyan"/>
              </w:rPr>
            </w:pPr>
          </w:p>
        </w:tc>
      </w:tr>
      <w:tr w:rsidR="00D80E8D" w:rsidRPr="002917EA" w14:paraId="550AA4C4" w14:textId="77777777" w:rsidTr="00D80E8D">
        <w:trPr>
          <w:cantSplit w:val="0"/>
        </w:trPr>
        <w:tc>
          <w:tcPr>
            <w:tcW w:w="5094" w:type="dxa"/>
            <w:tcBorders>
              <w:top w:val="single" w:sz="4" w:space="0" w:color="A6A6A6"/>
              <w:bottom w:val="single" w:sz="4" w:space="0" w:color="A6A6A6"/>
            </w:tcBorders>
            <w:hideMark/>
          </w:tcPr>
          <w:p w14:paraId="7411F39D" w14:textId="77777777" w:rsidR="004A2DF7" w:rsidRPr="00A971DA" w:rsidRDefault="004A2DF7">
            <w:pPr>
              <w:pStyle w:val="ARfintablebody"/>
            </w:pPr>
            <w:r w:rsidRPr="00A971DA">
              <w:t>Grants and other transfers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A6A6A6"/>
              <w:bottom w:val="single" w:sz="4" w:space="0" w:color="A6A6A6"/>
            </w:tcBorders>
            <w:hideMark/>
          </w:tcPr>
          <w:p w14:paraId="6FBBC3AC" w14:textId="77777777" w:rsidR="004A2DF7" w:rsidRPr="008D36C1" w:rsidRDefault="004A2DF7">
            <w:pPr>
              <w:pStyle w:val="ARfintablebodyright"/>
            </w:pPr>
            <w:r w:rsidRPr="008D36C1">
              <w:t>1,363</w:t>
            </w:r>
          </w:p>
        </w:tc>
        <w:tc>
          <w:tcPr>
            <w:tcW w:w="1180" w:type="dxa"/>
            <w:tcBorders>
              <w:top w:val="single" w:sz="4" w:space="0" w:color="A6A6A6"/>
              <w:bottom w:val="single" w:sz="4" w:space="0" w:color="A6A6A6"/>
            </w:tcBorders>
            <w:hideMark/>
          </w:tcPr>
          <w:p w14:paraId="114E7E38" w14:textId="77777777" w:rsidR="004A2DF7" w:rsidRPr="008D36C1"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8D36C1">
              <w:t>1,155</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A6A6A6"/>
              <w:bottom w:val="single" w:sz="4" w:space="0" w:color="A6A6A6"/>
            </w:tcBorders>
            <w:hideMark/>
          </w:tcPr>
          <w:p w14:paraId="0B4CF101" w14:textId="77777777" w:rsidR="004A2DF7" w:rsidRPr="008D36C1" w:rsidRDefault="004A2DF7">
            <w:pPr>
              <w:pStyle w:val="ARfintablebodyright"/>
            </w:pPr>
            <w:r w:rsidRPr="008D36C1">
              <w:t>18.0</w:t>
            </w:r>
          </w:p>
        </w:tc>
        <w:tc>
          <w:tcPr>
            <w:tcW w:w="850" w:type="dxa"/>
            <w:tcBorders>
              <w:top w:val="single" w:sz="4" w:space="0" w:color="A6A6A6"/>
              <w:bottom w:val="single" w:sz="4" w:space="0" w:color="A6A6A6"/>
            </w:tcBorders>
            <w:hideMark/>
          </w:tcPr>
          <w:p w14:paraId="21C671DB" w14:textId="77777777" w:rsidR="004A2DF7" w:rsidRPr="002917EA" w:rsidRDefault="004A2DF7">
            <w:pPr>
              <w:pStyle w:val="ARfintablebodycentre"/>
              <w:cnfStyle w:val="000000000000" w:firstRow="0" w:lastRow="0" w:firstColumn="0" w:lastColumn="0" w:oddVBand="0" w:evenVBand="0" w:oddHBand="0" w:evenHBand="0" w:firstRowFirstColumn="0" w:firstRowLastColumn="0" w:lastRowFirstColumn="0" w:lastRowLastColumn="0"/>
              <w:rPr>
                <w:highlight w:val="cyan"/>
              </w:rPr>
            </w:pPr>
            <w:r w:rsidRPr="00C046C1">
              <w:rPr>
                <w:vertAlign w:val="superscript"/>
              </w:rPr>
              <w:t>(</w:t>
            </w:r>
            <w:r>
              <w:rPr>
                <w:vertAlign w:val="superscript"/>
              </w:rPr>
              <w:t>d</w:t>
            </w:r>
            <w:r w:rsidRPr="00C046C1">
              <w:rPr>
                <w:vertAlign w:val="superscript"/>
              </w:rPr>
              <w:t>)</w:t>
            </w:r>
          </w:p>
        </w:tc>
      </w:tr>
      <w:tr w:rsidR="00D80E8D" w:rsidRPr="002917EA" w14:paraId="4D7341BD" w14:textId="77777777" w:rsidTr="00D80E8D">
        <w:trPr>
          <w:cantSplit w:val="0"/>
        </w:trPr>
        <w:tc>
          <w:tcPr>
            <w:tcW w:w="5094" w:type="dxa"/>
            <w:tcBorders>
              <w:top w:val="single" w:sz="4" w:space="0" w:color="A6A6A6"/>
              <w:bottom w:val="single" w:sz="4" w:space="0" w:color="000000" w:themeColor="text1"/>
            </w:tcBorders>
            <w:hideMark/>
          </w:tcPr>
          <w:p w14:paraId="145FD49D" w14:textId="77777777" w:rsidR="004A2DF7" w:rsidRPr="00A971DA" w:rsidRDefault="004A2DF7">
            <w:pPr>
              <w:pStyle w:val="ARfintablebody"/>
            </w:pPr>
            <w:r w:rsidRPr="00A971DA">
              <w:t>Other operating expenses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A6A6A6"/>
              <w:bottom w:val="single" w:sz="4" w:space="0" w:color="000000" w:themeColor="text1"/>
            </w:tcBorders>
            <w:hideMark/>
          </w:tcPr>
          <w:p w14:paraId="3B6C439B" w14:textId="77777777" w:rsidR="004A2DF7" w:rsidRPr="008D36C1" w:rsidRDefault="004A2DF7">
            <w:pPr>
              <w:pStyle w:val="ARfintablebodyright"/>
            </w:pPr>
            <w:r w:rsidRPr="008D36C1">
              <w:t>4,319</w:t>
            </w:r>
          </w:p>
        </w:tc>
        <w:tc>
          <w:tcPr>
            <w:tcW w:w="1180" w:type="dxa"/>
            <w:tcBorders>
              <w:top w:val="single" w:sz="4" w:space="0" w:color="A6A6A6"/>
              <w:bottom w:val="single" w:sz="4" w:space="0" w:color="000000" w:themeColor="text1"/>
            </w:tcBorders>
            <w:hideMark/>
          </w:tcPr>
          <w:p w14:paraId="436A7078" w14:textId="77777777" w:rsidR="004A2DF7" w:rsidRPr="008D36C1"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8D36C1">
              <w:t>3,304</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A6A6A6"/>
              <w:bottom w:val="single" w:sz="4" w:space="0" w:color="000000" w:themeColor="text1"/>
            </w:tcBorders>
            <w:hideMark/>
          </w:tcPr>
          <w:p w14:paraId="6569794B" w14:textId="77777777" w:rsidR="004A2DF7" w:rsidRPr="008D36C1" w:rsidRDefault="004A2DF7">
            <w:pPr>
              <w:pStyle w:val="ARfintablebodyright"/>
            </w:pPr>
            <w:r w:rsidRPr="008D36C1">
              <w:t>30.7</w:t>
            </w:r>
          </w:p>
        </w:tc>
        <w:tc>
          <w:tcPr>
            <w:tcW w:w="850" w:type="dxa"/>
            <w:tcBorders>
              <w:top w:val="single" w:sz="4" w:space="0" w:color="A6A6A6"/>
              <w:bottom w:val="single" w:sz="4" w:space="0" w:color="000000" w:themeColor="text1"/>
            </w:tcBorders>
            <w:hideMark/>
          </w:tcPr>
          <w:p w14:paraId="1A5F19F3" w14:textId="77777777" w:rsidR="004A2DF7" w:rsidRPr="002917EA" w:rsidRDefault="004A2DF7">
            <w:pPr>
              <w:pStyle w:val="ARfintablebodycentre"/>
              <w:cnfStyle w:val="000000000000" w:firstRow="0" w:lastRow="0" w:firstColumn="0" w:lastColumn="0" w:oddVBand="0" w:evenVBand="0" w:oddHBand="0" w:evenHBand="0" w:firstRowFirstColumn="0" w:firstRowLastColumn="0" w:lastRowFirstColumn="0" w:lastRowLastColumn="0"/>
              <w:rPr>
                <w:highlight w:val="cyan"/>
                <w:vertAlign w:val="superscript"/>
              </w:rPr>
            </w:pPr>
            <w:r w:rsidRPr="00C046C1">
              <w:rPr>
                <w:vertAlign w:val="superscript"/>
              </w:rPr>
              <w:t>(</w:t>
            </w:r>
            <w:r>
              <w:rPr>
                <w:vertAlign w:val="superscript"/>
              </w:rPr>
              <w:t>e</w:t>
            </w:r>
            <w:r w:rsidRPr="00C046C1">
              <w:rPr>
                <w:vertAlign w:val="superscript"/>
              </w:rPr>
              <w:t>)</w:t>
            </w:r>
          </w:p>
        </w:tc>
      </w:tr>
      <w:tr w:rsidR="00D80E8D" w:rsidRPr="002917EA" w14:paraId="27CAEBFD" w14:textId="77777777" w:rsidTr="00D80E8D">
        <w:trPr>
          <w:cantSplit w:val="0"/>
        </w:trPr>
        <w:tc>
          <w:tcPr>
            <w:tcW w:w="5094" w:type="dxa"/>
            <w:tcBorders>
              <w:top w:val="single" w:sz="4" w:space="0" w:color="000000" w:themeColor="text1"/>
              <w:bottom w:val="single" w:sz="4" w:space="0" w:color="000000" w:themeColor="text1"/>
            </w:tcBorders>
            <w:hideMark/>
          </w:tcPr>
          <w:p w14:paraId="59ADCDEB" w14:textId="77777777" w:rsidR="004A2DF7" w:rsidRPr="00A971DA" w:rsidRDefault="004A2DF7">
            <w:pPr>
              <w:pStyle w:val="ARfintablebodybold"/>
            </w:pPr>
            <w:r w:rsidRPr="00A971DA">
              <w:t>Total expenses from transactions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000000" w:themeColor="text1"/>
              <w:bottom w:val="single" w:sz="4" w:space="0" w:color="000000" w:themeColor="text1"/>
            </w:tcBorders>
            <w:hideMark/>
          </w:tcPr>
          <w:p w14:paraId="7BC19D8A" w14:textId="77777777" w:rsidR="004A2DF7" w:rsidRPr="008D36C1" w:rsidRDefault="004A2DF7">
            <w:pPr>
              <w:pStyle w:val="ARfintablebodyrightbold"/>
            </w:pPr>
            <w:r w:rsidRPr="008D36C1">
              <w:t>6,602</w:t>
            </w:r>
          </w:p>
        </w:tc>
        <w:tc>
          <w:tcPr>
            <w:tcW w:w="1180" w:type="dxa"/>
            <w:tcBorders>
              <w:top w:val="single" w:sz="4" w:space="0" w:color="000000" w:themeColor="text1"/>
              <w:bottom w:val="single" w:sz="4" w:space="0" w:color="000000" w:themeColor="text1"/>
            </w:tcBorders>
            <w:hideMark/>
          </w:tcPr>
          <w:p w14:paraId="4DC5A9EC" w14:textId="77777777" w:rsidR="004A2DF7" w:rsidRPr="008D36C1"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8D36C1">
              <w:t>5,193</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000000" w:themeColor="text1"/>
              <w:bottom w:val="single" w:sz="4" w:space="0" w:color="000000" w:themeColor="text1"/>
            </w:tcBorders>
            <w:hideMark/>
          </w:tcPr>
          <w:p w14:paraId="3314A711" w14:textId="77777777" w:rsidR="004A2DF7" w:rsidRPr="008D36C1" w:rsidRDefault="004A2DF7">
            <w:pPr>
              <w:pStyle w:val="ARfintablebodyrightbold"/>
            </w:pPr>
            <w:r w:rsidRPr="008D36C1">
              <w:t>27.1</w:t>
            </w:r>
          </w:p>
        </w:tc>
        <w:tc>
          <w:tcPr>
            <w:tcW w:w="850" w:type="dxa"/>
            <w:tcBorders>
              <w:top w:val="single" w:sz="4" w:space="0" w:color="000000" w:themeColor="text1"/>
              <w:bottom w:val="single" w:sz="4" w:space="0" w:color="000000" w:themeColor="text1"/>
            </w:tcBorders>
            <w:hideMark/>
          </w:tcPr>
          <w:p w14:paraId="3A59F2F8" w14:textId="77777777" w:rsidR="004A2DF7" w:rsidRPr="002917EA" w:rsidRDefault="004A2DF7">
            <w:pPr>
              <w:pStyle w:val="ARfintablebodycentre"/>
              <w:cnfStyle w:val="000000000000" w:firstRow="0" w:lastRow="0" w:firstColumn="0" w:lastColumn="0" w:oddVBand="0" w:evenVBand="0" w:oddHBand="0" w:evenHBand="0" w:firstRowFirstColumn="0" w:firstRowLastColumn="0" w:lastRowFirstColumn="0" w:lastRowLastColumn="0"/>
              <w:rPr>
                <w:highlight w:val="cyan"/>
              </w:rPr>
            </w:pPr>
          </w:p>
        </w:tc>
      </w:tr>
      <w:tr w:rsidR="00D80E8D" w:rsidRPr="00914A89" w14:paraId="0105F093" w14:textId="77777777" w:rsidTr="00D80E8D">
        <w:trPr>
          <w:cantSplit w:val="0"/>
        </w:trPr>
        <w:tc>
          <w:tcPr>
            <w:tcW w:w="5094" w:type="dxa"/>
            <w:tcBorders>
              <w:top w:val="single" w:sz="4" w:space="0" w:color="000000" w:themeColor="text1"/>
              <w:bottom w:val="single" w:sz="4" w:space="0" w:color="auto"/>
            </w:tcBorders>
            <w:hideMark/>
          </w:tcPr>
          <w:p w14:paraId="2ECBFEDC" w14:textId="77777777" w:rsidR="004A2DF7" w:rsidRPr="00914A89" w:rsidRDefault="004A2DF7">
            <w:pPr>
              <w:pStyle w:val="ARfintablebodybold"/>
            </w:pPr>
            <w:r w:rsidRPr="00914A89">
              <w:t>Net result from transactions (net operating balance)</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000000" w:themeColor="text1"/>
              <w:bottom w:val="single" w:sz="4" w:space="0" w:color="auto"/>
            </w:tcBorders>
            <w:hideMark/>
          </w:tcPr>
          <w:p w14:paraId="62FD0F5E" w14:textId="77777777" w:rsidR="004A2DF7" w:rsidRPr="00914A89" w:rsidRDefault="004A2DF7">
            <w:pPr>
              <w:pStyle w:val="ARfintablebodyrightbold"/>
            </w:pPr>
            <w:r w:rsidRPr="00914A89">
              <w:t>(150)</w:t>
            </w:r>
          </w:p>
        </w:tc>
        <w:tc>
          <w:tcPr>
            <w:tcW w:w="1180" w:type="dxa"/>
            <w:tcBorders>
              <w:top w:val="single" w:sz="4" w:space="0" w:color="000000" w:themeColor="text1"/>
              <w:bottom w:val="single" w:sz="4" w:space="0" w:color="auto"/>
            </w:tcBorders>
            <w:hideMark/>
          </w:tcPr>
          <w:p w14:paraId="21437400" w14:textId="77777777" w:rsidR="004A2DF7" w:rsidRPr="00914A89"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914A89">
              <w:t>(4)</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000000" w:themeColor="text1"/>
              <w:bottom w:val="single" w:sz="4" w:space="0" w:color="auto"/>
            </w:tcBorders>
            <w:hideMark/>
          </w:tcPr>
          <w:p w14:paraId="33C5D83A" w14:textId="77777777" w:rsidR="004A2DF7" w:rsidRPr="00914A89" w:rsidRDefault="004A2DF7">
            <w:pPr>
              <w:pStyle w:val="ARfintablebodyrightbold"/>
            </w:pPr>
            <w:r w:rsidRPr="00914A89">
              <w:t>3,651.2</w:t>
            </w:r>
          </w:p>
        </w:tc>
        <w:tc>
          <w:tcPr>
            <w:tcW w:w="850" w:type="dxa"/>
            <w:tcBorders>
              <w:top w:val="single" w:sz="4" w:space="0" w:color="000000" w:themeColor="text1"/>
              <w:bottom w:val="single" w:sz="4" w:space="0" w:color="auto"/>
            </w:tcBorders>
            <w:hideMark/>
          </w:tcPr>
          <w:p w14:paraId="4804F3B3" w14:textId="77777777" w:rsidR="004A2DF7" w:rsidRPr="00914A89"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3F2359" w14:paraId="4E4FE470" w14:textId="77777777" w:rsidTr="00D80E8D">
        <w:trPr>
          <w:cantSplit w:val="0"/>
        </w:trPr>
        <w:tc>
          <w:tcPr>
            <w:tcW w:w="5094" w:type="dxa"/>
            <w:tcBorders>
              <w:top w:val="dotted" w:sz="4" w:space="0" w:color="auto"/>
              <w:bottom w:val="single" w:sz="4" w:space="0" w:color="A6A6A6"/>
            </w:tcBorders>
          </w:tcPr>
          <w:p w14:paraId="6F97B109" w14:textId="37987C06" w:rsidR="00AF57E7" w:rsidRPr="003F2359" w:rsidRDefault="00AF57E7" w:rsidP="00AF57E7">
            <w:pPr>
              <w:pStyle w:val="ARfintablebodyboldcoloured"/>
            </w:pPr>
            <w:r w:rsidRPr="00914A89">
              <w:t>Other economic flows included in net result</w:t>
            </w:r>
          </w:p>
        </w:tc>
        <w:tc>
          <w:tcPr>
            <w:cnfStyle w:val="000001000000" w:firstRow="0" w:lastRow="0" w:firstColumn="0" w:lastColumn="0" w:oddVBand="0" w:evenVBand="1" w:oddHBand="0" w:evenHBand="0" w:firstRowFirstColumn="0" w:firstRowLastColumn="0" w:lastRowFirstColumn="0" w:lastRowLastColumn="0"/>
            <w:tcW w:w="1242" w:type="dxa"/>
            <w:tcBorders>
              <w:top w:val="dotted" w:sz="4" w:space="0" w:color="auto"/>
              <w:bottom w:val="single" w:sz="4" w:space="0" w:color="A6A6A6"/>
            </w:tcBorders>
          </w:tcPr>
          <w:p w14:paraId="296F93BE" w14:textId="77777777" w:rsidR="00AF57E7" w:rsidRPr="003F2359" w:rsidRDefault="00AF57E7" w:rsidP="00AF57E7">
            <w:pPr>
              <w:pStyle w:val="ARfintablebodyright"/>
            </w:pPr>
          </w:p>
        </w:tc>
        <w:tc>
          <w:tcPr>
            <w:tcW w:w="1180" w:type="dxa"/>
            <w:tcBorders>
              <w:top w:val="dotted" w:sz="4" w:space="0" w:color="auto"/>
              <w:bottom w:val="single" w:sz="4" w:space="0" w:color="A6A6A6"/>
            </w:tcBorders>
          </w:tcPr>
          <w:p w14:paraId="3883A209" w14:textId="77777777" w:rsidR="00AF57E7" w:rsidRPr="003F2359" w:rsidRDefault="00AF57E7" w:rsidP="00AF57E7">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78" w:type="dxa"/>
            <w:tcBorders>
              <w:top w:val="dotted" w:sz="4" w:space="0" w:color="auto"/>
              <w:bottom w:val="single" w:sz="4" w:space="0" w:color="A6A6A6"/>
            </w:tcBorders>
          </w:tcPr>
          <w:p w14:paraId="2CEC0E16" w14:textId="77777777" w:rsidR="00AF57E7" w:rsidRPr="003F2359" w:rsidRDefault="00AF57E7" w:rsidP="00AF57E7">
            <w:pPr>
              <w:pStyle w:val="ARfintablebodyright"/>
            </w:pPr>
          </w:p>
        </w:tc>
        <w:tc>
          <w:tcPr>
            <w:tcW w:w="850" w:type="dxa"/>
            <w:tcBorders>
              <w:top w:val="dotted" w:sz="4" w:space="0" w:color="auto"/>
              <w:bottom w:val="single" w:sz="4" w:space="0" w:color="A6A6A6"/>
            </w:tcBorders>
          </w:tcPr>
          <w:p w14:paraId="76E51B29" w14:textId="77777777" w:rsidR="00AF57E7" w:rsidRPr="003F2359"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3F2359" w14:paraId="46275A83" w14:textId="77777777" w:rsidTr="00D80E8D">
        <w:trPr>
          <w:cantSplit w:val="0"/>
        </w:trPr>
        <w:tc>
          <w:tcPr>
            <w:tcW w:w="5094" w:type="dxa"/>
            <w:tcBorders>
              <w:top w:val="dotted" w:sz="4" w:space="0" w:color="auto"/>
              <w:bottom w:val="single" w:sz="4" w:space="0" w:color="A6A6A6"/>
            </w:tcBorders>
            <w:hideMark/>
          </w:tcPr>
          <w:p w14:paraId="58ACB17A" w14:textId="77777777" w:rsidR="00AF57E7" w:rsidRPr="003F2359" w:rsidRDefault="00AF57E7" w:rsidP="00AF57E7">
            <w:pPr>
              <w:pStyle w:val="ARfintablebody"/>
            </w:pPr>
            <w:r w:rsidRPr="003F2359">
              <w:t>Net gain/(loss) on non-financial assets</w:t>
            </w:r>
          </w:p>
        </w:tc>
        <w:tc>
          <w:tcPr>
            <w:cnfStyle w:val="000001000000" w:firstRow="0" w:lastRow="0" w:firstColumn="0" w:lastColumn="0" w:oddVBand="0" w:evenVBand="1" w:oddHBand="0" w:evenHBand="0" w:firstRowFirstColumn="0" w:firstRowLastColumn="0" w:lastRowFirstColumn="0" w:lastRowLastColumn="0"/>
            <w:tcW w:w="1242" w:type="dxa"/>
            <w:tcBorders>
              <w:top w:val="dotted" w:sz="4" w:space="0" w:color="auto"/>
              <w:bottom w:val="single" w:sz="4" w:space="0" w:color="A6A6A6"/>
            </w:tcBorders>
            <w:hideMark/>
          </w:tcPr>
          <w:p w14:paraId="742180EA" w14:textId="77777777" w:rsidR="00AF57E7" w:rsidRPr="003F2359" w:rsidRDefault="00AF57E7" w:rsidP="00AF57E7">
            <w:pPr>
              <w:pStyle w:val="ARfintablebodyright"/>
            </w:pPr>
            <w:r w:rsidRPr="003F2359">
              <w:t>3</w:t>
            </w:r>
          </w:p>
        </w:tc>
        <w:tc>
          <w:tcPr>
            <w:tcW w:w="1180" w:type="dxa"/>
            <w:tcBorders>
              <w:top w:val="dotted" w:sz="4" w:space="0" w:color="auto"/>
              <w:bottom w:val="single" w:sz="4" w:space="0" w:color="A6A6A6"/>
            </w:tcBorders>
            <w:hideMark/>
          </w:tcPr>
          <w:p w14:paraId="445B8AEB" w14:textId="77777777" w:rsidR="00AF57E7" w:rsidRPr="003F2359" w:rsidRDefault="00AF57E7" w:rsidP="00AF57E7">
            <w:pPr>
              <w:pStyle w:val="ARfintablebodyright"/>
              <w:cnfStyle w:val="000000000000" w:firstRow="0" w:lastRow="0" w:firstColumn="0" w:lastColumn="0" w:oddVBand="0" w:evenVBand="0" w:oddHBand="0" w:evenHBand="0" w:firstRowFirstColumn="0" w:firstRowLastColumn="0" w:lastRowFirstColumn="0" w:lastRowLastColumn="0"/>
            </w:pPr>
            <w:r w:rsidRPr="003F2359">
              <w:t>(4)</w:t>
            </w:r>
          </w:p>
        </w:tc>
        <w:tc>
          <w:tcPr>
            <w:cnfStyle w:val="000001000000" w:firstRow="0" w:lastRow="0" w:firstColumn="0" w:lastColumn="0" w:oddVBand="0" w:evenVBand="1" w:oddHBand="0" w:evenHBand="0" w:firstRowFirstColumn="0" w:firstRowLastColumn="0" w:lastRowFirstColumn="0" w:lastRowLastColumn="0"/>
            <w:tcW w:w="1278" w:type="dxa"/>
            <w:tcBorders>
              <w:top w:val="dotted" w:sz="4" w:space="0" w:color="auto"/>
              <w:bottom w:val="single" w:sz="4" w:space="0" w:color="A6A6A6"/>
            </w:tcBorders>
            <w:hideMark/>
          </w:tcPr>
          <w:p w14:paraId="06ED213B" w14:textId="77777777" w:rsidR="00AF57E7" w:rsidRPr="003F2359" w:rsidRDefault="00AF57E7" w:rsidP="00AF57E7">
            <w:pPr>
              <w:pStyle w:val="ARfintablebodyright"/>
            </w:pPr>
            <w:r w:rsidRPr="003F2359">
              <w:t>(193.0)</w:t>
            </w:r>
          </w:p>
        </w:tc>
        <w:tc>
          <w:tcPr>
            <w:tcW w:w="850" w:type="dxa"/>
            <w:tcBorders>
              <w:top w:val="dotted" w:sz="4" w:space="0" w:color="auto"/>
              <w:bottom w:val="single" w:sz="4" w:space="0" w:color="A6A6A6"/>
            </w:tcBorders>
            <w:hideMark/>
          </w:tcPr>
          <w:p w14:paraId="52208F54" w14:textId="77777777" w:rsidR="00AF57E7" w:rsidRPr="003F2359"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3F2359" w14:paraId="70686A1B" w14:textId="77777777" w:rsidTr="00D80E8D">
        <w:trPr>
          <w:cantSplit w:val="0"/>
        </w:trPr>
        <w:tc>
          <w:tcPr>
            <w:tcW w:w="5094" w:type="dxa"/>
            <w:tcBorders>
              <w:top w:val="single" w:sz="4" w:space="0" w:color="A6A6A6"/>
              <w:bottom w:val="single" w:sz="4" w:space="0" w:color="A6A6A6"/>
            </w:tcBorders>
          </w:tcPr>
          <w:p w14:paraId="6EC83AFD" w14:textId="77777777" w:rsidR="00AF57E7" w:rsidRPr="003F2359" w:rsidRDefault="00AF57E7" w:rsidP="00AF57E7">
            <w:pPr>
              <w:pStyle w:val="ARfintablebody"/>
            </w:pPr>
            <w:r w:rsidRPr="003F2359">
              <w:t>Net gain/(loss) on financial instruments and statutory receivables/payables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A6A6A6"/>
              <w:bottom w:val="single" w:sz="4" w:space="0" w:color="A6A6A6"/>
            </w:tcBorders>
          </w:tcPr>
          <w:p w14:paraId="128BEF3A" w14:textId="77777777" w:rsidR="00AF57E7" w:rsidRPr="003F2359" w:rsidRDefault="00AF57E7" w:rsidP="00AF57E7">
            <w:pPr>
              <w:pStyle w:val="ARfintablebodyright"/>
            </w:pPr>
            <w:r w:rsidRPr="003F2359">
              <w:t>2</w:t>
            </w:r>
          </w:p>
        </w:tc>
        <w:tc>
          <w:tcPr>
            <w:tcW w:w="1180" w:type="dxa"/>
            <w:tcBorders>
              <w:top w:val="single" w:sz="4" w:space="0" w:color="A6A6A6"/>
              <w:bottom w:val="single" w:sz="4" w:space="0" w:color="A6A6A6"/>
            </w:tcBorders>
          </w:tcPr>
          <w:p w14:paraId="1D654C87" w14:textId="77777777" w:rsidR="00AF57E7" w:rsidRPr="003F2359" w:rsidRDefault="00AF57E7" w:rsidP="00AF57E7">
            <w:pPr>
              <w:pStyle w:val="ARfintablebodyright"/>
              <w:cnfStyle w:val="000000000000" w:firstRow="0" w:lastRow="0" w:firstColumn="0" w:lastColumn="0" w:oddVBand="0" w:evenVBand="0" w:oddHBand="0" w:evenHBand="0" w:firstRowFirstColumn="0" w:firstRowLastColumn="0" w:lastRowFirstColumn="0" w:lastRowLastColumn="0"/>
            </w:pPr>
            <w:r w:rsidRPr="003F2359">
              <w:t>–</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A6A6A6"/>
              <w:bottom w:val="single" w:sz="4" w:space="0" w:color="A6A6A6"/>
            </w:tcBorders>
          </w:tcPr>
          <w:p w14:paraId="5235A352" w14:textId="77777777" w:rsidR="00AF57E7" w:rsidRPr="003F2359" w:rsidRDefault="00AF57E7" w:rsidP="00AF57E7">
            <w:pPr>
              <w:pStyle w:val="ARfintablebodyright"/>
            </w:pPr>
            <w:r w:rsidRPr="003F2359">
              <w:t>–</w:t>
            </w:r>
          </w:p>
        </w:tc>
        <w:tc>
          <w:tcPr>
            <w:tcW w:w="850" w:type="dxa"/>
            <w:tcBorders>
              <w:top w:val="single" w:sz="4" w:space="0" w:color="A6A6A6"/>
              <w:bottom w:val="single" w:sz="4" w:space="0" w:color="A6A6A6"/>
            </w:tcBorders>
          </w:tcPr>
          <w:p w14:paraId="6EC7572E" w14:textId="77777777" w:rsidR="00AF57E7" w:rsidRPr="003F2359"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3F2359" w14:paraId="1BDE60B9" w14:textId="77777777" w:rsidTr="00D80E8D">
        <w:trPr>
          <w:cantSplit w:val="0"/>
        </w:trPr>
        <w:tc>
          <w:tcPr>
            <w:tcW w:w="5094" w:type="dxa"/>
            <w:tcBorders>
              <w:top w:val="single" w:sz="4" w:space="0" w:color="A6A6A6"/>
              <w:bottom w:val="single" w:sz="4" w:space="0" w:color="000000" w:themeColor="text1"/>
            </w:tcBorders>
            <w:hideMark/>
          </w:tcPr>
          <w:p w14:paraId="70BB8B50" w14:textId="77777777" w:rsidR="00AF57E7" w:rsidRPr="003F2359" w:rsidRDefault="00AF57E7" w:rsidP="00AF57E7">
            <w:pPr>
              <w:pStyle w:val="ARfintablebody"/>
            </w:pPr>
            <w:r w:rsidRPr="003F2359">
              <w:t>Other gains/(losses) from other economic flows</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A6A6A6"/>
              <w:bottom w:val="single" w:sz="4" w:space="0" w:color="000000" w:themeColor="text1"/>
            </w:tcBorders>
            <w:hideMark/>
          </w:tcPr>
          <w:p w14:paraId="65DC5F7E" w14:textId="77777777" w:rsidR="00AF57E7" w:rsidRPr="003F2359" w:rsidRDefault="00AF57E7" w:rsidP="00AF57E7">
            <w:pPr>
              <w:pStyle w:val="ARfintablebodyright"/>
            </w:pPr>
            <w:r w:rsidRPr="003F2359">
              <w:t>(18)</w:t>
            </w:r>
          </w:p>
        </w:tc>
        <w:tc>
          <w:tcPr>
            <w:tcW w:w="1180" w:type="dxa"/>
            <w:tcBorders>
              <w:top w:val="single" w:sz="4" w:space="0" w:color="A6A6A6"/>
              <w:bottom w:val="single" w:sz="4" w:space="0" w:color="000000" w:themeColor="text1"/>
            </w:tcBorders>
            <w:hideMark/>
          </w:tcPr>
          <w:p w14:paraId="5248401C" w14:textId="77777777" w:rsidR="00AF57E7" w:rsidRPr="003F2359" w:rsidRDefault="00AF57E7" w:rsidP="00AF57E7">
            <w:pPr>
              <w:pStyle w:val="ARfintablebodyright"/>
              <w:cnfStyle w:val="000000000000" w:firstRow="0" w:lastRow="0" w:firstColumn="0" w:lastColumn="0" w:oddVBand="0" w:evenVBand="0" w:oddHBand="0" w:evenHBand="0" w:firstRowFirstColumn="0" w:firstRowLastColumn="0" w:lastRowFirstColumn="0" w:lastRowLastColumn="0"/>
            </w:pPr>
            <w:r w:rsidRPr="003F2359">
              <w:t>–</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A6A6A6"/>
              <w:bottom w:val="single" w:sz="4" w:space="0" w:color="000000" w:themeColor="text1"/>
            </w:tcBorders>
            <w:hideMark/>
          </w:tcPr>
          <w:p w14:paraId="38D05C1F" w14:textId="77777777" w:rsidR="00AF57E7" w:rsidRPr="003F2359" w:rsidRDefault="00AF57E7" w:rsidP="00AF57E7">
            <w:pPr>
              <w:pStyle w:val="ARfintablebodyright"/>
            </w:pPr>
            <w:r w:rsidRPr="003F2359">
              <w:t>–</w:t>
            </w:r>
          </w:p>
        </w:tc>
        <w:tc>
          <w:tcPr>
            <w:tcW w:w="850" w:type="dxa"/>
            <w:tcBorders>
              <w:top w:val="single" w:sz="4" w:space="0" w:color="A6A6A6"/>
              <w:bottom w:val="single" w:sz="4" w:space="0" w:color="000000" w:themeColor="text1"/>
            </w:tcBorders>
            <w:hideMark/>
          </w:tcPr>
          <w:p w14:paraId="2C6AE4F5" w14:textId="77777777" w:rsidR="00AF57E7" w:rsidRPr="003F2359"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3F2359" w14:paraId="293D18D9" w14:textId="77777777" w:rsidTr="00D80E8D">
        <w:trPr>
          <w:cantSplit w:val="0"/>
        </w:trPr>
        <w:tc>
          <w:tcPr>
            <w:tcW w:w="5094" w:type="dxa"/>
            <w:tcBorders>
              <w:top w:val="single" w:sz="4" w:space="0" w:color="000000" w:themeColor="text1"/>
              <w:bottom w:val="single" w:sz="4" w:space="0" w:color="000000" w:themeColor="text1"/>
            </w:tcBorders>
            <w:hideMark/>
          </w:tcPr>
          <w:p w14:paraId="3D316B41" w14:textId="77777777" w:rsidR="00AF57E7" w:rsidRPr="003F2359" w:rsidRDefault="00AF57E7" w:rsidP="00AF57E7">
            <w:pPr>
              <w:pStyle w:val="ARfintablebodybold"/>
            </w:pPr>
            <w:r w:rsidRPr="003F2359">
              <w:t>Total other economic flows included in net result</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000000" w:themeColor="text1"/>
              <w:bottom w:val="single" w:sz="4" w:space="0" w:color="000000" w:themeColor="text1"/>
            </w:tcBorders>
            <w:hideMark/>
          </w:tcPr>
          <w:p w14:paraId="2BEC727C" w14:textId="77777777" w:rsidR="00AF57E7" w:rsidRPr="003F2359" w:rsidRDefault="00AF57E7" w:rsidP="00AF57E7">
            <w:pPr>
              <w:pStyle w:val="ARfintablebodyrightbold"/>
            </w:pPr>
            <w:r w:rsidRPr="003F2359">
              <w:t>(13)</w:t>
            </w:r>
          </w:p>
        </w:tc>
        <w:tc>
          <w:tcPr>
            <w:tcW w:w="1180" w:type="dxa"/>
            <w:tcBorders>
              <w:top w:val="single" w:sz="4" w:space="0" w:color="000000" w:themeColor="text1"/>
              <w:bottom w:val="single" w:sz="4" w:space="0" w:color="000000" w:themeColor="text1"/>
            </w:tcBorders>
            <w:hideMark/>
          </w:tcPr>
          <w:p w14:paraId="28F0B8AB" w14:textId="77777777" w:rsidR="00AF57E7" w:rsidRPr="003F2359" w:rsidRDefault="00AF57E7" w:rsidP="00AF57E7">
            <w:pPr>
              <w:pStyle w:val="ARfintablebodyrightbold"/>
              <w:cnfStyle w:val="000000000000" w:firstRow="0" w:lastRow="0" w:firstColumn="0" w:lastColumn="0" w:oddVBand="0" w:evenVBand="0" w:oddHBand="0" w:evenHBand="0" w:firstRowFirstColumn="0" w:firstRowLastColumn="0" w:lastRowFirstColumn="0" w:lastRowLastColumn="0"/>
            </w:pPr>
            <w:r w:rsidRPr="003F2359">
              <w:t>(4)</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000000" w:themeColor="text1"/>
              <w:bottom w:val="single" w:sz="4" w:space="0" w:color="000000" w:themeColor="text1"/>
            </w:tcBorders>
            <w:hideMark/>
          </w:tcPr>
          <w:p w14:paraId="35E945BF" w14:textId="77777777" w:rsidR="00AF57E7" w:rsidRPr="003F2359" w:rsidRDefault="00AF57E7" w:rsidP="00AF57E7">
            <w:pPr>
              <w:pStyle w:val="ARfintablebodyrightbold"/>
            </w:pPr>
            <w:r w:rsidRPr="003F2359">
              <w:t>237.1</w:t>
            </w:r>
          </w:p>
        </w:tc>
        <w:tc>
          <w:tcPr>
            <w:tcW w:w="850" w:type="dxa"/>
            <w:tcBorders>
              <w:top w:val="single" w:sz="4" w:space="0" w:color="000000" w:themeColor="text1"/>
              <w:bottom w:val="single" w:sz="4" w:space="0" w:color="000000" w:themeColor="text1"/>
            </w:tcBorders>
            <w:hideMark/>
          </w:tcPr>
          <w:p w14:paraId="5125911E" w14:textId="77777777" w:rsidR="00AF57E7" w:rsidRPr="003F2359"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3F2359" w14:paraId="784E8F16" w14:textId="77777777" w:rsidTr="00D80E8D">
        <w:trPr>
          <w:cantSplit w:val="0"/>
        </w:trPr>
        <w:tc>
          <w:tcPr>
            <w:tcW w:w="5094" w:type="dxa"/>
            <w:tcBorders>
              <w:top w:val="single" w:sz="4" w:space="0" w:color="000000" w:themeColor="text1"/>
              <w:bottom w:val="single" w:sz="4" w:space="0" w:color="auto"/>
            </w:tcBorders>
            <w:hideMark/>
          </w:tcPr>
          <w:p w14:paraId="27EEF45B" w14:textId="77777777" w:rsidR="00AF57E7" w:rsidRPr="003F2359" w:rsidRDefault="00AF57E7" w:rsidP="00AF57E7">
            <w:pPr>
              <w:pStyle w:val="ARfintablebodybold"/>
            </w:pPr>
            <w:r w:rsidRPr="003F2359">
              <w:t>Net result</w:t>
            </w:r>
          </w:p>
        </w:tc>
        <w:tc>
          <w:tcPr>
            <w:cnfStyle w:val="000001000000" w:firstRow="0" w:lastRow="0" w:firstColumn="0" w:lastColumn="0" w:oddVBand="0" w:evenVBand="1" w:oddHBand="0" w:evenHBand="0" w:firstRowFirstColumn="0" w:firstRowLastColumn="0" w:lastRowFirstColumn="0" w:lastRowLastColumn="0"/>
            <w:tcW w:w="1242" w:type="dxa"/>
            <w:tcBorders>
              <w:top w:val="single" w:sz="4" w:space="0" w:color="000000" w:themeColor="text1"/>
              <w:bottom w:val="single" w:sz="4" w:space="0" w:color="auto"/>
            </w:tcBorders>
            <w:hideMark/>
          </w:tcPr>
          <w:p w14:paraId="15211164" w14:textId="77777777" w:rsidR="00AF57E7" w:rsidRPr="003F2359" w:rsidRDefault="00AF57E7" w:rsidP="00AF57E7">
            <w:pPr>
              <w:pStyle w:val="ARfintablebodyrightbold"/>
            </w:pPr>
            <w:r w:rsidRPr="003F2359">
              <w:t>(162)</w:t>
            </w:r>
          </w:p>
        </w:tc>
        <w:tc>
          <w:tcPr>
            <w:tcW w:w="1180" w:type="dxa"/>
            <w:tcBorders>
              <w:top w:val="single" w:sz="4" w:space="0" w:color="000000" w:themeColor="text1"/>
              <w:bottom w:val="single" w:sz="4" w:space="0" w:color="auto"/>
            </w:tcBorders>
            <w:hideMark/>
          </w:tcPr>
          <w:p w14:paraId="30A4E400" w14:textId="77777777" w:rsidR="00AF57E7" w:rsidRPr="003F2359" w:rsidRDefault="00AF57E7" w:rsidP="00AF57E7">
            <w:pPr>
              <w:pStyle w:val="ARfintablebodyrightbold"/>
              <w:cnfStyle w:val="000000000000" w:firstRow="0" w:lastRow="0" w:firstColumn="0" w:lastColumn="0" w:oddVBand="0" w:evenVBand="0" w:oddHBand="0" w:evenHBand="0" w:firstRowFirstColumn="0" w:firstRowLastColumn="0" w:lastRowFirstColumn="0" w:lastRowLastColumn="0"/>
            </w:pPr>
            <w:r w:rsidRPr="003F2359">
              <w:t>(8)</w:t>
            </w:r>
          </w:p>
        </w:tc>
        <w:tc>
          <w:tcPr>
            <w:cnfStyle w:val="000001000000" w:firstRow="0" w:lastRow="0" w:firstColumn="0" w:lastColumn="0" w:oddVBand="0" w:evenVBand="1" w:oddHBand="0" w:evenHBand="0" w:firstRowFirstColumn="0" w:firstRowLastColumn="0" w:lastRowFirstColumn="0" w:lastRowLastColumn="0"/>
            <w:tcW w:w="1278" w:type="dxa"/>
            <w:tcBorders>
              <w:top w:val="single" w:sz="4" w:space="0" w:color="000000" w:themeColor="text1"/>
              <w:bottom w:val="single" w:sz="4" w:space="0" w:color="auto"/>
            </w:tcBorders>
            <w:hideMark/>
          </w:tcPr>
          <w:p w14:paraId="40CB9018" w14:textId="77777777" w:rsidR="00AF57E7" w:rsidRPr="003F2359" w:rsidRDefault="00AF57E7" w:rsidP="00AF57E7">
            <w:pPr>
              <w:pStyle w:val="ARfintablebodyrightbold"/>
            </w:pPr>
            <w:r w:rsidRPr="003F2359">
              <w:t>1,197.7</w:t>
            </w:r>
          </w:p>
        </w:tc>
        <w:tc>
          <w:tcPr>
            <w:tcW w:w="850" w:type="dxa"/>
            <w:tcBorders>
              <w:top w:val="single" w:sz="4" w:space="0" w:color="000000" w:themeColor="text1"/>
              <w:bottom w:val="single" w:sz="4" w:space="0" w:color="auto"/>
            </w:tcBorders>
            <w:hideMark/>
          </w:tcPr>
          <w:p w14:paraId="5C63B61E" w14:textId="77777777" w:rsidR="00AF57E7" w:rsidRPr="003F2359"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pPr>
          </w:p>
        </w:tc>
      </w:tr>
      <w:tr w:rsidR="00AF57E7" w:rsidRPr="006E4A4C" w14:paraId="69D9013C" w14:textId="77777777" w:rsidTr="00D80E8D">
        <w:trPr>
          <w:cantSplit w:val="0"/>
        </w:trPr>
        <w:tc>
          <w:tcPr>
            <w:tcW w:w="5094" w:type="dxa"/>
            <w:tcBorders>
              <w:top w:val="dotted" w:sz="4" w:space="0" w:color="auto"/>
              <w:bottom w:val="single" w:sz="4" w:space="0" w:color="A6A6A6"/>
            </w:tcBorders>
          </w:tcPr>
          <w:p w14:paraId="7805E1EE" w14:textId="422E0B17" w:rsidR="00AF57E7" w:rsidRPr="006E4A4C" w:rsidRDefault="00AF57E7" w:rsidP="00AF57E7">
            <w:pPr>
              <w:pStyle w:val="ARfintablebodyboldcoloured"/>
            </w:pPr>
            <w:r w:rsidRPr="003F2359">
              <w:t>Other economic flows – other comprehensive income</w:t>
            </w:r>
          </w:p>
        </w:tc>
        <w:tc>
          <w:tcPr>
            <w:cnfStyle w:val="000001000000" w:firstRow="0" w:lastRow="0" w:firstColumn="0" w:lastColumn="0" w:oddVBand="0" w:evenVBand="1" w:oddHBand="0" w:evenHBand="0" w:firstRowFirstColumn="0" w:firstRowLastColumn="0" w:lastRowFirstColumn="0" w:lastRowLastColumn="0"/>
            <w:tcW w:w="1242" w:type="dxa"/>
            <w:tcBorders>
              <w:top w:val="dotted" w:sz="4" w:space="0" w:color="auto"/>
              <w:bottom w:val="single" w:sz="4" w:space="0" w:color="A6A6A6"/>
            </w:tcBorders>
          </w:tcPr>
          <w:p w14:paraId="14B9693D" w14:textId="77777777" w:rsidR="00AF57E7" w:rsidRPr="006E4A4C" w:rsidRDefault="00AF57E7" w:rsidP="00AF57E7">
            <w:pPr>
              <w:pStyle w:val="ARfintablebodyright"/>
            </w:pPr>
          </w:p>
        </w:tc>
        <w:tc>
          <w:tcPr>
            <w:tcW w:w="1180" w:type="dxa"/>
            <w:tcBorders>
              <w:top w:val="dotted" w:sz="4" w:space="0" w:color="auto"/>
              <w:bottom w:val="single" w:sz="4" w:space="0" w:color="A6A6A6"/>
            </w:tcBorders>
          </w:tcPr>
          <w:p w14:paraId="280713B7" w14:textId="77777777" w:rsidR="00AF57E7" w:rsidRPr="006E4A4C" w:rsidRDefault="00AF57E7" w:rsidP="00AF57E7">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78" w:type="dxa"/>
            <w:tcBorders>
              <w:top w:val="dotted" w:sz="4" w:space="0" w:color="auto"/>
              <w:bottom w:val="single" w:sz="4" w:space="0" w:color="A6A6A6"/>
            </w:tcBorders>
          </w:tcPr>
          <w:p w14:paraId="328C230E" w14:textId="77777777" w:rsidR="00AF57E7" w:rsidRPr="006E4A4C" w:rsidRDefault="00AF57E7" w:rsidP="00AF57E7">
            <w:pPr>
              <w:pStyle w:val="ARfintablebodyright"/>
            </w:pPr>
          </w:p>
        </w:tc>
        <w:tc>
          <w:tcPr>
            <w:tcW w:w="850" w:type="dxa"/>
            <w:tcBorders>
              <w:top w:val="dotted" w:sz="4" w:space="0" w:color="auto"/>
              <w:bottom w:val="single" w:sz="4" w:space="0" w:color="A6A6A6"/>
            </w:tcBorders>
          </w:tcPr>
          <w:p w14:paraId="4529A62E" w14:textId="77777777" w:rsidR="00AF57E7" w:rsidRPr="006E4A4C"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6E4A4C" w14:paraId="204E97AB" w14:textId="77777777" w:rsidTr="00D80E8D">
        <w:trPr>
          <w:cantSplit w:val="0"/>
        </w:trPr>
        <w:tc>
          <w:tcPr>
            <w:tcW w:w="5094" w:type="dxa"/>
            <w:tcBorders>
              <w:top w:val="dotted" w:sz="4" w:space="0" w:color="auto"/>
              <w:bottom w:val="single" w:sz="4" w:space="0" w:color="A6A6A6"/>
            </w:tcBorders>
            <w:hideMark/>
          </w:tcPr>
          <w:p w14:paraId="6624E722" w14:textId="77777777" w:rsidR="00AF57E7" w:rsidRPr="006E4A4C" w:rsidRDefault="00AF57E7" w:rsidP="00AF57E7">
            <w:pPr>
              <w:pStyle w:val="ARfintablebody"/>
            </w:pPr>
            <w:r w:rsidRPr="006E4A4C">
              <w:t>Changes in non- financial asset revaluation surplus</w:t>
            </w:r>
          </w:p>
        </w:tc>
        <w:tc>
          <w:tcPr>
            <w:cnfStyle w:val="000001000000" w:firstRow="0" w:lastRow="0" w:firstColumn="0" w:lastColumn="0" w:oddVBand="0" w:evenVBand="1" w:oddHBand="0" w:evenHBand="0" w:firstRowFirstColumn="0" w:firstRowLastColumn="0" w:lastRowFirstColumn="0" w:lastRowLastColumn="0"/>
            <w:tcW w:w="1242" w:type="dxa"/>
            <w:tcBorders>
              <w:top w:val="dotted" w:sz="4" w:space="0" w:color="auto"/>
              <w:bottom w:val="single" w:sz="4" w:space="0" w:color="A6A6A6"/>
            </w:tcBorders>
            <w:hideMark/>
          </w:tcPr>
          <w:p w14:paraId="30C3FEB0" w14:textId="77777777" w:rsidR="00AF57E7" w:rsidRPr="006E4A4C" w:rsidRDefault="00AF57E7" w:rsidP="00AF57E7">
            <w:pPr>
              <w:pStyle w:val="ARfintablebodyright"/>
            </w:pPr>
            <w:r w:rsidRPr="006E4A4C">
              <w:t>(6)</w:t>
            </w:r>
          </w:p>
        </w:tc>
        <w:tc>
          <w:tcPr>
            <w:tcW w:w="1180" w:type="dxa"/>
            <w:tcBorders>
              <w:top w:val="dotted" w:sz="4" w:space="0" w:color="auto"/>
              <w:bottom w:val="single" w:sz="4" w:space="0" w:color="A6A6A6"/>
            </w:tcBorders>
            <w:hideMark/>
          </w:tcPr>
          <w:p w14:paraId="6A0E6420" w14:textId="77777777" w:rsidR="00AF57E7" w:rsidRPr="006E4A4C" w:rsidRDefault="00AF57E7" w:rsidP="00AF57E7">
            <w:pPr>
              <w:pStyle w:val="ARfintablebodyright"/>
              <w:cnfStyle w:val="000000000000" w:firstRow="0" w:lastRow="0" w:firstColumn="0" w:lastColumn="0" w:oddVBand="0" w:evenVBand="0" w:oddHBand="0" w:evenHBand="0" w:firstRowFirstColumn="0" w:firstRowLastColumn="0" w:lastRowFirstColumn="0" w:lastRowLastColumn="0"/>
            </w:pPr>
            <w:r w:rsidRPr="006E4A4C">
              <w:t>–</w:t>
            </w:r>
          </w:p>
        </w:tc>
        <w:tc>
          <w:tcPr>
            <w:cnfStyle w:val="000001000000" w:firstRow="0" w:lastRow="0" w:firstColumn="0" w:lastColumn="0" w:oddVBand="0" w:evenVBand="1" w:oddHBand="0" w:evenHBand="0" w:firstRowFirstColumn="0" w:firstRowLastColumn="0" w:lastRowFirstColumn="0" w:lastRowLastColumn="0"/>
            <w:tcW w:w="1278" w:type="dxa"/>
            <w:tcBorders>
              <w:top w:val="dotted" w:sz="4" w:space="0" w:color="auto"/>
              <w:bottom w:val="single" w:sz="4" w:space="0" w:color="A6A6A6"/>
            </w:tcBorders>
            <w:hideMark/>
          </w:tcPr>
          <w:p w14:paraId="452416B0" w14:textId="77777777" w:rsidR="00AF57E7" w:rsidRPr="006E4A4C" w:rsidRDefault="00AF57E7" w:rsidP="00AF57E7">
            <w:pPr>
              <w:pStyle w:val="ARfintablebodyright"/>
            </w:pPr>
            <w:r w:rsidRPr="006E4A4C">
              <w:t>–</w:t>
            </w:r>
          </w:p>
        </w:tc>
        <w:tc>
          <w:tcPr>
            <w:tcW w:w="850" w:type="dxa"/>
            <w:tcBorders>
              <w:top w:val="dotted" w:sz="4" w:space="0" w:color="auto"/>
              <w:bottom w:val="single" w:sz="4" w:space="0" w:color="A6A6A6"/>
            </w:tcBorders>
            <w:hideMark/>
          </w:tcPr>
          <w:p w14:paraId="14872978" w14:textId="77777777" w:rsidR="00AF57E7" w:rsidRPr="006E4A4C"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6E4A4C" w14:paraId="437D21DA" w14:textId="77777777" w:rsidTr="00D80E8D">
        <w:trPr>
          <w:cantSplit w:val="0"/>
        </w:trPr>
        <w:tc>
          <w:tcPr>
            <w:tcW w:w="5094" w:type="dxa"/>
            <w:hideMark/>
          </w:tcPr>
          <w:p w14:paraId="021D4202" w14:textId="77777777" w:rsidR="00AF57E7" w:rsidRPr="006E4A4C" w:rsidRDefault="00AF57E7" w:rsidP="00AF57E7">
            <w:pPr>
              <w:pStyle w:val="ARfintablebodybold"/>
            </w:pPr>
            <w:r w:rsidRPr="006E4A4C">
              <w:t>Total other economic flows – other comprehensive income</w:t>
            </w:r>
          </w:p>
        </w:tc>
        <w:tc>
          <w:tcPr>
            <w:cnfStyle w:val="000001000000" w:firstRow="0" w:lastRow="0" w:firstColumn="0" w:lastColumn="0" w:oddVBand="0" w:evenVBand="1" w:oddHBand="0" w:evenHBand="0" w:firstRowFirstColumn="0" w:firstRowLastColumn="0" w:lastRowFirstColumn="0" w:lastRowLastColumn="0"/>
            <w:tcW w:w="1242" w:type="dxa"/>
            <w:hideMark/>
          </w:tcPr>
          <w:p w14:paraId="3779F3C2" w14:textId="77777777" w:rsidR="00AF57E7" w:rsidRPr="006E4A4C" w:rsidRDefault="00AF57E7" w:rsidP="00AF57E7">
            <w:pPr>
              <w:pStyle w:val="ARfintablebodyrightbold"/>
            </w:pPr>
            <w:r w:rsidRPr="006E4A4C">
              <w:t>(6)</w:t>
            </w:r>
          </w:p>
        </w:tc>
        <w:tc>
          <w:tcPr>
            <w:tcW w:w="1180" w:type="dxa"/>
            <w:hideMark/>
          </w:tcPr>
          <w:p w14:paraId="5C8939AF" w14:textId="77777777" w:rsidR="00AF57E7" w:rsidRPr="006E4A4C" w:rsidRDefault="00AF57E7" w:rsidP="00AF57E7">
            <w:pPr>
              <w:pStyle w:val="ARfintablebodyrightbold"/>
              <w:cnfStyle w:val="000000000000" w:firstRow="0" w:lastRow="0" w:firstColumn="0" w:lastColumn="0" w:oddVBand="0" w:evenVBand="0" w:oddHBand="0" w:evenHBand="0" w:firstRowFirstColumn="0" w:firstRowLastColumn="0" w:lastRowFirstColumn="0" w:lastRowLastColumn="0"/>
            </w:pPr>
            <w:r w:rsidRPr="006E4A4C">
              <w:t>–</w:t>
            </w:r>
          </w:p>
        </w:tc>
        <w:tc>
          <w:tcPr>
            <w:cnfStyle w:val="000001000000" w:firstRow="0" w:lastRow="0" w:firstColumn="0" w:lastColumn="0" w:oddVBand="0" w:evenVBand="1" w:oddHBand="0" w:evenHBand="0" w:firstRowFirstColumn="0" w:firstRowLastColumn="0" w:lastRowFirstColumn="0" w:lastRowLastColumn="0"/>
            <w:tcW w:w="1278" w:type="dxa"/>
            <w:hideMark/>
          </w:tcPr>
          <w:p w14:paraId="1776E81C" w14:textId="77777777" w:rsidR="00AF57E7" w:rsidRPr="00093AC5" w:rsidRDefault="00AF57E7" w:rsidP="00AF57E7">
            <w:pPr>
              <w:pStyle w:val="ARfintablebodyrightbold"/>
            </w:pPr>
            <w:r w:rsidRPr="006E4A4C">
              <w:t>–</w:t>
            </w:r>
          </w:p>
        </w:tc>
        <w:tc>
          <w:tcPr>
            <w:tcW w:w="850" w:type="dxa"/>
            <w:hideMark/>
          </w:tcPr>
          <w:p w14:paraId="47B3457A" w14:textId="77777777" w:rsidR="00AF57E7" w:rsidRPr="006E4A4C"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2917EA" w14:paraId="2D31F3A5" w14:textId="77777777" w:rsidTr="00D80E8D">
        <w:trPr>
          <w:cnfStyle w:val="010000000000" w:firstRow="0" w:lastRow="1" w:firstColumn="0" w:lastColumn="0" w:oddVBand="0" w:evenVBand="0" w:oddHBand="0" w:evenHBand="0" w:firstRowFirstColumn="0" w:firstRowLastColumn="0" w:lastRowFirstColumn="0" w:lastRowLastColumn="0"/>
          <w:cantSplit w:val="0"/>
        </w:trPr>
        <w:tc>
          <w:tcPr>
            <w:tcW w:w="5094" w:type="dxa"/>
            <w:hideMark/>
          </w:tcPr>
          <w:p w14:paraId="32887B71" w14:textId="77777777" w:rsidR="00AF57E7" w:rsidRPr="006E4A4C" w:rsidRDefault="00AF57E7" w:rsidP="00AF57E7">
            <w:pPr>
              <w:pStyle w:val="ARfintablebodybold"/>
            </w:pPr>
            <w:r w:rsidRPr="006E4A4C">
              <w:t>Comprehensive result</w:t>
            </w:r>
          </w:p>
        </w:tc>
        <w:tc>
          <w:tcPr>
            <w:cnfStyle w:val="000001000000" w:firstRow="0" w:lastRow="0" w:firstColumn="0" w:lastColumn="0" w:oddVBand="0" w:evenVBand="1" w:oddHBand="0" w:evenHBand="0" w:firstRowFirstColumn="0" w:firstRowLastColumn="0" w:lastRowFirstColumn="0" w:lastRowLastColumn="0"/>
            <w:tcW w:w="1242" w:type="dxa"/>
            <w:hideMark/>
          </w:tcPr>
          <w:p w14:paraId="38F47053" w14:textId="77777777" w:rsidR="00AF57E7" w:rsidRPr="006E4A4C" w:rsidRDefault="00AF57E7" w:rsidP="00AF57E7">
            <w:pPr>
              <w:pStyle w:val="ARfintablebodyrightbold"/>
            </w:pPr>
            <w:r w:rsidRPr="006E4A4C">
              <w:t>(168)</w:t>
            </w:r>
          </w:p>
        </w:tc>
        <w:tc>
          <w:tcPr>
            <w:tcW w:w="1180" w:type="dxa"/>
            <w:hideMark/>
          </w:tcPr>
          <w:p w14:paraId="1485E491" w14:textId="77777777" w:rsidR="00AF57E7" w:rsidRPr="006E4A4C" w:rsidRDefault="00AF57E7" w:rsidP="00AF57E7">
            <w:pPr>
              <w:pStyle w:val="ARfintablebodyrightbold"/>
              <w:cnfStyle w:val="010000000000" w:firstRow="0" w:lastRow="1" w:firstColumn="0" w:lastColumn="0" w:oddVBand="0" w:evenVBand="0" w:oddHBand="0" w:evenHBand="0" w:firstRowFirstColumn="0" w:firstRowLastColumn="0" w:lastRowFirstColumn="0" w:lastRowLastColumn="0"/>
            </w:pPr>
            <w:r w:rsidRPr="006E4A4C">
              <w:t>(8)</w:t>
            </w:r>
          </w:p>
        </w:tc>
        <w:tc>
          <w:tcPr>
            <w:cnfStyle w:val="000001000000" w:firstRow="0" w:lastRow="0" w:firstColumn="0" w:lastColumn="0" w:oddVBand="0" w:evenVBand="1" w:oddHBand="0" w:evenHBand="0" w:firstRowFirstColumn="0" w:firstRowLastColumn="0" w:lastRowFirstColumn="0" w:lastRowLastColumn="0"/>
            <w:tcW w:w="1278" w:type="dxa"/>
            <w:hideMark/>
          </w:tcPr>
          <w:p w14:paraId="6F9E3BEE" w14:textId="77777777" w:rsidR="00AF57E7" w:rsidRPr="006E4A4C" w:rsidRDefault="00AF57E7" w:rsidP="00AF57E7">
            <w:pPr>
              <w:pStyle w:val="ARfintablebodyrightbold"/>
            </w:pPr>
            <w:r w:rsidRPr="006E4A4C">
              <w:t>2,074.0</w:t>
            </w:r>
          </w:p>
        </w:tc>
        <w:tc>
          <w:tcPr>
            <w:tcW w:w="850" w:type="dxa"/>
            <w:hideMark/>
          </w:tcPr>
          <w:p w14:paraId="246E0E93" w14:textId="77777777" w:rsidR="00AF57E7" w:rsidRPr="006E4A4C" w:rsidRDefault="00AF57E7" w:rsidP="00AF57E7">
            <w:pPr>
              <w:pStyle w:val="ARfintablebodycentre"/>
              <w:cnfStyle w:val="010000000000" w:firstRow="0" w:lastRow="1" w:firstColumn="0" w:lastColumn="0" w:oddVBand="0" w:evenVBand="0" w:oddHBand="0" w:evenHBand="0" w:firstRowFirstColumn="0" w:firstRowLastColumn="0" w:lastRowFirstColumn="0" w:lastRowLastColumn="0"/>
            </w:pPr>
          </w:p>
        </w:tc>
      </w:tr>
    </w:tbl>
    <w:p w14:paraId="705CDD66" w14:textId="77777777" w:rsidR="004A2DF7" w:rsidRPr="007945F2" w:rsidRDefault="004A2DF7">
      <w:pPr>
        <w:pStyle w:val="ARfintablefootnoteindent"/>
        <w:rPr>
          <w:rFonts w:eastAsia="Times New Roman" w:cs="Times New Roman"/>
          <w:lang w:eastAsia="en-US"/>
        </w:rPr>
      </w:pPr>
      <w:r w:rsidRPr="007945F2">
        <w:rPr>
          <w:rFonts w:eastAsia="Times New Roman" w:cs="Times New Roman"/>
          <w:lang w:eastAsia="en-US"/>
        </w:rPr>
        <w:t xml:space="preserve">The comprehensive operating statement should be read in conjunction with the notes to the financial statements. </w:t>
      </w:r>
    </w:p>
    <w:p w14:paraId="35A697CD" w14:textId="3C8673A1" w:rsidR="004A2DF7" w:rsidRPr="002917EA" w:rsidRDefault="004A2DF7">
      <w:pPr>
        <w:pStyle w:val="ARfintablefootnotetabindent"/>
        <w:rPr>
          <w:highlight w:val="cyan"/>
        </w:rPr>
      </w:pPr>
      <w:r w:rsidRPr="007945F2">
        <w:t>(a)</w:t>
      </w:r>
      <w:r w:rsidRPr="007945F2">
        <w:tab/>
        <w:t xml:space="preserve">Actual output appropriation was higher than the published budget mainly due to additional funding from the Commonwealth to deliver the </w:t>
      </w:r>
      <w:r w:rsidRPr="00B55528">
        <w:rPr>
          <w:rStyle w:val="Emphasis"/>
          <w:i w:val="0"/>
          <w:iCs w:val="0"/>
        </w:rPr>
        <w:t>Energy Bill Relief</w:t>
      </w:r>
      <w:r w:rsidRPr="00B55528">
        <w:rPr>
          <w:i/>
        </w:rPr>
        <w:t xml:space="preserve"> </w:t>
      </w:r>
      <w:r w:rsidRPr="007945F2">
        <w:t xml:space="preserve">concession payments and the </w:t>
      </w:r>
      <w:r w:rsidR="007348BD">
        <w:t>g</w:t>
      </w:r>
      <w:r w:rsidRPr="007945F2">
        <w:t xml:space="preserve">overnment’s investments in the </w:t>
      </w:r>
      <w:r w:rsidRPr="00B55528">
        <w:rPr>
          <w:rStyle w:val="Emphasis"/>
          <w:i w:val="0"/>
          <w:iCs w:val="0"/>
        </w:rPr>
        <w:t>Regional Housing Fund</w:t>
      </w:r>
      <w:r w:rsidRPr="007945F2">
        <w:t xml:space="preserve">, </w:t>
      </w:r>
      <w:r w:rsidRPr="00B55528">
        <w:rPr>
          <w:rStyle w:val="Emphasis"/>
          <w:i w:val="0"/>
          <w:iCs w:val="0"/>
        </w:rPr>
        <w:t>High</w:t>
      </w:r>
      <w:r w:rsidR="00934C67" w:rsidRPr="00B55528">
        <w:rPr>
          <w:rStyle w:val="Emphasis"/>
          <w:i w:val="0"/>
          <w:iCs w:val="0"/>
        </w:rPr>
        <w:t>-</w:t>
      </w:r>
      <w:r w:rsidRPr="00B55528">
        <w:rPr>
          <w:rStyle w:val="Emphasis"/>
          <w:i w:val="0"/>
          <w:iCs w:val="0"/>
        </w:rPr>
        <w:t>Rise Redevelopment program</w:t>
      </w:r>
      <w:r w:rsidRPr="00B55528">
        <w:rPr>
          <w:i/>
        </w:rPr>
        <w:t xml:space="preserve"> </w:t>
      </w:r>
      <w:r w:rsidRPr="007348BD">
        <w:t xml:space="preserve">and </w:t>
      </w:r>
      <w:r w:rsidRPr="00B55528">
        <w:rPr>
          <w:rStyle w:val="Emphasis"/>
          <w:i w:val="0"/>
          <w:iCs w:val="0"/>
        </w:rPr>
        <w:t>Big Housing Build</w:t>
      </w:r>
      <w:r w:rsidRPr="007348BD">
        <w:t>.</w:t>
      </w:r>
      <w:r w:rsidRPr="007945F2">
        <w:t xml:space="preserve"> In addition, the one-off cost</w:t>
      </w:r>
      <w:r w:rsidR="000B251F">
        <w:t>-</w:t>
      </w:r>
      <w:r w:rsidRPr="007945F2">
        <w:t>of</w:t>
      </w:r>
      <w:r w:rsidR="000B251F">
        <w:t>-</w:t>
      </w:r>
      <w:r w:rsidRPr="007945F2">
        <w:t xml:space="preserve">living payments under the Victorian Public Service Enterprise Agreement, </w:t>
      </w:r>
      <w:r w:rsidR="007348BD">
        <w:rPr>
          <w:rStyle w:val="Emphasis"/>
          <w:i w:val="0"/>
          <w:iCs w:val="0"/>
        </w:rPr>
        <w:t>c</w:t>
      </w:r>
      <w:r w:rsidRPr="00B55528">
        <w:rPr>
          <w:rStyle w:val="Emphasis"/>
          <w:i w:val="0"/>
          <w:iCs w:val="0"/>
        </w:rPr>
        <w:t xml:space="preserve">ivil </w:t>
      </w:r>
      <w:r w:rsidR="007348BD">
        <w:rPr>
          <w:rStyle w:val="Emphasis"/>
          <w:i w:val="0"/>
          <w:iCs w:val="0"/>
        </w:rPr>
        <w:t>c</w:t>
      </w:r>
      <w:r w:rsidRPr="00B55528">
        <w:rPr>
          <w:rStyle w:val="Emphasis"/>
          <w:i w:val="0"/>
          <w:iCs w:val="0"/>
        </w:rPr>
        <w:t>laims</w:t>
      </w:r>
      <w:r w:rsidRPr="00B55528">
        <w:rPr>
          <w:i/>
        </w:rPr>
        <w:t xml:space="preserve"> </w:t>
      </w:r>
      <w:r w:rsidRPr="007945F2">
        <w:t xml:space="preserve">associated with historical institutional child abuse and </w:t>
      </w:r>
      <w:r w:rsidRPr="00B55528">
        <w:rPr>
          <w:rStyle w:val="Emphasis"/>
          <w:i w:val="0"/>
          <w:iCs w:val="0"/>
        </w:rPr>
        <w:t>Victorian Redress</w:t>
      </w:r>
      <w:r w:rsidRPr="004D1B31">
        <w:rPr>
          <w:rStyle w:val="Emphasis"/>
        </w:rPr>
        <w:t xml:space="preserve"> </w:t>
      </w:r>
      <w:r w:rsidRPr="007945F2">
        <w:t>also contribute to the</w:t>
      </w:r>
      <w:r w:rsidR="001A7DDA">
        <w:t> </w:t>
      </w:r>
      <w:r w:rsidRPr="007945F2">
        <w:t>increase.</w:t>
      </w:r>
    </w:p>
    <w:p w14:paraId="531A7627" w14:textId="0FF8CF53" w:rsidR="004A2DF7" w:rsidRPr="002917EA" w:rsidRDefault="004A2DF7">
      <w:pPr>
        <w:pStyle w:val="ARfintablefootnotetabindent"/>
        <w:rPr>
          <w:highlight w:val="cyan"/>
        </w:rPr>
      </w:pPr>
      <w:r w:rsidRPr="0098510B">
        <w:t>(b)</w:t>
      </w:r>
      <w:r w:rsidRPr="0098510B">
        <w:tab/>
        <w:t xml:space="preserve">Actual special appropriation was higher than the published budget mainly reflects the increase in accessing Commonwealth funding for </w:t>
      </w:r>
      <w:r w:rsidR="007348BD">
        <w:t>f</w:t>
      </w:r>
      <w:r w:rsidR="007348BD" w:rsidRPr="0098510B">
        <w:t>amily</w:t>
      </w:r>
      <w:r w:rsidRPr="0098510B">
        <w:t xml:space="preserve">, </w:t>
      </w:r>
      <w:r w:rsidR="007348BD">
        <w:t>d</w:t>
      </w:r>
      <w:r w:rsidRPr="0098510B">
        <w:t xml:space="preserve">omestic and </w:t>
      </w:r>
      <w:r w:rsidR="007348BD">
        <w:t>s</w:t>
      </w:r>
      <w:r w:rsidRPr="0098510B">
        <w:t xml:space="preserve">exual </w:t>
      </w:r>
      <w:r w:rsidR="007348BD">
        <w:t>v</w:t>
      </w:r>
      <w:r w:rsidRPr="0098510B">
        <w:t xml:space="preserve">iolence </w:t>
      </w:r>
      <w:r w:rsidR="007348BD">
        <w:t>r</w:t>
      </w:r>
      <w:r w:rsidRPr="0098510B">
        <w:t xml:space="preserve">esponses under </w:t>
      </w:r>
      <w:r w:rsidR="007348BD">
        <w:t>s.</w:t>
      </w:r>
      <w:r w:rsidR="007348BD" w:rsidRPr="0098510B">
        <w:t xml:space="preserve"> </w:t>
      </w:r>
      <w:r w:rsidRPr="0098510B">
        <w:t xml:space="preserve">10 of the </w:t>
      </w:r>
      <w:r w:rsidRPr="004D1B31">
        <w:rPr>
          <w:rStyle w:val="Emphasis"/>
        </w:rPr>
        <w:t>Financial Management Act 1994</w:t>
      </w:r>
      <w:r w:rsidR="007348BD">
        <w:t>.</w:t>
      </w:r>
    </w:p>
    <w:p w14:paraId="3933987A" w14:textId="595B9F08" w:rsidR="004A2DF7" w:rsidRDefault="004A2DF7">
      <w:pPr>
        <w:pStyle w:val="ARfintablefootnotetabindent"/>
      </w:pPr>
      <w:r w:rsidRPr="00D62382">
        <w:t>(c)</w:t>
      </w:r>
      <w:r w:rsidRPr="00D62382">
        <w:tab/>
        <w:t>Higher actual employee benefits expenditure than the published budget was primarily driven by the one-off cost</w:t>
      </w:r>
      <w:r w:rsidR="000B251F">
        <w:t>-</w:t>
      </w:r>
      <w:r w:rsidRPr="00D62382">
        <w:t>of</w:t>
      </w:r>
      <w:r w:rsidR="000B251F">
        <w:t>-</w:t>
      </w:r>
      <w:r w:rsidRPr="00D62382">
        <w:t>living payments under the Victorian Public Service Enterprise Agreement and the Government's additional investments for service delivery.</w:t>
      </w:r>
    </w:p>
    <w:p w14:paraId="0B6D3FCA" w14:textId="03029A76" w:rsidR="004A2DF7" w:rsidRDefault="004A2DF7">
      <w:pPr>
        <w:pStyle w:val="ARfintablefootnotetabindent"/>
      </w:pPr>
      <w:r w:rsidRPr="00D62382">
        <w:t>(d)</w:t>
      </w:r>
      <w:r w:rsidRPr="00D62382">
        <w:tab/>
      </w:r>
      <w:r w:rsidRPr="003005FC">
        <w:t xml:space="preserve">Higher Grants and other transfers than the published budget primarily </w:t>
      </w:r>
      <w:proofErr w:type="gramStart"/>
      <w:r w:rsidRPr="003005FC">
        <w:t>relate</w:t>
      </w:r>
      <w:proofErr w:type="gramEnd"/>
      <w:r w:rsidRPr="003005FC">
        <w:t xml:space="preserve"> to the government’s investment in the </w:t>
      </w:r>
      <w:r w:rsidRPr="00B55528">
        <w:rPr>
          <w:rStyle w:val="Emphasis"/>
          <w:i w:val="0"/>
          <w:iCs w:val="0"/>
        </w:rPr>
        <w:t>Big Housing Build</w:t>
      </w:r>
      <w:r w:rsidRPr="00B55528">
        <w:rPr>
          <w:i/>
        </w:rPr>
        <w:t xml:space="preserve">, </w:t>
      </w:r>
      <w:r w:rsidRPr="00B55528">
        <w:rPr>
          <w:rStyle w:val="Emphasis"/>
          <w:i w:val="0"/>
          <w:iCs w:val="0"/>
        </w:rPr>
        <w:t>Regional Housing Fund</w:t>
      </w:r>
      <w:r w:rsidRPr="00B55528">
        <w:rPr>
          <w:i/>
        </w:rPr>
        <w:t xml:space="preserve"> </w:t>
      </w:r>
      <w:r w:rsidRPr="007348BD">
        <w:rPr>
          <w:iCs/>
        </w:rPr>
        <w:t>and the</w:t>
      </w:r>
      <w:r w:rsidRPr="00B55528">
        <w:rPr>
          <w:i/>
        </w:rPr>
        <w:t xml:space="preserve"> </w:t>
      </w:r>
      <w:r w:rsidRPr="00B55528">
        <w:rPr>
          <w:rStyle w:val="Emphasis"/>
          <w:i w:val="0"/>
          <w:iCs w:val="0"/>
        </w:rPr>
        <w:t>High-Rise Redevelopment program</w:t>
      </w:r>
      <w:r w:rsidRPr="00B55528">
        <w:rPr>
          <w:i/>
        </w:rPr>
        <w:t>.</w:t>
      </w:r>
    </w:p>
    <w:p w14:paraId="7934D616" w14:textId="72EB0FB4" w:rsidR="004A2DF7" w:rsidRDefault="004A2DF7">
      <w:pPr>
        <w:pStyle w:val="ARfintablefootnotetabindent"/>
      </w:pPr>
      <w:r w:rsidRPr="00D62382">
        <w:t>(e)</w:t>
      </w:r>
      <w:r w:rsidRPr="00D62382">
        <w:tab/>
      </w:r>
      <w:r w:rsidRPr="007B06C3">
        <w:t xml:space="preserve">Actual in Other operating expenses were higher than the published budget primarily reflects increased expenditure as part of the contribution from the Commonwealth including the </w:t>
      </w:r>
      <w:r w:rsidRPr="00B55528">
        <w:rPr>
          <w:rStyle w:val="Emphasis"/>
          <w:i w:val="0"/>
          <w:iCs w:val="0"/>
        </w:rPr>
        <w:t>Energy Bill Relief</w:t>
      </w:r>
      <w:r w:rsidRPr="007B06C3">
        <w:t xml:space="preserve"> concession payments, increased service contract payments, and the </w:t>
      </w:r>
      <w:r w:rsidR="007348BD">
        <w:t>g</w:t>
      </w:r>
      <w:r w:rsidRPr="007B06C3">
        <w:t xml:space="preserve">overnment policy commitments including </w:t>
      </w:r>
      <w:r w:rsidR="007348BD">
        <w:t>c</w:t>
      </w:r>
      <w:r w:rsidR="007348BD" w:rsidRPr="007B06C3">
        <w:t xml:space="preserve">ivil </w:t>
      </w:r>
      <w:r w:rsidR="007348BD">
        <w:t>c</w:t>
      </w:r>
      <w:r w:rsidRPr="007B06C3">
        <w:t>laims costs for historical institutional child abuse.</w:t>
      </w:r>
    </w:p>
    <w:p w14:paraId="309CBF1A" w14:textId="77777777" w:rsidR="004A2DF7" w:rsidRPr="0017300D" w:rsidRDefault="004A2DF7">
      <w:pPr>
        <w:pStyle w:val="Heading3"/>
      </w:pPr>
      <w:bookmarkStart w:id="295" w:name="_Ref178665052"/>
      <w:bookmarkStart w:id="296" w:name="pg220"/>
      <w:r w:rsidRPr="0017300D">
        <w:lastRenderedPageBreak/>
        <w:t xml:space="preserve">Balance sheet as </w:t>
      </w:r>
      <w:proofErr w:type="gramStart"/>
      <w:r w:rsidRPr="0017300D">
        <w:t>at</w:t>
      </w:r>
      <w:proofErr w:type="gramEnd"/>
      <w:r w:rsidRPr="0017300D">
        <w:t xml:space="preserve"> 30 June 2025</w:t>
      </w:r>
      <w:bookmarkEnd w:id="295"/>
    </w:p>
    <w:bookmarkEnd w:id="296"/>
    <w:tbl>
      <w:tblPr>
        <w:tblStyle w:val="TableGrid"/>
        <w:tblW w:w="9781" w:type="dxa"/>
        <w:tblInd w:w="-5" w:type="dxa"/>
        <w:tblLook w:val="02E0" w:firstRow="1" w:lastRow="1" w:firstColumn="1" w:lastColumn="0" w:noHBand="1" w:noVBand="0"/>
      </w:tblPr>
      <w:tblGrid>
        <w:gridCol w:w="5081"/>
        <w:gridCol w:w="1242"/>
        <w:gridCol w:w="1179"/>
        <w:gridCol w:w="1268"/>
        <w:gridCol w:w="1011"/>
      </w:tblGrid>
      <w:tr w:rsidR="00D80E8D" w:rsidRPr="0017300D" w14:paraId="75CB92F1" w14:textId="77777777" w:rsidTr="007D7DE0">
        <w:trPr>
          <w:cnfStyle w:val="100000000000" w:firstRow="1" w:lastRow="0" w:firstColumn="0" w:lastColumn="0" w:oddVBand="0" w:evenVBand="0" w:oddHBand="0" w:evenHBand="0" w:firstRowFirstColumn="0" w:firstRowLastColumn="0" w:lastRowFirstColumn="0" w:lastRowLastColumn="0"/>
          <w:tblHeader/>
        </w:trPr>
        <w:tc>
          <w:tcPr>
            <w:tcW w:w="5095" w:type="dxa"/>
            <w:tcBorders>
              <w:bottom w:val="single" w:sz="4" w:space="0" w:color="auto"/>
            </w:tcBorders>
            <w:hideMark/>
          </w:tcPr>
          <w:p w14:paraId="085C273C" w14:textId="77777777" w:rsidR="004A2DF7" w:rsidRPr="0017300D" w:rsidRDefault="004A2DF7">
            <w:pPr>
              <w:pStyle w:val="ARfintablecolhead"/>
            </w:pPr>
          </w:p>
        </w:tc>
        <w:tc>
          <w:tcPr>
            <w:cnfStyle w:val="000001000000" w:firstRow="0" w:lastRow="0" w:firstColumn="0" w:lastColumn="0" w:oddVBand="0" w:evenVBand="1" w:oddHBand="0" w:evenHBand="0" w:firstRowFirstColumn="0" w:firstRowLastColumn="0" w:lastRowFirstColumn="0" w:lastRowLastColumn="0"/>
            <w:tcW w:w="1244" w:type="dxa"/>
            <w:tcBorders>
              <w:bottom w:val="single" w:sz="4" w:space="0" w:color="auto"/>
            </w:tcBorders>
            <w:hideMark/>
          </w:tcPr>
          <w:p w14:paraId="5259D3A8" w14:textId="77777777" w:rsidR="004A2DF7" w:rsidRPr="0017300D" w:rsidRDefault="004A2DF7">
            <w:pPr>
              <w:pStyle w:val="ARfintablecolheadright"/>
            </w:pPr>
            <w:r w:rsidRPr="0017300D">
              <w:t>2024–25</w:t>
            </w:r>
          </w:p>
          <w:p w14:paraId="5B19A9F9" w14:textId="77777777" w:rsidR="004A2DF7" w:rsidRPr="0017300D" w:rsidRDefault="004A2DF7">
            <w:pPr>
              <w:pStyle w:val="ARfintablecolheadright"/>
            </w:pPr>
            <w:r w:rsidRPr="0017300D">
              <w:t>Actual</w:t>
            </w:r>
          </w:p>
          <w:p w14:paraId="029A9C6A" w14:textId="77777777" w:rsidR="004A2DF7" w:rsidRPr="0017300D" w:rsidRDefault="004A2DF7">
            <w:pPr>
              <w:pStyle w:val="ARfintablecolheadright"/>
            </w:pPr>
            <w:r w:rsidRPr="0017300D">
              <w:t>$M</w:t>
            </w:r>
          </w:p>
        </w:tc>
        <w:tc>
          <w:tcPr>
            <w:tcW w:w="1179" w:type="dxa"/>
            <w:tcBorders>
              <w:bottom w:val="single" w:sz="4" w:space="0" w:color="auto"/>
            </w:tcBorders>
            <w:hideMark/>
          </w:tcPr>
          <w:p w14:paraId="006F31A7" w14:textId="77777777" w:rsidR="004A2DF7" w:rsidRPr="0017300D"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17300D">
              <w:t>2024–25</w:t>
            </w:r>
          </w:p>
          <w:p w14:paraId="44D08E6A" w14:textId="2408BE87" w:rsidR="004A2DF7" w:rsidRPr="0017300D"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17300D">
              <w:t>Published</w:t>
            </w:r>
            <w:r w:rsidR="00A058EC">
              <w:t xml:space="preserve"> </w:t>
            </w:r>
            <w:r w:rsidRPr="0017300D">
              <w:t>budget</w:t>
            </w:r>
          </w:p>
          <w:p w14:paraId="0FF45292" w14:textId="77777777" w:rsidR="004A2DF7" w:rsidRPr="0017300D"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17300D">
              <w:t>$M</w:t>
            </w:r>
          </w:p>
        </w:tc>
        <w:tc>
          <w:tcPr>
            <w:cnfStyle w:val="000001000000" w:firstRow="0" w:lastRow="0" w:firstColumn="0" w:lastColumn="0" w:oddVBand="0" w:evenVBand="1" w:oddHBand="0" w:evenHBand="0" w:firstRowFirstColumn="0" w:firstRowLastColumn="0" w:lastRowFirstColumn="0" w:lastRowLastColumn="0"/>
            <w:tcW w:w="1260" w:type="dxa"/>
            <w:tcBorders>
              <w:bottom w:val="single" w:sz="4" w:space="0" w:color="auto"/>
            </w:tcBorders>
            <w:noWrap/>
            <w:hideMark/>
          </w:tcPr>
          <w:p w14:paraId="2B105826" w14:textId="77777777" w:rsidR="004A2DF7" w:rsidRPr="0017300D" w:rsidRDefault="004A2DF7">
            <w:pPr>
              <w:pStyle w:val="ARfintablecolheadright"/>
            </w:pPr>
            <w:r w:rsidRPr="0017300D">
              <w:t>Variation to published budget</w:t>
            </w:r>
          </w:p>
          <w:p w14:paraId="2D126A9F" w14:textId="77777777" w:rsidR="004A2DF7" w:rsidRPr="0017300D" w:rsidRDefault="004A2DF7">
            <w:pPr>
              <w:pStyle w:val="ARfintablecolheadright"/>
            </w:pPr>
            <w:r w:rsidRPr="0017300D">
              <w:t>%</w:t>
            </w:r>
          </w:p>
        </w:tc>
        <w:tc>
          <w:tcPr>
            <w:tcW w:w="1003" w:type="dxa"/>
            <w:tcBorders>
              <w:bottom w:val="single" w:sz="4" w:space="0" w:color="auto"/>
            </w:tcBorders>
            <w:noWrap/>
            <w:hideMark/>
          </w:tcPr>
          <w:p w14:paraId="36910DCF" w14:textId="77777777" w:rsidR="004A2DF7" w:rsidRPr="0017300D" w:rsidRDefault="004A2DF7">
            <w:pPr>
              <w:pStyle w:val="ARfintablecolheadcentre"/>
              <w:cnfStyle w:val="100000000000" w:firstRow="1" w:lastRow="0" w:firstColumn="0" w:lastColumn="0" w:oddVBand="0" w:evenVBand="0" w:oddHBand="0" w:evenHBand="0" w:firstRowFirstColumn="0" w:firstRowLastColumn="0" w:lastRowFirstColumn="0" w:lastRowLastColumn="0"/>
            </w:pPr>
            <w:r w:rsidRPr="0017300D">
              <w:t>Notes</w:t>
            </w:r>
          </w:p>
        </w:tc>
      </w:tr>
      <w:tr w:rsidR="007045B3" w:rsidRPr="00467396" w14:paraId="5251B76F" w14:textId="77777777" w:rsidTr="007D7DE0">
        <w:trPr>
          <w:cantSplit w:val="0"/>
        </w:trPr>
        <w:tc>
          <w:tcPr>
            <w:tcW w:w="5095" w:type="dxa"/>
            <w:tcBorders>
              <w:top w:val="single" w:sz="4" w:space="0" w:color="A6A6A6"/>
              <w:bottom w:val="single" w:sz="4" w:space="0" w:color="A6A6A6"/>
            </w:tcBorders>
            <w:vAlign w:val="center"/>
          </w:tcPr>
          <w:p w14:paraId="386D18E1" w14:textId="0C4C1660" w:rsidR="00AF57E7" w:rsidRPr="00467396" w:rsidRDefault="00AF57E7" w:rsidP="00AF57E7">
            <w:pPr>
              <w:pStyle w:val="ARfintablebodyboldcoloured"/>
            </w:pPr>
            <w:r w:rsidRPr="00A058EC">
              <w:t>Assets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A6A6A6"/>
              <w:bottom w:val="single" w:sz="4" w:space="0" w:color="A6A6A6"/>
            </w:tcBorders>
          </w:tcPr>
          <w:p w14:paraId="4C60447B" w14:textId="77777777" w:rsidR="00AF57E7" w:rsidRPr="00467396" w:rsidRDefault="00AF57E7" w:rsidP="00AF57E7">
            <w:pPr>
              <w:pStyle w:val="ARfintablebodyright"/>
            </w:pPr>
          </w:p>
        </w:tc>
        <w:tc>
          <w:tcPr>
            <w:tcW w:w="1179" w:type="dxa"/>
            <w:tcBorders>
              <w:top w:val="single" w:sz="4" w:space="0" w:color="A6A6A6"/>
              <w:bottom w:val="single" w:sz="4" w:space="0" w:color="A6A6A6"/>
            </w:tcBorders>
          </w:tcPr>
          <w:p w14:paraId="24300D3C" w14:textId="77777777" w:rsidR="00AF57E7" w:rsidRPr="00467396" w:rsidRDefault="00AF57E7" w:rsidP="00AF57E7">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A6A6A6"/>
              <w:bottom w:val="single" w:sz="4" w:space="0" w:color="A6A6A6"/>
            </w:tcBorders>
          </w:tcPr>
          <w:p w14:paraId="62787583" w14:textId="77777777" w:rsidR="00AF57E7" w:rsidRPr="00467396" w:rsidRDefault="00AF57E7" w:rsidP="00AF57E7">
            <w:pPr>
              <w:pStyle w:val="ARfintablebodyright"/>
            </w:pPr>
          </w:p>
        </w:tc>
        <w:tc>
          <w:tcPr>
            <w:tcW w:w="1003" w:type="dxa"/>
            <w:tcBorders>
              <w:top w:val="single" w:sz="4" w:space="0" w:color="A6A6A6"/>
              <w:bottom w:val="single" w:sz="4" w:space="0" w:color="A6A6A6"/>
            </w:tcBorders>
          </w:tcPr>
          <w:p w14:paraId="4240FDB4" w14:textId="77777777" w:rsidR="00AF57E7" w:rsidRPr="00467396"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pPr>
          </w:p>
        </w:tc>
      </w:tr>
      <w:tr w:rsidR="007045B3" w:rsidRPr="00467396" w14:paraId="18DC58C5" w14:textId="77777777" w:rsidTr="007D7DE0">
        <w:trPr>
          <w:cantSplit w:val="0"/>
        </w:trPr>
        <w:tc>
          <w:tcPr>
            <w:tcW w:w="5095" w:type="dxa"/>
            <w:tcBorders>
              <w:top w:val="single" w:sz="4" w:space="0" w:color="A6A6A6"/>
              <w:bottom w:val="single" w:sz="4" w:space="0" w:color="A6A6A6"/>
            </w:tcBorders>
            <w:vAlign w:val="center"/>
          </w:tcPr>
          <w:p w14:paraId="6A6AF54A" w14:textId="5E031540" w:rsidR="00AF57E7" w:rsidRPr="00467396" w:rsidRDefault="00AF57E7" w:rsidP="00AF57E7">
            <w:pPr>
              <w:pStyle w:val="ARfintablebodybold"/>
            </w:pPr>
            <w:r w:rsidRPr="0017300D">
              <w:t>Financial assets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A6A6A6"/>
              <w:bottom w:val="single" w:sz="4" w:space="0" w:color="A6A6A6"/>
            </w:tcBorders>
          </w:tcPr>
          <w:p w14:paraId="24511850" w14:textId="77777777" w:rsidR="00AF57E7" w:rsidRPr="00467396" w:rsidRDefault="00AF57E7" w:rsidP="00AF57E7">
            <w:pPr>
              <w:pStyle w:val="ARfintablebodyright"/>
            </w:pPr>
          </w:p>
        </w:tc>
        <w:tc>
          <w:tcPr>
            <w:tcW w:w="1179" w:type="dxa"/>
            <w:tcBorders>
              <w:top w:val="single" w:sz="4" w:space="0" w:color="A6A6A6"/>
              <w:bottom w:val="single" w:sz="4" w:space="0" w:color="A6A6A6"/>
            </w:tcBorders>
          </w:tcPr>
          <w:p w14:paraId="561E7546" w14:textId="77777777" w:rsidR="00AF57E7" w:rsidRPr="00467396" w:rsidRDefault="00AF57E7" w:rsidP="00AF57E7">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A6A6A6"/>
              <w:bottom w:val="single" w:sz="4" w:space="0" w:color="A6A6A6"/>
            </w:tcBorders>
          </w:tcPr>
          <w:p w14:paraId="6985F1D1" w14:textId="77777777" w:rsidR="00AF57E7" w:rsidRPr="00467396" w:rsidRDefault="00AF57E7" w:rsidP="00AF57E7">
            <w:pPr>
              <w:pStyle w:val="ARfintablebodyright"/>
            </w:pPr>
          </w:p>
        </w:tc>
        <w:tc>
          <w:tcPr>
            <w:tcW w:w="1003" w:type="dxa"/>
            <w:tcBorders>
              <w:top w:val="single" w:sz="4" w:space="0" w:color="A6A6A6"/>
              <w:bottom w:val="single" w:sz="4" w:space="0" w:color="A6A6A6"/>
            </w:tcBorders>
          </w:tcPr>
          <w:p w14:paraId="529AD4A3" w14:textId="77777777" w:rsidR="00AF57E7" w:rsidRPr="00467396" w:rsidRDefault="00AF57E7" w:rsidP="00AF57E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467396" w14:paraId="4EA04418" w14:textId="77777777" w:rsidTr="007D7DE0">
        <w:trPr>
          <w:cantSplit w:val="0"/>
        </w:trPr>
        <w:tc>
          <w:tcPr>
            <w:tcW w:w="5095" w:type="dxa"/>
            <w:tcBorders>
              <w:top w:val="single" w:sz="4" w:space="0" w:color="A6A6A6"/>
              <w:bottom w:val="single" w:sz="4" w:space="0" w:color="A6A6A6"/>
            </w:tcBorders>
            <w:hideMark/>
          </w:tcPr>
          <w:p w14:paraId="45BA793D" w14:textId="77777777" w:rsidR="004A2DF7" w:rsidRPr="00467396" w:rsidRDefault="004A2DF7">
            <w:pPr>
              <w:pStyle w:val="ARfintablebody"/>
            </w:pPr>
            <w:r w:rsidRPr="00467396">
              <w:t>Cash and deposits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A6A6A6"/>
              <w:bottom w:val="single" w:sz="4" w:space="0" w:color="A6A6A6"/>
            </w:tcBorders>
            <w:hideMark/>
          </w:tcPr>
          <w:p w14:paraId="1DC9F3AD" w14:textId="77777777" w:rsidR="004A2DF7" w:rsidRPr="00467396" w:rsidRDefault="004A2DF7">
            <w:pPr>
              <w:pStyle w:val="ARfintablebodyright"/>
            </w:pPr>
            <w:r w:rsidRPr="00467396">
              <w:t>63</w:t>
            </w:r>
          </w:p>
        </w:tc>
        <w:tc>
          <w:tcPr>
            <w:tcW w:w="1179" w:type="dxa"/>
            <w:tcBorders>
              <w:top w:val="single" w:sz="4" w:space="0" w:color="A6A6A6"/>
              <w:bottom w:val="single" w:sz="4" w:space="0" w:color="A6A6A6"/>
            </w:tcBorders>
            <w:hideMark/>
          </w:tcPr>
          <w:p w14:paraId="6795F781" w14:textId="77777777" w:rsidR="004A2DF7" w:rsidRPr="00467396"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467396">
              <w:t>60</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A6A6A6"/>
              <w:bottom w:val="single" w:sz="4" w:space="0" w:color="A6A6A6"/>
            </w:tcBorders>
            <w:hideMark/>
          </w:tcPr>
          <w:p w14:paraId="7F4510E3" w14:textId="77777777" w:rsidR="004A2DF7" w:rsidRPr="00467396" w:rsidRDefault="004A2DF7">
            <w:pPr>
              <w:pStyle w:val="ARfintablebodyright"/>
            </w:pPr>
            <w:r w:rsidRPr="00467396">
              <w:t>4.0</w:t>
            </w:r>
          </w:p>
        </w:tc>
        <w:tc>
          <w:tcPr>
            <w:tcW w:w="1003" w:type="dxa"/>
            <w:tcBorders>
              <w:top w:val="single" w:sz="4" w:space="0" w:color="A6A6A6"/>
              <w:bottom w:val="single" w:sz="4" w:space="0" w:color="A6A6A6"/>
            </w:tcBorders>
            <w:hideMark/>
          </w:tcPr>
          <w:p w14:paraId="17A5CC6E" w14:textId="77777777" w:rsidR="004A2DF7" w:rsidRPr="00467396"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467396" w14:paraId="6D502752" w14:textId="77777777" w:rsidTr="007D7DE0">
        <w:trPr>
          <w:cantSplit w:val="0"/>
        </w:trPr>
        <w:tc>
          <w:tcPr>
            <w:tcW w:w="5095" w:type="dxa"/>
            <w:tcBorders>
              <w:top w:val="single" w:sz="4" w:space="0" w:color="A6A6A6"/>
              <w:bottom w:val="single" w:sz="4" w:space="0" w:color="A6A6A6"/>
            </w:tcBorders>
            <w:hideMark/>
          </w:tcPr>
          <w:p w14:paraId="75612608" w14:textId="77777777" w:rsidR="004A2DF7" w:rsidRPr="00467396" w:rsidRDefault="004A2DF7">
            <w:pPr>
              <w:pStyle w:val="ARfintablebody"/>
            </w:pPr>
            <w:r w:rsidRPr="00467396">
              <w:t>Receivables from government</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A6A6A6"/>
              <w:bottom w:val="single" w:sz="4" w:space="0" w:color="A6A6A6"/>
            </w:tcBorders>
            <w:hideMark/>
          </w:tcPr>
          <w:p w14:paraId="2AFCEE87" w14:textId="77777777" w:rsidR="004A2DF7" w:rsidRPr="00467396" w:rsidRDefault="004A2DF7">
            <w:pPr>
              <w:pStyle w:val="ARfintablebodyright"/>
            </w:pPr>
            <w:r w:rsidRPr="00467396">
              <w:t>793</w:t>
            </w:r>
          </w:p>
        </w:tc>
        <w:tc>
          <w:tcPr>
            <w:tcW w:w="1179" w:type="dxa"/>
            <w:tcBorders>
              <w:top w:val="single" w:sz="4" w:space="0" w:color="A6A6A6"/>
              <w:bottom w:val="single" w:sz="4" w:space="0" w:color="A6A6A6"/>
            </w:tcBorders>
            <w:hideMark/>
          </w:tcPr>
          <w:p w14:paraId="445780FE" w14:textId="77777777" w:rsidR="004A2DF7" w:rsidRPr="00467396"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467396">
              <w:t>675</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A6A6A6"/>
              <w:bottom w:val="single" w:sz="4" w:space="0" w:color="A6A6A6"/>
            </w:tcBorders>
            <w:hideMark/>
          </w:tcPr>
          <w:p w14:paraId="6BFC62D8" w14:textId="77777777" w:rsidR="004A2DF7" w:rsidRPr="00467396" w:rsidRDefault="004A2DF7">
            <w:pPr>
              <w:pStyle w:val="ARfintablebodyright"/>
            </w:pPr>
            <w:r w:rsidRPr="00467396">
              <w:t>17.4</w:t>
            </w:r>
          </w:p>
        </w:tc>
        <w:tc>
          <w:tcPr>
            <w:tcW w:w="1003" w:type="dxa"/>
            <w:tcBorders>
              <w:top w:val="single" w:sz="4" w:space="0" w:color="A6A6A6"/>
              <w:bottom w:val="single" w:sz="4" w:space="0" w:color="A6A6A6"/>
            </w:tcBorders>
            <w:hideMark/>
          </w:tcPr>
          <w:p w14:paraId="4C68D8C0" w14:textId="77777777" w:rsidR="004A2DF7" w:rsidRPr="003751E4" w:rsidRDefault="004A2DF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r w:rsidRPr="003751E4">
              <w:rPr>
                <w:vertAlign w:val="superscript"/>
              </w:rPr>
              <w:t>(a)</w:t>
            </w:r>
          </w:p>
        </w:tc>
      </w:tr>
      <w:tr w:rsidR="00D80E8D" w:rsidRPr="00467396" w14:paraId="7848A66D" w14:textId="77777777" w:rsidTr="007D7DE0">
        <w:trPr>
          <w:cantSplit w:val="0"/>
        </w:trPr>
        <w:tc>
          <w:tcPr>
            <w:tcW w:w="5095" w:type="dxa"/>
            <w:tcBorders>
              <w:top w:val="single" w:sz="4" w:space="0" w:color="A6A6A6"/>
              <w:bottom w:val="single" w:sz="4" w:space="0" w:color="000000" w:themeColor="text1"/>
            </w:tcBorders>
            <w:hideMark/>
          </w:tcPr>
          <w:p w14:paraId="3701725F" w14:textId="77777777" w:rsidR="004A2DF7" w:rsidRPr="00467396" w:rsidRDefault="004A2DF7">
            <w:pPr>
              <w:pStyle w:val="ARfintablebody"/>
            </w:pPr>
            <w:r w:rsidRPr="00467396">
              <w:t>Other receivables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A6A6A6"/>
              <w:bottom w:val="single" w:sz="4" w:space="0" w:color="000000" w:themeColor="text1"/>
            </w:tcBorders>
            <w:hideMark/>
          </w:tcPr>
          <w:p w14:paraId="4D8D6A79" w14:textId="77777777" w:rsidR="004A2DF7" w:rsidRPr="00467396" w:rsidRDefault="004A2DF7">
            <w:pPr>
              <w:pStyle w:val="ARfintablebodyright"/>
            </w:pPr>
            <w:r w:rsidRPr="00467396">
              <w:t>136</w:t>
            </w:r>
          </w:p>
        </w:tc>
        <w:tc>
          <w:tcPr>
            <w:tcW w:w="1179" w:type="dxa"/>
            <w:tcBorders>
              <w:top w:val="single" w:sz="4" w:space="0" w:color="A6A6A6"/>
              <w:bottom w:val="single" w:sz="4" w:space="0" w:color="000000" w:themeColor="text1"/>
            </w:tcBorders>
            <w:hideMark/>
          </w:tcPr>
          <w:p w14:paraId="453A7421" w14:textId="77777777" w:rsidR="004A2DF7" w:rsidRPr="00467396"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467396">
              <w:t>100</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A6A6A6"/>
              <w:bottom w:val="single" w:sz="4" w:space="0" w:color="000000" w:themeColor="text1"/>
            </w:tcBorders>
            <w:hideMark/>
          </w:tcPr>
          <w:p w14:paraId="6E85FD76" w14:textId="77777777" w:rsidR="004A2DF7" w:rsidRPr="00467396" w:rsidRDefault="004A2DF7">
            <w:pPr>
              <w:pStyle w:val="ARfintablebodyright"/>
            </w:pPr>
            <w:r w:rsidRPr="00467396">
              <w:t>35.9</w:t>
            </w:r>
          </w:p>
        </w:tc>
        <w:tc>
          <w:tcPr>
            <w:tcW w:w="1003" w:type="dxa"/>
            <w:tcBorders>
              <w:top w:val="single" w:sz="4" w:space="0" w:color="A6A6A6"/>
              <w:bottom w:val="single" w:sz="4" w:space="0" w:color="000000" w:themeColor="text1"/>
            </w:tcBorders>
            <w:hideMark/>
          </w:tcPr>
          <w:p w14:paraId="25599227" w14:textId="77777777" w:rsidR="004A2DF7" w:rsidRPr="00467396"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467396" w14:paraId="5EA286B2" w14:textId="77777777" w:rsidTr="007D7DE0">
        <w:trPr>
          <w:cantSplit w:val="0"/>
        </w:trPr>
        <w:tc>
          <w:tcPr>
            <w:tcW w:w="5095" w:type="dxa"/>
            <w:tcBorders>
              <w:top w:val="single" w:sz="4" w:space="0" w:color="000000" w:themeColor="text1"/>
              <w:bottom w:val="single" w:sz="4" w:space="0" w:color="auto"/>
            </w:tcBorders>
            <w:hideMark/>
          </w:tcPr>
          <w:p w14:paraId="16258FA6" w14:textId="77777777" w:rsidR="004A2DF7" w:rsidRPr="00467396" w:rsidRDefault="004A2DF7">
            <w:pPr>
              <w:pStyle w:val="ARfintablebodybold"/>
            </w:pPr>
            <w:r w:rsidRPr="00467396">
              <w:t>Total financial assets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000000" w:themeColor="text1"/>
              <w:bottom w:val="single" w:sz="4" w:space="0" w:color="auto"/>
            </w:tcBorders>
            <w:hideMark/>
          </w:tcPr>
          <w:p w14:paraId="3A048415" w14:textId="77777777" w:rsidR="004A2DF7" w:rsidRPr="00467396" w:rsidRDefault="004A2DF7">
            <w:pPr>
              <w:pStyle w:val="ARfintablebodyrightbold"/>
            </w:pPr>
            <w:r w:rsidRPr="00467396">
              <w:t>992</w:t>
            </w:r>
          </w:p>
        </w:tc>
        <w:tc>
          <w:tcPr>
            <w:tcW w:w="1179" w:type="dxa"/>
            <w:tcBorders>
              <w:top w:val="single" w:sz="4" w:space="0" w:color="000000" w:themeColor="text1"/>
              <w:bottom w:val="single" w:sz="4" w:space="0" w:color="auto"/>
            </w:tcBorders>
            <w:hideMark/>
          </w:tcPr>
          <w:p w14:paraId="5A4BFCFC" w14:textId="77777777" w:rsidR="004A2DF7" w:rsidRPr="00467396"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467396">
              <w:t>836</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000000" w:themeColor="text1"/>
              <w:bottom w:val="single" w:sz="4" w:space="0" w:color="auto"/>
            </w:tcBorders>
            <w:hideMark/>
          </w:tcPr>
          <w:p w14:paraId="303523D8" w14:textId="77777777" w:rsidR="004A2DF7" w:rsidRPr="00467396" w:rsidRDefault="004A2DF7">
            <w:pPr>
              <w:pStyle w:val="ARfintablebodyrightbold"/>
            </w:pPr>
            <w:r w:rsidRPr="00467396">
              <w:t>18.7</w:t>
            </w:r>
          </w:p>
        </w:tc>
        <w:tc>
          <w:tcPr>
            <w:tcW w:w="1003" w:type="dxa"/>
            <w:tcBorders>
              <w:top w:val="single" w:sz="4" w:space="0" w:color="000000" w:themeColor="text1"/>
              <w:bottom w:val="single" w:sz="4" w:space="0" w:color="auto"/>
            </w:tcBorders>
            <w:hideMark/>
          </w:tcPr>
          <w:p w14:paraId="01ACD636" w14:textId="77777777" w:rsidR="004A2DF7" w:rsidRPr="00467396"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4A2DF7" w:rsidRPr="00467396" w14:paraId="1AC3C339" w14:textId="77777777" w:rsidTr="00AF57E7">
        <w:trPr>
          <w:cantSplit w:val="0"/>
        </w:trPr>
        <w:tc>
          <w:tcPr>
            <w:tcW w:w="9781" w:type="dxa"/>
            <w:gridSpan w:val="5"/>
            <w:tcBorders>
              <w:top w:val="single" w:sz="4" w:space="0" w:color="auto"/>
              <w:bottom w:val="single" w:sz="2" w:space="0" w:color="000000" w:themeColor="text1"/>
            </w:tcBorders>
          </w:tcPr>
          <w:p w14:paraId="1C163389" w14:textId="77777777" w:rsidR="004A2DF7" w:rsidRPr="00467396" w:rsidRDefault="004A2DF7">
            <w:pPr>
              <w:pStyle w:val="ARfintablebodybold"/>
              <w:rPr>
                <w:b w:val="0"/>
                <w:bCs w:val="0"/>
              </w:rPr>
            </w:pPr>
            <w:r w:rsidRPr="00467396">
              <w:t>Non-financial assets</w:t>
            </w:r>
          </w:p>
        </w:tc>
      </w:tr>
      <w:tr w:rsidR="00D80E8D" w:rsidRPr="00467396" w14:paraId="358CF268" w14:textId="77777777" w:rsidTr="007D7DE0">
        <w:trPr>
          <w:cantSplit w:val="0"/>
        </w:trPr>
        <w:tc>
          <w:tcPr>
            <w:tcW w:w="5095" w:type="dxa"/>
            <w:tcBorders>
              <w:top w:val="single" w:sz="2" w:space="0" w:color="000000" w:themeColor="text1"/>
              <w:bottom w:val="single" w:sz="4" w:space="0" w:color="A6A6A6"/>
            </w:tcBorders>
            <w:hideMark/>
          </w:tcPr>
          <w:p w14:paraId="63251AE0" w14:textId="77777777" w:rsidR="004A2DF7" w:rsidRPr="00467396" w:rsidRDefault="004A2DF7">
            <w:pPr>
              <w:pStyle w:val="ARfintablebody"/>
            </w:pPr>
            <w:r w:rsidRPr="00467396">
              <w:t>Non-financial assets classified as held for sale including disposal group assets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2" w:space="0" w:color="000000" w:themeColor="text1"/>
              <w:bottom w:val="single" w:sz="4" w:space="0" w:color="A6A6A6"/>
            </w:tcBorders>
            <w:hideMark/>
          </w:tcPr>
          <w:p w14:paraId="2184F3EB" w14:textId="77777777" w:rsidR="004A2DF7" w:rsidRPr="00467396" w:rsidRDefault="004A2DF7">
            <w:pPr>
              <w:pStyle w:val="ARfintablebodyright"/>
            </w:pPr>
            <w:r w:rsidRPr="00467396">
              <w:t>0</w:t>
            </w:r>
          </w:p>
        </w:tc>
        <w:tc>
          <w:tcPr>
            <w:tcW w:w="1179" w:type="dxa"/>
            <w:tcBorders>
              <w:top w:val="single" w:sz="2" w:space="0" w:color="000000" w:themeColor="text1"/>
              <w:bottom w:val="single" w:sz="4" w:space="0" w:color="A6A6A6"/>
            </w:tcBorders>
            <w:hideMark/>
          </w:tcPr>
          <w:p w14:paraId="048E5178" w14:textId="77777777" w:rsidR="004A2DF7" w:rsidRPr="00467396"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467396">
              <w:t>2</w:t>
            </w:r>
          </w:p>
        </w:tc>
        <w:tc>
          <w:tcPr>
            <w:cnfStyle w:val="000001000000" w:firstRow="0" w:lastRow="0" w:firstColumn="0" w:lastColumn="0" w:oddVBand="0" w:evenVBand="1" w:oddHBand="0" w:evenHBand="0" w:firstRowFirstColumn="0" w:firstRowLastColumn="0" w:lastRowFirstColumn="0" w:lastRowLastColumn="0"/>
            <w:tcW w:w="1260" w:type="dxa"/>
            <w:tcBorders>
              <w:top w:val="single" w:sz="2" w:space="0" w:color="000000" w:themeColor="text1"/>
              <w:bottom w:val="single" w:sz="4" w:space="0" w:color="A6A6A6"/>
            </w:tcBorders>
            <w:hideMark/>
          </w:tcPr>
          <w:p w14:paraId="62D82CED" w14:textId="77777777" w:rsidR="004A2DF7" w:rsidRPr="00467396" w:rsidRDefault="004A2DF7">
            <w:pPr>
              <w:pStyle w:val="ARfintablebodyright"/>
            </w:pPr>
            <w:r w:rsidRPr="00467396">
              <w:t>(82.1)</w:t>
            </w:r>
          </w:p>
        </w:tc>
        <w:tc>
          <w:tcPr>
            <w:tcW w:w="1003" w:type="dxa"/>
            <w:tcBorders>
              <w:top w:val="single" w:sz="2" w:space="0" w:color="000000" w:themeColor="text1"/>
              <w:bottom w:val="single" w:sz="4" w:space="0" w:color="A6A6A6"/>
            </w:tcBorders>
            <w:hideMark/>
          </w:tcPr>
          <w:p w14:paraId="1A40731D" w14:textId="77777777" w:rsidR="004A2DF7" w:rsidRPr="00467396"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467396" w14:paraId="498B9441" w14:textId="77777777" w:rsidTr="007D7DE0">
        <w:trPr>
          <w:cantSplit w:val="0"/>
        </w:trPr>
        <w:tc>
          <w:tcPr>
            <w:tcW w:w="5095" w:type="dxa"/>
            <w:tcBorders>
              <w:top w:val="single" w:sz="4" w:space="0" w:color="A6A6A6"/>
              <w:bottom w:val="single" w:sz="4" w:space="0" w:color="A6A6A6"/>
            </w:tcBorders>
            <w:hideMark/>
          </w:tcPr>
          <w:p w14:paraId="7B3C5592" w14:textId="77777777" w:rsidR="004A2DF7" w:rsidRPr="00467396" w:rsidRDefault="004A2DF7">
            <w:pPr>
              <w:pStyle w:val="ARfintablebody"/>
            </w:pPr>
            <w:r w:rsidRPr="00467396">
              <w:t>Property, plant and equipment</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A6A6A6"/>
              <w:bottom w:val="single" w:sz="4" w:space="0" w:color="A6A6A6"/>
            </w:tcBorders>
            <w:hideMark/>
          </w:tcPr>
          <w:p w14:paraId="54ABC16B" w14:textId="77777777" w:rsidR="004A2DF7" w:rsidRPr="00467396" w:rsidRDefault="004A2DF7">
            <w:pPr>
              <w:pStyle w:val="ARfintablebodyright"/>
            </w:pPr>
            <w:r w:rsidRPr="00467396">
              <w:t>1,621</w:t>
            </w:r>
          </w:p>
        </w:tc>
        <w:tc>
          <w:tcPr>
            <w:tcW w:w="1179" w:type="dxa"/>
            <w:tcBorders>
              <w:top w:val="single" w:sz="4" w:space="0" w:color="A6A6A6"/>
              <w:bottom w:val="single" w:sz="4" w:space="0" w:color="A6A6A6"/>
            </w:tcBorders>
            <w:hideMark/>
          </w:tcPr>
          <w:p w14:paraId="5C27F79E" w14:textId="77777777" w:rsidR="004A2DF7" w:rsidRPr="00467396"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467396">
              <w:t>1,637</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A6A6A6"/>
              <w:bottom w:val="single" w:sz="4" w:space="0" w:color="A6A6A6"/>
            </w:tcBorders>
            <w:hideMark/>
          </w:tcPr>
          <w:p w14:paraId="045348C3" w14:textId="77777777" w:rsidR="004A2DF7" w:rsidRPr="00467396" w:rsidRDefault="004A2DF7">
            <w:pPr>
              <w:pStyle w:val="ARfintablebodyright"/>
            </w:pPr>
            <w:r w:rsidRPr="00467396">
              <w:t>(1.0)</w:t>
            </w:r>
          </w:p>
        </w:tc>
        <w:tc>
          <w:tcPr>
            <w:tcW w:w="1003" w:type="dxa"/>
            <w:tcBorders>
              <w:top w:val="single" w:sz="4" w:space="0" w:color="A6A6A6"/>
              <w:bottom w:val="single" w:sz="4" w:space="0" w:color="A6A6A6"/>
            </w:tcBorders>
            <w:hideMark/>
          </w:tcPr>
          <w:p w14:paraId="0A1B0496" w14:textId="77777777" w:rsidR="004A2DF7" w:rsidRPr="00467396"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467396" w14:paraId="1811FD34" w14:textId="77777777" w:rsidTr="007D7DE0">
        <w:trPr>
          <w:cantSplit w:val="0"/>
        </w:trPr>
        <w:tc>
          <w:tcPr>
            <w:tcW w:w="5095" w:type="dxa"/>
            <w:tcBorders>
              <w:top w:val="single" w:sz="4" w:space="0" w:color="A6A6A6"/>
              <w:bottom w:val="single" w:sz="4" w:space="0" w:color="A6A6A6"/>
            </w:tcBorders>
            <w:hideMark/>
          </w:tcPr>
          <w:p w14:paraId="0AC37070" w14:textId="77777777" w:rsidR="004A2DF7" w:rsidRPr="00467396" w:rsidRDefault="004A2DF7">
            <w:pPr>
              <w:pStyle w:val="ARfintablebody"/>
            </w:pPr>
            <w:r w:rsidRPr="00467396">
              <w:t>Intangible assets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A6A6A6"/>
              <w:bottom w:val="single" w:sz="4" w:space="0" w:color="A6A6A6"/>
            </w:tcBorders>
            <w:hideMark/>
          </w:tcPr>
          <w:p w14:paraId="06BD1E9B" w14:textId="77777777" w:rsidR="004A2DF7" w:rsidRPr="00467396" w:rsidRDefault="004A2DF7">
            <w:pPr>
              <w:pStyle w:val="ARfintablebodyright"/>
            </w:pPr>
            <w:r w:rsidRPr="00467396">
              <w:t>39</w:t>
            </w:r>
          </w:p>
        </w:tc>
        <w:tc>
          <w:tcPr>
            <w:tcW w:w="1179" w:type="dxa"/>
            <w:tcBorders>
              <w:top w:val="single" w:sz="4" w:space="0" w:color="A6A6A6"/>
              <w:bottom w:val="single" w:sz="4" w:space="0" w:color="A6A6A6"/>
            </w:tcBorders>
            <w:hideMark/>
          </w:tcPr>
          <w:p w14:paraId="204BD057" w14:textId="77777777" w:rsidR="004A2DF7" w:rsidRPr="00467396"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467396">
              <w:t>27</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A6A6A6"/>
              <w:bottom w:val="single" w:sz="4" w:space="0" w:color="A6A6A6"/>
            </w:tcBorders>
            <w:hideMark/>
          </w:tcPr>
          <w:p w14:paraId="17845DA5" w14:textId="77777777" w:rsidR="004A2DF7" w:rsidRPr="00467396" w:rsidRDefault="004A2DF7">
            <w:pPr>
              <w:pStyle w:val="ARfintablebodyright"/>
            </w:pPr>
            <w:r w:rsidRPr="00467396">
              <w:t>44.3</w:t>
            </w:r>
          </w:p>
        </w:tc>
        <w:tc>
          <w:tcPr>
            <w:tcW w:w="1003" w:type="dxa"/>
            <w:tcBorders>
              <w:top w:val="single" w:sz="4" w:space="0" w:color="A6A6A6"/>
              <w:bottom w:val="single" w:sz="4" w:space="0" w:color="A6A6A6"/>
            </w:tcBorders>
            <w:hideMark/>
          </w:tcPr>
          <w:p w14:paraId="4C0933B8" w14:textId="77777777" w:rsidR="004A2DF7" w:rsidRPr="00467396"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2917EA" w14:paraId="270EC1FE" w14:textId="77777777" w:rsidTr="007D7DE0">
        <w:trPr>
          <w:cantSplit w:val="0"/>
        </w:trPr>
        <w:tc>
          <w:tcPr>
            <w:tcW w:w="5095" w:type="dxa"/>
            <w:tcBorders>
              <w:top w:val="single" w:sz="4" w:space="0" w:color="A6A6A6"/>
              <w:bottom w:val="single" w:sz="4" w:space="0" w:color="000000" w:themeColor="text1"/>
            </w:tcBorders>
            <w:hideMark/>
          </w:tcPr>
          <w:p w14:paraId="052B61D3" w14:textId="77777777" w:rsidR="004A2DF7" w:rsidRPr="00467396" w:rsidRDefault="004A2DF7">
            <w:pPr>
              <w:pStyle w:val="ARfintablebody"/>
            </w:pPr>
            <w:r w:rsidRPr="00467396">
              <w:t>Other</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A6A6A6"/>
              <w:bottom w:val="single" w:sz="4" w:space="0" w:color="000000" w:themeColor="text1"/>
            </w:tcBorders>
            <w:hideMark/>
          </w:tcPr>
          <w:p w14:paraId="6C549C63" w14:textId="77777777" w:rsidR="004A2DF7" w:rsidRPr="00467396" w:rsidRDefault="004A2DF7">
            <w:pPr>
              <w:pStyle w:val="ARfintablebodyright"/>
            </w:pPr>
            <w:r w:rsidRPr="00467396">
              <w:t>11</w:t>
            </w:r>
          </w:p>
        </w:tc>
        <w:tc>
          <w:tcPr>
            <w:tcW w:w="1179" w:type="dxa"/>
            <w:tcBorders>
              <w:top w:val="single" w:sz="4" w:space="0" w:color="A6A6A6"/>
              <w:bottom w:val="single" w:sz="4" w:space="0" w:color="000000" w:themeColor="text1"/>
            </w:tcBorders>
            <w:hideMark/>
          </w:tcPr>
          <w:p w14:paraId="05007FC6" w14:textId="77777777" w:rsidR="004A2DF7" w:rsidRPr="00467396"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467396">
              <w:t>6</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A6A6A6"/>
              <w:bottom w:val="single" w:sz="4" w:space="0" w:color="000000" w:themeColor="text1"/>
            </w:tcBorders>
            <w:hideMark/>
          </w:tcPr>
          <w:p w14:paraId="7F328181" w14:textId="77777777" w:rsidR="004A2DF7" w:rsidRPr="00467396" w:rsidRDefault="004A2DF7">
            <w:pPr>
              <w:pStyle w:val="ARfintablebodyright"/>
            </w:pPr>
            <w:r w:rsidRPr="00467396">
              <w:t>79.0</w:t>
            </w:r>
          </w:p>
        </w:tc>
        <w:tc>
          <w:tcPr>
            <w:tcW w:w="1003" w:type="dxa"/>
            <w:tcBorders>
              <w:top w:val="single" w:sz="4" w:space="0" w:color="A6A6A6"/>
              <w:bottom w:val="single" w:sz="4" w:space="0" w:color="000000" w:themeColor="text1"/>
            </w:tcBorders>
            <w:hideMark/>
          </w:tcPr>
          <w:p w14:paraId="4F9F2301" w14:textId="77777777" w:rsidR="004A2DF7" w:rsidRPr="00467396"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30FB8" w14:paraId="4E1992C5" w14:textId="77777777" w:rsidTr="007D7DE0">
        <w:trPr>
          <w:cantSplit w:val="0"/>
        </w:trPr>
        <w:tc>
          <w:tcPr>
            <w:tcW w:w="5095" w:type="dxa"/>
            <w:tcBorders>
              <w:top w:val="single" w:sz="4" w:space="0" w:color="000000" w:themeColor="text1"/>
              <w:bottom w:val="single" w:sz="4" w:space="0" w:color="000000" w:themeColor="text1"/>
            </w:tcBorders>
            <w:hideMark/>
          </w:tcPr>
          <w:p w14:paraId="7C3504F0" w14:textId="77777777" w:rsidR="004A2DF7" w:rsidRPr="00D30FB8" w:rsidRDefault="004A2DF7">
            <w:pPr>
              <w:pStyle w:val="ARfintablebodybold"/>
            </w:pPr>
            <w:r w:rsidRPr="00D30FB8">
              <w:t>Total non-financial assets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000000" w:themeColor="text1"/>
              <w:bottom w:val="single" w:sz="4" w:space="0" w:color="000000" w:themeColor="text1"/>
            </w:tcBorders>
            <w:hideMark/>
          </w:tcPr>
          <w:p w14:paraId="190B58F6" w14:textId="77777777" w:rsidR="004A2DF7" w:rsidRPr="00D30FB8" w:rsidRDefault="004A2DF7">
            <w:pPr>
              <w:pStyle w:val="ARfintablebodyrightbold"/>
            </w:pPr>
            <w:r w:rsidRPr="00D30FB8">
              <w:t>1,671</w:t>
            </w:r>
          </w:p>
        </w:tc>
        <w:tc>
          <w:tcPr>
            <w:tcW w:w="1179" w:type="dxa"/>
            <w:tcBorders>
              <w:top w:val="single" w:sz="4" w:space="0" w:color="000000" w:themeColor="text1"/>
              <w:bottom w:val="single" w:sz="4" w:space="0" w:color="000000" w:themeColor="text1"/>
            </w:tcBorders>
            <w:hideMark/>
          </w:tcPr>
          <w:p w14:paraId="63608CE3" w14:textId="77777777" w:rsidR="004A2DF7" w:rsidRPr="00D30FB8"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D30FB8">
              <w:t>1,673</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000000" w:themeColor="text1"/>
              <w:bottom w:val="single" w:sz="4" w:space="0" w:color="000000" w:themeColor="text1"/>
            </w:tcBorders>
            <w:hideMark/>
          </w:tcPr>
          <w:p w14:paraId="0A09D129" w14:textId="77777777" w:rsidR="004A2DF7" w:rsidRPr="00D30FB8" w:rsidRDefault="004A2DF7">
            <w:pPr>
              <w:pStyle w:val="ARfintablebodyrightbold"/>
            </w:pPr>
            <w:r w:rsidRPr="00D30FB8">
              <w:t>(0.1)</w:t>
            </w:r>
          </w:p>
        </w:tc>
        <w:tc>
          <w:tcPr>
            <w:tcW w:w="1003" w:type="dxa"/>
            <w:tcBorders>
              <w:top w:val="single" w:sz="4" w:space="0" w:color="000000" w:themeColor="text1"/>
              <w:bottom w:val="single" w:sz="4" w:space="0" w:color="000000" w:themeColor="text1"/>
            </w:tcBorders>
            <w:hideMark/>
          </w:tcPr>
          <w:p w14:paraId="35A9CC90" w14:textId="77777777" w:rsidR="004A2DF7" w:rsidRPr="00D30FB8"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30FB8" w14:paraId="312C478F" w14:textId="77777777" w:rsidTr="007D7DE0">
        <w:trPr>
          <w:cantSplit w:val="0"/>
        </w:trPr>
        <w:tc>
          <w:tcPr>
            <w:tcW w:w="5095" w:type="dxa"/>
            <w:tcBorders>
              <w:top w:val="single" w:sz="4" w:space="0" w:color="000000" w:themeColor="text1"/>
              <w:bottom w:val="single" w:sz="4" w:space="0" w:color="auto"/>
            </w:tcBorders>
            <w:hideMark/>
          </w:tcPr>
          <w:p w14:paraId="46205CF8" w14:textId="77777777" w:rsidR="004A2DF7" w:rsidRPr="00D30FB8" w:rsidRDefault="004A2DF7">
            <w:pPr>
              <w:pStyle w:val="ARfintablebodybold"/>
            </w:pPr>
            <w:r w:rsidRPr="00D30FB8">
              <w:t>Total assets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000000" w:themeColor="text1"/>
              <w:bottom w:val="single" w:sz="4" w:space="0" w:color="auto"/>
            </w:tcBorders>
            <w:hideMark/>
          </w:tcPr>
          <w:p w14:paraId="629B61EB" w14:textId="77777777" w:rsidR="004A2DF7" w:rsidRPr="00D30FB8" w:rsidRDefault="004A2DF7">
            <w:pPr>
              <w:pStyle w:val="ARfintablebodyrightbold"/>
            </w:pPr>
            <w:r w:rsidRPr="00D30FB8">
              <w:t>2,663</w:t>
            </w:r>
          </w:p>
        </w:tc>
        <w:tc>
          <w:tcPr>
            <w:tcW w:w="1179" w:type="dxa"/>
            <w:tcBorders>
              <w:top w:val="single" w:sz="4" w:space="0" w:color="000000" w:themeColor="text1"/>
              <w:bottom w:val="single" w:sz="4" w:space="0" w:color="auto"/>
            </w:tcBorders>
            <w:hideMark/>
          </w:tcPr>
          <w:p w14:paraId="7E086DAD" w14:textId="77777777" w:rsidR="004A2DF7" w:rsidRPr="00D30FB8"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D30FB8">
              <w:t>2,509</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000000" w:themeColor="text1"/>
              <w:bottom w:val="single" w:sz="4" w:space="0" w:color="auto"/>
            </w:tcBorders>
            <w:hideMark/>
          </w:tcPr>
          <w:p w14:paraId="246488F9" w14:textId="77777777" w:rsidR="004A2DF7" w:rsidRPr="00D30FB8" w:rsidRDefault="004A2DF7">
            <w:pPr>
              <w:pStyle w:val="ARfintablebodyrightbold"/>
            </w:pPr>
            <w:r w:rsidRPr="00D30FB8">
              <w:t>6.2</w:t>
            </w:r>
          </w:p>
        </w:tc>
        <w:tc>
          <w:tcPr>
            <w:tcW w:w="1003" w:type="dxa"/>
            <w:tcBorders>
              <w:top w:val="single" w:sz="4" w:space="0" w:color="000000" w:themeColor="text1"/>
              <w:bottom w:val="single" w:sz="4" w:space="0" w:color="auto"/>
            </w:tcBorders>
            <w:hideMark/>
          </w:tcPr>
          <w:p w14:paraId="3FE78D80" w14:textId="77777777" w:rsidR="004A2DF7" w:rsidRPr="00D30FB8"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7045B3" w:rsidRPr="00D30FB8" w14:paraId="4274A7F4" w14:textId="77777777" w:rsidTr="007D7DE0">
        <w:trPr>
          <w:cantSplit w:val="0"/>
        </w:trPr>
        <w:tc>
          <w:tcPr>
            <w:tcW w:w="5095" w:type="dxa"/>
            <w:tcBorders>
              <w:top w:val="single" w:sz="4" w:space="0" w:color="BFBFBF" w:themeColor="background1" w:themeShade="BF"/>
              <w:bottom w:val="single" w:sz="4" w:space="0" w:color="A6A6A6"/>
            </w:tcBorders>
          </w:tcPr>
          <w:p w14:paraId="4E2E2340" w14:textId="48FCD00E" w:rsidR="00AF57E7" w:rsidRPr="00D30FB8" w:rsidRDefault="00D80E8D" w:rsidP="00D80E8D">
            <w:pPr>
              <w:pStyle w:val="ARfintablebodyboldcoloured"/>
            </w:pPr>
            <w:r w:rsidRPr="00D30FB8">
              <w:t>Liabilities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BFBFBF" w:themeColor="background1" w:themeShade="BF"/>
              <w:bottom w:val="single" w:sz="4" w:space="0" w:color="A6A6A6"/>
            </w:tcBorders>
          </w:tcPr>
          <w:p w14:paraId="5B0B2863" w14:textId="77777777" w:rsidR="00AF57E7" w:rsidRPr="00D30FB8" w:rsidRDefault="00AF57E7">
            <w:pPr>
              <w:pStyle w:val="ARfintablebodyright"/>
            </w:pPr>
          </w:p>
        </w:tc>
        <w:tc>
          <w:tcPr>
            <w:tcW w:w="1179" w:type="dxa"/>
            <w:tcBorders>
              <w:top w:val="single" w:sz="4" w:space="0" w:color="BFBFBF" w:themeColor="background1" w:themeShade="BF"/>
              <w:bottom w:val="single" w:sz="4" w:space="0" w:color="A6A6A6"/>
            </w:tcBorders>
          </w:tcPr>
          <w:p w14:paraId="56194B82" w14:textId="77777777" w:rsidR="00AF57E7" w:rsidRPr="00D30FB8" w:rsidRDefault="00AF57E7">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BFBFBF" w:themeColor="background1" w:themeShade="BF"/>
              <w:bottom w:val="single" w:sz="4" w:space="0" w:color="A6A6A6"/>
            </w:tcBorders>
          </w:tcPr>
          <w:p w14:paraId="2372A97F" w14:textId="77777777" w:rsidR="00AF57E7" w:rsidRPr="00D30FB8" w:rsidRDefault="00AF57E7">
            <w:pPr>
              <w:pStyle w:val="ARfintablebodyright"/>
            </w:pPr>
          </w:p>
        </w:tc>
        <w:tc>
          <w:tcPr>
            <w:tcW w:w="1003" w:type="dxa"/>
            <w:tcBorders>
              <w:top w:val="single" w:sz="4" w:space="0" w:color="BFBFBF" w:themeColor="background1" w:themeShade="BF"/>
              <w:bottom w:val="single" w:sz="4" w:space="0" w:color="A6A6A6"/>
            </w:tcBorders>
          </w:tcPr>
          <w:p w14:paraId="00DD3CDD" w14:textId="77777777" w:rsidR="00AF57E7" w:rsidRPr="003751E4" w:rsidRDefault="00AF57E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p>
        </w:tc>
      </w:tr>
      <w:tr w:rsidR="00D80E8D" w:rsidRPr="00D30FB8" w14:paraId="585EC55C" w14:textId="77777777" w:rsidTr="007D7DE0">
        <w:trPr>
          <w:cantSplit w:val="0"/>
        </w:trPr>
        <w:tc>
          <w:tcPr>
            <w:tcW w:w="5095" w:type="dxa"/>
            <w:tcBorders>
              <w:top w:val="single" w:sz="4" w:space="0" w:color="BFBFBF" w:themeColor="background1" w:themeShade="BF"/>
              <w:bottom w:val="single" w:sz="4" w:space="0" w:color="A6A6A6"/>
            </w:tcBorders>
            <w:hideMark/>
          </w:tcPr>
          <w:p w14:paraId="5F897B21" w14:textId="77777777" w:rsidR="004A2DF7" w:rsidRPr="00D30FB8" w:rsidRDefault="004A2DF7">
            <w:pPr>
              <w:pStyle w:val="ARfintablebody"/>
            </w:pPr>
            <w:r w:rsidRPr="00D30FB8">
              <w:t>Payables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BFBFBF" w:themeColor="background1" w:themeShade="BF"/>
              <w:bottom w:val="single" w:sz="4" w:space="0" w:color="A6A6A6"/>
            </w:tcBorders>
            <w:hideMark/>
          </w:tcPr>
          <w:p w14:paraId="38457B5A" w14:textId="77777777" w:rsidR="004A2DF7" w:rsidRPr="00D30FB8" w:rsidRDefault="004A2DF7">
            <w:pPr>
              <w:pStyle w:val="ARfintablebodyright"/>
            </w:pPr>
            <w:r w:rsidRPr="00D30FB8">
              <w:t>332</w:t>
            </w:r>
          </w:p>
        </w:tc>
        <w:tc>
          <w:tcPr>
            <w:tcW w:w="1179" w:type="dxa"/>
            <w:tcBorders>
              <w:top w:val="single" w:sz="4" w:space="0" w:color="BFBFBF" w:themeColor="background1" w:themeShade="BF"/>
              <w:bottom w:val="single" w:sz="4" w:space="0" w:color="A6A6A6"/>
            </w:tcBorders>
            <w:hideMark/>
          </w:tcPr>
          <w:p w14:paraId="5C9A07C8" w14:textId="77777777" w:rsidR="004A2DF7" w:rsidRPr="00D30FB8"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30FB8">
              <w:t>377</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BFBFBF" w:themeColor="background1" w:themeShade="BF"/>
              <w:bottom w:val="single" w:sz="4" w:space="0" w:color="A6A6A6"/>
            </w:tcBorders>
            <w:hideMark/>
          </w:tcPr>
          <w:p w14:paraId="1C296690" w14:textId="77777777" w:rsidR="004A2DF7" w:rsidRPr="00D30FB8" w:rsidRDefault="004A2DF7">
            <w:pPr>
              <w:pStyle w:val="ARfintablebodyright"/>
            </w:pPr>
            <w:r w:rsidRPr="00D30FB8">
              <w:t>(11.9)</w:t>
            </w:r>
          </w:p>
        </w:tc>
        <w:tc>
          <w:tcPr>
            <w:tcW w:w="1003" w:type="dxa"/>
            <w:tcBorders>
              <w:top w:val="single" w:sz="4" w:space="0" w:color="BFBFBF" w:themeColor="background1" w:themeShade="BF"/>
              <w:bottom w:val="single" w:sz="4" w:space="0" w:color="A6A6A6"/>
            </w:tcBorders>
            <w:hideMark/>
          </w:tcPr>
          <w:p w14:paraId="7B507328" w14:textId="77777777" w:rsidR="004A2DF7" w:rsidRPr="003751E4" w:rsidRDefault="004A2DF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r w:rsidRPr="003751E4">
              <w:rPr>
                <w:vertAlign w:val="superscript"/>
              </w:rPr>
              <w:t>(b)</w:t>
            </w:r>
          </w:p>
        </w:tc>
      </w:tr>
      <w:tr w:rsidR="00D80E8D" w:rsidRPr="00D30FB8" w14:paraId="01CDDCA7" w14:textId="77777777" w:rsidTr="007D7DE0">
        <w:trPr>
          <w:cantSplit w:val="0"/>
        </w:trPr>
        <w:tc>
          <w:tcPr>
            <w:tcW w:w="5095" w:type="dxa"/>
            <w:tcBorders>
              <w:top w:val="single" w:sz="4" w:space="0" w:color="A6A6A6"/>
              <w:bottom w:val="single" w:sz="4" w:space="0" w:color="A6A6A6"/>
            </w:tcBorders>
          </w:tcPr>
          <w:p w14:paraId="46C62FC4" w14:textId="77777777" w:rsidR="004A2DF7" w:rsidRPr="00D30FB8" w:rsidRDefault="004A2DF7">
            <w:pPr>
              <w:pStyle w:val="ARfintablebody"/>
            </w:pPr>
            <w:r w:rsidRPr="00D30FB8">
              <w:t>Borrowings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A6A6A6"/>
              <w:bottom w:val="single" w:sz="4" w:space="0" w:color="A6A6A6"/>
            </w:tcBorders>
          </w:tcPr>
          <w:p w14:paraId="3C2347C6" w14:textId="77777777" w:rsidR="004A2DF7" w:rsidRPr="00D30FB8" w:rsidRDefault="004A2DF7">
            <w:pPr>
              <w:pStyle w:val="ARfintablebodyright"/>
            </w:pPr>
            <w:r w:rsidRPr="00D30FB8">
              <w:t>42</w:t>
            </w:r>
          </w:p>
        </w:tc>
        <w:tc>
          <w:tcPr>
            <w:tcW w:w="1179" w:type="dxa"/>
            <w:tcBorders>
              <w:top w:val="single" w:sz="4" w:space="0" w:color="A6A6A6"/>
              <w:bottom w:val="single" w:sz="4" w:space="0" w:color="A6A6A6"/>
            </w:tcBorders>
          </w:tcPr>
          <w:p w14:paraId="30853B0A" w14:textId="77777777" w:rsidR="004A2DF7" w:rsidRPr="00D30FB8"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30FB8">
              <w:t>42</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A6A6A6"/>
              <w:bottom w:val="single" w:sz="4" w:space="0" w:color="A6A6A6"/>
            </w:tcBorders>
          </w:tcPr>
          <w:p w14:paraId="0236CCBF" w14:textId="77777777" w:rsidR="004A2DF7" w:rsidRPr="00D30FB8" w:rsidRDefault="004A2DF7">
            <w:pPr>
              <w:pStyle w:val="ARfintablebodyright"/>
            </w:pPr>
            <w:r w:rsidRPr="00D30FB8">
              <w:t>0.6</w:t>
            </w:r>
          </w:p>
        </w:tc>
        <w:tc>
          <w:tcPr>
            <w:tcW w:w="1003" w:type="dxa"/>
            <w:tcBorders>
              <w:top w:val="single" w:sz="4" w:space="0" w:color="A6A6A6"/>
              <w:bottom w:val="single" w:sz="4" w:space="0" w:color="A6A6A6"/>
            </w:tcBorders>
          </w:tcPr>
          <w:p w14:paraId="0B597443" w14:textId="77777777" w:rsidR="004A2DF7" w:rsidRPr="003751E4" w:rsidRDefault="004A2DF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p>
        </w:tc>
      </w:tr>
      <w:tr w:rsidR="00D80E8D" w:rsidRPr="00D30FB8" w14:paraId="3FEB270F" w14:textId="77777777" w:rsidTr="007D7DE0">
        <w:trPr>
          <w:cantSplit w:val="0"/>
        </w:trPr>
        <w:tc>
          <w:tcPr>
            <w:tcW w:w="5095" w:type="dxa"/>
            <w:tcBorders>
              <w:top w:val="single" w:sz="4" w:space="0" w:color="A6A6A6"/>
              <w:bottom w:val="single" w:sz="4" w:space="0" w:color="000000" w:themeColor="text1"/>
            </w:tcBorders>
            <w:hideMark/>
          </w:tcPr>
          <w:p w14:paraId="5196A084" w14:textId="77777777" w:rsidR="004A2DF7" w:rsidRPr="00D30FB8" w:rsidRDefault="004A2DF7">
            <w:pPr>
              <w:pStyle w:val="ARfintablebody"/>
            </w:pPr>
            <w:r w:rsidRPr="00D30FB8">
              <w:t>Provisions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A6A6A6"/>
              <w:bottom w:val="single" w:sz="4" w:space="0" w:color="000000" w:themeColor="text1"/>
            </w:tcBorders>
            <w:hideMark/>
          </w:tcPr>
          <w:p w14:paraId="1A98B8D5" w14:textId="77777777" w:rsidR="004A2DF7" w:rsidRPr="00D30FB8" w:rsidRDefault="004A2DF7">
            <w:pPr>
              <w:pStyle w:val="ARfintablebodyright"/>
            </w:pPr>
            <w:r w:rsidRPr="00D30FB8">
              <w:t>978</w:t>
            </w:r>
          </w:p>
        </w:tc>
        <w:tc>
          <w:tcPr>
            <w:tcW w:w="1179" w:type="dxa"/>
            <w:tcBorders>
              <w:top w:val="single" w:sz="4" w:space="0" w:color="A6A6A6"/>
              <w:bottom w:val="single" w:sz="4" w:space="0" w:color="000000" w:themeColor="text1"/>
            </w:tcBorders>
            <w:hideMark/>
          </w:tcPr>
          <w:p w14:paraId="6FF794E6" w14:textId="77777777" w:rsidR="004A2DF7" w:rsidRPr="00D30FB8"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30FB8">
              <w:t>598</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A6A6A6"/>
              <w:bottom w:val="single" w:sz="4" w:space="0" w:color="000000" w:themeColor="text1"/>
            </w:tcBorders>
            <w:hideMark/>
          </w:tcPr>
          <w:p w14:paraId="08182D60" w14:textId="77777777" w:rsidR="004A2DF7" w:rsidRPr="00D30FB8" w:rsidRDefault="004A2DF7">
            <w:pPr>
              <w:pStyle w:val="ARfintablebodyright"/>
            </w:pPr>
            <w:r w:rsidRPr="00D30FB8">
              <w:t>63.5</w:t>
            </w:r>
          </w:p>
        </w:tc>
        <w:tc>
          <w:tcPr>
            <w:tcW w:w="1003" w:type="dxa"/>
            <w:tcBorders>
              <w:top w:val="single" w:sz="4" w:space="0" w:color="A6A6A6"/>
              <w:bottom w:val="single" w:sz="4" w:space="0" w:color="000000" w:themeColor="text1"/>
            </w:tcBorders>
            <w:hideMark/>
          </w:tcPr>
          <w:p w14:paraId="22916C0E" w14:textId="77777777" w:rsidR="004A2DF7" w:rsidRPr="003751E4" w:rsidRDefault="004A2DF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r w:rsidRPr="003751E4">
              <w:rPr>
                <w:vertAlign w:val="superscript"/>
              </w:rPr>
              <w:t>(c)</w:t>
            </w:r>
          </w:p>
        </w:tc>
      </w:tr>
      <w:tr w:rsidR="00D80E8D" w:rsidRPr="00D30FB8" w14:paraId="41895D2C" w14:textId="77777777" w:rsidTr="007D7DE0">
        <w:trPr>
          <w:cantSplit w:val="0"/>
        </w:trPr>
        <w:tc>
          <w:tcPr>
            <w:tcW w:w="5095" w:type="dxa"/>
            <w:tcBorders>
              <w:top w:val="single" w:sz="4" w:space="0" w:color="000000" w:themeColor="text1"/>
              <w:bottom w:val="single" w:sz="4" w:space="0" w:color="000000" w:themeColor="text1"/>
            </w:tcBorders>
            <w:hideMark/>
          </w:tcPr>
          <w:p w14:paraId="3B463959" w14:textId="77777777" w:rsidR="004A2DF7" w:rsidRPr="00D30FB8" w:rsidRDefault="004A2DF7">
            <w:pPr>
              <w:pStyle w:val="ARfintablebodybold"/>
            </w:pPr>
            <w:r w:rsidRPr="00D30FB8">
              <w:t>Total liabilities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000000" w:themeColor="text1"/>
              <w:bottom w:val="single" w:sz="4" w:space="0" w:color="000000" w:themeColor="text1"/>
            </w:tcBorders>
            <w:hideMark/>
          </w:tcPr>
          <w:p w14:paraId="1012EF71" w14:textId="77777777" w:rsidR="004A2DF7" w:rsidRPr="00D30FB8" w:rsidRDefault="004A2DF7">
            <w:pPr>
              <w:pStyle w:val="ARfintablebodyrightbold"/>
            </w:pPr>
            <w:r w:rsidRPr="00D30FB8">
              <w:t>1,352</w:t>
            </w:r>
          </w:p>
        </w:tc>
        <w:tc>
          <w:tcPr>
            <w:tcW w:w="1179" w:type="dxa"/>
            <w:tcBorders>
              <w:top w:val="single" w:sz="4" w:space="0" w:color="000000" w:themeColor="text1"/>
              <w:bottom w:val="single" w:sz="4" w:space="0" w:color="000000" w:themeColor="text1"/>
            </w:tcBorders>
            <w:hideMark/>
          </w:tcPr>
          <w:p w14:paraId="417868F0" w14:textId="77777777" w:rsidR="004A2DF7" w:rsidRPr="00D30FB8"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D30FB8">
              <w:t>1,017</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000000" w:themeColor="text1"/>
              <w:bottom w:val="single" w:sz="4" w:space="0" w:color="000000" w:themeColor="text1"/>
            </w:tcBorders>
            <w:hideMark/>
          </w:tcPr>
          <w:p w14:paraId="435EA371" w14:textId="77777777" w:rsidR="004A2DF7" w:rsidRPr="00D30FB8" w:rsidRDefault="004A2DF7">
            <w:pPr>
              <w:pStyle w:val="ARfintablebodyrightbold"/>
            </w:pPr>
            <w:r w:rsidRPr="00D30FB8">
              <w:t>32.9</w:t>
            </w:r>
          </w:p>
        </w:tc>
        <w:tc>
          <w:tcPr>
            <w:tcW w:w="1003" w:type="dxa"/>
            <w:tcBorders>
              <w:top w:val="single" w:sz="4" w:space="0" w:color="000000" w:themeColor="text1"/>
              <w:bottom w:val="single" w:sz="4" w:space="0" w:color="000000" w:themeColor="text1"/>
            </w:tcBorders>
            <w:hideMark/>
          </w:tcPr>
          <w:p w14:paraId="20B1013E" w14:textId="77777777" w:rsidR="004A2DF7" w:rsidRPr="00D30FB8"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30FB8" w14:paraId="6486AFB9" w14:textId="77777777" w:rsidTr="007D7DE0">
        <w:trPr>
          <w:cantSplit w:val="0"/>
        </w:trPr>
        <w:tc>
          <w:tcPr>
            <w:tcW w:w="5095" w:type="dxa"/>
            <w:tcBorders>
              <w:top w:val="single" w:sz="4" w:space="0" w:color="000000" w:themeColor="text1"/>
              <w:bottom w:val="single" w:sz="4" w:space="0" w:color="auto"/>
            </w:tcBorders>
            <w:hideMark/>
          </w:tcPr>
          <w:p w14:paraId="4DC83CEC" w14:textId="77777777" w:rsidR="004A2DF7" w:rsidRPr="00D30FB8" w:rsidRDefault="004A2DF7">
            <w:pPr>
              <w:pStyle w:val="ARfintablebodybold"/>
            </w:pPr>
            <w:r w:rsidRPr="00D30FB8">
              <w:t>Net assets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000000" w:themeColor="text1"/>
              <w:bottom w:val="single" w:sz="4" w:space="0" w:color="auto"/>
            </w:tcBorders>
            <w:hideMark/>
          </w:tcPr>
          <w:p w14:paraId="15D5FEB5" w14:textId="77777777" w:rsidR="004A2DF7" w:rsidRPr="00D30FB8" w:rsidRDefault="004A2DF7">
            <w:pPr>
              <w:pStyle w:val="ARfintablebodyrightbold"/>
            </w:pPr>
            <w:r w:rsidRPr="00D30FB8">
              <w:t>1,311</w:t>
            </w:r>
          </w:p>
        </w:tc>
        <w:tc>
          <w:tcPr>
            <w:tcW w:w="1179" w:type="dxa"/>
            <w:tcBorders>
              <w:top w:val="single" w:sz="4" w:space="0" w:color="000000" w:themeColor="text1"/>
              <w:bottom w:val="single" w:sz="4" w:space="0" w:color="auto"/>
            </w:tcBorders>
            <w:hideMark/>
          </w:tcPr>
          <w:p w14:paraId="4D99187B" w14:textId="77777777" w:rsidR="004A2DF7" w:rsidRPr="00D30FB8"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D30FB8">
              <w:t>1,492</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000000" w:themeColor="text1"/>
              <w:bottom w:val="single" w:sz="4" w:space="0" w:color="auto"/>
            </w:tcBorders>
            <w:hideMark/>
          </w:tcPr>
          <w:p w14:paraId="054CFF67" w14:textId="77777777" w:rsidR="004A2DF7" w:rsidRPr="00D30FB8" w:rsidRDefault="004A2DF7">
            <w:pPr>
              <w:pStyle w:val="ARfintablebodyrightbold"/>
            </w:pPr>
            <w:r w:rsidRPr="00D30FB8">
              <w:t>(12.1)</w:t>
            </w:r>
          </w:p>
        </w:tc>
        <w:tc>
          <w:tcPr>
            <w:tcW w:w="1003" w:type="dxa"/>
            <w:tcBorders>
              <w:top w:val="single" w:sz="4" w:space="0" w:color="000000" w:themeColor="text1"/>
              <w:bottom w:val="single" w:sz="4" w:space="0" w:color="auto"/>
            </w:tcBorders>
            <w:hideMark/>
          </w:tcPr>
          <w:p w14:paraId="75EEC84A" w14:textId="77777777" w:rsidR="004A2DF7" w:rsidRPr="00D30FB8"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7045B3" w:rsidRPr="00D30FB8" w14:paraId="4D5551A9" w14:textId="77777777" w:rsidTr="007D7DE0">
        <w:trPr>
          <w:cantSplit w:val="0"/>
        </w:trPr>
        <w:tc>
          <w:tcPr>
            <w:tcW w:w="5095" w:type="dxa"/>
            <w:tcBorders>
              <w:top w:val="single" w:sz="4" w:space="0" w:color="BFBFBF" w:themeColor="background1" w:themeShade="BF"/>
              <w:bottom w:val="single" w:sz="4" w:space="0" w:color="A6A6A6"/>
            </w:tcBorders>
          </w:tcPr>
          <w:p w14:paraId="26620CC9" w14:textId="1DB5F995" w:rsidR="00D80E8D" w:rsidRPr="00D30FB8" w:rsidRDefault="00D80E8D" w:rsidP="00D80E8D">
            <w:pPr>
              <w:pStyle w:val="ARfintablebodyboldcoloured"/>
            </w:pPr>
            <w:r w:rsidRPr="00D30FB8">
              <w:t>Equity</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BFBFBF" w:themeColor="background1" w:themeShade="BF"/>
              <w:bottom w:val="single" w:sz="4" w:space="0" w:color="A6A6A6"/>
            </w:tcBorders>
          </w:tcPr>
          <w:p w14:paraId="1A91377D" w14:textId="77777777" w:rsidR="00D80E8D" w:rsidRPr="00D30FB8" w:rsidRDefault="00D80E8D">
            <w:pPr>
              <w:pStyle w:val="ARfintablebodyright"/>
            </w:pPr>
          </w:p>
        </w:tc>
        <w:tc>
          <w:tcPr>
            <w:tcW w:w="1179" w:type="dxa"/>
            <w:tcBorders>
              <w:top w:val="single" w:sz="4" w:space="0" w:color="BFBFBF" w:themeColor="background1" w:themeShade="BF"/>
              <w:bottom w:val="single" w:sz="4" w:space="0" w:color="A6A6A6"/>
            </w:tcBorders>
          </w:tcPr>
          <w:p w14:paraId="500A804A" w14:textId="77777777" w:rsidR="00D80E8D" w:rsidRPr="00D30FB8" w:rsidRDefault="00D80E8D">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BFBFBF" w:themeColor="background1" w:themeShade="BF"/>
              <w:bottom w:val="single" w:sz="4" w:space="0" w:color="A6A6A6"/>
            </w:tcBorders>
          </w:tcPr>
          <w:p w14:paraId="3DE87478" w14:textId="77777777" w:rsidR="00D80E8D" w:rsidRPr="00D30FB8" w:rsidRDefault="00D80E8D">
            <w:pPr>
              <w:pStyle w:val="ARfintablebodyright"/>
            </w:pPr>
          </w:p>
        </w:tc>
        <w:tc>
          <w:tcPr>
            <w:tcW w:w="1003" w:type="dxa"/>
            <w:tcBorders>
              <w:top w:val="single" w:sz="4" w:space="0" w:color="BFBFBF" w:themeColor="background1" w:themeShade="BF"/>
              <w:bottom w:val="single" w:sz="4" w:space="0" w:color="A6A6A6"/>
            </w:tcBorders>
          </w:tcPr>
          <w:p w14:paraId="19C8F46A" w14:textId="77777777" w:rsidR="00D80E8D" w:rsidRPr="00D30FB8" w:rsidRDefault="00D80E8D">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30FB8" w14:paraId="0B088DCB" w14:textId="77777777" w:rsidTr="007D7DE0">
        <w:trPr>
          <w:cantSplit w:val="0"/>
        </w:trPr>
        <w:tc>
          <w:tcPr>
            <w:tcW w:w="5095" w:type="dxa"/>
            <w:tcBorders>
              <w:top w:val="single" w:sz="4" w:space="0" w:color="BFBFBF" w:themeColor="background1" w:themeShade="BF"/>
              <w:bottom w:val="single" w:sz="4" w:space="0" w:color="A6A6A6"/>
            </w:tcBorders>
          </w:tcPr>
          <w:p w14:paraId="51AAC13E" w14:textId="77777777" w:rsidR="004A2DF7" w:rsidRPr="00D30FB8" w:rsidRDefault="004A2DF7">
            <w:pPr>
              <w:pStyle w:val="ARfintablebody"/>
            </w:pPr>
            <w:r w:rsidRPr="00D30FB8">
              <w:t>Accumulated surplus/(deficit)</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BFBFBF" w:themeColor="background1" w:themeShade="BF"/>
              <w:bottom w:val="single" w:sz="4" w:space="0" w:color="A6A6A6"/>
            </w:tcBorders>
          </w:tcPr>
          <w:p w14:paraId="1EC4537F" w14:textId="77777777" w:rsidR="004A2DF7" w:rsidRPr="00D30FB8" w:rsidRDefault="004A2DF7">
            <w:pPr>
              <w:pStyle w:val="ARfintablebodyright"/>
            </w:pPr>
            <w:r w:rsidRPr="00D30FB8">
              <w:t>(327)</w:t>
            </w:r>
          </w:p>
        </w:tc>
        <w:tc>
          <w:tcPr>
            <w:tcW w:w="1179" w:type="dxa"/>
            <w:tcBorders>
              <w:top w:val="single" w:sz="4" w:space="0" w:color="BFBFBF" w:themeColor="background1" w:themeShade="BF"/>
              <w:bottom w:val="single" w:sz="4" w:space="0" w:color="A6A6A6"/>
            </w:tcBorders>
          </w:tcPr>
          <w:p w14:paraId="6CC3FF28" w14:textId="77777777" w:rsidR="004A2DF7" w:rsidRPr="00D30FB8"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30FB8">
              <w:t>(172)</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BFBFBF" w:themeColor="background1" w:themeShade="BF"/>
              <w:bottom w:val="single" w:sz="4" w:space="0" w:color="A6A6A6"/>
            </w:tcBorders>
          </w:tcPr>
          <w:p w14:paraId="3620A16F" w14:textId="77777777" w:rsidR="004A2DF7" w:rsidRPr="00D30FB8" w:rsidRDefault="004A2DF7">
            <w:pPr>
              <w:pStyle w:val="ARfintablebodyright"/>
            </w:pPr>
            <w:r w:rsidRPr="00D30FB8">
              <w:t>89.9</w:t>
            </w:r>
          </w:p>
        </w:tc>
        <w:tc>
          <w:tcPr>
            <w:tcW w:w="1003" w:type="dxa"/>
            <w:tcBorders>
              <w:top w:val="single" w:sz="4" w:space="0" w:color="BFBFBF" w:themeColor="background1" w:themeShade="BF"/>
              <w:bottom w:val="single" w:sz="4" w:space="0" w:color="A6A6A6"/>
            </w:tcBorders>
          </w:tcPr>
          <w:p w14:paraId="1CDDFB90" w14:textId="77777777" w:rsidR="004A2DF7" w:rsidRPr="00D30FB8"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4A2DF7" w:rsidRPr="00D30FB8" w14:paraId="6904F121" w14:textId="77777777" w:rsidTr="007D7DE0">
        <w:trPr>
          <w:cantSplit w:val="0"/>
        </w:trPr>
        <w:tc>
          <w:tcPr>
            <w:tcW w:w="5095" w:type="dxa"/>
            <w:tcBorders>
              <w:top w:val="single" w:sz="4" w:space="0" w:color="A6A6A6"/>
            </w:tcBorders>
          </w:tcPr>
          <w:p w14:paraId="62346D5A" w14:textId="77777777" w:rsidR="004A2DF7" w:rsidRPr="00D30FB8" w:rsidRDefault="004A2DF7">
            <w:pPr>
              <w:pStyle w:val="ARfintablebody"/>
            </w:pPr>
            <w:r w:rsidRPr="00D30FB8">
              <w:t>Reserves</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A6A6A6"/>
            </w:tcBorders>
          </w:tcPr>
          <w:p w14:paraId="1053EFEA" w14:textId="77777777" w:rsidR="004A2DF7" w:rsidRPr="00D30FB8" w:rsidRDefault="004A2DF7">
            <w:pPr>
              <w:pStyle w:val="ARfintablebodyright"/>
            </w:pPr>
            <w:r w:rsidRPr="00D30FB8">
              <w:t>271</w:t>
            </w:r>
          </w:p>
        </w:tc>
        <w:tc>
          <w:tcPr>
            <w:tcW w:w="1179" w:type="dxa"/>
            <w:tcBorders>
              <w:top w:val="single" w:sz="4" w:space="0" w:color="A6A6A6"/>
            </w:tcBorders>
          </w:tcPr>
          <w:p w14:paraId="7F278BCB" w14:textId="77777777" w:rsidR="004A2DF7" w:rsidRPr="00D30FB8"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30FB8">
              <w:t>277</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A6A6A6"/>
            </w:tcBorders>
          </w:tcPr>
          <w:p w14:paraId="2B2AD5E5" w14:textId="77777777" w:rsidR="004A2DF7" w:rsidRPr="00D30FB8" w:rsidRDefault="004A2DF7">
            <w:pPr>
              <w:pStyle w:val="ARfintablebodyright"/>
            </w:pPr>
            <w:r w:rsidRPr="00D30FB8">
              <w:t>(2.1)</w:t>
            </w:r>
          </w:p>
        </w:tc>
        <w:tc>
          <w:tcPr>
            <w:tcW w:w="1003" w:type="dxa"/>
            <w:tcBorders>
              <w:top w:val="single" w:sz="4" w:space="0" w:color="A6A6A6"/>
            </w:tcBorders>
          </w:tcPr>
          <w:p w14:paraId="255C8271" w14:textId="77777777" w:rsidR="004A2DF7" w:rsidRPr="00D30FB8"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4A2DF7" w:rsidRPr="00D30FB8" w14:paraId="415A2434" w14:textId="77777777" w:rsidTr="007D7DE0">
        <w:trPr>
          <w:cantSplit w:val="0"/>
        </w:trPr>
        <w:tc>
          <w:tcPr>
            <w:tcW w:w="5095" w:type="dxa"/>
            <w:tcBorders>
              <w:top w:val="single" w:sz="4" w:space="0" w:color="A6A6A6"/>
            </w:tcBorders>
          </w:tcPr>
          <w:p w14:paraId="7DA37526" w14:textId="77777777" w:rsidR="004A2DF7" w:rsidRPr="00D30FB8" w:rsidRDefault="004A2DF7">
            <w:pPr>
              <w:pStyle w:val="ARfintablebody"/>
            </w:pPr>
            <w:r w:rsidRPr="00D30FB8">
              <w:t>Contributed capital</w:t>
            </w:r>
          </w:p>
        </w:tc>
        <w:tc>
          <w:tcPr>
            <w:cnfStyle w:val="000001000000" w:firstRow="0" w:lastRow="0" w:firstColumn="0" w:lastColumn="0" w:oddVBand="0" w:evenVBand="1" w:oddHBand="0" w:evenHBand="0" w:firstRowFirstColumn="0" w:firstRowLastColumn="0" w:lastRowFirstColumn="0" w:lastRowLastColumn="0"/>
            <w:tcW w:w="1244" w:type="dxa"/>
            <w:tcBorders>
              <w:top w:val="single" w:sz="4" w:space="0" w:color="A6A6A6"/>
            </w:tcBorders>
          </w:tcPr>
          <w:p w14:paraId="02D21DCE" w14:textId="77777777" w:rsidR="004A2DF7" w:rsidRPr="00D30FB8" w:rsidRDefault="004A2DF7">
            <w:pPr>
              <w:pStyle w:val="ARfintablebodyright"/>
            </w:pPr>
            <w:r w:rsidRPr="00D30FB8">
              <w:t>1,367</w:t>
            </w:r>
          </w:p>
        </w:tc>
        <w:tc>
          <w:tcPr>
            <w:tcW w:w="1179" w:type="dxa"/>
            <w:tcBorders>
              <w:top w:val="single" w:sz="4" w:space="0" w:color="A6A6A6"/>
            </w:tcBorders>
          </w:tcPr>
          <w:p w14:paraId="51CE29FF" w14:textId="77777777" w:rsidR="004A2DF7" w:rsidRPr="00D30FB8"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30FB8">
              <w:t>1,387</w:t>
            </w: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A6A6A6"/>
            </w:tcBorders>
          </w:tcPr>
          <w:p w14:paraId="6D2E0463" w14:textId="77777777" w:rsidR="004A2DF7" w:rsidRPr="00D30FB8" w:rsidRDefault="004A2DF7">
            <w:pPr>
              <w:pStyle w:val="ARfintablebodyright"/>
            </w:pPr>
            <w:r w:rsidRPr="00D30FB8">
              <w:t>(1.4)</w:t>
            </w:r>
          </w:p>
        </w:tc>
        <w:tc>
          <w:tcPr>
            <w:tcW w:w="1003" w:type="dxa"/>
            <w:tcBorders>
              <w:top w:val="single" w:sz="4" w:space="0" w:color="A6A6A6"/>
            </w:tcBorders>
          </w:tcPr>
          <w:p w14:paraId="196B3843" w14:textId="77777777" w:rsidR="004A2DF7" w:rsidRPr="00D30FB8"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4A2DF7" w:rsidRPr="002917EA" w14:paraId="707E1775" w14:textId="77777777" w:rsidTr="007D7DE0">
        <w:trPr>
          <w:cnfStyle w:val="010000000000" w:firstRow="0" w:lastRow="1" w:firstColumn="0" w:lastColumn="0" w:oddVBand="0" w:evenVBand="0" w:oddHBand="0" w:evenHBand="0" w:firstRowFirstColumn="0" w:firstRowLastColumn="0" w:lastRowFirstColumn="0" w:lastRowLastColumn="0"/>
          <w:cantSplit w:val="0"/>
        </w:trPr>
        <w:tc>
          <w:tcPr>
            <w:tcW w:w="5095" w:type="dxa"/>
            <w:tcBorders>
              <w:bottom w:val="single" w:sz="4" w:space="0" w:color="auto"/>
            </w:tcBorders>
          </w:tcPr>
          <w:p w14:paraId="3A2BABC5" w14:textId="77777777" w:rsidR="004A2DF7" w:rsidRPr="00D30FB8" w:rsidRDefault="004A2DF7">
            <w:pPr>
              <w:pStyle w:val="ARfintablebodybold"/>
            </w:pPr>
            <w:r w:rsidRPr="00D30FB8">
              <w:t>Total equity</w:t>
            </w:r>
          </w:p>
        </w:tc>
        <w:tc>
          <w:tcPr>
            <w:cnfStyle w:val="000001000000" w:firstRow="0" w:lastRow="0" w:firstColumn="0" w:lastColumn="0" w:oddVBand="0" w:evenVBand="1" w:oddHBand="0" w:evenHBand="0" w:firstRowFirstColumn="0" w:firstRowLastColumn="0" w:lastRowFirstColumn="0" w:lastRowLastColumn="0"/>
            <w:tcW w:w="1244" w:type="dxa"/>
            <w:tcBorders>
              <w:bottom w:val="single" w:sz="4" w:space="0" w:color="auto"/>
            </w:tcBorders>
          </w:tcPr>
          <w:p w14:paraId="386965FB" w14:textId="77777777" w:rsidR="004A2DF7" w:rsidRPr="00D30FB8" w:rsidRDefault="004A2DF7">
            <w:pPr>
              <w:pStyle w:val="ARfintablebodyrightbold"/>
            </w:pPr>
            <w:r w:rsidRPr="00D30FB8">
              <w:t>1,311</w:t>
            </w:r>
          </w:p>
        </w:tc>
        <w:tc>
          <w:tcPr>
            <w:tcW w:w="1179" w:type="dxa"/>
            <w:tcBorders>
              <w:bottom w:val="single" w:sz="4" w:space="0" w:color="auto"/>
            </w:tcBorders>
          </w:tcPr>
          <w:p w14:paraId="3E7A179D" w14:textId="77777777" w:rsidR="004A2DF7" w:rsidRPr="00D30FB8" w:rsidRDefault="004A2DF7">
            <w:pPr>
              <w:pStyle w:val="ARfintablebodyrightbold"/>
              <w:cnfStyle w:val="010000000000" w:firstRow="0" w:lastRow="1" w:firstColumn="0" w:lastColumn="0" w:oddVBand="0" w:evenVBand="0" w:oddHBand="0" w:evenHBand="0" w:firstRowFirstColumn="0" w:firstRowLastColumn="0" w:lastRowFirstColumn="0" w:lastRowLastColumn="0"/>
            </w:pPr>
            <w:r w:rsidRPr="00D30FB8">
              <w:t>1,492</w:t>
            </w:r>
          </w:p>
        </w:tc>
        <w:tc>
          <w:tcPr>
            <w:cnfStyle w:val="000001000000" w:firstRow="0" w:lastRow="0" w:firstColumn="0" w:lastColumn="0" w:oddVBand="0" w:evenVBand="1" w:oddHBand="0" w:evenHBand="0" w:firstRowFirstColumn="0" w:firstRowLastColumn="0" w:lastRowFirstColumn="0" w:lastRowLastColumn="0"/>
            <w:tcW w:w="1260" w:type="dxa"/>
            <w:tcBorders>
              <w:bottom w:val="single" w:sz="4" w:space="0" w:color="auto"/>
            </w:tcBorders>
          </w:tcPr>
          <w:p w14:paraId="6CE8BC2C" w14:textId="77777777" w:rsidR="004A2DF7" w:rsidRPr="00D30FB8" w:rsidRDefault="004A2DF7">
            <w:pPr>
              <w:pStyle w:val="ARfintablebodyrightbold"/>
            </w:pPr>
            <w:r w:rsidRPr="00D30FB8">
              <w:t>(12.1)</w:t>
            </w:r>
          </w:p>
        </w:tc>
        <w:tc>
          <w:tcPr>
            <w:tcW w:w="1003" w:type="dxa"/>
            <w:tcBorders>
              <w:bottom w:val="single" w:sz="4" w:space="0" w:color="auto"/>
            </w:tcBorders>
          </w:tcPr>
          <w:p w14:paraId="3787D188" w14:textId="77777777" w:rsidR="004A2DF7" w:rsidRPr="00D30FB8" w:rsidRDefault="004A2DF7">
            <w:pPr>
              <w:pStyle w:val="ARfintablebodycentre"/>
              <w:cnfStyle w:val="010000000000" w:firstRow="0" w:lastRow="1" w:firstColumn="0" w:lastColumn="0" w:oddVBand="0" w:evenVBand="0" w:oddHBand="0" w:evenHBand="0" w:firstRowFirstColumn="0" w:firstRowLastColumn="0" w:lastRowFirstColumn="0" w:lastRowLastColumn="0"/>
            </w:pPr>
          </w:p>
        </w:tc>
      </w:tr>
    </w:tbl>
    <w:p w14:paraId="3056E787" w14:textId="1B5CB2BF" w:rsidR="004A2DF7" w:rsidRPr="003751E4" w:rsidRDefault="004A2DF7">
      <w:pPr>
        <w:pStyle w:val="ARfintablefootnoteindent"/>
      </w:pPr>
      <w:r w:rsidRPr="003751E4">
        <w:t>(a)</w:t>
      </w:r>
      <w:r w:rsidRPr="003751E4">
        <w:tab/>
        <w:t xml:space="preserve">The receivables balance was higher than the published budget primarily due to an increase in the State Administration Unit </w:t>
      </w:r>
      <w:r w:rsidR="007D7DE0">
        <w:br/>
      </w:r>
      <w:r w:rsidRPr="003751E4">
        <w:t xml:space="preserve">inter-entity accounts </w:t>
      </w:r>
      <w:proofErr w:type="gramStart"/>
      <w:r w:rsidRPr="003751E4">
        <w:t>as a result of</w:t>
      </w:r>
      <w:proofErr w:type="gramEnd"/>
      <w:r w:rsidRPr="003751E4">
        <w:t xml:space="preserve"> timing of funding accessed to settle payments to creditors and other accrued obligations, which occurred post the 2024–25 Published Budget.</w:t>
      </w:r>
    </w:p>
    <w:p w14:paraId="10FD01FC" w14:textId="77777777" w:rsidR="004A2DF7" w:rsidRPr="003751E4" w:rsidRDefault="004A2DF7">
      <w:pPr>
        <w:pStyle w:val="ARfintablefootnoteindent"/>
      </w:pPr>
      <w:r w:rsidRPr="003751E4">
        <w:t>(b)</w:t>
      </w:r>
      <w:r w:rsidRPr="003751E4">
        <w:tab/>
        <w:t>The payables balance was lower than the Published Budget primarily due to timing of funding accessed to settle payments to creditors and other accrued obligations.</w:t>
      </w:r>
    </w:p>
    <w:p w14:paraId="5541CF27" w14:textId="59D6FC48" w:rsidR="004A2DF7" w:rsidRPr="003751E4" w:rsidRDefault="004A2DF7">
      <w:pPr>
        <w:pStyle w:val="ARfintablefootnoteindent"/>
      </w:pPr>
      <w:r w:rsidRPr="003751E4">
        <w:t xml:space="preserve">(c) The provisions balance was higher than the published budget primarily due to increases in provisions for </w:t>
      </w:r>
      <w:r w:rsidR="007348BD">
        <w:rPr>
          <w:rStyle w:val="Emphasis"/>
          <w:i w:val="0"/>
          <w:iCs w:val="0"/>
        </w:rPr>
        <w:t>c</w:t>
      </w:r>
      <w:r w:rsidR="007348BD" w:rsidRPr="00B55528">
        <w:rPr>
          <w:rStyle w:val="Emphasis"/>
          <w:i w:val="0"/>
          <w:iCs w:val="0"/>
        </w:rPr>
        <w:t xml:space="preserve">ivil </w:t>
      </w:r>
      <w:r w:rsidR="007348BD">
        <w:rPr>
          <w:rStyle w:val="Emphasis"/>
          <w:i w:val="0"/>
          <w:iCs w:val="0"/>
        </w:rPr>
        <w:t>c</w:t>
      </w:r>
      <w:r w:rsidRPr="00B55528">
        <w:rPr>
          <w:rStyle w:val="Emphasis"/>
          <w:i w:val="0"/>
          <w:iCs w:val="0"/>
        </w:rPr>
        <w:t>laims</w:t>
      </w:r>
      <w:r w:rsidRPr="003751E4">
        <w:t xml:space="preserve"> associated with historical institutional child abuse and </w:t>
      </w:r>
      <w:r w:rsidRPr="00B55528">
        <w:rPr>
          <w:rStyle w:val="Emphasis"/>
          <w:i w:val="0"/>
          <w:iCs w:val="0"/>
        </w:rPr>
        <w:t>Victorian Redress</w:t>
      </w:r>
      <w:r w:rsidRPr="003751E4">
        <w:t>.</w:t>
      </w:r>
    </w:p>
    <w:p w14:paraId="58B4E442" w14:textId="77777777" w:rsidR="004A2DF7" w:rsidRPr="002917EA" w:rsidRDefault="004A2DF7">
      <w:pPr>
        <w:pStyle w:val="ARbody"/>
        <w:rPr>
          <w:highlight w:val="cyan"/>
        </w:rPr>
      </w:pPr>
      <w:r w:rsidRPr="002917EA">
        <w:rPr>
          <w:highlight w:val="cyan"/>
        </w:rPr>
        <w:br w:type="page"/>
      </w:r>
    </w:p>
    <w:p w14:paraId="2EA590B1" w14:textId="77777777" w:rsidR="004A2DF7" w:rsidRPr="003751E4" w:rsidRDefault="004A2DF7">
      <w:pPr>
        <w:pStyle w:val="Heading3"/>
      </w:pPr>
      <w:bookmarkStart w:id="297" w:name="Statementofcashflows220"/>
      <w:bookmarkStart w:id="298" w:name="_Ref178239804"/>
      <w:r w:rsidRPr="003751E4">
        <w:lastRenderedPageBreak/>
        <w:t xml:space="preserve">Statement of cash flows </w:t>
      </w:r>
      <w:bookmarkEnd w:id="297"/>
      <w:r w:rsidRPr="003751E4">
        <w:t>for the financial year ended 30 June 2025</w:t>
      </w:r>
      <w:bookmarkEnd w:id="298"/>
    </w:p>
    <w:tbl>
      <w:tblPr>
        <w:tblStyle w:val="TableGrid"/>
        <w:tblW w:w="9644" w:type="dxa"/>
        <w:tblInd w:w="-5" w:type="dxa"/>
        <w:tblLook w:val="02E0" w:firstRow="1" w:lastRow="1" w:firstColumn="1" w:lastColumn="0" w:noHBand="1" w:noVBand="0"/>
      </w:tblPr>
      <w:tblGrid>
        <w:gridCol w:w="5392"/>
        <w:gridCol w:w="1123"/>
        <w:gridCol w:w="1134"/>
        <w:gridCol w:w="1222"/>
        <w:gridCol w:w="773"/>
      </w:tblGrid>
      <w:tr w:rsidR="00D80E8D" w:rsidRPr="008B598B" w14:paraId="6674D5CC" w14:textId="77777777" w:rsidTr="00D80E8D">
        <w:trPr>
          <w:cnfStyle w:val="100000000000" w:firstRow="1" w:lastRow="0" w:firstColumn="0" w:lastColumn="0" w:oddVBand="0" w:evenVBand="0" w:oddHBand="0" w:evenHBand="0" w:firstRowFirstColumn="0" w:firstRowLastColumn="0" w:lastRowFirstColumn="0" w:lastRowLastColumn="0"/>
          <w:tblHeader/>
        </w:trPr>
        <w:tc>
          <w:tcPr>
            <w:tcW w:w="5407" w:type="dxa"/>
            <w:tcBorders>
              <w:bottom w:val="single" w:sz="4" w:space="0" w:color="auto"/>
            </w:tcBorders>
            <w:hideMark/>
          </w:tcPr>
          <w:p w14:paraId="20ACB28A" w14:textId="77777777" w:rsidR="004A2DF7" w:rsidRPr="008B598B" w:rsidRDefault="004A2DF7">
            <w:pPr>
              <w:pStyle w:val="ARfintablecolhead"/>
            </w:pPr>
          </w:p>
        </w:tc>
        <w:tc>
          <w:tcPr>
            <w:cnfStyle w:val="000001000000" w:firstRow="0" w:lastRow="0" w:firstColumn="0" w:lastColumn="0" w:oddVBand="0" w:evenVBand="1" w:oddHBand="0" w:evenHBand="0" w:firstRowFirstColumn="0" w:firstRowLastColumn="0" w:lastRowFirstColumn="0" w:lastRowLastColumn="0"/>
            <w:tcW w:w="1124" w:type="dxa"/>
            <w:tcBorders>
              <w:bottom w:val="single" w:sz="4" w:space="0" w:color="auto"/>
            </w:tcBorders>
            <w:hideMark/>
          </w:tcPr>
          <w:p w14:paraId="1C4A229D" w14:textId="77777777" w:rsidR="004A2DF7" w:rsidRPr="008B598B" w:rsidRDefault="004A2DF7">
            <w:pPr>
              <w:pStyle w:val="ARfintablecolheadright"/>
            </w:pPr>
            <w:r w:rsidRPr="008B598B">
              <w:t>2024–25</w:t>
            </w:r>
          </w:p>
          <w:p w14:paraId="631EA9A4" w14:textId="77777777" w:rsidR="004A2DF7" w:rsidRPr="008B598B" w:rsidRDefault="004A2DF7">
            <w:pPr>
              <w:pStyle w:val="ARfintablecolheadright"/>
            </w:pPr>
            <w:r w:rsidRPr="008B598B">
              <w:t>Actual</w:t>
            </w:r>
          </w:p>
          <w:p w14:paraId="2A5ED2CB" w14:textId="77777777" w:rsidR="004A2DF7" w:rsidRPr="008B598B" w:rsidRDefault="004A2DF7">
            <w:pPr>
              <w:pStyle w:val="ARfintablecolheadright"/>
            </w:pPr>
            <w:r w:rsidRPr="008B598B">
              <w:t>$M</w:t>
            </w:r>
          </w:p>
        </w:tc>
        <w:tc>
          <w:tcPr>
            <w:tcW w:w="1134" w:type="dxa"/>
            <w:tcBorders>
              <w:bottom w:val="single" w:sz="4" w:space="0" w:color="auto"/>
            </w:tcBorders>
            <w:hideMark/>
          </w:tcPr>
          <w:p w14:paraId="12C983E6" w14:textId="77777777" w:rsidR="004A2DF7" w:rsidRPr="008B598B"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8B598B">
              <w:t>2024–25</w:t>
            </w:r>
          </w:p>
          <w:p w14:paraId="57D5D356" w14:textId="77777777" w:rsidR="004A2DF7" w:rsidRPr="008B598B"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8B598B">
              <w:t>Published budget</w:t>
            </w:r>
          </w:p>
          <w:p w14:paraId="411980B4" w14:textId="77777777" w:rsidR="004A2DF7" w:rsidRPr="008B598B"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8B598B">
              <w:t>$M</w:t>
            </w:r>
          </w:p>
        </w:tc>
        <w:tc>
          <w:tcPr>
            <w:cnfStyle w:val="000001000000" w:firstRow="0" w:lastRow="0" w:firstColumn="0" w:lastColumn="0" w:oddVBand="0" w:evenVBand="1" w:oddHBand="0" w:evenHBand="0" w:firstRowFirstColumn="0" w:firstRowLastColumn="0" w:lastRowFirstColumn="0" w:lastRowLastColumn="0"/>
            <w:tcW w:w="1214" w:type="dxa"/>
            <w:tcBorders>
              <w:bottom w:val="single" w:sz="4" w:space="0" w:color="auto"/>
            </w:tcBorders>
            <w:noWrap/>
            <w:hideMark/>
          </w:tcPr>
          <w:p w14:paraId="0A6B59E7" w14:textId="71B4D5CC" w:rsidR="004A2DF7" w:rsidRPr="008B598B" w:rsidRDefault="004A2DF7">
            <w:pPr>
              <w:pStyle w:val="ARfintablecolheadright"/>
            </w:pPr>
            <w:r w:rsidRPr="008B598B">
              <w:t>Variation to published budget</w:t>
            </w:r>
          </w:p>
          <w:p w14:paraId="5364A498" w14:textId="77777777" w:rsidR="004A2DF7" w:rsidRPr="008B598B" w:rsidRDefault="004A2DF7">
            <w:pPr>
              <w:pStyle w:val="ARfintablecolheadright"/>
            </w:pPr>
            <w:r w:rsidRPr="008B598B">
              <w:t>%</w:t>
            </w:r>
          </w:p>
        </w:tc>
        <w:tc>
          <w:tcPr>
            <w:tcW w:w="765" w:type="dxa"/>
            <w:tcBorders>
              <w:bottom w:val="single" w:sz="4" w:space="0" w:color="auto"/>
            </w:tcBorders>
            <w:noWrap/>
            <w:hideMark/>
          </w:tcPr>
          <w:p w14:paraId="570B4577" w14:textId="77777777" w:rsidR="004A2DF7" w:rsidRPr="008B598B" w:rsidRDefault="004A2DF7">
            <w:pPr>
              <w:pStyle w:val="ARfintablecolheadcentre"/>
              <w:cnfStyle w:val="100000000000" w:firstRow="1" w:lastRow="0" w:firstColumn="0" w:lastColumn="0" w:oddVBand="0" w:evenVBand="0" w:oddHBand="0" w:evenHBand="0" w:firstRowFirstColumn="0" w:firstRowLastColumn="0" w:lastRowFirstColumn="0" w:lastRowLastColumn="0"/>
            </w:pPr>
            <w:r w:rsidRPr="008B598B">
              <w:t>Notes</w:t>
            </w:r>
          </w:p>
        </w:tc>
      </w:tr>
      <w:tr w:rsidR="00D80E8D" w:rsidRPr="002917EA" w14:paraId="47D6A2F5" w14:textId="77777777" w:rsidTr="00D80E8D">
        <w:trPr>
          <w:cantSplit w:val="0"/>
        </w:trPr>
        <w:tc>
          <w:tcPr>
            <w:tcW w:w="5407" w:type="dxa"/>
            <w:tcBorders>
              <w:top w:val="single" w:sz="2" w:space="0" w:color="A6A6A6" w:themeColor="accent5"/>
              <w:bottom w:val="single" w:sz="4" w:space="0" w:color="A6A6A6"/>
            </w:tcBorders>
          </w:tcPr>
          <w:p w14:paraId="0C4A64F1" w14:textId="1D2C5C99" w:rsidR="00D80E8D" w:rsidRPr="00C27540" w:rsidRDefault="00D80E8D" w:rsidP="00D80E8D">
            <w:pPr>
              <w:pStyle w:val="ARfintablebodyboldcoloured"/>
            </w:pPr>
            <w:r w:rsidRPr="008B598B">
              <w:t>Cash flows from operating activities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2" w:space="0" w:color="A6A6A6" w:themeColor="accent5"/>
              <w:bottom w:val="single" w:sz="4" w:space="0" w:color="A6A6A6"/>
            </w:tcBorders>
          </w:tcPr>
          <w:p w14:paraId="1D0F1991" w14:textId="77777777" w:rsidR="00D80E8D" w:rsidRPr="00C27540" w:rsidRDefault="00D80E8D" w:rsidP="00D80E8D">
            <w:pPr>
              <w:pStyle w:val="ARfintablebodyright"/>
            </w:pPr>
          </w:p>
        </w:tc>
        <w:tc>
          <w:tcPr>
            <w:tcW w:w="1134" w:type="dxa"/>
            <w:tcBorders>
              <w:top w:val="single" w:sz="2" w:space="0" w:color="A6A6A6" w:themeColor="accent5"/>
              <w:bottom w:val="single" w:sz="4" w:space="0" w:color="A6A6A6"/>
            </w:tcBorders>
          </w:tcPr>
          <w:p w14:paraId="67548300" w14:textId="77777777" w:rsidR="00D80E8D" w:rsidRPr="00C27540" w:rsidRDefault="00D80E8D" w:rsidP="00D80E8D">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14" w:type="dxa"/>
            <w:tcBorders>
              <w:top w:val="single" w:sz="2" w:space="0" w:color="A6A6A6" w:themeColor="accent5"/>
              <w:bottom w:val="single" w:sz="4" w:space="0" w:color="A6A6A6"/>
            </w:tcBorders>
          </w:tcPr>
          <w:p w14:paraId="3032811A" w14:textId="77777777" w:rsidR="00D80E8D" w:rsidRPr="00C27540" w:rsidRDefault="00D80E8D" w:rsidP="00D80E8D">
            <w:pPr>
              <w:pStyle w:val="ARfintablebodyright"/>
            </w:pPr>
          </w:p>
        </w:tc>
        <w:tc>
          <w:tcPr>
            <w:tcW w:w="765" w:type="dxa"/>
            <w:tcBorders>
              <w:top w:val="single" w:sz="2" w:space="0" w:color="A6A6A6" w:themeColor="accent5"/>
              <w:bottom w:val="single" w:sz="4" w:space="0" w:color="A6A6A6"/>
            </w:tcBorders>
          </w:tcPr>
          <w:p w14:paraId="1C8F7DB7" w14:textId="77777777" w:rsidR="00D80E8D" w:rsidRPr="00DB5234" w:rsidRDefault="00D80E8D" w:rsidP="00D80E8D">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p>
        </w:tc>
      </w:tr>
      <w:tr w:rsidR="00D80E8D" w:rsidRPr="002917EA" w14:paraId="613D6903" w14:textId="77777777" w:rsidTr="0094349A">
        <w:trPr>
          <w:cantSplit w:val="0"/>
        </w:trPr>
        <w:tc>
          <w:tcPr>
            <w:tcW w:w="5407" w:type="dxa"/>
            <w:tcBorders>
              <w:top w:val="single" w:sz="2" w:space="0" w:color="A6A6A6" w:themeColor="accent5"/>
              <w:bottom w:val="single" w:sz="4" w:space="0" w:color="A6A6A6"/>
            </w:tcBorders>
          </w:tcPr>
          <w:p w14:paraId="675AC479" w14:textId="49E92B07" w:rsidR="00D80E8D" w:rsidRPr="00C27540" w:rsidRDefault="00D80E8D" w:rsidP="00D80E8D">
            <w:pPr>
              <w:pStyle w:val="ARfintablebodybold"/>
            </w:pPr>
            <w:r w:rsidRPr="00C27540">
              <w:t>Receipts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2" w:space="0" w:color="A6A6A6" w:themeColor="accent5"/>
              <w:bottom w:val="single" w:sz="4" w:space="0" w:color="A6A6A6"/>
            </w:tcBorders>
          </w:tcPr>
          <w:p w14:paraId="2030374B" w14:textId="77777777" w:rsidR="00D80E8D" w:rsidRPr="00C27540" w:rsidRDefault="00D80E8D" w:rsidP="00D80E8D">
            <w:pPr>
              <w:pStyle w:val="ARfintablebodyright"/>
            </w:pPr>
          </w:p>
        </w:tc>
        <w:tc>
          <w:tcPr>
            <w:tcW w:w="1134" w:type="dxa"/>
            <w:tcBorders>
              <w:top w:val="single" w:sz="2" w:space="0" w:color="A6A6A6" w:themeColor="accent5"/>
              <w:bottom w:val="single" w:sz="4" w:space="0" w:color="A6A6A6"/>
            </w:tcBorders>
          </w:tcPr>
          <w:p w14:paraId="74C5E9D9" w14:textId="77777777" w:rsidR="00D80E8D" w:rsidRPr="00C27540" w:rsidRDefault="00D80E8D" w:rsidP="00D80E8D">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14" w:type="dxa"/>
            <w:tcBorders>
              <w:top w:val="single" w:sz="2" w:space="0" w:color="A6A6A6" w:themeColor="accent5"/>
              <w:bottom w:val="single" w:sz="4" w:space="0" w:color="A6A6A6"/>
            </w:tcBorders>
          </w:tcPr>
          <w:p w14:paraId="67A90D1C" w14:textId="77777777" w:rsidR="00D80E8D" w:rsidRPr="00C27540" w:rsidRDefault="00D80E8D" w:rsidP="00D80E8D">
            <w:pPr>
              <w:pStyle w:val="ARfintablebodyright"/>
            </w:pPr>
          </w:p>
        </w:tc>
        <w:tc>
          <w:tcPr>
            <w:tcW w:w="765" w:type="dxa"/>
            <w:tcBorders>
              <w:top w:val="single" w:sz="2" w:space="0" w:color="A6A6A6" w:themeColor="accent5"/>
              <w:bottom w:val="single" w:sz="4" w:space="0" w:color="A6A6A6"/>
            </w:tcBorders>
          </w:tcPr>
          <w:p w14:paraId="5B68DEEF" w14:textId="77777777" w:rsidR="00D80E8D" w:rsidRPr="00DB5234" w:rsidRDefault="00D80E8D" w:rsidP="00D80E8D">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p>
        </w:tc>
      </w:tr>
      <w:tr w:rsidR="00D80E8D" w:rsidRPr="002917EA" w14:paraId="54B91646" w14:textId="77777777" w:rsidTr="00D80E8D">
        <w:trPr>
          <w:cantSplit w:val="0"/>
        </w:trPr>
        <w:tc>
          <w:tcPr>
            <w:tcW w:w="5407" w:type="dxa"/>
            <w:tcBorders>
              <w:top w:val="single" w:sz="2" w:space="0" w:color="A6A6A6" w:themeColor="accent5"/>
              <w:bottom w:val="single" w:sz="4" w:space="0" w:color="A6A6A6"/>
            </w:tcBorders>
            <w:hideMark/>
          </w:tcPr>
          <w:p w14:paraId="1692C89D" w14:textId="77777777" w:rsidR="004A2DF7" w:rsidRPr="00C27540" w:rsidRDefault="004A2DF7">
            <w:pPr>
              <w:pStyle w:val="ARfintablebody"/>
            </w:pPr>
            <w:r w:rsidRPr="00C27540">
              <w:t>Receipts from government</w:t>
            </w:r>
          </w:p>
        </w:tc>
        <w:tc>
          <w:tcPr>
            <w:cnfStyle w:val="000001000000" w:firstRow="0" w:lastRow="0" w:firstColumn="0" w:lastColumn="0" w:oddVBand="0" w:evenVBand="1" w:oddHBand="0" w:evenHBand="0" w:firstRowFirstColumn="0" w:firstRowLastColumn="0" w:lastRowFirstColumn="0" w:lastRowLastColumn="0"/>
            <w:tcW w:w="1124" w:type="dxa"/>
            <w:tcBorders>
              <w:top w:val="single" w:sz="2" w:space="0" w:color="A6A6A6" w:themeColor="accent5"/>
              <w:bottom w:val="single" w:sz="4" w:space="0" w:color="A6A6A6"/>
            </w:tcBorders>
            <w:hideMark/>
          </w:tcPr>
          <w:p w14:paraId="1826F6BF" w14:textId="77777777" w:rsidR="004A2DF7" w:rsidRPr="00C27540" w:rsidRDefault="004A2DF7">
            <w:pPr>
              <w:pStyle w:val="ARfintablebodyright"/>
            </w:pPr>
            <w:r w:rsidRPr="00C27540">
              <w:t>6,422</w:t>
            </w:r>
          </w:p>
        </w:tc>
        <w:tc>
          <w:tcPr>
            <w:tcW w:w="1134" w:type="dxa"/>
            <w:tcBorders>
              <w:top w:val="single" w:sz="2" w:space="0" w:color="A6A6A6" w:themeColor="accent5"/>
              <w:bottom w:val="single" w:sz="4" w:space="0" w:color="A6A6A6"/>
            </w:tcBorders>
            <w:hideMark/>
          </w:tcPr>
          <w:p w14:paraId="29D4AA58" w14:textId="77777777" w:rsidR="004A2DF7" w:rsidRPr="00C27540"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C27540">
              <w:t>5,291</w:t>
            </w:r>
          </w:p>
        </w:tc>
        <w:tc>
          <w:tcPr>
            <w:cnfStyle w:val="000001000000" w:firstRow="0" w:lastRow="0" w:firstColumn="0" w:lastColumn="0" w:oddVBand="0" w:evenVBand="1" w:oddHBand="0" w:evenHBand="0" w:firstRowFirstColumn="0" w:firstRowLastColumn="0" w:lastRowFirstColumn="0" w:lastRowLastColumn="0"/>
            <w:tcW w:w="1214" w:type="dxa"/>
            <w:tcBorders>
              <w:top w:val="single" w:sz="2" w:space="0" w:color="A6A6A6" w:themeColor="accent5"/>
              <w:bottom w:val="single" w:sz="4" w:space="0" w:color="A6A6A6"/>
            </w:tcBorders>
            <w:hideMark/>
          </w:tcPr>
          <w:p w14:paraId="5E97CB35" w14:textId="77777777" w:rsidR="004A2DF7" w:rsidRPr="00C27540" w:rsidRDefault="004A2DF7">
            <w:pPr>
              <w:pStyle w:val="ARfintablebodyright"/>
            </w:pPr>
            <w:r w:rsidRPr="00C27540">
              <w:t>21.4</w:t>
            </w:r>
          </w:p>
        </w:tc>
        <w:tc>
          <w:tcPr>
            <w:tcW w:w="765" w:type="dxa"/>
            <w:tcBorders>
              <w:top w:val="single" w:sz="2" w:space="0" w:color="A6A6A6" w:themeColor="accent5"/>
              <w:bottom w:val="single" w:sz="4" w:space="0" w:color="A6A6A6"/>
            </w:tcBorders>
            <w:hideMark/>
          </w:tcPr>
          <w:p w14:paraId="005B96E9" w14:textId="77777777" w:rsidR="004A2DF7" w:rsidRPr="00DB5234" w:rsidRDefault="004A2DF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r w:rsidRPr="00DB5234">
              <w:rPr>
                <w:vertAlign w:val="superscript"/>
              </w:rPr>
              <w:t>(a)</w:t>
            </w:r>
          </w:p>
        </w:tc>
      </w:tr>
      <w:tr w:rsidR="00D80E8D" w:rsidRPr="00DB5234" w14:paraId="22E1BE5D" w14:textId="77777777" w:rsidTr="00D80E8D">
        <w:trPr>
          <w:cantSplit w:val="0"/>
        </w:trPr>
        <w:tc>
          <w:tcPr>
            <w:tcW w:w="5407" w:type="dxa"/>
            <w:tcBorders>
              <w:top w:val="single" w:sz="4" w:space="0" w:color="A6A6A6"/>
              <w:bottom w:val="single" w:sz="4" w:space="0" w:color="A6A6A6"/>
            </w:tcBorders>
            <w:hideMark/>
          </w:tcPr>
          <w:p w14:paraId="5B986D05" w14:textId="77777777" w:rsidR="004A2DF7" w:rsidRPr="00DB5234" w:rsidRDefault="004A2DF7">
            <w:pPr>
              <w:pStyle w:val="ARfintablebody"/>
            </w:pPr>
            <w:r w:rsidRPr="00DB5234">
              <w:t>Receipts from other entities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A6A6A6"/>
              <w:bottom w:val="single" w:sz="4" w:space="0" w:color="A6A6A6"/>
            </w:tcBorders>
            <w:hideMark/>
          </w:tcPr>
          <w:p w14:paraId="019B4F22" w14:textId="77777777" w:rsidR="004A2DF7" w:rsidRPr="00DB5234" w:rsidRDefault="004A2DF7">
            <w:pPr>
              <w:pStyle w:val="ARfintablebodyright"/>
            </w:pPr>
            <w:r w:rsidRPr="00DB5234">
              <w:t>36</w:t>
            </w:r>
          </w:p>
        </w:tc>
        <w:tc>
          <w:tcPr>
            <w:tcW w:w="1134" w:type="dxa"/>
            <w:tcBorders>
              <w:top w:val="single" w:sz="4" w:space="0" w:color="A6A6A6"/>
              <w:bottom w:val="single" w:sz="4" w:space="0" w:color="A6A6A6"/>
            </w:tcBorders>
            <w:hideMark/>
          </w:tcPr>
          <w:p w14:paraId="3E37778F" w14:textId="77777777" w:rsidR="004A2DF7" w:rsidRPr="00DB5234"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B5234">
              <w:t>29</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A6A6A6"/>
              <w:bottom w:val="single" w:sz="4" w:space="0" w:color="A6A6A6"/>
            </w:tcBorders>
            <w:hideMark/>
          </w:tcPr>
          <w:p w14:paraId="70F2893B" w14:textId="77777777" w:rsidR="004A2DF7" w:rsidRPr="00DB5234" w:rsidRDefault="004A2DF7">
            <w:pPr>
              <w:pStyle w:val="ARfintablebodyright"/>
            </w:pPr>
            <w:r w:rsidRPr="00DB5234">
              <w:t>26.0</w:t>
            </w:r>
          </w:p>
        </w:tc>
        <w:tc>
          <w:tcPr>
            <w:tcW w:w="765" w:type="dxa"/>
            <w:tcBorders>
              <w:top w:val="single" w:sz="4" w:space="0" w:color="A6A6A6"/>
              <w:bottom w:val="single" w:sz="4" w:space="0" w:color="A6A6A6"/>
            </w:tcBorders>
            <w:hideMark/>
          </w:tcPr>
          <w:p w14:paraId="23879166" w14:textId="77777777" w:rsidR="004A2DF7" w:rsidRPr="00DB5234"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B5234" w14:paraId="09CBCCEF" w14:textId="77777777" w:rsidTr="00D80E8D">
        <w:trPr>
          <w:cantSplit w:val="0"/>
        </w:trPr>
        <w:tc>
          <w:tcPr>
            <w:tcW w:w="5407" w:type="dxa"/>
            <w:tcBorders>
              <w:top w:val="single" w:sz="4" w:space="0" w:color="A6A6A6"/>
              <w:bottom w:val="single" w:sz="4" w:space="0" w:color="000000" w:themeColor="text1"/>
            </w:tcBorders>
            <w:hideMark/>
          </w:tcPr>
          <w:p w14:paraId="4950B420" w14:textId="77777777" w:rsidR="004A2DF7" w:rsidRPr="00DB5234" w:rsidRDefault="004A2DF7">
            <w:pPr>
              <w:pStyle w:val="ARfintablebody"/>
            </w:pPr>
            <w:r w:rsidRPr="00DB5234">
              <w:t>Other receipts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A6A6A6"/>
              <w:bottom w:val="single" w:sz="4" w:space="0" w:color="000000" w:themeColor="text1"/>
            </w:tcBorders>
            <w:hideMark/>
          </w:tcPr>
          <w:p w14:paraId="381B0E43" w14:textId="77777777" w:rsidR="004A2DF7" w:rsidRPr="00DB5234" w:rsidRDefault="004A2DF7">
            <w:pPr>
              <w:pStyle w:val="ARfintablebodyright"/>
            </w:pPr>
            <w:r w:rsidRPr="00DB5234">
              <w:t>(30)</w:t>
            </w:r>
          </w:p>
        </w:tc>
        <w:tc>
          <w:tcPr>
            <w:tcW w:w="1134" w:type="dxa"/>
            <w:tcBorders>
              <w:top w:val="single" w:sz="4" w:space="0" w:color="A6A6A6"/>
              <w:bottom w:val="single" w:sz="4" w:space="0" w:color="000000" w:themeColor="text1"/>
            </w:tcBorders>
            <w:hideMark/>
          </w:tcPr>
          <w:p w14:paraId="00FEE3A1" w14:textId="77777777" w:rsidR="004A2DF7" w:rsidRPr="00DB5234"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B5234">
              <w:t>6</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A6A6A6"/>
              <w:bottom w:val="single" w:sz="4" w:space="0" w:color="000000" w:themeColor="text1"/>
            </w:tcBorders>
            <w:hideMark/>
          </w:tcPr>
          <w:p w14:paraId="4D6F4F4F" w14:textId="77777777" w:rsidR="004A2DF7" w:rsidRPr="00DB5234" w:rsidRDefault="004A2DF7">
            <w:pPr>
              <w:pStyle w:val="ARfintablebodyright"/>
            </w:pPr>
            <w:r w:rsidRPr="00DB5234">
              <w:t>(642)</w:t>
            </w:r>
          </w:p>
        </w:tc>
        <w:tc>
          <w:tcPr>
            <w:tcW w:w="765" w:type="dxa"/>
            <w:tcBorders>
              <w:top w:val="single" w:sz="4" w:space="0" w:color="A6A6A6"/>
              <w:bottom w:val="single" w:sz="4" w:space="0" w:color="000000" w:themeColor="text1"/>
            </w:tcBorders>
            <w:hideMark/>
          </w:tcPr>
          <w:p w14:paraId="42426FE7" w14:textId="77777777" w:rsidR="004A2DF7" w:rsidRPr="00DB5234"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B5234" w14:paraId="159B39AC" w14:textId="77777777" w:rsidTr="00D80E8D">
        <w:trPr>
          <w:cantSplit w:val="0"/>
        </w:trPr>
        <w:tc>
          <w:tcPr>
            <w:tcW w:w="5407" w:type="dxa"/>
            <w:tcBorders>
              <w:top w:val="single" w:sz="4" w:space="0" w:color="000000" w:themeColor="text1"/>
              <w:bottom w:val="single" w:sz="4" w:space="0" w:color="auto"/>
            </w:tcBorders>
            <w:hideMark/>
          </w:tcPr>
          <w:p w14:paraId="6A81A265" w14:textId="77777777" w:rsidR="004A2DF7" w:rsidRPr="00DB5234" w:rsidRDefault="004A2DF7">
            <w:pPr>
              <w:pStyle w:val="ARfintablebodybold"/>
            </w:pPr>
            <w:r w:rsidRPr="00DB5234">
              <w:t>Total receipts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000000" w:themeColor="text1"/>
              <w:bottom w:val="single" w:sz="4" w:space="0" w:color="auto"/>
            </w:tcBorders>
            <w:hideMark/>
          </w:tcPr>
          <w:p w14:paraId="0A3FF807" w14:textId="77777777" w:rsidR="004A2DF7" w:rsidRPr="00DB5234" w:rsidRDefault="004A2DF7">
            <w:pPr>
              <w:pStyle w:val="ARfintablebodyrightbold"/>
            </w:pPr>
            <w:r w:rsidRPr="00DB5234">
              <w:t>6,428</w:t>
            </w:r>
          </w:p>
        </w:tc>
        <w:tc>
          <w:tcPr>
            <w:tcW w:w="1134" w:type="dxa"/>
            <w:tcBorders>
              <w:top w:val="single" w:sz="4" w:space="0" w:color="000000" w:themeColor="text1"/>
              <w:bottom w:val="single" w:sz="4" w:space="0" w:color="auto"/>
            </w:tcBorders>
            <w:hideMark/>
          </w:tcPr>
          <w:p w14:paraId="531AD745" w14:textId="77777777" w:rsidR="004A2DF7" w:rsidRPr="00DB5234"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DB5234">
              <w:t>5,325</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000000" w:themeColor="text1"/>
              <w:bottom w:val="single" w:sz="4" w:space="0" w:color="auto"/>
            </w:tcBorders>
            <w:hideMark/>
          </w:tcPr>
          <w:p w14:paraId="47C14AC8" w14:textId="77777777" w:rsidR="004A2DF7" w:rsidRPr="00DB5234" w:rsidRDefault="004A2DF7">
            <w:pPr>
              <w:pStyle w:val="ARfintablebodyrightbold"/>
            </w:pPr>
            <w:r w:rsidRPr="00DB5234">
              <w:t>20.7</w:t>
            </w:r>
          </w:p>
        </w:tc>
        <w:tc>
          <w:tcPr>
            <w:tcW w:w="765" w:type="dxa"/>
            <w:tcBorders>
              <w:top w:val="single" w:sz="4" w:space="0" w:color="000000" w:themeColor="text1"/>
              <w:bottom w:val="single" w:sz="4" w:space="0" w:color="auto"/>
            </w:tcBorders>
            <w:hideMark/>
          </w:tcPr>
          <w:p w14:paraId="5D5EB6E4" w14:textId="77777777" w:rsidR="004A2DF7" w:rsidRPr="00DB5234"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B5234" w14:paraId="23CEDA43" w14:textId="77777777" w:rsidTr="00D80E8D">
        <w:trPr>
          <w:cantSplit w:val="0"/>
        </w:trPr>
        <w:tc>
          <w:tcPr>
            <w:tcW w:w="5407" w:type="dxa"/>
            <w:tcBorders>
              <w:top w:val="single" w:sz="2" w:space="0" w:color="A6A6A6" w:themeColor="accent5"/>
              <w:bottom w:val="single" w:sz="4" w:space="0" w:color="A6A6A6"/>
            </w:tcBorders>
          </w:tcPr>
          <w:p w14:paraId="6766B03D" w14:textId="75C21368" w:rsidR="00D80E8D" w:rsidRPr="00DB5234" w:rsidRDefault="00D80E8D" w:rsidP="00D80E8D">
            <w:pPr>
              <w:pStyle w:val="ARfintablebodybold"/>
            </w:pPr>
            <w:r w:rsidRPr="00DB5234">
              <w:t>Payments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2" w:space="0" w:color="A6A6A6" w:themeColor="accent5"/>
              <w:bottom w:val="single" w:sz="4" w:space="0" w:color="A6A6A6"/>
            </w:tcBorders>
          </w:tcPr>
          <w:p w14:paraId="6983F9B0" w14:textId="77777777" w:rsidR="00D80E8D" w:rsidRPr="00DB5234" w:rsidRDefault="00D80E8D">
            <w:pPr>
              <w:pStyle w:val="ARfintablebodyright"/>
            </w:pPr>
          </w:p>
        </w:tc>
        <w:tc>
          <w:tcPr>
            <w:tcW w:w="1134" w:type="dxa"/>
            <w:tcBorders>
              <w:top w:val="single" w:sz="2" w:space="0" w:color="A6A6A6" w:themeColor="accent5"/>
              <w:bottom w:val="single" w:sz="4" w:space="0" w:color="A6A6A6"/>
            </w:tcBorders>
          </w:tcPr>
          <w:p w14:paraId="070EB380" w14:textId="77777777" w:rsidR="00D80E8D" w:rsidRPr="00DB5234" w:rsidRDefault="00D80E8D">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14" w:type="dxa"/>
            <w:tcBorders>
              <w:top w:val="single" w:sz="2" w:space="0" w:color="A6A6A6" w:themeColor="accent5"/>
              <w:bottom w:val="single" w:sz="4" w:space="0" w:color="A6A6A6"/>
            </w:tcBorders>
          </w:tcPr>
          <w:p w14:paraId="5A08F1D1" w14:textId="77777777" w:rsidR="00D80E8D" w:rsidRPr="00DB5234" w:rsidRDefault="00D80E8D">
            <w:pPr>
              <w:pStyle w:val="ARfintablebodyright"/>
            </w:pPr>
          </w:p>
        </w:tc>
        <w:tc>
          <w:tcPr>
            <w:tcW w:w="765" w:type="dxa"/>
            <w:tcBorders>
              <w:top w:val="single" w:sz="2" w:space="0" w:color="A6A6A6" w:themeColor="accent5"/>
              <w:bottom w:val="single" w:sz="4" w:space="0" w:color="A6A6A6"/>
            </w:tcBorders>
          </w:tcPr>
          <w:p w14:paraId="2431C13C" w14:textId="77777777" w:rsidR="00D80E8D" w:rsidRPr="00DB5234" w:rsidRDefault="00D80E8D">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p>
        </w:tc>
      </w:tr>
      <w:tr w:rsidR="00D80E8D" w:rsidRPr="00DB5234" w14:paraId="4BCBB72C" w14:textId="77777777" w:rsidTr="00D80E8D">
        <w:trPr>
          <w:cantSplit w:val="0"/>
        </w:trPr>
        <w:tc>
          <w:tcPr>
            <w:tcW w:w="5407" w:type="dxa"/>
            <w:tcBorders>
              <w:top w:val="single" w:sz="2" w:space="0" w:color="A6A6A6" w:themeColor="accent5"/>
              <w:bottom w:val="single" w:sz="4" w:space="0" w:color="A6A6A6"/>
            </w:tcBorders>
            <w:hideMark/>
          </w:tcPr>
          <w:p w14:paraId="00BFAF32" w14:textId="77777777" w:rsidR="004A2DF7" w:rsidRPr="00DB5234" w:rsidRDefault="004A2DF7">
            <w:pPr>
              <w:pStyle w:val="ARfintablebody"/>
            </w:pPr>
            <w:r w:rsidRPr="00DB5234">
              <w:t>Payments of grants and other transfers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2" w:space="0" w:color="A6A6A6" w:themeColor="accent5"/>
              <w:bottom w:val="single" w:sz="4" w:space="0" w:color="A6A6A6"/>
            </w:tcBorders>
            <w:hideMark/>
          </w:tcPr>
          <w:p w14:paraId="54B0AF96" w14:textId="77777777" w:rsidR="004A2DF7" w:rsidRPr="00DB5234" w:rsidRDefault="004A2DF7">
            <w:pPr>
              <w:pStyle w:val="ARfintablebodyright"/>
            </w:pPr>
            <w:r w:rsidRPr="00DB5234">
              <w:t>(1.372)</w:t>
            </w:r>
          </w:p>
        </w:tc>
        <w:tc>
          <w:tcPr>
            <w:tcW w:w="1134" w:type="dxa"/>
            <w:tcBorders>
              <w:top w:val="single" w:sz="2" w:space="0" w:color="A6A6A6" w:themeColor="accent5"/>
              <w:bottom w:val="single" w:sz="4" w:space="0" w:color="A6A6A6"/>
            </w:tcBorders>
            <w:hideMark/>
          </w:tcPr>
          <w:p w14:paraId="194CDD98" w14:textId="77777777" w:rsidR="004A2DF7" w:rsidRPr="00DB5234"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B5234">
              <w:t>(1,155)</w:t>
            </w:r>
          </w:p>
        </w:tc>
        <w:tc>
          <w:tcPr>
            <w:cnfStyle w:val="000001000000" w:firstRow="0" w:lastRow="0" w:firstColumn="0" w:lastColumn="0" w:oddVBand="0" w:evenVBand="1" w:oddHBand="0" w:evenHBand="0" w:firstRowFirstColumn="0" w:firstRowLastColumn="0" w:lastRowFirstColumn="0" w:lastRowLastColumn="0"/>
            <w:tcW w:w="1214" w:type="dxa"/>
            <w:tcBorders>
              <w:top w:val="single" w:sz="2" w:space="0" w:color="A6A6A6" w:themeColor="accent5"/>
              <w:bottom w:val="single" w:sz="4" w:space="0" w:color="A6A6A6"/>
            </w:tcBorders>
            <w:hideMark/>
          </w:tcPr>
          <w:p w14:paraId="34DDD5D4" w14:textId="77777777" w:rsidR="004A2DF7" w:rsidRPr="00DB5234" w:rsidRDefault="004A2DF7">
            <w:pPr>
              <w:pStyle w:val="ARfintablebodyright"/>
            </w:pPr>
            <w:r w:rsidRPr="00DB5234">
              <w:t>18.8</w:t>
            </w:r>
          </w:p>
        </w:tc>
        <w:tc>
          <w:tcPr>
            <w:tcW w:w="765" w:type="dxa"/>
            <w:tcBorders>
              <w:top w:val="single" w:sz="2" w:space="0" w:color="A6A6A6" w:themeColor="accent5"/>
              <w:bottom w:val="single" w:sz="4" w:space="0" w:color="A6A6A6"/>
            </w:tcBorders>
            <w:hideMark/>
          </w:tcPr>
          <w:p w14:paraId="3D60F60A" w14:textId="77777777" w:rsidR="004A2DF7" w:rsidRPr="00DB5234" w:rsidRDefault="004A2DF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r w:rsidRPr="00DB5234">
              <w:rPr>
                <w:vertAlign w:val="superscript"/>
              </w:rPr>
              <w:t>(b)</w:t>
            </w:r>
          </w:p>
        </w:tc>
      </w:tr>
      <w:tr w:rsidR="00D80E8D" w:rsidRPr="002917EA" w14:paraId="69544271" w14:textId="77777777" w:rsidTr="00D80E8D">
        <w:trPr>
          <w:cantSplit w:val="0"/>
        </w:trPr>
        <w:tc>
          <w:tcPr>
            <w:tcW w:w="5407" w:type="dxa"/>
            <w:tcBorders>
              <w:top w:val="single" w:sz="4" w:space="0" w:color="A6A6A6"/>
              <w:bottom w:val="single" w:sz="4" w:space="0" w:color="A6A6A6"/>
            </w:tcBorders>
            <w:hideMark/>
          </w:tcPr>
          <w:p w14:paraId="613EEF25" w14:textId="77777777" w:rsidR="004A2DF7" w:rsidRPr="00DB5234" w:rsidRDefault="004A2DF7">
            <w:pPr>
              <w:pStyle w:val="ARfintablebody"/>
            </w:pPr>
            <w:r w:rsidRPr="00DB5234">
              <w:t>Payments to suppliers and employees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A6A6A6"/>
              <w:bottom w:val="single" w:sz="4" w:space="0" w:color="A6A6A6"/>
            </w:tcBorders>
            <w:hideMark/>
          </w:tcPr>
          <w:p w14:paraId="46694851" w14:textId="77777777" w:rsidR="004A2DF7" w:rsidRPr="00DB5234" w:rsidRDefault="004A2DF7">
            <w:pPr>
              <w:pStyle w:val="ARfintablebodyright"/>
            </w:pPr>
            <w:r w:rsidRPr="00DB5234">
              <w:t>(5,018)</w:t>
            </w:r>
          </w:p>
        </w:tc>
        <w:tc>
          <w:tcPr>
            <w:tcW w:w="1134" w:type="dxa"/>
            <w:tcBorders>
              <w:top w:val="single" w:sz="4" w:space="0" w:color="A6A6A6"/>
              <w:bottom w:val="single" w:sz="4" w:space="0" w:color="A6A6A6"/>
            </w:tcBorders>
            <w:hideMark/>
          </w:tcPr>
          <w:p w14:paraId="50081827" w14:textId="77777777" w:rsidR="004A2DF7" w:rsidRPr="00DB5234"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B5234">
              <w:t>(4,136)</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A6A6A6"/>
              <w:bottom w:val="single" w:sz="4" w:space="0" w:color="A6A6A6"/>
            </w:tcBorders>
            <w:hideMark/>
          </w:tcPr>
          <w:p w14:paraId="61936A01" w14:textId="77777777" w:rsidR="004A2DF7" w:rsidRPr="00DB5234" w:rsidRDefault="004A2DF7">
            <w:pPr>
              <w:pStyle w:val="ARfintablebodyright"/>
            </w:pPr>
            <w:r w:rsidRPr="00DB5234">
              <w:t>21.3</w:t>
            </w:r>
          </w:p>
        </w:tc>
        <w:tc>
          <w:tcPr>
            <w:tcW w:w="765" w:type="dxa"/>
            <w:tcBorders>
              <w:top w:val="single" w:sz="4" w:space="0" w:color="A6A6A6"/>
              <w:bottom w:val="single" w:sz="4" w:space="0" w:color="A6A6A6"/>
            </w:tcBorders>
            <w:hideMark/>
          </w:tcPr>
          <w:p w14:paraId="6F56A065" w14:textId="77777777" w:rsidR="004A2DF7" w:rsidRPr="00DB5234" w:rsidRDefault="004A2DF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r w:rsidRPr="00DB5234">
              <w:rPr>
                <w:vertAlign w:val="superscript"/>
              </w:rPr>
              <w:t>(c)</w:t>
            </w:r>
          </w:p>
        </w:tc>
      </w:tr>
      <w:tr w:rsidR="00D80E8D" w:rsidRPr="00D813AD" w14:paraId="0E502255" w14:textId="77777777" w:rsidTr="00D80E8D">
        <w:trPr>
          <w:cantSplit w:val="0"/>
        </w:trPr>
        <w:tc>
          <w:tcPr>
            <w:tcW w:w="5407" w:type="dxa"/>
            <w:tcBorders>
              <w:top w:val="single" w:sz="4" w:space="0" w:color="A6A6A6"/>
              <w:bottom w:val="single" w:sz="4" w:space="0" w:color="000000" w:themeColor="text1"/>
            </w:tcBorders>
            <w:hideMark/>
          </w:tcPr>
          <w:p w14:paraId="6085DDB6" w14:textId="77777777" w:rsidR="004A2DF7" w:rsidRPr="00D813AD" w:rsidRDefault="004A2DF7">
            <w:pPr>
              <w:pStyle w:val="ARfintablebody"/>
            </w:pPr>
            <w:r w:rsidRPr="00D813AD">
              <w:t>Interest and other costs of finance</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A6A6A6"/>
              <w:bottom w:val="single" w:sz="4" w:space="0" w:color="000000" w:themeColor="text1"/>
            </w:tcBorders>
            <w:hideMark/>
          </w:tcPr>
          <w:p w14:paraId="0A978834" w14:textId="77777777" w:rsidR="004A2DF7" w:rsidRPr="00D813AD" w:rsidRDefault="004A2DF7">
            <w:pPr>
              <w:pStyle w:val="ARfintablebodyright"/>
            </w:pPr>
            <w:r w:rsidRPr="00D813AD">
              <w:t>(1)</w:t>
            </w:r>
          </w:p>
        </w:tc>
        <w:tc>
          <w:tcPr>
            <w:tcW w:w="1134" w:type="dxa"/>
            <w:tcBorders>
              <w:top w:val="single" w:sz="4" w:space="0" w:color="A6A6A6"/>
              <w:bottom w:val="single" w:sz="4" w:space="0" w:color="000000" w:themeColor="text1"/>
            </w:tcBorders>
            <w:hideMark/>
          </w:tcPr>
          <w:p w14:paraId="7250FABE" w14:textId="77777777" w:rsidR="004A2DF7" w:rsidRPr="00D813AD"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813AD">
              <w:t>(3)</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A6A6A6"/>
              <w:bottom w:val="single" w:sz="4" w:space="0" w:color="000000" w:themeColor="text1"/>
            </w:tcBorders>
            <w:hideMark/>
          </w:tcPr>
          <w:p w14:paraId="27B052A5" w14:textId="77777777" w:rsidR="004A2DF7" w:rsidRPr="00D813AD" w:rsidRDefault="004A2DF7">
            <w:pPr>
              <w:pStyle w:val="ARfintablebodyright"/>
            </w:pPr>
            <w:r w:rsidRPr="00D813AD">
              <w:t>(50.5)</w:t>
            </w:r>
          </w:p>
        </w:tc>
        <w:tc>
          <w:tcPr>
            <w:tcW w:w="765" w:type="dxa"/>
            <w:tcBorders>
              <w:top w:val="single" w:sz="4" w:space="0" w:color="A6A6A6"/>
              <w:bottom w:val="single" w:sz="4" w:space="0" w:color="000000" w:themeColor="text1"/>
            </w:tcBorders>
            <w:hideMark/>
          </w:tcPr>
          <w:p w14:paraId="325F5517"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5453E7D1" w14:textId="77777777" w:rsidTr="00D80E8D">
        <w:trPr>
          <w:cantSplit w:val="0"/>
        </w:trPr>
        <w:tc>
          <w:tcPr>
            <w:tcW w:w="5407" w:type="dxa"/>
            <w:tcBorders>
              <w:top w:val="single" w:sz="4" w:space="0" w:color="000000" w:themeColor="text1"/>
              <w:bottom w:val="single" w:sz="4" w:space="0" w:color="000000" w:themeColor="text1"/>
            </w:tcBorders>
            <w:hideMark/>
          </w:tcPr>
          <w:p w14:paraId="3341DB97" w14:textId="77777777" w:rsidR="004A2DF7" w:rsidRPr="00D813AD" w:rsidRDefault="004A2DF7">
            <w:pPr>
              <w:pStyle w:val="ARfintablebodybold"/>
            </w:pPr>
            <w:r w:rsidRPr="00D813AD">
              <w:t>Total payments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000000" w:themeColor="text1"/>
              <w:bottom w:val="single" w:sz="4" w:space="0" w:color="000000" w:themeColor="text1"/>
            </w:tcBorders>
            <w:hideMark/>
          </w:tcPr>
          <w:p w14:paraId="0091F8FD" w14:textId="77777777" w:rsidR="004A2DF7" w:rsidRPr="00D813AD" w:rsidRDefault="004A2DF7">
            <w:pPr>
              <w:pStyle w:val="ARfintablebodyrightbold"/>
            </w:pPr>
            <w:r w:rsidRPr="00D813AD">
              <w:t>(6,391)</w:t>
            </w:r>
          </w:p>
        </w:tc>
        <w:tc>
          <w:tcPr>
            <w:tcW w:w="1134" w:type="dxa"/>
            <w:tcBorders>
              <w:top w:val="single" w:sz="4" w:space="0" w:color="000000" w:themeColor="text1"/>
              <w:bottom w:val="single" w:sz="4" w:space="0" w:color="000000" w:themeColor="text1"/>
            </w:tcBorders>
            <w:hideMark/>
          </w:tcPr>
          <w:p w14:paraId="7B09C02C" w14:textId="77777777" w:rsidR="004A2DF7" w:rsidRPr="00D813AD"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D813AD">
              <w:t>(5,294)</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000000" w:themeColor="text1"/>
              <w:bottom w:val="single" w:sz="4" w:space="0" w:color="000000" w:themeColor="text1"/>
            </w:tcBorders>
            <w:hideMark/>
          </w:tcPr>
          <w:p w14:paraId="401E5604" w14:textId="77777777" w:rsidR="004A2DF7" w:rsidRPr="00D813AD" w:rsidRDefault="004A2DF7">
            <w:pPr>
              <w:pStyle w:val="ARfintablebodyrightbold"/>
            </w:pPr>
            <w:r w:rsidRPr="00D813AD">
              <w:t>20.7</w:t>
            </w:r>
          </w:p>
        </w:tc>
        <w:tc>
          <w:tcPr>
            <w:tcW w:w="765" w:type="dxa"/>
            <w:tcBorders>
              <w:top w:val="single" w:sz="4" w:space="0" w:color="000000" w:themeColor="text1"/>
              <w:bottom w:val="single" w:sz="4" w:space="0" w:color="000000" w:themeColor="text1"/>
            </w:tcBorders>
            <w:hideMark/>
          </w:tcPr>
          <w:p w14:paraId="66D6AA66"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39267860" w14:textId="77777777" w:rsidTr="00D80E8D">
        <w:trPr>
          <w:cantSplit w:val="0"/>
        </w:trPr>
        <w:tc>
          <w:tcPr>
            <w:tcW w:w="5407" w:type="dxa"/>
            <w:tcBorders>
              <w:top w:val="single" w:sz="4" w:space="0" w:color="000000" w:themeColor="text1"/>
              <w:bottom w:val="single" w:sz="4" w:space="0" w:color="auto"/>
            </w:tcBorders>
            <w:hideMark/>
          </w:tcPr>
          <w:p w14:paraId="31F111D2" w14:textId="77777777" w:rsidR="004A2DF7" w:rsidRPr="00D813AD" w:rsidRDefault="004A2DF7">
            <w:pPr>
              <w:pStyle w:val="ARfintablebodybold"/>
            </w:pPr>
            <w:r w:rsidRPr="00D813AD">
              <w:t>Net cash flows from</w:t>
            </w:r>
            <w:proofErr w:type="gramStart"/>
            <w:r w:rsidRPr="00D813AD">
              <w:t>/(</w:t>
            </w:r>
            <w:proofErr w:type="gramEnd"/>
            <w:r w:rsidRPr="00D813AD">
              <w:t>used in) operating activities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000000" w:themeColor="text1"/>
              <w:bottom w:val="single" w:sz="4" w:space="0" w:color="auto"/>
            </w:tcBorders>
            <w:hideMark/>
          </w:tcPr>
          <w:p w14:paraId="0845776A" w14:textId="77777777" w:rsidR="004A2DF7" w:rsidRPr="00D813AD" w:rsidRDefault="004A2DF7">
            <w:pPr>
              <w:pStyle w:val="ARfintablebodyrightbold"/>
            </w:pPr>
            <w:r w:rsidRPr="00D813AD">
              <w:t>36</w:t>
            </w:r>
          </w:p>
        </w:tc>
        <w:tc>
          <w:tcPr>
            <w:tcW w:w="1134" w:type="dxa"/>
            <w:tcBorders>
              <w:top w:val="single" w:sz="4" w:space="0" w:color="000000" w:themeColor="text1"/>
              <w:bottom w:val="single" w:sz="4" w:space="0" w:color="auto"/>
            </w:tcBorders>
            <w:hideMark/>
          </w:tcPr>
          <w:p w14:paraId="6C02D3FA" w14:textId="77777777" w:rsidR="004A2DF7" w:rsidRPr="00D813AD"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D813AD">
              <w:t>31</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000000" w:themeColor="text1"/>
              <w:bottom w:val="single" w:sz="4" w:space="0" w:color="auto"/>
            </w:tcBorders>
            <w:hideMark/>
          </w:tcPr>
          <w:p w14:paraId="438B200C" w14:textId="77777777" w:rsidR="004A2DF7" w:rsidRPr="00D813AD" w:rsidRDefault="004A2DF7">
            <w:pPr>
              <w:pStyle w:val="ARfintablebodyrightbold"/>
            </w:pPr>
            <w:r w:rsidRPr="00D813AD">
              <w:t>15.0</w:t>
            </w:r>
          </w:p>
        </w:tc>
        <w:tc>
          <w:tcPr>
            <w:tcW w:w="765" w:type="dxa"/>
            <w:tcBorders>
              <w:top w:val="single" w:sz="4" w:space="0" w:color="000000" w:themeColor="text1"/>
              <w:bottom w:val="single" w:sz="4" w:space="0" w:color="auto"/>
            </w:tcBorders>
            <w:hideMark/>
          </w:tcPr>
          <w:p w14:paraId="4B593A82"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553D9FA7" w14:textId="77777777" w:rsidTr="00D80E8D">
        <w:trPr>
          <w:cantSplit w:val="0"/>
        </w:trPr>
        <w:tc>
          <w:tcPr>
            <w:tcW w:w="5407" w:type="dxa"/>
            <w:tcBorders>
              <w:top w:val="single" w:sz="2" w:space="0" w:color="A6A6A6" w:themeColor="accent5"/>
              <w:bottom w:val="single" w:sz="4" w:space="0" w:color="A6A6A6"/>
            </w:tcBorders>
          </w:tcPr>
          <w:p w14:paraId="6EA1A5B9" w14:textId="4D6183AA" w:rsidR="00D80E8D" w:rsidRPr="00D813AD" w:rsidRDefault="00D80E8D" w:rsidP="00D80E8D">
            <w:pPr>
              <w:pStyle w:val="ARfintablebodyboldcoloured"/>
            </w:pPr>
            <w:r w:rsidRPr="00D813AD">
              <w:t>Cash flows from investing activities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2" w:space="0" w:color="A6A6A6" w:themeColor="accent5"/>
              <w:bottom w:val="single" w:sz="4" w:space="0" w:color="A6A6A6"/>
            </w:tcBorders>
          </w:tcPr>
          <w:p w14:paraId="4A5FA0AB" w14:textId="77777777" w:rsidR="00D80E8D" w:rsidRPr="00D813AD" w:rsidRDefault="00D80E8D">
            <w:pPr>
              <w:pStyle w:val="ARfintablebodyright"/>
            </w:pPr>
          </w:p>
        </w:tc>
        <w:tc>
          <w:tcPr>
            <w:tcW w:w="1134" w:type="dxa"/>
            <w:tcBorders>
              <w:top w:val="single" w:sz="2" w:space="0" w:color="A6A6A6" w:themeColor="accent5"/>
              <w:bottom w:val="single" w:sz="4" w:space="0" w:color="A6A6A6"/>
            </w:tcBorders>
          </w:tcPr>
          <w:p w14:paraId="51A3A0B4" w14:textId="77777777" w:rsidR="00D80E8D" w:rsidRPr="00D813AD" w:rsidRDefault="00D80E8D">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14" w:type="dxa"/>
            <w:tcBorders>
              <w:top w:val="single" w:sz="2" w:space="0" w:color="A6A6A6" w:themeColor="accent5"/>
              <w:bottom w:val="single" w:sz="4" w:space="0" w:color="A6A6A6"/>
            </w:tcBorders>
          </w:tcPr>
          <w:p w14:paraId="0D58F867" w14:textId="77777777" w:rsidR="00D80E8D" w:rsidRPr="00D813AD" w:rsidRDefault="00D80E8D">
            <w:pPr>
              <w:pStyle w:val="ARfintablebodyright"/>
            </w:pPr>
          </w:p>
        </w:tc>
        <w:tc>
          <w:tcPr>
            <w:tcW w:w="765" w:type="dxa"/>
            <w:tcBorders>
              <w:top w:val="single" w:sz="2" w:space="0" w:color="A6A6A6" w:themeColor="accent5"/>
              <w:bottom w:val="single" w:sz="4" w:space="0" w:color="A6A6A6"/>
            </w:tcBorders>
          </w:tcPr>
          <w:p w14:paraId="293E472F" w14:textId="77777777" w:rsidR="00D80E8D" w:rsidRPr="00D813AD" w:rsidRDefault="00D80E8D">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25E4496B" w14:textId="77777777" w:rsidTr="00D80E8D">
        <w:trPr>
          <w:cantSplit w:val="0"/>
        </w:trPr>
        <w:tc>
          <w:tcPr>
            <w:tcW w:w="5407" w:type="dxa"/>
            <w:tcBorders>
              <w:top w:val="single" w:sz="2" w:space="0" w:color="A6A6A6" w:themeColor="accent5"/>
              <w:bottom w:val="single" w:sz="4" w:space="0" w:color="A6A6A6"/>
            </w:tcBorders>
            <w:hideMark/>
          </w:tcPr>
          <w:p w14:paraId="2D51E5C6" w14:textId="77777777" w:rsidR="004A2DF7" w:rsidRPr="00D813AD" w:rsidRDefault="004A2DF7">
            <w:pPr>
              <w:pStyle w:val="ARfintablebody"/>
            </w:pPr>
            <w:r w:rsidRPr="00D813AD">
              <w:t>Net investment</w:t>
            </w:r>
          </w:p>
        </w:tc>
        <w:tc>
          <w:tcPr>
            <w:cnfStyle w:val="000001000000" w:firstRow="0" w:lastRow="0" w:firstColumn="0" w:lastColumn="0" w:oddVBand="0" w:evenVBand="1" w:oddHBand="0" w:evenHBand="0" w:firstRowFirstColumn="0" w:firstRowLastColumn="0" w:lastRowFirstColumn="0" w:lastRowLastColumn="0"/>
            <w:tcW w:w="1124" w:type="dxa"/>
            <w:tcBorders>
              <w:top w:val="single" w:sz="2" w:space="0" w:color="A6A6A6" w:themeColor="accent5"/>
              <w:bottom w:val="single" w:sz="4" w:space="0" w:color="A6A6A6"/>
            </w:tcBorders>
            <w:hideMark/>
          </w:tcPr>
          <w:p w14:paraId="39E8A0D1" w14:textId="77777777" w:rsidR="004A2DF7" w:rsidRPr="00D813AD" w:rsidRDefault="004A2DF7">
            <w:pPr>
              <w:pStyle w:val="ARfintablebodyright"/>
            </w:pPr>
            <w:r w:rsidRPr="00D813AD">
              <w:t>3</w:t>
            </w:r>
          </w:p>
        </w:tc>
        <w:tc>
          <w:tcPr>
            <w:tcW w:w="1134" w:type="dxa"/>
            <w:tcBorders>
              <w:top w:val="single" w:sz="2" w:space="0" w:color="A6A6A6" w:themeColor="accent5"/>
              <w:bottom w:val="single" w:sz="4" w:space="0" w:color="A6A6A6"/>
            </w:tcBorders>
            <w:hideMark/>
          </w:tcPr>
          <w:p w14:paraId="2C6E3B22" w14:textId="53A8864D" w:rsidR="004A2DF7" w:rsidRPr="00D813AD" w:rsidRDefault="007D7DE0">
            <w:pPr>
              <w:pStyle w:val="ARfintablebodyright"/>
              <w:cnfStyle w:val="000000000000" w:firstRow="0" w:lastRow="0" w:firstColumn="0" w:lastColumn="0" w:oddVBand="0" w:evenVBand="0" w:oddHBand="0" w:evenHBand="0" w:firstRowFirstColumn="0" w:firstRowLastColumn="0" w:lastRowFirstColumn="0" w:lastRowLastColumn="0"/>
            </w:pPr>
            <w:r>
              <w:t>–</w:t>
            </w:r>
          </w:p>
        </w:tc>
        <w:tc>
          <w:tcPr>
            <w:cnfStyle w:val="000001000000" w:firstRow="0" w:lastRow="0" w:firstColumn="0" w:lastColumn="0" w:oddVBand="0" w:evenVBand="1" w:oddHBand="0" w:evenHBand="0" w:firstRowFirstColumn="0" w:firstRowLastColumn="0" w:lastRowFirstColumn="0" w:lastRowLastColumn="0"/>
            <w:tcW w:w="1214" w:type="dxa"/>
            <w:tcBorders>
              <w:top w:val="single" w:sz="2" w:space="0" w:color="A6A6A6" w:themeColor="accent5"/>
              <w:bottom w:val="single" w:sz="4" w:space="0" w:color="A6A6A6"/>
            </w:tcBorders>
            <w:hideMark/>
          </w:tcPr>
          <w:p w14:paraId="1BDF4C96" w14:textId="2951C3B2" w:rsidR="004A2DF7" w:rsidRPr="00D813AD" w:rsidRDefault="007D7DE0">
            <w:pPr>
              <w:pStyle w:val="ARfintablebodyright"/>
            </w:pPr>
            <w:r>
              <w:t>–</w:t>
            </w:r>
          </w:p>
        </w:tc>
        <w:tc>
          <w:tcPr>
            <w:tcW w:w="765" w:type="dxa"/>
            <w:tcBorders>
              <w:top w:val="single" w:sz="2" w:space="0" w:color="A6A6A6" w:themeColor="accent5"/>
              <w:bottom w:val="single" w:sz="4" w:space="0" w:color="A6A6A6"/>
            </w:tcBorders>
            <w:hideMark/>
          </w:tcPr>
          <w:p w14:paraId="6089EA09"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6B0FAB99" w14:textId="77777777" w:rsidTr="00D80E8D">
        <w:trPr>
          <w:cantSplit w:val="0"/>
        </w:trPr>
        <w:tc>
          <w:tcPr>
            <w:tcW w:w="5407" w:type="dxa"/>
            <w:tcBorders>
              <w:top w:val="single" w:sz="4" w:space="0" w:color="A6A6A6"/>
              <w:bottom w:val="single" w:sz="4" w:space="0" w:color="A6A6A6"/>
            </w:tcBorders>
          </w:tcPr>
          <w:p w14:paraId="41E141CC" w14:textId="77777777" w:rsidR="004A2DF7" w:rsidRPr="00D813AD" w:rsidRDefault="004A2DF7">
            <w:pPr>
              <w:pStyle w:val="ARfintablebody"/>
            </w:pPr>
            <w:r w:rsidRPr="00D813AD">
              <w:t>Payments for non-financial assets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A6A6A6"/>
              <w:bottom w:val="single" w:sz="4" w:space="0" w:color="A6A6A6"/>
            </w:tcBorders>
          </w:tcPr>
          <w:p w14:paraId="79A6043A" w14:textId="77777777" w:rsidR="004A2DF7" w:rsidRPr="00D813AD" w:rsidRDefault="004A2DF7">
            <w:pPr>
              <w:pStyle w:val="ARfintablebodyright"/>
            </w:pPr>
            <w:r w:rsidRPr="00D813AD">
              <w:t>(57)</w:t>
            </w:r>
          </w:p>
        </w:tc>
        <w:tc>
          <w:tcPr>
            <w:tcW w:w="1134" w:type="dxa"/>
            <w:tcBorders>
              <w:top w:val="single" w:sz="4" w:space="0" w:color="A6A6A6"/>
              <w:bottom w:val="single" w:sz="4" w:space="0" w:color="A6A6A6"/>
            </w:tcBorders>
          </w:tcPr>
          <w:p w14:paraId="70FD0C18" w14:textId="77777777" w:rsidR="004A2DF7" w:rsidRPr="00D813AD"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813AD">
              <w:t>(69)</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A6A6A6"/>
              <w:bottom w:val="single" w:sz="4" w:space="0" w:color="A6A6A6"/>
            </w:tcBorders>
          </w:tcPr>
          <w:p w14:paraId="36C5EBA1" w14:textId="77777777" w:rsidR="004A2DF7" w:rsidRPr="00D813AD" w:rsidRDefault="004A2DF7">
            <w:pPr>
              <w:pStyle w:val="ARfintablebodyright"/>
            </w:pPr>
            <w:r w:rsidRPr="00D813AD">
              <w:t>(18.2)</w:t>
            </w:r>
          </w:p>
        </w:tc>
        <w:tc>
          <w:tcPr>
            <w:tcW w:w="765" w:type="dxa"/>
            <w:tcBorders>
              <w:top w:val="single" w:sz="4" w:space="0" w:color="A6A6A6"/>
              <w:bottom w:val="single" w:sz="4" w:space="0" w:color="A6A6A6"/>
            </w:tcBorders>
          </w:tcPr>
          <w:p w14:paraId="61ED6384"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25EE2236" w14:textId="77777777" w:rsidTr="00D80E8D">
        <w:trPr>
          <w:cantSplit w:val="0"/>
        </w:trPr>
        <w:tc>
          <w:tcPr>
            <w:tcW w:w="5407" w:type="dxa"/>
            <w:tcBorders>
              <w:top w:val="single" w:sz="4" w:space="0" w:color="A6A6A6"/>
              <w:bottom w:val="single" w:sz="4" w:space="0" w:color="A6A6A6"/>
            </w:tcBorders>
          </w:tcPr>
          <w:p w14:paraId="5336F4F5" w14:textId="77777777" w:rsidR="004A2DF7" w:rsidRPr="00D813AD" w:rsidRDefault="004A2DF7">
            <w:pPr>
              <w:pStyle w:val="ARfintablebody"/>
            </w:pPr>
            <w:r w:rsidRPr="00D813AD">
              <w:t>Proceeds from sale of non-financial assets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A6A6A6"/>
              <w:bottom w:val="single" w:sz="4" w:space="0" w:color="A6A6A6"/>
            </w:tcBorders>
          </w:tcPr>
          <w:p w14:paraId="7E6035E3" w14:textId="77777777" w:rsidR="004A2DF7" w:rsidRPr="00D813AD" w:rsidRDefault="004A2DF7">
            <w:pPr>
              <w:pStyle w:val="ARfintablebodyright"/>
            </w:pPr>
            <w:r w:rsidRPr="00D813AD">
              <w:t>11</w:t>
            </w:r>
          </w:p>
        </w:tc>
        <w:tc>
          <w:tcPr>
            <w:tcW w:w="1134" w:type="dxa"/>
            <w:tcBorders>
              <w:top w:val="single" w:sz="4" w:space="0" w:color="A6A6A6"/>
              <w:bottom w:val="single" w:sz="4" w:space="0" w:color="A6A6A6"/>
            </w:tcBorders>
          </w:tcPr>
          <w:p w14:paraId="4C005254" w14:textId="21668818" w:rsidR="004A2DF7" w:rsidRPr="00D813AD" w:rsidRDefault="007D7DE0">
            <w:pPr>
              <w:pStyle w:val="ARfintablebodyright"/>
              <w:cnfStyle w:val="000000000000" w:firstRow="0" w:lastRow="0" w:firstColumn="0" w:lastColumn="0" w:oddVBand="0" w:evenVBand="0" w:oddHBand="0" w:evenHBand="0" w:firstRowFirstColumn="0" w:firstRowLastColumn="0" w:lastRowFirstColumn="0" w:lastRowLastColumn="0"/>
            </w:pPr>
            <w:r>
              <w:t>–</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A6A6A6"/>
              <w:bottom w:val="single" w:sz="4" w:space="0" w:color="A6A6A6"/>
            </w:tcBorders>
          </w:tcPr>
          <w:p w14:paraId="43634CF0" w14:textId="3F6D111F" w:rsidR="004A2DF7" w:rsidRPr="00D813AD" w:rsidRDefault="007D7DE0">
            <w:pPr>
              <w:pStyle w:val="ARfintablebodyright"/>
            </w:pPr>
            <w:r>
              <w:t>–</w:t>
            </w:r>
          </w:p>
        </w:tc>
        <w:tc>
          <w:tcPr>
            <w:tcW w:w="765" w:type="dxa"/>
            <w:tcBorders>
              <w:top w:val="single" w:sz="4" w:space="0" w:color="A6A6A6"/>
              <w:bottom w:val="single" w:sz="4" w:space="0" w:color="A6A6A6"/>
            </w:tcBorders>
          </w:tcPr>
          <w:p w14:paraId="538B66A8"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4DDDB172" w14:textId="77777777" w:rsidTr="00D80E8D">
        <w:trPr>
          <w:cantSplit w:val="0"/>
        </w:trPr>
        <w:tc>
          <w:tcPr>
            <w:tcW w:w="5407" w:type="dxa"/>
            <w:tcBorders>
              <w:top w:val="single" w:sz="4" w:space="0" w:color="A6A6A6"/>
              <w:bottom w:val="single" w:sz="4" w:space="0" w:color="000000" w:themeColor="text1"/>
            </w:tcBorders>
            <w:hideMark/>
          </w:tcPr>
          <w:p w14:paraId="3BA329AA" w14:textId="77777777" w:rsidR="004A2DF7" w:rsidRPr="00D813AD" w:rsidRDefault="004A2DF7">
            <w:pPr>
              <w:pStyle w:val="ARfintablebody"/>
            </w:pPr>
            <w:r w:rsidRPr="00D813AD">
              <w:t>Net loans to other parties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A6A6A6"/>
              <w:bottom w:val="single" w:sz="4" w:space="0" w:color="000000" w:themeColor="text1"/>
            </w:tcBorders>
            <w:hideMark/>
          </w:tcPr>
          <w:p w14:paraId="7D823380" w14:textId="77777777" w:rsidR="004A2DF7" w:rsidRPr="00D813AD" w:rsidRDefault="004A2DF7">
            <w:pPr>
              <w:pStyle w:val="ARfintablebodyright"/>
            </w:pPr>
            <w:r w:rsidRPr="00D813AD">
              <w:t>2</w:t>
            </w:r>
          </w:p>
        </w:tc>
        <w:tc>
          <w:tcPr>
            <w:tcW w:w="1134" w:type="dxa"/>
            <w:tcBorders>
              <w:top w:val="single" w:sz="4" w:space="0" w:color="A6A6A6"/>
              <w:bottom w:val="single" w:sz="4" w:space="0" w:color="000000" w:themeColor="text1"/>
            </w:tcBorders>
            <w:hideMark/>
          </w:tcPr>
          <w:p w14:paraId="06FEA00D" w14:textId="77777777" w:rsidR="004A2DF7" w:rsidRPr="00D813AD"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813AD">
              <w:t>2</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A6A6A6"/>
              <w:bottom w:val="single" w:sz="4" w:space="0" w:color="000000" w:themeColor="text1"/>
            </w:tcBorders>
            <w:hideMark/>
          </w:tcPr>
          <w:p w14:paraId="714ED196" w14:textId="77777777" w:rsidR="004A2DF7" w:rsidRPr="00D813AD" w:rsidRDefault="004A2DF7">
            <w:pPr>
              <w:pStyle w:val="ARfintablebodyright"/>
            </w:pPr>
            <w:r w:rsidRPr="00D813AD">
              <w:t>(0.0)</w:t>
            </w:r>
          </w:p>
        </w:tc>
        <w:tc>
          <w:tcPr>
            <w:tcW w:w="765" w:type="dxa"/>
            <w:tcBorders>
              <w:top w:val="single" w:sz="4" w:space="0" w:color="A6A6A6"/>
              <w:bottom w:val="single" w:sz="4" w:space="0" w:color="000000" w:themeColor="text1"/>
            </w:tcBorders>
            <w:hideMark/>
          </w:tcPr>
          <w:p w14:paraId="77CB508A"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7243A70E" w14:textId="77777777" w:rsidTr="00D80E8D">
        <w:trPr>
          <w:cantSplit w:val="0"/>
        </w:trPr>
        <w:tc>
          <w:tcPr>
            <w:tcW w:w="5407" w:type="dxa"/>
            <w:tcBorders>
              <w:top w:val="single" w:sz="4" w:space="0" w:color="000000" w:themeColor="text1"/>
              <w:bottom w:val="single" w:sz="4" w:space="0" w:color="auto"/>
            </w:tcBorders>
            <w:hideMark/>
          </w:tcPr>
          <w:p w14:paraId="4CED513C" w14:textId="77777777" w:rsidR="004A2DF7" w:rsidRPr="00D813AD" w:rsidRDefault="004A2DF7">
            <w:pPr>
              <w:pStyle w:val="ARfintablebodybold"/>
            </w:pPr>
            <w:r w:rsidRPr="00D813AD">
              <w:t>Net cash flows from</w:t>
            </w:r>
            <w:proofErr w:type="gramStart"/>
            <w:r w:rsidRPr="00D813AD">
              <w:t>/(</w:t>
            </w:r>
            <w:proofErr w:type="gramEnd"/>
            <w:r w:rsidRPr="00D813AD">
              <w:t>used in) investing activities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000000" w:themeColor="text1"/>
              <w:bottom w:val="single" w:sz="4" w:space="0" w:color="auto"/>
            </w:tcBorders>
            <w:hideMark/>
          </w:tcPr>
          <w:p w14:paraId="47523713" w14:textId="77777777" w:rsidR="004A2DF7" w:rsidRPr="00D813AD" w:rsidRDefault="004A2DF7">
            <w:pPr>
              <w:pStyle w:val="ARfintablebodyrightbold"/>
            </w:pPr>
            <w:r w:rsidRPr="00D813AD">
              <w:t>(41)</w:t>
            </w:r>
          </w:p>
        </w:tc>
        <w:tc>
          <w:tcPr>
            <w:tcW w:w="1134" w:type="dxa"/>
            <w:tcBorders>
              <w:top w:val="single" w:sz="4" w:space="0" w:color="000000" w:themeColor="text1"/>
              <w:bottom w:val="single" w:sz="4" w:space="0" w:color="auto"/>
            </w:tcBorders>
            <w:hideMark/>
          </w:tcPr>
          <w:p w14:paraId="3817AA4C" w14:textId="77777777" w:rsidR="004A2DF7" w:rsidRPr="00D813AD"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D813AD">
              <w:t>(67)</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000000" w:themeColor="text1"/>
              <w:bottom w:val="single" w:sz="4" w:space="0" w:color="auto"/>
            </w:tcBorders>
            <w:hideMark/>
          </w:tcPr>
          <w:p w14:paraId="7EECE9A4" w14:textId="77777777" w:rsidR="004A2DF7" w:rsidRPr="00D813AD" w:rsidRDefault="004A2DF7">
            <w:pPr>
              <w:pStyle w:val="ARfintablebodyrightbold"/>
            </w:pPr>
            <w:r w:rsidRPr="00D813AD">
              <w:t>(39.2)</w:t>
            </w:r>
          </w:p>
        </w:tc>
        <w:tc>
          <w:tcPr>
            <w:tcW w:w="765" w:type="dxa"/>
            <w:tcBorders>
              <w:top w:val="single" w:sz="4" w:space="0" w:color="000000" w:themeColor="text1"/>
              <w:bottom w:val="single" w:sz="4" w:space="0" w:color="auto"/>
            </w:tcBorders>
            <w:hideMark/>
          </w:tcPr>
          <w:p w14:paraId="61CC3615"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2B7A4212" w14:textId="77777777" w:rsidTr="00D80E8D">
        <w:trPr>
          <w:cantSplit w:val="0"/>
        </w:trPr>
        <w:tc>
          <w:tcPr>
            <w:tcW w:w="5407" w:type="dxa"/>
            <w:tcBorders>
              <w:top w:val="single" w:sz="4" w:space="0" w:color="A6A6A6" w:themeColor="accent5"/>
              <w:bottom w:val="single" w:sz="4" w:space="0" w:color="A6A6A6" w:themeColor="accent5"/>
            </w:tcBorders>
          </w:tcPr>
          <w:p w14:paraId="3366AEB1" w14:textId="47D865DB" w:rsidR="00D80E8D" w:rsidRPr="00D813AD" w:rsidRDefault="00D80E8D" w:rsidP="00D80E8D">
            <w:pPr>
              <w:pStyle w:val="ARfintablebodyboldcoloured"/>
            </w:pPr>
            <w:r w:rsidRPr="00D813AD">
              <w:t>Cash flows from financing activities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A6A6A6" w:themeColor="accent5"/>
              <w:bottom w:val="single" w:sz="4" w:space="0" w:color="A6A6A6" w:themeColor="accent5"/>
            </w:tcBorders>
          </w:tcPr>
          <w:p w14:paraId="05489B64" w14:textId="77777777" w:rsidR="00D80E8D" w:rsidRPr="00D813AD" w:rsidRDefault="00D80E8D">
            <w:pPr>
              <w:pStyle w:val="ARfintablebodyright"/>
            </w:pPr>
          </w:p>
        </w:tc>
        <w:tc>
          <w:tcPr>
            <w:tcW w:w="1134" w:type="dxa"/>
            <w:tcBorders>
              <w:top w:val="single" w:sz="4" w:space="0" w:color="A6A6A6" w:themeColor="accent5"/>
              <w:bottom w:val="single" w:sz="4" w:space="0" w:color="A6A6A6" w:themeColor="accent5"/>
            </w:tcBorders>
          </w:tcPr>
          <w:p w14:paraId="4D7DEBB2" w14:textId="77777777" w:rsidR="00D80E8D" w:rsidRPr="00D813AD" w:rsidRDefault="00D80E8D">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A6A6A6" w:themeColor="accent5"/>
              <w:bottom w:val="single" w:sz="4" w:space="0" w:color="A6A6A6" w:themeColor="accent5"/>
            </w:tcBorders>
          </w:tcPr>
          <w:p w14:paraId="72C7F77C" w14:textId="77777777" w:rsidR="00D80E8D" w:rsidRPr="00D813AD" w:rsidRDefault="00D80E8D">
            <w:pPr>
              <w:pStyle w:val="ARfintablebodyright"/>
            </w:pPr>
          </w:p>
        </w:tc>
        <w:tc>
          <w:tcPr>
            <w:tcW w:w="765" w:type="dxa"/>
            <w:tcBorders>
              <w:top w:val="single" w:sz="4" w:space="0" w:color="A6A6A6" w:themeColor="accent5"/>
              <w:bottom w:val="single" w:sz="4" w:space="0" w:color="A6A6A6" w:themeColor="accent5"/>
            </w:tcBorders>
          </w:tcPr>
          <w:p w14:paraId="7C6E387E" w14:textId="77777777" w:rsidR="00D80E8D" w:rsidRPr="00D813AD" w:rsidRDefault="00D80E8D">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4196DC28" w14:textId="77777777" w:rsidTr="00D80E8D">
        <w:trPr>
          <w:cantSplit w:val="0"/>
        </w:trPr>
        <w:tc>
          <w:tcPr>
            <w:tcW w:w="5407" w:type="dxa"/>
            <w:tcBorders>
              <w:top w:val="single" w:sz="4" w:space="0" w:color="A6A6A6" w:themeColor="accent5"/>
              <w:bottom w:val="single" w:sz="4" w:space="0" w:color="A6A6A6" w:themeColor="accent5"/>
            </w:tcBorders>
          </w:tcPr>
          <w:p w14:paraId="749AE8A3" w14:textId="77777777" w:rsidR="004A2DF7" w:rsidRPr="00D813AD" w:rsidRDefault="004A2DF7">
            <w:pPr>
              <w:pStyle w:val="ARfintablebody"/>
            </w:pPr>
            <w:r w:rsidRPr="00D813AD">
              <w:t>Owner contributions by state government</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A6A6A6" w:themeColor="accent5"/>
              <w:bottom w:val="single" w:sz="4" w:space="0" w:color="A6A6A6" w:themeColor="accent5"/>
            </w:tcBorders>
          </w:tcPr>
          <w:p w14:paraId="75DBA8D4" w14:textId="77777777" w:rsidR="004A2DF7" w:rsidRPr="00D813AD" w:rsidRDefault="004A2DF7">
            <w:pPr>
              <w:pStyle w:val="ARfintablebodyright"/>
            </w:pPr>
            <w:r w:rsidRPr="00D813AD">
              <w:t>22</w:t>
            </w:r>
          </w:p>
        </w:tc>
        <w:tc>
          <w:tcPr>
            <w:tcW w:w="1134" w:type="dxa"/>
            <w:tcBorders>
              <w:top w:val="single" w:sz="4" w:space="0" w:color="A6A6A6" w:themeColor="accent5"/>
              <w:bottom w:val="single" w:sz="4" w:space="0" w:color="A6A6A6" w:themeColor="accent5"/>
            </w:tcBorders>
          </w:tcPr>
          <w:p w14:paraId="06E8B159" w14:textId="77777777" w:rsidR="004A2DF7" w:rsidRPr="00D813AD"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813AD">
              <w:t>35</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A6A6A6" w:themeColor="accent5"/>
              <w:bottom w:val="single" w:sz="4" w:space="0" w:color="A6A6A6" w:themeColor="accent5"/>
            </w:tcBorders>
          </w:tcPr>
          <w:p w14:paraId="27E85F34" w14:textId="77777777" w:rsidR="004A2DF7" w:rsidRPr="00D813AD" w:rsidRDefault="004A2DF7">
            <w:pPr>
              <w:pStyle w:val="ARfintablebodyright"/>
            </w:pPr>
            <w:r w:rsidRPr="00D813AD">
              <w:t>(37.6)</w:t>
            </w:r>
          </w:p>
        </w:tc>
        <w:tc>
          <w:tcPr>
            <w:tcW w:w="765" w:type="dxa"/>
            <w:tcBorders>
              <w:top w:val="single" w:sz="4" w:space="0" w:color="A6A6A6" w:themeColor="accent5"/>
              <w:bottom w:val="single" w:sz="4" w:space="0" w:color="A6A6A6" w:themeColor="accent5"/>
            </w:tcBorders>
          </w:tcPr>
          <w:p w14:paraId="18990664"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78038DF6" w14:textId="77777777" w:rsidTr="00D80E8D">
        <w:trPr>
          <w:cantSplit w:val="0"/>
        </w:trPr>
        <w:tc>
          <w:tcPr>
            <w:tcW w:w="5407" w:type="dxa"/>
            <w:tcBorders>
              <w:top w:val="single" w:sz="4" w:space="0" w:color="A6A6A6" w:themeColor="accent5"/>
              <w:bottom w:val="single" w:sz="4" w:space="0" w:color="A6A6A6" w:themeColor="accent5"/>
            </w:tcBorders>
          </w:tcPr>
          <w:p w14:paraId="5388BC5A" w14:textId="39D346D2" w:rsidR="004A2DF7" w:rsidRPr="00D813AD" w:rsidRDefault="004A2DF7">
            <w:pPr>
              <w:pStyle w:val="ARfintablebody"/>
            </w:pPr>
            <w:r w:rsidRPr="00D813AD">
              <w:t>Repayment of right</w:t>
            </w:r>
            <w:r w:rsidR="00FD300F">
              <w:t>-</w:t>
            </w:r>
            <w:r w:rsidRPr="00D813AD">
              <w:t>of</w:t>
            </w:r>
            <w:r w:rsidR="00FD300F">
              <w:t>-</w:t>
            </w:r>
            <w:r w:rsidRPr="00D813AD">
              <w:t xml:space="preserve">use leases </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A6A6A6" w:themeColor="accent5"/>
              <w:bottom w:val="single" w:sz="4" w:space="0" w:color="A6A6A6" w:themeColor="accent5"/>
            </w:tcBorders>
          </w:tcPr>
          <w:p w14:paraId="3FAEB006" w14:textId="77777777" w:rsidR="004A2DF7" w:rsidRPr="00D813AD" w:rsidRDefault="004A2DF7">
            <w:pPr>
              <w:pStyle w:val="ARfintablebodyright"/>
            </w:pPr>
            <w:r w:rsidRPr="00D813AD">
              <w:t>(14)</w:t>
            </w:r>
          </w:p>
        </w:tc>
        <w:tc>
          <w:tcPr>
            <w:tcW w:w="1134" w:type="dxa"/>
            <w:tcBorders>
              <w:top w:val="single" w:sz="4" w:space="0" w:color="A6A6A6" w:themeColor="accent5"/>
              <w:bottom w:val="single" w:sz="4" w:space="0" w:color="A6A6A6" w:themeColor="accent5"/>
            </w:tcBorders>
          </w:tcPr>
          <w:p w14:paraId="2BA39C2A" w14:textId="08EE44B6" w:rsidR="004A2DF7" w:rsidRPr="00D813AD" w:rsidRDefault="007D7DE0">
            <w:pPr>
              <w:pStyle w:val="ARfintablebodyright"/>
              <w:cnfStyle w:val="000000000000" w:firstRow="0" w:lastRow="0" w:firstColumn="0" w:lastColumn="0" w:oddVBand="0" w:evenVBand="0" w:oddHBand="0" w:evenHBand="0" w:firstRowFirstColumn="0" w:firstRowLastColumn="0" w:lastRowFirstColumn="0" w:lastRowLastColumn="0"/>
            </w:pPr>
            <w:r>
              <w:t>–</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A6A6A6" w:themeColor="accent5"/>
              <w:bottom w:val="single" w:sz="4" w:space="0" w:color="A6A6A6" w:themeColor="accent5"/>
            </w:tcBorders>
          </w:tcPr>
          <w:p w14:paraId="3EAAC3C3" w14:textId="77777777" w:rsidR="004A2DF7" w:rsidRPr="00D813AD" w:rsidRDefault="004A2DF7">
            <w:pPr>
              <w:pStyle w:val="ARfintablebodyright"/>
            </w:pPr>
          </w:p>
        </w:tc>
        <w:tc>
          <w:tcPr>
            <w:tcW w:w="765" w:type="dxa"/>
            <w:tcBorders>
              <w:top w:val="single" w:sz="4" w:space="0" w:color="A6A6A6" w:themeColor="accent5"/>
              <w:bottom w:val="single" w:sz="4" w:space="0" w:color="A6A6A6" w:themeColor="accent5"/>
            </w:tcBorders>
          </w:tcPr>
          <w:p w14:paraId="3824D4C6"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29CFF786" w14:textId="77777777" w:rsidTr="00D80E8D">
        <w:trPr>
          <w:cantSplit w:val="0"/>
        </w:trPr>
        <w:tc>
          <w:tcPr>
            <w:tcW w:w="5407" w:type="dxa"/>
            <w:tcBorders>
              <w:top w:val="single" w:sz="4" w:space="0" w:color="A6A6A6" w:themeColor="accent5"/>
              <w:bottom w:val="single" w:sz="4" w:space="0" w:color="000000" w:themeColor="text1"/>
            </w:tcBorders>
          </w:tcPr>
          <w:p w14:paraId="3B6A14FF" w14:textId="77777777" w:rsidR="004A2DF7" w:rsidRPr="00D813AD" w:rsidRDefault="004A2DF7">
            <w:pPr>
              <w:pStyle w:val="ARfintablebody"/>
            </w:pPr>
            <w:r w:rsidRPr="00D813AD">
              <w:t>Net borrowings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A6A6A6" w:themeColor="accent5"/>
              <w:bottom w:val="single" w:sz="4" w:space="0" w:color="000000" w:themeColor="text1"/>
            </w:tcBorders>
          </w:tcPr>
          <w:p w14:paraId="6FB45393" w14:textId="77777777" w:rsidR="004A2DF7" w:rsidRPr="00D813AD" w:rsidRDefault="004A2DF7">
            <w:pPr>
              <w:pStyle w:val="ARfintablebodyright"/>
            </w:pPr>
            <w:r w:rsidRPr="00D813AD">
              <w:t>(4)</w:t>
            </w:r>
          </w:p>
        </w:tc>
        <w:tc>
          <w:tcPr>
            <w:tcW w:w="1134" w:type="dxa"/>
            <w:tcBorders>
              <w:top w:val="single" w:sz="4" w:space="0" w:color="A6A6A6" w:themeColor="accent5"/>
              <w:bottom w:val="single" w:sz="4" w:space="0" w:color="000000" w:themeColor="text1"/>
            </w:tcBorders>
          </w:tcPr>
          <w:p w14:paraId="73F71F8B" w14:textId="77777777" w:rsidR="004A2DF7" w:rsidRPr="00D813AD"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813AD">
              <w:t>(2)</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A6A6A6" w:themeColor="accent5"/>
              <w:bottom w:val="single" w:sz="4" w:space="0" w:color="000000" w:themeColor="text1"/>
            </w:tcBorders>
          </w:tcPr>
          <w:p w14:paraId="6A81FC1F" w14:textId="77777777" w:rsidR="004A2DF7" w:rsidRPr="00D813AD" w:rsidRDefault="004A2DF7">
            <w:pPr>
              <w:pStyle w:val="ARfintablebodyright"/>
            </w:pPr>
            <w:r w:rsidRPr="00D813AD">
              <w:t>105.0</w:t>
            </w:r>
          </w:p>
        </w:tc>
        <w:tc>
          <w:tcPr>
            <w:tcW w:w="765" w:type="dxa"/>
            <w:tcBorders>
              <w:top w:val="single" w:sz="4" w:space="0" w:color="A6A6A6" w:themeColor="accent5"/>
              <w:bottom w:val="single" w:sz="4" w:space="0" w:color="000000" w:themeColor="text1"/>
            </w:tcBorders>
          </w:tcPr>
          <w:p w14:paraId="17B22F5E"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5FA6EBC0" w14:textId="77777777" w:rsidTr="00D80E8D">
        <w:trPr>
          <w:cantSplit w:val="0"/>
        </w:trPr>
        <w:tc>
          <w:tcPr>
            <w:tcW w:w="5407" w:type="dxa"/>
            <w:tcBorders>
              <w:top w:val="single" w:sz="4" w:space="0" w:color="000000" w:themeColor="text1"/>
              <w:bottom w:val="single" w:sz="4" w:space="0" w:color="000000" w:themeColor="text1"/>
            </w:tcBorders>
          </w:tcPr>
          <w:p w14:paraId="2A57A95F" w14:textId="77777777" w:rsidR="004A2DF7" w:rsidRPr="00D813AD" w:rsidRDefault="004A2DF7">
            <w:pPr>
              <w:pStyle w:val="ARfintablebodybold"/>
            </w:pPr>
            <w:r w:rsidRPr="00D813AD">
              <w:t>Net cash flows from</w:t>
            </w:r>
            <w:proofErr w:type="gramStart"/>
            <w:r w:rsidRPr="00D813AD">
              <w:t>/(</w:t>
            </w:r>
            <w:proofErr w:type="gramEnd"/>
            <w:r w:rsidRPr="00D813AD">
              <w:t>used in) financing activities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000000" w:themeColor="text1"/>
              <w:bottom w:val="single" w:sz="4" w:space="0" w:color="000000" w:themeColor="text1"/>
            </w:tcBorders>
          </w:tcPr>
          <w:p w14:paraId="00096540" w14:textId="77777777" w:rsidR="004A2DF7" w:rsidRPr="00D813AD" w:rsidRDefault="004A2DF7">
            <w:pPr>
              <w:pStyle w:val="ARfintablebodyrightbold"/>
            </w:pPr>
            <w:r w:rsidRPr="00D813AD">
              <w:t>4</w:t>
            </w:r>
          </w:p>
        </w:tc>
        <w:tc>
          <w:tcPr>
            <w:tcW w:w="1134" w:type="dxa"/>
            <w:tcBorders>
              <w:top w:val="single" w:sz="4" w:space="0" w:color="000000" w:themeColor="text1"/>
              <w:bottom w:val="single" w:sz="4" w:space="0" w:color="000000" w:themeColor="text1"/>
            </w:tcBorders>
          </w:tcPr>
          <w:p w14:paraId="037E0386" w14:textId="77777777" w:rsidR="004A2DF7" w:rsidRPr="00D813AD"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D813AD">
              <w:t>33</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000000" w:themeColor="text1"/>
              <w:bottom w:val="single" w:sz="4" w:space="0" w:color="000000" w:themeColor="text1"/>
            </w:tcBorders>
          </w:tcPr>
          <w:p w14:paraId="1459D2CC" w14:textId="77777777" w:rsidR="004A2DF7" w:rsidRPr="00D813AD" w:rsidRDefault="004A2DF7">
            <w:pPr>
              <w:pStyle w:val="ARfintablebodyrightbold"/>
            </w:pPr>
            <w:r w:rsidRPr="00D813AD">
              <w:t>(87.0)</w:t>
            </w:r>
          </w:p>
        </w:tc>
        <w:tc>
          <w:tcPr>
            <w:tcW w:w="765" w:type="dxa"/>
            <w:tcBorders>
              <w:top w:val="single" w:sz="4" w:space="0" w:color="000000" w:themeColor="text1"/>
              <w:bottom w:val="single" w:sz="4" w:space="0" w:color="000000" w:themeColor="text1"/>
            </w:tcBorders>
          </w:tcPr>
          <w:p w14:paraId="54F89632"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45B10A73" w14:textId="77777777" w:rsidTr="00D80E8D">
        <w:trPr>
          <w:cantSplit w:val="0"/>
        </w:trPr>
        <w:tc>
          <w:tcPr>
            <w:tcW w:w="5407" w:type="dxa"/>
            <w:tcBorders>
              <w:top w:val="single" w:sz="4" w:space="0" w:color="000000" w:themeColor="text1"/>
              <w:bottom w:val="single" w:sz="4" w:space="0" w:color="000000" w:themeColor="text1"/>
            </w:tcBorders>
          </w:tcPr>
          <w:p w14:paraId="21AF087B" w14:textId="77777777" w:rsidR="004A2DF7" w:rsidRPr="00D813AD" w:rsidRDefault="004A2DF7">
            <w:pPr>
              <w:pStyle w:val="ARfintablebodybold"/>
            </w:pPr>
            <w:r w:rsidRPr="00D813AD">
              <w:t xml:space="preserve">Net increase (decrease) in cash </w:t>
            </w:r>
            <w:r w:rsidRPr="00D813AD">
              <w:br/>
              <w:t>and cash equivalents</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000000" w:themeColor="text1"/>
              <w:bottom w:val="single" w:sz="4" w:space="0" w:color="000000" w:themeColor="text1"/>
            </w:tcBorders>
          </w:tcPr>
          <w:p w14:paraId="52E52775" w14:textId="77777777" w:rsidR="004A2DF7" w:rsidRPr="00D813AD" w:rsidRDefault="004A2DF7">
            <w:pPr>
              <w:pStyle w:val="ARfintablebodyrightbold"/>
            </w:pPr>
            <w:r w:rsidRPr="00D813AD">
              <w:t>(1)</w:t>
            </w:r>
          </w:p>
        </w:tc>
        <w:tc>
          <w:tcPr>
            <w:tcW w:w="1134" w:type="dxa"/>
            <w:tcBorders>
              <w:top w:val="single" w:sz="4" w:space="0" w:color="000000" w:themeColor="text1"/>
              <w:bottom w:val="single" w:sz="4" w:space="0" w:color="000000" w:themeColor="text1"/>
            </w:tcBorders>
          </w:tcPr>
          <w:p w14:paraId="3C278600" w14:textId="77777777" w:rsidR="004A2DF7" w:rsidRPr="00D813AD"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D813AD">
              <w:t>(3)</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000000" w:themeColor="text1"/>
              <w:bottom w:val="single" w:sz="4" w:space="0" w:color="000000" w:themeColor="text1"/>
            </w:tcBorders>
          </w:tcPr>
          <w:p w14:paraId="534C8750" w14:textId="77777777" w:rsidR="004A2DF7" w:rsidRPr="00D813AD" w:rsidRDefault="004A2DF7">
            <w:pPr>
              <w:pStyle w:val="ARfintablebodyrightbold"/>
            </w:pPr>
            <w:r w:rsidRPr="00D813AD">
              <w:t>(78.5)</w:t>
            </w:r>
          </w:p>
        </w:tc>
        <w:tc>
          <w:tcPr>
            <w:tcW w:w="765" w:type="dxa"/>
            <w:tcBorders>
              <w:top w:val="single" w:sz="4" w:space="0" w:color="000000" w:themeColor="text1"/>
              <w:bottom w:val="single" w:sz="4" w:space="0" w:color="000000" w:themeColor="text1"/>
            </w:tcBorders>
          </w:tcPr>
          <w:p w14:paraId="39EFF5AF"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D813AD" w14:paraId="7BFE520D" w14:textId="77777777" w:rsidTr="00D80E8D">
        <w:trPr>
          <w:cantSplit w:val="0"/>
        </w:trPr>
        <w:tc>
          <w:tcPr>
            <w:tcW w:w="5407" w:type="dxa"/>
            <w:tcBorders>
              <w:top w:val="single" w:sz="4" w:space="0" w:color="000000" w:themeColor="text1"/>
              <w:bottom w:val="single" w:sz="4" w:space="0" w:color="000000" w:themeColor="text1"/>
            </w:tcBorders>
          </w:tcPr>
          <w:p w14:paraId="33EAA962" w14:textId="77777777" w:rsidR="004A2DF7" w:rsidRPr="00D813AD" w:rsidRDefault="004A2DF7">
            <w:pPr>
              <w:pStyle w:val="ARfintablebody"/>
            </w:pPr>
            <w:r w:rsidRPr="00D813AD">
              <w:t>Cash and cash equivalents at the beginning of the financial year</w:t>
            </w:r>
          </w:p>
        </w:tc>
        <w:tc>
          <w:tcPr>
            <w:cnfStyle w:val="000001000000" w:firstRow="0" w:lastRow="0" w:firstColumn="0" w:lastColumn="0" w:oddVBand="0" w:evenVBand="1" w:oddHBand="0" w:evenHBand="0" w:firstRowFirstColumn="0" w:firstRowLastColumn="0" w:lastRowFirstColumn="0" w:lastRowLastColumn="0"/>
            <w:tcW w:w="1124" w:type="dxa"/>
            <w:tcBorders>
              <w:top w:val="single" w:sz="4" w:space="0" w:color="000000" w:themeColor="text1"/>
              <w:bottom w:val="single" w:sz="4" w:space="0" w:color="000000" w:themeColor="text1"/>
            </w:tcBorders>
          </w:tcPr>
          <w:p w14:paraId="4C70D2A4" w14:textId="77777777" w:rsidR="004A2DF7" w:rsidRPr="00D813AD" w:rsidRDefault="004A2DF7">
            <w:pPr>
              <w:pStyle w:val="ARfintablebodyright"/>
            </w:pPr>
            <w:r w:rsidRPr="00D813AD">
              <w:t>64</w:t>
            </w:r>
          </w:p>
        </w:tc>
        <w:tc>
          <w:tcPr>
            <w:tcW w:w="1134" w:type="dxa"/>
            <w:tcBorders>
              <w:top w:val="single" w:sz="4" w:space="0" w:color="000000" w:themeColor="text1"/>
              <w:bottom w:val="single" w:sz="4" w:space="0" w:color="000000" w:themeColor="text1"/>
            </w:tcBorders>
          </w:tcPr>
          <w:p w14:paraId="1F4DC6B4" w14:textId="77777777" w:rsidR="004A2DF7" w:rsidRPr="00D813AD"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D813AD">
              <w:t>64</w:t>
            </w:r>
          </w:p>
        </w:tc>
        <w:tc>
          <w:tcPr>
            <w:cnfStyle w:val="000001000000" w:firstRow="0" w:lastRow="0" w:firstColumn="0" w:lastColumn="0" w:oddVBand="0" w:evenVBand="1" w:oddHBand="0" w:evenHBand="0" w:firstRowFirstColumn="0" w:firstRowLastColumn="0" w:lastRowFirstColumn="0" w:lastRowLastColumn="0"/>
            <w:tcW w:w="1214" w:type="dxa"/>
            <w:tcBorders>
              <w:top w:val="single" w:sz="4" w:space="0" w:color="000000" w:themeColor="text1"/>
              <w:bottom w:val="single" w:sz="4" w:space="0" w:color="000000" w:themeColor="text1"/>
            </w:tcBorders>
          </w:tcPr>
          <w:p w14:paraId="05CCBB2A" w14:textId="0C964C89" w:rsidR="004A2DF7" w:rsidRPr="00D813AD" w:rsidRDefault="007D7DE0">
            <w:pPr>
              <w:pStyle w:val="ARfintablebodyright"/>
            </w:pPr>
            <w:r>
              <w:t>–</w:t>
            </w:r>
          </w:p>
        </w:tc>
        <w:tc>
          <w:tcPr>
            <w:tcW w:w="765" w:type="dxa"/>
            <w:tcBorders>
              <w:top w:val="single" w:sz="4" w:space="0" w:color="000000" w:themeColor="text1"/>
              <w:bottom w:val="single" w:sz="4" w:space="0" w:color="000000" w:themeColor="text1"/>
            </w:tcBorders>
          </w:tcPr>
          <w:p w14:paraId="1A34F095" w14:textId="77777777" w:rsidR="004A2DF7" w:rsidRPr="00D813AD"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2917EA" w14:paraId="57261F22" w14:textId="77777777" w:rsidTr="00D80E8D">
        <w:trPr>
          <w:cnfStyle w:val="010000000000" w:firstRow="0" w:lastRow="1" w:firstColumn="0" w:lastColumn="0" w:oddVBand="0" w:evenVBand="0" w:oddHBand="0" w:evenHBand="0" w:firstRowFirstColumn="0" w:firstRowLastColumn="0" w:lastRowFirstColumn="0" w:lastRowLastColumn="0"/>
          <w:cantSplit w:val="0"/>
        </w:trPr>
        <w:tc>
          <w:tcPr>
            <w:tcW w:w="5407" w:type="dxa"/>
            <w:tcBorders>
              <w:bottom w:val="single" w:sz="4" w:space="0" w:color="auto"/>
            </w:tcBorders>
          </w:tcPr>
          <w:p w14:paraId="669EB954" w14:textId="77777777" w:rsidR="004A2DF7" w:rsidRPr="00D813AD" w:rsidRDefault="004A2DF7">
            <w:pPr>
              <w:pStyle w:val="ARfintablebodybold"/>
            </w:pPr>
            <w:r w:rsidRPr="00D813AD">
              <w:t xml:space="preserve">Cash and cash equivalents </w:t>
            </w:r>
            <w:r w:rsidRPr="00D813AD">
              <w:br/>
              <w:t>at the end of the financial year</w:t>
            </w:r>
          </w:p>
        </w:tc>
        <w:tc>
          <w:tcPr>
            <w:cnfStyle w:val="000001000000" w:firstRow="0" w:lastRow="0" w:firstColumn="0" w:lastColumn="0" w:oddVBand="0" w:evenVBand="1" w:oddHBand="0" w:evenHBand="0" w:firstRowFirstColumn="0" w:firstRowLastColumn="0" w:lastRowFirstColumn="0" w:lastRowLastColumn="0"/>
            <w:tcW w:w="1124" w:type="dxa"/>
            <w:tcBorders>
              <w:bottom w:val="single" w:sz="4" w:space="0" w:color="auto"/>
            </w:tcBorders>
          </w:tcPr>
          <w:p w14:paraId="7238A80D" w14:textId="77777777" w:rsidR="004A2DF7" w:rsidRPr="00D813AD" w:rsidRDefault="004A2DF7">
            <w:pPr>
              <w:pStyle w:val="ARfintablebodyrightbold"/>
            </w:pPr>
            <w:r w:rsidRPr="00D813AD">
              <w:t>63</w:t>
            </w:r>
          </w:p>
        </w:tc>
        <w:tc>
          <w:tcPr>
            <w:tcW w:w="1134" w:type="dxa"/>
            <w:tcBorders>
              <w:bottom w:val="single" w:sz="4" w:space="0" w:color="auto"/>
            </w:tcBorders>
          </w:tcPr>
          <w:p w14:paraId="0293E114" w14:textId="77777777" w:rsidR="004A2DF7" w:rsidRPr="00D813AD" w:rsidRDefault="004A2DF7">
            <w:pPr>
              <w:pStyle w:val="ARfintablebodyrightbold"/>
              <w:cnfStyle w:val="010000000000" w:firstRow="0" w:lastRow="1" w:firstColumn="0" w:lastColumn="0" w:oddVBand="0" w:evenVBand="0" w:oddHBand="0" w:evenHBand="0" w:firstRowFirstColumn="0" w:firstRowLastColumn="0" w:lastRowFirstColumn="0" w:lastRowLastColumn="0"/>
            </w:pPr>
            <w:r w:rsidRPr="00D813AD">
              <w:t>60</w:t>
            </w:r>
          </w:p>
        </w:tc>
        <w:tc>
          <w:tcPr>
            <w:cnfStyle w:val="000001000000" w:firstRow="0" w:lastRow="0" w:firstColumn="0" w:lastColumn="0" w:oddVBand="0" w:evenVBand="1" w:oddHBand="0" w:evenHBand="0" w:firstRowFirstColumn="0" w:firstRowLastColumn="0" w:lastRowFirstColumn="0" w:lastRowLastColumn="0"/>
            <w:tcW w:w="1214" w:type="dxa"/>
            <w:tcBorders>
              <w:bottom w:val="single" w:sz="4" w:space="0" w:color="auto"/>
            </w:tcBorders>
          </w:tcPr>
          <w:p w14:paraId="7E2E7489" w14:textId="77777777" w:rsidR="004A2DF7" w:rsidRPr="00D813AD" w:rsidRDefault="004A2DF7">
            <w:pPr>
              <w:pStyle w:val="ARfintablebodyrightbold"/>
            </w:pPr>
            <w:r w:rsidRPr="00D813AD">
              <w:t>4.0</w:t>
            </w:r>
          </w:p>
        </w:tc>
        <w:tc>
          <w:tcPr>
            <w:tcW w:w="765" w:type="dxa"/>
            <w:tcBorders>
              <w:bottom w:val="single" w:sz="4" w:space="0" w:color="auto"/>
            </w:tcBorders>
          </w:tcPr>
          <w:p w14:paraId="5739956B" w14:textId="77777777" w:rsidR="004A2DF7" w:rsidRPr="00D813AD" w:rsidRDefault="004A2DF7">
            <w:pPr>
              <w:pStyle w:val="ARfintablebodycentre"/>
              <w:cnfStyle w:val="010000000000" w:firstRow="0" w:lastRow="1" w:firstColumn="0" w:lastColumn="0" w:oddVBand="0" w:evenVBand="0" w:oddHBand="0" w:evenHBand="0" w:firstRowFirstColumn="0" w:firstRowLastColumn="0" w:lastRowFirstColumn="0" w:lastRowLastColumn="0"/>
            </w:pPr>
          </w:p>
        </w:tc>
      </w:tr>
    </w:tbl>
    <w:p w14:paraId="6C853F74" w14:textId="38344547" w:rsidR="004A2DF7" w:rsidRPr="00D813AD" w:rsidRDefault="004A2DF7">
      <w:pPr>
        <w:pStyle w:val="ARfintablefootnoteindent"/>
      </w:pPr>
      <w:r w:rsidRPr="00D813AD">
        <w:t>(a)</w:t>
      </w:r>
      <w:r w:rsidRPr="00D813AD">
        <w:tab/>
        <w:t xml:space="preserve">Actual </w:t>
      </w:r>
      <w:r w:rsidR="007348BD">
        <w:t>r</w:t>
      </w:r>
      <w:r w:rsidRPr="00D813AD">
        <w:t xml:space="preserve">eceipts from government </w:t>
      </w:r>
      <w:proofErr w:type="gramStart"/>
      <w:r w:rsidRPr="00D813AD">
        <w:t>was</w:t>
      </w:r>
      <w:proofErr w:type="gramEnd"/>
      <w:r w:rsidRPr="00D813AD">
        <w:t xml:space="preserve"> higher than the published budget mainly due to the increased contributions from the Commonwealth including the </w:t>
      </w:r>
      <w:r w:rsidRPr="00B55528">
        <w:rPr>
          <w:rStyle w:val="Emphasis"/>
          <w:i w:val="0"/>
          <w:iCs w:val="0"/>
        </w:rPr>
        <w:t>Energy Bill Relief</w:t>
      </w:r>
      <w:r w:rsidRPr="00D813AD">
        <w:t xml:space="preserve"> concession payments; and the </w:t>
      </w:r>
      <w:r w:rsidR="007348BD">
        <w:t>g</w:t>
      </w:r>
      <w:r w:rsidRPr="00D813AD">
        <w:t xml:space="preserve">overnment’s policy commitments including </w:t>
      </w:r>
      <w:r w:rsidR="007348BD">
        <w:rPr>
          <w:rStyle w:val="Emphasis"/>
          <w:i w:val="0"/>
          <w:iCs w:val="0"/>
        </w:rPr>
        <w:t>c</w:t>
      </w:r>
      <w:r w:rsidRPr="00B55528">
        <w:rPr>
          <w:rStyle w:val="Emphasis"/>
          <w:i w:val="0"/>
          <w:iCs w:val="0"/>
        </w:rPr>
        <w:t xml:space="preserve">ivil </w:t>
      </w:r>
      <w:r w:rsidR="007348BD">
        <w:rPr>
          <w:rStyle w:val="Emphasis"/>
          <w:i w:val="0"/>
          <w:iCs w:val="0"/>
        </w:rPr>
        <w:t>c</w:t>
      </w:r>
      <w:r w:rsidRPr="00B55528">
        <w:rPr>
          <w:rStyle w:val="Emphasis"/>
          <w:i w:val="0"/>
          <w:iCs w:val="0"/>
        </w:rPr>
        <w:t>laims</w:t>
      </w:r>
      <w:r w:rsidRPr="00B55528">
        <w:rPr>
          <w:i/>
        </w:rPr>
        <w:t xml:space="preserve"> </w:t>
      </w:r>
      <w:r w:rsidRPr="00D813AD">
        <w:t xml:space="preserve">associated with historical institutional child abuse, </w:t>
      </w:r>
      <w:r w:rsidRPr="00B55528">
        <w:rPr>
          <w:rStyle w:val="Emphasis"/>
          <w:i w:val="0"/>
          <w:iCs w:val="0"/>
        </w:rPr>
        <w:t>Big Housing Build</w:t>
      </w:r>
      <w:r w:rsidRPr="00DA434D">
        <w:rPr>
          <w:rStyle w:val="Emphasis"/>
        </w:rPr>
        <w:t xml:space="preserve"> and </w:t>
      </w:r>
      <w:r w:rsidRPr="00B55528">
        <w:rPr>
          <w:rStyle w:val="Emphasis"/>
          <w:i w:val="0"/>
          <w:iCs w:val="0"/>
        </w:rPr>
        <w:t>Regional Housing Fund</w:t>
      </w:r>
      <w:r w:rsidRPr="00D813AD">
        <w:t>.</w:t>
      </w:r>
    </w:p>
    <w:p w14:paraId="4EE038C1" w14:textId="4852844B" w:rsidR="004A2DF7" w:rsidRDefault="004A2DF7">
      <w:pPr>
        <w:pStyle w:val="ARfintablefootnoteindent"/>
        <w:rPr>
          <w:highlight w:val="cyan"/>
        </w:rPr>
      </w:pPr>
      <w:r w:rsidRPr="00CC7B5F">
        <w:t>(b)</w:t>
      </w:r>
      <w:r w:rsidRPr="00CC7B5F">
        <w:tab/>
        <w:t xml:space="preserve">Payments of grants and other transfers was higher than the published budget mainly reflects the </w:t>
      </w:r>
      <w:r w:rsidR="007348BD">
        <w:t>g</w:t>
      </w:r>
      <w:r w:rsidRPr="00CC7B5F">
        <w:t xml:space="preserve">overnment’s policy commitments including </w:t>
      </w:r>
      <w:r w:rsidRPr="00B55528">
        <w:rPr>
          <w:rStyle w:val="Emphasis"/>
          <w:i w:val="0"/>
          <w:iCs w:val="0"/>
        </w:rPr>
        <w:t>Big Housing Build</w:t>
      </w:r>
      <w:r w:rsidRPr="00B55528">
        <w:rPr>
          <w:i/>
        </w:rPr>
        <w:t xml:space="preserve">, </w:t>
      </w:r>
      <w:r w:rsidRPr="00B55528">
        <w:rPr>
          <w:rStyle w:val="Emphasis"/>
          <w:i w:val="0"/>
          <w:iCs w:val="0"/>
        </w:rPr>
        <w:t>Regional Housing Fund</w:t>
      </w:r>
      <w:r w:rsidRPr="00DA434D">
        <w:rPr>
          <w:rStyle w:val="Emphasis"/>
        </w:rPr>
        <w:t xml:space="preserve"> and </w:t>
      </w:r>
      <w:r w:rsidRPr="00B55528">
        <w:rPr>
          <w:rStyle w:val="Emphasis"/>
          <w:i w:val="0"/>
          <w:iCs w:val="0"/>
        </w:rPr>
        <w:t>High-Rise Redevelopment program</w:t>
      </w:r>
      <w:r>
        <w:t>.</w:t>
      </w:r>
    </w:p>
    <w:p w14:paraId="0AEE2872" w14:textId="1F9B58C9" w:rsidR="004A2DF7" w:rsidRPr="00885A4E" w:rsidRDefault="004A2DF7">
      <w:pPr>
        <w:pStyle w:val="ARfintablefootnoteindent"/>
      </w:pPr>
      <w:r w:rsidRPr="00885A4E">
        <w:t xml:space="preserve">(c) The actual payments to suppliers and employees were higher than the published budget primarily due to increased expenditure as part of </w:t>
      </w:r>
      <w:r w:rsidR="007348BD">
        <w:t>g</w:t>
      </w:r>
      <w:r w:rsidRPr="00885A4E">
        <w:t xml:space="preserve">overnment policy commitments including </w:t>
      </w:r>
      <w:r w:rsidR="007348BD">
        <w:rPr>
          <w:rStyle w:val="Emphasis"/>
          <w:i w:val="0"/>
          <w:iCs w:val="0"/>
        </w:rPr>
        <w:t>c</w:t>
      </w:r>
      <w:r w:rsidRPr="00B55528">
        <w:rPr>
          <w:rStyle w:val="Emphasis"/>
          <w:i w:val="0"/>
          <w:iCs w:val="0"/>
        </w:rPr>
        <w:t xml:space="preserve">ivil </w:t>
      </w:r>
      <w:r w:rsidR="007348BD">
        <w:rPr>
          <w:rStyle w:val="Emphasis"/>
          <w:i w:val="0"/>
          <w:iCs w:val="0"/>
        </w:rPr>
        <w:t>c</w:t>
      </w:r>
      <w:r w:rsidRPr="00B55528">
        <w:rPr>
          <w:rStyle w:val="Emphasis"/>
          <w:i w:val="0"/>
          <w:iCs w:val="0"/>
        </w:rPr>
        <w:t>laims</w:t>
      </w:r>
      <w:r w:rsidRPr="00885A4E">
        <w:t xml:space="preserve"> associated with historical institutional child abuse and the </w:t>
      </w:r>
      <w:r w:rsidRPr="00B55528">
        <w:rPr>
          <w:rStyle w:val="Emphasis"/>
          <w:i w:val="0"/>
          <w:iCs w:val="0"/>
        </w:rPr>
        <w:t>Energy Bill Relief</w:t>
      </w:r>
      <w:r w:rsidRPr="00DA434D">
        <w:t xml:space="preserve"> </w:t>
      </w:r>
      <w:r w:rsidRPr="00885A4E">
        <w:t>concession payments funded by the Commonwealth.</w:t>
      </w:r>
    </w:p>
    <w:p w14:paraId="6D925934" w14:textId="77777777" w:rsidR="004A2DF7" w:rsidRPr="002917EA" w:rsidRDefault="004A2DF7">
      <w:pPr>
        <w:pStyle w:val="ARbody"/>
        <w:rPr>
          <w:highlight w:val="cyan"/>
        </w:rPr>
      </w:pPr>
      <w:r w:rsidRPr="002917EA">
        <w:rPr>
          <w:highlight w:val="cyan"/>
        </w:rPr>
        <w:br w:type="page"/>
      </w:r>
    </w:p>
    <w:p w14:paraId="22751E26" w14:textId="77777777" w:rsidR="004A2DF7" w:rsidRPr="00F76995" w:rsidRDefault="004A2DF7">
      <w:pPr>
        <w:pStyle w:val="Heading3"/>
        <w:spacing w:before="0"/>
      </w:pPr>
      <w:r w:rsidRPr="00F76995">
        <w:lastRenderedPageBreak/>
        <w:t>Statement of changes in equity</w:t>
      </w:r>
      <w:r w:rsidRPr="00F76995">
        <w:br/>
        <w:t>for the financial year ended 30 June 2025</w:t>
      </w:r>
    </w:p>
    <w:tbl>
      <w:tblPr>
        <w:tblStyle w:val="TableGrid"/>
        <w:tblW w:w="9511" w:type="dxa"/>
        <w:tblLook w:val="00E0" w:firstRow="1" w:lastRow="1" w:firstColumn="1" w:lastColumn="0" w:noHBand="0" w:noVBand="0"/>
      </w:tblPr>
      <w:tblGrid>
        <w:gridCol w:w="2546"/>
        <w:gridCol w:w="1712"/>
        <w:gridCol w:w="1514"/>
        <w:gridCol w:w="1685"/>
        <w:gridCol w:w="1075"/>
        <w:gridCol w:w="979"/>
      </w:tblGrid>
      <w:tr w:rsidR="004F0449" w:rsidRPr="002917EA" w14:paraId="067495C8" w14:textId="77777777" w:rsidTr="00B24A34">
        <w:trPr>
          <w:cnfStyle w:val="100000000000" w:firstRow="1" w:lastRow="0" w:firstColumn="0" w:lastColumn="0" w:oddVBand="0" w:evenVBand="0" w:oddHBand="0" w:evenHBand="0" w:firstRowFirstColumn="0" w:firstRowLastColumn="0" w:lastRowFirstColumn="0" w:lastRowLastColumn="0"/>
          <w:trHeight w:val="316"/>
          <w:tblHeader/>
        </w:trPr>
        <w:tc>
          <w:tcPr>
            <w:tcW w:w="2835" w:type="dxa"/>
            <w:tcBorders>
              <w:top w:val="nil"/>
            </w:tcBorders>
            <w:hideMark/>
          </w:tcPr>
          <w:p w14:paraId="02124DD5" w14:textId="26D34ECA" w:rsidR="004F0449" w:rsidRPr="00F76995" w:rsidRDefault="004F0449" w:rsidP="00665B38">
            <w:pPr>
              <w:pStyle w:val="ARfintablecolhead"/>
            </w:pPr>
          </w:p>
        </w:tc>
        <w:tc>
          <w:tcPr>
            <w:cnfStyle w:val="000001000000" w:firstRow="0" w:lastRow="0" w:firstColumn="0" w:lastColumn="0" w:oddVBand="0" w:evenVBand="1" w:oddHBand="0" w:evenHBand="0" w:firstRowFirstColumn="0" w:firstRowLastColumn="0" w:lastRowFirstColumn="0" w:lastRowLastColumn="0"/>
            <w:tcW w:w="1722" w:type="dxa"/>
            <w:tcBorders>
              <w:top w:val="nil"/>
            </w:tcBorders>
            <w:tcMar>
              <w:left w:w="113" w:type="dxa"/>
            </w:tcMar>
            <w:hideMark/>
          </w:tcPr>
          <w:p w14:paraId="5B8461F4" w14:textId="77777777" w:rsidR="004F0449" w:rsidRPr="00C73BEB" w:rsidRDefault="004F0449" w:rsidP="00C73BEB">
            <w:pPr>
              <w:pStyle w:val="ARfintablecolheadright"/>
            </w:pPr>
            <w:r w:rsidRPr="00C73BEB">
              <w:t>Accumulated surplus/(deficit)</w:t>
            </w:r>
          </w:p>
          <w:p w14:paraId="1340966F" w14:textId="00AEC6CE" w:rsidR="004F0449" w:rsidRPr="00C73BEB" w:rsidRDefault="004F0449" w:rsidP="00C73BEB">
            <w:pPr>
              <w:pStyle w:val="ARfintablecolheadright"/>
            </w:pPr>
            <w:r w:rsidRPr="00C73BEB">
              <w:t>$M</w:t>
            </w:r>
          </w:p>
        </w:tc>
        <w:tc>
          <w:tcPr>
            <w:tcW w:w="1401" w:type="dxa"/>
            <w:tcBorders>
              <w:top w:val="nil"/>
            </w:tcBorders>
            <w:tcMar>
              <w:left w:w="113" w:type="dxa"/>
            </w:tcMar>
            <w:hideMark/>
          </w:tcPr>
          <w:p w14:paraId="6D3220B7" w14:textId="77777777" w:rsidR="004F0449" w:rsidRPr="00C73BEB" w:rsidRDefault="004F0449" w:rsidP="00C73BEB">
            <w:pPr>
              <w:pStyle w:val="ARfintablecolheadright"/>
              <w:cnfStyle w:val="100000000000" w:firstRow="1" w:lastRow="0" w:firstColumn="0" w:lastColumn="0" w:oddVBand="0" w:evenVBand="0" w:oddHBand="0" w:evenHBand="0" w:firstRowFirstColumn="0" w:firstRowLastColumn="0" w:lastRowFirstColumn="0" w:lastRowLastColumn="0"/>
            </w:pPr>
            <w:r w:rsidRPr="00C73BEB">
              <w:t>Contributions by owner</w:t>
            </w:r>
          </w:p>
          <w:p w14:paraId="2FD7E0B1" w14:textId="371DF2D5" w:rsidR="004F0449" w:rsidRPr="00C73BEB" w:rsidRDefault="004F0449" w:rsidP="00C73BEB">
            <w:pPr>
              <w:pStyle w:val="ARfintablecolheadright"/>
              <w:cnfStyle w:val="100000000000" w:firstRow="1" w:lastRow="0" w:firstColumn="0" w:lastColumn="0" w:oddVBand="0" w:evenVBand="0" w:oddHBand="0" w:evenHBand="0" w:firstRowFirstColumn="0" w:firstRowLastColumn="0" w:lastRowFirstColumn="0" w:lastRowLastColumn="0"/>
            </w:pPr>
            <w:r w:rsidRPr="00C73BEB">
              <w:t>$M</w:t>
            </w:r>
          </w:p>
        </w:tc>
        <w:tc>
          <w:tcPr>
            <w:cnfStyle w:val="000001000000" w:firstRow="0" w:lastRow="0" w:firstColumn="0" w:lastColumn="0" w:oddVBand="0" w:evenVBand="1" w:oddHBand="0" w:evenHBand="0" w:firstRowFirstColumn="0" w:firstRowLastColumn="0" w:lastRowFirstColumn="0" w:lastRowLastColumn="0"/>
            <w:tcW w:w="1572" w:type="dxa"/>
            <w:tcBorders>
              <w:top w:val="nil"/>
            </w:tcBorders>
            <w:tcMar>
              <w:left w:w="113" w:type="dxa"/>
            </w:tcMar>
            <w:hideMark/>
          </w:tcPr>
          <w:p w14:paraId="029F268E" w14:textId="77777777" w:rsidR="004F0449" w:rsidRPr="00C73BEB" w:rsidRDefault="004F0449" w:rsidP="00C73BEB">
            <w:pPr>
              <w:pStyle w:val="ARfintablecolheadright"/>
            </w:pPr>
            <w:r w:rsidRPr="00C73BEB">
              <w:t>Revaluation surplus/(deficit)</w:t>
            </w:r>
          </w:p>
          <w:p w14:paraId="07D3B1E8" w14:textId="2E96CADD" w:rsidR="004F0449" w:rsidRPr="00C73BEB" w:rsidRDefault="004F0449" w:rsidP="00C73BEB">
            <w:pPr>
              <w:pStyle w:val="ARfintablecolheadright"/>
            </w:pPr>
            <w:r w:rsidRPr="00C73BEB">
              <w:t>$M</w:t>
            </w:r>
          </w:p>
        </w:tc>
        <w:tc>
          <w:tcPr>
            <w:tcW w:w="962" w:type="dxa"/>
            <w:tcBorders>
              <w:top w:val="nil"/>
            </w:tcBorders>
            <w:tcMar>
              <w:left w:w="113" w:type="dxa"/>
            </w:tcMar>
            <w:hideMark/>
          </w:tcPr>
          <w:p w14:paraId="471B3162" w14:textId="77777777" w:rsidR="004F0449" w:rsidRPr="00C73BEB" w:rsidRDefault="004F0449" w:rsidP="00C73BEB">
            <w:pPr>
              <w:pStyle w:val="ARfintablecolheadright"/>
              <w:cnfStyle w:val="100000000000" w:firstRow="1" w:lastRow="0" w:firstColumn="0" w:lastColumn="0" w:oddVBand="0" w:evenVBand="0" w:oddHBand="0" w:evenHBand="0" w:firstRowFirstColumn="0" w:firstRowLastColumn="0" w:lastRowFirstColumn="0" w:lastRowLastColumn="0"/>
            </w:pPr>
            <w:r w:rsidRPr="00C73BEB">
              <w:t>Other reserves</w:t>
            </w:r>
          </w:p>
          <w:p w14:paraId="5F5CCF52" w14:textId="794249A0" w:rsidR="004F0449" w:rsidRPr="00C73BEB" w:rsidRDefault="004F0449" w:rsidP="00C73BEB">
            <w:pPr>
              <w:pStyle w:val="ARfintablecolheadright"/>
              <w:cnfStyle w:val="100000000000" w:firstRow="1" w:lastRow="0" w:firstColumn="0" w:lastColumn="0" w:oddVBand="0" w:evenVBand="0" w:oddHBand="0" w:evenHBand="0" w:firstRowFirstColumn="0" w:firstRowLastColumn="0" w:lastRowFirstColumn="0" w:lastRowLastColumn="0"/>
            </w:pPr>
            <w:r w:rsidRPr="00C73BEB">
              <w:t>$M</w:t>
            </w:r>
          </w:p>
        </w:tc>
        <w:tc>
          <w:tcPr>
            <w:cnfStyle w:val="000001000000" w:firstRow="0" w:lastRow="0" w:firstColumn="0" w:lastColumn="0" w:oddVBand="0" w:evenVBand="1" w:oddHBand="0" w:evenHBand="0" w:firstRowFirstColumn="0" w:firstRowLastColumn="0" w:lastRowFirstColumn="0" w:lastRowLastColumn="0"/>
            <w:tcW w:w="1019" w:type="dxa"/>
            <w:tcBorders>
              <w:top w:val="nil"/>
            </w:tcBorders>
            <w:tcMar>
              <w:left w:w="113" w:type="dxa"/>
            </w:tcMar>
            <w:hideMark/>
          </w:tcPr>
          <w:p w14:paraId="05C86BD7" w14:textId="77777777" w:rsidR="004F0449" w:rsidRPr="00C73BEB" w:rsidRDefault="004F0449" w:rsidP="00C73BEB">
            <w:pPr>
              <w:pStyle w:val="ARfintablecolheadright"/>
            </w:pPr>
            <w:r w:rsidRPr="00C73BEB">
              <w:t xml:space="preserve">Total equity </w:t>
            </w:r>
          </w:p>
          <w:p w14:paraId="068A65EB" w14:textId="74DDC69B" w:rsidR="004F0449" w:rsidRPr="00C73BEB" w:rsidRDefault="004F0449" w:rsidP="00C73BEB">
            <w:pPr>
              <w:pStyle w:val="ARfintablecolheadright"/>
            </w:pPr>
            <w:r w:rsidRPr="00C73BEB">
              <w:t>$M</w:t>
            </w:r>
          </w:p>
        </w:tc>
      </w:tr>
      <w:tr w:rsidR="004A2DF7" w:rsidRPr="00ED738F" w14:paraId="3EBFFD5B" w14:textId="77777777" w:rsidTr="00B24A34">
        <w:trPr>
          <w:cantSplit w:val="0"/>
          <w:trHeight w:val="315"/>
        </w:trPr>
        <w:tc>
          <w:tcPr>
            <w:tcW w:w="2835" w:type="dxa"/>
            <w:tcBorders>
              <w:bottom w:val="single" w:sz="4" w:space="0" w:color="auto"/>
            </w:tcBorders>
            <w:hideMark/>
          </w:tcPr>
          <w:p w14:paraId="0F32942B" w14:textId="77777777" w:rsidR="004A2DF7" w:rsidRPr="00ED738F" w:rsidRDefault="004A2DF7">
            <w:pPr>
              <w:pStyle w:val="ARfintablebodybold"/>
            </w:pPr>
            <w:r w:rsidRPr="00ED738F">
              <w:t>Opening balance 1 July 2024</w:t>
            </w:r>
          </w:p>
        </w:tc>
        <w:tc>
          <w:tcPr>
            <w:cnfStyle w:val="000001000000" w:firstRow="0" w:lastRow="0" w:firstColumn="0" w:lastColumn="0" w:oddVBand="0" w:evenVBand="1" w:oddHBand="0" w:evenHBand="0" w:firstRowFirstColumn="0" w:firstRowLastColumn="0" w:lastRowFirstColumn="0" w:lastRowLastColumn="0"/>
            <w:tcW w:w="1722" w:type="dxa"/>
            <w:tcBorders>
              <w:bottom w:val="single" w:sz="4" w:space="0" w:color="auto"/>
            </w:tcBorders>
            <w:tcMar>
              <w:left w:w="113" w:type="dxa"/>
            </w:tcMar>
            <w:hideMark/>
          </w:tcPr>
          <w:p w14:paraId="226AE354" w14:textId="77777777" w:rsidR="004A2DF7" w:rsidRPr="00ED738F" w:rsidRDefault="004A2DF7">
            <w:pPr>
              <w:pStyle w:val="ARfintablebodyrightbold"/>
            </w:pPr>
            <w:r w:rsidRPr="00ED738F">
              <w:t>(164)</w:t>
            </w:r>
          </w:p>
        </w:tc>
        <w:tc>
          <w:tcPr>
            <w:tcW w:w="1401" w:type="dxa"/>
            <w:tcBorders>
              <w:bottom w:val="single" w:sz="4" w:space="0" w:color="auto"/>
            </w:tcBorders>
            <w:tcMar>
              <w:left w:w="113" w:type="dxa"/>
            </w:tcMar>
            <w:hideMark/>
          </w:tcPr>
          <w:p w14:paraId="799FDFB5" w14:textId="77777777" w:rsidR="004A2DF7" w:rsidRPr="00ED738F"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ED738F">
              <w:t>1,352</w:t>
            </w:r>
          </w:p>
        </w:tc>
        <w:tc>
          <w:tcPr>
            <w:cnfStyle w:val="000001000000" w:firstRow="0" w:lastRow="0" w:firstColumn="0" w:lastColumn="0" w:oddVBand="0" w:evenVBand="1" w:oddHBand="0" w:evenHBand="0" w:firstRowFirstColumn="0" w:firstRowLastColumn="0" w:lastRowFirstColumn="0" w:lastRowLastColumn="0"/>
            <w:tcW w:w="1572" w:type="dxa"/>
            <w:tcBorders>
              <w:bottom w:val="single" w:sz="4" w:space="0" w:color="auto"/>
            </w:tcBorders>
            <w:tcMar>
              <w:left w:w="113" w:type="dxa"/>
            </w:tcMar>
            <w:hideMark/>
          </w:tcPr>
          <w:p w14:paraId="05562CED" w14:textId="77777777" w:rsidR="004A2DF7" w:rsidRPr="00ED738F" w:rsidRDefault="004A2DF7">
            <w:pPr>
              <w:pStyle w:val="ARfintablebodyrightbold"/>
            </w:pPr>
            <w:r w:rsidRPr="00ED738F">
              <w:t>277</w:t>
            </w:r>
          </w:p>
        </w:tc>
        <w:tc>
          <w:tcPr>
            <w:tcW w:w="962" w:type="dxa"/>
            <w:tcBorders>
              <w:bottom w:val="single" w:sz="4" w:space="0" w:color="auto"/>
            </w:tcBorders>
            <w:tcMar>
              <w:left w:w="113" w:type="dxa"/>
            </w:tcMar>
            <w:hideMark/>
          </w:tcPr>
          <w:p w14:paraId="56063179" w14:textId="77777777" w:rsidR="004A2DF7" w:rsidRPr="00ED738F"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019" w:type="dxa"/>
            <w:tcBorders>
              <w:bottom w:val="single" w:sz="4" w:space="0" w:color="auto"/>
            </w:tcBorders>
            <w:tcMar>
              <w:left w:w="113" w:type="dxa"/>
            </w:tcMar>
            <w:hideMark/>
          </w:tcPr>
          <w:p w14:paraId="46A4E3B2" w14:textId="77777777" w:rsidR="004A2DF7" w:rsidRPr="00ED738F" w:rsidRDefault="004A2DF7">
            <w:pPr>
              <w:pStyle w:val="ARfintablebodyrightbold"/>
            </w:pPr>
            <w:r w:rsidRPr="00ED738F">
              <w:t>1,465</w:t>
            </w:r>
          </w:p>
        </w:tc>
      </w:tr>
      <w:tr w:rsidR="004A2DF7" w:rsidRPr="00ED738F" w14:paraId="124B6E38" w14:textId="77777777" w:rsidTr="00B24A34">
        <w:trPr>
          <w:cantSplit w:val="0"/>
          <w:trHeight w:val="315"/>
        </w:trPr>
        <w:tc>
          <w:tcPr>
            <w:tcW w:w="2835" w:type="dxa"/>
            <w:tcBorders>
              <w:top w:val="single" w:sz="4" w:space="0" w:color="auto"/>
              <w:bottom w:val="single" w:sz="2" w:space="0" w:color="A6A6A6" w:themeColor="accent5"/>
            </w:tcBorders>
            <w:hideMark/>
          </w:tcPr>
          <w:p w14:paraId="66674FCB" w14:textId="77777777" w:rsidR="004A2DF7" w:rsidRPr="00ED738F" w:rsidRDefault="004A2DF7">
            <w:pPr>
              <w:pStyle w:val="ARfintablebody"/>
            </w:pPr>
            <w:r w:rsidRPr="00ED738F">
              <w:t>Comprehensive result</w:t>
            </w:r>
          </w:p>
        </w:tc>
        <w:tc>
          <w:tcPr>
            <w:cnfStyle w:val="000001000000" w:firstRow="0" w:lastRow="0" w:firstColumn="0" w:lastColumn="0" w:oddVBand="0" w:evenVBand="1" w:oddHBand="0" w:evenHBand="0" w:firstRowFirstColumn="0" w:firstRowLastColumn="0" w:lastRowFirstColumn="0" w:lastRowLastColumn="0"/>
            <w:tcW w:w="1722" w:type="dxa"/>
            <w:tcBorders>
              <w:top w:val="single" w:sz="4" w:space="0" w:color="auto"/>
              <w:bottom w:val="single" w:sz="2" w:space="0" w:color="A6A6A6" w:themeColor="accent5"/>
            </w:tcBorders>
            <w:tcMar>
              <w:left w:w="113" w:type="dxa"/>
            </w:tcMar>
            <w:hideMark/>
          </w:tcPr>
          <w:p w14:paraId="246D0061" w14:textId="77777777" w:rsidR="004A2DF7" w:rsidRPr="00ED738F" w:rsidRDefault="004A2DF7">
            <w:pPr>
              <w:pStyle w:val="ARfintablebodyright"/>
            </w:pPr>
            <w:r w:rsidRPr="00ED738F">
              <w:t>(162)</w:t>
            </w:r>
          </w:p>
        </w:tc>
        <w:tc>
          <w:tcPr>
            <w:tcW w:w="1401" w:type="dxa"/>
            <w:tcBorders>
              <w:top w:val="single" w:sz="4" w:space="0" w:color="auto"/>
              <w:bottom w:val="single" w:sz="2" w:space="0" w:color="A6A6A6" w:themeColor="accent5"/>
            </w:tcBorders>
            <w:tcMar>
              <w:left w:w="113" w:type="dxa"/>
            </w:tcMar>
            <w:hideMark/>
          </w:tcPr>
          <w:p w14:paraId="04B456B8" w14:textId="77777777" w:rsidR="004A2DF7" w:rsidRPr="00ED738F"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572" w:type="dxa"/>
            <w:tcBorders>
              <w:top w:val="single" w:sz="4" w:space="0" w:color="auto"/>
              <w:bottom w:val="single" w:sz="2" w:space="0" w:color="A6A6A6" w:themeColor="accent5"/>
            </w:tcBorders>
            <w:tcMar>
              <w:left w:w="113" w:type="dxa"/>
            </w:tcMar>
            <w:hideMark/>
          </w:tcPr>
          <w:p w14:paraId="156F7D47" w14:textId="77777777" w:rsidR="004A2DF7" w:rsidRPr="00ED738F" w:rsidRDefault="004A2DF7">
            <w:pPr>
              <w:pStyle w:val="ARfintablebodyright"/>
            </w:pPr>
            <w:r w:rsidRPr="00ED738F">
              <w:t>(6)</w:t>
            </w:r>
          </w:p>
        </w:tc>
        <w:tc>
          <w:tcPr>
            <w:tcW w:w="962" w:type="dxa"/>
            <w:tcBorders>
              <w:top w:val="single" w:sz="4" w:space="0" w:color="auto"/>
              <w:bottom w:val="single" w:sz="2" w:space="0" w:color="A6A6A6" w:themeColor="accent5"/>
            </w:tcBorders>
            <w:tcMar>
              <w:left w:w="113" w:type="dxa"/>
            </w:tcMar>
            <w:hideMark/>
          </w:tcPr>
          <w:p w14:paraId="7125DB9D" w14:textId="77777777" w:rsidR="004A2DF7" w:rsidRPr="00ED738F"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019" w:type="dxa"/>
            <w:tcBorders>
              <w:top w:val="single" w:sz="4" w:space="0" w:color="auto"/>
              <w:bottom w:val="single" w:sz="2" w:space="0" w:color="A6A6A6" w:themeColor="accent5"/>
            </w:tcBorders>
            <w:tcMar>
              <w:left w:w="113" w:type="dxa"/>
            </w:tcMar>
            <w:hideMark/>
          </w:tcPr>
          <w:p w14:paraId="54671989" w14:textId="77777777" w:rsidR="004A2DF7" w:rsidRPr="00ED738F" w:rsidRDefault="004A2DF7">
            <w:pPr>
              <w:pStyle w:val="ARfintablebodyright"/>
            </w:pPr>
            <w:r w:rsidRPr="00ED738F">
              <w:t>(168)</w:t>
            </w:r>
          </w:p>
        </w:tc>
      </w:tr>
      <w:tr w:rsidR="004A2DF7" w:rsidRPr="00ED738F" w14:paraId="1D803C30" w14:textId="77777777" w:rsidTr="00B24A34">
        <w:trPr>
          <w:cantSplit w:val="0"/>
          <w:trHeight w:val="315"/>
        </w:trPr>
        <w:tc>
          <w:tcPr>
            <w:tcW w:w="2835" w:type="dxa"/>
            <w:tcBorders>
              <w:top w:val="single" w:sz="2" w:space="0" w:color="A6A6A6" w:themeColor="accent5"/>
              <w:bottom w:val="single" w:sz="4" w:space="0" w:color="000000" w:themeColor="text1"/>
            </w:tcBorders>
            <w:hideMark/>
          </w:tcPr>
          <w:p w14:paraId="72D01ED3" w14:textId="77777777" w:rsidR="004A2DF7" w:rsidRPr="00ED738F" w:rsidRDefault="004A2DF7">
            <w:pPr>
              <w:pStyle w:val="ARfintablebody"/>
            </w:pPr>
            <w:r w:rsidRPr="00ED738F">
              <w:t>Transactions with owners in their capacity as owners</w:t>
            </w:r>
          </w:p>
        </w:tc>
        <w:tc>
          <w:tcPr>
            <w:cnfStyle w:val="000001000000" w:firstRow="0" w:lastRow="0" w:firstColumn="0" w:lastColumn="0" w:oddVBand="0" w:evenVBand="1" w:oddHBand="0" w:evenHBand="0" w:firstRowFirstColumn="0" w:firstRowLastColumn="0" w:lastRowFirstColumn="0" w:lastRowLastColumn="0"/>
            <w:tcW w:w="1722" w:type="dxa"/>
            <w:tcBorders>
              <w:top w:val="single" w:sz="2" w:space="0" w:color="A6A6A6" w:themeColor="accent5"/>
              <w:bottom w:val="single" w:sz="4" w:space="0" w:color="000000" w:themeColor="text1"/>
            </w:tcBorders>
            <w:tcMar>
              <w:left w:w="113" w:type="dxa"/>
            </w:tcMar>
            <w:hideMark/>
          </w:tcPr>
          <w:p w14:paraId="353B859B" w14:textId="77777777" w:rsidR="004A2DF7" w:rsidRPr="00ED738F" w:rsidRDefault="004A2DF7">
            <w:pPr>
              <w:pStyle w:val="ARfintablebodyright"/>
            </w:pPr>
            <w:r w:rsidRPr="00ED738F">
              <w:t>–</w:t>
            </w:r>
          </w:p>
        </w:tc>
        <w:tc>
          <w:tcPr>
            <w:tcW w:w="1401" w:type="dxa"/>
            <w:tcBorders>
              <w:top w:val="single" w:sz="2" w:space="0" w:color="A6A6A6" w:themeColor="accent5"/>
              <w:bottom w:val="single" w:sz="4" w:space="0" w:color="000000" w:themeColor="text1"/>
            </w:tcBorders>
            <w:tcMar>
              <w:left w:w="113" w:type="dxa"/>
            </w:tcMar>
            <w:hideMark/>
          </w:tcPr>
          <w:p w14:paraId="47815603" w14:textId="77777777" w:rsidR="004A2DF7" w:rsidRPr="00ED738F"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ED738F">
              <w:t>15</w:t>
            </w:r>
          </w:p>
        </w:tc>
        <w:tc>
          <w:tcPr>
            <w:cnfStyle w:val="000001000000" w:firstRow="0" w:lastRow="0" w:firstColumn="0" w:lastColumn="0" w:oddVBand="0" w:evenVBand="1" w:oddHBand="0" w:evenHBand="0" w:firstRowFirstColumn="0" w:firstRowLastColumn="0" w:lastRowFirstColumn="0" w:lastRowLastColumn="0"/>
            <w:tcW w:w="1572" w:type="dxa"/>
            <w:tcBorders>
              <w:top w:val="single" w:sz="2" w:space="0" w:color="A6A6A6" w:themeColor="accent5"/>
              <w:bottom w:val="single" w:sz="4" w:space="0" w:color="000000" w:themeColor="text1"/>
            </w:tcBorders>
            <w:tcMar>
              <w:left w:w="113" w:type="dxa"/>
            </w:tcMar>
            <w:hideMark/>
          </w:tcPr>
          <w:p w14:paraId="47CD8E9A" w14:textId="77777777" w:rsidR="004A2DF7" w:rsidRPr="00ED738F" w:rsidRDefault="004A2DF7">
            <w:pPr>
              <w:pStyle w:val="ARfintablebodyright"/>
            </w:pPr>
            <w:r w:rsidRPr="00ED738F">
              <w:t>–</w:t>
            </w:r>
          </w:p>
        </w:tc>
        <w:tc>
          <w:tcPr>
            <w:tcW w:w="962" w:type="dxa"/>
            <w:tcBorders>
              <w:top w:val="single" w:sz="2" w:space="0" w:color="A6A6A6" w:themeColor="accent5"/>
              <w:bottom w:val="single" w:sz="4" w:space="0" w:color="000000" w:themeColor="text1"/>
            </w:tcBorders>
            <w:tcMar>
              <w:left w:w="113" w:type="dxa"/>
            </w:tcMar>
            <w:hideMark/>
          </w:tcPr>
          <w:p w14:paraId="33E477CC" w14:textId="77777777" w:rsidR="004A2DF7" w:rsidRPr="00ED738F"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019" w:type="dxa"/>
            <w:tcBorders>
              <w:top w:val="single" w:sz="2" w:space="0" w:color="A6A6A6" w:themeColor="accent5"/>
              <w:bottom w:val="single" w:sz="4" w:space="0" w:color="000000" w:themeColor="text1"/>
            </w:tcBorders>
            <w:tcMar>
              <w:left w:w="113" w:type="dxa"/>
            </w:tcMar>
            <w:hideMark/>
          </w:tcPr>
          <w:p w14:paraId="5ED49C62" w14:textId="77777777" w:rsidR="004A2DF7" w:rsidRPr="00ED738F" w:rsidRDefault="004A2DF7">
            <w:pPr>
              <w:pStyle w:val="ARfintablebodyright"/>
            </w:pPr>
            <w:r w:rsidRPr="00ED738F">
              <w:t>15</w:t>
            </w:r>
          </w:p>
        </w:tc>
      </w:tr>
      <w:tr w:rsidR="004A2DF7" w:rsidRPr="00ED738F" w14:paraId="04B48A8C" w14:textId="77777777" w:rsidTr="00B24A34">
        <w:trPr>
          <w:cantSplit w:val="0"/>
          <w:trHeight w:val="315"/>
        </w:trPr>
        <w:tc>
          <w:tcPr>
            <w:tcW w:w="2835" w:type="dxa"/>
            <w:tcBorders>
              <w:top w:val="single" w:sz="4" w:space="0" w:color="000000" w:themeColor="text1"/>
              <w:bottom w:val="single" w:sz="4" w:space="0" w:color="auto"/>
            </w:tcBorders>
            <w:hideMark/>
          </w:tcPr>
          <w:p w14:paraId="5B91B615" w14:textId="77777777" w:rsidR="004A2DF7" w:rsidRPr="00ED738F" w:rsidRDefault="004A2DF7">
            <w:pPr>
              <w:pStyle w:val="ARfintablebodybold"/>
            </w:pPr>
            <w:r w:rsidRPr="00ED738F">
              <w:t>Closing balance 30 June 2025 (actual)</w:t>
            </w:r>
          </w:p>
        </w:tc>
        <w:tc>
          <w:tcPr>
            <w:cnfStyle w:val="000001000000" w:firstRow="0" w:lastRow="0" w:firstColumn="0" w:lastColumn="0" w:oddVBand="0" w:evenVBand="1" w:oddHBand="0" w:evenHBand="0" w:firstRowFirstColumn="0" w:firstRowLastColumn="0" w:lastRowFirstColumn="0" w:lastRowLastColumn="0"/>
            <w:tcW w:w="1722" w:type="dxa"/>
            <w:tcBorders>
              <w:top w:val="single" w:sz="4" w:space="0" w:color="000000" w:themeColor="text1"/>
              <w:bottom w:val="single" w:sz="4" w:space="0" w:color="auto"/>
            </w:tcBorders>
            <w:tcMar>
              <w:left w:w="113" w:type="dxa"/>
            </w:tcMar>
            <w:hideMark/>
          </w:tcPr>
          <w:p w14:paraId="000329C3" w14:textId="77777777" w:rsidR="004A2DF7" w:rsidRPr="00ED738F" w:rsidRDefault="004A2DF7">
            <w:pPr>
              <w:pStyle w:val="ARfintablebodyrightbold"/>
            </w:pPr>
            <w:r w:rsidRPr="00ED738F">
              <w:t>(327)</w:t>
            </w:r>
          </w:p>
        </w:tc>
        <w:tc>
          <w:tcPr>
            <w:tcW w:w="1401" w:type="dxa"/>
            <w:tcBorders>
              <w:top w:val="single" w:sz="4" w:space="0" w:color="000000" w:themeColor="text1"/>
              <w:bottom w:val="single" w:sz="4" w:space="0" w:color="auto"/>
            </w:tcBorders>
            <w:tcMar>
              <w:left w:w="113" w:type="dxa"/>
            </w:tcMar>
            <w:hideMark/>
          </w:tcPr>
          <w:p w14:paraId="1465C10F" w14:textId="77777777" w:rsidR="004A2DF7" w:rsidRPr="00ED738F"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ED738F">
              <w:t>1,367</w:t>
            </w:r>
          </w:p>
        </w:tc>
        <w:tc>
          <w:tcPr>
            <w:cnfStyle w:val="000001000000" w:firstRow="0" w:lastRow="0" w:firstColumn="0" w:lastColumn="0" w:oddVBand="0" w:evenVBand="1" w:oddHBand="0" w:evenHBand="0" w:firstRowFirstColumn="0" w:firstRowLastColumn="0" w:lastRowFirstColumn="0" w:lastRowLastColumn="0"/>
            <w:tcW w:w="1572" w:type="dxa"/>
            <w:tcBorders>
              <w:top w:val="single" w:sz="4" w:space="0" w:color="000000" w:themeColor="text1"/>
              <w:bottom w:val="single" w:sz="4" w:space="0" w:color="auto"/>
            </w:tcBorders>
            <w:tcMar>
              <w:left w:w="113" w:type="dxa"/>
            </w:tcMar>
            <w:hideMark/>
          </w:tcPr>
          <w:p w14:paraId="1EAC1E2A" w14:textId="77777777" w:rsidR="004A2DF7" w:rsidRPr="00ED738F" w:rsidRDefault="004A2DF7">
            <w:pPr>
              <w:pStyle w:val="ARfintablebodyrightbold"/>
            </w:pPr>
            <w:r w:rsidRPr="00ED738F">
              <w:t>271</w:t>
            </w:r>
          </w:p>
        </w:tc>
        <w:tc>
          <w:tcPr>
            <w:tcW w:w="962" w:type="dxa"/>
            <w:tcBorders>
              <w:top w:val="single" w:sz="4" w:space="0" w:color="000000" w:themeColor="text1"/>
              <w:bottom w:val="single" w:sz="4" w:space="0" w:color="auto"/>
            </w:tcBorders>
            <w:tcMar>
              <w:left w:w="113" w:type="dxa"/>
            </w:tcMar>
            <w:hideMark/>
          </w:tcPr>
          <w:p w14:paraId="4C0DFE05" w14:textId="77777777" w:rsidR="004A2DF7" w:rsidRPr="00ED738F"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019" w:type="dxa"/>
            <w:tcBorders>
              <w:top w:val="single" w:sz="4" w:space="0" w:color="000000" w:themeColor="text1"/>
              <w:bottom w:val="single" w:sz="4" w:space="0" w:color="auto"/>
            </w:tcBorders>
            <w:tcMar>
              <w:left w:w="113" w:type="dxa"/>
            </w:tcMar>
            <w:hideMark/>
          </w:tcPr>
          <w:p w14:paraId="4FD6F652" w14:textId="77777777" w:rsidR="004A2DF7" w:rsidRPr="00ED738F" w:rsidRDefault="004A2DF7">
            <w:pPr>
              <w:pStyle w:val="ARfintablebodyrightbold"/>
            </w:pPr>
            <w:r w:rsidRPr="00ED738F">
              <w:t>1,311</w:t>
            </w:r>
          </w:p>
        </w:tc>
      </w:tr>
      <w:tr w:rsidR="004A2DF7" w:rsidRPr="00ED738F" w14:paraId="6E88E076" w14:textId="77777777" w:rsidTr="00B24A34">
        <w:trPr>
          <w:cantSplit w:val="0"/>
          <w:trHeight w:val="315"/>
        </w:trPr>
        <w:tc>
          <w:tcPr>
            <w:tcW w:w="2835" w:type="dxa"/>
            <w:tcBorders>
              <w:top w:val="single" w:sz="4" w:space="0" w:color="auto"/>
              <w:bottom w:val="single" w:sz="2" w:space="0" w:color="A6A6A6" w:themeColor="accent5"/>
            </w:tcBorders>
            <w:hideMark/>
          </w:tcPr>
          <w:p w14:paraId="1D33DFC6" w14:textId="77777777" w:rsidR="004A2DF7" w:rsidRPr="00ED738F" w:rsidRDefault="004A2DF7">
            <w:pPr>
              <w:pStyle w:val="ARfintablebody"/>
            </w:pPr>
            <w:r w:rsidRPr="00ED738F">
              <w:t>Comprehensive result</w:t>
            </w:r>
          </w:p>
        </w:tc>
        <w:tc>
          <w:tcPr>
            <w:cnfStyle w:val="000001000000" w:firstRow="0" w:lastRow="0" w:firstColumn="0" w:lastColumn="0" w:oddVBand="0" w:evenVBand="1" w:oddHBand="0" w:evenHBand="0" w:firstRowFirstColumn="0" w:firstRowLastColumn="0" w:lastRowFirstColumn="0" w:lastRowLastColumn="0"/>
            <w:tcW w:w="1722" w:type="dxa"/>
            <w:tcBorders>
              <w:top w:val="single" w:sz="4" w:space="0" w:color="auto"/>
              <w:bottom w:val="single" w:sz="2" w:space="0" w:color="A6A6A6" w:themeColor="accent5"/>
            </w:tcBorders>
            <w:tcMar>
              <w:left w:w="113" w:type="dxa"/>
            </w:tcMar>
            <w:hideMark/>
          </w:tcPr>
          <w:p w14:paraId="6A1C6A45" w14:textId="77777777" w:rsidR="004A2DF7" w:rsidRPr="00ED738F" w:rsidRDefault="004A2DF7">
            <w:pPr>
              <w:pStyle w:val="ARfintablebodyright"/>
            </w:pPr>
            <w:r w:rsidRPr="00ED738F">
              <w:t>(8)</w:t>
            </w:r>
          </w:p>
        </w:tc>
        <w:tc>
          <w:tcPr>
            <w:tcW w:w="1401" w:type="dxa"/>
            <w:tcBorders>
              <w:top w:val="single" w:sz="4" w:space="0" w:color="auto"/>
              <w:bottom w:val="single" w:sz="2" w:space="0" w:color="A6A6A6" w:themeColor="accent5"/>
            </w:tcBorders>
            <w:tcMar>
              <w:left w:w="113" w:type="dxa"/>
            </w:tcMar>
            <w:hideMark/>
          </w:tcPr>
          <w:p w14:paraId="5F25D3DF" w14:textId="77777777" w:rsidR="004A2DF7" w:rsidRPr="00ED738F"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572" w:type="dxa"/>
            <w:tcBorders>
              <w:top w:val="single" w:sz="4" w:space="0" w:color="auto"/>
              <w:bottom w:val="single" w:sz="2" w:space="0" w:color="A6A6A6" w:themeColor="accent5"/>
            </w:tcBorders>
            <w:tcMar>
              <w:left w:w="113" w:type="dxa"/>
            </w:tcMar>
            <w:hideMark/>
          </w:tcPr>
          <w:p w14:paraId="493E070D" w14:textId="77777777" w:rsidR="004A2DF7" w:rsidRPr="00ED738F" w:rsidRDefault="004A2DF7">
            <w:pPr>
              <w:pStyle w:val="ARfintablebodyright"/>
            </w:pPr>
            <w:r w:rsidRPr="00ED738F">
              <w:t>–</w:t>
            </w:r>
          </w:p>
        </w:tc>
        <w:tc>
          <w:tcPr>
            <w:tcW w:w="962" w:type="dxa"/>
            <w:tcBorders>
              <w:top w:val="single" w:sz="4" w:space="0" w:color="auto"/>
              <w:bottom w:val="single" w:sz="2" w:space="0" w:color="A6A6A6" w:themeColor="accent5"/>
            </w:tcBorders>
            <w:tcMar>
              <w:left w:w="113" w:type="dxa"/>
            </w:tcMar>
            <w:hideMark/>
          </w:tcPr>
          <w:p w14:paraId="6BA14CEB" w14:textId="77777777" w:rsidR="004A2DF7" w:rsidRPr="00ED738F"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019" w:type="dxa"/>
            <w:tcBorders>
              <w:top w:val="single" w:sz="4" w:space="0" w:color="auto"/>
              <w:bottom w:val="single" w:sz="2" w:space="0" w:color="A6A6A6" w:themeColor="accent5"/>
            </w:tcBorders>
            <w:tcMar>
              <w:left w:w="113" w:type="dxa"/>
            </w:tcMar>
            <w:hideMark/>
          </w:tcPr>
          <w:p w14:paraId="2610D35A" w14:textId="77777777" w:rsidR="004A2DF7" w:rsidRPr="00ED738F" w:rsidRDefault="004A2DF7">
            <w:pPr>
              <w:pStyle w:val="ARfintablebodyright"/>
            </w:pPr>
            <w:r w:rsidRPr="00ED738F">
              <w:t>(8)</w:t>
            </w:r>
          </w:p>
        </w:tc>
      </w:tr>
      <w:tr w:rsidR="004A2DF7" w:rsidRPr="00ED738F" w14:paraId="3A8D50B3" w14:textId="77777777" w:rsidTr="00B24A34">
        <w:trPr>
          <w:cantSplit w:val="0"/>
          <w:trHeight w:val="315"/>
        </w:trPr>
        <w:tc>
          <w:tcPr>
            <w:tcW w:w="2835" w:type="dxa"/>
            <w:tcBorders>
              <w:top w:val="single" w:sz="2" w:space="0" w:color="A6A6A6" w:themeColor="accent5"/>
              <w:bottom w:val="single" w:sz="4" w:space="0" w:color="000000" w:themeColor="text1"/>
            </w:tcBorders>
            <w:hideMark/>
          </w:tcPr>
          <w:p w14:paraId="1417F49F" w14:textId="77777777" w:rsidR="004A2DF7" w:rsidRPr="00ED738F" w:rsidRDefault="004A2DF7">
            <w:pPr>
              <w:pStyle w:val="ARfintablebody"/>
            </w:pPr>
            <w:r w:rsidRPr="00ED738F">
              <w:t>Transactions with owners in their capacity as owners</w:t>
            </w:r>
          </w:p>
        </w:tc>
        <w:tc>
          <w:tcPr>
            <w:cnfStyle w:val="000001000000" w:firstRow="0" w:lastRow="0" w:firstColumn="0" w:lastColumn="0" w:oddVBand="0" w:evenVBand="1" w:oddHBand="0" w:evenHBand="0" w:firstRowFirstColumn="0" w:firstRowLastColumn="0" w:lastRowFirstColumn="0" w:lastRowLastColumn="0"/>
            <w:tcW w:w="1722" w:type="dxa"/>
            <w:tcBorders>
              <w:top w:val="single" w:sz="2" w:space="0" w:color="A6A6A6" w:themeColor="accent5"/>
              <w:bottom w:val="single" w:sz="4" w:space="0" w:color="000000" w:themeColor="text1"/>
            </w:tcBorders>
            <w:tcMar>
              <w:left w:w="113" w:type="dxa"/>
            </w:tcMar>
            <w:hideMark/>
          </w:tcPr>
          <w:p w14:paraId="76104503" w14:textId="77777777" w:rsidR="004A2DF7" w:rsidRPr="00ED738F" w:rsidRDefault="004A2DF7">
            <w:pPr>
              <w:pStyle w:val="ARfintablebodyright"/>
            </w:pPr>
            <w:r w:rsidRPr="00ED738F">
              <w:t>–</w:t>
            </w:r>
          </w:p>
        </w:tc>
        <w:tc>
          <w:tcPr>
            <w:tcW w:w="1401" w:type="dxa"/>
            <w:tcBorders>
              <w:top w:val="single" w:sz="2" w:space="0" w:color="A6A6A6" w:themeColor="accent5"/>
              <w:bottom w:val="single" w:sz="4" w:space="0" w:color="000000" w:themeColor="text1"/>
            </w:tcBorders>
            <w:tcMar>
              <w:left w:w="113" w:type="dxa"/>
            </w:tcMar>
            <w:hideMark/>
          </w:tcPr>
          <w:p w14:paraId="69346857" w14:textId="77777777" w:rsidR="004A2DF7" w:rsidRPr="00ED738F"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ED738F">
              <w:t>35</w:t>
            </w:r>
          </w:p>
        </w:tc>
        <w:tc>
          <w:tcPr>
            <w:cnfStyle w:val="000001000000" w:firstRow="0" w:lastRow="0" w:firstColumn="0" w:lastColumn="0" w:oddVBand="0" w:evenVBand="1" w:oddHBand="0" w:evenHBand="0" w:firstRowFirstColumn="0" w:firstRowLastColumn="0" w:lastRowFirstColumn="0" w:lastRowLastColumn="0"/>
            <w:tcW w:w="1572" w:type="dxa"/>
            <w:tcBorders>
              <w:top w:val="single" w:sz="2" w:space="0" w:color="A6A6A6" w:themeColor="accent5"/>
              <w:bottom w:val="single" w:sz="4" w:space="0" w:color="000000" w:themeColor="text1"/>
            </w:tcBorders>
            <w:tcMar>
              <w:left w:w="113" w:type="dxa"/>
            </w:tcMar>
            <w:hideMark/>
          </w:tcPr>
          <w:p w14:paraId="1A93D34F" w14:textId="77777777" w:rsidR="004A2DF7" w:rsidRPr="00ED738F" w:rsidRDefault="004A2DF7">
            <w:pPr>
              <w:pStyle w:val="ARfintablebodyright"/>
            </w:pPr>
            <w:r w:rsidRPr="00ED738F">
              <w:t>–</w:t>
            </w:r>
          </w:p>
        </w:tc>
        <w:tc>
          <w:tcPr>
            <w:tcW w:w="962" w:type="dxa"/>
            <w:tcBorders>
              <w:top w:val="single" w:sz="2" w:space="0" w:color="A6A6A6" w:themeColor="accent5"/>
              <w:bottom w:val="single" w:sz="4" w:space="0" w:color="000000" w:themeColor="text1"/>
            </w:tcBorders>
            <w:tcMar>
              <w:left w:w="113" w:type="dxa"/>
            </w:tcMar>
            <w:hideMark/>
          </w:tcPr>
          <w:p w14:paraId="341E4149" w14:textId="77777777" w:rsidR="004A2DF7" w:rsidRPr="00ED738F"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019" w:type="dxa"/>
            <w:tcBorders>
              <w:top w:val="single" w:sz="2" w:space="0" w:color="A6A6A6" w:themeColor="accent5"/>
              <w:bottom w:val="single" w:sz="4" w:space="0" w:color="000000" w:themeColor="text1"/>
            </w:tcBorders>
            <w:tcMar>
              <w:left w:w="113" w:type="dxa"/>
            </w:tcMar>
            <w:hideMark/>
          </w:tcPr>
          <w:p w14:paraId="07BB6138" w14:textId="77777777" w:rsidR="004A2DF7" w:rsidRPr="00ED738F" w:rsidRDefault="004A2DF7">
            <w:pPr>
              <w:pStyle w:val="ARfintablebodyright"/>
            </w:pPr>
            <w:r w:rsidRPr="00ED738F">
              <w:t>35</w:t>
            </w:r>
          </w:p>
        </w:tc>
      </w:tr>
      <w:tr w:rsidR="004A2DF7" w:rsidRPr="00ED738F" w14:paraId="2F56C9DD" w14:textId="77777777" w:rsidTr="00B24A34">
        <w:trPr>
          <w:cantSplit w:val="0"/>
          <w:trHeight w:val="315"/>
        </w:trPr>
        <w:tc>
          <w:tcPr>
            <w:tcW w:w="2835" w:type="dxa"/>
            <w:tcBorders>
              <w:top w:val="single" w:sz="4" w:space="0" w:color="000000" w:themeColor="text1"/>
              <w:bottom w:val="single" w:sz="4" w:space="0" w:color="000000" w:themeColor="text1"/>
            </w:tcBorders>
            <w:hideMark/>
          </w:tcPr>
          <w:p w14:paraId="5A5DB513" w14:textId="77777777" w:rsidR="004A2DF7" w:rsidRPr="00ED738F" w:rsidRDefault="004A2DF7">
            <w:pPr>
              <w:pStyle w:val="ARfintablebodybold"/>
            </w:pPr>
            <w:r w:rsidRPr="00ED738F">
              <w:t>Closing balance 30 June 2025 (published budget)</w:t>
            </w:r>
          </w:p>
        </w:tc>
        <w:tc>
          <w:tcPr>
            <w:cnfStyle w:val="000001000000" w:firstRow="0" w:lastRow="0" w:firstColumn="0" w:lastColumn="0" w:oddVBand="0" w:evenVBand="1" w:oddHBand="0" w:evenHBand="0" w:firstRowFirstColumn="0" w:firstRowLastColumn="0" w:lastRowFirstColumn="0" w:lastRowLastColumn="0"/>
            <w:tcW w:w="1722" w:type="dxa"/>
            <w:tcBorders>
              <w:top w:val="single" w:sz="4" w:space="0" w:color="000000" w:themeColor="text1"/>
              <w:bottom w:val="single" w:sz="4" w:space="0" w:color="000000" w:themeColor="text1"/>
            </w:tcBorders>
            <w:tcMar>
              <w:left w:w="113" w:type="dxa"/>
            </w:tcMar>
            <w:hideMark/>
          </w:tcPr>
          <w:p w14:paraId="57F86FC5" w14:textId="77777777" w:rsidR="004A2DF7" w:rsidRPr="00ED738F" w:rsidRDefault="004A2DF7">
            <w:pPr>
              <w:pStyle w:val="ARfintablebodyrightbold"/>
            </w:pPr>
            <w:r w:rsidRPr="00ED738F">
              <w:t>(172)</w:t>
            </w:r>
          </w:p>
        </w:tc>
        <w:tc>
          <w:tcPr>
            <w:tcW w:w="1401" w:type="dxa"/>
            <w:tcBorders>
              <w:top w:val="single" w:sz="4" w:space="0" w:color="000000" w:themeColor="text1"/>
              <w:bottom w:val="single" w:sz="4" w:space="0" w:color="000000" w:themeColor="text1"/>
            </w:tcBorders>
            <w:tcMar>
              <w:left w:w="113" w:type="dxa"/>
            </w:tcMar>
            <w:hideMark/>
          </w:tcPr>
          <w:p w14:paraId="70E4B88C" w14:textId="77777777" w:rsidR="004A2DF7" w:rsidRPr="00ED738F"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ED738F">
              <w:t>1,387</w:t>
            </w:r>
          </w:p>
        </w:tc>
        <w:tc>
          <w:tcPr>
            <w:cnfStyle w:val="000001000000" w:firstRow="0" w:lastRow="0" w:firstColumn="0" w:lastColumn="0" w:oddVBand="0" w:evenVBand="1" w:oddHBand="0" w:evenHBand="0" w:firstRowFirstColumn="0" w:firstRowLastColumn="0" w:lastRowFirstColumn="0" w:lastRowLastColumn="0"/>
            <w:tcW w:w="1572" w:type="dxa"/>
            <w:tcBorders>
              <w:top w:val="single" w:sz="4" w:space="0" w:color="000000" w:themeColor="text1"/>
              <w:bottom w:val="single" w:sz="4" w:space="0" w:color="000000" w:themeColor="text1"/>
            </w:tcBorders>
            <w:tcMar>
              <w:left w:w="113" w:type="dxa"/>
            </w:tcMar>
            <w:hideMark/>
          </w:tcPr>
          <w:p w14:paraId="1188C6DA" w14:textId="77777777" w:rsidR="004A2DF7" w:rsidRPr="00ED738F" w:rsidRDefault="004A2DF7">
            <w:pPr>
              <w:pStyle w:val="ARfintablebodyrightbold"/>
            </w:pPr>
            <w:r w:rsidRPr="00ED738F">
              <w:t>277</w:t>
            </w:r>
          </w:p>
        </w:tc>
        <w:tc>
          <w:tcPr>
            <w:tcW w:w="962" w:type="dxa"/>
            <w:tcBorders>
              <w:top w:val="single" w:sz="4" w:space="0" w:color="000000" w:themeColor="text1"/>
              <w:bottom w:val="single" w:sz="4" w:space="0" w:color="000000" w:themeColor="text1"/>
            </w:tcBorders>
            <w:tcMar>
              <w:left w:w="113" w:type="dxa"/>
            </w:tcMar>
            <w:hideMark/>
          </w:tcPr>
          <w:p w14:paraId="47415390" w14:textId="77777777" w:rsidR="004A2DF7" w:rsidRPr="00ED738F"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019" w:type="dxa"/>
            <w:tcBorders>
              <w:top w:val="single" w:sz="4" w:space="0" w:color="000000" w:themeColor="text1"/>
              <w:bottom w:val="single" w:sz="4" w:space="0" w:color="000000" w:themeColor="text1"/>
            </w:tcBorders>
            <w:tcMar>
              <w:left w:w="113" w:type="dxa"/>
            </w:tcMar>
            <w:hideMark/>
          </w:tcPr>
          <w:p w14:paraId="302FA842" w14:textId="77777777" w:rsidR="004A2DF7" w:rsidRPr="00ED738F" w:rsidRDefault="004A2DF7">
            <w:pPr>
              <w:pStyle w:val="ARfintablebodyrightbold"/>
            </w:pPr>
            <w:r w:rsidRPr="00ED738F">
              <w:t>1,492</w:t>
            </w:r>
          </w:p>
        </w:tc>
      </w:tr>
      <w:tr w:rsidR="004A2DF7" w:rsidRPr="00ED738F" w14:paraId="408100CE" w14:textId="77777777" w:rsidTr="00B24A34">
        <w:trPr>
          <w:cantSplit w:val="0"/>
          <w:trHeight w:val="315"/>
        </w:trPr>
        <w:tc>
          <w:tcPr>
            <w:tcW w:w="2835" w:type="dxa"/>
            <w:tcBorders>
              <w:top w:val="single" w:sz="4" w:space="0" w:color="000000" w:themeColor="text1"/>
              <w:bottom w:val="single" w:sz="4" w:space="0" w:color="auto"/>
            </w:tcBorders>
            <w:hideMark/>
          </w:tcPr>
          <w:p w14:paraId="2F8AED9E" w14:textId="4DA6AF33" w:rsidR="004A2DF7" w:rsidRPr="00ED738F" w:rsidRDefault="004A2DF7">
            <w:pPr>
              <w:pStyle w:val="ARfintablebodybold"/>
            </w:pPr>
            <w:r w:rsidRPr="00ED738F">
              <w:t>Actual variation to published</w:t>
            </w:r>
            <w:r w:rsidR="007045B3">
              <w:t> </w:t>
            </w:r>
            <w:r w:rsidRPr="00ED738F">
              <w:t>budget (%)</w:t>
            </w:r>
          </w:p>
        </w:tc>
        <w:tc>
          <w:tcPr>
            <w:cnfStyle w:val="000001000000" w:firstRow="0" w:lastRow="0" w:firstColumn="0" w:lastColumn="0" w:oddVBand="0" w:evenVBand="1" w:oddHBand="0" w:evenHBand="0" w:firstRowFirstColumn="0" w:firstRowLastColumn="0" w:lastRowFirstColumn="0" w:lastRowLastColumn="0"/>
            <w:tcW w:w="1722" w:type="dxa"/>
            <w:tcBorders>
              <w:top w:val="single" w:sz="4" w:space="0" w:color="000000" w:themeColor="text1"/>
              <w:bottom w:val="single" w:sz="4" w:space="0" w:color="auto"/>
            </w:tcBorders>
            <w:tcMar>
              <w:left w:w="113" w:type="dxa"/>
            </w:tcMar>
            <w:hideMark/>
          </w:tcPr>
          <w:p w14:paraId="7FCA8110" w14:textId="77777777" w:rsidR="004A2DF7" w:rsidRPr="00ED738F" w:rsidRDefault="004A2DF7">
            <w:pPr>
              <w:pStyle w:val="ARfintablebodyrightbold"/>
            </w:pPr>
          </w:p>
        </w:tc>
        <w:tc>
          <w:tcPr>
            <w:tcW w:w="1401" w:type="dxa"/>
            <w:tcBorders>
              <w:top w:val="single" w:sz="4" w:space="0" w:color="000000" w:themeColor="text1"/>
              <w:bottom w:val="single" w:sz="4" w:space="0" w:color="auto"/>
            </w:tcBorders>
            <w:tcMar>
              <w:left w:w="113" w:type="dxa"/>
            </w:tcMar>
            <w:hideMark/>
          </w:tcPr>
          <w:p w14:paraId="16C64BA2" w14:textId="77777777" w:rsidR="004A2DF7" w:rsidRPr="00ED738F" w:rsidRDefault="004A2DF7">
            <w:pPr>
              <w:pStyle w:val="ARfintablebodyrightbold"/>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572" w:type="dxa"/>
            <w:tcBorders>
              <w:top w:val="single" w:sz="4" w:space="0" w:color="000000" w:themeColor="text1"/>
              <w:bottom w:val="single" w:sz="4" w:space="0" w:color="auto"/>
            </w:tcBorders>
            <w:tcMar>
              <w:left w:w="113" w:type="dxa"/>
            </w:tcMar>
            <w:hideMark/>
          </w:tcPr>
          <w:p w14:paraId="50505367" w14:textId="77777777" w:rsidR="004A2DF7" w:rsidRPr="00ED738F" w:rsidRDefault="004A2DF7">
            <w:pPr>
              <w:pStyle w:val="ARfintablebodyrightbold"/>
            </w:pPr>
          </w:p>
        </w:tc>
        <w:tc>
          <w:tcPr>
            <w:tcW w:w="962" w:type="dxa"/>
            <w:tcBorders>
              <w:top w:val="single" w:sz="4" w:space="0" w:color="000000" w:themeColor="text1"/>
              <w:bottom w:val="single" w:sz="4" w:space="0" w:color="auto"/>
            </w:tcBorders>
            <w:tcMar>
              <w:left w:w="113" w:type="dxa"/>
            </w:tcMar>
            <w:hideMark/>
          </w:tcPr>
          <w:p w14:paraId="349C702F" w14:textId="77777777" w:rsidR="004A2DF7" w:rsidRPr="00ED738F" w:rsidRDefault="004A2DF7">
            <w:pPr>
              <w:pStyle w:val="ARfintablebodyrightbold"/>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019" w:type="dxa"/>
            <w:tcBorders>
              <w:top w:val="single" w:sz="4" w:space="0" w:color="000000" w:themeColor="text1"/>
              <w:bottom w:val="single" w:sz="4" w:space="0" w:color="auto"/>
            </w:tcBorders>
            <w:tcMar>
              <w:left w:w="113" w:type="dxa"/>
            </w:tcMar>
            <w:hideMark/>
          </w:tcPr>
          <w:p w14:paraId="708885C6" w14:textId="77777777" w:rsidR="004A2DF7" w:rsidRPr="00ED738F" w:rsidRDefault="004A2DF7">
            <w:pPr>
              <w:pStyle w:val="ARfintablebodyrightbold"/>
            </w:pPr>
          </w:p>
        </w:tc>
      </w:tr>
      <w:tr w:rsidR="004A2DF7" w:rsidRPr="00ED738F" w14:paraId="53A2886D" w14:textId="77777777" w:rsidTr="00B24A34">
        <w:trPr>
          <w:cantSplit w:val="0"/>
          <w:trHeight w:val="315"/>
        </w:trPr>
        <w:tc>
          <w:tcPr>
            <w:tcW w:w="2835" w:type="dxa"/>
            <w:tcBorders>
              <w:top w:val="single" w:sz="4" w:space="0" w:color="auto"/>
              <w:bottom w:val="single" w:sz="2" w:space="0" w:color="A6A6A6" w:themeColor="accent5"/>
            </w:tcBorders>
            <w:hideMark/>
          </w:tcPr>
          <w:p w14:paraId="3008ACB0" w14:textId="77777777" w:rsidR="004A2DF7" w:rsidRPr="00ED738F" w:rsidRDefault="004A2DF7">
            <w:pPr>
              <w:pStyle w:val="ARfintablebody"/>
            </w:pPr>
            <w:r w:rsidRPr="00ED738F">
              <w:t>Comprehensive result</w:t>
            </w:r>
          </w:p>
        </w:tc>
        <w:tc>
          <w:tcPr>
            <w:cnfStyle w:val="000001000000" w:firstRow="0" w:lastRow="0" w:firstColumn="0" w:lastColumn="0" w:oddVBand="0" w:evenVBand="1" w:oddHBand="0" w:evenHBand="0" w:firstRowFirstColumn="0" w:firstRowLastColumn="0" w:lastRowFirstColumn="0" w:lastRowLastColumn="0"/>
            <w:tcW w:w="1722" w:type="dxa"/>
            <w:tcBorders>
              <w:top w:val="single" w:sz="4" w:space="0" w:color="auto"/>
              <w:bottom w:val="single" w:sz="2" w:space="0" w:color="A6A6A6" w:themeColor="accent5"/>
            </w:tcBorders>
            <w:tcMar>
              <w:left w:w="113" w:type="dxa"/>
            </w:tcMar>
            <w:hideMark/>
          </w:tcPr>
          <w:p w14:paraId="57D5AB36" w14:textId="77777777" w:rsidR="004A2DF7" w:rsidRPr="00ED738F" w:rsidRDefault="004A2DF7">
            <w:pPr>
              <w:pStyle w:val="ARfintablebodyright"/>
            </w:pPr>
            <w:r w:rsidRPr="00ED738F">
              <w:t>1,998</w:t>
            </w:r>
          </w:p>
        </w:tc>
        <w:tc>
          <w:tcPr>
            <w:tcW w:w="1401" w:type="dxa"/>
            <w:tcBorders>
              <w:top w:val="single" w:sz="4" w:space="0" w:color="auto"/>
              <w:bottom w:val="single" w:sz="2" w:space="0" w:color="A6A6A6" w:themeColor="accent5"/>
            </w:tcBorders>
            <w:tcMar>
              <w:left w:w="113" w:type="dxa"/>
            </w:tcMar>
            <w:hideMark/>
          </w:tcPr>
          <w:p w14:paraId="3B161733" w14:textId="77777777" w:rsidR="004A2DF7" w:rsidRPr="00ED738F"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572" w:type="dxa"/>
            <w:tcBorders>
              <w:top w:val="single" w:sz="4" w:space="0" w:color="auto"/>
              <w:bottom w:val="single" w:sz="2" w:space="0" w:color="A6A6A6" w:themeColor="accent5"/>
            </w:tcBorders>
            <w:tcMar>
              <w:left w:w="113" w:type="dxa"/>
            </w:tcMar>
            <w:hideMark/>
          </w:tcPr>
          <w:p w14:paraId="5984DE89" w14:textId="77777777" w:rsidR="004A2DF7" w:rsidRPr="00ED738F" w:rsidRDefault="004A2DF7">
            <w:pPr>
              <w:pStyle w:val="ARfintablebodyright"/>
            </w:pPr>
            <w:r w:rsidRPr="00ED738F">
              <w:t>–</w:t>
            </w:r>
          </w:p>
        </w:tc>
        <w:tc>
          <w:tcPr>
            <w:tcW w:w="962" w:type="dxa"/>
            <w:tcBorders>
              <w:top w:val="single" w:sz="4" w:space="0" w:color="auto"/>
              <w:bottom w:val="single" w:sz="2" w:space="0" w:color="A6A6A6" w:themeColor="accent5"/>
            </w:tcBorders>
            <w:tcMar>
              <w:left w:w="113" w:type="dxa"/>
            </w:tcMar>
            <w:hideMark/>
          </w:tcPr>
          <w:p w14:paraId="595A13E5" w14:textId="77777777" w:rsidR="004A2DF7" w:rsidRPr="00ED738F"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019" w:type="dxa"/>
            <w:tcBorders>
              <w:top w:val="single" w:sz="4" w:space="0" w:color="auto"/>
              <w:bottom w:val="single" w:sz="2" w:space="0" w:color="A6A6A6" w:themeColor="accent5"/>
            </w:tcBorders>
            <w:tcMar>
              <w:left w:w="113" w:type="dxa"/>
            </w:tcMar>
            <w:hideMark/>
          </w:tcPr>
          <w:p w14:paraId="6FBA2822" w14:textId="77777777" w:rsidR="004A2DF7" w:rsidRPr="00ED738F" w:rsidRDefault="004A2DF7">
            <w:pPr>
              <w:pStyle w:val="ARfintablebodyright"/>
            </w:pPr>
            <w:r w:rsidRPr="00ED738F">
              <w:t>2,074</w:t>
            </w:r>
          </w:p>
        </w:tc>
      </w:tr>
      <w:tr w:rsidR="004A2DF7" w:rsidRPr="00ED738F" w14:paraId="7F7CBA2B" w14:textId="77777777" w:rsidTr="00B24A34">
        <w:trPr>
          <w:cantSplit w:val="0"/>
          <w:trHeight w:val="315"/>
        </w:trPr>
        <w:tc>
          <w:tcPr>
            <w:tcW w:w="2835" w:type="dxa"/>
            <w:tcBorders>
              <w:top w:val="single" w:sz="2" w:space="0" w:color="A6A6A6" w:themeColor="accent5"/>
            </w:tcBorders>
            <w:hideMark/>
          </w:tcPr>
          <w:p w14:paraId="1D58A2FA" w14:textId="77777777" w:rsidR="004A2DF7" w:rsidRPr="00ED738F" w:rsidRDefault="004A2DF7">
            <w:pPr>
              <w:pStyle w:val="ARfintablebody"/>
            </w:pPr>
            <w:r w:rsidRPr="00ED738F">
              <w:t>Transactions with owners in their capacity as owners</w:t>
            </w:r>
          </w:p>
        </w:tc>
        <w:tc>
          <w:tcPr>
            <w:cnfStyle w:val="000001000000" w:firstRow="0" w:lastRow="0" w:firstColumn="0" w:lastColumn="0" w:oddVBand="0" w:evenVBand="1" w:oddHBand="0" w:evenHBand="0" w:firstRowFirstColumn="0" w:firstRowLastColumn="0" w:lastRowFirstColumn="0" w:lastRowLastColumn="0"/>
            <w:tcW w:w="1722" w:type="dxa"/>
            <w:tcBorders>
              <w:top w:val="single" w:sz="2" w:space="0" w:color="A6A6A6" w:themeColor="accent5"/>
            </w:tcBorders>
            <w:tcMar>
              <w:left w:w="113" w:type="dxa"/>
            </w:tcMar>
            <w:hideMark/>
          </w:tcPr>
          <w:p w14:paraId="6C712171" w14:textId="77777777" w:rsidR="004A2DF7" w:rsidRPr="00ED738F" w:rsidRDefault="004A2DF7">
            <w:pPr>
              <w:pStyle w:val="ARfintablebodyright"/>
            </w:pPr>
            <w:r w:rsidRPr="00ED738F">
              <w:t>–</w:t>
            </w:r>
          </w:p>
        </w:tc>
        <w:tc>
          <w:tcPr>
            <w:tcW w:w="1401" w:type="dxa"/>
            <w:tcBorders>
              <w:top w:val="single" w:sz="2" w:space="0" w:color="A6A6A6" w:themeColor="accent5"/>
            </w:tcBorders>
            <w:tcMar>
              <w:left w:w="113" w:type="dxa"/>
            </w:tcMar>
            <w:hideMark/>
          </w:tcPr>
          <w:p w14:paraId="4B1CD6F9" w14:textId="77777777" w:rsidR="004A2DF7" w:rsidRPr="00ED738F"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ED738F">
              <w:t>(57)</w:t>
            </w:r>
          </w:p>
        </w:tc>
        <w:tc>
          <w:tcPr>
            <w:cnfStyle w:val="000001000000" w:firstRow="0" w:lastRow="0" w:firstColumn="0" w:lastColumn="0" w:oddVBand="0" w:evenVBand="1" w:oddHBand="0" w:evenHBand="0" w:firstRowFirstColumn="0" w:firstRowLastColumn="0" w:lastRowFirstColumn="0" w:lastRowLastColumn="0"/>
            <w:tcW w:w="1572" w:type="dxa"/>
            <w:tcBorders>
              <w:top w:val="single" w:sz="2" w:space="0" w:color="A6A6A6" w:themeColor="accent5"/>
            </w:tcBorders>
            <w:tcMar>
              <w:left w:w="113" w:type="dxa"/>
            </w:tcMar>
            <w:hideMark/>
          </w:tcPr>
          <w:p w14:paraId="2C6FF017" w14:textId="77777777" w:rsidR="004A2DF7" w:rsidRPr="00ED738F" w:rsidRDefault="004A2DF7">
            <w:pPr>
              <w:pStyle w:val="ARfintablebodyright"/>
            </w:pPr>
            <w:r w:rsidRPr="00ED738F">
              <w:t>–</w:t>
            </w:r>
          </w:p>
        </w:tc>
        <w:tc>
          <w:tcPr>
            <w:tcW w:w="962" w:type="dxa"/>
            <w:tcBorders>
              <w:top w:val="single" w:sz="2" w:space="0" w:color="A6A6A6" w:themeColor="accent5"/>
            </w:tcBorders>
            <w:tcMar>
              <w:left w:w="113" w:type="dxa"/>
            </w:tcMar>
            <w:hideMark/>
          </w:tcPr>
          <w:p w14:paraId="5D5A6FD4" w14:textId="77777777" w:rsidR="004A2DF7" w:rsidRPr="00ED738F"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019" w:type="dxa"/>
            <w:tcBorders>
              <w:top w:val="single" w:sz="2" w:space="0" w:color="A6A6A6" w:themeColor="accent5"/>
            </w:tcBorders>
            <w:tcMar>
              <w:left w:w="113" w:type="dxa"/>
            </w:tcMar>
            <w:hideMark/>
          </w:tcPr>
          <w:p w14:paraId="7181112C" w14:textId="77777777" w:rsidR="004A2DF7" w:rsidRPr="00ED738F" w:rsidRDefault="004A2DF7">
            <w:pPr>
              <w:pStyle w:val="ARfintablebodyright"/>
            </w:pPr>
            <w:r w:rsidRPr="00ED738F">
              <w:t>(57)</w:t>
            </w:r>
          </w:p>
        </w:tc>
      </w:tr>
      <w:tr w:rsidR="004A2DF7" w:rsidRPr="002917EA" w14:paraId="4D0CF8EC" w14:textId="77777777" w:rsidTr="00B24A34">
        <w:trPr>
          <w:cnfStyle w:val="010000000000" w:firstRow="0" w:lastRow="1" w:firstColumn="0" w:lastColumn="0" w:oddVBand="0" w:evenVBand="0" w:oddHBand="0" w:evenHBand="0" w:firstRowFirstColumn="0" w:firstRowLastColumn="0" w:lastRowFirstColumn="0" w:lastRowLastColumn="0"/>
          <w:cantSplit w:val="0"/>
          <w:trHeight w:val="315"/>
        </w:trPr>
        <w:tc>
          <w:tcPr>
            <w:tcW w:w="2835" w:type="dxa"/>
            <w:hideMark/>
          </w:tcPr>
          <w:p w14:paraId="6EFF071E" w14:textId="77777777" w:rsidR="004A2DF7" w:rsidRPr="00ED738F" w:rsidRDefault="004A2DF7">
            <w:pPr>
              <w:pStyle w:val="ARfintablebodybold"/>
            </w:pPr>
            <w:r w:rsidRPr="00ED738F">
              <w:t>Closing balance 30 June 2025</w:t>
            </w:r>
          </w:p>
        </w:tc>
        <w:tc>
          <w:tcPr>
            <w:cnfStyle w:val="000001000000" w:firstRow="0" w:lastRow="0" w:firstColumn="0" w:lastColumn="0" w:oddVBand="0" w:evenVBand="1" w:oddHBand="0" w:evenHBand="0" w:firstRowFirstColumn="0" w:firstRowLastColumn="0" w:lastRowFirstColumn="0" w:lastRowLastColumn="0"/>
            <w:tcW w:w="1722" w:type="dxa"/>
            <w:tcMar>
              <w:left w:w="113" w:type="dxa"/>
            </w:tcMar>
            <w:hideMark/>
          </w:tcPr>
          <w:p w14:paraId="48C101B5" w14:textId="77777777" w:rsidR="004A2DF7" w:rsidRPr="00ED738F" w:rsidRDefault="004A2DF7">
            <w:pPr>
              <w:pStyle w:val="ARfintablebodyrightbold"/>
            </w:pPr>
            <w:r w:rsidRPr="00ED738F">
              <w:t>90</w:t>
            </w:r>
          </w:p>
        </w:tc>
        <w:tc>
          <w:tcPr>
            <w:tcW w:w="1401" w:type="dxa"/>
            <w:tcMar>
              <w:left w:w="113" w:type="dxa"/>
            </w:tcMar>
            <w:hideMark/>
          </w:tcPr>
          <w:p w14:paraId="2F6B67AE" w14:textId="77777777" w:rsidR="004A2DF7" w:rsidRPr="00ED738F" w:rsidRDefault="004A2DF7">
            <w:pPr>
              <w:pStyle w:val="ARfintablebodyrightbold"/>
              <w:cnfStyle w:val="010000000000" w:firstRow="0" w:lastRow="1" w:firstColumn="0" w:lastColumn="0" w:oddVBand="0" w:evenVBand="0" w:oddHBand="0" w:evenHBand="0" w:firstRowFirstColumn="0" w:firstRowLastColumn="0" w:lastRowFirstColumn="0" w:lastRowLastColumn="0"/>
            </w:pPr>
            <w:r w:rsidRPr="00ED738F">
              <w:t>(1)</w:t>
            </w:r>
          </w:p>
        </w:tc>
        <w:tc>
          <w:tcPr>
            <w:cnfStyle w:val="000001000000" w:firstRow="0" w:lastRow="0" w:firstColumn="0" w:lastColumn="0" w:oddVBand="0" w:evenVBand="1" w:oddHBand="0" w:evenHBand="0" w:firstRowFirstColumn="0" w:firstRowLastColumn="0" w:lastRowFirstColumn="0" w:lastRowLastColumn="0"/>
            <w:tcW w:w="1572" w:type="dxa"/>
            <w:tcMar>
              <w:left w:w="113" w:type="dxa"/>
            </w:tcMar>
            <w:hideMark/>
          </w:tcPr>
          <w:p w14:paraId="46753967" w14:textId="77777777" w:rsidR="004A2DF7" w:rsidRPr="00ED738F" w:rsidRDefault="004A2DF7">
            <w:pPr>
              <w:pStyle w:val="ARfintablebodyrightbold"/>
            </w:pPr>
            <w:r w:rsidRPr="00ED738F">
              <w:t>(2)</w:t>
            </w:r>
          </w:p>
        </w:tc>
        <w:tc>
          <w:tcPr>
            <w:tcW w:w="962" w:type="dxa"/>
            <w:tcMar>
              <w:left w:w="113" w:type="dxa"/>
            </w:tcMar>
            <w:hideMark/>
          </w:tcPr>
          <w:p w14:paraId="1A28114B" w14:textId="77777777" w:rsidR="004A2DF7" w:rsidRPr="00ED738F" w:rsidRDefault="004A2DF7">
            <w:pPr>
              <w:pStyle w:val="ARfintablebodyrightbold"/>
              <w:cnfStyle w:val="010000000000" w:firstRow="0" w:lastRow="1" w:firstColumn="0" w:lastColumn="0" w:oddVBand="0" w:evenVBand="0" w:oddHBand="0" w:evenHBand="0" w:firstRowFirstColumn="0" w:firstRowLastColumn="0" w:lastRowFirstColumn="0" w:lastRowLastColumn="0"/>
            </w:pPr>
            <w:r w:rsidRPr="00ED738F">
              <w:t>–</w:t>
            </w:r>
          </w:p>
        </w:tc>
        <w:tc>
          <w:tcPr>
            <w:cnfStyle w:val="000001000000" w:firstRow="0" w:lastRow="0" w:firstColumn="0" w:lastColumn="0" w:oddVBand="0" w:evenVBand="1" w:oddHBand="0" w:evenHBand="0" w:firstRowFirstColumn="0" w:firstRowLastColumn="0" w:lastRowFirstColumn="0" w:lastRowLastColumn="0"/>
            <w:tcW w:w="1019" w:type="dxa"/>
            <w:tcMar>
              <w:left w:w="113" w:type="dxa"/>
            </w:tcMar>
            <w:hideMark/>
          </w:tcPr>
          <w:p w14:paraId="0E2C1ACE" w14:textId="77777777" w:rsidR="004A2DF7" w:rsidRPr="00ED738F" w:rsidRDefault="004A2DF7">
            <w:pPr>
              <w:pStyle w:val="ARfintablebodyrightbold"/>
            </w:pPr>
            <w:r w:rsidRPr="00ED738F">
              <w:t>(12)</w:t>
            </w:r>
          </w:p>
        </w:tc>
      </w:tr>
    </w:tbl>
    <w:p w14:paraId="05B65665" w14:textId="77777777" w:rsidR="004A2DF7" w:rsidRPr="002917EA" w:rsidRDefault="004A2DF7">
      <w:pPr>
        <w:pStyle w:val="ARbody"/>
        <w:rPr>
          <w:highlight w:val="cyan"/>
        </w:rPr>
      </w:pPr>
      <w:r w:rsidRPr="002917EA">
        <w:rPr>
          <w:highlight w:val="cyan"/>
        </w:rPr>
        <w:br w:type="page"/>
      </w:r>
    </w:p>
    <w:p w14:paraId="3F1D204E" w14:textId="77777777" w:rsidR="004A2DF7" w:rsidRPr="00F6120C" w:rsidRDefault="004A2DF7">
      <w:pPr>
        <w:pStyle w:val="Heading3"/>
        <w:spacing w:before="0"/>
      </w:pPr>
      <w:r w:rsidRPr="00F6120C">
        <w:lastRenderedPageBreak/>
        <w:t>Administered items statement</w:t>
      </w:r>
      <w:r w:rsidRPr="00F6120C">
        <w:br/>
        <w:t>for the financial year ended 30 June 2025</w:t>
      </w:r>
    </w:p>
    <w:tbl>
      <w:tblPr>
        <w:tblStyle w:val="TableGrid"/>
        <w:tblW w:w="10040" w:type="dxa"/>
        <w:tblInd w:w="-5" w:type="dxa"/>
        <w:tblLook w:val="02E0" w:firstRow="1" w:lastRow="1" w:firstColumn="1" w:lastColumn="0" w:noHBand="1" w:noVBand="0"/>
      </w:tblPr>
      <w:tblGrid>
        <w:gridCol w:w="5877"/>
        <w:gridCol w:w="1122"/>
        <w:gridCol w:w="1134"/>
        <w:gridCol w:w="1227"/>
        <w:gridCol w:w="680"/>
      </w:tblGrid>
      <w:tr w:rsidR="00D80E8D" w:rsidRPr="002917EA" w14:paraId="34A97064" w14:textId="77777777" w:rsidTr="00D80E8D">
        <w:trPr>
          <w:cnfStyle w:val="100000000000" w:firstRow="1" w:lastRow="0" w:firstColumn="0" w:lastColumn="0" w:oddVBand="0" w:evenVBand="0" w:oddHBand="0" w:evenHBand="0" w:firstRowFirstColumn="0" w:firstRowLastColumn="0" w:lastRowFirstColumn="0" w:lastRowLastColumn="0"/>
          <w:tblHeader/>
        </w:trPr>
        <w:tc>
          <w:tcPr>
            <w:tcW w:w="5884" w:type="dxa"/>
            <w:tcBorders>
              <w:top w:val="nil"/>
            </w:tcBorders>
            <w:hideMark/>
          </w:tcPr>
          <w:p w14:paraId="5B6D3257" w14:textId="77777777" w:rsidR="004A2DF7" w:rsidRPr="00550DAC" w:rsidRDefault="004A2DF7">
            <w:pPr>
              <w:pStyle w:val="ARfintablecolhead"/>
            </w:pPr>
          </w:p>
        </w:tc>
        <w:tc>
          <w:tcPr>
            <w:cnfStyle w:val="000001000000" w:firstRow="0" w:lastRow="0" w:firstColumn="0" w:lastColumn="0" w:oddVBand="0" w:evenVBand="1" w:oddHBand="0" w:evenHBand="0" w:firstRowFirstColumn="0" w:firstRowLastColumn="0" w:lastRowFirstColumn="0" w:lastRowLastColumn="0"/>
            <w:tcW w:w="1123" w:type="dxa"/>
            <w:tcBorders>
              <w:top w:val="nil"/>
            </w:tcBorders>
            <w:hideMark/>
          </w:tcPr>
          <w:p w14:paraId="073123ED" w14:textId="77777777" w:rsidR="004A2DF7" w:rsidRPr="00550DAC" w:rsidRDefault="004A2DF7">
            <w:pPr>
              <w:pStyle w:val="ARfintablecolheadright"/>
            </w:pPr>
            <w:r w:rsidRPr="00550DAC">
              <w:t>2024–25</w:t>
            </w:r>
          </w:p>
          <w:p w14:paraId="033BF94B" w14:textId="77777777" w:rsidR="004A2DF7" w:rsidRPr="00550DAC" w:rsidRDefault="004A2DF7">
            <w:pPr>
              <w:pStyle w:val="ARfintablecolheadright"/>
            </w:pPr>
            <w:r w:rsidRPr="00550DAC">
              <w:t>Actual</w:t>
            </w:r>
          </w:p>
          <w:p w14:paraId="2ED75C95" w14:textId="77777777" w:rsidR="004A2DF7" w:rsidRPr="00550DAC" w:rsidRDefault="004A2DF7">
            <w:pPr>
              <w:pStyle w:val="ARfintablecolheadright"/>
            </w:pPr>
            <w:r w:rsidRPr="00550DAC">
              <w:t>$M</w:t>
            </w:r>
          </w:p>
        </w:tc>
        <w:tc>
          <w:tcPr>
            <w:tcW w:w="1134" w:type="dxa"/>
            <w:tcBorders>
              <w:top w:val="nil"/>
            </w:tcBorders>
            <w:hideMark/>
          </w:tcPr>
          <w:p w14:paraId="17078BA9" w14:textId="77777777" w:rsidR="004A2DF7" w:rsidRPr="00550DAC"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550DAC">
              <w:t>2024–25</w:t>
            </w:r>
          </w:p>
          <w:p w14:paraId="1785A079" w14:textId="77777777" w:rsidR="004A2DF7" w:rsidRPr="00550DAC"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550DAC">
              <w:t>Published budget</w:t>
            </w:r>
          </w:p>
          <w:p w14:paraId="7C69FFC5" w14:textId="77777777" w:rsidR="004A2DF7" w:rsidRPr="00550DAC" w:rsidRDefault="004A2DF7">
            <w:pPr>
              <w:pStyle w:val="ARfintablecolheadright"/>
              <w:cnfStyle w:val="100000000000" w:firstRow="1" w:lastRow="0" w:firstColumn="0" w:lastColumn="0" w:oddVBand="0" w:evenVBand="0" w:oddHBand="0" w:evenHBand="0" w:firstRowFirstColumn="0" w:firstRowLastColumn="0" w:lastRowFirstColumn="0" w:lastRowLastColumn="0"/>
            </w:pPr>
            <w:r w:rsidRPr="00550DAC">
              <w:t>$M</w:t>
            </w:r>
          </w:p>
        </w:tc>
        <w:tc>
          <w:tcPr>
            <w:cnfStyle w:val="000001000000" w:firstRow="0" w:lastRow="0" w:firstColumn="0" w:lastColumn="0" w:oddVBand="0" w:evenVBand="1" w:oddHBand="0" w:evenHBand="0" w:firstRowFirstColumn="0" w:firstRowLastColumn="0" w:lastRowFirstColumn="0" w:lastRowLastColumn="0"/>
            <w:tcW w:w="1219" w:type="dxa"/>
            <w:tcBorders>
              <w:top w:val="nil"/>
            </w:tcBorders>
            <w:noWrap/>
            <w:hideMark/>
          </w:tcPr>
          <w:p w14:paraId="09862327" w14:textId="7D02DBBD" w:rsidR="004A2DF7" w:rsidRPr="00550DAC" w:rsidRDefault="004A2DF7">
            <w:pPr>
              <w:pStyle w:val="ARfintablecolheadright"/>
            </w:pPr>
            <w:r w:rsidRPr="00550DAC">
              <w:t>Variation to published budget</w:t>
            </w:r>
          </w:p>
          <w:p w14:paraId="79FF48EF" w14:textId="77777777" w:rsidR="004A2DF7" w:rsidRPr="00550DAC" w:rsidRDefault="004A2DF7">
            <w:pPr>
              <w:pStyle w:val="ARfintablecolheadright"/>
            </w:pPr>
            <w:r w:rsidRPr="00550DAC">
              <w:t>%</w:t>
            </w:r>
          </w:p>
        </w:tc>
        <w:tc>
          <w:tcPr>
            <w:tcW w:w="680" w:type="dxa"/>
            <w:tcBorders>
              <w:top w:val="nil"/>
            </w:tcBorders>
          </w:tcPr>
          <w:p w14:paraId="519DFAC0" w14:textId="77777777" w:rsidR="004A2DF7" w:rsidRPr="00550DAC" w:rsidRDefault="004A2DF7">
            <w:pPr>
              <w:pStyle w:val="ARfintablecolheadcentre"/>
              <w:cnfStyle w:val="100000000000" w:firstRow="1" w:lastRow="0" w:firstColumn="0" w:lastColumn="0" w:oddVBand="0" w:evenVBand="0" w:oddHBand="0" w:evenHBand="0" w:firstRowFirstColumn="0" w:firstRowLastColumn="0" w:lastRowFirstColumn="0" w:lastRowLastColumn="0"/>
            </w:pPr>
            <w:r w:rsidRPr="00550DAC">
              <w:t>Notes</w:t>
            </w:r>
          </w:p>
        </w:tc>
      </w:tr>
      <w:tr w:rsidR="00D80E8D" w:rsidRPr="002917EA" w14:paraId="380DFF42" w14:textId="77777777" w:rsidTr="00D80E8D">
        <w:trPr>
          <w:cantSplit w:val="0"/>
        </w:trPr>
        <w:tc>
          <w:tcPr>
            <w:tcW w:w="5884" w:type="dxa"/>
            <w:tcBorders>
              <w:top w:val="single" w:sz="4" w:space="0" w:color="A6A6A6" w:themeColor="accent5"/>
              <w:bottom w:val="single" w:sz="4" w:space="0" w:color="A6A6A6"/>
            </w:tcBorders>
          </w:tcPr>
          <w:p w14:paraId="5BE6AA26" w14:textId="3610C0DD" w:rsidR="00D80E8D" w:rsidRPr="00885260" w:rsidRDefault="00D80E8D" w:rsidP="00D80E8D">
            <w:pPr>
              <w:pStyle w:val="ARfintablebodybold"/>
            </w:pPr>
            <w:r w:rsidRPr="00885260">
              <w:t>Administered income</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A6A6A6" w:themeColor="accent5"/>
              <w:bottom w:val="single" w:sz="4" w:space="0" w:color="A6A6A6"/>
            </w:tcBorders>
          </w:tcPr>
          <w:p w14:paraId="3B1A69E4" w14:textId="77777777" w:rsidR="00D80E8D" w:rsidRPr="00885260" w:rsidRDefault="00D80E8D">
            <w:pPr>
              <w:pStyle w:val="ARfintablebodyright"/>
            </w:pPr>
          </w:p>
        </w:tc>
        <w:tc>
          <w:tcPr>
            <w:tcW w:w="1134" w:type="dxa"/>
            <w:tcBorders>
              <w:top w:val="single" w:sz="4" w:space="0" w:color="A6A6A6" w:themeColor="accent5"/>
              <w:bottom w:val="single" w:sz="4" w:space="0" w:color="A6A6A6"/>
            </w:tcBorders>
          </w:tcPr>
          <w:p w14:paraId="7F5D33DB" w14:textId="77777777" w:rsidR="00D80E8D" w:rsidRPr="00885260" w:rsidRDefault="00D80E8D">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A6A6A6" w:themeColor="accent5"/>
              <w:bottom w:val="single" w:sz="4" w:space="0" w:color="A6A6A6"/>
            </w:tcBorders>
          </w:tcPr>
          <w:p w14:paraId="359B4535" w14:textId="77777777" w:rsidR="00D80E8D" w:rsidRPr="00885260" w:rsidRDefault="00D80E8D">
            <w:pPr>
              <w:pStyle w:val="ARfintablebodyright"/>
            </w:pPr>
          </w:p>
        </w:tc>
        <w:tc>
          <w:tcPr>
            <w:tcW w:w="680" w:type="dxa"/>
            <w:tcBorders>
              <w:top w:val="single" w:sz="4" w:space="0" w:color="A6A6A6" w:themeColor="accent5"/>
              <w:bottom w:val="single" w:sz="4" w:space="0" w:color="A6A6A6"/>
            </w:tcBorders>
          </w:tcPr>
          <w:p w14:paraId="20BAC46B" w14:textId="77777777" w:rsidR="00D80E8D" w:rsidRPr="00885260" w:rsidRDefault="00D80E8D">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2917EA" w14:paraId="45233FA0" w14:textId="77777777" w:rsidTr="00D80E8D">
        <w:trPr>
          <w:cantSplit w:val="0"/>
        </w:trPr>
        <w:tc>
          <w:tcPr>
            <w:tcW w:w="5884" w:type="dxa"/>
            <w:tcBorders>
              <w:top w:val="single" w:sz="4" w:space="0" w:color="A6A6A6" w:themeColor="accent5"/>
              <w:bottom w:val="single" w:sz="4" w:space="0" w:color="A6A6A6"/>
            </w:tcBorders>
            <w:hideMark/>
          </w:tcPr>
          <w:p w14:paraId="3CEA684E" w14:textId="25A9D609" w:rsidR="004A2DF7" w:rsidRPr="00885260" w:rsidRDefault="004A2DF7">
            <w:pPr>
              <w:pStyle w:val="ARfintablebody"/>
            </w:pPr>
            <w:r w:rsidRPr="00885260">
              <w:t xml:space="preserve">Appropriations – </w:t>
            </w:r>
            <w:r w:rsidR="007348BD">
              <w:t>p</w:t>
            </w:r>
            <w:r w:rsidR="007348BD" w:rsidRPr="00885260">
              <w:t xml:space="preserve">ayments </w:t>
            </w:r>
            <w:r w:rsidRPr="00885260">
              <w:t>made on behalf of the state</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A6A6A6" w:themeColor="accent5"/>
              <w:bottom w:val="single" w:sz="4" w:space="0" w:color="A6A6A6"/>
            </w:tcBorders>
            <w:hideMark/>
          </w:tcPr>
          <w:p w14:paraId="07B05613" w14:textId="77777777" w:rsidR="004A2DF7" w:rsidRPr="00885260" w:rsidRDefault="004A2DF7">
            <w:pPr>
              <w:pStyle w:val="ARfintablebodyright"/>
            </w:pPr>
            <w:r w:rsidRPr="00885260">
              <w:t>2,976</w:t>
            </w:r>
          </w:p>
        </w:tc>
        <w:tc>
          <w:tcPr>
            <w:tcW w:w="1134" w:type="dxa"/>
            <w:tcBorders>
              <w:top w:val="single" w:sz="4" w:space="0" w:color="A6A6A6" w:themeColor="accent5"/>
              <w:bottom w:val="single" w:sz="4" w:space="0" w:color="A6A6A6"/>
            </w:tcBorders>
            <w:hideMark/>
          </w:tcPr>
          <w:p w14:paraId="12E2D34C" w14:textId="77777777" w:rsidR="004A2DF7" w:rsidRPr="00885260"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885260">
              <w:t>2,965</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A6A6A6" w:themeColor="accent5"/>
              <w:bottom w:val="single" w:sz="4" w:space="0" w:color="A6A6A6"/>
            </w:tcBorders>
            <w:hideMark/>
          </w:tcPr>
          <w:p w14:paraId="22D0CD86" w14:textId="77777777" w:rsidR="004A2DF7" w:rsidRPr="00885260" w:rsidRDefault="004A2DF7">
            <w:pPr>
              <w:pStyle w:val="ARfintablebodyright"/>
            </w:pPr>
            <w:r w:rsidRPr="00885260">
              <w:t>0.4</w:t>
            </w:r>
          </w:p>
        </w:tc>
        <w:tc>
          <w:tcPr>
            <w:tcW w:w="680" w:type="dxa"/>
            <w:tcBorders>
              <w:top w:val="single" w:sz="4" w:space="0" w:color="A6A6A6" w:themeColor="accent5"/>
              <w:bottom w:val="single" w:sz="4" w:space="0" w:color="A6A6A6"/>
            </w:tcBorders>
          </w:tcPr>
          <w:p w14:paraId="3F694906" w14:textId="77777777" w:rsidR="004A2DF7" w:rsidRPr="0088526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2917EA" w14:paraId="51681AD1" w14:textId="77777777" w:rsidTr="00D80E8D">
        <w:trPr>
          <w:cantSplit w:val="0"/>
        </w:trPr>
        <w:tc>
          <w:tcPr>
            <w:tcW w:w="5884" w:type="dxa"/>
            <w:tcBorders>
              <w:top w:val="single" w:sz="4" w:space="0" w:color="A6A6A6"/>
              <w:bottom w:val="single" w:sz="4" w:space="0" w:color="A6A6A6"/>
            </w:tcBorders>
            <w:hideMark/>
          </w:tcPr>
          <w:p w14:paraId="744CABCC" w14:textId="77777777" w:rsidR="004A2DF7" w:rsidRPr="00885260" w:rsidRDefault="004A2DF7">
            <w:pPr>
              <w:pStyle w:val="ARfintablebody"/>
            </w:pPr>
            <w:r w:rsidRPr="00885260">
              <w:t>Sales of goods and services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A6A6A6"/>
              <w:bottom w:val="single" w:sz="4" w:space="0" w:color="A6A6A6"/>
            </w:tcBorders>
            <w:hideMark/>
          </w:tcPr>
          <w:p w14:paraId="3C67A6AC" w14:textId="77777777" w:rsidR="004A2DF7" w:rsidRPr="00885260" w:rsidRDefault="004A2DF7">
            <w:pPr>
              <w:pStyle w:val="ARfintablebodyright"/>
            </w:pPr>
            <w:r w:rsidRPr="00885260">
              <w:t>43</w:t>
            </w:r>
          </w:p>
        </w:tc>
        <w:tc>
          <w:tcPr>
            <w:tcW w:w="1134" w:type="dxa"/>
            <w:tcBorders>
              <w:top w:val="single" w:sz="4" w:space="0" w:color="A6A6A6"/>
              <w:bottom w:val="single" w:sz="4" w:space="0" w:color="A6A6A6"/>
            </w:tcBorders>
            <w:hideMark/>
          </w:tcPr>
          <w:p w14:paraId="6F71EE2C" w14:textId="77777777" w:rsidR="004A2DF7" w:rsidRPr="00885260"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885260">
              <w:t>40</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A6A6A6"/>
              <w:bottom w:val="single" w:sz="4" w:space="0" w:color="A6A6A6"/>
            </w:tcBorders>
            <w:hideMark/>
          </w:tcPr>
          <w:p w14:paraId="00CAF816" w14:textId="77777777" w:rsidR="004A2DF7" w:rsidRPr="00885260" w:rsidRDefault="004A2DF7">
            <w:pPr>
              <w:pStyle w:val="ARfintablebodyright"/>
            </w:pPr>
            <w:r w:rsidRPr="00885260">
              <w:t>6.5</w:t>
            </w:r>
          </w:p>
        </w:tc>
        <w:tc>
          <w:tcPr>
            <w:tcW w:w="680" w:type="dxa"/>
            <w:tcBorders>
              <w:top w:val="single" w:sz="4" w:space="0" w:color="A6A6A6"/>
              <w:bottom w:val="single" w:sz="4" w:space="0" w:color="A6A6A6"/>
            </w:tcBorders>
          </w:tcPr>
          <w:p w14:paraId="059C1F44" w14:textId="77777777" w:rsidR="004A2DF7" w:rsidRPr="0088526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2917EA" w14:paraId="74375F96" w14:textId="77777777" w:rsidTr="00D80E8D">
        <w:trPr>
          <w:cantSplit w:val="0"/>
        </w:trPr>
        <w:tc>
          <w:tcPr>
            <w:tcW w:w="5884" w:type="dxa"/>
            <w:tcBorders>
              <w:top w:val="single" w:sz="4" w:space="0" w:color="A6A6A6"/>
              <w:bottom w:val="single" w:sz="4" w:space="0" w:color="A6A6A6"/>
            </w:tcBorders>
            <w:hideMark/>
          </w:tcPr>
          <w:p w14:paraId="21D9A238" w14:textId="77777777" w:rsidR="004A2DF7" w:rsidRPr="00885260" w:rsidRDefault="004A2DF7">
            <w:pPr>
              <w:pStyle w:val="ARfintablebody"/>
            </w:pPr>
            <w:r w:rsidRPr="00885260">
              <w:t>Grants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A6A6A6"/>
              <w:bottom w:val="single" w:sz="4" w:space="0" w:color="A6A6A6"/>
            </w:tcBorders>
            <w:hideMark/>
          </w:tcPr>
          <w:p w14:paraId="35311436" w14:textId="77777777" w:rsidR="004A2DF7" w:rsidRPr="00885260" w:rsidRDefault="004A2DF7">
            <w:pPr>
              <w:pStyle w:val="ARfintablebodyright"/>
            </w:pPr>
            <w:r w:rsidRPr="00885260">
              <w:t>23</w:t>
            </w:r>
          </w:p>
        </w:tc>
        <w:tc>
          <w:tcPr>
            <w:tcW w:w="1134" w:type="dxa"/>
            <w:tcBorders>
              <w:top w:val="single" w:sz="4" w:space="0" w:color="A6A6A6"/>
              <w:bottom w:val="single" w:sz="4" w:space="0" w:color="A6A6A6"/>
            </w:tcBorders>
            <w:hideMark/>
          </w:tcPr>
          <w:p w14:paraId="36E13B9A" w14:textId="77777777" w:rsidR="004A2DF7" w:rsidRPr="00885260"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885260">
              <w:t>16</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A6A6A6"/>
              <w:bottom w:val="single" w:sz="4" w:space="0" w:color="A6A6A6"/>
            </w:tcBorders>
            <w:hideMark/>
          </w:tcPr>
          <w:p w14:paraId="79B85091" w14:textId="77777777" w:rsidR="004A2DF7" w:rsidRPr="00885260" w:rsidRDefault="004A2DF7">
            <w:pPr>
              <w:pStyle w:val="ARfintablebodyright"/>
            </w:pPr>
            <w:r w:rsidRPr="00885260">
              <w:t>45.0</w:t>
            </w:r>
          </w:p>
        </w:tc>
        <w:tc>
          <w:tcPr>
            <w:tcW w:w="680" w:type="dxa"/>
            <w:tcBorders>
              <w:top w:val="single" w:sz="4" w:space="0" w:color="A6A6A6"/>
              <w:bottom w:val="single" w:sz="4" w:space="0" w:color="A6A6A6"/>
            </w:tcBorders>
          </w:tcPr>
          <w:p w14:paraId="2EF7D1C6" w14:textId="77777777" w:rsidR="004A2DF7" w:rsidRPr="00885260" w:rsidRDefault="004A2DF7">
            <w:pPr>
              <w:pStyle w:val="ARfintablebodycentre"/>
              <w:cnfStyle w:val="000000000000" w:firstRow="0" w:lastRow="0" w:firstColumn="0" w:lastColumn="0" w:oddVBand="0" w:evenVBand="0" w:oddHBand="0" w:evenHBand="0" w:firstRowFirstColumn="0" w:firstRowLastColumn="0" w:lastRowFirstColumn="0" w:lastRowLastColumn="0"/>
              <w:rPr>
                <w:vertAlign w:val="superscript"/>
              </w:rPr>
            </w:pPr>
            <w:r w:rsidRPr="00885260">
              <w:rPr>
                <w:vertAlign w:val="superscript"/>
              </w:rPr>
              <w:t>(a)</w:t>
            </w:r>
          </w:p>
        </w:tc>
      </w:tr>
      <w:tr w:rsidR="00D80E8D" w:rsidRPr="00F13B5B" w14:paraId="275AB48E" w14:textId="77777777" w:rsidTr="00D80E8D">
        <w:trPr>
          <w:cantSplit w:val="0"/>
        </w:trPr>
        <w:tc>
          <w:tcPr>
            <w:tcW w:w="5884" w:type="dxa"/>
            <w:tcBorders>
              <w:top w:val="single" w:sz="4" w:space="0" w:color="A6A6A6"/>
              <w:bottom w:val="single" w:sz="4" w:space="0" w:color="000000" w:themeColor="text1"/>
            </w:tcBorders>
            <w:hideMark/>
          </w:tcPr>
          <w:p w14:paraId="0B5AE259" w14:textId="77777777" w:rsidR="004A2DF7" w:rsidRPr="00F13B5B" w:rsidRDefault="004A2DF7">
            <w:pPr>
              <w:pStyle w:val="ARfintablebody"/>
            </w:pPr>
            <w:r w:rsidRPr="00F13B5B">
              <w:t>Other income</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A6A6A6"/>
              <w:bottom w:val="single" w:sz="4" w:space="0" w:color="000000" w:themeColor="text1"/>
            </w:tcBorders>
            <w:hideMark/>
          </w:tcPr>
          <w:p w14:paraId="38AA36B1" w14:textId="77777777" w:rsidR="004A2DF7" w:rsidRPr="00F13B5B" w:rsidRDefault="004A2DF7">
            <w:pPr>
              <w:pStyle w:val="ARfintablebodyright"/>
            </w:pPr>
            <w:r w:rsidRPr="00F13B5B">
              <w:t>1</w:t>
            </w:r>
          </w:p>
        </w:tc>
        <w:tc>
          <w:tcPr>
            <w:tcW w:w="1134" w:type="dxa"/>
            <w:tcBorders>
              <w:top w:val="single" w:sz="4" w:space="0" w:color="A6A6A6"/>
              <w:bottom w:val="single" w:sz="4" w:space="0" w:color="000000" w:themeColor="text1"/>
            </w:tcBorders>
            <w:hideMark/>
          </w:tcPr>
          <w:p w14:paraId="7500ED47" w14:textId="77777777" w:rsidR="004A2DF7" w:rsidRPr="00F13B5B"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F13B5B">
              <w:t>1</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A6A6A6"/>
              <w:bottom w:val="single" w:sz="4" w:space="0" w:color="000000" w:themeColor="text1"/>
            </w:tcBorders>
            <w:hideMark/>
          </w:tcPr>
          <w:p w14:paraId="3F9BB9D9" w14:textId="77777777" w:rsidR="004A2DF7" w:rsidRPr="00F13B5B" w:rsidRDefault="004A2DF7">
            <w:pPr>
              <w:pStyle w:val="ARfintablebodyright"/>
            </w:pPr>
            <w:r w:rsidRPr="00F13B5B">
              <w:t>53.7</w:t>
            </w:r>
          </w:p>
        </w:tc>
        <w:tc>
          <w:tcPr>
            <w:tcW w:w="680" w:type="dxa"/>
            <w:tcBorders>
              <w:top w:val="single" w:sz="4" w:space="0" w:color="A6A6A6"/>
              <w:bottom w:val="single" w:sz="4" w:space="0" w:color="000000" w:themeColor="text1"/>
            </w:tcBorders>
          </w:tcPr>
          <w:p w14:paraId="543599D0" w14:textId="77777777" w:rsidR="004A2DF7" w:rsidRPr="00F13B5B"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F13B5B" w14:paraId="37ECC236" w14:textId="77777777" w:rsidTr="00D80E8D">
        <w:trPr>
          <w:cantSplit w:val="0"/>
        </w:trPr>
        <w:tc>
          <w:tcPr>
            <w:tcW w:w="5884" w:type="dxa"/>
            <w:tcBorders>
              <w:top w:val="single" w:sz="4" w:space="0" w:color="000000" w:themeColor="text1"/>
              <w:bottom w:val="single" w:sz="4" w:space="0" w:color="auto"/>
            </w:tcBorders>
            <w:hideMark/>
          </w:tcPr>
          <w:p w14:paraId="5DCD65F4" w14:textId="77777777" w:rsidR="004A2DF7" w:rsidRPr="00F13B5B" w:rsidRDefault="004A2DF7">
            <w:pPr>
              <w:pStyle w:val="ARfintablebodybold"/>
            </w:pPr>
            <w:r w:rsidRPr="00F13B5B">
              <w:t>Total administered income</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000000" w:themeColor="text1"/>
              <w:bottom w:val="single" w:sz="4" w:space="0" w:color="auto"/>
            </w:tcBorders>
            <w:hideMark/>
          </w:tcPr>
          <w:p w14:paraId="2BCD2E97" w14:textId="77777777" w:rsidR="004A2DF7" w:rsidRPr="00F13B5B" w:rsidRDefault="004A2DF7">
            <w:pPr>
              <w:pStyle w:val="ARfintablebodyrightbold"/>
            </w:pPr>
            <w:r w:rsidRPr="00F13B5B">
              <w:t>3,042</w:t>
            </w:r>
          </w:p>
        </w:tc>
        <w:tc>
          <w:tcPr>
            <w:tcW w:w="1134" w:type="dxa"/>
            <w:tcBorders>
              <w:top w:val="single" w:sz="4" w:space="0" w:color="000000" w:themeColor="text1"/>
              <w:bottom w:val="single" w:sz="4" w:space="0" w:color="auto"/>
            </w:tcBorders>
            <w:hideMark/>
          </w:tcPr>
          <w:p w14:paraId="79810E60" w14:textId="77777777" w:rsidR="004A2DF7" w:rsidRPr="00F13B5B"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F13B5B">
              <w:t>3,021</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000000" w:themeColor="text1"/>
              <w:bottom w:val="single" w:sz="4" w:space="0" w:color="auto"/>
            </w:tcBorders>
            <w:hideMark/>
          </w:tcPr>
          <w:p w14:paraId="67116991" w14:textId="77777777" w:rsidR="004A2DF7" w:rsidRPr="00F13B5B" w:rsidRDefault="004A2DF7">
            <w:pPr>
              <w:pStyle w:val="ARfintablebodyrightbold"/>
            </w:pPr>
            <w:r w:rsidRPr="00F13B5B">
              <w:t>0.7</w:t>
            </w:r>
          </w:p>
        </w:tc>
        <w:tc>
          <w:tcPr>
            <w:tcW w:w="680" w:type="dxa"/>
            <w:tcBorders>
              <w:top w:val="single" w:sz="4" w:space="0" w:color="000000" w:themeColor="text1"/>
              <w:bottom w:val="single" w:sz="4" w:space="0" w:color="auto"/>
            </w:tcBorders>
          </w:tcPr>
          <w:p w14:paraId="220BC0B6" w14:textId="77777777" w:rsidR="004A2DF7" w:rsidRPr="00F13B5B"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F13B5B" w14:paraId="29DE7EA8" w14:textId="77777777" w:rsidTr="00D80E8D">
        <w:trPr>
          <w:cantSplit w:val="0"/>
        </w:trPr>
        <w:tc>
          <w:tcPr>
            <w:tcW w:w="5884" w:type="dxa"/>
            <w:tcBorders>
              <w:top w:val="single" w:sz="4" w:space="0" w:color="BFBFBF" w:themeColor="background1" w:themeShade="BF"/>
              <w:left w:val="nil"/>
              <w:bottom w:val="single" w:sz="4" w:space="0" w:color="A6A6A6" w:themeColor="accent5"/>
            </w:tcBorders>
          </w:tcPr>
          <w:p w14:paraId="0E837771" w14:textId="0AD662E9" w:rsidR="00D80E8D" w:rsidRPr="00F13B5B" w:rsidRDefault="00D80E8D" w:rsidP="00D80E8D">
            <w:pPr>
              <w:pStyle w:val="ARfintablebodybold"/>
            </w:pPr>
            <w:r w:rsidRPr="00F13B5B">
              <w:t>Administered expenses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BFBFBF" w:themeColor="background1" w:themeShade="BF"/>
              <w:bottom w:val="single" w:sz="4" w:space="0" w:color="A6A6A6" w:themeColor="accent5"/>
            </w:tcBorders>
          </w:tcPr>
          <w:p w14:paraId="6489D761" w14:textId="77777777" w:rsidR="00D80E8D" w:rsidRPr="00F13B5B" w:rsidRDefault="00D80E8D">
            <w:pPr>
              <w:pStyle w:val="ARfintablebodyright"/>
            </w:pPr>
          </w:p>
        </w:tc>
        <w:tc>
          <w:tcPr>
            <w:tcW w:w="1134" w:type="dxa"/>
            <w:tcBorders>
              <w:top w:val="single" w:sz="4" w:space="0" w:color="BFBFBF" w:themeColor="background1" w:themeShade="BF"/>
              <w:bottom w:val="single" w:sz="4" w:space="0" w:color="A6A6A6" w:themeColor="accent5"/>
            </w:tcBorders>
          </w:tcPr>
          <w:p w14:paraId="1718A053" w14:textId="77777777" w:rsidR="00D80E8D" w:rsidRPr="00F13B5B" w:rsidRDefault="00D80E8D">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BFBFBF" w:themeColor="background1" w:themeShade="BF"/>
              <w:bottom w:val="single" w:sz="4" w:space="0" w:color="A6A6A6" w:themeColor="accent5"/>
            </w:tcBorders>
          </w:tcPr>
          <w:p w14:paraId="26CB3BD6" w14:textId="77777777" w:rsidR="00D80E8D" w:rsidRPr="00F13B5B" w:rsidRDefault="00D80E8D">
            <w:pPr>
              <w:pStyle w:val="ARfintablebodyright"/>
            </w:pPr>
          </w:p>
        </w:tc>
        <w:tc>
          <w:tcPr>
            <w:tcW w:w="680" w:type="dxa"/>
            <w:tcBorders>
              <w:top w:val="single" w:sz="4" w:space="0" w:color="BFBFBF" w:themeColor="background1" w:themeShade="BF"/>
              <w:bottom w:val="single" w:sz="4" w:space="0" w:color="A6A6A6" w:themeColor="accent5"/>
            </w:tcBorders>
          </w:tcPr>
          <w:p w14:paraId="5DC3569C" w14:textId="77777777" w:rsidR="00D80E8D" w:rsidRPr="00F13B5B" w:rsidRDefault="00D80E8D">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F13B5B" w14:paraId="40041F57" w14:textId="77777777" w:rsidTr="00D80E8D">
        <w:trPr>
          <w:cantSplit w:val="0"/>
        </w:trPr>
        <w:tc>
          <w:tcPr>
            <w:tcW w:w="5884" w:type="dxa"/>
            <w:tcBorders>
              <w:top w:val="single" w:sz="4" w:space="0" w:color="BFBFBF" w:themeColor="background1" w:themeShade="BF"/>
              <w:left w:val="nil"/>
              <w:bottom w:val="single" w:sz="4" w:space="0" w:color="A6A6A6" w:themeColor="accent5"/>
            </w:tcBorders>
            <w:hideMark/>
          </w:tcPr>
          <w:p w14:paraId="725BA2E2" w14:textId="77777777" w:rsidR="004A2DF7" w:rsidRPr="00F13B5B" w:rsidRDefault="004A2DF7">
            <w:pPr>
              <w:pStyle w:val="ARfintablebody"/>
            </w:pPr>
            <w:r w:rsidRPr="00F13B5B">
              <w:t>Expenses on behalf of the state</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BFBFBF" w:themeColor="background1" w:themeShade="BF"/>
              <w:bottom w:val="single" w:sz="4" w:space="0" w:color="A6A6A6" w:themeColor="accent5"/>
            </w:tcBorders>
            <w:hideMark/>
          </w:tcPr>
          <w:p w14:paraId="4084BB4D" w14:textId="77777777" w:rsidR="004A2DF7" w:rsidRPr="00F13B5B" w:rsidRDefault="004A2DF7">
            <w:pPr>
              <w:pStyle w:val="ARfintablebodyright"/>
            </w:pPr>
            <w:r w:rsidRPr="00F13B5B">
              <w:t>0</w:t>
            </w:r>
          </w:p>
        </w:tc>
        <w:tc>
          <w:tcPr>
            <w:tcW w:w="1134" w:type="dxa"/>
            <w:tcBorders>
              <w:top w:val="single" w:sz="4" w:space="0" w:color="BFBFBF" w:themeColor="background1" w:themeShade="BF"/>
              <w:bottom w:val="single" w:sz="4" w:space="0" w:color="A6A6A6" w:themeColor="accent5"/>
            </w:tcBorders>
            <w:hideMark/>
          </w:tcPr>
          <w:p w14:paraId="3F1254E9" w14:textId="77777777" w:rsidR="004A2DF7" w:rsidRPr="00F13B5B"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F13B5B">
              <w:t>1</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BFBFBF" w:themeColor="background1" w:themeShade="BF"/>
              <w:bottom w:val="single" w:sz="4" w:space="0" w:color="A6A6A6" w:themeColor="accent5"/>
            </w:tcBorders>
            <w:hideMark/>
          </w:tcPr>
          <w:p w14:paraId="3D50439D" w14:textId="77777777" w:rsidR="004A2DF7" w:rsidRPr="00F13B5B" w:rsidRDefault="004A2DF7">
            <w:pPr>
              <w:pStyle w:val="ARfintablebodyright"/>
            </w:pPr>
            <w:r w:rsidRPr="00F13B5B">
              <w:t>(87.6)</w:t>
            </w:r>
          </w:p>
        </w:tc>
        <w:tc>
          <w:tcPr>
            <w:tcW w:w="680" w:type="dxa"/>
            <w:tcBorders>
              <w:top w:val="single" w:sz="4" w:space="0" w:color="BFBFBF" w:themeColor="background1" w:themeShade="BF"/>
              <w:bottom w:val="single" w:sz="4" w:space="0" w:color="A6A6A6" w:themeColor="accent5"/>
            </w:tcBorders>
          </w:tcPr>
          <w:p w14:paraId="4B3EB720" w14:textId="77777777" w:rsidR="004A2DF7" w:rsidRPr="00F13B5B"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F13B5B" w14:paraId="48D501B2" w14:textId="77777777" w:rsidTr="00D80E8D">
        <w:trPr>
          <w:cantSplit w:val="0"/>
        </w:trPr>
        <w:tc>
          <w:tcPr>
            <w:tcW w:w="5884" w:type="dxa"/>
            <w:tcBorders>
              <w:top w:val="single" w:sz="4" w:space="0" w:color="A6A6A6" w:themeColor="accent5"/>
              <w:bottom w:val="single" w:sz="4" w:space="0" w:color="A6A6A6"/>
            </w:tcBorders>
            <w:hideMark/>
          </w:tcPr>
          <w:p w14:paraId="793328D7" w14:textId="77777777" w:rsidR="004A2DF7" w:rsidRPr="00F13B5B" w:rsidRDefault="004A2DF7">
            <w:pPr>
              <w:pStyle w:val="ARfintablebody"/>
            </w:pPr>
            <w:r w:rsidRPr="00F13B5B">
              <w:t>Grants and other transfers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A6A6A6" w:themeColor="accent5"/>
              <w:bottom w:val="single" w:sz="4" w:space="0" w:color="A6A6A6"/>
            </w:tcBorders>
            <w:hideMark/>
          </w:tcPr>
          <w:p w14:paraId="3AB2B0F3" w14:textId="77777777" w:rsidR="004A2DF7" w:rsidRPr="00F13B5B" w:rsidRDefault="004A2DF7">
            <w:pPr>
              <w:pStyle w:val="ARfintablebodyright"/>
            </w:pPr>
            <w:r w:rsidRPr="00F13B5B">
              <w:t>2,977</w:t>
            </w:r>
          </w:p>
        </w:tc>
        <w:tc>
          <w:tcPr>
            <w:tcW w:w="1134" w:type="dxa"/>
            <w:tcBorders>
              <w:top w:val="single" w:sz="4" w:space="0" w:color="A6A6A6" w:themeColor="accent5"/>
              <w:bottom w:val="single" w:sz="4" w:space="0" w:color="A6A6A6"/>
            </w:tcBorders>
            <w:hideMark/>
          </w:tcPr>
          <w:p w14:paraId="743B2308" w14:textId="77777777" w:rsidR="004A2DF7" w:rsidRPr="00F13B5B"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F13B5B">
              <w:t>2,965</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A6A6A6" w:themeColor="accent5"/>
              <w:bottom w:val="single" w:sz="4" w:space="0" w:color="A6A6A6"/>
            </w:tcBorders>
            <w:hideMark/>
          </w:tcPr>
          <w:p w14:paraId="1BBBD20F" w14:textId="77777777" w:rsidR="004A2DF7" w:rsidRPr="00F13B5B" w:rsidRDefault="004A2DF7">
            <w:pPr>
              <w:pStyle w:val="ARfintablebodyright"/>
            </w:pPr>
            <w:r w:rsidRPr="00F13B5B">
              <w:t>0.4</w:t>
            </w:r>
          </w:p>
        </w:tc>
        <w:tc>
          <w:tcPr>
            <w:tcW w:w="680" w:type="dxa"/>
            <w:tcBorders>
              <w:top w:val="single" w:sz="4" w:space="0" w:color="A6A6A6" w:themeColor="accent5"/>
              <w:bottom w:val="single" w:sz="4" w:space="0" w:color="A6A6A6"/>
            </w:tcBorders>
          </w:tcPr>
          <w:p w14:paraId="0F764F83" w14:textId="77777777" w:rsidR="004A2DF7" w:rsidRPr="00F13B5B"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2917EA" w14:paraId="3E1FD4C7" w14:textId="77777777" w:rsidTr="00D80E8D">
        <w:trPr>
          <w:cantSplit w:val="0"/>
        </w:trPr>
        <w:tc>
          <w:tcPr>
            <w:tcW w:w="5884" w:type="dxa"/>
            <w:tcBorders>
              <w:top w:val="single" w:sz="4" w:space="0" w:color="A6A6A6"/>
              <w:bottom w:val="single" w:sz="4" w:space="0" w:color="000000" w:themeColor="text1"/>
            </w:tcBorders>
            <w:hideMark/>
          </w:tcPr>
          <w:p w14:paraId="2EAEF0D7" w14:textId="77777777" w:rsidR="004A2DF7" w:rsidRPr="00F13B5B" w:rsidRDefault="004A2DF7">
            <w:pPr>
              <w:pStyle w:val="ARfintablebody"/>
            </w:pPr>
            <w:r w:rsidRPr="00F13B5B">
              <w:t>Payments into the Consolidated Fund</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A6A6A6"/>
              <w:bottom w:val="single" w:sz="4" w:space="0" w:color="000000" w:themeColor="text1"/>
            </w:tcBorders>
            <w:hideMark/>
          </w:tcPr>
          <w:p w14:paraId="085A4685" w14:textId="77777777" w:rsidR="004A2DF7" w:rsidRPr="00F13B5B" w:rsidRDefault="004A2DF7">
            <w:pPr>
              <w:pStyle w:val="ARfintablebodyright"/>
            </w:pPr>
            <w:r w:rsidRPr="00F13B5B">
              <w:t>66</w:t>
            </w:r>
          </w:p>
        </w:tc>
        <w:tc>
          <w:tcPr>
            <w:tcW w:w="1134" w:type="dxa"/>
            <w:tcBorders>
              <w:top w:val="single" w:sz="4" w:space="0" w:color="A6A6A6"/>
              <w:bottom w:val="single" w:sz="4" w:space="0" w:color="000000" w:themeColor="text1"/>
            </w:tcBorders>
            <w:hideMark/>
          </w:tcPr>
          <w:p w14:paraId="0A500AB3" w14:textId="77777777" w:rsidR="004A2DF7" w:rsidRPr="00F13B5B"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F13B5B">
              <w:t>62</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A6A6A6"/>
              <w:bottom w:val="single" w:sz="4" w:space="0" w:color="000000" w:themeColor="text1"/>
            </w:tcBorders>
            <w:hideMark/>
          </w:tcPr>
          <w:p w14:paraId="3BB73936" w14:textId="77777777" w:rsidR="004A2DF7" w:rsidRPr="00F13B5B" w:rsidRDefault="004A2DF7">
            <w:pPr>
              <w:pStyle w:val="ARfintablebodyright"/>
            </w:pPr>
            <w:r w:rsidRPr="00F13B5B">
              <w:t>6.7</w:t>
            </w:r>
          </w:p>
        </w:tc>
        <w:tc>
          <w:tcPr>
            <w:tcW w:w="680" w:type="dxa"/>
            <w:tcBorders>
              <w:top w:val="single" w:sz="4" w:space="0" w:color="A6A6A6"/>
              <w:bottom w:val="single" w:sz="4" w:space="0" w:color="000000" w:themeColor="text1"/>
            </w:tcBorders>
          </w:tcPr>
          <w:p w14:paraId="7F1AB1B1" w14:textId="77777777" w:rsidR="004A2DF7" w:rsidRPr="00F13B5B"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0448C0" w14:paraId="732D4DEE" w14:textId="77777777" w:rsidTr="00D80E8D">
        <w:trPr>
          <w:cantSplit w:val="0"/>
        </w:trPr>
        <w:tc>
          <w:tcPr>
            <w:tcW w:w="5884" w:type="dxa"/>
            <w:tcBorders>
              <w:top w:val="single" w:sz="4" w:space="0" w:color="000000" w:themeColor="text1"/>
              <w:bottom w:val="single" w:sz="4" w:space="0" w:color="000000" w:themeColor="text1"/>
            </w:tcBorders>
            <w:hideMark/>
          </w:tcPr>
          <w:p w14:paraId="6632AB56" w14:textId="77777777" w:rsidR="004A2DF7" w:rsidRPr="000448C0" w:rsidRDefault="004A2DF7">
            <w:pPr>
              <w:pStyle w:val="ARfintablebodybold"/>
            </w:pPr>
            <w:r w:rsidRPr="000448C0">
              <w:t>Total administered expenses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000000" w:themeColor="text1"/>
              <w:bottom w:val="single" w:sz="4" w:space="0" w:color="000000" w:themeColor="text1"/>
            </w:tcBorders>
            <w:hideMark/>
          </w:tcPr>
          <w:p w14:paraId="40E3E24D" w14:textId="77777777" w:rsidR="004A2DF7" w:rsidRPr="000448C0" w:rsidRDefault="004A2DF7">
            <w:pPr>
              <w:pStyle w:val="ARfintablebodyrightbold"/>
            </w:pPr>
            <w:r w:rsidRPr="000448C0">
              <w:t>3,043</w:t>
            </w:r>
          </w:p>
        </w:tc>
        <w:tc>
          <w:tcPr>
            <w:tcW w:w="1134" w:type="dxa"/>
            <w:tcBorders>
              <w:top w:val="single" w:sz="4" w:space="0" w:color="000000" w:themeColor="text1"/>
              <w:bottom w:val="single" w:sz="4" w:space="0" w:color="000000" w:themeColor="text1"/>
            </w:tcBorders>
            <w:hideMark/>
          </w:tcPr>
          <w:p w14:paraId="016D7892" w14:textId="77777777" w:rsidR="004A2DF7" w:rsidRPr="000448C0"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0448C0">
              <w:t>3,028</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000000" w:themeColor="text1"/>
              <w:bottom w:val="single" w:sz="4" w:space="0" w:color="000000" w:themeColor="text1"/>
            </w:tcBorders>
            <w:hideMark/>
          </w:tcPr>
          <w:p w14:paraId="5FB72F49" w14:textId="77777777" w:rsidR="004A2DF7" w:rsidRPr="000448C0" w:rsidRDefault="004A2DF7">
            <w:pPr>
              <w:pStyle w:val="ARfintablebodyrightbold"/>
            </w:pPr>
            <w:r w:rsidRPr="000448C0">
              <w:t>0.5</w:t>
            </w:r>
          </w:p>
        </w:tc>
        <w:tc>
          <w:tcPr>
            <w:tcW w:w="680" w:type="dxa"/>
            <w:tcBorders>
              <w:top w:val="single" w:sz="4" w:space="0" w:color="000000" w:themeColor="text1"/>
              <w:bottom w:val="single" w:sz="4" w:space="0" w:color="000000" w:themeColor="text1"/>
            </w:tcBorders>
          </w:tcPr>
          <w:p w14:paraId="119DF0D8" w14:textId="77777777" w:rsidR="004A2DF7" w:rsidRPr="000448C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0448C0" w14:paraId="45C6E054" w14:textId="77777777" w:rsidTr="00D80E8D">
        <w:trPr>
          <w:cantSplit w:val="0"/>
        </w:trPr>
        <w:tc>
          <w:tcPr>
            <w:tcW w:w="5884" w:type="dxa"/>
            <w:tcBorders>
              <w:top w:val="single" w:sz="4" w:space="0" w:color="000000" w:themeColor="text1"/>
              <w:bottom w:val="single" w:sz="4" w:space="0" w:color="auto"/>
            </w:tcBorders>
            <w:hideMark/>
          </w:tcPr>
          <w:p w14:paraId="2C139DE5" w14:textId="77777777" w:rsidR="004A2DF7" w:rsidRPr="000448C0" w:rsidRDefault="004A2DF7">
            <w:pPr>
              <w:pStyle w:val="ARfintablebodybold"/>
            </w:pPr>
            <w:r w:rsidRPr="000448C0">
              <w:t>Income less expenses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000000" w:themeColor="text1"/>
              <w:bottom w:val="single" w:sz="4" w:space="0" w:color="auto"/>
            </w:tcBorders>
            <w:hideMark/>
          </w:tcPr>
          <w:p w14:paraId="079D2C8B" w14:textId="77777777" w:rsidR="004A2DF7" w:rsidRPr="000448C0" w:rsidRDefault="004A2DF7">
            <w:pPr>
              <w:pStyle w:val="ARfintablebodyrightbold"/>
            </w:pPr>
            <w:r w:rsidRPr="000448C0">
              <w:t>(1)</w:t>
            </w:r>
          </w:p>
        </w:tc>
        <w:tc>
          <w:tcPr>
            <w:tcW w:w="1134" w:type="dxa"/>
            <w:tcBorders>
              <w:top w:val="single" w:sz="4" w:space="0" w:color="000000" w:themeColor="text1"/>
              <w:bottom w:val="single" w:sz="4" w:space="0" w:color="auto"/>
            </w:tcBorders>
            <w:hideMark/>
          </w:tcPr>
          <w:p w14:paraId="33C27583" w14:textId="77777777" w:rsidR="004A2DF7" w:rsidRPr="000448C0"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0448C0">
              <w:t>(6)</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000000" w:themeColor="text1"/>
              <w:bottom w:val="single" w:sz="4" w:space="0" w:color="auto"/>
            </w:tcBorders>
            <w:hideMark/>
          </w:tcPr>
          <w:p w14:paraId="4622F217" w14:textId="77777777" w:rsidR="004A2DF7" w:rsidRPr="000448C0" w:rsidRDefault="004A2DF7">
            <w:pPr>
              <w:pStyle w:val="ARfintablebodyrightbold"/>
            </w:pPr>
            <w:r w:rsidRPr="000448C0">
              <w:t>(81.8)</w:t>
            </w:r>
          </w:p>
        </w:tc>
        <w:tc>
          <w:tcPr>
            <w:tcW w:w="680" w:type="dxa"/>
            <w:tcBorders>
              <w:top w:val="single" w:sz="4" w:space="0" w:color="000000" w:themeColor="text1"/>
              <w:bottom w:val="single" w:sz="4" w:space="0" w:color="auto"/>
            </w:tcBorders>
          </w:tcPr>
          <w:p w14:paraId="45AE2B7B" w14:textId="77777777" w:rsidR="004A2DF7" w:rsidRPr="000448C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0448C0" w14:paraId="28A6D7EB" w14:textId="77777777" w:rsidTr="00D80E8D">
        <w:trPr>
          <w:cantSplit w:val="0"/>
        </w:trPr>
        <w:tc>
          <w:tcPr>
            <w:tcW w:w="5884" w:type="dxa"/>
            <w:tcBorders>
              <w:top w:val="single" w:sz="4" w:space="0" w:color="BFBFBF" w:themeColor="background1" w:themeShade="BF"/>
              <w:bottom w:val="single" w:sz="4" w:space="0" w:color="A6A6A6" w:themeColor="accent5"/>
            </w:tcBorders>
          </w:tcPr>
          <w:p w14:paraId="51831A0B" w14:textId="45C886DE" w:rsidR="00D80E8D" w:rsidRPr="000448C0" w:rsidRDefault="00D80E8D" w:rsidP="00D80E8D">
            <w:pPr>
              <w:pStyle w:val="ARfintablebodybold"/>
            </w:pPr>
            <w:r w:rsidRPr="000448C0">
              <w:t>Other economic flows included in net result</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BFBFBF" w:themeColor="background1" w:themeShade="BF"/>
              <w:bottom w:val="single" w:sz="4" w:space="0" w:color="A6A6A6" w:themeColor="accent5"/>
            </w:tcBorders>
          </w:tcPr>
          <w:p w14:paraId="2D8AE865" w14:textId="77777777" w:rsidR="00D80E8D" w:rsidRPr="000448C0" w:rsidRDefault="00D80E8D">
            <w:pPr>
              <w:pStyle w:val="ARfintablebodyright"/>
            </w:pPr>
          </w:p>
        </w:tc>
        <w:tc>
          <w:tcPr>
            <w:tcW w:w="1134" w:type="dxa"/>
            <w:tcBorders>
              <w:top w:val="single" w:sz="4" w:space="0" w:color="BFBFBF" w:themeColor="background1" w:themeShade="BF"/>
              <w:bottom w:val="single" w:sz="4" w:space="0" w:color="A6A6A6" w:themeColor="accent5"/>
            </w:tcBorders>
          </w:tcPr>
          <w:p w14:paraId="450240B6" w14:textId="77777777" w:rsidR="00D80E8D" w:rsidRPr="000448C0" w:rsidRDefault="00D80E8D">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BFBFBF" w:themeColor="background1" w:themeShade="BF"/>
              <w:bottom w:val="single" w:sz="4" w:space="0" w:color="A6A6A6" w:themeColor="accent5"/>
            </w:tcBorders>
          </w:tcPr>
          <w:p w14:paraId="02794DAE" w14:textId="77777777" w:rsidR="00D80E8D" w:rsidRPr="000448C0" w:rsidRDefault="00D80E8D">
            <w:pPr>
              <w:pStyle w:val="ARfintablebodyright"/>
            </w:pPr>
          </w:p>
        </w:tc>
        <w:tc>
          <w:tcPr>
            <w:tcW w:w="680" w:type="dxa"/>
            <w:tcBorders>
              <w:top w:val="single" w:sz="4" w:space="0" w:color="BFBFBF" w:themeColor="background1" w:themeShade="BF"/>
              <w:bottom w:val="single" w:sz="4" w:space="0" w:color="A6A6A6" w:themeColor="accent5"/>
            </w:tcBorders>
          </w:tcPr>
          <w:p w14:paraId="02A5AB3C" w14:textId="77777777" w:rsidR="00D80E8D" w:rsidRPr="000448C0" w:rsidRDefault="00D80E8D">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0448C0" w14:paraId="0A8EADAA" w14:textId="77777777" w:rsidTr="00D80E8D">
        <w:trPr>
          <w:cantSplit w:val="0"/>
        </w:trPr>
        <w:tc>
          <w:tcPr>
            <w:tcW w:w="5884" w:type="dxa"/>
            <w:tcBorders>
              <w:top w:val="single" w:sz="4" w:space="0" w:color="A6A6A6" w:themeColor="accent5"/>
              <w:bottom w:val="single" w:sz="4" w:space="0" w:color="auto"/>
            </w:tcBorders>
            <w:hideMark/>
          </w:tcPr>
          <w:p w14:paraId="76C45DD3" w14:textId="77777777" w:rsidR="004A2DF7" w:rsidRPr="000448C0" w:rsidRDefault="004A2DF7">
            <w:pPr>
              <w:pStyle w:val="ARfintablebody"/>
            </w:pPr>
            <w:r w:rsidRPr="000448C0">
              <w:t>Net gain/(loss) on non-financial assets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A6A6A6" w:themeColor="accent5"/>
              <w:bottom w:val="single" w:sz="4" w:space="0" w:color="auto"/>
            </w:tcBorders>
            <w:hideMark/>
          </w:tcPr>
          <w:p w14:paraId="6650599E" w14:textId="77777777" w:rsidR="004A2DF7" w:rsidRPr="000448C0" w:rsidRDefault="004A2DF7">
            <w:pPr>
              <w:pStyle w:val="ARfintablebodyright"/>
            </w:pPr>
            <w:r w:rsidRPr="000448C0">
              <w:t>1</w:t>
            </w:r>
          </w:p>
        </w:tc>
        <w:tc>
          <w:tcPr>
            <w:tcW w:w="1134" w:type="dxa"/>
            <w:tcBorders>
              <w:top w:val="single" w:sz="4" w:space="0" w:color="A6A6A6" w:themeColor="accent5"/>
              <w:bottom w:val="single" w:sz="4" w:space="0" w:color="auto"/>
            </w:tcBorders>
            <w:hideMark/>
          </w:tcPr>
          <w:p w14:paraId="338AE6E1" w14:textId="77777777" w:rsidR="004A2DF7" w:rsidRPr="000448C0"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0448C0">
              <w:t>6</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A6A6A6" w:themeColor="accent5"/>
              <w:bottom w:val="single" w:sz="4" w:space="0" w:color="auto"/>
            </w:tcBorders>
            <w:hideMark/>
          </w:tcPr>
          <w:p w14:paraId="72C80F77" w14:textId="77777777" w:rsidR="004A2DF7" w:rsidRPr="000448C0" w:rsidRDefault="004A2DF7">
            <w:pPr>
              <w:pStyle w:val="ARfintablebodyright"/>
            </w:pPr>
            <w:r w:rsidRPr="000448C0">
              <w:t>(86.9)</w:t>
            </w:r>
          </w:p>
        </w:tc>
        <w:tc>
          <w:tcPr>
            <w:tcW w:w="680" w:type="dxa"/>
            <w:tcBorders>
              <w:top w:val="single" w:sz="4" w:space="0" w:color="A6A6A6" w:themeColor="accent5"/>
              <w:bottom w:val="single" w:sz="4" w:space="0" w:color="auto"/>
            </w:tcBorders>
          </w:tcPr>
          <w:p w14:paraId="00063E3F" w14:textId="77777777" w:rsidR="004A2DF7" w:rsidRPr="000448C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0448C0" w14:paraId="3B3D8126" w14:textId="77777777" w:rsidTr="00D80E8D">
        <w:trPr>
          <w:cantSplit w:val="0"/>
        </w:trPr>
        <w:tc>
          <w:tcPr>
            <w:tcW w:w="5884" w:type="dxa"/>
            <w:tcBorders>
              <w:top w:val="single" w:sz="4" w:space="0" w:color="auto"/>
              <w:bottom w:val="single" w:sz="4" w:space="0" w:color="000000" w:themeColor="text1"/>
            </w:tcBorders>
            <w:hideMark/>
          </w:tcPr>
          <w:p w14:paraId="1EA8FDC5" w14:textId="77777777" w:rsidR="004A2DF7" w:rsidRPr="000448C0" w:rsidRDefault="004A2DF7">
            <w:pPr>
              <w:pStyle w:val="ARfintablebodybold"/>
            </w:pPr>
            <w:r w:rsidRPr="000448C0">
              <w:t>Total other economic flows included in net result</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auto"/>
              <w:bottom w:val="single" w:sz="4" w:space="0" w:color="000000" w:themeColor="text1"/>
            </w:tcBorders>
            <w:hideMark/>
          </w:tcPr>
          <w:p w14:paraId="541C39BD" w14:textId="77777777" w:rsidR="004A2DF7" w:rsidRPr="000448C0" w:rsidRDefault="004A2DF7">
            <w:pPr>
              <w:pStyle w:val="ARfintablebodyrightbold"/>
            </w:pPr>
            <w:r w:rsidRPr="000448C0">
              <w:t>1</w:t>
            </w:r>
          </w:p>
        </w:tc>
        <w:tc>
          <w:tcPr>
            <w:tcW w:w="1134" w:type="dxa"/>
            <w:tcBorders>
              <w:top w:val="single" w:sz="4" w:space="0" w:color="auto"/>
              <w:bottom w:val="single" w:sz="4" w:space="0" w:color="000000" w:themeColor="text1"/>
            </w:tcBorders>
            <w:hideMark/>
          </w:tcPr>
          <w:p w14:paraId="59DFE0C0" w14:textId="77777777" w:rsidR="004A2DF7" w:rsidRPr="000448C0"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0448C0">
              <w:t>6</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auto"/>
              <w:bottom w:val="single" w:sz="4" w:space="0" w:color="000000" w:themeColor="text1"/>
            </w:tcBorders>
            <w:hideMark/>
          </w:tcPr>
          <w:p w14:paraId="7CBDFE76" w14:textId="77777777" w:rsidR="004A2DF7" w:rsidRPr="000448C0" w:rsidRDefault="004A2DF7">
            <w:pPr>
              <w:pStyle w:val="ARfintablebodyrightbold"/>
            </w:pPr>
            <w:r w:rsidRPr="000448C0">
              <w:t>(86.9)</w:t>
            </w:r>
          </w:p>
        </w:tc>
        <w:tc>
          <w:tcPr>
            <w:tcW w:w="680" w:type="dxa"/>
            <w:tcBorders>
              <w:top w:val="single" w:sz="4" w:space="0" w:color="auto"/>
              <w:bottom w:val="single" w:sz="4" w:space="0" w:color="000000" w:themeColor="text1"/>
            </w:tcBorders>
          </w:tcPr>
          <w:p w14:paraId="1FD7F778" w14:textId="77777777" w:rsidR="004A2DF7" w:rsidRPr="000448C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0448C0" w14:paraId="63523393" w14:textId="77777777" w:rsidTr="00D80E8D">
        <w:trPr>
          <w:cantSplit w:val="0"/>
        </w:trPr>
        <w:tc>
          <w:tcPr>
            <w:tcW w:w="5884" w:type="dxa"/>
            <w:tcBorders>
              <w:top w:val="single" w:sz="4" w:space="0" w:color="000000" w:themeColor="text1"/>
              <w:bottom w:val="single" w:sz="4" w:space="0" w:color="auto"/>
            </w:tcBorders>
            <w:hideMark/>
          </w:tcPr>
          <w:p w14:paraId="41905E61" w14:textId="77777777" w:rsidR="004A2DF7" w:rsidRPr="000448C0" w:rsidRDefault="004A2DF7">
            <w:pPr>
              <w:pStyle w:val="ARfintablebodybold"/>
            </w:pPr>
            <w:r w:rsidRPr="000448C0">
              <w:t>Net result</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000000" w:themeColor="text1"/>
              <w:bottom w:val="single" w:sz="4" w:space="0" w:color="auto"/>
            </w:tcBorders>
            <w:hideMark/>
          </w:tcPr>
          <w:p w14:paraId="5A818554" w14:textId="77777777" w:rsidR="004A2DF7" w:rsidRPr="000448C0" w:rsidRDefault="004A2DF7">
            <w:pPr>
              <w:pStyle w:val="ARfintablebodyrightbold"/>
            </w:pPr>
            <w:r w:rsidRPr="000448C0">
              <w:t>(0)</w:t>
            </w:r>
          </w:p>
        </w:tc>
        <w:tc>
          <w:tcPr>
            <w:tcW w:w="1134" w:type="dxa"/>
            <w:tcBorders>
              <w:top w:val="single" w:sz="4" w:space="0" w:color="000000" w:themeColor="text1"/>
              <w:bottom w:val="single" w:sz="4" w:space="0" w:color="auto"/>
            </w:tcBorders>
            <w:hideMark/>
          </w:tcPr>
          <w:p w14:paraId="35E4DC68" w14:textId="16FBDCF7" w:rsidR="004A2DF7" w:rsidRPr="000448C0" w:rsidRDefault="007D7DE0">
            <w:pPr>
              <w:pStyle w:val="ARfintablebodyrightbold"/>
              <w:cnfStyle w:val="000000000000" w:firstRow="0" w:lastRow="0" w:firstColumn="0" w:lastColumn="0" w:oddVBand="0" w:evenVBand="0" w:oddHBand="0" w:evenHBand="0" w:firstRowFirstColumn="0" w:firstRowLastColumn="0" w:lastRowFirstColumn="0" w:lastRowLastColumn="0"/>
            </w:pPr>
            <w:r>
              <w:t>–</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000000" w:themeColor="text1"/>
              <w:bottom w:val="single" w:sz="4" w:space="0" w:color="auto"/>
            </w:tcBorders>
            <w:hideMark/>
          </w:tcPr>
          <w:p w14:paraId="27E8430C" w14:textId="013A3A3F" w:rsidR="004A2DF7" w:rsidRPr="000448C0" w:rsidRDefault="007D7DE0">
            <w:pPr>
              <w:pStyle w:val="ARfintablebodyrightbold"/>
            </w:pPr>
            <w:r>
              <w:t>–</w:t>
            </w:r>
          </w:p>
        </w:tc>
        <w:tc>
          <w:tcPr>
            <w:tcW w:w="680" w:type="dxa"/>
            <w:tcBorders>
              <w:top w:val="single" w:sz="4" w:space="0" w:color="000000" w:themeColor="text1"/>
              <w:bottom w:val="single" w:sz="4" w:space="0" w:color="auto"/>
            </w:tcBorders>
          </w:tcPr>
          <w:p w14:paraId="1460DEDB" w14:textId="77777777" w:rsidR="004A2DF7" w:rsidRPr="000448C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0448C0" w14:paraId="78BB1DBB" w14:textId="77777777" w:rsidTr="00D80E8D">
        <w:trPr>
          <w:cantSplit w:val="0"/>
        </w:trPr>
        <w:tc>
          <w:tcPr>
            <w:tcW w:w="5884" w:type="dxa"/>
            <w:tcBorders>
              <w:bottom w:val="single" w:sz="4" w:space="0" w:color="auto"/>
            </w:tcBorders>
            <w:hideMark/>
          </w:tcPr>
          <w:p w14:paraId="63917B32" w14:textId="77777777" w:rsidR="004A2DF7" w:rsidRPr="000448C0" w:rsidRDefault="004A2DF7">
            <w:pPr>
              <w:pStyle w:val="ARfintablebodybold"/>
            </w:pPr>
            <w:r w:rsidRPr="000448C0">
              <w:t>Comprehensive result</w:t>
            </w:r>
          </w:p>
        </w:tc>
        <w:tc>
          <w:tcPr>
            <w:cnfStyle w:val="000001000000" w:firstRow="0" w:lastRow="0" w:firstColumn="0" w:lastColumn="0" w:oddVBand="0" w:evenVBand="1" w:oddHBand="0" w:evenHBand="0" w:firstRowFirstColumn="0" w:firstRowLastColumn="0" w:lastRowFirstColumn="0" w:lastRowLastColumn="0"/>
            <w:tcW w:w="1123" w:type="dxa"/>
            <w:tcBorders>
              <w:bottom w:val="single" w:sz="4" w:space="0" w:color="auto"/>
            </w:tcBorders>
            <w:hideMark/>
          </w:tcPr>
          <w:p w14:paraId="5F302379" w14:textId="77777777" w:rsidR="004A2DF7" w:rsidRPr="000448C0" w:rsidRDefault="004A2DF7">
            <w:pPr>
              <w:pStyle w:val="ARfintablebodyrightbold"/>
            </w:pPr>
            <w:r w:rsidRPr="000448C0">
              <w:t>(0)</w:t>
            </w:r>
          </w:p>
        </w:tc>
        <w:tc>
          <w:tcPr>
            <w:tcW w:w="1134" w:type="dxa"/>
            <w:tcBorders>
              <w:bottom w:val="single" w:sz="4" w:space="0" w:color="auto"/>
            </w:tcBorders>
            <w:hideMark/>
          </w:tcPr>
          <w:p w14:paraId="54CDD1E4" w14:textId="73219550" w:rsidR="004A2DF7" w:rsidRPr="000448C0" w:rsidRDefault="007D7DE0">
            <w:pPr>
              <w:pStyle w:val="ARfintablebodyrightbold"/>
              <w:cnfStyle w:val="000000000000" w:firstRow="0" w:lastRow="0" w:firstColumn="0" w:lastColumn="0" w:oddVBand="0" w:evenVBand="0" w:oddHBand="0" w:evenHBand="0" w:firstRowFirstColumn="0" w:firstRowLastColumn="0" w:lastRowFirstColumn="0" w:lastRowLastColumn="0"/>
            </w:pPr>
            <w:r>
              <w:t>–</w:t>
            </w:r>
          </w:p>
        </w:tc>
        <w:tc>
          <w:tcPr>
            <w:cnfStyle w:val="000001000000" w:firstRow="0" w:lastRow="0" w:firstColumn="0" w:lastColumn="0" w:oddVBand="0" w:evenVBand="1" w:oddHBand="0" w:evenHBand="0" w:firstRowFirstColumn="0" w:firstRowLastColumn="0" w:lastRowFirstColumn="0" w:lastRowLastColumn="0"/>
            <w:tcW w:w="1219" w:type="dxa"/>
            <w:tcBorders>
              <w:bottom w:val="single" w:sz="4" w:space="0" w:color="auto"/>
            </w:tcBorders>
            <w:hideMark/>
          </w:tcPr>
          <w:p w14:paraId="76F9F81C" w14:textId="00E33D57" w:rsidR="004A2DF7" w:rsidRPr="000448C0" w:rsidRDefault="007D7DE0">
            <w:pPr>
              <w:pStyle w:val="ARfintablebodyrightbold"/>
            </w:pPr>
            <w:r>
              <w:t>–</w:t>
            </w:r>
          </w:p>
        </w:tc>
        <w:tc>
          <w:tcPr>
            <w:tcW w:w="680" w:type="dxa"/>
            <w:tcBorders>
              <w:bottom w:val="single" w:sz="4" w:space="0" w:color="auto"/>
            </w:tcBorders>
          </w:tcPr>
          <w:p w14:paraId="6EB033AB" w14:textId="77777777" w:rsidR="004A2DF7" w:rsidRPr="000448C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3C132C" w14:paraId="325BFFC3" w14:textId="77777777" w:rsidTr="00D80E8D">
        <w:trPr>
          <w:cantSplit w:val="0"/>
        </w:trPr>
        <w:tc>
          <w:tcPr>
            <w:tcW w:w="5884" w:type="dxa"/>
            <w:tcBorders>
              <w:top w:val="single" w:sz="4" w:space="0" w:color="BFBFBF" w:themeColor="background1" w:themeShade="BF"/>
              <w:left w:val="nil"/>
              <w:bottom w:val="single" w:sz="4" w:space="0" w:color="A6A6A6" w:themeColor="accent5"/>
            </w:tcBorders>
          </w:tcPr>
          <w:p w14:paraId="585437D4" w14:textId="45B3F8CF" w:rsidR="00D80E8D" w:rsidRPr="003C132C" w:rsidRDefault="00D80E8D" w:rsidP="00D80E8D">
            <w:pPr>
              <w:pStyle w:val="ARfintablebodybold"/>
            </w:pPr>
            <w:r w:rsidRPr="000448C0">
              <w:t>Administered assets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BFBFBF" w:themeColor="background1" w:themeShade="BF"/>
              <w:bottom w:val="single" w:sz="4" w:space="0" w:color="A6A6A6" w:themeColor="accent5"/>
            </w:tcBorders>
          </w:tcPr>
          <w:p w14:paraId="31EEA16C" w14:textId="77777777" w:rsidR="00D80E8D" w:rsidRPr="003C132C" w:rsidRDefault="00D80E8D">
            <w:pPr>
              <w:pStyle w:val="ARfintablebodyright"/>
            </w:pPr>
          </w:p>
        </w:tc>
        <w:tc>
          <w:tcPr>
            <w:tcW w:w="1134" w:type="dxa"/>
            <w:tcBorders>
              <w:top w:val="single" w:sz="4" w:space="0" w:color="BFBFBF" w:themeColor="background1" w:themeShade="BF"/>
              <w:bottom w:val="single" w:sz="4" w:space="0" w:color="A6A6A6" w:themeColor="accent5"/>
            </w:tcBorders>
          </w:tcPr>
          <w:p w14:paraId="2AB38B2C" w14:textId="77777777" w:rsidR="00D80E8D" w:rsidRPr="003C132C" w:rsidRDefault="00D80E8D">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BFBFBF" w:themeColor="background1" w:themeShade="BF"/>
              <w:bottom w:val="single" w:sz="4" w:space="0" w:color="A6A6A6" w:themeColor="accent5"/>
            </w:tcBorders>
          </w:tcPr>
          <w:p w14:paraId="44EECFC8" w14:textId="77777777" w:rsidR="00D80E8D" w:rsidRPr="003C132C" w:rsidRDefault="00D80E8D">
            <w:pPr>
              <w:pStyle w:val="ARfintablebodyright"/>
            </w:pPr>
          </w:p>
        </w:tc>
        <w:tc>
          <w:tcPr>
            <w:tcW w:w="680" w:type="dxa"/>
            <w:tcBorders>
              <w:top w:val="single" w:sz="4" w:space="0" w:color="BFBFBF" w:themeColor="background1" w:themeShade="BF"/>
              <w:bottom w:val="single" w:sz="4" w:space="0" w:color="A6A6A6" w:themeColor="accent5"/>
            </w:tcBorders>
          </w:tcPr>
          <w:p w14:paraId="18A5F95C" w14:textId="77777777" w:rsidR="00D80E8D" w:rsidRPr="003C132C" w:rsidRDefault="00D80E8D">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3C132C" w14:paraId="070BC8AD" w14:textId="77777777" w:rsidTr="00D80E8D">
        <w:trPr>
          <w:cantSplit w:val="0"/>
        </w:trPr>
        <w:tc>
          <w:tcPr>
            <w:tcW w:w="5884" w:type="dxa"/>
            <w:tcBorders>
              <w:top w:val="single" w:sz="4" w:space="0" w:color="BFBFBF" w:themeColor="background1" w:themeShade="BF"/>
              <w:left w:val="nil"/>
              <w:bottom w:val="single" w:sz="4" w:space="0" w:color="A6A6A6" w:themeColor="accent5"/>
            </w:tcBorders>
          </w:tcPr>
          <w:p w14:paraId="7E180806" w14:textId="77777777" w:rsidR="004A2DF7" w:rsidRPr="003C132C" w:rsidRDefault="004A2DF7">
            <w:pPr>
              <w:pStyle w:val="ARfintablebody"/>
            </w:pPr>
            <w:r w:rsidRPr="003C132C">
              <w:t>Receivables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BFBFBF" w:themeColor="background1" w:themeShade="BF"/>
              <w:bottom w:val="single" w:sz="4" w:space="0" w:color="A6A6A6" w:themeColor="accent5"/>
            </w:tcBorders>
          </w:tcPr>
          <w:p w14:paraId="7AF8D951" w14:textId="77777777" w:rsidR="004A2DF7" w:rsidRPr="003C132C" w:rsidRDefault="004A2DF7">
            <w:pPr>
              <w:pStyle w:val="ARfintablebodyright"/>
            </w:pPr>
            <w:r w:rsidRPr="003C132C">
              <w:t>3</w:t>
            </w:r>
          </w:p>
        </w:tc>
        <w:tc>
          <w:tcPr>
            <w:tcW w:w="1134" w:type="dxa"/>
            <w:tcBorders>
              <w:top w:val="single" w:sz="4" w:space="0" w:color="BFBFBF" w:themeColor="background1" w:themeShade="BF"/>
              <w:bottom w:val="single" w:sz="4" w:space="0" w:color="A6A6A6" w:themeColor="accent5"/>
            </w:tcBorders>
          </w:tcPr>
          <w:p w14:paraId="37B60478" w14:textId="77777777" w:rsidR="004A2DF7" w:rsidRPr="003C132C"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3C132C">
              <w:t>4</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BFBFBF" w:themeColor="background1" w:themeShade="BF"/>
              <w:bottom w:val="single" w:sz="4" w:space="0" w:color="A6A6A6" w:themeColor="accent5"/>
            </w:tcBorders>
          </w:tcPr>
          <w:p w14:paraId="5CD635CD" w14:textId="77777777" w:rsidR="004A2DF7" w:rsidRPr="003C132C" w:rsidRDefault="004A2DF7">
            <w:pPr>
              <w:pStyle w:val="ARfintablebodyright"/>
            </w:pPr>
            <w:r w:rsidRPr="003C132C">
              <w:t>(8.8)</w:t>
            </w:r>
          </w:p>
        </w:tc>
        <w:tc>
          <w:tcPr>
            <w:tcW w:w="680" w:type="dxa"/>
            <w:tcBorders>
              <w:top w:val="single" w:sz="4" w:space="0" w:color="BFBFBF" w:themeColor="background1" w:themeShade="BF"/>
              <w:bottom w:val="single" w:sz="4" w:space="0" w:color="A6A6A6" w:themeColor="accent5"/>
            </w:tcBorders>
          </w:tcPr>
          <w:p w14:paraId="20DADAE2" w14:textId="77777777" w:rsidR="004A2DF7" w:rsidRPr="003C132C"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3C132C" w14:paraId="28486C5A" w14:textId="77777777" w:rsidTr="00D80E8D">
        <w:trPr>
          <w:cantSplit w:val="0"/>
        </w:trPr>
        <w:tc>
          <w:tcPr>
            <w:tcW w:w="5884" w:type="dxa"/>
            <w:tcBorders>
              <w:top w:val="single" w:sz="4" w:space="0" w:color="A6A6A6" w:themeColor="accent5"/>
              <w:bottom w:val="single" w:sz="4" w:space="0" w:color="000000" w:themeColor="text1"/>
            </w:tcBorders>
          </w:tcPr>
          <w:p w14:paraId="6A1E4DA4" w14:textId="77777777" w:rsidR="004A2DF7" w:rsidRPr="003C132C" w:rsidRDefault="004A2DF7">
            <w:pPr>
              <w:pStyle w:val="ARfintablebody"/>
            </w:pPr>
            <w:r w:rsidRPr="003C132C">
              <w:t>Other financial assets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A6A6A6" w:themeColor="accent5"/>
              <w:bottom w:val="single" w:sz="4" w:space="0" w:color="000000" w:themeColor="text1"/>
            </w:tcBorders>
          </w:tcPr>
          <w:p w14:paraId="279580A5" w14:textId="77777777" w:rsidR="004A2DF7" w:rsidRPr="003C132C" w:rsidRDefault="004A2DF7">
            <w:pPr>
              <w:pStyle w:val="ARfintablebodyright"/>
            </w:pPr>
            <w:r w:rsidRPr="003C132C">
              <w:t>0</w:t>
            </w:r>
          </w:p>
        </w:tc>
        <w:tc>
          <w:tcPr>
            <w:tcW w:w="1134" w:type="dxa"/>
            <w:tcBorders>
              <w:top w:val="single" w:sz="4" w:space="0" w:color="A6A6A6" w:themeColor="accent5"/>
              <w:bottom w:val="single" w:sz="4" w:space="0" w:color="000000" w:themeColor="text1"/>
            </w:tcBorders>
          </w:tcPr>
          <w:p w14:paraId="2D74FB48" w14:textId="3D78B5FC" w:rsidR="004A2DF7" w:rsidRPr="003C132C" w:rsidRDefault="007D7DE0">
            <w:pPr>
              <w:pStyle w:val="ARfintablebodyright"/>
              <w:cnfStyle w:val="000000000000" w:firstRow="0" w:lastRow="0" w:firstColumn="0" w:lastColumn="0" w:oddVBand="0" w:evenVBand="0" w:oddHBand="0" w:evenHBand="0" w:firstRowFirstColumn="0" w:firstRowLastColumn="0" w:lastRowFirstColumn="0" w:lastRowLastColumn="0"/>
            </w:pPr>
            <w:r>
              <w:t>–</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A6A6A6" w:themeColor="accent5"/>
              <w:bottom w:val="single" w:sz="4" w:space="0" w:color="000000" w:themeColor="text1"/>
            </w:tcBorders>
          </w:tcPr>
          <w:p w14:paraId="7BD8BB9D" w14:textId="6D09F3F6" w:rsidR="004A2DF7" w:rsidRPr="003C132C" w:rsidRDefault="007D7DE0">
            <w:pPr>
              <w:pStyle w:val="ARfintablebodyright"/>
            </w:pPr>
            <w:r>
              <w:t>–</w:t>
            </w:r>
          </w:p>
        </w:tc>
        <w:tc>
          <w:tcPr>
            <w:tcW w:w="680" w:type="dxa"/>
            <w:tcBorders>
              <w:top w:val="single" w:sz="4" w:space="0" w:color="A6A6A6" w:themeColor="accent5"/>
              <w:bottom w:val="single" w:sz="4" w:space="0" w:color="000000" w:themeColor="text1"/>
            </w:tcBorders>
          </w:tcPr>
          <w:p w14:paraId="44A27AA9" w14:textId="77777777" w:rsidR="004A2DF7" w:rsidRPr="003C132C"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3C132C" w14:paraId="47535E62" w14:textId="77777777" w:rsidTr="00D80E8D">
        <w:trPr>
          <w:cantSplit w:val="0"/>
        </w:trPr>
        <w:tc>
          <w:tcPr>
            <w:tcW w:w="5884" w:type="dxa"/>
            <w:tcBorders>
              <w:top w:val="single" w:sz="4" w:space="0" w:color="000000" w:themeColor="text1"/>
              <w:bottom w:val="single" w:sz="4" w:space="0" w:color="auto"/>
            </w:tcBorders>
          </w:tcPr>
          <w:p w14:paraId="7D71930E" w14:textId="77777777" w:rsidR="004A2DF7" w:rsidRPr="003C132C" w:rsidRDefault="004A2DF7">
            <w:pPr>
              <w:pStyle w:val="ARfintablebodybold"/>
            </w:pPr>
            <w:r w:rsidRPr="003C132C">
              <w:t>Total administered assets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000000" w:themeColor="text1"/>
              <w:bottom w:val="single" w:sz="4" w:space="0" w:color="auto"/>
            </w:tcBorders>
          </w:tcPr>
          <w:p w14:paraId="0923828A" w14:textId="77777777" w:rsidR="004A2DF7" w:rsidRPr="003C132C" w:rsidRDefault="004A2DF7">
            <w:pPr>
              <w:pStyle w:val="ARfintablebodyrightbold"/>
            </w:pPr>
            <w:r w:rsidRPr="003C132C">
              <w:t>3</w:t>
            </w:r>
          </w:p>
        </w:tc>
        <w:tc>
          <w:tcPr>
            <w:tcW w:w="1134" w:type="dxa"/>
            <w:tcBorders>
              <w:top w:val="single" w:sz="4" w:space="0" w:color="000000" w:themeColor="text1"/>
              <w:bottom w:val="single" w:sz="4" w:space="0" w:color="auto"/>
            </w:tcBorders>
          </w:tcPr>
          <w:p w14:paraId="3253A4C0" w14:textId="77777777" w:rsidR="004A2DF7" w:rsidRPr="003C132C"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3C132C">
              <w:t>4</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000000" w:themeColor="text1"/>
              <w:bottom w:val="single" w:sz="4" w:space="0" w:color="auto"/>
            </w:tcBorders>
          </w:tcPr>
          <w:p w14:paraId="4DE43191" w14:textId="77777777" w:rsidR="004A2DF7" w:rsidRPr="003C132C" w:rsidRDefault="004A2DF7">
            <w:pPr>
              <w:pStyle w:val="ARfintablebodyrightbold"/>
            </w:pPr>
            <w:r w:rsidRPr="003C132C">
              <w:t>(8.8)</w:t>
            </w:r>
          </w:p>
        </w:tc>
        <w:tc>
          <w:tcPr>
            <w:tcW w:w="680" w:type="dxa"/>
            <w:tcBorders>
              <w:top w:val="single" w:sz="4" w:space="0" w:color="000000" w:themeColor="text1"/>
              <w:bottom w:val="single" w:sz="4" w:space="0" w:color="auto"/>
            </w:tcBorders>
          </w:tcPr>
          <w:p w14:paraId="464E5D05" w14:textId="77777777" w:rsidR="004A2DF7" w:rsidRPr="003C132C"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F36210" w14:paraId="1CC961DA" w14:textId="77777777" w:rsidTr="00C34748">
        <w:trPr>
          <w:cantSplit w:val="0"/>
        </w:trPr>
        <w:tc>
          <w:tcPr>
            <w:tcW w:w="5884" w:type="dxa"/>
            <w:tcBorders>
              <w:top w:val="single" w:sz="4" w:space="0" w:color="auto"/>
              <w:left w:val="nil"/>
              <w:bottom w:val="single" w:sz="4" w:space="0" w:color="A6A6A6" w:themeColor="accent5"/>
            </w:tcBorders>
          </w:tcPr>
          <w:p w14:paraId="6458C013" w14:textId="77777777" w:rsidR="004A2DF7" w:rsidRPr="00F36210" w:rsidRDefault="004A2DF7" w:rsidP="00E9658B">
            <w:pPr>
              <w:pStyle w:val="ARfintablebodybold"/>
            </w:pPr>
            <w:r w:rsidRPr="00F36210">
              <w:t>Administered liabilities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auto"/>
              <w:bottom w:val="single" w:sz="4" w:space="0" w:color="A6A6A6" w:themeColor="accent5"/>
            </w:tcBorders>
          </w:tcPr>
          <w:p w14:paraId="3BCD7703" w14:textId="77777777" w:rsidR="004A2DF7" w:rsidRPr="00F36210" w:rsidRDefault="004A2DF7">
            <w:pPr>
              <w:pStyle w:val="ARfintablebodyrightbold"/>
            </w:pPr>
          </w:p>
        </w:tc>
        <w:tc>
          <w:tcPr>
            <w:tcW w:w="1134" w:type="dxa"/>
            <w:tcBorders>
              <w:top w:val="single" w:sz="4" w:space="0" w:color="auto"/>
              <w:bottom w:val="single" w:sz="4" w:space="0" w:color="A6A6A6" w:themeColor="accent5"/>
            </w:tcBorders>
          </w:tcPr>
          <w:p w14:paraId="545B8D53" w14:textId="77777777" w:rsidR="004A2DF7" w:rsidRPr="00F36210" w:rsidRDefault="004A2DF7">
            <w:pPr>
              <w:pStyle w:val="ARfintablebodyrightbold"/>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auto"/>
              <w:bottom w:val="single" w:sz="4" w:space="0" w:color="A6A6A6" w:themeColor="accent5"/>
            </w:tcBorders>
          </w:tcPr>
          <w:p w14:paraId="57497DD2" w14:textId="77777777" w:rsidR="004A2DF7" w:rsidRPr="00F36210" w:rsidRDefault="004A2DF7">
            <w:pPr>
              <w:pStyle w:val="ARfintablebodyrightbold"/>
            </w:pPr>
          </w:p>
        </w:tc>
        <w:tc>
          <w:tcPr>
            <w:tcW w:w="680" w:type="dxa"/>
            <w:tcBorders>
              <w:top w:val="single" w:sz="4" w:space="0" w:color="auto"/>
              <w:bottom w:val="single" w:sz="4" w:space="0" w:color="A6A6A6" w:themeColor="accent5"/>
            </w:tcBorders>
          </w:tcPr>
          <w:p w14:paraId="396CC4DF" w14:textId="77777777" w:rsidR="004A2DF7" w:rsidRPr="00F3621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F36210" w14:paraId="1BA92686" w14:textId="77777777" w:rsidTr="00D80E8D">
        <w:trPr>
          <w:cantSplit w:val="0"/>
        </w:trPr>
        <w:tc>
          <w:tcPr>
            <w:tcW w:w="5884" w:type="dxa"/>
            <w:tcBorders>
              <w:top w:val="single" w:sz="4" w:space="0" w:color="A6A6A6" w:themeColor="accent5"/>
              <w:left w:val="nil"/>
              <w:bottom w:val="single" w:sz="4" w:space="0" w:color="000000" w:themeColor="text1"/>
            </w:tcBorders>
          </w:tcPr>
          <w:p w14:paraId="74BB9C91" w14:textId="77777777" w:rsidR="004A2DF7" w:rsidRPr="00F36210" w:rsidRDefault="004A2DF7">
            <w:pPr>
              <w:pStyle w:val="ARfintablebody"/>
            </w:pPr>
            <w:r w:rsidRPr="00F36210">
              <w:t>Provisions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A6A6A6" w:themeColor="accent5"/>
              <w:bottom w:val="single" w:sz="4" w:space="0" w:color="000000" w:themeColor="text1"/>
            </w:tcBorders>
          </w:tcPr>
          <w:p w14:paraId="5C72659A" w14:textId="77777777" w:rsidR="004A2DF7" w:rsidRPr="00F36210" w:rsidRDefault="004A2DF7">
            <w:pPr>
              <w:pStyle w:val="ARfintablebodyright"/>
            </w:pPr>
            <w:r w:rsidRPr="00F36210">
              <w:t>0</w:t>
            </w:r>
          </w:p>
        </w:tc>
        <w:tc>
          <w:tcPr>
            <w:tcW w:w="1134" w:type="dxa"/>
            <w:tcBorders>
              <w:top w:val="single" w:sz="4" w:space="0" w:color="A6A6A6" w:themeColor="accent5"/>
              <w:bottom w:val="single" w:sz="4" w:space="0" w:color="000000" w:themeColor="text1"/>
            </w:tcBorders>
          </w:tcPr>
          <w:p w14:paraId="2BB0B9C3" w14:textId="77777777" w:rsidR="004A2DF7" w:rsidRPr="00F36210"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F36210">
              <w:t>0</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A6A6A6" w:themeColor="accent5"/>
              <w:bottom w:val="single" w:sz="4" w:space="0" w:color="000000" w:themeColor="text1"/>
            </w:tcBorders>
          </w:tcPr>
          <w:p w14:paraId="35D32823" w14:textId="77777777" w:rsidR="004A2DF7" w:rsidRPr="00F36210" w:rsidRDefault="004A2DF7">
            <w:pPr>
              <w:pStyle w:val="ARfintablebodyright"/>
            </w:pPr>
            <w:r w:rsidRPr="00F36210">
              <w:t>(18.2)</w:t>
            </w:r>
          </w:p>
        </w:tc>
        <w:tc>
          <w:tcPr>
            <w:tcW w:w="680" w:type="dxa"/>
            <w:tcBorders>
              <w:top w:val="single" w:sz="4" w:space="0" w:color="A6A6A6" w:themeColor="accent5"/>
              <w:bottom w:val="single" w:sz="4" w:space="0" w:color="000000" w:themeColor="text1"/>
            </w:tcBorders>
          </w:tcPr>
          <w:p w14:paraId="00B78655" w14:textId="77777777" w:rsidR="004A2DF7" w:rsidRPr="00F3621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F36210" w14:paraId="30E8BB02" w14:textId="77777777" w:rsidTr="00D80E8D">
        <w:trPr>
          <w:cantSplit w:val="0"/>
        </w:trPr>
        <w:tc>
          <w:tcPr>
            <w:tcW w:w="5884" w:type="dxa"/>
            <w:tcBorders>
              <w:top w:val="single" w:sz="4" w:space="0" w:color="000000" w:themeColor="text1"/>
              <w:bottom w:val="single" w:sz="4" w:space="0" w:color="000000" w:themeColor="text1"/>
            </w:tcBorders>
          </w:tcPr>
          <w:p w14:paraId="4337ACA3" w14:textId="77777777" w:rsidR="004A2DF7" w:rsidRPr="00F36210" w:rsidRDefault="004A2DF7">
            <w:pPr>
              <w:pStyle w:val="ARfintablebodybold"/>
            </w:pPr>
            <w:r w:rsidRPr="00F36210">
              <w:t>Total administered liabilities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000000" w:themeColor="text1"/>
              <w:bottom w:val="single" w:sz="4" w:space="0" w:color="000000" w:themeColor="text1"/>
            </w:tcBorders>
          </w:tcPr>
          <w:p w14:paraId="49E6B2E8" w14:textId="77777777" w:rsidR="004A2DF7" w:rsidRPr="00F36210" w:rsidRDefault="004A2DF7">
            <w:pPr>
              <w:pStyle w:val="ARfintablebodyrightbold"/>
            </w:pPr>
            <w:r w:rsidRPr="00F36210">
              <w:t>0</w:t>
            </w:r>
          </w:p>
        </w:tc>
        <w:tc>
          <w:tcPr>
            <w:tcW w:w="1134" w:type="dxa"/>
            <w:tcBorders>
              <w:top w:val="single" w:sz="4" w:space="0" w:color="000000" w:themeColor="text1"/>
              <w:bottom w:val="single" w:sz="4" w:space="0" w:color="000000" w:themeColor="text1"/>
            </w:tcBorders>
          </w:tcPr>
          <w:p w14:paraId="326A4D97" w14:textId="77777777" w:rsidR="004A2DF7" w:rsidRPr="00F36210"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F36210">
              <w:t>0</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000000" w:themeColor="text1"/>
              <w:bottom w:val="single" w:sz="4" w:space="0" w:color="000000" w:themeColor="text1"/>
            </w:tcBorders>
          </w:tcPr>
          <w:p w14:paraId="332F757E" w14:textId="77777777" w:rsidR="004A2DF7" w:rsidRPr="00F36210" w:rsidRDefault="004A2DF7">
            <w:pPr>
              <w:pStyle w:val="ARfintablebodyrightbold"/>
            </w:pPr>
            <w:r w:rsidRPr="00F36210">
              <w:t>(18.2)</w:t>
            </w:r>
          </w:p>
        </w:tc>
        <w:tc>
          <w:tcPr>
            <w:tcW w:w="680" w:type="dxa"/>
            <w:tcBorders>
              <w:top w:val="single" w:sz="4" w:space="0" w:color="000000" w:themeColor="text1"/>
              <w:bottom w:val="single" w:sz="4" w:space="0" w:color="000000" w:themeColor="text1"/>
            </w:tcBorders>
          </w:tcPr>
          <w:p w14:paraId="3EBB423C" w14:textId="77777777" w:rsidR="004A2DF7" w:rsidRPr="00F3621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F36210" w14:paraId="3B6492B9" w14:textId="77777777" w:rsidTr="00D80E8D">
        <w:trPr>
          <w:cantSplit w:val="0"/>
        </w:trPr>
        <w:tc>
          <w:tcPr>
            <w:tcW w:w="5884" w:type="dxa"/>
            <w:tcBorders>
              <w:top w:val="single" w:sz="4" w:space="0" w:color="000000" w:themeColor="text1"/>
              <w:bottom w:val="single" w:sz="4" w:space="0" w:color="auto"/>
            </w:tcBorders>
          </w:tcPr>
          <w:p w14:paraId="6B5B12F1" w14:textId="77777777" w:rsidR="004A2DF7" w:rsidRPr="00F36210" w:rsidRDefault="004A2DF7">
            <w:pPr>
              <w:pStyle w:val="ARfintablebodybold"/>
            </w:pPr>
            <w:r w:rsidRPr="00F36210">
              <w:t>Net assets</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000000" w:themeColor="text1"/>
              <w:bottom w:val="single" w:sz="4" w:space="0" w:color="auto"/>
            </w:tcBorders>
          </w:tcPr>
          <w:p w14:paraId="1FF291E0" w14:textId="77777777" w:rsidR="004A2DF7" w:rsidRPr="00F36210" w:rsidRDefault="004A2DF7">
            <w:pPr>
              <w:pStyle w:val="ARfintablebodyrightbold"/>
            </w:pPr>
            <w:r w:rsidRPr="00F36210">
              <w:t>3</w:t>
            </w:r>
          </w:p>
        </w:tc>
        <w:tc>
          <w:tcPr>
            <w:tcW w:w="1134" w:type="dxa"/>
            <w:tcBorders>
              <w:top w:val="single" w:sz="4" w:space="0" w:color="000000" w:themeColor="text1"/>
              <w:bottom w:val="single" w:sz="4" w:space="0" w:color="auto"/>
            </w:tcBorders>
          </w:tcPr>
          <w:p w14:paraId="37D30EA0" w14:textId="77777777" w:rsidR="004A2DF7" w:rsidRPr="00F36210" w:rsidRDefault="004A2DF7">
            <w:pPr>
              <w:pStyle w:val="ARfintablebodyrightbold"/>
              <w:cnfStyle w:val="000000000000" w:firstRow="0" w:lastRow="0" w:firstColumn="0" w:lastColumn="0" w:oddVBand="0" w:evenVBand="0" w:oddHBand="0" w:evenHBand="0" w:firstRowFirstColumn="0" w:firstRowLastColumn="0" w:lastRowFirstColumn="0" w:lastRowLastColumn="0"/>
            </w:pPr>
            <w:r w:rsidRPr="00F36210">
              <w:t>4</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000000" w:themeColor="text1"/>
              <w:bottom w:val="single" w:sz="4" w:space="0" w:color="auto"/>
            </w:tcBorders>
          </w:tcPr>
          <w:p w14:paraId="36E4D835" w14:textId="77777777" w:rsidR="004A2DF7" w:rsidRPr="00F36210" w:rsidRDefault="004A2DF7">
            <w:pPr>
              <w:pStyle w:val="ARfintablebodyrightbold"/>
            </w:pPr>
            <w:r w:rsidRPr="00F36210">
              <w:t>(8.8)</w:t>
            </w:r>
          </w:p>
        </w:tc>
        <w:tc>
          <w:tcPr>
            <w:tcW w:w="680" w:type="dxa"/>
            <w:tcBorders>
              <w:top w:val="single" w:sz="4" w:space="0" w:color="000000" w:themeColor="text1"/>
              <w:bottom w:val="single" w:sz="4" w:space="0" w:color="auto"/>
            </w:tcBorders>
          </w:tcPr>
          <w:p w14:paraId="0447390E" w14:textId="77777777" w:rsidR="004A2DF7" w:rsidRPr="00F3621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F36210" w14:paraId="360DD9CC" w14:textId="77777777" w:rsidTr="00D80E8D">
        <w:trPr>
          <w:cantSplit w:val="0"/>
        </w:trPr>
        <w:tc>
          <w:tcPr>
            <w:tcW w:w="5884" w:type="dxa"/>
            <w:tcBorders>
              <w:top w:val="single" w:sz="4" w:space="0" w:color="BFBFBF" w:themeColor="background1" w:themeShade="BF"/>
              <w:left w:val="nil"/>
              <w:bottom w:val="single" w:sz="4" w:space="0" w:color="BFBFBF" w:themeColor="background1" w:themeShade="BF"/>
            </w:tcBorders>
          </w:tcPr>
          <w:p w14:paraId="047E821B" w14:textId="1C68B31D" w:rsidR="00D80E8D" w:rsidRPr="00F36210" w:rsidRDefault="00D80E8D" w:rsidP="00D80E8D">
            <w:pPr>
              <w:pStyle w:val="ARfintablebodybold"/>
            </w:pPr>
            <w:r w:rsidRPr="00F36210">
              <w:t>Equity</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BFBFBF" w:themeColor="background1" w:themeShade="BF"/>
              <w:bottom w:val="single" w:sz="4" w:space="0" w:color="BFBFBF" w:themeColor="background1" w:themeShade="BF"/>
            </w:tcBorders>
          </w:tcPr>
          <w:p w14:paraId="04520A72" w14:textId="77777777" w:rsidR="00D80E8D" w:rsidRPr="00F36210" w:rsidRDefault="00D80E8D">
            <w:pPr>
              <w:pStyle w:val="ARfintablebodyright"/>
            </w:pPr>
          </w:p>
        </w:tc>
        <w:tc>
          <w:tcPr>
            <w:tcW w:w="1134" w:type="dxa"/>
            <w:tcBorders>
              <w:top w:val="single" w:sz="4" w:space="0" w:color="BFBFBF" w:themeColor="background1" w:themeShade="BF"/>
              <w:bottom w:val="single" w:sz="4" w:space="0" w:color="BFBFBF" w:themeColor="background1" w:themeShade="BF"/>
            </w:tcBorders>
          </w:tcPr>
          <w:p w14:paraId="5A677993" w14:textId="77777777" w:rsidR="00D80E8D" w:rsidRPr="00F36210" w:rsidRDefault="00D80E8D">
            <w:pPr>
              <w:pStyle w:val="ARfintablebodyrigh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BFBFBF" w:themeColor="background1" w:themeShade="BF"/>
              <w:bottom w:val="single" w:sz="4" w:space="0" w:color="BFBFBF" w:themeColor="background1" w:themeShade="BF"/>
            </w:tcBorders>
          </w:tcPr>
          <w:p w14:paraId="4EAFE527" w14:textId="77777777" w:rsidR="00D80E8D" w:rsidRPr="00F36210" w:rsidRDefault="00D80E8D">
            <w:pPr>
              <w:pStyle w:val="ARfintablebodyright"/>
            </w:pPr>
          </w:p>
        </w:tc>
        <w:tc>
          <w:tcPr>
            <w:tcW w:w="680" w:type="dxa"/>
            <w:tcBorders>
              <w:top w:val="single" w:sz="4" w:space="0" w:color="BFBFBF" w:themeColor="background1" w:themeShade="BF"/>
              <w:bottom w:val="single" w:sz="4" w:space="0" w:color="BFBFBF" w:themeColor="background1" w:themeShade="BF"/>
            </w:tcBorders>
          </w:tcPr>
          <w:p w14:paraId="4CF6E075" w14:textId="77777777" w:rsidR="00D80E8D" w:rsidRPr="00F36210" w:rsidRDefault="00D80E8D">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F36210" w14:paraId="205D6CBF" w14:textId="77777777" w:rsidTr="00D80E8D">
        <w:trPr>
          <w:cantSplit w:val="0"/>
        </w:trPr>
        <w:tc>
          <w:tcPr>
            <w:tcW w:w="5884" w:type="dxa"/>
            <w:tcBorders>
              <w:top w:val="single" w:sz="4" w:space="0" w:color="BFBFBF" w:themeColor="background1" w:themeShade="BF"/>
              <w:left w:val="nil"/>
              <w:bottom w:val="single" w:sz="4" w:space="0" w:color="BFBFBF" w:themeColor="background1" w:themeShade="BF"/>
            </w:tcBorders>
          </w:tcPr>
          <w:p w14:paraId="015001DA" w14:textId="77777777" w:rsidR="004A2DF7" w:rsidRPr="00F36210" w:rsidRDefault="004A2DF7">
            <w:pPr>
              <w:pStyle w:val="ARfintablebody"/>
            </w:pPr>
            <w:r w:rsidRPr="00F36210">
              <w:t>Accumulated surplus/(deficit)</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BFBFBF" w:themeColor="background1" w:themeShade="BF"/>
              <w:bottom w:val="single" w:sz="4" w:space="0" w:color="BFBFBF" w:themeColor="background1" w:themeShade="BF"/>
            </w:tcBorders>
          </w:tcPr>
          <w:p w14:paraId="7563ACC2" w14:textId="77777777" w:rsidR="004A2DF7" w:rsidRPr="00F36210" w:rsidRDefault="004A2DF7">
            <w:pPr>
              <w:pStyle w:val="ARfintablebodyright"/>
            </w:pPr>
            <w:r w:rsidRPr="00F36210">
              <w:t>1</w:t>
            </w:r>
          </w:p>
        </w:tc>
        <w:tc>
          <w:tcPr>
            <w:tcW w:w="1134" w:type="dxa"/>
            <w:tcBorders>
              <w:top w:val="single" w:sz="4" w:space="0" w:color="BFBFBF" w:themeColor="background1" w:themeShade="BF"/>
              <w:bottom w:val="single" w:sz="4" w:space="0" w:color="BFBFBF" w:themeColor="background1" w:themeShade="BF"/>
            </w:tcBorders>
          </w:tcPr>
          <w:p w14:paraId="0BE780E6" w14:textId="77777777" w:rsidR="004A2DF7" w:rsidRPr="00F36210"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F36210">
              <w:t>1</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BFBFBF" w:themeColor="background1" w:themeShade="BF"/>
              <w:bottom w:val="single" w:sz="4" w:space="0" w:color="BFBFBF" w:themeColor="background1" w:themeShade="BF"/>
            </w:tcBorders>
          </w:tcPr>
          <w:p w14:paraId="4B489E4B" w14:textId="77777777" w:rsidR="004A2DF7" w:rsidRPr="00F36210" w:rsidRDefault="004A2DF7">
            <w:pPr>
              <w:pStyle w:val="ARfintablebodyright"/>
            </w:pPr>
            <w:r w:rsidRPr="00F36210">
              <w:t>(31.0)</w:t>
            </w:r>
          </w:p>
        </w:tc>
        <w:tc>
          <w:tcPr>
            <w:tcW w:w="680" w:type="dxa"/>
            <w:tcBorders>
              <w:top w:val="single" w:sz="4" w:space="0" w:color="BFBFBF" w:themeColor="background1" w:themeShade="BF"/>
              <w:bottom w:val="single" w:sz="4" w:space="0" w:color="BFBFBF" w:themeColor="background1" w:themeShade="BF"/>
            </w:tcBorders>
          </w:tcPr>
          <w:p w14:paraId="3BED7990" w14:textId="77777777" w:rsidR="004A2DF7" w:rsidRPr="00F3621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F36210" w14:paraId="57247AD3" w14:textId="77777777" w:rsidTr="00D80E8D">
        <w:trPr>
          <w:cantSplit w:val="0"/>
        </w:trPr>
        <w:tc>
          <w:tcPr>
            <w:tcW w:w="5884" w:type="dxa"/>
            <w:tcBorders>
              <w:top w:val="single" w:sz="4" w:space="0" w:color="BFBFBF" w:themeColor="background1" w:themeShade="BF"/>
              <w:left w:val="nil"/>
            </w:tcBorders>
          </w:tcPr>
          <w:p w14:paraId="3B219049" w14:textId="77777777" w:rsidR="004A2DF7" w:rsidRPr="00F36210" w:rsidRDefault="004A2DF7">
            <w:pPr>
              <w:pStyle w:val="ARfintablebody"/>
            </w:pPr>
            <w:r w:rsidRPr="00F36210">
              <w:t>Contributed capital</w:t>
            </w:r>
          </w:p>
        </w:tc>
        <w:tc>
          <w:tcPr>
            <w:cnfStyle w:val="000001000000" w:firstRow="0" w:lastRow="0" w:firstColumn="0" w:lastColumn="0" w:oddVBand="0" w:evenVBand="1" w:oddHBand="0" w:evenHBand="0" w:firstRowFirstColumn="0" w:firstRowLastColumn="0" w:lastRowFirstColumn="0" w:lastRowLastColumn="0"/>
            <w:tcW w:w="1123" w:type="dxa"/>
            <w:tcBorders>
              <w:top w:val="single" w:sz="4" w:space="0" w:color="BFBFBF" w:themeColor="background1" w:themeShade="BF"/>
            </w:tcBorders>
          </w:tcPr>
          <w:p w14:paraId="11A92381" w14:textId="77777777" w:rsidR="004A2DF7" w:rsidRPr="00F36210" w:rsidRDefault="004A2DF7">
            <w:pPr>
              <w:pStyle w:val="ARfintablebodyright"/>
            </w:pPr>
            <w:r w:rsidRPr="00F36210">
              <w:t>3</w:t>
            </w:r>
          </w:p>
        </w:tc>
        <w:tc>
          <w:tcPr>
            <w:tcW w:w="1134" w:type="dxa"/>
            <w:tcBorders>
              <w:top w:val="single" w:sz="4" w:space="0" w:color="BFBFBF" w:themeColor="background1" w:themeShade="BF"/>
            </w:tcBorders>
          </w:tcPr>
          <w:p w14:paraId="20C3BD51" w14:textId="77777777" w:rsidR="004A2DF7" w:rsidRPr="00F36210" w:rsidRDefault="004A2DF7">
            <w:pPr>
              <w:pStyle w:val="ARfintablebodyright"/>
              <w:cnfStyle w:val="000000000000" w:firstRow="0" w:lastRow="0" w:firstColumn="0" w:lastColumn="0" w:oddVBand="0" w:evenVBand="0" w:oddHBand="0" w:evenHBand="0" w:firstRowFirstColumn="0" w:firstRowLastColumn="0" w:lastRowFirstColumn="0" w:lastRowLastColumn="0"/>
            </w:pPr>
            <w:r w:rsidRPr="00F36210">
              <w:t>3</w:t>
            </w:r>
          </w:p>
        </w:tc>
        <w:tc>
          <w:tcPr>
            <w:cnfStyle w:val="000001000000" w:firstRow="0" w:lastRow="0" w:firstColumn="0" w:lastColumn="0" w:oddVBand="0" w:evenVBand="1" w:oddHBand="0" w:evenHBand="0" w:firstRowFirstColumn="0" w:firstRowLastColumn="0" w:lastRowFirstColumn="0" w:lastRowLastColumn="0"/>
            <w:tcW w:w="1219" w:type="dxa"/>
            <w:tcBorders>
              <w:top w:val="single" w:sz="4" w:space="0" w:color="BFBFBF" w:themeColor="background1" w:themeShade="BF"/>
            </w:tcBorders>
          </w:tcPr>
          <w:p w14:paraId="1042A1C6" w14:textId="24A98DC5" w:rsidR="004A2DF7" w:rsidRPr="00F36210" w:rsidRDefault="007D7DE0">
            <w:pPr>
              <w:pStyle w:val="ARfintablebodyright"/>
            </w:pPr>
            <w:r>
              <w:t>–</w:t>
            </w:r>
          </w:p>
        </w:tc>
        <w:tc>
          <w:tcPr>
            <w:tcW w:w="680" w:type="dxa"/>
            <w:tcBorders>
              <w:top w:val="single" w:sz="4" w:space="0" w:color="BFBFBF" w:themeColor="background1" w:themeShade="BF"/>
            </w:tcBorders>
          </w:tcPr>
          <w:p w14:paraId="6744D822" w14:textId="77777777" w:rsidR="004A2DF7" w:rsidRPr="00F36210" w:rsidRDefault="004A2DF7">
            <w:pPr>
              <w:pStyle w:val="ARfintablebodycentre"/>
              <w:cnfStyle w:val="000000000000" w:firstRow="0" w:lastRow="0" w:firstColumn="0" w:lastColumn="0" w:oddVBand="0" w:evenVBand="0" w:oddHBand="0" w:evenHBand="0" w:firstRowFirstColumn="0" w:firstRowLastColumn="0" w:lastRowFirstColumn="0" w:lastRowLastColumn="0"/>
            </w:pPr>
          </w:p>
        </w:tc>
      </w:tr>
      <w:tr w:rsidR="00D80E8D" w:rsidRPr="00F36210" w14:paraId="14A9AD1B" w14:textId="77777777" w:rsidTr="00D80E8D">
        <w:trPr>
          <w:cnfStyle w:val="010000000000" w:firstRow="0" w:lastRow="1" w:firstColumn="0" w:lastColumn="0" w:oddVBand="0" w:evenVBand="0" w:oddHBand="0" w:evenHBand="0" w:firstRowFirstColumn="0" w:firstRowLastColumn="0" w:lastRowFirstColumn="0" w:lastRowLastColumn="0"/>
          <w:cantSplit w:val="0"/>
        </w:trPr>
        <w:tc>
          <w:tcPr>
            <w:tcW w:w="5884" w:type="dxa"/>
          </w:tcPr>
          <w:p w14:paraId="2D88CEC4" w14:textId="77777777" w:rsidR="004A2DF7" w:rsidRPr="00F36210" w:rsidRDefault="004A2DF7">
            <w:pPr>
              <w:pStyle w:val="ARfintablebodybold"/>
            </w:pPr>
            <w:r w:rsidRPr="00F36210">
              <w:t>Total equity</w:t>
            </w:r>
          </w:p>
        </w:tc>
        <w:tc>
          <w:tcPr>
            <w:cnfStyle w:val="000001000000" w:firstRow="0" w:lastRow="0" w:firstColumn="0" w:lastColumn="0" w:oddVBand="0" w:evenVBand="1" w:oddHBand="0" w:evenHBand="0" w:firstRowFirstColumn="0" w:firstRowLastColumn="0" w:lastRowFirstColumn="0" w:lastRowLastColumn="0"/>
            <w:tcW w:w="1123" w:type="dxa"/>
          </w:tcPr>
          <w:p w14:paraId="7470EE12" w14:textId="77777777" w:rsidR="004A2DF7" w:rsidRPr="00F36210" w:rsidRDefault="004A2DF7">
            <w:pPr>
              <w:pStyle w:val="ARfintablebodyrightbold"/>
            </w:pPr>
            <w:r w:rsidRPr="00F36210">
              <w:t>3</w:t>
            </w:r>
          </w:p>
        </w:tc>
        <w:tc>
          <w:tcPr>
            <w:tcW w:w="1134" w:type="dxa"/>
          </w:tcPr>
          <w:p w14:paraId="2B6A2393" w14:textId="77777777" w:rsidR="004A2DF7" w:rsidRPr="00F36210" w:rsidRDefault="004A2DF7">
            <w:pPr>
              <w:pStyle w:val="ARfintablebodyrightbold"/>
              <w:cnfStyle w:val="010000000000" w:firstRow="0" w:lastRow="1" w:firstColumn="0" w:lastColumn="0" w:oddVBand="0" w:evenVBand="0" w:oddHBand="0" w:evenHBand="0" w:firstRowFirstColumn="0" w:firstRowLastColumn="0" w:lastRowFirstColumn="0" w:lastRowLastColumn="0"/>
            </w:pPr>
            <w:r w:rsidRPr="00F36210">
              <w:t>4</w:t>
            </w:r>
          </w:p>
        </w:tc>
        <w:tc>
          <w:tcPr>
            <w:cnfStyle w:val="000001000000" w:firstRow="0" w:lastRow="0" w:firstColumn="0" w:lastColumn="0" w:oddVBand="0" w:evenVBand="1" w:oddHBand="0" w:evenHBand="0" w:firstRowFirstColumn="0" w:firstRowLastColumn="0" w:lastRowFirstColumn="0" w:lastRowLastColumn="0"/>
            <w:tcW w:w="1219" w:type="dxa"/>
          </w:tcPr>
          <w:p w14:paraId="21E37BC5" w14:textId="77777777" w:rsidR="004A2DF7" w:rsidRPr="00F36210" w:rsidRDefault="004A2DF7">
            <w:pPr>
              <w:pStyle w:val="ARfintablebodyrightbold"/>
            </w:pPr>
            <w:r w:rsidRPr="00F36210">
              <w:t>(31.0)</w:t>
            </w:r>
          </w:p>
        </w:tc>
        <w:tc>
          <w:tcPr>
            <w:tcW w:w="680" w:type="dxa"/>
          </w:tcPr>
          <w:p w14:paraId="2F100557" w14:textId="77777777" w:rsidR="004A2DF7" w:rsidRPr="00F36210" w:rsidRDefault="004A2DF7">
            <w:pPr>
              <w:pStyle w:val="ARfintablebodycentre"/>
              <w:cnfStyle w:val="010000000000" w:firstRow="0" w:lastRow="1" w:firstColumn="0" w:lastColumn="0" w:oddVBand="0" w:evenVBand="0" w:oddHBand="0" w:evenHBand="0" w:firstRowFirstColumn="0" w:firstRowLastColumn="0" w:lastRowFirstColumn="0" w:lastRowLastColumn="0"/>
              <w:rPr>
                <w:b/>
                <w:bCs/>
              </w:rPr>
            </w:pPr>
          </w:p>
        </w:tc>
      </w:tr>
    </w:tbl>
    <w:p w14:paraId="21361DF5" w14:textId="7F84E7E4" w:rsidR="004A2DF7" w:rsidRDefault="004A2DF7" w:rsidP="00E9658B">
      <w:pPr>
        <w:pStyle w:val="ARfintablefootnoteindent"/>
        <w:rPr>
          <w:rFonts w:eastAsia="Times" w:cs="Arial"/>
          <w:sz w:val="20"/>
          <w:szCs w:val="24"/>
        </w:rPr>
      </w:pPr>
      <w:r w:rsidRPr="00F36210">
        <w:t>(a)</w:t>
      </w:r>
      <w:r w:rsidRPr="00F36210">
        <w:tab/>
        <w:t xml:space="preserve">The actual </w:t>
      </w:r>
      <w:r w:rsidR="007348BD">
        <w:t>g</w:t>
      </w:r>
      <w:r w:rsidR="007348BD" w:rsidRPr="00F36210">
        <w:t xml:space="preserve">rants </w:t>
      </w:r>
      <w:proofErr w:type="gramStart"/>
      <w:r w:rsidRPr="00F36210">
        <w:t>was</w:t>
      </w:r>
      <w:proofErr w:type="gramEnd"/>
      <w:r w:rsidRPr="00F36210">
        <w:t xml:space="preserve"> higher than the published budget mainly due to higher funding requirement in 2024</w:t>
      </w:r>
      <w:r w:rsidR="007D7DE0">
        <w:t>–</w:t>
      </w:r>
      <w:r w:rsidRPr="00F36210">
        <w:t>25 to deliver services related to the Unattached Refugee Children program.</w:t>
      </w:r>
      <w:r>
        <w:br w:type="page"/>
      </w:r>
    </w:p>
    <w:p w14:paraId="34280BC2" w14:textId="77777777" w:rsidR="004A2DF7" w:rsidRPr="00BB35B1" w:rsidRDefault="004A2DF7" w:rsidP="001C656E">
      <w:pPr>
        <w:pStyle w:val="Heading2"/>
        <w:spacing w:before="0"/>
      </w:pPr>
      <w:bookmarkStart w:id="299" w:name="_Toc149587071"/>
      <w:bookmarkStart w:id="300" w:name="_Toc181101533"/>
      <w:bookmarkStart w:id="301" w:name="_Toc212039559"/>
      <w:bookmarkStart w:id="302" w:name="_Toc114491223"/>
      <w:bookmarkStart w:id="303" w:name="_Toc144218681"/>
      <w:r w:rsidRPr="00BB35B1">
        <w:lastRenderedPageBreak/>
        <w:t>Appendix 2: Homes Victoria</w:t>
      </w:r>
      <w:bookmarkEnd w:id="299"/>
      <w:bookmarkEnd w:id="300"/>
      <w:bookmarkEnd w:id="301"/>
    </w:p>
    <w:p w14:paraId="7F57DD73" w14:textId="77777777" w:rsidR="004A2DF7" w:rsidRPr="00BB35B1" w:rsidRDefault="004A2DF7" w:rsidP="00A107DE">
      <w:pPr>
        <w:pStyle w:val="Heading3"/>
      </w:pPr>
      <w:bookmarkStart w:id="304" w:name="_Toc110778062"/>
      <w:r w:rsidRPr="00BB35B1">
        <w:t>Comprehensive operating statement</w:t>
      </w:r>
      <w:r w:rsidRPr="00BB35B1">
        <w:br/>
        <w:t>for the financial year ended 30 June 2025</w:t>
      </w:r>
    </w:p>
    <w:tbl>
      <w:tblPr>
        <w:tblStyle w:val="DFFHtable3"/>
        <w:tblW w:w="0" w:type="auto"/>
        <w:tblLayout w:type="fixed"/>
        <w:tblLook w:val="00E0" w:firstRow="1" w:lastRow="1" w:firstColumn="1" w:lastColumn="0" w:noHBand="0" w:noVBand="0"/>
      </w:tblPr>
      <w:tblGrid>
        <w:gridCol w:w="7078"/>
        <w:gridCol w:w="1277"/>
        <w:gridCol w:w="1277"/>
      </w:tblGrid>
      <w:tr w:rsidR="004A2DF7" w:rsidRPr="00BB35B1" w14:paraId="6C51CDF3" w14:textId="77777777" w:rsidTr="004F0449">
        <w:trPr>
          <w:cnfStyle w:val="100000000000" w:firstRow="1" w:lastRow="0" w:firstColumn="0" w:lastColumn="0" w:oddVBand="0" w:evenVBand="0" w:oddHBand="0" w:evenHBand="0" w:firstRowFirstColumn="0" w:firstRowLastColumn="0" w:lastRowFirstColumn="0" w:lastRowLastColumn="0"/>
          <w:trHeight w:val="242"/>
          <w:tblHeader/>
        </w:trPr>
        <w:tc>
          <w:tcPr>
            <w:tcW w:w="7078" w:type="dxa"/>
            <w:noWrap/>
            <w:hideMark/>
          </w:tcPr>
          <w:p w14:paraId="68D78C05" w14:textId="77777777" w:rsidR="004A2DF7" w:rsidRPr="00BB35B1" w:rsidRDefault="004A2DF7" w:rsidP="00A107DE">
            <w:pPr>
              <w:pStyle w:val="ARfintablecolhead"/>
            </w:pPr>
          </w:p>
        </w:tc>
        <w:tc>
          <w:tcPr>
            <w:tcW w:w="1277" w:type="dxa"/>
            <w:shd w:val="clear" w:color="auto" w:fill="E7E6E6"/>
            <w:noWrap/>
            <w:hideMark/>
          </w:tcPr>
          <w:p w14:paraId="302396C6" w14:textId="77777777" w:rsidR="004A2DF7" w:rsidRPr="00BB35B1" w:rsidRDefault="004A2DF7" w:rsidP="00A107DE">
            <w:pPr>
              <w:pStyle w:val="ARfintablecolheadright"/>
            </w:pPr>
            <w:r w:rsidRPr="00BB35B1">
              <w:t>2025</w:t>
            </w:r>
          </w:p>
          <w:p w14:paraId="605C068A" w14:textId="77777777" w:rsidR="004A2DF7" w:rsidRPr="00BB35B1" w:rsidRDefault="004A2DF7" w:rsidP="00A107DE">
            <w:pPr>
              <w:pStyle w:val="ARfintablecolheadright"/>
            </w:pPr>
            <w:r w:rsidRPr="00BB35B1">
              <w:t xml:space="preserve">$M </w:t>
            </w:r>
          </w:p>
        </w:tc>
        <w:tc>
          <w:tcPr>
            <w:tcW w:w="1277" w:type="dxa"/>
            <w:noWrap/>
            <w:hideMark/>
          </w:tcPr>
          <w:p w14:paraId="4573C974" w14:textId="77777777" w:rsidR="004A2DF7" w:rsidRPr="00BB35B1" w:rsidRDefault="004A2DF7" w:rsidP="00A107DE">
            <w:pPr>
              <w:pStyle w:val="ARfintablecolheadright"/>
            </w:pPr>
            <w:r w:rsidRPr="00BB35B1">
              <w:t>2024</w:t>
            </w:r>
          </w:p>
          <w:p w14:paraId="06044182" w14:textId="77777777" w:rsidR="004A2DF7" w:rsidRPr="00BB35B1" w:rsidRDefault="004A2DF7" w:rsidP="00A107DE">
            <w:pPr>
              <w:pStyle w:val="ARfintablecolheadright"/>
            </w:pPr>
            <w:r w:rsidRPr="00BB35B1">
              <w:t xml:space="preserve">$M </w:t>
            </w:r>
          </w:p>
        </w:tc>
      </w:tr>
      <w:tr w:rsidR="004A2DF7" w:rsidRPr="00BB35B1" w14:paraId="6F6A45B8" w14:textId="77777777" w:rsidTr="00E9658B">
        <w:trPr>
          <w:trHeight w:val="20"/>
        </w:trPr>
        <w:tc>
          <w:tcPr>
            <w:tcW w:w="7078" w:type="dxa"/>
            <w:tcBorders>
              <w:top w:val="single" w:sz="4" w:space="0" w:color="000000"/>
              <w:bottom w:val="single" w:sz="4" w:space="0" w:color="A6A6A6"/>
            </w:tcBorders>
            <w:hideMark/>
          </w:tcPr>
          <w:p w14:paraId="1956C62F" w14:textId="77777777" w:rsidR="004A2DF7" w:rsidRPr="00BB35B1" w:rsidRDefault="004A2DF7" w:rsidP="00A107DE">
            <w:pPr>
              <w:pStyle w:val="ARfintablebodyboldcoloured"/>
            </w:pPr>
            <w:r w:rsidRPr="00BB35B1">
              <w:t>Revenue and income from transactions</w:t>
            </w:r>
          </w:p>
        </w:tc>
        <w:tc>
          <w:tcPr>
            <w:tcW w:w="1277" w:type="dxa"/>
            <w:tcBorders>
              <w:top w:val="single" w:sz="4" w:space="0" w:color="000000"/>
              <w:bottom w:val="single" w:sz="4" w:space="0" w:color="A6A6A6"/>
            </w:tcBorders>
            <w:noWrap/>
            <w:hideMark/>
          </w:tcPr>
          <w:p w14:paraId="30FDC9EC" w14:textId="77777777" w:rsidR="004A2DF7" w:rsidRPr="00BB35B1" w:rsidRDefault="004A2DF7">
            <w:pPr>
              <w:suppressAutoHyphens/>
              <w:spacing w:before="40" w:after="20"/>
              <w:ind w:right="113"/>
              <w:jc w:val="right"/>
              <w:rPr>
                <w:rFonts w:eastAsia="MS Mincho"/>
                <w:color w:val="000000"/>
                <w:sz w:val="18"/>
                <w:szCs w:val="16"/>
              </w:rPr>
            </w:pPr>
          </w:p>
        </w:tc>
        <w:tc>
          <w:tcPr>
            <w:tcW w:w="1277" w:type="dxa"/>
            <w:tcBorders>
              <w:top w:val="single" w:sz="4" w:space="0" w:color="000000"/>
              <w:bottom w:val="single" w:sz="4" w:space="0" w:color="A6A6A6"/>
            </w:tcBorders>
            <w:noWrap/>
            <w:hideMark/>
          </w:tcPr>
          <w:p w14:paraId="13383C34" w14:textId="77777777" w:rsidR="004A2DF7" w:rsidRPr="00BB35B1" w:rsidRDefault="004A2DF7">
            <w:pPr>
              <w:suppressAutoHyphens/>
              <w:spacing w:before="40" w:after="20"/>
              <w:ind w:right="113"/>
              <w:jc w:val="right"/>
              <w:rPr>
                <w:rFonts w:eastAsia="MS Mincho"/>
                <w:color w:val="000000"/>
                <w:sz w:val="18"/>
                <w:szCs w:val="16"/>
              </w:rPr>
            </w:pPr>
          </w:p>
        </w:tc>
      </w:tr>
      <w:tr w:rsidR="004A2DF7" w:rsidRPr="00BB35B1" w14:paraId="09D2AE91" w14:textId="77777777" w:rsidTr="00E9658B">
        <w:trPr>
          <w:trHeight w:val="20"/>
        </w:trPr>
        <w:tc>
          <w:tcPr>
            <w:tcW w:w="7078" w:type="dxa"/>
            <w:tcBorders>
              <w:top w:val="single" w:sz="4" w:space="0" w:color="A6A6A6"/>
            </w:tcBorders>
            <w:hideMark/>
          </w:tcPr>
          <w:p w14:paraId="5B0191D6" w14:textId="77777777" w:rsidR="004A2DF7" w:rsidRPr="00BB35B1" w:rsidRDefault="004A2DF7" w:rsidP="00A107DE">
            <w:pPr>
              <w:pStyle w:val="ARfintablebody"/>
            </w:pPr>
            <w:r w:rsidRPr="00BB35B1">
              <w:t>Grant from the Department of Families, Fairness and Housing</w:t>
            </w:r>
          </w:p>
        </w:tc>
        <w:tc>
          <w:tcPr>
            <w:tcW w:w="1277" w:type="dxa"/>
            <w:tcBorders>
              <w:top w:val="single" w:sz="4" w:space="0" w:color="A6A6A6"/>
            </w:tcBorders>
            <w:shd w:val="clear" w:color="auto" w:fill="E7E6E6"/>
            <w:noWrap/>
            <w:hideMark/>
          </w:tcPr>
          <w:p w14:paraId="6644B175" w14:textId="77777777" w:rsidR="004A2DF7" w:rsidRPr="00BB35B1" w:rsidRDefault="004A2DF7" w:rsidP="00A107DE">
            <w:pPr>
              <w:pStyle w:val="ARfintablebodyright"/>
            </w:pPr>
            <w:r w:rsidRPr="00BB35B1">
              <w:t>788.3</w:t>
            </w:r>
          </w:p>
        </w:tc>
        <w:tc>
          <w:tcPr>
            <w:tcW w:w="1277" w:type="dxa"/>
            <w:tcBorders>
              <w:top w:val="single" w:sz="4" w:space="0" w:color="A6A6A6"/>
            </w:tcBorders>
            <w:noWrap/>
            <w:hideMark/>
          </w:tcPr>
          <w:p w14:paraId="7458B2DD" w14:textId="77777777" w:rsidR="004A2DF7" w:rsidRPr="00BB35B1" w:rsidRDefault="004A2DF7" w:rsidP="00A107DE">
            <w:pPr>
              <w:pStyle w:val="ARfintablebodyright"/>
            </w:pPr>
            <w:r w:rsidRPr="00BB35B1">
              <w:t>585.5</w:t>
            </w:r>
          </w:p>
        </w:tc>
      </w:tr>
      <w:tr w:rsidR="004A2DF7" w:rsidRPr="00BB35B1" w14:paraId="081D8248" w14:textId="77777777" w:rsidTr="00E9658B">
        <w:trPr>
          <w:trHeight w:val="20"/>
        </w:trPr>
        <w:tc>
          <w:tcPr>
            <w:tcW w:w="7078" w:type="dxa"/>
            <w:hideMark/>
          </w:tcPr>
          <w:p w14:paraId="727FA1E7" w14:textId="77777777" w:rsidR="004A2DF7" w:rsidRPr="00BB35B1" w:rsidRDefault="004A2DF7" w:rsidP="00A107DE">
            <w:pPr>
              <w:pStyle w:val="ARfintablebody"/>
            </w:pPr>
            <w:r w:rsidRPr="00BB35B1">
              <w:t>Rental income</w:t>
            </w:r>
          </w:p>
        </w:tc>
        <w:tc>
          <w:tcPr>
            <w:tcW w:w="1277" w:type="dxa"/>
            <w:shd w:val="clear" w:color="auto" w:fill="E7E6E6"/>
            <w:noWrap/>
            <w:hideMark/>
          </w:tcPr>
          <w:p w14:paraId="257301B9" w14:textId="77777777" w:rsidR="004A2DF7" w:rsidRPr="00BB35B1" w:rsidRDefault="004A2DF7" w:rsidP="00A107DE">
            <w:pPr>
              <w:pStyle w:val="ARfintablebodyright"/>
            </w:pPr>
            <w:r w:rsidRPr="00BB35B1">
              <w:t>594.6</w:t>
            </w:r>
          </w:p>
        </w:tc>
        <w:tc>
          <w:tcPr>
            <w:tcW w:w="1277" w:type="dxa"/>
            <w:noWrap/>
            <w:hideMark/>
          </w:tcPr>
          <w:p w14:paraId="4815D1C6" w14:textId="77777777" w:rsidR="004A2DF7" w:rsidRPr="00BB35B1" w:rsidRDefault="004A2DF7" w:rsidP="00A107DE">
            <w:pPr>
              <w:pStyle w:val="ARfintablebodyright"/>
            </w:pPr>
            <w:r w:rsidRPr="00BB35B1">
              <w:t>555.5</w:t>
            </w:r>
          </w:p>
        </w:tc>
      </w:tr>
      <w:tr w:rsidR="004A2DF7" w:rsidRPr="00BB35B1" w14:paraId="28BA69EA" w14:textId="77777777" w:rsidTr="00E9658B">
        <w:trPr>
          <w:trHeight w:val="20"/>
        </w:trPr>
        <w:tc>
          <w:tcPr>
            <w:tcW w:w="7078" w:type="dxa"/>
            <w:tcBorders>
              <w:bottom w:val="single" w:sz="4" w:space="0" w:color="A6A6A6"/>
            </w:tcBorders>
            <w:hideMark/>
          </w:tcPr>
          <w:p w14:paraId="6F1BC677" w14:textId="77777777" w:rsidR="004A2DF7" w:rsidRPr="00BB35B1" w:rsidRDefault="004A2DF7" w:rsidP="00A107DE">
            <w:pPr>
              <w:pStyle w:val="ARfintablebody"/>
            </w:pPr>
            <w:r w:rsidRPr="00BB35B1">
              <w:t>Grants</w:t>
            </w:r>
          </w:p>
        </w:tc>
        <w:tc>
          <w:tcPr>
            <w:tcW w:w="1277" w:type="dxa"/>
            <w:tcBorders>
              <w:bottom w:val="single" w:sz="4" w:space="0" w:color="A6A6A6"/>
            </w:tcBorders>
            <w:shd w:val="clear" w:color="auto" w:fill="E7E6E6"/>
            <w:noWrap/>
            <w:hideMark/>
          </w:tcPr>
          <w:p w14:paraId="1799B9EB" w14:textId="77777777" w:rsidR="004A2DF7" w:rsidRPr="00BB35B1" w:rsidRDefault="004A2DF7" w:rsidP="00A107DE">
            <w:pPr>
              <w:pStyle w:val="ARfintablebodyright"/>
            </w:pPr>
            <w:r w:rsidRPr="00BB35B1">
              <w:t>247.8</w:t>
            </w:r>
          </w:p>
        </w:tc>
        <w:tc>
          <w:tcPr>
            <w:tcW w:w="1277" w:type="dxa"/>
            <w:tcBorders>
              <w:bottom w:val="single" w:sz="4" w:space="0" w:color="A6A6A6"/>
            </w:tcBorders>
            <w:noWrap/>
            <w:hideMark/>
          </w:tcPr>
          <w:p w14:paraId="7F7E3B6B" w14:textId="77777777" w:rsidR="004A2DF7" w:rsidRPr="00BB35B1" w:rsidRDefault="004A2DF7" w:rsidP="00A107DE">
            <w:pPr>
              <w:pStyle w:val="ARfintablebodyright"/>
            </w:pPr>
            <w:r w:rsidRPr="00BB35B1">
              <w:t>388.3</w:t>
            </w:r>
          </w:p>
        </w:tc>
      </w:tr>
      <w:tr w:rsidR="004A2DF7" w:rsidRPr="00BB35B1" w14:paraId="5C999AE0" w14:textId="77777777" w:rsidTr="00E9658B">
        <w:trPr>
          <w:trHeight w:val="20"/>
        </w:trPr>
        <w:tc>
          <w:tcPr>
            <w:tcW w:w="7078" w:type="dxa"/>
            <w:tcBorders>
              <w:top w:val="single" w:sz="4" w:space="0" w:color="A6A6A6"/>
              <w:bottom w:val="single" w:sz="4" w:space="0" w:color="auto"/>
            </w:tcBorders>
            <w:hideMark/>
          </w:tcPr>
          <w:p w14:paraId="127DFB2B" w14:textId="77777777" w:rsidR="004A2DF7" w:rsidRPr="00BB35B1" w:rsidRDefault="004A2DF7" w:rsidP="00A107DE">
            <w:pPr>
              <w:pStyle w:val="ARfintablebody"/>
            </w:pPr>
            <w:r w:rsidRPr="00BB35B1">
              <w:t>Other income</w:t>
            </w:r>
          </w:p>
        </w:tc>
        <w:tc>
          <w:tcPr>
            <w:tcW w:w="1277" w:type="dxa"/>
            <w:tcBorders>
              <w:top w:val="single" w:sz="4" w:space="0" w:color="A6A6A6"/>
              <w:bottom w:val="single" w:sz="4" w:space="0" w:color="auto"/>
            </w:tcBorders>
            <w:shd w:val="clear" w:color="auto" w:fill="E7E6E6"/>
            <w:noWrap/>
            <w:hideMark/>
          </w:tcPr>
          <w:p w14:paraId="06196D34" w14:textId="77777777" w:rsidR="004A2DF7" w:rsidRPr="00BB35B1" w:rsidRDefault="004A2DF7" w:rsidP="00A107DE">
            <w:pPr>
              <w:pStyle w:val="ARfintablebodyright"/>
            </w:pPr>
            <w:r w:rsidRPr="00BB35B1">
              <w:t>50.7</w:t>
            </w:r>
          </w:p>
        </w:tc>
        <w:tc>
          <w:tcPr>
            <w:tcW w:w="1277" w:type="dxa"/>
            <w:tcBorders>
              <w:top w:val="single" w:sz="4" w:space="0" w:color="A6A6A6"/>
              <w:bottom w:val="single" w:sz="4" w:space="0" w:color="auto"/>
            </w:tcBorders>
            <w:noWrap/>
            <w:hideMark/>
          </w:tcPr>
          <w:p w14:paraId="187F096F" w14:textId="77777777" w:rsidR="004A2DF7" w:rsidRPr="00BB35B1" w:rsidRDefault="004A2DF7" w:rsidP="00A107DE">
            <w:pPr>
              <w:pStyle w:val="ARfintablebodyright"/>
            </w:pPr>
            <w:r w:rsidRPr="00BB35B1">
              <w:t>41.1</w:t>
            </w:r>
          </w:p>
        </w:tc>
      </w:tr>
      <w:tr w:rsidR="004A2DF7" w:rsidRPr="00BB35B1" w14:paraId="05C5026F" w14:textId="77777777" w:rsidTr="00E9658B">
        <w:trPr>
          <w:trHeight w:val="20"/>
        </w:trPr>
        <w:tc>
          <w:tcPr>
            <w:tcW w:w="7078" w:type="dxa"/>
            <w:tcBorders>
              <w:top w:val="single" w:sz="4" w:space="0" w:color="auto"/>
              <w:bottom w:val="single" w:sz="4" w:space="0" w:color="auto"/>
            </w:tcBorders>
            <w:hideMark/>
          </w:tcPr>
          <w:p w14:paraId="0BD75C05" w14:textId="77777777" w:rsidR="004A2DF7" w:rsidRPr="00BB35B1" w:rsidRDefault="004A2DF7" w:rsidP="00A107DE">
            <w:pPr>
              <w:pStyle w:val="ARfintablebodybold"/>
            </w:pPr>
            <w:r w:rsidRPr="00BB35B1">
              <w:t>Total revenue and income from transactions</w:t>
            </w:r>
          </w:p>
        </w:tc>
        <w:tc>
          <w:tcPr>
            <w:tcW w:w="1277" w:type="dxa"/>
            <w:tcBorders>
              <w:top w:val="single" w:sz="4" w:space="0" w:color="auto"/>
              <w:bottom w:val="single" w:sz="4" w:space="0" w:color="auto"/>
            </w:tcBorders>
            <w:shd w:val="clear" w:color="auto" w:fill="E7E6E6"/>
            <w:noWrap/>
            <w:hideMark/>
          </w:tcPr>
          <w:p w14:paraId="5FF1DAB8" w14:textId="77777777" w:rsidR="004A2DF7" w:rsidRPr="00BB35B1" w:rsidRDefault="004A2DF7" w:rsidP="00A107DE">
            <w:pPr>
              <w:pStyle w:val="ARfintablebodyrightbold"/>
            </w:pPr>
            <w:r w:rsidRPr="00BB35B1">
              <w:t>1,681.4</w:t>
            </w:r>
          </w:p>
        </w:tc>
        <w:tc>
          <w:tcPr>
            <w:tcW w:w="1277" w:type="dxa"/>
            <w:tcBorders>
              <w:top w:val="single" w:sz="4" w:space="0" w:color="auto"/>
              <w:bottom w:val="single" w:sz="4" w:space="0" w:color="auto"/>
            </w:tcBorders>
            <w:noWrap/>
            <w:hideMark/>
          </w:tcPr>
          <w:p w14:paraId="5C60B9CE" w14:textId="77777777" w:rsidR="004A2DF7" w:rsidRPr="00BB35B1" w:rsidRDefault="004A2DF7" w:rsidP="00A107DE">
            <w:pPr>
              <w:pStyle w:val="ARfintablebodyrightbold"/>
            </w:pPr>
            <w:r w:rsidRPr="00BB35B1">
              <w:t>1,570.4</w:t>
            </w:r>
          </w:p>
        </w:tc>
      </w:tr>
      <w:tr w:rsidR="004A2DF7" w:rsidRPr="00BB35B1" w14:paraId="01E9BCE5" w14:textId="77777777" w:rsidTr="00E9658B">
        <w:trPr>
          <w:trHeight w:val="20"/>
        </w:trPr>
        <w:tc>
          <w:tcPr>
            <w:tcW w:w="7078" w:type="dxa"/>
            <w:tcBorders>
              <w:top w:val="single" w:sz="4" w:space="0" w:color="auto"/>
              <w:bottom w:val="single" w:sz="4" w:space="0" w:color="A6A6A6"/>
            </w:tcBorders>
            <w:hideMark/>
          </w:tcPr>
          <w:p w14:paraId="71FB13B2" w14:textId="77777777" w:rsidR="004A2DF7" w:rsidRPr="00BB35B1" w:rsidRDefault="004A2DF7" w:rsidP="00A107DE">
            <w:pPr>
              <w:pStyle w:val="ARfintablebodyboldcoloured"/>
            </w:pPr>
            <w:r w:rsidRPr="00BB35B1">
              <w:t>Expenses from transactions</w:t>
            </w:r>
          </w:p>
        </w:tc>
        <w:tc>
          <w:tcPr>
            <w:tcW w:w="1277" w:type="dxa"/>
            <w:tcBorders>
              <w:top w:val="single" w:sz="4" w:space="0" w:color="auto"/>
              <w:bottom w:val="single" w:sz="4" w:space="0" w:color="A6A6A6"/>
            </w:tcBorders>
            <w:noWrap/>
            <w:hideMark/>
          </w:tcPr>
          <w:p w14:paraId="482F766B" w14:textId="77777777" w:rsidR="004A2DF7" w:rsidRPr="00BB35B1" w:rsidRDefault="004A2DF7">
            <w:pPr>
              <w:suppressAutoHyphens/>
              <w:spacing w:before="40" w:after="20"/>
              <w:ind w:right="113"/>
              <w:jc w:val="right"/>
              <w:rPr>
                <w:rFonts w:eastAsia="MS Mincho"/>
                <w:color w:val="000000"/>
                <w:sz w:val="18"/>
                <w:szCs w:val="16"/>
              </w:rPr>
            </w:pPr>
          </w:p>
        </w:tc>
        <w:tc>
          <w:tcPr>
            <w:tcW w:w="1277" w:type="dxa"/>
            <w:tcBorders>
              <w:top w:val="single" w:sz="4" w:space="0" w:color="auto"/>
              <w:bottom w:val="single" w:sz="4" w:space="0" w:color="A6A6A6"/>
            </w:tcBorders>
            <w:noWrap/>
            <w:hideMark/>
          </w:tcPr>
          <w:p w14:paraId="5FDED04B" w14:textId="77777777" w:rsidR="004A2DF7" w:rsidRPr="00BB35B1" w:rsidRDefault="004A2DF7">
            <w:pPr>
              <w:suppressAutoHyphens/>
              <w:spacing w:before="40" w:after="20"/>
              <w:ind w:right="113"/>
              <w:jc w:val="right"/>
              <w:rPr>
                <w:rFonts w:eastAsia="MS Mincho"/>
                <w:color w:val="000000"/>
                <w:sz w:val="18"/>
                <w:szCs w:val="16"/>
              </w:rPr>
            </w:pPr>
          </w:p>
        </w:tc>
      </w:tr>
      <w:tr w:rsidR="004A2DF7" w:rsidRPr="00BB35B1" w14:paraId="3C59BA34" w14:textId="77777777" w:rsidTr="00E9658B">
        <w:trPr>
          <w:trHeight w:val="20"/>
        </w:trPr>
        <w:tc>
          <w:tcPr>
            <w:tcW w:w="7078" w:type="dxa"/>
            <w:tcBorders>
              <w:top w:val="single" w:sz="4" w:space="0" w:color="A6A6A6"/>
            </w:tcBorders>
            <w:hideMark/>
          </w:tcPr>
          <w:p w14:paraId="7F004307" w14:textId="77777777" w:rsidR="004A2DF7" w:rsidRPr="00BB35B1" w:rsidRDefault="004A2DF7" w:rsidP="00A107DE">
            <w:pPr>
              <w:pStyle w:val="ARfintablebody"/>
            </w:pPr>
            <w:r w:rsidRPr="00BB35B1">
              <w:t>Employee benefits</w:t>
            </w:r>
          </w:p>
        </w:tc>
        <w:tc>
          <w:tcPr>
            <w:tcW w:w="1277" w:type="dxa"/>
            <w:tcBorders>
              <w:top w:val="single" w:sz="4" w:space="0" w:color="A6A6A6"/>
            </w:tcBorders>
            <w:shd w:val="clear" w:color="auto" w:fill="E7E6E6"/>
            <w:noWrap/>
            <w:hideMark/>
          </w:tcPr>
          <w:p w14:paraId="48185955" w14:textId="77777777" w:rsidR="004A2DF7" w:rsidRPr="00BB35B1" w:rsidRDefault="004A2DF7" w:rsidP="00A107DE">
            <w:pPr>
              <w:pStyle w:val="ARfintablebodyright"/>
            </w:pPr>
            <w:r w:rsidRPr="00BB35B1">
              <w:t>213.0</w:t>
            </w:r>
          </w:p>
        </w:tc>
        <w:tc>
          <w:tcPr>
            <w:tcW w:w="1277" w:type="dxa"/>
            <w:tcBorders>
              <w:top w:val="single" w:sz="4" w:space="0" w:color="A6A6A6"/>
            </w:tcBorders>
            <w:noWrap/>
            <w:hideMark/>
          </w:tcPr>
          <w:p w14:paraId="6927F11C" w14:textId="77777777" w:rsidR="004A2DF7" w:rsidRPr="00BB35B1" w:rsidRDefault="004A2DF7" w:rsidP="00A107DE">
            <w:pPr>
              <w:pStyle w:val="ARfintablebodyright"/>
            </w:pPr>
            <w:r w:rsidRPr="00BB35B1">
              <w:t>183.2</w:t>
            </w:r>
          </w:p>
        </w:tc>
      </w:tr>
      <w:tr w:rsidR="004A2DF7" w:rsidRPr="00BB35B1" w14:paraId="543F1F9C" w14:textId="77777777" w:rsidTr="00E9658B">
        <w:trPr>
          <w:trHeight w:val="20"/>
        </w:trPr>
        <w:tc>
          <w:tcPr>
            <w:tcW w:w="7078" w:type="dxa"/>
            <w:hideMark/>
          </w:tcPr>
          <w:p w14:paraId="59494078" w14:textId="77777777" w:rsidR="004A2DF7" w:rsidRPr="00BB35B1" w:rsidRDefault="004A2DF7" w:rsidP="00A107DE">
            <w:pPr>
              <w:pStyle w:val="ARfintablebody"/>
            </w:pPr>
            <w:r w:rsidRPr="00BB35B1">
              <w:t>Depreciation and amortisation</w:t>
            </w:r>
          </w:p>
        </w:tc>
        <w:tc>
          <w:tcPr>
            <w:tcW w:w="1277" w:type="dxa"/>
            <w:shd w:val="clear" w:color="auto" w:fill="E7E6E6"/>
            <w:noWrap/>
            <w:hideMark/>
          </w:tcPr>
          <w:p w14:paraId="6A3B24CA" w14:textId="77777777" w:rsidR="004A2DF7" w:rsidRPr="00BB35B1" w:rsidRDefault="004A2DF7" w:rsidP="00A107DE">
            <w:pPr>
              <w:pStyle w:val="ARfintablebodyright"/>
            </w:pPr>
            <w:r w:rsidRPr="00BB35B1">
              <w:t>490.7</w:t>
            </w:r>
          </w:p>
        </w:tc>
        <w:tc>
          <w:tcPr>
            <w:tcW w:w="1277" w:type="dxa"/>
            <w:noWrap/>
            <w:hideMark/>
          </w:tcPr>
          <w:p w14:paraId="79FF5A7B" w14:textId="77777777" w:rsidR="004A2DF7" w:rsidRPr="00BB35B1" w:rsidRDefault="004A2DF7" w:rsidP="00A107DE">
            <w:pPr>
              <w:pStyle w:val="ARfintablebodyright"/>
            </w:pPr>
            <w:r w:rsidRPr="00BB35B1">
              <w:t>367.3</w:t>
            </w:r>
          </w:p>
        </w:tc>
      </w:tr>
      <w:tr w:rsidR="004A2DF7" w:rsidRPr="00BB35B1" w14:paraId="39E3D028" w14:textId="77777777" w:rsidTr="00E9658B">
        <w:trPr>
          <w:trHeight w:val="20"/>
        </w:trPr>
        <w:tc>
          <w:tcPr>
            <w:tcW w:w="7078" w:type="dxa"/>
            <w:hideMark/>
          </w:tcPr>
          <w:p w14:paraId="14AC987D" w14:textId="77777777" w:rsidR="004A2DF7" w:rsidRPr="00BB35B1" w:rsidRDefault="004A2DF7" w:rsidP="00A107DE">
            <w:pPr>
              <w:pStyle w:val="ARfintablebody"/>
            </w:pPr>
            <w:r w:rsidRPr="00BB35B1">
              <w:t>Grants and other transfers</w:t>
            </w:r>
          </w:p>
        </w:tc>
        <w:tc>
          <w:tcPr>
            <w:tcW w:w="1277" w:type="dxa"/>
            <w:shd w:val="clear" w:color="auto" w:fill="E7E6E6"/>
            <w:noWrap/>
            <w:hideMark/>
          </w:tcPr>
          <w:p w14:paraId="3C62ADB4" w14:textId="77777777" w:rsidR="004A2DF7" w:rsidRPr="00BB35B1" w:rsidRDefault="004A2DF7" w:rsidP="00A107DE">
            <w:pPr>
              <w:pStyle w:val="ARfintablebodyright"/>
            </w:pPr>
            <w:r w:rsidRPr="00BB35B1">
              <w:t>681.9</w:t>
            </w:r>
          </w:p>
        </w:tc>
        <w:tc>
          <w:tcPr>
            <w:tcW w:w="1277" w:type="dxa"/>
            <w:noWrap/>
            <w:hideMark/>
          </w:tcPr>
          <w:p w14:paraId="30AEB85F" w14:textId="77777777" w:rsidR="004A2DF7" w:rsidRPr="00BB35B1" w:rsidRDefault="004A2DF7" w:rsidP="00A107DE">
            <w:pPr>
              <w:pStyle w:val="ARfintablebodyright"/>
            </w:pPr>
            <w:r w:rsidRPr="00BB35B1">
              <w:t>821.8</w:t>
            </w:r>
          </w:p>
        </w:tc>
      </w:tr>
      <w:tr w:rsidR="004A2DF7" w:rsidRPr="00BB35B1" w14:paraId="1162D237" w14:textId="77777777" w:rsidTr="00E9658B">
        <w:trPr>
          <w:trHeight w:val="20"/>
        </w:trPr>
        <w:tc>
          <w:tcPr>
            <w:tcW w:w="7078" w:type="dxa"/>
            <w:tcBorders>
              <w:bottom w:val="single" w:sz="4" w:space="0" w:color="A6A6A6"/>
            </w:tcBorders>
            <w:hideMark/>
          </w:tcPr>
          <w:p w14:paraId="73B5587C" w14:textId="77777777" w:rsidR="004A2DF7" w:rsidRPr="00BB35B1" w:rsidRDefault="004A2DF7" w:rsidP="00A107DE">
            <w:pPr>
              <w:pStyle w:val="ARfintablebody"/>
            </w:pPr>
            <w:r w:rsidRPr="00BB35B1">
              <w:t>Other operating expenses</w:t>
            </w:r>
          </w:p>
        </w:tc>
        <w:tc>
          <w:tcPr>
            <w:tcW w:w="1277" w:type="dxa"/>
            <w:tcBorders>
              <w:bottom w:val="single" w:sz="4" w:space="0" w:color="A6A6A6"/>
            </w:tcBorders>
            <w:shd w:val="clear" w:color="auto" w:fill="E7E6E6"/>
            <w:noWrap/>
            <w:hideMark/>
          </w:tcPr>
          <w:p w14:paraId="0F10719B" w14:textId="77777777" w:rsidR="004A2DF7" w:rsidRPr="00BB35B1" w:rsidRDefault="004A2DF7" w:rsidP="00A107DE">
            <w:pPr>
              <w:pStyle w:val="ARfintablebodyright"/>
            </w:pPr>
            <w:r w:rsidRPr="00BB35B1">
              <w:t>116.5</w:t>
            </w:r>
          </w:p>
        </w:tc>
        <w:tc>
          <w:tcPr>
            <w:tcW w:w="1277" w:type="dxa"/>
            <w:tcBorders>
              <w:bottom w:val="single" w:sz="4" w:space="0" w:color="A6A6A6"/>
            </w:tcBorders>
            <w:noWrap/>
            <w:hideMark/>
          </w:tcPr>
          <w:p w14:paraId="04E2F1CC" w14:textId="77777777" w:rsidR="004A2DF7" w:rsidRPr="00BB35B1" w:rsidRDefault="004A2DF7" w:rsidP="00A107DE">
            <w:pPr>
              <w:pStyle w:val="ARfintablebodyright"/>
            </w:pPr>
            <w:r w:rsidRPr="00BB35B1">
              <w:t>100.4</w:t>
            </w:r>
          </w:p>
        </w:tc>
      </w:tr>
      <w:tr w:rsidR="004A2DF7" w:rsidRPr="00BB35B1" w14:paraId="21586051" w14:textId="77777777" w:rsidTr="00E9658B">
        <w:trPr>
          <w:trHeight w:val="20"/>
        </w:trPr>
        <w:tc>
          <w:tcPr>
            <w:tcW w:w="7078" w:type="dxa"/>
            <w:tcBorders>
              <w:top w:val="single" w:sz="4" w:space="0" w:color="A6A6A6"/>
              <w:bottom w:val="single" w:sz="4" w:space="0" w:color="auto"/>
            </w:tcBorders>
            <w:hideMark/>
          </w:tcPr>
          <w:p w14:paraId="172736D0" w14:textId="77777777" w:rsidR="004A2DF7" w:rsidRPr="00BB35B1" w:rsidRDefault="004A2DF7" w:rsidP="00A107DE">
            <w:pPr>
              <w:pStyle w:val="ARfintablebody"/>
            </w:pPr>
            <w:r w:rsidRPr="00BB35B1">
              <w:t>Property management expenses</w:t>
            </w:r>
          </w:p>
        </w:tc>
        <w:tc>
          <w:tcPr>
            <w:tcW w:w="1277" w:type="dxa"/>
            <w:tcBorders>
              <w:top w:val="single" w:sz="4" w:space="0" w:color="A6A6A6"/>
              <w:bottom w:val="single" w:sz="4" w:space="0" w:color="auto"/>
            </w:tcBorders>
            <w:shd w:val="clear" w:color="auto" w:fill="E7E6E6"/>
            <w:noWrap/>
            <w:hideMark/>
          </w:tcPr>
          <w:p w14:paraId="566E9131" w14:textId="77777777" w:rsidR="004A2DF7" w:rsidRPr="00BB35B1" w:rsidRDefault="004A2DF7" w:rsidP="00A107DE">
            <w:pPr>
              <w:pStyle w:val="ARfintablebodyright"/>
            </w:pPr>
            <w:r w:rsidRPr="00BB35B1">
              <w:t>523.7</w:t>
            </w:r>
          </w:p>
        </w:tc>
        <w:tc>
          <w:tcPr>
            <w:tcW w:w="1277" w:type="dxa"/>
            <w:tcBorders>
              <w:top w:val="single" w:sz="4" w:space="0" w:color="A6A6A6"/>
              <w:bottom w:val="single" w:sz="4" w:space="0" w:color="auto"/>
            </w:tcBorders>
            <w:noWrap/>
            <w:hideMark/>
          </w:tcPr>
          <w:p w14:paraId="6AC4F784" w14:textId="77777777" w:rsidR="004A2DF7" w:rsidRPr="00BB35B1" w:rsidRDefault="004A2DF7" w:rsidP="00A107DE">
            <w:pPr>
              <w:pStyle w:val="ARfintablebodyright"/>
            </w:pPr>
            <w:r w:rsidRPr="00BB35B1">
              <w:t>526.3</w:t>
            </w:r>
          </w:p>
        </w:tc>
      </w:tr>
      <w:tr w:rsidR="004A2DF7" w:rsidRPr="00BB35B1" w14:paraId="2BCDE82E" w14:textId="77777777" w:rsidTr="00E9658B">
        <w:trPr>
          <w:trHeight w:val="20"/>
        </w:trPr>
        <w:tc>
          <w:tcPr>
            <w:tcW w:w="7078" w:type="dxa"/>
            <w:tcBorders>
              <w:top w:val="single" w:sz="4" w:space="0" w:color="auto"/>
              <w:bottom w:val="single" w:sz="4" w:space="0" w:color="auto"/>
            </w:tcBorders>
            <w:hideMark/>
          </w:tcPr>
          <w:p w14:paraId="5673C37D" w14:textId="77777777" w:rsidR="004A2DF7" w:rsidRPr="00BB35B1" w:rsidRDefault="004A2DF7" w:rsidP="00A107DE">
            <w:pPr>
              <w:pStyle w:val="ARfintablebodybold"/>
            </w:pPr>
            <w:r w:rsidRPr="00BB35B1">
              <w:t>Total expenses from transactions</w:t>
            </w:r>
          </w:p>
        </w:tc>
        <w:tc>
          <w:tcPr>
            <w:tcW w:w="1277" w:type="dxa"/>
            <w:tcBorders>
              <w:top w:val="single" w:sz="4" w:space="0" w:color="auto"/>
              <w:bottom w:val="single" w:sz="4" w:space="0" w:color="auto"/>
            </w:tcBorders>
            <w:shd w:val="clear" w:color="auto" w:fill="E7E6E6"/>
            <w:noWrap/>
            <w:hideMark/>
          </w:tcPr>
          <w:p w14:paraId="321F77DD" w14:textId="77777777" w:rsidR="004A2DF7" w:rsidRPr="00BB35B1" w:rsidRDefault="004A2DF7" w:rsidP="00A107DE">
            <w:pPr>
              <w:pStyle w:val="ARfintablebodyrightbold"/>
            </w:pPr>
            <w:r w:rsidRPr="00BB35B1">
              <w:t>2,025.8</w:t>
            </w:r>
          </w:p>
        </w:tc>
        <w:tc>
          <w:tcPr>
            <w:tcW w:w="1277" w:type="dxa"/>
            <w:tcBorders>
              <w:top w:val="single" w:sz="4" w:space="0" w:color="auto"/>
              <w:bottom w:val="single" w:sz="4" w:space="0" w:color="auto"/>
            </w:tcBorders>
            <w:noWrap/>
            <w:hideMark/>
          </w:tcPr>
          <w:p w14:paraId="7C4630DF" w14:textId="77777777" w:rsidR="004A2DF7" w:rsidRPr="00BB35B1" w:rsidRDefault="004A2DF7" w:rsidP="00A107DE">
            <w:pPr>
              <w:pStyle w:val="ARfintablebodyrightbold"/>
            </w:pPr>
            <w:r w:rsidRPr="00BB35B1">
              <w:t>1,999.0</w:t>
            </w:r>
          </w:p>
        </w:tc>
      </w:tr>
      <w:tr w:rsidR="004A2DF7" w:rsidRPr="00BB35B1" w14:paraId="5BA8F26F" w14:textId="77777777" w:rsidTr="00E9658B">
        <w:trPr>
          <w:trHeight w:val="20"/>
        </w:trPr>
        <w:tc>
          <w:tcPr>
            <w:tcW w:w="7078" w:type="dxa"/>
            <w:tcBorders>
              <w:top w:val="single" w:sz="4" w:space="0" w:color="auto"/>
              <w:bottom w:val="single" w:sz="4" w:space="0" w:color="auto"/>
            </w:tcBorders>
            <w:hideMark/>
          </w:tcPr>
          <w:p w14:paraId="1550E848" w14:textId="77777777" w:rsidR="004A2DF7" w:rsidRPr="00BB35B1" w:rsidRDefault="004A2DF7" w:rsidP="00A107DE">
            <w:pPr>
              <w:pStyle w:val="ARfintablebodybold"/>
            </w:pPr>
            <w:r w:rsidRPr="00BB35B1">
              <w:t xml:space="preserve">Net result from transactions (net operating balance) </w:t>
            </w:r>
            <w:r w:rsidRPr="00BB35B1">
              <w:rPr>
                <w:vertAlign w:val="superscript"/>
              </w:rPr>
              <w:t>(</w:t>
            </w:r>
            <w:proofErr w:type="spellStart"/>
            <w:r w:rsidRPr="00BB35B1">
              <w:rPr>
                <w:vertAlign w:val="superscript"/>
              </w:rPr>
              <w:t>i</w:t>
            </w:r>
            <w:proofErr w:type="spellEnd"/>
            <w:r w:rsidRPr="00BB35B1">
              <w:rPr>
                <w:vertAlign w:val="superscript"/>
              </w:rPr>
              <w:t>)</w:t>
            </w:r>
          </w:p>
        </w:tc>
        <w:tc>
          <w:tcPr>
            <w:tcW w:w="1277" w:type="dxa"/>
            <w:tcBorders>
              <w:top w:val="single" w:sz="4" w:space="0" w:color="auto"/>
              <w:bottom w:val="single" w:sz="4" w:space="0" w:color="auto"/>
            </w:tcBorders>
            <w:shd w:val="clear" w:color="auto" w:fill="E7E6E6"/>
            <w:noWrap/>
            <w:hideMark/>
          </w:tcPr>
          <w:p w14:paraId="5BEBD524" w14:textId="77777777" w:rsidR="004A2DF7" w:rsidRPr="00BB35B1" w:rsidRDefault="004A2DF7" w:rsidP="00A107DE">
            <w:pPr>
              <w:pStyle w:val="ARfintablebodyrightbold"/>
            </w:pPr>
            <w:r w:rsidRPr="00BB35B1">
              <w:t>(344.4)</w:t>
            </w:r>
          </w:p>
        </w:tc>
        <w:tc>
          <w:tcPr>
            <w:tcW w:w="1277" w:type="dxa"/>
            <w:tcBorders>
              <w:top w:val="single" w:sz="4" w:space="0" w:color="auto"/>
              <w:bottom w:val="single" w:sz="4" w:space="0" w:color="auto"/>
            </w:tcBorders>
            <w:noWrap/>
            <w:hideMark/>
          </w:tcPr>
          <w:p w14:paraId="015CAEC2" w14:textId="77777777" w:rsidR="004A2DF7" w:rsidRPr="00BB35B1" w:rsidRDefault="004A2DF7" w:rsidP="00A107DE">
            <w:pPr>
              <w:pStyle w:val="ARfintablebodyrightbold"/>
            </w:pPr>
            <w:r w:rsidRPr="00BB35B1">
              <w:t>(428.6)</w:t>
            </w:r>
          </w:p>
        </w:tc>
      </w:tr>
      <w:tr w:rsidR="004A2DF7" w:rsidRPr="00BB35B1" w14:paraId="69767E2E" w14:textId="77777777" w:rsidTr="00A107DE">
        <w:trPr>
          <w:trHeight w:val="20"/>
        </w:trPr>
        <w:tc>
          <w:tcPr>
            <w:tcW w:w="7078" w:type="dxa"/>
            <w:tcBorders>
              <w:top w:val="single" w:sz="4" w:space="0" w:color="auto"/>
              <w:bottom w:val="single" w:sz="4" w:space="0" w:color="A6A6A6"/>
            </w:tcBorders>
            <w:hideMark/>
          </w:tcPr>
          <w:p w14:paraId="7B6981BC" w14:textId="77777777" w:rsidR="004A2DF7" w:rsidRPr="00BB35B1" w:rsidRDefault="004A2DF7" w:rsidP="00A107DE">
            <w:pPr>
              <w:pStyle w:val="ARfintablebodyboldcoloured"/>
            </w:pPr>
            <w:r w:rsidRPr="00BB35B1">
              <w:t>Other economic flows included in net result</w:t>
            </w:r>
          </w:p>
        </w:tc>
        <w:tc>
          <w:tcPr>
            <w:tcW w:w="1277" w:type="dxa"/>
            <w:tcBorders>
              <w:top w:val="single" w:sz="4" w:space="0" w:color="auto"/>
              <w:bottom w:val="single" w:sz="4" w:space="0" w:color="A6A6A6"/>
            </w:tcBorders>
            <w:noWrap/>
            <w:hideMark/>
          </w:tcPr>
          <w:p w14:paraId="19A306CE" w14:textId="77777777" w:rsidR="004A2DF7" w:rsidRPr="00BB35B1" w:rsidRDefault="004A2DF7" w:rsidP="00A107DE">
            <w:pPr>
              <w:pStyle w:val="ARfintablebodyright"/>
            </w:pPr>
          </w:p>
        </w:tc>
        <w:tc>
          <w:tcPr>
            <w:tcW w:w="1277" w:type="dxa"/>
            <w:tcBorders>
              <w:top w:val="single" w:sz="4" w:space="0" w:color="auto"/>
              <w:bottom w:val="single" w:sz="4" w:space="0" w:color="A6A6A6"/>
            </w:tcBorders>
            <w:noWrap/>
            <w:hideMark/>
          </w:tcPr>
          <w:p w14:paraId="1E48C9E8" w14:textId="77777777" w:rsidR="004A2DF7" w:rsidRPr="00BB35B1" w:rsidRDefault="004A2DF7" w:rsidP="00A107DE">
            <w:pPr>
              <w:pStyle w:val="ARfintablebodyright"/>
            </w:pPr>
          </w:p>
        </w:tc>
      </w:tr>
      <w:tr w:rsidR="004A2DF7" w:rsidRPr="00BB35B1" w14:paraId="0D724A19" w14:textId="77777777" w:rsidTr="00E9658B">
        <w:trPr>
          <w:trHeight w:val="20"/>
        </w:trPr>
        <w:tc>
          <w:tcPr>
            <w:tcW w:w="7078" w:type="dxa"/>
            <w:tcBorders>
              <w:top w:val="single" w:sz="4" w:space="0" w:color="A6A6A6"/>
              <w:bottom w:val="single" w:sz="4" w:space="0" w:color="A6A6A6"/>
            </w:tcBorders>
            <w:hideMark/>
          </w:tcPr>
          <w:p w14:paraId="01D38DB2" w14:textId="77777777" w:rsidR="004A2DF7" w:rsidRPr="00BB35B1" w:rsidRDefault="004A2DF7" w:rsidP="00A107DE">
            <w:pPr>
              <w:pStyle w:val="ARfintablebody"/>
            </w:pPr>
            <w:r w:rsidRPr="00BB35B1">
              <w:t xml:space="preserve">Net gain/(loss) on non-financial assets </w:t>
            </w:r>
          </w:p>
        </w:tc>
        <w:tc>
          <w:tcPr>
            <w:tcW w:w="1277" w:type="dxa"/>
            <w:tcBorders>
              <w:top w:val="single" w:sz="4" w:space="0" w:color="A6A6A6"/>
              <w:bottom w:val="single" w:sz="4" w:space="0" w:color="A6A6A6"/>
            </w:tcBorders>
            <w:shd w:val="clear" w:color="auto" w:fill="E7E6E6"/>
            <w:noWrap/>
            <w:hideMark/>
          </w:tcPr>
          <w:p w14:paraId="2BEF971E" w14:textId="77777777" w:rsidR="004A2DF7" w:rsidRPr="00BB35B1" w:rsidRDefault="004A2DF7" w:rsidP="00A107DE">
            <w:pPr>
              <w:pStyle w:val="ARfintablebodyright"/>
            </w:pPr>
            <w:r w:rsidRPr="00BB35B1">
              <w:t>(9.9)</w:t>
            </w:r>
          </w:p>
        </w:tc>
        <w:tc>
          <w:tcPr>
            <w:tcW w:w="1277" w:type="dxa"/>
            <w:tcBorders>
              <w:top w:val="single" w:sz="4" w:space="0" w:color="A6A6A6"/>
              <w:bottom w:val="single" w:sz="4" w:space="0" w:color="A6A6A6"/>
            </w:tcBorders>
            <w:noWrap/>
            <w:hideMark/>
          </w:tcPr>
          <w:p w14:paraId="21852F3F" w14:textId="77777777" w:rsidR="004A2DF7" w:rsidRPr="00BB35B1" w:rsidRDefault="004A2DF7" w:rsidP="00A107DE">
            <w:pPr>
              <w:pStyle w:val="ARfintablebodyright"/>
            </w:pPr>
            <w:r w:rsidRPr="00BB35B1">
              <w:t>(14.3)</w:t>
            </w:r>
          </w:p>
        </w:tc>
      </w:tr>
      <w:tr w:rsidR="004A2DF7" w:rsidRPr="00BB35B1" w14:paraId="5A0F1EBE" w14:textId="77777777" w:rsidTr="00E9658B">
        <w:trPr>
          <w:trHeight w:val="20"/>
        </w:trPr>
        <w:tc>
          <w:tcPr>
            <w:tcW w:w="7078" w:type="dxa"/>
            <w:tcBorders>
              <w:top w:val="single" w:sz="4" w:space="0" w:color="A6A6A6"/>
              <w:bottom w:val="single" w:sz="4" w:space="0" w:color="auto"/>
            </w:tcBorders>
            <w:hideMark/>
          </w:tcPr>
          <w:p w14:paraId="74915C1F" w14:textId="77777777" w:rsidR="004A2DF7" w:rsidRPr="00BB35B1" w:rsidRDefault="004A2DF7" w:rsidP="00A107DE">
            <w:pPr>
              <w:pStyle w:val="ARfintablebody"/>
            </w:pPr>
            <w:r w:rsidRPr="00BB35B1">
              <w:t>Other gains/(losses) from other economic flows</w:t>
            </w:r>
          </w:p>
        </w:tc>
        <w:tc>
          <w:tcPr>
            <w:tcW w:w="1277" w:type="dxa"/>
            <w:tcBorders>
              <w:top w:val="single" w:sz="4" w:space="0" w:color="A6A6A6"/>
              <w:bottom w:val="single" w:sz="4" w:space="0" w:color="auto"/>
            </w:tcBorders>
            <w:shd w:val="clear" w:color="auto" w:fill="E7E6E6"/>
            <w:noWrap/>
            <w:hideMark/>
          </w:tcPr>
          <w:p w14:paraId="07881690" w14:textId="77777777" w:rsidR="004A2DF7" w:rsidRPr="00BB35B1" w:rsidRDefault="004A2DF7" w:rsidP="00A107DE">
            <w:pPr>
              <w:pStyle w:val="ARfintablebodyright"/>
            </w:pPr>
            <w:r w:rsidRPr="00BB35B1">
              <w:t>(5.4)</w:t>
            </w:r>
          </w:p>
        </w:tc>
        <w:tc>
          <w:tcPr>
            <w:tcW w:w="1277" w:type="dxa"/>
            <w:tcBorders>
              <w:top w:val="single" w:sz="4" w:space="0" w:color="A6A6A6"/>
              <w:bottom w:val="single" w:sz="4" w:space="0" w:color="auto"/>
            </w:tcBorders>
            <w:noWrap/>
            <w:hideMark/>
          </w:tcPr>
          <w:p w14:paraId="0AD64B30" w14:textId="77777777" w:rsidR="004A2DF7" w:rsidRPr="00BB35B1" w:rsidRDefault="004A2DF7" w:rsidP="00A107DE">
            <w:pPr>
              <w:pStyle w:val="ARfintablebodyright"/>
            </w:pPr>
            <w:r w:rsidRPr="00BB35B1">
              <w:t>(2.8)</w:t>
            </w:r>
          </w:p>
        </w:tc>
      </w:tr>
      <w:tr w:rsidR="004A2DF7" w:rsidRPr="00BB35B1" w14:paraId="5709BA46" w14:textId="77777777" w:rsidTr="00E9658B">
        <w:trPr>
          <w:trHeight w:val="20"/>
        </w:trPr>
        <w:tc>
          <w:tcPr>
            <w:tcW w:w="7078" w:type="dxa"/>
            <w:tcBorders>
              <w:top w:val="single" w:sz="4" w:space="0" w:color="auto"/>
              <w:bottom w:val="single" w:sz="4" w:space="0" w:color="auto"/>
            </w:tcBorders>
            <w:hideMark/>
          </w:tcPr>
          <w:p w14:paraId="111B429B" w14:textId="77777777" w:rsidR="004A2DF7" w:rsidRPr="00BB35B1" w:rsidRDefault="004A2DF7" w:rsidP="00A107DE">
            <w:pPr>
              <w:pStyle w:val="ARfintablebodybold"/>
            </w:pPr>
            <w:r w:rsidRPr="00BB35B1">
              <w:t>Total other economic flows included in net result</w:t>
            </w:r>
          </w:p>
        </w:tc>
        <w:tc>
          <w:tcPr>
            <w:tcW w:w="1277" w:type="dxa"/>
            <w:tcBorders>
              <w:top w:val="single" w:sz="4" w:space="0" w:color="auto"/>
              <w:bottom w:val="single" w:sz="4" w:space="0" w:color="auto"/>
            </w:tcBorders>
            <w:shd w:val="clear" w:color="auto" w:fill="E7E6E6"/>
            <w:noWrap/>
            <w:hideMark/>
          </w:tcPr>
          <w:p w14:paraId="5DD6F725" w14:textId="77777777" w:rsidR="004A2DF7" w:rsidRPr="00BB35B1" w:rsidRDefault="004A2DF7" w:rsidP="00A107DE">
            <w:pPr>
              <w:pStyle w:val="ARfintablebodyrightbold"/>
            </w:pPr>
            <w:r w:rsidRPr="00BB35B1">
              <w:t>(15.3)</w:t>
            </w:r>
          </w:p>
        </w:tc>
        <w:tc>
          <w:tcPr>
            <w:tcW w:w="1277" w:type="dxa"/>
            <w:tcBorders>
              <w:top w:val="single" w:sz="4" w:space="0" w:color="auto"/>
              <w:bottom w:val="single" w:sz="4" w:space="0" w:color="auto"/>
            </w:tcBorders>
            <w:noWrap/>
            <w:hideMark/>
          </w:tcPr>
          <w:p w14:paraId="1AD4212F" w14:textId="77777777" w:rsidR="004A2DF7" w:rsidRPr="00BB35B1" w:rsidRDefault="004A2DF7" w:rsidP="00A107DE">
            <w:pPr>
              <w:pStyle w:val="ARfintablebodyrightbold"/>
            </w:pPr>
            <w:r w:rsidRPr="00BB35B1">
              <w:t>(17.1)</w:t>
            </w:r>
          </w:p>
        </w:tc>
      </w:tr>
      <w:tr w:rsidR="004A2DF7" w:rsidRPr="00BB35B1" w14:paraId="192DDA8A" w14:textId="77777777" w:rsidTr="00E9658B">
        <w:trPr>
          <w:trHeight w:val="20"/>
        </w:trPr>
        <w:tc>
          <w:tcPr>
            <w:tcW w:w="7078" w:type="dxa"/>
            <w:tcBorders>
              <w:top w:val="single" w:sz="4" w:space="0" w:color="auto"/>
              <w:bottom w:val="single" w:sz="4" w:space="0" w:color="auto"/>
            </w:tcBorders>
            <w:hideMark/>
          </w:tcPr>
          <w:p w14:paraId="2B3C0418" w14:textId="77777777" w:rsidR="004A2DF7" w:rsidRPr="00BB35B1" w:rsidRDefault="004A2DF7" w:rsidP="00A107DE">
            <w:pPr>
              <w:pStyle w:val="ARfintablebodybold"/>
            </w:pPr>
            <w:r w:rsidRPr="00BB35B1">
              <w:t>Net result</w:t>
            </w:r>
          </w:p>
        </w:tc>
        <w:tc>
          <w:tcPr>
            <w:tcW w:w="1277" w:type="dxa"/>
            <w:tcBorders>
              <w:top w:val="single" w:sz="4" w:space="0" w:color="auto"/>
              <w:bottom w:val="single" w:sz="4" w:space="0" w:color="auto"/>
            </w:tcBorders>
            <w:shd w:val="clear" w:color="auto" w:fill="E7E6E6"/>
            <w:noWrap/>
            <w:hideMark/>
          </w:tcPr>
          <w:p w14:paraId="3875DF71" w14:textId="77777777" w:rsidR="004A2DF7" w:rsidRPr="00BB35B1" w:rsidRDefault="004A2DF7" w:rsidP="00A107DE">
            <w:pPr>
              <w:pStyle w:val="ARfintablebodyrightbold"/>
            </w:pPr>
            <w:r w:rsidRPr="00BB35B1">
              <w:t>(359.7)</w:t>
            </w:r>
          </w:p>
        </w:tc>
        <w:tc>
          <w:tcPr>
            <w:tcW w:w="1277" w:type="dxa"/>
            <w:tcBorders>
              <w:top w:val="single" w:sz="4" w:space="0" w:color="auto"/>
              <w:bottom w:val="single" w:sz="4" w:space="0" w:color="auto"/>
            </w:tcBorders>
            <w:noWrap/>
            <w:hideMark/>
          </w:tcPr>
          <w:p w14:paraId="1D09B9E9" w14:textId="77777777" w:rsidR="004A2DF7" w:rsidRPr="00BB35B1" w:rsidRDefault="004A2DF7" w:rsidP="00A107DE">
            <w:pPr>
              <w:pStyle w:val="ARfintablebodyrightbold"/>
            </w:pPr>
            <w:r w:rsidRPr="00BB35B1">
              <w:t>(445.7)</w:t>
            </w:r>
          </w:p>
        </w:tc>
      </w:tr>
      <w:tr w:rsidR="004A2DF7" w:rsidRPr="00BB35B1" w14:paraId="0A426D8A" w14:textId="77777777" w:rsidTr="00E9658B">
        <w:trPr>
          <w:trHeight w:val="20"/>
        </w:trPr>
        <w:tc>
          <w:tcPr>
            <w:tcW w:w="7078" w:type="dxa"/>
            <w:tcBorders>
              <w:top w:val="single" w:sz="4" w:space="0" w:color="auto"/>
              <w:bottom w:val="single" w:sz="4" w:space="0" w:color="A6A6A6"/>
            </w:tcBorders>
            <w:hideMark/>
          </w:tcPr>
          <w:p w14:paraId="0F25B122" w14:textId="77777777" w:rsidR="004A2DF7" w:rsidRPr="00BB35B1" w:rsidRDefault="004A2DF7" w:rsidP="00A107DE">
            <w:pPr>
              <w:pStyle w:val="ARfintablebodyboldcoloured"/>
            </w:pPr>
            <w:r w:rsidRPr="00BB35B1">
              <w:t>Other economic flows – other comprehensive income</w:t>
            </w:r>
          </w:p>
        </w:tc>
        <w:tc>
          <w:tcPr>
            <w:tcW w:w="1277" w:type="dxa"/>
            <w:tcBorders>
              <w:top w:val="single" w:sz="4" w:space="0" w:color="auto"/>
              <w:bottom w:val="single" w:sz="4" w:space="0" w:color="A6A6A6"/>
            </w:tcBorders>
            <w:noWrap/>
            <w:hideMark/>
          </w:tcPr>
          <w:p w14:paraId="34092664" w14:textId="77777777" w:rsidR="004A2DF7" w:rsidRPr="00BB35B1" w:rsidRDefault="004A2DF7">
            <w:pPr>
              <w:suppressAutoHyphens/>
              <w:spacing w:before="40" w:after="20"/>
              <w:ind w:right="113"/>
              <w:jc w:val="right"/>
              <w:rPr>
                <w:rFonts w:eastAsia="MS Mincho"/>
                <w:color w:val="000000"/>
                <w:sz w:val="18"/>
                <w:szCs w:val="16"/>
              </w:rPr>
            </w:pPr>
          </w:p>
        </w:tc>
        <w:tc>
          <w:tcPr>
            <w:tcW w:w="1277" w:type="dxa"/>
            <w:tcBorders>
              <w:top w:val="single" w:sz="4" w:space="0" w:color="auto"/>
              <w:bottom w:val="single" w:sz="4" w:space="0" w:color="A6A6A6"/>
            </w:tcBorders>
            <w:noWrap/>
            <w:hideMark/>
          </w:tcPr>
          <w:p w14:paraId="5E129747" w14:textId="77777777" w:rsidR="004A2DF7" w:rsidRPr="00BB35B1" w:rsidRDefault="004A2DF7">
            <w:pPr>
              <w:suppressAutoHyphens/>
              <w:spacing w:before="40" w:after="20"/>
              <w:ind w:right="113"/>
              <w:jc w:val="right"/>
              <w:rPr>
                <w:rFonts w:eastAsia="MS Mincho"/>
                <w:color w:val="000000"/>
                <w:sz w:val="18"/>
                <w:szCs w:val="16"/>
              </w:rPr>
            </w:pPr>
          </w:p>
        </w:tc>
      </w:tr>
      <w:tr w:rsidR="004A2DF7" w:rsidRPr="00BB35B1" w14:paraId="00B290E9" w14:textId="77777777" w:rsidTr="00A107DE">
        <w:trPr>
          <w:trHeight w:val="20"/>
        </w:trPr>
        <w:tc>
          <w:tcPr>
            <w:tcW w:w="7078" w:type="dxa"/>
            <w:tcBorders>
              <w:top w:val="single" w:sz="4" w:space="0" w:color="A6A6A6"/>
            </w:tcBorders>
            <w:hideMark/>
          </w:tcPr>
          <w:p w14:paraId="31710C71" w14:textId="77777777" w:rsidR="004A2DF7" w:rsidRPr="00BB35B1" w:rsidRDefault="004A2DF7" w:rsidP="00A107DE">
            <w:pPr>
              <w:pStyle w:val="ARfintablebodybold"/>
            </w:pPr>
            <w:r w:rsidRPr="00BB35B1">
              <w:t>Items that will not be reclassified to net result</w:t>
            </w:r>
          </w:p>
        </w:tc>
        <w:tc>
          <w:tcPr>
            <w:tcW w:w="1277" w:type="dxa"/>
            <w:tcBorders>
              <w:top w:val="single" w:sz="4" w:space="0" w:color="A6A6A6"/>
            </w:tcBorders>
            <w:noWrap/>
            <w:hideMark/>
          </w:tcPr>
          <w:p w14:paraId="58F72590" w14:textId="77777777" w:rsidR="004A2DF7" w:rsidRPr="00BB35B1" w:rsidRDefault="004A2DF7">
            <w:pPr>
              <w:suppressAutoHyphens/>
              <w:spacing w:before="40" w:after="20"/>
              <w:ind w:right="113"/>
              <w:jc w:val="right"/>
              <w:rPr>
                <w:rFonts w:eastAsia="MS Mincho"/>
                <w:color w:val="000000"/>
                <w:sz w:val="18"/>
                <w:szCs w:val="16"/>
              </w:rPr>
            </w:pPr>
          </w:p>
        </w:tc>
        <w:tc>
          <w:tcPr>
            <w:tcW w:w="1277" w:type="dxa"/>
            <w:tcBorders>
              <w:top w:val="single" w:sz="4" w:space="0" w:color="A6A6A6"/>
            </w:tcBorders>
            <w:noWrap/>
            <w:hideMark/>
          </w:tcPr>
          <w:p w14:paraId="1C68EF57" w14:textId="77777777" w:rsidR="004A2DF7" w:rsidRPr="00BB35B1" w:rsidRDefault="004A2DF7">
            <w:pPr>
              <w:suppressAutoHyphens/>
              <w:spacing w:before="40" w:after="20"/>
              <w:ind w:right="113"/>
              <w:jc w:val="right"/>
              <w:rPr>
                <w:rFonts w:eastAsia="MS Mincho"/>
                <w:color w:val="000000"/>
                <w:sz w:val="18"/>
                <w:szCs w:val="16"/>
              </w:rPr>
            </w:pPr>
          </w:p>
        </w:tc>
      </w:tr>
      <w:tr w:rsidR="004A2DF7" w:rsidRPr="00BB35B1" w14:paraId="59D5701D" w14:textId="77777777" w:rsidTr="00E9658B">
        <w:trPr>
          <w:trHeight w:val="20"/>
        </w:trPr>
        <w:tc>
          <w:tcPr>
            <w:tcW w:w="7078" w:type="dxa"/>
            <w:tcBorders>
              <w:bottom w:val="single" w:sz="4" w:space="0" w:color="A6A6A6"/>
            </w:tcBorders>
            <w:hideMark/>
          </w:tcPr>
          <w:p w14:paraId="5D6DE5E0" w14:textId="77777777" w:rsidR="004A2DF7" w:rsidRPr="00BB35B1" w:rsidRDefault="004A2DF7" w:rsidP="00A107DE">
            <w:pPr>
              <w:pStyle w:val="ARfintablebody"/>
            </w:pPr>
            <w:r w:rsidRPr="00BB35B1">
              <w:t xml:space="preserve">Changes in physical asset revaluation surplus </w:t>
            </w:r>
            <w:r w:rsidRPr="00BB35B1">
              <w:rPr>
                <w:vertAlign w:val="superscript"/>
              </w:rPr>
              <w:t>(ii)</w:t>
            </w:r>
          </w:p>
        </w:tc>
        <w:tc>
          <w:tcPr>
            <w:tcW w:w="1277" w:type="dxa"/>
            <w:tcBorders>
              <w:bottom w:val="single" w:sz="4" w:space="0" w:color="A6A6A6"/>
            </w:tcBorders>
            <w:shd w:val="clear" w:color="auto" w:fill="E7E6E6"/>
            <w:noWrap/>
            <w:hideMark/>
          </w:tcPr>
          <w:p w14:paraId="5C18BB29" w14:textId="77777777" w:rsidR="004A2DF7" w:rsidRPr="00BB35B1" w:rsidRDefault="004A2DF7" w:rsidP="00A107DE">
            <w:pPr>
              <w:pStyle w:val="ARfintablebodyright"/>
            </w:pPr>
            <w:r w:rsidRPr="00BB35B1">
              <w:t>4.2</w:t>
            </w:r>
          </w:p>
        </w:tc>
        <w:tc>
          <w:tcPr>
            <w:tcW w:w="1277" w:type="dxa"/>
            <w:tcBorders>
              <w:bottom w:val="single" w:sz="4" w:space="0" w:color="A6A6A6"/>
            </w:tcBorders>
            <w:noWrap/>
            <w:hideMark/>
          </w:tcPr>
          <w:p w14:paraId="3BD0F1B5" w14:textId="77777777" w:rsidR="004A2DF7" w:rsidRPr="00BB35B1" w:rsidRDefault="004A2DF7" w:rsidP="00A107DE">
            <w:pPr>
              <w:pStyle w:val="ARfintablebodyright"/>
            </w:pPr>
            <w:r w:rsidRPr="00BB35B1">
              <w:t>1,238.9</w:t>
            </w:r>
          </w:p>
        </w:tc>
      </w:tr>
      <w:tr w:rsidR="004A2DF7" w:rsidRPr="00BB35B1" w14:paraId="7B54D5F6" w14:textId="77777777" w:rsidTr="00E9658B">
        <w:trPr>
          <w:trHeight w:val="20"/>
        </w:trPr>
        <w:tc>
          <w:tcPr>
            <w:tcW w:w="7078" w:type="dxa"/>
            <w:tcBorders>
              <w:top w:val="single" w:sz="4" w:space="0" w:color="A6A6A6"/>
              <w:bottom w:val="single" w:sz="4" w:space="0" w:color="auto"/>
            </w:tcBorders>
            <w:hideMark/>
          </w:tcPr>
          <w:p w14:paraId="6C3AEDB0" w14:textId="77777777" w:rsidR="004A2DF7" w:rsidRPr="00BB35B1" w:rsidRDefault="004A2DF7" w:rsidP="00A107DE">
            <w:pPr>
              <w:pStyle w:val="ARfintablebody"/>
            </w:pPr>
            <w:r w:rsidRPr="00BB35B1">
              <w:t>Remeasurement of superannuation defined benefit plans</w:t>
            </w:r>
          </w:p>
        </w:tc>
        <w:tc>
          <w:tcPr>
            <w:tcW w:w="1277" w:type="dxa"/>
            <w:tcBorders>
              <w:top w:val="single" w:sz="4" w:space="0" w:color="A6A6A6"/>
              <w:bottom w:val="single" w:sz="4" w:space="0" w:color="auto"/>
            </w:tcBorders>
            <w:shd w:val="clear" w:color="auto" w:fill="E7E6E6"/>
            <w:noWrap/>
            <w:hideMark/>
          </w:tcPr>
          <w:p w14:paraId="2BBD5B05" w14:textId="77777777" w:rsidR="004A2DF7" w:rsidRPr="00BB35B1" w:rsidRDefault="004A2DF7" w:rsidP="00A107DE">
            <w:pPr>
              <w:pStyle w:val="ARfintablebodyright"/>
            </w:pPr>
            <w:r w:rsidRPr="00BB35B1">
              <w:t>(1.2)</w:t>
            </w:r>
          </w:p>
        </w:tc>
        <w:tc>
          <w:tcPr>
            <w:tcW w:w="1277" w:type="dxa"/>
            <w:tcBorders>
              <w:top w:val="single" w:sz="4" w:space="0" w:color="A6A6A6"/>
              <w:bottom w:val="single" w:sz="4" w:space="0" w:color="auto"/>
            </w:tcBorders>
            <w:noWrap/>
            <w:hideMark/>
          </w:tcPr>
          <w:p w14:paraId="1A599FD1" w14:textId="77777777" w:rsidR="004A2DF7" w:rsidRPr="00BB35B1" w:rsidRDefault="004A2DF7" w:rsidP="00A107DE">
            <w:pPr>
              <w:pStyle w:val="ARfintablebodyright"/>
            </w:pPr>
            <w:r w:rsidRPr="00BB35B1">
              <w:t>2.0</w:t>
            </w:r>
          </w:p>
        </w:tc>
      </w:tr>
      <w:tr w:rsidR="004A2DF7" w:rsidRPr="00BB35B1" w14:paraId="738C16EE" w14:textId="77777777" w:rsidTr="00E9658B">
        <w:trPr>
          <w:trHeight w:val="20"/>
        </w:trPr>
        <w:tc>
          <w:tcPr>
            <w:tcW w:w="7078" w:type="dxa"/>
            <w:tcBorders>
              <w:top w:val="single" w:sz="4" w:space="0" w:color="auto"/>
              <w:bottom w:val="single" w:sz="4" w:space="0" w:color="auto"/>
            </w:tcBorders>
            <w:hideMark/>
          </w:tcPr>
          <w:p w14:paraId="00A131B0" w14:textId="77777777" w:rsidR="004A2DF7" w:rsidRPr="00BB35B1" w:rsidRDefault="004A2DF7" w:rsidP="004F0449">
            <w:pPr>
              <w:pStyle w:val="ARfintablebodybold"/>
            </w:pPr>
            <w:r w:rsidRPr="00BB35B1">
              <w:t>Total other economic flows – other comprehensive income</w:t>
            </w:r>
          </w:p>
        </w:tc>
        <w:tc>
          <w:tcPr>
            <w:tcW w:w="1277" w:type="dxa"/>
            <w:tcBorders>
              <w:top w:val="single" w:sz="4" w:space="0" w:color="auto"/>
              <w:bottom w:val="single" w:sz="4" w:space="0" w:color="auto"/>
            </w:tcBorders>
            <w:shd w:val="clear" w:color="auto" w:fill="E7E6E6"/>
            <w:noWrap/>
            <w:hideMark/>
          </w:tcPr>
          <w:p w14:paraId="42FBCF08" w14:textId="77777777" w:rsidR="004A2DF7" w:rsidRPr="00BB35B1" w:rsidRDefault="004A2DF7" w:rsidP="00A107DE">
            <w:pPr>
              <w:pStyle w:val="ARfintablebodyrightbold"/>
            </w:pPr>
            <w:r w:rsidRPr="00BB35B1">
              <w:t>3.0</w:t>
            </w:r>
          </w:p>
        </w:tc>
        <w:tc>
          <w:tcPr>
            <w:tcW w:w="1277" w:type="dxa"/>
            <w:tcBorders>
              <w:top w:val="single" w:sz="4" w:space="0" w:color="auto"/>
              <w:bottom w:val="single" w:sz="4" w:space="0" w:color="auto"/>
            </w:tcBorders>
            <w:noWrap/>
            <w:hideMark/>
          </w:tcPr>
          <w:p w14:paraId="5142322F" w14:textId="77777777" w:rsidR="004A2DF7" w:rsidRPr="00BB35B1" w:rsidRDefault="004A2DF7" w:rsidP="00A107DE">
            <w:pPr>
              <w:pStyle w:val="ARfintablebodyrightbold"/>
            </w:pPr>
            <w:r w:rsidRPr="00BB35B1">
              <w:t>1,240.9</w:t>
            </w:r>
          </w:p>
        </w:tc>
      </w:tr>
      <w:tr w:rsidR="004A2DF7" w:rsidRPr="00BB35B1" w14:paraId="456D101C" w14:textId="77777777" w:rsidTr="00E9658B">
        <w:trPr>
          <w:cnfStyle w:val="010000000000" w:firstRow="0" w:lastRow="1" w:firstColumn="0" w:lastColumn="0" w:oddVBand="0" w:evenVBand="0" w:oddHBand="0" w:evenHBand="0" w:firstRowFirstColumn="0" w:firstRowLastColumn="0" w:lastRowFirstColumn="0" w:lastRowLastColumn="0"/>
          <w:trHeight w:val="20"/>
        </w:trPr>
        <w:tc>
          <w:tcPr>
            <w:tcW w:w="7078" w:type="dxa"/>
            <w:tcBorders>
              <w:top w:val="single" w:sz="4" w:space="0" w:color="auto"/>
            </w:tcBorders>
            <w:hideMark/>
          </w:tcPr>
          <w:p w14:paraId="60588AD7" w14:textId="77777777" w:rsidR="004A2DF7" w:rsidRPr="00BB35B1" w:rsidRDefault="004A2DF7" w:rsidP="004F0449">
            <w:pPr>
              <w:pStyle w:val="ARfintablebodybold"/>
            </w:pPr>
            <w:r w:rsidRPr="00BB35B1">
              <w:t>Comprehensive result</w:t>
            </w:r>
          </w:p>
        </w:tc>
        <w:tc>
          <w:tcPr>
            <w:tcW w:w="1277" w:type="dxa"/>
            <w:tcBorders>
              <w:top w:val="single" w:sz="4" w:space="0" w:color="auto"/>
            </w:tcBorders>
            <w:shd w:val="clear" w:color="auto" w:fill="E7E6E6"/>
            <w:noWrap/>
            <w:hideMark/>
          </w:tcPr>
          <w:p w14:paraId="3FD346FA" w14:textId="77777777" w:rsidR="004A2DF7" w:rsidRPr="00BB35B1" w:rsidRDefault="004A2DF7" w:rsidP="00A107DE">
            <w:pPr>
              <w:pStyle w:val="ARfintablebodyrightbold"/>
            </w:pPr>
            <w:r w:rsidRPr="00BB35B1">
              <w:t>(356.7)</w:t>
            </w:r>
          </w:p>
        </w:tc>
        <w:tc>
          <w:tcPr>
            <w:tcW w:w="1277" w:type="dxa"/>
            <w:tcBorders>
              <w:top w:val="single" w:sz="4" w:space="0" w:color="auto"/>
            </w:tcBorders>
            <w:noWrap/>
            <w:hideMark/>
          </w:tcPr>
          <w:p w14:paraId="2756BBBD" w14:textId="77777777" w:rsidR="004A2DF7" w:rsidRPr="00BB35B1" w:rsidRDefault="004A2DF7" w:rsidP="00A107DE">
            <w:pPr>
              <w:pStyle w:val="ARfintablebodyrightbold"/>
            </w:pPr>
            <w:r w:rsidRPr="00BB35B1">
              <w:t>795.2</w:t>
            </w:r>
          </w:p>
        </w:tc>
      </w:tr>
    </w:tbl>
    <w:p w14:paraId="040FE2D5" w14:textId="77777777" w:rsidR="004A2DF7" w:rsidRPr="00BB35B1" w:rsidRDefault="004A2DF7" w:rsidP="00503DF2">
      <w:pPr>
        <w:pStyle w:val="ARfintablefootnote"/>
      </w:pPr>
      <w:r w:rsidRPr="00BB35B1">
        <w:t>Notes:</w:t>
      </w:r>
    </w:p>
    <w:p w14:paraId="707DC4FE" w14:textId="28C100C1" w:rsidR="004A2DF7" w:rsidRPr="00AD0481" w:rsidRDefault="00503DF2" w:rsidP="00503DF2">
      <w:pPr>
        <w:pStyle w:val="ARfintablefootnoteindent"/>
      </w:pPr>
      <w:r>
        <w:t>(</w:t>
      </w:r>
      <w:proofErr w:type="spellStart"/>
      <w:r>
        <w:t>i</w:t>
      </w:r>
      <w:proofErr w:type="spellEnd"/>
      <w:r>
        <w:t>)</w:t>
      </w:r>
      <w:r>
        <w:tab/>
      </w:r>
      <w:r w:rsidR="004A2DF7" w:rsidRPr="00AD0481">
        <w:t xml:space="preserve">The 2024–25 net result from transactions is a deficit of $344.4 million. This includes a non-cash depreciation and amortisation charge of $490.7 million on homes owned by Homes Victoria. The net operating result from transactions (excluding depreciation and amortisation) is a surplus of $146.3 million due to the timing of government investment </w:t>
      </w:r>
      <w:r w:rsidR="004A2DF7" w:rsidRPr="00AD0481">
        <w:rPr>
          <w:szCs w:val="16"/>
        </w:rPr>
        <w:t>to grow social and affordable housing in</w:t>
      </w:r>
      <w:r w:rsidR="004F0449">
        <w:rPr>
          <w:szCs w:val="16"/>
        </w:rPr>
        <w:t> </w:t>
      </w:r>
      <w:r w:rsidR="004A2DF7" w:rsidRPr="00AD0481">
        <w:rPr>
          <w:szCs w:val="16"/>
        </w:rPr>
        <w:t>Victoria.</w:t>
      </w:r>
    </w:p>
    <w:p w14:paraId="74F8621C" w14:textId="2DEC384E" w:rsidR="004A2DF7" w:rsidRPr="00CB5074" w:rsidRDefault="00503DF2" w:rsidP="003C0DB0">
      <w:pPr>
        <w:pStyle w:val="ARfintablefootnoteindent"/>
        <w:rPr>
          <w:rFonts w:eastAsia="MS PGothic" w:cs="Arial"/>
          <w:highlight w:val="green"/>
        </w:rPr>
      </w:pPr>
      <w:r>
        <w:t>(ii)</w:t>
      </w:r>
      <w:r>
        <w:tab/>
      </w:r>
      <w:r w:rsidR="004A2DF7" w:rsidRPr="00AD0481">
        <w:t>The 2023–24 change in the physical asset revaluation surplus reflects the outcomes of the scheduled land and building revaluation undertaken in 2023–24.</w:t>
      </w:r>
      <w:r w:rsidR="004A2DF7" w:rsidRPr="00CB5074">
        <w:rPr>
          <w:rFonts w:eastAsia="MS PGothic" w:cs="Arial"/>
          <w:highlight w:val="green"/>
        </w:rPr>
        <w:br w:type="page"/>
      </w:r>
    </w:p>
    <w:p w14:paraId="77D8B0B9" w14:textId="77777777" w:rsidR="004A2DF7" w:rsidRPr="00BB35B1" w:rsidRDefault="004A2DF7" w:rsidP="000F4DD4">
      <w:pPr>
        <w:pStyle w:val="Heading3"/>
        <w:spacing w:before="0"/>
      </w:pPr>
      <w:bookmarkStart w:id="305" w:name="_Ref112754402"/>
      <w:bookmarkStart w:id="306" w:name="_Ref146707944"/>
      <w:r w:rsidRPr="00BB35B1">
        <w:lastRenderedPageBreak/>
        <w:t xml:space="preserve">Balance sheet as </w:t>
      </w:r>
      <w:proofErr w:type="gramStart"/>
      <w:r w:rsidRPr="00BB35B1">
        <w:t>at</w:t>
      </w:r>
      <w:proofErr w:type="gramEnd"/>
      <w:r w:rsidRPr="00BB35B1">
        <w:t xml:space="preserve"> 30 June 202</w:t>
      </w:r>
      <w:bookmarkEnd w:id="305"/>
      <w:bookmarkEnd w:id="306"/>
      <w:r w:rsidRPr="00BB35B1">
        <w:t>5</w:t>
      </w:r>
    </w:p>
    <w:tbl>
      <w:tblPr>
        <w:tblStyle w:val="TableGrid"/>
        <w:tblW w:w="0" w:type="auto"/>
        <w:tblLayout w:type="fixed"/>
        <w:tblLook w:val="00E0" w:firstRow="1" w:lastRow="1" w:firstColumn="1" w:lastColumn="0" w:noHBand="0" w:noVBand="0"/>
      </w:tblPr>
      <w:tblGrid>
        <w:gridCol w:w="7078"/>
        <w:gridCol w:w="1277"/>
        <w:gridCol w:w="1277"/>
      </w:tblGrid>
      <w:tr w:rsidR="004A2DF7" w:rsidRPr="00BB35B1" w14:paraId="627161CE" w14:textId="77777777" w:rsidTr="004F0449">
        <w:trPr>
          <w:cnfStyle w:val="100000000000" w:firstRow="1" w:lastRow="0" w:firstColumn="0" w:lastColumn="0" w:oddVBand="0" w:evenVBand="0" w:oddHBand="0" w:evenHBand="0" w:firstRowFirstColumn="0" w:firstRowLastColumn="0" w:lastRowFirstColumn="0" w:lastRowLastColumn="0"/>
          <w:trHeight w:val="20"/>
          <w:tblHeader/>
        </w:trPr>
        <w:tc>
          <w:tcPr>
            <w:tcW w:w="7078" w:type="dxa"/>
            <w:noWrap/>
            <w:hideMark/>
          </w:tcPr>
          <w:p w14:paraId="4F00A06B" w14:textId="77777777" w:rsidR="004A2DF7" w:rsidRPr="00BB35B1" w:rsidRDefault="004A2DF7" w:rsidP="004F0449">
            <w:pPr>
              <w:pStyle w:val="ARfintablecolhead"/>
            </w:pPr>
          </w:p>
        </w:tc>
        <w:tc>
          <w:tcPr>
            <w:cnfStyle w:val="000001000000" w:firstRow="0" w:lastRow="0" w:firstColumn="0" w:lastColumn="0" w:oddVBand="0" w:evenVBand="1" w:oddHBand="0" w:evenHBand="0" w:firstRowFirstColumn="0" w:firstRowLastColumn="0" w:lastRowFirstColumn="0" w:lastRowLastColumn="0"/>
            <w:tcW w:w="1277" w:type="dxa"/>
            <w:noWrap/>
            <w:hideMark/>
          </w:tcPr>
          <w:p w14:paraId="66170269" w14:textId="77777777" w:rsidR="004A2DF7" w:rsidRPr="00BB35B1" w:rsidRDefault="004A2DF7" w:rsidP="00B01D55">
            <w:pPr>
              <w:pStyle w:val="ARfintablecolheadright"/>
            </w:pPr>
            <w:r w:rsidRPr="00BB35B1">
              <w:t>2025</w:t>
            </w:r>
          </w:p>
          <w:p w14:paraId="1BC4524F" w14:textId="77777777" w:rsidR="004A2DF7" w:rsidRPr="00BB35B1" w:rsidRDefault="004A2DF7" w:rsidP="00B01D55">
            <w:pPr>
              <w:pStyle w:val="ARfintablecolheadright"/>
            </w:pPr>
            <w:r w:rsidRPr="00BB35B1">
              <w:t>$M</w:t>
            </w:r>
          </w:p>
        </w:tc>
        <w:tc>
          <w:tcPr>
            <w:tcW w:w="1277" w:type="dxa"/>
            <w:noWrap/>
            <w:hideMark/>
          </w:tcPr>
          <w:p w14:paraId="55966435" w14:textId="77777777" w:rsidR="004A2DF7" w:rsidRPr="00BB35B1" w:rsidRDefault="004A2DF7" w:rsidP="00B01D55">
            <w:pPr>
              <w:pStyle w:val="ARfintablecolheadright"/>
              <w:cnfStyle w:val="100000000000" w:firstRow="1" w:lastRow="0" w:firstColumn="0" w:lastColumn="0" w:oddVBand="0" w:evenVBand="0" w:oddHBand="0" w:evenHBand="0" w:firstRowFirstColumn="0" w:firstRowLastColumn="0" w:lastRowFirstColumn="0" w:lastRowLastColumn="0"/>
            </w:pPr>
            <w:r w:rsidRPr="00BB35B1">
              <w:t>2024</w:t>
            </w:r>
          </w:p>
          <w:p w14:paraId="058F3859" w14:textId="77777777" w:rsidR="004A2DF7" w:rsidRPr="00BB35B1" w:rsidRDefault="004A2DF7" w:rsidP="00B01D55">
            <w:pPr>
              <w:pStyle w:val="ARfintablecolheadright"/>
              <w:cnfStyle w:val="100000000000" w:firstRow="1" w:lastRow="0" w:firstColumn="0" w:lastColumn="0" w:oddVBand="0" w:evenVBand="0" w:oddHBand="0" w:evenHBand="0" w:firstRowFirstColumn="0" w:firstRowLastColumn="0" w:lastRowFirstColumn="0" w:lastRowLastColumn="0"/>
            </w:pPr>
            <w:r w:rsidRPr="00BB35B1">
              <w:t>$M</w:t>
            </w:r>
          </w:p>
        </w:tc>
      </w:tr>
      <w:tr w:rsidR="00B01D55" w:rsidRPr="00BB35B1" w14:paraId="501E6E82" w14:textId="77777777" w:rsidTr="00B01D55">
        <w:trPr>
          <w:trHeight w:val="20"/>
        </w:trPr>
        <w:tc>
          <w:tcPr>
            <w:tcW w:w="7078" w:type="dxa"/>
            <w:noWrap/>
          </w:tcPr>
          <w:p w14:paraId="4D140535" w14:textId="6B008ABD" w:rsidR="00B01D55" w:rsidRPr="00BB35B1" w:rsidRDefault="00B01D55" w:rsidP="00B01D55">
            <w:pPr>
              <w:pStyle w:val="ARfintablebodyboldcoloured"/>
              <w:rPr>
                <w:color w:val="000000"/>
              </w:rPr>
            </w:pPr>
            <w:r w:rsidRPr="00BB35B1">
              <w:t>Assets</w:t>
            </w:r>
          </w:p>
        </w:tc>
        <w:tc>
          <w:tcPr>
            <w:cnfStyle w:val="000001000000" w:firstRow="0" w:lastRow="0" w:firstColumn="0" w:lastColumn="0" w:oddVBand="0" w:evenVBand="1" w:oddHBand="0" w:evenHBand="0" w:firstRowFirstColumn="0" w:firstRowLastColumn="0" w:lastRowFirstColumn="0" w:lastRowLastColumn="0"/>
            <w:tcW w:w="1277" w:type="dxa"/>
            <w:noWrap/>
          </w:tcPr>
          <w:p w14:paraId="14189354" w14:textId="77777777" w:rsidR="00B01D55" w:rsidRPr="00BB35B1" w:rsidRDefault="00B01D55" w:rsidP="00B01D55">
            <w:pPr>
              <w:pStyle w:val="ARfintablebodyright"/>
            </w:pPr>
          </w:p>
        </w:tc>
        <w:tc>
          <w:tcPr>
            <w:tcW w:w="1277" w:type="dxa"/>
            <w:noWrap/>
          </w:tcPr>
          <w:p w14:paraId="0DD8C586" w14:textId="77777777" w:rsidR="00B01D55" w:rsidRPr="00BB35B1" w:rsidRDefault="00B01D55" w:rsidP="00B01D55">
            <w:pPr>
              <w:pStyle w:val="ARfintablebodyright"/>
              <w:cnfStyle w:val="000000000000" w:firstRow="0" w:lastRow="0" w:firstColumn="0" w:lastColumn="0" w:oddVBand="0" w:evenVBand="0" w:oddHBand="0" w:evenHBand="0" w:firstRowFirstColumn="0" w:firstRowLastColumn="0" w:lastRowFirstColumn="0" w:lastRowLastColumn="0"/>
            </w:pPr>
          </w:p>
        </w:tc>
      </w:tr>
      <w:tr w:rsidR="00B01D55" w:rsidRPr="00BB35B1" w14:paraId="311981AB" w14:textId="77777777" w:rsidTr="00B01D55">
        <w:trPr>
          <w:trHeight w:val="20"/>
        </w:trPr>
        <w:tc>
          <w:tcPr>
            <w:tcW w:w="7078" w:type="dxa"/>
            <w:noWrap/>
          </w:tcPr>
          <w:p w14:paraId="5076CBB1" w14:textId="0ED77278" w:rsidR="00B01D55" w:rsidRPr="00BB35B1" w:rsidRDefault="00B01D55" w:rsidP="00B01D55">
            <w:pPr>
              <w:pStyle w:val="ARfintablebodybold"/>
            </w:pPr>
            <w:r w:rsidRPr="00BB35B1">
              <w:t>Financial assets</w:t>
            </w:r>
          </w:p>
        </w:tc>
        <w:tc>
          <w:tcPr>
            <w:cnfStyle w:val="000001000000" w:firstRow="0" w:lastRow="0" w:firstColumn="0" w:lastColumn="0" w:oddVBand="0" w:evenVBand="1" w:oddHBand="0" w:evenHBand="0" w:firstRowFirstColumn="0" w:firstRowLastColumn="0" w:lastRowFirstColumn="0" w:lastRowLastColumn="0"/>
            <w:tcW w:w="1277" w:type="dxa"/>
            <w:noWrap/>
          </w:tcPr>
          <w:p w14:paraId="787120EF" w14:textId="77777777" w:rsidR="00B01D55" w:rsidRPr="00BB35B1" w:rsidRDefault="00B01D55" w:rsidP="00B01D55">
            <w:pPr>
              <w:pStyle w:val="ARfintablebodyright"/>
            </w:pPr>
          </w:p>
        </w:tc>
        <w:tc>
          <w:tcPr>
            <w:tcW w:w="1277" w:type="dxa"/>
            <w:noWrap/>
          </w:tcPr>
          <w:p w14:paraId="270976A6" w14:textId="77777777" w:rsidR="00B01D55" w:rsidRPr="00BB35B1" w:rsidRDefault="00B01D55" w:rsidP="00B01D55">
            <w:pPr>
              <w:pStyle w:val="ARfintablebodyright"/>
              <w:cnfStyle w:val="000000000000" w:firstRow="0" w:lastRow="0" w:firstColumn="0" w:lastColumn="0" w:oddVBand="0" w:evenVBand="0" w:oddHBand="0" w:evenHBand="0" w:firstRowFirstColumn="0" w:firstRowLastColumn="0" w:lastRowFirstColumn="0" w:lastRowLastColumn="0"/>
            </w:pPr>
          </w:p>
        </w:tc>
      </w:tr>
      <w:tr w:rsidR="004A2DF7" w:rsidRPr="00BB35B1" w14:paraId="0FC66F6B" w14:textId="77777777" w:rsidTr="00B01D55">
        <w:trPr>
          <w:trHeight w:val="20"/>
        </w:trPr>
        <w:tc>
          <w:tcPr>
            <w:tcW w:w="7078" w:type="dxa"/>
            <w:noWrap/>
            <w:hideMark/>
          </w:tcPr>
          <w:p w14:paraId="37B2FED3" w14:textId="77777777" w:rsidR="004A2DF7" w:rsidRPr="00BB35B1" w:rsidRDefault="004A2DF7" w:rsidP="004F0449">
            <w:pPr>
              <w:pStyle w:val="ARfintablebody"/>
            </w:pPr>
            <w:r w:rsidRPr="00BB35B1">
              <w:t xml:space="preserve">Cash and deposits </w:t>
            </w:r>
            <w:r w:rsidRPr="00BB35B1">
              <w:rPr>
                <w:vertAlign w:val="superscript"/>
              </w:rPr>
              <w:t>(</w:t>
            </w:r>
            <w:proofErr w:type="spellStart"/>
            <w:r w:rsidRPr="00BB35B1">
              <w:rPr>
                <w:vertAlign w:val="superscript"/>
              </w:rPr>
              <w:t>i</w:t>
            </w:r>
            <w:proofErr w:type="spellEnd"/>
            <w:r w:rsidRPr="00BB35B1">
              <w:rPr>
                <w:vertAlign w:val="superscript"/>
              </w:rPr>
              <w:t>)</w:t>
            </w:r>
          </w:p>
        </w:tc>
        <w:tc>
          <w:tcPr>
            <w:cnfStyle w:val="000001000000" w:firstRow="0" w:lastRow="0" w:firstColumn="0" w:lastColumn="0" w:oddVBand="0" w:evenVBand="1" w:oddHBand="0" w:evenHBand="0" w:firstRowFirstColumn="0" w:firstRowLastColumn="0" w:lastRowFirstColumn="0" w:lastRowLastColumn="0"/>
            <w:tcW w:w="1277" w:type="dxa"/>
            <w:noWrap/>
            <w:hideMark/>
          </w:tcPr>
          <w:p w14:paraId="68E6C59B" w14:textId="77777777" w:rsidR="004A2DF7" w:rsidRPr="00BB35B1" w:rsidRDefault="004A2DF7" w:rsidP="00B01D55">
            <w:pPr>
              <w:pStyle w:val="ARfintablebodyright"/>
            </w:pPr>
            <w:r w:rsidRPr="00BB35B1">
              <w:t>982.2</w:t>
            </w:r>
          </w:p>
        </w:tc>
        <w:tc>
          <w:tcPr>
            <w:tcW w:w="1277" w:type="dxa"/>
            <w:noWrap/>
            <w:hideMark/>
          </w:tcPr>
          <w:p w14:paraId="7837CD28" w14:textId="77777777" w:rsidR="004A2DF7" w:rsidRPr="00BB35B1"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B35B1">
              <w:t>536.9</w:t>
            </w:r>
          </w:p>
        </w:tc>
      </w:tr>
      <w:tr w:rsidR="004A2DF7" w:rsidRPr="00BB35B1" w14:paraId="714B514C" w14:textId="77777777" w:rsidTr="00B01D55">
        <w:trPr>
          <w:trHeight w:val="20"/>
        </w:trPr>
        <w:tc>
          <w:tcPr>
            <w:tcW w:w="7078" w:type="dxa"/>
            <w:noWrap/>
            <w:hideMark/>
          </w:tcPr>
          <w:p w14:paraId="4AAD2753" w14:textId="77777777" w:rsidR="004A2DF7" w:rsidRPr="00BB35B1" w:rsidRDefault="004A2DF7" w:rsidP="004F0449">
            <w:pPr>
              <w:pStyle w:val="ARfintablebody"/>
            </w:pPr>
            <w:r w:rsidRPr="00BB35B1">
              <w:t>Restricted cash</w:t>
            </w:r>
          </w:p>
        </w:tc>
        <w:tc>
          <w:tcPr>
            <w:cnfStyle w:val="000001000000" w:firstRow="0" w:lastRow="0" w:firstColumn="0" w:lastColumn="0" w:oddVBand="0" w:evenVBand="1" w:oddHBand="0" w:evenHBand="0" w:firstRowFirstColumn="0" w:firstRowLastColumn="0" w:lastRowFirstColumn="0" w:lastRowLastColumn="0"/>
            <w:tcW w:w="1277" w:type="dxa"/>
            <w:noWrap/>
            <w:hideMark/>
          </w:tcPr>
          <w:p w14:paraId="6FCA719E" w14:textId="77777777" w:rsidR="004A2DF7" w:rsidRPr="00BB35B1" w:rsidRDefault="004A2DF7" w:rsidP="00B01D55">
            <w:pPr>
              <w:pStyle w:val="ARfintablebodyright"/>
            </w:pPr>
            <w:r w:rsidRPr="00BB35B1">
              <w:t>267.1</w:t>
            </w:r>
          </w:p>
        </w:tc>
        <w:tc>
          <w:tcPr>
            <w:tcW w:w="1277" w:type="dxa"/>
            <w:noWrap/>
            <w:hideMark/>
          </w:tcPr>
          <w:p w14:paraId="4475ABC4" w14:textId="1D241353" w:rsidR="004A2DF7" w:rsidRPr="00BB35B1"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B35B1">
              <w:t>121.3</w:t>
            </w:r>
          </w:p>
        </w:tc>
      </w:tr>
      <w:tr w:rsidR="004A2DF7" w:rsidRPr="00BB35B1" w14:paraId="299AC557" w14:textId="77777777" w:rsidTr="00B01D55">
        <w:trPr>
          <w:trHeight w:val="20"/>
        </w:trPr>
        <w:tc>
          <w:tcPr>
            <w:tcW w:w="7078" w:type="dxa"/>
            <w:tcBorders>
              <w:bottom w:val="single" w:sz="4" w:space="0" w:color="A6A6A6" w:themeColor="accent5"/>
            </w:tcBorders>
            <w:noWrap/>
          </w:tcPr>
          <w:p w14:paraId="717ABB4E" w14:textId="77777777" w:rsidR="004A2DF7" w:rsidRPr="00BB35B1" w:rsidRDefault="004A2DF7" w:rsidP="004F0449">
            <w:pPr>
              <w:pStyle w:val="ARfintablebody"/>
            </w:pPr>
            <w:r w:rsidRPr="00BB35B1">
              <w:t>Receivables</w:t>
            </w:r>
          </w:p>
        </w:tc>
        <w:tc>
          <w:tcPr>
            <w:cnfStyle w:val="000001000000" w:firstRow="0" w:lastRow="0" w:firstColumn="0" w:lastColumn="0" w:oddVBand="0" w:evenVBand="1" w:oddHBand="0" w:evenHBand="0" w:firstRowFirstColumn="0" w:firstRowLastColumn="0" w:lastRowFirstColumn="0" w:lastRowLastColumn="0"/>
            <w:tcW w:w="1277" w:type="dxa"/>
            <w:tcBorders>
              <w:bottom w:val="single" w:sz="4" w:space="0" w:color="A6A6A6" w:themeColor="accent5"/>
            </w:tcBorders>
            <w:noWrap/>
          </w:tcPr>
          <w:p w14:paraId="0C70925B" w14:textId="77777777" w:rsidR="004A2DF7" w:rsidRPr="00BB35B1" w:rsidRDefault="004A2DF7" w:rsidP="00B01D55">
            <w:pPr>
              <w:pStyle w:val="ARfintablebodyright"/>
            </w:pPr>
            <w:r w:rsidRPr="00BB35B1">
              <w:t>160.9</w:t>
            </w:r>
          </w:p>
        </w:tc>
        <w:tc>
          <w:tcPr>
            <w:tcW w:w="1277" w:type="dxa"/>
            <w:tcBorders>
              <w:bottom w:val="single" w:sz="4" w:space="0" w:color="A6A6A6" w:themeColor="accent5"/>
            </w:tcBorders>
            <w:noWrap/>
          </w:tcPr>
          <w:p w14:paraId="55AB59A4" w14:textId="77777777" w:rsidR="004A2DF7" w:rsidRPr="00BB35B1"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B35B1">
              <w:t>267.4</w:t>
            </w:r>
          </w:p>
        </w:tc>
      </w:tr>
      <w:tr w:rsidR="004A2DF7" w:rsidRPr="00BB35B1" w14:paraId="6946E471" w14:textId="77777777" w:rsidTr="00B01D55">
        <w:trPr>
          <w:trHeight w:val="20"/>
        </w:trPr>
        <w:tc>
          <w:tcPr>
            <w:tcW w:w="7078" w:type="dxa"/>
            <w:tcBorders>
              <w:top w:val="single" w:sz="4" w:space="0" w:color="A6A6A6" w:themeColor="accent5"/>
              <w:bottom w:val="single" w:sz="4" w:space="0" w:color="000000" w:themeColor="text1"/>
            </w:tcBorders>
            <w:noWrap/>
            <w:hideMark/>
          </w:tcPr>
          <w:p w14:paraId="31916F80" w14:textId="77777777" w:rsidR="004A2DF7" w:rsidRPr="00BB35B1" w:rsidRDefault="004A2DF7" w:rsidP="004F0449">
            <w:pPr>
              <w:pStyle w:val="ARfintablebody"/>
            </w:pPr>
            <w:r w:rsidRPr="00BB35B1">
              <w:t xml:space="preserve">Loans </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A6A6A6" w:themeColor="accent5"/>
              <w:bottom w:val="single" w:sz="4" w:space="0" w:color="000000" w:themeColor="text1"/>
            </w:tcBorders>
            <w:noWrap/>
            <w:hideMark/>
          </w:tcPr>
          <w:p w14:paraId="336F539F" w14:textId="77777777" w:rsidR="004A2DF7" w:rsidRPr="00BB35B1" w:rsidRDefault="004A2DF7" w:rsidP="00B01D55">
            <w:pPr>
              <w:pStyle w:val="ARfintablebodyright"/>
            </w:pPr>
            <w:r w:rsidRPr="00BB35B1">
              <w:t>66.7</w:t>
            </w:r>
          </w:p>
        </w:tc>
        <w:tc>
          <w:tcPr>
            <w:tcW w:w="1277" w:type="dxa"/>
            <w:tcBorders>
              <w:top w:val="single" w:sz="4" w:space="0" w:color="A6A6A6" w:themeColor="accent5"/>
              <w:bottom w:val="single" w:sz="4" w:space="0" w:color="000000" w:themeColor="text1"/>
            </w:tcBorders>
            <w:noWrap/>
            <w:hideMark/>
          </w:tcPr>
          <w:p w14:paraId="50E7D799" w14:textId="77777777" w:rsidR="004A2DF7" w:rsidRPr="00BB35B1"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B35B1">
              <w:t>28.2</w:t>
            </w:r>
          </w:p>
        </w:tc>
      </w:tr>
      <w:tr w:rsidR="00B01D55" w:rsidRPr="00BB35B1" w14:paraId="250D0A11" w14:textId="77777777" w:rsidTr="00B01D55">
        <w:trPr>
          <w:trHeight w:val="20"/>
        </w:trPr>
        <w:tc>
          <w:tcPr>
            <w:tcW w:w="7078" w:type="dxa"/>
            <w:tcBorders>
              <w:top w:val="single" w:sz="4" w:space="0" w:color="A6A6A6" w:themeColor="accent5"/>
              <w:bottom w:val="single" w:sz="4" w:space="0" w:color="000000" w:themeColor="text1"/>
            </w:tcBorders>
            <w:noWrap/>
          </w:tcPr>
          <w:p w14:paraId="7F757E43" w14:textId="1B929A2A" w:rsidR="00B01D55" w:rsidRPr="00BB35B1" w:rsidRDefault="00B01D55" w:rsidP="00B01D55">
            <w:pPr>
              <w:pStyle w:val="ARfintablebodybold"/>
            </w:pPr>
            <w:r w:rsidRPr="00B01D55">
              <w:t>Total financial assets</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A6A6A6" w:themeColor="accent5"/>
              <w:bottom w:val="single" w:sz="4" w:space="0" w:color="000000" w:themeColor="text1"/>
            </w:tcBorders>
            <w:noWrap/>
          </w:tcPr>
          <w:p w14:paraId="5979CA3F" w14:textId="6230EBB6" w:rsidR="00B01D55" w:rsidRPr="00BB35B1" w:rsidRDefault="00B01D55" w:rsidP="00B01D55">
            <w:pPr>
              <w:pStyle w:val="ARfintablebodyrightbold"/>
            </w:pPr>
            <w:r w:rsidRPr="00BB35B1">
              <w:t>1,476.9</w:t>
            </w:r>
          </w:p>
        </w:tc>
        <w:tc>
          <w:tcPr>
            <w:tcW w:w="1277" w:type="dxa"/>
            <w:tcBorders>
              <w:top w:val="single" w:sz="4" w:space="0" w:color="A6A6A6" w:themeColor="accent5"/>
              <w:bottom w:val="single" w:sz="4" w:space="0" w:color="000000" w:themeColor="text1"/>
            </w:tcBorders>
            <w:noWrap/>
          </w:tcPr>
          <w:p w14:paraId="3050C11C" w14:textId="09CF96A3" w:rsidR="00B01D55" w:rsidRPr="00BB35B1" w:rsidRDefault="00B01D55" w:rsidP="00B01D55">
            <w:pPr>
              <w:pStyle w:val="ARfintablebodyrightbold"/>
              <w:cnfStyle w:val="000000000000" w:firstRow="0" w:lastRow="0" w:firstColumn="0" w:lastColumn="0" w:oddVBand="0" w:evenVBand="0" w:oddHBand="0" w:evenHBand="0" w:firstRowFirstColumn="0" w:firstRowLastColumn="0" w:lastRowFirstColumn="0" w:lastRowLastColumn="0"/>
            </w:pPr>
            <w:r w:rsidRPr="00BB35B1">
              <w:t>953.8</w:t>
            </w:r>
          </w:p>
        </w:tc>
      </w:tr>
      <w:tr w:rsidR="00B01D55" w:rsidRPr="00BB35B1" w14:paraId="4AD44150" w14:textId="77777777" w:rsidTr="00B01D55">
        <w:trPr>
          <w:trHeight w:val="20"/>
        </w:trPr>
        <w:tc>
          <w:tcPr>
            <w:tcW w:w="7078" w:type="dxa"/>
            <w:tcBorders>
              <w:top w:val="single" w:sz="4" w:space="0" w:color="000000" w:themeColor="text1"/>
              <w:bottom w:val="single" w:sz="4" w:space="0" w:color="A6A6A6" w:themeColor="accent5"/>
            </w:tcBorders>
          </w:tcPr>
          <w:p w14:paraId="1067D286" w14:textId="0160359C" w:rsidR="00B01D55" w:rsidRPr="00BB35B1" w:rsidRDefault="00D57A19" w:rsidP="004F0449">
            <w:pPr>
              <w:pStyle w:val="ARfintablebodybold"/>
            </w:pPr>
            <w:r w:rsidRPr="00BB35B1">
              <w:t>Non-financial</w:t>
            </w:r>
            <w:r w:rsidR="00B01D55" w:rsidRPr="00BB35B1">
              <w:t xml:space="preserve"> assets</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000000" w:themeColor="text1"/>
              <w:bottom w:val="single" w:sz="4" w:space="0" w:color="A6A6A6" w:themeColor="accent5"/>
            </w:tcBorders>
            <w:noWrap/>
          </w:tcPr>
          <w:p w14:paraId="7A04184C" w14:textId="77777777" w:rsidR="00B01D55" w:rsidRPr="00BB35B1" w:rsidRDefault="00B01D55" w:rsidP="00B01D55">
            <w:pPr>
              <w:pStyle w:val="ARfintablebodyright"/>
            </w:pPr>
          </w:p>
        </w:tc>
        <w:tc>
          <w:tcPr>
            <w:tcW w:w="1277" w:type="dxa"/>
            <w:tcBorders>
              <w:top w:val="single" w:sz="4" w:space="0" w:color="000000" w:themeColor="text1"/>
              <w:bottom w:val="single" w:sz="4" w:space="0" w:color="A6A6A6" w:themeColor="accent5"/>
            </w:tcBorders>
            <w:noWrap/>
          </w:tcPr>
          <w:p w14:paraId="0A250F9A" w14:textId="77777777" w:rsidR="00B01D55" w:rsidRPr="00BB35B1" w:rsidRDefault="00B01D55" w:rsidP="00B01D55">
            <w:pPr>
              <w:pStyle w:val="ARfintablebodyright"/>
              <w:cnfStyle w:val="000000000000" w:firstRow="0" w:lastRow="0" w:firstColumn="0" w:lastColumn="0" w:oddVBand="0" w:evenVBand="0" w:oddHBand="0" w:evenHBand="0" w:firstRowFirstColumn="0" w:firstRowLastColumn="0" w:lastRowFirstColumn="0" w:lastRowLastColumn="0"/>
            </w:pPr>
          </w:p>
        </w:tc>
      </w:tr>
      <w:tr w:rsidR="004A2DF7" w:rsidRPr="00BB35B1" w14:paraId="602784B9" w14:textId="77777777" w:rsidTr="00B01D55">
        <w:trPr>
          <w:trHeight w:val="20"/>
        </w:trPr>
        <w:tc>
          <w:tcPr>
            <w:tcW w:w="7078" w:type="dxa"/>
            <w:tcBorders>
              <w:top w:val="single" w:sz="4" w:space="0" w:color="A6A6A6" w:themeColor="accent5"/>
            </w:tcBorders>
            <w:hideMark/>
          </w:tcPr>
          <w:p w14:paraId="5AFC778F" w14:textId="77777777" w:rsidR="004A2DF7" w:rsidRPr="00BB35B1" w:rsidRDefault="004A2DF7" w:rsidP="004F0449">
            <w:pPr>
              <w:pStyle w:val="ARfintablebody"/>
            </w:pPr>
            <w:bookmarkStart w:id="307" w:name="Nonfinancialphysicalasset224"/>
            <w:r w:rsidRPr="00BB35B1">
              <w:t xml:space="preserve">Non-financial physical assets classified as held for sale </w:t>
            </w:r>
            <w:bookmarkEnd w:id="307"/>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A6A6A6" w:themeColor="accent5"/>
            </w:tcBorders>
            <w:noWrap/>
            <w:hideMark/>
          </w:tcPr>
          <w:p w14:paraId="22837F32" w14:textId="77777777" w:rsidR="004A2DF7" w:rsidRPr="00BB35B1" w:rsidRDefault="004A2DF7" w:rsidP="00B01D55">
            <w:pPr>
              <w:pStyle w:val="ARfintablebodyright"/>
            </w:pPr>
            <w:r w:rsidRPr="00BB35B1">
              <w:t>8.4</w:t>
            </w:r>
          </w:p>
        </w:tc>
        <w:tc>
          <w:tcPr>
            <w:tcW w:w="1277" w:type="dxa"/>
            <w:tcBorders>
              <w:top w:val="single" w:sz="4" w:space="0" w:color="A6A6A6" w:themeColor="accent5"/>
            </w:tcBorders>
            <w:noWrap/>
            <w:hideMark/>
          </w:tcPr>
          <w:p w14:paraId="29B35744" w14:textId="77777777" w:rsidR="004A2DF7" w:rsidRPr="00BB35B1"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B35B1">
              <w:t>2.1</w:t>
            </w:r>
          </w:p>
        </w:tc>
      </w:tr>
      <w:tr w:rsidR="004A2DF7" w:rsidRPr="00BB35B1" w14:paraId="3BFCE68F" w14:textId="77777777" w:rsidTr="00B01D55">
        <w:trPr>
          <w:trHeight w:val="20"/>
        </w:trPr>
        <w:tc>
          <w:tcPr>
            <w:tcW w:w="7078" w:type="dxa"/>
            <w:noWrap/>
            <w:hideMark/>
          </w:tcPr>
          <w:p w14:paraId="671B8FD0" w14:textId="77777777" w:rsidR="004A2DF7" w:rsidRPr="00BB35B1" w:rsidRDefault="004A2DF7" w:rsidP="004F0449">
            <w:pPr>
              <w:pStyle w:val="ARfintablebody"/>
              <w:rPr>
                <w:vertAlign w:val="superscript"/>
              </w:rPr>
            </w:pPr>
            <w:r w:rsidRPr="00BB35B1">
              <w:t xml:space="preserve">Property, plant and equipment </w:t>
            </w:r>
          </w:p>
        </w:tc>
        <w:tc>
          <w:tcPr>
            <w:cnfStyle w:val="000001000000" w:firstRow="0" w:lastRow="0" w:firstColumn="0" w:lastColumn="0" w:oddVBand="0" w:evenVBand="1" w:oddHBand="0" w:evenHBand="0" w:firstRowFirstColumn="0" w:firstRowLastColumn="0" w:lastRowFirstColumn="0" w:lastRowLastColumn="0"/>
            <w:tcW w:w="1277" w:type="dxa"/>
            <w:noWrap/>
            <w:hideMark/>
          </w:tcPr>
          <w:p w14:paraId="2768F9E7" w14:textId="77777777" w:rsidR="004A2DF7" w:rsidRPr="00BB35B1" w:rsidRDefault="004A2DF7" w:rsidP="00B01D55">
            <w:pPr>
              <w:pStyle w:val="ARfintablebodyright"/>
            </w:pPr>
            <w:r w:rsidRPr="00BB35B1">
              <w:t>37,334.3</w:t>
            </w:r>
          </w:p>
        </w:tc>
        <w:tc>
          <w:tcPr>
            <w:tcW w:w="1277" w:type="dxa"/>
            <w:noWrap/>
            <w:hideMark/>
          </w:tcPr>
          <w:p w14:paraId="0147D682" w14:textId="77777777" w:rsidR="004A2DF7" w:rsidRPr="00BB35B1"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B35B1">
              <w:t>36,879.2</w:t>
            </w:r>
          </w:p>
        </w:tc>
      </w:tr>
      <w:tr w:rsidR="004A2DF7" w:rsidRPr="00BB35B1" w14:paraId="761E46BD" w14:textId="77777777" w:rsidTr="00B01D55">
        <w:trPr>
          <w:trHeight w:val="20"/>
        </w:trPr>
        <w:tc>
          <w:tcPr>
            <w:tcW w:w="7078" w:type="dxa"/>
            <w:tcBorders>
              <w:bottom w:val="single" w:sz="4" w:space="0" w:color="A6A6A6" w:themeColor="accent5"/>
            </w:tcBorders>
            <w:noWrap/>
            <w:hideMark/>
          </w:tcPr>
          <w:p w14:paraId="7025D1AA" w14:textId="77777777" w:rsidR="004A2DF7" w:rsidRPr="00BB35B1" w:rsidRDefault="004A2DF7" w:rsidP="004F0449">
            <w:pPr>
              <w:pStyle w:val="ARfintablebody"/>
            </w:pPr>
            <w:r w:rsidRPr="00BB35B1">
              <w:t>Intangible assets</w:t>
            </w:r>
          </w:p>
        </w:tc>
        <w:tc>
          <w:tcPr>
            <w:cnfStyle w:val="000001000000" w:firstRow="0" w:lastRow="0" w:firstColumn="0" w:lastColumn="0" w:oddVBand="0" w:evenVBand="1" w:oddHBand="0" w:evenHBand="0" w:firstRowFirstColumn="0" w:firstRowLastColumn="0" w:lastRowFirstColumn="0" w:lastRowLastColumn="0"/>
            <w:tcW w:w="1277" w:type="dxa"/>
            <w:tcBorders>
              <w:bottom w:val="single" w:sz="4" w:space="0" w:color="A6A6A6" w:themeColor="accent5"/>
            </w:tcBorders>
            <w:noWrap/>
            <w:hideMark/>
          </w:tcPr>
          <w:p w14:paraId="75E96AA1" w14:textId="77777777" w:rsidR="004A2DF7" w:rsidRPr="00BB35B1" w:rsidRDefault="004A2DF7" w:rsidP="00B01D55">
            <w:pPr>
              <w:pStyle w:val="ARfintablebodyright"/>
            </w:pPr>
            <w:r w:rsidRPr="00BB35B1">
              <w:t>26.8</w:t>
            </w:r>
          </w:p>
        </w:tc>
        <w:tc>
          <w:tcPr>
            <w:tcW w:w="1277" w:type="dxa"/>
            <w:tcBorders>
              <w:bottom w:val="single" w:sz="4" w:space="0" w:color="A6A6A6" w:themeColor="accent5"/>
            </w:tcBorders>
            <w:noWrap/>
            <w:hideMark/>
          </w:tcPr>
          <w:p w14:paraId="16AC96B4" w14:textId="77777777" w:rsidR="004A2DF7" w:rsidRPr="00BB35B1"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B35B1">
              <w:t>28.8</w:t>
            </w:r>
          </w:p>
        </w:tc>
      </w:tr>
      <w:tr w:rsidR="004A2DF7" w:rsidRPr="00BB35B1" w14:paraId="4B3A7FFE" w14:textId="77777777" w:rsidTr="00B01D55">
        <w:trPr>
          <w:trHeight w:val="20"/>
        </w:trPr>
        <w:tc>
          <w:tcPr>
            <w:tcW w:w="7078" w:type="dxa"/>
            <w:tcBorders>
              <w:top w:val="single" w:sz="4" w:space="0" w:color="A6A6A6" w:themeColor="accent5"/>
              <w:bottom w:val="single" w:sz="4" w:space="0" w:color="000000" w:themeColor="text1"/>
            </w:tcBorders>
            <w:noWrap/>
            <w:hideMark/>
          </w:tcPr>
          <w:p w14:paraId="028CA837" w14:textId="77777777" w:rsidR="004A2DF7" w:rsidRPr="00BB35B1" w:rsidRDefault="004A2DF7" w:rsidP="004F0449">
            <w:pPr>
              <w:pStyle w:val="ARfintablebody"/>
            </w:pPr>
            <w:r w:rsidRPr="00BB35B1">
              <w:t>Other non-financial assets</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A6A6A6" w:themeColor="accent5"/>
              <w:bottom w:val="single" w:sz="4" w:space="0" w:color="000000" w:themeColor="text1"/>
            </w:tcBorders>
            <w:noWrap/>
            <w:hideMark/>
          </w:tcPr>
          <w:p w14:paraId="691DFAA7" w14:textId="77777777" w:rsidR="004A2DF7" w:rsidRPr="00BB35B1" w:rsidRDefault="004A2DF7" w:rsidP="00B01D55">
            <w:pPr>
              <w:pStyle w:val="ARfintablebodyright"/>
            </w:pPr>
            <w:r w:rsidRPr="00BB35B1">
              <w:t>1.8</w:t>
            </w:r>
          </w:p>
        </w:tc>
        <w:tc>
          <w:tcPr>
            <w:tcW w:w="1277" w:type="dxa"/>
            <w:tcBorders>
              <w:top w:val="single" w:sz="4" w:space="0" w:color="A6A6A6" w:themeColor="accent5"/>
              <w:bottom w:val="single" w:sz="4" w:space="0" w:color="000000" w:themeColor="text1"/>
            </w:tcBorders>
            <w:noWrap/>
            <w:hideMark/>
          </w:tcPr>
          <w:p w14:paraId="3E25CD1C" w14:textId="77777777" w:rsidR="004A2DF7" w:rsidRPr="00BB35B1"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B35B1">
              <w:t>19.4</w:t>
            </w:r>
          </w:p>
        </w:tc>
      </w:tr>
      <w:tr w:rsidR="004A2DF7" w:rsidRPr="00BB35B1" w14:paraId="4466BD6D" w14:textId="77777777" w:rsidTr="00B01D55">
        <w:trPr>
          <w:trHeight w:val="20"/>
        </w:trPr>
        <w:tc>
          <w:tcPr>
            <w:tcW w:w="7078" w:type="dxa"/>
            <w:tcBorders>
              <w:top w:val="single" w:sz="4" w:space="0" w:color="000000" w:themeColor="text1"/>
              <w:bottom w:val="single" w:sz="4" w:space="0" w:color="000000" w:themeColor="text1"/>
            </w:tcBorders>
            <w:noWrap/>
            <w:hideMark/>
          </w:tcPr>
          <w:p w14:paraId="1E4CFE6E" w14:textId="77777777" w:rsidR="004A2DF7" w:rsidRPr="00BB35B1" w:rsidRDefault="004A2DF7" w:rsidP="00B01D55">
            <w:pPr>
              <w:pStyle w:val="ARfintablebodybold"/>
            </w:pPr>
            <w:r w:rsidRPr="00BB35B1">
              <w:t>Total non-financial assets</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000000" w:themeColor="text1"/>
              <w:bottom w:val="single" w:sz="4" w:space="0" w:color="000000" w:themeColor="text1"/>
            </w:tcBorders>
            <w:noWrap/>
            <w:hideMark/>
          </w:tcPr>
          <w:p w14:paraId="0AC97C8F" w14:textId="77777777" w:rsidR="004A2DF7" w:rsidRPr="00BB35B1" w:rsidRDefault="004A2DF7" w:rsidP="00B01D55">
            <w:pPr>
              <w:pStyle w:val="ARfintablebodyrightbold"/>
            </w:pPr>
            <w:r w:rsidRPr="00BB35B1">
              <w:t>37,371.3</w:t>
            </w:r>
          </w:p>
        </w:tc>
        <w:tc>
          <w:tcPr>
            <w:tcW w:w="1277" w:type="dxa"/>
            <w:tcBorders>
              <w:top w:val="single" w:sz="4" w:space="0" w:color="000000" w:themeColor="text1"/>
              <w:bottom w:val="single" w:sz="4" w:space="0" w:color="000000" w:themeColor="text1"/>
            </w:tcBorders>
            <w:noWrap/>
            <w:hideMark/>
          </w:tcPr>
          <w:p w14:paraId="6EBC2F12" w14:textId="77777777" w:rsidR="004A2DF7" w:rsidRPr="00BB35B1" w:rsidRDefault="004A2DF7" w:rsidP="00B01D55">
            <w:pPr>
              <w:pStyle w:val="ARfintablebodyrightbold"/>
              <w:cnfStyle w:val="000000000000" w:firstRow="0" w:lastRow="0" w:firstColumn="0" w:lastColumn="0" w:oddVBand="0" w:evenVBand="0" w:oddHBand="0" w:evenHBand="0" w:firstRowFirstColumn="0" w:firstRowLastColumn="0" w:lastRowFirstColumn="0" w:lastRowLastColumn="0"/>
            </w:pPr>
            <w:r w:rsidRPr="00BB35B1">
              <w:t>36,929.5</w:t>
            </w:r>
          </w:p>
        </w:tc>
      </w:tr>
      <w:tr w:rsidR="004A2DF7" w:rsidRPr="00BB35B1" w14:paraId="58CDCEDB" w14:textId="77777777" w:rsidTr="00B01D55">
        <w:trPr>
          <w:trHeight w:val="20"/>
        </w:trPr>
        <w:tc>
          <w:tcPr>
            <w:tcW w:w="7078" w:type="dxa"/>
            <w:tcBorders>
              <w:top w:val="single" w:sz="4" w:space="0" w:color="000000" w:themeColor="text1"/>
              <w:bottom w:val="single" w:sz="4" w:space="0" w:color="000000" w:themeColor="text1"/>
            </w:tcBorders>
            <w:noWrap/>
            <w:hideMark/>
          </w:tcPr>
          <w:p w14:paraId="347DCA0D" w14:textId="77777777" w:rsidR="004A2DF7" w:rsidRPr="00BB35B1" w:rsidRDefault="004A2DF7" w:rsidP="00B01D55">
            <w:pPr>
              <w:pStyle w:val="ARfintablebodybold"/>
            </w:pPr>
            <w:r w:rsidRPr="00BB35B1">
              <w:t>Total assets</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000000" w:themeColor="text1"/>
              <w:bottom w:val="single" w:sz="4" w:space="0" w:color="000000" w:themeColor="text1"/>
            </w:tcBorders>
            <w:noWrap/>
            <w:hideMark/>
          </w:tcPr>
          <w:p w14:paraId="58BD2B30" w14:textId="77777777" w:rsidR="004A2DF7" w:rsidRPr="00BB35B1" w:rsidRDefault="004A2DF7" w:rsidP="00B01D55">
            <w:pPr>
              <w:pStyle w:val="ARfintablebodyrightbold"/>
            </w:pPr>
            <w:r w:rsidRPr="00BB35B1">
              <w:t>38,848.2</w:t>
            </w:r>
          </w:p>
        </w:tc>
        <w:tc>
          <w:tcPr>
            <w:tcW w:w="1277" w:type="dxa"/>
            <w:tcBorders>
              <w:top w:val="single" w:sz="4" w:space="0" w:color="000000" w:themeColor="text1"/>
              <w:bottom w:val="single" w:sz="4" w:space="0" w:color="000000" w:themeColor="text1"/>
            </w:tcBorders>
            <w:noWrap/>
            <w:hideMark/>
          </w:tcPr>
          <w:p w14:paraId="6C2EC1CD" w14:textId="77777777" w:rsidR="004A2DF7" w:rsidRPr="00BB35B1" w:rsidRDefault="004A2DF7" w:rsidP="00B01D55">
            <w:pPr>
              <w:pStyle w:val="ARfintablebodyrightbold"/>
              <w:cnfStyle w:val="000000000000" w:firstRow="0" w:lastRow="0" w:firstColumn="0" w:lastColumn="0" w:oddVBand="0" w:evenVBand="0" w:oddHBand="0" w:evenHBand="0" w:firstRowFirstColumn="0" w:firstRowLastColumn="0" w:lastRowFirstColumn="0" w:lastRowLastColumn="0"/>
            </w:pPr>
            <w:r w:rsidRPr="00BB35B1">
              <w:t>37,883.3</w:t>
            </w:r>
          </w:p>
        </w:tc>
      </w:tr>
      <w:tr w:rsidR="00B01D55" w:rsidRPr="00BB35B1" w14:paraId="6BAA4FAB" w14:textId="77777777" w:rsidTr="00B01D55">
        <w:trPr>
          <w:trHeight w:val="20"/>
        </w:trPr>
        <w:tc>
          <w:tcPr>
            <w:tcW w:w="7078" w:type="dxa"/>
            <w:tcBorders>
              <w:top w:val="single" w:sz="4" w:space="0" w:color="000000" w:themeColor="text1"/>
              <w:bottom w:val="single" w:sz="4" w:space="0" w:color="A6A6A6" w:themeColor="accent5"/>
            </w:tcBorders>
            <w:noWrap/>
          </w:tcPr>
          <w:p w14:paraId="77457CE0" w14:textId="3DD7A4E1" w:rsidR="00B01D55" w:rsidRPr="00BB35B1" w:rsidRDefault="00B01D55" w:rsidP="00B01D55">
            <w:pPr>
              <w:pStyle w:val="ARfintablebodyboldcoloured"/>
              <w:rPr>
                <w:color w:val="000000"/>
              </w:rPr>
            </w:pPr>
            <w:r w:rsidRPr="00BB35B1">
              <w:t>Liabilities</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000000" w:themeColor="text1"/>
              <w:bottom w:val="single" w:sz="4" w:space="0" w:color="A6A6A6" w:themeColor="accent5"/>
            </w:tcBorders>
            <w:noWrap/>
          </w:tcPr>
          <w:p w14:paraId="3FD492B7" w14:textId="77777777" w:rsidR="00B01D55" w:rsidRPr="00BB35B1" w:rsidRDefault="00B01D55" w:rsidP="00B01D55">
            <w:pPr>
              <w:pStyle w:val="ARfintablebodyright"/>
            </w:pPr>
          </w:p>
        </w:tc>
        <w:tc>
          <w:tcPr>
            <w:tcW w:w="1277" w:type="dxa"/>
            <w:tcBorders>
              <w:top w:val="single" w:sz="4" w:space="0" w:color="000000" w:themeColor="text1"/>
              <w:bottom w:val="single" w:sz="4" w:space="0" w:color="A6A6A6" w:themeColor="accent5"/>
            </w:tcBorders>
            <w:noWrap/>
          </w:tcPr>
          <w:p w14:paraId="590D3B57" w14:textId="77777777" w:rsidR="00B01D55" w:rsidRPr="00BB35B1" w:rsidRDefault="00B01D55" w:rsidP="00B01D55">
            <w:pPr>
              <w:pStyle w:val="ARfintablebodyright"/>
              <w:cnfStyle w:val="000000000000" w:firstRow="0" w:lastRow="0" w:firstColumn="0" w:lastColumn="0" w:oddVBand="0" w:evenVBand="0" w:oddHBand="0" w:evenHBand="0" w:firstRowFirstColumn="0" w:firstRowLastColumn="0" w:lastRowFirstColumn="0" w:lastRowLastColumn="0"/>
            </w:pPr>
          </w:p>
        </w:tc>
      </w:tr>
      <w:tr w:rsidR="004A2DF7" w:rsidRPr="00BB35B1" w14:paraId="06E76EA0" w14:textId="77777777" w:rsidTr="00B01D55">
        <w:trPr>
          <w:trHeight w:val="20"/>
        </w:trPr>
        <w:tc>
          <w:tcPr>
            <w:tcW w:w="7078" w:type="dxa"/>
            <w:tcBorders>
              <w:top w:val="single" w:sz="4" w:space="0" w:color="A6A6A6" w:themeColor="accent5"/>
            </w:tcBorders>
            <w:noWrap/>
            <w:hideMark/>
          </w:tcPr>
          <w:p w14:paraId="291209AE" w14:textId="77777777" w:rsidR="004A2DF7" w:rsidRPr="00BB35B1" w:rsidRDefault="004A2DF7" w:rsidP="004F0449">
            <w:pPr>
              <w:pStyle w:val="ARfintablebody"/>
            </w:pPr>
            <w:r w:rsidRPr="00BB35B1">
              <w:t>Payables</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A6A6A6" w:themeColor="accent5"/>
            </w:tcBorders>
            <w:noWrap/>
            <w:hideMark/>
          </w:tcPr>
          <w:p w14:paraId="340A2816" w14:textId="77777777" w:rsidR="004A2DF7" w:rsidRPr="00BB35B1" w:rsidRDefault="004A2DF7" w:rsidP="00B01D55">
            <w:pPr>
              <w:pStyle w:val="ARfintablebodyright"/>
            </w:pPr>
            <w:r w:rsidRPr="00BB35B1">
              <w:t>165.6</w:t>
            </w:r>
          </w:p>
        </w:tc>
        <w:tc>
          <w:tcPr>
            <w:tcW w:w="1277" w:type="dxa"/>
            <w:tcBorders>
              <w:top w:val="single" w:sz="4" w:space="0" w:color="A6A6A6" w:themeColor="accent5"/>
            </w:tcBorders>
            <w:noWrap/>
            <w:hideMark/>
          </w:tcPr>
          <w:p w14:paraId="04B09F99" w14:textId="77777777" w:rsidR="004A2DF7" w:rsidRPr="00BB35B1"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B35B1">
              <w:t>156.1</w:t>
            </w:r>
          </w:p>
        </w:tc>
      </w:tr>
      <w:tr w:rsidR="004A2DF7" w:rsidRPr="00BB35B1" w14:paraId="747B66B6" w14:textId="77777777" w:rsidTr="00B01D55">
        <w:trPr>
          <w:trHeight w:val="20"/>
        </w:trPr>
        <w:tc>
          <w:tcPr>
            <w:tcW w:w="7078" w:type="dxa"/>
            <w:noWrap/>
            <w:hideMark/>
          </w:tcPr>
          <w:p w14:paraId="778BB2E2" w14:textId="77777777" w:rsidR="004A2DF7" w:rsidRPr="00BB35B1" w:rsidRDefault="004A2DF7" w:rsidP="004F0449">
            <w:pPr>
              <w:pStyle w:val="ARfintablebody"/>
            </w:pPr>
            <w:r w:rsidRPr="00BB35B1">
              <w:t>Borrowings</w:t>
            </w:r>
          </w:p>
        </w:tc>
        <w:tc>
          <w:tcPr>
            <w:cnfStyle w:val="000001000000" w:firstRow="0" w:lastRow="0" w:firstColumn="0" w:lastColumn="0" w:oddVBand="0" w:evenVBand="1" w:oddHBand="0" w:evenHBand="0" w:firstRowFirstColumn="0" w:firstRowLastColumn="0" w:lastRowFirstColumn="0" w:lastRowLastColumn="0"/>
            <w:tcW w:w="1277" w:type="dxa"/>
            <w:noWrap/>
            <w:hideMark/>
          </w:tcPr>
          <w:p w14:paraId="455A823C" w14:textId="77777777" w:rsidR="004A2DF7" w:rsidRPr="00BB35B1" w:rsidRDefault="004A2DF7" w:rsidP="00B01D55">
            <w:pPr>
              <w:pStyle w:val="ARfintablebodyright"/>
            </w:pPr>
            <w:r w:rsidRPr="00BB35B1">
              <w:t>694.9</w:t>
            </w:r>
          </w:p>
        </w:tc>
        <w:tc>
          <w:tcPr>
            <w:tcW w:w="1277" w:type="dxa"/>
            <w:noWrap/>
            <w:hideMark/>
          </w:tcPr>
          <w:p w14:paraId="3C4314A2" w14:textId="77777777" w:rsidR="004A2DF7" w:rsidRPr="00BB35B1"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B35B1">
              <w:t>463.5</w:t>
            </w:r>
          </w:p>
        </w:tc>
      </w:tr>
      <w:tr w:rsidR="004A2DF7" w:rsidRPr="00BB35B1" w14:paraId="0671DB0F" w14:textId="77777777" w:rsidTr="00B01D55">
        <w:trPr>
          <w:trHeight w:val="20"/>
        </w:trPr>
        <w:tc>
          <w:tcPr>
            <w:tcW w:w="7078" w:type="dxa"/>
            <w:tcBorders>
              <w:bottom w:val="single" w:sz="4" w:space="0" w:color="A6A6A6" w:themeColor="accent5"/>
            </w:tcBorders>
            <w:noWrap/>
            <w:hideMark/>
          </w:tcPr>
          <w:p w14:paraId="3D20487B" w14:textId="77777777" w:rsidR="004A2DF7" w:rsidRPr="00BB35B1" w:rsidRDefault="004A2DF7" w:rsidP="004F0449">
            <w:pPr>
              <w:pStyle w:val="ARfintablebody"/>
            </w:pPr>
            <w:r w:rsidRPr="00BB35B1">
              <w:t>Employee related provisions</w:t>
            </w:r>
          </w:p>
        </w:tc>
        <w:tc>
          <w:tcPr>
            <w:cnfStyle w:val="000001000000" w:firstRow="0" w:lastRow="0" w:firstColumn="0" w:lastColumn="0" w:oddVBand="0" w:evenVBand="1" w:oddHBand="0" w:evenHBand="0" w:firstRowFirstColumn="0" w:firstRowLastColumn="0" w:lastRowFirstColumn="0" w:lastRowLastColumn="0"/>
            <w:tcW w:w="1277" w:type="dxa"/>
            <w:tcBorders>
              <w:bottom w:val="single" w:sz="4" w:space="0" w:color="A6A6A6" w:themeColor="accent5"/>
            </w:tcBorders>
            <w:noWrap/>
            <w:hideMark/>
          </w:tcPr>
          <w:p w14:paraId="1A8973F9" w14:textId="77777777" w:rsidR="004A2DF7" w:rsidRPr="00BB35B1" w:rsidRDefault="004A2DF7" w:rsidP="00B01D55">
            <w:pPr>
              <w:pStyle w:val="ARfintablebodyright"/>
            </w:pPr>
            <w:r w:rsidRPr="00BB35B1">
              <w:t>85.5</w:t>
            </w:r>
          </w:p>
        </w:tc>
        <w:tc>
          <w:tcPr>
            <w:tcW w:w="1277" w:type="dxa"/>
            <w:tcBorders>
              <w:bottom w:val="single" w:sz="4" w:space="0" w:color="A6A6A6" w:themeColor="accent5"/>
            </w:tcBorders>
            <w:noWrap/>
            <w:hideMark/>
          </w:tcPr>
          <w:p w14:paraId="2632D068" w14:textId="77777777" w:rsidR="004A2DF7" w:rsidRPr="00BB35B1"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B35B1">
              <w:t>79.9</w:t>
            </w:r>
          </w:p>
        </w:tc>
      </w:tr>
      <w:tr w:rsidR="004A2DF7" w:rsidRPr="00BB35B1" w14:paraId="4A046C70" w14:textId="77777777" w:rsidTr="00B01D55">
        <w:trPr>
          <w:trHeight w:val="20"/>
        </w:trPr>
        <w:tc>
          <w:tcPr>
            <w:tcW w:w="7078" w:type="dxa"/>
            <w:tcBorders>
              <w:top w:val="single" w:sz="4" w:space="0" w:color="A6A6A6" w:themeColor="accent5"/>
              <w:bottom w:val="single" w:sz="4" w:space="0" w:color="000000" w:themeColor="text1"/>
            </w:tcBorders>
            <w:noWrap/>
            <w:hideMark/>
          </w:tcPr>
          <w:p w14:paraId="58ED878B" w14:textId="77777777" w:rsidR="004A2DF7" w:rsidRPr="00BB35B1" w:rsidRDefault="004A2DF7" w:rsidP="004F0449">
            <w:pPr>
              <w:pStyle w:val="ARfintablebody"/>
              <w:rPr>
                <w:vertAlign w:val="superscript"/>
              </w:rPr>
            </w:pPr>
            <w:r w:rsidRPr="00BB35B1">
              <w:t xml:space="preserve">Other liabilities </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A6A6A6" w:themeColor="accent5"/>
              <w:bottom w:val="single" w:sz="4" w:space="0" w:color="000000" w:themeColor="text1"/>
            </w:tcBorders>
            <w:noWrap/>
            <w:hideMark/>
          </w:tcPr>
          <w:p w14:paraId="2B75C912" w14:textId="77777777" w:rsidR="004A2DF7" w:rsidRPr="00BB35B1" w:rsidRDefault="004A2DF7" w:rsidP="00B01D55">
            <w:pPr>
              <w:pStyle w:val="ARfintablebodyright"/>
            </w:pPr>
            <w:r w:rsidRPr="00BB35B1">
              <w:t>119.8</w:t>
            </w:r>
          </w:p>
        </w:tc>
        <w:tc>
          <w:tcPr>
            <w:tcW w:w="1277" w:type="dxa"/>
            <w:tcBorders>
              <w:top w:val="single" w:sz="4" w:space="0" w:color="A6A6A6" w:themeColor="accent5"/>
              <w:bottom w:val="single" w:sz="4" w:space="0" w:color="000000" w:themeColor="text1"/>
            </w:tcBorders>
            <w:noWrap/>
            <w:hideMark/>
          </w:tcPr>
          <w:p w14:paraId="60AF8EC1" w14:textId="77777777" w:rsidR="004A2DF7" w:rsidRPr="00BB35B1"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B35B1">
              <w:t>86.3</w:t>
            </w:r>
          </w:p>
        </w:tc>
      </w:tr>
      <w:tr w:rsidR="004A2DF7" w:rsidRPr="00BB35B1" w14:paraId="599BA214" w14:textId="77777777" w:rsidTr="00B01D55">
        <w:trPr>
          <w:trHeight w:val="20"/>
        </w:trPr>
        <w:tc>
          <w:tcPr>
            <w:tcW w:w="7078" w:type="dxa"/>
            <w:tcBorders>
              <w:top w:val="single" w:sz="4" w:space="0" w:color="000000" w:themeColor="text1"/>
              <w:bottom w:val="single" w:sz="4" w:space="0" w:color="000000" w:themeColor="text1"/>
            </w:tcBorders>
            <w:noWrap/>
            <w:hideMark/>
          </w:tcPr>
          <w:p w14:paraId="26C0D4DD" w14:textId="77777777" w:rsidR="004A2DF7" w:rsidRPr="00BB35B1" w:rsidRDefault="004A2DF7" w:rsidP="00B01D55">
            <w:pPr>
              <w:pStyle w:val="ARfintablebodybold"/>
            </w:pPr>
            <w:r w:rsidRPr="00BB35B1">
              <w:t>Total liabilities</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000000" w:themeColor="text1"/>
              <w:bottom w:val="single" w:sz="4" w:space="0" w:color="000000" w:themeColor="text1"/>
            </w:tcBorders>
            <w:noWrap/>
            <w:hideMark/>
          </w:tcPr>
          <w:p w14:paraId="4EB2E366" w14:textId="77777777" w:rsidR="004A2DF7" w:rsidRPr="00BB35B1" w:rsidRDefault="004A2DF7" w:rsidP="00B01D55">
            <w:pPr>
              <w:pStyle w:val="ARfintablebodyrightbold"/>
            </w:pPr>
            <w:r w:rsidRPr="00BB35B1">
              <w:t>1,065.8</w:t>
            </w:r>
          </w:p>
        </w:tc>
        <w:tc>
          <w:tcPr>
            <w:tcW w:w="1277" w:type="dxa"/>
            <w:tcBorders>
              <w:top w:val="single" w:sz="4" w:space="0" w:color="000000" w:themeColor="text1"/>
              <w:bottom w:val="single" w:sz="4" w:space="0" w:color="000000" w:themeColor="text1"/>
            </w:tcBorders>
            <w:noWrap/>
            <w:hideMark/>
          </w:tcPr>
          <w:p w14:paraId="3FCA93FA" w14:textId="77777777" w:rsidR="004A2DF7" w:rsidRPr="00BB35B1" w:rsidRDefault="004A2DF7" w:rsidP="00B01D55">
            <w:pPr>
              <w:pStyle w:val="ARfintablebodyrightbold"/>
              <w:cnfStyle w:val="000000000000" w:firstRow="0" w:lastRow="0" w:firstColumn="0" w:lastColumn="0" w:oddVBand="0" w:evenVBand="0" w:oddHBand="0" w:evenHBand="0" w:firstRowFirstColumn="0" w:firstRowLastColumn="0" w:lastRowFirstColumn="0" w:lastRowLastColumn="0"/>
            </w:pPr>
            <w:r w:rsidRPr="00BB35B1">
              <w:t>785.8</w:t>
            </w:r>
          </w:p>
        </w:tc>
      </w:tr>
      <w:tr w:rsidR="004A2DF7" w:rsidRPr="00BB35B1" w14:paraId="1C07F467" w14:textId="77777777" w:rsidTr="00B01D55">
        <w:trPr>
          <w:trHeight w:val="20"/>
        </w:trPr>
        <w:tc>
          <w:tcPr>
            <w:tcW w:w="7078" w:type="dxa"/>
            <w:tcBorders>
              <w:top w:val="single" w:sz="4" w:space="0" w:color="000000" w:themeColor="text1"/>
              <w:bottom w:val="single" w:sz="4" w:space="0" w:color="000000" w:themeColor="text1"/>
            </w:tcBorders>
            <w:noWrap/>
            <w:hideMark/>
          </w:tcPr>
          <w:p w14:paraId="42A5C550" w14:textId="77777777" w:rsidR="004A2DF7" w:rsidRPr="00BB35B1" w:rsidRDefault="004A2DF7" w:rsidP="00B01D55">
            <w:pPr>
              <w:pStyle w:val="ARfintablebodybold"/>
            </w:pPr>
            <w:r w:rsidRPr="00BB35B1">
              <w:t>Net assets</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000000" w:themeColor="text1"/>
              <w:bottom w:val="single" w:sz="4" w:space="0" w:color="000000" w:themeColor="text1"/>
            </w:tcBorders>
            <w:noWrap/>
            <w:hideMark/>
          </w:tcPr>
          <w:p w14:paraId="6C8F650D" w14:textId="77777777" w:rsidR="004A2DF7" w:rsidRPr="00BB35B1" w:rsidRDefault="004A2DF7" w:rsidP="00B01D55">
            <w:pPr>
              <w:pStyle w:val="ARfintablebodyrightbold"/>
            </w:pPr>
            <w:r w:rsidRPr="00BB35B1">
              <w:t>37,782.4</w:t>
            </w:r>
          </w:p>
        </w:tc>
        <w:tc>
          <w:tcPr>
            <w:tcW w:w="1277" w:type="dxa"/>
            <w:tcBorders>
              <w:top w:val="single" w:sz="4" w:space="0" w:color="000000" w:themeColor="text1"/>
              <w:bottom w:val="single" w:sz="4" w:space="0" w:color="000000" w:themeColor="text1"/>
            </w:tcBorders>
            <w:noWrap/>
            <w:hideMark/>
          </w:tcPr>
          <w:p w14:paraId="54249F81" w14:textId="77777777" w:rsidR="004A2DF7" w:rsidRPr="00BB35B1" w:rsidRDefault="004A2DF7" w:rsidP="00B01D55">
            <w:pPr>
              <w:pStyle w:val="ARfintablebodyrightbold"/>
              <w:cnfStyle w:val="000000000000" w:firstRow="0" w:lastRow="0" w:firstColumn="0" w:lastColumn="0" w:oddVBand="0" w:evenVBand="0" w:oddHBand="0" w:evenHBand="0" w:firstRowFirstColumn="0" w:firstRowLastColumn="0" w:lastRowFirstColumn="0" w:lastRowLastColumn="0"/>
            </w:pPr>
            <w:r w:rsidRPr="00BB35B1">
              <w:t>37,097.5</w:t>
            </w:r>
          </w:p>
        </w:tc>
      </w:tr>
      <w:tr w:rsidR="00B01D55" w:rsidRPr="00BB35B1" w14:paraId="67F36466" w14:textId="77777777" w:rsidTr="00B01D55">
        <w:trPr>
          <w:trHeight w:val="20"/>
        </w:trPr>
        <w:tc>
          <w:tcPr>
            <w:tcW w:w="7078" w:type="dxa"/>
            <w:tcBorders>
              <w:top w:val="single" w:sz="4" w:space="0" w:color="000000" w:themeColor="text1"/>
              <w:bottom w:val="single" w:sz="4" w:space="0" w:color="A6A6A6" w:themeColor="accent5"/>
            </w:tcBorders>
            <w:noWrap/>
          </w:tcPr>
          <w:p w14:paraId="1A58BC11" w14:textId="442AE66B" w:rsidR="00B01D55" w:rsidRPr="00BB35B1" w:rsidRDefault="00B01D55" w:rsidP="00B01D55">
            <w:pPr>
              <w:pStyle w:val="ARfintablebodyboldcoloured"/>
              <w:rPr>
                <w:color w:val="000000"/>
              </w:rPr>
            </w:pPr>
            <w:r w:rsidRPr="00BB35B1">
              <w:t>Equity</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000000" w:themeColor="text1"/>
              <w:bottom w:val="single" w:sz="4" w:space="0" w:color="A6A6A6" w:themeColor="accent5"/>
            </w:tcBorders>
            <w:noWrap/>
          </w:tcPr>
          <w:p w14:paraId="59338A00" w14:textId="77777777" w:rsidR="00B01D55" w:rsidRPr="00BB35B1" w:rsidRDefault="00B01D55" w:rsidP="00B01D55">
            <w:pPr>
              <w:pStyle w:val="ARfintablebodyright"/>
            </w:pPr>
          </w:p>
        </w:tc>
        <w:tc>
          <w:tcPr>
            <w:tcW w:w="1277" w:type="dxa"/>
            <w:tcBorders>
              <w:top w:val="single" w:sz="4" w:space="0" w:color="000000" w:themeColor="text1"/>
              <w:bottom w:val="single" w:sz="4" w:space="0" w:color="A6A6A6" w:themeColor="accent5"/>
            </w:tcBorders>
            <w:noWrap/>
          </w:tcPr>
          <w:p w14:paraId="29421A30" w14:textId="77777777" w:rsidR="00B01D55" w:rsidRPr="00BB35B1" w:rsidRDefault="00B01D55" w:rsidP="00B01D55">
            <w:pPr>
              <w:pStyle w:val="ARfintablebodyright"/>
              <w:cnfStyle w:val="000000000000" w:firstRow="0" w:lastRow="0" w:firstColumn="0" w:lastColumn="0" w:oddVBand="0" w:evenVBand="0" w:oddHBand="0" w:evenHBand="0" w:firstRowFirstColumn="0" w:firstRowLastColumn="0" w:lastRowFirstColumn="0" w:lastRowLastColumn="0"/>
            </w:pPr>
          </w:p>
        </w:tc>
      </w:tr>
      <w:tr w:rsidR="004A2DF7" w:rsidRPr="00BB35B1" w14:paraId="4C043A41" w14:textId="77777777" w:rsidTr="00B01D55">
        <w:trPr>
          <w:trHeight w:val="20"/>
        </w:trPr>
        <w:tc>
          <w:tcPr>
            <w:tcW w:w="7078" w:type="dxa"/>
            <w:tcBorders>
              <w:top w:val="single" w:sz="4" w:space="0" w:color="A6A6A6" w:themeColor="accent5"/>
            </w:tcBorders>
            <w:noWrap/>
            <w:hideMark/>
          </w:tcPr>
          <w:p w14:paraId="3F36BB2B" w14:textId="77777777" w:rsidR="004A2DF7" w:rsidRPr="004F0449" w:rsidRDefault="004A2DF7" w:rsidP="004F0449">
            <w:pPr>
              <w:pStyle w:val="ARfintablebody"/>
            </w:pPr>
            <w:r w:rsidRPr="004F0449">
              <w:t>Accumulated surplus/(deficit)</w:t>
            </w:r>
          </w:p>
        </w:tc>
        <w:tc>
          <w:tcPr>
            <w:cnfStyle w:val="000001000000" w:firstRow="0" w:lastRow="0" w:firstColumn="0" w:lastColumn="0" w:oddVBand="0" w:evenVBand="1" w:oddHBand="0" w:evenHBand="0" w:firstRowFirstColumn="0" w:firstRowLastColumn="0" w:lastRowFirstColumn="0" w:lastRowLastColumn="0"/>
            <w:tcW w:w="1277" w:type="dxa"/>
            <w:tcBorders>
              <w:top w:val="single" w:sz="4" w:space="0" w:color="A6A6A6" w:themeColor="accent5"/>
            </w:tcBorders>
            <w:noWrap/>
            <w:hideMark/>
          </w:tcPr>
          <w:p w14:paraId="31B73897" w14:textId="77777777" w:rsidR="004A2DF7" w:rsidRPr="00B01D55" w:rsidRDefault="004A2DF7" w:rsidP="00B01D55">
            <w:pPr>
              <w:pStyle w:val="ARfintablebodyright"/>
            </w:pPr>
            <w:r w:rsidRPr="00B01D55">
              <w:t>(652.0)</w:t>
            </w:r>
          </w:p>
        </w:tc>
        <w:tc>
          <w:tcPr>
            <w:tcW w:w="1277" w:type="dxa"/>
            <w:tcBorders>
              <w:top w:val="single" w:sz="4" w:space="0" w:color="A6A6A6" w:themeColor="accent5"/>
            </w:tcBorders>
            <w:noWrap/>
            <w:hideMark/>
          </w:tcPr>
          <w:p w14:paraId="5D02B5C5" w14:textId="77777777" w:rsidR="004A2DF7" w:rsidRPr="00B01D55"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01D55">
              <w:t>(291.1)</w:t>
            </w:r>
          </w:p>
        </w:tc>
      </w:tr>
      <w:tr w:rsidR="004A2DF7" w:rsidRPr="00BB35B1" w14:paraId="487ED9E8" w14:textId="77777777" w:rsidTr="00B01D55">
        <w:trPr>
          <w:trHeight w:val="20"/>
        </w:trPr>
        <w:tc>
          <w:tcPr>
            <w:tcW w:w="7078" w:type="dxa"/>
            <w:noWrap/>
            <w:hideMark/>
          </w:tcPr>
          <w:p w14:paraId="593BBAD6" w14:textId="77777777" w:rsidR="004A2DF7" w:rsidRPr="004F0449" w:rsidRDefault="004A2DF7" w:rsidP="004F0449">
            <w:pPr>
              <w:pStyle w:val="ARfintablebody"/>
            </w:pPr>
            <w:r w:rsidRPr="004F0449">
              <w:t>Physical asset revaluation surplus</w:t>
            </w:r>
          </w:p>
        </w:tc>
        <w:tc>
          <w:tcPr>
            <w:cnfStyle w:val="000001000000" w:firstRow="0" w:lastRow="0" w:firstColumn="0" w:lastColumn="0" w:oddVBand="0" w:evenVBand="1" w:oddHBand="0" w:evenHBand="0" w:firstRowFirstColumn="0" w:firstRowLastColumn="0" w:lastRowFirstColumn="0" w:lastRowLastColumn="0"/>
            <w:tcW w:w="1277" w:type="dxa"/>
            <w:noWrap/>
            <w:hideMark/>
          </w:tcPr>
          <w:p w14:paraId="637B7ACF" w14:textId="77777777" w:rsidR="004A2DF7" w:rsidRPr="00B01D55" w:rsidRDefault="004A2DF7" w:rsidP="00B01D55">
            <w:pPr>
              <w:pStyle w:val="ARfintablebodyright"/>
            </w:pPr>
            <w:r w:rsidRPr="00B01D55">
              <w:t>8,483.4</w:t>
            </w:r>
          </w:p>
        </w:tc>
        <w:tc>
          <w:tcPr>
            <w:tcW w:w="1277" w:type="dxa"/>
            <w:noWrap/>
            <w:hideMark/>
          </w:tcPr>
          <w:p w14:paraId="13233397" w14:textId="77777777" w:rsidR="004A2DF7" w:rsidRPr="00B01D55"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01D55">
              <w:t>8,479.2</w:t>
            </w:r>
          </w:p>
        </w:tc>
      </w:tr>
      <w:tr w:rsidR="004A2DF7" w:rsidRPr="00BB35B1" w14:paraId="69549614" w14:textId="77777777" w:rsidTr="00B01D55">
        <w:trPr>
          <w:trHeight w:val="20"/>
        </w:trPr>
        <w:tc>
          <w:tcPr>
            <w:tcW w:w="7078" w:type="dxa"/>
            <w:noWrap/>
            <w:hideMark/>
          </w:tcPr>
          <w:p w14:paraId="457A8002" w14:textId="77777777" w:rsidR="004A2DF7" w:rsidRPr="004F0449" w:rsidRDefault="004A2DF7" w:rsidP="004F0449">
            <w:pPr>
              <w:pStyle w:val="ARfintablebody"/>
            </w:pPr>
            <w:r w:rsidRPr="004F0449">
              <w:t>Contributed capital</w:t>
            </w:r>
          </w:p>
        </w:tc>
        <w:tc>
          <w:tcPr>
            <w:cnfStyle w:val="000001000000" w:firstRow="0" w:lastRow="0" w:firstColumn="0" w:lastColumn="0" w:oddVBand="0" w:evenVBand="1" w:oddHBand="0" w:evenHBand="0" w:firstRowFirstColumn="0" w:firstRowLastColumn="0" w:lastRowFirstColumn="0" w:lastRowLastColumn="0"/>
            <w:tcW w:w="1277" w:type="dxa"/>
            <w:noWrap/>
            <w:hideMark/>
          </w:tcPr>
          <w:p w14:paraId="078DA7B1" w14:textId="77777777" w:rsidR="004A2DF7" w:rsidRPr="00B01D55" w:rsidRDefault="004A2DF7" w:rsidP="00B01D55">
            <w:pPr>
              <w:pStyle w:val="ARfintablebodyright"/>
            </w:pPr>
            <w:r w:rsidRPr="00B01D55">
              <w:t>29,951.0</w:t>
            </w:r>
          </w:p>
        </w:tc>
        <w:tc>
          <w:tcPr>
            <w:tcW w:w="1277" w:type="dxa"/>
            <w:noWrap/>
            <w:hideMark/>
          </w:tcPr>
          <w:p w14:paraId="6066F868" w14:textId="77777777" w:rsidR="004A2DF7" w:rsidRPr="00B01D55" w:rsidRDefault="004A2DF7" w:rsidP="00B01D55">
            <w:pPr>
              <w:pStyle w:val="ARfintablebodyright"/>
              <w:cnfStyle w:val="000000000000" w:firstRow="0" w:lastRow="0" w:firstColumn="0" w:lastColumn="0" w:oddVBand="0" w:evenVBand="0" w:oddHBand="0" w:evenHBand="0" w:firstRowFirstColumn="0" w:firstRowLastColumn="0" w:lastRowFirstColumn="0" w:lastRowLastColumn="0"/>
            </w:pPr>
            <w:r w:rsidRPr="00B01D55">
              <w:t>28,909.4</w:t>
            </w:r>
          </w:p>
        </w:tc>
      </w:tr>
      <w:tr w:rsidR="004A2DF7" w:rsidRPr="00BB35B1" w14:paraId="4B901E77" w14:textId="77777777" w:rsidTr="00B01D55">
        <w:trPr>
          <w:cnfStyle w:val="010000000000" w:firstRow="0" w:lastRow="1" w:firstColumn="0" w:lastColumn="0" w:oddVBand="0" w:evenVBand="0" w:oddHBand="0" w:evenHBand="0" w:firstRowFirstColumn="0" w:firstRowLastColumn="0" w:lastRowFirstColumn="0" w:lastRowLastColumn="0"/>
          <w:trHeight w:val="20"/>
        </w:trPr>
        <w:tc>
          <w:tcPr>
            <w:tcW w:w="7078" w:type="dxa"/>
            <w:noWrap/>
            <w:hideMark/>
          </w:tcPr>
          <w:p w14:paraId="6D0E7779" w14:textId="77777777" w:rsidR="004A2DF7" w:rsidRPr="00B01D55" w:rsidRDefault="004A2DF7" w:rsidP="00B01D55">
            <w:pPr>
              <w:pStyle w:val="ARfintablebodybold"/>
            </w:pPr>
            <w:r w:rsidRPr="00BB35B1">
              <w:t>Net worth</w:t>
            </w:r>
          </w:p>
        </w:tc>
        <w:tc>
          <w:tcPr>
            <w:cnfStyle w:val="000001000000" w:firstRow="0" w:lastRow="0" w:firstColumn="0" w:lastColumn="0" w:oddVBand="0" w:evenVBand="1" w:oddHBand="0" w:evenHBand="0" w:firstRowFirstColumn="0" w:firstRowLastColumn="0" w:lastRowFirstColumn="0" w:lastRowLastColumn="0"/>
            <w:tcW w:w="1277" w:type="dxa"/>
            <w:noWrap/>
            <w:hideMark/>
          </w:tcPr>
          <w:p w14:paraId="5F0A409C" w14:textId="77777777" w:rsidR="004A2DF7" w:rsidRPr="00BB35B1" w:rsidRDefault="004A2DF7" w:rsidP="00B01D55">
            <w:pPr>
              <w:pStyle w:val="ARfintablebodyrightbold"/>
            </w:pPr>
            <w:r w:rsidRPr="00BB35B1">
              <w:t>37,782.4</w:t>
            </w:r>
          </w:p>
        </w:tc>
        <w:tc>
          <w:tcPr>
            <w:tcW w:w="1277" w:type="dxa"/>
            <w:noWrap/>
            <w:hideMark/>
          </w:tcPr>
          <w:p w14:paraId="275D90FE" w14:textId="77777777" w:rsidR="004A2DF7" w:rsidRPr="00BB35B1" w:rsidRDefault="004A2DF7" w:rsidP="00B01D55">
            <w:pPr>
              <w:pStyle w:val="ARfintablebodyrightbold"/>
              <w:cnfStyle w:val="010000000000" w:firstRow="0" w:lastRow="1" w:firstColumn="0" w:lastColumn="0" w:oddVBand="0" w:evenVBand="0" w:oddHBand="0" w:evenHBand="0" w:firstRowFirstColumn="0" w:firstRowLastColumn="0" w:lastRowFirstColumn="0" w:lastRowLastColumn="0"/>
            </w:pPr>
            <w:r w:rsidRPr="00BB35B1">
              <w:t>37,097.5</w:t>
            </w:r>
          </w:p>
        </w:tc>
      </w:tr>
    </w:tbl>
    <w:p w14:paraId="72ED8BED" w14:textId="11D35AEE" w:rsidR="004A2DF7" w:rsidRPr="00BB35B1" w:rsidRDefault="004A2DF7" w:rsidP="004D2CC2">
      <w:pPr>
        <w:pStyle w:val="ARfintablefootnote"/>
        <w:rPr>
          <w:lang w:eastAsia="en-AU"/>
        </w:rPr>
      </w:pPr>
      <w:r w:rsidRPr="00BB35B1">
        <w:rPr>
          <w:lang w:eastAsia="en-AU"/>
        </w:rPr>
        <w:t>Note:</w:t>
      </w:r>
    </w:p>
    <w:p w14:paraId="1E1DF4FE" w14:textId="0F46A763" w:rsidR="004A2DF7" w:rsidRPr="00BB35B1" w:rsidRDefault="004D2CC2" w:rsidP="004D2CC2">
      <w:pPr>
        <w:pStyle w:val="ARfintablefootnotetabindent"/>
      </w:pPr>
      <w:r>
        <w:t>(</w:t>
      </w:r>
      <w:proofErr w:type="spellStart"/>
      <w:r>
        <w:t>i</w:t>
      </w:r>
      <w:proofErr w:type="spellEnd"/>
      <w:r>
        <w:t>)</w:t>
      </w:r>
      <w:r>
        <w:tab/>
      </w:r>
      <w:r w:rsidR="004A2DF7" w:rsidRPr="00BB35B1">
        <w:t>The increase in cash at bank reflects contractual commitments not yet expended. These funds will be used to continue improving the condition and growth of social housing in Victoria.</w:t>
      </w:r>
    </w:p>
    <w:p w14:paraId="7E4C6B58" w14:textId="77777777" w:rsidR="004A2DF7" w:rsidRPr="00BB35B1" w:rsidRDefault="004A2DF7" w:rsidP="005949D6">
      <w:pPr>
        <w:pStyle w:val="ARbody"/>
        <w:rPr>
          <w:highlight w:val="green"/>
        </w:rPr>
      </w:pPr>
      <w:r w:rsidRPr="00BB35B1">
        <w:rPr>
          <w:highlight w:val="green"/>
        </w:rPr>
        <w:br w:type="page"/>
      </w:r>
    </w:p>
    <w:p w14:paraId="54BEFC37" w14:textId="77777777" w:rsidR="004A2DF7" w:rsidRPr="00BB35B1" w:rsidRDefault="004A2DF7" w:rsidP="000F4DD4">
      <w:pPr>
        <w:pStyle w:val="Heading3"/>
        <w:spacing w:before="0"/>
      </w:pPr>
      <w:bookmarkStart w:id="308" w:name="Cashflowstatement225"/>
      <w:bookmarkStart w:id="309" w:name="_Ref112760424"/>
      <w:bookmarkStart w:id="310" w:name="_Ref146707928"/>
      <w:bookmarkStart w:id="311" w:name="_Ref178239821"/>
      <w:r w:rsidRPr="00BB35B1">
        <w:lastRenderedPageBreak/>
        <w:t xml:space="preserve">Cash flow statement </w:t>
      </w:r>
      <w:bookmarkEnd w:id="308"/>
      <w:r w:rsidRPr="00BB35B1">
        <w:t>for the financial year ended 30 June 202</w:t>
      </w:r>
      <w:bookmarkEnd w:id="309"/>
      <w:bookmarkEnd w:id="310"/>
      <w:bookmarkEnd w:id="311"/>
      <w:r w:rsidRPr="00BB35B1">
        <w:t>5</w:t>
      </w:r>
    </w:p>
    <w:tbl>
      <w:tblPr>
        <w:tblStyle w:val="DFFHtable3"/>
        <w:tblW w:w="0" w:type="auto"/>
        <w:tblLayout w:type="fixed"/>
        <w:tblLook w:val="04E0" w:firstRow="1" w:lastRow="1" w:firstColumn="1" w:lastColumn="0" w:noHBand="0" w:noVBand="1"/>
      </w:tblPr>
      <w:tblGrid>
        <w:gridCol w:w="7088"/>
        <w:gridCol w:w="1272"/>
        <w:gridCol w:w="1272"/>
      </w:tblGrid>
      <w:tr w:rsidR="004A2DF7" w:rsidRPr="00BB35B1" w14:paraId="0DF5E248" w14:textId="77777777" w:rsidTr="00256563">
        <w:trPr>
          <w:cnfStyle w:val="100000000000" w:firstRow="1" w:lastRow="0" w:firstColumn="0" w:lastColumn="0" w:oddVBand="0" w:evenVBand="0" w:oddHBand="0" w:evenHBand="0" w:firstRowFirstColumn="0" w:firstRowLastColumn="0" w:lastRowFirstColumn="0" w:lastRowLastColumn="0"/>
          <w:trHeight w:val="20"/>
          <w:tblHeader/>
        </w:trPr>
        <w:tc>
          <w:tcPr>
            <w:tcW w:w="7088" w:type="dxa"/>
            <w:noWrap/>
            <w:hideMark/>
          </w:tcPr>
          <w:p w14:paraId="3DDE9D87" w14:textId="51BF0248" w:rsidR="004A2DF7" w:rsidRPr="00BB35B1" w:rsidRDefault="004A2DF7" w:rsidP="00665B38">
            <w:pPr>
              <w:pStyle w:val="ARfintablecolhead"/>
              <w:rPr>
                <w:rFonts w:eastAsia="Times New Roman" w:cs="Times New Roman"/>
                <w:sz w:val="16"/>
                <w:szCs w:val="14"/>
              </w:rPr>
            </w:pPr>
          </w:p>
        </w:tc>
        <w:tc>
          <w:tcPr>
            <w:tcW w:w="1272" w:type="dxa"/>
            <w:shd w:val="clear" w:color="auto" w:fill="E7E6E6"/>
            <w:noWrap/>
            <w:hideMark/>
          </w:tcPr>
          <w:p w14:paraId="204E0BD4" w14:textId="77777777" w:rsidR="004A2DF7" w:rsidRPr="00BB35B1" w:rsidRDefault="004A2DF7" w:rsidP="00C73BEB">
            <w:pPr>
              <w:pStyle w:val="ARfintablecolheadright"/>
            </w:pPr>
            <w:r w:rsidRPr="00BB35B1">
              <w:t>2025</w:t>
            </w:r>
          </w:p>
          <w:p w14:paraId="6D2877F0" w14:textId="77777777" w:rsidR="004A2DF7" w:rsidRPr="00BB35B1" w:rsidRDefault="004A2DF7" w:rsidP="00C73BEB">
            <w:pPr>
              <w:pStyle w:val="ARfintablecolheadright"/>
            </w:pPr>
            <w:r w:rsidRPr="00BB35B1">
              <w:t xml:space="preserve"> $M </w:t>
            </w:r>
          </w:p>
        </w:tc>
        <w:tc>
          <w:tcPr>
            <w:tcW w:w="1272" w:type="dxa"/>
            <w:noWrap/>
            <w:hideMark/>
          </w:tcPr>
          <w:p w14:paraId="448E2DAB" w14:textId="77777777" w:rsidR="004A2DF7" w:rsidRPr="00BB35B1" w:rsidRDefault="004A2DF7" w:rsidP="00C73BEB">
            <w:pPr>
              <w:pStyle w:val="ARfintablecolheadright"/>
            </w:pPr>
            <w:r w:rsidRPr="00BB35B1">
              <w:t>2024</w:t>
            </w:r>
          </w:p>
          <w:p w14:paraId="1D7AE026" w14:textId="77777777" w:rsidR="004A2DF7" w:rsidRPr="00BB35B1" w:rsidRDefault="004A2DF7" w:rsidP="00C73BEB">
            <w:pPr>
              <w:pStyle w:val="ARfintablecolheadright"/>
            </w:pPr>
            <w:r w:rsidRPr="00BB35B1">
              <w:t xml:space="preserve"> $M </w:t>
            </w:r>
          </w:p>
        </w:tc>
      </w:tr>
      <w:tr w:rsidR="004F0449" w:rsidRPr="00BB35B1" w14:paraId="5D3935E1" w14:textId="77777777" w:rsidTr="00FA0001">
        <w:trPr>
          <w:trHeight w:val="20"/>
        </w:trPr>
        <w:tc>
          <w:tcPr>
            <w:tcW w:w="7088" w:type="dxa"/>
            <w:noWrap/>
          </w:tcPr>
          <w:p w14:paraId="4C9FD34F" w14:textId="2228ECF4" w:rsidR="004F0449" w:rsidRPr="00BB35B1" w:rsidRDefault="004F0449" w:rsidP="004F0449">
            <w:pPr>
              <w:pStyle w:val="ARfintablebodyboldcoloured"/>
              <w:rPr>
                <w:color w:val="000000"/>
              </w:rPr>
            </w:pPr>
            <w:r w:rsidRPr="00BB35B1">
              <w:t>Cash flows from operating activities</w:t>
            </w:r>
          </w:p>
        </w:tc>
        <w:tc>
          <w:tcPr>
            <w:tcW w:w="1272" w:type="dxa"/>
            <w:noWrap/>
          </w:tcPr>
          <w:p w14:paraId="2A7A524B" w14:textId="77777777" w:rsidR="004F0449" w:rsidRPr="004F0449" w:rsidRDefault="004F0449" w:rsidP="004F0449">
            <w:pPr>
              <w:pStyle w:val="ARfintablebodyright"/>
            </w:pPr>
          </w:p>
        </w:tc>
        <w:tc>
          <w:tcPr>
            <w:tcW w:w="1272" w:type="dxa"/>
            <w:noWrap/>
          </w:tcPr>
          <w:p w14:paraId="31B3E3DC" w14:textId="77777777" w:rsidR="004F0449" w:rsidRPr="004F0449" w:rsidRDefault="004F0449" w:rsidP="004F0449">
            <w:pPr>
              <w:pStyle w:val="ARfintablebodyright"/>
            </w:pPr>
          </w:p>
        </w:tc>
      </w:tr>
      <w:tr w:rsidR="004F0449" w:rsidRPr="00BB35B1" w14:paraId="46F7FC98" w14:textId="77777777" w:rsidTr="00FA0001">
        <w:trPr>
          <w:trHeight w:val="20"/>
        </w:trPr>
        <w:tc>
          <w:tcPr>
            <w:tcW w:w="7088" w:type="dxa"/>
            <w:noWrap/>
          </w:tcPr>
          <w:p w14:paraId="1B046E52" w14:textId="1717189F" w:rsidR="004F0449" w:rsidRPr="00BB35B1" w:rsidRDefault="004F0449" w:rsidP="004F0449">
            <w:pPr>
              <w:pStyle w:val="ARfintablebodybold"/>
            </w:pPr>
            <w:r w:rsidRPr="00BB35B1">
              <w:t>Receipts</w:t>
            </w:r>
          </w:p>
        </w:tc>
        <w:tc>
          <w:tcPr>
            <w:tcW w:w="1272" w:type="dxa"/>
            <w:noWrap/>
          </w:tcPr>
          <w:p w14:paraId="1408F7D7" w14:textId="77777777" w:rsidR="004F0449" w:rsidRPr="004F0449" w:rsidRDefault="004F0449" w:rsidP="004F0449">
            <w:pPr>
              <w:pStyle w:val="ARfintablebodyright"/>
            </w:pPr>
          </w:p>
        </w:tc>
        <w:tc>
          <w:tcPr>
            <w:tcW w:w="1272" w:type="dxa"/>
            <w:noWrap/>
          </w:tcPr>
          <w:p w14:paraId="3718A17D" w14:textId="77777777" w:rsidR="004F0449" w:rsidRPr="004F0449" w:rsidRDefault="004F0449" w:rsidP="004F0449">
            <w:pPr>
              <w:pStyle w:val="ARfintablebodyright"/>
            </w:pPr>
          </w:p>
        </w:tc>
      </w:tr>
      <w:tr w:rsidR="004A2DF7" w:rsidRPr="00BB35B1" w14:paraId="18448B73" w14:textId="77777777" w:rsidTr="00256563">
        <w:trPr>
          <w:trHeight w:val="20"/>
        </w:trPr>
        <w:tc>
          <w:tcPr>
            <w:tcW w:w="7088" w:type="dxa"/>
            <w:noWrap/>
            <w:hideMark/>
          </w:tcPr>
          <w:p w14:paraId="1CECD519" w14:textId="77777777" w:rsidR="004A2DF7" w:rsidRPr="00BB35B1" w:rsidRDefault="004A2DF7" w:rsidP="00FA0001">
            <w:pPr>
              <w:pStyle w:val="ARfintablebody"/>
            </w:pPr>
            <w:r w:rsidRPr="00BB35B1">
              <w:t>Output appropriations</w:t>
            </w:r>
          </w:p>
        </w:tc>
        <w:tc>
          <w:tcPr>
            <w:tcW w:w="1272" w:type="dxa"/>
            <w:shd w:val="clear" w:color="auto" w:fill="E7E6E6"/>
            <w:noWrap/>
            <w:hideMark/>
          </w:tcPr>
          <w:p w14:paraId="44B7D1FC" w14:textId="77777777" w:rsidR="004A2DF7" w:rsidRPr="004F0449" w:rsidRDefault="004A2DF7" w:rsidP="004F0449">
            <w:pPr>
              <w:pStyle w:val="ARfintablebodyright"/>
            </w:pPr>
            <w:r w:rsidRPr="004F0449">
              <w:t>783.2</w:t>
            </w:r>
          </w:p>
        </w:tc>
        <w:tc>
          <w:tcPr>
            <w:tcW w:w="1272" w:type="dxa"/>
            <w:noWrap/>
            <w:hideMark/>
          </w:tcPr>
          <w:p w14:paraId="5AFF8956" w14:textId="77777777" w:rsidR="004A2DF7" w:rsidRPr="004F0449" w:rsidRDefault="004A2DF7" w:rsidP="004F0449">
            <w:pPr>
              <w:pStyle w:val="ARfintablebodyright"/>
            </w:pPr>
            <w:r w:rsidRPr="004F0449">
              <w:t>580.1</w:t>
            </w:r>
          </w:p>
        </w:tc>
      </w:tr>
      <w:tr w:rsidR="004A2DF7" w:rsidRPr="00BB35B1" w14:paraId="02421DF9" w14:textId="77777777" w:rsidTr="00256563">
        <w:trPr>
          <w:trHeight w:val="20"/>
        </w:trPr>
        <w:tc>
          <w:tcPr>
            <w:tcW w:w="7088" w:type="dxa"/>
            <w:noWrap/>
            <w:hideMark/>
          </w:tcPr>
          <w:p w14:paraId="18A68123" w14:textId="77777777" w:rsidR="004A2DF7" w:rsidRPr="00BB35B1" w:rsidRDefault="004A2DF7" w:rsidP="00FA0001">
            <w:pPr>
              <w:pStyle w:val="ARfintablebody"/>
            </w:pPr>
            <w:r w:rsidRPr="00BB35B1">
              <w:t>Special appropriations</w:t>
            </w:r>
          </w:p>
        </w:tc>
        <w:tc>
          <w:tcPr>
            <w:tcW w:w="1272" w:type="dxa"/>
            <w:shd w:val="clear" w:color="auto" w:fill="E7E6E6"/>
            <w:noWrap/>
            <w:hideMark/>
          </w:tcPr>
          <w:p w14:paraId="46B4E4B2" w14:textId="77777777" w:rsidR="004A2DF7" w:rsidRPr="004F0449" w:rsidRDefault="004A2DF7" w:rsidP="004F0449">
            <w:pPr>
              <w:pStyle w:val="ARfintablebodyright"/>
            </w:pPr>
            <w:r w:rsidRPr="004F0449">
              <w:t>5.0</w:t>
            </w:r>
          </w:p>
        </w:tc>
        <w:tc>
          <w:tcPr>
            <w:tcW w:w="1272" w:type="dxa"/>
            <w:noWrap/>
            <w:hideMark/>
          </w:tcPr>
          <w:p w14:paraId="24B6575C" w14:textId="77777777" w:rsidR="004A2DF7" w:rsidRPr="004F0449" w:rsidRDefault="004A2DF7" w:rsidP="004F0449">
            <w:pPr>
              <w:pStyle w:val="ARfintablebodyright"/>
            </w:pPr>
            <w:r w:rsidRPr="004F0449">
              <w:t>5.4</w:t>
            </w:r>
          </w:p>
        </w:tc>
      </w:tr>
      <w:tr w:rsidR="004A2DF7" w:rsidRPr="00BB35B1" w14:paraId="2BFDF8A9" w14:textId="77777777" w:rsidTr="00256563">
        <w:trPr>
          <w:trHeight w:val="20"/>
        </w:trPr>
        <w:tc>
          <w:tcPr>
            <w:tcW w:w="7088" w:type="dxa"/>
            <w:noWrap/>
            <w:hideMark/>
          </w:tcPr>
          <w:p w14:paraId="3D8479C0" w14:textId="77777777" w:rsidR="004A2DF7" w:rsidRPr="00BB35B1" w:rsidRDefault="004A2DF7" w:rsidP="00FA0001">
            <w:pPr>
              <w:pStyle w:val="ARfintablebody"/>
            </w:pPr>
            <w:r w:rsidRPr="00BB35B1">
              <w:t>Funds from other entities</w:t>
            </w:r>
          </w:p>
        </w:tc>
        <w:tc>
          <w:tcPr>
            <w:tcW w:w="1272" w:type="dxa"/>
            <w:shd w:val="clear" w:color="auto" w:fill="E7E6E6"/>
            <w:noWrap/>
            <w:hideMark/>
          </w:tcPr>
          <w:p w14:paraId="1E3F9F9C" w14:textId="77777777" w:rsidR="004A2DF7" w:rsidRPr="004F0449" w:rsidRDefault="004A2DF7" w:rsidP="004F0449">
            <w:pPr>
              <w:pStyle w:val="ARfintablebodyright"/>
            </w:pPr>
            <w:r w:rsidRPr="004F0449">
              <w:t>352.0</w:t>
            </w:r>
          </w:p>
        </w:tc>
        <w:tc>
          <w:tcPr>
            <w:tcW w:w="1272" w:type="dxa"/>
            <w:noWrap/>
            <w:hideMark/>
          </w:tcPr>
          <w:p w14:paraId="09DADA86" w14:textId="77777777" w:rsidR="004A2DF7" w:rsidRPr="004F0449" w:rsidRDefault="004A2DF7" w:rsidP="004F0449">
            <w:pPr>
              <w:pStyle w:val="ARfintablebodyright"/>
            </w:pPr>
            <w:r w:rsidRPr="004F0449">
              <w:t>232.3</w:t>
            </w:r>
          </w:p>
        </w:tc>
      </w:tr>
      <w:tr w:rsidR="004A2DF7" w:rsidRPr="00BB35B1" w14:paraId="4EC2CDF9" w14:textId="77777777" w:rsidTr="00256563">
        <w:trPr>
          <w:trHeight w:val="20"/>
        </w:trPr>
        <w:tc>
          <w:tcPr>
            <w:tcW w:w="7088" w:type="dxa"/>
            <w:noWrap/>
            <w:hideMark/>
          </w:tcPr>
          <w:p w14:paraId="493924CA" w14:textId="77777777" w:rsidR="004A2DF7" w:rsidRPr="00BB35B1" w:rsidRDefault="004A2DF7" w:rsidP="00FA0001">
            <w:pPr>
              <w:pStyle w:val="ARfintablebody"/>
            </w:pPr>
            <w:r w:rsidRPr="00BB35B1">
              <w:t>Rent received</w:t>
            </w:r>
          </w:p>
        </w:tc>
        <w:tc>
          <w:tcPr>
            <w:tcW w:w="1272" w:type="dxa"/>
            <w:shd w:val="clear" w:color="auto" w:fill="E7E6E6"/>
            <w:noWrap/>
            <w:hideMark/>
          </w:tcPr>
          <w:p w14:paraId="30453878" w14:textId="77777777" w:rsidR="004A2DF7" w:rsidRPr="004F0449" w:rsidRDefault="004A2DF7" w:rsidP="004F0449">
            <w:pPr>
              <w:pStyle w:val="ARfintablebodyright"/>
            </w:pPr>
            <w:r w:rsidRPr="004F0449">
              <w:t>587.2</w:t>
            </w:r>
          </w:p>
        </w:tc>
        <w:tc>
          <w:tcPr>
            <w:tcW w:w="1272" w:type="dxa"/>
            <w:noWrap/>
            <w:hideMark/>
          </w:tcPr>
          <w:p w14:paraId="6A941A53" w14:textId="77777777" w:rsidR="004A2DF7" w:rsidRPr="004F0449" w:rsidRDefault="004A2DF7" w:rsidP="004F0449">
            <w:pPr>
              <w:pStyle w:val="ARfintablebodyright"/>
            </w:pPr>
            <w:r w:rsidRPr="004F0449">
              <w:t>557.1</w:t>
            </w:r>
          </w:p>
        </w:tc>
      </w:tr>
      <w:tr w:rsidR="004A2DF7" w:rsidRPr="00BB35B1" w14:paraId="4C7CE3A0" w14:textId="77777777" w:rsidTr="00256563">
        <w:trPr>
          <w:trHeight w:val="20"/>
        </w:trPr>
        <w:tc>
          <w:tcPr>
            <w:tcW w:w="7088" w:type="dxa"/>
            <w:noWrap/>
            <w:hideMark/>
          </w:tcPr>
          <w:p w14:paraId="2264B1E9" w14:textId="77777777" w:rsidR="004A2DF7" w:rsidRPr="00BB35B1" w:rsidRDefault="004A2DF7" w:rsidP="00FA0001">
            <w:pPr>
              <w:pStyle w:val="ARfintablebody"/>
            </w:pPr>
            <w:r w:rsidRPr="00BB35B1">
              <w:t>Interest received</w:t>
            </w:r>
          </w:p>
        </w:tc>
        <w:tc>
          <w:tcPr>
            <w:tcW w:w="1272" w:type="dxa"/>
            <w:shd w:val="clear" w:color="auto" w:fill="E7E6E6"/>
            <w:noWrap/>
            <w:hideMark/>
          </w:tcPr>
          <w:p w14:paraId="0C09F311" w14:textId="77777777" w:rsidR="004A2DF7" w:rsidRPr="004F0449" w:rsidRDefault="004A2DF7" w:rsidP="004F0449">
            <w:pPr>
              <w:pStyle w:val="ARfintablebodyright"/>
            </w:pPr>
            <w:r w:rsidRPr="004F0449">
              <w:t>37.3</w:t>
            </w:r>
          </w:p>
        </w:tc>
        <w:tc>
          <w:tcPr>
            <w:tcW w:w="1272" w:type="dxa"/>
            <w:noWrap/>
            <w:hideMark/>
          </w:tcPr>
          <w:p w14:paraId="74BE8839" w14:textId="77777777" w:rsidR="004A2DF7" w:rsidRPr="004F0449" w:rsidRDefault="004A2DF7" w:rsidP="004F0449">
            <w:pPr>
              <w:pStyle w:val="ARfintablebodyright"/>
            </w:pPr>
            <w:r w:rsidRPr="004F0449">
              <w:t>32.4</w:t>
            </w:r>
          </w:p>
        </w:tc>
      </w:tr>
      <w:tr w:rsidR="004A2DF7" w:rsidRPr="00BB35B1" w14:paraId="3CD8CE97" w14:textId="77777777" w:rsidTr="00256563">
        <w:trPr>
          <w:trHeight w:val="20"/>
        </w:trPr>
        <w:tc>
          <w:tcPr>
            <w:tcW w:w="7088" w:type="dxa"/>
            <w:tcBorders>
              <w:bottom w:val="single" w:sz="4" w:space="0" w:color="A6A6A6"/>
            </w:tcBorders>
            <w:noWrap/>
            <w:hideMark/>
          </w:tcPr>
          <w:p w14:paraId="6E3540C5" w14:textId="77777777" w:rsidR="004A2DF7" w:rsidRPr="00BB35B1" w:rsidRDefault="004A2DF7" w:rsidP="00FA0001">
            <w:pPr>
              <w:pStyle w:val="ARfintablebody"/>
            </w:pPr>
            <w:r w:rsidRPr="00BB35B1">
              <w:t>Other receipts</w:t>
            </w:r>
          </w:p>
        </w:tc>
        <w:tc>
          <w:tcPr>
            <w:tcW w:w="1272" w:type="dxa"/>
            <w:tcBorders>
              <w:bottom w:val="single" w:sz="4" w:space="0" w:color="A6A6A6"/>
            </w:tcBorders>
            <w:shd w:val="clear" w:color="auto" w:fill="E7E6E6"/>
            <w:noWrap/>
            <w:hideMark/>
          </w:tcPr>
          <w:p w14:paraId="0C02C8FE" w14:textId="77777777" w:rsidR="004A2DF7" w:rsidRPr="004F0449" w:rsidRDefault="004A2DF7" w:rsidP="004F0449">
            <w:pPr>
              <w:pStyle w:val="ARfintablebodyright"/>
            </w:pPr>
            <w:r w:rsidRPr="004F0449">
              <w:t>8.7</w:t>
            </w:r>
          </w:p>
        </w:tc>
        <w:tc>
          <w:tcPr>
            <w:tcW w:w="1272" w:type="dxa"/>
            <w:tcBorders>
              <w:bottom w:val="single" w:sz="4" w:space="0" w:color="A6A6A6"/>
            </w:tcBorders>
            <w:noWrap/>
            <w:hideMark/>
          </w:tcPr>
          <w:p w14:paraId="61E582D3" w14:textId="77777777" w:rsidR="004A2DF7" w:rsidRPr="004F0449" w:rsidRDefault="004A2DF7" w:rsidP="004F0449">
            <w:pPr>
              <w:pStyle w:val="ARfintablebodyright"/>
            </w:pPr>
            <w:r w:rsidRPr="004F0449">
              <w:t>12.1</w:t>
            </w:r>
          </w:p>
        </w:tc>
      </w:tr>
      <w:tr w:rsidR="004A2DF7" w:rsidRPr="00BB35B1" w14:paraId="116A34F1" w14:textId="77777777" w:rsidTr="00256563">
        <w:trPr>
          <w:trHeight w:val="20"/>
        </w:trPr>
        <w:tc>
          <w:tcPr>
            <w:tcW w:w="7088" w:type="dxa"/>
            <w:tcBorders>
              <w:top w:val="single" w:sz="4" w:space="0" w:color="A6A6A6"/>
              <w:bottom w:val="single" w:sz="4" w:space="0" w:color="auto"/>
            </w:tcBorders>
            <w:noWrap/>
            <w:hideMark/>
          </w:tcPr>
          <w:p w14:paraId="647A4CF2" w14:textId="77777777" w:rsidR="004A2DF7" w:rsidRPr="00BB35B1" w:rsidRDefault="004A2DF7" w:rsidP="00FA0001">
            <w:pPr>
              <w:pStyle w:val="ARfintablebody"/>
            </w:pPr>
            <w:r w:rsidRPr="00BB35B1">
              <w:t xml:space="preserve">GST recovered from Australian Taxation Office </w:t>
            </w:r>
            <w:r w:rsidRPr="00BB35B1">
              <w:rPr>
                <w:vertAlign w:val="superscript"/>
              </w:rPr>
              <w:t>(</w:t>
            </w:r>
            <w:proofErr w:type="spellStart"/>
            <w:r w:rsidRPr="00BB35B1">
              <w:rPr>
                <w:vertAlign w:val="superscript"/>
              </w:rPr>
              <w:t>i</w:t>
            </w:r>
            <w:proofErr w:type="spellEnd"/>
            <w:r w:rsidRPr="00BB35B1">
              <w:rPr>
                <w:vertAlign w:val="superscript"/>
              </w:rPr>
              <w:t>)</w:t>
            </w:r>
          </w:p>
        </w:tc>
        <w:tc>
          <w:tcPr>
            <w:tcW w:w="1272" w:type="dxa"/>
            <w:tcBorders>
              <w:top w:val="single" w:sz="4" w:space="0" w:color="A6A6A6"/>
              <w:bottom w:val="single" w:sz="4" w:space="0" w:color="auto"/>
            </w:tcBorders>
            <w:shd w:val="clear" w:color="auto" w:fill="E7E6E6"/>
            <w:noWrap/>
            <w:hideMark/>
          </w:tcPr>
          <w:p w14:paraId="42E6D4CD" w14:textId="77777777" w:rsidR="004A2DF7" w:rsidRPr="004F0449" w:rsidRDefault="004A2DF7" w:rsidP="004F0449">
            <w:pPr>
              <w:pStyle w:val="ARfintablebodyright"/>
            </w:pPr>
            <w:r w:rsidRPr="004F0449">
              <w:t>79.1</w:t>
            </w:r>
          </w:p>
        </w:tc>
        <w:tc>
          <w:tcPr>
            <w:tcW w:w="1272" w:type="dxa"/>
            <w:tcBorders>
              <w:top w:val="single" w:sz="4" w:space="0" w:color="A6A6A6"/>
              <w:bottom w:val="single" w:sz="4" w:space="0" w:color="auto"/>
            </w:tcBorders>
            <w:noWrap/>
            <w:hideMark/>
          </w:tcPr>
          <w:p w14:paraId="2C7EA41A" w14:textId="77777777" w:rsidR="004A2DF7" w:rsidRPr="004F0449" w:rsidRDefault="004A2DF7" w:rsidP="004F0449">
            <w:pPr>
              <w:pStyle w:val="ARfintablebodyright"/>
            </w:pPr>
            <w:r w:rsidRPr="004F0449">
              <w:t>77.9</w:t>
            </w:r>
          </w:p>
        </w:tc>
      </w:tr>
      <w:tr w:rsidR="004A2DF7" w:rsidRPr="00BB35B1" w14:paraId="08CFF3DB" w14:textId="77777777" w:rsidTr="00256563">
        <w:trPr>
          <w:trHeight w:val="20"/>
        </w:trPr>
        <w:tc>
          <w:tcPr>
            <w:tcW w:w="7088" w:type="dxa"/>
            <w:tcBorders>
              <w:top w:val="single" w:sz="4" w:space="0" w:color="auto"/>
              <w:bottom w:val="single" w:sz="4" w:space="0" w:color="auto"/>
            </w:tcBorders>
            <w:noWrap/>
            <w:hideMark/>
          </w:tcPr>
          <w:p w14:paraId="327DBD92" w14:textId="77777777" w:rsidR="004A2DF7" w:rsidRPr="00BB35B1" w:rsidRDefault="004A2DF7" w:rsidP="00FA0001">
            <w:pPr>
              <w:pStyle w:val="ARfintablebodybold"/>
            </w:pPr>
            <w:r w:rsidRPr="00BB35B1">
              <w:t>Total receipts</w:t>
            </w:r>
          </w:p>
        </w:tc>
        <w:tc>
          <w:tcPr>
            <w:tcW w:w="1272" w:type="dxa"/>
            <w:tcBorders>
              <w:top w:val="single" w:sz="4" w:space="0" w:color="auto"/>
              <w:bottom w:val="single" w:sz="4" w:space="0" w:color="auto"/>
            </w:tcBorders>
            <w:shd w:val="clear" w:color="auto" w:fill="E7E6E6"/>
            <w:noWrap/>
            <w:hideMark/>
          </w:tcPr>
          <w:p w14:paraId="1CDE5079" w14:textId="77777777" w:rsidR="004A2DF7" w:rsidRPr="00BB35B1" w:rsidRDefault="004A2DF7" w:rsidP="00A41AF2">
            <w:pPr>
              <w:pStyle w:val="ARfintablebodyrightbold"/>
            </w:pPr>
            <w:r w:rsidRPr="00BB35B1">
              <w:t>1,852.5</w:t>
            </w:r>
          </w:p>
        </w:tc>
        <w:tc>
          <w:tcPr>
            <w:tcW w:w="1272" w:type="dxa"/>
            <w:tcBorders>
              <w:top w:val="single" w:sz="4" w:space="0" w:color="auto"/>
              <w:bottom w:val="single" w:sz="4" w:space="0" w:color="auto"/>
            </w:tcBorders>
            <w:noWrap/>
            <w:hideMark/>
          </w:tcPr>
          <w:p w14:paraId="17C201E9" w14:textId="77777777" w:rsidR="004A2DF7" w:rsidRPr="00BB35B1" w:rsidRDefault="004A2DF7" w:rsidP="00A41AF2">
            <w:pPr>
              <w:pStyle w:val="ARfintablebodyrightbold"/>
            </w:pPr>
            <w:r w:rsidRPr="00BB35B1">
              <w:t>1,497.3</w:t>
            </w:r>
          </w:p>
        </w:tc>
      </w:tr>
      <w:tr w:rsidR="00FA0001" w:rsidRPr="00BB35B1" w14:paraId="57099550" w14:textId="77777777" w:rsidTr="00FA0001">
        <w:trPr>
          <w:trHeight w:val="20"/>
        </w:trPr>
        <w:tc>
          <w:tcPr>
            <w:tcW w:w="7088" w:type="dxa"/>
            <w:tcBorders>
              <w:top w:val="single" w:sz="4" w:space="0" w:color="A6A6A6"/>
            </w:tcBorders>
            <w:noWrap/>
          </w:tcPr>
          <w:p w14:paraId="4BAD4CA1" w14:textId="3AA50661" w:rsidR="00FA0001" w:rsidRPr="00BB35B1" w:rsidRDefault="00FA0001" w:rsidP="00FA0001">
            <w:pPr>
              <w:pStyle w:val="ARfintablebodybold"/>
            </w:pPr>
            <w:r w:rsidRPr="00BB35B1">
              <w:t>Payments</w:t>
            </w:r>
          </w:p>
        </w:tc>
        <w:tc>
          <w:tcPr>
            <w:tcW w:w="1272" w:type="dxa"/>
            <w:tcBorders>
              <w:top w:val="single" w:sz="4" w:space="0" w:color="A6A6A6"/>
            </w:tcBorders>
            <w:noWrap/>
          </w:tcPr>
          <w:p w14:paraId="52619CD8" w14:textId="77777777" w:rsidR="00FA0001" w:rsidRPr="00BB35B1" w:rsidRDefault="00FA0001" w:rsidP="004F0449">
            <w:pPr>
              <w:pStyle w:val="ARfintablebodyright"/>
            </w:pPr>
          </w:p>
        </w:tc>
        <w:tc>
          <w:tcPr>
            <w:tcW w:w="1272" w:type="dxa"/>
            <w:tcBorders>
              <w:top w:val="single" w:sz="4" w:space="0" w:color="A6A6A6"/>
            </w:tcBorders>
            <w:noWrap/>
          </w:tcPr>
          <w:p w14:paraId="05CAFAF1" w14:textId="77777777" w:rsidR="00FA0001" w:rsidRPr="00BB35B1" w:rsidRDefault="00FA0001" w:rsidP="004F0449">
            <w:pPr>
              <w:pStyle w:val="ARfintablebodyright"/>
            </w:pPr>
          </w:p>
        </w:tc>
      </w:tr>
      <w:tr w:rsidR="004A2DF7" w:rsidRPr="00BB35B1" w14:paraId="4EEE9FE6" w14:textId="77777777" w:rsidTr="00256563">
        <w:trPr>
          <w:trHeight w:val="20"/>
        </w:trPr>
        <w:tc>
          <w:tcPr>
            <w:tcW w:w="7088" w:type="dxa"/>
            <w:tcBorders>
              <w:top w:val="single" w:sz="4" w:space="0" w:color="A6A6A6"/>
            </w:tcBorders>
            <w:noWrap/>
            <w:hideMark/>
          </w:tcPr>
          <w:p w14:paraId="61A7BAA6" w14:textId="77777777" w:rsidR="004A2DF7" w:rsidRPr="00BB35B1" w:rsidRDefault="004A2DF7" w:rsidP="00FA0001">
            <w:pPr>
              <w:pStyle w:val="ARfintablebody"/>
            </w:pPr>
            <w:r w:rsidRPr="00BB35B1">
              <w:t>Grants and other transfers</w:t>
            </w:r>
          </w:p>
        </w:tc>
        <w:tc>
          <w:tcPr>
            <w:tcW w:w="1272" w:type="dxa"/>
            <w:tcBorders>
              <w:top w:val="single" w:sz="4" w:space="0" w:color="A6A6A6"/>
            </w:tcBorders>
            <w:shd w:val="clear" w:color="auto" w:fill="E7E6E6"/>
            <w:noWrap/>
            <w:hideMark/>
          </w:tcPr>
          <w:p w14:paraId="7AB0592E" w14:textId="77777777" w:rsidR="004A2DF7" w:rsidRPr="00BB35B1" w:rsidRDefault="004A2DF7" w:rsidP="004F0449">
            <w:pPr>
              <w:pStyle w:val="ARfintablebodyright"/>
            </w:pPr>
            <w:r w:rsidRPr="00BB35B1">
              <w:t>(770.3)</w:t>
            </w:r>
          </w:p>
        </w:tc>
        <w:tc>
          <w:tcPr>
            <w:tcW w:w="1272" w:type="dxa"/>
            <w:tcBorders>
              <w:top w:val="single" w:sz="4" w:space="0" w:color="A6A6A6"/>
            </w:tcBorders>
            <w:noWrap/>
            <w:hideMark/>
          </w:tcPr>
          <w:p w14:paraId="5A5A229C" w14:textId="77777777" w:rsidR="004A2DF7" w:rsidRPr="00BB35B1" w:rsidRDefault="004A2DF7" w:rsidP="004F0449">
            <w:pPr>
              <w:pStyle w:val="ARfintablebodyright"/>
            </w:pPr>
            <w:r w:rsidRPr="00BB35B1">
              <w:t>(858.0)</w:t>
            </w:r>
          </w:p>
        </w:tc>
      </w:tr>
      <w:tr w:rsidR="004A2DF7" w:rsidRPr="00BB35B1" w14:paraId="183C22BD" w14:textId="77777777" w:rsidTr="00256563">
        <w:trPr>
          <w:trHeight w:val="20"/>
        </w:trPr>
        <w:tc>
          <w:tcPr>
            <w:tcW w:w="7088" w:type="dxa"/>
            <w:noWrap/>
            <w:hideMark/>
          </w:tcPr>
          <w:p w14:paraId="3379239B" w14:textId="77777777" w:rsidR="004A2DF7" w:rsidRPr="00BB35B1" w:rsidRDefault="004A2DF7" w:rsidP="00FA0001">
            <w:pPr>
              <w:pStyle w:val="ARfintablebody"/>
            </w:pPr>
            <w:r w:rsidRPr="00BB35B1">
              <w:t>Employee benefits</w:t>
            </w:r>
          </w:p>
        </w:tc>
        <w:tc>
          <w:tcPr>
            <w:tcW w:w="1272" w:type="dxa"/>
            <w:shd w:val="clear" w:color="auto" w:fill="E7E6E6"/>
            <w:noWrap/>
            <w:hideMark/>
          </w:tcPr>
          <w:p w14:paraId="4957BE1C" w14:textId="77777777" w:rsidR="004A2DF7" w:rsidRPr="00BB35B1" w:rsidRDefault="004A2DF7" w:rsidP="004F0449">
            <w:pPr>
              <w:pStyle w:val="ARfintablebodyright"/>
            </w:pPr>
            <w:r w:rsidRPr="00BB35B1">
              <w:t>(208.6)</w:t>
            </w:r>
          </w:p>
        </w:tc>
        <w:tc>
          <w:tcPr>
            <w:tcW w:w="1272" w:type="dxa"/>
            <w:noWrap/>
            <w:hideMark/>
          </w:tcPr>
          <w:p w14:paraId="462518FB" w14:textId="77777777" w:rsidR="004A2DF7" w:rsidRPr="00BB35B1" w:rsidRDefault="004A2DF7" w:rsidP="004F0449">
            <w:pPr>
              <w:pStyle w:val="ARfintablebodyright"/>
            </w:pPr>
            <w:r w:rsidRPr="00BB35B1">
              <w:t>(184.6)</w:t>
            </w:r>
          </w:p>
        </w:tc>
      </w:tr>
      <w:tr w:rsidR="004A2DF7" w:rsidRPr="00BB35B1" w14:paraId="4CBB6680" w14:textId="77777777" w:rsidTr="00256563">
        <w:trPr>
          <w:trHeight w:val="20"/>
        </w:trPr>
        <w:tc>
          <w:tcPr>
            <w:tcW w:w="7088" w:type="dxa"/>
            <w:noWrap/>
            <w:hideMark/>
          </w:tcPr>
          <w:p w14:paraId="560D600F" w14:textId="77777777" w:rsidR="004A2DF7" w:rsidRPr="00BB35B1" w:rsidRDefault="004A2DF7" w:rsidP="00FA0001">
            <w:pPr>
              <w:pStyle w:val="ARfintablebody"/>
            </w:pPr>
            <w:r w:rsidRPr="00BB35B1">
              <w:t>Supplies and services</w:t>
            </w:r>
          </w:p>
        </w:tc>
        <w:tc>
          <w:tcPr>
            <w:tcW w:w="1272" w:type="dxa"/>
            <w:shd w:val="clear" w:color="auto" w:fill="E7E6E6"/>
            <w:noWrap/>
            <w:hideMark/>
          </w:tcPr>
          <w:p w14:paraId="5A2B1084" w14:textId="77777777" w:rsidR="004A2DF7" w:rsidRPr="00BB35B1" w:rsidRDefault="004A2DF7" w:rsidP="004F0449">
            <w:pPr>
              <w:pStyle w:val="ARfintablebodyright"/>
            </w:pPr>
            <w:r w:rsidRPr="00BB35B1">
              <w:t>(55.8)</w:t>
            </w:r>
          </w:p>
          <w:p w14:paraId="41257577" w14:textId="77777777" w:rsidR="004A2DF7" w:rsidRPr="00BB35B1" w:rsidRDefault="004A2DF7" w:rsidP="004F0449">
            <w:pPr>
              <w:pStyle w:val="ARfintablebodyright"/>
            </w:pPr>
          </w:p>
        </w:tc>
        <w:tc>
          <w:tcPr>
            <w:tcW w:w="1272" w:type="dxa"/>
            <w:noWrap/>
            <w:hideMark/>
          </w:tcPr>
          <w:p w14:paraId="55182414" w14:textId="77777777" w:rsidR="004A2DF7" w:rsidRPr="00BB35B1" w:rsidRDefault="004A2DF7" w:rsidP="004F0449">
            <w:pPr>
              <w:pStyle w:val="ARfintablebodyright"/>
            </w:pPr>
            <w:r w:rsidRPr="00BB35B1">
              <w:t>(56.5)</w:t>
            </w:r>
          </w:p>
          <w:p w14:paraId="1A2D08E8" w14:textId="77777777" w:rsidR="004A2DF7" w:rsidRPr="00BB35B1" w:rsidRDefault="004A2DF7" w:rsidP="004F0449">
            <w:pPr>
              <w:pStyle w:val="ARfintablebodyright"/>
            </w:pPr>
          </w:p>
        </w:tc>
      </w:tr>
      <w:tr w:rsidR="004A2DF7" w:rsidRPr="00BB35B1" w14:paraId="06A04172" w14:textId="77777777" w:rsidTr="00256563">
        <w:trPr>
          <w:trHeight w:val="20"/>
        </w:trPr>
        <w:tc>
          <w:tcPr>
            <w:tcW w:w="7088" w:type="dxa"/>
            <w:tcBorders>
              <w:bottom w:val="single" w:sz="4" w:space="0" w:color="A6A6A6"/>
            </w:tcBorders>
            <w:noWrap/>
            <w:hideMark/>
          </w:tcPr>
          <w:p w14:paraId="4C581B82" w14:textId="77777777" w:rsidR="004A2DF7" w:rsidRPr="00BB35B1" w:rsidRDefault="004A2DF7" w:rsidP="00FA0001">
            <w:pPr>
              <w:pStyle w:val="ARfintablebody"/>
            </w:pPr>
            <w:r w:rsidRPr="00BB35B1">
              <w:t>Interest and other costs of finance paid</w:t>
            </w:r>
          </w:p>
        </w:tc>
        <w:tc>
          <w:tcPr>
            <w:tcW w:w="1272" w:type="dxa"/>
            <w:tcBorders>
              <w:bottom w:val="single" w:sz="4" w:space="0" w:color="A6A6A6"/>
            </w:tcBorders>
            <w:shd w:val="clear" w:color="auto" w:fill="E7E6E6"/>
            <w:noWrap/>
            <w:hideMark/>
          </w:tcPr>
          <w:p w14:paraId="6B24305A" w14:textId="77777777" w:rsidR="004A2DF7" w:rsidRPr="00BB35B1" w:rsidRDefault="004A2DF7" w:rsidP="004F0449">
            <w:pPr>
              <w:pStyle w:val="ARfintablebodyright"/>
              <w:rPr>
                <w:highlight w:val="yellow"/>
              </w:rPr>
            </w:pPr>
            <w:r w:rsidRPr="00BB35B1">
              <w:t xml:space="preserve">(37.3) </w:t>
            </w:r>
          </w:p>
        </w:tc>
        <w:tc>
          <w:tcPr>
            <w:tcW w:w="1272" w:type="dxa"/>
            <w:tcBorders>
              <w:bottom w:val="single" w:sz="4" w:space="0" w:color="A6A6A6"/>
            </w:tcBorders>
            <w:noWrap/>
            <w:hideMark/>
          </w:tcPr>
          <w:p w14:paraId="665FDCA3" w14:textId="77777777" w:rsidR="004A2DF7" w:rsidRPr="00BB35B1" w:rsidRDefault="004A2DF7" w:rsidP="004F0449">
            <w:pPr>
              <w:pStyle w:val="ARfintablebodyright"/>
            </w:pPr>
            <w:r w:rsidRPr="00BB35B1">
              <w:t>(23.1)</w:t>
            </w:r>
          </w:p>
        </w:tc>
      </w:tr>
      <w:tr w:rsidR="004A2DF7" w:rsidRPr="00BB35B1" w14:paraId="2F0A25FA" w14:textId="77777777" w:rsidTr="00256563">
        <w:trPr>
          <w:trHeight w:val="20"/>
        </w:trPr>
        <w:tc>
          <w:tcPr>
            <w:tcW w:w="7088" w:type="dxa"/>
            <w:tcBorders>
              <w:top w:val="single" w:sz="4" w:space="0" w:color="A6A6A6"/>
              <w:bottom w:val="single" w:sz="4" w:space="0" w:color="auto"/>
            </w:tcBorders>
            <w:noWrap/>
            <w:hideMark/>
          </w:tcPr>
          <w:p w14:paraId="4CFB58ED" w14:textId="77777777" w:rsidR="004A2DF7" w:rsidRPr="00BB35B1" w:rsidRDefault="004A2DF7" w:rsidP="00FA0001">
            <w:pPr>
              <w:pStyle w:val="ARfintablebody"/>
            </w:pPr>
            <w:r w:rsidRPr="00BB35B1">
              <w:t>Property management expenses</w:t>
            </w:r>
          </w:p>
        </w:tc>
        <w:tc>
          <w:tcPr>
            <w:tcW w:w="1272" w:type="dxa"/>
            <w:tcBorders>
              <w:top w:val="single" w:sz="4" w:space="0" w:color="A6A6A6"/>
              <w:bottom w:val="single" w:sz="4" w:space="0" w:color="auto"/>
            </w:tcBorders>
            <w:shd w:val="clear" w:color="auto" w:fill="E7E6E6"/>
            <w:noWrap/>
            <w:hideMark/>
          </w:tcPr>
          <w:p w14:paraId="618F63DF" w14:textId="77777777" w:rsidR="004A2DF7" w:rsidRPr="00BB35B1" w:rsidRDefault="004A2DF7" w:rsidP="004F0449">
            <w:pPr>
              <w:pStyle w:val="ARfintablebodyright"/>
            </w:pPr>
            <w:r w:rsidRPr="00BB35B1">
              <w:t>(495.6)</w:t>
            </w:r>
          </w:p>
        </w:tc>
        <w:tc>
          <w:tcPr>
            <w:tcW w:w="1272" w:type="dxa"/>
            <w:tcBorders>
              <w:top w:val="single" w:sz="4" w:space="0" w:color="A6A6A6"/>
              <w:bottom w:val="single" w:sz="4" w:space="0" w:color="auto"/>
            </w:tcBorders>
            <w:noWrap/>
            <w:hideMark/>
          </w:tcPr>
          <w:p w14:paraId="54F751CE" w14:textId="77777777" w:rsidR="004A2DF7" w:rsidRPr="00BB35B1" w:rsidRDefault="004A2DF7" w:rsidP="004F0449">
            <w:pPr>
              <w:pStyle w:val="ARfintablebodyright"/>
            </w:pPr>
            <w:r w:rsidRPr="00BB35B1">
              <w:t>(514.7)</w:t>
            </w:r>
          </w:p>
        </w:tc>
      </w:tr>
      <w:tr w:rsidR="004A2DF7" w:rsidRPr="00BB35B1" w14:paraId="5DA146E8" w14:textId="77777777" w:rsidTr="00256563">
        <w:trPr>
          <w:trHeight w:val="20"/>
        </w:trPr>
        <w:tc>
          <w:tcPr>
            <w:tcW w:w="7088" w:type="dxa"/>
            <w:tcBorders>
              <w:top w:val="single" w:sz="4" w:space="0" w:color="auto"/>
              <w:bottom w:val="single" w:sz="4" w:space="0" w:color="auto"/>
            </w:tcBorders>
            <w:noWrap/>
            <w:hideMark/>
          </w:tcPr>
          <w:p w14:paraId="335FAF01" w14:textId="77777777" w:rsidR="004A2DF7" w:rsidRPr="00BB35B1" w:rsidRDefault="004A2DF7" w:rsidP="00FA0001">
            <w:pPr>
              <w:pStyle w:val="ARfintablebodybold"/>
            </w:pPr>
            <w:r w:rsidRPr="00BB35B1">
              <w:t>Total payments</w:t>
            </w:r>
          </w:p>
        </w:tc>
        <w:tc>
          <w:tcPr>
            <w:tcW w:w="1272" w:type="dxa"/>
            <w:tcBorders>
              <w:top w:val="single" w:sz="4" w:space="0" w:color="auto"/>
              <w:bottom w:val="single" w:sz="4" w:space="0" w:color="auto"/>
            </w:tcBorders>
            <w:shd w:val="clear" w:color="auto" w:fill="E7E6E6"/>
            <w:noWrap/>
            <w:hideMark/>
          </w:tcPr>
          <w:p w14:paraId="659760CA" w14:textId="4701C487" w:rsidR="004A2DF7" w:rsidRPr="00BB35B1" w:rsidRDefault="004A2DF7" w:rsidP="00A41AF2">
            <w:pPr>
              <w:pStyle w:val="ARfintablebodyrightbold"/>
            </w:pPr>
            <w:r w:rsidRPr="00BB35B1">
              <w:t>(1,567.6)</w:t>
            </w:r>
          </w:p>
        </w:tc>
        <w:tc>
          <w:tcPr>
            <w:tcW w:w="1272" w:type="dxa"/>
            <w:tcBorders>
              <w:top w:val="single" w:sz="4" w:space="0" w:color="auto"/>
              <w:bottom w:val="single" w:sz="4" w:space="0" w:color="auto"/>
            </w:tcBorders>
            <w:noWrap/>
            <w:hideMark/>
          </w:tcPr>
          <w:p w14:paraId="079AEDCB" w14:textId="211830A2" w:rsidR="004A2DF7" w:rsidRPr="00BB35B1" w:rsidRDefault="004A2DF7" w:rsidP="00A41AF2">
            <w:pPr>
              <w:pStyle w:val="ARfintablebodyrightbold"/>
            </w:pPr>
            <w:r w:rsidRPr="00BB35B1">
              <w:t>(1,636.9)</w:t>
            </w:r>
          </w:p>
        </w:tc>
      </w:tr>
      <w:tr w:rsidR="004A2DF7" w:rsidRPr="00BB35B1" w14:paraId="2BBFF43D" w14:textId="77777777" w:rsidTr="00256563">
        <w:trPr>
          <w:trHeight w:val="20"/>
        </w:trPr>
        <w:tc>
          <w:tcPr>
            <w:tcW w:w="7088" w:type="dxa"/>
            <w:tcBorders>
              <w:top w:val="single" w:sz="4" w:space="0" w:color="auto"/>
              <w:bottom w:val="single" w:sz="4" w:space="0" w:color="auto"/>
            </w:tcBorders>
            <w:noWrap/>
            <w:hideMark/>
          </w:tcPr>
          <w:p w14:paraId="0F2A1B09" w14:textId="77777777" w:rsidR="004A2DF7" w:rsidRPr="00BB35B1" w:rsidRDefault="004A2DF7" w:rsidP="00FA0001">
            <w:pPr>
              <w:pStyle w:val="ARfintablebodybold"/>
            </w:pPr>
            <w:r w:rsidRPr="00BB35B1">
              <w:t>Net cash flows from</w:t>
            </w:r>
            <w:proofErr w:type="gramStart"/>
            <w:r w:rsidRPr="00BB35B1">
              <w:t>/(</w:t>
            </w:r>
            <w:proofErr w:type="gramEnd"/>
            <w:r w:rsidRPr="00BB35B1">
              <w:t>used in) operating activities</w:t>
            </w:r>
          </w:p>
        </w:tc>
        <w:tc>
          <w:tcPr>
            <w:tcW w:w="1272" w:type="dxa"/>
            <w:tcBorders>
              <w:top w:val="single" w:sz="4" w:space="0" w:color="auto"/>
              <w:bottom w:val="single" w:sz="4" w:space="0" w:color="auto"/>
            </w:tcBorders>
            <w:shd w:val="clear" w:color="auto" w:fill="E7E6E6"/>
            <w:noWrap/>
            <w:hideMark/>
          </w:tcPr>
          <w:p w14:paraId="27A84475" w14:textId="5AD4FD8F" w:rsidR="004A2DF7" w:rsidRPr="00BB35B1" w:rsidRDefault="004A2DF7" w:rsidP="00A41AF2">
            <w:pPr>
              <w:pStyle w:val="ARfintablebodyrightbold"/>
            </w:pPr>
            <w:r w:rsidRPr="00BB35B1">
              <w:t>284.9</w:t>
            </w:r>
          </w:p>
        </w:tc>
        <w:tc>
          <w:tcPr>
            <w:tcW w:w="1272" w:type="dxa"/>
            <w:tcBorders>
              <w:top w:val="single" w:sz="4" w:space="0" w:color="auto"/>
              <w:bottom w:val="single" w:sz="4" w:space="0" w:color="auto"/>
            </w:tcBorders>
            <w:noWrap/>
            <w:hideMark/>
          </w:tcPr>
          <w:p w14:paraId="0EF01771" w14:textId="016F78C5" w:rsidR="004A2DF7" w:rsidRPr="00BB35B1" w:rsidRDefault="004A2DF7" w:rsidP="00A41AF2">
            <w:pPr>
              <w:pStyle w:val="ARfintablebodyrightbold"/>
            </w:pPr>
            <w:r w:rsidRPr="00BB35B1">
              <w:t>(139.6)</w:t>
            </w:r>
          </w:p>
        </w:tc>
      </w:tr>
      <w:tr w:rsidR="00FA0001" w:rsidRPr="00BB35B1" w14:paraId="4697FC7A" w14:textId="77777777" w:rsidTr="00FA0001">
        <w:trPr>
          <w:trHeight w:val="20"/>
        </w:trPr>
        <w:tc>
          <w:tcPr>
            <w:tcW w:w="7088" w:type="dxa"/>
            <w:tcBorders>
              <w:top w:val="single" w:sz="4" w:space="0" w:color="A6A6A6"/>
            </w:tcBorders>
            <w:noWrap/>
          </w:tcPr>
          <w:p w14:paraId="0EFE5739" w14:textId="63FC4C8A" w:rsidR="00FA0001" w:rsidRPr="00BB35B1" w:rsidRDefault="00FA0001" w:rsidP="00FA0001">
            <w:pPr>
              <w:pStyle w:val="ARfintablebodyboldcoloured"/>
            </w:pPr>
            <w:r w:rsidRPr="00BB35B1">
              <w:t>Cash flows from investing activities</w:t>
            </w:r>
          </w:p>
        </w:tc>
        <w:tc>
          <w:tcPr>
            <w:tcW w:w="1272" w:type="dxa"/>
            <w:tcBorders>
              <w:top w:val="single" w:sz="4" w:space="0" w:color="A6A6A6"/>
            </w:tcBorders>
            <w:noWrap/>
          </w:tcPr>
          <w:p w14:paraId="4E64D5F6" w14:textId="77777777" w:rsidR="00FA0001" w:rsidRPr="00BB35B1" w:rsidRDefault="00FA0001" w:rsidP="004F0449">
            <w:pPr>
              <w:pStyle w:val="ARfintablebodyright"/>
            </w:pPr>
          </w:p>
        </w:tc>
        <w:tc>
          <w:tcPr>
            <w:tcW w:w="1272" w:type="dxa"/>
            <w:tcBorders>
              <w:top w:val="single" w:sz="4" w:space="0" w:color="A6A6A6"/>
            </w:tcBorders>
            <w:noWrap/>
          </w:tcPr>
          <w:p w14:paraId="0D71174F" w14:textId="77777777" w:rsidR="00FA0001" w:rsidRPr="00BB35B1" w:rsidRDefault="00FA0001" w:rsidP="004F0449">
            <w:pPr>
              <w:pStyle w:val="ARfintablebodyright"/>
            </w:pPr>
          </w:p>
        </w:tc>
      </w:tr>
      <w:tr w:rsidR="004A2DF7" w:rsidRPr="00BB35B1" w14:paraId="564F7C31" w14:textId="77777777" w:rsidTr="00256563">
        <w:trPr>
          <w:trHeight w:val="20"/>
        </w:trPr>
        <w:tc>
          <w:tcPr>
            <w:tcW w:w="7088" w:type="dxa"/>
            <w:tcBorders>
              <w:top w:val="single" w:sz="4" w:space="0" w:color="A6A6A6"/>
            </w:tcBorders>
            <w:noWrap/>
            <w:hideMark/>
          </w:tcPr>
          <w:p w14:paraId="51C8D07A" w14:textId="77777777" w:rsidR="004A2DF7" w:rsidRPr="00BB35B1" w:rsidRDefault="004A2DF7" w:rsidP="00FA0001">
            <w:pPr>
              <w:pStyle w:val="ARfintablebody"/>
            </w:pPr>
            <w:r w:rsidRPr="00BB35B1">
              <w:t>Proceeds from the sale of non-financial assets</w:t>
            </w:r>
          </w:p>
        </w:tc>
        <w:tc>
          <w:tcPr>
            <w:tcW w:w="1272" w:type="dxa"/>
            <w:tcBorders>
              <w:top w:val="single" w:sz="4" w:space="0" w:color="A6A6A6"/>
            </w:tcBorders>
            <w:shd w:val="clear" w:color="auto" w:fill="E7E6E6"/>
            <w:noWrap/>
            <w:hideMark/>
          </w:tcPr>
          <w:p w14:paraId="1FF2B78E" w14:textId="77777777" w:rsidR="004A2DF7" w:rsidRPr="00BB35B1" w:rsidRDefault="004A2DF7" w:rsidP="004F0449">
            <w:pPr>
              <w:pStyle w:val="ARfintablebodyright"/>
            </w:pPr>
            <w:r w:rsidRPr="00BB35B1">
              <w:t>94.8</w:t>
            </w:r>
          </w:p>
        </w:tc>
        <w:tc>
          <w:tcPr>
            <w:tcW w:w="1272" w:type="dxa"/>
            <w:tcBorders>
              <w:top w:val="single" w:sz="4" w:space="0" w:color="A6A6A6"/>
            </w:tcBorders>
            <w:noWrap/>
            <w:hideMark/>
          </w:tcPr>
          <w:p w14:paraId="3D789741" w14:textId="77777777" w:rsidR="004A2DF7" w:rsidRPr="00BB35B1" w:rsidRDefault="004A2DF7" w:rsidP="004F0449">
            <w:pPr>
              <w:pStyle w:val="ARfintablebodyright"/>
            </w:pPr>
            <w:r w:rsidRPr="00BB35B1">
              <w:t>290.5</w:t>
            </w:r>
          </w:p>
        </w:tc>
      </w:tr>
      <w:tr w:rsidR="004A2DF7" w:rsidRPr="00BB35B1" w14:paraId="546AC95F" w14:textId="77777777" w:rsidTr="00256563">
        <w:trPr>
          <w:trHeight w:val="20"/>
        </w:trPr>
        <w:tc>
          <w:tcPr>
            <w:tcW w:w="7088" w:type="dxa"/>
            <w:noWrap/>
            <w:hideMark/>
          </w:tcPr>
          <w:p w14:paraId="425C4D00" w14:textId="77777777" w:rsidR="004A2DF7" w:rsidRPr="00BB35B1" w:rsidRDefault="004A2DF7" w:rsidP="00FA0001">
            <w:pPr>
              <w:pStyle w:val="ARfintablebody"/>
            </w:pPr>
            <w:r w:rsidRPr="00BB35B1">
              <w:t>Repayments of loans from other parties</w:t>
            </w:r>
          </w:p>
        </w:tc>
        <w:tc>
          <w:tcPr>
            <w:tcW w:w="1272" w:type="dxa"/>
            <w:shd w:val="clear" w:color="auto" w:fill="E7E6E6"/>
            <w:noWrap/>
            <w:hideMark/>
          </w:tcPr>
          <w:p w14:paraId="6A02D3BC" w14:textId="77777777" w:rsidR="004A2DF7" w:rsidRPr="00BB35B1" w:rsidRDefault="004A2DF7" w:rsidP="004F0449">
            <w:pPr>
              <w:pStyle w:val="ARfintablebodyright"/>
            </w:pPr>
            <w:r w:rsidRPr="00BB35B1">
              <w:t>0.4</w:t>
            </w:r>
          </w:p>
        </w:tc>
        <w:tc>
          <w:tcPr>
            <w:tcW w:w="1272" w:type="dxa"/>
            <w:noWrap/>
            <w:hideMark/>
          </w:tcPr>
          <w:p w14:paraId="0981D23B" w14:textId="77777777" w:rsidR="004A2DF7" w:rsidRPr="00BB35B1" w:rsidRDefault="004A2DF7" w:rsidP="004F0449">
            <w:pPr>
              <w:pStyle w:val="ARfintablebodyright"/>
            </w:pPr>
            <w:r w:rsidRPr="00BB35B1">
              <w:t>1.8</w:t>
            </w:r>
          </w:p>
        </w:tc>
      </w:tr>
      <w:tr w:rsidR="004A2DF7" w:rsidRPr="00BB35B1" w14:paraId="74145118" w14:textId="77777777" w:rsidTr="00256563">
        <w:trPr>
          <w:trHeight w:val="20"/>
        </w:trPr>
        <w:tc>
          <w:tcPr>
            <w:tcW w:w="7088" w:type="dxa"/>
            <w:tcBorders>
              <w:bottom w:val="single" w:sz="4" w:space="0" w:color="A6A6A6"/>
            </w:tcBorders>
            <w:noWrap/>
            <w:hideMark/>
          </w:tcPr>
          <w:p w14:paraId="1FBC143C" w14:textId="77777777" w:rsidR="004A2DF7" w:rsidRPr="00BB35B1" w:rsidRDefault="004A2DF7" w:rsidP="00FA0001">
            <w:pPr>
              <w:pStyle w:val="ARfintablebody"/>
              <w:rPr>
                <w:vertAlign w:val="superscript"/>
              </w:rPr>
            </w:pPr>
            <w:r w:rsidRPr="00BB35B1">
              <w:t xml:space="preserve">Payments for non-financial assets </w:t>
            </w:r>
          </w:p>
        </w:tc>
        <w:tc>
          <w:tcPr>
            <w:tcW w:w="1272" w:type="dxa"/>
            <w:tcBorders>
              <w:bottom w:val="single" w:sz="4" w:space="0" w:color="A6A6A6"/>
            </w:tcBorders>
            <w:shd w:val="clear" w:color="auto" w:fill="E7E6E6"/>
            <w:noWrap/>
            <w:hideMark/>
          </w:tcPr>
          <w:p w14:paraId="0D6109A8" w14:textId="77777777" w:rsidR="004A2DF7" w:rsidRPr="00BB35B1" w:rsidRDefault="004A2DF7" w:rsidP="004F0449">
            <w:pPr>
              <w:pStyle w:val="ARfintablebodyright"/>
            </w:pPr>
            <w:r w:rsidRPr="00BB35B1">
              <w:t>(783.6)</w:t>
            </w:r>
          </w:p>
        </w:tc>
        <w:tc>
          <w:tcPr>
            <w:tcW w:w="1272" w:type="dxa"/>
            <w:tcBorders>
              <w:bottom w:val="single" w:sz="4" w:space="0" w:color="A6A6A6"/>
            </w:tcBorders>
            <w:noWrap/>
            <w:hideMark/>
          </w:tcPr>
          <w:p w14:paraId="5EBC2CEC" w14:textId="77777777" w:rsidR="004A2DF7" w:rsidRPr="00BB35B1" w:rsidRDefault="004A2DF7" w:rsidP="004F0449">
            <w:pPr>
              <w:pStyle w:val="ARfintablebodyright"/>
            </w:pPr>
            <w:r w:rsidRPr="00BB35B1">
              <w:t>(978.8)</w:t>
            </w:r>
          </w:p>
        </w:tc>
      </w:tr>
      <w:tr w:rsidR="004A2DF7" w:rsidRPr="00BB35B1" w14:paraId="3CFE063F" w14:textId="77777777" w:rsidTr="00256563">
        <w:trPr>
          <w:trHeight w:val="20"/>
        </w:trPr>
        <w:tc>
          <w:tcPr>
            <w:tcW w:w="7088" w:type="dxa"/>
            <w:tcBorders>
              <w:top w:val="single" w:sz="4" w:space="0" w:color="A6A6A6"/>
              <w:bottom w:val="single" w:sz="4" w:space="0" w:color="auto"/>
            </w:tcBorders>
            <w:noWrap/>
            <w:hideMark/>
          </w:tcPr>
          <w:p w14:paraId="4A77ED1F" w14:textId="77777777" w:rsidR="004A2DF7" w:rsidRPr="00BB35B1" w:rsidRDefault="004A2DF7" w:rsidP="00FA0001">
            <w:pPr>
              <w:pStyle w:val="ARfintablebody"/>
            </w:pPr>
            <w:r w:rsidRPr="00BB35B1">
              <w:t>Client loans granted</w:t>
            </w:r>
          </w:p>
        </w:tc>
        <w:tc>
          <w:tcPr>
            <w:tcW w:w="1272" w:type="dxa"/>
            <w:tcBorders>
              <w:top w:val="single" w:sz="4" w:space="0" w:color="A6A6A6"/>
              <w:bottom w:val="single" w:sz="4" w:space="0" w:color="auto"/>
            </w:tcBorders>
            <w:shd w:val="clear" w:color="auto" w:fill="E7E6E6"/>
            <w:noWrap/>
            <w:hideMark/>
          </w:tcPr>
          <w:p w14:paraId="75D08B36" w14:textId="77777777" w:rsidR="004A2DF7" w:rsidRPr="00BB35B1" w:rsidRDefault="004A2DF7" w:rsidP="004F0449">
            <w:pPr>
              <w:pStyle w:val="ARfintablebodyright"/>
            </w:pPr>
            <w:r w:rsidRPr="00BB35B1">
              <w:t>(38.9)</w:t>
            </w:r>
          </w:p>
        </w:tc>
        <w:tc>
          <w:tcPr>
            <w:tcW w:w="1272" w:type="dxa"/>
            <w:tcBorders>
              <w:top w:val="single" w:sz="4" w:space="0" w:color="A6A6A6"/>
              <w:bottom w:val="single" w:sz="4" w:space="0" w:color="auto"/>
            </w:tcBorders>
            <w:noWrap/>
            <w:hideMark/>
          </w:tcPr>
          <w:p w14:paraId="5C79855C" w14:textId="77777777" w:rsidR="004A2DF7" w:rsidRPr="00BB35B1" w:rsidRDefault="004A2DF7" w:rsidP="004F0449">
            <w:pPr>
              <w:pStyle w:val="ARfintablebodyright"/>
            </w:pPr>
            <w:r w:rsidRPr="00BB35B1">
              <w:t>–</w:t>
            </w:r>
          </w:p>
        </w:tc>
      </w:tr>
      <w:tr w:rsidR="004A2DF7" w:rsidRPr="00BB35B1" w14:paraId="419C76D4" w14:textId="77777777" w:rsidTr="00256563">
        <w:trPr>
          <w:trHeight w:val="20"/>
        </w:trPr>
        <w:tc>
          <w:tcPr>
            <w:tcW w:w="7088" w:type="dxa"/>
            <w:tcBorders>
              <w:top w:val="single" w:sz="4" w:space="0" w:color="auto"/>
              <w:bottom w:val="single" w:sz="4" w:space="0" w:color="auto"/>
            </w:tcBorders>
            <w:noWrap/>
            <w:hideMark/>
          </w:tcPr>
          <w:p w14:paraId="784260F8" w14:textId="77777777" w:rsidR="004A2DF7" w:rsidRPr="00BB35B1" w:rsidRDefault="004A2DF7" w:rsidP="004F0449">
            <w:pPr>
              <w:pStyle w:val="ARfintablebodybold"/>
            </w:pPr>
            <w:r w:rsidRPr="00BB35B1">
              <w:t>Net cash flows from</w:t>
            </w:r>
            <w:proofErr w:type="gramStart"/>
            <w:r w:rsidRPr="00BB35B1">
              <w:t>/(</w:t>
            </w:r>
            <w:proofErr w:type="gramEnd"/>
            <w:r w:rsidRPr="00BB35B1">
              <w:t>used in) investing activities</w:t>
            </w:r>
          </w:p>
        </w:tc>
        <w:tc>
          <w:tcPr>
            <w:tcW w:w="1272" w:type="dxa"/>
            <w:tcBorders>
              <w:top w:val="single" w:sz="4" w:space="0" w:color="auto"/>
              <w:bottom w:val="single" w:sz="4" w:space="0" w:color="auto"/>
            </w:tcBorders>
            <w:shd w:val="clear" w:color="auto" w:fill="E7E6E6"/>
            <w:noWrap/>
            <w:hideMark/>
          </w:tcPr>
          <w:p w14:paraId="258F123E" w14:textId="77777777" w:rsidR="004A2DF7" w:rsidRPr="00BB35B1" w:rsidRDefault="004A2DF7" w:rsidP="00A41AF2">
            <w:pPr>
              <w:pStyle w:val="ARfintablebodyrightbold"/>
            </w:pPr>
            <w:r w:rsidRPr="00BB35B1">
              <w:t>(727.3)</w:t>
            </w:r>
          </w:p>
        </w:tc>
        <w:tc>
          <w:tcPr>
            <w:tcW w:w="1272" w:type="dxa"/>
            <w:tcBorders>
              <w:top w:val="single" w:sz="4" w:space="0" w:color="auto"/>
              <w:bottom w:val="single" w:sz="4" w:space="0" w:color="auto"/>
            </w:tcBorders>
            <w:noWrap/>
            <w:hideMark/>
          </w:tcPr>
          <w:p w14:paraId="7CBB89A5" w14:textId="77777777" w:rsidR="004A2DF7" w:rsidRPr="00BB35B1" w:rsidRDefault="004A2DF7" w:rsidP="00A41AF2">
            <w:pPr>
              <w:pStyle w:val="ARfintablebodyrightbold"/>
            </w:pPr>
            <w:r w:rsidRPr="00BB35B1">
              <w:t>(686.5)</w:t>
            </w:r>
          </w:p>
        </w:tc>
      </w:tr>
      <w:tr w:rsidR="00FA0001" w:rsidRPr="00BB35B1" w14:paraId="1D1EFC33" w14:textId="77777777" w:rsidTr="00FA0001">
        <w:trPr>
          <w:trHeight w:val="20"/>
        </w:trPr>
        <w:tc>
          <w:tcPr>
            <w:tcW w:w="7088" w:type="dxa"/>
            <w:tcBorders>
              <w:top w:val="single" w:sz="4" w:space="0" w:color="A6A6A6"/>
            </w:tcBorders>
            <w:noWrap/>
          </w:tcPr>
          <w:p w14:paraId="1202D666" w14:textId="788B7E47" w:rsidR="00FA0001" w:rsidRPr="00BB35B1" w:rsidRDefault="00FA0001" w:rsidP="00FA0001">
            <w:pPr>
              <w:pStyle w:val="ARfintablebodyboldcoloured"/>
            </w:pPr>
            <w:r w:rsidRPr="00BB35B1">
              <w:t>Cash flows from financing activities</w:t>
            </w:r>
          </w:p>
        </w:tc>
        <w:tc>
          <w:tcPr>
            <w:tcW w:w="1272" w:type="dxa"/>
            <w:tcBorders>
              <w:top w:val="single" w:sz="4" w:space="0" w:color="A6A6A6"/>
            </w:tcBorders>
            <w:noWrap/>
          </w:tcPr>
          <w:p w14:paraId="11E7D176" w14:textId="77777777" w:rsidR="00FA0001" w:rsidRPr="00BB35B1" w:rsidRDefault="00FA0001" w:rsidP="004F0449">
            <w:pPr>
              <w:pStyle w:val="ARfintablebodyright"/>
            </w:pPr>
          </w:p>
        </w:tc>
        <w:tc>
          <w:tcPr>
            <w:tcW w:w="1272" w:type="dxa"/>
            <w:tcBorders>
              <w:top w:val="single" w:sz="4" w:space="0" w:color="A6A6A6"/>
            </w:tcBorders>
            <w:noWrap/>
          </w:tcPr>
          <w:p w14:paraId="055B5D82" w14:textId="77777777" w:rsidR="00FA0001" w:rsidRPr="00BB35B1" w:rsidRDefault="00FA0001" w:rsidP="004F0449">
            <w:pPr>
              <w:pStyle w:val="ARfintablebodyright"/>
            </w:pPr>
          </w:p>
        </w:tc>
      </w:tr>
      <w:tr w:rsidR="004A2DF7" w:rsidRPr="00BB35B1" w14:paraId="5B590EE0" w14:textId="77777777" w:rsidTr="00256563">
        <w:trPr>
          <w:trHeight w:val="20"/>
        </w:trPr>
        <w:tc>
          <w:tcPr>
            <w:tcW w:w="7088" w:type="dxa"/>
            <w:tcBorders>
              <w:top w:val="single" w:sz="4" w:space="0" w:color="A6A6A6"/>
            </w:tcBorders>
            <w:noWrap/>
            <w:hideMark/>
          </w:tcPr>
          <w:p w14:paraId="746BD3A4" w14:textId="77777777" w:rsidR="004A2DF7" w:rsidRPr="00BB35B1" w:rsidRDefault="004A2DF7" w:rsidP="004F0449">
            <w:pPr>
              <w:pStyle w:val="ARfintablebody"/>
            </w:pPr>
            <w:r w:rsidRPr="00BB35B1">
              <w:t>Net receipts / (payments) for advances</w:t>
            </w:r>
          </w:p>
        </w:tc>
        <w:tc>
          <w:tcPr>
            <w:tcW w:w="1272" w:type="dxa"/>
            <w:tcBorders>
              <w:top w:val="single" w:sz="4" w:space="0" w:color="A6A6A6"/>
            </w:tcBorders>
            <w:shd w:val="clear" w:color="auto" w:fill="E7E6E6"/>
            <w:noWrap/>
            <w:hideMark/>
          </w:tcPr>
          <w:p w14:paraId="67A331B6" w14:textId="77777777" w:rsidR="004A2DF7" w:rsidRPr="00BB35B1" w:rsidRDefault="004A2DF7" w:rsidP="004F0449">
            <w:pPr>
              <w:pStyle w:val="ARfintablebodyright"/>
            </w:pPr>
            <w:r w:rsidRPr="00BB35B1">
              <w:t>(1.0)</w:t>
            </w:r>
          </w:p>
        </w:tc>
        <w:tc>
          <w:tcPr>
            <w:tcW w:w="1272" w:type="dxa"/>
            <w:tcBorders>
              <w:top w:val="single" w:sz="4" w:space="0" w:color="A6A6A6"/>
            </w:tcBorders>
            <w:noWrap/>
            <w:hideMark/>
          </w:tcPr>
          <w:p w14:paraId="7AB70C20" w14:textId="77777777" w:rsidR="004A2DF7" w:rsidRPr="00BB35B1" w:rsidRDefault="004A2DF7" w:rsidP="004F0449">
            <w:pPr>
              <w:pStyle w:val="ARfintablebodyright"/>
            </w:pPr>
            <w:r w:rsidRPr="00BB35B1">
              <w:t>(1.9)</w:t>
            </w:r>
          </w:p>
        </w:tc>
      </w:tr>
      <w:tr w:rsidR="004A2DF7" w:rsidRPr="00BB35B1" w14:paraId="3F04B04F" w14:textId="77777777" w:rsidTr="00256563">
        <w:trPr>
          <w:trHeight w:val="20"/>
        </w:trPr>
        <w:tc>
          <w:tcPr>
            <w:tcW w:w="7088" w:type="dxa"/>
            <w:tcBorders>
              <w:bottom w:val="single" w:sz="4" w:space="0" w:color="A6A6A6"/>
            </w:tcBorders>
            <w:hideMark/>
          </w:tcPr>
          <w:p w14:paraId="029C8CE8" w14:textId="1B627CD6" w:rsidR="004A2DF7" w:rsidRPr="00BB35B1" w:rsidRDefault="004A2DF7" w:rsidP="004F0449">
            <w:pPr>
              <w:pStyle w:val="ARfintablebody"/>
            </w:pPr>
            <w:r w:rsidRPr="00BB35B1">
              <w:t>Owner contributions by Victorian Government – appropriation for capital expenditure</w:t>
            </w:r>
            <w:r w:rsidR="003C0DB0">
              <w:t> </w:t>
            </w:r>
            <w:r w:rsidRPr="00BB35B1">
              <w:t>purposes</w:t>
            </w:r>
          </w:p>
        </w:tc>
        <w:tc>
          <w:tcPr>
            <w:tcW w:w="1272" w:type="dxa"/>
            <w:tcBorders>
              <w:bottom w:val="single" w:sz="4" w:space="0" w:color="A6A6A6"/>
            </w:tcBorders>
            <w:shd w:val="clear" w:color="auto" w:fill="E7E6E6"/>
            <w:noWrap/>
            <w:hideMark/>
          </w:tcPr>
          <w:p w14:paraId="4AD6587A" w14:textId="77777777" w:rsidR="004A2DF7" w:rsidRPr="00BB35B1" w:rsidRDefault="004A2DF7" w:rsidP="004F0449">
            <w:pPr>
              <w:pStyle w:val="ARfintablebodyright"/>
            </w:pPr>
            <w:r w:rsidRPr="00BB35B1">
              <w:t>1,041.6</w:t>
            </w:r>
          </w:p>
        </w:tc>
        <w:tc>
          <w:tcPr>
            <w:tcW w:w="1272" w:type="dxa"/>
            <w:tcBorders>
              <w:bottom w:val="single" w:sz="4" w:space="0" w:color="A6A6A6"/>
            </w:tcBorders>
            <w:noWrap/>
            <w:hideMark/>
          </w:tcPr>
          <w:p w14:paraId="1C0D2301" w14:textId="77777777" w:rsidR="004A2DF7" w:rsidRPr="00BB35B1" w:rsidRDefault="004A2DF7" w:rsidP="004F0449">
            <w:pPr>
              <w:pStyle w:val="ARfintablebodyright"/>
            </w:pPr>
            <w:r w:rsidRPr="00BB35B1">
              <w:t>809.7</w:t>
            </w:r>
          </w:p>
        </w:tc>
      </w:tr>
      <w:tr w:rsidR="004A2DF7" w:rsidRPr="00BB35B1" w14:paraId="77966633" w14:textId="77777777" w:rsidTr="00256563">
        <w:trPr>
          <w:trHeight w:val="20"/>
        </w:trPr>
        <w:tc>
          <w:tcPr>
            <w:tcW w:w="7088" w:type="dxa"/>
            <w:tcBorders>
              <w:top w:val="single" w:sz="4" w:space="0" w:color="A6A6A6"/>
              <w:bottom w:val="single" w:sz="4" w:space="0" w:color="auto"/>
            </w:tcBorders>
            <w:hideMark/>
          </w:tcPr>
          <w:p w14:paraId="31ECA376" w14:textId="77777777" w:rsidR="004A2DF7" w:rsidRPr="00BB35B1" w:rsidRDefault="004A2DF7" w:rsidP="004F0449">
            <w:pPr>
              <w:pStyle w:val="ARfintablebody"/>
              <w:rPr>
                <w:vertAlign w:val="superscript"/>
              </w:rPr>
            </w:pPr>
            <w:r w:rsidRPr="00BB35B1">
              <w:t xml:space="preserve">Repayment/ proceeds of borrowings and principal portion of lease liability </w:t>
            </w:r>
          </w:p>
        </w:tc>
        <w:tc>
          <w:tcPr>
            <w:tcW w:w="1272" w:type="dxa"/>
            <w:tcBorders>
              <w:top w:val="single" w:sz="4" w:space="0" w:color="A6A6A6"/>
              <w:bottom w:val="single" w:sz="4" w:space="0" w:color="auto"/>
            </w:tcBorders>
            <w:shd w:val="clear" w:color="auto" w:fill="E7E6E6"/>
            <w:noWrap/>
            <w:hideMark/>
          </w:tcPr>
          <w:p w14:paraId="5E47BAC2" w14:textId="77777777" w:rsidR="004A2DF7" w:rsidRPr="00BB35B1" w:rsidRDefault="004A2DF7" w:rsidP="004F0449">
            <w:pPr>
              <w:pStyle w:val="ARfintablebodyright"/>
            </w:pPr>
            <w:r w:rsidRPr="00BB35B1">
              <w:t>(7.1)</w:t>
            </w:r>
          </w:p>
        </w:tc>
        <w:tc>
          <w:tcPr>
            <w:tcW w:w="1272" w:type="dxa"/>
            <w:tcBorders>
              <w:top w:val="single" w:sz="4" w:space="0" w:color="A6A6A6"/>
              <w:bottom w:val="single" w:sz="4" w:space="0" w:color="auto"/>
            </w:tcBorders>
            <w:noWrap/>
            <w:hideMark/>
          </w:tcPr>
          <w:p w14:paraId="00D49CF7" w14:textId="77777777" w:rsidR="004A2DF7" w:rsidRPr="00BB35B1" w:rsidRDefault="004A2DF7" w:rsidP="004F0449">
            <w:pPr>
              <w:pStyle w:val="ARfintablebodyright"/>
            </w:pPr>
            <w:r w:rsidRPr="00BB35B1">
              <w:t>30.2</w:t>
            </w:r>
          </w:p>
        </w:tc>
      </w:tr>
      <w:tr w:rsidR="004A2DF7" w:rsidRPr="00BB35B1" w14:paraId="33596CA1" w14:textId="77777777" w:rsidTr="00256563">
        <w:trPr>
          <w:trHeight w:val="20"/>
        </w:trPr>
        <w:tc>
          <w:tcPr>
            <w:tcW w:w="7088" w:type="dxa"/>
            <w:tcBorders>
              <w:top w:val="single" w:sz="4" w:space="0" w:color="auto"/>
              <w:bottom w:val="single" w:sz="4" w:space="0" w:color="auto"/>
            </w:tcBorders>
            <w:noWrap/>
            <w:hideMark/>
          </w:tcPr>
          <w:p w14:paraId="5FDBB4C1" w14:textId="77777777" w:rsidR="004A2DF7" w:rsidRPr="00BB35B1" w:rsidRDefault="004A2DF7" w:rsidP="004F0449">
            <w:pPr>
              <w:pStyle w:val="ARfintablebodybold"/>
            </w:pPr>
            <w:r w:rsidRPr="00BB35B1">
              <w:t>Net cash flows from</w:t>
            </w:r>
            <w:proofErr w:type="gramStart"/>
            <w:r w:rsidRPr="00BB35B1">
              <w:t>/(</w:t>
            </w:r>
            <w:proofErr w:type="gramEnd"/>
            <w:r w:rsidRPr="00BB35B1">
              <w:t>used in) financing activities</w:t>
            </w:r>
          </w:p>
        </w:tc>
        <w:tc>
          <w:tcPr>
            <w:tcW w:w="1272" w:type="dxa"/>
            <w:tcBorders>
              <w:top w:val="single" w:sz="4" w:space="0" w:color="auto"/>
              <w:bottom w:val="single" w:sz="4" w:space="0" w:color="auto"/>
            </w:tcBorders>
            <w:shd w:val="clear" w:color="auto" w:fill="E7E6E6"/>
            <w:noWrap/>
            <w:hideMark/>
          </w:tcPr>
          <w:p w14:paraId="0AB229A8" w14:textId="77777777" w:rsidR="004A2DF7" w:rsidRPr="00BB35B1" w:rsidRDefault="004A2DF7" w:rsidP="004F0449">
            <w:pPr>
              <w:pStyle w:val="ARfintablebodyrightbold"/>
            </w:pPr>
            <w:r w:rsidRPr="00BB35B1">
              <w:t>1,033.5</w:t>
            </w:r>
          </w:p>
        </w:tc>
        <w:tc>
          <w:tcPr>
            <w:tcW w:w="1272" w:type="dxa"/>
            <w:tcBorders>
              <w:top w:val="single" w:sz="4" w:space="0" w:color="auto"/>
              <w:bottom w:val="single" w:sz="4" w:space="0" w:color="auto"/>
            </w:tcBorders>
            <w:noWrap/>
            <w:hideMark/>
          </w:tcPr>
          <w:p w14:paraId="1CA2F9E4" w14:textId="0DFE8958" w:rsidR="004A2DF7" w:rsidRPr="00BB35B1" w:rsidRDefault="004A2DF7" w:rsidP="003C0DB0">
            <w:pPr>
              <w:pStyle w:val="ARfintablebodyrightbold"/>
            </w:pPr>
            <w:r w:rsidRPr="00BB35B1">
              <w:rPr>
                <w:bCs/>
              </w:rPr>
              <w:t>838.0</w:t>
            </w:r>
          </w:p>
        </w:tc>
      </w:tr>
      <w:tr w:rsidR="004A2DF7" w:rsidRPr="00BB35B1" w14:paraId="34273F12" w14:textId="77777777" w:rsidTr="00256563">
        <w:trPr>
          <w:trHeight w:val="20"/>
        </w:trPr>
        <w:tc>
          <w:tcPr>
            <w:tcW w:w="7088" w:type="dxa"/>
            <w:tcBorders>
              <w:top w:val="single" w:sz="4" w:space="0" w:color="auto"/>
              <w:bottom w:val="single" w:sz="4" w:space="0" w:color="auto"/>
            </w:tcBorders>
            <w:noWrap/>
            <w:hideMark/>
          </w:tcPr>
          <w:p w14:paraId="08A93D4D" w14:textId="77777777" w:rsidR="004A2DF7" w:rsidRPr="00BB35B1" w:rsidRDefault="004A2DF7" w:rsidP="004F0449">
            <w:pPr>
              <w:pStyle w:val="ARfintablebodybold"/>
            </w:pPr>
            <w:r w:rsidRPr="00BB35B1">
              <w:t>Net increase/(decrease) in cash and deposits</w:t>
            </w:r>
          </w:p>
        </w:tc>
        <w:tc>
          <w:tcPr>
            <w:tcW w:w="1272" w:type="dxa"/>
            <w:tcBorders>
              <w:top w:val="single" w:sz="4" w:space="0" w:color="auto"/>
              <w:bottom w:val="single" w:sz="4" w:space="0" w:color="auto"/>
            </w:tcBorders>
            <w:shd w:val="clear" w:color="auto" w:fill="E7E6E6"/>
            <w:noWrap/>
            <w:hideMark/>
          </w:tcPr>
          <w:p w14:paraId="4C0CB0A9" w14:textId="39F727BD" w:rsidR="004A2DF7" w:rsidRPr="00BB35B1" w:rsidRDefault="004A2DF7" w:rsidP="003C0DB0">
            <w:pPr>
              <w:pStyle w:val="ARfintablebodyrightbold"/>
            </w:pPr>
            <w:r w:rsidRPr="00BB35B1">
              <w:rPr>
                <w:bCs/>
              </w:rPr>
              <w:t>591.1</w:t>
            </w:r>
          </w:p>
        </w:tc>
        <w:tc>
          <w:tcPr>
            <w:tcW w:w="1272" w:type="dxa"/>
            <w:tcBorders>
              <w:top w:val="single" w:sz="4" w:space="0" w:color="auto"/>
              <w:bottom w:val="single" w:sz="4" w:space="0" w:color="auto"/>
            </w:tcBorders>
            <w:noWrap/>
            <w:hideMark/>
          </w:tcPr>
          <w:p w14:paraId="0443B299" w14:textId="70B211EB" w:rsidR="004A2DF7" w:rsidRPr="00BB35B1" w:rsidRDefault="004A2DF7" w:rsidP="003C0DB0">
            <w:pPr>
              <w:pStyle w:val="ARfintablebodyrightbold"/>
            </w:pPr>
            <w:r w:rsidRPr="00BB35B1">
              <w:rPr>
                <w:bCs/>
              </w:rPr>
              <w:t>11.9</w:t>
            </w:r>
          </w:p>
        </w:tc>
      </w:tr>
      <w:tr w:rsidR="004A2DF7" w:rsidRPr="00BB35B1" w14:paraId="1423A4DD" w14:textId="77777777" w:rsidTr="00256563">
        <w:trPr>
          <w:trHeight w:val="20"/>
        </w:trPr>
        <w:tc>
          <w:tcPr>
            <w:tcW w:w="7088" w:type="dxa"/>
            <w:tcBorders>
              <w:top w:val="single" w:sz="4" w:space="0" w:color="auto"/>
              <w:bottom w:val="single" w:sz="4" w:space="0" w:color="000000"/>
            </w:tcBorders>
            <w:noWrap/>
            <w:hideMark/>
          </w:tcPr>
          <w:p w14:paraId="60AB64D0" w14:textId="77777777" w:rsidR="004A2DF7" w:rsidRPr="00BB35B1" w:rsidRDefault="004A2DF7" w:rsidP="004F0449">
            <w:pPr>
              <w:pStyle w:val="ARfintablebody"/>
            </w:pPr>
            <w:r w:rsidRPr="00BB35B1">
              <w:t>Cash and deposits at beginning of financial year</w:t>
            </w:r>
          </w:p>
        </w:tc>
        <w:tc>
          <w:tcPr>
            <w:tcW w:w="1272" w:type="dxa"/>
            <w:tcBorders>
              <w:top w:val="single" w:sz="4" w:space="0" w:color="auto"/>
              <w:bottom w:val="single" w:sz="4" w:space="0" w:color="000000"/>
            </w:tcBorders>
            <w:shd w:val="clear" w:color="auto" w:fill="E7E6E6"/>
            <w:noWrap/>
            <w:hideMark/>
          </w:tcPr>
          <w:p w14:paraId="0F404A74" w14:textId="25A289AD" w:rsidR="004A2DF7" w:rsidRPr="00BB35B1" w:rsidRDefault="004A2DF7" w:rsidP="003C0DB0">
            <w:pPr>
              <w:pStyle w:val="ARfintablebodyright"/>
            </w:pPr>
            <w:r w:rsidRPr="00BB35B1">
              <w:t>658.2</w:t>
            </w:r>
          </w:p>
        </w:tc>
        <w:tc>
          <w:tcPr>
            <w:tcW w:w="1272" w:type="dxa"/>
            <w:tcBorders>
              <w:top w:val="single" w:sz="4" w:space="0" w:color="auto"/>
              <w:bottom w:val="single" w:sz="4" w:space="0" w:color="000000"/>
            </w:tcBorders>
            <w:noWrap/>
            <w:hideMark/>
          </w:tcPr>
          <w:p w14:paraId="307503E8" w14:textId="77777777" w:rsidR="004A2DF7" w:rsidRPr="00BB35B1" w:rsidRDefault="004A2DF7" w:rsidP="004F0449">
            <w:pPr>
              <w:pStyle w:val="ARfintablebodyright"/>
            </w:pPr>
            <w:r w:rsidRPr="00BB35B1">
              <w:t>646.3</w:t>
            </w:r>
          </w:p>
        </w:tc>
      </w:tr>
      <w:tr w:rsidR="004A2DF7" w:rsidRPr="00BB35B1" w14:paraId="1EFD06D5" w14:textId="77777777" w:rsidTr="00256563">
        <w:trPr>
          <w:cnfStyle w:val="010000000000" w:firstRow="0" w:lastRow="1" w:firstColumn="0" w:lastColumn="0" w:oddVBand="0" w:evenVBand="0" w:oddHBand="0" w:evenHBand="0" w:firstRowFirstColumn="0" w:firstRowLastColumn="0" w:lastRowFirstColumn="0" w:lastRowLastColumn="0"/>
          <w:trHeight w:val="20"/>
        </w:trPr>
        <w:tc>
          <w:tcPr>
            <w:tcW w:w="7088" w:type="dxa"/>
            <w:noWrap/>
            <w:hideMark/>
          </w:tcPr>
          <w:p w14:paraId="36787400" w14:textId="77777777" w:rsidR="004A2DF7" w:rsidRPr="00BB35B1" w:rsidRDefault="004A2DF7" w:rsidP="004F0449">
            <w:pPr>
              <w:pStyle w:val="ARfintablebodybold"/>
            </w:pPr>
            <w:r w:rsidRPr="00BB35B1">
              <w:t>Cash and deposits at the end of the financial year</w:t>
            </w:r>
          </w:p>
        </w:tc>
        <w:tc>
          <w:tcPr>
            <w:tcW w:w="1272" w:type="dxa"/>
            <w:shd w:val="clear" w:color="auto" w:fill="E7E6E6"/>
            <w:noWrap/>
            <w:hideMark/>
          </w:tcPr>
          <w:p w14:paraId="113D0135" w14:textId="38B2CF1F" w:rsidR="004A2DF7" w:rsidRPr="00BB35B1" w:rsidRDefault="004A2DF7" w:rsidP="003C0DB0">
            <w:pPr>
              <w:pStyle w:val="ARfintablebodyrightbold"/>
            </w:pPr>
            <w:r w:rsidRPr="00BB35B1">
              <w:t>1,249.3</w:t>
            </w:r>
          </w:p>
        </w:tc>
        <w:tc>
          <w:tcPr>
            <w:tcW w:w="1272" w:type="dxa"/>
            <w:noWrap/>
            <w:hideMark/>
          </w:tcPr>
          <w:p w14:paraId="56D0B001" w14:textId="6328337B" w:rsidR="004A2DF7" w:rsidRPr="00BB35B1" w:rsidRDefault="004A2DF7" w:rsidP="003C0DB0">
            <w:pPr>
              <w:pStyle w:val="ARfintablebodyrightbold"/>
            </w:pPr>
            <w:r w:rsidRPr="00BB35B1">
              <w:t>658.2</w:t>
            </w:r>
          </w:p>
        </w:tc>
      </w:tr>
    </w:tbl>
    <w:p w14:paraId="6BFBE581" w14:textId="77777777" w:rsidR="004A2DF7" w:rsidRPr="00BB35B1" w:rsidRDefault="004A2DF7" w:rsidP="004D2CC2">
      <w:pPr>
        <w:pStyle w:val="ARfintablefootnote"/>
        <w:rPr>
          <w:lang w:eastAsia="en-AU"/>
        </w:rPr>
      </w:pPr>
      <w:r w:rsidRPr="00BB35B1">
        <w:rPr>
          <w:lang w:eastAsia="en-AU"/>
        </w:rPr>
        <w:t>Note:</w:t>
      </w:r>
    </w:p>
    <w:p w14:paraId="39A074AF" w14:textId="259DF12B" w:rsidR="004A2DF7" w:rsidRPr="00BB35B1" w:rsidRDefault="004A2DF7" w:rsidP="004D2CC2">
      <w:pPr>
        <w:pStyle w:val="ARfintablefootnotetabindent"/>
        <w:numPr>
          <w:ilvl w:val="0"/>
          <w:numId w:val="27"/>
        </w:numPr>
      </w:pPr>
      <w:r w:rsidRPr="00BB35B1">
        <w:t>GST recovered from the Australian Taxation Office is presented on a net basis.</w:t>
      </w:r>
    </w:p>
    <w:p w14:paraId="5BA929ED" w14:textId="77777777" w:rsidR="004A2DF7" w:rsidRPr="00BB35B1" w:rsidRDefault="004A2DF7" w:rsidP="00A41AF2">
      <w:pPr>
        <w:pStyle w:val="ARbody"/>
        <w:rPr>
          <w:highlight w:val="green"/>
          <w:lang w:eastAsia="en-AU"/>
        </w:rPr>
      </w:pPr>
      <w:r w:rsidRPr="00BB35B1">
        <w:rPr>
          <w:rFonts w:eastAsia="MS PGothic"/>
          <w:color w:val="000000"/>
          <w:sz w:val="16"/>
          <w:szCs w:val="14"/>
          <w:highlight w:val="green"/>
          <w:lang w:eastAsia="en-AU"/>
        </w:rPr>
        <w:br w:type="page"/>
      </w:r>
    </w:p>
    <w:p w14:paraId="03BA4676" w14:textId="77777777" w:rsidR="004A2DF7" w:rsidRPr="00BB35B1" w:rsidRDefault="004A2DF7" w:rsidP="000F4DD4">
      <w:pPr>
        <w:pStyle w:val="Heading3"/>
        <w:spacing w:before="0"/>
      </w:pPr>
      <w:r w:rsidRPr="00BB35B1">
        <w:lastRenderedPageBreak/>
        <w:t>Statement of changes in equity</w:t>
      </w:r>
      <w:r w:rsidRPr="00BB35B1">
        <w:br/>
        <w:t>for the financial year ended 30 June 2025</w:t>
      </w:r>
    </w:p>
    <w:bookmarkEnd w:id="304"/>
    <w:tbl>
      <w:tblPr>
        <w:tblStyle w:val="TableGrid"/>
        <w:tblW w:w="0" w:type="auto"/>
        <w:tblLayout w:type="fixed"/>
        <w:tblLook w:val="00E0" w:firstRow="1" w:lastRow="1" w:firstColumn="1" w:lastColumn="0" w:noHBand="0" w:noVBand="0"/>
      </w:tblPr>
      <w:tblGrid>
        <w:gridCol w:w="3544"/>
        <w:gridCol w:w="1522"/>
        <w:gridCol w:w="1522"/>
        <w:gridCol w:w="1522"/>
        <w:gridCol w:w="1522"/>
      </w:tblGrid>
      <w:tr w:rsidR="004A2DF7" w:rsidRPr="00BB35B1" w14:paraId="3192D644" w14:textId="77777777" w:rsidTr="00C73BEB">
        <w:trPr>
          <w:cnfStyle w:val="100000000000" w:firstRow="1" w:lastRow="0" w:firstColumn="0" w:lastColumn="0" w:oddVBand="0" w:evenVBand="0" w:oddHBand="0" w:evenHBand="0" w:firstRowFirstColumn="0" w:firstRowLastColumn="0" w:lastRowFirstColumn="0" w:lastRowLastColumn="0"/>
          <w:trHeight w:val="458"/>
          <w:tblHeader/>
        </w:trPr>
        <w:tc>
          <w:tcPr>
            <w:tcW w:w="3544" w:type="dxa"/>
            <w:noWrap/>
            <w:hideMark/>
          </w:tcPr>
          <w:p w14:paraId="1C2DDCC9" w14:textId="77777777" w:rsidR="004A2DF7" w:rsidRPr="00BB35B1" w:rsidRDefault="004A2DF7" w:rsidP="00665B38">
            <w:pPr>
              <w:pStyle w:val="ARfintablecolhead"/>
            </w:pPr>
          </w:p>
        </w:tc>
        <w:tc>
          <w:tcPr>
            <w:cnfStyle w:val="000001000000" w:firstRow="0" w:lastRow="0" w:firstColumn="0" w:lastColumn="0" w:oddVBand="0" w:evenVBand="1" w:oddHBand="0" w:evenHBand="0" w:firstRowFirstColumn="0" w:firstRowLastColumn="0" w:lastRowFirstColumn="0" w:lastRowLastColumn="0"/>
            <w:tcW w:w="1522" w:type="dxa"/>
            <w:hideMark/>
          </w:tcPr>
          <w:p w14:paraId="267BBC2D" w14:textId="77777777" w:rsidR="004A2DF7" w:rsidRPr="00BB35B1" w:rsidRDefault="004A2DF7" w:rsidP="00FA0001">
            <w:pPr>
              <w:pStyle w:val="ARfintablecolheadright"/>
            </w:pPr>
            <w:r w:rsidRPr="00BB35B1">
              <w:t>Physical asset revaluation reserve</w:t>
            </w:r>
          </w:p>
          <w:p w14:paraId="73EEC3D1" w14:textId="77777777" w:rsidR="004A2DF7" w:rsidRPr="00BB35B1" w:rsidRDefault="004A2DF7" w:rsidP="00FA0001">
            <w:pPr>
              <w:pStyle w:val="ARfintablecolheadright"/>
            </w:pPr>
            <w:r w:rsidRPr="00BB35B1">
              <w:t xml:space="preserve"> $M </w:t>
            </w:r>
          </w:p>
        </w:tc>
        <w:tc>
          <w:tcPr>
            <w:tcW w:w="1522" w:type="dxa"/>
            <w:hideMark/>
          </w:tcPr>
          <w:p w14:paraId="29DB0EFB" w14:textId="77777777" w:rsidR="004A2DF7" w:rsidRPr="00BB35B1" w:rsidRDefault="004A2DF7" w:rsidP="00FA0001">
            <w:pPr>
              <w:pStyle w:val="ARfintablecolheadright"/>
              <w:cnfStyle w:val="100000000000" w:firstRow="1" w:lastRow="0" w:firstColumn="0" w:lastColumn="0" w:oddVBand="0" w:evenVBand="0" w:oddHBand="0" w:evenHBand="0" w:firstRowFirstColumn="0" w:firstRowLastColumn="0" w:lastRowFirstColumn="0" w:lastRowLastColumn="0"/>
            </w:pPr>
            <w:r w:rsidRPr="00BB35B1">
              <w:t>Accumulated surplus / (deficit)</w:t>
            </w:r>
          </w:p>
          <w:p w14:paraId="53DA75F2" w14:textId="77777777" w:rsidR="004A2DF7" w:rsidRPr="00BB35B1" w:rsidRDefault="004A2DF7" w:rsidP="00FA0001">
            <w:pPr>
              <w:pStyle w:val="ARfintablecolheadright"/>
              <w:cnfStyle w:val="100000000000" w:firstRow="1" w:lastRow="0" w:firstColumn="0" w:lastColumn="0" w:oddVBand="0" w:evenVBand="0" w:oddHBand="0" w:evenHBand="0" w:firstRowFirstColumn="0" w:firstRowLastColumn="0" w:lastRowFirstColumn="0" w:lastRowLastColumn="0"/>
            </w:pPr>
            <w:r w:rsidRPr="00BB35B1">
              <w:t xml:space="preserve"> $M </w:t>
            </w:r>
          </w:p>
        </w:tc>
        <w:tc>
          <w:tcPr>
            <w:cnfStyle w:val="000001000000" w:firstRow="0" w:lastRow="0" w:firstColumn="0" w:lastColumn="0" w:oddVBand="0" w:evenVBand="1" w:oddHBand="0" w:evenHBand="0" w:firstRowFirstColumn="0" w:firstRowLastColumn="0" w:lastRowFirstColumn="0" w:lastRowLastColumn="0"/>
            <w:tcW w:w="1522" w:type="dxa"/>
            <w:hideMark/>
          </w:tcPr>
          <w:p w14:paraId="7EEB98AE" w14:textId="77777777" w:rsidR="004A2DF7" w:rsidRPr="00BB35B1" w:rsidRDefault="004A2DF7" w:rsidP="00FA0001">
            <w:pPr>
              <w:pStyle w:val="ARfintablecolheadright"/>
            </w:pPr>
            <w:r w:rsidRPr="00BB35B1">
              <w:t>Contributed capital</w:t>
            </w:r>
          </w:p>
          <w:p w14:paraId="2F4D4E43" w14:textId="77777777" w:rsidR="004A2DF7" w:rsidRPr="00BB35B1" w:rsidRDefault="004A2DF7" w:rsidP="00FA0001">
            <w:pPr>
              <w:pStyle w:val="ARfintablecolheadright"/>
            </w:pPr>
            <w:r w:rsidRPr="00BB35B1">
              <w:t xml:space="preserve"> $M </w:t>
            </w:r>
          </w:p>
        </w:tc>
        <w:tc>
          <w:tcPr>
            <w:tcW w:w="1522" w:type="dxa"/>
          </w:tcPr>
          <w:p w14:paraId="43C02E57" w14:textId="77777777" w:rsidR="004A2DF7" w:rsidRPr="00BB35B1" w:rsidRDefault="004A2DF7" w:rsidP="00FA0001">
            <w:pPr>
              <w:pStyle w:val="ARfintablecolheadright"/>
              <w:cnfStyle w:val="100000000000" w:firstRow="1" w:lastRow="0" w:firstColumn="0" w:lastColumn="0" w:oddVBand="0" w:evenVBand="0" w:oddHBand="0" w:evenHBand="0" w:firstRowFirstColumn="0" w:firstRowLastColumn="0" w:lastRowFirstColumn="0" w:lastRowLastColumn="0"/>
            </w:pPr>
            <w:r w:rsidRPr="00BB35B1">
              <w:t xml:space="preserve"> Total</w:t>
            </w:r>
          </w:p>
          <w:p w14:paraId="3EBE9CD1" w14:textId="77777777" w:rsidR="004A2DF7" w:rsidRPr="00BB35B1" w:rsidRDefault="004A2DF7" w:rsidP="00FA0001">
            <w:pPr>
              <w:pStyle w:val="ARfintablecolheadright"/>
              <w:cnfStyle w:val="100000000000" w:firstRow="1" w:lastRow="0" w:firstColumn="0" w:lastColumn="0" w:oddVBand="0" w:evenVBand="0" w:oddHBand="0" w:evenHBand="0" w:firstRowFirstColumn="0" w:firstRowLastColumn="0" w:lastRowFirstColumn="0" w:lastRowLastColumn="0"/>
            </w:pPr>
            <w:r w:rsidRPr="00BB35B1">
              <w:t xml:space="preserve">$M </w:t>
            </w:r>
          </w:p>
        </w:tc>
      </w:tr>
      <w:tr w:rsidR="004A2DF7" w:rsidRPr="00BB35B1" w14:paraId="7DAE574B" w14:textId="77777777" w:rsidTr="00B703DF">
        <w:trPr>
          <w:trHeight w:val="20"/>
        </w:trPr>
        <w:tc>
          <w:tcPr>
            <w:tcW w:w="3544" w:type="dxa"/>
            <w:noWrap/>
            <w:hideMark/>
          </w:tcPr>
          <w:p w14:paraId="6932CE76" w14:textId="77777777" w:rsidR="004A2DF7" w:rsidRPr="00BB35B1" w:rsidRDefault="004A2DF7" w:rsidP="00B703DF">
            <w:pPr>
              <w:pStyle w:val="ARfintablebodybold"/>
            </w:pPr>
            <w:r w:rsidRPr="00BB35B1">
              <w:t xml:space="preserve">Balance </w:t>
            </w:r>
            <w:proofErr w:type="gramStart"/>
            <w:r w:rsidRPr="00BB35B1">
              <w:t>at</w:t>
            </w:r>
            <w:proofErr w:type="gramEnd"/>
            <w:r w:rsidRPr="00BB35B1">
              <w:t xml:space="preserve"> 1 July 2023</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5D2763F3" w14:textId="77777777" w:rsidR="004A2DF7" w:rsidRPr="00BB35B1" w:rsidRDefault="004A2DF7" w:rsidP="00B703DF">
            <w:pPr>
              <w:pStyle w:val="ARfintablebodyrightbold"/>
            </w:pPr>
            <w:r w:rsidRPr="00BB35B1">
              <w:t>7,240.3</w:t>
            </w:r>
          </w:p>
        </w:tc>
        <w:tc>
          <w:tcPr>
            <w:tcW w:w="1522" w:type="dxa"/>
            <w:noWrap/>
            <w:hideMark/>
          </w:tcPr>
          <w:p w14:paraId="4B324E5F" w14:textId="77777777" w:rsidR="004A2DF7" w:rsidRPr="00BB35B1" w:rsidRDefault="004A2DF7" w:rsidP="00B703DF">
            <w:pPr>
              <w:pStyle w:val="ARfintablebodyrightbold"/>
              <w:cnfStyle w:val="000000000000" w:firstRow="0" w:lastRow="0" w:firstColumn="0" w:lastColumn="0" w:oddVBand="0" w:evenVBand="0" w:oddHBand="0" w:evenHBand="0" w:firstRowFirstColumn="0" w:firstRowLastColumn="0" w:lastRowFirstColumn="0" w:lastRowLastColumn="0"/>
            </w:pPr>
            <w:r w:rsidRPr="00BB35B1">
              <w:t>152.6</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63F57E55" w14:textId="77777777" w:rsidR="004A2DF7" w:rsidRPr="00BB35B1" w:rsidRDefault="004A2DF7" w:rsidP="00B703DF">
            <w:pPr>
              <w:pStyle w:val="ARfintablebodyrightbold"/>
            </w:pPr>
            <w:r w:rsidRPr="00BB35B1">
              <w:t>28,099.6</w:t>
            </w:r>
          </w:p>
        </w:tc>
        <w:tc>
          <w:tcPr>
            <w:tcW w:w="1522" w:type="dxa"/>
          </w:tcPr>
          <w:p w14:paraId="5BFC6B54" w14:textId="77777777" w:rsidR="004A2DF7" w:rsidRPr="00BB35B1" w:rsidRDefault="004A2DF7" w:rsidP="00B703DF">
            <w:pPr>
              <w:pStyle w:val="ARfintablebodyrightbold"/>
              <w:cnfStyle w:val="000000000000" w:firstRow="0" w:lastRow="0" w:firstColumn="0" w:lastColumn="0" w:oddVBand="0" w:evenVBand="0" w:oddHBand="0" w:evenHBand="0" w:firstRowFirstColumn="0" w:firstRowLastColumn="0" w:lastRowFirstColumn="0" w:lastRowLastColumn="0"/>
            </w:pPr>
            <w:r w:rsidRPr="00BB35B1">
              <w:t xml:space="preserve"> 35,492.5 </w:t>
            </w:r>
          </w:p>
        </w:tc>
      </w:tr>
      <w:tr w:rsidR="004A2DF7" w:rsidRPr="00BB35B1" w14:paraId="47315F82" w14:textId="77777777" w:rsidTr="00B703DF">
        <w:trPr>
          <w:trHeight w:val="20"/>
        </w:trPr>
        <w:tc>
          <w:tcPr>
            <w:tcW w:w="3544" w:type="dxa"/>
            <w:noWrap/>
            <w:hideMark/>
          </w:tcPr>
          <w:p w14:paraId="2457DA06" w14:textId="77777777" w:rsidR="004A2DF7" w:rsidRPr="00BB35B1" w:rsidRDefault="004A2DF7" w:rsidP="00B703DF">
            <w:pPr>
              <w:pStyle w:val="ARfintablebody"/>
            </w:pPr>
            <w:r w:rsidRPr="00BB35B1">
              <w:t>Net result for the year</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5953E2BB" w14:textId="77777777" w:rsidR="004A2DF7" w:rsidRPr="00BB35B1" w:rsidRDefault="004A2DF7" w:rsidP="00B703DF">
            <w:pPr>
              <w:pStyle w:val="ARfintablebodyright"/>
            </w:pPr>
            <w:r w:rsidRPr="00BB35B1">
              <w:t>–</w:t>
            </w:r>
          </w:p>
        </w:tc>
        <w:tc>
          <w:tcPr>
            <w:tcW w:w="1522" w:type="dxa"/>
            <w:noWrap/>
            <w:hideMark/>
          </w:tcPr>
          <w:p w14:paraId="022E15E0"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(445.7)</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3D09E21B" w14:textId="77777777" w:rsidR="004A2DF7" w:rsidRPr="00BB35B1" w:rsidRDefault="004A2DF7" w:rsidP="00B703DF">
            <w:pPr>
              <w:pStyle w:val="ARfintablebodyright"/>
            </w:pPr>
            <w:r w:rsidRPr="00BB35B1">
              <w:t>–</w:t>
            </w:r>
          </w:p>
        </w:tc>
        <w:tc>
          <w:tcPr>
            <w:tcW w:w="1522" w:type="dxa"/>
          </w:tcPr>
          <w:p w14:paraId="3F33F456"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 xml:space="preserve"> (445.7)</w:t>
            </w:r>
          </w:p>
        </w:tc>
      </w:tr>
      <w:tr w:rsidR="004A2DF7" w:rsidRPr="00BB35B1" w14:paraId="400239F2" w14:textId="77777777" w:rsidTr="00B703DF">
        <w:trPr>
          <w:trHeight w:val="20"/>
        </w:trPr>
        <w:tc>
          <w:tcPr>
            <w:tcW w:w="3544" w:type="dxa"/>
            <w:noWrap/>
            <w:hideMark/>
          </w:tcPr>
          <w:p w14:paraId="4C29D704" w14:textId="77777777" w:rsidR="004A2DF7" w:rsidRPr="00BB35B1" w:rsidRDefault="004A2DF7" w:rsidP="00B703DF">
            <w:pPr>
              <w:pStyle w:val="ARfintablebody"/>
            </w:pPr>
            <w:r w:rsidRPr="00BB35B1">
              <w:t>Remeasurement of superannuation defined benefit plans</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7C2A97A8" w14:textId="77777777" w:rsidR="004A2DF7" w:rsidRPr="00BB35B1" w:rsidRDefault="004A2DF7" w:rsidP="00B703DF">
            <w:pPr>
              <w:pStyle w:val="ARfintablebodyright"/>
            </w:pPr>
            <w:r w:rsidRPr="00BB35B1">
              <w:t>–</w:t>
            </w:r>
          </w:p>
        </w:tc>
        <w:tc>
          <w:tcPr>
            <w:tcW w:w="1522" w:type="dxa"/>
            <w:noWrap/>
            <w:hideMark/>
          </w:tcPr>
          <w:p w14:paraId="0908F4C2"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2.0</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37A2592B" w14:textId="77777777" w:rsidR="004A2DF7" w:rsidRPr="00BB35B1" w:rsidRDefault="004A2DF7" w:rsidP="00B703DF">
            <w:pPr>
              <w:pStyle w:val="ARfintablebodyright"/>
            </w:pPr>
            <w:r w:rsidRPr="00BB35B1">
              <w:t>–</w:t>
            </w:r>
          </w:p>
        </w:tc>
        <w:tc>
          <w:tcPr>
            <w:tcW w:w="1522" w:type="dxa"/>
          </w:tcPr>
          <w:p w14:paraId="6A43A447"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 xml:space="preserve"> 2.0 </w:t>
            </w:r>
          </w:p>
        </w:tc>
      </w:tr>
      <w:tr w:rsidR="004A2DF7" w:rsidRPr="00BB35B1" w14:paraId="0520342B" w14:textId="77777777" w:rsidTr="00B703DF">
        <w:trPr>
          <w:trHeight w:val="20"/>
        </w:trPr>
        <w:tc>
          <w:tcPr>
            <w:tcW w:w="3544" w:type="dxa"/>
            <w:noWrap/>
            <w:hideMark/>
          </w:tcPr>
          <w:p w14:paraId="3075BFF3" w14:textId="77777777" w:rsidR="004A2DF7" w:rsidRPr="00BB35B1" w:rsidRDefault="004A2DF7" w:rsidP="00B703DF">
            <w:pPr>
              <w:pStyle w:val="ARfintablebody"/>
            </w:pPr>
            <w:r w:rsidRPr="00BB35B1">
              <w:t>Changes in physical asset revaluation surplus</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3051883F" w14:textId="77777777" w:rsidR="004A2DF7" w:rsidRPr="00BB35B1" w:rsidRDefault="004A2DF7" w:rsidP="00B703DF">
            <w:pPr>
              <w:pStyle w:val="ARfintablebodyright"/>
            </w:pPr>
            <w:r w:rsidRPr="00BB35B1">
              <w:t>1,238.9</w:t>
            </w:r>
          </w:p>
        </w:tc>
        <w:tc>
          <w:tcPr>
            <w:tcW w:w="1522" w:type="dxa"/>
            <w:noWrap/>
            <w:hideMark/>
          </w:tcPr>
          <w:p w14:paraId="42E4B0DA"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5A617E79" w14:textId="77777777" w:rsidR="004A2DF7" w:rsidRPr="00BB35B1" w:rsidRDefault="004A2DF7" w:rsidP="00B703DF">
            <w:pPr>
              <w:pStyle w:val="ARfintablebodyright"/>
            </w:pPr>
            <w:r w:rsidRPr="00BB35B1">
              <w:t>–</w:t>
            </w:r>
          </w:p>
        </w:tc>
        <w:tc>
          <w:tcPr>
            <w:tcW w:w="1522" w:type="dxa"/>
          </w:tcPr>
          <w:p w14:paraId="693DDBA5"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 xml:space="preserve"> 1,238.9 </w:t>
            </w:r>
          </w:p>
        </w:tc>
      </w:tr>
      <w:tr w:rsidR="004A2DF7" w:rsidRPr="00BB35B1" w14:paraId="44EF119C" w14:textId="77777777" w:rsidTr="00B703DF">
        <w:trPr>
          <w:trHeight w:val="20"/>
        </w:trPr>
        <w:tc>
          <w:tcPr>
            <w:tcW w:w="3544" w:type="dxa"/>
            <w:noWrap/>
            <w:hideMark/>
          </w:tcPr>
          <w:p w14:paraId="3F7E0653" w14:textId="77777777" w:rsidR="004A2DF7" w:rsidRPr="00BB35B1" w:rsidRDefault="004A2DF7" w:rsidP="00B703DF">
            <w:pPr>
              <w:pStyle w:val="ARfintablebody"/>
            </w:pPr>
            <w:r w:rsidRPr="00BB35B1">
              <w:t>Capital contribution by Victorian State Government</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60C57A8A" w14:textId="77777777" w:rsidR="004A2DF7" w:rsidRPr="00BB35B1" w:rsidRDefault="004A2DF7" w:rsidP="00B703DF">
            <w:pPr>
              <w:pStyle w:val="ARfintablebodyright"/>
            </w:pPr>
            <w:r w:rsidRPr="00BB35B1">
              <w:t>–</w:t>
            </w:r>
          </w:p>
        </w:tc>
        <w:tc>
          <w:tcPr>
            <w:tcW w:w="1522" w:type="dxa"/>
            <w:noWrap/>
            <w:hideMark/>
          </w:tcPr>
          <w:p w14:paraId="12FAD88D"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3C525996" w14:textId="77777777" w:rsidR="004A2DF7" w:rsidRPr="00BB35B1" w:rsidRDefault="004A2DF7" w:rsidP="00B703DF">
            <w:pPr>
              <w:pStyle w:val="ARfintablebodyright"/>
            </w:pPr>
            <w:r w:rsidRPr="00BB35B1">
              <w:t>809.8</w:t>
            </w:r>
          </w:p>
        </w:tc>
        <w:tc>
          <w:tcPr>
            <w:tcW w:w="1522" w:type="dxa"/>
          </w:tcPr>
          <w:p w14:paraId="3E43AA75"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 xml:space="preserve"> 809.8 </w:t>
            </w:r>
          </w:p>
        </w:tc>
      </w:tr>
      <w:tr w:rsidR="004A2DF7" w:rsidRPr="00BB35B1" w14:paraId="04296E3B" w14:textId="77777777" w:rsidTr="00B703DF">
        <w:trPr>
          <w:trHeight w:val="20"/>
        </w:trPr>
        <w:tc>
          <w:tcPr>
            <w:tcW w:w="3544" w:type="dxa"/>
            <w:noWrap/>
            <w:hideMark/>
          </w:tcPr>
          <w:p w14:paraId="228375F9" w14:textId="77777777" w:rsidR="004A2DF7" w:rsidRPr="00BB35B1" w:rsidRDefault="004A2DF7" w:rsidP="00B703DF">
            <w:pPr>
              <w:pStyle w:val="ARfintablebodybold"/>
            </w:pPr>
            <w:r w:rsidRPr="00BB35B1">
              <w:t xml:space="preserve">Balance </w:t>
            </w:r>
            <w:proofErr w:type="gramStart"/>
            <w:r w:rsidRPr="00BB35B1">
              <w:t>at</w:t>
            </w:r>
            <w:proofErr w:type="gramEnd"/>
            <w:r w:rsidRPr="00BB35B1">
              <w:t xml:space="preserve"> 30 June 2024</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2851A54E" w14:textId="77777777" w:rsidR="004A2DF7" w:rsidRPr="00BB35B1" w:rsidRDefault="004A2DF7" w:rsidP="00B703DF">
            <w:pPr>
              <w:pStyle w:val="ARfintablebodyrightbold"/>
            </w:pPr>
            <w:r w:rsidRPr="00BB35B1">
              <w:t>8,479.2</w:t>
            </w:r>
          </w:p>
        </w:tc>
        <w:tc>
          <w:tcPr>
            <w:tcW w:w="1522" w:type="dxa"/>
            <w:noWrap/>
            <w:hideMark/>
          </w:tcPr>
          <w:p w14:paraId="5F3F5EA0" w14:textId="77777777" w:rsidR="004A2DF7" w:rsidRPr="00BB35B1" w:rsidRDefault="004A2DF7" w:rsidP="00B703DF">
            <w:pPr>
              <w:pStyle w:val="ARfintablebodyrightbold"/>
              <w:cnfStyle w:val="000000000000" w:firstRow="0" w:lastRow="0" w:firstColumn="0" w:lastColumn="0" w:oddVBand="0" w:evenVBand="0" w:oddHBand="0" w:evenHBand="0" w:firstRowFirstColumn="0" w:firstRowLastColumn="0" w:lastRowFirstColumn="0" w:lastRowLastColumn="0"/>
            </w:pPr>
            <w:r w:rsidRPr="00BB35B1">
              <w:t>(291.1)</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1D1E104C" w14:textId="77777777" w:rsidR="004A2DF7" w:rsidRPr="00BB35B1" w:rsidRDefault="004A2DF7" w:rsidP="00B703DF">
            <w:pPr>
              <w:pStyle w:val="ARfintablebodyrightbold"/>
            </w:pPr>
            <w:r w:rsidRPr="00BB35B1">
              <w:t>28,909.4</w:t>
            </w:r>
          </w:p>
        </w:tc>
        <w:tc>
          <w:tcPr>
            <w:tcW w:w="1522" w:type="dxa"/>
          </w:tcPr>
          <w:p w14:paraId="2563E3DD" w14:textId="77777777" w:rsidR="004A2DF7" w:rsidRPr="00BB35B1" w:rsidRDefault="004A2DF7" w:rsidP="00B703DF">
            <w:pPr>
              <w:pStyle w:val="ARfintablebodyrightbold"/>
              <w:cnfStyle w:val="000000000000" w:firstRow="0" w:lastRow="0" w:firstColumn="0" w:lastColumn="0" w:oddVBand="0" w:evenVBand="0" w:oddHBand="0" w:evenHBand="0" w:firstRowFirstColumn="0" w:firstRowLastColumn="0" w:lastRowFirstColumn="0" w:lastRowLastColumn="0"/>
            </w:pPr>
            <w:r w:rsidRPr="00BB35B1">
              <w:t xml:space="preserve"> 37,097.5 </w:t>
            </w:r>
          </w:p>
        </w:tc>
      </w:tr>
      <w:tr w:rsidR="004A2DF7" w:rsidRPr="00BB35B1" w14:paraId="34CFE085" w14:textId="77777777" w:rsidTr="00B703DF">
        <w:trPr>
          <w:trHeight w:val="20"/>
        </w:trPr>
        <w:tc>
          <w:tcPr>
            <w:tcW w:w="3544" w:type="dxa"/>
            <w:noWrap/>
            <w:hideMark/>
          </w:tcPr>
          <w:p w14:paraId="447671D9" w14:textId="77777777" w:rsidR="004A2DF7" w:rsidRPr="00BB35B1" w:rsidRDefault="004A2DF7" w:rsidP="00B703DF">
            <w:pPr>
              <w:pStyle w:val="ARfintablebody"/>
            </w:pPr>
            <w:r w:rsidRPr="00BB35B1">
              <w:t>Net result for the year</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0EFA7650" w14:textId="77777777" w:rsidR="004A2DF7" w:rsidRPr="00BB35B1" w:rsidRDefault="004A2DF7" w:rsidP="00B703DF">
            <w:pPr>
              <w:pStyle w:val="ARfintablebodyright"/>
            </w:pPr>
            <w:r w:rsidRPr="00BB35B1">
              <w:t>–</w:t>
            </w:r>
          </w:p>
        </w:tc>
        <w:tc>
          <w:tcPr>
            <w:tcW w:w="1522" w:type="dxa"/>
            <w:noWrap/>
            <w:hideMark/>
          </w:tcPr>
          <w:p w14:paraId="3999A4CB"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(359.7)</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5653CF65" w14:textId="77777777" w:rsidR="004A2DF7" w:rsidRPr="00BB35B1" w:rsidRDefault="004A2DF7" w:rsidP="00B703DF">
            <w:pPr>
              <w:pStyle w:val="ARfintablebodyright"/>
            </w:pPr>
            <w:r w:rsidRPr="00BB35B1">
              <w:t>–</w:t>
            </w:r>
          </w:p>
        </w:tc>
        <w:tc>
          <w:tcPr>
            <w:tcW w:w="1522" w:type="dxa"/>
          </w:tcPr>
          <w:p w14:paraId="684832C0"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 xml:space="preserve"> (359.7)</w:t>
            </w:r>
          </w:p>
        </w:tc>
      </w:tr>
      <w:tr w:rsidR="004A2DF7" w:rsidRPr="00BB35B1" w14:paraId="56291741" w14:textId="77777777" w:rsidTr="00B703DF">
        <w:trPr>
          <w:trHeight w:val="20"/>
        </w:trPr>
        <w:tc>
          <w:tcPr>
            <w:tcW w:w="3544" w:type="dxa"/>
            <w:noWrap/>
            <w:hideMark/>
          </w:tcPr>
          <w:p w14:paraId="25E50FF5" w14:textId="77777777" w:rsidR="004A2DF7" w:rsidRPr="00BB35B1" w:rsidRDefault="004A2DF7" w:rsidP="00B703DF">
            <w:pPr>
              <w:pStyle w:val="ARfintablebody"/>
            </w:pPr>
            <w:r w:rsidRPr="00BB35B1">
              <w:t>Remeasurement of superannuation defined benefit plans</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5FA1E1F9" w14:textId="77777777" w:rsidR="004A2DF7" w:rsidRPr="00BB35B1" w:rsidRDefault="004A2DF7" w:rsidP="00B703DF">
            <w:pPr>
              <w:pStyle w:val="ARfintablebodyright"/>
            </w:pPr>
            <w:r w:rsidRPr="00BB35B1">
              <w:t>–</w:t>
            </w:r>
          </w:p>
        </w:tc>
        <w:tc>
          <w:tcPr>
            <w:tcW w:w="1522" w:type="dxa"/>
            <w:noWrap/>
            <w:hideMark/>
          </w:tcPr>
          <w:p w14:paraId="60670198"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(1.2)</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6AB512E3" w14:textId="77777777" w:rsidR="004A2DF7" w:rsidRPr="00BB35B1" w:rsidRDefault="004A2DF7" w:rsidP="00B703DF">
            <w:pPr>
              <w:pStyle w:val="ARfintablebodyright"/>
            </w:pPr>
            <w:r w:rsidRPr="00BB35B1">
              <w:t>–</w:t>
            </w:r>
          </w:p>
        </w:tc>
        <w:tc>
          <w:tcPr>
            <w:tcW w:w="1522" w:type="dxa"/>
          </w:tcPr>
          <w:p w14:paraId="3FA2732B"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 xml:space="preserve"> (1.2)</w:t>
            </w:r>
          </w:p>
        </w:tc>
      </w:tr>
      <w:tr w:rsidR="004A2DF7" w:rsidRPr="00BB35B1" w14:paraId="2FAF72D1" w14:textId="77777777" w:rsidTr="00B703DF">
        <w:trPr>
          <w:trHeight w:val="20"/>
        </w:trPr>
        <w:tc>
          <w:tcPr>
            <w:tcW w:w="3544" w:type="dxa"/>
            <w:noWrap/>
            <w:hideMark/>
          </w:tcPr>
          <w:p w14:paraId="016E0244" w14:textId="77777777" w:rsidR="004A2DF7" w:rsidRPr="00BB35B1" w:rsidRDefault="004A2DF7" w:rsidP="00B703DF">
            <w:pPr>
              <w:pStyle w:val="ARfintablebody"/>
            </w:pPr>
            <w:r w:rsidRPr="00BB35B1">
              <w:t>Changes in physical asset revaluation surplus</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7459A286" w14:textId="77777777" w:rsidR="004A2DF7" w:rsidRPr="00BB35B1" w:rsidRDefault="004A2DF7" w:rsidP="00B703DF">
            <w:pPr>
              <w:pStyle w:val="ARfintablebodyright"/>
            </w:pPr>
            <w:r w:rsidRPr="00BB35B1">
              <w:t>4.2</w:t>
            </w:r>
          </w:p>
        </w:tc>
        <w:tc>
          <w:tcPr>
            <w:tcW w:w="1522" w:type="dxa"/>
            <w:noWrap/>
            <w:hideMark/>
          </w:tcPr>
          <w:p w14:paraId="2DBCD4E2"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403FBE30" w14:textId="77777777" w:rsidR="004A2DF7" w:rsidRPr="00BB35B1" w:rsidRDefault="004A2DF7" w:rsidP="00B703DF">
            <w:pPr>
              <w:pStyle w:val="ARfintablebodyright"/>
            </w:pPr>
            <w:r w:rsidRPr="00BB35B1">
              <w:t>–</w:t>
            </w:r>
          </w:p>
        </w:tc>
        <w:tc>
          <w:tcPr>
            <w:tcW w:w="1522" w:type="dxa"/>
          </w:tcPr>
          <w:p w14:paraId="68701A57"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 xml:space="preserve"> 4.2 </w:t>
            </w:r>
          </w:p>
        </w:tc>
      </w:tr>
      <w:tr w:rsidR="004A2DF7" w:rsidRPr="00BB35B1" w14:paraId="00AB8D22" w14:textId="77777777" w:rsidTr="00B703DF">
        <w:trPr>
          <w:trHeight w:val="20"/>
        </w:trPr>
        <w:tc>
          <w:tcPr>
            <w:tcW w:w="3544" w:type="dxa"/>
            <w:noWrap/>
            <w:hideMark/>
          </w:tcPr>
          <w:p w14:paraId="78D49563" w14:textId="20E055A4" w:rsidR="004A2DF7" w:rsidRPr="00BB35B1" w:rsidRDefault="004A2DF7" w:rsidP="00B703DF">
            <w:pPr>
              <w:pStyle w:val="ARfintablebody"/>
            </w:pPr>
            <w:r w:rsidRPr="00BB35B1">
              <w:t>Capital contribution by Victorian State</w:t>
            </w:r>
            <w:r w:rsidR="00281FED">
              <w:t> </w:t>
            </w:r>
            <w:r w:rsidRPr="00BB35B1">
              <w:t>Government</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0E73F286" w14:textId="77777777" w:rsidR="004A2DF7" w:rsidRPr="00BB35B1" w:rsidRDefault="004A2DF7" w:rsidP="00B703DF">
            <w:pPr>
              <w:pStyle w:val="ARfintablebodyright"/>
            </w:pPr>
            <w:r w:rsidRPr="00BB35B1">
              <w:t>–</w:t>
            </w:r>
          </w:p>
        </w:tc>
        <w:tc>
          <w:tcPr>
            <w:tcW w:w="1522" w:type="dxa"/>
            <w:noWrap/>
            <w:hideMark/>
          </w:tcPr>
          <w:p w14:paraId="112BC664"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57669749" w14:textId="77777777" w:rsidR="004A2DF7" w:rsidRPr="00BB35B1" w:rsidRDefault="004A2DF7" w:rsidP="00B703DF">
            <w:pPr>
              <w:pStyle w:val="ARfintablebodyright"/>
            </w:pPr>
            <w:r w:rsidRPr="00BB35B1">
              <w:t>1,041.6</w:t>
            </w:r>
          </w:p>
        </w:tc>
        <w:tc>
          <w:tcPr>
            <w:tcW w:w="1522" w:type="dxa"/>
          </w:tcPr>
          <w:p w14:paraId="15C6A4C3" w14:textId="77777777" w:rsidR="004A2DF7" w:rsidRPr="00BB35B1" w:rsidRDefault="004A2DF7" w:rsidP="00B703DF">
            <w:pPr>
              <w:pStyle w:val="ARfintablebodyright"/>
              <w:cnfStyle w:val="000000000000" w:firstRow="0" w:lastRow="0" w:firstColumn="0" w:lastColumn="0" w:oddVBand="0" w:evenVBand="0" w:oddHBand="0" w:evenHBand="0" w:firstRowFirstColumn="0" w:firstRowLastColumn="0" w:lastRowFirstColumn="0" w:lastRowLastColumn="0"/>
            </w:pPr>
            <w:r w:rsidRPr="00BB35B1">
              <w:t xml:space="preserve"> 1,041.6 </w:t>
            </w:r>
          </w:p>
        </w:tc>
      </w:tr>
      <w:tr w:rsidR="004A2DF7" w:rsidRPr="00BB35B1" w14:paraId="7A61A997" w14:textId="77777777" w:rsidTr="00B703DF">
        <w:trPr>
          <w:cnfStyle w:val="010000000000" w:firstRow="0" w:lastRow="1" w:firstColumn="0" w:lastColumn="0" w:oddVBand="0" w:evenVBand="0" w:oddHBand="0" w:evenHBand="0" w:firstRowFirstColumn="0" w:firstRowLastColumn="0" w:lastRowFirstColumn="0" w:lastRowLastColumn="0"/>
          <w:trHeight w:val="20"/>
        </w:trPr>
        <w:tc>
          <w:tcPr>
            <w:tcW w:w="3544" w:type="dxa"/>
            <w:noWrap/>
            <w:hideMark/>
          </w:tcPr>
          <w:p w14:paraId="5051FEFB" w14:textId="77777777" w:rsidR="004A2DF7" w:rsidRPr="00BB35B1" w:rsidRDefault="004A2DF7" w:rsidP="00B703DF">
            <w:pPr>
              <w:pStyle w:val="ARfintablebodybold"/>
            </w:pPr>
            <w:r w:rsidRPr="00BB35B1">
              <w:t xml:space="preserve">Balance </w:t>
            </w:r>
            <w:proofErr w:type="gramStart"/>
            <w:r w:rsidRPr="00BB35B1">
              <w:t>at</w:t>
            </w:r>
            <w:proofErr w:type="gramEnd"/>
            <w:r w:rsidRPr="00BB35B1">
              <w:t xml:space="preserve"> 30 June 2025</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74AFD4C6" w14:textId="77777777" w:rsidR="004A2DF7" w:rsidRPr="00BB35B1" w:rsidRDefault="004A2DF7" w:rsidP="00B703DF">
            <w:pPr>
              <w:pStyle w:val="ARfintablebodyrightbold"/>
            </w:pPr>
            <w:r w:rsidRPr="00BB35B1">
              <w:t>8,483.4</w:t>
            </w:r>
          </w:p>
        </w:tc>
        <w:tc>
          <w:tcPr>
            <w:tcW w:w="1522" w:type="dxa"/>
            <w:noWrap/>
            <w:hideMark/>
          </w:tcPr>
          <w:p w14:paraId="1882A352" w14:textId="77777777" w:rsidR="004A2DF7" w:rsidRPr="00BB35B1" w:rsidRDefault="004A2DF7" w:rsidP="00B703DF">
            <w:pPr>
              <w:pStyle w:val="ARfintablebodyrightbold"/>
              <w:cnfStyle w:val="010000000000" w:firstRow="0" w:lastRow="1" w:firstColumn="0" w:lastColumn="0" w:oddVBand="0" w:evenVBand="0" w:oddHBand="0" w:evenHBand="0" w:firstRowFirstColumn="0" w:firstRowLastColumn="0" w:lastRowFirstColumn="0" w:lastRowLastColumn="0"/>
            </w:pPr>
            <w:r w:rsidRPr="00BB35B1">
              <w:t>(652.0)</w:t>
            </w:r>
          </w:p>
        </w:tc>
        <w:tc>
          <w:tcPr>
            <w:cnfStyle w:val="000001000000" w:firstRow="0" w:lastRow="0" w:firstColumn="0" w:lastColumn="0" w:oddVBand="0" w:evenVBand="1" w:oddHBand="0" w:evenHBand="0" w:firstRowFirstColumn="0" w:firstRowLastColumn="0" w:lastRowFirstColumn="0" w:lastRowLastColumn="0"/>
            <w:tcW w:w="1522" w:type="dxa"/>
            <w:noWrap/>
            <w:hideMark/>
          </w:tcPr>
          <w:p w14:paraId="66C05023" w14:textId="77777777" w:rsidR="004A2DF7" w:rsidRPr="00BB35B1" w:rsidRDefault="004A2DF7" w:rsidP="00B703DF">
            <w:pPr>
              <w:pStyle w:val="ARfintablebodyrightbold"/>
            </w:pPr>
            <w:r w:rsidRPr="00BB35B1">
              <w:t>29,951.0</w:t>
            </w:r>
          </w:p>
        </w:tc>
        <w:tc>
          <w:tcPr>
            <w:tcW w:w="1522" w:type="dxa"/>
          </w:tcPr>
          <w:p w14:paraId="7ACF3643" w14:textId="77777777" w:rsidR="004A2DF7" w:rsidRPr="00BB35B1" w:rsidRDefault="004A2DF7" w:rsidP="00B703DF">
            <w:pPr>
              <w:pStyle w:val="ARfintablebodyrightbold"/>
              <w:cnfStyle w:val="010000000000" w:firstRow="0" w:lastRow="1" w:firstColumn="0" w:lastColumn="0" w:oddVBand="0" w:evenVBand="0" w:oddHBand="0" w:evenHBand="0" w:firstRowFirstColumn="0" w:firstRowLastColumn="0" w:lastRowFirstColumn="0" w:lastRowLastColumn="0"/>
            </w:pPr>
            <w:r w:rsidRPr="00BB35B1">
              <w:t xml:space="preserve"> 37,782.4 </w:t>
            </w:r>
          </w:p>
        </w:tc>
      </w:tr>
    </w:tbl>
    <w:p w14:paraId="0FB3EC70" w14:textId="77777777" w:rsidR="004A2DF7" w:rsidRPr="00BB35B1" w:rsidRDefault="004A2DF7">
      <w:pPr>
        <w:spacing w:after="120" w:line="260" w:lineRule="atLeast"/>
        <w:rPr>
          <w:rFonts w:ascii="Arial" w:eastAsia="Times" w:hAnsi="Arial" w:cs="Arial"/>
          <w:sz w:val="20"/>
          <w:szCs w:val="24"/>
          <w:highlight w:val="green"/>
        </w:rPr>
      </w:pPr>
    </w:p>
    <w:bookmarkEnd w:id="302"/>
    <w:bookmarkEnd w:id="303"/>
    <w:p w14:paraId="04822B6E" w14:textId="77777777" w:rsidR="004A2DF7" w:rsidRDefault="004A2DF7" w:rsidP="00A41AF2">
      <w:pPr>
        <w:pStyle w:val="ARbody"/>
        <w:rPr>
          <w:highlight w:val="green"/>
        </w:rPr>
        <w:sectPr w:rsidR="004A2DF7" w:rsidSect="007F43B1">
          <w:endnotePr>
            <w:numFmt w:val="decimal"/>
          </w:endnotePr>
          <w:pgSz w:w="11900" w:h="16840" w:code="9"/>
          <w:pgMar w:top="1588" w:right="1134" w:bottom="851" w:left="1134" w:header="510" w:footer="340" w:gutter="0"/>
          <w:cols w:space="454"/>
          <w:docGrid w:linePitch="299"/>
        </w:sectPr>
      </w:pPr>
    </w:p>
    <w:p w14:paraId="10C8CAEB" w14:textId="5DFCBDC3" w:rsidR="004A2DF7" w:rsidRPr="00B34DE6" w:rsidRDefault="004A2DF7" w:rsidP="001C656E">
      <w:pPr>
        <w:pStyle w:val="Heading2"/>
        <w:spacing w:before="0"/>
      </w:pPr>
      <w:bookmarkStart w:id="312" w:name="_Toc149587072"/>
      <w:bookmarkStart w:id="313" w:name="_Toc212039560"/>
      <w:r w:rsidRPr="00B34DE6">
        <w:lastRenderedPageBreak/>
        <w:t>Appendix 3: Grants and transfer payments</w:t>
      </w:r>
      <w:bookmarkEnd w:id="312"/>
      <w:bookmarkEnd w:id="313"/>
    </w:p>
    <w:p w14:paraId="021D5671" w14:textId="77777777" w:rsidR="004A2DF7" w:rsidRPr="00F54FDE" w:rsidRDefault="004A2DF7">
      <w:pPr>
        <w:pStyle w:val="ARbody"/>
        <w:rPr>
          <w:highlight w:val="cyan"/>
        </w:rPr>
      </w:pPr>
      <w:bookmarkStart w:id="314" w:name="_Hlk112427698"/>
      <w:r w:rsidRPr="00B34DE6">
        <w:t>The department supported a broad range of not-for-profit community organisations,</w:t>
      </w:r>
      <w:r w:rsidRPr="00B34DE6" w:rsidDel="00F91A0E">
        <w:t xml:space="preserve"> </w:t>
      </w:r>
      <w:r w:rsidRPr="00B34DE6">
        <w:t xml:space="preserve">local governments and schools to deliver services, supports and projects across Victoria. </w:t>
      </w:r>
    </w:p>
    <w:p w14:paraId="3A89E1F3" w14:textId="77777777" w:rsidR="004A2DF7" w:rsidRPr="00824D56" w:rsidRDefault="004A2DF7">
      <w:pPr>
        <w:pStyle w:val="ARbody"/>
      </w:pPr>
      <w:r w:rsidRPr="00824D56">
        <w:t>The department uses the definition of a grant being ‘money given to organisations for a specified purpose directed at achieving goals and objectives consistent with government policy’. The department focused on grants delivered using the standard Victorian Common Funding Agreement, the required contract for Victorian Government grant delivery.</w:t>
      </w:r>
    </w:p>
    <w:p w14:paraId="56AE0A42" w14:textId="77777777" w:rsidR="004A2DF7" w:rsidRPr="001D44BD" w:rsidRDefault="004A2DF7">
      <w:pPr>
        <w:pStyle w:val="ARbody"/>
      </w:pPr>
      <w:r w:rsidRPr="001D44BD">
        <w:t xml:space="preserve">Under this definition, grants </w:t>
      </w:r>
      <w:r>
        <w:t xml:space="preserve">payments made </w:t>
      </w:r>
      <w:r w:rsidRPr="001D44BD">
        <w:t xml:space="preserve">in 2024–25 </w:t>
      </w:r>
      <w:proofErr w:type="gramStart"/>
      <w:r w:rsidRPr="001D44BD">
        <w:t>are</w:t>
      </w:r>
      <w:proofErr w:type="gramEnd"/>
      <w:r w:rsidRPr="001D44BD">
        <w:t xml:space="preserve"> categorised by departmental output </w:t>
      </w:r>
      <w:bookmarkEnd w:id="314"/>
      <w:r w:rsidRPr="001D44BD">
        <w:t>below:</w:t>
      </w:r>
    </w:p>
    <w:p w14:paraId="6DCC74CB" w14:textId="77777777" w:rsidR="004A2DF7" w:rsidRPr="00F54FDE" w:rsidRDefault="004A2DF7">
      <w:pPr>
        <w:pStyle w:val="ARbody"/>
        <w:rPr>
          <w:highlight w:val="cyan"/>
        </w:rPr>
        <w:sectPr w:rsidR="004A2DF7" w:rsidRPr="00F54FDE" w:rsidSect="007F43B1">
          <w:footerReference w:type="even" r:id="rId155"/>
          <w:endnotePr>
            <w:numFmt w:val="decimal"/>
          </w:endnotePr>
          <w:pgSz w:w="11900" w:h="16840" w:code="9"/>
          <w:pgMar w:top="1588" w:right="1134" w:bottom="851" w:left="1134" w:header="510" w:footer="340" w:gutter="0"/>
          <w:cols w:space="454"/>
          <w:docGrid w:linePitch="299"/>
        </w:sectPr>
      </w:pPr>
    </w:p>
    <w:p w14:paraId="1CFBE682" w14:textId="326159E8" w:rsidR="004A2DF7" w:rsidRPr="006D2D94" w:rsidRDefault="004A2DF7" w:rsidP="00A906A4">
      <w:pPr>
        <w:pStyle w:val="Heading3Grants"/>
      </w:pPr>
      <w:r w:rsidRPr="006D2D94">
        <w:t xml:space="preserve">Community </w:t>
      </w:r>
      <w:r w:rsidRPr="00281FED">
        <w:t>Participation</w:t>
      </w:r>
      <w:r w:rsidR="00124D31">
        <w:t xml:space="preserve"> – community funding initiatives</w:t>
      </w:r>
    </w:p>
    <w:tbl>
      <w:tblPr>
        <w:tblStyle w:val="TableGrid"/>
        <w:tblW w:w="5000" w:type="pct"/>
        <w:tblLayout w:type="fixed"/>
        <w:tblLook w:val="02E0" w:firstRow="1" w:lastRow="1" w:firstColumn="1" w:lastColumn="0" w:noHBand="1" w:noVBand="0"/>
      </w:tblPr>
      <w:tblGrid>
        <w:gridCol w:w="3358"/>
        <w:gridCol w:w="1231"/>
      </w:tblGrid>
      <w:tr w:rsidR="004A2DF7" w:rsidRPr="006D2D94" w14:paraId="016DF3B5" w14:textId="77777777" w:rsidTr="0009574E">
        <w:trPr>
          <w:cnfStyle w:val="100000000000" w:firstRow="1" w:lastRow="0" w:firstColumn="0" w:lastColumn="0" w:oddVBand="0" w:evenVBand="0" w:oddHBand="0" w:evenHBand="0" w:firstRowFirstColumn="0" w:firstRowLastColumn="0" w:lastRowFirstColumn="0" w:lastRowLastColumn="0"/>
          <w:trHeight w:val="170"/>
          <w:tblHeader/>
        </w:trPr>
        <w:tc>
          <w:tcPr>
            <w:tcW w:w="3659" w:type="pct"/>
            <w:noWrap/>
          </w:tcPr>
          <w:p w14:paraId="06C6DB34" w14:textId="77777777" w:rsidR="004A2DF7" w:rsidRPr="006D2D94" w:rsidRDefault="004A2DF7">
            <w:pPr>
              <w:pStyle w:val="ARGrantstablecolhead"/>
            </w:pPr>
            <w:r w:rsidRPr="006D2D94">
              <w:t>Organisation</w:t>
            </w:r>
          </w:p>
        </w:tc>
        <w:tc>
          <w:tcPr>
            <w:cnfStyle w:val="000001000000" w:firstRow="0" w:lastRow="0" w:firstColumn="0" w:lastColumn="0" w:oddVBand="0" w:evenVBand="1" w:oddHBand="0" w:evenHBand="0" w:firstRowFirstColumn="0" w:firstRowLastColumn="0" w:lastRowFirstColumn="0" w:lastRowLastColumn="0"/>
            <w:tcW w:w="1341" w:type="pct"/>
            <w:noWrap/>
          </w:tcPr>
          <w:p w14:paraId="15D4026E" w14:textId="77777777" w:rsidR="004A2DF7" w:rsidRPr="006D2D94" w:rsidRDefault="004A2DF7" w:rsidP="0009574E">
            <w:pPr>
              <w:pStyle w:val="ARGrantstablecolheadright"/>
            </w:pPr>
            <w:r w:rsidRPr="006D2D94">
              <w:t>Payment ($)</w:t>
            </w:r>
          </w:p>
        </w:tc>
      </w:tr>
      <w:tr w:rsidR="00792EAC" w:rsidRPr="0046610A" w14:paraId="2C0292A8" w14:textId="77777777" w:rsidTr="0009574E">
        <w:tblPrEx>
          <w:tblLook w:val="04A0" w:firstRow="1" w:lastRow="0" w:firstColumn="1" w:lastColumn="0" w:noHBand="0" w:noVBand="1"/>
        </w:tblPrEx>
        <w:trPr>
          <w:trHeight w:val="170"/>
        </w:trPr>
        <w:tc>
          <w:tcPr>
            <w:tcW w:w="3659" w:type="pct"/>
            <w:noWrap/>
          </w:tcPr>
          <w:p w14:paraId="447F3295" w14:textId="13503A95" w:rsidR="00792EAC" w:rsidRPr="0046610A" w:rsidRDefault="00792EAC" w:rsidP="009E51C8">
            <w:pPr>
              <w:pStyle w:val="ARGrantstabletext"/>
            </w:pPr>
            <w:proofErr w:type="spellStart"/>
            <w:r>
              <w:rPr>
                <w:color w:val="000000"/>
              </w:rPr>
              <w:t>Akoonah</w:t>
            </w:r>
            <w:proofErr w:type="spellEnd"/>
            <w:r>
              <w:rPr>
                <w:color w:val="000000"/>
              </w:rPr>
              <w:t xml:space="preserve"> Park Men</w:t>
            </w:r>
            <w:r w:rsidR="00EA7A42">
              <w:rPr>
                <w:color w:val="000000"/>
              </w:rPr>
              <w:t>’</w:t>
            </w:r>
            <w:r>
              <w:rPr>
                <w:color w:val="000000"/>
              </w:rPr>
              <w:t>s Shed Inc</w:t>
            </w:r>
            <w:r w:rsidR="00EA7A42">
              <w:rPr>
                <w:color w:val="000000"/>
              </w:rPr>
              <w:t>.</w:t>
            </w:r>
          </w:p>
        </w:tc>
        <w:tc>
          <w:tcPr>
            <w:tcW w:w="1341" w:type="pct"/>
            <w:shd w:val="clear" w:color="auto" w:fill="E7E6E6" w:themeFill="background2"/>
            <w:noWrap/>
            <w:vAlign w:val="bottom"/>
          </w:tcPr>
          <w:p w14:paraId="5EC44E74" w14:textId="77777777" w:rsidR="00792EAC" w:rsidRPr="0046610A" w:rsidRDefault="00792EAC" w:rsidP="0009574E">
            <w:pPr>
              <w:pStyle w:val="ARGrantstabletextright"/>
            </w:pPr>
            <w:r>
              <w:rPr>
                <w:color w:val="000000"/>
              </w:rPr>
              <w:t>3,036</w:t>
            </w:r>
          </w:p>
        </w:tc>
      </w:tr>
      <w:tr w:rsidR="00792EAC" w:rsidRPr="0046610A" w14:paraId="67D5FF7A" w14:textId="77777777" w:rsidTr="0009574E">
        <w:tblPrEx>
          <w:tblLook w:val="04A0" w:firstRow="1" w:lastRow="0" w:firstColumn="1" w:lastColumn="0" w:noHBand="0" w:noVBand="1"/>
        </w:tblPrEx>
        <w:trPr>
          <w:trHeight w:val="170"/>
        </w:trPr>
        <w:tc>
          <w:tcPr>
            <w:tcW w:w="3659" w:type="pct"/>
            <w:noWrap/>
          </w:tcPr>
          <w:p w14:paraId="79C0FAB0" w14:textId="77777777" w:rsidR="00792EAC" w:rsidRPr="0046610A" w:rsidRDefault="00792EAC" w:rsidP="009E51C8">
            <w:pPr>
              <w:pStyle w:val="ARGrantstabletext"/>
            </w:pPr>
            <w:r>
              <w:rPr>
                <w:color w:val="000000"/>
              </w:rPr>
              <w:t>Alphington Community Centre</w:t>
            </w:r>
          </w:p>
        </w:tc>
        <w:tc>
          <w:tcPr>
            <w:tcW w:w="1341" w:type="pct"/>
            <w:shd w:val="clear" w:color="auto" w:fill="E7E6E6" w:themeFill="background2"/>
            <w:noWrap/>
            <w:vAlign w:val="bottom"/>
          </w:tcPr>
          <w:p w14:paraId="7B5E32F6" w14:textId="77777777" w:rsidR="00792EAC" w:rsidRPr="0046610A" w:rsidRDefault="00792EAC" w:rsidP="0009574E">
            <w:pPr>
              <w:pStyle w:val="ARGrantstabletextright"/>
            </w:pPr>
            <w:r>
              <w:rPr>
                <w:color w:val="000000"/>
              </w:rPr>
              <w:t>26,400</w:t>
            </w:r>
          </w:p>
        </w:tc>
      </w:tr>
      <w:tr w:rsidR="00792EAC" w:rsidRPr="0046610A" w14:paraId="32B00572" w14:textId="77777777" w:rsidTr="0009574E">
        <w:tblPrEx>
          <w:tblLook w:val="04A0" w:firstRow="1" w:lastRow="0" w:firstColumn="1" w:lastColumn="0" w:noHBand="0" w:noVBand="1"/>
        </w:tblPrEx>
        <w:trPr>
          <w:trHeight w:val="170"/>
        </w:trPr>
        <w:tc>
          <w:tcPr>
            <w:tcW w:w="3659" w:type="pct"/>
            <w:noWrap/>
          </w:tcPr>
          <w:p w14:paraId="17B6CBC1" w14:textId="77777777" w:rsidR="00792EAC" w:rsidRPr="0046610A" w:rsidRDefault="00792EAC" w:rsidP="009E51C8">
            <w:pPr>
              <w:pStyle w:val="ARGrantstabletext"/>
            </w:pPr>
            <w:r>
              <w:rPr>
                <w:color w:val="000000"/>
              </w:rPr>
              <w:t>Ararat Neighbourhood House Inc.</w:t>
            </w:r>
          </w:p>
        </w:tc>
        <w:tc>
          <w:tcPr>
            <w:tcW w:w="1341" w:type="pct"/>
            <w:shd w:val="clear" w:color="auto" w:fill="E7E6E6" w:themeFill="background2"/>
            <w:noWrap/>
            <w:vAlign w:val="bottom"/>
          </w:tcPr>
          <w:p w14:paraId="5AB37C2F" w14:textId="77777777" w:rsidR="00792EAC" w:rsidRPr="0046610A" w:rsidRDefault="00792EAC" w:rsidP="0009574E">
            <w:pPr>
              <w:pStyle w:val="ARGrantstabletextright"/>
            </w:pPr>
            <w:r>
              <w:rPr>
                <w:color w:val="000000"/>
              </w:rPr>
              <w:t>33,750</w:t>
            </w:r>
          </w:p>
        </w:tc>
      </w:tr>
      <w:tr w:rsidR="00792EAC" w:rsidRPr="0046610A" w14:paraId="585F97BA" w14:textId="77777777" w:rsidTr="0009574E">
        <w:tblPrEx>
          <w:tblLook w:val="04A0" w:firstRow="1" w:lastRow="0" w:firstColumn="1" w:lastColumn="0" w:noHBand="0" w:noVBand="1"/>
        </w:tblPrEx>
        <w:trPr>
          <w:trHeight w:val="170"/>
        </w:trPr>
        <w:tc>
          <w:tcPr>
            <w:tcW w:w="3659" w:type="pct"/>
            <w:noWrap/>
          </w:tcPr>
          <w:p w14:paraId="25CDAF3F" w14:textId="24D2C3CE" w:rsidR="00792EAC" w:rsidRPr="0046610A" w:rsidRDefault="00792EAC" w:rsidP="009E51C8">
            <w:pPr>
              <w:pStyle w:val="ARGrantstabletext"/>
            </w:pPr>
            <w:r>
              <w:rPr>
                <w:color w:val="000000"/>
              </w:rPr>
              <w:t>Aspendale Gardens Community Service</w:t>
            </w:r>
            <w:r w:rsidR="00472828">
              <w:rPr>
                <w:color w:val="000000"/>
              </w:rPr>
              <w:t> </w:t>
            </w:r>
            <w:r>
              <w:rPr>
                <w:color w:val="000000"/>
              </w:rPr>
              <w:t>Inc</w:t>
            </w:r>
            <w:r w:rsidR="00EA7A42">
              <w:rPr>
                <w:color w:val="000000"/>
              </w:rPr>
              <w:t>.</w:t>
            </w:r>
          </w:p>
        </w:tc>
        <w:tc>
          <w:tcPr>
            <w:tcW w:w="1341" w:type="pct"/>
            <w:shd w:val="clear" w:color="auto" w:fill="E7E6E6" w:themeFill="background2"/>
            <w:noWrap/>
            <w:vAlign w:val="bottom"/>
          </w:tcPr>
          <w:p w14:paraId="5EC8CCA4" w14:textId="77777777" w:rsidR="00792EAC" w:rsidRPr="0046610A" w:rsidRDefault="00792EAC" w:rsidP="0009574E">
            <w:pPr>
              <w:pStyle w:val="ARGrantstabletextright"/>
            </w:pPr>
            <w:r>
              <w:rPr>
                <w:color w:val="000000"/>
              </w:rPr>
              <w:t>12,870</w:t>
            </w:r>
          </w:p>
        </w:tc>
      </w:tr>
      <w:tr w:rsidR="00792EAC" w:rsidRPr="0046610A" w14:paraId="7087596A" w14:textId="77777777" w:rsidTr="0009574E">
        <w:tblPrEx>
          <w:tblLook w:val="04A0" w:firstRow="1" w:lastRow="0" w:firstColumn="1" w:lastColumn="0" w:noHBand="0" w:noVBand="1"/>
        </w:tblPrEx>
        <w:trPr>
          <w:trHeight w:val="170"/>
        </w:trPr>
        <w:tc>
          <w:tcPr>
            <w:tcW w:w="3659" w:type="pct"/>
            <w:noWrap/>
          </w:tcPr>
          <w:p w14:paraId="664CA6D7" w14:textId="0487E4C5" w:rsidR="00792EAC" w:rsidRPr="0046610A" w:rsidRDefault="00792EAC" w:rsidP="009E51C8">
            <w:pPr>
              <w:pStyle w:val="ARGrantstabletext"/>
            </w:pPr>
            <w:r>
              <w:rPr>
                <w:color w:val="000000"/>
              </w:rPr>
              <w:t>Australia Hindu Maha Sabha Inc</w:t>
            </w:r>
            <w:r w:rsidR="00EA7A42">
              <w:rPr>
                <w:color w:val="000000"/>
              </w:rPr>
              <w:t>.</w:t>
            </w:r>
          </w:p>
        </w:tc>
        <w:tc>
          <w:tcPr>
            <w:tcW w:w="1341" w:type="pct"/>
            <w:shd w:val="clear" w:color="auto" w:fill="E7E6E6" w:themeFill="background2"/>
            <w:noWrap/>
            <w:vAlign w:val="bottom"/>
          </w:tcPr>
          <w:p w14:paraId="25A97201" w14:textId="77777777" w:rsidR="00792EAC" w:rsidRPr="0046610A" w:rsidRDefault="00792EAC" w:rsidP="0009574E">
            <w:pPr>
              <w:pStyle w:val="ARGrantstabletextright"/>
            </w:pPr>
            <w:r>
              <w:rPr>
                <w:color w:val="000000"/>
              </w:rPr>
              <w:t>23,250</w:t>
            </w:r>
          </w:p>
        </w:tc>
      </w:tr>
      <w:tr w:rsidR="00792EAC" w:rsidRPr="0046610A" w14:paraId="69E680EF" w14:textId="77777777" w:rsidTr="0009574E">
        <w:tblPrEx>
          <w:tblLook w:val="04A0" w:firstRow="1" w:lastRow="0" w:firstColumn="1" w:lastColumn="0" w:noHBand="0" w:noVBand="1"/>
        </w:tblPrEx>
        <w:trPr>
          <w:trHeight w:val="170"/>
        </w:trPr>
        <w:tc>
          <w:tcPr>
            <w:tcW w:w="3659" w:type="pct"/>
            <w:noWrap/>
          </w:tcPr>
          <w:p w14:paraId="137E3B89" w14:textId="4B27DE75" w:rsidR="00792EAC" w:rsidRPr="0046610A" w:rsidRDefault="00792EAC" w:rsidP="009E51C8">
            <w:pPr>
              <w:pStyle w:val="ARGrantstabletext"/>
            </w:pPr>
            <w:r>
              <w:rPr>
                <w:color w:val="000000"/>
              </w:rPr>
              <w:t>Badger Creek and District Men</w:t>
            </w:r>
            <w:r w:rsidR="00EA7A42">
              <w:rPr>
                <w:color w:val="000000"/>
              </w:rPr>
              <w:t>’</w:t>
            </w:r>
            <w:r>
              <w:rPr>
                <w:color w:val="000000"/>
              </w:rPr>
              <w:t>s Shed</w:t>
            </w:r>
            <w:r w:rsidR="00472828">
              <w:rPr>
                <w:color w:val="000000"/>
              </w:rPr>
              <w:t> </w:t>
            </w:r>
            <w:r>
              <w:rPr>
                <w:color w:val="000000"/>
              </w:rPr>
              <w:t>Inc</w:t>
            </w:r>
            <w:r w:rsidR="00EA7A42">
              <w:rPr>
                <w:color w:val="000000"/>
              </w:rPr>
              <w:t>.</w:t>
            </w:r>
          </w:p>
        </w:tc>
        <w:tc>
          <w:tcPr>
            <w:tcW w:w="1341" w:type="pct"/>
            <w:shd w:val="clear" w:color="auto" w:fill="E7E6E6" w:themeFill="background2"/>
            <w:noWrap/>
            <w:vAlign w:val="bottom"/>
          </w:tcPr>
          <w:p w14:paraId="6CBEAC57" w14:textId="77777777" w:rsidR="00792EAC" w:rsidRPr="0046610A" w:rsidRDefault="00792EAC" w:rsidP="0009574E">
            <w:pPr>
              <w:pStyle w:val="ARGrantstabletextright"/>
            </w:pPr>
            <w:r>
              <w:rPr>
                <w:color w:val="000000"/>
              </w:rPr>
              <w:t>10,000</w:t>
            </w:r>
          </w:p>
        </w:tc>
      </w:tr>
      <w:tr w:rsidR="00792EAC" w:rsidRPr="0046610A" w14:paraId="04010740" w14:textId="77777777" w:rsidTr="0009574E">
        <w:tblPrEx>
          <w:tblLook w:val="04A0" w:firstRow="1" w:lastRow="0" w:firstColumn="1" w:lastColumn="0" w:noHBand="0" w:noVBand="1"/>
        </w:tblPrEx>
        <w:trPr>
          <w:trHeight w:val="170"/>
        </w:trPr>
        <w:tc>
          <w:tcPr>
            <w:tcW w:w="3659" w:type="pct"/>
            <w:noWrap/>
          </w:tcPr>
          <w:p w14:paraId="4AED506D" w14:textId="4CE8F2D9" w:rsidR="00792EAC" w:rsidRPr="0046610A" w:rsidRDefault="00792EAC" w:rsidP="009E51C8">
            <w:pPr>
              <w:pStyle w:val="ARGrantstabletext"/>
            </w:pPr>
            <w:r>
              <w:rPr>
                <w:color w:val="000000"/>
              </w:rPr>
              <w:t>Bairnsdale Neighbourhood House Inc</w:t>
            </w:r>
            <w:r w:rsidR="00EA7A42">
              <w:rPr>
                <w:color w:val="000000"/>
              </w:rPr>
              <w:t>.</w:t>
            </w:r>
          </w:p>
        </w:tc>
        <w:tc>
          <w:tcPr>
            <w:tcW w:w="1341" w:type="pct"/>
            <w:shd w:val="clear" w:color="auto" w:fill="E7E6E6" w:themeFill="background2"/>
            <w:noWrap/>
            <w:vAlign w:val="bottom"/>
          </w:tcPr>
          <w:p w14:paraId="0D334C41" w14:textId="77777777" w:rsidR="00792EAC" w:rsidRPr="0046610A" w:rsidRDefault="00792EAC" w:rsidP="0009574E">
            <w:pPr>
              <w:pStyle w:val="ARGrantstabletextright"/>
            </w:pPr>
            <w:r>
              <w:rPr>
                <w:color w:val="000000"/>
              </w:rPr>
              <w:t>25,500</w:t>
            </w:r>
          </w:p>
        </w:tc>
      </w:tr>
      <w:tr w:rsidR="00792EAC" w:rsidRPr="0046610A" w14:paraId="1921053C" w14:textId="77777777" w:rsidTr="0009574E">
        <w:tblPrEx>
          <w:tblLook w:val="04A0" w:firstRow="1" w:lastRow="0" w:firstColumn="1" w:lastColumn="0" w:noHBand="0" w:noVBand="1"/>
        </w:tblPrEx>
        <w:trPr>
          <w:trHeight w:val="170"/>
        </w:trPr>
        <w:tc>
          <w:tcPr>
            <w:tcW w:w="3659" w:type="pct"/>
            <w:noWrap/>
          </w:tcPr>
          <w:p w14:paraId="367FC71E" w14:textId="77777777" w:rsidR="00792EAC" w:rsidRPr="0046610A" w:rsidRDefault="00792EAC" w:rsidP="009E51C8">
            <w:pPr>
              <w:pStyle w:val="ARGrantstabletext"/>
            </w:pPr>
            <w:r>
              <w:rPr>
                <w:color w:val="000000"/>
              </w:rPr>
              <w:t>Ballarat Regional Multicultural Council</w:t>
            </w:r>
          </w:p>
        </w:tc>
        <w:tc>
          <w:tcPr>
            <w:tcW w:w="1341" w:type="pct"/>
            <w:shd w:val="clear" w:color="auto" w:fill="E7E6E6" w:themeFill="background2"/>
            <w:noWrap/>
            <w:vAlign w:val="bottom"/>
          </w:tcPr>
          <w:p w14:paraId="5F068B76" w14:textId="77777777" w:rsidR="00792EAC" w:rsidRPr="0046610A" w:rsidRDefault="00792EAC" w:rsidP="0009574E">
            <w:pPr>
              <w:pStyle w:val="ARGrantstabletextright"/>
            </w:pPr>
            <w:r>
              <w:rPr>
                <w:color w:val="000000"/>
              </w:rPr>
              <w:t>24,375</w:t>
            </w:r>
          </w:p>
        </w:tc>
      </w:tr>
      <w:tr w:rsidR="00792EAC" w:rsidRPr="0046610A" w14:paraId="0B307373" w14:textId="77777777" w:rsidTr="0009574E">
        <w:tblPrEx>
          <w:tblLook w:val="04A0" w:firstRow="1" w:lastRow="0" w:firstColumn="1" w:lastColumn="0" w:noHBand="0" w:noVBand="1"/>
        </w:tblPrEx>
        <w:trPr>
          <w:trHeight w:val="170"/>
        </w:trPr>
        <w:tc>
          <w:tcPr>
            <w:tcW w:w="3659" w:type="pct"/>
            <w:noWrap/>
          </w:tcPr>
          <w:p w14:paraId="22D2A0B2" w14:textId="77777777" w:rsidR="00792EAC" w:rsidRPr="0046610A" w:rsidRDefault="00792EAC" w:rsidP="009E51C8">
            <w:pPr>
              <w:pStyle w:val="ARGrantstabletext"/>
            </w:pPr>
            <w:r>
              <w:rPr>
                <w:color w:val="000000"/>
              </w:rPr>
              <w:t>Banksia Gardens Community Centre</w:t>
            </w:r>
          </w:p>
        </w:tc>
        <w:tc>
          <w:tcPr>
            <w:tcW w:w="1341" w:type="pct"/>
            <w:shd w:val="clear" w:color="auto" w:fill="E7E6E6" w:themeFill="background2"/>
            <w:noWrap/>
            <w:vAlign w:val="bottom"/>
          </w:tcPr>
          <w:p w14:paraId="056B9499" w14:textId="77777777" w:rsidR="00792EAC" w:rsidRPr="0046610A" w:rsidRDefault="00792EAC" w:rsidP="0009574E">
            <w:pPr>
              <w:pStyle w:val="ARGrantstabletextright"/>
            </w:pPr>
            <w:r>
              <w:rPr>
                <w:color w:val="000000"/>
              </w:rPr>
              <w:t>26,250</w:t>
            </w:r>
          </w:p>
        </w:tc>
      </w:tr>
      <w:tr w:rsidR="00792EAC" w:rsidRPr="0046610A" w14:paraId="55AC13D3" w14:textId="77777777" w:rsidTr="0009574E">
        <w:tblPrEx>
          <w:tblLook w:val="04A0" w:firstRow="1" w:lastRow="0" w:firstColumn="1" w:lastColumn="0" w:noHBand="0" w:noVBand="1"/>
        </w:tblPrEx>
        <w:trPr>
          <w:trHeight w:val="170"/>
        </w:trPr>
        <w:tc>
          <w:tcPr>
            <w:tcW w:w="3659" w:type="pct"/>
            <w:noWrap/>
          </w:tcPr>
          <w:p w14:paraId="5CC9A94A" w14:textId="740D7C95" w:rsidR="00792EAC" w:rsidRPr="0046610A" w:rsidRDefault="00792EAC" w:rsidP="009E51C8">
            <w:pPr>
              <w:pStyle w:val="ARGrantstabletext"/>
            </w:pPr>
            <w:r>
              <w:rPr>
                <w:color w:val="000000"/>
              </w:rPr>
              <w:t>Banyule Support and Information Centre</w:t>
            </w:r>
            <w:r w:rsidR="00472828">
              <w:rPr>
                <w:color w:val="000000"/>
              </w:rPr>
              <w:t> </w:t>
            </w:r>
            <w:r>
              <w:rPr>
                <w:color w:val="000000"/>
              </w:rPr>
              <w:t>Inc</w:t>
            </w:r>
            <w:r w:rsidR="00EA7A42">
              <w:rPr>
                <w:color w:val="000000"/>
              </w:rPr>
              <w:t>.</w:t>
            </w:r>
          </w:p>
        </w:tc>
        <w:tc>
          <w:tcPr>
            <w:tcW w:w="1341" w:type="pct"/>
            <w:shd w:val="clear" w:color="auto" w:fill="E7E6E6" w:themeFill="background2"/>
            <w:noWrap/>
            <w:vAlign w:val="bottom"/>
          </w:tcPr>
          <w:p w14:paraId="3F7063A9" w14:textId="77777777" w:rsidR="00792EAC" w:rsidRPr="0046610A" w:rsidRDefault="00792EAC" w:rsidP="0009574E">
            <w:pPr>
              <w:pStyle w:val="ARGrantstabletextright"/>
            </w:pPr>
            <w:r>
              <w:rPr>
                <w:color w:val="000000"/>
              </w:rPr>
              <w:t>28,076</w:t>
            </w:r>
          </w:p>
        </w:tc>
      </w:tr>
      <w:tr w:rsidR="00792EAC" w:rsidRPr="0046610A" w14:paraId="5A04345D" w14:textId="77777777" w:rsidTr="0009574E">
        <w:tblPrEx>
          <w:tblLook w:val="04A0" w:firstRow="1" w:lastRow="0" w:firstColumn="1" w:lastColumn="0" w:noHBand="0" w:noVBand="1"/>
        </w:tblPrEx>
        <w:trPr>
          <w:trHeight w:val="170"/>
        </w:trPr>
        <w:tc>
          <w:tcPr>
            <w:tcW w:w="3659" w:type="pct"/>
            <w:noWrap/>
          </w:tcPr>
          <w:p w14:paraId="45815FCB" w14:textId="77777777" w:rsidR="00792EAC" w:rsidRPr="0046610A" w:rsidRDefault="00792EAC" w:rsidP="009E51C8">
            <w:pPr>
              <w:pStyle w:val="ARGrantstabletext"/>
            </w:pPr>
            <w:r>
              <w:rPr>
                <w:color w:val="000000"/>
              </w:rPr>
              <w:t xml:space="preserve">Baw </w:t>
            </w:r>
            <w:proofErr w:type="spellStart"/>
            <w:r>
              <w:rPr>
                <w:color w:val="000000"/>
              </w:rPr>
              <w:t>Baw</w:t>
            </w:r>
            <w:proofErr w:type="spellEnd"/>
            <w:r>
              <w:rPr>
                <w:color w:val="000000"/>
              </w:rPr>
              <w:t xml:space="preserve"> Shire Council</w:t>
            </w:r>
          </w:p>
        </w:tc>
        <w:tc>
          <w:tcPr>
            <w:tcW w:w="1341" w:type="pct"/>
            <w:shd w:val="clear" w:color="auto" w:fill="E7E6E6" w:themeFill="background2"/>
            <w:noWrap/>
            <w:vAlign w:val="bottom"/>
          </w:tcPr>
          <w:p w14:paraId="0F44B5EE" w14:textId="77777777" w:rsidR="00792EAC" w:rsidRPr="0046610A" w:rsidRDefault="00792EAC" w:rsidP="0009574E">
            <w:pPr>
              <w:pStyle w:val="ARGrantstabletextright"/>
            </w:pPr>
            <w:r>
              <w:rPr>
                <w:color w:val="000000"/>
              </w:rPr>
              <w:t>17,882</w:t>
            </w:r>
          </w:p>
        </w:tc>
      </w:tr>
      <w:tr w:rsidR="00792EAC" w:rsidRPr="0046610A" w14:paraId="3F7EF05B" w14:textId="77777777" w:rsidTr="0009574E">
        <w:tblPrEx>
          <w:tblLook w:val="04A0" w:firstRow="1" w:lastRow="0" w:firstColumn="1" w:lastColumn="0" w:noHBand="0" w:noVBand="1"/>
        </w:tblPrEx>
        <w:trPr>
          <w:trHeight w:val="170"/>
        </w:trPr>
        <w:tc>
          <w:tcPr>
            <w:tcW w:w="3659" w:type="pct"/>
            <w:noWrap/>
          </w:tcPr>
          <w:p w14:paraId="6E59C9DF" w14:textId="22B25D96" w:rsidR="00792EAC" w:rsidRPr="0046610A" w:rsidRDefault="00792EAC" w:rsidP="009E51C8">
            <w:pPr>
              <w:pStyle w:val="ARGrantstabletext"/>
            </w:pPr>
            <w:r>
              <w:rPr>
                <w:color w:val="000000"/>
              </w:rPr>
              <w:t>Bayside Community Care Inc</w:t>
            </w:r>
            <w:r w:rsidR="00EA7A42">
              <w:rPr>
                <w:color w:val="000000"/>
              </w:rPr>
              <w:t>.</w:t>
            </w:r>
          </w:p>
        </w:tc>
        <w:tc>
          <w:tcPr>
            <w:tcW w:w="1341" w:type="pct"/>
            <w:shd w:val="clear" w:color="auto" w:fill="E7E6E6" w:themeFill="background2"/>
            <w:noWrap/>
            <w:vAlign w:val="bottom"/>
          </w:tcPr>
          <w:p w14:paraId="05A2540B" w14:textId="77777777" w:rsidR="00792EAC" w:rsidRPr="0046610A" w:rsidRDefault="00792EAC" w:rsidP="0009574E">
            <w:pPr>
              <w:pStyle w:val="ARGrantstabletextright"/>
            </w:pPr>
            <w:r>
              <w:rPr>
                <w:color w:val="000000"/>
              </w:rPr>
              <w:t>10,000</w:t>
            </w:r>
          </w:p>
        </w:tc>
      </w:tr>
      <w:tr w:rsidR="00792EAC" w:rsidRPr="0046610A" w14:paraId="26880A10" w14:textId="77777777" w:rsidTr="0009574E">
        <w:tblPrEx>
          <w:tblLook w:val="04A0" w:firstRow="1" w:lastRow="0" w:firstColumn="1" w:lastColumn="0" w:noHBand="0" w:noVBand="1"/>
        </w:tblPrEx>
        <w:trPr>
          <w:trHeight w:val="170"/>
        </w:trPr>
        <w:tc>
          <w:tcPr>
            <w:tcW w:w="3659" w:type="pct"/>
            <w:noWrap/>
          </w:tcPr>
          <w:p w14:paraId="03D79C0B" w14:textId="77777777" w:rsidR="00792EAC" w:rsidRPr="0046610A" w:rsidRDefault="00792EAC" w:rsidP="009E51C8">
            <w:pPr>
              <w:pStyle w:val="ARGrantstabletext"/>
            </w:pPr>
            <w:r>
              <w:rPr>
                <w:color w:val="000000"/>
              </w:rPr>
              <w:t>Belgium Avenue Neighbourhood House</w:t>
            </w:r>
          </w:p>
        </w:tc>
        <w:tc>
          <w:tcPr>
            <w:tcW w:w="1341" w:type="pct"/>
            <w:shd w:val="clear" w:color="auto" w:fill="E7E6E6" w:themeFill="background2"/>
            <w:noWrap/>
            <w:vAlign w:val="bottom"/>
          </w:tcPr>
          <w:p w14:paraId="018A0254" w14:textId="77777777" w:rsidR="00792EAC" w:rsidRPr="0046610A" w:rsidRDefault="00792EAC" w:rsidP="0009574E">
            <w:pPr>
              <w:pStyle w:val="ARGrantstabletextright"/>
            </w:pPr>
            <w:r>
              <w:rPr>
                <w:color w:val="000000"/>
              </w:rPr>
              <w:t>31,021</w:t>
            </w:r>
          </w:p>
        </w:tc>
      </w:tr>
      <w:tr w:rsidR="00792EAC" w:rsidRPr="0046610A" w14:paraId="192C5C19" w14:textId="77777777" w:rsidTr="0009574E">
        <w:tblPrEx>
          <w:tblLook w:val="04A0" w:firstRow="1" w:lastRow="0" w:firstColumn="1" w:lastColumn="0" w:noHBand="0" w:noVBand="1"/>
        </w:tblPrEx>
        <w:trPr>
          <w:trHeight w:val="170"/>
        </w:trPr>
        <w:tc>
          <w:tcPr>
            <w:tcW w:w="3659" w:type="pct"/>
            <w:noWrap/>
          </w:tcPr>
          <w:p w14:paraId="4BF6CE78" w14:textId="77777777" w:rsidR="00792EAC" w:rsidRPr="0046610A" w:rsidRDefault="00792EAC" w:rsidP="009E51C8">
            <w:pPr>
              <w:pStyle w:val="ARGrantstabletext"/>
            </w:pPr>
            <w:r>
              <w:rPr>
                <w:color w:val="000000"/>
              </w:rPr>
              <w:t>Bellarine Living and Learning Centre (Whittington Neighbourhood House)</w:t>
            </w:r>
          </w:p>
        </w:tc>
        <w:tc>
          <w:tcPr>
            <w:tcW w:w="1341" w:type="pct"/>
            <w:shd w:val="clear" w:color="auto" w:fill="E7E6E6" w:themeFill="background2"/>
            <w:noWrap/>
            <w:vAlign w:val="bottom"/>
          </w:tcPr>
          <w:p w14:paraId="565BC1F3" w14:textId="77777777" w:rsidR="00792EAC" w:rsidRPr="0046610A" w:rsidRDefault="00792EAC" w:rsidP="0009574E">
            <w:pPr>
              <w:pStyle w:val="ARGrantstabletextright"/>
            </w:pPr>
            <w:r>
              <w:rPr>
                <w:color w:val="000000"/>
              </w:rPr>
              <w:t>14,851</w:t>
            </w:r>
          </w:p>
        </w:tc>
      </w:tr>
      <w:tr w:rsidR="00792EAC" w:rsidRPr="0046610A" w14:paraId="16AB939B" w14:textId="77777777" w:rsidTr="0009574E">
        <w:tblPrEx>
          <w:tblLook w:val="04A0" w:firstRow="1" w:lastRow="0" w:firstColumn="1" w:lastColumn="0" w:noHBand="0" w:noVBand="1"/>
        </w:tblPrEx>
        <w:trPr>
          <w:trHeight w:val="170"/>
        </w:trPr>
        <w:tc>
          <w:tcPr>
            <w:tcW w:w="3659" w:type="pct"/>
            <w:noWrap/>
          </w:tcPr>
          <w:p w14:paraId="55D5F63C" w14:textId="2AEF39D7" w:rsidR="00792EAC" w:rsidRPr="0046610A" w:rsidRDefault="00792EAC" w:rsidP="009E51C8">
            <w:pPr>
              <w:pStyle w:val="ARGrantstabletext"/>
            </w:pPr>
            <w:r>
              <w:rPr>
                <w:color w:val="000000"/>
              </w:rPr>
              <w:t>Bendigo and District Aboriginal</w:t>
            </w:r>
            <w:r w:rsidR="00472828">
              <w:rPr>
                <w:color w:val="000000"/>
              </w:rPr>
              <w:t> </w:t>
            </w:r>
            <w:r>
              <w:rPr>
                <w:color w:val="000000"/>
              </w:rPr>
              <w:t>Cooperative</w:t>
            </w:r>
          </w:p>
        </w:tc>
        <w:tc>
          <w:tcPr>
            <w:tcW w:w="1341" w:type="pct"/>
            <w:shd w:val="clear" w:color="auto" w:fill="E7E6E6" w:themeFill="background2"/>
            <w:noWrap/>
            <w:vAlign w:val="bottom"/>
          </w:tcPr>
          <w:p w14:paraId="0C543CC2" w14:textId="77777777" w:rsidR="00792EAC" w:rsidRPr="0046610A" w:rsidRDefault="00792EAC" w:rsidP="0009574E">
            <w:pPr>
              <w:pStyle w:val="ARGrantstabletextright"/>
            </w:pPr>
            <w:r>
              <w:rPr>
                <w:color w:val="000000"/>
              </w:rPr>
              <w:t>22,033</w:t>
            </w:r>
          </w:p>
        </w:tc>
      </w:tr>
      <w:tr w:rsidR="00792EAC" w:rsidRPr="0046610A" w14:paraId="563899D3" w14:textId="77777777" w:rsidTr="0009574E">
        <w:tblPrEx>
          <w:tblLook w:val="04A0" w:firstRow="1" w:lastRow="0" w:firstColumn="1" w:lastColumn="0" w:noHBand="0" w:noVBand="1"/>
        </w:tblPrEx>
        <w:trPr>
          <w:trHeight w:val="170"/>
        </w:trPr>
        <w:tc>
          <w:tcPr>
            <w:tcW w:w="3659" w:type="pct"/>
            <w:noWrap/>
          </w:tcPr>
          <w:p w14:paraId="4F4A4C77" w14:textId="42B46A34" w:rsidR="00792EAC" w:rsidRPr="0046610A" w:rsidRDefault="00792EAC" w:rsidP="009E51C8">
            <w:pPr>
              <w:pStyle w:val="ARGrantstabletext"/>
            </w:pPr>
            <w:r>
              <w:rPr>
                <w:color w:val="000000"/>
              </w:rPr>
              <w:t>Bendigo and District Aboriginal</w:t>
            </w:r>
            <w:r w:rsidR="00472828">
              <w:rPr>
                <w:color w:val="000000"/>
              </w:rPr>
              <w:t> </w:t>
            </w:r>
            <w:r>
              <w:rPr>
                <w:color w:val="000000"/>
              </w:rPr>
              <w:t>Cooperative</w:t>
            </w:r>
          </w:p>
        </w:tc>
        <w:tc>
          <w:tcPr>
            <w:tcW w:w="1341" w:type="pct"/>
            <w:shd w:val="clear" w:color="auto" w:fill="E7E6E6" w:themeFill="background2"/>
            <w:noWrap/>
            <w:vAlign w:val="bottom"/>
          </w:tcPr>
          <w:p w14:paraId="7064630B" w14:textId="77777777" w:rsidR="00792EAC" w:rsidRPr="0046610A" w:rsidRDefault="00792EAC" w:rsidP="0009574E">
            <w:pPr>
              <w:pStyle w:val="ARGrantstabletextright"/>
            </w:pPr>
            <w:r>
              <w:rPr>
                <w:color w:val="000000"/>
              </w:rPr>
              <w:t>34,552</w:t>
            </w:r>
          </w:p>
        </w:tc>
      </w:tr>
      <w:tr w:rsidR="00792EAC" w:rsidRPr="0046610A" w14:paraId="7D43E040" w14:textId="77777777" w:rsidTr="0009574E">
        <w:tblPrEx>
          <w:tblLook w:val="04A0" w:firstRow="1" w:lastRow="0" w:firstColumn="1" w:lastColumn="0" w:noHBand="0" w:noVBand="1"/>
        </w:tblPrEx>
        <w:trPr>
          <w:trHeight w:val="170"/>
        </w:trPr>
        <w:tc>
          <w:tcPr>
            <w:tcW w:w="3659" w:type="pct"/>
            <w:noWrap/>
          </w:tcPr>
          <w:p w14:paraId="5472252B" w14:textId="77777777" w:rsidR="00792EAC" w:rsidRPr="0046610A" w:rsidRDefault="00792EAC" w:rsidP="009E51C8">
            <w:pPr>
              <w:pStyle w:val="ARGrantstabletext"/>
            </w:pPr>
            <w:proofErr w:type="spellStart"/>
            <w:r>
              <w:rPr>
                <w:color w:val="000000"/>
              </w:rPr>
              <w:t>Birallee</w:t>
            </w:r>
            <w:proofErr w:type="spellEnd"/>
            <w:r>
              <w:rPr>
                <w:color w:val="000000"/>
              </w:rPr>
              <w:t xml:space="preserve"> Park Neighbourhood House</w:t>
            </w:r>
          </w:p>
        </w:tc>
        <w:tc>
          <w:tcPr>
            <w:tcW w:w="1341" w:type="pct"/>
            <w:shd w:val="clear" w:color="auto" w:fill="E7E6E6" w:themeFill="background2"/>
            <w:noWrap/>
            <w:vAlign w:val="bottom"/>
          </w:tcPr>
          <w:p w14:paraId="3A08C394" w14:textId="77777777" w:rsidR="00792EAC" w:rsidRPr="0046610A" w:rsidRDefault="00792EAC" w:rsidP="0009574E">
            <w:pPr>
              <w:pStyle w:val="ARGrantstabletextright"/>
            </w:pPr>
            <w:r>
              <w:rPr>
                <w:color w:val="000000"/>
              </w:rPr>
              <w:t>40,137</w:t>
            </w:r>
          </w:p>
        </w:tc>
      </w:tr>
      <w:tr w:rsidR="00792EAC" w:rsidRPr="0046610A" w14:paraId="54B99116" w14:textId="77777777" w:rsidTr="0009574E">
        <w:tblPrEx>
          <w:tblLook w:val="04A0" w:firstRow="1" w:lastRow="0" w:firstColumn="1" w:lastColumn="0" w:noHBand="0" w:noVBand="1"/>
        </w:tblPrEx>
        <w:trPr>
          <w:trHeight w:val="170"/>
        </w:trPr>
        <w:tc>
          <w:tcPr>
            <w:tcW w:w="3659" w:type="pct"/>
            <w:noWrap/>
          </w:tcPr>
          <w:p w14:paraId="2FFEEF23" w14:textId="0C0AFC53" w:rsidR="00792EAC" w:rsidRPr="0046610A" w:rsidRDefault="00792EAC" w:rsidP="009E51C8">
            <w:pPr>
              <w:pStyle w:val="ARGrantstabletext"/>
            </w:pPr>
            <w:proofErr w:type="spellStart"/>
            <w:r>
              <w:rPr>
                <w:color w:val="000000"/>
              </w:rPr>
              <w:t>Boorndawan</w:t>
            </w:r>
            <w:proofErr w:type="spellEnd"/>
            <w:r>
              <w:rPr>
                <w:color w:val="000000"/>
              </w:rPr>
              <w:t xml:space="preserve"> Willam Aboriginal Healing</w:t>
            </w:r>
            <w:r w:rsidR="00472828">
              <w:rPr>
                <w:color w:val="000000"/>
              </w:rPr>
              <w:t> </w:t>
            </w:r>
            <w:r>
              <w:rPr>
                <w:color w:val="000000"/>
              </w:rPr>
              <w:t>Service</w:t>
            </w:r>
          </w:p>
        </w:tc>
        <w:tc>
          <w:tcPr>
            <w:tcW w:w="1341" w:type="pct"/>
            <w:shd w:val="clear" w:color="auto" w:fill="E7E6E6" w:themeFill="background2"/>
            <w:noWrap/>
            <w:vAlign w:val="bottom"/>
          </w:tcPr>
          <w:p w14:paraId="6228DD2A" w14:textId="77777777" w:rsidR="00792EAC" w:rsidRPr="0046610A" w:rsidRDefault="00792EAC" w:rsidP="0009574E">
            <w:pPr>
              <w:pStyle w:val="ARGrantstabletextright"/>
            </w:pPr>
            <w:r>
              <w:rPr>
                <w:color w:val="000000"/>
              </w:rPr>
              <w:t>29,250</w:t>
            </w:r>
          </w:p>
        </w:tc>
      </w:tr>
      <w:tr w:rsidR="00792EAC" w:rsidRPr="0046610A" w14:paraId="4AA138C8" w14:textId="77777777" w:rsidTr="0009574E">
        <w:tblPrEx>
          <w:tblLook w:val="04A0" w:firstRow="1" w:lastRow="0" w:firstColumn="1" w:lastColumn="0" w:noHBand="0" w:noVBand="1"/>
        </w:tblPrEx>
        <w:trPr>
          <w:trHeight w:val="170"/>
        </w:trPr>
        <w:tc>
          <w:tcPr>
            <w:tcW w:w="3659" w:type="pct"/>
            <w:noWrap/>
          </w:tcPr>
          <w:p w14:paraId="6DFFEA5B" w14:textId="77777777" w:rsidR="00792EAC" w:rsidRPr="0046610A" w:rsidRDefault="00792EAC" w:rsidP="009E51C8">
            <w:pPr>
              <w:pStyle w:val="ARGrantstabletext"/>
            </w:pPr>
            <w:r>
              <w:rPr>
                <w:color w:val="000000"/>
              </w:rPr>
              <w:t>Box Hill Baptist Church</w:t>
            </w:r>
          </w:p>
        </w:tc>
        <w:tc>
          <w:tcPr>
            <w:tcW w:w="1341" w:type="pct"/>
            <w:shd w:val="clear" w:color="auto" w:fill="E7E6E6" w:themeFill="background2"/>
            <w:noWrap/>
            <w:vAlign w:val="bottom"/>
          </w:tcPr>
          <w:p w14:paraId="0DCE9E72" w14:textId="77777777" w:rsidR="00792EAC" w:rsidRPr="0046610A" w:rsidRDefault="00792EAC" w:rsidP="0009574E">
            <w:pPr>
              <w:pStyle w:val="ARGrantstabletextright"/>
            </w:pPr>
            <w:r>
              <w:rPr>
                <w:color w:val="000000"/>
              </w:rPr>
              <w:t>3,100</w:t>
            </w:r>
          </w:p>
        </w:tc>
      </w:tr>
      <w:tr w:rsidR="00792EAC" w:rsidRPr="0046610A" w14:paraId="413AA0D2" w14:textId="77777777" w:rsidTr="0009574E">
        <w:tblPrEx>
          <w:tblLook w:val="04A0" w:firstRow="1" w:lastRow="0" w:firstColumn="1" w:lastColumn="0" w:noHBand="0" w:noVBand="1"/>
        </w:tblPrEx>
        <w:trPr>
          <w:trHeight w:val="170"/>
        </w:trPr>
        <w:tc>
          <w:tcPr>
            <w:tcW w:w="3659" w:type="pct"/>
            <w:noWrap/>
          </w:tcPr>
          <w:p w14:paraId="260C216E" w14:textId="7EDCD846" w:rsidR="00792EAC" w:rsidRPr="0046610A" w:rsidRDefault="00792EAC" w:rsidP="009E51C8">
            <w:pPr>
              <w:pStyle w:val="ARGrantstabletext"/>
            </w:pPr>
            <w:r>
              <w:rPr>
                <w:color w:val="000000"/>
              </w:rPr>
              <w:t>Bruthen &amp; District Neighbourhood</w:t>
            </w:r>
            <w:r w:rsidR="0009574E">
              <w:rPr>
                <w:color w:val="000000"/>
              </w:rPr>
              <w:t> </w:t>
            </w:r>
            <w:r>
              <w:rPr>
                <w:color w:val="000000"/>
              </w:rPr>
              <w:t>House</w:t>
            </w:r>
          </w:p>
        </w:tc>
        <w:tc>
          <w:tcPr>
            <w:tcW w:w="1341" w:type="pct"/>
            <w:shd w:val="clear" w:color="auto" w:fill="E7E6E6" w:themeFill="background2"/>
            <w:noWrap/>
            <w:vAlign w:val="bottom"/>
          </w:tcPr>
          <w:p w14:paraId="3A6B4B75" w14:textId="77777777" w:rsidR="00792EAC" w:rsidRPr="0046610A" w:rsidRDefault="00792EAC" w:rsidP="0009574E">
            <w:pPr>
              <w:pStyle w:val="ARGrantstabletextright"/>
            </w:pPr>
            <w:r>
              <w:rPr>
                <w:color w:val="000000"/>
              </w:rPr>
              <w:t>8,979</w:t>
            </w:r>
          </w:p>
        </w:tc>
      </w:tr>
      <w:tr w:rsidR="00792EAC" w:rsidRPr="0046610A" w14:paraId="6ED0F0E6" w14:textId="77777777" w:rsidTr="0009574E">
        <w:tblPrEx>
          <w:tblLook w:val="04A0" w:firstRow="1" w:lastRow="0" w:firstColumn="1" w:lastColumn="0" w:noHBand="0" w:noVBand="1"/>
        </w:tblPrEx>
        <w:trPr>
          <w:trHeight w:val="170"/>
        </w:trPr>
        <w:tc>
          <w:tcPr>
            <w:tcW w:w="3659" w:type="pct"/>
            <w:noWrap/>
          </w:tcPr>
          <w:p w14:paraId="01385F8D" w14:textId="77777777" w:rsidR="00792EAC" w:rsidRPr="0046610A" w:rsidRDefault="00792EAC" w:rsidP="009E51C8">
            <w:pPr>
              <w:pStyle w:val="ARGrantstabletext"/>
            </w:pPr>
            <w:proofErr w:type="spellStart"/>
            <w:r>
              <w:rPr>
                <w:color w:val="000000"/>
              </w:rPr>
              <w:t>CareNet</w:t>
            </w:r>
            <w:proofErr w:type="spellEnd"/>
            <w:r>
              <w:rPr>
                <w:color w:val="000000"/>
              </w:rPr>
              <w:t xml:space="preserve"> Ltd</w:t>
            </w:r>
          </w:p>
        </w:tc>
        <w:tc>
          <w:tcPr>
            <w:tcW w:w="1341" w:type="pct"/>
            <w:shd w:val="clear" w:color="auto" w:fill="E7E6E6" w:themeFill="background2"/>
            <w:noWrap/>
            <w:vAlign w:val="bottom"/>
          </w:tcPr>
          <w:p w14:paraId="6AB64DBB" w14:textId="77777777" w:rsidR="00792EAC" w:rsidRPr="0046610A" w:rsidRDefault="00792EAC" w:rsidP="0009574E">
            <w:pPr>
              <w:pStyle w:val="ARGrantstabletextright"/>
            </w:pPr>
            <w:r>
              <w:rPr>
                <w:color w:val="000000"/>
              </w:rPr>
              <w:t>37,500</w:t>
            </w:r>
          </w:p>
        </w:tc>
      </w:tr>
      <w:tr w:rsidR="00792EAC" w:rsidRPr="0046610A" w14:paraId="2AE331E7" w14:textId="77777777" w:rsidTr="0009574E">
        <w:tblPrEx>
          <w:tblLook w:val="04A0" w:firstRow="1" w:lastRow="0" w:firstColumn="1" w:lastColumn="0" w:noHBand="0" w:noVBand="1"/>
        </w:tblPrEx>
        <w:trPr>
          <w:trHeight w:val="170"/>
        </w:trPr>
        <w:tc>
          <w:tcPr>
            <w:tcW w:w="3659" w:type="pct"/>
            <w:noWrap/>
          </w:tcPr>
          <w:p w14:paraId="60B6976C" w14:textId="77777777" w:rsidR="00792EAC" w:rsidRPr="0046610A" w:rsidRDefault="00792EAC" w:rsidP="009E51C8">
            <w:pPr>
              <w:pStyle w:val="ARGrantstabletext"/>
            </w:pPr>
            <w:proofErr w:type="spellStart"/>
            <w:r>
              <w:rPr>
                <w:color w:val="000000"/>
              </w:rPr>
              <w:t>CareWorks</w:t>
            </w:r>
            <w:proofErr w:type="spellEnd"/>
            <w:r>
              <w:rPr>
                <w:color w:val="000000"/>
              </w:rPr>
              <w:t xml:space="preserve"> </w:t>
            </w:r>
            <w:proofErr w:type="spellStart"/>
            <w:r>
              <w:rPr>
                <w:color w:val="000000"/>
              </w:rPr>
              <w:t>SunRanges</w:t>
            </w:r>
            <w:proofErr w:type="spellEnd"/>
            <w:r>
              <w:rPr>
                <w:color w:val="000000"/>
              </w:rPr>
              <w:t xml:space="preserve"> Inc.</w:t>
            </w:r>
          </w:p>
        </w:tc>
        <w:tc>
          <w:tcPr>
            <w:tcW w:w="1341" w:type="pct"/>
            <w:shd w:val="clear" w:color="auto" w:fill="E7E6E6" w:themeFill="background2"/>
            <w:noWrap/>
            <w:vAlign w:val="bottom"/>
          </w:tcPr>
          <w:p w14:paraId="57DBEB6A" w14:textId="77777777" w:rsidR="00792EAC" w:rsidRPr="0046610A" w:rsidRDefault="00792EAC" w:rsidP="0009574E">
            <w:pPr>
              <w:pStyle w:val="ARGrantstabletextright"/>
            </w:pPr>
            <w:r>
              <w:rPr>
                <w:color w:val="000000"/>
              </w:rPr>
              <w:t>11,100</w:t>
            </w:r>
          </w:p>
        </w:tc>
      </w:tr>
      <w:tr w:rsidR="00792EAC" w:rsidRPr="0046610A" w14:paraId="310F995F" w14:textId="77777777" w:rsidTr="0009574E">
        <w:tblPrEx>
          <w:tblLook w:val="04A0" w:firstRow="1" w:lastRow="0" w:firstColumn="1" w:lastColumn="0" w:noHBand="0" w:noVBand="1"/>
        </w:tblPrEx>
        <w:trPr>
          <w:trHeight w:val="170"/>
        </w:trPr>
        <w:tc>
          <w:tcPr>
            <w:tcW w:w="3659" w:type="pct"/>
            <w:noWrap/>
          </w:tcPr>
          <w:p w14:paraId="68FE3013" w14:textId="77777777" w:rsidR="00792EAC" w:rsidRPr="0046610A" w:rsidRDefault="00792EAC" w:rsidP="009E51C8">
            <w:pPr>
              <w:pStyle w:val="ARGrantstabletext"/>
            </w:pPr>
            <w:r>
              <w:rPr>
                <w:color w:val="000000"/>
              </w:rPr>
              <w:t>Carlton Neighbourhood Learning Centre</w:t>
            </w:r>
          </w:p>
        </w:tc>
        <w:tc>
          <w:tcPr>
            <w:tcW w:w="1341" w:type="pct"/>
            <w:shd w:val="clear" w:color="auto" w:fill="E7E6E6" w:themeFill="background2"/>
            <w:noWrap/>
            <w:vAlign w:val="bottom"/>
          </w:tcPr>
          <w:p w14:paraId="7A873BD7" w14:textId="77777777" w:rsidR="00792EAC" w:rsidRPr="0046610A" w:rsidRDefault="00792EAC" w:rsidP="0009574E">
            <w:pPr>
              <w:pStyle w:val="ARGrantstabletextright"/>
            </w:pPr>
            <w:r>
              <w:rPr>
                <w:color w:val="000000"/>
              </w:rPr>
              <w:t>23,625</w:t>
            </w:r>
          </w:p>
        </w:tc>
      </w:tr>
      <w:tr w:rsidR="00792EAC" w:rsidRPr="0046610A" w14:paraId="29225C52" w14:textId="77777777" w:rsidTr="0009574E">
        <w:tblPrEx>
          <w:tblLook w:val="04A0" w:firstRow="1" w:lastRow="0" w:firstColumn="1" w:lastColumn="0" w:noHBand="0" w:noVBand="1"/>
        </w:tblPrEx>
        <w:trPr>
          <w:trHeight w:val="170"/>
        </w:trPr>
        <w:tc>
          <w:tcPr>
            <w:tcW w:w="3659" w:type="pct"/>
            <w:noWrap/>
          </w:tcPr>
          <w:p w14:paraId="3E7BAB80" w14:textId="77777777" w:rsidR="00792EAC" w:rsidRPr="0046610A" w:rsidRDefault="00792EAC" w:rsidP="009E51C8">
            <w:pPr>
              <w:pStyle w:val="ARGrantstabletext"/>
            </w:pPr>
            <w:r>
              <w:rPr>
                <w:color w:val="000000"/>
              </w:rPr>
              <w:t>Castlemaine Community House</w:t>
            </w:r>
          </w:p>
        </w:tc>
        <w:tc>
          <w:tcPr>
            <w:tcW w:w="1341" w:type="pct"/>
            <w:shd w:val="clear" w:color="auto" w:fill="E7E6E6" w:themeFill="background2"/>
            <w:noWrap/>
            <w:vAlign w:val="bottom"/>
          </w:tcPr>
          <w:p w14:paraId="296F2D1C" w14:textId="77777777" w:rsidR="00792EAC" w:rsidRPr="0046610A" w:rsidRDefault="00792EAC" w:rsidP="0009574E">
            <w:pPr>
              <w:pStyle w:val="ARGrantstabletextright"/>
            </w:pPr>
            <w:r>
              <w:rPr>
                <w:color w:val="000000"/>
              </w:rPr>
              <w:t>42,900</w:t>
            </w:r>
          </w:p>
        </w:tc>
      </w:tr>
      <w:tr w:rsidR="00792EAC" w:rsidRPr="0046610A" w14:paraId="69A83523" w14:textId="77777777" w:rsidTr="0009574E">
        <w:tblPrEx>
          <w:tblLook w:val="04A0" w:firstRow="1" w:lastRow="0" w:firstColumn="1" w:lastColumn="0" w:noHBand="0" w:noVBand="1"/>
        </w:tblPrEx>
        <w:trPr>
          <w:trHeight w:val="170"/>
        </w:trPr>
        <w:tc>
          <w:tcPr>
            <w:tcW w:w="3659" w:type="pct"/>
            <w:noWrap/>
          </w:tcPr>
          <w:p w14:paraId="263C84C4" w14:textId="04232F91" w:rsidR="00792EAC" w:rsidRPr="0046610A" w:rsidRDefault="00792EAC" w:rsidP="009E51C8">
            <w:pPr>
              <w:pStyle w:val="ARGrantstabletext"/>
            </w:pPr>
            <w:r>
              <w:rPr>
                <w:color w:val="000000"/>
              </w:rPr>
              <w:t>Castlemaine Men</w:t>
            </w:r>
            <w:r w:rsidR="00EA7A42">
              <w:rPr>
                <w:color w:val="000000"/>
              </w:rPr>
              <w:t>’</w:t>
            </w:r>
            <w:r>
              <w:rPr>
                <w:color w:val="000000"/>
              </w:rPr>
              <w:t>s Shed</w:t>
            </w:r>
          </w:p>
        </w:tc>
        <w:tc>
          <w:tcPr>
            <w:tcW w:w="1341" w:type="pct"/>
            <w:shd w:val="clear" w:color="auto" w:fill="E7E6E6" w:themeFill="background2"/>
            <w:noWrap/>
            <w:vAlign w:val="bottom"/>
          </w:tcPr>
          <w:p w14:paraId="7ABE17E9" w14:textId="77777777" w:rsidR="00792EAC" w:rsidRPr="0046610A" w:rsidRDefault="00792EAC" w:rsidP="0009574E">
            <w:pPr>
              <w:pStyle w:val="ARGrantstabletextright"/>
            </w:pPr>
            <w:r>
              <w:rPr>
                <w:color w:val="000000"/>
              </w:rPr>
              <w:t>9,886</w:t>
            </w:r>
          </w:p>
        </w:tc>
      </w:tr>
      <w:tr w:rsidR="00792EAC" w:rsidRPr="0046610A" w14:paraId="3B6943C6" w14:textId="77777777" w:rsidTr="0009574E">
        <w:tblPrEx>
          <w:tblLook w:val="04A0" w:firstRow="1" w:lastRow="0" w:firstColumn="1" w:lastColumn="0" w:noHBand="0" w:noVBand="1"/>
        </w:tblPrEx>
        <w:trPr>
          <w:trHeight w:val="170"/>
        </w:trPr>
        <w:tc>
          <w:tcPr>
            <w:tcW w:w="3659" w:type="pct"/>
            <w:noWrap/>
          </w:tcPr>
          <w:p w14:paraId="750B6457" w14:textId="77777777" w:rsidR="00792EAC" w:rsidRPr="0046610A" w:rsidRDefault="00792EAC" w:rsidP="009E51C8">
            <w:pPr>
              <w:pStyle w:val="ARGrantstabletext"/>
            </w:pPr>
            <w:r>
              <w:rPr>
                <w:color w:val="000000"/>
              </w:rPr>
              <w:t>Centre for Participation</w:t>
            </w:r>
          </w:p>
        </w:tc>
        <w:tc>
          <w:tcPr>
            <w:tcW w:w="1341" w:type="pct"/>
            <w:shd w:val="clear" w:color="auto" w:fill="E7E6E6" w:themeFill="background2"/>
            <w:noWrap/>
            <w:vAlign w:val="bottom"/>
          </w:tcPr>
          <w:p w14:paraId="51155BA2" w14:textId="77777777" w:rsidR="00792EAC" w:rsidRPr="0046610A" w:rsidRDefault="00792EAC" w:rsidP="0009574E">
            <w:pPr>
              <w:pStyle w:val="ARGrantstabletextright"/>
            </w:pPr>
            <w:r>
              <w:rPr>
                <w:color w:val="000000"/>
              </w:rPr>
              <w:t>30,000</w:t>
            </w:r>
          </w:p>
        </w:tc>
      </w:tr>
      <w:tr w:rsidR="00792EAC" w:rsidRPr="0046610A" w14:paraId="3B446866" w14:textId="77777777" w:rsidTr="0009574E">
        <w:tblPrEx>
          <w:tblLook w:val="04A0" w:firstRow="1" w:lastRow="0" w:firstColumn="1" w:lastColumn="0" w:noHBand="0" w:noVBand="1"/>
        </w:tblPrEx>
        <w:trPr>
          <w:trHeight w:val="170"/>
        </w:trPr>
        <w:tc>
          <w:tcPr>
            <w:tcW w:w="3659" w:type="pct"/>
            <w:tcBorders>
              <w:bottom w:val="single" w:sz="4" w:space="0" w:color="A6A6A6" w:themeColor="accent5"/>
            </w:tcBorders>
            <w:noWrap/>
          </w:tcPr>
          <w:p w14:paraId="5059C850" w14:textId="77777777" w:rsidR="00792EAC" w:rsidRPr="0046610A" w:rsidRDefault="00792EAC" w:rsidP="009E51C8">
            <w:pPr>
              <w:pStyle w:val="ARGrantstabletext"/>
            </w:pPr>
            <w:r>
              <w:rPr>
                <w:color w:val="000000"/>
              </w:rPr>
              <w:t>Cheltenham Community Centre</w:t>
            </w:r>
          </w:p>
        </w:tc>
        <w:tc>
          <w:tcPr>
            <w:tcW w:w="1341" w:type="pct"/>
            <w:tcBorders>
              <w:bottom w:val="single" w:sz="4" w:space="0" w:color="A6A6A6" w:themeColor="accent5"/>
            </w:tcBorders>
            <w:shd w:val="clear" w:color="auto" w:fill="E7E6E6" w:themeFill="background2"/>
            <w:noWrap/>
            <w:vAlign w:val="bottom"/>
          </w:tcPr>
          <w:p w14:paraId="1F66868C" w14:textId="77777777" w:rsidR="00792EAC" w:rsidRPr="0046610A" w:rsidRDefault="00792EAC" w:rsidP="0009574E">
            <w:pPr>
              <w:pStyle w:val="ARGrantstabletextright"/>
            </w:pPr>
            <w:r>
              <w:rPr>
                <w:color w:val="000000"/>
              </w:rPr>
              <w:t>32,478</w:t>
            </w:r>
          </w:p>
        </w:tc>
      </w:tr>
      <w:tr w:rsidR="00792EAC" w:rsidRPr="0046610A" w14:paraId="1C86A9ED" w14:textId="77777777" w:rsidTr="00144FF3">
        <w:tblPrEx>
          <w:tblLook w:val="04A0" w:firstRow="1" w:lastRow="0" w:firstColumn="1" w:lastColumn="0" w:noHBand="0" w:noVBand="1"/>
        </w:tblPrEx>
        <w:trPr>
          <w:trHeight w:val="170"/>
        </w:trPr>
        <w:tc>
          <w:tcPr>
            <w:tcW w:w="3659" w:type="pct"/>
            <w:tcBorders>
              <w:top w:val="single" w:sz="4" w:space="0" w:color="A6A6A6" w:themeColor="accent5"/>
              <w:bottom w:val="single" w:sz="4" w:space="0" w:color="A6A6A6" w:themeColor="accent5"/>
            </w:tcBorders>
            <w:noWrap/>
          </w:tcPr>
          <w:p w14:paraId="4A65EC18" w14:textId="77777777" w:rsidR="00792EAC" w:rsidRPr="0046610A" w:rsidRDefault="00792EAC" w:rsidP="009E51C8">
            <w:pPr>
              <w:pStyle w:val="ARGrantstabletext"/>
            </w:pPr>
            <w:r>
              <w:rPr>
                <w:color w:val="000000"/>
              </w:rPr>
              <w:t>Chevra Hatzolah Melbourne</w:t>
            </w:r>
          </w:p>
        </w:tc>
        <w:tc>
          <w:tcPr>
            <w:tcW w:w="1341" w:type="pct"/>
            <w:tcBorders>
              <w:top w:val="single" w:sz="4" w:space="0" w:color="A6A6A6" w:themeColor="accent5"/>
              <w:bottom w:val="single" w:sz="4" w:space="0" w:color="A6A6A6" w:themeColor="accent5"/>
            </w:tcBorders>
            <w:shd w:val="clear" w:color="auto" w:fill="E7E6E6" w:themeFill="background2"/>
            <w:noWrap/>
            <w:vAlign w:val="bottom"/>
          </w:tcPr>
          <w:p w14:paraId="431F22CB" w14:textId="77777777" w:rsidR="00792EAC" w:rsidRPr="0046610A" w:rsidRDefault="00792EAC" w:rsidP="0009574E">
            <w:pPr>
              <w:pStyle w:val="ARGrantstabletextright"/>
            </w:pPr>
            <w:r>
              <w:rPr>
                <w:color w:val="000000"/>
              </w:rPr>
              <w:t>12,500</w:t>
            </w:r>
          </w:p>
        </w:tc>
      </w:tr>
      <w:tr w:rsidR="00792EAC" w:rsidRPr="0046610A" w14:paraId="6940C596" w14:textId="77777777" w:rsidTr="00144FF3">
        <w:tblPrEx>
          <w:tblLook w:val="04A0" w:firstRow="1" w:lastRow="0" w:firstColumn="1" w:lastColumn="0" w:noHBand="0" w:noVBand="1"/>
        </w:tblPrEx>
        <w:trPr>
          <w:trHeight w:val="170"/>
        </w:trPr>
        <w:tc>
          <w:tcPr>
            <w:tcW w:w="3659" w:type="pct"/>
            <w:tcBorders>
              <w:top w:val="single" w:sz="4" w:space="0" w:color="A6A6A6" w:themeColor="accent5"/>
              <w:bottom w:val="single" w:sz="4" w:space="0" w:color="A6A6A6" w:themeColor="accent5"/>
            </w:tcBorders>
            <w:noWrap/>
          </w:tcPr>
          <w:p w14:paraId="7531BD50" w14:textId="77777777" w:rsidR="00792EAC" w:rsidRPr="0046610A" w:rsidRDefault="00792EAC" w:rsidP="009E51C8">
            <w:pPr>
              <w:pStyle w:val="ARGrantstabletext"/>
              <w:rPr>
                <w:color w:val="000000"/>
              </w:rPr>
            </w:pPr>
            <w:r>
              <w:rPr>
                <w:color w:val="000000"/>
              </w:rPr>
              <w:t>Clunes Neighbourhood House</w:t>
            </w:r>
          </w:p>
        </w:tc>
        <w:tc>
          <w:tcPr>
            <w:tcW w:w="1341" w:type="pct"/>
            <w:tcBorders>
              <w:top w:val="single" w:sz="4" w:space="0" w:color="A6A6A6" w:themeColor="accent5"/>
              <w:bottom w:val="single" w:sz="4" w:space="0" w:color="A6A6A6" w:themeColor="accent5"/>
            </w:tcBorders>
            <w:shd w:val="clear" w:color="auto" w:fill="E7E6E6" w:themeFill="background2"/>
            <w:noWrap/>
            <w:vAlign w:val="bottom"/>
          </w:tcPr>
          <w:p w14:paraId="1038AC90" w14:textId="77777777" w:rsidR="00792EAC" w:rsidRPr="0046610A" w:rsidRDefault="00792EAC" w:rsidP="0009574E">
            <w:pPr>
              <w:pStyle w:val="ARGrantstabletextright"/>
              <w:rPr>
                <w:color w:val="000000"/>
              </w:rPr>
            </w:pPr>
            <w:r>
              <w:rPr>
                <w:color w:val="000000"/>
              </w:rPr>
              <w:t>10,000</w:t>
            </w:r>
          </w:p>
        </w:tc>
      </w:tr>
      <w:tr w:rsidR="00792EAC" w:rsidRPr="00C114CD" w14:paraId="240C637D" w14:textId="77777777" w:rsidTr="00144FF3">
        <w:tblPrEx>
          <w:tblLook w:val="04A0" w:firstRow="1" w:lastRow="0" w:firstColumn="1" w:lastColumn="0" w:noHBand="0" w:noVBand="1"/>
        </w:tblPrEx>
        <w:trPr>
          <w:trHeight w:val="170"/>
        </w:trPr>
        <w:tc>
          <w:tcPr>
            <w:tcW w:w="3659" w:type="pct"/>
            <w:tcBorders>
              <w:top w:val="single" w:sz="4" w:space="0" w:color="A6A6A6" w:themeColor="accent5"/>
            </w:tcBorders>
            <w:noWrap/>
          </w:tcPr>
          <w:p w14:paraId="74E8EAF3" w14:textId="77777777" w:rsidR="00792EAC" w:rsidRPr="00C114CD" w:rsidRDefault="00792EAC" w:rsidP="009E51C8">
            <w:pPr>
              <w:pStyle w:val="ARGrantstabletext"/>
            </w:pPr>
            <w:r>
              <w:rPr>
                <w:color w:val="000000"/>
              </w:rPr>
              <w:t>Cobram Community House Inc.</w:t>
            </w:r>
          </w:p>
        </w:tc>
        <w:tc>
          <w:tcPr>
            <w:tcW w:w="1341" w:type="pct"/>
            <w:tcBorders>
              <w:top w:val="single" w:sz="4" w:space="0" w:color="A6A6A6" w:themeColor="accent5"/>
            </w:tcBorders>
            <w:shd w:val="clear" w:color="auto" w:fill="E7E6E6" w:themeFill="background2"/>
            <w:noWrap/>
            <w:vAlign w:val="bottom"/>
          </w:tcPr>
          <w:p w14:paraId="268A55DA" w14:textId="77777777" w:rsidR="00792EAC" w:rsidRPr="00C114CD" w:rsidRDefault="00792EAC" w:rsidP="0009574E">
            <w:pPr>
              <w:pStyle w:val="ARGrantstabletextright"/>
            </w:pPr>
            <w:r>
              <w:rPr>
                <w:color w:val="000000"/>
              </w:rPr>
              <w:t>16,800</w:t>
            </w:r>
          </w:p>
        </w:tc>
      </w:tr>
      <w:tr w:rsidR="00792EAC" w:rsidRPr="00C114CD" w14:paraId="4F6A9AE2" w14:textId="77777777" w:rsidTr="0009574E">
        <w:tblPrEx>
          <w:tblLook w:val="04A0" w:firstRow="1" w:lastRow="0" w:firstColumn="1" w:lastColumn="0" w:noHBand="0" w:noVBand="1"/>
        </w:tblPrEx>
        <w:trPr>
          <w:trHeight w:val="170"/>
        </w:trPr>
        <w:tc>
          <w:tcPr>
            <w:tcW w:w="3659" w:type="pct"/>
            <w:noWrap/>
          </w:tcPr>
          <w:p w14:paraId="0A517D58" w14:textId="77777777" w:rsidR="00792EAC" w:rsidRPr="00C114CD" w:rsidRDefault="00792EAC" w:rsidP="009E51C8">
            <w:pPr>
              <w:pStyle w:val="ARGrantstabletext"/>
            </w:pPr>
            <w:r>
              <w:rPr>
                <w:color w:val="000000"/>
              </w:rPr>
              <w:t>Colac Area Health</w:t>
            </w:r>
          </w:p>
        </w:tc>
        <w:tc>
          <w:tcPr>
            <w:tcW w:w="1341" w:type="pct"/>
            <w:shd w:val="clear" w:color="auto" w:fill="E7E6E6" w:themeFill="background2"/>
            <w:noWrap/>
            <w:vAlign w:val="bottom"/>
          </w:tcPr>
          <w:p w14:paraId="73423EA8" w14:textId="77777777" w:rsidR="00792EAC" w:rsidRPr="00C114CD" w:rsidRDefault="00792EAC" w:rsidP="0009574E">
            <w:pPr>
              <w:pStyle w:val="ARGrantstabletextright"/>
            </w:pPr>
            <w:r>
              <w:rPr>
                <w:color w:val="000000"/>
              </w:rPr>
              <w:t>30,000</w:t>
            </w:r>
          </w:p>
        </w:tc>
      </w:tr>
      <w:tr w:rsidR="00792EAC" w:rsidRPr="00C114CD" w14:paraId="76689DA7" w14:textId="77777777" w:rsidTr="0009574E">
        <w:tblPrEx>
          <w:tblLook w:val="04A0" w:firstRow="1" w:lastRow="0" w:firstColumn="1" w:lastColumn="0" w:noHBand="0" w:noVBand="1"/>
        </w:tblPrEx>
        <w:trPr>
          <w:trHeight w:val="170"/>
        </w:trPr>
        <w:tc>
          <w:tcPr>
            <w:tcW w:w="3659" w:type="pct"/>
            <w:noWrap/>
          </w:tcPr>
          <w:p w14:paraId="47C4A0A6" w14:textId="77777777" w:rsidR="00792EAC" w:rsidRPr="00C114CD" w:rsidRDefault="00792EAC" w:rsidP="009E51C8">
            <w:pPr>
              <w:pStyle w:val="ARGrantstabletext"/>
            </w:pPr>
            <w:r>
              <w:rPr>
                <w:color w:val="000000"/>
              </w:rPr>
              <w:t>Common Ground Project</w:t>
            </w:r>
          </w:p>
        </w:tc>
        <w:tc>
          <w:tcPr>
            <w:tcW w:w="1341" w:type="pct"/>
            <w:shd w:val="clear" w:color="auto" w:fill="E7E6E6" w:themeFill="background2"/>
            <w:noWrap/>
            <w:vAlign w:val="bottom"/>
          </w:tcPr>
          <w:p w14:paraId="5D53E442" w14:textId="77777777" w:rsidR="00792EAC" w:rsidRPr="00C114CD" w:rsidRDefault="00792EAC" w:rsidP="0009574E">
            <w:pPr>
              <w:pStyle w:val="ARGrantstabletextright"/>
            </w:pPr>
            <w:r>
              <w:rPr>
                <w:color w:val="000000"/>
              </w:rPr>
              <w:t>30,000</w:t>
            </w:r>
          </w:p>
        </w:tc>
      </w:tr>
      <w:tr w:rsidR="00792EAC" w:rsidRPr="00C114CD" w14:paraId="5C7FDCB8" w14:textId="77777777" w:rsidTr="0009574E">
        <w:tblPrEx>
          <w:tblLook w:val="04A0" w:firstRow="1" w:lastRow="0" w:firstColumn="1" w:lastColumn="0" w:noHBand="0" w:noVBand="1"/>
        </w:tblPrEx>
        <w:trPr>
          <w:trHeight w:val="170"/>
        </w:trPr>
        <w:tc>
          <w:tcPr>
            <w:tcW w:w="3659" w:type="pct"/>
            <w:noWrap/>
          </w:tcPr>
          <w:p w14:paraId="2674FC2B" w14:textId="77777777" w:rsidR="00792EAC" w:rsidRPr="00C114CD" w:rsidRDefault="00792EAC" w:rsidP="009E51C8">
            <w:pPr>
              <w:pStyle w:val="ARGrantstabletext"/>
            </w:pPr>
            <w:r>
              <w:rPr>
                <w:color w:val="000000"/>
              </w:rPr>
              <w:t>Community Support Frankston</w:t>
            </w:r>
          </w:p>
        </w:tc>
        <w:tc>
          <w:tcPr>
            <w:tcW w:w="1341" w:type="pct"/>
            <w:shd w:val="clear" w:color="auto" w:fill="E7E6E6" w:themeFill="background2"/>
            <w:noWrap/>
            <w:vAlign w:val="bottom"/>
          </w:tcPr>
          <w:p w14:paraId="70FAB1B2" w14:textId="77777777" w:rsidR="00792EAC" w:rsidRPr="00C114CD" w:rsidRDefault="00792EAC" w:rsidP="0009574E">
            <w:pPr>
              <w:pStyle w:val="ARGrantstabletextright"/>
            </w:pPr>
            <w:r>
              <w:rPr>
                <w:color w:val="000000"/>
              </w:rPr>
              <w:t>25,000</w:t>
            </w:r>
          </w:p>
        </w:tc>
      </w:tr>
      <w:tr w:rsidR="00792EAC" w:rsidRPr="00C114CD" w14:paraId="537381D7" w14:textId="77777777" w:rsidTr="0009574E">
        <w:tblPrEx>
          <w:tblLook w:val="04A0" w:firstRow="1" w:lastRow="0" w:firstColumn="1" w:lastColumn="0" w:noHBand="0" w:noVBand="1"/>
        </w:tblPrEx>
        <w:trPr>
          <w:trHeight w:val="170"/>
        </w:trPr>
        <w:tc>
          <w:tcPr>
            <w:tcW w:w="3659" w:type="pct"/>
            <w:noWrap/>
          </w:tcPr>
          <w:p w14:paraId="30435DC7" w14:textId="217EF5A5" w:rsidR="00792EAC" w:rsidRPr="00C114CD" w:rsidRDefault="00792EAC" w:rsidP="009E51C8">
            <w:pPr>
              <w:pStyle w:val="ARGrantstabletext"/>
            </w:pPr>
            <w:r>
              <w:rPr>
                <w:color w:val="000000"/>
              </w:rPr>
              <w:t>Corinella &amp; District Community Centre</w:t>
            </w:r>
            <w:r w:rsidR="0009574E">
              <w:rPr>
                <w:color w:val="000000"/>
              </w:rPr>
              <w:t> </w:t>
            </w:r>
            <w:r>
              <w:rPr>
                <w:color w:val="000000"/>
              </w:rPr>
              <w:t>Inc.</w:t>
            </w:r>
          </w:p>
        </w:tc>
        <w:tc>
          <w:tcPr>
            <w:tcW w:w="1341" w:type="pct"/>
            <w:shd w:val="clear" w:color="auto" w:fill="E7E6E6" w:themeFill="background2"/>
            <w:noWrap/>
            <w:vAlign w:val="bottom"/>
          </w:tcPr>
          <w:p w14:paraId="23717A74" w14:textId="77777777" w:rsidR="00792EAC" w:rsidRPr="00C114CD" w:rsidRDefault="00792EAC" w:rsidP="0009574E">
            <w:pPr>
              <w:pStyle w:val="ARGrantstabletextright"/>
            </w:pPr>
            <w:r>
              <w:rPr>
                <w:color w:val="000000"/>
              </w:rPr>
              <w:t>16,083</w:t>
            </w:r>
          </w:p>
        </w:tc>
      </w:tr>
      <w:tr w:rsidR="00792EAC" w:rsidRPr="00C114CD" w14:paraId="71F158A7" w14:textId="77777777" w:rsidTr="0009574E">
        <w:tblPrEx>
          <w:tblLook w:val="04A0" w:firstRow="1" w:lastRow="0" w:firstColumn="1" w:lastColumn="0" w:noHBand="0" w:noVBand="1"/>
        </w:tblPrEx>
        <w:trPr>
          <w:trHeight w:val="170"/>
        </w:trPr>
        <w:tc>
          <w:tcPr>
            <w:tcW w:w="3659" w:type="pct"/>
            <w:noWrap/>
          </w:tcPr>
          <w:p w14:paraId="1148FCCF" w14:textId="77777777" w:rsidR="00792EAC" w:rsidRPr="00C114CD" w:rsidRDefault="00792EAC" w:rsidP="009E51C8">
            <w:pPr>
              <w:pStyle w:val="ARGrantstabletext"/>
            </w:pPr>
            <w:r>
              <w:rPr>
                <w:color w:val="000000"/>
              </w:rPr>
              <w:t>Cornerstone Contact Centre Inc.</w:t>
            </w:r>
          </w:p>
        </w:tc>
        <w:tc>
          <w:tcPr>
            <w:tcW w:w="1341" w:type="pct"/>
            <w:shd w:val="clear" w:color="auto" w:fill="E7E6E6" w:themeFill="background2"/>
            <w:noWrap/>
            <w:vAlign w:val="bottom"/>
          </w:tcPr>
          <w:p w14:paraId="381753A9" w14:textId="77777777" w:rsidR="00792EAC" w:rsidRPr="00C114CD" w:rsidRDefault="00792EAC" w:rsidP="0009574E">
            <w:pPr>
              <w:pStyle w:val="ARGrantstabletextright"/>
            </w:pPr>
            <w:r>
              <w:rPr>
                <w:color w:val="000000"/>
              </w:rPr>
              <w:t>24,000</w:t>
            </w:r>
          </w:p>
        </w:tc>
      </w:tr>
      <w:tr w:rsidR="00792EAC" w:rsidRPr="00C114CD" w14:paraId="19C01C9C" w14:textId="77777777" w:rsidTr="0009574E">
        <w:tblPrEx>
          <w:tblLook w:val="04A0" w:firstRow="1" w:lastRow="0" w:firstColumn="1" w:lastColumn="0" w:noHBand="0" w:noVBand="1"/>
        </w:tblPrEx>
        <w:trPr>
          <w:trHeight w:val="170"/>
        </w:trPr>
        <w:tc>
          <w:tcPr>
            <w:tcW w:w="3659" w:type="pct"/>
            <w:noWrap/>
          </w:tcPr>
          <w:p w14:paraId="52E2EBD6" w14:textId="1524BF7B" w:rsidR="00792EAC" w:rsidRPr="00C114CD" w:rsidRDefault="00792EAC" w:rsidP="009E51C8">
            <w:pPr>
              <w:pStyle w:val="ARGrantstabletext"/>
            </w:pPr>
            <w:r>
              <w:rPr>
                <w:color w:val="000000"/>
              </w:rPr>
              <w:t>Cranbourne Casey Men</w:t>
            </w:r>
            <w:r w:rsidR="00EA7A42">
              <w:rPr>
                <w:color w:val="000000"/>
              </w:rPr>
              <w:t>’</w:t>
            </w:r>
            <w:r>
              <w:rPr>
                <w:color w:val="000000"/>
              </w:rPr>
              <w:t>s Shed</w:t>
            </w:r>
          </w:p>
        </w:tc>
        <w:tc>
          <w:tcPr>
            <w:tcW w:w="1341" w:type="pct"/>
            <w:shd w:val="clear" w:color="auto" w:fill="E7E6E6" w:themeFill="background2"/>
            <w:noWrap/>
            <w:vAlign w:val="bottom"/>
          </w:tcPr>
          <w:p w14:paraId="667E639B" w14:textId="77777777" w:rsidR="00792EAC" w:rsidRPr="00C114CD" w:rsidRDefault="00792EAC" w:rsidP="0009574E">
            <w:pPr>
              <w:pStyle w:val="ARGrantstabletextright"/>
            </w:pPr>
            <w:r>
              <w:rPr>
                <w:color w:val="000000"/>
              </w:rPr>
              <w:t>6,400</w:t>
            </w:r>
          </w:p>
        </w:tc>
      </w:tr>
      <w:tr w:rsidR="00792EAC" w:rsidRPr="00C114CD" w14:paraId="586A22BC" w14:textId="77777777" w:rsidTr="0009574E">
        <w:tblPrEx>
          <w:tblLook w:val="04A0" w:firstRow="1" w:lastRow="0" w:firstColumn="1" w:lastColumn="0" w:noHBand="0" w:noVBand="1"/>
        </w:tblPrEx>
        <w:trPr>
          <w:trHeight w:val="170"/>
        </w:trPr>
        <w:tc>
          <w:tcPr>
            <w:tcW w:w="3659" w:type="pct"/>
            <w:noWrap/>
          </w:tcPr>
          <w:p w14:paraId="7A164457" w14:textId="77777777" w:rsidR="00792EAC" w:rsidRPr="00C114CD" w:rsidRDefault="00792EAC" w:rsidP="009E51C8">
            <w:pPr>
              <w:pStyle w:val="ARGrantstabletext"/>
            </w:pPr>
            <w:r>
              <w:rPr>
                <w:color w:val="000000"/>
              </w:rPr>
              <w:t>Cranbourne Community House</w:t>
            </w:r>
          </w:p>
        </w:tc>
        <w:tc>
          <w:tcPr>
            <w:tcW w:w="1341" w:type="pct"/>
            <w:shd w:val="clear" w:color="auto" w:fill="E7E6E6" w:themeFill="background2"/>
            <w:noWrap/>
            <w:vAlign w:val="bottom"/>
          </w:tcPr>
          <w:p w14:paraId="4348BC3C" w14:textId="77777777" w:rsidR="00792EAC" w:rsidRPr="00C114CD" w:rsidRDefault="00792EAC" w:rsidP="0009574E">
            <w:pPr>
              <w:pStyle w:val="ARGrantstabletextright"/>
            </w:pPr>
            <w:r>
              <w:rPr>
                <w:color w:val="000000"/>
              </w:rPr>
              <w:t>13,000</w:t>
            </w:r>
          </w:p>
        </w:tc>
      </w:tr>
      <w:tr w:rsidR="00792EAC" w:rsidRPr="00C114CD" w14:paraId="57DC836D" w14:textId="77777777" w:rsidTr="0009574E">
        <w:tblPrEx>
          <w:tblLook w:val="04A0" w:firstRow="1" w:lastRow="0" w:firstColumn="1" w:lastColumn="0" w:noHBand="0" w:noVBand="1"/>
        </w:tblPrEx>
        <w:trPr>
          <w:trHeight w:val="170"/>
        </w:trPr>
        <w:tc>
          <w:tcPr>
            <w:tcW w:w="3659" w:type="pct"/>
            <w:noWrap/>
          </w:tcPr>
          <w:p w14:paraId="7AC3776F" w14:textId="77777777" w:rsidR="00792EAC" w:rsidRPr="00C114CD" w:rsidRDefault="00792EAC" w:rsidP="009E51C8">
            <w:pPr>
              <w:pStyle w:val="ARGrantstabletext"/>
            </w:pPr>
            <w:r>
              <w:rPr>
                <w:color w:val="000000"/>
              </w:rPr>
              <w:t>Creswick Neighbourhood Centre INC</w:t>
            </w:r>
          </w:p>
        </w:tc>
        <w:tc>
          <w:tcPr>
            <w:tcW w:w="1341" w:type="pct"/>
            <w:shd w:val="clear" w:color="auto" w:fill="E7E6E6" w:themeFill="background2"/>
            <w:noWrap/>
            <w:vAlign w:val="bottom"/>
          </w:tcPr>
          <w:p w14:paraId="37C9E82B" w14:textId="77777777" w:rsidR="00792EAC" w:rsidRPr="00C114CD" w:rsidRDefault="00792EAC" w:rsidP="0009574E">
            <w:pPr>
              <w:pStyle w:val="ARGrantstabletextright"/>
            </w:pPr>
            <w:r>
              <w:rPr>
                <w:color w:val="000000"/>
              </w:rPr>
              <w:t>31,012</w:t>
            </w:r>
          </w:p>
        </w:tc>
      </w:tr>
      <w:tr w:rsidR="00792EAC" w:rsidRPr="00C114CD" w14:paraId="31274184" w14:textId="77777777" w:rsidTr="0009574E">
        <w:tblPrEx>
          <w:tblLook w:val="04A0" w:firstRow="1" w:lastRow="0" w:firstColumn="1" w:lastColumn="0" w:noHBand="0" w:noVBand="1"/>
        </w:tblPrEx>
        <w:trPr>
          <w:trHeight w:val="170"/>
        </w:trPr>
        <w:tc>
          <w:tcPr>
            <w:tcW w:w="3659" w:type="pct"/>
            <w:noWrap/>
          </w:tcPr>
          <w:p w14:paraId="41AAC337" w14:textId="5466A49A" w:rsidR="00792EAC" w:rsidRPr="00C114CD" w:rsidRDefault="00792EAC" w:rsidP="009E51C8">
            <w:pPr>
              <w:pStyle w:val="ARGrantstabletext"/>
            </w:pPr>
            <w:proofErr w:type="spellStart"/>
            <w:r>
              <w:rPr>
                <w:color w:val="000000"/>
              </w:rPr>
              <w:t>Crossenvale</w:t>
            </w:r>
            <w:proofErr w:type="spellEnd"/>
            <w:r>
              <w:rPr>
                <w:color w:val="000000"/>
              </w:rPr>
              <w:t xml:space="preserve"> Community Group </w:t>
            </w:r>
            <w:r w:rsidR="00EA7A42">
              <w:rPr>
                <w:color w:val="000000"/>
              </w:rPr>
              <w:t>Inc.</w:t>
            </w:r>
          </w:p>
        </w:tc>
        <w:tc>
          <w:tcPr>
            <w:tcW w:w="1341" w:type="pct"/>
            <w:shd w:val="clear" w:color="auto" w:fill="E7E6E6" w:themeFill="background2"/>
            <w:noWrap/>
            <w:vAlign w:val="bottom"/>
          </w:tcPr>
          <w:p w14:paraId="4F0FEDEB" w14:textId="77777777" w:rsidR="00792EAC" w:rsidRPr="00C114CD" w:rsidRDefault="00792EAC" w:rsidP="0009574E">
            <w:pPr>
              <w:pStyle w:val="ARGrantstabletextright"/>
            </w:pPr>
            <w:r>
              <w:rPr>
                <w:color w:val="000000"/>
              </w:rPr>
              <w:t>31,381</w:t>
            </w:r>
          </w:p>
        </w:tc>
      </w:tr>
      <w:tr w:rsidR="00792EAC" w:rsidRPr="00C114CD" w14:paraId="3922ADB7" w14:textId="77777777" w:rsidTr="0009574E">
        <w:tblPrEx>
          <w:tblLook w:val="04A0" w:firstRow="1" w:lastRow="0" w:firstColumn="1" w:lastColumn="0" w:noHBand="0" w:noVBand="1"/>
        </w:tblPrEx>
        <w:trPr>
          <w:trHeight w:val="170"/>
        </w:trPr>
        <w:tc>
          <w:tcPr>
            <w:tcW w:w="3659" w:type="pct"/>
            <w:noWrap/>
          </w:tcPr>
          <w:p w14:paraId="4A092312" w14:textId="1074E4F5" w:rsidR="00792EAC" w:rsidRPr="00C114CD" w:rsidRDefault="00792EAC" w:rsidP="009E51C8">
            <w:pPr>
              <w:pStyle w:val="ARGrantstabletext"/>
            </w:pPr>
            <w:r>
              <w:rPr>
                <w:color w:val="000000"/>
              </w:rPr>
              <w:t>Dallas Neighbourhood House Inc</w:t>
            </w:r>
            <w:r w:rsidR="00EA7A42">
              <w:rPr>
                <w:color w:val="000000"/>
              </w:rPr>
              <w:t>.</w:t>
            </w:r>
          </w:p>
        </w:tc>
        <w:tc>
          <w:tcPr>
            <w:tcW w:w="1341" w:type="pct"/>
            <w:shd w:val="clear" w:color="auto" w:fill="E7E6E6" w:themeFill="background2"/>
            <w:noWrap/>
            <w:vAlign w:val="bottom"/>
          </w:tcPr>
          <w:p w14:paraId="5B933344" w14:textId="77777777" w:rsidR="00792EAC" w:rsidRPr="00C114CD" w:rsidRDefault="00792EAC" w:rsidP="0009574E">
            <w:pPr>
              <w:pStyle w:val="ARGrantstabletextright"/>
            </w:pPr>
            <w:r>
              <w:rPr>
                <w:color w:val="000000"/>
              </w:rPr>
              <w:t>33,750</w:t>
            </w:r>
          </w:p>
        </w:tc>
      </w:tr>
      <w:tr w:rsidR="00792EAC" w:rsidRPr="00C114CD" w14:paraId="4735778F" w14:textId="77777777" w:rsidTr="0009574E">
        <w:tblPrEx>
          <w:tblLook w:val="04A0" w:firstRow="1" w:lastRow="0" w:firstColumn="1" w:lastColumn="0" w:noHBand="0" w:noVBand="1"/>
        </w:tblPrEx>
        <w:trPr>
          <w:trHeight w:val="170"/>
        </w:trPr>
        <w:tc>
          <w:tcPr>
            <w:tcW w:w="3659" w:type="pct"/>
            <w:noWrap/>
          </w:tcPr>
          <w:p w14:paraId="026F228C" w14:textId="58A68E37" w:rsidR="00792EAC" w:rsidRPr="00C114CD" w:rsidRDefault="00792EAC" w:rsidP="009E51C8">
            <w:pPr>
              <w:pStyle w:val="ARGrantstabletext"/>
            </w:pPr>
            <w:r>
              <w:rPr>
                <w:color w:val="000000"/>
              </w:rPr>
              <w:t>Darebin Information Volunteer Resource</w:t>
            </w:r>
            <w:r w:rsidR="0009574E">
              <w:rPr>
                <w:color w:val="000000"/>
              </w:rPr>
              <w:t> </w:t>
            </w:r>
            <w:r>
              <w:rPr>
                <w:color w:val="000000"/>
              </w:rPr>
              <w:t>Service</w:t>
            </w:r>
          </w:p>
        </w:tc>
        <w:tc>
          <w:tcPr>
            <w:tcW w:w="1341" w:type="pct"/>
            <w:shd w:val="clear" w:color="auto" w:fill="E7E6E6" w:themeFill="background2"/>
            <w:noWrap/>
            <w:vAlign w:val="bottom"/>
          </w:tcPr>
          <w:p w14:paraId="7C8CF8E6" w14:textId="77777777" w:rsidR="00792EAC" w:rsidRPr="00C114CD" w:rsidRDefault="00792EAC" w:rsidP="0009574E">
            <w:pPr>
              <w:pStyle w:val="ARGrantstabletextright"/>
            </w:pPr>
            <w:r>
              <w:rPr>
                <w:color w:val="000000"/>
              </w:rPr>
              <w:t>31,839</w:t>
            </w:r>
          </w:p>
        </w:tc>
      </w:tr>
      <w:tr w:rsidR="00792EAC" w:rsidRPr="00C114CD" w14:paraId="2ADCCF39" w14:textId="77777777" w:rsidTr="0009574E">
        <w:tblPrEx>
          <w:tblLook w:val="04A0" w:firstRow="1" w:lastRow="0" w:firstColumn="1" w:lastColumn="0" w:noHBand="0" w:noVBand="1"/>
        </w:tblPrEx>
        <w:trPr>
          <w:trHeight w:val="170"/>
        </w:trPr>
        <w:tc>
          <w:tcPr>
            <w:tcW w:w="3659" w:type="pct"/>
            <w:noWrap/>
          </w:tcPr>
          <w:p w14:paraId="693877FF" w14:textId="77777777" w:rsidR="00792EAC" w:rsidRPr="00C114CD" w:rsidRDefault="00792EAC" w:rsidP="009E51C8">
            <w:pPr>
              <w:pStyle w:val="ARGrantstabletext"/>
            </w:pPr>
            <w:r>
              <w:rPr>
                <w:color w:val="000000"/>
              </w:rPr>
              <w:t>Darley Neighbourhood House and Learning Centre</w:t>
            </w:r>
          </w:p>
        </w:tc>
        <w:tc>
          <w:tcPr>
            <w:tcW w:w="1341" w:type="pct"/>
            <w:shd w:val="clear" w:color="auto" w:fill="E7E6E6" w:themeFill="background2"/>
            <w:noWrap/>
            <w:vAlign w:val="bottom"/>
          </w:tcPr>
          <w:p w14:paraId="366063AE" w14:textId="77777777" w:rsidR="00792EAC" w:rsidRPr="00C114CD" w:rsidRDefault="00792EAC" w:rsidP="0009574E">
            <w:pPr>
              <w:pStyle w:val="ARGrantstabletextright"/>
            </w:pPr>
            <w:r>
              <w:rPr>
                <w:color w:val="000000"/>
              </w:rPr>
              <w:t>13,745.00</w:t>
            </w:r>
          </w:p>
        </w:tc>
      </w:tr>
      <w:tr w:rsidR="00792EAC" w:rsidRPr="00C114CD" w14:paraId="3C7FBF8F" w14:textId="77777777" w:rsidTr="0009574E">
        <w:tblPrEx>
          <w:tblLook w:val="04A0" w:firstRow="1" w:lastRow="0" w:firstColumn="1" w:lastColumn="0" w:noHBand="0" w:noVBand="1"/>
        </w:tblPrEx>
        <w:trPr>
          <w:trHeight w:val="170"/>
        </w:trPr>
        <w:tc>
          <w:tcPr>
            <w:tcW w:w="3659" w:type="pct"/>
            <w:noWrap/>
          </w:tcPr>
          <w:p w14:paraId="74067C58" w14:textId="77777777" w:rsidR="00792EAC" w:rsidRPr="00C114CD" w:rsidRDefault="00792EAC" w:rsidP="009E51C8">
            <w:pPr>
              <w:pStyle w:val="ARGrantstabletext"/>
            </w:pPr>
            <w:r>
              <w:rPr>
                <w:color w:val="000000"/>
              </w:rPr>
              <w:t>Deans Marsh Community Cottage</w:t>
            </w:r>
          </w:p>
        </w:tc>
        <w:tc>
          <w:tcPr>
            <w:tcW w:w="1341" w:type="pct"/>
            <w:shd w:val="clear" w:color="auto" w:fill="E7E6E6" w:themeFill="background2"/>
            <w:noWrap/>
            <w:vAlign w:val="bottom"/>
          </w:tcPr>
          <w:p w14:paraId="37DD367A" w14:textId="77777777" w:rsidR="00792EAC" w:rsidRPr="00C114CD" w:rsidRDefault="00792EAC" w:rsidP="0009574E">
            <w:pPr>
              <w:pStyle w:val="ARGrantstabletextright"/>
            </w:pPr>
            <w:r>
              <w:rPr>
                <w:color w:val="000000"/>
              </w:rPr>
              <w:t>13,224</w:t>
            </w:r>
          </w:p>
        </w:tc>
      </w:tr>
      <w:tr w:rsidR="00792EAC" w:rsidRPr="00C114CD" w14:paraId="063482C8" w14:textId="77777777" w:rsidTr="0009574E">
        <w:tblPrEx>
          <w:tblLook w:val="04A0" w:firstRow="1" w:lastRow="0" w:firstColumn="1" w:lastColumn="0" w:noHBand="0" w:noVBand="1"/>
        </w:tblPrEx>
        <w:trPr>
          <w:trHeight w:val="170"/>
        </w:trPr>
        <w:tc>
          <w:tcPr>
            <w:tcW w:w="3659" w:type="pct"/>
            <w:noWrap/>
          </w:tcPr>
          <w:p w14:paraId="0BE4B79B" w14:textId="172B9F58" w:rsidR="00792EAC" w:rsidRPr="00C114CD" w:rsidRDefault="00792EAC" w:rsidP="009E51C8">
            <w:pPr>
              <w:pStyle w:val="ARGrantstabletext"/>
            </w:pPr>
            <w:proofErr w:type="spellStart"/>
            <w:r>
              <w:rPr>
                <w:color w:val="000000"/>
              </w:rPr>
              <w:t>Djerriwarrh</w:t>
            </w:r>
            <w:proofErr w:type="spellEnd"/>
            <w:r>
              <w:rPr>
                <w:color w:val="000000"/>
              </w:rPr>
              <w:t xml:space="preserve"> Employment &amp; Education</w:t>
            </w:r>
            <w:r w:rsidR="0009574E">
              <w:rPr>
                <w:color w:val="000000"/>
              </w:rPr>
              <w:t> </w:t>
            </w:r>
            <w:r>
              <w:rPr>
                <w:color w:val="000000"/>
              </w:rPr>
              <w:t>Services</w:t>
            </w:r>
          </w:p>
        </w:tc>
        <w:tc>
          <w:tcPr>
            <w:tcW w:w="1341" w:type="pct"/>
            <w:shd w:val="clear" w:color="auto" w:fill="E7E6E6" w:themeFill="background2"/>
            <w:noWrap/>
            <w:vAlign w:val="bottom"/>
          </w:tcPr>
          <w:p w14:paraId="606462F0" w14:textId="77777777" w:rsidR="00792EAC" w:rsidRPr="00C114CD" w:rsidRDefault="00792EAC" w:rsidP="0009574E">
            <w:pPr>
              <w:pStyle w:val="ARGrantstabletextright"/>
            </w:pPr>
            <w:r>
              <w:rPr>
                <w:color w:val="000000"/>
              </w:rPr>
              <w:t>8,526</w:t>
            </w:r>
          </w:p>
        </w:tc>
      </w:tr>
      <w:tr w:rsidR="00792EAC" w:rsidRPr="00C114CD" w14:paraId="09151B04" w14:textId="77777777" w:rsidTr="0009574E">
        <w:tblPrEx>
          <w:tblLook w:val="04A0" w:firstRow="1" w:lastRow="0" w:firstColumn="1" w:lastColumn="0" w:noHBand="0" w:noVBand="1"/>
        </w:tblPrEx>
        <w:trPr>
          <w:trHeight w:val="170"/>
        </w:trPr>
        <w:tc>
          <w:tcPr>
            <w:tcW w:w="3659" w:type="pct"/>
            <w:noWrap/>
          </w:tcPr>
          <w:p w14:paraId="2789F438" w14:textId="77777777" w:rsidR="00792EAC" w:rsidRPr="00C114CD" w:rsidRDefault="00792EAC" w:rsidP="009E51C8">
            <w:pPr>
              <w:pStyle w:val="ARGrantstabletext"/>
            </w:pPr>
            <w:r>
              <w:rPr>
                <w:color w:val="000000"/>
              </w:rPr>
              <w:t>Donald Learning Group Inc</w:t>
            </w:r>
          </w:p>
        </w:tc>
        <w:tc>
          <w:tcPr>
            <w:tcW w:w="1341" w:type="pct"/>
            <w:shd w:val="clear" w:color="auto" w:fill="E7E6E6" w:themeFill="background2"/>
            <w:noWrap/>
            <w:vAlign w:val="bottom"/>
          </w:tcPr>
          <w:p w14:paraId="726ADFB5" w14:textId="77777777" w:rsidR="00792EAC" w:rsidRPr="00C114CD" w:rsidRDefault="00792EAC" w:rsidP="0009574E">
            <w:pPr>
              <w:pStyle w:val="ARGrantstabletextright"/>
            </w:pPr>
            <w:r>
              <w:rPr>
                <w:color w:val="000000"/>
              </w:rPr>
              <w:t>18,543</w:t>
            </w:r>
          </w:p>
        </w:tc>
      </w:tr>
      <w:tr w:rsidR="00792EAC" w:rsidRPr="00C114CD" w14:paraId="638286C8" w14:textId="77777777" w:rsidTr="0009574E">
        <w:tblPrEx>
          <w:tblLook w:val="04A0" w:firstRow="1" w:lastRow="0" w:firstColumn="1" w:lastColumn="0" w:noHBand="0" w:noVBand="1"/>
        </w:tblPrEx>
        <w:trPr>
          <w:trHeight w:val="170"/>
        </w:trPr>
        <w:tc>
          <w:tcPr>
            <w:tcW w:w="3659" w:type="pct"/>
            <w:noWrap/>
          </w:tcPr>
          <w:p w14:paraId="09BA3076" w14:textId="77777777" w:rsidR="00792EAC" w:rsidRPr="00C114CD" w:rsidRDefault="00792EAC" w:rsidP="009E51C8">
            <w:pPr>
              <w:pStyle w:val="ARGrantstabletext"/>
            </w:pPr>
            <w:r>
              <w:rPr>
                <w:color w:val="000000"/>
              </w:rPr>
              <w:t>Doveton Neighbourhood Learning Centre</w:t>
            </w:r>
          </w:p>
        </w:tc>
        <w:tc>
          <w:tcPr>
            <w:tcW w:w="1341" w:type="pct"/>
            <w:shd w:val="clear" w:color="auto" w:fill="E7E6E6" w:themeFill="background2"/>
            <w:noWrap/>
            <w:vAlign w:val="bottom"/>
          </w:tcPr>
          <w:p w14:paraId="46E1E7B3" w14:textId="77777777" w:rsidR="00792EAC" w:rsidRPr="00C114CD" w:rsidRDefault="00792EAC" w:rsidP="0009574E">
            <w:pPr>
              <w:pStyle w:val="ARGrantstabletextright"/>
            </w:pPr>
            <w:r>
              <w:rPr>
                <w:color w:val="000000"/>
              </w:rPr>
              <w:t>22,500</w:t>
            </w:r>
          </w:p>
        </w:tc>
      </w:tr>
      <w:tr w:rsidR="00792EAC" w:rsidRPr="00C114CD" w14:paraId="726234B4" w14:textId="77777777" w:rsidTr="0009574E">
        <w:tblPrEx>
          <w:tblLook w:val="04A0" w:firstRow="1" w:lastRow="0" w:firstColumn="1" w:lastColumn="0" w:noHBand="0" w:noVBand="1"/>
        </w:tblPrEx>
        <w:trPr>
          <w:trHeight w:val="170"/>
        </w:trPr>
        <w:tc>
          <w:tcPr>
            <w:tcW w:w="3659" w:type="pct"/>
            <w:noWrap/>
          </w:tcPr>
          <w:p w14:paraId="21798ECF" w14:textId="3A0992BD" w:rsidR="00792EAC" w:rsidRPr="00C114CD" w:rsidRDefault="00792EAC" w:rsidP="009E51C8">
            <w:pPr>
              <w:pStyle w:val="ARGrantstabletext"/>
            </w:pPr>
            <w:r>
              <w:rPr>
                <w:color w:val="000000"/>
              </w:rPr>
              <w:t>Dromana Community House Inc</w:t>
            </w:r>
            <w:r w:rsidR="00EA7A42">
              <w:rPr>
                <w:color w:val="000000"/>
              </w:rPr>
              <w:t>.</w:t>
            </w:r>
          </w:p>
        </w:tc>
        <w:tc>
          <w:tcPr>
            <w:tcW w:w="1341" w:type="pct"/>
            <w:shd w:val="clear" w:color="auto" w:fill="E7E6E6" w:themeFill="background2"/>
            <w:noWrap/>
            <w:vAlign w:val="bottom"/>
          </w:tcPr>
          <w:p w14:paraId="4F68611B" w14:textId="77777777" w:rsidR="00792EAC" w:rsidRPr="00C114CD" w:rsidRDefault="00792EAC" w:rsidP="0009574E">
            <w:pPr>
              <w:pStyle w:val="ARGrantstabletextright"/>
            </w:pPr>
            <w:r>
              <w:rPr>
                <w:color w:val="000000"/>
              </w:rPr>
              <w:t>23,737</w:t>
            </w:r>
          </w:p>
        </w:tc>
      </w:tr>
      <w:tr w:rsidR="00792EAC" w:rsidRPr="00C114CD" w14:paraId="2ED5F995" w14:textId="77777777" w:rsidTr="0009574E">
        <w:tblPrEx>
          <w:tblLook w:val="04A0" w:firstRow="1" w:lastRow="0" w:firstColumn="1" w:lastColumn="0" w:noHBand="0" w:noVBand="1"/>
        </w:tblPrEx>
        <w:trPr>
          <w:trHeight w:val="170"/>
        </w:trPr>
        <w:tc>
          <w:tcPr>
            <w:tcW w:w="3659" w:type="pct"/>
            <w:noWrap/>
          </w:tcPr>
          <w:p w14:paraId="3C8CCCCF" w14:textId="77777777" w:rsidR="00792EAC" w:rsidRPr="00C114CD" w:rsidRDefault="00792EAC" w:rsidP="009E51C8">
            <w:pPr>
              <w:pStyle w:val="ARGrantstabletext"/>
            </w:pPr>
            <w:r>
              <w:rPr>
                <w:color w:val="000000"/>
              </w:rPr>
              <w:t>Duke Street Community House</w:t>
            </w:r>
          </w:p>
        </w:tc>
        <w:tc>
          <w:tcPr>
            <w:tcW w:w="1341" w:type="pct"/>
            <w:shd w:val="clear" w:color="auto" w:fill="E7E6E6" w:themeFill="background2"/>
            <w:noWrap/>
            <w:vAlign w:val="bottom"/>
          </w:tcPr>
          <w:p w14:paraId="0099FEF0" w14:textId="77777777" w:rsidR="00792EAC" w:rsidRPr="00C114CD" w:rsidRDefault="00792EAC" w:rsidP="0009574E">
            <w:pPr>
              <w:pStyle w:val="ARGrantstabletextright"/>
            </w:pPr>
            <w:r>
              <w:rPr>
                <w:color w:val="000000"/>
              </w:rPr>
              <w:t>30,141</w:t>
            </w:r>
          </w:p>
        </w:tc>
      </w:tr>
      <w:tr w:rsidR="00792EAC" w:rsidRPr="00C114CD" w14:paraId="42B04329" w14:textId="77777777" w:rsidTr="0009574E">
        <w:tblPrEx>
          <w:tblLook w:val="04A0" w:firstRow="1" w:lastRow="0" w:firstColumn="1" w:lastColumn="0" w:noHBand="0" w:noVBand="1"/>
        </w:tblPrEx>
        <w:trPr>
          <w:trHeight w:val="170"/>
        </w:trPr>
        <w:tc>
          <w:tcPr>
            <w:tcW w:w="3659" w:type="pct"/>
            <w:noWrap/>
          </w:tcPr>
          <w:p w14:paraId="61D48C0A" w14:textId="51BD7661" w:rsidR="00792EAC" w:rsidRPr="00C114CD" w:rsidRDefault="00792EAC" w:rsidP="009E51C8">
            <w:pPr>
              <w:pStyle w:val="ARGrantstabletext"/>
            </w:pPr>
            <w:r>
              <w:rPr>
                <w:color w:val="000000"/>
              </w:rPr>
              <w:t>Dunolly &amp; District Neighbourhood Centre</w:t>
            </w:r>
            <w:r w:rsidR="0009574E">
              <w:rPr>
                <w:color w:val="000000"/>
              </w:rPr>
              <w:t> </w:t>
            </w:r>
            <w:r>
              <w:rPr>
                <w:color w:val="000000"/>
              </w:rPr>
              <w:t>Inc</w:t>
            </w:r>
            <w:r w:rsidR="00EA7A42">
              <w:rPr>
                <w:color w:val="000000"/>
              </w:rPr>
              <w:t>.</w:t>
            </w:r>
          </w:p>
        </w:tc>
        <w:tc>
          <w:tcPr>
            <w:tcW w:w="1341" w:type="pct"/>
            <w:shd w:val="clear" w:color="auto" w:fill="E7E6E6" w:themeFill="background2"/>
            <w:noWrap/>
            <w:vAlign w:val="bottom"/>
          </w:tcPr>
          <w:p w14:paraId="320D48D8" w14:textId="77777777" w:rsidR="00792EAC" w:rsidRPr="00C114CD" w:rsidRDefault="00792EAC" w:rsidP="0009574E">
            <w:pPr>
              <w:pStyle w:val="ARGrantstabletextright"/>
            </w:pPr>
            <w:r>
              <w:rPr>
                <w:color w:val="000000"/>
              </w:rPr>
              <w:t>10,000</w:t>
            </w:r>
          </w:p>
        </w:tc>
      </w:tr>
      <w:tr w:rsidR="00792EAC" w:rsidRPr="00C114CD" w14:paraId="0103F645" w14:textId="77777777" w:rsidTr="0009574E">
        <w:tblPrEx>
          <w:tblLook w:val="04A0" w:firstRow="1" w:lastRow="0" w:firstColumn="1" w:lastColumn="0" w:noHBand="0" w:noVBand="1"/>
        </w:tblPrEx>
        <w:trPr>
          <w:trHeight w:val="170"/>
        </w:trPr>
        <w:tc>
          <w:tcPr>
            <w:tcW w:w="3659" w:type="pct"/>
            <w:noWrap/>
          </w:tcPr>
          <w:p w14:paraId="7F0D5AAD" w14:textId="65C5213C" w:rsidR="00792EAC" w:rsidRPr="00C114CD" w:rsidRDefault="00792EAC" w:rsidP="009E51C8">
            <w:pPr>
              <w:pStyle w:val="ARGrantstabletext"/>
            </w:pPr>
            <w:r>
              <w:rPr>
                <w:color w:val="000000"/>
              </w:rPr>
              <w:t>Eaglehawk Community House Inc</w:t>
            </w:r>
            <w:r w:rsidR="00EA7A42">
              <w:rPr>
                <w:color w:val="000000"/>
              </w:rPr>
              <w:t>.</w:t>
            </w:r>
          </w:p>
        </w:tc>
        <w:tc>
          <w:tcPr>
            <w:tcW w:w="1341" w:type="pct"/>
            <w:shd w:val="clear" w:color="auto" w:fill="E7E6E6" w:themeFill="background2"/>
            <w:noWrap/>
            <w:vAlign w:val="bottom"/>
          </w:tcPr>
          <w:p w14:paraId="3E5C966F" w14:textId="77777777" w:rsidR="00792EAC" w:rsidRPr="00C114CD" w:rsidRDefault="00792EAC" w:rsidP="0009574E">
            <w:pPr>
              <w:pStyle w:val="ARGrantstabletextright"/>
            </w:pPr>
            <w:r>
              <w:rPr>
                <w:color w:val="000000"/>
              </w:rPr>
              <w:t>33,865</w:t>
            </w:r>
          </w:p>
        </w:tc>
      </w:tr>
      <w:tr w:rsidR="00792EAC" w:rsidRPr="00C114CD" w14:paraId="73CFAF60" w14:textId="77777777" w:rsidTr="0009574E">
        <w:tblPrEx>
          <w:tblLook w:val="04A0" w:firstRow="1" w:lastRow="0" w:firstColumn="1" w:lastColumn="0" w:noHBand="0" w:noVBand="1"/>
        </w:tblPrEx>
        <w:trPr>
          <w:trHeight w:val="170"/>
        </w:trPr>
        <w:tc>
          <w:tcPr>
            <w:tcW w:w="3659" w:type="pct"/>
            <w:noWrap/>
          </w:tcPr>
          <w:p w14:paraId="100B75A8" w14:textId="77777777" w:rsidR="00792EAC" w:rsidRPr="00C114CD" w:rsidRDefault="00792EAC" w:rsidP="009E51C8">
            <w:pPr>
              <w:pStyle w:val="ARGrantstabletext"/>
            </w:pPr>
            <w:r>
              <w:rPr>
                <w:color w:val="000000"/>
              </w:rPr>
              <w:t>East Gippsland Shire Council</w:t>
            </w:r>
          </w:p>
        </w:tc>
        <w:tc>
          <w:tcPr>
            <w:tcW w:w="1341" w:type="pct"/>
            <w:shd w:val="clear" w:color="auto" w:fill="E7E6E6" w:themeFill="background2"/>
            <w:noWrap/>
            <w:vAlign w:val="bottom"/>
          </w:tcPr>
          <w:p w14:paraId="22AD778A" w14:textId="77777777" w:rsidR="00792EAC" w:rsidRPr="00C114CD" w:rsidRDefault="00792EAC" w:rsidP="0009574E">
            <w:pPr>
              <w:pStyle w:val="ARGrantstabletextright"/>
            </w:pPr>
            <w:r>
              <w:rPr>
                <w:color w:val="000000"/>
              </w:rPr>
              <w:t>75,000</w:t>
            </w:r>
          </w:p>
        </w:tc>
      </w:tr>
      <w:tr w:rsidR="00792EAC" w:rsidRPr="00C114CD" w14:paraId="2A59F540" w14:textId="77777777" w:rsidTr="0009574E">
        <w:tblPrEx>
          <w:tblLook w:val="04A0" w:firstRow="1" w:lastRow="0" w:firstColumn="1" w:lastColumn="0" w:noHBand="0" w:noVBand="1"/>
        </w:tblPrEx>
        <w:trPr>
          <w:trHeight w:val="170"/>
        </w:trPr>
        <w:tc>
          <w:tcPr>
            <w:tcW w:w="3659" w:type="pct"/>
            <w:noWrap/>
          </w:tcPr>
          <w:p w14:paraId="0187EDF4" w14:textId="660DEDA7" w:rsidR="00792EAC" w:rsidRPr="00C114CD" w:rsidRDefault="00792EAC" w:rsidP="009E51C8">
            <w:pPr>
              <w:pStyle w:val="ARGrantstabletext"/>
            </w:pPr>
            <w:r>
              <w:rPr>
                <w:color w:val="000000"/>
              </w:rPr>
              <w:t>Flowerdale Community House Inc</w:t>
            </w:r>
            <w:r w:rsidR="00EA7A42">
              <w:rPr>
                <w:color w:val="000000"/>
              </w:rPr>
              <w:t>.</w:t>
            </w:r>
          </w:p>
        </w:tc>
        <w:tc>
          <w:tcPr>
            <w:tcW w:w="1341" w:type="pct"/>
            <w:shd w:val="clear" w:color="auto" w:fill="E7E6E6" w:themeFill="background2"/>
            <w:noWrap/>
            <w:vAlign w:val="bottom"/>
          </w:tcPr>
          <w:p w14:paraId="56C04D15" w14:textId="77777777" w:rsidR="00792EAC" w:rsidRPr="00C114CD" w:rsidRDefault="00792EAC" w:rsidP="0009574E">
            <w:pPr>
              <w:pStyle w:val="ARGrantstabletextright"/>
            </w:pPr>
            <w:r>
              <w:rPr>
                <w:color w:val="000000"/>
              </w:rPr>
              <w:t>23,595</w:t>
            </w:r>
          </w:p>
        </w:tc>
      </w:tr>
      <w:tr w:rsidR="00792EAC" w:rsidRPr="00C114CD" w14:paraId="3938A67F" w14:textId="77777777" w:rsidTr="0009574E">
        <w:tblPrEx>
          <w:tblLook w:val="04A0" w:firstRow="1" w:lastRow="0" w:firstColumn="1" w:lastColumn="0" w:noHBand="0" w:noVBand="1"/>
        </w:tblPrEx>
        <w:trPr>
          <w:trHeight w:val="170"/>
        </w:trPr>
        <w:tc>
          <w:tcPr>
            <w:tcW w:w="3659" w:type="pct"/>
            <w:noWrap/>
          </w:tcPr>
          <w:p w14:paraId="5822564A" w14:textId="77777777" w:rsidR="00792EAC" w:rsidRPr="00C114CD" w:rsidRDefault="00792EAC" w:rsidP="009E51C8">
            <w:pPr>
              <w:pStyle w:val="ARGrantstabletext"/>
            </w:pPr>
            <w:r>
              <w:rPr>
                <w:color w:val="000000"/>
              </w:rPr>
              <w:t>Follow Bless Collective</w:t>
            </w:r>
          </w:p>
        </w:tc>
        <w:tc>
          <w:tcPr>
            <w:tcW w:w="1341" w:type="pct"/>
            <w:shd w:val="clear" w:color="auto" w:fill="E7E6E6" w:themeFill="background2"/>
            <w:noWrap/>
            <w:vAlign w:val="bottom"/>
          </w:tcPr>
          <w:p w14:paraId="38553E02" w14:textId="77777777" w:rsidR="00792EAC" w:rsidRPr="00C114CD" w:rsidRDefault="00792EAC" w:rsidP="0009574E">
            <w:pPr>
              <w:pStyle w:val="ARGrantstabletextright"/>
            </w:pPr>
            <w:r>
              <w:rPr>
                <w:color w:val="000000"/>
              </w:rPr>
              <w:t>28,995</w:t>
            </w:r>
          </w:p>
        </w:tc>
      </w:tr>
      <w:tr w:rsidR="00792EAC" w:rsidRPr="00C114CD" w14:paraId="37778202" w14:textId="77777777" w:rsidTr="0009574E">
        <w:tblPrEx>
          <w:tblLook w:val="04A0" w:firstRow="1" w:lastRow="0" w:firstColumn="1" w:lastColumn="0" w:noHBand="0" w:noVBand="1"/>
        </w:tblPrEx>
        <w:trPr>
          <w:trHeight w:val="170"/>
        </w:trPr>
        <w:tc>
          <w:tcPr>
            <w:tcW w:w="3659" w:type="pct"/>
            <w:noWrap/>
          </w:tcPr>
          <w:p w14:paraId="4D5832D3" w14:textId="77777777" w:rsidR="00792EAC" w:rsidRPr="00C114CD" w:rsidRDefault="00792EAC" w:rsidP="009E51C8">
            <w:pPr>
              <w:pStyle w:val="ARGrantstabletext"/>
            </w:pPr>
            <w:r>
              <w:rPr>
                <w:color w:val="000000"/>
              </w:rPr>
              <w:t>Forrest &amp; District Neighbourhood House</w:t>
            </w:r>
          </w:p>
        </w:tc>
        <w:tc>
          <w:tcPr>
            <w:tcW w:w="1341" w:type="pct"/>
            <w:shd w:val="clear" w:color="auto" w:fill="E7E6E6" w:themeFill="background2"/>
            <w:noWrap/>
            <w:vAlign w:val="bottom"/>
          </w:tcPr>
          <w:p w14:paraId="4BA29694" w14:textId="77777777" w:rsidR="00792EAC" w:rsidRPr="00C114CD" w:rsidRDefault="00792EAC" w:rsidP="0009574E">
            <w:pPr>
              <w:pStyle w:val="ARGrantstabletextright"/>
            </w:pPr>
            <w:r>
              <w:rPr>
                <w:color w:val="000000"/>
              </w:rPr>
              <w:t>29,227</w:t>
            </w:r>
          </w:p>
        </w:tc>
      </w:tr>
      <w:tr w:rsidR="00792EAC" w:rsidRPr="00C114CD" w14:paraId="1055E5F9" w14:textId="77777777" w:rsidTr="0009574E">
        <w:tblPrEx>
          <w:tblLook w:val="04A0" w:firstRow="1" w:lastRow="0" w:firstColumn="1" w:lastColumn="0" w:noHBand="0" w:noVBand="1"/>
        </w:tblPrEx>
        <w:trPr>
          <w:trHeight w:val="170"/>
        </w:trPr>
        <w:tc>
          <w:tcPr>
            <w:tcW w:w="3659" w:type="pct"/>
            <w:noWrap/>
          </w:tcPr>
          <w:p w14:paraId="7EC3632F" w14:textId="77777777" w:rsidR="00792EAC" w:rsidRPr="00C114CD" w:rsidRDefault="00792EAC" w:rsidP="009E51C8">
            <w:pPr>
              <w:pStyle w:val="ARGrantstabletext"/>
            </w:pPr>
            <w:r>
              <w:rPr>
                <w:color w:val="000000"/>
              </w:rPr>
              <w:t>Foundation Murrindindi</w:t>
            </w:r>
          </w:p>
        </w:tc>
        <w:tc>
          <w:tcPr>
            <w:tcW w:w="1341" w:type="pct"/>
            <w:shd w:val="clear" w:color="auto" w:fill="E7E6E6" w:themeFill="background2"/>
            <w:noWrap/>
            <w:vAlign w:val="bottom"/>
          </w:tcPr>
          <w:p w14:paraId="28C107D3" w14:textId="77777777" w:rsidR="00792EAC" w:rsidRPr="00C114CD" w:rsidRDefault="00792EAC" w:rsidP="0009574E">
            <w:pPr>
              <w:pStyle w:val="ARGrantstabletextright"/>
            </w:pPr>
            <w:r>
              <w:rPr>
                <w:color w:val="000000"/>
              </w:rPr>
              <w:t>24,476</w:t>
            </w:r>
          </w:p>
        </w:tc>
      </w:tr>
      <w:tr w:rsidR="00792EAC" w:rsidRPr="00C114CD" w14:paraId="0FFC4D2D" w14:textId="77777777" w:rsidTr="0009574E">
        <w:tblPrEx>
          <w:tblLook w:val="04A0" w:firstRow="1" w:lastRow="0" w:firstColumn="1" w:lastColumn="0" w:noHBand="0" w:noVBand="1"/>
        </w:tblPrEx>
        <w:trPr>
          <w:trHeight w:val="170"/>
        </w:trPr>
        <w:tc>
          <w:tcPr>
            <w:tcW w:w="3659" w:type="pct"/>
            <w:noWrap/>
          </w:tcPr>
          <w:p w14:paraId="4A643D66" w14:textId="00C581A3" w:rsidR="00792EAC" w:rsidRPr="00C114CD" w:rsidRDefault="00792EAC" w:rsidP="009E51C8">
            <w:pPr>
              <w:pStyle w:val="ARGrantstabletext"/>
            </w:pPr>
            <w:r>
              <w:rPr>
                <w:color w:val="000000"/>
              </w:rPr>
              <w:t>Frankston Churches Community Breakfast Inc</w:t>
            </w:r>
            <w:r w:rsidR="00EA7A42">
              <w:rPr>
                <w:color w:val="000000"/>
              </w:rPr>
              <w:t>.</w:t>
            </w:r>
            <w:r>
              <w:rPr>
                <w:color w:val="000000"/>
              </w:rPr>
              <w:t xml:space="preserve"> </w:t>
            </w:r>
            <w:r w:rsidR="00EA7A42">
              <w:rPr>
                <w:color w:val="000000"/>
              </w:rPr>
              <w:t xml:space="preserve">– </w:t>
            </w:r>
            <w:r>
              <w:rPr>
                <w:color w:val="000000"/>
              </w:rPr>
              <w:t>Frankston Brekky Club</w:t>
            </w:r>
          </w:p>
        </w:tc>
        <w:tc>
          <w:tcPr>
            <w:tcW w:w="1341" w:type="pct"/>
            <w:shd w:val="clear" w:color="auto" w:fill="E7E6E6" w:themeFill="background2"/>
            <w:noWrap/>
            <w:vAlign w:val="bottom"/>
          </w:tcPr>
          <w:p w14:paraId="029457E3" w14:textId="77777777" w:rsidR="00792EAC" w:rsidRPr="00C114CD" w:rsidRDefault="00792EAC" w:rsidP="0009574E">
            <w:pPr>
              <w:pStyle w:val="ARGrantstabletextright"/>
            </w:pPr>
            <w:r>
              <w:rPr>
                <w:color w:val="000000"/>
              </w:rPr>
              <w:t>50,000</w:t>
            </w:r>
          </w:p>
        </w:tc>
      </w:tr>
      <w:tr w:rsidR="00792EAC" w:rsidRPr="00C114CD" w14:paraId="75087AFD" w14:textId="77777777" w:rsidTr="0009574E">
        <w:tblPrEx>
          <w:tblLook w:val="04A0" w:firstRow="1" w:lastRow="0" w:firstColumn="1" w:lastColumn="0" w:noHBand="0" w:noVBand="1"/>
        </w:tblPrEx>
        <w:trPr>
          <w:trHeight w:val="170"/>
        </w:trPr>
        <w:tc>
          <w:tcPr>
            <w:tcW w:w="3659" w:type="pct"/>
            <w:noWrap/>
          </w:tcPr>
          <w:p w14:paraId="5D29632E" w14:textId="77777777" w:rsidR="00792EAC" w:rsidRPr="00C114CD" w:rsidRDefault="00792EAC" w:rsidP="009E51C8">
            <w:pPr>
              <w:pStyle w:val="ARGrantstabletext"/>
            </w:pPr>
            <w:r>
              <w:rPr>
                <w:color w:val="000000"/>
              </w:rPr>
              <w:t>Gathering Place</w:t>
            </w:r>
          </w:p>
        </w:tc>
        <w:tc>
          <w:tcPr>
            <w:tcW w:w="1341" w:type="pct"/>
            <w:shd w:val="clear" w:color="auto" w:fill="E7E6E6" w:themeFill="background2"/>
            <w:noWrap/>
            <w:vAlign w:val="bottom"/>
          </w:tcPr>
          <w:p w14:paraId="17CED685" w14:textId="77777777" w:rsidR="00792EAC" w:rsidRPr="00C114CD" w:rsidRDefault="00792EAC" w:rsidP="0009574E">
            <w:pPr>
              <w:pStyle w:val="ARGrantstabletextright"/>
            </w:pPr>
            <w:r>
              <w:rPr>
                <w:color w:val="000000"/>
              </w:rPr>
              <w:t>30,000</w:t>
            </w:r>
          </w:p>
        </w:tc>
      </w:tr>
      <w:tr w:rsidR="00792EAC" w:rsidRPr="00C114CD" w14:paraId="4FB74C0A" w14:textId="77777777" w:rsidTr="0009574E">
        <w:tblPrEx>
          <w:tblLook w:val="04A0" w:firstRow="1" w:lastRow="0" w:firstColumn="1" w:lastColumn="0" w:noHBand="0" w:noVBand="1"/>
        </w:tblPrEx>
        <w:trPr>
          <w:trHeight w:val="170"/>
        </w:trPr>
        <w:tc>
          <w:tcPr>
            <w:tcW w:w="3659" w:type="pct"/>
            <w:tcBorders>
              <w:bottom w:val="single" w:sz="4" w:space="0" w:color="A6A6A6" w:themeColor="accent5"/>
            </w:tcBorders>
            <w:noWrap/>
          </w:tcPr>
          <w:p w14:paraId="61633179" w14:textId="18A9BE84" w:rsidR="00792EAC" w:rsidRPr="00C114CD" w:rsidRDefault="00792EAC" w:rsidP="009E51C8">
            <w:pPr>
              <w:pStyle w:val="ARGrantstabletext"/>
            </w:pPr>
            <w:r>
              <w:rPr>
                <w:color w:val="000000"/>
              </w:rPr>
              <w:t>Geelong Foodshare Inc</w:t>
            </w:r>
            <w:r w:rsidR="00EA7A42">
              <w:rPr>
                <w:color w:val="000000"/>
              </w:rPr>
              <w:t>.</w:t>
            </w:r>
          </w:p>
        </w:tc>
        <w:tc>
          <w:tcPr>
            <w:tcW w:w="1341" w:type="pct"/>
            <w:tcBorders>
              <w:bottom w:val="single" w:sz="4" w:space="0" w:color="A6A6A6" w:themeColor="accent5"/>
            </w:tcBorders>
            <w:shd w:val="clear" w:color="auto" w:fill="E7E6E6" w:themeFill="background2"/>
            <w:noWrap/>
            <w:vAlign w:val="bottom"/>
          </w:tcPr>
          <w:p w14:paraId="356DC8A6" w14:textId="77777777" w:rsidR="00792EAC" w:rsidRPr="00C114CD" w:rsidRDefault="00792EAC" w:rsidP="0009574E">
            <w:pPr>
              <w:pStyle w:val="ARGrantstabletextright"/>
            </w:pPr>
            <w:r>
              <w:rPr>
                <w:color w:val="000000"/>
              </w:rPr>
              <w:t>162,500</w:t>
            </w:r>
          </w:p>
        </w:tc>
      </w:tr>
      <w:tr w:rsidR="00792EAC" w:rsidRPr="00C114CD" w14:paraId="7CFDA281" w14:textId="77777777" w:rsidTr="0009574E">
        <w:tblPrEx>
          <w:tblLook w:val="04A0" w:firstRow="1" w:lastRow="0" w:firstColumn="1" w:lastColumn="0" w:noHBand="0" w:noVBand="1"/>
        </w:tblPrEx>
        <w:trPr>
          <w:trHeight w:val="170"/>
        </w:trPr>
        <w:tc>
          <w:tcPr>
            <w:tcW w:w="3659" w:type="pct"/>
            <w:tcBorders>
              <w:top w:val="single" w:sz="4" w:space="0" w:color="A6A6A6" w:themeColor="accent5"/>
              <w:bottom w:val="single" w:sz="4" w:space="0" w:color="A6A6A6" w:themeColor="accent5"/>
            </w:tcBorders>
            <w:noWrap/>
          </w:tcPr>
          <w:p w14:paraId="45ECFD44" w14:textId="2B752BF3" w:rsidR="00792EAC" w:rsidRPr="00C114CD" w:rsidRDefault="00792EAC" w:rsidP="009E51C8">
            <w:pPr>
              <w:pStyle w:val="ARGrantstabletext"/>
            </w:pPr>
            <w:r>
              <w:rPr>
                <w:color w:val="000000"/>
              </w:rPr>
              <w:t>Glen Park Community Centre Inc</w:t>
            </w:r>
            <w:r w:rsidR="00EA7A42">
              <w:rPr>
                <w:color w:val="000000"/>
              </w:rPr>
              <w:t>.</w:t>
            </w:r>
          </w:p>
        </w:tc>
        <w:tc>
          <w:tcPr>
            <w:tcW w:w="1341" w:type="pct"/>
            <w:tcBorders>
              <w:top w:val="single" w:sz="4" w:space="0" w:color="A6A6A6" w:themeColor="accent5"/>
              <w:bottom w:val="single" w:sz="4" w:space="0" w:color="A6A6A6" w:themeColor="accent5"/>
            </w:tcBorders>
            <w:shd w:val="clear" w:color="auto" w:fill="E7E6E6" w:themeFill="background2"/>
            <w:noWrap/>
            <w:vAlign w:val="bottom"/>
          </w:tcPr>
          <w:p w14:paraId="2FBCE72E" w14:textId="77777777" w:rsidR="00792EAC" w:rsidRPr="00C114CD" w:rsidRDefault="00792EAC" w:rsidP="0009574E">
            <w:pPr>
              <w:pStyle w:val="ARGrantstabletextright"/>
            </w:pPr>
            <w:r>
              <w:rPr>
                <w:color w:val="000000"/>
              </w:rPr>
              <w:t>29,133</w:t>
            </w:r>
          </w:p>
        </w:tc>
      </w:tr>
      <w:tr w:rsidR="00792EAC" w:rsidRPr="00C114CD" w14:paraId="18C9404C" w14:textId="77777777" w:rsidTr="00144FF3">
        <w:tblPrEx>
          <w:tblLook w:val="04A0" w:firstRow="1" w:lastRow="0" w:firstColumn="1" w:lastColumn="0" w:noHBand="0" w:noVBand="1"/>
        </w:tblPrEx>
        <w:trPr>
          <w:trHeight w:val="170"/>
        </w:trPr>
        <w:tc>
          <w:tcPr>
            <w:tcW w:w="3659" w:type="pct"/>
            <w:tcBorders>
              <w:top w:val="single" w:sz="4" w:space="0" w:color="A6A6A6" w:themeColor="accent5"/>
              <w:bottom w:val="single" w:sz="4" w:space="0" w:color="A6A6A6" w:themeColor="accent5"/>
            </w:tcBorders>
            <w:noWrap/>
          </w:tcPr>
          <w:p w14:paraId="2950240E" w14:textId="4DBC61F2" w:rsidR="00792EAC" w:rsidRPr="00C114CD" w:rsidRDefault="00792EAC" w:rsidP="009E51C8">
            <w:pPr>
              <w:pStyle w:val="ARGrantstabletext"/>
            </w:pPr>
            <w:r>
              <w:rPr>
                <w:color w:val="000000"/>
              </w:rPr>
              <w:t>Glenroy Neighbourhood Learning</w:t>
            </w:r>
            <w:r w:rsidR="0009574E">
              <w:rPr>
                <w:color w:val="000000"/>
              </w:rPr>
              <w:t> </w:t>
            </w:r>
            <w:r>
              <w:rPr>
                <w:color w:val="000000"/>
              </w:rPr>
              <w:t>Centre</w:t>
            </w:r>
          </w:p>
        </w:tc>
        <w:tc>
          <w:tcPr>
            <w:tcW w:w="1341" w:type="pct"/>
            <w:tcBorders>
              <w:top w:val="single" w:sz="4" w:space="0" w:color="A6A6A6" w:themeColor="accent5"/>
              <w:bottom w:val="single" w:sz="4" w:space="0" w:color="A6A6A6" w:themeColor="accent5"/>
            </w:tcBorders>
            <w:shd w:val="clear" w:color="auto" w:fill="E7E6E6" w:themeFill="background2"/>
            <w:noWrap/>
            <w:vAlign w:val="bottom"/>
          </w:tcPr>
          <w:p w14:paraId="0283E3DD" w14:textId="77777777" w:rsidR="00792EAC" w:rsidRPr="00C114CD" w:rsidRDefault="00792EAC" w:rsidP="0009574E">
            <w:pPr>
              <w:pStyle w:val="ARGrantstabletextright"/>
            </w:pPr>
            <w:r>
              <w:rPr>
                <w:color w:val="000000"/>
              </w:rPr>
              <w:t>19,875</w:t>
            </w:r>
          </w:p>
        </w:tc>
      </w:tr>
      <w:tr w:rsidR="00792EAC" w:rsidRPr="00C114CD" w14:paraId="3E7010DE" w14:textId="77777777" w:rsidTr="00144FF3">
        <w:tblPrEx>
          <w:tblLook w:val="04A0" w:firstRow="1" w:lastRow="0" w:firstColumn="1" w:lastColumn="0" w:noHBand="0" w:noVBand="1"/>
        </w:tblPrEx>
        <w:trPr>
          <w:trHeight w:val="170"/>
        </w:trPr>
        <w:tc>
          <w:tcPr>
            <w:tcW w:w="3659" w:type="pct"/>
            <w:tcBorders>
              <w:top w:val="single" w:sz="4" w:space="0" w:color="A6A6A6" w:themeColor="accent5"/>
              <w:bottom w:val="single" w:sz="4" w:space="0" w:color="A6A6A6" w:themeColor="accent5"/>
            </w:tcBorders>
            <w:noWrap/>
          </w:tcPr>
          <w:p w14:paraId="7BB46120" w14:textId="77777777" w:rsidR="00792EAC" w:rsidRPr="00C114CD" w:rsidRDefault="00792EAC" w:rsidP="009E51C8">
            <w:pPr>
              <w:pStyle w:val="ARGrantstabletext"/>
            </w:pPr>
            <w:r>
              <w:rPr>
                <w:color w:val="000000"/>
              </w:rPr>
              <w:t>Greenhills Neighbourhood House</w:t>
            </w:r>
          </w:p>
        </w:tc>
        <w:tc>
          <w:tcPr>
            <w:tcW w:w="1341" w:type="pct"/>
            <w:tcBorders>
              <w:top w:val="single" w:sz="4" w:space="0" w:color="A6A6A6" w:themeColor="accent5"/>
              <w:bottom w:val="single" w:sz="4" w:space="0" w:color="A6A6A6" w:themeColor="accent5"/>
            </w:tcBorders>
            <w:shd w:val="clear" w:color="auto" w:fill="E7E6E6" w:themeFill="background2"/>
            <w:noWrap/>
            <w:vAlign w:val="bottom"/>
          </w:tcPr>
          <w:p w14:paraId="51FEFE56" w14:textId="77777777" w:rsidR="00792EAC" w:rsidRPr="00C114CD" w:rsidRDefault="00792EAC" w:rsidP="0009574E">
            <w:pPr>
              <w:pStyle w:val="ARGrantstabletextright"/>
            </w:pPr>
            <w:r>
              <w:rPr>
                <w:color w:val="000000"/>
              </w:rPr>
              <w:t>30,000</w:t>
            </w:r>
          </w:p>
        </w:tc>
      </w:tr>
      <w:tr w:rsidR="00792EAC" w:rsidRPr="00C114CD" w14:paraId="75EE5864" w14:textId="77777777" w:rsidTr="00144FF3">
        <w:tblPrEx>
          <w:tblLook w:val="04A0" w:firstRow="1" w:lastRow="0" w:firstColumn="1" w:lastColumn="0" w:noHBand="0" w:noVBand="1"/>
        </w:tblPrEx>
        <w:trPr>
          <w:trHeight w:val="170"/>
        </w:trPr>
        <w:tc>
          <w:tcPr>
            <w:tcW w:w="3659" w:type="pct"/>
            <w:tcBorders>
              <w:top w:val="single" w:sz="4" w:space="0" w:color="A6A6A6" w:themeColor="accent5"/>
            </w:tcBorders>
            <w:noWrap/>
          </w:tcPr>
          <w:p w14:paraId="6C43F681" w14:textId="272304E9" w:rsidR="00792EAC" w:rsidRPr="00C114CD" w:rsidRDefault="00792EAC" w:rsidP="009E51C8">
            <w:pPr>
              <w:pStyle w:val="ARGrantstabletext"/>
            </w:pPr>
            <w:r>
              <w:rPr>
                <w:color w:val="000000"/>
              </w:rPr>
              <w:lastRenderedPageBreak/>
              <w:t xml:space="preserve">Halal Food Bank Melbourne </w:t>
            </w:r>
            <w:r w:rsidR="00EA7A42">
              <w:rPr>
                <w:color w:val="000000"/>
              </w:rPr>
              <w:t>Inc.</w:t>
            </w:r>
          </w:p>
        </w:tc>
        <w:tc>
          <w:tcPr>
            <w:tcW w:w="1341" w:type="pct"/>
            <w:tcBorders>
              <w:top w:val="single" w:sz="4" w:space="0" w:color="A6A6A6" w:themeColor="accent5"/>
            </w:tcBorders>
            <w:shd w:val="clear" w:color="auto" w:fill="E7E6E6" w:themeFill="background2"/>
            <w:noWrap/>
            <w:vAlign w:val="bottom"/>
          </w:tcPr>
          <w:p w14:paraId="0654953F" w14:textId="77777777" w:rsidR="00792EAC" w:rsidRPr="00C114CD" w:rsidRDefault="00792EAC" w:rsidP="0009574E">
            <w:pPr>
              <w:pStyle w:val="ARGrantstabletextright"/>
            </w:pPr>
            <w:r>
              <w:rPr>
                <w:color w:val="000000"/>
              </w:rPr>
              <w:t>23,625</w:t>
            </w:r>
          </w:p>
        </w:tc>
      </w:tr>
      <w:tr w:rsidR="00792EAC" w:rsidRPr="00C114CD" w14:paraId="1763D1EC" w14:textId="77777777" w:rsidTr="0009574E">
        <w:tblPrEx>
          <w:tblLook w:val="04A0" w:firstRow="1" w:lastRow="0" w:firstColumn="1" w:lastColumn="0" w:noHBand="0" w:noVBand="1"/>
        </w:tblPrEx>
        <w:trPr>
          <w:trHeight w:val="170"/>
        </w:trPr>
        <w:tc>
          <w:tcPr>
            <w:tcW w:w="3659" w:type="pct"/>
            <w:noWrap/>
          </w:tcPr>
          <w:p w14:paraId="53C1F19B" w14:textId="77777777" w:rsidR="00792EAC" w:rsidRPr="00C114CD" w:rsidRDefault="00792EAC" w:rsidP="009E51C8">
            <w:pPr>
              <w:pStyle w:val="ARGrantstabletext"/>
            </w:pPr>
            <w:proofErr w:type="spellStart"/>
            <w:r>
              <w:rPr>
                <w:color w:val="000000"/>
              </w:rPr>
              <w:t>Hararian</w:t>
            </w:r>
            <w:proofErr w:type="spellEnd"/>
            <w:r>
              <w:rPr>
                <w:color w:val="000000"/>
              </w:rPr>
              <w:t xml:space="preserve"> Organisation Inc.</w:t>
            </w:r>
          </w:p>
        </w:tc>
        <w:tc>
          <w:tcPr>
            <w:tcW w:w="1341" w:type="pct"/>
            <w:shd w:val="clear" w:color="auto" w:fill="E7E6E6" w:themeFill="background2"/>
            <w:noWrap/>
            <w:vAlign w:val="bottom"/>
          </w:tcPr>
          <w:p w14:paraId="525EBC1F" w14:textId="77777777" w:rsidR="00792EAC" w:rsidRPr="00C114CD" w:rsidRDefault="00792EAC" w:rsidP="0009574E">
            <w:pPr>
              <w:pStyle w:val="ARGrantstabletextright"/>
            </w:pPr>
            <w:r>
              <w:rPr>
                <w:color w:val="000000"/>
              </w:rPr>
              <w:t>95,000</w:t>
            </w:r>
          </w:p>
        </w:tc>
      </w:tr>
      <w:tr w:rsidR="00792EAC" w:rsidRPr="00C114CD" w14:paraId="0C5B0590" w14:textId="77777777" w:rsidTr="0009574E">
        <w:tblPrEx>
          <w:tblLook w:val="04A0" w:firstRow="1" w:lastRow="0" w:firstColumn="1" w:lastColumn="0" w:noHBand="0" w:noVBand="1"/>
        </w:tblPrEx>
        <w:trPr>
          <w:trHeight w:val="170"/>
        </w:trPr>
        <w:tc>
          <w:tcPr>
            <w:tcW w:w="3659" w:type="pct"/>
            <w:noWrap/>
          </w:tcPr>
          <w:p w14:paraId="6B790A59" w14:textId="77777777" w:rsidR="00792EAC" w:rsidRPr="00C114CD" w:rsidRDefault="00792EAC" w:rsidP="009E51C8">
            <w:pPr>
              <w:pStyle w:val="ARGrantstabletext"/>
            </w:pPr>
            <w:r>
              <w:rPr>
                <w:color w:val="000000"/>
              </w:rPr>
              <w:t xml:space="preserve">Hare Krishna Food </w:t>
            </w:r>
            <w:proofErr w:type="gramStart"/>
            <w:r>
              <w:rPr>
                <w:color w:val="000000"/>
              </w:rPr>
              <w:t>For</w:t>
            </w:r>
            <w:proofErr w:type="gramEnd"/>
            <w:r>
              <w:rPr>
                <w:color w:val="000000"/>
              </w:rPr>
              <w:t xml:space="preserve"> Life</w:t>
            </w:r>
          </w:p>
        </w:tc>
        <w:tc>
          <w:tcPr>
            <w:tcW w:w="1341" w:type="pct"/>
            <w:shd w:val="clear" w:color="auto" w:fill="E7E6E6" w:themeFill="background2"/>
            <w:noWrap/>
            <w:vAlign w:val="bottom"/>
          </w:tcPr>
          <w:p w14:paraId="1D8EDA57" w14:textId="77777777" w:rsidR="00792EAC" w:rsidRPr="00C114CD" w:rsidRDefault="00792EAC" w:rsidP="0009574E">
            <w:pPr>
              <w:pStyle w:val="ARGrantstabletextright"/>
            </w:pPr>
            <w:r>
              <w:rPr>
                <w:color w:val="000000"/>
              </w:rPr>
              <w:t>32,625</w:t>
            </w:r>
          </w:p>
        </w:tc>
      </w:tr>
      <w:tr w:rsidR="00792EAC" w:rsidRPr="00C114CD" w14:paraId="06794BD8" w14:textId="77777777" w:rsidTr="0009574E">
        <w:tblPrEx>
          <w:tblLook w:val="04A0" w:firstRow="1" w:lastRow="0" w:firstColumn="1" w:lastColumn="0" w:noHBand="0" w:noVBand="1"/>
        </w:tblPrEx>
        <w:trPr>
          <w:trHeight w:val="170"/>
        </w:trPr>
        <w:tc>
          <w:tcPr>
            <w:tcW w:w="3659" w:type="pct"/>
            <w:noWrap/>
          </w:tcPr>
          <w:p w14:paraId="1AF12381" w14:textId="2D204CFA" w:rsidR="00792EAC" w:rsidRPr="00C114CD" w:rsidRDefault="00792EAC" w:rsidP="009E51C8">
            <w:pPr>
              <w:pStyle w:val="ARGrantstabletext"/>
            </w:pPr>
            <w:r>
              <w:rPr>
                <w:color w:val="000000"/>
              </w:rPr>
              <w:t xml:space="preserve">Heywood </w:t>
            </w:r>
            <w:proofErr w:type="spellStart"/>
            <w:r>
              <w:rPr>
                <w:color w:val="000000"/>
              </w:rPr>
              <w:t>Mens</w:t>
            </w:r>
            <w:proofErr w:type="spellEnd"/>
            <w:r>
              <w:rPr>
                <w:color w:val="000000"/>
              </w:rPr>
              <w:t xml:space="preserve"> Talk Group Inc</w:t>
            </w:r>
            <w:r w:rsidR="00EA7A42">
              <w:rPr>
                <w:color w:val="000000"/>
              </w:rPr>
              <w:t>.</w:t>
            </w:r>
          </w:p>
        </w:tc>
        <w:tc>
          <w:tcPr>
            <w:tcW w:w="1341" w:type="pct"/>
            <w:shd w:val="clear" w:color="auto" w:fill="E7E6E6" w:themeFill="background2"/>
            <w:noWrap/>
            <w:vAlign w:val="bottom"/>
          </w:tcPr>
          <w:p w14:paraId="2FEBDC90" w14:textId="77777777" w:rsidR="00792EAC" w:rsidRPr="00C114CD" w:rsidRDefault="00792EAC" w:rsidP="0009574E">
            <w:pPr>
              <w:pStyle w:val="ARGrantstabletextright"/>
            </w:pPr>
            <w:r>
              <w:rPr>
                <w:color w:val="000000"/>
              </w:rPr>
              <w:t>27,400</w:t>
            </w:r>
          </w:p>
        </w:tc>
      </w:tr>
      <w:tr w:rsidR="00792EAC" w:rsidRPr="00C114CD" w14:paraId="712F9FC8" w14:textId="77777777" w:rsidTr="0009574E">
        <w:tblPrEx>
          <w:tblLook w:val="04A0" w:firstRow="1" w:lastRow="0" w:firstColumn="1" w:lastColumn="0" w:noHBand="0" w:noVBand="1"/>
        </w:tblPrEx>
        <w:trPr>
          <w:trHeight w:val="170"/>
        </w:trPr>
        <w:tc>
          <w:tcPr>
            <w:tcW w:w="3659" w:type="pct"/>
            <w:noWrap/>
          </w:tcPr>
          <w:p w14:paraId="765F548A" w14:textId="77777777" w:rsidR="00792EAC" w:rsidRPr="00C114CD" w:rsidRDefault="00792EAC" w:rsidP="009E51C8">
            <w:pPr>
              <w:pStyle w:val="ARGrantstabletext"/>
            </w:pPr>
            <w:proofErr w:type="spellStart"/>
            <w:r>
              <w:rPr>
                <w:color w:val="000000"/>
              </w:rPr>
              <w:t>Indigeekare</w:t>
            </w:r>
            <w:proofErr w:type="spellEnd"/>
            <w:r>
              <w:rPr>
                <w:color w:val="000000"/>
              </w:rPr>
              <w:t xml:space="preserve"> Services Pty Ltd</w:t>
            </w:r>
          </w:p>
        </w:tc>
        <w:tc>
          <w:tcPr>
            <w:tcW w:w="1341" w:type="pct"/>
            <w:shd w:val="clear" w:color="auto" w:fill="E7E6E6" w:themeFill="background2"/>
            <w:noWrap/>
            <w:vAlign w:val="bottom"/>
          </w:tcPr>
          <w:p w14:paraId="423B1F61" w14:textId="77777777" w:rsidR="00792EAC" w:rsidRPr="00C114CD" w:rsidRDefault="00792EAC" w:rsidP="0009574E">
            <w:pPr>
              <w:pStyle w:val="ARGrantstabletextright"/>
            </w:pPr>
            <w:r>
              <w:rPr>
                <w:color w:val="000000"/>
              </w:rPr>
              <w:t>35,625</w:t>
            </w:r>
          </w:p>
        </w:tc>
      </w:tr>
      <w:tr w:rsidR="00792EAC" w:rsidRPr="00C114CD" w14:paraId="035288B4" w14:textId="77777777" w:rsidTr="0009574E">
        <w:tblPrEx>
          <w:tblLook w:val="04A0" w:firstRow="1" w:lastRow="0" w:firstColumn="1" w:lastColumn="0" w:noHBand="0" w:noVBand="1"/>
        </w:tblPrEx>
        <w:trPr>
          <w:trHeight w:val="170"/>
        </w:trPr>
        <w:tc>
          <w:tcPr>
            <w:tcW w:w="3659" w:type="pct"/>
            <w:noWrap/>
          </w:tcPr>
          <w:p w14:paraId="4B11A9CD" w14:textId="77777777" w:rsidR="00792EAC" w:rsidRPr="00C114CD" w:rsidRDefault="00792EAC" w:rsidP="009E51C8">
            <w:pPr>
              <w:pStyle w:val="ARGrantstabletext"/>
            </w:pPr>
            <w:r>
              <w:rPr>
                <w:color w:val="000000"/>
              </w:rPr>
              <w:t>Inverloch Men's Shed</w:t>
            </w:r>
          </w:p>
        </w:tc>
        <w:tc>
          <w:tcPr>
            <w:tcW w:w="1341" w:type="pct"/>
            <w:shd w:val="clear" w:color="auto" w:fill="E7E6E6" w:themeFill="background2"/>
            <w:noWrap/>
            <w:vAlign w:val="bottom"/>
          </w:tcPr>
          <w:p w14:paraId="7FABF7E8" w14:textId="77777777" w:rsidR="00792EAC" w:rsidRPr="00C114CD" w:rsidRDefault="00792EAC" w:rsidP="0009574E">
            <w:pPr>
              <w:pStyle w:val="ARGrantstabletextright"/>
            </w:pPr>
            <w:r>
              <w:rPr>
                <w:color w:val="000000"/>
              </w:rPr>
              <w:t>49,932</w:t>
            </w:r>
          </w:p>
        </w:tc>
      </w:tr>
      <w:tr w:rsidR="00792EAC" w:rsidRPr="00C114CD" w14:paraId="2FCE0CBF" w14:textId="77777777" w:rsidTr="0009574E">
        <w:tblPrEx>
          <w:tblLook w:val="04A0" w:firstRow="1" w:lastRow="0" w:firstColumn="1" w:lastColumn="0" w:noHBand="0" w:noVBand="1"/>
        </w:tblPrEx>
        <w:trPr>
          <w:trHeight w:val="170"/>
        </w:trPr>
        <w:tc>
          <w:tcPr>
            <w:tcW w:w="3659" w:type="pct"/>
            <w:noWrap/>
          </w:tcPr>
          <w:p w14:paraId="105319F7" w14:textId="0A638408" w:rsidR="00792EAC" w:rsidRPr="00C114CD" w:rsidRDefault="00792EAC" w:rsidP="009E51C8">
            <w:pPr>
              <w:pStyle w:val="ARGrantstabletext"/>
            </w:pPr>
            <w:r>
              <w:rPr>
                <w:color w:val="000000"/>
              </w:rPr>
              <w:t>Kangaroo Flat Community Group Inc</w:t>
            </w:r>
            <w:r w:rsidR="00EA7A42">
              <w:rPr>
                <w:color w:val="000000"/>
              </w:rPr>
              <w:t>.</w:t>
            </w:r>
          </w:p>
        </w:tc>
        <w:tc>
          <w:tcPr>
            <w:tcW w:w="1341" w:type="pct"/>
            <w:shd w:val="clear" w:color="auto" w:fill="E7E6E6" w:themeFill="background2"/>
            <w:noWrap/>
            <w:vAlign w:val="bottom"/>
          </w:tcPr>
          <w:p w14:paraId="5F17D187" w14:textId="77777777" w:rsidR="00792EAC" w:rsidRPr="00C114CD" w:rsidRDefault="00792EAC" w:rsidP="0009574E">
            <w:pPr>
              <w:pStyle w:val="ARGrantstabletextright"/>
            </w:pPr>
            <w:r>
              <w:rPr>
                <w:color w:val="000000"/>
              </w:rPr>
              <w:t>29,550</w:t>
            </w:r>
          </w:p>
        </w:tc>
      </w:tr>
      <w:tr w:rsidR="00792EAC" w:rsidRPr="00C114CD" w14:paraId="3A2B426A" w14:textId="77777777" w:rsidTr="0009574E">
        <w:tblPrEx>
          <w:tblLook w:val="04A0" w:firstRow="1" w:lastRow="0" w:firstColumn="1" w:lastColumn="0" w:noHBand="0" w:noVBand="1"/>
        </w:tblPrEx>
        <w:trPr>
          <w:trHeight w:val="170"/>
        </w:trPr>
        <w:tc>
          <w:tcPr>
            <w:tcW w:w="3659" w:type="pct"/>
            <w:noWrap/>
          </w:tcPr>
          <w:p w14:paraId="0ECBDA06" w14:textId="058037A0" w:rsidR="00792EAC" w:rsidRPr="00C114CD" w:rsidRDefault="00792EAC" w:rsidP="009E51C8">
            <w:pPr>
              <w:pStyle w:val="ARGrantstabletext"/>
            </w:pPr>
            <w:r>
              <w:rPr>
                <w:color w:val="000000"/>
              </w:rPr>
              <w:t>Kensington Neighbourhood House</w:t>
            </w:r>
          </w:p>
        </w:tc>
        <w:tc>
          <w:tcPr>
            <w:tcW w:w="1341" w:type="pct"/>
            <w:shd w:val="clear" w:color="auto" w:fill="E7E6E6" w:themeFill="background2"/>
            <w:noWrap/>
            <w:vAlign w:val="bottom"/>
          </w:tcPr>
          <w:p w14:paraId="3D77DB77" w14:textId="77777777" w:rsidR="00792EAC" w:rsidRPr="00C114CD" w:rsidRDefault="00792EAC" w:rsidP="0009574E">
            <w:pPr>
              <w:pStyle w:val="ARGrantstabletextright"/>
            </w:pPr>
            <w:r>
              <w:rPr>
                <w:color w:val="000000"/>
              </w:rPr>
              <w:t>16,594</w:t>
            </w:r>
          </w:p>
        </w:tc>
      </w:tr>
      <w:tr w:rsidR="00792EAC" w:rsidRPr="00C114CD" w14:paraId="01A3ADB7" w14:textId="77777777" w:rsidTr="0009574E">
        <w:tblPrEx>
          <w:tblLook w:val="04A0" w:firstRow="1" w:lastRow="0" w:firstColumn="1" w:lastColumn="0" w:noHBand="0" w:noVBand="1"/>
        </w:tblPrEx>
        <w:trPr>
          <w:trHeight w:val="170"/>
        </w:trPr>
        <w:tc>
          <w:tcPr>
            <w:tcW w:w="3659" w:type="pct"/>
            <w:noWrap/>
          </w:tcPr>
          <w:p w14:paraId="289FC2B6" w14:textId="77777777" w:rsidR="00792EAC" w:rsidRPr="00C114CD" w:rsidRDefault="00792EAC" w:rsidP="009E51C8">
            <w:pPr>
              <w:pStyle w:val="ARGrantstabletext"/>
            </w:pPr>
            <w:r>
              <w:rPr>
                <w:color w:val="000000"/>
              </w:rPr>
              <w:t xml:space="preserve">Khalsa </w:t>
            </w:r>
            <w:proofErr w:type="spellStart"/>
            <w:r>
              <w:rPr>
                <w:color w:val="000000"/>
              </w:rPr>
              <w:t>Shaouni</w:t>
            </w:r>
            <w:proofErr w:type="spellEnd"/>
            <w:r>
              <w:rPr>
                <w:color w:val="000000"/>
              </w:rPr>
              <w:t xml:space="preserve"> Inc.</w:t>
            </w:r>
          </w:p>
        </w:tc>
        <w:tc>
          <w:tcPr>
            <w:tcW w:w="1341" w:type="pct"/>
            <w:shd w:val="clear" w:color="auto" w:fill="E7E6E6" w:themeFill="background2"/>
            <w:noWrap/>
            <w:vAlign w:val="bottom"/>
          </w:tcPr>
          <w:p w14:paraId="13FD90AB" w14:textId="77777777" w:rsidR="00792EAC" w:rsidRPr="00C114CD" w:rsidRDefault="00792EAC" w:rsidP="0009574E">
            <w:pPr>
              <w:pStyle w:val="ARGrantstabletextright"/>
            </w:pPr>
            <w:r>
              <w:rPr>
                <w:color w:val="000000"/>
              </w:rPr>
              <w:t>30,375</w:t>
            </w:r>
          </w:p>
        </w:tc>
      </w:tr>
      <w:tr w:rsidR="00792EAC" w:rsidRPr="00C114CD" w14:paraId="76884C7F" w14:textId="77777777" w:rsidTr="0009574E">
        <w:tblPrEx>
          <w:tblLook w:val="04A0" w:firstRow="1" w:lastRow="0" w:firstColumn="1" w:lastColumn="0" w:noHBand="0" w:noVBand="1"/>
        </w:tblPrEx>
        <w:trPr>
          <w:trHeight w:val="170"/>
        </w:trPr>
        <w:tc>
          <w:tcPr>
            <w:tcW w:w="3659" w:type="pct"/>
            <w:noWrap/>
          </w:tcPr>
          <w:p w14:paraId="7F4C04CB" w14:textId="77777777" w:rsidR="00792EAC" w:rsidRPr="00C114CD" w:rsidRDefault="00792EAC" w:rsidP="009E51C8">
            <w:pPr>
              <w:pStyle w:val="ARGrantstabletext"/>
            </w:pPr>
            <w:r>
              <w:rPr>
                <w:color w:val="000000"/>
              </w:rPr>
              <w:t>Kilmore District Men's Shed Inc.</w:t>
            </w:r>
          </w:p>
        </w:tc>
        <w:tc>
          <w:tcPr>
            <w:tcW w:w="1341" w:type="pct"/>
            <w:shd w:val="clear" w:color="auto" w:fill="E7E6E6" w:themeFill="background2"/>
            <w:noWrap/>
            <w:vAlign w:val="bottom"/>
          </w:tcPr>
          <w:p w14:paraId="2260CC3F" w14:textId="77777777" w:rsidR="00792EAC" w:rsidRPr="00C114CD" w:rsidRDefault="00792EAC" w:rsidP="0009574E">
            <w:pPr>
              <w:pStyle w:val="ARGrantstabletextright"/>
            </w:pPr>
            <w:r>
              <w:rPr>
                <w:color w:val="000000"/>
              </w:rPr>
              <w:t>3,581</w:t>
            </w:r>
          </w:p>
        </w:tc>
      </w:tr>
      <w:tr w:rsidR="00792EAC" w:rsidRPr="00C114CD" w14:paraId="1810E644" w14:textId="77777777" w:rsidTr="0009574E">
        <w:tblPrEx>
          <w:tblLook w:val="04A0" w:firstRow="1" w:lastRow="0" w:firstColumn="1" w:lastColumn="0" w:noHBand="0" w:noVBand="1"/>
        </w:tblPrEx>
        <w:trPr>
          <w:trHeight w:val="170"/>
        </w:trPr>
        <w:tc>
          <w:tcPr>
            <w:tcW w:w="3659" w:type="pct"/>
            <w:noWrap/>
          </w:tcPr>
          <w:p w14:paraId="65EBAC81" w14:textId="77777777" w:rsidR="00792EAC" w:rsidRPr="00C114CD" w:rsidRDefault="00792EAC" w:rsidP="009E51C8">
            <w:pPr>
              <w:pStyle w:val="ARGrantstabletext"/>
            </w:pPr>
            <w:r>
              <w:rPr>
                <w:color w:val="000000"/>
              </w:rPr>
              <w:t xml:space="preserve">Kinglake Ranges </w:t>
            </w:r>
            <w:proofErr w:type="spellStart"/>
            <w:r>
              <w:rPr>
                <w:color w:val="000000"/>
              </w:rPr>
              <w:t>Mens</w:t>
            </w:r>
            <w:proofErr w:type="spellEnd"/>
            <w:r>
              <w:rPr>
                <w:color w:val="000000"/>
              </w:rPr>
              <w:t xml:space="preserve"> Shed Inc.</w:t>
            </w:r>
          </w:p>
        </w:tc>
        <w:tc>
          <w:tcPr>
            <w:tcW w:w="1341" w:type="pct"/>
            <w:shd w:val="clear" w:color="auto" w:fill="E7E6E6" w:themeFill="background2"/>
            <w:noWrap/>
            <w:vAlign w:val="bottom"/>
          </w:tcPr>
          <w:p w14:paraId="1D45C12F" w14:textId="77777777" w:rsidR="00792EAC" w:rsidRPr="00C114CD" w:rsidRDefault="00792EAC" w:rsidP="0009574E">
            <w:pPr>
              <w:pStyle w:val="ARGrantstabletextright"/>
            </w:pPr>
            <w:r>
              <w:rPr>
                <w:color w:val="000000"/>
              </w:rPr>
              <w:t>1,236</w:t>
            </w:r>
          </w:p>
        </w:tc>
      </w:tr>
      <w:tr w:rsidR="00792EAC" w:rsidRPr="00C114CD" w14:paraId="62DF7A59" w14:textId="77777777" w:rsidTr="0009574E">
        <w:tblPrEx>
          <w:tblLook w:val="04A0" w:firstRow="1" w:lastRow="0" w:firstColumn="1" w:lastColumn="0" w:noHBand="0" w:noVBand="1"/>
        </w:tblPrEx>
        <w:trPr>
          <w:trHeight w:val="170"/>
        </w:trPr>
        <w:tc>
          <w:tcPr>
            <w:tcW w:w="3659" w:type="pct"/>
            <w:noWrap/>
          </w:tcPr>
          <w:p w14:paraId="5B5E8F66" w14:textId="77777777" w:rsidR="00792EAC" w:rsidRPr="00C114CD" w:rsidRDefault="00792EAC" w:rsidP="009E51C8">
            <w:pPr>
              <w:pStyle w:val="ARGrantstabletext"/>
            </w:pPr>
            <w:r>
              <w:rPr>
                <w:color w:val="000000"/>
              </w:rPr>
              <w:t>Kinglake Ranges Neighbourhood House</w:t>
            </w:r>
          </w:p>
        </w:tc>
        <w:tc>
          <w:tcPr>
            <w:tcW w:w="1341" w:type="pct"/>
            <w:shd w:val="clear" w:color="auto" w:fill="E7E6E6" w:themeFill="background2"/>
            <w:noWrap/>
            <w:vAlign w:val="bottom"/>
          </w:tcPr>
          <w:p w14:paraId="55B02DF2" w14:textId="77777777" w:rsidR="00792EAC" w:rsidRPr="00C114CD" w:rsidRDefault="00792EAC" w:rsidP="0009574E">
            <w:pPr>
              <w:pStyle w:val="ARGrantstabletextright"/>
            </w:pPr>
            <w:r>
              <w:rPr>
                <w:color w:val="000000"/>
              </w:rPr>
              <w:t>20,649</w:t>
            </w:r>
          </w:p>
        </w:tc>
      </w:tr>
      <w:tr w:rsidR="00792EAC" w:rsidRPr="00C114CD" w14:paraId="64B35F1A" w14:textId="77777777" w:rsidTr="0009574E">
        <w:tblPrEx>
          <w:tblLook w:val="04A0" w:firstRow="1" w:lastRow="0" w:firstColumn="1" w:lastColumn="0" w:noHBand="0" w:noVBand="1"/>
        </w:tblPrEx>
        <w:trPr>
          <w:trHeight w:val="170"/>
        </w:trPr>
        <w:tc>
          <w:tcPr>
            <w:tcW w:w="3659" w:type="pct"/>
            <w:noWrap/>
          </w:tcPr>
          <w:p w14:paraId="32659594" w14:textId="70345072" w:rsidR="00792EAC" w:rsidRPr="00C114CD" w:rsidRDefault="00792EAC" w:rsidP="009E51C8">
            <w:pPr>
              <w:pStyle w:val="ARGrantstabletext"/>
            </w:pPr>
            <w:r>
              <w:rPr>
                <w:color w:val="000000"/>
              </w:rPr>
              <w:t>Knox Infolink Inc</w:t>
            </w:r>
            <w:r w:rsidR="00EA7A42">
              <w:rPr>
                <w:color w:val="000000"/>
              </w:rPr>
              <w:t>.</w:t>
            </w:r>
          </w:p>
        </w:tc>
        <w:tc>
          <w:tcPr>
            <w:tcW w:w="1341" w:type="pct"/>
            <w:shd w:val="clear" w:color="auto" w:fill="E7E6E6" w:themeFill="background2"/>
            <w:noWrap/>
            <w:vAlign w:val="bottom"/>
          </w:tcPr>
          <w:p w14:paraId="7E282228" w14:textId="77777777" w:rsidR="00792EAC" w:rsidRPr="00C114CD" w:rsidRDefault="00792EAC" w:rsidP="0009574E">
            <w:pPr>
              <w:pStyle w:val="ARGrantstabletextright"/>
            </w:pPr>
            <w:r>
              <w:rPr>
                <w:color w:val="000000"/>
              </w:rPr>
              <w:t>32,040</w:t>
            </w:r>
          </w:p>
        </w:tc>
      </w:tr>
      <w:tr w:rsidR="00792EAC" w:rsidRPr="00C114CD" w14:paraId="764B7881" w14:textId="77777777" w:rsidTr="0009574E">
        <w:tblPrEx>
          <w:tblLook w:val="04A0" w:firstRow="1" w:lastRow="0" w:firstColumn="1" w:lastColumn="0" w:noHBand="0" w:noVBand="1"/>
        </w:tblPrEx>
        <w:trPr>
          <w:trHeight w:val="170"/>
        </w:trPr>
        <w:tc>
          <w:tcPr>
            <w:tcW w:w="3659" w:type="pct"/>
            <w:noWrap/>
          </w:tcPr>
          <w:p w14:paraId="50544AFA" w14:textId="77777777" w:rsidR="00792EAC" w:rsidRPr="00C114CD" w:rsidRDefault="00792EAC" w:rsidP="009E51C8">
            <w:pPr>
              <w:pStyle w:val="ARGrantstabletext"/>
            </w:pPr>
            <w:r>
              <w:rPr>
                <w:color w:val="000000"/>
              </w:rPr>
              <w:t>Koha Community Café Inc.</w:t>
            </w:r>
          </w:p>
        </w:tc>
        <w:tc>
          <w:tcPr>
            <w:tcW w:w="1341" w:type="pct"/>
            <w:shd w:val="clear" w:color="auto" w:fill="E7E6E6" w:themeFill="background2"/>
            <w:noWrap/>
            <w:vAlign w:val="bottom"/>
          </w:tcPr>
          <w:p w14:paraId="4CCD2D30" w14:textId="77777777" w:rsidR="00792EAC" w:rsidRPr="00C114CD" w:rsidRDefault="00792EAC" w:rsidP="0009574E">
            <w:pPr>
              <w:pStyle w:val="ARGrantstabletextright"/>
            </w:pPr>
            <w:r>
              <w:rPr>
                <w:color w:val="000000"/>
              </w:rPr>
              <w:t>13,400</w:t>
            </w:r>
          </w:p>
        </w:tc>
      </w:tr>
      <w:tr w:rsidR="00792EAC" w:rsidRPr="00C114CD" w14:paraId="00FF3FBD" w14:textId="77777777" w:rsidTr="0009574E">
        <w:tblPrEx>
          <w:tblLook w:val="04A0" w:firstRow="1" w:lastRow="0" w:firstColumn="1" w:lastColumn="0" w:noHBand="0" w:noVBand="1"/>
        </w:tblPrEx>
        <w:trPr>
          <w:trHeight w:val="170"/>
        </w:trPr>
        <w:tc>
          <w:tcPr>
            <w:tcW w:w="3659" w:type="pct"/>
            <w:noWrap/>
          </w:tcPr>
          <w:p w14:paraId="485AE68C" w14:textId="77777777" w:rsidR="00792EAC" w:rsidRPr="00C114CD" w:rsidRDefault="00792EAC" w:rsidP="009E51C8">
            <w:pPr>
              <w:pStyle w:val="ARGrantstabletext"/>
            </w:pPr>
            <w:r>
              <w:rPr>
                <w:color w:val="000000"/>
              </w:rPr>
              <w:t>Kyneton Community House</w:t>
            </w:r>
          </w:p>
        </w:tc>
        <w:tc>
          <w:tcPr>
            <w:tcW w:w="1341" w:type="pct"/>
            <w:shd w:val="clear" w:color="auto" w:fill="E7E6E6" w:themeFill="background2"/>
            <w:noWrap/>
            <w:vAlign w:val="bottom"/>
          </w:tcPr>
          <w:p w14:paraId="624B6219" w14:textId="77777777" w:rsidR="00792EAC" w:rsidRPr="00C114CD" w:rsidRDefault="00792EAC" w:rsidP="0009574E">
            <w:pPr>
              <w:pStyle w:val="ARGrantstabletextright"/>
            </w:pPr>
            <w:r>
              <w:rPr>
                <w:color w:val="000000"/>
              </w:rPr>
              <w:t>29,156</w:t>
            </w:r>
          </w:p>
        </w:tc>
      </w:tr>
      <w:tr w:rsidR="00792EAC" w:rsidRPr="00C114CD" w14:paraId="776F3858" w14:textId="77777777" w:rsidTr="0009574E">
        <w:tblPrEx>
          <w:tblLook w:val="04A0" w:firstRow="1" w:lastRow="0" w:firstColumn="1" w:lastColumn="0" w:noHBand="0" w:noVBand="1"/>
        </w:tblPrEx>
        <w:trPr>
          <w:trHeight w:val="170"/>
        </w:trPr>
        <w:tc>
          <w:tcPr>
            <w:tcW w:w="3659" w:type="pct"/>
            <w:noWrap/>
          </w:tcPr>
          <w:p w14:paraId="5B3CE34A" w14:textId="77777777" w:rsidR="00792EAC" w:rsidRPr="00C114CD" w:rsidRDefault="00792EAC" w:rsidP="009E51C8">
            <w:pPr>
              <w:pStyle w:val="ARGrantstabletext"/>
            </w:pPr>
            <w:r>
              <w:rPr>
                <w:color w:val="000000"/>
              </w:rPr>
              <w:t>Lalor Neighbourhood House</w:t>
            </w:r>
          </w:p>
        </w:tc>
        <w:tc>
          <w:tcPr>
            <w:tcW w:w="1341" w:type="pct"/>
            <w:shd w:val="clear" w:color="auto" w:fill="E7E6E6" w:themeFill="background2"/>
            <w:noWrap/>
            <w:vAlign w:val="bottom"/>
          </w:tcPr>
          <w:p w14:paraId="49E87F7A" w14:textId="77777777" w:rsidR="00792EAC" w:rsidRPr="00C114CD" w:rsidRDefault="00792EAC" w:rsidP="0009574E">
            <w:pPr>
              <w:pStyle w:val="ARGrantstabletextright"/>
            </w:pPr>
            <w:r>
              <w:rPr>
                <w:color w:val="000000"/>
              </w:rPr>
              <w:t>33,750</w:t>
            </w:r>
          </w:p>
        </w:tc>
      </w:tr>
      <w:tr w:rsidR="00792EAC" w:rsidRPr="00C114CD" w14:paraId="5235EA99" w14:textId="77777777" w:rsidTr="0009574E">
        <w:tblPrEx>
          <w:tblLook w:val="04A0" w:firstRow="1" w:lastRow="0" w:firstColumn="1" w:lastColumn="0" w:noHBand="0" w:noVBand="1"/>
        </w:tblPrEx>
        <w:trPr>
          <w:trHeight w:val="170"/>
        </w:trPr>
        <w:tc>
          <w:tcPr>
            <w:tcW w:w="3659" w:type="pct"/>
            <w:noWrap/>
          </w:tcPr>
          <w:p w14:paraId="00D17DAF" w14:textId="77777777" w:rsidR="00792EAC" w:rsidRPr="00C114CD" w:rsidRDefault="00792EAC" w:rsidP="009E51C8">
            <w:pPr>
              <w:pStyle w:val="ARGrantstabletext"/>
            </w:pPr>
            <w:r>
              <w:rPr>
                <w:color w:val="000000"/>
              </w:rPr>
              <w:t>Lancefield Neighbourhood House</w:t>
            </w:r>
          </w:p>
        </w:tc>
        <w:tc>
          <w:tcPr>
            <w:tcW w:w="1341" w:type="pct"/>
            <w:shd w:val="clear" w:color="auto" w:fill="E7E6E6" w:themeFill="background2"/>
            <w:noWrap/>
            <w:vAlign w:val="bottom"/>
          </w:tcPr>
          <w:p w14:paraId="7FCF63D5" w14:textId="77777777" w:rsidR="00792EAC" w:rsidRPr="00C114CD" w:rsidRDefault="00792EAC" w:rsidP="0009574E">
            <w:pPr>
              <w:pStyle w:val="ARGrantstabletextright"/>
            </w:pPr>
            <w:r>
              <w:rPr>
                <w:color w:val="000000"/>
              </w:rPr>
              <w:t>25,000</w:t>
            </w:r>
          </w:p>
        </w:tc>
      </w:tr>
      <w:tr w:rsidR="00792EAC" w:rsidRPr="00C114CD" w14:paraId="7E4F4984" w14:textId="77777777" w:rsidTr="0009574E">
        <w:tblPrEx>
          <w:tblLook w:val="04A0" w:firstRow="1" w:lastRow="0" w:firstColumn="1" w:lastColumn="0" w:noHBand="0" w:noVBand="1"/>
        </w:tblPrEx>
        <w:trPr>
          <w:trHeight w:val="170"/>
        </w:trPr>
        <w:tc>
          <w:tcPr>
            <w:tcW w:w="3659" w:type="pct"/>
            <w:noWrap/>
          </w:tcPr>
          <w:p w14:paraId="7975DD80" w14:textId="77777777" w:rsidR="00792EAC" w:rsidRPr="00C114CD" w:rsidRDefault="00792EAC" w:rsidP="009E51C8">
            <w:pPr>
              <w:pStyle w:val="ARGrantstabletext"/>
            </w:pPr>
            <w:r>
              <w:rPr>
                <w:color w:val="000000"/>
              </w:rPr>
              <w:t>Link Neighbourhood House</w:t>
            </w:r>
          </w:p>
        </w:tc>
        <w:tc>
          <w:tcPr>
            <w:tcW w:w="1341" w:type="pct"/>
            <w:shd w:val="clear" w:color="auto" w:fill="E7E6E6" w:themeFill="background2"/>
            <w:noWrap/>
            <w:vAlign w:val="bottom"/>
          </w:tcPr>
          <w:p w14:paraId="39BF633F" w14:textId="77777777" w:rsidR="00792EAC" w:rsidRPr="00C114CD" w:rsidRDefault="00792EAC" w:rsidP="0009574E">
            <w:pPr>
              <w:pStyle w:val="ARGrantstabletextright"/>
            </w:pPr>
            <w:r>
              <w:rPr>
                <w:color w:val="000000"/>
              </w:rPr>
              <w:t>13,430</w:t>
            </w:r>
          </w:p>
        </w:tc>
      </w:tr>
      <w:tr w:rsidR="00792EAC" w:rsidRPr="00C114CD" w14:paraId="7467290F" w14:textId="77777777" w:rsidTr="0009574E">
        <w:tblPrEx>
          <w:tblLook w:val="04A0" w:firstRow="1" w:lastRow="0" w:firstColumn="1" w:lastColumn="0" w:noHBand="0" w:noVBand="1"/>
        </w:tblPrEx>
        <w:trPr>
          <w:trHeight w:val="170"/>
        </w:trPr>
        <w:tc>
          <w:tcPr>
            <w:tcW w:w="3659" w:type="pct"/>
            <w:noWrap/>
          </w:tcPr>
          <w:p w14:paraId="42C440CB" w14:textId="346928E3" w:rsidR="00792EAC" w:rsidRPr="00C114CD" w:rsidRDefault="00792EAC" w:rsidP="009E51C8">
            <w:pPr>
              <w:pStyle w:val="ARGrantstabletext"/>
            </w:pPr>
            <w:r>
              <w:rPr>
                <w:color w:val="000000"/>
              </w:rPr>
              <w:t xml:space="preserve">Living and </w:t>
            </w:r>
            <w:proofErr w:type="gramStart"/>
            <w:r>
              <w:rPr>
                <w:color w:val="000000"/>
              </w:rPr>
              <w:t>Learning</w:t>
            </w:r>
            <w:proofErr w:type="gramEnd"/>
            <w:r>
              <w:rPr>
                <w:color w:val="000000"/>
              </w:rPr>
              <w:t xml:space="preserve"> at Ajani Inc</w:t>
            </w:r>
            <w:r w:rsidR="00EA7A42">
              <w:rPr>
                <w:color w:val="000000"/>
              </w:rPr>
              <w:t>.</w:t>
            </w:r>
          </w:p>
        </w:tc>
        <w:tc>
          <w:tcPr>
            <w:tcW w:w="1341" w:type="pct"/>
            <w:shd w:val="clear" w:color="auto" w:fill="E7E6E6" w:themeFill="background2"/>
            <w:noWrap/>
            <w:vAlign w:val="bottom"/>
          </w:tcPr>
          <w:p w14:paraId="7DF67EB0" w14:textId="77777777" w:rsidR="00792EAC" w:rsidRPr="00C114CD" w:rsidRDefault="00792EAC" w:rsidP="0009574E">
            <w:pPr>
              <w:pStyle w:val="ARGrantstabletextright"/>
            </w:pPr>
            <w:r>
              <w:rPr>
                <w:color w:val="000000"/>
              </w:rPr>
              <w:t>31,837</w:t>
            </w:r>
          </w:p>
        </w:tc>
      </w:tr>
      <w:tr w:rsidR="00792EAC" w:rsidRPr="00C114CD" w14:paraId="2ED905DD" w14:textId="77777777" w:rsidTr="0009574E">
        <w:tblPrEx>
          <w:tblLook w:val="04A0" w:firstRow="1" w:lastRow="0" w:firstColumn="1" w:lastColumn="0" w:noHBand="0" w:noVBand="1"/>
        </w:tblPrEx>
        <w:trPr>
          <w:trHeight w:val="170"/>
        </w:trPr>
        <w:tc>
          <w:tcPr>
            <w:tcW w:w="3659" w:type="pct"/>
            <w:noWrap/>
          </w:tcPr>
          <w:p w14:paraId="349F1FDB" w14:textId="77777777" w:rsidR="00792EAC" w:rsidRPr="00C114CD" w:rsidRDefault="00792EAC" w:rsidP="009E51C8">
            <w:pPr>
              <w:pStyle w:val="ARGrantstabletext"/>
            </w:pPr>
            <w:r>
              <w:rPr>
                <w:color w:val="000000"/>
              </w:rPr>
              <w:t>Living Learning Pakenham Inc.</w:t>
            </w:r>
          </w:p>
        </w:tc>
        <w:tc>
          <w:tcPr>
            <w:tcW w:w="1341" w:type="pct"/>
            <w:shd w:val="clear" w:color="auto" w:fill="E7E6E6" w:themeFill="background2"/>
            <w:noWrap/>
            <w:vAlign w:val="bottom"/>
          </w:tcPr>
          <w:p w14:paraId="5795F4B1" w14:textId="77777777" w:rsidR="00792EAC" w:rsidRPr="00C114CD" w:rsidRDefault="00792EAC" w:rsidP="0009574E">
            <w:pPr>
              <w:pStyle w:val="ARGrantstabletextright"/>
            </w:pPr>
            <w:r>
              <w:rPr>
                <w:color w:val="000000"/>
              </w:rPr>
              <w:t>21,000</w:t>
            </w:r>
          </w:p>
        </w:tc>
      </w:tr>
      <w:tr w:rsidR="00792EAC" w:rsidRPr="00C114CD" w14:paraId="312DA4F8" w14:textId="77777777" w:rsidTr="0009574E">
        <w:tblPrEx>
          <w:tblLook w:val="04A0" w:firstRow="1" w:lastRow="0" w:firstColumn="1" w:lastColumn="0" w:noHBand="0" w:noVBand="1"/>
        </w:tblPrEx>
        <w:trPr>
          <w:trHeight w:val="170"/>
        </w:trPr>
        <w:tc>
          <w:tcPr>
            <w:tcW w:w="3659" w:type="pct"/>
            <w:noWrap/>
          </w:tcPr>
          <w:p w14:paraId="56C2C7C6" w14:textId="77777777" w:rsidR="00792EAC" w:rsidRPr="00C114CD" w:rsidRDefault="00792EAC" w:rsidP="009E51C8">
            <w:pPr>
              <w:pStyle w:val="ARGrantstabletext"/>
            </w:pPr>
            <w:r>
              <w:rPr>
                <w:color w:val="000000"/>
              </w:rPr>
              <w:t>Maffra Neighbourhood House</w:t>
            </w:r>
          </w:p>
        </w:tc>
        <w:tc>
          <w:tcPr>
            <w:tcW w:w="1341" w:type="pct"/>
            <w:shd w:val="clear" w:color="auto" w:fill="E7E6E6" w:themeFill="background2"/>
            <w:noWrap/>
            <w:vAlign w:val="bottom"/>
          </w:tcPr>
          <w:p w14:paraId="0976E4A1" w14:textId="77777777" w:rsidR="00792EAC" w:rsidRPr="00C114CD" w:rsidRDefault="00792EAC" w:rsidP="0009574E">
            <w:pPr>
              <w:pStyle w:val="ARGrantstabletextright"/>
            </w:pPr>
            <w:r>
              <w:rPr>
                <w:color w:val="000000"/>
              </w:rPr>
              <w:t>13,000</w:t>
            </w:r>
          </w:p>
        </w:tc>
      </w:tr>
      <w:tr w:rsidR="00792EAC" w:rsidRPr="00C114CD" w14:paraId="77F2F350" w14:textId="77777777" w:rsidTr="0009574E">
        <w:tblPrEx>
          <w:tblLook w:val="04A0" w:firstRow="1" w:lastRow="0" w:firstColumn="1" w:lastColumn="0" w:noHBand="0" w:noVBand="1"/>
        </w:tblPrEx>
        <w:trPr>
          <w:trHeight w:val="170"/>
        </w:trPr>
        <w:tc>
          <w:tcPr>
            <w:tcW w:w="3659" w:type="pct"/>
            <w:noWrap/>
          </w:tcPr>
          <w:p w14:paraId="3F1E8593" w14:textId="1F0B51E3" w:rsidR="00792EAC" w:rsidRPr="00C114CD" w:rsidRDefault="00792EAC" w:rsidP="009E51C8">
            <w:pPr>
              <w:pStyle w:val="ARGrantstabletext"/>
            </w:pPr>
            <w:r>
              <w:rPr>
                <w:color w:val="000000"/>
              </w:rPr>
              <w:t>Manna Gum Community House Inc</w:t>
            </w:r>
            <w:r w:rsidR="00EA7A42">
              <w:rPr>
                <w:color w:val="000000"/>
              </w:rPr>
              <w:t>.</w:t>
            </w:r>
          </w:p>
        </w:tc>
        <w:tc>
          <w:tcPr>
            <w:tcW w:w="1341" w:type="pct"/>
            <w:shd w:val="clear" w:color="auto" w:fill="E7E6E6" w:themeFill="background2"/>
            <w:noWrap/>
            <w:vAlign w:val="bottom"/>
          </w:tcPr>
          <w:p w14:paraId="10F73D2F" w14:textId="77777777" w:rsidR="00792EAC" w:rsidRPr="00C114CD" w:rsidRDefault="00792EAC" w:rsidP="0009574E">
            <w:pPr>
              <w:pStyle w:val="ARGrantstabletextright"/>
            </w:pPr>
            <w:r>
              <w:rPr>
                <w:color w:val="000000"/>
              </w:rPr>
              <w:t>30,649</w:t>
            </w:r>
          </w:p>
        </w:tc>
      </w:tr>
      <w:tr w:rsidR="00792EAC" w:rsidRPr="00C114CD" w14:paraId="6DD8F90E" w14:textId="77777777" w:rsidTr="0009574E">
        <w:tblPrEx>
          <w:tblLook w:val="04A0" w:firstRow="1" w:lastRow="0" w:firstColumn="1" w:lastColumn="0" w:noHBand="0" w:noVBand="1"/>
        </w:tblPrEx>
        <w:trPr>
          <w:trHeight w:val="170"/>
        </w:trPr>
        <w:tc>
          <w:tcPr>
            <w:tcW w:w="3659" w:type="pct"/>
            <w:noWrap/>
          </w:tcPr>
          <w:p w14:paraId="3E6D2997" w14:textId="77777777" w:rsidR="00792EAC" w:rsidRPr="00C114CD" w:rsidRDefault="00792EAC" w:rsidP="009E51C8">
            <w:pPr>
              <w:pStyle w:val="ARGrantstabletext"/>
            </w:pPr>
            <w:r>
              <w:rPr>
                <w:color w:val="000000"/>
              </w:rPr>
              <w:t xml:space="preserve">Marrar </w:t>
            </w:r>
            <w:proofErr w:type="spellStart"/>
            <w:r>
              <w:rPr>
                <w:color w:val="000000"/>
              </w:rPr>
              <w:t>Woorn</w:t>
            </w:r>
            <w:proofErr w:type="spellEnd"/>
            <w:r>
              <w:rPr>
                <w:color w:val="000000"/>
              </w:rPr>
              <w:t xml:space="preserve"> Neighbourhood House</w:t>
            </w:r>
          </w:p>
        </w:tc>
        <w:tc>
          <w:tcPr>
            <w:tcW w:w="1341" w:type="pct"/>
            <w:shd w:val="clear" w:color="auto" w:fill="E7E6E6" w:themeFill="background2"/>
            <w:noWrap/>
            <w:vAlign w:val="bottom"/>
          </w:tcPr>
          <w:p w14:paraId="7CE1647D" w14:textId="77777777" w:rsidR="00792EAC" w:rsidRPr="00C114CD" w:rsidRDefault="00792EAC" w:rsidP="0009574E">
            <w:pPr>
              <w:pStyle w:val="ARGrantstabletextright"/>
            </w:pPr>
            <w:r>
              <w:rPr>
                <w:color w:val="000000"/>
              </w:rPr>
              <w:t>19,237</w:t>
            </w:r>
          </w:p>
        </w:tc>
      </w:tr>
      <w:tr w:rsidR="00792EAC" w:rsidRPr="00C114CD" w14:paraId="45D99849" w14:textId="77777777" w:rsidTr="0009574E">
        <w:tblPrEx>
          <w:tblLook w:val="04A0" w:firstRow="1" w:lastRow="0" w:firstColumn="1" w:lastColumn="0" w:noHBand="0" w:noVBand="1"/>
        </w:tblPrEx>
        <w:trPr>
          <w:trHeight w:val="170"/>
        </w:trPr>
        <w:tc>
          <w:tcPr>
            <w:tcW w:w="3659" w:type="pct"/>
            <w:noWrap/>
          </w:tcPr>
          <w:p w14:paraId="37D792C9" w14:textId="22E2B035" w:rsidR="00792EAC" w:rsidRPr="00C114CD" w:rsidRDefault="00792EAC" w:rsidP="009E51C8">
            <w:pPr>
              <w:pStyle w:val="ARGrantstabletext"/>
            </w:pPr>
            <w:proofErr w:type="spellStart"/>
            <w:r>
              <w:rPr>
                <w:color w:val="000000"/>
              </w:rPr>
              <w:t>Mensheds</w:t>
            </w:r>
            <w:proofErr w:type="spellEnd"/>
            <w:r>
              <w:rPr>
                <w:color w:val="000000"/>
              </w:rPr>
              <w:t xml:space="preserve"> Bendigo </w:t>
            </w:r>
            <w:r w:rsidR="00EA7A42">
              <w:rPr>
                <w:color w:val="000000"/>
              </w:rPr>
              <w:t>Inc.</w:t>
            </w:r>
          </w:p>
        </w:tc>
        <w:tc>
          <w:tcPr>
            <w:tcW w:w="1341" w:type="pct"/>
            <w:shd w:val="clear" w:color="auto" w:fill="E7E6E6" w:themeFill="background2"/>
            <w:noWrap/>
            <w:vAlign w:val="bottom"/>
          </w:tcPr>
          <w:p w14:paraId="6426F6DE" w14:textId="77777777" w:rsidR="00792EAC" w:rsidRPr="00C114CD" w:rsidRDefault="00792EAC" w:rsidP="0009574E">
            <w:pPr>
              <w:pStyle w:val="ARGrantstabletextright"/>
            </w:pPr>
            <w:r>
              <w:rPr>
                <w:color w:val="000000"/>
              </w:rPr>
              <w:t>9,866</w:t>
            </w:r>
          </w:p>
        </w:tc>
      </w:tr>
      <w:tr w:rsidR="00792EAC" w:rsidRPr="00C114CD" w14:paraId="5B4D8D44" w14:textId="77777777" w:rsidTr="0009574E">
        <w:tblPrEx>
          <w:tblLook w:val="04A0" w:firstRow="1" w:lastRow="0" w:firstColumn="1" w:lastColumn="0" w:noHBand="0" w:noVBand="1"/>
        </w:tblPrEx>
        <w:trPr>
          <w:trHeight w:val="170"/>
        </w:trPr>
        <w:tc>
          <w:tcPr>
            <w:tcW w:w="3659" w:type="pct"/>
            <w:noWrap/>
          </w:tcPr>
          <w:p w14:paraId="47B4091A" w14:textId="0E6ED0AD" w:rsidR="00792EAC" w:rsidRPr="00C114CD" w:rsidRDefault="00792EAC" w:rsidP="009E51C8">
            <w:pPr>
              <w:pStyle w:val="ARGrantstabletext"/>
            </w:pPr>
            <w:proofErr w:type="spellStart"/>
            <w:r>
              <w:rPr>
                <w:color w:val="000000"/>
              </w:rPr>
              <w:t>Milpara</w:t>
            </w:r>
            <w:proofErr w:type="spellEnd"/>
            <w:r>
              <w:rPr>
                <w:color w:val="000000"/>
              </w:rPr>
              <w:t xml:space="preserve"> Community House Inc</w:t>
            </w:r>
            <w:r w:rsidR="00EA7A42">
              <w:rPr>
                <w:color w:val="000000"/>
              </w:rPr>
              <w:t>.</w:t>
            </w:r>
          </w:p>
        </w:tc>
        <w:tc>
          <w:tcPr>
            <w:tcW w:w="1341" w:type="pct"/>
            <w:shd w:val="clear" w:color="auto" w:fill="E7E6E6" w:themeFill="background2"/>
            <w:noWrap/>
            <w:vAlign w:val="bottom"/>
          </w:tcPr>
          <w:p w14:paraId="60CE0974" w14:textId="77777777" w:rsidR="00792EAC" w:rsidRPr="00C114CD" w:rsidRDefault="00792EAC" w:rsidP="0009574E">
            <w:pPr>
              <w:pStyle w:val="ARGrantstabletextright"/>
            </w:pPr>
            <w:r>
              <w:rPr>
                <w:color w:val="000000"/>
              </w:rPr>
              <w:t>27,927</w:t>
            </w:r>
          </w:p>
        </w:tc>
      </w:tr>
      <w:tr w:rsidR="00792EAC" w:rsidRPr="00C114CD" w14:paraId="5B3939C1" w14:textId="77777777" w:rsidTr="0009574E">
        <w:tblPrEx>
          <w:tblLook w:val="04A0" w:firstRow="1" w:lastRow="0" w:firstColumn="1" w:lastColumn="0" w:noHBand="0" w:noVBand="1"/>
        </w:tblPrEx>
        <w:trPr>
          <w:trHeight w:val="170"/>
        </w:trPr>
        <w:tc>
          <w:tcPr>
            <w:tcW w:w="3659" w:type="pct"/>
            <w:noWrap/>
          </w:tcPr>
          <w:p w14:paraId="493159A5" w14:textId="6D8EB07D" w:rsidR="00792EAC" w:rsidRPr="00C114CD" w:rsidRDefault="00792EAC" w:rsidP="009E51C8">
            <w:pPr>
              <w:pStyle w:val="ARGrantstabletext"/>
            </w:pPr>
            <w:r>
              <w:rPr>
                <w:color w:val="000000"/>
              </w:rPr>
              <w:t xml:space="preserve">Monash </w:t>
            </w:r>
            <w:proofErr w:type="spellStart"/>
            <w:r>
              <w:rPr>
                <w:color w:val="000000"/>
              </w:rPr>
              <w:t>Mens</w:t>
            </w:r>
            <w:proofErr w:type="spellEnd"/>
            <w:r>
              <w:rPr>
                <w:color w:val="000000"/>
              </w:rPr>
              <w:t xml:space="preserve"> Shed </w:t>
            </w:r>
            <w:r w:rsidR="00EA7A42">
              <w:rPr>
                <w:color w:val="000000"/>
              </w:rPr>
              <w:t>Inc.</w:t>
            </w:r>
          </w:p>
        </w:tc>
        <w:tc>
          <w:tcPr>
            <w:tcW w:w="1341" w:type="pct"/>
            <w:shd w:val="clear" w:color="auto" w:fill="E7E6E6" w:themeFill="background2"/>
            <w:noWrap/>
            <w:vAlign w:val="bottom"/>
          </w:tcPr>
          <w:p w14:paraId="0548F705" w14:textId="77777777" w:rsidR="00792EAC" w:rsidRPr="00C114CD" w:rsidRDefault="00792EAC" w:rsidP="0009574E">
            <w:pPr>
              <w:pStyle w:val="ARGrantstabletextright"/>
            </w:pPr>
            <w:r>
              <w:rPr>
                <w:color w:val="000000"/>
              </w:rPr>
              <w:t>8,030</w:t>
            </w:r>
          </w:p>
        </w:tc>
      </w:tr>
      <w:tr w:rsidR="00792EAC" w:rsidRPr="00C114CD" w14:paraId="6EE2AA16" w14:textId="77777777" w:rsidTr="0009574E">
        <w:tblPrEx>
          <w:tblLook w:val="04A0" w:firstRow="1" w:lastRow="0" w:firstColumn="1" w:lastColumn="0" w:noHBand="0" w:noVBand="1"/>
        </w:tblPrEx>
        <w:trPr>
          <w:trHeight w:val="170"/>
        </w:trPr>
        <w:tc>
          <w:tcPr>
            <w:tcW w:w="3659" w:type="pct"/>
            <w:noWrap/>
          </w:tcPr>
          <w:p w14:paraId="3D699122" w14:textId="77777777" w:rsidR="00792EAC" w:rsidRPr="00C114CD" w:rsidRDefault="00792EAC" w:rsidP="009E51C8">
            <w:pPr>
              <w:pStyle w:val="ARGrantstabletext"/>
            </w:pPr>
            <w:r>
              <w:rPr>
                <w:color w:val="000000"/>
              </w:rPr>
              <w:t>Montrose Community Cupboard</w:t>
            </w:r>
          </w:p>
        </w:tc>
        <w:tc>
          <w:tcPr>
            <w:tcW w:w="1341" w:type="pct"/>
            <w:shd w:val="clear" w:color="auto" w:fill="E7E6E6" w:themeFill="background2"/>
            <w:noWrap/>
            <w:vAlign w:val="bottom"/>
          </w:tcPr>
          <w:p w14:paraId="15F18E09" w14:textId="77777777" w:rsidR="00792EAC" w:rsidRPr="00C114CD" w:rsidRDefault="00792EAC" w:rsidP="0009574E">
            <w:pPr>
              <w:pStyle w:val="ARGrantstabletextright"/>
            </w:pPr>
            <w:r>
              <w:rPr>
                <w:color w:val="000000"/>
              </w:rPr>
              <w:t>27,744</w:t>
            </w:r>
          </w:p>
        </w:tc>
      </w:tr>
      <w:tr w:rsidR="00792EAC" w:rsidRPr="00C114CD" w14:paraId="6A635533" w14:textId="77777777" w:rsidTr="0009574E">
        <w:tblPrEx>
          <w:tblLook w:val="04A0" w:firstRow="1" w:lastRow="0" w:firstColumn="1" w:lastColumn="0" w:noHBand="0" w:noVBand="1"/>
        </w:tblPrEx>
        <w:trPr>
          <w:trHeight w:val="170"/>
        </w:trPr>
        <w:tc>
          <w:tcPr>
            <w:tcW w:w="3659" w:type="pct"/>
            <w:noWrap/>
          </w:tcPr>
          <w:p w14:paraId="08A3FE63" w14:textId="77777777" w:rsidR="00792EAC" w:rsidRPr="00C114CD" w:rsidRDefault="00792EAC" w:rsidP="009E51C8">
            <w:pPr>
              <w:pStyle w:val="ARGrantstabletext"/>
            </w:pPr>
            <w:r>
              <w:rPr>
                <w:color w:val="000000"/>
              </w:rPr>
              <w:t>Moonee Valley City Council</w:t>
            </w:r>
          </w:p>
        </w:tc>
        <w:tc>
          <w:tcPr>
            <w:tcW w:w="1341" w:type="pct"/>
            <w:shd w:val="clear" w:color="auto" w:fill="E7E6E6" w:themeFill="background2"/>
            <w:noWrap/>
            <w:vAlign w:val="bottom"/>
          </w:tcPr>
          <w:p w14:paraId="1662E120" w14:textId="77777777" w:rsidR="00792EAC" w:rsidRPr="00C114CD" w:rsidRDefault="00792EAC" w:rsidP="0009574E">
            <w:pPr>
              <w:pStyle w:val="ARGrantstabletextright"/>
            </w:pPr>
            <w:r>
              <w:rPr>
                <w:color w:val="000000"/>
              </w:rPr>
              <w:t>14,699</w:t>
            </w:r>
          </w:p>
        </w:tc>
      </w:tr>
      <w:tr w:rsidR="00792EAC" w:rsidRPr="00C114CD" w14:paraId="035CAC0A" w14:textId="77777777" w:rsidTr="0009574E">
        <w:tblPrEx>
          <w:tblLook w:val="04A0" w:firstRow="1" w:lastRow="0" w:firstColumn="1" w:lastColumn="0" w:noHBand="0" w:noVBand="1"/>
        </w:tblPrEx>
        <w:trPr>
          <w:trHeight w:val="170"/>
        </w:trPr>
        <w:tc>
          <w:tcPr>
            <w:tcW w:w="3659" w:type="pct"/>
            <w:noWrap/>
          </w:tcPr>
          <w:p w14:paraId="7FC877CA" w14:textId="46C33B9D" w:rsidR="00792EAC" w:rsidRPr="00C114CD" w:rsidRDefault="00792EAC" w:rsidP="009E51C8">
            <w:pPr>
              <w:pStyle w:val="ARGrantstabletext"/>
            </w:pPr>
            <w:r>
              <w:rPr>
                <w:color w:val="000000"/>
              </w:rPr>
              <w:t>Mooroopna Education and Activity</w:t>
            </w:r>
            <w:r w:rsidR="0009574E">
              <w:rPr>
                <w:color w:val="000000"/>
              </w:rPr>
              <w:t> </w:t>
            </w:r>
            <w:r>
              <w:rPr>
                <w:color w:val="000000"/>
              </w:rPr>
              <w:t>Centre</w:t>
            </w:r>
          </w:p>
        </w:tc>
        <w:tc>
          <w:tcPr>
            <w:tcW w:w="1341" w:type="pct"/>
            <w:shd w:val="clear" w:color="auto" w:fill="E7E6E6" w:themeFill="background2"/>
            <w:noWrap/>
            <w:vAlign w:val="bottom"/>
          </w:tcPr>
          <w:p w14:paraId="48A880A9" w14:textId="77777777" w:rsidR="00792EAC" w:rsidRPr="00C114CD" w:rsidRDefault="00792EAC" w:rsidP="0009574E">
            <w:pPr>
              <w:pStyle w:val="ARGrantstabletextright"/>
            </w:pPr>
            <w:r>
              <w:rPr>
                <w:color w:val="000000"/>
              </w:rPr>
              <w:t>18,000</w:t>
            </w:r>
          </w:p>
        </w:tc>
      </w:tr>
      <w:tr w:rsidR="00792EAC" w:rsidRPr="00C114CD" w14:paraId="32027A87" w14:textId="77777777" w:rsidTr="0009574E">
        <w:tblPrEx>
          <w:tblLook w:val="04A0" w:firstRow="1" w:lastRow="0" w:firstColumn="1" w:lastColumn="0" w:noHBand="0" w:noVBand="1"/>
        </w:tblPrEx>
        <w:trPr>
          <w:trHeight w:val="170"/>
        </w:trPr>
        <w:tc>
          <w:tcPr>
            <w:tcW w:w="3659" w:type="pct"/>
            <w:noWrap/>
          </w:tcPr>
          <w:p w14:paraId="1540AA8A" w14:textId="16159BB1" w:rsidR="00792EAC" w:rsidRPr="00C114CD" w:rsidRDefault="00792EAC" w:rsidP="009E51C8">
            <w:pPr>
              <w:pStyle w:val="ARGrantstabletext"/>
            </w:pPr>
            <w:r>
              <w:rPr>
                <w:color w:val="000000"/>
              </w:rPr>
              <w:t>Mooroopna Men</w:t>
            </w:r>
            <w:r w:rsidR="00EA7A42">
              <w:rPr>
                <w:color w:val="000000"/>
              </w:rPr>
              <w:t>’</w:t>
            </w:r>
            <w:r>
              <w:rPr>
                <w:color w:val="000000"/>
              </w:rPr>
              <w:t>s Shed</w:t>
            </w:r>
          </w:p>
        </w:tc>
        <w:tc>
          <w:tcPr>
            <w:tcW w:w="1341" w:type="pct"/>
            <w:shd w:val="clear" w:color="auto" w:fill="E7E6E6" w:themeFill="background2"/>
            <w:noWrap/>
            <w:vAlign w:val="bottom"/>
          </w:tcPr>
          <w:p w14:paraId="6CDB3EBB" w14:textId="77777777" w:rsidR="00792EAC" w:rsidRPr="00C114CD" w:rsidRDefault="00792EAC" w:rsidP="0009574E">
            <w:pPr>
              <w:pStyle w:val="ARGrantstabletextright"/>
            </w:pPr>
            <w:r>
              <w:rPr>
                <w:color w:val="000000"/>
              </w:rPr>
              <w:t>3,662</w:t>
            </w:r>
          </w:p>
        </w:tc>
      </w:tr>
      <w:tr w:rsidR="00792EAC" w:rsidRPr="00C114CD" w14:paraId="6B80B0A2" w14:textId="77777777" w:rsidTr="0009574E">
        <w:tblPrEx>
          <w:tblLook w:val="04A0" w:firstRow="1" w:lastRow="0" w:firstColumn="1" w:lastColumn="0" w:noHBand="0" w:noVBand="1"/>
        </w:tblPrEx>
        <w:trPr>
          <w:trHeight w:val="170"/>
        </w:trPr>
        <w:tc>
          <w:tcPr>
            <w:tcW w:w="3659" w:type="pct"/>
            <w:noWrap/>
          </w:tcPr>
          <w:p w14:paraId="24236AC8" w14:textId="77777777" w:rsidR="00792EAC" w:rsidRPr="00C114CD" w:rsidRDefault="00792EAC" w:rsidP="009E51C8">
            <w:pPr>
              <w:pStyle w:val="ARGrantstabletext"/>
            </w:pPr>
            <w:r>
              <w:rPr>
                <w:color w:val="000000"/>
              </w:rPr>
              <w:t>Moriac Community Network</w:t>
            </w:r>
          </w:p>
        </w:tc>
        <w:tc>
          <w:tcPr>
            <w:tcW w:w="1341" w:type="pct"/>
            <w:shd w:val="clear" w:color="auto" w:fill="E7E6E6" w:themeFill="background2"/>
            <w:noWrap/>
            <w:vAlign w:val="bottom"/>
          </w:tcPr>
          <w:p w14:paraId="7DC4370C" w14:textId="77777777" w:rsidR="00792EAC" w:rsidRPr="00C114CD" w:rsidRDefault="00792EAC" w:rsidP="0009574E">
            <w:pPr>
              <w:pStyle w:val="ARGrantstabletextright"/>
            </w:pPr>
            <w:r>
              <w:rPr>
                <w:color w:val="000000"/>
              </w:rPr>
              <w:t>48,221</w:t>
            </w:r>
          </w:p>
        </w:tc>
      </w:tr>
      <w:tr w:rsidR="00792EAC" w:rsidRPr="00C114CD" w14:paraId="445B0D21" w14:textId="77777777" w:rsidTr="0009574E">
        <w:tblPrEx>
          <w:tblLook w:val="04A0" w:firstRow="1" w:lastRow="0" w:firstColumn="1" w:lastColumn="0" w:noHBand="0" w:noVBand="1"/>
        </w:tblPrEx>
        <w:trPr>
          <w:trHeight w:val="170"/>
        </w:trPr>
        <w:tc>
          <w:tcPr>
            <w:tcW w:w="3659" w:type="pct"/>
            <w:noWrap/>
          </w:tcPr>
          <w:p w14:paraId="430518A2" w14:textId="173536C1" w:rsidR="00792EAC" w:rsidRPr="00C114CD" w:rsidRDefault="00792EAC" w:rsidP="009E51C8">
            <w:pPr>
              <w:pStyle w:val="ARGrantstabletext"/>
            </w:pPr>
            <w:r>
              <w:rPr>
                <w:color w:val="000000"/>
              </w:rPr>
              <w:t>Mount Alexander Vintage Engine</w:t>
            </w:r>
            <w:r w:rsidR="0009574E">
              <w:rPr>
                <w:color w:val="000000"/>
              </w:rPr>
              <w:t> </w:t>
            </w:r>
            <w:proofErr w:type="spellStart"/>
            <w:r w:rsidRPr="0009574E">
              <w:t>ClubInc</w:t>
            </w:r>
            <w:proofErr w:type="spellEnd"/>
            <w:r w:rsidR="00EA7A42">
              <w:rPr>
                <w:color w:val="000000"/>
              </w:rPr>
              <w:t>.</w:t>
            </w:r>
          </w:p>
        </w:tc>
        <w:tc>
          <w:tcPr>
            <w:tcW w:w="1341" w:type="pct"/>
            <w:shd w:val="clear" w:color="auto" w:fill="E7E6E6" w:themeFill="background2"/>
            <w:noWrap/>
            <w:vAlign w:val="bottom"/>
          </w:tcPr>
          <w:p w14:paraId="358EDA57" w14:textId="77777777" w:rsidR="00792EAC" w:rsidRPr="00C114CD" w:rsidRDefault="00792EAC" w:rsidP="0009574E">
            <w:pPr>
              <w:pStyle w:val="ARGrantstabletextright"/>
            </w:pPr>
            <w:r>
              <w:rPr>
                <w:color w:val="000000"/>
              </w:rPr>
              <w:t>76,000</w:t>
            </w:r>
          </w:p>
        </w:tc>
      </w:tr>
      <w:tr w:rsidR="00792EAC" w:rsidRPr="00C114CD" w14:paraId="6B94F078" w14:textId="77777777" w:rsidTr="0009574E">
        <w:tblPrEx>
          <w:tblLook w:val="04A0" w:firstRow="1" w:lastRow="0" w:firstColumn="1" w:lastColumn="0" w:noHBand="0" w:noVBand="1"/>
        </w:tblPrEx>
        <w:trPr>
          <w:trHeight w:val="170"/>
        </w:trPr>
        <w:tc>
          <w:tcPr>
            <w:tcW w:w="3659" w:type="pct"/>
            <w:noWrap/>
          </w:tcPr>
          <w:p w14:paraId="74137670" w14:textId="5602A34D" w:rsidR="00792EAC" w:rsidRPr="00C114CD" w:rsidRDefault="00792EAC" w:rsidP="009E51C8">
            <w:pPr>
              <w:pStyle w:val="ARGrantstabletext"/>
            </w:pPr>
            <w:r>
              <w:rPr>
                <w:color w:val="000000"/>
              </w:rPr>
              <w:t>Murchison Men</w:t>
            </w:r>
            <w:r w:rsidR="00EA7A42">
              <w:rPr>
                <w:color w:val="000000"/>
              </w:rPr>
              <w:t>’</w:t>
            </w:r>
            <w:r>
              <w:rPr>
                <w:color w:val="000000"/>
              </w:rPr>
              <w:t>s Shed</w:t>
            </w:r>
          </w:p>
        </w:tc>
        <w:tc>
          <w:tcPr>
            <w:tcW w:w="1341" w:type="pct"/>
            <w:shd w:val="clear" w:color="auto" w:fill="E7E6E6" w:themeFill="background2"/>
            <w:noWrap/>
            <w:vAlign w:val="bottom"/>
          </w:tcPr>
          <w:p w14:paraId="29B3A385" w14:textId="77777777" w:rsidR="00792EAC" w:rsidRPr="00C114CD" w:rsidRDefault="00792EAC" w:rsidP="0009574E">
            <w:pPr>
              <w:pStyle w:val="ARGrantstabletextright"/>
            </w:pPr>
            <w:r>
              <w:rPr>
                <w:color w:val="000000"/>
              </w:rPr>
              <w:t>100,000</w:t>
            </w:r>
          </w:p>
        </w:tc>
      </w:tr>
      <w:tr w:rsidR="00792EAC" w:rsidRPr="00C114CD" w14:paraId="7EFDCF61" w14:textId="77777777" w:rsidTr="0009574E">
        <w:tblPrEx>
          <w:tblLook w:val="04A0" w:firstRow="1" w:lastRow="0" w:firstColumn="1" w:lastColumn="0" w:noHBand="0" w:noVBand="1"/>
        </w:tblPrEx>
        <w:trPr>
          <w:trHeight w:val="170"/>
        </w:trPr>
        <w:tc>
          <w:tcPr>
            <w:tcW w:w="3659" w:type="pct"/>
            <w:noWrap/>
          </w:tcPr>
          <w:p w14:paraId="4BDA0C8D" w14:textId="77777777" w:rsidR="00792EAC" w:rsidRPr="00C114CD" w:rsidRDefault="00792EAC" w:rsidP="009E51C8">
            <w:pPr>
              <w:pStyle w:val="ARGrantstabletext"/>
            </w:pPr>
            <w:r>
              <w:rPr>
                <w:color w:val="000000"/>
              </w:rPr>
              <w:t>Myrtleford Neighbourhood Centre</w:t>
            </w:r>
          </w:p>
        </w:tc>
        <w:tc>
          <w:tcPr>
            <w:tcW w:w="1341" w:type="pct"/>
            <w:shd w:val="clear" w:color="auto" w:fill="E7E6E6" w:themeFill="background2"/>
            <w:noWrap/>
            <w:vAlign w:val="bottom"/>
          </w:tcPr>
          <w:p w14:paraId="072058DD" w14:textId="77777777" w:rsidR="00792EAC" w:rsidRPr="00C114CD" w:rsidRDefault="00792EAC" w:rsidP="0009574E">
            <w:pPr>
              <w:pStyle w:val="ARGrantstabletextright"/>
            </w:pPr>
            <w:r>
              <w:rPr>
                <w:color w:val="000000"/>
              </w:rPr>
              <w:t>27,037</w:t>
            </w:r>
          </w:p>
        </w:tc>
      </w:tr>
      <w:tr w:rsidR="00792EAC" w:rsidRPr="00C114CD" w14:paraId="7DD9E37C" w14:textId="77777777" w:rsidTr="0009574E">
        <w:tblPrEx>
          <w:tblLook w:val="04A0" w:firstRow="1" w:lastRow="0" w:firstColumn="1" w:lastColumn="0" w:noHBand="0" w:noVBand="1"/>
        </w:tblPrEx>
        <w:trPr>
          <w:trHeight w:val="170"/>
        </w:trPr>
        <w:tc>
          <w:tcPr>
            <w:tcW w:w="3659" w:type="pct"/>
            <w:noWrap/>
          </w:tcPr>
          <w:p w14:paraId="6A09A5CF" w14:textId="77777777" w:rsidR="00792EAC" w:rsidRPr="00C114CD" w:rsidRDefault="00792EAC" w:rsidP="009E51C8">
            <w:pPr>
              <w:pStyle w:val="ARGrantstabletext"/>
            </w:pPr>
            <w:proofErr w:type="spellStart"/>
            <w:r>
              <w:rPr>
                <w:color w:val="000000"/>
              </w:rPr>
              <w:t>Nairm</w:t>
            </w:r>
            <w:proofErr w:type="spellEnd"/>
            <w:r>
              <w:rPr>
                <w:color w:val="000000"/>
              </w:rPr>
              <w:t xml:space="preserve"> Marr Djambana</w:t>
            </w:r>
          </w:p>
        </w:tc>
        <w:tc>
          <w:tcPr>
            <w:tcW w:w="1341" w:type="pct"/>
            <w:shd w:val="clear" w:color="auto" w:fill="E7E6E6" w:themeFill="background2"/>
            <w:noWrap/>
            <w:vAlign w:val="bottom"/>
          </w:tcPr>
          <w:p w14:paraId="0F2AF3DB" w14:textId="77777777" w:rsidR="00792EAC" w:rsidRPr="00C114CD" w:rsidRDefault="00792EAC" w:rsidP="0009574E">
            <w:pPr>
              <w:pStyle w:val="ARGrantstabletextright"/>
            </w:pPr>
            <w:r>
              <w:rPr>
                <w:color w:val="000000"/>
              </w:rPr>
              <w:t>32,500</w:t>
            </w:r>
          </w:p>
        </w:tc>
      </w:tr>
      <w:tr w:rsidR="00792EAC" w:rsidRPr="00C114CD" w14:paraId="12912F1E" w14:textId="77777777" w:rsidTr="0009574E">
        <w:tblPrEx>
          <w:tblLook w:val="04A0" w:firstRow="1" w:lastRow="0" w:firstColumn="1" w:lastColumn="0" w:noHBand="0" w:noVBand="1"/>
        </w:tblPrEx>
        <w:trPr>
          <w:trHeight w:val="170"/>
        </w:trPr>
        <w:tc>
          <w:tcPr>
            <w:tcW w:w="3659" w:type="pct"/>
            <w:noWrap/>
          </w:tcPr>
          <w:p w14:paraId="2AF8FE77" w14:textId="72761C0B" w:rsidR="00792EAC" w:rsidRPr="00C114CD" w:rsidRDefault="00792EAC" w:rsidP="009E51C8">
            <w:pPr>
              <w:pStyle w:val="ARGrantstabletext"/>
            </w:pPr>
            <w:proofErr w:type="spellStart"/>
            <w:r>
              <w:rPr>
                <w:color w:val="000000"/>
              </w:rPr>
              <w:t>Nalderun</w:t>
            </w:r>
            <w:proofErr w:type="spellEnd"/>
            <w:r>
              <w:rPr>
                <w:color w:val="000000"/>
              </w:rPr>
              <w:t xml:space="preserve"> Education Aboriginal</w:t>
            </w:r>
            <w:r w:rsidR="0009574E">
              <w:rPr>
                <w:color w:val="000000"/>
              </w:rPr>
              <w:t> </w:t>
            </w:r>
            <w:r>
              <w:rPr>
                <w:color w:val="000000"/>
              </w:rPr>
              <w:t>Corporation</w:t>
            </w:r>
          </w:p>
        </w:tc>
        <w:tc>
          <w:tcPr>
            <w:tcW w:w="1341" w:type="pct"/>
            <w:shd w:val="clear" w:color="auto" w:fill="E7E6E6" w:themeFill="background2"/>
            <w:noWrap/>
            <w:vAlign w:val="bottom"/>
          </w:tcPr>
          <w:p w14:paraId="2D46DCCB" w14:textId="77777777" w:rsidR="00792EAC" w:rsidRPr="00C114CD" w:rsidRDefault="00792EAC" w:rsidP="0009574E">
            <w:pPr>
              <w:pStyle w:val="ARGrantstabletextright"/>
            </w:pPr>
            <w:r>
              <w:rPr>
                <w:color w:val="000000"/>
              </w:rPr>
              <w:t>93,705</w:t>
            </w:r>
          </w:p>
        </w:tc>
      </w:tr>
      <w:tr w:rsidR="00792EAC" w:rsidRPr="00C114CD" w14:paraId="1B8C0CD7" w14:textId="77777777" w:rsidTr="0009574E">
        <w:tblPrEx>
          <w:tblLook w:val="04A0" w:firstRow="1" w:lastRow="0" w:firstColumn="1" w:lastColumn="0" w:noHBand="0" w:noVBand="1"/>
        </w:tblPrEx>
        <w:trPr>
          <w:trHeight w:val="170"/>
        </w:trPr>
        <w:tc>
          <w:tcPr>
            <w:tcW w:w="3659" w:type="pct"/>
            <w:noWrap/>
          </w:tcPr>
          <w:p w14:paraId="66C93D6E" w14:textId="77777777" w:rsidR="00792EAC" w:rsidRPr="00C114CD" w:rsidRDefault="00792EAC" w:rsidP="009E51C8">
            <w:pPr>
              <w:pStyle w:val="ARGrantstabletext"/>
            </w:pPr>
            <w:r>
              <w:rPr>
                <w:color w:val="000000"/>
              </w:rPr>
              <w:t>Nillumbik Community Health Service Ltd</w:t>
            </w:r>
          </w:p>
        </w:tc>
        <w:tc>
          <w:tcPr>
            <w:tcW w:w="1341" w:type="pct"/>
            <w:shd w:val="clear" w:color="auto" w:fill="E7E6E6" w:themeFill="background2"/>
            <w:noWrap/>
            <w:vAlign w:val="bottom"/>
          </w:tcPr>
          <w:p w14:paraId="51469341" w14:textId="77777777" w:rsidR="00792EAC" w:rsidRPr="00C114CD" w:rsidRDefault="00792EAC" w:rsidP="0009574E">
            <w:pPr>
              <w:pStyle w:val="ARGrantstabletextright"/>
            </w:pPr>
            <w:r>
              <w:rPr>
                <w:color w:val="000000"/>
              </w:rPr>
              <w:t>9,903</w:t>
            </w:r>
          </w:p>
        </w:tc>
      </w:tr>
      <w:tr w:rsidR="00792EAC" w:rsidRPr="00C114CD" w14:paraId="618BFACC" w14:textId="77777777" w:rsidTr="0009574E">
        <w:tblPrEx>
          <w:tblLook w:val="04A0" w:firstRow="1" w:lastRow="0" w:firstColumn="1" w:lastColumn="0" w:noHBand="0" w:noVBand="1"/>
        </w:tblPrEx>
        <w:trPr>
          <w:trHeight w:val="170"/>
        </w:trPr>
        <w:tc>
          <w:tcPr>
            <w:tcW w:w="3659" w:type="pct"/>
            <w:noWrap/>
          </w:tcPr>
          <w:p w14:paraId="66D560FB" w14:textId="77777777" w:rsidR="00792EAC" w:rsidRPr="00C114CD" w:rsidRDefault="00792EAC" w:rsidP="009E51C8">
            <w:pPr>
              <w:pStyle w:val="ARGrantstabletext"/>
            </w:pPr>
            <w:r>
              <w:rPr>
                <w:color w:val="000000"/>
              </w:rPr>
              <w:t>Norlane Community Centre</w:t>
            </w:r>
          </w:p>
        </w:tc>
        <w:tc>
          <w:tcPr>
            <w:tcW w:w="1341" w:type="pct"/>
            <w:shd w:val="clear" w:color="auto" w:fill="E7E6E6" w:themeFill="background2"/>
            <w:noWrap/>
            <w:vAlign w:val="bottom"/>
          </w:tcPr>
          <w:p w14:paraId="22F664F6" w14:textId="77777777" w:rsidR="00792EAC" w:rsidRPr="00C114CD" w:rsidRDefault="00792EAC" w:rsidP="0009574E">
            <w:pPr>
              <w:pStyle w:val="ARGrantstabletextright"/>
            </w:pPr>
            <w:r>
              <w:rPr>
                <w:color w:val="000000"/>
              </w:rPr>
              <w:t>36,114</w:t>
            </w:r>
          </w:p>
        </w:tc>
      </w:tr>
      <w:tr w:rsidR="00792EAC" w:rsidRPr="00C114CD" w14:paraId="0D113F3C" w14:textId="77777777" w:rsidTr="0009574E">
        <w:tblPrEx>
          <w:tblLook w:val="04A0" w:firstRow="1" w:lastRow="0" w:firstColumn="1" w:lastColumn="0" w:noHBand="0" w:noVBand="1"/>
        </w:tblPrEx>
        <w:trPr>
          <w:trHeight w:val="170"/>
        </w:trPr>
        <w:tc>
          <w:tcPr>
            <w:tcW w:w="3659" w:type="pct"/>
            <w:noWrap/>
          </w:tcPr>
          <w:p w14:paraId="52213E3F" w14:textId="1CF069CD" w:rsidR="00792EAC" w:rsidRPr="00C114CD" w:rsidRDefault="00792EAC" w:rsidP="009E51C8">
            <w:pPr>
              <w:pStyle w:val="ARGrantstabletext"/>
            </w:pPr>
            <w:r>
              <w:rPr>
                <w:color w:val="000000"/>
              </w:rPr>
              <w:t>North Balwyn Community Men</w:t>
            </w:r>
            <w:r w:rsidR="00EA7A42">
              <w:rPr>
                <w:color w:val="000000"/>
              </w:rPr>
              <w:t>’</w:t>
            </w:r>
            <w:r>
              <w:rPr>
                <w:color w:val="000000"/>
              </w:rPr>
              <w:t>s Shed</w:t>
            </w:r>
            <w:r w:rsidR="0009574E">
              <w:rPr>
                <w:color w:val="000000"/>
              </w:rPr>
              <w:t> </w:t>
            </w:r>
            <w:r w:rsidR="00EA7A42">
              <w:rPr>
                <w:color w:val="000000"/>
              </w:rPr>
              <w:t>Inc.</w:t>
            </w:r>
          </w:p>
        </w:tc>
        <w:tc>
          <w:tcPr>
            <w:tcW w:w="1341" w:type="pct"/>
            <w:shd w:val="clear" w:color="auto" w:fill="E7E6E6" w:themeFill="background2"/>
            <w:noWrap/>
            <w:vAlign w:val="bottom"/>
          </w:tcPr>
          <w:p w14:paraId="605DE46E" w14:textId="77777777" w:rsidR="00792EAC" w:rsidRPr="00C114CD" w:rsidRDefault="00792EAC" w:rsidP="0009574E">
            <w:pPr>
              <w:pStyle w:val="ARGrantstabletextright"/>
            </w:pPr>
            <w:r>
              <w:rPr>
                <w:color w:val="000000"/>
              </w:rPr>
              <w:t>10,000</w:t>
            </w:r>
          </w:p>
        </w:tc>
      </w:tr>
      <w:tr w:rsidR="00792EAC" w:rsidRPr="00C114CD" w14:paraId="3F63CE98" w14:textId="77777777" w:rsidTr="0009574E">
        <w:tblPrEx>
          <w:tblLook w:val="04A0" w:firstRow="1" w:lastRow="0" w:firstColumn="1" w:lastColumn="0" w:noHBand="0" w:noVBand="1"/>
        </w:tblPrEx>
        <w:trPr>
          <w:trHeight w:val="170"/>
        </w:trPr>
        <w:tc>
          <w:tcPr>
            <w:tcW w:w="3659" w:type="pct"/>
            <w:tcBorders>
              <w:bottom w:val="single" w:sz="4" w:space="0" w:color="A6A6A6" w:themeColor="accent5"/>
            </w:tcBorders>
            <w:noWrap/>
          </w:tcPr>
          <w:p w14:paraId="69B38A28" w14:textId="77777777" w:rsidR="00792EAC" w:rsidRPr="00C114CD" w:rsidRDefault="00792EAC" w:rsidP="009E51C8">
            <w:pPr>
              <w:pStyle w:val="ARGrantstabletext"/>
            </w:pPr>
            <w:r>
              <w:rPr>
                <w:color w:val="000000"/>
              </w:rPr>
              <w:t>Notting Hill Neighbourhood House</w:t>
            </w:r>
          </w:p>
        </w:tc>
        <w:tc>
          <w:tcPr>
            <w:tcW w:w="1341" w:type="pct"/>
            <w:tcBorders>
              <w:bottom w:val="single" w:sz="4" w:space="0" w:color="A6A6A6" w:themeColor="accent5"/>
            </w:tcBorders>
            <w:shd w:val="clear" w:color="auto" w:fill="E7E6E6" w:themeFill="background2"/>
            <w:noWrap/>
            <w:vAlign w:val="bottom"/>
          </w:tcPr>
          <w:p w14:paraId="27C80490" w14:textId="77777777" w:rsidR="00792EAC" w:rsidRPr="00C114CD" w:rsidRDefault="00792EAC" w:rsidP="0009574E">
            <w:pPr>
              <w:pStyle w:val="ARGrantstabletextright"/>
            </w:pPr>
            <w:r>
              <w:rPr>
                <w:color w:val="000000"/>
              </w:rPr>
              <w:t>33,750</w:t>
            </w:r>
          </w:p>
        </w:tc>
      </w:tr>
      <w:tr w:rsidR="00792EAC" w:rsidRPr="00C114CD" w14:paraId="79265970" w14:textId="77777777" w:rsidTr="0009574E">
        <w:tblPrEx>
          <w:tblLook w:val="04A0" w:firstRow="1" w:lastRow="0" w:firstColumn="1" w:lastColumn="0" w:noHBand="0" w:noVBand="1"/>
        </w:tblPrEx>
        <w:trPr>
          <w:trHeight w:val="170"/>
        </w:trPr>
        <w:tc>
          <w:tcPr>
            <w:tcW w:w="3659" w:type="pct"/>
            <w:tcBorders>
              <w:top w:val="single" w:sz="4" w:space="0" w:color="A6A6A6" w:themeColor="accent5"/>
              <w:bottom w:val="single" w:sz="4" w:space="0" w:color="A6A6A6" w:themeColor="accent5"/>
            </w:tcBorders>
            <w:noWrap/>
          </w:tcPr>
          <w:p w14:paraId="72F98597" w14:textId="77777777" w:rsidR="00792EAC" w:rsidRPr="00C114CD" w:rsidRDefault="00792EAC" w:rsidP="009E51C8">
            <w:pPr>
              <w:pStyle w:val="ARGrantstabletext"/>
            </w:pPr>
            <w:r>
              <w:rPr>
                <w:color w:val="000000"/>
              </w:rPr>
              <w:t>Nourishing Neighbours</w:t>
            </w:r>
          </w:p>
        </w:tc>
        <w:tc>
          <w:tcPr>
            <w:tcW w:w="1341" w:type="pct"/>
            <w:tcBorders>
              <w:top w:val="single" w:sz="4" w:space="0" w:color="A6A6A6" w:themeColor="accent5"/>
              <w:bottom w:val="single" w:sz="4" w:space="0" w:color="A6A6A6" w:themeColor="accent5"/>
            </w:tcBorders>
            <w:shd w:val="clear" w:color="auto" w:fill="E7E6E6" w:themeFill="background2"/>
            <w:noWrap/>
            <w:vAlign w:val="bottom"/>
          </w:tcPr>
          <w:p w14:paraId="6986F308" w14:textId="77777777" w:rsidR="00792EAC" w:rsidRPr="00C114CD" w:rsidRDefault="00792EAC" w:rsidP="0009574E">
            <w:pPr>
              <w:pStyle w:val="ARGrantstabletextright"/>
            </w:pPr>
            <w:r>
              <w:rPr>
                <w:color w:val="000000"/>
              </w:rPr>
              <w:t>31,998</w:t>
            </w:r>
          </w:p>
        </w:tc>
      </w:tr>
      <w:tr w:rsidR="00792EAC" w:rsidRPr="00C114CD" w14:paraId="1A74A57C" w14:textId="77777777" w:rsidTr="0009574E">
        <w:tblPrEx>
          <w:tblLook w:val="04A0" w:firstRow="1" w:lastRow="0" w:firstColumn="1" w:lastColumn="0" w:noHBand="0" w:noVBand="1"/>
        </w:tblPrEx>
        <w:trPr>
          <w:trHeight w:val="170"/>
        </w:trPr>
        <w:tc>
          <w:tcPr>
            <w:tcW w:w="3659" w:type="pct"/>
            <w:tcBorders>
              <w:top w:val="single" w:sz="4" w:space="0" w:color="A6A6A6" w:themeColor="accent5"/>
            </w:tcBorders>
            <w:noWrap/>
          </w:tcPr>
          <w:p w14:paraId="4F420E3B" w14:textId="77777777" w:rsidR="00792EAC" w:rsidRPr="00C114CD" w:rsidRDefault="00792EAC" w:rsidP="009E51C8">
            <w:pPr>
              <w:pStyle w:val="ARGrantstabletext"/>
            </w:pPr>
            <w:r>
              <w:rPr>
                <w:color w:val="000000"/>
              </w:rPr>
              <w:t>Numurkah Community Learning Centre</w:t>
            </w:r>
          </w:p>
        </w:tc>
        <w:tc>
          <w:tcPr>
            <w:tcW w:w="1341" w:type="pct"/>
            <w:tcBorders>
              <w:top w:val="single" w:sz="4" w:space="0" w:color="A6A6A6" w:themeColor="accent5"/>
            </w:tcBorders>
            <w:shd w:val="clear" w:color="auto" w:fill="E7E6E6" w:themeFill="background2"/>
            <w:noWrap/>
            <w:vAlign w:val="bottom"/>
          </w:tcPr>
          <w:p w14:paraId="3428C0AE" w14:textId="77777777" w:rsidR="00792EAC" w:rsidRPr="00C114CD" w:rsidRDefault="00792EAC" w:rsidP="0009574E">
            <w:pPr>
              <w:pStyle w:val="ARGrantstabletextright"/>
            </w:pPr>
            <w:r>
              <w:rPr>
                <w:color w:val="000000"/>
              </w:rPr>
              <w:t>11,400</w:t>
            </w:r>
          </w:p>
        </w:tc>
      </w:tr>
      <w:tr w:rsidR="00792EAC" w:rsidRPr="00C114CD" w14:paraId="7242205F" w14:textId="77777777" w:rsidTr="0009574E">
        <w:tblPrEx>
          <w:tblLook w:val="04A0" w:firstRow="1" w:lastRow="0" w:firstColumn="1" w:lastColumn="0" w:noHBand="0" w:noVBand="1"/>
        </w:tblPrEx>
        <w:trPr>
          <w:trHeight w:val="170"/>
        </w:trPr>
        <w:tc>
          <w:tcPr>
            <w:tcW w:w="3659" w:type="pct"/>
            <w:noWrap/>
          </w:tcPr>
          <w:p w14:paraId="07FD4A76" w14:textId="77777777" w:rsidR="00792EAC" w:rsidRPr="00C114CD" w:rsidRDefault="00792EAC" w:rsidP="009E51C8">
            <w:pPr>
              <w:pStyle w:val="ARGrantstabletext"/>
            </w:pPr>
            <w:r>
              <w:rPr>
                <w:color w:val="000000"/>
              </w:rPr>
              <w:t>Olympic Village Exodus Community</w:t>
            </w:r>
          </w:p>
        </w:tc>
        <w:tc>
          <w:tcPr>
            <w:tcW w:w="1341" w:type="pct"/>
            <w:shd w:val="clear" w:color="auto" w:fill="E7E6E6" w:themeFill="background2"/>
            <w:noWrap/>
            <w:vAlign w:val="bottom"/>
          </w:tcPr>
          <w:p w14:paraId="1B1E3E20" w14:textId="77777777" w:rsidR="00792EAC" w:rsidRPr="00C114CD" w:rsidRDefault="00792EAC" w:rsidP="0009574E">
            <w:pPr>
              <w:pStyle w:val="ARGrantstabletextright"/>
            </w:pPr>
            <w:r>
              <w:rPr>
                <w:color w:val="000000"/>
              </w:rPr>
              <w:t>16,682</w:t>
            </w:r>
          </w:p>
        </w:tc>
      </w:tr>
      <w:tr w:rsidR="00792EAC" w:rsidRPr="00C114CD" w14:paraId="42696EBB" w14:textId="77777777" w:rsidTr="0009574E">
        <w:tblPrEx>
          <w:tblLook w:val="04A0" w:firstRow="1" w:lastRow="0" w:firstColumn="1" w:lastColumn="0" w:noHBand="0" w:noVBand="1"/>
        </w:tblPrEx>
        <w:trPr>
          <w:trHeight w:val="170"/>
        </w:trPr>
        <w:tc>
          <w:tcPr>
            <w:tcW w:w="3659" w:type="pct"/>
            <w:tcBorders>
              <w:bottom w:val="single" w:sz="4" w:space="0" w:color="A6A6A6" w:themeColor="accent5"/>
            </w:tcBorders>
            <w:noWrap/>
          </w:tcPr>
          <w:p w14:paraId="6DE0D90A" w14:textId="1EA14745" w:rsidR="00792EAC" w:rsidRPr="00C114CD" w:rsidRDefault="00792EAC" w:rsidP="009E51C8">
            <w:pPr>
              <w:pStyle w:val="ARGrantstabletext"/>
            </w:pPr>
            <w:r>
              <w:rPr>
                <w:color w:val="000000"/>
              </w:rPr>
              <w:t>Ouyen District Men</w:t>
            </w:r>
            <w:r w:rsidR="00EA7A42">
              <w:rPr>
                <w:color w:val="000000"/>
              </w:rPr>
              <w:t>’</w:t>
            </w:r>
            <w:r>
              <w:rPr>
                <w:color w:val="000000"/>
              </w:rPr>
              <w:t>s Shed Inc.</w:t>
            </w:r>
          </w:p>
        </w:tc>
        <w:tc>
          <w:tcPr>
            <w:tcW w:w="1341" w:type="pct"/>
            <w:tcBorders>
              <w:bottom w:val="single" w:sz="4" w:space="0" w:color="A6A6A6" w:themeColor="accent5"/>
            </w:tcBorders>
            <w:shd w:val="clear" w:color="auto" w:fill="E7E6E6" w:themeFill="background2"/>
            <w:noWrap/>
            <w:vAlign w:val="bottom"/>
          </w:tcPr>
          <w:p w14:paraId="65F350A3" w14:textId="77777777" w:rsidR="00792EAC" w:rsidRPr="00C114CD" w:rsidRDefault="00792EAC" w:rsidP="0009574E">
            <w:pPr>
              <w:pStyle w:val="ARGrantstabletextright"/>
            </w:pPr>
            <w:r>
              <w:rPr>
                <w:color w:val="000000"/>
              </w:rPr>
              <w:t>26,139</w:t>
            </w:r>
          </w:p>
        </w:tc>
      </w:tr>
      <w:tr w:rsidR="00792EAC" w:rsidRPr="00C114CD" w14:paraId="68FBDEF2" w14:textId="77777777" w:rsidTr="0009574E">
        <w:tblPrEx>
          <w:tblLook w:val="04A0" w:firstRow="1" w:lastRow="0" w:firstColumn="1" w:lastColumn="0" w:noHBand="0" w:noVBand="1"/>
        </w:tblPrEx>
        <w:trPr>
          <w:trHeight w:val="170"/>
        </w:trPr>
        <w:tc>
          <w:tcPr>
            <w:tcW w:w="3659" w:type="pct"/>
            <w:tcBorders>
              <w:top w:val="single" w:sz="4" w:space="0" w:color="A6A6A6" w:themeColor="accent5"/>
              <w:bottom w:val="single" w:sz="4" w:space="0" w:color="A6A6A6" w:themeColor="accent5"/>
            </w:tcBorders>
            <w:noWrap/>
          </w:tcPr>
          <w:p w14:paraId="61C9DCE4" w14:textId="77777777" w:rsidR="00792EAC" w:rsidRPr="00C114CD" w:rsidRDefault="00792EAC" w:rsidP="009E51C8">
            <w:pPr>
              <w:pStyle w:val="ARGrantstabletext"/>
            </w:pPr>
            <w:proofErr w:type="spellStart"/>
            <w:r>
              <w:rPr>
                <w:color w:val="000000"/>
              </w:rPr>
              <w:t>OzHarvest</w:t>
            </w:r>
            <w:proofErr w:type="spellEnd"/>
            <w:r>
              <w:rPr>
                <w:color w:val="000000"/>
              </w:rPr>
              <w:t xml:space="preserve"> Limited</w:t>
            </w:r>
          </w:p>
        </w:tc>
        <w:tc>
          <w:tcPr>
            <w:tcW w:w="1341" w:type="pct"/>
            <w:tcBorders>
              <w:top w:val="single" w:sz="4" w:space="0" w:color="A6A6A6" w:themeColor="accent5"/>
              <w:bottom w:val="single" w:sz="4" w:space="0" w:color="A6A6A6" w:themeColor="accent5"/>
            </w:tcBorders>
            <w:shd w:val="clear" w:color="auto" w:fill="E7E6E6" w:themeFill="background2"/>
            <w:noWrap/>
            <w:vAlign w:val="bottom"/>
          </w:tcPr>
          <w:p w14:paraId="182BF251" w14:textId="77777777" w:rsidR="00792EAC" w:rsidRPr="00C114CD" w:rsidRDefault="00792EAC" w:rsidP="0009574E">
            <w:pPr>
              <w:pStyle w:val="ARGrantstabletextright"/>
            </w:pPr>
            <w:r>
              <w:rPr>
                <w:color w:val="000000"/>
              </w:rPr>
              <w:t>130,000</w:t>
            </w:r>
          </w:p>
        </w:tc>
      </w:tr>
      <w:tr w:rsidR="00792EAC" w:rsidRPr="00C114CD" w14:paraId="0EBB196D" w14:textId="77777777" w:rsidTr="0009574E">
        <w:tblPrEx>
          <w:tblLook w:val="04A0" w:firstRow="1" w:lastRow="0" w:firstColumn="1" w:lastColumn="0" w:noHBand="0" w:noVBand="1"/>
        </w:tblPrEx>
        <w:trPr>
          <w:trHeight w:val="170"/>
        </w:trPr>
        <w:tc>
          <w:tcPr>
            <w:tcW w:w="3659" w:type="pct"/>
            <w:tcBorders>
              <w:top w:val="single" w:sz="4" w:space="0" w:color="A6A6A6" w:themeColor="accent5"/>
            </w:tcBorders>
            <w:noWrap/>
          </w:tcPr>
          <w:p w14:paraId="21A4DBBB" w14:textId="77777777" w:rsidR="00792EAC" w:rsidRPr="00C114CD" w:rsidRDefault="00792EAC" w:rsidP="009E51C8">
            <w:pPr>
              <w:pStyle w:val="ARGrantstabletext"/>
            </w:pPr>
            <w:r>
              <w:rPr>
                <w:color w:val="000000"/>
              </w:rPr>
              <w:t xml:space="preserve">Port Phillip </w:t>
            </w:r>
            <w:proofErr w:type="spellStart"/>
            <w:r>
              <w:rPr>
                <w:color w:val="000000"/>
              </w:rPr>
              <w:t>Mens</w:t>
            </w:r>
            <w:proofErr w:type="spellEnd"/>
            <w:r>
              <w:rPr>
                <w:color w:val="000000"/>
              </w:rPr>
              <w:t xml:space="preserve"> Shed Association</w:t>
            </w:r>
          </w:p>
        </w:tc>
        <w:tc>
          <w:tcPr>
            <w:tcW w:w="1341" w:type="pct"/>
            <w:tcBorders>
              <w:top w:val="single" w:sz="4" w:space="0" w:color="A6A6A6" w:themeColor="accent5"/>
            </w:tcBorders>
            <w:shd w:val="clear" w:color="auto" w:fill="E7E6E6" w:themeFill="background2"/>
            <w:noWrap/>
            <w:vAlign w:val="bottom"/>
          </w:tcPr>
          <w:p w14:paraId="4C8E6B67" w14:textId="77777777" w:rsidR="00792EAC" w:rsidRPr="00C114CD" w:rsidRDefault="00792EAC" w:rsidP="0009574E">
            <w:pPr>
              <w:pStyle w:val="ARGrantstabletextright"/>
            </w:pPr>
            <w:r>
              <w:rPr>
                <w:color w:val="000000"/>
              </w:rPr>
              <w:t>2,940</w:t>
            </w:r>
          </w:p>
        </w:tc>
      </w:tr>
      <w:tr w:rsidR="00792EAC" w:rsidRPr="00C114CD" w14:paraId="10A88CBF" w14:textId="77777777" w:rsidTr="0009574E">
        <w:tblPrEx>
          <w:tblLook w:val="04A0" w:firstRow="1" w:lastRow="0" w:firstColumn="1" w:lastColumn="0" w:noHBand="0" w:noVBand="1"/>
        </w:tblPrEx>
        <w:trPr>
          <w:trHeight w:val="170"/>
        </w:trPr>
        <w:tc>
          <w:tcPr>
            <w:tcW w:w="3659" w:type="pct"/>
            <w:noWrap/>
          </w:tcPr>
          <w:p w14:paraId="3ACB1741" w14:textId="77777777" w:rsidR="00792EAC" w:rsidRPr="00C114CD" w:rsidRDefault="00792EAC" w:rsidP="009E51C8">
            <w:pPr>
              <w:pStyle w:val="ARGrantstabletext"/>
            </w:pPr>
            <w:r>
              <w:rPr>
                <w:color w:val="000000"/>
              </w:rPr>
              <w:t>Prahran Place Ltd</w:t>
            </w:r>
          </w:p>
        </w:tc>
        <w:tc>
          <w:tcPr>
            <w:tcW w:w="1341" w:type="pct"/>
            <w:shd w:val="clear" w:color="auto" w:fill="E7E6E6" w:themeFill="background2"/>
            <w:noWrap/>
            <w:vAlign w:val="bottom"/>
          </w:tcPr>
          <w:p w14:paraId="1C47FC58" w14:textId="77777777" w:rsidR="00792EAC" w:rsidRPr="00C114CD" w:rsidRDefault="00792EAC" w:rsidP="0009574E">
            <w:pPr>
              <w:pStyle w:val="ARGrantstabletextright"/>
            </w:pPr>
            <w:r>
              <w:rPr>
                <w:color w:val="000000"/>
              </w:rPr>
              <w:t>13,094</w:t>
            </w:r>
          </w:p>
        </w:tc>
      </w:tr>
      <w:tr w:rsidR="00792EAC" w:rsidRPr="00C114CD" w14:paraId="7D0CF81B" w14:textId="77777777" w:rsidTr="0009574E">
        <w:tblPrEx>
          <w:tblLook w:val="04A0" w:firstRow="1" w:lastRow="0" w:firstColumn="1" w:lastColumn="0" w:noHBand="0" w:noVBand="1"/>
        </w:tblPrEx>
        <w:trPr>
          <w:trHeight w:val="170"/>
        </w:trPr>
        <w:tc>
          <w:tcPr>
            <w:tcW w:w="3659" w:type="pct"/>
            <w:noWrap/>
          </w:tcPr>
          <w:p w14:paraId="2D2C2785" w14:textId="77777777" w:rsidR="00792EAC" w:rsidRPr="00C114CD" w:rsidRDefault="00792EAC" w:rsidP="009E51C8">
            <w:pPr>
              <w:pStyle w:val="ARGrantstabletext"/>
            </w:pPr>
            <w:r>
              <w:rPr>
                <w:color w:val="000000"/>
              </w:rPr>
              <w:t>Pulse with Purpose Inc.</w:t>
            </w:r>
          </w:p>
        </w:tc>
        <w:tc>
          <w:tcPr>
            <w:tcW w:w="1341" w:type="pct"/>
            <w:shd w:val="clear" w:color="auto" w:fill="E7E6E6" w:themeFill="background2"/>
            <w:noWrap/>
            <w:vAlign w:val="bottom"/>
          </w:tcPr>
          <w:p w14:paraId="11F4F2A2" w14:textId="77777777" w:rsidR="00792EAC" w:rsidRPr="00C114CD" w:rsidRDefault="00792EAC" w:rsidP="0009574E">
            <w:pPr>
              <w:pStyle w:val="ARGrantstabletextright"/>
            </w:pPr>
            <w:r>
              <w:rPr>
                <w:color w:val="000000"/>
              </w:rPr>
              <w:t>15,786</w:t>
            </w:r>
          </w:p>
        </w:tc>
      </w:tr>
      <w:tr w:rsidR="00792EAC" w:rsidRPr="00C114CD" w14:paraId="61C3C696" w14:textId="77777777" w:rsidTr="0009574E">
        <w:tblPrEx>
          <w:tblLook w:val="04A0" w:firstRow="1" w:lastRow="0" w:firstColumn="1" w:lastColumn="0" w:noHBand="0" w:noVBand="1"/>
        </w:tblPrEx>
        <w:trPr>
          <w:trHeight w:val="170"/>
        </w:trPr>
        <w:tc>
          <w:tcPr>
            <w:tcW w:w="3659" w:type="pct"/>
            <w:noWrap/>
          </w:tcPr>
          <w:p w14:paraId="75971A0B" w14:textId="77777777" w:rsidR="00792EAC" w:rsidRPr="00C114CD" w:rsidRDefault="00792EAC" w:rsidP="009E51C8">
            <w:pPr>
              <w:pStyle w:val="ARGrantstabletext"/>
            </w:pPr>
            <w:r>
              <w:rPr>
                <w:color w:val="000000"/>
              </w:rPr>
              <w:t>Pyrenees Shire Council</w:t>
            </w:r>
          </w:p>
        </w:tc>
        <w:tc>
          <w:tcPr>
            <w:tcW w:w="1341" w:type="pct"/>
            <w:shd w:val="clear" w:color="auto" w:fill="E7E6E6" w:themeFill="background2"/>
            <w:noWrap/>
            <w:vAlign w:val="bottom"/>
          </w:tcPr>
          <w:p w14:paraId="40CF0A1D" w14:textId="77777777" w:rsidR="00792EAC" w:rsidRPr="00C114CD" w:rsidRDefault="00792EAC" w:rsidP="0009574E">
            <w:pPr>
              <w:pStyle w:val="ARGrantstabletextright"/>
            </w:pPr>
            <w:r>
              <w:rPr>
                <w:color w:val="000000"/>
              </w:rPr>
              <w:t>100,000</w:t>
            </w:r>
          </w:p>
        </w:tc>
      </w:tr>
      <w:tr w:rsidR="00792EAC" w:rsidRPr="00C114CD" w14:paraId="6931BC2A" w14:textId="77777777" w:rsidTr="0009574E">
        <w:tblPrEx>
          <w:tblLook w:val="04A0" w:firstRow="1" w:lastRow="0" w:firstColumn="1" w:lastColumn="0" w:noHBand="0" w:noVBand="1"/>
        </w:tblPrEx>
        <w:trPr>
          <w:trHeight w:val="170"/>
        </w:trPr>
        <w:tc>
          <w:tcPr>
            <w:tcW w:w="3659" w:type="pct"/>
            <w:noWrap/>
          </w:tcPr>
          <w:p w14:paraId="2EA65058" w14:textId="77777777" w:rsidR="00792EAC" w:rsidRPr="00C114CD" w:rsidRDefault="00792EAC" w:rsidP="009E51C8">
            <w:pPr>
              <w:pStyle w:val="ARGrantstabletext"/>
            </w:pPr>
            <w:r>
              <w:rPr>
                <w:color w:val="000000"/>
              </w:rPr>
              <w:t>Pyrenees Shire Council</w:t>
            </w:r>
          </w:p>
        </w:tc>
        <w:tc>
          <w:tcPr>
            <w:tcW w:w="1341" w:type="pct"/>
            <w:shd w:val="clear" w:color="auto" w:fill="E7E6E6" w:themeFill="background2"/>
            <w:noWrap/>
            <w:vAlign w:val="bottom"/>
          </w:tcPr>
          <w:p w14:paraId="3D65105E" w14:textId="77777777" w:rsidR="00792EAC" w:rsidRPr="00C114CD" w:rsidRDefault="00792EAC" w:rsidP="0009574E">
            <w:pPr>
              <w:pStyle w:val="ARGrantstabletextright"/>
            </w:pPr>
            <w:r>
              <w:rPr>
                <w:color w:val="000000"/>
              </w:rPr>
              <w:t>400,000</w:t>
            </w:r>
          </w:p>
        </w:tc>
      </w:tr>
      <w:tr w:rsidR="00792EAC" w:rsidRPr="00C114CD" w14:paraId="3376A934" w14:textId="77777777" w:rsidTr="0009574E">
        <w:tblPrEx>
          <w:tblLook w:val="04A0" w:firstRow="1" w:lastRow="0" w:firstColumn="1" w:lastColumn="0" w:noHBand="0" w:noVBand="1"/>
        </w:tblPrEx>
        <w:trPr>
          <w:trHeight w:val="170"/>
        </w:trPr>
        <w:tc>
          <w:tcPr>
            <w:tcW w:w="3659" w:type="pct"/>
            <w:noWrap/>
          </w:tcPr>
          <w:p w14:paraId="340C852E" w14:textId="77777777" w:rsidR="00792EAC" w:rsidRPr="00C114CD" w:rsidRDefault="00792EAC" w:rsidP="009E51C8">
            <w:pPr>
              <w:pStyle w:val="ARGrantstabletext"/>
            </w:pPr>
            <w:r>
              <w:rPr>
                <w:color w:val="000000"/>
              </w:rPr>
              <w:t xml:space="preserve">Quantin </w:t>
            </w:r>
            <w:proofErr w:type="spellStart"/>
            <w:r>
              <w:rPr>
                <w:color w:val="000000"/>
              </w:rPr>
              <w:t>Binnah</w:t>
            </w:r>
            <w:proofErr w:type="spellEnd"/>
            <w:r>
              <w:rPr>
                <w:color w:val="000000"/>
              </w:rPr>
              <w:t xml:space="preserve"> Community Centre</w:t>
            </w:r>
          </w:p>
        </w:tc>
        <w:tc>
          <w:tcPr>
            <w:tcW w:w="1341" w:type="pct"/>
            <w:shd w:val="clear" w:color="auto" w:fill="E7E6E6" w:themeFill="background2"/>
            <w:noWrap/>
            <w:vAlign w:val="bottom"/>
          </w:tcPr>
          <w:p w14:paraId="5F5DFB18" w14:textId="77777777" w:rsidR="00792EAC" w:rsidRPr="00C114CD" w:rsidRDefault="00792EAC" w:rsidP="0009574E">
            <w:pPr>
              <w:pStyle w:val="ARGrantstabletextright"/>
            </w:pPr>
            <w:r>
              <w:rPr>
                <w:color w:val="000000"/>
              </w:rPr>
              <w:t>11,942</w:t>
            </w:r>
          </w:p>
        </w:tc>
      </w:tr>
      <w:tr w:rsidR="00792EAC" w:rsidRPr="00C114CD" w14:paraId="32FB1014" w14:textId="77777777" w:rsidTr="0009574E">
        <w:tblPrEx>
          <w:tblLook w:val="04A0" w:firstRow="1" w:lastRow="0" w:firstColumn="1" w:lastColumn="0" w:noHBand="0" w:noVBand="1"/>
        </w:tblPrEx>
        <w:trPr>
          <w:trHeight w:val="170"/>
        </w:trPr>
        <w:tc>
          <w:tcPr>
            <w:tcW w:w="3659" w:type="pct"/>
            <w:noWrap/>
          </w:tcPr>
          <w:p w14:paraId="6A45EF6D" w14:textId="6A2A424E" w:rsidR="00792EAC" w:rsidRPr="00C114CD" w:rsidRDefault="00792EAC" w:rsidP="009E51C8">
            <w:pPr>
              <w:pStyle w:val="ARGrantstabletext"/>
            </w:pPr>
            <w:r>
              <w:rPr>
                <w:color w:val="000000"/>
              </w:rPr>
              <w:t>Regional Food Security Alliance Inc</w:t>
            </w:r>
            <w:r w:rsidR="00EA7A42">
              <w:rPr>
                <w:color w:val="000000"/>
              </w:rPr>
              <w:t>.</w:t>
            </w:r>
          </w:p>
        </w:tc>
        <w:tc>
          <w:tcPr>
            <w:tcW w:w="1341" w:type="pct"/>
            <w:shd w:val="clear" w:color="auto" w:fill="E7E6E6" w:themeFill="background2"/>
            <w:noWrap/>
            <w:vAlign w:val="bottom"/>
          </w:tcPr>
          <w:p w14:paraId="17FF2A00" w14:textId="77777777" w:rsidR="00792EAC" w:rsidRPr="00C114CD" w:rsidRDefault="00792EAC" w:rsidP="0009574E">
            <w:pPr>
              <w:pStyle w:val="ARGrantstabletextright"/>
            </w:pPr>
            <w:r>
              <w:rPr>
                <w:color w:val="000000"/>
              </w:rPr>
              <w:t>130,000</w:t>
            </w:r>
          </w:p>
        </w:tc>
      </w:tr>
      <w:tr w:rsidR="00792EAC" w:rsidRPr="00C114CD" w14:paraId="033C8EF8" w14:textId="77777777" w:rsidTr="0009574E">
        <w:tblPrEx>
          <w:tblLook w:val="04A0" w:firstRow="1" w:lastRow="0" w:firstColumn="1" w:lastColumn="0" w:noHBand="0" w:noVBand="1"/>
        </w:tblPrEx>
        <w:trPr>
          <w:trHeight w:val="170"/>
        </w:trPr>
        <w:tc>
          <w:tcPr>
            <w:tcW w:w="3659" w:type="pct"/>
            <w:noWrap/>
          </w:tcPr>
          <w:p w14:paraId="64A48D14" w14:textId="28392D2E" w:rsidR="00792EAC" w:rsidRPr="00C114CD" w:rsidRDefault="00792EAC" w:rsidP="009E51C8">
            <w:pPr>
              <w:pStyle w:val="ARGrantstabletext"/>
            </w:pPr>
            <w:r>
              <w:rPr>
                <w:color w:val="000000"/>
              </w:rPr>
              <w:t>Reservoir Neighbourhood House Inc</w:t>
            </w:r>
            <w:r w:rsidR="00EA7A42">
              <w:rPr>
                <w:color w:val="000000"/>
              </w:rPr>
              <w:t>.</w:t>
            </w:r>
          </w:p>
        </w:tc>
        <w:tc>
          <w:tcPr>
            <w:tcW w:w="1341" w:type="pct"/>
            <w:shd w:val="clear" w:color="auto" w:fill="E7E6E6" w:themeFill="background2"/>
            <w:noWrap/>
            <w:vAlign w:val="bottom"/>
          </w:tcPr>
          <w:p w14:paraId="17C532DA" w14:textId="77777777" w:rsidR="00792EAC" w:rsidRPr="00C114CD" w:rsidRDefault="00792EAC" w:rsidP="0009574E">
            <w:pPr>
              <w:pStyle w:val="ARGrantstabletextright"/>
            </w:pPr>
            <w:r>
              <w:rPr>
                <w:color w:val="000000"/>
              </w:rPr>
              <w:t>28,882</w:t>
            </w:r>
          </w:p>
        </w:tc>
      </w:tr>
      <w:tr w:rsidR="00792EAC" w:rsidRPr="00C114CD" w14:paraId="7BF0AEFE" w14:textId="77777777" w:rsidTr="0009574E">
        <w:tblPrEx>
          <w:tblLook w:val="04A0" w:firstRow="1" w:lastRow="0" w:firstColumn="1" w:lastColumn="0" w:noHBand="0" w:noVBand="1"/>
        </w:tblPrEx>
        <w:trPr>
          <w:trHeight w:val="170"/>
        </w:trPr>
        <w:tc>
          <w:tcPr>
            <w:tcW w:w="3659" w:type="pct"/>
            <w:noWrap/>
          </w:tcPr>
          <w:p w14:paraId="4545754B" w14:textId="77777777" w:rsidR="00792EAC" w:rsidRPr="00C114CD" w:rsidRDefault="00792EAC" w:rsidP="009E51C8">
            <w:pPr>
              <w:pStyle w:val="ARGrantstabletext"/>
            </w:pPr>
            <w:r>
              <w:rPr>
                <w:color w:val="000000"/>
              </w:rPr>
              <w:t>Rochester Community House</w:t>
            </w:r>
          </w:p>
        </w:tc>
        <w:tc>
          <w:tcPr>
            <w:tcW w:w="1341" w:type="pct"/>
            <w:shd w:val="clear" w:color="auto" w:fill="E7E6E6" w:themeFill="background2"/>
            <w:noWrap/>
            <w:vAlign w:val="bottom"/>
          </w:tcPr>
          <w:p w14:paraId="14B196BE" w14:textId="77777777" w:rsidR="00792EAC" w:rsidRPr="00C114CD" w:rsidRDefault="00792EAC" w:rsidP="0009574E">
            <w:pPr>
              <w:pStyle w:val="ARGrantstabletextright"/>
            </w:pPr>
            <w:r>
              <w:rPr>
                <w:color w:val="000000"/>
              </w:rPr>
              <w:t>39,926</w:t>
            </w:r>
          </w:p>
        </w:tc>
      </w:tr>
      <w:tr w:rsidR="00792EAC" w:rsidRPr="00C114CD" w14:paraId="147D1C03" w14:textId="77777777" w:rsidTr="0009574E">
        <w:tblPrEx>
          <w:tblLook w:val="04A0" w:firstRow="1" w:lastRow="0" w:firstColumn="1" w:lastColumn="0" w:noHBand="0" w:noVBand="1"/>
        </w:tblPrEx>
        <w:trPr>
          <w:trHeight w:val="170"/>
        </w:trPr>
        <w:tc>
          <w:tcPr>
            <w:tcW w:w="3659" w:type="pct"/>
            <w:noWrap/>
          </w:tcPr>
          <w:p w14:paraId="5B763A69" w14:textId="77777777" w:rsidR="00792EAC" w:rsidRPr="00C114CD" w:rsidRDefault="00792EAC" w:rsidP="009E51C8">
            <w:pPr>
              <w:pStyle w:val="ARGrantstabletext"/>
            </w:pPr>
            <w:r>
              <w:rPr>
                <w:color w:val="000000"/>
              </w:rPr>
              <w:t>Rye Community House</w:t>
            </w:r>
          </w:p>
        </w:tc>
        <w:tc>
          <w:tcPr>
            <w:tcW w:w="1341" w:type="pct"/>
            <w:shd w:val="clear" w:color="auto" w:fill="E7E6E6" w:themeFill="background2"/>
            <w:noWrap/>
            <w:vAlign w:val="bottom"/>
          </w:tcPr>
          <w:p w14:paraId="61ABBCF6" w14:textId="77777777" w:rsidR="00792EAC" w:rsidRPr="00C114CD" w:rsidRDefault="00792EAC" w:rsidP="0009574E">
            <w:pPr>
              <w:pStyle w:val="ARGrantstabletextright"/>
            </w:pPr>
            <w:r>
              <w:rPr>
                <w:color w:val="000000"/>
              </w:rPr>
              <w:t>18,000</w:t>
            </w:r>
          </w:p>
        </w:tc>
      </w:tr>
      <w:tr w:rsidR="00792EAC" w:rsidRPr="00C114CD" w14:paraId="4B7A66C0" w14:textId="77777777" w:rsidTr="0009574E">
        <w:tblPrEx>
          <w:tblLook w:val="04A0" w:firstRow="1" w:lastRow="0" w:firstColumn="1" w:lastColumn="0" w:noHBand="0" w:noVBand="1"/>
        </w:tblPrEx>
        <w:trPr>
          <w:trHeight w:val="170"/>
        </w:trPr>
        <w:tc>
          <w:tcPr>
            <w:tcW w:w="3659" w:type="pct"/>
            <w:noWrap/>
          </w:tcPr>
          <w:p w14:paraId="1EA84F1F" w14:textId="77777777" w:rsidR="00792EAC" w:rsidRPr="00C114CD" w:rsidRDefault="00792EAC" w:rsidP="009E51C8">
            <w:pPr>
              <w:pStyle w:val="ARGrantstabletext"/>
            </w:pPr>
            <w:proofErr w:type="spellStart"/>
            <w:r>
              <w:rPr>
                <w:color w:val="000000"/>
              </w:rPr>
              <w:t>SecondBite</w:t>
            </w:r>
            <w:proofErr w:type="spellEnd"/>
          </w:p>
        </w:tc>
        <w:tc>
          <w:tcPr>
            <w:tcW w:w="1341" w:type="pct"/>
            <w:shd w:val="clear" w:color="auto" w:fill="E7E6E6" w:themeFill="background2"/>
            <w:noWrap/>
            <w:vAlign w:val="bottom"/>
          </w:tcPr>
          <w:p w14:paraId="39F01C4C" w14:textId="77777777" w:rsidR="00792EAC" w:rsidRPr="00C114CD" w:rsidRDefault="00792EAC" w:rsidP="0009574E">
            <w:pPr>
              <w:pStyle w:val="ARGrantstabletextright"/>
            </w:pPr>
            <w:r>
              <w:rPr>
                <w:color w:val="000000"/>
              </w:rPr>
              <w:t>250,000</w:t>
            </w:r>
          </w:p>
        </w:tc>
      </w:tr>
      <w:tr w:rsidR="00792EAC" w:rsidRPr="00C114CD" w14:paraId="4900DB8C" w14:textId="77777777" w:rsidTr="0009574E">
        <w:tblPrEx>
          <w:tblLook w:val="04A0" w:firstRow="1" w:lastRow="0" w:firstColumn="1" w:lastColumn="0" w:noHBand="0" w:noVBand="1"/>
        </w:tblPrEx>
        <w:trPr>
          <w:trHeight w:val="170"/>
        </w:trPr>
        <w:tc>
          <w:tcPr>
            <w:tcW w:w="3659" w:type="pct"/>
            <w:noWrap/>
          </w:tcPr>
          <w:p w14:paraId="31C4B71B" w14:textId="46A37CB1" w:rsidR="00792EAC" w:rsidRPr="00C114CD" w:rsidRDefault="00792EAC" w:rsidP="009E51C8">
            <w:pPr>
              <w:pStyle w:val="ARGrantstabletext"/>
            </w:pPr>
            <w:r>
              <w:rPr>
                <w:color w:val="000000"/>
              </w:rPr>
              <w:t>Seymour &amp; District Community House</w:t>
            </w:r>
            <w:r w:rsidR="0009574E">
              <w:rPr>
                <w:color w:val="000000"/>
              </w:rPr>
              <w:t> </w:t>
            </w:r>
            <w:r>
              <w:rPr>
                <w:color w:val="000000"/>
              </w:rPr>
              <w:t>Inc.</w:t>
            </w:r>
          </w:p>
        </w:tc>
        <w:tc>
          <w:tcPr>
            <w:tcW w:w="1341" w:type="pct"/>
            <w:shd w:val="clear" w:color="auto" w:fill="E7E6E6" w:themeFill="background2"/>
            <w:noWrap/>
            <w:vAlign w:val="bottom"/>
          </w:tcPr>
          <w:p w14:paraId="62B15B1A" w14:textId="77777777" w:rsidR="00792EAC" w:rsidRPr="00C114CD" w:rsidRDefault="00792EAC" w:rsidP="0009574E">
            <w:pPr>
              <w:pStyle w:val="ARGrantstabletextright"/>
            </w:pPr>
            <w:r>
              <w:rPr>
                <w:color w:val="000000"/>
              </w:rPr>
              <w:t>31,585</w:t>
            </w:r>
          </w:p>
        </w:tc>
      </w:tr>
      <w:tr w:rsidR="00792EAC" w:rsidRPr="00C114CD" w14:paraId="1E48BEEB" w14:textId="77777777" w:rsidTr="0009574E">
        <w:tblPrEx>
          <w:tblLook w:val="04A0" w:firstRow="1" w:lastRow="0" w:firstColumn="1" w:lastColumn="0" w:noHBand="0" w:noVBand="1"/>
        </w:tblPrEx>
        <w:trPr>
          <w:trHeight w:val="170"/>
        </w:trPr>
        <w:tc>
          <w:tcPr>
            <w:tcW w:w="3659" w:type="pct"/>
            <w:noWrap/>
          </w:tcPr>
          <w:p w14:paraId="40F3614D" w14:textId="2C37DACA" w:rsidR="00792EAC" w:rsidRPr="00C114CD" w:rsidRDefault="00792EAC" w:rsidP="009E51C8">
            <w:pPr>
              <w:pStyle w:val="ARGrantstabletext"/>
            </w:pPr>
            <w:r>
              <w:rPr>
                <w:color w:val="000000"/>
              </w:rPr>
              <w:t xml:space="preserve">Soul food Program </w:t>
            </w:r>
            <w:r w:rsidR="00EA7A42">
              <w:rPr>
                <w:color w:val="000000"/>
              </w:rPr>
              <w:t>Inc.</w:t>
            </w:r>
          </w:p>
        </w:tc>
        <w:tc>
          <w:tcPr>
            <w:tcW w:w="1341" w:type="pct"/>
            <w:shd w:val="clear" w:color="auto" w:fill="E7E6E6" w:themeFill="background2"/>
            <w:noWrap/>
            <w:vAlign w:val="bottom"/>
          </w:tcPr>
          <w:p w14:paraId="53E89FD6" w14:textId="77777777" w:rsidR="00792EAC" w:rsidRPr="00C114CD" w:rsidRDefault="00792EAC" w:rsidP="0009574E">
            <w:pPr>
              <w:pStyle w:val="ARGrantstabletextright"/>
            </w:pPr>
            <w:r>
              <w:rPr>
                <w:color w:val="000000"/>
              </w:rPr>
              <w:t>16,686</w:t>
            </w:r>
          </w:p>
        </w:tc>
      </w:tr>
      <w:tr w:rsidR="00792EAC" w:rsidRPr="00C114CD" w14:paraId="65C858B6" w14:textId="77777777" w:rsidTr="0009574E">
        <w:tblPrEx>
          <w:tblLook w:val="04A0" w:firstRow="1" w:lastRow="0" w:firstColumn="1" w:lastColumn="0" w:noHBand="0" w:noVBand="1"/>
        </w:tblPrEx>
        <w:trPr>
          <w:trHeight w:val="170"/>
        </w:trPr>
        <w:tc>
          <w:tcPr>
            <w:tcW w:w="3659" w:type="pct"/>
            <w:noWrap/>
          </w:tcPr>
          <w:p w14:paraId="67D0FF9B" w14:textId="77777777" w:rsidR="00792EAC" w:rsidRPr="00C114CD" w:rsidRDefault="00792EAC" w:rsidP="009E51C8">
            <w:pPr>
              <w:pStyle w:val="ARGrantstabletext"/>
            </w:pPr>
            <w:proofErr w:type="gramStart"/>
            <w:r>
              <w:rPr>
                <w:color w:val="000000"/>
              </w:rPr>
              <w:t>South East</w:t>
            </w:r>
            <w:proofErr w:type="gramEnd"/>
            <w:r>
              <w:rPr>
                <w:color w:val="000000"/>
              </w:rPr>
              <w:t xml:space="preserve"> Community Links</w:t>
            </w:r>
          </w:p>
        </w:tc>
        <w:tc>
          <w:tcPr>
            <w:tcW w:w="1341" w:type="pct"/>
            <w:shd w:val="clear" w:color="auto" w:fill="E7E6E6" w:themeFill="background2"/>
            <w:noWrap/>
            <w:vAlign w:val="bottom"/>
          </w:tcPr>
          <w:p w14:paraId="57EACD07" w14:textId="77777777" w:rsidR="00792EAC" w:rsidRPr="00C114CD" w:rsidRDefault="00792EAC" w:rsidP="0009574E">
            <w:pPr>
              <w:pStyle w:val="ARGrantstabletextright"/>
            </w:pPr>
            <w:r>
              <w:rPr>
                <w:color w:val="000000"/>
              </w:rPr>
              <w:t>26,250</w:t>
            </w:r>
          </w:p>
        </w:tc>
      </w:tr>
      <w:tr w:rsidR="00792EAC" w:rsidRPr="00C114CD" w14:paraId="6DD9C677" w14:textId="77777777" w:rsidTr="0009574E">
        <w:tblPrEx>
          <w:tblLook w:val="04A0" w:firstRow="1" w:lastRow="0" w:firstColumn="1" w:lastColumn="0" w:noHBand="0" w:noVBand="1"/>
        </w:tblPrEx>
        <w:trPr>
          <w:trHeight w:val="170"/>
        </w:trPr>
        <w:tc>
          <w:tcPr>
            <w:tcW w:w="3659" w:type="pct"/>
            <w:noWrap/>
          </w:tcPr>
          <w:p w14:paraId="52002FC8" w14:textId="77777777" w:rsidR="00792EAC" w:rsidRPr="00C114CD" w:rsidRDefault="00792EAC" w:rsidP="009E51C8">
            <w:pPr>
              <w:pStyle w:val="ARGrantstabletext"/>
            </w:pPr>
            <w:r>
              <w:rPr>
                <w:color w:val="000000"/>
              </w:rPr>
              <w:t>South Shepparton Community House</w:t>
            </w:r>
          </w:p>
        </w:tc>
        <w:tc>
          <w:tcPr>
            <w:tcW w:w="1341" w:type="pct"/>
            <w:shd w:val="clear" w:color="auto" w:fill="E7E6E6" w:themeFill="background2"/>
            <w:noWrap/>
            <w:vAlign w:val="bottom"/>
          </w:tcPr>
          <w:p w14:paraId="6C35FA8C" w14:textId="77777777" w:rsidR="00792EAC" w:rsidRPr="00C114CD" w:rsidRDefault="00792EAC" w:rsidP="0009574E">
            <w:pPr>
              <w:pStyle w:val="ARGrantstabletextright"/>
            </w:pPr>
            <w:r>
              <w:rPr>
                <w:color w:val="000000"/>
              </w:rPr>
              <w:t>20,025</w:t>
            </w:r>
          </w:p>
        </w:tc>
      </w:tr>
      <w:tr w:rsidR="00792EAC" w:rsidRPr="00C114CD" w14:paraId="33E074D5" w14:textId="77777777" w:rsidTr="0009574E">
        <w:tblPrEx>
          <w:tblLook w:val="04A0" w:firstRow="1" w:lastRow="0" w:firstColumn="1" w:lastColumn="0" w:noHBand="0" w:noVBand="1"/>
        </w:tblPrEx>
        <w:trPr>
          <w:trHeight w:val="170"/>
        </w:trPr>
        <w:tc>
          <w:tcPr>
            <w:tcW w:w="3659" w:type="pct"/>
            <w:noWrap/>
          </w:tcPr>
          <w:p w14:paraId="569FBBF0" w14:textId="7D0E4848" w:rsidR="00792EAC" w:rsidRPr="00C114CD" w:rsidRDefault="00792EAC" w:rsidP="009E51C8">
            <w:pPr>
              <w:pStyle w:val="ARGrantstabletext"/>
            </w:pPr>
            <w:r>
              <w:rPr>
                <w:color w:val="000000"/>
              </w:rPr>
              <w:t>Springvale Learning and Activities</w:t>
            </w:r>
            <w:r w:rsidR="0009574E">
              <w:rPr>
                <w:color w:val="000000"/>
              </w:rPr>
              <w:t> </w:t>
            </w:r>
            <w:r>
              <w:rPr>
                <w:color w:val="000000"/>
              </w:rPr>
              <w:t>Centre</w:t>
            </w:r>
          </w:p>
        </w:tc>
        <w:tc>
          <w:tcPr>
            <w:tcW w:w="1341" w:type="pct"/>
            <w:shd w:val="clear" w:color="auto" w:fill="E7E6E6" w:themeFill="background2"/>
            <w:noWrap/>
            <w:vAlign w:val="bottom"/>
          </w:tcPr>
          <w:p w14:paraId="48F9D801" w14:textId="77777777" w:rsidR="00792EAC" w:rsidRPr="00C114CD" w:rsidRDefault="00792EAC" w:rsidP="0009574E">
            <w:pPr>
              <w:pStyle w:val="ARGrantstabletextright"/>
            </w:pPr>
            <w:r>
              <w:rPr>
                <w:color w:val="000000"/>
              </w:rPr>
              <w:t>33,750</w:t>
            </w:r>
          </w:p>
        </w:tc>
      </w:tr>
      <w:tr w:rsidR="00792EAC" w:rsidRPr="00C114CD" w14:paraId="25EA1B7E" w14:textId="77777777" w:rsidTr="0009574E">
        <w:tblPrEx>
          <w:tblLook w:val="04A0" w:firstRow="1" w:lastRow="0" w:firstColumn="1" w:lastColumn="0" w:noHBand="0" w:noVBand="1"/>
        </w:tblPrEx>
        <w:trPr>
          <w:trHeight w:val="170"/>
        </w:trPr>
        <w:tc>
          <w:tcPr>
            <w:tcW w:w="3659" w:type="pct"/>
            <w:noWrap/>
          </w:tcPr>
          <w:p w14:paraId="44EEDA62" w14:textId="77777777" w:rsidR="00792EAC" w:rsidRPr="00C114CD" w:rsidRDefault="00792EAC" w:rsidP="009E51C8">
            <w:pPr>
              <w:pStyle w:val="ARGrantstabletext"/>
            </w:pPr>
            <w:r>
              <w:rPr>
                <w:color w:val="000000"/>
              </w:rPr>
              <w:t>Springvale Neighbourhood House</w:t>
            </w:r>
          </w:p>
        </w:tc>
        <w:tc>
          <w:tcPr>
            <w:tcW w:w="1341" w:type="pct"/>
            <w:shd w:val="clear" w:color="auto" w:fill="E7E6E6" w:themeFill="background2"/>
            <w:noWrap/>
            <w:vAlign w:val="bottom"/>
          </w:tcPr>
          <w:p w14:paraId="1A3CB4A0" w14:textId="77777777" w:rsidR="00792EAC" w:rsidRPr="00C114CD" w:rsidRDefault="00792EAC" w:rsidP="0009574E">
            <w:pPr>
              <w:pStyle w:val="ARGrantstabletextright"/>
            </w:pPr>
            <w:r>
              <w:rPr>
                <w:color w:val="000000"/>
              </w:rPr>
              <w:t>10,000</w:t>
            </w:r>
          </w:p>
        </w:tc>
      </w:tr>
      <w:tr w:rsidR="00792EAC" w:rsidRPr="00C114CD" w14:paraId="5EC73E5F" w14:textId="77777777" w:rsidTr="0009574E">
        <w:tblPrEx>
          <w:tblLook w:val="04A0" w:firstRow="1" w:lastRow="0" w:firstColumn="1" w:lastColumn="0" w:noHBand="0" w:noVBand="1"/>
        </w:tblPrEx>
        <w:trPr>
          <w:trHeight w:val="170"/>
        </w:trPr>
        <w:tc>
          <w:tcPr>
            <w:tcW w:w="3659" w:type="pct"/>
            <w:noWrap/>
          </w:tcPr>
          <w:p w14:paraId="212D818C" w14:textId="75D13E1D" w:rsidR="00792EAC" w:rsidRPr="00C114CD" w:rsidRDefault="00792EAC" w:rsidP="009E51C8">
            <w:pPr>
              <w:pStyle w:val="ARGrantstabletext"/>
            </w:pPr>
            <w:r>
              <w:rPr>
                <w:color w:val="000000"/>
              </w:rPr>
              <w:t>St Arnaud Neighbourhood House Inc</w:t>
            </w:r>
            <w:r w:rsidR="00EA7A42">
              <w:rPr>
                <w:color w:val="000000"/>
              </w:rPr>
              <w:t>.</w:t>
            </w:r>
          </w:p>
        </w:tc>
        <w:tc>
          <w:tcPr>
            <w:tcW w:w="1341" w:type="pct"/>
            <w:shd w:val="clear" w:color="auto" w:fill="E7E6E6" w:themeFill="background2"/>
            <w:noWrap/>
            <w:vAlign w:val="bottom"/>
          </w:tcPr>
          <w:p w14:paraId="69CFAA5A" w14:textId="77777777" w:rsidR="00792EAC" w:rsidRPr="00C114CD" w:rsidRDefault="00792EAC" w:rsidP="0009574E">
            <w:pPr>
              <w:pStyle w:val="ARGrantstabletextright"/>
            </w:pPr>
            <w:r>
              <w:rPr>
                <w:color w:val="000000"/>
              </w:rPr>
              <w:t>30,075</w:t>
            </w:r>
          </w:p>
        </w:tc>
      </w:tr>
      <w:tr w:rsidR="00792EAC" w:rsidRPr="00C114CD" w14:paraId="61B0F4AC" w14:textId="77777777" w:rsidTr="0009574E">
        <w:tblPrEx>
          <w:tblLook w:val="04A0" w:firstRow="1" w:lastRow="0" w:firstColumn="1" w:lastColumn="0" w:noHBand="0" w:noVBand="1"/>
        </w:tblPrEx>
        <w:trPr>
          <w:trHeight w:val="170"/>
        </w:trPr>
        <w:tc>
          <w:tcPr>
            <w:tcW w:w="3659" w:type="pct"/>
            <w:noWrap/>
          </w:tcPr>
          <w:p w14:paraId="1CB0B022" w14:textId="77777777" w:rsidR="00792EAC" w:rsidRPr="00C114CD" w:rsidRDefault="00792EAC" w:rsidP="009E51C8">
            <w:pPr>
              <w:pStyle w:val="ARGrantstabletext"/>
            </w:pPr>
            <w:r>
              <w:rPr>
                <w:color w:val="000000"/>
              </w:rPr>
              <w:t>Sunbury Aboriginal Corporation</w:t>
            </w:r>
          </w:p>
        </w:tc>
        <w:tc>
          <w:tcPr>
            <w:tcW w:w="1341" w:type="pct"/>
            <w:shd w:val="clear" w:color="auto" w:fill="E7E6E6" w:themeFill="background2"/>
            <w:noWrap/>
            <w:vAlign w:val="bottom"/>
          </w:tcPr>
          <w:p w14:paraId="4161D83A" w14:textId="77777777" w:rsidR="00792EAC" w:rsidRPr="00C114CD" w:rsidRDefault="00792EAC" w:rsidP="0009574E">
            <w:pPr>
              <w:pStyle w:val="ARGrantstabletextright"/>
            </w:pPr>
            <w:r>
              <w:rPr>
                <w:color w:val="000000"/>
              </w:rPr>
              <w:t>37,500</w:t>
            </w:r>
          </w:p>
        </w:tc>
      </w:tr>
      <w:tr w:rsidR="00792EAC" w:rsidRPr="00C114CD" w14:paraId="684FCBA0" w14:textId="77777777" w:rsidTr="0009574E">
        <w:tblPrEx>
          <w:tblLook w:val="04A0" w:firstRow="1" w:lastRow="0" w:firstColumn="1" w:lastColumn="0" w:noHBand="0" w:noVBand="1"/>
        </w:tblPrEx>
        <w:trPr>
          <w:trHeight w:val="170"/>
        </w:trPr>
        <w:tc>
          <w:tcPr>
            <w:tcW w:w="3659" w:type="pct"/>
            <w:noWrap/>
          </w:tcPr>
          <w:p w14:paraId="5CA74EE3" w14:textId="6C0E5CB4" w:rsidR="00792EAC" w:rsidRPr="00C114CD" w:rsidRDefault="00792EAC" w:rsidP="009E51C8">
            <w:pPr>
              <w:pStyle w:val="ARGrantstabletext"/>
            </w:pPr>
            <w:r>
              <w:rPr>
                <w:color w:val="000000"/>
              </w:rPr>
              <w:t>Sunraysia Mallee Ethnic Communities</w:t>
            </w:r>
            <w:r w:rsidR="0009574E">
              <w:rPr>
                <w:color w:val="000000"/>
              </w:rPr>
              <w:t> </w:t>
            </w:r>
            <w:r>
              <w:rPr>
                <w:color w:val="000000"/>
              </w:rPr>
              <w:t>Council</w:t>
            </w:r>
          </w:p>
        </w:tc>
        <w:tc>
          <w:tcPr>
            <w:tcW w:w="1341" w:type="pct"/>
            <w:shd w:val="clear" w:color="auto" w:fill="E7E6E6" w:themeFill="background2"/>
            <w:noWrap/>
            <w:vAlign w:val="bottom"/>
          </w:tcPr>
          <w:p w14:paraId="198A4398" w14:textId="77777777" w:rsidR="00792EAC" w:rsidRPr="00C114CD" w:rsidRDefault="00792EAC" w:rsidP="0009574E">
            <w:pPr>
              <w:pStyle w:val="ARGrantstabletextright"/>
            </w:pPr>
            <w:r>
              <w:rPr>
                <w:color w:val="000000"/>
              </w:rPr>
              <w:t>24,375</w:t>
            </w:r>
          </w:p>
        </w:tc>
      </w:tr>
      <w:tr w:rsidR="00792EAC" w:rsidRPr="00C114CD" w14:paraId="5E2003A7" w14:textId="77777777" w:rsidTr="0009574E">
        <w:tblPrEx>
          <w:tblLook w:val="04A0" w:firstRow="1" w:lastRow="0" w:firstColumn="1" w:lastColumn="0" w:noHBand="0" w:noVBand="1"/>
        </w:tblPrEx>
        <w:trPr>
          <w:trHeight w:val="170"/>
        </w:trPr>
        <w:tc>
          <w:tcPr>
            <w:tcW w:w="3659" w:type="pct"/>
            <w:noWrap/>
          </w:tcPr>
          <w:p w14:paraId="584395CF" w14:textId="77777777" w:rsidR="00792EAC" w:rsidRPr="00C114CD" w:rsidRDefault="00792EAC" w:rsidP="009E51C8">
            <w:pPr>
              <w:pStyle w:val="ARGrantstabletext"/>
            </w:pPr>
            <w:r>
              <w:rPr>
                <w:color w:val="000000"/>
              </w:rPr>
              <w:t>Sustain: The Australian Food Network</w:t>
            </w:r>
          </w:p>
        </w:tc>
        <w:tc>
          <w:tcPr>
            <w:tcW w:w="1341" w:type="pct"/>
            <w:shd w:val="clear" w:color="auto" w:fill="E7E6E6" w:themeFill="background2"/>
            <w:noWrap/>
            <w:vAlign w:val="bottom"/>
          </w:tcPr>
          <w:p w14:paraId="33D71A7D" w14:textId="77777777" w:rsidR="00792EAC" w:rsidRPr="00C114CD" w:rsidRDefault="00792EAC" w:rsidP="0009574E">
            <w:pPr>
              <w:pStyle w:val="ARGrantstabletextright"/>
            </w:pPr>
            <w:r>
              <w:rPr>
                <w:color w:val="000000"/>
              </w:rPr>
              <w:t>43,125</w:t>
            </w:r>
          </w:p>
        </w:tc>
      </w:tr>
      <w:tr w:rsidR="00792EAC" w:rsidRPr="00C114CD" w14:paraId="0DE8561F" w14:textId="77777777" w:rsidTr="0009574E">
        <w:tblPrEx>
          <w:tblLook w:val="04A0" w:firstRow="1" w:lastRow="0" w:firstColumn="1" w:lastColumn="0" w:noHBand="0" w:noVBand="1"/>
        </w:tblPrEx>
        <w:trPr>
          <w:trHeight w:val="170"/>
        </w:trPr>
        <w:tc>
          <w:tcPr>
            <w:tcW w:w="3659" w:type="pct"/>
            <w:noWrap/>
          </w:tcPr>
          <w:p w14:paraId="0D38FA22" w14:textId="18733820" w:rsidR="00792EAC" w:rsidRPr="00C114CD" w:rsidRDefault="00792EAC" w:rsidP="009E51C8">
            <w:pPr>
              <w:pStyle w:val="ARGrantstabletext"/>
            </w:pPr>
            <w:r>
              <w:rPr>
                <w:color w:val="000000"/>
              </w:rPr>
              <w:t>Sustainable King Valley Inc</w:t>
            </w:r>
            <w:r w:rsidR="00EA7A42">
              <w:rPr>
                <w:color w:val="000000"/>
              </w:rPr>
              <w:t>.</w:t>
            </w:r>
          </w:p>
        </w:tc>
        <w:tc>
          <w:tcPr>
            <w:tcW w:w="1341" w:type="pct"/>
            <w:shd w:val="clear" w:color="auto" w:fill="E7E6E6" w:themeFill="background2"/>
            <w:noWrap/>
            <w:vAlign w:val="bottom"/>
          </w:tcPr>
          <w:p w14:paraId="5DE0A35F" w14:textId="77777777" w:rsidR="00792EAC" w:rsidRPr="00C114CD" w:rsidRDefault="00792EAC" w:rsidP="0009574E">
            <w:pPr>
              <w:pStyle w:val="ARGrantstabletextright"/>
            </w:pPr>
            <w:r>
              <w:rPr>
                <w:color w:val="000000"/>
              </w:rPr>
              <w:t>44,815</w:t>
            </w:r>
          </w:p>
        </w:tc>
      </w:tr>
      <w:tr w:rsidR="00792EAC" w:rsidRPr="00C114CD" w14:paraId="1333B616" w14:textId="77777777" w:rsidTr="0009574E">
        <w:tblPrEx>
          <w:tblLook w:val="04A0" w:firstRow="1" w:lastRow="0" w:firstColumn="1" w:lastColumn="0" w:noHBand="0" w:noVBand="1"/>
        </w:tblPrEx>
        <w:trPr>
          <w:trHeight w:val="170"/>
        </w:trPr>
        <w:tc>
          <w:tcPr>
            <w:tcW w:w="3659" w:type="pct"/>
            <w:noWrap/>
          </w:tcPr>
          <w:p w14:paraId="253C983D" w14:textId="7748CA5B" w:rsidR="00792EAC" w:rsidRPr="00C114CD" w:rsidRDefault="00792EAC" w:rsidP="009E51C8">
            <w:pPr>
              <w:pStyle w:val="ARGrantstabletext"/>
            </w:pPr>
            <w:r>
              <w:rPr>
                <w:color w:val="000000"/>
              </w:rPr>
              <w:t>Tangambalanga Kiewa Men</w:t>
            </w:r>
            <w:r w:rsidR="00EA7A42">
              <w:rPr>
                <w:color w:val="000000"/>
              </w:rPr>
              <w:t>’</w:t>
            </w:r>
            <w:r>
              <w:rPr>
                <w:color w:val="000000"/>
              </w:rPr>
              <w:t>s Shed Inc.</w:t>
            </w:r>
          </w:p>
        </w:tc>
        <w:tc>
          <w:tcPr>
            <w:tcW w:w="1341" w:type="pct"/>
            <w:shd w:val="clear" w:color="auto" w:fill="E7E6E6" w:themeFill="background2"/>
            <w:noWrap/>
            <w:vAlign w:val="bottom"/>
          </w:tcPr>
          <w:p w14:paraId="20A91FBF" w14:textId="77777777" w:rsidR="00792EAC" w:rsidRPr="00C114CD" w:rsidRDefault="00792EAC" w:rsidP="0009574E">
            <w:pPr>
              <w:pStyle w:val="ARGrantstabletextright"/>
            </w:pPr>
            <w:r>
              <w:rPr>
                <w:color w:val="000000"/>
              </w:rPr>
              <w:t>80,000</w:t>
            </w:r>
          </w:p>
        </w:tc>
      </w:tr>
      <w:tr w:rsidR="00792EAC" w:rsidRPr="00C114CD" w14:paraId="6E99881B" w14:textId="77777777" w:rsidTr="0009574E">
        <w:tblPrEx>
          <w:tblLook w:val="04A0" w:firstRow="1" w:lastRow="0" w:firstColumn="1" w:lastColumn="0" w:noHBand="0" w:noVBand="1"/>
        </w:tblPrEx>
        <w:trPr>
          <w:trHeight w:val="170"/>
        </w:trPr>
        <w:tc>
          <w:tcPr>
            <w:tcW w:w="3659" w:type="pct"/>
            <w:noWrap/>
          </w:tcPr>
          <w:p w14:paraId="41DD1959" w14:textId="77777777" w:rsidR="00792EAC" w:rsidRPr="00C114CD" w:rsidRDefault="00792EAC" w:rsidP="009E51C8">
            <w:pPr>
              <w:pStyle w:val="ARGrantstabletext"/>
            </w:pPr>
            <w:r>
              <w:rPr>
                <w:color w:val="000000"/>
              </w:rPr>
              <w:t>The Earth Village Community Ltd</w:t>
            </w:r>
          </w:p>
        </w:tc>
        <w:tc>
          <w:tcPr>
            <w:tcW w:w="1341" w:type="pct"/>
            <w:shd w:val="clear" w:color="auto" w:fill="E7E6E6" w:themeFill="background2"/>
            <w:noWrap/>
            <w:vAlign w:val="bottom"/>
          </w:tcPr>
          <w:p w14:paraId="5A223D61" w14:textId="77777777" w:rsidR="00792EAC" w:rsidRPr="00C114CD" w:rsidRDefault="00792EAC" w:rsidP="0009574E">
            <w:pPr>
              <w:pStyle w:val="ARGrantstabletextright"/>
            </w:pPr>
            <w:r>
              <w:rPr>
                <w:color w:val="000000"/>
              </w:rPr>
              <w:t>36,114</w:t>
            </w:r>
          </w:p>
        </w:tc>
      </w:tr>
      <w:tr w:rsidR="00792EAC" w:rsidRPr="00C114CD" w14:paraId="2A4EDD1E" w14:textId="77777777" w:rsidTr="0009574E">
        <w:tblPrEx>
          <w:tblLook w:val="04A0" w:firstRow="1" w:lastRow="0" w:firstColumn="1" w:lastColumn="0" w:noHBand="0" w:noVBand="1"/>
        </w:tblPrEx>
        <w:trPr>
          <w:trHeight w:val="170"/>
        </w:trPr>
        <w:tc>
          <w:tcPr>
            <w:tcW w:w="3659" w:type="pct"/>
            <w:noWrap/>
          </w:tcPr>
          <w:p w14:paraId="130753CB" w14:textId="77777777" w:rsidR="00792EAC" w:rsidRPr="00C114CD" w:rsidRDefault="00792EAC" w:rsidP="009E51C8">
            <w:pPr>
              <w:pStyle w:val="ARGrantstabletext"/>
            </w:pPr>
            <w:r>
              <w:rPr>
                <w:color w:val="000000"/>
              </w:rPr>
              <w:t>The Give Where You Live Inc.</w:t>
            </w:r>
          </w:p>
        </w:tc>
        <w:tc>
          <w:tcPr>
            <w:tcW w:w="1341" w:type="pct"/>
            <w:shd w:val="clear" w:color="auto" w:fill="E7E6E6" w:themeFill="background2"/>
            <w:noWrap/>
            <w:vAlign w:val="bottom"/>
          </w:tcPr>
          <w:p w14:paraId="1B266073" w14:textId="77777777" w:rsidR="00792EAC" w:rsidRPr="00C114CD" w:rsidRDefault="00792EAC" w:rsidP="0009574E">
            <w:pPr>
              <w:pStyle w:val="ARGrantstabletextright"/>
            </w:pPr>
            <w:r>
              <w:rPr>
                <w:color w:val="000000"/>
              </w:rPr>
              <w:t>23,625</w:t>
            </w:r>
          </w:p>
        </w:tc>
      </w:tr>
      <w:tr w:rsidR="00792EAC" w:rsidRPr="00C114CD" w14:paraId="7C5B0561" w14:textId="77777777" w:rsidTr="0009574E">
        <w:tblPrEx>
          <w:tblLook w:val="04A0" w:firstRow="1" w:lastRow="0" w:firstColumn="1" w:lastColumn="0" w:noHBand="0" w:noVBand="1"/>
        </w:tblPrEx>
        <w:trPr>
          <w:trHeight w:val="170"/>
        </w:trPr>
        <w:tc>
          <w:tcPr>
            <w:tcW w:w="3659" w:type="pct"/>
            <w:noWrap/>
          </w:tcPr>
          <w:p w14:paraId="2E858A5C" w14:textId="77777777" w:rsidR="00792EAC" w:rsidRPr="00C114CD" w:rsidRDefault="00792EAC" w:rsidP="009E51C8">
            <w:pPr>
              <w:pStyle w:val="ARGrantstabletext"/>
            </w:pPr>
            <w:r>
              <w:rPr>
                <w:color w:val="000000"/>
              </w:rPr>
              <w:t>The Grain Shed Church of Christ Inc</w:t>
            </w:r>
          </w:p>
        </w:tc>
        <w:tc>
          <w:tcPr>
            <w:tcW w:w="1341" w:type="pct"/>
            <w:shd w:val="clear" w:color="auto" w:fill="E7E6E6" w:themeFill="background2"/>
            <w:noWrap/>
            <w:vAlign w:val="bottom"/>
          </w:tcPr>
          <w:p w14:paraId="5419C9AE" w14:textId="77777777" w:rsidR="00792EAC" w:rsidRPr="00C114CD" w:rsidRDefault="00792EAC" w:rsidP="0009574E">
            <w:pPr>
              <w:pStyle w:val="ARGrantstabletextright"/>
            </w:pPr>
            <w:r>
              <w:rPr>
                <w:color w:val="000000"/>
              </w:rPr>
              <w:t>16,000</w:t>
            </w:r>
          </w:p>
        </w:tc>
      </w:tr>
      <w:tr w:rsidR="00792EAC" w:rsidRPr="00C114CD" w14:paraId="40ADF22B" w14:textId="77777777" w:rsidTr="0009574E">
        <w:tblPrEx>
          <w:tblLook w:val="04A0" w:firstRow="1" w:lastRow="0" w:firstColumn="1" w:lastColumn="0" w:noHBand="0" w:noVBand="1"/>
        </w:tblPrEx>
        <w:trPr>
          <w:trHeight w:val="170"/>
        </w:trPr>
        <w:tc>
          <w:tcPr>
            <w:tcW w:w="3659" w:type="pct"/>
            <w:noWrap/>
          </w:tcPr>
          <w:p w14:paraId="4AEA4D07" w14:textId="77777777" w:rsidR="00792EAC" w:rsidRPr="00C114CD" w:rsidRDefault="00792EAC" w:rsidP="009E51C8">
            <w:pPr>
              <w:pStyle w:val="ARGrantstabletext"/>
            </w:pPr>
            <w:r>
              <w:rPr>
                <w:color w:val="000000"/>
              </w:rPr>
              <w:t>The Nelson Men's Shed Inc.</w:t>
            </w:r>
          </w:p>
        </w:tc>
        <w:tc>
          <w:tcPr>
            <w:tcW w:w="1341" w:type="pct"/>
            <w:shd w:val="clear" w:color="auto" w:fill="E7E6E6" w:themeFill="background2"/>
            <w:noWrap/>
            <w:vAlign w:val="bottom"/>
          </w:tcPr>
          <w:p w14:paraId="1999E9E0" w14:textId="77777777" w:rsidR="00792EAC" w:rsidRPr="00C114CD" w:rsidRDefault="00792EAC" w:rsidP="0009574E">
            <w:pPr>
              <w:pStyle w:val="ARGrantstabletextright"/>
            </w:pPr>
            <w:r>
              <w:rPr>
                <w:color w:val="000000"/>
              </w:rPr>
              <w:t>70,084</w:t>
            </w:r>
          </w:p>
        </w:tc>
      </w:tr>
      <w:tr w:rsidR="00792EAC" w:rsidRPr="00C114CD" w14:paraId="5D09E35D" w14:textId="77777777" w:rsidTr="0009574E">
        <w:tblPrEx>
          <w:tblLook w:val="04A0" w:firstRow="1" w:lastRow="0" w:firstColumn="1" w:lastColumn="0" w:noHBand="0" w:noVBand="1"/>
        </w:tblPrEx>
        <w:trPr>
          <w:trHeight w:val="170"/>
        </w:trPr>
        <w:tc>
          <w:tcPr>
            <w:tcW w:w="3659" w:type="pct"/>
            <w:noWrap/>
          </w:tcPr>
          <w:p w14:paraId="6C303382" w14:textId="77777777" w:rsidR="00792EAC" w:rsidRPr="00C114CD" w:rsidRDefault="00792EAC" w:rsidP="009E51C8">
            <w:pPr>
              <w:pStyle w:val="ARGrantstabletext"/>
            </w:pPr>
            <w:r>
              <w:rPr>
                <w:color w:val="000000"/>
              </w:rPr>
              <w:t>The Sephardi Association of Victoria</w:t>
            </w:r>
          </w:p>
        </w:tc>
        <w:tc>
          <w:tcPr>
            <w:tcW w:w="1341" w:type="pct"/>
            <w:shd w:val="clear" w:color="auto" w:fill="E7E6E6" w:themeFill="background2"/>
            <w:noWrap/>
            <w:vAlign w:val="bottom"/>
          </w:tcPr>
          <w:p w14:paraId="103504E8" w14:textId="77777777" w:rsidR="00792EAC" w:rsidRPr="00C114CD" w:rsidRDefault="00792EAC" w:rsidP="0009574E">
            <w:pPr>
              <w:pStyle w:val="ARGrantstabletextright"/>
            </w:pPr>
            <w:r>
              <w:rPr>
                <w:color w:val="000000"/>
              </w:rPr>
              <w:t>17,500</w:t>
            </w:r>
          </w:p>
        </w:tc>
      </w:tr>
      <w:tr w:rsidR="00792EAC" w:rsidRPr="00C114CD" w14:paraId="5F114FAE" w14:textId="77777777" w:rsidTr="0009574E">
        <w:tblPrEx>
          <w:tblLook w:val="04A0" w:firstRow="1" w:lastRow="0" w:firstColumn="1" w:lastColumn="0" w:noHBand="0" w:noVBand="1"/>
        </w:tblPrEx>
        <w:trPr>
          <w:trHeight w:val="170"/>
        </w:trPr>
        <w:tc>
          <w:tcPr>
            <w:tcW w:w="3659" w:type="pct"/>
            <w:noWrap/>
          </w:tcPr>
          <w:p w14:paraId="5F6451A2" w14:textId="7E1A7F18" w:rsidR="00792EAC" w:rsidRPr="00C114CD" w:rsidRDefault="00792EAC" w:rsidP="009E51C8">
            <w:pPr>
              <w:pStyle w:val="ARGrantstabletext"/>
            </w:pPr>
            <w:r>
              <w:rPr>
                <w:color w:val="000000"/>
              </w:rPr>
              <w:t>The Venny Inc</w:t>
            </w:r>
            <w:r w:rsidR="00EA7A42">
              <w:rPr>
                <w:color w:val="000000"/>
              </w:rPr>
              <w:t>.</w:t>
            </w:r>
          </w:p>
        </w:tc>
        <w:tc>
          <w:tcPr>
            <w:tcW w:w="1341" w:type="pct"/>
            <w:shd w:val="clear" w:color="auto" w:fill="E7E6E6" w:themeFill="background2"/>
            <w:noWrap/>
            <w:vAlign w:val="bottom"/>
          </w:tcPr>
          <w:p w14:paraId="269C8E71" w14:textId="77777777" w:rsidR="00792EAC" w:rsidRPr="00C114CD" w:rsidRDefault="00792EAC" w:rsidP="0009574E">
            <w:pPr>
              <w:pStyle w:val="ARGrantstabletextright"/>
            </w:pPr>
            <w:r>
              <w:rPr>
                <w:color w:val="000000"/>
              </w:rPr>
              <w:t>10,300</w:t>
            </w:r>
          </w:p>
        </w:tc>
      </w:tr>
      <w:tr w:rsidR="00792EAC" w:rsidRPr="00C114CD" w14:paraId="0C0E9CE5" w14:textId="77777777" w:rsidTr="0009574E">
        <w:tblPrEx>
          <w:tblLook w:val="04A0" w:firstRow="1" w:lastRow="0" w:firstColumn="1" w:lastColumn="0" w:noHBand="0" w:noVBand="1"/>
        </w:tblPrEx>
        <w:trPr>
          <w:trHeight w:val="170"/>
        </w:trPr>
        <w:tc>
          <w:tcPr>
            <w:tcW w:w="3659" w:type="pct"/>
            <w:noWrap/>
          </w:tcPr>
          <w:p w14:paraId="362A9CC1" w14:textId="77777777" w:rsidR="00792EAC" w:rsidRPr="00C114CD" w:rsidRDefault="00792EAC" w:rsidP="009E51C8">
            <w:pPr>
              <w:pStyle w:val="ARGrantstabletext"/>
            </w:pPr>
            <w:r>
              <w:rPr>
                <w:color w:val="000000"/>
              </w:rPr>
              <w:t>Transit Soup Kitchen and Food Support</w:t>
            </w:r>
          </w:p>
        </w:tc>
        <w:tc>
          <w:tcPr>
            <w:tcW w:w="1341" w:type="pct"/>
            <w:shd w:val="clear" w:color="auto" w:fill="E7E6E6" w:themeFill="background2"/>
            <w:noWrap/>
            <w:vAlign w:val="bottom"/>
          </w:tcPr>
          <w:p w14:paraId="1BCC6A16" w14:textId="77777777" w:rsidR="00792EAC" w:rsidRPr="00C114CD" w:rsidRDefault="00792EAC" w:rsidP="0009574E">
            <w:pPr>
              <w:pStyle w:val="ARGrantstabletextright"/>
            </w:pPr>
            <w:r>
              <w:rPr>
                <w:color w:val="000000"/>
              </w:rPr>
              <w:t>40,312</w:t>
            </w:r>
          </w:p>
        </w:tc>
      </w:tr>
      <w:tr w:rsidR="00792EAC" w:rsidRPr="00C114CD" w14:paraId="749E2D27" w14:textId="77777777" w:rsidTr="0009574E">
        <w:tblPrEx>
          <w:tblLook w:val="04A0" w:firstRow="1" w:lastRow="0" w:firstColumn="1" w:lastColumn="0" w:noHBand="0" w:noVBand="1"/>
        </w:tblPrEx>
        <w:trPr>
          <w:trHeight w:val="170"/>
        </w:trPr>
        <w:tc>
          <w:tcPr>
            <w:tcW w:w="3659" w:type="pct"/>
            <w:noWrap/>
          </w:tcPr>
          <w:p w14:paraId="27A5BAEF" w14:textId="48EAE558" w:rsidR="00792EAC" w:rsidRPr="00C114CD" w:rsidRDefault="00792EAC" w:rsidP="009E51C8">
            <w:pPr>
              <w:pStyle w:val="ARGrantstabletext"/>
            </w:pPr>
            <w:r>
              <w:rPr>
                <w:color w:val="000000"/>
              </w:rPr>
              <w:t>Victorian Aboriginal Community Controlled Health Organisation Inc</w:t>
            </w:r>
            <w:r w:rsidR="00EA7A42">
              <w:rPr>
                <w:color w:val="000000"/>
              </w:rPr>
              <w:t>.</w:t>
            </w:r>
          </w:p>
        </w:tc>
        <w:tc>
          <w:tcPr>
            <w:tcW w:w="1341" w:type="pct"/>
            <w:shd w:val="clear" w:color="auto" w:fill="E7E6E6" w:themeFill="background2"/>
            <w:noWrap/>
            <w:vAlign w:val="bottom"/>
          </w:tcPr>
          <w:p w14:paraId="1C013014" w14:textId="77777777" w:rsidR="00792EAC" w:rsidRPr="00C114CD" w:rsidRDefault="00792EAC" w:rsidP="0009574E">
            <w:pPr>
              <w:pStyle w:val="ARGrantstabletextright"/>
            </w:pPr>
            <w:r>
              <w:rPr>
                <w:color w:val="000000"/>
              </w:rPr>
              <w:t>400,000</w:t>
            </w:r>
          </w:p>
        </w:tc>
      </w:tr>
      <w:tr w:rsidR="00792EAC" w:rsidRPr="00C114CD" w14:paraId="7D74C570" w14:textId="77777777" w:rsidTr="0009574E">
        <w:tblPrEx>
          <w:tblLook w:val="04A0" w:firstRow="1" w:lastRow="0" w:firstColumn="1" w:lastColumn="0" w:noHBand="0" w:noVBand="1"/>
        </w:tblPrEx>
        <w:trPr>
          <w:trHeight w:val="170"/>
        </w:trPr>
        <w:tc>
          <w:tcPr>
            <w:tcW w:w="3659" w:type="pct"/>
            <w:noWrap/>
          </w:tcPr>
          <w:p w14:paraId="733732B7" w14:textId="6606A750" w:rsidR="00792EAC" w:rsidRPr="00C114CD" w:rsidRDefault="00792EAC" w:rsidP="009E51C8">
            <w:pPr>
              <w:pStyle w:val="ARGrantstabletext"/>
            </w:pPr>
            <w:r>
              <w:rPr>
                <w:color w:val="000000"/>
              </w:rPr>
              <w:t>Wahgunyah and District Men</w:t>
            </w:r>
            <w:r w:rsidR="00EA7A42">
              <w:rPr>
                <w:color w:val="000000"/>
              </w:rPr>
              <w:t>’</w:t>
            </w:r>
            <w:r>
              <w:rPr>
                <w:color w:val="000000"/>
              </w:rPr>
              <w:t>s Shed</w:t>
            </w:r>
          </w:p>
        </w:tc>
        <w:tc>
          <w:tcPr>
            <w:tcW w:w="1341" w:type="pct"/>
            <w:shd w:val="clear" w:color="auto" w:fill="E7E6E6" w:themeFill="background2"/>
            <w:noWrap/>
            <w:vAlign w:val="bottom"/>
          </w:tcPr>
          <w:p w14:paraId="27A198EF" w14:textId="77777777" w:rsidR="00792EAC" w:rsidRPr="00C114CD" w:rsidRDefault="00792EAC" w:rsidP="0009574E">
            <w:pPr>
              <w:pStyle w:val="ARGrantstabletextright"/>
            </w:pPr>
            <w:r>
              <w:rPr>
                <w:color w:val="000000"/>
              </w:rPr>
              <w:t>57,655</w:t>
            </w:r>
          </w:p>
        </w:tc>
      </w:tr>
      <w:tr w:rsidR="00792EAC" w:rsidRPr="00C114CD" w14:paraId="5E6649D7" w14:textId="77777777" w:rsidTr="0009574E">
        <w:tblPrEx>
          <w:tblLook w:val="04A0" w:firstRow="1" w:lastRow="0" w:firstColumn="1" w:lastColumn="0" w:noHBand="0" w:noVBand="1"/>
        </w:tblPrEx>
        <w:trPr>
          <w:trHeight w:val="170"/>
        </w:trPr>
        <w:tc>
          <w:tcPr>
            <w:tcW w:w="3659" w:type="pct"/>
            <w:noWrap/>
          </w:tcPr>
          <w:p w14:paraId="03C757DF" w14:textId="77777777" w:rsidR="00792EAC" w:rsidRPr="00C114CD" w:rsidRDefault="00792EAC" w:rsidP="009E51C8">
            <w:pPr>
              <w:pStyle w:val="ARGrantstabletext"/>
            </w:pPr>
            <w:r>
              <w:rPr>
                <w:color w:val="000000"/>
              </w:rPr>
              <w:t>Waminda Community House</w:t>
            </w:r>
          </w:p>
        </w:tc>
        <w:tc>
          <w:tcPr>
            <w:tcW w:w="1341" w:type="pct"/>
            <w:shd w:val="clear" w:color="auto" w:fill="E7E6E6" w:themeFill="background2"/>
            <w:noWrap/>
            <w:vAlign w:val="bottom"/>
          </w:tcPr>
          <w:p w14:paraId="1182B4FF" w14:textId="77777777" w:rsidR="00792EAC" w:rsidRPr="00C114CD" w:rsidRDefault="00792EAC" w:rsidP="0009574E">
            <w:pPr>
              <w:pStyle w:val="ARGrantstabletextright"/>
            </w:pPr>
            <w:r>
              <w:rPr>
                <w:color w:val="000000"/>
              </w:rPr>
              <w:t>46,582</w:t>
            </w:r>
          </w:p>
        </w:tc>
      </w:tr>
      <w:tr w:rsidR="00792EAC" w:rsidRPr="00C114CD" w14:paraId="1D1C8E9C" w14:textId="77777777" w:rsidTr="0009574E">
        <w:tblPrEx>
          <w:tblLook w:val="04A0" w:firstRow="1" w:lastRow="0" w:firstColumn="1" w:lastColumn="0" w:noHBand="0" w:noVBand="1"/>
        </w:tblPrEx>
        <w:trPr>
          <w:trHeight w:val="170"/>
        </w:trPr>
        <w:tc>
          <w:tcPr>
            <w:tcW w:w="3659" w:type="pct"/>
            <w:noWrap/>
          </w:tcPr>
          <w:p w14:paraId="152BA795" w14:textId="20C146D0" w:rsidR="00792EAC" w:rsidRPr="00C114CD" w:rsidRDefault="00792EAC" w:rsidP="009E51C8">
            <w:pPr>
              <w:pStyle w:val="ARGrantstabletext"/>
            </w:pPr>
            <w:r>
              <w:rPr>
                <w:color w:val="000000"/>
              </w:rPr>
              <w:t>Warracknabeal Neighbourhood House and learning Centre Inc</w:t>
            </w:r>
            <w:r w:rsidR="00EA7A42">
              <w:rPr>
                <w:color w:val="000000"/>
              </w:rPr>
              <w:t>.</w:t>
            </w:r>
          </w:p>
        </w:tc>
        <w:tc>
          <w:tcPr>
            <w:tcW w:w="1341" w:type="pct"/>
            <w:shd w:val="clear" w:color="auto" w:fill="E7E6E6" w:themeFill="background2"/>
            <w:noWrap/>
            <w:vAlign w:val="bottom"/>
          </w:tcPr>
          <w:p w14:paraId="46C8B6E0" w14:textId="77777777" w:rsidR="00792EAC" w:rsidRPr="00C114CD" w:rsidRDefault="00792EAC" w:rsidP="0009574E">
            <w:pPr>
              <w:pStyle w:val="ARGrantstabletextright"/>
            </w:pPr>
            <w:r>
              <w:rPr>
                <w:color w:val="000000"/>
              </w:rPr>
              <w:t>15,225</w:t>
            </w:r>
          </w:p>
        </w:tc>
      </w:tr>
      <w:tr w:rsidR="00792EAC" w:rsidRPr="00C114CD" w14:paraId="4CBA7059" w14:textId="77777777" w:rsidTr="0009574E">
        <w:tblPrEx>
          <w:tblLook w:val="04A0" w:firstRow="1" w:lastRow="0" w:firstColumn="1" w:lastColumn="0" w:noHBand="0" w:noVBand="1"/>
        </w:tblPrEx>
        <w:trPr>
          <w:trHeight w:val="170"/>
        </w:trPr>
        <w:tc>
          <w:tcPr>
            <w:tcW w:w="3659" w:type="pct"/>
            <w:noWrap/>
          </w:tcPr>
          <w:p w14:paraId="6B97CB57" w14:textId="77777777" w:rsidR="00792EAC" w:rsidRPr="00C114CD" w:rsidRDefault="00792EAC" w:rsidP="009E51C8">
            <w:pPr>
              <w:pStyle w:val="ARGrantstabletext"/>
            </w:pPr>
            <w:r>
              <w:rPr>
                <w:color w:val="000000"/>
              </w:rPr>
              <w:t>Warrnambool Neighbourhood &amp; Community Centre Inc.</w:t>
            </w:r>
          </w:p>
        </w:tc>
        <w:tc>
          <w:tcPr>
            <w:tcW w:w="1341" w:type="pct"/>
            <w:shd w:val="clear" w:color="auto" w:fill="E7E6E6" w:themeFill="background2"/>
            <w:noWrap/>
            <w:vAlign w:val="bottom"/>
          </w:tcPr>
          <w:p w14:paraId="3960AC30" w14:textId="77777777" w:rsidR="00792EAC" w:rsidRPr="00C114CD" w:rsidRDefault="00792EAC" w:rsidP="0009574E">
            <w:pPr>
              <w:pStyle w:val="ARGrantstabletextright"/>
            </w:pPr>
            <w:r>
              <w:rPr>
                <w:color w:val="000000"/>
              </w:rPr>
              <w:t>21,195</w:t>
            </w:r>
          </w:p>
        </w:tc>
      </w:tr>
      <w:tr w:rsidR="00792EAC" w:rsidRPr="00C114CD" w14:paraId="71CE79F0" w14:textId="77777777" w:rsidTr="0009574E">
        <w:tblPrEx>
          <w:tblLook w:val="04A0" w:firstRow="1" w:lastRow="0" w:firstColumn="1" w:lastColumn="0" w:noHBand="0" w:noVBand="1"/>
        </w:tblPrEx>
        <w:trPr>
          <w:trHeight w:val="170"/>
        </w:trPr>
        <w:tc>
          <w:tcPr>
            <w:tcW w:w="3659" w:type="pct"/>
            <w:noWrap/>
          </w:tcPr>
          <w:p w14:paraId="2774E80A" w14:textId="77777777" w:rsidR="00792EAC" w:rsidRPr="00C114CD" w:rsidRDefault="00792EAC" w:rsidP="009E51C8">
            <w:pPr>
              <w:pStyle w:val="ARGrantstabletext"/>
            </w:pPr>
            <w:r>
              <w:rPr>
                <w:color w:val="000000"/>
              </w:rPr>
              <w:t>Wellsprings for Women</w:t>
            </w:r>
          </w:p>
        </w:tc>
        <w:tc>
          <w:tcPr>
            <w:tcW w:w="1341" w:type="pct"/>
            <w:shd w:val="clear" w:color="auto" w:fill="E7E6E6" w:themeFill="background2"/>
            <w:noWrap/>
            <w:vAlign w:val="bottom"/>
          </w:tcPr>
          <w:p w14:paraId="4AF69C14" w14:textId="77777777" w:rsidR="00792EAC" w:rsidRPr="00C114CD" w:rsidRDefault="00792EAC" w:rsidP="0009574E">
            <w:pPr>
              <w:pStyle w:val="ARGrantstabletextright"/>
            </w:pPr>
            <w:r>
              <w:rPr>
                <w:color w:val="000000"/>
              </w:rPr>
              <w:t>26,640</w:t>
            </w:r>
          </w:p>
        </w:tc>
      </w:tr>
      <w:tr w:rsidR="00792EAC" w:rsidRPr="00C114CD" w14:paraId="750C1EC8" w14:textId="77777777" w:rsidTr="0009574E">
        <w:tblPrEx>
          <w:tblLook w:val="04A0" w:firstRow="1" w:lastRow="0" w:firstColumn="1" w:lastColumn="0" w:noHBand="0" w:noVBand="1"/>
        </w:tblPrEx>
        <w:trPr>
          <w:trHeight w:val="170"/>
        </w:trPr>
        <w:tc>
          <w:tcPr>
            <w:tcW w:w="3659" w:type="pct"/>
            <w:tcBorders>
              <w:bottom w:val="single" w:sz="4" w:space="0" w:color="A6A6A6" w:themeColor="accent5"/>
            </w:tcBorders>
            <w:noWrap/>
          </w:tcPr>
          <w:p w14:paraId="1928E1C1" w14:textId="77777777" w:rsidR="00792EAC" w:rsidRPr="00C114CD" w:rsidRDefault="00792EAC" w:rsidP="009E51C8">
            <w:pPr>
              <w:pStyle w:val="ARGrantstabletext"/>
            </w:pPr>
            <w:r>
              <w:rPr>
                <w:color w:val="000000"/>
              </w:rPr>
              <w:t>Wendouree Neighbourhood Centre</w:t>
            </w:r>
          </w:p>
        </w:tc>
        <w:tc>
          <w:tcPr>
            <w:tcW w:w="1341" w:type="pct"/>
            <w:tcBorders>
              <w:bottom w:val="single" w:sz="4" w:space="0" w:color="A6A6A6" w:themeColor="accent5"/>
            </w:tcBorders>
            <w:shd w:val="clear" w:color="auto" w:fill="E7E6E6" w:themeFill="background2"/>
            <w:noWrap/>
            <w:vAlign w:val="bottom"/>
          </w:tcPr>
          <w:p w14:paraId="50695C70" w14:textId="77777777" w:rsidR="00792EAC" w:rsidRPr="00C114CD" w:rsidRDefault="00792EAC" w:rsidP="0009574E">
            <w:pPr>
              <w:pStyle w:val="ARGrantstabletextright"/>
            </w:pPr>
            <w:r>
              <w:rPr>
                <w:color w:val="000000"/>
              </w:rPr>
              <w:t>34,125</w:t>
            </w:r>
          </w:p>
        </w:tc>
      </w:tr>
      <w:tr w:rsidR="00792EAC" w:rsidRPr="00C114CD" w14:paraId="23BAD82F" w14:textId="77777777" w:rsidTr="0009574E">
        <w:tblPrEx>
          <w:tblLook w:val="04A0" w:firstRow="1" w:lastRow="0" w:firstColumn="1" w:lastColumn="0" w:noHBand="0" w:noVBand="1"/>
        </w:tblPrEx>
        <w:trPr>
          <w:trHeight w:val="170"/>
        </w:trPr>
        <w:tc>
          <w:tcPr>
            <w:tcW w:w="3659" w:type="pct"/>
            <w:tcBorders>
              <w:top w:val="single" w:sz="4" w:space="0" w:color="A6A6A6" w:themeColor="accent5"/>
              <w:bottom w:val="single" w:sz="4" w:space="0" w:color="A6A6A6" w:themeColor="accent5"/>
            </w:tcBorders>
            <w:noWrap/>
          </w:tcPr>
          <w:p w14:paraId="6D05E6A6" w14:textId="77777777" w:rsidR="00792EAC" w:rsidRPr="00C114CD" w:rsidRDefault="00792EAC" w:rsidP="009E51C8">
            <w:pPr>
              <w:pStyle w:val="ARGrantstabletext"/>
            </w:pPr>
            <w:r>
              <w:rPr>
                <w:color w:val="000000"/>
              </w:rPr>
              <w:t>Western Emergency Relief Network Inc.</w:t>
            </w:r>
          </w:p>
        </w:tc>
        <w:tc>
          <w:tcPr>
            <w:tcW w:w="1341" w:type="pct"/>
            <w:tcBorders>
              <w:top w:val="single" w:sz="4" w:space="0" w:color="A6A6A6" w:themeColor="accent5"/>
              <w:bottom w:val="single" w:sz="4" w:space="0" w:color="A6A6A6" w:themeColor="accent5"/>
            </w:tcBorders>
            <w:shd w:val="clear" w:color="auto" w:fill="E7E6E6" w:themeFill="background2"/>
            <w:noWrap/>
            <w:vAlign w:val="bottom"/>
          </w:tcPr>
          <w:p w14:paraId="166E6239" w14:textId="77777777" w:rsidR="00792EAC" w:rsidRPr="00C114CD" w:rsidRDefault="00792EAC" w:rsidP="0009574E">
            <w:pPr>
              <w:pStyle w:val="ARGrantstabletextright"/>
            </w:pPr>
            <w:r>
              <w:rPr>
                <w:color w:val="000000" w:themeColor="text1"/>
              </w:rPr>
              <w:t>50,000</w:t>
            </w:r>
          </w:p>
        </w:tc>
      </w:tr>
      <w:tr w:rsidR="00792EAC" w:rsidRPr="00C114CD" w14:paraId="64752C84" w14:textId="77777777" w:rsidTr="0009574E">
        <w:tblPrEx>
          <w:tblLook w:val="04A0" w:firstRow="1" w:lastRow="0" w:firstColumn="1" w:lastColumn="0" w:noHBand="0" w:noVBand="1"/>
        </w:tblPrEx>
        <w:trPr>
          <w:trHeight w:val="170"/>
        </w:trPr>
        <w:tc>
          <w:tcPr>
            <w:tcW w:w="3659" w:type="pct"/>
            <w:tcBorders>
              <w:top w:val="single" w:sz="4" w:space="0" w:color="A6A6A6" w:themeColor="accent5"/>
            </w:tcBorders>
            <w:noWrap/>
          </w:tcPr>
          <w:p w14:paraId="520454BF" w14:textId="77777777" w:rsidR="00792EAC" w:rsidRPr="00C114CD" w:rsidRDefault="00792EAC" w:rsidP="009E51C8">
            <w:pPr>
              <w:pStyle w:val="ARGrantstabletext"/>
            </w:pPr>
            <w:r>
              <w:rPr>
                <w:color w:val="000000"/>
              </w:rPr>
              <w:t>Whittlesea Community Connections</w:t>
            </w:r>
          </w:p>
        </w:tc>
        <w:tc>
          <w:tcPr>
            <w:tcW w:w="1341" w:type="pct"/>
            <w:tcBorders>
              <w:top w:val="single" w:sz="4" w:space="0" w:color="A6A6A6" w:themeColor="accent5"/>
            </w:tcBorders>
            <w:shd w:val="clear" w:color="auto" w:fill="E7E6E6" w:themeFill="background2"/>
            <w:noWrap/>
            <w:vAlign w:val="bottom"/>
          </w:tcPr>
          <w:p w14:paraId="0B33FCC8" w14:textId="77777777" w:rsidR="00792EAC" w:rsidRPr="00C114CD" w:rsidRDefault="00792EAC" w:rsidP="0009574E">
            <w:pPr>
              <w:pStyle w:val="ARGrantstabletextright"/>
            </w:pPr>
            <w:r>
              <w:rPr>
                <w:color w:val="000000"/>
              </w:rPr>
              <w:t>26,250</w:t>
            </w:r>
          </w:p>
        </w:tc>
      </w:tr>
      <w:tr w:rsidR="00792EAC" w:rsidRPr="003F69A4" w14:paraId="3D2354FC" w14:textId="77777777" w:rsidTr="0009574E">
        <w:tblPrEx>
          <w:tblLook w:val="04A0" w:firstRow="1" w:lastRow="0" w:firstColumn="1" w:lastColumn="0" w:noHBand="0" w:noVBand="1"/>
        </w:tblPrEx>
        <w:trPr>
          <w:trHeight w:val="170"/>
        </w:trPr>
        <w:tc>
          <w:tcPr>
            <w:tcW w:w="3659" w:type="pct"/>
            <w:noWrap/>
          </w:tcPr>
          <w:p w14:paraId="7E39B611" w14:textId="3E87ED95" w:rsidR="00792EAC" w:rsidRPr="003F69A4" w:rsidRDefault="00792EAC" w:rsidP="009E51C8">
            <w:pPr>
              <w:pStyle w:val="ARGrantstabletext"/>
            </w:pPr>
            <w:r>
              <w:rPr>
                <w:color w:val="000000"/>
              </w:rPr>
              <w:t xml:space="preserve">Whittlesea Community House </w:t>
            </w:r>
            <w:r w:rsidR="0013613F">
              <w:rPr>
                <w:color w:val="000000"/>
              </w:rPr>
              <w:t>Inc.</w:t>
            </w:r>
          </w:p>
        </w:tc>
        <w:tc>
          <w:tcPr>
            <w:tcW w:w="1341" w:type="pct"/>
            <w:shd w:val="clear" w:color="auto" w:fill="E7E6E6" w:themeFill="background2"/>
            <w:noWrap/>
            <w:vAlign w:val="bottom"/>
          </w:tcPr>
          <w:p w14:paraId="070A9C85" w14:textId="77777777" w:rsidR="00792EAC" w:rsidRPr="003F69A4" w:rsidRDefault="00792EAC" w:rsidP="0009574E">
            <w:pPr>
              <w:pStyle w:val="ARGrantstabletextright"/>
            </w:pPr>
            <w:r>
              <w:rPr>
                <w:color w:val="000000"/>
              </w:rPr>
              <w:t>29,562</w:t>
            </w:r>
          </w:p>
        </w:tc>
      </w:tr>
      <w:tr w:rsidR="00792EAC" w:rsidRPr="003F69A4" w14:paraId="7B936C07" w14:textId="77777777" w:rsidTr="0009574E">
        <w:tblPrEx>
          <w:tblLook w:val="04A0" w:firstRow="1" w:lastRow="0" w:firstColumn="1" w:lastColumn="0" w:noHBand="0" w:noVBand="1"/>
        </w:tblPrEx>
        <w:trPr>
          <w:trHeight w:val="170"/>
        </w:trPr>
        <w:tc>
          <w:tcPr>
            <w:tcW w:w="3659" w:type="pct"/>
            <w:tcBorders>
              <w:bottom w:val="single" w:sz="4" w:space="0" w:color="A6A6A6" w:themeColor="accent5"/>
            </w:tcBorders>
            <w:noWrap/>
          </w:tcPr>
          <w:p w14:paraId="0F802A02" w14:textId="77777777" w:rsidR="00792EAC" w:rsidRPr="003F69A4" w:rsidRDefault="00792EAC" w:rsidP="009E51C8">
            <w:pPr>
              <w:pStyle w:val="ARGrantstabletext"/>
            </w:pPr>
            <w:r>
              <w:rPr>
                <w:color w:val="000000"/>
              </w:rPr>
              <w:t>Winchelsea Community House</w:t>
            </w:r>
          </w:p>
        </w:tc>
        <w:tc>
          <w:tcPr>
            <w:tcW w:w="1341" w:type="pct"/>
            <w:tcBorders>
              <w:bottom w:val="single" w:sz="4" w:space="0" w:color="A6A6A6" w:themeColor="accent5"/>
            </w:tcBorders>
            <w:shd w:val="clear" w:color="auto" w:fill="E7E6E6" w:themeFill="background2"/>
            <w:noWrap/>
            <w:vAlign w:val="bottom"/>
          </w:tcPr>
          <w:p w14:paraId="42D835C4" w14:textId="77777777" w:rsidR="00792EAC" w:rsidRPr="003F69A4" w:rsidRDefault="00792EAC" w:rsidP="0009574E">
            <w:pPr>
              <w:pStyle w:val="ARGrantstabletextright"/>
            </w:pPr>
            <w:r>
              <w:rPr>
                <w:color w:val="000000"/>
              </w:rPr>
              <w:t>30,000</w:t>
            </w:r>
          </w:p>
        </w:tc>
      </w:tr>
      <w:tr w:rsidR="00792EAC" w:rsidRPr="003F69A4" w14:paraId="29BC7FC5" w14:textId="77777777" w:rsidTr="0009574E">
        <w:tblPrEx>
          <w:tblLook w:val="04A0" w:firstRow="1" w:lastRow="0" w:firstColumn="1" w:lastColumn="0" w:noHBand="0" w:noVBand="1"/>
        </w:tblPrEx>
        <w:trPr>
          <w:trHeight w:val="170"/>
        </w:trPr>
        <w:tc>
          <w:tcPr>
            <w:tcW w:w="3659" w:type="pct"/>
            <w:tcBorders>
              <w:top w:val="single" w:sz="4" w:space="0" w:color="A6A6A6" w:themeColor="accent5"/>
              <w:bottom w:val="single" w:sz="4" w:space="0" w:color="A6A6A6" w:themeColor="accent5"/>
            </w:tcBorders>
            <w:noWrap/>
          </w:tcPr>
          <w:p w14:paraId="61A441DA" w14:textId="77777777" w:rsidR="00792EAC" w:rsidRPr="003F69A4" w:rsidRDefault="00792EAC" w:rsidP="009E51C8">
            <w:pPr>
              <w:pStyle w:val="ARGrantstabletext"/>
            </w:pPr>
            <w:r>
              <w:rPr>
                <w:color w:val="000000"/>
              </w:rPr>
              <w:t>Wingate Avenue Community Centre</w:t>
            </w:r>
          </w:p>
        </w:tc>
        <w:tc>
          <w:tcPr>
            <w:tcW w:w="1341" w:type="pct"/>
            <w:tcBorders>
              <w:top w:val="single" w:sz="4" w:space="0" w:color="A6A6A6" w:themeColor="accent5"/>
              <w:bottom w:val="single" w:sz="4" w:space="0" w:color="A6A6A6" w:themeColor="accent5"/>
            </w:tcBorders>
            <w:shd w:val="clear" w:color="auto" w:fill="E7E6E6" w:themeFill="background2"/>
            <w:noWrap/>
            <w:vAlign w:val="bottom"/>
          </w:tcPr>
          <w:p w14:paraId="757F2507" w14:textId="77777777" w:rsidR="00792EAC" w:rsidRPr="003F69A4" w:rsidRDefault="00792EAC" w:rsidP="0009574E">
            <w:pPr>
              <w:pStyle w:val="ARGrantstabletextright"/>
            </w:pPr>
            <w:r>
              <w:rPr>
                <w:color w:val="000000"/>
              </w:rPr>
              <w:t>33,281</w:t>
            </w:r>
          </w:p>
        </w:tc>
      </w:tr>
      <w:tr w:rsidR="00792EAC" w:rsidRPr="003F69A4" w14:paraId="371F3196" w14:textId="77777777" w:rsidTr="00144FF3">
        <w:tblPrEx>
          <w:tblLook w:val="04A0" w:firstRow="1" w:lastRow="0" w:firstColumn="1" w:lastColumn="0" w:noHBand="0" w:noVBand="1"/>
        </w:tblPrEx>
        <w:trPr>
          <w:trHeight w:val="170"/>
        </w:trPr>
        <w:tc>
          <w:tcPr>
            <w:tcW w:w="3659" w:type="pct"/>
            <w:tcBorders>
              <w:top w:val="single" w:sz="4" w:space="0" w:color="A6A6A6" w:themeColor="accent5"/>
              <w:bottom w:val="single" w:sz="4" w:space="0" w:color="A6A6A6" w:themeColor="accent5"/>
            </w:tcBorders>
            <w:noWrap/>
          </w:tcPr>
          <w:p w14:paraId="3F7E76B8" w14:textId="77777777" w:rsidR="00792EAC" w:rsidRPr="003F69A4" w:rsidRDefault="00792EAC" w:rsidP="009E51C8">
            <w:pPr>
              <w:pStyle w:val="ARGrantstabletext"/>
            </w:pPr>
            <w:r>
              <w:rPr>
                <w:color w:val="000000"/>
              </w:rPr>
              <w:t>Wyndham Park Community Centre</w:t>
            </w:r>
          </w:p>
        </w:tc>
        <w:tc>
          <w:tcPr>
            <w:tcW w:w="1341" w:type="pct"/>
            <w:tcBorders>
              <w:top w:val="single" w:sz="4" w:space="0" w:color="A6A6A6" w:themeColor="accent5"/>
              <w:bottom w:val="single" w:sz="4" w:space="0" w:color="A6A6A6" w:themeColor="accent5"/>
            </w:tcBorders>
            <w:shd w:val="clear" w:color="auto" w:fill="E7E6E6" w:themeFill="background2"/>
            <w:noWrap/>
            <w:vAlign w:val="bottom"/>
          </w:tcPr>
          <w:p w14:paraId="719D35A0" w14:textId="77777777" w:rsidR="00792EAC" w:rsidRPr="003F69A4" w:rsidRDefault="00792EAC" w:rsidP="0009574E">
            <w:pPr>
              <w:pStyle w:val="ARGrantstabletextright"/>
            </w:pPr>
            <w:r>
              <w:rPr>
                <w:color w:val="000000"/>
              </w:rPr>
              <w:t>37,440</w:t>
            </w:r>
          </w:p>
        </w:tc>
      </w:tr>
      <w:tr w:rsidR="00792EAC" w:rsidRPr="003F69A4" w14:paraId="67E4B3C5" w14:textId="77777777" w:rsidTr="00144FF3">
        <w:tblPrEx>
          <w:tblLook w:val="04A0" w:firstRow="1" w:lastRow="0" w:firstColumn="1" w:lastColumn="0" w:noHBand="0" w:noVBand="1"/>
        </w:tblPrEx>
        <w:trPr>
          <w:trHeight w:val="170"/>
        </w:trPr>
        <w:tc>
          <w:tcPr>
            <w:tcW w:w="3659" w:type="pct"/>
            <w:tcBorders>
              <w:top w:val="single" w:sz="4" w:space="0" w:color="A6A6A6" w:themeColor="accent5"/>
              <w:bottom w:val="single" w:sz="4" w:space="0" w:color="A6A6A6" w:themeColor="accent5"/>
            </w:tcBorders>
            <w:noWrap/>
          </w:tcPr>
          <w:p w14:paraId="42BE2813" w14:textId="56FDC311" w:rsidR="00792EAC" w:rsidRPr="003F69A4" w:rsidRDefault="00792EAC" w:rsidP="009E51C8">
            <w:pPr>
              <w:pStyle w:val="ARGrantstabletext"/>
            </w:pPr>
            <w:r>
              <w:rPr>
                <w:color w:val="000000"/>
              </w:rPr>
              <w:t>Yarram Neighbourhood House Inc</w:t>
            </w:r>
            <w:r w:rsidR="00EA7A42">
              <w:rPr>
                <w:color w:val="000000"/>
              </w:rPr>
              <w:t>.</w:t>
            </w:r>
          </w:p>
        </w:tc>
        <w:tc>
          <w:tcPr>
            <w:tcW w:w="1341" w:type="pct"/>
            <w:tcBorders>
              <w:top w:val="single" w:sz="4" w:space="0" w:color="A6A6A6" w:themeColor="accent5"/>
              <w:bottom w:val="single" w:sz="4" w:space="0" w:color="A6A6A6" w:themeColor="accent5"/>
            </w:tcBorders>
            <w:shd w:val="clear" w:color="auto" w:fill="E7E6E6" w:themeFill="background2"/>
            <w:noWrap/>
            <w:vAlign w:val="bottom"/>
          </w:tcPr>
          <w:p w14:paraId="14143FEA" w14:textId="77777777" w:rsidR="00792EAC" w:rsidRPr="003F69A4" w:rsidRDefault="00792EAC" w:rsidP="0009574E">
            <w:pPr>
              <w:pStyle w:val="ARGrantstabletextright"/>
            </w:pPr>
            <w:r>
              <w:rPr>
                <w:color w:val="000000"/>
              </w:rPr>
              <w:t>31,687</w:t>
            </w:r>
          </w:p>
        </w:tc>
      </w:tr>
      <w:tr w:rsidR="00792EAC" w:rsidRPr="003F69A4" w14:paraId="7894C246" w14:textId="77777777" w:rsidTr="00144FF3">
        <w:tblPrEx>
          <w:tblLook w:val="04A0" w:firstRow="1" w:lastRow="0" w:firstColumn="1" w:lastColumn="0" w:noHBand="0" w:noVBand="1"/>
        </w:tblPrEx>
        <w:trPr>
          <w:trHeight w:val="170"/>
        </w:trPr>
        <w:tc>
          <w:tcPr>
            <w:tcW w:w="3659" w:type="pct"/>
            <w:tcBorders>
              <w:top w:val="single" w:sz="4" w:space="0" w:color="A6A6A6" w:themeColor="accent5"/>
            </w:tcBorders>
            <w:noWrap/>
          </w:tcPr>
          <w:p w14:paraId="4BD17C82" w14:textId="77777777" w:rsidR="00792EAC" w:rsidRPr="003F69A4" w:rsidRDefault="00792EAC" w:rsidP="009E51C8">
            <w:pPr>
              <w:pStyle w:val="ARGrantstabletext"/>
            </w:pPr>
            <w:r>
              <w:rPr>
                <w:color w:val="000000"/>
              </w:rPr>
              <w:lastRenderedPageBreak/>
              <w:t>Yarrawonga Mulwala Community &amp; Learning Centre</w:t>
            </w:r>
          </w:p>
        </w:tc>
        <w:tc>
          <w:tcPr>
            <w:tcW w:w="1341" w:type="pct"/>
            <w:tcBorders>
              <w:top w:val="single" w:sz="4" w:space="0" w:color="A6A6A6" w:themeColor="accent5"/>
            </w:tcBorders>
            <w:shd w:val="clear" w:color="auto" w:fill="E7E6E6" w:themeFill="background2"/>
            <w:noWrap/>
            <w:vAlign w:val="bottom"/>
          </w:tcPr>
          <w:p w14:paraId="3EA26F4D" w14:textId="77777777" w:rsidR="00792EAC" w:rsidRPr="003F69A4" w:rsidRDefault="00792EAC" w:rsidP="0009574E">
            <w:pPr>
              <w:pStyle w:val="ARGrantstabletextright"/>
            </w:pPr>
            <w:r>
              <w:rPr>
                <w:color w:val="000000"/>
              </w:rPr>
              <w:t>32,625</w:t>
            </w:r>
          </w:p>
        </w:tc>
      </w:tr>
      <w:tr w:rsidR="00792EAC" w:rsidRPr="003F69A4" w14:paraId="45F61CA2" w14:textId="77777777" w:rsidTr="0009574E">
        <w:tblPrEx>
          <w:tblLook w:val="04A0" w:firstRow="1" w:lastRow="0" w:firstColumn="1" w:lastColumn="0" w:noHBand="0" w:noVBand="1"/>
        </w:tblPrEx>
        <w:trPr>
          <w:trHeight w:val="170"/>
        </w:trPr>
        <w:tc>
          <w:tcPr>
            <w:tcW w:w="3659" w:type="pct"/>
            <w:noWrap/>
          </w:tcPr>
          <w:p w14:paraId="7DEDE772" w14:textId="774A6B40" w:rsidR="00792EAC" w:rsidRPr="003F69A4" w:rsidRDefault="00792EAC" w:rsidP="009E51C8">
            <w:pPr>
              <w:pStyle w:val="ARGrantstabletext"/>
            </w:pPr>
            <w:r>
              <w:rPr>
                <w:color w:val="000000"/>
              </w:rPr>
              <w:t>Yarrunga Community Centre Inc</w:t>
            </w:r>
            <w:r w:rsidR="00EA7A42">
              <w:rPr>
                <w:color w:val="000000"/>
              </w:rPr>
              <w:t>.</w:t>
            </w:r>
          </w:p>
        </w:tc>
        <w:tc>
          <w:tcPr>
            <w:tcW w:w="1341" w:type="pct"/>
            <w:shd w:val="clear" w:color="auto" w:fill="E7E6E6" w:themeFill="background2"/>
            <w:noWrap/>
            <w:vAlign w:val="bottom"/>
          </w:tcPr>
          <w:p w14:paraId="2AD4EF89" w14:textId="77777777" w:rsidR="00792EAC" w:rsidRPr="003F69A4" w:rsidRDefault="00792EAC" w:rsidP="0009574E">
            <w:pPr>
              <w:pStyle w:val="ARGrantstabletextright"/>
            </w:pPr>
            <w:r>
              <w:rPr>
                <w:color w:val="000000"/>
              </w:rPr>
              <w:t>13,498</w:t>
            </w:r>
          </w:p>
        </w:tc>
      </w:tr>
      <w:tr w:rsidR="004A2DF7" w:rsidRPr="006D2D94" w14:paraId="3C3E94E0" w14:textId="77777777" w:rsidTr="0009574E">
        <w:tblPrEx>
          <w:tblLook w:val="04E0" w:firstRow="1" w:lastRow="1" w:firstColumn="1" w:lastColumn="0" w:noHBand="0" w:noVBand="1"/>
        </w:tblPrEx>
        <w:trPr>
          <w:cnfStyle w:val="010000000000" w:firstRow="0" w:lastRow="1" w:firstColumn="0" w:lastColumn="0" w:oddVBand="0" w:evenVBand="0" w:oddHBand="0" w:evenHBand="0" w:firstRowFirstColumn="0" w:firstRowLastColumn="0" w:lastRowFirstColumn="0" w:lastRowLastColumn="0"/>
          <w:trHeight w:val="170"/>
        </w:trPr>
        <w:tc>
          <w:tcPr>
            <w:tcW w:w="3659" w:type="pct"/>
            <w:noWrap/>
          </w:tcPr>
          <w:p w14:paraId="2612CA13" w14:textId="77777777" w:rsidR="004A2DF7" w:rsidRPr="006D2D94" w:rsidRDefault="004A2DF7">
            <w:pPr>
              <w:pStyle w:val="ARGrantstabletext"/>
              <w:rPr>
                <w:b/>
              </w:rPr>
            </w:pPr>
            <w:r w:rsidRPr="006D2D94">
              <w:rPr>
                <w:b/>
              </w:rPr>
              <w:t>Total</w:t>
            </w:r>
          </w:p>
        </w:tc>
        <w:tc>
          <w:tcPr>
            <w:tcW w:w="1341" w:type="pct"/>
            <w:shd w:val="clear" w:color="auto" w:fill="E7E6E6" w:themeFill="background2"/>
            <w:noWrap/>
            <w:vAlign w:val="bottom"/>
          </w:tcPr>
          <w:p w14:paraId="39DF07E4" w14:textId="39EAE699" w:rsidR="004A2DF7" w:rsidRPr="006D2D94" w:rsidRDefault="00E56E99" w:rsidP="0009574E">
            <w:pPr>
              <w:pStyle w:val="ARGrantstabletextright"/>
            </w:pPr>
            <w:r w:rsidRPr="00753B8F">
              <w:rPr>
                <w:b/>
                <w:bCs/>
              </w:rPr>
              <w:t>5,532,</w:t>
            </w:r>
            <w:r w:rsidRPr="7F92B1B8">
              <w:rPr>
                <w:b/>
                <w:bCs/>
              </w:rPr>
              <w:t>192</w:t>
            </w:r>
          </w:p>
        </w:tc>
      </w:tr>
    </w:tbl>
    <w:p w14:paraId="6FB8F0EE" w14:textId="77777777" w:rsidR="00DE707D" w:rsidRPr="006D2D94" w:rsidRDefault="00DE707D" w:rsidP="0009574E">
      <w:pPr>
        <w:pStyle w:val="Heading3Grants"/>
      </w:pPr>
      <w:r>
        <w:t xml:space="preserve">Disability </w:t>
      </w:r>
      <w:r w:rsidRPr="0009574E">
        <w:t>Services</w:t>
      </w:r>
    </w:p>
    <w:tbl>
      <w:tblPr>
        <w:tblStyle w:val="TableGrid"/>
        <w:tblW w:w="5000" w:type="pct"/>
        <w:tblLook w:val="06E0" w:firstRow="1" w:lastRow="1" w:firstColumn="1" w:lastColumn="0" w:noHBand="1" w:noVBand="1"/>
      </w:tblPr>
      <w:tblGrid>
        <w:gridCol w:w="3398"/>
        <w:gridCol w:w="1191"/>
      </w:tblGrid>
      <w:tr w:rsidR="00DE707D" w:rsidRPr="006D2D94" w14:paraId="521F6CB1" w14:textId="77777777" w:rsidTr="00144FF3">
        <w:trPr>
          <w:cnfStyle w:val="100000000000" w:firstRow="1" w:lastRow="0" w:firstColumn="0" w:lastColumn="0" w:oddVBand="0" w:evenVBand="0" w:oddHBand="0" w:evenHBand="0" w:firstRowFirstColumn="0" w:firstRowLastColumn="0" w:lastRowFirstColumn="0" w:lastRowLastColumn="0"/>
        </w:trPr>
        <w:tc>
          <w:tcPr>
            <w:tcW w:w="3402" w:type="dxa"/>
            <w:noWrap/>
          </w:tcPr>
          <w:p w14:paraId="24FFC9CE" w14:textId="77777777" w:rsidR="00DE707D" w:rsidRPr="006D2D94" w:rsidRDefault="00DE707D" w:rsidP="009E51C8">
            <w:pPr>
              <w:pStyle w:val="ARGrantstablecolhead"/>
            </w:pPr>
            <w:r w:rsidRPr="006D2D94">
              <w:t>Organisation</w:t>
            </w:r>
          </w:p>
        </w:tc>
        <w:tc>
          <w:tcPr>
            <w:tcW w:w="1187" w:type="dxa"/>
            <w:shd w:val="clear" w:color="auto" w:fill="E7E6E6" w:themeFill="background2"/>
            <w:noWrap/>
          </w:tcPr>
          <w:p w14:paraId="03EDBAAF" w14:textId="77777777" w:rsidR="00DE707D" w:rsidRPr="006D2D94" w:rsidRDefault="00DE707D" w:rsidP="0009574E">
            <w:pPr>
              <w:pStyle w:val="ARGrantstablecolheadright"/>
            </w:pPr>
            <w:r w:rsidRPr="006D2D94">
              <w:t>Payment ($)</w:t>
            </w:r>
          </w:p>
        </w:tc>
      </w:tr>
      <w:tr w:rsidR="00DE707D" w:rsidRPr="006801A5" w14:paraId="37BB1D2D" w14:textId="77777777" w:rsidTr="00144FF3">
        <w:tc>
          <w:tcPr>
            <w:tcW w:w="3402" w:type="dxa"/>
            <w:noWrap/>
          </w:tcPr>
          <w:p w14:paraId="1A99A715" w14:textId="7BBD13C1" w:rsidR="00DE707D" w:rsidRPr="00C34FFE" w:rsidRDefault="00DE707D" w:rsidP="009E51C8">
            <w:pPr>
              <w:pStyle w:val="ARGrantstabletext"/>
            </w:pPr>
            <w:r w:rsidRPr="00C34FFE">
              <w:rPr>
                <w:color w:val="000000"/>
              </w:rPr>
              <w:t xml:space="preserve">African Women's </w:t>
            </w:r>
            <w:proofErr w:type="gramStart"/>
            <w:r w:rsidRPr="00C34FFE">
              <w:rPr>
                <w:color w:val="000000"/>
              </w:rPr>
              <w:t>And</w:t>
            </w:r>
            <w:proofErr w:type="gramEnd"/>
            <w:r w:rsidRPr="00C34FFE">
              <w:rPr>
                <w:color w:val="000000"/>
              </w:rPr>
              <w:t xml:space="preserve"> Families Network</w:t>
            </w:r>
            <w:r w:rsidR="0009574E">
              <w:rPr>
                <w:color w:val="000000"/>
              </w:rPr>
              <w:t> </w:t>
            </w:r>
            <w:r w:rsidRPr="00C34FFE">
              <w:rPr>
                <w:color w:val="000000"/>
              </w:rPr>
              <w:t>Inc.</w:t>
            </w:r>
          </w:p>
        </w:tc>
        <w:tc>
          <w:tcPr>
            <w:tcW w:w="1187" w:type="dxa"/>
            <w:shd w:val="clear" w:color="auto" w:fill="E7E6E6" w:themeFill="background2"/>
            <w:noWrap/>
          </w:tcPr>
          <w:p w14:paraId="13AB8FDF" w14:textId="77777777" w:rsidR="00DE707D" w:rsidRPr="00C34FFE" w:rsidRDefault="00DE707D" w:rsidP="0009574E">
            <w:pPr>
              <w:pStyle w:val="ARGrantstabletextright"/>
              <w:rPr>
                <w:b/>
              </w:rPr>
            </w:pPr>
            <w:r w:rsidRPr="00C34FFE">
              <w:rPr>
                <w:color w:val="000000"/>
              </w:rPr>
              <w:t>10,700</w:t>
            </w:r>
          </w:p>
        </w:tc>
      </w:tr>
      <w:tr w:rsidR="00DE707D" w:rsidRPr="006801A5" w14:paraId="5B061AAC" w14:textId="77777777" w:rsidTr="00144FF3">
        <w:tc>
          <w:tcPr>
            <w:tcW w:w="3402" w:type="dxa"/>
            <w:noWrap/>
          </w:tcPr>
          <w:p w14:paraId="205B25E9" w14:textId="77777777" w:rsidR="00DE707D" w:rsidRPr="00C34FFE" w:rsidRDefault="00DE707D" w:rsidP="009E51C8">
            <w:pPr>
              <w:pStyle w:val="ARGrantstabletext"/>
            </w:pPr>
            <w:r w:rsidRPr="00C34FFE">
              <w:rPr>
                <w:color w:val="000000"/>
              </w:rPr>
              <w:t>All Abilities Advocacy Network</w:t>
            </w:r>
          </w:p>
        </w:tc>
        <w:tc>
          <w:tcPr>
            <w:tcW w:w="1187" w:type="dxa"/>
            <w:shd w:val="clear" w:color="auto" w:fill="E7E6E6" w:themeFill="background2"/>
            <w:noWrap/>
          </w:tcPr>
          <w:p w14:paraId="63CA17F6" w14:textId="77777777" w:rsidR="00DE707D" w:rsidRPr="00C34FFE" w:rsidRDefault="00DE707D" w:rsidP="0009574E">
            <w:pPr>
              <w:pStyle w:val="ARGrantstabletextright"/>
              <w:rPr>
                <w:b/>
              </w:rPr>
            </w:pPr>
            <w:r w:rsidRPr="00C34FFE">
              <w:rPr>
                <w:color w:val="000000"/>
              </w:rPr>
              <w:t>9,740</w:t>
            </w:r>
          </w:p>
        </w:tc>
      </w:tr>
      <w:tr w:rsidR="00DE707D" w:rsidRPr="006801A5" w14:paraId="4DE3658C" w14:textId="77777777" w:rsidTr="00144FF3">
        <w:tc>
          <w:tcPr>
            <w:tcW w:w="3402" w:type="dxa"/>
            <w:noWrap/>
          </w:tcPr>
          <w:p w14:paraId="143A1E51" w14:textId="77777777" w:rsidR="00DE707D" w:rsidRPr="00C34FFE" w:rsidRDefault="00DE707D" w:rsidP="009E51C8">
            <w:pPr>
              <w:pStyle w:val="ARGrantstabletext"/>
            </w:pPr>
            <w:r w:rsidRPr="00C34FFE">
              <w:rPr>
                <w:color w:val="000000"/>
              </w:rPr>
              <w:t>Anne McDonald Centre</w:t>
            </w:r>
          </w:p>
        </w:tc>
        <w:tc>
          <w:tcPr>
            <w:tcW w:w="1187" w:type="dxa"/>
            <w:shd w:val="clear" w:color="auto" w:fill="E7E6E6" w:themeFill="background2"/>
            <w:noWrap/>
          </w:tcPr>
          <w:p w14:paraId="14A9B723" w14:textId="77777777" w:rsidR="00DE707D" w:rsidRPr="00C34FFE" w:rsidRDefault="00DE707D" w:rsidP="0009574E">
            <w:pPr>
              <w:pStyle w:val="ARGrantstabletextright"/>
              <w:rPr>
                <w:b/>
              </w:rPr>
            </w:pPr>
            <w:r w:rsidRPr="00C34FFE">
              <w:rPr>
                <w:color w:val="000000"/>
              </w:rPr>
              <w:t>8,000</w:t>
            </w:r>
          </w:p>
        </w:tc>
      </w:tr>
      <w:tr w:rsidR="00DE707D" w:rsidRPr="006801A5" w14:paraId="03E7B0E1" w14:textId="77777777" w:rsidTr="00144FF3">
        <w:tc>
          <w:tcPr>
            <w:tcW w:w="3402" w:type="dxa"/>
            <w:noWrap/>
          </w:tcPr>
          <w:p w14:paraId="27BB8FAA" w14:textId="77777777" w:rsidR="00DE707D" w:rsidRPr="00C34FFE" w:rsidRDefault="00DE707D" w:rsidP="009E51C8">
            <w:pPr>
              <w:pStyle w:val="ARGrantstabletext"/>
            </w:pPr>
            <w:r w:rsidRPr="00C34FFE">
              <w:rPr>
                <w:color w:val="000000"/>
              </w:rPr>
              <w:t>Aphasia Victoria</w:t>
            </w:r>
          </w:p>
        </w:tc>
        <w:tc>
          <w:tcPr>
            <w:tcW w:w="1187" w:type="dxa"/>
            <w:shd w:val="clear" w:color="auto" w:fill="E7E6E6" w:themeFill="background2"/>
            <w:noWrap/>
          </w:tcPr>
          <w:p w14:paraId="6183447F" w14:textId="77777777" w:rsidR="00DE707D" w:rsidRPr="00C34FFE" w:rsidRDefault="00DE707D" w:rsidP="0009574E">
            <w:pPr>
              <w:pStyle w:val="ARGrantstabletextright"/>
              <w:rPr>
                <w:b/>
              </w:rPr>
            </w:pPr>
            <w:r w:rsidRPr="00C34FFE">
              <w:rPr>
                <w:color w:val="000000"/>
              </w:rPr>
              <w:t>11,600</w:t>
            </w:r>
          </w:p>
        </w:tc>
      </w:tr>
      <w:tr w:rsidR="00DE707D" w:rsidRPr="006801A5" w14:paraId="4BF0F247" w14:textId="77777777" w:rsidTr="00144FF3">
        <w:tc>
          <w:tcPr>
            <w:tcW w:w="3402" w:type="dxa"/>
            <w:noWrap/>
          </w:tcPr>
          <w:p w14:paraId="6A795B10" w14:textId="44F045CB" w:rsidR="00DE707D" w:rsidRPr="00C34FFE" w:rsidRDefault="00DE707D" w:rsidP="009E51C8">
            <w:pPr>
              <w:pStyle w:val="ARGrantstabletext"/>
            </w:pPr>
            <w:r w:rsidRPr="00C34FFE">
              <w:rPr>
                <w:color w:val="000000"/>
              </w:rPr>
              <w:t xml:space="preserve">Ashwood </w:t>
            </w:r>
            <w:proofErr w:type="spellStart"/>
            <w:r w:rsidRPr="00C34FFE">
              <w:rPr>
                <w:color w:val="000000"/>
              </w:rPr>
              <w:t>ParkinSong</w:t>
            </w:r>
            <w:proofErr w:type="spellEnd"/>
            <w:r w:rsidRPr="00C34FFE">
              <w:rPr>
                <w:color w:val="000000"/>
              </w:rPr>
              <w:t xml:space="preserve"> Peer Support</w:t>
            </w:r>
            <w:r w:rsidR="00144FF3">
              <w:rPr>
                <w:color w:val="000000"/>
              </w:rPr>
              <w:t> </w:t>
            </w:r>
            <w:r w:rsidRPr="00C34FFE">
              <w:rPr>
                <w:color w:val="000000"/>
              </w:rPr>
              <w:t>Group</w:t>
            </w:r>
          </w:p>
        </w:tc>
        <w:tc>
          <w:tcPr>
            <w:tcW w:w="1187" w:type="dxa"/>
            <w:shd w:val="clear" w:color="auto" w:fill="E7E6E6" w:themeFill="background2"/>
            <w:noWrap/>
          </w:tcPr>
          <w:p w14:paraId="4CA75EE9" w14:textId="77777777" w:rsidR="00DE707D" w:rsidRPr="00C34FFE" w:rsidRDefault="00DE707D" w:rsidP="0009574E">
            <w:pPr>
              <w:pStyle w:val="ARGrantstabletextright"/>
              <w:rPr>
                <w:b/>
              </w:rPr>
            </w:pPr>
            <w:r w:rsidRPr="00C34FFE">
              <w:rPr>
                <w:color w:val="000000"/>
              </w:rPr>
              <w:t>14,000</w:t>
            </w:r>
          </w:p>
        </w:tc>
      </w:tr>
      <w:tr w:rsidR="00DE707D" w:rsidRPr="006801A5" w14:paraId="7447452F" w14:textId="77777777" w:rsidTr="00144FF3">
        <w:tc>
          <w:tcPr>
            <w:tcW w:w="3402" w:type="dxa"/>
            <w:noWrap/>
          </w:tcPr>
          <w:p w14:paraId="758B5B44" w14:textId="77777777" w:rsidR="00DE707D" w:rsidRPr="00C34FFE" w:rsidRDefault="00DE707D" w:rsidP="009E51C8">
            <w:pPr>
              <w:pStyle w:val="ARGrantstabletext"/>
            </w:pPr>
            <w:r w:rsidRPr="00C34FFE">
              <w:rPr>
                <w:color w:val="000000"/>
              </w:rPr>
              <w:t>Aspergers Victoria Incorporated</w:t>
            </w:r>
          </w:p>
        </w:tc>
        <w:tc>
          <w:tcPr>
            <w:tcW w:w="1187" w:type="dxa"/>
            <w:shd w:val="clear" w:color="auto" w:fill="E7E6E6" w:themeFill="background2"/>
            <w:noWrap/>
          </w:tcPr>
          <w:p w14:paraId="7E3938DC" w14:textId="77777777" w:rsidR="00DE707D" w:rsidRPr="00C34FFE" w:rsidRDefault="00DE707D" w:rsidP="0009574E">
            <w:pPr>
              <w:pStyle w:val="ARGrantstabletextright"/>
              <w:rPr>
                <w:b/>
              </w:rPr>
            </w:pPr>
            <w:r w:rsidRPr="00C34FFE">
              <w:rPr>
                <w:color w:val="000000"/>
              </w:rPr>
              <w:t>41,420</w:t>
            </w:r>
          </w:p>
        </w:tc>
      </w:tr>
      <w:tr w:rsidR="00DE707D" w:rsidRPr="006801A5" w14:paraId="694E5875" w14:textId="77777777" w:rsidTr="00144FF3">
        <w:tc>
          <w:tcPr>
            <w:tcW w:w="3402" w:type="dxa"/>
            <w:noWrap/>
          </w:tcPr>
          <w:p w14:paraId="6D360040" w14:textId="77777777" w:rsidR="00DE707D" w:rsidRPr="00C34FFE" w:rsidRDefault="00DE707D" w:rsidP="009E51C8">
            <w:pPr>
              <w:pStyle w:val="ARGrantstabletext"/>
            </w:pPr>
            <w:r w:rsidRPr="00C34FFE">
              <w:rPr>
                <w:color w:val="000000"/>
              </w:rPr>
              <w:t>Assist Ability Australia</w:t>
            </w:r>
          </w:p>
        </w:tc>
        <w:tc>
          <w:tcPr>
            <w:tcW w:w="1187" w:type="dxa"/>
            <w:shd w:val="clear" w:color="auto" w:fill="E7E6E6" w:themeFill="background2"/>
            <w:noWrap/>
          </w:tcPr>
          <w:p w14:paraId="4BB491E8" w14:textId="77777777" w:rsidR="00DE707D" w:rsidRPr="00C34FFE" w:rsidRDefault="00DE707D" w:rsidP="0009574E">
            <w:pPr>
              <w:pStyle w:val="ARGrantstabletextright"/>
              <w:rPr>
                <w:b/>
              </w:rPr>
            </w:pPr>
            <w:r w:rsidRPr="00C34FFE">
              <w:rPr>
                <w:color w:val="000000"/>
              </w:rPr>
              <w:t>14,000</w:t>
            </w:r>
          </w:p>
        </w:tc>
      </w:tr>
      <w:tr w:rsidR="00DE707D" w:rsidRPr="006801A5" w14:paraId="3901AF60" w14:textId="77777777" w:rsidTr="00144FF3">
        <w:tc>
          <w:tcPr>
            <w:tcW w:w="3402" w:type="dxa"/>
            <w:noWrap/>
          </w:tcPr>
          <w:p w14:paraId="7DA45EE9" w14:textId="22C923E1" w:rsidR="00DE707D" w:rsidRPr="00C34FFE" w:rsidRDefault="00DE707D" w:rsidP="009E51C8">
            <w:pPr>
              <w:pStyle w:val="ARGrantstabletext"/>
            </w:pPr>
            <w:r w:rsidRPr="00C34FFE">
              <w:rPr>
                <w:color w:val="000000"/>
              </w:rPr>
              <w:t>Autism Family Support Association Inc</w:t>
            </w:r>
            <w:r w:rsidR="00EA7A42">
              <w:rPr>
                <w:color w:val="000000"/>
              </w:rPr>
              <w:t>.</w:t>
            </w:r>
          </w:p>
        </w:tc>
        <w:tc>
          <w:tcPr>
            <w:tcW w:w="1187" w:type="dxa"/>
            <w:shd w:val="clear" w:color="auto" w:fill="E7E6E6" w:themeFill="background2"/>
            <w:noWrap/>
          </w:tcPr>
          <w:p w14:paraId="25DA0BC1" w14:textId="77777777" w:rsidR="00DE707D" w:rsidRPr="00C34FFE" w:rsidRDefault="00DE707D" w:rsidP="0009574E">
            <w:pPr>
              <w:pStyle w:val="ARGrantstabletextright"/>
              <w:rPr>
                <w:b/>
              </w:rPr>
            </w:pPr>
            <w:r w:rsidRPr="00C34FFE">
              <w:rPr>
                <w:color w:val="000000"/>
              </w:rPr>
              <w:t>14,000</w:t>
            </w:r>
          </w:p>
        </w:tc>
      </w:tr>
      <w:tr w:rsidR="00DE707D" w:rsidRPr="006801A5" w14:paraId="645679F8" w14:textId="77777777" w:rsidTr="00144FF3">
        <w:tc>
          <w:tcPr>
            <w:tcW w:w="3402" w:type="dxa"/>
            <w:noWrap/>
          </w:tcPr>
          <w:p w14:paraId="10B1BB90" w14:textId="77777777" w:rsidR="00DE707D" w:rsidRPr="00C34FFE" w:rsidRDefault="00DE707D" w:rsidP="009E51C8">
            <w:pPr>
              <w:pStyle w:val="ARGrantstabletext"/>
            </w:pPr>
            <w:r w:rsidRPr="00C34FFE">
              <w:rPr>
                <w:color w:val="000000"/>
              </w:rPr>
              <w:t>Ballarat Autism Network</w:t>
            </w:r>
          </w:p>
        </w:tc>
        <w:tc>
          <w:tcPr>
            <w:tcW w:w="1187" w:type="dxa"/>
            <w:shd w:val="clear" w:color="auto" w:fill="E7E6E6" w:themeFill="background2"/>
            <w:noWrap/>
          </w:tcPr>
          <w:p w14:paraId="0D7533F2" w14:textId="77777777" w:rsidR="00DE707D" w:rsidRPr="00C34FFE" w:rsidRDefault="00DE707D" w:rsidP="0009574E">
            <w:pPr>
              <w:pStyle w:val="ARGrantstabletextright"/>
              <w:rPr>
                <w:b/>
              </w:rPr>
            </w:pPr>
            <w:r w:rsidRPr="00C34FFE">
              <w:rPr>
                <w:color w:val="000000"/>
              </w:rPr>
              <w:t>13,010</w:t>
            </w:r>
          </w:p>
        </w:tc>
      </w:tr>
      <w:tr w:rsidR="00DE707D" w:rsidRPr="006801A5" w14:paraId="78715796" w14:textId="77777777" w:rsidTr="00144FF3">
        <w:tc>
          <w:tcPr>
            <w:tcW w:w="3402" w:type="dxa"/>
            <w:noWrap/>
          </w:tcPr>
          <w:p w14:paraId="6491FBA1" w14:textId="77777777" w:rsidR="00DE707D" w:rsidRPr="00C34FFE" w:rsidRDefault="00DE707D" w:rsidP="009E51C8">
            <w:pPr>
              <w:pStyle w:val="ARGrantstabletext"/>
            </w:pPr>
            <w:r w:rsidRPr="00C34FFE">
              <w:rPr>
                <w:color w:val="000000"/>
              </w:rPr>
              <w:t>Bendigo Autism Asperger Group</w:t>
            </w:r>
          </w:p>
        </w:tc>
        <w:tc>
          <w:tcPr>
            <w:tcW w:w="1187" w:type="dxa"/>
            <w:shd w:val="clear" w:color="auto" w:fill="E7E6E6" w:themeFill="background2"/>
            <w:noWrap/>
          </w:tcPr>
          <w:p w14:paraId="4F6F35D7" w14:textId="77777777" w:rsidR="00DE707D" w:rsidRPr="00C34FFE" w:rsidRDefault="00DE707D" w:rsidP="0009574E">
            <w:pPr>
              <w:pStyle w:val="ARGrantstabletextright"/>
              <w:rPr>
                <w:b/>
              </w:rPr>
            </w:pPr>
            <w:r w:rsidRPr="00C34FFE">
              <w:rPr>
                <w:color w:val="000000"/>
              </w:rPr>
              <w:t>7,000</w:t>
            </w:r>
          </w:p>
        </w:tc>
      </w:tr>
      <w:tr w:rsidR="00DE707D" w:rsidRPr="006801A5" w14:paraId="3B2256E6" w14:textId="77777777" w:rsidTr="00144FF3">
        <w:tc>
          <w:tcPr>
            <w:tcW w:w="3402" w:type="dxa"/>
            <w:noWrap/>
          </w:tcPr>
          <w:p w14:paraId="2F3A1792" w14:textId="77777777" w:rsidR="00DE707D" w:rsidRPr="00C34FFE" w:rsidRDefault="00DE707D" w:rsidP="009E51C8">
            <w:pPr>
              <w:pStyle w:val="ARGrantstabletext"/>
            </w:pPr>
            <w:r w:rsidRPr="00C34FFE">
              <w:rPr>
                <w:color w:val="000000"/>
              </w:rPr>
              <w:t>BPD Community Victoria L</w:t>
            </w:r>
            <w:r>
              <w:rPr>
                <w:color w:val="000000"/>
              </w:rPr>
              <w:t>td</w:t>
            </w:r>
          </w:p>
        </w:tc>
        <w:tc>
          <w:tcPr>
            <w:tcW w:w="1187" w:type="dxa"/>
            <w:shd w:val="clear" w:color="auto" w:fill="E7E6E6" w:themeFill="background2"/>
            <w:noWrap/>
          </w:tcPr>
          <w:p w14:paraId="62A6FC1A" w14:textId="77777777" w:rsidR="00DE707D" w:rsidRPr="00C34FFE" w:rsidRDefault="00DE707D" w:rsidP="0009574E">
            <w:pPr>
              <w:pStyle w:val="ARGrantstabletextright"/>
              <w:rPr>
                <w:b/>
              </w:rPr>
            </w:pPr>
            <w:r w:rsidRPr="00C34FFE">
              <w:rPr>
                <w:color w:val="000000"/>
              </w:rPr>
              <w:t>14,000</w:t>
            </w:r>
          </w:p>
        </w:tc>
      </w:tr>
      <w:tr w:rsidR="00DE707D" w:rsidRPr="006801A5" w14:paraId="41094B74" w14:textId="77777777" w:rsidTr="00144FF3">
        <w:tc>
          <w:tcPr>
            <w:tcW w:w="3402" w:type="dxa"/>
            <w:noWrap/>
          </w:tcPr>
          <w:p w14:paraId="2F6C8D26" w14:textId="77777777" w:rsidR="00DE707D" w:rsidRPr="00C34FFE" w:rsidRDefault="00DE707D" w:rsidP="009E51C8">
            <w:pPr>
              <w:pStyle w:val="ARGrantstabletext"/>
            </w:pPr>
            <w:r>
              <w:rPr>
                <w:color w:val="000000"/>
              </w:rPr>
              <w:t xml:space="preserve">Cald MS Peer Support Group Footscray </w:t>
            </w:r>
          </w:p>
        </w:tc>
        <w:tc>
          <w:tcPr>
            <w:tcW w:w="1187" w:type="dxa"/>
            <w:shd w:val="clear" w:color="auto" w:fill="E7E6E6" w:themeFill="background2"/>
            <w:noWrap/>
          </w:tcPr>
          <w:p w14:paraId="726FAB3E" w14:textId="77777777" w:rsidR="00DE707D" w:rsidRPr="00C34FFE" w:rsidRDefault="00DE707D" w:rsidP="0009574E">
            <w:pPr>
              <w:pStyle w:val="ARGrantstabletextright"/>
              <w:rPr>
                <w:b/>
              </w:rPr>
            </w:pPr>
            <w:r w:rsidRPr="00C34FFE">
              <w:rPr>
                <w:color w:val="000000"/>
              </w:rPr>
              <w:t>9,678</w:t>
            </w:r>
          </w:p>
        </w:tc>
      </w:tr>
      <w:tr w:rsidR="00DE707D" w:rsidRPr="006801A5" w14:paraId="0C1B7436" w14:textId="77777777" w:rsidTr="00144FF3">
        <w:tc>
          <w:tcPr>
            <w:tcW w:w="3402" w:type="dxa"/>
            <w:noWrap/>
          </w:tcPr>
          <w:p w14:paraId="1CA08A91" w14:textId="585976F7" w:rsidR="00DE707D" w:rsidRPr="00C34FFE" w:rsidRDefault="00DE707D" w:rsidP="009E51C8">
            <w:pPr>
              <w:pStyle w:val="ARGrantstabletext"/>
            </w:pPr>
            <w:r w:rsidRPr="00C34FFE">
              <w:rPr>
                <w:color w:val="000000"/>
              </w:rPr>
              <w:t>Chinese Parents Special Support</w:t>
            </w:r>
            <w:r w:rsidR="0009574E">
              <w:rPr>
                <w:color w:val="000000"/>
              </w:rPr>
              <w:t> </w:t>
            </w:r>
            <w:r w:rsidRPr="00C34FFE">
              <w:rPr>
                <w:color w:val="000000"/>
              </w:rPr>
              <w:t>Network</w:t>
            </w:r>
          </w:p>
        </w:tc>
        <w:tc>
          <w:tcPr>
            <w:tcW w:w="1187" w:type="dxa"/>
            <w:shd w:val="clear" w:color="auto" w:fill="E7E6E6" w:themeFill="background2"/>
            <w:noWrap/>
          </w:tcPr>
          <w:p w14:paraId="55F0A5F4" w14:textId="77777777" w:rsidR="00DE707D" w:rsidRPr="00C34FFE" w:rsidRDefault="00DE707D" w:rsidP="0009574E">
            <w:pPr>
              <w:pStyle w:val="ARGrantstabletextright"/>
              <w:rPr>
                <w:b/>
              </w:rPr>
            </w:pPr>
            <w:r w:rsidRPr="00C34FFE">
              <w:rPr>
                <w:color w:val="000000"/>
              </w:rPr>
              <w:t>14,000</w:t>
            </w:r>
          </w:p>
        </w:tc>
      </w:tr>
      <w:tr w:rsidR="00DE707D" w:rsidRPr="006801A5" w14:paraId="5CEE7FEA" w14:textId="77777777" w:rsidTr="00144FF3">
        <w:tc>
          <w:tcPr>
            <w:tcW w:w="3402" w:type="dxa"/>
            <w:noWrap/>
          </w:tcPr>
          <w:p w14:paraId="1445E4AE" w14:textId="77777777" w:rsidR="00DE707D" w:rsidRPr="00C34FFE" w:rsidRDefault="00DE707D" w:rsidP="009E51C8">
            <w:pPr>
              <w:pStyle w:val="ARGrantstabletext"/>
            </w:pPr>
            <w:r w:rsidRPr="00C34FFE">
              <w:rPr>
                <w:color w:val="000000"/>
              </w:rPr>
              <w:t>Cloverdale Community Centre</w:t>
            </w:r>
          </w:p>
        </w:tc>
        <w:tc>
          <w:tcPr>
            <w:tcW w:w="1187" w:type="dxa"/>
            <w:shd w:val="clear" w:color="auto" w:fill="E7E6E6" w:themeFill="background2"/>
            <w:noWrap/>
          </w:tcPr>
          <w:p w14:paraId="5862AF5E" w14:textId="77777777" w:rsidR="00DE707D" w:rsidRPr="00C34FFE" w:rsidRDefault="00DE707D" w:rsidP="0009574E">
            <w:pPr>
              <w:pStyle w:val="ARGrantstabletextright"/>
              <w:rPr>
                <w:b/>
              </w:rPr>
            </w:pPr>
            <w:r w:rsidRPr="00C34FFE">
              <w:rPr>
                <w:color w:val="000000"/>
              </w:rPr>
              <w:t>7,000</w:t>
            </w:r>
          </w:p>
        </w:tc>
      </w:tr>
      <w:tr w:rsidR="00DE707D" w:rsidRPr="006801A5" w14:paraId="48799A3A" w14:textId="77777777" w:rsidTr="00144FF3">
        <w:tc>
          <w:tcPr>
            <w:tcW w:w="3402" w:type="dxa"/>
            <w:noWrap/>
          </w:tcPr>
          <w:p w14:paraId="44AE1AE2" w14:textId="77777777" w:rsidR="00DE707D" w:rsidRPr="00C34FFE" w:rsidRDefault="00DE707D" w:rsidP="009E51C8">
            <w:pPr>
              <w:pStyle w:val="ARGrantstabletext"/>
            </w:pPr>
            <w:r w:rsidRPr="00C34FFE">
              <w:rPr>
                <w:color w:val="000000"/>
              </w:rPr>
              <w:t>C</w:t>
            </w:r>
            <w:r>
              <w:rPr>
                <w:color w:val="000000"/>
              </w:rPr>
              <w:t>ranbourne Stroke Support Group</w:t>
            </w:r>
          </w:p>
        </w:tc>
        <w:tc>
          <w:tcPr>
            <w:tcW w:w="1187" w:type="dxa"/>
            <w:shd w:val="clear" w:color="auto" w:fill="E7E6E6" w:themeFill="background2"/>
            <w:noWrap/>
          </w:tcPr>
          <w:p w14:paraId="664A3900" w14:textId="77777777" w:rsidR="00DE707D" w:rsidRPr="00C34FFE" w:rsidRDefault="00DE707D" w:rsidP="0009574E">
            <w:pPr>
              <w:pStyle w:val="ARGrantstabletextright"/>
              <w:rPr>
                <w:b/>
              </w:rPr>
            </w:pPr>
            <w:r w:rsidRPr="00C34FFE">
              <w:rPr>
                <w:color w:val="000000"/>
              </w:rPr>
              <w:t>12,000</w:t>
            </w:r>
          </w:p>
        </w:tc>
      </w:tr>
      <w:tr w:rsidR="00DE707D" w:rsidRPr="006801A5" w14:paraId="7CA99CB1" w14:textId="77777777" w:rsidTr="00144FF3">
        <w:tc>
          <w:tcPr>
            <w:tcW w:w="3402" w:type="dxa"/>
            <w:noWrap/>
          </w:tcPr>
          <w:p w14:paraId="7C1E8C1E" w14:textId="77777777" w:rsidR="00DE707D" w:rsidRPr="00C34FFE" w:rsidRDefault="00DE707D" w:rsidP="009E51C8">
            <w:pPr>
              <w:pStyle w:val="ARGrantstabletext"/>
              <w:rPr>
                <w:color w:val="000000"/>
              </w:rPr>
            </w:pPr>
            <w:r w:rsidRPr="00C34FFE">
              <w:rPr>
                <w:color w:val="000000"/>
              </w:rPr>
              <w:t>Different Journeys</w:t>
            </w:r>
          </w:p>
        </w:tc>
        <w:tc>
          <w:tcPr>
            <w:tcW w:w="1187" w:type="dxa"/>
            <w:shd w:val="clear" w:color="auto" w:fill="E7E6E6" w:themeFill="background2"/>
            <w:noWrap/>
          </w:tcPr>
          <w:p w14:paraId="3AF24E10" w14:textId="77777777" w:rsidR="00DE707D" w:rsidRPr="00C34FFE" w:rsidRDefault="00DE707D" w:rsidP="0009574E">
            <w:pPr>
              <w:pStyle w:val="ARGrantstabletextright"/>
              <w:rPr>
                <w:color w:val="000000"/>
              </w:rPr>
            </w:pPr>
            <w:r w:rsidRPr="00C34FFE">
              <w:rPr>
                <w:color w:val="000000"/>
              </w:rPr>
              <w:t>7,000</w:t>
            </w:r>
          </w:p>
        </w:tc>
      </w:tr>
      <w:tr w:rsidR="00DE707D" w:rsidRPr="006801A5" w14:paraId="251212ED" w14:textId="77777777" w:rsidTr="00144FF3">
        <w:tc>
          <w:tcPr>
            <w:tcW w:w="3402" w:type="dxa"/>
            <w:noWrap/>
          </w:tcPr>
          <w:p w14:paraId="11ED2D30" w14:textId="77777777" w:rsidR="00DE707D" w:rsidRPr="00C34FFE" w:rsidRDefault="00DE707D" w:rsidP="009E51C8">
            <w:pPr>
              <w:pStyle w:val="ARGrantstabletext"/>
              <w:rPr>
                <w:color w:val="000000"/>
              </w:rPr>
            </w:pPr>
            <w:r w:rsidRPr="00C34FFE">
              <w:rPr>
                <w:color w:val="000000"/>
              </w:rPr>
              <w:t>Disability Resources Centre</w:t>
            </w:r>
          </w:p>
        </w:tc>
        <w:tc>
          <w:tcPr>
            <w:tcW w:w="1187" w:type="dxa"/>
            <w:shd w:val="clear" w:color="auto" w:fill="E7E6E6" w:themeFill="background2"/>
            <w:noWrap/>
          </w:tcPr>
          <w:p w14:paraId="52EB39B7" w14:textId="77777777" w:rsidR="00DE707D" w:rsidRPr="00C34FFE" w:rsidRDefault="00DE707D" w:rsidP="0009574E">
            <w:pPr>
              <w:pStyle w:val="ARGrantstabletextright"/>
              <w:rPr>
                <w:color w:val="000000"/>
              </w:rPr>
            </w:pPr>
            <w:r w:rsidRPr="00C34FFE">
              <w:rPr>
                <w:color w:val="000000"/>
              </w:rPr>
              <w:t>28,000</w:t>
            </w:r>
          </w:p>
        </w:tc>
      </w:tr>
      <w:tr w:rsidR="00DE707D" w:rsidRPr="006801A5" w14:paraId="275BE413" w14:textId="77777777" w:rsidTr="00144FF3">
        <w:tc>
          <w:tcPr>
            <w:tcW w:w="3402" w:type="dxa"/>
            <w:noWrap/>
          </w:tcPr>
          <w:p w14:paraId="416CC1B9" w14:textId="77777777" w:rsidR="00DE707D" w:rsidRPr="00C34FFE" w:rsidRDefault="00DE707D" w:rsidP="009E51C8">
            <w:pPr>
              <w:pStyle w:val="ARGrantstabletext"/>
              <w:rPr>
                <w:color w:val="000000"/>
              </w:rPr>
            </w:pPr>
            <w:r w:rsidRPr="00C34FFE">
              <w:rPr>
                <w:color w:val="000000"/>
              </w:rPr>
              <w:t>Disabled QBIPOC Collective</w:t>
            </w:r>
          </w:p>
        </w:tc>
        <w:tc>
          <w:tcPr>
            <w:tcW w:w="1187" w:type="dxa"/>
            <w:shd w:val="clear" w:color="auto" w:fill="E7E6E6" w:themeFill="background2"/>
            <w:noWrap/>
          </w:tcPr>
          <w:p w14:paraId="0450B5D2" w14:textId="77777777" w:rsidR="00DE707D" w:rsidRPr="00C34FFE" w:rsidRDefault="00DE707D" w:rsidP="0009574E">
            <w:pPr>
              <w:pStyle w:val="ARGrantstabletextright"/>
              <w:rPr>
                <w:color w:val="000000"/>
              </w:rPr>
            </w:pPr>
            <w:r w:rsidRPr="00C34FFE">
              <w:rPr>
                <w:color w:val="000000"/>
              </w:rPr>
              <w:t>7,000</w:t>
            </w:r>
          </w:p>
        </w:tc>
      </w:tr>
      <w:tr w:rsidR="00DE707D" w:rsidRPr="006801A5" w14:paraId="42E9A3E8" w14:textId="77777777" w:rsidTr="00144FF3">
        <w:tc>
          <w:tcPr>
            <w:tcW w:w="3402" w:type="dxa"/>
            <w:noWrap/>
          </w:tcPr>
          <w:p w14:paraId="0B497BE1" w14:textId="77777777" w:rsidR="00DE707D" w:rsidRPr="00C34FFE" w:rsidRDefault="00DE707D" w:rsidP="009E51C8">
            <w:pPr>
              <w:pStyle w:val="ARGrantstabletext"/>
              <w:rPr>
                <w:color w:val="000000"/>
              </w:rPr>
            </w:pPr>
            <w:r w:rsidRPr="00C34FFE">
              <w:rPr>
                <w:color w:val="000000"/>
              </w:rPr>
              <w:t>East African Women's Foundation</w:t>
            </w:r>
          </w:p>
        </w:tc>
        <w:tc>
          <w:tcPr>
            <w:tcW w:w="1187" w:type="dxa"/>
            <w:shd w:val="clear" w:color="auto" w:fill="E7E6E6" w:themeFill="background2"/>
            <w:noWrap/>
          </w:tcPr>
          <w:p w14:paraId="1D222B73" w14:textId="77777777" w:rsidR="00DE707D" w:rsidRPr="00C34FFE" w:rsidRDefault="00DE707D" w:rsidP="0009574E">
            <w:pPr>
              <w:pStyle w:val="ARGrantstabletextright"/>
              <w:rPr>
                <w:color w:val="000000"/>
              </w:rPr>
            </w:pPr>
            <w:r w:rsidRPr="00C34FFE">
              <w:rPr>
                <w:color w:val="000000"/>
              </w:rPr>
              <w:t>14,000</w:t>
            </w:r>
          </w:p>
        </w:tc>
      </w:tr>
      <w:tr w:rsidR="00DE707D" w:rsidRPr="006801A5" w14:paraId="20995579" w14:textId="77777777" w:rsidTr="00144FF3">
        <w:tc>
          <w:tcPr>
            <w:tcW w:w="3402" w:type="dxa"/>
            <w:noWrap/>
          </w:tcPr>
          <w:p w14:paraId="1841DFEA" w14:textId="66AE805B" w:rsidR="00DE707D" w:rsidRPr="00C34FFE" w:rsidRDefault="00DE707D" w:rsidP="009E51C8">
            <w:pPr>
              <w:pStyle w:val="ARGrantstabletext"/>
              <w:rPr>
                <w:color w:val="000000"/>
              </w:rPr>
            </w:pPr>
            <w:r w:rsidRPr="00C34FFE">
              <w:rPr>
                <w:color w:val="000000"/>
              </w:rPr>
              <w:t>Essendon Parkinsons Support Group</w:t>
            </w:r>
            <w:r w:rsidR="0009574E">
              <w:rPr>
                <w:color w:val="000000"/>
              </w:rPr>
              <w:t> </w:t>
            </w:r>
            <w:r w:rsidRPr="00C34FFE">
              <w:rPr>
                <w:color w:val="000000"/>
              </w:rPr>
              <w:t>Inc</w:t>
            </w:r>
            <w:r w:rsidR="00EA7A42">
              <w:rPr>
                <w:color w:val="000000"/>
              </w:rPr>
              <w:t>.</w:t>
            </w:r>
          </w:p>
        </w:tc>
        <w:tc>
          <w:tcPr>
            <w:tcW w:w="1187" w:type="dxa"/>
            <w:shd w:val="clear" w:color="auto" w:fill="E7E6E6" w:themeFill="background2"/>
            <w:noWrap/>
          </w:tcPr>
          <w:p w14:paraId="3237C550" w14:textId="77777777" w:rsidR="00DE707D" w:rsidRPr="00C34FFE" w:rsidRDefault="00DE707D" w:rsidP="0009574E">
            <w:pPr>
              <w:pStyle w:val="ARGrantstabletextright"/>
              <w:rPr>
                <w:color w:val="000000"/>
              </w:rPr>
            </w:pPr>
            <w:r w:rsidRPr="00C34FFE">
              <w:rPr>
                <w:color w:val="000000"/>
              </w:rPr>
              <w:t>7,785</w:t>
            </w:r>
          </w:p>
        </w:tc>
      </w:tr>
      <w:tr w:rsidR="00DE707D" w:rsidRPr="006801A5" w14:paraId="1E68A93C" w14:textId="77777777" w:rsidTr="00144FF3">
        <w:tc>
          <w:tcPr>
            <w:tcW w:w="3402" w:type="dxa"/>
            <w:noWrap/>
          </w:tcPr>
          <w:p w14:paraId="3570BA68" w14:textId="77777777" w:rsidR="00DE707D" w:rsidRPr="00C34FFE" w:rsidRDefault="00DE707D" w:rsidP="009E51C8">
            <w:pPr>
              <w:pStyle w:val="ARGrantstabletext"/>
              <w:rPr>
                <w:color w:val="000000"/>
              </w:rPr>
            </w:pPr>
            <w:r w:rsidRPr="00C34FFE">
              <w:rPr>
                <w:color w:val="000000"/>
              </w:rPr>
              <w:t>Glenroy Neighbourhood Learning Centre</w:t>
            </w:r>
          </w:p>
        </w:tc>
        <w:tc>
          <w:tcPr>
            <w:tcW w:w="1187" w:type="dxa"/>
            <w:shd w:val="clear" w:color="auto" w:fill="E7E6E6" w:themeFill="background2"/>
            <w:noWrap/>
          </w:tcPr>
          <w:p w14:paraId="40ABEB24" w14:textId="77777777" w:rsidR="00DE707D" w:rsidRPr="00C34FFE" w:rsidRDefault="00DE707D" w:rsidP="0009574E">
            <w:pPr>
              <w:pStyle w:val="ARGrantstabletextright"/>
              <w:rPr>
                <w:color w:val="000000"/>
              </w:rPr>
            </w:pPr>
            <w:r w:rsidRPr="00C34FFE">
              <w:rPr>
                <w:color w:val="000000"/>
              </w:rPr>
              <w:t>14,000</w:t>
            </w:r>
          </w:p>
        </w:tc>
      </w:tr>
      <w:tr w:rsidR="00DE707D" w:rsidRPr="006801A5" w14:paraId="484C37CF" w14:textId="77777777" w:rsidTr="00144FF3">
        <w:tc>
          <w:tcPr>
            <w:tcW w:w="3402" w:type="dxa"/>
            <w:noWrap/>
          </w:tcPr>
          <w:p w14:paraId="30311E84" w14:textId="77777777" w:rsidR="00DE707D" w:rsidRPr="00C34FFE" w:rsidRDefault="00DE707D" w:rsidP="009E51C8">
            <w:pPr>
              <w:pStyle w:val="ARGrantstabletext"/>
              <w:rPr>
                <w:color w:val="000000"/>
              </w:rPr>
            </w:pPr>
            <w:r w:rsidRPr="00C34FFE">
              <w:rPr>
                <w:color w:val="000000"/>
              </w:rPr>
              <w:t>Hampton Park Uniting Church</w:t>
            </w:r>
          </w:p>
        </w:tc>
        <w:tc>
          <w:tcPr>
            <w:tcW w:w="1187" w:type="dxa"/>
            <w:shd w:val="clear" w:color="auto" w:fill="E7E6E6" w:themeFill="background2"/>
            <w:noWrap/>
          </w:tcPr>
          <w:p w14:paraId="676C7EE0" w14:textId="77777777" w:rsidR="00DE707D" w:rsidRPr="00C34FFE" w:rsidRDefault="00DE707D" w:rsidP="0009574E">
            <w:pPr>
              <w:pStyle w:val="ARGrantstabletextright"/>
              <w:rPr>
                <w:color w:val="000000"/>
              </w:rPr>
            </w:pPr>
            <w:r w:rsidRPr="00C34FFE">
              <w:rPr>
                <w:color w:val="000000"/>
              </w:rPr>
              <w:t>3,120</w:t>
            </w:r>
          </w:p>
        </w:tc>
      </w:tr>
      <w:tr w:rsidR="00DE707D" w:rsidRPr="006801A5" w14:paraId="0CADBB85" w14:textId="77777777" w:rsidTr="00144FF3">
        <w:tc>
          <w:tcPr>
            <w:tcW w:w="3402" w:type="dxa"/>
            <w:noWrap/>
          </w:tcPr>
          <w:p w14:paraId="2F05D146" w14:textId="77777777" w:rsidR="00DE707D" w:rsidRPr="00C34FFE" w:rsidRDefault="00DE707D" w:rsidP="009E51C8">
            <w:pPr>
              <w:pStyle w:val="ARGrantstabletext"/>
              <w:rPr>
                <w:color w:val="000000"/>
              </w:rPr>
            </w:pPr>
            <w:r w:rsidRPr="00C34FFE">
              <w:rPr>
                <w:color w:val="000000"/>
              </w:rPr>
              <w:t>Inclusive Rainbow Voices</w:t>
            </w:r>
          </w:p>
        </w:tc>
        <w:tc>
          <w:tcPr>
            <w:tcW w:w="1187" w:type="dxa"/>
            <w:shd w:val="clear" w:color="auto" w:fill="E7E6E6" w:themeFill="background2"/>
            <w:noWrap/>
          </w:tcPr>
          <w:p w14:paraId="0D3A3270" w14:textId="77777777" w:rsidR="00DE707D" w:rsidRPr="00C34FFE" w:rsidRDefault="00DE707D" w:rsidP="0009574E">
            <w:pPr>
              <w:pStyle w:val="ARGrantstabletextright"/>
              <w:rPr>
                <w:color w:val="000000"/>
              </w:rPr>
            </w:pPr>
            <w:r w:rsidRPr="00C34FFE">
              <w:rPr>
                <w:color w:val="000000"/>
              </w:rPr>
              <w:t>14,000</w:t>
            </w:r>
          </w:p>
        </w:tc>
      </w:tr>
      <w:tr w:rsidR="00DE707D" w:rsidRPr="006801A5" w14:paraId="57F5945C" w14:textId="77777777" w:rsidTr="00144FF3">
        <w:tc>
          <w:tcPr>
            <w:tcW w:w="3402" w:type="dxa"/>
            <w:noWrap/>
          </w:tcPr>
          <w:p w14:paraId="7FFFA611" w14:textId="62B30982" w:rsidR="00DE707D" w:rsidRPr="00C34FFE" w:rsidRDefault="00DE707D" w:rsidP="009E51C8">
            <w:pPr>
              <w:pStyle w:val="ARGrantstabletext"/>
              <w:rPr>
                <w:color w:val="000000"/>
              </w:rPr>
            </w:pPr>
            <w:r w:rsidRPr="00C34FFE">
              <w:rPr>
                <w:color w:val="000000"/>
              </w:rPr>
              <w:t>Kindred Clubhouse Inc</w:t>
            </w:r>
            <w:r w:rsidR="00EA7A42">
              <w:rPr>
                <w:color w:val="000000"/>
              </w:rPr>
              <w:t>.</w:t>
            </w:r>
          </w:p>
        </w:tc>
        <w:tc>
          <w:tcPr>
            <w:tcW w:w="1187" w:type="dxa"/>
            <w:shd w:val="clear" w:color="auto" w:fill="E7E6E6" w:themeFill="background2"/>
            <w:noWrap/>
          </w:tcPr>
          <w:p w14:paraId="0D92E8B1" w14:textId="77777777" w:rsidR="00DE707D" w:rsidRPr="00C34FFE" w:rsidRDefault="00DE707D" w:rsidP="0009574E">
            <w:pPr>
              <w:pStyle w:val="ARGrantstabletextright"/>
              <w:rPr>
                <w:color w:val="000000"/>
              </w:rPr>
            </w:pPr>
            <w:r w:rsidRPr="00C34FFE">
              <w:rPr>
                <w:color w:val="000000"/>
              </w:rPr>
              <w:t>12,875</w:t>
            </w:r>
          </w:p>
        </w:tc>
      </w:tr>
      <w:tr w:rsidR="00DE707D" w:rsidRPr="006801A5" w14:paraId="584EEEC6" w14:textId="77777777" w:rsidTr="00144FF3">
        <w:tc>
          <w:tcPr>
            <w:tcW w:w="3402" w:type="dxa"/>
            <w:noWrap/>
          </w:tcPr>
          <w:p w14:paraId="034960E5" w14:textId="447F3A14" w:rsidR="00DE707D" w:rsidRPr="00C34FFE" w:rsidRDefault="00DE707D" w:rsidP="009E51C8">
            <w:pPr>
              <w:pStyle w:val="ARGrantstabletext"/>
              <w:rPr>
                <w:color w:val="000000"/>
              </w:rPr>
            </w:pPr>
            <w:r w:rsidRPr="00C34FFE">
              <w:rPr>
                <w:color w:val="000000"/>
              </w:rPr>
              <w:t>Kyabram Community and Learning</w:t>
            </w:r>
            <w:r w:rsidR="00144FF3">
              <w:rPr>
                <w:color w:val="000000"/>
              </w:rPr>
              <w:t> </w:t>
            </w:r>
            <w:r w:rsidRPr="00C34FFE">
              <w:rPr>
                <w:color w:val="000000"/>
              </w:rPr>
              <w:t>Centre</w:t>
            </w:r>
          </w:p>
        </w:tc>
        <w:tc>
          <w:tcPr>
            <w:tcW w:w="1187" w:type="dxa"/>
            <w:shd w:val="clear" w:color="auto" w:fill="E7E6E6" w:themeFill="background2"/>
            <w:noWrap/>
          </w:tcPr>
          <w:p w14:paraId="3116F201" w14:textId="77777777" w:rsidR="00DE707D" w:rsidRPr="00C34FFE" w:rsidRDefault="00DE707D" w:rsidP="0009574E">
            <w:pPr>
              <w:pStyle w:val="ARGrantstabletextright"/>
              <w:rPr>
                <w:color w:val="000000"/>
              </w:rPr>
            </w:pPr>
            <w:r w:rsidRPr="00C34FFE">
              <w:rPr>
                <w:color w:val="000000"/>
              </w:rPr>
              <w:t>14,000</w:t>
            </w:r>
          </w:p>
        </w:tc>
      </w:tr>
      <w:tr w:rsidR="00DE707D" w:rsidRPr="006801A5" w14:paraId="372C876B" w14:textId="77777777" w:rsidTr="00144FF3">
        <w:tc>
          <w:tcPr>
            <w:tcW w:w="3402" w:type="dxa"/>
            <w:noWrap/>
          </w:tcPr>
          <w:p w14:paraId="672B0DAD" w14:textId="3DAB38D7" w:rsidR="00DE707D" w:rsidRPr="00C34FFE" w:rsidRDefault="00DE707D" w:rsidP="009E51C8">
            <w:pPr>
              <w:pStyle w:val="ARGrantstabletext"/>
              <w:rPr>
                <w:color w:val="000000"/>
              </w:rPr>
            </w:pPr>
            <w:r w:rsidRPr="00C34FFE">
              <w:rPr>
                <w:color w:val="000000"/>
              </w:rPr>
              <w:t>Macedon Ranges Autism Network Inc</w:t>
            </w:r>
            <w:r w:rsidR="00EA7A42">
              <w:rPr>
                <w:color w:val="000000"/>
              </w:rPr>
              <w:t>.</w:t>
            </w:r>
          </w:p>
        </w:tc>
        <w:tc>
          <w:tcPr>
            <w:tcW w:w="1187" w:type="dxa"/>
            <w:shd w:val="clear" w:color="auto" w:fill="E7E6E6" w:themeFill="background2"/>
            <w:noWrap/>
          </w:tcPr>
          <w:p w14:paraId="79B88753" w14:textId="77777777" w:rsidR="00DE707D" w:rsidRPr="00C34FFE" w:rsidRDefault="00DE707D" w:rsidP="0009574E">
            <w:pPr>
              <w:pStyle w:val="ARGrantstabletextright"/>
              <w:rPr>
                <w:color w:val="000000"/>
              </w:rPr>
            </w:pPr>
            <w:r w:rsidRPr="00C34FFE">
              <w:rPr>
                <w:color w:val="000000"/>
              </w:rPr>
              <w:t>9,400</w:t>
            </w:r>
          </w:p>
        </w:tc>
      </w:tr>
      <w:tr w:rsidR="00DE707D" w:rsidRPr="006801A5" w14:paraId="2D6A2D06" w14:textId="77777777" w:rsidTr="00144FF3">
        <w:tc>
          <w:tcPr>
            <w:tcW w:w="3402" w:type="dxa"/>
            <w:noWrap/>
          </w:tcPr>
          <w:p w14:paraId="4253EEE9" w14:textId="77777777" w:rsidR="00DE707D" w:rsidRPr="00C34FFE" w:rsidRDefault="00DE707D" w:rsidP="009E51C8">
            <w:pPr>
              <w:pStyle w:val="ARGrantstabletext"/>
              <w:rPr>
                <w:color w:val="000000"/>
              </w:rPr>
            </w:pPr>
            <w:r w:rsidRPr="00C34FFE">
              <w:rPr>
                <w:color w:val="000000"/>
              </w:rPr>
              <w:t>Maine Connection</w:t>
            </w:r>
          </w:p>
        </w:tc>
        <w:tc>
          <w:tcPr>
            <w:tcW w:w="1187" w:type="dxa"/>
            <w:shd w:val="clear" w:color="auto" w:fill="E7E6E6" w:themeFill="background2"/>
            <w:noWrap/>
          </w:tcPr>
          <w:p w14:paraId="29012EB9" w14:textId="77777777" w:rsidR="00DE707D" w:rsidRPr="00C34FFE" w:rsidRDefault="00DE707D" w:rsidP="0009574E">
            <w:pPr>
              <w:pStyle w:val="ARGrantstabletextright"/>
              <w:rPr>
                <w:color w:val="000000"/>
              </w:rPr>
            </w:pPr>
            <w:r w:rsidRPr="00C34FFE">
              <w:rPr>
                <w:color w:val="000000"/>
              </w:rPr>
              <w:t>8,150</w:t>
            </w:r>
          </w:p>
        </w:tc>
      </w:tr>
      <w:tr w:rsidR="00DE707D" w:rsidRPr="006801A5" w14:paraId="35B8DD00" w14:textId="77777777" w:rsidTr="00144FF3">
        <w:tc>
          <w:tcPr>
            <w:tcW w:w="3402" w:type="dxa"/>
            <w:noWrap/>
          </w:tcPr>
          <w:p w14:paraId="5D4E1366" w14:textId="77777777" w:rsidR="00DE707D" w:rsidRPr="00C34FFE" w:rsidRDefault="00DE707D" w:rsidP="009E51C8">
            <w:pPr>
              <w:pStyle w:val="ARGrantstabletext"/>
              <w:rPr>
                <w:color w:val="000000"/>
              </w:rPr>
            </w:pPr>
            <w:r w:rsidRPr="00C34FFE">
              <w:rPr>
                <w:color w:val="000000"/>
              </w:rPr>
              <w:t>Manningham Inclusive Community Housing Inc.</w:t>
            </w:r>
          </w:p>
        </w:tc>
        <w:tc>
          <w:tcPr>
            <w:tcW w:w="1187" w:type="dxa"/>
            <w:shd w:val="clear" w:color="auto" w:fill="E7E6E6" w:themeFill="background2"/>
            <w:noWrap/>
          </w:tcPr>
          <w:p w14:paraId="174B1031" w14:textId="77777777" w:rsidR="00DE707D" w:rsidRPr="00C34FFE" w:rsidRDefault="00DE707D" w:rsidP="0009574E">
            <w:pPr>
              <w:pStyle w:val="ARGrantstabletextright"/>
              <w:rPr>
                <w:color w:val="000000"/>
              </w:rPr>
            </w:pPr>
            <w:r w:rsidRPr="00C34FFE">
              <w:rPr>
                <w:color w:val="000000"/>
              </w:rPr>
              <w:t>8,352</w:t>
            </w:r>
          </w:p>
        </w:tc>
      </w:tr>
      <w:tr w:rsidR="00DE707D" w:rsidRPr="006801A5" w14:paraId="297930A7" w14:textId="77777777" w:rsidTr="00144FF3">
        <w:tc>
          <w:tcPr>
            <w:tcW w:w="3402" w:type="dxa"/>
            <w:noWrap/>
          </w:tcPr>
          <w:p w14:paraId="1003217E" w14:textId="77777777" w:rsidR="00DE707D" w:rsidRPr="00C34FFE" w:rsidRDefault="00DE707D" w:rsidP="009E51C8">
            <w:pPr>
              <w:pStyle w:val="ARGrantstabletext"/>
              <w:rPr>
                <w:color w:val="000000"/>
              </w:rPr>
            </w:pPr>
            <w:r w:rsidRPr="00C34FFE">
              <w:rPr>
                <w:color w:val="000000"/>
              </w:rPr>
              <w:t xml:space="preserve">Manningham Walking Group </w:t>
            </w:r>
            <w:proofErr w:type="gramStart"/>
            <w:r w:rsidRPr="00C34FFE">
              <w:rPr>
                <w:color w:val="000000"/>
              </w:rPr>
              <w:t>For</w:t>
            </w:r>
            <w:proofErr w:type="gramEnd"/>
            <w:r w:rsidRPr="00C34FFE">
              <w:rPr>
                <w:color w:val="000000"/>
              </w:rPr>
              <w:t xml:space="preserve"> Carers</w:t>
            </w:r>
          </w:p>
        </w:tc>
        <w:tc>
          <w:tcPr>
            <w:tcW w:w="1187" w:type="dxa"/>
            <w:shd w:val="clear" w:color="auto" w:fill="E7E6E6" w:themeFill="background2"/>
            <w:noWrap/>
          </w:tcPr>
          <w:p w14:paraId="6328A61A" w14:textId="77777777" w:rsidR="00DE707D" w:rsidRPr="00C34FFE" w:rsidRDefault="00DE707D" w:rsidP="0009574E">
            <w:pPr>
              <w:pStyle w:val="ARGrantstabletextright"/>
              <w:rPr>
                <w:color w:val="000000"/>
              </w:rPr>
            </w:pPr>
            <w:r w:rsidRPr="00C34FFE">
              <w:rPr>
                <w:color w:val="000000"/>
              </w:rPr>
              <w:t>6,995</w:t>
            </w:r>
          </w:p>
        </w:tc>
      </w:tr>
      <w:tr w:rsidR="00DE707D" w:rsidRPr="006801A5" w14:paraId="2BCA65BC" w14:textId="77777777" w:rsidTr="00144FF3">
        <w:tc>
          <w:tcPr>
            <w:tcW w:w="3402" w:type="dxa"/>
            <w:noWrap/>
          </w:tcPr>
          <w:p w14:paraId="294C3E27" w14:textId="6AB903DE" w:rsidR="00DE707D" w:rsidRPr="00C34FFE" w:rsidRDefault="00DE707D" w:rsidP="009E51C8">
            <w:pPr>
              <w:pStyle w:val="ARGrantstabletext"/>
              <w:rPr>
                <w:color w:val="000000"/>
              </w:rPr>
            </w:pPr>
            <w:r w:rsidRPr="00C34FFE">
              <w:rPr>
                <w:color w:val="000000"/>
              </w:rPr>
              <w:t>Mansfield Support Group for Carers and People with Special Needs Inc</w:t>
            </w:r>
            <w:r w:rsidR="00EA7A42">
              <w:rPr>
                <w:color w:val="000000"/>
              </w:rPr>
              <w:t>.</w:t>
            </w:r>
          </w:p>
        </w:tc>
        <w:tc>
          <w:tcPr>
            <w:tcW w:w="1187" w:type="dxa"/>
            <w:shd w:val="clear" w:color="auto" w:fill="E7E6E6" w:themeFill="background2"/>
            <w:noWrap/>
          </w:tcPr>
          <w:p w14:paraId="6CF91C95" w14:textId="77777777" w:rsidR="00DE707D" w:rsidRPr="00C34FFE" w:rsidRDefault="00DE707D" w:rsidP="0009574E">
            <w:pPr>
              <w:pStyle w:val="ARGrantstabletextright"/>
              <w:rPr>
                <w:color w:val="000000"/>
              </w:rPr>
            </w:pPr>
            <w:r w:rsidRPr="00C34FFE">
              <w:rPr>
                <w:color w:val="000000"/>
              </w:rPr>
              <w:t>12,000</w:t>
            </w:r>
          </w:p>
        </w:tc>
      </w:tr>
      <w:tr w:rsidR="00DE707D" w:rsidRPr="006801A5" w14:paraId="149FED48" w14:textId="77777777" w:rsidTr="00144FF3">
        <w:tc>
          <w:tcPr>
            <w:tcW w:w="3402" w:type="dxa"/>
            <w:noWrap/>
          </w:tcPr>
          <w:p w14:paraId="0EAD9C77" w14:textId="77777777" w:rsidR="00DE707D" w:rsidRPr="00C34FFE" w:rsidRDefault="00DE707D" w:rsidP="009E51C8">
            <w:pPr>
              <w:pStyle w:val="ARGrantstabletext"/>
              <w:rPr>
                <w:color w:val="000000"/>
              </w:rPr>
            </w:pPr>
            <w:r w:rsidRPr="00C34FFE">
              <w:rPr>
                <w:color w:val="000000"/>
              </w:rPr>
              <w:t>Mill Park MS Peer Support Group</w:t>
            </w:r>
          </w:p>
        </w:tc>
        <w:tc>
          <w:tcPr>
            <w:tcW w:w="1187" w:type="dxa"/>
            <w:shd w:val="clear" w:color="auto" w:fill="E7E6E6" w:themeFill="background2"/>
            <w:noWrap/>
          </w:tcPr>
          <w:p w14:paraId="3558396D" w14:textId="77777777" w:rsidR="00DE707D" w:rsidRPr="00C34FFE" w:rsidRDefault="00DE707D" w:rsidP="0009574E">
            <w:pPr>
              <w:pStyle w:val="ARGrantstabletextright"/>
              <w:rPr>
                <w:color w:val="000000"/>
              </w:rPr>
            </w:pPr>
            <w:r w:rsidRPr="00C34FFE">
              <w:rPr>
                <w:color w:val="000000"/>
              </w:rPr>
              <w:t>7,000</w:t>
            </w:r>
          </w:p>
        </w:tc>
      </w:tr>
      <w:tr w:rsidR="00DE707D" w:rsidRPr="006801A5" w14:paraId="354129B7" w14:textId="77777777" w:rsidTr="00144FF3">
        <w:tc>
          <w:tcPr>
            <w:tcW w:w="3402" w:type="dxa"/>
            <w:noWrap/>
          </w:tcPr>
          <w:p w14:paraId="565E9F19" w14:textId="77777777" w:rsidR="00DE707D" w:rsidRPr="00C34FFE" w:rsidRDefault="00DE707D" w:rsidP="009E51C8">
            <w:pPr>
              <w:pStyle w:val="ARGrantstabletext"/>
              <w:rPr>
                <w:color w:val="000000"/>
              </w:rPr>
            </w:pPr>
            <w:r w:rsidRPr="00C34FFE">
              <w:rPr>
                <w:color w:val="000000"/>
              </w:rPr>
              <w:t>Mixed Nuts Media Inc.</w:t>
            </w:r>
          </w:p>
        </w:tc>
        <w:tc>
          <w:tcPr>
            <w:tcW w:w="1187" w:type="dxa"/>
            <w:shd w:val="clear" w:color="auto" w:fill="E7E6E6" w:themeFill="background2"/>
            <w:noWrap/>
          </w:tcPr>
          <w:p w14:paraId="070A67EA" w14:textId="77777777" w:rsidR="00DE707D" w:rsidRPr="00C34FFE" w:rsidRDefault="00DE707D" w:rsidP="0009574E">
            <w:pPr>
              <w:pStyle w:val="ARGrantstabletextright"/>
              <w:rPr>
                <w:color w:val="000000"/>
              </w:rPr>
            </w:pPr>
            <w:r w:rsidRPr="00C34FFE">
              <w:rPr>
                <w:color w:val="000000"/>
              </w:rPr>
              <w:t>14,000</w:t>
            </w:r>
          </w:p>
        </w:tc>
      </w:tr>
      <w:tr w:rsidR="00DE707D" w:rsidRPr="006801A5" w14:paraId="42CBE969" w14:textId="77777777" w:rsidTr="00144FF3">
        <w:tc>
          <w:tcPr>
            <w:tcW w:w="3402" w:type="dxa"/>
            <w:noWrap/>
          </w:tcPr>
          <w:p w14:paraId="1FEA23AE" w14:textId="1F074E77" w:rsidR="00DE707D" w:rsidRPr="00C34FFE" w:rsidRDefault="00DE707D" w:rsidP="009E51C8">
            <w:pPr>
              <w:pStyle w:val="ARGrantstabletext"/>
              <w:rPr>
                <w:color w:val="000000"/>
              </w:rPr>
            </w:pPr>
            <w:r w:rsidRPr="00C34FFE">
              <w:rPr>
                <w:color w:val="000000"/>
              </w:rPr>
              <w:t>MS Blackburn Peer Support Discussion</w:t>
            </w:r>
            <w:r w:rsidR="0009574E">
              <w:rPr>
                <w:color w:val="000000"/>
              </w:rPr>
              <w:t> </w:t>
            </w:r>
            <w:r w:rsidRPr="00C34FFE">
              <w:rPr>
                <w:color w:val="000000"/>
              </w:rPr>
              <w:t>Group</w:t>
            </w:r>
          </w:p>
        </w:tc>
        <w:tc>
          <w:tcPr>
            <w:tcW w:w="1187" w:type="dxa"/>
            <w:shd w:val="clear" w:color="auto" w:fill="E7E6E6" w:themeFill="background2"/>
            <w:noWrap/>
          </w:tcPr>
          <w:p w14:paraId="746787A6" w14:textId="77777777" w:rsidR="00DE707D" w:rsidRPr="00C34FFE" w:rsidRDefault="00DE707D" w:rsidP="0009574E">
            <w:pPr>
              <w:pStyle w:val="ARGrantstabletextright"/>
              <w:rPr>
                <w:color w:val="000000"/>
              </w:rPr>
            </w:pPr>
            <w:r w:rsidRPr="00C34FFE">
              <w:rPr>
                <w:color w:val="000000"/>
              </w:rPr>
              <w:t>5,000</w:t>
            </w:r>
          </w:p>
        </w:tc>
      </w:tr>
      <w:tr w:rsidR="00DE707D" w:rsidRPr="006801A5" w14:paraId="3A3A095A" w14:textId="77777777" w:rsidTr="00144FF3">
        <w:tc>
          <w:tcPr>
            <w:tcW w:w="3402" w:type="dxa"/>
            <w:tcBorders>
              <w:bottom w:val="single" w:sz="4" w:space="0" w:color="A6A6A6" w:themeColor="accent5"/>
            </w:tcBorders>
            <w:noWrap/>
          </w:tcPr>
          <w:p w14:paraId="23C62F99" w14:textId="77777777" w:rsidR="00DE707D" w:rsidRPr="00C34FFE" w:rsidRDefault="00DE707D" w:rsidP="009E51C8">
            <w:pPr>
              <w:pStyle w:val="ARGrantstabletext"/>
              <w:rPr>
                <w:color w:val="000000"/>
              </w:rPr>
            </w:pPr>
            <w:r w:rsidRPr="00C34FFE">
              <w:rPr>
                <w:color w:val="000000"/>
              </w:rPr>
              <w:t>MS Dinner Group Warrnambool</w:t>
            </w:r>
          </w:p>
        </w:tc>
        <w:tc>
          <w:tcPr>
            <w:tcW w:w="1187" w:type="dxa"/>
            <w:tcBorders>
              <w:bottom w:val="single" w:sz="4" w:space="0" w:color="A6A6A6" w:themeColor="accent5"/>
            </w:tcBorders>
            <w:shd w:val="clear" w:color="auto" w:fill="E7E6E6" w:themeFill="background2"/>
            <w:noWrap/>
          </w:tcPr>
          <w:p w14:paraId="051CBAE1" w14:textId="77777777" w:rsidR="00DE707D" w:rsidRPr="00C34FFE" w:rsidRDefault="00DE707D" w:rsidP="0009574E">
            <w:pPr>
              <w:pStyle w:val="ARGrantstabletextright"/>
              <w:rPr>
                <w:color w:val="000000"/>
              </w:rPr>
            </w:pPr>
            <w:r w:rsidRPr="00C34FFE">
              <w:rPr>
                <w:color w:val="000000"/>
              </w:rPr>
              <w:t>1,400</w:t>
            </w:r>
          </w:p>
        </w:tc>
      </w:tr>
      <w:tr w:rsidR="00DE707D" w:rsidRPr="006801A5" w14:paraId="25C1E686" w14:textId="77777777" w:rsidTr="00144FF3">
        <w:tc>
          <w:tcPr>
            <w:tcW w:w="3402" w:type="dxa"/>
            <w:tcBorders>
              <w:top w:val="single" w:sz="4" w:space="0" w:color="A6A6A6" w:themeColor="accent5"/>
              <w:bottom w:val="single" w:sz="4" w:space="0" w:color="A6A6A6" w:themeColor="accent5"/>
            </w:tcBorders>
            <w:noWrap/>
          </w:tcPr>
          <w:p w14:paraId="5F85A3B3" w14:textId="77777777" w:rsidR="00DE707D" w:rsidRPr="00C34FFE" w:rsidRDefault="00DE707D" w:rsidP="009E51C8">
            <w:pPr>
              <w:pStyle w:val="ARGrantstabletext"/>
              <w:rPr>
                <w:color w:val="000000"/>
              </w:rPr>
            </w:pPr>
            <w:r w:rsidRPr="00C34FFE">
              <w:rPr>
                <w:color w:val="000000"/>
              </w:rPr>
              <w:t>MS M</w:t>
            </w:r>
            <w:r>
              <w:rPr>
                <w:color w:val="000000"/>
              </w:rPr>
              <w:t>ixed Peer Support Group</w:t>
            </w:r>
          </w:p>
        </w:tc>
        <w:tc>
          <w:tcPr>
            <w:tcW w:w="1187" w:type="dxa"/>
            <w:tcBorders>
              <w:top w:val="single" w:sz="4" w:space="0" w:color="A6A6A6" w:themeColor="accent5"/>
              <w:bottom w:val="single" w:sz="4" w:space="0" w:color="A6A6A6" w:themeColor="accent5"/>
            </w:tcBorders>
            <w:shd w:val="clear" w:color="auto" w:fill="E7E6E6" w:themeFill="background2"/>
            <w:noWrap/>
          </w:tcPr>
          <w:p w14:paraId="24E5FA59" w14:textId="77777777" w:rsidR="00DE707D" w:rsidRPr="00C34FFE" w:rsidRDefault="00DE707D" w:rsidP="0009574E">
            <w:pPr>
              <w:pStyle w:val="ARGrantstabletextright"/>
              <w:rPr>
                <w:color w:val="000000"/>
              </w:rPr>
            </w:pPr>
            <w:r w:rsidRPr="00C34FFE">
              <w:rPr>
                <w:color w:val="000000"/>
              </w:rPr>
              <w:t>12,608</w:t>
            </w:r>
          </w:p>
        </w:tc>
      </w:tr>
      <w:tr w:rsidR="00DE707D" w:rsidRPr="006801A5" w14:paraId="3DEE0BA4" w14:textId="77777777" w:rsidTr="00144FF3">
        <w:tc>
          <w:tcPr>
            <w:tcW w:w="3402" w:type="dxa"/>
            <w:tcBorders>
              <w:top w:val="single" w:sz="4" w:space="0" w:color="A6A6A6" w:themeColor="accent5"/>
            </w:tcBorders>
            <w:noWrap/>
          </w:tcPr>
          <w:p w14:paraId="1AB57361" w14:textId="77777777" w:rsidR="00DE707D" w:rsidRPr="00C34FFE" w:rsidRDefault="00DE707D" w:rsidP="009E51C8">
            <w:pPr>
              <w:pStyle w:val="ARGrantstabletext"/>
              <w:rPr>
                <w:color w:val="000000"/>
              </w:rPr>
            </w:pPr>
            <w:r w:rsidRPr="00C34FFE">
              <w:rPr>
                <w:color w:val="000000"/>
              </w:rPr>
              <w:t>New Wave Morwell</w:t>
            </w:r>
          </w:p>
        </w:tc>
        <w:tc>
          <w:tcPr>
            <w:tcW w:w="1187" w:type="dxa"/>
            <w:tcBorders>
              <w:top w:val="single" w:sz="4" w:space="0" w:color="A6A6A6" w:themeColor="accent5"/>
            </w:tcBorders>
            <w:shd w:val="clear" w:color="auto" w:fill="E7E6E6" w:themeFill="background2"/>
            <w:noWrap/>
          </w:tcPr>
          <w:p w14:paraId="3E181BC4" w14:textId="77777777" w:rsidR="00DE707D" w:rsidRPr="00C34FFE" w:rsidRDefault="00DE707D" w:rsidP="0009574E">
            <w:pPr>
              <w:pStyle w:val="ARGrantstabletextright"/>
              <w:rPr>
                <w:color w:val="000000"/>
              </w:rPr>
            </w:pPr>
            <w:r w:rsidRPr="00C34FFE">
              <w:rPr>
                <w:color w:val="000000"/>
              </w:rPr>
              <w:t>6,666</w:t>
            </w:r>
          </w:p>
        </w:tc>
      </w:tr>
      <w:tr w:rsidR="00DE707D" w:rsidRPr="006801A5" w14:paraId="457C059F" w14:textId="77777777" w:rsidTr="00144FF3">
        <w:tc>
          <w:tcPr>
            <w:tcW w:w="3402" w:type="dxa"/>
            <w:noWrap/>
          </w:tcPr>
          <w:p w14:paraId="70415975" w14:textId="77777777" w:rsidR="00DE707D" w:rsidRPr="00C34FFE" w:rsidRDefault="00DE707D" w:rsidP="009E51C8">
            <w:pPr>
              <w:pStyle w:val="ARGrantstabletext"/>
              <w:rPr>
                <w:color w:val="000000"/>
              </w:rPr>
            </w:pPr>
            <w:r w:rsidRPr="00C34FFE">
              <w:rPr>
                <w:color w:val="000000"/>
              </w:rPr>
              <w:t>New Wave Rainbow Pride</w:t>
            </w:r>
          </w:p>
        </w:tc>
        <w:tc>
          <w:tcPr>
            <w:tcW w:w="1187" w:type="dxa"/>
            <w:shd w:val="clear" w:color="auto" w:fill="E7E6E6" w:themeFill="background2"/>
            <w:noWrap/>
          </w:tcPr>
          <w:p w14:paraId="1611D744" w14:textId="77777777" w:rsidR="00DE707D" w:rsidRPr="00C34FFE" w:rsidRDefault="00DE707D" w:rsidP="0009574E">
            <w:pPr>
              <w:pStyle w:val="ARGrantstabletextright"/>
              <w:rPr>
                <w:color w:val="000000"/>
              </w:rPr>
            </w:pPr>
            <w:r w:rsidRPr="00C34FFE">
              <w:rPr>
                <w:color w:val="000000"/>
              </w:rPr>
              <w:t>6,742</w:t>
            </w:r>
          </w:p>
        </w:tc>
      </w:tr>
      <w:tr w:rsidR="00DE707D" w:rsidRPr="006801A5" w14:paraId="278218F0" w14:textId="77777777" w:rsidTr="00144FF3">
        <w:tc>
          <w:tcPr>
            <w:tcW w:w="3402" w:type="dxa"/>
            <w:noWrap/>
          </w:tcPr>
          <w:p w14:paraId="41F08E43" w14:textId="77777777" w:rsidR="00DE707D" w:rsidRPr="00C34FFE" w:rsidRDefault="00DE707D" w:rsidP="009E51C8">
            <w:pPr>
              <w:pStyle w:val="ARGrantstabletext"/>
              <w:rPr>
                <w:color w:val="000000"/>
              </w:rPr>
            </w:pPr>
            <w:r w:rsidRPr="00C34FFE">
              <w:rPr>
                <w:color w:val="000000"/>
              </w:rPr>
              <w:t>New Wave South Gippsland</w:t>
            </w:r>
          </w:p>
        </w:tc>
        <w:tc>
          <w:tcPr>
            <w:tcW w:w="1187" w:type="dxa"/>
            <w:shd w:val="clear" w:color="auto" w:fill="E7E6E6" w:themeFill="background2"/>
            <w:noWrap/>
          </w:tcPr>
          <w:p w14:paraId="448E7097" w14:textId="77777777" w:rsidR="00DE707D" w:rsidRPr="00C34FFE" w:rsidRDefault="00DE707D" w:rsidP="0009574E">
            <w:pPr>
              <w:pStyle w:val="ARGrantstabletextright"/>
              <w:rPr>
                <w:color w:val="000000"/>
              </w:rPr>
            </w:pPr>
            <w:r w:rsidRPr="00C34FFE">
              <w:rPr>
                <w:color w:val="000000"/>
              </w:rPr>
              <w:t>6,666</w:t>
            </w:r>
          </w:p>
        </w:tc>
      </w:tr>
      <w:tr w:rsidR="00DE707D" w:rsidRPr="006801A5" w14:paraId="4822E105" w14:textId="77777777" w:rsidTr="00144FF3">
        <w:tc>
          <w:tcPr>
            <w:tcW w:w="3402" w:type="dxa"/>
            <w:noWrap/>
          </w:tcPr>
          <w:p w14:paraId="45037EFC" w14:textId="77777777" w:rsidR="00DE707D" w:rsidRPr="00C34FFE" w:rsidRDefault="00DE707D" w:rsidP="009E51C8">
            <w:pPr>
              <w:pStyle w:val="ARGrantstabletext"/>
              <w:rPr>
                <w:color w:val="000000"/>
              </w:rPr>
            </w:pPr>
            <w:r w:rsidRPr="00C34FFE">
              <w:rPr>
                <w:color w:val="000000"/>
              </w:rPr>
              <w:t>Norlane Community Centre</w:t>
            </w:r>
          </w:p>
        </w:tc>
        <w:tc>
          <w:tcPr>
            <w:tcW w:w="1187" w:type="dxa"/>
            <w:shd w:val="clear" w:color="auto" w:fill="E7E6E6" w:themeFill="background2"/>
            <w:noWrap/>
          </w:tcPr>
          <w:p w14:paraId="322B748C" w14:textId="77777777" w:rsidR="00DE707D" w:rsidRPr="00C34FFE" w:rsidRDefault="00DE707D" w:rsidP="0009574E">
            <w:pPr>
              <w:pStyle w:val="ARGrantstabletextright"/>
              <w:rPr>
                <w:color w:val="000000"/>
              </w:rPr>
            </w:pPr>
            <w:r w:rsidRPr="00C34FFE">
              <w:rPr>
                <w:color w:val="000000"/>
              </w:rPr>
              <w:t>14,000</w:t>
            </w:r>
          </w:p>
        </w:tc>
      </w:tr>
      <w:tr w:rsidR="00DE707D" w:rsidRPr="006801A5" w14:paraId="5E7DEF18" w14:textId="77777777" w:rsidTr="00144FF3">
        <w:tc>
          <w:tcPr>
            <w:tcW w:w="3402" w:type="dxa"/>
            <w:noWrap/>
          </w:tcPr>
          <w:p w14:paraId="7D1F6590" w14:textId="77777777" w:rsidR="00DE707D" w:rsidRPr="00C34FFE" w:rsidRDefault="00DE707D" w:rsidP="009E51C8">
            <w:pPr>
              <w:pStyle w:val="ARGrantstabletext"/>
              <w:rPr>
                <w:color w:val="000000"/>
              </w:rPr>
            </w:pPr>
            <w:r w:rsidRPr="00C34FFE">
              <w:rPr>
                <w:color w:val="000000"/>
              </w:rPr>
              <w:t>Northern Autism Network</w:t>
            </w:r>
          </w:p>
        </w:tc>
        <w:tc>
          <w:tcPr>
            <w:tcW w:w="1187" w:type="dxa"/>
            <w:shd w:val="clear" w:color="auto" w:fill="E7E6E6" w:themeFill="background2"/>
            <w:noWrap/>
          </w:tcPr>
          <w:p w14:paraId="388842F8" w14:textId="77777777" w:rsidR="00DE707D" w:rsidRPr="00C34FFE" w:rsidRDefault="00DE707D" w:rsidP="0009574E">
            <w:pPr>
              <w:pStyle w:val="ARGrantstabletextright"/>
              <w:rPr>
                <w:color w:val="000000"/>
              </w:rPr>
            </w:pPr>
            <w:r w:rsidRPr="00C34FFE">
              <w:rPr>
                <w:color w:val="000000"/>
              </w:rPr>
              <w:t>14,000</w:t>
            </w:r>
          </w:p>
        </w:tc>
      </w:tr>
      <w:tr w:rsidR="00DE707D" w:rsidRPr="006801A5" w14:paraId="0FFCE120" w14:textId="77777777" w:rsidTr="00144FF3">
        <w:tc>
          <w:tcPr>
            <w:tcW w:w="3402" w:type="dxa"/>
            <w:noWrap/>
          </w:tcPr>
          <w:p w14:paraId="204A651B" w14:textId="77777777" w:rsidR="00DE707D" w:rsidRPr="00C34FFE" w:rsidRDefault="00DE707D" w:rsidP="009E51C8">
            <w:pPr>
              <w:pStyle w:val="ARGrantstabletext"/>
              <w:rPr>
                <w:color w:val="000000"/>
              </w:rPr>
            </w:pPr>
            <w:proofErr w:type="spellStart"/>
            <w:r w:rsidRPr="00C34FFE">
              <w:rPr>
                <w:color w:val="000000"/>
              </w:rPr>
              <w:t>ParKanDo</w:t>
            </w:r>
            <w:proofErr w:type="spellEnd"/>
          </w:p>
        </w:tc>
        <w:tc>
          <w:tcPr>
            <w:tcW w:w="1187" w:type="dxa"/>
            <w:shd w:val="clear" w:color="auto" w:fill="E7E6E6" w:themeFill="background2"/>
            <w:noWrap/>
          </w:tcPr>
          <w:p w14:paraId="61157A2C" w14:textId="77777777" w:rsidR="00DE707D" w:rsidRPr="00C34FFE" w:rsidRDefault="00DE707D" w:rsidP="0009574E">
            <w:pPr>
              <w:pStyle w:val="ARGrantstabletextright"/>
              <w:rPr>
                <w:color w:val="000000"/>
              </w:rPr>
            </w:pPr>
            <w:r w:rsidRPr="00C34FFE">
              <w:rPr>
                <w:color w:val="000000"/>
              </w:rPr>
              <w:t>14,000</w:t>
            </w:r>
          </w:p>
        </w:tc>
      </w:tr>
      <w:tr w:rsidR="00DE707D" w:rsidRPr="006801A5" w14:paraId="73916600" w14:textId="77777777" w:rsidTr="00144FF3">
        <w:tc>
          <w:tcPr>
            <w:tcW w:w="3402" w:type="dxa"/>
            <w:noWrap/>
          </w:tcPr>
          <w:p w14:paraId="735534C1" w14:textId="77777777" w:rsidR="00DE707D" w:rsidRPr="00C34FFE" w:rsidRDefault="00DE707D" w:rsidP="009E51C8">
            <w:pPr>
              <w:pStyle w:val="ARGrantstabletext"/>
              <w:rPr>
                <w:color w:val="000000"/>
              </w:rPr>
            </w:pPr>
            <w:r w:rsidRPr="00C34FFE">
              <w:rPr>
                <w:color w:val="000000"/>
              </w:rPr>
              <w:t>Peninsula Autism Friendship Group</w:t>
            </w:r>
          </w:p>
        </w:tc>
        <w:tc>
          <w:tcPr>
            <w:tcW w:w="1187" w:type="dxa"/>
            <w:shd w:val="clear" w:color="auto" w:fill="E7E6E6" w:themeFill="background2"/>
            <w:noWrap/>
          </w:tcPr>
          <w:p w14:paraId="26D5CFCB" w14:textId="77777777" w:rsidR="00DE707D" w:rsidRPr="00C34FFE" w:rsidRDefault="00DE707D" w:rsidP="0009574E">
            <w:pPr>
              <w:pStyle w:val="ARGrantstabletextright"/>
              <w:rPr>
                <w:color w:val="000000"/>
              </w:rPr>
            </w:pPr>
            <w:r w:rsidRPr="00C34FFE">
              <w:rPr>
                <w:color w:val="000000"/>
              </w:rPr>
              <w:t>14,000</w:t>
            </w:r>
          </w:p>
        </w:tc>
      </w:tr>
      <w:tr w:rsidR="00DE707D" w:rsidRPr="006801A5" w14:paraId="77F3D3FB" w14:textId="77777777" w:rsidTr="00144FF3">
        <w:tc>
          <w:tcPr>
            <w:tcW w:w="3402" w:type="dxa"/>
            <w:noWrap/>
          </w:tcPr>
          <w:p w14:paraId="2C03043D" w14:textId="00D6CEDC" w:rsidR="00DE707D" w:rsidRPr="00BD7193" w:rsidRDefault="00DE707D" w:rsidP="009E51C8">
            <w:pPr>
              <w:pStyle w:val="ARGrantstabletext"/>
              <w:rPr>
                <w:color w:val="000000"/>
              </w:rPr>
            </w:pPr>
            <w:r w:rsidRPr="00BD7193">
              <w:rPr>
                <w:color w:val="000000"/>
              </w:rPr>
              <w:t>People with Multiple Sclerosis Vic</w:t>
            </w:r>
            <w:r w:rsidR="00EA7A42">
              <w:rPr>
                <w:color w:val="000000"/>
              </w:rPr>
              <w:t>.</w:t>
            </w:r>
            <w:r w:rsidRPr="00BD7193">
              <w:rPr>
                <w:color w:val="000000"/>
              </w:rPr>
              <w:t xml:space="preserve"> Inc</w:t>
            </w:r>
            <w:r w:rsidR="00EA7A42">
              <w:rPr>
                <w:color w:val="000000"/>
              </w:rPr>
              <w:t>.</w:t>
            </w:r>
          </w:p>
        </w:tc>
        <w:tc>
          <w:tcPr>
            <w:tcW w:w="1187" w:type="dxa"/>
            <w:shd w:val="clear" w:color="auto" w:fill="E7E6E6" w:themeFill="background2"/>
            <w:noWrap/>
          </w:tcPr>
          <w:p w14:paraId="0AC663EB" w14:textId="77777777" w:rsidR="00DE707D" w:rsidRPr="00BD7193" w:rsidRDefault="00DE707D" w:rsidP="0009574E">
            <w:pPr>
              <w:pStyle w:val="ARGrantstabletextright"/>
              <w:rPr>
                <w:color w:val="000000"/>
              </w:rPr>
            </w:pPr>
            <w:r w:rsidRPr="00BD7193">
              <w:rPr>
                <w:color w:val="000000"/>
              </w:rPr>
              <w:t>13,600</w:t>
            </w:r>
          </w:p>
        </w:tc>
      </w:tr>
      <w:tr w:rsidR="00DE707D" w:rsidRPr="006801A5" w14:paraId="261A1733" w14:textId="77777777" w:rsidTr="00144FF3">
        <w:tc>
          <w:tcPr>
            <w:tcW w:w="3402" w:type="dxa"/>
            <w:noWrap/>
          </w:tcPr>
          <w:p w14:paraId="60184B6D" w14:textId="77777777" w:rsidR="00DE707D" w:rsidRPr="00BD7193" w:rsidRDefault="00DE707D" w:rsidP="009E51C8">
            <w:pPr>
              <w:pStyle w:val="ARGrantstabletext"/>
              <w:rPr>
                <w:color w:val="000000"/>
              </w:rPr>
            </w:pPr>
            <w:r w:rsidRPr="00BD7193">
              <w:rPr>
                <w:color w:val="000000"/>
              </w:rPr>
              <w:t>Positive Powerful Parents</w:t>
            </w:r>
          </w:p>
        </w:tc>
        <w:tc>
          <w:tcPr>
            <w:tcW w:w="1187" w:type="dxa"/>
            <w:shd w:val="clear" w:color="auto" w:fill="E7E6E6" w:themeFill="background2"/>
            <w:noWrap/>
          </w:tcPr>
          <w:p w14:paraId="1F128F8F" w14:textId="77777777" w:rsidR="00DE707D" w:rsidRPr="00BD7193" w:rsidRDefault="00DE707D" w:rsidP="0009574E">
            <w:pPr>
              <w:pStyle w:val="ARGrantstabletextright"/>
              <w:rPr>
                <w:color w:val="000000"/>
              </w:rPr>
            </w:pPr>
            <w:r w:rsidRPr="00BD7193">
              <w:rPr>
                <w:color w:val="000000"/>
              </w:rPr>
              <w:t>6,950</w:t>
            </w:r>
          </w:p>
        </w:tc>
      </w:tr>
      <w:tr w:rsidR="00DE707D" w:rsidRPr="006801A5" w14:paraId="6083613B" w14:textId="77777777" w:rsidTr="00144FF3">
        <w:tc>
          <w:tcPr>
            <w:tcW w:w="3402" w:type="dxa"/>
            <w:noWrap/>
          </w:tcPr>
          <w:p w14:paraId="51F8C67C" w14:textId="1F72A7CF" w:rsidR="00DE707D" w:rsidRPr="00BD7193" w:rsidRDefault="00DE707D" w:rsidP="009E51C8">
            <w:pPr>
              <w:pStyle w:val="ARGrantstabletext"/>
              <w:rPr>
                <w:color w:val="000000"/>
              </w:rPr>
            </w:pPr>
            <w:r w:rsidRPr="00BD7193">
              <w:rPr>
                <w:color w:val="000000"/>
              </w:rPr>
              <w:t>Post Polio Victoria Inc</w:t>
            </w:r>
            <w:r w:rsidR="00EA7A42">
              <w:rPr>
                <w:color w:val="000000"/>
              </w:rPr>
              <w:t>.</w:t>
            </w:r>
          </w:p>
        </w:tc>
        <w:tc>
          <w:tcPr>
            <w:tcW w:w="1187" w:type="dxa"/>
            <w:shd w:val="clear" w:color="auto" w:fill="E7E6E6" w:themeFill="background2"/>
            <w:noWrap/>
          </w:tcPr>
          <w:p w14:paraId="4FE35D69" w14:textId="77777777" w:rsidR="00DE707D" w:rsidRPr="00BD7193" w:rsidRDefault="00DE707D" w:rsidP="0009574E">
            <w:pPr>
              <w:pStyle w:val="ARGrantstabletextright"/>
              <w:rPr>
                <w:color w:val="000000"/>
              </w:rPr>
            </w:pPr>
            <w:r w:rsidRPr="00BD7193">
              <w:rPr>
                <w:color w:val="000000"/>
              </w:rPr>
              <w:t>14,000</w:t>
            </w:r>
          </w:p>
        </w:tc>
      </w:tr>
      <w:tr w:rsidR="00DE707D" w:rsidRPr="006801A5" w14:paraId="57985C9B" w14:textId="77777777" w:rsidTr="00144FF3">
        <w:tc>
          <w:tcPr>
            <w:tcW w:w="3402" w:type="dxa"/>
            <w:noWrap/>
          </w:tcPr>
          <w:p w14:paraId="2B35F757" w14:textId="77777777" w:rsidR="00DE707D" w:rsidRPr="00BD7193" w:rsidRDefault="00DE707D" w:rsidP="009E51C8">
            <w:pPr>
              <w:pStyle w:val="ARGrantstabletext"/>
              <w:rPr>
                <w:color w:val="000000"/>
              </w:rPr>
            </w:pPr>
            <w:r w:rsidRPr="00BD7193">
              <w:rPr>
                <w:color w:val="000000"/>
              </w:rPr>
              <w:t>PS My Family Matters</w:t>
            </w:r>
          </w:p>
        </w:tc>
        <w:tc>
          <w:tcPr>
            <w:tcW w:w="1187" w:type="dxa"/>
            <w:shd w:val="clear" w:color="auto" w:fill="E7E6E6" w:themeFill="background2"/>
            <w:noWrap/>
          </w:tcPr>
          <w:p w14:paraId="505E9574" w14:textId="77777777" w:rsidR="00DE707D" w:rsidRPr="00BD7193" w:rsidRDefault="00DE707D" w:rsidP="0009574E">
            <w:pPr>
              <w:pStyle w:val="ARGrantstabletextright"/>
              <w:rPr>
                <w:color w:val="000000"/>
              </w:rPr>
            </w:pPr>
            <w:r w:rsidRPr="00BD7193">
              <w:rPr>
                <w:color w:val="000000"/>
              </w:rPr>
              <w:t>14,000</w:t>
            </w:r>
          </w:p>
        </w:tc>
      </w:tr>
      <w:tr w:rsidR="00DE707D" w:rsidRPr="006801A5" w14:paraId="6B2E937D" w14:textId="77777777" w:rsidTr="00144FF3">
        <w:tc>
          <w:tcPr>
            <w:tcW w:w="3402" w:type="dxa"/>
            <w:noWrap/>
          </w:tcPr>
          <w:p w14:paraId="0B257B81" w14:textId="77777777" w:rsidR="00DE707D" w:rsidRPr="00BD7193" w:rsidRDefault="00DE707D" w:rsidP="009E51C8">
            <w:pPr>
              <w:pStyle w:val="ARGrantstabletext"/>
              <w:rPr>
                <w:color w:val="000000"/>
              </w:rPr>
            </w:pPr>
            <w:r w:rsidRPr="00BD7193">
              <w:rPr>
                <w:color w:val="000000"/>
              </w:rPr>
              <w:t>Rainbow Rights and Advocacy</w:t>
            </w:r>
          </w:p>
        </w:tc>
        <w:tc>
          <w:tcPr>
            <w:tcW w:w="1187" w:type="dxa"/>
            <w:shd w:val="clear" w:color="auto" w:fill="E7E6E6" w:themeFill="background2"/>
            <w:noWrap/>
          </w:tcPr>
          <w:p w14:paraId="37FFCB7F" w14:textId="77777777" w:rsidR="00DE707D" w:rsidRPr="00BD7193" w:rsidRDefault="00DE707D" w:rsidP="0009574E">
            <w:pPr>
              <w:pStyle w:val="ARGrantstabletextright"/>
              <w:rPr>
                <w:color w:val="000000"/>
              </w:rPr>
            </w:pPr>
            <w:r w:rsidRPr="00BD7193">
              <w:rPr>
                <w:color w:val="000000"/>
              </w:rPr>
              <w:t>12,628</w:t>
            </w:r>
          </w:p>
        </w:tc>
      </w:tr>
      <w:tr w:rsidR="00DE707D" w:rsidRPr="006801A5" w14:paraId="70450BCC" w14:textId="77777777" w:rsidTr="00144FF3">
        <w:tc>
          <w:tcPr>
            <w:tcW w:w="3402" w:type="dxa"/>
            <w:noWrap/>
          </w:tcPr>
          <w:p w14:paraId="74DCFFC5" w14:textId="7FB255F3" w:rsidR="00DE707D" w:rsidRPr="00BD7193" w:rsidRDefault="00DE707D" w:rsidP="009E51C8">
            <w:pPr>
              <w:pStyle w:val="ARGrantstabletext"/>
              <w:rPr>
                <w:color w:val="000000"/>
              </w:rPr>
            </w:pPr>
            <w:r w:rsidRPr="00BD7193">
              <w:rPr>
                <w:color w:val="000000"/>
              </w:rPr>
              <w:t>School Can</w:t>
            </w:r>
            <w:r w:rsidR="00EA7A42">
              <w:rPr>
                <w:color w:val="000000"/>
              </w:rPr>
              <w:t>’</w:t>
            </w:r>
            <w:r w:rsidRPr="00BD7193">
              <w:rPr>
                <w:color w:val="000000"/>
              </w:rPr>
              <w:t>t Australia</w:t>
            </w:r>
          </w:p>
        </w:tc>
        <w:tc>
          <w:tcPr>
            <w:tcW w:w="1187" w:type="dxa"/>
            <w:shd w:val="clear" w:color="auto" w:fill="E7E6E6" w:themeFill="background2"/>
            <w:noWrap/>
          </w:tcPr>
          <w:p w14:paraId="5D4D0EFE" w14:textId="77777777" w:rsidR="00DE707D" w:rsidRPr="00BD7193" w:rsidRDefault="00DE707D" w:rsidP="0009574E">
            <w:pPr>
              <w:pStyle w:val="ARGrantstabletextright"/>
              <w:rPr>
                <w:color w:val="000000"/>
              </w:rPr>
            </w:pPr>
            <w:r w:rsidRPr="00BD7193">
              <w:rPr>
                <w:color w:val="000000"/>
              </w:rPr>
              <w:t>7,000</w:t>
            </w:r>
          </w:p>
        </w:tc>
      </w:tr>
      <w:tr w:rsidR="00DE707D" w:rsidRPr="006801A5" w14:paraId="660A838A" w14:textId="77777777" w:rsidTr="00144FF3">
        <w:tc>
          <w:tcPr>
            <w:tcW w:w="3402" w:type="dxa"/>
            <w:noWrap/>
          </w:tcPr>
          <w:p w14:paraId="23E29609" w14:textId="4E9B9FBD" w:rsidR="00DE707D" w:rsidRPr="00BD7193" w:rsidRDefault="00DE707D" w:rsidP="009E51C8">
            <w:pPr>
              <w:pStyle w:val="ARGrantstabletext"/>
              <w:rPr>
                <w:color w:val="000000"/>
              </w:rPr>
            </w:pPr>
            <w:r w:rsidRPr="00BD7193">
              <w:rPr>
                <w:color w:val="000000"/>
              </w:rPr>
              <w:t>Serbian Community Association of</w:t>
            </w:r>
            <w:r w:rsidR="00144FF3">
              <w:rPr>
                <w:color w:val="000000"/>
              </w:rPr>
              <w:t> </w:t>
            </w:r>
            <w:r w:rsidRPr="00BD7193">
              <w:rPr>
                <w:color w:val="000000"/>
              </w:rPr>
              <w:t>Australia Inc.</w:t>
            </w:r>
          </w:p>
        </w:tc>
        <w:tc>
          <w:tcPr>
            <w:tcW w:w="1187" w:type="dxa"/>
            <w:shd w:val="clear" w:color="auto" w:fill="E7E6E6" w:themeFill="background2"/>
            <w:noWrap/>
          </w:tcPr>
          <w:p w14:paraId="46A293BD" w14:textId="77777777" w:rsidR="00DE707D" w:rsidRPr="00BD7193" w:rsidRDefault="00DE707D" w:rsidP="0009574E">
            <w:pPr>
              <w:pStyle w:val="ARGrantstabletextright"/>
              <w:rPr>
                <w:color w:val="000000"/>
              </w:rPr>
            </w:pPr>
            <w:r w:rsidRPr="00BD7193">
              <w:rPr>
                <w:color w:val="000000"/>
              </w:rPr>
              <w:t>14,000</w:t>
            </w:r>
          </w:p>
        </w:tc>
      </w:tr>
      <w:tr w:rsidR="00DE707D" w:rsidRPr="006801A5" w14:paraId="6B9F61E9" w14:textId="77777777" w:rsidTr="00144FF3">
        <w:tc>
          <w:tcPr>
            <w:tcW w:w="3402" w:type="dxa"/>
            <w:noWrap/>
          </w:tcPr>
          <w:p w14:paraId="3C6522B8" w14:textId="77777777" w:rsidR="00DE707D" w:rsidRPr="00BD7193" w:rsidRDefault="00DE707D" w:rsidP="009E51C8">
            <w:pPr>
              <w:pStyle w:val="ARGrantstabletext"/>
              <w:rPr>
                <w:color w:val="000000"/>
              </w:rPr>
            </w:pPr>
            <w:r w:rsidRPr="00BD7193">
              <w:rPr>
                <w:color w:val="000000"/>
              </w:rPr>
              <w:t>Shepparton MS Peer Support Group</w:t>
            </w:r>
          </w:p>
        </w:tc>
        <w:tc>
          <w:tcPr>
            <w:tcW w:w="1187" w:type="dxa"/>
            <w:shd w:val="clear" w:color="auto" w:fill="E7E6E6" w:themeFill="background2"/>
            <w:noWrap/>
          </w:tcPr>
          <w:p w14:paraId="0EF1C1AA" w14:textId="77777777" w:rsidR="00DE707D" w:rsidRPr="00BD7193" w:rsidRDefault="00DE707D" w:rsidP="0009574E">
            <w:pPr>
              <w:pStyle w:val="ARGrantstabletextright"/>
              <w:rPr>
                <w:color w:val="000000"/>
              </w:rPr>
            </w:pPr>
            <w:r w:rsidRPr="00BD7193">
              <w:rPr>
                <w:color w:val="000000"/>
              </w:rPr>
              <w:t>13,700</w:t>
            </w:r>
          </w:p>
        </w:tc>
      </w:tr>
      <w:tr w:rsidR="00DE707D" w:rsidRPr="006801A5" w14:paraId="73F54E96" w14:textId="77777777" w:rsidTr="00144FF3">
        <w:tc>
          <w:tcPr>
            <w:tcW w:w="3402" w:type="dxa"/>
            <w:noWrap/>
          </w:tcPr>
          <w:p w14:paraId="5C7C089A" w14:textId="77777777" w:rsidR="00DE707D" w:rsidRPr="00BD7193" w:rsidRDefault="00DE707D" w:rsidP="009E51C8">
            <w:pPr>
              <w:pStyle w:val="ARGrantstabletext"/>
              <w:rPr>
                <w:color w:val="000000"/>
              </w:rPr>
            </w:pPr>
            <w:proofErr w:type="gramStart"/>
            <w:r>
              <w:rPr>
                <w:color w:val="000000"/>
              </w:rPr>
              <w:t>South East</w:t>
            </w:r>
            <w:proofErr w:type="gramEnd"/>
            <w:r>
              <w:rPr>
                <w:color w:val="000000"/>
              </w:rPr>
              <w:t xml:space="preserve"> Muscular Dystrophy Adult Support Group </w:t>
            </w:r>
          </w:p>
        </w:tc>
        <w:tc>
          <w:tcPr>
            <w:tcW w:w="1187" w:type="dxa"/>
            <w:shd w:val="clear" w:color="auto" w:fill="E7E6E6" w:themeFill="background2"/>
            <w:noWrap/>
          </w:tcPr>
          <w:p w14:paraId="1D62D796" w14:textId="77777777" w:rsidR="00DE707D" w:rsidRPr="00BD7193" w:rsidRDefault="00DE707D" w:rsidP="0009574E">
            <w:pPr>
              <w:pStyle w:val="ARGrantstabletextright"/>
              <w:rPr>
                <w:color w:val="000000"/>
              </w:rPr>
            </w:pPr>
            <w:r w:rsidRPr="00BD7193">
              <w:rPr>
                <w:color w:val="000000"/>
              </w:rPr>
              <w:t>4,400</w:t>
            </w:r>
          </w:p>
        </w:tc>
      </w:tr>
      <w:tr w:rsidR="00DE707D" w:rsidRPr="006801A5" w14:paraId="76BFC785" w14:textId="77777777" w:rsidTr="00144FF3">
        <w:tc>
          <w:tcPr>
            <w:tcW w:w="3402" w:type="dxa"/>
            <w:noWrap/>
          </w:tcPr>
          <w:p w14:paraId="24D4BA11" w14:textId="77777777" w:rsidR="00DE707D" w:rsidRPr="00BD7193" w:rsidRDefault="00DE707D" w:rsidP="009E51C8">
            <w:pPr>
              <w:pStyle w:val="ARGrantstabletext"/>
              <w:rPr>
                <w:color w:val="000000"/>
              </w:rPr>
            </w:pPr>
            <w:r w:rsidRPr="00BD7193">
              <w:rPr>
                <w:color w:val="000000"/>
              </w:rPr>
              <w:t>Stroke A Chord Choir</w:t>
            </w:r>
          </w:p>
        </w:tc>
        <w:tc>
          <w:tcPr>
            <w:tcW w:w="1187" w:type="dxa"/>
            <w:shd w:val="clear" w:color="auto" w:fill="E7E6E6" w:themeFill="background2"/>
            <w:noWrap/>
          </w:tcPr>
          <w:p w14:paraId="0FF2F578" w14:textId="77777777" w:rsidR="00DE707D" w:rsidRPr="00BD7193" w:rsidRDefault="00DE707D" w:rsidP="0009574E">
            <w:pPr>
              <w:pStyle w:val="ARGrantstabletextright"/>
              <w:rPr>
                <w:color w:val="000000"/>
              </w:rPr>
            </w:pPr>
            <w:r w:rsidRPr="00BD7193">
              <w:rPr>
                <w:color w:val="000000"/>
              </w:rPr>
              <w:t>7,000</w:t>
            </w:r>
          </w:p>
        </w:tc>
      </w:tr>
      <w:tr w:rsidR="00DE707D" w:rsidRPr="006801A5" w14:paraId="68A0AB49" w14:textId="77777777" w:rsidTr="00144FF3">
        <w:tc>
          <w:tcPr>
            <w:tcW w:w="3402" w:type="dxa"/>
            <w:noWrap/>
          </w:tcPr>
          <w:p w14:paraId="36562BBC" w14:textId="63185C87" w:rsidR="00DE707D" w:rsidRPr="00BD7193" w:rsidRDefault="00DE707D" w:rsidP="009E51C8">
            <w:pPr>
              <w:pStyle w:val="ARGrantstabletext"/>
              <w:rPr>
                <w:color w:val="000000"/>
              </w:rPr>
            </w:pPr>
            <w:proofErr w:type="spellStart"/>
            <w:r w:rsidRPr="00BD7193">
              <w:rPr>
                <w:color w:val="000000"/>
              </w:rPr>
              <w:t>S</w:t>
            </w:r>
            <w:r>
              <w:rPr>
                <w:color w:val="000000"/>
              </w:rPr>
              <w:t>unspec</w:t>
            </w:r>
            <w:proofErr w:type="spellEnd"/>
            <w:r>
              <w:rPr>
                <w:color w:val="000000"/>
              </w:rPr>
              <w:t xml:space="preserve"> Support Group for Family/Carers of people with Disabilities</w:t>
            </w:r>
            <w:r w:rsidR="00144FF3">
              <w:rPr>
                <w:color w:val="000000"/>
              </w:rPr>
              <w:t> </w:t>
            </w:r>
            <w:r w:rsidR="00EA7A42">
              <w:rPr>
                <w:color w:val="000000"/>
              </w:rPr>
              <w:t>Inc.</w:t>
            </w:r>
          </w:p>
        </w:tc>
        <w:tc>
          <w:tcPr>
            <w:tcW w:w="1187" w:type="dxa"/>
            <w:shd w:val="clear" w:color="auto" w:fill="E7E6E6" w:themeFill="background2"/>
            <w:noWrap/>
          </w:tcPr>
          <w:p w14:paraId="22D88CDC" w14:textId="77777777" w:rsidR="00DE707D" w:rsidRPr="00BD7193" w:rsidRDefault="00DE707D" w:rsidP="0009574E">
            <w:pPr>
              <w:pStyle w:val="ARGrantstabletextright"/>
              <w:rPr>
                <w:color w:val="000000"/>
              </w:rPr>
            </w:pPr>
            <w:r w:rsidRPr="00BD7193">
              <w:rPr>
                <w:color w:val="000000"/>
              </w:rPr>
              <w:t>14,000</w:t>
            </w:r>
          </w:p>
        </w:tc>
      </w:tr>
      <w:tr w:rsidR="00DE707D" w:rsidRPr="006801A5" w14:paraId="57F3A1B7" w14:textId="77777777" w:rsidTr="00144FF3">
        <w:tc>
          <w:tcPr>
            <w:tcW w:w="3402" w:type="dxa"/>
            <w:noWrap/>
          </w:tcPr>
          <w:p w14:paraId="76D807C7" w14:textId="75424390" w:rsidR="00DE707D" w:rsidRPr="00BD7193" w:rsidRDefault="00DE707D" w:rsidP="009E51C8">
            <w:pPr>
              <w:pStyle w:val="ARGrantstabletext"/>
              <w:rPr>
                <w:color w:val="000000"/>
              </w:rPr>
            </w:pPr>
            <w:r w:rsidRPr="00BD7193">
              <w:rPr>
                <w:color w:val="000000"/>
              </w:rPr>
              <w:t xml:space="preserve">Syndromes Without </w:t>
            </w:r>
            <w:proofErr w:type="gramStart"/>
            <w:r w:rsidRPr="00BD7193">
              <w:rPr>
                <w:color w:val="000000"/>
              </w:rPr>
              <w:t>A</w:t>
            </w:r>
            <w:proofErr w:type="gramEnd"/>
            <w:r w:rsidRPr="00BD7193">
              <w:rPr>
                <w:color w:val="000000"/>
              </w:rPr>
              <w:t xml:space="preserve"> Name (SWAN)</w:t>
            </w:r>
            <w:r w:rsidR="0009574E">
              <w:rPr>
                <w:color w:val="000000"/>
              </w:rPr>
              <w:t> </w:t>
            </w:r>
            <w:r w:rsidRPr="00BD7193">
              <w:rPr>
                <w:color w:val="000000"/>
              </w:rPr>
              <w:t>Australia</w:t>
            </w:r>
          </w:p>
        </w:tc>
        <w:tc>
          <w:tcPr>
            <w:tcW w:w="1187" w:type="dxa"/>
            <w:shd w:val="clear" w:color="auto" w:fill="E7E6E6" w:themeFill="background2"/>
            <w:noWrap/>
          </w:tcPr>
          <w:p w14:paraId="58AF4B96" w14:textId="77777777" w:rsidR="00DE707D" w:rsidRPr="00BD7193" w:rsidRDefault="00DE707D" w:rsidP="0009574E">
            <w:pPr>
              <w:pStyle w:val="ARGrantstabletextright"/>
              <w:rPr>
                <w:color w:val="000000"/>
              </w:rPr>
            </w:pPr>
            <w:r w:rsidRPr="00BD7193">
              <w:rPr>
                <w:color w:val="000000"/>
              </w:rPr>
              <w:t>13,996</w:t>
            </w:r>
          </w:p>
        </w:tc>
      </w:tr>
      <w:tr w:rsidR="00DE707D" w:rsidRPr="006801A5" w14:paraId="3D54AB31" w14:textId="77777777" w:rsidTr="00144FF3">
        <w:tc>
          <w:tcPr>
            <w:tcW w:w="3402" w:type="dxa"/>
            <w:noWrap/>
          </w:tcPr>
          <w:p w14:paraId="388FDCB9" w14:textId="77777777" w:rsidR="00DE707D" w:rsidRPr="00BD7193" w:rsidRDefault="00DE707D" w:rsidP="009E51C8">
            <w:pPr>
              <w:pStyle w:val="ARGrantstabletext"/>
              <w:rPr>
                <w:color w:val="000000"/>
              </w:rPr>
            </w:pPr>
            <w:r w:rsidRPr="00BD7193">
              <w:rPr>
                <w:color w:val="000000"/>
              </w:rPr>
              <w:t>The Clubhouse Social Group</w:t>
            </w:r>
          </w:p>
        </w:tc>
        <w:tc>
          <w:tcPr>
            <w:tcW w:w="1187" w:type="dxa"/>
            <w:shd w:val="clear" w:color="auto" w:fill="E7E6E6" w:themeFill="background2"/>
            <w:noWrap/>
          </w:tcPr>
          <w:p w14:paraId="021366A0" w14:textId="77777777" w:rsidR="00DE707D" w:rsidRPr="00BD7193" w:rsidRDefault="00DE707D" w:rsidP="0009574E">
            <w:pPr>
              <w:pStyle w:val="ARGrantstabletextright"/>
              <w:rPr>
                <w:color w:val="000000"/>
              </w:rPr>
            </w:pPr>
            <w:r w:rsidRPr="00BD7193">
              <w:rPr>
                <w:color w:val="000000"/>
              </w:rPr>
              <w:t>5,064</w:t>
            </w:r>
          </w:p>
        </w:tc>
      </w:tr>
      <w:tr w:rsidR="00DE707D" w:rsidRPr="006801A5" w14:paraId="447D1193" w14:textId="77777777" w:rsidTr="00144FF3">
        <w:tc>
          <w:tcPr>
            <w:tcW w:w="3402" w:type="dxa"/>
            <w:noWrap/>
          </w:tcPr>
          <w:p w14:paraId="743850F0" w14:textId="77777777" w:rsidR="00DE707D" w:rsidRPr="00BD7193" w:rsidRDefault="00DE707D" w:rsidP="009E51C8">
            <w:pPr>
              <w:pStyle w:val="ARGrantstabletext"/>
              <w:rPr>
                <w:color w:val="000000"/>
              </w:rPr>
            </w:pPr>
            <w:r w:rsidRPr="00BD7193">
              <w:rPr>
                <w:color w:val="000000"/>
              </w:rPr>
              <w:t>The Oasis Zone</w:t>
            </w:r>
          </w:p>
        </w:tc>
        <w:tc>
          <w:tcPr>
            <w:tcW w:w="1187" w:type="dxa"/>
            <w:shd w:val="clear" w:color="auto" w:fill="E7E6E6" w:themeFill="background2"/>
            <w:noWrap/>
          </w:tcPr>
          <w:p w14:paraId="2F860BBD" w14:textId="77777777" w:rsidR="00DE707D" w:rsidRPr="00BD7193" w:rsidRDefault="00DE707D" w:rsidP="0009574E">
            <w:pPr>
              <w:pStyle w:val="ARGrantstabletextright"/>
              <w:rPr>
                <w:color w:val="000000"/>
              </w:rPr>
            </w:pPr>
            <w:r w:rsidRPr="00BD7193">
              <w:rPr>
                <w:color w:val="000000"/>
              </w:rPr>
              <w:t>13,590</w:t>
            </w:r>
          </w:p>
        </w:tc>
      </w:tr>
      <w:tr w:rsidR="00DE707D" w:rsidRPr="006801A5" w14:paraId="5BF6AEF1" w14:textId="77777777" w:rsidTr="00144FF3">
        <w:tc>
          <w:tcPr>
            <w:tcW w:w="3402" w:type="dxa"/>
            <w:noWrap/>
          </w:tcPr>
          <w:p w14:paraId="0D180BEC" w14:textId="77777777" w:rsidR="00DE707D" w:rsidRPr="00BD7193" w:rsidRDefault="00DE707D" w:rsidP="009E51C8">
            <w:pPr>
              <w:pStyle w:val="ARGrantstabletext"/>
              <w:rPr>
                <w:color w:val="000000"/>
              </w:rPr>
            </w:pPr>
            <w:r w:rsidRPr="00BD7193">
              <w:rPr>
                <w:color w:val="000000"/>
              </w:rPr>
              <w:t>Their Wonderful World</w:t>
            </w:r>
          </w:p>
        </w:tc>
        <w:tc>
          <w:tcPr>
            <w:tcW w:w="1187" w:type="dxa"/>
            <w:shd w:val="clear" w:color="auto" w:fill="E7E6E6" w:themeFill="background2"/>
            <w:noWrap/>
          </w:tcPr>
          <w:p w14:paraId="6E8E1634" w14:textId="77777777" w:rsidR="00DE707D" w:rsidRPr="00BD7193" w:rsidRDefault="00DE707D" w:rsidP="0009574E">
            <w:pPr>
              <w:pStyle w:val="ARGrantstabletextright"/>
              <w:rPr>
                <w:color w:val="000000"/>
              </w:rPr>
            </w:pPr>
            <w:r w:rsidRPr="00BD7193">
              <w:rPr>
                <w:color w:val="000000"/>
              </w:rPr>
              <w:t>6,800</w:t>
            </w:r>
          </w:p>
        </w:tc>
      </w:tr>
      <w:tr w:rsidR="00DE707D" w:rsidRPr="006801A5" w14:paraId="2B656616" w14:textId="77777777" w:rsidTr="00144FF3">
        <w:tc>
          <w:tcPr>
            <w:tcW w:w="3402" w:type="dxa"/>
            <w:noWrap/>
          </w:tcPr>
          <w:p w14:paraId="21A23CAD" w14:textId="77777777" w:rsidR="00DE707D" w:rsidRPr="00BD7193" w:rsidRDefault="00DE707D" w:rsidP="009E51C8">
            <w:pPr>
              <w:pStyle w:val="ARGrantstabletext"/>
              <w:rPr>
                <w:color w:val="000000"/>
              </w:rPr>
            </w:pPr>
            <w:r w:rsidRPr="00BD7193">
              <w:rPr>
                <w:color w:val="000000"/>
              </w:rPr>
              <w:t>Uniting Wimmera</w:t>
            </w:r>
          </w:p>
        </w:tc>
        <w:tc>
          <w:tcPr>
            <w:tcW w:w="1187" w:type="dxa"/>
            <w:shd w:val="clear" w:color="auto" w:fill="E7E6E6" w:themeFill="background2"/>
            <w:noWrap/>
          </w:tcPr>
          <w:p w14:paraId="67FE8C9E" w14:textId="77777777" w:rsidR="00DE707D" w:rsidRPr="00BD7193" w:rsidRDefault="00DE707D" w:rsidP="0009574E">
            <w:pPr>
              <w:pStyle w:val="ARGrantstabletextright"/>
              <w:rPr>
                <w:color w:val="000000"/>
              </w:rPr>
            </w:pPr>
            <w:r w:rsidRPr="00BD7193">
              <w:rPr>
                <w:color w:val="000000"/>
              </w:rPr>
              <w:t>10,000</w:t>
            </w:r>
          </w:p>
        </w:tc>
      </w:tr>
      <w:tr w:rsidR="00DE707D" w:rsidRPr="006801A5" w14:paraId="094ABB93" w14:textId="77777777" w:rsidTr="00144FF3">
        <w:tc>
          <w:tcPr>
            <w:tcW w:w="3402" w:type="dxa"/>
            <w:noWrap/>
          </w:tcPr>
          <w:p w14:paraId="6C0A27EA" w14:textId="77777777" w:rsidR="00DE707D" w:rsidRPr="00BD7193" w:rsidRDefault="00DE707D" w:rsidP="009E51C8">
            <w:pPr>
              <w:pStyle w:val="ARGrantstabletext"/>
              <w:rPr>
                <w:color w:val="000000"/>
              </w:rPr>
            </w:pPr>
            <w:proofErr w:type="spellStart"/>
            <w:r w:rsidRPr="00BD7193">
              <w:rPr>
                <w:color w:val="000000"/>
              </w:rPr>
              <w:t>UsherKids</w:t>
            </w:r>
            <w:proofErr w:type="spellEnd"/>
            <w:r w:rsidRPr="00BD7193">
              <w:rPr>
                <w:color w:val="000000"/>
              </w:rPr>
              <w:t xml:space="preserve"> Australia Ltd</w:t>
            </w:r>
          </w:p>
        </w:tc>
        <w:tc>
          <w:tcPr>
            <w:tcW w:w="1187" w:type="dxa"/>
            <w:shd w:val="clear" w:color="auto" w:fill="E7E6E6" w:themeFill="background2"/>
            <w:noWrap/>
          </w:tcPr>
          <w:p w14:paraId="5CAA389D" w14:textId="77777777" w:rsidR="00DE707D" w:rsidRPr="00BD7193" w:rsidRDefault="00DE707D" w:rsidP="0009574E">
            <w:pPr>
              <w:pStyle w:val="ARGrantstabletextright"/>
              <w:rPr>
                <w:color w:val="000000"/>
              </w:rPr>
            </w:pPr>
            <w:r w:rsidRPr="00BD7193">
              <w:rPr>
                <w:color w:val="000000"/>
              </w:rPr>
              <w:t>7,000</w:t>
            </w:r>
          </w:p>
        </w:tc>
      </w:tr>
      <w:tr w:rsidR="00DE707D" w:rsidRPr="006801A5" w14:paraId="3C6D1F46" w14:textId="77777777" w:rsidTr="00144FF3">
        <w:tc>
          <w:tcPr>
            <w:tcW w:w="3402" w:type="dxa"/>
            <w:noWrap/>
          </w:tcPr>
          <w:p w14:paraId="130AB665" w14:textId="5B3D8D40" w:rsidR="00DE707D" w:rsidRPr="00BD7193" w:rsidRDefault="00DE707D" w:rsidP="009E51C8">
            <w:pPr>
              <w:pStyle w:val="ARGrantstabletext"/>
              <w:rPr>
                <w:color w:val="000000"/>
              </w:rPr>
            </w:pPr>
            <w:r w:rsidRPr="00BD7193">
              <w:rPr>
                <w:color w:val="000000"/>
              </w:rPr>
              <w:t>VALID (Victorian Advocacy League for</w:t>
            </w:r>
            <w:r w:rsidR="00F90BC7">
              <w:rPr>
                <w:color w:val="000000"/>
              </w:rPr>
              <w:t> </w:t>
            </w:r>
            <w:r w:rsidRPr="00BD7193">
              <w:rPr>
                <w:color w:val="000000"/>
              </w:rPr>
              <w:t>Individuals)</w:t>
            </w:r>
          </w:p>
        </w:tc>
        <w:tc>
          <w:tcPr>
            <w:tcW w:w="1187" w:type="dxa"/>
            <w:shd w:val="clear" w:color="auto" w:fill="E7E6E6" w:themeFill="background2"/>
            <w:noWrap/>
          </w:tcPr>
          <w:p w14:paraId="1D03F8D1" w14:textId="77777777" w:rsidR="00DE707D" w:rsidRPr="00BD7193" w:rsidRDefault="00DE707D" w:rsidP="0009574E">
            <w:pPr>
              <w:pStyle w:val="ARGrantstabletextright"/>
              <w:rPr>
                <w:color w:val="000000"/>
              </w:rPr>
            </w:pPr>
            <w:r w:rsidRPr="00BD7193">
              <w:rPr>
                <w:color w:val="000000"/>
              </w:rPr>
              <w:t>28,000</w:t>
            </w:r>
          </w:p>
        </w:tc>
      </w:tr>
      <w:tr w:rsidR="00DE707D" w:rsidRPr="006801A5" w14:paraId="25A01BAF" w14:textId="77777777" w:rsidTr="00144FF3">
        <w:tc>
          <w:tcPr>
            <w:tcW w:w="3402" w:type="dxa"/>
            <w:noWrap/>
          </w:tcPr>
          <w:p w14:paraId="4155A6DB" w14:textId="088CF9FD" w:rsidR="00DE707D" w:rsidRPr="00BD7193" w:rsidRDefault="00DE707D" w:rsidP="009E51C8">
            <w:pPr>
              <w:pStyle w:val="ARGrantstabletext"/>
              <w:rPr>
                <w:color w:val="000000"/>
              </w:rPr>
            </w:pPr>
            <w:r w:rsidRPr="00BD7193">
              <w:rPr>
                <w:color w:val="000000"/>
              </w:rPr>
              <w:t>Victorian Mental Illness Awareness</w:t>
            </w:r>
            <w:r w:rsidR="00144FF3">
              <w:rPr>
                <w:color w:val="000000"/>
              </w:rPr>
              <w:t> </w:t>
            </w:r>
            <w:r w:rsidRPr="00BD7193">
              <w:rPr>
                <w:color w:val="000000"/>
              </w:rPr>
              <w:t>Council</w:t>
            </w:r>
          </w:p>
        </w:tc>
        <w:tc>
          <w:tcPr>
            <w:tcW w:w="1187" w:type="dxa"/>
            <w:shd w:val="clear" w:color="auto" w:fill="E7E6E6" w:themeFill="background2"/>
            <w:noWrap/>
          </w:tcPr>
          <w:p w14:paraId="0DEF0504" w14:textId="77777777" w:rsidR="00DE707D" w:rsidRPr="00BD7193" w:rsidRDefault="00DE707D" w:rsidP="0009574E">
            <w:pPr>
              <w:pStyle w:val="ARGrantstabletextright"/>
              <w:rPr>
                <w:color w:val="000000"/>
              </w:rPr>
            </w:pPr>
            <w:r w:rsidRPr="00BD7193">
              <w:rPr>
                <w:color w:val="000000"/>
              </w:rPr>
              <w:t>3,000</w:t>
            </w:r>
          </w:p>
        </w:tc>
      </w:tr>
      <w:tr w:rsidR="00DE707D" w:rsidRPr="006801A5" w14:paraId="19E85B2B" w14:textId="77777777" w:rsidTr="00144FF3">
        <w:tc>
          <w:tcPr>
            <w:tcW w:w="3402" w:type="dxa"/>
            <w:noWrap/>
          </w:tcPr>
          <w:p w14:paraId="0A52C904" w14:textId="11A77E65" w:rsidR="00DE707D" w:rsidRPr="00BD7193" w:rsidRDefault="00DE707D" w:rsidP="009E51C8">
            <w:pPr>
              <w:pStyle w:val="ARGrantstabletext"/>
              <w:rPr>
                <w:color w:val="000000"/>
              </w:rPr>
            </w:pPr>
            <w:r w:rsidRPr="00BD7193">
              <w:rPr>
                <w:color w:val="000000"/>
              </w:rPr>
              <w:t>Vietnamese Families with Special needs</w:t>
            </w:r>
            <w:r w:rsidR="0009574E">
              <w:rPr>
                <w:color w:val="000000"/>
              </w:rPr>
              <w:t> </w:t>
            </w:r>
            <w:r w:rsidRPr="00BD7193">
              <w:rPr>
                <w:color w:val="000000"/>
              </w:rPr>
              <w:t>Inc</w:t>
            </w:r>
            <w:r w:rsidR="00EA7A42">
              <w:rPr>
                <w:color w:val="000000"/>
              </w:rPr>
              <w:t>.</w:t>
            </w:r>
          </w:p>
        </w:tc>
        <w:tc>
          <w:tcPr>
            <w:tcW w:w="1187" w:type="dxa"/>
            <w:shd w:val="clear" w:color="auto" w:fill="E7E6E6" w:themeFill="background2"/>
            <w:noWrap/>
          </w:tcPr>
          <w:p w14:paraId="24F65A06" w14:textId="77777777" w:rsidR="00DE707D" w:rsidRPr="00BD7193" w:rsidRDefault="00DE707D" w:rsidP="0009574E">
            <w:pPr>
              <w:pStyle w:val="ARGrantstabletextright"/>
              <w:rPr>
                <w:color w:val="000000"/>
              </w:rPr>
            </w:pPr>
            <w:r w:rsidRPr="00BD7193">
              <w:rPr>
                <w:color w:val="000000"/>
              </w:rPr>
              <w:t>12,922</w:t>
            </w:r>
          </w:p>
        </w:tc>
      </w:tr>
      <w:tr w:rsidR="00DE707D" w:rsidRPr="006801A5" w14:paraId="38FECFDB" w14:textId="77777777" w:rsidTr="00144FF3">
        <w:tc>
          <w:tcPr>
            <w:tcW w:w="3402" w:type="dxa"/>
            <w:noWrap/>
          </w:tcPr>
          <w:p w14:paraId="01FE42F0" w14:textId="0322D4BB" w:rsidR="00DE707D" w:rsidRPr="00BD7193" w:rsidRDefault="00DE707D" w:rsidP="009E51C8">
            <w:pPr>
              <w:pStyle w:val="ARGrantstabletext"/>
              <w:rPr>
                <w:color w:val="000000"/>
              </w:rPr>
            </w:pPr>
            <w:r w:rsidRPr="00BD7193">
              <w:rPr>
                <w:color w:val="000000"/>
              </w:rPr>
              <w:t>Warrnambool Polio Support Group Inc</w:t>
            </w:r>
            <w:r w:rsidR="00EA7A42">
              <w:rPr>
                <w:color w:val="000000"/>
              </w:rPr>
              <w:t>.</w:t>
            </w:r>
          </w:p>
        </w:tc>
        <w:tc>
          <w:tcPr>
            <w:tcW w:w="1187" w:type="dxa"/>
            <w:shd w:val="clear" w:color="auto" w:fill="E7E6E6" w:themeFill="background2"/>
            <w:noWrap/>
          </w:tcPr>
          <w:p w14:paraId="125A9B27" w14:textId="77777777" w:rsidR="00DE707D" w:rsidRPr="00BD7193" w:rsidRDefault="00DE707D" w:rsidP="0009574E">
            <w:pPr>
              <w:pStyle w:val="ARGrantstabletextright"/>
              <w:rPr>
                <w:color w:val="000000"/>
              </w:rPr>
            </w:pPr>
            <w:r w:rsidRPr="00BD7193">
              <w:rPr>
                <w:color w:val="000000"/>
              </w:rPr>
              <w:t>7,700</w:t>
            </w:r>
          </w:p>
        </w:tc>
      </w:tr>
      <w:tr w:rsidR="00DE707D" w:rsidRPr="006801A5" w14:paraId="637B480E" w14:textId="77777777" w:rsidTr="00144FF3">
        <w:tc>
          <w:tcPr>
            <w:tcW w:w="3402" w:type="dxa"/>
            <w:noWrap/>
          </w:tcPr>
          <w:p w14:paraId="2278E73E" w14:textId="77777777" w:rsidR="00DE707D" w:rsidRPr="00BD7193" w:rsidRDefault="00DE707D" w:rsidP="009E51C8">
            <w:pPr>
              <w:pStyle w:val="ARGrantstabletext"/>
              <w:rPr>
                <w:color w:val="000000"/>
              </w:rPr>
            </w:pPr>
            <w:r w:rsidRPr="00BD7193">
              <w:rPr>
                <w:color w:val="000000"/>
              </w:rPr>
              <w:t>Watton Group</w:t>
            </w:r>
          </w:p>
        </w:tc>
        <w:tc>
          <w:tcPr>
            <w:tcW w:w="1187" w:type="dxa"/>
            <w:shd w:val="clear" w:color="auto" w:fill="E7E6E6" w:themeFill="background2"/>
            <w:noWrap/>
          </w:tcPr>
          <w:p w14:paraId="134BF178" w14:textId="77777777" w:rsidR="00DE707D" w:rsidRPr="00BD7193" w:rsidRDefault="00DE707D" w:rsidP="0009574E">
            <w:pPr>
              <w:pStyle w:val="ARGrantstabletextright"/>
              <w:rPr>
                <w:color w:val="000000"/>
              </w:rPr>
            </w:pPr>
            <w:r w:rsidRPr="00BD7193">
              <w:rPr>
                <w:color w:val="000000"/>
              </w:rPr>
              <w:t>9,646</w:t>
            </w:r>
          </w:p>
        </w:tc>
      </w:tr>
      <w:tr w:rsidR="00DE707D" w:rsidRPr="006801A5" w14:paraId="790B9864" w14:textId="77777777" w:rsidTr="00144FF3">
        <w:tc>
          <w:tcPr>
            <w:tcW w:w="3402" w:type="dxa"/>
            <w:noWrap/>
          </w:tcPr>
          <w:p w14:paraId="0B883B86" w14:textId="77777777" w:rsidR="00DE707D" w:rsidRPr="00BD7193" w:rsidRDefault="00DE707D" w:rsidP="009E51C8">
            <w:pPr>
              <w:pStyle w:val="ARGrantstabletext"/>
              <w:rPr>
                <w:color w:val="000000"/>
              </w:rPr>
            </w:pPr>
            <w:r w:rsidRPr="00BD7193">
              <w:rPr>
                <w:color w:val="000000"/>
              </w:rPr>
              <w:t>Westgate Support Group Inc.</w:t>
            </w:r>
          </w:p>
        </w:tc>
        <w:tc>
          <w:tcPr>
            <w:tcW w:w="1187" w:type="dxa"/>
            <w:shd w:val="clear" w:color="auto" w:fill="E7E6E6" w:themeFill="background2"/>
            <w:noWrap/>
          </w:tcPr>
          <w:p w14:paraId="04602F84" w14:textId="77777777" w:rsidR="00DE707D" w:rsidRPr="00BD7193" w:rsidRDefault="00DE707D" w:rsidP="0009574E">
            <w:pPr>
              <w:pStyle w:val="ARGrantstabletextright"/>
              <w:rPr>
                <w:color w:val="000000"/>
              </w:rPr>
            </w:pPr>
            <w:r w:rsidRPr="00BD7193">
              <w:rPr>
                <w:color w:val="000000"/>
              </w:rPr>
              <w:t>8,240</w:t>
            </w:r>
          </w:p>
        </w:tc>
      </w:tr>
      <w:tr w:rsidR="00DE707D" w:rsidRPr="006801A5" w14:paraId="7DFF7E95" w14:textId="77777777" w:rsidTr="00144FF3">
        <w:tc>
          <w:tcPr>
            <w:tcW w:w="3402" w:type="dxa"/>
            <w:noWrap/>
          </w:tcPr>
          <w:p w14:paraId="4CE2326F" w14:textId="11E6AAEA" w:rsidR="00DE707D" w:rsidRPr="00BD7193" w:rsidRDefault="00DE707D" w:rsidP="009E51C8">
            <w:pPr>
              <w:pStyle w:val="ARGrantstabletext"/>
              <w:rPr>
                <w:color w:val="000000"/>
              </w:rPr>
            </w:pPr>
            <w:r w:rsidRPr="00BD7193">
              <w:rPr>
                <w:color w:val="000000"/>
              </w:rPr>
              <w:t>Wimmera Parkinsons Peer Support</w:t>
            </w:r>
            <w:r w:rsidR="00144FF3">
              <w:rPr>
                <w:color w:val="000000"/>
              </w:rPr>
              <w:t> </w:t>
            </w:r>
            <w:r w:rsidRPr="00BD7193">
              <w:rPr>
                <w:color w:val="000000"/>
              </w:rPr>
              <w:t>Group</w:t>
            </w:r>
          </w:p>
        </w:tc>
        <w:tc>
          <w:tcPr>
            <w:tcW w:w="1187" w:type="dxa"/>
            <w:shd w:val="clear" w:color="auto" w:fill="E7E6E6" w:themeFill="background2"/>
            <w:noWrap/>
          </w:tcPr>
          <w:p w14:paraId="1CB59AC7" w14:textId="77777777" w:rsidR="00DE707D" w:rsidRPr="00BD7193" w:rsidRDefault="00DE707D" w:rsidP="0009574E">
            <w:pPr>
              <w:pStyle w:val="ARGrantstabletextright"/>
              <w:rPr>
                <w:color w:val="000000"/>
              </w:rPr>
            </w:pPr>
            <w:r w:rsidRPr="00BD7193">
              <w:rPr>
                <w:color w:val="000000"/>
              </w:rPr>
              <w:t>2,000</w:t>
            </w:r>
          </w:p>
        </w:tc>
      </w:tr>
      <w:tr w:rsidR="00DE707D" w:rsidRPr="006801A5" w14:paraId="013EDCC6" w14:textId="77777777" w:rsidTr="00144FF3">
        <w:tc>
          <w:tcPr>
            <w:tcW w:w="3402" w:type="dxa"/>
            <w:noWrap/>
          </w:tcPr>
          <w:p w14:paraId="4DA82678" w14:textId="77777777" w:rsidR="00DE707D" w:rsidRPr="00BD7193" w:rsidRDefault="00DE707D" w:rsidP="009E51C8">
            <w:pPr>
              <w:pStyle w:val="ARGrantstabletext"/>
              <w:rPr>
                <w:color w:val="000000"/>
              </w:rPr>
            </w:pPr>
            <w:proofErr w:type="spellStart"/>
            <w:r w:rsidRPr="00BD7193">
              <w:rPr>
                <w:color w:val="000000"/>
              </w:rPr>
              <w:t>Young@Park</w:t>
            </w:r>
            <w:proofErr w:type="spellEnd"/>
            <w:r w:rsidRPr="00BD7193">
              <w:rPr>
                <w:color w:val="000000"/>
              </w:rPr>
              <w:t xml:space="preserve"> peer support group</w:t>
            </w:r>
          </w:p>
        </w:tc>
        <w:tc>
          <w:tcPr>
            <w:tcW w:w="1187" w:type="dxa"/>
            <w:shd w:val="clear" w:color="auto" w:fill="E7E6E6" w:themeFill="background2"/>
            <w:noWrap/>
          </w:tcPr>
          <w:p w14:paraId="46D8ABAD" w14:textId="77777777" w:rsidR="00DE707D" w:rsidRPr="00BD7193" w:rsidRDefault="00DE707D" w:rsidP="0009574E">
            <w:pPr>
              <w:pStyle w:val="ARGrantstabletextright"/>
              <w:rPr>
                <w:color w:val="000000"/>
              </w:rPr>
            </w:pPr>
            <w:r w:rsidRPr="00BD7193">
              <w:rPr>
                <w:color w:val="000000"/>
              </w:rPr>
              <w:t>7,000</w:t>
            </w:r>
          </w:p>
        </w:tc>
      </w:tr>
      <w:tr w:rsidR="00DE707D" w:rsidRPr="006D2D94" w14:paraId="076FFB60" w14:textId="77777777" w:rsidTr="00144FF3">
        <w:trPr>
          <w:cnfStyle w:val="010000000000" w:firstRow="0" w:lastRow="1" w:firstColumn="0" w:lastColumn="0" w:oddVBand="0" w:evenVBand="0" w:oddHBand="0" w:evenHBand="0" w:firstRowFirstColumn="0" w:firstRowLastColumn="0" w:lastRowFirstColumn="0" w:lastRowLastColumn="0"/>
        </w:trPr>
        <w:tc>
          <w:tcPr>
            <w:tcW w:w="3402" w:type="dxa"/>
            <w:noWrap/>
          </w:tcPr>
          <w:p w14:paraId="63A851FF" w14:textId="77777777" w:rsidR="00DE707D" w:rsidRPr="006D2D94" w:rsidRDefault="00DE707D" w:rsidP="009E51C8">
            <w:pPr>
              <w:pStyle w:val="ARGrantstabletextbold"/>
            </w:pPr>
            <w:r w:rsidRPr="006D2D94">
              <w:t>Total</w:t>
            </w:r>
          </w:p>
        </w:tc>
        <w:tc>
          <w:tcPr>
            <w:tcW w:w="1187" w:type="dxa"/>
            <w:shd w:val="clear" w:color="auto" w:fill="E7E6E6" w:themeFill="background2"/>
            <w:noWrap/>
          </w:tcPr>
          <w:p w14:paraId="4B5E9B13" w14:textId="77777777" w:rsidR="00DE707D" w:rsidRPr="006D2D94" w:rsidRDefault="00DE707D" w:rsidP="0009574E">
            <w:pPr>
              <w:pStyle w:val="ARGrantstabletextrightbold"/>
            </w:pPr>
            <w:r>
              <w:t>739,146</w:t>
            </w:r>
          </w:p>
        </w:tc>
      </w:tr>
    </w:tbl>
    <w:p w14:paraId="4D356DA4" w14:textId="77777777" w:rsidR="00144FF3" w:rsidRPr="00F90BC7" w:rsidRDefault="00144FF3" w:rsidP="00F90BC7">
      <w:pPr>
        <w:pStyle w:val="ARbody"/>
      </w:pPr>
      <w:r>
        <w:br w:type="page"/>
      </w:r>
    </w:p>
    <w:p w14:paraId="47E22BD8" w14:textId="2FD30361" w:rsidR="004A2DF7" w:rsidRPr="006D2D94" w:rsidRDefault="004A2DF7" w:rsidP="00144FF3">
      <w:pPr>
        <w:pStyle w:val="Heading3Grants"/>
      </w:pPr>
      <w:r w:rsidRPr="006D2D94">
        <w:lastRenderedPageBreak/>
        <w:t xml:space="preserve">Housing Support and </w:t>
      </w:r>
      <w:r w:rsidRPr="00144FF3">
        <w:t>Homelessness</w:t>
      </w:r>
      <w:r w:rsidRPr="006D2D94">
        <w:t> Assistance</w:t>
      </w:r>
    </w:p>
    <w:tbl>
      <w:tblPr>
        <w:tblStyle w:val="TableGrid"/>
        <w:tblW w:w="5000" w:type="pct"/>
        <w:tblLook w:val="02E0" w:firstRow="1" w:lastRow="1" w:firstColumn="1" w:lastColumn="0" w:noHBand="1" w:noVBand="0"/>
      </w:tblPr>
      <w:tblGrid>
        <w:gridCol w:w="3304"/>
        <w:gridCol w:w="1285"/>
      </w:tblGrid>
      <w:tr w:rsidR="004A2DF7" w:rsidRPr="006D2D94" w14:paraId="5C66068C" w14:textId="77777777" w:rsidTr="0009574E">
        <w:trPr>
          <w:cnfStyle w:val="100000000000" w:firstRow="1" w:lastRow="0" w:firstColumn="0" w:lastColumn="0" w:oddVBand="0" w:evenVBand="0" w:oddHBand="0" w:evenHBand="0" w:firstRowFirstColumn="0" w:firstRowLastColumn="0" w:lastRowFirstColumn="0" w:lastRowLastColumn="0"/>
          <w:tblHeader/>
        </w:trPr>
        <w:tc>
          <w:tcPr>
            <w:tcW w:w="3269" w:type="dxa"/>
            <w:noWrap/>
          </w:tcPr>
          <w:p w14:paraId="4AB8C879" w14:textId="77777777" w:rsidR="004A2DF7" w:rsidRPr="006D2D94" w:rsidRDefault="004A2DF7">
            <w:pPr>
              <w:pStyle w:val="ARGrantstablecolhead"/>
            </w:pPr>
            <w:r w:rsidRPr="006D2D94">
              <w:t>Organisation</w:t>
            </w:r>
          </w:p>
        </w:tc>
        <w:tc>
          <w:tcPr>
            <w:cnfStyle w:val="000001000000" w:firstRow="0" w:lastRow="0" w:firstColumn="0" w:lastColumn="0" w:oddVBand="0" w:evenVBand="1" w:oddHBand="0" w:evenHBand="0" w:firstRowFirstColumn="0" w:firstRowLastColumn="0" w:lastRowFirstColumn="0" w:lastRowLastColumn="0"/>
            <w:tcW w:w="1267" w:type="dxa"/>
            <w:noWrap/>
          </w:tcPr>
          <w:p w14:paraId="2DEF9CFB" w14:textId="77777777" w:rsidR="004A2DF7" w:rsidRPr="006D2D94" w:rsidRDefault="004A2DF7" w:rsidP="004D668F">
            <w:pPr>
              <w:pStyle w:val="ARGrantstablecolheadright"/>
            </w:pPr>
            <w:r w:rsidRPr="006D2D94">
              <w:t>Payment ($)</w:t>
            </w:r>
          </w:p>
        </w:tc>
      </w:tr>
      <w:tr w:rsidR="004A2DF7" w:rsidRPr="006D2D94" w14:paraId="30338DAB" w14:textId="77777777" w:rsidTr="0009574E">
        <w:tc>
          <w:tcPr>
            <w:tcW w:w="3269" w:type="dxa"/>
            <w:noWrap/>
            <w:vAlign w:val="bottom"/>
          </w:tcPr>
          <w:p w14:paraId="51161FFF" w14:textId="039D49BC" w:rsidR="004A2DF7" w:rsidRPr="006D2D94" w:rsidRDefault="002A0E8F">
            <w:pPr>
              <w:pStyle w:val="ARGrantstabletext"/>
            </w:pPr>
            <w:r w:rsidRPr="006801A5">
              <w:rPr>
                <w:color w:val="000000"/>
              </w:rPr>
              <w:t>Australian Muslim Social Services Agency (AMSSA)</w:t>
            </w:r>
          </w:p>
        </w:tc>
        <w:tc>
          <w:tcPr>
            <w:cnfStyle w:val="000001000000" w:firstRow="0" w:lastRow="0" w:firstColumn="0" w:lastColumn="0" w:oddVBand="0" w:evenVBand="1" w:oddHBand="0" w:evenHBand="0" w:firstRowFirstColumn="0" w:firstRowLastColumn="0" w:lastRowFirstColumn="0" w:lastRowLastColumn="0"/>
            <w:tcW w:w="1267" w:type="dxa"/>
            <w:noWrap/>
            <w:vAlign w:val="bottom"/>
          </w:tcPr>
          <w:p w14:paraId="58D64C22" w14:textId="44227615" w:rsidR="004A2DF7" w:rsidRPr="006D2D94" w:rsidRDefault="002A0E8F">
            <w:pPr>
              <w:pStyle w:val="ARGrantstabletextright"/>
              <w:rPr>
                <w:b/>
              </w:rPr>
            </w:pPr>
            <w:r w:rsidRPr="006801A5">
              <w:rPr>
                <w:color w:val="000000"/>
              </w:rPr>
              <w:t>66,000</w:t>
            </w:r>
          </w:p>
        </w:tc>
      </w:tr>
      <w:tr w:rsidR="004A2DF7" w:rsidRPr="006D2D94" w14:paraId="75921923" w14:textId="77777777" w:rsidTr="0009574E">
        <w:tc>
          <w:tcPr>
            <w:tcW w:w="3269" w:type="dxa"/>
            <w:noWrap/>
            <w:vAlign w:val="bottom"/>
          </w:tcPr>
          <w:p w14:paraId="44CEA061" w14:textId="7918D3B9" w:rsidR="004A2DF7" w:rsidRPr="006D2D94" w:rsidRDefault="002A0E8F">
            <w:pPr>
              <w:pStyle w:val="ARGrantstabletext"/>
            </w:pPr>
            <w:r w:rsidRPr="006801A5">
              <w:rPr>
                <w:color w:val="000000"/>
              </w:rPr>
              <w:t>Belgium Avenue Neighbourhood House</w:t>
            </w:r>
          </w:p>
        </w:tc>
        <w:tc>
          <w:tcPr>
            <w:cnfStyle w:val="000001000000" w:firstRow="0" w:lastRow="0" w:firstColumn="0" w:lastColumn="0" w:oddVBand="0" w:evenVBand="1" w:oddHBand="0" w:evenHBand="0" w:firstRowFirstColumn="0" w:firstRowLastColumn="0" w:lastRowFirstColumn="0" w:lastRowLastColumn="0"/>
            <w:tcW w:w="1267" w:type="dxa"/>
            <w:noWrap/>
            <w:vAlign w:val="bottom"/>
          </w:tcPr>
          <w:p w14:paraId="45EB791D" w14:textId="487F6714" w:rsidR="004A2DF7" w:rsidRPr="006D2D94" w:rsidRDefault="002A0E8F">
            <w:pPr>
              <w:pStyle w:val="ARGrantstabletextright"/>
              <w:rPr>
                <w:b/>
              </w:rPr>
            </w:pPr>
            <w:r w:rsidRPr="006801A5">
              <w:rPr>
                <w:color w:val="000000"/>
              </w:rPr>
              <w:t>300,250</w:t>
            </w:r>
          </w:p>
        </w:tc>
      </w:tr>
      <w:tr w:rsidR="004A2DF7" w:rsidRPr="006D2D94" w14:paraId="524779F3" w14:textId="77777777" w:rsidTr="00144FF3">
        <w:tc>
          <w:tcPr>
            <w:tcW w:w="3269" w:type="dxa"/>
            <w:tcBorders>
              <w:bottom w:val="single" w:sz="4" w:space="0" w:color="A6A6A6" w:themeColor="accent5"/>
            </w:tcBorders>
            <w:noWrap/>
            <w:vAlign w:val="bottom"/>
          </w:tcPr>
          <w:p w14:paraId="00DB381F" w14:textId="5AA2424E" w:rsidR="004A2DF7" w:rsidRPr="006D2D94" w:rsidRDefault="002A0E8F">
            <w:pPr>
              <w:pStyle w:val="ARGrantstabletext"/>
            </w:pPr>
            <w:r w:rsidRPr="006801A5">
              <w:rPr>
                <w:color w:val="000000"/>
              </w:rPr>
              <w:t>Community Pop-Up Markets Ltd trading as The Community Grocer</w:t>
            </w:r>
          </w:p>
        </w:tc>
        <w:tc>
          <w:tcPr>
            <w:cnfStyle w:val="000001000000" w:firstRow="0" w:lastRow="0" w:firstColumn="0" w:lastColumn="0" w:oddVBand="0" w:evenVBand="1" w:oddHBand="0" w:evenHBand="0" w:firstRowFirstColumn="0" w:firstRowLastColumn="0" w:lastRowFirstColumn="0" w:lastRowLastColumn="0"/>
            <w:tcW w:w="1267" w:type="dxa"/>
            <w:tcBorders>
              <w:bottom w:val="single" w:sz="4" w:space="0" w:color="A6A6A6" w:themeColor="accent5"/>
            </w:tcBorders>
            <w:noWrap/>
            <w:vAlign w:val="bottom"/>
          </w:tcPr>
          <w:p w14:paraId="7504C005" w14:textId="1DD69496" w:rsidR="004A2DF7" w:rsidRPr="006D2D94" w:rsidRDefault="002A0E8F">
            <w:pPr>
              <w:pStyle w:val="ARGrantstabletextright"/>
              <w:rPr>
                <w:b/>
              </w:rPr>
            </w:pPr>
            <w:r w:rsidRPr="006801A5">
              <w:rPr>
                <w:color w:val="000000"/>
              </w:rPr>
              <w:t>250,000</w:t>
            </w:r>
          </w:p>
        </w:tc>
      </w:tr>
      <w:tr w:rsidR="004A2DF7" w:rsidRPr="006D2D94" w14:paraId="58EBF66F" w14:textId="77777777" w:rsidTr="00144FF3">
        <w:tc>
          <w:tcPr>
            <w:tcW w:w="3269" w:type="dxa"/>
            <w:tcBorders>
              <w:top w:val="single" w:sz="4" w:space="0" w:color="A6A6A6" w:themeColor="accent5"/>
              <w:bottom w:val="single" w:sz="4" w:space="0" w:color="A6A6A6" w:themeColor="accent5"/>
            </w:tcBorders>
            <w:noWrap/>
            <w:vAlign w:val="bottom"/>
          </w:tcPr>
          <w:p w14:paraId="1B1E4781" w14:textId="4C0F07B2" w:rsidR="004A2DF7" w:rsidRPr="006D2D94" w:rsidRDefault="002A0E8F">
            <w:pPr>
              <w:pStyle w:val="ARGrantstabletext"/>
            </w:pPr>
            <w:r w:rsidRPr="006801A5">
              <w:rPr>
                <w:color w:val="000000"/>
              </w:rPr>
              <w:t>Emerald Hill Mission</w:t>
            </w:r>
          </w:p>
        </w:tc>
        <w:tc>
          <w:tcPr>
            <w:cnfStyle w:val="000001000000" w:firstRow="0" w:lastRow="0" w:firstColumn="0" w:lastColumn="0" w:oddVBand="0" w:evenVBand="1" w:oddHBand="0" w:evenHBand="0" w:firstRowFirstColumn="0" w:firstRowLastColumn="0" w:lastRowFirstColumn="0" w:lastRowLastColumn="0"/>
            <w:tcW w:w="1267" w:type="dxa"/>
            <w:tcBorders>
              <w:top w:val="single" w:sz="4" w:space="0" w:color="A6A6A6" w:themeColor="accent5"/>
              <w:bottom w:val="single" w:sz="4" w:space="0" w:color="A6A6A6" w:themeColor="accent5"/>
            </w:tcBorders>
            <w:noWrap/>
            <w:vAlign w:val="bottom"/>
          </w:tcPr>
          <w:p w14:paraId="73A9ECBD" w14:textId="77A72342" w:rsidR="004A2DF7" w:rsidRPr="006D2D94" w:rsidRDefault="002A0E8F">
            <w:pPr>
              <w:pStyle w:val="ARGrantstabletextright"/>
              <w:rPr>
                <w:b/>
              </w:rPr>
            </w:pPr>
            <w:r w:rsidRPr="006801A5">
              <w:rPr>
                <w:color w:val="000000"/>
              </w:rPr>
              <w:t>66,000</w:t>
            </w:r>
          </w:p>
        </w:tc>
      </w:tr>
      <w:tr w:rsidR="004A2DF7" w:rsidRPr="006D2D94" w14:paraId="55A575B4" w14:textId="77777777" w:rsidTr="00144FF3">
        <w:tc>
          <w:tcPr>
            <w:tcW w:w="3269" w:type="dxa"/>
            <w:tcBorders>
              <w:top w:val="single" w:sz="4" w:space="0" w:color="A6A6A6" w:themeColor="accent5"/>
            </w:tcBorders>
            <w:noWrap/>
            <w:vAlign w:val="bottom"/>
          </w:tcPr>
          <w:p w14:paraId="6F59F031" w14:textId="4D0AFAED" w:rsidR="004A2DF7" w:rsidRPr="006D2D94" w:rsidRDefault="002A0E8F">
            <w:pPr>
              <w:pStyle w:val="ARGrantstabletext"/>
            </w:pPr>
            <w:r w:rsidRPr="006801A5">
              <w:rPr>
                <w:color w:val="000000"/>
              </w:rPr>
              <w:t>Essendon Baptist Community</w:t>
            </w:r>
            <w:r w:rsidR="0009574E">
              <w:rPr>
                <w:color w:val="000000"/>
              </w:rPr>
              <w:t> </w:t>
            </w:r>
            <w:r w:rsidRPr="006801A5">
              <w:rPr>
                <w:color w:val="000000"/>
              </w:rPr>
              <w:t>Ministries</w:t>
            </w:r>
          </w:p>
        </w:tc>
        <w:tc>
          <w:tcPr>
            <w:cnfStyle w:val="000001000000" w:firstRow="0" w:lastRow="0" w:firstColumn="0" w:lastColumn="0" w:oddVBand="0" w:evenVBand="1" w:oddHBand="0" w:evenHBand="0" w:firstRowFirstColumn="0" w:firstRowLastColumn="0" w:lastRowFirstColumn="0" w:lastRowLastColumn="0"/>
            <w:tcW w:w="1267" w:type="dxa"/>
            <w:tcBorders>
              <w:top w:val="single" w:sz="4" w:space="0" w:color="A6A6A6" w:themeColor="accent5"/>
            </w:tcBorders>
            <w:noWrap/>
            <w:vAlign w:val="bottom"/>
          </w:tcPr>
          <w:p w14:paraId="686068E8" w14:textId="4B5C9052" w:rsidR="004A2DF7" w:rsidRPr="006D2D94" w:rsidRDefault="002A0E8F">
            <w:pPr>
              <w:pStyle w:val="ARGrantstabletextright"/>
              <w:rPr>
                <w:b/>
              </w:rPr>
            </w:pPr>
            <w:r w:rsidRPr="006801A5">
              <w:rPr>
                <w:color w:val="000000"/>
              </w:rPr>
              <w:t>66,000</w:t>
            </w:r>
          </w:p>
        </w:tc>
      </w:tr>
      <w:tr w:rsidR="004A2DF7" w:rsidRPr="006D2D94" w14:paraId="07BE9C63" w14:textId="77777777" w:rsidTr="0009574E">
        <w:tc>
          <w:tcPr>
            <w:tcW w:w="3269" w:type="dxa"/>
            <w:noWrap/>
            <w:vAlign w:val="bottom"/>
          </w:tcPr>
          <w:p w14:paraId="47A16A09" w14:textId="39197B0C" w:rsidR="004A2DF7" w:rsidRPr="006D2D94" w:rsidRDefault="002A0E8F">
            <w:pPr>
              <w:pStyle w:val="ARGrantstabletext"/>
            </w:pPr>
            <w:r w:rsidRPr="006801A5">
              <w:rPr>
                <w:color w:val="000000"/>
              </w:rPr>
              <w:t>Merri Outreach Support Service Ltd</w:t>
            </w:r>
          </w:p>
        </w:tc>
        <w:tc>
          <w:tcPr>
            <w:cnfStyle w:val="000001000000" w:firstRow="0" w:lastRow="0" w:firstColumn="0" w:lastColumn="0" w:oddVBand="0" w:evenVBand="1" w:oddHBand="0" w:evenHBand="0" w:firstRowFirstColumn="0" w:firstRowLastColumn="0" w:lastRowFirstColumn="0" w:lastRowLastColumn="0"/>
            <w:tcW w:w="1267" w:type="dxa"/>
            <w:noWrap/>
            <w:vAlign w:val="bottom"/>
          </w:tcPr>
          <w:p w14:paraId="166DA779" w14:textId="21924C5C" w:rsidR="004A2DF7" w:rsidRPr="006D2D94" w:rsidRDefault="002A0E8F">
            <w:pPr>
              <w:pStyle w:val="ARGrantstabletextright"/>
              <w:rPr>
                <w:b/>
              </w:rPr>
            </w:pPr>
            <w:r w:rsidRPr="006801A5">
              <w:rPr>
                <w:color w:val="000000"/>
              </w:rPr>
              <w:t>66,000</w:t>
            </w:r>
          </w:p>
        </w:tc>
      </w:tr>
      <w:tr w:rsidR="004A2DF7" w:rsidRPr="006D2D94" w14:paraId="2EEA5167" w14:textId="77777777" w:rsidTr="0009574E">
        <w:tc>
          <w:tcPr>
            <w:tcW w:w="3269" w:type="dxa"/>
            <w:noWrap/>
            <w:vAlign w:val="bottom"/>
          </w:tcPr>
          <w:p w14:paraId="368223C2" w14:textId="04882677" w:rsidR="004A2DF7" w:rsidRPr="006D2D94" w:rsidRDefault="002A0E8F">
            <w:pPr>
              <w:pStyle w:val="ARGrantstabletext"/>
            </w:pPr>
            <w:r w:rsidRPr="006801A5">
              <w:rPr>
                <w:color w:val="000000"/>
              </w:rPr>
              <w:t>Park Towers Community Pantry Ltd</w:t>
            </w:r>
          </w:p>
        </w:tc>
        <w:tc>
          <w:tcPr>
            <w:cnfStyle w:val="000001000000" w:firstRow="0" w:lastRow="0" w:firstColumn="0" w:lastColumn="0" w:oddVBand="0" w:evenVBand="1" w:oddHBand="0" w:evenHBand="0" w:firstRowFirstColumn="0" w:firstRowLastColumn="0" w:lastRowFirstColumn="0" w:lastRowLastColumn="0"/>
            <w:tcW w:w="1267" w:type="dxa"/>
            <w:noWrap/>
            <w:vAlign w:val="bottom"/>
          </w:tcPr>
          <w:p w14:paraId="39A2A03F" w14:textId="763849D1" w:rsidR="004A2DF7" w:rsidRPr="006D2D94" w:rsidRDefault="002A0E8F">
            <w:pPr>
              <w:pStyle w:val="ARGrantstabletextright"/>
              <w:rPr>
                <w:b/>
              </w:rPr>
            </w:pPr>
            <w:r w:rsidRPr="006801A5">
              <w:rPr>
                <w:color w:val="000000"/>
              </w:rPr>
              <w:t>250,000</w:t>
            </w:r>
          </w:p>
        </w:tc>
      </w:tr>
      <w:tr w:rsidR="004A2DF7" w:rsidRPr="006D2D94" w14:paraId="38AEBCC6" w14:textId="77777777" w:rsidTr="0009574E">
        <w:tc>
          <w:tcPr>
            <w:tcW w:w="3269" w:type="dxa"/>
            <w:noWrap/>
            <w:vAlign w:val="bottom"/>
          </w:tcPr>
          <w:p w14:paraId="6E419EF4" w14:textId="6874C5AB" w:rsidR="004A2DF7" w:rsidRPr="006D2D94" w:rsidRDefault="002A0E8F">
            <w:pPr>
              <w:pStyle w:val="ARGrantstabletext"/>
            </w:pPr>
            <w:r w:rsidRPr="006801A5">
              <w:rPr>
                <w:color w:val="000000"/>
              </w:rPr>
              <w:t xml:space="preserve">Reaching Out </w:t>
            </w:r>
            <w:proofErr w:type="gramStart"/>
            <w:r w:rsidRPr="006801A5">
              <w:rPr>
                <w:color w:val="000000"/>
              </w:rPr>
              <w:t>In</w:t>
            </w:r>
            <w:proofErr w:type="gramEnd"/>
            <w:r w:rsidRPr="006801A5">
              <w:rPr>
                <w:color w:val="000000"/>
              </w:rPr>
              <w:t xml:space="preserve"> the Inner West of Melbourne Inc.</w:t>
            </w:r>
          </w:p>
        </w:tc>
        <w:tc>
          <w:tcPr>
            <w:cnfStyle w:val="000001000000" w:firstRow="0" w:lastRow="0" w:firstColumn="0" w:lastColumn="0" w:oddVBand="0" w:evenVBand="1" w:oddHBand="0" w:evenHBand="0" w:firstRowFirstColumn="0" w:firstRowLastColumn="0" w:lastRowFirstColumn="0" w:lastRowLastColumn="0"/>
            <w:tcW w:w="1267" w:type="dxa"/>
            <w:noWrap/>
            <w:vAlign w:val="bottom"/>
          </w:tcPr>
          <w:p w14:paraId="667BDBDE" w14:textId="62D01CF1" w:rsidR="004A2DF7" w:rsidRPr="006D2D94" w:rsidRDefault="002A0E8F">
            <w:pPr>
              <w:pStyle w:val="ARGrantstabletextright"/>
              <w:rPr>
                <w:b/>
              </w:rPr>
            </w:pPr>
            <w:r w:rsidRPr="006801A5">
              <w:rPr>
                <w:color w:val="000000"/>
              </w:rPr>
              <w:t>66,000</w:t>
            </w:r>
          </w:p>
        </w:tc>
      </w:tr>
      <w:tr w:rsidR="004A2DF7" w:rsidRPr="006D2D94" w14:paraId="63F73067" w14:textId="77777777" w:rsidTr="0009574E">
        <w:tc>
          <w:tcPr>
            <w:tcW w:w="3269" w:type="dxa"/>
            <w:noWrap/>
            <w:vAlign w:val="bottom"/>
          </w:tcPr>
          <w:p w14:paraId="228CCBB4" w14:textId="64F33200" w:rsidR="004A2DF7" w:rsidRPr="006D2D94" w:rsidRDefault="002A0E8F">
            <w:pPr>
              <w:pStyle w:val="ARGrantstabletext"/>
            </w:pPr>
            <w:r w:rsidRPr="006801A5">
              <w:rPr>
                <w:color w:val="000000"/>
              </w:rPr>
              <w:t>St Mary's House of Welcome</w:t>
            </w:r>
          </w:p>
        </w:tc>
        <w:tc>
          <w:tcPr>
            <w:cnfStyle w:val="000001000000" w:firstRow="0" w:lastRow="0" w:firstColumn="0" w:lastColumn="0" w:oddVBand="0" w:evenVBand="1" w:oddHBand="0" w:evenHBand="0" w:firstRowFirstColumn="0" w:firstRowLastColumn="0" w:lastRowFirstColumn="0" w:lastRowLastColumn="0"/>
            <w:tcW w:w="1267" w:type="dxa"/>
            <w:noWrap/>
            <w:vAlign w:val="bottom"/>
          </w:tcPr>
          <w:p w14:paraId="0E6F6EB8" w14:textId="60D20BC8" w:rsidR="004A2DF7" w:rsidRPr="006D2D94" w:rsidRDefault="002A0E8F">
            <w:pPr>
              <w:pStyle w:val="ARGrantstabletextright"/>
              <w:rPr>
                <w:b/>
              </w:rPr>
            </w:pPr>
            <w:r w:rsidRPr="006801A5">
              <w:rPr>
                <w:color w:val="000000"/>
              </w:rPr>
              <w:t>66,000</w:t>
            </w:r>
          </w:p>
        </w:tc>
      </w:tr>
      <w:tr w:rsidR="004A2DF7" w:rsidRPr="006D2D94" w14:paraId="7451A8F5" w14:textId="77777777" w:rsidTr="0009574E">
        <w:tc>
          <w:tcPr>
            <w:tcW w:w="3269" w:type="dxa"/>
            <w:noWrap/>
            <w:vAlign w:val="bottom"/>
          </w:tcPr>
          <w:p w14:paraId="1D08DC07" w14:textId="751AD311" w:rsidR="004A2DF7" w:rsidRPr="006D2D94" w:rsidRDefault="002A0E8F">
            <w:pPr>
              <w:pStyle w:val="ARGrantstabletext"/>
            </w:pPr>
            <w:r w:rsidRPr="006801A5">
              <w:rPr>
                <w:color w:val="000000"/>
              </w:rPr>
              <w:t>St Vincent de Paul Society Victoria</w:t>
            </w:r>
          </w:p>
        </w:tc>
        <w:tc>
          <w:tcPr>
            <w:cnfStyle w:val="000001000000" w:firstRow="0" w:lastRow="0" w:firstColumn="0" w:lastColumn="0" w:oddVBand="0" w:evenVBand="1" w:oddHBand="0" w:evenHBand="0" w:firstRowFirstColumn="0" w:firstRowLastColumn="0" w:lastRowFirstColumn="0" w:lastRowLastColumn="0"/>
            <w:tcW w:w="1267" w:type="dxa"/>
            <w:noWrap/>
            <w:vAlign w:val="bottom"/>
          </w:tcPr>
          <w:p w14:paraId="77EDAEA3" w14:textId="21202418" w:rsidR="004A2DF7" w:rsidRPr="006D2D94" w:rsidRDefault="002A0E8F">
            <w:pPr>
              <w:pStyle w:val="ARGrantstabletextright"/>
              <w:rPr>
                <w:b/>
              </w:rPr>
            </w:pPr>
            <w:r w:rsidRPr="006801A5">
              <w:rPr>
                <w:color w:val="000000"/>
              </w:rPr>
              <w:t>66,000</w:t>
            </w:r>
          </w:p>
        </w:tc>
      </w:tr>
      <w:tr w:rsidR="004A2DF7" w:rsidRPr="006D2D94" w14:paraId="7AFA7D87" w14:textId="77777777" w:rsidTr="0009574E">
        <w:tc>
          <w:tcPr>
            <w:tcW w:w="3269" w:type="dxa"/>
            <w:noWrap/>
            <w:vAlign w:val="bottom"/>
          </w:tcPr>
          <w:p w14:paraId="7BCBC80B" w14:textId="69157C5E" w:rsidR="004A2DF7" w:rsidRPr="006D2D94" w:rsidRDefault="002A0E8F">
            <w:pPr>
              <w:pStyle w:val="ARGrantstabletext"/>
            </w:pPr>
            <w:r w:rsidRPr="006801A5">
              <w:rPr>
                <w:color w:val="000000"/>
              </w:rPr>
              <w:t>Stonnington Community Assist Inc.</w:t>
            </w:r>
          </w:p>
        </w:tc>
        <w:tc>
          <w:tcPr>
            <w:cnfStyle w:val="000001000000" w:firstRow="0" w:lastRow="0" w:firstColumn="0" w:lastColumn="0" w:oddVBand="0" w:evenVBand="1" w:oddHBand="0" w:evenHBand="0" w:firstRowFirstColumn="0" w:firstRowLastColumn="0" w:lastRowFirstColumn="0" w:lastRowLastColumn="0"/>
            <w:tcW w:w="1267" w:type="dxa"/>
            <w:noWrap/>
            <w:vAlign w:val="bottom"/>
          </w:tcPr>
          <w:p w14:paraId="53C656BD" w14:textId="7850FF35" w:rsidR="004A2DF7" w:rsidRPr="006D2D94" w:rsidRDefault="002A0E8F">
            <w:pPr>
              <w:pStyle w:val="ARGrantstabletextright"/>
              <w:rPr>
                <w:b/>
              </w:rPr>
            </w:pPr>
            <w:r w:rsidRPr="006801A5">
              <w:rPr>
                <w:color w:val="000000"/>
              </w:rPr>
              <w:t>66,000</w:t>
            </w:r>
          </w:p>
        </w:tc>
      </w:tr>
      <w:tr w:rsidR="004A2DF7" w:rsidRPr="006D2D94" w14:paraId="6D7CE3AD" w14:textId="77777777" w:rsidTr="0009574E">
        <w:tc>
          <w:tcPr>
            <w:tcW w:w="3269" w:type="dxa"/>
            <w:noWrap/>
            <w:vAlign w:val="bottom"/>
          </w:tcPr>
          <w:p w14:paraId="76AEA152" w14:textId="565B8505" w:rsidR="004A2DF7" w:rsidRPr="006D2D94" w:rsidRDefault="002A0E8F">
            <w:pPr>
              <w:pStyle w:val="ARGrantstabletext"/>
            </w:pPr>
            <w:r w:rsidRPr="006801A5">
              <w:rPr>
                <w:color w:val="000000"/>
              </w:rPr>
              <w:t>The Outpost</w:t>
            </w:r>
          </w:p>
        </w:tc>
        <w:tc>
          <w:tcPr>
            <w:cnfStyle w:val="000001000000" w:firstRow="0" w:lastRow="0" w:firstColumn="0" w:lastColumn="0" w:oddVBand="0" w:evenVBand="1" w:oddHBand="0" w:evenHBand="0" w:firstRowFirstColumn="0" w:firstRowLastColumn="0" w:lastRowFirstColumn="0" w:lastRowLastColumn="0"/>
            <w:tcW w:w="1267" w:type="dxa"/>
            <w:noWrap/>
            <w:vAlign w:val="bottom"/>
          </w:tcPr>
          <w:p w14:paraId="246FBB9B" w14:textId="100AF8E5" w:rsidR="004A2DF7" w:rsidRPr="006D2D94" w:rsidRDefault="002A0E8F">
            <w:pPr>
              <w:pStyle w:val="ARGrantstabletextright"/>
              <w:rPr>
                <w:b/>
              </w:rPr>
            </w:pPr>
            <w:r w:rsidRPr="006801A5">
              <w:rPr>
                <w:color w:val="000000"/>
              </w:rPr>
              <w:t>52,000</w:t>
            </w:r>
          </w:p>
        </w:tc>
      </w:tr>
      <w:tr w:rsidR="004A2DF7" w:rsidRPr="006D2D94" w14:paraId="1B382600" w14:textId="77777777" w:rsidTr="0009574E">
        <w:tc>
          <w:tcPr>
            <w:tcW w:w="3269" w:type="dxa"/>
            <w:noWrap/>
            <w:vAlign w:val="bottom"/>
          </w:tcPr>
          <w:p w14:paraId="6B3750CB" w14:textId="0FFB2822" w:rsidR="004A2DF7" w:rsidRPr="006D2D94" w:rsidRDefault="002A0E8F">
            <w:pPr>
              <w:pStyle w:val="ARGrantstabletext"/>
            </w:pPr>
            <w:r w:rsidRPr="006801A5">
              <w:rPr>
                <w:color w:val="000000"/>
              </w:rPr>
              <w:t>The Wellington Inc</w:t>
            </w:r>
          </w:p>
        </w:tc>
        <w:tc>
          <w:tcPr>
            <w:cnfStyle w:val="000001000000" w:firstRow="0" w:lastRow="0" w:firstColumn="0" w:lastColumn="0" w:oddVBand="0" w:evenVBand="1" w:oddHBand="0" w:evenHBand="0" w:firstRowFirstColumn="0" w:firstRowLastColumn="0" w:lastRowFirstColumn="0" w:lastRowLastColumn="0"/>
            <w:tcW w:w="1267" w:type="dxa"/>
            <w:noWrap/>
            <w:vAlign w:val="bottom"/>
          </w:tcPr>
          <w:p w14:paraId="442359C8" w14:textId="313F6A02" w:rsidR="004A2DF7" w:rsidRPr="006D2D94" w:rsidRDefault="002A0E8F">
            <w:pPr>
              <w:pStyle w:val="ARGrantstabletextright"/>
              <w:rPr>
                <w:b/>
              </w:rPr>
            </w:pPr>
            <w:r w:rsidRPr="006801A5">
              <w:rPr>
                <w:color w:val="000000"/>
              </w:rPr>
              <w:t>83,605</w:t>
            </w:r>
          </w:p>
        </w:tc>
      </w:tr>
      <w:tr w:rsidR="004A2DF7" w:rsidRPr="006D2D94" w14:paraId="7CD7F506" w14:textId="77777777" w:rsidTr="0009574E">
        <w:tc>
          <w:tcPr>
            <w:tcW w:w="3269" w:type="dxa"/>
            <w:noWrap/>
            <w:vAlign w:val="bottom"/>
          </w:tcPr>
          <w:p w14:paraId="54168765" w14:textId="68D29768" w:rsidR="004A2DF7" w:rsidRPr="006D2D94" w:rsidRDefault="002A0E8F">
            <w:pPr>
              <w:pStyle w:val="ARGrantstabletext"/>
            </w:pPr>
            <w:r w:rsidRPr="006801A5">
              <w:rPr>
                <w:color w:val="000000"/>
              </w:rPr>
              <w:t>Uniting (Victoria and Tasmania) Ltd</w:t>
            </w:r>
          </w:p>
        </w:tc>
        <w:tc>
          <w:tcPr>
            <w:cnfStyle w:val="000001000000" w:firstRow="0" w:lastRow="0" w:firstColumn="0" w:lastColumn="0" w:oddVBand="0" w:evenVBand="1" w:oddHBand="0" w:evenHBand="0" w:firstRowFirstColumn="0" w:firstRowLastColumn="0" w:lastRowFirstColumn="0" w:lastRowLastColumn="0"/>
            <w:tcW w:w="1267" w:type="dxa"/>
            <w:noWrap/>
            <w:vAlign w:val="bottom"/>
          </w:tcPr>
          <w:p w14:paraId="7F550CC6" w14:textId="720751F6" w:rsidR="004A2DF7" w:rsidRPr="006D2D94" w:rsidRDefault="002A0E8F">
            <w:pPr>
              <w:pStyle w:val="ARGrantstabletextright"/>
              <w:rPr>
                <w:b/>
              </w:rPr>
            </w:pPr>
            <w:r w:rsidRPr="006801A5">
              <w:rPr>
                <w:color w:val="000000"/>
              </w:rPr>
              <w:t>66,000</w:t>
            </w:r>
          </w:p>
        </w:tc>
      </w:tr>
      <w:tr w:rsidR="004A2DF7" w:rsidRPr="006D2D94" w14:paraId="0FC4F06F" w14:textId="77777777" w:rsidTr="0009574E">
        <w:tc>
          <w:tcPr>
            <w:tcW w:w="3269" w:type="dxa"/>
            <w:noWrap/>
            <w:vAlign w:val="bottom"/>
          </w:tcPr>
          <w:p w14:paraId="03DFD301" w14:textId="1DE03AC3" w:rsidR="004A2DF7" w:rsidRPr="006D2D94" w:rsidRDefault="002A0E8F">
            <w:pPr>
              <w:pStyle w:val="ARGrantstabletext"/>
            </w:pPr>
            <w:r w:rsidRPr="006801A5">
              <w:rPr>
                <w:color w:val="000000"/>
              </w:rPr>
              <w:t>Yarra City Council</w:t>
            </w:r>
          </w:p>
        </w:tc>
        <w:tc>
          <w:tcPr>
            <w:cnfStyle w:val="000001000000" w:firstRow="0" w:lastRow="0" w:firstColumn="0" w:lastColumn="0" w:oddVBand="0" w:evenVBand="1" w:oddHBand="0" w:evenHBand="0" w:firstRowFirstColumn="0" w:firstRowLastColumn="0" w:lastRowFirstColumn="0" w:lastRowLastColumn="0"/>
            <w:tcW w:w="1267" w:type="dxa"/>
            <w:noWrap/>
            <w:vAlign w:val="bottom"/>
          </w:tcPr>
          <w:p w14:paraId="3CAE8F87" w14:textId="3E3B1000" w:rsidR="004A2DF7" w:rsidRPr="006D2D94" w:rsidRDefault="002A0E8F">
            <w:pPr>
              <w:pStyle w:val="ARGrantstabletextright"/>
              <w:rPr>
                <w:b/>
              </w:rPr>
            </w:pPr>
            <w:r w:rsidRPr="006801A5">
              <w:rPr>
                <w:color w:val="000000"/>
              </w:rPr>
              <w:t>576,600</w:t>
            </w:r>
          </w:p>
        </w:tc>
      </w:tr>
      <w:tr w:rsidR="004A2DF7" w:rsidRPr="006D2D94" w14:paraId="345B2D64" w14:textId="77777777" w:rsidTr="0009574E">
        <w:trPr>
          <w:cnfStyle w:val="010000000000" w:firstRow="0" w:lastRow="1" w:firstColumn="0" w:lastColumn="0" w:oddVBand="0" w:evenVBand="0" w:oddHBand="0" w:evenHBand="0" w:firstRowFirstColumn="0" w:firstRowLastColumn="0" w:lastRowFirstColumn="0" w:lastRowLastColumn="0"/>
        </w:trPr>
        <w:tc>
          <w:tcPr>
            <w:tcW w:w="3269" w:type="dxa"/>
            <w:noWrap/>
          </w:tcPr>
          <w:p w14:paraId="59583AEC" w14:textId="77777777" w:rsidR="004A2DF7" w:rsidRPr="006D2D94" w:rsidRDefault="004A2DF7">
            <w:pPr>
              <w:pStyle w:val="ARGrantstabletextbold"/>
            </w:pPr>
            <w:r w:rsidRPr="006D2D94">
              <w:t>Total</w:t>
            </w:r>
          </w:p>
        </w:tc>
        <w:tc>
          <w:tcPr>
            <w:cnfStyle w:val="000001000000" w:firstRow="0" w:lastRow="0" w:firstColumn="0" w:lastColumn="0" w:oddVBand="0" w:evenVBand="1" w:oddHBand="0" w:evenHBand="0" w:firstRowFirstColumn="0" w:firstRowLastColumn="0" w:lastRowFirstColumn="0" w:lastRowLastColumn="0"/>
            <w:tcW w:w="1267" w:type="dxa"/>
            <w:noWrap/>
          </w:tcPr>
          <w:p w14:paraId="28D9533E" w14:textId="0D06F456" w:rsidR="004A2DF7" w:rsidRPr="006D2D94" w:rsidRDefault="00FF0090">
            <w:pPr>
              <w:pStyle w:val="ARGrantstabletextrightbold"/>
            </w:pPr>
            <w:r>
              <w:t>2,106,455</w:t>
            </w:r>
          </w:p>
        </w:tc>
      </w:tr>
    </w:tbl>
    <w:p w14:paraId="28E93430" w14:textId="7669B417" w:rsidR="004A2DF7" w:rsidRPr="006D2D94" w:rsidRDefault="004A2DF7" w:rsidP="004D668F">
      <w:pPr>
        <w:pStyle w:val="Heading3Grants"/>
      </w:pPr>
      <w:r w:rsidRPr="006D2D94">
        <w:t>LGBTI</w:t>
      </w:r>
      <w:r w:rsidR="00F92A71">
        <w:t>QA</w:t>
      </w:r>
      <w:r w:rsidRPr="006D2D94">
        <w:t xml:space="preserve">+ </w:t>
      </w:r>
      <w:r w:rsidRPr="004D668F">
        <w:t>equality</w:t>
      </w:r>
      <w:r w:rsidRPr="006D2D94">
        <w:t xml:space="preserve"> policy and</w:t>
      </w:r>
      <w:r w:rsidR="0009574E">
        <w:t> </w:t>
      </w:r>
      <w:r w:rsidRPr="006D2D94">
        <w:t>programs</w:t>
      </w:r>
    </w:p>
    <w:tbl>
      <w:tblPr>
        <w:tblStyle w:val="TableGrid"/>
        <w:tblW w:w="5000" w:type="pct"/>
        <w:tblLook w:val="02E0" w:firstRow="1" w:lastRow="1" w:firstColumn="1" w:lastColumn="0" w:noHBand="1" w:noVBand="0"/>
      </w:tblPr>
      <w:tblGrid>
        <w:gridCol w:w="3257"/>
        <w:gridCol w:w="1332"/>
      </w:tblGrid>
      <w:tr w:rsidR="004A2DF7" w:rsidRPr="006D2D94" w14:paraId="10FEBD07" w14:textId="77777777" w:rsidTr="0009574E">
        <w:trPr>
          <w:cnfStyle w:val="100000000000" w:firstRow="1" w:lastRow="0" w:firstColumn="0" w:lastColumn="0" w:oddVBand="0" w:evenVBand="0" w:oddHBand="0" w:evenHBand="0" w:firstRowFirstColumn="0" w:firstRowLastColumn="0" w:lastRowFirstColumn="0" w:lastRowLastColumn="0"/>
          <w:trHeight w:val="20"/>
          <w:tblHeader/>
        </w:trPr>
        <w:tc>
          <w:tcPr>
            <w:tcW w:w="3261" w:type="dxa"/>
            <w:noWrap/>
          </w:tcPr>
          <w:p w14:paraId="1583EDA2" w14:textId="77777777" w:rsidR="004A2DF7" w:rsidRPr="006D2D94" w:rsidRDefault="004A2DF7" w:rsidP="004D668F">
            <w:pPr>
              <w:pStyle w:val="ARGrantstablecolhead"/>
            </w:pPr>
            <w:r w:rsidRPr="004D668F">
              <w:t>Organisation</w:t>
            </w:r>
          </w:p>
        </w:tc>
        <w:tc>
          <w:tcPr>
            <w:cnfStyle w:val="000001000000" w:firstRow="0" w:lastRow="0" w:firstColumn="0" w:lastColumn="0" w:oddVBand="0" w:evenVBand="1" w:oddHBand="0" w:evenHBand="0" w:firstRowFirstColumn="0" w:firstRowLastColumn="0" w:lastRowFirstColumn="0" w:lastRowLastColumn="0"/>
            <w:tcW w:w="1328" w:type="dxa"/>
            <w:noWrap/>
          </w:tcPr>
          <w:p w14:paraId="01400B50" w14:textId="77777777" w:rsidR="004A2DF7" w:rsidRPr="006D2D94" w:rsidRDefault="004A2DF7" w:rsidP="0009574E">
            <w:pPr>
              <w:pStyle w:val="ARGrantstablecolheadright"/>
            </w:pPr>
            <w:r w:rsidRPr="006D2D94">
              <w:t>Payment ($)</w:t>
            </w:r>
          </w:p>
        </w:tc>
      </w:tr>
      <w:tr w:rsidR="004A2DF7" w:rsidRPr="006D2D94" w14:paraId="1E6A19F2" w14:textId="77777777" w:rsidTr="0009574E">
        <w:trPr>
          <w:trHeight w:val="20"/>
        </w:trPr>
        <w:tc>
          <w:tcPr>
            <w:tcW w:w="3261" w:type="dxa"/>
            <w:noWrap/>
            <w:vAlign w:val="bottom"/>
          </w:tcPr>
          <w:p w14:paraId="17A67B88" w14:textId="5ED84D26" w:rsidR="004A2DF7" w:rsidRPr="006D2D94" w:rsidRDefault="00201EB9">
            <w:pPr>
              <w:pStyle w:val="ARGrantstabletext"/>
              <w:rPr>
                <w:b/>
              </w:rPr>
            </w:pPr>
            <w:proofErr w:type="spellStart"/>
            <w:r w:rsidRPr="004E3C24">
              <w:rPr>
                <w:color w:val="000000"/>
              </w:rPr>
              <w:t>Africare</w:t>
            </w:r>
            <w:proofErr w:type="spellEnd"/>
            <w:r w:rsidRPr="004E3C24">
              <w:rPr>
                <w:color w:val="000000"/>
              </w:rPr>
              <w:t xml:space="preserve"> Community Services Inc.</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68DDC20B" w14:textId="2B1496B4" w:rsidR="004A2DF7" w:rsidRPr="006D2D94" w:rsidRDefault="00201EB9" w:rsidP="0009574E">
            <w:pPr>
              <w:pStyle w:val="ARGrantstabletextright"/>
              <w:ind w:right="328"/>
              <w:rPr>
                <w:b/>
              </w:rPr>
            </w:pPr>
            <w:r w:rsidRPr="004E3C24">
              <w:rPr>
                <w:color w:val="000000"/>
              </w:rPr>
              <w:t>11,300</w:t>
            </w:r>
          </w:p>
        </w:tc>
      </w:tr>
      <w:tr w:rsidR="004A2DF7" w:rsidRPr="006D2D94" w14:paraId="3AE956B8" w14:textId="77777777" w:rsidTr="0009574E">
        <w:trPr>
          <w:trHeight w:val="20"/>
        </w:trPr>
        <w:tc>
          <w:tcPr>
            <w:tcW w:w="3261" w:type="dxa"/>
            <w:noWrap/>
            <w:vAlign w:val="bottom"/>
          </w:tcPr>
          <w:p w14:paraId="677210F5" w14:textId="4FE64072" w:rsidR="004A2DF7" w:rsidRPr="006D2D94" w:rsidRDefault="00201EB9">
            <w:pPr>
              <w:pStyle w:val="ARGrantstabletext"/>
              <w:rPr>
                <w:b/>
              </w:rPr>
            </w:pPr>
            <w:r w:rsidRPr="004E3C24">
              <w:rPr>
                <w:color w:val="000000"/>
              </w:rPr>
              <w:t>Amaze Inc</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1E01821D" w14:textId="4F433313" w:rsidR="004A2DF7" w:rsidRPr="006D2D94" w:rsidRDefault="00201EB9" w:rsidP="0009574E">
            <w:pPr>
              <w:pStyle w:val="ARGrantstabletextright"/>
              <w:ind w:right="328"/>
              <w:rPr>
                <w:b/>
              </w:rPr>
            </w:pPr>
            <w:r w:rsidRPr="004E3C24">
              <w:rPr>
                <w:color w:val="000000"/>
              </w:rPr>
              <w:t>18,000</w:t>
            </w:r>
          </w:p>
        </w:tc>
      </w:tr>
      <w:tr w:rsidR="004A2DF7" w:rsidRPr="006D2D94" w14:paraId="7360CEDF" w14:textId="77777777" w:rsidTr="0009574E">
        <w:trPr>
          <w:trHeight w:val="20"/>
        </w:trPr>
        <w:tc>
          <w:tcPr>
            <w:tcW w:w="3261" w:type="dxa"/>
            <w:noWrap/>
            <w:vAlign w:val="bottom"/>
          </w:tcPr>
          <w:p w14:paraId="24B0B5ED" w14:textId="600B3BB0" w:rsidR="004A2DF7" w:rsidRPr="006D2D94" w:rsidRDefault="00201EB9">
            <w:pPr>
              <w:pStyle w:val="ARGrantstabletext"/>
              <w:rPr>
                <w:b/>
              </w:rPr>
            </w:pPr>
            <w:r w:rsidRPr="004E3C24">
              <w:rPr>
                <w:color w:val="000000"/>
              </w:rPr>
              <w:t>Auspicious Arts Projects Inc.</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2A3FF9D9" w14:textId="29FDBC56" w:rsidR="004A2DF7" w:rsidRPr="006D2D94" w:rsidRDefault="00201EB9" w:rsidP="0009574E">
            <w:pPr>
              <w:pStyle w:val="ARGrantstabletextright"/>
              <w:ind w:right="328"/>
              <w:rPr>
                <w:b/>
              </w:rPr>
            </w:pPr>
            <w:r w:rsidRPr="004E3C24">
              <w:rPr>
                <w:color w:val="000000"/>
              </w:rPr>
              <w:t>20,000</w:t>
            </w:r>
          </w:p>
        </w:tc>
      </w:tr>
      <w:tr w:rsidR="004A2DF7" w:rsidRPr="006D2D94" w14:paraId="702570B9" w14:textId="77777777" w:rsidTr="0009574E">
        <w:trPr>
          <w:trHeight w:val="20"/>
        </w:trPr>
        <w:tc>
          <w:tcPr>
            <w:tcW w:w="3261" w:type="dxa"/>
            <w:noWrap/>
            <w:vAlign w:val="bottom"/>
          </w:tcPr>
          <w:p w14:paraId="63ED476E" w14:textId="062EEA37" w:rsidR="004A2DF7" w:rsidRPr="006D2D94" w:rsidRDefault="00201EB9">
            <w:pPr>
              <w:pStyle w:val="ARGrantstabletext"/>
              <w:rPr>
                <w:b/>
              </w:rPr>
            </w:pPr>
            <w:r w:rsidRPr="004E3C24">
              <w:rPr>
                <w:color w:val="000000"/>
              </w:rPr>
              <w:t>Australian GLBTIQ Multicultural Council (AGMC Inc.)</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20DA4212" w14:textId="50DBF195" w:rsidR="004A2DF7" w:rsidRPr="006D2D94" w:rsidRDefault="00201EB9" w:rsidP="0009574E">
            <w:pPr>
              <w:pStyle w:val="ARGrantstabletextright"/>
              <w:ind w:right="328"/>
              <w:rPr>
                <w:b/>
              </w:rPr>
            </w:pPr>
            <w:r w:rsidRPr="004E3C24">
              <w:rPr>
                <w:color w:val="000000"/>
              </w:rPr>
              <w:t>5,000</w:t>
            </w:r>
          </w:p>
        </w:tc>
      </w:tr>
      <w:tr w:rsidR="004A2DF7" w:rsidRPr="006D2D94" w14:paraId="6CB3F8C3" w14:textId="77777777" w:rsidTr="0009574E">
        <w:trPr>
          <w:trHeight w:val="20"/>
        </w:trPr>
        <w:tc>
          <w:tcPr>
            <w:tcW w:w="3261" w:type="dxa"/>
            <w:noWrap/>
            <w:vAlign w:val="bottom"/>
          </w:tcPr>
          <w:p w14:paraId="67624E49" w14:textId="20CFC469" w:rsidR="004A2DF7" w:rsidRPr="006D2D94" w:rsidRDefault="00201EB9">
            <w:pPr>
              <w:pStyle w:val="ARGrantstabletext"/>
              <w:rPr>
                <w:b/>
              </w:rPr>
            </w:pPr>
            <w:r w:rsidRPr="004E3C24">
              <w:rPr>
                <w:color w:val="000000"/>
              </w:rPr>
              <w:t>Australian Queer Archives Inc (</w:t>
            </w:r>
            <w:proofErr w:type="spellStart"/>
            <w:r w:rsidRPr="004E3C24">
              <w:rPr>
                <w:color w:val="000000"/>
              </w:rPr>
              <w:t>AQuA</w:t>
            </w:r>
            <w:proofErr w:type="spellEnd"/>
            <w:r w:rsidRPr="004E3C24">
              <w:rPr>
                <w:color w:val="000000"/>
              </w:rPr>
              <w:t>)</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416221B5" w14:textId="5DAEBD78" w:rsidR="004A2DF7" w:rsidRPr="006D2D94" w:rsidRDefault="00201EB9" w:rsidP="0009574E">
            <w:pPr>
              <w:pStyle w:val="ARGrantstabletextright"/>
              <w:ind w:right="328"/>
              <w:rPr>
                <w:b/>
              </w:rPr>
            </w:pPr>
            <w:r w:rsidRPr="004E3C24">
              <w:rPr>
                <w:color w:val="000000"/>
              </w:rPr>
              <w:t>32,000</w:t>
            </w:r>
          </w:p>
        </w:tc>
      </w:tr>
      <w:tr w:rsidR="004A2DF7" w:rsidRPr="006D2D94" w14:paraId="4D47C252" w14:textId="77777777" w:rsidTr="0009574E">
        <w:trPr>
          <w:trHeight w:val="20"/>
        </w:trPr>
        <w:tc>
          <w:tcPr>
            <w:tcW w:w="3261" w:type="dxa"/>
            <w:noWrap/>
            <w:vAlign w:val="bottom"/>
          </w:tcPr>
          <w:p w14:paraId="4F5B5324" w14:textId="13A78FD2" w:rsidR="004A2DF7" w:rsidRPr="006D2D94" w:rsidRDefault="00201EB9">
            <w:pPr>
              <w:pStyle w:val="ARGrantstabletext"/>
              <w:rPr>
                <w:b/>
              </w:rPr>
            </w:pPr>
            <w:r w:rsidRPr="004E3C24">
              <w:rPr>
                <w:color w:val="000000"/>
              </w:rPr>
              <w:t>BEAT Entertainment</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7D91611E" w14:textId="1E451BFF" w:rsidR="004A2DF7" w:rsidRPr="006D2D94" w:rsidRDefault="00201EB9" w:rsidP="0009574E">
            <w:pPr>
              <w:pStyle w:val="ARGrantstabletextright"/>
              <w:ind w:right="328"/>
              <w:rPr>
                <w:b/>
              </w:rPr>
            </w:pPr>
            <w:r w:rsidRPr="004E3C24">
              <w:rPr>
                <w:color w:val="000000"/>
              </w:rPr>
              <w:t>10,000</w:t>
            </w:r>
          </w:p>
        </w:tc>
      </w:tr>
      <w:tr w:rsidR="004A2DF7" w:rsidRPr="006D2D94" w14:paraId="13410CB9" w14:textId="77777777" w:rsidTr="0009574E">
        <w:trPr>
          <w:trHeight w:val="20"/>
        </w:trPr>
        <w:tc>
          <w:tcPr>
            <w:tcW w:w="3261" w:type="dxa"/>
            <w:noWrap/>
            <w:vAlign w:val="bottom"/>
          </w:tcPr>
          <w:p w14:paraId="54F69888" w14:textId="5C4FBBA9" w:rsidR="004A2DF7" w:rsidRPr="006D2D94" w:rsidRDefault="00201EB9">
            <w:pPr>
              <w:pStyle w:val="ARGrantstabletext"/>
              <w:rPr>
                <w:b/>
              </w:rPr>
            </w:pPr>
            <w:r w:rsidRPr="004E3C24">
              <w:rPr>
                <w:color w:val="000000"/>
              </w:rPr>
              <w:t>Bendigo Queer Arts Festival</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134683F5" w14:textId="79DF1ACF" w:rsidR="004A2DF7" w:rsidRPr="006D2D94" w:rsidRDefault="00201EB9" w:rsidP="0009574E">
            <w:pPr>
              <w:pStyle w:val="ARGrantstabletextright"/>
              <w:ind w:right="328"/>
              <w:rPr>
                <w:b/>
              </w:rPr>
            </w:pPr>
            <w:r w:rsidRPr="004E3C24">
              <w:rPr>
                <w:color w:val="000000"/>
              </w:rPr>
              <w:t>1,000</w:t>
            </w:r>
          </w:p>
        </w:tc>
      </w:tr>
      <w:tr w:rsidR="004A2DF7" w:rsidRPr="006D2D94" w14:paraId="6AB2596A" w14:textId="77777777" w:rsidTr="0009574E">
        <w:trPr>
          <w:trHeight w:val="20"/>
        </w:trPr>
        <w:tc>
          <w:tcPr>
            <w:tcW w:w="3261" w:type="dxa"/>
            <w:noWrap/>
            <w:vAlign w:val="bottom"/>
          </w:tcPr>
          <w:p w14:paraId="4191C9F5" w14:textId="6BA629DD" w:rsidR="004A2DF7" w:rsidRPr="006D2D94" w:rsidRDefault="00201EB9">
            <w:pPr>
              <w:pStyle w:val="ARGrantstabletext"/>
              <w:rPr>
                <w:b/>
              </w:rPr>
            </w:pPr>
            <w:r w:rsidRPr="004E3C24">
              <w:rPr>
                <w:color w:val="000000"/>
              </w:rPr>
              <w:t>Bi Plus Pride Victoria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10FD910D" w14:textId="4B642823" w:rsidR="004A2DF7" w:rsidRPr="006D2D94" w:rsidRDefault="00201EB9" w:rsidP="0009574E">
            <w:pPr>
              <w:pStyle w:val="ARGrantstabletextright"/>
              <w:ind w:right="328"/>
              <w:rPr>
                <w:b/>
              </w:rPr>
            </w:pPr>
            <w:r w:rsidRPr="004E3C24">
              <w:rPr>
                <w:color w:val="000000"/>
              </w:rPr>
              <w:t>41,150</w:t>
            </w:r>
          </w:p>
        </w:tc>
      </w:tr>
      <w:tr w:rsidR="004A2DF7" w:rsidRPr="006D2D94" w14:paraId="456FB46D" w14:textId="77777777" w:rsidTr="0009574E">
        <w:trPr>
          <w:trHeight w:val="20"/>
        </w:trPr>
        <w:tc>
          <w:tcPr>
            <w:tcW w:w="3261" w:type="dxa"/>
            <w:noWrap/>
            <w:vAlign w:val="bottom"/>
          </w:tcPr>
          <w:p w14:paraId="571D3277" w14:textId="5C6494DD" w:rsidR="004A2DF7" w:rsidRPr="006D2D94" w:rsidRDefault="00201EB9">
            <w:pPr>
              <w:pStyle w:val="ARGrantstabletext"/>
              <w:rPr>
                <w:b/>
              </w:rPr>
            </w:pPr>
            <w:r w:rsidRPr="004E3C24">
              <w:rPr>
                <w:color w:val="000000"/>
              </w:rPr>
              <w:t>Castlemaine Community House</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1625DBD8" w14:textId="19AFCD6F" w:rsidR="004A2DF7" w:rsidRPr="006D2D94" w:rsidRDefault="00201EB9" w:rsidP="0009574E">
            <w:pPr>
              <w:pStyle w:val="ARGrantstabletextright"/>
              <w:ind w:right="328"/>
              <w:rPr>
                <w:b/>
              </w:rPr>
            </w:pPr>
            <w:r w:rsidRPr="004E3C24">
              <w:rPr>
                <w:color w:val="000000"/>
              </w:rPr>
              <w:t>9,748</w:t>
            </w:r>
          </w:p>
        </w:tc>
      </w:tr>
      <w:tr w:rsidR="004A2DF7" w:rsidRPr="006D2D94" w14:paraId="400FE50C" w14:textId="77777777" w:rsidTr="0009574E">
        <w:trPr>
          <w:trHeight w:val="20"/>
        </w:trPr>
        <w:tc>
          <w:tcPr>
            <w:tcW w:w="3261" w:type="dxa"/>
            <w:noWrap/>
            <w:vAlign w:val="bottom"/>
          </w:tcPr>
          <w:p w14:paraId="696993F5" w14:textId="0868EB6D" w:rsidR="004A2DF7" w:rsidRPr="006D2D94" w:rsidRDefault="00201EB9">
            <w:pPr>
              <w:pStyle w:val="ARGrantstabletext"/>
              <w:rPr>
                <w:b/>
              </w:rPr>
            </w:pPr>
            <w:proofErr w:type="spellStart"/>
            <w:r w:rsidRPr="004E3C24">
              <w:rPr>
                <w:color w:val="000000"/>
              </w:rPr>
              <w:t>ClimbingQTs</w:t>
            </w:r>
            <w:proofErr w:type="spellEnd"/>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125E2075" w14:textId="3C1C6EBE" w:rsidR="004A2DF7" w:rsidRPr="006D2D94" w:rsidRDefault="00201EB9" w:rsidP="0009574E">
            <w:pPr>
              <w:pStyle w:val="ARGrantstabletextright"/>
              <w:ind w:right="328"/>
              <w:rPr>
                <w:b/>
              </w:rPr>
            </w:pPr>
            <w:r w:rsidRPr="004E3C24">
              <w:rPr>
                <w:color w:val="000000"/>
              </w:rPr>
              <w:t>25,150</w:t>
            </w:r>
          </w:p>
        </w:tc>
      </w:tr>
      <w:tr w:rsidR="004A2DF7" w:rsidRPr="006D2D94" w14:paraId="1D4B880A" w14:textId="77777777" w:rsidTr="0009574E">
        <w:trPr>
          <w:trHeight w:val="20"/>
        </w:trPr>
        <w:tc>
          <w:tcPr>
            <w:tcW w:w="3261" w:type="dxa"/>
            <w:noWrap/>
            <w:vAlign w:val="bottom"/>
          </w:tcPr>
          <w:p w14:paraId="3CD2CE35" w14:textId="29D14711" w:rsidR="004A2DF7" w:rsidRPr="006D2D94" w:rsidRDefault="00201EB9">
            <w:pPr>
              <w:pStyle w:val="ARGrantstabletext"/>
              <w:rPr>
                <w:b/>
              </w:rPr>
            </w:pPr>
            <w:r w:rsidRPr="004E3C24">
              <w:rPr>
                <w:color w:val="000000"/>
              </w:rPr>
              <w:t>Clunes Neighbourhood House</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7E3DA0B7" w14:textId="5CA01B0F" w:rsidR="004A2DF7" w:rsidRPr="006D2D94" w:rsidRDefault="00201EB9" w:rsidP="0009574E">
            <w:pPr>
              <w:pStyle w:val="ARGrantstabletextright"/>
              <w:ind w:right="328"/>
              <w:rPr>
                <w:b/>
              </w:rPr>
            </w:pPr>
            <w:r w:rsidRPr="004E3C24">
              <w:rPr>
                <w:color w:val="000000"/>
              </w:rPr>
              <w:t>9,820</w:t>
            </w:r>
          </w:p>
        </w:tc>
      </w:tr>
      <w:tr w:rsidR="004A2DF7" w:rsidRPr="006D2D94" w14:paraId="3897B057" w14:textId="77777777" w:rsidTr="0009574E">
        <w:trPr>
          <w:trHeight w:val="20"/>
        </w:trPr>
        <w:tc>
          <w:tcPr>
            <w:tcW w:w="3261" w:type="dxa"/>
            <w:noWrap/>
            <w:vAlign w:val="bottom"/>
          </w:tcPr>
          <w:p w14:paraId="75AEAF56" w14:textId="053AFE05" w:rsidR="004A2DF7" w:rsidRPr="006D2D94" w:rsidRDefault="00201EB9">
            <w:pPr>
              <w:pStyle w:val="ARGrantstabletext"/>
              <w:rPr>
                <w:b/>
              </w:rPr>
            </w:pPr>
            <w:r w:rsidRPr="004E3C24">
              <w:rPr>
                <w:color w:val="000000"/>
              </w:rPr>
              <w:t>Cypher Culture Inc.</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49896FED" w14:textId="432FCB0D" w:rsidR="004A2DF7" w:rsidRPr="006D2D94" w:rsidRDefault="00201EB9" w:rsidP="0009574E">
            <w:pPr>
              <w:pStyle w:val="ARGrantstabletextright"/>
              <w:ind w:right="328"/>
              <w:rPr>
                <w:b/>
              </w:rPr>
            </w:pPr>
            <w:r w:rsidRPr="004E3C24">
              <w:rPr>
                <w:color w:val="000000"/>
              </w:rPr>
              <w:t>7,500</w:t>
            </w:r>
          </w:p>
        </w:tc>
      </w:tr>
      <w:tr w:rsidR="004A2DF7" w:rsidRPr="006D2D94" w14:paraId="6ECCAEAA" w14:textId="77777777" w:rsidTr="0009574E">
        <w:trPr>
          <w:trHeight w:val="20"/>
        </w:trPr>
        <w:tc>
          <w:tcPr>
            <w:tcW w:w="3261" w:type="dxa"/>
            <w:noWrap/>
            <w:vAlign w:val="bottom"/>
          </w:tcPr>
          <w:p w14:paraId="2E54B9E5" w14:textId="1B8D8545" w:rsidR="004A2DF7" w:rsidRPr="006D2D94" w:rsidRDefault="00201EB9">
            <w:pPr>
              <w:pStyle w:val="ARGrantstabletext"/>
              <w:rPr>
                <w:b/>
              </w:rPr>
            </w:pPr>
            <w:r w:rsidRPr="004E3C24">
              <w:rPr>
                <w:color w:val="000000"/>
              </w:rPr>
              <w:t>DPV Health</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036C5A31" w14:textId="1F3E6FDA" w:rsidR="004A2DF7" w:rsidRPr="006D2D94" w:rsidRDefault="00201EB9" w:rsidP="0009574E">
            <w:pPr>
              <w:pStyle w:val="ARGrantstabletextright"/>
              <w:ind w:right="328"/>
              <w:rPr>
                <w:b/>
              </w:rPr>
            </w:pPr>
            <w:r w:rsidRPr="004E3C24">
              <w:rPr>
                <w:color w:val="000000"/>
              </w:rPr>
              <w:t>5,850</w:t>
            </w:r>
          </w:p>
        </w:tc>
      </w:tr>
      <w:tr w:rsidR="004A2DF7" w:rsidRPr="006D2D94" w14:paraId="46732E51" w14:textId="77777777" w:rsidTr="0009574E">
        <w:trPr>
          <w:trHeight w:val="20"/>
        </w:trPr>
        <w:tc>
          <w:tcPr>
            <w:tcW w:w="3261" w:type="dxa"/>
            <w:noWrap/>
            <w:vAlign w:val="bottom"/>
          </w:tcPr>
          <w:p w14:paraId="3D5597AF" w14:textId="70E3B9AD" w:rsidR="004A2DF7" w:rsidRPr="006D2D94" w:rsidRDefault="00201EB9">
            <w:pPr>
              <w:pStyle w:val="ARGrantstabletext"/>
              <w:rPr>
                <w:b/>
              </w:rPr>
            </w:pPr>
            <w:r w:rsidRPr="004E3C24">
              <w:rPr>
                <w:color w:val="000000"/>
              </w:rPr>
              <w:t>Drummond Street Services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17A8EC05" w14:textId="279F2462" w:rsidR="004A2DF7" w:rsidRPr="006D2D94" w:rsidRDefault="00201EB9" w:rsidP="0009574E">
            <w:pPr>
              <w:pStyle w:val="ARGrantstabletextright"/>
              <w:ind w:right="328"/>
              <w:rPr>
                <w:b/>
              </w:rPr>
            </w:pPr>
            <w:r w:rsidRPr="004E3C24">
              <w:rPr>
                <w:color w:val="000000"/>
              </w:rPr>
              <w:t>1,014,000</w:t>
            </w:r>
          </w:p>
        </w:tc>
      </w:tr>
      <w:tr w:rsidR="004A2DF7" w:rsidRPr="006D2D94" w14:paraId="0750AD6F" w14:textId="77777777" w:rsidTr="0009574E">
        <w:trPr>
          <w:trHeight w:val="20"/>
        </w:trPr>
        <w:tc>
          <w:tcPr>
            <w:tcW w:w="3261" w:type="dxa"/>
            <w:noWrap/>
            <w:vAlign w:val="bottom"/>
          </w:tcPr>
          <w:p w14:paraId="4BC4C399" w14:textId="2F51A4A0" w:rsidR="004A2DF7" w:rsidRPr="006D2D94" w:rsidRDefault="00201EB9">
            <w:pPr>
              <w:pStyle w:val="ARGrantstabletext"/>
              <w:rPr>
                <w:b/>
              </w:rPr>
            </w:pPr>
            <w:r w:rsidRPr="004E3C24">
              <w:rPr>
                <w:color w:val="000000"/>
              </w:rPr>
              <w:t>Filipino Community Council of Victoria</w:t>
            </w:r>
            <w:r w:rsidR="0009574E">
              <w:rPr>
                <w:color w:val="000000"/>
              </w:rPr>
              <w:t> </w:t>
            </w:r>
            <w:r w:rsidRPr="004E3C24">
              <w:rPr>
                <w:color w:val="000000"/>
              </w:rPr>
              <w:t>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5690AD2E" w14:textId="7C35F52C" w:rsidR="004A2DF7" w:rsidRPr="006D2D94" w:rsidRDefault="00201EB9" w:rsidP="0009574E">
            <w:pPr>
              <w:pStyle w:val="ARGrantstabletextright"/>
              <w:ind w:right="328"/>
              <w:rPr>
                <w:b/>
              </w:rPr>
            </w:pPr>
            <w:r w:rsidRPr="004E3C24">
              <w:rPr>
                <w:color w:val="000000"/>
              </w:rPr>
              <w:t>22,500</w:t>
            </w:r>
          </w:p>
        </w:tc>
      </w:tr>
      <w:tr w:rsidR="004A2DF7" w:rsidRPr="006D2D94" w14:paraId="3968D490" w14:textId="77777777" w:rsidTr="0009574E">
        <w:trPr>
          <w:trHeight w:val="20"/>
        </w:trPr>
        <w:tc>
          <w:tcPr>
            <w:tcW w:w="3261" w:type="dxa"/>
            <w:noWrap/>
            <w:vAlign w:val="bottom"/>
          </w:tcPr>
          <w:p w14:paraId="3D1A2822" w14:textId="3D0B9C56" w:rsidR="004A2DF7" w:rsidRPr="006D2D94" w:rsidRDefault="00201EB9">
            <w:pPr>
              <w:pStyle w:val="ARGrantstabletext"/>
              <w:rPr>
                <w:b/>
              </w:rPr>
            </w:pPr>
            <w:r w:rsidRPr="004E3C24">
              <w:rPr>
                <w:color w:val="000000"/>
              </w:rPr>
              <w:t>Flat Out</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2F826BA8" w14:textId="017952C2" w:rsidR="004A2DF7" w:rsidRPr="006D2D94" w:rsidRDefault="00201EB9" w:rsidP="0009574E">
            <w:pPr>
              <w:pStyle w:val="ARGrantstabletextright"/>
              <w:ind w:right="328"/>
              <w:rPr>
                <w:b/>
              </w:rPr>
            </w:pPr>
            <w:r w:rsidRPr="004E3C24">
              <w:rPr>
                <w:color w:val="000000"/>
              </w:rPr>
              <w:t>140,000</w:t>
            </w:r>
          </w:p>
        </w:tc>
      </w:tr>
      <w:tr w:rsidR="004A2DF7" w:rsidRPr="006D2D94" w14:paraId="59C0921E" w14:textId="77777777" w:rsidTr="0009574E">
        <w:trPr>
          <w:trHeight w:val="20"/>
        </w:trPr>
        <w:tc>
          <w:tcPr>
            <w:tcW w:w="3261" w:type="dxa"/>
            <w:noWrap/>
            <w:vAlign w:val="bottom"/>
          </w:tcPr>
          <w:p w14:paraId="05AF6B90" w14:textId="266882D7" w:rsidR="004A2DF7" w:rsidRPr="006D2D94" w:rsidRDefault="00201EB9">
            <w:pPr>
              <w:pStyle w:val="ARGrantstabletext"/>
              <w:rPr>
                <w:b/>
              </w:rPr>
            </w:pPr>
            <w:r w:rsidRPr="004E3C24">
              <w:rPr>
                <w:color w:val="000000"/>
              </w:rPr>
              <w:t>Forcibly Displaced People Network</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35BE1F39" w14:textId="12704BF3" w:rsidR="004A2DF7" w:rsidRPr="006D2D94" w:rsidRDefault="00201EB9" w:rsidP="0009574E">
            <w:pPr>
              <w:pStyle w:val="ARGrantstabletextright"/>
              <w:ind w:right="328"/>
              <w:rPr>
                <w:b/>
              </w:rPr>
            </w:pPr>
            <w:r w:rsidRPr="004E3C24">
              <w:rPr>
                <w:color w:val="000000"/>
              </w:rPr>
              <w:t>20,024</w:t>
            </w:r>
          </w:p>
        </w:tc>
      </w:tr>
      <w:tr w:rsidR="004A2DF7" w:rsidRPr="006D2D94" w14:paraId="12F84759" w14:textId="77777777" w:rsidTr="0009574E">
        <w:trPr>
          <w:trHeight w:val="20"/>
        </w:trPr>
        <w:tc>
          <w:tcPr>
            <w:tcW w:w="3261" w:type="dxa"/>
            <w:noWrap/>
            <w:vAlign w:val="bottom"/>
          </w:tcPr>
          <w:p w14:paraId="4BB25C85" w14:textId="791E6016" w:rsidR="004A2DF7" w:rsidRPr="006D2D94" w:rsidRDefault="00201EB9">
            <w:pPr>
              <w:pStyle w:val="ARGrantstabletext"/>
              <w:rPr>
                <w:b/>
              </w:rPr>
            </w:pPr>
            <w:proofErr w:type="spellStart"/>
            <w:r w:rsidRPr="004E3C24">
              <w:rPr>
                <w:color w:val="000000"/>
              </w:rPr>
              <w:t>Gaytimes</w:t>
            </w:r>
            <w:proofErr w:type="spellEnd"/>
            <w:r w:rsidRPr="004E3C24">
              <w:rPr>
                <w:color w:val="000000"/>
              </w:rPr>
              <w:t xml:space="preserve"> Pty Ltd</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14942912" w14:textId="1D591408" w:rsidR="004A2DF7" w:rsidRPr="006D2D94" w:rsidRDefault="00201EB9" w:rsidP="0009574E">
            <w:pPr>
              <w:pStyle w:val="ARGrantstabletextright"/>
              <w:ind w:right="328"/>
              <w:rPr>
                <w:b/>
              </w:rPr>
            </w:pPr>
            <w:r w:rsidRPr="004E3C24">
              <w:rPr>
                <w:color w:val="000000"/>
              </w:rPr>
              <w:t>32,000</w:t>
            </w:r>
          </w:p>
        </w:tc>
      </w:tr>
      <w:tr w:rsidR="004A2DF7" w:rsidRPr="006D2D94" w14:paraId="125278BF" w14:textId="77777777" w:rsidTr="0009574E">
        <w:trPr>
          <w:trHeight w:val="20"/>
        </w:trPr>
        <w:tc>
          <w:tcPr>
            <w:tcW w:w="3261" w:type="dxa"/>
            <w:noWrap/>
            <w:vAlign w:val="bottom"/>
          </w:tcPr>
          <w:p w14:paraId="59D5D076" w14:textId="7D6245A7" w:rsidR="004A2DF7" w:rsidRPr="006D2D94" w:rsidRDefault="00201EB9">
            <w:pPr>
              <w:pStyle w:val="ARGrantstabletext"/>
              <w:rPr>
                <w:b/>
              </w:rPr>
            </w:pPr>
            <w:r w:rsidRPr="004E3C24">
              <w:rPr>
                <w:color w:val="000000"/>
              </w:rPr>
              <w:t>Geelong Pride Film Festival</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7AAB225E" w14:textId="3E171433" w:rsidR="004A2DF7" w:rsidRPr="006D2D94" w:rsidRDefault="00201EB9" w:rsidP="0009574E">
            <w:pPr>
              <w:pStyle w:val="ARGrantstabletextright"/>
              <w:ind w:right="328"/>
              <w:rPr>
                <w:b/>
              </w:rPr>
            </w:pPr>
            <w:r w:rsidRPr="004E3C24">
              <w:rPr>
                <w:color w:val="000000"/>
              </w:rPr>
              <w:t>9,700</w:t>
            </w:r>
          </w:p>
        </w:tc>
      </w:tr>
      <w:tr w:rsidR="004A2DF7" w:rsidRPr="006D2D94" w14:paraId="4B673DF6" w14:textId="77777777" w:rsidTr="0009574E">
        <w:trPr>
          <w:trHeight w:val="20"/>
        </w:trPr>
        <w:tc>
          <w:tcPr>
            <w:tcW w:w="3261" w:type="dxa"/>
            <w:tcBorders>
              <w:bottom w:val="single" w:sz="4" w:space="0" w:color="A6A6A6" w:themeColor="accent5"/>
            </w:tcBorders>
            <w:noWrap/>
            <w:vAlign w:val="bottom"/>
          </w:tcPr>
          <w:p w14:paraId="00EEEFF6" w14:textId="166EBE2C" w:rsidR="004A2DF7" w:rsidRPr="006D2D94" w:rsidRDefault="00201EB9">
            <w:pPr>
              <w:pStyle w:val="ARGrantstabletext"/>
              <w:rPr>
                <w:b/>
              </w:rPr>
            </w:pPr>
            <w:r w:rsidRPr="004E3C24">
              <w:rPr>
                <w:color w:val="000000"/>
              </w:rPr>
              <w:t>Gippsland Pride Initiative Inc.</w:t>
            </w:r>
          </w:p>
        </w:tc>
        <w:tc>
          <w:tcPr>
            <w:cnfStyle w:val="000001000000" w:firstRow="0" w:lastRow="0" w:firstColumn="0" w:lastColumn="0" w:oddVBand="0" w:evenVBand="1" w:oddHBand="0" w:evenHBand="0" w:firstRowFirstColumn="0" w:firstRowLastColumn="0" w:lastRowFirstColumn="0" w:lastRowLastColumn="0"/>
            <w:tcW w:w="1328" w:type="dxa"/>
            <w:tcBorders>
              <w:bottom w:val="single" w:sz="4" w:space="0" w:color="A6A6A6" w:themeColor="accent5"/>
            </w:tcBorders>
            <w:noWrap/>
            <w:vAlign w:val="bottom"/>
          </w:tcPr>
          <w:p w14:paraId="69786929" w14:textId="31826910" w:rsidR="004A2DF7" w:rsidRPr="006D2D94" w:rsidRDefault="00201EB9" w:rsidP="0009574E">
            <w:pPr>
              <w:pStyle w:val="ARGrantstabletextright"/>
              <w:ind w:right="328"/>
              <w:rPr>
                <w:b/>
              </w:rPr>
            </w:pPr>
            <w:r w:rsidRPr="004E3C24">
              <w:rPr>
                <w:color w:val="000000"/>
              </w:rPr>
              <w:t>50,000</w:t>
            </w:r>
          </w:p>
        </w:tc>
      </w:tr>
      <w:tr w:rsidR="004A2DF7" w:rsidRPr="006D2D94" w14:paraId="117ABE84" w14:textId="77777777" w:rsidTr="00F90BC7">
        <w:trPr>
          <w:trHeight w:val="20"/>
        </w:trPr>
        <w:tc>
          <w:tcPr>
            <w:tcW w:w="3261" w:type="dxa"/>
            <w:tcBorders>
              <w:top w:val="single" w:sz="4" w:space="0" w:color="A6A6A6" w:themeColor="accent5"/>
              <w:bottom w:val="single" w:sz="4" w:space="0" w:color="A6A6A6" w:themeColor="accent5"/>
            </w:tcBorders>
            <w:noWrap/>
            <w:vAlign w:val="bottom"/>
          </w:tcPr>
          <w:p w14:paraId="52C0D32B" w14:textId="730564CC" w:rsidR="004A2DF7" w:rsidRPr="006D2D94" w:rsidRDefault="00201EB9">
            <w:pPr>
              <w:pStyle w:val="ARGrantstabletext"/>
              <w:rPr>
                <w:b/>
              </w:rPr>
            </w:pPr>
            <w:r w:rsidRPr="004E3C24">
              <w:rPr>
                <w:color w:val="000000"/>
              </w:rPr>
              <w:t>GLOBE Victoria</w:t>
            </w:r>
          </w:p>
        </w:tc>
        <w:tc>
          <w:tcPr>
            <w:cnfStyle w:val="000001000000" w:firstRow="0" w:lastRow="0" w:firstColumn="0" w:lastColumn="0" w:oddVBand="0" w:evenVBand="1" w:oddHBand="0" w:evenHBand="0" w:firstRowFirstColumn="0" w:firstRowLastColumn="0" w:lastRowFirstColumn="0" w:lastRowLastColumn="0"/>
            <w:tcW w:w="1328" w:type="dxa"/>
            <w:tcBorders>
              <w:top w:val="single" w:sz="4" w:space="0" w:color="A6A6A6" w:themeColor="accent5"/>
              <w:bottom w:val="single" w:sz="4" w:space="0" w:color="A6A6A6" w:themeColor="accent5"/>
            </w:tcBorders>
            <w:noWrap/>
            <w:vAlign w:val="bottom"/>
          </w:tcPr>
          <w:p w14:paraId="4A71F96E" w14:textId="30F8EC15" w:rsidR="004A2DF7" w:rsidRPr="006D2D94" w:rsidRDefault="00201EB9" w:rsidP="0009574E">
            <w:pPr>
              <w:pStyle w:val="ARGrantstabletextright"/>
              <w:ind w:right="328"/>
              <w:rPr>
                <w:b/>
              </w:rPr>
            </w:pPr>
            <w:r w:rsidRPr="004E3C24">
              <w:rPr>
                <w:color w:val="000000"/>
              </w:rPr>
              <w:t>19,000</w:t>
            </w:r>
          </w:p>
        </w:tc>
      </w:tr>
      <w:tr w:rsidR="004A2DF7" w:rsidRPr="006D2D94" w14:paraId="4216F85A" w14:textId="77777777" w:rsidTr="00F90BC7">
        <w:trPr>
          <w:trHeight w:val="20"/>
        </w:trPr>
        <w:tc>
          <w:tcPr>
            <w:tcW w:w="3261" w:type="dxa"/>
            <w:tcBorders>
              <w:top w:val="single" w:sz="4" w:space="0" w:color="A6A6A6" w:themeColor="accent5"/>
              <w:bottom w:val="single" w:sz="4" w:space="0" w:color="A6A6A6" w:themeColor="accent5"/>
            </w:tcBorders>
            <w:noWrap/>
            <w:vAlign w:val="bottom"/>
          </w:tcPr>
          <w:p w14:paraId="2CEB815B" w14:textId="5885B2C6" w:rsidR="004A2DF7" w:rsidRPr="006D2D94" w:rsidRDefault="00201EB9">
            <w:pPr>
              <w:pStyle w:val="ARGrantstabletext"/>
              <w:rPr>
                <w:b/>
              </w:rPr>
            </w:pPr>
            <w:r w:rsidRPr="004E3C24">
              <w:rPr>
                <w:color w:val="000000"/>
              </w:rPr>
              <w:t>Goulburn Valley Pride Incorporated</w:t>
            </w:r>
          </w:p>
        </w:tc>
        <w:tc>
          <w:tcPr>
            <w:cnfStyle w:val="000001000000" w:firstRow="0" w:lastRow="0" w:firstColumn="0" w:lastColumn="0" w:oddVBand="0" w:evenVBand="1" w:oddHBand="0" w:evenHBand="0" w:firstRowFirstColumn="0" w:firstRowLastColumn="0" w:lastRowFirstColumn="0" w:lastRowLastColumn="0"/>
            <w:tcW w:w="1328" w:type="dxa"/>
            <w:tcBorders>
              <w:top w:val="single" w:sz="4" w:space="0" w:color="A6A6A6" w:themeColor="accent5"/>
              <w:bottom w:val="single" w:sz="4" w:space="0" w:color="A6A6A6" w:themeColor="accent5"/>
            </w:tcBorders>
            <w:noWrap/>
            <w:vAlign w:val="bottom"/>
          </w:tcPr>
          <w:p w14:paraId="61CE4AC3" w14:textId="1C284B45" w:rsidR="004A2DF7" w:rsidRPr="006D2D94" w:rsidRDefault="00201EB9" w:rsidP="0009574E">
            <w:pPr>
              <w:pStyle w:val="ARGrantstabletextright"/>
              <w:ind w:right="328"/>
              <w:rPr>
                <w:b/>
              </w:rPr>
            </w:pPr>
            <w:r w:rsidRPr="004E3C24">
              <w:rPr>
                <w:color w:val="000000"/>
              </w:rPr>
              <w:t>38,700</w:t>
            </w:r>
          </w:p>
        </w:tc>
      </w:tr>
      <w:tr w:rsidR="004A2DF7" w:rsidRPr="006D2D94" w14:paraId="04CD4CF0" w14:textId="77777777" w:rsidTr="00F90BC7">
        <w:trPr>
          <w:trHeight w:val="20"/>
        </w:trPr>
        <w:tc>
          <w:tcPr>
            <w:tcW w:w="3261" w:type="dxa"/>
            <w:tcBorders>
              <w:top w:val="single" w:sz="4" w:space="0" w:color="A6A6A6" w:themeColor="accent5"/>
            </w:tcBorders>
            <w:noWrap/>
            <w:vAlign w:val="bottom"/>
          </w:tcPr>
          <w:p w14:paraId="0642628D" w14:textId="50DC5AC6" w:rsidR="004A2DF7" w:rsidRPr="006D2D94" w:rsidRDefault="00201EB9">
            <w:pPr>
              <w:pStyle w:val="ARGrantstabletext"/>
              <w:rPr>
                <w:b/>
              </w:rPr>
            </w:pPr>
            <w:r w:rsidRPr="004E3C24">
              <w:rPr>
                <w:color w:val="000000"/>
              </w:rPr>
              <w:t>Inclusive Rainbow Voices</w:t>
            </w:r>
          </w:p>
        </w:tc>
        <w:tc>
          <w:tcPr>
            <w:cnfStyle w:val="000001000000" w:firstRow="0" w:lastRow="0" w:firstColumn="0" w:lastColumn="0" w:oddVBand="0" w:evenVBand="1" w:oddHBand="0" w:evenHBand="0" w:firstRowFirstColumn="0" w:firstRowLastColumn="0" w:lastRowFirstColumn="0" w:lastRowLastColumn="0"/>
            <w:tcW w:w="1328" w:type="dxa"/>
            <w:tcBorders>
              <w:top w:val="single" w:sz="4" w:space="0" w:color="A6A6A6" w:themeColor="accent5"/>
            </w:tcBorders>
            <w:noWrap/>
            <w:vAlign w:val="bottom"/>
          </w:tcPr>
          <w:p w14:paraId="3BCB6422" w14:textId="30934D6D" w:rsidR="004A2DF7" w:rsidRPr="006D2D94" w:rsidRDefault="00201EB9" w:rsidP="0009574E">
            <w:pPr>
              <w:pStyle w:val="ARGrantstabletextright"/>
              <w:ind w:right="328"/>
              <w:rPr>
                <w:b/>
              </w:rPr>
            </w:pPr>
            <w:r w:rsidRPr="004E3C24">
              <w:rPr>
                <w:color w:val="000000"/>
              </w:rPr>
              <w:t>10,000</w:t>
            </w:r>
          </w:p>
        </w:tc>
      </w:tr>
      <w:tr w:rsidR="004A2DF7" w:rsidRPr="006D2D94" w14:paraId="1C3D14CF" w14:textId="77777777" w:rsidTr="0009574E">
        <w:trPr>
          <w:trHeight w:val="20"/>
        </w:trPr>
        <w:tc>
          <w:tcPr>
            <w:tcW w:w="3261" w:type="dxa"/>
            <w:noWrap/>
            <w:vAlign w:val="bottom"/>
          </w:tcPr>
          <w:p w14:paraId="530D4BD5" w14:textId="1E0E0CDE" w:rsidR="004A2DF7" w:rsidRPr="006D2D94" w:rsidRDefault="00201EB9">
            <w:pPr>
              <w:pStyle w:val="ARGrantstabletext"/>
              <w:rPr>
                <w:b/>
              </w:rPr>
            </w:pPr>
            <w:r w:rsidRPr="004E3C24">
              <w:rPr>
                <w:color w:val="000000"/>
              </w:rPr>
              <w:t>InterAction for Health and Human Rights</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40231082" w14:textId="1C1051F4" w:rsidR="004A2DF7" w:rsidRPr="006D2D94" w:rsidRDefault="00201EB9" w:rsidP="0009574E">
            <w:pPr>
              <w:pStyle w:val="ARGrantstabletextright"/>
              <w:ind w:right="328"/>
              <w:rPr>
                <w:b/>
              </w:rPr>
            </w:pPr>
            <w:r w:rsidRPr="004E3C24">
              <w:rPr>
                <w:color w:val="000000"/>
              </w:rPr>
              <w:t>50,000</w:t>
            </w:r>
          </w:p>
        </w:tc>
      </w:tr>
      <w:tr w:rsidR="004A2DF7" w:rsidRPr="006D2D94" w14:paraId="35A740EF" w14:textId="77777777" w:rsidTr="0009574E">
        <w:trPr>
          <w:trHeight w:val="20"/>
        </w:trPr>
        <w:tc>
          <w:tcPr>
            <w:tcW w:w="3261" w:type="dxa"/>
            <w:tcBorders>
              <w:bottom w:val="single" w:sz="4" w:space="0" w:color="A6A6A6" w:themeColor="accent5"/>
            </w:tcBorders>
            <w:noWrap/>
            <w:vAlign w:val="bottom"/>
          </w:tcPr>
          <w:p w14:paraId="6E540AE9" w14:textId="47D8E800" w:rsidR="004A2DF7" w:rsidRPr="006D2D94" w:rsidRDefault="00201EB9">
            <w:pPr>
              <w:pStyle w:val="ARGrantstabletext"/>
              <w:rPr>
                <w:b/>
              </w:rPr>
            </w:pPr>
            <w:r w:rsidRPr="004E3C24">
              <w:rPr>
                <w:color w:val="000000"/>
              </w:rPr>
              <w:t>Joy Melbourne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328" w:type="dxa"/>
            <w:tcBorders>
              <w:bottom w:val="single" w:sz="4" w:space="0" w:color="A6A6A6" w:themeColor="accent5"/>
            </w:tcBorders>
            <w:noWrap/>
            <w:vAlign w:val="bottom"/>
          </w:tcPr>
          <w:p w14:paraId="293371F3" w14:textId="52A83B2B" w:rsidR="004A2DF7" w:rsidRPr="006D2D94" w:rsidRDefault="00201EB9" w:rsidP="0009574E">
            <w:pPr>
              <w:pStyle w:val="ARGrantstabletextright"/>
              <w:ind w:right="328"/>
              <w:rPr>
                <w:b/>
              </w:rPr>
            </w:pPr>
            <w:r w:rsidRPr="004E3C24">
              <w:rPr>
                <w:color w:val="000000"/>
              </w:rPr>
              <w:t>207,500</w:t>
            </w:r>
          </w:p>
        </w:tc>
      </w:tr>
      <w:tr w:rsidR="004A2DF7" w:rsidRPr="006D2D94" w14:paraId="15279577" w14:textId="77777777" w:rsidTr="0009574E">
        <w:trPr>
          <w:trHeight w:val="20"/>
        </w:trPr>
        <w:tc>
          <w:tcPr>
            <w:tcW w:w="3261" w:type="dxa"/>
            <w:tcBorders>
              <w:top w:val="single" w:sz="4" w:space="0" w:color="A6A6A6" w:themeColor="accent5"/>
              <w:bottom w:val="single" w:sz="4" w:space="0" w:color="A6A6A6" w:themeColor="accent5"/>
            </w:tcBorders>
            <w:noWrap/>
            <w:vAlign w:val="bottom"/>
          </w:tcPr>
          <w:p w14:paraId="6C72D981" w14:textId="1AF2CA59" w:rsidR="004A2DF7" w:rsidRPr="006D2D94" w:rsidRDefault="00201EB9">
            <w:pPr>
              <w:pStyle w:val="ARGrantstabletext"/>
              <w:rPr>
                <w:b/>
              </w:rPr>
            </w:pPr>
            <w:r w:rsidRPr="004E3C24">
              <w:rPr>
                <w:color w:val="000000"/>
              </w:rPr>
              <w:t>La Trobe University</w:t>
            </w:r>
          </w:p>
        </w:tc>
        <w:tc>
          <w:tcPr>
            <w:cnfStyle w:val="000001000000" w:firstRow="0" w:lastRow="0" w:firstColumn="0" w:lastColumn="0" w:oddVBand="0" w:evenVBand="1" w:oddHBand="0" w:evenHBand="0" w:firstRowFirstColumn="0" w:firstRowLastColumn="0" w:lastRowFirstColumn="0" w:lastRowLastColumn="0"/>
            <w:tcW w:w="1328" w:type="dxa"/>
            <w:tcBorders>
              <w:top w:val="single" w:sz="4" w:space="0" w:color="A6A6A6" w:themeColor="accent5"/>
              <w:bottom w:val="single" w:sz="4" w:space="0" w:color="A6A6A6" w:themeColor="accent5"/>
            </w:tcBorders>
            <w:noWrap/>
            <w:vAlign w:val="bottom"/>
          </w:tcPr>
          <w:p w14:paraId="0D0F0B0C" w14:textId="6F49771F" w:rsidR="004A2DF7" w:rsidRPr="006D2D94" w:rsidRDefault="00201EB9" w:rsidP="0009574E">
            <w:pPr>
              <w:pStyle w:val="ARGrantstabletextright"/>
              <w:rPr>
                <w:b/>
              </w:rPr>
            </w:pPr>
            <w:r w:rsidRPr="004E3C24">
              <w:rPr>
                <w:color w:val="000000"/>
              </w:rPr>
              <w:t>1,452,000</w:t>
            </w:r>
          </w:p>
        </w:tc>
      </w:tr>
      <w:tr w:rsidR="004A2DF7" w:rsidRPr="006D2D94" w14:paraId="11728305" w14:textId="77777777" w:rsidTr="0009574E">
        <w:trPr>
          <w:trHeight w:val="20"/>
        </w:trPr>
        <w:tc>
          <w:tcPr>
            <w:tcW w:w="3261" w:type="dxa"/>
            <w:tcBorders>
              <w:top w:val="single" w:sz="4" w:space="0" w:color="A6A6A6" w:themeColor="accent5"/>
            </w:tcBorders>
            <w:noWrap/>
            <w:vAlign w:val="bottom"/>
          </w:tcPr>
          <w:p w14:paraId="2A9DC25C" w14:textId="706BC257" w:rsidR="004A2DF7" w:rsidRPr="006D2D94" w:rsidRDefault="00201EB9">
            <w:pPr>
              <w:pStyle w:val="ARGrantstabletext"/>
              <w:rPr>
                <w:b/>
              </w:rPr>
            </w:pPr>
            <w:r w:rsidRPr="004E3C24">
              <w:rPr>
                <w:color w:val="000000"/>
              </w:rPr>
              <w:t xml:space="preserve">Lalala </w:t>
            </w:r>
            <w:proofErr w:type="spellStart"/>
            <w:r w:rsidRPr="004E3C24">
              <w:rPr>
                <w:color w:val="000000"/>
              </w:rPr>
              <w:t>OutPick</w:t>
            </w:r>
            <w:proofErr w:type="spellEnd"/>
          </w:p>
        </w:tc>
        <w:tc>
          <w:tcPr>
            <w:cnfStyle w:val="000001000000" w:firstRow="0" w:lastRow="0" w:firstColumn="0" w:lastColumn="0" w:oddVBand="0" w:evenVBand="1" w:oddHBand="0" w:evenHBand="0" w:firstRowFirstColumn="0" w:firstRowLastColumn="0" w:lastRowFirstColumn="0" w:lastRowLastColumn="0"/>
            <w:tcW w:w="1328" w:type="dxa"/>
            <w:tcBorders>
              <w:top w:val="single" w:sz="4" w:space="0" w:color="A6A6A6" w:themeColor="accent5"/>
            </w:tcBorders>
            <w:noWrap/>
            <w:vAlign w:val="bottom"/>
          </w:tcPr>
          <w:p w14:paraId="01360BE2" w14:textId="710B7AF7" w:rsidR="004A2DF7" w:rsidRPr="006D2D94" w:rsidRDefault="00201EB9" w:rsidP="0009574E">
            <w:pPr>
              <w:pStyle w:val="ARGrantstabletextright"/>
              <w:rPr>
                <w:b/>
              </w:rPr>
            </w:pPr>
            <w:r w:rsidRPr="004E3C24">
              <w:rPr>
                <w:color w:val="000000"/>
              </w:rPr>
              <w:t>10,000</w:t>
            </w:r>
          </w:p>
        </w:tc>
      </w:tr>
      <w:tr w:rsidR="004A2DF7" w:rsidRPr="006D2D94" w14:paraId="751E35F9" w14:textId="77777777" w:rsidTr="0009574E">
        <w:trPr>
          <w:trHeight w:val="20"/>
        </w:trPr>
        <w:tc>
          <w:tcPr>
            <w:tcW w:w="3261" w:type="dxa"/>
            <w:noWrap/>
            <w:vAlign w:val="bottom"/>
          </w:tcPr>
          <w:p w14:paraId="711906D8" w14:textId="60793D34" w:rsidR="004A2DF7" w:rsidRPr="006D2D94" w:rsidRDefault="00201EB9">
            <w:pPr>
              <w:pStyle w:val="ARGrantstabletext"/>
              <w:rPr>
                <w:b/>
              </w:rPr>
            </w:pPr>
            <w:r w:rsidRPr="004E3C24">
              <w:rPr>
                <w:color w:val="000000"/>
              </w:rPr>
              <w:t>Latin American and Hispanic Rainbow Community (LAHRC)</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6828825E" w14:textId="262DEE40" w:rsidR="004A2DF7" w:rsidRPr="006D2D94" w:rsidRDefault="00201EB9" w:rsidP="0009574E">
            <w:pPr>
              <w:pStyle w:val="ARGrantstabletextright"/>
              <w:rPr>
                <w:b/>
              </w:rPr>
            </w:pPr>
            <w:r w:rsidRPr="004E3C24">
              <w:rPr>
                <w:color w:val="000000"/>
              </w:rPr>
              <w:t>15,000</w:t>
            </w:r>
          </w:p>
        </w:tc>
      </w:tr>
      <w:tr w:rsidR="004A2DF7" w:rsidRPr="006D2D94" w14:paraId="37D095BA" w14:textId="77777777" w:rsidTr="0009574E">
        <w:trPr>
          <w:trHeight w:val="20"/>
        </w:trPr>
        <w:tc>
          <w:tcPr>
            <w:tcW w:w="3261" w:type="dxa"/>
            <w:noWrap/>
            <w:vAlign w:val="bottom"/>
          </w:tcPr>
          <w:p w14:paraId="23098BE4" w14:textId="4B19D87A" w:rsidR="004A2DF7" w:rsidRPr="006D2D94" w:rsidRDefault="00201EB9">
            <w:pPr>
              <w:pStyle w:val="ARGrantstabletext"/>
              <w:rPr>
                <w:b/>
              </w:rPr>
            </w:pPr>
            <w:r w:rsidRPr="004E3C24">
              <w:rPr>
                <w:color w:val="000000"/>
              </w:rPr>
              <w:t>LINE Wangaratta</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40487C2D" w14:textId="3992A83F" w:rsidR="004A2DF7" w:rsidRPr="006D2D94" w:rsidRDefault="00201EB9" w:rsidP="0009574E">
            <w:pPr>
              <w:pStyle w:val="ARGrantstabletextright"/>
              <w:rPr>
                <w:b/>
              </w:rPr>
            </w:pPr>
            <w:r w:rsidRPr="004E3C24">
              <w:rPr>
                <w:color w:val="000000"/>
              </w:rPr>
              <w:t>82,120</w:t>
            </w:r>
          </w:p>
        </w:tc>
      </w:tr>
      <w:tr w:rsidR="004A2DF7" w:rsidRPr="006D2D94" w14:paraId="048D7968" w14:textId="77777777" w:rsidTr="0009574E">
        <w:trPr>
          <w:trHeight w:val="20"/>
        </w:trPr>
        <w:tc>
          <w:tcPr>
            <w:tcW w:w="3261" w:type="dxa"/>
            <w:noWrap/>
            <w:vAlign w:val="bottom"/>
          </w:tcPr>
          <w:p w14:paraId="580CD011" w14:textId="4A4D5041" w:rsidR="004A2DF7" w:rsidRPr="006D2D94" w:rsidRDefault="00201EB9">
            <w:pPr>
              <w:pStyle w:val="ARGrantstabletext"/>
              <w:rPr>
                <w:b/>
              </w:rPr>
            </w:pPr>
            <w:r w:rsidRPr="004E3C24">
              <w:rPr>
                <w:color w:val="000000"/>
              </w:rPr>
              <w:t>Many Coloured Sky</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7E9711A9" w14:textId="130C9F83" w:rsidR="004A2DF7" w:rsidRPr="006D2D94" w:rsidRDefault="00201EB9" w:rsidP="0009574E">
            <w:pPr>
              <w:pStyle w:val="ARGrantstabletextright"/>
              <w:rPr>
                <w:b/>
              </w:rPr>
            </w:pPr>
            <w:r w:rsidRPr="004E3C24">
              <w:rPr>
                <w:color w:val="000000"/>
              </w:rPr>
              <w:t>97,000</w:t>
            </w:r>
          </w:p>
        </w:tc>
      </w:tr>
      <w:tr w:rsidR="004A2DF7" w:rsidRPr="006D2D94" w14:paraId="552B9D03" w14:textId="77777777" w:rsidTr="0009574E">
        <w:trPr>
          <w:trHeight w:val="20"/>
        </w:trPr>
        <w:tc>
          <w:tcPr>
            <w:tcW w:w="3261" w:type="dxa"/>
            <w:noWrap/>
            <w:vAlign w:val="bottom"/>
          </w:tcPr>
          <w:p w14:paraId="42774BBF" w14:textId="66502C85" w:rsidR="004A2DF7" w:rsidRPr="006D2D94" w:rsidRDefault="00201EB9">
            <w:pPr>
              <w:pStyle w:val="ARGrantstabletext"/>
              <w:rPr>
                <w:b/>
              </w:rPr>
            </w:pPr>
            <w:proofErr w:type="spellStart"/>
            <w:r w:rsidRPr="004E3C24">
              <w:rPr>
                <w:color w:val="000000"/>
              </w:rPr>
              <w:t>Melanated</w:t>
            </w:r>
            <w:proofErr w:type="spellEnd"/>
            <w:r w:rsidRPr="004E3C24">
              <w:rPr>
                <w:color w:val="000000"/>
              </w:rPr>
              <w:t xml:space="preserve"> in Melbourne</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75A1A45E" w14:textId="2CC8D28B" w:rsidR="004A2DF7" w:rsidRPr="006D2D94" w:rsidRDefault="00201EB9" w:rsidP="0009574E">
            <w:pPr>
              <w:pStyle w:val="ARGrantstabletextright"/>
              <w:rPr>
                <w:b/>
              </w:rPr>
            </w:pPr>
            <w:r w:rsidRPr="004E3C24">
              <w:rPr>
                <w:color w:val="000000"/>
              </w:rPr>
              <w:t>7,985</w:t>
            </w:r>
          </w:p>
        </w:tc>
      </w:tr>
      <w:tr w:rsidR="004A2DF7" w:rsidRPr="006D2D94" w14:paraId="60828528" w14:textId="77777777" w:rsidTr="0009574E">
        <w:trPr>
          <w:trHeight w:val="20"/>
        </w:trPr>
        <w:tc>
          <w:tcPr>
            <w:tcW w:w="3261" w:type="dxa"/>
            <w:noWrap/>
            <w:vAlign w:val="bottom"/>
          </w:tcPr>
          <w:p w14:paraId="05336777" w14:textId="2F41EB60" w:rsidR="004A2DF7" w:rsidRPr="006D2D94" w:rsidRDefault="00201EB9">
            <w:pPr>
              <w:pStyle w:val="ARGrantstabletext"/>
              <w:rPr>
                <w:b/>
              </w:rPr>
            </w:pPr>
            <w:r w:rsidRPr="004E3C24">
              <w:rPr>
                <w:color w:val="000000"/>
              </w:rPr>
              <w:t>Melba Support Services Limited</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2014FEDF" w14:textId="0EEF834A" w:rsidR="004A2DF7" w:rsidRPr="006D2D94" w:rsidRDefault="00201EB9" w:rsidP="0009574E">
            <w:pPr>
              <w:pStyle w:val="ARGrantstabletextright"/>
              <w:rPr>
                <w:b/>
              </w:rPr>
            </w:pPr>
            <w:r w:rsidRPr="004E3C24">
              <w:rPr>
                <w:color w:val="000000"/>
              </w:rPr>
              <w:t>10,000</w:t>
            </w:r>
          </w:p>
        </w:tc>
      </w:tr>
      <w:tr w:rsidR="004A2DF7" w:rsidRPr="006D2D94" w14:paraId="643A7272" w14:textId="77777777" w:rsidTr="0009574E">
        <w:trPr>
          <w:trHeight w:val="20"/>
        </w:trPr>
        <w:tc>
          <w:tcPr>
            <w:tcW w:w="3261" w:type="dxa"/>
            <w:noWrap/>
            <w:vAlign w:val="bottom"/>
          </w:tcPr>
          <w:p w14:paraId="0A3B28B3" w14:textId="158C7751" w:rsidR="004A2DF7" w:rsidRPr="006D2D94" w:rsidRDefault="00201EB9">
            <w:pPr>
              <w:pStyle w:val="ARGrantstabletext"/>
              <w:rPr>
                <w:b/>
              </w:rPr>
            </w:pPr>
            <w:r w:rsidRPr="004E3C24">
              <w:rPr>
                <w:color w:val="000000"/>
              </w:rPr>
              <w:t>Melbourne Frontrunners Inc.</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1A95145A" w14:textId="48CA1233" w:rsidR="004A2DF7" w:rsidRPr="006D2D94" w:rsidRDefault="00201EB9" w:rsidP="0009574E">
            <w:pPr>
              <w:pStyle w:val="ARGrantstabletextright"/>
              <w:rPr>
                <w:b/>
              </w:rPr>
            </w:pPr>
            <w:r w:rsidRPr="004E3C24">
              <w:rPr>
                <w:color w:val="000000"/>
              </w:rPr>
              <w:t>5,105</w:t>
            </w:r>
          </w:p>
        </w:tc>
      </w:tr>
      <w:tr w:rsidR="004A2DF7" w:rsidRPr="006D2D94" w14:paraId="7A7CABCB" w14:textId="77777777" w:rsidTr="0009574E">
        <w:trPr>
          <w:trHeight w:val="20"/>
        </w:trPr>
        <w:tc>
          <w:tcPr>
            <w:tcW w:w="3261" w:type="dxa"/>
            <w:noWrap/>
            <w:vAlign w:val="bottom"/>
          </w:tcPr>
          <w:p w14:paraId="314570A2" w14:textId="0B291C13" w:rsidR="004A2DF7" w:rsidRPr="006D2D94" w:rsidRDefault="00201EB9">
            <w:pPr>
              <w:pStyle w:val="ARGrantstabletext"/>
              <w:rPr>
                <w:b/>
              </w:rPr>
            </w:pPr>
            <w:r w:rsidRPr="004E3C24">
              <w:rPr>
                <w:color w:val="000000"/>
              </w:rPr>
              <w:t>Melbourne Queer Film Festival Inc</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4FFEBBEF" w14:textId="4326CDCF" w:rsidR="004A2DF7" w:rsidRPr="006D2D94" w:rsidRDefault="00201EB9" w:rsidP="0009574E">
            <w:pPr>
              <w:pStyle w:val="ARGrantstabletextright"/>
              <w:rPr>
                <w:b/>
              </w:rPr>
            </w:pPr>
            <w:r w:rsidRPr="004E3C24">
              <w:rPr>
                <w:color w:val="000000"/>
              </w:rPr>
              <w:t>50,000</w:t>
            </w:r>
          </w:p>
        </w:tc>
      </w:tr>
      <w:tr w:rsidR="004A2DF7" w:rsidRPr="006D2D94" w14:paraId="4FEADCFD" w14:textId="77777777" w:rsidTr="0009574E">
        <w:trPr>
          <w:trHeight w:val="20"/>
        </w:trPr>
        <w:tc>
          <w:tcPr>
            <w:tcW w:w="3261" w:type="dxa"/>
            <w:noWrap/>
            <w:vAlign w:val="bottom"/>
          </w:tcPr>
          <w:p w14:paraId="1BD78123" w14:textId="42B24DEC" w:rsidR="004A2DF7" w:rsidRPr="006D2D94" w:rsidRDefault="00201EB9">
            <w:pPr>
              <w:pStyle w:val="ARGrantstabletext"/>
              <w:rPr>
                <w:b/>
              </w:rPr>
            </w:pPr>
            <w:proofErr w:type="spellStart"/>
            <w:r w:rsidRPr="004E3C24">
              <w:rPr>
                <w:color w:val="000000"/>
              </w:rPr>
              <w:t>Midsumma</w:t>
            </w:r>
            <w:proofErr w:type="spellEnd"/>
            <w:r w:rsidRPr="004E3C24">
              <w:rPr>
                <w:color w:val="000000"/>
              </w:rPr>
              <w:t xml:space="preserve"> Festival Inc.</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3581CEE4" w14:textId="4D643AC3" w:rsidR="004A2DF7" w:rsidRPr="006D2D94" w:rsidRDefault="00201EB9" w:rsidP="0009574E">
            <w:pPr>
              <w:pStyle w:val="ARGrantstabletextright"/>
              <w:rPr>
                <w:b/>
              </w:rPr>
            </w:pPr>
            <w:r w:rsidRPr="004E3C24">
              <w:rPr>
                <w:color w:val="000000"/>
              </w:rPr>
              <w:t>1,880,000</w:t>
            </w:r>
          </w:p>
        </w:tc>
      </w:tr>
      <w:tr w:rsidR="004A2DF7" w:rsidRPr="006D2D94" w14:paraId="05C7CF3B" w14:textId="77777777" w:rsidTr="0009574E">
        <w:trPr>
          <w:trHeight w:val="20"/>
        </w:trPr>
        <w:tc>
          <w:tcPr>
            <w:tcW w:w="3261" w:type="dxa"/>
            <w:noWrap/>
            <w:vAlign w:val="bottom"/>
          </w:tcPr>
          <w:p w14:paraId="002CBFCA" w14:textId="192F377D" w:rsidR="004A2DF7" w:rsidRPr="006D2D94" w:rsidRDefault="00201EB9">
            <w:pPr>
              <w:pStyle w:val="ARGrantstabletext"/>
              <w:rPr>
                <w:b/>
              </w:rPr>
            </w:pPr>
            <w:r w:rsidRPr="004E3C24">
              <w:rPr>
                <w:color w:val="000000"/>
              </w:rPr>
              <w:t>Minus18 Foundation Inc.</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4FC64EBF" w14:textId="4370786C" w:rsidR="004A2DF7" w:rsidRPr="006D2D94" w:rsidRDefault="00201EB9" w:rsidP="0009574E">
            <w:pPr>
              <w:pStyle w:val="ARGrantstabletextright"/>
              <w:rPr>
                <w:b/>
              </w:rPr>
            </w:pPr>
            <w:r w:rsidRPr="004E3C24">
              <w:rPr>
                <w:color w:val="000000"/>
              </w:rPr>
              <w:t>89,550</w:t>
            </w:r>
          </w:p>
        </w:tc>
      </w:tr>
      <w:tr w:rsidR="004A2DF7" w:rsidRPr="006D2D94" w14:paraId="469702BD" w14:textId="77777777" w:rsidTr="0009574E">
        <w:trPr>
          <w:trHeight w:val="20"/>
        </w:trPr>
        <w:tc>
          <w:tcPr>
            <w:tcW w:w="3261" w:type="dxa"/>
            <w:noWrap/>
            <w:vAlign w:val="bottom"/>
          </w:tcPr>
          <w:p w14:paraId="5D65C420" w14:textId="4CC8A20C" w:rsidR="004A2DF7" w:rsidRPr="006D2D94" w:rsidRDefault="00201EB9">
            <w:pPr>
              <w:pStyle w:val="ARGrantstabletext"/>
              <w:rPr>
                <w:b/>
              </w:rPr>
            </w:pPr>
            <w:r w:rsidRPr="004E3C24">
              <w:rPr>
                <w:color w:val="000000"/>
              </w:rPr>
              <w:t>Our Point 3 Incorporated</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2421FA96" w14:textId="47FD85E5" w:rsidR="004A2DF7" w:rsidRPr="006D2D94" w:rsidRDefault="00201EB9" w:rsidP="0009574E">
            <w:pPr>
              <w:pStyle w:val="ARGrantstabletextright"/>
              <w:rPr>
                <w:b/>
              </w:rPr>
            </w:pPr>
            <w:r w:rsidRPr="004E3C24">
              <w:rPr>
                <w:color w:val="000000"/>
              </w:rPr>
              <w:t>18,000</w:t>
            </w:r>
          </w:p>
        </w:tc>
      </w:tr>
      <w:tr w:rsidR="004A2DF7" w:rsidRPr="006D2D94" w14:paraId="428992F2" w14:textId="77777777" w:rsidTr="0009574E">
        <w:trPr>
          <w:trHeight w:val="20"/>
        </w:trPr>
        <w:tc>
          <w:tcPr>
            <w:tcW w:w="3261" w:type="dxa"/>
            <w:noWrap/>
            <w:vAlign w:val="bottom"/>
          </w:tcPr>
          <w:p w14:paraId="2A50F9FB" w14:textId="64066C5E" w:rsidR="004A2DF7" w:rsidRPr="006D2D94" w:rsidRDefault="00201EB9">
            <w:pPr>
              <w:pStyle w:val="ARGrantstabletext"/>
              <w:rPr>
                <w:b/>
              </w:rPr>
            </w:pPr>
            <w:r w:rsidRPr="004E3C24">
              <w:rPr>
                <w:color w:val="000000"/>
              </w:rPr>
              <w:t>People with Disability Australia (PWDA)</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7F92EC8B" w14:textId="65784B9B" w:rsidR="004A2DF7" w:rsidRPr="006D2D94" w:rsidRDefault="00201EB9" w:rsidP="0009574E">
            <w:pPr>
              <w:pStyle w:val="ARGrantstabletextright"/>
              <w:rPr>
                <w:b/>
              </w:rPr>
            </w:pPr>
            <w:r w:rsidRPr="004E3C24">
              <w:rPr>
                <w:color w:val="000000"/>
              </w:rPr>
              <w:t>7,500</w:t>
            </w:r>
          </w:p>
        </w:tc>
      </w:tr>
      <w:tr w:rsidR="004A2DF7" w:rsidRPr="006D2D94" w14:paraId="14A9B713" w14:textId="77777777" w:rsidTr="0009574E">
        <w:trPr>
          <w:trHeight w:val="20"/>
        </w:trPr>
        <w:tc>
          <w:tcPr>
            <w:tcW w:w="3261" w:type="dxa"/>
            <w:noWrap/>
            <w:vAlign w:val="bottom"/>
          </w:tcPr>
          <w:p w14:paraId="32D730E5" w14:textId="52F96401" w:rsidR="004A2DF7" w:rsidRPr="006D2D94" w:rsidRDefault="00201EB9">
            <w:pPr>
              <w:pStyle w:val="ARGrantstabletext"/>
              <w:rPr>
                <w:b/>
              </w:rPr>
            </w:pPr>
            <w:r w:rsidRPr="004E3C24">
              <w:rPr>
                <w:color w:val="000000"/>
              </w:rPr>
              <w:t>Pride in Sport (ACON)</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047B9903" w14:textId="447E6D61" w:rsidR="004A2DF7" w:rsidRPr="006D2D94" w:rsidRDefault="00201EB9" w:rsidP="0009574E">
            <w:pPr>
              <w:pStyle w:val="ARGrantstabletextright"/>
              <w:rPr>
                <w:b/>
              </w:rPr>
            </w:pPr>
            <w:r w:rsidRPr="004E3C24">
              <w:rPr>
                <w:color w:val="000000"/>
              </w:rPr>
              <w:t>17,700</w:t>
            </w:r>
          </w:p>
        </w:tc>
      </w:tr>
      <w:tr w:rsidR="004A2DF7" w:rsidRPr="006D2D94" w14:paraId="76A76143" w14:textId="77777777" w:rsidTr="0009574E">
        <w:trPr>
          <w:trHeight w:val="20"/>
        </w:trPr>
        <w:tc>
          <w:tcPr>
            <w:tcW w:w="3261" w:type="dxa"/>
            <w:noWrap/>
            <w:vAlign w:val="bottom"/>
          </w:tcPr>
          <w:p w14:paraId="4DE1031B" w14:textId="4136F51C" w:rsidR="004A2DF7" w:rsidRPr="006D2D94" w:rsidRDefault="00201EB9">
            <w:pPr>
              <w:pStyle w:val="ARGrantstabletext"/>
              <w:rPr>
                <w:b/>
              </w:rPr>
            </w:pPr>
            <w:r w:rsidRPr="004E3C24">
              <w:rPr>
                <w:color w:val="000000"/>
              </w:rPr>
              <w:t>Q-Lit: Victoria's Queer Festival of Words</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4C410D48" w14:textId="746608F6" w:rsidR="004A2DF7" w:rsidRPr="006D2D94" w:rsidRDefault="00201EB9" w:rsidP="0009574E">
            <w:pPr>
              <w:pStyle w:val="ARGrantstabletextright"/>
              <w:rPr>
                <w:b/>
              </w:rPr>
            </w:pPr>
            <w:r w:rsidRPr="004E3C24">
              <w:rPr>
                <w:color w:val="000000"/>
              </w:rPr>
              <w:t>18,400</w:t>
            </w:r>
          </w:p>
        </w:tc>
      </w:tr>
      <w:tr w:rsidR="004A2DF7" w:rsidRPr="006D2D94" w14:paraId="3E470002" w14:textId="77777777" w:rsidTr="0009574E">
        <w:trPr>
          <w:trHeight w:val="20"/>
        </w:trPr>
        <w:tc>
          <w:tcPr>
            <w:tcW w:w="3261" w:type="dxa"/>
            <w:noWrap/>
            <w:vAlign w:val="bottom"/>
          </w:tcPr>
          <w:p w14:paraId="0E4B4CF1" w14:textId="0972C4C0" w:rsidR="004A2DF7" w:rsidRPr="006D2D94" w:rsidRDefault="00201EB9">
            <w:pPr>
              <w:pStyle w:val="ARGrantstabletext"/>
              <w:rPr>
                <w:b/>
              </w:rPr>
            </w:pPr>
            <w:r w:rsidRPr="004E3C24">
              <w:rPr>
                <w:color w:val="000000"/>
              </w:rPr>
              <w:t>Q</w:t>
            </w:r>
            <w:r>
              <w:rPr>
                <w:color w:val="000000"/>
              </w:rPr>
              <w:t>ueer Arabs Australia</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79D367EE" w14:textId="12F2A523" w:rsidR="004A2DF7" w:rsidRPr="006D2D94" w:rsidRDefault="00201EB9" w:rsidP="0009574E">
            <w:pPr>
              <w:pStyle w:val="ARGrantstabletextright"/>
              <w:rPr>
                <w:b/>
              </w:rPr>
            </w:pPr>
            <w:r w:rsidRPr="004E3C24">
              <w:rPr>
                <w:color w:val="000000"/>
              </w:rPr>
              <w:t>10,000</w:t>
            </w:r>
          </w:p>
        </w:tc>
      </w:tr>
      <w:tr w:rsidR="004A2DF7" w:rsidRPr="006D2D94" w14:paraId="0D01C11B" w14:textId="77777777" w:rsidTr="0009574E">
        <w:trPr>
          <w:trHeight w:val="20"/>
        </w:trPr>
        <w:tc>
          <w:tcPr>
            <w:tcW w:w="3261" w:type="dxa"/>
            <w:noWrap/>
            <w:vAlign w:val="bottom"/>
          </w:tcPr>
          <w:p w14:paraId="44D831F4" w14:textId="01B5E9B7" w:rsidR="004A2DF7" w:rsidRPr="006D2D94" w:rsidRDefault="00201EB9">
            <w:pPr>
              <w:pStyle w:val="ARGrantstabletext"/>
              <w:rPr>
                <w:b/>
              </w:rPr>
            </w:pPr>
            <w:r w:rsidRPr="004E3C24">
              <w:rPr>
                <w:color w:val="000000"/>
              </w:rPr>
              <w:t>Queer Town</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350146B1" w14:textId="3AD3B539" w:rsidR="004A2DF7" w:rsidRPr="006D2D94" w:rsidRDefault="00201EB9" w:rsidP="0009574E">
            <w:pPr>
              <w:pStyle w:val="ARGrantstabletextright"/>
              <w:rPr>
                <w:b/>
              </w:rPr>
            </w:pPr>
            <w:r w:rsidRPr="004E3C24">
              <w:rPr>
                <w:color w:val="000000"/>
              </w:rPr>
              <w:t>9,000</w:t>
            </w:r>
          </w:p>
        </w:tc>
      </w:tr>
      <w:tr w:rsidR="004A2DF7" w:rsidRPr="006D2D94" w14:paraId="5A0FDF05" w14:textId="77777777" w:rsidTr="0009574E">
        <w:trPr>
          <w:trHeight w:val="20"/>
        </w:trPr>
        <w:tc>
          <w:tcPr>
            <w:tcW w:w="3261" w:type="dxa"/>
            <w:noWrap/>
            <w:vAlign w:val="bottom"/>
          </w:tcPr>
          <w:p w14:paraId="1759E341" w14:textId="66DC17D6" w:rsidR="004A2DF7" w:rsidRPr="006D2D94" w:rsidRDefault="00201EB9">
            <w:pPr>
              <w:pStyle w:val="ARGrantstabletext"/>
              <w:rPr>
                <w:b/>
              </w:rPr>
            </w:pPr>
            <w:r w:rsidRPr="004E3C24">
              <w:rPr>
                <w:color w:val="000000"/>
              </w:rPr>
              <w:t>Rainbow Dads Victoria Incorporated</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6E700229" w14:textId="248B4C34" w:rsidR="004A2DF7" w:rsidRPr="006D2D94" w:rsidRDefault="00201EB9" w:rsidP="0009574E">
            <w:pPr>
              <w:pStyle w:val="ARGrantstabletextright"/>
              <w:rPr>
                <w:b/>
              </w:rPr>
            </w:pPr>
            <w:r w:rsidRPr="004E3C24">
              <w:rPr>
                <w:color w:val="000000"/>
              </w:rPr>
              <w:t>18,500</w:t>
            </w:r>
          </w:p>
        </w:tc>
      </w:tr>
      <w:tr w:rsidR="004A2DF7" w:rsidRPr="006D2D94" w14:paraId="65A3A2AA" w14:textId="77777777" w:rsidTr="0009574E">
        <w:trPr>
          <w:trHeight w:val="20"/>
        </w:trPr>
        <w:tc>
          <w:tcPr>
            <w:tcW w:w="3261" w:type="dxa"/>
            <w:noWrap/>
            <w:vAlign w:val="bottom"/>
          </w:tcPr>
          <w:p w14:paraId="2DEBB409" w14:textId="0EF72A1B" w:rsidR="004A2DF7" w:rsidRPr="006D2D94" w:rsidRDefault="00201EB9">
            <w:pPr>
              <w:pStyle w:val="ARGrantstabletext"/>
              <w:rPr>
                <w:b/>
              </w:rPr>
            </w:pPr>
            <w:r w:rsidRPr="004E3C24">
              <w:rPr>
                <w:color w:val="000000"/>
              </w:rPr>
              <w:t>S</w:t>
            </w:r>
            <w:r>
              <w:rPr>
                <w:color w:val="000000"/>
              </w:rPr>
              <w:t xml:space="preserve">eventh </w:t>
            </w:r>
            <w:r w:rsidRPr="004E3C24">
              <w:rPr>
                <w:color w:val="000000"/>
              </w:rPr>
              <w:t>Gallery</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4666825A" w14:textId="3B16FEAA" w:rsidR="004A2DF7" w:rsidRPr="006D2D94" w:rsidRDefault="00201EB9" w:rsidP="0009574E">
            <w:pPr>
              <w:pStyle w:val="ARGrantstabletextright"/>
              <w:rPr>
                <w:b/>
              </w:rPr>
            </w:pPr>
            <w:r w:rsidRPr="004E3C24">
              <w:rPr>
                <w:color w:val="000000"/>
              </w:rPr>
              <w:t>10,000</w:t>
            </w:r>
          </w:p>
        </w:tc>
      </w:tr>
      <w:tr w:rsidR="004A2DF7" w:rsidRPr="006D2D94" w14:paraId="4658E758" w14:textId="77777777" w:rsidTr="0009574E">
        <w:trPr>
          <w:trHeight w:val="20"/>
        </w:trPr>
        <w:tc>
          <w:tcPr>
            <w:tcW w:w="3261" w:type="dxa"/>
            <w:noWrap/>
            <w:vAlign w:val="bottom"/>
          </w:tcPr>
          <w:p w14:paraId="51A44A25" w14:textId="3FFCCED4" w:rsidR="004A2DF7" w:rsidRPr="006D2D94" w:rsidRDefault="00201EB9">
            <w:pPr>
              <w:pStyle w:val="ARGrantstabletext"/>
              <w:rPr>
                <w:b/>
              </w:rPr>
            </w:pPr>
            <w:r w:rsidRPr="004E3C24">
              <w:rPr>
                <w:color w:val="000000"/>
              </w:rPr>
              <w:t>Switchboard (Victoria)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26BD46FC" w14:textId="05ADFA05" w:rsidR="004A2DF7" w:rsidRPr="006D2D94" w:rsidRDefault="00201EB9" w:rsidP="0009574E">
            <w:pPr>
              <w:pStyle w:val="ARGrantstabletextright"/>
              <w:rPr>
                <w:b/>
              </w:rPr>
            </w:pPr>
            <w:r w:rsidRPr="004E3C24">
              <w:rPr>
                <w:color w:val="000000"/>
              </w:rPr>
              <w:t>1,235,500</w:t>
            </w:r>
          </w:p>
        </w:tc>
      </w:tr>
      <w:tr w:rsidR="004A2DF7" w:rsidRPr="006D2D94" w14:paraId="1B061B01" w14:textId="77777777" w:rsidTr="0009574E">
        <w:trPr>
          <w:trHeight w:val="20"/>
        </w:trPr>
        <w:tc>
          <w:tcPr>
            <w:tcW w:w="3261" w:type="dxa"/>
            <w:noWrap/>
            <w:vAlign w:val="bottom"/>
          </w:tcPr>
          <w:p w14:paraId="5BB004D7" w14:textId="7E5D5313" w:rsidR="004A2DF7" w:rsidRPr="006D2D94" w:rsidRDefault="00201EB9">
            <w:pPr>
              <w:pStyle w:val="ARGrantstabletext"/>
              <w:rPr>
                <w:b/>
              </w:rPr>
            </w:pPr>
            <w:r w:rsidRPr="004E3C24">
              <w:rPr>
                <w:color w:val="000000"/>
              </w:rPr>
              <w:t>T Generation Gyms</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0AB69F33" w14:textId="5D49081F" w:rsidR="004A2DF7" w:rsidRPr="006D2D94" w:rsidRDefault="00201EB9" w:rsidP="0009574E">
            <w:pPr>
              <w:pStyle w:val="ARGrantstabletextright"/>
              <w:rPr>
                <w:b/>
              </w:rPr>
            </w:pPr>
            <w:r w:rsidRPr="004E3C24">
              <w:rPr>
                <w:color w:val="000000"/>
              </w:rPr>
              <w:t>1,500</w:t>
            </w:r>
          </w:p>
        </w:tc>
      </w:tr>
      <w:tr w:rsidR="004A2DF7" w:rsidRPr="006D2D94" w14:paraId="70378A9E" w14:textId="77777777" w:rsidTr="0009574E">
        <w:trPr>
          <w:trHeight w:val="20"/>
        </w:trPr>
        <w:tc>
          <w:tcPr>
            <w:tcW w:w="3261" w:type="dxa"/>
            <w:noWrap/>
            <w:vAlign w:val="bottom"/>
          </w:tcPr>
          <w:p w14:paraId="5446C709" w14:textId="55C96FCB" w:rsidR="004A2DF7" w:rsidRPr="006D2D94" w:rsidRDefault="00201EB9">
            <w:pPr>
              <w:pStyle w:val="ARGrantstabletext"/>
              <w:rPr>
                <w:b/>
              </w:rPr>
            </w:pPr>
            <w:r w:rsidRPr="004E3C24">
              <w:rPr>
                <w:color w:val="000000"/>
              </w:rPr>
              <w:t>The Melbourne Gay and Lesbian Chorus</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3A4E7DA9" w14:textId="2BD2931E" w:rsidR="004A2DF7" w:rsidRPr="006D2D94" w:rsidRDefault="00201EB9" w:rsidP="0009574E">
            <w:pPr>
              <w:pStyle w:val="ARGrantstabletextright"/>
              <w:rPr>
                <w:b/>
              </w:rPr>
            </w:pPr>
            <w:r w:rsidRPr="004E3C24">
              <w:rPr>
                <w:color w:val="000000"/>
              </w:rPr>
              <w:t>17,000</w:t>
            </w:r>
          </w:p>
        </w:tc>
      </w:tr>
      <w:tr w:rsidR="004A2DF7" w:rsidRPr="006D2D94" w14:paraId="18E45B37" w14:textId="77777777" w:rsidTr="0009574E">
        <w:trPr>
          <w:trHeight w:val="20"/>
        </w:trPr>
        <w:tc>
          <w:tcPr>
            <w:tcW w:w="3261" w:type="dxa"/>
            <w:noWrap/>
            <w:vAlign w:val="bottom"/>
          </w:tcPr>
          <w:p w14:paraId="1DCDC184" w14:textId="4862AD9B" w:rsidR="004A2DF7" w:rsidRPr="006D2D94" w:rsidRDefault="00201EB9">
            <w:pPr>
              <w:pStyle w:val="ARGrantstabletext"/>
              <w:rPr>
                <w:b/>
              </w:rPr>
            </w:pPr>
            <w:r w:rsidRPr="004E3C24">
              <w:rPr>
                <w:color w:val="000000"/>
              </w:rPr>
              <w:t>The Village Festival of New Performance Inc.</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7985B101" w14:textId="0CAAE6A2" w:rsidR="004A2DF7" w:rsidRPr="006D2D94" w:rsidRDefault="00201EB9" w:rsidP="0009574E">
            <w:pPr>
              <w:pStyle w:val="ARGrantstabletextright"/>
              <w:rPr>
                <w:b/>
              </w:rPr>
            </w:pPr>
            <w:r w:rsidRPr="004E3C24">
              <w:rPr>
                <w:color w:val="000000"/>
              </w:rPr>
              <w:t>22,500</w:t>
            </w:r>
          </w:p>
        </w:tc>
      </w:tr>
      <w:tr w:rsidR="004A2DF7" w:rsidRPr="006D2D94" w14:paraId="061AC751" w14:textId="77777777" w:rsidTr="0009574E">
        <w:trPr>
          <w:trHeight w:val="20"/>
        </w:trPr>
        <w:tc>
          <w:tcPr>
            <w:tcW w:w="3261" w:type="dxa"/>
            <w:noWrap/>
            <w:vAlign w:val="bottom"/>
          </w:tcPr>
          <w:p w14:paraId="0B8C1D88" w14:textId="135E87BB" w:rsidR="004A2DF7" w:rsidRPr="006D2D94" w:rsidRDefault="00201EB9">
            <w:pPr>
              <w:pStyle w:val="ARGrantstabletext"/>
              <w:rPr>
                <w:b/>
              </w:rPr>
            </w:pPr>
            <w:r w:rsidRPr="004E3C24">
              <w:rPr>
                <w:color w:val="000000"/>
              </w:rPr>
              <w:t>Thorne Harbour Health</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1955A800" w14:textId="2C89D139" w:rsidR="004A2DF7" w:rsidRPr="006D2D94" w:rsidRDefault="00201EB9" w:rsidP="0009574E">
            <w:pPr>
              <w:pStyle w:val="ARGrantstabletextright"/>
              <w:rPr>
                <w:b/>
              </w:rPr>
            </w:pPr>
            <w:r w:rsidRPr="004E3C24">
              <w:rPr>
                <w:color w:val="000000"/>
              </w:rPr>
              <w:t>143,000</w:t>
            </w:r>
          </w:p>
        </w:tc>
      </w:tr>
      <w:tr w:rsidR="004A2DF7" w:rsidRPr="006D2D94" w14:paraId="1DD1B506" w14:textId="77777777" w:rsidTr="0009574E">
        <w:trPr>
          <w:trHeight w:val="20"/>
        </w:trPr>
        <w:tc>
          <w:tcPr>
            <w:tcW w:w="3261" w:type="dxa"/>
            <w:noWrap/>
            <w:vAlign w:val="bottom"/>
          </w:tcPr>
          <w:p w14:paraId="4C5D348F" w14:textId="3E2C4BB4" w:rsidR="004A2DF7" w:rsidRPr="006D2D94" w:rsidRDefault="00201EB9">
            <w:pPr>
              <w:pStyle w:val="ARGrantstabletext"/>
              <w:rPr>
                <w:b/>
              </w:rPr>
            </w:pPr>
            <w:r w:rsidRPr="004E3C24">
              <w:rPr>
                <w:color w:val="000000"/>
              </w:rPr>
              <w:t>tilde: Melbourne Trans and Gender Diverse Film Festival</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2EB62C64" w14:textId="4461039E" w:rsidR="004A2DF7" w:rsidRPr="006D2D94" w:rsidRDefault="00201EB9" w:rsidP="0009574E">
            <w:pPr>
              <w:pStyle w:val="ARGrantstabletextright"/>
              <w:rPr>
                <w:b/>
              </w:rPr>
            </w:pPr>
            <w:r w:rsidRPr="004E3C24">
              <w:rPr>
                <w:color w:val="000000"/>
              </w:rPr>
              <w:t>25,000</w:t>
            </w:r>
          </w:p>
        </w:tc>
      </w:tr>
      <w:tr w:rsidR="00F44D77" w:rsidRPr="006D2D94" w14:paraId="2BA7E41E" w14:textId="77777777" w:rsidTr="0009574E">
        <w:trPr>
          <w:trHeight w:val="20"/>
        </w:trPr>
        <w:tc>
          <w:tcPr>
            <w:tcW w:w="3261" w:type="dxa"/>
            <w:noWrap/>
            <w:vAlign w:val="bottom"/>
          </w:tcPr>
          <w:p w14:paraId="5A3A36A5" w14:textId="3725B64D" w:rsidR="00F44D77" w:rsidRPr="004E3C24" w:rsidRDefault="00F44D77" w:rsidP="00F44D77">
            <w:pPr>
              <w:pStyle w:val="ARGrantstabletext"/>
              <w:rPr>
                <w:color w:val="000000"/>
              </w:rPr>
            </w:pPr>
            <w:r w:rsidRPr="004E3C24">
              <w:rPr>
                <w:color w:val="000000"/>
              </w:rPr>
              <w:t>Trans Space Pty Ltd</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064F4F75" w14:textId="3CCF766C" w:rsidR="00F44D77" w:rsidRPr="004E3C24" w:rsidRDefault="00F44D77" w:rsidP="0009574E">
            <w:pPr>
              <w:pStyle w:val="ARGrantstabletextright"/>
              <w:rPr>
                <w:color w:val="000000"/>
              </w:rPr>
            </w:pPr>
            <w:r w:rsidRPr="004E3C24">
              <w:rPr>
                <w:color w:val="000000"/>
              </w:rPr>
              <w:t>18,330</w:t>
            </w:r>
          </w:p>
        </w:tc>
      </w:tr>
      <w:tr w:rsidR="00F44D77" w:rsidRPr="006D2D94" w14:paraId="41D0911A" w14:textId="77777777" w:rsidTr="0009574E">
        <w:trPr>
          <w:trHeight w:val="20"/>
        </w:trPr>
        <w:tc>
          <w:tcPr>
            <w:tcW w:w="3261" w:type="dxa"/>
            <w:noWrap/>
            <w:vAlign w:val="bottom"/>
          </w:tcPr>
          <w:p w14:paraId="62E7179B" w14:textId="7DFEEDE3" w:rsidR="00F44D77" w:rsidRPr="004E3C24" w:rsidRDefault="00F44D77" w:rsidP="00F44D77">
            <w:pPr>
              <w:pStyle w:val="ARGrantstabletext"/>
              <w:rPr>
                <w:color w:val="000000"/>
              </w:rPr>
            </w:pPr>
            <w:r w:rsidRPr="004E3C24">
              <w:rPr>
                <w:color w:val="000000"/>
              </w:rPr>
              <w:t>Transcend Australia</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568184CD" w14:textId="37F929CE" w:rsidR="00F44D77" w:rsidRPr="004E3C24" w:rsidRDefault="00F44D77" w:rsidP="0009574E">
            <w:pPr>
              <w:pStyle w:val="ARGrantstabletextright"/>
              <w:rPr>
                <w:color w:val="000000"/>
              </w:rPr>
            </w:pPr>
            <w:r w:rsidRPr="004E3C24">
              <w:rPr>
                <w:color w:val="000000"/>
              </w:rPr>
              <w:t>96,500</w:t>
            </w:r>
          </w:p>
        </w:tc>
      </w:tr>
      <w:tr w:rsidR="00F44D77" w:rsidRPr="006D2D94" w14:paraId="570B786F" w14:textId="77777777" w:rsidTr="0009574E">
        <w:trPr>
          <w:trHeight w:val="20"/>
        </w:trPr>
        <w:tc>
          <w:tcPr>
            <w:tcW w:w="3261" w:type="dxa"/>
            <w:noWrap/>
            <w:vAlign w:val="bottom"/>
          </w:tcPr>
          <w:p w14:paraId="795B6A1C" w14:textId="6CC5A5EA" w:rsidR="00F44D77" w:rsidRPr="004E3C24" w:rsidRDefault="00F44D77" w:rsidP="00F44D77">
            <w:pPr>
              <w:pStyle w:val="ARGrantstabletext"/>
              <w:rPr>
                <w:color w:val="000000"/>
              </w:rPr>
            </w:pPr>
            <w:r w:rsidRPr="004E3C24">
              <w:rPr>
                <w:color w:val="000000"/>
              </w:rPr>
              <w:t>Transgender Victoria</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4302A1F1" w14:textId="757AF94A" w:rsidR="00F44D77" w:rsidRPr="004E3C24" w:rsidRDefault="00F44D77" w:rsidP="0009574E">
            <w:pPr>
              <w:pStyle w:val="ARGrantstabletextright"/>
              <w:rPr>
                <w:color w:val="000000"/>
              </w:rPr>
            </w:pPr>
            <w:r w:rsidRPr="004E3C24">
              <w:rPr>
                <w:color w:val="000000"/>
              </w:rPr>
              <w:t>584,718</w:t>
            </w:r>
          </w:p>
        </w:tc>
      </w:tr>
      <w:tr w:rsidR="00F44D77" w:rsidRPr="006D2D94" w14:paraId="4CD98C94" w14:textId="77777777" w:rsidTr="0009574E">
        <w:trPr>
          <w:trHeight w:val="20"/>
        </w:trPr>
        <w:tc>
          <w:tcPr>
            <w:tcW w:w="3261" w:type="dxa"/>
            <w:noWrap/>
            <w:vAlign w:val="bottom"/>
          </w:tcPr>
          <w:p w14:paraId="6E182B04" w14:textId="09BA92AF" w:rsidR="00F44D77" w:rsidRPr="004E3C24" w:rsidRDefault="00F44D77" w:rsidP="00F44D77">
            <w:pPr>
              <w:pStyle w:val="ARGrantstabletext"/>
              <w:rPr>
                <w:color w:val="000000"/>
              </w:rPr>
            </w:pPr>
            <w:r w:rsidRPr="004E3C24">
              <w:rPr>
                <w:color w:val="000000"/>
              </w:rPr>
              <w:t>Victorian Aboriginal Child Care Agency Co-operative Limited</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3037197D" w14:textId="5599EE5B" w:rsidR="00F44D77" w:rsidRPr="004E3C24" w:rsidRDefault="00F44D77" w:rsidP="0009574E">
            <w:pPr>
              <w:pStyle w:val="ARGrantstabletextright"/>
              <w:rPr>
                <w:color w:val="000000"/>
              </w:rPr>
            </w:pPr>
            <w:r w:rsidRPr="004E3C24">
              <w:rPr>
                <w:color w:val="000000"/>
              </w:rPr>
              <w:t>33,000</w:t>
            </w:r>
          </w:p>
        </w:tc>
      </w:tr>
      <w:tr w:rsidR="00F44D77" w:rsidRPr="006D2D94" w14:paraId="1C237E8F" w14:textId="77777777" w:rsidTr="0009574E">
        <w:trPr>
          <w:trHeight w:val="20"/>
        </w:trPr>
        <w:tc>
          <w:tcPr>
            <w:tcW w:w="3261" w:type="dxa"/>
            <w:noWrap/>
            <w:vAlign w:val="bottom"/>
          </w:tcPr>
          <w:p w14:paraId="50F2DE22" w14:textId="396122CF" w:rsidR="00F44D77" w:rsidRPr="004E3C24" w:rsidRDefault="00F44D77" w:rsidP="00F44D77">
            <w:pPr>
              <w:pStyle w:val="ARGrantstabletext"/>
              <w:rPr>
                <w:color w:val="000000"/>
              </w:rPr>
            </w:pPr>
            <w:r w:rsidRPr="004E3C24">
              <w:rPr>
                <w:color w:val="000000"/>
              </w:rPr>
              <w:t>Victorian Aboriginal Community Controlled Health Organisation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1040AC6D" w14:textId="52E723C3" w:rsidR="00F44D77" w:rsidRPr="004E3C24" w:rsidRDefault="00F44D77" w:rsidP="0009574E">
            <w:pPr>
              <w:pStyle w:val="ARGrantstabletextright"/>
              <w:rPr>
                <w:color w:val="000000"/>
              </w:rPr>
            </w:pPr>
            <w:r w:rsidRPr="004E3C24">
              <w:rPr>
                <w:color w:val="000000"/>
              </w:rPr>
              <w:t>50,000</w:t>
            </w:r>
          </w:p>
        </w:tc>
      </w:tr>
      <w:tr w:rsidR="00F44D77" w:rsidRPr="006D2D94" w14:paraId="168F6B55" w14:textId="77777777" w:rsidTr="0009574E">
        <w:trPr>
          <w:trHeight w:val="20"/>
        </w:trPr>
        <w:tc>
          <w:tcPr>
            <w:tcW w:w="3261" w:type="dxa"/>
            <w:noWrap/>
            <w:vAlign w:val="bottom"/>
          </w:tcPr>
          <w:p w14:paraId="18BAE6D4" w14:textId="0853DF56" w:rsidR="00F44D77" w:rsidRPr="004E3C24" w:rsidRDefault="00F44D77" w:rsidP="00F44D77">
            <w:pPr>
              <w:pStyle w:val="ARGrantstabletext"/>
              <w:rPr>
                <w:color w:val="000000"/>
              </w:rPr>
            </w:pPr>
            <w:r w:rsidRPr="004E3C24">
              <w:rPr>
                <w:color w:val="000000"/>
              </w:rPr>
              <w:t>Victorian Pride Centre</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5536134E" w14:textId="14ABA483" w:rsidR="00F44D77" w:rsidRPr="004E3C24" w:rsidRDefault="00F44D77" w:rsidP="0009574E">
            <w:pPr>
              <w:pStyle w:val="ARGrantstabletextright"/>
              <w:rPr>
                <w:color w:val="000000"/>
              </w:rPr>
            </w:pPr>
            <w:r w:rsidRPr="004E3C24">
              <w:rPr>
                <w:color w:val="000000"/>
              </w:rPr>
              <w:t>117,500</w:t>
            </w:r>
          </w:p>
        </w:tc>
      </w:tr>
      <w:tr w:rsidR="00F44D77" w:rsidRPr="006D2D94" w14:paraId="3A3C29AA" w14:textId="77777777" w:rsidTr="0009574E">
        <w:trPr>
          <w:trHeight w:val="20"/>
        </w:trPr>
        <w:tc>
          <w:tcPr>
            <w:tcW w:w="3261" w:type="dxa"/>
            <w:noWrap/>
            <w:vAlign w:val="bottom"/>
          </w:tcPr>
          <w:p w14:paraId="1715671C" w14:textId="2D9432F3" w:rsidR="00F44D77" w:rsidRPr="004E3C24" w:rsidRDefault="00F44D77" w:rsidP="00F44D77">
            <w:pPr>
              <w:pStyle w:val="ARGrantstabletext"/>
              <w:rPr>
                <w:color w:val="000000"/>
              </w:rPr>
            </w:pPr>
            <w:r w:rsidRPr="004E3C24">
              <w:rPr>
                <w:color w:val="000000"/>
              </w:rPr>
              <w:t>Youth Affairs Council of Victoria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2B215EBC" w14:textId="10F0A69A" w:rsidR="00F44D77" w:rsidRPr="004E3C24" w:rsidRDefault="00F44D77" w:rsidP="0009574E">
            <w:pPr>
              <w:pStyle w:val="ARGrantstabletextright"/>
              <w:rPr>
                <w:color w:val="000000"/>
              </w:rPr>
            </w:pPr>
            <w:r w:rsidRPr="004E3C24">
              <w:rPr>
                <w:color w:val="000000"/>
              </w:rPr>
              <w:t>10,000</w:t>
            </w:r>
          </w:p>
        </w:tc>
      </w:tr>
      <w:tr w:rsidR="004A2DF7" w:rsidRPr="006D2D94" w14:paraId="11F30F91" w14:textId="77777777" w:rsidTr="0009574E">
        <w:trPr>
          <w:cnfStyle w:val="010000000000" w:firstRow="0" w:lastRow="1" w:firstColumn="0" w:lastColumn="0" w:oddVBand="0" w:evenVBand="0" w:oddHBand="0" w:evenHBand="0" w:firstRowFirstColumn="0" w:firstRowLastColumn="0" w:lastRowFirstColumn="0" w:lastRowLastColumn="0"/>
          <w:trHeight w:val="20"/>
        </w:trPr>
        <w:tc>
          <w:tcPr>
            <w:tcW w:w="3261" w:type="dxa"/>
            <w:noWrap/>
          </w:tcPr>
          <w:p w14:paraId="111A5F9B" w14:textId="77777777" w:rsidR="004A2DF7" w:rsidRPr="006D2D94" w:rsidRDefault="004A2DF7">
            <w:pPr>
              <w:pStyle w:val="ARGrantstabletextbold"/>
            </w:pPr>
            <w:r w:rsidRPr="006D2D94">
              <w:t>Total</w:t>
            </w:r>
          </w:p>
        </w:tc>
        <w:tc>
          <w:tcPr>
            <w:cnfStyle w:val="000001000000" w:firstRow="0" w:lastRow="0" w:firstColumn="0" w:lastColumn="0" w:oddVBand="0" w:evenVBand="1" w:oddHBand="0" w:evenHBand="0" w:firstRowFirstColumn="0" w:firstRowLastColumn="0" w:lastRowFirstColumn="0" w:lastRowLastColumn="0"/>
            <w:tcW w:w="1328" w:type="dxa"/>
            <w:noWrap/>
            <w:vAlign w:val="bottom"/>
          </w:tcPr>
          <w:p w14:paraId="3BD2682B" w14:textId="58D4AC53" w:rsidR="004A2DF7" w:rsidRPr="006D2D94" w:rsidRDefault="00F44D77" w:rsidP="0009574E">
            <w:pPr>
              <w:pStyle w:val="ARGrantstabletextrightbold"/>
              <w:ind w:right="-97"/>
            </w:pPr>
            <w:r>
              <w:t>7,9725,351</w:t>
            </w:r>
          </w:p>
        </w:tc>
      </w:tr>
    </w:tbl>
    <w:p w14:paraId="0A8079DE" w14:textId="77777777" w:rsidR="00F90BC7" w:rsidRPr="00F90BC7" w:rsidRDefault="00F90BC7" w:rsidP="00F90BC7">
      <w:pPr>
        <w:pStyle w:val="ARbody"/>
      </w:pPr>
      <w:r>
        <w:br w:type="page"/>
      </w:r>
    </w:p>
    <w:p w14:paraId="34A8EE44" w14:textId="405B52B3" w:rsidR="004A2DF7" w:rsidRPr="006D2D94" w:rsidRDefault="004A2DF7" w:rsidP="0009574E">
      <w:pPr>
        <w:pStyle w:val="Heading3Grants"/>
        <w:spacing w:before="240"/>
      </w:pPr>
      <w:r w:rsidRPr="006D2D94">
        <w:lastRenderedPageBreak/>
        <w:t>Primary Prevention of Family Violence</w:t>
      </w:r>
    </w:p>
    <w:tbl>
      <w:tblPr>
        <w:tblStyle w:val="TableGrid"/>
        <w:tblW w:w="5000" w:type="pct"/>
        <w:tblLook w:val="02E0" w:firstRow="1" w:lastRow="1" w:firstColumn="1" w:lastColumn="0" w:noHBand="1" w:noVBand="0"/>
      </w:tblPr>
      <w:tblGrid>
        <w:gridCol w:w="3364"/>
        <w:gridCol w:w="1225"/>
      </w:tblGrid>
      <w:tr w:rsidR="004A2DF7" w:rsidRPr="006D2D94" w14:paraId="75AFECD8" w14:textId="77777777" w:rsidTr="0009574E">
        <w:trPr>
          <w:cnfStyle w:val="100000000000" w:firstRow="1" w:lastRow="0" w:firstColumn="0" w:lastColumn="0" w:oddVBand="0" w:evenVBand="0" w:oddHBand="0" w:evenHBand="0" w:firstRowFirstColumn="0" w:firstRowLastColumn="0" w:lastRowFirstColumn="0" w:lastRowLastColumn="0"/>
          <w:tblHeader/>
        </w:trPr>
        <w:tc>
          <w:tcPr>
            <w:tcW w:w="3394" w:type="dxa"/>
            <w:noWrap/>
          </w:tcPr>
          <w:p w14:paraId="4FC97035" w14:textId="77777777" w:rsidR="004A2DF7" w:rsidRPr="006D2D94" w:rsidRDefault="004A2DF7" w:rsidP="004D668F">
            <w:pPr>
              <w:pStyle w:val="ARGrantstablecolhead"/>
            </w:pPr>
            <w:r w:rsidRPr="006D2D94">
              <w:t>Organisation</w:t>
            </w:r>
          </w:p>
        </w:tc>
        <w:tc>
          <w:tcPr>
            <w:cnfStyle w:val="000001000000" w:firstRow="0" w:lastRow="0" w:firstColumn="0" w:lastColumn="0" w:oddVBand="0" w:evenVBand="1" w:oddHBand="0" w:evenHBand="0" w:firstRowFirstColumn="0" w:firstRowLastColumn="0" w:lastRowFirstColumn="0" w:lastRowLastColumn="0"/>
            <w:tcW w:w="1230" w:type="dxa"/>
            <w:noWrap/>
          </w:tcPr>
          <w:p w14:paraId="7DE2825C" w14:textId="77777777" w:rsidR="004A2DF7" w:rsidRPr="006D2D94" w:rsidRDefault="004A2DF7" w:rsidP="001F73F2">
            <w:pPr>
              <w:pStyle w:val="ARGrantstablecolheadright"/>
            </w:pPr>
            <w:r w:rsidRPr="001F73F2">
              <w:t>Payment</w:t>
            </w:r>
            <w:r w:rsidRPr="006D2D94">
              <w:t xml:space="preserve"> ($)</w:t>
            </w:r>
          </w:p>
        </w:tc>
      </w:tr>
      <w:tr w:rsidR="004A2DF7" w:rsidRPr="006D2D94" w14:paraId="25FC59EC" w14:textId="77777777" w:rsidTr="0009574E">
        <w:tc>
          <w:tcPr>
            <w:tcW w:w="3394" w:type="dxa"/>
            <w:noWrap/>
            <w:vAlign w:val="bottom"/>
            <w:hideMark/>
          </w:tcPr>
          <w:p w14:paraId="791E0A2F" w14:textId="50007425" w:rsidR="004A2DF7" w:rsidRPr="006D2D94" w:rsidRDefault="00611838">
            <w:pPr>
              <w:pStyle w:val="ARGrantstabletext"/>
              <w:rPr>
                <w:b/>
                <w:bCs/>
                <w:color w:val="000000"/>
              </w:rPr>
            </w:pPr>
            <w:proofErr w:type="spellStart"/>
            <w:r w:rsidRPr="006C0079">
              <w:rPr>
                <w:color w:val="000000"/>
              </w:rPr>
              <w:t>AfriAus</w:t>
            </w:r>
            <w:proofErr w:type="spellEnd"/>
            <w:r w:rsidRPr="006C0079">
              <w:rPr>
                <w:color w:val="000000"/>
              </w:rPr>
              <w:t xml:space="preserve"> </w:t>
            </w:r>
            <w:proofErr w:type="spellStart"/>
            <w:r w:rsidRPr="006C0079">
              <w:rPr>
                <w:color w:val="000000"/>
              </w:rPr>
              <w:t>iLEAC</w:t>
            </w:r>
            <w:proofErr w:type="spellEnd"/>
            <w:r w:rsidRPr="006C0079">
              <w:rPr>
                <w:color w:val="000000"/>
              </w:rPr>
              <w:t xml:space="preserve">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hideMark/>
          </w:tcPr>
          <w:p w14:paraId="1079A6B0" w14:textId="49D09736" w:rsidR="004A2DF7" w:rsidRPr="006D2D94" w:rsidRDefault="00611838">
            <w:pPr>
              <w:pStyle w:val="ARGrantstabletextright"/>
              <w:rPr>
                <w:b/>
              </w:rPr>
            </w:pPr>
            <w:r w:rsidRPr="006C0079">
              <w:rPr>
                <w:color w:val="000000"/>
              </w:rPr>
              <w:t>60,000</w:t>
            </w:r>
          </w:p>
        </w:tc>
      </w:tr>
      <w:tr w:rsidR="004A2DF7" w:rsidRPr="006D2D94" w14:paraId="38C49E65" w14:textId="77777777" w:rsidTr="0009574E">
        <w:tc>
          <w:tcPr>
            <w:tcW w:w="3394" w:type="dxa"/>
            <w:noWrap/>
            <w:vAlign w:val="bottom"/>
            <w:hideMark/>
          </w:tcPr>
          <w:p w14:paraId="5D127E1C" w14:textId="6245E0FC" w:rsidR="004A2DF7" w:rsidRPr="006D2D94" w:rsidRDefault="00611838">
            <w:pPr>
              <w:pStyle w:val="ARGrantstabletext"/>
              <w:rPr>
                <w:b/>
                <w:bCs/>
                <w:color w:val="000000"/>
              </w:rPr>
            </w:pPr>
            <w:r w:rsidRPr="006C0079">
              <w:rPr>
                <w:color w:val="000000"/>
              </w:rPr>
              <w:t>African Family Services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hideMark/>
          </w:tcPr>
          <w:p w14:paraId="297CEE09" w14:textId="2DD512BE" w:rsidR="004A2DF7" w:rsidRPr="006D2D94" w:rsidRDefault="00611838">
            <w:pPr>
              <w:pStyle w:val="ARGrantstabletextright"/>
              <w:rPr>
                <w:b/>
                <w:bCs/>
                <w:color w:val="000000"/>
              </w:rPr>
            </w:pPr>
            <w:r w:rsidRPr="006C0079">
              <w:rPr>
                <w:color w:val="000000"/>
              </w:rPr>
              <w:t>250,000</w:t>
            </w:r>
          </w:p>
        </w:tc>
      </w:tr>
      <w:tr w:rsidR="004A2DF7" w:rsidRPr="006D2D94" w14:paraId="70959C26" w14:textId="77777777" w:rsidTr="0009574E">
        <w:tc>
          <w:tcPr>
            <w:tcW w:w="3394" w:type="dxa"/>
            <w:noWrap/>
            <w:vAlign w:val="bottom"/>
            <w:hideMark/>
          </w:tcPr>
          <w:p w14:paraId="69FD5B56" w14:textId="623CCBC7" w:rsidR="004A2DF7" w:rsidRPr="006D2D94" w:rsidRDefault="00611838">
            <w:pPr>
              <w:pStyle w:val="ARGrantstabletext"/>
              <w:rPr>
                <w:b/>
                <w:bCs/>
                <w:color w:val="000000"/>
                <w:spacing w:val="-4"/>
              </w:rPr>
            </w:pPr>
            <w:r w:rsidRPr="006C0079">
              <w:rPr>
                <w:color w:val="000000"/>
              </w:rPr>
              <w:t>AMES Australia</w:t>
            </w:r>
          </w:p>
        </w:tc>
        <w:tc>
          <w:tcPr>
            <w:cnfStyle w:val="000001000000" w:firstRow="0" w:lastRow="0" w:firstColumn="0" w:lastColumn="0" w:oddVBand="0" w:evenVBand="1" w:oddHBand="0" w:evenHBand="0" w:firstRowFirstColumn="0" w:firstRowLastColumn="0" w:lastRowFirstColumn="0" w:lastRowLastColumn="0"/>
            <w:tcW w:w="1230" w:type="dxa"/>
            <w:noWrap/>
            <w:vAlign w:val="bottom"/>
            <w:hideMark/>
          </w:tcPr>
          <w:p w14:paraId="37A5D97F" w14:textId="51627971" w:rsidR="004A2DF7" w:rsidRPr="006D2D94" w:rsidRDefault="00611838">
            <w:pPr>
              <w:pStyle w:val="ARGrantstabletextright"/>
              <w:rPr>
                <w:b/>
                <w:bCs/>
                <w:color w:val="000000"/>
              </w:rPr>
            </w:pPr>
            <w:r w:rsidRPr="006C0079">
              <w:rPr>
                <w:color w:val="000000"/>
              </w:rPr>
              <w:t>110,000</w:t>
            </w:r>
          </w:p>
        </w:tc>
      </w:tr>
      <w:tr w:rsidR="004A2DF7" w:rsidRPr="006D2D94" w14:paraId="6B62F5E4" w14:textId="77777777" w:rsidTr="0009574E">
        <w:tc>
          <w:tcPr>
            <w:tcW w:w="3394" w:type="dxa"/>
            <w:noWrap/>
            <w:vAlign w:val="bottom"/>
            <w:hideMark/>
          </w:tcPr>
          <w:p w14:paraId="369454CB" w14:textId="75EDBBDB" w:rsidR="004A2DF7" w:rsidRPr="006D2D94" w:rsidRDefault="00611838">
            <w:pPr>
              <w:pStyle w:val="ARGrantstabletext"/>
              <w:rPr>
                <w:b/>
                <w:bCs/>
                <w:color w:val="000000"/>
              </w:rPr>
            </w:pPr>
            <w:r w:rsidRPr="006C0079">
              <w:rPr>
                <w:color w:val="000000"/>
              </w:rPr>
              <w:t>Annie North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hideMark/>
          </w:tcPr>
          <w:p w14:paraId="7385B44D" w14:textId="4419C5B0" w:rsidR="004A2DF7" w:rsidRPr="006D2D94" w:rsidRDefault="00611838">
            <w:pPr>
              <w:pStyle w:val="ARGrantstabletextright"/>
              <w:rPr>
                <w:b/>
                <w:bCs/>
                <w:color w:val="000000"/>
              </w:rPr>
            </w:pPr>
            <w:r w:rsidRPr="006C0079">
              <w:rPr>
                <w:color w:val="000000"/>
              </w:rPr>
              <w:t>170,000</w:t>
            </w:r>
          </w:p>
        </w:tc>
      </w:tr>
      <w:tr w:rsidR="004A2DF7" w:rsidRPr="006D2D94" w14:paraId="548A0304" w14:textId="77777777" w:rsidTr="0009574E">
        <w:tc>
          <w:tcPr>
            <w:tcW w:w="3394" w:type="dxa"/>
            <w:noWrap/>
            <w:vAlign w:val="bottom"/>
            <w:hideMark/>
          </w:tcPr>
          <w:p w14:paraId="4E8018D9" w14:textId="2BC1B9FF" w:rsidR="004A2DF7" w:rsidRPr="006D2D94" w:rsidRDefault="00611838">
            <w:pPr>
              <w:pStyle w:val="ARGrantstabletext"/>
              <w:rPr>
                <w:b/>
                <w:bCs/>
                <w:color w:val="000000"/>
              </w:rPr>
            </w:pPr>
            <w:r w:rsidRPr="006C0079">
              <w:rPr>
                <w:color w:val="000000"/>
              </w:rPr>
              <w:t>Australian Childhood Foundation</w:t>
            </w:r>
          </w:p>
        </w:tc>
        <w:tc>
          <w:tcPr>
            <w:cnfStyle w:val="000001000000" w:firstRow="0" w:lastRow="0" w:firstColumn="0" w:lastColumn="0" w:oddVBand="0" w:evenVBand="1" w:oddHBand="0" w:evenHBand="0" w:firstRowFirstColumn="0" w:firstRowLastColumn="0" w:lastRowFirstColumn="0" w:lastRowLastColumn="0"/>
            <w:tcW w:w="1230" w:type="dxa"/>
            <w:noWrap/>
            <w:vAlign w:val="bottom"/>
            <w:hideMark/>
          </w:tcPr>
          <w:p w14:paraId="234621C3" w14:textId="420922EF" w:rsidR="004A2DF7" w:rsidRPr="006D2D94" w:rsidRDefault="00611838">
            <w:pPr>
              <w:pStyle w:val="ARGrantstabletextright"/>
              <w:rPr>
                <w:b/>
                <w:bCs/>
                <w:color w:val="000000"/>
              </w:rPr>
            </w:pPr>
            <w:r w:rsidRPr="006C0079">
              <w:rPr>
                <w:color w:val="000000"/>
              </w:rPr>
              <w:t>150,000</w:t>
            </w:r>
          </w:p>
        </w:tc>
      </w:tr>
      <w:tr w:rsidR="004A2DF7" w:rsidRPr="006D2D94" w14:paraId="402887BB" w14:textId="77777777" w:rsidTr="0009574E">
        <w:tc>
          <w:tcPr>
            <w:tcW w:w="3394" w:type="dxa"/>
            <w:noWrap/>
            <w:vAlign w:val="bottom"/>
          </w:tcPr>
          <w:p w14:paraId="4DA28DBD" w14:textId="738E069C" w:rsidR="004A2DF7" w:rsidRPr="006D2D94" w:rsidRDefault="00611838">
            <w:pPr>
              <w:pStyle w:val="ARGrantstabletext"/>
              <w:rPr>
                <w:b/>
                <w:bCs/>
                <w:color w:val="000000"/>
              </w:rPr>
            </w:pPr>
            <w:r w:rsidRPr="006C0079">
              <w:rPr>
                <w:color w:val="000000"/>
              </w:rPr>
              <w:t>Australian Muslim Women's Centre for Human Rights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0246AF7" w14:textId="2AA07C12" w:rsidR="004A2DF7" w:rsidRPr="006D2D94" w:rsidRDefault="00611838">
            <w:pPr>
              <w:pStyle w:val="ARGrantstabletextright"/>
              <w:rPr>
                <w:b/>
                <w:bCs/>
                <w:color w:val="000000"/>
              </w:rPr>
            </w:pPr>
            <w:r w:rsidRPr="006C0079">
              <w:rPr>
                <w:color w:val="000000"/>
              </w:rPr>
              <w:t>660,000</w:t>
            </w:r>
          </w:p>
        </w:tc>
      </w:tr>
      <w:tr w:rsidR="004A2DF7" w:rsidRPr="006D2D94" w14:paraId="1505802E" w14:textId="77777777" w:rsidTr="0009574E">
        <w:tc>
          <w:tcPr>
            <w:tcW w:w="3394" w:type="dxa"/>
            <w:tcBorders>
              <w:bottom w:val="single" w:sz="4" w:space="0" w:color="A6A6A6" w:themeColor="accent5"/>
            </w:tcBorders>
            <w:noWrap/>
            <w:vAlign w:val="bottom"/>
          </w:tcPr>
          <w:p w14:paraId="6DEBF077" w14:textId="69C47981" w:rsidR="004A2DF7" w:rsidRPr="006D2D94" w:rsidRDefault="00611838">
            <w:pPr>
              <w:pStyle w:val="ARGrantstabletext"/>
              <w:rPr>
                <w:b/>
                <w:bCs/>
                <w:color w:val="000000"/>
              </w:rPr>
            </w:pPr>
            <w:r w:rsidRPr="006C0079">
              <w:rPr>
                <w:color w:val="000000"/>
              </w:rPr>
              <w:t>Ballarat Regional Multicultural Council</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0F74F5C7" w14:textId="31764832" w:rsidR="004A2DF7" w:rsidRPr="006D2D94" w:rsidRDefault="00611838">
            <w:pPr>
              <w:pStyle w:val="ARGrantstabletextright"/>
              <w:rPr>
                <w:b/>
                <w:bCs/>
                <w:color w:val="000000"/>
              </w:rPr>
            </w:pPr>
            <w:r w:rsidRPr="006C0079">
              <w:rPr>
                <w:color w:val="000000"/>
              </w:rPr>
              <w:t>340,000</w:t>
            </w:r>
          </w:p>
        </w:tc>
      </w:tr>
      <w:tr w:rsidR="004A2DF7" w:rsidRPr="006D2D94" w14:paraId="3EB6339B" w14:textId="77777777" w:rsidTr="0009574E">
        <w:tc>
          <w:tcPr>
            <w:tcW w:w="3394" w:type="dxa"/>
            <w:tcBorders>
              <w:top w:val="single" w:sz="4" w:space="0" w:color="A6A6A6" w:themeColor="accent5"/>
              <w:bottom w:val="single" w:sz="4" w:space="0" w:color="A6A6A6" w:themeColor="accent5"/>
            </w:tcBorders>
            <w:noWrap/>
            <w:vAlign w:val="bottom"/>
          </w:tcPr>
          <w:p w14:paraId="0F13109F" w14:textId="21BC6315" w:rsidR="004A2DF7" w:rsidRPr="006D2D94" w:rsidRDefault="00611838">
            <w:pPr>
              <w:pStyle w:val="ARGrantstabletext"/>
              <w:rPr>
                <w:b/>
                <w:bCs/>
                <w:color w:val="000000"/>
              </w:rPr>
            </w:pPr>
            <w:r w:rsidRPr="006C0079">
              <w:rPr>
                <w:color w:val="000000"/>
              </w:rPr>
              <w:t>Banksia Gardens Community Centre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6971682B" w14:textId="5331E9F4" w:rsidR="004A2DF7" w:rsidRPr="006D2D94" w:rsidRDefault="00611838">
            <w:pPr>
              <w:pStyle w:val="ARGrantstabletextright"/>
              <w:rPr>
                <w:b/>
                <w:bCs/>
                <w:color w:val="000000"/>
              </w:rPr>
            </w:pPr>
            <w:r w:rsidRPr="006C0079">
              <w:rPr>
                <w:color w:val="000000"/>
              </w:rPr>
              <w:t>100,000</w:t>
            </w:r>
          </w:p>
        </w:tc>
      </w:tr>
      <w:tr w:rsidR="004A2DF7" w:rsidRPr="006D2D94" w14:paraId="6814340A" w14:textId="77777777" w:rsidTr="0009574E">
        <w:tc>
          <w:tcPr>
            <w:tcW w:w="3394" w:type="dxa"/>
            <w:tcBorders>
              <w:top w:val="single" w:sz="4" w:space="0" w:color="A6A6A6" w:themeColor="accent5"/>
            </w:tcBorders>
            <w:noWrap/>
            <w:vAlign w:val="bottom"/>
          </w:tcPr>
          <w:p w14:paraId="6EE6900E" w14:textId="3CE920DD" w:rsidR="004A2DF7" w:rsidRPr="006D2D94" w:rsidRDefault="00611838">
            <w:pPr>
              <w:pStyle w:val="ARGrantstabletext"/>
              <w:rPr>
                <w:b/>
                <w:bCs/>
                <w:color w:val="000000"/>
              </w:rPr>
            </w:pPr>
            <w:r w:rsidRPr="006C0079">
              <w:rPr>
                <w:color w:val="000000"/>
              </w:rPr>
              <w:t>Benevolence Australia</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1E31659F" w14:textId="569E955A" w:rsidR="004A2DF7" w:rsidRPr="006D2D94" w:rsidRDefault="00611838">
            <w:pPr>
              <w:pStyle w:val="ARGrantstabletextright"/>
              <w:rPr>
                <w:b/>
                <w:bCs/>
                <w:color w:val="000000"/>
              </w:rPr>
            </w:pPr>
            <w:r w:rsidRPr="006C0079">
              <w:rPr>
                <w:color w:val="000000"/>
              </w:rPr>
              <w:t>70,000</w:t>
            </w:r>
          </w:p>
        </w:tc>
      </w:tr>
      <w:tr w:rsidR="004A2DF7" w:rsidRPr="006D2D94" w14:paraId="28177170" w14:textId="77777777" w:rsidTr="0009574E">
        <w:tc>
          <w:tcPr>
            <w:tcW w:w="3394" w:type="dxa"/>
            <w:noWrap/>
            <w:vAlign w:val="bottom"/>
          </w:tcPr>
          <w:p w14:paraId="6A1D5512" w14:textId="293E17E0" w:rsidR="004A2DF7" w:rsidRPr="006D2D94" w:rsidRDefault="00611838">
            <w:pPr>
              <w:pStyle w:val="ARGrantstabletext"/>
              <w:rPr>
                <w:b/>
                <w:bCs/>
                <w:color w:val="000000"/>
              </w:rPr>
            </w:pPr>
            <w:r w:rsidRPr="006C0079">
              <w:rPr>
                <w:color w:val="000000"/>
              </w:rPr>
              <w:t xml:space="preserve">Berry Street Victoria </w:t>
            </w:r>
            <w:r w:rsidR="00EA7A42" w:rsidRPr="006C0079">
              <w:rPr>
                <w:color w:val="000000"/>
              </w:rPr>
              <w:t>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25593E5" w14:textId="1E5C500C" w:rsidR="004A2DF7" w:rsidRPr="006D2D94" w:rsidRDefault="00611838">
            <w:pPr>
              <w:pStyle w:val="ARGrantstabletextright"/>
              <w:rPr>
                <w:b/>
                <w:bCs/>
                <w:color w:val="000000"/>
              </w:rPr>
            </w:pPr>
            <w:r w:rsidRPr="006C0079">
              <w:rPr>
                <w:color w:val="000000"/>
              </w:rPr>
              <w:t>170,000</w:t>
            </w:r>
          </w:p>
        </w:tc>
      </w:tr>
      <w:tr w:rsidR="004A2DF7" w:rsidRPr="006D2D94" w14:paraId="2E1785DA" w14:textId="77777777" w:rsidTr="0009574E">
        <w:tc>
          <w:tcPr>
            <w:tcW w:w="3394" w:type="dxa"/>
            <w:noWrap/>
            <w:vAlign w:val="bottom"/>
          </w:tcPr>
          <w:p w14:paraId="2667A6D7" w14:textId="56779CB9" w:rsidR="004A2DF7" w:rsidRPr="006D2D94" w:rsidRDefault="00611838">
            <w:pPr>
              <w:pStyle w:val="ARGrantstabletext"/>
              <w:rPr>
                <w:b/>
                <w:bCs/>
                <w:color w:val="000000"/>
              </w:rPr>
            </w:pPr>
            <w:r w:rsidRPr="006C0079">
              <w:rPr>
                <w:color w:val="000000"/>
              </w:rPr>
              <w:t>Body Safety Australia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17845B8" w14:textId="45C4402C" w:rsidR="004A2DF7" w:rsidRPr="006D2D94" w:rsidRDefault="00611838">
            <w:pPr>
              <w:pStyle w:val="ARGrantstabletextright"/>
              <w:rPr>
                <w:b/>
                <w:bCs/>
                <w:color w:val="000000"/>
              </w:rPr>
            </w:pPr>
            <w:r w:rsidRPr="006C0079">
              <w:rPr>
                <w:color w:val="000000"/>
              </w:rPr>
              <w:t>150,000</w:t>
            </w:r>
          </w:p>
        </w:tc>
      </w:tr>
      <w:tr w:rsidR="004A2DF7" w:rsidRPr="006D2D94" w14:paraId="498E8E1F" w14:textId="77777777" w:rsidTr="0009574E">
        <w:tc>
          <w:tcPr>
            <w:tcW w:w="3394" w:type="dxa"/>
            <w:noWrap/>
            <w:vAlign w:val="bottom"/>
          </w:tcPr>
          <w:p w14:paraId="5776C626" w14:textId="14DE9F18" w:rsidR="004A2DF7" w:rsidRPr="006D2D94" w:rsidRDefault="00611838">
            <w:pPr>
              <w:pStyle w:val="ARGrantstabletext"/>
              <w:rPr>
                <w:b/>
                <w:bCs/>
                <w:color w:val="000000"/>
              </w:rPr>
            </w:pPr>
            <w:r w:rsidRPr="006C0079">
              <w:rPr>
                <w:color w:val="000000"/>
              </w:rPr>
              <w:t>Brotherhood of St Laurence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29C845D" w14:textId="3B8A1DA8" w:rsidR="004A2DF7" w:rsidRPr="006D2D94" w:rsidRDefault="00611838">
            <w:pPr>
              <w:pStyle w:val="ARGrantstabletextright"/>
              <w:rPr>
                <w:b/>
                <w:bCs/>
                <w:color w:val="000000"/>
              </w:rPr>
            </w:pPr>
            <w:r w:rsidRPr="006C0079">
              <w:rPr>
                <w:color w:val="000000"/>
              </w:rPr>
              <w:t>110,000</w:t>
            </w:r>
          </w:p>
        </w:tc>
      </w:tr>
      <w:tr w:rsidR="004A2DF7" w:rsidRPr="006D2D94" w14:paraId="6D6FC79E" w14:textId="77777777" w:rsidTr="0009574E">
        <w:tc>
          <w:tcPr>
            <w:tcW w:w="3394" w:type="dxa"/>
            <w:noWrap/>
            <w:vAlign w:val="bottom"/>
          </w:tcPr>
          <w:p w14:paraId="7CEF06CA" w14:textId="294432E3" w:rsidR="004A2DF7" w:rsidRPr="006D2D94" w:rsidRDefault="00611838">
            <w:pPr>
              <w:pStyle w:val="ARGrantstabletext"/>
              <w:rPr>
                <w:b/>
                <w:bCs/>
                <w:color w:val="000000"/>
              </w:rPr>
            </w:pPr>
            <w:r w:rsidRPr="006C0079">
              <w:rPr>
                <w:color w:val="000000"/>
              </w:rPr>
              <w:t>Buddhist Council of Victoria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8E467D1" w14:textId="75D63A07" w:rsidR="004A2DF7" w:rsidRPr="006D2D94" w:rsidRDefault="00611838">
            <w:pPr>
              <w:pStyle w:val="ARGrantstabletextright"/>
              <w:rPr>
                <w:b/>
                <w:bCs/>
                <w:color w:val="000000"/>
              </w:rPr>
            </w:pPr>
            <w:r w:rsidRPr="006C0079">
              <w:rPr>
                <w:color w:val="000000"/>
              </w:rPr>
              <w:t>50,000</w:t>
            </w:r>
          </w:p>
        </w:tc>
      </w:tr>
      <w:tr w:rsidR="004A2DF7" w:rsidRPr="006D2D94" w14:paraId="6F55DB77" w14:textId="77777777" w:rsidTr="0009574E">
        <w:tc>
          <w:tcPr>
            <w:tcW w:w="3394" w:type="dxa"/>
            <w:noWrap/>
            <w:vAlign w:val="bottom"/>
          </w:tcPr>
          <w:p w14:paraId="7449DAA0" w14:textId="62FF76E6" w:rsidR="004A2DF7" w:rsidRPr="006D2D94" w:rsidRDefault="00611838">
            <w:pPr>
              <w:pStyle w:val="ARGrantstabletext"/>
              <w:rPr>
                <w:b/>
                <w:bCs/>
                <w:color w:val="000000"/>
              </w:rPr>
            </w:pPr>
            <w:r w:rsidRPr="006C0079">
              <w:rPr>
                <w:color w:val="000000"/>
              </w:rPr>
              <w:t>Centre Against Sexual Assault Central</w:t>
            </w:r>
            <w:r w:rsidR="0009574E">
              <w:rPr>
                <w:color w:val="000000"/>
              </w:rPr>
              <w:t> </w:t>
            </w:r>
            <w:r w:rsidRPr="006C0079">
              <w:rPr>
                <w:color w:val="000000"/>
              </w:rPr>
              <w:t>Victoria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055316C" w14:textId="76AA32CE" w:rsidR="004A2DF7" w:rsidRPr="006D2D94" w:rsidRDefault="00611838">
            <w:pPr>
              <w:pStyle w:val="ARGrantstabletextright"/>
              <w:rPr>
                <w:b/>
                <w:bCs/>
                <w:color w:val="000000"/>
              </w:rPr>
            </w:pPr>
            <w:r w:rsidRPr="006C0079">
              <w:rPr>
                <w:color w:val="000000"/>
              </w:rPr>
              <w:t>150,000</w:t>
            </w:r>
          </w:p>
        </w:tc>
      </w:tr>
      <w:tr w:rsidR="004A2DF7" w:rsidRPr="006D2D94" w14:paraId="553E9050" w14:textId="77777777" w:rsidTr="0009574E">
        <w:tc>
          <w:tcPr>
            <w:tcW w:w="3394" w:type="dxa"/>
            <w:noWrap/>
            <w:vAlign w:val="bottom"/>
          </w:tcPr>
          <w:p w14:paraId="4BD15F43" w14:textId="7A6C0F1B" w:rsidR="004A2DF7" w:rsidRPr="006D2D94" w:rsidRDefault="00611838">
            <w:pPr>
              <w:pStyle w:val="ARGrantstabletext"/>
              <w:rPr>
                <w:b/>
                <w:bCs/>
                <w:color w:val="000000"/>
              </w:rPr>
            </w:pPr>
            <w:r w:rsidRPr="006C0079">
              <w:rPr>
                <w:color w:val="000000"/>
              </w:rPr>
              <w:t>Centre for Multicultural Youth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A407112" w14:textId="1E8C6BD5" w:rsidR="004A2DF7" w:rsidRPr="006D2D94" w:rsidRDefault="00611838">
            <w:pPr>
              <w:pStyle w:val="ARGrantstabletextright"/>
              <w:rPr>
                <w:b/>
                <w:bCs/>
                <w:color w:val="000000"/>
              </w:rPr>
            </w:pPr>
            <w:r w:rsidRPr="006C0079">
              <w:rPr>
                <w:color w:val="000000"/>
              </w:rPr>
              <w:t>280,000</w:t>
            </w:r>
          </w:p>
        </w:tc>
      </w:tr>
      <w:tr w:rsidR="004A2DF7" w:rsidRPr="006D2D94" w14:paraId="501B19F6" w14:textId="77777777" w:rsidTr="0009574E">
        <w:tc>
          <w:tcPr>
            <w:tcW w:w="3394" w:type="dxa"/>
            <w:noWrap/>
            <w:vAlign w:val="bottom"/>
          </w:tcPr>
          <w:p w14:paraId="5C331F8F" w14:textId="4532D229" w:rsidR="004A2DF7" w:rsidRPr="006D2D94" w:rsidRDefault="00611838">
            <w:pPr>
              <w:pStyle w:val="ARGrantstabletext"/>
              <w:rPr>
                <w:b/>
                <w:bCs/>
                <w:color w:val="000000"/>
              </w:rPr>
            </w:pPr>
            <w:r w:rsidRPr="006C0079">
              <w:rPr>
                <w:color w:val="000000"/>
              </w:rPr>
              <w:t>Community Abundance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04E8A44" w14:textId="17BF7918" w:rsidR="004A2DF7" w:rsidRPr="006D2D94" w:rsidRDefault="00611838">
            <w:pPr>
              <w:pStyle w:val="ARGrantstabletextright"/>
              <w:rPr>
                <w:b/>
                <w:bCs/>
                <w:color w:val="000000"/>
              </w:rPr>
            </w:pPr>
            <w:r w:rsidRPr="006C0079">
              <w:rPr>
                <w:color w:val="000000"/>
              </w:rPr>
              <w:t>70,000</w:t>
            </w:r>
          </w:p>
        </w:tc>
      </w:tr>
      <w:tr w:rsidR="004A2DF7" w:rsidRPr="006D2D94" w14:paraId="2A250008" w14:textId="77777777" w:rsidTr="0009574E">
        <w:tc>
          <w:tcPr>
            <w:tcW w:w="3394" w:type="dxa"/>
            <w:noWrap/>
            <w:vAlign w:val="bottom"/>
          </w:tcPr>
          <w:p w14:paraId="3ABFC23E" w14:textId="279544A5" w:rsidR="004A2DF7" w:rsidRPr="006D2D94" w:rsidRDefault="00611838">
            <w:pPr>
              <w:pStyle w:val="ARGrantstabletext"/>
              <w:rPr>
                <w:b/>
                <w:bCs/>
                <w:color w:val="000000"/>
              </w:rPr>
            </w:pPr>
            <w:r w:rsidRPr="006C0079">
              <w:rPr>
                <w:color w:val="000000"/>
              </w:rPr>
              <w:t>Cultura (Multicultural Community Services Geelong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98B9020" w14:textId="247726E4" w:rsidR="004A2DF7" w:rsidRPr="006D2D94" w:rsidRDefault="00611838">
            <w:pPr>
              <w:pStyle w:val="ARGrantstabletextright"/>
              <w:rPr>
                <w:b/>
                <w:bCs/>
                <w:color w:val="000000"/>
              </w:rPr>
            </w:pPr>
            <w:r w:rsidRPr="006C0079">
              <w:rPr>
                <w:color w:val="000000"/>
              </w:rPr>
              <w:t>620,000</w:t>
            </w:r>
          </w:p>
        </w:tc>
      </w:tr>
      <w:tr w:rsidR="004A2DF7" w:rsidRPr="006D2D94" w14:paraId="3EC82B84" w14:textId="77777777" w:rsidTr="0009574E">
        <w:tc>
          <w:tcPr>
            <w:tcW w:w="3394" w:type="dxa"/>
            <w:noWrap/>
            <w:vAlign w:val="bottom"/>
          </w:tcPr>
          <w:p w14:paraId="687EF5AA" w14:textId="05EF6E70" w:rsidR="004A2DF7" w:rsidRPr="006D2D94" w:rsidRDefault="00611838">
            <w:pPr>
              <w:pStyle w:val="ARGrantstabletext"/>
              <w:rPr>
                <w:b/>
                <w:bCs/>
                <w:color w:val="000000"/>
              </w:rPr>
            </w:pPr>
            <w:r w:rsidRPr="006C0079">
              <w:rPr>
                <w:color w:val="000000"/>
              </w:rPr>
              <w:t>Drummond Street Services Inc</w:t>
            </w:r>
            <w:r w:rsidR="0013613F">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9A374E4" w14:textId="62F2FAE7" w:rsidR="004A2DF7" w:rsidRPr="006D2D94" w:rsidRDefault="00611838">
            <w:pPr>
              <w:pStyle w:val="ARGrantstabletextright"/>
              <w:rPr>
                <w:b/>
                <w:bCs/>
                <w:color w:val="000000"/>
              </w:rPr>
            </w:pPr>
            <w:r w:rsidRPr="006C0079">
              <w:rPr>
                <w:color w:val="000000"/>
              </w:rPr>
              <w:t>100,000</w:t>
            </w:r>
          </w:p>
        </w:tc>
      </w:tr>
      <w:tr w:rsidR="004A2DF7" w:rsidRPr="006D2D94" w14:paraId="762086A4" w14:textId="77777777" w:rsidTr="0009574E">
        <w:tc>
          <w:tcPr>
            <w:tcW w:w="3394" w:type="dxa"/>
            <w:noWrap/>
            <w:vAlign w:val="bottom"/>
          </w:tcPr>
          <w:p w14:paraId="203A34E1" w14:textId="38545D6E" w:rsidR="004A2DF7" w:rsidRPr="006D2D94" w:rsidRDefault="00611838">
            <w:pPr>
              <w:pStyle w:val="ARGrantstabletext"/>
              <w:rPr>
                <w:b/>
                <w:bCs/>
                <w:color w:val="000000"/>
              </w:rPr>
            </w:pPr>
            <w:r w:rsidRPr="006C0079">
              <w:rPr>
                <w:color w:val="000000"/>
              </w:rPr>
              <w:t>Ethnic Council of Shepparton and District</w:t>
            </w:r>
            <w:r w:rsidR="0009574E">
              <w:rPr>
                <w:color w:val="000000"/>
              </w:rPr>
              <w:t> </w:t>
            </w:r>
            <w:r w:rsidRPr="006C0079">
              <w:rPr>
                <w:color w:val="000000"/>
              </w:rPr>
              <w:t>Inc</w:t>
            </w:r>
            <w:r w:rsidR="0013613F">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40B71FA" w14:textId="22C60DFE" w:rsidR="004A2DF7" w:rsidRPr="006D2D94" w:rsidRDefault="00611838">
            <w:pPr>
              <w:pStyle w:val="ARGrantstabletextright"/>
              <w:rPr>
                <w:b/>
                <w:bCs/>
                <w:color w:val="000000"/>
              </w:rPr>
            </w:pPr>
            <w:r w:rsidRPr="006C0079">
              <w:rPr>
                <w:color w:val="000000"/>
              </w:rPr>
              <w:t>70,000</w:t>
            </w:r>
          </w:p>
        </w:tc>
      </w:tr>
      <w:tr w:rsidR="004A2DF7" w:rsidRPr="006D2D94" w14:paraId="74E52A77" w14:textId="77777777" w:rsidTr="0009574E">
        <w:tc>
          <w:tcPr>
            <w:tcW w:w="3394" w:type="dxa"/>
            <w:noWrap/>
            <w:vAlign w:val="bottom"/>
          </w:tcPr>
          <w:p w14:paraId="58DA4779" w14:textId="23138D3C" w:rsidR="004A2DF7" w:rsidRPr="006D2D94" w:rsidRDefault="00611838">
            <w:pPr>
              <w:pStyle w:val="ARGrantstabletext"/>
              <w:rPr>
                <w:b/>
                <w:bCs/>
                <w:color w:val="000000"/>
              </w:rPr>
            </w:pPr>
            <w:r w:rsidRPr="006C0079">
              <w:rPr>
                <w:color w:val="000000"/>
              </w:rPr>
              <w:t>Gateway Health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8F4DD93" w14:textId="401E06F8" w:rsidR="004A2DF7" w:rsidRPr="006D2D94" w:rsidRDefault="00611838">
            <w:pPr>
              <w:pStyle w:val="ARGrantstabletextright"/>
              <w:rPr>
                <w:b/>
                <w:bCs/>
                <w:color w:val="000000"/>
              </w:rPr>
            </w:pPr>
            <w:r w:rsidRPr="006C0079">
              <w:rPr>
                <w:color w:val="000000"/>
              </w:rPr>
              <w:t>110,000</w:t>
            </w:r>
          </w:p>
        </w:tc>
      </w:tr>
      <w:tr w:rsidR="004A2DF7" w:rsidRPr="006D2D94" w14:paraId="6AA94F4A" w14:textId="77777777" w:rsidTr="0009574E">
        <w:tc>
          <w:tcPr>
            <w:tcW w:w="3394" w:type="dxa"/>
            <w:noWrap/>
            <w:vAlign w:val="bottom"/>
          </w:tcPr>
          <w:p w14:paraId="169AFDCF" w14:textId="0A1BA7C3" w:rsidR="004A2DF7" w:rsidRPr="006D2D94" w:rsidRDefault="00611838">
            <w:pPr>
              <w:pStyle w:val="ARGrantstabletext"/>
              <w:rPr>
                <w:b/>
                <w:bCs/>
                <w:color w:val="000000"/>
              </w:rPr>
            </w:pPr>
            <w:proofErr w:type="spellStart"/>
            <w:r w:rsidRPr="006C0079">
              <w:rPr>
                <w:color w:val="000000"/>
              </w:rPr>
              <w:t>GenWest</w:t>
            </w:r>
            <w:proofErr w:type="spellEnd"/>
            <w:r w:rsidRPr="006C0079">
              <w:rPr>
                <w:color w:val="000000"/>
              </w:rPr>
              <w:t xml:space="preserve"> Inc</w:t>
            </w:r>
            <w:r w:rsidR="0013613F">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307BB4D" w14:textId="66D997F5" w:rsidR="004A2DF7" w:rsidRPr="006D2D94" w:rsidRDefault="00611838">
            <w:pPr>
              <w:pStyle w:val="ARGrantstabletextright"/>
              <w:rPr>
                <w:b/>
                <w:bCs/>
                <w:color w:val="000000"/>
              </w:rPr>
            </w:pPr>
            <w:r w:rsidRPr="006C0079">
              <w:rPr>
                <w:color w:val="000000"/>
              </w:rPr>
              <w:t>265,455</w:t>
            </w:r>
          </w:p>
        </w:tc>
      </w:tr>
      <w:tr w:rsidR="004A2DF7" w:rsidRPr="006D2D94" w14:paraId="1A9BA049" w14:textId="77777777" w:rsidTr="0009574E">
        <w:tc>
          <w:tcPr>
            <w:tcW w:w="3394" w:type="dxa"/>
            <w:noWrap/>
            <w:vAlign w:val="bottom"/>
          </w:tcPr>
          <w:p w14:paraId="7C53AD4F" w14:textId="44A77CA0" w:rsidR="004A2DF7" w:rsidRPr="006D2D94" w:rsidRDefault="00611838">
            <w:pPr>
              <w:pStyle w:val="ARGrantstabletext"/>
              <w:rPr>
                <w:b/>
                <w:bCs/>
                <w:color w:val="000000"/>
              </w:rPr>
            </w:pPr>
            <w:r w:rsidRPr="006C0079">
              <w:rPr>
                <w:color w:val="000000"/>
              </w:rPr>
              <w:t>Gippsland Women's Health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12CB154" w14:textId="6864F22B" w:rsidR="004A2DF7" w:rsidRPr="006D2D94" w:rsidRDefault="00611838">
            <w:pPr>
              <w:pStyle w:val="ARGrantstabletextright"/>
              <w:rPr>
                <w:b/>
                <w:bCs/>
                <w:color w:val="000000"/>
              </w:rPr>
            </w:pPr>
            <w:r w:rsidRPr="006C0079">
              <w:rPr>
                <w:color w:val="000000"/>
              </w:rPr>
              <w:t>265,455</w:t>
            </w:r>
          </w:p>
        </w:tc>
      </w:tr>
      <w:tr w:rsidR="004A2DF7" w:rsidRPr="006D2D94" w14:paraId="5D7E77B4" w14:textId="77777777" w:rsidTr="0009574E">
        <w:tc>
          <w:tcPr>
            <w:tcW w:w="3394" w:type="dxa"/>
            <w:noWrap/>
            <w:vAlign w:val="bottom"/>
          </w:tcPr>
          <w:p w14:paraId="5F60CFE8" w14:textId="03AB58FB" w:rsidR="004A2DF7" w:rsidRPr="006D2D94" w:rsidRDefault="00611838">
            <w:pPr>
              <w:pStyle w:val="ARGrantstabletext"/>
              <w:rPr>
                <w:b/>
                <w:bCs/>
                <w:color w:val="000000"/>
              </w:rPr>
            </w:pPr>
            <w:proofErr w:type="spellStart"/>
            <w:r w:rsidRPr="006C0079">
              <w:rPr>
                <w:color w:val="000000"/>
              </w:rPr>
              <w:t>IndianCare</w:t>
            </w:r>
            <w:proofErr w:type="spellEnd"/>
            <w:r w:rsidRPr="006C0079">
              <w:rPr>
                <w:color w:val="000000"/>
              </w:rPr>
              <w:t xml:space="preserve"> Incorporated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014EABF" w14:textId="5F81443D" w:rsidR="004A2DF7" w:rsidRPr="006D2D94" w:rsidRDefault="00611838">
            <w:pPr>
              <w:pStyle w:val="ARGrantstabletextright"/>
              <w:rPr>
                <w:b/>
                <w:bCs/>
                <w:color w:val="000000"/>
              </w:rPr>
            </w:pPr>
            <w:r w:rsidRPr="006C0079">
              <w:rPr>
                <w:color w:val="000000"/>
              </w:rPr>
              <w:t>80,000</w:t>
            </w:r>
          </w:p>
        </w:tc>
      </w:tr>
      <w:tr w:rsidR="004A2DF7" w:rsidRPr="006D2D94" w14:paraId="27B63A34" w14:textId="77777777" w:rsidTr="0009574E">
        <w:tc>
          <w:tcPr>
            <w:tcW w:w="3394" w:type="dxa"/>
            <w:noWrap/>
            <w:vAlign w:val="bottom"/>
          </w:tcPr>
          <w:p w14:paraId="57C317D2" w14:textId="7D23B4B1" w:rsidR="004A2DF7" w:rsidRPr="006D2D94" w:rsidRDefault="00611838">
            <w:pPr>
              <w:pStyle w:val="ARGrantstabletext"/>
              <w:rPr>
                <w:b/>
                <w:bCs/>
                <w:color w:val="000000"/>
              </w:rPr>
            </w:pPr>
            <w:proofErr w:type="spellStart"/>
            <w:r w:rsidRPr="006C0079">
              <w:rPr>
                <w:color w:val="000000"/>
              </w:rPr>
              <w:t>inTouch</w:t>
            </w:r>
            <w:proofErr w:type="spellEnd"/>
            <w:r w:rsidRPr="006C0079">
              <w:rPr>
                <w:color w:val="000000"/>
              </w:rPr>
              <w:t xml:space="preserve"> Multicultural Centre Against Family Violence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275AE8D" w14:textId="5DD7F704" w:rsidR="004A2DF7" w:rsidRPr="006D2D94" w:rsidRDefault="00611838">
            <w:pPr>
              <w:pStyle w:val="ARGrantstabletextright"/>
              <w:rPr>
                <w:b/>
                <w:bCs/>
                <w:color w:val="000000"/>
              </w:rPr>
            </w:pPr>
            <w:r w:rsidRPr="006C0079">
              <w:rPr>
                <w:color w:val="000000"/>
              </w:rPr>
              <w:t>340,000</w:t>
            </w:r>
          </w:p>
        </w:tc>
      </w:tr>
      <w:tr w:rsidR="004A2DF7" w:rsidRPr="006D2D94" w14:paraId="23E5538B" w14:textId="77777777" w:rsidTr="0009574E">
        <w:tc>
          <w:tcPr>
            <w:tcW w:w="3394" w:type="dxa"/>
            <w:noWrap/>
            <w:vAlign w:val="bottom"/>
          </w:tcPr>
          <w:p w14:paraId="14E3B4C9" w14:textId="412C3316" w:rsidR="004A2DF7" w:rsidRPr="006D2D94" w:rsidRDefault="00611838">
            <w:pPr>
              <w:pStyle w:val="ARGrantstabletext"/>
              <w:rPr>
                <w:b/>
                <w:bCs/>
                <w:color w:val="000000"/>
              </w:rPr>
            </w:pPr>
            <w:r w:rsidRPr="006C0079">
              <w:rPr>
                <w:color w:val="000000"/>
              </w:rPr>
              <w:t>Jesuit Social Services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E9B38F7" w14:textId="57B0BCA4" w:rsidR="004A2DF7" w:rsidRPr="006D2D94" w:rsidRDefault="00611838">
            <w:pPr>
              <w:pStyle w:val="ARGrantstabletextright"/>
              <w:rPr>
                <w:b/>
                <w:bCs/>
                <w:color w:val="000000"/>
              </w:rPr>
            </w:pPr>
            <w:r w:rsidRPr="006C0079">
              <w:rPr>
                <w:color w:val="000000"/>
              </w:rPr>
              <w:t>670,000</w:t>
            </w:r>
          </w:p>
        </w:tc>
      </w:tr>
      <w:tr w:rsidR="004A2DF7" w:rsidRPr="006D2D94" w14:paraId="305B1273" w14:textId="77777777" w:rsidTr="0009574E">
        <w:tc>
          <w:tcPr>
            <w:tcW w:w="3394" w:type="dxa"/>
            <w:noWrap/>
            <w:vAlign w:val="bottom"/>
          </w:tcPr>
          <w:p w14:paraId="2FC2C00F" w14:textId="3241BDC4" w:rsidR="004A2DF7" w:rsidRPr="006D2D94" w:rsidRDefault="00611838">
            <w:pPr>
              <w:pStyle w:val="ARGrantstabletext"/>
              <w:rPr>
                <w:b/>
                <w:bCs/>
                <w:color w:val="000000"/>
              </w:rPr>
            </w:pPr>
            <w:r w:rsidRPr="006C0079">
              <w:rPr>
                <w:color w:val="000000"/>
              </w:rPr>
              <w:t>Latin Stories Australia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D4EBAA4" w14:textId="1F19C80B" w:rsidR="004A2DF7" w:rsidRPr="006D2D94" w:rsidRDefault="00611838">
            <w:pPr>
              <w:pStyle w:val="ARGrantstabletextright"/>
              <w:rPr>
                <w:b/>
                <w:bCs/>
                <w:color w:val="000000"/>
              </w:rPr>
            </w:pPr>
            <w:r w:rsidRPr="006C0079">
              <w:rPr>
                <w:color w:val="000000"/>
              </w:rPr>
              <w:t>60,000</w:t>
            </w:r>
          </w:p>
        </w:tc>
      </w:tr>
      <w:tr w:rsidR="004A2DF7" w:rsidRPr="006D2D94" w14:paraId="2E686432" w14:textId="77777777" w:rsidTr="0009574E">
        <w:tc>
          <w:tcPr>
            <w:tcW w:w="3394" w:type="dxa"/>
            <w:noWrap/>
            <w:vAlign w:val="bottom"/>
          </w:tcPr>
          <w:p w14:paraId="30DF9CB2" w14:textId="7C689B84" w:rsidR="004A2DF7" w:rsidRPr="006D2D94" w:rsidRDefault="00611838">
            <w:pPr>
              <w:pStyle w:val="ARGrantstabletext"/>
              <w:rPr>
                <w:b/>
                <w:bCs/>
                <w:color w:val="000000"/>
              </w:rPr>
            </w:pPr>
            <w:r w:rsidRPr="006C0079">
              <w:rPr>
                <w:color w:val="000000"/>
              </w:rPr>
              <w:t>Migrant Information Centre (Eastern</w:t>
            </w:r>
            <w:r w:rsidR="0009574E">
              <w:rPr>
                <w:color w:val="000000"/>
              </w:rPr>
              <w:t> </w:t>
            </w:r>
            <w:r w:rsidRPr="006C0079">
              <w:rPr>
                <w:color w:val="000000"/>
              </w:rPr>
              <w:t>Melbourne)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D8B271E" w14:textId="40CC9E73" w:rsidR="004A2DF7" w:rsidRPr="006D2D94" w:rsidRDefault="00611838">
            <w:pPr>
              <w:pStyle w:val="ARGrantstabletextright"/>
              <w:rPr>
                <w:b/>
                <w:bCs/>
                <w:color w:val="000000"/>
              </w:rPr>
            </w:pPr>
            <w:r w:rsidRPr="006C0079">
              <w:rPr>
                <w:color w:val="000000"/>
              </w:rPr>
              <w:t>510,000</w:t>
            </w:r>
          </w:p>
        </w:tc>
      </w:tr>
      <w:tr w:rsidR="004A2DF7" w:rsidRPr="006D2D94" w14:paraId="696A90ED" w14:textId="77777777" w:rsidTr="0009574E">
        <w:tc>
          <w:tcPr>
            <w:tcW w:w="3394" w:type="dxa"/>
            <w:noWrap/>
            <w:vAlign w:val="bottom"/>
          </w:tcPr>
          <w:p w14:paraId="75D891C6" w14:textId="04E78775" w:rsidR="004A2DF7" w:rsidRPr="006D2D94" w:rsidRDefault="00611838">
            <w:pPr>
              <w:pStyle w:val="ARGrantstabletext"/>
              <w:rPr>
                <w:b/>
                <w:bCs/>
                <w:color w:val="000000"/>
              </w:rPr>
            </w:pPr>
            <w:r w:rsidRPr="006C0079">
              <w:rPr>
                <w:color w:val="000000"/>
              </w:rPr>
              <w:t>Multicultural Centre for Women's Health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05D614D" w14:textId="414459A3" w:rsidR="004A2DF7" w:rsidRPr="006D2D94" w:rsidRDefault="00611838">
            <w:pPr>
              <w:pStyle w:val="ARGrantstabletextright"/>
              <w:rPr>
                <w:b/>
                <w:bCs/>
                <w:color w:val="000000"/>
              </w:rPr>
            </w:pPr>
            <w:r w:rsidRPr="006C0079">
              <w:rPr>
                <w:color w:val="000000"/>
              </w:rPr>
              <w:t>375,455</w:t>
            </w:r>
          </w:p>
        </w:tc>
      </w:tr>
      <w:tr w:rsidR="004A2DF7" w:rsidRPr="006D2D94" w14:paraId="432274AD" w14:textId="77777777" w:rsidTr="0009574E">
        <w:tc>
          <w:tcPr>
            <w:tcW w:w="3394" w:type="dxa"/>
            <w:noWrap/>
            <w:vAlign w:val="bottom"/>
          </w:tcPr>
          <w:p w14:paraId="3846B8A7" w14:textId="762F9CA6" w:rsidR="004A2DF7" w:rsidRPr="006D2D94" w:rsidRDefault="00611838">
            <w:pPr>
              <w:pStyle w:val="ARGrantstabletext"/>
              <w:rPr>
                <w:b/>
                <w:bCs/>
                <w:color w:val="000000"/>
              </w:rPr>
            </w:pPr>
            <w:r w:rsidRPr="006C0079">
              <w:rPr>
                <w:color w:val="000000"/>
              </w:rPr>
              <w:t>Municipal Association of Victoria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C26AF5F" w14:textId="1B9995BA" w:rsidR="004A2DF7" w:rsidRPr="006D2D94" w:rsidRDefault="00611838">
            <w:pPr>
              <w:pStyle w:val="ARGrantstabletextright"/>
              <w:rPr>
                <w:b/>
                <w:bCs/>
                <w:color w:val="000000"/>
              </w:rPr>
            </w:pPr>
            <w:r w:rsidRPr="006C0079">
              <w:rPr>
                <w:color w:val="000000"/>
              </w:rPr>
              <w:t>400,000</w:t>
            </w:r>
          </w:p>
        </w:tc>
      </w:tr>
      <w:tr w:rsidR="004A2DF7" w:rsidRPr="006D2D94" w14:paraId="78C69BCF" w14:textId="77777777" w:rsidTr="0009574E">
        <w:tc>
          <w:tcPr>
            <w:tcW w:w="3394" w:type="dxa"/>
            <w:noWrap/>
            <w:vAlign w:val="bottom"/>
          </w:tcPr>
          <w:p w14:paraId="1BE2EE49" w14:textId="6E11B924" w:rsidR="004A2DF7" w:rsidRPr="006D2D94" w:rsidRDefault="00611838">
            <w:pPr>
              <w:pStyle w:val="ARGrantstabletext"/>
              <w:rPr>
                <w:b/>
                <w:bCs/>
                <w:color w:val="000000"/>
              </w:rPr>
            </w:pPr>
            <w:r w:rsidRPr="006C0079">
              <w:rPr>
                <w:color w:val="000000"/>
              </w:rPr>
              <w:t>Nillumbik Community Health Service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BDC2D66" w14:textId="38F8793D" w:rsidR="004A2DF7" w:rsidRPr="006D2D94" w:rsidRDefault="00611838">
            <w:pPr>
              <w:pStyle w:val="ARGrantstabletextright"/>
              <w:rPr>
                <w:b/>
                <w:bCs/>
                <w:color w:val="000000"/>
              </w:rPr>
            </w:pPr>
            <w:r w:rsidRPr="006C0079">
              <w:rPr>
                <w:color w:val="000000"/>
              </w:rPr>
              <w:t>200,000</w:t>
            </w:r>
          </w:p>
        </w:tc>
      </w:tr>
      <w:tr w:rsidR="004A2DF7" w:rsidRPr="006D2D94" w14:paraId="07DE4F4B" w14:textId="77777777" w:rsidTr="0009574E">
        <w:tc>
          <w:tcPr>
            <w:tcW w:w="3394" w:type="dxa"/>
            <w:noWrap/>
            <w:vAlign w:val="bottom"/>
          </w:tcPr>
          <w:p w14:paraId="76545AD8" w14:textId="2F4FE703" w:rsidR="004A2DF7" w:rsidRPr="006D2D94" w:rsidRDefault="00611838">
            <w:pPr>
              <w:pStyle w:val="ARGrantstabletext"/>
              <w:rPr>
                <w:b/>
                <w:bCs/>
                <w:color w:val="000000"/>
              </w:rPr>
            </w:pPr>
            <w:r w:rsidRPr="006C0079">
              <w:rPr>
                <w:color w:val="000000"/>
              </w:rPr>
              <w:t>Our Watch Limited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D2DFA0C" w14:textId="275E2D5E" w:rsidR="004A2DF7" w:rsidRPr="006D2D94" w:rsidRDefault="00611838">
            <w:pPr>
              <w:pStyle w:val="ARGrantstabletextright"/>
              <w:rPr>
                <w:b/>
                <w:bCs/>
                <w:color w:val="000000"/>
              </w:rPr>
            </w:pPr>
            <w:r w:rsidRPr="006C0079">
              <w:rPr>
                <w:color w:val="000000"/>
              </w:rPr>
              <w:t>100,000</w:t>
            </w:r>
          </w:p>
        </w:tc>
      </w:tr>
      <w:tr w:rsidR="004A2DF7" w:rsidRPr="006D2D94" w14:paraId="38B35DF6" w14:textId="77777777" w:rsidTr="0009574E">
        <w:tc>
          <w:tcPr>
            <w:tcW w:w="3394" w:type="dxa"/>
            <w:noWrap/>
            <w:vAlign w:val="bottom"/>
          </w:tcPr>
          <w:p w14:paraId="769494CF" w14:textId="62FF295E" w:rsidR="004A2DF7" w:rsidRPr="006D2D94" w:rsidRDefault="00611838">
            <w:pPr>
              <w:pStyle w:val="ARGrantstabletext"/>
              <w:rPr>
                <w:b/>
                <w:bCs/>
                <w:color w:val="000000"/>
              </w:rPr>
            </w:pPr>
            <w:r w:rsidRPr="006C0079">
              <w:rPr>
                <w:color w:val="000000"/>
              </w:rPr>
              <w:t>Safe and Equal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D1DBB9D" w14:textId="71E2DA28" w:rsidR="004A2DF7" w:rsidRPr="006D2D94" w:rsidRDefault="00611838">
            <w:pPr>
              <w:pStyle w:val="ARGrantstabletextright"/>
              <w:rPr>
                <w:b/>
                <w:bCs/>
                <w:color w:val="000000"/>
              </w:rPr>
            </w:pPr>
            <w:r w:rsidRPr="006C0079">
              <w:rPr>
                <w:color w:val="000000"/>
              </w:rPr>
              <w:t>815,000</w:t>
            </w:r>
          </w:p>
        </w:tc>
      </w:tr>
      <w:tr w:rsidR="004A2DF7" w:rsidRPr="006D2D94" w14:paraId="49BFB118" w14:textId="77777777" w:rsidTr="0009574E">
        <w:tc>
          <w:tcPr>
            <w:tcW w:w="3394" w:type="dxa"/>
            <w:noWrap/>
            <w:vAlign w:val="bottom"/>
          </w:tcPr>
          <w:p w14:paraId="54287DBC" w14:textId="32917017" w:rsidR="004A2DF7" w:rsidRPr="006D2D94" w:rsidRDefault="00611838">
            <w:pPr>
              <w:pStyle w:val="ARGrantstabletext"/>
              <w:rPr>
                <w:b/>
                <w:bCs/>
                <w:color w:val="000000"/>
              </w:rPr>
            </w:pPr>
            <w:r w:rsidRPr="006C0079">
              <w:rPr>
                <w:color w:val="000000"/>
              </w:rPr>
              <w:t>Safe Steps Family Violence Response</w:t>
            </w:r>
            <w:r w:rsidR="0009574E">
              <w:rPr>
                <w:color w:val="000000"/>
              </w:rPr>
              <w:t> </w:t>
            </w:r>
            <w:r w:rsidRPr="006C0079">
              <w:rPr>
                <w:color w:val="000000"/>
              </w:rPr>
              <w:t>Centre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06C6732" w14:textId="4AEA1B0C" w:rsidR="004A2DF7" w:rsidRPr="006D2D94" w:rsidRDefault="00611838">
            <w:pPr>
              <w:pStyle w:val="ARGrantstabletextright"/>
              <w:rPr>
                <w:b/>
                <w:bCs/>
                <w:color w:val="000000"/>
              </w:rPr>
            </w:pPr>
            <w:r w:rsidRPr="006C0079">
              <w:rPr>
                <w:color w:val="000000"/>
              </w:rPr>
              <w:t>170,000</w:t>
            </w:r>
          </w:p>
        </w:tc>
      </w:tr>
      <w:tr w:rsidR="004A2DF7" w:rsidRPr="006D2D94" w14:paraId="48D8F229" w14:textId="77777777" w:rsidTr="0009574E">
        <w:tc>
          <w:tcPr>
            <w:tcW w:w="3394" w:type="dxa"/>
            <w:noWrap/>
            <w:vAlign w:val="bottom"/>
          </w:tcPr>
          <w:p w14:paraId="59F9CDF1" w14:textId="121C8A68" w:rsidR="004A2DF7" w:rsidRPr="006D2D94" w:rsidRDefault="00611838">
            <w:pPr>
              <w:pStyle w:val="ARGrantstabletext"/>
              <w:rPr>
                <w:b/>
                <w:bCs/>
                <w:color w:val="000000"/>
              </w:rPr>
            </w:pPr>
            <w:r w:rsidRPr="006C0079">
              <w:rPr>
                <w:color w:val="000000"/>
              </w:rPr>
              <w:t>Sexual Assault Services Victoria (</w:t>
            </w:r>
            <w:proofErr w:type="spellStart"/>
            <w:r w:rsidRPr="006C0079">
              <w:rPr>
                <w:color w:val="000000"/>
              </w:rPr>
              <w:t>SASVic</w:t>
            </w:r>
            <w:proofErr w:type="spellEnd"/>
            <w:r w:rsidRPr="006C0079">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F5E89CA" w14:textId="6BF67299" w:rsidR="004A2DF7" w:rsidRPr="006D2D94" w:rsidRDefault="00611838">
            <w:pPr>
              <w:pStyle w:val="ARGrantstabletextright"/>
              <w:rPr>
                <w:b/>
                <w:bCs/>
                <w:color w:val="000000"/>
              </w:rPr>
            </w:pPr>
            <w:r w:rsidRPr="006C0079">
              <w:rPr>
                <w:color w:val="000000"/>
              </w:rPr>
              <w:t>220,000</w:t>
            </w:r>
          </w:p>
        </w:tc>
      </w:tr>
      <w:tr w:rsidR="004A2DF7" w:rsidRPr="006D2D94" w14:paraId="61237E6D" w14:textId="77777777" w:rsidTr="0009574E">
        <w:tc>
          <w:tcPr>
            <w:tcW w:w="3394" w:type="dxa"/>
            <w:noWrap/>
            <w:vAlign w:val="bottom"/>
          </w:tcPr>
          <w:p w14:paraId="45CED853" w14:textId="689747F9" w:rsidR="004A2DF7" w:rsidRPr="006D2D94" w:rsidRDefault="00611838">
            <w:pPr>
              <w:pStyle w:val="ARGrantstabletext"/>
              <w:rPr>
                <w:b/>
                <w:bCs/>
                <w:color w:val="000000"/>
              </w:rPr>
            </w:pPr>
            <w:r w:rsidRPr="006C0079">
              <w:rPr>
                <w:color w:val="000000"/>
              </w:rPr>
              <w:t>Sexual Health Victoria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B4DC24B" w14:textId="0EB106FC" w:rsidR="004A2DF7" w:rsidRPr="006D2D94" w:rsidRDefault="00611838">
            <w:pPr>
              <w:pStyle w:val="ARGrantstabletextright"/>
              <w:rPr>
                <w:b/>
                <w:bCs/>
                <w:color w:val="000000"/>
              </w:rPr>
            </w:pPr>
            <w:r w:rsidRPr="006C0079">
              <w:rPr>
                <w:color w:val="000000"/>
              </w:rPr>
              <w:t>150,000</w:t>
            </w:r>
          </w:p>
        </w:tc>
      </w:tr>
      <w:tr w:rsidR="004A2DF7" w:rsidRPr="006D2D94" w14:paraId="6D203E8A" w14:textId="77777777" w:rsidTr="0009574E">
        <w:tc>
          <w:tcPr>
            <w:tcW w:w="3394" w:type="dxa"/>
            <w:noWrap/>
            <w:vAlign w:val="bottom"/>
          </w:tcPr>
          <w:p w14:paraId="29B60ADE" w14:textId="386597C3" w:rsidR="004A2DF7" w:rsidRPr="006D2D94" w:rsidRDefault="00611838">
            <w:pPr>
              <w:pStyle w:val="ARGrantstabletext"/>
              <w:rPr>
                <w:b/>
                <w:bCs/>
                <w:color w:val="000000"/>
              </w:rPr>
            </w:pPr>
            <w:proofErr w:type="gramStart"/>
            <w:r w:rsidRPr="006C0079">
              <w:rPr>
                <w:color w:val="000000"/>
              </w:rPr>
              <w:t>South East</w:t>
            </w:r>
            <w:proofErr w:type="gramEnd"/>
            <w:r w:rsidRPr="006C0079">
              <w:rPr>
                <w:color w:val="000000"/>
              </w:rPr>
              <w:t xml:space="preserve"> Community Links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7CBB65F" w14:textId="2C7BDFBE" w:rsidR="004A2DF7" w:rsidRPr="006D2D94" w:rsidRDefault="00611838">
            <w:pPr>
              <w:pStyle w:val="ARGrantstabletextright"/>
              <w:rPr>
                <w:b/>
                <w:bCs/>
                <w:color w:val="000000"/>
              </w:rPr>
            </w:pPr>
            <w:r w:rsidRPr="006C0079">
              <w:rPr>
                <w:color w:val="000000"/>
              </w:rPr>
              <w:t>450,000</w:t>
            </w:r>
          </w:p>
        </w:tc>
      </w:tr>
      <w:tr w:rsidR="004A2DF7" w:rsidRPr="006D2D94" w14:paraId="3F72ECAD" w14:textId="77777777" w:rsidTr="0009574E">
        <w:tc>
          <w:tcPr>
            <w:tcW w:w="3394" w:type="dxa"/>
            <w:tcBorders>
              <w:bottom w:val="single" w:sz="4" w:space="0" w:color="A6A6A6" w:themeColor="accent5"/>
            </w:tcBorders>
            <w:noWrap/>
            <w:vAlign w:val="bottom"/>
          </w:tcPr>
          <w:p w14:paraId="090C20C8" w14:textId="60B91F37" w:rsidR="004A2DF7" w:rsidRPr="006D2D94" w:rsidRDefault="00611838">
            <w:pPr>
              <w:pStyle w:val="ARGrantstabletext"/>
              <w:rPr>
                <w:b/>
                <w:bCs/>
                <w:color w:val="000000"/>
              </w:rPr>
            </w:pPr>
            <w:r w:rsidRPr="006C0079">
              <w:rPr>
                <w:color w:val="000000"/>
              </w:rPr>
              <w:t>Sunraysia Mallee Ethnic Communities</w:t>
            </w:r>
            <w:r w:rsidR="0009574E">
              <w:rPr>
                <w:color w:val="000000"/>
              </w:rPr>
              <w:t> </w:t>
            </w:r>
            <w:r w:rsidRPr="006C0079">
              <w:rPr>
                <w:color w:val="000000"/>
              </w:rPr>
              <w:t>Council</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31525AD2" w14:textId="5D44B0D4" w:rsidR="004A2DF7" w:rsidRPr="006D2D94" w:rsidRDefault="00611838">
            <w:pPr>
              <w:pStyle w:val="ARGrantstabletextright"/>
              <w:rPr>
                <w:b/>
                <w:bCs/>
                <w:color w:val="000000"/>
              </w:rPr>
            </w:pPr>
            <w:r w:rsidRPr="006C0079">
              <w:rPr>
                <w:color w:val="000000"/>
              </w:rPr>
              <w:t>340,000</w:t>
            </w:r>
          </w:p>
        </w:tc>
      </w:tr>
      <w:tr w:rsidR="004A2DF7" w:rsidRPr="006D2D94" w14:paraId="598B08C7" w14:textId="77777777" w:rsidTr="0009574E">
        <w:tc>
          <w:tcPr>
            <w:tcW w:w="3394" w:type="dxa"/>
            <w:tcBorders>
              <w:top w:val="single" w:sz="4" w:space="0" w:color="A6A6A6" w:themeColor="accent5"/>
              <w:bottom w:val="single" w:sz="4" w:space="0" w:color="A6A6A6" w:themeColor="accent5"/>
            </w:tcBorders>
            <w:noWrap/>
            <w:vAlign w:val="bottom"/>
          </w:tcPr>
          <w:p w14:paraId="36EE8024" w14:textId="40A5FC9E" w:rsidR="004A2DF7" w:rsidRPr="006D2D94" w:rsidRDefault="00611838">
            <w:pPr>
              <w:pStyle w:val="ARGrantstabletext"/>
              <w:rPr>
                <w:b/>
                <w:bCs/>
                <w:color w:val="000000"/>
              </w:rPr>
            </w:pPr>
            <w:r w:rsidRPr="006C0079">
              <w:rPr>
                <w:color w:val="000000"/>
              </w:rPr>
              <w:t>The Man Cave Pty Ltd</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76B6B001" w14:textId="5A05E11E" w:rsidR="004A2DF7" w:rsidRPr="006D2D94" w:rsidRDefault="00611838">
            <w:pPr>
              <w:pStyle w:val="ARGrantstabletextright"/>
              <w:rPr>
                <w:b/>
                <w:bCs/>
                <w:color w:val="000000"/>
              </w:rPr>
            </w:pPr>
            <w:r w:rsidRPr="006C0079">
              <w:rPr>
                <w:color w:val="000000"/>
              </w:rPr>
              <w:t>150,000</w:t>
            </w:r>
          </w:p>
        </w:tc>
      </w:tr>
      <w:tr w:rsidR="004A2DF7" w:rsidRPr="006D2D94" w14:paraId="3475B904" w14:textId="77777777" w:rsidTr="00F90BC7">
        <w:tc>
          <w:tcPr>
            <w:tcW w:w="3394" w:type="dxa"/>
            <w:tcBorders>
              <w:top w:val="single" w:sz="4" w:space="0" w:color="A6A6A6" w:themeColor="accent5"/>
              <w:bottom w:val="single" w:sz="4" w:space="0" w:color="A6A6A6" w:themeColor="accent5"/>
            </w:tcBorders>
            <w:noWrap/>
            <w:vAlign w:val="bottom"/>
          </w:tcPr>
          <w:p w14:paraId="45DCA238" w14:textId="3AD9182F" w:rsidR="004A2DF7" w:rsidRPr="006D2D94" w:rsidRDefault="00611838">
            <w:pPr>
              <w:pStyle w:val="ARGrantstabletext"/>
              <w:rPr>
                <w:b/>
                <w:bCs/>
                <w:color w:val="000000"/>
              </w:rPr>
            </w:pPr>
            <w:r w:rsidRPr="006C0079">
              <w:rPr>
                <w:color w:val="000000"/>
              </w:rPr>
              <w:t xml:space="preserve">Victorian Aboriginal Child Care Agency Co-operative </w:t>
            </w:r>
            <w:r w:rsidR="00EA7A42">
              <w:rPr>
                <w:color w:val="000000"/>
              </w:rPr>
              <w:t>Ltd</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3C4815B6" w14:textId="6B5D0182" w:rsidR="004A2DF7" w:rsidRPr="006D2D94" w:rsidRDefault="00611838">
            <w:pPr>
              <w:pStyle w:val="ARGrantstabletextright"/>
              <w:rPr>
                <w:b/>
                <w:bCs/>
                <w:color w:val="000000"/>
              </w:rPr>
            </w:pPr>
            <w:r w:rsidRPr="006C0079">
              <w:rPr>
                <w:color w:val="000000"/>
              </w:rPr>
              <w:t>150,000</w:t>
            </w:r>
          </w:p>
        </w:tc>
      </w:tr>
      <w:tr w:rsidR="004A2DF7" w:rsidRPr="006D2D94" w14:paraId="038F32E5" w14:textId="77777777" w:rsidTr="00F90BC7">
        <w:tc>
          <w:tcPr>
            <w:tcW w:w="3394" w:type="dxa"/>
            <w:tcBorders>
              <w:top w:val="single" w:sz="4" w:space="0" w:color="A6A6A6" w:themeColor="accent5"/>
              <w:bottom w:val="single" w:sz="4" w:space="0" w:color="A6A6A6" w:themeColor="accent5"/>
            </w:tcBorders>
            <w:noWrap/>
            <w:vAlign w:val="bottom"/>
          </w:tcPr>
          <w:p w14:paraId="23479663" w14:textId="6A0FBAFB" w:rsidR="004A2DF7" w:rsidRPr="006D2D94" w:rsidRDefault="00611838">
            <w:pPr>
              <w:pStyle w:val="ARGrantstabletext"/>
              <w:rPr>
                <w:b/>
                <w:bCs/>
                <w:color w:val="000000"/>
              </w:rPr>
            </w:pPr>
            <w:r w:rsidRPr="006C0079">
              <w:rPr>
                <w:color w:val="000000"/>
              </w:rPr>
              <w:t>Victorian Playgroup Association</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0C6115D5" w14:textId="7885189B" w:rsidR="004A2DF7" w:rsidRPr="006D2D94" w:rsidRDefault="00611838">
            <w:pPr>
              <w:pStyle w:val="ARGrantstabletextright"/>
              <w:rPr>
                <w:b/>
                <w:bCs/>
                <w:color w:val="000000"/>
              </w:rPr>
            </w:pPr>
            <w:r w:rsidRPr="006C0079">
              <w:rPr>
                <w:color w:val="000000"/>
              </w:rPr>
              <w:t>180,000</w:t>
            </w:r>
          </w:p>
        </w:tc>
      </w:tr>
      <w:tr w:rsidR="004A2DF7" w:rsidRPr="006D2D94" w14:paraId="7CCB5FCC" w14:textId="77777777" w:rsidTr="00F90BC7">
        <w:tc>
          <w:tcPr>
            <w:tcW w:w="3394" w:type="dxa"/>
            <w:tcBorders>
              <w:top w:val="single" w:sz="4" w:space="0" w:color="A6A6A6" w:themeColor="accent5"/>
            </w:tcBorders>
            <w:noWrap/>
            <w:vAlign w:val="bottom"/>
          </w:tcPr>
          <w:p w14:paraId="27A03C9B" w14:textId="250DE1F4" w:rsidR="004A2DF7" w:rsidRPr="006D2D94" w:rsidRDefault="00611838">
            <w:pPr>
              <w:pStyle w:val="ARGrantstabletext"/>
              <w:rPr>
                <w:b/>
                <w:bCs/>
                <w:color w:val="000000"/>
              </w:rPr>
            </w:pPr>
            <w:r w:rsidRPr="006C0079">
              <w:rPr>
                <w:color w:val="000000"/>
              </w:rPr>
              <w:t>Wellsprings for Women</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4941CFBD" w14:textId="20A219FF" w:rsidR="004A2DF7" w:rsidRPr="006D2D94" w:rsidRDefault="00611838">
            <w:pPr>
              <w:pStyle w:val="ARGrantstabletextright"/>
              <w:rPr>
                <w:b/>
                <w:bCs/>
                <w:color w:val="000000"/>
              </w:rPr>
            </w:pPr>
            <w:r w:rsidRPr="006C0079">
              <w:rPr>
                <w:color w:val="000000"/>
              </w:rPr>
              <w:t>90,000</w:t>
            </w:r>
          </w:p>
        </w:tc>
      </w:tr>
      <w:tr w:rsidR="004A2DF7" w:rsidRPr="006D2D94" w14:paraId="6C7919A6" w14:textId="77777777" w:rsidTr="0009574E">
        <w:tc>
          <w:tcPr>
            <w:tcW w:w="3394" w:type="dxa"/>
            <w:noWrap/>
            <w:vAlign w:val="bottom"/>
          </w:tcPr>
          <w:p w14:paraId="212702A8" w14:textId="05CC02A3" w:rsidR="004A2DF7" w:rsidRPr="006D2D94" w:rsidRDefault="00611838">
            <w:pPr>
              <w:pStyle w:val="ARGrantstabletext"/>
              <w:rPr>
                <w:b/>
                <w:bCs/>
                <w:color w:val="000000"/>
              </w:rPr>
            </w:pPr>
            <w:r w:rsidRPr="006C0079">
              <w:rPr>
                <w:color w:val="000000"/>
              </w:rPr>
              <w:t>Whittlesea Community Connections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09DB015" w14:textId="7E8DE720" w:rsidR="004A2DF7" w:rsidRPr="006D2D94" w:rsidRDefault="00611838">
            <w:pPr>
              <w:pStyle w:val="ARGrantstabletextright"/>
              <w:rPr>
                <w:b/>
                <w:bCs/>
                <w:color w:val="000000"/>
              </w:rPr>
            </w:pPr>
            <w:r w:rsidRPr="006C0079">
              <w:rPr>
                <w:color w:val="000000"/>
              </w:rPr>
              <w:t>280,000</w:t>
            </w:r>
          </w:p>
        </w:tc>
      </w:tr>
      <w:tr w:rsidR="004A2DF7" w:rsidRPr="006D2D94" w14:paraId="0CEBBED5" w14:textId="77777777" w:rsidTr="0009574E">
        <w:tc>
          <w:tcPr>
            <w:tcW w:w="3394" w:type="dxa"/>
            <w:noWrap/>
            <w:vAlign w:val="bottom"/>
          </w:tcPr>
          <w:p w14:paraId="7CD9F79A" w14:textId="73FD8F6A" w:rsidR="004A2DF7" w:rsidRPr="006D2D94" w:rsidRDefault="00611838">
            <w:pPr>
              <w:pStyle w:val="ARGrantstabletext"/>
              <w:rPr>
                <w:b/>
                <w:bCs/>
                <w:color w:val="000000"/>
              </w:rPr>
            </w:pPr>
            <w:r w:rsidRPr="006C0079">
              <w:rPr>
                <w:color w:val="000000"/>
              </w:rPr>
              <w:t>Women with Disabilities Victoria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0FCCA5A" w14:textId="0E6198B3" w:rsidR="004A2DF7" w:rsidRPr="006D2D94" w:rsidRDefault="00611838">
            <w:pPr>
              <w:pStyle w:val="ARGrantstabletextright"/>
              <w:rPr>
                <w:b/>
                <w:bCs/>
                <w:color w:val="000000"/>
              </w:rPr>
            </w:pPr>
            <w:r w:rsidRPr="006C0079">
              <w:rPr>
                <w:color w:val="000000"/>
              </w:rPr>
              <w:t>560,000</w:t>
            </w:r>
          </w:p>
        </w:tc>
      </w:tr>
      <w:tr w:rsidR="004A2DF7" w:rsidRPr="006D2D94" w14:paraId="58E82F4F" w14:textId="77777777" w:rsidTr="0009574E">
        <w:tc>
          <w:tcPr>
            <w:tcW w:w="3394" w:type="dxa"/>
            <w:noWrap/>
            <w:vAlign w:val="bottom"/>
          </w:tcPr>
          <w:p w14:paraId="4B04A694" w14:textId="3581944C" w:rsidR="004A2DF7" w:rsidRPr="006D2D94" w:rsidRDefault="00611838">
            <w:pPr>
              <w:pStyle w:val="ARGrantstabletext"/>
              <w:rPr>
                <w:b/>
                <w:bCs/>
                <w:color w:val="000000"/>
              </w:rPr>
            </w:pPr>
            <w:r w:rsidRPr="006C0079">
              <w:rPr>
                <w:color w:val="000000"/>
              </w:rPr>
              <w:t>Women</w:t>
            </w:r>
            <w:r w:rsidR="00EA7A42">
              <w:rPr>
                <w:color w:val="000000"/>
              </w:rPr>
              <w:t>’</w:t>
            </w:r>
            <w:r w:rsidRPr="006C0079">
              <w:rPr>
                <w:color w:val="000000"/>
              </w:rPr>
              <w:t xml:space="preserve">s Health and Wellbeing Barwon </w:t>
            </w:r>
            <w:proofErr w:type="gramStart"/>
            <w:r w:rsidRPr="006C0079">
              <w:rPr>
                <w:color w:val="000000"/>
              </w:rPr>
              <w:t>South West</w:t>
            </w:r>
            <w:proofErr w:type="gramEnd"/>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C775442" w14:textId="180CB775" w:rsidR="004A2DF7" w:rsidRPr="006D2D94" w:rsidRDefault="00611838">
            <w:pPr>
              <w:pStyle w:val="ARGrantstabletextright"/>
              <w:rPr>
                <w:b/>
                <w:bCs/>
                <w:color w:val="000000"/>
              </w:rPr>
            </w:pPr>
            <w:r w:rsidRPr="006C0079">
              <w:rPr>
                <w:color w:val="000000"/>
              </w:rPr>
              <w:t>265,455</w:t>
            </w:r>
          </w:p>
        </w:tc>
      </w:tr>
      <w:tr w:rsidR="004A2DF7" w:rsidRPr="006D2D94" w14:paraId="62C36A99" w14:textId="77777777" w:rsidTr="0009574E">
        <w:tc>
          <w:tcPr>
            <w:tcW w:w="3394" w:type="dxa"/>
            <w:noWrap/>
            <w:vAlign w:val="bottom"/>
          </w:tcPr>
          <w:p w14:paraId="5E6BC08A" w14:textId="4722FD8D" w:rsidR="004A2DF7" w:rsidRPr="006D2D94" w:rsidRDefault="00611838">
            <w:pPr>
              <w:pStyle w:val="ARGrantstabletext"/>
              <w:rPr>
                <w:b/>
                <w:bCs/>
                <w:color w:val="000000"/>
              </w:rPr>
            </w:pPr>
            <w:r w:rsidRPr="006C0079">
              <w:rPr>
                <w:color w:val="000000"/>
              </w:rPr>
              <w:t>Women</w:t>
            </w:r>
            <w:r w:rsidR="00EA7A42">
              <w:rPr>
                <w:color w:val="000000"/>
              </w:rPr>
              <w:t>’</w:t>
            </w:r>
            <w:r w:rsidRPr="006C0079">
              <w:rPr>
                <w:color w:val="000000"/>
              </w:rPr>
              <w:t>s Health East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6C65BFA" w14:textId="42C6CD2C" w:rsidR="004A2DF7" w:rsidRPr="006D2D94" w:rsidRDefault="00611838">
            <w:pPr>
              <w:pStyle w:val="ARGrantstabletextright"/>
              <w:rPr>
                <w:b/>
                <w:bCs/>
                <w:color w:val="000000"/>
              </w:rPr>
            </w:pPr>
            <w:r w:rsidRPr="006C0079">
              <w:rPr>
                <w:color w:val="000000"/>
              </w:rPr>
              <w:t>415,455</w:t>
            </w:r>
          </w:p>
        </w:tc>
      </w:tr>
      <w:tr w:rsidR="004A2DF7" w:rsidRPr="006D2D94" w14:paraId="0C8ADF95" w14:textId="77777777" w:rsidTr="0009574E">
        <w:tc>
          <w:tcPr>
            <w:tcW w:w="3394" w:type="dxa"/>
            <w:tcBorders>
              <w:bottom w:val="single" w:sz="4" w:space="0" w:color="A6A6A6" w:themeColor="accent5"/>
            </w:tcBorders>
            <w:noWrap/>
            <w:vAlign w:val="bottom"/>
          </w:tcPr>
          <w:p w14:paraId="7DDD552E" w14:textId="2465F12D" w:rsidR="004A2DF7" w:rsidRPr="006D2D94" w:rsidRDefault="00611838">
            <w:pPr>
              <w:pStyle w:val="ARGrantstabletext"/>
              <w:rPr>
                <w:b/>
                <w:bCs/>
                <w:color w:val="000000"/>
              </w:rPr>
            </w:pPr>
            <w:r w:rsidRPr="006C0079">
              <w:rPr>
                <w:color w:val="000000"/>
              </w:rPr>
              <w:t>Women</w:t>
            </w:r>
            <w:r w:rsidR="00EA7A42">
              <w:rPr>
                <w:color w:val="000000"/>
              </w:rPr>
              <w:t>’</w:t>
            </w:r>
            <w:r w:rsidRPr="006C0079">
              <w:rPr>
                <w:color w:val="000000"/>
              </w:rPr>
              <w:t xml:space="preserve">s Health Goulburn </w:t>
            </w:r>
            <w:proofErr w:type="gramStart"/>
            <w:r w:rsidRPr="006C0079">
              <w:rPr>
                <w:color w:val="000000"/>
              </w:rPr>
              <w:t>North East</w:t>
            </w:r>
            <w:proofErr w:type="gramEnd"/>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2F19D19A" w14:textId="788CA82D" w:rsidR="004A2DF7" w:rsidRPr="006D2D94" w:rsidRDefault="00611838">
            <w:pPr>
              <w:pStyle w:val="ARGrantstabletextright"/>
              <w:rPr>
                <w:b/>
                <w:bCs/>
                <w:color w:val="000000"/>
              </w:rPr>
            </w:pPr>
            <w:r w:rsidRPr="006C0079">
              <w:rPr>
                <w:color w:val="000000"/>
              </w:rPr>
              <w:t>265,455</w:t>
            </w:r>
          </w:p>
        </w:tc>
      </w:tr>
      <w:tr w:rsidR="004A2DF7" w:rsidRPr="006D2D94" w14:paraId="228F9681" w14:textId="77777777" w:rsidTr="0009574E">
        <w:tc>
          <w:tcPr>
            <w:tcW w:w="3394" w:type="dxa"/>
            <w:tcBorders>
              <w:top w:val="single" w:sz="4" w:space="0" w:color="A6A6A6" w:themeColor="accent5"/>
              <w:bottom w:val="single" w:sz="4" w:space="0" w:color="A6A6A6" w:themeColor="accent5"/>
            </w:tcBorders>
            <w:noWrap/>
            <w:vAlign w:val="bottom"/>
          </w:tcPr>
          <w:p w14:paraId="46B01A6A" w14:textId="75E214D9" w:rsidR="004A2DF7" w:rsidRPr="006D2D94" w:rsidRDefault="00611838">
            <w:pPr>
              <w:pStyle w:val="ARGrantstabletext"/>
              <w:rPr>
                <w:b/>
                <w:bCs/>
                <w:color w:val="000000"/>
              </w:rPr>
            </w:pPr>
            <w:r w:rsidRPr="006C0079">
              <w:rPr>
                <w:color w:val="000000"/>
              </w:rPr>
              <w:t>Women</w:t>
            </w:r>
            <w:r w:rsidR="00EA7A42">
              <w:rPr>
                <w:color w:val="000000"/>
              </w:rPr>
              <w:t>’</w:t>
            </w:r>
            <w:r w:rsidRPr="006C0079">
              <w:rPr>
                <w:color w:val="000000"/>
              </w:rPr>
              <w:t>s Health Grampians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6CF232B1" w14:textId="36CBB774" w:rsidR="004A2DF7" w:rsidRPr="006D2D94" w:rsidRDefault="00611838">
            <w:pPr>
              <w:pStyle w:val="ARGrantstabletextright"/>
              <w:rPr>
                <w:b/>
                <w:bCs/>
                <w:color w:val="000000"/>
              </w:rPr>
            </w:pPr>
            <w:r w:rsidRPr="006C0079">
              <w:rPr>
                <w:color w:val="000000"/>
              </w:rPr>
              <w:t>265,455</w:t>
            </w:r>
          </w:p>
        </w:tc>
      </w:tr>
      <w:tr w:rsidR="004A2DF7" w:rsidRPr="006D2D94" w14:paraId="52C2BFE9" w14:textId="77777777" w:rsidTr="0009574E">
        <w:tc>
          <w:tcPr>
            <w:tcW w:w="3394" w:type="dxa"/>
            <w:tcBorders>
              <w:top w:val="single" w:sz="4" w:space="0" w:color="A6A6A6" w:themeColor="accent5"/>
              <w:bottom w:val="single" w:sz="4" w:space="0" w:color="A6A6A6" w:themeColor="accent5"/>
            </w:tcBorders>
            <w:noWrap/>
            <w:vAlign w:val="bottom"/>
          </w:tcPr>
          <w:p w14:paraId="798DA368" w14:textId="7D46D04D" w:rsidR="004A2DF7" w:rsidRPr="006D2D94" w:rsidRDefault="00611838">
            <w:pPr>
              <w:pStyle w:val="ARGrantstabletext"/>
              <w:rPr>
                <w:b/>
                <w:bCs/>
                <w:color w:val="000000"/>
              </w:rPr>
            </w:pPr>
            <w:r w:rsidRPr="006C0079">
              <w:rPr>
                <w:color w:val="000000"/>
              </w:rPr>
              <w:t>Women</w:t>
            </w:r>
            <w:r w:rsidR="00EA7A42">
              <w:rPr>
                <w:color w:val="000000"/>
              </w:rPr>
              <w:t>’</w:t>
            </w:r>
            <w:r w:rsidRPr="006C0079">
              <w:rPr>
                <w:color w:val="000000"/>
              </w:rPr>
              <w:t xml:space="preserve">s Health </w:t>
            </w:r>
            <w:proofErr w:type="gramStart"/>
            <w:r w:rsidRPr="006C0079">
              <w:rPr>
                <w:color w:val="000000"/>
              </w:rPr>
              <w:t>In</w:t>
            </w:r>
            <w:proofErr w:type="gramEnd"/>
            <w:r w:rsidRPr="006C0079">
              <w:rPr>
                <w:color w:val="000000"/>
              </w:rPr>
              <w:t xml:space="preserve"> the North</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49C2D719" w14:textId="67D52327" w:rsidR="004A2DF7" w:rsidRPr="006D2D94" w:rsidRDefault="00611838">
            <w:pPr>
              <w:pStyle w:val="ARGrantstabletextright"/>
              <w:rPr>
                <w:b/>
                <w:bCs/>
                <w:color w:val="000000"/>
              </w:rPr>
            </w:pPr>
            <w:r w:rsidRPr="006C0079">
              <w:rPr>
                <w:color w:val="000000"/>
              </w:rPr>
              <w:t>415,455</w:t>
            </w:r>
          </w:p>
        </w:tc>
      </w:tr>
      <w:tr w:rsidR="004A2DF7" w:rsidRPr="006D2D94" w14:paraId="7BC13FA6" w14:textId="77777777" w:rsidTr="0009574E">
        <w:tc>
          <w:tcPr>
            <w:tcW w:w="3394" w:type="dxa"/>
            <w:tcBorders>
              <w:top w:val="single" w:sz="4" w:space="0" w:color="A6A6A6" w:themeColor="accent5"/>
              <w:bottom w:val="single" w:sz="4" w:space="0" w:color="A6A6A6" w:themeColor="accent5"/>
            </w:tcBorders>
            <w:noWrap/>
            <w:vAlign w:val="bottom"/>
          </w:tcPr>
          <w:p w14:paraId="144921B8" w14:textId="20B20366" w:rsidR="004A2DF7" w:rsidRPr="006D2D94" w:rsidRDefault="00611838">
            <w:pPr>
              <w:pStyle w:val="ARGrantstabletext"/>
              <w:rPr>
                <w:b/>
                <w:bCs/>
                <w:color w:val="000000"/>
              </w:rPr>
            </w:pPr>
            <w:r w:rsidRPr="006C0079">
              <w:rPr>
                <w:color w:val="000000"/>
              </w:rPr>
              <w:t>Women</w:t>
            </w:r>
            <w:r w:rsidR="00EA7A42">
              <w:rPr>
                <w:color w:val="000000"/>
              </w:rPr>
              <w:t>’</w:t>
            </w:r>
            <w:r w:rsidRPr="006C0079">
              <w:rPr>
                <w:color w:val="000000"/>
              </w:rPr>
              <w:t xml:space="preserve">s Health in the </w:t>
            </w:r>
            <w:proofErr w:type="gramStart"/>
            <w:r w:rsidRPr="006C0079">
              <w:rPr>
                <w:color w:val="000000"/>
              </w:rPr>
              <w:t>South East</w:t>
            </w:r>
            <w:proofErr w:type="gramEnd"/>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549F3BAD" w14:textId="3ACE65B6" w:rsidR="004A2DF7" w:rsidRPr="006D2D94" w:rsidRDefault="00611838">
            <w:pPr>
              <w:pStyle w:val="ARGrantstabletextright"/>
              <w:rPr>
                <w:b/>
                <w:bCs/>
                <w:color w:val="000000"/>
              </w:rPr>
            </w:pPr>
            <w:r w:rsidRPr="006C0079">
              <w:rPr>
                <w:color w:val="000000"/>
              </w:rPr>
              <w:t>265,455</w:t>
            </w:r>
          </w:p>
        </w:tc>
      </w:tr>
      <w:tr w:rsidR="004A2DF7" w:rsidRPr="006D2D94" w14:paraId="699D52E0" w14:textId="77777777" w:rsidTr="0009574E">
        <w:tc>
          <w:tcPr>
            <w:tcW w:w="3394" w:type="dxa"/>
            <w:tcBorders>
              <w:top w:val="single" w:sz="4" w:space="0" w:color="A6A6A6" w:themeColor="accent5"/>
            </w:tcBorders>
            <w:noWrap/>
            <w:vAlign w:val="bottom"/>
          </w:tcPr>
          <w:p w14:paraId="3FB3C169" w14:textId="68392968" w:rsidR="004A2DF7" w:rsidRPr="006D2D94" w:rsidRDefault="00611838">
            <w:pPr>
              <w:pStyle w:val="ARGrantstabletext"/>
              <w:rPr>
                <w:b/>
                <w:bCs/>
                <w:color w:val="000000"/>
                <w:spacing w:val="-6"/>
              </w:rPr>
            </w:pPr>
            <w:r w:rsidRPr="006C0079">
              <w:rPr>
                <w:color w:val="000000"/>
              </w:rPr>
              <w:t>Women</w:t>
            </w:r>
            <w:r w:rsidR="00EA7A42">
              <w:rPr>
                <w:color w:val="000000"/>
              </w:rPr>
              <w:t>’</w:t>
            </w:r>
            <w:r w:rsidRPr="006C0079">
              <w:rPr>
                <w:color w:val="000000"/>
              </w:rPr>
              <w:t>s Health Loddon Mallee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6E0FA798" w14:textId="538D293B" w:rsidR="004A2DF7" w:rsidRPr="006D2D94" w:rsidRDefault="00611838">
            <w:pPr>
              <w:pStyle w:val="ARGrantstabletextright"/>
              <w:rPr>
                <w:b/>
                <w:bCs/>
                <w:color w:val="000000"/>
              </w:rPr>
            </w:pPr>
            <w:r w:rsidRPr="006C0079">
              <w:rPr>
                <w:color w:val="000000"/>
              </w:rPr>
              <w:t>265,455</w:t>
            </w:r>
          </w:p>
        </w:tc>
      </w:tr>
      <w:tr w:rsidR="004A2DF7" w:rsidRPr="006D2D94" w14:paraId="36B5C621" w14:textId="77777777" w:rsidTr="0009574E">
        <w:tc>
          <w:tcPr>
            <w:tcW w:w="3394" w:type="dxa"/>
            <w:noWrap/>
            <w:vAlign w:val="bottom"/>
          </w:tcPr>
          <w:p w14:paraId="53814180" w14:textId="73F67450" w:rsidR="004A2DF7" w:rsidRPr="006D2D94" w:rsidRDefault="00611838">
            <w:pPr>
              <w:pStyle w:val="ARGrantstabletext"/>
              <w:rPr>
                <w:b/>
                <w:bCs/>
                <w:color w:val="000000"/>
              </w:rPr>
            </w:pPr>
            <w:r w:rsidRPr="006C0079">
              <w:rPr>
                <w:color w:val="000000"/>
              </w:rPr>
              <w:t>Women</w:t>
            </w:r>
            <w:r w:rsidR="00EA7A42">
              <w:rPr>
                <w:color w:val="000000"/>
              </w:rPr>
              <w:t>’</w:t>
            </w:r>
            <w:r w:rsidRPr="006C0079">
              <w:rPr>
                <w:color w:val="000000"/>
              </w:rPr>
              <w:t>s Health Victoria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0BABB72" w14:textId="10D79E6F" w:rsidR="004A2DF7" w:rsidRPr="006D2D94" w:rsidRDefault="00611838">
            <w:pPr>
              <w:pStyle w:val="ARGrantstabletextright"/>
              <w:rPr>
                <w:b/>
                <w:bCs/>
                <w:color w:val="000000"/>
              </w:rPr>
            </w:pPr>
            <w:r w:rsidRPr="006C0079">
              <w:rPr>
                <w:color w:val="000000"/>
              </w:rPr>
              <w:t>265,455</w:t>
            </w:r>
          </w:p>
        </w:tc>
      </w:tr>
      <w:tr w:rsidR="004A2DF7" w:rsidRPr="006D2D94" w14:paraId="12F379A8" w14:textId="77777777" w:rsidTr="0009574E">
        <w:tc>
          <w:tcPr>
            <w:tcW w:w="3394" w:type="dxa"/>
            <w:noWrap/>
            <w:vAlign w:val="bottom"/>
          </w:tcPr>
          <w:p w14:paraId="767E9EED" w14:textId="50D912BA" w:rsidR="004A2DF7" w:rsidRPr="006D2D94" w:rsidRDefault="00611838">
            <w:pPr>
              <w:pStyle w:val="ARGrantstabletext"/>
              <w:rPr>
                <w:b/>
                <w:bCs/>
                <w:color w:val="000000"/>
              </w:rPr>
            </w:pPr>
            <w:r w:rsidRPr="006C0079">
              <w:rPr>
                <w:color w:val="000000"/>
              </w:rPr>
              <w:t>Young People</w:t>
            </w:r>
            <w:r w:rsidR="00EA7A42">
              <w:rPr>
                <w:color w:val="000000"/>
              </w:rPr>
              <w:t>’</w:t>
            </w:r>
            <w:r w:rsidRPr="006C0079">
              <w:rPr>
                <w:color w:val="000000"/>
              </w:rPr>
              <w:t>s Legal Rights Centre (</w:t>
            </w:r>
            <w:proofErr w:type="spellStart"/>
            <w:r w:rsidRPr="006C0079">
              <w:rPr>
                <w:color w:val="000000"/>
              </w:rPr>
              <w:t>Youthlaw</w:t>
            </w:r>
            <w:proofErr w:type="spellEnd"/>
            <w:r w:rsidRPr="006C0079">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2A3DA1D" w14:textId="1C95DFCD" w:rsidR="004A2DF7" w:rsidRPr="006D2D94" w:rsidRDefault="00611838">
            <w:pPr>
              <w:pStyle w:val="ARGrantstabletextright"/>
              <w:rPr>
                <w:b/>
                <w:bCs/>
                <w:color w:val="000000"/>
              </w:rPr>
            </w:pPr>
            <w:r w:rsidRPr="006C0079">
              <w:rPr>
                <w:color w:val="000000"/>
              </w:rPr>
              <w:t>150,000</w:t>
            </w:r>
          </w:p>
        </w:tc>
      </w:tr>
      <w:tr w:rsidR="004A2DF7" w:rsidRPr="006D2D94" w14:paraId="2D6894F4" w14:textId="77777777" w:rsidTr="0009574E">
        <w:tc>
          <w:tcPr>
            <w:tcW w:w="3394" w:type="dxa"/>
            <w:noWrap/>
            <w:vAlign w:val="bottom"/>
          </w:tcPr>
          <w:p w14:paraId="218EE3E5" w14:textId="270055EF" w:rsidR="004A2DF7" w:rsidRPr="006D2D94" w:rsidRDefault="00611838">
            <w:pPr>
              <w:pStyle w:val="ARGrantstabletext"/>
              <w:rPr>
                <w:b/>
                <w:bCs/>
                <w:color w:val="000000"/>
              </w:rPr>
            </w:pPr>
            <w:r w:rsidRPr="006C0079">
              <w:rPr>
                <w:color w:val="000000"/>
              </w:rPr>
              <w:t>Youth Affairs Council of Victoria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1C99512" w14:textId="63C67658" w:rsidR="004A2DF7" w:rsidRPr="006D2D94" w:rsidRDefault="00611838">
            <w:pPr>
              <w:pStyle w:val="ARGrantstabletextright"/>
              <w:rPr>
                <w:b/>
                <w:bCs/>
                <w:color w:val="000000"/>
              </w:rPr>
            </w:pPr>
            <w:r w:rsidRPr="006C0079">
              <w:rPr>
                <w:color w:val="000000"/>
              </w:rPr>
              <w:t>150,000</w:t>
            </w:r>
          </w:p>
        </w:tc>
      </w:tr>
      <w:tr w:rsidR="004A2DF7" w:rsidRPr="006D2D94" w14:paraId="43E3BCB1" w14:textId="77777777" w:rsidTr="0009574E">
        <w:tc>
          <w:tcPr>
            <w:tcW w:w="3394" w:type="dxa"/>
            <w:noWrap/>
            <w:vAlign w:val="bottom"/>
          </w:tcPr>
          <w:p w14:paraId="20271E13" w14:textId="5F5694B7" w:rsidR="004A2DF7" w:rsidRPr="006D2D94" w:rsidRDefault="00611838">
            <w:pPr>
              <w:pStyle w:val="ARGrantstabletext"/>
              <w:rPr>
                <w:b/>
                <w:bCs/>
                <w:color w:val="000000"/>
              </w:rPr>
            </w:pPr>
            <w:proofErr w:type="spellStart"/>
            <w:r w:rsidRPr="006C0079">
              <w:rPr>
                <w:color w:val="000000"/>
              </w:rPr>
              <w:t>AfriAus</w:t>
            </w:r>
            <w:proofErr w:type="spellEnd"/>
            <w:r w:rsidRPr="006C0079">
              <w:rPr>
                <w:color w:val="000000"/>
              </w:rPr>
              <w:t xml:space="preserve"> </w:t>
            </w:r>
            <w:proofErr w:type="spellStart"/>
            <w:r w:rsidRPr="006C0079">
              <w:rPr>
                <w:color w:val="000000"/>
              </w:rPr>
              <w:t>iLEAC</w:t>
            </w:r>
            <w:proofErr w:type="spellEnd"/>
            <w:r w:rsidRPr="006C0079">
              <w:rPr>
                <w:color w:val="000000"/>
              </w:rPr>
              <w:t xml:space="preserve">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7B989AF" w14:textId="3A969774" w:rsidR="004A2DF7" w:rsidRPr="006D2D94" w:rsidRDefault="00611838">
            <w:pPr>
              <w:pStyle w:val="ARGrantstabletextright"/>
              <w:rPr>
                <w:b/>
                <w:bCs/>
                <w:color w:val="000000"/>
              </w:rPr>
            </w:pPr>
            <w:r w:rsidRPr="006C0079">
              <w:rPr>
                <w:color w:val="000000"/>
              </w:rPr>
              <w:t>60,000</w:t>
            </w:r>
          </w:p>
        </w:tc>
      </w:tr>
      <w:tr w:rsidR="004A2DF7" w:rsidRPr="006D2D94" w14:paraId="3DC55AA6" w14:textId="77777777" w:rsidTr="0009574E">
        <w:tc>
          <w:tcPr>
            <w:tcW w:w="3394" w:type="dxa"/>
            <w:noWrap/>
            <w:vAlign w:val="bottom"/>
          </w:tcPr>
          <w:p w14:paraId="12CA9C09" w14:textId="3E3D0D8A" w:rsidR="004A2DF7" w:rsidRPr="006D2D94" w:rsidRDefault="00611838">
            <w:pPr>
              <w:pStyle w:val="ARGrantstabletext"/>
              <w:rPr>
                <w:b/>
                <w:bCs/>
                <w:color w:val="000000"/>
              </w:rPr>
            </w:pPr>
            <w:r w:rsidRPr="006C0079">
              <w:rPr>
                <w:color w:val="000000"/>
              </w:rPr>
              <w:t>African Family Services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1D0AE8F" w14:textId="473D3D26" w:rsidR="004A2DF7" w:rsidRPr="006D2D94" w:rsidRDefault="00611838">
            <w:pPr>
              <w:pStyle w:val="ARGrantstabletextright"/>
              <w:rPr>
                <w:b/>
                <w:bCs/>
                <w:color w:val="000000"/>
              </w:rPr>
            </w:pPr>
            <w:r w:rsidRPr="006C0079">
              <w:rPr>
                <w:color w:val="000000"/>
              </w:rPr>
              <w:t>250,000</w:t>
            </w:r>
          </w:p>
        </w:tc>
      </w:tr>
      <w:tr w:rsidR="004A2DF7" w:rsidRPr="006D2D94" w14:paraId="737009BE" w14:textId="77777777" w:rsidTr="0009574E">
        <w:tc>
          <w:tcPr>
            <w:tcW w:w="3394" w:type="dxa"/>
            <w:noWrap/>
            <w:vAlign w:val="bottom"/>
          </w:tcPr>
          <w:p w14:paraId="57335CB6" w14:textId="135FC8BA" w:rsidR="004A2DF7" w:rsidRPr="006D2D94" w:rsidRDefault="00611838">
            <w:pPr>
              <w:pStyle w:val="ARGrantstabletext"/>
              <w:rPr>
                <w:b/>
                <w:bCs/>
                <w:color w:val="000000"/>
              </w:rPr>
            </w:pPr>
            <w:r w:rsidRPr="006C0079">
              <w:rPr>
                <w:color w:val="000000"/>
              </w:rPr>
              <w:t>AMES Australia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8788AC1" w14:textId="5CA44CF4" w:rsidR="004A2DF7" w:rsidRPr="006D2D94" w:rsidRDefault="00611838">
            <w:pPr>
              <w:pStyle w:val="ARGrantstabletextright"/>
              <w:rPr>
                <w:b/>
                <w:bCs/>
                <w:color w:val="000000"/>
              </w:rPr>
            </w:pPr>
            <w:r w:rsidRPr="006C0079">
              <w:rPr>
                <w:color w:val="000000"/>
              </w:rPr>
              <w:t>110,000</w:t>
            </w:r>
          </w:p>
        </w:tc>
      </w:tr>
      <w:tr w:rsidR="004A2DF7" w:rsidRPr="006D2D94" w14:paraId="72238EAE" w14:textId="77777777" w:rsidTr="0009574E">
        <w:tc>
          <w:tcPr>
            <w:tcW w:w="3394" w:type="dxa"/>
            <w:noWrap/>
            <w:vAlign w:val="bottom"/>
          </w:tcPr>
          <w:p w14:paraId="2C32B2FD" w14:textId="25C9E3DA" w:rsidR="004A2DF7" w:rsidRPr="006D2D94" w:rsidRDefault="00611838">
            <w:pPr>
              <w:pStyle w:val="ARGrantstabletext"/>
              <w:rPr>
                <w:b/>
                <w:bCs/>
                <w:color w:val="000000"/>
              </w:rPr>
            </w:pPr>
            <w:r w:rsidRPr="006C0079">
              <w:rPr>
                <w:color w:val="000000"/>
              </w:rPr>
              <w:t>Annie North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0095C38" w14:textId="100FA12B" w:rsidR="004A2DF7" w:rsidRPr="006D2D94" w:rsidRDefault="00611838">
            <w:pPr>
              <w:pStyle w:val="ARGrantstabletextright"/>
              <w:rPr>
                <w:b/>
                <w:bCs/>
                <w:color w:val="000000"/>
              </w:rPr>
            </w:pPr>
            <w:r w:rsidRPr="006C0079">
              <w:rPr>
                <w:color w:val="000000"/>
              </w:rPr>
              <w:t>170,000</w:t>
            </w:r>
          </w:p>
        </w:tc>
      </w:tr>
      <w:tr w:rsidR="004A2DF7" w:rsidRPr="006D2D94" w14:paraId="2C2D2BFA" w14:textId="77777777" w:rsidTr="0009574E">
        <w:tc>
          <w:tcPr>
            <w:tcW w:w="3394" w:type="dxa"/>
            <w:noWrap/>
            <w:vAlign w:val="bottom"/>
          </w:tcPr>
          <w:p w14:paraId="5925AE35" w14:textId="42A6A34C" w:rsidR="004A2DF7" w:rsidRPr="006D2D94" w:rsidRDefault="00611838">
            <w:pPr>
              <w:pStyle w:val="ARGrantstabletext"/>
              <w:rPr>
                <w:b/>
                <w:bCs/>
                <w:color w:val="000000"/>
              </w:rPr>
            </w:pPr>
            <w:r w:rsidRPr="006C0079">
              <w:rPr>
                <w:color w:val="000000"/>
              </w:rPr>
              <w:t>Australian Childhood Foundation</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59910FB" w14:textId="0DD368B0" w:rsidR="004A2DF7" w:rsidRPr="006D2D94" w:rsidRDefault="00611838">
            <w:pPr>
              <w:pStyle w:val="ARGrantstabletextright"/>
              <w:rPr>
                <w:b/>
                <w:bCs/>
                <w:color w:val="000000"/>
              </w:rPr>
            </w:pPr>
            <w:r w:rsidRPr="006C0079">
              <w:rPr>
                <w:color w:val="000000"/>
              </w:rPr>
              <w:t>150,000</w:t>
            </w:r>
          </w:p>
        </w:tc>
      </w:tr>
      <w:tr w:rsidR="004A2DF7" w:rsidRPr="006D2D94" w14:paraId="3DE13585" w14:textId="77777777" w:rsidTr="0009574E">
        <w:tc>
          <w:tcPr>
            <w:tcW w:w="3394" w:type="dxa"/>
            <w:noWrap/>
            <w:vAlign w:val="bottom"/>
          </w:tcPr>
          <w:p w14:paraId="5BFCD189" w14:textId="0263E5C2" w:rsidR="004A2DF7" w:rsidRPr="006D2D94" w:rsidRDefault="00611838">
            <w:pPr>
              <w:pStyle w:val="ARGrantstabletext"/>
              <w:rPr>
                <w:b/>
                <w:bCs/>
                <w:color w:val="000000"/>
              </w:rPr>
            </w:pPr>
            <w:r w:rsidRPr="006C0079">
              <w:rPr>
                <w:color w:val="000000"/>
              </w:rPr>
              <w:t>Australian Muslim Women's Centre for Human Rights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CFF6C0F" w14:textId="4D71F155" w:rsidR="004A2DF7" w:rsidRPr="006D2D94" w:rsidRDefault="00611838">
            <w:pPr>
              <w:pStyle w:val="ARGrantstabletextright"/>
              <w:rPr>
                <w:b/>
                <w:bCs/>
                <w:color w:val="000000"/>
              </w:rPr>
            </w:pPr>
            <w:r w:rsidRPr="006C0079">
              <w:rPr>
                <w:color w:val="000000"/>
              </w:rPr>
              <w:t>660,000</w:t>
            </w:r>
          </w:p>
        </w:tc>
      </w:tr>
      <w:tr w:rsidR="004A2DF7" w:rsidRPr="006D2D94" w14:paraId="63CEE012" w14:textId="77777777" w:rsidTr="0009574E">
        <w:trPr>
          <w:cnfStyle w:val="010000000000" w:firstRow="0" w:lastRow="1" w:firstColumn="0" w:lastColumn="0" w:oddVBand="0" w:evenVBand="0" w:oddHBand="0" w:evenHBand="0" w:firstRowFirstColumn="0" w:firstRowLastColumn="0" w:lastRowFirstColumn="0" w:lastRowLastColumn="0"/>
        </w:trPr>
        <w:tc>
          <w:tcPr>
            <w:tcW w:w="3394" w:type="dxa"/>
            <w:noWrap/>
          </w:tcPr>
          <w:p w14:paraId="03CF0065" w14:textId="77777777" w:rsidR="004A2DF7" w:rsidRPr="006D2D94" w:rsidRDefault="004A2DF7">
            <w:pPr>
              <w:pStyle w:val="ARGrantstabletextbold"/>
            </w:pPr>
            <w:r w:rsidRPr="006D2D94">
              <w:t>Total</w:t>
            </w:r>
          </w:p>
        </w:tc>
        <w:tc>
          <w:tcPr>
            <w:cnfStyle w:val="000001000000" w:firstRow="0" w:lastRow="0" w:firstColumn="0" w:lastColumn="0" w:oddVBand="0" w:evenVBand="1" w:oddHBand="0" w:evenHBand="0" w:firstRowFirstColumn="0" w:firstRowLastColumn="0" w:lastRowFirstColumn="0" w:lastRowLastColumn="0"/>
            <w:tcW w:w="1230" w:type="dxa"/>
            <w:noWrap/>
          </w:tcPr>
          <w:p w14:paraId="374EC456" w14:textId="6988A774" w:rsidR="004A2DF7" w:rsidRPr="006D2D94" w:rsidRDefault="004A2DF7">
            <w:pPr>
              <w:pStyle w:val="ARGrantstabletextrightbold"/>
            </w:pPr>
            <w:r w:rsidRPr="006D2D94">
              <w:t>1</w:t>
            </w:r>
            <w:r w:rsidR="00611838">
              <w:t>3</w:t>
            </w:r>
            <w:r w:rsidRPr="006D2D94">
              <w:t>,</w:t>
            </w:r>
            <w:r w:rsidR="00611838">
              <w:t>335</w:t>
            </w:r>
            <w:r w:rsidRPr="006D2D94">
              <w:t>,</w:t>
            </w:r>
            <w:r w:rsidR="00611838">
              <w:t>005</w:t>
            </w:r>
          </w:p>
        </w:tc>
      </w:tr>
    </w:tbl>
    <w:p w14:paraId="127701A9" w14:textId="6E2E5A9E" w:rsidR="004A2DF7" w:rsidRPr="006D2D94" w:rsidRDefault="004A2DF7" w:rsidP="00A26053">
      <w:pPr>
        <w:pStyle w:val="Heading3Grants"/>
      </w:pPr>
      <w:r w:rsidRPr="006D2D94">
        <w:t>Support to Veterans in Victoria</w:t>
      </w:r>
    </w:p>
    <w:tbl>
      <w:tblPr>
        <w:tblStyle w:val="TableGrid"/>
        <w:tblW w:w="5000" w:type="pct"/>
        <w:tblLook w:val="02E0" w:firstRow="1" w:lastRow="1" w:firstColumn="1" w:lastColumn="0" w:noHBand="1" w:noVBand="0"/>
      </w:tblPr>
      <w:tblGrid>
        <w:gridCol w:w="3365"/>
        <w:gridCol w:w="1224"/>
      </w:tblGrid>
      <w:tr w:rsidR="004A2DF7" w:rsidRPr="006D2D94" w14:paraId="23C79B28" w14:textId="77777777" w:rsidTr="0009574E">
        <w:trPr>
          <w:cnfStyle w:val="100000000000" w:firstRow="1" w:lastRow="0" w:firstColumn="0" w:lastColumn="0" w:oddVBand="0" w:evenVBand="0" w:oddHBand="0" w:evenHBand="0" w:firstRowFirstColumn="0" w:firstRowLastColumn="0" w:lastRowFirstColumn="0" w:lastRowLastColumn="0"/>
          <w:tblHeader/>
        </w:trPr>
        <w:tc>
          <w:tcPr>
            <w:tcW w:w="3398" w:type="dxa"/>
            <w:noWrap/>
          </w:tcPr>
          <w:p w14:paraId="7A87722E" w14:textId="77777777" w:rsidR="004A2DF7" w:rsidRPr="00A26053" w:rsidRDefault="004A2DF7" w:rsidP="00A26053">
            <w:pPr>
              <w:pStyle w:val="ARGrantstablecolhead"/>
            </w:pPr>
            <w:r w:rsidRPr="006D2D94">
              <w:t>Organisation</w:t>
            </w:r>
          </w:p>
        </w:tc>
        <w:tc>
          <w:tcPr>
            <w:cnfStyle w:val="000001000000" w:firstRow="0" w:lastRow="0" w:firstColumn="0" w:lastColumn="0" w:oddVBand="0" w:evenVBand="1" w:oddHBand="0" w:evenHBand="0" w:firstRowFirstColumn="0" w:firstRowLastColumn="0" w:lastRowFirstColumn="0" w:lastRowLastColumn="0"/>
            <w:tcW w:w="1230" w:type="dxa"/>
            <w:noWrap/>
          </w:tcPr>
          <w:p w14:paraId="39343AFC" w14:textId="77777777" w:rsidR="004A2DF7" w:rsidRPr="006D2D94" w:rsidRDefault="004A2DF7">
            <w:pPr>
              <w:pStyle w:val="ARGrantstablecolheadright"/>
            </w:pPr>
            <w:r w:rsidRPr="006D2D94">
              <w:t>Payment ($)</w:t>
            </w:r>
          </w:p>
        </w:tc>
      </w:tr>
      <w:tr w:rsidR="004A2DF7" w:rsidRPr="006D2D94" w14:paraId="423569C9" w14:textId="77777777" w:rsidTr="0009574E">
        <w:tc>
          <w:tcPr>
            <w:tcW w:w="3398" w:type="dxa"/>
            <w:noWrap/>
            <w:vAlign w:val="bottom"/>
          </w:tcPr>
          <w:p w14:paraId="3B981D8E" w14:textId="3A8CFBA9" w:rsidR="004A2DF7" w:rsidRPr="006D2D94" w:rsidRDefault="00A35316">
            <w:pPr>
              <w:pStyle w:val="ARGrantstabletext"/>
              <w:rPr>
                <w:bCs/>
                <w:color w:val="000000"/>
              </w:rPr>
            </w:pPr>
            <w:r w:rsidRPr="006C0079">
              <w:rPr>
                <w:color w:val="000000"/>
              </w:rPr>
              <w:t>Adventure Works Australia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5B2AA20" w14:textId="4D9F5929" w:rsidR="004A2DF7" w:rsidRPr="006D2D94" w:rsidRDefault="00A35316">
            <w:pPr>
              <w:pStyle w:val="ARGrantstabletextright"/>
              <w:rPr>
                <w:bCs/>
                <w:color w:val="000000"/>
              </w:rPr>
            </w:pPr>
            <w:r w:rsidRPr="006C0079">
              <w:rPr>
                <w:color w:val="000000"/>
              </w:rPr>
              <w:t>150,000</w:t>
            </w:r>
          </w:p>
        </w:tc>
      </w:tr>
      <w:tr w:rsidR="004A2DF7" w:rsidRPr="006D2D94" w14:paraId="1B5FEF36" w14:textId="77777777" w:rsidTr="0009574E">
        <w:tc>
          <w:tcPr>
            <w:tcW w:w="3398" w:type="dxa"/>
            <w:noWrap/>
            <w:vAlign w:val="bottom"/>
          </w:tcPr>
          <w:p w14:paraId="16282DE5" w14:textId="74269E09" w:rsidR="004A2DF7" w:rsidRPr="006D2D94" w:rsidRDefault="00A35316">
            <w:pPr>
              <w:pStyle w:val="ARGrantstabletext"/>
              <w:rPr>
                <w:bCs/>
                <w:color w:val="000000"/>
              </w:rPr>
            </w:pPr>
            <w:r w:rsidRPr="006C0079">
              <w:rPr>
                <w:color w:val="000000"/>
              </w:rPr>
              <w:t>Ararat Legacy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E7576EC" w14:textId="42894E77" w:rsidR="004A2DF7" w:rsidRPr="006D2D94" w:rsidRDefault="00A35316">
            <w:pPr>
              <w:pStyle w:val="ARGrantstabletextright"/>
              <w:rPr>
                <w:bCs/>
                <w:color w:val="000000"/>
              </w:rPr>
            </w:pPr>
            <w:r w:rsidRPr="006C0079">
              <w:rPr>
                <w:color w:val="000000"/>
              </w:rPr>
              <w:t>4,551</w:t>
            </w:r>
          </w:p>
        </w:tc>
      </w:tr>
      <w:tr w:rsidR="004A2DF7" w:rsidRPr="006D2D94" w14:paraId="037117A9" w14:textId="77777777" w:rsidTr="0009574E">
        <w:tc>
          <w:tcPr>
            <w:tcW w:w="3398" w:type="dxa"/>
            <w:noWrap/>
            <w:vAlign w:val="bottom"/>
          </w:tcPr>
          <w:p w14:paraId="4A68BC4A" w14:textId="28941076" w:rsidR="004A2DF7" w:rsidRPr="006D2D94" w:rsidRDefault="00A35316">
            <w:pPr>
              <w:pStyle w:val="ARGrantstabletext"/>
              <w:rPr>
                <w:bCs/>
                <w:color w:val="000000"/>
              </w:rPr>
            </w:pPr>
            <w:r w:rsidRPr="006C0079">
              <w:rPr>
                <w:color w:val="000000"/>
              </w:rPr>
              <w:t>ARVN Rangers Association of Victoria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F0C3C46" w14:textId="5348418D" w:rsidR="004A2DF7" w:rsidRPr="006D2D94" w:rsidRDefault="00A35316">
            <w:pPr>
              <w:pStyle w:val="ARGrantstabletextright"/>
              <w:rPr>
                <w:bCs/>
                <w:color w:val="000000"/>
              </w:rPr>
            </w:pPr>
            <w:r w:rsidRPr="006C0079">
              <w:rPr>
                <w:color w:val="000000"/>
              </w:rPr>
              <w:t>28,000</w:t>
            </w:r>
          </w:p>
        </w:tc>
      </w:tr>
      <w:tr w:rsidR="004A2DF7" w:rsidRPr="006D2D94" w14:paraId="199B4486" w14:textId="77777777" w:rsidTr="0009574E">
        <w:tc>
          <w:tcPr>
            <w:tcW w:w="3398" w:type="dxa"/>
            <w:noWrap/>
            <w:vAlign w:val="bottom"/>
          </w:tcPr>
          <w:p w14:paraId="24A553C9" w14:textId="1607B164" w:rsidR="004A2DF7" w:rsidRPr="006D2D94" w:rsidRDefault="00A35316">
            <w:pPr>
              <w:pStyle w:val="ARGrantstabletext"/>
              <w:rPr>
                <w:bCs/>
                <w:color w:val="000000"/>
              </w:rPr>
            </w:pPr>
            <w:r w:rsidRPr="006C0079">
              <w:rPr>
                <w:color w:val="000000"/>
              </w:rPr>
              <w:t>Aussie Veterans Pty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58C11FE" w14:textId="402D03C6" w:rsidR="004A2DF7" w:rsidRPr="006D2D94" w:rsidRDefault="00A35316">
            <w:pPr>
              <w:pStyle w:val="ARGrantstabletextright"/>
              <w:rPr>
                <w:bCs/>
                <w:color w:val="000000"/>
              </w:rPr>
            </w:pPr>
            <w:r w:rsidRPr="006C0079">
              <w:rPr>
                <w:color w:val="000000"/>
              </w:rPr>
              <w:t>100,000</w:t>
            </w:r>
          </w:p>
        </w:tc>
      </w:tr>
      <w:tr w:rsidR="004A2DF7" w:rsidRPr="006D2D94" w14:paraId="26169BF0" w14:textId="77777777" w:rsidTr="0009574E">
        <w:tc>
          <w:tcPr>
            <w:tcW w:w="3398" w:type="dxa"/>
            <w:noWrap/>
            <w:vAlign w:val="bottom"/>
          </w:tcPr>
          <w:p w14:paraId="74A076E8" w14:textId="52C3AD38" w:rsidR="004A2DF7" w:rsidRPr="006D2D94" w:rsidRDefault="00A35316">
            <w:pPr>
              <w:pStyle w:val="ARGrantstabletext"/>
              <w:rPr>
                <w:bCs/>
                <w:color w:val="000000"/>
              </w:rPr>
            </w:pPr>
            <w:r w:rsidRPr="006C0079">
              <w:rPr>
                <w:color w:val="000000"/>
              </w:rPr>
              <w:t>Australian National Veterans Arts</w:t>
            </w:r>
            <w:r w:rsidR="0009574E">
              <w:rPr>
                <w:color w:val="000000"/>
              </w:rPr>
              <w:t> </w:t>
            </w:r>
            <w:r w:rsidRPr="006C0079">
              <w:rPr>
                <w:color w:val="000000"/>
              </w:rPr>
              <w:t>Museum</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AFEA541" w14:textId="23119873" w:rsidR="004A2DF7" w:rsidRPr="006D2D94" w:rsidRDefault="00A35316">
            <w:pPr>
              <w:pStyle w:val="ARGrantstabletextright"/>
              <w:rPr>
                <w:bCs/>
                <w:color w:val="000000"/>
              </w:rPr>
            </w:pPr>
            <w:r w:rsidRPr="006C0079">
              <w:rPr>
                <w:color w:val="000000"/>
              </w:rPr>
              <w:t>50,000</w:t>
            </w:r>
          </w:p>
        </w:tc>
      </w:tr>
      <w:tr w:rsidR="004A2DF7" w:rsidRPr="006D2D94" w14:paraId="7055FA95" w14:textId="77777777" w:rsidTr="0009574E">
        <w:tc>
          <w:tcPr>
            <w:tcW w:w="3398" w:type="dxa"/>
            <w:noWrap/>
            <w:vAlign w:val="bottom"/>
          </w:tcPr>
          <w:p w14:paraId="4C68FA30" w14:textId="1CDFC8D2" w:rsidR="004A2DF7" w:rsidRPr="006D2D94" w:rsidRDefault="00A35316">
            <w:pPr>
              <w:pStyle w:val="ARGrantstabletext"/>
              <w:rPr>
                <w:b/>
                <w:bCs/>
                <w:color w:val="000000"/>
              </w:rPr>
            </w:pPr>
            <w:r w:rsidRPr="006C0079">
              <w:rPr>
                <w:color w:val="000000"/>
              </w:rPr>
              <w:t>Australian Vietnamese Women</w:t>
            </w:r>
            <w:r w:rsidR="00EA7A42">
              <w:rPr>
                <w:color w:val="000000"/>
              </w:rPr>
              <w:t>’</w:t>
            </w:r>
            <w:r w:rsidRPr="006C0079">
              <w:rPr>
                <w:color w:val="000000"/>
              </w:rPr>
              <w:t>s</w:t>
            </w:r>
            <w:r w:rsidR="0009574E">
              <w:rPr>
                <w:color w:val="000000"/>
              </w:rPr>
              <w:t> </w:t>
            </w:r>
            <w:r w:rsidRPr="006C0079">
              <w:rPr>
                <w:color w:val="000000"/>
              </w:rPr>
              <w:t>Association</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252DF86" w14:textId="57F3D231" w:rsidR="004A2DF7" w:rsidRPr="006D2D94" w:rsidRDefault="00A35316">
            <w:pPr>
              <w:pStyle w:val="ARGrantstabletextright"/>
              <w:rPr>
                <w:bCs/>
                <w:color w:val="000000"/>
              </w:rPr>
            </w:pPr>
            <w:r w:rsidRPr="006C0079">
              <w:rPr>
                <w:color w:val="000000"/>
              </w:rPr>
              <w:t>20,000</w:t>
            </w:r>
          </w:p>
        </w:tc>
      </w:tr>
      <w:tr w:rsidR="004A2DF7" w:rsidRPr="006D2D94" w14:paraId="083EA39B" w14:textId="77777777" w:rsidTr="0009574E">
        <w:tc>
          <w:tcPr>
            <w:tcW w:w="3398" w:type="dxa"/>
            <w:noWrap/>
            <w:vAlign w:val="bottom"/>
          </w:tcPr>
          <w:p w14:paraId="2D7B1D57" w14:textId="3FD39604" w:rsidR="004A2DF7" w:rsidRPr="006D2D94" w:rsidRDefault="00A35316">
            <w:pPr>
              <w:pStyle w:val="ARGrantstabletext"/>
              <w:rPr>
                <w:bCs/>
                <w:color w:val="000000"/>
              </w:rPr>
            </w:pPr>
            <w:r w:rsidRPr="006C0079">
              <w:rPr>
                <w:color w:val="000000"/>
              </w:rPr>
              <w:t>Ballan RSL Sub-Branch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7216C25" w14:textId="332EE6BA" w:rsidR="004A2DF7" w:rsidRPr="006D2D94" w:rsidRDefault="00A35316">
            <w:pPr>
              <w:pStyle w:val="ARGrantstabletextright"/>
              <w:rPr>
                <w:bCs/>
                <w:color w:val="000000"/>
              </w:rPr>
            </w:pPr>
            <w:r w:rsidRPr="006C0079">
              <w:rPr>
                <w:color w:val="000000"/>
              </w:rPr>
              <w:t>49,541</w:t>
            </w:r>
          </w:p>
        </w:tc>
      </w:tr>
      <w:tr w:rsidR="004A2DF7" w:rsidRPr="006D2D94" w14:paraId="21FC584B" w14:textId="77777777" w:rsidTr="0009574E">
        <w:tc>
          <w:tcPr>
            <w:tcW w:w="3398" w:type="dxa"/>
            <w:noWrap/>
            <w:vAlign w:val="bottom"/>
          </w:tcPr>
          <w:p w14:paraId="661734D1" w14:textId="7440A4FF" w:rsidR="004A2DF7" w:rsidRPr="006D2D94" w:rsidRDefault="00A35316">
            <w:pPr>
              <w:pStyle w:val="ARGrantstabletext"/>
              <w:rPr>
                <w:bCs/>
                <w:color w:val="000000"/>
              </w:rPr>
            </w:pPr>
            <w:r w:rsidRPr="006C0079">
              <w:rPr>
                <w:color w:val="000000"/>
              </w:rPr>
              <w:t>Ballarat RSL Sub-Branch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3522905" w14:textId="6F010D2D" w:rsidR="004A2DF7" w:rsidRPr="006D2D94" w:rsidRDefault="00A35316">
            <w:pPr>
              <w:pStyle w:val="ARGrantstabletextright"/>
              <w:rPr>
                <w:bCs/>
                <w:color w:val="000000"/>
              </w:rPr>
            </w:pPr>
            <w:r w:rsidRPr="006C0079">
              <w:rPr>
                <w:color w:val="000000"/>
              </w:rPr>
              <w:t>40,734</w:t>
            </w:r>
          </w:p>
        </w:tc>
      </w:tr>
      <w:tr w:rsidR="004A2DF7" w:rsidRPr="006D2D94" w14:paraId="6EE68D10" w14:textId="77777777" w:rsidTr="0009574E">
        <w:tc>
          <w:tcPr>
            <w:tcW w:w="3398" w:type="dxa"/>
            <w:noWrap/>
            <w:vAlign w:val="bottom"/>
          </w:tcPr>
          <w:p w14:paraId="68D406EA" w14:textId="16635D7A" w:rsidR="004A2DF7" w:rsidRPr="006D2D94" w:rsidRDefault="00A35316">
            <w:pPr>
              <w:pStyle w:val="ARGrantstabletext"/>
              <w:rPr>
                <w:bCs/>
                <w:color w:val="000000"/>
              </w:rPr>
            </w:pPr>
            <w:r w:rsidRPr="006C0079">
              <w:rPr>
                <w:color w:val="000000"/>
              </w:rPr>
              <w:t>Ballarat Veterans Assistance Centre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91A3EC3" w14:textId="7D05DAF9" w:rsidR="004A2DF7" w:rsidRPr="006D2D94" w:rsidRDefault="00A35316">
            <w:pPr>
              <w:pStyle w:val="ARGrantstabletextright"/>
              <w:rPr>
                <w:bCs/>
                <w:color w:val="000000"/>
              </w:rPr>
            </w:pPr>
            <w:r w:rsidRPr="006C0079">
              <w:rPr>
                <w:color w:val="000000"/>
              </w:rPr>
              <w:t>10,800</w:t>
            </w:r>
          </w:p>
        </w:tc>
      </w:tr>
      <w:tr w:rsidR="004A2DF7" w:rsidRPr="006D2D94" w14:paraId="282E7771" w14:textId="77777777" w:rsidTr="0009574E">
        <w:tc>
          <w:tcPr>
            <w:tcW w:w="3398" w:type="dxa"/>
            <w:noWrap/>
            <w:vAlign w:val="bottom"/>
          </w:tcPr>
          <w:p w14:paraId="1DBE90EE" w14:textId="64AE7180" w:rsidR="004A2DF7" w:rsidRPr="006D2D94" w:rsidRDefault="00A35316">
            <w:pPr>
              <w:pStyle w:val="ARGrantstabletext"/>
              <w:rPr>
                <w:bCs/>
                <w:color w:val="000000"/>
              </w:rPr>
            </w:pPr>
            <w:r w:rsidRPr="006C0079">
              <w:rPr>
                <w:color w:val="000000"/>
              </w:rPr>
              <w:t>Birchip RSL Sub-Branch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2CAC684" w14:textId="13451CD6" w:rsidR="004A2DF7" w:rsidRPr="006D2D94" w:rsidRDefault="00A35316">
            <w:pPr>
              <w:pStyle w:val="ARGrantstabletextright"/>
              <w:rPr>
                <w:bCs/>
                <w:color w:val="000000"/>
              </w:rPr>
            </w:pPr>
            <w:r w:rsidRPr="006C0079">
              <w:rPr>
                <w:color w:val="000000"/>
              </w:rPr>
              <w:t>27,710</w:t>
            </w:r>
          </w:p>
        </w:tc>
      </w:tr>
      <w:tr w:rsidR="004A2DF7" w:rsidRPr="006D2D94" w14:paraId="57DBD0AA" w14:textId="77777777" w:rsidTr="0009574E">
        <w:tc>
          <w:tcPr>
            <w:tcW w:w="3398" w:type="dxa"/>
            <w:noWrap/>
            <w:vAlign w:val="bottom"/>
          </w:tcPr>
          <w:p w14:paraId="19A8FA74" w14:textId="5D6FEF58" w:rsidR="004A2DF7" w:rsidRPr="006D2D94" w:rsidRDefault="00A35316">
            <w:pPr>
              <w:pStyle w:val="ARGrantstabletext"/>
              <w:rPr>
                <w:bCs/>
                <w:color w:val="000000"/>
              </w:rPr>
            </w:pPr>
            <w:r w:rsidRPr="006C0079">
              <w:rPr>
                <w:color w:val="000000"/>
              </w:rPr>
              <w:t xml:space="preserve">Borough of </w:t>
            </w:r>
            <w:proofErr w:type="spellStart"/>
            <w:r w:rsidRPr="006C0079">
              <w:rPr>
                <w:color w:val="000000"/>
              </w:rPr>
              <w:t>Queenscliffe</w:t>
            </w:r>
            <w:proofErr w:type="spellEnd"/>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29CE3CD" w14:textId="2A3DE640" w:rsidR="004A2DF7" w:rsidRPr="006D2D94" w:rsidRDefault="00A35316">
            <w:pPr>
              <w:pStyle w:val="ARGrantstabletextright"/>
              <w:rPr>
                <w:bCs/>
                <w:color w:val="000000"/>
              </w:rPr>
            </w:pPr>
            <w:r w:rsidRPr="006C0079">
              <w:rPr>
                <w:color w:val="000000"/>
              </w:rPr>
              <w:t>24,622</w:t>
            </w:r>
          </w:p>
        </w:tc>
      </w:tr>
      <w:tr w:rsidR="004A2DF7" w:rsidRPr="006D2D94" w14:paraId="27C5892C" w14:textId="77777777" w:rsidTr="0009574E">
        <w:tc>
          <w:tcPr>
            <w:tcW w:w="3398" w:type="dxa"/>
            <w:noWrap/>
            <w:vAlign w:val="bottom"/>
          </w:tcPr>
          <w:p w14:paraId="26E0F582" w14:textId="23B6F294" w:rsidR="004A2DF7" w:rsidRPr="006D2D94" w:rsidRDefault="00A35316">
            <w:pPr>
              <w:pStyle w:val="ARGrantstabletext"/>
              <w:rPr>
                <w:bCs/>
                <w:color w:val="000000"/>
              </w:rPr>
            </w:pPr>
            <w:r w:rsidRPr="006C0079">
              <w:rPr>
                <w:color w:val="000000"/>
              </w:rPr>
              <w:t>Buninyong Mt Helen Fire Brigade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F374E5A" w14:textId="3C84DCA0" w:rsidR="004A2DF7" w:rsidRPr="006D2D94" w:rsidRDefault="00A35316">
            <w:pPr>
              <w:pStyle w:val="ARGrantstabletextright"/>
              <w:rPr>
                <w:bCs/>
                <w:color w:val="000000"/>
              </w:rPr>
            </w:pPr>
            <w:r w:rsidRPr="006C0079">
              <w:rPr>
                <w:color w:val="000000"/>
              </w:rPr>
              <w:t>23,983</w:t>
            </w:r>
          </w:p>
        </w:tc>
      </w:tr>
      <w:tr w:rsidR="004A2DF7" w:rsidRPr="006D2D94" w14:paraId="180BC293" w14:textId="77777777" w:rsidTr="0009574E">
        <w:tc>
          <w:tcPr>
            <w:tcW w:w="3398" w:type="dxa"/>
            <w:noWrap/>
            <w:vAlign w:val="bottom"/>
          </w:tcPr>
          <w:p w14:paraId="602C127B" w14:textId="5010BD31" w:rsidR="004A2DF7" w:rsidRPr="006D2D94" w:rsidRDefault="00A35316">
            <w:pPr>
              <w:pStyle w:val="ARGrantstabletext"/>
              <w:rPr>
                <w:bCs/>
                <w:color w:val="000000"/>
              </w:rPr>
            </w:pPr>
            <w:r w:rsidRPr="006C0079">
              <w:rPr>
                <w:color w:val="000000"/>
              </w:rPr>
              <w:t>Carisbrook Historical Society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5CDED0D" w14:textId="2D36DD30" w:rsidR="004A2DF7" w:rsidRPr="006D2D94" w:rsidRDefault="00A35316">
            <w:pPr>
              <w:pStyle w:val="ARGrantstabletextright"/>
              <w:rPr>
                <w:bCs/>
                <w:color w:val="000000"/>
              </w:rPr>
            </w:pPr>
            <w:r w:rsidRPr="006C0079">
              <w:rPr>
                <w:color w:val="000000"/>
              </w:rPr>
              <w:t>3,925</w:t>
            </w:r>
          </w:p>
        </w:tc>
      </w:tr>
      <w:tr w:rsidR="004A2DF7" w:rsidRPr="006D2D94" w14:paraId="0B3AE8B9" w14:textId="77777777" w:rsidTr="0009574E">
        <w:tc>
          <w:tcPr>
            <w:tcW w:w="3398" w:type="dxa"/>
            <w:noWrap/>
            <w:vAlign w:val="bottom"/>
          </w:tcPr>
          <w:p w14:paraId="16343362" w14:textId="2CD052DB" w:rsidR="004A2DF7" w:rsidRPr="006D2D94" w:rsidRDefault="00A35316">
            <w:pPr>
              <w:pStyle w:val="ARGrantstabletext"/>
              <w:rPr>
                <w:bCs/>
                <w:color w:val="000000"/>
              </w:rPr>
            </w:pPr>
            <w:r w:rsidRPr="006C0079">
              <w:rPr>
                <w:color w:val="000000"/>
              </w:rPr>
              <w:t>Carry On (Victoria)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BA3EFFF" w14:textId="4F075BEC" w:rsidR="004A2DF7" w:rsidRPr="006D2D94" w:rsidRDefault="00A35316">
            <w:pPr>
              <w:pStyle w:val="ARGrantstabletextright"/>
              <w:rPr>
                <w:bCs/>
                <w:color w:val="000000"/>
              </w:rPr>
            </w:pPr>
            <w:r w:rsidRPr="006C0079">
              <w:rPr>
                <w:color w:val="000000"/>
              </w:rPr>
              <w:t>117,016</w:t>
            </w:r>
          </w:p>
        </w:tc>
      </w:tr>
      <w:tr w:rsidR="004A2DF7" w:rsidRPr="006D2D94" w14:paraId="1ABD5512" w14:textId="77777777" w:rsidTr="0009574E">
        <w:tc>
          <w:tcPr>
            <w:tcW w:w="3398" w:type="dxa"/>
            <w:noWrap/>
            <w:vAlign w:val="bottom"/>
          </w:tcPr>
          <w:p w14:paraId="6DFEC803" w14:textId="685E47B2" w:rsidR="004A2DF7" w:rsidRPr="006D2D94" w:rsidRDefault="00A35316">
            <w:pPr>
              <w:pStyle w:val="ARGrantstabletext"/>
              <w:rPr>
                <w:bCs/>
                <w:color w:val="000000"/>
              </w:rPr>
            </w:pPr>
            <w:r w:rsidRPr="006C0079">
              <w:rPr>
                <w:color w:val="000000"/>
              </w:rPr>
              <w:t>Caulfield RSL Sub-Branch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24C0DE1" w14:textId="03F16523" w:rsidR="004A2DF7" w:rsidRPr="006D2D94" w:rsidRDefault="00A35316">
            <w:pPr>
              <w:pStyle w:val="ARGrantstabletextright"/>
              <w:rPr>
                <w:bCs/>
                <w:color w:val="000000"/>
              </w:rPr>
            </w:pPr>
            <w:r w:rsidRPr="006C0079">
              <w:rPr>
                <w:color w:val="000000"/>
              </w:rPr>
              <w:t>20,000</w:t>
            </w:r>
          </w:p>
        </w:tc>
      </w:tr>
      <w:tr w:rsidR="004A2DF7" w:rsidRPr="006D2D94" w14:paraId="73DB2CF3" w14:textId="77777777" w:rsidTr="0009574E">
        <w:tc>
          <w:tcPr>
            <w:tcW w:w="3398" w:type="dxa"/>
            <w:tcBorders>
              <w:bottom w:val="single" w:sz="4" w:space="0" w:color="A6A6A6" w:themeColor="accent5"/>
            </w:tcBorders>
            <w:noWrap/>
            <w:vAlign w:val="bottom"/>
          </w:tcPr>
          <w:p w14:paraId="6C754F54" w14:textId="5EC1B1A6" w:rsidR="004A2DF7" w:rsidRPr="006D2D94" w:rsidRDefault="00A35316">
            <w:pPr>
              <w:pStyle w:val="ARGrantstabletext"/>
              <w:rPr>
                <w:bCs/>
                <w:color w:val="000000"/>
              </w:rPr>
            </w:pPr>
            <w:r w:rsidRPr="006C0079">
              <w:rPr>
                <w:color w:val="000000"/>
              </w:rPr>
              <w:t>Charlton RSL Sub-Branch</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6B7147C4" w14:textId="47C92783" w:rsidR="004A2DF7" w:rsidRPr="006D2D94" w:rsidRDefault="00A35316">
            <w:pPr>
              <w:pStyle w:val="ARGrantstabletextright"/>
              <w:rPr>
                <w:bCs/>
                <w:color w:val="000000"/>
              </w:rPr>
            </w:pPr>
            <w:r w:rsidRPr="006C0079">
              <w:rPr>
                <w:color w:val="000000"/>
              </w:rPr>
              <w:t>10,000</w:t>
            </w:r>
          </w:p>
        </w:tc>
      </w:tr>
      <w:tr w:rsidR="004A2DF7" w:rsidRPr="006D2D94" w14:paraId="04BA404A" w14:textId="77777777" w:rsidTr="0009574E">
        <w:tc>
          <w:tcPr>
            <w:tcW w:w="3398" w:type="dxa"/>
            <w:tcBorders>
              <w:top w:val="single" w:sz="4" w:space="0" w:color="A6A6A6" w:themeColor="accent5"/>
              <w:bottom w:val="single" w:sz="4" w:space="0" w:color="A6A6A6" w:themeColor="accent5"/>
            </w:tcBorders>
            <w:noWrap/>
            <w:vAlign w:val="bottom"/>
          </w:tcPr>
          <w:p w14:paraId="3A586522" w14:textId="0AFDB03F" w:rsidR="004A2DF7" w:rsidRPr="006D2D94" w:rsidRDefault="00A35316">
            <w:pPr>
              <w:pStyle w:val="ARGrantstabletext"/>
              <w:rPr>
                <w:bCs/>
                <w:color w:val="000000"/>
              </w:rPr>
            </w:pPr>
            <w:r w:rsidRPr="006C0079">
              <w:rPr>
                <w:color w:val="000000"/>
              </w:rPr>
              <w:t>Coburg RSL Sub-Branch</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6C2C90C1" w14:textId="415F2AB1" w:rsidR="004A2DF7" w:rsidRPr="006D2D94" w:rsidRDefault="00A35316">
            <w:pPr>
              <w:pStyle w:val="ARGrantstabletextright"/>
              <w:rPr>
                <w:bCs/>
                <w:color w:val="000000"/>
              </w:rPr>
            </w:pPr>
            <w:r w:rsidRPr="006C0079">
              <w:rPr>
                <w:color w:val="000000"/>
              </w:rPr>
              <w:t>2,000</w:t>
            </w:r>
          </w:p>
        </w:tc>
      </w:tr>
      <w:tr w:rsidR="004A2DF7" w:rsidRPr="006D2D94" w14:paraId="1E7F4C15" w14:textId="77777777" w:rsidTr="0009574E">
        <w:tc>
          <w:tcPr>
            <w:tcW w:w="3398" w:type="dxa"/>
            <w:tcBorders>
              <w:top w:val="single" w:sz="4" w:space="0" w:color="A6A6A6" w:themeColor="accent5"/>
            </w:tcBorders>
            <w:noWrap/>
            <w:vAlign w:val="bottom"/>
          </w:tcPr>
          <w:p w14:paraId="78411A3E" w14:textId="6ACC5124" w:rsidR="004A2DF7" w:rsidRPr="006D2D94" w:rsidRDefault="00A35316">
            <w:pPr>
              <w:pStyle w:val="ARGrantstabletext"/>
              <w:rPr>
                <w:b/>
                <w:bCs/>
                <w:color w:val="000000"/>
              </w:rPr>
            </w:pPr>
            <w:r w:rsidRPr="006C0079">
              <w:rPr>
                <w:color w:val="000000"/>
              </w:rPr>
              <w:t>Darwin Defenders 1942</w:t>
            </w:r>
            <w:r w:rsidR="00EA7A42">
              <w:rPr>
                <w:color w:val="000000"/>
              </w:rPr>
              <w:t>–</w:t>
            </w:r>
            <w:r w:rsidRPr="006C0079">
              <w:rPr>
                <w:color w:val="000000"/>
              </w:rPr>
              <w:t>45 Melbourne</w:t>
            </w:r>
            <w:r w:rsidR="0009574E">
              <w:rPr>
                <w:color w:val="000000"/>
              </w:rPr>
              <w:t> </w:t>
            </w:r>
            <w:r w:rsidRPr="006C0079">
              <w:rPr>
                <w:color w:val="000000"/>
              </w:rPr>
              <w:t>Branch</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7498A1AC" w14:textId="3BDE7650" w:rsidR="004A2DF7" w:rsidRPr="006D2D94" w:rsidRDefault="00A35316">
            <w:pPr>
              <w:pStyle w:val="ARGrantstabletextright"/>
              <w:rPr>
                <w:b/>
                <w:bCs/>
                <w:color w:val="000000"/>
              </w:rPr>
            </w:pPr>
            <w:r w:rsidRPr="006C0079">
              <w:rPr>
                <w:color w:val="000000"/>
              </w:rPr>
              <w:t>5,455</w:t>
            </w:r>
          </w:p>
        </w:tc>
      </w:tr>
      <w:tr w:rsidR="004A2DF7" w:rsidRPr="006D2D94" w14:paraId="45448EA3" w14:textId="77777777" w:rsidTr="00F90BC7">
        <w:tc>
          <w:tcPr>
            <w:tcW w:w="3398" w:type="dxa"/>
            <w:tcBorders>
              <w:bottom w:val="single" w:sz="4" w:space="0" w:color="A6A6A6" w:themeColor="accent5"/>
            </w:tcBorders>
            <w:noWrap/>
            <w:vAlign w:val="bottom"/>
          </w:tcPr>
          <w:p w14:paraId="14967A34" w14:textId="606DA5EA" w:rsidR="004A2DF7" w:rsidRPr="006D2D94" w:rsidRDefault="00A35316">
            <w:pPr>
              <w:pStyle w:val="ARGrantstabletext"/>
              <w:rPr>
                <w:b/>
                <w:bCs/>
                <w:color w:val="000000"/>
              </w:rPr>
            </w:pPr>
            <w:r w:rsidRPr="006C0079">
              <w:rPr>
                <w:color w:val="000000"/>
              </w:rPr>
              <w:t>Digby Recreation Reserve and Hall Committee of Management</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6BDAD5AF" w14:textId="6982ED74" w:rsidR="004A2DF7" w:rsidRPr="006D2D94" w:rsidRDefault="00A35316">
            <w:pPr>
              <w:pStyle w:val="ARGrantstabletextright"/>
              <w:rPr>
                <w:b/>
                <w:bCs/>
                <w:color w:val="000000"/>
              </w:rPr>
            </w:pPr>
            <w:r w:rsidRPr="006C0079">
              <w:rPr>
                <w:color w:val="000000"/>
              </w:rPr>
              <w:t>20,407</w:t>
            </w:r>
          </w:p>
        </w:tc>
      </w:tr>
      <w:tr w:rsidR="004A2DF7" w:rsidRPr="006D2D94" w14:paraId="07706288" w14:textId="77777777" w:rsidTr="00F90BC7">
        <w:tc>
          <w:tcPr>
            <w:tcW w:w="3398" w:type="dxa"/>
            <w:tcBorders>
              <w:top w:val="single" w:sz="4" w:space="0" w:color="A6A6A6" w:themeColor="accent5"/>
              <w:bottom w:val="single" w:sz="4" w:space="0" w:color="A6A6A6" w:themeColor="accent5"/>
            </w:tcBorders>
            <w:noWrap/>
            <w:vAlign w:val="bottom"/>
          </w:tcPr>
          <w:p w14:paraId="7220EAFD" w14:textId="5EDC671C" w:rsidR="004A2DF7" w:rsidRPr="006D2D94" w:rsidRDefault="00A35316">
            <w:pPr>
              <w:pStyle w:val="ARGrantstabletext"/>
              <w:rPr>
                <w:b/>
                <w:bCs/>
                <w:color w:val="000000"/>
              </w:rPr>
            </w:pPr>
            <w:r w:rsidRPr="006C0079">
              <w:rPr>
                <w:color w:val="000000"/>
              </w:rPr>
              <w:t>Dookie Lions Club Inc.</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73E3DBB3" w14:textId="486C938F" w:rsidR="004A2DF7" w:rsidRPr="006D2D94" w:rsidRDefault="00A35316">
            <w:pPr>
              <w:pStyle w:val="ARGrantstabletextright"/>
              <w:rPr>
                <w:b/>
                <w:bCs/>
                <w:color w:val="000000"/>
              </w:rPr>
            </w:pPr>
            <w:r w:rsidRPr="006C0079">
              <w:rPr>
                <w:color w:val="000000"/>
              </w:rPr>
              <w:t>30,000</w:t>
            </w:r>
          </w:p>
        </w:tc>
      </w:tr>
      <w:tr w:rsidR="004A2DF7" w:rsidRPr="006D2D94" w14:paraId="7E35E99A" w14:textId="77777777" w:rsidTr="00F90BC7">
        <w:tc>
          <w:tcPr>
            <w:tcW w:w="3398" w:type="dxa"/>
            <w:tcBorders>
              <w:top w:val="single" w:sz="4" w:space="0" w:color="A6A6A6" w:themeColor="accent5"/>
            </w:tcBorders>
            <w:noWrap/>
            <w:vAlign w:val="bottom"/>
          </w:tcPr>
          <w:p w14:paraId="7D80C2A9" w14:textId="0865AE7E" w:rsidR="004A2DF7" w:rsidRPr="006D2D94" w:rsidRDefault="00A35316">
            <w:pPr>
              <w:pStyle w:val="ARGrantstabletext"/>
              <w:rPr>
                <w:b/>
                <w:bCs/>
                <w:color w:val="000000"/>
              </w:rPr>
            </w:pPr>
            <w:r w:rsidRPr="006C0079">
              <w:rPr>
                <w:color w:val="000000"/>
              </w:rPr>
              <w:lastRenderedPageBreak/>
              <w:t>Emerald RSL Sub-Branch</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4FB8C3A1" w14:textId="3FE3CD93" w:rsidR="004A2DF7" w:rsidRPr="006D2D94" w:rsidRDefault="00A35316">
            <w:pPr>
              <w:pStyle w:val="ARGrantstabletextright"/>
              <w:rPr>
                <w:b/>
                <w:bCs/>
                <w:color w:val="000000"/>
              </w:rPr>
            </w:pPr>
            <w:r w:rsidRPr="006C0079">
              <w:rPr>
                <w:color w:val="000000"/>
              </w:rPr>
              <w:t>14,130</w:t>
            </w:r>
          </w:p>
        </w:tc>
      </w:tr>
      <w:tr w:rsidR="004A2DF7" w:rsidRPr="006D2D94" w14:paraId="7D9B33C0" w14:textId="77777777" w:rsidTr="0009574E">
        <w:tc>
          <w:tcPr>
            <w:tcW w:w="3398" w:type="dxa"/>
            <w:noWrap/>
            <w:vAlign w:val="bottom"/>
          </w:tcPr>
          <w:p w14:paraId="754FAB48" w14:textId="32CEC8B6" w:rsidR="004A2DF7" w:rsidRPr="006D2D94" w:rsidRDefault="00A35316">
            <w:pPr>
              <w:pStyle w:val="ARGrantstabletext"/>
              <w:rPr>
                <w:b/>
                <w:bCs/>
                <w:color w:val="000000"/>
              </w:rPr>
            </w:pPr>
            <w:r w:rsidRPr="006C0079">
              <w:rPr>
                <w:color w:val="000000"/>
              </w:rPr>
              <w:t>Fawkner Rsl Sub-Branch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C6AF08E" w14:textId="6C0434BB" w:rsidR="004A2DF7" w:rsidRPr="006D2D94" w:rsidRDefault="00A35316">
            <w:pPr>
              <w:pStyle w:val="ARGrantstabletextright"/>
              <w:rPr>
                <w:b/>
                <w:bCs/>
                <w:color w:val="000000"/>
              </w:rPr>
            </w:pPr>
            <w:r w:rsidRPr="006C0079">
              <w:rPr>
                <w:color w:val="000000"/>
              </w:rPr>
              <w:t>13,584</w:t>
            </w:r>
          </w:p>
        </w:tc>
      </w:tr>
      <w:tr w:rsidR="004A2DF7" w:rsidRPr="006D2D94" w14:paraId="40A3AA2D" w14:textId="77777777" w:rsidTr="0009574E">
        <w:tc>
          <w:tcPr>
            <w:tcW w:w="3398" w:type="dxa"/>
            <w:tcBorders>
              <w:bottom w:val="single" w:sz="4" w:space="0" w:color="A6A6A6" w:themeColor="accent5"/>
            </w:tcBorders>
            <w:noWrap/>
            <w:vAlign w:val="bottom"/>
          </w:tcPr>
          <w:p w14:paraId="461D477C" w14:textId="5027DA35" w:rsidR="004A2DF7" w:rsidRPr="006D2D94" w:rsidRDefault="00A35316">
            <w:pPr>
              <w:pStyle w:val="ARGrantstabletext"/>
              <w:rPr>
                <w:b/>
                <w:bCs/>
                <w:color w:val="000000"/>
              </w:rPr>
            </w:pPr>
            <w:r w:rsidRPr="006C0079">
              <w:rPr>
                <w:color w:val="000000"/>
              </w:rPr>
              <w:t xml:space="preserve">Flemington / Kensington RSL </w:t>
            </w:r>
            <w:r w:rsidR="0009574E">
              <w:rPr>
                <w:color w:val="000000"/>
              </w:rPr>
              <w:br/>
            </w:r>
            <w:r w:rsidRPr="006C0079">
              <w:rPr>
                <w:color w:val="000000"/>
              </w:rPr>
              <w:t>Sub-Branch</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6C4C27E7" w14:textId="458E1276" w:rsidR="004A2DF7" w:rsidRPr="006D2D94" w:rsidRDefault="00A35316">
            <w:pPr>
              <w:pStyle w:val="ARGrantstabletextright"/>
              <w:rPr>
                <w:b/>
                <w:bCs/>
                <w:color w:val="000000"/>
              </w:rPr>
            </w:pPr>
            <w:r w:rsidRPr="006C0079">
              <w:rPr>
                <w:color w:val="000000"/>
              </w:rPr>
              <w:t>80,000</w:t>
            </w:r>
          </w:p>
        </w:tc>
      </w:tr>
      <w:tr w:rsidR="004A2DF7" w:rsidRPr="006D2D94" w14:paraId="517CD13E" w14:textId="77777777" w:rsidTr="0009574E">
        <w:tc>
          <w:tcPr>
            <w:tcW w:w="3398" w:type="dxa"/>
            <w:tcBorders>
              <w:top w:val="single" w:sz="4" w:space="0" w:color="A6A6A6" w:themeColor="accent5"/>
              <w:bottom w:val="single" w:sz="4" w:space="0" w:color="A6A6A6" w:themeColor="accent5"/>
            </w:tcBorders>
            <w:noWrap/>
            <w:vAlign w:val="bottom"/>
          </w:tcPr>
          <w:p w14:paraId="61C4517E" w14:textId="23EB0CC1" w:rsidR="004A2DF7" w:rsidRPr="006D2D94" w:rsidRDefault="00A35316">
            <w:pPr>
              <w:pStyle w:val="ARGrantstabletext"/>
              <w:rPr>
                <w:b/>
                <w:bCs/>
                <w:color w:val="000000"/>
              </w:rPr>
            </w:pPr>
            <w:r w:rsidRPr="006C0079">
              <w:rPr>
                <w:color w:val="000000"/>
              </w:rPr>
              <w:t xml:space="preserve">Friends of Malmsbury </w:t>
            </w:r>
            <w:r w:rsidR="0009574E">
              <w:rPr>
                <w:color w:val="000000"/>
              </w:rPr>
              <w:br/>
            </w:r>
            <w:r w:rsidRPr="006C0079">
              <w:rPr>
                <w:color w:val="000000"/>
              </w:rPr>
              <w:t>Gardens &amp; Environs</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4377441C" w14:textId="363E52CC" w:rsidR="004A2DF7" w:rsidRPr="006D2D94" w:rsidRDefault="00A35316">
            <w:pPr>
              <w:pStyle w:val="ARGrantstabletextright"/>
              <w:rPr>
                <w:b/>
                <w:bCs/>
                <w:color w:val="000000"/>
              </w:rPr>
            </w:pPr>
            <w:r w:rsidRPr="006C0079">
              <w:rPr>
                <w:color w:val="000000"/>
              </w:rPr>
              <w:t>27,492</w:t>
            </w:r>
          </w:p>
        </w:tc>
      </w:tr>
      <w:tr w:rsidR="004A2DF7" w:rsidRPr="006D2D94" w14:paraId="40A8624C" w14:textId="77777777" w:rsidTr="0009574E">
        <w:tc>
          <w:tcPr>
            <w:tcW w:w="3398" w:type="dxa"/>
            <w:tcBorders>
              <w:top w:val="single" w:sz="4" w:space="0" w:color="A6A6A6" w:themeColor="accent5"/>
            </w:tcBorders>
            <w:noWrap/>
            <w:vAlign w:val="bottom"/>
          </w:tcPr>
          <w:p w14:paraId="3C742704" w14:textId="0FFB2398" w:rsidR="004A2DF7" w:rsidRPr="006D2D94" w:rsidRDefault="00A35316">
            <w:pPr>
              <w:pStyle w:val="ARGrantstabletext"/>
              <w:rPr>
                <w:b/>
                <w:bCs/>
                <w:color w:val="000000"/>
              </w:rPr>
            </w:pPr>
            <w:r w:rsidRPr="006C0079">
              <w:rPr>
                <w:color w:val="000000"/>
              </w:rPr>
              <w:t>Frontline Yoga</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4F09A915" w14:textId="30913CA3" w:rsidR="004A2DF7" w:rsidRPr="006D2D94" w:rsidRDefault="00A35316">
            <w:pPr>
              <w:pStyle w:val="ARGrantstabletextright"/>
              <w:rPr>
                <w:b/>
                <w:bCs/>
                <w:color w:val="000000"/>
              </w:rPr>
            </w:pPr>
            <w:r w:rsidRPr="006C0079">
              <w:rPr>
                <w:color w:val="000000"/>
              </w:rPr>
              <w:t>50,000</w:t>
            </w:r>
          </w:p>
        </w:tc>
      </w:tr>
      <w:tr w:rsidR="004A2DF7" w:rsidRPr="006D2D94" w14:paraId="3737DC11" w14:textId="77777777" w:rsidTr="0009574E">
        <w:tc>
          <w:tcPr>
            <w:tcW w:w="3398" w:type="dxa"/>
            <w:tcBorders>
              <w:bottom w:val="single" w:sz="4" w:space="0" w:color="A6A6A6" w:themeColor="accent5"/>
            </w:tcBorders>
            <w:noWrap/>
            <w:vAlign w:val="bottom"/>
          </w:tcPr>
          <w:p w14:paraId="16CFC505" w14:textId="671201AE" w:rsidR="004A2DF7" w:rsidRPr="006D2D94" w:rsidRDefault="00A35316">
            <w:pPr>
              <w:pStyle w:val="ARGrantstabletext"/>
              <w:rPr>
                <w:b/>
                <w:bCs/>
                <w:color w:val="000000"/>
              </w:rPr>
            </w:pPr>
            <w:r w:rsidRPr="006C0079">
              <w:rPr>
                <w:color w:val="000000"/>
              </w:rPr>
              <w:t>Gembrook RSL Sub-Branch</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3BC60844" w14:textId="38D752E4" w:rsidR="004A2DF7" w:rsidRPr="006D2D94" w:rsidRDefault="00A35316">
            <w:pPr>
              <w:pStyle w:val="ARGrantstabletextright"/>
              <w:rPr>
                <w:b/>
                <w:bCs/>
                <w:color w:val="000000"/>
              </w:rPr>
            </w:pPr>
            <w:r w:rsidRPr="006C0079">
              <w:rPr>
                <w:color w:val="000000"/>
              </w:rPr>
              <w:t>30,000</w:t>
            </w:r>
          </w:p>
        </w:tc>
      </w:tr>
      <w:tr w:rsidR="004A2DF7" w:rsidRPr="006D2D94" w14:paraId="2EE49390" w14:textId="77777777" w:rsidTr="0009574E">
        <w:tc>
          <w:tcPr>
            <w:tcW w:w="3398" w:type="dxa"/>
            <w:tcBorders>
              <w:top w:val="single" w:sz="4" w:space="0" w:color="A6A6A6" w:themeColor="accent5"/>
              <w:bottom w:val="single" w:sz="4" w:space="0" w:color="A6A6A6" w:themeColor="accent5"/>
            </w:tcBorders>
            <w:noWrap/>
            <w:vAlign w:val="bottom"/>
          </w:tcPr>
          <w:p w14:paraId="750236F6" w14:textId="15E5A47C" w:rsidR="004A2DF7" w:rsidRPr="006D2D94" w:rsidRDefault="00A35316">
            <w:pPr>
              <w:pStyle w:val="ARGrantstabletext"/>
              <w:rPr>
                <w:b/>
                <w:bCs/>
                <w:color w:val="000000"/>
              </w:rPr>
            </w:pPr>
            <w:r w:rsidRPr="006C0079">
              <w:rPr>
                <w:color w:val="000000"/>
              </w:rPr>
              <w:t>Gisborne RSL Sub</w:t>
            </w:r>
            <w:r w:rsidR="00E83BE9">
              <w:rPr>
                <w:color w:val="000000"/>
              </w:rPr>
              <w:t>-</w:t>
            </w:r>
            <w:r w:rsidRPr="006C0079">
              <w:rPr>
                <w:color w:val="000000"/>
              </w:rPr>
              <w:t>Branch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710383CF" w14:textId="352643DB" w:rsidR="004A2DF7" w:rsidRPr="006D2D94" w:rsidRDefault="00A35316">
            <w:pPr>
              <w:pStyle w:val="ARGrantstabletextright"/>
              <w:rPr>
                <w:b/>
                <w:bCs/>
                <w:color w:val="000000"/>
              </w:rPr>
            </w:pPr>
            <w:r w:rsidRPr="006C0079">
              <w:rPr>
                <w:color w:val="000000"/>
              </w:rPr>
              <w:t>20,000</w:t>
            </w:r>
          </w:p>
        </w:tc>
      </w:tr>
      <w:tr w:rsidR="004A2DF7" w:rsidRPr="006D2D94" w14:paraId="00D33395" w14:textId="77777777" w:rsidTr="0009574E">
        <w:tc>
          <w:tcPr>
            <w:tcW w:w="3398" w:type="dxa"/>
            <w:tcBorders>
              <w:top w:val="single" w:sz="4" w:space="0" w:color="A6A6A6" w:themeColor="accent5"/>
            </w:tcBorders>
            <w:noWrap/>
            <w:vAlign w:val="bottom"/>
          </w:tcPr>
          <w:p w14:paraId="11FDBC6E" w14:textId="1805E601" w:rsidR="004A2DF7" w:rsidRPr="006D2D94" w:rsidRDefault="00A35316">
            <w:pPr>
              <w:pStyle w:val="ARGrantstabletext"/>
              <w:rPr>
                <w:b/>
                <w:bCs/>
                <w:color w:val="000000"/>
              </w:rPr>
            </w:pPr>
            <w:r w:rsidRPr="006C0079">
              <w:rPr>
                <w:color w:val="000000"/>
              </w:rPr>
              <w:t>Hawthorn RSL Sub-Branch</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4E327584" w14:textId="355565BE" w:rsidR="004A2DF7" w:rsidRPr="006D2D94" w:rsidRDefault="00A35316">
            <w:pPr>
              <w:pStyle w:val="ARGrantstabletextright"/>
              <w:rPr>
                <w:b/>
                <w:bCs/>
                <w:color w:val="000000"/>
              </w:rPr>
            </w:pPr>
            <w:r w:rsidRPr="006C0079">
              <w:rPr>
                <w:color w:val="000000"/>
              </w:rPr>
              <w:t>74,072</w:t>
            </w:r>
          </w:p>
        </w:tc>
      </w:tr>
      <w:tr w:rsidR="004A2DF7" w:rsidRPr="006D2D94" w14:paraId="6192BA72" w14:textId="77777777" w:rsidTr="0009574E">
        <w:tc>
          <w:tcPr>
            <w:tcW w:w="3398" w:type="dxa"/>
            <w:noWrap/>
            <w:vAlign w:val="bottom"/>
          </w:tcPr>
          <w:p w14:paraId="416E7A73" w14:textId="282CF866" w:rsidR="004A2DF7" w:rsidRPr="006D2D94" w:rsidRDefault="00A35316">
            <w:pPr>
              <w:pStyle w:val="ARGrantstabletext"/>
              <w:rPr>
                <w:b/>
                <w:bCs/>
                <w:color w:val="000000"/>
              </w:rPr>
            </w:pPr>
            <w:r w:rsidRPr="006C0079">
              <w:rPr>
                <w:color w:val="000000"/>
              </w:rPr>
              <w:t>Keilor East RSL Sub-Branch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65C64C5" w14:textId="60423ABE" w:rsidR="004A2DF7" w:rsidRPr="006D2D94" w:rsidRDefault="00A35316">
            <w:pPr>
              <w:pStyle w:val="ARGrantstabletextright"/>
              <w:rPr>
                <w:b/>
                <w:bCs/>
                <w:color w:val="000000"/>
              </w:rPr>
            </w:pPr>
            <w:r w:rsidRPr="006C0079">
              <w:rPr>
                <w:color w:val="000000"/>
              </w:rPr>
              <w:t>26,123</w:t>
            </w:r>
          </w:p>
        </w:tc>
      </w:tr>
      <w:tr w:rsidR="004A2DF7" w:rsidRPr="006D2D94" w14:paraId="4EF16FB1" w14:textId="77777777" w:rsidTr="0009574E">
        <w:tc>
          <w:tcPr>
            <w:tcW w:w="3398" w:type="dxa"/>
            <w:noWrap/>
            <w:vAlign w:val="bottom"/>
          </w:tcPr>
          <w:p w14:paraId="5507A24C" w14:textId="3AD8972B" w:rsidR="004A2DF7" w:rsidRPr="006D2D94" w:rsidRDefault="00A35316">
            <w:pPr>
              <w:pStyle w:val="ARGrantstabletext"/>
              <w:rPr>
                <w:b/>
                <w:bCs/>
                <w:color w:val="000000"/>
              </w:rPr>
            </w:pPr>
            <w:r w:rsidRPr="006C0079">
              <w:rPr>
                <w:color w:val="000000"/>
              </w:rPr>
              <w:t>Kerang Neighbo</w:t>
            </w:r>
            <w:r w:rsidR="00A062A6">
              <w:rPr>
                <w:color w:val="000000"/>
              </w:rPr>
              <w:t>u</w:t>
            </w:r>
            <w:r w:rsidRPr="006C0079">
              <w:rPr>
                <w:color w:val="000000"/>
              </w:rPr>
              <w:t>rhood house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0EA1341" w14:textId="5C9E07E4" w:rsidR="004A2DF7" w:rsidRPr="006D2D94" w:rsidRDefault="00A35316">
            <w:pPr>
              <w:pStyle w:val="ARGrantstabletextright"/>
              <w:rPr>
                <w:b/>
                <w:bCs/>
                <w:color w:val="000000"/>
              </w:rPr>
            </w:pPr>
            <w:r w:rsidRPr="006C0079">
              <w:rPr>
                <w:color w:val="000000"/>
              </w:rPr>
              <w:t>30,000</w:t>
            </w:r>
          </w:p>
        </w:tc>
      </w:tr>
      <w:tr w:rsidR="004A2DF7" w:rsidRPr="006D2D94" w14:paraId="2B919BEC" w14:textId="77777777" w:rsidTr="0009574E">
        <w:tc>
          <w:tcPr>
            <w:tcW w:w="3398" w:type="dxa"/>
            <w:noWrap/>
            <w:vAlign w:val="bottom"/>
          </w:tcPr>
          <w:p w14:paraId="1F56B34B" w14:textId="35A1A9AB" w:rsidR="004A2DF7" w:rsidRPr="006D2D94" w:rsidRDefault="00A35316">
            <w:pPr>
              <w:pStyle w:val="ARGrantstabletext"/>
              <w:rPr>
                <w:b/>
                <w:bCs/>
                <w:color w:val="000000"/>
              </w:rPr>
            </w:pPr>
            <w:r w:rsidRPr="006C0079">
              <w:rPr>
                <w:color w:val="000000"/>
              </w:rPr>
              <w:t>Kilmore Soldiers Memorial Hall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C28FD7D" w14:textId="15F6D7EB" w:rsidR="004A2DF7" w:rsidRPr="006D2D94" w:rsidRDefault="00A35316">
            <w:pPr>
              <w:pStyle w:val="ARGrantstabletextright"/>
              <w:rPr>
                <w:b/>
                <w:bCs/>
                <w:color w:val="000000"/>
              </w:rPr>
            </w:pPr>
            <w:r w:rsidRPr="006C0079">
              <w:rPr>
                <w:color w:val="000000"/>
              </w:rPr>
              <w:t>29,187</w:t>
            </w:r>
          </w:p>
        </w:tc>
      </w:tr>
      <w:tr w:rsidR="004A2DF7" w:rsidRPr="006D2D94" w14:paraId="0372C326" w14:textId="77777777" w:rsidTr="0009574E">
        <w:tc>
          <w:tcPr>
            <w:tcW w:w="3398" w:type="dxa"/>
            <w:noWrap/>
            <w:vAlign w:val="bottom"/>
          </w:tcPr>
          <w:p w14:paraId="0C177BB6" w14:textId="39C62132" w:rsidR="004A2DF7" w:rsidRPr="006D2D94" w:rsidRDefault="00A35316">
            <w:pPr>
              <w:pStyle w:val="ARGrantstabletext"/>
              <w:rPr>
                <w:b/>
                <w:bCs/>
                <w:color w:val="000000"/>
              </w:rPr>
            </w:pPr>
            <w:r w:rsidRPr="006C0079">
              <w:rPr>
                <w:color w:val="000000"/>
              </w:rPr>
              <w:t>Kilmore Wallan RSL Sub-Branch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BF1B9D3" w14:textId="00F4584E" w:rsidR="004A2DF7" w:rsidRPr="006D2D94" w:rsidRDefault="00A35316">
            <w:pPr>
              <w:pStyle w:val="ARGrantstabletextright"/>
              <w:rPr>
                <w:b/>
                <w:bCs/>
                <w:color w:val="000000"/>
              </w:rPr>
            </w:pPr>
            <w:r w:rsidRPr="006C0079">
              <w:rPr>
                <w:color w:val="000000"/>
              </w:rPr>
              <w:t>4,137</w:t>
            </w:r>
          </w:p>
        </w:tc>
      </w:tr>
      <w:tr w:rsidR="004A2DF7" w:rsidRPr="006D2D94" w14:paraId="1EF599AA" w14:textId="77777777" w:rsidTr="0009574E">
        <w:tc>
          <w:tcPr>
            <w:tcW w:w="3398" w:type="dxa"/>
            <w:noWrap/>
            <w:vAlign w:val="bottom"/>
          </w:tcPr>
          <w:p w14:paraId="64B54711" w14:textId="0E34EDC9" w:rsidR="004A2DF7" w:rsidRPr="006D2D94" w:rsidRDefault="00A35316">
            <w:pPr>
              <w:pStyle w:val="ARGrantstabletext"/>
              <w:rPr>
                <w:b/>
                <w:bCs/>
                <w:color w:val="000000"/>
              </w:rPr>
            </w:pPr>
            <w:r w:rsidRPr="006C0079">
              <w:rPr>
                <w:color w:val="000000"/>
              </w:rPr>
              <w:t>Kingston, Friends of the Avenue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9745535" w14:textId="5D463AD9" w:rsidR="004A2DF7" w:rsidRPr="006D2D94" w:rsidRDefault="00A35316">
            <w:pPr>
              <w:pStyle w:val="ARGrantstabletextright"/>
              <w:rPr>
                <w:b/>
                <w:bCs/>
                <w:color w:val="000000"/>
              </w:rPr>
            </w:pPr>
            <w:r w:rsidRPr="006C0079">
              <w:rPr>
                <w:color w:val="000000"/>
              </w:rPr>
              <w:t>30,000</w:t>
            </w:r>
          </w:p>
        </w:tc>
      </w:tr>
      <w:tr w:rsidR="004A2DF7" w:rsidRPr="006D2D94" w14:paraId="2BDF4631" w14:textId="77777777" w:rsidTr="0009574E">
        <w:tc>
          <w:tcPr>
            <w:tcW w:w="3398" w:type="dxa"/>
            <w:noWrap/>
            <w:vAlign w:val="bottom"/>
          </w:tcPr>
          <w:p w14:paraId="4F14C634" w14:textId="6A4C8101" w:rsidR="004A2DF7" w:rsidRPr="006D2D94" w:rsidRDefault="00A35316">
            <w:pPr>
              <w:pStyle w:val="ARGrantstabletext"/>
              <w:rPr>
                <w:b/>
                <w:bCs/>
                <w:color w:val="000000"/>
              </w:rPr>
            </w:pPr>
            <w:r w:rsidRPr="006C0079">
              <w:rPr>
                <w:color w:val="000000"/>
              </w:rPr>
              <w:t>Kongwak Community Group</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B04A29D" w14:textId="13FDEBF7" w:rsidR="004A2DF7" w:rsidRPr="006D2D94" w:rsidRDefault="00A35316">
            <w:pPr>
              <w:pStyle w:val="ARGrantstabletextright"/>
              <w:rPr>
                <w:b/>
                <w:bCs/>
                <w:color w:val="000000"/>
              </w:rPr>
            </w:pPr>
            <w:r w:rsidRPr="006C0079">
              <w:rPr>
                <w:color w:val="000000"/>
              </w:rPr>
              <w:t>10,000</w:t>
            </w:r>
          </w:p>
        </w:tc>
      </w:tr>
      <w:tr w:rsidR="004A2DF7" w:rsidRPr="006D2D94" w14:paraId="6CB8845F" w14:textId="77777777" w:rsidTr="0009574E">
        <w:tc>
          <w:tcPr>
            <w:tcW w:w="3398" w:type="dxa"/>
            <w:noWrap/>
            <w:vAlign w:val="bottom"/>
          </w:tcPr>
          <w:p w14:paraId="2F9481AB" w14:textId="0F522C17" w:rsidR="004A2DF7" w:rsidRPr="006D2D94" w:rsidRDefault="00A35316">
            <w:pPr>
              <w:pStyle w:val="ARGrantstabletext"/>
              <w:rPr>
                <w:b/>
                <w:bCs/>
                <w:color w:val="000000"/>
              </w:rPr>
            </w:pPr>
            <w:r w:rsidRPr="006C0079">
              <w:rPr>
                <w:color w:val="000000"/>
              </w:rPr>
              <w:t>Korumburra RSL Sub-Branch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F3F5BFA" w14:textId="5E721B29" w:rsidR="004A2DF7" w:rsidRPr="006D2D94" w:rsidRDefault="00A35316">
            <w:pPr>
              <w:pStyle w:val="ARGrantstabletextright"/>
              <w:rPr>
                <w:b/>
                <w:bCs/>
                <w:color w:val="000000"/>
              </w:rPr>
            </w:pPr>
            <w:r w:rsidRPr="006C0079">
              <w:rPr>
                <w:color w:val="000000"/>
              </w:rPr>
              <w:t>15,565</w:t>
            </w:r>
          </w:p>
        </w:tc>
      </w:tr>
      <w:tr w:rsidR="004A2DF7" w:rsidRPr="006D2D94" w14:paraId="0328EF19" w14:textId="77777777" w:rsidTr="0009574E">
        <w:tc>
          <w:tcPr>
            <w:tcW w:w="3398" w:type="dxa"/>
            <w:noWrap/>
            <w:vAlign w:val="bottom"/>
          </w:tcPr>
          <w:p w14:paraId="7DBB28C5" w14:textId="5A88E58F" w:rsidR="004A2DF7" w:rsidRPr="006D2D94" w:rsidRDefault="00A35316">
            <w:pPr>
              <w:pStyle w:val="ARGrantstabletext"/>
              <w:rPr>
                <w:b/>
                <w:bCs/>
                <w:color w:val="000000"/>
              </w:rPr>
            </w:pPr>
            <w:r w:rsidRPr="006C0079">
              <w:rPr>
                <w:color w:val="000000"/>
              </w:rPr>
              <w:t xml:space="preserve">Lang </w:t>
            </w:r>
            <w:proofErr w:type="spellStart"/>
            <w:r w:rsidRPr="006C0079">
              <w:rPr>
                <w:color w:val="000000"/>
              </w:rPr>
              <w:t>Lang</w:t>
            </w:r>
            <w:proofErr w:type="spellEnd"/>
            <w:r w:rsidRPr="006C0079">
              <w:rPr>
                <w:color w:val="000000"/>
              </w:rPr>
              <w:t xml:space="preserve"> RSL Sub-Branch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017FBF0" w14:textId="50DB8DD8" w:rsidR="004A2DF7" w:rsidRPr="006D2D94" w:rsidRDefault="00A35316">
            <w:pPr>
              <w:pStyle w:val="ARGrantstabletextright"/>
              <w:rPr>
                <w:b/>
                <w:bCs/>
                <w:color w:val="000000"/>
              </w:rPr>
            </w:pPr>
            <w:r w:rsidRPr="006C0079">
              <w:rPr>
                <w:color w:val="000000"/>
              </w:rPr>
              <w:t>1,000</w:t>
            </w:r>
          </w:p>
        </w:tc>
      </w:tr>
      <w:tr w:rsidR="004A2DF7" w:rsidRPr="006D2D94" w14:paraId="5E65FCEA" w14:textId="77777777" w:rsidTr="0009574E">
        <w:tc>
          <w:tcPr>
            <w:tcW w:w="3398" w:type="dxa"/>
            <w:noWrap/>
            <w:vAlign w:val="bottom"/>
          </w:tcPr>
          <w:p w14:paraId="54693B71" w14:textId="11DD6AB8" w:rsidR="004A2DF7" w:rsidRPr="006D2D94" w:rsidRDefault="00A35316">
            <w:pPr>
              <w:pStyle w:val="ARGrantstabletext"/>
              <w:rPr>
                <w:b/>
                <w:bCs/>
                <w:color w:val="000000"/>
              </w:rPr>
            </w:pPr>
            <w:r w:rsidRPr="006C0079">
              <w:rPr>
                <w:color w:val="000000"/>
              </w:rPr>
              <w:t>Limelight Touring Company</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41A4215" w14:textId="7653C0C0" w:rsidR="004A2DF7" w:rsidRPr="006D2D94" w:rsidRDefault="00A35316">
            <w:pPr>
              <w:pStyle w:val="ARGrantstabletextright"/>
              <w:rPr>
                <w:b/>
                <w:bCs/>
                <w:color w:val="000000"/>
              </w:rPr>
            </w:pPr>
            <w:r w:rsidRPr="006C0079">
              <w:rPr>
                <w:color w:val="000000"/>
              </w:rPr>
              <w:t>13,700</w:t>
            </w:r>
          </w:p>
        </w:tc>
      </w:tr>
      <w:tr w:rsidR="004A2DF7" w:rsidRPr="006D2D94" w14:paraId="2EAF4446" w14:textId="77777777" w:rsidTr="0009574E">
        <w:tc>
          <w:tcPr>
            <w:tcW w:w="3398" w:type="dxa"/>
            <w:noWrap/>
            <w:vAlign w:val="bottom"/>
          </w:tcPr>
          <w:p w14:paraId="09A47C52" w14:textId="06167087" w:rsidR="004A2DF7" w:rsidRPr="006D2D94" w:rsidRDefault="00A35316">
            <w:pPr>
              <w:pStyle w:val="ARGrantstabletext"/>
              <w:rPr>
                <w:b/>
                <w:bCs/>
                <w:color w:val="000000"/>
              </w:rPr>
            </w:pPr>
            <w:r w:rsidRPr="006C0079">
              <w:rPr>
                <w:color w:val="000000"/>
              </w:rPr>
              <w:t>Macedon Ranges Group of Bendigo Legacy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6420B11" w14:textId="25E79860" w:rsidR="004A2DF7" w:rsidRPr="006D2D94" w:rsidRDefault="00A35316">
            <w:pPr>
              <w:pStyle w:val="ARGrantstabletextright"/>
              <w:rPr>
                <w:b/>
                <w:bCs/>
                <w:color w:val="000000"/>
              </w:rPr>
            </w:pPr>
            <w:r w:rsidRPr="006C0079">
              <w:rPr>
                <w:color w:val="000000"/>
              </w:rPr>
              <w:t>6,930</w:t>
            </w:r>
          </w:p>
        </w:tc>
      </w:tr>
      <w:tr w:rsidR="004A2DF7" w:rsidRPr="006D2D94" w14:paraId="178C6C12" w14:textId="77777777" w:rsidTr="0009574E">
        <w:tc>
          <w:tcPr>
            <w:tcW w:w="3398" w:type="dxa"/>
            <w:noWrap/>
            <w:vAlign w:val="bottom"/>
          </w:tcPr>
          <w:p w14:paraId="14DAF4A5" w14:textId="40CD7098" w:rsidR="004A2DF7" w:rsidRPr="006D2D94" w:rsidRDefault="00A35316">
            <w:pPr>
              <w:pStyle w:val="ARGrantstabletext"/>
              <w:rPr>
                <w:b/>
                <w:bCs/>
                <w:color w:val="000000"/>
              </w:rPr>
            </w:pPr>
            <w:r w:rsidRPr="006C0079">
              <w:rPr>
                <w:color w:val="000000"/>
              </w:rPr>
              <w:t>Mansfield RSL Sub-Branch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EE80ECC" w14:textId="24654944" w:rsidR="004A2DF7" w:rsidRPr="006D2D94" w:rsidRDefault="00A35316">
            <w:pPr>
              <w:pStyle w:val="ARGrantstabletextright"/>
              <w:rPr>
                <w:b/>
                <w:bCs/>
                <w:color w:val="000000"/>
              </w:rPr>
            </w:pPr>
            <w:r w:rsidRPr="006C0079">
              <w:rPr>
                <w:color w:val="000000"/>
              </w:rPr>
              <w:t>43,492</w:t>
            </w:r>
          </w:p>
        </w:tc>
      </w:tr>
      <w:tr w:rsidR="004A2DF7" w:rsidRPr="006D2D94" w14:paraId="4DAF2224" w14:textId="77777777" w:rsidTr="0009574E">
        <w:tc>
          <w:tcPr>
            <w:tcW w:w="3398" w:type="dxa"/>
            <w:noWrap/>
            <w:vAlign w:val="bottom"/>
          </w:tcPr>
          <w:p w14:paraId="011ABEB7" w14:textId="5CB88B92" w:rsidR="004A2DF7" w:rsidRPr="006D2D94" w:rsidRDefault="00A35316">
            <w:pPr>
              <w:pStyle w:val="ARGrantstabletext"/>
              <w:rPr>
                <w:b/>
                <w:bCs/>
                <w:color w:val="000000"/>
              </w:rPr>
            </w:pPr>
            <w:r w:rsidRPr="006C0079">
              <w:rPr>
                <w:color w:val="000000"/>
              </w:rPr>
              <w:t>Melbourne Legacy</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A133397" w14:textId="2ECF4006" w:rsidR="004A2DF7" w:rsidRPr="006D2D94" w:rsidRDefault="00A35316">
            <w:pPr>
              <w:pStyle w:val="ARGrantstabletextright"/>
              <w:rPr>
                <w:b/>
                <w:bCs/>
                <w:color w:val="000000"/>
              </w:rPr>
            </w:pPr>
            <w:r w:rsidRPr="006C0079">
              <w:rPr>
                <w:color w:val="000000"/>
              </w:rPr>
              <w:t>152,000</w:t>
            </w:r>
          </w:p>
        </w:tc>
      </w:tr>
      <w:tr w:rsidR="004A2DF7" w:rsidRPr="006D2D94" w14:paraId="3C10AF0A" w14:textId="77777777" w:rsidTr="0009574E">
        <w:tc>
          <w:tcPr>
            <w:tcW w:w="3398" w:type="dxa"/>
            <w:noWrap/>
            <w:vAlign w:val="bottom"/>
          </w:tcPr>
          <w:p w14:paraId="52BD8EE0" w14:textId="5FD7F3CE" w:rsidR="004A2DF7" w:rsidRPr="006D2D94" w:rsidRDefault="00A35316">
            <w:pPr>
              <w:pStyle w:val="ARGrantstabletext"/>
              <w:rPr>
                <w:b/>
                <w:bCs/>
                <w:color w:val="000000"/>
              </w:rPr>
            </w:pPr>
            <w:proofErr w:type="spellStart"/>
            <w:r w:rsidRPr="006C0079">
              <w:rPr>
                <w:color w:val="000000"/>
              </w:rPr>
              <w:t>Millewa</w:t>
            </w:r>
            <w:proofErr w:type="spellEnd"/>
            <w:r w:rsidRPr="006C0079">
              <w:rPr>
                <w:color w:val="000000"/>
              </w:rPr>
              <w:t xml:space="preserve"> Advisory Group</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D1F125F" w14:textId="7AB10691" w:rsidR="004A2DF7" w:rsidRPr="006D2D94" w:rsidRDefault="00A35316">
            <w:pPr>
              <w:pStyle w:val="ARGrantstabletextright"/>
              <w:rPr>
                <w:b/>
                <w:bCs/>
                <w:color w:val="000000"/>
              </w:rPr>
            </w:pPr>
            <w:r w:rsidRPr="006C0079">
              <w:rPr>
                <w:color w:val="000000"/>
              </w:rPr>
              <w:t>6,600</w:t>
            </w:r>
          </w:p>
        </w:tc>
      </w:tr>
      <w:tr w:rsidR="004A2DF7" w:rsidRPr="006D2D94" w14:paraId="68621519" w14:textId="77777777" w:rsidTr="0009574E">
        <w:tc>
          <w:tcPr>
            <w:tcW w:w="3398" w:type="dxa"/>
            <w:noWrap/>
            <w:vAlign w:val="bottom"/>
          </w:tcPr>
          <w:p w14:paraId="6717D504" w14:textId="25E3EDD5" w:rsidR="004A2DF7" w:rsidRPr="006D2D94" w:rsidRDefault="00A35316">
            <w:pPr>
              <w:pStyle w:val="ARGrantstabletext"/>
              <w:rPr>
                <w:b/>
                <w:bCs/>
                <w:color w:val="000000"/>
              </w:rPr>
            </w:pPr>
            <w:r w:rsidRPr="006C0079">
              <w:rPr>
                <w:color w:val="000000"/>
              </w:rPr>
              <w:t>Mirboo North RSL Sub</w:t>
            </w:r>
            <w:r w:rsidR="00E83BE9">
              <w:rPr>
                <w:color w:val="000000"/>
              </w:rPr>
              <w:t>-</w:t>
            </w:r>
            <w:r w:rsidRPr="006C0079">
              <w:rPr>
                <w:color w:val="000000"/>
              </w:rPr>
              <w:t>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853F81C" w14:textId="1BF112CD" w:rsidR="004A2DF7" w:rsidRPr="006D2D94" w:rsidRDefault="00A35316">
            <w:pPr>
              <w:pStyle w:val="ARGrantstabletextright"/>
              <w:rPr>
                <w:b/>
                <w:bCs/>
                <w:color w:val="000000"/>
              </w:rPr>
            </w:pPr>
            <w:r w:rsidRPr="006C0079">
              <w:rPr>
                <w:color w:val="000000"/>
              </w:rPr>
              <w:t>47,137</w:t>
            </w:r>
          </w:p>
        </w:tc>
      </w:tr>
      <w:tr w:rsidR="004A2DF7" w:rsidRPr="006D2D94" w14:paraId="4E60EF4F" w14:textId="77777777" w:rsidTr="0009574E">
        <w:tc>
          <w:tcPr>
            <w:tcW w:w="3398" w:type="dxa"/>
            <w:noWrap/>
            <w:vAlign w:val="bottom"/>
          </w:tcPr>
          <w:p w14:paraId="15D05280" w14:textId="0A6AF474" w:rsidR="004A2DF7" w:rsidRPr="006D2D94" w:rsidRDefault="00A35316">
            <w:pPr>
              <w:pStyle w:val="ARGrantstabletext"/>
              <w:rPr>
                <w:b/>
                <w:bCs/>
                <w:color w:val="000000"/>
              </w:rPr>
            </w:pPr>
            <w:r w:rsidRPr="006C0079">
              <w:rPr>
                <w:color w:val="000000"/>
              </w:rPr>
              <w:t xml:space="preserve">Monash </w:t>
            </w:r>
            <w:proofErr w:type="spellStart"/>
            <w:r w:rsidRPr="006C0079">
              <w:rPr>
                <w:color w:val="000000"/>
              </w:rPr>
              <w:t>Mens</w:t>
            </w:r>
            <w:proofErr w:type="spellEnd"/>
            <w:r w:rsidRPr="006C0079">
              <w:rPr>
                <w:color w:val="000000"/>
              </w:rPr>
              <w:t xml:space="preserve"> Shed Incorporated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3F9B9FC" w14:textId="4430BF89" w:rsidR="004A2DF7" w:rsidRPr="006D2D94" w:rsidRDefault="00A35316">
            <w:pPr>
              <w:pStyle w:val="ARGrantstabletextright"/>
              <w:rPr>
                <w:b/>
                <w:bCs/>
                <w:color w:val="000000"/>
              </w:rPr>
            </w:pPr>
            <w:r w:rsidRPr="006C0079">
              <w:rPr>
                <w:color w:val="000000"/>
              </w:rPr>
              <w:t>2,890</w:t>
            </w:r>
          </w:p>
        </w:tc>
      </w:tr>
      <w:tr w:rsidR="004A2DF7" w:rsidRPr="006D2D94" w14:paraId="755F07B0" w14:textId="77777777" w:rsidTr="0009574E">
        <w:tc>
          <w:tcPr>
            <w:tcW w:w="3398" w:type="dxa"/>
            <w:noWrap/>
            <w:vAlign w:val="bottom"/>
          </w:tcPr>
          <w:p w14:paraId="77C97FCA" w14:textId="1D30C9DB" w:rsidR="004A2DF7" w:rsidRPr="006D2D94" w:rsidRDefault="00A35316">
            <w:pPr>
              <w:pStyle w:val="ARGrantstabletext"/>
              <w:rPr>
                <w:b/>
                <w:bCs/>
                <w:color w:val="000000"/>
              </w:rPr>
            </w:pPr>
            <w:r w:rsidRPr="006C0079">
              <w:rPr>
                <w:color w:val="000000"/>
              </w:rPr>
              <w:t>Mt Macedon ANZAC Day Dawn Service Incorporated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8385D46" w14:textId="73BC9D4A" w:rsidR="004A2DF7" w:rsidRPr="006D2D94" w:rsidRDefault="00A35316">
            <w:pPr>
              <w:pStyle w:val="ARGrantstabletextright"/>
              <w:rPr>
                <w:b/>
                <w:bCs/>
                <w:color w:val="000000"/>
              </w:rPr>
            </w:pPr>
            <w:r w:rsidRPr="006C0079">
              <w:rPr>
                <w:color w:val="000000"/>
              </w:rPr>
              <w:t>29,309</w:t>
            </w:r>
          </w:p>
        </w:tc>
      </w:tr>
      <w:tr w:rsidR="004A2DF7" w:rsidRPr="006D2D94" w14:paraId="0D5CC22F" w14:textId="77777777" w:rsidTr="0009574E">
        <w:tc>
          <w:tcPr>
            <w:tcW w:w="3398" w:type="dxa"/>
            <w:noWrap/>
            <w:vAlign w:val="bottom"/>
          </w:tcPr>
          <w:p w14:paraId="59B6F328" w14:textId="25EB0BB5" w:rsidR="004A2DF7" w:rsidRPr="006D2D94" w:rsidRDefault="00A35316">
            <w:pPr>
              <w:pStyle w:val="ARGrantstabletext"/>
              <w:rPr>
                <w:b/>
                <w:bCs/>
                <w:color w:val="000000"/>
              </w:rPr>
            </w:pPr>
            <w:r w:rsidRPr="006C0079">
              <w:rPr>
                <w:color w:val="000000"/>
              </w:rPr>
              <w:t>Myrtleford RSL Sub-Branch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A9B2810" w14:textId="452CE0EA" w:rsidR="004A2DF7" w:rsidRPr="006D2D94" w:rsidRDefault="00A35316">
            <w:pPr>
              <w:pStyle w:val="ARGrantstabletextright"/>
              <w:rPr>
                <w:b/>
                <w:bCs/>
                <w:color w:val="000000"/>
              </w:rPr>
            </w:pPr>
            <w:r w:rsidRPr="006C0079">
              <w:rPr>
                <w:color w:val="000000"/>
              </w:rPr>
              <w:t>17,000</w:t>
            </w:r>
          </w:p>
        </w:tc>
      </w:tr>
      <w:tr w:rsidR="004A2DF7" w:rsidRPr="006D2D94" w14:paraId="06D9BB10" w14:textId="77777777" w:rsidTr="0009574E">
        <w:tc>
          <w:tcPr>
            <w:tcW w:w="3398" w:type="dxa"/>
            <w:noWrap/>
            <w:vAlign w:val="bottom"/>
          </w:tcPr>
          <w:p w14:paraId="3A924CC8" w14:textId="65BD59C1" w:rsidR="004A2DF7" w:rsidRPr="006D2D94" w:rsidRDefault="00A35316">
            <w:pPr>
              <w:pStyle w:val="ARGrantstabletext"/>
              <w:rPr>
                <w:b/>
                <w:bCs/>
                <w:color w:val="000000"/>
              </w:rPr>
            </w:pPr>
            <w:r w:rsidRPr="006C0079">
              <w:rPr>
                <w:color w:val="000000"/>
              </w:rPr>
              <w:t>Nillumbik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99867FB" w14:textId="2C293EC5" w:rsidR="004A2DF7" w:rsidRPr="006D2D94" w:rsidRDefault="00A35316">
            <w:pPr>
              <w:pStyle w:val="ARGrantstabletextright"/>
              <w:rPr>
                <w:b/>
                <w:bCs/>
                <w:color w:val="000000"/>
              </w:rPr>
            </w:pPr>
            <w:r w:rsidRPr="006C0079">
              <w:rPr>
                <w:color w:val="000000"/>
              </w:rPr>
              <w:t>30,000</w:t>
            </w:r>
          </w:p>
        </w:tc>
      </w:tr>
      <w:tr w:rsidR="004A2DF7" w:rsidRPr="006D2D94" w14:paraId="10F26C48" w14:textId="77777777" w:rsidTr="0009574E">
        <w:tc>
          <w:tcPr>
            <w:tcW w:w="3398" w:type="dxa"/>
            <w:noWrap/>
            <w:vAlign w:val="bottom"/>
          </w:tcPr>
          <w:p w14:paraId="69EA1519" w14:textId="4559D67F" w:rsidR="004A2DF7" w:rsidRPr="006D2D94" w:rsidRDefault="00A35316">
            <w:pPr>
              <w:pStyle w:val="ARGrantstabletext"/>
              <w:rPr>
                <w:b/>
                <w:bCs/>
                <w:color w:val="000000"/>
              </w:rPr>
            </w:pPr>
            <w:r w:rsidRPr="006C0079">
              <w:rPr>
                <w:color w:val="000000"/>
              </w:rPr>
              <w:t>Numurkah RSL Sub-Branch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4385A70" w14:textId="22869231" w:rsidR="004A2DF7" w:rsidRPr="006D2D94" w:rsidRDefault="00A35316">
            <w:pPr>
              <w:pStyle w:val="ARGrantstabletextright"/>
              <w:rPr>
                <w:b/>
                <w:bCs/>
                <w:color w:val="000000"/>
              </w:rPr>
            </w:pPr>
            <w:r w:rsidRPr="006C0079">
              <w:rPr>
                <w:color w:val="000000"/>
              </w:rPr>
              <w:t>5,027</w:t>
            </w:r>
          </w:p>
        </w:tc>
      </w:tr>
      <w:tr w:rsidR="004A2DF7" w:rsidRPr="006D2D94" w14:paraId="11B6AA84" w14:textId="77777777" w:rsidTr="0009574E">
        <w:tc>
          <w:tcPr>
            <w:tcW w:w="3398" w:type="dxa"/>
            <w:noWrap/>
            <w:vAlign w:val="bottom"/>
          </w:tcPr>
          <w:p w14:paraId="3F30C7B8" w14:textId="1FA3234A" w:rsidR="004A2DF7" w:rsidRPr="006D2D94" w:rsidRDefault="00A35316">
            <w:pPr>
              <w:pStyle w:val="ARGrantstabletext"/>
              <w:rPr>
                <w:b/>
                <w:bCs/>
                <w:color w:val="000000"/>
                <w:spacing w:val="-6"/>
              </w:rPr>
            </w:pPr>
            <w:r w:rsidRPr="006C0079">
              <w:rPr>
                <w:color w:val="000000"/>
              </w:rPr>
              <w:t>Oakleigh Carnegie RSL Sub-Branch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D6AB536" w14:textId="508D9E48" w:rsidR="004A2DF7" w:rsidRPr="006D2D94" w:rsidRDefault="00A35316">
            <w:pPr>
              <w:pStyle w:val="ARGrantstabletextright"/>
              <w:rPr>
                <w:b/>
                <w:bCs/>
                <w:color w:val="000000"/>
              </w:rPr>
            </w:pPr>
            <w:r w:rsidRPr="006C0079">
              <w:rPr>
                <w:color w:val="000000"/>
              </w:rPr>
              <w:t>18,000</w:t>
            </w:r>
          </w:p>
        </w:tc>
      </w:tr>
      <w:tr w:rsidR="004A2DF7" w:rsidRPr="006D2D94" w14:paraId="1EFFEA65" w14:textId="77777777" w:rsidTr="0009574E">
        <w:tc>
          <w:tcPr>
            <w:tcW w:w="3398" w:type="dxa"/>
            <w:noWrap/>
            <w:vAlign w:val="bottom"/>
          </w:tcPr>
          <w:p w14:paraId="27B851E3" w14:textId="63FE062C" w:rsidR="004A2DF7" w:rsidRPr="006D2D94" w:rsidRDefault="00A35316">
            <w:pPr>
              <w:pStyle w:val="ARGrantstabletext"/>
              <w:rPr>
                <w:b/>
                <w:bCs/>
                <w:color w:val="000000"/>
              </w:rPr>
            </w:pPr>
            <w:r w:rsidRPr="006C0079">
              <w:rPr>
                <w:color w:val="000000"/>
              </w:rPr>
              <w:t>Path of the Horse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52A3353" w14:textId="233FB3E8" w:rsidR="004A2DF7" w:rsidRPr="006D2D94" w:rsidRDefault="00A35316">
            <w:pPr>
              <w:pStyle w:val="ARGrantstabletextright"/>
              <w:rPr>
                <w:b/>
                <w:bCs/>
                <w:color w:val="000000"/>
              </w:rPr>
            </w:pPr>
            <w:r w:rsidRPr="006C0079">
              <w:rPr>
                <w:color w:val="000000"/>
              </w:rPr>
              <w:t>50,000</w:t>
            </w:r>
          </w:p>
        </w:tc>
      </w:tr>
      <w:tr w:rsidR="004A2DF7" w:rsidRPr="006D2D94" w14:paraId="53DAF54C" w14:textId="77777777" w:rsidTr="0009574E">
        <w:tc>
          <w:tcPr>
            <w:tcW w:w="3398" w:type="dxa"/>
            <w:noWrap/>
            <w:vAlign w:val="bottom"/>
          </w:tcPr>
          <w:p w14:paraId="5ACFE61A" w14:textId="5DE590AA" w:rsidR="004A2DF7" w:rsidRPr="006D2D94" w:rsidRDefault="00A35316">
            <w:pPr>
              <w:pStyle w:val="ARGrantstabletext"/>
              <w:rPr>
                <w:b/>
                <w:bCs/>
                <w:color w:val="000000"/>
              </w:rPr>
            </w:pPr>
            <w:r w:rsidRPr="006C0079">
              <w:rPr>
                <w:color w:val="000000"/>
              </w:rPr>
              <w:t>Returned &amp; Services League of Australia Victorian 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4BB633C" w14:textId="4AEBAB3D" w:rsidR="004A2DF7" w:rsidRPr="006D2D94" w:rsidRDefault="00A35316">
            <w:pPr>
              <w:pStyle w:val="ARGrantstabletextright"/>
              <w:rPr>
                <w:b/>
                <w:bCs/>
                <w:color w:val="000000"/>
              </w:rPr>
            </w:pPr>
            <w:r w:rsidRPr="006C0079">
              <w:rPr>
                <w:color w:val="000000"/>
              </w:rPr>
              <w:t>290,000</w:t>
            </w:r>
          </w:p>
        </w:tc>
      </w:tr>
      <w:tr w:rsidR="004A2DF7" w:rsidRPr="006D2D94" w14:paraId="7353AF4D" w14:textId="77777777" w:rsidTr="0009574E">
        <w:tc>
          <w:tcPr>
            <w:tcW w:w="3398" w:type="dxa"/>
            <w:noWrap/>
            <w:vAlign w:val="bottom"/>
          </w:tcPr>
          <w:p w14:paraId="1201523C" w14:textId="4E152910" w:rsidR="004A2DF7" w:rsidRPr="006D2D94" w:rsidRDefault="00A35316">
            <w:pPr>
              <w:pStyle w:val="ARGrantstabletext"/>
              <w:rPr>
                <w:b/>
                <w:bCs/>
                <w:color w:val="000000"/>
              </w:rPr>
            </w:pPr>
            <w:r w:rsidRPr="006C0079">
              <w:rPr>
                <w:color w:val="000000"/>
              </w:rPr>
              <w:t>Ripon-Beaufort RSL Sub-Branch patriotic fund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7BC714E" w14:textId="1CD525DA" w:rsidR="004A2DF7" w:rsidRPr="006D2D94" w:rsidRDefault="00A35316">
            <w:pPr>
              <w:pStyle w:val="ARGrantstabletextright"/>
              <w:rPr>
                <w:b/>
                <w:bCs/>
                <w:color w:val="000000"/>
              </w:rPr>
            </w:pPr>
            <w:r w:rsidRPr="006C0079">
              <w:rPr>
                <w:color w:val="000000"/>
              </w:rPr>
              <w:t>20,973</w:t>
            </w:r>
          </w:p>
        </w:tc>
      </w:tr>
      <w:tr w:rsidR="004A2DF7" w:rsidRPr="006D2D94" w14:paraId="40FE38D8" w14:textId="77777777" w:rsidTr="0009574E">
        <w:tc>
          <w:tcPr>
            <w:tcW w:w="3398" w:type="dxa"/>
            <w:noWrap/>
            <w:vAlign w:val="bottom"/>
          </w:tcPr>
          <w:p w14:paraId="6C790160" w14:textId="3819EA45" w:rsidR="004A2DF7" w:rsidRPr="006D2D94" w:rsidRDefault="00A35316">
            <w:pPr>
              <w:pStyle w:val="ARGrantstabletext"/>
              <w:rPr>
                <w:b/>
                <w:bCs/>
                <w:color w:val="000000"/>
              </w:rPr>
            </w:pPr>
            <w:r w:rsidRPr="006C0079">
              <w:rPr>
                <w:color w:val="000000"/>
              </w:rPr>
              <w:t>Rotary Club of Boronia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936A8FF" w14:textId="553D3D3F" w:rsidR="004A2DF7" w:rsidRPr="006D2D94" w:rsidRDefault="00A35316">
            <w:pPr>
              <w:pStyle w:val="ARGrantstabletextright"/>
              <w:rPr>
                <w:b/>
                <w:bCs/>
                <w:color w:val="000000"/>
              </w:rPr>
            </w:pPr>
            <w:r w:rsidRPr="006C0079">
              <w:rPr>
                <w:color w:val="000000"/>
              </w:rPr>
              <w:t>3,120</w:t>
            </w:r>
          </w:p>
        </w:tc>
      </w:tr>
      <w:tr w:rsidR="004A2DF7" w:rsidRPr="006D2D94" w14:paraId="01DEC79F" w14:textId="77777777" w:rsidTr="0009574E">
        <w:tc>
          <w:tcPr>
            <w:tcW w:w="3398" w:type="dxa"/>
            <w:noWrap/>
            <w:vAlign w:val="bottom"/>
          </w:tcPr>
          <w:p w14:paraId="73D79A32" w14:textId="29636E1C" w:rsidR="004A2DF7" w:rsidRPr="006D2D94" w:rsidRDefault="00A35316">
            <w:pPr>
              <w:pStyle w:val="ARGrantstabletext"/>
              <w:rPr>
                <w:b/>
                <w:bCs/>
                <w:color w:val="000000"/>
              </w:rPr>
            </w:pPr>
            <w:r w:rsidRPr="006C0079">
              <w:rPr>
                <w:color w:val="000000"/>
              </w:rPr>
              <w:t>Rotary Club of Glen Waverley</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143674D" w14:textId="6683E1F1" w:rsidR="004A2DF7" w:rsidRPr="006D2D94" w:rsidRDefault="00A35316">
            <w:pPr>
              <w:pStyle w:val="ARGrantstabletextright"/>
              <w:rPr>
                <w:b/>
                <w:bCs/>
                <w:color w:val="000000"/>
              </w:rPr>
            </w:pPr>
            <w:r w:rsidRPr="006C0079">
              <w:rPr>
                <w:color w:val="000000"/>
              </w:rPr>
              <w:t>6,072</w:t>
            </w:r>
          </w:p>
        </w:tc>
      </w:tr>
      <w:tr w:rsidR="004A2DF7" w:rsidRPr="006D2D94" w14:paraId="69EBC933" w14:textId="77777777" w:rsidTr="0009574E">
        <w:tc>
          <w:tcPr>
            <w:tcW w:w="3398" w:type="dxa"/>
            <w:noWrap/>
            <w:vAlign w:val="bottom"/>
          </w:tcPr>
          <w:p w14:paraId="5A9CDFA6" w14:textId="60B32347" w:rsidR="004A2DF7" w:rsidRPr="006D2D94" w:rsidRDefault="00A35316">
            <w:pPr>
              <w:pStyle w:val="ARGrantstabletext"/>
              <w:rPr>
                <w:b/>
                <w:bCs/>
                <w:color w:val="000000"/>
              </w:rPr>
            </w:pPr>
            <w:r w:rsidRPr="006C0079">
              <w:rPr>
                <w:color w:val="000000"/>
              </w:rPr>
              <w:t>Rotary Club of Manningham City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F3CC8AF" w14:textId="7A7A4F06" w:rsidR="004A2DF7" w:rsidRPr="006D2D94" w:rsidRDefault="00A35316">
            <w:pPr>
              <w:pStyle w:val="ARGrantstabletextright"/>
              <w:rPr>
                <w:b/>
                <w:bCs/>
                <w:color w:val="000000"/>
              </w:rPr>
            </w:pPr>
            <w:r w:rsidRPr="006C0079">
              <w:rPr>
                <w:color w:val="000000"/>
              </w:rPr>
              <w:t>6,020</w:t>
            </w:r>
          </w:p>
        </w:tc>
      </w:tr>
      <w:tr w:rsidR="004A2DF7" w:rsidRPr="006D2D94" w14:paraId="616A59FA" w14:textId="77777777" w:rsidTr="0009574E">
        <w:tc>
          <w:tcPr>
            <w:tcW w:w="3398" w:type="dxa"/>
            <w:noWrap/>
            <w:vAlign w:val="bottom"/>
          </w:tcPr>
          <w:p w14:paraId="15928B63" w14:textId="413686F3" w:rsidR="004A2DF7" w:rsidRPr="006D2D94" w:rsidRDefault="00A35316">
            <w:pPr>
              <w:pStyle w:val="ARGrantstabletext"/>
              <w:rPr>
                <w:b/>
                <w:bCs/>
                <w:color w:val="000000"/>
              </w:rPr>
            </w:pPr>
            <w:r w:rsidRPr="006C0079">
              <w:rPr>
                <w:color w:val="000000"/>
              </w:rPr>
              <w:t>Save our services Australia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1FA10FC" w14:textId="63E3F629" w:rsidR="004A2DF7" w:rsidRPr="006D2D94" w:rsidRDefault="00A35316">
            <w:pPr>
              <w:pStyle w:val="ARGrantstabletextright"/>
              <w:rPr>
                <w:b/>
                <w:bCs/>
                <w:color w:val="000000"/>
              </w:rPr>
            </w:pPr>
            <w:r w:rsidRPr="006C0079">
              <w:rPr>
                <w:color w:val="000000"/>
              </w:rPr>
              <w:t>30,000</w:t>
            </w:r>
          </w:p>
        </w:tc>
      </w:tr>
      <w:tr w:rsidR="004A2DF7" w:rsidRPr="006D2D94" w14:paraId="591A9204" w14:textId="77777777" w:rsidTr="0009574E">
        <w:tc>
          <w:tcPr>
            <w:tcW w:w="3398" w:type="dxa"/>
            <w:tcBorders>
              <w:bottom w:val="single" w:sz="4" w:space="0" w:color="A6A6A6" w:themeColor="accent5"/>
            </w:tcBorders>
            <w:noWrap/>
            <w:vAlign w:val="bottom"/>
          </w:tcPr>
          <w:p w14:paraId="480AC222" w14:textId="3427D47A" w:rsidR="004A2DF7" w:rsidRPr="006D2D94" w:rsidRDefault="00A35316">
            <w:pPr>
              <w:pStyle w:val="ARGrantstabletext"/>
              <w:rPr>
                <w:b/>
                <w:bCs/>
                <w:color w:val="000000"/>
              </w:rPr>
            </w:pPr>
            <w:r w:rsidRPr="006C0079">
              <w:rPr>
                <w:color w:val="000000"/>
              </w:rPr>
              <w:t>Sea Lake RSL Sub</w:t>
            </w:r>
            <w:r w:rsidR="00EA7A42">
              <w:rPr>
                <w:color w:val="000000"/>
              </w:rPr>
              <w:t>-</w:t>
            </w:r>
            <w:r w:rsidRPr="006C0079">
              <w:rPr>
                <w:color w:val="000000"/>
              </w:rPr>
              <w:t>Branch</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5FC664EC" w14:textId="0ACA2287" w:rsidR="004A2DF7" w:rsidRPr="006D2D94" w:rsidRDefault="00A35316">
            <w:pPr>
              <w:pStyle w:val="ARGrantstabletextright"/>
              <w:rPr>
                <w:b/>
                <w:bCs/>
                <w:color w:val="000000"/>
              </w:rPr>
            </w:pPr>
            <w:r w:rsidRPr="006C0079">
              <w:rPr>
                <w:color w:val="000000"/>
              </w:rPr>
              <w:t>25,000</w:t>
            </w:r>
          </w:p>
        </w:tc>
      </w:tr>
      <w:tr w:rsidR="004A2DF7" w:rsidRPr="006D2D94" w14:paraId="5A88BEFC" w14:textId="77777777" w:rsidTr="0009574E">
        <w:tc>
          <w:tcPr>
            <w:tcW w:w="3398" w:type="dxa"/>
            <w:tcBorders>
              <w:top w:val="single" w:sz="4" w:space="0" w:color="A6A6A6" w:themeColor="accent5"/>
              <w:bottom w:val="single" w:sz="4" w:space="0" w:color="A6A6A6" w:themeColor="accent5"/>
            </w:tcBorders>
            <w:noWrap/>
            <w:vAlign w:val="bottom"/>
          </w:tcPr>
          <w:p w14:paraId="6B608CF3" w14:textId="079B5124" w:rsidR="004A2DF7" w:rsidRPr="006D2D94" w:rsidRDefault="00A35316">
            <w:pPr>
              <w:pStyle w:val="ARGrantstabletext"/>
              <w:rPr>
                <w:b/>
                <w:bCs/>
                <w:color w:val="000000"/>
                <w:spacing w:val="-4"/>
              </w:rPr>
            </w:pPr>
            <w:r w:rsidRPr="006C0079">
              <w:rPr>
                <w:color w:val="000000"/>
              </w:rPr>
              <w:t>Seymour RSL Sub-Branch</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720C3CE3" w14:textId="6C84791D" w:rsidR="004A2DF7" w:rsidRPr="006D2D94" w:rsidRDefault="00A35316">
            <w:pPr>
              <w:pStyle w:val="ARGrantstabletextright"/>
              <w:rPr>
                <w:b/>
                <w:bCs/>
                <w:color w:val="000000"/>
              </w:rPr>
            </w:pPr>
            <w:r w:rsidRPr="006C0079">
              <w:rPr>
                <w:color w:val="000000"/>
              </w:rPr>
              <w:t>10,000</w:t>
            </w:r>
          </w:p>
        </w:tc>
      </w:tr>
      <w:tr w:rsidR="004A2DF7" w:rsidRPr="006D2D94" w14:paraId="62BC60FA" w14:textId="77777777" w:rsidTr="0009574E">
        <w:tc>
          <w:tcPr>
            <w:tcW w:w="3398" w:type="dxa"/>
            <w:tcBorders>
              <w:top w:val="single" w:sz="4" w:space="0" w:color="A6A6A6" w:themeColor="accent5"/>
            </w:tcBorders>
            <w:noWrap/>
            <w:vAlign w:val="bottom"/>
          </w:tcPr>
          <w:p w14:paraId="4B13A063" w14:textId="31273FBA" w:rsidR="004A2DF7" w:rsidRPr="006D2D94" w:rsidRDefault="00A35316">
            <w:pPr>
              <w:pStyle w:val="ARGrantstabletext"/>
              <w:rPr>
                <w:b/>
                <w:bCs/>
                <w:color w:val="000000"/>
              </w:rPr>
            </w:pPr>
            <w:r w:rsidRPr="006C0079">
              <w:rPr>
                <w:color w:val="000000"/>
              </w:rPr>
              <w:t>Seymour RSL Sub-Branch Building Patriotic Fund</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4AFCE3CF" w14:textId="49C49584" w:rsidR="004A2DF7" w:rsidRPr="006D2D94" w:rsidRDefault="00A35316">
            <w:pPr>
              <w:pStyle w:val="ARGrantstabletextright"/>
              <w:rPr>
                <w:b/>
                <w:bCs/>
                <w:color w:val="000000"/>
              </w:rPr>
            </w:pPr>
            <w:r w:rsidRPr="006C0079">
              <w:rPr>
                <w:color w:val="000000"/>
              </w:rPr>
              <w:t>50,000</w:t>
            </w:r>
          </w:p>
        </w:tc>
      </w:tr>
      <w:tr w:rsidR="004A2DF7" w:rsidRPr="006D2D94" w14:paraId="2AD6777A" w14:textId="77777777" w:rsidTr="0009574E">
        <w:tc>
          <w:tcPr>
            <w:tcW w:w="3398" w:type="dxa"/>
            <w:noWrap/>
            <w:vAlign w:val="bottom"/>
          </w:tcPr>
          <w:p w14:paraId="6FE13C6C" w14:textId="15A8C5B8" w:rsidR="004A2DF7" w:rsidRPr="006D2D94" w:rsidRDefault="00A35316">
            <w:pPr>
              <w:pStyle w:val="ARGrantstabletext"/>
              <w:rPr>
                <w:b/>
                <w:bCs/>
                <w:color w:val="000000"/>
              </w:rPr>
            </w:pPr>
            <w:r w:rsidRPr="006C0079">
              <w:rPr>
                <w:color w:val="000000"/>
              </w:rPr>
              <w:t>Shrine of Remembrance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ED7E0C3" w14:textId="06B5D261" w:rsidR="004A2DF7" w:rsidRPr="006D2D94" w:rsidRDefault="00A35316">
            <w:pPr>
              <w:pStyle w:val="ARGrantstabletextright"/>
              <w:rPr>
                <w:b/>
                <w:bCs/>
                <w:color w:val="000000"/>
              </w:rPr>
            </w:pPr>
            <w:r w:rsidRPr="006C0079">
              <w:rPr>
                <w:color w:val="000000"/>
              </w:rPr>
              <w:t>3,556,627</w:t>
            </w:r>
          </w:p>
        </w:tc>
      </w:tr>
      <w:tr w:rsidR="004A2DF7" w:rsidRPr="006D2D94" w14:paraId="367375FA" w14:textId="77777777" w:rsidTr="0009574E">
        <w:tc>
          <w:tcPr>
            <w:tcW w:w="3398" w:type="dxa"/>
            <w:noWrap/>
            <w:vAlign w:val="bottom"/>
          </w:tcPr>
          <w:p w14:paraId="00B2469C" w14:textId="08547F00" w:rsidR="004A2DF7" w:rsidRPr="006D2D94" w:rsidRDefault="00A35316">
            <w:pPr>
              <w:pStyle w:val="ARGrantstabletext"/>
              <w:rPr>
                <w:b/>
                <w:bCs/>
                <w:color w:val="000000"/>
              </w:rPr>
            </w:pPr>
            <w:r w:rsidRPr="006C0079">
              <w:rPr>
                <w:color w:val="000000"/>
              </w:rPr>
              <w:t>Soldier On</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24B867E" w14:textId="2C98D979" w:rsidR="004A2DF7" w:rsidRPr="006D2D94" w:rsidRDefault="00A35316">
            <w:pPr>
              <w:pStyle w:val="ARGrantstabletextright"/>
              <w:rPr>
                <w:b/>
                <w:bCs/>
                <w:color w:val="000000"/>
              </w:rPr>
            </w:pPr>
            <w:r w:rsidRPr="006C0079">
              <w:rPr>
                <w:color w:val="000000"/>
              </w:rPr>
              <w:t>142,993</w:t>
            </w:r>
          </w:p>
        </w:tc>
      </w:tr>
      <w:tr w:rsidR="004A2DF7" w:rsidRPr="006D2D94" w14:paraId="019CEE66" w14:textId="77777777" w:rsidTr="0009574E">
        <w:tc>
          <w:tcPr>
            <w:tcW w:w="3398" w:type="dxa"/>
            <w:noWrap/>
            <w:vAlign w:val="bottom"/>
          </w:tcPr>
          <w:p w14:paraId="0681D3D6" w14:textId="7EDBD2D1" w:rsidR="004A2DF7" w:rsidRPr="006D2D94" w:rsidRDefault="00A35316">
            <w:pPr>
              <w:pStyle w:val="ARGrantstabletext"/>
              <w:rPr>
                <w:b/>
                <w:bCs/>
                <w:color w:val="000000"/>
              </w:rPr>
            </w:pPr>
            <w:r w:rsidRPr="006C0079">
              <w:rPr>
                <w:color w:val="000000"/>
              </w:rPr>
              <w:t>St Arnaud RSL Sub-Branch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DA86E51" w14:textId="5233904A" w:rsidR="004A2DF7" w:rsidRPr="006D2D94" w:rsidRDefault="00A35316">
            <w:pPr>
              <w:pStyle w:val="ARGrantstabletextright"/>
              <w:rPr>
                <w:b/>
                <w:bCs/>
                <w:color w:val="000000"/>
              </w:rPr>
            </w:pPr>
            <w:r w:rsidRPr="006C0079">
              <w:rPr>
                <w:color w:val="000000"/>
              </w:rPr>
              <w:t>7,535</w:t>
            </w:r>
          </w:p>
        </w:tc>
      </w:tr>
      <w:tr w:rsidR="004A2DF7" w:rsidRPr="006D2D94" w14:paraId="56F6CA49" w14:textId="77777777" w:rsidTr="00F90BC7">
        <w:tc>
          <w:tcPr>
            <w:tcW w:w="3398" w:type="dxa"/>
            <w:tcBorders>
              <w:bottom w:val="single" w:sz="4" w:space="0" w:color="A6A6A6" w:themeColor="accent5"/>
            </w:tcBorders>
            <w:noWrap/>
            <w:vAlign w:val="bottom"/>
          </w:tcPr>
          <w:p w14:paraId="7C7271C7" w14:textId="1F33442C" w:rsidR="004A2DF7" w:rsidRPr="006D2D94" w:rsidRDefault="00A35316">
            <w:pPr>
              <w:pStyle w:val="ARGrantstabletext"/>
              <w:rPr>
                <w:b/>
                <w:bCs/>
                <w:color w:val="000000"/>
              </w:rPr>
            </w:pPr>
            <w:r w:rsidRPr="006C0079">
              <w:rPr>
                <w:color w:val="000000"/>
              </w:rPr>
              <w:t>Stawell RSL Sub-Branch</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4D83DE5F" w14:textId="0CCB04EF" w:rsidR="004A2DF7" w:rsidRPr="006D2D94" w:rsidRDefault="00A35316">
            <w:pPr>
              <w:pStyle w:val="ARGrantstabletextright"/>
              <w:rPr>
                <w:b/>
                <w:bCs/>
                <w:color w:val="000000"/>
              </w:rPr>
            </w:pPr>
            <w:r w:rsidRPr="006C0079">
              <w:rPr>
                <w:color w:val="000000"/>
              </w:rPr>
              <w:t>13,395</w:t>
            </w:r>
          </w:p>
        </w:tc>
      </w:tr>
      <w:tr w:rsidR="004A2DF7" w:rsidRPr="006D2D94" w14:paraId="27C57F13" w14:textId="77777777" w:rsidTr="00F90BC7">
        <w:tc>
          <w:tcPr>
            <w:tcW w:w="3398" w:type="dxa"/>
            <w:tcBorders>
              <w:top w:val="single" w:sz="4" w:space="0" w:color="A6A6A6" w:themeColor="accent5"/>
              <w:bottom w:val="single" w:sz="4" w:space="0" w:color="A6A6A6" w:themeColor="accent5"/>
            </w:tcBorders>
            <w:noWrap/>
            <w:vAlign w:val="bottom"/>
          </w:tcPr>
          <w:p w14:paraId="54BB4250" w14:textId="6388FA19" w:rsidR="004A2DF7" w:rsidRPr="006D2D94" w:rsidRDefault="00A35316">
            <w:pPr>
              <w:pStyle w:val="ARGrantstabletext"/>
              <w:rPr>
                <w:b/>
                <w:bCs/>
                <w:color w:val="000000"/>
              </w:rPr>
            </w:pPr>
            <w:r w:rsidRPr="006C0079">
              <w:rPr>
                <w:color w:val="000000"/>
              </w:rPr>
              <w:t>Sunshine RSL Sub-Branch</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2EEBD134" w14:textId="18EF708B" w:rsidR="004A2DF7" w:rsidRPr="006D2D94" w:rsidRDefault="00A35316">
            <w:pPr>
              <w:pStyle w:val="ARGrantstabletextright"/>
              <w:rPr>
                <w:b/>
                <w:bCs/>
                <w:color w:val="000000"/>
              </w:rPr>
            </w:pPr>
            <w:r w:rsidRPr="006C0079">
              <w:rPr>
                <w:color w:val="000000"/>
              </w:rPr>
              <w:t>10,000</w:t>
            </w:r>
          </w:p>
        </w:tc>
      </w:tr>
      <w:tr w:rsidR="004A2DF7" w:rsidRPr="006D2D94" w14:paraId="22CA29C4" w14:textId="77777777" w:rsidTr="00F90BC7">
        <w:tc>
          <w:tcPr>
            <w:tcW w:w="3398" w:type="dxa"/>
            <w:tcBorders>
              <w:top w:val="single" w:sz="4" w:space="0" w:color="A6A6A6" w:themeColor="accent5"/>
            </w:tcBorders>
            <w:noWrap/>
            <w:vAlign w:val="bottom"/>
          </w:tcPr>
          <w:p w14:paraId="5EA8C4CE" w14:textId="34BD47B5" w:rsidR="004A2DF7" w:rsidRPr="006D2D94" w:rsidRDefault="00A35316">
            <w:pPr>
              <w:pStyle w:val="ARGrantstabletext"/>
              <w:rPr>
                <w:b/>
                <w:bCs/>
                <w:color w:val="000000"/>
              </w:rPr>
            </w:pPr>
            <w:r w:rsidRPr="006C0079">
              <w:rPr>
                <w:color w:val="000000"/>
              </w:rPr>
              <w:t>Swan Hill RSL Sub-Branch</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0B9308ED" w14:textId="5C74C1F8" w:rsidR="004A2DF7" w:rsidRPr="006D2D94" w:rsidRDefault="00A35316">
            <w:pPr>
              <w:pStyle w:val="ARGrantstabletextright"/>
              <w:rPr>
                <w:b/>
                <w:bCs/>
                <w:color w:val="000000"/>
              </w:rPr>
            </w:pPr>
            <w:r w:rsidRPr="006C0079">
              <w:rPr>
                <w:color w:val="000000"/>
              </w:rPr>
              <w:t>47,152</w:t>
            </w:r>
          </w:p>
        </w:tc>
      </w:tr>
      <w:tr w:rsidR="004A2DF7" w:rsidRPr="006D2D94" w14:paraId="177E4D0D" w14:textId="77777777" w:rsidTr="0009574E">
        <w:tc>
          <w:tcPr>
            <w:tcW w:w="3398" w:type="dxa"/>
            <w:tcBorders>
              <w:bottom w:val="single" w:sz="4" w:space="0" w:color="A6A6A6" w:themeColor="accent5"/>
            </w:tcBorders>
            <w:noWrap/>
            <w:vAlign w:val="bottom"/>
          </w:tcPr>
          <w:p w14:paraId="40B10A7C" w14:textId="0642316C" w:rsidR="004A2DF7" w:rsidRPr="006D2D94" w:rsidRDefault="00A35316">
            <w:pPr>
              <w:pStyle w:val="ARGrantstabletext"/>
              <w:rPr>
                <w:b/>
                <w:bCs/>
                <w:color w:val="000000"/>
                <w:spacing w:val="-2"/>
              </w:rPr>
            </w:pPr>
            <w:proofErr w:type="spellStart"/>
            <w:r w:rsidRPr="006C0079">
              <w:rPr>
                <w:color w:val="000000"/>
              </w:rPr>
              <w:t>Tawasul</w:t>
            </w:r>
            <w:proofErr w:type="spellEnd"/>
            <w:r w:rsidRPr="006C0079">
              <w:rPr>
                <w:color w:val="000000"/>
              </w:rPr>
              <w:t xml:space="preserve"> Foundation</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62EC1F6C" w14:textId="346EA60C" w:rsidR="004A2DF7" w:rsidRPr="006D2D94" w:rsidRDefault="00A35316">
            <w:pPr>
              <w:pStyle w:val="ARGrantstabletextright"/>
              <w:rPr>
                <w:b/>
                <w:bCs/>
                <w:color w:val="000000"/>
              </w:rPr>
            </w:pPr>
            <w:r w:rsidRPr="006C0079">
              <w:rPr>
                <w:color w:val="000000"/>
              </w:rPr>
              <w:t>28,500</w:t>
            </w:r>
          </w:p>
        </w:tc>
      </w:tr>
      <w:tr w:rsidR="004A2DF7" w:rsidRPr="006D2D94" w14:paraId="399CA29C" w14:textId="77777777" w:rsidTr="0009574E">
        <w:tc>
          <w:tcPr>
            <w:tcW w:w="3398" w:type="dxa"/>
            <w:tcBorders>
              <w:top w:val="single" w:sz="4" w:space="0" w:color="A6A6A6" w:themeColor="accent5"/>
              <w:bottom w:val="single" w:sz="4" w:space="0" w:color="A6A6A6" w:themeColor="accent5"/>
            </w:tcBorders>
            <w:noWrap/>
            <w:vAlign w:val="bottom"/>
          </w:tcPr>
          <w:p w14:paraId="635EA4E4" w14:textId="770F2CD3" w:rsidR="004A2DF7" w:rsidRPr="006D2D94" w:rsidRDefault="00A35316">
            <w:pPr>
              <w:pStyle w:val="ARGrantstabletext"/>
              <w:rPr>
                <w:b/>
                <w:bCs/>
                <w:color w:val="000000"/>
              </w:rPr>
            </w:pPr>
            <w:r w:rsidRPr="006C0079">
              <w:rPr>
                <w:color w:val="000000"/>
              </w:rPr>
              <w:t>This Story Australia Ltd</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40E8AF5F" w14:textId="4DC484E0" w:rsidR="004A2DF7" w:rsidRPr="006D2D94" w:rsidRDefault="00A35316">
            <w:pPr>
              <w:pStyle w:val="ARGrantstabletextright"/>
              <w:rPr>
                <w:b/>
                <w:bCs/>
                <w:color w:val="000000"/>
              </w:rPr>
            </w:pPr>
            <w:r w:rsidRPr="006C0079">
              <w:rPr>
                <w:color w:val="000000"/>
              </w:rPr>
              <w:t>29,500</w:t>
            </w:r>
          </w:p>
        </w:tc>
      </w:tr>
      <w:tr w:rsidR="004A2DF7" w:rsidRPr="006D2D94" w14:paraId="7EE4A81B" w14:textId="77777777" w:rsidTr="0009574E">
        <w:tc>
          <w:tcPr>
            <w:tcW w:w="3398" w:type="dxa"/>
            <w:tcBorders>
              <w:top w:val="single" w:sz="4" w:space="0" w:color="A6A6A6" w:themeColor="accent5"/>
            </w:tcBorders>
            <w:noWrap/>
            <w:vAlign w:val="bottom"/>
          </w:tcPr>
          <w:p w14:paraId="4916FF02" w14:textId="1C37990F" w:rsidR="004A2DF7" w:rsidRPr="006D2D94" w:rsidRDefault="00A35316">
            <w:pPr>
              <w:pStyle w:val="ARGrantstabletext"/>
              <w:rPr>
                <w:b/>
                <w:bCs/>
                <w:color w:val="000000"/>
              </w:rPr>
            </w:pPr>
            <w:r w:rsidRPr="006C0079">
              <w:rPr>
                <w:color w:val="000000"/>
              </w:rPr>
              <w:t>Tooborac Mechanics Hall and Reserve Committee of Management Inc.</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1241BC62" w14:textId="021775B0" w:rsidR="004A2DF7" w:rsidRPr="006D2D94" w:rsidRDefault="00A35316">
            <w:pPr>
              <w:pStyle w:val="ARGrantstabletextright"/>
              <w:rPr>
                <w:b/>
                <w:bCs/>
                <w:color w:val="000000"/>
              </w:rPr>
            </w:pPr>
            <w:r w:rsidRPr="006C0079">
              <w:rPr>
                <w:color w:val="000000"/>
              </w:rPr>
              <w:t>30,000</w:t>
            </w:r>
          </w:p>
        </w:tc>
      </w:tr>
      <w:tr w:rsidR="004A2DF7" w:rsidRPr="006D2D94" w14:paraId="04320402" w14:textId="77777777" w:rsidTr="0009574E">
        <w:tc>
          <w:tcPr>
            <w:tcW w:w="3398" w:type="dxa"/>
            <w:noWrap/>
            <w:vAlign w:val="bottom"/>
          </w:tcPr>
          <w:p w14:paraId="25120FF7" w14:textId="590A9191" w:rsidR="004A2DF7" w:rsidRPr="006D2D94" w:rsidRDefault="00A35316">
            <w:pPr>
              <w:pStyle w:val="ARGrantstabletext"/>
              <w:rPr>
                <w:b/>
                <w:bCs/>
                <w:color w:val="000000"/>
              </w:rPr>
            </w:pPr>
            <w:r w:rsidRPr="006C0079">
              <w:rPr>
                <w:color w:val="000000"/>
              </w:rPr>
              <w:t>Upwey Belgrave RSL Sub-Branch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0FB4FD2" w14:textId="057F3D1A" w:rsidR="004A2DF7" w:rsidRPr="006D2D94" w:rsidRDefault="00A35316">
            <w:pPr>
              <w:pStyle w:val="ARGrantstabletextright"/>
              <w:rPr>
                <w:b/>
                <w:bCs/>
                <w:color w:val="000000"/>
              </w:rPr>
            </w:pPr>
            <w:r w:rsidRPr="006C0079">
              <w:rPr>
                <w:color w:val="000000"/>
              </w:rPr>
              <w:t>46,350</w:t>
            </w:r>
          </w:p>
        </w:tc>
      </w:tr>
      <w:tr w:rsidR="004A2DF7" w:rsidRPr="006D2D94" w14:paraId="13E36A35" w14:textId="77777777" w:rsidTr="0009574E">
        <w:tc>
          <w:tcPr>
            <w:tcW w:w="3398" w:type="dxa"/>
            <w:noWrap/>
            <w:vAlign w:val="bottom"/>
          </w:tcPr>
          <w:p w14:paraId="0DD0769A" w14:textId="7D57B541" w:rsidR="004A2DF7" w:rsidRPr="006D2D94" w:rsidRDefault="00A35316">
            <w:pPr>
              <w:pStyle w:val="ARGrantstabletext"/>
              <w:rPr>
                <w:b/>
                <w:bCs/>
                <w:color w:val="000000"/>
              </w:rPr>
            </w:pPr>
            <w:r w:rsidRPr="006C0079">
              <w:rPr>
                <w:color w:val="000000"/>
              </w:rPr>
              <w:t>Vasey RSL Care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162BC6D" w14:textId="28D18244" w:rsidR="004A2DF7" w:rsidRPr="006D2D94" w:rsidRDefault="00A35316">
            <w:pPr>
              <w:pStyle w:val="ARGrantstabletextright"/>
              <w:rPr>
                <w:b/>
                <w:bCs/>
                <w:color w:val="000000"/>
              </w:rPr>
            </w:pPr>
            <w:r w:rsidRPr="006C0079">
              <w:rPr>
                <w:color w:val="000000"/>
              </w:rPr>
              <w:t>175,000</w:t>
            </w:r>
          </w:p>
        </w:tc>
      </w:tr>
      <w:tr w:rsidR="004A2DF7" w:rsidRPr="006D2D94" w14:paraId="78CE1626" w14:textId="77777777" w:rsidTr="0009574E">
        <w:tc>
          <w:tcPr>
            <w:tcW w:w="3398" w:type="dxa"/>
            <w:noWrap/>
            <w:vAlign w:val="bottom"/>
          </w:tcPr>
          <w:p w14:paraId="166E271B" w14:textId="087F23BA" w:rsidR="004A2DF7" w:rsidRPr="006D2D94" w:rsidRDefault="00A35316">
            <w:pPr>
              <w:pStyle w:val="ARGrantstabletext"/>
              <w:rPr>
                <w:b/>
                <w:bCs/>
                <w:color w:val="000000"/>
              </w:rPr>
            </w:pPr>
            <w:r w:rsidRPr="006C0079">
              <w:rPr>
                <w:color w:val="000000"/>
              </w:rPr>
              <w:t>Veteran Gaming Australia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ADF04F6" w14:textId="108A52D1" w:rsidR="004A2DF7" w:rsidRPr="006D2D94" w:rsidRDefault="00A35316">
            <w:pPr>
              <w:pStyle w:val="ARGrantstabletextright"/>
              <w:rPr>
                <w:b/>
                <w:bCs/>
                <w:color w:val="000000"/>
              </w:rPr>
            </w:pPr>
            <w:r w:rsidRPr="006C0079">
              <w:rPr>
                <w:color w:val="000000"/>
              </w:rPr>
              <w:t>20,000</w:t>
            </w:r>
          </w:p>
        </w:tc>
      </w:tr>
      <w:tr w:rsidR="004A2DF7" w:rsidRPr="006D2D94" w14:paraId="3DE35287" w14:textId="77777777" w:rsidTr="0009574E">
        <w:tc>
          <w:tcPr>
            <w:tcW w:w="3398" w:type="dxa"/>
            <w:noWrap/>
            <w:vAlign w:val="bottom"/>
          </w:tcPr>
          <w:p w14:paraId="1534A645" w14:textId="2597D0E7" w:rsidR="004A2DF7" w:rsidRPr="006D2D94" w:rsidRDefault="00A35316">
            <w:pPr>
              <w:pStyle w:val="ARGrantstabletext"/>
              <w:rPr>
                <w:b/>
                <w:bCs/>
                <w:color w:val="000000"/>
              </w:rPr>
            </w:pPr>
            <w:r w:rsidRPr="006C0079">
              <w:rPr>
                <w:color w:val="000000"/>
              </w:rPr>
              <w:t>Victorian College of the Arts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FDB5F4A" w14:textId="4C35F181" w:rsidR="004A2DF7" w:rsidRPr="006D2D94" w:rsidRDefault="00A35316">
            <w:pPr>
              <w:pStyle w:val="ARGrantstabletextright"/>
              <w:rPr>
                <w:b/>
                <w:bCs/>
                <w:color w:val="000000"/>
              </w:rPr>
            </w:pPr>
            <w:r w:rsidRPr="006C0079">
              <w:rPr>
                <w:color w:val="000000"/>
              </w:rPr>
              <w:t>7,775</w:t>
            </w:r>
          </w:p>
        </w:tc>
      </w:tr>
      <w:tr w:rsidR="004A2DF7" w:rsidRPr="006D2D94" w14:paraId="16733C64" w14:textId="77777777" w:rsidTr="0009574E">
        <w:tc>
          <w:tcPr>
            <w:tcW w:w="3398" w:type="dxa"/>
            <w:noWrap/>
            <w:vAlign w:val="bottom"/>
          </w:tcPr>
          <w:p w14:paraId="54E1EB2B" w14:textId="4C7EB58F" w:rsidR="004A2DF7" w:rsidRPr="006D2D94" w:rsidRDefault="00A35316">
            <w:pPr>
              <w:pStyle w:val="ARGrantstabletext"/>
              <w:rPr>
                <w:b/>
                <w:bCs/>
                <w:color w:val="000000"/>
              </w:rPr>
            </w:pPr>
            <w:r w:rsidRPr="006C0079">
              <w:rPr>
                <w:color w:val="000000"/>
              </w:rPr>
              <w:t>Vietnam Veterans Association of Australia (VVAA)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A07C090" w14:textId="340804AB" w:rsidR="004A2DF7" w:rsidRPr="006D2D94" w:rsidRDefault="00A35316">
            <w:pPr>
              <w:pStyle w:val="ARGrantstabletextright"/>
              <w:rPr>
                <w:b/>
                <w:bCs/>
                <w:color w:val="000000"/>
              </w:rPr>
            </w:pPr>
            <w:r w:rsidRPr="006C0079">
              <w:rPr>
                <w:color w:val="000000"/>
              </w:rPr>
              <w:t>29,750</w:t>
            </w:r>
          </w:p>
        </w:tc>
      </w:tr>
      <w:tr w:rsidR="004A2DF7" w:rsidRPr="006D2D94" w14:paraId="018A8AC8" w14:textId="77777777" w:rsidTr="0009574E">
        <w:tc>
          <w:tcPr>
            <w:tcW w:w="3398" w:type="dxa"/>
            <w:noWrap/>
            <w:vAlign w:val="bottom"/>
          </w:tcPr>
          <w:p w14:paraId="5DE08757" w14:textId="5320F0FE" w:rsidR="004A2DF7" w:rsidRPr="006D2D94" w:rsidRDefault="00A35316">
            <w:pPr>
              <w:pStyle w:val="ARGrantstabletext"/>
              <w:rPr>
                <w:b/>
                <w:bCs/>
                <w:color w:val="000000"/>
                <w:spacing w:val="-4"/>
              </w:rPr>
            </w:pPr>
            <w:r w:rsidRPr="006C0079">
              <w:rPr>
                <w:color w:val="000000"/>
              </w:rPr>
              <w:t>Vietnam Veterans Federation Vic</w:t>
            </w:r>
            <w:r w:rsidR="00EA7A42">
              <w:rPr>
                <w:color w:val="000000"/>
              </w:rPr>
              <w:t>.</w:t>
            </w:r>
            <w:r w:rsidRPr="006C0079">
              <w:rPr>
                <w:color w:val="000000"/>
              </w:rPr>
              <w:t xml:space="preserve"> Branch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9B50B98" w14:textId="6E35D57D" w:rsidR="004A2DF7" w:rsidRPr="006D2D94" w:rsidRDefault="00A35316">
            <w:pPr>
              <w:pStyle w:val="ARGrantstabletextright"/>
              <w:rPr>
                <w:b/>
                <w:bCs/>
                <w:color w:val="000000"/>
              </w:rPr>
            </w:pPr>
            <w:r w:rsidRPr="006C0079">
              <w:rPr>
                <w:color w:val="000000"/>
              </w:rPr>
              <w:t>10,000</w:t>
            </w:r>
          </w:p>
        </w:tc>
      </w:tr>
      <w:tr w:rsidR="004A2DF7" w:rsidRPr="006D2D94" w14:paraId="22A225C6" w14:textId="77777777" w:rsidTr="0009574E">
        <w:tc>
          <w:tcPr>
            <w:tcW w:w="3398" w:type="dxa"/>
            <w:noWrap/>
            <w:vAlign w:val="bottom"/>
          </w:tcPr>
          <w:p w14:paraId="3AFAD5DA" w14:textId="1BF79869" w:rsidR="004A2DF7" w:rsidRPr="006D2D94" w:rsidRDefault="00A35316">
            <w:pPr>
              <w:pStyle w:val="ARGrantstabletext"/>
              <w:rPr>
                <w:b/>
                <w:bCs/>
                <w:color w:val="000000"/>
              </w:rPr>
            </w:pPr>
            <w:r w:rsidRPr="006C0079">
              <w:rPr>
                <w:color w:val="000000"/>
              </w:rPr>
              <w:t xml:space="preserve">Vietnamese Community in Australia </w:t>
            </w:r>
            <w:r w:rsidR="00EA7A42">
              <w:rPr>
                <w:color w:val="000000"/>
              </w:rPr>
              <w:t>–</w:t>
            </w:r>
            <w:r w:rsidRPr="006C0079">
              <w:rPr>
                <w:color w:val="000000"/>
              </w:rPr>
              <w:t xml:space="preserve"> Victoria Chapter</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3EAD2B4" w14:textId="581E7C64" w:rsidR="004A2DF7" w:rsidRPr="006D2D94" w:rsidRDefault="00A35316">
            <w:pPr>
              <w:pStyle w:val="ARGrantstabletextright"/>
              <w:rPr>
                <w:b/>
                <w:bCs/>
                <w:color w:val="000000"/>
              </w:rPr>
            </w:pPr>
            <w:r w:rsidRPr="006C0079">
              <w:rPr>
                <w:color w:val="000000"/>
              </w:rPr>
              <w:t>26,000</w:t>
            </w:r>
          </w:p>
        </w:tc>
      </w:tr>
      <w:tr w:rsidR="004A2DF7" w:rsidRPr="006D2D94" w14:paraId="7DCA9CDD" w14:textId="77777777" w:rsidTr="0009574E">
        <w:tc>
          <w:tcPr>
            <w:tcW w:w="3398" w:type="dxa"/>
            <w:noWrap/>
            <w:vAlign w:val="bottom"/>
          </w:tcPr>
          <w:p w14:paraId="418FE35D" w14:textId="3E1FF7D7" w:rsidR="004A2DF7" w:rsidRPr="006D2D94" w:rsidRDefault="00A35316">
            <w:pPr>
              <w:pStyle w:val="ARGrantstabletext"/>
              <w:rPr>
                <w:b/>
                <w:bCs/>
                <w:color w:val="000000"/>
              </w:rPr>
            </w:pPr>
            <w:r w:rsidRPr="006C0079">
              <w:rPr>
                <w:color w:val="000000"/>
              </w:rPr>
              <w:t>Wedderburn Korong Vale R</w:t>
            </w:r>
            <w:r w:rsidR="00EA7A42">
              <w:rPr>
                <w:color w:val="000000"/>
              </w:rPr>
              <w:t>SL</w:t>
            </w:r>
            <w:r w:rsidRPr="006C0079">
              <w:rPr>
                <w:color w:val="000000"/>
              </w:rPr>
              <w:t xml:space="preserve"> Sub</w:t>
            </w:r>
            <w:r w:rsidR="00494C07">
              <w:rPr>
                <w:color w:val="000000"/>
              </w:rPr>
              <w:t>-</w:t>
            </w:r>
            <w:r w:rsidRPr="006C0079">
              <w:rPr>
                <w:color w:val="000000"/>
              </w:rPr>
              <w:t>Branch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81236BC" w14:textId="4D83255E" w:rsidR="004A2DF7" w:rsidRPr="006D2D94" w:rsidRDefault="00A35316">
            <w:pPr>
              <w:pStyle w:val="ARGrantstabletextright"/>
              <w:rPr>
                <w:b/>
                <w:bCs/>
                <w:color w:val="000000"/>
              </w:rPr>
            </w:pPr>
            <w:r w:rsidRPr="006C0079">
              <w:rPr>
                <w:color w:val="000000"/>
              </w:rPr>
              <w:t>23,021</w:t>
            </w:r>
          </w:p>
        </w:tc>
      </w:tr>
      <w:tr w:rsidR="004A2DF7" w:rsidRPr="006D2D94" w14:paraId="484F447C" w14:textId="77777777" w:rsidTr="0009574E">
        <w:tc>
          <w:tcPr>
            <w:tcW w:w="3398" w:type="dxa"/>
            <w:noWrap/>
            <w:vAlign w:val="bottom"/>
          </w:tcPr>
          <w:p w14:paraId="60F0D0EE" w14:textId="3B3D6569" w:rsidR="004A2DF7" w:rsidRPr="006D2D94" w:rsidRDefault="00A35316">
            <w:pPr>
              <w:pStyle w:val="ARGrantstabletext"/>
              <w:rPr>
                <w:b/>
                <w:bCs/>
                <w:color w:val="000000"/>
              </w:rPr>
            </w:pPr>
            <w:r w:rsidRPr="006C0079">
              <w:rPr>
                <w:color w:val="000000"/>
              </w:rPr>
              <w:t>Whitehorse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18C240A" w14:textId="3D6833F4" w:rsidR="004A2DF7" w:rsidRPr="006D2D94" w:rsidRDefault="00A35316">
            <w:pPr>
              <w:pStyle w:val="ARGrantstabletextright"/>
              <w:rPr>
                <w:b/>
                <w:bCs/>
                <w:color w:val="000000"/>
              </w:rPr>
            </w:pPr>
            <w:r w:rsidRPr="006C0079">
              <w:rPr>
                <w:color w:val="000000"/>
              </w:rPr>
              <w:t>25,510</w:t>
            </w:r>
          </w:p>
        </w:tc>
      </w:tr>
      <w:tr w:rsidR="004A2DF7" w:rsidRPr="006D2D94" w14:paraId="27EC880D" w14:textId="77777777" w:rsidTr="0009574E">
        <w:tc>
          <w:tcPr>
            <w:tcW w:w="3398" w:type="dxa"/>
            <w:noWrap/>
            <w:vAlign w:val="bottom"/>
          </w:tcPr>
          <w:p w14:paraId="2403335F" w14:textId="619DE411" w:rsidR="004A2DF7" w:rsidRPr="006D2D94" w:rsidRDefault="00A35316">
            <w:pPr>
              <w:pStyle w:val="ARGrantstabletext"/>
              <w:rPr>
                <w:b/>
                <w:bCs/>
                <w:color w:val="000000"/>
              </w:rPr>
            </w:pPr>
            <w:r w:rsidRPr="006C0079">
              <w:rPr>
                <w:color w:val="000000"/>
              </w:rPr>
              <w:t>Wimmera Veterans Centre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9D693B0" w14:textId="01434482" w:rsidR="004A2DF7" w:rsidRPr="006D2D94" w:rsidRDefault="00A35316">
            <w:pPr>
              <w:pStyle w:val="ARGrantstabletextright"/>
              <w:rPr>
                <w:b/>
                <w:bCs/>
                <w:color w:val="000000"/>
              </w:rPr>
            </w:pPr>
            <w:r w:rsidRPr="006C0079">
              <w:rPr>
                <w:color w:val="000000"/>
              </w:rPr>
              <w:t>8,839</w:t>
            </w:r>
          </w:p>
        </w:tc>
      </w:tr>
      <w:tr w:rsidR="004A2DF7" w:rsidRPr="006D2D94" w14:paraId="130D7494" w14:textId="77777777" w:rsidTr="0009574E">
        <w:tc>
          <w:tcPr>
            <w:tcW w:w="3398" w:type="dxa"/>
            <w:noWrap/>
            <w:vAlign w:val="bottom"/>
          </w:tcPr>
          <w:p w14:paraId="382C2EA5" w14:textId="0CA7EB06" w:rsidR="004A2DF7" w:rsidRPr="006D2D94" w:rsidRDefault="00A35316">
            <w:pPr>
              <w:pStyle w:val="ARGrantstabletext"/>
              <w:rPr>
                <w:b/>
                <w:bCs/>
                <w:color w:val="000000"/>
              </w:rPr>
            </w:pPr>
            <w:r w:rsidRPr="006C0079">
              <w:rPr>
                <w:color w:val="000000"/>
              </w:rPr>
              <w:t>Wodonga Institute of TAFE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2063434" w14:textId="20EFF6B6" w:rsidR="004A2DF7" w:rsidRPr="006D2D94" w:rsidRDefault="00A35316">
            <w:pPr>
              <w:pStyle w:val="ARGrantstabletextright"/>
              <w:rPr>
                <w:b/>
                <w:bCs/>
                <w:color w:val="000000"/>
              </w:rPr>
            </w:pPr>
            <w:r w:rsidRPr="006C0079">
              <w:rPr>
                <w:color w:val="000000"/>
              </w:rPr>
              <w:t>200,000</w:t>
            </w:r>
          </w:p>
        </w:tc>
      </w:tr>
      <w:tr w:rsidR="000D1E6B" w:rsidRPr="006D2D94" w14:paraId="7755994F" w14:textId="77777777" w:rsidTr="0009574E">
        <w:tc>
          <w:tcPr>
            <w:tcW w:w="3398" w:type="dxa"/>
            <w:noWrap/>
            <w:vAlign w:val="bottom"/>
          </w:tcPr>
          <w:p w14:paraId="7673B86A" w14:textId="6B73B75D" w:rsidR="000D1E6B" w:rsidRPr="006C0079" w:rsidRDefault="000D1E6B" w:rsidP="000D1E6B">
            <w:pPr>
              <w:pStyle w:val="ARGrantstabletext"/>
              <w:rPr>
                <w:color w:val="000000"/>
              </w:rPr>
            </w:pPr>
            <w:r w:rsidRPr="006C0079">
              <w:rPr>
                <w:color w:val="000000"/>
              </w:rPr>
              <w:t>Wodonga RSL Sub</w:t>
            </w:r>
            <w:r w:rsidR="00494C07">
              <w:rPr>
                <w:color w:val="000000"/>
              </w:rPr>
              <w:t>-</w:t>
            </w:r>
            <w:r w:rsidRPr="006C0079">
              <w:rPr>
                <w:color w:val="000000"/>
              </w:rPr>
              <w:t>Branch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076C44D" w14:textId="43DF4873" w:rsidR="000D1E6B" w:rsidRPr="006C0079" w:rsidRDefault="000D1E6B" w:rsidP="000D1E6B">
            <w:pPr>
              <w:pStyle w:val="ARGrantstabletextright"/>
              <w:rPr>
                <w:color w:val="000000"/>
              </w:rPr>
            </w:pPr>
            <w:r w:rsidRPr="006C0079">
              <w:rPr>
                <w:color w:val="000000"/>
              </w:rPr>
              <w:t>6,000</w:t>
            </w:r>
          </w:p>
        </w:tc>
      </w:tr>
      <w:tr w:rsidR="000D1E6B" w:rsidRPr="006D2D94" w14:paraId="2BDFB676" w14:textId="77777777" w:rsidTr="0009574E">
        <w:tc>
          <w:tcPr>
            <w:tcW w:w="3398" w:type="dxa"/>
            <w:noWrap/>
            <w:vAlign w:val="bottom"/>
          </w:tcPr>
          <w:p w14:paraId="29E755A6" w14:textId="514E56D5" w:rsidR="000D1E6B" w:rsidRPr="006C0079" w:rsidRDefault="000D1E6B" w:rsidP="000D1E6B">
            <w:pPr>
              <w:pStyle w:val="ARGrantstabletext"/>
              <w:rPr>
                <w:color w:val="000000"/>
              </w:rPr>
            </w:pPr>
            <w:r w:rsidRPr="006C0079">
              <w:rPr>
                <w:color w:val="000000"/>
              </w:rPr>
              <w:t>Woodend RSL Inc</w:t>
            </w:r>
            <w:r w:rsidR="00EA7A42">
              <w:rPr>
                <w:color w:val="000000"/>
              </w:rPr>
              <w:t>.</w:t>
            </w:r>
            <w:r w:rsidRPr="006C0079">
              <w:rPr>
                <w:color w:val="000000"/>
              </w:rPr>
              <w:t xml:space="preserve"> Sub</w:t>
            </w:r>
            <w:r w:rsidR="00494C07">
              <w:rPr>
                <w:color w:val="000000"/>
              </w:rPr>
              <w:t>-</w:t>
            </w:r>
            <w:r w:rsidRPr="006C0079">
              <w:rPr>
                <w:color w:val="000000"/>
              </w:rPr>
              <w:t>Branch Patriotic Fund B2537</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ACD9527" w14:textId="4825F6DF" w:rsidR="000D1E6B" w:rsidRPr="006C0079" w:rsidRDefault="000D1E6B" w:rsidP="000D1E6B">
            <w:pPr>
              <w:pStyle w:val="ARGrantstabletextright"/>
              <w:rPr>
                <w:color w:val="000000"/>
              </w:rPr>
            </w:pPr>
            <w:r w:rsidRPr="006C0079">
              <w:rPr>
                <w:color w:val="000000"/>
              </w:rPr>
              <w:t>24,900</w:t>
            </w:r>
          </w:p>
        </w:tc>
      </w:tr>
      <w:tr w:rsidR="004A2DF7" w:rsidRPr="006D2D94" w14:paraId="4733B8B5" w14:textId="77777777" w:rsidTr="0009574E">
        <w:trPr>
          <w:cnfStyle w:val="010000000000" w:firstRow="0" w:lastRow="1" w:firstColumn="0" w:lastColumn="0" w:oddVBand="0" w:evenVBand="0" w:oddHBand="0" w:evenHBand="0" w:firstRowFirstColumn="0" w:firstRowLastColumn="0" w:lastRowFirstColumn="0" w:lastRowLastColumn="0"/>
        </w:trPr>
        <w:tc>
          <w:tcPr>
            <w:tcW w:w="3398" w:type="dxa"/>
            <w:noWrap/>
          </w:tcPr>
          <w:p w14:paraId="063E0266" w14:textId="77777777" w:rsidR="004A2DF7" w:rsidRPr="006D2D94" w:rsidRDefault="004A2DF7">
            <w:pPr>
              <w:pStyle w:val="ARGrantstabletextbold"/>
            </w:pPr>
            <w:r w:rsidRPr="006D2D94">
              <w:t>Total</w:t>
            </w:r>
          </w:p>
        </w:tc>
        <w:tc>
          <w:tcPr>
            <w:cnfStyle w:val="000001000000" w:firstRow="0" w:lastRow="0" w:firstColumn="0" w:lastColumn="0" w:oddVBand="0" w:evenVBand="1" w:oddHBand="0" w:evenHBand="0" w:firstRowFirstColumn="0" w:firstRowLastColumn="0" w:lastRowFirstColumn="0" w:lastRowLastColumn="0"/>
            <w:tcW w:w="1230" w:type="dxa"/>
            <w:noWrap/>
          </w:tcPr>
          <w:p w14:paraId="13EEB21D" w14:textId="30D86591" w:rsidR="004A2DF7" w:rsidRPr="006D2D94" w:rsidRDefault="000D1E6B">
            <w:pPr>
              <w:pStyle w:val="ARGrantstabletextrightbold"/>
            </w:pPr>
            <w:r>
              <w:t>6,526,157</w:t>
            </w:r>
          </w:p>
        </w:tc>
      </w:tr>
    </w:tbl>
    <w:p w14:paraId="2641DE1C" w14:textId="6990564D" w:rsidR="004A2DF7" w:rsidRPr="006D2D94" w:rsidRDefault="004A2DF7" w:rsidP="0017097F">
      <w:pPr>
        <w:pStyle w:val="Heading3Grants"/>
      </w:pPr>
      <w:r w:rsidRPr="0017097F">
        <w:t>Women’s</w:t>
      </w:r>
      <w:r w:rsidRPr="006D2D94">
        <w:t xml:space="preserve"> policy</w:t>
      </w:r>
    </w:p>
    <w:tbl>
      <w:tblPr>
        <w:tblStyle w:val="TableGrid"/>
        <w:tblW w:w="5000" w:type="pct"/>
        <w:tblLook w:val="02E0" w:firstRow="1" w:lastRow="1" w:firstColumn="1" w:lastColumn="0" w:noHBand="1" w:noVBand="0"/>
      </w:tblPr>
      <w:tblGrid>
        <w:gridCol w:w="3365"/>
        <w:gridCol w:w="1224"/>
      </w:tblGrid>
      <w:tr w:rsidR="004A2DF7" w:rsidRPr="006D2D94" w14:paraId="0845656F" w14:textId="77777777" w:rsidTr="004D5DD5">
        <w:trPr>
          <w:cnfStyle w:val="100000000000" w:firstRow="1" w:lastRow="0" w:firstColumn="0" w:lastColumn="0" w:oddVBand="0" w:evenVBand="0" w:oddHBand="0" w:evenHBand="0" w:firstRowFirstColumn="0" w:firstRowLastColumn="0" w:lastRowFirstColumn="0" w:lastRowLastColumn="0"/>
          <w:tblHeader/>
        </w:trPr>
        <w:tc>
          <w:tcPr>
            <w:tcW w:w="3398" w:type="dxa"/>
            <w:noWrap/>
          </w:tcPr>
          <w:p w14:paraId="47F2904B" w14:textId="77777777" w:rsidR="004A2DF7" w:rsidRPr="006D2D94" w:rsidRDefault="004A2DF7" w:rsidP="0017097F">
            <w:pPr>
              <w:pStyle w:val="ARGrantstablecolhead"/>
            </w:pPr>
            <w:r w:rsidRPr="0017097F">
              <w:t>Organisation</w:t>
            </w:r>
          </w:p>
        </w:tc>
        <w:tc>
          <w:tcPr>
            <w:cnfStyle w:val="000001000000" w:firstRow="0" w:lastRow="0" w:firstColumn="0" w:lastColumn="0" w:oddVBand="0" w:evenVBand="1" w:oddHBand="0" w:evenHBand="0" w:firstRowFirstColumn="0" w:firstRowLastColumn="0" w:lastRowFirstColumn="0" w:lastRowLastColumn="0"/>
            <w:tcW w:w="1230" w:type="dxa"/>
            <w:noWrap/>
          </w:tcPr>
          <w:p w14:paraId="3F9668F5" w14:textId="77777777" w:rsidR="004A2DF7" w:rsidRPr="006D2D94" w:rsidRDefault="004A2DF7" w:rsidP="0017097F">
            <w:pPr>
              <w:pStyle w:val="ARGrantstablecolheadright"/>
            </w:pPr>
            <w:r w:rsidRPr="006D2D94">
              <w:t>Payment ($)</w:t>
            </w:r>
          </w:p>
        </w:tc>
      </w:tr>
      <w:tr w:rsidR="004A2DF7" w:rsidRPr="006D2D94" w14:paraId="310D59E3" w14:textId="77777777" w:rsidTr="004D5DD5">
        <w:tc>
          <w:tcPr>
            <w:tcW w:w="3398" w:type="dxa"/>
            <w:noWrap/>
            <w:vAlign w:val="bottom"/>
          </w:tcPr>
          <w:p w14:paraId="69511269" w14:textId="78BD4BC5" w:rsidR="004A2DF7" w:rsidRPr="006D2D94" w:rsidRDefault="00A54C1F">
            <w:pPr>
              <w:pStyle w:val="ARGrantstabletext"/>
              <w:rPr>
                <w:b/>
                <w:bCs/>
                <w:color w:val="000000"/>
              </w:rPr>
            </w:pPr>
            <w:r w:rsidRPr="001E7DF5">
              <w:rPr>
                <w:color w:val="000000"/>
              </w:rPr>
              <w:t>Australian Women in Solar Energy (AWISE)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63C4419" w14:textId="1110AFD4" w:rsidR="004A2DF7" w:rsidRPr="006D2D94" w:rsidRDefault="00A54C1F">
            <w:pPr>
              <w:pStyle w:val="ARGrantstabletextright"/>
              <w:rPr>
                <w:b/>
                <w:bCs/>
                <w:color w:val="000000"/>
              </w:rPr>
            </w:pPr>
            <w:r w:rsidRPr="001E7DF5">
              <w:rPr>
                <w:color w:val="000000"/>
              </w:rPr>
              <w:t>10,000</w:t>
            </w:r>
          </w:p>
        </w:tc>
      </w:tr>
      <w:tr w:rsidR="004A2DF7" w:rsidRPr="006D2D94" w14:paraId="609E4F49" w14:textId="77777777" w:rsidTr="004D5DD5">
        <w:tc>
          <w:tcPr>
            <w:tcW w:w="3398" w:type="dxa"/>
            <w:noWrap/>
            <w:vAlign w:val="bottom"/>
          </w:tcPr>
          <w:p w14:paraId="683E1508" w14:textId="48361F6C" w:rsidR="004A2DF7" w:rsidRPr="006D2D94" w:rsidRDefault="00A54C1F">
            <w:pPr>
              <w:pStyle w:val="ARGrantstabletext"/>
              <w:rPr>
                <w:b/>
                <w:bCs/>
                <w:color w:val="000000"/>
              </w:rPr>
            </w:pPr>
            <w:r w:rsidRPr="001E7DF5">
              <w:rPr>
                <w:color w:val="000000"/>
              </w:rPr>
              <w:t>Automotive Food Metals Engineering Printing &amp; Kindred Industries Union</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0B9BD42" w14:textId="5F60500B" w:rsidR="004A2DF7" w:rsidRPr="006D2D94" w:rsidRDefault="00A54C1F">
            <w:pPr>
              <w:pStyle w:val="ARGrantstabletextright"/>
              <w:rPr>
                <w:b/>
                <w:bCs/>
                <w:color w:val="000000"/>
              </w:rPr>
            </w:pPr>
            <w:r w:rsidRPr="001E7DF5">
              <w:rPr>
                <w:color w:val="000000"/>
              </w:rPr>
              <w:t>12,000</w:t>
            </w:r>
          </w:p>
        </w:tc>
      </w:tr>
      <w:tr w:rsidR="004A2DF7" w:rsidRPr="006D2D94" w14:paraId="78412603" w14:textId="77777777" w:rsidTr="004D5DD5">
        <w:tc>
          <w:tcPr>
            <w:tcW w:w="3398" w:type="dxa"/>
            <w:noWrap/>
            <w:vAlign w:val="bottom"/>
          </w:tcPr>
          <w:p w14:paraId="34549A35" w14:textId="0CEB9FB9" w:rsidR="004A2DF7" w:rsidRPr="006D2D94" w:rsidRDefault="00A54C1F">
            <w:pPr>
              <w:pStyle w:val="ARGrantstabletext"/>
              <w:rPr>
                <w:b/>
                <w:bCs/>
                <w:color w:val="000000"/>
              </w:rPr>
            </w:pPr>
            <w:r w:rsidRPr="001E7DF5">
              <w:rPr>
                <w:color w:val="000000"/>
              </w:rPr>
              <w:t>Clean Energy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CACB24E" w14:textId="465B3AFF" w:rsidR="004A2DF7" w:rsidRPr="006D2D94" w:rsidRDefault="00A54C1F">
            <w:pPr>
              <w:pStyle w:val="ARGrantstabletextright"/>
              <w:rPr>
                <w:b/>
                <w:bCs/>
                <w:color w:val="000000"/>
              </w:rPr>
            </w:pPr>
            <w:r w:rsidRPr="001E7DF5">
              <w:rPr>
                <w:color w:val="000000"/>
              </w:rPr>
              <w:t>2,000</w:t>
            </w:r>
          </w:p>
        </w:tc>
      </w:tr>
      <w:tr w:rsidR="004A2DF7" w:rsidRPr="006D2D94" w14:paraId="4DF9121A" w14:textId="77777777" w:rsidTr="004D5DD5">
        <w:tc>
          <w:tcPr>
            <w:tcW w:w="3398" w:type="dxa"/>
            <w:noWrap/>
            <w:vAlign w:val="bottom"/>
          </w:tcPr>
          <w:p w14:paraId="765C2C76" w14:textId="34F32AB8" w:rsidR="004A2DF7" w:rsidRPr="006D2D94" w:rsidRDefault="00A54C1F">
            <w:pPr>
              <w:pStyle w:val="ARGrantstabletext"/>
              <w:rPr>
                <w:b/>
                <w:bCs/>
                <w:color w:val="000000"/>
              </w:rPr>
            </w:pPr>
            <w:r w:rsidRPr="001E7DF5">
              <w:rPr>
                <w:color w:val="000000"/>
              </w:rPr>
              <w:t>Fitted For Work Limited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9228FF2" w14:textId="6FBAA5C4" w:rsidR="004A2DF7" w:rsidRPr="006D2D94" w:rsidRDefault="00A54C1F">
            <w:pPr>
              <w:pStyle w:val="ARGrantstabletextright"/>
              <w:rPr>
                <w:b/>
                <w:bCs/>
                <w:color w:val="000000"/>
              </w:rPr>
            </w:pPr>
            <w:r w:rsidRPr="001E7DF5">
              <w:rPr>
                <w:color w:val="000000"/>
              </w:rPr>
              <w:t>10,000</w:t>
            </w:r>
          </w:p>
        </w:tc>
      </w:tr>
      <w:tr w:rsidR="004A2DF7" w:rsidRPr="006D2D94" w14:paraId="0791FB06" w14:textId="77777777" w:rsidTr="004D5DD5">
        <w:tc>
          <w:tcPr>
            <w:tcW w:w="3398" w:type="dxa"/>
            <w:noWrap/>
            <w:vAlign w:val="bottom"/>
          </w:tcPr>
          <w:p w14:paraId="67384B75" w14:textId="667630A2" w:rsidR="004A2DF7" w:rsidRPr="006D2D94" w:rsidRDefault="00A54C1F">
            <w:pPr>
              <w:pStyle w:val="ARGrantstabletext"/>
              <w:rPr>
                <w:b/>
                <w:bCs/>
                <w:color w:val="000000"/>
              </w:rPr>
            </w:pPr>
            <w:r w:rsidRPr="001E7DF5">
              <w:rPr>
                <w:color w:val="000000"/>
              </w:rPr>
              <w:t>Gender Equity Victoria (GEN VIC)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5B3A370" w14:textId="5F34AE5C" w:rsidR="004A2DF7" w:rsidRPr="006D2D94" w:rsidRDefault="00A54C1F">
            <w:pPr>
              <w:pStyle w:val="ARGrantstabletextright"/>
              <w:rPr>
                <w:b/>
                <w:bCs/>
                <w:color w:val="000000"/>
              </w:rPr>
            </w:pPr>
            <w:r w:rsidRPr="001E7DF5">
              <w:rPr>
                <w:color w:val="000000"/>
              </w:rPr>
              <w:t>177,000</w:t>
            </w:r>
          </w:p>
        </w:tc>
      </w:tr>
      <w:tr w:rsidR="004A2DF7" w:rsidRPr="006D2D94" w14:paraId="2B09D1A8" w14:textId="77777777" w:rsidTr="004D5DD5">
        <w:tc>
          <w:tcPr>
            <w:tcW w:w="3398" w:type="dxa"/>
            <w:noWrap/>
            <w:vAlign w:val="bottom"/>
          </w:tcPr>
          <w:p w14:paraId="0657C80F" w14:textId="0311F4C3" w:rsidR="004A2DF7" w:rsidRPr="006D2D94" w:rsidRDefault="00A54C1F">
            <w:pPr>
              <w:pStyle w:val="ARGrantstabletext"/>
              <w:rPr>
                <w:b/>
                <w:bCs/>
                <w:color w:val="000000"/>
              </w:rPr>
            </w:pPr>
            <w:r w:rsidRPr="001E7DF5">
              <w:rPr>
                <w:color w:val="000000"/>
              </w:rPr>
              <w:t>McClelland Sculpture Park + Gallery</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0A2A7BC" w14:textId="62E7A18C" w:rsidR="004A2DF7" w:rsidRPr="006D2D94" w:rsidRDefault="00A54C1F">
            <w:pPr>
              <w:pStyle w:val="ARGrantstabletextright"/>
              <w:rPr>
                <w:b/>
                <w:bCs/>
                <w:color w:val="000000"/>
              </w:rPr>
            </w:pPr>
            <w:r w:rsidRPr="001E7DF5">
              <w:rPr>
                <w:color w:val="000000"/>
              </w:rPr>
              <w:t>1,090,000</w:t>
            </w:r>
          </w:p>
        </w:tc>
      </w:tr>
      <w:tr w:rsidR="004A2DF7" w:rsidRPr="006D2D94" w14:paraId="69406B2C" w14:textId="77777777" w:rsidTr="004D5DD5">
        <w:tc>
          <w:tcPr>
            <w:tcW w:w="3398" w:type="dxa"/>
            <w:noWrap/>
            <w:vAlign w:val="bottom"/>
          </w:tcPr>
          <w:p w14:paraId="32BCE556" w14:textId="43B9684D" w:rsidR="004A2DF7" w:rsidRPr="006D2D94" w:rsidRDefault="00A54C1F">
            <w:pPr>
              <w:pStyle w:val="ARGrantstabletext"/>
              <w:rPr>
                <w:b/>
                <w:bCs/>
                <w:color w:val="000000"/>
              </w:rPr>
            </w:pPr>
            <w:r w:rsidRPr="001E7DF5">
              <w:rPr>
                <w:color w:val="000000"/>
              </w:rPr>
              <w:t>Multicultural Centre for Women</w:t>
            </w:r>
            <w:r w:rsidR="00EA7A42">
              <w:rPr>
                <w:color w:val="000000"/>
              </w:rPr>
              <w:t>’</w:t>
            </w:r>
            <w:r w:rsidRPr="001E7DF5">
              <w:rPr>
                <w:color w:val="000000"/>
              </w:rPr>
              <w:t>s</w:t>
            </w:r>
            <w:r w:rsidR="0009574E">
              <w:rPr>
                <w:color w:val="000000"/>
              </w:rPr>
              <w:t> </w:t>
            </w:r>
            <w:r w:rsidRPr="001E7DF5">
              <w:rPr>
                <w:color w:val="000000"/>
              </w:rPr>
              <w:t>Health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3B6DCC7" w14:textId="47E2E354" w:rsidR="004A2DF7" w:rsidRPr="006D2D94" w:rsidRDefault="00A54C1F">
            <w:pPr>
              <w:pStyle w:val="ARGrantstabletextright"/>
              <w:rPr>
                <w:b/>
                <w:bCs/>
                <w:color w:val="000000"/>
              </w:rPr>
            </w:pPr>
            <w:r w:rsidRPr="001E7DF5">
              <w:rPr>
                <w:color w:val="000000"/>
              </w:rPr>
              <w:t>10,000</w:t>
            </w:r>
          </w:p>
        </w:tc>
      </w:tr>
      <w:tr w:rsidR="004A2DF7" w:rsidRPr="006D2D94" w14:paraId="1C74CA9B" w14:textId="77777777" w:rsidTr="004D5DD5">
        <w:tc>
          <w:tcPr>
            <w:tcW w:w="3398" w:type="dxa"/>
            <w:noWrap/>
            <w:vAlign w:val="bottom"/>
          </w:tcPr>
          <w:p w14:paraId="675C6F9E" w14:textId="4A31262E" w:rsidR="004A2DF7" w:rsidRPr="006D2D94" w:rsidRDefault="00A54C1F">
            <w:pPr>
              <w:pStyle w:val="ARGrantstabletext"/>
              <w:rPr>
                <w:bCs/>
                <w:color w:val="000000"/>
              </w:rPr>
            </w:pPr>
            <w:r w:rsidRPr="001E7DF5">
              <w:rPr>
                <w:color w:val="000000"/>
              </w:rPr>
              <w:t>National Association for Women in</w:t>
            </w:r>
            <w:r w:rsidR="0009574E">
              <w:rPr>
                <w:color w:val="000000"/>
              </w:rPr>
              <w:t> </w:t>
            </w:r>
            <w:r w:rsidRPr="001E7DF5">
              <w:rPr>
                <w:color w:val="000000"/>
              </w:rPr>
              <w:t>Operations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032EB2B" w14:textId="0809F2E0" w:rsidR="004A2DF7" w:rsidRPr="006D2D94" w:rsidRDefault="00A54C1F">
            <w:pPr>
              <w:pStyle w:val="ARGrantstabletextright"/>
              <w:rPr>
                <w:bCs/>
                <w:color w:val="000000"/>
              </w:rPr>
            </w:pPr>
            <w:r w:rsidRPr="001E7DF5">
              <w:rPr>
                <w:color w:val="000000"/>
              </w:rPr>
              <w:t>10,000</w:t>
            </w:r>
          </w:p>
        </w:tc>
      </w:tr>
      <w:tr w:rsidR="004A2DF7" w:rsidRPr="006D2D94" w14:paraId="17C526E5" w14:textId="77777777" w:rsidTr="004D5DD5">
        <w:tc>
          <w:tcPr>
            <w:tcW w:w="3398" w:type="dxa"/>
            <w:noWrap/>
            <w:vAlign w:val="bottom"/>
          </w:tcPr>
          <w:p w14:paraId="478D6B0F" w14:textId="00B72A82" w:rsidR="004A2DF7" w:rsidRPr="006D2D94" w:rsidRDefault="00A54C1F">
            <w:pPr>
              <w:pStyle w:val="ARGrantstabletext"/>
              <w:rPr>
                <w:b/>
                <w:bCs/>
                <w:color w:val="000000"/>
              </w:rPr>
            </w:pPr>
            <w:proofErr w:type="spellStart"/>
            <w:r w:rsidRPr="001E7DF5">
              <w:rPr>
                <w:color w:val="000000"/>
              </w:rPr>
              <w:t>Ngarrimili</w:t>
            </w:r>
            <w:proofErr w:type="spellEnd"/>
            <w:r w:rsidRPr="001E7DF5">
              <w:rPr>
                <w:color w:val="000000"/>
              </w:rPr>
              <w:t xml:space="preserve">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750F49F" w14:textId="0DE67A5F" w:rsidR="004A2DF7" w:rsidRPr="006D2D94" w:rsidRDefault="00A54C1F">
            <w:pPr>
              <w:pStyle w:val="ARGrantstabletextright"/>
              <w:rPr>
                <w:b/>
                <w:bCs/>
                <w:color w:val="000000"/>
              </w:rPr>
            </w:pPr>
            <w:r w:rsidRPr="001E7DF5">
              <w:rPr>
                <w:color w:val="000000"/>
              </w:rPr>
              <w:t>10,000</w:t>
            </w:r>
          </w:p>
        </w:tc>
      </w:tr>
      <w:tr w:rsidR="004A2DF7" w:rsidRPr="006D2D94" w14:paraId="16CB9009" w14:textId="77777777" w:rsidTr="004D5DD5">
        <w:tc>
          <w:tcPr>
            <w:tcW w:w="3398" w:type="dxa"/>
            <w:tcBorders>
              <w:bottom w:val="single" w:sz="4" w:space="0" w:color="A6A6A6" w:themeColor="accent5"/>
            </w:tcBorders>
            <w:noWrap/>
            <w:vAlign w:val="bottom"/>
          </w:tcPr>
          <w:p w14:paraId="0171DC56" w14:textId="5DF14A61" w:rsidR="004A2DF7" w:rsidRPr="006D2D94" w:rsidRDefault="00A54C1F">
            <w:pPr>
              <w:pStyle w:val="ARGrantstabletext"/>
              <w:rPr>
                <w:b/>
                <w:bCs/>
                <w:color w:val="000000"/>
              </w:rPr>
            </w:pPr>
            <w:r w:rsidRPr="001E7DF5">
              <w:rPr>
                <w:color w:val="000000"/>
              </w:rPr>
              <w:t>Our Community Pty Ltd</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081E8B1D" w14:textId="0CBF559A" w:rsidR="004A2DF7" w:rsidRPr="006D2D94" w:rsidRDefault="00A54C1F">
            <w:pPr>
              <w:pStyle w:val="ARGrantstabletextright"/>
              <w:rPr>
                <w:b/>
                <w:bCs/>
                <w:color w:val="000000"/>
              </w:rPr>
            </w:pPr>
            <w:r w:rsidRPr="001E7DF5">
              <w:rPr>
                <w:color w:val="000000"/>
              </w:rPr>
              <w:t>288,000</w:t>
            </w:r>
          </w:p>
        </w:tc>
      </w:tr>
      <w:tr w:rsidR="004A2DF7" w:rsidRPr="006D2D94" w14:paraId="006BC677" w14:textId="77777777" w:rsidTr="00141718">
        <w:tc>
          <w:tcPr>
            <w:tcW w:w="3398" w:type="dxa"/>
            <w:tcBorders>
              <w:top w:val="single" w:sz="4" w:space="0" w:color="A6A6A6" w:themeColor="accent5"/>
              <w:bottom w:val="single" w:sz="4" w:space="0" w:color="A6A6A6" w:themeColor="accent5"/>
            </w:tcBorders>
            <w:noWrap/>
            <w:vAlign w:val="bottom"/>
          </w:tcPr>
          <w:p w14:paraId="1A61669A" w14:textId="752ED1AB" w:rsidR="004A2DF7" w:rsidRPr="006D2D94" w:rsidRDefault="00A54C1F">
            <w:pPr>
              <w:pStyle w:val="ARGrantstabletext"/>
              <w:rPr>
                <w:bCs/>
                <w:color w:val="000000"/>
              </w:rPr>
            </w:pPr>
            <w:r w:rsidRPr="001E7DF5">
              <w:rPr>
                <w:color w:val="000000"/>
              </w:rPr>
              <w:t>Queen Victoria Women</w:t>
            </w:r>
            <w:r w:rsidR="00EA7A42">
              <w:rPr>
                <w:color w:val="000000"/>
              </w:rPr>
              <w:t>’</w:t>
            </w:r>
            <w:r w:rsidRPr="001E7DF5">
              <w:rPr>
                <w:color w:val="000000"/>
              </w:rPr>
              <w:t>s Centre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25A9DC0E" w14:textId="77925288" w:rsidR="004A2DF7" w:rsidRPr="006D2D94" w:rsidRDefault="00A54C1F">
            <w:pPr>
              <w:pStyle w:val="ARGrantstabletextright"/>
              <w:rPr>
                <w:bCs/>
                <w:color w:val="000000"/>
              </w:rPr>
            </w:pPr>
            <w:r w:rsidRPr="001E7DF5">
              <w:rPr>
                <w:color w:val="000000"/>
              </w:rPr>
              <w:t>447,000</w:t>
            </w:r>
          </w:p>
        </w:tc>
      </w:tr>
      <w:tr w:rsidR="004A2DF7" w:rsidRPr="006D2D94" w14:paraId="02F47F88" w14:textId="77777777" w:rsidTr="00141718">
        <w:tc>
          <w:tcPr>
            <w:tcW w:w="3398" w:type="dxa"/>
            <w:tcBorders>
              <w:top w:val="single" w:sz="4" w:space="0" w:color="A6A6A6" w:themeColor="accent5"/>
              <w:bottom w:val="single" w:sz="4" w:space="0" w:color="A6A6A6" w:themeColor="accent5"/>
            </w:tcBorders>
            <w:noWrap/>
            <w:vAlign w:val="bottom"/>
          </w:tcPr>
          <w:p w14:paraId="41A975FF" w14:textId="1206A118" w:rsidR="004A2DF7" w:rsidRPr="006D2D94" w:rsidRDefault="00A54C1F">
            <w:pPr>
              <w:pStyle w:val="ARGrantstabletext"/>
              <w:rPr>
                <w:b/>
                <w:bCs/>
                <w:color w:val="000000"/>
              </w:rPr>
            </w:pPr>
            <w:r w:rsidRPr="001E7DF5">
              <w:rPr>
                <w:color w:val="000000"/>
              </w:rPr>
              <w:t>Springvale Monash Legal Service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1D2080A8" w14:textId="7DAA18EF" w:rsidR="004A2DF7" w:rsidRPr="006D2D94" w:rsidRDefault="00A54C1F">
            <w:pPr>
              <w:pStyle w:val="ARGrantstabletextright"/>
              <w:rPr>
                <w:b/>
                <w:bCs/>
                <w:color w:val="000000"/>
              </w:rPr>
            </w:pPr>
            <w:r w:rsidRPr="001E7DF5">
              <w:rPr>
                <w:color w:val="000000"/>
              </w:rPr>
              <w:t>480,000</w:t>
            </w:r>
          </w:p>
        </w:tc>
      </w:tr>
      <w:tr w:rsidR="004A2DF7" w:rsidRPr="006D2D94" w14:paraId="48E87916" w14:textId="77777777" w:rsidTr="00141718">
        <w:tc>
          <w:tcPr>
            <w:tcW w:w="3398" w:type="dxa"/>
            <w:tcBorders>
              <w:top w:val="single" w:sz="4" w:space="0" w:color="A6A6A6" w:themeColor="accent5"/>
            </w:tcBorders>
            <w:noWrap/>
            <w:vAlign w:val="bottom"/>
          </w:tcPr>
          <w:p w14:paraId="78CD375B" w14:textId="35431CB2" w:rsidR="004A2DF7" w:rsidRPr="006D2D94" w:rsidRDefault="00B5787B">
            <w:pPr>
              <w:pStyle w:val="ARGrantstabletext"/>
              <w:rPr>
                <w:bCs/>
                <w:color w:val="000000"/>
              </w:rPr>
            </w:pPr>
            <w:r w:rsidRPr="001E7DF5">
              <w:rPr>
                <w:color w:val="000000"/>
              </w:rPr>
              <w:t>Victorian Chamber of Commerce and</w:t>
            </w:r>
            <w:r w:rsidR="0009574E">
              <w:rPr>
                <w:color w:val="000000"/>
              </w:rPr>
              <w:t> </w:t>
            </w:r>
            <w:r w:rsidRPr="001E7DF5">
              <w:rPr>
                <w:color w:val="000000"/>
              </w:rPr>
              <w:t>Industry</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73D18BAE" w14:textId="61BE3BBC" w:rsidR="004A2DF7" w:rsidRPr="006D2D94" w:rsidRDefault="00B5787B">
            <w:pPr>
              <w:pStyle w:val="ARGrantstabletextright"/>
              <w:rPr>
                <w:bCs/>
                <w:color w:val="000000"/>
              </w:rPr>
            </w:pPr>
            <w:r w:rsidRPr="001E7DF5">
              <w:rPr>
                <w:color w:val="000000"/>
              </w:rPr>
              <w:t>600,000</w:t>
            </w:r>
          </w:p>
        </w:tc>
      </w:tr>
      <w:tr w:rsidR="004A2DF7" w:rsidRPr="006D2D94" w14:paraId="2DFD6D07" w14:textId="77777777" w:rsidTr="004D5DD5">
        <w:tc>
          <w:tcPr>
            <w:tcW w:w="3398" w:type="dxa"/>
            <w:noWrap/>
            <w:vAlign w:val="bottom"/>
          </w:tcPr>
          <w:p w14:paraId="197A29F8" w14:textId="5A0675A9" w:rsidR="004A2DF7" w:rsidRPr="006D2D94" w:rsidRDefault="00B5787B">
            <w:pPr>
              <w:pStyle w:val="ARGrantstabletext"/>
              <w:rPr>
                <w:bCs/>
                <w:color w:val="000000"/>
              </w:rPr>
            </w:pPr>
            <w:r w:rsidRPr="001E7DF5">
              <w:rPr>
                <w:color w:val="000000"/>
              </w:rPr>
              <w:t>Victorian Trades Hall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EA8D4EC" w14:textId="44DCBBF2" w:rsidR="004A2DF7" w:rsidRPr="006D2D94" w:rsidRDefault="00B5787B">
            <w:pPr>
              <w:pStyle w:val="ARGrantstabletextright"/>
              <w:rPr>
                <w:bCs/>
                <w:color w:val="000000"/>
              </w:rPr>
            </w:pPr>
            <w:r w:rsidRPr="001E7DF5">
              <w:rPr>
                <w:color w:val="000000"/>
              </w:rPr>
              <w:t>1,210,000</w:t>
            </w:r>
          </w:p>
        </w:tc>
      </w:tr>
      <w:tr w:rsidR="004A2DF7" w:rsidRPr="006D2D94" w14:paraId="7FD86D56" w14:textId="77777777" w:rsidTr="004D5DD5">
        <w:tc>
          <w:tcPr>
            <w:tcW w:w="3398" w:type="dxa"/>
            <w:noWrap/>
            <w:vAlign w:val="bottom"/>
          </w:tcPr>
          <w:p w14:paraId="6E4C72CB" w14:textId="63230DCD" w:rsidR="004A2DF7" w:rsidRPr="006D2D94" w:rsidRDefault="00B5787B">
            <w:pPr>
              <w:pStyle w:val="ARGrantstabletext"/>
              <w:rPr>
                <w:b/>
                <w:bCs/>
                <w:color w:val="000000"/>
              </w:rPr>
            </w:pPr>
            <w:r w:rsidRPr="001E7DF5">
              <w:rPr>
                <w:color w:val="000000"/>
              </w:rPr>
              <w:t>Whittlesea Community Connections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5DCBA01" w14:textId="52D557F9" w:rsidR="004A2DF7" w:rsidRPr="006D2D94" w:rsidRDefault="00B5787B">
            <w:pPr>
              <w:pStyle w:val="ARGrantstabletextright"/>
              <w:rPr>
                <w:b/>
                <w:bCs/>
                <w:color w:val="000000"/>
              </w:rPr>
            </w:pPr>
            <w:r w:rsidRPr="001E7DF5">
              <w:rPr>
                <w:color w:val="000000"/>
              </w:rPr>
              <w:t>2,000</w:t>
            </w:r>
          </w:p>
        </w:tc>
      </w:tr>
      <w:tr w:rsidR="004A2DF7" w:rsidRPr="006D2D94" w14:paraId="21D85299" w14:textId="77777777" w:rsidTr="004D5DD5">
        <w:tc>
          <w:tcPr>
            <w:tcW w:w="3398" w:type="dxa"/>
            <w:noWrap/>
            <w:vAlign w:val="bottom"/>
          </w:tcPr>
          <w:p w14:paraId="2CE76631" w14:textId="5D9CD7E0" w:rsidR="004A2DF7" w:rsidRPr="006D2D94" w:rsidRDefault="00B5787B">
            <w:pPr>
              <w:pStyle w:val="ARGrantstabletext"/>
              <w:rPr>
                <w:b/>
                <w:bCs/>
                <w:color w:val="000000"/>
              </w:rPr>
            </w:pPr>
            <w:r w:rsidRPr="001E7DF5">
              <w:rPr>
                <w:color w:val="000000"/>
              </w:rPr>
              <w:t>Women of Colour Australia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44839A5" w14:textId="6512A635" w:rsidR="004A2DF7" w:rsidRPr="006D2D94" w:rsidRDefault="00B5787B">
            <w:pPr>
              <w:pStyle w:val="ARGrantstabletextright"/>
              <w:rPr>
                <w:b/>
                <w:bCs/>
                <w:color w:val="000000"/>
              </w:rPr>
            </w:pPr>
            <w:r w:rsidRPr="001E7DF5">
              <w:rPr>
                <w:color w:val="000000"/>
              </w:rPr>
              <w:t>270,000</w:t>
            </w:r>
          </w:p>
        </w:tc>
      </w:tr>
      <w:tr w:rsidR="004A2DF7" w:rsidRPr="006D2D94" w14:paraId="0527F213" w14:textId="77777777" w:rsidTr="004D5DD5">
        <w:tc>
          <w:tcPr>
            <w:tcW w:w="3398" w:type="dxa"/>
            <w:noWrap/>
            <w:vAlign w:val="bottom"/>
          </w:tcPr>
          <w:p w14:paraId="02E58164" w14:textId="202E87C8" w:rsidR="004A2DF7" w:rsidRPr="006D2D94" w:rsidRDefault="00B5787B">
            <w:pPr>
              <w:pStyle w:val="ARGrantstabletext"/>
              <w:rPr>
                <w:bCs/>
                <w:color w:val="000000"/>
              </w:rPr>
            </w:pPr>
            <w:r w:rsidRPr="001E7DF5">
              <w:rPr>
                <w:color w:val="000000"/>
              </w:rPr>
              <w:t>Women</w:t>
            </w:r>
            <w:r w:rsidR="00EA7A42">
              <w:rPr>
                <w:color w:val="000000"/>
              </w:rPr>
              <w:t>’</w:t>
            </w:r>
            <w:r w:rsidRPr="001E7DF5">
              <w:rPr>
                <w:color w:val="000000"/>
              </w:rPr>
              <w:t>s Information Referral Exchange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9A18995" w14:textId="03F22860" w:rsidR="004A2DF7" w:rsidRPr="006D2D94" w:rsidRDefault="00B5787B">
            <w:pPr>
              <w:pStyle w:val="ARGrantstabletextright"/>
              <w:rPr>
                <w:bCs/>
                <w:color w:val="000000"/>
              </w:rPr>
            </w:pPr>
            <w:r w:rsidRPr="001E7DF5">
              <w:rPr>
                <w:color w:val="000000"/>
              </w:rPr>
              <w:t>10,000</w:t>
            </w:r>
          </w:p>
        </w:tc>
      </w:tr>
      <w:tr w:rsidR="004A2DF7" w:rsidRPr="006D2D94" w14:paraId="49F76B70" w14:textId="77777777" w:rsidTr="004D5DD5">
        <w:trPr>
          <w:cnfStyle w:val="010000000000" w:firstRow="0" w:lastRow="1" w:firstColumn="0" w:lastColumn="0" w:oddVBand="0" w:evenVBand="0" w:oddHBand="0" w:evenHBand="0" w:firstRowFirstColumn="0" w:firstRowLastColumn="0" w:lastRowFirstColumn="0" w:lastRowLastColumn="0"/>
        </w:trPr>
        <w:tc>
          <w:tcPr>
            <w:tcW w:w="3398" w:type="dxa"/>
            <w:noWrap/>
          </w:tcPr>
          <w:p w14:paraId="59390372" w14:textId="77777777" w:rsidR="004A2DF7" w:rsidRPr="006D2D94" w:rsidRDefault="004A2DF7">
            <w:pPr>
              <w:pStyle w:val="ARGrantstabletextbold"/>
            </w:pPr>
            <w:r w:rsidRPr="006D2D94">
              <w:t>Total</w:t>
            </w:r>
          </w:p>
        </w:tc>
        <w:tc>
          <w:tcPr>
            <w:cnfStyle w:val="000001000000" w:firstRow="0" w:lastRow="0" w:firstColumn="0" w:lastColumn="0" w:oddVBand="0" w:evenVBand="1" w:oddHBand="0" w:evenHBand="0" w:firstRowFirstColumn="0" w:firstRowLastColumn="0" w:lastRowFirstColumn="0" w:lastRowLastColumn="0"/>
            <w:tcW w:w="1230" w:type="dxa"/>
            <w:noWrap/>
          </w:tcPr>
          <w:p w14:paraId="7B461097" w14:textId="0C46C97C" w:rsidR="004A2DF7" w:rsidRPr="006D2D94" w:rsidRDefault="007B62CB">
            <w:pPr>
              <w:pStyle w:val="ARGrantstabletextrightbold"/>
            </w:pPr>
            <w:r>
              <w:t>4,638,000</w:t>
            </w:r>
          </w:p>
        </w:tc>
      </w:tr>
    </w:tbl>
    <w:p w14:paraId="6E245ED9" w14:textId="77777777" w:rsidR="004A2DF7" w:rsidRPr="0017097F" w:rsidRDefault="004A2DF7" w:rsidP="00F90BC7">
      <w:pPr>
        <w:pStyle w:val="Heading3Grants"/>
        <w:spacing w:before="120"/>
      </w:pPr>
      <w:r w:rsidRPr="006D2D94">
        <w:lastRenderedPageBreak/>
        <w:t>Youth</w:t>
      </w:r>
    </w:p>
    <w:tbl>
      <w:tblPr>
        <w:tblStyle w:val="TableGrid"/>
        <w:tblW w:w="5000" w:type="pct"/>
        <w:tblLook w:val="02E0" w:firstRow="1" w:lastRow="1" w:firstColumn="1" w:lastColumn="0" w:noHBand="1" w:noVBand="0"/>
      </w:tblPr>
      <w:tblGrid>
        <w:gridCol w:w="3365"/>
        <w:gridCol w:w="1224"/>
      </w:tblGrid>
      <w:tr w:rsidR="004A2DF7" w:rsidRPr="006D2D94" w14:paraId="7FB5E9C7" w14:textId="77777777" w:rsidTr="00370B3A">
        <w:trPr>
          <w:cnfStyle w:val="100000000000" w:firstRow="1" w:lastRow="0" w:firstColumn="0" w:lastColumn="0" w:oddVBand="0" w:evenVBand="0" w:oddHBand="0" w:evenHBand="0" w:firstRowFirstColumn="0" w:firstRowLastColumn="0" w:lastRowFirstColumn="0" w:lastRowLastColumn="0"/>
          <w:tblHeader/>
        </w:trPr>
        <w:tc>
          <w:tcPr>
            <w:tcW w:w="3398" w:type="dxa"/>
            <w:noWrap/>
          </w:tcPr>
          <w:p w14:paraId="0457A9B1" w14:textId="77777777" w:rsidR="004A2DF7" w:rsidRPr="006D2D94" w:rsidRDefault="004A2DF7" w:rsidP="0017097F">
            <w:pPr>
              <w:pStyle w:val="ARGrantstablecolhead"/>
            </w:pPr>
            <w:r w:rsidRPr="006D2D94">
              <w:t>Organisation</w:t>
            </w:r>
          </w:p>
        </w:tc>
        <w:tc>
          <w:tcPr>
            <w:cnfStyle w:val="000001000000" w:firstRow="0" w:lastRow="0" w:firstColumn="0" w:lastColumn="0" w:oddVBand="0" w:evenVBand="1" w:oddHBand="0" w:evenHBand="0" w:firstRowFirstColumn="0" w:firstRowLastColumn="0" w:lastRowFirstColumn="0" w:lastRowLastColumn="0"/>
            <w:tcW w:w="1230" w:type="dxa"/>
            <w:noWrap/>
          </w:tcPr>
          <w:p w14:paraId="32158C58" w14:textId="77777777" w:rsidR="004A2DF7" w:rsidRPr="006D2D94" w:rsidRDefault="004A2DF7" w:rsidP="0017097F">
            <w:pPr>
              <w:pStyle w:val="ARGrantstablecolheadright"/>
            </w:pPr>
            <w:r w:rsidRPr="006D2D94">
              <w:t>Payment ($)</w:t>
            </w:r>
          </w:p>
        </w:tc>
      </w:tr>
      <w:tr w:rsidR="004A2DF7" w:rsidRPr="006D2D94" w14:paraId="3CB0EB43" w14:textId="77777777" w:rsidTr="00370B3A">
        <w:tc>
          <w:tcPr>
            <w:tcW w:w="3398" w:type="dxa"/>
            <w:noWrap/>
            <w:vAlign w:val="bottom"/>
          </w:tcPr>
          <w:p w14:paraId="00D66105" w14:textId="12AC3F24" w:rsidR="004A2DF7" w:rsidRPr="006D2D94" w:rsidRDefault="000A0A65">
            <w:pPr>
              <w:pStyle w:val="ARGrantstabletext"/>
              <w:rPr>
                <w:bCs/>
                <w:color w:val="000000"/>
              </w:rPr>
            </w:pPr>
            <w:r w:rsidRPr="00464DB0">
              <w:rPr>
                <w:color w:val="000000"/>
              </w:rPr>
              <w:t>Africa Day Australia Inc</w:t>
            </w:r>
            <w:r>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B54BBAF" w14:textId="74FEF82E" w:rsidR="004A2DF7" w:rsidRPr="006D2D94" w:rsidRDefault="000A0A65">
            <w:pPr>
              <w:pStyle w:val="ARGrantstabletextright"/>
              <w:rPr>
                <w:bCs/>
                <w:color w:val="000000"/>
              </w:rPr>
            </w:pPr>
            <w:r w:rsidRPr="00464DB0">
              <w:rPr>
                <w:color w:val="000000"/>
              </w:rPr>
              <w:t>17,500</w:t>
            </w:r>
          </w:p>
        </w:tc>
      </w:tr>
      <w:tr w:rsidR="004A2DF7" w:rsidRPr="006D2D94" w14:paraId="31DB924A" w14:textId="77777777" w:rsidTr="00370B3A">
        <w:tc>
          <w:tcPr>
            <w:tcW w:w="3398" w:type="dxa"/>
            <w:noWrap/>
            <w:vAlign w:val="bottom"/>
          </w:tcPr>
          <w:p w14:paraId="6A3E419A" w14:textId="7483EE13" w:rsidR="004A2DF7" w:rsidRPr="006D2D94" w:rsidRDefault="000A0A65">
            <w:pPr>
              <w:pStyle w:val="ARGrantstabletext"/>
              <w:rPr>
                <w:bCs/>
                <w:color w:val="000000"/>
              </w:rPr>
            </w:pPr>
            <w:r w:rsidRPr="00464DB0">
              <w:rPr>
                <w:color w:val="000000"/>
              </w:rPr>
              <w:t>African Youth Collective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167B019" w14:textId="0451485D" w:rsidR="004A2DF7" w:rsidRPr="006D2D94" w:rsidRDefault="000A0A65">
            <w:pPr>
              <w:pStyle w:val="ARGrantstabletextright"/>
              <w:rPr>
                <w:bCs/>
                <w:color w:val="000000"/>
              </w:rPr>
            </w:pPr>
            <w:r w:rsidRPr="00464DB0">
              <w:rPr>
                <w:color w:val="000000"/>
              </w:rPr>
              <w:t>2,000</w:t>
            </w:r>
          </w:p>
        </w:tc>
      </w:tr>
      <w:tr w:rsidR="004A2DF7" w:rsidRPr="006D2D94" w14:paraId="5936718E" w14:textId="77777777" w:rsidTr="00370B3A">
        <w:tc>
          <w:tcPr>
            <w:tcW w:w="3398" w:type="dxa"/>
            <w:noWrap/>
            <w:vAlign w:val="bottom"/>
          </w:tcPr>
          <w:p w14:paraId="4F87E73D" w14:textId="3D51DC32" w:rsidR="004A2DF7" w:rsidRPr="006D2D94" w:rsidRDefault="000A0A65">
            <w:pPr>
              <w:pStyle w:val="ARGrantstabletext"/>
              <w:rPr>
                <w:bCs/>
                <w:color w:val="000000"/>
              </w:rPr>
            </w:pPr>
            <w:proofErr w:type="spellStart"/>
            <w:r w:rsidRPr="00464DB0">
              <w:rPr>
                <w:color w:val="000000"/>
              </w:rPr>
              <w:t>Africare</w:t>
            </w:r>
            <w:proofErr w:type="spellEnd"/>
            <w:r w:rsidRPr="00464DB0">
              <w:rPr>
                <w:color w:val="000000"/>
              </w:rPr>
              <w:t xml:space="preserve"> Community Services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BBEFE81" w14:textId="08793DCA" w:rsidR="004A2DF7" w:rsidRPr="006D2D94" w:rsidRDefault="000A0A65">
            <w:pPr>
              <w:pStyle w:val="ARGrantstabletextright"/>
              <w:rPr>
                <w:bCs/>
                <w:color w:val="000000"/>
              </w:rPr>
            </w:pPr>
            <w:r w:rsidRPr="00464DB0">
              <w:rPr>
                <w:color w:val="000000"/>
              </w:rPr>
              <w:t>15,000</w:t>
            </w:r>
          </w:p>
        </w:tc>
      </w:tr>
      <w:tr w:rsidR="004A2DF7" w:rsidRPr="006D2D94" w14:paraId="3540FA9A" w14:textId="77777777" w:rsidTr="00370B3A">
        <w:tc>
          <w:tcPr>
            <w:tcW w:w="3398" w:type="dxa"/>
            <w:noWrap/>
            <w:vAlign w:val="bottom"/>
          </w:tcPr>
          <w:p w14:paraId="18AF347F" w14:textId="2E4416C5" w:rsidR="004A2DF7" w:rsidRPr="006D2D94" w:rsidRDefault="000A0A65">
            <w:pPr>
              <w:pStyle w:val="ARGrantstabletext"/>
              <w:rPr>
                <w:bCs/>
                <w:color w:val="000000"/>
              </w:rPr>
            </w:pPr>
            <w:r w:rsidRPr="00464DB0">
              <w:rPr>
                <w:color w:val="000000"/>
              </w:rPr>
              <w:t>Al-Hussein Arabic School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47DB2CC" w14:textId="052A59BD" w:rsidR="004A2DF7" w:rsidRPr="006D2D94" w:rsidRDefault="000A0A65">
            <w:pPr>
              <w:pStyle w:val="ARGrantstabletextright"/>
              <w:rPr>
                <w:bCs/>
                <w:color w:val="000000"/>
              </w:rPr>
            </w:pPr>
            <w:r w:rsidRPr="00464DB0">
              <w:rPr>
                <w:color w:val="000000"/>
              </w:rPr>
              <w:t>2,000</w:t>
            </w:r>
          </w:p>
        </w:tc>
      </w:tr>
      <w:tr w:rsidR="004A2DF7" w:rsidRPr="006D2D94" w14:paraId="01132757" w14:textId="77777777" w:rsidTr="00370B3A">
        <w:tc>
          <w:tcPr>
            <w:tcW w:w="3398" w:type="dxa"/>
            <w:noWrap/>
            <w:vAlign w:val="bottom"/>
          </w:tcPr>
          <w:p w14:paraId="18DAAC28" w14:textId="44C156CA" w:rsidR="004A2DF7" w:rsidRPr="006D2D94" w:rsidRDefault="000A0A65">
            <w:pPr>
              <w:pStyle w:val="ARGrantstabletext"/>
              <w:rPr>
                <w:bCs/>
                <w:color w:val="000000"/>
              </w:rPr>
            </w:pPr>
            <w:r w:rsidRPr="00464DB0">
              <w:rPr>
                <w:color w:val="000000"/>
              </w:rPr>
              <w:t>Alpine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80B3594" w14:textId="482B66E3" w:rsidR="004A2DF7" w:rsidRPr="006D2D94" w:rsidRDefault="000A0A65">
            <w:pPr>
              <w:pStyle w:val="ARGrantstabletextright"/>
              <w:rPr>
                <w:bCs/>
                <w:color w:val="000000"/>
              </w:rPr>
            </w:pPr>
            <w:r w:rsidRPr="00464DB0">
              <w:rPr>
                <w:color w:val="000000"/>
              </w:rPr>
              <w:t>62,250</w:t>
            </w:r>
          </w:p>
        </w:tc>
      </w:tr>
      <w:tr w:rsidR="004A2DF7" w:rsidRPr="006D2D94" w14:paraId="4FACB010" w14:textId="77777777" w:rsidTr="00370B3A">
        <w:tc>
          <w:tcPr>
            <w:tcW w:w="3398" w:type="dxa"/>
            <w:noWrap/>
            <w:vAlign w:val="bottom"/>
          </w:tcPr>
          <w:p w14:paraId="56D8ED66" w14:textId="4416F4B2" w:rsidR="004A2DF7" w:rsidRPr="006D2D94" w:rsidRDefault="000A0A65">
            <w:pPr>
              <w:pStyle w:val="ARGrantstabletext"/>
              <w:rPr>
                <w:bCs/>
                <w:color w:val="000000"/>
              </w:rPr>
            </w:pPr>
            <w:r w:rsidRPr="00464DB0">
              <w:rPr>
                <w:color w:val="000000"/>
              </w:rPr>
              <w:t>AMES Australia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B18561E" w14:textId="3FB62F86" w:rsidR="004A2DF7" w:rsidRPr="006D2D94" w:rsidRDefault="000A0A65">
            <w:pPr>
              <w:pStyle w:val="ARGrantstabletextright"/>
              <w:rPr>
                <w:bCs/>
                <w:color w:val="000000"/>
              </w:rPr>
            </w:pPr>
            <w:r w:rsidRPr="00464DB0">
              <w:rPr>
                <w:color w:val="000000"/>
              </w:rPr>
              <w:t>22,500</w:t>
            </w:r>
          </w:p>
        </w:tc>
      </w:tr>
      <w:tr w:rsidR="004A2DF7" w:rsidRPr="006D2D94" w14:paraId="2ED8B9D4" w14:textId="77777777" w:rsidTr="00370B3A">
        <w:tc>
          <w:tcPr>
            <w:tcW w:w="3398" w:type="dxa"/>
            <w:noWrap/>
            <w:vAlign w:val="bottom"/>
          </w:tcPr>
          <w:p w14:paraId="2EEB369F" w14:textId="4B49FFDF" w:rsidR="004A2DF7" w:rsidRPr="006D2D94" w:rsidRDefault="000A0A65">
            <w:pPr>
              <w:pStyle w:val="ARGrantstabletext"/>
              <w:rPr>
                <w:bCs/>
                <w:color w:val="000000"/>
              </w:rPr>
            </w:pPr>
            <w:r w:rsidRPr="00464DB0">
              <w:rPr>
                <w:color w:val="000000"/>
              </w:rPr>
              <w:t>Anglicare Victoria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09B3F51" w14:textId="70E9DFD5" w:rsidR="004A2DF7" w:rsidRPr="006D2D94" w:rsidRDefault="000A0A65">
            <w:pPr>
              <w:pStyle w:val="ARGrantstabletextright"/>
              <w:rPr>
                <w:bCs/>
                <w:color w:val="000000"/>
              </w:rPr>
            </w:pPr>
            <w:r w:rsidRPr="00464DB0">
              <w:rPr>
                <w:color w:val="000000"/>
              </w:rPr>
              <w:t>2,000</w:t>
            </w:r>
          </w:p>
        </w:tc>
      </w:tr>
      <w:tr w:rsidR="004A2DF7" w:rsidRPr="006D2D94" w14:paraId="1BBE04E9" w14:textId="77777777" w:rsidTr="00370B3A">
        <w:tc>
          <w:tcPr>
            <w:tcW w:w="3398" w:type="dxa"/>
            <w:noWrap/>
            <w:vAlign w:val="bottom"/>
          </w:tcPr>
          <w:p w14:paraId="4B5DC4B8" w14:textId="573CD5B4" w:rsidR="004A2DF7" w:rsidRPr="006D2D94" w:rsidRDefault="000A0A65">
            <w:pPr>
              <w:pStyle w:val="ARGrantstabletext"/>
              <w:rPr>
                <w:bCs/>
                <w:color w:val="000000"/>
              </w:rPr>
            </w:pPr>
            <w:r w:rsidRPr="00464DB0">
              <w:rPr>
                <w:color w:val="000000"/>
              </w:rPr>
              <w:t>Ararat Rural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750A45A" w14:textId="53DF46D0" w:rsidR="004A2DF7" w:rsidRPr="006D2D94" w:rsidRDefault="000A0A65">
            <w:pPr>
              <w:pStyle w:val="ARGrantstabletextright"/>
              <w:rPr>
                <w:bCs/>
                <w:color w:val="000000"/>
              </w:rPr>
            </w:pPr>
            <w:r w:rsidRPr="00464DB0">
              <w:rPr>
                <w:color w:val="000000"/>
              </w:rPr>
              <w:t>27,500</w:t>
            </w:r>
          </w:p>
        </w:tc>
      </w:tr>
      <w:tr w:rsidR="004A2DF7" w:rsidRPr="006D2D94" w14:paraId="03F71FA7" w14:textId="77777777" w:rsidTr="00370B3A">
        <w:tc>
          <w:tcPr>
            <w:tcW w:w="3398" w:type="dxa"/>
            <w:noWrap/>
            <w:vAlign w:val="bottom"/>
          </w:tcPr>
          <w:p w14:paraId="63CF2DEB" w14:textId="37AC6D09" w:rsidR="004A2DF7" w:rsidRPr="006D2D94" w:rsidRDefault="000A0A65">
            <w:pPr>
              <w:pStyle w:val="ARGrantstabletext"/>
              <w:rPr>
                <w:bCs/>
                <w:color w:val="000000"/>
              </w:rPr>
            </w:pPr>
            <w:r>
              <w:rPr>
                <w:color w:val="000000"/>
              </w:rPr>
              <w:t>Ardoch Limited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E2170F5" w14:textId="6CDFB315" w:rsidR="004A2DF7" w:rsidRPr="006D2D94" w:rsidRDefault="000A0A65">
            <w:pPr>
              <w:pStyle w:val="ARGrantstabletextright"/>
              <w:rPr>
                <w:bCs/>
                <w:color w:val="000000"/>
              </w:rPr>
            </w:pPr>
            <w:r w:rsidRPr="00464DB0">
              <w:rPr>
                <w:color w:val="000000"/>
              </w:rPr>
              <w:t>22,500</w:t>
            </w:r>
          </w:p>
        </w:tc>
      </w:tr>
      <w:tr w:rsidR="004A2DF7" w:rsidRPr="006D2D94" w14:paraId="71A375FE" w14:textId="77777777" w:rsidTr="00370B3A">
        <w:tc>
          <w:tcPr>
            <w:tcW w:w="3398" w:type="dxa"/>
            <w:noWrap/>
            <w:vAlign w:val="bottom"/>
          </w:tcPr>
          <w:p w14:paraId="3A86096F" w14:textId="1FEC5E2B" w:rsidR="004A2DF7" w:rsidRPr="006D2D94" w:rsidRDefault="000A0A65">
            <w:pPr>
              <w:pStyle w:val="ARGrantstabletext"/>
              <w:rPr>
                <w:bCs/>
                <w:color w:val="000000"/>
              </w:rPr>
            </w:pPr>
            <w:r w:rsidRPr="00464DB0">
              <w:rPr>
                <w:color w:val="000000"/>
              </w:rPr>
              <w:t>Arts Access Society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324B0E7" w14:textId="00425362" w:rsidR="004A2DF7" w:rsidRPr="006D2D94" w:rsidRDefault="000A0A65">
            <w:pPr>
              <w:pStyle w:val="ARGrantstabletextright"/>
              <w:rPr>
                <w:bCs/>
                <w:color w:val="000000"/>
              </w:rPr>
            </w:pPr>
            <w:r w:rsidRPr="00464DB0">
              <w:rPr>
                <w:color w:val="000000"/>
              </w:rPr>
              <w:t>22,500</w:t>
            </w:r>
          </w:p>
        </w:tc>
      </w:tr>
      <w:tr w:rsidR="004A2DF7" w:rsidRPr="006D2D94" w14:paraId="46F758EA" w14:textId="77777777" w:rsidTr="00370B3A">
        <w:tc>
          <w:tcPr>
            <w:tcW w:w="3398" w:type="dxa"/>
            <w:noWrap/>
            <w:vAlign w:val="bottom"/>
          </w:tcPr>
          <w:p w14:paraId="26F27694" w14:textId="0B85746D" w:rsidR="004A2DF7" w:rsidRPr="006D2D94" w:rsidRDefault="000A0A65">
            <w:pPr>
              <w:pStyle w:val="ARGrantstabletext"/>
              <w:rPr>
                <w:bCs/>
                <w:color w:val="000000"/>
              </w:rPr>
            </w:pPr>
            <w:r w:rsidRPr="00464DB0">
              <w:rPr>
                <w:color w:val="000000"/>
              </w:rPr>
              <w:t>Ashwood High School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EBBD56C" w14:textId="19D03851" w:rsidR="004A2DF7" w:rsidRPr="006D2D94" w:rsidRDefault="000A0A65">
            <w:pPr>
              <w:pStyle w:val="ARGrantstabletextright"/>
              <w:rPr>
                <w:bCs/>
                <w:color w:val="000000"/>
              </w:rPr>
            </w:pPr>
            <w:r w:rsidRPr="00464DB0">
              <w:rPr>
                <w:color w:val="000000"/>
              </w:rPr>
              <w:t>2,000</w:t>
            </w:r>
          </w:p>
        </w:tc>
      </w:tr>
      <w:tr w:rsidR="004A2DF7" w:rsidRPr="006D2D94" w14:paraId="62466789" w14:textId="77777777" w:rsidTr="00370B3A">
        <w:tc>
          <w:tcPr>
            <w:tcW w:w="3398" w:type="dxa"/>
            <w:noWrap/>
            <w:vAlign w:val="bottom"/>
          </w:tcPr>
          <w:p w14:paraId="1A1AEA31" w14:textId="640D3E8D" w:rsidR="004A2DF7" w:rsidRPr="006D2D94" w:rsidRDefault="000A0A65">
            <w:pPr>
              <w:pStyle w:val="ARGrantstabletext"/>
              <w:rPr>
                <w:bCs/>
                <w:color w:val="000000"/>
              </w:rPr>
            </w:pPr>
            <w:r w:rsidRPr="00464DB0">
              <w:rPr>
                <w:color w:val="000000"/>
              </w:rPr>
              <w:t>Aspergers Victoria Incorporated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59723D5" w14:textId="6B258E95" w:rsidR="004A2DF7" w:rsidRPr="006D2D94" w:rsidRDefault="000A0A65">
            <w:pPr>
              <w:pStyle w:val="ARGrantstabletextright"/>
              <w:rPr>
                <w:bCs/>
                <w:color w:val="000000"/>
              </w:rPr>
            </w:pPr>
            <w:r w:rsidRPr="00464DB0">
              <w:rPr>
                <w:color w:val="000000"/>
              </w:rPr>
              <w:t>1,980</w:t>
            </w:r>
          </w:p>
        </w:tc>
      </w:tr>
      <w:tr w:rsidR="004A2DF7" w:rsidRPr="006D2D94" w14:paraId="467AF0BB" w14:textId="77777777" w:rsidTr="00370B3A">
        <w:tc>
          <w:tcPr>
            <w:tcW w:w="3398" w:type="dxa"/>
            <w:noWrap/>
            <w:vAlign w:val="bottom"/>
          </w:tcPr>
          <w:p w14:paraId="41FEE5B6" w14:textId="1ADBED1B" w:rsidR="004A2DF7" w:rsidRPr="006D2D94" w:rsidRDefault="000A0A65">
            <w:pPr>
              <w:pStyle w:val="ARGrantstabletext"/>
              <w:rPr>
                <w:bCs/>
                <w:color w:val="000000"/>
              </w:rPr>
            </w:pPr>
            <w:r w:rsidRPr="00464DB0">
              <w:rPr>
                <w:color w:val="000000"/>
              </w:rPr>
              <w:t>Auspicious Arts Projects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ABF4304" w14:textId="0223EBC5" w:rsidR="004A2DF7" w:rsidRPr="006D2D94" w:rsidRDefault="000A0A65">
            <w:pPr>
              <w:pStyle w:val="ARGrantstabletextright"/>
              <w:rPr>
                <w:bCs/>
                <w:color w:val="000000"/>
              </w:rPr>
            </w:pPr>
            <w:r w:rsidRPr="00464DB0">
              <w:rPr>
                <w:color w:val="000000"/>
              </w:rPr>
              <w:t>17,500</w:t>
            </w:r>
          </w:p>
        </w:tc>
      </w:tr>
      <w:tr w:rsidR="004A2DF7" w:rsidRPr="006D2D94" w14:paraId="005B7F3D" w14:textId="77777777" w:rsidTr="00370B3A">
        <w:tc>
          <w:tcPr>
            <w:tcW w:w="3398" w:type="dxa"/>
            <w:noWrap/>
            <w:vAlign w:val="bottom"/>
          </w:tcPr>
          <w:p w14:paraId="75720E92" w14:textId="37189891" w:rsidR="004A2DF7" w:rsidRPr="006D2D94" w:rsidRDefault="000A0A65">
            <w:pPr>
              <w:pStyle w:val="ARGrantstabletext"/>
              <w:rPr>
                <w:bCs/>
                <w:color w:val="000000"/>
              </w:rPr>
            </w:pPr>
            <w:r w:rsidRPr="00464DB0">
              <w:rPr>
                <w:color w:val="000000"/>
              </w:rPr>
              <w:t>Australian Filipino Community Services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3A5F2AC" w14:textId="45A1CEC4" w:rsidR="004A2DF7" w:rsidRPr="006D2D94" w:rsidRDefault="000A0A65">
            <w:pPr>
              <w:pStyle w:val="ARGrantstabletextright"/>
              <w:rPr>
                <w:bCs/>
                <w:color w:val="000000"/>
              </w:rPr>
            </w:pPr>
            <w:r w:rsidRPr="00464DB0">
              <w:rPr>
                <w:color w:val="000000"/>
              </w:rPr>
              <w:t>22,500</w:t>
            </w:r>
          </w:p>
        </w:tc>
      </w:tr>
      <w:tr w:rsidR="004A2DF7" w:rsidRPr="006D2D94" w14:paraId="5A527799" w14:textId="77777777" w:rsidTr="00370B3A">
        <w:tc>
          <w:tcPr>
            <w:tcW w:w="3398" w:type="dxa"/>
            <w:noWrap/>
            <w:vAlign w:val="bottom"/>
          </w:tcPr>
          <w:p w14:paraId="512CF6F7" w14:textId="50F4AB0D" w:rsidR="004A2DF7" w:rsidRPr="006D2D94" w:rsidRDefault="000A0A65">
            <w:pPr>
              <w:pStyle w:val="ARGrantstabletext"/>
              <w:rPr>
                <w:bCs/>
                <w:color w:val="000000"/>
              </w:rPr>
            </w:pPr>
            <w:r w:rsidRPr="00464DB0">
              <w:rPr>
                <w:color w:val="000000"/>
              </w:rPr>
              <w:t>Australian Vietnamese Women</w:t>
            </w:r>
            <w:r w:rsidR="00EA7A42">
              <w:rPr>
                <w:color w:val="000000"/>
              </w:rPr>
              <w:t>’</w:t>
            </w:r>
            <w:r w:rsidRPr="00464DB0">
              <w:rPr>
                <w:color w:val="000000"/>
              </w:rPr>
              <w:t>s</w:t>
            </w:r>
            <w:r w:rsidR="0009574E">
              <w:rPr>
                <w:color w:val="000000"/>
              </w:rPr>
              <w:t> </w:t>
            </w:r>
            <w:r w:rsidRPr="00464DB0">
              <w:rPr>
                <w:color w:val="000000"/>
              </w:rPr>
              <w:t>Association</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50B373A" w14:textId="100A7589" w:rsidR="004A2DF7" w:rsidRPr="006D2D94" w:rsidRDefault="000A0A65">
            <w:pPr>
              <w:pStyle w:val="ARGrantstabletextright"/>
              <w:rPr>
                <w:bCs/>
                <w:color w:val="000000"/>
              </w:rPr>
            </w:pPr>
            <w:r w:rsidRPr="00464DB0">
              <w:rPr>
                <w:color w:val="000000"/>
              </w:rPr>
              <w:t>2,000</w:t>
            </w:r>
          </w:p>
        </w:tc>
      </w:tr>
      <w:tr w:rsidR="004A2DF7" w:rsidRPr="006D2D94" w14:paraId="67830A6C" w14:textId="77777777" w:rsidTr="00370B3A">
        <w:tc>
          <w:tcPr>
            <w:tcW w:w="3398" w:type="dxa"/>
            <w:noWrap/>
            <w:vAlign w:val="bottom"/>
          </w:tcPr>
          <w:p w14:paraId="28C30605" w14:textId="1774F3C5" w:rsidR="004A2DF7" w:rsidRPr="006D2D94" w:rsidRDefault="000A0A65">
            <w:pPr>
              <w:pStyle w:val="ARGrantstabletext"/>
              <w:rPr>
                <w:bCs/>
                <w:color w:val="000000"/>
              </w:rPr>
            </w:pPr>
            <w:r w:rsidRPr="00464DB0">
              <w:rPr>
                <w:color w:val="000000"/>
              </w:rPr>
              <w:t>Ballarat Specialist School (Farm</w:t>
            </w:r>
            <w:r w:rsidR="0009574E">
              <w:rPr>
                <w:color w:val="000000"/>
              </w:rPr>
              <w:t> </w:t>
            </w:r>
            <w:r w:rsidRPr="00464DB0">
              <w:rPr>
                <w:color w:val="000000"/>
              </w:rPr>
              <w:t>Campus)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CCAB4B2" w14:textId="00988D87" w:rsidR="004A2DF7" w:rsidRPr="006D2D94" w:rsidRDefault="000A0A65">
            <w:pPr>
              <w:pStyle w:val="ARGrantstabletextright"/>
              <w:rPr>
                <w:bCs/>
                <w:color w:val="000000"/>
              </w:rPr>
            </w:pPr>
            <w:r w:rsidRPr="00464DB0">
              <w:rPr>
                <w:color w:val="000000"/>
              </w:rPr>
              <w:t>12,000</w:t>
            </w:r>
          </w:p>
        </w:tc>
      </w:tr>
      <w:tr w:rsidR="004A2DF7" w:rsidRPr="006D2D94" w14:paraId="74410E7F" w14:textId="77777777" w:rsidTr="00370B3A">
        <w:tc>
          <w:tcPr>
            <w:tcW w:w="3398" w:type="dxa"/>
            <w:noWrap/>
            <w:vAlign w:val="bottom"/>
          </w:tcPr>
          <w:p w14:paraId="2933B172" w14:textId="777A2C9C" w:rsidR="004A2DF7" w:rsidRPr="006D2D94" w:rsidRDefault="000A0A65">
            <w:pPr>
              <w:pStyle w:val="ARGrantstabletext"/>
              <w:rPr>
                <w:bCs/>
                <w:color w:val="000000"/>
              </w:rPr>
            </w:pPr>
            <w:r w:rsidRPr="00464DB0">
              <w:rPr>
                <w:color w:val="000000"/>
              </w:rPr>
              <w:t>Banksia Gardens Community Centre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F2B1E95" w14:textId="250E6232" w:rsidR="004A2DF7" w:rsidRPr="006D2D94" w:rsidRDefault="000A0A65">
            <w:pPr>
              <w:pStyle w:val="ARGrantstabletextright"/>
              <w:rPr>
                <w:bCs/>
                <w:color w:val="000000"/>
              </w:rPr>
            </w:pPr>
            <w:r w:rsidRPr="00464DB0">
              <w:rPr>
                <w:color w:val="000000"/>
              </w:rPr>
              <w:t>22,500</w:t>
            </w:r>
          </w:p>
        </w:tc>
      </w:tr>
      <w:tr w:rsidR="004A2DF7" w:rsidRPr="006D2D94" w14:paraId="17B46097" w14:textId="77777777" w:rsidTr="00370B3A">
        <w:tc>
          <w:tcPr>
            <w:tcW w:w="3398" w:type="dxa"/>
            <w:noWrap/>
            <w:vAlign w:val="bottom"/>
          </w:tcPr>
          <w:p w14:paraId="7ED60C34" w14:textId="33D9F168" w:rsidR="004A2DF7" w:rsidRPr="006D2D94" w:rsidRDefault="000A0A65">
            <w:pPr>
              <w:pStyle w:val="ARGrantstabletext"/>
              <w:rPr>
                <w:bCs/>
                <w:color w:val="000000"/>
              </w:rPr>
            </w:pPr>
            <w:r w:rsidRPr="00464DB0">
              <w:rPr>
                <w:color w:val="000000"/>
              </w:rPr>
              <w:t>Banyule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49F20A5" w14:textId="4B0EE312" w:rsidR="004A2DF7" w:rsidRPr="006D2D94" w:rsidRDefault="000A0A65">
            <w:pPr>
              <w:pStyle w:val="ARGrantstabletextright"/>
              <w:rPr>
                <w:bCs/>
                <w:color w:val="000000"/>
              </w:rPr>
            </w:pPr>
            <w:r w:rsidRPr="00464DB0">
              <w:rPr>
                <w:color w:val="000000"/>
              </w:rPr>
              <w:t>87,834</w:t>
            </w:r>
          </w:p>
        </w:tc>
      </w:tr>
      <w:tr w:rsidR="004A2DF7" w:rsidRPr="006D2D94" w14:paraId="458841A7" w14:textId="77777777" w:rsidTr="00370B3A">
        <w:tc>
          <w:tcPr>
            <w:tcW w:w="3398" w:type="dxa"/>
            <w:noWrap/>
            <w:vAlign w:val="bottom"/>
          </w:tcPr>
          <w:p w14:paraId="7DEA4410" w14:textId="1529FD89" w:rsidR="004A2DF7" w:rsidRPr="006D2D94" w:rsidRDefault="000A0A65">
            <w:pPr>
              <w:pStyle w:val="ARGrantstabletext"/>
              <w:rPr>
                <w:bCs/>
                <w:color w:val="000000"/>
              </w:rPr>
            </w:pPr>
            <w:r w:rsidRPr="00464DB0">
              <w:rPr>
                <w:color w:val="000000"/>
              </w:rPr>
              <w:t>Barwon Valley School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F421765" w14:textId="06F03C00" w:rsidR="004A2DF7" w:rsidRPr="006D2D94" w:rsidRDefault="000A0A65">
            <w:pPr>
              <w:pStyle w:val="ARGrantstabletextright"/>
              <w:rPr>
                <w:bCs/>
                <w:color w:val="000000"/>
              </w:rPr>
            </w:pPr>
            <w:r w:rsidRPr="00464DB0">
              <w:rPr>
                <w:color w:val="000000"/>
              </w:rPr>
              <w:t>12,000</w:t>
            </w:r>
          </w:p>
        </w:tc>
      </w:tr>
      <w:tr w:rsidR="004A2DF7" w:rsidRPr="006D2D94" w14:paraId="7845B60C" w14:textId="77777777" w:rsidTr="00370B3A">
        <w:tc>
          <w:tcPr>
            <w:tcW w:w="3398" w:type="dxa"/>
            <w:noWrap/>
            <w:vAlign w:val="bottom"/>
          </w:tcPr>
          <w:p w14:paraId="174B73D8" w14:textId="493A8D90" w:rsidR="004A2DF7" w:rsidRPr="006D2D94" w:rsidRDefault="000A0A65">
            <w:pPr>
              <w:pStyle w:val="ARGrantstabletext"/>
              <w:rPr>
                <w:bCs/>
                <w:color w:val="000000"/>
              </w:rPr>
            </w:pPr>
            <w:r w:rsidRPr="00464DB0">
              <w:rPr>
                <w:color w:val="000000"/>
              </w:rPr>
              <w:t>Bass Coast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4A7E695" w14:textId="6655A4AD" w:rsidR="004A2DF7" w:rsidRPr="006D2D94" w:rsidRDefault="000A0A65">
            <w:pPr>
              <w:pStyle w:val="ARGrantstabletextright"/>
              <w:rPr>
                <w:bCs/>
                <w:color w:val="000000"/>
              </w:rPr>
            </w:pPr>
            <w:r w:rsidRPr="00464DB0">
              <w:rPr>
                <w:color w:val="000000"/>
              </w:rPr>
              <w:t>28,600</w:t>
            </w:r>
          </w:p>
        </w:tc>
      </w:tr>
      <w:tr w:rsidR="004A2DF7" w:rsidRPr="006D2D94" w14:paraId="3341C74C" w14:textId="77777777" w:rsidTr="00370B3A">
        <w:tc>
          <w:tcPr>
            <w:tcW w:w="3398" w:type="dxa"/>
            <w:noWrap/>
            <w:vAlign w:val="bottom"/>
          </w:tcPr>
          <w:p w14:paraId="2565D4FC" w14:textId="7E9B791B" w:rsidR="004A2DF7" w:rsidRPr="006D2D94" w:rsidRDefault="000A0A65">
            <w:pPr>
              <w:pStyle w:val="ARGrantstabletext"/>
              <w:rPr>
                <w:bCs/>
                <w:color w:val="000000"/>
              </w:rPr>
            </w:pPr>
            <w:r w:rsidRPr="00464DB0">
              <w:rPr>
                <w:color w:val="000000"/>
              </w:rPr>
              <w:t xml:space="preserve">Baw </w:t>
            </w:r>
            <w:proofErr w:type="spellStart"/>
            <w:r w:rsidRPr="00464DB0">
              <w:rPr>
                <w:color w:val="000000"/>
              </w:rPr>
              <w:t>Baw</w:t>
            </w:r>
            <w:proofErr w:type="spellEnd"/>
            <w:r w:rsidRPr="00464DB0">
              <w:rPr>
                <w:color w:val="000000"/>
              </w:rPr>
              <w:t xml:space="preserve"> Latrobe Local Learning and Employment Network Inc</w:t>
            </w:r>
            <w:r>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EA88D4E" w14:textId="2D81EF1B" w:rsidR="004A2DF7" w:rsidRPr="006D2D94" w:rsidRDefault="000A0A65">
            <w:pPr>
              <w:pStyle w:val="ARGrantstabletextright"/>
              <w:rPr>
                <w:bCs/>
                <w:color w:val="000000"/>
              </w:rPr>
            </w:pPr>
            <w:r w:rsidRPr="00464DB0">
              <w:rPr>
                <w:color w:val="000000"/>
              </w:rPr>
              <w:t>55,000</w:t>
            </w:r>
          </w:p>
        </w:tc>
      </w:tr>
      <w:tr w:rsidR="004A2DF7" w:rsidRPr="006D2D94" w14:paraId="666D6EA1" w14:textId="77777777" w:rsidTr="00370B3A">
        <w:tc>
          <w:tcPr>
            <w:tcW w:w="3398" w:type="dxa"/>
            <w:noWrap/>
            <w:vAlign w:val="bottom"/>
          </w:tcPr>
          <w:p w14:paraId="7D877FE7" w14:textId="6CBEA0AB" w:rsidR="004A2DF7" w:rsidRPr="006D2D94" w:rsidRDefault="000A0A65">
            <w:pPr>
              <w:pStyle w:val="ARGrantstabletext"/>
              <w:rPr>
                <w:bCs/>
                <w:color w:val="000000"/>
              </w:rPr>
            </w:pPr>
            <w:r w:rsidRPr="00464DB0">
              <w:rPr>
                <w:color w:val="000000"/>
              </w:rPr>
              <w:t xml:space="preserve">Baw </w:t>
            </w:r>
            <w:proofErr w:type="spellStart"/>
            <w:r w:rsidRPr="00464DB0">
              <w:rPr>
                <w:color w:val="000000"/>
              </w:rPr>
              <w:t>Baw</w:t>
            </w:r>
            <w:proofErr w:type="spellEnd"/>
            <w:r w:rsidRPr="00464DB0">
              <w:rPr>
                <w:color w:val="000000"/>
              </w:rPr>
              <w:t xml:space="preserve">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242C431" w14:textId="6826B35C" w:rsidR="004A2DF7" w:rsidRPr="006D2D94" w:rsidRDefault="000A0A65">
            <w:pPr>
              <w:pStyle w:val="ARGrantstabletextright"/>
              <w:rPr>
                <w:bCs/>
                <w:color w:val="000000"/>
              </w:rPr>
            </w:pPr>
            <w:r w:rsidRPr="00464DB0">
              <w:rPr>
                <w:color w:val="000000"/>
              </w:rPr>
              <w:t>92,751</w:t>
            </w:r>
          </w:p>
        </w:tc>
      </w:tr>
      <w:tr w:rsidR="004A2DF7" w:rsidRPr="006D2D94" w14:paraId="4FA9F022" w14:textId="77777777" w:rsidTr="00370B3A">
        <w:tc>
          <w:tcPr>
            <w:tcW w:w="3398" w:type="dxa"/>
            <w:noWrap/>
            <w:vAlign w:val="bottom"/>
          </w:tcPr>
          <w:p w14:paraId="0F3A06BC" w14:textId="2FBBB859" w:rsidR="004A2DF7" w:rsidRPr="006D2D94" w:rsidRDefault="000A0A65">
            <w:pPr>
              <w:pStyle w:val="ARGrantstabletext"/>
              <w:rPr>
                <w:bCs/>
                <w:color w:val="000000"/>
              </w:rPr>
            </w:pPr>
            <w:r w:rsidRPr="00464DB0">
              <w:rPr>
                <w:color w:val="000000"/>
              </w:rPr>
              <w:t>Bayside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0211185" w14:textId="4F9C05B3" w:rsidR="004A2DF7" w:rsidRPr="006D2D94" w:rsidRDefault="000A0A65">
            <w:pPr>
              <w:pStyle w:val="ARGrantstabletextright"/>
              <w:rPr>
                <w:bCs/>
                <w:color w:val="000000"/>
              </w:rPr>
            </w:pPr>
            <w:r w:rsidRPr="00464DB0">
              <w:rPr>
                <w:color w:val="000000"/>
              </w:rPr>
              <w:t>37,500</w:t>
            </w:r>
          </w:p>
        </w:tc>
      </w:tr>
      <w:tr w:rsidR="004A2DF7" w:rsidRPr="006D2D94" w14:paraId="3F0547CC" w14:textId="77777777" w:rsidTr="00370B3A">
        <w:tc>
          <w:tcPr>
            <w:tcW w:w="3398" w:type="dxa"/>
            <w:noWrap/>
            <w:vAlign w:val="bottom"/>
          </w:tcPr>
          <w:p w14:paraId="456E39DE" w14:textId="2F9375ED" w:rsidR="004A2DF7" w:rsidRPr="006D2D94" w:rsidRDefault="000A0A65">
            <w:pPr>
              <w:pStyle w:val="ARGrantstabletext"/>
              <w:rPr>
                <w:bCs/>
                <w:color w:val="000000"/>
              </w:rPr>
            </w:pPr>
            <w:r w:rsidRPr="00464DB0">
              <w:rPr>
                <w:color w:val="000000"/>
              </w:rPr>
              <w:t>Bellarine Community Health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0AEDA9B" w14:textId="471FCD07" w:rsidR="004A2DF7" w:rsidRPr="006D2D94" w:rsidRDefault="000A0A65">
            <w:pPr>
              <w:pStyle w:val="ARGrantstabletextright"/>
              <w:rPr>
                <w:bCs/>
                <w:color w:val="000000"/>
              </w:rPr>
            </w:pPr>
            <w:r w:rsidRPr="00464DB0">
              <w:rPr>
                <w:color w:val="000000"/>
              </w:rPr>
              <w:t>30,000</w:t>
            </w:r>
          </w:p>
        </w:tc>
      </w:tr>
      <w:tr w:rsidR="004A2DF7" w:rsidRPr="006D2D94" w14:paraId="11F62ECE" w14:textId="77777777" w:rsidTr="00370B3A">
        <w:tc>
          <w:tcPr>
            <w:tcW w:w="3398" w:type="dxa"/>
            <w:noWrap/>
            <w:vAlign w:val="bottom"/>
          </w:tcPr>
          <w:p w14:paraId="48A02EA2" w14:textId="2A096DC5" w:rsidR="004A2DF7" w:rsidRPr="006D2D94" w:rsidRDefault="000A0A65">
            <w:pPr>
              <w:pStyle w:val="ARGrantstabletext"/>
              <w:rPr>
                <w:bCs/>
                <w:color w:val="000000"/>
              </w:rPr>
            </w:pPr>
            <w:r w:rsidRPr="00464DB0">
              <w:rPr>
                <w:color w:val="000000"/>
              </w:rPr>
              <w:t>Benalla Rural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429C84E" w14:textId="46C4EB71" w:rsidR="004A2DF7" w:rsidRPr="006D2D94" w:rsidRDefault="000A0A65">
            <w:pPr>
              <w:pStyle w:val="ARGrantstabletextright"/>
              <w:rPr>
                <w:bCs/>
                <w:color w:val="000000"/>
              </w:rPr>
            </w:pPr>
            <w:r w:rsidRPr="00464DB0">
              <w:rPr>
                <w:color w:val="000000"/>
              </w:rPr>
              <w:t>57,750</w:t>
            </w:r>
          </w:p>
        </w:tc>
      </w:tr>
      <w:tr w:rsidR="004A2DF7" w:rsidRPr="006D2D94" w14:paraId="69DC455A" w14:textId="77777777" w:rsidTr="00370B3A">
        <w:tc>
          <w:tcPr>
            <w:tcW w:w="3398" w:type="dxa"/>
            <w:noWrap/>
            <w:vAlign w:val="bottom"/>
          </w:tcPr>
          <w:p w14:paraId="2C6E5FD7" w14:textId="0B8935D4" w:rsidR="004A2DF7" w:rsidRPr="006D2D94" w:rsidRDefault="000A0A65">
            <w:pPr>
              <w:pStyle w:val="ARGrantstabletext"/>
              <w:rPr>
                <w:bCs/>
                <w:color w:val="000000"/>
              </w:rPr>
            </w:pPr>
            <w:r w:rsidRPr="00464DB0">
              <w:rPr>
                <w:color w:val="000000"/>
              </w:rPr>
              <w:t>Bendigo and District Aboriginal Cooperative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15F8E21" w14:textId="29E2CF72" w:rsidR="004A2DF7" w:rsidRPr="006D2D94" w:rsidRDefault="000A0A65">
            <w:pPr>
              <w:pStyle w:val="ARGrantstabletextright"/>
              <w:rPr>
                <w:bCs/>
                <w:color w:val="000000"/>
              </w:rPr>
            </w:pPr>
            <w:r w:rsidRPr="00464DB0">
              <w:rPr>
                <w:color w:val="000000"/>
              </w:rPr>
              <w:t>67,500</w:t>
            </w:r>
          </w:p>
        </w:tc>
      </w:tr>
      <w:tr w:rsidR="004A2DF7" w:rsidRPr="006D2D94" w14:paraId="405DB7B1" w14:textId="77777777" w:rsidTr="00370B3A">
        <w:tc>
          <w:tcPr>
            <w:tcW w:w="3398" w:type="dxa"/>
            <w:noWrap/>
            <w:vAlign w:val="bottom"/>
          </w:tcPr>
          <w:p w14:paraId="425D84D5" w14:textId="7D3D228D" w:rsidR="004A2DF7" w:rsidRPr="006D2D94" w:rsidRDefault="000A0A65">
            <w:pPr>
              <w:pStyle w:val="ARGrantstabletext"/>
              <w:rPr>
                <w:bCs/>
                <w:color w:val="000000"/>
              </w:rPr>
            </w:pPr>
            <w:r w:rsidRPr="00464DB0">
              <w:rPr>
                <w:color w:val="000000"/>
              </w:rPr>
              <w:t>Bendigo Kangan Institute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8BDB1E1" w14:textId="2D6368C5" w:rsidR="004A2DF7" w:rsidRPr="006D2D94" w:rsidRDefault="000A0A65">
            <w:pPr>
              <w:pStyle w:val="ARGrantstabletextright"/>
              <w:rPr>
                <w:bCs/>
                <w:color w:val="000000"/>
              </w:rPr>
            </w:pPr>
            <w:r w:rsidRPr="00464DB0">
              <w:rPr>
                <w:color w:val="000000"/>
              </w:rPr>
              <w:t>2,000</w:t>
            </w:r>
          </w:p>
        </w:tc>
      </w:tr>
      <w:tr w:rsidR="004A2DF7" w:rsidRPr="006D2D94" w14:paraId="222B9B42" w14:textId="77777777" w:rsidTr="00370B3A">
        <w:tc>
          <w:tcPr>
            <w:tcW w:w="3398" w:type="dxa"/>
            <w:noWrap/>
            <w:vAlign w:val="bottom"/>
          </w:tcPr>
          <w:p w14:paraId="665CC88E" w14:textId="284D0E01" w:rsidR="004A2DF7" w:rsidRPr="006D2D94" w:rsidRDefault="000A0A65">
            <w:pPr>
              <w:pStyle w:val="ARGrantstabletext"/>
              <w:rPr>
                <w:bCs/>
                <w:color w:val="000000"/>
              </w:rPr>
            </w:pPr>
            <w:r w:rsidRPr="00464DB0">
              <w:rPr>
                <w:color w:val="000000"/>
              </w:rPr>
              <w:t xml:space="preserve">Berry Street Victoria </w:t>
            </w:r>
            <w:r w:rsidR="00EA7A42" w:rsidRPr="00464DB0">
              <w:rPr>
                <w:color w:val="000000"/>
              </w:rPr>
              <w:t>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086E5D3" w14:textId="5FEBAF6C" w:rsidR="004A2DF7" w:rsidRPr="006D2D94" w:rsidRDefault="000A0A65">
            <w:pPr>
              <w:pStyle w:val="ARGrantstabletextright"/>
              <w:rPr>
                <w:bCs/>
                <w:color w:val="000000"/>
              </w:rPr>
            </w:pPr>
            <w:r w:rsidRPr="00464DB0">
              <w:rPr>
                <w:color w:val="000000"/>
              </w:rPr>
              <w:t>27,500</w:t>
            </w:r>
          </w:p>
        </w:tc>
      </w:tr>
      <w:tr w:rsidR="004A2DF7" w:rsidRPr="006D2D94" w14:paraId="45A8749C" w14:textId="77777777" w:rsidTr="00370B3A">
        <w:tc>
          <w:tcPr>
            <w:tcW w:w="3398" w:type="dxa"/>
            <w:noWrap/>
            <w:vAlign w:val="bottom"/>
          </w:tcPr>
          <w:p w14:paraId="7DEFF104" w14:textId="6FB59E05" w:rsidR="004A2DF7" w:rsidRPr="006D2D94" w:rsidRDefault="000A0A65">
            <w:pPr>
              <w:pStyle w:val="ARGrantstabletext"/>
              <w:rPr>
                <w:bCs/>
                <w:color w:val="000000"/>
              </w:rPr>
            </w:pPr>
            <w:proofErr w:type="spellStart"/>
            <w:r w:rsidRPr="00464DB0">
              <w:rPr>
                <w:color w:val="000000"/>
              </w:rPr>
              <w:t>Bhuminanda</w:t>
            </w:r>
            <w:proofErr w:type="spellEnd"/>
            <w:r w:rsidRPr="00464DB0">
              <w:rPr>
                <w:color w:val="000000"/>
              </w:rPr>
              <w:t xml:space="preserve"> </w:t>
            </w:r>
            <w:proofErr w:type="spellStart"/>
            <w:r w:rsidRPr="00464DB0">
              <w:rPr>
                <w:color w:val="000000"/>
              </w:rPr>
              <w:t>Dhaulidevi</w:t>
            </w:r>
            <w:proofErr w:type="spellEnd"/>
            <w:r w:rsidRPr="00464DB0">
              <w:rPr>
                <w:color w:val="000000"/>
              </w:rPr>
              <w:t xml:space="preserve"> Foundation Incorporated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8FE0F93" w14:textId="257C1337" w:rsidR="004A2DF7" w:rsidRPr="006D2D94" w:rsidRDefault="000A0A65">
            <w:pPr>
              <w:pStyle w:val="ARGrantstabletextright"/>
              <w:rPr>
                <w:bCs/>
                <w:color w:val="000000"/>
              </w:rPr>
            </w:pPr>
            <w:r w:rsidRPr="00464DB0">
              <w:rPr>
                <w:color w:val="000000"/>
              </w:rPr>
              <w:t>2,000</w:t>
            </w:r>
          </w:p>
        </w:tc>
      </w:tr>
      <w:tr w:rsidR="004A2DF7" w:rsidRPr="006D2D94" w14:paraId="0A6F124D" w14:textId="77777777" w:rsidTr="00370B3A">
        <w:tc>
          <w:tcPr>
            <w:tcW w:w="3398" w:type="dxa"/>
            <w:tcBorders>
              <w:bottom w:val="single" w:sz="4" w:space="0" w:color="A6A6A6" w:themeColor="accent5"/>
            </w:tcBorders>
            <w:noWrap/>
            <w:vAlign w:val="bottom"/>
          </w:tcPr>
          <w:p w14:paraId="6A8E6866" w14:textId="23F9DFF3" w:rsidR="004A2DF7" w:rsidRPr="006D2D94" w:rsidRDefault="000A0A65">
            <w:pPr>
              <w:pStyle w:val="ARGrantstabletext"/>
              <w:rPr>
                <w:bCs/>
                <w:color w:val="000000"/>
              </w:rPr>
            </w:pPr>
            <w:r w:rsidRPr="00464DB0">
              <w:rPr>
                <w:color w:val="000000"/>
              </w:rPr>
              <w:t>Birchip Neighbourhood House</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74480830" w14:textId="4411453E" w:rsidR="004A2DF7" w:rsidRPr="006D2D94" w:rsidRDefault="000A0A65">
            <w:pPr>
              <w:pStyle w:val="ARGrantstabletextright"/>
              <w:rPr>
                <w:bCs/>
                <w:color w:val="000000"/>
              </w:rPr>
            </w:pPr>
            <w:r w:rsidRPr="00464DB0">
              <w:rPr>
                <w:color w:val="000000"/>
              </w:rPr>
              <w:t>39,750</w:t>
            </w:r>
          </w:p>
        </w:tc>
      </w:tr>
      <w:tr w:rsidR="004A2DF7" w:rsidRPr="006D2D94" w14:paraId="539C91D2" w14:textId="77777777" w:rsidTr="00370B3A">
        <w:tc>
          <w:tcPr>
            <w:tcW w:w="3398" w:type="dxa"/>
            <w:tcBorders>
              <w:top w:val="single" w:sz="4" w:space="0" w:color="A6A6A6" w:themeColor="accent5"/>
              <w:bottom w:val="single" w:sz="4" w:space="0" w:color="A6A6A6" w:themeColor="accent5"/>
            </w:tcBorders>
            <w:noWrap/>
            <w:vAlign w:val="bottom"/>
          </w:tcPr>
          <w:p w14:paraId="621DC6FF" w14:textId="2F1F111C" w:rsidR="004A2DF7" w:rsidRPr="006D2D94" w:rsidRDefault="000A0A65">
            <w:pPr>
              <w:pStyle w:val="ARGrantstabletext"/>
              <w:rPr>
                <w:bCs/>
                <w:color w:val="000000"/>
              </w:rPr>
            </w:pPr>
            <w:r w:rsidRPr="00464DB0">
              <w:rPr>
                <w:color w:val="000000"/>
              </w:rPr>
              <w:t>Birchip P</w:t>
            </w:r>
            <w:r w:rsidR="00EA7A42">
              <w:rPr>
                <w:color w:val="000000"/>
              </w:rPr>
              <w:t>–</w:t>
            </w:r>
            <w:r w:rsidRPr="00464DB0">
              <w:rPr>
                <w:color w:val="000000"/>
              </w:rPr>
              <w:t>12 School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2B68193A" w14:textId="69683229" w:rsidR="004A2DF7" w:rsidRPr="006D2D94" w:rsidRDefault="000A0A65">
            <w:pPr>
              <w:pStyle w:val="ARGrantstabletextright"/>
              <w:rPr>
                <w:bCs/>
                <w:color w:val="000000"/>
              </w:rPr>
            </w:pPr>
            <w:r w:rsidRPr="00464DB0">
              <w:rPr>
                <w:color w:val="000000"/>
              </w:rPr>
              <w:t>14,000</w:t>
            </w:r>
          </w:p>
        </w:tc>
      </w:tr>
      <w:tr w:rsidR="004A2DF7" w:rsidRPr="006D2D94" w14:paraId="222A7D08" w14:textId="77777777" w:rsidTr="00370B3A">
        <w:tc>
          <w:tcPr>
            <w:tcW w:w="3398" w:type="dxa"/>
            <w:tcBorders>
              <w:top w:val="single" w:sz="4" w:space="0" w:color="A6A6A6" w:themeColor="accent5"/>
              <w:bottom w:val="single" w:sz="4" w:space="0" w:color="A6A6A6" w:themeColor="accent5"/>
            </w:tcBorders>
            <w:noWrap/>
            <w:vAlign w:val="bottom"/>
          </w:tcPr>
          <w:p w14:paraId="389317A1" w14:textId="5D593A1E" w:rsidR="004A2DF7" w:rsidRPr="006D2D94" w:rsidRDefault="000A0A65">
            <w:pPr>
              <w:pStyle w:val="ARGrantstabletext"/>
              <w:rPr>
                <w:bCs/>
                <w:color w:val="000000"/>
              </w:rPr>
            </w:pPr>
            <w:r w:rsidRPr="00464DB0">
              <w:rPr>
                <w:color w:val="000000"/>
              </w:rPr>
              <w:t>Bluebird Foundation</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7DFE5C5E" w14:textId="431767F7" w:rsidR="004A2DF7" w:rsidRPr="006D2D94" w:rsidRDefault="000A0A65">
            <w:pPr>
              <w:pStyle w:val="ARGrantstabletextright"/>
              <w:rPr>
                <w:bCs/>
                <w:color w:val="000000"/>
              </w:rPr>
            </w:pPr>
            <w:r w:rsidRPr="00464DB0">
              <w:rPr>
                <w:color w:val="000000"/>
              </w:rPr>
              <w:t>24,500</w:t>
            </w:r>
          </w:p>
        </w:tc>
      </w:tr>
      <w:tr w:rsidR="004A2DF7" w:rsidRPr="006D2D94" w14:paraId="74DBD8F5" w14:textId="77777777" w:rsidTr="00370B3A">
        <w:tc>
          <w:tcPr>
            <w:tcW w:w="3398" w:type="dxa"/>
            <w:tcBorders>
              <w:top w:val="single" w:sz="4" w:space="0" w:color="A6A6A6" w:themeColor="accent5"/>
              <w:bottom w:val="single" w:sz="4" w:space="0" w:color="A6A6A6" w:themeColor="accent5"/>
            </w:tcBorders>
            <w:noWrap/>
            <w:vAlign w:val="bottom"/>
          </w:tcPr>
          <w:p w14:paraId="530B718C" w14:textId="1BDE73FD" w:rsidR="004A2DF7" w:rsidRPr="006D2D94" w:rsidRDefault="000A0A65">
            <w:pPr>
              <w:pStyle w:val="ARGrantstabletext"/>
              <w:rPr>
                <w:bCs/>
                <w:color w:val="000000"/>
              </w:rPr>
            </w:pPr>
            <w:r w:rsidRPr="00464DB0">
              <w:rPr>
                <w:color w:val="000000"/>
              </w:rPr>
              <w:t>Bonnie Doon Community Group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790FF94C" w14:textId="30DA9651" w:rsidR="004A2DF7" w:rsidRPr="006D2D94" w:rsidRDefault="000A0A65">
            <w:pPr>
              <w:pStyle w:val="ARGrantstabletextright"/>
              <w:rPr>
                <w:bCs/>
                <w:color w:val="000000"/>
              </w:rPr>
            </w:pPr>
            <w:r w:rsidRPr="00464DB0">
              <w:rPr>
                <w:color w:val="000000"/>
              </w:rPr>
              <w:t>22,500</w:t>
            </w:r>
          </w:p>
        </w:tc>
      </w:tr>
      <w:tr w:rsidR="004A2DF7" w:rsidRPr="006D2D94" w14:paraId="482CE1D4" w14:textId="77777777" w:rsidTr="00370B3A">
        <w:tc>
          <w:tcPr>
            <w:tcW w:w="3398" w:type="dxa"/>
            <w:tcBorders>
              <w:top w:val="single" w:sz="4" w:space="0" w:color="A6A6A6" w:themeColor="accent5"/>
            </w:tcBorders>
            <w:noWrap/>
            <w:vAlign w:val="bottom"/>
          </w:tcPr>
          <w:p w14:paraId="311F350D" w14:textId="4CC561CA" w:rsidR="004A2DF7" w:rsidRPr="006D2D94" w:rsidRDefault="000A0A65">
            <w:pPr>
              <w:pStyle w:val="ARGrantstabletext"/>
              <w:rPr>
                <w:bCs/>
                <w:color w:val="000000"/>
              </w:rPr>
            </w:pPr>
            <w:r w:rsidRPr="00464DB0">
              <w:rPr>
                <w:color w:val="000000"/>
              </w:rPr>
              <w:t>Boroondara City Council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15430BEB" w14:textId="4B455D58" w:rsidR="004A2DF7" w:rsidRPr="006D2D94" w:rsidRDefault="000A0A65">
            <w:pPr>
              <w:pStyle w:val="ARGrantstabletextright"/>
              <w:rPr>
                <w:bCs/>
                <w:color w:val="000000"/>
              </w:rPr>
            </w:pPr>
            <w:r w:rsidRPr="00464DB0">
              <w:rPr>
                <w:color w:val="000000"/>
              </w:rPr>
              <w:t>42,000</w:t>
            </w:r>
          </w:p>
        </w:tc>
      </w:tr>
      <w:tr w:rsidR="004A2DF7" w:rsidRPr="006D2D94" w14:paraId="5EB4CF4A" w14:textId="77777777" w:rsidTr="00370B3A">
        <w:tc>
          <w:tcPr>
            <w:tcW w:w="3398" w:type="dxa"/>
            <w:tcBorders>
              <w:bottom w:val="single" w:sz="4" w:space="0" w:color="A6A6A6" w:themeColor="accent5"/>
            </w:tcBorders>
            <w:noWrap/>
            <w:vAlign w:val="bottom"/>
          </w:tcPr>
          <w:p w14:paraId="7CE06957" w14:textId="3F1AE670" w:rsidR="004A2DF7" w:rsidRPr="006D2D94" w:rsidRDefault="000A0A65">
            <w:pPr>
              <w:pStyle w:val="ARGrantstabletext"/>
              <w:rPr>
                <w:bCs/>
                <w:color w:val="000000"/>
              </w:rPr>
            </w:pPr>
            <w:r w:rsidRPr="00464DB0">
              <w:rPr>
                <w:color w:val="000000"/>
              </w:rPr>
              <w:t>Braemar College</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48361AF4" w14:textId="06073EFE" w:rsidR="004A2DF7" w:rsidRPr="006D2D94" w:rsidRDefault="000A0A65">
            <w:pPr>
              <w:pStyle w:val="ARGrantstabletextright"/>
              <w:rPr>
                <w:bCs/>
                <w:color w:val="000000"/>
              </w:rPr>
            </w:pPr>
            <w:r w:rsidRPr="00464DB0">
              <w:rPr>
                <w:color w:val="000000"/>
              </w:rPr>
              <w:t>2,000</w:t>
            </w:r>
          </w:p>
        </w:tc>
      </w:tr>
      <w:tr w:rsidR="004A2DF7" w:rsidRPr="006D2D94" w14:paraId="34DF7E51" w14:textId="77777777" w:rsidTr="00370B3A">
        <w:tc>
          <w:tcPr>
            <w:tcW w:w="3398" w:type="dxa"/>
            <w:tcBorders>
              <w:top w:val="single" w:sz="4" w:space="0" w:color="A6A6A6" w:themeColor="accent5"/>
              <w:bottom w:val="single" w:sz="4" w:space="0" w:color="A6A6A6" w:themeColor="accent5"/>
            </w:tcBorders>
            <w:noWrap/>
            <w:vAlign w:val="bottom"/>
          </w:tcPr>
          <w:p w14:paraId="5981431E" w14:textId="5F0843C1" w:rsidR="004A2DF7" w:rsidRPr="006D2D94" w:rsidRDefault="000A0A65">
            <w:pPr>
              <w:pStyle w:val="ARGrantstabletext"/>
              <w:rPr>
                <w:bCs/>
                <w:color w:val="000000"/>
              </w:rPr>
            </w:pPr>
            <w:proofErr w:type="spellStart"/>
            <w:r w:rsidRPr="00464DB0">
              <w:rPr>
                <w:color w:val="000000"/>
              </w:rPr>
              <w:t>Brimbank</w:t>
            </w:r>
            <w:proofErr w:type="spellEnd"/>
            <w:r w:rsidRPr="00464DB0">
              <w:rPr>
                <w:color w:val="000000"/>
              </w:rPr>
              <w:t xml:space="preserve"> City Council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4EF8ABB1" w14:textId="5B1C26C4" w:rsidR="004A2DF7" w:rsidRPr="006D2D94" w:rsidRDefault="000A0A65">
            <w:pPr>
              <w:pStyle w:val="ARGrantstabletextright"/>
              <w:rPr>
                <w:bCs/>
                <w:color w:val="000000"/>
              </w:rPr>
            </w:pPr>
            <w:r w:rsidRPr="00464DB0">
              <w:rPr>
                <w:color w:val="000000"/>
              </w:rPr>
              <w:t>37,500</w:t>
            </w:r>
          </w:p>
        </w:tc>
      </w:tr>
      <w:tr w:rsidR="004A2DF7" w:rsidRPr="006D2D94" w14:paraId="50436539" w14:textId="77777777" w:rsidTr="00370B3A">
        <w:tc>
          <w:tcPr>
            <w:tcW w:w="3398" w:type="dxa"/>
            <w:tcBorders>
              <w:top w:val="single" w:sz="4" w:space="0" w:color="A6A6A6" w:themeColor="accent5"/>
            </w:tcBorders>
            <w:noWrap/>
            <w:vAlign w:val="bottom"/>
          </w:tcPr>
          <w:p w14:paraId="7CFDBB2B" w14:textId="62081D5E" w:rsidR="004A2DF7" w:rsidRPr="006D2D94" w:rsidRDefault="000A0A65">
            <w:pPr>
              <w:pStyle w:val="ARGrantstabletext"/>
              <w:rPr>
                <w:bCs/>
                <w:color w:val="000000"/>
              </w:rPr>
            </w:pPr>
            <w:proofErr w:type="spellStart"/>
            <w:r w:rsidRPr="00464DB0">
              <w:rPr>
                <w:color w:val="000000"/>
              </w:rPr>
              <w:t>Buloke</w:t>
            </w:r>
            <w:proofErr w:type="spellEnd"/>
            <w:r w:rsidRPr="00464DB0">
              <w:rPr>
                <w:color w:val="000000"/>
              </w:rPr>
              <w:t xml:space="preserve"> Shire Council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2D026758" w14:textId="6C5B9C20" w:rsidR="004A2DF7" w:rsidRPr="006D2D94" w:rsidRDefault="000A0A65">
            <w:pPr>
              <w:pStyle w:val="ARGrantstabletextright"/>
              <w:rPr>
                <w:bCs/>
                <w:color w:val="000000"/>
              </w:rPr>
            </w:pPr>
            <w:r w:rsidRPr="00464DB0">
              <w:rPr>
                <w:color w:val="000000"/>
              </w:rPr>
              <w:t>2,000</w:t>
            </w:r>
          </w:p>
        </w:tc>
      </w:tr>
      <w:tr w:rsidR="004A2DF7" w:rsidRPr="006D2D94" w14:paraId="675C1177" w14:textId="77777777" w:rsidTr="00370B3A">
        <w:tc>
          <w:tcPr>
            <w:tcW w:w="3398" w:type="dxa"/>
            <w:noWrap/>
            <w:vAlign w:val="bottom"/>
          </w:tcPr>
          <w:p w14:paraId="448F15C5" w14:textId="118176EE" w:rsidR="004A2DF7" w:rsidRPr="006D2D94" w:rsidRDefault="000A0A65">
            <w:pPr>
              <w:pStyle w:val="ARGrantstabletext"/>
              <w:rPr>
                <w:bCs/>
                <w:color w:val="000000"/>
              </w:rPr>
            </w:pPr>
            <w:proofErr w:type="spellStart"/>
            <w:r w:rsidRPr="00464DB0">
              <w:rPr>
                <w:color w:val="000000"/>
              </w:rPr>
              <w:t>Bunjilwarra</w:t>
            </w:r>
            <w:proofErr w:type="spellEnd"/>
            <w:r w:rsidRPr="00464DB0">
              <w:rPr>
                <w:color w:val="000000"/>
              </w:rPr>
              <w:t xml:space="preserve"> Koori youth healing service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0430D25" w14:textId="2EBC5351" w:rsidR="004A2DF7" w:rsidRPr="006D2D94" w:rsidRDefault="000A0A65">
            <w:pPr>
              <w:pStyle w:val="ARGrantstabletextright"/>
              <w:rPr>
                <w:bCs/>
                <w:color w:val="000000"/>
              </w:rPr>
            </w:pPr>
            <w:r w:rsidRPr="00464DB0">
              <w:rPr>
                <w:color w:val="000000"/>
              </w:rPr>
              <w:t>152,800</w:t>
            </w:r>
          </w:p>
        </w:tc>
      </w:tr>
      <w:tr w:rsidR="004A2DF7" w:rsidRPr="006D2D94" w14:paraId="74008055" w14:textId="77777777" w:rsidTr="00370B3A">
        <w:tc>
          <w:tcPr>
            <w:tcW w:w="3398" w:type="dxa"/>
            <w:noWrap/>
            <w:vAlign w:val="bottom"/>
          </w:tcPr>
          <w:p w14:paraId="5216F7F1" w14:textId="09D50F83" w:rsidR="004A2DF7" w:rsidRPr="006D2D94" w:rsidRDefault="000A0A65">
            <w:pPr>
              <w:pStyle w:val="ARGrantstabletext"/>
              <w:rPr>
                <w:bCs/>
                <w:color w:val="000000"/>
              </w:rPr>
            </w:pPr>
            <w:r w:rsidRPr="00464DB0">
              <w:rPr>
                <w:color w:val="000000"/>
              </w:rPr>
              <w:t>Campaspe Cohuna Local Learning and Employment Network</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632C01A" w14:textId="4DC0DA33" w:rsidR="004A2DF7" w:rsidRPr="006D2D94" w:rsidRDefault="000A0A65">
            <w:pPr>
              <w:pStyle w:val="ARGrantstabletextright"/>
              <w:rPr>
                <w:bCs/>
                <w:color w:val="000000"/>
              </w:rPr>
            </w:pPr>
            <w:r w:rsidRPr="00464DB0">
              <w:rPr>
                <w:color w:val="000000"/>
              </w:rPr>
              <w:t>2,000</w:t>
            </w:r>
          </w:p>
        </w:tc>
      </w:tr>
      <w:tr w:rsidR="004A2DF7" w:rsidRPr="006D2D94" w14:paraId="00F822DE" w14:textId="77777777" w:rsidTr="00370B3A">
        <w:tc>
          <w:tcPr>
            <w:tcW w:w="3398" w:type="dxa"/>
            <w:noWrap/>
            <w:vAlign w:val="bottom"/>
          </w:tcPr>
          <w:p w14:paraId="52482361" w14:textId="7A7FA68C" w:rsidR="004A2DF7" w:rsidRPr="006D2D94" w:rsidRDefault="000A0A65">
            <w:pPr>
              <w:pStyle w:val="ARGrantstabletext"/>
              <w:rPr>
                <w:bCs/>
                <w:color w:val="000000"/>
              </w:rPr>
            </w:pPr>
            <w:r w:rsidRPr="00464DB0">
              <w:rPr>
                <w:color w:val="000000"/>
              </w:rPr>
              <w:t>Campaspe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4822CA9" w14:textId="0E2548C4" w:rsidR="004A2DF7" w:rsidRPr="006D2D94" w:rsidRDefault="000A0A65">
            <w:pPr>
              <w:pStyle w:val="ARGrantstabletextright"/>
              <w:rPr>
                <w:bCs/>
                <w:color w:val="000000"/>
              </w:rPr>
            </w:pPr>
            <w:r w:rsidRPr="00464DB0">
              <w:rPr>
                <w:color w:val="000000"/>
              </w:rPr>
              <w:t>88,876</w:t>
            </w:r>
          </w:p>
        </w:tc>
      </w:tr>
      <w:tr w:rsidR="004A2DF7" w:rsidRPr="006D2D94" w14:paraId="6F5A5400" w14:textId="77777777" w:rsidTr="00F90BC7">
        <w:tc>
          <w:tcPr>
            <w:tcW w:w="3398" w:type="dxa"/>
            <w:tcBorders>
              <w:bottom w:val="single" w:sz="4" w:space="0" w:color="A6A6A6" w:themeColor="accent5"/>
            </w:tcBorders>
            <w:noWrap/>
            <w:vAlign w:val="bottom"/>
          </w:tcPr>
          <w:p w14:paraId="4A5E5F76" w14:textId="47653D14" w:rsidR="004A2DF7" w:rsidRPr="006D2D94" w:rsidRDefault="000A0A65">
            <w:pPr>
              <w:pStyle w:val="ARGrantstabletext"/>
              <w:rPr>
                <w:bCs/>
                <w:color w:val="000000"/>
              </w:rPr>
            </w:pPr>
            <w:r w:rsidRPr="00464DB0">
              <w:rPr>
                <w:color w:val="000000"/>
              </w:rPr>
              <w:t>Cardinia Shire Council</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21811048" w14:textId="11E4F2BF" w:rsidR="004A2DF7" w:rsidRPr="006D2D94" w:rsidRDefault="000A0A65">
            <w:pPr>
              <w:pStyle w:val="ARGrantstabletextright"/>
              <w:rPr>
                <w:bCs/>
                <w:color w:val="000000"/>
              </w:rPr>
            </w:pPr>
            <w:r w:rsidRPr="00464DB0">
              <w:rPr>
                <w:color w:val="000000"/>
              </w:rPr>
              <w:t>85,000</w:t>
            </w:r>
          </w:p>
        </w:tc>
      </w:tr>
      <w:tr w:rsidR="004A2DF7" w:rsidRPr="006D2D94" w14:paraId="3C76D0F2" w14:textId="77777777" w:rsidTr="00F90BC7">
        <w:tc>
          <w:tcPr>
            <w:tcW w:w="3398" w:type="dxa"/>
            <w:tcBorders>
              <w:top w:val="single" w:sz="4" w:space="0" w:color="A6A6A6" w:themeColor="accent5"/>
              <w:bottom w:val="single" w:sz="4" w:space="0" w:color="A6A6A6" w:themeColor="accent5"/>
            </w:tcBorders>
            <w:noWrap/>
            <w:vAlign w:val="bottom"/>
          </w:tcPr>
          <w:p w14:paraId="77556687" w14:textId="4360EF96" w:rsidR="004A2DF7" w:rsidRPr="006D2D94" w:rsidRDefault="000A0A65">
            <w:pPr>
              <w:pStyle w:val="ARGrantstabletext"/>
              <w:rPr>
                <w:bCs/>
                <w:color w:val="000000"/>
              </w:rPr>
            </w:pPr>
            <w:r w:rsidRPr="00464DB0">
              <w:rPr>
                <w:color w:val="000000"/>
              </w:rPr>
              <w:t>Castlemaine Secondary College (Senior</w:t>
            </w:r>
            <w:r w:rsidR="00F90BC7">
              <w:rPr>
                <w:color w:val="000000"/>
              </w:rPr>
              <w:t> </w:t>
            </w:r>
            <w:r w:rsidRPr="00464DB0">
              <w:rPr>
                <w:color w:val="000000"/>
              </w:rPr>
              <w:t>Campus)</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224B43DA" w14:textId="3FF3577D" w:rsidR="004A2DF7" w:rsidRPr="006D2D94" w:rsidRDefault="000A0A65">
            <w:pPr>
              <w:pStyle w:val="ARGrantstabletextright"/>
              <w:rPr>
                <w:bCs/>
                <w:color w:val="000000"/>
              </w:rPr>
            </w:pPr>
            <w:r w:rsidRPr="00464DB0">
              <w:rPr>
                <w:color w:val="000000"/>
              </w:rPr>
              <w:t>12,000</w:t>
            </w:r>
          </w:p>
        </w:tc>
      </w:tr>
      <w:tr w:rsidR="004A2DF7" w:rsidRPr="006D2D94" w14:paraId="3FB331C4" w14:textId="77777777" w:rsidTr="00F90BC7">
        <w:tc>
          <w:tcPr>
            <w:tcW w:w="3398" w:type="dxa"/>
            <w:tcBorders>
              <w:top w:val="single" w:sz="4" w:space="0" w:color="A6A6A6" w:themeColor="accent5"/>
            </w:tcBorders>
            <w:noWrap/>
            <w:vAlign w:val="bottom"/>
          </w:tcPr>
          <w:p w14:paraId="353AAA15" w14:textId="55E0235B" w:rsidR="004A2DF7" w:rsidRPr="006D2D94" w:rsidRDefault="000A0A65">
            <w:pPr>
              <w:pStyle w:val="ARGrantstabletext"/>
              <w:rPr>
                <w:bCs/>
                <w:color w:val="000000"/>
              </w:rPr>
            </w:pPr>
            <w:proofErr w:type="spellStart"/>
            <w:r w:rsidRPr="00464DB0">
              <w:rPr>
                <w:color w:val="000000"/>
              </w:rPr>
              <w:t>CatholicCare</w:t>
            </w:r>
            <w:proofErr w:type="spellEnd"/>
            <w:r w:rsidRPr="00464DB0">
              <w:rPr>
                <w:color w:val="000000"/>
              </w:rPr>
              <w:t xml:space="preserve"> Victoria Ltd</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269BBD20" w14:textId="6A376D18" w:rsidR="004A2DF7" w:rsidRPr="006D2D94" w:rsidRDefault="000A0A65">
            <w:pPr>
              <w:pStyle w:val="ARGrantstabletextright"/>
              <w:rPr>
                <w:bCs/>
                <w:color w:val="000000"/>
              </w:rPr>
            </w:pPr>
            <w:r w:rsidRPr="00464DB0">
              <w:rPr>
                <w:color w:val="000000"/>
              </w:rPr>
              <w:t>65,000</w:t>
            </w:r>
          </w:p>
        </w:tc>
      </w:tr>
      <w:tr w:rsidR="004A2DF7" w:rsidRPr="006D2D94" w14:paraId="7AE3BE43" w14:textId="77777777" w:rsidTr="00370B3A">
        <w:tc>
          <w:tcPr>
            <w:tcW w:w="3398" w:type="dxa"/>
            <w:noWrap/>
            <w:vAlign w:val="bottom"/>
          </w:tcPr>
          <w:p w14:paraId="58890E6F" w14:textId="6B612854" w:rsidR="004A2DF7" w:rsidRPr="006D2D94" w:rsidRDefault="000A0A65">
            <w:pPr>
              <w:pStyle w:val="ARGrantstabletext"/>
              <w:rPr>
                <w:bCs/>
                <w:color w:val="000000"/>
              </w:rPr>
            </w:pPr>
            <w:r w:rsidRPr="00464DB0">
              <w:rPr>
                <w:color w:val="000000"/>
              </w:rPr>
              <w:t>Central Goldfields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CFB9730" w14:textId="09550CF7" w:rsidR="004A2DF7" w:rsidRPr="006D2D94" w:rsidRDefault="000A0A65">
            <w:pPr>
              <w:pStyle w:val="ARGrantstabletextright"/>
              <w:rPr>
                <w:bCs/>
                <w:color w:val="000000"/>
              </w:rPr>
            </w:pPr>
            <w:r w:rsidRPr="00464DB0">
              <w:rPr>
                <w:color w:val="000000"/>
              </w:rPr>
              <w:t>87,750</w:t>
            </w:r>
          </w:p>
        </w:tc>
      </w:tr>
      <w:tr w:rsidR="004A2DF7" w:rsidRPr="006D2D94" w14:paraId="07DDE6B7" w14:textId="77777777" w:rsidTr="00370B3A">
        <w:tc>
          <w:tcPr>
            <w:tcW w:w="3398" w:type="dxa"/>
            <w:noWrap/>
            <w:vAlign w:val="bottom"/>
          </w:tcPr>
          <w:p w14:paraId="0E070887" w14:textId="1EDF0951" w:rsidR="004A2DF7" w:rsidRPr="006D2D94" w:rsidRDefault="000A0A65">
            <w:pPr>
              <w:pStyle w:val="ARGrantstabletext"/>
              <w:rPr>
                <w:bCs/>
                <w:color w:val="000000"/>
              </w:rPr>
            </w:pPr>
            <w:r w:rsidRPr="00464DB0">
              <w:rPr>
                <w:color w:val="000000"/>
              </w:rPr>
              <w:t>Central Grampians Local Learning and Employment Network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EDEE402" w14:textId="6D753AFF" w:rsidR="004A2DF7" w:rsidRPr="006D2D94" w:rsidRDefault="000A0A65">
            <w:pPr>
              <w:pStyle w:val="ARGrantstabletextright"/>
              <w:rPr>
                <w:bCs/>
                <w:color w:val="000000"/>
              </w:rPr>
            </w:pPr>
            <w:r w:rsidRPr="00464DB0">
              <w:rPr>
                <w:color w:val="000000"/>
              </w:rPr>
              <w:t>45,000</w:t>
            </w:r>
          </w:p>
        </w:tc>
      </w:tr>
      <w:tr w:rsidR="004A2DF7" w:rsidRPr="006D2D94" w14:paraId="50C862B3" w14:textId="77777777" w:rsidTr="00370B3A">
        <w:tc>
          <w:tcPr>
            <w:tcW w:w="3398" w:type="dxa"/>
            <w:noWrap/>
            <w:vAlign w:val="bottom"/>
          </w:tcPr>
          <w:p w14:paraId="66E8A09E" w14:textId="456528EB" w:rsidR="004A2DF7" w:rsidRPr="006D2D94" w:rsidRDefault="000A0A65">
            <w:pPr>
              <w:pStyle w:val="ARGrantstabletext"/>
              <w:rPr>
                <w:bCs/>
                <w:color w:val="000000"/>
              </w:rPr>
            </w:pPr>
            <w:r w:rsidRPr="00464DB0">
              <w:rPr>
                <w:color w:val="000000"/>
              </w:rPr>
              <w:t>Centre for Multicultural Youth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566B8B3" w14:textId="54DFA8F2" w:rsidR="004A2DF7" w:rsidRPr="006D2D94" w:rsidRDefault="000A0A65">
            <w:pPr>
              <w:pStyle w:val="ARGrantstabletextright"/>
              <w:rPr>
                <w:bCs/>
                <w:color w:val="000000"/>
              </w:rPr>
            </w:pPr>
            <w:r w:rsidRPr="00464DB0">
              <w:rPr>
                <w:color w:val="000000"/>
              </w:rPr>
              <w:t>5,037,022</w:t>
            </w:r>
          </w:p>
        </w:tc>
      </w:tr>
      <w:tr w:rsidR="004A2DF7" w:rsidRPr="006D2D94" w14:paraId="1CF0677A" w14:textId="77777777" w:rsidTr="00370B3A">
        <w:tc>
          <w:tcPr>
            <w:tcW w:w="3398" w:type="dxa"/>
            <w:noWrap/>
            <w:vAlign w:val="bottom"/>
          </w:tcPr>
          <w:p w14:paraId="327F454B" w14:textId="12B93F24" w:rsidR="004A2DF7" w:rsidRPr="006D2D94" w:rsidRDefault="000A0A65">
            <w:pPr>
              <w:pStyle w:val="ARGrantstabletext"/>
              <w:rPr>
                <w:bCs/>
                <w:color w:val="000000"/>
              </w:rPr>
            </w:pPr>
            <w:r w:rsidRPr="00464DB0">
              <w:rPr>
                <w:color w:val="000000"/>
              </w:rPr>
              <w:t xml:space="preserve">Charles La Trobe College </w:t>
            </w:r>
            <w:r w:rsidR="00EA7A42">
              <w:rPr>
                <w:color w:val="000000"/>
              </w:rPr>
              <w:t>–</w:t>
            </w:r>
            <w:r w:rsidR="00EA7A42" w:rsidRPr="00464DB0">
              <w:rPr>
                <w:color w:val="000000"/>
              </w:rPr>
              <w:t xml:space="preserve"> </w:t>
            </w:r>
            <w:r w:rsidRPr="00464DB0">
              <w:rPr>
                <w:color w:val="000000"/>
              </w:rPr>
              <w:t>The Pavilion School (Preston Campus)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7922709" w14:textId="608D934F" w:rsidR="004A2DF7" w:rsidRPr="006D2D94" w:rsidRDefault="000A0A65">
            <w:pPr>
              <w:pStyle w:val="ARGrantstabletextright"/>
              <w:rPr>
                <w:bCs/>
                <w:color w:val="000000"/>
              </w:rPr>
            </w:pPr>
            <w:r w:rsidRPr="00464DB0">
              <w:rPr>
                <w:color w:val="000000"/>
              </w:rPr>
              <w:t>17,500</w:t>
            </w:r>
          </w:p>
        </w:tc>
      </w:tr>
      <w:tr w:rsidR="004A2DF7" w:rsidRPr="006D2D94" w14:paraId="2DBC1B7F" w14:textId="77777777" w:rsidTr="00370B3A">
        <w:tc>
          <w:tcPr>
            <w:tcW w:w="3398" w:type="dxa"/>
            <w:noWrap/>
            <w:vAlign w:val="bottom"/>
          </w:tcPr>
          <w:p w14:paraId="4DBE79AD" w14:textId="3259343D" w:rsidR="004A2DF7" w:rsidRPr="006D2D94" w:rsidRDefault="000A0A65">
            <w:pPr>
              <w:pStyle w:val="ARGrantstabletext"/>
              <w:rPr>
                <w:bCs/>
                <w:color w:val="000000"/>
              </w:rPr>
            </w:pPr>
            <w:r w:rsidRPr="00464DB0">
              <w:rPr>
                <w:color w:val="000000"/>
              </w:rPr>
              <w:t>Charlton Neighbourhood House Incorporated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F4ED132" w14:textId="2335C946" w:rsidR="004A2DF7" w:rsidRPr="006D2D94" w:rsidRDefault="000A0A65">
            <w:pPr>
              <w:pStyle w:val="ARGrantstabletextright"/>
              <w:rPr>
                <w:bCs/>
                <w:color w:val="000000"/>
              </w:rPr>
            </w:pPr>
            <w:r w:rsidRPr="00464DB0">
              <w:rPr>
                <w:color w:val="000000"/>
              </w:rPr>
              <w:t>4,000</w:t>
            </w:r>
          </w:p>
        </w:tc>
      </w:tr>
      <w:tr w:rsidR="004A2DF7" w:rsidRPr="006D2D94" w14:paraId="1970CC4A" w14:textId="77777777" w:rsidTr="00370B3A">
        <w:tc>
          <w:tcPr>
            <w:tcW w:w="3398" w:type="dxa"/>
            <w:noWrap/>
            <w:vAlign w:val="bottom"/>
          </w:tcPr>
          <w:p w14:paraId="247790AF" w14:textId="61775659" w:rsidR="004A2DF7" w:rsidRPr="006D2D94" w:rsidRDefault="000A0A65">
            <w:pPr>
              <w:pStyle w:val="ARGrantstabletext"/>
              <w:rPr>
                <w:bCs/>
                <w:color w:val="000000"/>
              </w:rPr>
            </w:pPr>
            <w:r w:rsidRPr="00464DB0">
              <w:rPr>
                <w:color w:val="000000"/>
              </w:rPr>
              <w:t>Cheltenham Community Centre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9F6503C" w14:textId="3A387EF5" w:rsidR="004A2DF7" w:rsidRPr="006D2D94" w:rsidRDefault="000A0A65">
            <w:pPr>
              <w:pStyle w:val="ARGrantstabletextright"/>
              <w:rPr>
                <w:bCs/>
                <w:color w:val="000000"/>
              </w:rPr>
            </w:pPr>
            <w:r w:rsidRPr="00464DB0">
              <w:rPr>
                <w:color w:val="000000"/>
              </w:rPr>
              <w:t>26,667</w:t>
            </w:r>
          </w:p>
        </w:tc>
      </w:tr>
      <w:tr w:rsidR="004A2DF7" w:rsidRPr="006D2D94" w14:paraId="65E3BFC6" w14:textId="77777777" w:rsidTr="00370B3A">
        <w:tc>
          <w:tcPr>
            <w:tcW w:w="3398" w:type="dxa"/>
            <w:noWrap/>
            <w:vAlign w:val="bottom"/>
          </w:tcPr>
          <w:p w14:paraId="1759F918" w14:textId="246B42B0" w:rsidR="004A2DF7" w:rsidRPr="006D2D94" w:rsidRDefault="000A0A65">
            <w:pPr>
              <w:pStyle w:val="ARGrantstabletext"/>
              <w:rPr>
                <w:bCs/>
                <w:color w:val="000000"/>
              </w:rPr>
            </w:pPr>
            <w:r w:rsidRPr="00464DB0">
              <w:rPr>
                <w:color w:val="000000"/>
              </w:rPr>
              <w:t>City of Ballarat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1B5C8C2" w14:textId="41EA30EE" w:rsidR="004A2DF7" w:rsidRPr="006D2D94" w:rsidRDefault="000A0A65">
            <w:pPr>
              <w:pStyle w:val="ARGrantstabletextright"/>
              <w:rPr>
                <w:bCs/>
                <w:color w:val="000000"/>
              </w:rPr>
            </w:pPr>
            <w:r w:rsidRPr="00464DB0">
              <w:rPr>
                <w:color w:val="000000"/>
              </w:rPr>
              <w:t>64,750</w:t>
            </w:r>
          </w:p>
        </w:tc>
      </w:tr>
      <w:tr w:rsidR="004A2DF7" w:rsidRPr="006D2D94" w14:paraId="116D88D5" w14:textId="77777777" w:rsidTr="00370B3A">
        <w:tc>
          <w:tcPr>
            <w:tcW w:w="3398" w:type="dxa"/>
            <w:noWrap/>
            <w:vAlign w:val="bottom"/>
          </w:tcPr>
          <w:p w14:paraId="6D40EE29" w14:textId="5063EFE1" w:rsidR="004A2DF7" w:rsidRPr="006D2D94" w:rsidRDefault="000A0A65">
            <w:pPr>
              <w:pStyle w:val="ARGrantstabletext"/>
              <w:rPr>
                <w:bCs/>
                <w:color w:val="000000"/>
              </w:rPr>
            </w:pPr>
            <w:r w:rsidRPr="00464DB0">
              <w:rPr>
                <w:color w:val="000000"/>
              </w:rPr>
              <w:t>City of Casey</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EFD95ED" w14:textId="24F66747" w:rsidR="004A2DF7" w:rsidRPr="006D2D94" w:rsidRDefault="000A0A65">
            <w:pPr>
              <w:pStyle w:val="ARGrantstabletextright"/>
              <w:rPr>
                <w:bCs/>
                <w:color w:val="000000"/>
              </w:rPr>
            </w:pPr>
            <w:r w:rsidRPr="00464DB0">
              <w:rPr>
                <w:color w:val="000000"/>
              </w:rPr>
              <w:t>62,000</w:t>
            </w:r>
          </w:p>
        </w:tc>
      </w:tr>
      <w:tr w:rsidR="004A2DF7" w:rsidRPr="006D2D94" w14:paraId="39EBFAF2" w14:textId="77777777" w:rsidTr="00370B3A">
        <w:tc>
          <w:tcPr>
            <w:tcW w:w="3398" w:type="dxa"/>
            <w:noWrap/>
            <w:vAlign w:val="bottom"/>
          </w:tcPr>
          <w:p w14:paraId="3226FDDD" w14:textId="1BE4CEC9" w:rsidR="004A2DF7" w:rsidRPr="006D2D94" w:rsidRDefault="000A0A65">
            <w:pPr>
              <w:pStyle w:val="ARGrantstabletext"/>
              <w:rPr>
                <w:bCs/>
                <w:color w:val="000000"/>
              </w:rPr>
            </w:pPr>
            <w:r w:rsidRPr="00464DB0">
              <w:rPr>
                <w:color w:val="000000"/>
              </w:rPr>
              <w:t>City of Greater Bendigo</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CE5E0C1" w14:textId="33DDAD24" w:rsidR="004A2DF7" w:rsidRPr="006D2D94" w:rsidRDefault="000A0A65">
            <w:pPr>
              <w:pStyle w:val="ARGrantstabletextright"/>
              <w:rPr>
                <w:bCs/>
                <w:color w:val="000000"/>
              </w:rPr>
            </w:pPr>
            <w:r w:rsidRPr="00464DB0">
              <w:rPr>
                <w:color w:val="000000"/>
              </w:rPr>
              <w:t>64,750</w:t>
            </w:r>
          </w:p>
        </w:tc>
      </w:tr>
      <w:tr w:rsidR="004A2DF7" w:rsidRPr="006D2D94" w14:paraId="4870C4FA" w14:textId="77777777" w:rsidTr="00370B3A">
        <w:tc>
          <w:tcPr>
            <w:tcW w:w="3398" w:type="dxa"/>
            <w:noWrap/>
            <w:vAlign w:val="bottom"/>
          </w:tcPr>
          <w:p w14:paraId="2D06DD8C" w14:textId="5A4819CA" w:rsidR="004A2DF7" w:rsidRPr="006D2D94" w:rsidRDefault="000A0A65">
            <w:pPr>
              <w:pStyle w:val="ARGrantstabletext"/>
              <w:rPr>
                <w:bCs/>
                <w:color w:val="000000"/>
              </w:rPr>
            </w:pPr>
            <w:r w:rsidRPr="00464DB0">
              <w:rPr>
                <w:color w:val="000000"/>
              </w:rPr>
              <w:t>City of Greater Dandenong</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B6E1035" w14:textId="1B1240D0" w:rsidR="004A2DF7" w:rsidRPr="006D2D94" w:rsidRDefault="000A0A65">
            <w:pPr>
              <w:pStyle w:val="ARGrantstabletextright"/>
              <w:rPr>
                <w:bCs/>
                <w:color w:val="000000"/>
              </w:rPr>
            </w:pPr>
            <w:r w:rsidRPr="00464DB0">
              <w:rPr>
                <w:color w:val="000000"/>
              </w:rPr>
              <w:t>87,500</w:t>
            </w:r>
          </w:p>
        </w:tc>
      </w:tr>
      <w:tr w:rsidR="004A2DF7" w:rsidRPr="006D2D94" w14:paraId="3E82F832" w14:textId="77777777" w:rsidTr="00370B3A">
        <w:tc>
          <w:tcPr>
            <w:tcW w:w="3398" w:type="dxa"/>
            <w:noWrap/>
            <w:vAlign w:val="bottom"/>
          </w:tcPr>
          <w:p w14:paraId="29419140" w14:textId="264D2AA7" w:rsidR="004A2DF7" w:rsidRPr="006D2D94" w:rsidRDefault="000A0A65">
            <w:pPr>
              <w:pStyle w:val="ARGrantstabletext"/>
              <w:rPr>
                <w:bCs/>
                <w:color w:val="000000"/>
              </w:rPr>
            </w:pPr>
            <w:r w:rsidRPr="00464DB0">
              <w:rPr>
                <w:color w:val="000000"/>
              </w:rPr>
              <w:t>City of Greater Geelong</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36E0357" w14:textId="796A2042" w:rsidR="004A2DF7" w:rsidRPr="006D2D94" w:rsidRDefault="000A0A65">
            <w:pPr>
              <w:pStyle w:val="ARGrantstabletextright"/>
              <w:rPr>
                <w:bCs/>
                <w:color w:val="000000"/>
              </w:rPr>
            </w:pPr>
            <w:r w:rsidRPr="00464DB0">
              <w:rPr>
                <w:color w:val="000000"/>
              </w:rPr>
              <w:t>75,250</w:t>
            </w:r>
          </w:p>
        </w:tc>
      </w:tr>
      <w:tr w:rsidR="004A2DF7" w:rsidRPr="006D2D94" w14:paraId="4369C9BE" w14:textId="77777777" w:rsidTr="00370B3A">
        <w:tc>
          <w:tcPr>
            <w:tcW w:w="3398" w:type="dxa"/>
            <w:noWrap/>
            <w:vAlign w:val="bottom"/>
          </w:tcPr>
          <w:p w14:paraId="41787CF7" w14:textId="77646AC6" w:rsidR="004A2DF7" w:rsidRPr="006D2D94" w:rsidRDefault="000A0A65">
            <w:pPr>
              <w:pStyle w:val="ARGrantstabletext"/>
              <w:rPr>
                <w:bCs/>
                <w:color w:val="000000"/>
              </w:rPr>
            </w:pPr>
            <w:r w:rsidRPr="00464DB0">
              <w:rPr>
                <w:color w:val="000000"/>
              </w:rPr>
              <w:t>City of Monash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65EF1A9" w14:textId="62613639" w:rsidR="004A2DF7" w:rsidRPr="006D2D94" w:rsidRDefault="000A0A65">
            <w:pPr>
              <w:pStyle w:val="ARGrantstabletextright"/>
              <w:rPr>
                <w:bCs/>
                <w:color w:val="000000"/>
              </w:rPr>
            </w:pPr>
            <w:r w:rsidRPr="00464DB0">
              <w:rPr>
                <w:color w:val="000000"/>
              </w:rPr>
              <w:t>67,500</w:t>
            </w:r>
          </w:p>
        </w:tc>
      </w:tr>
      <w:tr w:rsidR="004A2DF7" w:rsidRPr="006D2D94" w14:paraId="3AE598BF" w14:textId="77777777" w:rsidTr="00370B3A">
        <w:tc>
          <w:tcPr>
            <w:tcW w:w="3398" w:type="dxa"/>
            <w:noWrap/>
            <w:vAlign w:val="bottom"/>
          </w:tcPr>
          <w:p w14:paraId="4C6D66B3" w14:textId="466A1222" w:rsidR="004A2DF7" w:rsidRPr="006D2D94" w:rsidRDefault="000A0A65">
            <w:pPr>
              <w:pStyle w:val="ARGrantstabletext"/>
              <w:rPr>
                <w:bCs/>
                <w:color w:val="000000"/>
              </w:rPr>
            </w:pPr>
            <w:r w:rsidRPr="00464DB0">
              <w:rPr>
                <w:color w:val="000000"/>
              </w:rPr>
              <w:t>City of Port Phillip</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C09B15A" w14:textId="6E466BA1" w:rsidR="004A2DF7" w:rsidRPr="006D2D94" w:rsidRDefault="000A0A65">
            <w:pPr>
              <w:pStyle w:val="ARGrantstabletextright"/>
              <w:rPr>
                <w:bCs/>
                <w:color w:val="000000"/>
              </w:rPr>
            </w:pPr>
            <w:r w:rsidRPr="00464DB0">
              <w:rPr>
                <w:color w:val="000000"/>
              </w:rPr>
              <w:t>44,500</w:t>
            </w:r>
          </w:p>
        </w:tc>
      </w:tr>
      <w:tr w:rsidR="004A2DF7" w:rsidRPr="006D2D94" w14:paraId="3F6A5814" w14:textId="77777777" w:rsidTr="00370B3A">
        <w:tc>
          <w:tcPr>
            <w:tcW w:w="3398" w:type="dxa"/>
            <w:noWrap/>
            <w:vAlign w:val="bottom"/>
          </w:tcPr>
          <w:p w14:paraId="1521A311" w14:textId="67B7FCD3" w:rsidR="004A2DF7" w:rsidRPr="006D2D94" w:rsidRDefault="000A0A65">
            <w:pPr>
              <w:pStyle w:val="ARGrantstabletext"/>
              <w:rPr>
                <w:bCs/>
                <w:color w:val="000000"/>
              </w:rPr>
            </w:pPr>
            <w:r w:rsidRPr="00464DB0">
              <w:rPr>
                <w:color w:val="000000"/>
              </w:rPr>
              <w:t xml:space="preserve">City of Stonnington </w:t>
            </w:r>
            <w:r w:rsidR="00EA7A42">
              <w:rPr>
                <w:color w:val="000000"/>
              </w:rPr>
              <w:t>–</w:t>
            </w:r>
            <w:r w:rsidRPr="00464DB0">
              <w:rPr>
                <w:color w:val="000000"/>
              </w:rPr>
              <w:t xml:space="preserve"> Youth Services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679882F" w14:textId="5FA1D295" w:rsidR="004A2DF7" w:rsidRPr="006D2D94" w:rsidRDefault="000A0A65">
            <w:pPr>
              <w:pStyle w:val="ARGrantstabletextright"/>
              <w:rPr>
                <w:bCs/>
                <w:color w:val="000000"/>
              </w:rPr>
            </w:pPr>
            <w:r w:rsidRPr="00464DB0">
              <w:rPr>
                <w:color w:val="000000"/>
              </w:rPr>
              <w:t>2,000</w:t>
            </w:r>
          </w:p>
        </w:tc>
      </w:tr>
      <w:tr w:rsidR="004A2DF7" w:rsidRPr="006D2D94" w14:paraId="67A03A88" w14:textId="77777777" w:rsidTr="00370B3A">
        <w:tc>
          <w:tcPr>
            <w:tcW w:w="3398" w:type="dxa"/>
            <w:noWrap/>
            <w:vAlign w:val="bottom"/>
          </w:tcPr>
          <w:p w14:paraId="6DC1CB68" w14:textId="5E18939D" w:rsidR="004A2DF7" w:rsidRPr="006D2D94" w:rsidRDefault="000A0A65">
            <w:pPr>
              <w:pStyle w:val="ARGrantstabletext"/>
              <w:rPr>
                <w:bCs/>
                <w:color w:val="000000"/>
              </w:rPr>
            </w:pPr>
            <w:r w:rsidRPr="00464DB0">
              <w:rPr>
                <w:color w:val="000000"/>
              </w:rPr>
              <w:t>City of Whittlesea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EA5544F" w14:textId="6FE3E70B" w:rsidR="004A2DF7" w:rsidRPr="006D2D94" w:rsidRDefault="000A0A65">
            <w:pPr>
              <w:pStyle w:val="ARGrantstabletextright"/>
              <w:rPr>
                <w:bCs/>
                <w:color w:val="000000"/>
              </w:rPr>
            </w:pPr>
            <w:r w:rsidRPr="00464DB0">
              <w:rPr>
                <w:color w:val="000000"/>
              </w:rPr>
              <w:t>37,500</w:t>
            </w:r>
          </w:p>
        </w:tc>
      </w:tr>
      <w:tr w:rsidR="004A2DF7" w:rsidRPr="006D2D94" w14:paraId="52F12284" w14:textId="77777777" w:rsidTr="00370B3A">
        <w:tc>
          <w:tcPr>
            <w:tcW w:w="3398" w:type="dxa"/>
            <w:noWrap/>
            <w:vAlign w:val="bottom"/>
          </w:tcPr>
          <w:p w14:paraId="08F25976" w14:textId="15237840" w:rsidR="004A2DF7" w:rsidRPr="006D2D94" w:rsidRDefault="000A0A65">
            <w:pPr>
              <w:pStyle w:val="ARGrantstabletext"/>
              <w:rPr>
                <w:bCs/>
                <w:color w:val="000000"/>
              </w:rPr>
            </w:pPr>
            <w:r w:rsidRPr="00464DB0">
              <w:rPr>
                <w:color w:val="000000"/>
              </w:rPr>
              <w:t>Clunes Neighbourhood House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45EC67A" w14:textId="0CC8EE6B" w:rsidR="004A2DF7" w:rsidRPr="006D2D94" w:rsidRDefault="000A0A65">
            <w:pPr>
              <w:pStyle w:val="ARGrantstabletextright"/>
              <w:rPr>
                <w:bCs/>
                <w:color w:val="000000"/>
              </w:rPr>
            </w:pPr>
            <w:r w:rsidRPr="00464DB0">
              <w:rPr>
                <w:color w:val="000000"/>
              </w:rPr>
              <w:t>12,000</w:t>
            </w:r>
          </w:p>
        </w:tc>
      </w:tr>
      <w:tr w:rsidR="004A2DF7" w:rsidRPr="006D2D94" w14:paraId="2F565614" w14:textId="77777777" w:rsidTr="00370B3A">
        <w:tc>
          <w:tcPr>
            <w:tcW w:w="3398" w:type="dxa"/>
            <w:noWrap/>
            <w:vAlign w:val="bottom"/>
          </w:tcPr>
          <w:p w14:paraId="07C606E3" w14:textId="136F3712" w:rsidR="004A2DF7" w:rsidRPr="006D2D94" w:rsidRDefault="000A0A65">
            <w:pPr>
              <w:pStyle w:val="ARGrantstabletext"/>
              <w:rPr>
                <w:bCs/>
                <w:color w:val="000000"/>
              </w:rPr>
            </w:pPr>
            <w:r w:rsidRPr="00464DB0">
              <w:rPr>
                <w:color w:val="000000"/>
              </w:rPr>
              <w:t>Cobden Technical School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302D947" w14:textId="2CA069DC" w:rsidR="004A2DF7" w:rsidRPr="006D2D94" w:rsidRDefault="000A0A65">
            <w:pPr>
              <w:pStyle w:val="ARGrantstabletextright"/>
              <w:rPr>
                <w:bCs/>
                <w:color w:val="000000"/>
              </w:rPr>
            </w:pPr>
            <w:r w:rsidRPr="00464DB0">
              <w:rPr>
                <w:color w:val="000000"/>
              </w:rPr>
              <w:t>12,000</w:t>
            </w:r>
          </w:p>
        </w:tc>
      </w:tr>
      <w:tr w:rsidR="004A2DF7" w:rsidRPr="006D2D94" w14:paraId="7EA7D217" w14:textId="77777777" w:rsidTr="00370B3A">
        <w:tc>
          <w:tcPr>
            <w:tcW w:w="3398" w:type="dxa"/>
            <w:noWrap/>
            <w:vAlign w:val="bottom"/>
          </w:tcPr>
          <w:p w14:paraId="1E311C94" w14:textId="2109D8DE" w:rsidR="004A2DF7" w:rsidRPr="006D2D94" w:rsidRDefault="000A0A65">
            <w:pPr>
              <w:pStyle w:val="ARGrantstabletext"/>
              <w:rPr>
                <w:bCs/>
                <w:color w:val="000000"/>
              </w:rPr>
            </w:pPr>
            <w:r w:rsidRPr="00464DB0">
              <w:rPr>
                <w:color w:val="000000"/>
              </w:rPr>
              <w:t>Colac Otway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D220F0A" w14:textId="11D17C1E" w:rsidR="004A2DF7" w:rsidRPr="006D2D94" w:rsidRDefault="000A0A65">
            <w:pPr>
              <w:pStyle w:val="ARGrantstabletextright"/>
              <w:rPr>
                <w:bCs/>
                <w:color w:val="000000"/>
              </w:rPr>
            </w:pPr>
            <w:r w:rsidRPr="00464DB0">
              <w:rPr>
                <w:color w:val="000000"/>
              </w:rPr>
              <w:t>55,333</w:t>
            </w:r>
          </w:p>
        </w:tc>
      </w:tr>
      <w:tr w:rsidR="004A2DF7" w:rsidRPr="006D2D94" w14:paraId="124C210B" w14:textId="77777777" w:rsidTr="00370B3A">
        <w:tc>
          <w:tcPr>
            <w:tcW w:w="3398" w:type="dxa"/>
            <w:noWrap/>
            <w:vAlign w:val="bottom"/>
          </w:tcPr>
          <w:p w14:paraId="0733A5EF" w14:textId="2C93389B" w:rsidR="004A2DF7" w:rsidRPr="006D2D94" w:rsidRDefault="000A0A65">
            <w:pPr>
              <w:pStyle w:val="ARGrantstabletext"/>
              <w:rPr>
                <w:bCs/>
                <w:color w:val="000000"/>
              </w:rPr>
            </w:pPr>
            <w:r w:rsidRPr="00464DB0">
              <w:rPr>
                <w:color w:val="000000"/>
              </w:rPr>
              <w:t>Colac Specialist School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37172C0" w14:textId="26EF6482" w:rsidR="004A2DF7" w:rsidRPr="006D2D94" w:rsidRDefault="000A0A65">
            <w:pPr>
              <w:pStyle w:val="ARGrantstabletextright"/>
              <w:rPr>
                <w:bCs/>
                <w:color w:val="000000"/>
              </w:rPr>
            </w:pPr>
            <w:r w:rsidRPr="00464DB0">
              <w:rPr>
                <w:color w:val="000000"/>
              </w:rPr>
              <w:t>12,000</w:t>
            </w:r>
          </w:p>
        </w:tc>
      </w:tr>
      <w:tr w:rsidR="004A2DF7" w:rsidRPr="006D2D94" w14:paraId="1CEA7305" w14:textId="77777777" w:rsidTr="00370B3A">
        <w:tc>
          <w:tcPr>
            <w:tcW w:w="3398" w:type="dxa"/>
            <w:noWrap/>
            <w:vAlign w:val="bottom"/>
          </w:tcPr>
          <w:p w14:paraId="0D9C6F0D" w14:textId="186B2610" w:rsidR="004A2DF7" w:rsidRPr="006D2D94" w:rsidRDefault="000A0A65">
            <w:pPr>
              <w:pStyle w:val="ARGrantstabletext"/>
              <w:rPr>
                <w:bCs/>
                <w:color w:val="000000"/>
              </w:rPr>
            </w:pPr>
            <w:r w:rsidRPr="00464DB0">
              <w:rPr>
                <w:color w:val="000000"/>
              </w:rPr>
              <w:t xml:space="preserve">Committee of Management </w:t>
            </w:r>
            <w:proofErr w:type="spellStart"/>
            <w:r w:rsidRPr="00464DB0">
              <w:rPr>
                <w:color w:val="000000"/>
              </w:rPr>
              <w:t>Woady</w:t>
            </w:r>
            <w:proofErr w:type="spellEnd"/>
            <w:r w:rsidRPr="00464DB0">
              <w:rPr>
                <w:color w:val="000000"/>
              </w:rPr>
              <w:t xml:space="preserve"> </w:t>
            </w:r>
            <w:proofErr w:type="spellStart"/>
            <w:r w:rsidRPr="00464DB0">
              <w:rPr>
                <w:color w:val="000000"/>
              </w:rPr>
              <w:t>Yaloak</w:t>
            </w:r>
            <w:proofErr w:type="spellEnd"/>
            <w:r w:rsidRPr="00464DB0">
              <w:rPr>
                <w:color w:val="000000"/>
              </w:rPr>
              <w:t xml:space="preserve"> Recreation Facility </w:t>
            </w:r>
            <w:r w:rsidR="00EA7A42">
              <w:rPr>
                <w:color w:val="000000"/>
              </w:rPr>
              <w:t>–</w:t>
            </w:r>
            <w:r w:rsidRPr="00464DB0">
              <w:rPr>
                <w:color w:val="000000"/>
              </w:rPr>
              <w:t xml:space="preserve"> Smythesdale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55D0736" w14:textId="28F453DD" w:rsidR="004A2DF7" w:rsidRPr="006D2D94" w:rsidRDefault="000A0A65">
            <w:pPr>
              <w:pStyle w:val="ARGrantstabletextright"/>
              <w:rPr>
                <w:bCs/>
                <w:color w:val="000000"/>
              </w:rPr>
            </w:pPr>
            <w:r w:rsidRPr="00464DB0">
              <w:rPr>
                <w:color w:val="000000"/>
              </w:rPr>
              <w:t>2,000</w:t>
            </w:r>
          </w:p>
        </w:tc>
      </w:tr>
      <w:tr w:rsidR="004A2DF7" w:rsidRPr="006D2D94" w14:paraId="08DC9857" w14:textId="77777777" w:rsidTr="00370B3A">
        <w:tc>
          <w:tcPr>
            <w:tcW w:w="3398" w:type="dxa"/>
            <w:noWrap/>
            <w:vAlign w:val="bottom"/>
          </w:tcPr>
          <w:p w14:paraId="694B3678" w14:textId="404213A9" w:rsidR="004A2DF7" w:rsidRPr="006D2D94" w:rsidRDefault="000A0A65">
            <w:pPr>
              <w:pStyle w:val="ARGrantstabletext"/>
              <w:rPr>
                <w:bCs/>
                <w:color w:val="000000"/>
              </w:rPr>
            </w:pPr>
            <w:r w:rsidRPr="00464DB0">
              <w:rPr>
                <w:color w:val="000000"/>
              </w:rPr>
              <w:t>Community Bike Hub</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5758784" w14:textId="41F91415" w:rsidR="004A2DF7" w:rsidRPr="006D2D94" w:rsidRDefault="000A0A65">
            <w:pPr>
              <w:pStyle w:val="ARGrantstabletextright"/>
              <w:rPr>
                <w:bCs/>
                <w:color w:val="000000"/>
              </w:rPr>
            </w:pPr>
            <w:r w:rsidRPr="00464DB0">
              <w:rPr>
                <w:color w:val="000000"/>
              </w:rPr>
              <w:t>20,000</w:t>
            </w:r>
          </w:p>
        </w:tc>
      </w:tr>
      <w:tr w:rsidR="004A2DF7" w:rsidRPr="006D2D94" w14:paraId="546AAC35" w14:textId="77777777" w:rsidTr="00370B3A">
        <w:tc>
          <w:tcPr>
            <w:tcW w:w="3398" w:type="dxa"/>
            <w:noWrap/>
            <w:vAlign w:val="bottom"/>
          </w:tcPr>
          <w:p w14:paraId="11CCFCBA" w14:textId="0B8453BB" w:rsidR="004A2DF7" w:rsidRPr="006D2D94" w:rsidRDefault="000A0A65">
            <w:pPr>
              <w:pStyle w:val="ARGrantstabletext"/>
              <w:rPr>
                <w:bCs/>
                <w:color w:val="000000"/>
              </w:rPr>
            </w:pPr>
            <w:r w:rsidRPr="00464DB0">
              <w:rPr>
                <w:color w:val="000000"/>
              </w:rPr>
              <w:t>Community Health Advancement and Student Engagement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0082B1D" w14:textId="6E8CE833" w:rsidR="004A2DF7" w:rsidRPr="006D2D94" w:rsidRDefault="000A0A65">
            <w:pPr>
              <w:pStyle w:val="ARGrantstabletextright"/>
              <w:rPr>
                <w:bCs/>
                <w:color w:val="000000"/>
              </w:rPr>
            </w:pPr>
            <w:r w:rsidRPr="00464DB0">
              <w:rPr>
                <w:color w:val="000000"/>
              </w:rPr>
              <w:t>52,000</w:t>
            </w:r>
          </w:p>
        </w:tc>
      </w:tr>
      <w:tr w:rsidR="004A2DF7" w:rsidRPr="006D2D94" w14:paraId="2026165E" w14:textId="77777777" w:rsidTr="00370B3A">
        <w:tc>
          <w:tcPr>
            <w:tcW w:w="3398" w:type="dxa"/>
            <w:noWrap/>
            <w:vAlign w:val="bottom"/>
          </w:tcPr>
          <w:p w14:paraId="1B5D61B2" w14:textId="2EB4E05E" w:rsidR="004A2DF7" w:rsidRPr="006D2D94" w:rsidRDefault="000A0A65">
            <w:pPr>
              <w:pStyle w:val="ARGrantstabletext"/>
              <w:rPr>
                <w:bCs/>
                <w:color w:val="000000"/>
              </w:rPr>
            </w:pPr>
            <w:r w:rsidRPr="00464DB0">
              <w:rPr>
                <w:color w:val="000000"/>
              </w:rPr>
              <w:t>Corangamite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879B51D" w14:textId="6C104917" w:rsidR="004A2DF7" w:rsidRPr="006D2D94" w:rsidRDefault="000A0A65">
            <w:pPr>
              <w:pStyle w:val="ARGrantstabletextright"/>
              <w:rPr>
                <w:bCs/>
                <w:color w:val="000000"/>
              </w:rPr>
            </w:pPr>
            <w:r w:rsidRPr="00464DB0">
              <w:rPr>
                <w:color w:val="000000"/>
              </w:rPr>
              <w:t>82,609</w:t>
            </w:r>
          </w:p>
        </w:tc>
      </w:tr>
      <w:tr w:rsidR="004A2DF7" w:rsidRPr="006D2D94" w14:paraId="39644B2B" w14:textId="77777777" w:rsidTr="00370B3A">
        <w:tc>
          <w:tcPr>
            <w:tcW w:w="3398" w:type="dxa"/>
            <w:noWrap/>
            <w:vAlign w:val="bottom"/>
          </w:tcPr>
          <w:p w14:paraId="7034DF26" w14:textId="22707C18" w:rsidR="004A2DF7" w:rsidRPr="006D2D94" w:rsidRDefault="000A0A65">
            <w:pPr>
              <w:pStyle w:val="ARGrantstabletext"/>
              <w:rPr>
                <w:bCs/>
                <w:color w:val="000000"/>
              </w:rPr>
            </w:pPr>
            <w:r w:rsidRPr="00464DB0">
              <w:rPr>
                <w:color w:val="000000"/>
              </w:rPr>
              <w:t>Corryong Neighbourhood House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761AE30" w14:textId="372615BA" w:rsidR="004A2DF7" w:rsidRPr="006D2D94" w:rsidRDefault="000A0A65">
            <w:pPr>
              <w:pStyle w:val="ARGrantstabletextright"/>
              <w:rPr>
                <w:bCs/>
                <w:color w:val="000000"/>
              </w:rPr>
            </w:pPr>
            <w:r w:rsidRPr="00464DB0">
              <w:rPr>
                <w:color w:val="000000"/>
              </w:rPr>
              <w:t>22,500</w:t>
            </w:r>
          </w:p>
        </w:tc>
      </w:tr>
      <w:tr w:rsidR="004A2DF7" w:rsidRPr="006D2D94" w14:paraId="1D0054C1" w14:textId="77777777" w:rsidTr="00370B3A">
        <w:tc>
          <w:tcPr>
            <w:tcW w:w="3398" w:type="dxa"/>
            <w:noWrap/>
            <w:vAlign w:val="bottom"/>
          </w:tcPr>
          <w:p w14:paraId="57A48165" w14:textId="4B1C60A1" w:rsidR="004A2DF7" w:rsidRPr="006D2D94" w:rsidRDefault="000A0A65">
            <w:pPr>
              <w:pStyle w:val="ARGrantstabletext"/>
              <w:rPr>
                <w:bCs/>
                <w:color w:val="000000"/>
              </w:rPr>
            </w:pPr>
            <w:r w:rsidRPr="00464DB0">
              <w:rPr>
                <w:color w:val="000000"/>
              </w:rPr>
              <w:t>Create Foundation</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D04D230" w14:textId="1AB3D516" w:rsidR="004A2DF7" w:rsidRPr="006D2D94" w:rsidRDefault="000A0A65">
            <w:pPr>
              <w:pStyle w:val="ARGrantstabletextright"/>
              <w:rPr>
                <w:bCs/>
                <w:color w:val="000000"/>
              </w:rPr>
            </w:pPr>
            <w:r w:rsidRPr="00464DB0">
              <w:rPr>
                <w:color w:val="000000"/>
              </w:rPr>
              <w:t>2,000</w:t>
            </w:r>
          </w:p>
        </w:tc>
      </w:tr>
      <w:tr w:rsidR="004A2DF7" w:rsidRPr="006D2D94" w14:paraId="303D2C92" w14:textId="77777777" w:rsidTr="00370B3A">
        <w:tc>
          <w:tcPr>
            <w:tcW w:w="3398" w:type="dxa"/>
            <w:tcBorders>
              <w:bottom w:val="single" w:sz="4" w:space="0" w:color="A6A6A6" w:themeColor="accent5"/>
            </w:tcBorders>
            <w:noWrap/>
            <w:vAlign w:val="bottom"/>
          </w:tcPr>
          <w:p w14:paraId="30C0375F" w14:textId="0002633F" w:rsidR="004A2DF7" w:rsidRPr="006D2D94" w:rsidRDefault="000A0A65">
            <w:pPr>
              <w:pStyle w:val="ARGrantstabletext"/>
              <w:rPr>
                <w:bCs/>
                <w:color w:val="000000"/>
              </w:rPr>
            </w:pPr>
            <w:r w:rsidRPr="00464DB0">
              <w:rPr>
                <w:color w:val="000000"/>
              </w:rPr>
              <w:t>Croydon Community School</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59190762" w14:textId="76A6087A" w:rsidR="004A2DF7" w:rsidRPr="006D2D94" w:rsidRDefault="000A0A65">
            <w:pPr>
              <w:pStyle w:val="ARGrantstabletextright"/>
              <w:rPr>
                <w:bCs/>
                <w:color w:val="000000"/>
              </w:rPr>
            </w:pPr>
            <w:r w:rsidRPr="00464DB0">
              <w:rPr>
                <w:color w:val="000000"/>
              </w:rPr>
              <w:t>9,800</w:t>
            </w:r>
          </w:p>
        </w:tc>
      </w:tr>
      <w:tr w:rsidR="004A2DF7" w:rsidRPr="006D2D94" w14:paraId="4A76CB19" w14:textId="77777777" w:rsidTr="00370B3A">
        <w:tc>
          <w:tcPr>
            <w:tcW w:w="3398" w:type="dxa"/>
            <w:tcBorders>
              <w:top w:val="single" w:sz="4" w:space="0" w:color="A6A6A6" w:themeColor="accent5"/>
              <w:bottom w:val="single" w:sz="4" w:space="0" w:color="A6A6A6" w:themeColor="accent5"/>
            </w:tcBorders>
            <w:noWrap/>
            <w:vAlign w:val="bottom"/>
          </w:tcPr>
          <w:p w14:paraId="35E39B15" w14:textId="5BF9498C" w:rsidR="004A2DF7" w:rsidRPr="006D2D94" w:rsidRDefault="000A0A65">
            <w:pPr>
              <w:pStyle w:val="ARGrantstabletext"/>
              <w:rPr>
                <w:bCs/>
                <w:color w:val="000000"/>
              </w:rPr>
            </w:pPr>
            <w:r w:rsidRPr="00464DB0">
              <w:rPr>
                <w:color w:val="000000"/>
              </w:rPr>
              <w:t>Croydon Special Developmental</w:t>
            </w:r>
            <w:r w:rsidR="000F4AC1">
              <w:rPr>
                <w:color w:val="000000"/>
              </w:rPr>
              <w:t> </w:t>
            </w:r>
            <w:r w:rsidRPr="00464DB0">
              <w:rPr>
                <w:color w:val="000000"/>
              </w:rPr>
              <w:t>School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77C13763" w14:textId="4E868362" w:rsidR="004A2DF7" w:rsidRPr="006D2D94" w:rsidRDefault="000A0A65">
            <w:pPr>
              <w:pStyle w:val="ARGrantstabletextright"/>
              <w:rPr>
                <w:bCs/>
                <w:color w:val="000000"/>
              </w:rPr>
            </w:pPr>
            <w:r w:rsidRPr="00464DB0">
              <w:rPr>
                <w:color w:val="000000"/>
              </w:rPr>
              <w:t>12,000</w:t>
            </w:r>
          </w:p>
        </w:tc>
      </w:tr>
      <w:tr w:rsidR="004A2DF7" w:rsidRPr="006D2D94" w14:paraId="59C15CCC" w14:textId="77777777" w:rsidTr="00370B3A">
        <w:tc>
          <w:tcPr>
            <w:tcW w:w="3398" w:type="dxa"/>
            <w:tcBorders>
              <w:top w:val="single" w:sz="4" w:space="0" w:color="A6A6A6" w:themeColor="accent5"/>
              <w:bottom w:val="single" w:sz="4" w:space="0" w:color="A6A6A6" w:themeColor="accent5"/>
            </w:tcBorders>
            <w:noWrap/>
            <w:vAlign w:val="bottom"/>
          </w:tcPr>
          <w:p w14:paraId="4A5A5AEB" w14:textId="196B2144" w:rsidR="004A2DF7" w:rsidRPr="006D2D94" w:rsidRDefault="000A0A65">
            <w:pPr>
              <w:pStyle w:val="ARGrantstabletext"/>
              <w:rPr>
                <w:bCs/>
                <w:color w:val="000000"/>
              </w:rPr>
            </w:pPr>
            <w:r w:rsidRPr="00464DB0">
              <w:rPr>
                <w:color w:val="000000"/>
              </w:rPr>
              <w:t>Cultural Infusion Foundation Ltd</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075EC53D" w14:textId="3DE7FF4D" w:rsidR="004A2DF7" w:rsidRPr="006D2D94" w:rsidRDefault="000A0A65">
            <w:pPr>
              <w:pStyle w:val="ARGrantstabletextright"/>
              <w:rPr>
                <w:bCs/>
                <w:color w:val="000000"/>
              </w:rPr>
            </w:pPr>
            <w:r w:rsidRPr="00464DB0">
              <w:rPr>
                <w:color w:val="000000"/>
              </w:rPr>
              <w:t>70,000</w:t>
            </w:r>
          </w:p>
        </w:tc>
      </w:tr>
      <w:tr w:rsidR="004A2DF7" w:rsidRPr="006D2D94" w14:paraId="09F31EC0" w14:textId="77777777" w:rsidTr="00370B3A">
        <w:tc>
          <w:tcPr>
            <w:tcW w:w="3398" w:type="dxa"/>
            <w:tcBorders>
              <w:top w:val="single" w:sz="4" w:space="0" w:color="A6A6A6" w:themeColor="accent5"/>
              <w:bottom w:val="single" w:sz="4" w:space="0" w:color="A6A6A6" w:themeColor="accent5"/>
            </w:tcBorders>
            <w:noWrap/>
            <w:vAlign w:val="bottom"/>
          </w:tcPr>
          <w:p w14:paraId="6A11DB51" w14:textId="0839FF66" w:rsidR="004A2DF7" w:rsidRPr="006D2D94" w:rsidRDefault="000A0A65">
            <w:pPr>
              <w:pStyle w:val="ARGrantstabletext"/>
              <w:rPr>
                <w:bCs/>
                <w:color w:val="000000"/>
              </w:rPr>
            </w:pPr>
            <w:r w:rsidRPr="00464DB0">
              <w:rPr>
                <w:color w:val="000000"/>
              </w:rPr>
              <w:t>Cypher Culture Inc.</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4A17B121" w14:textId="3407980A" w:rsidR="004A2DF7" w:rsidRPr="006D2D94" w:rsidRDefault="000A0A65">
            <w:pPr>
              <w:pStyle w:val="ARGrantstabletextright"/>
              <w:rPr>
                <w:bCs/>
                <w:color w:val="000000"/>
              </w:rPr>
            </w:pPr>
            <w:r w:rsidRPr="00464DB0">
              <w:rPr>
                <w:color w:val="000000"/>
              </w:rPr>
              <w:t>15,000</w:t>
            </w:r>
          </w:p>
        </w:tc>
      </w:tr>
      <w:tr w:rsidR="004A2DF7" w:rsidRPr="006D2D94" w14:paraId="5E9B17C2" w14:textId="77777777" w:rsidTr="00370B3A">
        <w:tc>
          <w:tcPr>
            <w:tcW w:w="3398" w:type="dxa"/>
            <w:tcBorders>
              <w:top w:val="single" w:sz="4" w:space="0" w:color="A6A6A6" w:themeColor="accent5"/>
              <w:bottom w:val="single" w:sz="4" w:space="0" w:color="A6A6A6" w:themeColor="accent5"/>
            </w:tcBorders>
            <w:noWrap/>
            <w:vAlign w:val="bottom"/>
          </w:tcPr>
          <w:p w14:paraId="4EEF6478" w14:textId="37A535E0" w:rsidR="004A2DF7" w:rsidRPr="006D2D94" w:rsidRDefault="000A0A65">
            <w:pPr>
              <w:pStyle w:val="ARGrantstabletext"/>
              <w:rPr>
                <w:bCs/>
                <w:color w:val="000000"/>
              </w:rPr>
            </w:pPr>
            <w:r w:rsidRPr="00464DB0">
              <w:rPr>
                <w:color w:val="000000"/>
              </w:rPr>
              <w:t>Cyprus Turkish Islamic Community of</w:t>
            </w:r>
            <w:r w:rsidR="000F4AC1">
              <w:rPr>
                <w:color w:val="000000"/>
              </w:rPr>
              <w:t> </w:t>
            </w:r>
            <w:r w:rsidRPr="00464DB0">
              <w:rPr>
                <w:color w:val="000000"/>
              </w:rPr>
              <w:t>Victoria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50EE3CB0" w14:textId="6B8ED996" w:rsidR="004A2DF7" w:rsidRPr="006D2D94" w:rsidRDefault="000A0A65">
            <w:pPr>
              <w:pStyle w:val="ARGrantstabletextright"/>
              <w:rPr>
                <w:bCs/>
                <w:color w:val="000000"/>
              </w:rPr>
            </w:pPr>
            <w:r w:rsidRPr="00464DB0">
              <w:rPr>
                <w:color w:val="000000"/>
              </w:rPr>
              <w:t>2,000</w:t>
            </w:r>
          </w:p>
        </w:tc>
      </w:tr>
      <w:tr w:rsidR="004A2DF7" w:rsidRPr="006D2D94" w14:paraId="7A480139" w14:textId="77777777" w:rsidTr="00370B3A">
        <w:tc>
          <w:tcPr>
            <w:tcW w:w="3398" w:type="dxa"/>
            <w:tcBorders>
              <w:top w:val="single" w:sz="4" w:space="0" w:color="A6A6A6" w:themeColor="accent5"/>
            </w:tcBorders>
            <w:noWrap/>
            <w:vAlign w:val="bottom"/>
          </w:tcPr>
          <w:p w14:paraId="7EEB55EC" w14:textId="309754D4" w:rsidR="004A2DF7" w:rsidRPr="006D2D94" w:rsidRDefault="000A0A65">
            <w:pPr>
              <w:pStyle w:val="ARGrantstabletext"/>
              <w:rPr>
                <w:bCs/>
                <w:color w:val="000000"/>
              </w:rPr>
            </w:pPr>
            <w:r w:rsidRPr="00464DB0">
              <w:rPr>
                <w:color w:val="000000"/>
              </w:rPr>
              <w:t>Dallas Neighbourhood House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254C46E2" w14:textId="09E923D5" w:rsidR="004A2DF7" w:rsidRPr="006D2D94" w:rsidRDefault="000A0A65">
            <w:pPr>
              <w:pStyle w:val="ARGrantstabletextright"/>
              <w:rPr>
                <w:bCs/>
                <w:color w:val="000000"/>
              </w:rPr>
            </w:pPr>
            <w:r w:rsidRPr="00464DB0">
              <w:rPr>
                <w:color w:val="000000"/>
              </w:rPr>
              <w:t>2,000</w:t>
            </w:r>
          </w:p>
        </w:tc>
      </w:tr>
      <w:tr w:rsidR="004A2DF7" w:rsidRPr="006D2D94" w14:paraId="58CBBDF3" w14:textId="77777777" w:rsidTr="00370B3A">
        <w:tc>
          <w:tcPr>
            <w:tcW w:w="3398" w:type="dxa"/>
            <w:noWrap/>
            <w:vAlign w:val="bottom"/>
          </w:tcPr>
          <w:p w14:paraId="3763DF98" w14:textId="50106344" w:rsidR="004A2DF7" w:rsidRPr="006D2D94" w:rsidRDefault="000A0A65">
            <w:pPr>
              <w:pStyle w:val="ARGrantstabletext"/>
              <w:rPr>
                <w:bCs/>
                <w:color w:val="000000"/>
              </w:rPr>
            </w:pPr>
            <w:r w:rsidRPr="00464DB0">
              <w:rPr>
                <w:color w:val="000000"/>
              </w:rPr>
              <w:t>Darebin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D8595AD" w14:textId="1FBD0D15" w:rsidR="004A2DF7" w:rsidRPr="006D2D94" w:rsidRDefault="000A0A65">
            <w:pPr>
              <w:pStyle w:val="ARGrantstabletextright"/>
              <w:rPr>
                <w:bCs/>
                <w:color w:val="000000"/>
              </w:rPr>
            </w:pPr>
            <w:r w:rsidRPr="00464DB0">
              <w:rPr>
                <w:color w:val="000000"/>
              </w:rPr>
              <w:t>37,633</w:t>
            </w:r>
          </w:p>
        </w:tc>
      </w:tr>
      <w:tr w:rsidR="004A2DF7" w:rsidRPr="006D2D94" w14:paraId="682FC118" w14:textId="77777777" w:rsidTr="00370B3A">
        <w:tc>
          <w:tcPr>
            <w:tcW w:w="3398" w:type="dxa"/>
            <w:noWrap/>
            <w:vAlign w:val="bottom"/>
          </w:tcPr>
          <w:p w14:paraId="1B4304A5" w14:textId="32ABAF41" w:rsidR="004A2DF7" w:rsidRPr="006D2D94" w:rsidRDefault="000A0A65">
            <w:pPr>
              <w:pStyle w:val="ARGrantstabletext"/>
              <w:rPr>
                <w:bCs/>
                <w:color w:val="000000"/>
              </w:rPr>
            </w:pPr>
            <w:r w:rsidRPr="00464DB0">
              <w:rPr>
                <w:color w:val="000000"/>
              </w:rPr>
              <w:t>Daylesford Secondary 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51600F6" w14:textId="7F6F152B" w:rsidR="004A2DF7" w:rsidRPr="006D2D94" w:rsidRDefault="000A0A65">
            <w:pPr>
              <w:pStyle w:val="ARGrantstabletextright"/>
              <w:rPr>
                <w:bCs/>
                <w:color w:val="000000"/>
              </w:rPr>
            </w:pPr>
            <w:r w:rsidRPr="00464DB0">
              <w:rPr>
                <w:color w:val="000000"/>
              </w:rPr>
              <w:t>2,000</w:t>
            </w:r>
          </w:p>
        </w:tc>
      </w:tr>
      <w:tr w:rsidR="004A2DF7" w:rsidRPr="006D2D94" w14:paraId="448BFC4B" w14:textId="77777777" w:rsidTr="00370B3A">
        <w:tc>
          <w:tcPr>
            <w:tcW w:w="3398" w:type="dxa"/>
            <w:tcBorders>
              <w:bottom w:val="single" w:sz="4" w:space="0" w:color="A6A6A6" w:themeColor="accent5"/>
            </w:tcBorders>
            <w:noWrap/>
            <w:vAlign w:val="bottom"/>
          </w:tcPr>
          <w:p w14:paraId="0B0FACEF" w14:textId="638C1A8A" w:rsidR="004A2DF7" w:rsidRPr="006D2D94" w:rsidRDefault="000A0A65">
            <w:pPr>
              <w:pStyle w:val="ARGrantstabletext"/>
              <w:rPr>
                <w:bCs/>
                <w:color w:val="000000"/>
              </w:rPr>
            </w:pPr>
            <w:r w:rsidRPr="00464DB0">
              <w:rPr>
                <w:color w:val="000000"/>
              </w:rPr>
              <w:t>Deaf Hub Bendigo</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7369FFEC" w14:textId="10E30D28" w:rsidR="004A2DF7" w:rsidRPr="006D2D94" w:rsidRDefault="000A0A65">
            <w:pPr>
              <w:pStyle w:val="ARGrantstabletextright"/>
              <w:rPr>
                <w:bCs/>
                <w:color w:val="000000"/>
              </w:rPr>
            </w:pPr>
            <w:r w:rsidRPr="00464DB0">
              <w:rPr>
                <w:color w:val="000000"/>
              </w:rPr>
              <w:t>25,000</w:t>
            </w:r>
          </w:p>
        </w:tc>
      </w:tr>
      <w:tr w:rsidR="004A2DF7" w:rsidRPr="006D2D94" w14:paraId="353FBD9C" w14:textId="77777777" w:rsidTr="00370B3A">
        <w:tc>
          <w:tcPr>
            <w:tcW w:w="3398" w:type="dxa"/>
            <w:tcBorders>
              <w:top w:val="single" w:sz="4" w:space="0" w:color="A6A6A6" w:themeColor="accent5"/>
              <w:bottom w:val="single" w:sz="4" w:space="0" w:color="A6A6A6" w:themeColor="accent5"/>
            </w:tcBorders>
            <w:noWrap/>
            <w:vAlign w:val="bottom"/>
          </w:tcPr>
          <w:p w14:paraId="495A90F4" w14:textId="717C7605" w:rsidR="004A2DF7" w:rsidRPr="006D2D94" w:rsidRDefault="000A0A65">
            <w:pPr>
              <w:pStyle w:val="ARGrantstabletext"/>
              <w:rPr>
                <w:bCs/>
                <w:color w:val="000000"/>
              </w:rPr>
            </w:pPr>
            <w:r w:rsidRPr="00464DB0">
              <w:rPr>
                <w:color w:val="000000"/>
              </w:rPr>
              <w:t>Different Journeys</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3277B3F6" w14:textId="4EC88A63" w:rsidR="004A2DF7" w:rsidRPr="006D2D94" w:rsidRDefault="000A0A65">
            <w:pPr>
              <w:pStyle w:val="ARGrantstabletextright"/>
              <w:rPr>
                <w:bCs/>
                <w:color w:val="000000"/>
              </w:rPr>
            </w:pPr>
            <w:r w:rsidRPr="00464DB0">
              <w:rPr>
                <w:color w:val="000000"/>
              </w:rPr>
              <w:t>50,000</w:t>
            </w:r>
          </w:p>
        </w:tc>
      </w:tr>
      <w:tr w:rsidR="004A2DF7" w:rsidRPr="006D2D94" w14:paraId="5451D903" w14:textId="77777777" w:rsidTr="00370B3A">
        <w:tc>
          <w:tcPr>
            <w:tcW w:w="3398" w:type="dxa"/>
            <w:tcBorders>
              <w:top w:val="single" w:sz="4" w:space="0" w:color="A6A6A6" w:themeColor="accent5"/>
            </w:tcBorders>
            <w:noWrap/>
            <w:vAlign w:val="bottom"/>
          </w:tcPr>
          <w:p w14:paraId="6959C9F5" w14:textId="14019C44" w:rsidR="004A2DF7" w:rsidRPr="006D2D94" w:rsidRDefault="000A0A65">
            <w:pPr>
              <w:pStyle w:val="ARGrantstabletext"/>
              <w:rPr>
                <w:bCs/>
                <w:color w:val="000000"/>
              </w:rPr>
            </w:pPr>
            <w:r w:rsidRPr="00464DB0">
              <w:rPr>
                <w:color w:val="000000"/>
              </w:rPr>
              <w:t>Dimboola Memorial Secondary</w:t>
            </w:r>
            <w:r w:rsidR="000F4AC1">
              <w:rPr>
                <w:color w:val="000000"/>
              </w:rPr>
              <w:t> </w:t>
            </w:r>
            <w:r w:rsidRPr="00464DB0">
              <w:rPr>
                <w:color w:val="000000"/>
              </w:rPr>
              <w:t>College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34A5B65D" w14:textId="70AFD050" w:rsidR="004A2DF7" w:rsidRPr="006D2D94" w:rsidRDefault="000A0A65">
            <w:pPr>
              <w:pStyle w:val="ARGrantstabletextright"/>
              <w:rPr>
                <w:bCs/>
                <w:color w:val="000000"/>
              </w:rPr>
            </w:pPr>
            <w:r w:rsidRPr="00464DB0">
              <w:rPr>
                <w:color w:val="000000"/>
              </w:rPr>
              <w:t>15,000</w:t>
            </w:r>
          </w:p>
        </w:tc>
      </w:tr>
      <w:tr w:rsidR="004A2DF7" w:rsidRPr="006D2D94" w14:paraId="5E7AAA2F" w14:textId="77777777" w:rsidTr="00370B3A">
        <w:tc>
          <w:tcPr>
            <w:tcW w:w="3398" w:type="dxa"/>
            <w:noWrap/>
            <w:vAlign w:val="bottom"/>
          </w:tcPr>
          <w:p w14:paraId="62FF3003" w14:textId="4CD10267" w:rsidR="004A2DF7" w:rsidRPr="006D2D94" w:rsidRDefault="000A0A65">
            <w:pPr>
              <w:pStyle w:val="ARGrantstabletext"/>
              <w:rPr>
                <w:bCs/>
                <w:color w:val="000000"/>
              </w:rPr>
            </w:pPr>
            <w:r w:rsidRPr="00464DB0">
              <w:rPr>
                <w:color w:val="000000"/>
              </w:rPr>
              <w:t>Drummond Street Services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2E1E0D1" w14:textId="1F813962" w:rsidR="004A2DF7" w:rsidRPr="006D2D94" w:rsidRDefault="000A0A65">
            <w:pPr>
              <w:pStyle w:val="ARGrantstabletextright"/>
              <w:rPr>
                <w:bCs/>
                <w:color w:val="000000"/>
              </w:rPr>
            </w:pPr>
            <w:r w:rsidRPr="00464DB0">
              <w:rPr>
                <w:color w:val="000000"/>
              </w:rPr>
              <w:t>67,000</w:t>
            </w:r>
          </w:p>
        </w:tc>
      </w:tr>
      <w:tr w:rsidR="004A2DF7" w:rsidRPr="006D2D94" w14:paraId="779CB2A4" w14:textId="77777777" w:rsidTr="00370B3A">
        <w:tc>
          <w:tcPr>
            <w:tcW w:w="3398" w:type="dxa"/>
            <w:noWrap/>
            <w:vAlign w:val="bottom"/>
          </w:tcPr>
          <w:p w14:paraId="22DFBB72" w14:textId="3B832963" w:rsidR="004A2DF7" w:rsidRPr="006D2D94" w:rsidRDefault="000A0A65">
            <w:pPr>
              <w:pStyle w:val="ARGrantstabletext"/>
              <w:rPr>
                <w:bCs/>
                <w:color w:val="000000"/>
              </w:rPr>
            </w:pPr>
            <w:r w:rsidRPr="00464DB0">
              <w:rPr>
                <w:color w:val="000000"/>
              </w:rPr>
              <w:t>EACH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C26CD3E" w14:textId="31D78B10" w:rsidR="004A2DF7" w:rsidRPr="006D2D94" w:rsidRDefault="000A0A65">
            <w:pPr>
              <w:pStyle w:val="ARGrantstabletextright"/>
              <w:rPr>
                <w:bCs/>
                <w:color w:val="000000"/>
              </w:rPr>
            </w:pPr>
            <w:r w:rsidRPr="00464DB0">
              <w:rPr>
                <w:color w:val="000000"/>
              </w:rPr>
              <w:t>62,000</w:t>
            </w:r>
          </w:p>
        </w:tc>
      </w:tr>
      <w:tr w:rsidR="004A2DF7" w:rsidRPr="006D2D94" w14:paraId="2DC639C4" w14:textId="77777777" w:rsidTr="00370B3A">
        <w:tc>
          <w:tcPr>
            <w:tcW w:w="3398" w:type="dxa"/>
            <w:noWrap/>
            <w:vAlign w:val="bottom"/>
          </w:tcPr>
          <w:p w14:paraId="517E25CD" w14:textId="34FEC552" w:rsidR="004A2DF7" w:rsidRPr="006D2D94" w:rsidRDefault="000A0A65">
            <w:pPr>
              <w:pStyle w:val="ARGrantstabletext"/>
              <w:rPr>
                <w:bCs/>
                <w:color w:val="000000"/>
              </w:rPr>
            </w:pPr>
            <w:r w:rsidRPr="00464DB0">
              <w:rPr>
                <w:color w:val="000000"/>
              </w:rPr>
              <w:t>East Gippsland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F7D1CC9" w14:textId="2CE4B2D5" w:rsidR="004A2DF7" w:rsidRPr="006D2D94" w:rsidRDefault="000A0A65">
            <w:pPr>
              <w:pStyle w:val="ARGrantstabletextright"/>
              <w:rPr>
                <w:bCs/>
                <w:color w:val="000000"/>
              </w:rPr>
            </w:pPr>
            <w:r w:rsidRPr="00464DB0">
              <w:rPr>
                <w:color w:val="000000"/>
              </w:rPr>
              <w:t>47,750</w:t>
            </w:r>
          </w:p>
        </w:tc>
      </w:tr>
      <w:tr w:rsidR="004A2DF7" w:rsidRPr="006D2D94" w14:paraId="2DE41040" w14:textId="77777777" w:rsidTr="00F90BC7">
        <w:tc>
          <w:tcPr>
            <w:tcW w:w="3398" w:type="dxa"/>
            <w:tcBorders>
              <w:bottom w:val="single" w:sz="4" w:space="0" w:color="A6A6A6" w:themeColor="accent5"/>
            </w:tcBorders>
            <w:noWrap/>
            <w:vAlign w:val="bottom"/>
          </w:tcPr>
          <w:p w14:paraId="28A2D9AA" w14:textId="5CAD5943" w:rsidR="004A2DF7" w:rsidRPr="006D2D94" w:rsidRDefault="000A0A65">
            <w:pPr>
              <w:pStyle w:val="ARGrantstabletext"/>
              <w:rPr>
                <w:bCs/>
                <w:color w:val="000000"/>
              </w:rPr>
            </w:pPr>
            <w:r w:rsidRPr="00464DB0">
              <w:rPr>
                <w:color w:val="000000"/>
              </w:rPr>
              <w:t>East Wimmera Health Service</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0A8510D9" w14:textId="01464EEA" w:rsidR="004A2DF7" w:rsidRPr="006D2D94" w:rsidRDefault="000A0A65">
            <w:pPr>
              <w:pStyle w:val="ARGrantstabletextright"/>
              <w:rPr>
                <w:bCs/>
                <w:color w:val="000000"/>
              </w:rPr>
            </w:pPr>
            <w:r w:rsidRPr="00464DB0">
              <w:rPr>
                <w:color w:val="000000"/>
              </w:rPr>
              <w:t>2,000</w:t>
            </w:r>
          </w:p>
        </w:tc>
      </w:tr>
      <w:tr w:rsidR="004A2DF7" w:rsidRPr="006D2D94" w14:paraId="4CD552A3" w14:textId="77777777" w:rsidTr="00F90BC7">
        <w:tc>
          <w:tcPr>
            <w:tcW w:w="3398" w:type="dxa"/>
            <w:tcBorders>
              <w:top w:val="single" w:sz="4" w:space="0" w:color="A6A6A6" w:themeColor="accent5"/>
              <w:bottom w:val="single" w:sz="4" w:space="0" w:color="A6A6A6" w:themeColor="accent5"/>
            </w:tcBorders>
            <w:noWrap/>
            <w:vAlign w:val="bottom"/>
          </w:tcPr>
          <w:p w14:paraId="215042AA" w14:textId="014E05E2" w:rsidR="004A2DF7" w:rsidRPr="006D2D94" w:rsidRDefault="000A0A65">
            <w:pPr>
              <w:pStyle w:val="ARGrantstabletext"/>
              <w:rPr>
                <w:bCs/>
                <w:color w:val="000000"/>
              </w:rPr>
            </w:pPr>
            <w:r w:rsidRPr="00464DB0">
              <w:rPr>
                <w:color w:val="000000"/>
              </w:rPr>
              <w:t>Echuca Twin Rivers Specialist School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1F1A3E50" w14:textId="29445C49" w:rsidR="004A2DF7" w:rsidRPr="006D2D94" w:rsidRDefault="000A0A65">
            <w:pPr>
              <w:pStyle w:val="ARGrantstabletextright"/>
              <w:rPr>
                <w:bCs/>
                <w:color w:val="000000"/>
              </w:rPr>
            </w:pPr>
            <w:r w:rsidRPr="00464DB0">
              <w:rPr>
                <w:color w:val="000000"/>
              </w:rPr>
              <w:t>12,000</w:t>
            </w:r>
          </w:p>
        </w:tc>
      </w:tr>
      <w:tr w:rsidR="004A2DF7" w:rsidRPr="006D2D94" w14:paraId="297A9856" w14:textId="77777777" w:rsidTr="00F90BC7">
        <w:tc>
          <w:tcPr>
            <w:tcW w:w="3398" w:type="dxa"/>
            <w:tcBorders>
              <w:top w:val="single" w:sz="4" w:space="0" w:color="A6A6A6" w:themeColor="accent5"/>
            </w:tcBorders>
            <w:noWrap/>
            <w:vAlign w:val="bottom"/>
          </w:tcPr>
          <w:p w14:paraId="2ED00D4F" w14:textId="3E952FCD" w:rsidR="004A2DF7" w:rsidRPr="006D2D94" w:rsidRDefault="000A0A65">
            <w:pPr>
              <w:pStyle w:val="ARGrantstabletext"/>
              <w:rPr>
                <w:bCs/>
                <w:color w:val="000000"/>
              </w:rPr>
            </w:pPr>
            <w:r w:rsidRPr="00464DB0">
              <w:rPr>
                <w:color w:val="000000"/>
              </w:rPr>
              <w:lastRenderedPageBreak/>
              <w:t>Emerald Centre for Hope and Outreach Incorporated</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7E9B5E38" w14:textId="7C579D67" w:rsidR="004A2DF7" w:rsidRPr="006D2D94" w:rsidRDefault="000A0A65">
            <w:pPr>
              <w:pStyle w:val="ARGrantstabletextright"/>
              <w:rPr>
                <w:bCs/>
                <w:color w:val="000000"/>
              </w:rPr>
            </w:pPr>
            <w:r w:rsidRPr="00464DB0">
              <w:rPr>
                <w:color w:val="000000"/>
              </w:rPr>
              <w:t>22,500</w:t>
            </w:r>
          </w:p>
        </w:tc>
      </w:tr>
      <w:tr w:rsidR="004A2DF7" w:rsidRPr="006D2D94" w14:paraId="70535F88" w14:textId="77777777" w:rsidTr="00370B3A">
        <w:tc>
          <w:tcPr>
            <w:tcW w:w="3398" w:type="dxa"/>
            <w:noWrap/>
            <w:vAlign w:val="bottom"/>
          </w:tcPr>
          <w:p w14:paraId="5F32D6CF" w14:textId="483E7D57" w:rsidR="004A2DF7" w:rsidRPr="006D2D94" w:rsidRDefault="000A0A65">
            <w:pPr>
              <w:pStyle w:val="ARGrantstabletext"/>
              <w:rPr>
                <w:bCs/>
                <w:color w:val="000000"/>
              </w:rPr>
            </w:pPr>
            <w:r w:rsidRPr="00464DB0">
              <w:rPr>
                <w:color w:val="000000"/>
              </w:rPr>
              <w:t>Emerson School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C67AC8D" w14:textId="205B5570" w:rsidR="004A2DF7" w:rsidRPr="006D2D94" w:rsidRDefault="000A0A65">
            <w:pPr>
              <w:pStyle w:val="ARGrantstabletextright"/>
              <w:rPr>
                <w:bCs/>
                <w:color w:val="000000"/>
              </w:rPr>
            </w:pPr>
            <w:r w:rsidRPr="00464DB0">
              <w:rPr>
                <w:color w:val="000000"/>
              </w:rPr>
              <w:t>12,000</w:t>
            </w:r>
          </w:p>
        </w:tc>
      </w:tr>
      <w:tr w:rsidR="004A2DF7" w:rsidRPr="006D2D94" w14:paraId="1368AF3F" w14:textId="77777777" w:rsidTr="00370B3A">
        <w:tc>
          <w:tcPr>
            <w:tcW w:w="3398" w:type="dxa"/>
            <w:noWrap/>
            <w:vAlign w:val="bottom"/>
          </w:tcPr>
          <w:p w14:paraId="4984DB18" w14:textId="6AE97391" w:rsidR="004A2DF7" w:rsidRPr="006D2D94" w:rsidRDefault="000A0A65">
            <w:pPr>
              <w:pStyle w:val="ARGrantstabletext"/>
              <w:rPr>
                <w:bCs/>
                <w:color w:val="000000"/>
              </w:rPr>
            </w:pPr>
            <w:r w:rsidRPr="00464DB0">
              <w:rPr>
                <w:color w:val="000000"/>
              </w:rPr>
              <w:t>Epping Secondary 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8D5F6C6" w14:textId="19035F44" w:rsidR="004A2DF7" w:rsidRPr="006D2D94" w:rsidRDefault="000A0A65">
            <w:pPr>
              <w:pStyle w:val="ARGrantstabletextright"/>
              <w:rPr>
                <w:bCs/>
                <w:color w:val="000000"/>
              </w:rPr>
            </w:pPr>
            <w:r w:rsidRPr="00464DB0">
              <w:rPr>
                <w:color w:val="000000"/>
              </w:rPr>
              <w:t>12,000</w:t>
            </w:r>
          </w:p>
        </w:tc>
      </w:tr>
      <w:tr w:rsidR="004A2DF7" w:rsidRPr="006D2D94" w14:paraId="1892F850" w14:textId="77777777" w:rsidTr="00370B3A">
        <w:tc>
          <w:tcPr>
            <w:tcW w:w="3398" w:type="dxa"/>
            <w:noWrap/>
            <w:vAlign w:val="bottom"/>
          </w:tcPr>
          <w:p w14:paraId="3217C8E6" w14:textId="316A623C" w:rsidR="004A2DF7" w:rsidRPr="006D2D94" w:rsidRDefault="000A0A65">
            <w:pPr>
              <w:pStyle w:val="ARGrantstabletext"/>
              <w:rPr>
                <w:bCs/>
                <w:color w:val="000000"/>
              </w:rPr>
            </w:pPr>
            <w:r w:rsidRPr="00464DB0">
              <w:rPr>
                <w:color w:val="000000"/>
              </w:rPr>
              <w:t>Expression Australia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582DE32" w14:textId="594769EB" w:rsidR="004A2DF7" w:rsidRPr="006D2D94" w:rsidRDefault="000A0A65">
            <w:pPr>
              <w:pStyle w:val="ARGrantstabletextright"/>
              <w:rPr>
                <w:bCs/>
                <w:color w:val="000000"/>
              </w:rPr>
            </w:pPr>
            <w:r w:rsidRPr="00464DB0">
              <w:rPr>
                <w:color w:val="000000"/>
              </w:rPr>
              <w:t>14,00</w:t>
            </w:r>
            <w:r>
              <w:rPr>
                <w:color w:val="000000"/>
              </w:rPr>
              <w:t>0</w:t>
            </w:r>
          </w:p>
        </w:tc>
      </w:tr>
      <w:tr w:rsidR="004A2DF7" w:rsidRPr="006D2D94" w14:paraId="13A82A36" w14:textId="77777777" w:rsidTr="00370B3A">
        <w:tc>
          <w:tcPr>
            <w:tcW w:w="3398" w:type="dxa"/>
            <w:noWrap/>
            <w:vAlign w:val="bottom"/>
          </w:tcPr>
          <w:p w14:paraId="594CC7DD" w14:textId="22D9D8CE" w:rsidR="004A2DF7" w:rsidRPr="006D2D94" w:rsidRDefault="000A0A65">
            <w:pPr>
              <w:pStyle w:val="ARGrantstabletext"/>
              <w:rPr>
                <w:bCs/>
                <w:color w:val="000000"/>
              </w:rPr>
            </w:pPr>
            <w:r w:rsidRPr="00464DB0">
              <w:rPr>
                <w:color w:val="000000"/>
              </w:rPr>
              <w:t>Forrest &amp; District Neighbourhood</w:t>
            </w:r>
            <w:r w:rsidR="000F4AC1">
              <w:rPr>
                <w:color w:val="000000"/>
              </w:rPr>
              <w:t> </w:t>
            </w:r>
            <w:r w:rsidRPr="00464DB0">
              <w:rPr>
                <w:color w:val="000000"/>
              </w:rPr>
              <w:t>House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19C48F7" w14:textId="471A821E" w:rsidR="004A2DF7" w:rsidRPr="006D2D94" w:rsidRDefault="000A0A65">
            <w:pPr>
              <w:pStyle w:val="ARGrantstabletextright"/>
              <w:rPr>
                <w:bCs/>
                <w:color w:val="000000"/>
              </w:rPr>
            </w:pPr>
            <w:r w:rsidRPr="00464DB0">
              <w:rPr>
                <w:color w:val="000000"/>
              </w:rPr>
              <w:t>2,000</w:t>
            </w:r>
          </w:p>
        </w:tc>
      </w:tr>
      <w:tr w:rsidR="004A2DF7" w:rsidRPr="006D2D94" w14:paraId="38EA9A9B" w14:textId="77777777" w:rsidTr="00370B3A">
        <w:tc>
          <w:tcPr>
            <w:tcW w:w="3398" w:type="dxa"/>
            <w:noWrap/>
            <w:vAlign w:val="bottom"/>
          </w:tcPr>
          <w:p w14:paraId="35682479" w14:textId="5EFE86E6" w:rsidR="004A2DF7" w:rsidRPr="006D2D94" w:rsidRDefault="000A0A65">
            <w:pPr>
              <w:pStyle w:val="ARGrantstabletext"/>
              <w:rPr>
                <w:bCs/>
                <w:color w:val="000000"/>
              </w:rPr>
            </w:pPr>
            <w:r w:rsidRPr="00464DB0">
              <w:rPr>
                <w:color w:val="000000"/>
              </w:rPr>
              <w:t>Frankston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74BFB0A" w14:textId="658A02C3" w:rsidR="004A2DF7" w:rsidRPr="006D2D94" w:rsidRDefault="000A0A65">
            <w:pPr>
              <w:pStyle w:val="ARGrantstabletextright"/>
              <w:rPr>
                <w:bCs/>
                <w:color w:val="000000"/>
              </w:rPr>
            </w:pPr>
            <w:r w:rsidRPr="00464DB0">
              <w:rPr>
                <w:color w:val="000000"/>
              </w:rPr>
              <w:t>62,000</w:t>
            </w:r>
          </w:p>
        </w:tc>
      </w:tr>
      <w:tr w:rsidR="004A2DF7" w:rsidRPr="006D2D94" w14:paraId="6185A8EC" w14:textId="77777777" w:rsidTr="00370B3A">
        <w:tc>
          <w:tcPr>
            <w:tcW w:w="3398" w:type="dxa"/>
            <w:noWrap/>
            <w:vAlign w:val="bottom"/>
          </w:tcPr>
          <w:p w14:paraId="1B39FC69" w14:textId="7A98F18A" w:rsidR="004A2DF7" w:rsidRPr="006D2D94" w:rsidRDefault="000A0A65">
            <w:pPr>
              <w:pStyle w:val="ARGrantstabletext"/>
              <w:rPr>
                <w:bCs/>
                <w:color w:val="000000"/>
              </w:rPr>
            </w:pPr>
            <w:r w:rsidRPr="00464DB0">
              <w:rPr>
                <w:color w:val="000000"/>
              </w:rPr>
              <w:t>Future Forte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A95024B" w14:textId="58774141" w:rsidR="004A2DF7" w:rsidRPr="006D2D94" w:rsidRDefault="000A0A65">
            <w:pPr>
              <w:pStyle w:val="ARGrantstabletextright"/>
              <w:rPr>
                <w:bCs/>
                <w:color w:val="000000"/>
              </w:rPr>
            </w:pPr>
            <w:r w:rsidRPr="00464DB0">
              <w:rPr>
                <w:color w:val="000000"/>
              </w:rPr>
              <w:t>2,000</w:t>
            </w:r>
          </w:p>
        </w:tc>
      </w:tr>
      <w:tr w:rsidR="004A2DF7" w:rsidRPr="006D2D94" w14:paraId="3E7D9459" w14:textId="77777777" w:rsidTr="00370B3A">
        <w:tc>
          <w:tcPr>
            <w:tcW w:w="3398" w:type="dxa"/>
            <w:noWrap/>
            <w:vAlign w:val="bottom"/>
          </w:tcPr>
          <w:p w14:paraId="5FAE4FFB" w14:textId="720F39D8" w:rsidR="004A2DF7" w:rsidRPr="006D2D94" w:rsidRDefault="000A0A65">
            <w:pPr>
              <w:pStyle w:val="ARGrantstabletext"/>
              <w:rPr>
                <w:bCs/>
                <w:color w:val="000000"/>
              </w:rPr>
            </w:pPr>
            <w:r w:rsidRPr="00464DB0">
              <w:rPr>
                <w:color w:val="000000"/>
              </w:rPr>
              <w:t>Gateway Health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D3F3FC1" w14:textId="4D2B0E80" w:rsidR="004A2DF7" w:rsidRPr="006D2D94" w:rsidRDefault="000A0A65">
            <w:pPr>
              <w:pStyle w:val="ARGrantstabletextright"/>
              <w:rPr>
                <w:bCs/>
                <w:color w:val="000000"/>
              </w:rPr>
            </w:pPr>
            <w:r w:rsidRPr="00464DB0">
              <w:rPr>
                <w:color w:val="000000"/>
              </w:rPr>
              <w:t>18,833</w:t>
            </w:r>
          </w:p>
        </w:tc>
      </w:tr>
      <w:tr w:rsidR="004A2DF7" w:rsidRPr="006D2D94" w14:paraId="60C200C1" w14:textId="77777777" w:rsidTr="00370B3A">
        <w:tc>
          <w:tcPr>
            <w:tcW w:w="3398" w:type="dxa"/>
            <w:noWrap/>
            <w:vAlign w:val="bottom"/>
          </w:tcPr>
          <w:p w14:paraId="72B0EDE0" w14:textId="07D8283C" w:rsidR="004A2DF7" w:rsidRPr="006D2D94" w:rsidRDefault="000A0A65">
            <w:pPr>
              <w:pStyle w:val="ARGrantstabletext"/>
              <w:rPr>
                <w:bCs/>
                <w:color w:val="000000"/>
              </w:rPr>
            </w:pPr>
            <w:r w:rsidRPr="00464DB0">
              <w:rPr>
                <w:color w:val="000000"/>
              </w:rPr>
              <w:t>Gathering Place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8A29886" w14:textId="0A8C3036" w:rsidR="004A2DF7" w:rsidRPr="006D2D94" w:rsidRDefault="000A0A65">
            <w:pPr>
              <w:pStyle w:val="ARGrantstabletextright"/>
              <w:rPr>
                <w:bCs/>
                <w:color w:val="000000"/>
              </w:rPr>
            </w:pPr>
            <w:r w:rsidRPr="00464DB0">
              <w:rPr>
                <w:color w:val="000000"/>
              </w:rPr>
              <w:t>30,000</w:t>
            </w:r>
          </w:p>
        </w:tc>
      </w:tr>
      <w:tr w:rsidR="004A2DF7" w:rsidRPr="006D2D94" w14:paraId="6570FE00" w14:textId="77777777" w:rsidTr="00370B3A">
        <w:tc>
          <w:tcPr>
            <w:tcW w:w="3398" w:type="dxa"/>
            <w:noWrap/>
            <w:vAlign w:val="bottom"/>
          </w:tcPr>
          <w:p w14:paraId="0DA3CF2C" w14:textId="3F2233C0" w:rsidR="004A2DF7" w:rsidRPr="006D2D94" w:rsidRDefault="000A0A65">
            <w:pPr>
              <w:pStyle w:val="ARGrantstabletext"/>
              <w:rPr>
                <w:bCs/>
                <w:color w:val="000000"/>
              </w:rPr>
            </w:pPr>
            <w:r w:rsidRPr="00464DB0">
              <w:rPr>
                <w:color w:val="000000"/>
              </w:rPr>
              <w:t>Geelong Gallery</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04F8367" w14:textId="1E282611" w:rsidR="004A2DF7" w:rsidRPr="006D2D94" w:rsidRDefault="000A0A65">
            <w:pPr>
              <w:pStyle w:val="ARGrantstabletextright"/>
              <w:rPr>
                <w:bCs/>
                <w:color w:val="000000"/>
              </w:rPr>
            </w:pPr>
            <w:r w:rsidRPr="00464DB0">
              <w:rPr>
                <w:color w:val="000000"/>
              </w:rPr>
              <w:t>2,000</w:t>
            </w:r>
          </w:p>
        </w:tc>
      </w:tr>
      <w:tr w:rsidR="004A2DF7" w:rsidRPr="006D2D94" w14:paraId="0C538D64" w14:textId="77777777" w:rsidTr="00370B3A">
        <w:tc>
          <w:tcPr>
            <w:tcW w:w="3398" w:type="dxa"/>
            <w:noWrap/>
            <w:vAlign w:val="bottom"/>
          </w:tcPr>
          <w:p w14:paraId="3ACD424F" w14:textId="09F24722" w:rsidR="004A2DF7" w:rsidRPr="006D2D94" w:rsidRDefault="000A0A65">
            <w:pPr>
              <w:pStyle w:val="ARGrantstabletext"/>
              <w:rPr>
                <w:bCs/>
                <w:color w:val="000000"/>
              </w:rPr>
            </w:pPr>
            <w:r w:rsidRPr="00464DB0">
              <w:rPr>
                <w:color w:val="000000"/>
              </w:rPr>
              <w:t>Gippsland East Local Learning and Employment Network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F759149" w14:textId="61946F32" w:rsidR="004A2DF7" w:rsidRPr="006D2D94" w:rsidRDefault="000A0A65">
            <w:pPr>
              <w:pStyle w:val="ARGrantstabletextright"/>
              <w:rPr>
                <w:bCs/>
                <w:color w:val="000000"/>
              </w:rPr>
            </w:pPr>
            <w:r w:rsidRPr="00464DB0">
              <w:rPr>
                <w:color w:val="000000"/>
              </w:rPr>
              <w:t>30,000</w:t>
            </w:r>
          </w:p>
        </w:tc>
      </w:tr>
      <w:tr w:rsidR="004A2DF7" w:rsidRPr="006D2D94" w14:paraId="31CCF5E7" w14:textId="77777777" w:rsidTr="00370B3A">
        <w:tc>
          <w:tcPr>
            <w:tcW w:w="3398" w:type="dxa"/>
            <w:noWrap/>
            <w:vAlign w:val="bottom"/>
          </w:tcPr>
          <w:p w14:paraId="7C63F025" w14:textId="167AC322" w:rsidR="004A2DF7" w:rsidRPr="006D2D94" w:rsidRDefault="000A0A65">
            <w:pPr>
              <w:pStyle w:val="ARGrantstabletext"/>
              <w:rPr>
                <w:bCs/>
                <w:color w:val="000000"/>
              </w:rPr>
            </w:pPr>
            <w:r w:rsidRPr="00464DB0">
              <w:rPr>
                <w:color w:val="000000"/>
              </w:rPr>
              <w:t>Gippsland Youth Spaces Incorporated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100ABD6" w14:textId="7E9CAD64" w:rsidR="004A2DF7" w:rsidRPr="006D2D94" w:rsidRDefault="000A0A65">
            <w:pPr>
              <w:pStyle w:val="ARGrantstabletextright"/>
              <w:rPr>
                <w:bCs/>
                <w:color w:val="000000"/>
              </w:rPr>
            </w:pPr>
            <w:r w:rsidRPr="00464DB0">
              <w:rPr>
                <w:color w:val="000000"/>
              </w:rPr>
              <w:t>2,000</w:t>
            </w:r>
          </w:p>
        </w:tc>
      </w:tr>
      <w:tr w:rsidR="004A2DF7" w:rsidRPr="006D2D94" w14:paraId="25FB608C" w14:textId="77777777" w:rsidTr="00370B3A">
        <w:tc>
          <w:tcPr>
            <w:tcW w:w="3398" w:type="dxa"/>
            <w:noWrap/>
            <w:vAlign w:val="bottom"/>
          </w:tcPr>
          <w:p w14:paraId="1F026B7F" w14:textId="5BB4BE73" w:rsidR="004A2DF7" w:rsidRPr="006D2D94" w:rsidRDefault="000A0A65">
            <w:pPr>
              <w:pStyle w:val="ARGrantstabletext"/>
              <w:rPr>
                <w:bCs/>
                <w:color w:val="000000"/>
              </w:rPr>
            </w:pPr>
            <w:r w:rsidRPr="00464DB0">
              <w:rPr>
                <w:color w:val="000000"/>
              </w:rPr>
              <w:t>Girl Guides Association of Victoria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AE2B30A" w14:textId="3FFB3BFC" w:rsidR="004A2DF7" w:rsidRPr="006D2D94" w:rsidRDefault="000A0A65">
            <w:pPr>
              <w:pStyle w:val="ARGrantstabletextright"/>
              <w:rPr>
                <w:bCs/>
                <w:color w:val="000000"/>
              </w:rPr>
            </w:pPr>
            <w:r w:rsidRPr="00464DB0">
              <w:rPr>
                <w:color w:val="000000"/>
              </w:rPr>
              <w:t>250,000</w:t>
            </w:r>
          </w:p>
        </w:tc>
      </w:tr>
      <w:tr w:rsidR="004A2DF7" w:rsidRPr="006D2D94" w14:paraId="2A7BF62B" w14:textId="77777777" w:rsidTr="00370B3A">
        <w:tc>
          <w:tcPr>
            <w:tcW w:w="3398" w:type="dxa"/>
            <w:noWrap/>
            <w:vAlign w:val="bottom"/>
          </w:tcPr>
          <w:p w14:paraId="37B3B380" w14:textId="24391634" w:rsidR="004A2DF7" w:rsidRPr="006D2D94" w:rsidRDefault="000A0A65">
            <w:pPr>
              <w:pStyle w:val="ARGrantstabletext"/>
              <w:rPr>
                <w:bCs/>
                <w:color w:val="000000"/>
              </w:rPr>
            </w:pPr>
            <w:r w:rsidRPr="00464DB0">
              <w:rPr>
                <w:color w:val="000000"/>
              </w:rPr>
              <w:t>Glen Eira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3FA0AC6" w14:textId="3D1592B2" w:rsidR="004A2DF7" w:rsidRPr="006D2D94" w:rsidRDefault="000A0A65">
            <w:pPr>
              <w:pStyle w:val="ARGrantstabletextright"/>
              <w:rPr>
                <w:bCs/>
                <w:color w:val="000000"/>
              </w:rPr>
            </w:pPr>
            <w:r w:rsidRPr="00464DB0">
              <w:rPr>
                <w:color w:val="000000"/>
              </w:rPr>
              <w:t>39,500</w:t>
            </w:r>
          </w:p>
        </w:tc>
      </w:tr>
      <w:tr w:rsidR="004A2DF7" w:rsidRPr="006D2D94" w14:paraId="25B3844B" w14:textId="77777777" w:rsidTr="00370B3A">
        <w:tc>
          <w:tcPr>
            <w:tcW w:w="3398" w:type="dxa"/>
            <w:noWrap/>
            <w:vAlign w:val="bottom"/>
          </w:tcPr>
          <w:p w14:paraId="709F97D9" w14:textId="7FA98D47" w:rsidR="004A2DF7" w:rsidRPr="006D2D94" w:rsidRDefault="000A0A65">
            <w:pPr>
              <w:pStyle w:val="ARGrantstabletext"/>
              <w:rPr>
                <w:bCs/>
                <w:color w:val="000000"/>
              </w:rPr>
            </w:pPr>
            <w:r w:rsidRPr="00464DB0">
              <w:rPr>
                <w:color w:val="000000"/>
              </w:rPr>
              <w:t>Glenelg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59163EE" w14:textId="269DDC19" w:rsidR="004A2DF7" w:rsidRPr="006D2D94" w:rsidRDefault="000A0A65">
            <w:pPr>
              <w:pStyle w:val="ARGrantstabletextright"/>
              <w:rPr>
                <w:bCs/>
                <w:color w:val="000000"/>
              </w:rPr>
            </w:pPr>
            <w:r w:rsidRPr="00464DB0">
              <w:rPr>
                <w:color w:val="000000"/>
              </w:rPr>
              <w:t>89,750</w:t>
            </w:r>
          </w:p>
        </w:tc>
      </w:tr>
      <w:tr w:rsidR="004A2DF7" w:rsidRPr="006D2D94" w14:paraId="133F6484" w14:textId="77777777" w:rsidTr="00370B3A">
        <w:tc>
          <w:tcPr>
            <w:tcW w:w="3398" w:type="dxa"/>
            <w:noWrap/>
            <w:vAlign w:val="bottom"/>
          </w:tcPr>
          <w:p w14:paraId="72E6FB1F" w14:textId="111175F0" w:rsidR="004A2DF7" w:rsidRPr="006D2D94" w:rsidRDefault="000A0A65">
            <w:pPr>
              <w:pStyle w:val="ARGrantstabletext"/>
              <w:rPr>
                <w:bCs/>
                <w:color w:val="000000"/>
              </w:rPr>
            </w:pPr>
            <w:r w:rsidRPr="00464DB0">
              <w:rPr>
                <w:color w:val="000000"/>
              </w:rPr>
              <w:t>Golden Plains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23CD836" w14:textId="65E63D45" w:rsidR="004A2DF7" w:rsidRPr="006D2D94" w:rsidRDefault="000A0A65">
            <w:pPr>
              <w:pStyle w:val="ARGrantstabletextright"/>
              <w:rPr>
                <w:bCs/>
                <w:color w:val="000000"/>
              </w:rPr>
            </w:pPr>
            <w:r w:rsidRPr="00464DB0">
              <w:rPr>
                <w:color w:val="000000"/>
              </w:rPr>
              <w:t>93,084</w:t>
            </w:r>
          </w:p>
        </w:tc>
      </w:tr>
      <w:tr w:rsidR="004A2DF7" w:rsidRPr="006D2D94" w14:paraId="4E900581" w14:textId="77777777" w:rsidTr="00370B3A">
        <w:tc>
          <w:tcPr>
            <w:tcW w:w="3398" w:type="dxa"/>
            <w:noWrap/>
            <w:vAlign w:val="bottom"/>
          </w:tcPr>
          <w:p w14:paraId="01FFC7B7" w14:textId="4CC96C0A" w:rsidR="004A2DF7" w:rsidRPr="006D2D94" w:rsidRDefault="000A0A65">
            <w:pPr>
              <w:pStyle w:val="ARGrantstabletext"/>
              <w:rPr>
                <w:bCs/>
                <w:color w:val="000000"/>
              </w:rPr>
            </w:pPr>
            <w:r w:rsidRPr="00464DB0">
              <w:rPr>
                <w:color w:val="000000"/>
              </w:rPr>
              <w:t>Grampians Community Health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C9D6DF4" w14:textId="66428BA7" w:rsidR="004A2DF7" w:rsidRPr="006D2D94" w:rsidRDefault="000A0A65">
            <w:pPr>
              <w:pStyle w:val="ARGrantstabletextright"/>
              <w:rPr>
                <w:bCs/>
                <w:color w:val="000000"/>
              </w:rPr>
            </w:pPr>
            <w:r w:rsidRPr="00464DB0">
              <w:rPr>
                <w:color w:val="000000"/>
              </w:rPr>
              <w:t>37,750</w:t>
            </w:r>
          </w:p>
        </w:tc>
      </w:tr>
      <w:tr w:rsidR="004A2DF7" w:rsidRPr="006D2D94" w14:paraId="1B93D6EA" w14:textId="77777777" w:rsidTr="00370B3A">
        <w:tc>
          <w:tcPr>
            <w:tcW w:w="3398" w:type="dxa"/>
            <w:noWrap/>
            <w:vAlign w:val="bottom"/>
          </w:tcPr>
          <w:p w14:paraId="06300ADF" w14:textId="21F48593" w:rsidR="004A2DF7" w:rsidRPr="006D2D94" w:rsidRDefault="000A0A65">
            <w:pPr>
              <w:pStyle w:val="ARGrantstabletext"/>
              <w:rPr>
                <w:bCs/>
                <w:color w:val="000000"/>
              </w:rPr>
            </w:pPr>
            <w:r w:rsidRPr="00464DB0">
              <w:rPr>
                <w:color w:val="000000"/>
              </w:rPr>
              <w:t>Greater Shepparton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C1DBACA" w14:textId="3CB50E34" w:rsidR="004A2DF7" w:rsidRPr="006D2D94" w:rsidRDefault="000A0A65">
            <w:pPr>
              <w:pStyle w:val="ARGrantstabletextright"/>
              <w:rPr>
                <w:bCs/>
                <w:color w:val="000000"/>
              </w:rPr>
            </w:pPr>
            <w:r w:rsidRPr="00464DB0">
              <w:rPr>
                <w:color w:val="000000"/>
              </w:rPr>
              <w:t>60,250</w:t>
            </w:r>
          </w:p>
        </w:tc>
      </w:tr>
      <w:tr w:rsidR="004A2DF7" w:rsidRPr="006D2D94" w14:paraId="57FDA37C" w14:textId="77777777" w:rsidTr="00370B3A">
        <w:tc>
          <w:tcPr>
            <w:tcW w:w="3398" w:type="dxa"/>
            <w:noWrap/>
            <w:vAlign w:val="bottom"/>
          </w:tcPr>
          <w:p w14:paraId="11A8887B" w14:textId="4F2EE1CA" w:rsidR="004A2DF7" w:rsidRPr="006D2D94" w:rsidRDefault="000A0A65">
            <w:pPr>
              <w:pStyle w:val="ARGrantstabletext"/>
              <w:rPr>
                <w:bCs/>
                <w:color w:val="000000"/>
              </w:rPr>
            </w:pPr>
            <w:r w:rsidRPr="00464DB0">
              <w:rPr>
                <w:color w:val="000000"/>
              </w:rPr>
              <w:t>Greater Shepparton Secondary</w:t>
            </w:r>
            <w:r w:rsidR="000F4AC1">
              <w:rPr>
                <w:color w:val="000000"/>
              </w:rPr>
              <w:t> </w:t>
            </w:r>
            <w:r w:rsidRPr="00464DB0">
              <w:rPr>
                <w:color w:val="000000"/>
              </w:rPr>
              <w:t>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9889660" w14:textId="4625D025" w:rsidR="004A2DF7" w:rsidRPr="006D2D94" w:rsidRDefault="000A0A65">
            <w:pPr>
              <w:pStyle w:val="ARGrantstabletextright"/>
              <w:rPr>
                <w:bCs/>
                <w:color w:val="000000"/>
              </w:rPr>
            </w:pPr>
            <w:r w:rsidRPr="00464DB0">
              <w:rPr>
                <w:color w:val="000000"/>
              </w:rPr>
              <w:t>12,000</w:t>
            </w:r>
          </w:p>
        </w:tc>
      </w:tr>
      <w:tr w:rsidR="004A2DF7" w:rsidRPr="006D2D94" w14:paraId="426CBA51" w14:textId="77777777" w:rsidTr="00370B3A">
        <w:tc>
          <w:tcPr>
            <w:tcW w:w="3398" w:type="dxa"/>
            <w:noWrap/>
            <w:vAlign w:val="bottom"/>
          </w:tcPr>
          <w:p w14:paraId="3875B83E" w14:textId="33AEF548" w:rsidR="004A2DF7" w:rsidRPr="006D2D94" w:rsidRDefault="000A0A65">
            <w:pPr>
              <w:pStyle w:val="ARGrantstabletext"/>
              <w:rPr>
                <w:bCs/>
                <w:color w:val="000000"/>
              </w:rPr>
            </w:pPr>
            <w:r w:rsidRPr="00464DB0">
              <w:rPr>
                <w:color w:val="000000"/>
              </w:rPr>
              <w:t>Green Citizens Australia Network</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72A0774" w14:textId="5A049CD4" w:rsidR="004A2DF7" w:rsidRPr="006D2D94" w:rsidRDefault="000A0A65">
            <w:pPr>
              <w:pStyle w:val="ARGrantstabletextright"/>
              <w:rPr>
                <w:bCs/>
                <w:color w:val="000000"/>
              </w:rPr>
            </w:pPr>
            <w:r w:rsidRPr="00464DB0">
              <w:rPr>
                <w:color w:val="000000"/>
              </w:rPr>
              <w:t>2,000</w:t>
            </w:r>
          </w:p>
        </w:tc>
      </w:tr>
      <w:tr w:rsidR="004A2DF7" w:rsidRPr="006D2D94" w14:paraId="3541443C" w14:textId="77777777" w:rsidTr="00370B3A">
        <w:tc>
          <w:tcPr>
            <w:tcW w:w="3398" w:type="dxa"/>
            <w:noWrap/>
            <w:vAlign w:val="bottom"/>
          </w:tcPr>
          <w:p w14:paraId="603492B6" w14:textId="7E014A67" w:rsidR="004A2DF7" w:rsidRPr="006D2D94" w:rsidRDefault="000A0A65">
            <w:pPr>
              <w:pStyle w:val="ARGrantstabletext"/>
              <w:rPr>
                <w:bCs/>
                <w:color w:val="000000"/>
              </w:rPr>
            </w:pPr>
            <w:r w:rsidRPr="00464DB0">
              <w:rPr>
                <w:color w:val="000000"/>
              </w:rPr>
              <w:t>Hamlyn Views School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BED2F6D" w14:textId="12904602" w:rsidR="004A2DF7" w:rsidRPr="006D2D94" w:rsidRDefault="000A0A65">
            <w:pPr>
              <w:pStyle w:val="ARGrantstabletextright"/>
              <w:rPr>
                <w:bCs/>
                <w:color w:val="000000"/>
              </w:rPr>
            </w:pPr>
            <w:r w:rsidRPr="00464DB0">
              <w:rPr>
                <w:color w:val="000000"/>
              </w:rPr>
              <w:t>15,000</w:t>
            </w:r>
          </w:p>
        </w:tc>
      </w:tr>
      <w:tr w:rsidR="004A2DF7" w:rsidRPr="006D2D94" w14:paraId="2DD28CA8" w14:textId="77777777" w:rsidTr="00370B3A">
        <w:tc>
          <w:tcPr>
            <w:tcW w:w="3398" w:type="dxa"/>
            <w:noWrap/>
            <w:vAlign w:val="bottom"/>
          </w:tcPr>
          <w:p w14:paraId="23E39142" w14:textId="43DA867B" w:rsidR="004A2DF7" w:rsidRPr="006D2D94" w:rsidRDefault="000A0A65">
            <w:pPr>
              <w:pStyle w:val="ARGrantstabletext"/>
              <w:rPr>
                <w:bCs/>
                <w:color w:val="000000"/>
              </w:rPr>
            </w:pPr>
            <w:r>
              <w:rPr>
                <w:color w:val="000000"/>
              </w:rPr>
              <w:t>H</w:t>
            </w:r>
            <w:r w:rsidRPr="00464DB0">
              <w:rPr>
                <w:color w:val="000000"/>
              </w:rPr>
              <w:t>eadspace Craigieburn (</w:t>
            </w:r>
            <w:proofErr w:type="spellStart"/>
            <w:r w:rsidRPr="00464DB0">
              <w:rPr>
                <w:color w:val="000000"/>
              </w:rPr>
              <w:t>Orygen</w:t>
            </w:r>
            <w:proofErr w:type="spellEnd"/>
            <w:r w:rsidRPr="00464DB0">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C48542F" w14:textId="3165E8A9" w:rsidR="004A2DF7" w:rsidRPr="006D2D94" w:rsidRDefault="000A0A65">
            <w:pPr>
              <w:pStyle w:val="ARGrantstabletextright"/>
              <w:rPr>
                <w:bCs/>
                <w:color w:val="000000"/>
              </w:rPr>
            </w:pPr>
            <w:r w:rsidRPr="00464DB0">
              <w:rPr>
                <w:color w:val="000000"/>
              </w:rPr>
              <w:t>2,000</w:t>
            </w:r>
          </w:p>
        </w:tc>
      </w:tr>
      <w:tr w:rsidR="004A2DF7" w:rsidRPr="006D2D94" w14:paraId="334F88E4" w14:textId="77777777" w:rsidTr="00370B3A">
        <w:tc>
          <w:tcPr>
            <w:tcW w:w="3398" w:type="dxa"/>
            <w:noWrap/>
            <w:vAlign w:val="bottom"/>
          </w:tcPr>
          <w:p w14:paraId="016ACCFF" w14:textId="2D9B7C47" w:rsidR="004A2DF7" w:rsidRPr="006D2D94" w:rsidRDefault="000A0A65">
            <w:pPr>
              <w:pStyle w:val="ARGrantstabletext"/>
              <w:rPr>
                <w:bCs/>
                <w:color w:val="000000"/>
              </w:rPr>
            </w:pPr>
            <w:proofErr w:type="spellStart"/>
            <w:r w:rsidRPr="00464DB0">
              <w:rPr>
                <w:color w:val="000000"/>
              </w:rPr>
              <w:t>Heatherwood</w:t>
            </w:r>
            <w:proofErr w:type="spellEnd"/>
            <w:r w:rsidRPr="00464DB0">
              <w:rPr>
                <w:color w:val="000000"/>
              </w:rPr>
              <w:t xml:space="preserve"> School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946FC72" w14:textId="40FB8450" w:rsidR="004A2DF7" w:rsidRPr="006D2D94" w:rsidRDefault="000A0A65">
            <w:pPr>
              <w:pStyle w:val="ARGrantstabletextright"/>
              <w:rPr>
                <w:bCs/>
                <w:color w:val="000000"/>
              </w:rPr>
            </w:pPr>
            <w:r w:rsidRPr="00464DB0">
              <w:rPr>
                <w:color w:val="000000"/>
              </w:rPr>
              <w:t>12,000</w:t>
            </w:r>
          </w:p>
        </w:tc>
      </w:tr>
      <w:tr w:rsidR="004A2DF7" w:rsidRPr="006D2D94" w14:paraId="2E7B8DD4" w14:textId="77777777" w:rsidTr="00370B3A">
        <w:tc>
          <w:tcPr>
            <w:tcW w:w="3398" w:type="dxa"/>
            <w:noWrap/>
            <w:vAlign w:val="bottom"/>
          </w:tcPr>
          <w:p w14:paraId="0D43725D" w14:textId="0C0FC6B6" w:rsidR="004A2DF7" w:rsidRPr="006D2D94" w:rsidRDefault="000A0A65">
            <w:pPr>
              <w:pStyle w:val="ARGrantstabletext"/>
              <w:rPr>
                <w:bCs/>
                <w:color w:val="000000"/>
              </w:rPr>
            </w:pPr>
            <w:r w:rsidRPr="00464DB0">
              <w:rPr>
                <w:color w:val="000000"/>
              </w:rPr>
              <w:t>Hepburn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F8723F6" w14:textId="5446D8D5" w:rsidR="004A2DF7" w:rsidRPr="006D2D94" w:rsidRDefault="000A0A65">
            <w:pPr>
              <w:pStyle w:val="ARGrantstabletextright"/>
              <w:rPr>
                <w:bCs/>
                <w:color w:val="000000"/>
              </w:rPr>
            </w:pPr>
            <w:r w:rsidRPr="00464DB0">
              <w:rPr>
                <w:color w:val="000000"/>
              </w:rPr>
              <w:t>37,750</w:t>
            </w:r>
          </w:p>
        </w:tc>
      </w:tr>
      <w:tr w:rsidR="004A2DF7" w:rsidRPr="006D2D94" w14:paraId="5C716A18" w14:textId="77777777" w:rsidTr="00370B3A">
        <w:tc>
          <w:tcPr>
            <w:tcW w:w="3398" w:type="dxa"/>
            <w:noWrap/>
            <w:vAlign w:val="bottom"/>
          </w:tcPr>
          <w:p w14:paraId="54FCC26D" w14:textId="073CA8C5" w:rsidR="004A2DF7" w:rsidRPr="006D2D94" w:rsidRDefault="000A0A65">
            <w:pPr>
              <w:pStyle w:val="ARGrantstabletext"/>
              <w:rPr>
                <w:bCs/>
                <w:color w:val="000000"/>
              </w:rPr>
            </w:pPr>
            <w:r w:rsidRPr="00464DB0">
              <w:rPr>
                <w:color w:val="000000"/>
              </w:rPr>
              <w:t>Heywood and District Secondary</w:t>
            </w:r>
            <w:r w:rsidR="000F4AC1">
              <w:rPr>
                <w:color w:val="000000"/>
              </w:rPr>
              <w:t> </w:t>
            </w:r>
            <w:r w:rsidRPr="00464DB0">
              <w:rPr>
                <w:color w:val="000000"/>
              </w:rPr>
              <w:t>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FBBA337" w14:textId="40B41EC2" w:rsidR="004A2DF7" w:rsidRPr="006D2D94" w:rsidRDefault="000A0A65">
            <w:pPr>
              <w:pStyle w:val="ARGrantstabletextright"/>
              <w:rPr>
                <w:bCs/>
                <w:color w:val="000000"/>
              </w:rPr>
            </w:pPr>
            <w:r w:rsidRPr="00464DB0">
              <w:rPr>
                <w:color w:val="000000"/>
              </w:rPr>
              <w:t>15,000</w:t>
            </w:r>
          </w:p>
        </w:tc>
      </w:tr>
      <w:tr w:rsidR="004A2DF7" w:rsidRPr="006D2D94" w14:paraId="17D64967" w14:textId="77777777" w:rsidTr="00370B3A">
        <w:tc>
          <w:tcPr>
            <w:tcW w:w="3398" w:type="dxa"/>
            <w:noWrap/>
            <w:vAlign w:val="bottom"/>
          </w:tcPr>
          <w:p w14:paraId="05FFF0F7" w14:textId="590CC99F" w:rsidR="004A2DF7" w:rsidRPr="006D2D94" w:rsidRDefault="000A0A65">
            <w:pPr>
              <w:pStyle w:val="ARGrantstabletext"/>
              <w:rPr>
                <w:bCs/>
                <w:color w:val="000000"/>
              </w:rPr>
            </w:pPr>
            <w:r w:rsidRPr="00464DB0">
              <w:rPr>
                <w:color w:val="000000"/>
              </w:rPr>
              <w:t>Hindmarsh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6CBE9D4" w14:textId="5A9FCE19" w:rsidR="004A2DF7" w:rsidRPr="006D2D94" w:rsidRDefault="000A0A65">
            <w:pPr>
              <w:pStyle w:val="ARGrantstabletextright"/>
              <w:rPr>
                <w:bCs/>
                <w:color w:val="000000"/>
              </w:rPr>
            </w:pPr>
            <w:r w:rsidRPr="00464DB0">
              <w:rPr>
                <w:color w:val="000000"/>
              </w:rPr>
              <w:t>89,250</w:t>
            </w:r>
          </w:p>
        </w:tc>
      </w:tr>
      <w:tr w:rsidR="004A2DF7" w:rsidRPr="006D2D94" w14:paraId="57EFD5E2" w14:textId="77777777" w:rsidTr="00370B3A">
        <w:tc>
          <w:tcPr>
            <w:tcW w:w="3398" w:type="dxa"/>
            <w:tcBorders>
              <w:bottom w:val="single" w:sz="4" w:space="0" w:color="A6A6A6" w:themeColor="accent5"/>
            </w:tcBorders>
            <w:noWrap/>
            <w:vAlign w:val="bottom"/>
          </w:tcPr>
          <w:p w14:paraId="12CAB0AA" w14:textId="3FB28028" w:rsidR="004A2DF7" w:rsidRPr="006D2D94" w:rsidRDefault="000A0A65">
            <w:pPr>
              <w:pStyle w:val="ARGrantstabletext"/>
              <w:rPr>
                <w:bCs/>
                <w:color w:val="000000"/>
              </w:rPr>
            </w:pPr>
            <w:proofErr w:type="spellStart"/>
            <w:r w:rsidRPr="00464DB0">
              <w:rPr>
                <w:color w:val="000000"/>
              </w:rPr>
              <w:t>HipHopportunities</w:t>
            </w:r>
            <w:proofErr w:type="spellEnd"/>
            <w:r w:rsidRPr="00464DB0">
              <w:rPr>
                <w:color w:val="000000"/>
              </w:rPr>
              <w:t xml:space="preserve"> for Youth Inc</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04E81EBC" w14:textId="3DEB47A9" w:rsidR="004A2DF7" w:rsidRPr="006D2D94" w:rsidRDefault="000A0A65">
            <w:pPr>
              <w:pStyle w:val="ARGrantstabletextright"/>
              <w:rPr>
                <w:bCs/>
                <w:color w:val="000000"/>
              </w:rPr>
            </w:pPr>
            <w:r w:rsidRPr="00464DB0">
              <w:rPr>
                <w:color w:val="000000"/>
              </w:rPr>
              <w:t>61,338</w:t>
            </w:r>
          </w:p>
        </w:tc>
      </w:tr>
      <w:tr w:rsidR="004A2DF7" w:rsidRPr="006D2D94" w14:paraId="6FA8240F" w14:textId="77777777" w:rsidTr="00370B3A">
        <w:tc>
          <w:tcPr>
            <w:tcW w:w="3398" w:type="dxa"/>
            <w:tcBorders>
              <w:top w:val="single" w:sz="4" w:space="0" w:color="A6A6A6" w:themeColor="accent5"/>
              <w:bottom w:val="single" w:sz="4" w:space="0" w:color="A6A6A6" w:themeColor="accent5"/>
            </w:tcBorders>
            <w:noWrap/>
            <w:vAlign w:val="bottom"/>
          </w:tcPr>
          <w:p w14:paraId="26ED12CC" w14:textId="06290307" w:rsidR="004A2DF7" w:rsidRPr="006D2D94" w:rsidRDefault="000A0A65">
            <w:pPr>
              <w:pStyle w:val="ARGrantstabletext"/>
              <w:rPr>
                <w:bCs/>
                <w:color w:val="000000"/>
              </w:rPr>
            </w:pPr>
            <w:r w:rsidRPr="00464DB0">
              <w:rPr>
                <w:color w:val="000000"/>
              </w:rPr>
              <w:t>Hobsons Bay City Council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6FF6F1D3" w14:textId="6E65D4D8" w:rsidR="004A2DF7" w:rsidRPr="006D2D94" w:rsidRDefault="000A0A65">
            <w:pPr>
              <w:pStyle w:val="ARGrantstabletextright"/>
              <w:rPr>
                <w:bCs/>
                <w:color w:val="000000"/>
              </w:rPr>
            </w:pPr>
            <w:r w:rsidRPr="00464DB0">
              <w:rPr>
                <w:color w:val="000000"/>
              </w:rPr>
              <w:t>76,584</w:t>
            </w:r>
          </w:p>
        </w:tc>
      </w:tr>
      <w:tr w:rsidR="004A2DF7" w:rsidRPr="006D2D94" w14:paraId="6782E38D" w14:textId="77777777" w:rsidTr="00370B3A">
        <w:tc>
          <w:tcPr>
            <w:tcW w:w="3398" w:type="dxa"/>
            <w:tcBorders>
              <w:top w:val="single" w:sz="4" w:space="0" w:color="A6A6A6" w:themeColor="accent5"/>
              <w:bottom w:val="single" w:sz="4" w:space="0" w:color="A6A6A6" w:themeColor="accent5"/>
            </w:tcBorders>
            <w:noWrap/>
            <w:vAlign w:val="bottom"/>
          </w:tcPr>
          <w:p w14:paraId="207C4FC2" w14:textId="53A3503D" w:rsidR="004A2DF7" w:rsidRPr="006D2D94" w:rsidRDefault="000A0A65">
            <w:pPr>
              <w:pStyle w:val="ARGrantstabletext"/>
              <w:rPr>
                <w:bCs/>
                <w:color w:val="000000"/>
              </w:rPr>
            </w:pPr>
            <w:r w:rsidRPr="00464DB0">
              <w:rPr>
                <w:color w:val="000000"/>
              </w:rPr>
              <w:t>Home Ground Hub</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5C0C8623" w14:textId="3B4A120C" w:rsidR="004A2DF7" w:rsidRPr="006D2D94" w:rsidRDefault="000A0A65">
            <w:pPr>
              <w:pStyle w:val="ARGrantstabletextright"/>
              <w:rPr>
                <w:bCs/>
                <w:color w:val="000000"/>
              </w:rPr>
            </w:pPr>
            <w:r w:rsidRPr="00464DB0">
              <w:rPr>
                <w:color w:val="000000"/>
              </w:rPr>
              <w:t>2,000</w:t>
            </w:r>
          </w:p>
        </w:tc>
      </w:tr>
      <w:tr w:rsidR="004A2DF7" w:rsidRPr="006D2D94" w14:paraId="52414AD8" w14:textId="77777777" w:rsidTr="00370B3A">
        <w:tc>
          <w:tcPr>
            <w:tcW w:w="3398" w:type="dxa"/>
            <w:tcBorders>
              <w:top w:val="single" w:sz="4" w:space="0" w:color="A6A6A6" w:themeColor="accent5"/>
              <w:bottom w:val="single" w:sz="4" w:space="0" w:color="A6A6A6" w:themeColor="accent5"/>
            </w:tcBorders>
            <w:noWrap/>
            <w:vAlign w:val="bottom"/>
          </w:tcPr>
          <w:p w14:paraId="23607536" w14:textId="619FED81" w:rsidR="004A2DF7" w:rsidRPr="006D2D94" w:rsidRDefault="000A0A65">
            <w:pPr>
              <w:pStyle w:val="ARGrantstabletext"/>
              <w:rPr>
                <w:bCs/>
                <w:color w:val="000000"/>
              </w:rPr>
            </w:pPr>
            <w:r w:rsidRPr="00464DB0">
              <w:rPr>
                <w:color w:val="000000"/>
              </w:rPr>
              <w:t>Hopetoun P</w:t>
            </w:r>
            <w:r w:rsidR="00EA7A42">
              <w:rPr>
                <w:color w:val="000000"/>
              </w:rPr>
              <w:t>–</w:t>
            </w:r>
            <w:r w:rsidRPr="00464DB0">
              <w:rPr>
                <w:color w:val="000000"/>
              </w:rPr>
              <w:t>12 College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467D5C0D" w14:textId="4429E0F8" w:rsidR="004A2DF7" w:rsidRPr="006D2D94" w:rsidRDefault="000A0A65">
            <w:pPr>
              <w:pStyle w:val="ARGrantstabletextright"/>
              <w:rPr>
                <w:bCs/>
                <w:color w:val="000000"/>
              </w:rPr>
            </w:pPr>
            <w:r w:rsidRPr="00464DB0">
              <w:rPr>
                <w:color w:val="000000"/>
              </w:rPr>
              <w:t>12,000</w:t>
            </w:r>
          </w:p>
        </w:tc>
      </w:tr>
      <w:tr w:rsidR="004A2DF7" w:rsidRPr="006D2D94" w14:paraId="691047E3" w14:textId="77777777" w:rsidTr="00370B3A">
        <w:tc>
          <w:tcPr>
            <w:tcW w:w="3398" w:type="dxa"/>
            <w:tcBorders>
              <w:top w:val="single" w:sz="4" w:space="0" w:color="A6A6A6" w:themeColor="accent5"/>
            </w:tcBorders>
            <w:noWrap/>
            <w:vAlign w:val="bottom"/>
          </w:tcPr>
          <w:p w14:paraId="2DE11E6E" w14:textId="15A86C8D" w:rsidR="004A2DF7" w:rsidRPr="006D2D94" w:rsidRDefault="000A0A65">
            <w:pPr>
              <w:pStyle w:val="ARGrantstabletext"/>
              <w:rPr>
                <w:bCs/>
                <w:color w:val="000000"/>
              </w:rPr>
            </w:pPr>
            <w:r w:rsidRPr="00464DB0">
              <w:rPr>
                <w:color w:val="000000"/>
              </w:rPr>
              <w:t>Horsham Rural City Council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30593342" w14:textId="79592A9F" w:rsidR="004A2DF7" w:rsidRPr="006D2D94" w:rsidRDefault="000A0A65">
            <w:pPr>
              <w:pStyle w:val="ARGrantstabletextright"/>
              <w:rPr>
                <w:bCs/>
                <w:color w:val="000000"/>
              </w:rPr>
            </w:pPr>
            <w:r w:rsidRPr="00464DB0">
              <w:rPr>
                <w:color w:val="000000"/>
              </w:rPr>
              <w:t>90,251</w:t>
            </w:r>
          </w:p>
        </w:tc>
      </w:tr>
      <w:tr w:rsidR="004A2DF7" w:rsidRPr="006D2D94" w14:paraId="24BDB3FF" w14:textId="77777777" w:rsidTr="00370B3A">
        <w:tc>
          <w:tcPr>
            <w:tcW w:w="3398" w:type="dxa"/>
            <w:noWrap/>
            <w:vAlign w:val="bottom"/>
          </w:tcPr>
          <w:p w14:paraId="30A2B24C" w14:textId="6CC507F3" w:rsidR="004A2DF7" w:rsidRPr="006D2D94" w:rsidRDefault="000A0A65">
            <w:pPr>
              <w:pStyle w:val="ARGrantstabletext"/>
              <w:rPr>
                <w:bCs/>
                <w:color w:val="000000"/>
              </w:rPr>
            </w:pPr>
            <w:r w:rsidRPr="00464DB0">
              <w:rPr>
                <w:color w:val="000000"/>
              </w:rPr>
              <w:t>Hume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C9ED77C" w14:textId="5DCEEE96" w:rsidR="004A2DF7" w:rsidRPr="006D2D94" w:rsidRDefault="000A0A65">
            <w:pPr>
              <w:pStyle w:val="ARGrantstabletextright"/>
              <w:rPr>
                <w:bCs/>
                <w:color w:val="000000"/>
              </w:rPr>
            </w:pPr>
            <w:r w:rsidRPr="00464DB0">
              <w:rPr>
                <w:color w:val="000000"/>
              </w:rPr>
              <w:t>92,000</w:t>
            </w:r>
          </w:p>
        </w:tc>
      </w:tr>
      <w:tr w:rsidR="004A2DF7" w:rsidRPr="006D2D94" w14:paraId="1781C0E2" w14:textId="77777777" w:rsidTr="00370B3A">
        <w:tc>
          <w:tcPr>
            <w:tcW w:w="3398" w:type="dxa"/>
            <w:tcBorders>
              <w:bottom w:val="single" w:sz="4" w:space="0" w:color="A6A6A6" w:themeColor="accent5"/>
            </w:tcBorders>
            <w:noWrap/>
            <w:vAlign w:val="bottom"/>
          </w:tcPr>
          <w:p w14:paraId="1CAF1288" w14:textId="4F6768D2" w:rsidR="004A2DF7" w:rsidRPr="006D2D94" w:rsidRDefault="000A0A65">
            <w:pPr>
              <w:pStyle w:val="ARGrantstabletext"/>
              <w:rPr>
                <w:bCs/>
                <w:color w:val="000000"/>
              </w:rPr>
            </w:pPr>
            <w:r w:rsidRPr="00464DB0">
              <w:rPr>
                <w:color w:val="000000"/>
              </w:rPr>
              <w:t xml:space="preserve">Indian Cultural Association </w:t>
            </w:r>
            <w:r w:rsidR="00EA7A42">
              <w:rPr>
                <w:color w:val="000000"/>
              </w:rPr>
              <w:t>o</w:t>
            </w:r>
            <w:r w:rsidR="00EA7A42" w:rsidRPr="00464DB0">
              <w:rPr>
                <w:color w:val="000000"/>
              </w:rPr>
              <w:t xml:space="preserve">f </w:t>
            </w:r>
            <w:r w:rsidRPr="00464DB0">
              <w:rPr>
                <w:color w:val="000000"/>
              </w:rPr>
              <w:t>Australia</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0366BD88" w14:textId="3508EB61" w:rsidR="004A2DF7" w:rsidRPr="006D2D94" w:rsidRDefault="000A0A65">
            <w:pPr>
              <w:pStyle w:val="ARGrantstabletextright"/>
              <w:rPr>
                <w:bCs/>
                <w:color w:val="000000"/>
              </w:rPr>
            </w:pPr>
            <w:r w:rsidRPr="00464DB0">
              <w:rPr>
                <w:color w:val="000000"/>
              </w:rPr>
              <w:t>2,000</w:t>
            </w:r>
          </w:p>
        </w:tc>
      </w:tr>
      <w:tr w:rsidR="004A2DF7" w:rsidRPr="006D2D94" w14:paraId="45410920" w14:textId="77777777" w:rsidTr="00370B3A">
        <w:tc>
          <w:tcPr>
            <w:tcW w:w="3398" w:type="dxa"/>
            <w:tcBorders>
              <w:top w:val="single" w:sz="4" w:space="0" w:color="A6A6A6" w:themeColor="accent5"/>
              <w:bottom w:val="single" w:sz="4" w:space="0" w:color="A6A6A6" w:themeColor="accent5"/>
            </w:tcBorders>
            <w:noWrap/>
            <w:vAlign w:val="bottom"/>
          </w:tcPr>
          <w:p w14:paraId="67D15399" w14:textId="323AB63D" w:rsidR="004A2DF7" w:rsidRPr="006D2D94" w:rsidRDefault="000A0A65">
            <w:pPr>
              <w:pStyle w:val="ARGrantstabletext"/>
              <w:rPr>
                <w:bCs/>
                <w:color w:val="000000"/>
              </w:rPr>
            </w:pPr>
            <w:r w:rsidRPr="00464DB0">
              <w:rPr>
                <w:color w:val="000000"/>
              </w:rPr>
              <w:t>Indigo Shire Council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648108F2" w14:textId="116E1F60" w:rsidR="004A2DF7" w:rsidRPr="006D2D94" w:rsidRDefault="000A0A65">
            <w:pPr>
              <w:pStyle w:val="ARGrantstabletextright"/>
              <w:rPr>
                <w:bCs/>
                <w:color w:val="000000"/>
              </w:rPr>
            </w:pPr>
            <w:r w:rsidRPr="00464DB0">
              <w:rPr>
                <w:color w:val="000000"/>
              </w:rPr>
              <w:t>62,750</w:t>
            </w:r>
          </w:p>
        </w:tc>
      </w:tr>
      <w:tr w:rsidR="004A2DF7" w:rsidRPr="006D2D94" w14:paraId="5B6E39A5" w14:textId="77777777" w:rsidTr="00370B3A">
        <w:tc>
          <w:tcPr>
            <w:tcW w:w="3398" w:type="dxa"/>
            <w:tcBorders>
              <w:top w:val="single" w:sz="4" w:space="0" w:color="A6A6A6" w:themeColor="accent5"/>
            </w:tcBorders>
            <w:noWrap/>
            <w:vAlign w:val="bottom"/>
          </w:tcPr>
          <w:p w14:paraId="6B07E8F7" w14:textId="4D2D1CE6" w:rsidR="004A2DF7" w:rsidRPr="006D2D94" w:rsidRDefault="000A0A65">
            <w:pPr>
              <w:pStyle w:val="ARGrantstabletext"/>
              <w:rPr>
                <w:bCs/>
                <w:color w:val="000000"/>
              </w:rPr>
            </w:pPr>
            <w:r w:rsidRPr="00464DB0">
              <w:rPr>
                <w:color w:val="000000"/>
              </w:rPr>
              <w:t xml:space="preserve">Karuna Compassion </w:t>
            </w:r>
            <w:proofErr w:type="gramStart"/>
            <w:r w:rsidRPr="00464DB0">
              <w:rPr>
                <w:color w:val="000000"/>
              </w:rPr>
              <w:t>In</w:t>
            </w:r>
            <w:proofErr w:type="gramEnd"/>
            <w:r w:rsidRPr="00464DB0">
              <w:rPr>
                <w:color w:val="000000"/>
              </w:rPr>
              <w:t xml:space="preserve"> Action </w:t>
            </w:r>
            <w:r w:rsidR="00EA7A42" w:rsidRPr="00464DB0">
              <w:rPr>
                <w:color w:val="000000"/>
              </w:rPr>
              <w:t>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29812B7E" w14:textId="165525F5" w:rsidR="004A2DF7" w:rsidRPr="006D2D94" w:rsidRDefault="000A0A65">
            <w:pPr>
              <w:pStyle w:val="ARGrantstabletextright"/>
              <w:rPr>
                <w:bCs/>
                <w:color w:val="000000"/>
              </w:rPr>
            </w:pPr>
            <w:r w:rsidRPr="00464DB0">
              <w:rPr>
                <w:color w:val="000000"/>
              </w:rPr>
              <w:t>2,000</w:t>
            </w:r>
          </w:p>
        </w:tc>
      </w:tr>
      <w:tr w:rsidR="004A2DF7" w:rsidRPr="006D2D94" w14:paraId="365CCF73" w14:textId="77777777" w:rsidTr="00370B3A">
        <w:tc>
          <w:tcPr>
            <w:tcW w:w="3398" w:type="dxa"/>
            <w:noWrap/>
            <w:vAlign w:val="bottom"/>
          </w:tcPr>
          <w:p w14:paraId="2EA6439D" w14:textId="56BA90E0" w:rsidR="004A2DF7" w:rsidRPr="006D2D94" w:rsidRDefault="000A0A65">
            <w:pPr>
              <w:pStyle w:val="ARGrantstabletext"/>
              <w:rPr>
                <w:bCs/>
                <w:color w:val="000000"/>
              </w:rPr>
            </w:pPr>
            <w:r w:rsidRPr="00464DB0">
              <w:rPr>
                <w:color w:val="000000"/>
              </w:rPr>
              <w:t xml:space="preserve">Kashmiri Pandits Cultural Association (KPCA) </w:t>
            </w:r>
            <w:r w:rsidR="00EA7A42">
              <w:rPr>
                <w:color w:val="000000"/>
              </w:rPr>
              <w:t>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B7C9B41" w14:textId="52C3064D" w:rsidR="004A2DF7" w:rsidRPr="006D2D94" w:rsidRDefault="000A0A65">
            <w:pPr>
              <w:pStyle w:val="ARGrantstabletextright"/>
              <w:rPr>
                <w:bCs/>
                <w:color w:val="000000"/>
              </w:rPr>
            </w:pPr>
            <w:r w:rsidRPr="00464DB0">
              <w:rPr>
                <w:color w:val="000000"/>
              </w:rPr>
              <w:t>2,000</w:t>
            </w:r>
          </w:p>
        </w:tc>
      </w:tr>
      <w:tr w:rsidR="004A2DF7" w:rsidRPr="006D2D94" w14:paraId="67202D9D" w14:textId="77777777" w:rsidTr="00370B3A">
        <w:tc>
          <w:tcPr>
            <w:tcW w:w="3398" w:type="dxa"/>
            <w:tcBorders>
              <w:bottom w:val="single" w:sz="4" w:space="0" w:color="A6A6A6" w:themeColor="accent5"/>
            </w:tcBorders>
            <w:noWrap/>
            <w:vAlign w:val="bottom"/>
          </w:tcPr>
          <w:p w14:paraId="218F4985" w14:textId="1ED5A3CC" w:rsidR="004A2DF7" w:rsidRPr="006D2D94" w:rsidRDefault="000A0A65">
            <w:pPr>
              <w:pStyle w:val="ARGrantstabletext"/>
              <w:rPr>
                <w:bCs/>
                <w:color w:val="000000"/>
              </w:rPr>
            </w:pPr>
            <w:r w:rsidRPr="00464DB0">
              <w:rPr>
                <w:color w:val="000000"/>
              </w:rPr>
              <w:t>Keilor Downs College</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11042586" w14:textId="04F98B33" w:rsidR="004A2DF7" w:rsidRPr="006D2D94" w:rsidRDefault="000A0A65">
            <w:pPr>
              <w:pStyle w:val="ARGrantstabletextright"/>
              <w:rPr>
                <w:bCs/>
                <w:color w:val="000000"/>
              </w:rPr>
            </w:pPr>
            <w:r w:rsidRPr="00464DB0">
              <w:rPr>
                <w:color w:val="000000"/>
              </w:rPr>
              <w:t>12,000</w:t>
            </w:r>
          </w:p>
        </w:tc>
      </w:tr>
      <w:tr w:rsidR="004A2DF7" w:rsidRPr="006D2D94" w14:paraId="06855A29" w14:textId="77777777" w:rsidTr="00370B3A">
        <w:tc>
          <w:tcPr>
            <w:tcW w:w="3398" w:type="dxa"/>
            <w:tcBorders>
              <w:top w:val="single" w:sz="4" w:space="0" w:color="A6A6A6" w:themeColor="accent5"/>
              <w:bottom w:val="single" w:sz="4" w:space="0" w:color="A6A6A6" w:themeColor="accent5"/>
            </w:tcBorders>
            <w:noWrap/>
            <w:vAlign w:val="bottom"/>
          </w:tcPr>
          <w:p w14:paraId="5882D91E" w14:textId="7D21DDEB" w:rsidR="004A2DF7" w:rsidRPr="006D2D94" w:rsidRDefault="000A0A65">
            <w:pPr>
              <w:pStyle w:val="ARGrantstabletext"/>
              <w:rPr>
                <w:bCs/>
                <w:color w:val="000000"/>
              </w:rPr>
            </w:pPr>
            <w:r w:rsidRPr="00464DB0">
              <w:rPr>
                <w:color w:val="000000"/>
              </w:rPr>
              <w:t>Khalsa Education Society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2ED0421F" w14:textId="503EC553" w:rsidR="004A2DF7" w:rsidRPr="006D2D94" w:rsidRDefault="000A0A65">
            <w:pPr>
              <w:pStyle w:val="ARGrantstabletextright"/>
              <w:rPr>
                <w:bCs/>
                <w:color w:val="000000"/>
              </w:rPr>
            </w:pPr>
            <w:r w:rsidRPr="00464DB0">
              <w:rPr>
                <w:color w:val="000000"/>
              </w:rPr>
              <w:t>2,000</w:t>
            </w:r>
          </w:p>
        </w:tc>
      </w:tr>
      <w:tr w:rsidR="004A2DF7" w:rsidRPr="006D2D94" w14:paraId="73B5855D" w14:textId="77777777" w:rsidTr="00370B3A">
        <w:tc>
          <w:tcPr>
            <w:tcW w:w="3398" w:type="dxa"/>
            <w:tcBorders>
              <w:top w:val="single" w:sz="4" w:space="0" w:color="A6A6A6" w:themeColor="accent5"/>
            </w:tcBorders>
            <w:noWrap/>
            <w:vAlign w:val="bottom"/>
          </w:tcPr>
          <w:p w14:paraId="44E08187" w14:textId="1324F213" w:rsidR="004A2DF7" w:rsidRPr="006D2D94" w:rsidRDefault="000A0A65">
            <w:pPr>
              <w:pStyle w:val="ARGrantstabletext"/>
              <w:rPr>
                <w:bCs/>
                <w:color w:val="000000"/>
              </w:rPr>
            </w:pPr>
            <w:r w:rsidRPr="00464DB0">
              <w:rPr>
                <w:color w:val="000000"/>
              </w:rPr>
              <w:t>Kingston City Council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73D5FF71" w14:textId="0B676C1E" w:rsidR="004A2DF7" w:rsidRPr="006D2D94" w:rsidRDefault="000A0A65">
            <w:pPr>
              <w:pStyle w:val="ARGrantstabletextright"/>
              <w:rPr>
                <w:bCs/>
                <w:color w:val="000000"/>
              </w:rPr>
            </w:pPr>
            <w:r w:rsidRPr="00464DB0">
              <w:rPr>
                <w:color w:val="000000"/>
              </w:rPr>
              <w:t>40,000</w:t>
            </w:r>
          </w:p>
        </w:tc>
      </w:tr>
      <w:tr w:rsidR="004A2DF7" w:rsidRPr="006D2D94" w14:paraId="419245C1" w14:textId="77777777" w:rsidTr="00370B3A">
        <w:tc>
          <w:tcPr>
            <w:tcW w:w="3398" w:type="dxa"/>
            <w:noWrap/>
            <w:vAlign w:val="bottom"/>
          </w:tcPr>
          <w:p w14:paraId="15CA2F9B" w14:textId="19AB6AA1" w:rsidR="004A2DF7" w:rsidRPr="006D2D94" w:rsidRDefault="000A0A65">
            <w:pPr>
              <w:pStyle w:val="ARGrantstabletext"/>
              <w:rPr>
                <w:bCs/>
                <w:color w:val="000000"/>
              </w:rPr>
            </w:pPr>
            <w:r w:rsidRPr="00464DB0">
              <w:rPr>
                <w:color w:val="000000"/>
              </w:rPr>
              <w:t>Know Your Roots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89119AA" w14:textId="60267103" w:rsidR="004A2DF7" w:rsidRPr="006D2D94" w:rsidRDefault="000A0A65">
            <w:pPr>
              <w:pStyle w:val="ARGrantstabletextright"/>
              <w:rPr>
                <w:bCs/>
                <w:color w:val="000000"/>
              </w:rPr>
            </w:pPr>
            <w:r w:rsidRPr="00464DB0">
              <w:rPr>
                <w:color w:val="000000"/>
              </w:rPr>
              <w:t>17,750</w:t>
            </w:r>
          </w:p>
        </w:tc>
      </w:tr>
      <w:tr w:rsidR="004A2DF7" w:rsidRPr="006D2D94" w14:paraId="643E204D" w14:textId="77777777" w:rsidTr="00370B3A">
        <w:tc>
          <w:tcPr>
            <w:tcW w:w="3398" w:type="dxa"/>
            <w:noWrap/>
            <w:vAlign w:val="bottom"/>
          </w:tcPr>
          <w:p w14:paraId="238AE364" w14:textId="3DCA67B7" w:rsidR="004A2DF7" w:rsidRPr="006D2D94" w:rsidRDefault="000A0A65">
            <w:pPr>
              <w:pStyle w:val="ARGrantstabletext"/>
              <w:rPr>
                <w:bCs/>
                <w:color w:val="000000"/>
              </w:rPr>
            </w:pPr>
            <w:r w:rsidRPr="00464DB0">
              <w:rPr>
                <w:color w:val="000000"/>
              </w:rPr>
              <w:t>Knox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2424AD9" w14:textId="18F9B957" w:rsidR="004A2DF7" w:rsidRPr="006D2D94" w:rsidRDefault="000A0A65">
            <w:pPr>
              <w:pStyle w:val="ARGrantstabletextright"/>
              <w:rPr>
                <w:bCs/>
                <w:color w:val="000000"/>
              </w:rPr>
            </w:pPr>
            <w:r w:rsidRPr="00464DB0">
              <w:rPr>
                <w:color w:val="000000"/>
              </w:rPr>
              <w:t>36,250</w:t>
            </w:r>
          </w:p>
        </w:tc>
      </w:tr>
      <w:tr w:rsidR="004A2DF7" w:rsidRPr="006D2D94" w14:paraId="3AE7875D" w14:textId="77777777" w:rsidTr="00370B3A">
        <w:tc>
          <w:tcPr>
            <w:tcW w:w="3398" w:type="dxa"/>
            <w:noWrap/>
            <w:vAlign w:val="bottom"/>
          </w:tcPr>
          <w:p w14:paraId="3E6A1007" w14:textId="4E54BBBD" w:rsidR="004A2DF7" w:rsidRPr="006D2D94" w:rsidRDefault="000A0A65">
            <w:pPr>
              <w:pStyle w:val="ARGrantstabletext"/>
              <w:rPr>
                <w:bCs/>
                <w:color w:val="000000"/>
              </w:rPr>
            </w:pPr>
            <w:r w:rsidRPr="00464DB0">
              <w:rPr>
                <w:color w:val="000000"/>
              </w:rPr>
              <w:t xml:space="preserve">Knox City Council </w:t>
            </w:r>
            <w:r w:rsidR="00EA7A42">
              <w:rPr>
                <w:color w:val="000000"/>
              </w:rPr>
              <w:t>–</w:t>
            </w:r>
            <w:r w:rsidR="00EA7A42" w:rsidRPr="00464DB0">
              <w:rPr>
                <w:color w:val="000000"/>
              </w:rPr>
              <w:t xml:space="preserve"> </w:t>
            </w:r>
            <w:r w:rsidRPr="00464DB0">
              <w:rPr>
                <w:color w:val="000000"/>
              </w:rPr>
              <w:t>Youth Services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5F59F28" w14:textId="4766928F" w:rsidR="004A2DF7" w:rsidRPr="006D2D94" w:rsidRDefault="000A0A65">
            <w:pPr>
              <w:pStyle w:val="ARGrantstabletextright"/>
              <w:rPr>
                <w:bCs/>
                <w:color w:val="000000"/>
              </w:rPr>
            </w:pPr>
            <w:r w:rsidRPr="00464DB0">
              <w:rPr>
                <w:color w:val="000000"/>
              </w:rPr>
              <w:t>25,000</w:t>
            </w:r>
          </w:p>
        </w:tc>
      </w:tr>
      <w:tr w:rsidR="004A2DF7" w:rsidRPr="006D2D94" w14:paraId="00CAD652" w14:textId="77777777" w:rsidTr="00370B3A">
        <w:tc>
          <w:tcPr>
            <w:tcW w:w="3398" w:type="dxa"/>
            <w:noWrap/>
            <w:vAlign w:val="bottom"/>
          </w:tcPr>
          <w:p w14:paraId="5F40DFB6" w14:textId="451147E6" w:rsidR="004A2DF7" w:rsidRPr="006D2D94" w:rsidRDefault="000A0A65">
            <w:pPr>
              <w:pStyle w:val="ARGrantstabletext"/>
              <w:rPr>
                <w:bCs/>
                <w:color w:val="000000"/>
              </w:rPr>
            </w:pPr>
            <w:r w:rsidRPr="00464DB0">
              <w:rPr>
                <w:color w:val="000000"/>
              </w:rPr>
              <w:t>Koorie Youth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6D33CA8" w14:textId="43001520" w:rsidR="004A2DF7" w:rsidRPr="006D2D94" w:rsidRDefault="000A0A65">
            <w:pPr>
              <w:pStyle w:val="ARGrantstabletextright"/>
              <w:rPr>
                <w:bCs/>
                <w:color w:val="000000"/>
              </w:rPr>
            </w:pPr>
            <w:r w:rsidRPr="00464DB0">
              <w:rPr>
                <w:color w:val="000000"/>
              </w:rPr>
              <w:t>464,000</w:t>
            </w:r>
          </w:p>
        </w:tc>
      </w:tr>
      <w:tr w:rsidR="004A2DF7" w:rsidRPr="006D2D94" w14:paraId="286506C9" w14:textId="77777777" w:rsidTr="00F90BC7">
        <w:tc>
          <w:tcPr>
            <w:tcW w:w="3398" w:type="dxa"/>
            <w:tcBorders>
              <w:bottom w:val="single" w:sz="4" w:space="0" w:color="A6A6A6" w:themeColor="accent5"/>
            </w:tcBorders>
            <w:noWrap/>
            <w:vAlign w:val="bottom"/>
          </w:tcPr>
          <w:p w14:paraId="008CC0BD" w14:textId="75374CE8" w:rsidR="004A2DF7" w:rsidRPr="006D2D94" w:rsidRDefault="000A0A65">
            <w:pPr>
              <w:pStyle w:val="ARGrantstabletext"/>
              <w:rPr>
                <w:bCs/>
                <w:color w:val="000000"/>
              </w:rPr>
            </w:pPr>
            <w:r w:rsidRPr="00464DB0">
              <w:rPr>
                <w:color w:val="000000"/>
              </w:rPr>
              <w:t>Kyneton Community House</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32CAC7F0" w14:textId="658E49C7" w:rsidR="004A2DF7" w:rsidRPr="006D2D94" w:rsidRDefault="000A0A65">
            <w:pPr>
              <w:pStyle w:val="ARGrantstabletextright"/>
              <w:rPr>
                <w:bCs/>
                <w:color w:val="000000"/>
              </w:rPr>
            </w:pPr>
            <w:r w:rsidRPr="00464DB0">
              <w:rPr>
                <w:color w:val="000000"/>
              </w:rPr>
              <w:t>25,000</w:t>
            </w:r>
          </w:p>
        </w:tc>
      </w:tr>
      <w:tr w:rsidR="004A2DF7" w:rsidRPr="006D2D94" w14:paraId="665D71DB" w14:textId="77777777" w:rsidTr="00F90BC7">
        <w:tc>
          <w:tcPr>
            <w:tcW w:w="3398" w:type="dxa"/>
            <w:tcBorders>
              <w:top w:val="single" w:sz="4" w:space="0" w:color="A6A6A6" w:themeColor="accent5"/>
              <w:bottom w:val="single" w:sz="4" w:space="0" w:color="A6A6A6" w:themeColor="accent5"/>
            </w:tcBorders>
            <w:noWrap/>
            <w:vAlign w:val="bottom"/>
          </w:tcPr>
          <w:p w14:paraId="46C207E0" w14:textId="1EB14DE8" w:rsidR="004A2DF7" w:rsidRPr="006D2D94" w:rsidRDefault="000A0A65">
            <w:pPr>
              <w:pStyle w:val="ARGrantstabletext"/>
              <w:rPr>
                <w:bCs/>
                <w:color w:val="000000"/>
              </w:rPr>
            </w:pPr>
            <w:r w:rsidRPr="00464DB0">
              <w:rPr>
                <w:color w:val="000000"/>
              </w:rPr>
              <w:t>Lalor North Secondary College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1CB4FD13" w14:textId="1306855E" w:rsidR="004A2DF7" w:rsidRPr="006D2D94" w:rsidRDefault="000A0A65">
            <w:pPr>
              <w:pStyle w:val="ARGrantstabletextright"/>
              <w:rPr>
                <w:bCs/>
                <w:color w:val="000000"/>
              </w:rPr>
            </w:pPr>
            <w:r w:rsidRPr="00464DB0">
              <w:rPr>
                <w:color w:val="000000"/>
              </w:rPr>
              <w:t>9,800</w:t>
            </w:r>
          </w:p>
        </w:tc>
      </w:tr>
      <w:tr w:rsidR="004A2DF7" w:rsidRPr="006D2D94" w14:paraId="09A494F8" w14:textId="77777777" w:rsidTr="00F90BC7">
        <w:tc>
          <w:tcPr>
            <w:tcW w:w="3398" w:type="dxa"/>
            <w:tcBorders>
              <w:top w:val="single" w:sz="4" w:space="0" w:color="A6A6A6" w:themeColor="accent5"/>
            </w:tcBorders>
            <w:noWrap/>
            <w:vAlign w:val="bottom"/>
          </w:tcPr>
          <w:p w14:paraId="29E5C1FD" w14:textId="7C371095" w:rsidR="004A2DF7" w:rsidRPr="006D2D94" w:rsidRDefault="000A0A65">
            <w:pPr>
              <w:pStyle w:val="ARGrantstabletext"/>
              <w:rPr>
                <w:bCs/>
                <w:color w:val="000000"/>
              </w:rPr>
            </w:pPr>
            <w:r w:rsidRPr="00464DB0">
              <w:rPr>
                <w:color w:val="000000"/>
              </w:rPr>
              <w:t>Launch Housing</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6E4FE22C" w14:textId="67840F20" w:rsidR="004A2DF7" w:rsidRPr="006D2D94" w:rsidRDefault="000A0A65">
            <w:pPr>
              <w:pStyle w:val="ARGrantstabletextright"/>
              <w:rPr>
                <w:bCs/>
                <w:color w:val="000000"/>
              </w:rPr>
            </w:pPr>
            <w:r w:rsidRPr="00464DB0">
              <w:rPr>
                <w:color w:val="000000"/>
              </w:rPr>
              <w:t>15,000</w:t>
            </w:r>
          </w:p>
        </w:tc>
      </w:tr>
      <w:tr w:rsidR="004A2DF7" w:rsidRPr="006D2D94" w14:paraId="372E715A" w14:textId="77777777" w:rsidTr="00370B3A">
        <w:tc>
          <w:tcPr>
            <w:tcW w:w="3398" w:type="dxa"/>
            <w:noWrap/>
            <w:vAlign w:val="bottom"/>
          </w:tcPr>
          <w:p w14:paraId="09F39FA0" w14:textId="50452726" w:rsidR="004A2DF7" w:rsidRPr="006D2D94" w:rsidRDefault="000A0A65">
            <w:pPr>
              <w:pStyle w:val="ARGrantstabletext"/>
              <w:rPr>
                <w:bCs/>
                <w:color w:val="000000"/>
              </w:rPr>
            </w:pPr>
            <w:r w:rsidRPr="00464DB0">
              <w:rPr>
                <w:color w:val="000000"/>
              </w:rPr>
              <w:t>Liberty Unity Organisation Life Global Foundation Australia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23F7312" w14:textId="07FBC58F" w:rsidR="004A2DF7" w:rsidRPr="006D2D94" w:rsidRDefault="000A0A65">
            <w:pPr>
              <w:pStyle w:val="ARGrantstabletextright"/>
              <w:rPr>
                <w:bCs/>
                <w:color w:val="000000"/>
              </w:rPr>
            </w:pPr>
            <w:r w:rsidRPr="00464DB0">
              <w:rPr>
                <w:color w:val="000000"/>
              </w:rPr>
              <w:t>2,000</w:t>
            </w:r>
          </w:p>
        </w:tc>
      </w:tr>
      <w:tr w:rsidR="004A2DF7" w:rsidRPr="006D2D94" w14:paraId="0768F59B" w14:textId="77777777" w:rsidTr="00370B3A">
        <w:tc>
          <w:tcPr>
            <w:tcW w:w="3398" w:type="dxa"/>
            <w:noWrap/>
            <w:vAlign w:val="bottom"/>
          </w:tcPr>
          <w:p w14:paraId="0BBF4E2F" w14:textId="60D6AFE0" w:rsidR="004A2DF7" w:rsidRPr="006D2D94" w:rsidRDefault="000A0A65">
            <w:pPr>
              <w:pStyle w:val="ARGrantstabletext"/>
              <w:rPr>
                <w:bCs/>
                <w:color w:val="000000"/>
              </w:rPr>
            </w:pPr>
            <w:r w:rsidRPr="00464DB0">
              <w:rPr>
                <w:color w:val="000000"/>
              </w:rPr>
              <w:t>Linden New Art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527154D" w14:textId="272615AB" w:rsidR="004A2DF7" w:rsidRPr="006D2D94" w:rsidRDefault="000A0A65">
            <w:pPr>
              <w:pStyle w:val="ARGrantstabletextright"/>
              <w:rPr>
                <w:bCs/>
                <w:color w:val="000000"/>
              </w:rPr>
            </w:pPr>
            <w:r w:rsidRPr="00464DB0">
              <w:rPr>
                <w:color w:val="000000"/>
              </w:rPr>
              <w:t>2,000</w:t>
            </w:r>
          </w:p>
        </w:tc>
      </w:tr>
      <w:tr w:rsidR="004A2DF7" w:rsidRPr="006D2D94" w14:paraId="20E93A81" w14:textId="77777777" w:rsidTr="00370B3A">
        <w:tc>
          <w:tcPr>
            <w:tcW w:w="3398" w:type="dxa"/>
            <w:noWrap/>
            <w:vAlign w:val="bottom"/>
          </w:tcPr>
          <w:p w14:paraId="60A2EB7C" w14:textId="7B1A0D2C" w:rsidR="004A2DF7" w:rsidRPr="006D2D94" w:rsidRDefault="000A0A65">
            <w:pPr>
              <w:pStyle w:val="ARGrantstabletext"/>
              <w:rPr>
                <w:bCs/>
                <w:color w:val="000000"/>
              </w:rPr>
            </w:pPr>
            <w:r w:rsidRPr="00464DB0">
              <w:rPr>
                <w:color w:val="000000"/>
              </w:rPr>
              <w:t>LINE Wangaratta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530EC61" w14:textId="317838D6" w:rsidR="004A2DF7" w:rsidRPr="006D2D94" w:rsidRDefault="000A0A65">
            <w:pPr>
              <w:pStyle w:val="ARGrantstabletextright"/>
              <w:rPr>
                <w:bCs/>
                <w:color w:val="000000"/>
              </w:rPr>
            </w:pPr>
            <w:r w:rsidRPr="00464DB0">
              <w:rPr>
                <w:color w:val="000000"/>
              </w:rPr>
              <w:t>2,000</w:t>
            </w:r>
          </w:p>
        </w:tc>
      </w:tr>
      <w:tr w:rsidR="004A2DF7" w:rsidRPr="006D2D94" w14:paraId="5F992134" w14:textId="77777777" w:rsidTr="00370B3A">
        <w:tc>
          <w:tcPr>
            <w:tcW w:w="3398" w:type="dxa"/>
            <w:noWrap/>
            <w:vAlign w:val="bottom"/>
          </w:tcPr>
          <w:p w14:paraId="2E76249B" w14:textId="23B31DC0" w:rsidR="004A2DF7" w:rsidRPr="006D2D94" w:rsidRDefault="000A0A65">
            <w:pPr>
              <w:pStyle w:val="ARGrantstabletext"/>
              <w:rPr>
                <w:bCs/>
                <w:color w:val="000000"/>
              </w:rPr>
            </w:pPr>
            <w:r w:rsidRPr="00464DB0">
              <w:rPr>
                <w:color w:val="000000"/>
              </w:rPr>
              <w:t>Little Dreamers Australia Co</w:t>
            </w:r>
            <w:r w:rsidR="00EA7A42">
              <w:rPr>
                <w:color w:val="000000"/>
              </w:rPr>
              <w:t>.</w:t>
            </w:r>
            <w:r w:rsidRPr="00464DB0">
              <w:rPr>
                <w:color w:val="000000"/>
              </w:rPr>
              <w:t xml:space="preserve">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5671B90" w14:textId="04AE0CD7" w:rsidR="004A2DF7" w:rsidRPr="006D2D94" w:rsidRDefault="000A0A65">
            <w:pPr>
              <w:pStyle w:val="ARGrantstabletextright"/>
              <w:rPr>
                <w:bCs/>
                <w:color w:val="000000"/>
              </w:rPr>
            </w:pPr>
            <w:r w:rsidRPr="00464DB0">
              <w:rPr>
                <w:color w:val="000000"/>
              </w:rPr>
              <w:t>65,000</w:t>
            </w:r>
          </w:p>
        </w:tc>
      </w:tr>
      <w:tr w:rsidR="004A2DF7" w:rsidRPr="006D2D94" w14:paraId="58E609BB" w14:textId="77777777" w:rsidTr="00370B3A">
        <w:tc>
          <w:tcPr>
            <w:tcW w:w="3398" w:type="dxa"/>
            <w:noWrap/>
            <w:vAlign w:val="bottom"/>
          </w:tcPr>
          <w:p w14:paraId="109BA315" w14:textId="242F5392" w:rsidR="004A2DF7" w:rsidRPr="006D2D94" w:rsidRDefault="000A0A65">
            <w:pPr>
              <w:pStyle w:val="ARGrantstabletext"/>
              <w:rPr>
                <w:bCs/>
                <w:color w:val="000000"/>
              </w:rPr>
            </w:pPr>
            <w:r w:rsidRPr="00464DB0">
              <w:rPr>
                <w:color w:val="000000"/>
              </w:rPr>
              <w:t>Macedon Ranges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DCC1247" w14:textId="46A5DC1C" w:rsidR="004A2DF7" w:rsidRPr="006D2D94" w:rsidRDefault="000A0A65">
            <w:pPr>
              <w:pStyle w:val="ARGrantstabletextright"/>
              <w:rPr>
                <w:bCs/>
                <w:color w:val="000000"/>
              </w:rPr>
            </w:pPr>
            <w:r w:rsidRPr="00464DB0">
              <w:rPr>
                <w:color w:val="000000"/>
              </w:rPr>
              <w:t>88,750</w:t>
            </w:r>
          </w:p>
        </w:tc>
      </w:tr>
      <w:tr w:rsidR="004A2DF7" w:rsidRPr="006D2D94" w14:paraId="0780B772" w14:textId="77777777" w:rsidTr="00370B3A">
        <w:tc>
          <w:tcPr>
            <w:tcW w:w="3398" w:type="dxa"/>
            <w:noWrap/>
            <w:vAlign w:val="bottom"/>
          </w:tcPr>
          <w:p w14:paraId="0C101FE8" w14:textId="110FB978" w:rsidR="004A2DF7" w:rsidRPr="006D2D94" w:rsidRDefault="000A0A65">
            <w:pPr>
              <w:pStyle w:val="ARGrantstabletext"/>
              <w:rPr>
                <w:bCs/>
                <w:color w:val="000000"/>
              </w:rPr>
            </w:pPr>
            <w:r w:rsidRPr="00464DB0">
              <w:rPr>
                <w:color w:val="000000"/>
              </w:rPr>
              <w:t>Mallee Sports Assembly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1A4BA02" w14:textId="068729F5" w:rsidR="004A2DF7" w:rsidRPr="006D2D94" w:rsidRDefault="000A0A65">
            <w:pPr>
              <w:pStyle w:val="ARGrantstabletextright"/>
              <w:rPr>
                <w:bCs/>
                <w:color w:val="000000"/>
              </w:rPr>
            </w:pPr>
            <w:r w:rsidRPr="00464DB0">
              <w:rPr>
                <w:color w:val="000000"/>
              </w:rPr>
              <w:t>2,000</w:t>
            </w:r>
          </w:p>
        </w:tc>
      </w:tr>
      <w:tr w:rsidR="004A2DF7" w:rsidRPr="006D2D94" w14:paraId="45EC6B8A" w14:textId="77777777" w:rsidTr="00370B3A">
        <w:tc>
          <w:tcPr>
            <w:tcW w:w="3398" w:type="dxa"/>
            <w:noWrap/>
            <w:vAlign w:val="bottom"/>
          </w:tcPr>
          <w:p w14:paraId="700A4649" w14:textId="0A614D63" w:rsidR="004A2DF7" w:rsidRPr="006D2D94" w:rsidRDefault="000A0A65">
            <w:pPr>
              <w:pStyle w:val="ARGrantstabletext"/>
              <w:rPr>
                <w:bCs/>
                <w:color w:val="000000"/>
              </w:rPr>
            </w:pPr>
            <w:r w:rsidRPr="00464DB0">
              <w:rPr>
                <w:color w:val="000000"/>
              </w:rPr>
              <w:t>Mansfield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5374F5C" w14:textId="51E276FA" w:rsidR="004A2DF7" w:rsidRPr="006D2D94" w:rsidRDefault="000A0A65">
            <w:pPr>
              <w:pStyle w:val="ARGrantstabletextright"/>
              <w:rPr>
                <w:bCs/>
                <w:color w:val="000000"/>
              </w:rPr>
            </w:pPr>
            <w:r w:rsidRPr="00464DB0">
              <w:rPr>
                <w:color w:val="000000"/>
              </w:rPr>
              <w:t>85,584</w:t>
            </w:r>
          </w:p>
        </w:tc>
      </w:tr>
      <w:tr w:rsidR="004A2DF7" w:rsidRPr="006D2D94" w14:paraId="3D113C7F" w14:textId="77777777" w:rsidTr="00370B3A">
        <w:tc>
          <w:tcPr>
            <w:tcW w:w="3398" w:type="dxa"/>
            <w:noWrap/>
            <w:vAlign w:val="bottom"/>
          </w:tcPr>
          <w:p w14:paraId="19E67549" w14:textId="6BDDC947" w:rsidR="004A2DF7" w:rsidRPr="006D2D94" w:rsidRDefault="000A0A65">
            <w:pPr>
              <w:pStyle w:val="ARGrantstabletext"/>
              <w:rPr>
                <w:bCs/>
                <w:color w:val="000000"/>
              </w:rPr>
            </w:pPr>
            <w:r w:rsidRPr="00464DB0">
              <w:rPr>
                <w:color w:val="000000"/>
              </w:rPr>
              <w:t>Maribyrnong &amp; Moonee Valley Local Learning and Employment Network</w:t>
            </w:r>
            <w:r w:rsidR="004D5DD5">
              <w:rPr>
                <w:color w:val="000000"/>
              </w:rPr>
              <w:t> </w:t>
            </w:r>
            <w:r w:rsidRPr="00464DB0">
              <w:rPr>
                <w:color w:val="000000"/>
              </w:rPr>
              <w:t>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92E376E" w14:textId="7A341B52" w:rsidR="004A2DF7" w:rsidRPr="006D2D94" w:rsidRDefault="000A0A65">
            <w:pPr>
              <w:pStyle w:val="ARGrantstabletextright"/>
              <w:rPr>
                <w:bCs/>
                <w:color w:val="000000"/>
              </w:rPr>
            </w:pPr>
            <w:r w:rsidRPr="00464DB0">
              <w:rPr>
                <w:color w:val="000000"/>
              </w:rPr>
              <w:t>22,500</w:t>
            </w:r>
          </w:p>
        </w:tc>
      </w:tr>
      <w:tr w:rsidR="004A2DF7" w:rsidRPr="006D2D94" w14:paraId="45D210A8" w14:textId="77777777" w:rsidTr="00370B3A">
        <w:tc>
          <w:tcPr>
            <w:tcW w:w="3398" w:type="dxa"/>
            <w:noWrap/>
            <w:vAlign w:val="bottom"/>
          </w:tcPr>
          <w:p w14:paraId="594A9D31" w14:textId="3C0920C9" w:rsidR="004A2DF7" w:rsidRPr="006D2D94" w:rsidRDefault="000A0A65">
            <w:pPr>
              <w:pStyle w:val="ARGrantstabletext"/>
              <w:rPr>
                <w:bCs/>
                <w:color w:val="000000"/>
              </w:rPr>
            </w:pPr>
            <w:r w:rsidRPr="00464DB0">
              <w:rPr>
                <w:color w:val="000000"/>
              </w:rPr>
              <w:t>Maribyrnong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E7D3E77" w14:textId="453B8C92" w:rsidR="004A2DF7" w:rsidRPr="006D2D94" w:rsidRDefault="000A0A65">
            <w:pPr>
              <w:pStyle w:val="ARGrantstabletextright"/>
              <w:rPr>
                <w:bCs/>
                <w:color w:val="000000"/>
              </w:rPr>
            </w:pPr>
            <w:r w:rsidRPr="00464DB0">
              <w:rPr>
                <w:color w:val="000000"/>
              </w:rPr>
              <w:t>87,500</w:t>
            </w:r>
          </w:p>
        </w:tc>
      </w:tr>
      <w:tr w:rsidR="004A2DF7" w:rsidRPr="006D2D94" w14:paraId="3FB41268" w14:textId="77777777" w:rsidTr="00370B3A">
        <w:tc>
          <w:tcPr>
            <w:tcW w:w="3398" w:type="dxa"/>
            <w:noWrap/>
            <w:vAlign w:val="bottom"/>
          </w:tcPr>
          <w:p w14:paraId="26D5C411" w14:textId="188C96CE" w:rsidR="004A2DF7" w:rsidRPr="006D2D94" w:rsidRDefault="000A0A65">
            <w:pPr>
              <w:pStyle w:val="ARGrantstabletext"/>
              <w:rPr>
                <w:bCs/>
                <w:color w:val="000000"/>
              </w:rPr>
            </w:pPr>
            <w:r w:rsidRPr="00464DB0">
              <w:rPr>
                <w:color w:val="000000"/>
              </w:rPr>
              <w:t>Maroondah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1CF7B24" w14:textId="6482278A" w:rsidR="004A2DF7" w:rsidRPr="006D2D94" w:rsidRDefault="000A0A65">
            <w:pPr>
              <w:pStyle w:val="ARGrantstabletextright"/>
              <w:rPr>
                <w:bCs/>
                <w:color w:val="000000"/>
              </w:rPr>
            </w:pPr>
            <w:r w:rsidRPr="00464DB0">
              <w:rPr>
                <w:color w:val="000000"/>
              </w:rPr>
              <w:t>44,500</w:t>
            </w:r>
          </w:p>
        </w:tc>
      </w:tr>
      <w:tr w:rsidR="004A2DF7" w:rsidRPr="006D2D94" w14:paraId="65FADFDE" w14:textId="77777777" w:rsidTr="00370B3A">
        <w:tc>
          <w:tcPr>
            <w:tcW w:w="3398" w:type="dxa"/>
            <w:noWrap/>
            <w:vAlign w:val="bottom"/>
          </w:tcPr>
          <w:p w14:paraId="7A330335" w14:textId="291ED411" w:rsidR="004A2DF7" w:rsidRPr="006D2D94" w:rsidRDefault="000A0A65">
            <w:pPr>
              <w:pStyle w:val="ARGrantstabletext"/>
              <w:rPr>
                <w:bCs/>
                <w:color w:val="000000"/>
              </w:rPr>
            </w:pPr>
            <w:r w:rsidRPr="00464DB0">
              <w:rPr>
                <w:color w:val="000000"/>
              </w:rPr>
              <w:t>Melbourne Chapter of Vedanta Centre of</w:t>
            </w:r>
            <w:r w:rsidR="00370B3A">
              <w:rPr>
                <w:color w:val="000000"/>
              </w:rPr>
              <w:t> </w:t>
            </w:r>
            <w:r w:rsidRPr="00464DB0">
              <w:rPr>
                <w:color w:val="000000"/>
              </w:rPr>
              <w:t>Sydney</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20F09E2" w14:textId="0AF2A5CC" w:rsidR="004A2DF7" w:rsidRPr="006D2D94" w:rsidRDefault="000A0A65">
            <w:pPr>
              <w:pStyle w:val="ARGrantstabletextright"/>
              <w:rPr>
                <w:bCs/>
                <w:color w:val="000000"/>
              </w:rPr>
            </w:pPr>
            <w:r w:rsidRPr="00464DB0">
              <w:rPr>
                <w:color w:val="000000"/>
              </w:rPr>
              <w:t>2,000</w:t>
            </w:r>
          </w:p>
        </w:tc>
      </w:tr>
      <w:tr w:rsidR="004A2DF7" w:rsidRPr="006D2D94" w14:paraId="30A9E5A3" w14:textId="77777777" w:rsidTr="00370B3A">
        <w:tc>
          <w:tcPr>
            <w:tcW w:w="3398" w:type="dxa"/>
            <w:noWrap/>
            <w:vAlign w:val="bottom"/>
          </w:tcPr>
          <w:p w14:paraId="646B2D66" w14:textId="41B9A9DA" w:rsidR="004A2DF7" w:rsidRPr="006D2D94" w:rsidRDefault="000A0A65">
            <w:pPr>
              <w:pStyle w:val="ARGrantstabletext"/>
              <w:rPr>
                <w:bCs/>
                <w:color w:val="000000"/>
              </w:rPr>
            </w:pPr>
            <w:r w:rsidRPr="00464DB0">
              <w:rPr>
                <w:color w:val="000000"/>
              </w:rPr>
              <w:t>Melbourne Konkan Community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EB99584" w14:textId="3BDB7C45" w:rsidR="004A2DF7" w:rsidRPr="006D2D94" w:rsidRDefault="000A0A65">
            <w:pPr>
              <w:pStyle w:val="ARGrantstabletextright"/>
              <w:rPr>
                <w:bCs/>
                <w:color w:val="000000"/>
              </w:rPr>
            </w:pPr>
            <w:r w:rsidRPr="00464DB0">
              <w:rPr>
                <w:color w:val="000000"/>
              </w:rPr>
              <w:t>2,000</w:t>
            </w:r>
          </w:p>
        </w:tc>
      </w:tr>
      <w:tr w:rsidR="004A2DF7" w:rsidRPr="006D2D94" w14:paraId="789B4FD9" w14:textId="77777777" w:rsidTr="00370B3A">
        <w:tc>
          <w:tcPr>
            <w:tcW w:w="3398" w:type="dxa"/>
            <w:noWrap/>
            <w:vAlign w:val="bottom"/>
          </w:tcPr>
          <w:p w14:paraId="00DB5B49" w14:textId="6E3B3DF4" w:rsidR="004A2DF7" w:rsidRPr="006D2D94" w:rsidRDefault="000A0A65">
            <w:pPr>
              <w:pStyle w:val="ARGrantstabletext"/>
              <w:rPr>
                <w:bCs/>
                <w:color w:val="000000"/>
              </w:rPr>
            </w:pPr>
            <w:r w:rsidRPr="00464DB0">
              <w:rPr>
                <w:color w:val="000000"/>
              </w:rPr>
              <w:t>Melton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A49B46A" w14:textId="71C4A024" w:rsidR="004A2DF7" w:rsidRPr="006D2D94" w:rsidRDefault="000A0A65">
            <w:pPr>
              <w:pStyle w:val="ARGrantstabletextright"/>
              <w:rPr>
                <w:bCs/>
                <w:color w:val="000000"/>
              </w:rPr>
            </w:pPr>
            <w:r w:rsidRPr="00464DB0">
              <w:rPr>
                <w:color w:val="000000"/>
              </w:rPr>
              <w:t>59,500</w:t>
            </w:r>
          </w:p>
        </w:tc>
      </w:tr>
      <w:tr w:rsidR="004A2DF7" w:rsidRPr="006D2D94" w14:paraId="277902E4" w14:textId="77777777" w:rsidTr="00370B3A">
        <w:tc>
          <w:tcPr>
            <w:tcW w:w="3398" w:type="dxa"/>
            <w:noWrap/>
            <w:vAlign w:val="bottom"/>
          </w:tcPr>
          <w:p w14:paraId="7953419F" w14:textId="1F407180" w:rsidR="004A2DF7" w:rsidRPr="006D2D94" w:rsidRDefault="000A0A65">
            <w:pPr>
              <w:pStyle w:val="ARGrantstabletext"/>
              <w:rPr>
                <w:bCs/>
                <w:color w:val="000000"/>
              </w:rPr>
            </w:pPr>
            <w:r w:rsidRPr="00464DB0">
              <w:rPr>
                <w:color w:val="000000"/>
              </w:rPr>
              <w:t xml:space="preserve">Merri Community Health Services Ltd trading as </w:t>
            </w:r>
            <w:proofErr w:type="spellStart"/>
            <w:r w:rsidRPr="00464DB0">
              <w:rPr>
                <w:color w:val="000000"/>
              </w:rPr>
              <w:t>Holstep</w:t>
            </w:r>
            <w:proofErr w:type="spellEnd"/>
            <w:r w:rsidRPr="00464DB0">
              <w:rPr>
                <w:color w:val="000000"/>
              </w:rPr>
              <w:t xml:space="preserve"> Health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A097277" w14:textId="064F0F0D" w:rsidR="004A2DF7" w:rsidRPr="006D2D94" w:rsidRDefault="000A0A65">
            <w:pPr>
              <w:pStyle w:val="ARGrantstabletextright"/>
              <w:rPr>
                <w:bCs/>
                <w:color w:val="000000"/>
              </w:rPr>
            </w:pPr>
            <w:r w:rsidRPr="00464DB0">
              <w:rPr>
                <w:color w:val="000000"/>
              </w:rPr>
              <w:t>578,800</w:t>
            </w:r>
          </w:p>
        </w:tc>
      </w:tr>
      <w:tr w:rsidR="004A2DF7" w:rsidRPr="006D2D94" w14:paraId="68BA0CEE" w14:textId="77777777" w:rsidTr="00370B3A">
        <w:tc>
          <w:tcPr>
            <w:tcW w:w="3398" w:type="dxa"/>
            <w:noWrap/>
            <w:vAlign w:val="bottom"/>
          </w:tcPr>
          <w:p w14:paraId="6870BF7D" w14:textId="22010725" w:rsidR="004A2DF7" w:rsidRPr="006D2D94" w:rsidRDefault="000A0A65">
            <w:pPr>
              <w:pStyle w:val="ARGrantstabletext"/>
              <w:rPr>
                <w:bCs/>
                <w:color w:val="000000"/>
              </w:rPr>
            </w:pPr>
            <w:r w:rsidRPr="00464DB0">
              <w:rPr>
                <w:color w:val="000000"/>
              </w:rPr>
              <w:t>Merri-Bek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86F165F" w14:textId="1C7BCA5F" w:rsidR="004A2DF7" w:rsidRPr="006D2D94" w:rsidRDefault="000A0A65">
            <w:pPr>
              <w:pStyle w:val="ARGrantstabletextright"/>
              <w:rPr>
                <w:bCs/>
                <w:color w:val="000000"/>
              </w:rPr>
            </w:pPr>
            <w:r w:rsidRPr="00464DB0">
              <w:rPr>
                <w:color w:val="000000"/>
              </w:rPr>
              <w:t>35,833</w:t>
            </w:r>
          </w:p>
        </w:tc>
      </w:tr>
      <w:tr w:rsidR="004A2DF7" w:rsidRPr="006D2D94" w14:paraId="7960ED48" w14:textId="77777777" w:rsidTr="00370B3A">
        <w:tc>
          <w:tcPr>
            <w:tcW w:w="3398" w:type="dxa"/>
            <w:noWrap/>
            <w:vAlign w:val="bottom"/>
          </w:tcPr>
          <w:p w14:paraId="448EFF2C" w14:textId="5AC80D47" w:rsidR="004A2DF7" w:rsidRPr="006D2D94" w:rsidRDefault="000A0A65">
            <w:pPr>
              <w:pStyle w:val="ARGrantstabletext"/>
              <w:rPr>
                <w:bCs/>
                <w:color w:val="000000"/>
              </w:rPr>
            </w:pPr>
            <w:r w:rsidRPr="00464DB0">
              <w:rPr>
                <w:color w:val="000000"/>
              </w:rPr>
              <w:t>Migrant Information Centre (Eastern</w:t>
            </w:r>
            <w:r w:rsidR="004D5DD5">
              <w:rPr>
                <w:color w:val="000000"/>
              </w:rPr>
              <w:t> </w:t>
            </w:r>
            <w:r w:rsidRPr="00464DB0">
              <w:rPr>
                <w:color w:val="000000"/>
              </w:rPr>
              <w:t>Melbourne)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CE0065D" w14:textId="6A1410BA" w:rsidR="004A2DF7" w:rsidRPr="006D2D94" w:rsidRDefault="000A0A65">
            <w:pPr>
              <w:pStyle w:val="ARGrantstabletextright"/>
              <w:rPr>
                <w:bCs/>
                <w:color w:val="000000"/>
              </w:rPr>
            </w:pPr>
            <w:r w:rsidRPr="00464DB0">
              <w:rPr>
                <w:color w:val="000000"/>
              </w:rPr>
              <w:t>2,000</w:t>
            </w:r>
          </w:p>
        </w:tc>
      </w:tr>
      <w:tr w:rsidR="004A2DF7" w:rsidRPr="006D2D94" w14:paraId="4843D5BE" w14:textId="77777777" w:rsidTr="00370B3A">
        <w:tc>
          <w:tcPr>
            <w:tcW w:w="3398" w:type="dxa"/>
            <w:noWrap/>
            <w:vAlign w:val="bottom"/>
          </w:tcPr>
          <w:p w14:paraId="167BD8A6" w14:textId="1ED2A669" w:rsidR="004A2DF7" w:rsidRPr="006D2D94" w:rsidRDefault="000A0A65">
            <w:pPr>
              <w:pStyle w:val="ARGrantstabletext"/>
              <w:rPr>
                <w:bCs/>
                <w:color w:val="000000"/>
              </w:rPr>
            </w:pPr>
            <w:r w:rsidRPr="00464DB0">
              <w:rPr>
                <w:color w:val="000000"/>
              </w:rPr>
              <w:t>Mildura Rural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8330497" w14:textId="1246C0C5" w:rsidR="004A2DF7" w:rsidRPr="006D2D94" w:rsidRDefault="000A0A65">
            <w:pPr>
              <w:pStyle w:val="ARGrantstabletextright"/>
              <w:rPr>
                <w:bCs/>
                <w:color w:val="000000"/>
              </w:rPr>
            </w:pPr>
            <w:r w:rsidRPr="00464DB0">
              <w:rPr>
                <w:color w:val="000000"/>
              </w:rPr>
              <w:t>92,251</w:t>
            </w:r>
          </w:p>
        </w:tc>
      </w:tr>
      <w:tr w:rsidR="004A2DF7" w:rsidRPr="006D2D94" w14:paraId="1C6DA18F" w14:textId="77777777" w:rsidTr="00370B3A">
        <w:tc>
          <w:tcPr>
            <w:tcW w:w="3398" w:type="dxa"/>
            <w:noWrap/>
            <w:vAlign w:val="bottom"/>
          </w:tcPr>
          <w:p w14:paraId="6D6BBF66" w14:textId="3F5E0901" w:rsidR="004A2DF7" w:rsidRPr="006D2D94" w:rsidRDefault="000A0A65">
            <w:pPr>
              <w:pStyle w:val="ARGrantstabletext"/>
              <w:rPr>
                <w:bCs/>
                <w:color w:val="000000"/>
              </w:rPr>
            </w:pPr>
            <w:r w:rsidRPr="00464DB0">
              <w:rPr>
                <w:color w:val="000000"/>
              </w:rPr>
              <w:t>Minus18 Foundation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99AA30A" w14:textId="158C3120" w:rsidR="004A2DF7" w:rsidRPr="006D2D94" w:rsidRDefault="000A0A65">
            <w:pPr>
              <w:pStyle w:val="ARGrantstabletextright"/>
              <w:rPr>
                <w:bCs/>
                <w:color w:val="000000"/>
              </w:rPr>
            </w:pPr>
            <w:r w:rsidRPr="00464DB0">
              <w:rPr>
                <w:color w:val="000000"/>
              </w:rPr>
              <w:t>57,500</w:t>
            </w:r>
          </w:p>
        </w:tc>
      </w:tr>
      <w:tr w:rsidR="004A2DF7" w:rsidRPr="006D2D94" w14:paraId="2CE20432" w14:textId="77777777" w:rsidTr="00370B3A">
        <w:tc>
          <w:tcPr>
            <w:tcW w:w="3398" w:type="dxa"/>
            <w:noWrap/>
            <w:vAlign w:val="bottom"/>
          </w:tcPr>
          <w:p w14:paraId="34DBA625" w14:textId="3E455039" w:rsidR="004A2DF7" w:rsidRPr="006D2D94" w:rsidRDefault="000A0A65">
            <w:pPr>
              <w:pStyle w:val="ARGrantstabletext"/>
              <w:rPr>
                <w:bCs/>
                <w:color w:val="000000"/>
              </w:rPr>
            </w:pPr>
            <w:r w:rsidRPr="00464DB0">
              <w:rPr>
                <w:color w:val="000000"/>
              </w:rPr>
              <w:t>Mitchell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9819FF2" w14:textId="04236C02" w:rsidR="004A2DF7" w:rsidRPr="006D2D94" w:rsidRDefault="000A0A65">
            <w:pPr>
              <w:pStyle w:val="ARGrantstabletextright"/>
              <w:rPr>
                <w:bCs/>
                <w:color w:val="000000"/>
              </w:rPr>
            </w:pPr>
            <w:r w:rsidRPr="00464DB0">
              <w:rPr>
                <w:color w:val="000000"/>
              </w:rPr>
              <w:t>94,751</w:t>
            </w:r>
          </w:p>
        </w:tc>
      </w:tr>
      <w:tr w:rsidR="004A2DF7" w:rsidRPr="006D2D94" w14:paraId="1140976E" w14:textId="77777777" w:rsidTr="00370B3A">
        <w:tc>
          <w:tcPr>
            <w:tcW w:w="3398" w:type="dxa"/>
            <w:noWrap/>
            <w:vAlign w:val="bottom"/>
          </w:tcPr>
          <w:p w14:paraId="75C7C09C" w14:textId="5DF33F46" w:rsidR="004A2DF7" w:rsidRPr="006D2D94" w:rsidRDefault="000A0A65">
            <w:pPr>
              <w:pStyle w:val="ARGrantstabletext"/>
              <w:rPr>
                <w:bCs/>
                <w:color w:val="000000"/>
              </w:rPr>
            </w:pPr>
            <w:r w:rsidRPr="00464DB0">
              <w:rPr>
                <w:color w:val="000000"/>
              </w:rPr>
              <w:t>Moira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B3527B2" w14:textId="57CF4342" w:rsidR="004A2DF7" w:rsidRPr="006D2D94" w:rsidRDefault="000A0A65">
            <w:pPr>
              <w:pStyle w:val="ARGrantstabletextright"/>
              <w:rPr>
                <w:bCs/>
                <w:color w:val="000000"/>
              </w:rPr>
            </w:pPr>
            <w:r w:rsidRPr="00464DB0">
              <w:rPr>
                <w:color w:val="000000"/>
              </w:rPr>
              <w:t>39,750</w:t>
            </w:r>
          </w:p>
        </w:tc>
      </w:tr>
      <w:tr w:rsidR="004A2DF7" w:rsidRPr="006D2D94" w14:paraId="14B374A3" w14:textId="77777777" w:rsidTr="00370B3A">
        <w:tc>
          <w:tcPr>
            <w:tcW w:w="3398" w:type="dxa"/>
            <w:noWrap/>
            <w:vAlign w:val="bottom"/>
          </w:tcPr>
          <w:p w14:paraId="75FE208A" w14:textId="45542B38" w:rsidR="004A2DF7" w:rsidRPr="006D2D94" w:rsidRDefault="000A0A65">
            <w:pPr>
              <w:pStyle w:val="ARGrantstabletext"/>
              <w:rPr>
                <w:bCs/>
                <w:color w:val="000000"/>
              </w:rPr>
            </w:pPr>
            <w:r w:rsidRPr="00464DB0">
              <w:rPr>
                <w:color w:val="000000"/>
              </w:rPr>
              <w:t>Monbulk 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1333636" w14:textId="490AE0EE" w:rsidR="004A2DF7" w:rsidRPr="006D2D94" w:rsidRDefault="000A0A65">
            <w:pPr>
              <w:pStyle w:val="ARGrantstabletextright"/>
              <w:rPr>
                <w:bCs/>
                <w:color w:val="000000"/>
              </w:rPr>
            </w:pPr>
            <w:r w:rsidRPr="00464DB0">
              <w:rPr>
                <w:color w:val="000000"/>
              </w:rPr>
              <w:t>2,000</w:t>
            </w:r>
          </w:p>
        </w:tc>
      </w:tr>
      <w:tr w:rsidR="004A2DF7" w:rsidRPr="006D2D94" w14:paraId="2279484C" w14:textId="77777777" w:rsidTr="00370B3A">
        <w:tc>
          <w:tcPr>
            <w:tcW w:w="3398" w:type="dxa"/>
            <w:noWrap/>
            <w:vAlign w:val="bottom"/>
          </w:tcPr>
          <w:p w14:paraId="438E3B79" w14:textId="4163DF48" w:rsidR="004A2DF7" w:rsidRPr="006D2D94" w:rsidRDefault="000A0A65">
            <w:pPr>
              <w:pStyle w:val="ARGrantstabletext"/>
              <w:rPr>
                <w:bCs/>
                <w:color w:val="000000"/>
              </w:rPr>
            </w:pPr>
            <w:r w:rsidRPr="00464DB0">
              <w:rPr>
                <w:color w:val="000000"/>
              </w:rPr>
              <w:t>Moonee Valley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28C7BE1" w14:textId="2F799850" w:rsidR="004A2DF7" w:rsidRPr="006D2D94" w:rsidRDefault="000A0A65">
            <w:pPr>
              <w:pStyle w:val="ARGrantstabletextright"/>
              <w:rPr>
                <w:bCs/>
                <w:color w:val="000000"/>
              </w:rPr>
            </w:pPr>
            <w:r w:rsidRPr="00464DB0">
              <w:rPr>
                <w:color w:val="000000"/>
              </w:rPr>
              <w:t>87,834</w:t>
            </w:r>
          </w:p>
        </w:tc>
      </w:tr>
      <w:tr w:rsidR="004A2DF7" w:rsidRPr="006D2D94" w14:paraId="3AAF6360" w14:textId="77777777" w:rsidTr="00370B3A">
        <w:tc>
          <w:tcPr>
            <w:tcW w:w="3398" w:type="dxa"/>
            <w:tcBorders>
              <w:bottom w:val="single" w:sz="4" w:space="0" w:color="A6A6A6" w:themeColor="accent5"/>
            </w:tcBorders>
            <w:noWrap/>
            <w:vAlign w:val="bottom"/>
          </w:tcPr>
          <w:p w14:paraId="21D7521E" w14:textId="66D4EFA8" w:rsidR="004A2DF7" w:rsidRPr="006D2D94" w:rsidRDefault="000A0A65">
            <w:pPr>
              <w:pStyle w:val="ARGrantstabletext"/>
              <w:rPr>
                <w:bCs/>
                <w:color w:val="000000"/>
              </w:rPr>
            </w:pPr>
            <w:r w:rsidRPr="00464DB0">
              <w:rPr>
                <w:color w:val="000000"/>
              </w:rPr>
              <w:t>Moorabool Shire Council</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5C761FD0" w14:textId="11FADB86" w:rsidR="004A2DF7" w:rsidRPr="006D2D94" w:rsidRDefault="000A0A65">
            <w:pPr>
              <w:pStyle w:val="ARGrantstabletextright"/>
              <w:rPr>
                <w:bCs/>
                <w:color w:val="000000"/>
              </w:rPr>
            </w:pPr>
            <w:r w:rsidRPr="00464DB0">
              <w:rPr>
                <w:color w:val="000000"/>
              </w:rPr>
              <w:t>75,250</w:t>
            </w:r>
          </w:p>
        </w:tc>
      </w:tr>
      <w:tr w:rsidR="004A2DF7" w:rsidRPr="006D2D94" w14:paraId="105FE6B0" w14:textId="77777777" w:rsidTr="00370B3A">
        <w:tc>
          <w:tcPr>
            <w:tcW w:w="3398" w:type="dxa"/>
            <w:tcBorders>
              <w:top w:val="single" w:sz="4" w:space="0" w:color="A6A6A6" w:themeColor="accent5"/>
              <w:bottom w:val="single" w:sz="4" w:space="0" w:color="A6A6A6" w:themeColor="accent5"/>
            </w:tcBorders>
            <w:noWrap/>
            <w:vAlign w:val="bottom"/>
          </w:tcPr>
          <w:p w14:paraId="75843A88" w14:textId="5FC44ED6" w:rsidR="004A2DF7" w:rsidRPr="006D2D94" w:rsidRDefault="000A0A65">
            <w:pPr>
              <w:pStyle w:val="ARGrantstabletext"/>
              <w:rPr>
                <w:bCs/>
                <w:color w:val="000000"/>
              </w:rPr>
            </w:pPr>
            <w:r w:rsidRPr="00464DB0">
              <w:rPr>
                <w:color w:val="000000"/>
              </w:rPr>
              <w:t>Mordialloc College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6CC65962" w14:textId="09115990" w:rsidR="004A2DF7" w:rsidRPr="006D2D94" w:rsidRDefault="000A0A65">
            <w:pPr>
              <w:pStyle w:val="ARGrantstabletextright"/>
              <w:rPr>
                <w:bCs/>
                <w:color w:val="000000"/>
              </w:rPr>
            </w:pPr>
            <w:r w:rsidRPr="00464DB0">
              <w:rPr>
                <w:color w:val="000000"/>
              </w:rPr>
              <w:t>2,000</w:t>
            </w:r>
          </w:p>
        </w:tc>
      </w:tr>
      <w:tr w:rsidR="004A2DF7" w:rsidRPr="006D2D94" w14:paraId="0A08BC01" w14:textId="77777777" w:rsidTr="00370B3A">
        <w:tc>
          <w:tcPr>
            <w:tcW w:w="3398" w:type="dxa"/>
            <w:tcBorders>
              <w:top w:val="single" w:sz="4" w:space="0" w:color="A6A6A6" w:themeColor="accent5"/>
              <w:bottom w:val="single" w:sz="4" w:space="0" w:color="A6A6A6" w:themeColor="accent5"/>
            </w:tcBorders>
            <w:noWrap/>
            <w:vAlign w:val="bottom"/>
          </w:tcPr>
          <w:p w14:paraId="4A219892" w14:textId="79A5996A" w:rsidR="004A2DF7" w:rsidRPr="006D2D94" w:rsidRDefault="000A0A65">
            <w:pPr>
              <w:pStyle w:val="ARGrantstabletext"/>
              <w:rPr>
                <w:bCs/>
                <w:color w:val="000000"/>
              </w:rPr>
            </w:pPr>
            <w:r w:rsidRPr="00464DB0">
              <w:rPr>
                <w:color w:val="000000"/>
              </w:rPr>
              <w:t>Mornington Peninsula Shire Council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05E70072" w14:textId="60FB68DF" w:rsidR="004A2DF7" w:rsidRPr="006D2D94" w:rsidRDefault="000A0A65">
            <w:pPr>
              <w:pStyle w:val="ARGrantstabletextright"/>
              <w:rPr>
                <w:bCs/>
                <w:color w:val="000000"/>
              </w:rPr>
            </w:pPr>
            <w:r w:rsidRPr="00464DB0">
              <w:rPr>
                <w:color w:val="000000"/>
              </w:rPr>
              <w:t>40,483</w:t>
            </w:r>
          </w:p>
        </w:tc>
      </w:tr>
      <w:tr w:rsidR="004A2DF7" w:rsidRPr="006D2D94" w14:paraId="71F1652D" w14:textId="77777777" w:rsidTr="00370B3A">
        <w:tc>
          <w:tcPr>
            <w:tcW w:w="3398" w:type="dxa"/>
            <w:tcBorders>
              <w:top w:val="single" w:sz="4" w:space="0" w:color="A6A6A6" w:themeColor="accent5"/>
            </w:tcBorders>
            <w:noWrap/>
            <w:vAlign w:val="bottom"/>
          </w:tcPr>
          <w:p w14:paraId="0C213ABF" w14:textId="559307B6" w:rsidR="004A2DF7" w:rsidRPr="006D2D94" w:rsidRDefault="000A0A65">
            <w:pPr>
              <w:pStyle w:val="ARGrantstabletext"/>
              <w:rPr>
                <w:bCs/>
                <w:color w:val="000000"/>
              </w:rPr>
            </w:pPr>
            <w:r w:rsidRPr="00464DB0">
              <w:rPr>
                <w:color w:val="000000"/>
              </w:rPr>
              <w:t>Mornington Peninsula Shire Youth</w:t>
            </w:r>
            <w:r w:rsidR="00370B3A">
              <w:rPr>
                <w:color w:val="000000"/>
              </w:rPr>
              <w:t> </w:t>
            </w:r>
            <w:r w:rsidRPr="00464DB0">
              <w:rPr>
                <w:color w:val="000000"/>
              </w:rPr>
              <w:t>Services</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71D776B1" w14:textId="36FDE24B" w:rsidR="004A2DF7" w:rsidRPr="006D2D94" w:rsidRDefault="000A0A65">
            <w:pPr>
              <w:pStyle w:val="ARGrantstabletextright"/>
              <w:rPr>
                <w:bCs/>
                <w:color w:val="000000"/>
              </w:rPr>
            </w:pPr>
            <w:r w:rsidRPr="00464DB0">
              <w:rPr>
                <w:color w:val="000000"/>
              </w:rPr>
              <w:t>2,000</w:t>
            </w:r>
          </w:p>
        </w:tc>
      </w:tr>
      <w:tr w:rsidR="004A2DF7" w:rsidRPr="006D2D94" w14:paraId="266DABD1" w14:textId="77777777" w:rsidTr="00370B3A">
        <w:tc>
          <w:tcPr>
            <w:tcW w:w="3398" w:type="dxa"/>
            <w:noWrap/>
            <w:vAlign w:val="bottom"/>
          </w:tcPr>
          <w:p w14:paraId="54C3595F" w14:textId="44DF23E6" w:rsidR="004A2DF7" w:rsidRPr="006D2D94" w:rsidRDefault="000A0A65">
            <w:pPr>
              <w:pStyle w:val="ARGrantstabletext"/>
              <w:rPr>
                <w:bCs/>
                <w:color w:val="000000"/>
              </w:rPr>
            </w:pPr>
            <w:r w:rsidRPr="00464DB0">
              <w:rPr>
                <w:color w:val="000000"/>
              </w:rPr>
              <w:t>Mount Alexander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5486C3F" w14:textId="3F71016D" w:rsidR="004A2DF7" w:rsidRPr="006D2D94" w:rsidRDefault="000A0A65">
            <w:pPr>
              <w:pStyle w:val="ARGrantstabletextright"/>
              <w:rPr>
                <w:bCs/>
                <w:color w:val="000000"/>
              </w:rPr>
            </w:pPr>
            <w:r w:rsidRPr="00464DB0">
              <w:rPr>
                <w:color w:val="000000"/>
              </w:rPr>
              <w:t>98,084</w:t>
            </w:r>
          </w:p>
        </w:tc>
      </w:tr>
      <w:tr w:rsidR="004A2DF7" w:rsidRPr="006D2D94" w14:paraId="4B6F419A" w14:textId="77777777" w:rsidTr="00370B3A">
        <w:tc>
          <w:tcPr>
            <w:tcW w:w="3398" w:type="dxa"/>
            <w:tcBorders>
              <w:bottom w:val="single" w:sz="4" w:space="0" w:color="A6A6A6" w:themeColor="accent5"/>
            </w:tcBorders>
            <w:noWrap/>
            <w:vAlign w:val="bottom"/>
          </w:tcPr>
          <w:p w14:paraId="58653F3A" w14:textId="6D508863" w:rsidR="004A2DF7" w:rsidRPr="006D2D94" w:rsidRDefault="000A0A65">
            <w:pPr>
              <w:pStyle w:val="ARGrantstabletext"/>
              <w:rPr>
                <w:bCs/>
                <w:color w:val="000000"/>
              </w:rPr>
            </w:pPr>
            <w:r w:rsidRPr="00464DB0">
              <w:rPr>
                <w:color w:val="000000"/>
              </w:rPr>
              <w:t>Mountain District Radio Inc.</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3F3766CB" w14:textId="458D3D58" w:rsidR="004A2DF7" w:rsidRPr="006D2D94" w:rsidRDefault="000A0A65">
            <w:pPr>
              <w:pStyle w:val="ARGrantstabletextright"/>
              <w:rPr>
                <w:bCs/>
                <w:color w:val="000000"/>
              </w:rPr>
            </w:pPr>
            <w:r w:rsidRPr="00464DB0">
              <w:rPr>
                <w:color w:val="000000"/>
              </w:rPr>
              <w:t>2,000</w:t>
            </w:r>
          </w:p>
        </w:tc>
      </w:tr>
      <w:tr w:rsidR="004A2DF7" w:rsidRPr="006D2D94" w14:paraId="1DBDDCDE" w14:textId="77777777" w:rsidTr="00370B3A">
        <w:tc>
          <w:tcPr>
            <w:tcW w:w="3398" w:type="dxa"/>
            <w:tcBorders>
              <w:top w:val="single" w:sz="4" w:space="0" w:color="A6A6A6" w:themeColor="accent5"/>
              <w:bottom w:val="single" w:sz="4" w:space="0" w:color="A6A6A6" w:themeColor="accent5"/>
            </w:tcBorders>
            <w:noWrap/>
            <w:vAlign w:val="bottom"/>
          </w:tcPr>
          <w:p w14:paraId="06349235" w14:textId="27B791C6" w:rsidR="004A2DF7" w:rsidRPr="006D2D94" w:rsidRDefault="000A0A65">
            <w:pPr>
              <w:pStyle w:val="ARGrantstabletext"/>
              <w:rPr>
                <w:bCs/>
                <w:color w:val="000000"/>
              </w:rPr>
            </w:pPr>
            <w:r w:rsidRPr="00464DB0">
              <w:rPr>
                <w:color w:val="000000"/>
              </w:rPr>
              <w:t xml:space="preserve">Mountain District </w:t>
            </w:r>
            <w:proofErr w:type="spellStart"/>
            <w:r w:rsidRPr="00464DB0">
              <w:rPr>
                <w:color w:val="000000"/>
              </w:rPr>
              <w:t>Womens</w:t>
            </w:r>
            <w:proofErr w:type="spellEnd"/>
            <w:r w:rsidRPr="00464DB0">
              <w:rPr>
                <w:color w:val="000000"/>
              </w:rPr>
              <w:t xml:space="preserve"> Cooperative</w:t>
            </w:r>
            <w:r w:rsidR="00370B3A">
              <w:rPr>
                <w:color w:val="000000"/>
              </w:rPr>
              <w:t> </w:t>
            </w:r>
            <w:r w:rsidRPr="00464DB0">
              <w:rPr>
                <w:color w:val="000000"/>
              </w:rPr>
              <w:t>Ltd</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29D9A5E4" w14:textId="34AE8ED7" w:rsidR="004A2DF7" w:rsidRPr="006D2D94" w:rsidRDefault="000A0A65">
            <w:pPr>
              <w:pStyle w:val="ARGrantstabletextright"/>
              <w:rPr>
                <w:bCs/>
                <w:color w:val="000000"/>
              </w:rPr>
            </w:pPr>
            <w:r w:rsidRPr="00464DB0">
              <w:rPr>
                <w:color w:val="000000"/>
              </w:rPr>
              <w:t>2,000</w:t>
            </w:r>
          </w:p>
        </w:tc>
      </w:tr>
      <w:tr w:rsidR="004A2DF7" w:rsidRPr="006D2D94" w14:paraId="0F15ECD4" w14:textId="77777777" w:rsidTr="00370B3A">
        <w:tc>
          <w:tcPr>
            <w:tcW w:w="3398" w:type="dxa"/>
            <w:tcBorders>
              <w:top w:val="single" w:sz="4" w:space="0" w:color="A6A6A6" w:themeColor="accent5"/>
            </w:tcBorders>
            <w:noWrap/>
            <w:vAlign w:val="bottom"/>
          </w:tcPr>
          <w:p w14:paraId="17CEFD9A" w14:textId="27AA9836" w:rsidR="004A2DF7" w:rsidRPr="006D2D94" w:rsidRDefault="000A0A65">
            <w:pPr>
              <w:pStyle w:val="ARGrantstabletext"/>
              <w:rPr>
                <w:bCs/>
                <w:color w:val="000000"/>
              </w:rPr>
            </w:pPr>
            <w:r w:rsidRPr="00464DB0">
              <w:rPr>
                <w:color w:val="000000"/>
              </w:rPr>
              <w:t>Moyne Shire Council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7AE3C553" w14:textId="569E1BBE" w:rsidR="004A2DF7" w:rsidRPr="006D2D94" w:rsidRDefault="000A0A65">
            <w:pPr>
              <w:pStyle w:val="ARGrantstabletextright"/>
              <w:rPr>
                <w:bCs/>
                <w:color w:val="000000"/>
              </w:rPr>
            </w:pPr>
            <w:r w:rsidRPr="00464DB0">
              <w:rPr>
                <w:color w:val="000000"/>
              </w:rPr>
              <w:t>94,751</w:t>
            </w:r>
          </w:p>
        </w:tc>
      </w:tr>
      <w:tr w:rsidR="004A2DF7" w:rsidRPr="006D2D94" w14:paraId="1B43ECB6" w14:textId="77777777" w:rsidTr="00370B3A">
        <w:tc>
          <w:tcPr>
            <w:tcW w:w="3398" w:type="dxa"/>
            <w:noWrap/>
            <w:vAlign w:val="bottom"/>
          </w:tcPr>
          <w:p w14:paraId="572B353D" w14:textId="29890B4B" w:rsidR="004A2DF7" w:rsidRPr="006D2D94" w:rsidRDefault="000A0A65">
            <w:pPr>
              <w:pStyle w:val="ARGrantstabletext"/>
              <w:rPr>
                <w:bCs/>
                <w:color w:val="000000"/>
              </w:rPr>
            </w:pPr>
            <w:r w:rsidRPr="00464DB0">
              <w:rPr>
                <w:color w:val="000000"/>
              </w:rPr>
              <w:t xml:space="preserve">Mullum </w:t>
            </w:r>
            <w:proofErr w:type="spellStart"/>
            <w:r w:rsidRPr="00464DB0">
              <w:rPr>
                <w:color w:val="000000"/>
              </w:rPr>
              <w:t>Mullum</w:t>
            </w:r>
            <w:proofErr w:type="spellEnd"/>
            <w:r w:rsidRPr="00464DB0">
              <w:rPr>
                <w:color w:val="000000"/>
              </w:rPr>
              <w:t xml:space="preserve"> Indigenous Gathering Place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FA65627" w14:textId="7F93C8BE" w:rsidR="004A2DF7" w:rsidRPr="006D2D94" w:rsidRDefault="000A0A65">
            <w:pPr>
              <w:pStyle w:val="ARGrantstabletextright"/>
              <w:rPr>
                <w:bCs/>
                <w:color w:val="000000"/>
              </w:rPr>
            </w:pPr>
            <w:r w:rsidRPr="00464DB0">
              <w:rPr>
                <w:color w:val="000000"/>
              </w:rPr>
              <w:t>152,800</w:t>
            </w:r>
          </w:p>
        </w:tc>
      </w:tr>
      <w:tr w:rsidR="004A2DF7" w:rsidRPr="006D2D94" w14:paraId="4A8AB2B8" w14:textId="77777777" w:rsidTr="00370B3A">
        <w:tc>
          <w:tcPr>
            <w:tcW w:w="3398" w:type="dxa"/>
            <w:noWrap/>
            <w:vAlign w:val="bottom"/>
          </w:tcPr>
          <w:p w14:paraId="17DCD417" w14:textId="63891DC7" w:rsidR="004A2DF7" w:rsidRPr="006D2D94" w:rsidRDefault="000A0A65">
            <w:pPr>
              <w:pStyle w:val="ARGrantstabletext"/>
              <w:rPr>
                <w:bCs/>
                <w:color w:val="000000"/>
              </w:rPr>
            </w:pPr>
            <w:r w:rsidRPr="00464DB0">
              <w:rPr>
                <w:color w:val="000000"/>
              </w:rPr>
              <w:t>Murrindindi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DC14542" w14:textId="1E4845C5" w:rsidR="004A2DF7" w:rsidRPr="006D2D94" w:rsidRDefault="000A0A65">
            <w:pPr>
              <w:pStyle w:val="ARGrantstabletextright"/>
              <w:rPr>
                <w:bCs/>
                <w:color w:val="000000"/>
              </w:rPr>
            </w:pPr>
            <w:r w:rsidRPr="00464DB0">
              <w:rPr>
                <w:color w:val="000000"/>
              </w:rPr>
              <w:t>57,750</w:t>
            </w:r>
          </w:p>
        </w:tc>
      </w:tr>
      <w:tr w:rsidR="004A2DF7" w:rsidRPr="006D2D94" w14:paraId="29F011A5" w14:textId="77777777" w:rsidTr="00370B3A">
        <w:tc>
          <w:tcPr>
            <w:tcW w:w="3398" w:type="dxa"/>
            <w:noWrap/>
            <w:vAlign w:val="bottom"/>
          </w:tcPr>
          <w:p w14:paraId="45F70A18" w14:textId="55A94E50" w:rsidR="004A2DF7" w:rsidRPr="006D2D94" w:rsidRDefault="000A0A65">
            <w:pPr>
              <w:pStyle w:val="ARGrantstabletext"/>
              <w:rPr>
                <w:bCs/>
                <w:color w:val="000000"/>
              </w:rPr>
            </w:pPr>
            <w:r w:rsidRPr="00464DB0">
              <w:rPr>
                <w:color w:val="000000"/>
              </w:rPr>
              <w:t>Murtoa 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14B1EF9" w14:textId="5B2E324C" w:rsidR="004A2DF7" w:rsidRPr="006D2D94" w:rsidRDefault="000A0A65">
            <w:pPr>
              <w:pStyle w:val="ARGrantstabletextright"/>
              <w:rPr>
                <w:bCs/>
                <w:color w:val="000000"/>
              </w:rPr>
            </w:pPr>
            <w:r w:rsidRPr="00464DB0">
              <w:rPr>
                <w:color w:val="000000"/>
              </w:rPr>
              <w:t>12,000</w:t>
            </w:r>
          </w:p>
        </w:tc>
      </w:tr>
      <w:tr w:rsidR="004A2DF7" w:rsidRPr="006D2D94" w14:paraId="6E9A90CF" w14:textId="77777777" w:rsidTr="00370B3A">
        <w:tc>
          <w:tcPr>
            <w:tcW w:w="3398" w:type="dxa"/>
            <w:tcBorders>
              <w:bottom w:val="single" w:sz="4" w:space="0" w:color="A6A6A6" w:themeColor="accent5"/>
            </w:tcBorders>
            <w:noWrap/>
            <w:vAlign w:val="bottom"/>
          </w:tcPr>
          <w:p w14:paraId="79E1C2F3" w14:textId="09830D19" w:rsidR="004A2DF7" w:rsidRPr="006D2D94" w:rsidRDefault="000A0A65">
            <w:pPr>
              <w:pStyle w:val="ARGrantstabletext"/>
              <w:rPr>
                <w:bCs/>
                <w:color w:val="000000"/>
              </w:rPr>
            </w:pPr>
            <w:r w:rsidRPr="00464DB0">
              <w:rPr>
                <w:color w:val="000000"/>
              </w:rPr>
              <w:t xml:space="preserve">MYLI </w:t>
            </w:r>
            <w:r w:rsidR="00EA7A42">
              <w:rPr>
                <w:color w:val="000000"/>
              </w:rPr>
              <w:t>–</w:t>
            </w:r>
            <w:r w:rsidRPr="00464DB0">
              <w:rPr>
                <w:color w:val="000000"/>
              </w:rPr>
              <w:t xml:space="preserve"> My Community Library</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6500E693" w14:textId="0B632160" w:rsidR="004A2DF7" w:rsidRPr="006D2D94" w:rsidRDefault="000A0A65">
            <w:pPr>
              <w:pStyle w:val="ARGrantstabletextright"/>
              <w:rPr>
                <w:bCs/>
                <w:color w:val="000000"/>
              </w:rPr>
            </w:pPr>
            <w:r w:rsidRPr="00464DB0">
              <w:rPr>
                <w:color w:val="000000"/>
              </w:rPr>
              <w:t>2,000</w:t>
            </w:r>
          </w:p>
        </w:tc>
      </w:tr>
      <w:tr w:rsidR="004A2DF7" w:rsidRPr="006D2D94" w14:paraId="03C5F265" w14:textId="77777777" w:rsidTr="00370B3A">
        <w:tc>
          <w:tcPr>
            <w:tcW w:w="3398" w:type="dxa"/>
            <w:tcBorders>
              <w:top w:val="single" w:sz="4" w:space="0" w:color="A6A6A6" w:themeColor="accent5"/>
              <w:bottom w:val="single" w:sz="4" w:space="0" w:color="A6A6A6" w:themeColor="accent5"/>
            </w:tcBorders>
            <w:noWrap/>
            <w:vAlign w:val="bottom"/>
          </w:tcPr>
          <w:p w14:paraId="3AB23542" w14:textId="750422B5" w:rsidR="004A2DF7" w:rsidRPr="006D2D94" w:rsidRDefault="000A0A65">
            <w:pPr>
              <w:pStyle w:val="ARGrantstabletext"/>
              <w:rPr>
                <w:bCs/>
                <w:color w:val="000000"/>
              </w:rPr>
            </w:pPr>
            <w:r w:rsidRPr="00464DB0">
              <w:rPr>
                <w:color w:val="000000"/>
              </w:rPr>
              <w:t>Nathalia Secondary College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61B1F9B8" w14:textId="3AB47ADB" w:rsidR="004A2DF7" w:rsidRPr="006D2D94" w:rsidRDefault="000A0A65">
            <w:pPr>
              <w:pStyle w:val="ARGrantstabletextright"/>
              <w:rPr>
                <w:bCs/>
                <w:color w:val="000000"/>
              </w:rPr>
            </w:pPr>
            <w:r w:rsidRPr="00464DB0">
              <w:rPr>
                <w:color w:val="000000"/>
              </w:rPr>
              <w:t>7,300</w:t>
            </w:r>
          </w:p>
        </w:tc>
      </w:tr>
      <w:tr w:rsidR="004A2DF7" w:rsidRPr="006D2D94" w14:paraId="1812393D" w14:textId="77777777" w:rsidTr="00370B3A">
        <w:tc>
          <w:tcPr>
            <w:tcW w:w="3398" w:type="dxa"/>
            <w:tcBorders>
              <w:top w:val="single" w:sz="4" w:space="0" w:color="A6A6A6" w:themeColor="accent5"/>
            </w:tcBorders>
            <w:noWrap/>
            <w:vAlign w:val="bottom"/>
          </w:tcPr>
          <w:p w14:paraId="5BF0CB68" w14:textId="38D9FC33" w:rsidR="004A2DF7" w:rsidRPr="006D2D94" w:rsidRDefault="000A0A65">
            <w:pPr>
              <w:pStyle w:val="ARGrantstabletext"/>
              <w:rPr>
                <w:bCs/>
                <w:color w:val="000000"/>
              </w:rPr>
            </w:pPr>
            <w:r w:rsidRPr="00464DB0">
              <w:rPr>
                <w:color w:val="000000"/>
              </w:rPr>
              <w:t>Nelson Park School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3FB82FE5" w14:textId="1DAD05CC" w:rsidR="004A2DF7" w:rsidRPr="006D2D94" w:rsidRDefault="000A0A65">
            <w:pPr>
              <w:pStyle w:val="ARGrantstabletextright"/>
              <w:rPr>
                <w:bCs/>
                <w:color w:val="000000"/>
              </w:rPr>
            </w:pPr>
            <w:r w:rsidRPr="00464DB0">
              <w:rPr>
                <w:color w:val="000000"/>
              </w:rPr>
              <w:t>15,000</w:t>
            </w:r>
          </w:p>
        </w:tc>
      </w:tr>
      <w:tr w:rsidR="004A2DF7" w:rsidRPr="006D2D94" w14:paraId="3C82A4C8" w14:textId="77777777" w:rsidTr="00370B3A">
        <w:tc>
          <w:tcPr>
            <w:tcW w:w="3398" w:type="dxa"/>
            <w:noWrap/>
            <w:vAlign w:val="bottom"/>
          </w:tcPr>
          <w:p w14:paraId="0E2A92DC" w14:textId="11C431B6" w:rsidR="004A2DF7" w:rsidRPr="006D2D94" w:rsidRDefault="000A0A65">
            <w:pPr>
              <w:pStyle w:val="ARGrantstabletext"/>
              <w:rPr>
                <w:bCs/>
                <w:color w:val="000000"/>
              </w:rPr>
            </w:pPr>
            <w:r w:rsidRPr="00464DB0">
              <w:rPr>
                <w:color w:val="000000"/>
              </w:rPr>
              <w:t>Nillumbik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250B028" w14:textId="2EB3DB59" w:rsidR="004A2DF7" w:rsidRPr="006D2D94" w:rsidRDefault="000A0A65">
            <w:pPr>
              <w:pStyle w:val="ARGrantstabletextright"/>
              <w:rPr>
                <w:bCs/>
                <w:color w:val="000000"/>
              </w:rPr>
            </w:pPr>
            <w:r w:rsidRPr="00464DB0">
              <w:rPr>
                <w:color w:val="000000"/>
              </w:rPr>
              <w:t>69,500</w:t>
            </w:r>
          </w:p>
        </w:tc>
      </w:tr>
      <w:tr w:rsidR="004A2DF7" w:rsidRPr="006D2D94" w14:paraId="2CF98D4B" w14:textId="77777777" w:rsidTr="00370B3A">
        <w:tc>
          <w:tcPr>
            <w:tcW w:w="3398" w:type="dxa"/>
            <w:noWrap/>
            <w:vAlign w:val="bottom"/>
          </w:tcPr>
          <w:p w14:paraId="7AF8539C" w14:textId="13B1A4BD" w:rsidR="004A2DF7" w:rsidRPr="006D2D94" w:rsidRDefault="000A0A65">
            <w:pPr>
              <w:pStyle w:val="ARGrantstabletext"/>
              <w:rPr>
                <w:bCs/>
                <w:color w:val="000000"/>
              </w:rPr>
            </w:pPr>
            <w:r w:rsidRPr="00464DB0">
              <w:rPr>
                <w:color w:val="000000"/>
              </w:rPr>
              <w:t>North Central Local Learning &amp; Employment Network</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3AC8867" w14:textId="2109A201" w:rsidR="004A2DF7" w:rsidRPr="006D2D94" w:rsidRDefault="000A0A65">
            <w:pPr>
              <w:pStyle w:val="ARGrantstabletextright"/>
              <w:rPr>
                <w:bCs/>
                <w:color w:val="000000"/>
              </w:rPr>
            </w:pPr>
            <w:r w:rsidRPr="00464DB0">
              <w:rPr>
                <w:color w:val="000000"/>
              </w:rPr>
              <w:t>80,000</w:t>
            </w:r>
          </w:p>
        </w:tc>
      </w:tr>
      <w:tr w:rsidR="004A2DF7" w:rsidRPr="006D2D94" w14:paraId="4BD8E0A3" w14:textId="77777777" w:rsidTr="00370B3A">
        <w:tc>
          <w:tcPr>
            <w:tcW w:w="3398" w:type="dxa"/>
            <w:noWrap/>
            <w:vAlign w:val="bottom"/>
          </w:tcPr>
          <w:p w14:paraId="7CAE40B9" w14:textId="0998D4D0" w:rsidR="004A2DF7" w:rsidRPr="006D2D94" w:rsidRDefault="000A0A65">
            <w:pPr>
              <w:pStyle w:val="ARGrantstabletext"/>
              <w:rPr>
                <w:bCs/>
                <w:color w:val="000000"/>
              </w:rPr>
            </w:pPr>
            <w:r w:rsidRPr="00464DB0">
              <w:rPr>
                <w:color w:val="000000"/>
              </w:rPr>
              <w:t>Northern District Community Health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3F5E82D" w14:textId="4728D7E0" w:rsidR="004A2DF7" w:rsidRPr="006D2D94" w:rsidRDefault="000A0A65">
            <w:pPr>
              <w:pStyle w:val="ARGrantstabletextright"/>
              <w:rPr>
                <w:bCs/>
                <w:color w:val="000000"/>
              </w:rPr>
            </w:pPr>
            <w:r w:rsidRPr="00464DB0">
              <w:rPr>
                <w:color w:val="000000"/>
              </w:rPr>
              <w:t>129,501</w:t>
            </w:r>
          </w:p>
        </w:tc>
      </w:tr>
      <w:tr w:rsidR="004A2DF7" w:rsidRPr="006D2D94" w14:paraId="5BE8FDC1" w14:textId="77777777" w:rsidTr="00F90BC7">
        <w:tc>
          <w:tcPr>
            <w:tcW w:w="3398" w:type="dxa"/>
            <w:tcBorders>
              <w:bottom w:val="single" w:sz="4" w:space="0" w:color="A6A6A6" w:themeColor="accent5"/>
            </w:tcBorders>
            <w:noWrap/>
            <w:vAlign w:val="bottom"/>
          </w:tcPr>
          <w:p w14:paraId="5A2EA255" w14:textId="04EE7B94" w:rsidR="004A2DF7" w:rsidRPr="006D2D94" w:rsidRDefault="000A0A65">
            <w:pPr>
              <w:pStyle w:val="ARGrantstabletext"/>
              <w:rPr>
                <w:bCs/>
                <w:color w:val="000000"/>
              </w:rPr>
            </w:pPr>
            <w:r w:rsidRPr="00464DB0">
              <w:rPr>
                <w:color w:val="000000"/>
              </w:rPr>
              <w:t>Nourish Nation Foundation</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4A167DE8" w14:textId="4C079004" w:rsidR="004A2DF7" w:rsidRPr="006D2D94" w:rsidRDefault="000A0A65">
            <w:pPr>
              <w:pStyle w:val="ARGrantstabletextright"/>
              <w:rPr>
                <w:bCs/>
                <w:color w:val="000000"/>
              </w:rPr>
            </w:pPr>
            <w:r w:rsidRPr="00464DB0">
              <w:rPr>
                <w:color w:val="000000"/>
              </w:rPr>
              <w:t>2,000</w:t>
            </w:r>
          </w:p>
        </w:tc>
      </w:tr>
      <w:tr w:rsidR="004A2DF7" w:rsidRPr="006D2D94" w14:paraId="65946DDC" w14:textId="77777777" w:rsidTr="00F90BC7">
        <w:tc>
          <w:tcPr>
            <w:tcW w:w="3398" w:type="dxa"/>
            <w:tcBorders>
              <w:top w:val="single" w:sz="4" w:space="0" w:color="A6A6A6" w:themeColor="accent5"/>
              <w:bottom w:val="single" w:sz="4" w:space="0" w:color="A6A6A6" w:themeColor="accent5"/>
            </w:tcBorders>
            <w:noWrap/>
            <w:vAlign w:val="bottom"/>
          </w:tcPr>
          <w:p w14:paraId="145BB21A" w14:textId="592CCC95" w:rsidR="004A2DF7" w:rsidRPr="006D2D94" w:rsidRDefault="000A0A65">
            <w:pPr>
              <w:pStyle w:val="ARGrantstabletext"/>
              <w:rPr>
                <w:bCs/>
                <w:color w:val="000000"/>
              </w:rPr>
            </w:pPr>
            <w:r w:rsidRPr="00464DB0">
              <w:rPr>
                <w:color w:val="000000"/>
              </w:rPr>
              <w:t>Oakwood School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1CCC52E2" w14:textId="26B155E2" w:rsidR="004A2DF7" w:rsidRPr="006D2D94" w:rsidRDefault="000A0A65">
            <w:pPr>
              <w:pStyle w:val="ARGrantstabletextright"/>
              <w:rPr>
                <w:bCs/>
                <w:color w:val="000000"/>
              </w:rPr>
            </w:pPr>
            <w:r w:rsidRPr="00464DB0">
              <w:rPr>
                <w:color w:val="000000"/>
              </w:rPr>
              <w:t>9,800</w:t>
            </w:r>
          </w:p>
        </w:tc>
      </w:tr>
      <w:tr w:rsidR="004A2DF7" w:rsidRPr="006D2D94" w14:paraId="495716F7" w14:textId="77777777" w:rsidTr="00F90BC7">
        <w:tc>
          <w:tcPr>
            <w:tcW w:w="3398" w:type="dxa"/>
            <w:tcBorders>
              <w:top w:val="single" w:sz="4" w:space="0" w:color="A6A6A6" w:themeColor="accent5"/>
            </w:tcBorders>
            <w:noWrap/>
            <w:vAlign w:val="bottom"/>
          </w:tcPr>
          <w:p w14:paraId="0A476EE3" w14:textId="7C388C33" w:rsidR="004A2DF7" w:rsidRPr="006D2D94" w:rsidRDefault="000A0A65">
            <w:pPr>
              <w:pStyle w:val="ARGrantstabletext"/>
              <w:rPr>
                <w:bCs/>
                <w:color w:val="000000"/>
              </w:rPr>
            </w:pPr>
            <w:r w:rsidRPr="00464DB0">
              <w:rPr>
                <w:color w:val="000000"/>
              </w:rPr>
              <w:lastRenderedPageBreak/>
              <w:t>Officer Specialist School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7175A565" w14:textId="20677D36" w:rsidR="004A2DF7" w:rsidRPr="006D2D94" w:rsidRDefault="000A0A65">
            <w:pPr>
              <w:pStyle w:val="ARGrantstabletextright"/>
              <w:rPr>
                <w:bCs/>
                <w:color w:val="000000"/>
              </w:rPr>
            </w:pPr>
            <w:r w:rsidRPr="00464DB0">
              <w:rPr>
                <w:color w:val="000000"/>
              </w:rPr>
              <w:t>15,000</w:t>
            </w:r>
          </w:p>
        </w:tc>
      </w:tr>
      <w:tr w:rsidR="004A2DF7" w:rsidRPr="006D2D94" w14:paraId="75635F62" w14:textId="77777777" w:rsidTr="00370B3A">
        <w:tc>
          <w:tcPr>
            <w:tcW w:w="3398" w:type="dxa"/>
            <w:noWrap/>
            <w:vAlign w:val="bottom"/>
          </w:tcPr>
          <w:p w14:paraId="2D18E490" w14:textId="6BF001C2" w:rsidR="004A2DF7" w:rsidRPr="006D2D94" w:rsidRDefault="000A0A65">
            <w:pPr>
              <w:pStyle w:val="ARGrantstabletext"/>
              <w:rPr>
                <w:bCs/>
                <w:color w:val="000000"/>
              </w:rPr>
            </w:pPr>
            <w:r w:rsidRPr="00464DB0">
              <w:rPr>
                <w:color w:val="000000"/>
              </w:rPr>
              <w:t>Open House Christian Involvement</w:t>
            </w:r>
            <w:r w:rsidR="00370B3A">
              <w:rPr>
                <w:color w:val="000000"/>
              </w:rPr>
              <w:t> </w:t>
            </w:r>
            <w:r w:rsidRPr="00464DB0">
              <w:rPr>
                <w:color w:val="000000"/>
              </w:rPr>
              <w:t>Centres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F053231" w14:textId="24BA3DD7" w:rsidR="004A2DF7" w:rsidRPr="006D2D94" w:rsidRDefault="000A0A65">
            <w:pPr>
              <w:pStyle w:val="ARGrantstabletextright"/>
              <w:rPr>
                <w:bCs/>
                <w:color w:val="000000"/>
              </w:rPr>
            </w:pPr>
            <w:r w:rsidRPr="00464DB0">
              <w:rPr>
                <w:color w:val="000000"/>
              </w:rPr>
              <w:t>2,000</w:t>
            </w:r>
          </w:p>
        </w:tc>
      </w:tr>
      <w:tr w:rsidR="004A2DF7" w:rsidRPr="006D2D94" w14:paraId="1DC9CFF2" w14:textId="77777777" w:rsidTr="00370B3A">
        <w:tc>
          <w:tcPr>
            <w:tcW w:w="3398" w:type="dxa"/>
            <w:noWrap/>
            <w:vAlign w:val="bottom"/>
          </w:tcPr>
          <w:p w14:paraId="004F2DCA" w14:textId="439FCA75" w:rsidR="004A2DF7" w:rsidRPr="006D2D94" w:rsidRDefault="000A0A65">
            <w:pPr>
              <w:pStyle w:val="ARGrantstabletext"/>
              <w:rPr>
                <w:bCs/>
                <w:color w:val="000000"/>
              </w:rPr>
            </w:pPr>
            <w:r w:rsidRPr="00464DB0">
              <w:rPr>
                <w:color w:val="000000"/>
              </w:rPr>
              <w:t>Operation Newstart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89C432B" w14:textId="7EF81A05" w:rsidR="004A2DF7" w:rsidRPr="006D2D94" w:rsidRDefault="000A0A65">
            <w:pPr>
              <w:pStyle w:val="ARGrantstabletextright"/>
              <w:rPr>
                <w:bCs/>
                <w:color w:val="000000"/>
              </w:rPr>
            </w:pPr>
            <w:r w:rsidRPr="00464DB0">
              <w:rPr>
                <w:color w:val="000000"/>
              </w:rPr>
              <w:t>45,000</w:t>
            </w:r>
          </w:p>
        </w:tc>
      </w:tr>
      <w:tr w:rsidR="004A2DF7" w:rsidRPr="006D2D94" w14:paraId="680D2DFD" w14:textId="77777777" w:rsidTr="00370B3A">
        <w:tc>
          <w:tcPr>
            <w:tcW w:w="3398" w:type="dxa"/>
            <w:noWrap/>
            <w:vAlign w:val="bottom"/>
          </w:tcPr>
          <w:p w14:paraId="623B3A6C" w14:textId="0F0B2D87" w:rsidR="004A2DF7" w:rsidRPr="006D2D94" w:rsidRDefault="000A0A65">
            <w:pPr>
              <w:pStyle w:val="ARGrantstabletext"/>
              <w:rPr>
                <w:bCs/>
                <w:color w:val="000000"/>
              </w:rPr>
            </w:pPr>
            <w:r w:rsidRPr="00464DB0">
              <w:rPr>
                <w:color w:val="000000"/>
              </w:rPr>
              <w:t>Orbost Community 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53D3454" w14:textId="3ADE4353" w:rsidR="004A2DF7" w:rsidRPr="006D2D94" w:rsidRDefault="000A0A65">
            <w:pPr>
              <w:pStyle w:val="ARGrantstabletextright"/>
              <w:rPr>
                <w:bCs/>
                <w:color w:val="000000"/>
              </w:rPr>
            </w:pPr>
            <w:r w:rsidRPr="00464DB0">
              <w:rPr>
                <w:color w:val="000000"/>
              </w:rPr>
              <w:t>9,800</w:t>
            </w:r>
          </w:p>
        </w:tc>
      </w:tr>
      <w:tr w:rsidR="004A2DF7" w:rsidRPr="006D2D94" w14:paraId="7AB7918F" w14:textId="77777777" w:rsidTr="00370B3A">
        <w:tc>
          <w:tcPr>
            <w:tcW w:w="3398" w:type="dxa"/>
            <w:noWrap/>
            <w:vAlign w:val="bottom"/>
          </w:tcPr>
          <w:p w14:paraId="5CAA3AF2" w14:textId="7BC9923A" w:rsidR="004A2DF7" w:rsidRPr="006D2D94" w:rsidRDefault="000A0A65">
            <w:pPr>
              <w:pStyle w:val="ARGrantstabletext"/>
              <w:rPr>
                <w:bCs/>
                <w:color w:val="000000"/>
              </w:rPr>
            </w:pPr>
            <w:proofErr w:type="spellStart"/>
            <w:r w:rsidRPr="00464DB0">
              <w:rPr>
                <w:color w:val="000000"/>
              </w:rPr>
              <w:t>Orygen</w:t>
            </w:r>
            <w:proofErr w:type="spellEnd"/>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9A42F4F" w14:textId="7EFBBB6B" w:rsidR="004A2DF7" w:rsidRPr="006D2D94" w:rsidRDefault="000A0A65">
            <w:pPr>
              <w:pStyle w:val="ARGrantstabletextright"/>
              <w:rPr>
                <w:bCs/>
                <w:color w:val="000000"/>
              </w:rPr>
            </w:pPr>
            <w:r w:rsidRPr="00464DB0">
              <w:rPr>
                <w:color w:val="000000"/>
              </w:rPr>
              <w:t>22,500</w:t>
            </w:r>
          </w:p>
        </w:tc>
      </w:tr>
      <w:tr w:rsidR="004A2DF7" w:rsidRPr="006D2D94" w14:paraId="5773C5FF" w14:textId="77777777" w:rsidTr="00370B3A">
        <w:tc>
          <w:tcPr>
            <w:tcW w:w="3398" w:type="dxa"/>
            <w:noWrap/>
            <w:vAlign w:val="bottom"/>
          </w:tcPr>
          <w:p w14:paraId="6F580D10" w14:textId="1A51FDEC" w:rsidR="004A2DF7" w:rsidRPr="006D2D94" w:rsidRDefault="000A0A65">
            <w:pPr>
              <w:pStyle w:val="ARGrantstabletext"/>
              <w:rPr>
                <w:bCs/>
                <w:color w:val="000000"/>
              </w:rPr>
            </w:pPr>
            <w:r w:rsidRPr="00464DB0">
              <w:rPr>
                <w:color w:val="000000"/>
              </w:rPr>
              <w:t>Peninsula Specialist 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FFA113B" w14:textId="5686F890" w:rsidR="004A2DF7" w:rsidRPr="006D2D94" w:rsidRDefault="000A0A65">
            <w:pPr>
              <w:pStyle w:val="ARGrantstabletextright"/>
              <w:rPr>
                <w:bCs/>
                <w:color w:val="000000"/>
              </w:rPr>
            </w:pPr>
            <w:r w:rsidRPr="00464DB0">
              <w:rPr>
                <w:color w:val="000000"/>
              </w:rPr>
              <w:t>9,800</w:t>
            </w:r>
          </w:p>
        </w:tc>
      </w:tr>
      <w:tr w:rsidR="004A2DF7" w:rsidRPr="006D2D94" w14:paraId="6033C145" w14:textId="77777777" w:rsidTr="00370B3A">
        <w:tc>
          <w:tcPr>
            <w:tcW w:w="3398" w:type="dxa"/>
            <w:noWrap/>
            <w:vAlign w:val="bottom"/>
          </w:tcPr>
          <w:p w14:paraId="0F7F9F02" w14:textId="12FA7E23" w:rsidR="004A2DF7" w:rsidRPr="006D2D94" w:rsidRDefault="000A0A65">
            <w:pPr>
              <w:pStyle w:val="ARGrantstabletext"/>
              <w:rPr>
                <w:bCs/>
                <w:color w:val="000000"/>
              </w:rPr>
            </w:pPr>
            <w:r w:rsidRPr="00464DB0">
              <w:rPr>
                <w:color w:val="000000"/>
              </w:rPr>
              <w:t>Preston Neighbourhood House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E03BB43" w14:textId="2EC5C5AE" w:rsidR="004A2DF7" w:rsidRPr="006D2D94" w:rsidRDefault="000A0A65">
            <w:pPr>
              <w:pStyle w:val="ARGrantstabletextright"/>
              <w:rPr>
                <w:bCs/>
                <w:color w:val="000000"/>
              </w:rPr>
            </w:pPr>
            <w:r w:rsidRPr="00464DB0">
              <w:rPr>
                <w:color w:val="000000"/>
              </w:rPr>
              <w:t>58,333</w:t>
            </w:r>
          </w:p>
        </w:tc>
      </w:tr>
      <w:tr w:rsidR="004A2DF7" w:rsidRPr="006D2D94" w14:paraId="56D76B09" w14:textId="77777777" w:rsidTr="00370B3A">
        <w:tc>
          <w:tcPr>
            <w:tcW w:w="3398" w:type="dxa"/>
            <w:noWrap/>
            <w:vAlign w:val="bottom"/>
          </w:tcPr>
          <w:p w14:paraId="3C8A5C4B" w14:textId="743D6A31" w:rsidR="004A2DF7" w:rsidRPr="006D2D94" w:rsidRDefault="000A0A65">
            <w:pPr>
              <w:pStyle w:val="ARGrantstabletext"/>
              <w:rPr>
                <w:bCs/>
                <w:color w:val="000000"/>
              </w:rPr>
            </w:pPr>
            <w:r w:rsidRPr="00464DB0">
              <w:rPr>
                <w:color w:val="000000"/>
              </w:rPr>
              <w:t>Pyrenees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3037620" w14:textId="731FCCAA" w:rsidR="004A2DF7" w:rsidRPr="006D2D94" w:rsidRDefault="000A0A65">
            <w:pPr>
              <w:pStyle w:val="ARGrantstabletextright"/>
              <w:rPr>
                <w:bCs/>
                <w:color w:val="000000"/>
              </w:rPr>
            </w:pPr>
            <w:r w:rsidRPr="00464DB0">
              <w:rPr>
                <w:color w:val="000000"/>
              </w:rPr>
              <w:t>42,500</w:t>
            </w:r>
          </w:p>
        </w:tc>
      </w:tr>
      <w:tr w:rsidR="004A2DF7" w:rsidRPr="006D2D94" w14:paraId="22FEA2D3" w14:textId="77777777" w:rsidTr="00370B3A">
        <w:tc>
          <w:tcPr>
            <w:tcW w:w="3398" w:type="dxa"/>
            <w:noWrap/>
            <w:vAlign w:val="bottom"/>
          </w:tcPr>
          <w:p w14:paraId="21322811" w14:textId="196CC4C1" w:rsidR="004A2DF7" w:rsidRPr="006D2D94" w:rsidRDefault="000A0A65">
            <w:pPr>
              <w:pStyle w:val="ARGrantstabletext"/>
              <w:rPr>
                <w:bCs/>
                <w:color w:val="000000"/>
              </w:rPr>
            </w:pPr>
            <w:r w:rsidRPr="00464DB0">
              <w:rPr>
                <w:color w:val="000000"/>
              </w:rPr>
              <w:t>Queenscliff Music Festival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C37C7F4" w14:textId="3C95B411" w:rsidR="004A2DF7" w:rsidRPr="006D2D94" w:rsidRDefault="000A0A65">
            <w:pPr>
              <w:pStyle w:val="ARGrantstabletextright"/>
              <w:rPr>
                <w:bCs/>
                <w:color w:val="000000"/>
              </w:rPr>
            </w:pPr>
            <w:r w:rsidRPr="00464DB0">
              <w:rPr>
                <w:color w:val="000000"/>
              </w:rPr>
              <w:t>37,750</w:t>
            </w:r>
          </w:p>
        </w:tc>
      </w:tr>
      <w:tr w:rsidR="004A2DF7" w:rsidRPr="006D2D94" w14:paraId="2615DC84" w14:textId="77777777" w:rsidTr="00370B3A">
        <w:tc>
          <w:tcPr>
            <w:tcW w:w="3398" w:type="dxa"/>
            <w:noWrap/>
            <w:vAlign w:val="bottom"/>
          </w:tcPr>
          <w:p w14:paraId="1DB9418F" w14:textId="5629CB4A" w:rsidR="004A2DF7" w:rsidRPr="006D2D94" w:rsidRDefault="000A0A65">
            <w:pPr>
              <w:pStyle w:val="ARGrantstabletext"/>
              <w:rPr>
                <w:bCs/>
                <w:color w:val="000000"/>
              </w:rPr>
            </w:pPr>
            <w:r w:rsidRPr="00464DB0">
              <w:rPr>
                <w:color w:val="000000"/>
              </w:rPr>
              <w:t>Raise Foundation</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714DAAC" w14:textId="1C68AAEE" w:rsidR="004A2DF7" w:rsidRPr="006D2D94" w:rsidRDefault="000A0A65">
            <w:pPr>
              <w:pStyle w:val="ARGrantstabletextright"/>
              <w:rPr>
                <w:bCs/>
                <w:color w:val="000000"/>
              </w:rPr>
            </w:pPr>
            <w:r w:rsidRPr="00464DB0">
              <w:rPr>
                <w:color w:val="000000"/>
              </w:rPr>
              <w:t>65,000</w:t>
            </w:r>
          </w:p>
        </w:tc>
      </w:tr>
      <w:tr w:rsidR="004A2DF7" w:rsidRPr="006D2D94" w14:paraId="1FDECACD" w14:textId="77777777" w:rsidTr="00370B3A">
        <w:tc>
          <w:tcPr>
            <w:tcW w:w="3398" w:type="dxa"/>
            <w:noWrap/>
            <w:vAlign w:val="bottom"/>
          </w:tcPr>
          <w:p w14:paraId="2FB97A3D" w14:textId="76722627" w:rsidR="004A2DF7" w:rsidRPr="006D2D94" w:rsidRDefault="000A0A65">
            <w:pPr>
              <w:pStyle w:val="ARGrantstabletext"/>
              <w:rPr>
                <w:bCs/>
                <w:color w:val="000000"/>
              </w:rPr>
            </w:pPr>
            <w:r w:rsidRPr="00464DB0">
              <w:rPr>
                <w:color w:val="000000"/>
              </w:rPr>
              <w:t>Ranges Academy of Performing Arts (RAPA) Inc</w:t>
            </w:r>
            <w:r>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993382B" w14:textId="142EA121" w:rsidR="004A2DF7" w:rsidRPr="006D2D94" w:rsidRDefault="000A0A65">
            <w:pPr>
              <w:pStyle w:val="ARGrantstabletextright"/>
              <w:rPr>
                <w:bCs/>
                <w:color w:val="000000"/>
              </w:rPr>
            </w:pPr>
            <w:r w:rsidRPr="00464DB0">
              <w:rPr>
                <w:color w:val="000000"/>
              </w:rPr>
              <w:t>8,750</w:t>
            </w:r>
          </w:p>
        </w:tc>
      </w:tr>
      <w:tr w:rsidR="004A2DF7" w:rsidRPr="006D2D94" w14:paraId="6AFD175B" w14:textId="77777777" w:rsidTr="00370B3A">
        <w:tc>
          <w:tcPr>
            <w:tcW w:w="3398" w:type="dxa"/>
            <w:noWrap/>
            <w:vAlign w:val="bottom"/>
          </w:tcPr>
          <w:p w14:paraId="4116D3A5" w14:textId="5BE8254F" w:rsidR="004A2DF7" w:rsidRPr="006D2D94" w:rsidRDefault="000A0A65">
            <w:pPr>
              <w:pStyle w:val="ARGrantstabletext"/>
              <w:rPr>
                <w:bCs/>
                <w:color w:val="000000"/>
              </w:rPr>
            </w:pPr>
            <w:r w:rsidRPr="00464DB0">
              <w:rPr>
                <w:color w:val="000000"/>
              </w:rPr>
              <w:t>Red Cliffs Secondary 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3C22B1F" w14:textId="73EC3BFC" w:rsidR="004A2DF7" w:rsidRPr="006D2D94" w:rsidRDefault="000A0A65">
            <w:pPr>
              <w:pStyle w:val="ARGrantstabletextright"/>
              <w:rPr>
                <w:bCs/>
                <w:color w:val="000000"/>
              </w:rPr>
            </w:pPr>
            <w:r w:rsidRPr="00464DB0">
              <w:rPr>
                <w:color w:val="000000"/>
              </w:rPr>
              <w:t>12,000</w:t>
            </w:r>
          </w:p>
        </w:tc>
      </w:tr>
      <w:tr w:rsidR="004A2DF7" w:rsidRPr="006D2D94" w14:paraId="0B3CEFDD" w14:textId="77777777" w:rsidTr="00370B3A">
        <w:tc>
          <w:tcPr>
            <w:tcW w:w="3398" w:type="dxa"/>
            <w:noWrap/>
            <w:vAlign w:val="bottom"/>
          </w:tcPr>
          <w:p w14:paraId="0A75E8C3" w14:textId="48C62F27" w:rsidR="004A2DF7" w:rsidRPr="006D2D94" w:rsidRDefault="000A0A65">
            <w:pPr>
              <w:pStyle w:val="ARGrantstabletext"/>
              <w:rPr>
                <w:bCs/>
                <w:color w:val="000000"/>
              </w:rPr>
            </w:pPr>
            <w:r w:rsidRPr="00464DB0">
              <w:rPr>
                <w:color w:val="000000"/>
              </w:rPr>
              <w:t>Rite Mentoring Incorporated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86F2720" w14:textId="760BC7B4" w:rsidR="004A2DF7" w:rsidRPr="006D2D94" w:rsidRDefault="000A0A65">
            <w:pPr>
              <w:pStyle w:val="ARGrantstabletextright"/>
              <w:rPr>
                <w:bCs/>
                <w:color w:val="000000"/>
              </w:rPr>
            </w:pPr>
            <w:r w:rsidRPr="00464DB0">
              <w:rPr>
                <w:color w:val="000000"/>
              </w:rPr>
              <w:t>57,500</w:t>
            </w:r>
          </w:p>
        </w:tc>
      </w:tr>
      <w:tr w:rsidR="004A2DF7" w:rsidRPr="006D2D94" w14:paraId="5D368AE2" w14:textId="77777777" w:rsidTr="00370B3A">
        <w:tc>
          <w:tcPr>
            <w:tcW w:w="3398" w:type="dxa"/>
            <w:noWrap/>
            <w:vAlign w:val="bottom"/>
          </w:tcPr>
          <w:p w14:paraId="3BCAA0B7" w14:textId="3CF92ABE" w:rsidR="004A2DF7" w:rsidRPr="006D2D94" w:rsidRDefault="000A0A65">
            <w:pPr>
              <w:pStyle w:val="ARGrantstabletext"/>
              <w:rPr>
                <w:bCs/>
                <w:color w:val="000000"/>
              </w:rPr>
            </w:pPr>
            <w:r w:rsidRPr="00464DB0">
              <w:rPr>
                <w:color w:val="000000"/>
              </w:rPr>
              <w:t>River Nile School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784657E" w14:textId="3DE999A9" w:rsidR="004A2DF7" w:rsidRPr="006D2D94" w:rsidRDefault="000A0A65">
            <w:pPr>
              <w:pStyle w:val="ARGrantstabletextright"/>
              <w:rPr>
                <w:bCs/>
                <w:color w:val="000000"/>
              </w:rPr>
            </w:pPr>
            <w:r w:rsidRPr="00464DB0">
              <w:rPr>
                <w:color w:val="000000"/>
              </w:rPr>
              <w:t>2,000</w:t>
            </w:r>
          </w:p>
        </w:tc>
      </w:tr>
      <w:tr w:rsidR="004A2DF7" w:rsidRPr="006D2D94" w14:paraId="42ED9496" w14:textId="77777777" w:rsidTr="00370B3A">
        <w:tc>
          <w:tcPr>
            <w:tcW w:w="3398" w:type="dxa"/>
            <w:noWrap/>
            <w:vAlign w:val="bottom"/>
          </w:tcPr>
          <w:p w14:paraId="107AE076" w14:textId="45B8ABAE" w:rsidR="004A2DF7" w:rsidRPr="006D2D94" w:rsidRDefault="000A0A65">
            <w:pPr>
              <w:pStyle w:val="ARGrantstabletext"/>
              <w:rPr>
                <w:bCs/>
                <w:color w:val="000000"/>
              </w:rPr>
            </w:pPr>
            <w:proofErr w:type="spellStart"/>
            <w:r w:rsidRPr="00464DB0">
              <w:rPr>
                <w:color w:val="000000"/>
              </w:rPr>
              <w:t>Rumbalara</w:t>
            </w:r>
            <w:proofErr w:type="spellEnd"/>
            <w:r w:rsidRPr="00464DB0">
              <w:rPr>
                <w:color w:val="000000"/>
              </w:rPr>
              <w:t xml:space="preserve"> Football and Netball Club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501D8F8" w14:textId="589F1065" w:rsidR="004A2DF7" w:rsidRPr="006D2D94" w:rsidRDefault="000A0A65">
            <w:pPr>
              <w:pStyle w:val="ARGrantstabletextright"/>
              <w:rPr>
                <w:bCs/>
                <w:color w:val="000000"/>
              </w:rPr>
            </w:pPr>
            <w:r w:rsidRPr="00464DB0">
              <w:rPr>
                <w:color w:val="000000"/>
              </w:rPr>
              <w:t>152,800</w:t>
            </w:r>
          </w:p>
        </w:tc>
      </w:tr>
      <w:tr w:rsidR="004A2DF7" w:rsidRPr="006D2D94" w14:paraId="44B371FA" w14:textId="77777777" w:rsidTr="00370B3A">
        <w:tc>
          <w:tcPr>
            <w:tcW w:w="3398" w:type="dxa"/>
            <w:noWrap/>
            <w:vAlign w:val="bottom"/>
          </w:tcPr>
          <w:p w14:paraId="2F6A06F3" w14:textId="6944D8E4" w:rsidR="004A2DF7" w:rsidRPr="006D2D94" w:rsidRDefault="000A0A65">
            <w:pPr>
              <w:pStyle w:val="ARGrantstabletext"/>
              <w:rPr>
                <w:bCs/>
                <w:color w:val="000000"/>
              </w:rPr>
            </w:pPr>
            <w:r w:rsidRPr="00464DB0">
              <w:rPr>
                <w:color w:val="000000"/>
              </w:rPr>
              <w:t>Rural City of Wangaratta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199648F" w14:textId="114199BE" w:rsidR="004A2DF7" w:rsidRPr="006D2D94" w:rsidRDefault="000A0A65">
            <w:pPr>
              <w:pStyle w:val="ARGrantstabletextright"/>
              <w:rPr>
                <w:bCs/>
                <w:color w:val="000000"/>
              </w:rPr>
            </w:pPr>
            <w:r w:rsidRPr="00464DB0">
              <w:rPr>
                <w:color w:val="000000"/>
              </w:rPr>
              <w:t>85,250</w:t>
            </w:r>
          </w:p>
        </w:tc>
      </w:tr>
      <w:tr w:rsidR="004A2DF7" w:rsidRPr="006D2D94" w14:paraId="2E8C4567" w14:textId="77777777" w:rsidTr="00370B3A">
        <w:tc>
          <w:tcPr>
            <w:tcW w:w="3398" w:type="dxa"/>
            <w:noWrap/>
            <w:vAlign w:val="bottom"/>
          </w:tcPr>
          <w:p w14:paraId="33286E38" w14:textId="1CB3CB9E" w:rsidR="004A2DF7" w:rsidRPr="006D2D94" w:rsidRDefault="000A0A65">
            <w:pPr>
              <w:pStyle w:val="ARGrantstabletext"/>
              <w:rPr>
                <w:bCs/>
                <w:color w:val="000000"/>
              </w:rPr>
            </w:pPr>
            <w:r w:rsidRPr="00464DB0">
              <w:rPr>
                <w:color w:val="000000"/>
              </w:rPr>
              <w:t>Selby Community House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119317D" w14:textId="38972BB7" w:rsidR="004A2DF7" w:rsidRPr="006D2D94" w:rsidRDefault="000A0A65">
            <w:pPr>
              <w:pStyle w:val="ARGrantstabletextright"/>
              <w:rPr>
                <w:bCs/>
                <w:color w:val="000000"/>
              </w:rPr>
            </w:pPr>
            <w:r w:rsidRPr="00464DB0">
              <w:rPr>
                <w:color w:val="000000"/>
              </w:rPr>
              <w:t>2,000</w:t>
            </w:r>
          </w:p>
        </w:tc>
      </w:tr>
      <w:tr w:rsidR="004A2DF7" w:rsidRPr="006D2D94" w14:paraId="70A888C8" w14:textId="77777777" w:rsidTr="00370B3A">
        <w:tc>
          <w:tcPr>
            <w:tcW w:w="3398" w:type="dxa"/>
            <w:noWrap/>
            <w:vAlign w:val="bottom"/>
          </w:tcPr>
          <w:p w14:paraId="564F54B6" w14:textId="1A74D19E" w:rsidR="004A2DF7" w:rsidRPr="006D2D94" w:rsidRDefault="000A0A65">
            <w:pPr>
              <w:pStyle w:val="ARGrantstabletext"/>
              <w:rPr>
                <w:bCs/>
                <w:color w:val="000000"/>
              </w:rPr>
            </w:pPr>
            <w:r w:rsidRPr="00464DB0">
              <w:rPr>
                <w:color w:val="000000"/>
              </w:rPr>
              <w:t>SENVIC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C71B138" w14:textId="0E9A4E7A" w:rsidR="004A2DF7" w:rsidRPr="006D2D94" w:rsidRDefault="000A0A65">
            <w:pPr>
              <w:pStyle w:val="ARGrantstabletextright"/>
              <w:rPr>
                <w:bCs/>
                <w:color w:val="000000"/>
              </w:rPr>
            </w:pPr>
            <w:r w:rsidRPr="00464DB0">
              <w:rPr>
                <w:color w:val="000000"/>
              </w:rPr>
              <w:t>25,000</w:t>
            </w:r>
          </w:p>
        </w:tc>
      </w:tr>
      <w:tr w:rsidR="004A2DF7" w:rsidRPr="006D2D94" w14:paraId="386D64C6" w14:textId="77777777" w:rsidTr="00370B3A">
        <w:tc>
          <w:tcPr>
            <w:tcW w:w="3398" w:type="dxa"/>
            <w:noWrap/>
            <w:vAlign w:val="bottom"/>
          </w:tcPr>
          <w:p w14:paraId="0C945FE3" w14:textId="50C15B03" w:rsidR="004A2DF7" w:rsidRPr="006D2D94" w:rsidRDefault="000A0A65">
            <w:pPr>
              <w:pStyle w:val="ARGrantstabletext"/>
              <w:rPr>
                <w:bCs/>
                <w:color w:val="000000"/>
              </w:rPr>
            </w:pPr>
            <w:proofErr w:type="spellStart"/>
            <w:r w:rsidRPr="00464DB0">
              <w:rPr>
                <w:color w:val="000000"/>
              </w:rPr>
              <w:t>Shamama</w:t>
            </w:r>
            <w:proofErr w:type="spellEnd"/>
            <w:r w:rsidRPr="00464DB0">
              <w:rPr>
                <w:color w:val="000000"/>
              </w:rPr>
              <w:t xml:space="preserve"> Association of Australia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32F4B6D" w14:textId="24CD60E0" w:rsidR="004A2DF7" w:rsidRPr="006D2D94" w:rsidRDefault="000A0A65">
            <w:pPr>
              <w:pStyle w:val="ARGrantstabletextright"/>
              <w:rPr>
                <w:bCs/>
                <w:color w:val="000000"/>
              </w:rPr>
            </w:pPr>
            <w:r w:rsidRPr="00464DB0">
              <w:rPr>
                <w:color w:val="000000"/>
              </w:rPr>
              <w:t>2,000</w:t>
            </w:r>
          </w:p>
        </w:tc>
      </w:tr>
      <w:tr w:rsidR="004A2DF7" w:rsidRPr="006D2D94" w14:paraId="0B7379A2" w14:textId="77777777" w:rsidTr="00370B3A">
        <w:tc>
          <w:tcPr>
            <w:tcW w:w="3398" w:type="dxa"/>
            <w:noWrap/>
            <w:vAlign w:val="bottom"/>
          </w:tcPr>
          <w:p w14:paraId="57BFC10B" w14:textId="760A4298" w:rsidR="004A2DF7" w:rsidRPr="006D2D94" w:rsidRDefault="000A0A65">
            <w:pPr>
              <w:pStyle w:val="ARGrantstabletext"/>
              <w:rPr>
                <w:bCs/>
                <w:color w:val="000000"/>
              </w:rPr>
            </w:pPr>
            <w:proofErr w:type="spellStart"/>
            <w:r w:rsidRPr="00464DB0">
              <w:rPr>
                <w:color w:val="000000"/>
              </w:rPr>
              <w:t>Shugoofa</w:t>
            </w:r>
            <w:proofErr w:type="spellEnd"/>
            <w:r w:rsidRPr="00464DB0">
              <w:rPr>
                <w:color w:val="000000"/>
              </w:rPr>
              <w:t xml:space="preserve"> Incorporated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25D96EA" w14:textId="02A9BD87" w:rsidR="004A2DF7" w:rsidRPr="006D2D94" w:rsidRDefault="000A0A65">
            <w:pPr>
              <w:pStyle w:val="ARGrantstabletextright"/>
              <w:rPr>
                <w:bCs/>
                <w:color w:val="000000"/>
              </w:rPr>
            </w:pPr>
            <w:r w:rsidRPr="00464DB0">
              <w:rPr>
                <w:color w:val="000000"/>
              </w:rPr>
              <w:t>2,000</w:t>
            </w:r>
          </w:p>
        </w:tc>
      </w:tr>
      <w:tr w:rsidR="004A2DF7" w:rsidRPr="006D2D94" w14:paraId="213F6727" w14:textId="77777777" w:rsidTr="00370B3A">
        <w:tc>
          <w:tcPr>
            <w:tcW w:w="3398" w:type="dxa"/>
            <w:noWrap/>
            <w:vAlign w:val="bottom"/>
          </w:tcPr>
          <w:p w14:paraId="680E019C" w14:textId="44D8A4B5" w:rsidR="004A2DF7" w:rsidRPr="006D2D94" w:rsidRDefault="000A0A65">
            <w:pPr>
              <w:pStyle w:val="ARGrantstabletext"/>
              <w:rPr>
                <w:bCs/>
                <w:color w:val="000000"/>
              </w:rPr>
            </w:pPr>
            <w:r w:rsidRPr="00464DB0">
              <w:rPr>
                <w:color w:val="000000"/>
              </w:rPr>
              <w:t>Simpson and District Community Centre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C609BA1" w14:textId="4633843B" w:rsidR="004A2DF7" w:rsidRPr="006D2D94" w:rsidRDefault="000A0A65">
            <w:pPr>
              <w:pStyle w:val="ARGrantstabletextright"/>
              <w:rPr>
                <w:bCs/>
                <w:color w:val="000000"/>
              </w:rPr>
            </w:pPr>
            <w:r w:rsidRPr="00464DB0">
              <w:rPr>
                <w:color w:val="000000"/>
              </w:rPr>
              <w:t>2,000</w:t>
            </w:r>
          </w:p>
        </w:tc>
      </w:tr>
      <w:tr w:rsidR="004A2DF7" w:rsidRPr="006D2D94" w14:paraId="5CDA64D5" w14:textId="77777777" w:rsidTr="00370B3A">
        <w:tc>
          <w:tcPr>
            <w:tcW w:w="3398" w:type="dxa"/>
            <w:noWrap/>
            <w:vAlign w:val="bottom"/>
          </w:tcPr>
          <w:p w14:paraId="1864F9CB" w14:textId="4164990F" w:rsidR="004A2DF7" w:rsidRPr="006D2D94" w:rsidRDefault="000A0A65">
            <w:pPr>
              <w:pStyle w:val="ARGrantstabletext"/>
              <w:rPr>
                <w:bCs/>
                <w:color w:val="000000"/>
              </w:rPr>
            </w:pPr>
            <w:proofErr w:type="gramStart"/>
            <w:r w:rsidRPr="00464DB0">
              <w:rPr>
                <w:color w:val="000000"/>
              </w:rPr>
              <w:t>South East</w:t>
            </w:r>
            <w:proofErr w:type="gramEnd"/>
            <w:r w:rsidRPr="00464DB0">
              <w:rPr>
                <w:color w:val="000000"/>
              </w:rPr>
              <w:t xml:space="preserve"> Community Links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4CFA42E" w14:textId="4B50B52E" w:rsidR="004A2DF7" w:rsidRPr="006D2D94" w:rsidRDefault="000A0A65">
            <w:pPr>
              <w:pStyle w:val="ARGrantstabletextright"/>
              <w:rPr>
                <w:bCs/>
                <w:color w:val="000000"/>
              </w:rPr>
            </w:pPr>
            <w:r w:rsidRPr="00464DB0">
              <w:rPr>
                <w:color w:val="000000"/>
              </w:rPr>
              <w:t>137,500</w:t>
            </w:r>
          </w:p>
        </w:tc>
      </w:tr>
      <w:tr w:rsidR="004A2DF7" w:rsidRPr="006D2D94" w14:paraId="7028DBB8" w14:textId="77777777" w:rsidTr="00370B3A">
        <w:tc>
          <w:tcPr>
            <w:tcW w:w="3398" w:type="dxa"/>
            <w:noWrap/>
            <w:vAlign w:val="bottom"/>
          </w:tcPr>
          <w:p w14:paraId="415B1D6A" w14:textId="724392A7" w:rsidR="004A2DF7" w:rsidRPr="006D2D94" w:rsidRDefault="000A0A65">
            <w:pPr>
              <w:pStyle w:val="ARGrantstabletext"/>
              <w:rPr>
                <w:bCs/>
                <w:color w:val="000000"/>
              </w:rPr>
            </w:pPr>
            <w:r w:rsidRPr="00464DB0">
              <w:rPr>
                <w:color w:val="000000"/>
              </w:rPr>
              <w:t>South Gippsland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F8443C6" w14:textId="255E14EB" w:rsidR="004A2DF7" w:rsidRPr="006D2D94" w:rsidRDefault="000A0A65">
            <w:pPr>
              <w:pStyle w:val="ARGrantstabletextright"/>
              <w:rPr>
                <w:bCs/>
                <w:color w:val="000000"/>
              </w:rPr>
            </w:pPr>
            <w:r w:rsidRPr="00464DB0">
              <w:rPr>
                <w:color w:val="000000"/>
              </w:rPr>
              <w:t>60,250</w:t>
            </w:r>
          </w:p>
        </w:tc>
      </w:tr>
      <w:tr w:rsidR="004A2DF7" w:rsidRPr="006D2D94" w14:paraId="77A6109B" w14:textId="77777777" w:rsidTr="00370B3A">
        <w:tc>
          <w:tcPr>
            <w:tcW w:w="3398" w:type="dxa"/>
            <w:noWrap/>
            <w:vAlign w:val="bottom"/>
          </w:tcPr>
          <w:p w14:paraId="6A82050C" w14:textId="255545C7" w:rsidR="004A2DF7" w:rsidRPr="006D2D94" w:rsidRDefault="000A0A65">
            <w:pPr>
              <w:pStyle w:val="ARGrantstabletext"/>
              <w:rPr>
                <w:bCs/>
                <w:color w:val="000000"/>
              </w:rPr>
            </w:pPr>
            <w:r w:rsidRPr="00464DB0">
              <w:rPr>
                <w:color w:val="000000"/>
              </w:rPr>
              <w:t>Southern Grampians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9088A15" w14:textId="5362A4EE" w:rsidR="004A2DF7" w:rsidRPr="006D2D94" w:rsidRDefault="000A0A65">
            <w:pPr>
              <w:pStyle w:val="ARGrantstabletextright"/>
              <w:rPr>
                <w:bCs/>
                <w:color w:val="000000"/>
              </w:rPr>
            </w:pPr>
            <w:r w:rsidRPr="00464DB0">
              <w:rPr>
                <w:color w:val="000000"/>
              </w:rPr>
              <w:t>37,750</w:t>
            </w:r>
          </w:p>
        </w:tc>
      </w:tr>
      <w:tr w:rsidR="004A2DF7" w:rsidRPr="006D2D94" w14:paraId="466A0531" w14:textId="77777777" w:rsidTr="00370B3A">
        <w:tc>
          <w:tcPr>
            <w:tcW w:w="3398" w:type="dxa"/>
            <w:noWrap/>
            <w:vAlign w:val="bottom"/>
          </w:tcPr>
          <w:p w14:paraId="38D8075D" w14:textId="12FC897A" w:rsidR="004A2DF7" w:rsidRPr="006D2D94" w:rsidRDefault="000A0A65">
            <w:pPr>
              <w:pStyle w:val="ARGrantstabletext"/>
              <w:rPr>
                <w:bCs/>
                <w:color w:val="000000"/>
              </w:rPr>
            </w:pPr>
            <w:r w:rsidRPr="00464DB0">
              <w:rPr>
                <w:color w:val="000000"/>
              </w:rPr>
              <w:t>Standing Tall in Warrnambool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29F5AC4" w14:textId="57838BE2" w:rsidR="004A2DF7" w:rsidRPr="006D2D94" w:rsidRDefault="000A0A65">
            <w:pPr>
              <w:pStyle w:val="ARGrantstabletextright"/>
              <w:rPr>
                <w:bCs/>
                <w:color w:val="000000"/>
              </w:rPr>
            </w:pPr>
            <w:r w:rsidRPr="00464DB0">
              <w:rPr>
                <w:color w:val="000000"/>
              </w:rPr>
              <w:t>40,000</w:t>
            </w:r>
          </w:p>
        </w:tc>
      </w:tr>
      <w:tr w:rsidR="004A2DF7" w:rsidRPr="006D2D94" w14:paraId="32F9C1BB" w14:textId="77777777" w:rsidTr="00370B3A">
        <w:tc>
          <w:tcPr>
            <w:tcW w:w="3398" w:type="dxa"/>
            <w:noWrap/>
            <w:vAlign w:val="bottom"/>
          </w:tcPr>
          <w:p w14:paraId="6C560988" w14:textId="6C9A4BC5" w:rsidR="004A2DF7" w:rsidRPr="006D2D94" w:rsidRDefault="000A0A65">
            <w:pPr>
              <w:pStyle w:val="ARGrantstabletext"/>
              <w:rPr>
                <w:bCs/>
                <w:color w:val="000000"/>
              </w:rPr>
            </w:pPr>
            <w:r w:rsidRPr="00464DB0">
              <w:rPr>
                <w:color w:val="000000"/>
              </w:rPr>
              <w:t>Stonnington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BB8935A" w14:textId="7659A944" w:rsidR="004A2DF7" w:rsidRPr="006D2D94" w:rsidRDefault="000A0A65">
            <w:pPr>
              <w:pStyle w:val="ARGrantstabletextright"/>
              <w:rPr>
                <w:bCs/>
                <w:color w:val="000000"/>
              </w:rPr>
            </w:pPr>
            <w:r w:rsidRPr="00464DB0">
              <w:rPr>
                <w:color w:val="000000"/>
              </w:rPr>
              <w:t>51,250</w:t>
            </w:r>
          </w:p>
        </w:tc>
      </w:tr>
      <w:tr w:rsidR="004A2DF7" w:rsidRPr="006D2D94" w14:paraId="4DBD82A1" w14:textId="77777777" w:rsidTr="00370B3A">
        <w:tc>
          <w:tcPr>
            <w:tcW w:w="3398" w:type="dxa"/>
            <w:noWrap/>
            <w:vAlign w:val="bottom"/>
          </w:tcPr>
          <w:p w14:paraId="3289FB33" w14:textId="68BF9AB3" w:rsidR="004A2DF7" w:rsidRPr="006D2D94" w:rsidRDefault="000A0A65">
            <w:pPr>
              <w:pStyle w:val="ARGrantstabletext"/>
              <w:rPr>
                <w:bCs/>
                <w:color w:val="000000"/>
              </w:rPr>
            </w:pPr>
            <w:r w:rsidRPr="00464DB0">
              <w:rPr>
                <w:color w:val="000000"/>
              </w:rPr>
              <w:t>Strathbogie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276AC51" w14:textId="199EAEC1" w:rsidR="004A2DF7" w:rsidRPr="006D2D94" w:rsidRDefault="000A0A65">
            <w:pPr>
              <w:pStyle w:val="ARGrantstabletextright"/>
              <w:rPr>
                <w:bCs/>
                <w:color w:val="000000"/>
              </w:rPr>
            </w:pPr>
            <w:r w:rsidRPr="00464DB0">
              <w:rPr>
                <w:color w:val="000000"/>
              </w:rPr>
              <w:t>94,250</w:t>
            </w:r>
          </w:p>
        </w:tc>
      </w:tr>
      <w:tr w:rsidR="004A2DF7" w:rsidRPr="006D2D94" w14:paraId="20ECE36D" w14:textId="77777777" w:rsidTr="00370B3A">
        <w:tc>
          <w:tcPr>
            <w:tcW w:w="3398" w:type="dxa"/>
            <w:noWrap/>
            <w:vAlign w:val="bottom"/>
          </w:tcPr>
          <w:p w14:paraId="7A494735" w14:textId="77A2E0E6" w:rsidR="004A2DF7" w:rsidRPr="006D2D94" w:rsidRDefault="000A0A65">
            <w:pPr>
              <w:pStyle w:val="ARGrantstabletext"/>
              <w:rPr>
                <w:bCs/>
                <w:color w:val="000000"/>
              </w:rPr>
            </w:pPr>
            <w:r w:rsidRPr="00464DB0">
              <w:rPr>
                <w:color w:val="000000"/>
              </w:rPr>
              <w:t>Stride Mental Health</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83DAB98" w14:textId="3E9AE000" w:rsidR="004A2DF7" w:rsidRPr="006D2D94" w:rsidRDefault="000A0A65">
            <w:pPr>
              <w:pStyle w:val="ARGrantstabletextright"/>
              <w:rPr>
                <w:bCs/>
                <w:color w:val="000000"/>
              </w:rPr>
            </w:pPr>
            <w:r w:rsidRPr="00464DB0">
              <w:rPr>
                <w:color w:val="000000"/>
              </w:rPr>
              <w:t>2,000</w:t>
            </w:r>
          </w:p>
        </w:tc>
      </w:tr>
      <w:tr w:rsidR="004A2DF7" w:rsidRPr="006D2D94" w14:paraId="05E9939A" w14:textId="77777777" w:rsidTr="00370B3A">
        <w:tc>
          <w:tcPr>
            <w:tcW w:w="3398" w:type="dxa"/>
            <w:noWrap/>
            <w:vAlign w:val="bottom"/>
          </w:tcPr>
          <w:p w14:paraId="3ADD9414" w14:textId="569030FF" w:rsidR="004A2DF7" w:rsidRPr="006D2D94" w:rsidRDefault="000A0A65">
            <w:pPr>
              <w:pStyle w:val="ARGrantstabletext"/>
              <w:rPr>
                <w:bCs/>
                <w:color w:val="000000"/>
              </w:rPr>
            </w:pPr>
            <w:r w:rsidRPr="00464DB0">
              <w:rPr>
                <w:color w:val="000000"/>
              </w:rPr>
              <w:t>Student Youth Network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186A80B" w14:textId="74B48E09" w:rsidR="004A2DF7" w:rsidRPr="006D2D94" w:rsidRDefault="000A0A65">
            <w:pPr>
              <w:pStyle w:val="ARGrantstabletextright"/>
              <w:rPr>
                <w:bCs/>
                <w:color w:val="000000"/>
              </w:rPr>
            </w:pPr>
            <w:r w:rsidRPr="00464DB0">
              <w:rPr>
                <w:color w:val="000000"/>
              </w:rPr>
              <w:t>102,000</w:t>
            </w:r>
          </w:p>
        </w:tc>
      </w:tr>
      <w:tr w:rsidR="004A2DF7" w:rsidRPr="006D2D94" w14:paraId="690B42C3" w14:textId="77777777" w:rsidTr="00370B3A">
        <w:tc>
          <w:tcPr>
            <w:tcW w:w="3398" w:type="dxa"/>
            <w:noWrap/>
            <w:vAlign w:val="bottom"/>
          </w:tcPr>
          <w:p w14:paraId="6CD03A1C" w14:textId="4DB9E295" w:rsidR="004A2DF7" w:rsidRPr="006D2D94" w:rsidRDefault="000A0A65">
            <w:pPr>
              <w:pStyle w:val="ARGrantstabletext"/>
              <w:rPr>
                <w:bCs/>
                <w:color w:val="000000"/>
              </w:rPr>
            </w:pPr>
            <w:r w:rsidRPr="00464DB0">
              <w:rPr>
                <w:color w:val="000000"/>
              </w:rPr>
              <w:t>Sudaroli Inc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B5222BC" w14:textId="6F365CF2" w:rsidR="004A2DF7" w:rsidRPr="006D2D94" w:rsidRDefault="000A0A65">
            <w:pPr>
              <w:pStyle w:val="ARGrantstabletextright"/>
              <w:rPr>
                <w:bCs/>
                <w:color w:val="000000"/>
              </w:rPr>
            </w:pPr>
            <w:r w:rsidRPr="00464DB0">
              <w:rPr>
                <w:color w:val="000000"/>
              </w:rPr>
              <w:t>2,000</w:t>
            </w:r>
          </w:p>
        </w:tc>
      </w:tr>
      <w:tr w:rsidR="004A2DF7" w:rsidRPr="006D2D94" w14:paraId="1A7FA4E0" w14:textId="77777777" w:rsidTr="00370B3A">
        <w:tc>
          <w:tcPr>
            <w:tcW w:w="3398" w:type="dxa"/>
            <w:tcBorders>
              <w:bottom w:val="single" w:sz="4" w:space="0" w:color="A6A6A6" w:themeColor="accent5"/>
            </w:tcBorders>
            <w:noWrap/>
            <w:vAlign w:val="bottom"/>
          </w:tcPr>
          <w:p w14:paraId="700D2314" w14:textId="1398A28F" w:rsidR="004A2DF7" w:rsidRPr="006D2D94" w:rsidRDefault="000A0A65">
            <w:pPr>
              <w:pStyle w:val="ARGrantstabletext"/>
              <w:rPr>
                <w:bCs/>
                <w:color w:val="000000"/>
              </w:rPr>
            </w:pPr>
            <w:r w:rsidRPr="00464DB0">
              <w:rPr>
                <w:color w:val="000000"/>
              </w:rPr>
              <w:t>Sunraysia Community Health Services</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4307BA37" w14:textId="61A0F820" w:rsidR="004A2DF7" w:rsidRPr="006D2D94" w:rsidRDefault="000A0A65">
            <w:pPr>
              <w:pStyle w:val="ARGrantstabletextright"/>
              <w:rPr>
                <w:bCs/>
                <w:color w:val="000000"/>
              </w:rPr>
            </w:pPr>
            <w:r w:rsidRPr="00464DB0">
              <w:rPr>
                <w:color w:val="000000"/>
              </w:rPr>
              <w:t>25,000</w:t>
            </w:r>
          </w:p>
        </w:tc>
      </w:tr>
      <w:tr w:rsidR="004A2DF7" w:rsidRPr="006D2D94" w14:paraId="0DC0EF53" w14:textId="77777777" w:rsidTr="00370B3A">
        <w:tc>
          <w:tcPr>
            <w:tcW w:w="3398" w:type="dxa"/>
            <w:tcBorders>
              <w:top w:val="single" w:sz="4" w:space="0" w:color="A6A6A6" w:themeColor="accent5"/>
              <w:bottom w:val="single" w:sz="4" w:space="0" w:color="A6A6A6" w:themeColor="accent5"/>
            </w:tcBorders>
            <w:noWrap/>
            <w:vAlign w:val="bottom"/>
          </w:tcPr>
          <w:p w14:paraId="2DE4F77F" w14:textId="775BDBF5" w:rsidR="004A2DF7" w:rsidRPr="006D2D94" w:rsidRDefault="000A0A65">
            <w:pPr>
              <w:pStyle w:val="ARGrantstabletext"/>
              <w:rPr>
                <w:bCs/>
                <w:color w:val="000000"/>
              </w:rPr>
            </w:pPr>
            <w:r w:rsidRPr="00464DB0">
              <w:rPr>
                <w:color w:val="000000"/>
              </w:rPr>
              <w:t>Surf Coast Shire Council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43F79FF9" w14:textId="1A123B45" w:rsidR="004A2DF7" w:rsidRPr="006D2D94" w:rsidRDefault="000A0A65">
            <w:pPr>
              <w:pStyle w:val="ARGrantstabletextright"/>
              <w:rPr>
                <w:bCs/>
                <w:color w:val="000000"/>
              </w:rPr>
            </w:pPr>
            <w:r w:rsidRPr="00464DB0">
              <w:rPr>
                <w:color w:val="000000"/>
              </w:rPr>
              <w:t>114,750</w:t>
            </w:r>
          </w:p>
        </w:tc>
      </w:tr>
      <w:tr w:rsidR="004A2DF7" w:rsidRPr="006D2D94" w14:paraId="5305B38F" w14:textId="77777777" w:rsidTr="00370B3A">
        <w:tc>
          <w:tcPr>
            <w:tcW w:w="3398" w:type="dxa"/>
            <w:tcBorders>
              <w:top w:val="single" w:sz="4" w:space="0" w:color="A6A6A6" w:themeColor="accent5"/>
            </w:tcBorders>
            <w:noWrap/>
            <w:vAlign w:val="bottom"/>
          </w:tcPr>
          <w:p w14:paraId="3DA9EACA" w14:textId="487883E2" w:rsidR="004A2DF7" w:rsidRPr="006D2D94" w:rsidRDefault="000A0A65">
            <w:pPr>
              <w:pStyle w:val="ARGrantstabletext"/>
              <w:rPr>
                <w:bCs/>
                <w:color w:val="000000"/>
              </w:rPr>
            </w:pPr>
            <w:r w:rsidRPr="00464DB0">
              <w:rPr>
                <w:color w:val="000000"/>
              </w:rPr>
              <w:t>Sussex Neighbourhood House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3AA12498" w14:textId="52684952" w:rsidR="004A2DF7" w:rsidRPr="006D2D94" w:rsidRDefault="000A0A65">
            <w:pPr>
              <w:pStyle w:val="ARGrantstabletextright"/>
              <w:rPr>
                <w:bCs/>
                <w:color w:val="000000"/>
              </w:rPr>
            </w:pPr>
            <w:r w:rsidRPr="00464DB0">
              <w:rPr>
                <w:color w:val="000000"/>
              </w:rPr>
              <w:t>24,500</w:t>
            </w:r>
          </w:p>
        </w:tc>
      </w:tr>
      <w:tr w:rsidR="004A2DF7" w:rsidRPr="006D2D94" w14:paraId="182438D7" w14:textId="77777777" w:rsidTr="00370B3A">
        <w:tc>
          <w:tcPr>
            <w:tcW w:w="3398" w:type="dxa"/>
            <w:noWrap/>
            <w:vAlign w:val="bottom"/>
          </w:tcPr>
          <w:p w14:paraId="1CC654B6" w14:textId="05D1AEED" w:rsidR="004A2DF7" w:rsidRPr="006D2D94" w:rsidRDefault="000A0A65">
            <w:pPr>
              <w:pStyle w:val="ARGrantstabletext"/>
              <w:rPr>
                <w:bCs/>
                <w:color w:val="000000"/>
              </w:rPr>
            </w:pPr>
            <w:r w:rsidRPr="00464DB0">
              <w:rPr>
                <w:color w:val="000000"/>
              </w:rPr>
              <w:t>Swan Hill 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FAC82D6" w14:textId="58306F4C" w:rsidR="004A2DF7" w:rsidRPr="006D2D94" w:rsidRDefault="000A0A65">
            <w:pPr>
              <w:pStyle w:val="ARGrantstabletextright"/>
              <w:rPr>
                <w:bCs/>
                <w:color w:val="000000"/>
              </w:rPr>
            </w:pPr>
            <w:r w:rsidRPr="00464DB0">
              <w:rPr>
                <w:color w:val="000000"/>
              </w:rPr>
              <w:t>15,000</w:t>
            </w:r>
          </w:p>
        </w:tc>
      </w:tr>
      <w:tr w:rsidR="004A2DF7" w:rsidRPr="006D2D94" w14:paraId="51A9E39F" w14:textId="77777777" w:rsidTr="00370B3A">
        <w:tc>
          <w:tcPr>
            <w:tcW w:w="3398" w:type="dxa"/>
            <w:tcBorders>
              <w:bottom w:val="single" w:sz="4" w:space="0" w:color="A6A6A6" w:themeColor="accent5"/>
            </w:tcBorders>
            <w:noWrap/>
            <w:vAlign w:val="bottom"/>
          </w:tcPr>
          <w:p w14:paraId="40A55590" w14:textId="552A8F19" w:rsidR="004A2DF7" w:rsidRPr="006D2D94" w:rsidRDefault="000A0A65">
            <w:pPr>
              <w:pStyle w:val="ARGrantstabletext"/>
              <w:rPr>
                <w:bCs/>
                <w:color w:val="000000"/>
              </w:rPr>
            </w:pPr>
            <w:r w:rsidRPr="00464DB0">
              <w:rPr>
                <w:color w:val="000000"/>
              </w:rPr>
              <w:t>Swan Hill Rural City Council</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21D05DC4" w14:textId="5CC09FC7" w:rsidR="004A2DF7" w:rsidRPr="006D2D94" w:rsidRDefault="000A0A65">
            <w:pPr>
              <w:pStyle w:val="ARGrantstabletextright"/>
              <w:rPr>
                <w:bCs/>
                <w:color w:val="000000"/>
              </w:rPr>
            </w:pPr>
            <w:r w:rsidRPr="00464DB0">
              <w:rPr>
                <w:color w:val="000000"/>
              </w:rPr>
              <w:t>77,750</w:t>
            </w:r>
          </w:p>
        </w:tc>
      </w:tr>
      <w:tr w:rsidR="004A2DF7" w:rsidRPr="006D2D94" w14:paraId="3821AB91" w14:textId="77777777" w:rsidTr="00370B3A">
        <w:tc>
          <w:tcPr>
            <w:tcW w:w="3398" w:type="dxa"/>
            <w:tcBorders>
              <w:top w:val="single" w:sz="4" w:space="0" w:color="A6A6A6" w:themeColor="accent5"/>
              <w:bottom w:val="single" w:sz="4" w:space="0" w:color="A6A6A6" w:themeColor="accent5"/>
            </w:tcBorders>
            <w:noWrap/>
            <w:vAlign w:val="bottom"/>
          </w:tcPr>
          <w:p w14:paraId="7D8E262C" w14:textId="64BE6C22" w:rsidR="004A2DF7" w:rsidRPr="006D2D94" w:rsidRDefault="000A0A65">
            <w:pPr>
              <w:pStyle w:val="ARGrantstabletext"/>
              <w:rPr>
                <w:bCs/>
                <w:color w:val="000000"/>
              </w:rPr>
            </w:pPr>
            <w:r w:rsidRPr="00464DB0">
              <w:rPr>
                <w:color w:val="000000"/>
              </w:rPr>
              <w:t>Templestowe College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515B56E7" w14:textId="78474231" w:rsidR="004A2DF7" w:rsidRPr="006D2D94" w:rsidRDefault="000A0A65">
            <w:pPr>
              <w:pStyle w:val="ARGrantstabletextright"/>
              <w:rPr>
                <w:bCs/>
                <w:color w:val="000000"/>
              </w:rPr>
            </w:pPr>
            <w:r w:rsidRPr="00464DB0">
              <w:rPr>
                <w:color w:val="000000"/>
              </w:rPr>
              <w:t>2,000</w:t>
            </w:r>
          </w:p>
        </w:tc>
      </w:tr>
      <w:tr w:rsidR="004A2DF7" w:rsidRPr="006D2D94" w14:paraId="6B30BCE3" w14:textId="77777777" w:rsidTr="00370B3A">
        <w:tc>
          <w:tcPr>
            <w:tcW w:w="3398" w:type="dxa"/>
            <w:tcBorders>
              <w:top w:val="single" w:sz="4" w:space="0" w:color="A6A6A6" w:themeColor="accent5"/>
            </w:tcBorders>
            <w:noWrap/>
            <w:vAlign w:val="bottom"/>
          </w:tcPr>
          <w:p w14:paraId="7EBFB6BC" w14:textId="28AB3365" w:rsidR="004A2DF7" w:rsidRPr="006D2D94" w:rsidRDefault="000A0A65">
            <w:pPr>
              <w:pStyle w:val="ARGrantstabletext"/>
              <w:rPr>
                <w:bCs/>
                <w:color w:val="000000"/>
              </w:rPr>
            </w:pPr>
            <w:r w:rsidRPr="00464DB0">
              <w:rPr>
                <w:color w:val="000000"/>
              </w:rPr>
              <w:t>The Bridge Youth Service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1BD23B11" w14:textId="41D16F3B" w:rsidR="004A2DF7" w:rsidRPr="006D2D94" w:rsidRDefault="000A0A65">
            <w:pPr>
              <w:pStyle w:val="ARGrantstabletextright"/>
              <w:rPr>
                <w:bCs/>
                <w:color w:val="000000"/>
              </w:rPr>
            </w:pPr>
            <w:r w:rsidRPr="00464DB0">
              <w:rPr>
                <w:color w:val="000000"/>
              </w:rPr>
              <w:t>25,000</w:t>
            </w:r>
          </w:p>
        </w:tc>
      </w:tr>
      <w:tr w:rsidR="004A2DF7" w:rsidRPr="006D2D94" w14:paraId="30DBA364" w14:textId="77777777" w:rsidTr="00370B3A">
        <w:tc>
          <w:tcPr>
            <w:tcW w:w="3398" w:type="dxa"/>
            <w:noWrap/>
            <w:vAlign w:val="bottom"/>
          </w:tcPr>
          <w:p w14:paraId="47CB35C5" w14:textId="1AA4F092" w:rsidR="004A2DF7" w:rsidRPr="006D2D94" w:rsidRDefault="000A0A65">
            <w:pPr>
              <w:pStyle w:val="ARGrantstabletext"/>
              <w:rPr>
                <w:bCs/>
                <w:color w:val="000000"/>
              </w:rPr>
            </w:pPr>
            <w:r w:rsidRPr="00464DB0">
              <w:rPr>
                <w:color w:val="000000"/>
              </w:rPr>
              <w:t>The Foundation for Young Australians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9DA9038" w14:textId="44ADC51D" w:rsidR="004A2DF7" w:rsidRPr="006D2D94" w:rsidRDefault="000A0A65">
            <w:pPr>
              <w:pStyle w:val="ARGrantstabletextright"/>
              <w:rPr>
                <w:bCs/>
                <w:color w:val="000000"/>
              </w:rPr>
            </w:pPr>
            <w:r w:rsidRPr="00464DB0">
              <w:rPr>
                <w:color w:val="000000"/>
              </w:rPr>
              <w:t>22,500</w:t>
            </w:r>
          </w:p>
        </w:tc>
      </w:tr>
      <w:tr w:rsidR="004A2DF7" w:rsidRPr="006D2D94" w14:paraId="5BA563E6" w14:textId="77777777" w:rsidTr="00370B3A">
        <w:tc>
          <w:tcPr>
            <w:tcW w:w="3398" w:type="dxa"/>
            <w:noWrap/>
            <w:vAlign w:val="bottom"/>
          </w:tcPr>
          <w:p w14:paraId="7517EE25" w14:textId="596FCC97" w:rsidR="004A2DF7" w:rsidRPr="006D2D94" w:rsidRDefault="000A0A65">
            <w:pPr>
              <w:pStyle w:val="ARGrantstabletext"/>
              <w:rPr>
                <w:bCs/>
                <w:color w:val="000000"/>
              </w:rPr>
            </w:pPr>
            <w:r w:rsidRPr="00464DB0">
              <w:rPr>
                <w:color w:val="000000"/>
              </w:rPr>
              <w:t>The Girls Who Decide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217F1D6" w14:textId="31089BA4" w:rsidR="004A2DF7" w:rsidRPr="006D2D94" w:rsidRDefault="000A0A65">
            <w:pPr>
              <w:pStyle w:val="ARGrantstabletextright"/>
              <w:rPr>
                <w:bCs/>
                <w:color w:val="000000"/>
              </w:rPr>
            </w:pPr>
            <w:r w:rsidRPr="00464DB0">
              <w:rPr>
                <w:color w:val="000000"/>
              </w:rPr>
              <w:t>2,000</w:t>
            </w:r>
          </w:p>
        </w:tc>
      </w:tr>
      <w:tr w:rsidR="004A2DF7" w:rsidRPr="006D2D94" w14:paraId="3725869F" w14:textId="77777777" w:rsidTr="00370B3A">
        <w:tc>
          <w:tcPr>
            <w:tcW w:w="3398" w:type="dxa"/>
            <w:noWrap/>
            <w:vAlign w:val="bottom"/>
          </w:tcPr>
          <w:p w14:paraId="72F6617E" w14:textId="0AB056D2" w:rsidR="004A2DF7" w:rsidRPr="006D2D94" w:rsidRDefault="000A0A65">
            <w:pPr>
              <w:pStyle w:val="ARGrantstabletext"/>
              <w:rPr>
                <w:bCs/>
                <w:color w:val="000000"/>
              </w:rPr>
            </w:pPr>
            <w:r w:rsidRPr="00464DB0">
              <w:rPr>
                <w:color w:val="000000"/>
              </w:rPr>
              <w:t>The Kevin Heinze Garden Centre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1071109" w14:textId="03C9956B" w:rsidR="004A2DF7" w:rsidRPr="006D2D94" w:rsidRDefault="000A0A65">
            <w:pPr>
              <w:pStyle w:val="ARGrantstabletextright"/>
              <w:rPr>
                <w:bCs/>
                <w:color w:val="000000"/>
              </w:rPr>
            </w:pPr>
            <w:r w:rsidRPr="00464DB0">
              <w:rPr>
                <w:color w:val="000000"/>
              </w:rPr>
              <w:t>8,750</w:t>
            </w:r>
          </w:p>
        </w:tc>
      </w:tr>
      <w:tr w:rsidR="004A2DF7" w:rsidRPr="006D2D94" w14:paraId="31916E43" w14:textId="77777777" w:rsidTr="00370B3A">
        <w:tc>
          <w:tcPr>
            <w:tcW w:w="3398" w:type="dxa"/>
            <w:noWrap/>
            <w:vAlign w:val="bottom"/>
          </w:tcPr>
          <w:p w14:paraId="35AA6172" w14:textId="039A2B30" w:rsidR="004A2DF7" w:rsidRPr="006D2D94" w:rsidRDefault="000A0A65">
            <w:pPr>
              <w:pStyle w:val="ARGrantstabletext"/>
              <w:rPr>
                <w:bCs/>
                <w:color w:val="000000"/>
              </w:rPr>
            </w:pPr>
            <w:r w:rsidRPr="00464DB0">
              <w:rPr>
                <w:color w:val="000000"/>
              </w:rPr>
              <w:t>The Learning and Life Centre (Huddle) L</w:t>
            </w:r>
            <w:r>
              <w:rPr>
                <w:color w:val="000000"/>
              </w:rPr>
              <w:t>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4692A87" w14:textId="31B07A5F" w:rsidR="004A2DF7" w:rsidRPr="006D2D94" w:rsidRDefault="000A0A65">
            <w:pPr>
              <w:pStyle w:val="ARGrantstabletextright"/>
              <w:rPr>
                <w:bCs/>
                <w:color w:val="000000"/>
              </w:rPr>
            </w:pPr>
            <w:r w:rsidRPr="00464DB0">
              <w:rPr>
                <w:color w:val="000000"/>
              </w:rPr>
              <w:t>578,800</w:t>
            </w:r>
          </w:p>
        </w:tc>
      </w:tr>
      <w:tr w:rsidR="004A2DF7" w:rsidRPr="006D2D94" w14:paraId="132C3D48" w14:textId="77777777" w:rsidTr="00370B3A">
        <w:tc>
          <w:tcPr>
            <w:tcW w:w="3398" w:type="dxa"/>
            <w:noWrap/>
            <w:vAlign w:val="bottom"/>
          </w:tcPr>
          <w:p w14:paraId="333FC56D" w14:textId="1F5A41B3" w:rsidR="004A2DF7" w:rsidRPr="006D2D94" w:rsidRDefault="000A0A65">
            <w:pPr>
              <w:pStyle w:val="ARGrantstabletext"/>
              <w:rPr>
                <w:bCs/>
                <w:color w:val="000000"/>
              </w:rPr>
            </w:pPr>
            <w:r w:rsidRPr="00464DB0">
              <w:rPr>
                <w:color w:val="000000"/>
              </w:rPr>
              <w:t xml:space="preserve">The Push </w:t>
            </w:r>
            <w:r w:rsidR="00EA7A42">
              <w:rPr>
                <w:color w:val="000000"/>
              </w:rPr>
              <w:t>–</w:t>
            </w:r>
            <w:r w:rsidR="00EA7A42" w:rsidRPr="00464DB0">
              <w:rPr>
                <w:color w:val="000000"/>
              </w:rPr>
              <w:t xml:space="preserve"> </w:t>
            </w:r>
            <w:r w:rsidRPr="00464DB0">
              <w:rPr>
                <w:color w:val="000000"/>
              </w:rPr>
              <w:t>Youth Music Organisation L</w:t>
            </w:r>
            <w:r>
              <w:rPr>
                <w:color w:val="000000"/>
              </w:rPr>
              <w:t>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085AC35" w14:textId="4DEDE9D2" w:rsidR="004A2DF7" w:rsidRPr="006D2D94" w:rsidRDefault="000A0A65">
            <w:pPr>
              <w:pStyle w:val="ARGrantstabletextright"/>
              <w:rPr>
                <w:bCs/>
                <w:color w:val="000000"/>
              </w:rPr>
            </w:pPr>
            <w:r w:rsidRPr="00464DB0">
              <w:rPr>
                <w:color w:val="000000"/>
              </w:rPr>
              <w:t>450,000</w:t>
            </w:r>
          </w:p>
        </w:tc>
      </w:tr>
      <w:tr w:rsidR="004A2DF7" w:rsidRPr="006D2D94" w14:paraId="56505481" w14:textId="77777777" w:rsidTr="00370B3A">
        <w:tc>
          <w:tcPr>
            <w:tcW w:w="3398" w:type="dxa"/>
            <w:noWrap/>
            <w:vAlign w:val="bottom"/>
          </w:tcPr>
          <w:p w14:paraId="2337A656" w14:textId="3B300CEF" w:rsidR="004A2DF7" w:rsidRPr="006D2D94" w:rsidRDefault="000A0A65">
            <w:pPr>
              <w:pStyle w:val="ARGrantstabletext"/>
              <w:rPr>
                <w:bCs/>
                <w:color w:val="000000"/>
              </w:rPr>
            </w:pPr>
            <w:r w:rsidRPr="00464DB0">
              <w:rPr>
                <w:color w:val="000000"/>
              </w:rPr>
              <w:t>The Reach Foundation</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8F4E70B" w14:textId="3D6CF907" w:rsidR="004A2DF7" w:rsidRPr="006D2D94" w:rsidRDefault="000A0A65">
            <w:pPr>
              <w:pStyle w:val="ARGrantstabletextright"/>
              <w:rPr>
                <w:bCs/>
                <w:color w:val="000000"/>
              </w:rPr>
            </w:pPr>
            <w:r w:rsidRPr="00464DB0">
              <w:rPr>
                <w:color w:val="000000"/>
              </w:rPr>
              <w:t>42,500</w:t>
            </w:r>
          </w:p>
        </w:tc>
      </w:tr>
      <w:tr w:rsidR="004A2DF7" w:rsidRPr="006D2D94" w14:paraId="18C3255C" w14:textId="77777777" w:rsidTr="00F90BC7">
        <w:tc>
          <w:tcPr>
            <w:tcW w:w="3398" w:type="dxa"/>
            <w:tcBorders>
              <w:bottom w:val="single" w:sz="4" w:space="0" w:color="A6A6A6" w:themeColor="accent5"/>
            </w:tcBorders>
            <w:noWrap/>
            <w:vAlign w:val="bottom"/>
          </w:tcPr>
          <w:p w14:paraId="62C6CBF4" w14:textId="7C15AF25" w:rsidR="004A2DF7" w:rsidRPr="006D2D94" w:rsidRDefault="000A0A65">
            <w:pPr>
              <w:pStyle w:val="ARGrantstabletext"/>
              <w:rPr>
                <w:bCs/>
                <w:color w:val="000000"/>
              </w:rPr>
            </w:pPr>
            <w:r w:rsidRPr="00464DB0">
              <w:rPr>
                <w:color w:val="000000"/>
              </w:rPr>
              <w:t xml:space="preserve">The Rural Foundation Ltd (t/a </w:t>
            </w:r>
            <w:proofErr w:type="spellStart"/>
            <w:r w:rsidRPr="00464DB0">
              <w:rPr>
                <w:color w:val="000000"/>
              </w:rPr>
              <w:t>Youthrive</w:t>
            </w:r>
            <w:proofErr w:type="spellEnd"/>
            <w:r w:rsidR="00F90BC7">
              <w:rPr>
                <w:color w:val="000000"/>
              </w:rPr>
              <w:t> </w:t>
            </w:r>
            <w:r w:rsidRPr="00464DB0">
              <w:rPr>
                <w:color w:val="000000"/>
              </w:rPr>
              <w:t>Victoria)</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7F8B297A" w14:textId="7321023F" w:rsidR="004A2DF7" w:rsidRPr="006D2D94" w:rsidRDefault="000A0A65">
            <w:pPr>
              <w:pStyle w:val="ARGrantstabletextright"/>
              <w:rPr>
                <w:bCs/>
                <w:color w:val="000000"/>
              </w:rPr>
            </w:pPr>
            <w:r w:rsidRPr="00464DB0">
              <w:rPr>
                <w:color w:val="000000"/>
              </w:rPr>
              <w:t>25,000</w:t>
            </w:r>
          </w:p>
        </w:tc>
      </w:tr>
      <w:tr w:rsidR="004A2DF7" w:rsidRPr="006D2D94" w14:paraId="100E7CE6" w14:textId="77777777" w:rsidTr="00F90BC7">
        <w:tc>
          <w:tcPr>
            <w:tcW w:w="3398" w:type="dxa"/>
            <w:tcBorders>
              <w:top w:val="single" w:sz="4" w:space="0" w:color="A6A6A6" w:themeColor="accent5"/>
              <w:bottom w:val="single" w:sz="4" w:space="0" w:color="A6A6A6" w:themeColor="accent5"/>
            </w:tcBorders>
            <w:noWrap/>
            <w:vAlign w:val="bottom"/>
          </w:tcPr>
          <w:p w14:paraId="117CED9A" w14:textId="54602804" w:rsidR="004A2DF7" w:rsidRPr="006D2D94" w:rsidRDefault="000A0A65">
            <w:pPr>
              <w:pStyle w:val="ARGrantstabletext"/>
              <w:rPr>
                <w:bCs/>
                <w:color w:val="000000"/>
              </w:rPr>
            </w:pPr>
            <w:r w:rsidRPr="00464DB0">
              <w:rPr>
                <w:color w:val="000000"/>
              </w:rPr>
              <w:t>The Salvation Army</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00B3E2BF" w14:textId="07EC087C" w:rsidR="004A2DF7" w:rsidRPr="006D2D94" w:rsidRDefault="000A0A65">
            <w:pPr>
              <w:pStyle w:val="ARGrantstabletextright"/>
              <w:rPr>
                <w:bCs/>
                <w:color w:val="000000"/>
              </w:rPr>
            </w:pPr>
            <w:r w:rsidRPr="00464DB0">
              <w:rPr>
                <w:color w:val="000000"/>
              </w:rPr>
              <w:t>102,167</w:t>
            </w:r>
          </w:p>
        </w:tc>
      </w:tr>
      <w:tr w:rsidR="004A2DF7" w:rsidRPr="006D2D94" w14:paraId="452D4B75" w14:textId="77777777" w:rsidTr="00F90BC7">
        <w:tc>
          <w:tcPr>
            <w:tcW w:w="3398" w:type="dxa"/>
            <w:tcBorders>
              <w:top w:val="single" w:sz="4" w:space="0" w:color="A6A6A6" w:themeColor="accent5"/>
            </w:tcBorders>
            <w:noWrap/>
            <w:vAlign w:val="bottom"/>
          </w:tcPr>
          <w:p w14:paraId="16DA5049" w14:textId="050E2729" w:rsidR="004A2DF7" w:rsidRPr="006D2D94" w:rsidRDefault="000A0A65">
            <w:pPr>
              <w:pStyle w:val="ARGrantstabletext"/>
              <w:rPr>
                <w:bCs/>
                <w:color w:val="000000"/>
              </w:rPr>
            </w:pPr>
            <w:r w:rsidRPr="00464DB0">
              <w:rPr>
                <w:color w:val="000000"/>
              </w:rPr>
              <w:t>The Scout Association of Australia Victorian Branch</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5046BF7F" w14:textId="0B010685" w:rsidR="004A2DF7" w:rsidRPr="006D2D94" w:rsidRDefault="000A0A65">
            <w:pPr>
              <w:pStyle w:val="ARGrantstabletextright"/>
              <w:rPr>
                <w:bCs/>
                <w:color w:val="000000"/>
              </w:rPr>
            </w:pPr>
            <w:r w:rsidRPr="00464DB0">
              <w:rPr>
                <w:color w:val="000000"/>
              </w:rPr>
              <w:t>413,500</w:t>
            </w:r>
          </w:p>
        </w:tc>
      </w:tr>
      <w:tr w:rsidR="004A2DF7" w:rsidRPr="006D2D94" w14:paraId="4626C927" w14:textId="77777777" w:rsidTr="00370B3A">
        <w:tc>
          <w:tcPr>
            <w:tcW w:w="3398" w:type="dxa"/>
            <w:noWrap/>
            <w:vAlign w:val="bottom"/>
          </w:tcPr>
          <w:p w14:paraId="75B4A144" w14:textId="4163DFC1" w:rsidR="004A2DF7" w:rsidRPr="006D2D94" w:rsidRDefault="000A0A65">
            <w:pPr>
              <w:pStyle w:val="ARGrantstabletext"/>
              <w:rPr>
                <w:bCs/>
                <w:color w:val="000000"/>
              </w:rPr>
            </w:pPr>
            <w:r w:rsidRPr="00464DB0">
              <w:rPr>
                <w:color w:val="000000"/>
              </w:rPr>
              <w:t>The Wirrpanda Foundation Limited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D9B9EC5" w14:textId="2F8BB4DF" w:rsidR="004A2DF7" w:rsidRPr="006D2D94" w:rsidRDefault="000A0A65">
            <w:pPr>
              <w:pStyle w:val="ARGrantstabletextright"/>
              <w:rPr>
                <w:bCs/>
                <w:color w:val="000000"/>
              </w:rPr>
            </w:pPr>
            <w:r w:rsidRPr="00464DB0">
              <w:rPr>
                <w:color w:val="000000"/>
              </w:rPr>
              <w:t>22,500</w:t>
            </w:r>
          </w:p>
        </w:tc>
      </w:tr>
      <w:tr w:rsidR="004A2DF7" w:rsidRPr="006D2D94" w14:paraId="38C800C5" w14:textId="77777777" w:rsidTr="00370B3A">
        <w:tc>
          <w:tcPr>
            <w:tcW w:w="3398" w:type="dxa"/>
            <w:noWrap/>
            <w:vAlign w:val="bottom"/>
          </w:tcPr>
          <w:p w14:paraId="58FFB1FC" w14:textId="1DA6ACF9" w:rsidR="004A2DF7" w:rsidRPr="006D2D94" w:rsidRDefault="000A0A65">
            <w:pPr>
              <w:pStyle w:val="ARGrantstabletext"/>
              <w:rPr>
                <w:bCs/>
                <w:color w:val="000000"/>
              </w:rPr>
            </w:pPr>
            <w:r w:rsidRPr="00464DB0">
              <w:rPr>
                <w:color w:val="000000"/>
              </w:rPr>
              <w:t>Towong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45C0210" w14:textId="1E469DC2" w:rsidR="004A2DF7" w:rsidRPr="006D2D94" w:rsidRDefault="000A0A65">
            <w:pPr>
              <w:pStyle w:val="ARGrantstabletextright"/>
              <w:rPr>
                <w:bCs/>
                <w:color w:val="000000"/>
              </w:rPr>
            </w:pPr>
            <w:r w:rsidRPr="00464DB0">
              <w:rPr>
                <w:color w:val="000000"/>
              </w:rPr>
              <w:t>16,775</w:t>
            </w:r>
          </w:p>
        </w:tc>
      </w:tr>
      <w:tr w:rsidR="004A2DF7" w:rsidRPr="006D2D94" w14:paraId="7F16571F" w14:textId="77777777" w:rsidTr="00370B3A">
        <w:tc>
          <w:tcPr>
            <w:tcW w:w="3398" w:type="dxa"/>
            <w:noWrap/>
            <w:vAlign w:val="bottom"/>
          </w:tcPr>
          <w:p w14:paraId="6BD2610D" w14:textId="161ED207" w:rsidR="004A2DF7" w:rsidRPr="006D2D94" w:rsidRDefault="000A0A65">
            <w:pPr>
              <w:pStyle w:val="ARGrantstabletext"/>
              <w:rPr>
                <w:bCs/>
                <w:color w:val="000000"/>
              </w:rPr>
            </w:pPr>
            <w:r w:rsidRPr="00464DB0">
              <w:rPr>
                <w:color w:val="000000"/>
              </w:rPr>
              <w:t>TRY Australia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0E2279D" w14:textId="376C1303" w:rsidR="004A2DF7" w:rsidRPr="006D2D94" w:rsidRDefault="000A0A65">
            <w:pPr>
              <w:pStyle w:val="ARGrantstabletextright"/>
              <w:rPr>
                <w:bCs/>
                <w:color w:val="000000"/>
              </w:rPr>
            </w:pPr>
            <w:r w:rsidRPr="00464DB0">
              <w:rPr>
                <w:color w:val="000000"/>
              </w:rPr>
              <w:t>1,950</w:t>
            </w:r>
          </w:p>
        </w:tc>
      </w:tr>
      <w:tr w:rsidR="004A2DF7" w:rsidRPr="006D2D94" w14:paraId="28631450" w14:textId="77777777" w:rsidTr="00370B3A">
        <w:tc>
          <w:tcPr>
            <w:tcW w:w="3398" w:type="dxa"/>
            <w:noWrap/>
            <w:vAlign w:val="bottom"/>
          </w:tcPr>
          <w:p w14:paraId="17193D19" w14:textId="482223F8" w:rsidR="004A2DF7" w:rsidRPr="006D2D94" w:rsidRDefault="000A0A65">
            <w:pPr>
              <w:pStyle w:val="ARGrantstabletext"/>
              <w:rPr>
                <w:bCs/>
                <w:color w:val="000000"/>
              </w:rPr>
            </w:pPr>
            <w:r w:rsidRPr="00464DB0">
              <w:rPr>
                <w:color w:val="000000"/>
              </w:rPr>
              <w:t>Tyrrell 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E499843" w14:textId="60CABEAD" w:rsidR="004A2DF7" w:rsidRPr="006D2D94" w:rsidRDefault="000A0A65">
            <w:pPr>
              <w:pStyle w:val="ARGrantstabletextright"/>
              <w:rPr>
                <w:bCs/>
                <w:color w:val="000000"/>
              </w:rPr>
            </w:pPr>
            <w:r w:rsidRPr="00464DB0">
              <w:rPr>
                <w:color w:val="000000"/>
              </w:rPr>
              <w:t>2,000</w:t>
            </w:r>
          </w:p>
        </w:tc>
      </w:tr>
      <w:tr w:rsidR="004A2DF7" w:rsidRPr="006D2D94" w14:paraId="15BDD336" w14:textId="77777777" w:rsidTr="00370B3A">
        <w:tc>
          <w:tcPr>
            <w:tcW w:w="3398" w:type="dxa"/>
            <w:noWrap/>
            <w:vAlign w:val="bottom"/>
          </w:tcPr>
          <w:p w14:paraId="7C0F0FF5" w14:textId="5D01EE07" w:rsidR="004A2DF7" w:rsidRPr="006D2D94" w:rsidRDefault="000A0A65">
            <w:pPr>
              <w:pStyle w:val="ARGrantstabletext"/>
              <w:rPr>
                <w:bCs/>
                <w:color w:val="000000"/>
              </w:rPr>
            </w:pPr>
            <w:r w:rsidRPr="00464DB0">
              <w:rPr>
                <w:color w:val="000000"/>
              </w:rPr>
              <w:t>Umeed Psychology</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8E43478" w14:textId="2E157410" w:rsidR="004A2DF7" w:rsidRPr="006D2D94" w:rsidRDefault="000A0A65">
            <w:pPr>
              <w:pStyle w:val="ARGrantstabletextright"/>
              <w:rPr>
                <w:bCs/>
                <w:color w:val="000000"/>
              </w:rPr>
            </w:pPr>
            <w:r w:rsidRPr="00464DB0">
              <w:rPr>
                <w:color w:val="000000"/>
              </w:rPr>
              <w:t>2,000</w:t>
            </w:r>
          </w:p>
        </w:tc>
      </w:tr>
      <w:tr w:rsidR="004A2DF7" w:rsidRPr="006D2D94" w14:paraId="74C95884" w14:textId="77777777" w:rsidTr="00370B3A">
        <w:tc>
          <w:tcPr>
            <w:tcW w:w="3398" w:type="dxa"/>
            <w:noWrap/>
            <w:vAlign w:val="bottom"/>
          </w:tcPr>
          <w:p w14:paraId="2E5C7C82" w14:textId="08124469" w:rsidR="004A2DF7" w:rsidRPr="006D2D94" w:rsidRDefault="000A0A65">
            <w:pPr>
              <w:pStyle w:val="ARGrantstabletext"/>
              <w:rPr>
                <w:bCs/>
                <w:color w:val="000000"/>
              </w:rPr>
            </w:pPr>
            <w:r w:rsidRPr="00464DB0">
              <w:rPr>
                <w:color w:val="000000"/>
              </w:rPr>
              <w:t>UN Youth Victoria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D21626A" w14:textId="3FD72545" w:rsidR="004A2DF7" w:rsidRPr="006D2D94" w:rsidRDefault="000A0A65">
            <w:pPr>
              <w:pStyle w:val="ARGrantstabletextright"/>
              <w:rPr>
                <w:bCs/>
                <w:color w:val="000000"/>
              </w:rPr>
            </w:pPr>
            <w:r w:rsidRPr="00464DB0">
              <w:rPr>
                <w:color w:val="000000"/>
              </w:rPr>
              <w:t>4,000</w:t>
            </w:r>
          </w:p>
        </w:tc>
      </w:tr>
      <w:tr w:rsidR="004A2DF7" w:rsidRPr="006D2D94" w14:paraId="2094692B" w14:textId="77777777" w:rsidTr="00370B3A">
        <w:tc>
          <w:tcPr>
            <w:tcW w:w="3398" w:type="dxa"/>
            <w:noWrap/>
            <w:vAlign w:val="bottom"/>
          </w:tcPr>
          <w:p w14:paraId="6B55C240" w14:textId="3BBD9997" w:rsidR="004A2DF7" w:rsidRPr="006D2D94" w:rsidRDefault="000A0A65">
            <w:pPr>
              <w:pStyle w:val="ARGrantstabletext"/>
              <w:rPr>
                <w:bCs/>
                <w:color w:val="000000"/>
              </w:rPr>
            </w:pPr>
            <w:r w:rsidRPr="00464DB0">
              <w:rPr>
                <w:color w:val="000000"/>
              </w:rPr>
              <w:t>Uniting (Victoria and Tasmania)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40A0CA8" w14:textId="73BA014E" w:rsidR="004A2DF7" w:rsidRPr="006D2D94" w:rsidRDefault="000A0A65">
            <w:pPr>
              <w:pStyle w:val="ARGrantstabletextright"/>
              <w:rPr>
                <w:bCs/>
                <w:color w:val="000000"/>
              </w:rPr>
            </w:pPr>
            <w:r w:rsidRPr="00464DB0">
              <w:rPr>
                <w:color w:val="000000"/>
              </w:rPr>
              <w:t>580,800</w:t>
            </w:r>
          </w:p>
        </w:tc>
      </w:tr>
      <w:tr w:rsidR="004A2DF7" w:rsidRPr="006D2D94" w14:paraId="6D28B30F" w14:textId="77777777" w:rsidTr="00370B3A">
        <w:tc>
          <w:tcPr>
            <w:tcW w:w="3398" w:type="dxa"/>
            <w:noWrap/>
            <w:vAlign w:val="bottom"/>
          </w:tcPr>
          <w:p w14:paraId="78934BD1" w14:textId="41D10A2B" w:rsidR="004A2DF7" w:rsidRPr="006D2D94" w:rsidRDefault="000A0A65">
            <w:pPr>
              <w:pStyle w:val="ARGrantstabletext"/>
              <w:rPr>
                <w:bCs/>
                <w:color w:val="000000"/>
              </w:rPr>
            </w:pPr>
            <w:r w:rsidRPr="00464DB0">
              <w:rPr>
                <w:color w:val="000000"/>
              </w:rPr>
              <w:t>Unity Libyan Youth Inc Incorporated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5D08FC8" w14:textId="0B7FDEC7" w:rsidR="004A2DF7" w:rsidRPr="006D2D94" w:rsidRDefault="000A0A65">
            <w:pPr>
              <w:pStyle w:val="ARGrantstabletextright"/>
              <w:rPr>
                <w:bCs/>
                <w:color w:val="000000"/>
              </w:rPr>
            </w:pPr>
            <w:r w:rsidRPr="00464DB0">
              <w:rPr>
                <w:color w:val="000000"/>
              </w:rPr>
              <w:t>2,000</w:t>
            </w:r>
          </w:p>
        </w:tc>
      </w:tr>
      <w:tr w:rsidR="004A2DF7" w:rsidRPr="006D2D94" w14:paraId="629C3D33" w14:textId="77777777" w:rsidTr="00370B3A">
        <w:tc>
          <w:tcPr>
            <w:tcW w:w="3398" w:type="dxa"/>
            <w:noWrap/>
            <w:vAlign w:val="bottom"/>
          </w:tcPr>
          <w:p w14:paraId="4D6A4A9F" w14:textId="439232E3" w:rsidR="004A2DF7" w:rsidRPr="006D2D94" w:rsidRDefault="000A0A65">
            <w:pPr>
              <w:pStyle w:val="ARGrantstabletext"/>
              <w:rPr>
                <w:bCs/>
                <w:color w:val="000000"/>
              </w:rPr>
            </w:pPr>
            <w:r w:rsidRPr="00464DB0">
              <w:rPr>
                <w:color w:val="000000"/>
              </w:rPr>
              <w:t>Upfield Soccer Club</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1BD9F7D" w14:textId="5AB709F3" w:rsidR="004A2DF7" w:rsidRPr="006D2D94" w:rsidRDefault="000A0A65">
            <w:pPr>
              <w:pStyle w:val="ARGrantstabletextright"/>
              <w:rPr>
                <w:bCs/>
                <w:color w:val="000000"/>
              </w:rPr>
            </w:pPr>
            <w:r w:rsidRPr="00464DB0">
              <w:rPr>
                <w:color w:val="000000"/>
              </w:rPr>
              <w:t>2,000</w:t>
            </w:r>
          </w:p>
        </w:tc>
      </w:tr>
      <w:tr w:rsidR="004A2DF7" w:rsidRPr="006D2D94" w14:paraId="01C253F4" w14:textId="77777777" w:rsidTr="00370B3A">
        <w:tc>
          <w:tcPr>
            <w:tcW w:w="3398" w:type="dxa"/>
            <w:noWrap/>
            <w:vAlign w:val="bottom"/>
          </w:tcPr>
          <w:p w14:paraId="1EE4AF9D" w14:textId="3B05A72A" w:rsidR="004A2DF7" w:rsidRPr="006D2D94" w:rsidRDefault="000A0A65">
            <w:pPr>
              <w:pStyle w:val="ARGrantstabletext"/>
              <w:rPr>
                <w:bCs/>
                <w:color w:val="000000"/>
              </w:rPr>
            </w:pPr>
            <w:r w:rsidRPr="00464DB0">
              <w:rPr>
                <w:color w:val="000000"/>
              </w:rPr>
              <w:t>VICSEG New Futures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631DB99" w14:textId="62EAC1B5" w:rsidR="004A2DF7" w:rsidRPr="006D2D94" w:rsidRDefault="000A0A65">
            <w:pPr>
              <w:pStyle w:val="ARGrantstabletextright"/>
              <w:rPr>
                <w:bCs/>
                <w:color w:val="000000"/>
              </w:rPr>
            </w:pPr>
            <w:r w:rsidRPr="00464DB0">
              <w:rPr>
                <w:color w:val="000000"/>
              </w:rPr>
              <w:t>25,000</w:t>
            </w:r>
          </w:p>
        </w:tc>
      </w:tr>
      <w:tr w:rsidR="004A2DF7" w:rsidRPr="006D2D94" w14:paraId="10AB0C06" w14:textId="77777777" w:rsidTr="00370B3A">
        <w:tc>
          <w:tcPr>
            <w:tcW w:w="3398" w:type="dxa"/>
            <w:noWrap/>
            <w:vAlign w:val="bottom"/>
          </w:tcPr>
          <w:p w14:paraId="171B632D" w14:textId="63163995" w:rsidR="004A2DF7" w:rsidRPr="006D2D94" w:rsidRDefault="000A0A65">
            <w:pPr>
              <w:pStyle w:val="ARGrantstabletext"/>
              <w:rPr>
                <w:bCs/>
                <w:color w:val="000000"/>
              </w:rPr>
            </w:pPr>
            <w:r w:rsidRPr="00464DB0">
              <w:rPr>
                <w:color w:val="000000"/>
              </w:rPr>
              <w:t>Victorian Aboriginal Child Care Agency Co-operative Limited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0B87D49" w14:textId="66ABFA7E" w:rsidR="004A2DF7" w:rsidRPr="006D2D94" w:rsidRDefault="000A0A65">
            <w:pPr>
              <w:pStyle w:val="ARGrantstabletextright"/>
              <w:rPr>
                <w:bCs/>
                <w:color w:val="000000"/>
              </w:rPr>
            </w:pPr>
            <w:r w:rsidRPr="00464DB0">
              <w:rPr>
                <w:color w:val="000000"/>
              </w:rPr>
              <w:t>47,500</w:t>
            </w:r>
          </w:p>
        </w:tc>
      </w:tr>
      <w:tr w:rsidR="004A2DF7" w:rsidRPr="006D2D94" w14:paraId="4AF8A1F2" w14:textId="77777777" w:rsidTr="00370B3A">
        <w:tc>
          <w:tcPr>
            <w:tcW w:w="3398" w:type="dxa"/>
            <w:noWrap/>
            <w:vAlign w:val="bottom"/>
          </w:tcPr>
          <w:p w14:paraId="0CF905FE" w14:textId="455FACAE" w:rsidR="004A2DF7" w:rsidRPr="006D2D94" w:rsidRDefault="000A0A65">
            <w:pPr>
              <w:pStyle w:val="ARGrantstabletext"/>
              <w:rPr>
                <w:bCs/>
                <w:color w:val="000000"/>
              </w:rPr>
            </w:pPr>
            <w:r w:rsidRPr="00464DB0">
              <w:rPr>
                <w:color w:val="000000"/>
              </w:rPr>
              <w:t>Victorian Arabic Social Services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867A383" w14:textId="4AC0BB43" w:rsidR="004A2DF7" w:rsidRPr="006D2D94" w:rsidRDefault="000A0A65">
            <w:pPr>
              <w:pStyle w:val="ARGrantstabletextright"/>
              <w:rPr>
                <w:bCs/>
                <w:color w:val="000000"/>
              </w:rPr>
            </w:pPr>
            <w:r w:rsidRPr="00464DB0">
              <w:rPr>
                <w:color w:val="000000"/>
              </w:rPr>
              <w:t>23,000</w:t>
            </w:r>
          </w:p>
        </w:tc>
      </w:tr>
      <w:tr w:rsidR="004A2DF7" w:rsidRPr="006D2D94" w14:paraId="7B83BB23" w14:textId="77777777" w:rsidTr="00370B3A">
        <w:tc>
          <w:tcPr>
            <w:tcW w:w="3398" w:type="dxa"/>
            <w:noWrap/>
            <w:vAlign w:val="bottom"/>
          </w:tcPr>
          <w:p w14:paraId="3F699416" w14:textId="5EDCCA30" w:rsidR="004A2DF7" w:rsidRPr="006D2D94" w:rsidRDefault="000A0A65">
            <w:pPr>
              <w:pStyle w:val="ARGrantstabletext"/>
              <w:rPr>
                <w:bCs/>
                <w:color w:val="000000"/>
              </w:rPr>
            </w:pPr>
            <w:r w:rsidRPr="00464DB0">
              <w:rPr>
                <w:color w:val="000000"/>
              </w:rPr>
              <w:t>Victorian Bangladeshi Community Foundation (VBCF) Inc</w:t>
            </w:r>
            <w:r>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062DB4B" w14:textId="57456CE7" w:rsidR="004A2DF7" w:rsidRPr="006D2D94" w:rsidRDefault="000A0A65">
            <w:pPr>
              <w:pStyle w:val="ARGrantstabletextright"/>
              <w:rPr>
                <w:bCs/>
                <w:color w:val="000000"/>
              </w:rPr>
            </w:pPr>
            <w:r w:rsidRPr="00464DB0">
              <w:rPr>
                <w:color w:val="000000"/>
              </w:rPr>
              <w:t>2,000</w:t>
            </w:r>
          </w:p>
        </w:tc>
      </w:tr>
      <w:tr w:rsidR="004A2DF7" w:rsidRPr="006D2D94" w14:paraId="246992E1" w14:textId="77777777" w:rsidTr="00370B3A">
        <w:tc>
          <w:tcPr>
            <w:tcW w:w="3398" w:type="dxa"/>
            <w:noWrap/>
            <w:vAlign w:val="bottom"/>
          </w:tcPr>
          <w:p w14:paraId="07AF2754" w14:textId="1D6FAF1D" w:rsidR="004A2DF7" w:rsidRPr="006D2D94" w:rsidRDefault="000A0A65">
            <w:pPr>
              <w:pStyle w:val="ARGrantstabletext"/>
              <w:rPr>
                <w:bCs/>
                <w:color w:val="000000"/>
              </w:rPr>
            </w:pPr>
            <w:r w:rsidRPr="00464DB0">
              <w:rPr>
                <w:color w:val="000000"/>
              </w:rPr>
              <w:t>Victorian YMCA Community Programming Pty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5846D7F" w14:textId="609DB32A" w:rsidR="004A2DF7" w:rsidRPr="006D2D94" w:rsidRDefault="000A0A65">
            <w:pPr>
              <w:pStyle w:val="ARGrantstabletextright"/>
              <w:rPr>
                <w:bCs/>
                <w:color w:val="000000"/>
              </w:rPr>
            </w:pPr>
            <w:r w:rsidRPr="00464DB0">
              <w:rPr>
                <w:color w:val="000000"/>
              </w:rPr>
              <w:t>42,750</w:t>
            </w:r>
          </w:p>
        </w:tc>
      </w:tr>
      <w:tr w:rsidR="004A2DF7" w:rsidRPr="006D2D94" w14:paraId="2475E32B" w14:textId="77777777" w:rsidTr="00370B3A">
        <w:tc>
          <w:tcPr>
            <w:tcW w:w="3398" w:type="dxa"/>
            <w:noWrap/>
            <w:vAlign w:val="bottom"/>
          </w:tcPr>
          <w:p w14:paraId="0134913E" w14:textId="64973C61" w:rsidR="004A2DF7" w:rsidRPr="006D2D94" w:rsidRDefault="000A0A65">
            <w:pPr>
              <w:pStyle w:val="ARGrantstabletext"/>
              <w:rPr>
                <w:bCs/>
                <w:color w:val="000000"/>
              </w:rPr>
            </w:pPr>
            <w:r w:rsidRPr="00464DB0">
              <w:rPr>
                <w:color w:val="000000"/>
              </w:rPr>
              <w:t>Victorian YMCA</w:t>
            </w:r>
            <w:r w:rsidR="00EA7A42">
              <w:rPr>
                <w:color w:val="000000"/>
              </w:rPr>
              <w:t>’</w:t>
            </w:r>
            <w:r w:rsidRPr="00464DB0">
              <w:rPr>
                <w:color w:val="000000"/>
              </w:rPr>
              <w:t>s Youth and Community Services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8B4A049" w14:textId="2235E1D2" w:rsidR="004A2DF7" w:rsidRPr="006D2D94" w:rsidRDefault="000A0A65">
            <w:pPr>
              <w:pStyle w:val="ARGrantstabletextright"/>
              <w:rPr>
                <w:bCs/>
                <w:color w:val="000000"/>
              </w:rPr>
            </w:pPr>
            <w:r w:rsidRPr="00464DB0">
              <w:rPr>
                <w:color w:val="000000"/>
              </w:rPr>
              <w:t>167,758</w:t>
            </w:r>
          </w:p>
        </w:tc>
      </w:tr>
      <w:tr w:rsidR="004A2DF7" w:rsidRPr="006D2D94" w14:paraId="50DDE534" w14:textId="77777777" w:rsidTr="00370B3A">
        <w:tc>
          <w:tcPr>
            <w:tcW w:w="3398" w:type="dxa"/>
            <w:noWrap/>
            <w:vAlign w:val="bottom"/>
          </w:tcPr>
          <w:p w14:paraId="5998B4F9" w14:textId="0824F535" w:rsidR="004A2DF7" w:rsidRPr="006D2D94" w:rsidRDefault="000A0A65">
            <w:pPr>
              <w:pStyle w:val="ARGrantstabletext"/>
              <w:rPr>
                <w:bCs/>
                <w:color w:val="000000"/>
              </w:rPr>
            </w:pPr>
            <w:r w:rsidRPr="00464DB0">
              <w:rPr>
                <w:color w:val="000000"/>
              </w:rPr>
              <w:t>Virtual School Victoria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26391D1" w14:textId="0CDFA369" w:rsidR="004A2DF7" w:rsidRPr="006D2D94" w:rsidRDefault="000A0A65">
            <w:pPr>
              <w:pStyle w:val="ARGrantstabletextright"/>
              <w:rPr>
                <w:bCs/>
                <w:color w:val="000000"/>
              </w:rPr>
            </w:pPr>
            <w:r w:rsidRPr="00464DB0">
              <w:rPr>
                <w:color w:val="000000"/>
              </w:rPr>
              <w:t>14,000</w:t>
            </w:r>
          </w:p>
        </w:tc>
      </w:tr>
      <w:tr w:rsidR="004A2DF7" w:rsidRPr="006D2D94" w14:paraId="38E3992A" w14:textId="77777777" w:rsidTr="00370B3A">
        <w:tc>
          <w:tcPr>
            <w:tcW w:w="3398" w:type="dxa"/>
            <w:noWrap/>
            <w:vAlign w:val="bottom"/>
          </w:tcPr>
          <w:p w14:paraId="6BAED368" w14:textId="18F4329A" w:rsidR="004A2DF7" w:rsidRPr="006D2D94" w:rsidRDefault="000A0A65">
            <w:pPr>
              <w:pStyle w:val="ARGrantstabletext"/>
              <w:rPr>
                <w:bCs/>
                <w:color w:val="000000"/>
              </w:rPr>
            </w:pPr>
            <w:r w:rsidRPr="00464DB0">
              <w:rPr>
                <w:color w:val="000000"/>
              </w:rPr>
              <w:t xml:space="preserve">Vision Hub Australia </w:t>
            </w:r>
            <w:r w:rsidR="00EA7A42" w:rsidRPr="00464DB0">
              <w:rPr>
                <w:color w:val="000000"/>
              </w:rPr>
              <w:t>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CF11C9E" w14:textId="01C6E917" w:rsidR="004A2DF7" w:rsidRPr="006D2D94" w:rsidRDefault="000A0A65">
            <w:pPr>
              <w:pStyle w:val="ARGrantstabletextright"/>
              <w:rPr>
                <w:bCs/>
                <w:color w:val="000000"/>
              </w:rPr>
            </w:pPr>
            <w:r w:rsidRPr="00464DB0">
              <w:rPr>
                <w:color w:val="000000"/>
              </w:rPr>
              <w:t>2,000</w:t>
            </w:r>
          </w:p>
        </w:tc>
      </w:tr>
      <w:tr w:rsidR="004A2DF7" w:rsidRPr="006D2D94" w14:paraId="72315D3A" w14:textId="77777777" w:rsidTr="00370B3A">
        <w:tc>
          <w:tcPr>
            <w:tcW w:w="3398" w:type="dxa"/>
            <w:noWrap/>
            <w:vAlign w:val="bottom"/>
          </w:tcPr>
          <w:p w14:paraId="0E77A9D7" w14:textId="6B45FDDB" w:rsidR="004A2DF7" w:rsidRPr="006D2D94" w:rsidRDefault="000A0A65">
            <w:pPr>
              <w:pStyle w:val="ARGrantstabletext"/>
              <w:rPr>
                <w:bCs/>
                <w:color w:val="000000"/>
              </w:rPr>
            </w:pPr>
            <w:proofErr w:type="spellStart"/>
            <w:r w:rsidRPr="00464DB0">
              <w:rPr>
                <w:color w:val="000000"/>
              </w:rPr>
              <w:t>Wakakirri</w:t>
            </w:r>
            <w:proofErr w:type="spellEnd"/>
            <w:r w:rsidRPr="00464DB0">
              <w:rPr>
                <w:color w:val="000000"/>
              </w:rPr>
              <w:t xml:space="preserve"> Story</w:t>
            </w:r>
            <w:r w:rsidR="00EA7A42">
              <w:rPr>
                <w:color w:val="000000"/>
              </w:rPr>
              <w:t>–</w:t>
            </w:r>
            <w:r w:rsidRPr="00464DB0">
              <w:rPr>
                <w:color w:val="000000"/>
              </w:rPr>
              <w:t>Dance Association Incorporated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FBB5ED2" w14:textId="6E0484AB" w:rsidR="004A2DF7" w:rsidRPr="006D2D94" w:rsidRDefault="000A0A65">
            <w:pPr>
              <w:pStyle w:val="ARGrantstabletextright"/>
              <w:rPr>
                <w:bCs/>
                <w:color w:val="000000"/>
              </w:rPr>
            </w:pPr>
            <w:r w:rsidRPr="00464DB0">
              <w:rPr>
                <w:color w:val="000000"/>
              </w:rPr>
              <w:t>10,000</w:t>
            </w:r>
          </w:p>
        </w:tc>
      </w:tr>
      <w:tr w:rsidR="004A2DF7" w:rsidRPr="006D2D94" w14:paraId="262FC366" w14:textId="77777777" w:rsidTr="00370B3A">
        <w:tc>
          <w:tcPr>
            <w:tcW w:w="3398" w:type="dxa"/>
            <w:noWrap/>
            <w:vAlign w:val="bottom"/>
          </w:tcPr>
          <w:p w14:paraId="6AD26A16" w14:textId="3E6287D0" w:rsidR="004A2DF7" w:rsidRPr="006D2D94" w:rsidRDefault="000A0A65">
            <w:pPr>
              <w:pStyle w:val="ARGrantstabletext"/>
              <w:rPr>
                <w:bCs/>
                <w:color w:val="000000"/>
              </w:rPr>
            </w:pPr>
            <w:r w:rsidRPr="00464DB0">
              <w:rPr>
                <w:color w:val="000000"/>
              </w:rPr>
              <w:t>Wangaratta District Specialist School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53CBD1D" w14:textId="6500FB6B" w:rsidR="004A2DF7" w:rsidRPr="006D2D94" w:rsidRDefault="000A0A65">
            <w:pPr>
              <w:pStyle w:val="ARGrantstabletextright"/>
              <w:rPr>
                <w:bCs/>
                <w:color w:val="000000"/>
              </w:rPr>
            </w:pPr>
            <w:r w:rsidRPr="00464DB0">
              <w:rPr>
                <w:color w:val="000000"/>
              </w:rPr>
              <w:t>9,800</w:t>
            </w:r>
          </w:p>
        </w:tc>
      </w:tr>
      <w:tr w:rsidR="004A2DF7" w:rsidRPr="006D2D94" w14:paraId="293B4397" w14:textId="77777777" w:rsidTr="00370B3A">
        <w:tc>
          <w:tcPr>
            <w:tcW w:w="3398" w:type="dxa"/>
            <w:noWrap/>
            <w:vAlign w:val="bottom"/>
          </w:tcPr>
          <w:p w14:paraId="1167ECEF" w14:textId="71BA354C" w:rsidR="004A2DF7" w:rsidRPr="006D2D94" w:rsidRDefault="000A0A65">
            <w:pPr>
              <w:pStyle w:val="ARGrantstabletext"/>
              <w:rPr>
                <w:bCs/>
                <w:color w:val="000000"/>
              </w:rPr>
            </w:pPr>
            <w:r w:rsidRPr="00464DB0">
              <w:rPr>
                <w:color w:val="000000"/>
              </w:rPr>
              <w:t>Warragul and District Specialist School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AF94E3C" w14:textId="0F9BA75D" w:rsidR="004A2DF7" w:rsidRPr="006D2D94" w:rsidRDefault="000A0A65">
            <w:pPr>
              <w:pStyle w:val="ARGrantstabletextright"/>
              <w:rPr>
                <w:bCs/>
                <w:color w:val="000000"/>
              </w:rPr>
            </w:pPr>
            <w:r w:rsidRPr="00464DB0">
              <w:rPr>
                <w:color w:val="000000"/>
              </w:rPr>
              <w:t>14,000</w:t>
            </w:r>
          </w:p>
        </w:tc>
      </w:tr>
      <w:tr w:rsidR="004A2DF7" w:rsidRPr="006D2D94" w14:paraId="67AD4331" w14:textId="77777777" w:rsidTr="00370B3A">
        <w:tc>
          <w:tcPr>
            <w:tcW w:w="3398" w:type="dxa"/>
            <w:noWrap/>
            <w:vAlign w:val="bottom"/>
          </w:tcPr>
          <w:p w14:paraId="619CD1FE" w14:textId="61704CE9" w:rsidR="004A2DF7" w:rsidRPr="006D2D94" w:rsidRDefault="000A0A65">
            <w:pPr>
              <w:pStyle w:val="ARGrantstabletext"/>
              <w:rPr>
                <w:bCs/>
                <w:color w:val="000000"/>
              </w:rPr>
            </w:pPr>
            <w:r w:rsidRPr="00464DB0">
              <w:rPr>
                <w:color w:val="000000"/>
              </w:rPr>
              <w:t>Warrnambool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830EAD1" w14:textId="2C437457" w:rsidR="004A2DF7" w:rsidRPr="006D2D94" w:rsidRDefault="000A0A65">
            <w:pPr>
              <w:pStyle w:val="ARGrantstabletextright"/>
              <w:rPr>
                <w:bCs/>
                <w:color w:val="000000"/>
              </w:rPr>
            </w:pPr>
            <w:r w:rsidRPr="00464DB0">
              <w:rPr>
                <w:color w:val="000000"/>
              </w:rPr>
              <w:t>94,751</w:t>
            </w:r>
          </w:p>
        </w:tc>
      </w:tr>
      <w:tr w:rsidR="004A2DF7" w:rsidRPr="006D2D94" w14:paraId="401DDA7F" w14:textId="77777777" w:rsidTr="00370B3A">
        <w:tc>
          <w:tcPr>
            <w:tcW w:w="3398" w:type="dxa"/>
            <w:noWrap/>
            <w:vAlign w:val="bottom"/>
          </w:tcPr>
          <w:p w14:paraId="7CF7A4E2" w14:textId="32D30473" w:rsidR="004A2DF7" w:rsidRPr="006D2D94" w:rsidRDefault="000A0A65">
            <w:pPr>
              <w:pStyle w:val="ARGrantstabletext"/>
              <w:rPr>
                <w:bCs/>
                <w:color w:val="000000"/>
              </w:rPr>
            </w:pPr>
            <w:proofErr w:type="spellStart"/>
            <w:r w:rsidRPr="00464DB0">
              <w:rPr>
                <w:color w:val="000000"/>
              </w:rPr>
              <w:t>Weenthunga</w:t>
            </w:r>
            <w:proofErr w:type="spellEnd"/>
            <w:r w:rsidRPr="00464DB0">
              <w:rPr>
                <w:color w:val="000000"/>
              </w:rPr>
              <w:t xml:space="preserve"> Health Network</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37D7C7F" w14:textId="645E7742" w:rsidR="004A2DF7" w:rsidRPr="006D2D94" w:rsidRDefault="000A0A65">
            <w:pPr>
              <w:pStyle w:val="ARGrantstabletextright"/>
              <w:rPr>
                <w:bCs/>
                <w:color w:val="000000"/>
              </w:rPr>
            </w:pPr>
            <w:r w:rsidRPr="00464DB0">
              <w:rPr>
                <w:color w:val="000000"/>
              </w:rPr>
              <w:t>105,000</w:t>
            </w:r>
          </w:p>
        </w:tc>
      </w:tr>
      <w:tr w:rsidR="004A2DF7" w:rsidRPr="006D2D94" w14:paraId="7C3ABCC3" w14:textId="77777777" w:rsidTr="00370B3A">
        <w:tc>
          <w:tcPr>
            <w:tcW w:w="3398" w:type="dxa"/>
            <w:noWrap/>
            <w:vAlign w:val="bottom"/>
          </w:tcPr>
          <w:p w14:paraId="5454031E" w14:textId="171203C2" w:rsidR="004A2DF7" w:rsidRPr="006D2D94" w:rsidRDefault="000A0A65">
            <w:pPr>
              <w:pStyle w:val="ARGrantstabletext"/>
              <w:rPr>
                <w:bCs/>
                <w:color w:val="000000"/>
              </w:rPr>
            </w:pPr>
            <w:proofErr w:type="spellStart"/>
            <w:r w:rsidRPr="00464DB0">
              <w:rPr>
                <w:color w:val="000000"/>
              </w:rPr>
              <w:t>Weeroona</w:t>
            </w:r>
            <w:proofErr w:type="spellEnd"/>
            <w:r w:rsidRPr="00464DB0">
              <w:rPr>
                <w:color w:val="000000"/>
              </w:rPr>
              <w:t xml:space="preserve"> College Bendigo</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36086C97" w14:textId="2926E8B8" w:rsidR="004A2DF7" w:rsidRPr="006D2D94" w:rsidRDefault="000A0A65">
            <w:pPr>
              <w:pStyle w:val="ARGrantstabletextright"/>
              <w:rPr>
                <w:bCs/>
                <w:color w:val="000000"/>
              </w:rPr>
            </w:pPr>
            <w:r w:rsidRPr="00464DB0">
              <w:rPr>
                <w:color w:val="000000"/>
              </w:rPr>
              <w:t>12,000</w:t>
            </w:r>
          </w:p>
        </w:tc>
      </w:tr>
      <w:tr w:rsidR="004A2DF7" w:rsidRPr="006D2D94" w14:paraId="19EC1D73" w14:textId="77777777" w:rsidTr="00370B3A">
        <w:tc>
          <w:tcPr>
            <w:tcW w:w="3398" w:type="dxa"/>
            <w:noWrap/>
            <w:vAlign w:val="bottom"/>
          </w:tcPr>
          <w:p w14:paraId="746871DC" w14:textId="54BA9A02" w:rsidR="004A2DF7" w:rsidRPr="006D2D94" w:rsidRDefault="000A0A65">
            <w:pPr>
              <w:pStyle w:val="ARGrantstabletext"/>
              <w:rPr>
                <w:bCs/>
                <w:color w:val="000000"/>
              </w:rPr>
            </w:pPr>
            <w:r w:rsidRPr="00464DB0">
              <w:rPr>
                <w:color w:val="000000"/>
              </w:rPr>
              <w:t>Wellington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5E4E9D9" w14:textId="15B31D4A" w:rsidR="004A2DF7" w:rsidRPr="006D2D94" w:rsidRDefault="000A0A65">
            <w:pPr>
              <w:pStyle w:val="ARGrantstabletextright"/>
              <w:rPr>
                <w:bCs/>
                <w:color w:val="000000"/>
              </w:rPr>
            </w:pPr>
            <w:r w:rsidRPr="00464DB0">
              <w:rPr>
                <w:color w:val="000000"/>
              </w:rPr>
              <w:t>39,750</w:t>
            </w:r>
          </w:p>
        </w:tc>
      </w:tr>
      <w:tr w:rsidR="004A2DF7" w:rsidRPr="006D2D94" w14:paraId="3FF773B6" w14:textId="77777777" w:rsidTr="00370B3A">
        <w:tc>
          <w:tcPr>
            <w:tcW w:w="3398" w:type="dxa"/>
            <w:tcBorders>
              <w:bottom w:val="single" w:sz="4" w:space="0" w:color="A6A6A6" w:themeColor="accent5"/>
            </w:tcBorders>
            <w:noWrap/>
            <w:vAlign w:val="bottom"/>
          </w:tcPr>
          <w:p w14:paraId="123282AC" w14:textId="13775C34" w:rsidR="004A2DF7" w:rsidRPr="006D2D94" w:rsidRDefault="000A0A65">
            <w:pPr>
              <w:pStyle w:val="ARGrantstabletext"/>
              <w:rPr>
                <w:bCs/>
                <w:color w:val="000000"/>
              </w:rPr>
            </w:pPr>
            <w:r w:rsidRPr="00464DB0">
              <w:rPr>
                <w:color w:val="000000"/>
              </w:rPr>
              <w:t>West Wimmera Shire Council</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36CBB54F" w14:textId="6518F2D5" w:rsidR="004A2DF7" w:rsidRPr="006D2D94" w:rsidRDefault="000A0A65">
            <w:pPr>
              <w:pStyle w:val="ARGrantstabletextright"/>
              <w:rPr>
                <w:bCs/>
                <w:color w:val="000000"/>
              </w:rPr>
            </w:pPr>
            <w:r w:rsidRPr="00464DB0">
              <w:rPr>
                <w:color w:val="000000"/>
              </w:rPr>
              <w:t>87,750</w:t>
            </w:r>
          </w:p>
        </w:tc>
      </w:tr>
      <w:tr w:rsidR="004A2DF7" w:rsidRPr="006D2D94" w14:paraId="5319592D" w14:textId="77777777" w:rsidTr="00370B3A">
        <w:tc>
          <w:tcPr>
            <w:tcW w:w="3398" w:type="dxa"/>
            <w:tcBorders>
              <w:top w:val="single" w:sz="4" w:space="0" w:color="A6A6A6" w:themeColor="accent5"/>
              <w:bottom w:val="single" w:sz="4" w:space="0" w:color="A6A6A6" w:themeColor="accent5"/>
            </w:tcBorders>
            <w:noWrap/>
            <w:vAlign w:val="bottom"/>
          </w:tcPr>
          <w:p w14:paraId="131EE90F" w14:textId="0928BB36" w:rsidR="004A2DF7" w:rsidRPr="006D2D94" w:rsidRDefault="000A0A65">
            <w:pPr>
              <w:pStyle w:val="ARGrantstabletext"/>
              <w:rPr>
                <w:bCs/>
                <w:color w:val="000000"/>
                <w:spacing w:val="-4"/>
              </w:rPr>
            </w:pPr>
            <w:r w:rsidRPr="00464DB0">
              <w:rPr>
                <w:color w:val="000000"/>
              </w:rPr>
              <w:t>Western Bulldogs Spirit West Services (SWS)</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23DF930F" w14:textId="7AA2B452" w:rsidR="004A2DF7" w:rsidRPr="006D2D94" w:rsidRDefault="000A0A65">
            <w:pPr>
              <w:pStyle w:val="ARGrantstabletextright"/>
              <w:rPr>
                <w:bCs/>
                <w:color w:val="000000"/>
              </w:rPr>
            </w:pPr>
            <w:r w:rsidRPr="00464DB0">
              <w:rPr>
                <w:color w:val="000000"/>
              </w:rPr>
              <w:t>15,000</w:t>
            </w:r>
          </w:p>
        </w:tc>
      </w:tr>
      <w:tr w:rsidR="004A2DF7" w:rsidRPr="006D2D94" w14:paraId="5D490333" w14:textId="77777777" w:rsidTr="00370B3A">
        <w:tc>
          <w:tcPr>
            <w:tcW w:w="3398" w:type="dxa"/>
            <w:tcBorders>
              <w:top w:val="single" w:sz="4" w:space="0" w:color="A6A6A6" w:themeColor="accent5"/>
            </w:tcBorders>
            <w:noWrap/>
            <w:vAlign w:val="bottom"/>
          </w:tcPr>
          <w:p w14:paraId="0E7EEC11" w14:textId="4EECA659" w:rsidR="004A2DF7" w:rsidRPr="006D2D94" w:rsidRDefault="000A0A65">
            <w:pPr>
              <w:pStyle w:val="ARGrantstabletext"/>
              <w:rPr>
                <w:bCs/>
                <w:color w:val="000000"/>
              </w:rPr>
            </w:pPr>
            <w:r w:rsidRPr="00464DB0">
              <w:rPr>
                <w:color w:val="000000"/>
              </w:rPr>
              <w:t>Western District Health Service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3632FE0D" w14:textId="67B68836" w:rsidR="004A2DF7" w:rsidRPr="006D2D94" w:rsidRDefault="000A0A65">
            <w:pPr>
              <w:pStyle w:val="ARGrantstabletextright"/>
              <w:rPr>
                <w:bCs/>
                <w:color w:val="000000"/>
              </w:rPr>
            </w:pPr>
            <w:r w:rsidRPr="00464DB0">
              <w:rPr>
                <w:color w:val="000000"/>
              </w:rPr>
              <w:t>47,500</w:t>
            </w:r>
          </w:p>
        </w:tc>
      </w:tr>
      <w:tr w:rsidR="004A2DF7" w:rsidRPr="006D2D94" w14:paraId="27AEDED9" w14:textId="77777777" w:rsidTr="00370B3A">
        <w:tc>
          <w:tcPr>
            <w:tcW w:w="3398" w:type="dxa"/>
            <w:noWrap/>
            <w:vAlign w:val="bottom"/>
          </w:tcPr>
          <w:p w14:paraId="550CAA7F" w14:textId="60945E53" w:rsidR="004A2DF7" w:rsidRPr="006D2D94" w:rsidRDefault="000A0A65">
            <w:pPr>
              <w:pStyle w:val="ARGrantstabletext"/>
              <w:rPr>
                <w:bCs/>
                <w:color w:val="000000"/>
              </w:rPr>
            </w:pPr>
            <w:r w:rsidRPr="00464DB0">
              <w:rPr>
                <w:color w:val="000000"/>
              </w:rPr>
              <w:t>Western Port Secondary 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1F5A459" w14:textId="36F386C5" w:rsidR="004A2DF7" w:rsidRPr="006D2D94" w:rsidRDefault="000A0A65">
            <w:pPr>
              <w:pStyle w:val="ARGrantstabletextright"/>
              <w:rPr>
                <w:bCs/>
                <w:color w:val="000000"/>
              </w:rPr>
            </w:pPr>
            <w:r w:rsidRPr="00464DB0">
              <w:rPr>
                <w:color w:val="000000"/>
              </w:rPr>
              <w:t>15,000</w:t>
            </w:r>
          </w:p>
        </w:tc>
      </w:tr>
      <w:tr w:rsidR="004A2DF7" w:rsidRPr="006D2D94" w14:paraId="7C3CF8B7" w14:textId="77777777" w:rsidTr="00370B3A">
        <w:tc>
          <w:tcPr>
            <w:tcW w:w="3398" w:type="dxa"/>
            <w:noWrap/>
            <w:vAlign w:val="bottom"/>
          </w:tcPr>
          <w:p w14:paraId="7AA7EF9D" w14:textId="37860DA2" w:rsidR="004A2DF7" w:rsidRPr="006D2D94" w:rsidRDefault="000A0A65">
            <w:pPr>
              <w:pStyle w:val="ARGrantstabletext"/>
              <w:rPr>
                <w:bCs/>
                <w:color w:val="000000"/>
              </w:rPr>
            </w:pPr>
            <w:r w:rsidRPr="00464DB0">
              <w:rPr>
                <w:color w:val="000000"/>
              </w:rPr>
              <w:t>Whitehorse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7A05080" w14:textId="2CC5C011" w:rsidR="004A2DF7" w:rsidRPr="006D2D94" w:rsidRDefault="000A0A65">
            <w:pPr>
              <w:pStyle w:val="ARGrantstabletextright"/>
              <w:rPr>
                <w:bCs/>
                <w:color w:val="000000"/>
              </w:rPr>
            </w:pPr>
            <w:r w:rsidRPr="00464DB0">
              <w:rPr>
                <w:color w:val="000000"/>
              </w:rPr>
              <w:t>19,500</w:t>
            </w:r>
          </w:p>
        </w:tc>
      </w:tr>
      <w:tr w:rsidR="004A2DF7" w:rsidRPr="006D2D94" w14:paraId="324B77BC" w14:textId="77777777" w:rsidTr="00370B3A">
        <w:tc>
          <w:tcPr>
            <w:tcW w:w="3398" w:type="dxa"/>
            <w:noWrap/>
            <w:vAlign w:val="bottom"/>
          </w:tcPr>
          <w:p w14:paraId="4A1E89DA" w14:textId="39661934" w:rsidR="004A2DF7" w:rsidRPr="006D2D94" w:rsidRDefault="000A0A65">
            <w:pPr>
              <w:pStyle w:val="ARGrantstabletext"/>
              <w:rPr>
                <w:bCs/>
                <w:color w:val="000000"/>
              </w:rPr>
            </w:pPr>
            <w:r w:rsidRPr="00464DB0">
              <w:rPr>
                <w:color w:val="000000"/>
              </w:rPr>
              <w:t>Whittlesea Community Connections</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09B5653" w14:textId="1CE1AF3E" w:rsidR="004A2DF7" w:rsidRPr="006D2D94" w:rsidRDefault="000A0A65">
            <w:pPr>
              <w:pStyle w:val="ARGrantstabletextright"/>
              <w:rPr>
                <w:bCs/>
                <w:color w:val="000000"/>
              </w:rPr>
            </w:pPr>
            <w:r w:rsidRPr="00464DB0">
              <w:rPr>
                <w:color w:val="000000"/>
              </w:rPr>
              <w:t>50,000</w:t>
            </w:r>
          </w:p>
        </w:tc>
      </w:tr>
      <w:tr w:rsidR="004A2DF7" w:rsidRPr="006D2D94" w14:paraId="068F5791" w14:textId="77777777" w:rsidTr="00370B3A">
        <w:tc>
          <w:tcPr>
            <w:tcW w:w="3398" w:type="dxa"/>
            <w:noWrap/>
            <w:vAlign w:val="bottom"/>
          </w:tcPr>
          <w:p w14:paraId="143D2903" w14:textId="190C9EB7" w:rsidR="004A2DF7" w:rsidRPr="006D2D94" w:rsidRDefault="000A0A65">
            <w:pPr>
              <w:pStyle w:val="ARGrantstabletext"/>
              <w:rPr>
                <w:bCs/>
                <w:color w:val="000000"/>
              </w:rPr>
            </w:pPr>
            <w:r w:rsidRPr="00464DB0">
              <w:rPr>
                <w:color w:val="000000"/>
              </w:rPr>
              <w:t>Winda-Mara Aboriginal Corporation</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95B1709" w14:textId="14318702" w:rsidR="004A2DF7" w:rsidRPr="006D2D94" w:rsidRDefault="000A0A65">
            <w:pPr>
              <w:pStyle w:val="ARGrantstabletextright"/>
              <w:rPr>
                <w:bCs/>
                <w:color w:val="000000"/>
              </w:rPr>
            </w:pPr>
            <w:r w:rsidRPr="00464DB0">
              <w:rPr>
                <w:color w:val="000000"/>
              </w:rPr>
              <w:t>105,000</w:t>
            </w:r>
          </w:p>
        </w:tc>
      </w:tr>
      <w:tr w:rsidR="004A2DF7" w:rsidRPr="006D2D94" w14:paraId="2E10CE89" w14:textId="77777777" w:rsidTr="00370B3A">
        <w:tc>
          <w:tcPr>
            <w:tcW w:w="3398" w:type="dxa"/>
            <w:noWrap/>
            <w:vAlign w:val="bottom"/>
          </w:tcPr>
          <w:p w14:paraId="441EF7FE" w14:textId="4B1517DD" w:rsidR="004A2DF7" w:rsidRPr="006D2D94" w:rsidRDefault="000A0A65">
            <w:pPr>
              <w:pStyle w:val="ARGrantstabletext"/>
              <w:rPr>
                <w:bCs/>
                <w:color w:val="000000"/>
              </w:rPr>
            </w:pPr>
            <w:r w:rsidRPr="00464DB0">
              <w:rPr>
                <w:color w:val="000000"/>
              </w:rPr>
              <w:t>Wodonga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31CAC74" w14:textId="034165B6" w:rsidR="004A2DF7" w:rsidRPr="006D2D94" w:rsidRDefault="000A0A65">
            <w:pPr>
              <w:pStyle w:val="ARGrantstabletextright"/>
              <w:rPr>
                <w:bCs/>
                <w:color w:val="000000"/>
              </w:rPr>
            </w:pPr>
            <w:r w:rsidRPr="00464DB0">
              <w:rPr>
                <w:color w:val="000000"/>
              </w:rPr>
              <w:t>37,750</w:t>
            </w:r>
          </w:p>
        </w:tc>
      </w:tr>
      <w:tr w:rsidR="004A2DF7" w:rsidRPr="006D2D94" w14:paraId="14D8388A" w14:textId="77777777" w:rsidTr="00370B3A">
        <w:tc>
          <w:tcPr>
            <w:tcW w:w="3398" w:type="dxa"/>
            <w:tcBorders>
              <w:bottom w:val="single" w:sz="4" w:space="0" w:color="A6A6A6" w:themeColor="accent5"/>
            </w:tcBorders>
            <w:noWrap/>
            <w:vAlign w:val="bottom"/>
          </w:tcPr>
          <w:p w14:paraId="55D022ED" w14:textId="7EE7A438" w:rsidR="004A2DF7" w:rsidRPr="006D2D94" w:rsidRDefault="000A0A65">
            <w:pPr>
              <w:pStyle w:val="ARGrantstabletext"/>
              <w:rPr>
                <w:bCs/>
                <w:color w:val="000000"/>
              </w:rPr>
            </w:pPr>
            <w:r w:rsidRPr="00464DB0">
              <w:rPr>
                <w:color w:val="000000"/>
              </w:rPr>
              <w:t>Wodonga Institute of TAFE</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2CD8D10A" w14:textId="179405E3" w:rsidR="004A2DF7" w:rsidRPr="006D2D94" w:rsidRDefault="000A0A65">
            <w:pPr>
              <w:pStyle w:val="ARGrantstabletextright"/>
              <w:rPr>
                <w:bCs/>
                <w:color w:val="000000"/>
              </w:rPr>
            </w:pPr>
            <w:r w:rsidRPr="00464DB0">
              <w:rPr>
                <w:color w:val="000000"/>
              </w:rPr>
              <w:t>2,000</w:t>
            </w:r>
          </w:p>
        </w:tc>
      </w:tr>
      <w:tr w:rsidR="004A2DF7" w:rsidRPr="006D2D94" w14:paraId="11BDDE41" w14:textId="77777777" w:rsidTr="00370B3A">
        <w:tc>
          <w:tcPr>
            <w:tcW w:w="3398" w:type="dxa"/>
            <w:tcBorders>
              <w:top w:val="single" w:sz="4" w:space="0" w:color="A6A6A6" w:themeColor="accent5"/>
              <w:bottom w:val="single" w:sz="4" w:space="0" w:color="A6A6A6" w:themeColor="accent5"/>
            </w:tcBorders>
            <w:noWrap/>
            <w:vAlign w:val="bottom"/>
          </w:tcPr>
          <w:p w14:paraId="45FDB9AF" w14:textId="24B2A484" w:rsidR="004A2DF7" w:rsidRPr="006D2D94" w:rsidRDefault="000A0A65">
            <w:pPr>
              <w:pStyle w:val="ARGrantstabletext"/>
              <w:rPr>
                <w:bCs/>
                <w:color w:val="000000"/>
              </w:rPr>
            </w:pPr>
            <w:r w:rsidRPr="00464DB0">
              <w:rPr>
                <w:color w:val="000000"/>
              </w:rPr>
              <w:t>Wodonga Middle Years College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31C94737" w14:textId="745E27A1" w:rsidR="004A2DF7" w:rsidRPr="006D2D94" w:rsidRDefault="000A0A65">
            <w:pPr>
              <w:pStyle w:val="ARGrantstabletextright"/>
              <w:rPr>
                <w:bCs/>
                <w:color w:val="000000"/>
              </w:rPr>
            </w:pPr>
            <w:r w:rsidRPr="00464DB0">
              <w:rPr>
                <w:color w:val="000000"/>
              </w:rPr>
              <w:t>12,000</w:t>
            </w:r>
          </w:p>
        </w:tc>
      </w:tr>
      <w:tr w:rsidR="004A2DF7" w:rsidRPr="006D2D94" w14:paraId="09FD9D56" w14:textId="77777777" w:rsidTr="00370B3A">
        <w:tc>
          <w:tcPr>
            <w:tcW w:w="3398" w:type="dxa"/>
            <w:tcBorders>
              <w:top w:val="single" w:sz="4" w:space="0" w:color="A6A6A6" w:themeColor="accent5"/>
            </w:tcBorders>
            <w:noWrap/>
            <w:vAlign w:val="bottom"/>
          </w:tcPr>
          <w:p w14:paraId="3C040BDA" w14:textId="5B2336DC" w:rsidR="004A2DF7" w:rsidRPr="006D2D94" w:rsidRDefault="000A0A65">
            <w:pPr>
              <w:pStyle w:val="ARGrantstabletext"/>
              <w:rPr>
                <w:bCs/>
                <w:color w:val="000000"/>
              </w:rPr>
            </w:pPr>
            <w:r w:rsidRPr="006F2CE3">
              <w:rPr>
                <w:color w:val="000000"/>
              </w:rPr>
              <w:t>Wodonga Senior Secondary College (Wodonga Flexible Learning Centre)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0247726E" w14:textId="70FC7AFF" w:rsidR="004A2DF7" w:rsidRPr="006D2D94" w:rsidRDefault="000A0A65">
            <w:pPr>
              <w:pStyle w:val="ARGrantstabletextright"/>
              <w:rPr>
                <w:bCs/>
                <w:color w:val="000000"/>
              </w:rPr>
            </w:pPr>
            <w:r w:rsidRPr="006F2CE3">
              <w:rPr>
                <w:color w:val="000000"/>
              </w:rPr>
              <w:t>17,000</w:t>
            </w:r>
          </w:p>
        </w:tc>
      </w:tr>
      <w:tr w:rsidR="004A2DF7" w:rsidRPr="006D2D94" w14:paraId="0E43219F" w14:textId="77777777" w:rsidTr="00370B3A">
        <w:tc>
          <w:tcPr>
            <w:tcW w:w="3398" w:type="dxa"/>
            <w:noWrap/>
            <w:vAlign w:val="bottom"/>
          </w:tcPr>
          <w:p w14:paraId="6189A8A3" w14:textId="7728B86F" w:rsidR="004A2DF7" w:rsidRPr="006D2D94" w:rsidRDefault="000A0A65">
            <w:pPr>
              <w:pStyle w:val="ARGrantstabletext"/>
              <w:rPr>
                <w:bCs/>
                <w:color w:val="000000"/>
              </w:rPr>
            </w:pPr>
            <w:r w:rsidRPr="006F2CE3">
              <w:rPr>
                <w:color w:val="000000"/>
              </w:rPr>
              <w:t xml:space="preserve">Workways Australia </w:t>
            </w:r>
            <w:r w:rsidR="00EA7A42">
              <w:rPr>
                <w:color w:val="000000"/>
              </w:rPr>
              <w:t>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9174F1E" w14:textId="394A4F94" w:rsidR="004A2DF7" w:rsidRPr="006D2D94" w:rsidRDefault="000A0A65">
            <w:pPr>
              <w:pStyle w:val="ARGrantstabletextright"/>
              <w:rPr>
                <w:bCs/>
                <w:color w:val="000000"/>
              </w:rPr>
            </w:pPr>
            <w:r w:rsidRPr="006F2CE3">
              <w:rPr>
                <w:color w:val="000000"/>
              </w:rPr>
              <w:t>22,500</w:t>
            </w:r>
          </w:p>
        </w:tc>
      </w:tr>
      <w:tr w:rsidR="004A2DF7" w:rsidRPr="006D2D94" w14:paraId="38C10364" w14:textId="77777777" w:rsidTr="00370B3A">
        <w:tc>
          <w:tcPr>
            <w:tcW w:w="3398" w:type="dxa"/>
            <w:noWrap/>
            <w:vAlign w:val="bottom"/>
          </w:tcPr>
          <w:p w14:paraId="406D7DA5" w14:textId="07833637" w:rsidR="004A2DF7" w:rsidRPr="006D2D94" w:rsidRDefault="000A0A65">
            <w:pPr>
              <w:pStyle w:val="ARGrantstabletext"/>
              <w:rPr>
                <w:bCs/>
                <w:color w:val="000000"/>
              </w:rPr>
            </w:pPr>
            <w:r w:rsidRPr="006F2CE3">
              <w:rPr>
                <w:color w:val="000000"/>
              </w:rPr>
              <w:t>Wrangler Studios Melbourne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379F536" w14:textId="7381333E" w:rsidR="004A2DF7" w:rsidRPr="006D2D94" w:rsidRDefault="000A0A65">
            <w:pPr>
              <w:pStyle w:val="ARGrantstabletextright"/>
              <w:rPr>
                <w:bCs/>
                <w:color w:val="000000"/>
              </w:rPr>
            </w:pPr>
            <w:r w:rsidRPr="006F2CE3">
              <w:rPr>
                <w:color w:val="000000"/>
              </w:rPr>
              <w:t>35,000</w:t>
            </w:r>
          </w:p>
        </w:tc>
      </w:tr>
      <w:tr w:rsidR="004A2DF7" w:rsidRPr="006D2D94" w14:paraId="6B2B2DB5" w14:textId="77777777" w:rsidTr="00370B3A">
        <w:tc>
          <w:tcPr>
            <w:tcW w:w="3398" w:type="dxa"/>
            <w:noWrap/>
            <w:vAlign w:val="bottom"/>
          </w:tcPr>
          <w:p w14:paraId="5FABE6F2" w14:textId="3E97D493" w:rsidR="004A2DF7" w:rsidRPr="006D2D94" w:rsidRDefault="000A0A65">
            <w:pPr>
              <w:pStyle w:val="ARGrantstabletext"/>
              <w:rPr>
                <w:bCs/>
                <w:color w:val="000000"/>
              </w:rPr>
            </w:pPr>
            <w:r w:rsidRPr="006F2CE3">
              <w:rPr>
                <w:color w:val="000000"/>
              </w:rPr>
              <w:t>Wyndham City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60C7C706" w14:textId="61C2D967" w:rsidR="004A2DF7" w:rsidRPr="006D2D94" w:rsidRDefault="000A0A65">
            <w:pPr>
              <w:pStyle w:val="ARGrantstabletextright"/>
              <w:rPr>
                <w:bCs/>
                <w:color w:val="000000"/>
              </w:rPr>
            </w:pPr>
            <w:r w:rsidRPr="006F2CE3">
              <w:rPr>
                <w:color w:val="000000"/>
              </w:rPr>
              <w:t>60,000</w:t>
            </w:r>
          </w:p>
        </w:tc>
      </w:tr>
      <w:tr w:rsidR="004A2DF7" w:rsidRPr="006D2D94" w14:paraId="56C74886" w14:textId="77777777" w:rsidTr="00370B3A">
        <w:tc>
          <w:tcPr>
            <w:tcW w:w="3398" w:type="dxa"/>
            <w:noWrap/>
            <w:vAlign w:val="bottom"/>
          </w:tcPr>
          <w:p w14:paraId="7285749C" w14:textId="25B067FF" w:rsidR="004A2DF7" w:rsidRPr="006D2D94" w:rsidRDefault="000A0A65">
            <w:pPr>
              <w:pStyle w:val="ARGrantstabletext"/>
              <w:rPr>
                <w:bCs/>
                <w:color w:val="000000"/>
              </w:rPr>
            </w:pPr>
            <w:r w:rsidRPr="006F2CE3">
              <w:rPr>
                <w:color w:val="000000"/>
              </w:rPr>
              <w:t>Wyndham Community and Education Centre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4D76841" w14:textId="2AE5F5D5" w:rsidR="004A2DF7" w:rsidRPr="006D2D94" w:rsidRDefault="000A0A65">
            <w:pPr>
              <w:pStyle w:val="ARGrantstabletextright"/>
              <w:rPr>
                <w:bCs/>
                <w:color w:val="000000"/>
              </w:rPr>
            </w:pPr>
            <w:r w:rsidRPr="006F2CE3">
              <w:rPr>
                <w:color w:val="000000"/>
              </w:rPr>
              <w:t>1,276,600</w:t>
            </w:r>
          </w:p>
        </w:tc>
      </w:tr>
      <w:tr w:rsidR="004A2DF7" w:rsidRPr="006D2D94" w14:paraId="7608DAD1" w14:textId="77777777" w:rsidTr="00F90BC7">
        <w:tc>
          <w:tcPr>
            <w:tcW w:w="3398" w:type="dxa"/>
            <w:tcBorders>
              <w:bottom w:val="single" w:sz="4" w:space="0" w:color="A6A6A6" w:themeColor="accent5"/>
            </w:tcBorders>
            <w:noWrap/>
            <w:vAlign w:val="bottom"/>
          </w:tcPr>
          <w:p w14:paraId="36361E63" w14:textId="5314A5C6" w:rsidR="004A2DF7" w:rsidRPr="006D2D94" w:rsidRDefault="000A0A65">
            <w:pPr>
              <w:pStyle w:val="ARGrantstabletext"/>
              <w:rPr>
                <w:bCs/>
                <w:color w:val="000000"/>
              </w:rPr>
            </w:pPr>
            <w:r w:rsidRPr="006F2CE3">
              <w:rPr>
                <w:color w:val="000000"/>
              </w:rPr>
              <w:t>Yarra City Council</w:t>
            </w:r>
          </w:p>
        </w:tc>
        <w:tc>
          <w:tcPr>
            <w:cnfStyle w:val="000001000000" w:firstRow="0" w:lastRow="0" w:firstColumn="0" w:lastColumn="0" w:oddVBand="0" w:evenVBand="1" w:oddHBand="0" w:evenHBand="0" w:firstRowFirstColumn="0" w:firstRowLastColumn="0" w:lastRowFirstColumn="0" w:lastRowLastColumn="0"/>
            <w:tcW w:w="1230" w:type="dxa"/>
            <w:tcBorders>
              <w:bottom w:val="single" w:sz="4" w:space="0" w:color="A6A6A6" w:themeColor="accent5"/>
            </w:tcBorders>
            <w:noWrap/>
            <w:vAlign w:val="bottom"/>
          </w:tcPr>
          <w:p w14:paraId="55389068" w14:textId="5A287C03" w:rsidR="004A2DF7" w:rsidRPr="006D2D94" w:rsidRDefault="000A0A65">
            <w:pPr>
              <w:pStyle w:val="ARGrantstabletextright"/>
              <w:rPr>
                <w:bCs/>
                <w:color w:val="000000"/>
              </w:rPr>
            </w:pPr>
            <w:r w:rsidRPr="006F2CE3">
              <w:rPr>
                <w:color w:val="000000"/>
              </w:rPr>
              <w:t>42,500</w:t>
            </w:r>
          </w:p>
        </w:tc>
      </w:tr>
      <w:tr w:rsidR="004A2DF7" w:rsidRPr="006D2D94" w14:paraId="0B52CB2F" w14:textId="77777777" w:rsidTr="00F90BC7">
        <w:tc>
          <w:tcPr>
            <w:tcW w:w="3398" w:type="dxa"/>
            <w:tcBorders>
              <w:top w:val="single" w:sz="4" w:space="0" w:color="A6A6A6" w:themeColor="accent5"/>
              <w:bottom w:val="single" w:sz="4" w:space="0" w:color="A6A6A6" w:themeColor="accent5"/>
            </w:tcBorders>
            <w:noWrap/>
            <w:vAlign w:val="bottom"/>
          </w:tcPr>
          <w:p w14:paraId="4CBF797D" w14:textId="5E2A6C2F" w:rsidR="004A2DF7" w:rsidRPr="006D2D94" w:rsidRDefault="000A0A65">
            <w:pPr>
              <w:pStyle w:val="ARGrantstabletext"/>
              <w:rPr>
                <w:bCs/>
                <w:color w:val="000000"/>
              </w:rPr>
            </w:pPr>
            <w:r w:rsidRPr="006F2CE3">
              <w:rPr>
                <w:color w:val="000000"/>
              </w:rPr>
              <w:t>Yarra Ranges Shire Council</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bottom w:val="single" w:sz="4" w:space="0" w:color="A6A6A6" w:themeColor="accent5"/>
            </w:tcBorders>
            <w:noWrap/>
            <w:vAlign w:val="bottom"/>
          </w:tcPr>
          <w:p w14:paraId="68A48A19" w14:textId="1C8532E6" w:rsidR="004A2DF7" w:rsidRPr="006D2D94" w:rsidRDefault="000A0A65">
            <w:pPr>
              <w:pStyle w:val="ARGrantstabletextright"/>
              <w:rPr>
                <w:bCs/>
                <w:color w:val="000000"/>
              </w:rPr>
            </w:pPr>
            <w:r w:rsidRPr="006F2CE3">
              <w:rPr>
                <w:color w:val="000000"/>
              </w:rPr>
              <w:t>64,085</w:t>
            </w:r>
          </w:p>
        </w:tc>
      </w:tr>
      <w:tr w:rsidR="004A2DF7" w:rsidRPr="006D2D94" w14:paraId="1D073E37" w14:textId="77777777" w:rsidTr="00F90BC7">
        <w:tc>
          <w:tcPr>
            <w:tcW w:w="3398" w:type="dxa"/>
            <w:tcBorders>
              <w:top w:val="single" w:sz="4" w:space="0" w:color="A6A6A6" w:themeColor="accent5"/>
            </w:tcBorders>
            <w:noWrap/>
            <w:vAlign w:val="bottom"/>
          </w:tcPr>
          <w:p w14:paraId="02498559" w14:textId="3CFE63A4" w:rsidR="004A2DF7" w:rsidRPr="006D2D94" w:rsidRDefault="000A0A65">
            <w:pPr>
              <w:pStyle w:val="ARGrantstabletext"/>
              <w:rPr>
                <w:bCs/>
                <w:color w:val="000000"/>
              </w:rPr>
            </w:pPr>
            <w:r w:rsidRPr="006F2CE3">
              <w:rPr>
                <w:color w:val="000000"/>
              </w:rPr>
              <w:lastRenderedPageBreak/>
              <w:t>Yarram and District Health Service</w:t>
            </w:r>
          </w:p>
        </w:tc>
        <w:tc>
          <w:tcPr>
            <w:cnfStyle w:val="000001000000" w:firstRow="0" w:lastRow="0" w:firstColumn="0" w:lastColumn="0" w:oddVBand="0" w:evenVBand="1" w:oddHBand="0" w:evenHBand="0" w:firstRowFirstColumn="0" w:firstRowLastColumn="0" w:lastRowFirstColumn="0" w:lastRowLastColumn="0"/>
            <w:tcW w:w="1230" w:type="dxa"/>
            <w:tcBorders>
              <w:top w:val="single" w:sz="4" w:space="0" w:color="A6A6A6" w:themeColor="accent5"/>
            </w:tcBorders>
            <w:noWrap/>
            <w:vAlign w:val="bottom"/>
          </w:tcPr>
          <w:p w14:paraId="598D4E72" w14:textId="06416C5D" w:rsidR="004A2DF7" w:rsidRPr="006D2D94" w:rsidRDefault="000A0A65">
            <w:pPr>
              <w:pStyle w:val="ARGrantstabletextright"/>
              <w:rPr>
                <w:bCs/>
                <w:color w:val="000000"/>
              </w:rPr>
            </w:pPr>
            <w:r w:rsidRPr="006F2CE3">
              <w:rPr>
                <w:color w:val="000000"/>
              </w:rPr>
              <w:t>45,000</w:t>
            </w:r>
          </w:p>
        </w:tc>
      </w:tr>
      <w:tr w:rsidR="004A2DF7" w:rsidRPr="006D2D94" w14:paraId="3E6AE73E" w14:textId="77777777" w:rsidTr="00370B3A">
        <w:tc>
          <w:tcPr>
            <w:tcW w:w="3398" w:type="dxa"/>
            <w:noWrap/>
            <w:vAlign w:val="bottom"/>
          </w:tcPr>
          <w:p w14:paraId="39EA8372" w14:textId="16E6E0D6" w:rsidR="004A2DF7" w:rsidRPr="006D2D94" w:rsidRDefault="000A0A65">
            <w:pPr>
              <w:pStyle w:val="ARGrantstabletext"/>
              <w:rPr>
                <w:bCs/>
                <w:color w:val="000000"/>
              </w:rPr>
            </w:pPr>
            <w:r w:rsidRPr="006F2CE3">
              <w:rPr>
                <w:color w:val="000000"/>
              </w:rPr>
              <w:t>Yarram Secondary College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4C1807B" w14:textId="324C3C4C" w:rsidR="004A2DF7" w:rsidRPr="006D2D94" w:rsidRDefault="000A0A65">
            <w:pPr>
              <w:pStyle w:val="ARGrantstabletextright"/>
              <w:rPr>
                <w:bCs/>
                <w:color w:val="000000"/>
              </w:rPr>
            </w:pPr>
            <w:r w:rsidRPr="006F2CE3">
              <w:rPr>
                <w:color w:val="000000"/>
              </w:rPr>
              <w:t>12,000</w:t>
            </w:r>
          </w:p>
        </w:tc>
      </w:tr>
      <w:tr w:rsidR="004A2DF7" w:rsidRPr="006D2D94" w14:paraId="3FDCB33E" w14:textId="77777777" w:rsidTr="00370B3A">
        <w:tc>
          <w:tcPr>
            <w:tcW w:w="3398" w:type="dxa"/>
            <w:noWrap/>
            <w:vAlign w:val="bottom"/>
          </w:tcPr>
          <w:p w14:paraId="26361968" w14:textId="31B1FF2F" w:rsidR="004A2DF7" w:rsidRPr="006D2D94" w:rsidRDefault="000A0A65">
            <w:pPr>
              <w:pStyle w:val="ARGrantstabletext"/>
              <w:rPr>
                <w:bCs/>
                <w:color w:val="000000"/>
              </w:rPr>
            </w:pPr>
            <w:r w:rsidRPr="006F2CE3">
              <w:rPr>
                <w:color w:val="000000"/>
              </w:rPr>
              <w:t>Yarrawonga Mulwala Community &amp; Learning Centre</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4796322" w14:textId="1497842B" w:rsidR="004A2DF7" w:rsidRPr="006D2D94" w:rsidRDefault="000A0A65">
            <w:pPr>
              <w:pStyle w:val="ARGrantstabletextright"/>
              <w:rPr>
                <w:bCs/>
                <w:color w:val="000000"/>
              </w:rPr>
            </w:pPr>
            <w:r w:rsidRPr="006F2CE3">
              <w:rPr>
                <w:color w:val="000000"/>
              </w:rPr>
              <w:t>20,000</w:t>
            </w:r>
          </w:p>
        </w:tc>
      </w:tr>
      <w:tr w:rsidR="004A2DF7" w:rsidRPr="006D2D94" w14:paraId="646D7F90" w14:textId="77777777" w:rsidTr="00370B3A">
        <w:tc>
          <w:tcPr>
            <w:tcW w:w="3398" w:type="dxa"/>
            <w:noWrap/>
            <w:vAlign w:val="bottom"/>
          </w:tcPr>
          <w:p w14:paraId="10D52B97" w14:textId="13B63426" w:rsidR="004A2DF7" w:rsidRPr="006D2D94" w:rsidRDefault="000A0A65">
            <w:pPr>
              <w:pStyle w:val="ARGrantstabletext"/>
              <w:rPr>
                <w:bCs/>
                <w:color w:val="000000"/>
              </w:rPr>
            </w:pPr>
            <w:proofErr w:type="spellStart"/>
            <w:r w:rsidRPr="006F2CE3">
              <w:rPr>
                <w:color w:val="000000"/>
              </w:rPr>
              <w:t>Yarriambiack</w:t>
            </w:r>
            <w:proofErr w:type="spellEnd"/>
            <w:r w:rsidRPr="006F2CE3">
              <w:rPr>
                <w:color w:val="000000"/>
              </w:rPr>
              <w:t xml:space="preserve"> Shire Council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5CF60011" w14:textId="4FFB5711" w:rsidR="004A2DF7" w:rsidRPr="006D2D94" w:rsidRDefault="000A0A65">
            <w:pPr>
              <w:pStyle w:val="ARGrantstabletextright"/>
              <w:rPr>
                <w:bCs/>
                <w:color w:val="000000"/>
              </w:rPr>
            </w:pPr>
            <w:r w:rsidRPr="006F2CE3">
              <w:rPr>
                <w:color w:val="000000"/>
              </w:rPr>
              <w:t>42,750</w:t>
            </w:r>
          </w:p>
        </w:tc>
      </w:tr>
      <w:tr w:rsidR="004A2DF7" w:rsidRPr="006D2D94" w14:paraId="6DF62ED2" w14:textId="77777777" w:rsidTr="00370B3A">
        <w:tc>
          <w:tcPr>
            <w:tcW w:w="3398" w:type="dxa"/>
            <w:noWrap/>
            <w:vAlign w:val="bottom"/>
          </w:tcPr>
          <w:p w14:paraId="57C3AD06" w14:textId="70388085" w:rsidR="004A2DF7" w:rsidRPr="006D2D94" w:rsidRDefault="000A0A65">
            <w:pPr>
              <w:pStyle w:val="ARGrantstabletext"/>
              <w:rPr>
                <w:bCs/>
                <w:color w:val="000000"/>
              </w:rPr>
            </w:pPr>
            <w:r w:rsidRPr="006F2CE3">
              <w:rPr>
                <w:color w:val="000000"/>
              </w:rPr>
              <w:t>Yoruba Language School Australia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8D1A6BC" w14:textId="7E8F5A49" w:rsidR="004A2DF7" w:rsidRPr="006D2D94" w:rsidRDefault="000A0A65">
            <w:pPr>
              <w:pStyle w:val="ARGrantstabletextright"/>
              <w:rPr>
                <w:bCs/>
                <w:color w:val="000000"/>
              </w:rPr>
            </w:pPr>
            <w:r w:rsidRPr="006F2CE3">
              <w:rPr>
                <w:color w:val="000000"/>
              </w:rPr>
              <w:t>7,500</w:t>
            </w:r>
          </w:p>
        </w:tc>
      </w:tr>
      <w:tr w:rsidR="004A2DF7" w:rsidRPr="006D2D94" w14:paraId="001D334F" w14:textId="77777777" w:rsidTr="00370B3A">
        <w:tc>
          <w:tcPr>
            <w:tcW w:w="3398" w:type="dxa"/>
            <w:noWrap/>
            <w:vAlign w:val="bottom"/>
          </w:tcPr>
          <w:p w14:paraId="186F14CB" w14:textId="5C878F64" w:rsidR="004A2DF7" w:rsidRPr="006D2D94" w:rsidRDefault="000A0A65">
            <w:pPr>
              <w:pStyle w:val="ARGrantstabletext"/>
              <w:rPr>
                <w:bCs/>
                <w:color w:val="000000"/>
              </w:rPr>
            </w:pPr>
            <w:r w:rsidRPr="006F2CE3">
              <w:rPr>
                <w:color w:val="000000"/>
              </w:rPr>
              <w:t>Young Australian Film Festival</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87D75CD" w14:textId="5794C652" w:rsidR="004A2DF7" w:rsidRPr="006D2D94" w:rsidRDefault="000A0A65">
            <w:pPr>
              <w:pStyle w:val="ARGrantstabletextright"/>
              <w:rPr>
                <w:bCs/>
                <w:color w:val="000000"/>
              </w:rPr>
            </w:pPr>
            <w:r w:rsidRPr="006F2CE3">
              <w:rPr>
                <w:color w:val="000000"/>
              </w:rPr>
              <w:t>2,000</w:t>
            </w:r>
          </w:p>
        </w:tc>
      </w:tr>
      <w:tr w:rsidR="004A2DF7" w:rsidRPr="006D2D94" w14:paraId="159BC4EA" w14:textId="77777777" w:rsidTr="00370B3A">
        <w:tc>
          <w:tcPr>
            <w:tcW w:w="3398" w:type="dxa"/>
            <w:noWrap/>
            <w:vAlign w:val="bottom"/>
          </w:tcPr>
          <w:p w14:paraId="7B461EA9" w14:textId="42A75472" w:rsidR="004A2DF7" w:rsidRPr="006D2D94" w:rsidRDefault="000A0A65">
            <w:pPr>
              <w:pStyle w:val="ARGrantstabletext"/>
              <w:rPr>
                <w:bCs/>
                <w:color w:val="000000"/>
              </w:rPr>
            </w:pPr>
            <w:r w:rsidRPr="006F2CE3">
              <w:rPr>
                <w:color w:val="000000"/>
              </w:rPr>
              <w:t xml:space="preserve">Young Change Agents </w:t>
            </w:r>
            <w:r w:rsidR="00EA7A42">
              <w:rPr>
                <w:color w:val="000000"/>
              </w:rPr>
              <w:t>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C1325BE" w14:textId="01CC86CB" w:rsidR="004A2DF7" w:rsidRPr="006D2D94" w:rsidRDefault="000A0A65">
            <w:pPr>
              <w:pStyle w:val="ARGrantstabletextright"/>
              <w:rPr>
                <w:bCs/>
                <w:color w:val="000000"/>
              </w:rPr>
            </w:pPr>
            <w:r w:rsidRPr="006F2CE3">
              <w:rPr>
                <w:color w:val="000000"/>
              </w:rPr>
              <w:t>22,500</w:t>
            </w:r>
          </w:p>
        </w:tc>
      </w:tr>
      <w:tr w:rsidR="004A2DF7" w:rsidRPr="006D2D94" w14:paraId="6C9019C1" w14:textId="77777777" w:rsidTr="00370B3A">
        <w:tc>
          <w:tcPr>
            <w:tcW w:w="3398" w:type="dxa"/>
            <w:noWrap/>
            <w:vAlign w:val="bottom"/>
          </w:tcPr>
          <w:p w14:paraId="13DE0526" w14:textId="1E5BD9BD" w:rsidR="004A2DF7" w:rsidRPr="006D2D94" w:rsidRDefault="000A0A65">
            <w:pPr>
              <w:pStyle w:val="ARGrantstabletext"/>
              <w:rPr>
                <w:bCs/>
                <w:color w:val="000000"/>
              </w:rPr>
            </w:pPr>
            <w:r w:rsidRPr="006F2CE3">
              <w:rPr>
                <w:color w:val="000000"/>
              </w:rPr>
              <w:t>Young Men's Christian Association of Ballarat Youth Services I</w:t>
            </w:r>
            <w:r>
              <w:rPr>
                <w:color w:val="000000"/>
              </w:rPr>
              <w:t>nc.</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477848DD" w14:textId="44BCEB48" w:rsidR="004A2DF7" w:rsidRPr="006D2D94" w:rsidRDefault="000A0A65">
            <w:pPr>
              <w:pStyle w:val="ARGrantstabletextright"/>
              <w:rPr>
                <w:bCs/>
                <w:color w:val="000000"/>
              </w:rPr>
            </w:pPr>
            <w:r w:rsidRPr="006F2CE3">
              <w:rPr>
                <w:color w:val="000000"/>
              </w:rPr>
              <w:t>51,667</w:t>
            </w:r>
          </w:p>
        </w:tc>
      </w:tr>
      <w:tr w:rsidR="004A2DF7" w:rsidRPr="006D2D94" w14:paraId="70231AEF" w14:textId="77777777" w:rsidTr="00370B3A">
        <w:tc>
          <w:tcPr>
            <w:tcW w:w="3398" w:type="dxa"/>
            <w:noWrap/>
            <w:vAlign w:val="bottom"/>
          </w:tcPr>
          <w:p w14:paraId="6F38E849" w14:textId="1E9AFC84" w:rsidR="004A2DF7" w:rsidRPr="006D2D94" w:rsidRDefault="000A0A65">
            <w:pPr>
              <w:pStyle w:val="ARGrantstabletext"/>
              <w:rPr>
                <w:bCs/>
                <w:color w:val="000000"/>
              </w:rPr>
            </w:pPr>
            <w:r w:rsidRPr="006F2CE3">
              <w:rPr>
                <w:color w:val="000000"/>
              </w:rPr>
              <w:t>Youth Affairs Council of Victoria Inc</w:t>
            </w:r>
            <w:r>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75343D5D" w14:textId="3AD61D89" w:rsidR="004A2DF7" w:rsidRPr="006D2D94" w:rsidRDefault="000A0A65">
            <w:pPr>
              <w:pStyle w:val="ARGrantstabletextright"/>
              <w:rPr>
                <w:bCs/>
                <w:color w:val="000000"/>
              </w:rPr>
            </w:pPr>
            <w:r w:rsidRPr="006F2CE3">
              <w:rPr>
                <w:color w:val="000000"/>
              </w:rPr>
              <w:t>795,228</w:t>
            </w:r>
          </w:p>
        </w:tc>
      </w:tr>
      <w:tr w:rsidR="004A2DF7" w:rsidRPr="006D2D94" w14:paraId="2AF2CF94" w14:textId="77777777" w:rsidTr="00370B3A">
        <w:tc>
          <w:tcPr>
            <w:tcW w:w="3398" w:type="dxa"/>
            <w:noWrap/>
            <w:vAlign w:val="bottom"/>
          </w:tcPr>
          <w:p w14:paraId="0DCD304C" w14:textId="16C62BA5" w:rsidR="004A2DF7" w:rsidRPr="006D2D94" w:rsidRDefault="000A0A65">
            <w:pPr>
              <w:pStyle w:val="ARGrantstabletext"/>
              <w:rPr>
                <w:bCs/>
                <w:color w:val="000000"/>
              </w:rPr>
            </w:pPr>
            <w:r w:rsidRPr="006F2CE3">
              <w:rPr>
                <w:color w:val="000000"/>
              </w:rPr>
              <w:t>Youth Albury Wodonga Inc</w:t>
            </w:r>
            <w:r w:rsidR="00EA7A42">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3C295A0" w14:textId="4F929DFC" w:rsidR="004A2DF7" w:rsidRPr="006D2D94" w:rsidRDefault="000A0A65">
            <w:pPr>
              <w:pStyle w:val="ARGrantstabletextright"/>
              <w:rPr>
                <w:bCs/>
                <w:color w:val="000000"/>
              </w:rPr>
            </w:pPr>
            <w:r w:rsidRPr="006F2CE3">
              <w:rPr>
                <w:color w:val="000000"/>
              </w:rPr>
              <w:t>50,000</w:t>
            </w:r>
          </w:p>
        </w:tc>
      </w:tr>
      <w:tr w:rsidR="004A2DF7" w:rsidRPr="006D2D94" w14:paraId="0A21A73F" w14:textId="77777777" w:rsidTr="00370B3A">
        <w:tc>
          <w:tcPr>
            <w:tcW w:w="3398" w:type="dxa"/>
            <w:noWrap/>
            <w:vAlign w:val="bottom"/>
          </w:tcPr>
          <w:p w14:paraId="401219F0" w14:textId="46C3BC91" w:rsidR="004A2DF7" w:rsidRPr="006D2D94" w:rsidRDefault="000A0A65">
            <w:pPr>
              <w:pStyle w:val="ARGrantstabletext"/>
              <w:rPr>
                <w:bCs/>
                <w:color w:val="000000"/>
              </w:rPr>
            </w:pPr>
            <w:r w:rsidRPr="006F2CE3">
              <w:rPr>
                <w:color w:val="000000"/>
              </w:rPr>
              <w:t xml:space="preserve">Youth </w:t>
            </w:r>
            <w:proofErr w:type="spellStart"/>
            <w:r w:rsidRPr="006F2CE3">
              <w:rPr>
                <w:color w:val="000000"/>
              </w:rPr>
              <w:t>Insearch</w:t>
            </w:r>
            <w:proofErr w:type="spellEnd"/>
            <w:r w:rsidRPr="006F2CE3">
              <w:rPr>
                <w:color w:val="000000"/>
              </w:rPr>
              <w:t xml:space="preserve"> Foundation (Aust) Inc</w:t>
            </w:r>
            <w:r>
              <w:rPr>
                <w:color w:val="000000"/>
              </w:rPr>
              <w:t>.</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1179D65F" w14:textId="5E25CF5B" w:rsidR="004A2DF7" w:rsidRPr="006D2D94" w:rsidRDefault="000A0A65">
            <w:pPr>
              <w:pStyle w:val="ARGrantstabletextright"/>
              <w:rPr>
                <w:bCs/>
                <w:color w:val="000000"/>
              </w:rPr>
            </w:pPr>
            <w:r w:rsidRPr="006F2CE3">
              <w:rPr>
                <w:color w:val="000000"/>
              </w:rPr>
              <w:t>22,500</w:t>
            </w:r>
          </w:p>
        </w:tc>
      </w:tr>
      <w:tr w:rsidR="004A2DF7" w:rsidRPr="006D2D94" w14:paraId="7376174A" w14:textId="77777777" w:rsidTr="00370B3A">
        <w:tc>
          <w:tcPr>
            <w:tcW w:w="3398" w:type="dxa"/>
            <w:noWrap/>
            <w:vAlign w:val="bottom"/>
          </w:tcPr>
          <w:p w14:paraId="4819E039" w14:textId="6B90B73D" w:rsidR="004A2DF7" w:rsidRPr="006D2D94" w:rsidRDefault="000A0A65">
            <w:pPr>
              <w:pStyle w:val="ARGrantstabletext"/>
              <w:rPr>
                <w:bCs/>
                <w:color w:val="000000"/>
              </w:rPr>
            </w:pPr>
            <w:r w:rsidRPr="006F2CE3">
              <w:rPr>
                <w:color w:val="000000"/>
              </w:rPr>
              <w:t>Youth Projects Ltd</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23BBB75C" w14:textId="29D28F8E" w:rsidR="004A2DF7" w:rsidRPr="006D2D94" w:rsidRDefault="000A0A65">
            <w:pPr>
              <w:pStyle w:val="ARGrantstabletextright"/>
              <w:rPr>
                <w:bCs/>
                <w:color w:val="000000"/>
              </w:rPr>
            </w:pPr>
            <w:r w:rsidRPr="006F2CE3">
              <w:rPr>
                <w:color w:val="000000"/>
              </w:rPr>
              <w:t>92,833</w:t>
            </w:r>
          </w:p>
        </w:tc>
      </w:tr>
      <w:tr w:rsidR="004A2DF7" w:rsidRPr="006D2D94" w14:paraId="41A2E7EC" w14:textId="77777777" w:rsidTr="00370B3A">
        <w:tc>
          <w:tcPr>
            <w:tcW w:w="3398" w:type="dxa"/>
            <w:noWrap/>
            <w:vAlign w:val="bottom"/>
          </w:tcPr>
          <w:p w14:paraId="14686E0B" w14:textId="285F6312" w:rsidR="004A2DF7" w:rsidRPr="006D2D94" w:rsidRDefault="000A0A65">
            <w:pPr>
              <w:pStyle w:val="ARGrantstabletext"/>
              <w:rPr>
                <w:bCs/>
                <w:color w:val="000000"/>
              </w:rPr>
            </w:pPr>
            <w:r w:rsidRPr="006F2CE3">
              <w:rPr>
                <w:color w:val="000000"/>
              </w:rPr>
              <w:t xml:space="preserve">Zimbabwean Community in Australia </w:t>
            </w:r>
            <w:r w:rsidR="00EA7A42">
              <w:rPr>
                <w:color w:val="000000"/>
              </w:rPr>
              <w:t>–</w:t>
            </w:r>
            <w:r w:rsidRPr="006F2CE3">
              <w:rPr>
                <w:color w:val="000000"/>
              </w:rPr>
              <w:t xml:space="preserve"> Victoria</w:t>
            </w:r>
          </w:p>
        </w:tc>
        <w:tc>
          <w:tcPr>
            <w:cnfStyle w:val="000001000000" w:firstRow="0" w:lastRow="0" w:firstColumn="0" w:lastColumn="0" w:oddVBand="0" w:evenVBand="1" w:oddHBand="0" w:evenHBand="0" w:firstRowFirstColumn="0" w:firstRowLastColumn="0" w:lastRowFirstColumn="0" w:lastRowLastColumn="0"/>
            <w:tcW w:w="1230" w:type="dxa"/>
            <w:noWrap/>
            <w:vAlign w:val="bottom"/>
          </w:tcPr>
          <w:p w14:paraId="05524EBA" w14:textId="7F350EF6" w:rsidR="004A2DF7" w:rsidRPr="006D2D94" w:rsidRDefault="000A0A65">
            <w:pPr>
              <w:pStyle w:val="ARGrantstabletextright"/>
              <w:rPr>
                <w:bCs/>
                <w:color w:val="000000"/>
              </w:rPr>
            </w:pPr>
            <w:r w:rsidRPr="006F2CE3">
              <w:rPr>
                <w:color w:val="000000"/>
              </w:rPr>
              <w:t>2,000</w:t>
            </w:r>
          </w:p>
        </w:tc>
      </w:tr>
      <w:tr w:rsidR="004A2DF7" w:rsidRPr="00F54FDE" w14:paraId="54F6C8A8" w14:textId="77777777" w:rsidTr="00370B3A">
        <w:trPr>
          <w:cnfStyle w:val="010000000000" w:firstRow="0" w:lastRow="1" w:firstColumn="0" w:lastColumn="0" w:oddVBand="0" w:evenVBand="0" w:oddHBand="0" w:evenHBand="0" w:firstRowFirstColumn="0" w:firstRowLastColumn="0" w:lastRowFirstColumn="0" w:lastRowLastColumn="0"/>
        </w:trPr>
        <w:tc>
          <w:tcPr>
            <w:tcW w:w="3398" w:type="dxa"/>
            <w:noWrap/>
          </w:tcPr>
          <w:p w14:paraId="2EB58051" w14:textId="77777777" w:rsidR="004A2DF7" w:rsidRPr="006D2D94" w:rsidRDefault="004A2DF7">
            <w:pPr>
              <w:pStyle w:val="ARGrantstabletextbold"/>
            </w:pPr>
            <w:r w:rsidRPr="006D2D94">
              <w:t>Total</w:t>
            </w:r>
          </w:p>
        </w:tc>
        <w:tc>
          <w:tcPr>
            <w:cnfStyle w:val="000001000000" w:firstRow="0" w:lastRow="0" w:firstColumn="0" w:lastColumn="0" w:oddVBand="0" w:evenVBand="1" w:oddHBand="0" w:evenHBand="0" w:firstRowFirstColumn="0" w:firstRowLastColumn="0" w:lastRowFirstColumn="0" w:lastRowLastColumn="0"/>
            <w:tcW w:w="1230" w:type="dxa"/>
            <w:noWrap/>
          </w:tcPr>
          <w:p w14:paraId="04087ED8" w14:textId="765D36DC" w:rsidR="004A2DF7" w:rsidRPr="006D2D94" w:rsidRDefault="00CD0D95">
            <w:pPr>
              <w:pStyle w:val="ARGrantstabletextrightbold"/>
            </w:pPr>
            <w:r>
              <w:t>19,552,311</w:t>
            </w:r>
          </w:p>
        </w:tc>
      </w:tr>
    </w:tbl>
    <w:p w14:paraId="1A7CCAF9" w14:textId="77777777" w:rsidR="004A2DF7" w:rsidRPr="00F54FDE" w:rsidRDefault="004A2DF7">
      <w:pPr>
        <w:pStyle w:val="ARbody"/>
        <w:rPr>
          <w:highlight w:val="cyan"/>
        </w:rPr>
        <w:sectPr w:rsidR="004A2DF7" w:rsidRPr="00F54FDE" w:rsidSect="007F43B1">
          <w:endnotePr>
            <w:numFmt w:val="decimal"/>
          </w:endnotePr>
          <w:type w:val="continuous"/>
          <w:pgSz w:w="11900" w:h="16840" w:code="9"/>
          <w:pgMar w:top="1588" w:right="1134" w:bottom="851" w:left="1134" w:header="510" w:footer="340" w:gutter="0"/>
          <w:cols w:num="2" w:space="454"/>
          <w:docGrid w:linePitch="299"/>
        </w:sectPr>
      </w:pPr>
    </w:p>
    <w:p w14:paraId="40836230" w14:textId="77777777" w:rsidR="004A2DF7" w:rsidRPr="00DE5AC4" w:rsidRDefault="004A2DF7" w:rsidP="00253B88">
      <w:pPr>
        <w:pStyle w:val="Heading2"/>
        <w:spacing w:before="0"/>
      </w:pPr>
      <w:bookmarkStart w:id="315" w:name="_Additional_departmental_information"/>
      <w:bookmarkStart w:id="316" w:name="_Toc82006220"/>
      <w:bookmarkStart w:id="317" w:name="_Ref85113909"/>
      <w:bookmarkStart w:id="318" w:name="_Toc110778206"/>
      <w:bookmarkStart w:id="319" w:name="_Toc110855620"/>
      <w:bookmarkStart w:id="320" w:name="_Toc114491224"/>
      <w:bookmarkStart w:id="321" w:name="_Toc144218682"/>
      <w:bookmarkStart w:id="322" w:name="_Toc149587073"/>
      <w:bookmarkStart w:id="323" w:name="_Toc212039561"/>
      <w:bookmarkEnd w:id="315"/>
      <w:r w:rsidRPr="00DE5AC4">
        <w:lastRenderedPageBreak/>
        <w:t>Additional departmental information available on request</w:t>
      </w:r>
      <w:bookmarkEnd w:id="316"/>
      <w:bookmarkEnd w:id="317"/>
      <w:bookmarkEnd w:id="318"/>
      <w:bookmarkEnd w:id="319"/>
      <w:bookmarkEnd w:id="320"/>
      <w:bookmarkEnd w:id="321"/>
      <w:bookmarkEnd w:id="322"/>
      <w:bookmarkEnd w:id="323"/>
    </w:p>
    <w:p w14:paraId="0B5A99F7" w14:textId="77777777" w:rsidR="004A2DF7" w:rsidRPr="00DE5AC4" w:rsidRDefault="004A2DF7">
      <w:pPr>
        <w:pStyle w:val="ARbody"/>
      </w:pPr>
      <w:bookmarkStart w:id="324" w:name="_Toc110855621"/>
      <w:bookmarkStart w:id="325" w:name="_Toc114491225"/>
      <w:bookmarkStart w:id="326" w:name="_Toc144218683"/>
      <w:bookmarkEnd w:id="324"/>
      <w:bookmarkEnd w:id="325"/>
      <w:bookmarkEnd w:id="326"/>
      <w:r w:rsidRPr="00DE5AC4">
        <w:t xml:space="preserve">In compliance with the requirements of the Standing Directions 2018 under the </w:t>
      </w:r>
      <w:r w:rsidRPr="004D1B31">
        <w:rPr>
          <w:rStyle w:val="Emphasis"/>
        </w:rPr>
        <w:t>Financial Management Act 1994</w:t>
      </w:r>
      <w:r w:rsidRPr="00DE5AC4">
        <w:t xml:space="preserve">, details in respect of the items listed below have been retained by the department and are available on request, subject to the provisions of the </w:t>
      </w:r>
      <w:r w:rsidRPr="004D1B31">
        <w:rPr>
          <w:rStyle w:val="Emphasis"/>
        </w:rPr>
        <w:t>Freedom of Information Act 1982</w:t>
      </w:r>
      <w:r w:rsidRPr="00DE5AC4">
        <w:t>:</w:t>
      </w:r>
    </w:p>
    <w:p w14:paraId="2DD159FF" w14:textId="77777777" w:rsidR="004A2DF7" w:rsidRPr="00DE5AC4" w:rsidRDefault="004A2DF7">
      <w:pPr>
        <w:pStyle w:val="ARbullet1"/>
      </w:pPr>
      <w:r w:rsidRPr="00DE5AC4">
        <w:t>a statement that declarations of pecuniary interests have been duly completed by all relevant officers</w:t>
      </w:r>
    </w:p>
    <w:p w14:paraId="53764721" w14:textId="77777777" w:rsidR="004A2DF7" w:rsidRPr="00DE5AC4" w:rsidRDefault="004A2DF7">
      <w:pPr>
        <w:pStyle w:val="ARbullet1"/>
      </w:pPr>
      <w:r w:rsidRPr="00DE5AC4">
        <w:t>details of shares held by a senior officer as nominee or held beneficially in a statutory authority or subsidiary</w:t>
      </w:r>
    </w:p>
    <w:p w14:paraId="7B939F5E" w14:textId="77777777" w:rsidR="004A2DF7" w:rsidRPr="00DE5AC4" w:rsidRDefault="004A2DF7">
      <w:pPr>
        <w:pStyle w:val="ARbullet1"/>
      </w:pPr>
      <w:r w:rsidRPr="00DE5AC4">
        <w:t>details of publications produced by the entity about itself, and how these can be obtained</w:t>
      </w:r>
    </w:p>
    <w:p w14:paraId="6955C5F1" w14:textId="77777777" w:rsidR="004A2DF7" w:rsidRPr="00DE5AC4" w:rsidRDefault="004A2DF7">
      <w:pPr>
        <w:pStyle w:val="ARbullet1"/>
      </w:pPr>
      <w:r w:rsidRPr="00DE5AC4">
        <w:t>details of changes in prices, fees, charges, rates and levies charged by the entity</w:t>
      </w:r>
    </w:p>
    <w:p w14:paraId="1A97A4DD" w14:textId="77777777" w:rsidR="004A2DF7" w:rsidRPr="00DE5AC4" w:rsidRDefault="004A2DF7">
      <w:pPr>
        <w:pStyle w:val="ARbullet1"/>
      </w:pPr>
      <w:r w:rsidRPr="00DE5AC4">
        <w:t>details of any major external reviews carried out on the entity</w:t>
      </w:r>
    </w:p>
    <w:p w14:paraId="469C84DB" w14:textId="77777777" w:rsidR="004A2DF7" w:rsidRPr="00DE5AC4" w:rsidRDefault="004A2DF7">
      <w:pPr>
        <w:pStyle w:val="ARbullet1"/>
      </w:pPr>
      <w:r w:rsidRPr="00DE5AC4">
        <w:t>details of major research and development activities undertaken by the entity</w:t>
      </w:r>
    </w:p>
    <w:p w14:paraId="7DA1A5D7" w14:textId="77777777" w:rsidR="004A2DF7" w:rsidRPr="00DE5AC4" w:rsidRDefault="004A2DF7">
      <w:pPr>
        <w:pStyle w:val="ARbullet1"/>
      </w:pPr>
      <w:r w:rsidRPr="00DE5AC4">
        <w:t>details of overseas visits undertaken including a summary of the objectives and outcomes of each visit</w:t>
      </w:r>
    </w:p>
    <w:p w14:paraId="3D64129B" w14:textId="77777777" w:rsidR="004A2DF7" w:rsidRPr="00DE5AC4" w:rsidRDefault="004A2DF7">
      <w:pPr>
        <w:pStyle w:val="ARbullet1"/>
      </w:pPr>
      <w:r w:rsidRPr="00DE5AC4">
        <w:t>details of major promotional, public relations and marketing activities undertaken by the entity to develop community awareness of the entity and its services</w:t>
      </w:r>
    </w:p>
    <w:p w14:paraId="432A948F" w14:textId="77777777" w:rsidR="004A2DF7" w:rsidRPr="00DE5AC4" w:rsidRDefault="004A2DF7">
      <w:pPr>
        <w:pStyle w:val="ARbullet1"/>
      </w:pPr>
      <w:r w:rsidRPr="00DE5AC4">
        <w:t>details of assessments and measures undertaken to improve the occupational health and safety of employees</w:t>
      </w:r>
    </w:p>
    <w:p w14:paraId="5391FA08" w14:textId="77777777" w:rsidR="004A2DF7" w:rsidRPr="00DE5AC4" w:rsidRDefault="004A2DF7">
      <w:pPr>
        <w:pStyle w:val="ARbullet1"/>
      </w:pPr>
      <w:r w:rsidRPr="00DE5AC4">
        <w:t>a general statement on industrial relations within the entity and details of time lost through industrial accidents and disputes</w:t>
      </w:r>
    </w:p>
    <w:p w14:paraId="2231D4B5" w14:textId="77777777" w:rsidR="004A2DF7" w:rsidRPr="00DE5AC4" w:rsidRDefault="004A2DF7">
      <w:pPr>
        <w:pStyle w:val="ARbullet1"/>
      </w:pPr>
      <w:r w:rsidRPr="00DE5AC4">
        <w:t>a list of major committees sponsored by the entity, the purposes of each committee and the extent to which the purposes have been achieved</w:t>
      </w:r>
    </w:p>
    <w:p w14:paraId="6CB9E863" w14:textId="77777777" w:rsidR="004A2DF7" w:rsidRPr="00DE5AC4" w:rsidRDefault="004A2DF7">
      <w:pPr>
        <w:pStyle w:val="ARbullet1"/>
      </w:pPr>
      <w:r w:rsidRPr="00DE5AC4">
        <w:t>details of all consultancies and contractors including consultants/contractors engaged; services provided; and expenditure committed to for each engagement.</w:t>
      </w:r>
    </w:p>
    <w:p w14:paraId="3315067E" w14:textId="77777777" w:rsidR="004A2DF7" w:rsidRPr="00DE5AC4" w:rsidRDefault="004A2DF7">
      <w:pPr>
        <w:pStyle w:val="ARbodyafterbullets"/>
      </w:pPr>
      <w:r w:rsidRPr="00DE5AC4">
        <w:t>Requests for additional information may be made in writing to the following:</w:t>
      </w:r>
    </w:p>
    <w:p w14:paraId="48A6D23C" w14:textId="77777777" w:rsidR="004A2DF7" w:rsidRPr="00DE5AC4" w:rsidRDefault="004A2DF7">
      <w:pPr>
        <w:pStyle w:val="ARbody"/>
      </w:pPr>
      <w:r w:rsidRPr="00DE5AC4">
        <w:t>Executive Director, Strategy and Reform</w:t>
      </w:r>
      <w:r w:rsidRPr="00DE5AC4">
        <w:br/>
        <w:t>GPO Box 1774 Melbourne Vic 3001</w:t>
      </w:r>
    </w:p>
    <w:p w14:paraId="42DC260F" w14:textId="310DE52A" w:rsidR="004A2DF7" w:rsidRPr="00DE5AC4" w:rsidRDefault="004A2DF7">
      <w:pPr>
        <w:pStyle w:val="ARbody"/>
      </w:pPr>
      <w:r w:rsidRPr="00DC299E">
        <w:t xml:space="preserve">Email </w:t>
      </w:r>
      <w:hyperlink r:id="rId156" w:history="1">
        <w:r w:rsidR="005106AC">
          <w:rPr>
            <w:rStyle w:val="Hyperlink"/>
          </w:rPr>
          <w:t>DFFHcorporate.reporting@dffh.vic.gov.au</w:t>
        </w:r>
      </w:hyperlink>
    </w:p>
    <w:p w14:paraId="12ACD442" w14:textId="77777777" w:rsidR="004A2DF7" w:rsidRDefault="004A2DF7">
      <w:pPr>
        <w:pStyle w:val="ARbody"/>
        <w:sectPr w:rsidR="004A2DF7" w:rsidSect="007F43B1">
          <w:endnotePr>
            <w:numFmt w:val="decimal"/>
          </w:endnotePr>
          <w:pgSz w:w="11900" w:h="16840" w:code="9"/>
          <w:pgMar w:top="1588" w:right="1134" w:bottom="851" w:left="1134" w:header="510" w:footer="340" w:gutter="0"/>
          <w:cols w:space="454"/>
          <w:docGrid w:linePitch="299"/>
        </w:sectPr>
      </w:pPr>
    </w:p>
    <w:p w14:paraId="0B57B468" w14:textId="507A3768" w:rsidR="004A2DF7" w:rsidRPr="00532DAE" w:rsidRDefault="004A2DF7" w:rsidP="00093AC5">
      <w:pPr>
        <w:pStyle w:val="Heading2"/>
        <w:spacing w:before="0"/>
      </w:pPr>
      <w:bookmarkStart w:id="327" w:name="_Toc212039562"/>
      <w:r w:rsidRPr="00532DAE">
        <w:lastRenderedPageBreak/>
        <w:t>Disclosure index</w:t>
      </w:r>
      <w:bookmarkEnd w:id="327"/>
    </w:p>
    <w:p w14:paraId="3EB0B7BF" w14:textId="77777777" w:rsidR="004A2DF7" w:rsidRPr="00DA4048" w:rsidRDefault="004A2DF7">
      <w:pPr>
        <w:pStyle w:val="ARbody"/>
      </w:pPr>
      <w:r w:rsidRPr="00DA4048">
        <w:t>The annual report of the Department of Families, Fairness and Housing is prepared in accordance with all relevant Victorian legislation. This index has been prepared to facilitate identification of the department’s compliance with statutory disclosure requirements (FRD 10).</w:t>
      </w:r>
    </w:p>
    <w:p w14:paraId="1C85FC8C" w14:textId="77777777" w:rsidR="004A2DF7" w:rsidRPr="00DA4048" w:rsidRDefault="004A2DF7">
      <w:pPr>
        <w:pStyle w:val="ARbody"/>
      </w:pPr>
      <w:r w:rsidRPr="00DA4048">
        <w:t>Click on the page number (Ctrl + click in Microsoft Word) to refer to the relevant requirements for the corresponding disclosure requirements, or alternatively, refer to the corresponding page references.</w:t>
      </w:r>
    </w:p>
    <w:p w14:paraId="5B363863" w14:textId="77777777" w:rsidR="004A2DF7" w:rsidRPr="00CF42FE" w:rsidRDefault="004A2DF7">
      <w:pPr>
        <w:pStyle w:val="Heading3"/>
      </w:pPr>
      <w:r w:rsidRPr="00CF42FE">
        <w:t>Report of operations</w:t>
      </w:r>
    </w:p>
    <w:tbl>
      <w:tblPr>
        <w:tblW w:w="9634"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1985"/>
        <w:gridCol w:w="6520"/>
        <w:gridCol w:w="1129"/>
      </w:tblGrid>
      <w:tr w:rsidR="004A2DF7" w:rsidRPr="00E046B4" w14:paraId="427CA977" w14:textId="77777777">
        <w:trPr>
          <w:cantSplit/>
          <w:tblHeader/>
        </w:trPr>
        <w:tc>
          <w:tcPr>
            <w:tcW w:w="1985" w:type="dxa"/>
            <w:tcBorders>
              <w:top w:val="nil"/>
            </w:tcBorders>
            <w:vAlign w:val="bottom"/>
          </w:tcPr>
          <w:p w14:paraId="4A1E0A47" w14:textId="77777777" w:rsidR="004A2DF7" w:rsidRPr="00002DFE" w:rsidRDefault="004A2DF7" w:rsidP="00A72547">
            <w:pPr>
              <w:pStyle w:val="ARtablecolhead"/>
              <w:spacing w:before="60" w:after="40"/>
            </w:pPr>
            <w:r w:rsidRPr="00002DFE">
              <w:t>Legislation</w:t>
            </w:r>
          </w:p>
        </w:tc>
        <w:tc>
          <w:tcPr>
            <w:tcW w:w="6520" w:type="dxa"/>
            <w:tcBorders>
              <w:top w:val="nil"/>
            </w:tcBorders>
            <w:vAlign w:val="bottom"/>
          </w:tcPr>
          <w:p w14:paraId="7D7D173D" w14:textId="77777777" w:rsidR="004A2DF7" w:rsidRPr="00002DFE" w:rsidRDefault="004A2DF7" w:rsidP="00A72547">
            <w:pPr>
              <w:pStyle w:val="ARtablecolhead"/>
              <w:spacing w:before="60" w:after="40"/>
            </w:pPr>
            <w:r w:rsidRPr="00002DFE">
              <w:t>Requirement</w:t>
            </w:r>
          </w:p>
        </w:tc>
        <w:tc>
          <w:tcPr>
            <w:tcW w:w="1129" w:type="dxa"/>
            <w:tcBorders>
              <w:top w:val="nil"/>
            </w:tcBorders>
            <w:vAlign w:val="bottom"/>
          </w:tcPr>
          <w:p w14:paraId="42F16A02" w14:textId="3A765916" w:rsidR="004A2DF7" w:rsidRPr="00E046B4" w:rsidRDefault="004A2DF7" w:rsidP="00A72547">
            <w:pPr>
              <w:pStyle w:val="ARtablecolheadright"/>
              <w:spacing w:before="60" w:after="40"/>
              <w:rPr>
                <w:highlight w:val="cyan"/>
              </w:rPr>
            </w:pPr>
            <w:r w:rsidRPr="00A906A4">
              <w:t>Page reference</w:t>
            </w:r>
          </w:p>
        </w:tc>
      </w:tr>
      <w:tr w:rsidR="004A2DF7" w:rsidRPr="00E046B4" w14:paraId="696490DD" w14:textId="77777777">
        <w:trPr>
          <w:cantSplit/>
        </w:trPr>
        <w:tc>
          <w:tcPr>
            <w:tcW w:w="8505" w:type="dxa"/>
            <w:gridSpan w:val="2"/>
            <w:tcBorders>
              <w:bottom w:val="nil"/>
            </w:tcBorders>
          </w:tcPr>
          <w:p w14:paraId="437E12CC" w14:textId="77777777" w:rsidR="004A2DF7" w:rsidRPr="00002DFE" w:rsidRDefault="004A2DF7" w:rsidP="00A72547">
            <w:pPr>
              <w:pStyle w:val="ARtabletextbold"/>
              <w:spacing w:before="60" w:after="40"/>
            </w:pPr>
            <w:r w:rsidRPr="00002DFE">
              <w:t>Charter and purpose</w:t>
            </w:r>
          </w:p>
        </w:tc>
        <w:tc>
          <w:tcPr>
            <w:tcW w:w="1129" w:type="dxa"/>
            <w:tcBorders>
              <w:bottom w:val="nil"/>
            </w:tcBorders>
          </w:tcPr>
          <w:p w14:paraId="56A3EA69" w14:textId="77777777" w:rsidR="004A2DF7" w:rsidRPr="00E046B4" w:rsidRDefault="004A2DF7" w:rsidP="00A72547">
            <w:pPr>
              <w:pStyle w:val="ARtabletextright"/>
              <w:spacing w:before="60" w:after="40"/>
              <w:rPr>
                <w:highlight w:val="cyan"/>
              </w:rPr>
            </w:pPr>
          </w:p>
        </w:tc>
      </w:tr>
      <w:tr w:rsidR="004A2DF7" w:rsidRPr="00E046B4" w14:paraId="4C6ADB61" w14:textId="77777777">
        <w:trPr>
          <w:cantSplit/>
        </w:trPr>
        <w:tc>
          <w:tcPr>
            <w:tcW w:w="1985" w:type="dxa"/>
            <w:tcBorders>
              <w:top w:val="nil"/>
            </w:tcBorders>
          </w:tcPr>
          <w:p w14:paraId="52165C81" w14:textId="77777777" w:rsidR="004A2DF7" w:rsidRPr="00002DFE" w:rsidRDefault="004A2DF7" w:rsidP="00A72547">
            <w:pPr>
              <w:pStyle w:val="ARtabletext"/>
              <w:spacing w:before="60" w:after="40"/>
            </w:pPr>
            <w:r w:rsidRPr="00002DFE">
              <w:t>FRD 22</w:t>
            </w:r>
          </w:p>
        </w:tc>
        <w:tc>
          <w:tcPr>
            <w:tcW w:w="6520" w:type="dxa"/>
            <w:tcBorders>
              <w:top w:val="nil"/>
            </w:tcBorders>
          </w:tcPr>
          <w:p w14:paraId="3EE7A21F" w14:textId="6E687238" w:rsidR="004A2DF7" w:rsidRPr="00002DFE" w:rsidRDefault="004A2DF7" w:rsidP="00A72547">
            <w:pPr>
              <w:pStyle w:val="ARtabletext"/>
              <w:spacing w:before="60" w:after="40"/>
            </w:pPr>
            <w:r w:rsidRPr="00002DFE">
              <w:t xml:space="preserve">Manner of establishment and the relevant </w:t>
            </w:r>
            <w:r w:rsidR="0013613F">
              <w:t>m</w:t>
            </w:r>
            <w:r w:rsidR="0013613F" w:rsidRPr="00002DFE">
              <w:t>inisters</w:t>
            </w:r>
          </w:p>
        </w:tc>
        <w:tc>
          <w:tcPr>
            <w:tcW w:w="1129" w:type="dxa"/>
            <w:tcBorders>
              <w:top w:val="nil"/>
            </w:tcBorders>
          </w:tcPr>
          <w:p w14:paraId="57435042" w14:textId="453925BF" w:rsidR="004A2DF7" w:rsidRPr="00E046B4" w:rsidRDefault="005C7BCA" w:rsidP="00A72547">
            <w:pPr>
              <w:pStyle w:val="ARtabletextright"/>
              <w:spacing w:before="60" w:after="40"/>
              <w:rPr>
                <w:highlight w:val="cyan"/>
              </w:rPr>
            </w:pPr>
            <w:hyperlink w:anchor="_Hlk201315717" w:history="1">
              <w:r w:rsidRPr="009A17A2">
                <w:rPr>
                  <w:rStyle w:val="Hyperlink"/>
                </w:rPr>
                <w:t>16</w:t>
              </w:r>
              <w:r w:rsidR="0013613F" w:rsidRPr="009A17A2">
                <w:rPr>
                  <w:rStyle w:val="Hyperlink"/>
                </w:rPr>
                <w:t>–</w:t>
              </w:r>
              <w:r w:rsidRPr="009A17A2">
                <w:rPr>
                  <w:rStyle w:val="Hyperlink"/>
                </w:rPr>
                <w:t>17</w:t>
              </w:r>
            </w:hyperlink>
          </w:p>
        </w:tc>
      </w:tr>
      <w:tr w:rsidR="004A2DF7" w:rsidRPr="00E046B4" w14:paraId="66ADB31D" w14:textId="77777777">
        <w:trPr>
          <w:cantSplit/>
        </w:trPr>
        <w:tc>
          <w:tcPr>
            <w:tcW w:w="1985" w:type="dxa"/>
          </w:tcPr>
          <w:p w14:paraId="3A6EE531" w14:textId="77777777" w:rsidR="004A2DF7" w:rsidRPr="00002DFE" w:rsidRDefault="004A2DF7" w:rsidP="00A72547">
            <w:pPr>
              <w:pStyle w:val="ARtabletext"/>
              <w:spacing w:before="60" w:after="40"/>
            </w:pPr>
            <w:r w:rsidRPr="00002DFE">
              <w:t>FRD 22</w:t>
            </w:r>
          </w:p>
        </w:tc>
        <w:tc>
          <w:tcPr>
            <w:tcW w:w="6520" w:type="dxa"/>
          </w:tcPr>
          <w:p w14:paraId="4B5B512E" w14:textId="77777777" w:rsidR="004A2DF7" w:rsidRPr="00002DFE" w:rsidRDefault="004A2DF7" w:rsidP="00A72547">
            <w:pPr>
              <w:pStyle w:val="ARtabletext"/>
              <w:spacing w:before="60" w:after="40"/>
            </w:pPr>
            <w:r w:rsidRPr="00002DFE">
              <w:t>Purpose, functions, powers and duties</w:t>
            </w:r>
          </w:p>
        </w:tc>
        <w:tc>
          <w:tcPr>
            <w:tcW w:w="1129" w:type="dxa"/>
          </w:tcPr>
          <w:p w14:paraId="09463D63" w14:textId="5A93578C" w:rsidR="004A2DF7" w:rsidRPr="00E046B4" w:rsidRDefault="005C7BCA" w:rsidP="00A72547">
            <w:pPr>
              <w:pStyle w:val="ARtabletextright"/>
              <w:spacing w:before="60" w:after="40"/>
              <w:rPr>
                <w:highlight w:val="cyan"/>
              </w:rPr>
            </w:pPr>
            <w:hyperlink w:anchor="_Purpose_and_functions" w:history="1">
              <w:r w:rsidRPr="009A17A2">
                <w:rPr>
                  <w:rStyle w:val="Hyperlink"/>
                </w:rPr>
                <w:t>11</w:t>
              </w:r>
              <w:r w:rsidR="0013613F" w:rsidRPr="009A17A2">
                <w:rPr>
                  <w:rStyle w:val="Hyperlink"/>
                </w:rPr>
                <w:t>–</w:t>
              </w:r>
              <w:r w:rsidRPr="009A17A2">
                <w:rPr>
                  <w:rStyle w:val="Hyperlink"/>
                </w:rPr>
                <w:t>15</w:t>
              </w:r>
            </w:hyperlink>
          </w:p>
        </w:tc>
      </w:tr>
      <w:tr w:rsidR="004A2DF7" w:rsidRPr="00E046B4" w14:paraId="31360646" w14:textId="77777777">
        <w:trPr>
          <w:cantSplit/>
        </w:trPr>
        <w:tc>
          <w:tcPr>
            <w:tcW w:w="1985" w:type="dxa"/>
          </w:tcPr>
          <w:p w14:paraId="30BD498F" w14:textId="77777777" w:rsidR="004A2DF7" w:rsidRPr="00002DFE" w:rsidRDefault="004A2DF7" w:rsidP="00A72547">
            <w:pPr>
              <w:pStyle w:val="ARtabletext"/>
              <w:spacing w:before="60" w:after="40"/>
            </w:pPr>
            <w:r w:rsidRPr="00002DFE">
              <w:t>FRD 8</w:t>
            </w:r>
          </w:p>
        </w:tc>
        <w:tc>
          <w:tcPr>
            <w:tcW w:w="6520" w:type="dxa"/>
          </w:tcPr>
          <w:p w14:paraId="68BBCD9C" w14:textId="77777777" w:rsidR="004A2DF7" w:rsidRPr="00002DFE" w:rsidRDefault="004A2DF7" w:rsidP="00A72547">
            <w:pPr>
              <w:pStyle w:val="ARtabletext"/>
              <w:spacing w:before="60" w:after="40"/>
            </w:pPr>
            <w:r w:rsidRPr="00002DFE">
              <w:t>Departmental objectives, indicators and outputs</w:t>
            </w:r>
          </w:p>
        </w:tc>
        <w:tc>
          <w:tcPr>
            <w:tcW w:w="1129" w:type="dxa"/>
          </w:tcPr>
          <w:p w14:paraId="07CBD1A3" w14:textId="74EDEC26" w:rsidR="004A2DF7" w:rsidRPr="00E046B4" w:rsidRDefault="005C7BCA" w:rsidP="00A72547">
            <w:pPr>
              <w:pStyle w:val="ARtabletextright"/>
              <w:spacing w:before="60" w:after="40"/>
              <w:rPr>
                <w:highlight w:val="cyan"/>
              </w:rPr>
            </w:pPr>
            <w:hyperlink w:anchor="_Departmental_objectives,_outputs" w:history="1">
              <w:r w:rsidRPr="009A17A2">
                <w:rPr>
                  <w:rStyle w:val="Hyperlink"/>
                </w:rPr>
                <w:t>26</w:t>
              </w:r>
              <w:r w:rsidR="0013613F" w:rsidRPr="009A17A2">
                <w:rPr>
                  <w:rStyle w:val="Hyperlink"/>
                </w:rPr>
                <w:t>–</w:t>
              </w:r>
              <w:r w:rsidRPr="009A17A2">
                <w:rPr>
                  <w:rStyle w:val="Hyperlink"/>
                </w:rPr>
                <w:t>27</w:t>
              </w:r>
            </w:hyperlink>
          </w:p>
        </w:tc>
      </w:tr>
      <w:tr w:rsidR="004A2DF7" w:rsidRPr="00E046B4" w14:paraId="23647523" w14:textId="77777777">
        <w:trPr>
          <w:cantSplit/>
        </w:trPr>
        <w:tc>
          <w:tcPr>
            <w:tcW w:w="1985" w:type="dxa"/>
            <w:tcBorders>
              <w:top w:val="nil"/>
            </w:tcBorders>
          </w:tcPr>
          <w:p w14:paraId="009B7DC8" w14:textId="77777777" w:rsidR="004A2DF7" w:rsidRPr="00002DFE" w:rsidRDefault="004A2DF7" w:rsidP="00A72547">
            <w:pPr>
              <w:pStyle w:val="ARtabletext"/>
              <w:spacing w:before="60" w:after="40"/>
            </w:pPr>
            <w:r w:rsidRPr="00002DFE">
              <w:t>FRD 22</w:t>
            </w:r>
          </w:p>
        </w:tc>
        <w:tc>
          <w:tcPr>
            <w:tcW w:w="6520" w:type="dxa"/>
            <w:tcBorders>
              <w:top w:val="nil"/>
            </w:tcBorders>
          </w:tcPr>
          <w:p w14:paraId="683506AB" w14:textId="77777777" w:rsidR="004A2DF7" w:rsidRPr="00002DFE" w:rsidRDefault="004A2DF7" w:rsidP="00A72547">
            <w:pPr>
              <w:pStyle w:val="ARtabletext"/>
              <w:spacing w:before="60" w:after="40"/>
            </w:pPr>
            <w:r w:rsidRPr="00002DFE">
              <w:t>Key initiatives and projects</w:t>
            </w:r>
          </w:p>
        </w:tc>
        <w:tc>
          <w:tcPr>
            <w:tcW w:w="1129" w:type="dxa"/>
            <w:tcBorders>
              <w:top w:val="nil"/>
            </w:tcBorders>
          </w:tcPr>
          <w:p w14:paraId="554DC3FC" w14:textId="4311EEEF" w:rsidR="004A2DF7" w:rsidRPr="00E046B4" w:rsidRDefault="004B3AFE" w:rsidP="00A72547">
            <w:pPr>
              <w:pStyle w:val="ARtabletextright"/>
              <w:spacing w:before="60" w:after="40"/>
              <w:rPr>
                <w:highlight w:val="cyan"/>
              </w:rPr>
            </w:pPr>
            <w:hyperlink w:anchor="_Key_initiatives_and" w:history="1">
              <w:r>
                <w:rPr>
                  <w:rStyle w:val="Hyperlink"/>
                </w:rPr>
                <w:t>29–57</w:t>
              </w:r>
            </w:hyperlink>
          </w:p>
        </w:tc>
      </w:tr>
      <w:tr w:rsidR="004A2DF7" w:rsidRPr="00E046B4" w14:paraId="38539236" w14:textId="77777777">
        <w:trPr>
          <w:cantSplit/>
        </w:trPr>
        <w:tc>
          <w:tcPr>
            <w:tcW w:w="1985" w:type="dxa"/>
            <w:tcBorders>
              <w:top w:val="nil"/>
            </w:tcBorders>
          </w:tcPr>
          <w:p w14:paraId="5FEE8A58" w14:textId="77777777" w:rsidR="004A2DF7" w:rsidRPr="00002DFE" w:rsidRDefault="004A2DF7" w:rsidP="00A72547">
            <w:pPr>
              <w:pStyle w:val="ARtabletext"/>
              <w:spacing w:before="60" w:after="40"/>
            </w:pPr>
            <w:r w:rsidRPr="00002DFE">
              <w:t>FRD 22</w:t>
            </w:r>
          </w:p>
        </w:tc>
        <w:tc>
          <w:tcPr>
            <w:tcW w:w="6520" w:type="dxa"/>
            <w:tcBorders>
              <w:top w:val="nil"/>
            </w:tcBorders>
          </w:tcPr>
          <w:p w14:paraId="5D3E2882" w14:textId="77777777" w:rsidR="004A2DF7" w:rsidRPr="00002DFE" w:rsidRDefault="004A2DF7" w:rsidP="00A72547">
            <w:pPr>
              <w:pStyle w:val="ARtabletext"/>
              <w:spacing w:before="60" w:after="40"/>
            </w:pPr>
            <w:r w:rsidRPr="00002DFE">
              <w:t>Nature and range of services provided</w:t>
            </w:r>
          </w:p>
        </w:tc>
        <w:tc>
          <w:tcPr>
            <w:tcW w:w="1129" w:type="dxa"/>
            <w:tcBorders>
              <w:top w:val="nil"/>
            </w:tcBorders>
          </w:tcPr>
          <w:p w14:paraId="34A4FB90" w14:textId="0A62BE42" w:rsidR="004A2DF7" w:rsidRPr="00E046B4" w:rsidRDefault="005C7BCA" w:rsidP="00A72547">
            <w:pPr>
              <w:pStyle w:val="ARtabletextright"/>
              <w:spacing w:before="60" w:after="40"/>
              <w:rPr>
                <w:highlight w:val="cyan"/>
              </w:rPr>
            </w:pPr>
            <w:hyperlink w:anchor="_Purpose_and_functions" w:history="1">
              <w:r w:rsidRPr="009A17A2">
                <w:rPr>
                  <w:rStyle w:val="Hyperlink"/>
                </w:rPr>
                <w:t>11</w:t>
              </w:r>
              <w:r w:rsidR="0013613F" w:rsidRPr="009A17A2">
                <w:rPr>
                  <w:rStyle w:val="Hyperlink"/>
                </w:rPr>
                <w:t>–</w:t>
              </w:r>
              <w:r w:rsidRPr="009A17A2">
                <w:rPr>
                  <w:rStyle w:val="Hyperlink"/>
                </w:rPr>
                <w:t>15</w:t>
              </w:r>
            </w:hyperlink>
          </w:p>
        </w:tc>
      </w:tr>
      <w:tr w:rsidR="004A2DF7" w:rsidRPr="00E046B4" w14:paraId="69715775" w14:textId="77777777">
        <w:trPr>
          <w:cantSplit/>
        </w:trPr>
        <w:tc>
          <w:tcPr>
            <w:tcW w:w="9634" w:type="dxa"/>
            <w:gridSpan w:val="3"/>
            <w:tcBorders>
              <w:bottom w:val="nil"/>
            </w:tcBorders>
          </w:tcPr>
          <w:p w14:paraId="791D05B8" w14:textId="77777777" w:rsidR="004A2DF7" w:rsidRPr="00002DFE" w:rsidRDefault="004A2DF7" w:rsidP="00A72547">
            <w:pPr>
              <w:pStyle w:val="ARtabletextbold"/>
              <w:spacing w:before="60" w:after="40"/>
            </w:pPr>
            <w:r w:rsidRPr="00002DFE">
              <w:t>Management and structure</w:t>
            </w:r>
          </w:p>
        </w:tc>
      </w:tr>
      <w:tr w:rsidR="004A2DF7" w:rsidRPr="00E046B4" w14:paraId="2666CAB5" w14:textId="77777777">
        <w:trPr>
          <w:cantSplit/>
        </w:trPr>
        <w:tc>
          <w:tcPr>
            <w:tcW w:w="1985" w:type="dxa"/>
            <w:tcBorders>
              <w:top w:val="nil"/>
            </w:tcBorders>
          </w:tcPr>
          <w:p w14:paraId="3C3507D5" w14:textId="77777777" w:rsidR="004A2DF7" w:rsidRPr="00002DFE" w:rsidRDefault="004A2DF7" w:rsidP="00A72547">
            <w:pPr>
              <w:pStyle w:val="ARtabletext"/>
              <w:spacing w:before="60" w:after="40"/>
            </w:pPr>
            <w:r w:rsidRPr="00002DFE">
              <w:t>FRD 22</w:t>
            </w:r>
          </w:p>
        </w:tc>
        <w:tc>
          <w:tcPr>
            <w:tcW w:w="6520" w:type="dxa"/>
            <w:tcBorders>
              <w:top w:val="nil"/>
            </w:tcBorders>
          </w:tcPr>
          <w:p w14:paraId="597A5889" w14:textId="77777777" w:rsidR="004A2DF7" w:rsidRPr="00002DFE" w:rsidRDefault="004A2DF7" w:rsidP="00A72547">
            <w:pPr>
              <w:pStyle w:val="ARtabletext"/>
              <w:spacing w:before="60" w:after="40"/>
            </w:pPr>
            <w:r w:rsidRPr="00002DFE">
              <w:t>Organisational structure</w:t>
            </w:r>
          </w:p>
        </w:tc>
        <w:tc>
          <w:tcPr>
            <w:tcW w:w="1129" w:type="dxa"/>
            <w:tcBorders>
              <w:top w:val="nil"/>
            </w:tcBorders>
          </w:tcPr>
          <w:p w14:paraId="45A357A9" w14:textId="22227616" w:rsidR="004A2DF7" w:rsidRPr="00E046B4" w:rsidRDefault="005C7BCA" w:rsidP="00A72547">
            <w:pPr>
              <w:pStyle w:val="ARtabletextright"/>
              <w:spacing w:before="60" w:after="40"/>
              <w:rPr>
                <w:highlight w:val="cyan"/>
              </w:rPr>
            </w:pPr>
            <w:hyperlink w:anchor="_Organisational_structure_as" w:history="1">
              <w:r w:rsidRPr="00435035">
                <w:rPr>
                  <w:rStyle w:val="Hyperlink"/>
                </w:rPr>
                <w:t>22</w:t>
              </w:r>
              <w:r w:rsidR="0013613F" w:rsidRPr="00435035">
                <w:rPr>
                  <w:rStyle w:val="Hyperlink"/>
                </w:rPr>
                <w:t>–</w:t>
              </w:r>
              <w:r w:rsidRPr="00435035">
                <w:rPr>
                  <w:rStyle w:val="Hyperlink"/>
                </w:rPr>
                <w:t>23</w:t>
              </w:r>
            </w:hyperlink>
          </w:p>
        </w:tc>
      </w:tr>
      <w:tr w:rsidR="004A2DF7" w:rsidRPr="00E046B4" w14:paraId="2633B661" w14:textId="77777777">
        <w:trPr>
          <w:cantSplit/>
          <w:trHeight w:val="70"/>
        </w:trPr>
        <w:tc>
          <w:tcPr>
            <w:tcW w:w="9634" w:type="dxa"/>
            <w:gridSpan w:val="3"/>
            <w:tcBorders>
              <w:bottom w:val="nil"/>
            </w:tcBorders>
          </w:tcPr>
          <w:p w14:paraId="507B5333" w14:textId="77777777" w:rsidR="004A2DF7" w:rsidRPr="00002DFE" w:rsidRDefault="004A2DF7" w:rsidP="00A72547">
            <w:pPr>
              <w:pStyle w:val="ARtabletextbold"/>
              <w:spacing w:before="60" w:after="40"/>
            </w:pPr>
            <w:r w:rsidRPr="00002DFE">
              <w:t>Financial and other information</w:t>
            </w:r>
          </w:p>
        </w:tc>
      </w:tr>
      <w:tr w:rsidR="004A2DF7" w:rsidRPr="00E046B4" w14:paraId="23661B47" w14:textId="77777777">
        <w:trPr>
          <w:cantSplit/>
        </w:trPr>
        <w:tc>
          <w:tcPr>
            <w:tcW w:w="1985" w:type="dxa"/>
            <w:tcBorders>
              <w:top w:val="nil"/>
            </w:tcBorders>
          </w:tcPr>
          <w:p w14:paraId="28E85B77" w14:textId="77777777" w:rsidR="004A2DF7" w:rsidRPr="00002DFE" w:rsidRDefault="004A2DF7" w:rsidP="00A72547">
            <w:pPr>
              <w:pStyle w:val="ARtabletext"/>
              <w:spacing w:before="60" w:after="40"/>
            </w:pPr>
            <w:r w:rsidRPr="00002DFE">
              <w:t>FRD 8</w:t>
            </w:r>
          </w:p>
        </w:tc>
        <w:tc>
          <w:tcPr>
            <w:tcW w:w="6520" w:type="dxa"/>
            <w:tcBorders>
              <w:top w:val="nil"/>
            </w:tcBorders>
          </w:tcPr>
          <w:p w14:paraId="7509AEDB" w14:textId="77777777" w:rsidR="004A2DF7" w:rsidRPr="00002DFE" w:rsidRDefault="004A2DF7" w:rsidP="00A72547">
            <w:pPr>
              <w:pStyle w:val="ARtabletext"/>
              <w:spacing w:before="60" w:after="40"/>
            </w:pPr>
            <w:r w:rsidRPr="00002DFE">
              <w:t>Performance against output performance measures</w:t>
            </w:r>
          </w:p>
        </w:tc>
        <w:tc>
          <w:tcPr>
            <w:tcW w:w="1129" w:type="dxa"/>
            <w:tcBorders>
              <w:top w:val="nil"/>
            </w:tcBorders>
          </w:tcPr>
          <w:p w14:paraId="0F860478" w14:textId="7D9755D9" w:rsidR="004A2DF7" w:rsidRPr="00E046B4" w:rsidRDefault="00435035" w:rsidP="00A72547">
            <w:pPr>
              <w:pStyle w:val="ARtabletextright"/>
              <w:spacing w:before="60" w:after="40"/>
              <w:rPr>
                <w:highlight w:val="cyan"/>
              </w:rPr>
            </w:pPr>
            <w:hyperlink w:anchor="_Performance_against_output" w:history="1">
              <w:r>
                <w:rPr>
                  <w:rStyle w:val="Hyperlink"/>
                </w:rPr>
                <w:t>58–72</w:t>
              </w:r>
            </w:hyperlink>
          </w:p>
        </w:tc>
      </w:tr>
      <w:tr w:rsidR="004A2DF7" w:rsidRPr="00E046B4" w14:paraId="08BBB005" w14:textId="77777777">
        <w:trPr>
          <w:cantSplit/>
        </w:trPr>
        <w:tc>
          <w:tcPr>
            <w:tcW w:w="1985" w:type="dxa"/>
          </w:tcPr>
          <w:p w14:paraId="1F3148AA" w14:textId="77777777" w:rsidR="004A2DF7" w:rsidRPr="00002DFE" w:rsidRDefault="004A2DF7" w:rsidP="00A72547">
            <w:pPr>
              <w:pStyle w:val="ARtabletext"/>
              <w:spacing w:before="60" w:after="40"/>
            </w:pPr>
            <w:r w:rsidRPr="00002DFE">
              <w:t>FRD 8</w:t>
            </w:r>
          </w:p>
        </w:tc>
        <w:tc>
          <w:tcPr>
            <w:tcW w:w="6520" w:type="dxa"/>
          </w:tcPr>
          <w:p w14:paraId="40BD5B61" w14:textId="77777777" w:rsidR="004A2DF7" w:rsidRPr="00002DFE" w:rsidRDefault="004A2DF7" w:rsidP="00A72547">
            <w:pPr>
              <w:pStyle w:val="ARtabletext"/>
              <w:spacing w:before="60" w:after="40"/>
            </w:pPr>
            <w:r w:rsidRPr="00002DFE">
              <w:t>Budget portfolio outcomes</w:t>
            </w:r>
          </w:p>
        </w:tc>
        <w:tc>
          <w:tcPr>
            <w:tcW w:w="1129" w:type="dxa"/>
          </w:tcPr>
          <w:p w14:paraId="3B6765DD" w14:textId="3F46DD4B" w:rsidR="004A2DF7" w:rsidRPr="00E046B4" w:rsidRDefault="00435035" w:rsidP="00A72547">
            <w:pPr>
              <w:pStyle w:val="ARtabletextright"/>
              <w:spacing w:before="60" w:after="40"/>
              <w:rPr>
                <w:highlight w:val="cyan"/>
              </w:rPr>
            </w:pPr>
            <w:hyperlink w:anchor="_Budget_portfolio_outcomes" w:history="1">
              <w:r>
                <w:rPr>
                  <w:rStyle w:val="Hyperlink"/>
                </w:rPr>
                <w:t>75</w:t>
              </w:r>
            </w:hyperlink>
          </w:p>
        </w:tc>
      </w:tr>
      <w:tr w:rsidR="004A2DF7" w:rsidRPr="00E046B4" w14:paraId="5862A7C5" w14:textId="77777777">
        <w:trPr>
          <w:cantSplit/>
        </w:trPr>
        <w:tc>
          <w:tcPr>
            <w:tcW w:w="1985" w:type="dxa"/>
          </w:tcPr>
          <w:p w14:paraId="235C7667" w14:textId="77777777" w:rsidR="004A2DF7" w:rsidRPr="00002DFE" w:rsidRDefault="004A2DF7" w:rsidP="00A72547">
            <w:pPr>
              <w:pStyle w:val="ARtabletext"/>
              <w:spacing w:before="60" w:after="40"/>
            </w:pPr>
            <w:r w:rsidRPr="00002DFE">
              <w:t>FRD 10</w:t>
            </w:r>
          </w:p>
        </w:tc>
        <w:tc>
          <w:tcPr>
            <w:tcW w:w="6520" w:type="dxa"/>
          </w:tcPr>
          <w:p w14:paraId="2D3704F1" w14:textId="77777777" w:rsidR="004A2DF7" w:rsidRPr="00002DFE" w:rsidRDefault="004A2DF7" w:rsidP="00A72547">
            <w:pPr>
              <w:pStyle w:val="ARtabletext"/>
              <w:spacing w:before="60" w:after="40"/>
            </w:pPr>
            <w:r w:rsidRPr="00002DFE">
              <w:t>Disclosure index</w:t>
            </w:r>
          </w:p>
        </w:tc>
        <w:tc>
          <w:tcPr>
            <w:tcW w:w="1129" w:type="dxa"/>
          </w:tcPr>
          <w:p w14:paraId="32C55BE1" w14:textId="3AB67D09" w:rsidR="004A2DF7" w:rsidRPr="00E046B4" w:rsidRDefault="0047579C" w:rsidP="00A72547">
            <w:pPr>
              <w:pStyle w:val="ARtabletextright"/>
              <w:spacing w:before="60" w:after="40"/>
              <w:rPr>
                <w:highlight w:val="cyan"/>
              </w:rPr>
            </w:pPr>
            <w:r w:rsidRPr="00702402">
              <w:t>This page</w:t>
            </w:r>
          </w:p>
        </w:tc>
      </w:tr>
      <w:tr w:rsidR="004A2DF7" w:rsidRPr="00E046B4" w14:paraId="3045B6F3" w14:textId="77777777">
        <w:trPr>
          <w:cantSplit/>
        </w:trPr>
        <w:tc>
          <w:tcPr>
            <w:tcW w:w="1985" w:type="dxa"/>
          </w:tcPr>
          <w:p w14:paraId="5BCB1305" w14:textId="77777777" w:rsidR="004A2DF7" w:rsidRPr="00002DFE" w:rsidRDefault="004A2DF7" w:rsidP="00A72547">
            <w:pPr>
              <w:pStyle w:val="ARtabletext"/>
              <w:spacing w:before="60" w:after="40"/>
            </w:pPr>
            <w:r w:rsidRPr="00002DFE">
              <w:t>FRD 12</w:t>
            </w:r>
          </w:p>
        </w:tc>
        <w:tc>
          <w:tcPr>
            <w:tcW w:w="6520" w:type="dxa"/>
          </w:tcPr>
          <w:p w14:paraId="18A59A95" w14:textId="77777777" w:rsidR="004A2DF7" w:rsidRPr="00002DFE" w:rsidRDefault="004A2DF7" w:rsidP="00A72547">
            <w:pPr>
              <w:pStyle w:val="ARtabletext"/>
              <w:spacing w:before="60" w:after="40"/>
            </w:pPr>
            <w:r w:rsidRPr="00002DFE">
              <w:t>Disclosure of major contracts</w:t>
            </w:r>
          </w:p>
        </w:tc>
        <w:tc>
          <w:tcPr>
            <w:tcW w:w="1129" w:type="dxa"/>
          </w:tcPr>
          <w:p w14:paraId="242811F5" w14:textId="0AF8C070" w:rsidR="004A2DF7" w:rsidRPr="00E046B4" w:rsidRDefault="00435035" w:rsidP="00A72547">
            <w:pPr>
              <w:pStyle w:val="ARtabletextright"/>
              <w:spacing w:before="60" w:after="40"/>
              <w:rPr>
                <w:highlight w:val="cyan"/>
              </w:rPr>
            </w:pPr>
            <w:hyperlink w:anchor="_Disclosure_of_major" w:history="1">
              <w:r>
                <w:rPr>
                  <w:rStyle w:val="Hyperlink"/>
                </w:rPr>
                <w:t>118</w:t>
              </w:r>
            </w:hyperlink>
          </w:p>
        </w:tc>
      </w:tr>
      <w:tr w:rsidR="004A2DF7" w:rsidRPr="00E046B4" w14:paraId="1DDBAE0B" w14:textId="77777777">
        <w:trPr>
          <w:cantSplit/>
        </w:trPr>
        <w:tc>
          <w:tcPr>
            <w:tcW w:w="1985" w:type="dxa"/>
          </w:tcPr>
          <w:p w14:paraId="7D886509" w14:textId="77777777" w:rsidR="004A2DF7" w:rsidRPr="00002DFE" w:rsidRDefault="004A2DF7" w:rsidP="00A72547">
            <w:pPr>
              <w:pStyle w:val="ARtabletext"/>
              <w:spacing w:before="60" w:after="40"/>
            </w:pPr>
            <w:r w:rsidRPr="00002DFE">
              <w:t>FRD 15</w:t>
            </w:r>
          </w:p>
        </w:tc>
        <w:tc>
          <w:tcPr>
            <w:tcW w:w="6520" w:type="dxa"/>
          </w:tcPr>
          <w:p w14:paraId="74990586" w14:textId="77777777" w:rsidR="004A2DF7" w:rsidRPr="00002DFE" w:rsidRDefault="004A2DF7" w:rsidP="00A72547">
            <w:pPr>
              <w:pStyle w:val="ARtabletext"/>
              <w:spacing w:before="60" w:after="40"/>
            </w:pPr>
            <w:r w:rsidRPr="00002DFE">
              <w:t>Executive officer disclosures</w:t>
            </w:r>
          </w:p>
        </w:tc>
        <w:tc>
          <w:tcPr>
            <w:tcW w:w="1129" w:type="dxa"/>
          </w:tcPr>
          <w:p w14:paraId="2D75DE3E" w14:textId="2A8403D3" w:rsidR="004A2DF7" w:rsidRPr="00B41F4A" w:rsidRDefault="0047579C" w:rsidP="00A72547">
            <w:pPr>
              <w:pStyle w:val="ARtabletextright"/>
              <w:spacing w:before="60" w:after="40"/>
            </w:pPr>
            <w:hyperlink w:anchor="_Executive_data" w:history="1">
              <w:r w:rsidRPr="00B41F4A">
                <w:rPr>
                  <w:rStyle w:val="Hyperlink"/>
                </w:rPr>
                <w:t>9</w:t>
              </w:r>
              <w:r w:rsidR="007E4D33" w:rsidRPr="00B41F4A">
                <w:rPr>
                  <w:rStyle w:val="Hyperlink"/>
                </w:rPr>
                <w:t>1</w:t>
              </w:r>
              <w:r w:rsidR="0013613F" w:rsidRPr="00B41F4A">
                <w:rPr>
                  <w:rStyle w:val="Hyperlink"/>
                </w:rPr>
                <w:t>–</w:t>
              </w:r>
              <w:r w:rsidRPr="00B41F4A">
                <w:rPr>
                  <w:rStyle w:val="Hyperlink"/>
                </w:rPr>
                <w:t>9</w:t>
              </w:r>
              <w:r w:rsidR="007E4D33" w:rsidRPr="00B41F4A">
                <w:rPr>
                  <w:rStyle w:val="Hyperlink"/>
                </w:rPr>
                <w:t>2</w:t>
              </w:r>
            </w:hyperlink>
          </w:p>
        </w:tc>
      </w:tr>
      <w:tr w:rsidR="004A2DF7" w:rsidRPr="00E046B4" w14:paraId="57D1EE24" w14:textId="77777777">
        <w:trPr>
          <w:cantSplit/>
        </w:trPr>
        <w:tc>
          <w:tcPr>
            <w:tcW w:w="1985" w:type="dxa"/>
          </w:tcPr>
          <w:p w14:paraId="0FB09458" w14:textId="77777777" w:rsidR="004A2DF7" w:rsidRPr="00002DFE" w:rsidRDefault="004A2DF7" w:rsidP="00A72547">
            <w:pPr>
              <w:pStyle w:val="ARtabletext"/>
              <w:spacing w:before="60" w:after="40"/>
            </w:pPr>
            <w:r w:rsidRPr="00002DFE">
              <w:t>FRD 22</w:t>
            </w:r>
          </w:p>
        </w:tc>
        <w:tc>
          <w:tcPr>
            <w:tcW w:w="6520" w:type="dxa"/>
          </w:tcPr>
          <w:p w14:paraId="0437BE3A" w14:textId="77777777" w:rsidR="004A2DF7" w:rsidRPr="00002DFE" w:rsidRDefault="004A2DF7" w:rsidP="00A72547">
            <w:pPr>
              <w:pStyle w:val="ARtabletext"/>
              <w:spacing w:before="60" w:after="40"/>
            </w:pPr>
            <w:r w:rsidRPr="00002DFE">
              <w:t>Employment and conduct principles</w:t>
            </w:r>
          </w:p>
        </w:tc>
        <w:tc>
          <w:tcPr>
            <w:tcW w:w="1129" w:type="dxa"/>
          </w:tcPr>
          <w:p w14:paraId="69896AC5" w14:textId="023EC717" w:rsidR="004A2DF7" w:rsidRPr="00B41F4A" w:rsidRDefault="0047579C" w:rsidP="00A72547">
            <w:pPr>
              <w:pStyle w:val="ARtabletextright"/>
              <w:spacing w:before="60" w:after="40"/>
            </w:pPr>
            <w:hyperlink w:anchor="_Section_3:_Our" w:history="1">
              <w:r w:rsidRPr="00B41F4A">
                <w:rPr>
                  <w:rStyle w:val="Hyperlink"/>
                </w:rPr>
                <w:t>7</w:t>
              </w:r>
              <w:r w:rsidR="000E7899" w:rsidRPr="00B41F4A">
                <w:rPr>
                  <w:rStyle w:val="Hyperlink"/>
                </w:rPr>
                <w:t>7</w:t>
              </w:r>
              <w:r w:rsidR="0013613F" w:rsidRPr="00B41F4A">
                <w:rPr>
                  <w:rStyle w:val="Hyperlink"/>
                </w:rPr>
                <w:t>–</w:t>
              </w:r>
              <w:r w:rsidRPr="00B41F4A">
                <w:rPr>
                  <w:rStyle w:val="Hyperlink"/>
                </w:rPr>
                <w:t>94</w:t>
              </w:r>
            </w:hyperlink>
          </w:p>
        </w:tc>
      </w:tr>
      <w:tr w:rsidR="004A2DF7" w:rsidRPr="00E046B4" w14:paraId="4C2D3155" w14:textId="77777777">
        <w:trPr>
          <w:cantSplit/>
        </w:trPr>
        <w:tc>
          <w:tcPr>
            <w:tcW w:w="1985" w:type="dxa"/>
          </w:tcPr>
          <w:p w14:paraId="2BA9CE78" w14:textId="77777777" w:rsidR="004A2DF7" w:rsidRPr="00002DFE" w:rsidRDefault="004A2DF7" w:rsidP="00A72547">
            <w:pPr>
              <w:pStyle w:val="ARtabletext"/>
              <w:spacing w:before="60" w:after="40"/>
            </w:pPr>
            <w:r w:rsidRPr="00002DFE">
              <w:t>FRD 22</w:t>
            </w:r>
          </w:p>
        </w:tc>
        <w:tc>
          <w:tcPr>
            <w:tcW w:w="6520" w:type="dxa"/>
          </w:tcPr>
          <w:p w14:paraId="2C62A0F2" w14:textId="77777777" w:rsidR="004A2DF7" w:rsidRPr="00002DFE" w:rsidRDefault="004A2DF7" w:rsidP="00A72547">
            <w:pPr>
              <w:pStyle w:val="ARtabletext"/>
              <w:spacing w:before="60" w:after="40"/>
            </w:pPr>
            <w:r w:rsidRPr="00002DFE">
              <w:t>Occupational health and safety policy</w:t>
            </w:r>
          </w:p>
        </w:tc>
        <w:tc>
          <w:tcPr>
            <w:tcW w:w="1129" w:type="dxa"/>
          </w:tcPr>
          <w:p w14:paraId="5EC5251A" w14:textId="6FCB5518" w:rsidR="004A2DF7" w:rsidRPr="00B41F4A" w:rsidRDefault="0047579C" w:rsidP="00A72547">
            <w:pPr>
              <w:pStyle w:val="ARtabletextright"/>
              <w:spacing w:before="60" w:after="40"/>
            </w:pPr>
            <w:hyperlink w:anchor="_Employee_health,_safety" w:history="1">
              <w:r w:rsidRPr="00B41F4A">
                <w:rPr>
                  <w:rStyle w:val="Hyperlink"/>
                </w:rPr>
                <w:t>9</w:t>
              </w:r>
              <w:r w:rsidR="000E7899" w:rsidRPr="00B41F4A">
                <w:rPr>
                  <w:rStyle w:val="Hyperlink"/>
                </w:rPr>
                <w:t>2</w:t>
              </w:r>
              <w:r w:rsidR="0013613F" w:rsidRPr="00B41F4A">
                <w:rPr>
                  <w:rStyle w:val="Hyperlink"/>
                </w:rPr>
                <w:t>–</w:t>
              </w:r>
              <w:r w:rsidRPr="00B41F4A">
                <w:rPr>
                  <w:rStyle w:val="Hyperlink"/>
                </w:rPr>
                <w:t>9</w:t>
              </w:r>
              <w:r w:rsidR="000E7899" w:rsidRPr="00B41F4A">
                <w:rPr>
                  <w:rStyle w:val="Hyperlink"/>
                </w:rPr>
                <w:t>4</w:t>
              </w:r>
            </w:hyperlink>
          </w:p>
        </w:tc>
      </w:tr>
      <w:tr w:rsidR="004A2DF7" w:rsidRPr="00E046B4" w14:paraId="6214C068" w14:textId="77777777">
        <w:trPr>
          <w:cantSplit/>
        </w:trPr>
        <w:tc>
          <w:tcPr>
            <w:tcW w:w="1985" w:type="dxa"/>
          </w:tcPr>
          <w:p w14:paraId="7CCA7061" w14:textId="77777777" w:rsidR="004A2DF7" w:rsidRPr="00677CA1" w:rsidRDefault="004A2DF7" w:rsidP="00A72547">
            <w:pPr>
              <w:pStyle w:val="ARtabletext"/>
              <w:spacing w:before="60" w:after="40"/>
            </w:pPr>
            <w:r w:rsidRPr="00677CA1">
              <w:t>FRD 22</w:t>
            </w:r>
          </w:p>
        </w:tc>
        <w:tc>
          <w:tcPr>
            <w:tcW w:w="6520" w:type="dxa"/>
          </w:tcPr>
          <w:p w14:paraId="7D4625A8" w14:textId="77777777" w:rsidR="004A2DF7" w:rsidRPr="00677CA1" w:rsidRDefault="004A2DF7" w:rsidP="00A72547">
            <w:pPr>
              <w:pStyle w:val="ARtabletext"/>
              <w:spacing w:before="60" w:after="40"/>
            </w:pPr>
            <w:r w:rsidRPr="00677CA1">
              <w:t>Summary of the financial results for the year</w:t>
            </w:r>
          </w:p>
        </w:tc>
        <w:tc>
          <w:tcPr>
            <w:tcW w:w="1129" w:type="dxa"/>
          </w:tcPr>
          <w:p w14:paraId="071F97F2" w14:textId="74C31261" w:rsidR="004A2DF7" w:rsidRPr="00B41F4A" w:rsidRDefault="000E7899" w:rsidP="00A72547">
            <w:pPr>
              <w:pStyle w:val="ARtabletextright"/>
              <w:spacing w:before="60" w:after="40"/>
            </w:pPr>
            <w:hyperlink w:anchor="_Departmental_financial_summary" w:history="1">
              <w:r w:rsidRPr="00B41F4A">
                <w:rPr>
                  <w:rStyle w:val="Hyperlink"/>
                </w:rPr>
                <w:t>73</w:t>
              </w:r>
            </w:hyperlink>
          </w:p>
        </w:tc>
      </w:tr>
      <w:tr w:rsidR="004A2DF7" w:rsidRPr="00E046B4" w14:paraId="3BB065C8" w14:textId="77777777">
        <w:trPr>
          <w:cantSplit/>
        </w:trPr>
        <w:tc>
          <w:tcPr>
            <w:tcW w:w="1985" w:type="dxa"/>
          </w:tcPr>
          <w:p w14:paraId="5126370A" w14:textId="77777777" w:rsidR="004A2DF7" w:rsidRPr="00677CA1" w:rsidRDefault="004A2DF7" w:rsidP="00A72547">
            <w:pPr>
              <w:pStyle w:val="ARtabletext"/>
              <w:spacing w:before="60" w:after="40"/>
            </w:pPr>
            <w:r w:rsidRPr="00677CA1">
              <w:t>FRD 22</w:t>
            </w:r>
          </w:p>
        </w:tc>
        <w:tc>
          <w:tcPr>
            <w:tcW w:w="6520" w:type="dxa"/>
          </w:tcPr>
          <w:p w14:paraId="421A4BA1" w14:textId="77777777" w:rsidR="004A2DF7" w:rsidRPr="00677CA1" w:rsidRDefault="004A2DF7" w:rsidP="00A72547">
            <w:pPr>
              <w:pStyle w:val="ARtabletext"/>
              <w:spacing w:before="60" w:after="40"/>
            </w:pPr>
            <w:r w:rsidRPr="00677CA1">
              <w:t>Significant changes in financial position during the year</w:t>
            </w:r>
          </w:p>
        </w:tc>
        <w:tc>
          <w:tcPr>
            <w:tcW w:w="1129" w:type="dxa"/>
          </w:tcPr>
          <w:p w14:paraId="05D446E5" w14:textId="5B1D2036" w:rsidR="004A2DF7" w:rsidRPr="00B41F4A" w:rsidRDefault="0047579C" w:rsidP="00A72547">
            <w:pPr>
              <w:pStyle w:val="ARtabletextright"/>
              <w:spacing w:before="60" w:after="40"/>
            </w:pPr>
            <w:hyperlink w:anchor="_Current_year_financial" w:history="1">
              <w:r w:rsidRPr="00B41F4A">
                <w:rPr>
                  <w:rStyle w:val="Hyperlink"/>
                </w:rPr>
                <w:t>74</w:t>
              </w:r>
              <w:r w:rsidR="0013613F" w:rsidRPr="00B41F4A">
                <w:rPr>
                  <w:rStyle w:val="Hyperlink"/>
                </w:rPr>
                <w:t>–</w:t>
              </w:r>
              <w:r w:rsidRPr="00B41F4A">
                <w:rPr>
                  <w:rStyle w:val="Hyperlink"/>
                </w:rPr>
                <w:t>7</w:t>
              </w:r>
              <w:r w:rsidR="00101BA9" w:rsidRPr="00B41F4A">
                <w:rPr>
                  <w:rStyle w:val="Hyperlink"/>
                </w:rPr>
                <w:t>5</w:t>
              </w:r>
            </w:hyperlink>
          </w:p>
        </w:tc>
      </w:tr>
      <w:tr w:rsidR="004A2DF7" w:rsidRPr="00E046B4" w14:paraId="1856E5B6" w14:textId="77777777">
        <w:trPr>
          <w:cantSplit/>
        </w:trPr>
        <w:tc>
          <w:tcPr>
            <w:tcW w:w="1985" w:type="dxa"/>
          </w:tcPr>
          <w:p w14:paraId="793D7209" w14:textId="77777777" w:rsidR="004A2DF7" w:rsidRPr="00677CA1" w:rsidRDefault="004A2DF7" w:rsidP="00A72547">
            <w:pPr>
              <w:pStyle w:val="ARtabletext"/>
              <w:spacing w:before="60" w:after="40"/>
            </w:pPr>
            <w:r w:rsidRPr="00677CA1">
              <w:t>FRD 22</w:t>
            </w:r>
          </w:p>
        </w:tc>
        <w:tc>
          <w:tcPr>
            <w:tcW w:w="6520" w:type="dxa"/>
          </w:tcPr>
          <w:p w14:paraId="454CAEF1" w14:textId="77777777" w:rsidR="004A2DF7" w:rsidRPr="00677CA1" w:rsidRDefault="004A2DF7" w:rsidP="00A72547">
            <w:pPr>
              <w:pStyle w:val="ARtabletext"/>
              <w:spacing w:before="60" w:after="40"/>
            </w:pPr>
            <w:r w:rsidRPr="00677CA1">
              <w:t>Major changes or factors affecting performance</w:t>
            </w:r>
          </w:p>
        </w:tc>
        <w:tc>
          <w:tcPr>
            <w:tcW w:w="1129" w:type="dxa"/>
          </w:tcPr>
          <w:p w14:paraId="29E02E24" w14:textId="7596441C" w:rsidR="004A2DF7" w:rsidRPr="00B41F4A" w:rsidRDefault="0047579C" w:rsidP="00A72547">
            <w:pPr>
              <w:pStyle w:val="ARtabletextright"/>
              <w:spacing w:before="60" w:after="40"/>
            </w:pPr>
            <w:hyperlink w:anchor="_Performance_against_output" w:history="1">
              <w:r w:rsidRPr="00B41F4A">
                <w:rPr>
                  <w:rStyle w:val="Hyperlink"/>
                </w:rPr>
                <w:t>5</w:t>
              </w:r>
              <w:r w:rsidR="004016E2" w:rsidRPr="00B41F4A">
                <w:rPr>
                  <w:rStyle w:val="Hyperlink"/>
                </w:rPr>
                <w:t>8</w:t>
              </w:r>
              <w:r w:rsidR="0013613F" w:rsidRPr="00B41F4A">
                <w:rPr>
                  <w:rStyle w:val="Hyperlink"/>
                </w:rPr>
                <w:t>–</w:t>
              </w:r>
              <w:r w:rsidRPr="00B41F4A">
                <w:rPr>
                  <w:rStyle w:val="Hyperlink"/>
                </w:rPr>
                <w:t>7</w:t>
              </w:r>
              <w:r w:rsidR="004016E2" w:rsidRPr="00B41F4A">
                <w:rPr>
                  <w:rStyle w:val="Hyperlink"/>
                </w:rPr>
                <w:t>3</w:t>
              </w:r>
            </w:hyperlink>
          </w:p>
        </w:tc>
      </w:tr>
      <w:tr w:rsidR="004A2DF7" w:rsidRPr="00E046B4" w14:paraId="553207A5" w14:textId="77777777">
        <w:trPr>
          <w:cantSplit/>
        </w:trPr>
        <w:tc>
          <w:tcPr>
            <w:tcW w:w="1985" w:type="dxa"/>
          </w:tcPr>
          <w:p w14:paraId="58B7274B" w14:textId="77777777" w:rsidR="004A2DF7" w:rsidRPr="00677CA1" w:rsidRDefault="004A2DF7" w:rsidP="00A72547">
            <w:pPr>
              <w:pStyle w:val="ARtabletext"/>
              <w:spacing w:before="60" w:after="40"/>
            </w:pPr>
            <w:r w:rsidRPr="00677CA1">
              <w:t>FRD 22</w:t>
            </w:r>
          </w:p>
        </w:tc>
        <w:tc>
          <w:tcPr>
            <w:tcW w:w="6520" w:type="dxa"/>
          </w:tcPr>
          <w:p w14:paraId="056B6096" w14:textId="77777777" w:rsidR="004A2DF7" w:rsidRPr="00677CA1" w:rsidRDefault="004A2DF7" w:rsidP="00A72547">
            <w:pPr>
              <w:pStyle w:val="ARtabletext"/>
              <w:spacing w:before="60" w:after="40"/>
            </w:pPr>
            <w:r w:rsidRPr="00677CA1">
              <w:t>Subsequent events</w:t>
            </w:r>
          </w:p>
        </w:tc>
        <w:tc>
          <w:tcPr>
            <w:tcW w:w="1129" w:type="dxa"/>
          </w:tcPr>
          <w:p w14:paraId="03650308" w14:textId="429B8973" w:rsidR="004A2DF7" w:rsidRPr="00E046B4" w:rsidRDefault="0047579C" w:rsidP="00A72547">
            <w:pPr>
              <w:pStyle w:val="ARtabletextright"/>
              <w:spacing w:before="60" w:after="40"/>
              <w:rPr>
                <w:highlight w:val="cyan"/>
              </w:rPr>
            </w:pPr>
            <w:hyperlink w:anchor="_Subsequent_events" w:history="1">
              <w:r w:rsidRPr="00484D12">
                <w:rPr>
                  <w:rStyle w:val="Hyperlink"/>
                </w:rPr>
                <w:t>27</w:t>
              </w:r>
            </w:hyperlink>
          </w:p>
        </w:tc>
      </w:tr>
      <w:tr w:rsidR="004A2DF7" w:rsidRPr="00E046B4" w14:paraId="646F9AFF" w14:textId="77777777">
        <w:trPr>
          <w:cantSplit/>
        </w:trPr>
        <w:tc>
          <w:tcPr>
            <w:tcW w:w="1985" w:type="dxa"/>
          </w:tcPr>
          <w:p w14:paraId="7B5C388D" w14:textId="77777777" w:rsidR="004A2DF7" w:rsidRPr="00677CA1" w:rsidRDefault="004A2DF7" w:rsidP="00A72547">
            <w:pPr>
              <w:pStyle w:val="ARtabletext"/>
              <w:spacing w:before="60" w:after="40"/>
            </w:pPr>
            <w:r w:rsidRPr="00677CA1">
              <w:t>FRD 22</w:t>
            </w:r>
          </w:p>
        </w:tc>
        <w:tc>
          <w:tcPr>
            <w:tcW w:w="6520" w:type="dxa"/>
          </w:tcPr>
          <w:p w14:paraId="1BF283D8" w14:textId="77777777" w:rsidR="004A2DF7" w:rsidRPr="00677CA1" w:rsidRDefault="004A2DF7" w:rsidP="00A72547">
            <w:pPr>
              <w:pStyle w:val="ARtabletext"/>
              <w:spacing w:before="60" w:after="40"/>
            </w:pPr>
            <w:r w:rsidRPr="00677CA1">
              <w:t xml:space="preserve">Application and operation of </w:t>
            </w:r>
            <w:r w:rsidRPr="004D1B31">
              <w:rPr>
                <w:rStyle w:val="Emphasis"/>
              </w:rPr>
              <w:t>Freedom of Information Act 1982</w:t>
            </w:r>
          </w:p>
        </w:tc>
        <w:tc>
          <w:tcPr>
            <w:tcW w:w="1129" w:type="dxa"/>
          </w:tcPr>
          <w:p w14:paraId="41B8AA71" w14:textId="4EFC3C1E" w:rsidR="004A2DF7" w:rsidRPr="00E046B4" w:rsidRDefault="00563EC6" w:rsidP="00A72547">
            <w:pPr>
              <w:pStyle w:val="ARtabletextright"/>
              <w:spacing w:before="60" w:after="40"/>
              <w:rPr>
                <w:highlight w:val="cyan"/>
              </w:rPr>
            </w:pPr>
            <w:hyperlink w:anchor="_Freedom_of_information" w:history="1">
              <w:r>
                <w:rPr>
                  <w:rStyle w:val="Hyperlink"/>
                </w:rPr>
                <w:t>125</w:t>
              </w:r>
            </w:hyperlink>
          </w:p>
        </w:tc>
      </w:tr>
      <w:tr w:rsidR="004A2DF7" w:rsidRPr="00E046B4" w14:paraId="3FDB4F2C" w14:textId="77777777">
        <w:trPr>
          <w:cantSplit/>
        </w:trPr>
        <w:tc>
          <w:tcPr>
            <w:tcW w:w="1985" w:type="dxa"/>
          </w:tcPr>
          <w:p w14:paraId="289A22B2" w14:textId="77777777" w:rsidR="004A2DF7" w:rsidRPr="00677CA1" w:rsidRDefault="004A2DF7" w:rsidP="00A72547">
            <w:pPr>
              <w:pStyle w:val="ARtabletext"/>
              <w:spacing w:before="60" w:after="40"/>
            </w:pPr>
            <w:r w:rsidRPr="00677CA1">
              <w:t>FRD 22</w:t>
            </w:r>
          </w:p>
        </w:tc>
        <w:tc>
          <w:tcPr>
            <w:tcW w:w="6520" w:type="dxa"/>
          </w:tcPr>
          <w:p w14:paraId="3C31DC62" w14:textId="77777777" w:rsidR="004A2DF7" w:rsidRPr="00677CA1" w:rsidRDefault="004A2DF7" w:rsidP="00A72547">
            <w:pPr>
              <w:pStyle w:val="ARtabletext"/>
              <w:spacing w:before="60" w:after="40"/>
            </w:pPr>
            <w:r w:rsidRPr="00677CA1">
              <w:t xml:space="preserve">Compliance with building and maintenance provisions of </w:t>
            </w:r>
            <w:r w:rsidRPr="00677CA1">
              <w:br/>
            </w:r>
            <w:r w:rsidRPr="004D1B31">
              <w:rPr>
                <w:rStyle w:val="Emphasis"/>
              </w:rPr>
              <w:t>Building Act 1993</w:t>
            </w:r>
          </w:p>
        </w:tc>
        <w:tc>
          <w:tcPr>
            <w:tcW w:w="1129" w:type="dxa"/>
          </w:tcPr>
          <w:p w14:paraId="5FE06DA5" w14:textId="032294B8" w:rsidR="004A2DF7" w:rsidRPr="00E046B4" w:rsidRDefault="00563EC6" w:rsidP="00A72547">
            <w:pPr>
              <w:pStyle w:val="ARtabletextright"/>
              <w:spacing w:before="60" w:after="40"/>
              <w:rPr>
                <w:highlight w:val="cyan"/>
              </w:rPr>
            </w:pPr>
            <w:hyperlink w:anchor="_Compliance_with_the" w:history="1">
              <w:r>
                <w:rPr>
                  <w:rStyle w:val="Hyperlink"/>
                </w:rPr>
                <w:t>120</w:t>
              </w:r>
            </w:hyperlink>
          </w:p>
        </w:tc>
      </w:tr>
      <w:tr w:rsidR="004A2DF7" w:rsidRPr="00E046B4" w14:paraId="10AA7C5A" w14:textId="77777777">
        <w:trPr>
          <w:cantSplit/>
        </w:trPr>
        <w:tc>
          <w:tcPr>
            <w:tcW w:w="1985" w:type="dxa"/>
          </w:tcPr>
          <w:p w14:paraId="5B792AF7" w14:textId="77777777" w:rsidR="004A2DF7" w:rsidRPr="00677CA1" w:rsidRDefault="004A2DF7" w:rsidP="00A72547">
            <w:pPr>
              <w:pStyle w:val="ARtabletext"/>
              <w:spacing w:before="60" w:after="40"/>
            </w:pPr>
            <w:r w:rsidRPr="00677CA1">
              <w:t>FRD 22</w:t>
            </w:r>
          </w:p>
        </w:tc>
        <w:tc>
          <w:tcPr>
            <w:tcW w:w="6520" w:type="dxa"/>
          </w:tcPr>
          <w:p w14:paraId="527239B8" w14:textId="77777777" w:rsidR="004A2DF7" w:rsidRPr="00677CA1" w:rsidRDefault="004A2DF7" w:rsidP="00A72547">
            <w:pPr>
              <w:pStyle w:val="ARtabletext"/>
              <w:spacing w:before="60" w:after="40"/>
            </w:pPr>
            <w:r w:rsidRPr="00677CA1">
              <w:t>Statement on Competitive Neutrality Policy</w:t>
            </w:r>
          </w:p>
        </w:tc>
        <w:tc>
          <w:tcPr>
            <w:tcW w:w="1129" w:type="dxa"/>
          </w:tcPr>
          <w:p w14:paraId="031D2895" w14:textId="26EA06DE" w:rsidR="004A2DF7" w:rsidRPr="00E046B4" w:rsidRDefault="00DA16DD" w:rsidP="00A72547">
            <w:pPr>
              <w:pStyle w:val="ARtabletextright"/>
              <w:spacing w:before="60" w:after="40"/>
              <w:rPr>
                <w:highlight w:val="cyan"/>
              </w:rPr>
            </w:pPr>
            <w:hyperlink w:anchor="_Competitive_neutrality_policy" w:history="1">
              <w:r w:rsidRPr="00DA16DD">
                <w:rPr>
                  <w:rStyle w:val="Hyperlink"/>
                </w:rPr>
                <w:t>99</w:t>
              </w:r>
            </w:hyperlink>
          </w:p>
        </w:tc>
      </w:tr>
      <w:tr w:rsidR="004A2DF7" w:rsidRPr="00E046B4" w14:paraId="3B368FB7" w14:textId="77777777">
        <w:trPr>
          <w:cantSplit/>
        </w:trPr>
        <w:tc>
          <w:tcPr>
            <w:tcW w:w="1985" w:type="dxa"/>
          </w:tcPr>
          <w:p w14:paraId="77714037" w14:textId="77777777" w:rsidR="004A2DF7" w:rsidRPr="00677CA1" w:rsidRDefault="004A2DF7" w:rsidP="00A72547">
            <w:pPr>
              <w:pStyle w:val="ARtabletext"/>
              <w:spacing w:before="60" w:after="40"/>
            </w:pPr>
            <w:r w:rsidRPr="00677CA1">
              <w:t>FRD 22</w:t>
            </w:r>
          </w:p>
        </w:tc>
        <w:tc>
          <w:tcPr>
            <w:tcW w:w="6520" w:type="dxa"/>
          </w:tcPr>
          <w:p w14:paraId="4EB985AD" w14:textId="77777777" w:rsidR="004A2DF7" w:rsidRPr="00677CA1" w:rsidRDefault="004A2DF7" w:rsidP="00A72547">
            <w:pPr>
              <w:pStyle w:val="ARtabletext"/>
              <w:spacing w:before="60" w:after="40"/>
            </w:pPr>
            <w:r w:rsidRPr="00677CA1">
              <w:t>Application and operation of the</w:t>
            </w:r>
            <w:r w:rsidRPr="004D1B31">
              <w:rPr>
                <w:rStyle w:val="Emphasis"/>
              </w:rPr>
              <w:t xml:space="preserve"> Public Interest Disclosures Act 2012</w:t>
            </w:r>
          </w:p>
        </w:tc>
        <w:tc>
          <w:tcPr>
            <w:tcW w:w="1129" w:type="dxa"/>
          </w:tcPr>
          <w:p w14:paraId="3E4A15E4" w14:textId="549B803A" w:rsidR="004A2DF7" w:rsidRPr="00E046B4" w:rsidRDefault="00F22A91" w:rsidP="00A72547">
            <w:pPr>
              <w:pStyle w:val="ARtabletextright"/>
              <w:spacing w:before="60" w:after="40"/>
              <w:rPr>
                <w:highlight w:val="cyan"/>
              </w:rPr>
            </w:pPr>
            <w:hyperlink w:anchor="_Disclosures_under_the" w:history="1">
              <w:r>
                <w:rPr>
                  <w:rStyle w:val="Hyperlink"/>
                </w:rPr>
                <w:t>121</w:t>
              </w:r>
            </w:hyperlink>
          </w:p>
        </w:tc>
      </w:tr>
      <w:tr w:rsidR="004A2DF7" w:rsidRPr="00E046B4" w14:paraId="7162DD2F" w14:textId="77777777">
        <w:trPr>
          <w:cantSplit/>
        </w:trPr>
        <w:tc>
          <w:tcPr>
            <w:tcW w:w="1985" w:type="dxa"/>
          </w:tcPr>
          <w:p w14:paraId="373428B0" w14:textId="77777777" w:rsidR="004A2DF7" w:rsidRPr="00677CA1" w:rsidRDefault="004A2DF7" w:rsidP="00A72547">
            <w:pPr>
              <w:pStyle w:val="ARtabletext"/>
              <w:spacing w:before="60" w:after="40"/>
            </w:pPr>
            <w:r w:rsidRPr="00677CA1">
              <w:t>FRD 22</w:t>
            </w:r>
          </w:p>
        </w:tc>
        <w:tc>
          <w:tcPr>
            <w:tcW w:w="6520" w:type="dxa"/>
          </w:tcPr>
          <w:p w14:paraId="6709AD2B" w14:textId="77777777" w:rsidR="004A2DF7" w:rsidRPr="00677CA1" w:rsidRDefault="004A2DF7" w:rsidP="00A72547">
            <w:pPr>
              <w:pStyle w:val="ARtabletext"/>
              <w:spacing w:before="60" w:after="40"/>
            </w:pPr>
            <w:r w:rsidRPr="00677CA1">
              <w:t xml:space="preserve">Application and operation of the </w:t>
            </w:r>
            <w:r w:rsidRPr="004D1B31">
              <w:rPr>
                <w:rStyle w:val="Emphasis"/>
              </w:rPr>
              <w:t>Carers Recognition Act 2012</w:t>
            </w:r>
          </w:p>
        </w:tc>
        <w:tc>
          <w:tcPr>
            <w:tcW w:w="1129" w:type="dxa"/>
          </w:tcPr>
          <w:p w14:paraId="79454487" w14:textId="5166DAA8" w:rsidR="004A2DF7" w:rsidRPr="00E046B4" w:rsidRDefault="00F22A91" w:rsidP="00A72547">
            <w:pPr>
              <w:pStyle w:val="ARtabletextright"/>
              <w:spacing w:before="60" w:after="40"/>
              <w:rPr>
                <w:highlight w:val="cyan"/>
              </w:rPr>
            </w:pPr>
            <w:hyperlink w:anchor="_Compliance_with_the_1" w:history="1">
              <w:r>
                <w:rPr>
                  <w:rStyle w:val="Hyperlink"/>
                </w:rPr>
                <w:t>122</w:t>
              </w:r>
            </w:hyperlink>
          </w:p>
        </w:tc>
      </w:tr>
      <w:tr w:rsidR="004A2DF7" w:rsidRPr="00E046B4" w14:paraId="2733245F" w14:textId="77777777">
        <w:trPr>
          <w:cantSplit/>
        </w:trPr>
        <w:tc>
          <w:tcPr>
            <w:tcW w:w="1985" w:type="dxa"/>
          </w:tcPr>
          <w:p w14:paraId="78CC54DF" w14:textId="77777777" w:rsidR="004A2DF7" w:rsidRPr="00677CA1" w:rsidRDefault="004A2DF7" w:rsidP="00A72547">
            <w:pPr>
              <w:pStyle w:val="ARtabletext"/>
              <w:spacing w:before="60" w:after="40"/>
            </w:pPr>
            <w:r w:rsidRPr="00677CA1">
              <w:t>FRD 22</w:t>
            </w:r>
          </w:p>
        </w:tc>
        <w:tc>
          <w:tcPr>
            <w:tcW w:w="6520" w:type="dxa"/>
          </w:tcPr>
          <w:p w14:paraId="51E0F881" w14:textId="77777777" w:rsidR="004A2DF7" w:rsidRPr="00677CA1" w:rsidRDefault="004A2DF7" w:rsidP="00A72547">
            <w:pPr>
              <w:pStyle w:val="ARtabletext"/>
              <w:spacing w:before="60" w:after="40"/>
            </w:pPr>
            <w:r w:rsidRPr="00677CA1">
              <w:t>Details of consultancies over $10,000</w:t>
            </w:r>
          </w:p>
        </w:tc>
        <w:tc>
          <w:tcPr>
            <w:tcW w:w="1129" w:type="dxa"/>
          </w:tcPr>
          <w:p w14:paraId="3EAA52B1" w14:textId="65178512" w:rsidR="004A2DF7" w:rsidRPr="00E046B4" w:rsidRDefault="00364721" w:rsidP="00A72547">
            <w:pPr>
              <w:pStyle w:val="ARtabletextright"/>
              <w:spacing w:before="60" w:after="40"/>
              <w:rPr>
                <w:highlight w:val="cyan"/>
              </w:rPr>
            </w:pPr>
            <w:hyperlink w:anchor="_Consultancies_(valued_at" w:history="1">
              <w:r>
                <w:rPr>
                  <w:rStyle w:val="Hyperlink"/>
                </w:rPr>
                <w:t>101–104</w:t>
              </w:r>
            </w:hyperlink>
          </w:p>
        </w:tc>
      </w:tr>
      <w:tr w:rsidR="004A2DF7" w:rsidRPr="00E046B4" w14:paraId="6F2D6AAC" w14:textId="77777777">
        <w:trPr>
          <w:cantSplit/>
        </w:trPr>
        <w:tc>
          <w:tcPr>
            <w:tcW w:w="1985" w:type="dxa"/>
          </w:tcPr>
          <w:p w14:paraId="700722B5" w14:textId="77777777" w:rsidR="004A2DF7" w:rsidRPr="00677CA1" w:rsidRDefault="004A2DF7" w:rsidP="00A72547">
            <w:pPr>
              <w:pStyle w:val="ARtabletext"/>
              <w:spacing w:before="60" w:after="40"/>
            </w:pPr>
            <w:r w:rsidRPr="00677CA1">
              <w:t>FRD 22</w:t>
            </w:r>
          </w:p>
        </w:tc>
        <w:tc>
          <w:tcPr>
            <w:tcW w:w="6520" w:type="dxa"/>
          </w:tcPr>
          <w:p w14:paraId="5CCB5D8F" w14:textId="77777777" w:rsidR="004A2DF7" w:rsidRPr="00677CA1" w:rsidRDefault="004A2DF7" w:rsidP="00A72547">
            <w:pPr>
              <w:pStyle w:val="ARtabletext"/>
              <w:spacing w:before="60" w:after="40"/>
            </w:pPr>
            <w:r w:rsidRPr="00677CA1">
              <w:t>Details of consultancies under $10,000</w:t>
            </w:r>
          </w:p>
        </w:tc>
        <w:tc>
          <w:tcPr>
            <w:tcW w:w="1129" w:type="dxa"/>
          </w:tcPr>
          <w:p w14:paraId="00D10EB2" w14:textId="07989BD4" w:rsidR="004A2DF7" w:rsidRPr="00E046B4" w:rsidRDefault="0047579C" w:rsidP="00A72547">
            <w:pPr>
              <w:pStyle w:val="ARtabletextright"/>
              <w:spacing w:before="60" w:after="40"/>
              <w:rPr>
                <w:highlight w:val="cyan"/>
              </w:rPr>
            </w:pPr>
            <w:hyperlink w:anchor="_Details_of_consultancies" w:history="1">
              <w:r w:rsidRPr="00364721">
                <w:rPr>
                  <w:rStyle w:val="Hyperlink"/>
                </w:rPr>
                <w:t>10</w:t>
              </w:r>
              <w:r w:rsidR="00364721" w:rsidRPr="00364721">
                <w:rPr>
                  <w:rStyle w:val="Hyperlink"/>
                </w:rPr>
                <w:t>4</w:t>
              </w:r>
            </w:hyperlink>
          </w:p>
        </w:tc>
      </w:tr>
      <w:tr w:rsidR="004A2DF7" w:rsidRPr="00E046B4" w14:paraId="33FBA3B0" w14:textId="77777777">
        <w:trPr>
          <w:cantSplit/>
        </w:trPr>
        <w:tc>
          <w:tcPr>
            <w:tcW w:w="1985" w:type="dxa"/>
          </w:tcPr>
          <w:p w14:paraId="3C62488A" w14:textId="77777777" w:rsidR="004A2DF7" w:rsidRPr="00677CA1" w:rsidRDefault="004A2DF7" w:rsidP="00A72547">
            <w:pPr>
              <w:pStyle w:val="ARtabletext"/>
              <w:spacing w:before="60" w:after="40"/>
            </w:pPr>
            <w:r w:rsidRPr="00677CA1">
              <w:t>FRD 22</w:t>
            </w:r>
          </w:p>
        </w:tc>
        <w:tc>
          <w:tcPr>
            <w:tcW w:w="6520" w:type="dxa"/>
          </w:tcPr>
          <w:p w14:paraId="2185A57C" w14:textId="77777777" w:rsidR="004A2DF7" w:rsidRPr="00677CA1" w:rsidRDefault="004A2DF7" w:rsidP="00A72547">
            <w:pPr>
              <w:pStyle w:val="ARtabletext"/>
              <w:spacing w:before="60" w:after="40"/>
            </w:pPr>
            <w:r w:rsidRPr="00677CA1">
              <w:t>Disclosure of government advertising expenditure</w:t>
            </w:r>
          </w:p>
        </w:tc>
        <w:tc>
          <w:tcPr>
            <w:tcW w:w="1129" w:type="dxa"/>
          </w:tcPr>
          <w:p w14:paraId="1F2A473D" w14:textId="5CCBC5C6" w:rsidR="004A2DF7" w:rsidRPr="00E046B4" w:rsidRDefault="00364721" w:rsidP="00A72547">
            <w:pPr>
              <w:pStyle w:val="ARtabletextright"/>
              <w:spacing w:before="60" w:after="40"/>
              <w:rPr>
                <w:highlight w:val="cyan"/>
              </w:rPr>
            </w:pPr>
            <w:hyperlink w:anchor="_Government_advertising_expenditure" w:history="1">
              <w:r w:rsidRPr="00364721">
                <w:rPr>
                  <w:rStyle w:val="Hyperlink"/>
                </w:rPr>
                <w:t>100</w:t>
              </w:r>
            </w:hyperlink>
          </w:p>
        </w:tc>
      </w:tr>
      <w:tr w:rsidR="004A2DF7" w:rsidRPr="00E046B4" w14:paraId="19DF7217" w14:textId="77777777">
        <w:trPr>
          <w:cantSplit/>
        </w:trPr>
        <w:tc>
          <w:tcPr>
            <w:tcW w:w="1985" w:type="dxa"/>
          </w:tcPr>
          <w:p w14:paraId="57C35713" w14:textId="77777777" w:rsidR="004A2DF7" w:rsidRPr="00677CA1" w:rsidRDefault="004A2DF7" w:rsidP="00A72547">
            <w:pPr>
              <w:pStyle w:val="ARtabletext"/>
              <w:spacing w:before="60" w:after="40"/>
            </w:pPr>
            <w:r w:rsidRPr="00677CA1">
              <w:t>FRD 22</w:t>
            </w:r>
          </w:p>
        </w:tc>
        <w:tc>
          <w:tcPr>
            <w:tcW w:w="6520" w:type="dxa"/>
          </w:tcPr>
          <w:p w14:paraId="7BF06052" w14:textId="77777777" w:rsidR="004A2DF7" w:rsidRPr="00677CA1" w:rsidRDefault="004A2DF7" w:rsidP="00A72547">
            <w:pPr>
              <w:pStyle w:val="ARtabletext"/>
              <w:spacing w:before="60" w:after="40"/>
            </w:pPr>
            <w:r w:rsidRPr="00677CA1">
              <w:t>Disclosure of ICT expenditure</w:t>
            </w:r>
          </w:p>
        </w:tc>
        <w:tc>
          <w:tcPr>
            <w:tcW w:w="1129" w:type="dxa"/>
          </w:tcPr>
          <w:p w14:paraId="4FAC239F" w14:textId="30D6BC34" w:rsidR="004A2DF7" w:rsidRPr="00E046B4" w:rsidRDefault="00364721" w:rsidP="00A72547">
            <w:pPr>
              <w:pStyle w:val="ARtabletextright"/>
              <w:spacing w:before="60" w:after="40"/>
              <w:rPr>
                <w:highlight w:val="cyan"/>
              </w:rPr>
            </w:pPr>
            <w:hyperlink w:anchor="_Information_and_communication" w:history="1">
              <w:r>
                <w:rPr>
                  <w:rStyle w:val="Hyperlink"/>
                </w:rPr>
                <w:t>118</w:t>
              </w:r>
            </w:hyperlink>
          </w:p>
        </w:tc>
      </w:tr>
      <w:tr w:rsidR="004A2DF7" w:rsidRPr="00E046B4" w14:paraId="1A86D4D9" w14:textId="77777777">
        <w:trPr>
          <w:cantSplit/>
        </w:trPr>
        <w:tc>
          <w:tcPr>
            <w:tcW w:w="1985" w:type="dxa"/>
          </w:tcPr>
          <w:p w14:paraId="2C28A257" w14:textId="77777777" w:rsidR="004A2DF7" w:rsidRPr="00677CA1" w:rsidRDefault="004A2DF7" w:rsidP="00A72547">
            <w:pPr>
              <w:pStyle w:val="ARtabletext"/>
              <w:spacing w:before="60" w:after="40"/>
            </w:pPr>
            <w:r>
              <w:t>FRD 22</w:t>
            </w:r>
          </w:p>
        </w:tc>
        <w:tc>
          <w:tcPr>
            <w:tcW w:w="6520" w:type="dxa"/>
          </w:tcPr>
          <w:p w14:paraId="2DE8B01C" w14:textId="77777777" w:rsidR="004A2DF7" w:rsidRPr="00677CA1" w:rsidRDefault="004A2DF7" w:rsidP="00A72547">
            <w:pPr>
              <w:pStyle w:val="ARtabletext"/>
              <w:spacing w:before="60" w:after="40"/>
            </w:pPr>
            <w:r>
              <w:t>Reviews and studies expenditure</w:t>
            </w:r>
          </w:p>
        </w:tc>
        <w:tc>
          <w:tcPr>
            <w:tcW w:w="1129" w:type="dxa"/>
          </w:tcPr>
          <w:p w14:paraId="52B8E71B" w14:textId="53D18312" w:rsidR="004A2DF7" w:rsidRPr="00E046B4" w:rsidRDefault="00364721" w:rsidP="00A72547">
            <w:pPr>
              <w:pStyle w:val="ARtabletextright"/>
              <w:spacing w:before="60" w:after="40"/>
              <w:rPr>
                <w:highlight w:val="cyan"/>
              </w:rPr>
            </w:pPr>
            <w:hyperlink w:anchor="_Review_and_study" w:history="1">
              <w:r w:rsidRPr="00364721">
                <w:rPr>
                  <w:rStyle w:val="Hyperlink"/>
                </w:rPr>
                <w:t>105–117</w:t>
              </w:r>
            </w:hyperlink>
          </w:p>
        </w:tc>
      </w:tr>
      <w:tr w:rsidR="004A2DF7" w:rsidRPr="00E046B4" w14:paraId="71468CE2" w14:textId="77777777">
        <w:trPr>
          <w:cantSplit/>
        </w:trPr>
        <w:tc>
          <w:tcPr>
            <w:tcW w:w="1985" w:type="dxa"/>
          </w:tcPr>
          <w:p w14:paraId="41A03ABC" w14:textId="77777777" w:rsidR="004A2DF7" w:rsidRPr="0015104A" w:rsidRDefault="004A2DF7" w:rsidP="00A72547">
            <w:pPr>
              <w:pStyle w:val="ARtabletext"/>
              <w:spacing w:before="60" w:after="40"/>
            </w:pPr>
            <w:r w:rsidRPr="0015104A">
              <w:t>FRD 22</w:t>
            </w:r>
          </w:p>
        </w:tc>
        <w:tc>
          <w:tcPr>
            <w:tcW w:w="6520" w:type="dxa"/>
          </w:tcPr>
          <w:p w14:paraId="3AFA1716" w14:textId="77777777" w:rsidR="004A2DF7" w:rsidRPr="0015104A" w:rsidRDefault="004A2DF7" w:rsidP="00A72547">
            <w:pPr>
              <w:pStyle w:val="ARtabletext"/>
              <w:spacing w:before="60" w:after="40"/>
            </w:pPr>
            <w:r w:rsidRPr="0015104A">
              <w:t>Statement of availability of other information</w:t>
            </w:r>
          </w:p>
        </w:tc>
        <w:tc>
          <w:tcPr>
            <w:tcW w:w="1129" w:type="dxa"/>
          </w:tcPr>
          <w:p w14:paraId="27548A33" w14:textId="181CC75A" w:rsidR="004A2DF7" w:rsidRPr="00E046B4" w:rsidRDefault="00A30B54" w:rsidP="00A72547">
            <w:pPr>
              <w:pStyle w:val="ARtabletextright"/>
              <w:spacing w:before="60" w:after="40"/>
              <w:rPr>
                <w:highlight w:val="cyan"/>
              </w:rPr>
            </w:pPr>
            <w:hyperlink w:anchor="_Additional_departmental_information" w:history="1">
              <w:r w:rsidRPr="00B41F4A">
                <w:rPr>
                  <w:rStyle w:val="Hyperlink"/>
                </w:rPr>
                <w:t>238</w:t>
              </w:r>
            </w:hyperlink>
          </w:p>
        </w:tc>
      </w:tr>
      <w:tr w:rsidR="004A2DF7" w:rsidRPr="00E046B4" w14:paraId="31752549" w14:textId="77777777">
        <w:trPr>
          <w:cantSplit/>
        </w:trPr>
        <w:tc>
          <w:tcPr>
            <w:tcW w:w="1985" w:type="dxa"/>
          </w:tcPr>
          <w:p w14:paraId="3A97A972" w14:textId="77777777" w:rsidR="004A2DF7" w:rsidRPr="0015104A" w:rsidRDefault="004A2DF7" w:rsidP="00A72547">
            <w:pPr>
              <w:pStyle w:val="ARtabletext"/>
              <w:spacing w:before="60" w:after="40"/>
            </w:pPr>
            <w:r w:rsidRPr="0015104A">
              <w:lastRenderedPageBreak/>
              <w:t>FRD 22</w:t>
            </w:r>
          </w:p>
        </w:tc>
        <w:tc>
          <w:tcPr>
            <w:tcW w:w="6520" w:type="dxa"/>
          </w:tcPr>
          <w:p w14:paraId="674C5141" w14:textId="77777777" w:rsidR="004A2DF7" w:rsidRPr="0015104A" w:rsidRDefault="004A2DF7" w:rsidP="00A72547">
            <w:pPr>
              <w:pStyle w:val="ARtabletext"/>
              <w:spacing w:before="60" w:after="40"/>
            </w:pPr>
            <w:r w:rsidRPr="0015104A">
              <w:t>Disclosure of emergency procurement</w:t>
            </w:r>
          </w:p>
        </w:tc>
        <w:tc>
          <w:tcPr>
            <w:tcW w:w="1129" w:type="dxa"/>
          </w:tcPr>
          <w:p w14:paraId="75D61875" w14:textId="5E4D2AAE" w:rsidR="004A2DF7" w:rsidRPr="00E046B4" w:rsidRDefault="00F22A91" w:rsidP="00A72547">
            <w:pPr>
              <w:pStyle w:val="ARtabletextright"/>
              <w:spacing w:before="60" w:after="40"/>
              <w:rPr>
                <w:highlight w:val="cyan"/>
              </w:rPr>
            </w:pPr>
            <w:hyperlink w:anchor="_Compliance_with_the_2" w:history="1">
              <w:r>
                <w:rPr>
                  <w:rStyle w:val="Hyperlink"/>
                </w:rPr>
                <w:t>123</w:t>
              </w:r>
            </w:hyperlink>
          </w:p>
        </w:tc>
      </w:tr>
      <w:tr w:rsidR="004A2DF7" w:rsidRPr="00E046B4" w14:paraId="208F5C9F" w14:textId="77777777">
        <w:trPr>
          <w:cantSplit/>
        </w:trPr>
        <w:tc>
          <w:tcPr>
            <w:tcW w:w="1985" w:type="dxa"/>
          </w:tcPr>
          <w:p w14:paraId="762420D5" w14:textId="77777777" w:rsidR="004A2DF7" w:rsidRPr="0015104A" w:rsidRDefault="004A2DF7" w:rsidP="00A72547">
            <w:pPr>
              <w:pStyle w:val="ARtabletext"/>
              <w:spacing w:before="60" w:after="40"/>
            </w:pPr>
            <w:r w:rsidRPr="0015104A">
              <w:t>FRD 22</w:t>
            </w:r>
          </w:p>
        </w:tc>
        <w:tc>
          <w:tcPr>
            <w:tcW w:w="6520" w:type="dxa"/>
          </w:tcPr>
          <w:p w14:paraId="630C77E0" w14:textId="77777777" w:rsidR="004A2DF7" w:rsidRPr="0015104A" w:rsidRDefault="004A2DF7" w:rsidP="00A72547">
            <w:pPr>
              <w:pStyle w:val="ARtabletext"/>
              <w:spacing w:before="60" w:after="40"/>
            </w:pPr>
            <w:r w:rsidRPr="0015104A">
              <w:t>Disclosure of social procurement activities under the Social Procurement Framework</w:t>
            </w:r>
          </w:p>
        </w:tc>
        <w:tc>
          <w:tcPr>
            <w:tcW w:w="1129" w:type="dxa"/>
          </w:tcPr>
          <w:p w14:paraId="705FA6D0" w14:textId="654786E9" w:rsidR="004A2DF7" w:rsidRPr="00E046B4" w:rsidRDefault="003F7520" w:rsidP="00A72547">
            <w:pPr>
              <w:pStyle w:val="ARtabletextright"/>
              <w:spacing w:before="60" w:after="40"/>
              <w:rPr>
                <w:highlight w:val="cyan"/>
              </w:rPr>
            </w:pPr>
            <w:hyperlink w:anchor="_Social_procurement_framework" w:history="1">
              <w:r>
                <w:rPr>
                  <w:rStyle w:val="Hyperlink"/>
                </w:rPr>
                <w:t>119</w:t>
              </w:r>
            </w:hyperlink>
          </w:p>
        </w:tc>
      </w:tr>
      <w:tr w:rsidR="004A2DF7" w:rsidRPr="00E046B4" w14:paraId="5E25F1A7" w14:textId="77777777">
        <w:trPr>
          <w:cantSplit/>
        </w:trPr>
        <w:tc>
          <w:tcPr>
            <w:tcW w:w="1985" w:type="dxa"/>
          </w:tcPr>
          <w:p w14:paraId="36E0F855" w14:textId="77777777" w:rsidR="004A2DF7" w:rsidRPr="0015104A" w:rsidRDefault="004A2DF7" w:rsidP="00A72547">
            <w:pPr>
              <w:pStyle w:val="ARtabletext"/>
              <w:spacing w:before="60" w:after="40"/>
            </w:pPr>
            <w:r w:rsidRPr="0015104A">
              <w:t>FRD 22</w:t>
            </w:r>
          </w:p>
        </w:tc>
        <w:tc>
          <w:tcPr>
            <w:tcW w:w="6520" w:type="dxa"/>
          </w:tcPr>
          <w:p w14:paraId="6FA3B409" w14:textId="77777777" w:rsidR="004A2DF7" w:rsidRPr="0015104A" w:rsidRDefault="004A2DF7" w:rsidP="00A72547">
            <w:pPr>
              <w:pStyle w:val="ARtabletext"/>
              <w:spacing w:before="60" w:after="40"/>
            </w:pPr>
            <w:r w:rsidRPr="0015104A">
              <w:t>Disclosure of procurement complaints</w:t>
            </w:r>
          </w:p>
        </w:tc>
        <w:tc>
          <w:tcPr>
            <w:tcW w:w="1129" w:type="dxa"/>
          </w:tcPr>
          <w:p w14:paraId="763EB155" w14:textId="19BF7A82" w:rsidR="004A2DF7" w:rsidRDefault="0047579C" w:rsidP="00A72547">
            <w:pPr>
              <w:pStyle w:val="ARtabletextright"/>
              <w:spacing w:before="60" w:after="40"/>
              <w:rPr>
                <w:highlight w:val="cyan"/>
              </w:rPr>
            </w:pPr>
            <w:hyperlink w:anchor="_Disclosure_of_procurement" w:history="1">
              <w:r w:rsidRPr="002A7F33">
                <w:rPr>
                  <w:rStyle w:val="Hyperlink"/>
                </w:rPr>
                <w:t>12</w:t>
              </w:r>
              <w:r w:rsidR="002A7F33" w:rsidRPr="002A7F33">
                <w:rPr>
                  <w:rStyle w:val="Hyperlink"/>
                </w:rPr>
                <w:t>3</w:t>
              </w:r>
            </w:hyperlink>
          </w:p>
        </w:tc>
      </w:tr>
      <w:tr w:rsidR="004A2DF7" w:rsidRPr="00E046B4" w14:paraId="230B0AC1" w14:textId="77777777">
        <w:trPr>
          <w:cantSplit/>
        </w:trPr>
        <w:tc>
          <w:tcPr>
            <w:tcW w:w="1985" w:type="dxa"/>
          </w:tcPr>
          <w:p w14:paraId="70B48389" w14:textId="77777777" w:rsidR="004A2DF7" w:rsidRPr="0015104A" w:rsidRDefault="004A2DF7" w:rsidP="00A72547">
            <w:pPr>
              <w:pStyle w:val="ARtabletext"/>
              <w:spacing w:before="60" w:after="40"/>
            </w:pPr>
            <w:r w:rsidRPr="0015104A">
              <w:t>FRD 24</w:t>
            </w:r>
          </w:p>
        </w:tc>
        <w:tc>
          <w:tcPr>
            <w:tcW w:w="6520" w:type="dxa"/>
          </w:tcPr>
          <w:p w14:paraId="5826FFE0" w14:textId="77777777" w:rsidR="004A2DF7" w:rsidRPr="0015104A" w:rsidRDefault="004A2DF7" w:rsidP="00A72547">
            <w:pPr>
              <w:pStyle w:val="ARtabletext"/>
              <w:spacing w:before="60" w:after="40"/>
            </w:pPr>
            <w:r w:rsidRPr="0015104A">
              <w:t>Reporting of environmental data</w:t>
            </w:r>
          </w:p>
        </w:tc>
        <w:tc>
          <w:tcPr>
            <w:tcW w:w="1129" w:type="dxa"/>
          </w:tcPr>
          <w:p w14:paraId="6B331DCC" w14:textId="14DBC3C9" w:rsidR="004A2DF7" w:rsidRPr="00E046B4" w:rsidRDefault="00F22A91" w:rsidP="00A72547">
            <w:pPr>
              <w:pStyle w:val="ARtabletextright"/>
              <w:spacing w:before="60" w:after="40"/>
              <w:rPr>
                <w:highlight w:val="cyan"/>
              </w:rPr>
            </w:pPr>
            <w:hyperlink w:anchor="_Reporting_boundary_for" w:history="1">
              <w:r>
                <w:rPr>
                  <w:rStyle w:val="Hyperlink"/>
                </w:rPr>
                <w:t>127–129</w:t>
              </w:r>
            </w:hyperlink>
          </w:p>
        </w:tc>
      </w:tr>
      <w:tr w:rsidR="004A2DF7" w:rsidRPr="00E046B4" w14:paraId="14273E9D" w14:textId="77777777">
        <w:trPr>
          <w:cantSplit/>
        </w:trPr>
        <w:tc>
          <w:tcPr>
            <w:tcW w:w="1985" w:type="dxa"/>
          </w:tcPr>
          <w:p w14:paraId="79A85A76" w14:textId="77777777" w:rsidR="004A2DF7" w:rsidRPr="0015104A" w:rsidRDefault="004A2DF7" w:rsidP="00A72547">
            <w:pPr>
              <w:pStyle w:val="ARtabletext"/>
              <w:spacing w:before="60" w:after="40"/>
            </w:pPr>
            <w:r w:rsidRPr="0015104A">
              <w:t>FRD 25</w:t>
            </w:r>
          </w:p>
        </w:tc>
        <w:tc>
          <w:tcPr>
            <w:tcW w:w="6520" w:type="dxa"/>
          </w:tcPr>
          <w:p w14:paraId="4AA36497" w14:textId="77777777" w:rsidR="004A2DF7" w:rsidRPr="0015104A" w:rsidRDefault="004A2DF7" w:rsidP="00A72547">
            <w:pPr>
              <w:pStyle w:val="ARtabletext"/>
              <w:spacing w:before="60" w:after="40"/>
            </w:pPr>
            <w:r w:rsidRPr="0015104A">
              <w:t>Local Jobs First</w:t>
            </w:r>
          </w:p>
        </w:tc>
        <w:tc>
          <w:tcPr>
            <w:tcW w:w="1129" w:type="dxa"/>
          </w:tcPr>
          <w:p w14:paraId="7956DB47" w14:textId="3D4763B7" w:rsidR="004A2DF7" w:rsidRPr="00E046B4" w:rsidRDefault="002A7F33" w:rsidP="00A72547">
            <w:pPr>
              <w:pStyle w:val="ARtabletextright"/>
              <w:spacing w:before="60" w:after="40"/>
              <w:rPr>
                <w:highlight w:val="cyan"/>
              </w:rPr>
            </w:pPr>
            <w:hyperlink w:anchor="_Local_Jobs_First" w:history="1">
              <w:r>
                <w:rPr>
                  <w:rStyle w:val="Hyperlink"/>
                </w:rPr>
                <w:t>98–99</w:t>
              </w:r>
            </w:hyperlink>
          </w:p>
        </w:tc>
      </w:tr>
      <w:tr w:rsidR="004A2DF7" w:rsidRPr="00E046B4" w14:paraId="2B34907C" w14:textId="77777777">
        <w:trPr>
          <w:cantSplit/>
        </w:trPr>
        <w:tc>
          <w:tcPr>
            <w:tcW w:w="1985" w:type="dxa"/>
          </w:tcPr>
          <w:p w14:paraId="4099BE6A" w14:textId="77777777" w:rsidR="004A2DF7" w:rsidRPr="0015104A" w:rsidRDefault="004A2DF7" w:rsidP="00A72547">
            <w:pPr>
              <w:pStyle w:val="ARtabletext"/>
              <w:spacing w:before="60" w:after="40"/>
            </w:pPr>
            <w:r w:rsidRPr="0015104A">
              <w:t>FRD 29</w:t>
            </w:r>
          </w:p>
        </w:tc>
        <w:tc>
          <w:tcPr>
            <w:tcW w:w="6520" w:type="dxa"/>
          </w:tcPr>
          <w:p w14:paraId="652AB6E2" w14:textId="77777777" w:rsidR="004A2DF7" w:rsidRPr="0015104A" w:rsidRDefault="004A2DF7" w:rsidP="00A72547">
            <w:pPr>
              <w:pStyle w:val="ARtabletext"/>
              <w:spacing w:before="60" w:after="40"/>
            </w:pPr>
            <w:r w:rsidRPr="0015104A">
              <w:t>Workforce data disclosures</w:t>
            </w:r>
          </w:p>
        </w:tc>
        <w:tc>
          <w:tcPr>
            <w:tcW w:w="1129" w:type="dxa"/>
          </w:tcPr>
          <w:p w14:paraId="32B6D5CB" w14:textId="38713841" w:rsidR="004A2DF7" w:rsidRPr="00E046B4" w:rsidRDefault="0047579C" w:rsidP="00A72547">
            <w:pPr>
              <w:pStyle w:val="ARtabletextright"/>
              <w:spacing w:before="60" w:after="40"/>
              <w:rPr>
                <w:highlight w:val="cyan"/>
              </w:rPr>
            </w:pPr>
            <w:hyperlink w:anchor="_Comparative_workforce_data" w:history="1">
              <w:r w:rsidRPr="008850FC">
                <w:rPr>
                  <w:rStyle w:val="Hyperlink"/>
                </w:rPr>
                <w:t>8</w:t>
              </w:r>
              <w:r w:rsidR="008850FC" w:rsidRPr="008850FC">
                <w:rPr>
                  <w:rStyle w:val="Hyperlink"/>
                </w:rPr>
                <w:t>6</w:t>
              </w:r>
              <w:r w:rsidR="0013613F" w:rsidRPr="008850FC">
                <w:rPr>
                  <w:rStyle w:val="Hyperlink"/>
                </w:rPr>
                <w:t>–</w:t>
              </w:r>
              <w:r w:rsidRPr="008850FC">
                <w:rPr>
                  <w:rStyle w:val="Hyperlink"/>
                </w:rPr>
                <w:t>9</w:t>
              </w:r>
              <w:r w:rsidR="008850FC" w:rsidRPr="008850FC">
                <w:rPr>
                  <w:rStyle w:val="Hyperlink"/>
                </w:rPr>
                <w:t>0</w:t>
              </w:r>
            </w:hyperlink>
          </w:p>
        </w:tc>
      </w:tr>
      <w:tr w:rsidR="004A2DF7" w:rsidRPr="00E046B4" w14:paraId="1FBE7B4F" w14:textId="77777777">
        <w:trPr>
          <w:cantSplit/>
        </w:trPr>
        <w:tc>
          <w:tcPr>
            <w:tcW w:w="1985" w:type="dxa"/>
          </w:tcPr>
          <w:p w14:paraId="1A97A051" w14:textId="77777777" w:rsidR="004A2DF7" w:rsidRPr="0015104A" w:rsidRDefault="004A2DF7" w:rsidP="00A72547">
            <w:pPr>
              <w:pStyle w:val="ARtabletext"/>
              <w:spacing w:before="60" w:after="40"/>
            </w:pPr>
            <w:r w:rsidRPr="0015104A">
              <w:t>SD 5.2</w:t>
            </w:r>
          </w:p>
        </w:tc>
        <w:tc>
          <w:tcPr>
            <w:tcW w:w="6520" w:type="dxa"/>
          </w:tcPr>
          <w:p w14:paraId="45EE10E7" w14:textId="77777777" w:rsidR="004A2DF7" w:rsidRPr="0015104A" w:rsidRDefault="004A2DF7" w:rsidP="00A72547">
            <w:pPr>
              <w:pStyle w:val="ARtabletext"/>
              <w:spacing w:before="60" w:after="40"/>
            </w:pPr>
            <w:r w:rsidRPr="0015104A">
              <w:t>Specific requirements under Standing Direction 5.2</w:t>
            </w:r>
          </w:p>
        </w:tc>
        <w:tc>
          <w:tcPr>
            <w:tcW w:w="1129" w:type="dxa"/>
          </w:tcPr>
          <w:p w14:paraId="590B40B6" w14:textId="43B59688" w:rsidR="004A2DF7" w:rsidRPr="00B41F4A" w:rsidRDefault="0047579C" w:rsidP="00A72547">
            <w:pPr>
              <w:pStyle w:val="ARtabletextright"/>
              <w:spacing w:before="60" w:after="40"/>
            </w:pPr>
            <w:hyperlink w:anchor="Page2" w:history="1">
              <w:r w:rsidRPr="00B41F4A">
                <w:rPr>
                  <w:rStyle w:val="Hyperlink"/>
                </w:rPr>
                <w:t>2</w:t>
              </w:r>
            </w:hyperlink>
          </w:p>
        </w:tc>
      </w:tr>
      <w:tr w:rsidR="004A2DF7" w:rsidRPr="00E046B4" w14:paraId="6A55BF54" w14:textId="77777777">
        <w:trPr>
          <w:cantSplit/>
        </w:trPr>
        <w:tc>
          <w:tcPr>
            <w:tcW w:w="9634" w:type="dxa"/>
            <w:gridSpan w:val="3"/>
            <w:tcBorders>
              <w:bottom w:val="nil"/>
            </w:tcBorders>
          </w:tcPr>
          <w:p w14:paraId="698D3C78" w14:textId="77777777" w:rsidR="004A2DF7" w:rsidRPr="00B41F4A" w:rsidRDefault="004A2DF7" w:rsidP="00A72547">
            <w:pPr>
              <w:pStyle w:val="ARtabletextbold"/>
              <w:spacing w:before="60" w:after="40"/>
            </w:pPr>
            <w:r w:rsidRPr="00B41F4A">
              <w:t>Compliance attestation and declaration</w:t>
            </w:r>
          </w:p>
        </w:tc>
      </w:tr>
      <w:tr w:rsidR="004A2DF7" w:rsidRPr="00E046B4" w14:paraId="06406F8D" w14:textId="77777777">
        <w:trPr>
          <w:cantSplit/>
        </w:trPr>
        <w:tc>
          <w:tcPr>
            <w:tcW w:w="1985" w:type="dxa"/>
            <w:tcBorders>
              <w:top w:val="nil"/>
            </w:tcBorders>
          </w:tcPr>
          <w:p w14:paraId="7699DD64" w14:textId="77777777" w:rsidR="004A2DF7" w:rsidRPr="00CF42FE" w:rsidRDefault="004A2DF7" w:rsidP="00A72547">
            <w:pPr>
              <w:pStyle w:val="ARtabletext"/>
              <w:spacing w:before="60" w:after="40"/>
            </w:pPr>
            <w:r w:rsidRPr="00CF42FE">
              <w:t>SD 5.4.1</w:t>
            </w:r>
          </w:p>
        </w:tc>
        <w:tc>
          <w:tcPr>
            <w:tcW w:w="6520" w:type="dxa"/>
            <w:tcBorders>
              <w:top w:val="nil"/>
            </w:tcBorders>
          </w:tcPr>
          <w:p w14:paraId="07CF4A68" w14:textId="77777777" w:rsidR="004A2DF7" w:rsidRPr="00CF42FE" w:rsidRDefault="004A2DF7" w:rsidP="00A72547">
            <w:pPr>
              <w:pStyle w:val="ARtabletext"/>
              <w:spacing w:before="60" w:after="40"/>
            </w:pPr>
            <w:r w:rsidRPr="00CF42FE">
              <w:t>Attestation for compliance with Ministerial Standing Direction</w:t>
            </w:r>
          </w:p>
        </w:tc>
        <w:tc>
          <w:tcPr>
            <w:tcW w:w="1129" w:type="dxa"/>
            <w:tcBorders>
              <w:top w:val="nil"/>
            </w:tcBorders>
          </w:tcPr>
          <w:p w14:paraId="36661BAC" w14:textId="300C0C98" w:rsidR="004A2DF7" w:rsidRPr="00B41F4A" w:rsidRDefault="008C47CE" w:rsidP="00A72547">
            <w:pPr>
              <w:pStyle w:val="ARtabletextright"/>
              <w:spacing w:before="60" w:after="40"/>
            </w:pPr>
            <w:hyperlink w:anchor="_Financial_management_compliance" w:history="1">
              <w:r w:rsidRPr="00B41F4A">
                <w:rPr>
                  <w:rStyle w:val="Hyperlink"/>
                </w:rPr>
                <w:t>13</w:t>
              </w:r>
              <w:r w:rsidR="001E11F2" w:rsidRPr="00B41F4A">
                <w:rPr>
                  <w:rStyle w:val="Hyperlink"/>
                </w:rPr>
                <w:t>7</w:t>
              </w:r>
            </w:hyperlink>
          </w:p>
        </w:tc>
      </w:tr>
      <w:tr w:rsidR="004A2DF7" w:rsidRPr="00E046B4" w14:paraId="177C1C92" w14:textId="77777777">
        <w:trPr>
          <w:cantSplit/>
        </w:trPr>
        <w:tc>
          <w:tcPr>
            <w:tcW w:w="1985" w:type="dxa"/>
          </w:tcPr>
          <w:p w14:paraId="7104346F" w14:textId="77777777" w:rsidR="004A2DF7" w:rsidRPr="00CF42FE" w:rsidRDefault="004A2DF7" w:rsidP="00A72547">
            <w:pPr>
              <w:pStyle w:val="ARtabletext"/>
              <w:spacing w:before="60" w:after="40"/>
            </w:pPr>
            <w:r w:rsidRPr="00CF42FE">
              <w:t>SD 5.2.3</w:t>
            </w:r>
          </w:p>
        </w:tc>
        <w:tc>
          <w:tcPr>
            <w:tcW w:w="6520" w:type="dxa"/>
          </w:tcPr>
          <w:p w14:paraId="495C79B7" w14:textId="77777777" w:rsidR="004A2DF7" w:rsidRPr="00CF42FE" w:rsidRDefault="004A2DF7" w:rsidP="00A72547">
            <w:pPr>
              <w:pStyle w:val="ARtabletext"/>
              <w:spacing w:before="60" w:after="40"/>
            </w:pPr>
            <w:r w:rsidRPr="00CF42FE">
              <w:t>Declaration in report of operations</w:t>
            </w:r>
          </w:p>
        </w:tc>
        <w:tc>
          <w:tcPr>
            <w:tcW w:w="1129" w:type="dxa"/>
          </w:tcPr>
          <w:p w14:paraId="7BB630D4" w14:textId="7E562726" w:rsidR="004A2DF7" w:rsidRPr="00B41F4A" w:rsidRDefault="008C47CE" w:rsidP="00A72547">
            <w:pPr>
              <w:pStyle w:val="ARtabletextright"/>
              <w:spacing w:before="60" w:after="40"/>
            </w:pPr>
            <w:hyperlink w:anchor="_Responsible_body’s_declaration" w:history="1">
              <w:r w:rsidRPr="00B41F4A">
                <w:rPr>
                  <w:rStyle w:val="Hyperlink"/>
                </w:rPr>
                <w:t>3</w:t>
              </w:r>
            </w:hyperlink>
          </w:p>
        </w:tc>
      </w:tr>
    </w:tbl>
    <w:p w14:paraId="0F60C1B8" w14:textId="77777777" w:rsidR="004A2DF7" w:rsidRPr="00CF42FE" w:rsidRDefault="004A2DF7">
      <w:pPr>
        <w:pStyle w:val="Heading3"/>
      </w:pPr>
      <w:bookmarkStart w:id="328" w:name="_Toc462577211"/>
      <w:bookmarkStart w:id="329" w:name="_Toc520974735"/>
      <w:bookmarkStart w:id="330" w:name="_Toc50998473"/>
      <w:bookmarkStart w:id="331" w:name="_Ref52282887"/>
      <w:bookmarkStart w:id="332" w:name="_Toc110778209"/>
      <w:r w:rsidRPr="00CF42FE">
        <w:t>Financial report</w:t>
      </w:r>
      <w:bookmarkEnd w:id="328"/>
      <w:bookmarkEnd w:id="329"/>
      <w:bookmarkEnd w:id="330"/>
      <w:bookmarkEnd w:id="331"/>
      <w:bookmarkEnd w:id="332"/>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1985"/>
        <w:gridCol w:w="6374"/>
        <w:gridCol w:w="1280"/>
      </w:tblGrid>
      <w:tr w:rsidR="004A2DF7" w:rsidRPr="00E046B4" w14:paraId="38540C5E" w14:textId="77777777">
        <w:trPr>
          <w:cantSplit/>
          <w:tblHeader/>
        </w:trPr>
        <w:tc>
          <w:tcPr>
            <w:tcW w:w="1985" w:type="dxa"/>
            <w:tcBorders>
              <w:top w:val="nil"/>
            </w:tcBorders>
            <w:vAlign w:val="bottom"/>
          </w:tcPr>
          <w:p w14:paraId="0DF4578F" w14:textId="77777777" w:rsidR="004A2DF7" w:rsidRPr="00CF42FE" w:rsidRDefault="004A2DF7" w:rsidP="00A72547">
            <w:pPr>
              <w:pStyle w:val="ARtablecolhead"/>
              <w:spacing w:before="60" w:after="40"/>
            </w:pPr>
            <w:r w:rsidRPr="00CF42FE">
              <w:t>Ministerial directions</w:t>
            </w:r>
          </w:p>
        </w:tc>
        <w:tc>
          <w:tcPr>
            <w:tcW w:w="6374" w:type="dxa"/>
            <w:tcBorders>
              <w:top w:val="nil"/>
            </w:tcBorders>
            <w:vAlign w:val="bottom"/>
          </w:tcPr>
          <w:p w14:paraId="71CFC6C3" w14:textId="77777777" w:rsidR="004A2DF7" w:rsidRPr="00CF42FE" w:rsidRDefault="004A2DF7" w:rsidP="00A72547">
            <w:pPr>
              <w:pStyle w:val="ARtablecolhead"/>
              <w:spacing w:before="60" w:after="40"/>
            </w:pPr>
            <w:r w:rsidRPr="00CF42FE">
              <w:t>Requirement</w:t>
            </w:r>
          </w:p>
        </w:tc>
        <w:tc>
          <w:tcPr>
            <w:tcW w:w="1280" w:type="dxa"/>
            <w:tcBorders>
              <w:top w:val="nil"/>
            </w:tcBorders>
            <w:vAlign w:val="bottom"/>
          </w:tcPr>
          <w:p w14:paraId="4B09216C" w14:textId="77777777" w:rsidR="004A2DF7" w:rsidRPr="00CF42FE" w:rsidRDefault="004A2DF7" w:rsidP="00A72547">
            <w:pPr>
              <w:pStyle w:val="ARtablecolheadright"/>
              <w:spacing w:before="60" w:after="40"/>
            </w:pPr>
            <w:r w:rsidRPr="00CF42FE">
              <w:t>Page</w:t>
            </w:r>
          </w:p>
        </w:tc>
      </w:tr>
      <w:tr w:rsidR="004A2DF7" w:rsidRPr="00E046B4" w14:paraId="2E91179C" w14:textId="77777777">
        <w:tc>
          <w:tcPr>
            <w:tcW w:w="9639" w:type="dxa"/>
            <w:gridSpan w:val="3"/>
            <w:tcBorders>
              <w:bottom w:val="nil"/>
            </w:tcBorders>
          </w:tcPr>
          <w:p w14:paraId="0B6B4DB7" w14:textId="77777777" w:rsidR="004A2DF7" w:rsidRPr="00CF42FE" w:rsidRDefault="004A2DF7" w:rsidP="00A72547">
            <w:pPr>
              <w:pStyle w:val="ARtabletextbold"/>
              <w:spacing w:before="60" w:after="40"/>
            </w:pPr>
            <w:r w:rsidRPr="00CF42FE">
              <w:t>Declaration</w:t>
            </w:r>
          </w:p>
        </w:tc>
      </w:tr>
      <w:tr w:rsidR="004A2DF7" w:rsidRPr="00E046B4" w14:paraId="1FA51D14" w14:textId="77777777">
        <w:tc>
          <w:tcPr>
            <w:tcW w:w="1985" w:type="dxa"/>
            <w:tcBorders>
              <w:top w:val="nil"/>
              <w:bottom w:val="single" w:sz="4" w:space="0" w:color="auto"/>
            </w:tcBorders>
          </w:tcPr>
          <w:p w14:paraId="0F438302" w14:textId="77777777" w:rsidR="004A2DF7" w:rsidRPr="00CF42FE" w:rsidRDefault="004A2DF7" w:rsidP="00A72547">
            <w:pPr>
              <w:pStyle w:val="ARtabletext"/>
              <w:spacing w:before="60" w:after="40"/>
            </w:pPr>
            <w:r w:rsidRPr="00CF42FE">
              <w:t>SD 5.2.2</w:t>
            </w:r>
          </w:p>
        </w:tc>
        <w:tc>
          <w:tcPr>
            <w:tcW w:w="6374" w:type="dxa"/>
            <w:tcBorders>
              <w:top w:val="nil"/>
              <w:bottom w:val="single" w:sz="4" w:space="0" w:color="auto"/>
            </w:tcBorders>
          </w:tcPr>
          <w:p w14:paraId="2C059435" w14:textId="77777777" w:rsidR="004A2DF7" w:rsidRPr="00CF42FE" w:rsidRDefault="004A2DF7" w:rsidP="00A72547">
            <w:pPr>
              <w:pStyle w:val="ARtabletext"/>
              <w:spacing w:before="60" w:after="40"/>
            </w:pPr>
            <w:r w:rsidRPr="00CF42FE">
              <w:t>Declaration in financial statements</w:t>
            </w:r>
          </w:p>
        </w:tc>
        <w:tc>
          <w:tcPr>
            <w:tcW w:w="1280" w:type="dxa"/>
            <w:tcBorders>
              <w:top w:val="nil"/>
              <w:bottom w:val="single" w:sz="4" w:space="0" w:color="auto"/>
            </w:tcBorders>
          </w:tcPr>
          <w:p w14:paraId="6D137CBC" w14:textId="1D8D5ECC" w:rsidR="004A2DF7" w:rsidRPr="00E046B4" w:rsidRDefault="00A30B54" w:rsidP="00A72547">
            <w:pPr>
              <w:pStyle w:val="ARtabletextright"/>
              <w:spacing w:before="60" w:after="40"/>
              <w:rPr>
                <w:highlight w:val="cyan"/>
              </w:rPr>
            </w:pPr>
            <w:hyperlink w:anchor="Declarationinthefinancialstatements" w:history="1">
              <w:r>
                <w:rPr>
                  <w:rStyle w:val="Hyperlink"/>
                </w:rPr>
                <w:t>140</w:t>
              </w:r>
            </w:hyperlink>
          </w:p>
        </w:tc>
      </w:tr>
      <w:tr w:rsidR="004A2DF7" w:rsidRPr="00E046B4" w14:paraId="281BE543" w14:textId="77777777">
        <w:tc>
          <w:tcPr>
            <w:tcW w:w="9639" w:type="dxa"/>
            <w:gridSpan w:val="3"/>
            <w:tcBorders>
              <w:top w:val="single" w:sz="4" w:space="0" w:color="auto"/>
              <w:bottom w:val="nil"/>
            </w:tcBorders>
          </w:tcPr>
          <w:p w14:paraId="1C594795" w14:textId="77777777" w:rsidR="004A2DF7" w:rsidRPr="00CF42FE" w:rsidRDefault="004A2DF7" w:rsidP="00A72547">
            <w:pPr>
              <w:pStyle w:val="ARtabletextbold"/>
              <w:spacing w:before="60" w:after="40"/>
            </w:pPr>
            <w:r w:rsidRPr="00CF42FE">
              <w:t>Other requirements under Standing Directions 5.2</w:t>
            </w:r>
          </w:p>
        </w:tc>
      </w:tr>
      <w:tr w:rsidR="004A2DF7" w:rsidRPr="00E046B4" w14:paraId="2C19171F" w14:textId="77777777">
        <w:tc>
          <w:tcPr>
            <w:tcW w:w="1985" w:type="dxa"/>
            <w:tcBorders>
              <w:top w:val="nil"/>
            </w:tcBorders>
          </w:tcPr>
          <w:p w14:paraId="513715C7" w14:textId="77777777" w:rsidR="004A2DF7" w:rsidRPr="00E046B4" w:rsidRDefault="004A2DF7" w:rsidP="00A72547">
            <w:pPr>
              <w:pStyle w:val="ARtabletext"/>
              <w:spacing w:before="60" w:after="40"/>
              <w:rPr>
                <w:highlight w:val="cyan"/>
              </w:rPr>
            </w:pPr>
            <w:r w:rsidRPr="00CF42FE">
              <w:t>SD 5.2.1(a)</w:t>
            </w:r>
          </w:p>
        </w:tc>
        <w:tc>
          <w:tcPr>
            <w:tcW w:w="6374" w:type="dxa"/>
            <w:tcBorders>
              <w:top w:val="nil"/>
            </w:tcBorders>
          </w:tcPr>
          <w:p w14:paraId="494B5659" w14:textId="77777777" w:rsidR="004A2DF7" w:rsidRPr="00CF42FE" w:rsidRDefault="004A2DF7" w:rsidP="00A72547">
            <w:pPr>
              <w:pStyle w:val="ARtabletext"/>
              <w:spacing w:before="60" w:after="40"/>
            </w:pPr>
            <w:r w:rsidRPr="00CF42FE">
              <w:t>Compliance with Australian accounting standards and other authoritative pronouncements</w:t>
            </w:r>
          </w:p>
        </w:tc>
        <w:tc>
          <w:tcPr>
            <w:tcW w:w="1280" w:type="dxa"/>
            <w:tcBorders>
              <w:top w:val="nil"/>
            </w:tcBorders>
          </w:tcPr>
          <w:p w14:paraId="6A3C731D" w14:textId="57864C7C" w:rsidR="004A2DF7" w:rsidRPr="00B41F4A" w:rsidRDefault="00A30B54" w:rsidP="00A72547">
            <w:pPr>
              <w:pStyle w:val="ARtabletextright"/>
              <w:spacing w:before="60" w:after="40"/>
            </w:pPr>
            <w:hyperlink w:anchor="Declarationinthefinancialstatements140" w:history="1">
              <w:r w:rsidRPr="00B41F4A">
                <w:rPr>
                  <w:rStyle w:val="Hyperlink"/>
                </w:rPr>
                <w:t>140</w:t>
              </w:r>
            </w:hyperlink>
          </w:p>
        </w:tc>
      </w:tr>
      <w:tr w:rsidR="004A2DF7" w:rsidRPr="00E046B4" w14:paraId="507B8390" w14:textId="77777777">
        <w:tc>
          <w:tcPr>
            <w:tcW w:w="1985" w:type="dxa"/>
          </w:tcPr>
          <w:p w14:paraId="5998D634" w14:textId="77777777" w:rsidR="004A2DF7" w:rsidRPr="00CF42FE" w:rsidRDefault="004A2DF7" w:rsidP="00A72547">
            <w:pPr>
              <w:pStyle w:val="ARtabletext"/>
              <w:spacing w:before="60" w:after="40"/>
            </w:pPr>
            <w:r w:rsidRPr="00CF42FE">
              <w:t>SD 5.2.1(a)</w:t>
            </w:r>
          </w:p>
        </w:tc>
        <w:tc>
          <w:tcPr>
            <w:tcW w:w="6374" w:type="dxa"/>
          </w:tcPr>
          <w:p w14:paraId="575E6FD7" w14:textId="77777777" w:rsidR="004A2DF7" w:rsidRPr="00CF42FE" w:rsidRDefault="004A2DF7" w:rsidP="00A72547">
            <w:pPr>
              <w:pStyle w:val="ARtabletext"/>
              <w:spacing w:before="60" w:after="40"/>
            </w:pPr>
            <w:r w:rsidRPr="00CF42FE">
              <w:t>Compliance with Standing Directions</w:t>
            </w:r>
          </w:p>
        </w:tc>
        <w:tc>
          <w:tcPr>
            <w:tcW w:w="1280" w:type="dxa"/>
          </w:tcPr>
          <w:p w14:paraId="5CF57AF9" w14:textId="0ACA0626" w:rsidR="004A2DF7" w:rsidRPr="00B41F4A" w:rsidRDefault="00A30B54" w:rsidP="00A72547">
            <w:pPr>
              <w:pStyle w:val="ARtabletextright"/>
              <w:spacing w:before="60" w:after="40"/>
            </w:pPr>
            <w:hyperlink w:anchor="Declarationinthefinancialstatements140" w:history="1">
              <w:r w:rsidRPr="00B41F4A">
                <w:rPr>
                  <w:rStyle w:val="Hyperlink"/>
                </w:rPr>
                <w:t>140</w:t>
              </w:r>
            </w:hyperlink>
          </w:p>
        </w:tc>
      </w:tr>
      <w:tr w:rsidR="004A2DF7" w:rsidRPr="00E046B4" w14:paraId="5698F789" w14:textId="77777777">
        <w:tc>
          <w:tcPr>
            <w:tcW w:w="1985" w:type="dxa"/>
            <w:tcBorders>
              <w:bottom w:val="single" w:sz="4" w:space="0" w:color="auto"/>
            </w:tcBorders>
          </w:tcPr>
          <w:p w14:paraId="2D7314BD" w14:textId="77777777" w:rsidR="004A2DF7" w:rsidRPr="00CF42FE" w:rsidRDefault="004A2DF7" w:rsidP="00A72547">
            <w:pPr>
              <w:pStyle w:val="ARtabletext"/>
              <w:spacing w:before="60" w:after="40"/>
            </w:pPr>
            <w:r w:rsidRPr="00CF42FE">
              <w:t>SD 5.2.1(b)</w:t>
            </w:r>
          </w:p>
        </w:tc>
        <w:tc>
          <w:tcPr>
            <w:tcW w:w="6374" w:type="dxa"/>
            <w:tcBorders>
              <w:bottom w:val="single" w:sz="4" w:space="0" w:color="auto"/>
            </w:tcBorders>
          </w:tcPr>
          <w:p w14:paraId="32EF5FF1" w14:textId="77777777" w:rsidR="004A2DF7" w:rsidRPr="00CF42FE" w:rsidRDefault="004A2DF7" w:rsidP="00A72547">
            <w:pPr>
              <w:pStyle w:val="ARtabletext"/>
              <w:spacing w:before="60" w:after="40"/>
            </w:pPr>
            <w:r w:rsidRPr="00CF42FE">
              <w:t>Compliance with Model Financial Report</w:t>
            </w:r>
          </w:p>
        </w:tc>
        <w:tc>
          <w:tcPr>
            <w:tcW w:w="1280" w:type="dxa"/>
            <w:tcBorders>
              <w:bottom w:val="single" w:sz="4" w:space="0" w:color="auto"/>
            </w:tcBorders>
          </w:tcPr>
          <w:p w14:paraId="24406CC1" w14:textId="613EBCE7" w:rsidR="004A2DF7" w:rsidRPr="00B41F4A" w:rsidRDefault="00A30B54" w:rsidP="00A72547">
            <w:pPr>
              <w:pStyle w:val="ARtabletextright"/>
              <w:spacing w:before="60" w:after="40"/>
            </w:pPr>
            <w:hyperlink w:anchor="Declarationinthefinancialstatements140" w:history="1">
              <w:r w:rsidRPr="00B41F4A">
                <w:rPr>
                  <w:rStyle w:val="Hyperlink"/>
                </w:rPr>
                <w:t>140</w:t>
              </w:r>
            </w:hyperlink>
          </w:p>
        </w:tc>
      </w:tr>
      <w:tr w:rsidR="004A2DF7" w:rsidRPr="00E046B4" w14:paraId="2338BAA7" w14:textId="77777777">
        <w:tc>
          <w:tcPr>
            <w:tcW w:w="9639" w:type="dxa"/>
            <w:gridSpan w:val="3"/>
            <w:tcBorders>
              <w:top w:val="single" w:sz="4" w:space="0" w:color="auto"/>
              <w:bottom w:val="nil"/>
            </w:tcBorders>
          </w:tcPr>
          <w:p w14:paraId="455D314A" w14:textId="77777777" w:rsidR="004A2DF7" w:rsidRPr="00B41F4A" w:rsidRDefault="004A2DF7" w:rsidP="00A72547">
            <w:pPr>
              <w:pStyle w:val="ARtabletextbold"/>
              <w:spacing w:before="60" w:after="40"/>
            </w:pPr>
            <w:r w:rsidRPr="00B41F4A">
              <w:t xml:space="preserve">Other requirements as required by FRDs in notes to the financial statements </w:t>
            </w:r>
            <w:r w:rsidRPr="00B41F4A">
              <w:rPr>
                <w:rStyle w:val="FootnoteReference"/>
              </w:rPr>
              <w:footnoteReference w:id="43"/>
            </w:r>
          </w:p>
        </w:tc>
      </w:tr>
      <w:tr w:rsidR="004A2DF7" w:rsidRPr="00E046B4" w14:paraId="11DA239B" w14:textId="77777777">
        <w:tc>
          <w:tcPr>
            <w:tcW w:w="1985" w:type="dxa"/>
            <w:tcBorders>
              <w:top w:val="nil"/>
            </w:tcBorders>
          </w:tcPr>
          <w:p w14:paraId="525D592E" w14:textId="77777777" w:rsidR="004A2DF7" w:rsidRPr="00CF42FE" w:rsidRDefault="004A2DF7" w:rsidP="00A72547">
            <w:pPr>
              <w:pStyle w:val="ARtabletext"/>
              <w:spacing w:before="60" w:after="40"/>
            </w:pPr>
            <w:r w:rsidRPr="00CF42FE">
              <w:t>FRD 9</w:t>
            </w:r>
          </w:p>
        </w:tc>
        <w:tc>
          <w:tcPr>
            <w:tcW w:w="6374" w:type="dxa"/>
            <w:tcBorders>
              <w:top w:val="nil"/>
            </w:tcBorders>
          </w:tcPr>
          <w:p w14:paraId="6233229C" w14:textId="77777777" w:rsidR="004A2DF7" w:rsidRPr="00CF42FE" w:rsidRDefault="004A2DF7" w:rsidP="00A72547">
            <w:pPr>
              <w:pStyle w:val="ARtabletext"/>
              <w:spacing w:before="60" w:after="40"/>
            </w:pPr>
            <w:r w:rsidRPr="00CF42FE">
              <w:t>Departmental disclosure of administered assets and liabilities by activity</w:t>
            </w:r>
          </w:p>
        </w:tc>
        <w:tc>
          <w:tcPr>
            <w:tcW w:w="1280" w:type="dxa"/>
            <w:tcBorders>
              <w:top w:val="nil"/>
            </w:tcBorders>
          </w:tcPr>
          <w:p w14:paraId="5EC39FE6" w14:textId="147549DE" w:rsidR="004A2DF7" w:rsidRPr="00B41F4A" w:rsidRDefault="00E73B21" w:rsidP="00A72547">
            <w:pPr>
              <w:pStyle w:val="ARtabletextright"/>
              <w:spacing w:before="60" w:after="40"/>
            </w:pPr>
            <w:hyperlink w:anchor="Notes149" w:history="1">
              <w:r w:rsidRPr="00B41F4A">
                <w:rPr>
                  <w:rStyle w:val="Hyperlink"/>
                </w:rPr>
                <w:t>149</w:t>
              </w:r>
            </w:hyperlink>
          </w:p>
        </w:tc>
      </w:tr>
      <w:tr w:rsidR="004A2DF7" w:rsidRPr="00E046B4" w14:paraId="6A3E6022" w14:textId="77777777">
        <w:trPr>
          <w:trHeight w:val="239"/>
        </w:trPr>
        <w:tc>
          <w:tcPr>
            <w:tcW w:w="1985" w:type="dxa"/>
          </w:tcPr>
          <w:p w14:paraId="7894BE1B" w14:textId="77777777" w:rsidR="004A2DF7" w:rsidRPr="00CF42FE" w:rsidRDefault="004A2DF7" w:rsidP="00A72547">
            <w:pPr>
              <w:pStyle w:val="ARtabletext"/>
              <w:spacing w:before="60" w:after="40"/>
            </w:pPr>
            <w:r w:rsidRPr="00CF42FE">
              <w:t>FRD 11</w:t>
            </w:r>
          </w:p>
        </w:tc>
        <w:tc>
          <w:tcPr>
            <w:tcW w:w="6374" w:type="dxa"/>
          </w:tcPr>
          <w:p w14:paraId="7D4E18FA" w14:textId="77777777" w:rsidR="004A2DF7" w:rsidRPr="00CF42FE" w:rsidRDefault="004A2DF7" w:rsidP="00A72547">
            <w:pPr>
              <w:pStyle w:val="ARtabletext"/>
              <w:spacing w:before="60" w:after="40"/>
            </w:pPr>
            <w:r w:rsidRPr="00CF42FE">
              <w:t>Disclosure of ex gratia expenses</w:t>
            </w:r>
          </w:p>
        </w:tc>
        <w:tc>
          <w:tcPr>
            <w:tcW w:w="1280" w:type="dxa"/>
          </w:tcPr>
          <w:p w14:paraId="382122BC" w14:textId="1D373B6B" w:rsidR="004A2DF7" w:rsidRPr="00B41F4A" w:rsidRDefault="00E73B21" w:rsidP="00A72547">
            <w:pPr>
              <w:pStyle w:val="ARtabletextright"/>
              <w:spacing w:before="60" w:after="40"/>
            </w:pPr>
            <w:hyperlink w:anchor="Exgratiaexpenses" w:history="1">
              <w:r w:rsidRPr="00B41F4A">
                <w:rPr>
                  <w:rStyle w:val="Hyperlink"/>
                </w:rPr>
                <w:t>203</w:t>
              </w:r>
            </w:hyperlink>
          </w:p>
        </w:tc>
      </w:tr>
      <w:tr w:rsidR="004A2DF7" w:rsidRPr="00E046B4" w14:paraId="53D1C024" w14:textId="77777777">
        <w:tc>
          <w:tcPr>
            <w:tcW w:w="1985" w:type="dxa"/>
          </w:tcPr>
          <w:p w14:paraId="75FAF062" w14:textId="77777777" w:rsidR="004A2DF7" w:rsidRPr="00CF42FE" w:rsidRDefault="004A2DF7" w:rsidP="00A72547">
            <w:pPr>
              <w:pStyle w:val="ARtabletext"/>
              <w:spacing w:before="60" w:after="40"/>
            </w:pPr>
            <w:r w:rsidRPr="00CF42FE">
              <w:t>FRD 13</w:t>
            </w:r>
          </w:p>
        </w:tc>
        <w:tc>
          <w:tcPr>
            <w:tcW w:w="6374" w:type="dxa"/>
          </w:tcPr>
          <w:p w14:paraId="36E4DF5B" w14:textId="77777777" w:rsidR="004A2DF7" w:rsidRPr="00CF42FE" w:rsidRDefault="004A2DF7" w:rsidP="00A72547">
            <w:pPr>
              <w:pStyle w:val="ARtabletext"/>
              <w:spacing w:before="60" w:after="40"/>
            </w:pPr>
            <w:r w:rsidRPr="00CF42FE">
              <w:t xml:space="preserve">Disclosure of parliamentary appropriations </w:t>
            </w:r>
          </w:p>
        </w:tc>
        <w:tc>
          <w:tcPr>
            <w:tcW w:w="1280" w:type="dxa"/>
          </w:tcPr>
          <w:p w14:paraId="0559745D" w14:textId="49CC1C10" w:rsidR="004A2DF7" w:rsidRPr="00B41F4A" w:rsidRDefault="00BD1402" w:rsidP="00A72547">
            <w:pPr>
              <w:pStyle w:val="ARtabletextright"/>
              <w:spacing w:before="60" w:after="40"/>
            </w:pPr>
            <w:hyperlink w:anchor="parliamentaryandspecialappropriations" w:history="1">
              <w:r w:rsidRPr="00B41F4A">
                <w:rPr>
                  <w:rStyle w:val="Hyperlink"/>
                </w:rPr>
                <w:t>151</w:t>
              </w:r>
            </w:hyperlink>
          </w:p>
        </w:tc>
      </w:tr>
      <w:tr w:rsidR="004A2DF7" w:rsidRPr="00E046B4" w14:paraId="51F40557" w14:textId="77777777">
        <w:tc>
          <w:tcPr>
            <w:tcW w:w="1985" w:type="dxa"/>
          </w:tcPr>
          <w:p w14:paraId="30C5134D" w14:textId="77777777" w:rsidR="004A2DF7" w:rsidRPr="00CF42FE" w:rsidRDefault="004A2DF7" w:rsidP="00A72547">
            <w:pPr>
              <w:pStyle w:val="ARtabletext"/>
              <w:spacing w:before="60" w:after="40"/>
            </w:pPr>
            <w:r w:rsidRPr="00CF42FE">
              <w:t>FRD 21</w:t>
            </w:r>
          </w:p>
        </w:tc>
        <w:tc>
          <w:tcPr>
            <w:tcW w:w="6374" w:type="dxa"/>
          </w:tcPr>
          <w:p w14:paraId="13822BDF" w14:textId="4200B5BB" w:rsidR="004A2DF7" w:rsidRPr="00CF42FE" w:rsidRDefault="004A2DF7" w:rsidP="00A72547">
            <w:pPr>
              <w:pStyle w:val="ARtabletext"/>
              <w:spacing w:before="60" w:after="40"/>
            </w:pPr>
            <w:r w:rsidRPr="00CF42FE">
              <w:t>Disclosures of responsible persons, executive officers and other personnel (contractors with significant management responsibilities) in the financial</w:t>
            </w:r>
            <w:r w:rsidR="00CD7AD4">
              <w:t> </w:t>
            </w:r>
            <w:r w:rsidRPr="00CF42FE">
              <w:t>report</w:t>
            </w:r>
          </w:p>
        </w:tc>
        <w:tc>
          <w:tcPr>
            <w:tcW w:w="1280" w:type="dxa"/>
          </w:tcPr>
          <w:p w14:paraId="03D9B4A6" w14:textId="47E9324C" w:rsidR="004A2DF7" w:rsidRPr="00B41F4A" w:rsidRDefault="004673E5" w:rsidP="00A72547">
            <w:pPr>
              <w:pStyle w:val="ARtabletextright"/>
              <w:spacing w:before="60" w:after="40"/>
            </w:pPr>
            <w:hyperlink w:anchor="_9.5_Responsible_persons" w:history="1">
              <w:r>
                <w:rPr>
                  <w:rStyle w:val="Hyperlink"/>
                </w:rPr>
                <w:t>207–208</w:t>
              </w:r>
            </w:hyperlink>
          </w:p>
        </w:tc>
      </w:tr>
      <w:tr w:rsidR="004A2DF7" w:rsidRPr="00E046B4" w14:paraId="7DEB56C4" w14:textId="77777777">
        <w:tc>
          <w:tcPr>
            <w:tcW w:w="1985" w:type="dxa"/>
          </w:tcPr>
          <w:p w14:paraId="197DCDEC" w14:textId="77777777" w:rsidR="004A2DF7" w:rsidRPr="00CF42FE" w:rsidRDefault="004A2DF7" w:rsidP="00A72547">
            <w:pPr>
              <w:pStyle w:val="ARtabletext"/>
              <w:spacing w:before="60" w:after="40"/>
            </w:pPr>
            <w:r w:rsidRPr="00CF42FE">
              <w:t>FRD 103</w:t>
            </w:r>
          </w:p>
        </w:tc>
        <w:tc>
          <w:tcPr>
            <w:tcW w:w="6374" w:type="dxa"/>
          </w:tcPr>
          <w:p w14:paraId="0A519F1E" w14:textId="77777777" w:rsidR="004A2DF7" w:rsidRPr="00CF42FE" w:rsidRDefault="004A2DF7" w:rsidP="00A72547">
            <w:pPr>
              <w:pStyle w:val="ARtabletext"/>
              <w:spacing w:before="60" w:after="40"/>
            </w:pPr>
            <w:r w:rsidRPr="00CF42FE">
              <w:t>Non-financial physical assets</w:t>
            </w:r>
          </w:p>
        </w:tc>
        <w:tc>
          <w:tcPr>
            <w:tcW w:w="1280" w:type="dxa"/>
          </w:tcPr>
          <w:p w14:paraId="78520734" w14:textId="4C5F0EC3" w:rsidR="004A2DF7" w:rsidRPr="00B41F4A" w:rsidRDefault="007312A9" w:rsidP="00A72547">
            <w:pPr>
              <w:pStyle w:val="ARtabletextright"/>
              <w:spacing w:before="60" w:after="40"/>
            </w:pPr>
            <w:hyperlink w:anchor="pg220" w:history="1">
              <w:r w:rsidRPr="00B41F4A">
                <w:rPr>
                  <w:rStyle w:val="Hyperlink"/>
                </w:rPr>
                <w:t>2</w:t>
              </w:r>
              <w:r w:rsidR="00E73B21" w:rsidRPr="00B41F4A">
                <w:rPr>
                  <w:rStyle w:val="Hyperlink"/>
                </w:rPr>
                <w:t>20</w:t>
              </w:r>
            </w:hyperlink>
            <w:r w:rsidR="00292ABA" w:rsidRPr="00B41F4A">
              <w:t xml:space="preserve">, </w:t>
            </w:r>
            <w:hyperlink w:anchor="_5._Key_assets" w:history="1">
              <w:r w:rsidR="00E73B21" w:rsidRPr="00B41F4A">
                <w:rPr>
                  <w:rStyle w:val="Hyperlink"/>
                </w:rPr>
                <w:t>170</w:t>
              </w:r>
            </w:hyperlink>
            <w:r w:rsidR="00292ABA" w:rsidRPr="00B41F4A">
              <w:t xml:space="preserve">, </w:t>
            </w:r>
            <w:hyperlink w:anchor="_9._Other_disclosures" w:history="1">
              <w:r w:rsidR="00E73B21" w:rsidRPr="00B41F4A">
                <w:rPr>
                  <w:rStyle w:val="Hyperlink"/>
                </w:rPr>
                <w:t>203</w:t>
              </w:r>
            </w:hyperlink>
            <w:r w:rsidR="00292ABA" w:rsidRPr="00B41F4A">
              <w:t xml:space="preserve">, </w:t>
            </w:r>
            <w:hyperlink w:anchor="_9.3_Reserves" w:history="1">
              <w:r w:rsidR="00C73A75" w:rsidRPr="00B41F4A">
                <w:rPr>
                  <w:rStyle w:val="Hyperlink"/>
                </w:rPr>
                <w:t>20</w:t>
              </w:r>
              <w:r w:rsidR="00E73B21" w:rsidRPr="00B41F4A">
                <w:rPr>
                  <w:rStyle w:val="Hyperlink"/>
                </w:rPr>
                <w:t>5</w:t>
              </w:r>
            </w:hyperlink>
          </w:p>
        </w:tc>
      </w:tr>
      <w:tr w:rsidR="004A2DF7" w:rsidRPr="00E046B4" w14:paraId="56073C81" w14:textId="77777777">
        <w:tc>
          <w:tcPr>
            <w:tcW w:w="1985" w:type="dxa"/>
          </w:tcPr>
          <w:p w14:paraId="486C873A" w14:textId="77777777" w:rsidR="004A2DF7" w:rsidRPr="00CF42FE" w:rsidRDefault="004A2DF7" w:rsidP="00A72547">
            <w:pPr>
              <w:pStyle w:val="ARtabletext"/>
              <w:spacing w:before="60" w:after="40"/>
            </w:pPr>
            <w:r w:rsidRPr="00CF42FE">
              <w:t>FRD 110</w:t>
            </w:r>
          </w:p>
        </w:tc>
        <w:tc>
          <w:tcPr>
            <w:tcW w:w="6374" w:type="dxa"/>
          </w:tcPr>
          <w:p w14:paraId="068C96D0" w14:textId="77777777" w:rsidR="004A2DF7" w:rsidRPr="00CF42FE" w:rsidRDefault="004A2DF7" w:rsidP="00A72547">
            <w:pPr>
              <w:pStyle w:val="ARtabletext"/>
              <w:spacing w:before="60" w:after="40"/>
            </w:pPr>
            <w:r w:rsidRPr="00CF42FE">
              <w:t>Cash flow statements</w:t>
            </w:r>
          </w:p>
        </w:tc>
        <w:tc>
          <w:tcPr>
            <w:tcW w:w="1280" w:type="dxa"/>
          </w:tcPr>
          <w:p w14:paraId="5A825BC3" w14:textId="6393F3E4" w:rsidR="004A2DF7" w:rsidRPr="00E046B4" w:rsidRDefault="00E73B21" w:rsidP="00A72547">
            <w:pPr>
              <w:pStyle w:val="ARtabletextright"/>
              <w:spacing w:before="60" w:after="40"/>
              <w:rPr>
                <w:highlight w:val="cyan"/>
              </w:rPr>
            </w:pPr>
            <w:hyperlink w:anchor="Statementofcashflows220" w:history="1">
              <w:r>
                <w:rPr>
                  <w:rStyle w:val="Hyperlink"/>
                </w:rPr>
                <w:t>221</w:t>
              </w:r>
            </w:hyperlink>
            <w:r w:rsidR="00292ABA" w:rsidRPr="002359E5">
              <w:t xml:space="preserve">, </w:t>
            </w:r>
            <w:hyperlink w:anchor="Cashflowstatement225" w:history="1">
              <w:r>
                <w:rPr>
                  <w:rStyle w:val="Hyperlink"/>
                </w:rPr>
                <w:t>226</w:t>
              </w:r>
            </w:hyperlink>
          </w:p>
        </w:tc>
      </w:tr>
      <w:tr w:rsidR="004A2DF7" w:rsidRPr="00E046B4" w14:paraId="5C63DDB9" w14:textId="77777777">
        <w:tc>
          <w:tcPr>
            <w:tcW w:w="1985" w:type="dxa"/>
          </w:tcPr>
          <w:p w14:paraId="6EA8F395" w14:textId="77777777" w:rsidR="004A2DF7" w:rsidRPr="00CF42FE" w:rsidRDefault="004A2DF7" w:rsidP="00A72547">
            <w:pPr>
              <w:pStyle w:val="ARtabletext"/>
              <w:spacing w:before="60" w:after="40"/>
            </w:pPr>
            <w:r w:rsidRPr="00CF42FE">
              <w:t>FRD 112</w:t>
            </w:r>
          </w:p>
        </w:tc>
        <w:tc>
          <w:tcPr>
            <w:tcW w:w="6374" w:type="dxa"/>
          </w:tcPr>
          <w:p w14:paraId="62958959" w14:textId="77777777" w:rsidR="004A2DF7" w:rsidRPr="00CF42FE" w:rsidRDefault="004A2DF7" w:rsidP="00A72547">
            <w:pPr>
              <w:pStyle w:val="ARtabletext"/>
              <w:spacing w:before="60" w:after="40"/>
            </w:pPr>
            <w:r w:rsidRPr="00CF42FE">
              <w:t>Defined benefit superannuation obligations</w:t>
            </w:r>
          </w:p>
        </w:tc>
        <w:tc>
          <w:tcPr>
            <w:tcW w:w="1280" w:type="dxa"/>
          </w:tcPr>
          <w:p w14:paraId="1DC2FCAB" w14:textId="1DF81929" w:rsidR="004A2DF7" w:rsidRPr="00E046B4" w:rsidRDefault="00E73B21" w:rsidP="00A72547">
            <w:pPr>
              <w:pStyle w:val="ARtabletextright"/>
              <w:spacing w:before="60" w:after="40"/>
              <w:rPr>
                <w:highlight w:val="cyan"/>
              </w:rPr>
            </w:pPr>
            <w:hyperlink w:anchor="Provisionsforsuperannuation157" w:history="1">
              <w:r>
                <w:rPr>
                  <w:rStyle w:val="Hyperlink"/>
                </w:rPr>
                <w:t>158</w:t>
              </w:r>
            </w:hyperlink>
          </w:p>
        </w:tc>
      </w:tr>
      <w:tr w:rsidR="004A2DF7" w:rsidRPr="00E046B4" w14:paraId="2EBF6162" w14:textId="77777777">
        <w:tc>
          <w:tcPr>
            <w:tcW w:w="1985" w:type="dxa"/>
          </w:tcPr>
          <w:p w14:paraId="7E3DE57C" w14:textId="77777777" w:rsidR="004A2DF7" w:rsidRPr="00CF42FE" w:rsidRDefault="004A2DF7" w:rsidP="00A72547">
            <w:pPr>
              <w:pStyle w:val="ARtabletext"/>
              <w:spacing w:before="60" w:after="40"/>
            </w:pPr>
            <w:r w:rsidRPr="00CF42FE">
              <w:t>FRD 114</w:t>
            </w:r>
          </w:p>
        </w:tc>
        <w:tc>
          <w:tcPr>
            <w:tcW w:w="6374" w:type="dxa"/>
          </w:tcPr>
          <w:p w14:paraId="2799B9BD" w14:textId="77777777" w:rsidR="004A2DF7" w:rsidRPr="00CF42FE" w:rsidRDefault="004A2DF7" w:rsidP="00A72547">
            <w:pPr>
              <w:pStyle w:val="ARtabletext"/>
              <w:spacing w:before="60" w:after="40"/>
            </w:pPr>
            <w:r w:rsidRPr="00CF42FE">
              <w:t xml:space="preserve">Financial instruments – general government entities and public </w:t>
            </w:r>
            <w:r w:rsidRPr="00CF42FE">
              <w:br/>
              <w:t>non-financial corporations</w:t>
            </w:r>
          </w:p>
        </w:tc>
        <w:tc>
          <w:tcPr>
            <w:tcW w:w="1280" w:type="dxa"/>
          </w:tcPr>
          <w:p w14:paraId="4F774C85" w14:textId="4217B6D4" w:rsidR="004A2DF7" w:rsidRPr="00E046B4" w:rsidRDefault="00E73B21" w:rsidP="00A72547">
            <w:pPr>
              <w:pStyle w:val="ARtabletextright"/>
              <w:spacing w:before="60" w:after="40"/>
              <w:rPr>
                <w:highlight w:val="cyan"/>
              </w:rPr>
            </w:pPr>
            <w:hyperlink w:anchor="Financialinstruments190" w:history="1">
              <w:r>
                <w:rPr>
                  <w:rStyle w:val="Hyperlink"/>
                </w:rPr>
                <w:t>191–192</w:t>
              </w:r>
            </w:hyperlink>
          </w:p>
        </w:tc>
      </w:tr>
    </w:tbl>
    <w:p w14:paraId="7F07C8FC" w14:textId="77777777" w:rsidR="004A2DF7" w:rsidRPr="00CF42FE" w:rsidRDefault="004A2DF7">
      <w:pPr>
        <w:pStyle w:val="ARtablefootnote"/>
      </w:pPr>
      <w:r w:rsidRPr="00CF42FE">
        <w:t>Note: FRD = Financial Reporting Direction; SD = Standing Direction</w:t>
      </w:r>
    </w:p>
    <w:p w14:paraId="68B66A53" w14:textId="77777777" w:rsidR="004A2DF7" w:rsidRPr="00E046B4" w:rsidRDefault="004A2DF7">
      <w:pPr>
        <w:pStyle w:val="ARbody"/>
        <w:rPr>
          <w:highlight w:val="cyan"/>
        </w:rPr>
      </w:pPr>
      <w:bookmarkStart w:id="333" w:name="_Toc462577212"/>
      <w:bookmarkStart w:id="334" w:name="_Ref492894563"/>
      <w:bookmarkStart w:id="335" w:name="_Toc520974736"/>
      <w:bookmarkStart w:id="336" w:name="_Ref525048716"/>
      <w:bookmarkStart w:id="337" w:name="_Ref21862086"/>
      <w:bookmarkStart w:id="338" w:name="_Toc50998474"/>
      <w:bookmarkStart w:id="339" w:name="_Toc110778210"/>
      <w:r w:rsidRPr="00E046B4">
        <w:rPr>
          <w:highlight w:val="cyan"/>
        </w:rPr>
        <w:br w:type="page"/>
      </w:r>
    </w:p>
    <w:p w14:paraId="3919D8E1" w14:textId="77777777" w:rsidR="004A2DF7" w:rsidRPr="00A53F16" w:rsidRDefault="004A2DF7">
      <w:pPr>
        <w:pStyle w:val="Heading3"/>
      </w:pPr>
      <w:r w:rsidRPr="00A53F16">
        <w:lastRenderedPageBreak/>
        <w:t>Full report</w:t>
      </w:r>
      <w:bookmarkEnd w:id="333"/>
      <w:bookmarkEnd w:id="334"/>
      <w:bookmarkEnd w:id="335"/>
      <w:bookmarkEnd w:id="336"/>
      <w:bookmarkEnd w:id="337"/>
      <w:bookmarkEnd w:id="338"/>
      <w:bookmarkEnd w:id="339"/>
    </w:p>
    <w:tbl>
      <w:tblPr>
        <w:tblW w:w="9634"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8217"/>
        <w:gridCol w:w="1417"/>
      </w:tblGrid>
      <w:tr w:rsidR="004A2DF7" w:rsidRPr="00E046B4" w14:paraId="5CAC8A6F" w14:textId="77777777" w:rsidTr="00A36760">
        <w:trPr>
          <w:cantSplit/>
          <w:tblHeader/>
        </w:trPr>
        <w:tc>
          <w:tcPr>
            <w:tcW w:w="8217" w:type="dxa"/>
            <w:tcBorders>
              <w:top w:val="nil"/>
            </w:tcBorders>
          </w:tcPr>
          <w:p w14:paraId="2FA20AB4" w14:textId="77777777" w:rsidR="004A2DF7" w:rsidRPr="00A53F16" w:rsidRDefault="004A2DF7">
            <w:pPr>
              <w:pStyle w:val="ARtablecolhead"/>
            </w:pPr>
            <w:r w:rsidRPr="00A53F16">
              <w:t>Legislation</w:t>
            </w:r>
          </w:p>
        </w:tc>
        <w:tc>
          <w:tcPr>
            <w:tcW w:w="1417" w:type="dxa"/>
            <w:tcBorders>
              <w:top w:val="nil"/>
            </w:tcBorders>
          </w:tcPr>
          <w:p w14:paraId="7681627F" w14:textId="77777777" w:rsidR="004A2DF7" w:rsidRPr="00A53F16" w:rsidRDefault="004A2DF7">
            <w:pPr>
              <w:pStyle w:val="ARtablecolheadright"/>
            </w:pPr>
            <w:r w:rsidRPr="00A53F16">
              <w:t>Page</w:t>
            </w:r>
          </w:p>
        </w:tc>
      </w:tr>
      <w:tr w:rsidR="004A2DF7" w:rsidRPr="00E046B4" w14:paraId="49FD6E9E" w14:textId="77777777" w:rsidTr="00A36760">
        <w:trPr>
          <w:cantSplit/>
        </w:trPr>
        <w:tc>
          <w:tcPr>
            <w:tcW w:w="8217" w:type="dxa"/>
          </w:tcPr>
          <w:p w14:paraId="6247BE88" w14:textId="77777777" w:rsidR="004A2DF7" w:rsidRPr="00264CB3" w:rsidRDefault="004A2DF7">
            <w:pPr>
              <w:pStyle w:val="ARtabletext"/>
              <w:rPr>
                <w:rStyle w:val="Emphasis"/>
              </w:rPr>
            </w:pPr>
            <w:r w:rsidRPr="004D1B31">
              <w:rPr>
                <w:rStyle w:val="Emphasis"/>
              </w:rPr>
              <w:t>Building Act 1993</w:t>
            </w:r>
          </w:p>
        </w:tc>
        <w:tc>
          <w:tcPr>
            <w:tcW w:w="1417" w:type="dxa"/>
          </w:tcPr>
          <w:p w14:paraId="75654B0F" w14:textId="2DDCCC47" w:rsidR="004A2DF7" w:rsidRPr="00E046B4" w:rsidRDefault="003771A1">
            <w:pPr>
              <w:pStyle w:val="ARtabletextright"/>
              <w:rPr>
                <w:highlight w:val="cyan"/>
              </w:rPr>
            </w:pPr>
            <w:hyperlink w:anchor="_Compliance_with_the" w:history="1">
              <w:r w:rsidRPr="003771A1">
                <w:rPr>
                  <w:rStyle w:val="Hyperlink"/>
                </w:rPr>
                <w:t>120</w:t>
              </w:r>
            </w:hyperlink>
          </w:p>
        </w:tc>
      </w:tr>
      <w:tr w:rsidR="004A2DF7" w:rsidRPr="00E046B4" w14:paraId="37338B5D" w14:textId="77777777" w:rsidTr="00A36760">
        <w:trPr>
          <w:cantSplit/>
        </w:trPr>
        <w:tc>
          <w:tcPr>
            <w:tcW w:w="8217" w:type="dxa"/>
          </w:tcPr>
          <w:p w14:paraId="1A897A18" w14:textId="77777777" w:rsidR="004A2DF7" w:rsidRPr="00264CB3" w:rsidRDefault="004A2DF7">
            <w:pPr>
              <w:pStyle w:val="ARtabletext"/>
              <w:rPr>
                <w:rStyle w:val="Emphasis"/>
              </w:rPr>
            </w:pPr>
            <w:r w:rsidRPr="00264CB3">
              <w:rPr>
                <w:rStyle w:val="Emphasis"/>
              </w:rPr>
              <w:t>Carers Recognition Act 2012</w:t>
            </w:r>
          </w:p>
        </w:tc>
        <w:tc>
          <w:tcPr>
            <w:tcW w:w="1417" w:type="dxa"/>
          </w:tcPr>
          <w:p w14:paraId="271DA444" w14:textId="58EC7741" w:rsidR="004A2DF7" w:rsidRPr="00E046B4" w:rsidRDefault="00E73B21">
            <w:pPr>
              <w:pStyle w:val="ARtabletextright"/>
              <w:rPr>
                <w:highlight w:val="cyan"/>
              </w:rPr>
            </w:pPr>
            <w:hyperlink w:anchor="_Compliance_with_the_1" w:history="1">
              <w:r>
                <w:rPr>
                  <w:rStyle w:val="Hyperlink"/>
                </w:rPr>
                <w:t>122</w:t>
              </w:r>
            </w:hyperlink>
          </w:p>
        </w:tc>
      </w:tr>
      <w:tr w:rsidR="004A2DF7" w:rsidRPr="00E046B4" w14:paraId="224CB869" w14:textId="77777777" w:rsidTr="00A36760">
        <w:trPr>
          <w:cantSplit/>
        </w:trPr>
        <w:tc>
          <w:tcPr>
            <w:tcW w:w="8217" w:type="dxa"/>
          </w:tcPr>
          <w:p w14:paraId="4F762D46" w14:textId="77777777" w:rsidR="004A2DF7" w:rsidRPr="00264CB3" w:rsidRDefault="004A2DF7">
            <w:pPr>
              <w:pStyle w:val="ARtabletext"/>
              <w:rPr>
                <w:rStyle w:val="Emphasis"/>
              </w:rPr>
            </w:pPr>
            <w:r w:rsidRPr="00264CB3">
              <w:rPr>
                <w:rStyle w:val="Emphasis"/>
              </w:rPr>
              <w:t>Children, Youth and Families Act 2005</w:t>
            </w:r>
          </w:p>
        </w:tc>
        <w:tc>
          <w:tcPr>
            <w:tcW w:w="1417" w:type="dxa"/>
          </w:tcPr>
          <w:p w14:paraId="03B3C301" w14:textId="0D6EE425" w:rsidR="004A2DF7" w:rsidRPr="00E046B4" w:rsidRDefault="003771A1">
            <w:pPr>
              <w:pStyle w:val="ARtabletextright"/>
              <w:rPr>
                <w:highlight w:val="cyan"/>
              </w:rPr>
            </w:pPr>
            <w:hyperlink w:anchor="_Compliance_with_the_2" w:history="1">
              <w:r>
                <w:rPr>
                  <w:rStyle w:val="Hyperlink"/>
                </w:rPr>
                <w:t>122</w:t>
              </w:r>
            </w:hyperlink>
          </w:p>
        </w:tc>
      </w:tr>
      <w:tr w:rsidR="004A2DF7" w:rsidRPr="00E046B4" w14:paraId="0E254C6F" w14:textId="77777777" w:rsidTr="00A36760">
        <w:trPr>
          <w:cantSplit/>
        </w:trPr>
        <w:tc>
          <w:tcPr>
            <w:tcW w:w="8217" w:type="dxa"/>
          </w:tcPr>
          <w:p w14:paraId="744B4CB6" w14:textId="77777777" w:rsidR="004A2DF7" w:rsidRPr="00264CB3" w:rsidRDefault="004A2DF7">
            <w:pPr>
              <w:pStyle w:val="ARtabletext"/>
              <w:rPr>
                <w:rStyle w:val="Emphasis"/>
              </w:rPr>
            </w:pPr>
            <w:r w:rsidRPr="00264CB3">
              <w:rPr>
                <w:rStyle w:val="Emphasis"/>
              </w:rPr>
              <w:t>Disability Act 2006</w:t>
            </w:r>
          </w:p>
        </w:tc>
        <w:tc>
          <w:tcPr>
            <w:tcW w:w="1417" w:type="dxa"/>
          </w:tcPr>
          <w:p w14:paraId="07CAE7A5" w14:textId="271195D9" w:rsidR="004A2DF7" w:rsidRPr="00E046B4" w:rsidRDefault="00E73B21">
            <w:pPr>
              <w:pStyle w:val="ARtabletextright"/>
              <w:rPr>
                <w:highlight w:val="cyan"/>
              </w:rPr>
            </w:pPr>
            <w:hyperlink w:anchor="_Compliance_with_the_2" w:history="1">
              <w:r>
                <w:rPr>
                  <w:rStyle w:val="Hyperlink"/>
                </w:rPr>
                <w:t>123</w:t>
              </w:r>
            </w:hyperlink>
          </w:p>
        </w:tc>
      </w:tr>
      <w:tr w:rsidR="004A2DF7" w:rsidRPr="00E046B4" w14:paraId="1E7A6D40" w14:textId="77777777" w:rsidTr="00A36760">
        <w:trPr>
          <w:cantSplit/>
        </w:trPr>
        <w:tc>
          <w:tcPr>
            <w:tcW w:w="8217" w:type="dxa"/>
          </w:tcPr>
          <w:p w14:paraId="47F1E73C" w14:textId="77777777" w:rsidR="004A2DF7" w:rsidRPr="00264CB3" w:rsidRDefault="004A2DF7">
            <w:pPr>
              <w:pStyle w:val="ARtabletext"/>
              <w:rPr>
                <w:rStyle w:val="Emphasis"/>
              </w:rPr>
            </w:pPr>
            <w:r w:rsidRPr="00264CB3">
              <w:rPr>
                <w:rStyle w:val="Emphasis"/>
              </w:rPr>
              <w:t>Financial Management Act 1994</w:t>
            </w:r>
          </w:p>
        </w:tc>
        <w:tc>
          <w:tcPr>
            <w:tcW w:w="1417" w:type="dxa"/>
          </w:tcPr>
          <w:p w14:paraId="2640C962" w14:textId="41C5C2F7" w:rsidR="004A2DF7" w:rsidRPr="00E046B4" w:rsidRDefault="00E73B21">
            <w:pPr>
              <w:pStyle w:val="ARtabletextright"/>
              <w:rPr>
                <w:highlight w:val="cyan"/>
              </w:rPr>
            </w:pPr>
            <w:hyperlink w:anchor="FinancialManagementAct1994137" w:history="1">
              <w:r>
                <w:rPr>
                  <w:rStyle w:val="Hyperlink"/>
                </w:rPr>
                <w:t>138</w:t>
              </w:r>
            </w:hyperlink>
          </w:p>
        </w:tc>
      </w:tr>
      <w:tr w:rsidR="004A2DF7" w:rsidRPr="00E046B4" w14:paraId="2BEE81FC" w14:textId="77777777" w:rsidTr="00A36760">
        <w:trPr>
          <w:cantSplit/>
        </w:trPr>
        <w:tc>
          <w:tcPr>
            <w:tcW w:w="8217" w:type="dxa"/>
          </w:tcPr>
          <w:p w14:paraId="59BDF003" w14:textId="77777777" w:rsidR="004A2DF7" w:rsidRPr="00264CB3" w:rsidRDefault="004A2DF7">
            <w:pPr>
              <w:pStyle w:val="ARtabletext"/>
              <w:rPr>
                <w:rStyle w:val="Emphasis"/>
              </w:rPr>
            </w:pPr>
            <w:r w:rsidRPr="00264CB3">
              <w:rPr>
                <w:rStyle w:val="Emphasis"/>
              </w:rPr>
              <w:t>Freedom of Information Act 1982</w:t>
            </w:r>
          </w:p>
        </w:tc>
        <w:tc>
          <w:tcPr>
            <w:tcW w:w="1417" w:type="dxa"/>
          </w:tcPr>
          <w:p w14:paraId="66AD9308" w14:textId="260BDD33" w:rsidR="004A2DF7" w:rsidRPr="00E046B4" w:rsidRDefault="00E73B21">
            <w:pPr>
              <w:pStyle w:val="ARtabletextright"/>
              <w:rPr>
                <w:highlight w:val="cyan"/>
              </w:rPr>
            </w:pPr>
            <w:hyperlink w:anchor="_Freedom_of_information" w:history="1">
              <w:r>
                <w:rPr>
                  <w:rStyle w:val="Hyperlink"/>
                </w:rPr>
                <w:t>125</w:t>
              </w:r>
            </w:hyperlink>
          </w:p>
        </w:tc>
      </w:tr>
      <w:tr w:rsidR="004A2DF7" w:rsidRPr="00E046B4" w14:paraId="49533CEE" w14:textId="77777777" w:rsidTr="00A36760">
        <w:trPr>
          <w:cantSplit/>
        </w:trPr>
        <w:tc>
          <w:tcPr>
            <w:tcW w:w="8217" w:type="dxa"/>
          </w:tcPr>
          <w:p w14:paraId="77FD5F7C" w14:textId="77777777" w:rsidR="004A2DF7" w:rsidRPr="00264CB3" w:rsidRDefault="004A2DF7">
            <w:pPr>
              <w:pStyle w:val="ARtabletext"/>
              <w:rPr>
                <w:rStyle w:val="Emphasis"/>
              </w:rPr>
            </w:pPr>
            <w:r w:rsidRPr="00264CB3">
              <w:rPr>
                <w:rStyle w:val="Emphasis"/>
              </w:rPr>
              <w:t>Local Jobs Act 2003</w:t>
            </w:r>
          </w:p>
        </w:tc>
        <w:tc>
          <w:tcPr>
            <w:tcW w:w="1417" w:type="dxa"/>
          </w:tcPr>
          <w:p w14:paraId="4E450810" w14:textId="13FB98C0" w:rsidR="004A2DF7" w:rsidRPr="00E046B4" w:rsidRDefault="003771A1">
            <w:pPr>
              <w:pStyle w:val="ARtabletextright"/>
              <w:rPr>
                <w:highlight w:val="cyan"/>
              </w:rPr>
            </w:pPr>
            <w:hyperlink w:anchor="_Local_Jobs_First" w:history="1">
              <w:r w:rsidRPr="00A36760">
                <w:rPr>
                  <w:rStyle w:val="Hyperlink"/>
                </w:rPr>
                <w:t>98</w:t>
              </w:r>
            </w:hyperlink>
          </w:p>
        </w:tc>
      </w:tr>
      <w:tr w:rsidR="004A2DF7" w:rsidRPr="00E046B4" w14:paraId="1DF1C36C" w14:textId="77777777" w:rsidTr="00A36760">
        <w:trPr>
          <w:cantSplit/>
        </w:trPr>
        <w:tc>
          <w:tcPr>
            <w:tcW w:w="8217" w:type="dxa"/>
          </w:tcPr>
          <w:p w14:paraId="3CFACBD5" w14:textId="77777777" w:rsidR="004A2DF7" w:rsidRPr="00264CB3" w:rsidRDefault="004A2DF7">
            <w:pPr>
              <w:pStyle w:val="ARtabletext"/>
              <w:rPr>
                <w:rStyle w:val="Emphasis"/>
              </w:rPr>
            </w:pPr>
            <w:r w:rsidRPr="00264CB3">
              <w:rPr>
                <w:rStyle w:val="Emphasis"/>
              </w:rPr>
              <w:t>Public Administration Act 2004</w:t>
            </w:r>
          </w:p>
        </w:tc>
        <w:tc>
          <w:tcPr>
            <w:tcW w:w="1417" w:type="dxa"/>
          </w:tcPr>
          <w:p w14:paraId="7C6A8809" w14:textId="4CF453EE" w:rsidR="004A2DF7" w:rsidRPr="00E046B4" w:rsidRDefault="004D4999">
            <w:pPr>
              <w:pStyle w:val="ARtabletextright"/>
              <w:rPr>
                <w:highlight w:val="cyan"/>
              </w:rPr>
            </w:pPr>
            <w:hyperlink w:anchor="PAA77" w:history="1">
              <w:r w:rsidRPr="00A36760">
                <w:rPr>
                  <w:rStyle w:val="Hyperlink"/>
                </w:rPr>
                <w:t>7</w:t>
              </w:r>
              <w:r w:rsidR="00A36760" w:rsidRPr="00A36760">
                <w:rPr>
                  <w:rStyle w:val="Hyperlink"/>
                </w:rPr>
                <w:t>7</w:t>
              </w:r>
            </w:hyperlink>
            <w:r>
              <w:t xml:space="preserve">, </w:t>
            </w:r>
            <w:hyperlink w:anchor="PAA91" w:history="1">
              <w:r w:rsidRPr="00A36760">
                <w:rPr>
                  <w:rStyle w:val="Hyperlink"/>
                </w:rPr>
                <w:t>9</w:t>
              </w:r>
              <w:r w:rsidR="00A36760" w:rsidRPr="00A36760">
                <w:rPr>
                  <w:rStyle w:val="Hyperlink"/>
                </w:rPr>
                <w:t>1</w:t>
              </w:r>
            </w:hyperlink>
            <w:r>
              <w:t xml:space="preserve">, </w:t>
            </w:r>
            <w:hyperlink w:anchor="PAA148" w:history="1">
              <w:r w:rsidR="00E73B21">
                <w:rPr>
                  <w:rStyle w:val="Hyperlink"/>
                </w:rPr>
                <w:t>149</w:t>
              </w:r>
            </w:hyperlink>
            <w:r>
              <w:t xml:space="preserve">, </w:t>
            </w:r>
            <w:hyperlink w:anchor="PAA212" w:history="1">
              <w:r w:rsidR="00E73B21">
                <w:rPr>
                  <w:rStyle w:val="Hyperlink"/>
                </w:rPr>
                <w:t>213</w:t>
              </w:r>
            </w:hyperlink>
          </w:p>
        </w:tc>
      </w:tr>
      <w:tr w:rsidR="004A2DF7" w:rsidRPr="00E046B4" w14:paraId="31CE1A21" w14:textId="77777777" w:rsidTr="00A36760">
        <w:trPr>
          <w:cantSplit/>
        </w:trPr>
        <w:tc>
          <w:tcPr>
            <w:tcW w:w="8217" w:type="dxa"/>
          </w:tcPr>
          <w:p w14:paraId="5EE2CD57" w14:textId="77777777" w:rsidR="004A2DF7" w:rsidRPr="00264CB3" w:rsidRDefault="004A2DF7">
            <w:pPr>
              <w:pStyle w:val="ARtabletext"/>
              <w:rPr>
                <w:rStyle w:val="Emphasis"/>
              </w:rPr>
            </w:pPr>
            <w:r w:rsidRPr="00264CB3">
              <w:rPr>
                <w:rStyle w:val="Emphasis"/>
              </w:rPr>
              <w:t>Public Interest Disclosure Act 2012</w:t>
            </w:r>
          </w:p>
        </w:tc>
        <w:tc>
          <w:tcPr>
            <w:tcW w:w="1417" w:type="dxa"/>
          </w:tcPr>
          <w:p w14:paraId="3DEC6AE8" w14:textId="52ED81A5" w:rsidR="004A2DF7" w:rsidRPr="00E046B4" w:rsidRDefault="00CE1ED5">
            <w:pPr>
              <w:pStyle w:val="ARtabletextright"/>
              <w:rPr>
                <w:highlight w:val="cyan"/>
              </w:rPr>
            </w:pPr>
            <w:hyperlink w:anchor="Publicinterest121" w:history="1">
              <w:r>
                <w:rPr>
                  <w:rStyle w:val="Hyperlink"/>
                </w:rPr>
                <w:t>121</w:t>
              </w:r>
            </w:hyperlink>
          </w:p>
        </w:tc>
      </w:tr>
      <w:tr w:rsidR="004A2DF7" w:rsidRPr="00E046B4" w14:paraId="3E0003FC" w14:textId="77777777" w:rsidTr="00A36760">
        <w:trPr>
          <w:cantSplit/>
        </w:trPr>
        <w:tc>
          <w:tcPr>
            <w:tcW w:w="8217" w:type="dxa"/>
          </w:tcPr>
          <w:p w14:paraId="4ACD2147" w14:textId="77777777" w:rsidR="004A2DF7" w:rsidRPr="00264CB3" w:rsidRDefault="004A2DF7">
            <w:pPr>
              <w:pStyle w:val="ARtabletext"/>
              <w:rPr>
                <w:rStyle w:val="Emphasis"/>
              </w:rPr>
            </w:pPr>
            <w:r w:rsidRPr="00264CB3">
              <w:rPr>
                <w:rStyle w:val="Emphasis"/>
              </w:rPr>
              <w:t>Victorian Industry Participation Policy Act 2003</w:t>
            </w:r>
          </w:p>
        </w:tc>
        <w:tc>
          <w:tcPr>
            <w:tcW w:w="1417" w:type="dxa"/>
          </w:tcPr>
          <w:p w14:paraId="3A8290F6" w14:textId="056B7D36" w:rsidR="004A2DF7" w:rsidRPr="00E046B4" w:rsidRDefault="00A36760">
            <w:pPr>
              <w:pStyle w:val="ARtabletextright"/>
              <w:rPr>
                <w:highlight w:val="cyan"/>
              </w:rPr>
            </w:pPr>
            <w:hyperlink w:anchor="VIPP98" w:history="1">
              <w:r w:rsidRPr="00A36760">
                <w:rPr>
                  <w:rStyle w:val="Hyperlink"/>
                </w:rPr>
                <w:t>98</w:t>
              </w:r>
            </w:hyperlink>
          </w:p>
        </w:tc>
      </w:tr>
    </w:tbl>
    <w:p w14:paraId="15962E6C" w14:textId="41946975" w:rsidR="0081234A" w:rsidRPr="00BA7805" w:rsidRDefault="0081234A" w:rsidP="006768DE">
      <w:pPr>
        <w:pStyle w:val="ARbody"/>
        <w:rPr>
          <w:highlight w:val="green"/>
        </w:rPr>
      </w:pPr>
    </w:p>
    <w:sectPr w:rsidR="0081234A" w:rsidRPr="00BA7805" w:rsidSect="007F43B1">
      <w:endnotePr>
        <w:numFmt w:val="decimal"/>
      </w:endnotePr>
      <w:pgSz w:w="11900" w:h="16840" w:code="9"/>
      <w:pgMar w:top="1588" w:right="1134" w:bottom="851" w:left="1134" w:header="510" w:footer="340" w:gutter="0"/>
      <w:cols w:space="45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061EF" w14:textId="77777777" w:rsidR="00A95D49" w:rsidRDefault="00A95D49" w:rsidP="0081234A">
      <w:pPr>
        <w:spacing w:after="0" w:line="240" w:lineRule="auto"/>
      </w:pPr>
      <w:r>
        <w:separator/>
      </w:r>
    </w:p>
    <w:p w14:paraId="7729DA79" w14:textId="77777777" w:rsidR="00A95D49" w:rsidRDefault="00A95D49"/>
    <w:p w14:paraId="1BAF4D32" w14:textId="77777777" w:rsidR="00A95D49" w:rsidRDefault="00A95D49"/>
  </w:endnote>
  <w:endnote w:type="continuationSeparator" w:id="0">
    <w:p w14:paraId="0BA26E3D" w14:textId="77777777" w:rsidR="00A95D49" w:rsidRDefault="00A95D49" w:rsidP="0081234A">
      <w:pPr>
        <w:spacing w:after="0" w:line="240" w:lineRule="auto"/>
      </w:pPr>
      <w:r>
        <w:continuationSeparator/>
      </w:r>
    </w:p>
    <w:p w14:paraId="716BC58A" w14:textId="77777777" w:rsidR="00A95D49" w:rsidRDefault="00A95D49"/>
    <w:p w14:paraId="4E8645DA" w14:textId="77777777" w:rsidR="00A95D49" w:rsidRDefault="00A95D49"/>
  </w:endnote>
  <w:endnote w:type="continuationNotice" w:id="1">
    <w:p w14:paraId="0316C1E4" w14:textId="77777777" w:rsidR="00A95D49" w:rsidRDefault="00A95D49">
      <w:pPr>
        <w:spacing w:after="0" w:line="240" w:lineRule="auto"/>
      </w:pPr>
    </w:p>
    <w:p w14:paraId="1B18E9EC" w14:textId="77777777" w:rsidR="00A95D49" w:rsidRDefault="00A95D49"/>
    <w:p w14:paraId="25D2CF04" w14:textId="77777777" w:rsidR="00A95D49" w:rsidRDefault="00A95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lano Grotesque">
    <w:altName w:val="Calibri"/>
    <w:panose1 w:val="00000000000000000000"/>
    <w:charset w:val="00"/>
    <w:family w:val="modern"/>
    <w:notTrueType/>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Segoe UI"/>
    <w:charset w:val="00"/>
    <w:family w:val="auto"/>
    <w:pitch w:val="variable"/>
    <w:sig w:usb0="E1001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vantGarde Bk BT">
    <w:altName w:val="Arial"/>
    <w:panose1 w:val="00000000000000000000"/>
    <w:charset w:val="00"/>
    <w:family w:val="auto"/>
    <w:notTrueType/>
    <w:pitch w:val="variable"/>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Calibri"/>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venir Book">
    <w:altName w:val="Tw Cen MT"/>
    <w:charset w:val="00"/>
    <w:family w:val="auto"/>
    <w:pitch w:val="variable"/>
    <w:sig w:usb0="800000AF" w:usb1="5000204A" w:usb2="00000000" w:usb3="00000000" w:csb0="0000009B" w:csb1="00000000"/>
  </w:font>
  <w:font w:name="VIC">
    <w:altName w:val="Calibri"/>
    <w:panose1 w:val="00000500000000000000"/>
    <w:charset w:val="00"/>
    <w:family w:val="auto"/>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39041" w14:textId="77777777" w:rsidR="00AD7FE0" w:rsidRDefault="00AD7FE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CB70" w14:textId="77777777" w:rsidR="0064038E" w:rsidRDefault="0064038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9B8F" w14:textId="77777777" w:rsidR="0064038E" w:rsidRDefault="0064038E">
    <w:pPr>
      <w:pStyle w:val="Footer"/>
    </w:pPr>
    <w:r>
      <w:rPr>
        <w:noProof/>
      </w:rPr>
      <mc:AlternateContent>
        <mc:Choice Requires="wps">
          <w:drawing>
            <wp:anchor distT="0" distB="0" distL="0" distR="0" simplePos="0" relativeHeight="251658241" behindDoc="0" locked="0" layoutInCell="1" allowOverlap="1" wp14:anchorId="289C7677" wp14:editId="15797C23">
              <wp:simplePos x="635" y="635"/>
              <wp:positionH relativeFrom="page">
                <wp:align>center</wp:align>
              </wp:positionH>
              <wp:positionV relativeFrom="page">
                <wp:align>bottom</wp:align>
              </wp:positionV>
              <wp:extent cx="457200" cy="352425"/>
              <wp:effectExtent l="0" t="0" r="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47454810" w14:textId="77777777" w:rsidR="0064038E" w:rsidRPr="007A5D8C" w:rsidRDefault="0064038E">
                          <w:pPr>
                            <w:spacing w:after="0"/>
                            <w:rPr>
                              <w:rFonts w:ascii="Calibri" w:eastAsia="Calibri" w:hAnsi="Calibri" w:cs="Calibri"/>
                              <w:noProof/>
                              <w:color w:val="000000"/>
                              <w:sz w:val="20"/>
                              <w:szCs w:val="20"/>
                            </w:rPr>
                          </w:pPr>
                          <w:r w:rsidRPr="007A5D8C">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9C7677" id="_x0000_t202" coordsize="21600,21600" o:spt="202" path="m,l,21600r21600,l21600,xe">
              <v:stroke joinstyle="miter"/>
              <v:path gradientshapeok="t" o:connecttype="rect"/>
            </v:shapetype>
            <v:shape id="Text Box 2" o:spid="_x0000_s1027" type="#_x0000_t202" alt="OFFICIAL" style="position:absolute;margin-left:0;margin-top:0;width:36pt;height:27.7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" filled="f" stroked="f">
              <v:textbox style="mso-fit-shape-to-text:t" inset="0,0,0,15pt">
                <w:txbxContent>
                  <w:p w14:paraId="47454810" w14:textId="77777777" w:rsidR="0064038E" w:rsidRPr="007A5D8C" w:rsidRDefault="0064038E">
                    <w:pPr>
                      <w:spacing w:after="0"/>
                      <w:rPr>
                        <w:rFonts w:ascii="Calibri" w:eastAsia="Calibri" w:hAnsi="Calibri" w:cs="Calibri"/>
                        <w:noProof/>
                        <w:color w:val="000000"/>
                        <w:sz w:val="20"/>
                        <w:szCs w:val="20"/>
                      </w:rPr>
                    </w:pPr>
                    <w:r w:rsidRPr="007A5D8C">
                      <w:rPr>
                        <w:rFonts w:ascii="Calibri" w:eastAsia="Calibri" w:hAnsi="Calibri" w:cs="Calibri"/>
                        <w:noProof/>
                        <w:color w:val="000000"/>
                        <w:sz w:val="20"/>
                        <w:szCs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5F55" w14:textId="148D8073" w:rsidR="0064038E" w:rsidRDefault="0064038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BBCA" w14:textId="77777777" w:rsidR="0064038E" w:rsidRDefault="0064038E">
    <w:pPr>
      <w:pStyle w:val="Footer"/>
    </w:pPr>
    <w:r>
      <w:rPr>
        <w:noProof/>
      </w:rPr>
      <mc:AlternateContent>
        <mc:Choice Requires="wps">
          <w:drawing>
            <wp:anchor distT="0" distB="0" distL="0" distR="0" simplePos="0" relativeHeight="251658240" behindDoc="0" locked="0" layoutInCell="1" allowOverlap="1" wp14:anchorId="6C3A3F33" wp14:editId="119776E0">
              <wp:simplePos x="635" y="635"/>
              <wp:positionH relativeFrom="page">
                <wp:align>center</wp:align>
              </wp:positionH>
              <wp:positionV relativeFrom="page">
                <wp:align>bottom</wp:align>
              </wp:positionV>
              <wp:extent cx="457200" cy="352425"/>
              <wp:effectExtent l="0" t="0" r="0" b="0"/>
              <wp:wrapNone/>
              <wp:docPr id="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05AE6DD2" w14:textId="77777777" w:rsidR="0064038E" w:rsidRPr="007A5D8C" w:rsidRDefault="0064038E">
                          <w:pPr>
                            <w:spacing w:after="0"/>
                            <w:rPr>
                              <w:rFonts w:ascii="Calibri" w:eastAsia="Calibri" w:hAnsi="Calibri" w:cs="Calibri"/>
                              <w:noProof/>
                              <w:color w:val="000000"/>
                              <w:sz w:val="20"/>
                              <w:szCs w:val="20"/>
                            </w:rPr>
                          </w:pPr>
                          <w:r w:rsidRPr="007A5D8C">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3A3F33" id="_x0000_t202" coordsize="21600,21600" o:spt="202" path="m,l,21600r21600,l21600,xe">
              <v:stroke joinstyle="miter"/>
              <v:path gradientshapeok="t" o:connecttype="rect"/>
            </v:shapetype>
            <v:shape id="Text Box 1" o:spid="_x0000_s1028" type="#_x0000_t202" alt="OFFICIAL" style="position:absolute;margin-left:0;margin-top:0;width:36pt;height:27.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16DgIAABw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" filled="f" stroked="f">
              <v:textbox style="mso-fit-shape-to-text:t" inset="0,0,0,15pt">
                <w:txbxContent>
                  <w:p w14:paraId="05AE6DD2" w14:textId="77777777" w:rsidR="0064038E" w:rsidRPr="007A5D8C" w:rsidRDefault="0064038E">
                    <w:pPr>
                      <w:spacing w:after="0"/>
                      <w:rPr>
                        <w:rFonts w:ascii="Calibri" w:eastAsia="Calibri" w:hAnsi="Calibri" w:cs="Calibri"/>
                        <w:noProof/>
                        <w:color w:val="000000"/>
                        <w:sz w:val="20"/>
                        <w:szCs w:val="20"/>
                      </w:rPr>
                    </w:pPr>
                    <w:r w:rsidRPr="007A5D8C">
                      <w:rPr>
                        <w:rFonts w:ascii="Calibri" w:eastAsia="Calibri" w:hAnsi="Calibri" w:cs="Calibri"/>
                        <w:noProof/>
                        <w:color w:val="000000"/>
                        <w:sz w:val="20"/>
                        <w:szCs w:val="20"/>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3FAED" w14:textId="32978316" w:rsidR="007D61FB" w:rsidRPr="0054696F" w:rsidRDefault="007D61FB" w:rsidP="0054696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8660A" w14:textId="77777777" w:rsidR="00F844B4" w:rsidRDefault="00F844B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AA37" w14:textId="77777777" w:rsidR="00F844B4" w:rsidRPr="00813E68" w:rsidRDefault="00F844B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686D" w14:textId="77777777" w:rsidR="00F844B4" w:rsidRDefault="00F844B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C973" w14:textId="77777777" w:rsidR="00F844B4" w:rsidRDefault="00F844B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6867" w14:textId="77777777" w:rsidR="00F844B4" w:rsidRDefault="00F84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ADD1" w14:textId="77777777" w:rsidR="00AD7FE0" w:rsidRDefault="00AD7FE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A082" w14:textId="77777777" w:rsidR="00F844B4" w:rsidRDefault="00F844B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9D358" w14:textId="77777777" w:rsidR="00F844B4" w:rsidRDefault="00F844B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6A883" w14:textId="77777777" w:rsidR="00AC3C57" w:rsidRDefault="00AC3C5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A24E" w14:textId="77777777" w:rsidR="00AC3C57" w:rsidRDefault="00AC3C5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763E" w14:textId="77777777" w:rsidR="00AC3C57" w:rsidRDefault="00AC3C5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7F94" w14:textId="77777777" w:rsidR="00AC3C57" w:rsidRDefault="00AC3C5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4EF5" w14:textId="77777777" w:rsidR="00AC3C57" w:rsidRDefault="00AC3C5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955C" w14:textId="77777777" w:rsidR="00AC3C57" w:rsidRDefault="00AC3C5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7D20" w14:textId="77777777" w:rsidR="00AC3C57" w:rsidRDefault="00AC3C5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2387" w14:textId="77777777" w:rsidR="00AC3C57" w:rsidRDefault="00AC3C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BABA" w14:textId="77777777" w:rsidR="00AD7FE0" w:rsidRDefault="00AD7FE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72955" w14:textId="77777777" w:rsidR="00AC3C57" w:rsidRDefault="00AC3C5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9943" w14:textId="77777777" w:rsidR="00AC3C57" w:rsidRDefault="00AC3C5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5AC5C" w14:textId="77777777" w:rsidR="00AC3C57" w:rsidRDefault="00AC3C5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AA02" w14:textId="77777777" w:rsidR="00AC3C57" w:rsidRDefault="00AC3C5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89A2" w14:textId="77777777" w:rsidR="00AC3C57" w:rsidRDefault="00AC3C5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411CB" w14:textId="77777777" w:rsidR="00AC3C57" w:rsidRDefault="00AC3C5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0455" w14:textId="77777777" w:rsidR="00AC3C57" w:rsidRDefault="00AC3C5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09CDF" w14:textId="77777777" w:rsidR="00AC3C57" w:rsidRDefault="00AC3C5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72FC" w14:textId="77777777" w:rsidR="00AC3C57" w:rsidRDefault="00AC3C5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E961" w14:textId="77777777" w:rsidR="00AC3C57" w:rsidRDefault="00AC3C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49ED6" w14:textId="77777777" w:rsidR="00AD7FE0" w:rsidRDefault="00AD7FE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55FEC" w14:textId="77777777" w:rsidR="00AC3C57" w:rsidRDefault="00AC3C5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18A9D" w14:textId="77777777" w:rsidR="00AC3C57" w:rsidRDefault="00AC3C5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9CCE" w14:textId="77777777" w:rsidR="00265792" w:rsidRDefault="0026579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BFA3" w14:textId="77777777" w:rsidR="00265792" w:rsidRDefault="0026579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A743" w14:textId="77777777" w:rsidR="00265792" w:rsidRDefault="0026579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9904" w14:textId="77777777" w:rsidR="00265792" w:rsidRPr="00DA017A" w:rsidRDefault="0026579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53F82" w14:textId="77777777" w:rsidR="00265792" w:rsidRPr="00DA017A" w:rsidRDefault="0026579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FB1C4" w14:textId="77777777" w:rsidR="00265792" w:rsidRPr="00DA017A" w:rsidRDefault="0026579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0481" w14:textId="77777777" w:rsidR="00265792" w:rsidRPr="005A66F9" w:rsidRDefault="0026579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75AA5" w14:textId="77777777" w:rsidR="00265792" w:rsidRPr="005A66F9" w:rsidRDefault="002657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03B96" w14:textId="77777777" w:rsidR="00AD7FE0" w:rsidRDefault="00AD7FE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CF8A" w14:textId="77777777" w:rsidR="004A2DF7" w:rsidRPr="005A66F9" w:rsidRDefault="004A2D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2DC6" w14:textId="77777777" w:rsidR="0081234A" w:rsidRDefault="0081234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4408B" w14:textId="512BFD10" w:rsidR="0081234A" w:rsidRDefault="0081234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463CC" w14:textId="34B77F34" w:rsidR="0081234A" w:rsidRDefault="0081234A">
    <w:pPr>
      <w:pStyle w:val="Footer"/>
    </w:pPr>
    <w:r>
      <w:rPr>
        <w:noProof/>
      </w:rPr>
      <mc:AlternateContent>
        <mc:Choice Requires="wps">
          <w:drawing>
            <wp:inline distT="0" distB="0" distL="0" distR="0" wp14:anchorId="7E97BB23" wp14:editId="3C615BF5">
              <wp:extent cx="7772400" cy="502285"/>
              <wp:effectExtent l="0" t="0" r="0" b="12065"/>
              <wp:docPr id="19" name="Text Box 19" descr="{&quot;HashCode&quot;:327967821,&quot;Height&quot;:9999999.0,&quot;Width&quot;:9999999.0,&quot;Placement&quot;:&quot;Footer&quot;,&quot;Index&quot;:&quot;FirstPage&quot;,&quot;Section&quot;:1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4057EE" w14:textId="168A1A1A" w:rsidR="0081234A" w:rsidRPr="0081234A" w:rsidRDefault="0081234A" w:rsidP="0081234A">
                          <w:pPr>
                            <w:spacing w:after="0"/>
                            <w:jc w:val="center"/>
                            <w:rPr>
                              <w:rFonts w:ascii="Arial Black" w:hAnsi="Arial Black"/>
                              <w:color w:val="E4100E"/>
                              <w:sz w:val="20"/>
                            </w:rPr>
                          </w:pPr>
                          <w:r w:rsidRPr="0081234A">
                            <w:rPr>
                              <w:rFonts w:ascii="Arial Black" w:hAnsi="Arial Black"/>
                              <w:color w:val="E4100E"/>
                              <w:sz w:val="20"/>
                            </w:rPr>
                            <w:t>PROTECTED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shapetype w14:anchorId="7E97BB23" id="_x0000_t202" coordsize="21600,21600" o:spt="202" path="m,l,21600r21600,l21600,xe">
              <v:stroke joinstyle="miter"/>
              <v:path gradientshapeok="t" o:connecttype="rect"/>
            </v:shapetype>
            <v:shape id="Text Box 19" o:spid="_x0000_s1026" type="#_x0000_t202" alt="{&quot;HashCode&quot;:327967821,&quot;Height&quot;:9999999.0,&quot;Width&quot;:9999999.0,&quot;Placement&quot;:&quot;Footer&quot;,&quot;Index&quot;:&quot;FirstPage&quot;,&quot;Section&quot;:16,&quot;Top&quot;:0.0,&quot;Left&quot;:0.0}" style="width:612pt;height:3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filled="f" stroked="f" strokeweight=".5pt">
              <v:textbox inset=",0,,0">
                <w:txbxContent>
                  <w:p w14:paraId="1C4057EE" w14:textId="168A1A1A" w:rsidR="0081234A" w:rsidRPr="0081234A" w:rsidRDefault="0081234A" w:rsidP="0081234A">
                    <w:pPr>
                      <w:spacing w:after="0"/>
                      <w:jc w:val="center"/>
                      <w:rPr>
                        <w:rFonts w:ascii="Arial Black" w:hAnsi="Arial Black"/>
                        <w:color w:val="E4100E"/>
                        <w:sz w:val="20"/>
                      </w:rPr>
                    </w:pPr>
                    <w:r w:rsidRPr="0081234A">
                      <w:rPr>
                        <w:rFonts w:ascii="Arial Black" w:hAnsi="Arial Black"/>
                        <w:color w:val="E4100E"/>
                        <w:sz w:val="20"/>
                      </w:rPr>
                      <w:t>PROTECTED</w:t>
                    </w:r>
                  </w:p>
                </w:txbxContent>
              </v:textbox>
              <w10:anchorlock/>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6034" w14:textId="77777777" w:rsidR="0064038E" w:rsidRDefault="00640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7C2F1" w14:textId="77777777" w:rsidR="00A95D49" w:rsidRDefault="00A95D49" w:rsidP="0081234A">
      <w:pPr>
        <w:spacing w:after="0" w:line="240" w:lineRule="auto"/>
      </w:pPr>
      <w:r>
        <w:separator/>
      </w:r>
    </w:p>
  </w:footnote>
  <w:footnote w:type="continuationSeparator" w:id="0">
    <w:p w14:paraId="58700173" w14:textId="77777777" w:rsidR="00A95D49" w:rsidRDefault="00A95D49" w:rsidP="0081234A">
      <w:pPr>
        <w:spacing w:after="0" w:line="240" w:lineRule="auto"/>
      </w:pPr>
      <w:r>
        <w:continuationSeparator/>
      </w:r>
    </w:p>
    <w:p w14:paraId="5BF479BC" w14:textId="77777777" w:rsidR="00A95D49" w:rsidRDefault="00A95D49"/>
    <w:p w14:paraId="4CEEFCC9" w14:textId="77777777" w:rsidR="00A95D49" w:rsidRDefault="00A95D49"/>
  </w:footnote>
  <w:footnote w:type="continuationNotice" w:id="1">
    <w:p w14:paraId="350AABF3" w14:textId="77777777" w:rsidR="00A95D49" w:rsidRDefault="00A95D49">
      <w:pPr>
        <w:spacing w:after="0" w:line="240" w:lineRule="auto"/>
      </w:pPr>
    </w:p>
    <w:p w14:paraId="75735FBE" w14:textId="77777777" w:rsidR="00A95D49" w:rsidRDefault="00A95D49"/>
    <w:p w14:paraId="662CED63" w14:textId="77777777" w:rsidR="00A95D49" w:rsidRDefault="00A95D49"/>
  </w:footnote>
  <w:footnote w:id="2">
    <w:p w14:paraId="79D5C6CF" w14:textId="0F955175" w:rsidR="00F14141" w:rsidRPr="001A614A" w:rsidRDefault="00F14141" w:rsidP="001A614A">
      <w:pPr>
        <w:pStyle w:val="FootnoteText"/>
      </w:pPr>
      <w:r w:rsidRPr="001A614A">
        <w:rPr>
          <w:rStyle w:val="FootnoteReference"/>
          <w:vertAlign w:val="baseline"/>
        </w:rPr>
        <w:footnoteRef/>
      </w:r>
      <w:r w:rsidRPr="001A614A">
        <w:t xml:space="preserve"> </w:t>
      </w:r>
      <w:r w:rsidR="001A614A">
        <w:tab/>
      </w:r>
      <w:r w:rsidRPr="001A614A">
        <w:t>creativecommons.org/licenses/by/4.0/</w:t>
      </w:r>
      <w:proofErr w:type="spellStart"/>
      <w:r w:rsidRPr="001A614A">
        <w:t>legalcode</w:t>
      </w:r>
      <w:proofErr w:type="spellEnd"/>
    </w:p>
  </w:footnote>
  <w:footnote w:id="3">
    <w:p w14:paraId="064E330E" w14:textId="4D7D0346" w:rsidR="00451BA5" w:rsidRPr="00B55528" w:rsidRDefault="00451BA5">
      <w:pPr>
        <w:pStyle w:val="FootnoteText"/>
        <w:rPr>
          <w:lang w:val="en-AU"/>
        </w:rPr>
      </w:pPr>
      <w:r w:rsidRPr="001A614A">
        <w:footnoteRef/>
      </w:r>
      <w:r w:rsidRPr="001A614A">
        <w:t xml:space="preserve"> </w:t>
      </w:r>
      <w:r w:rsidR="001A614A">
        <w:tab/>
      </w:r>
      <w:r w:rsidRPr="001A614A">
        <w:t>www</w:t>
      </w:r>
      <w:r w:rsidRPr="00E24962">
        <w:t>.dffh.vic.gov.au/publications/annual-reports-department-families-fairness-housing</w:t>
      </w:r>
    </w:p>
  </w:footnote>
  <w:footnote w:id="4">
    <w:p w14:paraId="7A423F2C" w14:textId="7C4C79E8" w:rsidR="009A30E7" w:rsidRPr="009A30E7" w:rsidRDefault="009A30E7">
      <w:pPr>
        <w:pStyle w:val="FootnoteText"/>
        <w:rPr>
          <w:lang w:val="en-US"/>
        </w:rPr>
      </w:pPr>
      <w:r w:rsidRPr="009A30E7">
        <w:footnoteRef/>
      </w:r>
      <w:r>
        <w:t xml:space="preserve"> </w:t>
      </w:r>
      <w:r w:rsidR="00E67449">
        <w:tab/>
      </w:r>
      <w:r w:rsidR="007F302E" w:rsidRPr="007F302E">
        <w:t>https://vahhf.org.au/resources/ahhf-publications/</w:t>
      </w:r>
    </w:p>
  </w:footnote>
  <w:footnote w:id="5">
    <w:p w14:paraId="74A1BB3A" w14:textId="14E56F0E" w:rsidR="004C480B" w:rsidRPr="001A614A" w:rsidRDefault="004C480B" w:rsidP="001A614A">
      <w:pPr>
        <w:pStyle w:val="FootnoteText"/>
      </w:pPr>
      <w:r w:rsidRPr="001A614A">
        <w:rPr>
          <w:rStyle w:val="FootnoteReference"/>
          <w:vertAlign w:val="baseline"/>
        </w:rPr>
        <w:footnoteRef/>
      </w:r>
      <w:r w:rsidRPr="001A614A">
        <w:t xml:space="preserve"> </w:t>
      </w:r>
      <w:r w:rsidR="001A614A">
        <w:tab/>
      </w:r>
      <w:r w:rsidRPr="001A614A">
        <w:t>www.dffh.vic.gov.au/our-leadership-charter</w:t>
      </w:r>
    </w:p>
  </w:footnote>
  <w:footnote w:id="6">
    <w:p w14:paraId="2E4A111F" w14:textId="059F526C" w:rsidR="0064038E" w:rsidRPr="007A1B47" w:rsidRDefault="0064038E">
      <w:pPr>
        <w:pStyle w:val="FootnoteText"/>
        <w:rPr>
          <w:lang w:val="en-AU"/>
        </w:rPr>
      </w:pPr>
      <w:r w:rsidRPr="00B12785" w:rsidDel="007A1B47">
        <w:footnoteRef/>
      </w:r>
      <w:r w:rsidRPr="00B12785">
        <w:t xml:space="preserve"> </w:t>
      </w:r>
      <w:r w:rsidRPr="00B12785">
        <w:tab/>
      </w:r>
      <w:r w:rsidRPr="00B12785">
        <w:t>Department</w:t>
      </w:r>
      <w:r>
        <w:rPr>
          <w:iCs/>
        </w:rPr>
        <w:t xml:space="preserve"> of Treasury and Finance (2025) </w:t>
      </w:r>
      <w:r w:rsidRPr="00D57F62">
        <w:rPr>
          <w:rStyle w:val="Emphasis"/>
        </w:rPr>
        <w:t>2024–25 Budget Paper No. 3 – Service Delivery</w:t>
      </w:r>
      <w:r>
        <w:rPr>
          <w:i/>
        </w:rPr>
        <w:t>,</w:t>
      </w:r>
      <w:r w:rsidRPr="00670E4D" w:rsidDel="009A1B2B">
        <w:rPr>
          <w:i/>
        </w:rPr>
        <w:t xml:space="preserve"> </w:t>
      </w:r>
      <w:r>
        <w:rPr>
          <w:iCs/>
        </w:rPr>
        <w:t>State of Victoria, Melbourne.</w:t>
      </w:r>
    </w:p>
  </w:footnote>
  <w:footnote w:id="7">
    <w:p w14:paraId="13EAC1EF" w14:textId="7F568E40" w:rsidR="004C480B" w:rsidRPr="001A614A" w:rsidRDefault="004C480B" w:rsidP="001A614A">
      <w:pPr>
        <w:pStyle w:val="FootnoteText"/>
      </w:pPr>
      <w:r w:rsidRPr="001A614A">
        <w:rPr>
          <w:rStyle w:val="FootnoteReference"/>
          <w:vertAlign w:val="baseline"/>
        </w:rPr>
        <w:footnoteRef/>
      </w:r>
      <w:r w:rsidRPr="001A614A">
        <w:t xml:space="preserve"> </w:t>
      </w:r>
      <w:r w:rsidR="001A614A">
        <w:tab/>
      </w:r>
      <w:r w:rsidRPr="001A614A">
        <w:t>https://menu.dffh.vic.gov.au/</w:t>
      </w:r>
    </w:p>
  </w:footnote>
  <w:footnote w:id="8">
    <w:p w14:paraId="3CD80BB1" w14:textId="1E8584C9" w:rsidR="0064038E" w:rsidRPr="0064038E" w:rsidRDefault="0064038E">
      <w:pPr>
        <w:pStyle w:val="FootnoteText"/>
        <w:rPr>
          <w:lang w:val="en-AU"/>
        </w:rPr>
      </w:pPr>
      <w:r w:rsidRPr="00217350">
        <w:footnoteRef/>
      </w:r>
      <w:r w:rsidRPr="00217350">
        <w:t xml:space="preserve"> </w:t>
      </w:r>
      <w:r w:rsidR="00D57F62">
        <w:tab/>
      </w:r>
      <w:r w:rsidRPr="00217350">
        <w:t>Data for the year ending</w:t>
      </w:r>
      <w:r>
        <w:rPr>
          <w:lang w:val="en-AU"/>
        </w:rPr>
        <w:t xml:space="preserve"> in March 2025. </w:t>
      </w:r>
    </w:p>
  </w:footnote>
  <w:footnote w:id="9">
    <w:p w14:paraId="4B9E2608" w14:textId="57141DCB" w:rsidR="003E5CE6" w:rsidRPr="00BC46B2" w:rsidRDefault="003E5CE6" w:rsidP="00037824">
      <w:pPr>
        <w:pStyle w:val="FootnoteText"/>
        <w:ind w:left="227" w:hanging="227"/>
        <w:rPr>
          <w:szCs w:val="16"/>
          <w:lang w:val="en-AU"/>
        </w:rPr>
      </w:pPr>
      <w:r w:rsidRPr="00BC46B2">
        <w:rPr>
          <w:rStyle w:val="FootnoteReference"/>
          <w:szCs w:val="16"/>
          <w:vertAlign w:val="baseline"/>
        </w:rPr>
        <w:footnoteRef/>
      </w:r>
      <w:r w:rsidRPr="00BC46B2">
        <w:rPr>
          <w:szCs w:val="16"/>
        </w:rPr>
        <w:t xml:space="preserve"> </w:t>
      </w:r>
      <w:r w:rsidR="00037824">
        <w:rPr>
          <w:szCs w:val="16"/>
        </w:rPr>
        <w:t xml:space="preserve">  </w:t>
      </w:r>
      <w:r w:rsidR="00060865" w:rsidRPr="00BC46B2">
        <w:rPr>
          <w:i/>
          <w:iCs/>
          <w:sz w:val="18"/>
        </w:rPr>
        <w:t>Part 2</w:t>
      </w:r>
      <w:r w:rsidR="00BF2012" w:rsidRPr="00BC46B2">
        <w:rPr>
          <w:i/>
          <w:iCs/>
          <w:sz w:val="18"/>
        </w:rPr>
        <w:t xml:space="preserve">: </w:t>
      </w:r>
      <w:r w:rsidR="00060865" w:rsidRPr="00BC46B2">
        <w:rPr>
          <w:i/>
          <w:iCs/>
          <w:sz w:val="18"/>
        </w:rPr>
        <w:t>Classification data</w:t>
      </w:r>
      <w:r w:rsidR="00060865" w:rsidRPr="00BC46B2">
        <w:rPr>
          <w:sz w:val="18"/>
        </w:rPr>
        <w:t xml:space="preserve"> </w:t>
      </w:r>
      <w:r w:rsidR="00060865" w:rsidRPr="00BC46B2">
        <w:rPr>
          <w:sz w:val="18"/>
          <w:lang w:val="en-AU"/>
        </w:rPr>
        <w:t>includes all classified Child Protection Practitioners (CPP) within DFFH. The CPP headcount and full-time equivalent numbers fluctuate throughout the year based on recruitment and attrition. Collectively, the full-time equivalent number of CPPs in statutory intervention positions (CPP3-6) has increased.</w:t>
      </w:r>
    </w:p>
  </w:footnote>
  <w:footnote w:id="10">
    <w:p w14:paraId="505876DA" w14:textId="4951691C" w:rsidR="00F844B4" w:rsidRPr="00622FF4" w:rsidRDefault="00F844B4">
      <w:pPr>
        <w:pStyle w:val="FootnoteText"/>
        <w:rPr>
          <w:lang w:val="en-AU"/>
        </w:rPr>
      </w:pPr>
      <w:r w:rsidRPr="004021B8">
        <w:footnoteRef/>
      </w:r>
      <w:r w:rsidRPr="004021B8">
        <w:t xml:space="preserve"> </w:t>
      </w:r>
      <w:r w:rsidR="004C0D42">
        <w:tab/>
      </w:r>
      <w:r w:rsidRPr="004021B8">
        <w:t>Data provided</w:t>
      </w:r>
      <w:r>
        <w:rPr>
          <w:lang w:val="en-AU"/>
        </w:rPr>
        <w:t xml:space="preserve"> by WorkSafe Victoria.</w:t>
      </w:r>
    </w:p>
  </w:footnote>
  <w:footnote w:id="11">
    <w:p w14:paraId="6CD4728B" w14:textId="77777777" w:rsidR="00F844B4" w:rsidRPr="00F40A64" w:rsidRDefault="00F844B4">
      <w:pPr>
        <w:pStyle w:val="FootnoteText"/>
      </w:pPr>
      <w:r w:rsidRPr="00F40A64">
        <w:footnoteRef/>
      </w:r>
      <w:r w:rsidRPr="00F40A64">
        <w:tab/>
      </w:r>
      <w:r w:rsidRPr="00F40A64">
        <w:t>Claims that have</w:t>
      </w:r>
      <w:r w:rsidRPr="00F40A64">
        <w:rPr>
          <w:lang w:val="en-AU"/>
        </w:rPr>
        <w:t xml:space="preserve"> </w:t>
      </w:r>
      <w:r w:rsidRPr="00F40A64">
        <w:t>exceeded the employer excess (days or dollars), or</w:t>
      </w:r>
      <w:r w:rsidRPr="00F40A64">
        <w:rPr>
          <w:lang w:val="en-AU"/>
        </w:rPr>
        <w:t xml:space="preserve"> </w:t>
      </w:r>
      <w:r w:rsidRPr="00F40A64">
        <w:t>are open claims that have been received but have no</w:t>
      </w:r>
      <w:r>
        <w:rPr>
          <w:lang w:val="en-US"/>
        </w:rPr>
        <w:t xml:space="preserve"> </w:t>
      </w:r>
      <w:r w:rsidRPr="00F40A64">
        <w:t>payments to date and may be rejected.</w:t>
      </w:r>
    </w:p>
  </w:footnote>
  <w:footnote w:id="12">
    <w:p w14:paraId="2D3B272C" w14:textId="77777777" w:rsidR="00F844B4" w:rsidRPr="00F40A64" w:rsidRDefault="00F844B4">
      <w:pPr>
        <w:pStyle w:val="FootnoteText"/>
      </w:pPr>
      <w:r w:rsidRPr="00F40A64">
        <w:footnoteRef/>
      </w:r>
      <w:r w:rsidRPr="00F40A64">
        <w:tab/>
      </w:r>
      <w:r w:rsidRPr="00F40A64">
        <w:t>Claims that involve more than 13 weeks of weekly benefits paid.</w:t>
      </w:r>
    </w:p>
  </w:footnote>
  <w:footnote w:id="13">
    <w:p w14:paraId="515A9362" w14:textId="77777777" w:rsidR="00F844B4" w:rsidRPr="00F40A64" w:rsidRDefault="00F844B4">
      <w:pPr>
        <w:pStyle w:val="FootnoteText"/>
        <w:rPr>
          <w:lang w:val="en-AU"/>
        </w:rPr>
      </w:pPr>
      <w:r w:rsidRPr="00F40A64">
        <w:footnoteRef/>
      </w:r>
      <w:r w:rsidRPr="00F40A64">
        <w:rPr>
          <w:lang w:val="en-AU"/>
        </w:rPr>
        <w:tab/>
        <w:t>Data based on total number of sick leave hours recorded by employees.</w:t>
      </w:r>
    </w:p>
  </w:footnote>
  <w:footnote w:id="14">
    <w:p w14:paraId="1AD4EC9F" w14:textId="77777777" w:rsidR="00F844B4" w:rsidRPr="00A3006A" w:rsidRDefault="00F844B4">
      <w:pPr>
        <w:pStyle w:val="FootnoteText"/>
      </w:pPr>
      <w:r w:rsidRPr="00F40A64">
        <w:footnoteRef/>
      </w:r>
      <w:r w:rsidRPr="00F40A64">
        <w:tab/>
      </w:r>
      <w:r w:rsidRPr="00F40A64">
        <w:t>Refers to health</w:t>
      </w:r>
      <w:r w:rsidRPr="008D6866">
        <w:t xml:space="preserve"> and</w:t>
      </w:r>
      <w:r w:rsidRPr="00F40A64">
        <w:t xml:space="preserve"> safety</w:t>
      </w:r>
      <w:r>
        <w:t>-related</w:t>
      </w:r>
      <w:r w:rsidRPr="00F40A64">
        <w:t xml:space="preserve"> prosecutions.</w:t>
      </w:r>
    </w:p>
  </w:footnote>
  <w:footnote w:id="15">
    <w:p w14:paraId="75865751" w14:textId="77777777" w:rsidR="00F844B4" w:rsidRPr="00D616D8" w:rsidRDefault="00F844B4">
      <w:pPr>
        <w:pStyle w:val="FootnoteText"/>
        <w:rPr>
          <w:highlight w:val="yellow"/>
        </w:rPr>
      </w:pPr>
      <w:r w:rsidRPr="00A3006A">
        <w:footnoteRef/>
      </w:r>
      <w:r w:rsidRPr="00A3006A">
        <w:tab/>
      </w:r>
      <w:r w:rsidRPr="00A3006A">
        <w:t xml:space="preserve">Estimated average cost per standardised claim, incorporating payments to date and estimated future payments for period 1 April to 30 March. As at extraction date 1 July 2005, the average cost per standard claim for 2022–23 is $219,925 and for 2023–2024 is $194,738. </w:t>
      </w:r>
    </w:p>
  </w:footnote>
  <w:footnote w:id="16">
    <w:p w14:paraId="3DD0AA2C" w14:textId="77777777" w:rsidR="00F844B4" w:rsidRPr="00F40A64" w:rsidRDefault="00F844B4">
      <w:pPr>
        <w:pStyle w:val="FootnoteText"/>
        <w:rPr>
          <w:lang w:val="en-AU"/>
        </w:rPr>
      </w:pPr>
      <w:r w:rsidRPr="00F40A64">
        <w:footnoteRef/>
      </w:r>
      <w:r w:rsidRPr="00F40A64">
        <w:t xml:space="preserve"> </w:t>
      </w:r>
      <w:r w:rsidRPr="00F40A64">
        <w:tab/>
      </w:r>
      <w:r w:rsidRPr="00F40A64">
        <w:t xml:space="preserve">2023–24 </w:t>
      </w:r>
      <w:r>
        <w:t xml:space="preserve">was the </w:t>
      </w:r>
      <w:r w:rsidRPr="00F40A64">
        <w:t>first year this measure</w:t>
      </w:r>
      <w:r>
        <w:t xml:space="preserve"> was</w:t>
      </w:r>
      <w:r w:rsidRPr="00F40A64">
        <w:t xml:space="preserve"> reported</w:t>
      </w:r>
      <w:r>
        <w:t>.</w:t>
      </w:r>
    </w:p>
  </w:footnote>
  <w:footnote w:id="17">
    <w:p w14:paraId="091D3B9F" w14:textId="77777777" w:rsidR="00F844B4" w:rsidRPr="00B6094F" w:rsidRDefault="00F844B4">
      <w:pPr>
        <w:pStyle w:val="FootnoteText"/>
        <w:rPr>
          <w:lang w:val="en-AU"/>
        </w:rPr>
      </w:pPr>
      <w:r w:rsidRPr="00F40A64">
        <w:footnoteRef/>
      </w:r>
      <w:r w:rsidRPr="00F40A64">
        <w:t xml:space="preserve"> </w:t>
      </w:r>
      <w:r w:rsidRPr="00F40A64">
        <w:tab/>
      </w:r>
      <w:r w:rsidRPr="00F40A64">
        <w:t xml:space="preserve">2023–24 </w:t>
      </w:r>
      <w:r>
        <w:t>was</w:t>
      </w:r>
      <w:r w:rsidRPr="00F40A64">
        <w:t xml:space="preserve"> </w:t>
      </w:r>
      <w:r>
        <w:t>the</w:t>
      </w:r>
      <w:r w:rsidRPr="00F40A64">
        <w:t xml:space="preserve"> first year this measure </w:t>
      </w:r>
      <w:r>
        <w:t>was</w:t>
      </w:r>
      <w:r w:rsidRPr="00F40A64">
        <w:t xml:space="preserve"> reported</w:t>
      </w:r>
      <w:r>
        <w:t>.</w:t>
      </w:r>
    </w:p>
  </w:footnote>
  <w:footnote w:id="18">
    <w:p w14:paraId="4184E9E0" w14:textId="2CD9E4F1" w:rsidR="00F844B4" w:rsidRPr="00622FF4" w:rsidRDefault="00F844B4">
      <w:pPr>
        <w:pStyle w:val="FootnoteText"/>
        <w:rPr>
          <w:lang w:val="en-AU"/>
        </w:rPr>
      </w:pPr>
      <w:r w:rsidRPr="009A0D1C">
        <w:footnoteRef/>
      </w:r>
      <w:r w:rsidR="00482D2C" w:rsidRPr="009A0D1C">
        <w:t xml:space="preserve"> </w:t>
      </w:r>
      <w:r w:rsidR="009A0D1C" w:rsidRPr="009A0D1C">
        <w:tab/>
      </w:r>
      <w:r w:rsidRPr="009A0D1C">
        <w:t>Data provided by WorkSafe Victoria</w:t>
      </w:r>
      <w:r>
        <w:rPr>
          <w:lang w:val="en-AU"/>
        </w:rPr>
        <w:t>.</w:t>
      </w:r>
    </w:p>
  </w:footnote>
  <w:footnote w:id="19">
    <w:p w14:paraId="230D092C" w14:textId="7AAFE433" w:rsidR="00F844B4" w:rsidRPr="00DD6CC2" w:rsidRDefault="00F844B4">
      <w:pPr>
        <w:pStyle w:val="FootnoteText"/>
        <w:rPr>
          <w:lang w:val="en-AU"/>
        </w:rPr>
      </w:pPr>
      <w:r w:rsidRPr="0028469F">
        <w:footnoteRef/>
      </w:r>
      <w:r w:rsidRPr="0028469F">
        <w:t xml:space="preserve"> </w:t>
      </w:r>
      <w:r w:rsidR="0028469F">
        <w:tab/>
      </w:r>
      <w:r w:rsidRPr="0028469F">
        <w:t>This</w:t>
      </w:r>
      <w:r>
        <w:t xml:space="preserve"> training does not include locally arranged and bespoke HSW-related training that also occurs throughout the year.</w:t>
      </w:r>
    </w:p>
  </w:footnote>
  <w:footnote w:id="20">
    <w:p w14:paraId="4DFB9510" w14:textId="50E92863" w:rsidR="009F36DE" w:rsidRPr="001A614A" w:rsidRDefault="009F36DE" w:rsidP="001A614A">
      <w:pPr>
        <w:pStyle w:val="FootnoteText"/>
      </w:pPr>
      <w:r w:rsidRPr="001A614A">
        <w:rPr>
          <w:rStyle w:val="FootnoteReference"/>
          <w:vertAlign w:val="baseline"/>
        </w:rPr>
        <w:footnoteRef/>
      </w:r>
      <w:r w:rsidRPr="001A614A">
        <w:t xml:space="preserve"> </w:t>
      </w:r>
      <w:r w:rsidR="001A614A">
        <w:tab/>
      </w:r>
      <w:r w:rsidRPr="001A614A">
        <w:t>https://providers.dffh.vic.gov.au/cims</w:t>
      </w:r>
    </w:p>
  </w:footnote>
  <w:footnote w:id="21">
    <w:p w14:paraId="472C6BE3" w14:textId="1BBF2E37" w:rsidR="00FD10B2" w:rsidRPr="00B55528" w:rsidRDefault="00FD10B2" w:rsidP="001A614A">
      <w:pPr>
        <w:pStyle w:val="FootnoteText"/>
        <w:rPr>
          <w:lang w:val="en-AU"/>
        </w:rPr>
      </w:pPr>
      <w:r w:rsidRPr="001A614A">
        <w:rPr>
          <w:rStyle w:val="FootnoteReference"/>
          <w:vertAlign w:val="baseline"/>
        </w:rPr>
        <w:footnoteRef/>
      </w:r>
      <w:r w:rsidRPr="001A614A">
        <w:t xml:space="preserve"> </w:t>
      </w:r>
      <w:r w:rsidR="001A614A">
        <w:tab/>
      </w:r>
      <w:r w:rsidRPr="001A614A">
        <w:t>https://www.genderequalitycommission.vic.gov.au/independent-review-2023-reporting-process</w:t>
      </w:r>
    </w:p>
  </w:footnote>
  <w:footnote w:id="22">
    <w:p w14:paraId="29BBF039" w14:textId="263C3B1F" w:rsidR="009F36DE" w:rsidRPr="00B55528" w:rsidRDefault="009F36DE" w:rsidP="001A614A">
      <w:pPr>
        <w:pStyle w:val="FootnoteText"/>
        <w:rPr>
          <w:lang w:val="en-AU"/>
        </w:rPr>
      </w:pPr>
      <w:r w:rsidRPr="001A614A">
        <w:rPr>
          <w:rStyle w:val="FootnoteReference"/>
          <w:vertAlign w:val="baseline"/>
        </w:rPr>
        <w:footnoteRef/>
      </w:r>
      <w:r w:rsidRPr="001A614A">
        <w:t xml:space="preserve"> </w:t>
      </w:r>
      <w:r w:rsidR="001A614A">
        <w:tab/>
      </w:r>
      <w:r w:rsidRPr="001A614A">
        <w:rPr>
          <w:rStyle w:val="FootnoteTextChar"/>
        </w:rPr>
        <w:t>https://www.latrobe.edu.au/research/ceri/research</w:t>
      </w:r>
    </w:p>
  </w:footnote>
  <w:footnote w:id="23">
    <w:p w14:paraId="4298B1C6" w14:textId="131B24DA" w:rsidR="00D62CC4" w:rsidRPr="001A614A" w:rsidRDefault="00D62CC4" w:rsidP="001A614A">
      <w:pPr>
        <w:pStyle w:val="FootnoteText"/>
      </w:pPr>
      <w:r w:rsidRPr="001A614A">
        <w:rPr>
          <w:rStyle w:val="FootnoteReference"/>
          <w:vertAlign w:val="baseline"/>
        </w:rPr>
        <w:footnoteRef/>
      </w:r>
      <w:r w:rsidRPr="001A614A">
        <w:t xml:space="preserve"> </w:t>
      </w:r>
      <w:r w:rsidR="001A614A">
        <w:tab/>
      </w:r>
      <w:r w:rsidRPr="001A614A">
        <w:t>https://www.tenders.vic.gov.au</w:t>
      </w:r>
    </w:p>
  </w:footnote>
  <w:footnote w:id="24">
    <w:p w14:paraId="3600A98D" w14:textId="44F5A993" w:rsidR="00D62CC4" w:rsidRPr="001A614A" w:rsidRDefault="00D62CC4" w:rsidP="001A614A">
      <w:pPr>
        <w:pStyle w:val="FootnoteText"/>
      </w:pPr>
      <w:r w:rsidRPr="001A614A">
        <w:rPr>
          <w:rStyle w:val="FootnoteReference"/>
          <w:vertAlign w:val="baseline"/>
        </w:rPr>
        <w:footnoteRef/>
      </w:r>
      <w:r w:rsidRPr="001A614A">
        <w:t xml:space="preserve"> </w:t>
      </w:r>
      <w:r w:rsidR="001A614A">
        <w:tab/>
      </w:r>
      <w:r w:rsidRPr="001A614A">
        <w:t>https://www.ibac.vic.gov.au</w:t>
      </w:r>
    </w:p>
  </w:footnote>
  <w:footnote w:id="25">
    <w:p w14:paraId="636423BE" w14:textId="1F774618" w:rsidR="00D62CC4" w:rsidRPr="00B55528" w:rsidRDefault="00D62CC4" w:rsidP="001A614A">
      <w:pPr>
        <w:pStyle w:val="FootnoteText"/>
        <w:rPr>
          <w:lang w:val="en-AU"/>
        </w:rPr>
      </w:pPr>
      <w:r w:rsidRPr="001A614A">
        <w:rPr>
          <w:rStyle w:val="FootnoteReference"/>
          <w:vertAlign w:val="baseline"/>
        </w:rPr>
        <w:footnoteRef/>
      </w:r>
      <w:r w:rsidRPr="001A614A">
        <w:t xml:space="preserve"> </w:t>
      </w:r>
      <w:r w:rsidR="001A614A">
        <w:tab/>
      </w:r>
      <w:r w:rsidRPr="001A614A">
        <w:t>https://www.dffh.vic.gov.au/public-interest-disclosure</w:t>
      </w:r>
    </w:p>
  </w:footnote>
  <w:footnote w:id="26">
    <w:p w14:paraId="44F51081" w14:textId="790D0933" w:rsidR="00C737E4" w:rsidRPr="001A614A" w:rsidRDefault="00C737E4" w:rsidP="001A614A">
      <w:pPr>
        <w:pStyle w:val="FootnoteText"/>
      </w:pPr>
      <w:r w:rsidRPr="001A614A">
        <w:rPr>
          <w:rStyle w:val="FootnoteReference"/>
          <w:vertAlign w:val="baseline"/>
        </w:rPr>
        <w:footnoteRef/>
      </w:r>
      <w:r w:rsidRPr="001A614A">
        <w:t xml:space="preserve"> </w:t>
      </w:r>
      <w:r w:rsidR="001A614A">
        <w:tab/>
      </w:r>
      <w:r w:rsidRPr="001A614A">
        <w:t>https://www.data.vic.gov.au</w:t>
      </w:r>
    </w:p>
  </w:footnote>
  <w:footnote w:id="27">
    <w:p w14:paraId="0B5D2750" w14:textId="0426EC35" w:rsidR="00C737E4" w:rsidRPr="00B55528" w:rsidRDefault="00C737E4" w:rsidP="001A614A">
      <w:pPr>
        <w:pStyle w:val="FootnoteText"/>
        <w:rPr>
          <w:lang w:val="en-AU"/>
        </w:rPr>
      </w:pPr>
      <w:r w:rsidRPr="001A614A">
        <w:rPr>
          <w:rStyle w:val="FootnoteReference"/>
          <w:vertAlign w:val="baseline"/>
        </w:rPr>
        <w:footnoteRef/>
      </w:r>
      <w:r w:rsidRPr="001A614A">
        <w:t xml:space="preserve"> </w:t>
      </w:r>
      <w:r w:rsidR="001A614A">
        <w:tab/>
      </w:r>
      <w:r w:rsidRPr="001A614A">
        <w:t>https://www.dffh.vic.gov.au/publications/annual-report</w:t>
      </w:r>
    </w:p>
  </w:footnote>
  <w:footnote w:id="28">
    <w:p w14:paraId="55FAF777" w14:textId="5ED8C8E8" w:rsidR="00C737E4" w:rsidRPr="001A614A" w:rsidRDefault="00C737E4" w:rsidP="001A614A">
      <w:pPr>
        <w:pStyle w:val="FootnoteText"/>
      </w:pPr>
      <w:r w:rsidRPr="001A614A">
        <w:rPr>
          <w:rStyle w:val="FootnoteReference"/>
          <w:vertAlign w:val="baseline"/>
        </w:rPr>
        <w:footnoteRef/>
      </w:r>
      <w:r w:rsidRPr="001A614A">
        <w:t xml:space="preserve"> </w:t>
      </w:r>
      <w:r w:rsidR="001A614A">
        <w:tab/>
      </w:r>
      <w:r w:rsidRPr="001A614A">
        <w:t>https://www.ovic.vic.gov.au</w:t>
      </w:r>
    </w:p>
  </w:footnote>
  <w:footnote w:id="29">
    <w:p w14:paraId="145A36E9" w14:textId="77777777" w:rsidR="00AC3C57" w:rsidRPr="00053EE8" w:rsidRDefault="00AC3C57">
      <w:pPr>
        <w:pStyle w:val="FootnoteText"/>
        <w:rPr>
          <w:lang w:val="en-US"/>
        </w:rPr>
      </w:pPr>
      <w:r w:rsidRPr="006B25B4">
        <w:footnoteRef/>
      </w:r>
      <w:r w:rsidRPr="006B25B4">
        <w:tab/>
      </w:r>
      <w:r>
        <w:t>Air travel calculated using total passenger kilometres (T4) and the average emissions factor of 1.43198 x 10</w:t>
      </w:r>
      <w:r>
        <w:rPr>
          <w:vertAlign w:val="superscript"/>
        </w:rPr>
        <w:t>-4</w:t>
      </w:r>
      <w:r>
        <w:t xml:space="preserve"> tonnes/passenger km for domestic aviation.</w:t>
      </w:r>
    </w:p>
  </w:footnote>
  <w:footnote w:id="30">
    <w:p w14:paraId="1070290D" w14:textId="3E855AAD" w:rsidR="006563BB" w:rsidRPr="006563BB" w:rsidRDefault="006563BB">
      <w:pPr>
        <w:pStyle w:val="FootnoteText"/>
        <w:rPr>
          <w:lang w:val="en-US"/>
        </w:rPr>
      </w:pPr>
      <w:r w:rsidRPr="006563BB">
        <w:footnoteRef/>
      </w:r>
      <w:r w:rsidRPr="006563BB">
        <w:t xml:space="preserve"> </w:t>
      </w:r>
      <w:r w:rsidRPr="006563BB">
        <w:tab/>
      </w:r>
      <w:r w:rsidRPr="006563BB">
        <w:t>100</w:t>
      </w:r>
      <w:r w:rsidRPr="000A4484">
        <w:t xml:space="preserve">% </w:t>
      </w:r>
      <w:proofErr w:type="spellStart"/>
      <w:r w:rsidRPr="000A4484">
        <w:t>Green</w:t>
      </w:r>
      <w:r>
        <w:t>P</w:t>
      </w:r>
      <w:r w:rsidRPr="000A4484">
        <w:t>ower</w:t>
      </w:r>
      <w:proofErr w:type="spellEnd"/>
      <w:r w:rsidRPr="000A4484">
        <w:t xml:space="preserve"> is used in Ballarat and Geelong.</w:t>
      </w:r>
    </w:p>
  </w:footnote>
  <w:footnote w:id="31">
    <w:p w14:paraId="70A2A61E" w14:textId="33961C5C" w:rsidR="006563BB" w:rsidRPr="006563BB" w:rsidRDefault="006563BB">
      <w:pPr>
        <w:pStyle w:val="FootnoteText"/>
        <w:rPr>
          <w:lang w:val="en-US"/>
        </w:rPr>
      </w:pPr>
      <w:r w:rsidRPr="006563BB">
        <w:footnoteRef/>
      </w:r>
      <w:r w:rsidRPr="006563BB">
        <w:t xml:space="preserve"> </w:t>
      </w:r>
      <w:r w:rsidRPr="006563BB">
        <w:tab/>
      </w:r>
      <w:r w:rsidRPr="000A4484">
        <w:t>Electricity consumption includes a 5% estimate in 2024–25 due to some data being unavailable from energy retailers at the time of</w:t>
      </w:r>
      <w:r w:rsidRPr="000A4484">
        <w:rPr>
          <w:lang w:val="en-US"/>
        </w:rPr>
        <w:t> </w:t>
      </w:r>
      <w:r w:rsidRPr="000A4484">
        <w:t>reporting</w:t>
      </w:r>
      <w:r>
        <w:t>.</w:t>
      </w:r>
    </w:p>
  </w:footnote>
  <w:footnote w:id="32">
    <w:p w14:paraId="190FB80B" w14:textId="20CAD170" w:rsidR="006563BB" w:rsidRPr="006563BB" w:rsidRDefault="006563BB">
      <w:pPr>
        <w:pStyle w:val="FootnoteText"/>
        <w:rPr>
          <w:lang w:val="en-US"/>
        </w:rPr>
      </w:pPr>
      <w:r w:rsidRPr="006563BB">
        <w:footnoteRef/>
      </w:r>
      <w:r w:rsidRPr="006563BB">
        <w:t xml:space="preserve"> </w:t>
      </w:r>
      <w:r>
        <w:tab/>
      </w:r>
      <w:r w:rsidRPr="000A4484">
        <w:t>Self-generated electricity and exports have been under-represented due to limited data availability at the time of reporting</w:t>
      </w:r>
      <w:r>
        <w:t>.</w:t>
      </w:r>
    </w:p>
  </w:footnote>
  <w:footnote w:id="33">
    <w:p w14:paraId="1066B8CB" w14:textId="2937146E" w:rsidR="006563BB" w:rsidRPr="006563BB" w:rsidRDefault="006563BB">
      <w:pPr>
        <w:pStyle w:val="FootnoteText"/>
        <w:rPr>
          <w:lang w:val="en-US"/>
        </w:rPr>
      </w:pPr>
      <w:r w:rsidRPr="006563BB">
        <w:footnoteRef/>
      </w:r>
      <w:r w:rsidRPr="006563BB">
        <w:t xml:space="preserve"> </w:t>
      </w:r>
      <w:r w:rsidRPr="006563BB">
        <w:tab/>
      </w:r>
      <w:r w:rsidRPr="000A4484">
        <w:t xml:space="preserve">Solar PV consumption behind-the-meter and </w:t>
      </w:r>
      <w:proofErr w:type="spellStart"/>
      <w:r w:rsidRPr="000A4484">
        <w:t>Green</w:t>
      </w:r>
      <w:r>
        <w:t>P</w:t>
      </w:r>
      <w:r w:rsidRPr="000A4484">
        <w:t>ower</w:t>
      </w:r>
      <w:proofErr w:type="spellEnd"/>
      <w:r w:rsidRPr="000A4484">
        <w:t xml:space="preserve"> electricity offsets include a proportion of electricity consumed in residential tenancies outside the department’s organisational boundary. This is attributable to new apartment building developments with shared on-site solar generation. These will be properly accounted for</w:t>
      </w:r>
      <w:r w:rsidRPr="000A4484">
        <w:rPr>
          <w:lang w:val="en-US"/>
        </w:rPr>
        <w:t> </w:t>
      </w:r>
      <w:r w:rsidRPr="000A4484">
        <w:t>in subsequent periods</w:t>
      </w:r>
      <w:r>
        <w:t>.</w:t>
      </w:r>
    </w:p>
  </w:footnote>
  <w:footnote w:id="34">
    <w:p w14:paraId="1CAF8B12" w14:textId="77777777" w:rsidR="00AC3C57" w:rsidRPr="004E5CB3" w:rsidRDefault="00AC3C57">
      <w:pPr>
        <w:pStyle w:val="FootnoteText"/>
        <w:rPr>
          <w:lang w:val="en-AU"/>
        </w:rPr>
      </w:pPr>
      <w:r w:rsidRPr="005353B4">
        <w:footnoteRef/>
      </w:r>
      <w:r w:rsidRPr="005353B4">
        <w:t xml:space="preserve"> </w:t>
      </w:r>
      <w:r w:rsidRPr="005353B4">
        <w:tab/>
      </w:r>
      <w:r w:rsidRPr="005353B4">
        <w:t>Electricity</w:t>
      </w:r>
      <w:r>
        <w:t xml:space="preserve"> offsets from the renewable power percentage are reported for Housing Services for in 2024–25 for the first time. This is due to improvements in reporting methodology.</w:t>
      </w:r>
    </w:p>
  </w:footnote>
  <w:footnote w:id="35">
    <w:p w14:paraId="15770610" w14:textId="77777777" w:rsidR="00AC3C57" w:rsidRPr="001F478C" w:rsidRDefault="00AC3C57">
      <w:pPr>
        <w:pStyle w:val="FootnoteText"/>
        <w:rPr>
          <w:lang w:val="en-US"/>
        </w:rPr>
      </w:pPr>
      <w:r w:rsidRPr="00C07FA4">
        <w:footnoteRef/>
      </w:r>
      <w:r w:rsidRPr="00C07FA4">
        <w:tab/>
      </w:r>
      <w:r w:rsidRPr="00C07FA4">
        <w:t>Natural gas consumption includes a 36% estimate in 2024–25 due to some data being unavailable from energy retailers at the time of reporting</w:t>
      </w:r>
      <w:r w:rsidRPr="00F27452">
        <w:t>.</w:t>
      </w:r>
    </w:p>
  </w:footnote>
  <w:footnote w:id="36">
    <w:p w14:paraId="12304318" w14:textId="77777777" w:rsidR="00AC3C57" w:rsidRPr="00B678EF" w:rsidRDefault="00AC3C57" w:rsidP="00B678EF">
      <w:pPr>
        <w:pStyle w:val="FootnoteText"/>
      </w:pPr>
      <w:r w:rsidRPr="00B678EF">
        <w:rPr>
          <w:rStyle w:val="FootnoteReference"/>
          <w:vertAlign w:val="baseline"/>
        </w:rPr>
        <w:footnoteRef/>
      </w:r>
      <w:r w:rsidRPr="00B678EF">
        <w:t xml:space="preserve"> </w:t>
      </w:r>
      <w:r w:rsidRPr="00B678EF">
        <w:tab/>
      </w:r>
      <w:r w:rsidRPr="00B678EF">
        <w:t>Potable water consumption includes a 30% estimate in 2024–25 due to some data being unavailable from water corporations at the time of reporting.</w:t>
      </w:r>
    </w:p>
  </w:footnote>
  <w:footnote w:id="37">
    <w:p w14:paraId="608ABACC" w14:textId="77777777" w:rsidR="00AC3C57" w:rsidRPr="00A57B5F" w:rsidRDefault="00AC3C57" w:rsidP="00B678EF">
      <w:pPr>
        <w:pStyle w:val="FootnoteText"/>
        <w:rPr>
          <w:lang w:val="en-AU"/>
        </w:rPr>
      </w:pPr>
      <w:r w:rsidRPr="00B678EF">
        <w:rPr>
          <w:rStyle w:val="FootnoteReference"/>
          <w:vertAlign w:val="baseline"/>
        </w:rPr>
        <w:footnoteRef/>
      </w:r>
      <w:r w:rsidRPr="00B678EF">
        <w:t xml:space="preserve"> </w:t>
      </w:r>
      <w:r w:rsidRPr="00B678EF">
        <w:tab/>
      </w:r>
      <w:r w:rsidRPr="00B678EF">
        <w:t>W2 table omitted from 2023</w:t>
      </w:r>
      <w:r>
        <w:rPr>
          <w:lang w:val="en-AU"/>
        </w:rPr>
        <w:t>–24 annual report due to error. W2 table incorrectly listed total water consumption without normalisation.</w:t>
      </w:r>
    </w:p>
  </w:footnote>
  <w:footnote w:id="38">
    <w:p w14:paraId="452CFE19" w14:textId="77777777" w:rsidR="00AC3C57" w:rsidRPr="00B678EF" w:rsidRDefault="00AC3C57" w:rsidP="00B678EF">
      <w:pPr>
        <w:pStyle w:val="FootnoteText"/>
      </w:pPr>
      <w:r w:rsidRPr="00B678EF">
        <w:footnoteRef/>
      </w:r>
      <w:r w:rsidRPr="00B678EF">
        <w:tab/>
      </w:r>
      <w:r w:rsidRPr="00B678EF">
        <w:t>Increased confidential paper waste is due to significant ongoing efforts to digitise records.</w:t>
      </w:r>
    </w:p>
  </w:footnote>
  <w:footnote w:id="39">
    <w:p w14:paraId="6A1CE4B0" w14:textId="77777777" w:rsidR="00AC3C57" w:rsidRPr="00B678EF" w:rsidRDefault="00AC3C57" w:rsidP="00B678EF">
      <w:pPr>
        <w:pStyle w:val="FootnoteText"/>
      </w:pPr>
      <w:r w:rsidRPr="00B678EF">
        <w:footnoteRef/>
      </w:r>
      <w:r w:rsidRPr="00B678EF">
        <w:tab/>
      </w:r>
      <w:r w:rsidRPr="00B678EF">
        <w:t>Information unavailable for periods 2024–25 and 2023–24.</w:t>
      </w:r>
    </w:p>
  </w:footnote>
  <w:footnote w:id="40">
    <w:p w14:paraId="717E2B72" w14:textId="77777777" w:rsidR="00AC3C57" w:rsidRPr="00B678EF" w:rsidRDefault="00AC3C57" w:rsidP="00B678EF">
      <w:pPr>
        <w:pStyle w:val="FootnoteText"/>
      </w:pPr>
      <w:r w:rsidRPr="00B678EF">
        <w:footnoteRef/>
      </w:r>
      <w:r w:rsidRPr="00B678EF">
        <w:tab/>
      </w:r>
      <w:r w:rsidRPr="00B678EF">
        <w:t>Supported by department staff who move e-waste from smaller offices and more remote offices to larger central locations for collection.</w:t>
      </w:r>
    </w:p>
  </w:footnote>
  <w:footnote w:id="41">
    <w:p w14:paraId="1055A9C1" w14:textId="645DFCB9" w:rsidR="00AC3C57" w:rsidRPr="00B678EF" w:rsidRDefault="00AC3C57" w:rsidP="00B678EF">
      <w:pPr>
        <w:pStyle w:val="FootnoteText"/>
      </w:pPr>
      <w:r w:rsidRPr="00B678EF">
        <w:rPr>
          <w:rStyle w:val="FootnoteReference"/>
          <w:vertAlign w:val="baseline"/>
        </w:rPr>
        <w:footnoteRef/>
      </w:r>
      <w:r w:rsidRPr="00B678EF">
        <w:t xml:space="preserve"> </w:t>
      </w:r>
      <w:r w:rsidRPr="00B678EF">
        <w:tab/>
      </w:r>
      <w:r w:rsidRPr="00B678EF">
        <w:t>The WR3 figures for 2023–24 and 2022–23 have been corrected for this report. They were incorrectly calculated in the previous</w:t>
      </w:r>
      <w:r w:rsidR="00C07FA4">
        <w:t> </w:t>
      </w:r>
      <w:r w:rsidRPr="00B678EF">
        <w:t xml:space="preserve">year. </w:t>
      </w:r>
    </w:p>
  </w:footnote>
  <w:footnote w:id="42">
    <w:p w14:paraId="415E15F9" w14:textId="77777777" w:rsidR="00AC3C57" w:rsidRPr="002570D1" w:rsidRDefault="00AC3C57" w:rsidP="00B678EF">
      <w:pPr>
        <w:pStyle w:val="FootnoteText"/>
        <w:rPr>
          <w:lang w:val="en-US"/>
        </w:rPr>
      </w:pPr>
      <w:r w:rsidRPr="00B678EF">
        <w:footnoteRef/>
      </w:r>
      <w:r w:rsidRPr="00B678EF">
        <w:tab/>
      </w:r>
      <w:r w:rsidRPr="00B678EF">
        <w:t>The methodology for calculating greenhouse gas emissions varies between 2023–24 and prior reporting years.</w:t>
      </w:r>
    </w:p>
  </w:footnote>
  <w:footnote w:id="43">
    <w:p w14:paraId="7A893009" w14:textId="77777777" w:rsidR="004A2DF7" w:rsidRPr="00182A82" w:rsidRDefault="004A2DF7">
      <w:pPr>
        <w:pStyle w:val="FootnoteText"/>
      </w:pPr>
      <w:r w:rsidRPr="009169F8">
        <w:footnoteRef/>
      </w:r>
      <w:r>
        <w:tab/>
      </w:r>
      <w:r>
        <w:t xml:space="preserve">References to FRDs have been removed from the </w:t>
      </w:r>
      <w:r>
        <w:rPr>
          <w:lang w:val="en-AU"/>
        </w:rPr>
        <w:t>d</w:t>
      </w:r>
      <w:proofErr w:type="spellStart"/>
      <w:r>
        <w:t>isclosure</w:t>
      </w:r>
      <w:proofErr w:type="spellEnd"/>
      <w:r>
        <w:t xml:space="preserve"> </w:t>
      </w:r>
      <w:proofErr w:type="spellStart"/>
      <w:r>
        <w:rPr>
          <w:lang w:val="en-AU"/>
        </w:rPr>
        <w:t>i</w:t>
      </w:r>
      <w:r>
        <w:t>ndex</w:t>
      </w:r>
      <w:proofErr w:type="spellEnd"/>
      <w:r>
        <w:t xml:space="preserve"> if the specific FRDs do not contain requirements that are in the nature of disclosure.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AB8A" w14:textId="321AB665" w:rsidR="00E16EF4" w:rsidRPr="00B53C4B" w:rsidRDefault="00B53C4B" w:rsidP="00B53C4B">
    <w:pPr>
      <w:pStyle w:val="ARheader"/>
    </w:pPr>
    <w:r w:rsidRPr="009F2313">
      <w:t>Department of Families, Fairness and Housing Annual Report 2024–25</w:t>
    </w:r>
    <w:r w:rsidRPr="009F2313">
      <w:tab/>
    </w:r>
    <w:r>
      <w:fldChar w:fldCharType="begin"/>
    </w:r>
    <w:r>
      <w:instrText xml:space="preserve"> PAGE   \* MERGEFORMAT </w:instrText>
    </w:r>
    <w:r>
      <w:fldChar w:fldCharType="separate"/>
    </w:r>
    <w:r>
      <w:t>12</w:t>
    </w:r>
    <w:r>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BB6EB" w14:textId="77777777" w:rsidR="0064038E" w:rsidRDefault="0064038E" w:rsidP="0054696F">
    <w:pPr>
      <w:pStyle w:val="AR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119D" w14:textId="77777777" w:rsidR="00F844B4" w:rsidRDefault="00F844B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34A2" w14:textId="77777777" w:rsidR="00F844B4" w:rsidRDefault="00F844B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093EB" w14:textId="77777777" w:rsidR="00F844B4" w:rsidRDefault="00F844B4">
    <w:pPr>
      <w:pStyle w:val="AR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8394" w14:textId="77777777" w:rsidR="00F844B4" w:rsidRDefault="00F844B4"/>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ECF2" w14:textId="77777777" w:rsidR="00AC3C57" w:rsidRDefault="00AC3C57"/>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6066" w14:textId="77777777" w:rsidR="00AC3C57" w:rsidRDefault="00AC3C5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17F7" w14:textId="77777777" w:rsidR="00AC3C57" w:rsidRDefault="00AC3C5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64E5" w14:textId="4D593F35" w:rsidR="00AC3C57" w:rsidRDefault="0089246F" w:rsidP="0089246F">
    <w:pPr>
      <w:pStyle w:val="ARheader"/>
    </w:pPr>
    <w:r w:rsidRPr="009F2313">
      <w:t>Department of Families, Fairness and Housing Annual Report 2024–25</w:t>
    </w:r>
    <w:r w:rsidRPr="009F2313">
      <w:tab/>
    </w:r>
    <w:r>
      <w:fldChar w:fldCharType="begin"/>
    </w:r>
    <w:r>
      <w:instrText xml:space="preserve"> PAGE   \* MERGEFORMAT </w:instrText>
    </w:r>
    <w:r>
      <w:fldChar w:fldCharType="separate"/>
    </w:r>
    <w:r>
      <w:t>94</w:t>
    </w:r>
    <w:r>
      <w:rPr>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44EC" w14:textId="77777777" w:rsidR="00AC3C57" w:rsidRDefault="00AC3C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59A5" w14:textId="36C0227F" w:rsidR="00E16EF4" w:rsidRDefault="00B53C4B" w:rsidP="00B53C4B">
    <w:pPr>
      <w:pStyle w:val="ARheader"/>
    </w:pPr>
    <w:r w:rsidRPr="009F2313">
      <w:t>Department of Families, Fairness and Housing Annual Report 2024–25</w:t>
    </w:r>
    <w:r w:rsidRPr="009F2313">
      <w:tab/>
    </w:r>
    <w:r>
      <w:fldChar w:fldCharType="begin"/>
    </w:r>
    <w:r>
      <w:instrText xml:space="preserve"> PAGE   \* MERGEFORMAT </w:instrText>
    </w:r>
    <w:r>
      <w:fldChar w:fldCharType="separate"/>
    </w:r>
    <w:r>
      <w:t>12</w:t>
    </w:r>
    <w:r>
      <w:rPr>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241BA" w14:textId="77777777" w:rsidR="00AC3C57" w:rsidRDefault="00AC3C5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40DE" w14:textId="39201E15" w:rsidR="0089246F" w:rsidRDefault="0089246F" w:rsidP="0089246F">
    <w:pPr>
      <w:pStyle w:val="ARheader"/>
    </w:pPr>
    <w:r w:rsidRPr="009F2313">
      <w:t>Department of Families, Fairness and Housing Annual Report 2024–25</w:t>
    </w:r>
    <w:r w:rsidRPr="009F2313">
      <w:tab/>
    </w:r>
    <w:r>
      <w:fldChar w:fldCharType="begin"/>
    </w:r>
    <w:r>
      <w:instrText xml:space="preserve"> PAGE   \* MERGEFORMAT </w:instrText>
    </w:r>
    <w:r>
      <w:fldChar w:fldCharType="separate"/>
    </w:r>
    <w:r>
      <w:t>94</w:t>
    </w:r>
    <w:r>
      <w:rPr>
        <w:noProof/>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ECCC" w14:textId="77777777" w:rsidR="00AC3C57" w:rsidRDefault="00AC3C5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9E89" w14:textId="77777777" w:rsidR="00AC3C57" w:rsidRDefault="00AC3C5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FF5B" w14:textId="77777777" w:rsidR="00AC3C57" w:rsidRDefault="00AC3C5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809F" w14:textId="77777777" w:rsidR="00AC3C57" w:rsidRDefault="00AC3C5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0FAE5" w14:textId="77777777" w:rsidR="00AC3C57" w:rsidRDefault="00AC3C5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B3FC" w14:textId="77777777" w:rsidR="00AC3C57" w:rsidRDefault="00AC3C5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FE79C" w14:textId="2C37405A" w:rsidR="00AC3C57" w:rsidRDefault="0089246F" w:rsidP="0089246F">
    <w:pPr>
      <w:pStyle w:val="ARheader"/>
    </w:pPr>
    <w:r w:rsidRPr="009F2313">
      <w:t>Department of Families, Fairness and Housing Annual Report 2024–25</w:t>
    </w:r>
    <w:r w:rsidRPr="009F2313">
      <w:tab/>
    </w:r>
    <w:r>
      <w:fldChar w:fldCharType="begin"/>
    </w:r>
    <w:r>
      <w:instrText xml:space="preserve"> PAGE   \* MERGEFORMAT </w:instrText>
    </w:r>
    <w:r>
      <w:fldChar w:fldCharType="separate"/>
    </w:r>
    <w:r>
      <w:t>114</w:t>
    </w:r>
    <w:r>
      <w:rPr>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128F" w14:textId="77777777" w:rsidR="00AC3C57" w:rsidRDefault="00AC3C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91DC" w14:textId="77777777" w:rsidR="00AD7FE0" w:rsidRDefault="00AD7FE0"/>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82FB" w14:textId="77777777" w:rsidR="00AC3C57" w:rsidRDefault="00AC3C5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77F2A" w14:textId="597F735F" w:rsidR="00AC3C57" w:rsidRDefault="0089246F" w:rsidP="008071FB">
    <w:pPr>
      <w:pStyle w:val="ARheader"/>
    </w:pPr>
    <w:r w:rsidRPr="009F2313">
      <w:t xml:space="preserve">Department of Families, Fairness and Housing Annual </w:t>
    </w:r>
    <w:r w:rsidRPr="008071FB">
      <w:t>Report</w:t>
    </w:r>
    <w:r w:rsidRPr="009F2313">
      <w:t xml:space="preserve"> 2024–25</w:t>
    </w:r>
    <w:r w:rsidRPr="009F2313">
      <w:tab/>
    </w:r>
    <w:r>
      <w:fldChar w:fldCharType="begin"/>
    </w:r>
    <w:r>
      <w:instrText xml:space="preserve"> PAGE   \* MERGEFORMAT </w:instrText>
    </w:r>
    <w:r>
      <w:fldChar w:fldCharType="separate"/>
    </w:r>
    <w:r>
      <w:t>114</w:t>
    </w:r>
    <w:r>
      <w:rPr>
        <w:noProof/>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3537" w14:textId="666CEC61" w:rsidR="00AC3C57" w:rsidRDefault="008071FB" w:rsidP="008071FB">
    <w:pPr>
      <w:pStyle w:val="ARheader"/>
    </w:pPr>
    <w:r w:rsidRPr="009F2313">
      <w:t>Department of Families, Fairness and Housing Annual Report 2024–25</w:t>
    </w:r>
    <w:r w:rsidRPr="009F2313">
      <w:tab/>
    </w:r>
    <w:r>
      <w:fldChar w:fldCharType="begin"/>
    </w:r>
    <w:r>
      <w:instrText xml:space="preserve"> PAGE   \* MERGEFORMAT </w:instrText>
    </w:r>
    <w:r>
      <w:fldChar w:fldCharType="separate"/>
    </w:r>
    <w:r>
      <w:rPr>
        <w:noProof/>
      </w:rPr>
      <w:t>1</w:t>
    </w:r>
    <w:r>
      <w:rPr>
        <w:noProof/>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4382" w14:textId="77777777" w:rsidR="00265792" w:rsidRDefault="00265792"/>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718A9" w14:textId="77777777" w:rsidR="00265792" w:rsidRDefault="00265792"/>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77C8" w14:textId="77777777" w:rsidR="00265792" w:rsidRDefault="00265792"/>
  <w:p w14:paraId="0279FEF7" w14:textId="77777777" w:rsidR="00265792" w:rsidRDefault="00265792"/>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A9CD" w14:textId="77777777" w:rsidR="00265792" w:rsidRPr="000000D1" w:rsidRDefault="00265792" w:rsidP="0013600A">
    <w:pPr>
      <w:pStyle w:val="ARheader"/>
    </w:pPr>
    <w:r>
      <w:t>Department of Families, Fairness and Housing Annual Report 2024–25</w:t>
    </w:r>
    <w:r w:rsidRPr="000000D1">
      <w:ptab w:relativeTo="margin" w:alignment="right" w:leader="none"/>
    </w:r>
    <w:r w:rsidRPr="000000D1">
      <w:fldChar w:fldCharType="begin"/>
    </w:r>
    <w:r w:rsidRPr="000000D1">
      <w:instrText xml:space="preserve"> PAGE </w:instrText>
    </w:r>
    <w:r w:rsidRPr="000000D1">
      <w:fldChar w:fldCharType="separate"/>
    </w:r>
    <w:r w:rsidRPr="000000D1">
      <w:t>1</w:t>
    </w:r>
    <w:r w:rsidRPr="000000D1">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6C915" w14:textId="77777777" w:rsidR="00AD7FE0" w:rsidRDefault="00AD7FE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D0EF" w14:textId="77777777" w:rsidR="00AD7FE0" w:rsidRDefault="00AD7FE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92CC" w14:textId="77777777" w:rsidR="00AD7FE0" w:rsidRDefault="00AD7FE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9E037" w14:textId="77777777" w:rsidR="0081234A" w:rsidRDefault="0081234A" w:rsidP="0054696F">
    <w:pPr>
      <w:pStyle w:val="AR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EF618" w14:textId="77777777" w:rsidR="0081234A" w:rsidRDefault="0081234A" w:rsidP="0054696F">
    <w:pPr>
      <w:pStyle w:val="AR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36331" w14:textId="77777777" w:rsidR="0064038E" w:rsidRPr="001E18EE" w:rsidRDefault="0064038E">
    <w:pPr>
      <w:pStyle w:val="A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BE88EA2"/>
    <w:lvl w:ilvl="0">
      <w:start w:val="1"/>
      <w:numFmt w:val="decimal"/>
      <w:pStyle w:val="ListNumber2"/>
      <w:lvlText w:val="%1."/>
      <w:lvlJc w:val="left"/>
      <w:pPr>
        <w:tabs>
          <w:tab w:val="num" w:pos="8156"/>
        </w:tabs>
        <w:ind w:left="8156" w:hanging="360"/>
      </w:pPr>
    </w:lvl>
  </w:abstractNum>
  <w:abstractNum w:abstractNumId="1" w15:restartNumberingAfterBreak="0">
    <w:nsid w:val="02F2323C"/>
    <w:multiLevelType w:val="hybridMultilevel"/>
    <w:tmpl w:val="A61C06F4"/>
    <w:lvl w:ilvl="0" w:tplc="24BCA682">
      <w:start w:val="1"/>
      <w:numFmt w:val="bullet"/>
      <w:pStyle w:val="ListBullet"/>
      <w:lvlText w:val=""/>
      <w:lvlJc w:val="left"/>
      <w:pPr>
        <w:ind w:left="284" w:hanging="284"/>
      </w:pPr>
      <w:rPr>
        <w:rFonts w:ascii="Symbol" w:hAnsi="Symbol" w:hint="default"/>
      </w:rPr>
    </w:lvl>
    <w:lvl w:ilvl="1" w:tplc="62942078">
      <w:start w:val="1"/>
      <w:numFmt w:val="bullet"/>
      <w:pStyle w:val="ListBullet2"/>
      <w:lvlText w:val="–"/>
      <w:lvlJc w:val="left"/>
      <w:pPr>
        <w:ind w:left="568" w:hanging="284"/>
      </w:pPr>
      <w:rPr>
        <w:rFonts w:ascii="Arial" w:hAnsi="Arial" w:hint="default"/>
      </w:rPr>
    </w:lvl>
    <w:lvl w:ilvl="2" w:tplc="DE587716">
      <w:start w:val="1"/>
      <w:numFmt w:val="bullet"/>
      <w:pStyle w:val="ListBullet3"/>
      <w:lvlText w:val=""/>
      <w:lvlJc w:val="left"/>
      <w:pPr>
        <w:ind w:left="852" w:hanging="284"/>
      </w:pPr>
      <w:rPr>
        <w:rFonts w:ascii="Symbol" w:hAnsi="Symbol" w:hint="default"/>
      </w:rPr>
    </w:lvl>
    <w:lvl w:ilvl="3" w:tplc="0584F940">
      <w:start w:val="1"/>
      <w:numFmt w:val="decimal"/>
      <w:lvlText w:val="(%4)"/>
      <w:lvlJc w:val="left"/>
      <w:pPr>
        <w:ind w:left="1136" w:hanging="284"/>
      </w:pPr>
      <w:rPr>
        <w:rFonts w:hint="default"/>
      </w:rPr>
    </w:lvl>
    <w:lvl w:ilvl="4" w:tplc="B0960C8E">
      <w:start w:val="1"/>
      <w:numFmt w:val="lowerLetter"/>
      <w:lvlText w:val="(%5)"/>
      <w:lvlJc w:val="left"/>
      <w:pPr>
        <w:ind w:left="1420" w:hanging="284"/>
      </w:pPr>
      <w:rPr>
        <w:rFonts w:hint="default"/>
      </w:rPr>
    </w:lvl>
    <w:lvl w:ilvl="5" w:tplc="24E03318">
      <w:start w:val="1"/>
      <w:numFmt w:val="lowerRoman"/>
      <w:lvlText w:val="(%6)"/>
      <w:lvlJc w:val="left"/>
      <w:pPr>
        <w:ind w:left="1704" w:hanging="284"/>
      </w:pPr>
      <w:rPr>
        <w:rFonts w:hint="default"/>
      </w:rPr>
    </w:lvl>
    <w:lvl w:ilvl="6" w:tplc="A5705250">
      <w:start w:val="1"/>
      <w:numFmt w:val="decimal"/>
      <w:lvlText w:val="%7."/>
      <w:lvlJc w:val="left"/>
      <w:pPr>
        <w:ind w:left="1988" w:hanging="284"/>
      </w:pPr>
      <w:rPr>
        <w:rFonts w:hint="default"/>
      </w:rPr>
    </w:lvl>
    <w:lvl w:ilvl="7" w:tplc="4274CDDC">
      <w:start w:val="1"/>
      <w:numFmt w:val="lowerLetter"/>
      <w:lvlText w:val="%8."/>
      <w:lvlJc w:val="left"/>
      <w:pPr>
        <w:ind w:left="2272" w:hanging="284"/>
      </w:pPr>
      <w:rPr>
        <w:rFonts w:hint="default"/>
      </w:rPr>
    </w:lvl>
    <w:lvl w:ilvl="8" w:tplc="0A50ECDE">
      <w:start w:val="1"/>
      <w:numFmt w:val="lowerRoman"/>
      <w:lvlText w:val="%9."/>
      <w:lvlJc w:val="left"/>
      <w:pPr>
        <w:ind w:left="2556" w:hanging="284"/>
      </w:pPr>
      <w:rPr>
        <w:rFonts w:hint="default"/>
      </w:rPr>
    </w:lvl>
  </w:abstractNum>
  <w:abstractNum w:abstractNumId="2" w15:restartNumberingAfterBreak="0">
    <w:nsid w:val="0C996DC6"/>
    <w:multiLevelType w:val="hybridMultilevel"/>
    <w:tmpl w:val="A4CE1F22"/>
    <w:lvl w:ilvl="0" w:tplc="24E03318">
      <w:start w:val="1"/>
      <w:numFmt w:val="low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193262"/>
    <w:multiLevelType w:val="multilevel"/>
    <w:tmpl w:val="83CA4DCA"/>
    <w:lvl w:ilvl="0">
      <w:start w:val="1"/>
      <w:numFmt w:val="bullet"/>
      <w:pStyle w:val="ARfinbullet1"/>
      <w:lvlText w:val="•"/>
      <w:lvlJc w:val="left"/>
      <w:pPr>
        <w:ind w:left="284" w:hanging="284"/>
      </w:pPr>
      <w:rPr>
        <w:rFonts w:ascii="Calibri" w:hAnsi="Calibri" w:hint="default"/>
      </w:rPr>
    </w:lvl>
    <w:lvl w:ilvl="1">
      <w:start w:val="1"/>
      <w:numFmt w:val="bullet"/>
      <w:lvlRestart w:val="0"/>
      <w:pStyle w:val="ARfinbullet2"/>
      <w:lvlText w:val="–"/>
      <w:lvlJc w:val="left"/>
      <w:pPr>
        <w:tabs>
          <w:tab w:val="num" w:pos="284"/>
        </w:tabs>
        <w:ind w:left="567" w:hanging="283"/>
      </w:pPr>
      <w:rPr>
        <w:rFonts w:ascii="Calibri" w:hAnsi="Calibri" w:hint="default"/>
      </w:rPr>
    </w:lvl>
    <w:lvl w:ilvl="2">
      <w:start w:val="1"/>
      <w:numFmt w:val="bullet"/>
      <w:lvlRestart w:val="0"/>
      <w:pStyle w:val="ARfinbullet1afterdigitoralpha"/>
      <w:lvlText w:val="•"/>
      <w:lvlJc w:val="left"/>
      <w:pPr>
        <w:tabs>
          <w:tab w:val="num" w:pos="284"/>
        </w:tabs>
        <w:ind w:left="510" w:hanging="226"/>
      </w:pPr>
      <w:rPr>
        <w:rFonts w:ascii="Calibri" w:hAnsi="Calibri"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0460543"/>
    <w:multiLevelType w:val="hybridMultilevel"/>
    <w:tmpl w:val="154C414E"/>
    <w:lvl w:ilvl="0" w:tplc="EC8EA568">
      <w:start w:val="1"/>
      <w:numFmt w:val="bullet"/>
      <w:pStyle w:val="ARtablebullet1"/>
      <w:lvlText w:val="•"/>
      <w:lvlJc w:val="left"/>
      <w:pPr>
        <w:ind w:left="227" w:hanging="227"/>
      </w:pPr>
      <w:rPr>
        <w:rFonts w:ascii="Calibri" w:hAnsi="Calibri" w:hint="default"/>
      </w:rPr>
    </w:lvl>
    <w:lvl w:ilvl="1" w:tplc="1BB2CB32">
      <w:start w:val="1"/>
      <w:numFmt w:val="bullet"/>
      <w:lvlRestart w:val="0"/>
      <w:lvlText w:val="–"/>
      <w:lvlJc w:val="left"/>
      <w:pPr>
        <w:ind w:left="454" w:hanging="227"/>
      </w:pPr>
      <w:rPr>
        <w:rFonts w:ascii="Calibri" w:hAnsi="Calibri" w:hint="default"/>
      </w:rPr>
    </w:lvl>
    <w:lvl w:ilvl="2" w:tplc="DBB69344">
      <w:start w:val="1"/>
      <w:numFmt w:val="none"/>
      <w:lvlRestart w:val="0"/>
      <w:lvlText w:val=""/>
      <w:lvlJc w:val="left"/>
      <w:pPr>
        <w:ind w:left="0" w:firstLine="0"/>
      </w:pPr>
      <w:rPr>
        <w:rFonts w:hint="default"/>
      </w:rPr>
    </w:lvl>
    <w:lvl w:ilvl="3" w:tplc="3EA6E694">
      <w:start w:val="1"/>
      <w:numFmt w:val="none"/>
      <w:lvlRestart w:val="0"/>
      <w:lvlText w:val=""/>
      <w:lvlJc w:val="left"/>
      <w:pPr>
        <w:ind w:left="0" w:firstLine="0"/>
      </w:pPr>
      <w:rPr>
        <w:rFonts w:hint="default"/>
      </w:rPr>
    </w:lvl>
    <w:lvl w:ilvl="4" w:tplc="4B767A1A">
      <w:start w:val="1"/>
      <w:numFmt w:val="none"/>
      <w:lvlRestart w:val="0"/>
      <w:lvlText w:val=""/>
      <w:lvlJc w:val="left"/>
      <w:pPr>
        <w:ind w:left="0" w:firstLine="0"/>
      </w:pPr>
      <w:rPr>
        <w:rFonts w:hint="default"/>
      </w:rPr>
    </w:lvl>
    <w:lvl w:ilvl="5" w:tplc="CA76A10E">
      <w:start w:val="1"/>
      <w:numFmt w:val="none"/>
      <w:lvlRestart w:val="0"/>
      <w:lvlText w:val=""/>
      <w:lvlJc w:val="left"/>
      <w:pPr>
        <w:ind w:left="0" w:firstLine="0"/>
      </w:pPr>
      <w:rPr>
        <w:rFonts w:hint="default"/>
      </w:rPr>
    </w:lvl>
    <w:lvl w:ilvl="6" w:tplc="01D0E186">
      <w:start w:val="1"/>
      <w:numFmt w:val="none"/>
      <w:lvlRestart w:val="0"/>
      <w:lvlText w:val=""/>
      <w:lvlJc w:val="left"/>
      <w:pPr>
        <w:ind w:left="0" w:firstLine="0"/>
      </w:pPr>
      <w:rPr>
        <w:rFonts w:hint="default"/>
      </w:rPr>
    </w:lvl>
    <w:lvl w:ilvl="7" w:tplc="8BDC2024">
      <w:start w:val="1"/>
      <w:numFmt w:val="none"/>
      <w:lvlRestart w:val="0"/>
      <w:lvlText w:val=""/>
      <w:lvlJc w:val="left"/>
      <w:pPr>
        <w:ind w:left="0" w:firstLine="0"/>
      </w:pPr>
      <w:rPr>
        <w:rFonts w:hint="default"/>
      </w:rPr>
    </w:lvl>
    <w:lvl w:ilvl="8" w:tplc="4FA0FEFC">
      <w:start w:val="1"/>
      <w:numFmt w:val="none"/>
      <w:lvlRestart w:val="0"/>
      <w:lvlText w:val=""/>
      <w:lvlJc w:val="left"/>
      <w:pPr>
        <w:ind w:left="0" w:firstLine="0"/>
      </w:pPr>
      <w:rPr>
        <w:rFonts w:hint="default"/>
      </w:rPr>
    </w:lvl>
  </w:abstractNum>
  <w:abstractNum w:abstractNumId="5" w15:restartNumberingAfterBreak="0">
    <w:nsid w:val="17607F30"/>
    <w:multiLevelType w:val="hybridMultilevel"/>
    <w:tmpl w:val="517A3424"/>
    <w:lvl w:ilvl="0" w:tplc="D046BE34">
      <w:start w:val="1"/>
      <w:numFmt w:val="bullet"/>
      <w:pStyle w:val="ARfootnotebullet"/>
      <w:lvlText w:val="•"/>
      <w:lvlJc w:val="left"/>
      <w:pPr>
        <w:ind w:left="1080" w:hanging="360"/>
      </w:pPr>
      <w:rPr>
        <w:rFonts w:ascii="Galano Grotesque" w:hAnsi="Galano Grotesqu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D95887"/>
    <w:multiLevelType w:val="hybridMultilevel"/>
    <w:tmpl w:val="564299E6"/>
    <w:styleLink w:val="Tablefootnotes"/>
    <w:lvl w:ilvl="0" w:tplc="915E6960">
      <w:start w:val="1"/>
      <w:numFmt w:val="none"/>
      <w:suff w:val="nothing"/>
      <w:lvlText w:val=""/>
      <w:lvlJc w:val="left"/>
      <w:pPr>
        <w:ind w:left="0" w:firstLine="0"/>
      </w:pPr>
      <w:rPr>
        <w:rFonts w:hint="default"/>
      </w:rPr>
    </w:lvl>
    <w:lvl w:ilvl="1" w:tplc="1F32490C">
      <w:start w:val="1"/>
      <w:numFmt w:val="lowerRoman"/>
      <w:lvlText w:val="(%2)"/>
      <w:lvlJc w:val="left"/>
      <w:pPr>
        <w:tabs>
          <w:tab w:val="num" w:pos="284"/>
        </w:tabs>
        <w:ind w:left="284" w:hanging="284"/>
      </w:pPr>
      <w:rPr>
        <w:rFonts w:hint="default"/>
      </w:rPr>
    </w:lvl>
    <w:lvl w:ilvl="2" w:tplc="C0064F14">
      <w:start w:val="1"/>
      <w:numFmt w:val="bullet"/>
      <w:lvlRestart w:val="0"/>
      <w:lvlText w:val="•"/>
      <w:lvlJc w:val="left"/>
      <w:pPr>
        <w:ind w:left="510" w:hanging="226"/>
      </w:pPr>
      <w:rPr>
        <w:rFonts w:ascii="Calibri" w:hAnsi="Calibri" w:hint="default"/>
        <w:color w:val="auto"/>
      </w:rPr>
    </w:lvl>
    <w:lvl w:ilvl="3" w:tplc="279AC4D6">
      <w:start w:val="1"/>
      <w:numFmt w:val="decimal"/>
      <w:lvlText w:val="(%4)"/>
      <w:lvlJc w:val="left"/>
      <w:pPr>
        <w:ind w:left="1440" w:hanging="360"/>
      </w:pPr>
      <w:rPr>
        <w:rFonts w:hint="default"/>
      </w:rPr>
    </w:lvl>
    <w:lvl w:ilvl="4" w:tplc="E4505786">
      <w:start w:val="1"/>
      <w:numFmt w:val="lowerLetter"/>
      <w:lvlText w:val="(%5)"/>
      <w:lvlJc w:val="left"/>
      <w:pPr>
        <w:ind w:left="1800" w:hanging="360"/>
      </w:pPr>
      <w:rPr>
        <w:rFonts w:hint="default"/>
      </w:rPr>
    </w:lvl>
    <w:lvl w:ilvl="5" w:tplc="492EE5F8">
      <w:start w:val="1"/>
      <w:numFmt w:val="lowerRoman"/>
      <w:lvlText w:val="(%6)"/>
      <w:lvlJc w:val="left"/>
      <w:pPr>
        <w:ind w:left="2160" w:hanging="360"/>
      </w:pPr>
      <w:rPr>
        <w:rFonts w:hint="default"/>
      </w:rPr>
    </w:lvl>
    <w:lvl w:ilvl="6" w:tplc="ECF407E6">
      <w:start w:val="1"/>
      <w:numFmt w:val="decimal"/>
      <w:lvlText w:val="%7."/>
      <w:lvlJc w:val="left"/>
      <w:pPr>
        <w:ind w:left="2520" w:hanging="360"/>
      </w:pPr>
      <w:rPr>
        <w:rFonts w:hint="default"/>
      </w:rPr>
    </w:lvl>
    <w:lvl w:ilvl="7" w:tplc="630E965C">
      <w:start w:val="1"/>
      <w:numFmt w:val="lowerLetter"/>
      <w:lvlText w:val="%8."/>
      <w:lvlJc w:val="left"/>
      <w:pPr>
        <w:ind w:left="2880" w:hanging="360"/>
      </w:pPr>
      <w:rPr>
        <w:rFonts w:hint="default"/>
      </w:rPr>
    </w:lvl>
    <w:lvl w:ilvl="8" w:tplc="F6F0DF1A">
      <w:start w:val="1"/>
      <w:numFmt w:val="lowerRoman"/>
      <w:lvlText w:val="%9."/>
      <w:lvlJc w:val="left"/>
      <w:pPr>
        <w:ind w:left="3240" w:hanging="360"/>
      </w:pPr>
      <w:rPr>
        <w:rFonts w:hint="default"/>
      </w:rPr>
    </w:lvl>
  </w:abstractNum>
  <w:abstractNum w:abstractNumId="7" w15:restartNumberingAfterBreak="0">
    <w:nsid w:val="21FD1567"/>
    <w:multiLevelType w:val="hybridMultilevel"/>
    <w:tmpl w:val="76B68A5C"/>
    <w:styleLink w:val="Style2"/>
    <w:lvl w:ilvl="0" w:tplc="0FB88C0A">
      <w:start w:val="1"/>
      <w:numFmt w:val="lowerRoman"/>
      <w:pStyle w:val="ARtablefootnoteroman"/>
      <w:lvlText w:val="(%1)"/>
      <w:lvlJc w:val="left"/>
      <w:pPr>
        <w:tabs>
          <w:tab w:val="num" w:pos="284"/>
        </w:tabs>
        <w:ind w:left="284" w:hanging="284"/>
      </w:pPr>
      <w:rPr>
        <w:rFonts w:hint="default"/>
      </w:rPr>
    </w:lvl>
    <w:lvl w:ilvl="1" w:tplc="BEDCA2C6">
      <w:start w:val="1"/>
      <w:numFmt w:val="none"/>
      <w:lvlRestart w:val="0"/>
      <w:lvlText w:val=""/>
      <w:lvlJc w:val="left"/>
      <w:pPr>
        <w:ind w:left="0" w:firstLine="0"/>
      </w:pPr>
      <w:rPr>
        <w:rFonts w:hint="default"/>
      </w:rPr>
    </w:lvl>
    <w:lvl w:ilvl="2" w:tplc="1410005C">
      <w:start w:val="1"/>
      <w:numFmt w:val="none"/>
      <w:lvlRestart w:val="0"/>
      <w:lvlText w:val=""/>
      <w:lvlJc w:val="left"/>
      <w:pPr>
        <w:ind w:left="0" w:firstLine="0"/>
      </w:pPr>
      <w:rPr>
        <w:rFonts w:hint="default"/>
      </w:rPr>
    </w:lvl>
    <w:lvl w:ilvl="3" w:tplc="25523A14">
      <w:start w:val="1"/>
      <w:numFmt w:val="none"/>
      <w:lvlRestart w:val="0"/>
      <w:lvlText w:val=""/>
      <w:lvlJc w:val="left"/>
      <w:pPr>
        <w:ind w:left="0" w:firstLine="0"/>
      </w:pPr>
      <w:rPr>
        <w:rFonts w:hint="default"/>
      </w:rPr>
    </w:lvl>
    <w:lvl w:ilvl="4" w:tplc="6BE47768">
      <w:start w:val="1"/>
      <w:numFmt w:val="none"/>
      <w:lvlRestart w:val="0"/>
      <w:lvlText w:val=""/>
      <w:lvlJc w:val="left"/>
      <w:pPr>
        <w:ind w:left="0" w:firstLine="0"/>
      </w:pPr>
      <w:rPr>
        <w:rFonts w:hint="default"/>
      </w:rPr>
    </w:lvl>
    <w:lvl w:ilvl="5" w:tplc="663ECBFC">
      <w:start w:val="1"/>
      <w:numFmt w:val="none"/>
      <w:lvlRestart w:val="0"/>
      <w:lvlText w:val=""/>
      <w:lvlJc w:val="left"/>
      <w:pPr>
        <w:ind w:left="0" w:firstLine="0"/>
      </w:pPr>
      <w:rPr>
        <w:rFonts w:hint="default"/>
      </w:rPr>
    </w:lvl>
    <w:lvl w:ilvl="6" w:tplc="2A7896FE">
      <w:start w:val="1"/>
      <w:numFmt w:val="none"/>
      <w:lvlRestart w:val="0"/>
      <w:lvlText w:val=""/>
      <w:lvlJc w:val="left"/>
      <w:pPr>
        <w:ind w:left="0" w:firstLine="0"/>
      </w:pPr>
      <w:rPr>
        <w:rFonts w:hint="default"/>
      </w:rPr>
    </w:lvl>
    <w:lvl w:ilvl="7" w:tplc="27926564">
      <w:start w:val="1"/>
      <w:numFmt w:val="none"/>
      <w:lvlRestart w:val="0"/>
      <w:lvlText w:val=""/>
      <w:lvlJc w:val="left"/>
      <w:pPr>
        <w:ind w:left="0" w:firstLine="0"/>
      </w:pPr>
      <w:rPr>
        <w:rFonts w:hint="default"/>
      </w:rPr>
    </w:lvl>
    <w:lvl w:ilvl="8" w:tplc="386034F4">
      <w:start w:val="1"/>
      <w:numFmt w:val="none"/>
      <w:lvlRestart w:val="0"/>
      <w:lvlText w:val=""/>
      <w:lvlJc w:val="left"/>
      <w:pPr>
        <w:ind w:left="0" w:firstLine="0"/>
      </w:pPr>
      <w:rPr>
        <w:rFonts w:hint="default"/>
      </w:rPr>
    </w:lvl>
  </w:abstractNum>
  <w:abstractNum w:abstractNumId="8" w15:restartNumberingAfterBreak="0">
    <w:nsid w:val="2BEC4788"/>
    <w:multiLevelType w:val="multilevel"/>
    <w:tmpl w:val="1EB4669C"/>
    <w:lvl w:ilvl="0">
      <w:start w:val="1"/>
      <w:numFmt w:val="lowerLetter"/>
      <w:pStyle w:val="ARfinnumberalpha1"/>
      <w:lvlText w:val="(%1)"/>
      <w:lvlJc w:val="left"/>
      <w:pPr>
        <w:ind w:left="284" w:hanging="284"/>
      </w:pPr>
      <w:rPr>
        <w:rFonts w:hint="default"/>
      </w:rPr>
    </w:lvl>
    <w:lvl w:ilvl="1">
      <w:start w:val="1"/>
      <w:numFmt w:val="none"/>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3E6C68D4"/>
    <w:multiLevelType w:val="multilevel"/>
    <w:tmpl w:val="F206941E"/>
    <w:styleLink w:val="ZZTablefootnotenumbers"/>
    <w:lvl w:ilvl="0">
      <w:start w:val="1"/>
      <w:numFmt w:val="decimal"/>
      <w:pStyle w:val="ARnumberdigit"/>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46417553"/>
    <w:multiLevelType w:val="hybridMultilevel"/>
    <w:tmpl w:val="F2509E80"/>
    <w:lvl w:ilvl="0" w:tplc="B7DADE98">
      <w:start w:val="1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2C0A9D"/>
    <w:multiLevelType w:val="multilevel"/>
    <w:tmpl w:val="82462BA6"/>
    <w:lvl w:ilvl="0">
      <w:start w:val="1"/>
      <w:numFmt w:val="bullet"/>
      <w:pStyle w:val="ARbullet1"/>
      <w:lvlText w:val="&gt;"/>
      <w:lvlJc w:val="left"/>
      <w:pPr>
        <w:ind w:left="284" w:hanging="284"/>
      </w:pPr>
      <w:rPr>
        <w:rFonts w:ascii="Calibri" w:hAnsi="Calibri" w:hint="default"/>
        <w:color w:val="00645F" w:themeColor="text2"/>
        <w:sz w:val="22"/>
      </w:rPr>
    </w:lvl>
    <w:lvl w:ilvl="1">
      <w:start w:val="1"/>
      <w:numFmt w:val="bullet"/>
      <w:lvlRestart w:val="0"/>
      <w:pStyle w:val="ARbullet2"/>
      <w:lvlText w:val="–"/>
      <w:lvlJc w:val="left"/>
      <w:pPr>
        <w:ind w:left="567" w:hanging="283"/>
      </w:pPr>
      <w:rPr>
        <w:rFonts w:ascii="Calibri" w:hAnsi="Calibri" w:hint="default"/>
        <w:color w:val="auto"/>
      </w:rPr>
    </w:lvl>
    <w:lvl w:ilvl="2">
      <w:start w:val="1"/>
      <w:numFmt w:val="bullet"/>
      <w:lvlRestart w:val="0"/>
      <w:pStyle w:val="ARbullet3"/>
      <w:lvlText w:val="▪"/>
      <w:lvlJc w:val="left"/>
      <w:pPr>
        <w:ind w:left="851" w:hanging="284"/>
      </w:pPr>
      <w:rPr>
        <w:rFonts w:ascii="Calibri" w:hAnsi="Calibri"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0D66A14"/>
    <w:multiLevelType w:val="hybridMultilevel"/>
    <w:tmpl w:val="8190EB30"/>
    <w:lvl w:ilvl="0" w:tplc="025A8F12">
      <w:start w:val="1"/>
      <w:numFmt w:val="bullet"/>
      <w:pStyle w:val="ARfintablefootnoteindentbullet1"/>
      <w:lvlText w:val="•"/>
      <w:lvlJc w:val="left"/>
      <w:pPr>
        <w:ind w:left="720" w:hanging="360"/>
      </w:pPr>
      <w:rPr>
        <w:rFonts w:ascii="Galano Grotesque" w:hAnsi="Galano Grotesq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364E9D"/>
    <w:multiLevelType w:val="multilevel"/>
    <w:tmpl w:val="A67C8CAE"/>
    <w:styleLink w:val="ARnumberedparas"/>
    <w:lvl w:ilvl="0">
      <w:start w:val="1"/>
      <w:numFmt w:val="decimal"/>
      <w:pStyle w:val="ARtablefootnotenumbered"/>
      <w:lvlText w:val="%1."/>
      <w:lvlJc w:val="left"/>
      <w:pPr>
        <w:tabs>
          <w:tab w:val="num" w:pos="284"/>
        </w:tabs>
        <w:ind w:left="284" w:hanging="284"/>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BAE31FB"/>
    <w:multiLevelType w:val="multilevel"/>
    <w:tmpl w:val="56824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A17913"/>
    <w:multiLevelType w:val="hybridMultilevel"/>
    <w:tmpl w:val="E7847168"/>
    <w:lvl w:ilvl="0" w:tplc="FFFFFFFF">
      <w:start w:val="1"/>
      <w:numFmt w:val="lowerRoman"/>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2707A71"/>
    <w:multiLevelType w:val="multilevel"/>
    <w:tmpl w:val="CF2A3AE8"/>
    <w:styleLink w:val="ZZTablefootnotebullets"/>
    <w:lvl w:ilvl="0">
      <w:numFmt w:val="bullet"/>
      <w:pStyle w:val="ARtablefootnotebullet"/>
      <w:lvlText w:val="•"/>
      <w:lvlJc w:val="left"/>
      <w:pPr>
        <w:ind w:left="284" w:hanging="284"/>
      </w:pPr>
      <w:rPr>
        <w:rFonts w:ascii="Calibri" w:hAnsi="Calibri" w:hint="default"/>
        <w:color w:va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78E37B8A"/>
    <w:multiLevelType w:val="multilevel"/>
    <w:tmpl w:val="C13EE590"/>
    <w:styleLink w:val="Style1"/>
    <w:lvl w:ilvl="0">
      <w:start w:val="1"/>
      <w:numFmt w:val="bullet"/>
      <w:pStyle w:val="ARfintablebullet1"/>
      <w:lvlText w:val="•"/>
      <w:lvlJc w:val="left"/>
      <w:pPr>
        <w:tabs>
          <w:tab w:val="num" w:pos="227"/>
        </w:tabs>
        <w:ind w:left="227" w:hanging="227"/>
      </w:pPr>
      <w:rPr>
        <w:rFonts w:ascii="Aptos" w:hAnsi="Aptos" w:hint="default"/>
      </w:rPr>
    </w:lvl>
    <w:lvl w:ilvl="1">
      <w:start w:val="1"/>
      <w:numFmt w:val="bullet"/>
      <w:pStyle w:val="ARfintablebullet2"/>
      <w:lvlText w:val="−"/>
      <w:lvlJc w:val="left"/>
      <w:pPr>
        <w:tabs>
          <w:tab w:val="num" w:pos="454"/>
        </w:tabs>
        <w:ind w:left="454" w:hanging="227"/>
      </w:pPr>
      <w:rPr>
        <w:rFonts w:ascii="Arial" w:hAnsi="Arial" w:hint="default"/>
        <w:color w:val="00645F" w:themeColor="text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A1D6BA9"/>
    <w:multiLevelType w:val="hybridMultilevel"/>
    <w:tmpl w:val="89E2305C"/>
    <w:lvl w:ilvl="0" w:tplc="24E03318">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26807472">
    <w:abstractNumId w:val="1"/>
  </w:num>
  <w:num w:numId="2" w16cid:durableId="1869100726">
    <w:abstractNumId w:val="0"/>
  </w:num>
  <w:num w:numId="3" w16cid:durableId="908424734">
    <w:abstractNumId w:val="4"/>
  </w:num>
  <w:num w:numId="4" w16cid:durableId="459227521">
    <w:abstractNumId w:val="11"/>
  </w:num>
  <w:num w:numId="5" w16cid:durableId="1103917619">
    <w:abstractNumId w:val="3"/>
  </w:num>
  <w:num w:numId="6" w16cid:durableId="1284311954">
    <w:abstractNumId w:val="8"/>
  </w:num>
  <w:num w:numId="7" w16cid:durableId="460657803">
    <w:abstractNumId w:val="9"/>
  </w:num>
  <w:num w:numId="8" w16cid:durableId="274604891">
    <w:abstractNumId w:val="13"/>
  </w:num>
  <w:num w:numId="9" w16cid:durableId="506292126">
    <w:abstractNumId w:val="16"/>
  </w:num>
  <w:num w:numId="10" w16cid:durableId="198015211">
    <w:abstractNumId w:val="7"/>
  </w:num>
  <w:num w:numId="11" w16cid:durableId="828905072">
    <w:abstractNumId w:val="6"/>
  </w:num>
  <w:num w:numId="12" w16cid:durableId="1333099491">
    <w:abstractNumId w:val="5"/>
  </w:num>
  <w:num w:numId="13" w16cid:durableId="334116809">
    <w:abstractNumId w:val="12"/>
  </w:num>
  <w:num w:numId="14" w16cid:durableId="11079650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94497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55630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72720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7413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0757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29141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6026368">
    <w:abstractNumId w:val="17"/>
  </w:num>
  <w:num w:numId="22" w16cid:durableId="1913393727">
    <w:abstractNumId w:val="11"/>
    <w:lvlOverride w:ilvl="0">
      <w:lvl w:ilvl="0">
        <w:start w:val="1"/>
        <w:numFmt w:val="bullet"/>
        <w:pStyle w:val="ARbullet1"/>
        <w:lvlText w:val="&gt;"/>
        <w:lvlJc w:val="left"/>
        <w:pPr>
          <w:ind w:left="284" w:hanging="284"/>
        </w:pPr>
        <w:rPr>
          <w:rFonts w:ascii="Calibri" w:hAnsi="Calibri" w:hint="default"/>
          <w:color w:val="00645F"/>
          <w:sz w:val="22"/>
        </w:rPr>
      </w:lvl>
    </w:lvlOverride>
  </w:num>
  <w:num w:numId="23" w16cid:durableId="1637373373">
    <w:abstractNumId w:val="11"/>
    <w:lvlOverride w:ilvl="0">
      <w:lvl w:ilvl="0">
        <w:start w:val="1"/>
        <w:numFmt w:val="bullet"/>
        <w:pStyle w:val="ARbullet1"/>
        <w:lvlText w:val="&gt;"/>
        <w:lvlJc w:val="left"/>
        <w:pPr>
          <w:ind w:left="284" w:hanging="284"/>
        </w:pPr>
        <w:rPr>
          <w:rFonts w:ascii="Calibri" w:hAnsi="Calibri" w:hint="default"/>
          <w:color w:val="00645F"/>
          <w:sz w:val="22"/>
        </w:rPr>
      </w:lvl>
    </w:lvlOverride>
  </w:num>
  <w:num w:numId="24" w16cid:durableId="1417482372">
    <w:abstractNumId w:val="10"/>
  </w:num>
  <w:num w:numId="25" w16cid:durableId="121075388">
    <w:abstractNumId w:val="18"/>
  </w:num>
  <w:num w:numId="26" w16cid:durableId="72775673">
    <w:abstractNumId w:val="2"/>
  </w:num>
  <w:num w:numId="27" w16cid:durableId="296111039">
    <w:abstractNumId w:val="15"/>
  </w:num>
  <w:num w:numId="28" w16cid:durableId="591821656">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0" w:nlCheck="1" w:checkStyle="0"/>
  <w:activeWritingStyle w:appName="MSWord" w:lang="en-AU" w:vendorID="64" w:dllVersion="0" w:nlCheck="1" w:checkStyle="0"/>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34A"/>
    <w:rsid w:val="0000062B"/>
    <w:rsid w:val="000006DD"/>
    <w:rsid w:val="00000E23"/>
    <w:rsid w:val="00000FA0"/>
    <w:rsid w:val="000010E5"/>
    <w:rsid w:val="00001133"/>
    <w:rsid w:val="000018E0"/>
    <w:rsid w:val="00001BE5"/>
    <w:rsid w:val="00001D9E"/>
    <w:rsid w:val="000021B3"/>
    <w:rsid w:val="00002282"/>
    <w:rsid w:val="000028B2"/>
    <w:rsid w:val="000029A1"/>
    <w:rsid w:val="00003151"/>
    <w:rsid w:val="00003372"/>
    <w:rsid w:val="000037EE"/>
    <w:rsid w:val="00003ADA"/>
    <w:rsid w:val="000044E3"/>
    <w:rsid w:val="000056B0"/>
    <w:rsid w:val="00005B09"/>
    <w:rsid w:val="00005EA7"/>
    <w:rsid w:val="0000616C"/>
    <w:rsid w:val="00006B61"/>
    <w:rsid w:val="00006F43"/>
    <w:rsid w:val="00006FF7"/>
    <w:rsid w:val="00007325"/>
    <w:rsid w:val="00007406"/>
    <w:rsid w:val="0000767A"/>
    <w:rsid w:val="00007894"/>
    <w:rsid w:val="000078EE"/>
    <w:rsid w:val="00007B74"/>
    <w:rsid w:val="00010041"/>
    <w:rsid w:val="0001030A"/>
    <w:rsid w:val="000103F0"/>
    <w:rsid w:val="00010444"/>
    <w:rsid w:val="000107CB"/>
    <w:rsid w:val="00010D92"/>
    <w:rsid w:val="00010EB4"/>
    <w:rsid w:val="000114E8"/>
    <w:rsid w:val="00011A05"/>
    <w:rsid w:val="00012486"/>
    <w:rsid w:val="0001283F"/>
    <w:rsid w:val="00012A63"/>
    <w:rsid w:val="00012C59"/>
    <w:rsid w:val="00012CC0"/>
    <w:rsid w:val="000134FA"/>
    <w:rsid w:val="0001363F"/>
    <w:rsid w:val="00013B46"/>
    <w:rsid w:val="00014126"/>
    <w:rsid w:val="000148E8"/>
    <w:rsid w:val="00014DE0"/>
    <w:rsid w:val="0001503E"/>
    <w:rsid w:val="000153FF"/>
    <w:rsid w:val="0001575F"/>
    <w:rsid w:val="0001578D"/>
    <w:rsid w:val="000157EA"/>
    <w:rsid w:val="00015E13"/>
    <w:rsid w:val="00016C18"/>
    <w:rsid w:val="00016CA9"/>
    <w:rsid w:val="00016F8C"/>
    <w:rsid w:val="00017492"/>
    <w:rsid w:val="000174D5"/>
    <w:rsid w:val="00017DD1"/>
    <w:rsid w:val="00020036"/>
    <w:rsid w:val="00020913"/>
    <w:rsid w:val="00020CD2"/>
    <w:rsid w:val="00021A79"/>
    <w:rsid w:val="000222B1"/>
    <w:rsid w:val="0002291C"/>
    <w:rsid w:val="0002294F"/>
    <w:rsid w:val="00022CFF"/>
    <w:rsid w:val="00022DA5"/>
    <w:rsid w:val="00023DD0"/>
    <w:rsid w:val="00023EED"/>
    <w:rsid w:val="0002448F"/>
    <w:rsid w:val="0002460C"/>
    <w:rsid w:val="0002466F"/>
    <w:rsid w:val="00024BDC"/>
    <w:rsid w:val="000251A9"/>
    <w:rsid w:val="00025582"/>
    <w:rsid w:val="00025724"/>
    <w:rsid w:val="000258A0"/>
    <w:rsid w:val="00025907"/>
    <w:rsid w:val="000266FB"/>
    <w:rsid w:val="00026796"/>
    <w:rsid w:val="0002694E"/>
    <w:rsid w:val="00026B51"/>
    <w:rsid w:val="00026EEE"/>
    <w:rsid w:val="00026EF5"/>
    <w:rsid w:val="0002743D"/>
    <w:rsid w:val="000275CD"/>
    <w:rsid w:val="000279DE"/>
    <w:rsid w:val="00027BB5"/>
    <w:rsid w:val="00030022"/>
    <w:rsid w:val="000308AF"/>
    <w:rsid w:val="00030E92"/>
    <w:rsid w:val="0003193A"/>
    <w:rsid w:val="0003194F"/>
    <w:rsid w:val="00031A2D"/>
    <w:rsid w:val="00031FA9"/>
    <w:rsid w:val="000321AE"/>
    <w:rsid w:val="000322CA"/>
    <w:rsid w:val="000324E3"/>
    <w:rsid w:val="00032ABF"/>
    <w:rsid w:val="00033123"/>
    <w:rsid w:val="00033D68"/>
    <w:rsid w:val="00033E97"/>
    <w:rsid w:val="00033FCE"/>
    <w:rsid w:val="00034691"/>
    <w:rsid w:val="00034898"/>
    <w:rsid w:val="00035367"/>
    <w:rsid w:val="000358A2"/>
    <w:rsid w:val="00035FFD"/>
    <w:rsid w:val="0003644B"/>
    <w:rsid w:val="00036B4C"/>
    <w:rsid w:val="00036C59"/>
    <w:rsid w:val="00037824"/>
    <w:rsid w:val="00037876"/>
    <w:rsid w:val="00037DED"/>
    <w:rsid w:val="00040240"/>
    <w:rsid w:val="0004092B"/>
    <w:rsid w:val="000413DF"/>
    <w:rsid w:val="000417AF"/>
    <w:rsid w:val="000417C0"/>
    <w:rsid w:val="00041A95"/>
    <w:rsid w:val="00041C4D"/>
    <w:rsid w:val="000428F7"/>
    <w:rsid w:val="000429F7"/>
    <w:rsid w:val="00042BA6"/>
    <w:rsid w:val="00042D02"/>
    <w:rsid w:val="00042DA5"/>
    <w:rsid w:val="00042EB0"/>
    <w:rsid w:val="0004352A"/>
    <w:rsid w:val="00043E7E"/>
    <w:rsid w:val="000440EB"/>
    <w:rsid w:val="00044316"/>
    <w:rsid w:val="00044466"/>
    <w:rsid w:val="00044AF1"/>
    <w:rsid w:val="00045210"/>
    <w:rsid w:val="0004596B"/>
    <w:rsid w:val="00045E56"/>
    <w:rsid w:val="000461AE"/>
    <w:rsid w:val="000462EC"/>
    <w:rsid w:val="000469B1"/>
    <w:rsid w:val="000469F8"/>
    <w:rsid w:val="00046FCA"/>
    <w:rsid w:val="0004700F"/>
    <w:rsid w:val="000476D8"/>
    <w:rsid w:val="0004771B"/>
    <w:rsid w:val="00047B0B"/>
    <w:rsid w:val="00047C73"/>
    <w:rsid w:val="00047CE7"/>
    <w:rsid w:val="0005019C"/>
    <w:rsid w:val="000502C0"/>
    <w:rsid w:val="00050482"/>
    <w:rsid w:val="00050A55"/>
    <w:rsid w:val="00050B5E"/>
    <w:rsid w:val="000511EC"/>
    <w:rsid w:val="000515BF"/>
    <w:rsid w:val="00051781"/>
    <w:rsid w:val="00051E78"/>
    <w:rsid w:val="00051FC9"/>
    <w:rsid w:val="0005229B"/>
    <w:rsid w:val="000522D0"/>
    <w:rsid w:val="000527A2"/>
    <w:rsid w:val="00052BF6"/>
    <w:rsid w:val="00053BFA"/>
    <w:rsid w:val="00053D25"/>
    <w:rsid w:val="00054189"/>
    <w:rsid w:val="0005481D"/>
    <w:rsid w:val="00054895"/>
    <w:rsid w:val="00054E8C"/>
    <w:rsid w:val="00054FF9"/>
    <w:rsid w:val="0005518C"/>
    <w:rsid w:val="0005549D"/>
    <w:rsid w:val="00055D1C"/>
    <w:rsid w:val="00055ECC"/>
    <w:rsid w:val="00057335"/>
    <w:rsid w:val="000579DB"/>
    <w:rsid w:val="00057B13"/>
    <w:rsid w:val="0006019B"/>
    <w:rsid w:val="0006035A"/>
    <w:rsid w:val="0006084B"/>
    <w:rsid w:val="00060865"/>
    <w:rsid w:val="000608E0"/>
    <w:rsid w:val="00060AD4"/>
    <w:rsid w:val="00060CE0"/>
    <w:rsid w:val="00061A39"/>
    <w:rsid w:val="000621CE"/>
    <w:rsid w:val="000626D6"/>
    <w:rsid w:val="00062B6B"/>
    <w:rsid w:val="00063542"/>
    <w:rsid w:val="00064093"/>
    <w:rsid w:val="00064138"/>
    <w:rsid w:val="0006456D"/>
    <w:rsid w:val="000651BD"/>
    <w:rsid w:val="000652E5"/>
    <w:rsid w:val="000652EA"/>
    <w:rsid w:val="00065378"/>
    <w:rsid w:val="00065385"/>
    <w:rsid w:val="00065AA6"/>
    <w:rsid w:val="00065E58"/>
    <w:rsid w:val="0006664D"/>
    <w:rsid w:val="000666B3"/>
    <w:rsid w:val="000667C4"/>
    <w:rsid w:val="00066840"/>
    <w:rsid w:val="000668E0"/>
    <w:rsid w:val="00066CE0"/>
    <w:rsid w:val="0006753F"/>
    <w:rsid w:val="0006784F"/>
    <w:rsid w:val="00067B24"/>
    <w:rsid w:val="00067C8D"/>
    <w:rsid w:val="00067F9F"/>
    <w:rsid w:val="0007078D"/>
    <w:rsid w:val="0007078F"/>
    <w:rsid w:val="00070AF7"/>
    <w:rsid w:val="0007117D"/>
    <w:rsid w:val="00071503"/>
    <w:rsid w:val="0007157A"/>
    <w:rsid w:val="0007180E"/>
    <w:rsid w:val="00071A18"/>
    <w:rsid w:val="00071B26"/>
    <w:rsid w:val="00071DB1"/>
    <w:rsid w:val="00071FC9"/>
    <w:rsid w:val="00071FF9"/>
    <w:rsid w:val="00072272"/>
    <w:rsid w:val="00072730"/>
    <w:rsid w:val="00072AF0"/>
    <w:rsid w:val="00072B63"/>
    <w:rsid w:val="000735DC"/>
    <w:rsid w:val="00073641"/>
    <w:rsid w:val="0007395B"/>
    <w:rsid w:val="00073C87"/>
    <w:rsid w:val="0007452B"/>
    <w:rsid w:val="000745C2"/>
    <w:rsid w:val="00074625"/>
    <w:rsid w:val="0007482B"/>
    <w:rsid w:val="00074A4D"/>
    <w:rsid w:val="00074E6D"/>
    <w:rsid w:val="00075565"/>
    <w:rsid w:val="00075F2C"/>
    <w:rsid w:val="000763F6"/>
    <w:rsid w:val="00076509"/>
    <w:rsid w:val="0007675A"/>
    <w:rsid w:val="00076E70"/>
    <w:rsid w:val="00076F41"/>
    <w:rsid w:val="00076FFC"/>
    <w:rsid w:val="0007728E"/>
    <w:rsid w:val="00077867"/>
    <w:rsid w:val="00077A27"/>
    <w:rsid w:val="00077DD0"/>
    <w:rsid w:val="00080825"/>
    <w:rsid w:val="00081F66"/>
    <w:rsid w:val="00081F91"/>
    <w:rsid w:val="00082265"/>
    <w:rsid w:val="000824BB"/>
    <w:rsid w:val="00082599"/>
    <w:rsid w:val="0008276C"/>
    <w:rsid w:val="00082E79"/>
    <w:rsid w:val="00083017"/>
    <w:rsid w:val="000834F8"/>
    <w:rsid w:val="00083867"/>
    <w:rsid w:val="0008394E"/>
    <w:rsid w:val="00083AE3"/>
    <w:rsid w:val="00083E77"/>
    <w:rsid w:val="00084594"/>
    <w:rsid w:val="00084780"/>
    <w:rsid w:val="000847DD"/>
    <w:rsid w:val="00084882"/>
    <w:rsid w:val="00084AAA"/>
    <w:rsid w:val="00084D62"/>
    <w:rsid w:val="00084D7A"/>
    <w:rsid w:val="0008513E"/>
    <w:rsid w:val="000858CA"/>
    <w:rsid w:val="000859E5"/>
    <w:rsid w:val="00085B8B"/>
    <w:rsid w:val="00085DAF"/>
    <w:rsid w:val="00086359"/>
    <w:rsid w:val="00086A5B"/>
    <w:rsid w:val="00087261"/>
    <w:rsid w:val="00087328"/>
    <w:rsid w:val="0008742A"/>
    <w:rsid w:val="00087BFA"/>
    <w:rsid w:val="0009049C"/>
    <w:rsid w:val="00090A89"/>
    <w:rsid w:val="00090E11"/>
    <w:rsid w:val="00092375"/>
    <w:rsid w:val="0009250D"/>
    <w:rsid w:val="00092B43"/>
    <w:rsid w:val="00092EE3"/>
    <w:rsid w:val="000933B0"/>
    <w:rsid w:val="000939B4"/>
    <w:rsid w:val="00093AC5"/>
    <w:rsid w:val="000940F1"/>
    <w:rsid w:val="0009422C"/>
    <w:rsid w:val="0009569C"/>
    <w:rsid w:val="0009574E"/>
    <w:rsid w:val="000957B3"/>
    <w:rsid w:val="00095E09"/>
    <w:rsid w:val="000961CF"/>
    <w:rsid w:val="00096286"/>
    <w:rsid w:val="00096423"/>
    <w:rsid w:val="0009687C"/>
    <w:rsid w:val="00096973"/>
    <w:rsid w:val="000975DE"/>
    <w:rsid w:val="0009770E"/>
    <w:rsid w:val="00097801"/>
    <w:rsid w:val="000979C3"/>
    <w:rsid w:val="00097FC8"/>
    <w:rsid w:val="00097FD9"/>
    <w:rsid w:val="000A039E"/>
    <w:rsid w:val="000A0A5F"/>
    <w:rsid w:val="000A0A65"/>
    <w:rsid w:val="000A1330"/>
    <w:rsid w:val="000A13F0"/>
    <w:rsid w:val="000A1A42"/>
    <w:rsid w:val="000A1ADA"/>
    <w:rsid w:val="000A1F55"/>
    <w:rsid w:val="000A21F7"/>
    <w:rsid w:val="000A2237"/>
    <w:rsid w:val="000A250E"/>
    <w:rsid w:val="000A2547"/>
    <w:rsid w:val="000A2925"/>
    <w:rsid w:val="000A2CB9"/>
    <w:rsid w:val="000A30DD"/>
    <w:rsid w:val="000A379F"/>
    <w:rsid w:val="000A380D"/>
    <w:rsid w:val="000A399F"/>
    <w:rsid w:val="000A3B89"/>
    <w:rsid w:val="000A3C79"/>
    <w:rsid w:val="000A3D2D"/>
    <w:rsid w:val="000A3EA1"/>
    <w:rsid w:val="000A3F82"/>
    <w:rsid w:val="000A3FE1"/>
    <w:rsid w:val="000A46DF"/>
    <w:rsid w:val="000A4A89"/>
    <w:rsid w:val="000A5139"/>
    <w:rsid w:val="000A51C9"/>
    <w:rsid w:val="000A579D"/>
    <w:rsid w:val="000A5FF0"/>
    <w:rsid w:val="000A61CB"/>
    <w:rsid w:val="000A6353"/>
    <w:rsid w:val="000A67F7"/>
    <w:rsid w:val="000A6914"/>
    <w:rsid w:val="000A6C50"/>
    <w:rsid w:val="000A6E26"/>
    <w:rsid w:val="000A6F87"/>
    <w:rsid w:val="000A7336"/>
    <w:rsid w:val="000A7A1A"/>
    <w:rsid w:val="000A7B35"/>
    <w:rsid w:val="000B0056"/>
    <w:rsid w:val="000B05C3"/>
    <w:rsid w:val="000B08C7"/>
    <w:rsid w:val="000B14AA"/>
    <w:rsid w:val="000B1545"/>
    <w:rsid w:val="000B1887"/>
    <w:rsid w:val="000B1DC6"/>
    <w:rsid w:val="000B240F"/>
    <w:rsid w:val="000B251F"/>
    <w:rsid w:val="000B2890"/>
    <w:rsid w:val="000B290D"/>
    <w:rsid w:val="000B2A19"/>
    <w:rsid w:val="000B33C2"/>
    <w:rsid w:val="000B4444"/>
    <w:rsid w:val="000B550C"/>
    <w:rsid w:val="000B58AC"/>
    <w:rsid w:val="000B6516"/>
    <w:rsid w:val="000B6925"/>
    <w:rsid w:val="000B6C5C"/>
    <w:rsid w:val="000B72C7"/>
    <w:rsid w:val="000B72FF"/>
    <w:rsid w:val="000B7B23"/>
    <w:rsid w:val="000B7C46"/>
    <w:rsid w:val="000B7CB8"/>
    <w:rsid w:val="000B7CC9"/>
    <w:rsid w:val="000B7E9B"/>
    <w:rsid w:val="000C0235"/>
    <w:rsid w:val="000C0300"/>
    <w:rsid w:val="000C0334"/>
    <w:rsid w:val="000C0816"/>
    <w:rsid w:val="000C0A18"/>
    <w:rsid w:val="000C0B3B"/>
    <w:rsid w:val="000C1181"/>
    <w:rsid w:val="000C1427"/>
    <w:rsid w:val="000C1435"/>
    <w:rsid w:val="000C180A"/>
    <w:rsid w:val="000C18AA"/>
    <w:rsid w:val="000C1980"/>
    <w:rsid w:val="000C20D0"/>
    <w:rsid w:val="000C2147"/>
    <w:rsid w:val="000C235D"/>
    <w:rsid w:val="000C263B"/>
    <w:rsid w:val="000C2723"/>
    <w:rsid w:val="000C2A2C"/>
    <w:rsid w:val="000C2D5D"/>
    <w:rsid w:val="000C2D9C"/>
    <w:rsid w:val="000C2DF4"/>
    <w:rsid w:val="000C31BF"/>
    <w:rsid w:val="000C32DE"/>
    <w:rsid w:val="000C34BF"/>
    <w:rsid w:val="000C421D"/>
    <w:rsid w:val="000C4430"/>
    <w:rsid w:val="000C4643"/>
    <w:rsid w:val="000C557A"/>
    <w:rsid w:val="000C562C"/>
    <w:rsid w:val="000C57BE"/>
    <w:rsid w:val="000C5A5C"/>
    <w:rsid w:val="000C6213"/>
    <w:rsid w:val="000C638F"/>
    <w:rsid w:val="000C6BBA"/>
    <w:rsid w:val="000C6BC9"/>
    <w:rsid w:val="000C6C75"/>
    <w:rsid w:val="000C6D12"/>
    <w:rsid w:val="000C6DC7"/>
    <w:rsid w:val="000C6FB5"/>
    <w:rsid w:val="000C72DD"/>
    <w:rsid w:val="000C7308"/>
    <w:rsid w:val="000C74A2"/>
    <w:rsid w:val="000C7A6F"/>
    <w:rsid w:val="000C7AA5"/>
    <w:rsid w:val="000D0351"/>
    <w:rsid w:val="000D0491"/>
    <w:rsid w:val="000D0BD1"/>
    <w:rsid w:val="000D0CE1"/>
    <w:rsid w:val="000D0D98"/>
    <w:rsid w:val="000D0E64"/>
    <w:rsid w:val="000D1959"/>
    <w:rsid w:val="000D1E6B"/>
    <w:rsid w:val="000D253F"/>
    <w:rsid w:val="000D264E"/>
    <w:rsid w:val="000D273E"/>
    <w:rsid w:val="000D2C86"/>
    <w:rsid w:val="000D2E16"/>
    <w:rsid w:val="000D3421"/>
    <w:rsid w:val="000D3F61"/>
    <w:rsid w:val="000D44BB"/>
    <w:rsid w:val="000D468F"/>
    <w:rsid w:val="000D4DA8"/>
    <w:rsid w:val="000D5BC1"/>
    <w:rsid w:val="000D5D5D"/>
    <w:rsid w:val="000D5EA1"/>
    <w:rsid w:val="000D638F"/>
    <w:rsid w:val="000D6495"/>
    <w:rsid w:val="000D6611"/>
    <w:rsid w:val="000D7159"/>
    <w:rsid w:val="000D7278"/>
    <w:rsid w:val="000D7866"/>
    <w:rsid w:val="000D79F6"/>
    <w:rsid w:val="000D7C9A"/>
    <w:rsid w:val="000E0488"/>
    <w:rsid w:val="000E0660"/>
    <w:rsid w:val="000E0BC5"/>
    <w:rsid w:val="000E1327"/>
    <w:rsid w:val="000E158A"/>
    <w:rsid w:val="000E165A"/>
    <w:rsid w:val="000E1D16"/>
    <w:rsid w:val="000E22FE"/>
    <w:rsid w:val="000E2CD3"/>
    <w:rsid w:val="000E2F35"/>
    <w:rsid w:val="000E3409"/>
    <w:rsid w:val="000E341A"/>
    <w:rsid w:val="000E3641"/>
    <w:rsid w:val="000E38BD"/>
    <w:rsid w:val="000E392F"/>
    <w:rsid w:val="000E3C44"/>
    <w:rsid w:val="000E3CA4"/>
    <w:rsid w:val="000E4B9B"/>
    <w:rsid w:val="000E4C42"/>
    <w:rsid w:val="000E4CE7"/>
    <w:rsid w:val="000E594E"/>
    <w:rsid w:val="000E5FAC"/>
    <w:rsid w:val="000E605B"/>
    <w:rsid w:val="000E6A68"/>
    <w:rsid w:val="000E6EC6"/>
    <w:rsid w:val="000E720F"/>
    <w:rsid w:val="000E74F6"/>
    <w:rsid w:val="000E75A6"/>
    <w:rsid w:val="000E75F7"/>
    <w:rsid w:val="000E7663"/>
    <w:rsid w:val="000E7899"/>
    <w:rsid w:val="000E7D52"/>
    <w:rsid w:val="000E7D63"/>
    <w:rsid w:val="000F00BE"/>
    <w:rsid w:val="000F03A9"/>
    <w:rsid w:val="000F03FF"/>
    <w:rsid w:val="000F0599"/>
    <w:rsid w:val="000F05BD"/>
    <w:rsid w:val="000F068D"/>
    <w:rsid w:val="000F09A8"/>
    <w:rsid w:val="000F09AD"/>
    <w:rsid w:val="000F0C11"/>
    <w:rsid w:val="000F0F58"/>
    <w:rsid w:val="000F1ABE"/>
    <w:rsid w:val="000F1E93"/>
    <w:rsid w:val="000F2844"/>
    <w:rsid w:val="000F2DF4"/>
    <w:rsid w:val="000F2EE3"/>
    <w:rsid w:val="000F30D4"/>
    <w:rsid w:val="000F33D2"/>
    <w:rsid w:val="000F3A23"/>
    <w:rsid w:val="000F3A95"/>
    <w:rsid w:val="000F3B07"/>
    <w:rsid w:val="000F41D1"/>
    <w:rsid w:val="000F4484"/>
    <w:rsid w:val="000F4823"/>
    <w:rsid w:val="000F4AC1"/>
    <w:rsid w:val="000F4B6B"/>
    <w:rsid w:val="000F4CAF"/>
    <w:rsid w:val="000F4DD4"/>
    <w:rsid w:val="000F527C"/>
    <w:rsid w:val="000F53FA"/>
    <w:rsid w:val="000F55CB"/>
    <w:rsid w:val="000F5C4A"/>
    <w:rsid w:val="000F680F"/>
    <w:rsid w:val="000F69DE"/>
    <w:rsid w:val="000F6AD6"/>
    <w:rsid w:val="000F7220"/>
    <w:rsid w:val="000F7284"/>
    <w:rsid w:val="000F7452"/>
    <w:rsid w:val="000F748E"/>
    <w:rsid w:val="00100C3A"/>
    <w:rsid w:val="00100ED7"/>
    <w:rsid w:val="00101172"/>
    <w:rsid w:val="00101267"/>
    <w:rsid w:val="001015A9"/>
    <w:rsid w:val="00101A68"/>
    <w:rsid w:val="00101BA9"/>
    <w:rsid w:val="00101ED0"/>
    <w:rsid w:val="001022AB"/>
    <w:rsid w:val="001024D6"/>
    <w:rsid w:val="0010267A"/>
    <w:rsid w:val="00102DA9"/>
    <w:rsid w:val="00102F53"/>
    <w:rsid w:val="00103BF7"/>
    <w:rsid w:val="00103E09"/>
    <w:rsid w:val="001040B7"/>
    <w:rsid w:val="0010410A"/>
    <w:rsid w:val="00104166"/>
    <w:rsid w:val="0010458D"/>
    <w:rsid w:val="001045C4"/>
    <w:rsid w:val="001048A6"/>
    <w:rsid w:val="001048C7"/>
    <w:rsid w:val="00104E68"/>
    <w:rsid w:val="00105128"/>
    <w:rsid w:val="001051D7"/>
    <w:rsid w:val="00105453"/>
    <w:rsid w:val="00105838"/>
    <w:rsid w:val="00105D49"/>
    <w:rsid w:val="00105EBA"/>
    <w:rsid w:val="00105F83"/>
    <w:rsid w:val="00105FC9"/>
    <w:rsid w:val="00106129"/>
    <w:rsid w:val="0010629D"/>
    <w:rsid w:val="001062ED"/>
    <w:rsid w:val="00106EA8"/>
    <w:rsid w:val="00107080"/>
    <w:rsid w:val="00107A36"/>
    <w:rsid w:val="0011086A"/>
    <w:rsid w:val="00111BCF"/>
    <w:rsid w:val="00111E00"/>
    <w:rsid w:val="00111FC4"/>
    <w:rsid w:val="00112329"/>
    <w:rsid w:val="00112513"/>
    <w:rsid w:val="0011284C"/>
    <w:rsid w:val="00112B79"/>
    <w:rsid w:val="00112C5A"/>
    <w:rsid w:val="001130EE"/>
    <w:rsid w:val="001137B9"/>
    <w:rsid w:val="00113823"/>
    <w:rsid w:val="00113C79"/>
    <w:rsid w:val="001141A5"/>
    <w:rsid w:val="0011443A"/>
    <w:rsid w:val="00114558"/>
    <w:rsid w:val="00114576"/>
    <w:rsid w:val="00114978"/>
    <w:rsid w:val="00114C18"/>
    <w:rsid w:val="00114DE2"/>
    <w:rsid w:val="00114EEE"/>
    <w:rsid w:val="001152ED"/>
    <w:rsid w:val="001155B2"/>
    <w:rsid w:val="0011561F"/>
    <w:rsid w:val="00115969"/>
    <w:rsid w:val="00115B37"/>
    <w:rsid w:val="001160BC"/>
    <w:rsid w:val="00116445"/>
    <w:rsid w:val="0011743A"/>
    <w:rsid w:val="001176CC"/>
    <w:rsid w:val="001176E2"/>
    <w:rsid w:val="001178AF"/>
    <w:rsid w:val="00117DE3"/>
    <w:rsid w:val="00120540"/>
    <w:rsid w:val="001208B4"/>
    <w:rsid w:val="00120E6B"/>
    <w:rsid w:val="001210DA"/>
    <w:rsid w:val="001211F7"/>
    <w:rsid w:val="001218BF"/>
    <w:rsid w:val="00121B09"/>
    <w:rsid w:val="00121CEF"/>
    <w:rsid w:val="0012287A"/>
    <w:rsid w:val="00122C99"/>
    <w:rsid w:val="00123338"/>
    <w:rsid w:val="0012337B"/>
    <w:rsid w:val="001239E0"/>
    <w:rsid w:val="00123E61"/>
    <w:rsid w:val="00123FC4"/>
    <w:rsid w:val="0012413B"/>
    <w:rsid w:val="00124399"/>
    <w:rsid w:val="001245F5"/>
    <w:rsid w:val="00124A8B"/>
    <w:rsid w:val="00124B01"/>
    <w:rsid w:val="00124B49"/>
    <w:rsid w:val="00124D31"/>
    <w:rsid w:val="00125049"/>
    <w:rsid w:val="001250F9"/>
    <w:rsid w:val="001252EE"/>
    <w:rsid w:val="001254EB"/>
    <w:rsid w:val="001255B8"/>
    <w:rsid w:val="0012588D"/>
    <w:rsid w:val="00125979"/>
    <w:rsid w:val="001259C6"/>
    <w:rsid w:val="00125AF4"/>
    <w:rsid w:val="00126118"/>
    <w:rsid w:val="00126606"/>
    <w:rsid w:val="001268AE"/>
    <w:rsid w:val="00126F8C"/>
    <w:rsid w:val="00127478"/>
    <w:rsid w:val="001275ED"/>
    <w:rsid w:val="00127B0D"/>
    <w:rsid w:val="00127D69"/>
    <w:rsid w:val="001301C2"/>
    <w:rsid w:val="00130336"/>
    <w:rsid w:val="00130483"/>
    <w:rsid w:val="00130DD3"/>
    <w:rsid w:val="001310DD"/>
    <w:rsid w:val="00131285"/>
    <w:rsid w:val="001313B8"/>
    <w:rsid w:val="0013156D"/>
    <w:rsid w:val="00131C57"/>
    <w:rsid w:val="0013222F"/>
    <w:rsid w:val="00132288"/>
    <w:rsid w:val="001323CE"/>
    <w:rsid w:val="00132B64"/>
    <w:rsid w:val="00132BE2"/>
    <w:rsid w:val="00132F21"/>
    <w:rsid w:val="00133337"/>
    <w:rsid w:val="001337CA"/>
    <w:rsid w:val="00133C77"/>
    <w:rsid w:val="00134110"/>
    <w:rsid w:val="00134810"/>
    <w:rsid w:val="00134DDE"/>
    <w:rsid w:val="0013519F"/>
    <w:rsid w:val="001357FA"/>
    <w:rsid w:val="00135A2A"/>
    <w:rsid w:val="00135A61"/>
    <w:rsid w:val="00135B5B"/>
    <w:rsid w:val="00135F31"/>
    <w:rsid w:val="0013600A"/>
    <w:rsid w:val="0013613F"/>
    <w:rsid w:val="0013663C"/>
    <w:rsid w:val="00136D81"/>
    <w:rsid w:val="0013759E"/>
    <w:rsid w:val="00137A3F"/>
    <w:rsid w:val="0014013A"/>
    <w:rsid w:val="001408E5"/>
    <w:rsid w:val="00141075"/>
    <w:rsid w:val="001413BF"/>
    <w:rsid w:val="00141718"/>
    <w:rsid w:val="00141857"/>
    <w:rsid w:val="001418BB"/>
    <w:rsid w:val="00141BBF"/>
    <w:rsid w:val="00141CD8"/>
    <w:rsid w:val="00141D5C"/>
    <w:rsid w:val="00141DDB"/>
    <w:rsid w:val="00142A4D"/>
    <w:rsid w:val="00142AF5"/>
    <w:rsid w:val="001438DE"/>
    <w:rsid w:val="00144146"/>
    <w:rsid w:val="00144729"/>
    <w:rsid w:val="001448DB"/>
    <w:rsid w:val="00144C55"/>
    <w:rsid w:val="00144E36"/>
    <w:rsid w:val="00144FF3"/>
    <w:rsid w:val="001453EF"/>
    <w:rsid w:val="001453F8"/>
    <w:rsid w:val="00145559"/>
    <w:rsid w:val="00145839"/>
    <w:rsid w:val="00146188"/>
    <w:rsid w:val="001469D8"/>
    <w:rsid w:val="0014704F"/>
    <w:rsid w:val="001473CF"/>
    <w:rsid w:val="001475B9"/>
    <w:rsid w:val="001478D0"/>
    <w:rsid w:val="001501B1"/>
    <w:rsid w:val="00150380"/>
    <w:rsid w:val="001513A6"/>
    <w:rsid w:val="00151820"/>
    <w:rsid w:val="00151E0B"/>
    <w:rsid w:val="00151F29"/>
    <w:rsid w:val="00151F4D"/>
    <w:rsid w:val="00152046"/>
    <w:rsid w:val="001520DA"/>
    <w:rsid w:val="00152281"/>
    <w:rsid w:val="0015228D"/>
    <w:rsid w:val="0015244F"/>
    <w:rsid w:val="001524C0"/>
    <w:rsid w:val="00152F1D"/>
    <w:rsid w:val="001532E8"/>
    <w:rsid w:val="0015353B"/>
    <w:rsid w:val="001539C0"/>
    <w:rsid w:val="00153E0A"/>
    <w:rsid w:val="001540CF"/>
    <w:rsid w:val="00154355"/>
    <w:rsid w:val="00154402"/>
    <w:rsid w:val="0015444F"/>
    <w:rsid w:val="00154F4B"/>
    <w:rsid w:val="001550E7"/>
    <w:rsid w:val="00155172"/>
    <w:rsid w:val="00155467"/>
    <w:rsid w:val="00155853"/>
    <w:rsid w:val="001568E5"/>
    <w:rsid w:val="001568F0"/>
    <w:rsid w:val="001577EC"/>
    <w:rsid w:val="001579F2"/>
    <w:rsid w:val="00157CC6"/>
    <w:rsid w:val="0016028D"/>
    <w:rsid w:val="001603EA"/>
    <w:rsid w:val="00160477"/>
    <w:rsid w:val="00160489"/>
    <w:rsid w:val="0016084F"/>
    <w:rsid w:val="001609DF"/>
    <w:rsid w:val="0016101E"/>
    <w:rsid w:val="001616C3"/>
    <w:rsid w:val="00161767"/>
    <w:rsid w:val="00161A79"/>
    <w:rsid w:val="00161C89"/>
    <w:rsid w:val="00161D1F"/>
    <w:rsid w:val="00161D92"/>
    <w:rsid w:val="00162279"/>
    <w:rsid w:val="001625B9"/>
    <w:rsid w:val="00162611"/>
    <w:rsid w:val="0016269E"/>
    <w:rsid w:val="00162B4A"/>
    <w:rsid w:val="00162E76"/>
    <w:rsid w:val="001631DF"/>
    <w:rsid w:val="00163341"/>
    <w:rsid w:val="0016377C"/>
    <w:rsid w:val="00163F33"/>
    <w:rsid w:val="001641BD"/>
    <w:rsid w:val="00164939"/>
    <w:rsid w:val="00164B89"/>
    <w:rsid w:val="001654BE"/>
    <w:rsid w:val="001654E1"/>
    <w:rsid w:val="0016559B"/>
    <w:rsid w:val="00165880"/>
    <w:rsid w:val="00165F0D"/>
    <w:rsid w:val="00166103"/>
    <w:rsid w:val="001662C8"/>
    <w:rsid w:val="00166837"/>
    <w:rsid w:val="00166BCF"/>
    <w:rsid w:val="00166D69"/>
    <w:rsid w:val="001673DA"/>
    <w:rsid w:val="0016748D"/>
    <w:rsid w:val="00167964"/>
    <w:rsid w:val="00167CD0"/>
    <w:rsid w:val="001702D3"/>
    <w:rsid w:val="00170418"/>
    <w:rsid w:val="0017097F"/>
    <w:rsid w:val="00170A10"/>
    <w:rsid w:val="00170FC4"/>
    <w:rsid w:val="001710D1"/>
    <w:rsid w:val="00171A34"/>
    <w:rsid w:val="001722EB"/>
    <w:rsid w:val="00172752"/>
    <w:rsid w:val="00172EF1"/>
    <w:rsid w:val="00172F58"/>
    <w:rsid w:val="00172FB0"/>
    <w:rsid w:val="001730A2"/>
    <w:rsid w:val="00173618"/>
    <w:rsid w:val="00173979"/>
    <w:rsid w:val="001745D2"/>
    <w:rsid w:val="00174619"/>
    <w:rsid w:val="00174691"/>
    <w:rsid w:val="00175014"/>
    <w:rsid w:val="00175C62"/>
    <w:rsid w:val="00175E91"/>
    <w:rsid w:val="00176050"/>
    <w:rsid w:val="001763EE"/>
    <w:rsid w:val="00176841"/>
    <w:rsid w:val="00176B65"/>
    <w:rsid w:val="001774A8"/>
    <w:rsid w:val="001776F7"/>
    <w:rsid w:val="00177B0A"/>
    <w:rsid w:val="00180528"/>
    <w:rsid w:val="00180681"/>
    <w:rsid w:val="00180A30"/>
    <w:rsid w:val="00180E69"/>
    <w:rsid w:val="00181810"/>
    <w:rsid w:val="00181D6C"/>
    <w:rsid w:val="001823DF"/>
    <w:rsid w:val="001825A5"/>
    <w:rsid w:val="0018274E"/>
    <w:rsid w:val="00182812"/>
    <w:rsid w:val="00182833"/>
    <w:rsid w:val="00182A82"/>
    <w:rsid w:val="00182BB6"/>
    <w:rsid w:val="00182E43"/>
    <w:rsid w:val="00183775"/>
    <w:rsid w:val="00183D4A"/>
    <w:rsid w:val="00183DB5"/>
    <w:rsid w:val="001843CF"/>
    <w:rsid w:val="00184A53"/>
    <w:rsid w:val="00184BB6"/>
    <w:rsid w:val="00184C9D"/>
    <w:rsid w:val="0018571A"/>
    <w:rsid w:val="00185759"/>
    <w:rsid w:val="0018586F"/>
    <w:rsid w:val="0018601F"/>
    <w:rsid w:val="00186098"/>
    <w:rsid w:val="0018619C"/>
    <w:rsid w:val="00186A61"/>
    <w:rsid w:val="001870D1"/>
    <w:rsid w:val="001871E2"/>
    <w:rsid w:val="00187BB8"/>
    <w:rsid w:val="00187DDB"/>
    <w:rsid w:val="0019019D"/>
    <w:rsid w:val="001903A3"/>
    <w:rsid w:val="00190492"/>
    <w:rsid w:val="001904D7"/>
    <w:rsid w:val="001906DF"/>
    <w:rsid w:val="0019081E"/>
    <w:rsid w:val="00190879"/>
    <w:rsid w:val="001909CB"/>
    <w:rsid w:val="00190B3A"/>
    <w:rsid w:val="00190EB8"/>
    <w:rsid w:val="001914B7"/>
    <w:rsid w:val="00191627"/>
    <w:rsid w:val="00191BEA"/>
    <w:rsid w:val="00191E1A"/>
    <w:rsid w:val="001921B0"/>
    <w:rsid w:val="00192308"/>
    <w:rsid w:val="001923C6"/>
    <w:rsid w:val="001923EE"/>
    <w:rsid w:val="00192758"/>
    <w:rsid w:val="0019289D"/>
    <w:rsid w:val="00192B8A"/>
    <w:rsid w:val="00192C11"/>
    <w:rsid w:val="0019307E"/>
    <w:rsid w:val="00193136"/>
    <w:rsid w:val="00193235"/>
    <w:rsid w:val="0019328E"/>
    <w:rsid w:val="001936E3"/>
    <w:rsid w:val="0019461B"/>
    <w:rsid w:val="00194E2A"/>
    <w:rsid w:val="00194F23"/>
    <w:rsid w:val="00195274"/>
    <w:rsid w:val="001952B2"/>
    <w:rsid w:val="001952DB"/>
    <w:rsid w:val="0019539B"/>
    <w:rsid w:val="001955A2"/>
    <w:rsid w:val="00195B43"/>
    <w:rsid w:val="00196103"/>
    <w:rsid w:val="0019640C"/>
    <w:rsid w:val="0019645F"/>
    <w:rsid w:val="00196ABB"/>
    <w:rsid w:val="00196C08"/>
    <w:rsid w:val="00196D4E"/>
    <w:rsid w:val="00197130"/>
    <w:rsid w:val="00197768"/>
    <w:rsid w:val="00197D16"/>
    <w:rsid w:val="00197D2A"/>
    <w:rsid w:val="00197E9A"/>
    <w:rsid w:val="001A02DF"/>
    <w:rsid w:val="001A043C"/>
    <w:rsid w:val="001A0A81"/>
    <w:rsid w:val="001A149B"/>
    <w:rsid w:val="001A1505"/>
    <w:rsid w:val="001A1C58"/>
    <w:rsid w:val="001A1CA3"/>
    <w:rsid w:val="001A1D3D"/>
    <w:rsid w:val="001A1F78"/>
    <w:rsid w:val="001A2B4E"/>
    <w:rsid w:val="001A2D39"/>
    <w:rsid w:val="001A320A"/>
    <w:rsid w:val="001A32C3"/>
    <w:rsid w:val="001A3451"/>
    <w:rsid w:val="001A36DB"/>
    <w:rsid w:val="001A3C87"/>
    <w:rsid w:val="001A3D35"/>
    <w:rsid w:val="001A5955"/>
    <w:rsid w:val="001A614A"/>
    <w:rsid w:val="001A6189"/>
    <w:rsid w:val="001A6CAA"/>
    <w:rsid w:val="001A6DF0"/>
    <w:rsid w:val="001A6E0E"/>
    <w:rsid w:val="001A7189"/>
    <w:rsid w:val="001A720E"/>
    <w:rsid w:val="001A7224"/>
    <w:rsid w:val="001A77C6"/>
    <w:rsid w:val="001A77E8"/>
    <w:rsid w:val="001A79D3"/>
    <w:rsid w:val="001A7DDA"/>
    <w:rsid w:val="001B0218"/>
    <w:rsid w:val="001B05C0"/>
    <w:rsid w:val="001B0655"/>
    <w:rsid w:val="001B068E"/>
    <w:rsid w:val="001B087F"/>
    <w:rsid w:val="001B09A0"/>
    <w:rsid w:val="001B0C07"/>
    <w:rsid w:val="001B0CE8"/>
    <w:rsid w:val="001B1A12"/>
    <w:rsid w:val="001B1AAF"/>
    <w:rsid w:val="001B1B14"/>
    <w:rsid w:val="001B205F"/>
    <w:rsid w:val="001B21BC"/>
    <w:rsid w:val="001B21D8"/>
    <w:rsid w:val="001B2214"/>
    <w:rsid w:val="001B2467"/>
    <w:rsid w:val="001B27E2"/>
    <w:rsid w:val="001B2916"/>
    <w:rsid w:val="001B372A"/>
    <w:rsid w:val="001B3732"/>
    <w:rsid w:val="001B47E5"/>
    <w:rsid w:val="001B5603"/>
    <w:rsid w:val="001B5820"/>
    <w:rsid w:val="001B5A46"/>
    <w:rsid w:val="001B5D6D"/>
    <w:rsid w:val="001B61B5"/>
    <w:rsid w:val="001B693E"/>
    <w:rsid w:val="001B6AE2"/>
    <w:rsid w:val="001B7020"/>
    <w:rsid w:val="001B70A2"/>
    <w:rsid w:val="001B70D6"/>
    <w:rsid w:val="001B71A5"/>
    <w:rsid w:val="001B74D2"/>
    <w:rsid w:val="001B7580"/>
    <w:rsid w:val="001B7B60"/>
    <w:rsid w:val="001C0569"/>
    <w:rsid w:val="001C0A11"/>
    <w:rsid w:val="001C0D90"/>
    <w:rsid w:val="001C0E8F"/>
    <w:rsid w:val="001C1328"/>
    <w:rsid w:val="001C13B8"/>
    <w:rsid w:val="001C1BDB"/>
    <w:rsid w:val="001C1CDD"/>
    <w:rsid w:val="001C1F90"/>
    <w:rsid w:val="001C2837"/>
    <w:rsid w:val="001C2F92"/>
    <w:rsid w:val="001C316E"/>
    <w:rsid w:val="001C37AA"/>
    <w:rsid w:val="001C3BEA"/>
    <w:rsid w:val="001C3E80"/>
    <w:rsid w:val="001C4149"/>
    <w:rsid w:val="001C4471"/>
    <w:rsid w:val="001C459E"/>
    <w:rsid w:val="001C45BE"/>
    <w:rsid w:val="001C4724"/>
    <w:rsid w:val="001C47F8"/>
    <w:rsid w:val="001C4D48"/>
    <w:rsid w:val="001C5083"/>
    <w:rsid w:val="001C5495"/>
    <w:rsid w:val="001C56FA"/>
    <w:rsid w:val="001C5A6D"/>
    <w:rsid w:val="001C5BB8"/>
    <w:rsid w:val="001C605A"/>
    <w:rsid w:val="001C6282"/>
    <w:rsid w:val="001C636E"/>
    <w:rsid w:val="001C656E"/>
    <w:rsid w:val="001C6670"/>
    <w:rsid w:val="001C668F"/>
    <w:rsid w:val="001C731C"/>
    <w:rsid w:val="001C747E"/>
    <w:rsid w:val="001C773F"/>
    <w:rsid w:val="001C7981"/>
    <w:rsid w:val="001C7A2B"/>
    <w:rsid w:val="001C7D20"/>
    <w:rsid w:val="001D03B7"/>
    <w:rsid w:val="001D049B"/>
    <w:rsid w:val="001D0977"/>
    <w:rsid w:val="001D13C4"/>
    <w:rsid w:val="001D1768"/>
    <w:rsid w:val="001D2268"/>
    <w:rsid w:val="001D27AA"/>
    <w:rsid w:val="001D280D"/>
    <w:rsid w:val="001D29EB"/>
    <w:rsid w:val="001D2FA0"/>
    <w:rsid w:val="001D31B6"/>
    <w:rsid w:val="001D338C"/>
    <w:rsid w:val="001D3419"/>
    <w:rsid w:val="001D446B"/>
    <w:rsid w:val="001D495C"/>
    <w:rsid w:val="001D4E54"/>
    <w:rsid w:val="001D53C9"/>
    <w:rsid w:val="001D573C"/>
    <w:rsid w:val="001D5983"/>
    <w:rsid w:val="001D5AA9"/>
    <w:rsid w:val="001D5C52"/>
    <w:rsid w:val="001D5C96"/>
    <w:rsid w:val="001D5E21"/>
    <w:rsid w:val="001D6B26"/>
    <w:rsid w:val="001D6CA7"/>
    <w:rsid w:val="001D7087"/>
    <w:rsid w:val="001D731D"/>
    <w:rsid w:val="001D7429"/>
    <w:rsid w:val="001D7553"/>
    <w:rsid w:val="001D7AE5"/>
    <w:rsid w:val="001D7FA8"/>
    <w:rsid w:val="001E0299"/>
    <w:rsid w:val="001E0C4D"/>
    <w:rsid w:val="001E0E2E"/>
    <w:rsid w:val="001E10C4"/>
    <w:rsid w:val="001E114D"/>
    <w:rsid w:val="001E11E6"/>
    <w:rsid w:val="001E11F2"/>
    <w:rsid w:val="001E24E5"/>
    <w:rsid w:val="001E2BF2"/>
    <w:rsid w:val="001E3693"/>
    <w:rsid w:val="001E3723"/>
    <w:rsid w:val="001E3812"/>
    <w:rsid w:val="001E3966"/>
    <w:rsid w:val="001E3EAC"/>
    <w:rsid w:val="001E43CE"/>
    <w:rsid w:val="001E4563"/>
    <w:rsid w:val="001E47EF"/>
    <w:rsid w:val="001E4CF5"/>
    <w:rsid w:val="001E4EB9"/>
    <w:rsid w:val="001E4F3A"/>
    <w:rsid w:val="001E4F42"/>
    <w:rsid w:val="001E50EC"/>
    <w:rsid w:val="001E57D6"/>
    <w:rsid w:val="001E59D5"/>
    <w:rsid w:val="001E642A"/>
    <w:rsid w:val="001E648B"/>
    <w:rsid w:val="001E6848"/>
    <w:rsid w:val="001E6C53"/>
    <w:rsid w:val="001E6FE5"/>
    <w:rsid w:val="001E70CB"/>
    <w:rsid w:val="001E7617"/>
    <w:rsid w:val="001E78B5"/>
    <w:rsid w:val="001E7A84"/>
    <w:rsid w:val="001E7C93"/>
    <w:rsid w:val="001F02E3"/>
    <w:rsid w:val="001F066C"/>
    <w:rsid w:val="001F07A1"/>
    <w:rsid w:val="001F08B5"/>
    <w:rsid w:val="001F0BEE"/>
    <w:rsid w:val="001F0ED3"/>
    <w:rsid w:val="001F179E"/>
    <w:rsid w:val="001F186A"/>
    <w:rsid w:val="001F21B7"/>
    <w:rsid w:val="001F263A"/>
    <w:rsid w:val="001F2764"/>
    <w:rsid w:val="001F27F9"/>
    <w:rsid w:val="001F2C79"/>
    <w:rsid w:val="001F32A3"/>
    <w:rsid w:val="001F356A"/>
    <w:rsid w:val="001F37E0"/>
    <w:rsid w:val="001F3F26"/>
    <w:rsid w:val="001F4057"/>
    <w:rsid w:val="001F41FA"/>
    <w:rsid w:val="001F4237"/>
    <w:rsid w:val="001F46CE"/>
    <w:rsid w:val="001F478C"/>
    <w:rsid w:val="001F48D1"/>
    <w:rsid w:val="001F4923"/>
    <w:rsid w:val="001F4D6E"/>
    <w:rsid w:val="001F4DA6"/>
    <w:rsid w:val="001F50A2"/>
    <w:rsid w:val="001F5457"/>
    <w:rsid w:val="001F59EA"/>
    <w:rsid w:val="001F68B2"/>
    <w:rsid w:val="001F68BA"/>
    <w:rsid w:val="001F6F3E"/>
    <w:rsid w:val="001F73F2"/>
    <w:rsid w:val="001F74F4"/>
    <w:rsid w:val="001F764A"/>
    <w:rsid w:val="001F783D"/>
    <w:rsid w:val="001F7A06"/>
    <w:rsid w:val="001F7E4F"/>
    <w:rsid w:val="002002EF"/>
    <w:rsid w:val="0020061F"/>
    <w:rsid w:val="00200869"/>
    <w:rsid w:val="0020160D"/>
    <w:rsid w:val="00201B4C"/>
    <w:rsid w:val="00201EB9"/>
    <w:rsid w:val="0020221C"/>
    <w:rsid w:val="00202A8A"/>
    <w:rsid w:val="00202B17"/>
    <w:rsid w:val="00202B77"/>
    <w:rsid w:val="00202DD7"/>
    <w:rsid w:val="00202FF6"/>
    <w:rsid w:val="00203056"/>
    <w:rsid w:val="002035AB"/>
    <w:rsid w:val="00203A5B"/>
    <w:rsid w:val="00203B8A"/>
    <w:rsid w:val="002048C2"/>
    <w:rsid w:val="00204967"/>
    <w:rsid w:val="00204D30"/>
    <w:rsid w:val="00205128"/>
    <w:rsid w:val="0020532B"/>
    <w:rsid w:val="00205430"/>
    <w:rsid w:val="002057A2"/>
    <w:rsid w:val="002063EA"/>
    <w:rsid w:val="002067DC"/>
    <w:rsid w:val="00206E3E"/>
    <w:rsid w:val="002070B9"/>
    <w:rsid w:val="0020714A"/>
    <w:rsid w:val="002071D0"/>
    <w:rsid w:val="0020738B"/>
    <w:rsid w:val="00207450"/>
    <w:rsid w:val="00207577"/>
    <w:rsid w:val="00207901"/>
    <w:rsid w:val="00207F13"/>
    <w:rsid w:val="002100C8"/>
    <w:rsid w:val="0021014A"/>
    <w:rsid w:val="00210431"/>
    <w:rsid w:val="00210A6C"/>
    <w:rsid w:val="00210A8F"/>
    <w:rsid w:val="00210C17"/>
    <w:rsid w:val="002117E5"/>
    <w:rsid w:val="0021196A"/>
    <w:rsid w:val="00211BB8"/>
    <w:rsid w:val="0021208E"/>
    <w:rsid w:val="00212403"/>
    <w:rsid w:val="002129BA"/>
    <w:rsid w:val="00213322"/>
    <w:rsid w:val="00213795"/>
    <w:rsid w:val="002137E4"/>
    <w:rsid w:val="00213F29"/>
    <w:rsid w:val="00213F66"/>
    <w:rsid w:val="00214006"/>
    <w:rsid w:val="00214460"/>
    <w:rsid w:val="00214966"/>
    <w:rsid w:val="00214D9C"/>
    <w:rsid w:val="00215193"/>
    <w:rsid w:val="00215204"/>
    <w:rsid w:val="0021563D"/>
    <w:rsid w:val="00215776"/>
    <w:rsid w:val="00215B64"/>
    <w:rsid w:val="00215C83"/>
    <w:rsid w:val="00215F4B"/>
    <w:rsid w:val="0021611D"/>
    <w:rsid w:val="0021631D"/>
    <w:rsid w:val="00216367"/>
    <w:rsid w:val="002163E8"/>
    <w:rsid w:val="00216803"/>
    <w:rsid w:val="00216999"/>
    <w:rsid w:val="002169DB"/>
    <w:rsid w:val="002169E9"/>
    <w:rsid w:val="00217275"/>
    <w:rsid w:val="002172FD"/>
    <w:rsid w:val="00217350"/>
    <w:rsid w:val="002175CA"/>
    <w:rsid w:val="002176F8"/>
    <w:rsid w:val="00217741"/>
    <w:rsid w:val="002179E6"/>
    <w:rsid w:val="00217BBD"/>
    <w:rsid w:val="00217E57"/>
    <w:rsid w:val="00217F7A"/>
    <w:rsid w:val="00217FF4"/>
    <w:rsid w:val="00220121"/>
    <w:rsid w:val="002203E6"/>
    <w:rsid w:val="0022079F"/>
    <w:rsid w:val="002207E2"/>
    <w:rsid w:val="00220BF8"/>
    <w:rsid w:val="00220DE3"/>
    <w:rsid w:val="00220EB2"/>
    <w:rsid w:val="00221329"/>
    <w:rsid w:val="002216A3"/>
    <w:rsid w:val="00221E2E"/>
    <w:rsid w:val="002225C7"/>
    <w:rsid w:val="00222820"/>
    <w:rsid w:val="00223131"/>
    <w:rsid w:val="002232D6"/>
    <w:rsid w:val="00223930"/>
    <w:rsid w:val="00223AD2"/>
    <w:rsid w:val="00223E4F"/>
    <w:rsid w:val="00223FBA"/>
    <w:rsid w:val="00224153"/>
    <w:rsid w:val="002244D9"/>
    <w:rsid w:val="00224A3F"/>
    <w:rsid w:val="00224C20"/>
    <w:rsid w:val="00224F55"/>
    <w:rsid w:val="002254F6"/>
    <w:rsid w:val="00225B16"/>
    <w:rsid w:val="00225BBD"/>
    <w:rsid w:val="002266A0"/>
    <w:rsid w:val="002267AD"/>
    <w:rsid w:val="0022690F"/>
    <w:rsid w:val="00226999"/>
    <w:rsid w:val="002272CB"/>
    <w:rsid w:val="0022779E"/>
    <w:rsid w:val="0022787D"/>
    <w:rsid w:val="00227BDC"/>
    <w:rsid w:val="00227CD0"/>
    <w:rsid w:val="00230255"/>
    <w:rsid w:val="00230B69"/>
    <w:rsid w:val="00231123"/>
    <w:rsid w:val="00231323"/>
    <w:rsid w:val="002315DD"/>
    <w:rsid w:val="002316B2"/>
    <w:rsid w:val="002318BF"/>
    <w:rsid w:val="00231C2A"/>
    <w:rsid w:val="00231CAE"/>
    <w:rsid w:val="00232041"/>
    <w:rsid w:val="0023209B"/>
    <w:rsid w:val="002321F7"/>
    <w:rsid w:val="0023233F"/>
    <w:rsid w:val="002325BE"/>
    <w:rsid w:val="00233486"/>
    <w:rsid w:val="002337F9"/>
    <w:rsid w:val="00233A3C"/>
    <w:rsid w:val="00233D0A"/>
    <w:rsid w:val="00233E8B"/>
    <w:rsid w:val="00233FE0"/>
    <w:rsid w:val="0023409F"/>
    <w:rsid w:val="002345F9"/>
    <w:rsid w:val="0023469C"/>
    <w:rsid w:val="00234BD2"/>
    <w:rsid w:val="00234C49"/>
    <w:rsid w:val="00235064"/>
    <w:rsid w:val="00235210"/>
    <w:rsid w:val="00235367"/>
    <w:rsid w:val="00235584"/>
    <w:rsid w:val="002355A7"/>
    <w:rsid w:val="00235993"/>
    <w:rsid w:val="00235C2A"/>
    <w:rsid w:val="00235CFF"/>
    <w:rsid w:val="00236437"/>
    <w:rsid w:val="00236AAD"/>
    <w:rsid w:val="00236F10"/>
    <w:rsid w:val="00236F6B"/>
    <w:rsid w:val="00236FC7"/>
    <w:rsid w:val="00237312"/>
    <w:rsid w:val="002376A1"/>
    <w:rsid w:val="002376C9"/>
    <w:rsid w:val="0023775F"/>
    <w:rsid w:val="00237D69"/>
    <w:rsid w:val="002402B4"/>
    <w:rsid w:val="00240FD5"/>
    <w:rsid w:val="00241057"/>
    <w:rsid w:val="002411C7"/>
    <w:rsid w:val="00241D68"/>
    <w:rsid w:val="0024266A"/>
    <w:rsid w:val="00242849"/>
    <w:rsid w:val="00242C36"/>
    <w:rsid w:val="00242EDC"/>
    <w:rsid w:val="00242F20"/>
    <w:rsid w:val="00242F83"/>
    <w:rsid w:val="00243174"/>
    <w:rsid w:val="002438AC"/>
    <w:rsid w:val="00243BA3"/>
    <w:rsid w:val="0024475C"/>
    <w:rsid w:val="0024495A"/>
    <w:rsid w:val="00244C14"/>
    <w:rsid w:val="00244DAB"/>
    <w:rsid w:val="002450BD"/>
    <w:rsid w:val="002451D2"/>
    <w:rsid w:val="0024557C"/>
    <w:rsid w:val="0024584D"/>
    <w:rsid w:val="00246251"/>
    <w:rsid w:val="0024649A"/>
    <w:rsid w:val="00246A01"/>
    <w:rsid w:val="00246AD5"/>
    <w:rsid w:val="00246AE7"/>
    <w:rsid w:val="00246C3A"/>
    <w:rsid w:val="00246F69"/>
    <w:rsid w:val="002471C5"/>
    <w:rsid w:val="0024735B"/>
    <w:rsid w:val="00247849"/>
    <w:rsid w:val="0025070C"/>
    <w:rsid w:val="00250AAA"/>
    <w:rsid w:val="00250C48"/>
    <w:rsid w:val="00250DE0"/>
    <w:rsid w:val="0025139C"/>
    <w:rsid w:val="00251456"/>
    <w:rsid w:val="002518D0"/>
    <w:rsid w:val="00251B0D"/>
    <w:rsid w:val="00251B68"/>
    <w:rsid w:val="00251CA5"/>
    <w:rsid w:val="00251DD7"/>
    <w:rsid w:val="00251F76"/>
    <w:rsid w:val="002520E1"/>
    <w:rsid w:val="00252168"/>
    <w:rsid w:val="00252586"/>
    <w:rsid w:val="00252B11"/>
    <w:rsid w:val="00252C1F"/>
    <w:rsid w:val="00252F63"/>
    <w:rsid w:val="0025302F"/>
    <w:rsid w:val="00253189"/>
    <w:rsid w:val="00253B2E"/>
    <w:rsid w:val="00253B88"/>
    <w:rsid w:val="00253E73"/>
    <w:rsid w:val="00253E7C"/>
    <w:rsid w:val="00253E95"/>
    <w:rsid w:val="002540D9"/>
    <w:rsid w:val="002542E1"/>
    <w:rsid w:val="002544EA"/>
    <w:rsid w:val="002545F2"/>
    <w:rsid w:val="00254B46"/>
    <w:rsid w:val="00254BFF"/>
    <w:rsid w:val="00255083"/>
    <w:rsid w:val="00255173"/>
    <w:rsid w:val="00255BA7"/>
    <w:rsid w:val="00255EC3"/>
    <w:rsid w:val="00255EEC"/>
    <w:rsid w:val="00255FC4"/>
    <w:rsid w:val="00256293"/>
    <w:rsid w:val="002562ED"/>
    <w:rsid w:val="00256303"/>
    <w:rsid w:val="0025637B"/>
    <w:rsid w:val="00256563"/>
    <w:rsid w:val="00256617"/>
    <w:rsid w:val="00256A13"/>
    <w:rsid w:val="00256DCF"/>
    <w:rsid w:val="00256DE0"/>
    <w:rsid w:val="00256FBC"/>
    <w:rsid w:val="002570D1"/>
    <w:rsid w:val="002578F3"/>
    <w:rsid w:val="00257F77"/>
    <w:rsid w:val="00260320"/>
    <w:rsid w:val="002603DD"/>
    <w:rsid w:val="002608FF"/>
    <w:rsid w:val="00260D9A"/>
    <w:rsid w:val="00261DF0"/>
    <w:rsid w:val="002624A4"/>
    <w:rsid w:val="00262C61"/>
    <w:rsid w:val="00263451"/>
    <w:rsid w:val="0026348D"/>
    <w:rsid w:val="00264973"/>
    <w:rsid w:val="00264CFC"/>
    <w:rsid w:val="00265138"/>
    <w:rsid w:val="002651DA"/>
    <w:rsid w:val="00265792"/>
    <w:rsid w:val="00266152"/>
    <w:rsid w:val="00266168"/>
    <w:rsid w:val="00266791"/>
    <w:rsid w:val="00266934"/>
    <w:rsid w:val="002670E2"/>
    <w:rsid w:val="00267134"/>
    <w:rsid w:val="002673B6"/>
    <w:rsid w:val="00267782"/>
    <w:rsid w:val="00267963"/>
    <w:rsid w:val="0026798F"/>
    <w:rsid w:val="00267B0D"/>
    <w:rsid w:val="00267FF2"/>
    <w:rsid w:val="002700C3"/>
    <w:rsid w:val="002709F5"/>
    <w:rsid w:val="00270BE0"/>
    <w:rsid w:val="00270C30"/>
    <w:rsid w:val="00270FDD"/>
    <w:rsid w:val="0027161F"/>
    <w:rsid w:val="00272735"/>
    <w:rsid w:val="00272D63"/>
    <w:rsid w:val="00272E6F"/>
    <w:rsid w:val="002734A2"/>
    <w:rsid w:val="002735AC"/>
    <w:rsid w:val="00273D46"/>
    <w:rsid w:val="002740F1"/>
    <w:rsid w:val="0027424C"/>
    <w:rsid w:val="002748B6"/>
    <w:rsid w:val="00274FA5"/>
    <w:rsid w:val="002750DF"/>
    <w:rsid w:val="00275309"/>
    <w:rsid w:val="00275A62"/>
    <w:rsid w:val="00275EF6"/>
    <w:rsid w:val="002768E6"/>
    <w:rsid w:val="00276BD7"/>
    <w:rsid w:val="00276D5D"/>
    <w:rsid w:val="00276FB2"/>
    <w:rsid w:val="00277397"/>
    <w:rsid w:val="002774B2"/>
    <w:rsid w:val="002775BE"/>
    <w:rsid w:val="0027763E"/>
    <w:rsid w:val="002800C9"/>
    <w:rsid w:val="00280542"/>
    <w:rsid w:val="00280C18"/>
    <w:rsid w:val="00280DCF"/>
    <w:rsid w:val="00280E6D"/>
    <w:rsid w:val="00281261"/>
    <w:rsid w:val="00281FED"/>
    <w:rsid w:val="00282021"/>
    <w:rsid w:val="0028211B"/>
    <w:rsid w:val="00282285"/>
    <w:rsid w:val="002824D4"/>
    <w:rsid w:val="002832E1"/>
    <w:rsid w:val="002836B8"/>
    <w:rsid w:val="002836DB"/>
    <w:rsid w:val="00283821"/>
    <w:rsid w:val="00283E27"/>
    <w:rsid w:val="002842DB"/>
    <w:rsid w:val="002843D7"/>
    <w:rsid w:val="0028469F"/>
    <w:rsid w:val="00284738"/>
    <w:rsid w:val="00284B73"/>
    <w:rsid w:val="00284C38"/>
    <w:rsid w:val="00284E8A"/>
    <w:rsid w:val="002850DB"/>
    <w:rsid w:val="00285216"/>
    <w:rsid w:val="002852B4"/>
    <w:rsid w:val="002854BF"/>
    <w:rsid w:val="00285523"/>
    <w:rsid w:val="0028555E"/>
    <w:rsid w:val="00285EAF"/>
    <w:rsid w:val="00286334"/>
    <w:rsid w:val="002863FC"/>
    <w:rsid w:val="00286470"/>
    <w:rsid w:val="00286DD6"/>
    <w:rsid w:val="00286FA2"/>
    <w:rsid w:val="00287047"/>
    <w:rsid w:val="00287110"/>
    <w:rsid w:val="002873E8"/>
    <w:rsid w:val="00287419"/>
    <w:rsid w:val="0029081A"/>
    <w:rsid w:val="00290897"/>
    <w:rsid w:val="00290952"/>
    <w:rsid w:val="00290A58"/>
    <w:rsid w:val="00291577"/>
    <w:rsid w:val="00291B98"/>
    <w:rsid w:val="00291CC2"/>
    <w:rsid w:val="00292060"/>
    <w:rsid w:val="00292287"/>
    <w:rsid w:val="00292878"/>
    <w:rsid w:val="00292A2C"/>
    <w:rsid w:val="00292A67"/>
    <w:rsid w:val="00292ABA"/>
    <w:rsid w:val="00292DBE"/>
    <w:rsid w:val="00292EB7"/>
    <w:rsid w:val="00292F42"/>
    <w:rsid w:val="00293173"/>
    <w:rsid w:val="00293C12"/>
    <w:rsid w:val="00293C8B"/>
    <w:rsid w:val="00293D8D"/>
    <w:rsid w:val="0029435B"/>
    <w:rsid w:val="00294863"/>
    <w:rsid w:val="00294CD0"/>
    <w:rsid w:val="00294D4F"/>
    <w:rsid w:val="00296097"/>
    <w:rsid w:val="00296543"/>
    <w:rsid w:val="00296EA2"/>
    <w:rsid w:val="00296F50"/>
    <w:rsid w:val="00297558"/>
    <w:rsid w:val="00297ADB"/>
    <w:rsid w:val="00297B44"/>
    <w:rsid w:val="002A0152"/>
    <w:rsid w:val="002A018A"/>
    <w:rsid w:val="002A06A8"/>
    <w:rsid w:val="002A06DF"/>
    <w:rsid w:val="002A08ED"/>
    <w:rsid w:val="002A0E8F"/>
    <w:rsid w:val="002A0F0A"/>
    <w:rsid w:val="002A1083"/>
    <w:rsid w:val="002A12CA"/>
    <w:rsid w:val="002A1448"/>
    <w:rsid w:val="002A1531"/>
    <w:rsid w:val="002A18E8"/>
    <w:rsid w:val="002A1B2B"/>
    <w:rsid w:val="002A1F9E"/>
    <w:rsid w:val="002A283F"/>
    <w:rsid w:val="002A2849"/>
    <w:rsid w:val="002A3868"/>
    <w:rsid w:val="002A3B26"/>
    <w:rsid w:val="002A4164"/>
    <w:rsid w:val="002A41B7"/>
    <w:rsid w:val="002A4283"/>
    <w:rsid w:val="002A4DA7"/>
    <w:rsid w:val="002A5D54"/>
    <w:rsid w:val="002A5D56"/>
    <w:rsid w:val="002A5F47"/>
    <w:rsid w:val="002A6070"/>
    <w:rsid w:val="002A6083"/>
    <w:rsid w:val="002A6129"/>
    <w:rsid w:val="002A6375"/>
    <w:rsid w:val="002A6775"/>
    <w:rsid w:val="002A69AC"/>
    <w:rsid w:val="002A6B1D"/>
    <w:rsid w:val="002A6C84"/>
    <w:rsid w:val="002A6D21"/>
    <w:rsid w:val="002A748F"/>
    <w:rsid w:val="002A7BA0"/>
    <w:rsid w:val="002A7F33"/>
    <w:rsid w:val="002B0465"/>
    <w:rsid w:val="002B07F4"/>
    <w:rsid w:val="002B0885"/>
    <w:rsid w:val="002B0D2E"/>
    <w:rsid w:val="002B0EB8"/>
    <w:rsid w:val="002B135C"/>
    <w:rsid w:val="002B1370"/>
    <w:rsid w:val="002B1608"/>
    <w:rsid w:val="002B1C0E"/>
    <w:rsid w:val="002B23B6"/>
    <w:rsid w:val="002B27E7"/>
    <w:rsid w:val="002B2ACC"/>
    <w:rsid w:val="002B3A68"/>
    <w:rsid w:val="002B3A87"/>
    <w:rsid w:val="002B40C5"/>
    <w:rsid w:val="002B4497"/>
    <w:rsid w:val="002B49EB"/>
    <w:rsid w:val="002B501C"/>
    <w:rsid w:val="002B52D4"/>
    <w:rsid w:val="002B5363"/>
    <w:rsid w:val="002B5BEF"/>
    <w:rsid w:val="002B5EDC"/>
    <w:rsid w:val="002B5FD6"/>
    <w:rsid w:val="002B60A5"/>
    <w:rsid w:val="002B6272"/>
    <w:rsid w:val="002B630B"/>
    <w:rsid w:val="002B63BD"/>
    <w:rsid w:val="002B64F1"/>
    <w:rsid w:val="002B6940"/>
    <w:rsid w:val="002B69C5"/>
    <w:rsid w:val="002B69E5"/>
    <w:rsid w:val="002B7096"/>
    <w:rsid w:val="002B7628"/>
    <w:rsid w:val="002B795A"/>
    <w:rsid w:val="002C0DC8"/>
    <w:rsid w:val="002C11E5"/>
    <w:rsid w:val="002C1BCD"/>
    <w:rsid w:val="002C1E8B"/>
    <w:rsid w:val="002C1FC8"/>
    <w:rsid w:val="002C21EC"/>
    <w:rsid w:val="002C22FB"/>
    <w:rsid w:val="002C28F1"/>
    <w:rsid w:val="002C2CCF"/>
    <w:rsid w:val="002C2D59"/>
    <w:rsid w:val="002C3095"/>
    <w:rsid w:val="002C3340"/>
    <w:rsid w:val="002C36F8"/>
    <w:rsid w:val="002C3B78"/>
    <w:rsid w:val="002C3BAA"/>
    <w:rsid w:val="002C42FB"/>
    <w:rsid w:val="002C4588"/>
    <w:rsid w:val="002C463B"/>
    <w:rsid w:val="002C463E"/>
    <w:rsid w:val="002C491B"/>
    <w:rsid w:val="002C49D5"/>
    <w:rsid w:val="002C511D"/>
    <w:rsid w:val="002C5374"/>
    <w:rsid w:val="002C5CA9"/>
    <w:rsid w:val="002C6560"/>
    <w:rsid w:val="002C65FA"/>
    <w:rsid w:val="002C66C4"/>
    <w:rsid w:val="002C713C"/>
    <w:rsid w:val="002C7459"/>
    <w:rsid w:val="002C77A7"/>
    <w:rsid w:val="002C7843"/>
    <w:rsid w:val="002C7950"/>
    <w:rsid w:val="002C7A9D"/>
    <w:rsid w:val="002C7B1D"/>
    <w:rsid w:val="002D00C0"/>
    <w:rsid w:val="002D038C"/>
    <w:rsid w:val="002D0843"/>
    <w:rsid w:val="002D09BA"/>
    <w:rsid w:val="002D0A17"/>
    <w:rsid w:val="002D0AB6"/>
    <w:rsid w:val="002D12E3"/>
    <w:rsid w:val="002D14D9"/>
    <w:rsid w:val="002D14FE"/>
    <w:rsid w:val="002D1607"/>
    <w:rsid w:val="002D1C9B"/>
    <w:rsid w:val="002D1F88"/>
    <w:rsid w:val="002D2086"/>
    <w:rsid w:val="002D2537"/>
    <w:rsid w:val="002D2AF6"/>
    <w:rsid w:val="002D2CE0"/>
    <w:rsid w:val="002D2F3F"/>
    <w:rsid w:val="002D37CD"/>
    <w:rsid w:val="002D3995"/>
    <w:rsid w:val="002D39AD"/>
    <w:rsid w:val="002D3C43"/>
    <w:rsid w:val="002D4226"/>
    <w:rsid w:val="002D4485"/>
    <w:rsid w:val="002D460B"/>
    <w:rsid w:val="002D4945"/>
    <w:rsid w:val="002D4994"/>
    <w:rsid w:val="002D4F2E"/>
    <w:rsid w:val="002D5B9F"/>
    <w:rsid w:val="002D5BED"/>
    <w:rsid w:val="002D5E39"/>
    <w:rsid w:val="002D62CB"/>
    <w:rsid w:val="002D68CA"/>
    <w:rsid w:val="002D6FB5"/>
    <w:rsid w:val="002D7087"/>
    <w:rsid w:val="002D7F88"/>
    <w:rsid w:val="002E1CC5"/>
    <w:rsid w:val="002E1F80"/>
    <w:rsid w:val="002E24E5"/>
    <w:rsid w:val="002E2C7D"/>
    <w:rsid w:val="002E306F"/>
    <w:rsid w:val="002E318E"/>
    <w:rsid w:val="002E35DC"/>
    <w:rsid w:val="002E36A6"/>
    <w:rsid w:val="002E384A"/>
    <w:rsid w:val="002E38A3"/>
    <w:rsid w:val="002E38FA"/>
    <w:rsid w:val="002E3A1F"/>
    <w:rsid w:val="002E3DF3"/>
    <w:rsid w:val="002E41A6"/>
    <w:rsid w:val="002E43AD"/>
    <w:rsid w:val="002E4C1E"/>
    <w:rsid w:val="002E4FFE"/>
    <w:rsid w:val="002E5018"/>
    <w:rsid w:val="002E5259"/>
    <w:rsid w:val="002E525E"/>
    <w:rsid w:val="002E5358"/>
    <w:rsid w:val="002E5616"/>
    <w:rsid w:val="002E59CE"/>
    <w:rsid w:val="002E59EB"/>
    <w:rsid w:val="002E687C"/>
    <w:rsid w:val="002E68C3"/>
    <w:rsid w:val="002E7289"/>
    <w:rsid w:val="002E72FA"/>
    <w:rsid w:val="002E789A"/>
    <w:rsid w:val="002F042F"/>
    <w:rsid w:val="002F0B9F"/>
    <w:rsid w:val="002F10B5"/>
    <w:rsid w:val="002F1166"/>
    <w:rsid w:val="002F1364"/>
    <w:rsid w:val="002F17DA"/>
    <w:rsid w:val="002F1ED0"/>
    <w:rsid w:val="002F1EF2"/>
    <w:rsid w:val="002F23D0"/>
    <w:rsid w:val="002F2700"/>
    <w:rsid w:val="002F27E2"/>
    <w:rsid w:val="002F2F5E"/>
    <w:rsid w:val="002F3037"/>
    <w:rsid w:val="002F3259"/>
    <w:rsid w:val="002F3676"/>
    <w:rsid w:val="002F371F"/>
    <w:rsid w:val="002F395A"/>
    <w:rsid w:val="002F39FF"/>
    <w:rsid w:val="002F3CDF"/>
    <w:rsid w:val="002F41F0"/>
    <w:rsid w:val="002F464D"/>
    <w:rsid w:val="002F4D31"/>
    <w:rsid w:val="002F5AF2"/>
    <w:rsid w:val="002F5B97"/>
    <w:rsid w:val="002F6103"/>
    <w:rsid w:val="002F6297"/>
    <w:rsid w:val="002F651C"/>
    <w:rsid w:val="002F6838"/>
    <w:rsid w:val="002F6B5C"/>
    <w:rsid w:val="002F6D1F"/>
    <w:rsid w:val="002F7027"/>
    <w:rsid w:val="002F754A"/>
    <w:rsid w:val="002F7630"/>
    <w:rsid w:val="002F7C3E"/>
    <w:rsid w:val="002F7D0A"/>
    <w:rsid w:val="003002CB"/>
    <w:rsid w:val="00300429"/>
    <w:rsid w:val="003008D8"/>
    <w:rsid w:val="00301106"/>
    <w:rsid w:val="00301460"/>
    <w:rsid w:val="0030196D"/>
    <w:rsid w:val="00301B55"/>
    <w:rsid w:val="00302272"/>
    <w:rsid w:val="00302B56"/>
    <w:rsid w:val="00303B1F"/>
    <w:rsid w:val="00303BC0"/>
    <w:rsid w:val="003042C8"/>
    <w:rsid w:val="00304CE3"/>
    <w:rsid w:val="00304FA3"/>
    <w:rsid w:val="00305163"/>
    <w:rsid w:val="0030536C"/>
    <w:rsid w:val="003056FD"/>
    <w:rsid w:val="0030581A"/>
    <w:rsid w:val="00305D39"/>
    <w:rsid w:val="0030635B"/>
    <w:rsid w:val="003067E9"/>
    <w:rsid w:val="00306DAF"/>
    <w:rsid w:val="00307882"/>
    <w:rsid w:val="00307A7A"/>
    <w:rsid w:val="0031012B"/>
    <w:rsid w:val="00310F89"/>
    <w:rsid w:val="00310FD9"/>
    <w:rsid w:val="00311086"/>
    <w:rsid w:val="00311D78"/>
    <w:rsid w:val="00312453"/>
    <w:rsid w:val="00312584"/>
    <w:rsid w:val="00312590"/>
    <w:rsid w:val="0031399E"/>
    <w:rsid w:val="00313B21"/>
    <w:rsid w:val="00313B98"/>
    <w:rsid w:val="00314466"/>
    <w:rsid w:val="0031484E"/>
    <w:rsid w:val="00314E1D"/>
    <w:rsid w:val="0031502A"/>
    <w:rsid w:val="00315215"/>
    <w:rsid w:val="0031558B"/>
    <w:rsid w:val="003157D8"/>
    <w:rsid w:val="00315806"/>
    <w:rsid w:val="00316431"/>
    <w:rsid w:val="00316799"/>
    <w:rsid w:val="00316AB4"/>
    <w:rsid w:val="00316B60"/>
    <w:rsid w:val="00316DA4"/>
    <w:rsid w:val="00317596"/>
    <w:rsid w:val="00317686"/>
    <w:rsid w:val="00317896"/>
    <w:rsid w:val="00317EF8"/>
    <w:rsid w:val="00320833"/>
    <w:rsid w:val="003208E8"/>
    <w:rsid w:val="00320AB9"/>
    <w:rsid w:val="00321980"/>
    <w:rsid w:val="0032199B"/>
    <w:rsid w:val="00321A37"/>
    <w:rsid w:val="00321A67"/>
    <w:rsid w:val="00321C98"/>
    <w:rsid w:val="00321E48"/>
    <w:rsid w:val="00321ED7"/>
    <w:rsid w:val="00322C46"/>
    <w:rsid w:val="00323261"/>
    <w:rsid w:val="00323489"/>
    <w:rsid w:val="00323BF1"/>
    <w:rsid w:val="00323DD2"/>
    <w:rsid w:val="00323EB3"/>
    <w:rsid w:val="003244BE"/>
    <w:rsid w:val="0032465E"/>
    <w:rsid w:val="00324746"/>
    <w:rsid w:val="00324883"/>
    <w:rsid w:val="00324B5E"/>
    <w:rsid w:val="00324FFD"/>
    <w:rsid w:val="003253B3"/>
    <w:rsid w:val="0032559E"/>
    <w:rsid w:val="00325A69"/>
    <w:rsid w:val="00325A95"/>
    <w:rsid w:val="0032670A"/>
    <w:rsid w:val="00326720"/>
    <w:rsid w:val="00326C6C"/>
    <w:rsid w:val="003271E1"/>
    <w:rsid w:val="003276A0"/>
    <w:rsid w:val="00327777"/>
    <w:rsid w:val="00327A89"/>
    <w:rsid w:val="00327C19"/>
    <w:rsid w:val="0033198C"/>
    <w:rsid w:val="00331C37"/>
    <w:rsid w:val="003322FA"/>
    <w:rsid w:val="00332390"/>
    <w:rsid w:val="003329BE"/>
    <w:rsid w:val="00332C56"/>
    <w:rsid w:val="0033319F"/>
    <w:rsid w:val="00333335"/>
    <w:rsid w:val="00333387"/>
    <w:rsid w:val="003334AD"/>
    <w:rsid w:val="003345AC"/>
    <w:rsid w:val="00334BA9"/>
    <w:rsid w:val="00335409"/>
    <w:rsid w:val="00335E11"/>
    <w:rsid w:val="0033681F"/>
    <w:rsid w:val="00336F56"/>
    <w:rsid w:val="003374D3"/>
    <w:rsid w:val="0033759A"/>
    <w:rsid w:val="00337628"/>
    <w:rsid w:val="00337C55"/>
    <w:rsid w:val="00337DA7"/>
    <w:rsid w:val="0034005D"/>
    <w:rsid w:val="00340190"/>
    <w:rsid w:val="00340281"/>
    <w:rsid w:val="003406D9"/>
    <w:rsid w:val="0034081D"/>
    <w:rsid w:val="00340DBA"/>
    <w:rsid w:val="003427FA"/>
    <w:rsid w:val="00342C5B"/>
    <w:rsid w:val="0034344F"/>
    <w:rsid w:val="003434ED"/>
    <w:rsid w:val="0034382E"/>
    <w:rsid w:val="003438D1"/>
    <w:rsid w:val="00344115"/>
    <w:rsid w:val="00344331"/>
    <w:rsid w:val="00344683"/>
    <w:rsid w:val="003446F6"/>
    <w:rsid w:val="00344732"/>
    <w:rsid w:val="00344AF5"/>
    <w:rsid w:val="00344B20"/>
    <w:rsid w:val="003450F9"/>
    <w:rsid w:val="003452D2"/>
    <w:rsid w:val="00345732"/>
    <w:rsid w:val="00345AFD"/>
    <w:rsid w:val="00345CF8"/>
    <w:rsid w:val="003460FE"/>
    <w:rsid w:val="0034613B"/>
    <w:rsid w:val="003467EA"/>
    <w:rsid w:val="0034749A"/>
    <w:rsid w:val="00347B2F"/>
    <w:rsid w:val="00350078"/>
    <w:rsid w:val="003500B2"/>
    <w:rsid w:val="003504D4"/>
    <w:rsid w:val="00350B83"/>
    <w:rsid w:val="00351043"/>
    <w:rsid w:val="0035199D"/>
    <w:rsid w:val="003527F2"/>
    <w:rsid w:val="00352E9D"/>
    <w:rsid w:val="0035340D"/>
    <w:rsid w:val="0035360E"/>
    <w:rsid w:val="00353A96"/>
    <w:rsid w:val="00353B36"/>
    <w:rsid w:val="00353B46"/>
    <w:rsid w:val="00353BC8"/>
    <w:rsid w:val="00353D9B"/>
    <w:rsid w:val="00354229"/>
    <w:rsid w:val="00354620"/>
    <w:rsid w:val="003546E3"/>
    <w:rsid w:val="00354790"/>
    <w:rsid w:val="0035497F"/>
    <w:rsid w:val="00354EA0"/>
    <w:rsid w:val="00355391"/>
    <w:rsid w:val="00355717"/>
    <w:rsid w:val="00355721"/>
    <w:rsid w:val="003557B4"/>
    <w:rsid w:val="00356190"/>
    <w:rsid w:val="003562AB"/>
    <w:rsid w:val="003567F0"/>
    <w:rsid w:val="00356E79"/>
    <w:rsid w:val="003570A2"/>
    <w:rsid w:val="003572DE"/>
    <w:rsid w:val="0035735B"/>
    <w:rsid w:val="003574B3"/>
    <w:rsid w:val="003577EF"/>
    <w:rsid w:val="00357845"/>
    <w:rsid w:val="00357AE0"/>
    <w:rsid w:val="00357AF4"/>
    <w:rsid w:val="00360416"/>
    <w:rsid w:val="0036084D"/>
    <w:rsid w:val="00360B45"/>
    <w:rsid w:val="00360DD2"/>
    <w:rsid w:val="00360EEA"/>
    <w:rsid w:val="003610ED"/>
    <w:rsid w:val="00361112"/>
    <w:rsid w:val="003612CE"/>
    <w:rsid w:val="00361455"/>
    <w:rsid w:val="003617C3"/>
    <w:rsid w:val="00361B42"/>
    <w:rsid w:val="00361BAF"/>
    <w:rsid w:val="00361CBA"/>
    <w:rsid w:val="00361F20"/>
    <w:rsid w:val="0036209B"/>
    <w:rsid w:val="00362741"/>
    <w:rsid w:val="003628B2"/>
    <w:rsid w:val="003629E1"/>
    <w:rsid w:val="00362D01"/>
    <w:rsid w:val="00362EA0"/>
    <w:rsid w:val="00362EFD"/>
    <w:rsid w:val="00363273"/>
    <w:rsid w:val="003635F0"/>
    <w:rsid w:val="0036371A"/>
    <w:rsid w:val="00363CF3"/>
    <w:rsid w:val="00363E8E"/>
    <w:rsid w:val="00363F85"/>
    <w:rsid w:val="00364250"/>
    <w:rsid w:val="0036433B"/>
    <w:rsid w:val="00364721"/>
    <w:rsid w:val="00364EF6"/>
    <w:rsid w:val="003655C0"/>
    <w:rsid w:val="0036584E"/>
    <w:rsid w:val="00365951"/>
    <w:rsid w:val="00365A17"/>
    <w:rsid w:val="003662FD"/>
    <w:rsid w:val="00366324"/>
    <w:rsid w:val="0036640D"/>
    <w:rsid w:val="003668DD"/>
    <w:rsid w:val="00366A44"/>
    <w:rsid w:val="00367AEA"/>
    <w:rsid w:val="00367B0B"/>
    <w:rsid w:val="00367B98"/>
    <w:rsid w:val="0037061F"/>
    <w:rsid w:val="00370B3A"/>
    <w:rsid w:val="00370C35"/>
    <w:rsid w:val="003710CC"/>
    <w:rsid w:val="00371A09"/>
    <w:rsid w:val="00371B1F"/>
    <w:rsid w:val="00371D46"/>
    <w:rsid w:val="00371F47"/>
    <w:rsid w:val="003727CA"/>
    <w:rsid w:val="00372DAD"/>
    <w:rsid w:val="0037304D"/>
    <w:rsid w:val="0037321D"/>
    <w:rsid w:val="003732BA"/>
    <w:rsid w:val="003736AD"/>
    <w:rsid w:val="00373FEC"/>
    <w:rsid w:val="0037452C"/>
    <w:rsid w:val="003747EC"/>
    <w:rsid w:val="00374AC2"/>
    <w:rsid w:val="003755B5"/>
    <w:rsid w:val="00375C1E"/>
    <w:rsid w:val="00375C5D"/>
    <w:rsid w:val="00375E50"/>
    <w:rsid w:val="003761E2"/>
    <w:rsid w:val="00376653"/>
    <w:rsid w:val="003767F1"/>
    <w:rsid w:val="00376BD1"/>
    <w:rsid w:val="00376E70"/>
    <w:rsid w:val="003771A1"/>
    <w:rsid w:val="0037797E"/>
    <w:rsid w:val="00377A34"/>
    <w:rsid w:val="00377C29"/>
    <w:rsid w:val="003800E0"/>
    <w:rsid w:val="00380757"/>
    <w:rsid w:val="00380785"/>
    <w:rsid w:val="00380A3B"/>
    <w:rsid w:val="00381E8E"/>
    <w:rsid w:val="00382542"/>
    <w:rsid w:val="0038275E"/>
    <w:rsid w:val="0038280B"/>
    <w:rsid w:val="00382AC1"/>
    <w:rsid w:val="00382EF6"/>
    <w:rsid w:val="00383D34"/>
    <w:rsid w:val="00383DEE"/>
    <w:rsid w:val="00383E60"/>
    <w:rsid w:val="00384563"/>
    <w:rsid w:val="0038484D"/>
    <w:rsid w:val="00384B0B"/>
    <w:rsid w:val="003863AD"/>
    <w:rsid w:val="003867B5"/>
    <w:rsid w:val="00386F07"/>
    <w:rsid w:val="0038703B"/>
    <w:rsid w:val="0038704E"/>
    <w:rsid w:val="003870AC"/>
    <w:rsid w:val="0038713B"/>
    <w:rsid w:val="00387B9D"/>
    <w:rsid w:val="00387F2A"/>
    <w:rsid w:val="003900AA"/>
    <w:rsid w:val="0039054C"/>
    <w:rsid w:val="003908AD"/>
    <w:rsid w:val="00391058"/>
    <w:rsid w:val="003916FC"/>
    <w:rsid w:val="00391784"/>
    <w:rsid w:val="0039181A"/>
    <w:rsid w:val="00391942"/>
    <w:rsid w:val="00391ACF"/>
    <w:rsid w:val="00391FBE"/>
    <w:rsid w:val="00392854"/>
    <w:rsid w:val="00392BE7"/>
    <w:rsid w:val="00392C8D"/>
    <w:rsid w:val="00392CF3"/>
    <w:rsid w:val="00392ED7"/>
    <w:rsid w:val="00393A8C"/>
    <w:rsid w:val="00393B71"/>
    <w:rsid w:val="003943B4"/>
    <w:rsid w:val="0039474D"/>
    <w:rsid w:val="0039493B"/>
    <w:rsid w:val="00394B87"/>
    <w:rsid w:val="00394F97"/>
    <w:rsid w:val="0039538D"/>
    <w:rsid w:val="00395CAB"/>
    <w:rsid w:val="00396139"/>
    <w:rsid w:val="0039633A"/>
    <w:rsid w:val="00396530"/>
    <w:rsid w:val="00396926"/>
    <w:rsid w:val="00396C3F"/>
    <w:rsid w:val="00396ED1"/>
    <w:rsid w:val="00397927"/>
    <w:rsid w:val="00397C0D"/>
    <w:rsid w:val="00397C43"/>
    <w:rsid w:val="00397F3F"/>
    <w:rsid w:val="00397FA2"/>
    <w:rsid w:val="003A019F"/>
    <w:rsid w:val="003A07BF"/>
    <w:rsid w:val="003A08F3"/>
    <w:rsid w:val="003A0DF7"/>
    <w:rsid w:val="003A1564"/>
    <w:rsid w:val="003A1A8F"/>
    <w:rsid w:val="003A1BCE"/>
    <w:rsid w:val="003A1FC8"/>
    <w:rsid w:val="003A215E"/>
    <w:rsid w:val="003A2252"/>
    <w:rsid w:val="003A2D1C"/>
    <w:rsid w:val="003A342B"/>
    <w:rsid w:val="003A3A7C"/>
    <w:rsid w:val="003A3A84"/>
    <w:rsid w:val="003A40F0"/>
    <w:rsid w:val="003A410F"/>
    <w:rsid w:val="003A41B3"/>
    <w:rsid w:val="003A41CA"/>
    <w:rsid w:val="003A42D4"/>
    <w:rsid w:val="003A49C4"/>
    <w:rsid w:val="003A4B17"/>
    <w:rsid w:val="003A5341"/>
    <w:rsid w:val="003A578A"/>
    <w:rsid w:val="003A5931"/>
    <w:rsid w:val="003A5B0F"/>
    <w:rsid w:val="003A5B60"/>
    <w:rsid w:val="003A5F4D"/>
    <w:rsid w:val="003A600C"/>
    <w:rsid w:val="003A6453"/>
    <w:rsid w:val="003A663A"/>
    <w:rsid w:val="003A6E10"/>
    <w:rsid w:val="003A708B"/>
    <w:rsid w:val="003A744D"/>
    <w:rsid w:val="003A769F"/>
    <w:rsid w:val="003A778F"/>
    <w:rsid w:val="003A7969"/>
    <w:rsid w:val="003A7A74"/>
    <w:rsid w:val="003B00D7"/>
    <w:rsid w:val="003B017C"/>
    <w:rsid w:val="003B05E1"/>
    <w:rsid w:val="003B0E42"/>
    <w:rsid w:val="003B1149"/>
    <w:rsid w:val="003B1593"/>
    <w:rsid w:val="003B23EB"/>
    <w:rsid w:val="003B2733"/>
    <w:rsid w:val="003B32A9"/>
    <w:rsid w:val="003B3A15"/>
    <w:rsid w:val="003B3A7D"/>
    <w:rsid w:val="003B3D82"/>
    <w:rsid w:val="003B3E71"/>
    <w:rsid w:val="003B419B"/>
    <w:rsid w:val="003B45F9"/>
    <w:rsid w:val="003B50F8"/>
    <w:rsid w:val="003B515F"/>
    <w:rsid w:val="003B53AC"/>
    <w:rsid w:val="003B576C"/>
    <w:rsid w:val="003B5B30"/>
    <w:rsid w:val="003B5D89"/>
    <w:rsid w:val="003B5DC1"/>
    <w:rsid w:val="003B5E3F"/>
    <w:rsid w:val="003B5E51"/>
    <w:rsid w:val="003B5F04"/>
    <w:rsid w:val="003B60DE"/>
    <w:rsid w:val="003B6924"/>
    <w:rsid w:val="003B6EFC"/>
    <w:rsid w:val="003B7661"/>
    <w:rsid w:val="003B778A"/>
    <w:rsid w:val="003B7BE2"/>
    <w:rsid w:val="003B7CE3"/>
    <w:rsid w:val="003B7D3F"/>
    <w:rsid w:val="003B7DD5"/>
    <w:rsid w:val="003C002E"/>
    <w:rsid w:val="003C0896"/>
    <w:rsid w:val="003C0DB0"/>
    <w:rsid w:val="003C104E"/>
    <w:rsid w:val="003C16C8"/>
    <w:rsid w:val="003C178D"/>
    <w:rsid w:val="003C1889"/>
    <w:rsid w:val="003C1DF5"/>
    <w:rsid w:val="003C26B6"/>
    <w:rsid w:val="003C299A"/>
    <w:rsid w:val="003C3093"/>
    <w:rsid w:val="003C4B9C"/>
    <w:rsid w:val="003C4DC3"/>
    <w:rsid w:val="003C5209"/>
    <w:rsid w:val="003C5F34"/>
    <w:rsid w:val="003C6301"/>
    <w:rsid w:val="003C69BD"/>
    <w:rsid w:val="003C6B91"/>
    <w:rsid w:val="003C71FF"/>
    <w:rsid w:val="003C7266"/>
    <w:rsid w:val="003C784D"/>
    <w:rsid w:val="003D02B9"/>
    <w:rsid w:val="003D03A7"/>
    <w:rsid w:val="003D06F4"/>
    <w:rsid w:val="003D0B5B"/>
    <w:rsid w:val="003D0DA9"/>
    <w:rsid w:val="003D0F56"/>
    <w:rsid w:val="003D11ED"/>
    <w:rsid w:val="003D14FF"/>
    <w:rsid w:val="003D1512"/>
    <w:rsid w:val="003D1738"/>
    <w:rsid w:val="003D1A8A"/>
    <w:rsid w:val="003D1CD1"/>
    <w:rsid w:val="003D1E1D"/>
    <w:rsid w:val="003D2307"/>
    <w:rsid w:val="003D2815"/>
    <w:rsid w:val="003D28E2"/>
    <w:rsid w:val="003D2A77"/>
    <w:rsid w:val="003D3110"/>
    <w:rsid w:val="003D316B"/>
    <w:rsid w:val="003D38DB"/>
    <w:rsid w:val="003D3AB1"/>
    <w:rsid w:val="003D3DCE"/>
    <w:rsid w:val="003D3FFB"/>
    <w:rsid w:val="003D41FE"/>
    <w:rsid w:val="003D456E"/>
    <w:rsid w:val="003D46A2"/>
    <w:rsid w:val="003D4FC6"/>
    <w:rsid w:val="003D532E"/>
    <w:rsid w:val="003D5725"/>
    <w:rsid w:val="003D62FD"/>
    <w:rsid w:val="003D63E7"/>
    <w:rsid w:val="003D660E"/>
    <w:rsid w:val="003D6A3A"/>
    <w:rsid w:val="003D6DE3"/>
    <w:rsid w:val="003D771C"/>
    <w:rsid w:val="003D7792"/>
    <w:rsid w:val="003D7998"/>
    <w:rsid w:val="003D7AC8"/>
    <w:rsid w:val="003E0707"/>
    <w:rsid w:val="003E1549"/>
    <w:rsid w:val="003E163A"/>
    <w:rsid w:val="003E1C2B"/>
    <w:rsid w:val="003E1D16"/>
    <w:rsid w:val="003E248C"/>
    <w:rsid w:val="003E273E"/>
    <w:rsid w:val="003E297B"/>
    <w:rsid w:val="003E2EC2"/>
    <w:rsid w:val="003E2F44"/>
    <w:rsid w:val="003E33E4"/>
    <w:rsid w:val="003E3DAC"/>
    <w:rsid w:val="003E476F"/>
    <w:rsid w:val="003E47A8"/>
    <w:rsid w:val="003E4A15"/>
    <w:rsid w:val="003E4E4D"/>
    <w:rsid w:val="003E53FE"/>
    <w:rsid w:val="003E55BF"/>
    <w:rsid w:val="003E56D1"/>
    <w:rsid w:val="003E5BFD"/>
    <w:rsid w:val="003E5CE6"/>
    <w:rsid w:val="003E60C6"/>
    <w:rsid w:val="003E6368"/>
    <w:rsid w:val="003E6377"/>
    <w:rsid w:val="003E6409"/>
    <w:rsid w:val="003E6454"/>
    <w:rsid w:val="003E65DB"/>
    <w:rsid w:val="003E67C0"/>
    <w:rsid w:val="003E6D3D"/>
    <w:rsid w:val="003E6EE0"/>
    <w:rsid w:val="003E6F35"/>
    <w:rsid w:val="003E77DA"/>
    <w:rsid w:val="003E7980"/>
    <w:rsid w:val="003F05FD"/>
    <w:rsid w:val="003F0BDC"/>
    <w:rsid w:val="003F10AB"/>
    <w:rsid w:val="003F16A2"/>
    <w:rsid w:val="003F1916"/>
    <w:rsid w:val="003F19F1"/>
    <w:rsid w:val="003F1B8F"/>
    <w:rsid w:val="003F1BE1"/>
    <w:rsid w:val="003F1E01"/>
    <w:rsid w:val="003F21E3"/>
    <w:rsid w:val="003F261C"/>
    <w:rsid w:val="003F278A"/>
    <w:rsid w:val="003F2C1F"/>
    <w:rsid w:val="003F2D28"/>
    <w:rsid w:val="003F31AE"/>
    <w:rsid w:val="003F3319"/>
    <w:rsid w:val="003F33EE"/>
    <w:rsid w:val="003F353D"/>
    <w:rsid w:val="003F363A"/>
    <w:rsid w:val="003F37C5"/>
    <w:rsid w:val="003F3C02"/>
    <w:rsid w:val="003F4B76"/>
    <w:rsid w:val="003F4F13"/>
    <w:rsid w:val="003F50E8"/>
    <w:rsid w:val="003F5494"/>
    <w:rsid w:val="003F5BC5"/>
    <w:rsid w:val="003F6800"/>
    <w:rsid w:val="003F7032"/>
    <w:rsid w:val="003F707C"/>
    <w:rsid w:val="003F7520"/>
    <w:rsid w:val="003F7665"/>
    <w:rsid w:val="003F774B"/>
    <w:rsid w:val="003F7C4C"/>
    <w:rsid w:val="003F7DAD"/>
    <w:rsid w:val="003F7DFF"/>
    <w:rsid w:val="003F7ED5"/>
    <w:rsid w:val="004001AB"/>
    <w:rsid w:val="0040028C"/>
    <w:rsid w:val="0040032F"/>
    <w:rsid w:val="004008CE"/>
    <w:rsid w:val="00401068"/>
    <w:rsid w:val="004011FF"/>
    <w:rsid w:val="0040126C"/>
    <w:rsid w:val="004012DF"/>
    <w:rsid w:val="004016E2"/>
    <w:rsid w:val="00401831"/>
    <w:rsid w:val="004021B8"/>
    <w:rsid w:val="004024EC"/>
    <w:rsid w:val="0040407B"/>
    <w:rsid w:val="00404167"/>
    <w:rsid w:val="00404800"/>
    <w:rsid w:val="004048C4"/>
    <w:rsid w:val="00404FAE"/>
    <w:rsid w:val="0040506C"/>
    <w:rsid w:val="004053C2"/>
    <w:rsid w:val="00405649"/>
    <w:rsid w:val="004059FB"/>
    <w:rsid w:val="00405AFF"/>
    <w:rsid w:val="004060D7"/>
    <w:rsid w:val="00406260"/>
    <w:rsid w:val="0040643F"/>
    <w:rsid w:val="00406706"/>
    <w:rsid w:val="00406751"/>
    <w:rsid w:val="0040677D"/>
    <w:rsid w:val="0040682D"/>
    <w:rsid w:val="004069D7"/>
    <w:rsid w:val="00406B60"/>
    <w:rsid w:val="00406BD6"/>
    <w:rsid w:val="00406CC9"/>
    <w:rsid w:val="00410075"/>
    <w:rsid w:val="0041007A"/>
    <w:rsid w:val="004101CE"/>
    <w:rsid w:val="00410880"/>
    <w:rsid w:val="00410903"/>
    <w:rsid w:val="00410CB6"/>
    <w:rsid w:val="00410F41"/>
    <w:rsid w:val="00411292"/>
    <w:rsid w:val="0041175F"/>
    <w:rsid w:val="00411C5B"/>
    <w:rsid w:val="00412061"/>
    <w:rsid w:val="0041247E"/>
    <w:rsid w:val="004124DD"/>
    <w:rsid w:val="0041268A"/>
    <w:rsid w:val="0041271B"/>
    <w:rsid w:val="00412AEC"/>
    <w:rsid w:val="00412C00"/>
    <w:rsid w:val="00412E1D"/>
    <w:rsid w:val="00412FC3"/>
    <w:rsid w:val="00413127"/>
    <w:rsid w:val="004132FA"/>
    <w:rsid w:val="0041353A"/>
    <w:rsid w:val="00413A72"/>
    <w:rsid w:val="00413AFC"/>
    <w:rsid w:val="004144E2"/>
    <w:rsid w:val="00414519"/>
    <w:rsid w:val="004148D8"/>
    <w:rsid w:val="00414D46"/>
    <w:rsid w:val="00415228"/>
    <w:rsid w:val="004154E7"/>
    <w:rsid w:val="0041583C"/>
    <w:rsid w:val="00415B08"/>
    <w:rsid w:val="00415B74"/>
    <w:rsid w:val="00415CB1"/>
    <w:rsid w:val="00415D99"/>
    <w:rsid w:val="00415DC2"/>
    <w:rsid w:val="00416D13"/>
    <w:rsid w:val="00416EAF"/>
    <w:rsid w:val="004173B2"/>
    <w:rsid w:val="00417A2D"/>
    <w:rsid w:val="00417C31"/>
    <w:rsid w:val="00417ECF"/>
    <w:rsid w:val="00417ED8"/>
    <w:rsid w:val="004204F4"/>
    <w:rsid w:val="00420523"/>
    <w:rsid w:val="004208C2"/>
    <w:rsid w:val="0042125D"/>
    <w:rsid w:val="00421794"/>
    <w:rsid w:val="00421F1F"/>
    <w:rsid w:val="004220D7"/>
    <w:rsid w:val="0042274E"/>
    <w:rsid w:val="00422D2B"/>
    <w:rsid w:val="00423730"/>
    <w:rsid w:val="0042381A"/>
    <w:rsid w:val="00424550"/>
    <w:rsid w:val="00424947"/>
    <w:rsid w:val="00425439"/>
    <w:rsid w:val="00425640"/>
    <w:rsid w:val="004256AA"/>
    <w:rsid w:val="00425AD9"/>
    <w:rsid w:val="00425D51"/>
    <w:rsid w:val="00425F1D"/>
    <w:rsid w:val="00425F9E"/>
    <w:rsid w:val="00426263"/>
    <w:rsid w:val="0042741E"/>
    <w:rsid w:val="00430100"/>
    <w:rsid w:val="00430898"/>
    <w:rsid w:val="00430C2E"/>
    <w:rsid w:val="00430F4B"/>
    <w:rsid w:val="0043125A"/>
    <w:rsid w:val="00431299"/>
    <w:rsid w:val="00431323"/>
    <w:rsid w:val="0043168C"/>
    <w:rsid w:val="00431901"/>
    <w:rsid w:val="00431AA0"/>
    <w:rsid w:val="0043214A"/>
    <w:rsid w:val="00433041"/>
    <w:rsid w:val="00433DE5"/>
    <w:rsid w:val="00433FA3"/>
    <w:rsid w:val="00434149"/>
    <w:rsid w:val="00434821"/>
    <w:rsid w:val="00434D3E"/>
    <w:rsid w:val="00435035"/>
    <w:rsid w:val="004355B7"/>
    <w:rsid w:val="00435B82"/>
    <w:rsid w:val="00435E6A"/>
    <w:rsid w:val="0043605B"/>
    <w:rsid w:val="00436336"/>
    <w:rsid w:val="004364D8"/>
    <w:rsid w:val="00436A17"/>
    <w:rsid w:val="00437223"/>
    <w:rsid w:val="0043783A"/>
    <w:rsid w:val="00437D04"/>
    <w:rsid w:val="00440636"/>
    <w:rsid w:val="00440F34"/>
    <w:rsid w:val="00441061"/>
    <w:rsid w:val="00441097"/>
    <w:rsid w:val="004411B1"/>
    <w:rsid w:val="004411DC"/>
    <w:rsid w:val="004415AB"/>
    <w:rsid w:val="00441750"/>
    <w:rsid w:val="0044231D"/>
    <w:rsid w:val="0044256C"/>
    <w:rsid w:val="00442FB1"/>
    <w:rsid w:val="004430F9"/>
    <w:rsid w:val="004433D7"/>
    <w:rsid w:val="004435EA"/>
    <w:rsid w:val="00443808"/>
    <w:rsid w:val="0044391F"/>
    <w:rsid w:val="00443F75"/>
    <w:rsid w:val="00444A85"/>
    <w:rsid w:val="00444F5F"/>
    <w:rsid w:val="00445355"/>
    <w:rsid w:val="004456D5"/>
    <w:rsid w:val="0044597F"/>
    <w:rsid w:val="00445A27"/>
    <w:rsid w:val="00445C52"/>
    <w:rsid w:val="00445D9D"/>
    <w:rsid w:val="00445E96"/>
    <w:rsid w:val="00445EA1"/>
    <w:rsid w:val="00445FB1"/>
    <w:rsid w:val="00446060"/>
    <w:rsid w:val="00446100"/>
    <w:rsid w:val="00446457"/>
    <w:rsid w:val="004465CB"/>
    <w:rsid w:val="004466F8"/>
    <w:rsid w:val="004469E4"/>
    <w:rsid w:val="00446EF9"/>
    <w:rsid w:val="00446F48"/>
    <w:rsid w:val="004470A0"/>
    <w:rsid w:val="004474BB"/>
    <w:rsid w:val="0044767F"/>
    <w:rsid w:val="004476C1"/>
    <w:rsid w:val="00447DF9"/>
    <w:rsid w:val="004501F9"/>
    <w:rsid w:val="00450525"/>
    <w:rsid w:val="0045052B"/>
    <w:rsid w:val="00450BB3"/>
    <w:rsid w:val="00450BFF"/>
    <w:rsid w:val="00450D68"/>
    <w:rsid w:val="00451A79"/>
    <w:rsid w:val="00451BA5"/>
    <w:rsid w:val="00451DF1"/>
    <w:rsid w:val="00452162"/>
    <w:rsid w:val="004523C3"/>
    <w:rsid w:val="004525F5"/>
    <w:rsid w:val="00452C63"/>
    <w:rsid w:val="00452D2A"/>
    <w:rsid w:val="00452DCE"/>
    <w:rsid w:val="004539EA"/>
    <w:rsid w:val="00453A65"/>
    <w:rsid w:val="00453EB7"/>
    <w:rsid w:val="00454120"/>
    <w:rsid w:val="00454A79"/>
    <w:rsid w:val="00454ADE"/>
    <w:rsid w:val="00454BDF"/>
    <w:rsid w:val="0045542A"/>
    <w:rsid w:val="0045558C"/>
    <w:rsid w:val="004559F1"/>
    <w:rsid w:val="00456B0F"/>
    <w:rsid w:val="004618CF"/>
    <w:rsid w:val="00461986"/>
    <w:rsid w:val="00461AE2"/>
    <w:rsid w:val="00462409"/>
    <w:rsid w:val="00463DA6"/>
    <w:rsid w:val="00463F5B"/>
    <w:rsid w:val="00463F5D"/>
    <w:rsid w:val="00463F67"/>
    <w:rsid w:val="0046490F"/>
    <w:rsid w:val="00464A52"/>
    <w:rsid w:val="00464D12"/>
    <w:rsid w:val="00464E75"/>
    <w:rsid w:val="00465F7F"/>
    <w:rsid w:val="00466566"/>
    <w:rsid w:val="00466E8E"/>
    <w:rsid w:val="00466F2D"/>
    <w:rsid w:val="00466F79"/>
    <w:rsid w:val="0046720C"/>
    <w:rsid w:val="004672B4"/>
    <w:rsid w:val="004672C7"/>
    <w:rsid w:val="0046736E"/>
    <w:rsid w:val="004673E5"/>
    <w:rsid w:val="004676AE"/>
    <w:rsid w:val="00467797"/>
    <w:rsid w:val="0046788C"/>
    <w:rsid w:val="00467B39"/>
    <w:rsid w:val="00467F7B"/>
    <w:rsid w:val="0047034B"/>
    <w:rsid w:val="00470AF7"/>
    <w:rsid w:val="004712ED"/>
    <w:rsid w:val="00471554"/>
    <w:rsid w:val="00471B21"/>
    <w:rsid w:val="00471DF2"/>
    <w:rsid w:val="004725D0"/>
    <w:rsid w:val="004727D3"/>
    <w:rsid w:val="00472828"/>
    <w:rsid w:val="004728DB"/>
    <w:rsid w:val="00472D31"/>
    <w:rsid w:val="00473371"/>
    <w:rsid w:val="004736A5"/>
    <w:rsid w:val="00473780"/>
    <w:rsid w:val="00473A02"/>
    <w:rsid w:val="0047489C"/>
    <w:rsid w:val="00474ED7"/>
    <w:rsid w:val="00475107"/>
    <w:rsid w:val="004754C5"/>
    <w:rsid w:val="004754EC"/>
    <w:rsid w:val="0047562E"/>
    <w:rsid w:val="0047579C"/>
    <w:rsid w:val="00475955"/>
    <w:rsid w:val="00475BBE"/>
    <w:rsid w:val="00475C65"/>
    <w:rsid w:val="00475C70"/>
    <w:rsid w:val="00475E13"/>
    <w:rsid w:val="004765F8"/>
    <w:rsid w:val="0047699D"/>
    <w:rsid w:val="00476B8A"/>
    <w:rsid w:val="00476E7D"/>
    <w:rsid w:val="00476F58"/>
    <w:rsid w:val="00477111"/>
    <w:rsid w:val="00477782"/>
    <w:rsid w:val="00480556"/>
    <w:rsid w:val="00480D96"/>
    <w:rsid w:val="00481175"/>
    <w:rsid w:val="004813EF"/>
    <w:rsid w:val="00481456"/>
    <w:rsid w:val="0048159C"/>
    <w:rsid w:val="004816B1"/>
    <w:rsid w:val="004817D7"/>
    <w:rsid w:val="00481D60"/>
    <w:rsid w:val="00482D2C"/>
    <w:rsid w:val="00482F8C"/>
    <w:rsid w:val="004830D9"/>
    <w:rsid w:val="0048349F"/>
    <w:rsid w:val="0048360D"/>
    <w:rsid w:val="004841EA"/>
    <w:rsid w:val="004843AC"/>
    <w:rsid w:val="00484D12"/>
    <w:rsid w:val="00485002"/>
    <w:rsid w:val="00485205"/>
    <w:rsid w:val="0048521D"/>
    <w:rsid w:val="0048559E"/>
    <w:rsid w:val="0048577E"/>
    <w:rsid w:val="00485847"/>
    <w:rsid w:val="004865D8"/>
    <w:rsid w:val="00486885"/>
    <w:rsid w:val="00487087"/>
    <w:rsid w:val="0048781C"/>
    <w:rsid w:val="00487BB5"/>
    <w:rsid w:val="00487BB7"/>
    <w:rsid w:val="00487D8D"/>
    <w:rsid w:val="00487E11"/>
    <w:rsid w:val="0049005B"/>
    <w:rsid w:val="0049012B"/>
    <w:rsid w:val="0049017B"/>
    <w:rsid w:val="00491121"/>
    <w:rsid w:val="00491573"/>
    <w:rsid w:val="00491A7B"/>
    <w:rsid w:val="00492464"/>
    <w:rsid w:val="00492B22"/>
    <w:rsid w:val="00492F55"/>
    <w:rsid w:val="00493636"/>
    <w:rsid w:val="00494181"/>
    <w:rsid w:val="00494C07"/>
    <w:rsid w:val="00494F5E"/>
    <w:rsid w:val="00494F77"/>
    <w:rsid w:val="0049540B"/>
    <w:rsid w:val="00495783"/>
    <w:rsid w:val="004957CB"/>
    <w:rsid w:val="00495FB4"/>
    <w:rsid w:val="00496218"/>
    <w:rsid w:val="0049669B"/>
    <w:rsid w:val="00497022"/>
    <w:rsid w:val="00497030"/>
    <w:rsid w:val="004971E8"/>
    <w:rsid w:val="004977C5"/>
    <w:rsid w:val="00497999"/>
    <w:rsid w:val="004A0D74"/>
    <w:rsid w:val="004A13DB"/>
    <w:rsid w:val="004A1DC0"/>
    <w:rsid w:val="004A275E"/>
    <w:rsid w:val="004A29A0"/>
    <w:rsid w:val="004A2DF7"/>
    <w:rsid w:val="004A2EC6"/>
    <w:rsid w:val="004A2EFE"/>
    <w:rsid w:val="004A2FBC"/>
    <w:rsid w:val="004A312A"/>
    <w:rsid w:val="004A33A9"/>
    <w:rsid w:val="004A3747"/>
    <w:rsid w:val="004A38AF"/>
    <w:rsid w:val="004A3B37"/>
    <w:rsid w:val="004A3D1C"/>
    <w:rsid w:val="004A3ECF"/>
    <w:rsid w:val="004A471E"/>
    <w:rsid w:val="004A4B26"/>
    <w:rsid w:val="004A4BDA"/>
    <w:rsid w:val="004A4F9C"/>
    <w:rsid w:val="004A5871"/>
    <w:rsid w:val="004A5ECA"/>
    <w:rsid w:val="004A6236"/>
    <w:rsid w:val="004A6251"/>
    <w:rsid w:val="004A6286"/>
    <w:rsid w:val="004A71C0"/>
    <w:rsid w:val="004A7723"/>
    <w:rsid w:val="004A785F"/>
    <w:rsid w:val="004A7CAE"/>
    <w:rsid w:val="004A7DEE"/>
    <w:rsid w:val="004A7E06"/>
    <w:rsid w:val="004A7E51"/>
    <w:rsid w:val="004B02A7"/>
    <w:rsid w:val="004B0CC4"/>
    <w:rsid w:val="004B11B4"/>
    <w:rsid w:val="004B13EA"/>
    <w:rsid w:val="004B14DC"/>
    <w:rsid w:val="004B16C0"/>
    <w:rsid w:val="004B16DC"/>
    <w:rsid w:val="004B1745"/>
    <w:rsid w:val="004B1D90"/>
    <w:rsid w:val="004B1F85"/>
    <w:rsid w:val="004B21C8"/>
    <w:rsid w:val="004B2A97"/>
    <w:rsid w:val="004B2CE3"/>
    <w:rsid w:val="004B2DAE"/>
    <w:rsid w:val="004B371C"/>
    <w:rsid w:val="004B3AFE"/>
    <w:rsid w:val="004B3BEF"/>
    <w:rsid w:val="004B3DD5"/>
    <w:rsid w:val="004B3ED8"/>
    <w:rsid w:val="004B4454"/>
    <w:rsid w:val="004B46AD"/>
    <w:rsid w:val="004B475D"/>
    <w:rsid w:val="004B5142"/>
    <w:rsid w:val="004B54DE"/>
    <w:rsid w:val="004B5B43"/>
    <w:rsid w:val="004B5C68"/>
    <w:rsid w:val="004B61C4"/>
    <w:rsid w:val="004B64F8"/>
    <w:rsid w:val="004B682E"/>
    <w:rsid w:val="004B6DDA"/>
    <w:rsid w:val="004B6E36"/>
    <w:rsid w:val="004B6EB9"/>
    <w:rsid w:val="004B71C9"/>
    <w:rsid w:val="004B7212"/>
    <w:rsid w:val="004B752E"/>
    <w:rsid w:val="004B78C0"/>
    <w:rsid w:val="004B7D1B"/>
    <w:rsid w:val="004B7FF4"/>
    <w:rsid w:val="004C00BC"/>
    <w:rsid w:val="004C0169"/>
    <w:rsid w:val="004C01A9"/>
    <w:rsid w:val="004C0D42"/>
    <w:rsid w:val="004C0E87"/>
    <w:rsid w:val="004C0F16"/>
    <w:rsid w:val="004C0F26"/>
    <w:rsid w:val="004C1012"/>
    <w:rsid w:val="004C1C08"/>
    <w:rsid w:val="004C23DF"/>
    <w:rsid w:val="004C2777"/>
    <w:rsid w:val="004C2948"/>
    <w:rsid w:val="004C2ED8"/>
    <w:rsid w:val="004C3250"/>
    <w:rsid w:val="004C3BDE"/>
    <w:rsid w:val="004C3C78"/>
    <w:rsid w:val="004C3D01"/>
    <w:rsid w:val="004C415E"/>
    <w:rsid w:val="004C42DD"/>
    <w:rsid w:val="004C4435"/>
    <w:rsid w:val="004C4472"/>
    <w:rsid w:val="004C454A"/>
    <w:rsid w:val="004C4598"/>
    <w:rsid w:val="004C480B"/>
    <w:rsid w:val="004C4E75"/>
    <w:rsid w:val="004C5525"/>
    <w:rsid w:val="004C5B44"/>
    <w:rsid w:val="004C5C1F"/>
    <w:rsid w:val="004C6255"/>
    <w:rsid w:val="004C6B10"/>
    <w:rsid w:val="004C6E5F"/>
    <w:rsid w:val="004C72A5"/>
    <w:rsid w:val="004C7802"/>
    <w:rsid w:val="004C7985"/>
    <w:rsid w:val="004D0468"/>
    <w:rsid w:val="004D0AAA"/>
    <w:rsid w:val="004D0FF1"/>
    <w:rsid w:val="004D1369"/>
    <w:rsid w:val="004D1479"/>
    <w:rsid w:val="004D14AF"/>
    <w:rsid w:val="004D189E"/>
    <w:rsid w:val="004D197C"/>
    <w:rsid w:val="004D1B31"/>
    <w:rsid w:val="004D1C31"/>
    <w:rsid w:val="004D25D7"/>
    <w:rsid w:val="004D27AD"/>
    <w:rsid w:val="004D28F3"/>
    <w:rsid w:val="004D2CC2"/>
    <w:rsid w:val="004D3A55"/>
    <w:rsid w:val="004D3C8D"/>
    <w:rsid w:val="004D3D1F"/>
    <w:rsid w:val="004D4049"/>
    <w:rsid w:val="004D45FA"/>
    <w:rsid w:val="004D48C3"/>
    <w:rsid w:val="004D4999"/>
    <w:rsid w:val="004D4AAE"/>
    <w:rsid w:val="004D4C85"/>
    <w:rsid w:val="004D5196"/>
    <w:rsid w:val="004D53EF"/>
    <w:rsid w:val="004D5575"/>
    <w:rsid w:val="004D589C"/>
    <w:rsid w:val="004D5A83"/>
    <w:rsid w:val="004D5B18"/>
    <w:rsid w:val="004D5CAD"/>
    <w:rsid w:val="004D5DD5"/>
    <w:rsid w:val="004D5E68"/>
    <w:rsid w:val="004D5E82"/>
    <w:rsid w:val="004D668F"/>
    <w:rsid w:val="004D6CF0"/>
    <w:rsid w:val="004D75F4"/>
    <w:rsid w:val="004D7675"/>
    <w:rsid w:val="004D7B37"/>
    <w:rsid w:val="004E00AA"/>
    <w:rsid w:val="004E07F4"/>
    <w:rsid w:val="004E0951"/>
    <w:rsid w:val="004E09C1"/>
    <w:rsid w:val="004E162B"/>
    <w:rsid w:val="004E172F"/>
    <w:rsid w:val="004E1B7F"/>
    <w:rsid w:val="004E1EAE"/>
    <w:rsid w:val="004E2111"/>
    <w:rsid w:val="004E21B8"/>
    <w:rsid w:val="004E25DD"/>
    <w:rsid w:val="004E26CC"/>
    <w:rsid w:val="004E28E3"/>
    <w:rsid w:val="004E2E27"/>
    <w:rsid w:val="004E37DF"/>
    <w:rsid w:val="004E4341"/>
    <w:rsid w:val="004E4BE8"/>
    <w:rsid w:val="004E4D8A"/>
    <w:rsid w:val="004E4E06"/>
    <w:rsid w:val="004E5280"/>
    <w:rsid w:val="004E56BD"/>
    <w:rsid w:val="004E5A4B"/>
    <w:rsid w:val="004E5B69"/>
    <w:rsid w:val="004E5BBD"/>
    <w:rsid w:val="004E5DE3"/>
    <w:rsid w:val="004E5E29"/>
    <w:rsid w:val="004E5EA7"/>
    <w:rsid w:val="004E6736"/>
    <w:rsid w:val="004E6B8B"/>
    <w:rsid w:val="004E6C6E"/>
    <w:rsid w:val="004E6CBF"/>
    <w:rsid w:val="004E6E11"/>
    <w:rsid w:val="004E75C8"/>
    <w:rsid w:val="004F0022"/>
    <w:rsid w:val="004F015E"/>
    <w:rsid w:val="004F0219"/>
    <w:rsid w:val="004F0449"/>
    <w:rsid w:val="004F0B78"/>
    <w:rsid w:val="004F0C42"/>
    <w:rsid w:val="004F10A6"/>
    <w:rsid w:val="004F1614"/>
    <w:rsid w:val="004F17AA"/>
    <w:rsid w:val="004F1878"/>
    <w:rsid w:val="004F1C9E"/>
    <w:rsid w:val="004F1FC4"/>
    <w:rsid w:val="004F280F"/>
    <w:rsid w:val="004F285D"/>
    <w:rsid w:val="004F29BA"/>
    <w:rsid w:val="004F29E7"/>
    <w:rsid w:val="004F2AA9"/>
    <w:rsid w:val="004F3720"/>
    <w:rsid w:val="004F37E9"/>
    <w:rsid w:val="004F3B5E"/>
    <w:rsid w:val="004F3B69"/>
    <w:rsid w:val="004F4726"/>
    <w:rsid w:val="004F49A3"/>
    <w:rsid w:val="004F4A58"/>
    <w:rsid w:val="004F4E41"/>
    <w:rsid w:val="004F5224"/>
    <w:rsid w:val="004F5351"/>
    <w:rsid w:val="004F561D"/>
    <w:rsid w:val="004F562B"/>
    <w:rsid w:val="004F5C5E"/>
    <w:rsid w:val="004F5DB2"/>
    <w:rsid w:val="004F6066"/>
    <w:rsid w:val="004F61A0"/>
    <w:rsid w:val="004F61CC"/>
    <w:rsid w:val="004F62C1"/>
    <w:rsid w:val="004F6374"/>
    <w:rsid w:val="004F6575"/>
    <w:rsid w:val="004F71C5"/>
    <w:rsid w:val="004F7554"/>
    <w:rsid w:val="004F7A5E"/>
    <w:rsid w:val="004F7B75"/>
    <w:rsid w:val="005001FB"/>
    <w:rsid w:val="00500AEA"/>
    <w:rsid w:val="00500D22"/>
    <w:rsid w:val="00501341"/>
    <w:rsid w:val="005013DA"/>
    <w:rsid w:val="005016E1"/>
    <w:rsid w:val="0050196F"/>
    <w:rsid w:val="00501CF6"/>
    <w:rsid w:val="00501E83"/>
    <w:rsid w:val="00501F27"/>
    <w:rsid w:val="00502085"/>
    <w:rsid w:val="00502771"/>
    <w:rsid w:val="00502F1D"/>
    <w:rsid w:val="005030B5"/>
    <w:rsid w:val="0050320E"/>
    <w:rsid w:val="00503A3E"/>
    <w:rsid w:val="00503DF2"/>
    <w:rsid w:val="005042D5"/>
    <w:rsid w:val="005047A5"/>
    <w:rsid w:val="00504A0A"/>
    <w:rsid w:val="0050507E"/>
    <w:rsid w:val="005051F3"/>
    <w:rsid w:val="00505737"/>
    <w:rsid w:val="0050661E"/>
    <w:rsid w:val="0050686E"/>
    <w:rsid w:val="00506C49"/>
    <w:rsid w:val="005071A9"/>
    <w:rsid w:val="005072BE"/>
    <w:rsid w:val="00507937"/>
    <w:rsid w:val="00507C32"/>
    <w:rsid w:val="00507F6F"/>
    <w:rsid w:val="005101DA"/>
    <w:rsid w:val="00510243"/>
    <w:rsid w:val="0051046A"/>
    <w:rsid w:val="00510515"/>
    <w:rsid w:val="005105AF"/>
    <w:rsid w:val="005106AC"/>
    <w:rsid w:val="00510738"/>
    <w:rsid w:val="00511429"/>
    <w:rsid w:val="005114E7"/>
    <w:rsid w:val="00511A7C"/>
    <w:rsid w:val="00511BE7"/>
    <w:rsid w:val="00511C2C"/>
    <w:rsid w:val="00511CA6"/>
    <w:rsid w:val="0051201B"/>
    <w:rsid w:val="005126ED"/>
    <w:rsid w:val="00512900"/>
    <w:rsid w:val="0051311D"/>
    <w:rsid w:val="00513543"/>
    <w:rsid w:val="00513812"/>
    <w:rsid w:val="0051413D"/>
    <w:rsid w:val="005141ED"/>
    <w:rsid w:val="00514419"/>
    <w:rsid w:val="005145C4"/>
    <w:rsid w:val="00514696"/>
    <w:rsid w:val="00514D71"/>
    <w:rsid w:val="005152BE"/>
    <w:rsid w:val="005153E6"/>
    <w:rsid w:val="00515B47"/>
    <w:rsid w:val="00515D6B"/>
    <w:rsid w:val="00517576"/>
    <w:rsid w:val="005176D9"/>
    <w:rsid w:val="00517B9B"/>
    <w:rsid w:val="00517BA0"/>
    <w:rsid w:val="00517E50"/>
    <w:rsid w:val="00517F31"/>
    <w:rsid w:val="005204DB"/>
    <w:rsid w:val="00520859"/>
    <w:rsid w:val="00520CC2"/>
    <w:rsid w:val="005213B4"/>
    <w:rsid w:val="005218B9"/>
    <w:rsid w:val="0052191D"/>
    <w:rsid w:val="00521BE3"/>
    <w:rsid w:val="00521DE4"/>
    <w:rsid w:val="00521F73"/>
    <w:rsid w:val="00522001"/>
    <w:rsid w:val="005220D5"/>
    <w:rsid w:val="0052219A"/>
    <w:rsid w:val="00522275"/>
    <w:rsid w:val="005225A7"/>
    <w:rsid w:val="0052277A"/>
    <w:rsid w:val="00522C6D"/>
    <w:rsid w:val="00523095"/>
    <w:rsid w:val="00523224"/>
    <w:rsid w:val="00523252"/>
    <w:rsid w:val="0052342F"/>
    <w:rsid w:val="005238BC"/>
    <w:rsid w:val="00523C63"/>
    <w:rsid w:val="00523E41"/>
    <w:rsid w:val="00523F0A"/>
    <w:rsid w:val="00523F13"/>
    <w:rsid w:val="0052424B"/>
    <w:rsid w:val="005247A9"/>
    <w:rsid w:val="0052489D"/>
    <w:rsid w:val="00524989"/>
    <w:rsid w:val="00525503"/>
    <w:rsid w:val="0052595C"/>
    <w:rsid w:val="00525FFC"/>
    <w:rsid w:val="00526172"/>
    <w:rsid w:val="00526A0B"/>
    <w:rsid w:val="005270AA"/>
    <w:rsid w:val="005273C7"/>
    <w:rsid w:val="005275A8"/>
    <w:rsid w:val="005277DD"/>
    <w:rsid w:val="00527D15"/>
    <w:rsid w:val="00527FA6"/>
    <w:rsid w:val="00530185"/>
    <w:rsid w:val="0053046A"/>
    <w:rsid w:val="00531ADB"/>
    <w:rsid w:val="00531EE2"/>
    <w:rsid w:val="00532113"/>
    <w:rsid w:val="00532496"/>
    <w:rsid w:val="00532502"/>
    <w:rsid w:val="00532704"/>
    <w:rsid w:val="005328A6"/>
    <w:rsid w:val="00532DAE"/>
    <w:rsid w:val="00533378"/>
    <w:rsid w:val="00533850"/>
    <w:rsid w:val="00533EED"/>
    <w:rsid w:val="005341B8"/>
    <w:rsid w:val="00535357"/>
    <w:rsid w:val="005353B4"/>
    <w:rsid w:val="005358DC"/>
    <w:rsid w:val="00535AD0"/>
    <w:rsid w:val="00535AEE"/>
    <w:rsid w:val="00536EEA"/>
    <w:rsid w:val="005373FF"/>
    <w:rsid w:val="00537446"/>
    <w:rsid w:val="0053765D"/>
    <w:rsid w:val="00537F8C"/>
    <w:rsid w:val="00540848"/>
    <w:rsid w:val="00540855"/>
    <w:rsid w:val="00540861"/>
    <w:rsid w:val="00540DF8"/>
    <w:rsid w:val="00540E2C"/>
    <w:rsid w:val="00540ECF"/>
    <w:rsid w:val="00540F2B"/>
    <w:rsid w:val="00540FCB"/>
    <w:rsid w:val="00541020"/>
    <w:rsid w:val="0054126B"/>
    <w:rsid w:val="00541327"/>
    <w:rsid w:val="0054182B"/>
    <w:rsid w:val="005418C3"/>
    <w:rsid w:val="00541A8A"/>
    <w:rsid w:val="00541B80"/>
    <w:rsid w:val="00541DF3"/>
    <w:rsid w:val="00541EC2"/>
    <w:rsid w:val="00542803"/>
    <w:rsid w:val="00542D9E"/>
    <w:rsid w:val="00542E7B"/>
    <w:rsid w:val="0054325F"/>
    <w:rsid w:val="00543645"/>
    <w:rsid w:val="00543B1F"/>
    <w:rsid w:val="00543DA4"/>
    <w:rsid w:val="0054419E"/>
    <w:rsid w:val="00544A98"/>
    <w:rsid w:val="00544B17"/>
    <w:rsid w:val="00544EE9"/>
    <w:rsid w:val="00545027"/>
    <w:rsid w:val="005452FE"/>
    <w:rsid w:val="00545E85"/>
    <w:rsid w:val="00545F6E"/>
    <w:rsid w:val="00545FF5"/>
    <w:rsid w:val="005460BE"/>
    <w:rsid w:val="00546364"/>
    <w:rsid w:val="0054643F"/>
    <w:rsid w:val="0054696F"/>
    <w:rsid w:val="00546A27"/>
    <w:rsid w:val="00546D18"/>
    <w:rsid w:val="0054705D"/>
    <w:rsid w:val="00547152"/>
    <w:rsid w:val="00547225"/>
    <w:rsid w:val="0054760D"/>
    <w:rsid w:val="005502A3"/>
    <w:rsid w:val="0055031F"/>
    <w:rsid w:val="0055051C"/>
    <w:rsid w:val="00550918"/>
    <w:rsid w:val="0055093D"/>
    <w:rsid w:val="00550D43"/>
    <w:rsid w:val="005511C8"/>
    <w:rsid w:val="00551C28"/>
    <w:rsid w:val="00551FCB"/>
    <w:rsid w:val="00552148"/>
    <w:rsid w:val="00552411"/>
    <w:rsid w:val="00552733"/>
    <w:rsid w:val="005528BA"/>
    <w:rsid w:val="00552CD7"/>
    <w:rsid w:val="005531A7"/>
    <w:rsid w:val="005534DB"/>
    <w:rsid w:val="0055393B"/>
    <w:rsid w:val="00553A08"/>
    <w:rsid w:val="00553F92"/>
    <w:rsid w:val="005540D3"/>
    <w:rsid w:val="005544AB"/>
    <w:rsid w:val="00554C82"/>
    <w:rsid w:val="00555207"/>
    <w:rsid w:val="005552DD"/>
    <w:rsid w:val="005552F3"/>
    <w:rsid w:val="005555D8"/>
    <w:rsid w:val="0055591B"/>
    <w:rsid w:val="00555C2A"/>
    <w:rsid w:val="00555E97"/>
    <w:rsid w:val="00556379"/>
    <w:rsid w:val="005568CD"/>
    <w:rsid w:val="0055740A"/>
    <w:rsid w:val="0055751D"/>
    <w:rsid w:val="00557652"/>
    <w:rsid w:val="005577CC"/>
    <w:rsid w:val="00557835"/>
    <w:rsid w:val="00557A47"/>
    <w:rsid w:val="005603C0"/>
    <w:rsid w:val="00560417"/>
    <w:rsid w:val="0056102A"/>
    <w:rsid w:val="005617A3"/>
    <w:rsid w:val="00561913"/>
    <w:rsid w:val="0056241C"/>
    <w:rsid w:val="00562763"/>
    <w:rsid w:val="00563078"/>
    <w:rsid w:val="0056396E"/>
    <w:rsid w:val="00563EC6"/>
    <w:rsid w:val="00564BDA"/>
    <w:rsid w:val="0056517B"/>
    <w:rsid w:val="005654B3"/>
    <w:rsid w:val="00565654"/>
    <w:rsid w:val="00565DE9"/>
    <w:rsid w:val="00566630"/>
    <w:rsid w:val="005667FE"/>
    <w:rsid w:val="00566847"/>
    <w:rsid w:val="00566AB7"/>
    <w:rsid w:val="00566DAA"/>
    <w:rsid w:val="005673C6"/>
    <w:rsid w:val="00567A1C"/>
    <w:rsid w:val="00567C13"/>
    <w:rsid w:val="00570432"/>
    <w:rsid w:val="005707E5"/>
    <w:rsid w:val="00570E2C"/>
    <w:rsid w:val="00570F9C"/>
    <w:rsid w:val="0057168C"/>
    <w:rsid w:val="00571DA3"/>
    <w:rsid w:val="00571DF7"/>
    <w:rsid w:val="0057215A"/>
    <w:rsid w:val="005729AD"/>
    <w:rsid w:val="00572D62"/>
    <w:rsid w:val="00572E08"/>
    <w:rsid w:val="00572E7C"/>
    <w:rsid w:val="0057387B"/>
    <w:rsid w:val="0057393F"/>
    <w:rsid w:val="00573BEB"/>
    <w:rsid w:val="00574447"/>
    <w:rsid w:val="00574587"/>
    <w:rsid w:val="005746CF"/>
    <w:rsid w:val="00574704"/>
    <w:rsid w:val="00574970"/>
    <w:rsid w:val="005750E4"/>
    <w:rsid w:val="00575C4D"/>
    <w:rsid w:val="00575FEA"/>
    <w:rsid w:val="00576625"/>
    <w:rsid w:val="00576BE5"/>
    <w:rsid w:val="00576F5D"/>
    <w:rsid w:val="00576FC6"/>
    <w:rsid w:val="00577253"/>
    <w:rsid w:val="0057733B"/>
    <w:rsid w:val="00577B66"/>
    <w:rsid w:val="00577FAA"/>
    <w:rsid w:val="00580325"/>
    <w:rsid w:val="00580852"/>
    <w:rsid w:val="00580A9D"/>
    <w:rsid w:val="00580BF0"/>
    <w:rsid w:val="00580CE8"/>
    <w:rsid w:val="00580ECD"/>
    <w:rsid w:val="005811CC"/>
    <w:rsid w:val="005828AD"/>
    <w:rsid w:val="00582B91"/>
    <w:rsid w:val="00582F6A"/>
    <w:rsid w:val="005831FB"/>
    <w:rsid w:val="00583480"/>
    <w:rsid w:val="00583993"/>
    <w:rsid w:val="0058415F"/>
    <w:rsid w:val="005845EC"/>
    <w:rsid w:val="0058493F"/>
    <w:rsid w:val="00584C58"/>
    <w:rsid w:val="0058534D"/>
    <w:rsid w:val="005859AE"/>
    <w:rsid w:val="00585B50"/>
    <w:rsid w:val="00585D49"/>
    <w:rsid w:val="005861AC"/>
    <w:rsid w:val="00586CD5"/>
    <w:rsid w:val="00587367"/>
    <w:rsid w:val="00587395"/>
    <w:rsid w:val="00587618"/>
    <w:rsid w:val="0058787D"/>
    <w:rsid w:val="00587C50"/>
    <w:rsid w:val="0059001A"/>
    <w:rsid w:val="0059005D"/>
    <w:rsid w:val="00590108"/>
    <w:rsid w:val="00590450"/>
    <w:rsid w:val="0059057E"/>
    <w:rsid w:val="005906BB"/>
    <w:rsid w:val="005906DA"/>
    <w:rsid w:val="00590A4F"/>
    <w:rsid w:val="00590B0F"/>
    <w:rsid w:val="00590D2C"/>
    <w:rsid w:val="00591405"/>
    <w:rsid w:val="005916D4"/>
    <w:rsid w:val="00591E64"/>
    <w:rsid w:val="005921B2"/>
    <w:rsid w:val="00592CC7"/>
    <w:rsid w:val="005936CE"/>
    <w:rsid w:val="005936D2"/>
    <w:rsid w:val="005939B4"/>
    <w:rsid w:val="0059433A"/>
    <w:rsid w:val="00594824"/>
    <w:rsid w:val="005949D6"/>
    <w:rsid w:val="00594A07"/>
    <w:rsid w:val="00594BA3"/>
    <w:rsid w:val="00595253"/>
    <w:rsid w:val="00595291"/>
    <w:rsid w:val="00595351"/>
    <w:rsid w:val="00595740"/>
    <w:rsid w:val="00595A9F"/>
    <w:rsid w:val="00595CC6"/>
    <w:rsid w:val="00595F8D"/>
    <w:rsid w:val="005979FC"/>
    <w:rsid w:val="00597A2C"/>
    <w:rsid w:val="00597F8D"/>
    <w:rsid w:val="005A00D1"/>
    <w:rsid w:val="005A0153"/>
    <w:rsid w:val="005A0443"/>
    <w:rsid w:val="005A07E0"/>
    <w:rsid w:val="005A0A0B"/>
    <w:rsid w:val="005A1475"/>
    <w:rsid w:val="005A167E"/>
    <w:rsid w:val="005A1730"/>
    <w:rsid w:val="005A18D6"/>
    <w:rsid w:val="005A1A83"/>
    <w:rsid w:val="005A1ADE"/>
    <w:rsid w:val="005A1BDE"/>
    <w:rsid w:val="005A2002"/>
    <w:rsid w:val="005A21F1"/>
    <w:rsid w:val="005A225A"/>
    <w:rsid w:val="005A2507"/>
    <w:rsid w:val="005A26CF"/>
    <w:rsid w:val="005A2756"/>
    <w:rsid w:val="005A2944"/>
    <w:rsid w:val="005A2C60"/>
    <w:rsid w:val="005A366C"/>
    <w:rsid w:val="005A3C3B"/>
    <w:rsid w:val="005A45BB"/>
    <w:rsid w:val="005A5404"/>
    <w:rsid w:val="005A58C0"/>
    <w:rsid w:val="005A5DC2"/>
    <w:rsid w:val="005A5F2E"/>
    <w:rsid w:val="005A6001"/>
    <w:rsid w:val="005A6010"/>
    <w:rsid w:val="005A66EE"/>
    <w:rsid w:val="005A6FE3"/>
    <w:rsid w:val="005A7032"/>
    <w:rsid w:val="005A7EBD"/>
    <w:rsid w:val="005B01B5"/>
    <w:rsid w:val="005B03C6"/>
    <w:rsid w:val="005B0D3E"/>
    <w:rsid w:val="005B131E"/>
    <w:rsid w:val="005B133A"/>
    <w:rsid w:val="005B1785"/>
    <w:rsid w:val="005B183A"/>
    <w:rsid w:val="005B1947"/>
    <w:rsid w:val="005B240E"/>
    <w:rsid w:val="005B2AB9"/>
    <w:rsid w:val="005B2BD2"/>
    <w:rsid w:val="005B2C6D"/>
    <w:rsid w:val="005B2C8A"/>
    <w:rsid w:val="005B3038"/>
    <w:rsid w:val="005B39AF"/>
    <w:rsid w:val="005B3D58"/>
    <w:rsid w:val="005B3E5F"/>
    <w:rsid w:val="005B4E2A"/>
    <w:rsid w:val="005B4EBD"/>
    <w:rsid w:val="005B4FF5"/>
    <w:rsid w:val="005B51BB"/>
    <w:rsid w:val="005B5DD4"/>
    <w:rsid w:val="005B6197"/>
    <w:rsid w:val="005B6321"/>
    <w:rsid w:val="005B66FF"/>
    <w:rsid w:val="005B6810"/>
    <w:rsid w:val="005B6D71"/>
    <w:rsid w:val="005B72B1"/>
    <w:rsid w:val="005B7534"/>
    <w:rsid w:val="005B7759"/>
    <w:rsid w:val="005B782F"/>
    <w:rsid w:val="005B7C9B"/>
    <w:rsid w:val="005B7D75"/>
    <w:rsid w:val="005C0095"/>
    <w:rsid w:val="005C01DC"/>
    <w:rsid w:val="005C0538"/>
    <w:rsid w:val="005C094D"/>
    <w:rsid w:val="005C0B8E"/>
    <w:rsid w:val="005C0CB7"/>
    <w:rsid w:val="005C1105"/>
    <w:rsid w:val="005C1725"/>
    <w:rsid w:val="005C1B42"/>
    <w:rsid w:val="005C1FB5"/>
    <w:rsid w:val="005C2082"/>
    <w:rsid w:val="005C20F9"/>
    <w:rsid w:val="005C2492"/>
    <w:rsid w:val="005C2E7A"/>
    <w:rsid w:val="005C2E80"/>
    <w:rsid w:val="005C3065"/>
    <w:rsid w:val="005C35F0"/>
    <w:rsid w:val="005C382C"/>
    <w:rsid w:val="005C3E64"/>
    <w:rsid w:val="005C4489"/>
    <w:rsid w:val="005C463C"/>
    <w:rsid w:val="005C4730"/>
    <w:rsid w:val="005C4803"/>
    <w:rsid w:val="005C493B"/>
    <w:rsid w:val="005C599A"/>
    <w:rsid w:val="005C6463"/>
    <w:rsid w:val="005C65C1"/>
    <w:rsid w:val="005C660E"/>
    <w:rsid w:val="005C7158"/>
    <w:rsid w:val="005C7839"/>
    <w:rsid w:val="005C7BCA"/>
    <w:rsid w:val="005C7C7D"/>
    <w:rsid w:val="005D0154"/>
    <w:rsid w:val="005D0813"/>
    <w:rsid w:val="005D086E"/>
    <w:rsid w:val="005D0CF7"/>
    <w:rsid w:val="005D1019"/>
    <w:rsid w:val="005D1618"/>
    <w:rsid w:val="005D1F84"/>
    <w:rsid w:val="005D220B"/>
    <w:rsid w:val="005D24FE"/>
    <w:rsid w:val="005D2D02"/>
    <w:rsid w:val="005D3030"/>
    <w:rsid w:val="005D325C"/>
    <w:rsid w:val="005D34F3"/>
    <w:rsid w:val="005D41C5"/>
    <w:rsid w:val="005D44F5"/>
    <w:rsid w:val="005D4538"/>
    <w:rsid w:val="005D4604"/>
    <w:rsid w:val="005D488F"/>
    <w:rsid w:val="005D4937"/>
    <w:rsid w:val="005D4A55"/>
    <w:rsid w:val="005D4D74"/>
    <w:rsid w:val="005D586C"/>
    <w:rsid w:val="005D5BD7"/>
    <w:rsid w:val="005D5F0F"/>
    <w:rsid w:val="005D6022"/>
    <w:rsid w:val="005D6193"/>
    <w:rsid w:val="005D69E7"/>
    <w:rsid w:val="005D71EA"/>
    <w:rsid w:val="005D7227"/>
    <w:rsid w:val="005D7A49"/>
    <w:rsid w:val="005D7F57"/>
    <w:rsid w:val="005E02C7"/>
    <w:rsid w:val="005E11A7"/>
    <w:rsid w:val="005E15A3"/>
    <w:rsid w:val="005E18E3"/>
    <w:rsid w:val="005E1ACB"/>
    <w:rsid w:val="005E1C61"/>
    <w:rsid w:val="005E2CA9"/>
    <w:rsid w:val="005E2E2E"/>
    <w:rsid w:val="005E30C4"/>
    <w:rsid w:val="005E328F"/>
    <w:rsid w:val="005E37A0"/>
    <w:rsid w:val="005E466B"/>
    <w:rsid w:val="005E5907"/>
    <w:rsid w:val="005E5B81"/>
    <w:rsid w:val="005E6A7B"/>
    <w:rsid w:val="005E71A3"/>
    <w:rsid w:val="005E773F"/>
    <w:rsid w:val="005E777D"/>
    <w:rsid w:val="005F0213"/>
    <w:rsid w:val="005F04D3"/>
    <w:rsid w:val="005F0831"/>
    <w:rsid w:val="005F0B72"/>
    <w:rsid w:val="005F10F9"/>
    <w:rsid w:val="005F13D3"/>
    <w:rsid w:val="005F144B"/>
    <w:rsid w:val="005F15CE"/>
    <w:rsid w:val="005F1920"/>
    <w:rsid w:val="005F2416"/>
    <w:rsid w:val="005F24FE"/>
    <w:rsid w:val="005F3200"/>
    <w:rsid w:val="005F33D3"/>
    <w:rsid w:val="005F34E8"/>
    <w:rsid w:val="005F3875"/>
    <w:rsid w:val="005F3A34"/>
    <w:rsid w:val="005F3A4A"/>
    <w:rsid w:val="005F3F18"/>
    <w:rsid w:val="005F3F4F"/>
    <w:rsid w:val="005F3F57"/>
    <w:rsid w:val="005F4057"/>
    <w:rsid w:val="005F445C"/>
    <w:rsid w:val="005F4649"/>
    <w:rsid w:val="005F4CC9"/>
    <w:rsid w:val="005F4F87"/>
    <w:rsid w:val="005F5204"/>
    <w:rsid w:val="005F538D"/>
    <w:rsid w:val="005F5421"/>
    <w:rsid w:val="005F55FB"/>
    <w:rsid w:val="005F63B6"/>
    <w:rsid w:val="005F6731"/>
    <w:rsid w:val="005F6A6B"/>
    <w:rsid w:val="005F772C"/>
    <w:rsid w:val="005F7B83"/>
    <w:rsid w:val="005F7ED3"/>
    <w:rsid w:val="00600577"/>
    <w:rsid w:val="00600E99"/>
    <w:rsid w:val="00600EAB"/>
    <w:rsid w:val="00601078"/>
    <w:rsid w:val="00601370"/>
    <w:rsid w:val="00602AD6"/>
    <w:rsid w:val="00602BC3"/>
    <w:rsid w:val="00602BCC"/>
    <w:rsid w:val="00602C40"/>
    <w:rsid w:val="006039AD"/>
    <w:rsid w:val="00603C1F"/>
    <w:rsid w:val="00603EAA"/>
    <w:rsid w:val="00604001"/>
    <w:rsid w:val="0060488B"/>
    <w:rsid w:val="00604894"/>
    <w:rsid w:val="00604960"/>
    <w:rsid w:val="00604FC9"/>
    <w:rsid w:val="006050FD"/>
    <w:rsid w:val="006054FD"/>
    <w:rsid w:val="00605E41"/>
    <w:rsid w:val="00605ED8"/>
    <w:rsid w:val="006066D1"/>
    <w:rsid w:val="00606AAA"/>
    <w:rsid w:val="00606C9E"/>
    <w:rsid w:val="0060765F"/>
    <w:rsid w:val="00607BA5"/>
    <w:rsid w:val="006101ED"/>
    <w:rsid w:val="00610514"/>
    <w:rsid w:val="00610AB1"/>
    <w:rsid w:val="00610D99"/>
    <w:rsid w:val="00610DDB"/>
    <w:rsid w:val="006113CE"/>
    <w:rsid w:val="0061141D"/>
    <w:rsid w:val="006116A1"/>
    <w:rsid w:val="00611838"/>
    <w:rsid w:val="00611B73"/>
    <w:rsid w:val="00611BC7"/>
    <w:rsid w:val="00612008"/>
    <w:rsid w:val="0061220E"/>
    <w:rsid w:val="006125F5"/>
    <w:rsid w:val="00612877"/>
    <w:rsid w:val="006128B7"/>
    <w:rsid w:val="00612E00"/>
    <w:rsid w:val="0061384A"/>
    <w:rsid w:val="00613DB4"/>
    <w:rsid w:val="00614956"/>
    <w:rsid w:val="006149D0"/>
    <w:rsid w:val="00614F89"/>
    <w:rsid w:val="00614FA2"/>
    <w:rsid w:val="006153DB"/>
    <w:rsid w:val="006157AF"/>
    <w:rsid w:val="00615852"/>
    <w:rsid w:val="006159B2"/>
    <w:rsid w:val="00615AF3"/>
    <w:rsid w:val="00616D80"/>
    <w:rsid w:val="00616E10"/>
    <w:rsid w:val="00616E7F"/>
    <w:rsid w:val="0061705D"/>
    <w:rsid w:val="006171D5"/>
    <w:rsid w:val="006178B4"/>
    <w:rsid w:val="006178F8"/>
    <w:rsid w:val="00617FA9"/>
    <w:rsid w:val="00617FCC"/>
    <w:rsid w:val="00620F2C"/>
    <w:rsid w:val="00621010"/>
    <w:rsid w:val="006211A1"/>
    <w:rsid w:val="0062182D"/>
    <w:rsid w:val="00621983"/>
    <w:rsid w:val="00621ABF"/>
    <w:rsid w:val="00621C3E"/>
    <w:rsid w:val="006222C5"/>
    <w:rsid w:val="0062288F"/>
    <w:rsid w:val="00622B72"/>
    <w:rsid w:val="006236B7"/>
    <w:rsid w:val="00623F2D"/>
    <w:rsid w:val="00624192"/>
    <w:rsid w:val="006243DD"/>
    <w:rsid w:val="00624526"/>
    <w:rsid w:val="0062484A"/>
    <w:rsid w:val="00624D5D"/>
    <w:rsid w:val="00624EBD"/>
    <w:rsid w:val="006255FB"/>
    <w:rsid w:val="00625ABB"/>
    <w:rsid w:val="00625D67"/>
    <w:rsid w:val="00625EF8"/>
    <w:rsid w:val="00626393"/>
    <w:rsid w:val="00626DF5"/>
    <w:rsid w:val="00627088"/>
    <w:rsid w:val="00627749"/>
    <w:rsid w:val="00627948"/>
    <w:rsid w:val="00630151"/>
    <w:rsid w:val="0063068A"/>
    <w:rsid w:val="006307AB"/>
    <w:rsid w:val="00630855"/>
    <w:rsid w:val="006309F3"/>
    <w:rsid w:val="00630B72"/>
    <w:rsid w:val="00630D83"/>
    <w:rsid w:val="006310A8"/>
    <w:rsid w:val="006311B7"/>
    <w:rsid w:val="006314AE"/>
    <w:rsid w:val="0063170E"/>
    <w:rsid w:val="00631CC1"/>
    <w:rsid w:val="006320EA"/>
    <w:rsid w:val="00632452"/>
    <w:rsid w:val="006328F6"/>
    <w:rsid w:val="00632A9F"/>
    <w:rsid w:val="00632BF9"/>
    <w:rsid w:val="006333E6"/>
    <w:rsid w:val="006336E7"/>
    <w:rsid w:val="0063378E"/>
    <w:rsid w:val="00633A7D"/>
    <w:rsid w:val="00633B9E"/>
    <w:rsid w:val="00634207"/>
    <w:rsid w:val="00634FE2"/>
    <w:rsid w:val="00635155"/>
    <w:rsid w:val="006351BB"/>
    <w:rsid w:val="00635227"/>
    <w:rsid w:val="00635316"/>
    <w:rsid w:val="006355A5"/>
    <w:rsid w:val="00635910"/>
    <w:rsid w:val="00635A41"/>
    <w:rsid w:val="00635AAF"/>
    <w:rsid w:val="00635D01"/>
    <w:rsid w:val="00635DA9"/>
    <w:rsid w:val="0063683A"/>
    <w:rsid w:val="0063718E"/>
    <w:rsid w:val="00637517"/>
    <w:rsid w:val="00637B10"/>
    <w:rsid w:val="00637FF6"/>
    <w:rsid w:val="0064025D"/>
    <w:rsid w:val="00640329"/>
    <w:rsid w:val="0064038E"/>
    <w:rsid w:val="006408BA"/>
    <w:rsid w:val="00640AEF"/>
    <w:rsid w:val="00640E5C"/>
    <w:rsid w:val="0064121A"/>
    <w:rsid w:val="0064161E"/>
    <w:rsid w:val="0064167F"/>
    <w:rsid w:val="00641E8A"/>
    <w:rsid w:val="006422F4"/>
    <w:rsid w:val="006426EE"/>
    <w:rsid w:val="00642719"/>
    <w:rsid w:val="00642C98"/>
    <w:rsid w:val="00643101"/>
    <w:rsid w:val="00643135"/>
    <w:rsid w:val="0064339B"/>
    <w:rsid w:val="006435CD"/>
    <w:rsid w:val="006439F4"/>
    <w:rsid w:val="00643F0E"/>
    <w:rsid w:val="006440FF"/>
    <w:rsid w:val="006444C4"/>
    <w:rsid w:val="0064467C"/>
    <w:rsid w:val="00644C6A"/>
    <w:rsid w:val="00645583"/>
    <w:rsid w:val="0064578D"/>
    <w:rsid w:val="00645AD0"/>
    <w:rsid w:val="00645C54"/>
    <w:rsid w:val="00645D26"/>
    <w:rsid w:val="0064640B"/>
    <w:rsid w:val="006465A0"/>
    <w:rsid w:val="00646A51"/>
    <w:rsid w:val="00646E0E"/>
    <w:rsid w:val="00646F59"/>
    <w:rsid w:val="006470E2"/>
    <w:rsid w:val="0064760C"/>
    <w:rsid w:val="006479BE"/>
    <w:rsid w:val="00650790"/>
    <w:rsid w:val="006509AB"/>
    <w:rsid w:val="00650B3D"/>
    <w:rsid w:val="00651059"/>
    <w:rsid w:val="00651385"/>
    <w:rsid w:val="00651566"/>
    <w:rsid w:val="006519CD"/>
    <w:rsid w:val="00651E21"/>
    <w:rsid w:val="00652014"/>
    <w:rsid w:val="00652182"/>
    <w:rsid w:val="00652387"/>
    <w:rsid w:val="0065297C"/>
    <w:rsid w:val="00652E0D"/>
    <w:rsid w:val="00652FD0"/>
    <w:rsid w:val="006530BF"/>
    <w:rsid w:val="006531A5"/>
    <w:rsid w:val="006533BD"/>
    <w:rsid w:val="0065381E"/>
    <w:rsid w:val="00653A1F"/>
    <w:rsid w:val="00653E49"/>
    <w:rsid w:val="0065423C"/>
    <w:rsid w:val="00654BEE"/>
    <w:rsid w:val="00655192"/>
    <w:rsid w:val="00655289"/>
    <w:rsid w:val="00656019"/>
    <w:rsid w:val="0065612B"/>
    <w:rsid w:val="006563BB"/>
    <w:rsid w:val="006569E6"/>
    <w:rsid w:val="00656FB8"/>
    <w:rsid w:val="006571BD"/>
    <w:rsid w:val="0065738C"/>
    <w:rsid w:val="006576F6"/>
    <w:rsid w:val="00657B45"/>
    <w:rsid w:val="00660476"/>
    <w:rsid w:val="006608F0"/>
    <w:rsid w:val="00660AAB"/>
    <w:rsid w:val="00660C03"/>
    <w:rsid w:val="006610AD"/>
    <w:rsid w:val="006611E2"/>
    <w:rsid w:val="00661485"/>
    <w:rsid w:val="006616D8"/>
    <w:rsid w:val="00661B33"/>
    <w:rsid w:val="00661D92"/>
    <w:rsid w:val="00661E18"/>
    <w:rsid w:val="0066216A"/>
    <w:rsid w:val="00662348"/>
    <w:rsid w:val="006623D5"/>
    <w:rsid w:val="00662D77"/>
    <w:rsid w:val="00662EF1"/>
    <w:rsid w:val="006632E2"/>
    <w:rsid w:val="006633D1"/>
    <w:rsid w:val="0066379B"/>
    <w:rsid w:val="006638E2"/>
    <w:rsid w:val="00663B96"/>
    <w:rsid w:val="00663CB1"/>
    <w:rsid w:val="00664146"/>
    <w:rsid w:val="0066415D"/>
    <w:rsid w:val="006643AE"/>
    <w:rsid w:val="00664827"/>
    <w:rsid w:val="006648FA"/>
    <w:rsid w:val="00664AF1"/>
    <w:rsid w:val="00664D76"/>
    <w:rsid w:val="00664DDB"/>
    <w:rsid w:val="00665017"/>
    <w:rsid w:val="006652EF"/>
    <w:rsid w:val="00665815"/>
    <w:rsid w:val="00665B38"/>
    <w:rsid w:val="00665E8A"/>
    <w:rsid w:val="00665ED6"/>
    <w:rsid w:val="0066616E"/>
    <w:rsid w:val="00666286"/>
    <w:rsid w:val="00666417"/>
    <w:rsid w:val="006668E8"/>
    <w:rsid w:val="00666935"/>
    <w:rsid w:val="00667157"/>
    <w:rsid w:val="006672B3"/>
    <w:rsid w:val="00667AF6"/>
    <w:rsid w:val="00667BFB"/>
    <w:rsid w:val="00667E66"/>
    <w:rsid w:val="0067040C"/>
    <w:rsid w:val="00670AD7"/>
    <w:rsid w:val="00670F05"/>
    <w:rsid w:val="00671130"/>
    <w:rsid w:val="0067164A"/>
    <w:rsid w:val="006716F2"/>
    <w:rsid w:val="006718E6"/>
    <w:rsid w:val="00671B9B"/>
    <w:rsid w:val="00671BE8"/>
    <w:rsid w:val="006720C8"/>
    <w:rsid w:val="006720EC"/>
    <w:rsid w:val="0067218D"/>
    <w:rsid w:val="0067231C"/>
    <w:rsid w:val="00672C6A"/>
    <w:rsid w:val="00672CAE"/>
    <w:rsid w:val="006730AD"/>
    <w:rsid w:val="006734B7"/>
    <w:rsid w:val="00673841"/>
    <w:rsid w:val="00673B9B"/>
    <w:rsid w:val="00673C80"/>
    <w:rsid w:val="00673CA5"/>
    <w:rsid w:val="0067404F"/>
    <w:rsid w:val="006742E1"/>
    <w:rsid w:val="006753E0"/>
    <w:rsid w:val="00675620"/>
    <w:rsid w:val="00675714"/>
    <w:rsid w:val="0067613C"/>
    <w:rsid w:val="006768DE"/>
    <w:rsid w:val="0067690C"/>
    <w:rsid w:val="0067721F"/>
    <w:rsid w:val="006773BE"/>
    <w:rsid w:val="00677497"/>
    <w:rsid w:val="00677914"/>
    <w:rsid w:val="00677A77"/>
    <w:rsid w:val="00677AC7"/>
    <w:rsid w:val="006803C4"/>
    <w:rsid w:val="006805C6"/>
    <w:rsid w:val="00680821"/>
    <w:rsid w:val="0068091E"/>
    <w:rsid w:val="00680B2D"/>
    <w:rsid w:val="00681830"/>
    <w:rsid w:val="00681CE9"/>
    <w:rsid w:val="00681FFE"/>
    <w:rsid w:val="00682F6A"/>
    <w:rsid w:val="0068337F"/>
    <w:rsid w:val="00683A56"/>
    <w:rsid w:val="00683DEA"/>
    <w:rsid w:val="006843AE"/>
    <w:rsid w:val="006844FE"/>
    <w:rsid w:val="00684A2B"/>
    <w:rsid w:val="006854EC"/>
    <w:rsid w:val="006857D3"/>
    <w:rsid w:val="00685F8A"/>
    <w:rsid w:val="0068625E"/>
    <w:rsid w:val="0068678F"/>
    <w:rsid w:val="00686899"/>
    <w:rsid w:val="006869FE"/>
    <w:rsid w:val="00686B11"/>
    <w:rsid w:val="00686B28"/>
    <w:rsid w:val="00686BA2"/>
    <w:rsid w:val="006870E6"/>
    <w:rsid w:val="0068740C"/>
    <w:rsid w:val="006879C3"/>
    <w:rsid w:val="00687A0A"/>
    <w:rsid w:val="00687BED"/>
    <w:rsid w:val="00687C48"/>
    <w:rsid w:val="006901EA"/>
    <w:rsid w:val="00690207"/>
    <w:rsid w:val="006904F7"/>
    <w:rsid w:val="00690A79"/>
    <w:rsid w:val="00690C26"/>
    <w:rsid w:val="00690F02"/>
    <w:rsid w:val="00691535"/>
    <w:rsid w:val="00691B5D"/>
    <w:rsid w:val="0069241D"/>
    <w:rsid w:val="00692949"/>
    <w:rsid w:val="00692C74"/>
    <w:rsid w:val="006930DC"/>
    <w:rsid w:val="006934AF"/>
    <w:rsid w:val="00693549"/>
    <w:rsid w:val="0069358F"/>
    <w:rsid w:val="00693809"/>
    <w:rsid w:val="00693892"/>
    <w:rsid w:val="006938EC"/>
    <w:rsid w:val="006943E3"/>
    <w:rsid w:val="006949CF"/>
    <w:rsid w:val="00694BD9"/>
    <w:rsid w:val="00695205"/>
    <w:rsid w:val="00695590"/>
    <w:rsid w:val="00695731"/>
    <w:rsid w:val="0069592E"/>
    <w:rsid w:val="00696098"/>
    <w:rsid w:val="006961BE"/>
    <w:rsid w:val="006962B7"/>
    <w:rsid w:val="00696610"/>
    <w:rsid w:val="00696743"/>
    <w:rsid w:val="00696916"/>
    <w:rsid w:val="00696989"/>
    <w:rsid w:val="006969BE"/>
    <w:rsid w:val="006973A3"/>
    <w:rsid w:val="006979DB"/>
    <w:rsid w:val="00697CEB"/>
    <w:rsid w:val="00697FD3"/>
    <w:rsid w:val="006A01E8"/>
    <w:rsid w:val="006A0891"/>
    <w:rsid w:val="006A0E1B"/>
    <w:rsid w:val="006A1424"/>
    <w:rsid w:val="006A15A9"/>
    <w:rsid w:val="006A1A92"/>
    <w:rsid w:val="006A1F80"/>
    <w:rsid w:val="006A212E"/>
    <w:rsid w:val="006A26E7"/>
    <w:rsid w:val="006A3802"/>
    <w:rsid w:val="006A3D90"/>
    <w:rsid w:val="006A3E38"/>
    <w:rsid w:val="006A4392"/>
    <w:rsid w:val="006A4CB3"/>
    <w:rsid w:val="006A4F6D"/>
    <w:rsid w:val="006A5666"/>
    <w:rsid w:val="006A597D"/>
    <w:rsid w:val="006A5BC8"/>
    <w:rsid w:val="006A5BDD"/>
    <w:rsid w:val="006A5D71"/>
    <w:rsid w:val="006A6350"/>
    <w:rsid w:val="006A6741"/>
    <w:rsid w:val="006A6AD8"/>
    <w:rsid w:val="006A6FD8"/>
    <w:rsid w:val="006A78E4"/>
    <w:rsid w:val="006A7AE7"/>
    <w:rsid w:val="006A7CC2"/>
    <w:rsid w:val="006A7F97"/>
    <w:rsid w:val="006B03E7"/>
    <w:rsid w:val="006B0439"/>
    <w:rsid w:val="006B0ABD"/>
    <w:rsid w:val="006B0C57"/>
    <w:rsid w:val="006B122D"/>
    <w:rsid w:val="006B1CE7"/>
    <w:rsid w:val="006B1E32"/>
    <w:rsid w:val="006B21FD"/>
    <w:rsid w:val="006B2499"/>
    <w:rsid w:val="006B25B4"/>
    <w:rsid w:val="006B2EA1"/>
    <w:rsid w:val="006B2F4F"/>
    <w:rsid w:val="006B2F85"/>
    <w:rsid w:val="006B302C"/>
    <w:rsid w:val="006B322B"/>
    <w:rsid w:val="006B3233"/>
    <w:rsid w:val="006B3B85"/>
    <w:rsid w:val="006B40B0"/>
    <w:rsid w:val="006B40B6"/>
    <w:rsid w:val="006B428F"/>
    <w:rsid w:val="006B4AA4"/>
    <w:rsid w:val="006B4F00"/>
    <w:rsid w:val="006B5416"/>
    <w:rsid w:val="006B5B18"/>
    <w:rsid w:val="006B61C3"/>
    <w:rsid w:val="006B6650"/>
    <w:rsid w:val="006B6A13"/>
    <w:rsid w:val="006B6F37"/>
    <w:rsid w:val="006B7406"/>
    <w:rsid w:val="006B7602"/>
    <w:rsid w:val="006B798B"/>
    <w:rsid w:val="006B7EC0"/>
    <w:rsid w:val="006B7F9F"/>
    <w:rsid w:val="006C0205"/>
    <w:rsid w:val="006C0ED5"/>
    <w:rsid w:val="006C102A"/>
    <w:rsid w:val="006C10C4"/>
    <w:rsid w:val="006C1868"/>
    <w:rsid w:val="006C1EBE"/>
    <w:rsid w:val="006C1FCE"/>
    <w:rsid w:val="006C2796"/>
    <w:rsid w:val="006C2CB3"/>
    <w:rsid w:val="006C2E37"/>
    <w:rsid w:val="006C2FA1"/>
    <w:rsid w:val="006C3412"/>
    <w:rsid w:val="006C357A"/>
    <w:rsid w:val="006C3CCE"/>
    <w:rsid w:val="006C4405"/>
    <w:rsid w:val="006C4A27"/>
    <w:rsid w:val="006C4C38"/>
    <w:rsid w:val="006C4DAD"/>
    <w:rsid w:val="006C526F"/>
    <w:rsid w:val="006C539B"/>
    <w:rsid w:val="006C58C4"/>
    <w:rsid w:val="006C5C8D"/>
    <w:rsid w:val="006C5CCE"/>
    <w:rsid w:val="006C62D9"/>
    <w:rsid w:val="006C65CC"/>
    <w:rsid w:val="006C6B98"/>
    <w:rsid w:val="006C6C4C"/>
    <w:rsid w:val="006C6DA5"/>
    <w:rsid w:val="006C6E65"/>
    <w:rsid w:val="006C6E9C"/>
    <w:rsid w:val="006C7374"/>
    <w:rsid w:val="006C7512"/>
    <w:rsid w:val="006C76DB"/>
    <w:rsid w:val="006C7ED8"/>
    <w:rsid w:val="006D00FD"/>
    <w:rsid w:val="006D07C7"/>
    <w:rsid w:val="006D0898"/>
    <w:rsid w:val="006D09E7"/>
    <w:rsid w:val="006D0D35"/>
    <w:rsid w:val="006D109D"/>
    <w:rsid w:val="006D1690"/>
    <w:rsid w:val="006D18BC"/>
    <w:rsid w:val="006D1D3A"/>
    <w:rsid w:val="006D2661"/>
    <w:rsid w:val="006D26FC"/>
    <w:rsid w:val="006D36DD"/>
    <w:rsid w:val="006D3C30"/>
    <w:rsid w:val="006D3E1E"/>
    <w:rsid w:val="006D41F3"/>
    <w:rsid w:val="006D426C"/>
    <w:rsid w:val="006D4416"/>
    <w:rsid w:val="006D443E"/>
    <w:rsid w:val="006D489D"/>
    <w:rsid w:val="006D5306"/>
    <w:rsid w:val="006D6681"/>
    <w:rsid w:val="006D69B9"/>
    <w:rsid w:val="006D69EE"/>
    <w:rsid w:val="006D70CE"/>
    <w:rsid w:val="006D70CF"/>
    <w:rsid w:val="006D711A"/>
    <w:rsid w:val="006D7717"/>
    <w:rsid w:val="006D77AA"/>
    <w:rsid w:val="006D7C8B"/>
    <w:rsid w:val="006D7FB1"/>
    <w:rsid w:val="006E02E0"/>
    <w:rsid w:val="006E05CF"/>
    <w:rsid w:val="006E089B"/>
    <w:rsid w:val="006E0A5B"/>
    <w:rsid w:val="006E0B16"/>
    <w:rsid w:val="006E0E44"/>
    <w:rsid w:val="006E10FB"/>
    <w:rsid w:val="006E230C"/>
    <w:rsid w:val="006E2BB4"/>
    <w:rsid w:val="006E2E4E"/>
    <w:rsid w:val="006E2F2E"/>
    <w:rsid w:val="006E2F40"/>
    <w:rsid w:val="006E302D"/>
    <w:rsid w:val="006E369C"/>
    <w:rsid w:val="006E3A3C"/>
    <w:rsid w:val="006E3C9F"/>
    <w:rsid w:val="006E42F9"/>
    <w:rsid w:val="006E4707"/>
    <w:rsid w:val="006E49AB"/>
    <w:rsid w:val="006E4B63"/>
    <w:rsid w:val="006E4E51"/>
    <w:rsid w:val="006E53F2"/>
    <w:rsid w:val="006E562A"/>
    <w:rsid w:val="006E60D7"/>
    <w:rsid w:val="006E61F4"/>
    <w:rsid w:val="006E636E"/>
    <w:rsid w:val="006E63AC"/>
    <w:rsid w:val="006E6A83"/>
    <w:rsid w:val="006E774C"/>
    <w:rsid w:val="006E7AB0"/>
    <w:rsid w:val="006E7BC4"/>
    <w:rsid w:val="006E7EA7"/>
    <w:rsid w:val="006F07A4"/>
    <w:rsid w:val="006F098D"/>
    <w:rsid w:val="006F0BD4"/>
    <w:rsid w:val="006F1457"/>
    <w:rsid w:val="006F17E7"/>
    <w:rsid w:val="006F1923"/>
    <w:rsid w:val="006F1E19"/>
    <w:rsid w:val="006F1F0D"/>
    <w:rsid w:val="006F28E0"/>
    <w:rsid w:val="006F3C30"/>
    <w:rsid w:val="006F46A3"/>
    <w:rsid w:val="006F4EF0"/>
    <w:rsid w:val="006F5189"/>
    <w:rsid w:val="006F521F"/>
    <w:rsid w:val="006F55D9"/>
    <w:rsid w:val="006F58B9"/>
    <w:rsid w:val="006F5A51"/>
    <w:rsid w:val="006F5B48"/>
    <w:rsid w:val="006F6309"/>
    <w:rsid w:val="006F6412"/>
    <w:rsid w:val="006F6E7C"/>
    <w:rsid w:val="006F6F73"/>
    <w:rsid w:val="006F722A"/>
    <w:rsid w:val="006F7262"/>
    <w:rsid w:val="006F77C6"/>
    <w:rsid w:val="006F7A66"/>
    <w:rsid w:val="0070038E"/>
    <w:rsid w:val="0070063F"/>
    <w:rsid w:val="00700FE7"/>
    <w:rsid w:val="0070105C"/>
    <w:rsid w:val="00701455"/>
    <w:rsid w:val="00701992"/>
    <w:rsid w:val="00701B09"/>
    <w:rsid w:val="00701DCB"/>
    <w:rsid w:val="00702713"/>
    <w:rsid w:val="00702C20"/>
    <w:rsid w:val="00702CA8"/>
    <w:rsid w:val="00703078"/>
    <w:rsid w:val="0070315F"/>
    <w:rsid w:val="00703452"/>
    <w:rsid w:val="007035A6"/>
    <w:rsid w:val="007035FC"/>
    <w:rsid w:val="0070370E"/>
    <w:rsid w:val="00703782"/>
    <w:rsid w:val="007037A2"/>
    <w:rsid w:val="00703D04"/>
    <w:rsid w:val="00703EBE"/>
    <w:rsid w:val="00703ED2"/>
    <w:rsid w:val="00704478"/>
    <w:rsid w:val="007045B3"/>
    <w:rsid w:val="00704A12"/>
    <w:rsid w:val="007050A3"/>
    <w:rsid w:val="00705165"/>
    <w:rsid w:val="007053E4"/>
    <w:rsid w:val="0070543B"/>
    <w:rsid w:val="00705DEA"/>
    <w:rsid w:val="0070614F"/>
    <w:rsid w:val="007066BE"/>
    <w:rsid w:val="007066C6"/>
    <w:rsid w:val="00706713"/>
    <w:rsid w:val="007067DC"/>
    <w:rsid w:val="00706C08"/>
    <w:rsid w:val="0070789E"/>
    <w:rsid w:val="00707B2F"/>
    <w:rsid w:val="00707BFB"/>
    <w:rsid w:val="00707D34"/>
    <w:rsid w:val="007105C8"/>
    <w:rsid w:val="007106F8"/>
    <w:rsid w:val="00711082"/>
    <w:rsid w:val="00711182"/>
    <w:rsid w:val="0071161C"/>
    <w:rsid w:val="007119F3"/>
    <w:rsid w:val="00711AE6"/>
    <w:rsid w:val="00711B01"/>
    <w:rsid w:val="0071215A"/>
    <w:rsid w:val="007127A6"/>
    <w:rsid w:val="0071300B"/>
    <w:rsid w:val="00713977"/>
    <w:rsid w:val="00713CB3"/>
    <w:rsid w:val="00714317"/>
    <w:rsid w:val="00714656"/>
    <w:rsid w:val="00714CD7"/>
    <w:rsid w:val="00714E0C"/>
    <w:rsid w:val="00714EE6"/>
    <w:rsid w:val="00715768"/>
    <w:rsid w:val="00715B09"/>
    <w:rsid w:val="00715D15"/>
    <w:rsid w:val="0071625A"/>
    <w:rsid w:val="00716E6B"/>
    <w:rsid w:val="00716F81"/>
    <w:rsid w:val="0071747C"/>
    <w:rsid w:val="007179AA"/>
    <w:rsid w:val="00717B0D"/>
    <w:rsid w:val="00717F8D"/>
    <w:rsid w:val="00720B62"/>
    <w:rsid w:val="00721149"/>
    <w:rsid w:val="007214AC"/>
    <w:rsid w:val="007215DB"/>
    <w:rsid w:val="007215E5"/>
    <w:rsid w:val="007216ED"/>
    <w:rsid w:val="00721A82"/>
    <w:rsid w:val="00721B3F"/>
    <w:rsid w:val="00721E20"/>
    <w:rsid w:val="00721FA5"/>
    <w:rsid w:val="007220CB"/>
    <w:rsid w:val="007227F8"/>
    <w:rsid w:val="00722943"/>
    <w:rsid w:val="00722F67"/>
    <w:rsid w:val="0072309A"/>
    <w:rsid w:val="0072340E"/>
    <w:rsid w:val="0072381C"/>
    <w:rsid w:val="00723FF9"/>
    <w:rsid w:val="00724610"/>
    <w:rsid w:val="007249DC"/>
    <w:rsid w:val="00724C8B"/>
    <w:rsid w:val="00724E17"/>
    <w:rsid w:val="0072541E"/>
    <w:rsid w:val="00725C98"/>
    <w:rsid w:val="00725D5B"/>
    <w:rsid w:val="00726E7D"/>
    <w:rsid w:val="007271B2"/>
    <w:rsid w:val="00727254"/>
    <w:rsid w:val="0072738A"/>
    <w:rsid w:val="007273D5"/>
    <w:rsid w:val="00727403"/>
    <w:rsid w:val="00730016"/>
    <w:rsid w:val="00730669"/>
    <w:rsid w:val="00731252"/>
    <w:rsid w:val="007312A9"/>
    <w:rsid w:val="0073199A"/>
    <w:rsid w:val="00731BE5"/>
    <w:rsid w:val="00731D8A"/>
    <w:rsid w:val="00732145"/>
    <w:rsid w:val="0073253F"/>
    <w:rsid w:val="00732621"/>
    <w:rsid w:val="007330DD"/>
    <w:rsid w:val="00733A7D"/>
    <w:rsid w:val="007342F8"/>
    <w:rsid w:val="007347B7"/>
    <w:rsid w:val="00734806"/>
    <w:rsid w:val="007348BD"/>
    <w:rsid w:val="00734B8E"/>
    <w:rsid w:val="00734C01"/>
    <w:rsid w:val="007371D9"/>
    <w:rsid w:val="0073726F"/>
    <w:rsid w:val="007375C3"/>
    <w:rsid w:val="00737B06"/>
    <w:rsid w:val="00737C00"/>
    <w:rsid w:val="00737EC8"/>
    <w:rsid w:val="007400DE"/>
    <w:rsid w:val="0074012F"/>
    <w:rsid w:val="007401BD"/>
    <w:rsid w:val="007406BA"/>
    <w:rsid w:val="007410FF"/>
    <w:rsid w:val="00741335"/>
    <w:rsid w:val="007419A8"/>
    <w:rsid w:val="00741A00"/>
    <w:rsid w:val="00741F1F"/>
    <w:rsid w:val="00742159"/>
    <w:rsid w:val="00742278"/>
    <w:rsid w:val="0074244A"/>
    <w:rsid w:val="00743406"/>
    <w:rsid w:val="0074406F"/>
    <w:rsid w:val="00744934"/>
    <w:rsid w:val="00744DFA"/>
    <w:rsid w:val="00745515"/>
    <w:rsid w:val="00745652"/>
    <w:rsid w:val="0074581A"/>
    <w:rsid w:val="00745B8D"/>
    <w:rsid w:val="00745BAE"/>
    <w:rsid w:val="007464DB"/>
    <w:rsid w:val="007466A0"/>
    <w:rsid w:val="007467C6"/>
    <w:rsid w:val="00746D18"/>
    <w:rsid w:val="00746D1F"/>
    <w:rsid w:val="00746FC5"/>
    <w:rsid w:val="00747182"/>
    <w:rsid w:val="007473E9"/>
    <w:rsid w:val="007475D8"/>
    <w:rsid w:val="00750104"/>
    <w:rsid w:val="00750221"/>
    <w:rsid w:val="00750A52"/>
    <w:rsid w:val="00750E3B"/>
    <w:rsid w:val="007510A0"/>
    <w:rsid w:val="00751999"/>
    <w:rsid w:val="00751B4A"/>
    <w:rsid w:val="00751E27"/>
    <w:rsid w:val="007520E0"/>
    <w:rsid w:val="007532B4"/>
    <w:rsid w:val="00753390"/>
    <w:rsid w:val="0075381F"/>
    <w:rsid w:val="007539AF"/>
    <w:rsid w:val="007539DA"/>
    <w:rsid w:val="00753BA0"/>
    <w:rsid w:val="00753FB6"/>
    <w:rsid w:val="00754F85"/>
    <w:rsid w:val="00755197"/>
    <w:rsid w:val="007559F0"/>
    <w:rsid w:val="00755A0E"/>
    <w:rsid w:val="00756120"/>
    <w:rsid w:val="00756944"/>
    <w:rsid w:val="00756DB8"/>
    <w:rsid w:val="00756E67"/>
    <w:rsid w:val="00756EB6"/>
    <w:rsid w:val="007570C0"/>
    <w:rsid w:val="0075736F"/>
    <w:rsid w:val="0075746B"/>
    <w:rsid w:val="00760172"/>
    <w:rsid w:val="007602A4"/>
    <w:rsid w:val="007603AD"/>
    <w:rsid w:val="00760570"/>
    <w:rsid w:val="00760B3C"/>
    <w:rsid w:val="00760B56"/>
    <w:rsid w:val="007611EA"/>
    <w:rsid w:val="007618DF"/>
    <w:rsid w:val="00761C7C"/>
    <w:rsid w:val="007621EB"/>
    <w:rsid w:val="0076283E"/>
    <w:rsid w:val="00762B44"/>
    <w:rsid w:val="00762BC4"/>
    <w:rsid w:val="00763036"/>
    <w:rsid w:val="0076307E"/>
    <w:rsid w:val="007631D4"/>
    <w:rsid w:val="00763D8B"/>
    <w:rsid w:val="007641BF"/>
    <w:rsid w:val="00764459"/>
    <w:rsid w:val="007644CF"/>
    <w:rsid w:val="00764590"/>
    <w:rsid w:val="0076475D"/>
    <w:rsid w:val="0076499B"/>
    <w:rsid w:val="00764A4C"/>
    <w:rsid w:val="0076585D"/>
    <w:rsid w:val="00765C00"/>
    <w:rsid w:val="007660CE"/>
    <w:rsid w:val="0076635B"/>
    <w:rsid w:val="00766FCE"/>
    <w:rsid w:val="00767791"/>
    <w:rsid w:val="00767946"/>
    <w:rsid w:val="00767A7F"/>
    <w:rsid w:val="00767ED9"/>
    <w:rsid w:val="0077000F"/>
    <w:rsid w:val="00770421"/>
    <w:rsid w:val="00770CFC"/>
    <w:rsid w:val="00770D8B"/>
    <w:rsid w:val="00770F96"/>
    <w:rsid w:val="00771141"/>
    <w:rsid w:val="0077126C"/>
    <w:rsid w:val="0077128C"/>
    <w:rsid w:val="00771B80"/>
    <w:rsid w:val="00771BA6"/>
    <w:rsid w:val="00771C49"/>
    <w:rsid w:val="00771E5E"/>
    <w:rsid w:val="00772392"/>
    <w:rsid w:val="00772580"/>
    <w:rsid w:val="0077261E"/>
    <w:rsid w:val="00772769"/>
    <w:rsid w:val="00772B58"/>
    <w:rsid w:val="00772C88"/>
    <w:rsid w:val="00772DF2"/>
    <w:rsid w:val="007734C8"/>
    <w:rsid w:val="0077353F"/>
    <w:rsid w:val="00773DBC"/>
    <w:rsid w:val="00773F94"/>
    <w:rsid w:val="007746AA"/>
    <w:rsid w:val="007747EE"/>
    <w:rsid w:val="00774801"/>
    <w:rsid w:val="00775C31"/>
    <w:rsid w:val="00775C5E"/>
    <w:rsid w:val="0077644B"/>
    <w:rsid w:val="00776883"/>
    <w:rsid w:val="00776DD1"/>
    <w:rsid w:val="00777369"/>
    <w:rsid w:val="00777CD6"/>
    <w:rsid w:val="007803CC"/>
    <w:rsid w:val="0078068D"/>
    <w:rsid w:val="00780D16"/>
    <w:rsid w:val="00780EAC"/>
    <w:rsid w:val="00781050"/>
    <w:rsid w:val="00781382"/>
    <w:rsid w:val="00781639"/>
    <w:rsid w:val="00782653"/>
    <w:rsid w:val="007826A1"/>
    <w:rsid w:val="00782ABB"/>
    <w:rsid w:val="00782C02"/>
    <w:rsid w:val="00783297"/>
    <w:rsid w:val="00783528"/>
    <w:rsid w:val="00783587"/>
    <w:rsid w:val="007835AA"/>
    <w:rsid w:val="0078360A"/>
    <w:rsid w:val="00783950"/>
    <w:rsid w:val="00783B0A"/>
    <w:rsid w:val="00783B7B"/>
    <w:rsid w:val="00783E1C"/>
    <w:rsid w:val="00783ED7"/>
    <w:rsid w:val="007840CD"/>
    <w:rsid w:val="007840CF"/>
    <w:rsid w:val="00784365"/>
    <w:rsid w:val="007843EE"/>
    <w:rsid w:val="007847E0"/>
    <w:rsid w:val="00784DD2"/>
    <w:rsid w:val="00784FE6"/>
    <w:rsid w:val="007859F9"/>
    <w:rsid w:val="00785A92"/>
    <w:rsid w:val="00785CEE"/>
    <w:rsid w:val="00785D05"/>
    <w:rsid w:val="0078638F"/>
    <w:rsid w:val="00786654"/>
    <w:rsid w:val="00786CA8"/>
    <w:rsid w:val="0078718A"/>
    <w:rsid w:val="00787795"/>
    <w:rsid w:val="00787B75"/>
    <w:rsid w:val="00787D26"/>
    <w:rsid w:val="00790093"/>
    <w:rsid w:val="00790E2D"/>
    <w:rsid w:val="00790F04"/>
    <w:rsid w:val="0079150E"/>
    <w:rsid w:val="007915D5"/>
    <w:rsid w:val="007920F8"/>
    <w:rsid w:val="00792437"/>
    <w:rsid w:val="0079259B"/>
    <w:rsid w:val="0079272C"/>
    <w:rsid w:val="00792E14"/>
    <w:rsid w:val="00792E60"/>
    <w:rsid w:val="00792EAC"/>
    <w:rsid w:val="007935D4"/>
    <w:rsid w:val="007935EC"/>
    <w:rsid w:val="00794FAF"/>
    <w:rsid w:val="00795947"/>
    <w:rsid w:val="00795FB8"/>
    <w:rsid w:val="007968F0"/>
    <w:rsid w:val="00796A9B"/>
    <w:rsid w:val="00796DB8"/>
    <w:rsid w:val="007970EA"/>
    <w:rsid w:val="00797531"/>
    <w:rsid w:val="00797917"/>
    <w:rsid w:val="00797C52"/>
    <w:rsid w:val="007A0022"/>
    <w:rsid w:val="007A0427"/>
    <w:rsid w:val="007A0526"/>
    <w:rsid w:val="007A0740"/>
    <w:rsid w:val="007A0E4C"/>
    <w:rsid w:val="007A1513"/>
    <w:rsid w:val="007A1653"/>
    <w:rsid w:val="007A19E4"/>
    <w:rsid w:val="007A1AB7"/>
    <w:rsid w:val="007A1E86"/>
    <w:rsid w:val="007A2164"/>
    <w:rsid w:val="007A2BD6"/>
    <w:rsid w:val="007A2C5F"/>
    <w:rsid w:val="007A3722"/>
    <w:rsid w:val="007A3842"/>
    <w:rsid w:val="007A3854"/>
    <w:rsid w:val="007A399A"/>
    <w:rsid w:val="007A4326"/>
    <w:rsid w:val="007A43CB"/>
    <w:rsid w:val="007A4D90"/>
    <w:rsid w:val="007A53EF"/>
    <w:rsid w:val="007A574A"/>
    <w:rsid w:val="007A6553"/>
    <w:rsid w:val="007A6A9B"/>
    <w:rsid w:val="007A6D44"/>
    <w:rsid w:val="007A6D87"/>
    <w:rsid w:val="007A78FB"/>
    <w:rsid w:val="007A7A37"/>
    <w:rsid w:val="007B00ED"/>
    <w:rsid w:val="007B0F51"/>
    <w:rsid w:val="007B104C"/>
    <w:rsid w:val="007B18BC"/>
    <w:rsid w:val="007B18DC"/>
    <w:rsid w:val="007B253E"/>
    <w:rsid w:val="007B26D4"/>
    <w:rsid w:val="007B301C"/>
    <w:rsid w:val="007B3347"/>
    <w:rsid w:val="007B34C3"/>
    <w:rsid w:val="007B3C1F"/>
    <w:rsid w:val="007B3E7F"/>
    <w:rsid w:val="007B3FA5"/>
    <w:rsid w:val="007B4337"/>
    <w:rsid w:val="007B44BA"/>
    <w:rsid w:val="007B4AA1"/>
    <w:rsid w:val="007B4B6A"/>
    <w:rsid w:val="007B523B"/>
    <w:rsid w:val="007B5622"/>
    <w:rsid w:val="007B5823"/>
    <w:rsid w:val="007B59C8"/>
    <w:rsid w:val="007B5D8B"/>
    <w:rsid w:val="007B5ECF"/>
    <w:rsid w:val="007B62BA"/>
    <w:rsid w:val="007B62CB"/>
    <w:rsid w:val="007B6439"/>
    <w:rsid w:val="007B643D"/>
    <w:rsid w:val="007B6551"/>
    <w:rsid w:val="007B6AC2"/>
    <w:rsid w:val="007B6C2F"/>
    <w:rsid w:val="007B710E"/>
    <w:rsid w:val="007B758A"/>
    <w:rsid w:val="007B79CF"/>
    <w:rsid w:val="007B7CB3"/>
    <w:rsid w:val="007C0103"/>
    <w:rsid w:val="007C0948"/>
    <w:rsid w:val="007C0BDD"/>
    <w:rsid w:val="007C0BEB"/>
    <w:rsid w:val="007C0C7C"/>
    <w:rsid w:val="007C0D2D"/>
    <w:rsid w:val="007C142E"/>
    <w:rsid w:val="007C1757"/>
    <w:rsid w:val="007C18CD"/>
    <w:rsid w:val="007C18EC"/>
    <w:rsid w:val="007C2425"/>
    <w:rsid w:val="007C277A"/>
    <w:rsid w:val="007C27D8"/>
    <w:rsid w:val="007C3026"/>
    <w:rsid w:val="007C347A"/>
    <w:rsid w:val="007C3485"/>
    <w:rsid w:val="007C37D9"/>
    <w:rsid w:val="007C44C8"/>
    <w:rsid w:val="007C48FC"/>
    <w:rsid w:val="007C4B3F"/>
    <w:rsid w:val="007C5C6D"/>
    <w:rsid w:val="007C5DFF"/>
    <w:rsid w:val="007C5E0E"/>
    <w:rsid w:val="007C67FF"/>
    <w:rsid w:val="007C683E"/>
    <w:rsid w:val="007C6E82"/>
    <w:rsid w:val="007C7132"/>
    <w:rsid w:val="007C7216"/>
    <w:rsid w:val="007C738C"/>
    <w:rsid w:val="007C7A9E"/>
    <w:rsid w:val="007C7C09"/>
    <w:rsid w:val="007C7C61"/>
    <w:rsid w:val="007D04F4"/>
    <w:rsid w:val="007D0728"/>
    <w:rsid w:val="007D0824"/>
    <w:rsid w:val="007D15F1"/>
    <w:rsid w:val="007D16D0"/>
    <w:rsid w:val="007D1BA5"/>
    <w:rsid w:val="007D1E27"/>
    <w:rsid w:val="007D24AE"/>
    <w:rsid w:val="007D276B"/>
    <w:rsid w:val="007D2E55"/>
    <w:rsid w:val="007D3013"/>
    <w:rsid w:val="007D3C66"/>
    <w:rsid w:val="007D3CAC"/>
    <w:rsid w:val="007D4020"/>
    <w:rsid w:val="007D4208"/>
    <w:rsid w:val="007D42AF"/>
    <w:rsid w:val="007D4378"/>
    <w:rsid w:val="007D442D"/>
    <w:rsid w:val="007D47A8"/>
    <w:rsid w:val="007D4A7D"/>
    <w:rsid w:val="007D4BC0"/>
    <w:rsid w:val="007D4DB2"/>
    <w:rsid w:val="007D4E43"/>
    <w:rsid w:val="007D4FB6"/>
    <w:rsid w:val="007D5469"/>
    <w:rsid w:val="007D546F"/>
    <w:rsid w:val="007D61FB"/>
    <w:rsid w:val="007D62B1"/>
    <w:rsid w:val="007D6565"/>
    <w:rsid w:val="007D67F4"/>
    <w:rsid w:val="007D686C"/>
    <w:rsid w:val="007D6EE3"/>
    <w:rsid w:val="007D7120"/>
    <w:rsid w:val="007D717F"/>
    <w:rsid w:val="007D742D"/>
    <w:rsid w:val="007D78E2"/>
    <w:rsid w:val="007D7D68"/>
    <w:rsid w:val="007D7DE0"/>
    <w:rsid w:val="007D7E50"/>
    <w:rsid w:val="007E025A"/>
    <w:rsid w:val="007E0BB1"/>
    <w:rsid w:val="007E0BBE"/>
    <w:rsid w:val="007E0BFC"/>
    <w:rsid w:val="007E0DE8"/>
    <w:rsid w:val="007E15FF"/>
    <w:rsid w:val="007E207B"/>
    <w:rsid w:val="007E20E8"/>
    <w:rsid w:val="007E223C"/>
    <w:rsid w:val="007E24EA"/>
    <w:rsid w:val="007E26CF"/>
    <w:rsid w:val="007E2E2E"/>
    <w:rsid w:val="007E3501"/>
    <w:rsid w:val="007E3A48"/>
    <w:rsid w:val="007E3C0D"/>
    <w:rsid w:val="007E3F65"/>
    <w:rsid w:val="007E4432"/>
    <w:rsid w:val="007E452A"/>
    <w:rsid w:val="007E49EB"/>
    <w:rsid w:val="007E4D33"/>
    <w:rsid w:val="007E500A"/>
    <w:rsid w:val="007E558D"/>
    <w:rsid w:val="007E5841"/>
    <w:rsid w:val="007E5A01"/>
    <w:rsid w:val="007E5ECB"/>
    <w:rsid w:val="007E5FCA"/>
    <w:rsid w:val="007E6375"/>
    <w:rsid w:val="007E6ABB"/>
    <w:rsid w:val="007E7563"/>
    <w:rsid w:val="007E7947"/>
    <w:rsid w:val="007F0875"/>
    <w:rsid w:val="007F08DF"/>
    <w:rsid w:val="007F0ADA"/>
    <w:rsid w:val="007F1911"/>
    <w:rsid w:val="007F19A8"/>
    <w:rsid w:val="007F1C1C"/>
    <w:rsid w:val="007F1E59"/>
    <w:rsid w:val="007F22AE"/>
    <w:rsid w:val="007F2503"/>
    <w:rsid w:val="007F302E"/>
    <w:rsid w:val="007F3248"/>
    <w:rsid w:val="007F382F"/>
    <w:rsid w:val="007F39FC"/>
    <w:rsid w:val="007F42B0"/>
    <w:rsid w:val="007F43B1"/>
    <w:rsid w:val="007F499E"/>
    <w:rsid w:val="007F503A"/>
    <w:rsid w:val="007F5A43"/>
    <w:rsid w:val="007F6058"/>
    <w:rsid w:val="007F6321"/>
    <w:rsid w:val="007F63E0"/>
    <w:rsid w:val="007F6A6E"/>
    <w:rsid w:val="007F7E54"/>
    <w:rsid w:val="007F7E93"/>
    <w:rsid w:val="007F7EDE"/>
    <w:rsid w:val="00800CE0"/>
    <w:rsid w:val="00801249"/>
    <w:rsid w:val="00801686"/>
    <w:rsid w:val="00801838"/>
    <w:rsid w:val="00801997"/>
    <w:rsid w:val="0080200F"/>
    <w:rsid w:val="008021E5"/>
    <w:rsid w:val="008021E9"/>
    <w:rsid w:val="00802321"/>
    <w:rsid w:val="00802442"/>
    <w:rsid w:val="008029C7"/>
    <w:rsid w:val="00802AFC"/>
    <w:rsid w:val="00802B02"/>
    <w:rsid w:val="00802E1A"/>
    <w:rsid w:val="00803537"/>
    <w:rsid w:val="00803B66"/>
    <w:rsid w:val="00803C35"/>
    <w:rsid w:val="00804488"/>
    <w:rsid w:val="0080448C"/>
    <w:rsid w:val="00804524"/>
    <w:rsid w:val="00805302"/>
    <w:rsid w:val="008058EB"/>
    <w:rsid w:val="00805ABC"/>
    <w:rsid w:val="00805CFE"/>
    <w:rsid w:val="008060B1"/>
    <w:rsid w:val="008066C8"/>
    <w:rsid w:val="00806FE0"/>
    <w:rsid w:val="008071FB"/>
    <w:rsid w:val="00807519"/>
    <w:rsid w:val="00807C6C"/>
    <w:rsid w:val="00807CD6"/>
    <w:rsid w:val="00807DE1"/>
    <w:rsid w:val="0081076A"/>
    <w:rsid w:val="0081090F"/>
    <w:rsid w:val="0081124D"/>
    <w:rsid w:val="00811374"/>
    <w:rsid w:val="008113CC"/>
    <w:rsid w:val="0081234A"/>
    <w:rsid w:val="008125ED"/>
    <w:rsid w:val="00812770"/>
    <w:rsid w:val="00812854"/>
    <w:rsid w:val="00812C8E"/>
    <w:rsid w:val="00812EF6"/>
    <w:rsid w:val="008134E9"/>
    <w:rsid w:val="0081479E"/>
    <w:rsid w:val="008147EE"/>
    <w:rsid w:val="008149F0"/>
    <w:rsid w:val="008151D8"/>
    <w:rsid w:val="00815380"/>
    <w:rsid w:val="0081571F"/>
    <w:rsid w:val="008157F4"/>
    <w:rsid w:val="00815D69"/>
    <w:rsid w:val="00815FCA"/>
    <w:rsid w:val="00815FE2"/>
    <w:rsid w:val="0081605A"/>
    <w:rsid w:val="008169F4"/>
    <w:rsid w:val="00816E69"/>
    <w:rsid w:val="00817024"/>
    <w:rsid w:val="00817295"/>
    <w:rsid w:val="0081761D"/>
    <w:rsid w:val="008177B4"/>
    <w:rsid w:val="00817C23"/>
    <w:rsid w:val="00817D1D"/>
    <w:rsid w:val="008201A9"/>
    <w:rsid w:val="00820208"/>
    <w:rsid w:val="008205A5"/>
    <w:rsid w:val="0082091A"/>
    <w:rsid w:val="00820E53"/>
    <w:rsid w:val="0082115E"/>
    <w:rsid w:val="008211DD"/>
    <w:rsid w:val="00821219"/>
    <w:rsid w:val="008219A0"/>
    <w:rsid w:val="00821A06"/>
    <w:rsid w:val="0082213B"/>
    <w:rsid w:val="00822662"/>
    <w:rsid w:val="008229B6"/>
    <w:rsid w:val="00822D9E"/>
    <w:rsid w:val="008232D2"/>
    <w:rsid w:val="008238C4"/>
    <w:rsid w:val="00823A4F"/>
    <w:rsid w:val="00823DAF"/>
    <w:rsid w:val="00823F8B"/>
    <w:rsid w:val="00824217"/>
    <w:rsid w:val="00824706"/>
    <w:rsid w:val="00824925"/>
    <w:rsid w:val="00825067"/>
    <w:rsid w:val="008254D5"/>
    <w:rsid w:val="00825816"/>
    <w:rsid w:val="008259F7"/>
    <w:rsid w:val="00825FFC"/>
    <w:rsid w:val="008261B3"/>
    <w:rsid w:val="00826360"/>
    <w:rsid w:val="008263E8"/>
    <w:rsid w:val="008268FD"/>
    <w:rsid w:val="008269CC"/>
    <w:rsid w:val="00826A7B"/>
    <w:rsid w:val="00826EC5"/>
    <w:rsid w:val="00826FCF"/>
    <w:rsid w:val="008273B0"/>
    <w:rsid w:val="0082747B"/>
    <w:rsid w:val="008274A9"/>
    <w:rsid w:val="00827557"/>
    <w:rsid w:val="00827745"/>
    <w:rsid w:val="008277BD"/>
    <w:rsid w:val="0082791B"/>
    <w:rsid w:val="00827B0D"/>
    <w:rsid w:val="00827FCF"/>
    <w:rsid w:val="008308D5"/>
    <w:rsid w:val="008309D8"/>
    <w:rsid w:val="00830AAB"/>
    <w:rsid w:val="00830B60"/>
    <w:rsid w:val="008316D3"/>
    <w:rsid w:val="00831A54"/>
    <w:rsid w:val="00832274"/>
    <w:rsid w:val="008323F9"/>
    <w:rsid w:val="00832F1A"/>
    <w:rsid w:val="00833418"/>
    <w:rsid w:val="00833450"/>
    <w:rsid w:val="0083354F"/>
    <w:rsid w:val="008335E0"/>
    <w:rsid w:val="008348D0"/>
    <w:rsid w:val="00834A10"/>
    <w:rsid w:val="00834AE5"/>
    <w:rsid w:val="00834B8A"/>
    <w:rsid w:val="008351AB"/>
    <w:rsid w:val="00835402"/>
    <w:rsid w:val="00835498"/>
    <w:rsid w:val="00835983"/>
    <w:rsid w:val="0083622E"/>
    <w:rsid w:val="00836383"/>
    <w:rsid w:val="00836A6C"/>
    <w:rsid w:val="00836CE1"/>
    <w:rsid w:val="00836F29"/>
    <w:rsid w:val="00837036"/>
    <w:rsid w:val="00837626"/>
    <w:rsid w:val="008376E1"/>
    <w:rsid w:val="0083789F"/>
    <w:rsid w:val="00837B0B"/>
    <w:rsid w:val="00837D18"/>
    <w:rsid w:val="0084049E"/>
    <w:rsid w:val="00840595"/>
    <w:rsid w:val="008408F2"/>
    <w:rsid w:val="00840BBE"/>
    <w:rsid w:val="00840D3D"/>
    <w:rsid w:val="00840ED4"/>
    <w:rsid w:val="00841A0A"/>
    <w:rsid w:val="00841C9C"/>
    <w:rsid w:val="00841CAA"/>
    <w:rsid w:val="008424BB"/>
    <w:rsid w:val="0084298D"/>
    <w:rsid w:val="00842A6C"/>
    <w:rsid w:val="00842BD4"/>
    <w:rsid w:val="008433BD"/>
    <w:rsid w:val="008438E6"/>
    <w:rsid w:val="00843A89"/>
    <w:rsid w:val="00843C1E"/>
    <w:rsid w:val="00843EED"/>
    <w:rsid w:val="0084417B"/>
    <w:rsid w:val="008446EB"/>
    <w:rsid w:val="0084473A"/>
    <w:rsid w:val="00844883"/>
    <w:rsid w:val="008448F5"/>
    <w:rsid w:val="00845490"/>
    <w:rsid w:val="008457D3"/>
    <w:rsid w:val="00845AF7"/>
    <w:rsid w:val="0084661C"/>
    <w:rsid w:val="008466F8"/>
    <w:rsid w:val="008467F1"/>
    <w:rsid w:val="00846A6B"/>
    <w:rsid w:val="00846D4D"/>
    <w:rsid w:val="00847563"/>
    <w:rsid w:val="008475B2"/>
    <w:rsid w:val="00850121"/>
    <w:rsid w:val="00850AA0"/>
    <w:rsid w:val="00850FF6"/>
    <w:rsid w:val="0085173D"/>
    <w:rsid w:val="00851763"/>
    <w:rsid w:val="00851821"/>
    <w:rsid w:val="00851CDA"/>
    <w:rsid w:val="0085202B"/>
    <w:rsid w:val="008521BA"/>
    <w:rsid w:val="008523AB"/>
    <w:rsid w:val="008523D3"/>
    <w:rsid w:val="00852776"/>
    <w:rsid w:val="008527A3"/>
    <w:rsid w:val="00852B1C"/>
    <w:rsid w:val="00852B35"/>
    <w:rsid w:val="00852BCC"/>
    <w:rsid w:val="00853067"/>
    <w:rsid w:val="008532C6"/>
    <w:rsid w:val="00853CDA"/>
    <w:rsid w:val="00853E74"/>
    <w:rsid w:val="008544FB"/>
    <w:rsid w:val="0085480F"/>
    <w:rsid w:val="0085492C"/>
    <w:rsid w:val="00854C32"/>
    <w:rsid w:val="0085545B"/>
    <w:rsid w:val="0085578B"/>
    <w:rsid w:val="008563AA"/>
    <w:rsid w:val="008568A4"/>
    <w:rsid w:val="00856A29"/>
    <w:rsid w:val="008571A6"/>
    <w:rsid w:val="0085749C"/>
    <w:rsid w:val="00857C2D"/>
    <w:rsid w:val="00857CF0"/>
    <w:rsid w:val="00857D9F"/>
    <w:rsid w:val="00860770"/>
    <w:rsid w:val="008608DD"/>
    <w:rsid w:val="008609B6"/>
    <w:rsid w:val="00860B54"/>
    <w:rsid w:val="00861A6E"/>
    <w:rsid w:val="00861B43"/>
    <w:rsid w:val="00861CB9"/>
    <w:rsid w:val="008630B2"/>
    <w:rsid w:val="008633F2"/>
    <w:rsid w:val="00863714"/>
    <w:rsid w:val="008639D0"/>
    <w:rsid w:val="00863F19"/>
    <w:rsid w:val="008640DB"/>
    <w:rsid w:val="0086418E"/>
    <w:rsid w:val="008644CD"/>
    <w:rsid w:val="008644DA"/>
    <w:rsid w:val="00864DD2"/>
    <w:rsid w:val="00865072"/>
    <w:rsid w:val="00865323"/>
    <w:rsid w:val="00865516"/>
    <w:rsid w:val="00865962"/>
    <w:rsid w:val="008662AF"/>
    <w:rsid w:val="008662B8"/>
    <w:rsid w:val="0086670A"/>
    <w:rsid w:val="008667A2"/>
    <w:rsid w:val="008667CD"/>
    <w:rsid w:val="008667D3"/>
    <w:rsid w:val="008670B3"/>
    <w:rsid w:val="008673E0"/>
    <w:rsid w:val="00867ADF"/>
    <w:rsid w:val="00870126"/>
    <w:rsid w:val="0087069E"/>
    <w:rsid w:val="00870C53"/>
    <w:rsid w:val="00870DE1"/>
    <w:rsid w:val="00870E73"/>
    <w:rsid w:val="00870F30"/>
    <w:rsid w:val="00871198"/>
    <w:rsid w:val="00871769"/>
    <w:rsid w:val="00871D86"/>
    <w:rsid w:val="00871E5E"/>
    <w:rsid w:val="008720BC"/>
    <w:rsid w:val="008722B0"/>
    <w:rsid w:val="0087261A"/>
    <w:rsid w:val="00872BD9"/>
    <w:rsid w:val="008735DE"/>
    <w:rsid w:val="008736EA"/>
    <w:rsid w:val="00873C05"/>
    <w:rsid w:val="00873FDE"/>
    <w:rsid w:val="00874002"/>
    <w:rsid w:val="0087431A"/>
    <w:rsid w:val="00874BED"/>
    <w:rsid w:val="00874C15"/>
    <w:rsid w:val="008752DD"/>
    <w:rsid w:val="00875CBF"/>
    <w:rsid w:val="00875DF5"/>
    <w:rsid w:val="008763DC"/>
    <w:rsid w:val="008768E4"/>
    <w:rsid w:val="00876C5A"/>
    <w:rsid w:val="00876E8A"/>
    <w:rsid w:val="00876F8E"/>
    <w:rsid w:val="008805E8"/>
    <w:rsid w:val="00880AA8"/>
    <w:rsid w:val="00880D1F"/>
    <w:rsid w:val="00880E53"/>
    <w:rsid w:val="00880EB3"/>
    <w:rsid w:val="0088143D"/>
    <w:rsid w:val="0088188F"/>
    <w:rsid w:val="008819C4"/>
    <w:rsid w:val="0088213D"/>
    <w:rsid w:val="0088384E"/>
    <w:rsid w:val="008838A3"/>
    <w:rsid w:val="008838D6"/>
    <w:rsid w:val="00883CDC"/>
    <w:rsid w:val="0088420A"/>
    <w:rsid w:val="0088425A"/>
    <w:rsid w:val="008843A1"/>
    <w:rsid w:val="00884580"/>
    <w:rsid w:val="0088479C"/>
    <w:rsid w:val="00884AF7"/>
    <w:rsid w:val="00885014"/>
    <w:rsid w:val="008850FC"/>
    <w:rsid w:val="00885934"/>
    <w:rsid w:val="00885948"/>
    <w:rsid w:val="0088621E"/>
    <w:rsid w:val="008864D0"/>
    <w:rsid w:val="008867D8"/>
    <w:rsid w:val="008873A8"/>
    <w:rsid w:val="00887D52"/>
    <w:rsid w:val="00887DCE"/>
    <w:rsid w:val="0089087F"/>
    <w:rsid w:val="00890992"/>
    <w:rsid w:val="00890C7A"/>
    <w:rsid w:val="00890D48"/>
    <w:rsid w:val="00892351"/>
    <w:rsid w:val="0089246F"/>
    <w:rsid w:val="0089291D"/>
    <w:rsid w:val="00892E0C"/>
    <w:rsid w:val="00893244"/>
    <w:rsid w:val="0089359B"/>
    <w:rsid w:val="00893769"/>
    <w:rsid w:val="00893BF8"/>
    <w:rsid w:val="00894B64"/>
    <w:rsid w:val="00895059"/>
    <w:rsid w:val="00895560"/>
    <w:rsid w:val="0089558E"/>
    <w:rsid w:val="008955B0"/>
    <w:rsid w:val="008955B6"/>
    <w:rsid w:val="00895804"/>
    <w:rsid w:val="00895977"/>
    <w:rsid w:val="008959DD"/>
    <w:rsid w:val="00895A37"/>
    <w:rsid w:val="00895B4F"/>
    <w:rsid w:val="00895F22"/>
    <w:rsid w:val="00896248"/>
    <w:rsid w:val="00896637"/>
    <w:rsid w:val="00896E36"/>
    <w:rsid w:val="00897095"/>
    <w:rsid w:val="00897135"/>
    <w:rsid w:val="00897526"/>
    <w:rsid w:val="0089768E"/>
    <w:rsid w:val="008A03AE"/>
    <w:rsid w:val="008A0593"/>
    <w:rsid w:val="008A0717"/>
    <w:rsid w:val="008A07EC"/>
    <w:rsid w:val="008A0A9D"/>
    <w:rsid w:val="008A0F73"/>
    <w:rsid w:val="008A10FC"/>
    <w:rsid w:val="008A1840"/>
    <w:rsid w:val="008A231C"/>
    <w:rsid w:val="008A233C"/>
    <w:rsid w:val="008A2739"/>
    <w:rsid w:val="008A2886"/>
    <w:rsid w:val="008A299A"/>
    <w:rsid w:val="008A2A00"/>
    <w:rsid w:val="008A3047"/>
    <w:rsid w:val="008A31A3"/>
    <w:rsid w:val="008A341F"/>
    <w:rsid w:val="008A3528"/>
    <w:rsid w:val="008A3FF1"/>
    <w:rsid w:val="008A4C82"/>
    <w:rsid w:val="008A4D32"/>
    <w:rsid w:val="008A4DB8"/>
    <w:rsid w:val="008A55A6"/>
    <w:rsid w:val="008A55B9"/>
    <w:rsid w:val="008A5912"/>
    <w:rsid w:val="008A5F5B"/>
    <w:rsid w:val="008A5FAA"/>
    <w:rsid w:val="008A6677"/>
    <w:rsid w:val="008A6917"/>
    <w:rsid w:val="008A70BB"/>
    <w:rsid w:val="008A7168"/>
    <w:rsid w:val="008A72D5"/>
    <w:rsid w:val="008A75E5"/>
    <w:rsid w:val="008A778C"/>
    <w:rsid w:val="008A77F0"/>
    <w:rsid w:val="008A77FC"/>
    <w:rsid w:val="008A7A11"/>
    <w:rsid w:val="008B0347"/>
    <w:rsid w:val="008B0700"/>
    <w:rsid w:val="008B0A3E"/>
    <w:rsid w:val="008B0B04"/>
    <w:rsid w:val="008B0B66"/>
    <w:rsid w:val="008B1BB3"/>
    <w:rsid w:val="008B1C26"/>
    <w:rsid w:val="008B232B"/>
    <w:rsid w:val="008B2342"/>
    <w:rsid w:val="008B23E1"/>
    <w:rsid w:val="008B29CE"/>
    <w:rsid w:val="008B2A0D"/>
    <w:rsid w:val="008B2A5F"/>
    <w:rsid w:val="008B2B42"/>
    <w:rsid w:val="008B2E87"/>
    <w:rsid w:val="008B2EBE"/>
    <w:rsid w:val="008B326F"/>
    <w:rsid w:val="008B3B0C"/>
    <w:rsid w:val="008B4731"/>
    <w:rsid w:val="008B4753"/>
    <w:rsid w:val="008B4851"/>
    <w:rsid w:val="008B4B93"/>
    <w:rsid w:val="008B51D5"/>
    <w:rsid w:val="008B5222"/>
    <w:rsid w:val="008B5278"/>
    <w:rsid w:val="008B54BB"/>
    <w:rsid w:val="008B555A"/>
    <w:rsid w:val="008B55D4"/>
    <w:rsid w:val="008B55F8"/>
    <w:rsid w:val="008B56DC"/>
    <w:rsid w:val="008B5AB3"/>
    <w:rsid w:val="008B5B87"/>
    <w:rsid w:val="008B5C48"/>
    <w:rsid w:val="008B5DCF"/>
    <w:rsid w:val="008B602E"/>
    <w:rsid w:val="008B692E"/>
    <w:rsid w:val="008B6D52"/>
    <w:rsid w:val="008B71B2"/>
    <w:rsid w:val="008B7236"/>
    <w:rsid w:val="008B7495"/>
    <w:rsid w:val="008B74AD"/>
    <w:rsid w:val="008B767E"/>
    <w:rsid w:val="008B78F1"/>
    <w:rsid w:val="008C00DC"/>
    <w:rsid w:val="008C040C"/>
    <w:rsid w:val="008C15DD"/>
    <w:rsid w:val="008C16EB"/>
    <w:rsid w:val="008C17D9"/>
    <w:rsid w:val="008C19F3"/>
    <w:rsid w:val="008C211E"/>
    <w:rsid w:val="008C2388"/>
    <w:rsid w:val="008C25CA"/>
    <w:rsid w:val="008C2E28"/>
    <w:rsid w:val="008C2EC9"/>
    <w:rsid w:val="008C41B8"/>
    <w:rsid w:val="008C445E"/>
    <w:rsid w:val="008C448A"/>
    <w:rsid w:val="008C46A0"/>
    <w:rsid w:val="008C46D8"/>
    <w:rsid w:val="008C47CE"/>
    <w:rsid w:val="008C49B0"/>
    <w:rsid w:val="008C4EEA"/>
    <w:rsid w:val="008C4F66"/>
    <w:rsid w:val="008C5005"/>
    <w:rsid w:val="008C56FC"/>
    <w:rsid w:val="008C5D99"/>
    <w:rsid w:val="008C62FB"/>
    <w:rsid w:val="008C6592"/>
    <w:rsid w:val="008C6A0C"/>
    <w:rsid w:val="008C6BC5"/>
    <w:rsid w:val="008C6FEA"/>
    <w:rsid w:val="008C70B8"/>
    <w:rsid w:val="008C743D"/>
    <w:rsid w:val="008C763F"/>
    <w:rsid w:val="008C7661"/>
    <w:rsid w:val="008C76A3"/>
    <w:rsid w:val="008C76AB"/>
    <w:rsid w:val="008C7C9E"/>
    <w:rsid w:val="008D0564"/>
    <w:rsid w:val="008D0B62"/>
    <w:rsid w:val="008D121B"/>
    <w:rsid w:val="008D1289"/>
    <w:rsid w:val="008D1F1D"/>
    <w:rsid w:val="008D244C"/>
    <w:rsid w:val="008D25F5"/>
    <w:rsid w:val="008D2667"/>
    <w:rsid w:val="008D2D37"/>
    <w:rsid w:val="008D32AA"/>
    <w:rsid w:val="008D3B45"/>
    <w:rsid w:val="008D43F3"/>
    <w:rsid w:val="008D4444"/>
    <w:rsid w:val="008D44A3"/>
    <w:rsid w:val="008D4649"/>
    <w:rsid w:val="008D484D"/>
    <w:rsid w:val="008D4CAA"/>
    <w:rsid w:val="008D4D37"/>
    <w:rsid w:val="008D57B5"/>
    <w:rsid w:val="008D5F2C"/>
    <w:rsid w:val="008D5F98"/>
    <w:rsid w:val="008D5FBB"/>
    <w:rsid w:val="008D66DE"/>
    <w:rsid w:val="008D6776"/>
    <w:rsid w:val="008D68DC"/>
    <w:rsid w:val="008D6B86"/>
    <w:rsid w:val="008D6E91"/>
    <w:rsid w:val="008D71B9"/>
    <w:rsid w:val="008D72AC"/>
    <w:rsid w:val="008D74DC"/>
    <w:rsid w:val="008D7855"/>
    <w:rsid w:val="008D7AC4"/>
    <w:rsid w:val="008E055A"/>
    <w:rsid w:val="008E05AF"/>
    <w:rsid w:val="008E0A46"/>
    <w:rsid w:val="008E0BAC"/>
    <w:rsid w:val="008E0BC7"/>
    <w:rsid w:val="008E11B6"/>
    <w:rsid w:val="008E11C5"/>
    <w:rsid w:val="008E14CA"/>
    <w:rsid w:val="008E1EAF"/>
    <w:rsid w:val="008E1EC5"/>
    <w:rsid w:val="008E2490"/>
    <w:rsid w:val="008E24DF"/>
    <w:rsid w:val="008E25C4"/>
    <w:rsid w:val="008E270B"/>
    <w:rsid w:val="008E27C2"/>
    <w:rsid w:val="008E3013"/>
    <w:rsid w:val="008E339E"/>
    <w:rsid w:val="008E35FC"/>
    <w:rsid w:val="008E360C"/>
    <w:rsid w:val="008E42B2"/>
    <w:rsid w:val="008E44BC"/>
    <w:rsid w:val="008E4668"/>
    <w:rsid w:val="008E4963"/>
    <w:rsid w:val="008E49CD"/>
    <w:rsid w:val="008E5027"/>
    <w:rsid w:val="008E5144"/>
    <w:rsid w:val="008E54FE"/>
    <w:rsid w:val="008E5701"/>
    <w:rsid w:val="008E571B"/>
    <w:rsid w:val="008E6DDE"/>
    <w:rsid w:val="008E6E8F"/>
    <w:rsid w:val="008E74A4"/>
    <w:rsid w:val="008E74CE"/>
    <w:rsid w:val="008F053D"/>
    <w:rsid w:val="008F06E9"/>
    <w:rsid w:val="008F091B"/>
    <w:rsid w:val="008F0E63"/>
    <w:rsid w:val="008F1065"/>
    <w:rsid w:val="008F12B2"/>
    <w:rsid w:val="008F16D2"/>
    <w:rsid w:val="008F190B"/>
    <w:rsid w:val="008F19C4"/>
    <w:rsid w:val="008F1A3B"/>
    <w:rsid w:val="008F1CC2"/>
    <w:rsid w:val="008F1D04"/>
    <w:rsid w:val="008F25F3"/>
    <w:rsid w:val="008F2BA3"/>
    <w:rsid w:val="008F2C2D"/>
    <w:rsid w:val="008F2EB4"/>
    <w:rsid w:val="008F2F3B"/>
    <w:rsid w:val="008F3213"/>
    <w:rsid w:val="008F3B0F"/>
    <w:rsid w:val="008F3B45"/>
    <w:rsid w:val="008F4F42"/>
    <w:rsid w:val="008F53C6"/>
    <w:rsid w:val="008F54A0"/>
    <w:rsid w:val="008F5669"/>
    <w:rsid w:val="008F5D05"/>
    <w:rsid w:val="008F5E39"/>
    <w:rsid w:val="008F5F30"/>
    <w:rsid w:val="008F620D"/>
    <w:rsid w:val="008F63C4"/>
    <w:rsid w:val="008F6E90"/>
    <w:rsid w:val="008F722D"/>
    <w:rsid w:val="008F7464"/>
    <w:rsid w:val="008F74B3"/>
    <w:rsid w:val="008F7CC3"/>
    <w:rsid w:val="009001A8"/>
    <w:rsid w:val="009009D8"/>
    <w:rsid w:val="00900D3B"/>
    <w:rsid w:val="009014EC"/>
    <w:rsid w:val="0090155C"/>
    <w:rsid w:val="00901F67"/>
    <w:rsid w:val="00902DC6"/>
    <w:rsid w:val="00903592"/>
    <w:rsid w:val="009042F6"/>
    <w:rsid w:val="00904360"/>
    <w:rsid w:val="00904ADC"/>
    <w:rsid w:val="00904DFE"/>
    <w:rsid w:val="009054EB"/>
    <w:rsid w:val="00906603"/>
    <w:rsid w:val="00906A44"/>
    <w:rsid w:val="009070D2"/>
    <w:rsid w:val="009072CB"/>
    <w:rsid w:val="00907338"/>
    <w:rsid w:val="009077E6"/>
    <w:rsid w:val="00910BAB"/>
    <w:rsid w:val="009110A3"/>
    <w:rsid w:val="009117B6"/>
    <w:rsid w:val="009122F3"/>
    <w:rsid w:val="00912EB1"/>
    <w:rsid w:val="0091377E"/>
    <w:rsid w:val="009141A7"/>
    <w:rsid w:val="00914987"/>
    <w:rsid w:val="00914CD9"/>
    <w:rsid w:val="00915253"/>
    <w:rsid w:val="0091548B"/>
    <w:rsid w:val="009155B5"/>
    <w:rsid w:val="00915FD8"/>
    <w:rsid w:val="00916392"/>
    <w:rsid w:val="009165C7"/>
    <w:rsid w:val="00916792"/>
    <w:rsid w:val="00916C97"/>
    <w:rsid w:val="00916E14"/>
    <w:rsid w:val="00916FCC"/>
    <w:rsid w:val="00917058"/>
    <w:rsid w:val="00917125"/>
    <w:rsid w:val="00920103"/>
    <w:rsid w:val="009201DE"/>
    <w:rsid w:val="009203DB"/>
    <w:rsid w:val="00920572"/>
    <w:rsid w:val="0092067D"/>
    <w:rsid w:val="0092089E"/>
    <w:rsid w:val="009208C4"/>
    <w:rsid w:val="00921111"/>
    <w:rsid w:val="00921934"/>
    <w:rsid w:val="00921C6B"/>
    <w:rsid w:val="00922768"/>
    <w:rsid w:val="00922879"/>
    <w:rsid w:val="00922DA1"/>
    <w:rsid w:val="00922F86"/>
    <w:rsid w:val="00923012"/>
    <w:rsid w:val="0092385F"/>
    <w:rsid w:val="009238F1"/>
    <w:rsid w:val="00923BCB"/>
    <w:rsid w:val="0092449E"/>
    <w:rsid w:val="00924959"/>
    <w:rsid w:val="009254AC"/>
    <w:rsid w:val="00925630"/>
    <w:rsid w:val="009257E1"/>
    <w:rsid w:val="0092592F"/>
    <w:rsid w:val="009259D6"/>
    <w:rsid w:val="009259E2"/>
    <w:rsid w:val="00925CCC"/>
    <w:rsid w:val="00926221"/>
    <w:rsid w:val="00926971"/>
    <w:rsid w:val="00926EB6"/>
    <w:rsid w:val="009274FD"/>
    <w:rsid w:val="0092762E"/>
    <w:rsid w:val="0092793A"/>
    <w:rsid w:val="00930472"/>
    <w:rsid w:val="0093118E"/>
    <w:rsid w:val="00931479"/>
    <w:rsid w:val="009317D4"/>
    <w:rsid w:val="009327FC"/>
    <w:rsid w:val="009329ED"/>
    <w:rsid w:val="00932E4F"/>
    <w:rsid w:val="0093309B"/>
    <w:rsid w:val="0093313A"/>
    <w:rsid w:val="009331E3"/>
    <w:rsid w:val="00933CAF"/>
    <w:rsid w:val="00933E88"/>
    <w:rsid w:val="00933F04"/>
    <w:rsid w:val="00934252"/>
    <w:rsid w:val="00934C67"/>
    <w:rsid w:val="00934CD4"/>
    <w:rsid w:val="00934E12"/>
    <w:rsid w:val="00935761"/>
    <w:rsid w:val="009358D7"/>
    <w:rsid w:val="00935934"/>
    <w:rsid w:val="00935D5A"/>
    <w:rsid w:val="00936027"/>
    <w:rsid w:val="009360D7"/>
    <w:rsid w:val="009365B9"/>
    <w:rsid w:val="00936812"/>
    <w:rsid w:val="00936985"/>
    <w:rsid w:val="00936FF6"/>
    <w:rsid w:val="00937018"/>
    <w:rsid w:val="009370C0"/>
    <w:rsid w:val="0093786C"/>
    <w:rsid w:val="009378B2"/>
    <w:rsid w:val="00940701"/>
    <w:rsid w:val="0094070F"/>
    <w:rsid w:val="0094071A"/>
    <w:rsid w:val="009407D5"/>
    <w:rsid w:val="00941607"/>
    <w:rsid w:val="00941F2B"/>
    <w:rsid w:val="00941FD3"/>
    <w:rsid w:val="00942260"/>
    <w:rsid w:val="0094228D"/>
    <w:rsid w:val="009422FF"/>
    <w:rsid w:val="009427DF"/>
    <w:rsid w:val="00942F24"/>
    <w:rsid w:val="0094304E"/>
    <w:rsid w:val="00943335"/>
    <w:rsid w:val="0094349A"/>
    <w:rsid w:val="0094363F"/>
    <w:rsid w:val="009437D6"/>
    <w:rsid w:val="00944080"/>
    <w:rsid w:val="00944260"/>
    <w:rsid w:val="00944782"/>
    <w:rsid w:val="00944BBA"/>
    <w:rsid w:val="00944C55"/>
    <w:rsid w:val="00944D9B"/>
    <w:rsid w:val="009453A8"/>
    <w:rsid w:val="00945F4E"/>
    <w:rsid w:val="0094651F"/>
    <w:rsid w:val="009465AA"/>
    <w:rsid w:val="00946725"/>
    <w:rsid w:val="00946991"/>
    <w:rsid w:val="00946C84"/>
    <w:rsid w:val="00946D6B"/>
    <w:rsid w:val="00947045"/>
    <w:rsid w:val="0094711F"/>
    <w:rsid w:val="00947591"/>
    <w:rsid w:val="00947734"/>
    <w:rsid w:val="009500EF"/>
    <w:rsid w:val="00950398"/>
    <w:rsid w:val="0095055B"/>
    <w:rsid w:val="0095094E"/>
    <w:rsid w:val="00950D50"/>
    <w:rsid w:val="00950D59"/>
    <w:rsid w:val="00950F1D"/>
    <w:rsid w:val="00950FB9"/>
    <w:rsid w:val="009515C6"/>
    <w:rsid w:val="0095180B"/>
    <w:rsid w:val="00951885"/>
    <w:rsid w:val="00951DF5"/>
    <w:rsid w:val="00951F93"/>
    <w:rsid w:val="00951FF9"/>
    <w:rsid w:val="00952510"/>
    <w:rsid w:val="009525CD"/>
    <w:rsid w:val="009527F0"/>
    <w:rsid w:val="00953321"/>
    <w:rsid w:val="0095345E"/>
    <w:rsid w:val="00953BEB"/>
    <w:rsid w:val="00953C7D"/>
    <w:rsid w:val="00954268"/>
    <w:rsid w:val="0095464C"/>
    <w:rsid w:val="00954CDB"/>
    <w:rsid w:val="009553BA"/>
    <w:rsid w:val="0095546F"/>
    <w:rsid w:val="009557C9"/>
    <w:rsid w:val="00955A08"/>
    <w:rsid w:val="00955A38"/>
    <w:rsid w:val="00955A88"/>
    <w:rsid w:val="00955F85"/>
    <w:rsid w:val="00955F94"/>
    <w:rsid w:val="00956198"/>
    <w:rsid w:val="009561B7"/>
    <w:rsid w:val="00956293"/>
    <w:rsid w:val="009564DB"/>
    <w:rsid w:val="00956576"/>
    <w:rsid w:val="00956F93"/>
    <w:rsid w:val="009574B3"/>
    <w:rsid w:val="00957C04"/>
    <w:rsid w:val="00957DAA"/>
    <w:rsid w:val="00957DFC"/>
    <w:rsid w:val="00957EDA"/>
    <w:rsid w:val="009606F0"/>
    <w:rsid w:val="00960B08"/>
    <w:rsid w:val="009613C9"/>
    <w:rsid w:val="0096166E"/>
    <w:rsid w:val="009620D6"/>
    <w:rsid w:val="00962559"/>
    <w:rsid w:val="009628CE"/>
    <w:rsid w:val="009629E4"/>
    <w:rsid w:val="009632AB"/>
    <w:rsid w:val="009637EF"/>
    <w:rsid w:val="009637FE"/>
    <w:rsid w:val="0096382D"/>
    <w:rsid w:val="00963D0B"/>
    <w:rsid w:val="00963D33"/>
    <w:rsid w:val="00963D82"/>
    <w:rsid w:val="00963D90"/>
    <w:rsid w:val="0096404D"/>
    <w:rsid w:val="00964816"/>
    <w:rsid w:val="00964AAA"/>
    <w:rsid w:val="00964B7E"/>
    <w:rsid w:val="00964FE2"/>
    <w:rsid w:val="0096504F"/>
    <w:rsid w:val="00965077"/>
    <w:rsid w:val="009650DE"/>
    <w:rsid w:val="0096514B"/>
    <w:rsid w:val="0096522C"/>
    <w:rsid w:val="00966059"/>
    <w:rsid w:val="009662A6"/>
    <w:rsid w:val="00966464"/>
    <w:rsid w:val="00966A2B"/>
    <w:rsid w:val="00966A58"/>
    <w:rsid w:val="00966C8B"/>
    <w:rsid w:val="00966CF2"/>
    <w:rsid w:val="00966D20"/>
    <w:rsid w:val="00966E2C"/>
    <w:rsid w:val="0096716C"/>
    <w:rsid w:val="00967A4F"/>
    <w:rsid w:val="00967A72"/>
    <w:rsid w:val="00970418"/>
    <w:rsid w:val="009707FF"/>
    <w:rsid w:val="00970B35"/>
    <w:rsid w:val="00970C6B"/>
    <w:rsid w:val="00970D68"/>
    <w:rsid w:val="0097130A"/>
    <w:rsid w:val="00971C4D"/>
    <w:rsid w:val="00972072"/>
    <w:rsid w:val="009724F6"/>
    <w:rsid w:val="009731EC"/>
    <w:rsid w:val="00973971"/>
    <w:rsid w:val="00973C2B"/>
    <w:rsid w:val="00973D95"/>
    <w:rsid w:val="00973FE4"/>
    <w:rsid w:val="009745E1"/>
    <w:rsid w:val="0097499E"/>
    <w:rsid w:val="00974B16"/>
    <w:rsid w:val="009751E8"/>
    <w:rsid w:val="00975A2B"/>
    <w:rsid w:val="00975EA5"/>
    <w:rsid w:val="00976340"/>
    <w:rsid w:val="00976393"/>
    <w:rsid w:val="009764FC"/>
    <w:rsid w:val="009767D4"/>
    <w:rsid w:val="00976A39"/>
    <w:rsid w:val="00976BEB"/>
    <w:rsid w:val="00976F02"/>
    <w:rsid w:val="0097752C"/>
    <w:rsid w:val="009803D7"/>
    <w:rsid w:val="00980435"/>
    <w:rsid w:val="00980723"/>
    <w:rsid w:val="0098077B"/>
    <w:rsid w:val="00980DEB"/>
    <w:rsid w:val="009811F4"/>
    <w:rsid w:val="0098128B"/>
    <w:rsid w:val="009812C9"/>
    <w:rsid w:val="00981D51"/>
    <w:rsid w:val="00981E3A"/>
    <w:rsid w:val="0098259C"/>
    <w:rsid w:val="009837EC"/>
    <w:rsid w:val="00983B23"/>
    <w:rsid w:val="00984671"/>
    <w:rsid w:val="0098468E"/>
    <w:rsid w:val="009848AF"/>
    <w:rsid w:val="00984C18"/>
    <w:rsid w:val="00985041"/>
    <w:rsid w:val="009852C7"/>
    <w:rsid w:val="009855A3"/>
    <w:rsid w:val="00985933"/>
    <w:rsid w:val="00986F04"/>
    <w:rsid w:val="00987014"/>
    <w:rsid w:val="009870FB"/>
    <w:rsid w:val="0098762A"/>
    <w:rsid w:val="0098764F"/>
    <w:rsid w:val="009908F6"/>
    <w:rsid w:val="00990963"/>
    <w:rsid w:val="00990BC8"/>
    <w:rsid w:val="00991327"/>
    <w:rsid w:val="00991576"/>
    <w:rsid w:val="0099166E"/>
    <w:rsid w:val="009917FF"/>
    <w:rsid w:val="00991829"/>
    <w:rsid w:val="00991E4B"/>
    <w:rsid w:val="00991E8D"/>
    <w:rsid w:val="00992778"/>
    <w:rsid w:val="00992801"/>
    <w:rsid w:val="009929F4"/>
    <w:rsid w:val="00992BEC"/>
    <w:rsid w:val="00992DF9"/>
    <w:rsid w:val="00993063"/>
    <w:rsid w:val="0099306C"/>
    <w:rsid w:val="009933BA"/>
    <w:rsid w:val="00993746"/>
    <w:rsid w:val="00993B29"/>
    <w:rsid w:val="00993F0D"/>
    <w:rsid w:val="009949E9"/>
    <w:rsid w:val="00994A2A"/>
    <w:rsid w:val="00994A49"/>
    <w:rsid w:val="00994BF3"/>
    <w:rsid w:val="00994DFC"/>
    <w:rsid w:val="009954E3"/>
    <w:rsid w:val="0099658E"/>
    <w:rsid w:val="009967E7"/>
    <w:rsid w:val="00996EFB"/>
    <w:rsid w:val="009970BD"/>
    <w:rsid w:val="0099718A"/>
    <w:rsid w:val="009A0032"/>
    <w:rsid w:val="009A0965"/>
    <w:rsid w:val="009A0BC6"/>
    <w:rsid w:val="009A0D1C"/>
    <w:rsid w:val="009A0D1E"/>
    <w:rsid w:val="009A0E25"/>
    <w:rsid w:val="009A0F38"/>
    <w:rsid w:val="009A1034"/>
    <w:rsid w:val="009A1380"/>
    <w:rsid w:val="009A1420"/>
    <w:rsid w:val="009A1481"/>
    <w:rsid w:val="009A1698"/>
    <w:rsid w:val="009A17A2"/>
    <w:rsid w:val="009A18BF"/>
    <w:rsid w:val="009A1962"/>
    <w:rsid w:val="009A1FDA"/>
    <w:rsid w:val="009A299C"/>
    <w:rsid w:val="009A29B7"/>
    <w:rsid w:val="009A2E4F"/>
    <w:rsid w:val="009A30E7"/>
    <w:rsid w:val="009A35FC"/>
    <w:rsid w:val="009A3DDA"/>
    <w:rsid w:val="009A3E3F"/>
    <w:rsid w:val="009A3E51"/>
    <w:rsid w:val="009A3EE5"/>
    <w:rsid w:val="009A4165"/>
    <w:rsid w:val="009A4361"/>
    <w:rsid w:val="009A469E"/>
    <w:rsid w:val="009A4705"/>
    <w:rsid w:val="009A471D"/>
    <w:rsid w:val="009A4C50"/>
    <w:rsid w:val="009A4F47"/>
    <w:rsid w:val="009A51BC"/>
    <w:rsid w:val="009A563C"/>
    <w:rsid w:val="009A5C87"/>
    <w:rsid w:val="009A5F46"/>
    <w:rsid w:val="009A627D"/>
    <w:rsid w:val="009A6A1C"/>
    <w:rsid w:val="009A70A9"/>
    <w:rsid w:val="009A736F"/>
    <w:rsid w:val="009B039F"/>
    <w:rsid w:val="009B0440"/>
    <w:rsid w:val="009B04CE"/>
    <w:rsid w:val="009B0607"/>
    <w:rsid w:val="009B0AE7"/>
    <w:rsid w:val="009B0C8B"/>
    <w:rsid w:val="009B0CBE"/>
    <w:rsid w:val="009B0F18"/>
    <w:rsid w:val="009B1D3D"/>
    <w:rsid w:val="009B23CC"/>
    <w:rsid w:val="009B2406"/>
    <w:rsid w:val="009B279C"/>
    <w:rsid w:val="009B2923"/>
    <w:rsid w:val="009B2A4C"/>
    <w:rsid w:val="009B327B"/>
    <w:rsid w:val="009B3C48"/>
    <w:rsid w:val="009B42BD"/>
    <w:rsid w:val="009B4623"/>
    <w:rsid w:val="009B4E37"/>
    <w:rsid w:val="009B50A7"/>
    <w:rsid w:val="009B56F5"/>
    <w:rsid w:val="009B62B0"/>
    <w:rsid w:val="009B64E6"/>
    <w:rsid w:val="009B6A86"/>
    <w:rsid w:val="009B6ACA"/>
    <w:rsid w:val="009B6DEF"/>
    <w:rsid w:val="009B6F22"/>
    <w:rsid w:val="009B7154"/>
    <w:rsid w:val="009B7431"/>
    <w:rsid w:val="009B7634"/>
    <w:rsid w:val="009B76BF"/>
    <w:rsid w:val="009B7746"/>
    <w:rsid w:val="009B7F89"/>
    <w:rsid w:val="009C0862"/>
    <w:rsid w:val="009C089D"/>
    <w:rsid w:val="009C13AA"/>
    <w:rsid w:val="009C1683"/>
    <w:rsid w:val="009C1950"/>
    <w:rsid w:val="009C1CB4"/>
    <w:rsid w:val="009C1CB8"/>
    <w:rsid w:val="009C20B2"/>
    <w:rsid w:val="009C266E"/>
    <w:rsid w:val="009C26C8"/>
    <w:rsid w:val="009C2877"/>
    <w:rsid w:val="009C28D0"/>
    <w:rsid w:val="009C2A31"/>
    <w:rsid w:val="009C2E09"/>
    <w:rsid w:val="009C3815"/>
    <w:rsid w:val="009C39E1"/>
    <w:rsid w:val="009C3BDC"/>
    <w:rsid w:val="009C3F81"/>
    <w:rsid w:val="009C4062"/>
    <w:rsid w:val="009C411B"/>
    <w:rsid w:val="009C4691"/>
    <w:rsid w:val="009C4C3E"/>
    <w:rsid w:val="009C588F"/>
    <w:rsid w:val="009C5FDF"/>
    <w:rsid w:val="009C6221"/>
    <w:rsid w:val="009C67A9"/>
    <w:rsid w:val="009C6847"/>
    <w:rsid w:val="009C6A9B"/>
    <w:rsid w:val="009C710C"/>
    <w:rsid w:val="009C742A"/>
    <w:rsid w:val="009C7926"/>
    <w:rsid w:val="009C7A2C"/>
    <w:rsid w:val="009C7E2B"/>
    <w:rsid w:val="009D009D"/>
    <w:rsid w:val="009D052A"/>
    <w:rsid w:val="009D085C"/>
    <w:rsid w:val="009D248D"/>
    <w:rsid w:val="009D2AD6"/>
    <w:rsid w:val="009D311D"/>
    <w:rsid w:val="009D4394"/>
    <w:rsid w:val="009D43FB"/>
    <w:rsid w:val="009D4414"/>
    <w:rsid w:val="009D45D0"/>
    <w:rsid w:val="009D500E"/>
    <w:rsid w:val="009D5329"/>
    <w:rsid w:val="009D556E"/>
    <w:rsid w:val="009D58CC"/>
    <w:rsid w:val="009D5CE0"/>
    <w:rsid w:val="009D5E07"/>
    <w:rsid w:val="009D641C"/>
    <w:rsid w:val="009D661E"/>
    <w:rsid w:val="009D6E53"/>
    <w:rsid w:val="009D6F5C"/>
    <w:rsid w:val="009D6FB2"/>
    <w:rsid w:val="009D7395"/>
    <w:rsid w:val="009D73E2"/>
    <w:rsid w:val="009D7BA7"/>
    <w:rsid w:val="009E00AD"/>
    <w:rsid w:val="009E03C9"/>
    <w:rsid w:val="009E0554"/>
    <w:rsid w:val="009E0911"/>
    <w:rsid w:val="009E0F67"/>
    <w:rsid w:val="009E1DF6"/>
    <w:rsid w:val="009E25AC"/>
    <w:rsid w:val="009E2753"/>
    <w:rsid w:val="009E2800"/>
    <w:rsid w:val="009E29FB"/>
    <w:rsid w:val="009E2BE7"/>
    <w:rsid w:val="009E2D02"/>
    <w:rsid w:val="009E2DA3"/>
    <w:rsid w:val="009E2F12"/>
    <w:rsid w:val="009E30AD"/>
    <w:rsid w:val="009E3730"/>
    <w:rsid w:val="009E3A77"/>
    <w:rsid w:val="009E429E"/>
    <w:rsid w:val="009E42B0"/>
    <w:rsid w:val="009E4541"/>
    <w:rsid w:val="009E4558"/>
    <w:rsid w:val="009E4680"/>
    <w:rsid w:val="009E4DBB"/>
    <w:rsid w:val="009E4E88"/>
    <w:rsid w:val="009E51C8"/>
    <w:rsid w:val="009E57C3"/>
    <w:rsid w:val="009E587E"/>
    <w:rsid w:val="009E5D55"/>
    <w:rsid w:val="009E5D70"/>
    <w:rsid w:val="009E623F"/>
    <w:rsid w:val="009E68A0"/>
    <w:rsid w:val="009E6A44"/>
    <w:rsid w:val="009E6C8C"/>
    <w:rsid w:val="009E6CA8"/>
    <w:rsid w:val="009E6CC0"/>
    <w:rsid w:val="009E6FED"/>
    <w:rsid w:val="009E7BCF"/>
    <w:rsid w:val="009E7F0F"/>
    <w:rsid w:val="009E7FF7"/>
    <w:rsid w:val="009F02E8"/>
    <w:rsid w:val="009F0563"/>
    <w:rsid w:val="009F085C"/>
    <w:rsid w:val="009F0D77"/>
    <w:rsid w:val="009F1130"/>
    <w:rsid w:val="009F1778"/>
    <w:rsid w:val="009F199B"/>
    <w:rsid w:val="009F1FCB"/>
    <w:rsid w:val="009F2313"/>
    <w:rsid w:val="009F29EE"/>
    <w:rsid w:val="009F3569"/>
    <w:rsid w:val="009F369F"/>
    <w:rsid w:val="009F36DE"/>
    <w:rsid w:val="009F3E67"/>
    <w:rsid w:val="009F404D"/>
    <w:rsid w:val="009F4276"/>
    <w:rsid w:val="009F4A5B"/>
    <w:rsid w:val="009F4C47"/>
    <w:rsid w:val="009F515E"/>
    <w:rsid w:val="009F5601"/>
    <w:rsid w:val="009F56BC"/>
    <w:rsid w:val="009F56FE"/>
    <w:rsid w:val="009F5C70"/>
    <w:rsid w:val="009F6674"/>
    <w:rsid w:val="009F689C"/>
    <w:rsid w:val="009F6A13"/>
    <w:rsid w:val="009F6AC4"/>
    <w:rsid w:val="009F6BF7"/>
    <w:rsid w:val="009F799A"/>
    <w:rsid w:val="009F7C3D"/>
    <w:rsid w:val="00A0046E"/>
    <w:rsid w:val="00A00582"/>
    <w:rsid w:val="00A00610"/>
    <w:rsid w:val="00A0068B"/>
    <w:rsid w:val="00A008BE"/>
    <w:rsid w:val="00A00992"/>
    <w:rsid w:val="00A00BA9"/>
    <w:rsid w:val="00A00DCF"/>
    <w:rsid w:val="00A0180C"/>
    <w:rsid w:val="00A019D9"/>
    <w:rsid w:val="00A01CFF"/>
    <w:rsid w:val="00A01E8B"/>
    <w:rsid w:val="00A02129"/>
    <w:rsid w:val="00A0243D"/>
    <w:rsid w:val="00A029D5"/>
    <w:rsid w:val="00A035C9"/>
    <w:rsid w:val="00A035F6"/>
    <w:rsid w:val="00A03774"/>
    <w:rsid w:val="00A037DF"/>
    <w:rsid w:val="00A03B29"/>
    <w:rsid w:val="00A03B63"/>
    <w:rsid w:val="00A03DE2"/>
    <w:rsid w:val="00A04339"/>
    <w:rsid w:val="00A04787"/>
    <w:rsid w:val="00A04DD8"/>
    <w:rsid w:val="00A05232"/>
    <w:rsid w:val="00A0561A"/>
    <w:rsid w:val="00A05665"/>
    <w:rsid w:val="00A056F5"/>
    <w:rsid w:val="00A0574D"/>
    <w:rsid w:val="00A058EC"/>
    <w:rsid w:val="00A05CE9"/>
    <w:rsid w:val="00A05D6E"/>
    <w:rsid w:val="00A05FE6"/>
    <w:rsid w:val="00A062A6"/>
    <w:rsid w:val="00A06366"/>
    <w:rsid w:val="00A06508"/>
    <w:rsid w:val="00A0668F"/>
    <w:rsid w:val="00A0691A"/>
    <w:rsid w:val="00A06CDD"/>
    <w:rsid w:val="00A06CF3"/>
    <w:rsid w:val="00A07A7A"/>
    <w:rsid w:val="00A07D8C"/>
    <w:rsid w:val="00A107DE"/>
    <w:rsid w:val="00A1084E"/>
    <w:rsid w:val="00A10985"/>
    <w:rsid w:val="00A10AEE"/>
    <w:rsid w:val="00A10F93"/>
    <w:rsid w:val="00A1112C"/>
    <w:rsid w:val="00A111CF"/>
    <w:rsid w:val="00A11410"/>
    <w:rsid w:val="00A114EF"/>
    <w:rsid w:val="00A115EA"/>
    <w:rsid w:val="00A116EB"/>
    <w:rsid w:val="00A11860"/>
    <w:rsid w:val="00A12068"/>
    <w:rsid w:val="00A122DC"/>
    <w:rsid w:val="00A122EB"/>
    <w:rsid w:val="00A124DE"/>
    <w:rsid w:val="00A1292C"/>
    <w:rsid w:val="00A13235"/>
    <w:rsid w:val="00A138D9"/>
    <w:rsid w:val="00A13ECD"/>
    <w:rsid w:val="00A13F76"/>
    <w:rsid w:val="00A141B9"/>
    <w:rsid w:val="00A1449B"/>
    <w:rsid w:val="00A144DE"/>
    <w:rsid w:val="00A1479B"/>
    <w:rsid w:val="00A14BBF"/>
    <w:rsid w:val="00A1545C"/>
    <w:rsid w:val="00A154B3"/>
    <w:rsid w:val="00A154B8"/>
    <w:rsid w:val="00A15A92"/>
    <w:rsid w:val="00A16449"/>
    <w:rsid w:val="00A16458"/>
    <w:rsid w:val="00A16612"/>
    <w:rsid w:val="00A16B55"/>
    <w:rsid w:val="00A16C14"/>
    <w:rsid w:val="00A17C2E"/>
    <w:rsid w:val="00A17C7A"/>
    <w:rsid w:val="00A17E94"/>
    <w:rsid w:val="00A17F24"/>
    <w:rsid w:val="00A2017F"/>
    <w:rsid w:val="00A203BA"/>
    <w:rsid w:val="00A204CC"/>
    <w:rsid w:val="00A206BC"/>
    <w:rsid w:val="00A20C11"/>
    <w:rsid w:val="00A20FB1"/>
    <w:rsid w:val="00A210AA"/>
    <w:rsid w:val="00A21886"/>
    <w:rsid w:val="00A221F1"/>
    <w:rsid w:val="00A222EB"/>
    <w:rsid w:val="00A225B3"/>
    <w:rsid w:val="00A2264B"/>
    <w:rsid w:val="00A22658"/>
    <w:rsid w:val="00A227A2"/>
    <w:rsid w:val="00A23222"/>
    <w:rsid w:val="00A23491"/>
    <w:rsid w:val="00A23599"/>
    <w:rsid w:val="00A236E8"/>
    <w:rsid w:val="00A23823"/>
    <w:rsid w:val="00A23A63"/>
    <w:rsid w:val="00A23B1A"/>
    <w:rsid w:val="00A23D5C"/>
    <w:rsid w:val="00A2420D"/>
    <w:rsid w:val="00A24A50"/>
    <w:rsid w:val="00A24A97"/>
    <w:rsid w:val="00A24F72"/>
    <w:rsid w:val="00A250F4"/>
    <w:rsid w:val="00A252BE"/>
    <w:rsid w:val="00A256A0"/>
    <w:rsid w:val="00A25787"/>
    <w:rsid w:val="00A25F52"/>
    <w:rsid w:val="00A26053"/>
    <w:rsid w:val="00A26930"/>
    <w:rsid w:val="00A26B3E"/>
    <w:rsid w:val="00A27430"/>
    <w:rsid w:val="00A274A7"/>
    <w:rsid w:val="00A27FEE"/>
    <w:rsid w:val="00A30114"/>
    <w:rsid w:val="00A30475"/>
    <w:rsid w:val="00A306CE"/>
    <w:rsid w:val="00A30768"/>
    <w:rsid w:val="00A30B54"/>
    <w:rsid w:val="00A30CBC"/>
    <w:rsid w:val="00A31824"/>
    <w:rsid w:val="00A31C10"/>
    <w:rsid w:val="00A31EB8"/>
    <w:rsid w:val="00A32061"/>
    <w:rsid w:val="00A320D6"/>
    <w:rsid w:val="00A320FC"/>
    <w:rsid w:val="00A3248B"/>
    <w:rsid w:val="00A329D6"/>
    <w:rsid w:val="00A32AA5"/>
    <w:rsid w:val="00A32BB2"/>
    <w:rsid w:val="00A32F27"/>
    <w:rsid w:val="00A335E4"/>
    <w:rsid w:val="00A3365A"/>
    <w:rsid w:val="00A33CC3"/>
    <w:rsid w:val="00A33DB1"/>
    <w:rsid w:val="00A33E91"/>
    <w:rsid w:val="00A34016"/>
    <w:rsid w:val="00A3414C"/>
    <w:rsid w:val="00A34707"/>
    <w:rsid w:val="00A35316"/>
    <w:rsid w:val="00A3538A"/>
    <w:rsid w:val="00A35C8C"/>
    <w:rsid w:val="00A364D8"/>
    <w:rsid w:val="00A36760"/>
    <w:rsid w:val="00A36E74"/>
    <w:rsid w:val="00A37C1C"/>
    <w:rsid w:val="00A37C2E"/>
    <w:rsid w:val="00A40381"/>
    <w:rsid w:val="00A40A68"/>
    <w:rsid w:val="00A41035"/>
    <w:rsid w:val="00A412CB"/>
    <w:rsid w:val="00A41AF2"/>
    <w:rsid w:val="00A41D4B"/>
    <w:rsid w:val="00A422A7"/>
    <w:rsid w:val="00A42D40"/>
    <w:rsid w:val="00A43F52"/>
    <w:rsid w:val="00A44BBB"/>
    <w:rsid w:val="00A45AC0"/>
    <w:rsid w:val="00A45BD0"/>
    <w:rsid w:val="00A45EEE"/>
    <w:rsid w:val="00A4610F"/>
    <w:rsid w:val="00A46149"/>
    <w:rsid w:val="00A4620D"/>
    <w:rsid w:val="00A46E89"/>
    <w:rsid w:val="00A4712E"/>
    <w:rsid w:val="00A47451"/>
    <w:rsid w:val="00A47452"/>
    <w:rsid w:val="00A475ED"/>
    <w:rsid w:val="00A47915"/>
    <w:rsid w:val="00A47EB2"/>
    <w:rsid w:val="00A502F6"/>
    <w:rsid w:val="00A504F2"/>
    <w:rsid w:val="00A50FB0"/>
    <w:rsid w:val="00A51062"/>
    <w:rsid w:val="00A5126B"/>
    <w:rsid w:val="00A513BB"/>
    <w:rsid w:val="00A51AD0"/>
    <w:rsid w:val="00A51B33"/>
    <w:rsid w:val="00A51C00"/>
    <w:rsid w:val="00A51E7D"/>
    <w:rsid w:val="00A51F81"/>
    <w:rsid w:val="00A52388"/>
    <w:rsid w:val="00A52781"/>
    <w:rsid w:val="00A527BE"/>
    <w:rsid w:val="00A52D32"/>
    <w:rsid w:val="00A52DDF"/>
    <w:rsid w:val="00A53398"/>
    <w:rsid w:val="00A5344B"/>
    <w:rsid w:val="00A5366E"/>
    <w:rsid w:val="00A53DF5"/>
    <w:rsid w:val="00A53EC2"/>
    <w:rsid w:val="00A546D2"/>
    <w:rsid w:val="00A549CB"/>
    <w:rsid w:val="00A54AB6"/>
    <w:rsid w:val="00A54C1F"/>
    <w:rsid w:val="00A55182"/>
    <w:rsid w:val="00A55481"/>
    <w:rsid w:val="00A5584E"/>
    <w:rsid w:val="00A55A27"/>
    <w:rsid w:val="00A56403"/>
    <w:rsid w:val="00A56629"/>
    <w:rsid w:val="00A566AA"/>
    <w:rsid w:val="00A568A1"/>
    <w:rsid w:val="00A5732B"/>
    <w:rsid w:val="00A577C4"/>
    <w:rsid w:val="00A5784E"/>
    <w:rsid w:val="00A57CEA"/>
    <w:rsid w:val="00A57FC1"/>
    <w:rsid w:val="00A602CE"/>
    <w:rsid w:val="00A60A63"/>
    <w:rsid w:val="00A60B93"/>
    <w:rsid w:val="00A60C31"/>
    <w:rsid w:val="00A616EA"/>
    <w:rsid w:val="00A62289"/>
    <w:rsid w:val="00A6279C"/>
    <w:rsid w:val="00A6279D"/>
    <w:rsid w:val="00A62B12"/>
    <w:rsid w:val="00A63099"/>
    <w:rsid w:val="00A63A0B"/>
    <w:rsid w:val="00A63E41"/>
    <w:rsid w:val="00A6463F"/>
    <w:rsid w:val="00A64F67"/>
    <w:rsid w:val="00A652CB"/>
    <w:rsid w:val="00A652FE"/>
    <w:rsid w:val="00A65B58"/>
    <w:rsid w:val="00A65E83"/>
    <w:rsid w:val="00A65F6C"/>
    <w:rsid w:val="00A668EC"/>
    <w:rsid w:val="00A67256"/>
    <w:rsid w:val="00A67D2F"/>
    <w:rsid w:val="00A70815"/>
    <w:rsid w:val="00A70BE6"/>
    <w:rsid w:val="00A70EC2"/>
    <w:rsid w:val="00A71C1E"/>
    <w:rsid w:val="00A72527"/>
    <w:rsid w:val="00A72547"/>
    <w:rsid w:val="00A72841"/>
    <w:rsid w:val="00A72D4E"/>
    <w:rsid w:val="00A72D77"/>
    <w:rsid w:val="00A72EC8"/>
    <w:rsid w:val="00A7316B"/>
    <w:rsid w:val="00A7341B"/>
    <w:rsid w:val="00A73990"/>
    <w:rsid w:val="00A74142"/>
    <w:rsid w:val="00A742C2"/>
    <w:rsid w:val="00A745CA"/>
    <w:rsid w:val="00A74616"/>
    <w:rsid w:val="00A746DD"/>
    <w:rsid w:val="00A74B0C"/>
    <w:rsid w:val="00A74C73"/>
    <w:rsid w:val="00A75BAC"/>
    <w:rsid w:val="00A75E6C"/>
    <w:rsid w:val="00A7618D"/>
    <w:rsid w:val="00A766D7"/>
    <w:rsid w:val="00A76760"/>
    <w:rsid w:val="00A769A4"/>
    <w:rsid w:val="00A769AD"/>
    <w:rsid w:val="00A76A42"/>
    <w:rsid w:val="00A76D9E"/>
    <w:rsid w:val="00A77466"/>
    <w:rsid w:val="00A77D48"/>
    <w:rsid w:val="00A805FD"/>
    <w:rsid w:val="00A80B38"/>
    <w:rsid w:val="00A80C97"/>
    <w:rsid w:val="00A81974"/>
    <w:rsid w:val="00A82228"/>
    <w:rsid w:val="00A82566"/>
    <w:rsid w:val="00A82851"/>
    <w:rsid w:val="00A83412"/>
    <w:rsid w:val="00A835AF"/>
    <w:rsid w:val="00A8375B"/>
    <w:rsid w:val="00A83766"/>
    <w:rsid w:val="00A842BB"/>
    <w:rsid w:val="00A84DE6"/>
    <w:rsid w:val="00A85C0C"/>
    <w:rsid w:val="00A85C1F"/>
    <w:rsid w:val="00A85E46"/>
    <w:rsid w:val="00A87A06"/>
    <w:rsid w:val="00A900F6"/>
    <w:rsid w:val="00A903C3"/>
    <w:rsid w:val="00A906A4"/>
    <w:rsid w:val="00A90AAB"/>
    <w:rsid w:val="00A90B37"/>
    <w:rsid w:val="00A9116F"/>
    <w:rsid w:val="00A9144A"/>
    <w:rsid w:val="00A91471"/>
    <w:rsid w:val="00A91B5C"/>
    <w:rsid w:val="00A91F02"/>
    <w:rsid w:val="00A92400"/>
    <w:rsid w:val="00A924D4"/>
    <w:rsid w:val="00A92573"/>
    <w:rsid w:val="00A92F2B"/>
    <w:rsid w:val="00A9327E"/>
    <w:rsid w:val="00A93669"/>
    <w:rsid w:val="00A937DD"/>
    <w:rsid w:val="00A93AC9"/>
    <w:rsid w:val="00A93D8A"/>
    <w:rsid w:val="00A940AB"/>
    <w:rsid w:val="00A9473B"/>
    <w:rsid w:val="00A94822"/>
    <w:rsid w:val="00A949A0"/>
    <w:rsid w:val="00A94B63"/>
    <w:rsid w:val="00A9524D"/>
    <w:rsid w:val="00A95416"/>
    <w:rsid w:val="00A95A18"/>
    <w:rsid w:val="00A95D49"/>
    <w:rsid w:val="00A95E16"/>
    <w:rsid w:val="00A95F3C"/>
    <w:rsid w:val="00A9669B"/>
    <w:rsid w:val="00A96747"/>
    <w:rsid w:val="00A96961"/>
    <w:rsid w:val="00A96D63"/>
    <w:rsid w:val="00A96EF1"/>
    <w:rsid w:val="00A97369"/>
    <w:rsid w:val="00A97423"/>
    <w:rsid w:val="00A975C0"/>
    <w:rsid w:val="00A97682"/>
    <w:rsid w:val="00A979F7"/>
    <w:rsid w:val="00A97A6B"/>
    <w:rsid w:val="00AA02D1"/>
    <w:rsid w:val="00AA0826"/>
    <w:rsid w:val="00AA0C5A"/>
    <w:rsid w:val="00AA126F"/>
    <w:rsid w:val="00AA1281"/>
    <w:rsid w:val="00AA1C27"/>
    <w:rsid w:val="00AA1CAF"/>
    <w:rsid w:val="00AA1EB2"/>
    <w:rsid w:val="00AA240B"/>
    <w:rsid w:val="00AA2682"/>
    <w:rsid w:val="00AA311E"/>
    <w:rsid w:val="00AA32A8"/>
    <w:rsid w:val="00AA3E8C"/>
    <w:rsid w:val="00AA3FCC"/>
    <w:rsid w:val="00AA3FD2"/>
    <w:rsid w:val="00AA45F0"/>
    <w:rsid w:val="00AA49E9"/>
    <w:rsid w:val="00AA4CDA"/>
    <w:rsid w:val="00AA4E26"/>
    <w:rsid w:val="00AA4E5E"/>
    <w:rsid w:val="00AA5724"/>
    <w:rsid w:val="00AA5AC6"/>
    <w:rsid w:val="00AA5AF4"/>
    <w:rsid w:val="00AA5CF4"/>
    <w:rsid w:val="00AA61CC"/>
    <w:rsid w:val="00AA6684"/>
    <w:rsid w:val="00AA6C71"/>
    <w:rsid w:val="00AA6DB4"/>
    <w:rsid w:val="00AA6DCF"/>
    <w:rsid w:val="00AA6F4B"/>
    <w:rsid w:val="00AA7139"/>
    <w:rsid w:val="00AA71D1"/>
    <w:rsid w:val="00AA7418"/>
    <w:rsid w:val="00AA78AA"/>
    <w:rsid w:val="00AA78D3"/>
    <w:rsid w:val="00AA7EA9"/>
    <w:rsid w:val="00AA7FF1"/>
    <w:rsid w:val="00AB0112"/>
    <w:rsid w:val="00AB04F9"/>
    <w:rsid w:val="00AB1046"/>
    <w:rsid w:val="00AB15D3"/>
    <w:rsid w:val="00AB1991"/>
    <w:rsid w:val="00AB1B29"/>
    <w:rsid w:val="00AB1C26"/>
    <w:rsid w:val="00AB22C1"/>
    <w:rsid w:val="00AB2B38"/>
    <w:rsid w:val="00AB2C2A"/>
    <w:rsid w:val="00AB356F"/>
    <w:rsid w:val="00AB372E"/>
    <w:rsid w:val="00AB3D24"/>
    <w:rsid w:val="00AB4292"/>
    <w:rsid w:val="00AB54CD"/>
    <w:rsid w:val="00AB69AE"/>
    <w:rsid w:val="00AB7206"/>
    <w:rsid w:val="00AB7330"/>
    <w:rsid w:val="00AB74B3"/>
    <w:rsid w:val="00AB768C"/>
    <w:rsid w:val="00AB7F7D"/>
    <w:rsid w:val="00AC0160"/>
    <w:rsid w:val="00AC07F3"/>
    <w:rsid w:val="00AC0AE0"/>
    <w:rsid w:val="00AC0CB0"/>
    <w:rsid w:val="00AC0CC6"/>
    <w:rsid w:val="00AC0F09"/>
    <w:rsid w:val="00AC135C"/>
    <w:rsid w:val="00AC16F6"/>
    <w:rsid w:val="00AC1D3E"/>
    <w:rsid w:val="00AC26CB"/>
    <w:rsid w:val="00AC29F2"/>
    <w:rsid w:val="00AC2A81"/>
    <w:rsid w:val="00AC307B"/>
    <w:rsid w:val="00AC3976"/>
    <w:rsid w:val="00AC3C41"/>
    <w:rsid w:val="00AC3C57"/>
    <w:rsid w:val="00AC3EE1"/>
    <w:rsid w:val="00AC442E"/>
    <w:rsid w:val="00AC4CAE"/>
    <w:rsid w:val="00AC4FD9"/>
    <w:rsid w:val="00AC5DF5"/>
    <w:rsid w:val="00AC620E"/>
    <w:rsid w:val="00AC6634"/>
    <w:rsid w:val="00AC6716"/>
    <w:rsid w:val="00AC6C75"/>
    <w:rsid w:val="00AC6DBC"/>
    <w:rsid w:val="00AC729B"/>
    <w:rsid w:val="00AC72B2"/>
    <w:rsid w:val="00AC75B9"/>
    <w:rsid w:val="00AC776B"/>
    <w:rsid w:val="00AC77CC"/>
    <w:rsid w:val="00AC783A"/>
    <w:rsid w:val="00AC790A"/>
    <w:rsid w:val="00AC7A79"/>
    <w:rsid w:val="00AC7B19"/>
    <w:rsid w:val="00AC7C61"/>
    <w:rsid w:val="00AC7F65"/>
    <w:rsid w:val="00AD0358"/>
    <w:rsid w:val="00AD05DE"/>
    <w:rsid w:val="00AD0EAE"/>
    <w:rsid w:val="00AD158C"/>
    <w:rsid w:val="00AD18E5"/>
    <w:rsid w:val="00AD19DD"/>
    <w:rsid w:val="00AD1F8E"/>
    <w:rsid w:val="00AD2060"/>
    <w:rsid w:val="00AD2472"/>
    <w:rsid w:val="00AD2853"/>
    <w:rsid w:val="00AD28A2"/>
    <w:rsid w:val="00AD2B68"/>
    <w:rsid w:val="00AD3038"/>
    <w:rsid w:val="00AD3199"/>
    <w:rsid w:val="00AD31DF"/>
    <w:rsid w:val="00AD31FF"/>
    <w:rsid w:val="00AD3856"/>
    <w:rsid w:val="00AD3964"/>
    <w:rsid w:val="00AD4D9F"/>
    <w:rsid w:val="00AD5038"/>
    <w:rsid w:val="00AD5161"/>
    <w:rsid w:val="00AD5AEA"/>
    <w:rsid w:val="00AD5CD2"/>
    <w:rsid w:val="00AD6669"/>
    <w:rsid w:val="00AD74C5"/>
    <w:rsid w:val="00AD75ED"/>
    <w:rsid w:val="00AD76F7"/>
    <w:rsid w:val="00AD7FE0"/>
    <w:rsid w:val="00AE0088"/>
    <w:rsid w:val="00AE030D"/>
    <w:rsid w:val="00AE03BB"/>
    <w:rsid w:val="00AE0DAD"/>
    <w:rsid w:val="00AE0FBE"/>
    <w:rsid w:val="00AE119E"/>
    <w:rsid w:val="00AE1430"/>
    <w:rsid w:val="00AE161C"/>
    <w:rsid w:val="00AE1798"/>
    <w:rsid w:val="00AE19A6"/>
    <w:rsid w:val="00AE22B4"/>
    <w:rsid w:val="00AE2779"/>
    <w:rsid w:val="00AE291D"/>
    <w:rsid w:val="00AE29EA"/>
    <w:rsid w:val="00AE2B41"/>
    <w:rsid w:val="00AE31A2"/>
    <w:rsid w:val="00AE346A"/>
    <w:rsid w:val="00AE35B6"/>
    <w:rsid w:val="00AE386F"/>
    <w:rsid w:val="00AE3BB6"/>
    <w:rsid w:val="00AE4135"/>
    <w:rsid w:val="00AE461A"/>
    <w:rsid w:val="00AE4B13"/>
    <w:rsid w:val="00AE4BB4"/>
    <w:rsid w:val="00AE4D0F"/>
    <w:rsid w:val="00AE5631"/>
    <w:rsid w:val="00AE576E"/>
    <w:rsid w:val="00AE5CAB"/>
    <w:rsid w:val="00AE5F6F"/>
    <w:rsid w:val="00AE63F5"/>
    <w:rsid w:val="00AE643C"/>
    <w:rsid w:val="00AE680A"/>
    <w:rsid w:val="00AE706B"/>
    <w:rsid w:val="00AE785E"/>
    <w:rsid w:val="00AE79DB"/>
    <w:rsid w:val="00AE7AF0"/>
    <w:rsid w:val="00AE7DF5"/>
    <w:rsid w:val="00AF069F"/>
    <w:rsid w:val="00AF12C1"/>
    <w:rsid w:val="00AF153A"/>
    <w:rsid w:val="00AF1596"/>
    <w:rsid w:val="00AF1DFE"/>
    <w:rsid w:val="00AF21B1"/>
    <w:rsid w:val="00AF22A5"/>
    <w:rsid w:val="00AF26E0"/>
    <w:rsid w:val="00AF282E"/>
    <w:rsid w:val="00AF2C9D"/>
    <w:rsid w:val="00AF38B6"/>
    <w:rsid w:val="00AF39A0"/>
    <w:rsid w:val="00AF3F8D"/>
    <w:rsid w:val="00AF4144"/>
    <w:rsid w:val="00AF426B"/>
    <w:rsid w:val="00AF47CC"/>
    <w:rsid w:val="00AF4F0F"/>
    <w:rsid w:val="00AF4FDE"/>
    <w:rsid w:val="00AF523F"/>
    <w:rsid w:val="00AF5310"/>
    <w:rsid w:val="00AF564B"/>
    <w:rsid w:val="00AF57E7"/>
    <w:rsid w:val="00AF5CBD"/>
    <w:rsid w:val="00AF5FB9"/>
    <w:rsid w:val="00AF6043"/>
    <w:rsid w:val="00AF614E"/>
    <w:rsid w:val="00AF6585"/>
    <w:rsid w:val="00AF6CD6"/>
    <w:rsid w:val="00AF6D1A"/>
    <w:rsid w:val="00AF6F94"/>
    <w:rsid w:val="00AF6F97"/>
    <w:rsid w:val="00AF7064"/>
    <w:rsid w:val="00AF70D2"/>
    <w:rsid w:val="00AF7114"/>
    <w:rsid w:val="00AF71CD"/>
    <w:rsid w:val="00AF73EC"/>
    <w:rsid w:val="00AF7DDE"/>
    <w:rsid w:val="00AF7E61"/>
    <w:rsid w:val="00B004E5"/>
    <w:rsid w:val="00B006A7"/>
    <w:rsid w:val="00B00884"/>
    <w:rsid w:val="00B009DC"/>
    <w:rsid w:val="00B01255"/>
    <w:rsid w:val="00B01371"/>
    <w:rsid w:val="00B01984"/>
    <w:rsid w:val="00B01A46"/>
    <w:rsid w:val="00B01D55"/>
    <w:rsid w:val="00B01F3C"/>
    <w:rsid w:val="00B02244"/>
    <w:rsid w:val="00B02301"/>
    <w:rsid w:val="00B02833"/>
    <w:rsid w:val="00B029C3"/>
    <w:rsid w:val="00B02A14"/>
    <w:rsid w:val="00B02EDC"/>
    <w:rsid w:val="00B02F14"/>
    <w:rsid w:val="00B0358E"/>
    <w:rsid w:val="00B038F2"/>
    <w:rsid w:val="00B04B53"/>
    <w:rsid w:val="00B04C06"/>
    <w:rsid w:val="00B053BE"/>
    <w:rsid w:val="00B05759"/>
    <w:rsid w:val="00B05B5B"/>
    <w:rsid w:val="00B06694"/>
    <w:rsid w:val="00B06DDD"/>
    <w:rsid w:val="00B075C0"/>
    <w:rsid w:val="00B07B7F"/>
    <w:rsid w:val="00B07DC3"/>
    <w:rsid w:val="00B07F98"/>
    <w:rsid w:val="00B10579"/>
    <w:rsid w:val="00B10790"/>
    <w:rsid w:val="00B1099E"/>
    <w:rsid w:val="00B1171E"/>
    <w:rsid w:val="00B11A72"/>
    <w:rsid w:val="00B11AD9"/>
    <w:rsid w:val="00B11EA1"/>
    <w:rsid w:val="00B120A2"/>
    <w:rsid w:val="00B12785"/>
    <w:rsid w:val="00B128E4"/>
    <w:rsid w:val="00B12BDE"/>
    <w:rsid w:val="00B13841"/>
    <w:rsid w:val="00B1392B"/>
    <w:rsid w:val="00B139E6"/>
    <w:rsid w:val="00B14D8E"/>
    <w:rsid w:val="00B14E89"/>
    <w:rsid w:val="00B14ED7"/>
    <w:rsid w:val="00B150E7"/>
    <w:rsid w:val="00B15189"/>
    <w:rsid w:val="00B155CF"/>
    <w:rsid w:val="00B156CC"/>
    <w:rsid w:val="00B16480"/>
    <w:rsid w:val="00B16E90"/>
    <w:rsid w:val="00B16FC6"/>
    <w:rsid w:val="00B1708F"/>
    <w:rsid w:val="00B17383"/>
    <w:rsid w:val="00B17497"/>
    <w:rsid w:val="00B17BB6"/>
    <w:rsid w:val="00B17C05"/>
    <w:rsid w:val="00B17DF5"/>
    <w:rsid w:val="00B17E92"/>
    <w:rsid w:val="00B2007B"/>
    <w:rsid w:val="00B20159"/>
    <w:rsid w:val="00B2032E"/>
    <w:rsid w:val="00B2035D"/>
    <w:rsid w:val="00B20382"/>
    <w:rsid w:val="00B20621"/>
    <w:rsid w:val="00B20C2B"/>
    <w:rsid w:val="00B20CE2"/>
    <w:rsid w:val="00B2132B"/>
    <w:rsid w:val="00B216FC"/>
    <w:rsid w:val="00B21943"/>
    <w:rsid w:val="00B21BD0"/>
    <w:rsid w:val="00B22027"/>
    <w:rsid w:val="00B22911"/>
    <w:rsid w:val="00B22BCA"/>
    <w:rsid w:val="00B23080"/>
    <w:rsid w:val="00B231F3"/>
    <w:rsid w:val="00B2339F"/>
    <w:rsid w:val="00B23707"/>
    <w:rsid w:val="00B23DA5"/>
    <w:rsid w:val="00B23DFD"/>
    <w:rsid w:val="00B24428"/>
    <w:rsid w:val="00B245C9"/>
    <w:rsid w:val="00B246CD"/>
    <w:rsid w:val="00B2472E"/>
    <w:rsid w:val="00B24995"/>
    <w:rsid w:val="00B24A19"/>
    <w:rsid w:val="00B24A34"/>
    <w:rsid w:val="00B2532A"/>
    <w:rsid w:val="00B25556"/>
    <w:rsid w:val="00B25668"/>
    <w:rsid w:val="00B2598C"/>
    <w:rsid w:val="00B25D8D"/>
    <w:rsid w:val="00B25F50"/>
    <w:rsid w:val="00B26193"/>
    <w:rsid w:val="00B26533"/>
    <w:rsid w:val="00B2697A"/>
    <w:rsid w:val="00B26E3C"/>
    <w:rsid w:val="00B27324"/>
    <w:rsid w:val="00B27406"/>
    <w:rsid w:val="00B27722"/>
    <w:rsid w:val="00B3005F"/>
    <w:rsid w:val="00B3051F"/>
    <w:rsid w:val="00B3052A"/>
    <w:rsid w:val="00B3094D"/>
    <w:rsid w:val="00B30A78"/>
    <w:rsid w:val="00B31395"/>
    <w:rsid w:val="00B31B46"/>
    <w:rsid w:val="00B31DF7"/>
    <w:rsid w:val="00B31F1A"/>
    <w:rsid w:val="00B31FDB"/>
    <w:rsid w:val="00B32CC7"/>
    <w:rsid w:val="00B331F0"/>
    <w:rsid w:val="00B333AE"/>
    <w:rsid w:val="00B33B36"/>
    <w:rsid w:val="00B34354"/>
    <w:rsid w:val="00B345FB"/>
    <w:rsid w:val="00B34D18"/>
    <w:rsid w:val="00B351AB"/>
    <w:rsid w:val="00B35A5E"/>
    <w:rsid w:val="00B35B3F"/>
    <w:rsid w:val="00B363A1"/>
    <w:rsid w:val="00B36DA5"/>
    <w:rsid w:val="00B3725D"/>
    <w:rsid w:val="00B37289"/>
    <w:rsid w:val="00B37384"/>
    <w:rsid w:val="00B3744A"/>
    <w:rsid w:val="00B37517"/>
    <w:rsid w:val="00B37973"/>
    <w:rsid w:val="00B410AD"/>
    <w:rsid w:val="00B41651"/>
    <w:rsid w:val="00B41763"/>
    <w:rsid w:val="00B41936"/>
    <w:rsid w:val="00B41B90"/>
    <w:rsid w:val="00B41D9B"/>
    <w:rsid w:val="00B41F2A"/>
    <w:rsid w:val="00B41F4A"/>
    <w:rsid w:val="00B42AD2"/>
    <w:rsid w:val="00B42BE6"/>
    <w:rsid w:val="00B430BB"/>
    <w:rsid w:val="00B437F2"/>
    <w:rsid w:val="00B43901"/>
    <w:rsid w:val="00B43B87"/>
    <w:rsid w:val="00B43F29"/>
    <w:rsid w:val="00B43F59"/>
    <w:rsid w:val="00B44406"/>
    <w:rsid w:val="00B45135"/>
    <w:rsid w:val="00B45288"/>
    <w:rsid w:val="00B45735"/>
    <w:rsid w:val="00B45A17"/>
    <w:rsid w:val="00B45AF0"/>
    <w:rsid w:val="00B46263"/>
    <w:rsid w:val="00B4685D"/>
    <w:rsid w:val="00B4693F"/>
    <w:rsid w:val="00B46D07"/>
    <w:rsid w:val="00B46EC3"/>
    <w:rsid w:val="00B4738A"/>
    <w:rsid w:val="00B47DA9"/>
    <w:rsid w:val="00B505EF"/>
    <w:rsid w:val="00B50844"/>
    <w:rsid w:val="00B51309"/>
    <w:rsid w:val="00B5131C"/>
    <w:rsid w:val="00B5160B"/>
    <w:rsid w:val="00B52670"/>
    <w:rsid w:val="00B53093"/>
    <w:rsid w:val="00B533BC"/>
    <w:rsid w:val="00B5347D"/>
    <w:rsid w:val="00B5374A"/>
    <w:rsid w:val="00B53A32"/>
    <w:rsid w:val="00B53C4B"/>
    <w:rsid w:val="00B53C6A"/>
    <w:rsid w:val="00B5402B"/>
    <w:rsid w:val="00B542D6"/>
    <w:rsid w:val="00B5493A"/>
    <w:rsid w:val="00B54D77"/>
    <w:rsid w:val="00B5548D"/>
    <w:rsid w:val="00B55528"/>
    <w:rsid w:val="00B5559D"/>
    <w:rsid w:val="00B55B63"/>
    <w:rsid w:val="00B55E4C"/>
    <w:rsid w:val="00B55E7F"/>
    <w:rsid w:val="00B561C1"/>
    <w:rsid w:val="00B56223"/>
    <w:rsid w:val="00B564AC"/>
    <w:rsid w:val="00B5787B"/>
    <w:rsid w:val="00B579DE"/>
    <w:rsid w:val="00B57BB7"/>
    <w:rsid w:val="00B57F3F"/>
    <w:rsid w:val="00B600FD"/>
    <w:rsid w:val="00B6093B"/>
    <w:rsid w:val="00B60CB6"/>
    <w:rsid w:val="00B60D16"/>
    <w:rsid w:val="00B60EE9"/>
    <w:rsid w:val="00B60F95"/>
    <w:rsid w:val="00B6105D"/>
    <w:rsid w:val="00B614B0"/>
    <w:rsid w:val="00B6150E"/>
    <w:rsid w:val="00B616DA"/>
    <w:rsid w:val="00B625A3"/>
    <w:rsid w:val="00B62650"/>
    <w:rsid w:val="00B62C9A"/>
    <w:rsid w:val="00B62D0D"/>
    <w:rsid w:val="00B62E91"/>
    <w:rsid w:val="00B6322D"/>
    <w:rsid w:val="00B63650"/>
    <w:rsid w:val="00B6392C"/>
    <w:rsid w:val="00B63B1B"/>
    <w:rsid w:val="00B63C13"/>
    <w:rsid w:val="00B63C85"/>
    <w:rsid w:val="00B6408C"/>
    <w:rsid w:val="00B645AB"/>
    <w:rsid w:val="00B64F68"/>
    <w:rsid w:val="00B65CB3"/>
    <w:rsid w:val="00B6635D"/>
    <w:rsid w:val="00B6677A"/>
    <w:rsid w:val="00B66C39"/>
    <w:rsid w:val="00B66E8C"/>
    <w:rsid w:val="00B67293"/>
    <w:rsid w:val="00B6740D"/>
    <w:rsid w:val="00B67574"/>
    <w:rsid w:val="00B678A9"/>
    <w:rsid w:val="00B678EF"/>
    <w:rsid w:val="00B678F3"/>
    <w:rsid w:val="00B67DDD"/>
    <w:rsid w:val="00B703DF"/>
    <w:rsid w:val="00B7085D"/>
    <w:rsid w:val="00B70C8E"/>
    <w:rsid w:val="00B70CAB"/>
    <w:rsid w:val="00B70FDD"/>
    <w:rsid w:val="00B71485"/>
    <w:rsid w:val="00B71519"/>
    <w:rsid w:val="00B71CEA"/>
    <w:rsid w:val="00B725C2"/>
    <w:rsid w:val="00B7268B"/>
    <w:rsid w:val="00B7299F"/>
    <w:rsid w:val="00B72BCD"/>
    <w:rsid w:val="00B72CCA"/>
    <w:rsid w:val="00B72FFA"/>
    <w:rsid w:val="00B73580"/>
    <w:rsid w:val="00B7459E"/>
    <w:rsid w:val="00B74A4D"/>
    <w:rsid w:val="00B75002"/>
    <w:rsid w:val="00B75567"/>
    <w:rsid w:val="00B75760"/>
    <w:rsid w:val="00B75A5B"/>
    <w:rsid w:val="00B75CAC"/>
    <w:rsid w:val="00B76023"/>
    <w:rsid w:val="00B7637C"/>
    <w:rsid w:val="00B768C2"/>
    <w:rsid w:val="00B76AEE"/>
    <w:rsid w:val="00B76B95"/>
    <w:rsid w:val="00B7701B"/>
    <w:rsid w:val="00B77470"/>
    <w:rsid w:val="00B77492"/>
    <w:rsid w:val="00B77497"/>
    <w:rsid w:val="00B801CD"/>
    <w:rsid w:val="00B8079D"/>
    <w:rsid w:val="00B80CE4"/>
    <w:rsid w:val="00B80E88"/>
    <w:rsid w:val="00B81691"/>
    <w:rsid w:val="00B818E1"/>
    <w:rsid w:val="00B81B63"/>
    <w:rsid w:val="00B81CD8"/>
    <w:rsid w:val="00B8200F"/>
    <w:rsid w:val="00B8212F"/>
    <w:rsid w:val="00B8240B"/>
    <w:rsid w:val="00B832CF"/>
    <w:rsid w:val="00B84A49"/>
    <w:rsid w:val="00B84A9C"/>
    <w:rsid w:val="00B84CA7"/>
    <w:rsid w:val="00B84FE6"/>
    <w:rsid w:val="00B86008"/>
    <w:rsid w:val="00B86C8E"/>
    <w:rsid w:val="00B86D8A"/>
    <w:rsid w:val="00B86FD3"/>
    <w:rsid w:val="00B87571"/>
    <w:rsid w:val="00B87927"/>
    <w:rsid w:val="00B87947"/>
    <w:rsid w:val="00B879DA"/>
    <w:rsid w:val="00B87B92"/>
    <w:rsid w:val="00B90186"/>
    <w:rsid w:val="00B902CD"/>
    <w:rsid w:val="00B90567"/>
    <w:rsid w:val="00B90619"/>
    <w:rsid w:val="00B90728"/>
    <w:rsid w:val="00B90B71"/>
    <w:rsid w:val="00B90E85"/>
    <w:rsid w:val="00B91090"/>
    <w:rsid w:val="00B91288"/>
    <w:rsid w:val="00B912AE"/>
    <w:rsid w:val="00B915B7"/>
    <w:rsid w:val="00B91642"/>
    <w:rsid w:val="00B91DA0"/>
    <w:rsid w:val="00B921E4"/>
    <w:rsid w:val="00B92495"/>
    <w:rsid w:val="00B93646"/>
    <w:rsid w:val="00B93C09"/>
    <w:rsid w:val="00B93C35"/>
    <w:rsid w:val="00B93CF6"/>
    <w:rsid w:val="00B93F65"/>
    <w:rsid w:val="00B943F7"/>
    <w:rsid w:val="00B94926"/>
    <w:rsid w:val="00B94D41"/>
    <w:rsid w:val="00B94E0B"/>
    <w:rsid w:val="00B94EA4"/>
    <w:rsid w:val="00B94F0C"/>
    <w:rsid w:val="00B95117"/>
    <w:rsid w:val="00B951D6"/>
    <w:rsid w:val="00B96FBC"/>
    <w:rsid w:val="00B979C0"/>
    <w:rsid w:val="00B97A68"/>
    <w:rsid w:val="00B97A92"/>
    <w:rsid w:val="00B97AF6"/>
    <w:rsid w:val="00B97FD0"/>
    <w:rsid w:val="00BA0369"/>
    <w:rsid w:val="00BA03EE"/>
    <w:rsid w:val="00BA06B6"/>
    <w:rsid w:val="00BA07C6"/>
    <w:rsid w:val="00BA07F1"/>
    <w:rsid w:val="00BA08E2"/>
    <w:rsid w:val="00BA1012"/>
    <w:rsid w:val="00BA13D5"/>
    <w:rsid w:val="00BA148B"/>
    <w:rsid w:val="00BA15DC"/>
    <w:rsid w:val="00BA1791"/>
    <w:rsid w:val="00BA1A70"/>
    <w:rsid w:val="00BA1F40"/>
    <w:rsid w:val="00BA2194"/>
    <w:rsid w:val="00BA2874"/>
    <w:rsid w:val="00BA2E53"/>
    <w:rsid w:val="00BA3F46"/>
    <w:rsid w:val="00BA4454"/>
    <w:rsid w:val="00BA4A01"/>
    <w:rsid w:val="00BA51F4"/>
    <w:rsid w:val="00BA5ADF"/>
    <w:rsid w:val="00BA5B4C"/>
    <w:rsid w:val="00BA645E"/>
    <w:rsid w:val="00BA6631"/>
    <w:rsid w:val="00BA6776"/>
    <w:rsid w:val="00BA6961"/>
    <w:rsid w:val="00BA731A"/>
    <w:rsid w:val="00BA751F"/>
    <w:rsid w:val="00BA7805"/>
    <w:rsid w:val="00BA78F8"/>
    <w:rsid w:val="00BA7B3A"/>
    <w:rsid w:val="00BA7DC3"/>
    <w:rsid w:val="00BB04B4"/>
    <w:rsid w:val="00BB0F63"/>
    <w:rsid w:val="00BB1219"/>
    <w:rsid w:val="00BB163A"/>
    <w:rsid w:val="00BB170F"/>
    <w:rsid w:val="00BB1898"/>
    <w:rsid w:val="00BB18CE"/>
    <w:rsid w:val="00BB1F29"/>
    <w:rsid w:val="00BB1FC0"/>
    <w:rsid w:val="00BB2240"/>
    <w:rsid w:val="00BB25EE"/>
    <w:rsid w:val="00BB28F2"/>
    <w:rsid w:val="00BB2A0C"/>
    <w:rsid w:val="00BB2ABC"/>
    <w:rsid w:val="00BB2B1A"/>
    <w:rsid w:val="00BB372C"/>
    <w:rsid w:val="00BB3E12"/>
    <w:rsid w:val="00BB4167"/>
    <w:rsid w:val="00BB42AA"/>
    <w:rsid w:val="00BB4B6F"/>
    <w:rsid w:val="00BB4BB1"/>
    <w:rsid w:val="00BB4CD6"/>
    <w:rsid w:val="00BB4FD4"/>
    <w:rsid w:val="00BB5A49"/>
    <w:rsid w:val="00BB5ED0"/>
    <w:rsid w:val="00BB645D"/>
    <w:rsid w:val="00BB696B"/>
    <w:rsid w:val="00BB6C22"/>
    <w:rsid w:val="00BB712B"/>
    <w:rsid w:val="00BB7215"/>
    <w:rsid w:val="00BB7248"/>
    <w:rsid w:val="00BB73E1"/>
    <w:rsid w:val="00BB7663"/>
    <w:rsid w:val="00BB77EB"/>
    <w:rsid w:val="00BB7D40"/>
    <w:rsid w:val="00BB7D41"/>
    <w:rsid w:val="00BB7EE8"/>
    <w:rsid w:val="00BC00E6"/>
    <w:rsid w:val="00BC03C3"/>
    <w:rsid w:val="00BC0A69"/>
    <w:rsid w:val="00BC0E52"/>
    <w:rsid w:val="00BC20B4"/>
    <w:rsid w:val="00BC22C1"/>
    <w:rsid w:val="00BC240D"/>
    <w:rsid w:val="00BC25C1"/>
    <w:rsid w:val="00BC2867"/>
    <w:rsid w:val="00BC2DFE"/>
    <w:rsid w:val="00BC2EA2"/>
    <w:rsid w:val="00BC3C84"/>
    <w:rsid w:val="00BC3E02"/>
    <w:rsid w:val="00BC3EE2"/>
    <w:rsid w:val="00BC415D"/>
    <w:rsid w:val="00BC41F2"/>
    <w:rsid w:val="00BC453C"/>
    <w:rsid w:val="00BC45E2"/>
    <w:rsid w:val="00BC46B2"/>
    <w:rsid w:val="00BC551E"/>
    <w:rsid w:val="00BC5788"/>
    <w:rsid w:val="00BC5A1C"/>
    <w:rsid w:val="00BC5BD6"/>
    <w:rsid w:val="00BC5E2A"/>
    <w:rsid w:val="00BC60DE"/>
    <w:rsid w:val="00BC6371"/>
    <w:rsid w:val="00BC6461"/>
    <w:rsid w:val="00BC6C6B"/>
    <w:rsid w:val="00BC700E"/>
    <w:rsid w:val="00BC70C8"/>
    <w:rsid w:val="00BC7161"/>
    <w:rsid w:val="00BC73FF"/>
    <w:rsid w:val="00BC78BB"/>
    <w:rsid w:val="00BC7A88"/>
    <w:rsid w:val="00BC7F5A"/>
    <w:rsid w:val="00BC7FB1"/>
    <w:rsid w:val="00BC7FD6"/>
    <w:rsid w:val="00BD039B"/>
    <w:rsid w:val="00BD0570"/>
    <w:rsid w:val="00BD0757"/>
    <w:rsid w:val="00BD087E"/>
    <w:rsid w:val="00BD0B0B"/>
    <w:rsid w:val="00BD0B2E"/>
    <w:rsid w:val="00BD0C91"/>
    <w:rsid w:val="00BD0C92"/>
    <w:rsid w:val="00BD1213"/>
    <w:rsid w:val="00BD13AF"/>
    <w:rsid w:val="00BD1402"/>
    <w:rsid w:val="00BD1710"/>
    <w:rsid w:val="00BD1C5F"/>
    <w:rsid w:val="00BD2A2C"/>
    <w:rsid w:val="00BD2D6F"/>
    <w:rsid w:val="00BD305B"/>
    <w:rsid w:val="00BD3361"/>
    <w:rsid w:val="00BD33BB"/>
    <w:rsid w:val="00BD34C9"/>
    <w:rsid w:val="00BD36E9"/>
    <w:rsid w:val="00BD3E7D"/>
    <w:rsid w:val="00BD43BC"/>
    <w:rsid w:val="00BD4540"/>
    <w:rsid w:val="00BD4796"/>
    <w:rsid w:val="00BD4BE2"/>
    <w:rsid w:val="00BD54DF"/>
    <w:rsid w:val="00BD5951"/>
    <w:rsid w:val="00BD59B8"/>
    <w:rsid w:val="00BD62CA"/>
    <w:rsid w:val="00BD65F7"/>
    <w:rsid w:val="00BD65F8"/>
    <w:rsid w:val="00BD69DE"/>
    <w:rsid w:val="00BD6C36"/>
    <w:rsid w:val="00BD6E2F"/>
    <w:rsid w:val="00BD7815"/>
    <w:rsid w:val="00BD78D1"/>
    <w:rsid w:val="00BD7E32"/>
    <w:rsid w:val="00BE02FD"/>
    <w:rsid w:val="00BE040F"/>
    <w:rsid w:val="00BE068D"/>
    <w:rsid w:val="00BE0A5D"/>
    <w:rsid w:val="00BE0CA8"/>
    <w:rsid w:val="00BE11FC"/>
    <w:rsid w:val="00BE1988"/>
    <w:rsid w:val="00BE1A23"/>
    <w:rsid w:val="00BE1AEC"/>
    <w:rsid w:val="00BE1D05"/>
    <w:rsid w:val="00BE1D9C"/>
    <w:rsid w:val="00BE1F94"/>
    <w:rsid w:val="00BE26C8"/>
    <w:rsid w:val="00BE2832"/>
    <w:rsid w:val="00BE36B9"/>
    <w:rsid w:val="00BE3A6A"/>
    <w:rsid w:val="00BE3CD1"/>
    <w:rsid w:val="00BE4143"/>
    <w:rsid w:val="00BE441D"/>
    <w:rsid w:val="00BE4680"/>
    <w:rsid w:val="00BE4872"/>
    <w:rsid w:val="00BE491C"/>
    <w:rsid w:val="00BE4E6C"/>
    <w:rsid w:val="00BE59FF"/>
    <w:rsid w:val="00BE60BD"/>
    <w:rsid w:val="00BE626A"/>
    <w:rsid w:val="00BE688B"/>
    <w:rsid w:val="00BE6894"/>
    <w:rsid w:val="00BE693A"/>
    <w:rsid w:val="00BE69C4"/>
    <w:rsid w:val="00BE6AC3"/>
    <w:rsid w:val="00BE6DAA"/>
    <w:rsid w:val="00BE6F72"/>
    <w:rsid w:val="00BE76D2"/>
    <w:rsid w:val="00BE7855"/>
    <w:rsid w:val="00BF00A1"/>
    <w:rsid w:val="00BF00C0"/>
    <w:rsid w:val="00BF0B68"/>
    <w:rsid w:val="00BF0C89"/>
    <w:rsid w:val="00BF0EF5"/>
    <w:rsid w:val="00BF1D92"/>
    <w:rsid w:val="00BF1E43"/>
    <w:rsid w:val="00BF1F5C"/>
    <w:rsid w:val="00BF2012"/>
    <w:rsid w:val="00BF231E"/>
    <w:rsid w:val="00BF2466"/>
    <w:rsid w:val="00BF3175"/>
    <w:rsid w:val="00BF396C"/>
    <w:rsid w:val="00BF3D39"/>
    <w:rsid w:val="00BF4096"/>
    <w:rsid w:val="00BF43B2"/>
    <w:rsid w:val="00BF4766"/>
    <w:rsid w:val="00BF50BC"/>
    <w:rsid w:val="00BF5383"/>
    <w:rsid w:val="00BF557D"/>
    <w:rsid w:val="00BF5795"/>
    <w:rsid w:val="00BF583F"/>
    <w:rsid w:val="00BF5E23"/>
    <w:rsid w:val="00BF612A"/>
    <w:rsid w:val="00BF636B"/>
    <w:rsid w:val="00BF65D6"/>
    <w:rsid w:val="00BF69C6"/>
    <w:rsid w:val="00BF6A06"/>
    <w:rsid w:val="00BF72EA"/>
    <w:rsid w:val="00BF7518"/>
    <w:rsid w:val="00BF764B"/>
    <w:rsid w:val="00BF7DBD"/>
    <w:rsid w:val="00BF7DBE"/>
    <w:rsid w:val="00C002EF"/>
    <w:rsid w:val="00C004FF"/>
    <w:rsid w:val="00C00537"/>
    <w:rsid w:val="00C00567"/>
    <w:rsid w:val="00C00C7E"/>
    <w:rsid w:val="00C00D78"/>
    <w:rsid w:val="00C01B11"/>
    <w:rsid w:val="00C0203D"/>
    <w:rsid w:val="00C02B8A"/>
    <w:rsid w:val="00C02CEC"/>
    <w:rsid w:val="00C02F1B"/>
    <w:rsid w:val="00C034F7"/>
    <w:rsid w:val="00C03C4B"/>
    <w:rsid w:val="00C03E3B"/>
    <w:rsid w:val="00C0415D"/>
    <w:rsid w:val="00C045E8"/>
    <w:rsid w:val="00C04682"/>
    <w:rsid w:val="00C04699"/>
    <w:rsid w:val="00C04C92"/>
    <w:rsid w:val="00C04CD7"/>
    <w:rsid w:val="00C05197"/>
    <w:rsid w:val="00C05646"/>
    <w:rsid w:val="00C05D09"/>
    <w:rsid w:val="00C05D2D"/>
    <w:rsid w:val="00C05EE4"/>
    <w:rsid w:val="00C060D7"/>
    <w:rsid w:val="00C067BD"/>
    <w:rsid w:val="00C06938"/>
    <w:rsid w:val="00C06B21"/>
    <w:rsid w:val="00C07854"/>
    <w:rsid w:val="00C07B4A"/>
    <w:rsid w:val="00C07BFC"/>
    <w:rsid w:val="00C07D88"/>
    <w:rsid w:val="00C07E65"/>
    <w:rsid w:val="00C07FA4"/>
    <w:rsid w:val="00C10140"/>
    <w:rsid w:val="00C10194"/>
    <w:rsid w:val="00C104B0"/>
    <w:rsid w:val="00C106BA"/>
    <w:rsid w:val="00C10B0B"/>
    <w:rsid w:val="00C11027"/>
    <w:rsid w:val="00C112FF"/>
    <w:rsid w:val="00C11605"/>
    <w:rsid w:val="00C11691"/>
    <w:rsid w:val="00C118AA"/>
    <w:rsid w:val="00C121B9"/>
    <w:rsid w:val="00C12A78"/>
    <w:rsid w:val="00C135DC"/>
    <w:rsid w:val="00C137F2"/>
    <w:rsid w:val="00C139E0"/>
    <w:rsid w:val="00C143FD"/>
    <w:rsid w:val="00C144CE"/>
    <w:rsid w:val="00C14952"/>
    <w:rsid w:val="00C14997"/>
    <w:rsid w:val="00C14ED2"/>
    <w:rsid w:val="00C155E7"/>
    <w:rsid w:val="00C159BC"/>
    <w:rsid w:val="00C159F7"/>
    <w:rsid w:val="00C165A2"/>
    <w:rsid w:val="00C1673D"/>
    <w:rsid w:val="00C16AF1"/>
    <w:rsid w:val="00C170DA"/>
    <w:rsid w:val="00C177A9"/>
    <w:rsid w:val="00C17916"/>
    <w:rsid w:val="00C20405"/>
    <w:rsid w:val="00C208E4"/>
    <w:rsid w:val="00C20C9B"/>
    <w:rsid w:val="00C20F51"/>
    <w:rsid w:val="00C21009"/>
    <w:rsid w:val="00C212F8"/>
    <w:rsid w:val="00C218F1"/>
    <w:rsid w:val="00C219E0"/>
    <w:rsid w:val="00C21C5C"/>
    <w:rsid w:val="00C223EF"/>
    <w:rsid w:val="00C226F2"/>
    <w:rsid w:val="00C22BAA"/>
    <w:rsid w:val="00C22CA1"/>
    <w:rsid w:val="00C22F72"/>
    <w:rsid w:val="00C243C9"/>
    <w:rsid w:val="00C24625"/>
    <w:rsid w:val="00C2477D"/>
    <w:rsid w:val="00C248B2"/>
    <w:rsid w:val="00C24BF2"/>
    <w:rsid w:val="00C25216"/>
    <w:rsid w:val="00C2537F"/>
    <w:rsid w:val="00C25806"/>
    <w:rsid w:val="00C25ABE"/>
    <w:rsid w:val="00C25AF3"/>
    <w:rsid w:val="00C25D1E"/>
    <w:rsid w:val="00C25D30"/>
    <w:rsid w:val="00C25E6B"/>
    <w:rsid w:val="00C26275"/>
    <w:rsid w:val="00C266D9"/>
    <w:rsid w:val="00C26701"/>
    <w:rsid w:val="00C26C6E"/>
    <w:rsid w:val="00C26D81"/>
    <w:rsid w:val="00C26DE6"/>
    <w:rsid w:val="00C27450"/>
    <w:rsid w:val="00C27503"/>
    <w:rsid w:val="00C27565"/>
    <w:rsid w:val="00C27BAE"/>
    <w:rsid w:val="00C27F2C"/>
    <w:rsid w:val="00C30B59"/>
    <w:rsid w:val="00C30F19"/>
    <w:rsid w:val="00C31B84"/>
    <w:rsid w:val="00C31F7D"/>
    <w:rsid w:val="00C320A1"/>
    <w:rsid w:val="00C323A1"/>
    <w:rsid w:val="00C3259E"/>
    <w:rsid w:val="00C3268C"/>
    <w:rsid w:val="00C32FD7"/>
    <w:rsid w:val="00C330BC"/>
    <w:rsid w:val="00C33299"/>
    <w:rsid w:val="00C3335E"/>
    <w:rsid w:val="00C3351D"/>
    <w:rsid w:val="00C33D1E"/>
    <w:rsid w:val="00C33E95"/>
    <w:rsid w:val="00C34017"/>
    <w:rsid w:val="00C3430F"/>
    <w:rsid w:val="00C34748"/>
    <w:rsid w:val="00C347FD"/>
    <w:rsid w:val="00C34CD4"/>
    <w:rsid w:val="00C34D9A"/>
    <w:rsid w:val="00C3502B"/>
    <w:rsid w:val="00C3573A"/>
    <w:rsid w:val="00C35B4B"/>
    <w:rsid w:val="00C35BAA"/>
    <w:rsid w:val="00C3722F"/>
    <w:rsid w:val="00C3724D"/>
    <w:rsid w:val="00C37D71"/>
    <w:rsid w:val="00C40311"/>
    <w:rsid w:val="00C40A20"/>
    <w:rsid w:val="00C40DC0"/>
    <w:rsid w:val="00C4161B"/>
    <w:rsid w:val="00C417F4"/>
    <w:rsid w:val="00C41CA1"/>
    <w:rsid w:val="00C41E2B"/>
    <w:rsid w:val="00C421B7"/>
    <w:rsid w:val="00C42700"/>
    <w:rsid w:val="00C429E5"/>
    <w:rsid w:val="00C42B97"/>
    <w:rsid w:val="00C42CC3"/>
    <w:rsid w:val="00C43673"/>
    <w:rsid w:val="00C43A25"/>
    <w:rsid w:val="00C43BD3"/>
    <w:rsid w:val="00C43D4E"/>
    <w:rsid w:val="00C4504F"/>
    <w:rsid w:val="00C4520C"/>
    <w:rsid w:val="00C453B7"/>
    <w:rsid w:val="00C45733"/>
    <w:rsid w:val="00C4578B"/>
    <w:rsid w:val="00C457A1"/>
    <w:rsid w:val="00C45D35"/>
    <w:rsid w:val="00C4675F"/>
    <w:rsid w:val="00C46890"/>
    <w:rsid w:val="00C46C67"/>
    <w:rsid w:val="00C4700F"/>
    <w:rsid w:val="00C4757A"/>
    <w:rsid w:val="00C50948"/>
    <w:rsid w:val="00C51A78"/>
    <w:rsid w:val="00C51F35"/>
    <w:rsid w:val="00C529EA"/>
    <w:rsid w:val="00C52F23"/>
    <w:rsid w:val="00C54054"/>
    <w:rsid w:val="00C5428C"/>
    <w:rsid w:val="00C54412"/>
    <w:rsid w:val="00C54546"/>
    <w:rsid w:val="00C545A1"/>
    <w:rsid w:val="00C545B1"/>
    <w:rsid w:val="00C54A63"/>
    <w:rsid w:val="00C54C85"/>
    <w:rsid w:val="00C550E6"/>
    <w:rsid w:val="00C5557F"/>
    <w:rsid w:val="00C5590F"/>
    <w:rsid w:val="00C56D3D"/>
    <w:rsid w:val="00C56FCA"/>
    <w:rsid w:val="00C5703C"/>
    <w:rsid w:val="00C57382"/>
    <w:rsid w:val="00C57EA7"/>
    <w:rsid w:val="00C602B1"/>
    <w:rsid w:val="00C6043A"/>
    <w:rsid w:val="00C60F05"/>
    <w:rsid w:val="00C6120C"/>
    <w:rsid w:val="00C61417"/>
    <w:rsid w:val="00C61465"/>
    <w:rsid w:val="00C61600"/>
    <w:rsid w:val="00C61E26"/>
    <w:rsid w:val="00C61FEE"/>
    <w:rsid w:val="00C62041"/>
    <w:rsid w:val="00C621F0"/>
    <w:rsid w:val="00C62398"/>
    <w:rsid w:val="00C623FC"/>
    <w:rsid w:val="00C626CA"/>
    <w:rsid w:val="00C629FC"/>
    <w:rsid w:val="00C62A29"/>
    <w:rsid w:val="00C62D30"/>
    <w:rsid w:val="00C62D7E"/>
    <w:rsid w:val="00C632BF"/>
    <w:rsid w:val="00C63558"/>
    <w:rsid w:val="00C63807"/>
    <w:rsid w:val="00C63F73"/>
    <w:rsid w:val="00C64025"/>
    <w:rsid w:val="00C647AA"/>
    <w:rsid w:val="00C64C3B"/>
    <w:rsid w:val="00C64C50"/>
    <w:rsid w:val="00C64E0E"/>
    <w:rsid w:val="00C6527C"/>
    <w:rsid w:val="00C654FF"/>
    <w:rsid w:val="00C6581C"/>
    <w:rsid w:val="00C6589C"/>
    <w:rsid w:val="00C65DE7"/>
    <w:rsid w:val="00C65F1D"/>
    <w:rsid w:val="00C65FD7"/>
    <w:rsid w:val="00C67175"/>
    <w:rsid w:val="00C676DA"/>
    <w:rsid w:val="00C67CE2"/>
    <w:rsid w:val="00C67ECF"/>
    <w:rsid w:val="00C67F0D"/>
    <w:rsid w:val="00C70720"/>
    <w:rsid w:val="00C70721"/>
    <w:rsid w:val="00C70B95"/>
    <w:rsid w:val="00C7128A"/>
    <w:rsid w:val="00C71614"/>
    <w:rsid w:val="00C7167C"/>
    <w:rsid w:val="00C71869"/>
    <w:rsid w:val="00C71D5F"/>
    <w:rsid w:val="00C71DA8"/>
    <w:rsid w:val="00C72926"/>
    <w:rsid w:val="00C72D98"/>
    <w:rsid w:val="00C72D9D"/>
    <w:rsid w:val="00C7308E"/>
    <w:rsid w:val="00C737E4"/>
    <w:rsid w:val="00C73993"/>
    <w:rsid w:val="00C73A75"/>
    <w:rsid w:val="00C73BEB"/>
    <w:rsid w:val="00C73FC0"/>
    <w:rsid w:val="00C743C9"/>
    <w:rsid w:val="00C747CB"/>
    <w:rsid w:val="00C74E9D"/>
    <w:rsid w:val="00C75A5B"/>
    <w:rsid w:val="00C75AD6"/>
    <w:rsid w:val="00C75C44"/>
    <w:rsid w:val="00C75FC6"/>
    <w:rsid w:val="00C76725"/>
    <w:rsid w:val="00C77431"/>
    <w:rsid w:val="00C7767E"/>
    <w:rsid w:val="00C77AA3"/>
    <w:rsid w:val="00C77F68"/>
    <w:rsid w:val="00C80091"/>
    <w:rsid w:val="00C8043A"/>
    <w:rsid w:val="00C804B3"/>
    <w:rsid w:val="00C8093E"/>
    <w:rsid w:val="00C80A45"/>
    <w:rsid w:val="00C80BCE"/>
    <w:rsid w:val="00C80CF3"/>
    <w:rsid w:val="00C80EC7"/>
    <w:rsid w:val="00C81621"/>
    <w:rsid w:val="00C81818"/>
    <w:rsid w:val="00C82316"/>
    <w:rsid w:val="00C824C8"/>
    <w:rsid w:val="00C825B4"/>
    <w:rsid w:val="00C82753"/>
    <w:rsid w:val="00C82D35"/>
    <w:rsid w:val="00C83028"/>
    <w:rsid w:val="00C83913"/>
    <w:rsid w:val="00C8397D"/>
    <w:rsid w:val="00C83A85"/>
    <w:rsid w:val="00C83DDA"/>
    <w:rsid w:val="00C847DB"/>
    <w:rsid w:val="00C84983"/>
    <w:rsid w:val="00C84EB6"/>
    <w:rsid w:val="00C84FD2"/>
    <w:rsid w:val="00C856C4"/>
    <w:rsid w:val="00C86748"/>
    <w:rsid w:val="00C86A79"/>
    <w:rsid w:val="00C86DE1"/>
    <w:rsid w:val="00C86F88"/>
    <w:rsid w:val="00C86FD6"/>
    <w:rsid w:val="00C8759D"/>
    <w:rsid w:val="00C87AD2"/>
    <w:rsid w:val="00C87AFC"/>
    <w:rsid w:val="00C90253"/>
    <w:rsid w:val="00C906B4"/>
    <w:rsid w:val="00C90964"/>
    <w:rsid w:val="00C90BCA"/>
    <w:rsid w:val="00C90C1D"/>
    <w:rsid w:val="00C90F9A"/>
    <w:rsid w:val="00C9122F"/>
    <w:rsid w:val="00C91449"/>
    <w:rsid w:val="00C91594"/>
    <w:rsid w:val="00C917AB"/>
    <w:rsid w:val="00C91B7E"/>
    <w:rsid w:val="00C91E9E"/>
    <w:rsid w:val="00C9212B"/>
    <w:rsid w:val="00C92299"/>
    <w:rsid w:val="00C92583"/>
    <w:rsid w:val="00C92E02"/>
    <w:rsid w:val="00C92F9D"/>
    <w:rsid w:val="00C93036"/>
    <w:rsid w:val="00C93C1D"/>
    <w:rsid w:val="00C93FFD"/>
    <w:rsid w:val="00C941C3"/>
    <w:rsid w:val="00C941FC"/>
    <w:rsid w:val="00C9421B"/>
    <w:rsid w:val="00C94F6E"/>
    <w:rsid w:val="00C95239"/>
    <w:rsid w:val="00C952B4"/>
    <w:rsid w:val="00C956B8"/>
    <w:rsid w:val="00C959B7"/>
    <w:rsid w:val="00C959E6"/>
    <w:rsid w:val="00C95F20"/>
    <w:rsid w:val="00C9697C"/>
    <w:rsid w:val="00C97752"/>
    <w:rsid w:val="00C9777E"/>
    <w:rsid w:val="00C97789"/>
    <w:rsid w:val="00C97EB3"/>
    <w:rsid w:val="00C97F25"/>
    <w:rsid w:val="00C97F98"/>
    <w:rsid w:val="00CA0306"/>
    <w:rsid w:val="00CA090F"/>
    <w:rsid w:val="00CA0AA2"/>
    <w:rsid w:val="00CA15B4"/>
    <w:rsid w:val="00CA1A5B"/>
    <w:rsid w:val="00CA1C0F"/>
    <w:rsid w:val="00CA214C"/>
    <w:rsid w:val="00CA246D"/>
    <w:rsid w:val="00CA2678"/>
    <w:rsid w:val="00CA2ED0"/>
    <w:rsid w:val="00CA3060"/>
    <w:rsid w:val="00CA3309"/>
    <w:rsid w:val="00CA361E"/>
    <w:rsid w:val="00CA3C32"/>
    <w:rsid w:val="00CA3FC2"/>
    <w:rsid w:val="00CA435B"/>
    <w:rsid w:val="00CA4573"/>
    <w:rsid w:val="00CA4583"/>
    <w:rsid w:val="00CA46CB"/>
    <w:rsid w:val="00CA4968"/>
    <w:rsid w:val="00CA49C1"/>
    <w:rsid w:val="00CA4F89"/>
    <w:rsid w:val="00CA5ECB"/>
    <w:rsid w:val="00CA5FED"/>
    <w:rsid w:val="00CA6557"/>
    <w:rsid w:val="00CA695B"/>
    <w:rsid w:val="00CA69D1"/>
    <w:rsid w:val="00CA6C15"/>
    <w:rsid w:val="00CA6F71"/>
    <w:rsid w:val="00CA6FE3"/>
    <w:rsid w:val="00CA71B9"/>
    <w:rsid w:val="00CA7959"/>
    <w:rsid w:val="00CB0616"/>
    <w:rsid w:val="00CB08C1"/>
    <w:rsid w:val="00CB0AB0"/>
    <w:rsid w:val="00CB1F7A"/>
    <w:rsid w:val="00CB1FF3"/>
    <w:rsid w:val="00CB22C6"/>
    <w:rsid w:val="00CB2330"/>
    <w:rsid w:val="00CB24AC"/>
    <w:rsid w:val="00CB259B"/>
    <w:rsid w:val="00CB26A9"/>
    <w:rsid w:val="00CB29D4"/>
    <w:rsid w:val="00CB2A88"/>
    <w:rsid w:val="00CB35DC"/>
    <w:rsid w:val="00CB3A6E"/>
    <w:rsid w:val="00CB3CA9"/>
    <w:rsid w:val="00CB447E"/>
    <w:rsid w:val="00CB494F"/>
    <w:rsid w:val="00CB4C3C"/>
    <w:rsid w:val="00CB4C64"/>
    <w:rsid w:val="00CB587D"/>
    <w:rsid w:val="00CB5EC0"/>
    <w:rsid w:val="00CB65B5"/>
    <w:rsid w:val="00CB66B2"/>
    <w:rsid w:val="00CB6A28"/>
    <w:rsid w:val="00CB70E4"/>
    <w:rsid w:val="00CB736C"/>
    <w:rsid w:val="00CB73C8"/>
    <w:rsid w:val="00CB74BA"/>
    <w:rsid w:val="00CB76F6"/>
    <w:rsid w:val="00CB7E30"/>
    <w:rsid w:val="00CB7F5D"/>
    <w:rsid w:val="00CC03DE"/>
    <w:rsid w:val="00CC04F1"/>
    <w:rsid w:val="00CC07E7"/>
    <w:rsid w:val="00CC0810"/>
    <w:rsid w:val="00CC1C4D"/>
    <w:rsid w:val="00CC1FCE"/>
    <w:rsid w:val="00CC2143"/>
    <w:rsid w:val="00CC282F"/>
    <w:rsid w:val="00CC2C84"/>
    <w:rsid w:val="00CC2E02"/>
    <w:rsid w:val="00CC3A40"/>
    <w:rsid w:val="00CC3AEB"/>
    <w:rsid w:val="00CC46F3"/>
    <w:rsid w:val="00CC476F"/>
    <w:rsid w:val="00CC4994"/>
    <w:rsid w:val="00CC4E4F"/>
    <w:rsid w:val="00CC54C7"/>
    <w:rsid w:val="00CC57F4"/>
    <w:rsid w:val="00CC5902"/>
    <w:rsid w:val="00CC597B"/>
    <w:rsid w:val="00CC5C7C"/>
    <w:rsid w:val="00CC5CB4"/>
    <w:rsid w:val="00CC6BAF"/>
    <w:rsid w:val="00CC6C46"/>
    <w:rsid w:val="00CC6CE6"/>
    <w:rsid w:val="00CC6E18"/>
    <w:rsid w:val="00CC6F08"/>
    <w:rsid w:val="00CC7120"/>
    <w:rsid w:val="00CC73BD"/>
    <w:rsid w:val="00CC740B"/>
    <w:rsid w:val="00CC75BD"/>
    <w:rsid w:val="00CC7846"/>
    <w:rsid w:val="00CD0406"/>
    <w:rsid w:val="00CD06F4"/>
    <w:rsid w:val="00CD0821"/>
    <w:rsid w:val="00CD0C76"/>
    <w:rsid w:val="00CD0D95"/>
    <w:rsid w:val="00CD0F7E"/>
    <w:rsid w:val="00CD1B0E"/>
    <w:rsid w:val="00CD1E72"/>
    <w:rsid w:val="00CD251C"/>
    <w:rsid w:val="00CD257A"/>
    <w:rsid w:val="00CD2825"/>
    <w:rsid w:val="00CD308C"/>
    <w:rsid w:val="00CD3BB5"/>
    <w:rsid w:val="00CD416D"/>
    <w:rsid w:val="00CD4425"/>
    <w:rsid w:val="00CD44D3"/>
    <w:rsid w:val="00CD46BA"/>
    <w:rsid w:val="00CD4E96"/>
    <w:rsid w:val="00CD5019"/>
    <w:rsid w:val="00CD52C7"/>
    <w:rsid w:val="00CD59E9"/>
    <w:rsid w:val="00CD5CED"/>
    <w:rsid w:val="00CD6122"/>
    <w:rsid w:val="00CD61BD"/>
    <w:rsid w:val="00CD6CFF"/>
    <w:rsid w:val="00CD6E3F"/>
    <w:rsid w:val="00CD70B2"/>
    <w:rsid w:val="00CD7520"/>
    <w:rsid w:val="00CD76A0"/>
    <w:rsid w:val="00CD785A"/>
    <w:rsid w:val="00CD7AD4"/>
    <w:rsid w:val="00CD7B1F"/>
    <w:rsid w:val="00CD7EFB"/>
    <w:rsid w:val="00CE00A2"/>
    <w:rsid w:val="00CE0739"/>
    <w:rsid w:val="00CE09CC"/>
    <w:rsid w:val="00CE17B5"/>
    <w:rsid w:val="00CE1AE7"/>
    <w:rsid w:val="00CE1C72"/>
    <w:rsid w:val="00CE1E0F"/>
    <w:rsid w:val="00CE1ED5"/>
    <w:rsid w:val="00CE2040"/>
    <w:rsid w:val="00CE216D"/>
    <w:rsid w:val="00CE2AB6"/>
    <w:rsid w:val="00CE3C23"/>
    <w:rsid w:val="00CE403C"/>
    <w:rsid w:val="00CE4711"/>
    <w:rsid w:val="00CE4C36"/>
    <w:rsid w:val="00CE4E54"/>
    <w:rsid w:val="00CE4F4B"/>
    <w:rsid w:val="00CE550C"/>
    <w:rsid w:val="00CE55BE"/>
    <w:rsid w:val="00CE62A0"/>
    <w:rsid w:val="00CE64E4"/>
    <w:rsid w:val="00CE65D5"/>
    <w:rsid w:val="00CE6F12"/>
    <w:rsid w:val="00CE7615"/>
    <w:rsid w:val="00CE779E"/>
    <w:rsid w:val="00CF0679"/>
    <w:rsid w:val="00CF16E3"/>
    <w:rsid w:val="00CF1A34"/>
    <w:rsid w:val="00CF1FA0"/>
    <w:rsid w:val="00CF224C"/>
    <w:rsid w:val="00CF22DE"/>
    <w:rsid w:val="00CF24F5"/>
    <w:rsid w:val="00CF2689"/>
    <w:rsid w:val="00CF27FD"/>
    <w:rsid w:val="00CF2BCC"/>
    <w:rsid w:val="00CF2CB2"/>
    <w:rsid w:val="00CF2F46"/>
    <w:rsid w:val="00CF321F"/>
    <w:rsid w:val="00CF34C5"/>
    <w:rsid w:val="00CF35F6"/>
    <w:rsid w:val="00CF383B"/>
    <w:rsid w:val="00CF3E1C"/>
    <w:rsid w:val="00CF4569"/>
    <w:rsid w:val="00CF4B8F"/>
    <w:rsid w:val="00CF4EAD"/>
    <w:rsid w:val="00CF522B"/>
    <w:rsid w:val="00CF5D4A"/>
    <w:rsid w:val="00CF60DA"/>
    <w:rsid w:val="00CF6A3A"/>
    <w:rsid w:val="00CF7230"/>
    <w:rsid w:val="00CF7971"/>
    <w:rsid w:val="00CF7CBD"/>
    <w:rsid w:val="00D00135"/>
    <w:rsid w:val="00D002D3"/>
    <w:rsid w:val="00D00804"/>
    <w:rsid w:val="00D00981"/>
    <w:rsid w:val="00D00DC3"/>
    <w:rsid w:val="00D01256"/>
    <w:rsid w:val="00D019D5"/>
    <w:rsid w:val="00D01D27"/>
    <w:rsid w:val="00D01FE0"/>
    <w:rsid w:val="00D022A3"/>
    <w:rsid w:val="00D02912"/>
    <w:rsid w:val="00D02966"/>
    <w:rsid w:val="00D02D27"/>
    <w:rsid w:val="00D02EEF"/>
    <w:rsid w:val="00D03924"/>
    <w:rsid w:val="00D03B54"/>
    <w:rsid w:val="00D0425A"/>
    <w:rsid w:val="00D04356"/>
    <w:rsid w:val="00D043A8"/>
    <w:rsid w:val="00D048E8"/>
    <w:rsid w:val="00D04BEF"/>
    <w:rsid w:val="00D04DA6"/>
    <w:rsid w:val="00D050FE"/>
    <w:rsid w:val="00D05131"/>
    <w:rsid w:val="00D05457"/>
    <w:rsid w:val="00D05920"/>
    <w:rsid w:val="00D059E2"/>
    <w:rsid w:val="00D05ACC"/>
    <w:rsid w:val="00D05B33"/>
    <w:rsid w:val="00D05CA8"/>
    <w:rsid w:val="00D05DB1"/>
    <w:rsid w:val="00D060EC"/>
    <w:rsid w:val="00D0613D"/>
    <w:rsid w:val="00D0676E"/>
    <w:rsid w:val="00D06957"/>
    <w:rsid w:val="00D069BE"/>
    <w:rsid w:val="00D0705E"/>
    <w:rsid w:val="00D077AE"/>
    <w:rsid w:val="00D07866"/>
    <w:rsid w:val="00D07FC5"/>
    <w:rsid w:val="00D1014F"/>
    <w:rsid w:val="00D109CF"/>
    <w:rsid w:val="00D10B4A"/>
    <w:rsid w:val="00D10E6A"/>
    <w:rsid w:val="00D10FAA"/>
    <w:rsid w:val="00D1105F"/>
    <w:rsid w:val="00D1110C"/>
    <w:rsid w:val="00D115A4"/>
    <w:rsid w:val="00D119D2"/>
    <w:rsid w:val="00D11A56"/>
    <w:rsid w:val="00D11DE7"/>
    <w:rsid w:val="00D11E3B"/>
    <w:rsid w:val="00D11F8F"/>
    <w:rsid w:val="00D1243F"/>
    <w:rsid w:val="00D127E3"/>
    <w:rsid w:val="00D12F99"/>
    <w:rsid w:val="00D131A5"/>
    <w:rsid w:val="00D142FD"/>
    <w:rsid w:val="00D1438F"/>
    <w:rsid w:val="00D145D8"/>
    <w:rsid w:val="00D1487F"/>
    <w:rsid w:val="00D149B8"/>
    <w:rsid w:val="00D14C09"/>
    <w:rsid w:val="00D14D0E"/>
    <w:rsid w:val="00D14E23"/>
    <w:rsid w:val="00D15154"/>
    <w:rsid w:val="00D152ED"/>
    <w:rsid w:val="00D1581C"/>
    <w:rsid w:val="00D159E0"/>
    <w:rsid w:val="00D15B15"/>
    <w:rsid w:val="00D16450"/>
    <w:rsid w:val="00D16506"/>
    <w:rsid w:val="00D16906"/>
    <w:rsid w:val="00D16F07"/>
    <w:rsid w:val="00D16F66"/>
    <w:rsid w:val="00D17094"/>
    <w:rsid w:val="00D17683"/>
    <w:rsid w:val="00D17BA2"/>
    <w:rsid w:val="00D20170"/>
    <w:rsid w:val="00D201BF"/>
    <w:rsid w:val="00D20251"/>
    <w:rsid w:val="00D20A31"/>
    <w:rsid w:val="00D20F14"/>
    <w:rsid w:val="00D21498"/>
    <w:rsid w:val="00D2192D"/>
    <w:rsid w:val="00D2195B"/>
    <w:rsid w:val="00D21E6D"/>
    <w:rsid w:val="00D21FD2"/>
    <w:rsid w:val="00D220E5"/>
    <w:rsid w:val="00D22460"/>
    <w:rsid w:val="00D22721"/>
    <w:rsid w:val="00D228CD"/>
    <w:rsid w:val="00D22FE7"/>
    <w:rsid w:val="00D23249"/>
    <w:rsid w:val="00D238ED"/>
    <w:rsid w:val="00D23CE4"/>
    <w:rsid w:val="00D23DA1"/>
    <w:rsid w:val="00D23E9C"/>
    <w:rsid w:val="00D24269"/>
    <w:rsid w:val="00D24387"/>
    <w:rsid w:val="00D24648"/>
    <w:rsid w:val="00D24779"/>
    <w:rsid w:val="00D24853"/>
    <w:rsid w:val="00D249F8"/>
    <w:rsid w:val="00D24B1B"/>
    <w:rsid w:val="00D24D1E"/>
    <w:rsid w:val="00D24DA7"/>
    <w:rsid w:val="00D24DEA"/>
    <w:rsid w:val="00D250E5"/>
    <w:rsid w:val="00D25337"/>
    <w:rsid w:val="00D2571F"/>
    <w:rsid w:val="00D25A3D"/>
    <w:rsid w:val="00D25BAE"/>
    <w:rsid w:val="00D25C11"/>
    <w:rsid w:val="00D2645A"/>
    <w:rsid w:val="00D26619"/>
    <w:rsid w:val="00D266A3"/>
    <w:rsid w:val="00D26760"/>
    <w:rsid w:val="00D26CB0"/>
    <w:rsid w:val="00D26D4C"/>
    <w:rsid w:val="00D273A8"/>
    <w:rsid w:val="00D27600"/>
    <w:rsid w:val="00D27740"/>
    <w:rsid w:val="00D27C0B"/>
    <w:rsid w:val="00D27C64"/>
    <w:rsid w:val="00D30B0C"/>
    <w:rsid w:val="00D30C12"/>
    <w:rsid w:val="00D30C5D"/>
    <w:rsid w:val="00D30FF4"/>
    <w:rsid w:val="00D311BB"/>
    <w:rsid w:val="00D3176C"/>
    <w:rsid w:val="00D318D0"/>
    <w:rsid w:val="00D31D9B"/>
    <w:rsid w:val="00D32290"/>
    <w:rsid w:val="00D32570"/>
    <w:rsid w:val="00D325E7"/>
    <w:rsid w:val="00D32D0A"/>
    <w:rsid w:val="00D330F3"/>
    <w:rsid w:val="00D335BF"/>
    <w:rsid w:val="00D33B4B"/>
    <w:rsid w:val="00D34109"/>
    <w:rsid w:val="00D3436D"/>
    <w:rsid w:val="00D34990"/>
    <w:rsid w:val="00D34B71"/>
    <w:rsid w:val="00D34CAF"/>
    <w:rsid w:val="00D35234"/>
    <w:rsid w:val="00D3529A"/>
    <w:rsid w:val="00D35B80"/>
    <w:rsid w:val="00D36684"/>
    <w:rsid w:val="00D36ACF"/>
    <w:rsid w:val="00D37905"/>
    <w:rsid w:val="00D379C5"/>
    <w:rsid w:val="00D37BCF"/>
    <w:rsid w:val="00D4002D"/>
    <w:rsid w:val="00D400D5"/>
    <w:rsid w:val="00D401F9"/>
    <w:rsid w:val="00D40A79"/>
    <w:rsid w:val="00D40D10"/>
    <w:rsid w:val="00D41290"/>
    <w:rsid w:val="00D4178D"/>
    <w:rsid w:val="00D41AFE"/>
    <w:rsid w:val="00D41B5F"/>
    <w:rsid w:val="00D4254A"/>
    <w:rsid w:val="00D42DE1"/>
    <w:rsid w:val="00D43785"/>
    <w:rsid w:val="00D438E1"/>
    <w:rsid w:val="00D43AA4"/>
    <w:rsid w:val="00D43C5C"/>
    <w:rsid w:val="00D43DB5"/>
    <w:rsid w:val="00D43FBA"/>
    <w:rsid w:val="00D441A9"/>
    <w:rsid w:val="00D4448D"/>
    <w:rsid w:val="00D444D9"/>
    <w:rsid w:val="00D44673"/>
    <w:rsid w:val="00D4471F"/>
    <w:rsid w:val="00D44951"/>
    <w:rsid w:val="00D44BE5"/>
    <w:rsid w:val="00D44D4C"/>
    <w:rsid w:val="00D44EF8"/>
    <w:rsid w:val="00D44FB4"/>
    <w:rsid w:val="00D44FD1"/>
    <w:rsid w:val="00D45318"/>
    <w:rsid w:val="00D4562C"/>
    <w:rsid w:val="00D45788"/>
    <w:rsid w:val="00D45C95"/>
    <w:rsid w:val="00D45D92"/>
    <w:rsid w:val="00D45DCB"/>
    <w:rsid w:val="00D4645A"/>
    <w:rsid w:val="00D4708E"/>
    <w:rsid w:val="00D4716C"/>
    <w:rsid w:val="00D473C0"/>
    <w:rsid w:val="00D47D8A"/>
    <w:rsid w:val="00D47EA5"/>
    <w:rsid w:val="00D50437"/>
    <w:rsid w:val="00D50D9D"/>
    <w:rsid w:val="00D512C9"/>
    <w:rsid w:val="00D51393"/>
    <w:rsid w:val="00D513A3"/>
    <w:rsid w:val="00D5148E"/>
    <w:rsid w:val="00D5150A"/>
    <w:rsid w:val="00D51901"/>
    <w:rsid w:val="00D51C98"/>
    <w:rsid w:val="00D51DB3"/>
    <w:rsid w:val="00D52898"/>
    <w:rsid w:val="00D531F2"/>
    <w:rsid w:val="00D5325D"/>
    <w:rsid w:val="00D53955"/>
    <w:rsid w:val="00D53AF2"/>
    <w:rsid w:val="00D5430B"/>
    <w:rsid w:val="00D54474"/>
    <w:rsid w:val="00D545B5"/>
    <w:rsid w:val="00D54D42"/>
    <w:rsid w:val="00D54EA4"/>
    <w:rsid w:val="00D553DC"/>
    <w:rsid w:val="00D55CC2"/>
    <w:rsid w:val="00D56291"/>
    <w:rsid w:val="00D567AF"/>
    <w:rsid w:val="00D56ABA"/>
    <w:rsid w:val="00D56F09"/>
    <w:rsid w:val="00D56FB3"/>
    <w:rsid w:val="00D56FE7"/>
    <w:rsid w:val="00D579E4"/>
    <w:rsid w:val="00D57A19"/>
    <w:rsid w:val="00D57B10"/>
    <w:rsid w:val="00D57F62"/>
    <w:rsid w:val="00D6025F"/>
    <w:rsid w:val="00D60315"/>
    <w:rsid w:val="00D60B6D"/>
    <w:rsid w:val="00D60B79"/>
    <w:rsid w:val="00D60D0B"/>
    <w:rsid w:val="00D60D7E"/>
    <w:rsid w:val="00D60DD6"/>
    <w:rsid w:val="00D6119E"/>
    <w:rsid w:val="00D62409"/>
    <w:rsid w:val="00D62A8F"/>
    <w:rsid w:val="00D62CC4"/>
    <w:rsid w:val="00D63225"/>
    <w:rsid w:val="00D64373"/>
    <w:rsid w:val="00D643DE"/>
    <w:rsid w:val="00D64600"/>
    <w:rsid w:val="00D646CA"/>
    <w:rsid w:val="00D65127"/>
    <w:rsid w:val="00D65326"/>
    <w:rsid w:val="00D653B8"/>
    <w:rsid w:val="00D654D1"/>
    <w:rsid w:val="00D6635B"/>
    <w:rsid w:val="00D666AD"/>
    <w:rsid w:val="00D66800"/>
    <w:rsid w:val="00D676D5"/>
    <w:rsid w:val="00D6773A"/>
    <w:rsid w:val="00D679C2"/>
    <w:rsid w:val="00D67C7A"/>
    <w:rsid w:val="00D67DD2"/>
    <w:rsid w:val="00D67E3C"/>
    <w:rsid w:val="00D712A2"/>
    <w:rsid w:val="00D7134E"/>
    <w:rsid w:val="00D715C4"/>
    <w:rsid w:val="00D71817"/>
    <w:rsid w:val="00D71D93"/>
    <w:rsid w:val="00D72055"/>
    <w:rsid w:val="00D72330"/>
    <w:rsid w:val="00D72788"/>
    <w:rsid w:val="00D7292C"/>
    <w:rsid w:val="00D72CDE"/>
    <w:rsid w:val="00D72D1E"/>
    <w:rsid w:val="00D72E9D"/>
    <w:rsid w:val="00D73808"/>
    <w:rsid w:val="00D738BD"/>
    <w:rsid w:val="00D73B19"/>
    <w:rsid w:val="00D73C41"/>
    <w:rsid w:val="00D73C5A"/>
    <w:rsid w:val="00D744D0"/>
    <w:rsid w:val="00D745B8"/>
    <w:rsid w:val="00D748CE"/>
    <w:rsid w:val="00D748FD"/>
    <w:rsid w:val="00D74E64"/>
    <w:rsid w:val="00D74FDB"/>
    <w:rsid w:val="00D750EF"/>
    <w:rsid w:val="00D75352"/>
    <w:rsid w:val="00D756BF"/>
    <w:rsid w:val="00D75856"/>
    <w:rsid w:val="00D758C2"/>
    <w:rsid w:val="00D75ACC"/>
    <w:rsid w:val="00D76113"/>
    <w:rsid w:val="00D770EB"/>
    <w:rsid w:val="00D77720"/>
    <w:rsid w:val="00D77984"/>
    <w:rsid w:val="00D77ED8"/>
    <w:rsid w:val="00D80E8D"/>
    <w:rsid w:val="00D815E9"/>
    <w:rsid w:val="00D819E6"/>
    <w:rsid w:val="00D819E8"/>
    <w:rsid w:val="00D81B8F"/>
    <w:rsid w:val="00D82200"/>
    <w:rsid w:val="00D8290A"/>
    <w:rsid w:val="00D82999"/>
    <w:rsid w:val="00D82A61"/>
    <w:rsid w:val="00D82F5A"/>
    <w:rsid w:val="00D83376"/>
    <w:rsid w:val="00D837DD"/>
    <w:rsid w:val="00D839C0"/>
    <w:rsid w:val="00D842AB"/>
    <w:rsid w:val="00D84385"/>
    <w:rsid w:val="00D84C1E"/>
    <w:rsid w:val="00D84E82"/>
    <w:rsid w:val="00D850C9"/>
    <w:rsid w:val="00D85280"/>
    <w:rsid w:val="00D85477"/>
    <w:rsid w:val="00D85C84"/>
    <w:rsid w:val="00D85D02"/>
    <w:rsid w:val="00D85D90"/>
    <w:rsid w:val="00D85D93"/>
    <w:rsid w:val="00D8612C"/>
    <w:rsid w:val="00D8727C"/>
    <w:rsid w:val="00D87501"/>
    <w:rsid w:val="00D87797"/>
    <w:rsid w:val="00D87FD0"/>
    <w:rsid w:val="00D9008F"/>
    <w:rsid w:val="00D90552"/>
    <w:rsid w:val="00D905E2"/>
    <w:rsid w:val="00D90B6B"/>
    <w:rsid w:val="00D91CB9"/>
    <w:rsid w:val="00D91DEE"/>
    <w:rsid w:val="00D924DD"/>
    <w:rsid w:val="00D9285C"/>
    <w:rsid w:val="00D92E47"/>
    <w:rsid w:val="00D92FD4"/>
    <w:rsid w:val="00D930D0"/>
    <w:rsid w:val="00D9329D"/>
    <w:rsid w:val="00D9348B"/>
    <w:rsid w:val="00D9482A"/>
    <w:rsid w:val="00D94A4C"/>
    <w:rsid w:val="00D94ADB"/>
    <w:rsid w:val="00D94E56"/>
    <w:rsid w:val="00D95775"/>
    <w:rsid w:val="00D9593F"/>
    <w:rsid w:val="00D96112"/>
    <w:rsid w:val="00D9659D"/>
    <w:rsid w:val="00D96A6A"/>
    <w:rsid w:val="00D96ACB"/>
    <w:rsid w:val="00D96FC9"/>
    <w:rsid w:val="00D9743A"/>
    <w:rsid w:val="00D977E3"/>
    <w:rsid w:val="00DA0430"/>
    <w:rsid w:val="00DA10E2"/>
    <w:rsid w:val="00DA1639"/>
    <w:rsid w:val="00DA16DD"/>
    <w:rsid w:val="00DA183E"/>
    <w:rsid w:val="00DA1C85"/>
    <w:rsid w:val="00DA1CD5"/>
    <w:rsid w:val="00DA1D27"/>
    <w:rsid w:val="00DA2D10"/>
    <w:rsid w:val="00DA3A14"/>
    <w:rsid w:val="00DA3D9E"/>
    <w:rsid w:val="00DA424A"/>
    <w:rsid w:val="00DA434D"/>
    <w:rsid w:val="00DA4567"/>
    <w:rsid w:val="00DA45CF"/>
    <w:rsid w:val="00DA4903"/>
    <w:rsid w:val="00DA4B92"/>
    <w:rsid w:val="00DA4E15"/>
    <w:rsid w:val="00DA5B0E"/>
    <w:rsid w:val="00DA6019"/>
    <w:rsid w:val="00DA625C"/>
    <w:rsid w:val="00DA6C44"/>
    <w:rsid w:val="00DA7477"/>
    <w:rsid w:val="00DA7772"/>
    <w:rsid w:val="00DA78C9"/>
    <w:rsid w:val="00DB00AF"/>
    <w:rsid w:val="00DB047E"/>
    <w:rsid w:val="00DB0991"/>
    <w:rsid w:val="00DB0E77"/>
    <w:rsid w:val="00DB0FBA"/>
    <w:rsid w:val="00DB10DF"/>
    <w:rsid w:val="00DB16C2"/>
    <w:rsid w:val="00DB19B1"/>
    <w:rsid w:val="00DB1B28"/>
    <w:rsid w:val="00DB2150"/>
    <w:rsid w:val="00DB2251"/>
    <w:rsid w:val="00DB2378"/>
    <w:rsid w:val="00DB2686"/>
    <w:rsid w:val="00DB2AF7"/>
    <w:rsid w:val="00DB3477"/>
    <w:rsid w:val="00DB3608"/>
    <w:rsid w:val="00DB363E"/>
    <w:rsid w:val="00DB37B7"/>
    <w:rsid w:val="00DB39A9"/>
    <w:rsid w:val="00DB407D"/>
    <w:rsid w:val="00DB43D2"/>
    <w:rsid w:val="00DB4563"/>
    <w:rsid w:val="00DB4EB7"/>
    <w:rsid w:val="00DB4F75"/>
    <w:rsid w:val="00DB537E"/>
    <w:rsid w:val="00DB577D"/>
    <w:rsid w:val="00DB5974"/>
    <w:rsid w:val="00DB5E73"/>
    <w:rsid w:val="00DB5EB7"/>
    <w:rsid w:val="00DB6FB2"/>
    <w:rsid w:val="00DB7104"/>
    <w:rsid w:val="00DB752B"/>
    <w:rsid w:val="00DB76A5"/>
    <w:rsid w:val="00DB7AA3"/>
    <w:rsid w:val="00DC00D1"/>
    <w:rsid w:val="00DC0B31"/>
    <w:rsid w:val="00DC1CCE"/>
    <w:rsid w:val="00DC1E02"/>
    <w:rsid w:val="00DC20F9"/>
    <w:rsid w:val="00DC2229"/>
    <w:rsid w:val="00DC2236"/>
    <w:rsid w:val="00DC288A"/>
    <w:rsid w:val="00DC299E"/>
    <w:rsid w:val="00DC2D9C"/>
    <w:rsid w:val="00DC3282"/>
    <w:rsid w:val="00DC3C82"/>
    <w:rsid w:val="00DC40BF"/>
    <w:rsid w:val="00DC4713"/>
    <w:rsid w:val="00DC4A12"/>
    <w:rsid w:val="00DC4C6B"/>
    <w:rsid w:val="00DC4EAE"/>
    <w:rsid w:val="00DC5449"/>
    <w:rsid w:val="00DC575D"/>
    <w:rsid w:val="00DC5960"/>
    <w:rsid w:val="00DC5D3E"/>
    <w:rsid w:val="00DC5E32"/>
    <w:rsid w:val="00DC5E56"/>
    <w:rsid w:val="00DC6147"/>
    <w:rsid w:val="00DC61E5"/>
    <w:rsid w:val="00DC6507"/>
    <w:rsid w:val="00DC6759"/>
    <w:rsid w:val="00DC69C1"/>
    <w:rsid w:val="00DC6EFF"/>
    <w:rsid w:val="00DC716A"/>
    <w:rsid w:val="00DC7991"/>
    <w:rsid w:val="00DC79AE"/>
    <w:rsid w:val="00DD012D"/>
    <w:rsid w:val="00DD020D"/>
    <w:rsid w:val="00DD037C"/>
    <w:rsid w:val="00DD06C0"/>
    <w:rsid w:val="00DD1399"/>
    <w:rsid w:val="00DD1499"/>
    <w:rsid w:val="00DD171B"/>
    <w:rsid w:val="00DD1767"/>
    <w:rsid w:val="00DD17E8"/>
    <w:rsid w:val="00DD19B2"/>
    <w:rsid w:val="00DD1BE4"/>
    <w:rsid w:val="00DD2336"/>
    <w:rsid w:val="00DD2391"/>
    <w:rsid w:val="00DD2B79"/>
    <w:rsid w:val="00DD2E11"/>
    <w:rsid w:val="00DD3AB8"/>
    <w:rsid w:val="00DD3BE8"/>
    <w:rsid w:val="00DD3FD3"/>
    <w:rsid w:val="00DD4949"/>
    <w:rsid w:val="00DD4B74"/>
    <w:rsid w:val="00DD4E58"/>
    <w:rsid w:val="00DD4F75"/>
    <w:rsid w:val="00DD5378"/>
    <w:rsid w:val="00DD5750"/>
    <w:rsid w:val="00DD57AF"/>
    <w:rsid w:val="00DD5DD9"/>
    <w:rsid w:val="00DD6540"/>
    <w:rsid w:val="00DD6A4F"/>
    <w:rsid w:val="00DD733C"/>
    <w:rsid w:val="00DD775F"/>
    <w:rsid w:val="00DD78E6"/>
    <w:rsid w:val="00DE00C6"/>
    <w:rsid w:val="00DE08F9"/>
    <w:rsid w:val="00DE0F37"/>
    <w:rsid w:val="00DE10D9"/>
    <w:rsid w:val="00DE160C"/>
    <w:rsid w:val="00DE182E"/>
    <w:rsid w:val="00DE1A62"/>
    <w:rsid w:val="00DE1A65"/>
    <w:rsid w:val="00DE1B01"/>
    <w:rsid w:val="00DE1B5A"/>
    <w:rsid w:val="00DE1FFC"/>
    <w:rsid w:val="00DE274D"/>
    <w:rsid w:val="00DE29CB"/>
    <w:rsid w:val="00DE2C25"/>
    <w:rsid w:val="00DE30FC"/>
    <w:rsid w:val="00DE3545"/>
    <w:rsid w:val="00DE35F5"/>
    <w:rsid w:val="00DE367D"/>
    <w:rsid w:val="00DE3714"/>
    <w:rsid w:val="00DE38EF"/>
    <w:rsid w:val="00DE3C71"/>
    <w:rsid w:val="00DE3F66"/>
    <w:rsid w:val="00DE40C6"/>
    <w:rsid w:val="00DE41B5"/>
    <w:rsid w:val="00DE425E"/>
    <w:rsid w:val="00DE4321"/>
    <w:rsid w:val="00DE499F"/>
    <w:rsid w:val="00DE5118"/>
    <w:rsid w:val="00DE5877"/>
    <w:rsid w:val="00DE5C9A"/>
    <w:rsid w:val="00DE5DB8"/>
    <w:rsid w:val="00DE633E"/>
    <w:rsid w:val="00DE6387"/>
    <w:rsid w:val="00DE6583"/>
    <w:rsid w:val="00DE68A3"/>
    <w:rsid w:val="00DE6B2D"/>
    <w:rsid w:val="00DE707D"/>
    <w:rsid w:val="00DE70BB"/>
    <w:rsid w:val="00DE777A"/>
    <w:rsid w:val="00DE79FD"/>
    <w:rsid w:val="00DE7DA3"/>
    <w:rsid w:val="00DF0098"/>
    <w:rsid w:val="00DF0310"/>
    <w:rsid w:val="00DF04D2"/>
    <w:rsid w:val="00DF0EE3"/>
    <w:rsid w:val="00DF10D0"/>
    <w:rsid w:val="00DF10F8"/>
    <w:rsid w:val="00DF153C"/>
    <w:rsid w:val="00DF15E8"/>
    <w:rsid w:val="00DF220B"/>
    <w:rsid w:val="00DF2279"/>
    <w:rsid w:val="00DF279F"/>
    <w:rsid w:val="00DF29F0"/>
    <w:rsid w:val="00DF2B7E"/>
    <w:rsid w:val="00DF2C78"/>
    <w:rsid w:val="00DF3252"/>
    <w:rsid w:val="00DF35F8"/>
    <w:rsid w:val="00DF36E8"/>
    <w:rsid w:val="00DF377B"/>
    <w:rsid w:val="00DF39D9"/>
    <w:rsid w:val="00DF4018"/>
    <w:rsid w:val="00DF4369"/>
    <w:rsid w:val="00DF4616"/>
    <w:rsid w:val="00DF478E"/>
    <w:rsid w:val="00DF4F31"/>
    <w:rsid w:val="00DF53DC"/>
    <w:rsid w:val="00DF55DB"/>
    <w:rsid w:val="00DF56D7"/>
    <w:rsid w:val="00DF571D"/>
    <w:rsid w:val="00DF5946"/>
    <w:rsid w:val="00DF5BF1"/>
    <w:rsid w:val="00DF606F"/>
    <w:rsid w:val="00DF64C8"/>
    <w:rsid w:val="00DF6931"/>
    <w:rsid w:val="00DF6AB9"/>
    <w:rsid w:val="00DF79A0"/>
    <w:rsid w:val="00DF7B2C"/>
    <w:rsid w:val="00DF7D22"/>
    <w:rsid w:val="00E0000F"/>
    <w:rsid w:val="00E0026F"/>
    <w:rsid w:val="00E00B1F"/>
    <w:rsid w:val="00E0103B"/>
    <w:rsid w:val="00E0155D"/>
    <w:rsid w:val="00E0209A"/>
    <w:rsid w:val="00E021A3"/>
    <w:rsid w:val="00E0250E"/>
    <w:rsid w:val="00E02AB2"/>
    <w:rsid w:val="00E02ED7"/>
    <w:rsid w:val="00E0319A"/>
    <w:rsid w:val="00E032DD"/>
    <w:rsid w:val="00E032E1"/>
    <w:rsid w:val="00E03927"/>
    <w:rsid w:val="00E041B3"/>
    <w:rsid w:val="00E0445C"/>
    <w:rsid w:val="00E04803"/>
    <w:rsid w:val="00E05115"/>
    <w:rsid w:val="00E0536D"/>
    <w:rsid w:val="00E057F5"/>
    <w:rsid w:val="00E05801"/>
    <w:rsid w:val="00E059E1"/>
    <w:rsid w:val="00E05FC4"/>
    <w:rsid w:val="00E0681A"/>
    <w:rsid w:val="00E06887"/>
    <w:rsid w:val="00E06BF1"/>
    <w:rsid w:val="00E06E63"/>
    <w:rsid w:val="00E0707A"/>
    <w:rsid w:val="00E072CF"/>
    <w:rsid w:val="00E07533"/>
    <w:rsid w:val="00E07544"/>
    <w:rsid w:val="00E07658"/>
    <w:rsid w:val="00E07717"/>
    <w:rsid w:val="00E07893"/>
    <w:rsid w:val="00E07AD4"/>
    <w:rsid w:val="00E1034B"/>
    <w:rsid w:val="00E106F1"/>
    <w:rsid w:val="00E109D3"/>
    <w:rsid w:val="00E111F5"/>
    <w:rsid w:val="00E11224"/>
    <w:rsid w:val="00E11BD9"/>
    <w:rsid w:val="00E11EAE"/>
    <w:rsid w:val="00E11F44"/>
    <w:rsid w:val="00E128DB"/>
    <w:rsid w:val="00E12F14"/>
    <w:rsid w:val="00E13185"/>
    <w:rsid w:val="00E132D7"/>
    <w:rsid w:val="00E1341E"/>
    <w:rsid w:val="00E13B9B"/>
    <w:rsid w:val="00E13CAE"/>
    <w:rsid w:val="00E13FC0"/>
    <w:rsid w:val="00E141A2"/>
    <w:rsid w:val="00E141E3"/>
    <w:rsid w:val="00E143B4"/>
    <w:rsid w:val="00E1453C"/>
    <w:rsid w:val="00E1461F"/>
    <w:rsid w:val="00E14656"/>
    <w:rsid w:val="00E147D0"/>
    <w:rsid w:val="00E14A6A"/>
    <w:rsid w:val="00E14C10"/>
    <w:rsid w:val="00E15413"/>
    <w:rsid w:val="00E154F7"/>
    <w:rsid w:val="00E1592B"/>
    <w:rsid w:val="00E15F9D"/>
    <w:rsid w:val="00E1606F"/>
    <w:rsid w:val="00E164DE"/>
    <w:rsid w:val="00E16B5E"/>
    <w:rsid w:val="00E16EF4"/>
    <w:rsid w:val="00E16F1F"/>
    <w:rsid w:val="00E16F37"/>
    <w:rsid w:val="00E17444"/>
    <w:rsid w:val="00E17938"/>
    <w:rsid w:val="00E17B09"/>
    <w:rsid w:val="00E17DB9"/>
    <w:rsid w:val="00E2083B"/>
    <w:rsid w:val="00E20D16"/>
    <w:rsid w:val="00E20EC6"/>
    <w:rsid w:val="00E20F03"/>
    <w:rsid w:val="00E2148C"/>
    <w:rsid w:val="00E21546"/>
    <w:rsid w:val="00E21FFC"/>
    <w:rsid w:val="00E224EC"/>
    <w:rsid w:val="00E2251B"/>
    <w:rsid w:val="00E2277F"/>
    <w:rsid w:val="00E22A42"/>
    <w:rsid w:val="00E22BCE"/>
    <w:rsid w:val="00E2350B"/>
    <w:rsid w:val="00E239CB"/>
    <w:rsid w:val="00E2406B"/>
    <w:rsid w:val="00E2466F"/>
    <w:rsid w:val="00E246A9"/>
    <w:rsid w:val="00E24A1E"/>
    <w:rsid w:val="00E255FB"/>
    <w:rsid w:val="00E25C38"/>
    <w:rsid w:val="00E264DE"/>
    <w:rsid w:val="00E26842"/>
    <w:rsid w:val="00E26A6B"/>
    <w:rsid w:val="00E27A6E"/>
    <w:rsid w:val="00E27DA6"/>
    <w:rsid w:val="00E30107"/>
    <w:rsid w:val="00E3034F"/>
    <w:rsid w:val="00E3063A"/>
    <w:rsid w:val="00E30671"/>
    <w:rsid w:val="00E30D2F"/>
    <w:rsid w:val="00E312E2"/>
    <w:rsid w:val="00E3133B"/>
    <w:rsid w:val="00E31708"/>
    <w:rsid w:val="00E31B06"/>
    <w:rsid w:val="00E31F53"/>
    <w:rsid w:val="00E32250"/>
    <w:rsid w:val="00E32304"/>
    <w:rsid w:val="00E32984"/>
    <w:rsid w:val="00E32ECD"/>
    <w:rsid w:val="00E33045"/>
    <w:rsid w:val="00E3343D"/>
    <w:rsid w:val="00E33A01"/>
    <w:rsid w:val="00E33B7F"/>
    <w:rsid w:val="00E342B6"/>
    <w:rsid w:val="00E34457"/>
    <w:rsid w:val="00E34B03"/>
    <w:rsid w:val="00E34B61"/>
    <w:rsid w:val="00E34CCF"/>
    <w:rsid w:val="00E3513B"/>
    <w:rsid w:val="00E351C4"/>
    <w:rsid w:val="00E35817"/>
    <w:rsid w:val="00E36031"/>
    <w:rsid w:val="00E360C4"/>
    <w:rsid w:val="00E36447"/>
    <w:rsid w:val="00E365AC"/>
    <w:rsid w:val="00E407B7"/>
    <w:rsid w:val="00E40A9D"/>
    <w:rsid w:val="00E40B41"/>
    <w:rsid w:val="00E40B6D"/>
    <w:rsid w:val="00E40DBE"/>
    <w:rsid w:val="00E41066"/>
    <w:rsid w:val="00E411D6"/>
    <w:rsid w:val="00E41271"/>
    <w:rsid w:val="00E41283"/>
    <w:rsid w:val="00E4144A"/>
    <w:rsid w:val="00E41B2D"/>
    <w:rsid w:val="00E41E65"/>
    <w:rsid w:val="00E42B22"/>
    <w:rsid w:val="00E42DBD"/>
    <w:rsid w:val="00E436EC"/>
    <w:rsid w:val="00E43890"/>
    <w:rsid w:val="00E43A48"/>
    <w:rsid w:val="00E441F3"/>
    <w:rsid w:val="00E447AC"/>
    <w:rsid w:val="00E451F1"/>
    <w:rsid w:val="00E45AD9"/>
    <w:rsid w:val="00E45CAA"/>
    <w:rsid w:val="00E461BE"/>
    <w:rsid w:val="00E46213"/>
    <w:rsid w:val="00E466CA"/>
    <w:rsid w:val="00E466F7"/>
    <w:rsid w:val="00E46857"/>
    <w:rsid w:val="00E46AFB"/>
    <w:rsid w:val="00E47F1D"/>
    <w:rsid w:val="00E50135"/>
    <w:rsid w:val="00E503FB"/>
    <w:rsid w:val="00E510AB"/>
    <w:rsid w:val="00E512D1"/>
    <w:rsid w:val="00E512F5"/>
    <w:rsid w:val="00E51AA5"/>
    <w:rsid w:val="00E51CC9"/>
    <w:rsid w:val="00E51ECF"/>
    <w:rsid w:val="00E51F05"/>
    <w:rsid w:val="00E520F5"/>
    <w:rsid w:val="00E52171"/>
    <w:rsid w:val="00E527E9"/>
    <w:rsid w:val="00E537BF"/>
    <w:rsid w:val="00E53BC0"/>
    <w:rsid w:val="00E5497D"/>
    <w:rsid w:val="00E54DE9"/>
    <w:rsid w:val="00E556FC"/>
    <w:rsid w:val="00E5582D"/>
    <w:rsid w:val="00E5589F"/>
    <w:rsid w:val="00E55940"/>
    <w:rsid w:val="00E55B53"/>
    <w:rsid w:val="00E56249"/>
    <w:rsid w:val="00E564D8"/>
    <w:rsid w:val="00E56728"/>
    <w:rsid w:val="00E56C73"/>
    <w:rsid w:val="00E56E99"/>
    <w:rsid w:val="00E570E2"/>
    <w:rsid w:val="00E5722A"/>
    <w:rsid w:val="00E5770E"/>
    <w:rsid w:val="00E57B09"/>
    <w:rsid w:val="00E57B4C"/>
    <w:rsid w:val="00E57BB6"/>
    <w:rsid w:val="00E57D5B"/>
    <w:rsid w:val="00E600BD"/>
    <w:rsid w:val="00E60868"/>
    <w:rsid w:val="00E60BCA"/>
    <w:rsid w:val="00E60D04"/>
    <w:rsid w:val="00E60D8D"/>
    <w:rsid w:val="00E61056"/>
    <w:rsid w:val="00E61382"/>
    <w:rsid w:val="00E61603"/>
    <w:rsid w:val="00E61692"/>
    <w:rsid w:val="00E619C4"/>
    <w:rsid w:val="00E61DE9"/>
    <w:rsid w:val="00E6224B"/>
    <w:rsid w:val="00E623B0"/>
    <w:rsid w:val="00E628FF"/>
    <w:rsid w:val="00E62F56"/>
    <w:rsid w:val="00E639FD"/>
    <w:rsid w:val="00E63FCC"/>
    <w:rsid w:val="00E647A1"/>
    <w:rsid w:val="00E64C24"/>
    <w:rsid w:val="00E65183"/>
    <w:rsid w:val="00E651F6"/>
    <w:rsid w:val="00E65295"/>
    <w:rsid w:val="00E65656"/>
    <w:rsid w:val="00E65886"/>
    <w:rsid w:val="00E65999"/>
    <w:rsid w:val="00E66020"/>
    <w:rsid w:val="00E6675F"/>
    <w:rsid w:val="00E6676D"/>
    <w:rsid w:val="00E66D65"/>
    <w:rsid w:val="00E67449"/>
    <w:rsid w:val="00E675F0"/>
    <w:rsid w:val="00E6791D"/>
    <w:rsid w:val="00E67B39"/>
    <w:rsid w:val="00E67CF2"/>
    <w:rsid w:val="00E67E20"/>
    <w:rsid w:val="00E700C7"/>
    <w:rsid w:val="00E70587"/>
    <w:rsid w:val="00E70647"/>
    <w:rsid w:val="00E70AC4"/>
    <w:rsid w:val="00E70AF1"/>
    <w:rsid w:val="00E710ED"/>
    <w:rsid w:val="00E716BA"/>
    <w:rsid w:val="00E71CA0"/>
    <w:rsid w:val="00E72410"/>
    <w:rsid w:val="00E729CE"/>
    <w:rsid w:val="00E72A7F"/>
    <w:rsid w:val="00E730BD"/>
    <w:rsid w:val="00E7314F"/>
    <w:rsid w:val="00E736AE"/>
    <w:rsid w:val="00E736CA"/>
    <w:rsid w:val="00E73A1D"/>
    <w:rsid w:val="00E73B21"/>
    <w:rsid w:val="00E73C16"/>
    <w:rsid w:val="00E73D75"/>
    <w:rsid w:val="00E742CE"/>
    <w:rsid w:val="00E7593D"/>
    <w:rsid w:val="00E766E7"/>
    <w:rsid w:val="00E769CE"/>
    <w:rsid w:val="00E76D02"/>
    <w:rsid w:val="00E76F27"/>
    <w:rsid w:val="00E76FC7"/>
    <w:rsid w:val="00E772BC"/>
    <w:rsid w:val="00E77555"/>
    <w:rsid w:val="00E8020C"/>
    <w:rsid w:val="00E805DD"/>
    <w:rsid w:val="00E80F04"/>
    <w:rsid w:val="00E811ED"/>
    <w:rsid w:val="00E8145B"/>
    <w:rsid w:val="00E8152E"/>
    <w:rsid w:val="00E81D8F"/>
    <w:rsid w:val="00E81EAB"/>
    <w:rsid w:val="00E820D5"/>
    <w:rsid w:val="00E82ED4"/>
    <w:rsid w:val="00E8343C"/>
    <w:rsid w:val="00E835B0"/>
    <w:rsid w:val="00E83607"/>
    <w:rsid w:val="00E837F9"/>
    <w:rsid w:val="00E83846"/>
    <w:rsid w:val="00E83959"/>
    <w:rsid w:val="00E83BA2"/>
    <w:rsid w:val="00E83BE9"/>
    <w:rsid w:val="00E83D3D"/>
    <w:rsid w:val="00E83E65"/>
    <w:rsid w:val="00E84179"/>
    <w:rsid w:val="00E841E4"/>
    <w:rsid w:val="00E845B7"/>
    <w:rsid w:val="00E84C0C"/>
    <w:rsid w:val="00E84FB5"/>
    <w:rsid w:val="00E85149"/>
    <w:rsid w:val="00E85173"/>
    <w:rsid w:val="00E85225"/>
    <w:rsid w:val="00E853D3"/>
    <w:rsid w:val="00E85E23"/>
    <w:rsid w:val="00E86081"/>
    <w:rsid w:val="00E8642B"/>
    <w:rsid w:val="00E86683"/>
    <w:rsid w:val="00E86A70"/>
    <w:rsid w:val="00E86FA4"/>
    <w:rsid w:val="00E86FF0"/>
    <w:rsid w:val="00E8704A"/>
    <w:rsid w:val="00E873C4"/>
    <w:rsid w:val="00E8760D"/>
    <w:rsid w:val="00E87635"/>
    <w:rsid w:val="00E87713"/>
    <w:rsid w:val="00E9007A"/>
    <w:rsid w:val="00E9007C"/>
    <w:rsid w:val="00E9054A"/>
    <w:rsid w:val="00E90B26"/>
    <w:rsid w:val="00E91000"/>
    <w:rsid w:val="00E915A6"/>
    <w:rsid w:val="00E91907"/>
    <w:rsid w:val="00E9208D"/>
    <w:rsid w:val="00E92834"/>
    <w:rsid w:val="00E92AED"/>
    <w:rsid w:val="00E92CB4"/>
    <w:rsid w:val="00E934EB"/>
    <w:rsid w:val="00E93C24"/>
    <w:rsid w:val="00E93DEC"/>
    <w:rsid w:val="00E942B3"/>
    <w:rsid w:val="00E944D0"/>
    <w:rsid w:val="00E9476A"/>
    <w:rsid w:val="00E947E9"/>
    <w:rsid w:val="00E94CE0"/>
    <w:rsid w:val="00E95159"/>
    <w:rsid w:val="00E952D1"/>
    <w:rsid w:val="00E95A6A"/>
    <w:rsid w:val="00E96013"/>
    <w:rsid w:val="00E96152"/>
    <w:rsid w:val="00E962E9"/>
    <w:rsid w:val="00E9658B"/>
    <w:rsid w:val="00E96A1A"/>
    <w:rsid w:val="00E96D4D"/>
    <w:rsid w:val="00E975D8"/>
    <w:rsid w:val="00E97FE9"/>
    <w:rsid w:val="00EA1072"/>
    <w:rsid w:val="00EA1212"/>
    <w:rsid w:val="00EA1263"/>
    <w:rsid w:val="00EA18D7"/>
    <w:rsid w:val="00EA1E7C"/>
    <w:rsid w:val="00EA234E"/>
    <w:rsid w:val="00EA2547"/>
    <w:rsid w:val="00EA2953"/>
    <w:rsid w:val="00EA2AB7"/>
    <w:rsid w:val="00EA2C23"/>
    <w:rsid w:val="00EA2C5A"/>
    <w:rsid w:val="00EA2C85"/>
    <w:rsid w:val="00EA3147"/>
    <w:rsid w:val="00EA31CB"/>
    <w:rsid w:val="00EA37EA"/>
    <w:rsid w:val="00EA3A68"/>
    <w:rsid w:val="00EA3C2A"/>
    <w:rsid w:val="00EA3C57"/>
    <w:rsid w:val="00EA3D85"/>
    <w:rsid w:val="00EA41D4"/>
    <w:rsid w:val="00EA4AAB"/>
    <w:rsid w:val="00EA5314"/>
    <w:rsid w:val="00EA5687"/>
    <w:rsid w:val="00EA5791"/>
    <w:rsid w:val="00EA5869"/>
    <w:rsid w:val="00EA5E0D"/>
    <w:rsid w:val="00EA5FAB"/>
    <w:rsid w:val="00EA670A"/>
    <w:rsid w:val="00EA6912"/>
    <w:rsid w:val="00EA6A54"/>
    <w:rsid w:val="00EA7558"/>
    <w:rsid w:val="00EA78EF"/>
    <w:rsid w:val="00EA7A42"/>
    <w:rsid w:val="00EA7B97"/>
    <w:rsid w:val="00EA7D3A"/>
    <w:rsid w:val="00EA7FC8"/>
    <w:rsid w:val="00EB0DCD"/>
    <w:rsid w:val="00EB1291"/>
    <w:rsid w:val="00EB155B"/>
    <w:rsid w:val="00EB1B28"/>
    <w:rsid w:val="00EB1F83"/>
    <w:rsid w:val="00EB1FF2"/>
    <w:rsid w:val="00EB2244"/>
    <w:rsid w:val="00EB24C3"/>
    <w:rsid w:val="00EB2A94"/>
    <w:rsid w:val="00EB2D8C"/>
    <w:rsid w:val="00EB30BC"/>
    <w:rsid w:val="00EB33BF"/>
    <w:rsid w:val="00EB47C1"/>
    <w:rsid w:val="00EB4A04"/>
    <w:rsid w:val="00EB4E7E"/>
    <w:rsid w:val="00EB4ECE"/>
    <w:rsid w:val="00EB588B"/>
    <w:rsid w:val="00EB5C1E"/>
    <w:rsid w:val="00EB6195"/>
    <w:rsid w:val="00EB675B"/>
    <w:rsid w:val="00EB67AD"/>
    <w:rsid w:val="00EB6C2B"/>
    <w:rsid w:val="00EB6DAC"/>
    <w:rsid w:val="00EB6DD5"/>
    <w:rsid w:val="00EB6E24"/>
    <w:rsid w:val="00EB772E"/>
    <w:rsid w:val="00EB7D88"/>
    <w:rsid w:val="00EB7F76"/>
    <w:rsid w:val="00EC0526"/>
    <w:rsid w:val="00EC055F"/>
    <w:rsid w:val="00EC0765"/>
    <w:rsid w:val="00EC0DA3"/>
    <w:rsid w:val="00EC0E71"/>
    <w:rsid w:val="00EC13CC"/>
    <w:rsid w:val="00EC14EA"/>
    <w:rsid w:val="00EC180A"/>
    <w:rsid w:val="00EC2960"/>
    <w:rsid w:val="00EC2AA6"/>
    <w:rsid w:val="00EC2F36"/>
    <w:rsid w:val="00EC327F"/>
    <w:rsid w:val="00EC33BF"/>
    <w:rsid w:val="00EC35D8"/>
    <w:rsid w:val="00EC3876"/>
    <w:rsid w:val="00EC39E2"/>
    <w:rsid w:val="00EC4EB5"/>
    <w:rsid w:val="00EC5080"/>
    <w:rsid w:val="00EC51ED"/>
    <w:rsid w:val="00EC57FC"/>
    <w:rsid w:val="00EC5927"/>
    <w:rsid w:val="00EC59B8"/>
    <w:rsid w:val="00EC5E92"/>
    <w:rsid w:val="00EC5FC0"/>
    <w:rsid w:val="00EC617C"/>
    <w:rsid w:val="00EC6D2B"/>
    <w:rsid w:val="00EC765B"/>
    <w:rsid w:val="00EC7922"/>
    <w:rsid w:val="00EC7AF7"/>
    <w:rsid w:val="00ED0326"/>
    <w:rsid w:val="00ED100D"/>
    <w:rsid w:val="00ED1129"/>
    <w:rsid w:val="00ED16C2"/>
    <w:rsid w:val="00ED191E"/>
    <w:rsid w:val="00ED1A71"/>
    <w:rsid w:val="00ED1E0E"/>
    <w:rsid w:val="00ED24F0"/>
    <w:rsid w:val="00ED252C"/>
    <w:rsid w:val="00ED2554"/>
    <w:rsid w:val="00ED282B"/>
    <w:rsid w:val="00ED2E20"/>
    <w:rsid w:val="00ED385F"/>
    <w:rsid w:val="00ED457E"/>
    <w:rsid w:val="00ED45EC"/>
    <w:rsid w:val="00ED4DF7"/>
    <w:rsid w:val="00ED5035"/>
    <w:rsid w:val="00ED5984"/>
    <w:rsid w:val="00ED5C0B"/>
    <w:rsid w:val="00ED624B"/>
    <w:rsid w:val="00ED64FA"/>
    <w:rsid w:val="00ED6522"/>
    <w:rsid w:val="00ED6694"/>
    <w:rsid w:val="00ED6AD4"/>
    <w:rsid w:val="00ED70B7"/>
    <w:rsid w:val="00ED71CF"/>
    <w:rsid w:val="00ED74B1"/>
    <w:rsid w:val="00ED7936"/>
    <w:rsid w:val="00ED7ADD"/>
    <w:rsid w:val="00ED7E6E"/>
    <w:rsid w:val="00ED7FD2"/>
    <w:rsid w:val="00EE0F55"/>
    <w:rsid w:val="00EE1199"/>
    <w:rsid w:val="00EE155B"/>
    <w:rsid w:val="00EE1832"/>
    <w:rsid w:val="00EE1A8F"/>
    <w:rsid w:val="00EE2433"/>
    <w:rsid w:val="00EE243D"/>
    <w:rsid w:val="00EE3005"/>
    <w:rsid w:val="00EE327B"/>
    <w:rsid w:val="00EE41E5"/>
    <w:rsid w:val="00EE4506"/>
    <w:rsid w:val="00EE475E"/>
    <w:rsid w:val="00EE47B2"/>
    <w:rsid w:val="00EE49B8"/>
    <w:rsid w:val="00EE4E11"/>
    <w:rsid w:val="00EE4FDC"/>
    <w:rsid w:val="00EE5539"/>
    <w:rsid w:val="00EE67F2"/>
    <w:rsid w:val="00EE6CEE"/>
    <w:rsid w:val="00EE6D57"/>
    <w:rsid w:val="00EE7119"/>
    <w:rsid w:val="00EE7479"/>
    <w:rsid w:val="00EE748A"/>
    <w:rsid w:val="00EE7849"/>
    <w:rsid w:val="00EE7878"/>
    <w:rsid w:val="00EE7A00"/>
    <w:rsid w:val="00EE7BC3"/>
    <w:rsid w:val="00EE7CC1"/>
    <w:rsid w:val="00EF0500"/>
    <w:rsid w:val="00EF058F"/>
    <w:rsid w:val="00EF0CB1"/>
    <w:rsid w:val="00EF0D34"/>
    <w:rsid w:val="00EF0E24"/>
    <w:rsid w:val="00EF0F59"/>
    <w:rsid w:val="00EF11FF"/>
    <w:rsid w:val="00EF20A6"/>
    <w:rsid w:val="00EF3125"/>
    <w:rsid w:val="00EF36DD"/>
    <w:rsid w:val="00EF38A3"/>
    <w:rsid w:val="00EF3965"/>
    <w:rsid w:val="00EF396B"/>
    <w:rsid w:val="00EF3D74"/>
    <w:rsid w:val="00EF421F"/>
    <w:rsid w:val="00EF442B"/>
    <w:rsid w:val="00EF4712"/>
    <w:rsid w:val="00EF4B04"/>
    <w:rsid w:val="00EF4E10"/>
    <w:rsid w:val="00EF53D9"/>
    <w:rsid w:val="00EF5630"/>
    <w:rsid w:val="00EF5633"/>
    <w:rsid w:val="00EF59AC"/>
    <w:rsid w:val="00EF59FE"/>
    <w:rsid w:val="00EF5B50"/>
    <w:rsid w:val="00EF630D"/>
    <w:rsid w:val="00EF6B79"/>
    <w:rsid w:val="00EF6FC3"/>
    <w:rsid w:val="00EF76A3"/>
    <w:rsid w:val="00EF7D99"/>
    <w:rsid w:val="00F0003C"/>
    <w:rsid w:val="00F00212"/>
    <w:rsid w:val="00F0094E"/>
    <w:rsid w:val="00F01937"/>
    <w:rsid w:val="00F01AB5"/>
    <w:rsid w:val="00F01FDD"/>
    <w:rsid w:val="00F02B30"/>
    <w:rsid w:val="00F02DD2"/>
    <w:rsid w:val="00F02F49"/>
    <w:rsid w:val="00F030D4"/>
    <w:rsid w:val="00F03443"/>
    <w:rsid w:val="00F042F4"/>
    <w:rsid w:val="00F047EB"/>
    <w:rsid w:val="00F04854"/>
    <w:rsid w:val="00F04C22"/>
    <w:rsid w:val="00F04E1C"/>
    <w:rsid w:val="00F051FC"/>
    <w:rsid w:val="00F0534C"/>
    <w:rsid w:val="00F05782"/>
    <w:rsid w:val="00F057C9"/>
    <w:rsid w:val="00F057DE"/>
    <w:rsid w:val="00F05B91"/>
    <w:rsid w:val="00F05CE8"/>
    <w:rsid w:val="00F05E12"/>
    <w:rsid w:val="00F06A0B"/>
    <w:rsid w:val="00F06A0D"/>
    <w:rsid w:val="00F06FE8"/>
    <w:rsid w:val="00F0719E"/>
    <w:rsid w:val="00F07D7B"/>
    <w:rsid w:val="00F07E6E"/>
    <w:rsid w:val="00F104E2"/>
    <w:rsid w:val="00F106D9"/>
    <w:rsid w:val="00F10EC5"/>
    <w:rsid w:val="00F112FA"/>
    <w:rsid w:val="00F117F5"/>
    <w:rsid w:val="00F12B15"/>
    <w:rsid w:val="00F12C54"/>
    <w:rsid w:val="00F12E06"/>
    <w:rsid w:val="00F12F60"/>
    <w:rsid w:val="00F1300A"/>
    <w:rsid w:val="00F1327D"/>
    <w:rsid w:val="00F139AE"/>
    <w:rsid w:val="00F13A75"/>
    <w:rsid w:val="00F13AB7"/>
    <w:rsid w:val="00F13ADA"/>
    <w:rsid w:val="00F14141"/>
    <w:rsid w:val="00F142EA"/>
    <w:rsid w:val="00F14913"/>
    <w:rsid w:val="00F14B74"/>
    <w:rsid w:val="00F154B9"/>
    <w:rsid w:val="00F15761"/>
    <w:rsid w:val="00F157A8"/>
    <w:rsid w:val="00F15B89"/>
    <w:rsid w:val="00F15C5C"/>
    <w:rsid w:val="00F16055"/>
    <w:rsid w:val="00F16183"/>
    <w:rsid w:val="00F16398"/>
    <w:rsid w:val="00F16D80"/>
    <w:rsid w:val="00F1788F"/>
    <w:rsid w:val="00F17F31"/>
    <w:rsid w:val="00F20018"/>
    <w:rsid w:val="00F20832"/>
    <w:rsid w:val="00F2099C"/>
    <w:rsid w:val="00F20C2D"/>
    <w:rsid w:val="00F20C86"/>
    <w:rsid w:val="00F210D4"/>
    <w:rsid w:val="00F210DE"/>
    <w:rsid w:val="00F2123E"/>
    <w:rsid w:val="00F2187A"/>
    <w:rsid w:val="00F2220D"/>
    <w:rsid w:val="00F22444"/>
    <w:rsid w:val="00F228D5"/>
    <w:rsid w:val="00F22A91"/>
    <w:rsid w:val="00F2332C"/>
    <w:rsid w:val="00F237D1"/>
    <w:rsid w:val="00F23C4E"/>
    <w:rsid w:val="00F23FF9"/>
    <w:rsid w:val="00F240B3"/>
    <w:rsid w:val="00F24728"/>
    <w:rsid w:val="00F24C20"/>
    <w:rsid w:val="00F24F6C"/>
    <w:rsid w:val="00F25582"/>
    <w:rsid w:val="00F26430"/>
    <w:rsid w:val="00F26FB8"/>
    <w:rsid w:val="00F278C9"/>
    <w:rsid w:val="00F27B11"/>
    <w:rsid w:val="00F27FA8"/>
    <w:rsid w:val="00F3004F"/>
    <w:rsid w:val="00F30376"/>
    <w:rsid w:val="00F308CC"/>
    <w:rsid w:val="00F31422"/>
    <w:rsid w:val="00F3152E"/>
    <w:rsid w:val="00F31580"/>
    <w:rsid w:val="00F31AEE"/>
    <w:rsid w:val="00F31D5A"/>
    <w:rsid w:val="00F31D9A"/>
    <w:rsid w:val="00F32028"/>
    <w:rsid w:val="00F329CB"/>
    <w:rsid w:val="00F32A39"/>
    <w:rsid w:val="00F32B6F"/>
    <w:rsid w:val="00F32BB8"/>
    <w:rsid w:val="00F33C72"/>
    <w:rsid w:val="00F34214"/>
    <w:rsid w:val="00F347EB"/>
    <w:rsid w:val="00F34CAC"/>
    <w:rsid w:val="00F34EFB"/>
    <w:rsid w:val="00F35189"/>
    <w:rsid w:val="00F35334"/>
    <w:rsid w:val="00F3540F"/>
    <w:rsid w:val="00F35D86"/>
    <w:rsid w:val="00F36279"/>
    <w:rsid w:val="00F364B6"/>
    <w:rsid w:val="00F366BB"/>
    <w:rsid w:val="00F369AC"/>
    <w:rsid w:val="00F36C00"/>
    <w:rsid w:val="00F36C4B"/>
    <w:rsid w:val="00F375A6"/>
    <w:rsid w:val="00F37666"/>
    <w:rsid w:val="00F37C54"/>
    <w:rsid w:val="00F37E44"/>
    <w:rsid w:val="00F4010D"/>
    <w:rsid w:val="00F402D4"/>
    <w:rsid w:val="00F406A0"/>
    <w:rsid w:val="00F40710"/>
    <w:rsid w:val="00F40CAE"/>
    <w:rsid w:val="00F4119E"/>
    <w:rsid w:val="00F41238"/>
    <w:rsid w:val="00F41271"/>
    <w:rsid w:val="00F4140F"/>
    <w:rsid w:val="00F41671"/>
    <w:rsid w:val="00F41B5D"/>
    <w:rsid w:val="00F42137"/>
    <w:rsid w:val="00F4269A"/>
    <w:rsid w:val="00F42C5F"/>
    <w:rsid w:val="00F4327A"/>
    <w:rsid w:val="00F4386C"/>
    <w:rsid w:val="00F4406B"/>
    <w:rsid w:val="00F442D6"/>
    <w:rsid w:val="00F44569"/>
    <w:rsid w:val="00F445AE"/>
    <w:rsid w:val="00F44D77"/>
    <w:rsid w:val="00F4519C"/>
    <w:rsid w:val="00F452E9"/>
    <w:rsid w:val="00F4583F"/>
    <w:rsid w:val="00F45CF1"/>
    <w:rsid w:val="00F45D74"/>
    <w:rsid w:val="00F45E2C"/>
    <w:rsid w:val="00F46670"/>
    <w:rsid w:val="00F466EE"/>
    <w:rsid w:val="00F47A6A"/>
    <w:rsid w:val="00F50492"/>
    <w:rsid w:val="00F50887"/>
    <w:rsid w:val="00F50A21"/>
    <w:rsid w:val="00F50C6D"/>
    <w:rsid w:val="00F51A1D"/>
    <w:rsid w:val="00F520E2"/>
    <w:rsid w:val="00F523C7"/>
    <w:rsid w:val="00F5266D"/>
    <w:rsid w:val="00F52EE5"/>
    <w:rsid w:val="00F5325B"/>
    <w:rsid w:val="00F53518"/>
    <w:rsid w:val="00F5360B"/>
    <w:rsid w:val="00F536E0"/>
    <w:rsid w:val="00F53B65"/>
    <w:rsid w:val="00F5412E"/>
    <w:rsid w:val="00F542D5"/>
    <w:rsid w:val="00F549D2"/>
    <w:rsid w:val="00F54DDC"/>
    <w:rsid w:val="00F54FA1"/>
    <w:rsid w:val="00F55315"/>
    <w:rsid w:val="00F554D4"/>
    <w:rsid w:val="00F55B5B"/>
    <w:rsid w:val="00F55BB9"/>
    <w:rsid w:val="00F5656B"/>
    <w:rsid w:val="00F56A47"/>
    <w:rsid w:val="00F56F67"/>
    <w:rsid w:val="00F5713C"/>
    <w:rsid w:val="00F571E2"/>
    <w:rsid w:val="00F57B97"/>
    <w:rsid w:val="00F57DB1"/>
    <w:rsid w:val="00F6030B"/>
    <w:rsid w:val="00F60E05"/>
    <w:rsid w:val="00F61286"/>
    <w:rsid w:val="00F613BC"/>
    <w:rsid w:val="00F614F7"/>
    <w:rsid w:val="00F61F58"/>
    <w:rsid w:val="00F62336"/>
    <w:rsid w:val="00F62551"/>
    <w:rsid w:val="00F62BD6"/>
    <w:rsid w:val="00F63032"/>
    <w:rsid w:val="00F63C5F"/>
    <w:rsid w:val="00F6470D"/>
    <w:rsid w:val="00F6491C"/>
    <w:rsid w:val="00F649BB"/>
    <w:rsid w:val="00F64CA6"/>
    <w:rsid w:val="00F64CF1"/>
    <w:rsid w:val="00F64DA8"/>
    <w:rsid w:val="00F64E19"/>
    <w:rsid w:val="00F65C7A"/>
    <w:rsid w:val="00F660FE"/>
    <w:rsid w:val="00F66709"/>
    <w:rsid w:val="00F6677E"/>
    <w:rsid w:val="00F6683B"/>
    <w:rsid w:val="00F66AB4"/>
    <w:rsid w:val="00F673DD"/>
    <w:rsid w:val="00F6765F"/>
    <w:rsid w:val="00F67E25"/>
    <w:rsid w:val="00F67E2A"/>
    <w:rsid w:val="00F703ED"/>
    <w:rsid w:val="00F70466"/>
    <w:rsid w:val="00F70761"/>
    <w:rsid w:val="00F708E8"/>
    <w:rsid w:val="00F70BA4"/>
    <w:rsid w:val="00F70DBC"/>
    <w:rsid w:val="00F70F5E"/>
    <w:rsid w:val="00F7102D"/>
    <w:rsid w:val="00F71D9E"/>
    <w:rsid w:val="00F71F13"/>
    <w:rsid w:val="00F7228B"/>
    <w:rsid w:val="00F7277E"/>
    <w:rsid w:val="00F72C6B"/>
    <w:rsid w:val="00F73A38"/>
    <w:rsid w:val="00F73BD4"/>
    <w:rsid w:val="00F73D8F"/>
    <w:rsid w:val="00F73E5D"/>
    <w:rsid w:val="00F745A8"/>
    <w:rsid w:val="00F749D7"/>
    <w:rsid w:val="00F74B4A"/>
    <w:rsid w:val="00F74B7E"/>
    <w:rsid w:val="00F7687F"/>
    <w:rsid w:val="00F76DED"/>
    <w:rsid w:val="00F77119"/>
    <w:rsid w:val="00F77517"/>
    <w:rsid w:val="00F77B99"/>
    <w:rsid w:val="00F80762"/>
    <w:rsid w:val="00F8076E"/>
    <w:rsid w:val="00F8084B"/>
    <w:rsid w:val="00F808C7"/>
    <w:rsid w:val="00F80A2E"/>
    <w:rsid w:val="00F8199C"/>
    <w:rsid w:val="00F81AFB"/>
    <w:rsid w:val="00F81B75"/>
    <w:rsid w:val="00F81D7D"/>
    <w:rsid w:val="00F82833"/>
    <w:rsid w:val="00F830BE"/>
    <w:rsid w:val="00F832C3"/>
    <w:rsid w:val="00F833AC"/>
    <w:rsid w:val="00F833FD"/>
    <w:rsid w:val="00F83800"/>
    <w:rsid w:val="00F838B6"/>
    <w:rsid w:val="00F83930"/>
    <w:rsid w:val="00F83B7E"/>
    <w:rsid w:val="00F83E1D"/>
    <w:rsid w:val="00F84261"/>
    <w:rsid w:val="00F844B4"/>
    <w:rsid w:val="00F846E1"/>
    <w:rsid w:val="00F846E5"/>
    <w:rsid w:val="00F85E26"/>
    <w:rsid w:val="00F85F30"/>
    <w:rsid w:val="00F860FA"/>
    <w:rsid w:val="00F86990"/>
    <w:rsid w:val="00F86B32"/>
    <w:rsid w:val="00F86F6E"/>
    <w:rsid w:val="00F871E2"/>
    <w:rsid w:val="00F874B3"/>
    <w:rsid w:val="00F87B04"/>
    <w:rsid w:val="00F87C63"/>
    <w:rsid w:val="00F87C85"/>
    <w:rsid w:val="00F87E38"/>
    <w:rsid w:val="00F901E3"/>
    <w:rsid w:val="00F902FB"/>
    <w:rsid w:val="00F90376"/>
    <w:rsid w:val="00F905CB"/>
    <w:rsid w:val="00F90849"/>
    <w:rsid w:val="00F9087D"/>
    <w:rsid w:val="00F90BC7"/>
    <w:rsid w:val="00F91315"/>
    <w:rsid w:val="00F91CA2"/>
    <w:rsid w:val="00F91D98"/>
    <w:rsid w:val="00F91DB1"/>
    <w:rsid w:val="00F91E45"/>
    <w:rsid w:val="00F91E6E"/>
    <w:rsid w:val="00F920BD"/>
    <w:rsid w:val="00F92581"/>
    <w:rsid w:val="00F925B4"/>
    <w:rsid w:val="00F92762"/>
    <w:rsid w:val="00F92A71"/>
    <w:rsid w:val="00F92FB8"/>
    <w:rsid w:val="00F9300C"/>
    <w:rsid w:val="00F93466"/>
    <w:rsid w:val="00F935BF"/>
    <w:rsid w:val="00F93946"/>
    <w:rsid w:val="00F93CCB"/>
    <w:rsid w:val="00F94474"/>
    <w:rsid w:val="00F9456B"/>
    <w:rsid w:val="00F9466A"/>
    <w:rsid w:val="00F94BD9"/>
    <w:rsid w:val="00F94E04"/>
    <w:rsid w:val="00F95182"/>
    <w:rsid w:val="00F957B6"/>
    <w:rsid w:val="00F95AC7"/>
    <w:rsid w:val="00F96017"/>
    <w:rsid w:val="00F9630D"/>
    <w:rsid w:val="00F967CA"/>
    <w:rsid w:val="00F96A86"/>
    <w:rsid w:val="00F96AA8"/>
    <w:rsid w:val="00F96F26"/>
    <w:rsid w:val="00F97037"/>
    <w:rsid w:val="00F975DE"/>
    <w:rsid w:val="00F9790A"/>
    <w:rsid w:val="00F97A62"/>
    <w:rsid w:val="00F97E5B"/>
    <w:rsid w:val="00F97EAE"/>
    <w:rsid w:val="00FA0001"/>
    <w:rsid w:val="00FA044A"/>
    <w:rsid w:val="00FA04C6"/>
    <w:rsid w:val="00FA0F22"/>
    <w:rsid w:val="00FA16AA"/>
    <w:rsid w:val="00FA19C5"/>
    <w:rsid w:val="00FA1AF6"/>
    <w:rsid w:val="00FA1D62"/>
    <w:rsid w:val="00FA1DE9"/>
    <w:rsid w:val="00FA22AD"/>
    <w:rsid w:val="00FA2559"/>
    <w:rsid w:val="00FA298F"/>
    <w:rsid w:val="00FA2D26"/>
    <w:rsid w:val="00FA2D51"/>
    <w:rsid w:val="00FA3108"/>
    <w:rsid w:val="00FA3195"/>
    <w:rsid w:val="00FA31AB"/>
    <w:rsid w:val="00FA4382"/>
    <w:rsid w:val="00FA4AD8"/>
    <w:rsid w:val="00FA4D5A"/>
    <w:rsid w:val="00FA4FB0"/>
    <w:rsid w:val="00FA5397"/>
    <w:rsid w:val="00FA5B26"/>
    <w:rsid w:val="00FA6E61"/>
    <w:rsid w:val="00FA74F9"/>
    <w:rsid w:val="00FA7520"/>
    <w:rsid w:val="00FA777F"/>
    <w:rsid w:val="00FA7A2E"/>
    <w:rsid w:val="00FA7A4B"/>
    <w:rsid w:val="00FA7AE8"/>
    <w:rsid w:val="00FA7AF0"/>
    <w:rsid w:val="00FB01ED"/>
    <w:rsid w:val="00FB080C"/>
    <w:rsid w:val="00FB128B"/>
    <w:rsid w:val="00FB19FD"/>
    <w:rsid w:val="00FB1A59"/>
    <w:rsid w:val="00FB1BC9"/>
    <w:rsid w:val="00FB1D2A"/>
    <w:rsid w:val="00FB22C4"/>
    <w:rsid w:val="00FB24F3"/>
    <w:rsid w:val="00FB2637"/>
    <w:rsid w:val="00FB2779"/>
    <w:rsid w:val="00FB292D"/>
    <w:rsid w:val="00FB2973"/>
    <w:rsid w:val="00FB3189"/>
    <w:rsid w:val="00FB34DC"/>
    <w:rsid w:val="00FB4558"/>
    <w:rsid w:val="00FB4A9E"/>
    <w:rsid w:val="00FB51B2"/>
    <w:rsid w:val="00FB5771"/>
    <w:rsid w:val="00FB6097"/>
    <w:rsid w:val="00FB6530"/>
    <w:rsid w:val="00FB6574"/>
    <w:rsid w:val="00FB66BA"/>
    <w:rsid w:val="00FB6DED"/>
    <w:rsid w:val="00FB7197"/>
    <w:rsid w:val="00FB7653"/>
    <w:rsid w:val="00FB77DE"/>
    <w:rsid w:val="00FB7812"/>
    <w:rsid w:val="00FB78D4"/>
    <w:rsid w:val="00FB7B46"/>
    <w:rsid w:val="00FC0370"/>
    <w:rsid w:val="00FC0D29"/>
    <w:rsid w:val="00FC0D61"/>
    <w:rsid w:val="00FC0EF4"/>
    <w:rsid w:val="00FC130F"/>
    <w:rsid w:val="00FC1717"/>
    <w:rsid w:val="00FC17CD"/>
    <w:rsid w:val="00FC1C3D"/>
    <w:rsid w:val="00FC21EB"/>
    <w:rsid w:val="00FC27AA"/>
    <w:rsid w:val="00FC305C"/>
    <w:rsid w:val="00FC34CD"/>
    <w:rsid w:val="00FC34F2"/>
    <w:rsid w:val="00FC3855"/>
    <w:rsid w:val="00FC3DED"/>
    <w:rsid w:val="00FC477C"/>
    <w:rsid w:val="00FC4900"/>
    <w:rsid w:val="00FC4F26"/>
    <w:rsid w:val="00FC500C"/>
    <w:rsid w:val="00FC535C"/>
    <w:rsid w:val="00FC6434"/>
    <w:rsid w:val="00FC683A"/>
    <w:rsid w:val="00FC69DF"/>
    <w:rsid w:val="00FC6A1F"/>
    <w:rsid w:val="00FC6CEA"/>
    <w:rsid w:val="00FC6F53"/>
    <w:rsid w:val="00FC741B"/>
    <w:rsid w:val="00FC77E6"/>
    <w:rsid w:val="00FC7DF7"/>
    <w:rsid w:val="00FD01E1"/>
    <w:rsid w:val="00FD0A27"/>
    <w:rsid w:val="00FD0E25"/>
    <w:rsid w:val="00FD10B2"/>
    <w:rsid w:val="00FD1300"/>
    <w:rsid w:val="00FD1B09"/>
    <w:rsid w:val="00FD1D74"/>
    <w:rsid w:val="00FD21CD"/>
    <w:rsid w:val="00FD2860"/>
    <w:rsid w:val="00FD2E7D"/>
    <w:rsid w:val="00FD300F"/>
    <w:rsid w:val="00FD3986"/>
    <w:rsid w:val="00FD4256"/>
    <w:rsid w:val="00FD4673"/>
    <w:rsid w:val="00FD4A2A"/>
    <w:rsid w:val="00FD4A2C"/>
    <w:rsid w:val="00FD4AAF"/>
    <w:rsid w:val="00FD4B2C"/>
    <w:rsid w:val="00FD50D9"/>
    <w:rsid w:val="00FD5D62"/>
    <w:rsid w:val="00FD6050"/>
    <w:rsid w:val="00FD61B9"/>
    <w:rsid w:val="00FD6539"/>
    <w:rsid w:val="00FD6EA7"/>
    <w:rsid w:val="00FD727A"/>
    <w:rsid w:val="00FD7D12"/>
    <w:rsid w:val="00FD7D94"/>
    <w:rsid w:val="00FD7DE3"/>
    <w:rsid w:val="00FD7E3D"/>
    <w:rsid w:val="00FE0640"/>
    <w:rsid w:val="00FE065A"/>
    <w:rsid w:val="00FE0DAB"/>
    <w:rsid w:val="00FE0EF3"/>
    <w:rsid w:val="00FE108A"/>
    <w:rsid w:val="00FE1784"/>
    <w:rsid w:val="00FE1D1D"/>
    <w:rsid w:val="00FE1D7C"/>
    <w:rsid w:val="00FE2DD0"/>
    <w:rsid w:val="00FE2E45"/>
    <w:rsid w:val="00FE2FAC"/>
    <w:rsid w:val="00FE3023"/>
    <w:rsid w:val="00FE302C"/>
    <w:rsid w:val="00FE30F5"/>
    <w:rsid w:val="00FE332E"/>
    <w:rsid w:val="00FE33B0"/>
    <w:rsid w:val="00FE33C3"/>
    <w:rsid w:val="00FE3467"/>
    <w:rsid w:val="00FE37FF"/>
    <w:rsid w:val="00FE4541"/>
    <w:rsid w:val="00FE5738"/>
    <w:rsid w:val="00FE5799"/>
    <w:rsid w:val="00FE596E"/>
    <w:rsid w:val="00FE5E59"/>
    <w:rsid w:val="00FE5F48"/>
    <w:rsid w:val="00FE615B"/>
    <w:rsid w:val="00FE62E0"/>
    <w:rsid w:val="00FE66FF"/>
    <w:rsid w:val="00FE68CC"/>
    <w:rsid w:val="00FE68DB"/>
    <w:rsid w:val="00FE6DD0"/>
    <w:rsid w:val="00FE703F"/>
    <w:rsid w:val="00FE762D"/>
    <w:rsid w:val="00FE77E3"/>
    <w:rsid w:val="00FE7814"/>
    <w:rsid w:val="00FE7846"/>
    <w:rsid w:val="00FE78F8"/>
    <w:rsid w:val="00FE7A80"/>
    <w:rsid w:val="00FE7CC1"/>
    <w:rsid w:val="00FF0090"/>
    <w:rsid w:val="00FF08FC"/>
    <w:rsid w:val="00FF0ABF"/>
    <w:rsid w:val="00FF0D21"/>
    <w:rsid w:val="00FF1903"/>
    <w:rsid w:val="00FF1A54"/>
    <w:rsid w:val="00FF1E83"/>
    <w:rsid w:val="00FF21EE"/>
    <w:rsid w:val="00FF2A4C"/>
    <w:rsid w:val="00FF2C2C"/>
    <w:rsid w:val="00FF2D39"/>
    <w:rsid w:val="00FF3883"/>
    <w:rsid w:val="00FF3C01"/>
    <w:rsid w:val="00FF3D34"/>
    <w:rsid w:val="00FF431E"/>
    <w:rsid w:val="00FF4ACA"/>
    <w:rsid w:val="00FF4E32"/>
    <w:rsid w:val="00FF605A"/>
    <w:rsid w:val="00FF650D"/>
    <w:rsid w:val="00FF6D28"/>
    <w:rsid w:val="00FF6FAB"/>
    <w:rsid w:val="00FF714F"/>
    <w:rsid w:val="00FF7662"/>
    <w:rsid w:val="00FF78DC"/>
    <w:rsid w:val="06C4BDAE"/>
    <w:rsid w:val="0F916787"/>
    <w:rsid w:val="107FB1FC"/>
    <w:rsid w:val="1FC852BA"/>
    <w:rsid w:val="1FE4DEB3"/>
    <w:rsid w:val="261272E4"/>
    <w:rsid w:val="4037C74A"/>
    <w:rsid w:val="440308EC"/>
    <w:rsid w:val="5325CD0D"/>
    <w:rsid w:val="53898F0A"/>
    <w:rsid w:val="57931E52"/>
    <w:rsid w:val="59312DB9"/>
    <w:rsid w:val="619A3C95"/>
    <w:rsid w:val="640E043A"/>
    <w:rsid w:val="653A650F"/>
    <w:rsid w:val="6F6AC4C8"/>
    <w:rsid w:val="731B01F7"/>
    <w:rsid w:val="73E94847"/>
    <w:rsid w:val="74F33312"/>
    <w:rsid w:val="7B817B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D9E3D"/>
  <w15:chartTrackingRefBased/>
  <w15:docId w15:val="{403E66EE-58BD-4A8F-80B4-EA96F48F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2" w:unhideWhenUsed="1" w:qFormat="1"/>
    <w:lsdException w:name="heading 3" w:semiHidden="1" w:uiPriority="2"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iPriority="98"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8" w:unhideWhenUsed="1" w:qFormat="1"/>
    <w:lsdException w:name="table of figures" w:semiHidden="1" w:uiPriority="98" w:unhideWhenUsed="1"/>
    <w:lsdException w:name="envelope address" w:semiHidden="1" w:unhideWhenUsed="1"/>
    <w:lsdException w:name="envelope return" w:semiHidden="1" w:unhideWhenUsed="1"/>
    <w:lsdException w:name="footnote reference" w:semiHidden="1" w:uiPriority="11" w:unhideWhenUsed="1"/>
    <w:lsdException w:name="annotation reference" w:semiHidden="1" w:unhideWhenUsed="1"/>
    <w:lsdException w:name="line number" w:semiHidden="1" w:unhideWhenUsed="1"/>
    <w:lsdException w:name="page number" w:semiHidden="1" w:uiPriority="14" w:unhideWhenUsed="1"/>
    <w:lsdException w:name="endnote reference" w:semiHidden="1" w:unhideWhenUsed="1"/>
    <w:lsdException w:name="endnote text" w:semiHidden="1" w:uiPriority="98"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98" w:unhideWhenUsed="1" w:qFormat="1"/>
    <w:lsdException w:name="List Number" w:semiHidden="1" w:uiPriority="9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8" w:unhideWhenUsed="1"/>
    <w:lsdException w:name="List Bullet 3" w:semiHidden="1" w:uiPriority="1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8" w:unhideWhenUsed="1"/>
    <w:lsdException w:name="Plain Text" w:semiHidden="1" w:uiPriority="98"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8"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0"/>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98"/>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98"/>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A3FC2"/>
  </w:style>
  <w:style w:type="paragraph" w:styleId="Heading1">
    <w:name w:val="heading 1"/>
    <w:next w:val="ARbody"/>
    <w:link w:val="Heading1Char"/>
    <w:uiPriority w:val="4"/>
    <w:qFormat/>
    <w:rsid w:val="00A742C2"/>
    <w:pPr>
      <w:keepNext/>
      <w:keepLines/>
      <w:spacing w:after="480" w:line="480" w:lineRule="atLeast"/>
      <w:outlineLvl w:val="0"/>
    </w:pPr>
    <w:rPr>
      <w:rFonts w:ascii="Arial" w:eastAsia="MS Gothic" w:hAnsi="Arial" w:cs="Times New Roman"/>
      <w:bCs/>
      <w:color w:val="00645F" w:themeColor="text2"/>
      <w:kern w:val="32"/>
      <w:sz w:val="48"/>
      <w:szCs w:val="64"/>
    </w:rPr>
  </w:style>
  <w:style w:type="paragraph" w:styleId="Heading2">
    <w:name w:val="heading 2"/>
    <w:next w:val="ARbody"/>
    <w:link w:val="Heading2Char"/>
    <w:uiPriority w:val="2"/>
    <w:qFormat/>
    <w:rsid w:val="007B5ECF"/>
    <w:pPr>
      <w:keepNext/>
      <w:keepLines/>
      <w:spacing w:before="360" w:after="240" w:line="480" w:lineRule="atLeast"/>
      <w:outlineLvl w:val="1"/>
    </w:pPr>
    <w:rPr>
      <w:rFonts w:ascii="Arial" w:eastAsia="MS Gothic" w:hAnsi="Arial" w:cs="Times New Roman"/>
      <w:bCs/>
      <w:iCs/>
      <w:color w:val="53565A" w:themeColor="accent2"/>
      <w:sz w:val="44"/>
      <w:szCs w:val="40"/>
    </w:rPr>
  </w:style>
  <w:style w:type="paragraph" w:styleId="Heading3">
    <w:name w:val="heading 3"/>
    <w:next w:val="ARbody"/>
    <w:link w:val="Heading3Char"/>
    <w:uiPriority w:val="2"/>
    <w:qFormat/>
    <w:rsid w:val="003D14FF"/>
    <w:pPr>
      <w:keepNext/>
      <w:keepLines/>
      <w:spacing w:before="280" w:after="80" w:line="280" w:lineRule="atLeast"/>
      <w:outlineLvl w:val="2"/>
    </w:pPr>
    <w:rPr>
      <w:rFonts w:ascii="Arial" w:eastAsia="MS Gothic" w:hAnsi="Arial" w:cs="Times New Roman"/>
      <w:bCs/>
      <w:color w:val="00645F" w:themeColor="text2"/>
      <w:sz w:val="32"/>
      <w:szCs w:val="24"/>
      <w:lang w:eastAsia="en-AU"/>
    </w:rPr>
  </w:style>
  <w:style w:type="paragraph" w:styleId="Heading4">
    <w:name w:val="heading 4"/>
    <w:next w:val="ARbody"/>
    <w:link w:val="Heading4Char"/>
    <w:uiPriority w:val="4"/>
    <w:qFormat/>
    <w:rsid w:val="00410CB6"/>
    <w:pPr>
      <w:keepNext/>
      <w:keepLines/>
      <w:spacing w:before="200" w:after="80" w:line="240" w:lineRule="atLeast"/>
      <w:outlineLvl w:val="3"/>
    </w:pPr>
    <w:rPr>
      <w:rFonts w:ascii="Arial" w:eastAsia="MS Mincho" w:hAnsi="Arial" w:cs="Arial"/>
      <w:b/>
      <w:bCs/>
      <w:color w:val="53565A" w:themeColor="accent2"/>
      <w:sz w:val="24"/>
      <w:szCs w:val="24"/>
    </w:rPr>
  </w:style>
  <w:style w:type="paragraph" w:styleId="Heading5">
    <w:name w:val="heading 5"/>
    <w:next w:val="ARbody"/>
    <w:link w:val="Heading5Char"/>
    <w:uiPriority w:val="4"/>
    <w:qFormat/>
    <w:rsid w:val="005B39AF"/>
    <w:pPr>
      <w:keepNext/>
      <w:keepLines/>
      <w:spacing w:before="240" w:after="80" w:line="260" w:lineRule="atLeast"/>
      <w:outlineLvl w:val="4"/>
    </w:pPr>
    <w:rPr>
      <w:rFonts w:ascii="Arial" w:eastAsia="Times New Roman" w:hAnsi="Arial" w:cs="Times New Roman"/>
      <w:b/>
      <w:color w:val="00645F" w:themeColor="text2"/>
      <w:szCs w:val="24"/>
    </w:rPr>
  </w:style>
  <w:style w:type="paragraph" w:styleId="Heading6">
    <w:name w:val="heading 6"/>
    <w:basedOn w:val="Normal"/>
    <w:next w:val="Normal"/>
    <w:link w:val="Heading6Char"/>
    <w:uiPriority w:val="4"/>
    <w:qFormat/>
    <w:rsid w:val="0081234A"/>
    <w:pPr>
      <w:keepNext/>
      <w:keepLines/>
      <w:overflowPunct w:val="0"/>
      <w:autoSpaceDE w:val="0"/>
      <w:autoSpaceDN w:val="0"/>
      <w:adjustRightInd w:val="0"/>
      <w:spacing w:before="240" w:after="80" w:line="240" w:lineRule="auto"/>
      <w:textAlignment w:val="baseline"/>
      <w:outlineLvl w:val="5"/>
    </w:pPr>
    <w:rPr>
      <w:rFonts w:ascii="Arial" w:eastAsia="Times New Roman" w:hAnsi="Arial" w:cs="Times New Roman"/>
      <w:b/>
      <w:bCs/>
      <w:sz w:val="20"/>
      <w:szCs w:val="24"/>
      <w:lang w:val="x-none"/>
    </w:rPr>
  </w:style>
  <w:style w:type="paragraph" w:styleId="Heading7">
    <w:name w:val="heading 7"/>
    <w:basedOn w:val="Normal"/>
    <w:next w:val="Normal"/>
    <w:link w:val="Heading7Char"/>
    <w:uiPriority w:val="4"/>
    <w:qFormat/>
    <w:rsid w:val="0081234A"/>
    <w:pPr>
      <w:keepNext/>
      <w:keepLines/>
      <w:spacing w:before="180" w:after="60" w:line="240" w:lineRule="auto"/>
      <w:outlineLvl w:val="6"/>
    </w:pPr>
    <w:rPr>
      <w:rFonts w:ascii="Arial" w:eastAsiaTheme="majorEastAsia" w:hAnsi="Arial" w:cstheme="majorBidi"/>
      <w:b/>
      <w:iCs/>
      <w:color w:val="53565A"/>
      <w:sz w:val="20"/>
      <w:szCs w:val="21"/>
      <w:lang w:eastAsia="en-AU"/>
    </w:rPr>
  </w:style>
  <w:style w:type="paragraph" w:styleId="Heading8">
    <w:name w:val="heading 8"/>
    <w:basedOn w:val="Normal"/>
    <w:next w:val="Normal"/>
    <w:link w:val="Heading8Char"/>
    <w:uiPriority w:val="4"/>
    <w:qFormat/>
    <w:rsid w:val="0081234A"/>
    <w:pPr>
      <w:keepNext/>
      <w:keepLines/>
      <w:spacing w:before="40" w:after="0" w:line="264" w:lineRule="auto"/>
      <w:outlineLvl w:val="7"/>
    </w:pPr>
    <w:rPr>
      <w:rFonts w:asciiTheme="majorHAnsi" w:eastAsiaTheme="majorEastAsia" w:hAnsiTheme="majorHAnsi" w:cstheme="majorBidi"/>
      <w:b/>
      <w:bCs/>
      <w:color w:val="00645F" w:themeColor="text2"/>
      <w:sz w:val="20"/>
      <w:szCs w:val="20"/>
      <w:lang w:eastAsia="en-AU"/>
    </w:rPr>
  </w:style>
  <w:style w:type="paragraph" w:styleId="Heading9">
    <w:name w:val="heading 9"/>
    <w:basedOn w:val="Normal"/>
    <w:next w:val="Normal"/>
    <w:link w:val="Heading9Char"/>
    <w:uiPriority w:val="4"/>
    <w:qFormat/>
    <w:rsid w:val="0081234A"/>
    <w:pPr>
      <w:keepNext/>
      <w:keepLines/>
      <w:spacing w:before="40" w:after="0" w:line="264" w:lineRule="auto"/>
      <w:outlineLvl w:val="8"/>
    </w:pPr>
    <w:rPr>
      <w:rFonts w:asciiTheme="majorHAnsi" w:eastAsiaTheme="majorEastAsia" w:hAnsiTheme="majorHAnsi" w:cstheme="majorBidi"/>
      <w:b/>
      <w:bCs/>
      <w:i/>
      <w:iCs/>
      <w:color w:val="00645F" w:themeColor="text2"/>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123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34A"/>
  </w:style>
  <w:style w:type="paragraph" w:customStyle="1" w:styleId="ARheader">
    <w:name w:val="AR header"/>
    <w:basedOn w:val="Normal"/>
    <w:rsid w:val="009F2313"/>
    <w:pPr>
      <w:tabs>
        <w:tab w:val="right" w:pos="15309"/>
      </w:tabs>
      <w:spacing w:after="0" w:line="264" w:lineRule="auto"/>
    </w:pPr>
    <w:rPr>
      <w:rFonts w:ascii="Arial" w:eastAsiaTheme="minorEastAsia" w:hAnsi="Arial"/>
      <w:b/>
      <w:bCs/>
      <w:color w:val="53565A"/>
      <w:sz w:val="18"/>
      <w:szCs w:val="24"/>
    </w:rPr>
  </w:style>
  <w:style w:type="character" w:customStyle="1" w:styleId="Heading1Char">
    <w:name w:val="Heading 1 Char"/>
    <w:basedOn w:val="DefaultParagraphFont"/>
    <w:link w:val="Heading1"/>
    <w:uiPriority w:val="4"/>
    <w:rsid w:val="00A742C2"/>
    <w:rPr>
      <w:rFonts w:ascii="Arial" w:eastAsia="MS Gothic" w:hAnsi="Arial" w:cs="Times New Roman"/>
      <w:bCs/>
      <w:color w:val="00645F" w:themeColor="text2"/>
      <w:kern w:val="32"/>
      <w:sz w:val="48"/>
      <w:szCs w:val="64"/>
    </w:rPr>
  </w:style>
  <w:style w:type="character" w:customStyle="1" w:styleId="Heading2Char">
    <w:name w:val="Heading 2 Char"/>
    <w:basedOn w:val="DefaultParagraphFont"/>
    <w:link w:val="Heading2"/>
    <w:uiPriority w:val="2"/>
    <w:rsid w:val="007B5ECF"/>
    <w:rPr>
      <w:rFonts w:ascii="Arial" w:eastAsia="MS Gothic" w:hAnsi="Arial" w:cs="Times New Roman"/>
      <w:bCs/>
      <w:iCs/>
      <w:color w:val="53565A" w:themeColor="accent2"/>
      <w:sz w:val="44"/>
      <w:szCs w:val="40"/>
    </w:rPr>
  </w:style>
  <w:style w:type="character" w:customStyle="1" w:styleId="Heading3Char">
    <w:name w:val="Heading 3 Char"/>
    <w:basedOn w:val="DefaultParagraphFont"/>
    <w:link w:val="Heading3"/>
    <w:uiPriority w:val="2"/>
    <w:rsid w:val="003D14FF"/>
    <w:rPr>
      <w:rFonts w:ascii="Arial" w:eastAsia="MS Gothic" w:hAnsi="Arial" w:cs="Times New Roman"/>
      <w:bCs/>
      <w:color w:val="00645F" w:themeColor="text2"/>
      <w:sz w:val="32"/>
      <w:szCs w:val="24"/>
      <w:lang w:eastAsia="en-AU"/>
    </w:rPr>
  </w:style>
  <w:style w:type="character" w:customStyle="1" w:styleId="Heading4Char">
    <w:name w:val="Heading 4 Char"/>
    <w:basedOn w:val="DefaultParagraphFont"/>
    <w:link w:val="Heading4"/>
    <w:uiPriority w:val="4"/>
    <w:rsid w:val="00C43BD3"/>
    <w:rPr>
      <w:rFonts w:ascii="Arial" w:eastAsia="MS Mincho" w:hAnsi="Arial" w:cs="Arial"/>
      <w:b/>
      <w:bCs/>
      <w:color w:val="53565A" w:themeColor="accent2"/>
      <w:sz w:val="24"/>
      <w:szCs w:val="24"/>
    </w:rPr>
  </w:style>
  <w:style w:type="character" w:customStyle="1" w:styleId="Heading5Char">
    <w:name w:val="Heading 5 Char"/>
    <w:basedOn w:val="DefaultParagraphFont"/>
    <w:link w:val="Heading5"/>
    <w:uiPriority w:val="4"/>
    <w:rsid w:val="005B39AF"/>
    <w:rPr>
      <w:rFonts w:ascii="Arial" w:eastAsia="Times New Roman" w:hAnsi="Arial" w:cs="Times New Roman"/>
      <w:b/>
      <w:color w:val="00645F" w:themeColor="text2"/>
      <w:szCs w:val="24"/>
    </w:rPr>
  </w:style>
  <w:style w:type="character" w:customStyle="1" w:styleId="Heading6Char">
    <w:name w:val="Heading 6 Char"/>
    <w:basedOn w:val="DefaultParagraphFont"/>
    <w:link w:val="Heading6"/>
    <w:uiPriority w:val="4"/>
    <w:rsid w:val="00C43BD3"/>
    <w:rPr>
      <w:rFonts w:ascii="Arial" w:eastAsia="Times New Roman" w:hAnsi="Arial" w:cs="Times New Roman"/>
      <w:b/>
      <w:bCs/>
      <w:sz w:val="20"/>
      <w:szCs w:val="24"/>
      <w:lang w:val="x-none"/>
    </w:rPr>
  </w:style>
  <w:style w:type="character" w:customStyle="1" w:styleId="Heading7Char">
    <w:name w:val="Heading 7 Char"/>
    <w:basedOn w:val="DefaultParagraphFont"/>
    <w:link w:val="Heading7"/>
    <w:uiPriority w:val="4"/>
    <w:rsid w:val="00C43BD3"/>
    <w:rPr>
      <w:rFonts w:ascii="Arial" w:eastAsiaTheme="majorEastAsia" w:hAnsi="Arial" w:cstheme="majorBidi"/>
      <w:b/>
      <w:iCs/>
      <w:color w:val="53565A"/>
      <w:sz w:val="20"/>
      <w:szCs w:val="21"/>
      <w:lang w:eastAsia="en-AU"/>
    </w:rPr>
  </w:style>
  <w:style w:type="character" w:customStyle="1" w:styleId="Heading8Char">
    <w:name w:val="Heading 8 Char"/>
    <w:basedOn w:val="DefaultParagraphFont"/>
    <w:link w:val="Heading8"/>
    <w:uiPriority w:val="4"/>
    <w:rsid w:val="007F7E54"/>
    <w:rPr>
      <w:rFonts w:asciiTheme="majorHAnsi" w:eastAsiaTheme="majorEastAsia" w:hAnsiTheme="majorHAnsi" w:cstheme="majorBidi"/>
      <w:b/>
      <w:bCs/>
      <w:color w:val="00645F" w:themeColor="text2"/>
      <w:sz w:val="20"/>
      <w:szCs w:val="20"/>
      <w:lang w:eastAsia="en-AU"/>
    </w:rPr>
  </w:style>
  <w:style w:type="character" w:customStyle="1" w:styleId="Heading9Char">
    <w:name w:val="Heading 9 Char"/>
    <w:basedOn w:val="DefaultParagraphFont"/>
    <w:link w:val="Heading9"/>
    <w:uiPriority w:val="4"/>
    <w:rsid w:val="007F7E54"/>
    <w:rPr>
      <w:rFonts w:asciiTheme="majorHAnsi" w:eastAsiaTheme="majorEastAsia" w:hAnsiTheme="majorHAnsi" w:cstheme="majorBidi"/>
      <w:b/>
      <w:bCs/>
      <w:i/>
      <w:iCs/>
      <w:color w:val="00645F" w:themeColor="text2"/>
      <w:sz w:val="20"/>
      <w:szCs w:val="20"/>
      <w:lang w:eastAsia="en-AU"/>
    </w:rPr>
  </w:style>
  <w:style w:type="character" w:styleId="Hyperlink">
    <w:name w:val="Hyperlink"/>
    <w:uiPriority w:val="99"/>
    <w:rsid w:val="00992DF9"/>
    <w:rPr>
      <w:color w:val="53565A" w:themeColor="accent2"/>
      <w:u w:val="dotted"/>
    </w:rPr>
  </w:style>
  <w:style w:type="paragraph" w:customStyle="1" w:styleId="ARaccessibilitypara">
    <w:name w:val="AR accessibility para"/>
    <w:uiPriority w:val="3"/>
    <w:rsid w:val="0081234A"/>
    <w:pPr>
      <w:spacing w:after="200" w:line="300" w:lineRule="atLeast"/>
    </w:pPr>
    <w:rPr>
      <w:rFonts w:ascii="Arial" w:eastAsia="Times" w:hAnsi="Arial"/>
      <w:sz w:val="24"/>
      <w:szCs w:val="19"/>
    </w:rPr>
  </w:style>
  <w:style w:type="paragraph" w:customStyle="1" w:styleId="ARbody">
    <w:name w:val="AR body"/>
    <w:uiPriority w:val="99"/>
    <w:qFormat/>
    <w:rsid w:val="0081234A"/>
    <w:pPr>
      <w:spacing w:after="120" w:line="260" w:lineRule="atLeast"/>
    </w:pPr>
    <w:rPr>
      <w:rFonts w:ascii="Arial" w:eastAsia="Times" w:hAnsi="Arial" w:cs="Arial"/>
      <w:sz w:val="20"/>
      <w:szCs w:val="24"/>
    </w:rPr>
  </w:style>
  <w:style w:type="character" w:styleId="Strong">
    <w:name w:val="Strong"/>
    <w:basedOn w:val="DefaultParagraphFont"/>
    <w:uiPriority w:val="22"/>
    <w:qFormat/>
    <w:rsid w:val="0081234A"/>
    <w:rPr>
      <w:b/>
      <w:bCs/>
    </w:rPr>
  </w:style>
  <w:style w:type="paragraph" w:styleId="BalloonText">
    <w:name w:val="Balloon Text"/>
    <w:basedOn w:val="Normal"/>
    <w:link w:val="BalloonTextChar"/>
    <w:uiPriority w:val="98"/>
    <w:semiHidden/>
    <w:rsid w:val="00812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8"/>
    <w:semiHidden/>
    <w:rsid w:val="0081234A"/>
    <w:rPr>
      <w:rFonts w:ascii="Segoe UI" w:hAnsi="Segoe UI" w:cs="Segoe UI"/>
      <w:sz w:val="18"/>
      <w:szCs w:val="18"/>
    </w:rPr>
  </w:style>
  <w:style w:type="paragraph" w:customStyle="1" w:styleId="ARbodynospace">
    <w:name w:val="AR body no space"/>
    <w:basedOn w:val="ARbody"/>
    <w:qFormat/>
    <w:rsid w:val="0081234A"/>
    <w:pPr>
      <w:spacing w:after="0"/>
    </w:pPr>
  </w:style>
  <w:style w:type="paragraph" w:customStyle="1" w:styleId="ARbodyaftertable">
    <w:name w:val="AR body after table"/>
    <w:basedOn w:val="ARbody"/>
    <w:qFormat/>
    <w:rsid w:val="0081234A"/>
    <w:pPr>
      <w:spacing w:before="240"/>
    </w:pPr>
  </w:style>
  <w:style w:type="paragraph" w:styleId="TOC1">
    <w:name w:val="toc 1"/>
    <w:uiPriority w:val="39"/>
    <w:qFormat/>
    <w:rsid w:val="00C86F88"/>
    <w:pPr>
      <w:pBdr>
        <w:bottom w:val="single" w:sz="4" w:space="3" w:color="00645F" w:themeColor="text2"/>
        <w:between w:val="single" w:sz="4" w:space="1" w:color="00645F" w:themeColor="text2"/>
      </w:pBdr>
      <w:tabs>
        <w:tab w:val="right" w:pos="9639"/>
      </w:tabs>
      <w:spacing w:before="120" w:after="40" w:line="264" w:lineRule="auto"/>
    </w:pPr>
    <w:rPr>
      <w:rFonts w:ascii="Arial" w:eastAsiaTheme="minorEastAsia" w:hAnsi="Arial"/>
      <w:noProof/>
      <w:sz w:val="20"/>
      <w:szCs w:val="20"/>
      <w:u w:color="D50032"/>
    </w:rPr>
  </w:style>
  <w:style w:type="paragraph" w:customStyle="1" w:styleId="ARTOCheading">
    <w:name w:val="AR TOC heading"/>
    <w:basedOn w:val="Heading1"/>
    <w:next w:val="ARbody"/>
    <w:link w:val="ARTOCheadingChar"/>
    <w:uiPriority w:val="3"/>
    <w:qFormat/>
    <w:rsid w:val="00FA4D5A"/>
    <w:rPr>
      <w:lang w:val="x-none" w:eastAsia="x-none"/>
    </w:rPr>
  </w:style>
  <w:style w:type="character" w:customStyle="1" w:styleId="ARTOCheadingChar">
    <w:name w:val="AR TOC heading Char"/>
    <w:link w:val="ARTOCheading"/>
    <w:uiPriority w:val="3"/>
    <w:rsid w:val="00FA4D5A"/>
    <w:rPr>
      <w:rFonts w:ascii="Arial" w:eastAsia="MS Gothic" w:hAnsi="Arial" w:cs="Times New Roman"/>
      <w:bCs/>
      <w:color w:val="00645F" w:themeColor="text2"/>
      <w:kern w:val="32"/>
      <w:sz w:val="48"/>
      <w:szCs w:val="64"/>
      <w:lang w:val="x-none" w:eastAsia="x-none"/>
    </w:rPr>
  </w:style>
  <w:style w:type="paragraph" w:customStyle="1" w:styleId="ARbodyafterbullets">
    <w:name w:val="AR body after bullets"/>
    <w:basedOn w:val="ARbody"/>
    <w:uiPriority w:val="3"/>
    <w:qFormat/>
    <w:rsid w:val="0081234A"/>
    <w:pPr>
      <w:spacing w:before="120"/>
    </w:pPr>
  </w:style>
  <w:style w:type="character" w:styleId="PageNumber">
    <w:name w:val="page number"/>
    <w:basedOn w:val="DefaultParagraphFont"/>
    <w:uiPriority w:val="14"/>
    <w:semiHidden/>
    <w:rsid w:val="0081234A"/>
    <w:rPr>
      <w:rFonts w:cs="Arial"/>
      <w:b w:val="0"/>
      <w:color w:val="53565A"/>
    </w:rPr>
  </w:style>
  <w:style w:type="paragraph" w:customStyle="1" w:styleId="ARbullet1">
    <w:name w:val="AR bullet 1"/>
    <w:basedOn w:val="Normal"/>
    <w:qFormat/>
    <w:rsid w:val="001D049B"/>
    <w:pPr>
      <w:numPr>
        <w:numId w:val="4"/>
      </w:numPr>
      <w:spacing w:after="40" w:line="260" w:lineRule="atLeast"/>
    </w:pPr>
    <w:rPr>
      <w:rFonts w:ascii="Arial" w:eastAsia="Times" w:hAnsi="Arial" w:cs="Arial"/>
      <w:sz w:val="20"/>
      <w:szCs w:val="24"/>
    </w:rPr>
  </w:style>
  <w:style w:type="paragraph" w:customStyle="1" w:styleId="ARbullet2">
    <w:name w:val="AR bullet 2"/>
    <w:basedOn w:val="Normal"/>
    <w:qFormat/>
    <w:rsid w:val="001D049B"/>
    <w:pPr>
      <w:numPr>
        <w:ilvl w:val="1"/>
        <w:numId w:val="4"/>
      </w:numPr>
      <w:spacing w:after="40" w:line="260" w:lineRule="atLeast"/>
    </w:pPr>
    <w:rPr>
      <w:rFonts w:ascii="Arial" w:eastAsia="Times" w:hAnsi="Arial" w:cs="Arial"/>
      <w:sz w:val="20"/>
      <w:szCs w:val="24"/>
    </w:rPr>
  </w:style>
  <w:style w:type="table" w:styleId="TableGrid">
    <w:name w:val="Table Grid"/>
    <w:aliases w:val="DFFH table 2"/>
    <w:basedOn w:val="TableNormal"/>
    <w:rsid w:val="000F6AD6"/>
    <w:pPr>
      <w:spacing w:after="120" w:line="264" w:lineRule="auto"/>
    </w:pPr>
    <w:rPr>
      <w:rFonts w:eastAsiaTheme="minorEastAsia"/>
      <w:sz w:val="20"/>
      <w:szCs w:val="20"/>
      <w:lang w:eastAsia="en-AU"/>
    </w:rPr>
    <w:tblPr>
      <w:tblStyleColBandSize w:val="1"/>
      <w:tblBorders>
        <w:insideH w:val="single" w:sz="4" w:space="0" w:color="A6A6A6" w:themeColor="accent5"/>
      </w:tblBorders>
      <w:tblCellMar>
        <w:left w:w="0" w:type="dxa"/>
      </w:tblCellMar>
    </w:tblPr>
    <w:trPr>
      <w:cantSplit/>
    </w:trPr>
    <w:tblStylePr w:type="firstRow">
      <w:pPr>
        <w:jc w:val="left"/>
      </w:pPr>
      <w:tblPr/>
      <w:trPr>
        <w:cantSplit w:val="0"/>
      </w:trPr>
      <w:tcPr>
        <w:tcBorders>
          <w:bottom w:val="single" w:sz="4" w:space="0" w:color="000000" w:themeColor="text1"/>
        </w:tcBorders>
        <w:vAlign w:val="bottom"/>
      </w:tcPr>
    </w:tblStylePr>
    <w:tblStylePr w:type="lastRow">
      <w:tblPr/>
      <w:tcPr>
        <w:tcBorders>
          <w:top w:val="single" w:sz="4" w:space="0" w:color="000000" w:themeColor="text1"/>
          <w:bottom w:val="single" w:sz="4" w:space="0" w:color="000000" w:themeColor="text1"/>
        </w:tcBorders>
      </w:tcPr>
    </w:tblStylePr>
    <w:tblStylePr w:type="band2Vert">
      <w:tblPr/>
      <w:tcPr>
        <w:shd w:val="clear" w:color="auto" w:fill="E7E6E6" w:themeFill="background2"/>
      </w:tcPr>
    </w:tblStylePr>
  </w:style>
  <w:style w:type="character" w:styleId="CommentReference">
    <w:name w:val="annotation reference"/>
    <w:uiPriority w:val="99"/>
    <w:semiHidden/>
    <w:unhideWhenUsed/>
    <w:rsid w:val="0081234A"/>
    <w:rPr>
      <w:sz w:val="16"/>
      <w:szCs w:val="16"/>
    </w:rPr>
  </w:style>
  <w:style w:type="paragraph" w:customStyle="1" w:styleId="ARnumberdigit">
    <w:name w:val="AR number digit"/>
    <w:basedOn w:val="Normal"/>
    <w:uiPriority w:val="2"/>
    <w:rsid w:val="001D049B"/>
    <w:pPr>
      <w:numPr>
        <w:numId w:val="7"/>
      </w:numPr>
      <w:tabs>
        <w:tab w:val="clear" w:pos="397"/>
        <w:tab w:val="num" w:pos="284"/>
      </w:tabs>
      <w:spacing w:after="60" w:line="260" w:lineRule="atLeast"/>
      <w:ind w:left="284" w:hanging="284"/>
    </w:pPr>
    <w:rPr>
      <w:rFonts w:ascii="Arial" w:eastAsia="Times" w:hAnsi="Arial"/>
      <w:sz w:val="20"/>
      <w:szCs w:val="20"/>
      <w:lang w:eastAsia="en-AU"/>
    </w:rPr>
  </w:style>
  <w:style w:type="paragraph" w:customStyle="1" w:styleId="ARtabletext">
    <w:name w:val="AR table text"/>
    <w:uiPriority w:val="99"/>
    <w:qFormat/>
    <w:rsid w:val="0081234A"/>
    <w:pPr>
      <w:spacing w:before="80" w:after="60" w:line="264" w:lineRule="auto"/>
    </w:pPr>
    <w:rPr>
      <w:rFonts w:ascii="Arial" w:eastAsia="Times" w:hAnsi="Arial" w:cs="Arial"/>
      <w:sz w:val="18"/>
      <w:szCs w:val="18"/>
      <w:lang w:eastAsia="en-AU"/>
    </w:rPr>
  </w:style>
  <w:style w:type="paragraph" w:customStyle="1" w:styleId="ARtablecolhead">
    <w:name w:val="AR table col head"/>
    <w:uiPriority w:val="99"/>
    <w:qFormat/>
    <w:rsid w:val="00B62650"/>
    <w:pPr>
      <w:spacing w:before="80" w:after="60" w:line="240" w:lineRule="auto"/>
    </w:pPr>
    <w:rPr>
      <w:rFonts w:ascii="Arial" w:eastAsia="Times" w:hAnsi="Arial" w:cs="Arial"/>
      <w:b/>
      <w:color w:val="00645F" w:themeColor="text2"/>
      <w:sz w:val="18"/>
      <w:szCs w:val="18"/>
    </w:rPr>
  </w:style>
  <w:style w:type="paragraph" w:customStyle="1" w:styleId="ARtablefootnote">
    <w:name w:val="AR table footnote"/>
    <w:uiPriority w:val="99"/>
    <w:qFormat/>
    <w:rsid w:val="00475BBE"/>
    <w:pPr>
      <w:tabs>
        <w:tab w:val="left" w:pos="340"/>
      </w:tabs>
      <w:spacing w:before="40" w:after="20" w:line="264" w:lineRule="auto"/>
    </w:pPr>
    <w:rPr>
      <w:rFonts w:ascii="Arial" w:eastAsiaTheme="minorEastAsia" w:hAnsi="Arial"/>
      <w:sz w:val="16"/>
      <w:szCs w:val="16"/>
    </w:rPr>
  </w:style>
  <w:style w:type="paragraph" w:styleId="ListBullet2">
    <w:name w:val="List Bullet 2"/>
    <w:basedOn w:val="ListBullet"/>
    <w:uiPriority w:val="98"/>
    <w:semiHidden/>
    <w:rsid w:val="0081234A"/>
    <w:pPr>
      <w:numPr>
        <w:ilvl w:val="1"/>
      </w:numPr>
      <w:tabs>
        <w:tab w:val="num" w:pos="284"/>
        <w:tab w:val="num" w:pos="360"/>
        <w:tab w:val="num" w:pos="680"/>
      </w:tabs>
    </w:pPr>
  </w:style>
  <w:style w:type="paragraph" w:styleId="ListBullet">
    <w:name w:val="List Bullet"/>
    <w:basedOn w:val="Normal"/>
    <w:link w:val="ListBulletChar"/>
    <w:uiPriority w:val="98"/>
    <w:semiHidden/>
    <w:qFormat/>
    <w:rsid w:val="0081234A"/>
    <w:pPr>
      <w:keepLines/>
      <w:numPr>
        <w:numId w:val="1"/>
      </w:numPr>
      <w:tabs>
        <w:tab w:val="num" w:pos="397"/>
      </w:tabs>
      <w:spacing w:before="60" w:after="120" w:line="264" w:lineRule="auto"/>
      <w:contextualSpacing/>
    </w:pPr>
    <w:rPr>
      <w:spacing w:val="2"/>
      <w:sz w:val="18"/>
      <w:szCs w:val="18"/>
      <w:lang w:eastAsia="en-AU"/>
    </w:rPr>
  </w:style>
  <w:style w:type="paragraph" w:styleId="ListBullet3">
    <w:name w:val="List Bullet 3"/>
    <w:basedOn w:val="ListBullet2"/>
    <w:uiPriority w:val="19"/>
    <w:semiHidden/>
    <w:rsid w:val="0081234A"/>
    <w:pPr>
      <w:numPr>
        <w:ilvl w:val="2"/>
      </w:numPr>
      <w:tabs>
        <w:tab w:val="num" w:pos="360"/>
        <w:tab w:val="num" w:pos="794"/>
      </w:tabs>
    </w:pPr>
  </w:style>
  <w:style w:type="paragraph" w:styleId="FootnoteText">
    <w:name w:val="footnote text"/>
    <w:basedOn w:val="ARbody"/>
    <w:link w:val="FootnoteTextChar"/>
    <w:uiPriority w:val="9"/>
    <w:qFormat/>
    <w:rsid w:val="007F7E54"/>
    <w:pPr>
      <w:spacing w:before="80" w:after="80" w:line="240" w:lineRule="auto"/>
      <w:ind w:left="284" w:hanging="284"/>
    </w:pPr>
    <w:rPr>
      <w:rFonts w:cs="Times New Roman"/>
      <w:sz w:val="16"/>
      <w:szCs w:val="18"/>
      <w:lang w:val="x-none"/>
    </w:rPr>
  </w:style>
  <w:style w:type="character" w:customStyle="1" w:styleId="FootnoteTextChar">
    <w:name w:val="Footnote Text Char"/>
    <w:basedOn w:val="DefaultParagraphFont"/>
    <w:link w:val="FootnoteText"/>
    <w:uiPriority w:val="9"/>
    <w:rsid w:val="0081234A"/>
    <w:rPr>
      <w:rFonts w:ascii="Arial" w:eastAsia="Times" w:hAnsi="Arial" w:cs="Times New Roman"/>
      <w:sz w:val="16"/>
      <w:szCs w:val="18"/>
      <w:lang w:val="x-none"/>
    </w:rPr>
  </w:style>
  <w:style w:type="character" w:styleId="FootnoteReference">
    <w:name w:val="footnote reference"/>
    <w:uiPriority w:val="11"/>
    <w:rsid w:val="0081234A"/>
    <w:rPr>
      <w:vertAlign w:val="superscript"/>
    </w:rPr>
  </w:style>
  <w:style w:type="paragraph" w:customStyle="1" w:styleId="ARtabletextright">
    <w:name w:val="AR table text right"/>
    <w:basedOn w:val="ARtabletext"/>
    <w:uiPriority w:val="99"/>
    <w:qFormat/>
    <w:rsid w:val="0081234A"/>
    <w:pPr>
      <w:jc w:val="right"/>
    </w:pPr>
  </w:style>
  <w:style w:type="paragraph" w:customStyle="1" w:styleId="ARbodybeforetable">
    <w:name w:val="AR body before table"/>
    <w:basedOn w:val="ARbody"/>
    <w:qFormat/>
    <w:rsid w:val="0081234A"/>
    <w:pPr>
      <w:spacing w:after="240"/>
    </w:pPr>
    <w:rPr>
      <w:lang w:eastAsia="en-AU"/>
    </w:rPr>
  </w:style>
  <w:style w:type="paragraph" w:customStyle="1" w:styleId="LightList-Accent31">
    <w:name w:val="Light List - Accent 31"/>
    <w:hidden/>
    <w:uiPriority w:val="99"/>
    <w:semiHidden/>
    <w:rsid w:val="0081234A"/>
    <w:pPr>
      <w:spacing w:after="120" w:line="264" w:lineRule="auto"/>
    </w:pPr>
    <w:rPr>
      <w:rFonts w:ascii="Arial" w:eastAsiaTheme="minorEastAsia" w:hAnsi="Arial"/>
      <w:sz w:val="24"/>
      <w:szCs w:val="24"/>
    </w:rPr>
  </w:style>
  <w:style w:type="paragraph" w:styleId="TOC5">
    <w:name w:val="toc 5"/>
    <w:basedOn w:val="Normal"/>
    <w:next w:val="Normal"/>
    <w:autoRedefine/>
    <w:uiPriority w:val="39"/>
    <w:semiHidden/>
    <w:rsid w:val="0081234A"/>
    <w:pPr>
      <w:spacing w:after="120" w:line="264" w:lineRule="auto"/>
      <w:ind w:left="800"/>
    </w:pPr>
    <w:rPr>
      <w:rFonts w:eastAsiaTheme="minorEastAsia"/>
      <w:sz w:val="20"/>
      <w:szCs w:val="20"/>
      <w:lang w:eastAsia="en-AU"/>
    </w:rPr>
  </w:style>
  <w:style w:type="paragraph" w:customStyle="1" w:styleId="ARtablecolheadcentre">
    <w:name w:val="AR table col head centre"/>
    <w:basedOn w:val="ARtablecolheadright"/>
    <w:uiPriority w:val="3"/>
    <w:qFormat/>
    <w:rsid w:val="0081234A"/>
    <w:pPr>
      <w:jc w:val="center"/>
    </w:pPr>
  </w:style>
  <w:style w:type="paragraph" w:customStyle="1" w:styleId="ARtablecaption">
    <w:name w:val="AR table caption"/>
    <w:uiPriority w:val="3"/>
    <w:qFormat/>
    <w:rsid w:val="00A95A18"/>
    <w:pPr>
      <w:keepNext/>
      <w:keepLines/>
      <w:spacing w:before="160" w:after="80" w:line="264" w:lineRule="auto"/>
    </w:pPr>
    <w:rPr>
      <w:rFonts w:ascii="Arial" w:eastAsiaTheme="minorEastAsia" w:hAnsi="Arial" w:cs="Arial"/>
      <w:b/>
      <w:bCs/>
      <w:color w:val="00645F" w:themeColor="text2"/>
      <w:sz w:val="20"/>
      <w:szCs w:val="17"/>
    </w:rPr>
  </w:style>
  <w:style w:type="paragraph" w:styleId="TOC2">
    <w:name w:val="toc 2"/>
    <w:basedOn w:val="TOC1"/>
    <w:uiPriority w:val="39"/>
    <w:qFormat/>
    <w:rsid w:val="0081234A"/>
    <w:pPr>
      <w:ind w:left="284"/>
    </w:pPr>
    <w:rPr>
      <w:szCs w:val="24"/>
    </w:rPr>
  </w:style>
  <w:style w:type="paragraph" w:styleId="DocumentMap">
    <w:name w:val="Document Map"/>
    <w:basedOn w:val="Normal"/>
    <w:link w:val="DocumentMapChar"/>
    <w:uiPriority w:val="98"/>
    <w:semiHidden/>
    <w:rsid w:val="0081234A"/>
    <w:pPr>
      <w:spacing w:after="120" w:line="264" w:lineRule="auto"/>
    </w:pPr>
    <w:rPr>
      <w:rFonts w:ascii="Lucida Grande" w:eastAsiaTheme="minorEastAsia" w:hAnsi="Lucida Grande"/>
      <w:sz w:val="20"/>
      <w:szCs w:val="20"/>
      <w:lang w:val="x-none" w:eastAsia="en-AU"/>
    </w:rPr>
  </w:style>
  <w:style w:type="character" w:customStyle="1" w:styleId="DocumentMapChar">
    <w:name w:val="Document Map Char"/>
    <w:basedOn w:val="DefaultParagraphFont"/>
    <w:link w:val="DocumentMap"/>
    <w:uiPriority w:val="98"/>
    <w:semiHidden/>
    <w:rsid w:val="0081234A"/>
    <w:rPr>
      <w:rFonts w:ascii="Lucida Grande" w:eastAsiaTheme="minorEastAsia" w:hAnsi="Lucida Grande"/>
      <w:sz w:val="20"/>
      <w:szCs w:val="20"/>
      <w:lang w:val="x-none" w:eastAsia="en-AU"/>
    </w:rPr>
  </w:style>
  <w:style w:type="paragraph" w:styleId="TOC3">
    <w:name w:val="toc 3"/>
    <w:basedOn w:val="TOC2"/>
    <w:uiPriority w:val="39"/>
    <w:qFormat/>
    <w:rsid w:val="0081234A"/>
  </w:style>
  <w:style w:type="paragraph" w:styleId="TOC4">
    <w:name w:val="toc 4"/>
    <w:basedOn w:val="TOC3"/>
    <w:uiPriority w:val="39"/>
    <w:rsid w:val="0081234A"/>
    <w:pPr>
      <w:ind w:left="567"/>
    </w:pPr>
  </w:style>
  <w:style w:type="paragraph" w:styleId="TOC6">
    <w:name w:val="toc 6"/>
    <w:basedOn w:val="Normal"/>
    <w:next w:val="Normal"/>
    <w:autoRedefine/>
    <w:uiPriority w:val="39"/>
    <w:semiHidden/>
    <w:rsid w:val="0081234A"/>
    <w:pPr>
      <w:spacing w:after="120" w:line="264" w:lineRule="auto"/>
      <w:ind w:left="1000"/>
    </w:pPr>
    <w:rPr>
      <w:rFonts w:eastAsiaTheme="minorEastAsia"/>
      <w:sz w:val="20"/>
      <w:szCs w:val="20"/>
      <w:lang w:eastAsia="en-AU"/>
    </w:rPr>
  </w:style>
  <w:style w:type="paragraph" w:styleId="TOC7">
    <w:name w:val="toc 7"/>
    <w:basedOn w:val="Normal"/>
    <w:next w:val="Normal"/>
    <w:autoRedefine/>
    <w:uiPriority w:val="39"/>
    <w:semiHidden/>
    <w:rsid w:val="0081234A"/>
    <w:pPr>
      <w:spacing w:after="120" w:line="264" w:lineRule="auto"/>
      <w:ind w:left="1200"/>
    </w:pPr>
    <w:rPr>
      <w:rFonts w:eastAsiaTheme="minorEastAsia"/>
      <w:sz w:val="20"/>
      <w:szCs w:val="20"/>
      <w:lang w:eastAsia="en-AU"/>
    </w:rPr>
  </w:style>
  <w:style w:type="paragraph" w:styleId="TOC8">
    <w:name w:val="toc 8"/>
    <w:basedOn w:val="Normal"/>
    <w:next w:val="Normal"/>
    <w:autoRedefine/>
    <w:uiPriority w:val="39"/>
    <w:semiHidden/>
    <w:rsid w:val="0081234A"/>
    <w:pPr>
      <w:spacing w:after="120" w:line="264" w:lineRule="auto"/>
      <w:ind w:left="1400"/>
    </w:pPr>
    <w:rPr>
      <w:rFonts w:eastAsiaTheme="minorEastAsia"/>
      <w:sz w:val="20"/>
      <w:szCs w:val="20"/>
      <w:lang w:eastAsia="en-AU"/>
    </w:rPr>
  </w:style>
  <w:style w:type="paragraph" w:styleId="TOC9">
    <w:name w:val="toc 9"/>
    <w:basedOn w:val="Normal"/>
    <w:next w:val="Normal"/>
    <w:autoRedefine/>
    <w:uiPriority w:val="39"/>
    <w:semiHidden/>
    <w:rsid w:val="0081234A"/>
    <w:pPr>
      <w:spacing w:after="120" w:line="264" w:lineRule="auto"/>
      <w:ind w:left="1600"/>
    </w:pPr>
    <w:rPr>
      <w:rFonts w:eastAsiaTheme="minorEastAsia"/>
      <w:sz w:val="20"/>
      <w:szCs w:val="20"/>
      <w:lang w:eastAsia="en-AU"/>
    </w:rPr>
  </w:style>
  <w:style w:type="character" w:styleId="EndnoteReference">
    <w:name w:val="endnote reference"/>
    <w:uiPriority w:val="99"/>
    <w:semiHidden/>
    <w:rsid w:val="0081234A"/>
    <w:rPr>
      <w:vertAlign w:val="superscript"/>
    </w:rPr>
  </w:style>
  <w:style w:type="paragraph" w:customStyle="1" w:styleId="ARpublicationtitle">
    <w:name w:val="AR publication title"/>
    <w:link w:val="ARpublicationtitleChar"/>
    <w:uiPriority w:val="3"/>
    <w:qFormat/>
    <w:rsid w:val="00C42CC3"/>
    <w:pPr>
      <w:spacing w:before="240" w:after="200" w:line="264" w:lineRule="auto"/>
    </w:pPr>
    <w:rPr>
      <w:rFonts w:ascii="Arial" w:eastAsia="MS Mincho" w:hAnsi="Arial"/>
      <w:color w:val="00645F" w:themeColor="text2"/>
      <w:sz w:val="50"/>
      <w:szCs w:val="50"/>
    </w:rPr>
  </w:style>
  <w:style w:type="character" w:customStyle="1" w:styleId="ARpublicationtitleChar">
    <w:name w:val="AR publication title Char"/>
    <w:link w:val="ARpublicationtitle"/>
    <w:uiPriority w:val="3"/>
    <w:rsid w:val="00C42CC3"/>
    <w:rPr>
      <w:rFonts w:ascii="Arial" w:eastAsia="MS Mincho" w:hAnsi="Arial"/>
      <w:color w:val="00645F" w:themeColor="text2"/>
      <w:sz w:val="50"/>
      <w:szCs w:val="50"/>
    </w:rPr>
  </w:style>
  <w:style w:type="paragraph" w:styleId="Caption">
    <w:name w:val="caption"/>
    <w:basedOn w:val="Normal"/>
    <w:next w:val="Normal"/>
    <w:uiPriority w:val="98"/>
    <w:semiHidden/>
    <w:unhideWhenUsed/>
    <w:qFormat/>
    <w:rsid w:val="0081234A"/>
    <w:pPr>
      <w:spacing w:after="120" w:line="240" w:lineRule="auto"/>
    </w:pPr>
    <w:rPr>
      <w:rFonts w:eastAsiaTheme="minorEastAsia"/>
      <w:b/>
      <w:bCs/>
      <w:smallCaps/>
      <w:color w:val="595959" w:themeColor="text1" w:themeTint="A6"/>
      <w:spacing w:val="6"/>
      <w:sz w:val="20"/>
      <w:szCs w:val="20"/>
      <w:lang w:eastAsia="en-AU"/>
    </w:rPr>
  </w:style>
  <w:style w:type="paragraph" w:customStyle="1" w:styleId="ARtablenoteindent">
    <w:name w:val="AR table note indent"/>
    <w:link w:val="ARtablenoteindentChar"/>
    <w:uiPriority w:val="3"/>
    <w:qFormat/>
    <w:rsid w:val="00130336"/>
    <w:pPr>
      <w:spacing w:before="80" w:after="80" w:line="288" w:lineRule="auto"/>
      <w:ind w:left="454"/>
    </w:pPr>
    <w:rPr>
      <w:rFonts w:ascii="Arial" w:eastAsia="Times" w:hAnsi="Arial"/>
      <w:iCs/>
      <w:sz w:val="16"/>
      <w:szCs w:val="18"/>
      <w:lang w:eastAsia="en-AU"/>
    </w:rPr>
  </w:style>
  <w:style w:type="character" w:customStyle="1" w:styleId="ARtablenoteindentChar">
    <w:name w:val="AR table note indent Char"/>
    <w:link w:val="ARtablenoteindent"/>
    <w:uiPriority w:val="3"/>
    <w:rsid w:val="00130336"/>
    <w:rPr>
      <w:rFonts w:ascii="Arial" w:eastAsia="Times" w:hAnsi="Arial"/>
      <w:iCs/>
      <w:sz w:val="16"/>
      <w:szCs w:val="18"/>
      <w:lang w:eastAsia="en-AU"/>
    </w:rPr>
  </w:style>
  <w:style w:type="paragraph" w:customStyle="1" w:styleId="ARtabletextrightbold">
    <w:name w:val="AR table text right bold"/>
    <w:basedOn w:val="ARtabletextright"/>
    <w:uiPriority w:val="3"/>
    <w:qFormat/>
    <w:rsid w:val="0081234A"/>
    <w:rPr>
      <w:b/>
    </w:rPr>
  </w:style>
  <w:style w:type="paragraph" w:customStyle="1" w:styleId="LightList-Accent311">
    <w:name w:val="Light List - Accent 311"/>
    <w:hidden/>
    <w:uiPriority w:val="99"/>
    <w:semiHidden/>
    <w:rsid w:val="0081234A"/>
    <w:pPr>
      <w:spacing w:after="120" w:line="264" w:lineRule="auto"/>
    </w:pPr>
    <w:rPr>
      <w:rFonts w:ascii="Arial" w:eastAsiaTheme="minorEastAsia" w:hAnsi="Arial"/>
      <w:sz w:val="24"/>
      <w:szCs w:val="24"/>
    </w:rPr>
  </w:style>
  <w:style w:type="character" w:styleId="FollowedHyperlink">
    <w:name w:val="FollowedHyperlink"/>
    <w:uiPriority w:val="99"/>
    <w:rsid w:val="0081234A"/>
    <w:rPr>
      <w:color w:val="500778"/>
      <w:u w:val="dotted"/>
    </w:rPr>
  </w:style>
  <w:style w:type="paragraph" w:styleId="CommentSubject">
    <w:name w:val="annotation subject"/>
    <w:basedOn w:val="Normal"/>
    <w:next w:val="Normal"/>
    <w:link w:val="CommentSubjectChar"/>
    <w:uiPriority w:val="98"/>
    <w:semiHidden/>
    <w:unhideWhenUsed/>
    <w:rsid w:val="008D6776"/>
    <w:rPr>
      <w:b/>
      <w:bCs/>
    </w:rPr>
  </w:style>
  <w:style w:type="character" w:customStyle="1" w:styleId="CommentSubjectChar">
    <w:name w:val="Comment Subject Char"/>
    <w:basedOn w:val="DefaultParagraphFont"/>
    <w:link w:val="CommentSubject"/>
    <w:uiPriority w:val="98"/>
    <w:semiHidden/>
    <w:rsid w:val="008D6776"/>
    <w:rPr>
      <w:rFonts w:eastAsiaTheme="minorEastAsia"/>
      <w:b/>
      <w:bCs/>
      <w:sz w:val="20"/>
      <w:szCs w:val="20"/>
      <w:lang w:val="x-none" w:eastAsia="en-AU"/>
    </w:rPr>
  </w:style>
  <w:style w:type="paragraph" w:styleId="EndnoteText">
    <w:name w:val="endnote text"/>
    <w:basedOn w:val="Normal"/>
    <w:link w:val="EndnoteTextChar"/>
    <w:uiPriority w:val="98"/>
    <w:semiHidden/>
    <w:unhideWhenUsed/>
    <w:rsid w:val="0081234A"/>
    <w:pPr>
      <w:spacing w:after="120" w:line="264" w:lineRule="auto"/>
    </w:pPr>
    <w:rPr>
      <w:rFonts w:eastAsiaTheme="minorEastAsia"/>
      <w:sz w:val="20"/>
      <w:szCs w:val="20"/>
      <w:lang w:val="x-none" w:eastAsia="en-AU"/>
    </w:rPr>
  </w:style>
  <w:style w:type="character" w:customStyle="1" w:styleId="EndnoteTextChar">
    <w:name w:val="Endnote Text Char"/>
    <w:basedOn w:val="DefaultParagraphFont"/>
    <w:link w:val="EndnoteText"/>
    <w:uiPriority w:val="98"/>
    <w:semiHidden/>
    <w:rsid w:val="0081234A"/>
    <w:rPr>
      <w:rFonts w:eastAsiaTheme="minorEastAsia"/>
      <w:sz w:val="20"/>
      <w:szCs w:val="20"/>
      <w:lang w:val="x-none" w:eastAsia="en-AU"/>
    </w:rPr>
  </w:style>
  <w:style w:type="paragraph" w:customStyle="1" w:styleId="ARtablecolheadright">
    <w:name w:val="AR table col head right"/>
    <w:basedOn w:val="ARtablecolhead"/>
    <w:uiPriority w:val="99"/>
    <w:qFormat/>
    <w:rsid w:val="00286DD6"/>
    <w:pPr>
      <w:jc w:val="right"/>
    </w:pPr>
  </w:style>
  <w:style w:type="paragraph" w:customStyle="1" w:styleId="ARtabletextbold">
    <w:name w:val="AR table text bold"/>
    <w:basedOn w:val="ARtabletext"/>
    <w:uiPriority w:val="3"/>
    <w:qFormat/>
    <w:rsid w:val="0081234A"/>
    <w:rPr>
      <w:b/>
    </w:rPr>
  </w:style>
  <w:style w:type="paragraph" w:customStyle="1" w:styleId="ARtableperformancesymbol">
    <w:name w:val="AR table performance symbol"/>
    <w:basedOn w:val="Normal"/>
    <w:link w:val="ARtableperformancesymbolChar"/>
    <w:uiPriority w:val="3"/>
    <w:qFormat/>
    <w:rsid w:val="008457D3"/>
    <w:pPr>
      <w:spacing w:before="80" w:after="120" w:line="264" w:lineRule="auto"/>
      <w:jc w:val="right"/>
    </w:pPr>
    <w:rPr>
      <w:rFonts w:ascii="Wingdings" w:eastAsiaTheme="minorEastAsia" w:hAnsi="Wingdings"/>
      <w:sz w:val="18"/>
      <w:szCs w:val="18"/>
      <w:lang w:val="x-none" w:eastAsia="x-none"/>
    </w:rPr>
  </w:style>
  <w:style w:type="character" w:customStyle="1" w:styleId="ARtableperformancesymbolChar">
    <w:name w:val="AR table performance symbol Char"/>
    <w:link w:val="ARtableperformancesymbol"/>
    <w:uiPriority w:val="3"/>
    <w:rsid w:val="004F7554"/>
    <w:rPr>
      <w:rFonts w:ascii="Wingdings" w:eastAsiaTheme="minorEastAsia" w:hAnsi="Wingdings"/>
      <w:sz w:val="18"/>
      <w:szCs w:val="18"/>
      <w:lang w:val="x-none" w:eastAsia="x-none"/>
    </w:rPr>
  </w:style>
  <w:style w:type="paragraph" w:customStyle="1" w:styleId="MediumList2-Accent21">
    <w:name w:val="Medium List 2 - Accent 21"/>
    <w:hidden/>
    <w:uiPriority w:val="99"/>
    <w:semiHidden/>
    <w:rsid w:val="0081234A"/>
    <w:pPr>
      <w:spacing w:after="120" w:line="264" w:lineRule="auto"/>
    </w:pPr>
    <w:rPr>
      <w:rFonts w:ascii="Arial" w:eastAsiaTheme="minorEastAsia" w:hAnsi="Arial"/>
      <w:sz w:val="24"/>
      <w:szCs w:val="24"/>
    </w:rPr>
  </w:style>
  <w:style w:type="character" w:styleId="Emphasis">
    <w:name w:val="Emphasis"/>
    <w:basedOn w:val="DefaultParagraphFont"/>
    <w:uiPriority w:val="20"/>
    <w:qFormat/>
    <w:rsid w:val="0081234A"/>
    <w:rPr>
      <w:i/>
      <w:iCs/>
    </w:rPr>
  </w:style>
  <w:style w:type="paragraph" w:styleId="ListNumber">
    <w:name w:val="List Number"/>
    <w:basedOn w:val="Normal"/>
    <w:uiPriority w:val="98"/>
    <w:semiHidden/>
    <w:rsid w:val="0081234A"/>
    <w:pPr>
      <w:spacing w:after="120" w:line="264" w:lineRule="auto"/>
      <w:ind w:left="720" w:hanging="720"/>
    </w:pPr>
    <w:rPr>
      <w:rFonts w:ascii="Verdana" w:eastAsiaTheme="minorEastAsia" w:hAnsi="Verdana"/>
      <w:sz w:val="20"/>
      <w:szCs w:val="20"/>
      <w:lang w:eastAsia="en-AU"/>
    </w:rPr>
  </w:style>
  <w:style w:type="paragraph" w:customStyle="1" w:styleId="MediumList2-Accent22">
    <w:name w:val="Medium List 2 - Accent 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
    <w:name w:val="Colorful Shading - Accent 11"/>
    <w:hidden/>
    <w:uiPriority w:val="99"/>
    <w:unhideWhenUsed/>
    <w:rsid w:val="0081234A"/>
    <w:pPr>
      <w:spacing w:after="120" w:line="264" w:lineRule="auto"/>
    </w:pPr>
    <w:rPr>
      <w:rFonts w:ascii="Arial" w:eastAsiaTheme="minorEastAsia" w:hAnsi="Arial"/>
      <w:sz w:val="24"/>
      <w:szCs w:val="24"/>
    </w:rPr>
  </w:style>
  <w:style w:type="paragraph" w:styleId="Revision">
    <w:name w:val="Revision"/>
    <w:hidden/>
    <w:uiPriority w:val="62"/>
    <w:rsid w:val="0081234A"/>
    <w:pPr>
      <w:spacing w:after="120" w:line="264" w:lineRule="auto"/>
    </w:pPr>
    <w:rPr>
      <w:rFonts w:ascii="Arial" w:eastAsiaTheme="minorEastAsia" w:hAnsi="Arial"/>
      <w:sz w:val="20"/>
      <w:szCs w:val="20"/>
    </w:rPr>
  </w:style>
  <w:style w:type="character" w:customStyle="1" w:styleId="ListBulletChar">
    <w:name w:val="List Bullet Char"/>
    <w:basedOn w:val="DefaultParagraphFont"/>
    <w:link w:val="ListBullet"/>
    <w:uiPriority w:val="98"/>
    <w:semiHidden/>
    <w:rsid w:val="0081234A"/>
    <w:rPr>
      <w:spacing w:val="2"/>
      <w:sz w:val="18"/>
      <w:szCs w:val="18"/>
      <w:lang w:eastAsia="en-AU"/>
    </w:rPr>
  </w:style>
  <w:style w:type="paragraph" w:styleId="TableofFigures">
    <w:name w:val="table of figures"/>
    <w:basedOn w:val="Normal"/>
    <w:next w:val="Normal"/>
    <w:uiPriority w:val="98"/>
    <w:semiHidden/>
    <w:rsid w:val="0081234A"/>
    <w:pPr>
      <w:spacing w:after="120" w:line="264" w:lineRule="auto"/>
      <w:jc w:val="right"/>
    </w:pPr>
    <w:rPr>
      <w:rFonts w:ascii="AvantGarde Bk BT" w:eastAsiaTheme="minorEastAsia" w:hAnsi="AvantGarde Bk BT"/>
      <w:sz w:val="18"/>
      <w:szCs w:val="18"/>
      <w:lang w:eastAsia="en-AU"/>
    </w:rPr>
  </w:style>
  <w:style w:type="paragraph" w:customStyle="1" w:styleId="ColorfulShading-Accent12">
    <w:name w:val="Colorful Shading - Accent 12"/>
    <w:hidden/>
    <w:uiPriority w:val="99"/>
    <w:semiHidden/>
    <w:rsid w:val="0081234A"/>
    <w:pPr>
      <w:spacing w:after="120" w:line="264" w:lineRule="auto"/>
    </w:pPr>
    <w:rPr>
      <w:rFonts w:ascii="Verdana" w:eastAsiaTheme="minorEastAsia" w:hAnsi="Verdana"/>
      <w:sz w:val="20"/>
      <w:szCs w:val="20"/>
    </w:rPr>
  </w:style>
  <w:style w:type="character" w:customStyle="1" w:styleId="Superscript">
    <w:name w:val="Superscript"/>
    <w:uiPriority w:val="99"/>
    <w:rsid w:val="0081234A"/>
    <w:rPr>
      <w:vertAlign w:val="superscript"/>
    </w:rPr>
  </w:style>
  <w:style w:type="paragraph" w:styleId="Subtitle">
    <w:name w:val="Subtitle"/>
    <w:basedOn w:val="Normal"/>
    <w:next w:val="Normal"/>
    <w:link w:val="SubtitleChar"/>
    <w:uiPriority w:val="11"/>
    <w:qFormat/>
    <w:rsid w:val="0081234A"/>
    <w:pPr>
      <w:numPr>
        <w:ilvl w:val="1"/>
      </w:numPr>
      <w:spacing w:after="120" w:line="240" w:lineRule="auto"/>
    </w:pPr>
    <w:rPr>
      <w:rFonts w:asciiTheme="majorHAnsi" w:eastAsiaTheme="majorEastAsia" w:hAnsiTheme="majorHAnsi" w:cstheme="majorBidi"/>
      <w:sz w:val="24"/>
      <w:szCs w:val="24"/>
      <w:lang w:eastAsia="en-AU"/>
    </w:rPr>
  </w:style>
  <w:style w:type="character" w:customStyle="1" w:styleId="SubtitleChar">
    <w:name w:val="Subtitle Char"/>
    <w:basedOn w:val="DefaultParagraphFont"/>
    <w:link w:val="Subtitle"/>
    <w:uiPriority w:val="11"/>
    <w:rsid w:val="00CD1B0E"/>
    <w:rPr>
      <w:rFonts w:asciiTheme="majorHAnsi" w:eastAsiaTheme="majorEastAsia" w:hAnsiTheme="majorHAnsi" w:cstheme="majorBidi"/>
      <w:sz w:val="24"/>
      <w:szCs w:val="24"/>
      <w:lang w:eastAsia="en-AU"/>
    </w:rPr>
  </w:style>
  <w:style w:type="paragraph" w:styleId="IntenseQuote">
    <w:name w:val="Intense Quote"/>
    <w:basedOn w:val="Normal"/>
    <w:next w:val="Normal"/>
    <w:link w:val="IntenseQuoteChar"/>
    <w:uiPriority w:val="30"/>
    <w:qFormat/>
    <w:rsid w:val="0081234A"/>
    <w:pPr>
      <w:pBdr>
        <w:left w:val="single" w:sz="18" w:space="12" w:color="00645F" w:themeColor="accent1"/>
      </w:pBdr>
      <w:spacing w:before="100" w:beforeAutospacing="1" w:after="120" w:line="300" w:lineRule="auto"/>
      <w:ind w:left="1224" w:right="1224"/>
    </w:pPr>
    <w:rPr>
      <w:rFonts w:asciiTheme="majorHAnsi" w:eastAsiaTheme="majorEastAsia" w:hAnsiTheme="majorHAnsi" w:cstheme="majorBidi"/>
      <w:color w:val="00645F" w:themeColor="accent1"/>
      <w:sz w:val="28"/>
      <w:szCs w:val="28"/>
      <w:lang w:eastAsia="en-AU"/>
    </w:rPr>
  </w:style>
  <w:style w:type="character" w:customStyle="1" w:styleId="IntenseQuoteChar">
    <w:name w:val="Intense Quote Char"/>
    <w:basedOn w:val="DefaultParagraphFont"/>
    <w:link w:val="IntenseQuote"/>
    <w:uiPriority w:val="30"/>
    <w:rsid w:val="00CD1B0E"/>
    <w:rPr>
      <w:rFonts w:asciiTheme="majorHAnsi" w:eastAsiaTheme="majorEastAsia" w:hAnsiTheme="majorHAnsi" w:cstheme="majorBidi"/>
      <w:color w:val="00645F" w:themeColor="accent1"/>
      <w:sz w:val="28"/>
      <w:szCs w:val="28"/>
      <w:lang w:eastAsia="en-AU"/>
    </w:rPr>
  </w:style>
  <w:style w:type="character" w:styleId="SubtleEmphasis">
    <w:name w:val="Subtle Emphasis"/>
    <w:basedOn w:val="DefaultParagraphFont"/>
    <w:uiPriority w:val="19"/>
    <w:qFormat/>
    <w:rsid w:val="0081234A"/>
    <w:rPr>
      <w:i/>
      <w:iCs/>
      <w:color w:val="404040" w:themeColor="text1" w:themeTint="BF"/>
    </w:rPr>
  </w:style>
  <w:style w:type="character" w:styleId="IntenseEmphasis">
    <w:name w:val="Intense Emphasis"/>
    <w:basedOn w:val="DefaultParagraphFont"/>
    <w:uiPriority w:val="21"/>
    <w:qFormat/>
    <w:rsid w:val="0081234A"/>
    <w:rPr>
      <w:b/>
      <w:bCs/>
      <w:i/>
      <w:iCs/>
    </w:rPr>
  </w:style>
  <w:style w:type="paragraph" w:customStyle="1" w:styleId="ARtablegreybold">
    <w:name w:val="AR table grey bold"/>
    <w:basedOn w:val="ARtabletext"/>
    <w:rsid w:val="0081234A"/>
    <w:pPr>
      <w:spacing w:line="240" w:lineRule="auto"/>
    </w:pPr>
    <w:rPr>
      <w:rFonts w:eastAsia="Calibri"/>
      <w:b/>
      <w:color w:val="53565A"/>
    </w:rPr>
  </w:style>
  <w:style w:type="paragraph" w:customStyle="1" w:styleId="LightList-Accent312">
    <w:name w:val="Light List - Accent 312"/>
    <w:hidden/>
    <w:uiPriority w:val="99"/>
    <w:semiHidden/>
    <w:rsid w:val="0081234A"/>
    <w:pPr>
      <w:spacing w:after="120" w:line="264" w:lineRule="auto"/>
    </w:pPr>
    <w:rPr>
      <w:rFonts w:ascii="Arial" w:eastAsiaTheme="minorEastAsia" w:hAnsi="Arial"/>
      <w:sz w:val="24"/>
      <w:szCs w:val="24"/>
    </w:rPr>
  </w:style>
  <w:style w:type="paragraph" w:customStyle="1" w:styleId="LightList-Accent3111">
    <w:name w:val="Light List - Accent 3111"/>
    <w:hidden/>
    <w:uiPriority w:val="99"/>
    <w:semiHidden/>
    <w:rsid w:val="0081234A"/>
    <w:pPr>
      <w:spacing w:after="120" w:line="264" w:lineRule="auto"/>
    </w:pPr>
    <w:rPr>
      <w:rFonts w:ascii="Arial" w:eastAsiaTheme="minorEastAsia" w:hAnsi="Arial"/>
      <w:sz w:val="24"/>
      <w:szCs w:val="24"/>
    </w:rPr>
  </w:style>
  <w:style w:type="paragraph" w:customStyle="1" w:styleId="MediumList2-Accent211">
    <w:name w:val="Medium List 2 - Accent 211"/>
    <w:hidden/>
    <w:uiPriority w:val="99"/>
    <w:semiHidden/>
    <w:rsid w:val="0081234A"/>
    <w:pPr>
      <w:spacing w:after="120" w:line="264" w:lineRule="auto"/>
    </w:pPr>
    <w:rPr>
      <w:rFonts w:ascii="Arial" w:eastAsiaTheme="minorEastAsia" w:hAnsi="Arial"/>
      <w:sz w:val="24"/>
      <w:szCs w:val="24"/>
    </w:rPr>
  </w:style>
  <w:style w:type="paragraph" w:customStyle="1" w:styleId="MediumList2-Accent221">
    <w:name w:val="Medium List 2 - Accent 2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
    <w:name w:val="Colorful Shading - Accent 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
    <w:name w:val="Colorful Shading - Accent 121"/>
    <w:hidden/>
    <w:uiPriority w:val="99"/>
    <w:semiHidden/>
    <w:rsid w:val="0081234A"/>
    <w:pPr>
      <w:spacing w:after="120" w:line="264" w:lineRule="auto"/>
    </w:pPr>
    <w:rPr>
      <w:rFonts w:ascii="Verdana" w:eastAsiaTheme="minorEastAsia" w:hAnsi="Verdana"/>
      <w:sz w:val="20"/>
      <w:szCs w:val="20"/>
    </w:rPr>
  </w:style>
  <w:style w:type="paragraph" w:customStyle="1" w:styleId="LightList-Accent313">
    <w:name w:val="Light List - Accent 313"/>
    <w:hidden/>
    <w:uiPriority w:val="99"/>
    <w:semiHidden/>
    <w:rsid w:val="0081234A"/>
    <w:pPr>
      <w:spacing w:after="120" w:line="264" w:lineRule="auto"/>
    </w:pPr>
    <w:rPr>
      <w:rFonts w:ascii="Arial" w:eastAsiaTheme="minorEastAsia" w:hAnsi="Arial"/>
      <w:sz w:val="24"/>
      <w:szCs w:val="24"/>
    </w:rPr>
  </w:style>
  <w:style w:type="paragraph" w:customStyle="1" w:styleId="LightList-Accent3112">
    <w:name w:val="Light List - Accent 3112"/>
    <w:hidden/>
    <w:uiPriority w:val="99"/>
    <w:semiHidden/>
    <w:rsid w:val="0081234A"/>
    <w:pPr>
      <w:spacing w:after="120" w:line="264" w:lineRule="auto"/>
    </w:pPr>
    <w:rPr>
      <w:rFonts w:ascii="Arial" w:eastAsiaTheme="minorEastAsia" w:hAnsi="Arial"/>
      <w:sz w:val="24"/>
      <w:szCs w:val="24"/>
    </w:rPr>
  </w:style>
  <w:style w:type="paragraph" w:customStyle="1" w:styleId="MediumList2-Accent212">
    <w:name w:val="Medium List 2 - Accent 212"/>
    <w:hidden/>
    <w:uiPriority w:val="99"/>
    <w:semiHidden/>
    <w:rsid w:val="0081234A"/>
    <w:pPr>
      <w:spacing w:after="120" w:line="264" w:lineRule="auto"/>
    </w:pPr>
    <w:rPr>
      <w:rFonts w:ascii="Arial" w:eastAsiaTheme="minorEastAsia" w:hAnsi="Arial"/>
      <w:sz w:val="24"/>
      <w:szCs w:val="24"/>
    </w:rPr>
  </w:style>
  <w:style w:type="paragraph" w:customStyle="1" w:styleId="MediumList2-Accent222">
    <w:name w:val="Medium List 2 - Accent 2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
    <w:name w:val="Colorful Shading - Accent 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
    <w:name w:val="Colorful Shading - Accent 122"/>
    <w:hidden/>
    <w:uiPriority w:val="99"/>
    <w:semiHidden/>
    <w:rsid w:val="0081234A"/>
    <w:pPr>
      <w:spacing w:after="120" w:line="264" w:lineRule="auto"/>
    </w:pPr>
    <w:rPr>
      <w:rFonts w:ascii="Verdana" w:eastAsiaTheme="minorEastAsia" w:hAnsi="Verdana"/>
      <w:sz w:val="20"/>
      <w:szCs w:val="20"/>
    </w:rPr>
  </w:style>
  <w:style w:type="paragraph" w:customStyle="1" w:styleId="LightList-Accent3121">
    <w:name w:val="Light List - Accent 3121"/>
    <w:hidden/>
    <w:uiPriority w:val="99"/>
    <w:semiHidden/>
    <w:rsid w:val="0081234A"/>
    <w:pPr>
      <w:spacing w:after="120" w:line="264" w:lineRule="auto"/>
    </w:pPr>
    <w:rPr>
      <w:rFonts w:ascii="Arial" w:eastAsiaTheme="minorEastAsia" w:hAnsi="Arial"/>
      <w:sz w:val="24"/>
      <w:szCs w:val="24"/>
    </w:rPr>
  </w:style>
  <w:style w:type="paragraph" w:customStyle="1" w:styleId="LightList-Accent31111">
    <w:name w:val="Light List - Accent 31111"/>
    <w:hidden/>
    <w:uiPriority w:val="99"/>
    <w:semiHidden/>
    <w:rsid w:val="0081234A"/>
    <w:pPr>
      <w:spacing w:after="120" w:line="264" w:lineRule="auto"/>
    </w:pPr>
    <w:rPr>
      <w:rFonts w:ascii="Arial" w:eastAsiaTheme="minorEastAsia" w:hAnsi="Arial"/>
      <w:sz w:val="24"/>
      <w:szCs w:val="24"/>
    </w:rPr>
  </w:style>
  <w:style w:type="paragraph" w:customStyle="1" w:styleId="MediumList2-Accent2111">
    <w:name w:val="Medium List 2 - Accent 2111"/>
    <w:hidden/>
    <w:uiPriority w:val="99"/>
    <w:semiHidden/>
    <w:rsid w:val="0081234A"/>
    <w:pPr>
      <w:spacing w:after="120" w:line="264" w:lineRule="auto"/>
    </w:pPr>
    <w:rPr>
      <w:rFonts w:ascii="Arial" w:eastAsiaTheme="minorEastAsia" w:hAnsi="Arial"/>
      <w:sz w:val="24"/>
      <w:szCs w:val="24"/>
    </w:rPr>
  </w:style>
  <w:style w:type="paragraph" w:customStyle="1" w:styleId="MediumList2-Accent2211">
    <w:name w:val="Medium List 2 - Accent 22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
    <w:name w:val="Colorful Shading - Accent 1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
    <w:name w:val="Colorful Shading - Accent 1211"/>
    <w:hidden/>
    <w:uiPriority w:val="99"/>
    <w:semiHidden/>
    <w:rsid w:val="0081234A"/>
    <w:pPr>
      <w:spacing w:after="120" w:line="264" w:lineRule="auto"/>
    </w:pPr>
    <w:rPr>
      <w:rFonts w:ascii="Verdana" w:eastAsiaTheme="minorEastAsia" w:hAnsi="Verdana"/>
      <w:sz w:val="20"/>
      <w:szCs w:val="20"/>
    </w:rPr>
  </w:style>
  <w:style w:type="paragraph" w:customStyle="1" w:styleId="LightList-Accent3131">
    <w:name w:val="Light List - Accent 3131"/>
    <w:hidden/>
    <w:uiPriority w:val="99"/>
    <w:semiHidden/>
    <w:rsid w:val="0081234A"/>
    <w:pPr>
      <w:spacing w:after="120" w:line="264" w:lineRule="auto"/>
    </w:pPr>
    <w:rPr>
      <w:rFonts w:ascii="Arial" w:eastAsiaTheme="minorEastAsia" w:hAnsi="Arial"/>
      <w:sz w:val="24"/>
      <w:szCs w:val="24"/>
    </w:rPr>
  </w:style>
  <w:style w:type="paragraph" w:customStyle="1" w:styleId="LightList-Accent31121">
    <w:name w:val="Light List - Accent 31121"/>
    <w:hidden/>
    <w:uiPriority w:val="99"/>
    <w:semiHidden/>
    <w:rsid w:val="0081234A"/>
    <w:pPr>
      <w:spacing w:after="120" w:line="264" w:lineRule="auto"/>
    </w:pPr>
    <w:rPr>
      <w:rFonts w:ascii="Arial" w:eastAsiaTheme="minorEastAsia" w:hAnsi="Arial"/>
      <w:sz w:val="24"/>
      <w:szCs w:val="24"/>
    </w:rPr>
  </w:style>
  <w:style w:type="paragraph" w:customStyle="1" w:styleId="MediumList2-Accent2121">
    <w:name w:val="Medium List 2 - Accent 2121"/>
    <w:hidden/>
    <w:uiPriority w:val="99"/>
    <w:semiHidden/>
    <w:rsid w:val="0081234A"/>
    <w:pPr>
      <w:spacing w:after="120" w:line="264" w:lineRule="auto"/>
    </w:pPr>
    <w:rPr>
      <w:rFonts w:ascii="Arial" w:eastAsiaTheme="minorEastAsia" w:hAnsi="Arial"/>
      <w:sz w:val="24"/>
      <w:szCs w:val="24"/>
    </w:rPr>
  </w:style>
  <w:style w:type="paragraph" w:customStyle="1" w:styleId="MediumList2-Accent2221">
    <w:name w:val="Medium List 2 - Accent 22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
    <w:name w:val="Colorful Shading - Accent 11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
    <w:name w:val="Colorful Shading - Accent 1221"/>
    <w:hidden/>
    <w:uiPriority w:val="99"/>
    <w:semiHidden/>
    <w:rsid w:val="0081234A"/>
    <w:pPr>
      <w:spacing w:after="120" w:line="264" w:lineRule="auto"/>
    </w:pPr>
    <w:rPr>
      <w:rFonts w:ascii="Verdana" w:eastAsiaTheme="minorEastAsia" w:hAnsi="Verdana"/>
      <w:sz w:val="20"/>
      <w:szCs w:val="20"/>
    </w:rPr>
  </w:style>
  <w:style w:type="paragraph" w:styleId="MacroText">
    <w:name w:val="macro"/>
    <w:link w:val="MacroTextChar"/>
    <w:semiHidden/>
    <w:rsid w:val="0081234A"/>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81234A"/>
    <w:rPr>
      <w:rFonts w:ascii="Courier New" w:eastAsia="Times New Roman" w:hAnsi="Courier New" w:cs="Courier New"/>
      <w:sz w:val="18"/>
      <w:szCs w:val="20"/>
      <w:lang w:val="en-GB"/>
    </w:rPr>
  </w:style>
  <w:style w:type="paragraph" w:styleId="z-BottomofForm">
    <w:name w:val="HTML Bottom of Form"/>
    <w:basedOn w:val="Normal"/>
    <w:next w:val="Normal"/>
    <w:link w:val="z-BottomofFormChar"/>
    <w:hidden/>
    <w:rsid w:val="0081234A"/>
    <w:pPr>
      <w:pBdr>
        <w:top w:val="single" w:sz="6" w:space="1" w:color="auto"/>
      </w:pBdr>
      <w:spacing w:after="0" w:line="260" w:lineRule="atLeast"/>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81234A"/>
    <w:rPr>
      <w:rFonts w:ascii="Arial" w:eastAsia="Times New Roman" w:hAnsi="Arial" w:cs="Arial"/>
      <w:vanish/>
      <w:sz w:val="16"/>
      <w:szCs w:val="16"/>
    </w:rPr>
  </w:style>
  <w:style w:type="paragraph" w:styleId="z-TopofForm">
    <w:name w:val="HTML Top of Form"/>
    <w:basedOn w:val="Normal"/>
    <w:next w:val="Normal"/>
    <w:link w:val="z-TopofFormChar"/>
    <w:hidden/>
    <w:rsid w:val="0081234A"/>
    <w:pPr>
      <w:pBdr>
        <w:bottom w:val="single" w:sz="6" w:space="1" w:color="auto"/>
      </w:pBdr>
      <w:spacing w:after="0" w:line="260" w:lineRule="atLeast"/>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81234A"/>
    <w:rPr>
      <w:rFonts w:ascii="Arial" w:eastAsia="Times New Roman" w:hAnsi="Arial" w:cs="Arial"/>
      <w:vanish/>
      <w:sz w:val="16"/>
      <w:szCs w:val="16"/>
    </w:rPr>
  </w:style>
  <w:style w:type="paragraph" w:customStyle="1" w:styleId="LightList-Accent314">
    <w:name w:val="Light List - Accent 314"/>
    <w:hidden/>
    <w:uiPriority w:val="99"/>
    <w:semiHidden/>
    <w:rsid w:val="0081234A"/>
    <w:pPr>
      <w:spacing w:after="120" w:line="264" w:lineRule="auto"/>
    </w:pPr>
    <w:rPr>
      <w:rFonts w:ascii="Arial" w:eastAsiaTheme="minorEastAsia" w:hAnsi="Arial"/>
      <w:sz w:val="24"/>
      <w:szCs w:val="24"/>
    </w:rPr>
  </w:style>
  <w:style w:type="paragraph" w:customStyle="1" w:styleId="LightList-Accent3113">
    <w:name w:val="Light List - Accent 3113"/>
    <w:hidden/>
    <w:uiPriority w:val="99"/>
    <w:semiHidden/>
    <w:rsid w:val="0081234A"/>
    <w:pPr>
      <w:spacing w:after="120" w:line="264" w:lineRule="auto"/>
    </w:pPr>
    <w:rPr>
      <w:rFonts w:ascii="Arial" w:eastAsiaTheme="minorEastAsia" w:hAnsi="Arial"/>
      <w:sz w:val="24"/>
      <w:szCs w:val="24"/>
    </w:rPr>
  </w:style>
  <w:style w:type="paragraph" w:customStyle="1" w:styleId="MediumList2-Accent213">
    <w:name w:val="Medium List 2 - Accent 213"/>
    <w:hidden/>
    <w:uiPriority w:val="99"/>
    <w:semiHidden/>
    <w:rsid w:val="0081234A"/>
    <w:pPr>
      <w:spacing w:after="120" w:line="264" w:lineRule="auto"/>
    </w:pPr>
    <w:rPr>
      <w:rFonts w:ascii="Arial" w:eastAsiaTheme="minorEastAsia" w:hAnsi="Arial"/>
      <w:sz w:val="24"/>
      <w:szCs w:val="24"/>
    </w:rPr>
  </w:style>
  <w:style w:type="paragraph" w:customStyle="1" w:styleId="MediumList2-Accent223">
    <w:name w:val="Medium List 2 - Accent 22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
    <w:name w:val="Colorful Shading - Accent 11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
    <w:name w:val="Colorful Shading - Accent 123"/>
    <w:hidden/>
    <w:uiPriority w:val="99"/>
    <w:semiHidden/>
    <w:rsid w:val="0081234A"/>
    <w:pPr>
      <w:spacing w:after="120" w:line="264" w:lineRule="auto"/>
    </w:pPr>
    <w:rPr>
      <w:rFonts w:ascii="Verdana" w:eastAsiaTheme="minorEastAsia" w:hAnsi="Verdana"/>
      <w:sz w:val="20"/>
      <w:szCs w:val="20"/>
    </w:rPr>
  </w:style>
  <w:style w:type="paragraph" w:customStyle="1" w:styleId="LightList-Accent315">
    <w:name w:val="Light List - Accent 315"/>
    <w:hidden/>
    <w:uiPriority w:val="99"/>
    <w:semiHidden/>
    <w:rsid w:val="0081234A"/>
    <w:pPr>
      <w:spacing w:after="120" w:line="264" w:lineRule="auto"/>
    </w:pPr>
    <w:rPr>
      <w:rFonts w:ascii="Arial" w:eastAsiaTheme="minorEastAsia" w:hAnsi="Arial"/>
      <w:sz w:val="24"/>
      <w:szCs w:val="24"/>
    </w:rPr>
  </w:style>
  <w:style w:type="paragraph" w:customStyle="1" w:styleId="LightList-Accent3114">
    <w:name w:val="Light List - Accent 3114"/>
    <w:hidden/>
    <w:uiPriority w:val="99"/>
    <w:semiHidden/>
    <w:rsid w:val="0081234A"/>
    <w:pPr>
      <w:spacing w:after="120" w:line="264" w:lineRule="auto"/>
    </w:pPr>
    <w:rPr>
      <w:rFonts w:ascii="Arial" w:eastAsiaTheme="minorEastAsia" w:hAnsi="Arial"/>
      <w:sz w:val="24"/>
      <w:szCs w:val="24"/>
    </w:rPr>
  </w:style>
  <w:style w:type="paragraph" w:customStyle="1" w:styleId="MediumList2-Accent214">
    <w:name w:val="Medium List 2 - Accent 214"/>
    <w:hidden/>
    <w:uiPriority w:val="99"/>
    <w:semiHidden/>
    <w:rsid w:val="0081234A"/>
    <w:pPr>
      <w:spacing w:after="120" w:line="264" w:lineRule="auto"/>
    </w:pPr>
    <w:rPr>
      <w:rFonts w:ascii="Arial" w:eastAsiaTheme="minorEastAsia" w:hAnsi="Arial"/>
      <w:sz w:val="24"/>
      <w:szCs w:val="24"/>
    </w:rPr>
  </w:style>
  <w:style w:type="paragraph" w:customStyle="1" w:styleId="MediumList2-Accent224">
    <w:name w:val="Medium List 2 - Accent 22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
    <w:name w:val="Colorful Shading - Accent 11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
    <w:name w:val="Colorful Shading - Accent 124"/>
    <w:hidden/>
    <w:uiPriority w:val="99"/>
    <w:semiHidden/>
    <w:rsid w:val="0081234A"/>
    <w:pPr>
      <w:spacing w:after="120" w:line="264" w:lineRule="auto"/>
    </w:pPr>
    <w:rPr>
      <w:rFonts w:ascii="Verdana" w:eastAsiaTheme="minorEastAsia" w:hAnsi="Verdana"/>
      <w:sz w:val="20"/>
      <w:szCs w:val="20"/>
    </w:rPr>
  </w:style>
  <w:style w:type="paragraph" w:styleId="NormalIndent">
    <w:name w:val="Normal Indent"/>
    <w:basedOn w:val="Normal"/>
    <w:uiPriority w:val="4"/>
    <w:semiHidden/>
    <w:unhideWhenUsed/>
    <w:rsid w:val="0081234A"/>
    <w:pPr>
      <w:spacing w:after="120" w:line="264" w:lineRule="auto"/>
      <w:ind w:left="720"/>
    </w:pPr>
    <w:rPr>
      <w:rFonts w:eastAsiaTheme="minorEastAsia"/>
      <w:sz w:val="20"/>
      <w:szCs w:val="20"/>
      <w:lang w:eastAsia="en-AU"/>
    </w:rPr>
  </w:style>
  <w:style w:type="paragraph" w:customStyle="1" w:styleId="Heading4Grants">
    <w:name w:val="Heading 4 Grants"/>
    <w:basedOn w:val="Heading5"/>
    <w:uiPriority w:val="4"/>
    <w:qFormat/>
    <w:rsid w:val="00A30114"/>
    <w:pPr>
      <w:outlineLvl w:val="3"/>
    </w:pPr>
    <w:rPr>
      <w:color w:val="53565A"/>
    </w:rPr>
  </w:style>
  <w:style w:type="paragraph" w:styleId="Quote">
    <w:name w:val="Quote"/>
    <w:basedOn w:val="Normal"/>
    <w:next w:val="Normal"/>
    <w:link w:val="QuoteChar"/>
    <w:uiPriority w:val="29"/>
    <w:qFormat/>
    <w:rsid w:val="0081234A"/>
    <w:pPr>
      <w:spacing w:before="160" w:after="120" w:line="264" w:lineRule="auto"/>
      <w:ind w:left="720" w:right="720"/>
    </w:pPr>
    <w:rPr>
      <w:rFonts w:eastAsiaTheme="minorEastAsia"/>
      <w:i/>
      <w:iCs/>
      <w:color w:val="404040" w:themeColor="text1" w:themeTint="BF"/>
      <w:sz w:val="20"/>
      <w:szCs w:val="20"/>
      <w:lang w:eastAsia="en-AU"/>
    </w:rPr>
  </w:style>
  <w:style w:type="character" w:customStyle="1" w:styleId="QuoteChar">
    <w:name w:val="Quote Char"/>
    <w:basedOn w:val="DefaultParagraphFont"/>
    <w:link w:val="Quote"/>
    <w:uiPriority w:val="29"/>
    <w:rsid w:val="00CD1B0E"/>
    <w:rPr>
      <w:rFonts w:eastAsiaTheme="minorEastAsia"/>
      <w:i/>
      <w:iCs/>
      <w:color w:val="404040" w:themeColor="text1" w:themeTint="BF"/>
      <w:sz w:val="20"/>
      <w:szCs w:val="20"/>
      <w:lang w:eastAsia="en-AU"/>
    </w:rPr>
  </w:style>
  <w:style w:type="table" w:styleId="ColorfulList">
    <w:name w:val="Colorful List"/>
    <w:basedOn w:val="TableNormal"/>
    <w:uiPriority w:val="98"/>
    <w:rsid w:val="0081234A"/>
    <w:pPr>
      <w:spacing w:after="0" w:line="240" w:lineRule="auto"/>
    </w:pPr>
    <w:rPr>
      <w:rFonts w:ascii="Times New Roman" w:eastAsia="MS Mincho" w:hAnsi="Times New Roman" w:cs="Times New Roman"/>
      <w:color w:val="000000" w:themeColor="text1"/>
      <w:sz w:val="20"/>
      <w:szCs w:val="20"/>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ARfinbody">
    <w:name w:val="AR fin body"/>
    <w:basedOn w:val="Normal"/>
    <w:uiPriority w:val="2"/>
    <w:qFormat/>
    <w:rsid w:val="0081234A"/>
    <w:pPr>
      <w:suppressAutoHyphens/>
      <w:autoSpaceDE w:val="0"/>
      <w:autoSpaceDN w:val="0"/>
      <w:adjustRightInd w:val="0"/>
      <w:spacing w:after="60" w:line="264" w:lineRule="auto"/>
      <w:textAlignment w:val="center"/>
    </w:pPr>
    <w:rPr>
      <w:rFonts w:ascii="Arial" w:eastAsiaTheme="minorEastAsia" w:hAnsi="Arial" w:cs="ArialMT"/>
      <w:color w:val="000000"/>
      <w:sz w:val="18"/>
      <w:szCs w:val="16"/>
      <w:lang w:eastAsia="en-AU"/>
    </w:rPr>
  </w:style>
  <w:style w:type="paragraph" w:customStyle="1" w:styleId="ARtabletextcentre">
    <w:name w:val="AR table text centre"/>
    <w:basedOn w:val="ARtabletext"/>
    <w:rsid w:val="0081234A"/>
    <w:pPr>
      <w:jc w:val="center"/>
    </w:pPr>
  </w:style>
  <w:style w:type="paragraph" w:customStyle="1" w:styleId="ARfinbullet2">
    <w:name w:val="AR fin bullet 2"/>
    <w:basedOn w:val="ARfinbody"/>
    <w:uiPriority w:val="3"/>
    <w:qFormat/>
    <w:rsid w:val="001D049B"/>
    <w:pPr>
      <w:numPr>
        <w:ilvl w:val="1"/>
        <w:numId w:val="5"/>
      </w:numPr>
    </w:pPr>
  </w:style>
  <w:style w:type="paragraph" w:customStyle="1" w:styleId="ARfintablecolheadcentre">
    <w:name w:val="AR fin table col head centre"/>
    <w:basedOn w:val="Normal"/>
    <w:uiPriority w:val="3"/>
    <w:qFormat/>
    <w:rsid w:val="009C3F81"/>
    <w:pPr>
      <w:spacing w:before="40" w:after="40" w:line="240" w:lineRule="auto"/>
      <w:jc w:val="center"/>
    </w:pPr>
    <w:rPr>
      <w:rFonts w:ascii="Arial" w:eastAsiaTheme="minorEastAsia" w:hAnsi="Arial"/>
      <w:b/>
      <w:color w:val="00645F" w:themeColor="text2"/>
      <w:sz w:val="18"/>
      <w:szCs w:val="16"/>
      <w:lang w:eastAsia="en-AU"/>
    </w:rPr>
  </w:style>
  <w:style w:type="paragraph" w:customStyle="1" w:styleId="ARfintablebodyindent">
    <w:name w:val="AR fin table body indent"/>
    <w:basedOn w:val="ARfintablebody"/>
    <w:uiPriority w:val="3"/>
    <w:rsid w:val="0081234A"/>
    <w:pPr>
      <w:ind w:left="227"/>
    </w:pPr>
  </w:style>
  <w:style w:type="paragraph" w:customStyle="1" w:styleId="ARfintablecolhead">
    <w:name w:val="AR fin table col head"/>
    <w:basedOn w:val="ARfintablecolheadright"/>
    <w:uiPriority w:val="1"/>
    <w:qFormat/>
    <w:rsid w:val="009C3F81"/>
    <w:pPr>
      <w:jc w:val="left"/>
    </w:pPr>
  </w:style>
  <w:style w:type="paragraph" w:customStyle="1" w:styleId="ARfintablebody">
    <w:name w:val="AR fin table body"/>
    <w:uiPriority w:val="3"/>
    <w:qFormat/>
    <w:rsid w:val="0081234A"/>
    <w:pPr>
      <w:suppressAutoHyphens/>
      <w:spacing w:before="40" w:after="20" w:line="264" w:lineRule="auto"/>
      <w:ind w:right="113"/>
    </w:pPr>
    <w:rPr>
      <w:rFonts w:ascii="Arial" w:eastAsia="MS Mincho" w:hAnsi="Arial" w:cs="Arial"/>
      <w:color w:val="000000"/>
      <w:sz w:val="18"/>
      <w:szCs w:val="16"/>
      <w:lang w:eastAsia="en-AU"/>
    </w:rPr>
  </w:style>
  <w:style w:type="paragraph" w:customStyle="1" w:styleId="ARfintablebodybold">
    <w:name w:val="AR fin table body bold"/>
    <w:basedOn w:val="ARfintablebody"/>
    <w:uiPriority w:val="3"/>
    <w:rsid w:val="0081234A"/>
    <w:rPr>
      <w:rFonts w:cs="Arial-BoldMT"/>
      <w:b/>
      <w:bCs/>
    </w:rPr>
  </w:style>
  <w:style w:type="paragraph" w:customStyle="1" w:styleId="ARfintablefootnote">
    <w:name w:val="AR fin table footnote"/>
    <w:basedOn w:val="Normal"/>
    <w:uiPriority w:val="3"/>
    <w:qFormat/>
    <w:rsid w:val="0081234A"/>
    <w:pPr>
      <w:spacing w:before="60" w:after="60" w:line="180" w:lineRule="atLeast"/>
    </w:pPr>
    <w:rPr>
      <w:rFonts w:ascii="Arial" w:eastAsia="Times New Roman" w:hAnsi="Arial" w:cs="Times New Roman"/>
      <w:color w:val="000000"/>
      <w:sz w:val="16"/>
      <w:szCs w:val="14"/>
    </w:rPr>
  </w:style>
  <w:style w:type="paragraph" w:customStyle="1" w:styleId="ARfintablebodyright">
    <w:name w:val="AR fin table body right"/>
    <w:basedOn w:val="ARfintablebody"/>
    <w:uiPriority w:val="3"/>
    <w:qFormat/>
    <w:rsid w:val="006149D0"/>
    <w:pPr>
      <w:jc w:val="right"/>
    </w:pPr>
  </w:style>
  <w:style w:type="paragraph" w:customStyle="1" w:styleId="ARfintablecolheadright">
    <w:name w:val="AR fin table col head right"/>
    <w:basedOn w:val="Normal"/>
    <w:uiPriority w:val="1"/>
    <w:qFormat/>
    <w:rsid w:val="009C3F81"/>
    <w:pPr>
      <w:spacing w:before="40" w:after="40" w:line="240" w:lineRule="auto"/>
      <w:ind w:right="113"/>
      <w:jc w:val="right"/>
    </w:pPr>
    <w:rPr>
      <w:rFonts w:ascii="Arial" w:eastAsiaTheme="minorEastAsia" w:hAnsi="Arial"/>
      <w:b/>
      <w:color w:val="00645F" w:themeColor="text2"/>
      <w:sz w:val="18"/>
      <w:szCs w:val="16"/>
      <w:lang w:eastAsia="en-AU"/>
    </w:rPr>
  </w:style>
  <w:style w:type="paragraph" w:customStyle="1" w:styleId="ARfintablefootnoteindent">
    <w:name w:val="AR fin table footnote indent"/>
    <w:link w:val="ARfintablefootnoteindentChar"/>
    <w:qFormat/>
    <w:rsid w:val="0081234A"/>
    <w:pPr>
      <w:spacing w:before="40" w:after="40" w:line="180" w:lineRule="atLeast"/>
      <w:ind w:left="284" w:hanging="284"/>
    </w:pPr>
    <w:rPr>
      <w:rFonts w:ascii="Arial" w:eastAsiaTheme="minorEastAsia" w:hAnsi="Arial"/>
      <w:color w:val="000000"/>
      <w:sz w:val="16"/>
      <w:szCs w:val="14"/>
      <w:lang w:eastAsia="en-AU"/>
    </w:rPr>
  </w:style>
  <w:style w:type="character" w:customStyle="1" w:styleId="ARfintablefootnoteindentChar">
    <w:name w:val="AR fin table footnote indent Char"/>
    <w:link w:val="ARfintablefootnoteindent"/>
    <w:rsid w:val="00536EEA"/>
    <w:rPr>
      <w:rFonts w:ascii="Arial" w:eastAsiaTheme="minorEastAsia" w:hAnsi="Arial"/>
      <w:color w:val="000000"/>
      <w:sz w:val="16"/>
      <w:szCs w:val="14"/>
      <w:lang w:eastAsia="en-AU"/>
    </w:rPr>
  </w:style>
  <w:style w:type="paragraph" w:customStyle="1" w:styleId="ARfinbullet1">
    <w:name w:val="AR fin bullet 1"/>
    <w:basedOn w:val="ARfinbody"/>
    <w:uiPriority w:val="2"/>
    <w:qFormat/>
    <w:rsid w:val="007E5841"/>
    <w:pPr>
      <w:numPr>
        <w:numId w:val="5"/>
      </w:numPr>
    </w:pPr>
    <w:rPr>
      <w:rFonts w:eastAsia="Verdana"/>
    </w:rPr>
  </w:style>
  <w:style w:type="paragraph" w:customStyle="1" w:styleId="ARfinbodyaftertable">
    <w:name w:val="AR fin body after table"/>
    <w:basedOn w:val="ARfintablebody"/>
    <w:uiPriority w:val="3"/>
    <w:qFormat/>
    <w:rsid w:val="0081234A"/>
    <w:pPr>
      <w:spacing w:before="160" w:after="60"/>
    </w:pPr>
  </w:style>
  <w:style w:type="paragraph" w:customStyle="1" w:styleId="ARfinstructure1">
    <w:name w:val="AR fin structure 1"/>
    <w:basedOn w:val="ARfinbody"/>
    <w:uiPriority w:val="3"/>
    <w:qFormat/>
    <w:rsid w:val="0081234A"/>
    <w:pPr>
      <w:spacing w:after="40"/>
      <w:ind w:left="567" w:hanging="567"/>
    </w:pPr>
  </w:style>
  <w:style w:type="paragraph" w:customStyle="1" w:styleId="ARfinstructure2">
    <w:name w:val="AR fin structure 2"/>
    <w:basedOn w:val="ARfinbody"/>
    <w:uiPriority w:val="3"/>
    <w:qFormat/>
    <w:rsid w:val="0081234A"/>
    <w:pPr>
      <w:spacing w:after="40"/>
      <w:ind w:left="1247" w:hanging="680"/>
    </w:pPr>
  </w:style>
  <w:style w:type="paragraph" w:customStyle="1" w:styleId="ARfintablebullet1">
    <w:name w:val="AR fin table bullet 1"/>
    <w:basedOn w:val="ARfintablebody"/>
    <w:uiPriority w:val="3"/>
    <w:rsid w:val="00197130"/>
    <w:pPr>
      <w:numPr>
        <w:numId w:val="21"/>
      </w:numPr>
    </w:pPr>
  </w:style>
  <w:style w:type="paragraph" w:customStyle="1" w:styleId="ARfintablebullet2">
    <w:name w:val="AR fin table bullet 2"/>
    <w:basedOn w:val="Normal"/>
    <w:uiPriority w:val="3"/>
    <w:rsid w:val="00197130"/>
    <w:pPr>
      <w:numPr>
        <w:ilvl w:val="1"/>
        <w:numId w:val="21"/>
      </w:numPr>
      <w:suppressAutoHyphens/>
      <w:spacing w:before="40" w:after="20" w:line="264" w:lineRule="auto"/>
      <w:ind w:right="113"/>
    </w:pPr>
    <w:rPr>
      <w:rFonts w:eastAsia="MS Mincho" w:cs="Arial"/>
      <w:color w:val="000000"/>
      <w:sz w:val="16"/>
      <w:szCs w:val="16"/>
      <w:lang w:eastAsia="en-AU"/>
    </w:rPr>
  </w:style>
  <w:style w:type="paragraph" w:customStyle="1" w:styleId="ARfintablebodyrightbold">
    <w:name w:val="AR fin table body right bold"/>
    <w:basedOn w:val="ARfintablebodyright"/>
    <w:uiPriority w:val="3"/>
    <w:rsid w:val="006149D0"/>
    <w:rPr>
      <w:b/>
    </w:rPr>
  </w:style>
  <w:style w:type="paragraph" w:customStyle="1" w:styleId="ARfinbodylargespace">
    <w:name w:val="AR fin body large space"/>
    <w:basedOn w:val="ARfinbody"/>
    <w:uiPriority w:val="3"/>
    <w:qFormat/>
    <w:rsid w:val="0081234A"/>
    <w:pPr>
      <w:spacing w:after="160"/>
    </w:pPr>
    <w:rPr>
      <w:rFonts w:cs="Arial"/>
    </w:rPr>
  </w:style>
  <w:style w:type="paragraph" w:customStyle="1" w:styleId="ARfintablebodycentre">
    <w:name w:val="AR fin table body centre"/>
    <w:basedOn w:val="ARfintablebody"/>
    <w:uiPriority w:val="3"/>
    <w:rsid w:val="0081234A"/>
    <w:pPr>
      <w:ind w:right="0"/>
      <w:jc w:val="center"/>
    </w:pPr>
  </w:style>
  <w:style w:type="character" w:customStyle="1" w:styleId="Subscript">
    <w:name w:val="Subscript"/>
    <w:basedOn w:val="DefaultParagraphFont"/>
    <w:uiPriority w:val="1"/>
    <w:rsid w:val="0081234A"/>
    <w:rPr>
      <w:vertAlign w:val="subscript"/>
    </w:rPr>
  </w:style>
  <w:style w:type="paragraph" w:customStyle="1" w:styleId="Heading2Financials">
    <w:name w:val="Heading 2 Financials"/>
    <w:basedOn w:val="Heading2"/>
    <w:uiPriority w:val="4"/>
    <w:rsid w:val="0081234A"/>
  </w:style>
  <w:style w:type="paragraph" w:customStyle="1" w:styleId="ARfintablebodycentrebold">
    <w:name w:val="AR fin table body centre bold"/>
    <w:basedOn w:val="ARfintablebodybold"/>
    <w:uiPriority w:val="3"/>
    <w:rsid w:val="0081234A"/>
    <w:pPr>
      <w:ind w:right="0"/>
      <w:jc w:val="center"/>
    </w:pPr>
  </w:style>
  <w:style w:type="character" w:customStyle="1" w:styleId="ARraisedby10pt">
    <w:name w:val="AR raised by 10pt"/>
    <w:basedOn w:val="DefaultParagraphFont"/>
    <w:uiPriority w:val="1"/>
    <w:rsid w:val="00E1592B"/>
    <w:rPr>
      <w:b w:val="0"/>
      <w:bCs/>
      <w:color w:val="00645F" w:themeColor="text2"/>
      <w:position w:val="20"/>
    </w:rPr>
  </w:style>
  <w:style w:type="paragraph" w:customStyle="1" w:styleId="Heading3Values">
    <w:name w:val="Heading 3 Values"/>
    <w:uiPriority w:val="4"/>
    <w:rsid w:val="00E1592B"/>
    <w:pPr>
      <w:keepNext/>
      <w:keepLines/>
      <w:spacing w:before="240" w:after="60" w:line="240" w:lineRule="auto"/>
      <w:outlineLvl w:val="2"/>
    </w:pPr>
    <w:rPr>
      <w:rFonts w:ascii="Arial" w:eastAsia="Times" w:hAnsi="Arial" w:cs="Arial"/>
      <w:b/>
      <w:color w:val="00645F" w:themeColor="text2"/>
      <w:szCs w:val="24"/>
    </w:rPr>
  </w:style>
  <w:style w:type="paragraph" w:customStyle="1" w:styleId="ARfinnumberalpha1">
    <w:name w:val="AR fin number alpha 1"/>
    <w:basedOn w:val="ARfinbody"/>
    <w:uiPriority w:val="3"/>
    <w:rsid w:val="001D049B"/>
    <w:pPr>
      <w:numPr>
        <w:numId w:val="6"/>
      </w:numPr>
    </w:pPr>
  </w:style>
  <w:style w:type="paragraph" w:customStyle="1" w:styleId="Heading3Grants">
    <w:name w:val="Heading 3 Grants"/>
    <w:uiPriority w:val="4"/>
    <w:rsid w:val="00E1592B"/>
    <w:pPr>
      <w:keepNext/>
      <w:keepLines/>
      <w:spacing w:before="320" w:after="120" w:line="240" w:lineRule="auto"/>
      <w:outlineLvl w:val="2"/>
    </w:pPr>
    <w:rPr>
      <w:rFonts w:ascii="Arial" w:eastAsia="Times" w:hAnsi="Arial" w:cs="Arial"/>
      <w:b/>
      <w:color w:val="00645F" w:themeColor="text2"/>
      <w:sz w:val="24"/>
      <w:szCs w:val="24"/>
      <w:lang w:eastAsia="en-AU"/>
    </w:rPr>
  </w:style>
  <w:style w:type="paragraph" w:customStyle="1" w:styleId="ARfintableboldsubhead">
    <w:name w:val="AR fin table bold subhead"/>
    <w:basedOn w:val="ARfintablebody"/>
    <w:uiPriority w:val="3"/>
    <w:rsid w:val="0081234A"/>
    <w:pPr>
      <w:spacing w:before="160"/>
    </w:pPr>
    <w:rPr>
      <w:b/>
      <w:szCs w:val="18"/>
    </w:rPr>
  </w:style>
  <w:style w:type="paragraph" w:customStyle="1" w:styleId="ARfinbodyindent">
    <w:name w:val="AR fin body indent"/>
    <w:basedOn w:val="ARfinbody"/>
    <w:uiPriority w:val="2"/>
    <w:rsid w:val="0081234A"/>
    <w:pPr>
      <w:ind w:left="284"/>
    </w:pPr>
  </w:style>
  <w:style w:type="paragraph" w:styleId="ListNumber2">
    <w:name w:val="List Number 2"/>
    <w:basedOn w:val="Normal"/>
    <w:uiPriority w:val="99"/>
    <w:semiHidden/>
    <w:unhideWhenUsed/>
    <w:rsid w:val="0081234A"/>
    <w:pPr>
      <w:numPr>
        <w:numId w:val="2"/>
      </w:numPr>
      <w:contextualSpacing/>
    </w:pPr>
  </w:style>
  <w:style w:type="paragraph" w:customStyle="1" w:styleId="Heading3Ministers">
    <w:name w:val="Heading 3 Ministers"/>
    <w:basedOn w:val="Heading5"/>
    <w:uiPriority w:val="4"/>
    <w:rsid w:val="00D815E9"/>
    <w:pPr>
      <w:outlineLvl w:val="2"/>
    </w:pPr>
  </w:style>
  <w:style w:type="paragraph" w:customStyle="1" w:styleId="ARfooter">
    <w:name w:val="AR footer"/>
    <w:uiPriority w:val="3"/>
    <w:qFormat/>
    <w:rsid w:val="00FA5B26"/>
    <w:pPr>
      <w:spacing w:after="0" w:line="264" w:lineRule="auto"/>
    </w:pPr>
    <w:rPr>
      <w:rFonts w:ascii="Arial" w:eastAsiaTheme="minorEastAsia" w:hAnsi="Arial"/>
      <w:sz w:val="18"/>
      <w:szCs w:val="24"/>
    </w:rPr>
  </w:style>
  <w:style w:type="paragraph" w:customStyle="1" w:styleId="ARtablebullet2">
    <w:name w:val="AR table bullet 2"/>
    <w:basedOn w:val="ARtablebullet1"/>
    <w:uiPriority w:val="3"/>
    <w:qFormat/>
    <w:rsid w:val="00197130"/>
    <w:pPr>
      <w:numPr>
        <w:numId w:val="0"/>
      </w:numPr>
    </w:pPr>
  </w:style>
  <w:style w:type="paragraph" w:customStyle="1" w:styleId="ARtablebullet1">
    <w:name w:val="AR table bullet 1"/>
    <w:basedOn w:val="ARtabletext"/>
    <w:uiPriority w:val="3"/>
    <w:qFormat/>
    <w:rsid w:val="0081234A"/>
    <w:pPr>
      <w:numPr>
        <w:numId w:val="3"/>
      </w:numPr>
      <w:spacing w:line="240" w:lineRule="auto"/>
    </w:pPr>
  </w:style>
  <w:style w:type="paragraph" w:customStyle="1" w:styleId="ARtablebluebold">
    <w:name w:val="AR table blue bold"/>
    <w:basedOn w:val="ARtabletext"/>
    <w:uiPriority w:val="3"/>
    <w:qFormat/>
    <w:rsid w:val="00E1592B"/>
    <w:pPr>
      <w:spacing w:line="240" w:lineRule="auto"/>
    </w:pPr>
    <w:rPr>
      <w:b/>
      <w:color w:val="00645F" w:themeColor="text2"/>
    </w:rPr>
  </w:style>
  <w:style w:type="paragraph" w:customStyle="1" w:styleId="LightList-Accent316">
    <w:name w:val="Light List - Accent 316"/>
    <w:hidden/>
    <w:uiPriority w:val="99"/>
    <w:semiHidden/>
    <w:rsid w:val="0081234A"/>
    <w:pPr>
      <w:spacing w:after="120" w:line="264" w:lineRule="auto"/>
    </w:pPr>
    <w:rPr>
      <w:rFonts w:ascii="Arial" w:eastAsiaTheme="minorEastAsia" w:hAnsi="Arial"/>
      <w:sz w:val="24"/>
      <w:szCs w:val="24"/>
    </w:rPr>
  </w:style>
  <w:style w:type="paragraph" w:customStyle="1" w:styleId="LightList-Accent3115">
    <w:name w:val="Light List - Accent 3115"/>
    <w:hidden/>
    <w:uiPriority w:val="99"/>
    <w:semiHidden/>
    <w:rsid w:val="0081234A"/>
    <w:pPr>
      <w:spacing w:after="120" w:line="264" w:lineRule="auto"/>
    </w:pPr>
    <w:rPr>
      <w:rFonts w:ascii="Arial" w:eastAsiaTheme="minorEastAsia" w:hAnsi="Arial"/>
      <w:sz w:val="24"/>
      <w:szCs w:val="24"/>
    </w:rPr>
  </w:style>
  <w:style w:type="paragraph" w:customStyle="1" w:styleId="MediumList2-Accent215">
    <w:name w:val="Medium List 2 - Accent 215"/>
    <w:hidden/>
    <w:uiPriority w:val="99"/>
    <w:semiHidden/>
    <w:rsid w:val="0081234A"/>
    <w:pPr>
      <w:spacing w:after="120" w:line="264" w:lineRule="auto"/>
    </w:pPr>
    <w:rPr>
      <w:rFonts w:ascii="Arial" w:eastAsiaTheme="minorEastAsia" w:hAnsi="Arial"/>
      <w:sz w:val="24"/>
      <w:szCs w:val="24"/>
    </w:rPr>
  </w:style>
  <w:style w:type="paragraph" w:customStyle="1" w:styleId="MediumList2-Accent225">
    <w:name w:val="Medium List 2 - Accent 22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5">
    <w:name w:val="Colorful Shading - Accent 11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5">
    <w:name w:val="Colorful Shading - Accent 125"/>
    <w:hidden/>
    <w:uiPriority w:val="99"/>
    <w:semiHidden/>
    <w:rsid w:val="0081234A"/>
    <w:pPr>
      <w:spacing w:after="120" w:line="264" w:lineRule="auto"/>
    </w:pPr>
    <w:rPr>
      <w:rFonts w:ascii="Verdana" w:eastAsiaTheme="minorEastAsia" w:hAnsi="Verdana"/>
      <w:sz w:val="20"/>
      <w:szCs w:val="20"/>
    </w:rPr>
  </w:style>
  <w:style w:type="paragraph" w:customStyle="1" w:styleId="LightList-Accent3122">
    <w:name w:val="Light List - Accent 3122"/>
    <w:hidden/>
    <w:uiPriority w:val="99"/>
    <w:semiHidden/>
    <w:rsid w:val="0081234A"/>
    <w:pPr>
      <w:spacing w:after="120" w:line="264" w:lineRule="auto"/>
    </w:pPr>
    <w:rPr>
      <w:rFonts w:ascii="Arial" w:eastAsiaTheme="minorEastAsia" w:hAnsi="Arial"/>
      <w:sz w:val="24"/>
      <w:szCs w:val="24"/>
    </w:rPr>
  </w:style>
  <w:style w:type="paragraph" w:customStyle="1" w:styleId="LightList-Accent31112">
    <w:name w:val="Light List - Accent 31112"/>
    <w:hidden/>
    <w:uiPriority w:val="99"/>
    <w:semiHidden/>
    <w:rsid w:val="0081234A"/>
    <w:pPr>
      <w:spacing w:after="120" w:line="264" w:lineRule="auto"/>
    </w:pPr>
    <w:rPr>
      <w:rFonts w:ascii="Arial" w:eastAsiaTheme="minorEastAsia" w:hAnsi="Arial"/>
      <w:sz w:val="24"/>
      <w:szCs w:val="24"/>
    </w:rPr>
  </w:style>
  <w:style w:type="paragraph" w:customStyle="1" w:styleId="MediumList2-Accent2112">
    <w:name w:val="Medium List 2 - Accent 2112"/>
    <w:hidden/>
    <w:uiPriority w:val="99"/>
    <w:semiHidden/>
    <w:rsid w:val="0081234A"/>
    <w:pPr>
      <w:spacing w:after="120" w:line="264" w:lineRule="auto"/>
    </w:pPr>
    <w:rPr>
      <w:rFonts w:ascii="Arial" w:eastAsiaTheme="minorEastAsia" w:hAnsi="Arial"/>
      <w:sz w:val="24"/>
      <w:szCs w:val="24"/>
    </w:rPr>
  </w:style>
  <w:style w:type="paragraph" w:customStyle="1" w:styleId="MediumList2-Accent2212">
    <w:name w:val="Medium List 2 - Accent 22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2">
    <w:name w:val="Colorful Shading - Accent 1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2">
    <w:name w:val="Colorful Shading - Accent 1212"/>
    <w:hidden/>
    <w:uiPriority w:val="99"/>
    <w:semiHidden/>
    <w:rsid w:val="0081234A"/>
    <w:pPr>
      <w:spacing w:after="120" w:line="264" w:lineRule="auto"/>
    </w:pPr>
    <w:rPr>
      <w:rFonts w:ascii="Verdana" w:eastAsiaTheme="minorEastAsia" w:hAnsi="Verdana"/>
      <w:sz w:val="20"/>
      <w:szCs w:val="20"/>
    </w:rPr>
  </w:style>
  <w:style w:type="paragraph" w:customStyle="1" w:styleId="LightList-Accent3132">
    <w:name w:val="Light List - Accent 3132"/>
    <w:hidden/>
    <w:uiPriority w:val="99"/>
    <w:semiHidden/>
    <w:rsid w:val="0081234A"/>
    <w:pPr>
      <w:spacing w:after="120" w:line="264" w:lineRule="auto"/>
    </w:pPr>
    <w:rPr>
      <w:rFonts w:ascii="Arial" w:eastAsiaTheme="minorEastAsia" w:hAnsi="Arial"/>
      <w:sz w:val="24"/>
      <w:szCs w:val="24"/>
    </w:rPr>
  </w:style>
  <w:style w:type="paragraph" w:customStyle="1" w:styleId="LightList-Accent31122">
    <w:name w:val="Light List - Accent 31122"/>
    <w:hidden/>
    <w:uiPriority w:val="99"/>
    <w:semiHidden/>
    <w:rsid w:val="0081234A"/>
    <w:pPr>
      <w:spacing w:after="120" w:line="264" w:lineRule="auto"/>
    </w:pPr>
    <w:rPr>
      <w:rFonts w:ascii="Arial" w:eastAsiaTheme="minorEastAsia" w:hAnsi="Arial"/>
      <w:sz w:val="24"/>
      <w:szCs w:val="24"/>
    </w:rPr>
  </w:style>
  <w:style w:type="paragraph" w:customStyle="1" w:styleId="MediumList2-Accent2122">
    <w:name w:val="Medium List 2 - Accent 2122"/>
    <w:hidden/>
    <w:uiPriority w:val="99"/>
    <w:semiHidden/>
    <w:rsid w:val="0081234A"/>
    <w:pPr>
      <w:spacing w:after="120" w:line="264" w:lineRule="auto"/>
    </w:pPr>
    <w:rPr>
      <w:rFonts w:ascii="Arial" w:eastAsiaTheme="minorEastAsia" w:hAnsi="Arial"/>
      <w:sz w:val="24"/>
      <w:szCs w:val="24"/>
    </w:rPr>
  </w:style>
  <w:style w:type="paragraph" w:customStyle="1" w:styleId="MediumList2-Accent2222">
    <w:name w:val="Medium List 2 - Accent 22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2">
    <w:name w:val="Colorful Shading - Accent 112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2">
    <w:name w:val="Colorful Shading - Accent 1222"/>
    <w:hidden/>
    <w:uiPriority w:val="99"/>
    <w:semiHidden/>
    <w:rsid w:val="0081234A"/>
    <w:pPr>
      <w:spacing w:after="120" w:line="264" w:lineRule="auto"/>
    </w:pPr>
    <w:rPr>
      <w:rFonts w:ascii="Verdana" w:eastAsiaTheme="minorEastAsia" w:hAnsi="Verdana"/>
      <w:sz w:val="20"/>
      <w:szCs w:val="20"/>
    </w:rPr>
  </w:style>
  <w:style w:type="paragraph" w:customStyle="1" w:styleId="LightList-Accent31211">
    <w:name w:val="Light List - Accent 31211"/>
    <w:hidden/>
    <w:uiPriority w:val="99"/>
    <w:semiHidden/>
    <w:rsid w:val="0081234A"/>
    <w:pPr>
      <w:spacing w:after="120" w:line="264" w:lineRule="auto"/>
    </w:pPr>
    <w:rPr>
      <w:rFonts w:ascii="Arial" w:eastAsiaTheme="minorEastAsia" w:hAnsi="Arial"/>
      <w:sz w:val="24"/>
      <w:szCs w:val="24"/>
    </w:rPr>
  </w:style>
  <w:style w:type="paragraph" w:customStyle="1" w:styleId="LightList-Accent311111">
    <w:name w:val="Light List - Accent 311111"/>
    <w:hidden/>
    <w:uiPriority w:val="99"/>
    <w:semiHidden/>
    <w:rsid w:val="0081234A"/>
    <w:pPr>
      <w:spacing w:after="120" w:line="264" w:lineRule="auto"/>
    </w:pPr>
    <w:rPr>
      <w:rFonts w:ascii="Arial" w:eastAsiaTheme="minorEastAsia" w:hAnsi="Arial"/>
      <w:sz w:val="24"/>
      <w:szCs w:val="24"/>
    </w:rPr>
  </w:style>
  <w:style w:type="paragraph" w:customStyle="1" w:styleId="MediumList2-Accent21111">
    <w:name w:val="Medium List 2 - Accent 21111"/>
    <w:hidden/>
    <w:uiPriority w:val="99"/>
    <w:semiHidden/>
    <w:rsid w:val="0081234A"/>
    <w:pPr>
      <w:spacing w:after="120" w:line="264" w:lineRule="auto"/>
    </w:pPr>
    <w:rPr>
      <w:rFonts w:ascii="Arial" w:eastAsiaTheme="minorEastAsia" w:hAnsi="Arial"/>
      <w:sz w:val="24"/>
      <w:szCs w:val="24"/>
    </w:rPr>
  </w:style>
  <w:style w:type="paragraph" w:customStyle="1" w:styleId="MediumList2-Accent22111">
    <w:name w:val="Medium List 2 - Accent 221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1">
    <w:name w:val="Colorful Shading - Accent 11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1">
    <w:name w:val="Colorful Shading - Accent 12111"/>
    <w:hidden/>
    <w:uiPriority w:val="99"/>
    <w:semiHidden/>
    <w:rsid w:val="0081234A"/>
    <w:pPr>
      <w:spacing w:after="120" w:line="264" w:lineRule="auto"/>
    </w:pPr>
    <w:rPr>
      <w:rFonts w:ascii="Verdana" w:eastAsiaTheme="minorEastAsia" w:hAnsi="Verdana"/>
      <w:sz w:val="20"/>
      <w:szCs w:val="20"/>
    </w:rPr>
  </w:style>
  <w:style w:type="paragraph" w:customStyle="1" w:styleId="LightList-Accent31311">
    <w:name w:val="Light List - Accent 31311"/>
    <w:hidden/>
    <w:uiPriority w:val="99"/>
    <w:semiHidden/>
    <w:rsid w:val="0081234A"/>
    <w:pPr>
      <w:spacing w:after="120" w:line="264" w:lineRule="auto"/>
    </w:pPr>
    <w:rPr>
      <w:rFonts w:ascii="Arial" w:eastAsiaTheme="minorEastAsia" w:hAnsi="Arial"/>
      <w:sz w:val="24"/>
      <w:szCs w:val="24"/>
    </w:rPr>
  </w:style>
  <w:style w:type="paragraph" w:customStyle="1" w:styleId="LightList-Accent311211">
    <w:name w:val="Light List - Accent 311211"/>
    <w:hidden/>
    <w:uiPriority w:val="99"/>
    <w:semiHidden/>
    <w:rsid w:val="0081234A"/>
    <w:pPr>
      <w:spacing w:after="120" w:line="264" w:lineRule="auto"/>
    </w:pPr>
    <w:rPr>
      <w:rFonts w:ascii="Arial" w:eastAsiaTheme="minorEastAsia" w:hAnsi="Arial"/>
      <w:sz w:val="24"/>
      <w:szCs w:val="24"/>
    </w:rPr>
  </w:style>
  <w:style w:type="paragraph" w:customStyle="1" w:styleId="MediumList2-Accent21211">
    <w:name w:val="Medium List 2 - Accent 21211"/>
    <w:hidden/>
    <w:uiPriority w:val="99"/>
    <w:semiHidden/>
    <w:rsid w:val="0081234A"/>
    <w:pPr>
      <w:spacing w:after="120" w:line="264" w:lineRule="auto"/>
    </w:pPr>
    <w:rPr>
      <w:rFonts w:ascii="Arial" w:eastAsiaTheme="minorEastAsia" w:hAnsi="Arial"/>
      <w:sz w:val="24"/>
      <w:szCs w:val="24"/>
    </w:rPr>
  </w:style>
  <w:style w:type="paragraph" w:customStyle="1" w:styleId="MediumList2-Accent22211">
    <w:name w:val="Medium List 2 - Accent 222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1">
    <w:name w:val="Colorful Shading - Accent 112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1">
    <w:name w:val="Colorful Shading - Accent 12211"/>
    <w:hidden/>
    <w:uiPriority w:val="99"/>
    <w:semiHidden/>
    <w:rsid w:val="0081234A"/>
    <w:pPr>
      <w:spacing w:after="120" w:line="264" w:lineRule="auto"/>
    </w:pPr>
    <w:rPr>
      <w:rFonts w:ascii="Verdana" w:eastAsiaTheme="minorEastAsia" w:hAnsi="Verdana"/>
      <w:sz w:val="20"/>
      <w:szCs w:val="20"/>
    </w:rPr>
  </w:style>
  <w:style w:type="paragraph" w:customStyle="1" w:styleId="LightList-Accent3141">
    <w:name w:val="Light List - Accent 3141"/>
    <w:hidden/>
    <w:uiPriority w:val="99"/>
    <w:semiHidden/>
    <w:rsid w:val="0081234A"/>
    <w:pPr>
      <w:spacing w:after="120" w:line="264" w:lineRule="auto"/>
    </w:pPr>
    <w:rPr>
      <w:rFonts w:ascii="Arial" w:eastAsiaTheme="minorEastAsia" w:hAnsi="Arial"/>
      <w:sz w:val="24"/>
      <w:szCs w:val="24"/>
    </w:rPr>
  </w:style>
  <w:style w:type="paragraph" w:customStyle="1" w:styleId="LightList-Accent31131">
    <w:name w:val="Light List - Accent 31131"/>
    <w:hidden/>
    <w:uiPriority w:val="99"/>
    <w:semiHidden/>
    <w:rsid w:val="0081234A"/>
    <w:pPr>
      <w:spacing w:after="120" w:line="264" w:lineRule="auto"/>
    </w:pPr>
    <w:rPr>
      <w:rFonts w:ascii="Arial" w:eastAsiaTheme="minorEastAsia" w:hAnsi="Arial"/>
      <w:sz w:val="24"/>
      <w:szCs w:val="24"/>
    </w:rPr>
  </w:style>
  <w:style w:type="paragraph" w:customStyle="1" w:styleId="MediumList2-Accent2131">
    <w:name w:val="Medium List 2 - Accent 2131"/>
    <w:hidden/>
    <w:uiPriority w:val="99"/>
    <w:semiHidden/>
    <w:rsid w:val="0081234A"/>
    <w:pPr>
      <w:spacing w:after="120" w:line="264" w:lineRule="auto"/>
    </w:pPr>
    <w:rPr>
      <w:rFonts w:ascii="Arial" w:eastAsiaTheme="minorEastAsia" w:hAnsi="Arial"/>
      <w:sz w:val="24"/>
      <w:szCs w:val="24"/>
    </w:rPr>
  </w:style>
  <w:style w:type="paragraph" w:customStyle="1" w:styleId="MediumList2-Accent2231">
    <w:name w:val="Medium List 2 - Accent 223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1">
    <w:name w:val="Colorful Shading - Accent 113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1">
    <w:name w:val="Colorful Shading - Accent 1231"/>
    <w:hidden/>
    <w:uiPriority w:val="99"/>
    <w:semiHidden/>
    <w:rsid w:val="0081234A"/>
    <w:pPr>
      <w:spacing w:after="120" w:line="264" w:lineRule="auto"/>
    </w:pPr>
    <w:rPr>
      <w:rFonts w:ascii="Verdana" w:eastAsiaTheme="minorEastAsia" w:hAnsi="Verdana"/>
      <w:sz w:val="20"/>
      <w:szCs w:val="20"/>
    </w:rPr>
  </w:style>
  <w:style w:type="paragraph" w:customStyle="1" w:styleId="LightList-Accent3151">
    <w:name w:val="Light List - Accent 3151"/>
    <w:hidden/>
    <w:uiPriority w:val="99"/>
    <w:semiHidden/>
    <w:rsid w:val="0081234A"/>
    <w:pPr>
      <w:spacing w:after="120" w:line="264" w:lineRule="auto"/>
    </w:pPr>
    <w:rPr>
      <w:rFonts w:ascii="Arial" w:eastAsiaTheme="minorEastAsia" w:hAnsi="Arial"/>
      <w:sz w:val="24"/>
      <w:szCs w:val="24"/>
    </w:rPr>
  </w:style>
  <w:style w:type="paragraph" w:customStyle="1" w:styleId="LightList-Accent31141">
    <w:name w:val="Light List - Accent 31141"/>
    <w:hidden/>
    <w:uiPriority w:val="99"/>
    <w:semiHidden/>
    <w:rsid w:val="0081234A"/>
    <w:pPr>
      <w:spacing w:after="120" w:line="264" w:lineRule="auto"/>
    </w:pPr>
    <w:rPr>
      <w:rFonts w:ascii="Arial" w:eastAsiaTheme="minorEastAsia" w:hAnsi="Arial"/>
      <w:sz w:val="24"/>
      <w:szCs w:val="24"/>
    </w:rPr>
  </w:style>
  <w:style w:type="paragraph" w:customStyle="1" w:styleId="MediumList2-Accent2141">
    <w:name w:val="Medium List 2 - Accent 2141"/>
    <w:hidden/>
    <w:uiPriority w:val="99"/>
    <w:semiHidden/>
    <w:rsid w:val="0081234A"/>
    <w:pPr>
      <w:spacing w:after="120" w:line="264" w:lineRule="auto"/>
    </w:pPr>
    <w:rPr>
      <w:rFonts w:ascii="Arial" w:eastAsiaTheme="minorEastAsia" w:hAnsi="Arial"/>
      <w:sz w:val="24"/>
      <w:szCs w:val="24"/>
    </w:rPr>
  </w:style>
  <w:style w:type="paragraph" w:customStyle="1" w:styleId="MediumList2-Accent2241">
    <w:name w:val="Medium List 2 - Accent 224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1">
    <w:name w:val="Colorful Shading - Accent 114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1">
    <w:name w:val="Colorful Shading - Accent 1241"/>
    <w:hidden/>
    <w:uiPriority w:val="99"/>
    <w:semiHidden/>
    <w:rsid w:val="0081234A"/>
    <w:pPr>
      <w:spacing w:after="120" w:line="264" w:lineRule="auto"/>
    </w:pPr>
    <w:rPr>
      <w:rFonts w:ascii="Verdana" w:eastAsiaTheme="minorEastAsia" w:hAnsi="Verdana"/>
      <w:sz w:val="20"/>
      <w:szCs w:val="20"/>
    </w:rPr>
  </w:style>
  <w:style w:type="paragraph" w:customStyle="1" w:styleId="LightList-Accent317">
    <w:name w:val="Light List - Accent 317"/>
    <w:hidden/>
    <w:uiPriority w:val="99"/>
    <w:semiHidden/>
    <w:rsid w:val="0081234A"/>
    <w:pPr>
      <w:spacing w:after="120" w:line="264" w:lineRule="auto"/>
    </w:pPr>
    <w:rPr>
      <w:rFonts w:ascii="Arial" w:eastAsiaTheme="minorEastAsia" w:hAnsi="Arial"/>
      <w:sz w:val="24"/>
      <w:szCs w:val="24"/>
    </w:rPr>
  </w:style>
  <w:style w:type="paragraph" w:customStyle="1" w:styleId="LightList-Accent3116">
    <w:name w:val="Light List - Accent 3116"/>
    <w:hidden/>
    <w:uiPriority w:val="99"/>
    <w:semiHidden/>
    <w:rsid w:val="0081234A"/>
    <w:pPr>
      <w:spacing w:after="120" w:line="264" w:lineRule="auto"/>
    </w:pPr>
    <w:rPr>
      <w:rFonts w:ascii="Arial" w:eastAsiaTheme="minorEastAsia" w:hAnsi="Arial"/>
      <w:sz w:val="24"/>
      <w:szCs w:val="24"/>
    </w:rPr>
  </w:style>
  <w:style w:type="paragraph" w:customStyle="1" w:styleId="MediumList2-Accent216">
    <w:name w:val="Medium List 2 - Accent 216"/>
    <w:hidden/>
    <w:uiPriority w:val="99"/>
    <w:semiHidden/>
    <w:rsid w:val="0081234A"/>
    <w:pPr>
      <w:spacing w:after="120" w:line="264" w:lineRule="auto"/>
    </w:pPr>
    <w:rPr>
      <w:rFonts w:ascii="Arial" w:eastAsiaTheme="minorEastAsia" w:hAnsi="Arial"/>
      <w:sz w:val="24"/>
      <w:szCs w:val="24"/>
    </w:rPr>
  </w:style>
  <w:style w:type="paragraph" w:customStyle="1" w:styleId="MediumList2-Accent226">
    <w:name w:val="Medium List 2 - Accent 226"/>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6">
    <w:name w:val="Colorful Shading - Accent 116"/>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6">
    <w:name w:val="Colorful Shading - Accent 126"/>
    <w:hidden/>
    <w:uiPriority w:val="99"/>
    <w:semiHidden/>
    <w:rsid w:val="0081234A"/>
    <w:pPr>
      <w:spacing w:after="120" w:line="264" w:lineRule="auto"/>
    </w:pPr>
    <w:rPr>
      <w:rFonts w:ascii="Verdana" w:eastAsiaTheme="minorEastAsia" w:hAnsi="Verdana"/>
      <w:sz w:val="20"/>
      <w:szCs w:val="20"/>
    </w:rPr>
  </w:style>
  <w:style w:type="paragraph" w:customStyle="1" w:styleId="LightList-Accent3123">
    <w:name w:val="Light List - Accent 3123"/>
    <w:hidden/>
    <w:uiPriority w:val="99"/>
    <w:semiHidden/>
    <w:rsid w:val="0081234A"/>
    <w:pPr>
      <w:spacing w:after="120" w:line="264" w:lineRule="auto"/>
    </w:pPr>
    <w:rPr>
      <w:rFonts w:ascii="Arial" w:eastAsiaTheme="minorEastAsia" w:hAnsi="Arial"/>
      <w:sz w:val="24"/>
      <w:szCs w:val="24"/>
    </w:rPr>
  </w:style>
  <w:style w:type="paragraph" w:customStyle="1" w:styleId="LightList-Accent31113">
    <w:name w:val="Light List - Accent 31113"/>
    <w:hidden/>
    <w:uiPriority w:val="99"/>
    <w:semiHidden/>
    <w:rsid w:val="0081234A"/>
    <w:pPr>
      <w:spacing w:after="120" w:line="264" w:lineRule="auto"/>
    </w:pPr>
    <w:rPr>
      <w:rFonts w:ascii="Arial" w:eastAsiaTheme="minorEastAsia" w:hAnsi="Arial"/>
      <w:sz w:val="24"/>
      <w:szCs w:val="24"/>
    </w:rPr>
  </w:style>
  <w:style w:type="paragraph" w:customStyle="1" w:styleId="MediumList2-Accent2113">
    <w:name w:val="Medium List 2 - Accent 2113"/>
    <w:hidden/>
    <w:uiPriority w:val="99"/>
    <w:semiHidden/>
    <w:rsid w:val="0081234A"/>
    <w:pPr>
      <w:spacing w:after="120" w:line="264" w:lineRule="auto"/>
    </w:pPr>
    <w:rPr>
      <w:rFonts w:ascii="Arial" w:eastAsiaTheme="minorEastAsia" w:hAnsi="Arial"/>
      <w:sz w:val="24"/>
      <w:szCs w:val="24"/>
    </w:rPr>
  </w:style>
  <w:style w:type="paragraph" w:customStyle="1" w:styleId="MediumList2-Accent2213">
    <w:name w:val="Medium List 2 - Accent 221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3">
    <w:name w:val="Colorful Shading - Accent 111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3">
    <w:name w:val="Colorful Shading - Accent 1213"/>
    <w:hidden/>
    <w:uiPriority w:val="99"/>
    <w:semiHidden/>
    <w:rsid w:val="0081234A"/>
    <w:pPr>
      <w:spacing w:after="120" w:line="264" w:lineRule="auto"/>
    </w:pPr>
    <w:rPr>
      <w:rFonts w:ascii="Verdana" w:eastAsiaTheme="minorEastAsia" w:hAnsi="Verdana"/>
      <w:sz w:val="20"/>
      <w:szCs w:val="20"/>
    </w:rPr>
  </w:style>
  <w:style w:type="paragraph" w:customStyle="1" w:styleId="LightList-Accent3133">
    <w:name w:val="Light List - Accent 3133"/>
    <w:hidden/>
    <w:uiPriority w:val="99"/>
    <w:semiHidden/>
    <w:rsid w:val="0081234A"/>
    <w:pPr>
      <w:spacing w:after="120" w:line="264" w:lineRule="auto"/>
    </w:pPr>
    <w:rPr>
      <w:rFonts w:ascii="Arial" w:eastAsiaTheme="minorEastAsia" w:hAnsi="Arial"/>
      <w:sz w:val="24"/>
      <w:szCs w:val="24"/>
    </w:rPr>
  </w:style>
  <w:style w:type="paragraph" w:customStyle="1" w:styleId="LightList-Accent31123">
    <w:name w:val="Light List - Accent 31123"/>
    <w:hidden/>
    <w:uiPriority w:val="99"/>
    <w:semiHidden/>
    <w:rsid w:val="0081234A"/>
    <w:pPr>
      <w:spacing w:after="120" w:line="264" w:lineRule="auto"/>
    </w:pPr>
    <w:rPr>
      <w:rFonts w:ascii="Arial" w:eastAsiaTheme="minorEastAsia" w:hAnsi="Arial"/>
      <w:sz w:val="24"/>
      <w:szCs w:val="24"/>
    </w:rPr>
  </w:style>
  <w:style w:type="paragraph" w:customStyle="1" w:styleId="MediumList2-Accent2123">
    <w:name w:val="Medium List 2 - Accent 2123"/>
    <w:hidden/>
    <w:uiPriority w:val="99"/>
    <w:semiHidden/>
    <w:rsid w:val="0081234A"/>
    <w:pPr>
      <w:spacing w:after="120" w:line="264" w:lineRule="auto"/>
    </w:pPr>
    <w:rPr>
      <w:rFonts w:ascii="Arial" w:eastAsiaTheme="minorEastAsia" w:hAnsi="Arial"/>
      <w:sz w:val="24"/>
      <w:szCs w:val="24"/>
    </w:rPr>
  </w:style>
  <w:style w:type="paragraph" w:customStyle="1" w:styleId="MediumList2-Accent2223">
    <w:name w:val="Medium List 2 - Accent 222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3">
    <w:name w:val="Colorful Shading - Accent 112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3">
    <w:name w:val="Colorful Shading - Accent 1223"/>
    <w:hidden/>
    <w:uiPriority w:val="99"/>
    <w:semiHidden/>
    <w:rsid w:val="0081234A"/>
    <w:pPr>
      <w:spacing w:after="120" w:line="264" w:lineRule="auto"/>
    </w:pPr>
    <w:rPr>
      <w:rFonts w:ascii="Verdana" w:eastAsiaTheme="minorEastAsia" w:hAnsi="Verdana"/>
      <w:sz w:val="20"/>
      <w:szCs w:val="20"/>
    </w:rPr>
  </w:style>
  <w:style w:type="paragraph" w:customStyle="1" w:styleId="LightList-Accent31212">
    <w:name w:val="Light List - Accent 31212"/>
    <w:hidden/>
    <w:uiPriority w:val="99"/>
    <w:semiHidden/>
    <w:rsid w:val="0081234A"/>
    <w:pPr>
      <w:spacing w:after="120" w:line="264" w:lineRule="auto"/>
    </w:pPr>
    <w:rPr>
      <w:rFonts w:ascii="Arial" w:eastAsiaTheme="minorEastAsia" w:hAnsi="Arial"/>
      <w:sz w:val="24"/>
      <w:szCs w:val="24"/>
    </w:rPr>
  </w:style>
  <w:style w:type="paragraph" w:customStyle="1" w:styleId="LightList-Accent311112">
    <w:name w:val="Light List - Accent 311112"/>
    <w:hidden/>
    <w:uiPriority w:val="99"/>
    <w:semiHidden/>
    <w:rsid w:val="0081234A"/>
    <w:pPr>
      <w:spacing w:after="120" w:line="264" w:lineRule="auto"/>
    </w:pPr>
    <w:rPr>
      <w:rFonts w:ascii="Arial" w:eastAsiaTheme="minorEastAsia" w:hAnsi="Arial"/>
      <w:sz w:val="24"/>
      <w:szCs w:val="24"/>
    </w:rPr>
  </w:style>
  <w:style w:type="paragraph" w:customStyle="1" w:styleId="MediumList2-Accent21112">
    <w:name w:val="Medium List 2 - Accent 21112"/>
    <w:hidden/>
    <w:uiPriority w:val="99"/>
    <w:semiHidden/>
    <w:rsid w:val="0081234A"/>
    <w:pPr>
      <w:spacing w:after="120" w:line="264" w:lineRule="auto"/>
    </w:pPr>
    <w:rPr>
      <w:rFonts w:ascii="Arial" w:eastAsiaTheme="minorEastAsia" w:hAnsi="Arial"/>
      <w:sz w:val="24"/>
      <w:szCs w:val="24"/>
    </w:rPr>
  </w:style>
  <w:style w:type="paragraph" w:customStyle="1" w:styleId="MediumList2-Accent22112">
    <w:name w:val="Medium List 2 - Accent 221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2">
    <w:name w:val="Colorful Shading - Accent 11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2">
    <w:name w:val="Colorful Shading - Accent 12112"/>
    <w:hidden/>
    <w:uiPriority w:val="99"/>
    <w:semiHidden/>
    <w:rsid w:val="0081234A"/>
    <w:pPr>
      <w:spacing w:after="120" w:line="264" w:lineRule="auto"/>
    </w:pPr>
    <w:rPr>
      <w:rFonts w:ascii="Verdana" w:eastAsiaTheme="minorEastAsia" w:hAnsi="Verdana"/>
      <w:sz w:val="20"/>
      <w:szCs w:val="20"/>
    </w:rPr>
  </w:style>
  <w:style w:type="paragraph" w:customStyle="1" w:styleId="LightList-Accent31312">
    <w:name w:val="Light List - Accent 31312"/>
    <w:hidden/>
    <w:uiPriority w:val="99"/>
    <w:semiHidden/>
    <w:rsid w:val="0081234A"/>
    <w:pPr>
      <w:spacing w:after="120" w:line="264" w:lineRule="auto"/>
    </w:pPr>
    <w:rPr>
      <w:rFonts w:ascii="Arial" w:eastAsiaTheme="minorEastAsia" w:hAnsi="Arial"/>
      <w:sz w:val="24"/>
      <w:szCs w:val="24"/>
    </w:rPr>
  </w:style>
  <w:style w:type="paragraph" w:customStyle="1" w:styleId="LightList-Accent311212">
    <w:name w:val="Light List - Accent 311212"/>
    <w:hidden/>
    <w:uiPriority w:val="99"/>
    <w:semiHidden/>
    <w:rsid w:val="0081234A"/>
    <w:pPr>
      <w:spacing w:after="120" w:line="264" w:lineRule="auto"/>
    </w:pPr>
    <w:rPr>
      <w:rFonts w:ascii="Arial" w:eastAsiaTheme="minorEastAsia" w:hAnsi="Arial"/>
      <w:sz w:val="24"/>
      <w:szCs w:val="24"/>
    </w:rPr>
  </w:style>
  <w:style w:type="paragraph" w:customStyle="1" w:styleId="MediumList2-Accent21212">
    <w:name w:val="Medium List 2 - Accent 21212"/>
    <w:hidden/>
    <w:uiPriority w:val="99"/>
    <w:semiHidden/>
    <w:rsid w:val="0081234A"/>
    <w:pPr>
      <w:spacing w:after="120" w:line="264" w:lineRule="auto"/>
    </w:pPr>
    <w:rPr>
      <w:rFonts w:ascii="Arial" w:eastAsiaTheme="minorEastAsia" w:hAnsi="Arial"/>
      <w:sz w:val="24"/>
      <w:szCs w:val="24"/>
    </w:rPr>
  </w:style>
  <w:style w:type="paragraph" w:customStyle="1" w:styleId="MediumList2-Accent22212">
    <w:name w:val="Medium List 2 - Accent 222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2">
    <w:name w:val="Colorful Shading - Accent 112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2">
    <w:name w:val="Colorful Shading - Accent 12212"/>
    <w:hidden/>
    <w:uiPriority w:val="99"/>
    <w:semiHidden/>
    <w:rsid w:val="0081234A"/>
    <w:pPr>
      <w:spacing w:after="120" w:line="264" w:lineRule="auto"/>
    </w:pPr>
    <w:rPr>
      <w:rFonts w:ascii="Verdana" w:eastAsiaTheme="minorEastAsia" w:hAnsi="Verdana"/>
      <w:sz w:val="20"/>
      <w:szCs w:val="20"/>
    </w:rPr>
  </w:style>
  <w:style w:type="paragraph" w:customStyle="1" w:styleId="LightList-Accent3142">
    <w:name w:val="Light List - Accent 3142"/>
    <w:hidden/>
    <w:uiPriority w:val="99"/>
    <w:semiHidden/>
    <w:rsid w:val="0081234A"/>
    <w:pPr>
      <w:spacing w:after="120" w:line="264" w:lineRule="auto"/>
    </w:pPr>
    <w:rPr>
      <w:rFonts w:ascii="Arial" w:eastAsiaTheme="minorEastAsia" w:hAnsi="Arial"/>
      <w:sz w:val="24"/>
      <w:szCs w:val="24"/>
    </w:rPr>
  </w:style>
  <w:style w:type="paragraph" w:customStyle="1" w:styleId="LightList-Accent31132">
    <w:name w:val="Light List - Accent 31132"/>
    <w:hidden/>
    <w:uiPriority w:val="99"/>
    <w:semiHidden/>
    <w:rsid w:val="0081234A"/>
    <w:pPr>
      <w:spacing w:after="120" w:line="264" w:lineRule="auto"/>
    </w:pPr>
    <w:rPr>
      <w:rFonts w:ascii="Arial" w:eastAsiaTheme="minorEastAsia" w:hAnsi="Arial"/>
      <w:sz w:val="24"/>
      <w:szCs w:val="24"/>
    </w:rPr>
  </w:style>
  <w:style w:type="paragraph" w:customStyle="1" w:styleId="MediumList2-Accent2132">
    <w:name w:val="Medium List 2 - Accent 2132"/>
    <w:hidden/>
    <w:uiPriority w:val="99"/>
    <w:semiHidden/>
    <w:rsid w:val="0081234A"/>
    <w:pPr>
      <w:spacing w:after="120" w:line="264" w:lineRule="auto"/>
    </w:pPr>
    <w:rPr>
      <w:rFonts w:ascii="Arial" w:eastAsiaTheme="minorEastAsia" w:hAnsi="Arial"/>
      <w:sz w:val="24"/>
      <w:szCs w:val="24"/>
    </w:rPr>
  </w:style>
  <w:style w:type="paragraph" w:customStyle="1" w:styleId="MediumList2-Accent2232">
    <w:name w:val="Medium List 2 - Accent 223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2">
    <w:name w:val="Colorful Shading - Accent 113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2">
    <w:name w:val="Colorful Shading - Accent 1232"/>
    <w:hidden/>
    <w:uiPriority w:val="99"/>
    <w:semiHidden/>
    <w:rsid w:val="0081234A"/>
    <w:pPr>
      <w:spacing w:after="120" w:line="264" w:lineRule="auto"/>
    </w:pPr>
    <w:rPr>
      <w:rFonts w:ascii="Verdana" w:eastAsiaTheme="minorEastAsia" w:hAnsi="Verdana"/>
      <w:sz w:val="20"/>
      <w:szCs w:val="20"/>
    </w:rPr>
  </w:style>
  <w:style w:type="paragraph" w:customStyle="1" w:styleId="LightList-Accent3152">
    <w:name w:val="Light List - Accent 3152"/>
    <w:hidden/>
    <w:uiPriority w:val="99"/>
    <w:semiHidden/>
    <w:rsid w:val="0081234A"/>
    <w:pPr>
      <w:spacing w:after="120" w:line="264" w:lineRule="auto"/>
    </w:pPr>
    <w:rPr>
      <w:rFonts w:ascii="Arial" w:eastAsiaTheme="minorEastAsia" w:hAnsi="Arial"/>
      <w:sz w:val="24"/>
      <w:szCs w:val="24"/>
    </w:rPr>
  </w:style>
  <w:style w:type="paragraph" w:customStyle="1" w:styleId="LightList-Accent31142">
    <w:name w:val="Light List - Accent 31142"/>
    <w:hidden/>
    <w:uiPriority w:val="99"/>
    <w:semiHidden/>
    <w:rsid w:val="0081234A"/>
    <w:pPr>
      <w:spacing w:after="120" w:line="264" w:lineRule="auto"/>
    </w:pPr>
    <w:rPr>
      <w:rFonts w:ascii="Arial" w:eastAsiaTheme="minorEastAsia" w:hAnsi="Arial"/>
      <w:sz w:val="24"/>
      <w:szCs w:val="24"/>
    </w:rPr>
  </w:style>
  <w:style w:type="paragraph" w:customStyle="1" w:styleId="MediumList2-Accent2142">
    <w:name w:val="Medium List 2 - Accent 2142"/>
    <w:hidden/>
    <w:uiPriority w:val="99"/>
    <w:semiHidden/>
    <w:rsid w:val="0081234A"/>
    <w:pPr>
      <w:spacing w:after="120" w:line="264" w:lineRule="auto"/>
    </w:pPr>
    <w:rPr>
      <w:rFonts w:ascii="Arial" w:eastAsiaTheme="minorEastAsia" w:hAnsi="Arial"/>
      <w:sz w:val="24"/>
      <w:szCs w:val="24"/>
    </w:rPr>
  </w:style>
  <w:style w:type="paragraph" w:customStyle="1" w:styleId="MediumList2-Accent2242">
    <w:name w:val="Medium List 2 - Accent 224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2">
    <w:name w:val="Colorful Shading - Accent 114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2">
    <w:name w:val="Colorful Shading - Accent 1242"/>
    <w:hidden/>
    <w:uiPriority w:val="99"/>
    <w:semiHidden/>
    <w:rsid w:val="0081234A"/>
    <w:pPr>
      <w:spacing w:after="120" w:line="264" w:lineRule="auto"/>
    </w:pPr>
    <w:rPr>
      <w:rFonts w:ascii="Verdana" w:eastAsiaTheme="minorEastAsia" w:hAnsi="Verdana"/>
      <w:sz w:val="20"/>
      <w:szCs w:val="20"/>
    </w:rPr>
  </w:style>
  <w:style w:type="paragraph" w:customStyle="1" w:styleId="LightList-Accent318">
    <w:name w:val="Light List - Accent 318"/>
    <w:hidden/>
    <w:uiPriority w:val="99"/>
    <w:semiHidden/>
    <w:rsid w:val="0081234A"/>
    <w:pPr>
      <w:spacing w:after="120" w:line="264" w:lineRule="auto"/>
    </w:pPr>
    <w:rPr>
      <w:rFonts w:ascii="Arial" w:eastAsiaTheme="minorEastAsia" w:hAnsi="Arial"/>
      <w:sz w:val="24"/>
      <w:szCs w:val="24"/>
    </w:rPr>
  </w:style>
  <w:style w:type="paragraph" w:customStyle="1" w:styleId="LightList-Accent3117">
    <w:name w:val="Light List - Accent 3117"/>
    <w:hidden/>
    <w:uiPriority w:val="99"/>
    <w:semiHidden/>
    <w:rsid w:val="0081234A"/>
    <w:pPr>
      <w:spacing w:after="120" w:line="264" w:lineRule="auto"/>
    </w:pPr>
    <w:rPr>
      <w:rFonts w:ascii="Arial" w:eastAsiaTheme="minorEastAsia" w:hAnsi="Arial"/>
      <w:sz w:val="24"/>
      <w:szCs w:val="24"/>
    </w:rPr>
  </w:style>
  <w:style w:type="paragraph" w:customStyle="1" w:styleId="MediumList2-Accent217">
    <w:name w:val="Medium List 2 - Accent 217"/>
    <w:hidden/>
    <w:uiPriority w:val="99"/>
    <w:semiHidden/>
    <w:rsid w:val="0081234A"/>
    <w:pPr>
      <w:spacing w:after="120" w:line="264" w:lineRule="auto"/>
    </w:pPr>
    <w:rPr>
      <w:rFonts w:ascii="Arial" w:eastAsiaTheme="minorEastAsia" w:hAnsi="Arial"/>
      <w:sz w:val="24"/>
      <w:szCs w:val="24"/>
    </w:rPr>
  </w:style>
  <w:style w:type="paragraph" w:customStyle="1" w:styleId="MediumList2-Accent227">
    <w:name w:val="Medium List 2 - Accent 227"/>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7">
    <w:name w:val="Colorful Shading - Accent 117"/>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7">
    <w:name w:val="Colorful Shading - Accent 127"/>
    <w:hidden/>
    <w:uiPriority w:val="99"/>
    <w:semiHidden/>
    <w:rsid w:val="0081234A"/>
    <w:pPr>
      <w:spacing w:after="120" w:line="264" w:lineRule="auto"/>
    </w:pPr>
    <w:rPr>
      <w:rFonts w:ascii="Verdana" w:eastAsiaTheme="minorEastAsia" w:hAnsi="Verdana"/>
      <w:sz w:val="20"/>
      <w:szCs w:val="20"/>
    </w:rPr>
  </w:style>
  <w:style w:type="paragraph" w:customStyle="1" w:styleId="LightList-Accent3124">
    <w:name w:val="Light List - Accent 3124"/>
    <w:hidden/>
    <w:uiPriority w:val="99"/>
    <w:semiHidden/>
    <w:rsid w:val="0081234A"/>
    <w:pPr>
      <w:spacing w:after="120" w:line="264" w:lineRule="auto"/>
    </w:pPr>
    <w:rPr>
      <w:rFonts w:ascii="Arial" w:eastAsiaTheme="minorEastAsia" w:hAnsi="Arial"/>
      <w:sz w:val="24"/>
      <w:szCs w:val="24"/>
    </w:rPr>
  </w:style>
  <w:style w:type="paragraph" w:customStyle="1" w:styleId="LightList-Accent31114">
    <w:name w:val="Light List - Accent 31114"/>
    <w:hidden/>
    <w:uiPriority w:val="99"/>
    <w:semiHidden/>
    <w:rsid w:val="0081234A"/>
    <w:pPr>
      <w:spacing w:after="120" w:line="264" w:lineRule="auto"/>
    </w:pPr>
    <w:rPr>
      <w:rFonts w:ascii="Arial" w:eastAsiaTheme="minorEastAsia" w:hAnsi="Arial"/>
      <w:sz w:val="24"/>
      <w:szCs w:val="24"/>
    </w:rPr>
  </w:style>
  <w:style w:type="paragraph" w:customStyle="1" w:styleId="MediumList2-Accent2114">
    <w:name w:val="Medium List 2 - Accent 2114"/>
    <w:hidden/>
    <w:uiPriority w:val="99"/>
    <w:semiHidden/>
    <w:rsid w:val="0081234A"/>
    <w:pPr>
      <w:spacing w:after="120" w:line="264" w:lineRule="auto"/>
    </w:pPr>
    <w:rPr>
      <w:rFonts w:ascii="Arial" w:eastAsiaTheme="minorEastAsia" w:hAnsi="Arial"/>
      <w:sz w:val="24"/>
      <w:szCs w:val="24"/>
    </w:rPr>
  </w:style>
  <w:style w:type="paragraph" w:customStyle="1" w:styleId="MediumList2-Accent2214">
    <w:name w:val="Medium List 2 - Accent 221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4">
    <w:name w:val="Colorful Shading - Accent 111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4">
    <w:name w:val="Colorful Shading - Accent 1214"/>
    <w:hidden/>
    <w:uiPriority w:val="99"/>
    <w:semiHidden/>
    <w:rsid w:val="0081234A"/>
    <w:pPr>
      <w:spacing w:after="120" w:line="264" w:lineRule="auto"/>
    </w:pPr>
    <w:rPr>
      <w:rFonts w:ascii="Verdana" w:eastAsiaTheme="minorEastAsia" w:hAnsi="Verdana"/>
      <w:sz w:val="20"/>
      <w:szCs w:val="20"/>
    </w:rPr>
  </w:style>
  <w:style w:type="paragraph" w:customStyle="1" w:styleId="LightList-Accent3134">
    <w:name w:val="Light List - Accent 3134"/>
    <w:hidden/>
    <w:uiPriority w:val="99"/>
    <w:semiHidden/>
    <w:rsid w:val="0081234A"/>
    <w:pPr>
      <w:spacing w:after="120" w:line="264" w:lineRule="auto"/>
    </w:pPr>
    <w:rPr>
      <w:rFonts w:ascii="Arial" w:eastAsiaTheme="minorEastAsia" w:hAnsi="Arial"/>
      <w:sz w:val="24"/>
      <w:szCs w:val="24"/>
    </w:rPr>
  </w:style>
  <w:style w:type="paragraph" w:customStyle="1" w:styleId="LightList-Accent31124">
    <w:name w:val="Light List - Accent 31124"/>
    <w:hidden/>
    <w:uiPriority w:val="99"/>
    <w:semiHidden/>
    <w:rsid w:val="0081234A"/>
    <w:pPr>
      <w:spacing w:after="120" w:line="264" w:lineRule="auto"/>
    </w:pPr>
    <w:rPr>
      <w:rFonts w:ascii="Arial" w:eastAsiaTheme="minorEastAsia" w:hAnsi="Arial"/>
      <w:sz w:val="24"/>
      <w:szCs w:val="24"/>
    </w:rPr>
  </w:style>
  <w:style w:type="paragraph" w:customStyle="1" w:styleId="MediumList2-Accent2124">
    <w:name w:val="Medium List 2 - Accent 2124"/>
    <w:hidden/>
    <w:uiPriority w:val="99"/>
    <w:semiHidden/>
    <w:rsid w:val="0081234A"/>
    <w:pPr>
      <w:spacing w:after="120" w:line="264" w:lineRule="auto"/>
    </w:pPr>
    <w:rPr>
      <w:rFonts w:ascii="Arial" w:eastAsiaTheme="minorEastAsia" w:hAnsi="Arial"/>
      <w:sz w:val="24"/>
      <w:szCs w:val="24"/>
    </w:rPr>
  </w:style>
  <w:style w:type="paragraph" w:customStyle="1" w:styleId="MediumList2-Accent2224">
    <w:name w:val="Medium List 2 - Accent 222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4">
    <w:name w:val="Colorful Shading - Accent 112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4">
    <w:name w:val="Colorful Shading - Accent 1224"/>
    <w:hidden/>
    <w:uiPriority w:val="99"/>
    <w:semiHidden/>
    <w:rsid w:val="0081234A"/>
    <w:pPr>
      <w:spacing w:after="120" w:line="264" w:lineRule="auto"/>
    </w:pPr>
    <w:rPr>
      <w:rFonts w:ascii="Verdana" w:eastAsiaTheme="minorEastAsia" w:hAnsi="Verdana"/>
      <w:sz w:val="20"/>
      <w:szCs w:val="20"/>
    </w:rPr>
  </w:style>
  <w:style w:type="paragraph" w:customStyle="1" w:styleId="LightList-Accent31213">
    <w:name w:val="Light List - Accent 31213"/>
    <w:hidden/>
    <w:uiPriority w:val="99"/>
    <w:semiHidden/>
    <w:rsid w:val="0081234A"/>
    <w:pPr>
      <w:spacing w:after="120" w:line="264" w:lineRule="auto"/>
    </w:pPr>
    <w:rPr>
      <w:rFonts w:ascii="Arial" w:eastAsiaTheme="minorEastAsia" w:hAnsi="Arial"/>
      <w:sz w:val="24"/>
      <w:szCs w:val="24"/>
    </w:rPr>
  </w:style>
  <w:style w:type="paragraph" w:customStyle="1" w:styleId="LightList-Accent311113">
    <w:name w:val="Light List - Accent 311113"/>
    <w:hidden/>
    <w:uiPriority w:val="99"/>
    <w:semiHidden/>
    <w:rsid w:val="0081234A"/>
    <w:pPr>
      <w:spacing w:after="120" w:line="264" w:lineRule="auto"/>
    </w:pPr>
    <w:rPr>
      <w:rFonts w:ascii="Arial" w:eastAsiaTheme="minorEastAsia" w:hAnsi="Arial"/>
      <w:sz w:val="24"/>
      <w:szCs w:val="24"/>
    </w:rPr>
  </w:style>
  <w:style w:type="paragraph" w:customStyle="1" w:styleId="MediumList2-Accent21113">
    <w:name w:val="Medium List 2 - Accent 21113"/>
    <w:hidden/>
    <w:uiPriority w:val="99"/>
    <w:semiHidden/>
    <w:rsid w:val="0081234A"/>
    <w:pPr>
      <w:spacing w:after="120" w:line="264" w:lineRule="auto"/>
    </w:pPr>
    <w:rPr>
      <w:rFonts w:ascii="Arial" w:eastAsiaTheme="minorEastAsia" w:hAnsi="Arial"/>
      <w:sz w:val="24"/>
      <w:szCs w:val="24"/>
    </w:rPr>
  </w:style>
  <w:style w:type="paragraph" w:customStyle="1" w:styleId="MediumList2-Accent22113">
    <w:name w:val="Medium List 2 - Accent 2211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3">
    <w:name w:val="Colorful Shading - Accent 1111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3">
    <w:name w:val="Colorful Shading - Accent 12113"/>
    <w:hidden/>
    <w:uiPriority w:val="99"/>
    <w:semiHidden/>
    <w:rsid w:val="0081234A"/>
    <w:pPr>
      <w:spacing w:after="120" w:line="264" w:lineRule="auto"/>
    </w:pPr>
    <w:rPr>
      <w:rFonts w:ascii="Verdana" w:eastAsiaTheme="minorEastAsia" w:hAnsi="Verdana"/>
      <w:sz w:val="20"/>
      <w:szCs w:val="20"/>
    </w:rPr>
  </w:style>
  <w:style w:type="paragraph" w:customStyle="1" w:styleId="LightList-Accent31313">
    <w:name w:val="Light List - Accent 31313"/>
    <w:hidden/>
    <w:uiPriority w:val="99"/>
    <w:semiHidden/>
    <w:rsid w:val="0081234A"/>
    <w:pPr>
      <w:spacing w:after="120" w:line="264" w:lineRule="auto"/>
    </w:pPr>
    <w:rPr>
      <w:rFonts w:ascii="Arial" w:eastAsiaTheme="minorEastAsia" w:hAnsi="Arial"/>
      <w:sz w:val="24"/>
      <w:szCs w:val="24"/>
    </w:rPr>
  </w:style>
  <w:style w:type="paragraph" w:customStyle="1" w:styleId="LightList-Accent311213">
    <w:name w:val="Light List - Accent 311213"/>
    <w:hidden/>
    <w:uiPriority w:val="99"/>
    <w:semiHidden/>
    <w:rsid w:val="0081234A"/>
    <w:pPr>
      <w:spacing w:after="120" w:line="264" w:lineRule="auto"/>
    </w:pPr>
    <w:rPr>
      <w:rFonts w:ascii="Arial" w:eastAsiaTheme="minorEastAsia" w:hAnsi="Arial"/>
      <w:sz w:val="24"/>
      <w:szCs w:val="24"/>
    </w:rPr>
  </w:style>
  <w:style w:type="paragraph" w:customStyle="1" w:styleId="MediumList2-Accent21213">
    <w:name w:val="Medium List 2 - Accent 21213"/>
    <w:hidden/>
    <w:uiPriority w:val="99"/>
    <w:semiHidden/>
    <w:rsid w:val="0081234A"/>
    <w:pPr>
      <w:spacing w:after="120" w:line="264" w:lineRule="auto"/>
    </w:pPr>
    <w:rPr>
      <w:rFonts w:ascii="Arial" w:eastAsiaTheme="minorEastAsia" w:hAnsi="Arial"/>
      <w:sz w:val="24"/>
      <w:szCs w:val="24"/>
    </w:rPr>
  </w:style>
  <w:style w:type="paragraph" w:customStyle="1" w:styleId="MediumList2-Accent22213">
    <w:name w:val="Medium List 2 - Accent 2221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3">
    <w:name w:val="Colorful Shading - Accent 1121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3">
    <w:name w:val="Colorful Shading - Accent 12213"/>
    <w:hidden/>
    <w:uiPriority w:val="99"/>
    <w:semiHidden/>
    <w:rsid w:val="0081234A"/>
    <w:pPr>
      <w:spacing w:after="120" w:line="264" w:lineRule="auto"/>
    </w:pPr>
    <w:rPr>
      <w:rFonts w:ascii="Verdana" w:eastAsiaTheme="minorEastAsia" w:hAnsi="Verdana"/>
      <w:sz w:val="20"/>
      <w:szCs w:val="20"/>
    </w:rPr>
  </w:style>
  <w:style w:type="paragraph" w:customStyle="1" w:styleId="LightList-Accent3143">
    <w:name w:val="Light List - Accent 3143"/>
    <w:hidden/>
    <w:uiPriority w:val="99"/>
    <w:semiHidden/>
    <w:rsid w:val="0081234A"/>
    <w:pPr>
      <w:spacing w:after="120" w:line="264" w:lineRule="auto"/>
    </w:pPr>
    <w:rPr>
      <w:rFonts w:ascii="Arial" w:eastAsiaTheme="minorEastAsia" w:hAnsi="Arial"/>
      <w:sz w:val="24"/>
      <w:szCs w:val="24"/>
    </w:rPr>
  </w:style>
  <w:style w:type="paragraph" w:customStyle="1" w:styleId="LightList-Accent31133">
    <w:name w:val="Light List - Accent 31133"/>
    <w:hidden/>
    <w:uiPriority w:val="99"/>
    <w:semiHidden/>
    <w:rsid w:val="0081234A"/>
    <w:pPr>
      <w:spacing w:after="120" w:line="264" w:lineRule="auto"/>
    </w:pPr>
    <w:rPr>
      <w:rFonts w:ascii="Arial" w:eastAsiaTheme="minorEastAsia" w:hAnsi="Arial"/>
      <w:sz w:val="24"/>
      <w:szCs w:val="24"/>
    </w:rPr>
  </w:style>
  <w:style w:type="paragraph" w:customStyle="1" w:styleId="MediumList2-Accent2133">
    <w:name w:val="Medium List 2 - Accent 2133"/>
    <w:hidden/>
    <w:uiPriority w:val="99"/>
    <w:semiHidden/>
    <w:rsid w:val="0081234A"/>
    <w:pPr>
      <w:spacing w:after="120" w:line="264" w:lineRule="auto"/>
    </w:pPr>
    <w:rPr>
      <w:rFonts w:ascii="Arial" w:eastAsiaTheme="minorEastAsia" w:hAnsi="Arial"/>
      <w:sz w:val="24"/>
      <w:szCs w:val="24"/>
    </w:rPr>
  </w:style>
  <w:style w:type="paragraph" w:customStyle="1" w:styleId="MediumList2-Accent2233">
    <w:name w:val="Medium List 2 - Accent 223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3">
    <w:name w:val="Colorful Shading - Accent 113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3">
    <w:name w:val="Colorful Shading - Accent 1233"/>
    <w:hidden/>
    <w:uiPriority w:val="99"/>
    <w:semiHidden/>
    <w:rsid w:val="0081234A"/>
    <w:pPr>
      <w:spacing w:after="120" w:line="264" w:lineRule="auto"/>
    </w:pPr>
    <w:rPr>
      <w:rFonts w:ascii="Verdana" w:eastAsiaTheme="minorEastAsia" w:hAnsi="Verdana"/>
      <w:sz w:val="20"/>
      <w:szCs w:val="20"/>
    </w:rPr>
  </w:style>
  <w:style w:type="paragraph" w:customStyle="1" w:styleId="LightList-Accent3153">
    <w:name w:val="Light List - Accent 3153"/>
    <w:hidden/>
    <w:uiPriority w:val="99"/>
    <w:semiHidden/>
    <w:rsid w:val="0081234A"/>
    <w:pPr>
      <w:spacing w:after="120" w:line="264" w:lineRule="auto"/>
    </w:pPr>
    <w:rPr>
      <w:rFonts w:ascii="Arial" w:eastAsiaTheme="minorEastAsia" w:hAnsi="Arial"/>
      <w:sz w:val="24"/>
      <w:szCs w:val="24"/>
    </w:rPr>
  </w:style>
  <w:style w:type="paragraph" w:customStyle="1" w:styleId="LightList-Accent31143">
    <w:name w:val="Light List - Accent 31143"/>
    <w:hidden/>
    <w:uiPriority w:val="99"/>
    <w:semiHidden/>
    <w:rsid w:val="0081234A"/>
    <w:pPr>
      <w:spacing w:after="120" w:line="264" w:lineRule="auto"/>
    </w:pPr>
    <w:rPr>
      <w:rFonts w:ascii="Arial" w:eastAsiaTheme="minorEastAsia" w:hAnsi="Arial"/>
      <w:sz w:val="24"/>
      <w:szCs w:val="24"/>
    </w:rPr>
  </w:style>
  <w:style w:type="paragraph" w:customStyle="1" w:styleId="MediumList2-Accent2143">
    <w:name w:val="Medium List 2 - Accent 2143"/>
    <w:hidden/>
    <w:uiPriority w:val="99"/>
    <w:semiHidden/>
    <w:rsid w:val="0081234A"/>
    <w:pPr>
      <w:spacing w:after="120" w:line="264" w:lineRule="auto"/>
    </w:pPr>
    <w:rPr>
      <w:rFonts w:ascii="Arial" w:eastAsiaTheme="minorEastAsia" w:hAnsi="Arial"/>
      <w:sz w:val="24"/>
      <w:szCs w:val="24"/>
    </w:rPr>
  </w:style>
  <w:style w:type="paragraph" w:customStyle="1" w:styleId="MediumList2-Accent2243">
    <w:name w:val="Medium List 2 - Accent 224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3">
    <w:name w:val="Colorful Shading - Accent 114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3">
    <w:name w:val="Colorful Shading - Accent 1243"/>
    <w:hidden/>
    <w:uiPriority w:val="99"/>
    <w:semiHidden/>
    <w:rsid w:val="0081234A"/>
    <w:pPr>
      <w:spacing w:after="120" w:line="264" w:lineRule="auto"/>
    </w:pPr>
    <w:rPr>
      <w:rFonts w:ascii="Verdana" w:eastAsiaTheme="minorEastAsia" w:hAnsi="Verdana"/>
      <w:sz w:val="20"/>
      <w:szCs w:val="20"/>
    </w:rPr>
  </w:style>
  <w:style w:type="paragraph" w:customStyle="1" w:styleId="LightList-Accent3161">
    <w:name w:val="Light List - Accent 3161"/>
    <w:hidden/>
    <w:uiPriority w:val="99"/>
    <w:semiHidden/>
    <w:rsid w:val="0081234A"/>
    <w:pPr>
      <w:spacing w:after="120" w:line="264" w:lineRule="auto"/>
    </w:pPr>
    <w:rPr>
      <w:rFonts w:ascii="Arial" w:eastAsiaTheme="minorEastAsia" w:hAnsi="Arial"/>
      <w:sz w:val="24"/>
      <w:szCs w:val="24"/>
    </w:rPr>
  </w:style>
  <w:style w:type="paragraph" w:customStyle="1" w:styleId="LightList-Accent31151">
    <w:name w:val="Light List - Accent 31151"/>
    <w:hidden/>
    <w:uiPriority w:val="99"/>
    <w:semiHidden/>
    <w:rsid w:val="0081234A"/>
    <w:pPr>
      <w:spacing w:after="120" w:line="264" w:lineRule="auto"/>
    </w:pPr>
    <w:rPr>
      <w:rFonts w:ascii="Arial" w:eastAsiaTheme="minorEastAsia" w:hAnsi="Arial"/>
      <w:sz w:val="24"/>
      <w:szCs w:val="24"/>
    </w:rPr>
  </w:style>
  <w:style w:type="paragraph" w:customStyle="1" w:styleId="MediumList2-Accent2151">
    <w:name w:val="Medium List 2 - Accent 2151"/>
    <w:hidden/>
    <w:uiPriority w:val="99"/>
    <w:semiHidden/>
    <w:rsid w:val="0081234A"/>
    <w:pPr>
      <w:spacing w:after="120" w:line="264" w:lineRule="auto"/>
    </w:pPr>
    <w:rPr>
      <w:rFonts w:ascii="Arial" w:eastAsiaTheme="minorEastAsia" w:hAnsi="Arial"/>
      <w:sz w:val="24"/>
      <w:szCs w:val="24"/>
    </w:rPr>
  </w:style>
  <w:style w:type="paragraph" w:customStyle="1" w:styleId="MediumList2-Accent2251">
    <w:name w:val="Medium List 2 - Accent 225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51">
    <w:name w:val="Colorful Shading - Accent 115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51">
    <w:name w:val="Colorful Shading - Accent 1251"/>
    <w:hidden/>
    <w:uiPriority w:val="99"/>
    <w:semiHidden/>
    <w:rsid w:val="0081234A"/>
    <w:pPr>
      <w:spacing w:after="120" w:line="264" w:lineRule="auto"/>
    </w:pPr>
    <w:rPr>
      <w:rFonts w:ascii="Verdana" w:eastAsiaTheme="minorEastAsia" w:hAnsi="Verdana"/>
      <w:sz w:val="20"/>
      <w:szCs w:val="20"/>
    </w:rPr>
  </w:style>
  <w:style w:type="paragraph" w:customStyle="1" w:styleId="LightList-Accent31221">
    <w:name w:val="Light List - Accent 31221"/>
    <w:hidden/>
    <w:uiPriority w:val="99"/>
    <w:semiHidden/>
    <w:rsid w:val="0081234A"/>
    <w:pPr>
      <w:spacing w:after="120" w:line="264" w:lineRule="auto"/>
    </w:pPr>
    <w:rPr>
      <w:rFonts w:ascii="Arial" w:eastAsiaTheme="minorEastAsia" w:hAnsi="Arial"/>
      <w:sz w:val="24"/>
      <w:szCs w:val="24"/>
    </w:rPr>
  </w:style>
  <w:style w:type="paragraph" w:customStyle="1" w:styleId="LightList-Accent311121">
    <w:name w:val="Light List - Accent 311121"/>
    <w:hidden/>
    <w:uiPriority w:val="99"/>
    <w:semiHidden/>
    <w:rsid w:val="0081234A"/>
    <w:pPr>
      <w:spacing w:after="120" w:line="264" w:lineRule="auto"/>
    </w:pPr>
    <w:rPr>
      <w:rFonts w:ascii="Arial" w:eastAsiaTheme="minorEastAsia" w:hAnsi="Arial"/>
      <w:sz w:val="24"/>
      <w:szCs w:val="24"/>
    </w:rPr>
  </w:style>
  <w:style w:type="paragraph" w:customStyle="1" w:styleId="MediumList2-Accent21121">
    <w:name w:val="Medium List 2 - Accent 21121"/>
    <w:hidden/>
    <w:uiPriority w:val="99"/>
    <w:semiHidden/>
    <w:rsid w:val="0081234A"/>
    <w:pPr>
      <w:spacing w:after="120" w:line="264" w:lineRule="auto"/>
    </w:pPr>
    <w:rPr>
      <w:rFonts w:ascii="Arial" w:eastAsiaTheme="minorEastAsia" w:hAnsi="Arial"/>
      <w:sz w:val="24"/>
      <w:szCs w:val="24"/>
    </w:rPr>
  </w:style>
  <w:style w:type="paragraph" w:customStyle="1" w:styleId="MediumList2-Accent22121">
    <w:name w:val="Medium List 2 - Accent 221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21">
    <w:name w:val="Colorful Shading - Accent 111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21">
    <w:name w:val="Colorful Shading - Accent 12121"/>
    <w:hidden/>
    <w:uiPriority w:val="99"/>
    <w:semiHidden/>
    <w:rsid w:val="0081234A"/>
    <w:pPr>
      <w:spacing w:after="120" w:line="264" w:lineRule="auto"/>
    </w:pPr>
    <w:rPr>
      <w:rFonts w:ascii="Verdana" w:eastAsiaTheme="minorEastAsia" w:hAnsi="Verdana"/>
      <w:sz w:val="20"/>
      <w:szCs w:val="20"/>
    </w:rPr>
  </w:style>
  <w:style w:type="paragraph" w:customStyle="1" w:styleId="LightList-Accent31321">
    <w:name w:val="Light List - Accent 31321"/>
    <w:hidden/>
    <w:uiPriority w:val="99"/>
    <w:semiHidden/>
    <w:rsid w:val="0081234A"/>
    <w:pPr>
      <w:spacing w:after="120" w:line="264" w:lineRule="auto"/>
    </w:pPr>
    <w:rPr>
      <w:rFonts w:ascii="Arial" w:eastAsiaTheme="minorEastAsia" w:hAnsi="Arial"/>
      <w:sz w:val="24"/>
      <w:szCs w:val="24"/>
    </w:rPr>
  </w:style>
  <w:style w:type="paragraph" w:customStyle="1" w:styleId="LightList-Accent311221">
    <w:name w:val="Light List - Accent 311221"/>
    <w:hidden/>
    <w:uiPriority w:val="99"/>
    <w:semiHidden/>
    <w:rsid w:val="0081234A"/>
    <w:pPr>
      <w:spacing w:after="120" w:line="264" w:lineRule="auto"/>
    </w:pPr>
    <w:rPr>
      <w:rFonts w:ascii="Arial" w:eastAsiaTheme="minorEastAsia" w:hAnsi="Arial"/>
      <w:sz w:val="24"/>
      <w:szCs w:val="24"/>
    </w:rPr>
  </w:style>
  <w:style w:type="paragraph" w:customStyle="1" w:styleId="MediumList2-Accent21221">
    <w:name w:val="Medium List 2 - Accent 21221"/>
    <w:hidden/>
    <w:uiPriority w:val="99"/>
    <w:semiHidden/>
    <w:rsid w:val="0081234A"/>
    <w:pPr>
      <w:spacing w:after="120" w:line="264" w:lineRule="auto"/>
    </w:pPr>
    <w:rPr>
      <w:rFonts w:ascii="Arial" w:eastAsiaTheme="minorEastAsia" w:hAnsi="Arial"/>
      <w:sz w:val="24"/>
      <w:szCs w:val="24"/>
    </w:rPr>
  </w:style>
  <w:style w:type="paragraph" w:customStyle="1" w:styleId="MediumList2-Accent22221">
    <w:name w:val="Medium List 2 - Accent 222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21">
    <w:name w:val="Colorful Shading - Accent 112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21">
    <w:name w:val="Colorful Shading - Accent 12221"/>
    <w:hidden/>
    <w:uiPriority w:val="99"/>
    <w:semiHidden/>
    <w:rsid w:val="0081234A"/>
    <w:pPr>
      <w:spacing w:after="120" w:line="264" w:lineRule="auto"/>
    </w:pPr>
    <w:rPr>
      <w:rFonts w:ascii="Verdana" w:eastAsiaTheme="minorEastAsia" w:hAnsi="Verdana"/>
      <w:sz w:val="20"/>
      <w:szCs w:val="20"/>
    </w:rPr>
  </w:style>
  <w:style w:type="paragraph" w:customStyle="1" w:styleId="LightList-Accent312111">
    <w:name w:val="Light List - Accent 312111"/>
    <w:hidden/>
    <w:uiPriority w:val="99"/>
    <w:semiHidden/>
    <w:rsid w:val="0081234A"/>
    <w:pPr>
      <w:spacing w:after="120" w:line="264" w:lineRule="auto"/>
    </w:pPr>
    <w:rPr>
      <w:rFonts w:ascii="Arial" w:eastAsiaTheme="minorEastAsia" w:hAnsi="Arial"/>
      <w:sz w:val="24"/>
      <w:szCs w:val="24"/>
    </w:rPr>
  </w:style>
  <w:style w:type="paragraph" w:customStyle="1" w:styleId="LightList-Accent3111111">
    <w:name w:val="Light List - Accent 3111111"/>
    <w:hidden/>
    <w:uiPriority w:val="99"/>
    <w:semiHidden/>
    <w:rsid w:val="0081234A"/>
    <w:pPr>
      <w:spacing w:after="120" w:line="264" w:lineRule="auto"/>
    </w:pPr>
    <w:rPr>
      <w:rFonts w:ascii="Arial" w:eastAsiaTheme="minorEastAsia" w:hAnsi="Arial"/>
      <w:sz w:val="24"/>
      <w:szCs w:val="24"/>
    </w:rPr>
  </w:style>
  <w:style w:type="paragraph" w:customStyle="1" w:styleId="MediumList2-Accent211111">
    <w:name w:val="Medium List 2 - Accent 211111"/>
    <w:hidden/>
    <w:uiPriority w:val="99"/>
    <w:semiHidden/>
    <w:rsid w:val="0081234A"/>
    <w:pPr>
      <w:spacing w:after="120" w:line="264" w:lineRule="auto"/>
    </w:pPr>
    <w:rPr>
      <w:rFonts w:ascii="Arial" w:eastAsiaTheme="minorEastAsia" w:hAnsi="Arial"/>
      <w:sz w:val="24"/>
      <w:szCs w:val="24"/>
    </w:rPr>
  </w:style>
  <w:style w:type="paragraph" w:customStyle="1" w:styleId="MediumList2-Accent221111">
    <w:name w:val="Medium List 2 - Accent 2211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11">
    <w:name w:val="Colorful Shading - Accent 111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11">
    <w:name w:val="Colorful Shading - Accent 121111"/>
    <w:hidden/>
    <w:uiPriority w:val="99"/>
    <w:semiHidden/>
    <w:rsid w:val="0081234A"/>
    <w:pPr>
      <w:spacing w:after="120" w:line="264" w:lineRule="auto"/>
    </w:pPr>
    <w:rPr>
      <w:rFonts w:ascii="Verdana" w:eastAsiaTheme="minorEastAsia" w:hAnsi="Verdana"/>
      <w:sz w:val="20"/>
      <w:szCs w:val="20"/>
    </w:rPr>
  </w:style>
  <w:style w:type="paragraph" w:customStyle="1" w:styleId="LightList-Accent313111">
    <w:name w:val="Light List - Accent 313111"/>
    <w:hidden/>
    <w:uiPriority w:val="99"/>
    <w:semiHidden/>
    <w:rsid w:val="0081234A"/>
    <w:pPr>
      <w:spacing w:after="120" w:line="264" w:lineRule="auto"/>
    </w:pPr>
    <w:rPr>
      <w:rFonts w:ascii="Arial" w:eastAsiaTheme="minorEastAsia" w:hAnsi="Arial"/>
      <w:sz w:val="24"/>
      <w:szCs w:val="24"/>
    </w:rPr>
  </w:style>
  <w:style w:type="paragraph" w:customStyle="1" w:styleId="LightList-Accent3112111">
    <w:name w:val="Light List - Accent 3112111"/>
    <w:hidden/>
    <w:uiPriority w:val="99"/>
    <w:semiHidden/>
    <w:rsid w:val="0081234A"/>
    <w:pPr>
      <w:spacing w:after="120" w:line="264" w:lineRule="auto"/>
    </w:pPr>
    <w:rPr>
      <w:rFonts w:ascii="Arial" w:eastAsiaTheme="minorEastAsia" w:hAnsi="Arial"/>
      <w:sz w:val="24"/>
      <w:szCs w:val="24"/>
    </w:rPr>
  </w:style>
  <w:style w:type="paragraph" w:customStyle="1" w:styleId="MediumList2-Accent212111">
    <w:name w:val="Medium List 2 - Accent 212111"/>
    <w:hidden/>
    <w:uiPriority w:val="99"/>
    <w:semiHidden/>
    <w:rsid w:val="0081234A"/>
    <w:pPr>
      <w:spacing w:after="120" w:line="264" w:lineRule="auto"/>
    </w:pPr>
    <w:rPr>
      <w:rFonts w:ascii="Arial" w:eastAsiaTheme="minorEastAsia" w:hAnsi="Arial"/>
      <w:sz w:val="24"/>
      <w:szCs w:val="24"/>
    </w:rPr>
  </w:style>
  <w:style w:type="paragraph" w:customStyle="1" w:styleId="MediumList2-Accent222111">
    <w:name w:val="Medium List 2 - Accent 2221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11">
    <w:name w:val="Colorful Shading - Accent 112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11">
    <w:name w:val="Colorful Shading - Accent 122111"/>
    <w:hidden/>
    <w:uiPriority w:val="99"/>
    <w:semiHidden/>
    <w:rsid w:val="0081234A"/>
    <w:pPr>
      <w:spacing w:after="120" w:line="264" w:lineRule="auto"/>
    </w:pPr>
    <w:rPr>
      <w:rFonts w:ascii="Verdana" w:eastAsiaTheme="minorEastAsia" w:hAnsi="Verdana"/>
      <w:sz w:val="20"/>
      <w:szCs w:val="20"/>
    </w:rPr>
  </w:style>
  <w:style w:type="paragraph" w:customStyle="1" w:styleId="LightList-Accent31411">
    <w:name w:val="Light List - Accent 31411"/>
    <w:hidden/>
    <w:uiPriority w:val="99"/>
    <w:semiHidden/>
    <w:rsid w:val="0081234A"/>
    <w:pPr>
      <w:spacing w:after="120" w:line="264" w:lineRule="auto"/>
    </w:pPr>
    <w:rPr>
      <w:rFonts w:ascii="Arial" w:eastAsiaTheme="minorEastAsia" w:hAnsi="Arial"/>
      <w:sz w:val="24"/>
      <w:szCs w:val="24"/>
    </w:rPr>
  </w:style>
  <w:style w:type="paragraph" w:customStyle="1" w:styleId="LightList-Accent311311">
    <w:name w:val="Light List - Accent 311311"/>
    <w:hidden/>
    <w:uiPriority w:val="99"/>
    <w:semiHidden/>
    <w:rsid w:val="0081234A"/>
    <w:pPr>
      <w:spacing w:after="120" w:line="264" w:lineRule="auto"/>
    </w:pPr>
    <w:rPr>
      <w:rFonts w:ascii="Arial" w:eastAsiaTheme="minorEastAsia" w:hAnsi="Arial"/>
      <w:sz w:val="24"/>
      <w:szCs w:val="24"/>
    </w:rPr>
  </w:style>
  <w:style w:type="paragraph" w:customStyle="1" w:styleId="MediumList2-Accent21311">
    <w:name w:val="Medium List 2 - Accent 21311"/>
    <w:hidden/>
    <w:uiPriority w:val="99"/>
    <w:semiHidden/>
    <w:rsid w:val="0081234A"/>
    <w:pPr>
      <w:spacing w:after="120" w:line="264" w:lineRule="auto"/>
    </w:pPr>
    <w:rPr>
      <w:rFonts w:ascii="Arial" w:eastAsiaTheme="minorEastAsia" w:hAnsi="Arial"/>
      <w:sz w:val="24"/>
      <w:szCs w:val="24"/>
    </w:rPr>
  </w:style>
  <w:style w:type="paragraph" w:customStyle="1" w:styleId="MediumList2-Accent22311">
    <w:name w:val="Medium List 2 - Accent 223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11">
    <w:name w:val="Colorful Shading - Accent 113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11">
    <w:name w:val="Colorful Shading - Accent 12311"/>
    <w:hidden/>
    <w:uiPriority w:val="99"/>
    <w:semiHidden/>
    <w:rsid w:val="0081234A"/>
    <w:pPr>
      <w:spacing w:after="120" w:line="264" w:lineRule="auto"/>
    </w:pPr>
    <w:rPr>
      <w:rFonts w:ascii="Verdana" w:eastAsiaTheme="minorEastAsia" w:hAnsi="Verdana"/>
      <w:sz w:val="20"/>
      <w:szCs w:val="20"/>
    </w:rPr>
  </w:style>
  <w:style w:type="paragraph" w:customStyle="1" w:styleId="LightList-Accent31511">
    <w:name w:val="Light List - Accent 31511"/>
    <w:hidden/>
    <w:uiPriority w:val="99"/>
    <w:semiHidden/>
    <w:rsid w:val="0081234A"/>
    <w:pPr>
      <w:spacing w:after="120" w:line="264" w:lineRule="auto"/>
    </w:pPr>
    <w:rPr>
      <w:rFonts w:ascii="Arial" w:eastAsiaTheme="minorEastAsia" w:hAnsi="Arial"/>
      <w:sz w:val="24"/>
      <w:szCs w:val="24"/>
    </w:rPr>
  </w:style>
  <w:style w:type="paragraph" w:customStyle="1" w:styleId="LightList-Accent311411">
    <w:name w:val="Light List - Accent 311411"/>
    <w:hidden/>
    <w:uiPriority w:val="99"/>
    <w:semiHidden/>
    <w:rsid w:val="0081234A"/>
    <w:pPr>
      <w:spacing w:after="120" w:line="264" w:lineRule="auto"/>
    </w:pPr>
    <w:rPr>
      <w:rFonts w:ascii="Arial" w:eastAsiaTheme="minorEastAsia" w:hAnsi="Arial"/>
      <w:sz w:val="24"/>
      <w:szCs w:val="24"/>
    </w:rPr>
  </w:style>
  <w:style w:type="paragraph" w:customStyle="1" w:styleId="MediumList2-Accent21411">
    <w:name w:val="Medium List 2 - Accent 21411"/>
    <w:hidden/>
    <w:uiPriority w:val="99"/>
    <w:semiHidden/>
    <w:rsid w:val="0081234A"/>
    <w:pPr>
      <w:spacing w:after="120" w:line="264" w:lineRule="auto"/>
    </w:pPr>
    <w:rPr>
      <w:rFonts w:ascii="Arial" w:eastAsiaTheme="minorEastAsia" w:hAnsi="Arial"/>
      <w:sz w:val="24"/>
      <w:szCs w:val="24"/>
    </w:rPr>
  </w:style>
  <w:style w:type="paragraph" w:customStyle="1" w:styleId="MediumList2-Accent22411">
    <w:name w:val="Medium List 2 - Accent 224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11">
    <w:name w:val="Colorful Shading - Accent 114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11">
    <w:name w:val="Colorful Shading - Accent 12411"/>
    <w:hidden/>
    <w:uiPriority w:val="99"/>
    <w:semiHidden/>
    <w:rsid w:val="0081234A"/>
    <w:pPr>
      <w:spacing w:after="120" w:line="264" w:lineRule="auto"/>
    </w:pPr>
    <w:rPr>
      <w:rFonts w:ascii="Verdana" w:eastAsiaTheme="minorEastAsia" w:hAnsi="Verdana"/>
      <w:sz w:val="20"/>
      <w:szCs w:val="20"/>
    </w:rPr>
  </w:style>
  <w:style w:type="paragraph" w:customStyle="1" w:styleId="LightList-Accent319">
    <w:name w:val="Light List - Accent 319"/>
    <w:hidden/>
    <w:uiPriority w:val="99"/>
    <w:semiHidden/>
    <w:rsid w:val="0081234A"/>
    <w:pPr>
      <w:spacing w:after="120" w:line="264" w:lineRule="auto"/>
    </w:pPr>
    <w:rPr>
      <w:rFonts w:ascii="Arial" w:eastAsiaTheme="minorEastAsia" w:hAnsi="Arial"/>
      <w:sz w:val="24"/>
      <w:szCs w:val="24"/>
    </w:rPr>
  </w:style>
  <w:style w:type="paragraph" w:customStyle="1" w:styleId="LightList-Accent3118">
    <w:name w:val="Light List - Accent 3118"/>
    <w:hidden/>
    <w:uiPriority w:val="99"/>
    <w:semiHidden/>
    <w:rsid w:val="0081234A"/>
    <w:pPr>
      <w:spacing w:after="120" w:line="264" w:lineRule="auto"/>
    </w:pPr>
    <w:rPr>
      <w:rFonts w:ascii="Arial" w:eastAsiaTheme="minorEastAsia" w:hAnsi="Arial"/>
      <w:sz w:val="24"/>
      <w:szCs w:val="24"/>
    </w:rPr>
  </w:style>
  <w:style w:type="paragraph" w:customStyle="1" w:styleId="MediumList2-Accent218">
    <w:name w:val="Medium List 2 - Accent 218"/>
    <w:hidden/>
    <w:uiPriority w:val="99"/>
    <w:semiHidden/>
    <w:rsid w:val="0081234A"/>
    <w:pPr>
      <w:spacing w:after="120" w:line="264" w:lineRule="auto"/>
    </w:pPr>
    <w:rPr>
      <w:rFonts w:ascii="Arial" w:eastAsiaTheme="minorEastAsia" w:hAnsi="Arial"/>
      <w:sz w:val="24"/>
      <w:szCs w:val="24"/>
    </w:rPr>
  </w:style>
  <w:style w:type="paragraph" w:customStyle="1" w:styleId="MediumList2-Accent228">
    <w:name w:val="Medium List 2 - Accent 228"/>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8">
    <w:name w:val="Colorful Shading - Accent 118"/>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8">
    <w:name w:val="Colorful Shading - Accent 128"/>
    <w:hidden/>
    <w:uiPriority w:val="99"/>
    <w:semiHidden/>
    <w:rsid w:val="0081234A"/>
    <w:pPr>
      <w:spacing w:after="120" w:line="264" w:lineRule="auto"/>
    </w:pPr>
    <w:rPr>
      <w:rFonts w:ascii="Verdana" w:eastAsiaTheme="minorEastAsia" w:hAnsi="Verdana"/>
      <w:sz w:val="20"/>
      <w:szCs w:val="20"/>
    </w:rPr>
  </w:style>
  <w:style w:type="paragraph" w:customStyle="1" w:styleId="LightList-Accent3125">
    <w:name w:val="Light List - Accent 3125"/>
    <w:hidden/>
    <w:uiPriority w:val="99"/>
    <w:semiHidden/>
    <w:rsid w:val="0081234A"/>
    <w:pPr>
      <w:spacing w:after="120" w:line="264" w:lineRule="auto"/>
    </w:pPr>
    <w:rPr>
      <w:rFonts w:ascii="Arial" w:eastAsiaTheme="minorEastAsia" w:hAnsi="Arial"/>
      <w:sz w:val="24"/>
      <w:szCs w:val="24"/>
    </w:rPr>
  </w:style>
  <w:style w:type="paragraph" w:customStyle="1" w:styleId="LightList-Accent31115">
    <w:name w:val="Light List - Accent 31115"/>
    <w:hidden/>
    <w:uiPriority w:val="99"/>
    <w:semiHidden/>
    <w:rsid w:val="0081234A"/>
    <w:pPr>
      <w:spacing w:after="120" w:line="264" w:lineRule="auto"/>
    </w:pPr>
    <w:rPr>
      <w:rFonts w:ascii="Arial" w:eastAsiaTheme="minorEastAsia" w:hAnsi="Arial"/>
      <w:sz w:val="24"/>
      <w:szCs w:val="24"/>
    </w:rPr>
  </w:style>
  <w:style w:type="paragraph" w:customStyle="1" w:styleId="MediumList2-Accent2115">
    <w:name w:val="Medium List 2 - Accent 2115"/>
    <w:hidden/>
    <w:uiPriority w:val="99"/>
    <w:semiHidden/>
    <w:rsid w:val="0081234A"/>
    <w:pPr>
      <w:spacing w:after="120" w:line="264" w:lineRule="auto"/>
    </w:pPr>
    <w:rPr>
      <w:rFonts w:ascii="Arial" w:eastAsiaTheme="minorEastAsia" w:hAnsi="Arial"/>
      <w:sz w:val="24"/>
      <w:szCs w:val="24"/>
    </w:rPr>
  </w:style>
  <w:style w:type="paragraph" w:customStyle="1" w:styleId="MediumList2-Accent2215">
    <w:name w:val="Medium List 2 - Accent 221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5">
    <w:name w:val="Colorful Shading - Accent 111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5">
    <w:name w:val="Colorful Shading - Accent 1215"/>
    <w:hidden/>
    <w:uiPriority w:val="99"/>
    <w:semiHidden/>
    <w:rsid w:val="0081234A"/>
    <w:pPr>
      <w:spacing w:after="120" w:line="264" w:lineRule="auto"/>
    </w:pPr>
    <w:rPr>
      <w:rFonts w:ascii="Verdana" w:eastAsiaTheme="minorEastAsia" w:hAnsi="Verdana"/>
      <w:sz w:val="20"/>
      <w:szCs w:val="20"/>
    </w:rPr>
  </w:style>
  <w:style w:type="paragraph" w:customStyle="1" w:styleId="LightList-Accent3135">
    <w:name w:val="Light List - Accent 3135"/>
    <w:hidden/>
    <w:uiPriority w:val="99"/>
    <w:semiHidden/>
    <w:rsid w:val="0081234A"/>
    <w:pPr>
      <w:spacing w:after="120" w:line="264" w:lineRule="auto"/>
    </w:pPr>
    <w:rPr>
      <w:rFonts w:ascii="Arial" w:eastAsiaTheme="minorEastAsia" w:hAnsi="Arial"/>
      <w:sz w:val="24"/>
      <w:szCs w:val="24"/>
    </w:rPr>
  </w:style>
  <w:style w:type="paragraph" w:customStyle="1" w:styleId="LightList-Accent31125">
    <w:name w:val="Light List - Accent 31125"/>
    <w:hidden/>
    <w:uiPriority w:val="99"/>
    <w:semiHidden/>
    <w:rsid w:val="0081234A"/>
    <w:pPr>
      <w:spacing w:after="120" w:line="264" w:lineRule="auto"/>
    </w:pPr>
    <w:rPr>
      <w:rFonts w:ascii="Arial" w:eastAsiaTheme="minorEastAsia" w:hAnsi="Arial"/>
      <w:sz w:val="24"/>
      <w:szCs w:val="24"/>
    </w:rPr>
  </w:style>
  <w:style w:type="paragraph" w:customStyle="1" w:styleId="MediumList2-Accent2125">
    <w:name w:val="Medium List 2 - Accent 2125"/>
    <w:hidden/>
    <w:uiPriority w:val="99"/>
    <w:semiHidden/>
    <w:rsid w:val="0081234A"/>
    <w:pPr>
      <w:spacing w:after="120" w:line="264" w:lineRule="auto"/>
    </w:pPr>
    <w:rPr>
      <w:rFonts w:ascii="Arial" w:eastAsiaTheme="minorEastAsia" w:hAnsi="Arial"/>
      <w:sz w:val="24"/>
      <w:szCs w:val="24"/>
    </w:rPr>
  </w:style>
  <w:style w:type="paragraph" w:customStyle="1" w:styleId="MediumList2-Accent2225">
    <w:name w:val="Medium List 2 - Accent 222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5">
    <w:name w:val="Colorful Shading - Accent 112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5">
    <w:name w:val="Colorful Shading - Accent 1225"/>
    <w:hidden/>
    <w:uiPriority w:val="99"/>
    <w:semiHidden/>
    <w:rsid w:val="0081234A"/>
    <w:pPr>
      <w:spacing w:after="120" w:line="264" w:lineRule="auto"/>
    </w:pPr>
    <w:rPr>
      <w:rFonts w:ascii="Verdana" w:eastAsiaTheme="minorEastAsia" w:hAnsi="Verdana"/>
      <w:sz w:val="20"/>
      <w:szCs w:val="20"/>
    </w:rPr>
  </w:style>
  <w:style w:type="paragraph" w:customStyle="1" w:styleId="LightList-Accent31214">
    <w:name w:val="Light List - Accent 31214"/>
    <w:hidden/>
    <w:uiPriority w:val="99"/>
    <w:semiHidden/>
    <w:rsid w:val="0081234A"/>
    <w:pPr>
      <w:spacing w:after="120" w:line="264" w:lineRule="auto"/>
    </w:pPr>
    <w:rPr>
      <w:rFonts w:ascii="Arial" w:eastAsiaTheme="minorEastAsia" w:hAnsi="Arial"/>
      <w:sz w:val="24"/>
      <w:szCs w:val="24"/>
    </w:rPr>
  </w:style>
  <w:style w:type="paragraph" w:customStyle="1" w:styleId="LightList-Accent311114">
    <w:name w:val="Light List - Accent 311114"/>
    <w:hidden/>
    <w:uiPriority w:val="99"/>
    <w:semiHidden/>
    <w:rsid w:val="0081234A"/>
    <w:pPr>
      <w:spacing w:after="120" w:line="264" w:lineRule="auto"/>
    </w:pPr>
    <w:rPr>
      <w:rFonts w:ascii="Arial" w:eastAsiaTheme="minorEastAsia" w:hAnsi="Arial"/>
      <w:sz w:val="24"/>
      <w:szCs w:val="24"/>
    </w:rPr>
  </w:style>
  <w:style w:type="paragraph" w:customStyle="1" w:styleId="MediumList2-Accent21114">
    <w:name w:val="Medium List 2 - Accent 21114"/>
    <w:hidden/>
    <w:uiPriority w:val="99"/>
    <w:semiHidden/>
    <w:rsid w:val="0081234A"/>
    <w:pPr>
      <w:spacing w:after="120" w:line="264" w:lineRule="auto"/>
    </w:pPr>
    <w:rPr>
      <w:rFonts w:ascii="Arial" w:eastAsiaTheme="minorEastAsia" w:hAnsi="Arial"/>
      <w:sz w:val="24"/>
      <w:szCs w:val="24"/>
    </w:rPr>
  </w:style>
  <w:style w:type="paragraph" w:customStyle="1" w:styleId="MediumList2-Accent22114">
    <w:name w:val="Medium List 2 - Accent 2211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4">
    <w:name w:val="Colorful Shading - Accent 1111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4">
    <w:name w:val="Colorful Shading - Accent 12114"/>
    <w:hidden/>
    <w:uiPriority w:val="99"/>
    <w:semiHidden/>
    <w:rsid w:val="0081234A"/>
    <w:pPr>
      <w:spacing w:after="120" w:line="264" w:lineRule="auto"/>
    </w:pPr>
    <w:rPr>
      <w:rFonts w:ascii="Verdana" w:eastAsiaTheme="minorEastAsia" w:hAnsi="Verdana"/>
      <w:sz w:val="20"/>
      <w:szCs w:val="20"/>
    </w:rPr>
  </w:style>
  <w:style w:type="paragraph" w:customStyle="1" w:styleId="LightList-Accent31314">
    <w:name w:val="Light List - Accent 31314"/>
    <w:hidden/>
    <w:uiPriority w:val="99"/>
    <w:semiHidden/>
    <w:rsid w:val="0081234A"/>
    <w:pPr>
      <w:spacing w:after="120" w:line="264" w:lineRule="auto"/>
    </w:pPr>
    <w:rPr>
      <w:rFonts w:ascii="Arial" w:eastAsiaTheme="minorEastAsia" w:hAnsi="Arial"/>
      <w:sz w:val="24"/>
      <w:szCs w:val="24"/>
    </w:rPr>
  </w:style>
  <w:style w:type="paragraph" w:customStyle="1" w:styleId="LightList-Accent311214">
    <w:name w:val="Light List - Accent 311214"/>
    <w:hidden/>
    <w:uiPriority w:val="99"/>
    <w:semiHidden/>
    <w:rsid w:val="0081234A"/>
    <w:pPr>
      <w:spacing w:after="120" w:line="264" w:lineRule="auto"/>
    </w:pPr>
    <w:rPr>
      <w:rFonts w:ascii="Arial" w:eastAsiaTheme="minorEastAsia" w:hAnsi="Arial"/>
      <w:sz w:val="24"/>
      <w:szCs w:val="24"/>
    </w:rPr>
  </w:style>
  <w:style w:type="paragraph" w:customStyle="1" w:styleId="MediumList2-Accent21214">
    <w:name w:val="Medium List 2 - Accent 21214"/>
    <w:hidden/>
    <w:uiPriority w:val="99"/>
    <w:semiHidden/>
    <w:rsid w:val="0081234A"/>
    <w:pPr>
      <w:spacing w:after="120" w:line="264" w:lineRule="auto"/>
    </w:pPr>
    <w:rPr>
      <w:rFonts w:ascii="Arial" w:eastAsiaTheme="minorEastAsia" w:hAnsi="Arial"/>
      <w:sz w:val="24"/>
      <w:szCs w:val="24"/>
    </w:rPr>
  </w:style>
  <w:style w:type="paragraph" w:customStyle="1" w:styleId="MediumList2-Accent22214">
    <w:name w:val="Medium List 2 - Accent 2221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4">
    <w:name w:val="Colorful Shading - Accent 1121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4">
    <w:name w:val="Colorful Shading - Accent 12214"/>
    <w:hidden/>
    <w:uiPriority w:val="99"/>
    <w:semiHidden/>
    <w:rsid w:val="0081234A"/>
    <w:pPr>
      <w:spacing w:after="120" w:line="264" w:lineRule="auto"/>
    </w:pPr>
    <w:rPr>
      <w:rFonts w:ascii="Verdana" w:eastAsiaTheme="minorEastAsia" w:hAnsi="Verdana"/>
      <w:sz w:val="20"/>
      <w:szCs w:val="20"/>
    </w:rPr>
  </w:style>
  <w:style w:type="paragraph" w:customStyle="1" w:styleId="LightList-Accent3144">
    <w:name w:val="Light List - Accent 3144"/>
    <w:hidden/>
    <w:uiPriority w:val="99"/>
    <w:semiHidden/>
    <w:rsid w:val="0081234A"/>
    <w:pPr>
      <w:spacing w:after="120" w:line="264" w:lineRule="auto"/>
    </w:pPr>
    <w:rPr>
      <w:rFonts w:ascii="Arial" w:eastAsiaTheme="minorEastAsia" w:hAnsi="Arial"/>
      <w:sz w:val="24"/>
      <w:szCs w:val="24"/>
    </w:rPr>
  </w:style>
  <w:style w:type="paragraph" w:customStyle="1" w:styleId="LightList-Accent31134">
    <w:name w:val="Light List - Accent 31134"/>
    <w:hidden/>
    <w:uiPriority w:val="99"/>
    <w:semiHidden/>
    <w:rsid w:val="0081234A"/>
    <w:pPr>
      <w:spacing w:after="120" w:line="264" w:lineRule="auto"/>
    </w:pPr>
    <w:rPr>
      <w:rFonts w:ascii="Arial" w:eastAsiaTheme="minorEastAsia" w:hAnsi="Arial"/>
      <w:sz w:val="24"/>
      <w:szCs w:val="24"/>
    </w:rPr>
  </w:style>
  <w:style w:type="paragraph" w:customStyle="1" w:styleId="MediumList2-Accent2134">
    <w:name w:val="Medium List 2 - Accent 2134"/>
    <w:hidden/>
    <w:uiPriority w:val="99"/>
    <w:semiHidden/>
    <w:rsid w:val="0081234A"/>
    <w:pPr>
      <w:spacing w:after="120" w:line="264" w:lineRule="auto"/>
    </w:pPr>
    <w:rPr>
      <w:rFonts w:ascii="Arial" w:eastAsiaTheme="minorEastAsia" w:hAnsi="Arial"/>
      <w:sz w:val="24"/>
      <w:szCs w:val="24"/>
    </w:rPr>
  </w:style>
  <w:style w:type="paragraph" w:customStyle="1" w:styleId="MediumList2-Accent2234">
    <w:name w:val="Medium List 2 - Accent 223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4">
    <w:name w:val="Colorful Shading - Accent 113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4">
    <w:name w:val="Colorful Shading - Accent 1234"/>
    <w:hidden/>
    <w:uiPriority w:val="99"/>
    <w:semiHidden/>
    <w:rsid w:val="0081234A"/>
    <w:pPr>
      <w:spacing w:after="120" w:line="264" w:lineRule="auto"/>
    </w:pPr>
    <w:rPr>
      <w:rFonts w:ascii="Verdana" w:eastAsiaTheme="minorEastAsia" w:hAnsi="Verdana"/>
      <w:sz w:val="20"/>
      <w:szCs w:val="20"/>
    </w:rPr>
  </w:style>
  <w:style w:type="paragraph" w:customStyle="1" w:styleId="LightList-Accent3154">
    <w:name w:val="Light List - Accent 3154"/>
    <w:hidden/>
    <w:uiPriority w:val="99"/>
    <w:semiHidden/>
    <w:rsid w:val="0081234A"/>
    <w:pPr>
      <w:spacing w:after="120" w:line="264" w:lineRule="auto"/>
    </w:pPr>
    <w:rPr>
      <w:rFonts w:ascii="Arial" w:eastAsiaTheme="minorEastAsia" w:hAnsi="Arial"/>
      <w:sz w:val="24"/>
      <w:szCs w:val="24"/>
    </w:rPr>
  </w:style>
  <w:style w:type="paragraph" w:customStyle="1" w:styleId="LightList-Accent31144">
    <w:name w:val="Light List - Accent 31144"/>
    <w:hidden/>
    <w:uiPriority w:val="99"/>
    <w:semiHidden/>
    <w:rsid w:val="0081234A"/>
    <w:pPr>
      <w:spacing w:after="120" w:line="264" w:lineRule="auto"/>
    </w:pPr>
    <w:rPr>
      <w:rFonts w:ascii="Arial" w:eastAsiaTheme="minorEastAsia" w:hAnsi="Arial"/>
      <w:sz w:val="24"/>
      <w:szCs w:val="24"/>
    </w:rPr>
  </w:style>
  <w:style w:type="paragraph" w:customStyle="1" w:styleId="MediumList2-Accent2144">
    <w:name w:val="Medium List 2 - Accent 2144"/>
    <w:hidden/>
    <w:uiPriority w:val="99"/>
    <w:semiHidden/>
    <w:rsid w:val="0081234A"/>
    <w:pPr>
      <w:spacing w:after="120" w:line="264" w:lineRule="auto"/>
    </w:pPr>
    <w:rPr>
      <w:rFonts w:ascii="Arial" w:eastAsiaTheme="minorEastAsia" w:hAnsi="Arial"/>
      <w:sz w:val="24"/>
      <w:szCs w:val="24"/>
    </w:rPr>
  </w:style>
  <w:style w:type="paragraph" w:customStyle="1" w:styleId="MediumList2-Accent2244">
    <w:name w:val="Medium List 2 - Accent 224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4">
    <w:name w:val="Colorful Shading - Accent 114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4">
    <w:name w:val="Colorful Shading - Accent 1244"/>
    <w:hidden/>
    <w:uiPriority w:val="99"/>
    <w:semiHidden/>
    <w:rsid w:val="0081234A"/>
    <w:pPr>
      <w:spacing w:after="120" w:line="264" w:lineRule="auto"/>
    </w:pPr>
    <w:rPr>
      <w:rFonts w:ascii="Verdana" w:eastAsiaTheme="minorEastAsia" w:hAnsi="Verdana"/>
      <w:sz w:val="20"/>
      <w:szCs w:val="20"/>
    </w:rPr>
  </w:style>
  <w:style w:type="paragraph" w:customStyle="1" w:styleId="LightList-Accent3162">
    <w:name w:val="Light List - Accent 3162"/>
    <w:hidden/>
    <w:uiPriority w:val="99"/>
    <w:semiHidden/>
    <w:rsid w:val="0081234A"/>
    <w:pPr>
      <w:spacing w:after="120" w:line="264" w:lineRule="auto"/>
    </w:pPr>
    <w:rPr>
      <w:rFonts w:ascii="Arial" w:eastAsiaTheme="minorEastAsia" w:hAnsi="Arial"/>
      <w:sz w:val="24"/>
      <w:szCs w:val="24"/>
    </w:rPr>
  </w:style>
  <w:style w:type="paragraph" w:customStyle="1" w:styleId="LightList-Accent31152">
    <w:name w:val="Light List - Accent 31152"/>
    <w:hidden/>
    <w:uiPriority w:val="99"/>
    <w:semiHidden/>
    <w:rsid w:val="0081234A"/>
    <w:pPr>
      <w:spacing w:after="120" w:line="264" w:lineRule="auto"/>
    </w:pPr>
    <w:rPr>
      <w:rFonts w:ascii="Arial" w:eastAsiaTheme="minorEastAsia" w:hAnsi="Arial"/>
      <w:sz w:val="24"/>
      <w:szCs w:val="24"/>
    </w:rPr>
  </w:style>
  <w:style w:type="paragraph" w:customStyle="1" w:styleId="MediumList2-Accent2152">
    <w:name w:val="Medium List 2 - Accent 2152"/>
    <w:hidden/>
    <w:uiPriority w:val="99"/>
    <w:semiHidden/>
    <w:rsid w:val="0081234A"/>
    <w:pPr>
      <w:spacing w:after="120" w:line="264" w:lineRule="auto"/>
    </w:pPr>
    <w:rPr>
      <w:rFonts w:ascii="Arial" w:eastAsiaTheme="minorEastAsia" w:hAnsi="Arial"/>
      <w:sz w:val="24"/>
      <w:szCs w:val="24"/>
    </w:rPr>
  </w:style>
  <w:style w:type="paragraph" w:customStyle="1" w:styleId="MediumList2-Accent2252">
    <w:name w:val="Medium List 2 - Accent 225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52">
    <w:name w:val="Colorful Shading - Accent 115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52">
    <w:name w:val="Colorful Shading - Accent 1252"/>
    <w:hidden/>
    <w:uiPriority w:val="99"/>
    <w:semiHidden/>
    <w:rsid w:val="0081234A"/>
    <w:pPr>
      <w:spacing w:after="120" w:line="264" w:lineRule="auto"/>
    </w:pPr>
    <w:rPr>
      <w:rFonts w:ascii="Verdana" w:eastAsiaTheme="minorEastAsia" w:hAnsi="Verdana"/>
      <w:sz w:val="20"/>
      <w:szCs w:val="20"/>
    </w:rPr>
  </w:style>
  <w:style w:type="paragraph" w:customStyle="1" w:styleId="LightList-Accent31222">
    <w:name w:val="Light List - Accent 31222"/>
    <w:hidden/>
    <w:uiPriority w:val="99"/>
    <w:semiHidden/>
    <w:rsid w:val="0081234A"/>
    <w:pPr>
      <w:spacing w:after="120" w:line="264" w:lineRule="auto"/>
    </w:pPr>
    <w:rPr>
      <w:rFonts w:ascii="Arial" w:eastAsiaTheme="minorEastAsia" w:hAnsi="Arial"/>
      <w:sz w:val="24"/>
      <w:szCs w:val="24"/>
    </w:rPr>
  </w:style>
  <w:style w:type="paragraph" w:customStyle="1" w:styleId="LightList-Accent311122">
    <w:name w:val="Light List - Accent 311122"/>
    <w:hidden/>
    <w:uiPriority w:val="99"/>
    <w:semiHidden/>
    <w:rsid w:val="0081234A"/>
    <w:pPr>
      <w:spacing w:after="120" w:line="264" w:lineRule="auto"/>
    </w:pPr>
    <w:rPr>
      <w:rFonts w:ascii="Arial" w:eastAsiaTheme="minorEastAsia" w:hAnsi="Arial"/>
      <w:sz w:val="24"/>
      <w:szCs w:val="24"/>
    </w:rPr>
  </w:style>
  <w:style w:type="paragraph" w:customStyle="1" w:styleId="MediumList2-Accent21122">
    <w:name w:val="Medium List 2 - Accent 21122"/>
    <w:hidden/>
    <w:uiPriority w:val="99"/>
    <w:semiHidden/>
    <w:rsid w:val="0081234A"/>
    <w:pPr>
      <w:spacing w:after="120" w:line="264" w:lineRule="auto"/>
    </w:pPr>
    <w:rPr>
      <w:rFonts w:ascii="Arial" w:eastAsiaTheme="minorEastAsia" w:hAnsi="Arial"/>
      <w:sz w:val="24"/>
      <w:szCs w:val="24"/>
    </w:rPr>
  </w:style>
  <w:style w:type="paragraph" w:customStyle="1" w:styleId="MediumList2-Accent22122">
    <w:name w:val="Medium List 2 - Accent 221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22">
    <w:name w:val="Colorful Shading - Accent 1112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22">
    <w:name w:val="Colorful Shading - Accent 12122"/>
    <w:hidden/>
    <w:uiPriority w:val="99"/>
    <w:semiHidden/>
    <w:rsid w:val="0081234A"/>
    <w:pPr>
      <w:spacing w:after="120" w:line="264" w:lineRule="auto"/>
    </w:pPr>
    <w:rPr>
      <w:rFonts w:ascii="Verdana" w:eastAsiaTheme="minorEastAsia" w:hAnsi="Verdana"/>
      <w:sz w:val="20"/>
      <w:szCs w:val="20"/>
    </w:rPr>
  </w:style>
  <w:style w:type="paragraph" w:customStyle="1" w:styleId="LightList-Accent31322">
    <w:name w:val="Light List - Accent 31322"/>
    <w:hidden/>
    <w:uiPriority w:val="99"/>
    <w:semiHidden/>
    <w:rsid w:val="0081234A"/>
    <w:pPr>
      <w:spacing w:after="120" w:line="264" w:lineRule="auto"/>
    </w:pPr>
    <w:rPr>
      <w:rFonts w:ascii="Arial" w:eastAsiaTheme="minorEastAsia" w:hAnsi="Arial"/>
      <w:sz w:val="24"/>
      <w:szCs w:val="24"/>
    </w:rPr>
  </w:style>
  <w:style w:type="paragraph" w:customStyle="1" w:styleId="LightList-Accent311222">
    <w:name w:val="Light List - Accent 311222"/>
    <w:hidden/>
    <w:uiPriority w:val="99"/>
    <w:semiHidden/>
    <w:rsid w:val="0081234A"/>
    <w:pPr>
      <w:spacing w:after="120" w:line="264" w:lineRule="auto"/>
    </w:pPr>
    <w:rPr>
      <w:rFonts w:ascii="Arial" w:eastAsiaTheme="minorEastAsia" w:hAnsi="Arial"/>
      <w:sz w:val="24"/>
      <w:szCs w:val="24"/>
    </w:rPr>
  </w:style>
  <w:style w:type="paragraph" w:customStyle="1" w:styleId="MediumList2-Accent21222">
    <w:name w:val="Medium List 2 - Accent 21222"/>
    <w:hidden/>
    <w:uiPriority w:val="99"/>
    <w:semiHidden/>
    <w:rsid w:val="0081234A"/>
    <w:pPr>
      <w:spacing w:after="120" w:line="264" w:lineRule="auto"/>
    </w:pPr>
    <w:rPr>
      <w:rFonts w:ascii="Arial" w:eastAsiaTheme="minorEastAsia" w:hAnsi="Arial"/>
      <w:sz w:val="24"/>
      <w:szCs w:val="24"/>
    </w:rPr>
  </w:style>
  <w:style w:type="paragraph" w:customStyle="1" w:styleId="MediumList2-Accent22222">
    <w:name w:val="Medium List 2 - Accent 222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22">
    <w:name w:val="Colorful Shading - Accent 1122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22">
    <w:name w:val="Colorful Shading - Accent 12222"/>
    <w:hidden/>
    <w:uiPriority w:val="99"/>
    <w:semiHidden/>
    <w:rsid w:val="0081234A"/>
    <w:pPr>
      <w:spacing w:after="120" w:line="264" w:lineRule="auto"/>
    </w:pPr>
    <w:rPr>
      <w:rFonts w:ascii="Verdana" w:eastAsiaTheme="minorEastAsia" w:hAnsi="Verdana"/>
      <w:sz w:val="20"/>
      <w:szCs w:val="20"/>
    </w:rPr>
  </w:style>
  <w:style w:type="paragraph" w:customStyle="1" w:styleId="LightList-Accent312112">
    <w:name w:val="Light List - Accent 312112"/>
    <w:hidden/>
    <w:uiPriority w:val="99"/>
    <w:semiHidden/>
    <w:rsid w:val="0081234A"/>
    <w:pPr>
      <w:spacing w:after="120" w:line="264" w:lineRule="auto"/>
    </w:pPr>
    <w:rPr>
      <w:rFonts w:ascii="Arial" w:eastAsiaTheme="minorEastAsia" w:hAnsi="Arial"/>
      <w:sz w:val="24"/>
      <w:szCs w:val="24"/>
    </w:rPr>
  </w:style>
  <w:style w:type="paragraph" w:customStyle="1" w:styleId="LightList-Accent3111112">
    <w:name w:val="Light List - Accent 3111112"/>
    <w:hidden/>
    <w:uiPriority w:val="99"/>
    <w:semiHidden/>
    <w:rsid w:val="0081234A"/>
    <w:pPr>
      <w:spacing w:after="120" w:line="264" w:lineRule="auto"/>
    </w:pPr>
    <w:rPr>
      <w:rFonts w:ascii="Arial" w:eastAsiaTheme="minorEastAsia" w:hAnsi="Arial"/>
      <w:sz w:val="24"/>
      <w:szCs w:val="24"/>
    </w:rPr>
  </w:style>
  <w:style w:type="paragraph" w:customStyle="1" w:styleId="MediumList2-Accent211112">
    <w:name w:val="Medium List 2 - Accent 211112"/>
    <w:hidden/>
    <w:uiPriority w:val="99"/>
    <w:semiHidden/>
    <w:rsid w:val="0081234A"/>
    <w:pPr>
      <w:spacing w:after="120" w:line="264" w:lineRule="auto"/>
    </w:pPr>
    <w:rPr>
      <w:rFonts w:ascii="Arial" w:eastAsiaTheme="minorEastAsia" w:hAnsi="Arial"/>
      <w:sz w:val="24"/>
      <w:szCs w:val="24"/>
    </w:rPr>
  </w:style>
  <w:style w:type="paragraph" w:customStyle="1" w:styleId="MediumList2-Accent221112">
    <w:name w:val="Medium List 2 - Accent 2211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12">
    <w:name w:val="Colorful Shading - Accent 111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12">
    <w:name w:val="Colorful Shading - Accent 121112"/>
    <w:hidden/>
    <w:uiPriority w:val="99"/>
    <w:semiHidden/>
    <w:rsid w:val="0081234A"/>
    <w:pPr>
      <w:spacing w:after="120" w:line="264" w:lineRule="auto"/>
    </w:pPr>
    <w:rPr>
      <w:rFonts w:ascii="Verdana" w:eastAsiaTheme="minorEastAsia" w:hAnsi="Verdana"/>
      <w:sz w:val="20"/>
      <w:szCs w:val="20"/>
    </w:rPr>
  </w:style>
  <w:style w:type="paragraph" w:customStyle="1" w:styleId="LightList-Accent313112">
    <w:name w:val="Light List - Accent 313112"/>
    <w:hidden/>
    <w:uiPriority w:val="99"/>
    <w:semiHidden/>
    <w:rsid w:val="0081234A"/>
    <w:pPr>
      <w:spacing w:after="120" w:line="264" w:lineRule="auto"/>
    </w:pPr>
    <w:rPr>
      <w:rFonts w:ascii="Arial" w:eastAsiaTheme="minorEastAsia" w:hAnsi="Arial"/>
      <w:sz w:val="24"/>
      <w:szCs w:val="24"/>
    </w:rPr>
  </w:style>
  <w:style w:type="paragraph" w:customStyle="1" w:styleId="LightList-Accent3112112">
    <w:name w:val="Light List - Accent 3112112"/>
    <w:hidden/>
    <w:uiPriority w:val="99"/>
    <w:semiHidden/>
    <w:rsid w:val="0081234A"/>
    <w:pPr>
      <w:spacing w:after="120" w:line="264" w:lineRule="auto"/>
    </w:pPr>
    <w:rPr>
      <w:rFonts w:ascii="Arial" w:eastAsiaTheme="minorEastAsia" w:hAnsi="Arial"/>
      <w:sz w:val="24"/>
      <w:szCs w:val="24"/>
    </w:rPr>
  </w:style>
  <w:style w:type="paragraph" w:customStyle="1" w:styleId="MediumList2-Accent212112">
    <w:name w:val="Medium List 2 - Accent 212112"/>
    <w:hidden/>
    <w:uiPriority w:val="99"/>
    <w:semiHidden/>
    <w:rsid w:val="0081234A"/>
    <w:pPr>
      <w:spacing w:after="120" w:line="264" w:lineRule="auto"/>
    </w:pPr>
    <w:rPr>
      <w:rFonts w:ascii="Arial" w:eastAsiaTheme="minorEastAsia" w:hAnsi="Arial"/>
      <w:sz w:val="24"/>
      <w:szCs w:val="24"/>
    </w:rPr>
  </w:style>
  <w:style w:type="paragraph" w:customStyle="1" w:styleId="MediumList2-Accent222112">
    <w:name w:val="Medium List 2 - Accent 2221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12">
    <w:name w:val="Colorful Shading - Accent 112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12">
    <w:name w:val="Colorful Shading - Accent 122112"/>
    <w:hidden/>
    <w:uiPriority w:val="99"/>
    <w:semiHidden/>
    <w:rsid w:val="0081234A"/>
    <w:pPr>
      <w:spacing w:after="120" w:line="264" w:lineRule="auto"/>
    </w:pPr>
    <w:rPr>
      <w:rFonts w:ascii="Verdana" w:eastAsiaTheme="minorEastAsia" w:hAnsi="Verdana"/>
      <w:sz w:val="20"/>
      <w:szCs w:val="20"/>
    </w:rPr>
  </w:style>
  <w:style w:type="paragraph" w:customStyle="1" w:styleId="LightList-Accent31412">
    <w:name w:val="Light List - Accent 31412"/>
    <w:hidden/>
    <w:uiPriority w:val="99"/>
    <w:semiHidden/>
    <w:rsid w:val="0081234A"/>
    <w:pPr>
      <w:spacing w:after="120" w:line="264" w:lineRule="auto"/>
    </w:pPr>
    <w:rPr>
      <w:rFonts w:ascii="Arial" w:eastAsiaTheme="minorEastAsia" w:hAnsi="Arial"/>
      <w:sz w:val="24"/>
      <w:szCs w:val="24"/>
    </w:rPr>
  </w:style>
  <w:style w:type="paragraph" w:customStyle="1" w:styleId="LightList-Accent311312">
    <w:name w:val="Light List - Accent 311312"/>
    <w:hidden/>
    <w:uiPriority w:val="99"/>
    <w:semiHidden/>
    <w:rsid w:val="0081234A"/>
    <w:pPr>
      <w:spacing w:after="120" w:line="264" w:lineRule="auto"/>
    </w:pPr>
    <w:rPr>
      <w:rFonts w:ascii="Arial" w:eastAsiaTheme="minorEastAsia" w:hAnsi="Arial"/>
      <w:sz w:val="24"/>
      <w:szCs w:val="24"/>
    </w:rPr>
  </w:style>
  <w:style w:type="paragraph" w:customStyle="1" w:styleId="MediumList2-Accent21312">
    <w:name w:val="Medium List 2 - Accent 21312"/>
    <w:hidden/>
    <w:uiPriority w:val="99"/>
    <w:semiHidden/>
    <w:rsid w:val="0081234A"/>
    <w:pPr>
      <w:spacing w:after="120" w:line="264" w:lineRule="auto"/>
    </w:pPr>
    <w:rPr>
      <w:rFonts w:ascii="Arial" w:eastAsiaTheme="minorEastAsia" w:hAnsi="Arial"/>
      <w:sz w:val="24"/>
      <w:szCs w:val="24"/>
    </w:rPr>
  </w:style>
  <w:style w:type="paragraph" w:customStyle="1" w:styleId="MediumList2-Accent22312">
    <w:name w:val="Medium List 2 - Accent 223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12">
    <w:name w:val="Colorful Shading - Accent 113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12">
    <w:name w:val="Colorful Shading - Accent 12312"/>
    <w:hidden/>
    <w:uiPriority w:val="99"/>
    <w:semiHidden/>
    <w:rsid w:val="0081234A"/>
    <w:pPr>
      <w:spacing w:after="120" w:line="264" w:lineRule="auto"/>
    </w:pPr>
    <w:rPr>
      <w:rFonts w:ascii="Verdana" w:eastAsiaTheme="minorEastAsia" w:hAnsi="Verdana"/>
      <w:sz w:val="20"/>
      <w:szCs w:val="20"/>
    </w:rPr>
  </w:style>
  <w:style w:type="paragraph" w:customStyle="1" w:styleId="LightList-Accent31512">
    <w:name w:val="Light List - Accent 31512"/>
    <w:hidden/>
    <w:uiPriority w:val="99"/>
    <w:semiHidden/>
    <w:rsid w:val="0081234A"/>
    <w:pPr>
      <w:spacing w:after="120" w:line="264" w:lineRule="auto"/>
    </w:pPr>
    <w:rPr>
      <w:rFonts w:ascii="Arial" w:eastAsiaTheme="minorEastAsia" w:hAnsi="Arial"/>
      <w:sz w:val="24"/>
      <w:szCs w:val="24"/>
    </w:rPr>
  </w:style>
  <w:style w:type="paragraph" w:customStyle="1" w:styleId="LightList-Accent311412">
    <w:name w:val="Light List - Accent 311412"/>
    <w:hidden/>
    <w:uiPriority w:val="99"/>
    <w:semiHidden/>
    <w:rsid w:val="0081234A"/>
    <w:pPr>
      <w:spacing w:after="120" w:line="264" w:lineRule="auto"/>
    </w:pPr>
    <w:rPr>
      <w:rFonts w:ascii="Arial" w:eastAsiaTheme="minorEastAsia" w:hAnsi="Arial"/>
      <w:sz w:val="24"/>
      <w:szCs w:val="24"/>
    </w:rPr>
  </w:style>
  <w:style w:type="paragraph" w:customStyle="1" w:styleId="MediumList2-Accent21412">
    <w:name w:val="Medium List 2 - Accent 21412"/>
    <w:hidden/>
    <w:uiPriority w:val="99"/>
    <w:semiHidden/>
    <w:rsid w:val="0081234A"/>
    <w:pPr>
      <w:spacing w:after="120" w:line="264" w:lineRule="auto"/>
    </w:pPr>
    <w:rPr>
      <w:rFonts w:ascii="Arial" w:eastAsiaTheme="minorEastAsia" w:hAnsi="Arial"/>
      <w:sz w:val="24"/>
      <w:szCs w:val="24"/>
    </w:rPr>
  </w:style>
  <w:style w:type="paragraph" w:customStyle="1" w:styleId="MediumList2-Accent22412">
    <w:name w:val="Medium List 2 - Accent 224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12">
    <w:name w:val="Colorful Shading - Accent 114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12">
    <w:name w:val="Colorful Shading - Accent 12412"/>
    <w:hidden/>
    <w:uiPriority w:val="99"/>
    <w:semiHidden/>
    <w:rsid w:val="0081234A"/>
    <w:pPr>
      <w:spacing w:after="120" w:line="264" w:lineRule="auto"/>
    </w:pPr>
    <w:rPr>
      <w:rFonts w:ascii="Verdana" w:eastAsiaTheme="minorEastAsia" w:hAnsi="Verdana"/>
      <w:sz w:val="20"/>
      <w:szCs w:val="20"/>
    </w:rPr>
  </w:style>
  <w:style w:type="paragraph" w:customStyle="1" w:styleId="LightList-Accent3171">
    <w:name w:val="Light List - Accent 3171"/>
    <w:hidden/>
    <w:uiPriority w:val="99"/>
    <w:semiHidden/>
    <w:rsid w:val="0081234A"/>
    <w:pPr>
      <w:spacing w:after="120" w:line="264" w:lineRule="auto"/>
    </w:pPr>
    <w:rPr>
      <w:rFonts w:ascii="Arial" w:eastAsiaTheme="minorEastAsia" w:hAnsi="Arial"/>
      <w:sz w:val="24"/>
      <w:szCs w:val="24"/>
    </w:rPr>
  </w:style>
  <w:style w:type="paragraph" w:customStyle="1" w:styleId="LightList-Accent31161">
    <w:name w:val="Light List - Accent 31161"/>
    <w:hidden/>
    <w:uiPriority w:val="99"/>
    <w:semiHidden/>
    <w:rsid w:val="0081234A"/>
    <w:pPr>
      <w:spacing w:after="120" w:line="264" w:lineRule="auto"/>
    </w:pPr>
    <w:rPr>
      <w:rFonts w:ascii="Arial" w:eastAsiaTheme="minorEastAsia" w:hAnsi="Arial"/>
      <w:sz w:val="24"/>
      <w:szCs w:val="24"/>
    </w:rPr>
  </w:style>
  <w:style w:type="paragraph" w:customStyle="1" w:styleId="MediumList2-Accent2161">
    <w:name w:val="Medium List 2 - Accent 2161"/>
    <w:hidden/>
    <w:uiPriority w:val="99"/>
    <w:semiHidden/>
    <w:rsid w:val="0081234A"/>
    <w:pPr>
      <w:spacing w:after="120" w:line="264" w:lineRule="auto"/>
    </w:pPr>
    <w:rPr>
      <w:rFonts w:ascii="Arial" w:eastAsiaTheme="minorEastAsia" w:hAnsi="Arial"/>
      <w:sz w:val="24"/>
      <w:szCs w:val="24"/>
    </w:rPr>
  </w:style>
  <w:style w:type="paragraph" w:customStyle="1" w:styleId="MediumList2-Accent2261">
    <w:name w:val="Medium List 2 - Accent 226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61">
    <w:name w:val="Colorful Shading - Accent 116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61">
    <w:name w:val="Colorful Shading - Accent 1261"/>
    <w:hidden/>
    <w:uiPriority w:val="99"/>
    <w:semiHidden/>
    <w:rsid w:val="0081234A"/>
    <w:pPr>
      <w:spacing w:after="120" w:line="264" w:lineRule="auto"/>
    </w:pPr>
    <w:rPr>
      <w:rFonts w:ascii="Verdana" w:eastAsiaTheme="minorEastAsia" w:hAnsi="Verdana"/>
      <w:sz w:val="20"/>
      <w:szCs w:val="20"/>
    </w:rPr>
  </w:style>
  <w:style w:type="paragraph" w:customStyle="1" w:styleId="LightList-Accent31231">
    <w:name w:val="Light List - Accent 31231"/>
    <w:hidden/>
    <w:uiPriority w:val="99"/>
    <w:semiHidden/>
    <w:rsid w:val="0081234A"/>
    <w:pPr>
      <w:spacing w:after="120" w:line="264" w:lineRule="auto"/>
    </w:pPr>
    <w:rPr>
      <w:rFonts w:ascii="Arial" w:eastAsiaTheme="minorEastAsia" w:hAnsi="Arial"/>
      <w:sz w:val="24"/>
      <w:szCs w:val="24"/>
    </w:rPr>
  </w:style>
  <w:style w:type="paragraph" w:customStyle="1" w:styleId="LightList-Accent311131">
    <w:name w:val="Light List - Accent 311131"/>
    <w:hidden/>
    <w:uiPriority w:val="99"/>
    <w:semiHidden/>
    <w:rsid w:val="0081234A"/>
    <w:pPr>
      <w:spacing w:after="120" w:line="264" w:lineRule="auto"/>
    </w:pPr>
    <w:rPr>
      <w:rFonts w:ascii="Arial" w:eastAsiaTheme="minorEastAsia" w:hAnsi="Arial"/>
      <w:sz w:val="24"/>
      <w:szCs w:val="24"/>
    </w:rPr>
  </w:style>
  <w:style w:type="paragraph" w:customStyle="1" w:styleId="MediumList2-Accent21131">
    <w:name w:val="Medium List 2 - Accent 21131"/>
    <w:hidden/>
    <w:uiPriority w:val="99"/>
    <w:semiHidden/>
    <w:rsid w:val="0081234A"/>
    <w:pPr>
      <w:spacing w:after="120" w:line="264" w:lineRule="auto"/>
    </w:pPr>
    <w:rPr>
      <w:rFonts w:ascii="Arial" w:eastAsiaTheme="minorEastAsia" w:hAnsi="Arial"/>
      <w:sz w:val="24"/>
      <w:szCs w:val="24"/>
    </w:rPr>
  </w:style>
  <w:style w:type="paragraph" w:customStyle="1" w:styleId="MediumList2-Accent22131">
    <w:name w:val="Medium List 2 - Accent 2213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31">
    <w:name w:val="Colorful Shading - Accent 1113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31">
    <w:name w:val="Colorful Shading - Accent 12131"/>
    <w:hidden/>
    <w:uiPriority w:val="99"/>
    <w:semiHidden/>
    <w:rsid w:val="0081234A"/>
    <w:pPr>
      <w:spacing w:after="120" w:line="264" w:lineRule="auto"/>
    </w:pPr>
    <w:rPr>
      <w:rFonts w:ascii="Verdana" w:eastAsiaTheme="minorEastAsia" w:hAnsi="Verdana"/>
      <w:sz w:val="20"/>
      <w:szCs w:val="20"/>
    </w:rPr>
  </w:style>
  <w:style w:type="paragraph" w:customStyle="1" w:styleId="LightList-Accent31331">
    <w:name w:val="Light List - Accent 31331"/>
    <w:hidden/>
    <w:uiPriority w:val="99"/>
    <w:semiHidden/>
    <w:rsid w:val="0081234A"/>
    <w:pPr>
      <w:spacing w:after="120" w:line="264" w:lineRule="auto"/>
    </w:pPr>
    <w:rPr>
      <w:rFonts w:ascii="Arial" w:eastAsiaTheme="minorEastAsia" w:hAnsi="Arial"/>
      <w:sz w:val="24"/>
      <w:szCs w:val="24"/>
    </w:rPr>
  </w:style>
  <w:style w:type="paragraph" w:customStyle="1" w:styleId="LightList-Accent311231">
    <w:name w:val="Light List - Accent 311231"/>
    <w:hidden/>
    <w:uiPriority w:val="99"/>
    <w:semiHidden/>
    <w:rsid w:val="0081234A"/>
    <w:pPr>
      <w:spacing w:after="120" w:line="264" w:lineRule="auto"/>
    </w:pPr>
    <w:rPr>
      <w:rFonts w:ascii="Arial" w:eastAsiaTheme="minorEastAsia" w:hAnsi="Arial"/>
      <w:sz w:val="24"/>
      <w:szCs w:val="24"/>
    </w:rPr>
  </w:style>
  <w:style w:type="paragraph" w:customStyle="1" w:styleId="MediumList2-Accent21231">
    <w:name w:val="Medium List 2 - Accent 21231"/>
    <w:hidden/>
    <w:uiPriority w:val="99"/>
    <w:semiHidden/>
    <w:rsid w:val="0081234A"/>
    <w:pPr>
      <w:spacing w:after="120" w:line="264" w:lineRule="auto"/>
    </w:pPr>
    <w:rPr>
      <w:rFonts w:ascii="Arial" w:eastAsiaTheme="minorEastAsia" w:hAnsi="Arial"/>
      <w:sz w:val="24"/>
      <w:szCs w:val="24"/>
    </w:rPr>
  </w:style>
  <w:style w:type="paragraph" w:customStyle="1" w:styleId="MediumList2-Accent22231">
    <w:name w:val="Medium List 2 - Accent 2223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31">
    <w:name w:val="Colorful Shading - Accent 1123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31">
    <w:name w:val="Colorful Shading - Accent 12231"/>
    <w:hidden/>
    <w:uiPriority w:val="99"/>
    <w:semiHidden/>
    <w:rsid w:val="0081234A"/>
    <w:pPr>
      <w:spacing w:after="120" w:line="264" w:lineRule="auto"/>
    </w:pPr>
    <w:rPr>
      <w:rFonts w:ascii="Verdana" w:eastAsiaTheme="minorEastAsia" w:hAnsi="Verdana"/>
      <w:sz w:val="20"/>
      <w:szCs w:val="20"/>
    </w:rPr>
  </w:style>
  <w:style w:type="paragraph" w:customStyle="1" w:styleId="LightList-Accent312121">
    <w:name w:val="Light List - Accent 312121"/>
    <w:hidden/>
    <w:uiPriority w:val="99"/>
    <w:semiHidden/>
    <w:rsid w:val="0081234A"/>
    <w:pPr>
      <w:spacing w:after="120" w:line="264" w:lineRule="auto"/>
    </w:pPr>
    <w:rPr>
      <w:rFonts w:ascii="Arial" w:eastAsiaTheme="minorEastAsia" w:hAnsi="Arial"/>
      <w:sz w:val="24"/>
      <w:szCs w:val="24"/>
    </w:rPr>
  </w:style>
  <w:style w:type="paragraph" w:customStyle="1" w:styleId="LightList-Accent3111121">
    <w:name w:val="Light List - Accent 3111121"/>
    <w:hidden/>
    <w:uiPriority w:val="99"/>
    <w:semiHidden/>
    <w:rsid w:val="0081234A"/>
    <w:pPr>
      <w:spacing w:after="120" w:line="264" w:lineRule="auto"/>
    </w:pPr>
    <w:rPr>
      <w:rFonts w:ascii="Arial" w:eastAsiaTheme="minorEastAsia" w:hAnsi="Arial"/>
      <w:sz w:val="24"/>
      <w:szCs w:val="24"/>
    </w:rPr>
  </w:style>
  <w:style w:type="paragraph" w:customStyle="1" w:styleId="MediumList2-Accent211121">
    <w:name w:val="Medium List 2 - Accent 211121"/>
    <w:hidden/>
    <w:uiPriority w:val="99"/>
    <w:semiHidden/>
    <w:rsid w:val="0081234A"/>
    <w:pPr>
      <w:spacing w:after="120" w:line="264" w:lineRule="auto"/>
    </w:pPr>
    <w:rPr>
      <w:rFonts w:ascii="Arial" w:eastAsiaTheme="minorEastAsia" w:hAnsi="Arial"/>
      <w:sz w:val="24"/>
      <w:szCs w:val="24"/>
    </w:rPr>
  </w:style>
  <w:style w:type="paragraph" w:customStyle="1" w:styleId="MediumList2-Accent221121">
    <w:name w:val="Medium List 2 - Accent 2211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21">
    <w:name w:val="Colorful Shading - Accent 1111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21">
    <w:name w:val="Colorful Shading - Accent 121121"/>
    <w:hidden/>
    <w:uiPriority w:val="99"/>
    <w:semiHidden/>
    <w:rsid w:val="0081234A"/>
    <w:pPr>
      <w:spacing w:after="120" w:line="264" w:lineRule="auto"/>
    </w:pPr>
    <w:rPr>
      <w:rFonts w:ascii="Verdana" w:eastAsiaTheme="minorEastAsia" w:hAnsi="Verdana"/>
      <w:sz w:val="20"/>
      <w:szCs w:val="20"/>
    </w:rPr>
  </w:style>
  <w:style w:type="paragraph" w:customStyle="1" w:styleId="LightList-Accent313121">
    <w:name w:val="Light List - Accent 313121"/>
    <w:hidden/>
    <w:uiPriority w:val="99"/>
    <w:semiHidden/>
    <w:rsid w:val="0081234A"/>
    <w:pPr>
      <w:spacing w:after="120" w:line="264" w:lineRule="auto"/>
    </w:pPr>
    <w:rPr>
      <w:rFonts w:ascii="Arial" w:eastAsiaTheme="minorEastAsia" w:hAnsi="Arial"/>
      <w:sz w:val="24"/>
      <w:szCs w:val="24"/>
    </w:rPr>
  </w:style>
  <w:style w:type="paragraph" w:customStyle="1" w:styleId="LightList-Accent3112121">
    <w:name w:val="Light List - Accent 3112121"/>
    <w:hidden/>
    <w:uiPriority w:val="99"/>
    <w:semiHidden/>
    <w:rsid w:val="0081234A"/>
    <w:pPr>
      <w:spacing w:after="120" w:line="264" w:lineRule="auto"/>
    </w:pPr>
    <w:rPr>
      <w:rFonts w:ascii="Arial" w:eastAsiaTheme="minorEastAsia" w:hAnsi="Arial"/>
      <w:sz w:val="24"/>
      <w:szCs w:val="24"/>
    </w:rPr>
  </w:style>
  <w:style w:type="paragraph" w:customStyle="1" w:styleId="MediumList2-Accent212121">
    <w:name w:val="Medium List 2 - Accent 212121"/>
    <w:hidden/>
    <w:uiPriority w:val="99"/>
    <w:semiHidden/>
    <w:rsid w:val="0081234A"/>
    <w:pPr>
      <w:spacing w:after="120" w:line="264" w:lineRule="auto"/>
    </w:pPr>
    <w:rPr>
      <w:rFonts w:ascii="Arial" w:eastAsiaTheme="minorEastAsia" w:hAnsi="Arial"/>
      <w:sz w:val="24"/>
      <w:szCs w:val="24"/>
    </w:rPr>
  </w:style>
  <w:style w:type="paragraph" w:customStyle="1" w:styleId="MediumList2-Accent222121">
    <w:name w:val="Medium List 2 - Accent 2221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21">
    <w:name w:val="Colorful Shading - Accent 1121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21">
    <w:name w:val="Colorful Shading - Accent 122121"/>
    <w:hidden/>
    <w:uiPriority w:val="99"/>
    <w:semiHidden/>
    <w:rsid w:val="0081234A"/>
    <w:pPr>
      <w:spacing w:after="120" w:line="264" w:lineRule="auto"/>
    </w:pPr>
    <w:rPr>
      <w:rFonts w:ascii="Verdana" w:eastAsiaTheme="minorEastAsia" w:hAnsi="Verdana"/>
      <w:sz w:val="20"/>
      <w:szCs w:val="20"/>
    </w:rPr>
  </w:style>
  <w:style w:type="paragraph" w:customStyle="1" w:styleId="LightList-Accent31421">
    <w:name w:val="Light List - Accent 31421"/>
    <w:hidden/>
    <w:uiPriority w:val="99"/>
    <w:semiHidden/>
    <w:rsid w:val="0081234A"/>
    <w:pPr>
      <w:spacing w:after="120" w:line="264" w:lineRule="auto"/>
    </w:pPr>
    <w:rPr>
      <w:rFonts w:ascii="Arial" w:eastAsiaTheme="minorEastAsia" w:hAnsi="Arial"/>
      <w:sz w:val="24"/>
      <w:szCs w:val="24"/>
    </w:rPr>
  </w:style>
  <w:style w:type="paragraph" w:customStyle="1" w:styleId="LightList-Accent311321">
    <w:name w:val="Light List - Accent 311321"/>
    <w:hidden/>
    <w:uiPriority w:val="99"/>
    <w:semiHidden/>
    <w:rsid w:val="0081234A"/>
    <w:pPr>
      <w:spacing w:after="120" w:line="264" w:lineRule="auto"/>
    </w:pPr>
    <w:rPr>
      <w:rFonts w:ascii="Arial" w:eastAsiaTheme="minorEastAsia" w:hAnsi="Arial"/>
      <w:sz w:val="24"/>
      <w:szCs w:val="24"/>
    </w:rPr>
  </w:style>
  <w:style w:type="paragraph" w:customStyle="1" w:styleId="MediumList2-Accent21321">
    <w:name w:val="Medium List 2 - Accent 21321"/>
    <w:hidden/>
    <w:uiPriority w:val="99"/>
    <w:semiHidden/>
    <w:rsid w:val="0081234A"/>
    <w:pPr>
      <w:spacing w:after="120" w:line="264" w:lineRule="auto"/>
    </w:pPr>
    <w:rPr>
      <w:rFonts w:ascii="Arial" w:eastAsiaTheme="minorEastAsia" w:hAnsi="Arial"/>
      <w:sz w:val="24"/>
      <w:szCs w:val="24"/>
    </w:rPr>
  </w:style>
  <w:style w:type="paragraph" w:customStyle="1" w:styleId="MediumList2-Accent22321">
    <w:name w:val="Medium List 2 - Accent 223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21">
    <w:name w:val="Colorful Shading - Accent 113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21">
    <w:name w:val="Colorful Shading - Accent 12321"/>
    <w:hidden/>
    <w:uiPriority w:val="99"/>
    <w:semiHidden/>
    <w:rsid w:val="0081234A"/>
    <w:pPr>
      <w:spacing w:after="120" w:line="264" w:lineRule="auto"/>
    </w:pPr>
    <w:rPr>
      <w:rFonts w:ascii="Verdana" w:eastAsiaTheme="minorEastAsia" w:hAnsi="Verdana"/>
      <w:sz w:val="20"/>
      <w:szCs w:val="20"/>
    </w:rPr>
  </w:style>
  <w:style w:type="paragraph" w:customStyle="1" w:styleId="LightList-Accent31521">
    <w:name w:val="Light List - Accent 31521"/>
    <w:hidden/>
    <w:uiPriority w:val="99"/>
    <w:semiHidden/>
    <w:rsid w:val="0081234A"/>
    <w:pPr>
      <w:spacing w:after="120" w:line="264" w:lineRule="auto"/>
    </w:pPr>
    <w:rPr>
      <w:rFonts w:ascii="Arial" w:eastAsiaTheme="minorEastAsia" w:hAnsi="Arial"/>
      <w:sz w:val="24"/>
      <w:szCs w:val="24"/>
    </w:rPr>
  </w:style>
  <w:style w:type="paragraph" w:customStyle="1" w:styleId="LightList-Accent311421">
    <w:name w:val="Light List - Accent 311421"/>
    <w:hidden/>
    <w:uiPriority w:val="99"/>
    <w:semiHidden/>
    <w:rsid w:val="0081234A"/>
    <w:pPr>
      <w:spacing w:after="120" w:line="264" w:lineRule="auto"/>
    </w:pPr>
    <w:rPr>
      <w:rFonts w:ascii="Arial" w:eastAsiaTheme="minorEastAsia" w:hAnsi="Arial"/>
      <w:sz w:val="24"/>
      <w:szCs w:val="24"/>
    </w:rPr>
  </w:style>
  <w:style w:type="paragraph" w:customStyle="1" w:styleId="MediumList2-Accent21421">
    <w:name w:val="Medium List 2 - Accent 21421"/>
    <w:hidden/>
    <w:uiPriority w:val="99"/>
    <w:semiHidden/>
    <w:rsid w:val="0081234A"/>
    <w:pPr>
      <w:spacing w:after="120" w:line="264" w:lineRule="auto"/>
    </w:pPr>
    <w:rPr>
      <w:rFonts w:ascii="Arial" w:eastAsiaTheme="minorEastAsia" w:hAnsi="Arial"/>
      <w:sz w:val="24"/>
      <w:szCs w:val="24"/>
    </w:rPr>
  </w:style>
  <w:style w:type="paragraph" w:customStyle="1" w:styleId="MediumList2-Accent22421">
    <w:name w:val="Medium List 2 - Accent 224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21">
    <w:name w:val="Colorful Shading - Accent 114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21">
    <w:name w:val="Colorful Shading - Accent 12421"/>
    <w:hidden/>
    <w:uiPriority w:val="99"/>
    <w:semiHidden/>
    <w:rsid w:val="0081234A"/>
    <w:pPr>
      <w:spacing w:after="120" w:line="264" w:lineRule="auto"/>
    </w:pPr>
    <w:rPr>
      <w:rFonts w:ascii="Verdana" w:eastAsiaTheme="minorEastAsia" w:hAnsi="Verdana"/>
      <w:sz w:val="20"/>
      <w:szCs w:val="20"/>
    </w:rPr>
  </w:style>
  <w:style w:type="paragraph" w:customStyle="1" w:styleId="LightList-Accent3110">
    <w:name w:val="Light List - Accent 3110"/>
    <w:hidden/>
    <w:uiPriority w:val="99"/>
    <w:semiHidden/>
    <w:rsid w:val="0081234A"/>
    <w:pPr>
      <w:spacing w:after="120" w:line="264" w:lineRule="auto"/>
    </w:pPr>
    <w:rPr>
      <w:rFonts w:ascii="Arial" w:eastAsiaTheme="minorEastAsia" w:hAnsi="Arial"/>
      <w:sz w:val="24"/>
      <w:szCs w:val="24"/>
    </w:rPr>
  </w:style>
  <w:style w:type="paragraph" w:customStyle="1" w:styleId="LightList-Accent3119">
    <w:name w:val="Light List - Accent 3119"/>
    <w:hidden/>
    <w:uiPriority w:val="99"/>
    <w:semiHidden/>
    <w:rsid w:val="0081234A"/>
    <w:pPr>
      <w:spacing w:after="120" w:line="264" w:lineRule="auto"/>
    </w:pPr>
    <w:rPr>
      <w:rFonts w:ascii="Arial" w:eastAsiaTheme="minorEastAsia" w:hAnsi="Arial"/>
      <w:sz w:val="24"/>
      <w:szCs w:val="24"/>
    </w:rPr>
  </w:style>
  <w:style w:type="paragraph" w:customStyle="1" w:styleId="MediumList2-Accent219">
    <w:name w:val="Medium List 2 - Accent 219"/>
    <w:hidden/>
    <w:uiPriority w:val="99"/>
    <w:semiHidden/>
    <w:rsid w:val="0081234A"/>
    <w:pPr>
      <w:spacing w:after="120" w:line="264" w:lineRule="auto"/>
    </w:pPr>
    <w:rPr>
      <w:rFonts w:ascii="Arial" w:eastAsiaTheme="minorEastAsia" w:hAnsi="Arial"/>
      <w:sz w:val="24"/>
      <w:szCs w:val="24"/>
    </w:rPr>
  </w:style>
  <w:style w:type="paragraph" w:customStyle="1" w:styleId="MediumList2-Accent229">
    <w:name w:val="Medium List 2 - Accent 229"/>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9">
    <w:name w:val="Colorful Shading - Accent 119"/>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9">
    <w:name w:val="Colorful Shading - Accent 129"/>
    <w:hidden/>
    <w:uiPriority w:val="99"/>
    <w:semiHidden/>
    <w:rsid w:val="0081234A"/>
    <w:pPr>
      <w:spacing w:after="120" w:line="264" w:lineRule="auto"/>
    </w:pPr>
    <w:rPr>
      <w:rFonts w:ascii="Verdana" w:eastAsiaTheme="minorEastAsia" w:hAnsi="Verdana"/>
      <w:sz w:val="20"/>
      <w:szCs w:val="20"/>
    </w:rPr>
  </w:style>
  <w:style w:type="paragraph" w:customStyle="1" w:styleId="LightList-Accent3126">
    <w:name w:val="Light List - Accent 3126"/>
    <w:hidden/>
    <w:uiPriority w:val="99"/>
    <w:semiHidden/>
    <w:rsid w:val="0081234A"/>
    <w:pPr>
      <w:spacing w:after="120" w:line="264" w:lineRule="auto"/>
    </w:pPr>
    <w:rPr>
      <w:rFonts w:ascii="Arial" w:eastAsiaTheme="minorEastAsia" w:hAnsi="Arial"/>
      <w:sz w:val="24"/>
      <w:szCs w:val="24"/>
    </w:rPr>
  </w:style>
  <w:style w:type="paragraph" w:customStyle="1" w:styleId="LightList-Accent31116">
    <w:name w:val="Light List - Accent 31116"/>
    <w:hidden/>
    <w:uiPriority w:val="99"/>
    <w:semiHidden/>
    <w:rsid w:val="0081234A"/>
    <w:pPr>
      <w:spacing w:after="120" w:line="264" w:lineRule="auto"/>
    </w:pPr>
    <w:rPr>
      <w:rFonts w:ascii="Arial" w:eastAsiaTheme="minorEastAsia" w:hAnsi="Arial"/>
      <w:sz w:val="24"/>
      <w:szCs w:val="24"/>
    </w:rPr>
  </w:style>
  <w:style w:type="paragraph" w:customStyle="1" w:styleId="MediumList2-Accent2116">
    <w:name w:val="Medium List 2 - Accent 2116"/>
    <w:hidden/>
    <w:uiPriority w:val="99"/>
    <w:semiHidden/>
    <w:rsid w:val="0081234A"/>
    <w:pPr>
      <w:spacing w:after="120" w:line="264" w:lineRule="auto"/>
    </w:pPr>
    <w:rPr>
      <w:rFonts w:ascii="Arial" w:eastAsiaTheme="minorEastAsia" w:hAnsi="Arial"/>
      <w:sz w:val="24"/>
      <w:szCs w:val="24"/>
    </w:rPr>
  </w:style>
  <w:style w:type="paragraph" w:customStyle="1" w:styleId="MediumList2-Accent2216">
    <w:name w:val="Medium List 2 - Accent 2216"/>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6">
    <w:name w:val="Colorful Shading - Accent 1116"/>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6">
    <w:name w:val="Colorful Shading - Accent 1216"/>
    <w:hidden/>
    <w:uiPriority w:val="99"/>
    <w:semiHidden/>
    <w:rsid w:val="0081234A"/>
    <w:pPr>
      <w:spacing w:after="120" w:line="264" w:lineRule="auto"/>
    </w:pPr>
    <w:rPr>
      <w:rFonts w:ascii="Verdana" w:eastAsiaTheme="minorEastAsia" w:hAnsi="Verdana"/>
      <w:sz w:val="20"/>
      <w:szCs w:val="20"/>
    </w:rPr>
  </w:style>
  <w:style w:type="paragraph" w:customStyle="1" w:styleId="LightList-Accent3136">
    <w:name w:val="Light List - Accent 3136"/>
    <w:hidden/>
    <w:uiPriority w:val="99"/>
    <w:semiHidden/>
    <w:rsid w:val="0081234A"/>
    <w:pPr>
      <w:spacing w:after="120" w:line="264" w:lineRule="auto"/>
    </w:pPr>
    <w:rPr>
      <w:rFonts w:ascii="Arial" w:eastAsiaTheme="minorEastAsia" w:hAnsi="Arial"/>
      <w:sz w:val="24"/>
      <w:szCs w:val="24"/>
    </w:rPr>
  </w:style>
  <w:style w:type="paragraph" w:customStyle="1" w:styleId="LightList-Accent31126">
    <w:name w:val="Light List - Accent 31126"/>
    <w:hidden/>
    <w:uiPriority w:val="99"/>
    <w:semiHidden/>
    <w:rsid w:val="0081234A"/>
    <w:pPr>
      <w:spacing w:after="120" w:line="264" w:lineRule="auto"/>
    </w:pPr>
    <w:rPr>
      <w:rFonts w:ascii="Arial" w:eastAsiaTheme="minorEastAsia" w:hAnsi="Arial"/>
      <w:sz w:val="24"/>
      <w:szCs w:val="24"/>
    </w:rPr>
  </w:style>
  <w:style w:type="paragraph" w:customStyle="1" w:styleId="MediumList2-Accent2126">
    <w:name w:val="Medium List 2 - Accent 2126"/>
    <w:hidden/>
    <w:uiPriority w:val="99"/>
    <w:semiHidden/>
    <w:rsid w:val="0081234A"/>
    <w:pPr>
      <w:spacing w:after="120" w:line="264" w:lineRule="auto"/>
    </w:pPr>
    <w:rPr>
      <w:rFonts w:ascii="Arial" w:eastAsiaTheme="minorEastAsia" w:hAnsi="Arial"/>
      <w:sz w:val="24"/>
      <w:szCs w:val="24"/>
    </w:rPr>
  </w:style>
  <w:style w:type="paragraph" w:customStyle="1" w:styleId="MediumList2-Accent2226">
    <w:name w:val="Medium List 2 - Accent 2226"/>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6">
    <w:name w:val="Colorful Shading - Accent 1126"/>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6">
    <w:name w:val="Colorful Shading - Accent 1226"/>
    <w:hidden/>
    <w:uiPriority w:val="99"/>
    <w:semiHidden/>
    <w:rsid w:val="0081234A"/>
    <w:pPr>
      <w:spacing w:after="120" w:line="264" w:lineRule="auto"/>
    </w:pPr>
    <w:rPr>
      <w:rFonts w:ascii="Verdana" w:eastAsiaTheme="minorEastAsia" w:hAnsi="Verdana"/>
      <w:sz w:val="20"/>
      <w:szCs w:val="20"/>
    </w:rPr>
  </w:style>
  <w:style w:type="paragraph" w:customStyle="1" w:styleId="LightList-Accent31215">
    <w:name w:val="Light List - Accent 31215"/>
    <w:hidden/>
    <w:uiPriority w:val="99"/>
    <w:semiHidden/>
    <w:rsid w:val="0081234A"/>
    <w:pPr>
      <w:spacing w:after="120" w:line="264" w:lineRule="auto"/>
    </w:pPr>
    <w:rPr>
      <w:rFonts w:ascii="Arial" w:eastAsiaTheme="minorEastAsia" w:hAnsi="Arial"/>
      <w:sz w:val="24"/>
      <w:szCs w:val="24"/>
    </w:rPr>
  </w:style>
  <w:style w:type="paragraph" w:customStyle="1" w:styleId="LightList-Accent311115">
    <w:name w:val="Light List - Accent 311115"/>
    <w:hidden/>
    <w:uiPriority w:val="99"/>
    <w:semiHidden/>
    <w:rsid w:val="0081234A"/>
    <w:pPr>
      <w:spacing w:after="120" w:line="264" w:lineRule="auto"/>
    </w:pPr>
    <w:rPr>
      <w:rFonts w:ascii="Arial" w:eastAsiaTheme="minorEastAsia" w:hAnsi="Arial"/>
      <w:sz w:val="24"/>
      <w:szCs w:val="24"/>
    </w:rPr>
  </w:style>
  <w:style w:type="paragraph" w:customStyle="1" w:styleId="MediumList2-Accent21115">
    <w:name w:val="Medium List 2 - Accent 21115"/>
    <w:hidden/>
    <w:uiPriority w:val="99"/>
    <w:semiHidden/>
    <w:rsid w:val="0081234A"/>
    <w:pPr>
      <w:spacing w:after="120" w:line="264" w:lineRule="auto"/>
    </w:pPr>
    <w:rPr>
      <w:rFonts w:ascii="Arial" w:eastAsiaTheme="minorEastAsia" w:hAnsi="Arial"/>
      <w:sz w:val="24"/>
      <w:szCs w:val="24"/>
    </w:rPr>
  </w:style>
  <w:style w:type="paragraph" w:customStyle="1" w:styleId="MediumList2-Accent22115">
    <w:name w:val="Medium List 2 - Accent 2211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5">
    <w:name w:val="Colorful Shading - Accent 1111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5">
    <w:name w:val="Colorful Shading - Accent 12115"/>
    <w:hidden/>
    <w:uiPriority w:val="99"/>
    <w:semiHidden/>
    <w:rsid w:val="0081234A"/>
    <w:pPr>
      <w:spacing w:after="120" w:line="264" w:lineRule="auto"/>
    </w:pPr>
    <w:rPr>
      <w:rFonts w:ascii="Verdana" w:eastAsiaTheme="minorEastAsia" w:hAnsi="Verdana"/>
      <w:sz w:val="20"/>
      <w:szCs w:val="20"/>
    </w:rPr>
  </w:style>
  <w:style w:type="paragraph" w:customStyle="1" w:styleId="LightList-Accent31315">
    <w:name w:val="Light List - Accent 31315"/>
    <w:hidden/>
    <w:uiPriority w:val="99"/>
    <w:semiHidden/>
    <w:rsid w:val="0081234A"/>
    <w:pPr>
      <w:spacing w:after="120" w:line="264" w:lineRule="auto"/>
    </w:pPr>
    <w:rPr>
      <w:rFonts w:ascii="Arial" w:eastAsiaTheme="minorEastAsia" w:hAnsi="Arial"/>
      <w:sz w:val="24"/>
      <w:szCs w:val="24"/>
    </w:rPr>
  </w:style>
  <w:style w:type="paragraph" w:customStyle="1" w:styleId="LightList-Accent311215">
    <w:name w:val="Light List - Accent 311215"/>
    <w:hidden/>
    <w:uiPriority w:val="99"/>
    <w:semiHidden/>
    <w:rsid w:val="0081234A"/>
    <w:pPr>
      <w:spacing w:after="120" w:line="264" w:lineRule="auto"/>
    </w:pPr>
    <w:rPr>
      <w:rFonts w:ascii="Arial" w:eastAsiaTheme="minorEastAsia" w:hAnsi="Arial"/>
      <w:sz w:val="24"/>
      <w:szCs w:val="24"/>
    </w:rPr>
  </w:style>
  <w:style w:type="paragraph" w:customStyle="1" w:styleId="MediumList2-Accent21215">
    <w:name w:val="Medium List 2 - Accent 21215"/>
    <w:hidden/>
    <w:uiPriority w:val="99"/>
    <w:semiHidden/>
    <w:rsid w:val="0081234A"/>
    <w:pPr>
      <w:spacing w:after="120" w:line="264" w:lineRule="auto"/>
    </w:pPr>
    <w:rPr>
      <w:rFonts w:ascii="Arial" w:eastAsiaTheme="minorEastAsia" w:hAnsi="Arial"/>
      <w:sz w:val="24"/>
      <w:szCs w:val="24"/>
    </w:rPr>
  </w:style>
  <w:style w:type="paragraph" w:customStyle="1" w:styleId="MediumList2-Accent22215">
    <w:name w:val="Medium List 2 - Accent 2221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5">
    <w:name w:val="Colorful Shading - Accent 1121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5">
    <w:name w:val="Colorful Shading - Accent 12215"/>
    <w:hidden/>
    <w:uiPriority w:val="99"/>
    <w:semiHidden/>
    <w:rsid w:val="0081234A"/>
    <w:pPr>
      <w:spacing w:after="120" w:line="264" w:lineRule="auto"/>
    </w:pPr>
    <w:rPr>
      <w:rFonts w:ascii="Verdana" w:eastAsiaTheme="minorEastAsia" w:hAnsi="Verdana"/>
      <w:sz w:val="20"/>
      <w:szCs w:val="20"/>
    </w:rPr>
  </w:style>
  <w:style w:type="paragraph" w:customStyle="1" w:styleId="LightList-Accent3145">
    <w:name w:val="Light List - Accent 3145"/>
    <w:hidden/>
    <w:uiPriority w:val="99"/>
    <w:semiHidden/>
    <w:rsid w:val="0081234A"/>
    <w:pPr>
      <w:spacing w:after="120" w:line="264" w:lineRule="auto"/>
    </w:pPr>
    <w:rPr>
      <w:rFonts w:ascii="Arial" w:eastAsiaTheme="minorEastAsia" w:hAnsi="Arial"/>
      <w:sz w:val="24"/>
      <w:szCs w:val="24"/>
    </w:rPr>
  </w:style>
  <w:style w:type="paragraph" w:customStyle="1" w:styleId="LightList-Accent31135">
    <w:name w:val="Light List - Accent 31135"/>
    <w:hidden/>
    <w:uiPriority w:val="99"/>
    <w:semiHidden/>
    <w:rsid w:val="0081234A"/>
    <w:pPr>
      <w:spacing w:after="120" w:line="264" w:lineRule="auto"/>
    </w:pPr>
    <w:rPr>
      <w:rFonts w:ascii="Arial" w:eastAsiaTheme="minorEastAsia" w:hAnsi="Arial"/>
      <w:sz w:val="24"/>
      <w:szCs w:val="24"/>
    </w:rPr>
  </w:style>
  <w:style w:type="paragraph" w:customStyle="1" w:styleId="MediumList2-Accent2135">
    <w:name w:val="Medium List 2 - Accent 2135"/>
    <w:hidden/>
    <w:uiPriority w:val="99"/>
    <w:semiHidden/>
    <w:rsid w:val="0081234A"/>
    <w:pPr>
      <w:spacing w:after="120" w:line="264" w:lineRule="auto"/>
    </w:pPr>
    <w:rPr>
      <w:rFonts w:ascii="Arial" w:eastAsiaTheme="minorEastAsia" w:hAnsi="Arial"/>
      <w:sz w:val="24"/>
      <w:szCs w:val="24"/>
    </w:rPr>
  </w:style>
  <w:style w:type="paragraph" w:customStyle="1" w:styleId="MediumList2-Accent2235">
    <w:name w:val="Medium List 2 - Accent 223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5">
    <w:name w:val="Colorful Shading - Accent 113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5">
    <w:name w:val="Colorful Shading - Accent 1235"/>
    <w:hidden/>
    <w:uiPriority w:val="99"/>
    <w:semiHidden/>
    <w:rsid w:val="0081234A"/>
    <w:pPr>
      <w:spacing w:after="120" w:line="264" w:lineRule="auto"/>
    </w:pPr>
    <w:rPr>
      <w:rFonts w:ascii="Verdana" w:eastAsiaTheme="minorEastAsia" w:hAnsi="Verdana"/>
      <w:sz w:val="20"/>
      <w:szCs w:val="20"/>
    </w:rPr>
  </w:style>
  <w:style w:type="paragraph" w:customStyle="1" w:styleId="LightList-Accent3155">
    <w:name w:val="Light List - Accent 3155"/>
    <w:hidden/>
    <w:uiPriority w:val="99"/>
    <w:semiHidden/>
    <w:rsid w:val="0081234A"/>
    <w:pPr>
      <w:spacing w:after="120" w:line="264" w:lineRule="auto"/>
    </w:pPr>
    <w:rPr>
      <w:rFonts w:ascii="Arial" w:eastAsiaTheme="minorEastAsia" w:hAnsi="Arial"/>
      <w:sz w:val="24"/>
      <w:szCs w:val="24"/>
    </w:rPr>
  </w:style>
  <w:style w:type="paragraph" w:customStyle="1" w:styleId="LightList-Accent31145">
    <w:name w:val="Light List - Accent 31145"/>
    <w:hidden/>
    <w:uiPriority w:val="99"/>
    <w:semiHidden/>
    <w:rsid w:val="0081234A"/>
    <w:pPr>
      <w:spacing w:after="120" w:line="264" w:lineRule="auto"/>
    </w:pPr>
    <w:rPr>
      <w:rFonts w:ascii="Arial" w:eastAsiaTheme="minorEastAsia" w:hAnsi="Arial"/>
      <w:sz w:val="24"/>
      <w:szCs w:val="24"/>
    </w:rPr>
  </w:style>
  <w:style w:type="paragraph" w:customStyle="1" w:styleId="MediumList2-Accent2145">
    <w:name w:val="Medium List 2 - Accent 2145"/>
    <w:hidden/>
    <w:uiPriority w:val="99"/>
    <w:semiHidden/>
    <w:rsid w:val="0081234A"/>
    <w:pPr>
      <w:spacing w:after="120" w:line="264" w:lineRule="auto"/>
    </w:pPr>
    <w:rPr>
      <w:rFonts w:ascii="Arial" w:eastAsiaTheme="minorEastAsia" w:hAnsi="Arial"/>
      <w:sz w:val="24"/>
      <w:szCs w:val="24"/>
    </w:rPr>
  </w:style>
  <w:style w:type="paragraph" w:customStyle="1" w:styleId="MediumList2-Accent2245">
    <w:name w:val="Medium List 2 - Accent 224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5">
    <w:name w:val="Colorful Shading - Accent 114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5">
    <w:name w:val="Colorful Shading - Accent 1245"/>
    <w:hidden/>
    <w:uiPriority w:val="99"/>
    <w:semiHidden/>
    <w:rsid w:val="0081234A"/>
    <w:pPr>
      <w:spacing w:after="120" w:line="264" w:lineRule="auto"/>
    </w:pPr>
    <w:rPr>
      <w:rFonts w:ascii="Verdana" w:eastAsiaTheme="minorEastAsia" w:hAnsi="Verdana"/>
      <w:sz w:val="20"/>
      <w:szCs w:val="20"/>
    </w:rPr>
  </w:style>
  <w:style w:type="paragraph" w:customStyle="1" w:styleId="ARbullet3">
    <w:name w:val="AR bullet 3"/>
    <w:basedOn w:val="Normal"/>
    <w:rsid w:val="001D049B"/>
    <w:pPr>
      <w:numPr>
        <w:ilvl w:val="2"/>
        <w:numId w:val="4"/>
      </w:numPr>
      <w:tabs>
        <w:tab w:val="num" w:pos="284"/>
        <w:tab w:val="num" w:pos="360"/>
      </w:tabs>
      <w:spacing w:after="40" w:line="260" w:lineRule="atLeast"/>
      <w:ind w:left="510" w:hanging="226"/>
    </w:pPr>
    <w:rPr>
      <w:rFonts w:ascii="Arial" w:eastAsia="Times" w:hAnsi="Arial" w:cs="Arial"/>
      <w:sz w:val="20"/>
      <w:szCs w:val="24"/>
    </w:rPr>
  </w:style>
  <w:style w:type="table" w:styleId="TableGrid1">
    <w:name w:val="Table Grid 1"/>
    <w:basedOn w:val="TableNormal"/>
    <w:rsid w:val="000476D8"/>
    <w:pPr>
      <w:spacing w:after="120" w:line="264" w:lineRule="auto"/>
    </w:pPr>
    <w:rPr>
      <w:rFonts w:eastAsiaTheme="minorEastAsia"/>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List">
    <w:name w:val="Light List"/>
    <w:basedOn w:val="TableNormal"/>
    <w:uiPriority w:val="61"/>
    <w:rsid w:val="000476D8"/>
    <w:pPr>
      <w:spacing w:after="120" w:line="264" w:lineRule="auto"/>
    </w:pPr>
    <w:rPr>
      <w:rFonts w:eastAsiaTheme="minorEastAsia"/>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8"/>
    <w:semiHidden/>
    <w:rsid w:val="000476D8"/>
    <w:pPr>
      <w:spacing w:after="120" w:line="264" w:lineRule="auto"/>
    </w:pPr>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8"/>
    <w:semiHidden/>
    <w:rsid w:val="000476D8"/>
    <w:rPr>
      <w:rFonts w:ascii="Consolas" w:eastAsia="Calibri" w:hAnsi="Consolas"/>
      <w:sz w:val="21"/>
      <w:szCs w:val="21"/>
      <w:lang w:val="x-none" w:eastAsia="x-none"/>
    </w:rPr>
  </w:style>
  <w:style w:type="numbering" w:customStyle="1" w:styleId="ARnumberedparas">
    <w:name w:val="AR numbered paras"/>
    <w:rsid w:val="000476D8"/>
    <w:pPr>
      <w:numPr>
        <w:numId w:val="8"/>
      </w:numPr>
    </w:pPr>
  </w:style>
  <w:style w:type="table" w:styleId="TableElegant">
    <w:name w:val="Table Elegant"/>
    <w:basedOn w:val="TableNormal"/>
    <w:uiPriority w:val="99"/>
    <w:rsid w:val="000476D8"/>
    <w:pPr>
      <w:spacing w:after="120" w:line="264" w:lineRule="auto"/>
    </w:pPr>
    <w:rPr>
      <w:rFonts w:eastAsiaTheme="minorEastAsia"/>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5">
    <w:name w:val="Table Grid 5"/>
    <w:basedOn w:val="TableNormal"/>
    <w:rsid w:val="000476D8"/>
    <w:pPr>
      <w:spacing w:after="120" w:line="264" w:lineRule="auto"/>
    </w:pPr>
    <w:rPr>
      <w:rFonts w:eastAsiaTheme="minorEastAsia"/>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ightShading-Accent2">
    <w:name w:val="Light Shading Accent 2"/>
    <w:basedOn w:val="TableNormal"/>
    <w:uiPriority w:val="60"/>
    <w:rsid w:val="000476D8"/>
    <w:pPr>
      <w:spacing w:before="120" w:after="0" w:line="240" w:lineRule="auto"/>
    </w:pPr>
    <w:rPr>
      <w:color w:val="3E4043" w:themeColor="accent2" w:themeShade="BF"/>
    </w:rPr>
    <w:tblPr>
      <w:tblStyleRowBandSize w:val="1"/>
      <w:tblStyleColBandSize w:val="1"/>
      <w:tblBorders>
        <w:top w:val="single" w:sz="8" w:space="0" w:color="53565A" w:themeColor="accent2"/>
        <w:bottom w:val="single" w:sz="8" w:space="0" w:color="53565A" w:themeColor="accent2"/>
      </w:tblBorders>
    </w:tblPr>
    <w:tblStylePr w:type="fir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la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left w:val="nil"/>
          <w:right w:val="nil"/>
          <w:insideH w:val="nil"/>
          <w:insideV w:val="nil"/>
        </w:tcBorders>
        <w:shd w:val="clear" w:color="auto" w:fill="D3D5D7" w:themeFill="accent2" w:themeFillTint="3F"/>
      </w:tcPr>
    </w:tblStylePr>
  </w:style>
  <w:style w:type="paragraph" w:styleId="Index1">
    <w:name w:val="index 1"/>
    <w:basedOn w:val="Normal"/>
    <w:next w:val="Normal"/>
    <w:autoRedefine/>
    <w:uiPriority w:val="98"/>
    <w:semiHidden/>
    <w:rsid w:val="000476D8"/>
    <w:pPr>
      <w:spacing w:after="120" w:line="264" w:lineRule="auto"/>
      <w:ind w:left="180" w:hanging="180"/>
    </w:pPr>
    <w:rPr>
      <w:rFonts w:ascii="Times New Roman" w:eastAsiaTheme="minorEastAsia" w:hAnsi="Times New Roman"/>
      <w:b/>
      <w:sz w:val="18"/>
      <w:szCs w:val="18"/>
      <w:lang w:eastAsia="en-AU"/>
    </w:rPr>
  </w:style>
  <w:style w:type="table" w:styleId="MediumShading2-Accent3">
    <w:name w:val="Medium Shading 2 Accent 3"/>
    <w:basedOn w:val="TableNormal"/>
    <w:uiPriority w:val="98"/>
    <w:rsid w:val="000476D8"/>
    <w:pPr>
      <w:spacing w:after="0" w:line="240" w:lineRule="auto"/>
    </w:pPr>
    <w:rPr>
      <w:rFonts w:ascii="Times New Roman" w:eastAsia="MS Mincho"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3520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5205" w:themeFill="accent3"/>
      </w:tcPr>
    </w:tblStylePr>
    <w:tblStylePr w:type="lastCol">
      <w:rPr>
        <w:b/>
        <w:bCs/>
        <w:color w:val="FFFFFF" w:themeColor="background1"/>
      </w:rPr>
      <w:tblPr/>
      <w:tcPr>
        <w:tcBorders>
          <w:left w:val="nil"/>
          <w:right w:val="nil"/>
          <w:insideH w:val="nil"/>
          <w:insideV w:val="nil"/>
        </w:tcBorders>
        <w:shd w:val="clear" w:color="auto" w:fill="E3520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4">
    <w:name w:val="Plain Table 4"/>
    <w:basedOn w:val="TableNormal"/>
    <w:uiPriority w:val="44"/>
    <w:rsid w:val="000476D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0476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Tablefootnotes">
    <w:name w:val="Table footnotes"/>
    <w:uiPriority w:val="99"/>
    <w:rsid w:val="000476D8"/>
    <w:pPr>
      <w:numPr>
        <w:numId w:val="11"/>
      </w:numPr>
    </w:pPr>
  </w:style>
  <w:style w:type="numbering" w:customStyle="1" w:styleId="Style2">
    <w:name w:val="Style2"/>
    <w:rsid w:val="000476D8"/>
    <w:pPr>
      <w:numPr>
        <w:numId w:val="10"/>
      </w:numPr>
    </w:pPr>
  </w:style>
  <w:style w:type="numbering" w:customStyle="1" w:styleId="ZZBullets">
    <w:name w:val="ZZ Bullets"/>
    <w:rsid w:val="00E1592B"/>
  </w:style>
  <w:style w:type="numbering" w:customStyle="1" w:styleId="ZZNumbersdigit">
    <w:name w:val="ZZ Numbers digit"/>
    <w:rsid w:val="000E38BD"/>
  </w:style>
  <w:style w:type="paragraph" w:customStyle="1" w:styleId="ARtablefootnotebullet">
    <w:name w:val="AR table footnote bullet"/>
    <w:basedOn w:val="ARtablefootnote"/>
    <w:link w:val="ARtablefootnotebulletChar"/>
    <w:uiPriority w:val="3"/>
    <w:qFormat/>
    <w:rsid w:val="000E38BD"/>
    <w:pPr>
      <w:numPr>
        <w:numId w:val="9"/>
      </w:numPr>
      <w:tabs>
        <w:tab w:val="num" w:pos="643"/>
      </w:tabs>
      <w:ind w:left="643" w:hanging="360"/>
    </w:pPr>
  </w:style>
  <w:style w:type="paragraph" w:customStyle="1" w:styleId="ARtablefootnotenumbered">
    <w:name w:val="AR table footnote numbered"/>
    <w:basedOn w:val="ARtablefootnote"/>
    <w:link w:val="ARtablefootnotenumberedChar"/>
    <w:uiPriority w:val="3"/>
    <w:qFormat/>
    <w:rsid w:val="000E38BD"/>
    <w:pPr>
      <w:numPr>
        <w:numId w:val="8"/>
      </w:numPr>
      <w:ind w:left="1080" w:hanging="360"/>
    </w:pPr>
    <w:rPr>
      <w:color w:val="000000" w:themeColor="text1"/>
    </w:rPr>
  </w:style>
  <w:style w:type="paragraph" w:customStyle="1" w:styleId="ARfootnotebullet">
    <w:name w:val="AR footnote bullet"/>
    <w:basedOn w:val="Normal"/>
    <w:link w:val="ARfootnotebulletChar"/>
    <w:qFormat/>
    <w:rsid w:val="00BA1A70"/>
    <w:pPr>
      <w:numPr>
        <w:numId w:val="12"/>
      </w:numPr>
      <w:spacing w:after="60" w:line="200" w:lineRule="atLeast"/>
      <w:ind w:left="284" w:hanging="284"/>
    </w:pPr>
    <w:rPr>
      <w:rFonts w:ascii="Arial" w:eastAsiaTheme="minorEastAsia" w:hAnsi="Arial"/>
      <w:color w:val="000000"/>
      <w:sz w:val="16"/>
      <w:szCs w:val="20"/>
      <w:lang w:eastAsia="en-AU"/>
    </w:rPr>
  </w:style>
  <w:style w:type="character" w:customStyle="1" w:styleId="ARfootnotebulletChar">
    <w:name w:val="AR footnote bullet Char"/>
    <w:link w:val="ARfootnotebullet"/>
    <w:rsid w:val="00BA1A70"/>
    <w:rPr>
      <w:rFonts w:ascii="Arial" w:eastAsiaTheme="minorEastAsia" w:hAnsi="Arial"/>
      <w:color w:val="000000"/>
      <w:sz w:val="16"/>
      <w:szCs w:val="20"/>
      <w:lang w:eastAsia="en-AU"/>
    </w:rPr>
  </w:style>
  <w:style w:type="character" w:customStyle="1" w:styleId="ARtablefootnotebulletChar">
    <w:name w:val="AR table footnote bullet Char"/>
    <w:link w:val="ARtablefootnotebullet"/>
    <w:uiPriority w:val="3"/>
    <w:rsid w:val="00FA298F"/>
    <w:rPr>
      <w:rFonts w:ascii="Arial" w:eastAsiaTheme="minorEastAsia" w:hAnsi="Arial"/>
      <w:sz w:val="16"/>
      <w:szCs w:val="16"/>
    </w:rPr>
  </w:style>
  <w:style w:type="numbering" w:customStyle="1" w:styleId="ZZFinbullets">
    <w:name w:val="ZZ Fin bullets"/>
    <w:basedOn w:val="NoList"/>
    <w:rsid w:val="000E38BD"/>
  </w:style>
  <w:style w:type="character" w:customStyle="1" w:styleId="ARtablefootnotenumberedChar">
    <w:name w:val="AR table footnote numbered Char"/>
    <w:link w:val="ARtablefootnotenumbered"/>
    <w:uiPriority w:val="3"/>
    <w:rsid w:val="00FA298F"/>
    <w:rPr>
      <w:rFonts w:ascii="Arial" w:eastAsiaTheme="minorEastAsia" w:hAnsi="Arial"/>
      <w:color w:val="000000" w:themeColor="text1"/>
      <w:sz w:val="16"/>
      <w:szCs w:val="16"/>
    </w:rPr>
  </w:style>
  <w:style w:type="numbering" w:customStyle="1" w:styleId="ZZTablefootnotenumbers">
    <w:name w:val="ZZ Table footnote numbers"/>
    <w:basedOn w:val="NoList"/>
    <w:uiPriority w:val="99"/>
    <w:rsid w:val="000E38BD"/>
    <w:pPr>
      <w:numPr>
        <w:numId w:val="7"/>
      </w:numPr>
    </w:pPr>
  </w:style>
  <w:style w:type="paragraph" w:styleId="TOCHeading">
    <w:name w:val="TOC Heading"/>
    <w:basedOn w:val="Heading1"/>
    <w:next w:val="Normal"/>
    <w:uiPriority w:val="39"/>
    <w:qFormat/>
    <w:rsid w:val="008D6776"/>
    <w:pPr>
      <w:outlineLvl w:val="9"/>
    </w:pPr>
  </w:style>
  <w:style w:type="numbering" w:customStyle="1" w:styleId="ZZTablefootnotebullets">
    <w:name w:val="ZZ Table footnote bullets"/>
    <w:basedOn w:val="NoList"/>
    <w:uiPriority w:val="99"/>
    <w:rsid w:val="000E38BD"/>
    <w:pPr>
      <w:numPr>
        <w:numId w:val="9"/>
      </w:numPr>
    </w:pPr>
  </w:style>
  <w:style w:type="numbering" w:customStyle="1" w:styleId="ZZFinnumbersalpha1">
    <w:name w:val="ZZ Fin numbers alpha 1"/>
    <w:basedOn w:val="NoList"/>
    <w:uiPriority w:val="99"/>
    <w:rsid w:val="000E38BD"/>
  </w:style>
  <w:style w:type="paragraph" w:customStyle="1" w:styleId="ARtablefootnoteroman">
    <w:name w:val="AR table footnote roman"/>
    <w:basedOn w:val="ARtablefootnote"/>
    <w:uiPriority w:val="3"/>
    <w:rsid w:val="000E38BD"/>
    <w:pPr>
      <w:numPr>
        <w:numId w:val="10"/>
      </w:numPr>
      <w:tabs>
        <w:tab w:val="clear" w:pos="284"/>
        <w:tab w:val="num" w:pos="992"/>
      </w:tabs>
      <w:ind w:left="992" w:hanging="992"/>
    </w:pPr>
    <w:rPr>
      <w:lang w:eastAsia="en-AU"/>
    </w:rPr>
  </w:style>
  <w:style w:type="paragraph" w:customStyle="1" w:styleId="ARboxednote">
    <w:name w:val="AR boxed note"/>
    <w:basedOn w:val="Normal"/>
    <w:rsid w:val="000E38BD"/>
    <w:pPr>
      <w:pBdr>
        <w:top w:val="single" w:sz="4" w:space="4" w:color="D9D9D9" w:themeColor="background1" w:themeShade="D9"/>
        <w:left w:val="single" w:sz="4" w:space="8" w:color="D9D9D9" w:themeColor="background1" w:themeShade="D9"/>
        <w:bottom w:val="single" w:sz="4" w:space="4" w:color="D9D9D9" w:themeColor="background1" w:themeShade="D9"/>
        <w:right w:val="single" w:sz="4" w:space="8" w:color="D9D9D9" w:themeColor="background1" w:themeShade="D9"/>
      </w:pBdr>
      <w:shd w:val="pct10" w:color="auto" w:fill="auto"/>
      <w:spacing w:before="120" w:after="120" w:line="264" w:lineRule="auto"/>
      <w:ind w:left="181" w:right="181"/>
    </w:pPr>
    <w:rPr>
      <w:rFonts w:ascii="Arial" w:eastAsia="Times" w:hAnsi="Arial" w:cs="Arial"/>
      <w:sz w:val="20"/>
      <w:szCs w:val="24"/>
    </w:rPr>
  </w:style>
  <w:style w:type="paragraph" w:customStyle="1" w:styleId="Heading3forTOC">
    <w:name w:val="Heading 3 for TOC"/>
    <w:basedOn w:val="Heading3"/>
    <w:uiPriority w:val="4"/>
    <w:rsid w:val="006F5B48"/>
    <w:pPr>
      <w:spacing w:before="0"/>
    </w:pPr>
  </w:style>
  <w:style w:type="paragraph" w:customStyle="1" w:styleId="Heading4Small">
    <w:name w:val="Heading 4 Small"/>
    <w:basedOn w:val="Heading6"/>
    <w:uiPriority w:val="4"/>
    <w:rsid w:val="000E38BD"/>
    <w:pPr>
      <w:outlineLvl w:val="3"/>
    </w:pPr>
    <w:rPr>
      <w:rFonts w:eastAsia="Yu Mincho" w:cs="ArialMT"/>
      <w:color w:val="000000" w:themeColor="text1"/>
      <w:sz w:val="18"/>
      <w:szCs w:val="18"/>
    </w:rPr>
  </w:style>
  <w:style w:type="paragraph" w:customStyle="1" w:styleId="ARfintablefootnotetabindent">
    <w:name w:val="AR fin table footnote tab indent"/>
    <w:link w:val="ARfintablefootnotetabindentChar"/>
    <w:uiPriority w:val="3"/>
    <w:qFormat/>
    <w:rsid w:val="00B04B53"/>
    <w:pPr>
      <w:spacing w:before="40" w:after="40" w:line="180" w:lineRule="atLeast"/>
      <w:ind w:left="284" w:hanging="284"/>
    </w:pPr>
    <w:rPr>
      <w:rFonts w:ascii="Arial" w:eastAsiaTheme="minorEastAsia" w:hAnsi="Arial"/>
      <w:color w:val="000000"/>
      <w:sz w:val="16"/>
      <w:szCs w:val="14"/>
      <w:lang w:eastAsia="en-AU"/>
    </w:rPr>
  </w:style>
  <w:style w:type="paragraph" w:styleId="Header">
    <w:name w:val="header"/>
    <w:basedOn w:val="Normal"/>
    <w:link w:val="HeaderChar"/>
    <w:uiPriority w:val="99"/>
    <w:unhideWhenUsed/>
    <w:rsid w:val="006138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84A"/>
  </w:style>
  <w:style w:type="character" w:styleId="IntenseReference">
    <w:name w:val="Intense Reference"/>
    <w:basedOn w:val="DefaultParagraphFont"/>
    <w:uiPriority w:val="32"/>
    <w:qFormat/>
    <w:rsid w:val="007D61FB"/>
    <w:rPr>
      <w:b/>
      <w:bCs/>
      <w:smallCaps/>
      <w:color w:val="004A46" w:themeColor="accent1" w:themeShade="BF"/>
      <w:spacing w:val="5"/>
    </w:rPr>
  </w:style>
  <w:style w:type="paragraph" w:customStyle="1" w:styleId="ARbodybold">
    <w:name w:val="AR body bold"/>
    <w:basedOn w:val="ARbody"/>
    <w:rsid w:val="00B029C3"/>
    <w:rPr>
      <w:b/>
    </w:rPr>
  </w:style>
  <w:style w:type="character" w:styleId="SubtleReference">
    <w:name w:val="Subtle Reference"/>
    <w:basedOn w:val="DefaultParagraphFont"/>
    <w:uiPriority w:val="31"/>
    <w:qFormat/>
    <w:rsid w:val="007D61FB"/>
    <w:rPr>
      <w:smallCaps/>
      <w:color w:val="404040" w:themeColor="text1" w:themeTint="BF"/>
      <w:u w:val="single" w:color="7F7F7F" w:themeColor="text1" w:themeTint="80"/>
    </w:rPr>
  </w:style>
  <w:style w:type="character" w:customStyle="1" w:styleId="ARfintablefootnotetabindentChar">
    <w:name w:val="AR fin table footnote tab indent Char"/>
    <w:link w:val="ARfintablefootnotetabindent"/>
    <w:uiPriority w:val="3"/>
    <w:rsid w:val="00B04B53"/>
    <w:rPr>
      <w:rFonts w:ascii="Arial" w:eastAsiaTheme="minorEastAsia" w:hAnsi="Arial"/>
      <w:color w:val="000000"/>
      <w:sz w:val="16"/>
      <w:szCs w:val="14"/>
      <w:lang w:eastAsia="en-AU"/>
    </w:rPr>
  </w:style>
  <w:style w:type="character" w:styleId="Mention">
    <w:name w:val="Mention"/>
    <w:basedOn w:val="DefaultParagraphFont"/>
    <w:uiPriority w:val="99"/>
    <w:unhideWhenUsed/>
    <w:rsid w:val="007D61FB"/>
    <w:rPr>
      <w:color w:val="2B579A"/>
      <w:shd w:val="clear" w:color="auto" w:fill="E1DFDD"/>
    </w:rPr>
  </w:style>
  <w:style w:type="paragraph" w:customStyle="1" w:styleId="ARfinbodyafterandbeforetable">
    <w:name w:val="AR fin body after and before table"/>
    <w:basedOn w:val="ARfinbodyaftertable"/>
    <w:uiPriority w:val="3"/>
    <w:rsid w:val="00B04B53"/>
    <w:pPr>
      <w:spacing w:after="160"/>
    </w:pPr>
  </w:style>
  <w:style w:type="paragraph" w:customStyle="1" w:styleId="ARfinbullet1afterdigitoralpha">
    <w:name w:val="AR fin bullet 1 after digit or alpha"/>
    <w:basedOn w:val="ARfinbullet1"/>
    <w:uiPriority w:val="3"/>
    <w:rsid w:val="00B04B53"/>
    <w:pPr>
      <w:numPr>
        <w:ilvl w:val="2"/>
      </w:numPr>
    </w:pPr>
  </w:style>
  <w:style w:type="paragraph" w:customStyle="1" w:styleId="ARtablefootnotelargespacebefore">
    <w:name w:val="AR table footnote large space before"/>
    <w:basedOn w:val="ARtablefootnote"/>
    <w:rsid w:val="00645AD0"/>
    <w:pPr>
      <w:spacing w:before="160"/>
    </w:pPr>
  </w:style>
  <w:style w:type="paragraph" w:customStyle="1" w:styleId="ARfintablerightforreplace">
    <w:name w:val="AR fin table right for replace"/>
    <w:basedOn w:val="ARfintablebodyright"/>
    <w:rsid w:val="00F32A39"/>
  </w:style>
  <w:style w:type="paragraph" w:customStyle="1" w:styleId="ARfinbodynospace">
    <w:name w:val="AR fin body no space"/>
    <w:basedOn w:val="ARfinbody"/>
    <w:uiPriority w:val="2"/>
    <w:rsid w:val="00B04B53"/>
    <w:pPr>
      <w:spacing w:after="0"/>
    </w:pPr>
  </w:style>
  <w:style w:type="paragraph" w:customStyle="1" w:styleId="ARfintablebodybold8pt">
    <w:name w:val="AR fin table body bold 8 pt"/>
    <w:basedOn w:val="ARfintablebodybold"/>
    <w:uiPriority w:val="3"/>
    <w:rsid w:val="00B04B53"/>
    <w:pPr>
      <w:spacing w:before="16" w:after="10" w:line="228" w:lineRule="auto"/>
      <w:ind w:right="0"/>
    </w:pPr>
    <w:rPr>
      <w:sz w:val="16"/>
    </w:rPr>
  </w:style>
  <w:style w:type="paragraph" w:customStyle="1" w:styleId="ARfintablefootnoteindentbullet1">
    <w:name w:val="AR fin table footnote indent bullet 1"/>
    <w:basedOn w:val="ARfintablefootnotetabindent"/>
    <w:uiPriority w:val="3"/>
    <w:rsid w:val="00B04B53"/>
    <w:pPr>
      <w:numPr>
        <w:numId w:val="13"/>
      </w:numPr>
      <w:tabs>
        <w:tab w:val="num" w:pos="360"/>
        <w:tab w:val="num" w:pos="397"/>
      </w:tabs>
      <w:ind w:left="568" w:hanging="284"/>
    </w:pPr>
  </w:style>
  <w:style w:type="paragraph" w:customStyle="1" w:styleId="ARfintablecolhead8">
    <w:name w:val="AR fin table col head 8"/>
    <w:basedOn w:val="ARfintablecolhead"/>
    <w:uiPriority w:val="3"/>
    <w:rsid w:val="00B04B53"/>
    <w:pPr>
      <w:spacing w:before="16" w:after="10" w:line="228" w:lineRule="auto"/>
      <w:ind w:right="0"/>
    </w:pPr>
    <w:rPr>
      <w:rFonts w:cs="Arial"/>
      <w:sz w:val="16"/>
      <w:szCs w:val="15"/>
    </w:rPr>
  </w:style>
  <w:style w:type="paragraph" w:customStyle="1" w:styleId="ARfintablecolheadright8">
    <w:name w:val="AR fin table col head right 8"/>
    <w:basedOn w:val="ARfintablecolheadright"/>
    <w:uiPriority w:val="3"/>
    <w:rsid w:val="00B04B53"/>
    <w:pPr>
      <w:spacing w:before="16" w:after="10" w:line="228" w:lineRule="auto"/>
      <w:ind w:right="0"/>
    </w:pPr>
    <w:rPr>
      <w:rFonts w:cs="Arial"/>
      <w:sz w:val="16"/>
      <w:szCs w:val="15"/>
    </w:rPr>
  </w:style>
  <w:style w:type="paragraph" w:customStyle="1" w:styleId="ARfintablebody8pt">
    <w:name w:val="AR fin table body 8 pt"/>
    <w:basedOn w:val="ARfintablebody"/>
    <w:uiPriority w:val="3"/>
    <w:rsid w:val="00B04B53"/>
    <w:pPr>
      <w:spacing w:before="16" w:after="10" w:line="228" w:lineRule="auto"/>
      <w:ind w:right="0"/>
    </w:pPr>
    <w:rPr>
      <w:sz w:val="16"/>
      <w:szCs w:val="15"/>
    </w:rPr>
  </w:style>
  <w:style w:type="paragraph" w:customStyle="1" w:styleId="ARfintablebodyright8pt">
    <w:name w:val="AR fin table body right 8 pt"/>
    <w:basedOn w:val="ARfintablebodyright"/>
    <w:uiPriority w:val="3"/>
    <w:rsid w:val="00B04B53"/>
    <w:pPr>
      <w:spacing w:before="16" w:after="10" w:line="228" w:lineRule="auto"/>
      <w:ind w:right="0"/>
    </w:pPr>
    <w:rPr>
      <w:sz w:val="16"/>
    </w:rPr>
  </w:style>
  <w:style w:type="paragraph" w:customStyle="1" w:styleId="ARfintablebodyrightbold8pt">
    <w:name w:val="AR fin table body right bold 8pt"/>
    <w:basedOn w:val="ARfintablebodyrightbold"/>
    <w:uiPriority w:val="3"/>
    <w:rsid w:val="00B04B53"/>
    <w:pPr>
      <w:spacing w:before="16" w:after="10" w:line="228" w:lineRule="auto"/>
      <w:ind w:right="0"/>
    </w:pPr>
    <w:rPr>
      <w:sz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ARGrantstabletext">
    <w:name w:val="AR Grants table text"/>
    <w:basedOn w:val="ARtabletext"/>
    <w:rsid w:val="00083017"/>
    <w:pPr>
      <w:spacing w:before="40" w:after="30" w:line="210" w:lineRule="atLeast"/>
    </w:pPr>
  </w:style>
  <w:style w:type="paragraph" w:customStyle="1" w:styleId="ARGrantstabletextright">
    <w:name w:val="AR Grants table text right"/>
    <w:basedOn w:val="ARGrantstabletext"/>
    <w:rsid w:val="003A6453"/>
    <w:pPr>
      <w:jc w:val="right"/>
    </w:pPr>
  </w:style>
  <w:style w:type="paragraph" w:customStyle="1" w:styleId="ARGrantstabletextbold">
    <w:name w:val="AR Grants table text bold"/>
    <w:basedOn w:val="ARGrantstabletext"/>
    <w:rsid w:val="00EB1291"/>
    <w:rPr>
      <w:b/>
    </w:rPr>
  </w:style>
  <w:style w:type="paragraph" w:customStyle="1" w:styleId="ARGrantstabletextrightbold">
    <w:name w:val="AR Grants table text right bold"/>
    <w:basedOn w:val="ARGrantstabletextright"/>
    <w:rsid w:val="00DB5974"/>
    <w:rPr>
      <w:b/>
    </w:rPr>
  </w:style>
  <w:style w:type="paragraph" w:customStyle="1" w:styleId="ARGrantstablecolhead">
    <w:name w:val="AR Grants table col head"/>
    <w:basedOn w:val="ARtablecolhead"/>
    <w:rsid w:val="00DB5974"/>
    <w:pPr>
      <w:spacing w:before="40" w:after="40" w:line="200" w:lineRule="atLeast"/>
    </w:pPr>
    <w:rPr>
      <w:lang w:eastAsia="en-AU"/>
    </w:rPr>
  </w:style>
  <w:style w:type="paragraph" w:customStyle="1" w:styleId="ARGrantstablecolheadright">
    <w:name w:val="AR Grants table col head right"/>
    <w:basedOn w:val="ARGrantstablecolhead"/>
    <w:rsid w:val="00DB5974"/>
    <w:pPr>
      <w:jc w:val="right"/>
    </w:pPr>
  </w:style>
  <w:style w:type="table" w:customStyle="1" w:styleId="DHARGrantstable">
    <w:name w:val="DH AR Grants table"/>
    <w:basedOn w:val="TableNormal"/>
    <w:uiPriority w:val="99"/>
    <w:rsid w:val="00B21BD0"/>
    <w:pPr>
      <w:spacing w:after="0" w:line="240" w:lineRule="auto"/>
    </w:pPr>
    <w:tblPr>
      <w:tblBorders>
        <w:bottom w:val="single" w:sz="4" w:space="0" w:color="000000" w:themeColor="text1"/>
        <w:insideH w:val="single" w:sz="4" w:space="0" w:color="000000" w:themeColor="text1"/>
      </w:tblBorders>
      <w:tblCellMar>
        <w:left w:w="0" w:type="dxa"/>
      </w:tblCellMar>
    </w:tblPr>
    <w:tblStylePr w:type="firstRow">
      <w:tblPr/>
      <w:trPr>
        <w:cantSplit/>
        <w:tblHeader/>
      </w:trPr>
      <w:tcPr>
        <w:tcBorders>
          <w:bottom w:val="nil"/>
        </w:tcBorders>
      </w:tcPr>
    </w:tblStylePr>
  </w:style>
  <w:style w:type="paragraph" w:customStyle="1" w:styleId="ARTabletextlessleading">
    <w:name w:val="AR Table text less leading"/>
    <w:basedOn w:val="ARtabletext"/>
    <w:rsid w:val="00A60C31"/>
    <w:pPr>
      <w:spacing w:line="216" w:lineRule="exact"/>
    </w:pPr>
  </w:style>
  <w:style w:type="paragraph" w:customStyle="1" w:styleId="ARTabletextrightlessleading">
    <w:name w:val="AR Table text right less leading"/>
    <w:basedOn w:val="ARtabletextright"/>
    <w:rsid w:val="00A60C31"/>
    <w:pPr>
      <w:spacing w:line="216" w:lineRule="exact"/>
    </w:pPr>
    <w:rPr>
      <w:color w:val="000000"/>
    </w:rPr>
  </w:style>
  <w:style w:type="paragraph" w:customStyle="1" w:styleId="ARbodyforsignatures">
    <w:name w:val="AR body for signatures"/>
    <w:basedOn w:val="ARbodyaftertable"/>
    <w:rsid w:val="005B131E"/>
    <w:pPr>
      <w:spacing w:before="840" w:after="240"/>
    </w:pPr>
  </w:style>
  <w:style w:type="table" w:customStyle="1" w:styleId="DFFHARtable1">
    <w:name w:val="DFFH AR table 1"/>
    <w:basedOn w:val="TableNormal"/>
    <w:uiPriority w:val="99"/>
    <w:rsid w:val="00057B13"/>
    <w:pPr>
      <w:spacing w:after="0" w:line="240" w:lineRule="auto"/>
    </w:pPr>
    <w:tblPr>
      <w:tblBorders>
        <w:bottom w:val="single" w:sz="4" w:space="0" w:color="A6A6A6" w:themeColor="accent5"/>
        <w:insideH w:val="single" w:sz="4" w:space="0" w:color="A6A6A6" w:themeColor="accent5"/>
      </w:tblBorders>
      <w:tblCellMar>
        <w:left w:w="0" w:type="dxa"/>
        <w:right w:w="28" w:type="dxa"/>
      </w:tblCellMar>
    </w:tblPr>
    <w:trPr>
      <w:cantSplit/>
    </w:trPr>
    <w:tblStylePr w:type="firstRow">
      <w:tblPr/>
      <w:trPr>
        <w:cantSplit w:val="0"/>
      </w:trPr>
      <w:tcPr>
        <w:tcBorders>
          <w:bottom w:val="single" w:sz="4" w:space="0" w:color="000000" w:themeColor="text1"/>
        </w:tcBorders>
        <w:vAlign w:val="bottom"/>
      </w:tcPr>
    </w:tblStylePr>
    <w:tblStylePr w:type="lastRow">
      <w:tblPr/>
      <w:tcPr>
        <w:tcBorders>
          <w:top w:val="single" w:sz="4" w:space="0" w:color="000000" w:themeColor="text1"/>
          <w:bottom w:val="single" w:sz="4" w:space="0" w:color="000000" w:themeColor="text1"/>
        </w:tcBorders>
      </w:tcPr>
    </w:tblStylePr>
  </w:style>
  <w:style w:type="paragraph" w:customStyle="1" w:styleId="ARfintablebodyboldcoloured">
    <w:name w:val="AR fin table body bold coloured"/>
    <w:basedOn w:val="ARfintablebodybold"/>
    <w:rsid w:val="00FB77DE"/>
    <w:rPr>
      <w:color w:val="00645F" w:themeColor="text2"/>
    </w:rPr>
  </w:style>
  <w:style w:type="numbering" w:customStyle="1" w:styleId="Style1">
    <w:name w:val="Style1"/>
    <w:uiPriority w:val="99"/>
    <w:rsid w:val="00197130"/>
    <w:pPr>
      <w:numPr>
        <w:numId w:val="21"/>
      </w:numPr>
    </w:pPr>
  </w:style>
  <w:style w:type="paragraph" w:customStyle="1" w:styleId="ARfintablebodyitalics">
    <w:name w:val="AR fin table body italics"/>
    <w:basedOn w:val="ARfintablebody"/>
    <w:rsid w:val="008B23E1"/>
    <w:rPr>
      <w:i/>
    </w:rPr>
  </w:style>
  <w:style w:type="paragraph" w:styleId="NormalWeb">
    <w:name w:val="Normal (Web)"/>
    <w:basedOn w:val="Normal"/>
    <w:uiPriority w:val="99"/>
    <w:semiHidden/>
    <w:rsid w:val="0064038E"/>
    <w:pPr>
      <w:spacing w:before="100" w:beforeAutospacing="1" w:after="100" w:afterAutospacing="1" w:line="264" w:lineRule="auto"/>
    </w:pPr>
    <w:rPr>
      <w:rFonts w:ascii="Times New Roman" w:eastAsiaTheme="minorEastAsia" w:hAnsi="Times New Roman"/>
      <w:sz w:val="20"/>
      <w:szCs w:val="20"/>
      <w:lang w:eastAsia="en-AU"/>
    </w:rPr>
  </w:style>
  <w:style w:type="paragraph" w:customStyle="1" w:styleId="ARtabletextcolourbold">
    <w:name w:val="AR table text colour bold"/>
    <w:basedOn w:val="ARtabletext"/>
    <w:uiPriority w:val="3"/>
    <w:qFormat/>
    <w:rsid w:val="001D338C"/>
    <w:pPr>
      <w:spacing w:line="240" w:lineRule="auto"/>
    </w:pPr>
    <w:rPr>
      <w:b/>
      <w:color w:val="00645F" w:themeColor="text2"/>
    </w:rPr>
  </w:style>
  <w:style w:type="numbering" w:customStyle="1" w:styleId="ARnumberedparas1">
    <w:name w:val="AR numbered paras1"/>
    <w:rsid w:val="00F844B4"/>
  </w:style>
  <w:style w:type="numbering" w:customStyle="1" w:styleId="Tablefootnotes1">
    <w:name w:val="Table footnotes1"/>
    <w:uiPriority w:val="99"/>
    <w:rsid w:val="00F844B4"/>
  </w:style>
  <w:style w:type="numbering" w:customStyle="1" w:styleId="Style21">
    <w:name w:val="Style21"/>
    <w:rsid w:val="00F844B4"/>
  </w:style>
  <w:style w:type="numbering" w:customStyle="1" w:styleId="ZZBullets1">
    <w:name w:val="ZZ Bullets1"/>
    <w:rsid w:val="00F844B4"/>
  </w:style>
  <w:style w:type="numbering" w:customStyle="1" w:styleId="ZZNumbersdigit1">
    <w:name w:val="ZZ Numbers digit1"/>
    <w:rsid w:val="00F844B4"/>
  </w:style>
  <w:style w:type="numbering" w:customStyle="1" w:styleId="ZZFinbullets1">
    <w:name w:val="ZZ Fin bullets1"/>
    <w:basedOn w:val="NoList"/>
    <w:rsid w:val="00F844B4"/>
  </w:style>
  <w:style w:type="numbering" w:customStyle="1" w:styleId="ZZTablefootnotenumbers1">
    <w:name w:val="ZZ Table footnote numbers1"/>
    <w:basedOn w:val="NoList"/>
    <w:uiPriority w:val="99"/>
    <w:rsid w:val="00F844B4"/>
  </w:style>
  <w:style w:type="numbering" w:customStyle="1" w:styleId="ZZTablefootnotebullets1">
    <w:name w:val="ZZ Table footnote bullets1"/>
    <w:basedOn w:val="NoList"/>
    <w:uiPriority w:val="99"/>
    <w:rsid w:val="00F844B4"/>
  </w:style>
  <w:style w:type="numbering" w:customStyle="1" w:styleId="ZZFinnumbersalpha11">
    <w:name w:val="ZZ Fin numbers alpha 11"/>
    <w:basedOn w:val="NoList"/>
    <w:uiPriority w:val="99"/>
    <w:rsid w:val="00F844B4"/>
  </w:style>
  <w:style w:type="table" w:styleId="TableGridLight">
    <w:name w:val="Grid Table Light"/>
    <w:basedOn w:val="TableNormal"/>
    <w:uiPriority w:val="40"/>
    <w:rsid w:val="00F844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6C6B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Rtablegreenbold">
    <w:name w:val="AR table green bold"/>
    <w:basedOn w:val="ARtabletext"/>
    <w:uiPriority w:val="3"/>
    <w:qFormat/>
    <w:rsid w:val="00AC3C57"/>
    <w:pPr>
      <w:spacing w:line="240" w:lineRule="auto"/>
    </w:pPr>
    <w:rPr>
      <w:b/>
      <w:color w:val="00645F"/>
    </w:rPr>
  </w:style>
  <w:style w:type="character" w:styleId="UnresolvedMention">
    <w:name w:val="Unresolved Mention"/>
    <w:basedOn w:val="DefaultParagraphFont"/>
    <w:uiPriority w:val="99"/>
    <w:semiHidden/>
    <w:unhideWhenUsed/>
    <w:rsid w:val="00AC3C57"/>
    <w:rPr>
      <w:color w:val="605E5C"/>
      <w:shd w:val="clear" w:color="auto" w:fill="E1DFDD"/>
    </w:rPr>
  </w:style>
  <w:style w:type="table" w:customStyle="1" w:styleId="TableGrid10">
    <w:name w:val="Table Grid1"/>
    <w:basedOn w:val="TableNormal"/>
    <w:next w:val="TableGrid"/>
    <w:rsid w:val="00265792"/>
    <w:pPr>
      <w:spacing w:after="120" w:line="264"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26579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265792"/>
    <w:pPr>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2657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1">
    <w:name w:val="Grid Table 41"/>
    <w:basedOn w:val="TableNormal"/>
    <w:uiPriority w:val="49"/>
    <w:rsid w:val="0026579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59"/>
    <w:rsid w:val="00265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5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FFHtable3">
    <w:name w:val="DFFH table 3"/>
    <w:basedOn w:val="TableNormal"/>
    <w:next w:val="TableGrid"/>
    <w:rsid w:val="004A2DF7"/>
    <w:pPr>
      <w:spacing w:after="120" w:line="264" w:lineRule="auto"/>
    </w:pPr>
    <w:rPr>
      <w:rFonts w:eastAsia="MS PGothic"/>
      <w:sz w:val="20"/>
      <w:szCs w:val="20"/>
      <w:lang w:eastAsia="en-AU"/>
    </w:rPr>
    <w:tblPr>
      <w:tblBorders>
        <w:insideH w:val="single" w:sz="4" w:space="0" w:color="A6A6A6"/>
      </w:tblBorders>
      <w:tblCellMar>
        <w:left w:w="0" w:type="dxa"/>
      </w:tblCellMar>
    </w:tblPr>
    <w:trPr>
      <w:cantSplit/>
    </w:trPr>
    <w:tblStylePr w:type="firstRow">
      <w:pPr>
        <w:jc w:val="right"/>
      </w:pPr>
      <w:tblPr/>
      <w:trPr>
        <w:cantSplit w:val="0"/>
      </w:trPr>
      <w:tcPr>
        <w:tcBorders>
          <w:bottom w:val="single" w:sz="4" w:space="0" w:color="000000"/>
        </w:tcBorders>
        <w:vAlign w:val="bottom"/>
      </w:tcPr>
    </w:tblStylePr>
    <w:tblStylePr w:type="lastRow">
      <w:tblPr/>
      <w:tcPr>
        <w:tcBorders>
          <w:top w:val="single" w:sz="4" w:space="0" w:color="000000"/>
          <w:bottom w:val="single" w:sz="4"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625">
      <w:bodyDiv w:val="1"/>
      <w:marLeft w:val="0"/>
      <w:marRight w:val="0"/>
      <w:marTop w:val="0"/>
      <w:marBottom w:val="0"/>
      <w:divBdr>
        <w:top w:val="none" w:sz="0" w:space="0" w:color="auto"/>
        <w:left w:val="none" w:sz="0" w:space="0" w:color="auto"/>
        <w:bottom w:val="none" w:sz="0" w:space="0" w:color="auto"/>
        <w:right w:val="none" w:sz="0" w:space="0" w:color="auto"/>
      </w:divBdr>
    </w:div>
    <w:div w:id="54865770">
      <w:bodyDiv w:val="1"/>
      <w:marLeft w:val="0"/>
      <w:marRight w:val="0"/>
      <w:marTop w:val="0"/>
      <w:marBottom w:val="0"/>
      <w:divBdr>
        <w:top w:val="none" w:sz="0" w:space="0" w:color="auto"/>
        <w:left w:val="none" w:sz="0" w:space="0" w:color="auto"/>
        <w:bottom w:val="none" w:sz="0" w:space="0" w:color="auto"/>
        <w:right w:val="none" w:sz="0" w:space="0" w:color="auto"/>
      </w:divBdr>
    </w:div>
    <w:div w:id="88087533">
      <w:bodyDiv w:val="1"/>
      <w:marLeft w:val="0"/>
      <w:marRight w:val="0"/>
      <w:marTop w:val="0"/>
      <w:marBottom w:val="0"/>
      <w:divBdr>
        <w:top w:val="none" w:sz="0" w:space="0" w:color="auto"/>
        <w:left w:val="none" w:sz="0" w:space="0" w:color="auto"/>
        <w:bottom w:val="none" w:sz="0" w:space="0" w:color="auto"/>
        <w:right w:val="none" w:sz="0" w:space="0" w:color="auto"/>
      </w:divBdr>
    </w:div>
    <w:div w:id="194930472">
      <w:bodyDiv w:val="1"/>
      <w:marLeft w:val="0"/>
      <w:marRight w:val="0"/>
      <w:marTop w:val="0"/>
      <w:marBottom w:val="0"/>
      <w:divBdr>
        <w:top w:val="none" w:sz="0" w:space="0" w:color="auto"/>
        <w:left w:val="none" w:sz="0" w:space="0" w:color="auto"/>
        <w:bottom w:val="none" w:sz="0" w:space="0" w:color="auto"/>
        <w:right w:val="none" w:sz="0" w:space="0" w:color="auto"/>
      </w:divBdr>
      <w:divsChild>
        <w:div w:id="152648488">
          <w:marLeft w:val="0"/>
          <w:marRight w:val="0"/>
          <w:marTop w:val="0"/>
          <w:marBottom w:val="0"/>
          <w:divBdr>
            <w:top w:val="none" w:sz="0" w:space="0" w:color="auto"/>
            <w:left w:val="none" w:sz="0" w:space="0" w:color="auto"/>
            <w:bottom w:val="none" w:sz="0" w:space="0" w:color="auto"/>
            <w:right w:val="none" w:sz="0" w:space="0" w:color="auto"/>
          </w:divBdr>
          <w:divsChild>
            <w:div w:id="333804554">
              <w:marLeft w:val="0"/>
              <w:marRight w:val="0"/>
              <w:marTop w:val="0"/>
              <w:marBottom w:val="0"/>
              <w:divBdr>
                <w:top w:val="none" w:sz="0" w:space="0" w:color="auto"/>
                <w:left w:val="none" w:sz="0" w:space="0" w:color="auto"/>
                <w:bottom w:val="none" w:sz="0" w:space="0" w:color="auto"/>
                <w:right w:val="none" w:sz="0" w:space="0" w:color="auto"/>
              </w:divBdr>
            </w:div>
          </w:divsChild>
        </w:div>
        <w:div w:id="700713818">
          <w:marLeft w:val="0"/>
          <w:marRight w:val="0"/>
          <w:marTop w:val="0"/>
          <w:marBottom w:val="0"/>
          <w:divBdr>
            <w:top w:val="none" w:sz="0" w:space="0" w:color="auto"/>
            <w:left w:val="none" w:sz="0" w:space="0" w:color="auto"/>
            <w:bottom w:val="none" w:sz="0" w:space="0" w:color="auto"/>
            <w:right w:val="none" w:sz="0" w:space="0" w:color="auto"/>
          </w:divBdr>
          <w:divsChild>
            <w:div w:id="2129426366">
              <w:marLeft w:val="0"/>
              <w:marRight w:val="0"/>
              <w:marTop w:val="0"/>
              <w:marBottom w:val="0"/>
              <w:divBdr>
                <w:top w:val="none" w:sz="0" w:space="0" w:color="auto"/>
                <w:left w:val="none" w:sz="0" w:space="0" w:color="auto"/>
                <w:bottom w:val="none" w:sz="0" w:space="0" w:color="auto"/>
                <w:right w:val="none" w:sz="0" w:space="0" w:color="auto"/>
              </w:divBdr>
            </w:div>
          </w:divsChild>
        </w:div>
        <w:div w:id="977567054">
          <w:marLeft w:val="0"/>
          <w:marRight w:val="0"/>
          <w:marTop w:val="0"/>
          <w:marBottom w:val="0"/>
          <w:divBdr>
            <w:top w:val="none" w:sz="0" w:space="0" w:color="auto"/>
            <w:left w:val="none" w:sz="0" w:space="0" w:color="auto"/>
            <w:bottom w:val="none" w:sz="0" w:space="0" w:color="auto"/>
            <w:right w:val="none" w:sz="0" w:space="0" w:color="auto"/>
          </w:divBdr>
          <w:divsChild>
            <w:div w:id="1339113968">
              <w:marLeft w:val="0"/>
              <w:marRight w:val="0"/>
              <w:marTop w:val="0"/>
              <w:marBottom w:val="0"/>
              <w:divBdr>
                <w:top w:val="none" w:sz="0" w:space="0" w:color="auto"/>
                <w:left w:val="none" w:sz="0" w:space="0" w:color="auto"/>
                <w:bottom w:val="none" w:sz="0" w:space="0" w:color="auto"/>
                <w:right w:val="none" w:sz="0" w:space="0" w:color="auto"/>
              </w:divBdr>
            </w:div>
          </w:divsChild>
        </w:div>
        <w:div w:id="1078138658">
          <w:marLeft w:val="0"/>
          <w:marRight w:val="0"/>
          <w:marTop w:val="0"/>
          <w:marBottom w:val="0"/>
          <w:divBdr>
            <w:top w:val="none" w:sz="0" w:space="0" w:color="auto"/>
            <w:left w:val="none" w:sz="0" w:space="0" w:color="auto"/>
            <w:bottom w:val="none" w:sz="0" w:space="0" w:color="auto"/>
            <w:right w:val="none" w:sz="0" w:space="0" w:color="auto"/>
          </w:divBdr>
          <w:divsChild>
            <w:div w:id="307974028">
              <w:marLeft w:val="0"/>
              <w:marRight w:val="0"/>
              <w:marTop w:val="0"/>
              <w:marBottom w:val="0"/>
              <w:divBdr>
                <w:top w:val="none" w:sz="0" w:space="0" w:color="auto"/>
                <w:left w:val="none" w:sz="0" w:space="0" w:color="auto"/>
                <w:bottom w:val="none" w:sz="0" w:space="0" w:color="auto"/>
                <w:right w:val="none" w:sz="0" w:space="0" w:color="auto"/>
              </w:divBdr>
            </w:div>
            <w:div w:id="1177118013">
              <w:marLeft w:val="0"/>
              <w:marRight w:val="0"/>
              <w:marTop w:val="0"/>
              <w:marBottom w:val="0"/>
              <w:divBdr>
                <w:top w:val="none" w:sz="0" w:space="0" w:color="auto"/>
                <w:left w:val="none" w:sz="0" w:space="0" w:color="auto"/>
                <w:bottom w:val="none" w:sz="0" w:space="0" w:color="auto"/>
                <w:right w:val="none" w:sz="0" w:space="0" w:color="auto"/>
              </w:divBdr>
            </w:div>
            <w:div w:id="1786578132">
              <w:marLeft w:val="0"/>
              <w:marRight w:val="0"/>
              <w:marTop w:val="0"/>
              <w:marBottom w:val="0"/>
              <w:divBdr>
                <w:top w:val="none" w:sz="0" w:space="0" w:color="auto"/>
                <w:left w:val="none" w:sz="0" w:space="0" w:color="auto"/>
                <w:bottom w:val="none" w:sz="0" w:space="0" w:color="auto"/>
                <w:right w:val="none" w:sz="0" w:space="0" w:color="auto"/>
              </w:divBdr>
            </w:div>
          </w:divsChild>
        </w:div>
        <w:div w:id="1996298357">
          <w:marLeft w:val="0"/>
          <w:marRight w:val="0"/>
          <w:marTop w:val="0"/>
          <w:marBottom w:val="0"/>
          <w:divBdr>
            <w:top w:val="none" w:sz="0" w:space="0" w:color="auto"/>
            <w:left w:val="none" w:sz="0" w:space="0" w:color="auto"/>
            <w:bottom w:val="none" w:sz="0" w:space="0" w:color="auto"/>
            <w:right w:val="none" w:sz="0" w:space="0" w:color="auto"/>
          </w:divBdr>
          <w:divsChild>
            <w:div w:id="4302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89226">
      <w:bodyDiv w:val="1"/>
      <w:marLeft w:val="0"/>
      <w:marRight w:val="0"/>
      <w:marTop w:val="0"/>
      <w:marBottom w:val="0"/>
      <w:divBdr>
        <w:top w:val="none" w:sz="0" w:space="0" w:color="auto"/>
        <w:left w:val="none" w:sz="0" w:space="0" w:color="auto"/>
        <w:bottom w:val="none" w:sz="0" w:space="0" w:color="auto"/>
        <w:right w:val="none" w:sz="0" w:space="0" w:color="auto"/>
      </w:divBdr>
    </w:div>
    <w:div w:id="343093948">
      <w:bodyDiv w:val="1"/>
      <w:marLeft w:val="0"/>
      <w:marRight w:val="0"/>
      <w:marTop w:val="0"/>
      <w:marBottom w:val="0"/>
      <w:divBdr>
        <w:top w:val="none" w:sz="0" w:space="0" w:color="auto"/>
        <w:left w:val="none" w:sz="0" w:space="0" w:color="auto"/>
        <w:bottom w:val="none" w:sz="0" w:space="0" w:color="auto"/>
        <w:right w:val="none" w:sz="0" w:space="0" w:color="auto"/>
      </w:divBdr>
    </w:div>
    <w:div w:id="349646053">
      <w:bodyDiv w:val="1"/>
      <w:marLeft w:val="0"/>
      <w:marRight w:val="0"/>
      <w:marTop w:val="0"/>
      <w:marBottom w:val="0"/>
      <w:divBdr>
        <w:top w:val="none" w:sz="0" w:space="0" w:color="auto"/>
        <w:left w:val="none" w:sz="0" w:space="0" w:color="auto"/>
        <w:bottom w:val="none" w:sz="0" w:space="0" w:color="auto"/>
        <w:right w:val="none" w:sz="0" w:space="0" w:color="auto"/>
      </w:divBdr>
    </w:div>
    <w:div w:id="413599371">
      <w:bodyDiv w:val="1"/>
      <w:marLeft w:val="0"/>
      <w:marRight w:val="0"/>
      <w:marTop w:val="0"/>
      <w:marBottom w:val="0"/>
      <w:divBdr>
        <w:top w:val="none" w:sz="0" w:space="0" w:color="auto"/>
        <w:left w:val="none" w:sz="0" w:space="0" w:color="auto"/>
        <w:bottom w:val="none" w:sz="0" w:space="0" w:color="auto"/>
        <w:right w:val="none" w:sz="0" w:space="0" w:color="auto"/>
      </w:divBdr>
      <w:divsChild>
        <w:div w:id="126818434">
          <w:marLeft w:val="0"/>
          <w:marRight w:val="0"/>
          <w:marTop w:val="0"/>
          <w:marBottom w:val="0"/>
          <w:divBdr>
            <w:top w:val="none" w:sz="0" w:space="0" w:color="auto"/>
            <w:left w:val="none" w:sz="0" w:space="0" w:color="auto"/>
            <w:bottom w:val="none" w:sz="0" w:space="0" w:color="auto"/>
            <w:right w:val="none" w:sz="0" w:space="0" w:color="auto"/>
          </w:divBdr>
          <w:divsChild>
            <w:div w:id="261764947">
              <w:marLeft w:val="0"/>
              <w:marRight w:val="0"/>
              <w:marTop w:val="0"/>
              <w:marBottom w:val="0"/>
              <w:divBdr>
                <w:top w:val="none" w:sz="0" w:space="0" w:color="auto"/>
                <w:left w:val="none" w:sz="0" w:space="0" w:color="auto"/>
                <w:bottom w:val="none" w:sz="0" w:space="0" w:color="auto"/>
                <w:right w:val="none" w:sz="0" w:space="0" w:color="auto"/>
              </w:divBdr>
            </w:div>
            <w:div w:id="1543205900">
              <w:marLeft w:val="0"/>
              <w:marRight w:val="0"/>
              <w:marTop w:val="0"/>
              <w:marBottom w:val="0"/>
              <w:divBdr>
                <w:top w:val="none" w:sz="0" w:space="0" w:color="auto"/>
                <w:left w:val="none" w:sz="0" w:space="0" w:color="auto"/>
                <w:bottom w:val="none" w:sz="0" w:space="0" w:color="auto"/>
                <w:right w:val="none" w:sz="0" w:space="0" w:color="auto"/>
              </w:divBdr>
            </w:div>
          </w:divsChild>
        </w:div>
        <w:div w:id="291912056">
          <w:marLeft w:val="0"/>
          <w:marRight w:val="0"/>
          <w:marTop w:val="0"/>
          <w:marBottom w:val="0"/>
          <w:divBdr>
            <w:top w:val="none" w:sz="0" w:space="0" w:color="auto"/>
            <w:left w:val="none" w:sz="0" w:space="0" w:color="auto"/>
            <w:bottom w:val="none" w:sz="0" w:space="0" w:color="auto"/>
            <w:right w:val="none" w:sz="0" w:space="0" w:color="auto"/>
          </w:divBdr>
          <w:divsChild>
            <w:div w:id="621426253">
              <w:marLeft w:val="0"/>
              <w:marRight w:val="0"/>
              <w:marTop w:val="0"/>
              <w:marBottom w:val="0"/>
              <w:divBdr>
                <w:top w:val="none" w:sz="0" w:space="0" w:color="auto"/>
                <w:left w:val="none" w:sz="0" w:space="0" w:color="auto"/>
                <w:bottom w:val="none" w:sz="0" w:space="0" w:color="auto"/>
                <w:right w:val="none" w:sz="0" w:space="0" w:color="auto"/>
              </w:divBdr>
            </w:div>
            <w:div w:id="1084571069">
              <w:marLeft w:val="0"/>
              <w:marRight w:val="0"/>
              <w:marTop w:val="0"/>
              <w:marBottom w:val="0"/>
              <w:divBdr>
                <w:top w:val="none" w:sz="0" w:space="0" w:color="auto"/>
                <w:left w:val="none" w:sz="0" w:space="0" w:color="auto"/>
                <w:bottom w:val="none" w:sz="0" w:space="0" w:color="auto"/>
                <w:right w:val="none" w:sz="0" w:space="0" w:color="auto"/>
              </w:divBdr>
            </w:div>
            <w:div w:id="1118455616">
              <w:marLeft w:val="0"/>
              <w:marRight w:val="0"/>
              <w:marTop w:val="0"/>
              <w:marBottom w:val="0"/>
              <w:divBdr>
                <w:top w:val="none" w:sz="0" w:space="0" w:color="auto"/>
                <w:left w:val="none" w:sz="0" w:space="0" w:color="auto"/>
                <w:bottom w:val="none" w:sz="0" w:space="0" w:color="auto"/>
                <w:right w:val="none" w:sz="0" w:space="0" w:color="auto"/>
              </w:divBdr>
            </w:div>
            <w:div w:id="1362319204">
              <w:marLeft w:val="0"/>
              <w:marRight w:val="0"/>
              <w:marTop w:val="0"/>
              <w:marBottom w:val="0"/>
              <w:divBdr>
                <w:top w:val="none" w:sz="0" w:space="0" w:color="auto"/>
                <w:left w:val="none" w:sz="0" w:space="0" w:color="auto"/>
                <w:bottom w:val="none" w:sz="0" w:space="0" w:color="auto"/>
                <w:right w:val="none" w:sz="0" w:space="0" w:color="auto"/>
              </w:divBdr>
            </w:div>
          </w:divsChild>
        </w:div>
        <w:div w:id="324944558">
          <w:marLeft w:val="0"/>
          <w:marRight w:val="0"/>
          <w:marTop w:val="0"/>
          <w:marBottom w:val="0"/>
          <w:divBdr>
            <w:top w:val="none" w:sz="0" w:space="0" w:color="auto"/>
            <w:left w:val="none" w:sz="0" w:space="0" w:color="auto"/>
            <w:bottom w:val="none" w:sz="0" w:space="0" w:color="auto"/>
            <w:right w:val="none" w:sz="0" w:space="0" w:color="auto"/>
          </w:divBdr>
          <w:divsChild>
            <w:div w:id="940719197">
              <w:marLeft w:val="0"/>
              <w:marRight w:val="0"/>
              <w:marTop w:val="0"/>
              <w:marBottom w:val="0"/>
              <w:divBdr>
                <w:top w:val="none" w:sz="0" w:space="0" w:color="auto"/>
                <w:left w:val="none" w:sz="0" w:space="0" w:color="auto"/>
                <w:bottom w:val="none" w:sz="0" w:space="0" w:color="auto"/>
                <w:right w:val="none" w:sz="0" w:space="0" w:color="auto"/>
              </w:divBdr>
            </w:div>
            <w:div w:id="1579172028">
              <w:marLeft w:val="0"/>
              <w:marRight w:val="0"/>
              <w:marTop w:val="0"/>
              <w:marBottom w:val="0"/>
              <w:divBdr>
                <w:top w:val="none" w:sz="0" w:space="0" w:color="auto"/>
                <w:left w:val="none" w:sz="0" w:space="0" w:color="auto"/>
                <w:bottom w:val="none" w:sz="0" w:space="0" w:color="auto"/>
                <w:right w:val="none" w:sz="0" w:space="0" w:color="auto"/>
              </w:divBdr>
            </w:div>
          </w:divsChild>
        </w:div>
        <w:div w:id="330067320">
          <w:marLeft w:val="0"/>
          <w:marRight w:val="0"/>
          <w:marTop w:val="0"/>
          <w:marBottom w:val="0"/>
          <w:divBdr>
            <w:top w:val="none" w:sz="0" w:space="0" w:color="auto"/>
            <w:left w:val="none" w:sz="0" w:space="0" w:color="auto"/>
            <w:bottom w:val="none" w:sz="0" w:space="0" w:color="auto"/>
            <w:right w:val="none" w:sz="0" w:space="0" w:color="auto"/>
          </w:divBdr>
          <w:divsChild>
            <w:div w:id="1146436342">
              <w:marLeft w:val="0"/>
              <w:marRight w:val="0"/>
              <w:marTop w:val="0"/>
              <w:marBottom w:val="0"/>
              <w:divBdr>
                <w:top w:val="none" w:sz="0" w:space="0" w:color="auto"/>
                <w:left w:val="none" w:sz="0" w:space="0" w:color="auto"/>
                <w:bottom w:val="none" w:sz="0" w:space="0" w:color="auto"/>
                <w:right w:val="none" w:sz="0" w:space="0" w:color="auto"/>
              </w:divBdr>
            </w:div>
          </w:divsChild>
        </w:div>
        <w:div w:id="903679436">
          <w:marLeft w:val="0"/>
          <w:marRight w:val="0"/>
          <w:marTop w:val="0"/>
          <w:marBottom w:val="0"/>
          <w:divBdr>
            <w:top w:val="none" w:sz="0" w:space="0" w:color="auto"/>
            <w:left w:val="none" w:sz="0" w:space="0" w:color="auto"/>
            <w:bottom w:val="none" w:sz="0" w:space="0" w:color="auto"/>
            <w:right w:val="none" w:sz="0" w:space="0" w:color="auto"/>
          </w:divBdr>
          <w:divsChild>
            <w:div w:id="1365865675">
              <w:marLeft w:val="0"/>
              <w:marRight w:val="0"/>
              <w:marTop w:val="0"/>
              <w:marBottom w:val="0"/>
              <w:divBdr>
                <w:top w:val="none" w:sz="0" w:space="0" w:color="auto"/>
                <w:left w:val="none" w:sz="0" w:space="0" w:color="auto"/>
                <w:bottom w:val="none" w:sz="0" w:space="0" w:color="auto"/>
                <w:right w:val="none" w:sz="0" w:space="0" w:color="auto"/>
              </w:divBdr>
            </w:div>
          </w:divsChild>
        </w:div>
        <w:div w:id="1365864017">
          <w:marLeft w:val="0"/>
          <w:marRight w:val="0"/>
          <w:marTop w:val="0"/>
          <w:marBottom w:val="0"/>
          <w:divBdr>
            <w:top w:val="none" w:sz="0" w:space="0" w:color="auto"/>
            <w:left w:val="none" w:sz="0" w:space="0" w:color="auto"/>
            <w:bottom w:val="none" w:sz="0" w:space="0" w:color="auto"/>
            <w:right w:val="none" w:sz="0" w:space="0" w:color="auto"/>
          </w:divBdr>
          <w:divsChild>
            <w:div w:id="689842251">
              <w:marLeft w:val="0"/>
              <w:marRight w:val="0"/>
              <w:marTop w:val="0"/>
              <w:marBottom w:val="0"/>
              <w:divBdr>
                <w:top w:val="none" w:sz="0" w:space="0" w:color="auto"/>
                <w:left w:val="none" w:sz="0" w:space="0" w:color="auto"/>
                <w:bottom w:val="none" w:sz="0" w:space="0" w:color="auto"/>
                <w:right w:val="none" w:sz="0" w:space="0" w:color="auto"/>
              </w:divBdr>
            </w:div>
            <w:div w:id="1065296426">
              <w:marLeft w:val="0"/>
              <w:marRight w:val="0"/>
              <w:marTop w:val="0"/>
              <w:marBottom w:val="0"/>
              <w:divBdr>
                <w:top w:val="none" w:sz="0" w:space="0" w:color="auto"/>
                <w:left w:val="none" w:sz="0" w:space="0" w:color="auto"/>
                <w:bottom w:val="none" w:sz="0" w:space="0" w:color="auto"/>
                <w:right w:val="none" w:sz="0" w:space="0" w:color="auto"/>
              </w:divBdr>
            </w:div>
          </w:divsChild>
        </w:div>
        <w:div w:id="2069651004">
          <w:marLeft w:val="0"/>
          <w:marRight w:val="0"/>
          <w:marTop w:val="0"/>
          <w:marBottom w:val="0"/>
          <w:divBdr>
            <w:top w:val="none" w:sz="0" w:space="0" w:color="auto"/>
            <w:left w:val="none" w:sz="0" w:space="0" w:color="auto"/>
            <w:bottom w:val="none" w:sz="0" w:space="0" w:color="auto"/>
            <w:right w:val="none" w:sz="0" w:space="0" w:color="auto"/>
          </w:divBdr>
          <w:divsChild>
            <w:div w:id="872500116">
              <w:marLeft w:val="0"/>
              <w:marRight w:val="0"/>
              <w:marTop w:val="0"/>
              <w:marBottom w:val="0"/>
              <w:divBdr>
                <w:top w:val="none" w:sz="0" w:space="0" w:color="auto"/>
                <w:left w:val="none" w:sz="0" w:space="0" w:color="auto"/>
                <w:bottom w:val="none" w:sz="0" w:space="0" w:color="auto"/>
                <w:right w:val="none" w:sz="0" w:space="0" w:color="auto"/>
              </w:divBdr>
            </w:div>
            <w:div w:id="143439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44703">
      <w:bodyDiv w:val="1"/>
      <w:marLeft w:val="0"/>
      <w:marRight w:val="0"/>
      <w:marTop w:val="0"/>
      <w:marBottom w:val="0"/>
      <w:divBdr>
        <w:top w:val="none" w:sz="0" w:space="0" w:color="auto"/>
        <w:left w:val="none" w:sz="0" w:space="0" w:color="auto"/>
        <w:bottom w:val="none" w:sz="0" w:space="0" w:color="auto"/>
        <w:right w:val="none" w:sz="0" w:space="0" w:color="auto"/>
      </w:divBdr>
      <w:divsChild>
        <w:div w:id="153380592">
          <w:marLeft w:val="0"/>
          <w:marRight w:val="0"/>
          <w:marTop w:val="0"/>
          <w:marBottom w:val="0"/>
          <w:divBdr>
            <w:top w:val="none" w:sz="0" w:space="0" w:color="auto"/>
            <w:left w:val="none" w:sz="0" w:space="0" w:color="auto"/>
            <w:bottom w:val="none" w:sz="0" w:space="0" w:color="auto"/>
            <w:right w:val="none" w:sz="0" w:space="0" w:color="auto"/>
          </w:divBdr>
        </w:div>
        <w:div w:id="916208378">
          <w:marLeft w:val="0"/>
          <w:marRight w:val="0"/>
          <w:marTop w:val="0"/>
          <w:marBottom w:val="0"/>
          <w:divBdr>
            <w:top w:val="none" w:sz="0" w:space="0" w:color="auto"/>
            <w:left w:val="none" w:sz="0" w:space="0" w:color="auto"/>
            <w:bottom w:val="none" w:sz="0" w:space="0" w:color="auto"/>
            <w:right w:val="none" w:sz="0" w:space="0" w:color="auto"/>
          </w:divBdr>
        </w:div>
      </w:divsChild>
    </w:div>
    <w:div w:id="428963015">
      <w:bodyDiv w:val="1"/>
      <w:marLeft w:val="0"/>
      <w:marRight w:val="0"/>
      <w:marTop w:val="0"/>
      <w:marBottom w:val="0"/>
      <w:divBdr>
        <w:top w:val="none" w:sz="0" w:space="0" w:color="auto"/>
        <w:left w:val="none" w:sz="0" w:space="0" w:color="auto"/>
        <w:bottom w:val="none" w:sz="0" w:space="0" w:color="auto"/>
        <w:right w:val="none" w:sz="0" w:space="0" w:color="auto"/>
      </w:divBdr>
    </w:div>
    <w:div w:id="454492275">
      <w:bodyDiv w:val="1"/>
      <w:marLeft w:val="0"/>
      <w:marRight w:val="0"/>
      <w:marTop w:val="0"/>
      <w:marBottom w:val="0"/>
      <w:divBdr>
        <w:top w:val="none" w:sz="0" w:space="0" w:color="auto"/>
        <w:left w:val="none" w:sz="0" w:space="0" w:color="auto"/>
        <w:bottom w:val="none" w:sz="0" w:space="0" w:color="auto"/>
        <w:right w:val="none" w:sz="0" w:space="0" w:color="auto"/>
      </w:divBdr>
      <w:divsChild>
        <w:div w:id="162285189">
          <w:marLeft w:val="0"/>
          <w:marRight w:val="0"/>
          <w:marTop w:val="0"/>
          <w:marBottom w:val="0"/>
          <w:divBdr>
            <w:top w:val="none" w:sz="0" w:space="0" w:color="auto"/>
            <w:left w:val="none" w:sz="0" w:space="0" w:color="auto"/>
            <w:bottom w:val="none" w:sz="0" w:space="0" w:color="auto"/>
            <w:right w:val="none" w:sz="0" w:space="0" w:color="auto"/>
          </w:divBdr>
          <w:divsChild>
            <w:div w:id="1346010301">
              <w:marLeft w:val="0"/>
              <w:marRight w:val="0"/>
              <w:marTop w:val="0"/>
              <w:marBottom w:val="0"/>
              <w:divBdr>
                <w:top w:val="none" w:sz="0" w:space="0" w:color="auto"/>
                <w:left w:val="none" w:sz="0" w:space="0" w:color="auto"/>
                <w:bottom w:val="none" w:sz="0" w:space="0" w:color="auto"/>
                <w:right w:val="none" w:sz="0" w:space="0" w:color="auto"/>
              </w:divBdr>
            </w:div>
            <w:div w:id="1700622086">
              <w:marLeft w:val="0"/>
              <w:marRight w:val="0"/>
              <w:marTop w:val="0"/>
              <w:marBottom w:val="0"/>
              <w:divBdr>
                <w:top w:val="none" w:sz="0" w:space="0" w:color="auto"/>
                <w:left w:val="none" w:sz="0" w:space="0" w:color="auto"/>
                <w:bottom w:val="none" w:sz="0" w:space="0" w:color="auto"/>
                <w:right w:val="none" w:sz="0" w:space="0" w:color="auto"/>
              </w:divBdr>
            </w:div>
          </w:divsChild>
        </w:div>
        <w:div w:id="328794789">
          <w:marLeft w:val="0"/>
          <w:marRight w:val="0"/>
          <w:marTop w:val="0"/>
          <w:marBottom w:val="0"/>
          <w:divBdr>
            <w:top w:val="none" w:sz="0" w:space="0" w:color="auto"/>
            <w:left w:val="none" w:sz="0" w:space="0" w:color="auto"/>
            <w:bottom w:val="none" w:sz="0" w:space="0" w:color="auto"/>
            <w:right w:val="none" w:sz="0" w:space="0" w:color="auto"/>
          </w:divBdr>
          <w:divsChild>
            <w:div w:id="43482837">
              <w:marLeft w:val="0"/>
              <w:marRight w:val="0"/>
              <w:marTop w:val="0"/>
              <w:marBottom w:val="0"/>
              <w:divBdr>
                <w:top w:val="none" w:sz="0" w:space="0" w:color="auto"/>
                <w:left w:val="none" w:sz="0" w:space="0" w:color="auto"/>
                <w:bottom w:val="none" w:sz="0" w:space="0" w:color="auto"/>
                <w:right w:val="none" w:sz="0" w:space="0" w:color="auto"/>
              </w:divBdr>
            </w:div>
            <w:div w:id="1879512429">
              <w:marLeft w:val="0"/>
              <w:marRight w:val="0"/>
              <w:marTop w:val="0"/>
              <w:marBottom w:val="0"/>
              <w:divBdr>
                <w:top w:val="none" w:sz="0" w:space="0" w:color="auto"/>
                <w:left w:val="none" w:sz="0" w:space="0" w:color="auto"/>
                <w:bottom w:val="none" w:sz="0" w:space="0" w:color="auto"/>
                <w:right w:val="none" w:sz="0" w:space="0" w:color="auto"/>
              </w:divBdr>
            </w:div>
          </w:divsChild>
        </w:div>
        <w:div w:id="1033533752">
          <w:marLeft w:val="0"/>
          <w:marRight w:val="0"/>
          <w:marTop w:val="0"/>
          <w:marBottom w:val="0"/>
          <w:divBdr>
            <w:top w:val="none" w:sz="0" w:space="0" w:color="auto"/>
            <w:left w:val="none" w:sz="0" w:space="0" w:color="auto"/>
            <w:bottom w:val="none" w:sz="0" w:space="0" w:color="auto"/>
            <w:right w:val="none" w:sz="0" w:space="0" w:color="auto"/>
          </w:divBdr>
          <w:divsChild>
            <w:div w:id="1237403674">
              <w:marLeft w:val="0"/>
              <w:marRight w:val="0"/>
              <w:marTop w:val="0"/>
              <w:marBottom w:val="0"/>
              <w:divBdr>
                <w:top w:val="none" w:sz="0" w:space="0" w:color="auto"/>
                <w:left w:val="none" w:sz="0" w:space="0" w:color="auto"/>
                <w:bottom w:val="none" w:sz="0" w:space="0" w:color="auto"/>
                <w:right w:val="none" w:sz="0" w:space="0" w:color="auto"/>
              </w:divBdr>
            </w:div>
            <w:div w:id="1559514070">
              <w:marLeft w:val="0"/>
              <w:marRight w:val="0"/>
              <w:marTop w:val="0"/>
              <w:marBottom w:val="0"/>
              <w:divBdr>
                <w:top w:val="none" w:sz="0" w:space="0" w:color="auto"/>
                <w:left w:val="none" w:sz="0" w:space="0" w:color="auto"/>
                <w:bottom w:val="none" w:sz="0" w:space="0" w:color="auto"/>
                <w:right w:val="none" w:sz="0" w:space="0" w:color="auto"/>
              </w:divBdr>
            </w:div>
            <w:div w:id="1878422875">
              <w:marLeft w:val="0"/>
              <w:marRight w:val="0"/>
              <w:marTop w:val="0"/>
              <w:marBottom w:val="0"/>
              <w:divBdr>
                <w:top w:val="none" w:sz="0" w:space="0" w:color="auto"/>
                <w:left w:val="none" w:sz="0" w:space="0" w:color="auto"/>
                <w:bottom w:val="none" w:sz="0" w:space="0" w:color="auto"/>
                <w:right w:val="none" w:sz="0" w:space="0" w:color="auto"/>
              </w:divBdr>
            </w:div>
            <w:div w:id="1913269203">
              <w:marLeft w:val="0"/>
              <w:marRight w:val="0"/>
              <w:marTop w:val="0"/>
              <w:marBottom w:val="0"/>
              <w:divBdr>
                <w:top w:val="none" w:sz="0" w:space="0" w:color="auto"/>
                <w:left w:val="none" w:sz="0" w:space="0" w:color="auto"/>
                <w:bottom w:val="none" w:sz="0" w:space="0" w:color="auto"/>
                <w:right w:val="none" w:sz="0" w:space="0" w:color="auto"/>
              </w:divBdr>
            </w:div>
          </w:divsChild>
        </w:div>
        <w:div w:id="1050111376">
          <w:marLeft w:val="0"/>
          <w:marRight w:val="0"/>
          <w:marTop w:val="0"/>
          <w:marBottom w:val="0"/>
          <w:divBdr>
            <w:top w:val="none" w:sz="0" w:space="0" w:color="auto"/>
            <w:left w:val="none" w:sz="0" w:space="0" w:color="auto"/>
            <w:bottom w:val="none" w:sz="0" w:space="0" w:color="auto"/>
            <w:right w:val="none" w:sz="0" w:space="0" w:color="auto"/>
          </w:divBdr>
          <w:divsChild>
            <w:div w:id="169180276">
              <w:marLeft w:val="0"/>
              <w:marRight w:val="0"/>
              <w:marTop w:val="0"/>
              <w:marBottom w:val="0"/>
              <w:divBdr>
                <w:top w:val="none" w:sz="0" w:space="0" w:color="auto"/>
                <w:left w:val="none" w:sz="0" w:space="0" w:color="auto"/>
                <w:bottom w:val="none" w:sz="0" w:space="0" w:color="auto"/>
                <w:right w:val="none" w:sz="0" w:space="0" w:color="auto"/>
              </w:divBdr>
            </w:div>
            <w:div w:id="461506722">
              <w:marLeft w:val="0"/>
              <w:marRight w:val="0"/>
              <w:marTop w:val="0"/>
              <w:marBottom w:val="0"/>
              <w:divBdr>
                <w:top w:val="none" w:sz="0" w:space="0" w:color="auto"/>
                <w:left w:val="none" w:sz="0" w:space="0" w:color="auto"/>
                <w:bottom w:val="none" w:sz="0" w:space="0" w:color="auto"/>
                <w:right w:val="none" w:sz="0" w:space="0" w:color="auto"/>
              </w:divBdr>
            </w:div>
          </w:divsChild>
        </w:div>
        <w:div w:id="1372270241">
          <w:marLeft w:val="0"/>
          <w:marRight w:val="0"/>
          <w:marTop w:val="0"/>
          <w:marBottom w:val="0"/>
          <w:divBdr>
            <w:top w:val="none" w:sz="0" w:space="0" w:color="auto"/>
            <w:left w:val="none" w:sz="0" w:space="0" w:color="auto"/>
            <w:bottom w:val="none" w:sz="0" w:space="0" w:color="auto"/>
            <w:right w:val="none" w:sz="0" w:space="0" w:color="auto"/>
          </w:divBdr>
          <w:divsChild>
            <w:div w:id="1835411721">
              <w:marLeft w:val="0"/>
              <w:marRight w:val="0"/>
              <w:marTop w:val="0"/>
              <w:marBottom w:val="0"/>
              <w:divBdr>
                <w:top w:val="none" w:sz="0" w:space="0" w:color="auto"/>
                <w:left w:val="none" w:sz="0" w:space="0" w:color="auto"/>
                <w:bottom w:val="none" w:sz="0" w:space="0" w:color="auto"/>
                <w:right w:val="none" w:sz="0" w:space="0" w:color="auto"/>
              </w:divBdr>
            </w:div>
          </w:divsChild>
        </w:div>
        <w:div w:id="1495880947">
          <w:marLeft w:val="0"/>
          <w:marRight w:val="0"/>
          <w:marTop w:val="0"/>
          <w:marBottom w:val="0"/>
          <w:divBdr>
            <w:top w:val="none" w:sz="0" w:space="0" w:color="auto"/>
            <w:left w:val="none" w:sz="0" w:space="0" w:color="auto"/>
            <w:bottom w:val="none" w:sz="0" w:space="0" w:color="auto"/>
            <w:right w:val="none" w:sz="0" w:space="0" w:color="auto"/>
          </w:divBdr>
          <w:divsChild>
            <w:div w:id="101347113">
              <w:marLeft w:val="0"/>
              <w:marRight w:val="0"/>
              <w:marTop w:val="0"/>
              <w:marBottom w:val="0"/>
              <w:divBdr>
                <w:top w:val="none" w:sz="0" w:space="0" w:color="auto"/>
                <w:left w:val="none" w:sz="0" w:space="0" w:color="auto"/>
                <w:bottom w:val="none" w:sz="0" w:space="0" w:color="auto"/>
                <w:right w:val="none" w:sz="0" w:space="0" w:color="auto"/>
              </w:divBdr>
            </w:div>
            <w:div w:id="426193756">
              <w:marLeft w:val="0"/>
              <w:marRight w:val="0"/>
              <w:marTop w:val="0"/>
              <w:marBottom w:val="0"/>
              <w:divBdr>
                <w:top w:val="none" w:sz="0" w:space="0" w:color="auto"/>
                <w:left w:val="none" w:sz="0" w:space="0" w:color="auto"/>
                <w:bottom w:val="none" w:sz="0" w:space="0" w:color="auto"/>
                <w:right w:val="none" w:sz="0" w:space="0" w:color="auto"/>
              </w:divBdr>
            </w:div>
          </w:divsChild>
        </w:div>
        <w:div w:id="1660956755">
          <w:marLeft w:val="0"/>
          <w:marRight w:val="0"/>
          <w:marTop w:val="0"/>
          <w:marBottom w:val="0"/>
          <w:divBdr>
            <w:top w:val="none" w:sz="0" w:space="0" w:color="auto"/>
            <w:left w:val="none" w:sz="0" w:space="0" w:color="auto"/>
            <w:bottom w:val="none" w:sz="0" w:space="0" w:color="auto"/>
            <w:right w:val="none" w:sz="0" w:space="0" w:color="auto"/>
          </w:divBdr>
          <w:divsChild>
            <w:div w:id="80419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0234">
      <w:bodyDiv w:val="1"/>
      <w:marLeft w:val="0"/>
      <w:marRight w:val="0"/>
      <w:marTop w:val="0"/>
      <w:marBottom w:val="0"/>
      <w:divBdr>
        <w:top w:val="none" w:sz="0" w:space="0" w:color="auto"/>
        <w:left w:val="none" w:sz="0" w:space="0" w:color="auto"/>
        <w:bottom w:val="none" w:sz="0" w:space="0" w:color="auto"/>
        <w:right w:val="none" w:sz="0" w:space="0" w:color="auto"/>
      </w:divBdr>
    </w:div>
    <w:div w:id="539167631">
      <w:bodyDiv w:val="1"/>
      <w:marLeft w:val="0"/>
      <w:marRight w:val="0"/>
      <w:marTop w:val="0"/>
      <w:marBottom w:val="0"/>
      <w:divBdr>
        <w:top w:val="none" w:sz="0" w:space="0" w:color="auto"/>
        <w:left w:val="none" w:sz="0" w:space="0" w:color="auto"/>
        <w:bottom w:val="none" w:sz="0" w:space="0" w:color="auto"/>
        <w:right w:val="none" w:sz="0" w:space="0" w:color="auto"/>
      </w:divBdr>
    </w:div>
    <w:div w:id="631522863">
      <w:bodyDiv w:val="1"/>
      <w:marLeft w:val="0"/>
      <w:marRight w:val="0"/>
      <w:marTop w:val="0"/>
      <w:marBottom w:val="0"/>
      <w:divBdr>
        <w:top w:val="none" w:sz="0" w:space="0" w:color="auto"/>
        <w:left w:val="none" w:sz="0" w:space="0" w:color="auto"/>
        <w:bottom w:val="none" w:sz="0" w:space="0" w:color="auto"/>
        <w:right w:val="none" w:sz="0" w:space="0" w:color="auto"/>
      </w:divBdr>
    </w:div>
    <w:div w:id="723479943">
      <w:bodyDiv w:val="1"/>
      <w:marLeft w:val="0"/>
      <w:marRight w:val="0"/>
      <w:marTop w:val="0"/>
      <w:marBottom w:val="0"/>
      <w:divBdr>
        <w:top w:val="none" w:sz="0" w:space="0" w:color="auto"/>
        <w:left w:val="none" w:sz="0" w:space="0" w:color="auto"/>
        <w:bottom w:val="none" w:sz="0" w:space="0" w:color="auto"/>
        <w:right w:val="none" w:sz="0" w:space="0" w:color="auto"/>
      </w:divBdr>
    </w:div>
    <w:div w:id="744958154">
      <w:bodyDiv w:val="1"/>
      <w:marLeft w:val="0"/>
      <w:marRight w:val="0"/>
      <w:marTop w:val="0"/>
      <w:marBottom w:val="0"/>
      <w:divBdr>
        <w:top w:val="none" w:sz="0" w:space="0" w:color="auto"/>
        <w:left w:val="none" w:sz="0" w:space="0" w:color="auto"/>
        <w:bottom w:val="none" w:sz="0" w:space="0" w:color="auto"/>
        <w:right w:val="none" w:sz="0" w:space="0" w:color="auto"/>
      </w:divBdr>
    </w:div>
    <w:div w:id="924803573">
      <w:bodyDiv w:val="1"/>
      <w:marLeft w:val="0"/>
      <w:marRight w:val="0"/>
      <w:marTop w:val="0"/>
      <w:marBottom w:val="0"/>
      <w:divBdr>
        <w:top w:val="none" w:sz="0" w:space="0" w:color="auto"/>
        <w:left w:val="none" w:sz="0" w:space="0" w:color="auto"/>
        <w:bottom w:val="none" w:sz="0" w:space="0" w:color="auto"/>
        <w:right w:val="none" w:sz="0" w:space="0" w:color="auto"/>
      </w:divBdr>
    </w:div>
    <w:div w:id="1131484354">
      <w:bodyDiv w:val="1"/>
      <w:marLeft w:val="0"/>
      <w:marRight w:val="0"/>
      <w:marTop w:val="0"/>
      <w:marBottom w:val="0"/>
      <w:divBdr>
        <w:top w:val="none" w:sz="0" w:space="0" w:color="auto"/>
        <w:left w:val="none" w:sz="0" w:space="0" w:color="auto"/>
        <w:bottom w:val="none" w:sz="0" w:space="0" w:color="auto"/>
        <w:right w:val="none" w:sz="0" w:space="0" w:color="auto"/>
      </w:divBdr>
    </w:div>
    <w:div w:id="1163930052">
      <w:bodyDiv w:val="1"/>
      <w:marLeft w:val="0"/>
      <w:marRight w:val="0"/>
      <w:marTop w:val="0"/>
      <w:marBottom w:val="0"/>
      <w:divBdr>
        <w:top w:val="none" w:sz="0" w:space="0" w:color="auto"/>
        <w:left w:val="none" w:sz="0" w:space="0" w:color="auto"/>
        <w:bottom w:val="none" w:sz="0" w:space="0" w:color="auto"/>
        <w:right w:val="none" w:sz="0" w:space="0" w:color="auto"/>
      </w:divBdr>
    </w:div>
    <w:div w:id="1280144695">
      <w:bodyDiv w:val="1"/>
      <w:marLeft w:val="0"/>
      <w:marRight w:val="0"/>
      <w:marTop w:val="0"/>
      <w:marBottom w:val="0"/>
      <w:divBdr>
        <w:top w:val="none" w:sz="0" w:space="0" w:color="auto"/>
        <w:left w:val="none" w:sz="0" w:space="0" w:color="auto"/>
        <w:bottom w:val="none" w:sz="0" w:space="0" w:color="auto"/>
        <w:right w:val="none" w:sz="0" w:space="0" w:color="auto"/>
      </w:divBdr>
      <w:divsChild>
        <w:div w:id="804355827">
          <w:marLeft w:val="0"/>
          <w:marRight w:val="0"/>
          <w:marTop w:val="0"/>
          <w:marBottom w:val="0"/>
          <w:divBdr>
            <w:top w:val="none" w:sz="0" w:space="0" w:color="auto"/>
            <w:left w:val="none" w:sz="0" w:space="0" w:color="auto"/>
            <w:bottom w:val="single" w:sz="8" w:space="1" w:color="auto"/>
            <w:right w:val="none" w:sz="0" w:space="0" w:color="auto"/>
          </w:divBdr>
        </w:div>
      </w:divsChild>
    </w:div>
    <w:div w:id="1479298703">
      <w:bodyDiv w:val="1"/>
      <w:marLeft w:val="0"/>
      <w:marRight w:val="0"/>
      <w:marTop w:val="0"/>
      <w:marBottom w:val="0"/>
      <w:divBdr>
        <w:top w:val="none" w:sz="0" w:space="0" w:color="auto"/>
        <w:left w:val="none" w:sz="0" w:space="0" w:color="auto"/>
        <w:bottom w:val="none" w:sz="0" w:space="0" w:color="auto"/>
        <w:right w:val="none" w:sz="0" w:space="0" w:color="auto"/>
      </w:divBdr>
    </w:div>
    <w:div w:id="1666395902">
      <w:bodyDiv w:val="1"/>
      <w:marLeft w:val="0"/>
      <w:marRight w:val="0"/>
      <w:marTop w:val="0"/>
      <w:marBottom w:val="0"/>
      <w:divBdr>
        <w:top w:val="none" w:sz="0" w:space="0" w:color="auto"/>
        <w:left w:val="none" w:sz="0" w:space="0" w:color="auto"/>
        <w:bottom w:val="none" w:sz="0" w:space="0" w:color="auto"/>
        <w:right w:val="none" w:sz="0" w:space="0" w:color="auto"/>
      </w:divBdr>
    </w:div>
    <w:div w:id="1712874674">
      <w:bodyDiv w:val="1"/>
      <w:marLeft w:val="0"/>
      <w:marRight w:val="0"/>
      <w:marTop w:val="0"/>
      <w:marBottom w:val="0"/>
      <w:divBdr>
        <w:top w:val="none" w:sz="0" w:space="0" w:color="auto"/>
        <w:left w:val="none" w:sz="0" w:space="0" w:color="auto"/>
        <w:bottom w:val="none" w:sz="0" w:space="0" w:color="auto"/>
        <w:right w:val="none" w:sz="0" w:space="0" w:color="auto"/>
      </w:divBdr>
    </w:div>
    <w:div w:id="1912425923">
      <w:bodyDiv w:val="1"/>
      <w:marLeft w:val="0"/>
      <w:marRight w:val="0"/>
      <w:marTop w:val="0"/>
      <w:marBottom w:val="0"/>
      <w:divBdr>
        <w:top w:val="none" w:sz="0" w:space="0" w:color="auto"/>
        <w:left w:val="none" w:sz="0" w:space="0" w:color="auto"/>
        <w:bottom w:val="none" w:sz="0" w:space="0" w:color="auto"/>
        <w:right w:val="none" w:sz="0" w:space="0" w:color="auto"/>
      </w:divBdr>
    </w:div>
    <w:div w:id="1958831790">
      <w:bodyDiv w:val="1"/>
      <w:marLeft w:val="0"/>
      <w:marRight w:val="0"/>
      <w:marTop w:val="0"/>
      <w:marBottom w:val="0"/>
      <w:divBdr>
        <w:top w:val="none" w:sz="0" w:space="0" w:color="auto"/>
        <w:left w:val="none" w:sz="0" w:space="0" w:color="auto"/>
        <w:bottom w:val="none" w:sz="0" w:space="0" w:color="auto"/>
        <w:right w:val="none" w:sz="0" w:space="0" w:color="auto"/>
      </w:divBdr>
    </w:div>
    <w:div w:id="1981297990">
      <w:bodyDiv w:val="1"/>
      <w:marLeft w:val="0"/>
      <w:marRight w:val="0"/>
      <w:marTop w:val="0"/>
      <w:marBottom w:val="0"/>
      <w:divBdr>
        <w:top w:val="none" w:sz="0" w:space="0" w:color="auto"/>
        <w:left w:val="none" w:sz="0" w:space="0" w:color="auto"/>
        <w:bottom w:val="none" w:sz="0" w:space="0" w:color="auto"/>
        <w:right w:val="none" w:sz="0" w:space="0" w:color="auto"/>
      </w:divBdr>
      <w:divsChild>
        <w:div w:id="52433834">
          <w:marLeft w:val="0"/>
          <w:marRight w:val="0"/>
          <w:marTop w:val="0"/>
          <w:marBottom w:val="0"/>
          <w:divBdr>
            <w:top w:val="none" w:sz="0" w:space="0" w:color="auto"/>
            <w:left w:val="none" w:sz="0" w:space="0" w:color="auto"/>
            <w:bottom w:val="none" w:sz="0" w:space="0" w:color="auto"/>
            <w:right w:val="none" w:sz="0" w:space="0" w:color="auto"/>
          </w:divBdr>
        </w:div>
        <w:div w:id="1582833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svg"/><Relationship Id="rId117" Type="http://schemas.openxmlformats.org/officeDocument/2006/relationships/header" Target="header26.xml"/><Relationship Id="rId21" Type="http://schemas.openxmlformats.org/officeDocument/2006/relationships/image" Target="media/image5.png"/><Relationship Id="rId42" Type="http://schemas.openxmlformats.org/officeDocument/2006/relationships/image" Target="media/image22.png"/><Relationship Id="rId47" Type="http://schemas.microsoft.com/office/2007/relationships/hdphoto" Target="media/hdphoto7.wdp"/><Relationship Id="rId63" Type="http://schemas.openxmlformats.org/officeDocument/2006/relationships/header" Target="header7.xml"/><Relationship Id="rId68" Type="http://schemas.openxmlformats.org/officeDocument/2006/relationships/hyperlink" Target="https://menu.dffh.vic.gov.au/" TargetMode="External"/><Relationship Id="rId84" Type="http://schemas.openxmlformats.org/officeDocument/2006/relationships/header" Target="header13.xml"/><Relationship Id="rId89" Type="http://schemas.openxmlformats.org/officeDocument/2006/relationships/header" Target="header15.xml"/><Relationship Id="rId112" Type="http://schemas.openxmlformats.org/officeDocument/2006/relationships/footer" Target="footer32.xml"/><Relationship Id="rId133" Type="http://schemas.openxmlformats.org/officeDocument/2006/relationships/hyperlink" Target="mailto:" TargetMode="External"/><Relationship Id="rId138" Type="http://schemas.openxmlformats.org/officeDocument/2006/relationships/header" Target="header33.xml"/><Relationship Id="rId154" Type="http://schemas.openxmlformats.org/officeDocument/2006/relationships/header" Target="header36.xml"/><Relationship Id="rId16" Type="http://schemas.openxmlformats.org/officeDocument/2006/relationships/image" Target="media/image3.emf"/><Relationship Id="rId107" Type="http://schemas.openxmlformats.org/officeDocument/2006/relationships/hyperlink" Target="https://www.latrobe.edu.au/research/ceri/research" TargetMode="External"/><Relationship Id="rId11" Type="http://schemas.openxmlformats.org/officeDocument/2006/relationships/image" Target="media/image1.jpg"/><Relationship Id="rId32" Type="http://schemas.openxmlformats.org/officeDocument/2006/relationships/image" Target="media/image16.svg"/><Relationship Id="rId37" Type="http://schemas.microsoft.com/office/2007/relationships/hdphoto" Target="media/hdphoto2.wdp"/><Relationship Id="rId53" Type="http://schemas.openxmlformats.org/officeDocument/2006/relationships/header" Target="header4.xml"/><Relationship Id="rId58" Type="http://schemas.openxmlformats.org/officeDocument/2006/relationships/image" Target="media/image27.png"/><Relationship Id="rId74" Type="http://schemas.openxmlformats.org/officeDocument/2006/relationships/footer" Target="footer12.xml"/><Relationship Id="rId79" Type="http://schemas.openxmlformats.org/officeDocument/2006/relationships/footer" Target="footer15.xml"/><Relationship Id="rId102" Type="http://schemas.openxmlformats.org/officeDocument/2006/relationships/footer" Target="footer28.xml"/><Relationship Id="rId123" Type="http://schemas.openxmlformats.org/officeDocument/2006/relationships/header" Target="header29.xml"/><Relationship Id="rId128" Type="http://schemas.openxmlformats.org/officeDocument/2006/relationships/footer" Target="footer40.xml"/><Relationship Id="rId144" Type="http://schemas.openxmlformats.org/officeDocument/2006/relationships/image" Target="media/image29.jpg"/><Relationship Id="rId149" Type="http://schemas.openxmlformats.org/officeDocument/2006/relationships/footer" Target="footer46.xml"/><Relationship Id="rId5" Type="http://schemas.openxmlformats.org/officeDocument/2006/relationships/numbering" Target="numbering.xml"/><Relationship Id="rId90" Type="http://schemas.openxmlformats.org/officeDocument/2006/relationships/footer" Target="footer22.xml"/><Relationship Id="rId95" Type="http://schemas.openxmlformats.org/officeDocument/2006/relationships/header" Target="header18.xml"/><Relationship Id="rId22" Type="http://schemas.openxmlformats.org/officeDocument/2006/relationships/image" Target="media/image6.svg"/><Relationship Id="rId27" Type="http://schemas.openxmlformats.org/officeDocument/2006/relationships/image" Target="media/image11.png"/><Relationship Id="rId43" Type="http://schemas.microsoft.com/office/2007/relationships/hdphoto" Target="media/hdphoto5.wdp"/><Relationship Id="rId48" Type="http://schemas.openxmlformats.org/officeDocument/2006/relationships/image" Target="media/image25.png"/><Relationship Id="rId64" Type="http://schemas.openxmlformats.org/officeDocument/2006/relationships/footer" Target="footer6.xml"/><Relationship Id="rId69" Type="http://schemas.openxmlformats.org/officeDocument/2006/relationships/header" Target="header9.xml"/><Relationship Id="rId113" Type="http://schemas.openxmlformats.org/officeDocument/2006/relationships/hyperlink" Target="https://www.tenders.vic.gov.au/" TargetMode="External"/><Relationship Id="rId118" Type="http://schemas.openxmlformats.org/officeDocument/2006/relationships/footer" Target="footer35.xml"/><Relationship Id="rId134" Type="http://schemas.openxmlformats.org/officeDocument/2006/relationships/hyperlink" Target="mailto:public.interest.disclosures@dffh.vic.gov.au" TargetMode="External"/><Relationship Id="rId139" Type="http://schemas.openxmlformats.org/officeDocument/2006/relationships/footer" Target="footer42.xml"/><Relationship Id="rId80" Type="http://schemas.openxmlformats.org/officeDocument/2006/relationships/footer" Target="footer16.xml"/><Relationship Id="rId85" Type="http://schemas.openxmlformats.org/officeDocument/2006/relationships/footer" Target="footer19.xml"/><Relationship Id="rId150" Type="http://schemas.openxmlformats.org/officeDocument/2006/relationships/footer" Target="footer47.xml"/><Relationship Id="rId155" Type="http://schemas.openxmlformats.org/officeDocument/2006/relationships/footer" Target="footer50.xml"/><Relationship Id="rId12" Type="http://schemas.openxmlformats.org/officeDocument/2006/relationships/hyperlink" Target="mailto:DFFHcorporate.reporting@dffh.vic.gov.au" TargetMode="External"/><Relationship Id="rId17" Type="http://schemas.openxmlformats.org/officeDocument/2006/relationships/image" Target="media/image4.png"/><Relationship Id="rId33" Type="http://schemas.openxmlformats.org/officeDocument/2006/relationships/image" Target="media/image17.png"/><Relationship Id="rId38" Type="http://schemas.openxmlformats.org/officeDocument/2006/relationships/image" Target="media/image20.png"/><Relationship Id="rId59" Type="http://schemas.openxmlformats.org/officeDocument/2006/relationships/header" Target="header5.xml"/><Relationship Id="rId103" Type="http://schemas.openxmlformats.org/officeDocument/2006/relationships/header" Target="header22.xml"/><Relationship Id="rId108" Type="http://schemas.openxmlformats.org/officeDocument/2006/relationships/header" Target="header23.xml"/><Relationship Id="rId124" Type="http://schemas.openxmlformats.org/officeDocument/2006/relationships/footer" Target="footer38.xml"/><Relationship Id="rId129" Type="http://schemas.openxmlformats.org/officeDocument/2006/relationships/header" Target="header32.xml"/><Relationship Id="rId20" Type="http://schemas.openxmlformats.org/officeDocument/2006/relationships/header" Target="header2.xml"/><Relationship Id="rId41" Type="http://schemas.microsoft.com/office/2007/relationships/hdphoto" Target="media/hdphoto4.wdp"/><Relationship Id="rId54" Type="http://schemas.openxmlformats.org/officeDocument/2006/relationships/footer" Target="footer3.xml"/><Relationship Id="rId62" Type="http://schemas.openxmlformats.org/officeDocument/2006/relationships/footer" Target="footer5.xml"/><Relationship Id="rId70" Type="http://schemas.openxmlformats.org/officeDocument/2006/relationships/footer" Target="footer9.xml"/><Relationship Id="rId75" Type="http://schemas.openxmlformats.org/officeDocument/2006/relationships/footer" Target="footer13.xml"/><Relationship Id="rId83" Type="http://schemas.openxmlformats.org/officeDocument/2006/relationships/footer" Target="footer18.xml"/><Relationship Id="rId88" Type="http://schemas.openxmlformats.org/officeDocument/2006/relationships/footer" Target="footer21.xml"/><Relationship Id="rId91" Type="http://schemas.openxmlformats.org/officeDocument/2006/relationships/footer" Target="footer23.xml"/><Relationship Id="rId96" Type="http://schemas.openxmlformats.org/officeDocument/2006/relationships/footer" Target="footer25.xml"/><Relationship Id="rId111" Type="http://schemas.openxmlformats.org/officeDocument/2006/relationships/header" Target="header24.xml"/><Relationship Id="rId132" Type="http://schemas.openxmlformats.org/officeDocument/2006/relationships/hyperlink" Target="https://www.dffh.vic.gov.au/public-interest-disclosure" TargetMode="External"/><Relationship Id="rId140" Type="http://schemas.openxmlformats.org/officeDocument/2006/relationships/footer" Target="footer43.xml"/><Relationship Id="rId145" Type="http://schemas.openxmlformats.org/officeDocument/2006/relationships/image" Target="media/image30.jpg"/><Relationship Id="rId153"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dffh.vic.gov.au/publications/annual-reports-department-families-fairness-housing" TargetMode="External"/><Relationship Id="rId23" Type="http://schemas.openxmlformats.org/officeDocument/2006/relationships/image" Target="media/image7.png"/><Relationship Id="rId28" Type="http://schemas.openxmlformats.org/officeDocument/2006/relationships/image" Target="media/image12.svg"/><Relationship Id="rId36" Type="http://schemas.openxmlformats.org/officeDocument/2006/relationships/image" Target="media/image19.png"/><Relationship Id="rId49" Type="http://schemas.microsoft.com/office/2007/relationships/hdphoto" Target="media/hdphoto8.wdp"/><Relationship Id="rId57" Type="http://schemas.openxmlformats.org/officeDocument/2006/relationships/image" Target="media/image26.png"/><Relationship Id="rId106" Type="http://schemas.openxmlformats.org/officeDocument/2006/relationships/hyperlink" Target="https://www.genderequalitycommission.vic.gov.au/independent-review-2023-reporting-process" TargetMode="External"/><Relationship Id="rId114" Type="http://schemas.openxmlformats.org/officeDocument/2006/relationships/header" Target="header25.xml"/><Relationship Id="rId119" Type="http://schemas.openxmlformats.org/officeDocument/2006/relationships/header" Target="header27.xml"/><Relationship Id="rId127" Type="http://schemas.openxmlformats.org/officeDocument/2006/relationships/footer" Target="footer39.xml"/><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3.png"/><Relationship Id="rId52" Type="http://schemas.openxmlformats.org/officeDocument/2006/relationships/footer" Target="footer2.xml"/><Relationship Id="rId60" Type="http://schemas.openxmlformats.org/officeDocument/2006/relationships/footer" Target="footer4.xml"/><Relationship Id="rId65" Type="http://schemas.openxmlformats.org/officeDocument/2006/relationships/footer" Target="footer7.xml"/><Relationship Id="rId73" Type="http://schemas.openxmlformats.org/officeDocument/2006/relationships/footer" Target="footer11.xml"/><Relationship Id="rId78" Type="http://schemas.openxmlformats.org/officeDocument/2006/relationships/header" Target="header11.xml"/><Relationship Id="rId81" Type="http://schemas.openxmlformats.org/officeDocument/2006/relationships/header" Target="header12.xml"/><Relationship Id="rId86" Type="http://schemas.openxmlformats.org/officeDocument/2006/relationships/footer" Target="footer20.xml"/><Relationship Id="rId94" Type="http://schemas.openxmlformats.org/officeDocument/2006/relationships/header" Target="header17.xml"/><Relationship Id="rId99" Type="http://schemas.openxmlformats.org/officeDocument/2006/relationships/footer" Target="footer27.xml"/><Relationship Id="rId101" Type="http://schemas.openxmlformats.org/officeDocument/2006/relationships/header" Target="header21.xml"/><Relationship Id="rId122" Type="http://schemas.openxmlformats.org/officeDocument/2006/relationships/footer" Target="footer37.xml"/><Relationship Id="rId130" Type="http://schemas.openxmlformats.org/officeDocument/2006/relationships/footer" Target="footer41.xml"/><Relationship Id="rId135" Type="http://schemas.openxmlformats.org/officeDocument/2006/relationships/hyperlink" Target="https://www.data.vic.gov.au" TargetMode="External"/><Relationship Id="rId143" Type="http://schemas.openxmlformats.org/officeDocument/2006/relationships/image" Target="media/image28.png"/><Relationship Id="rId148" Type="http://schemas.openxmlformats.org/officeDocument/2006/relationships/footer" Target="footer45.xml"/><Relationship Id="rId151" Type="http://schemas.openxmlformats.org/officeDocument/2006/relationships/footer" Target="footer48.xml"/><Relationship Id="rId156" Type="http://schemas.openxmlformats.org/officeDocument/2006/relationships/hyperlink" Target="mailto:DFFHcorporate.reporting@dffh.vic.gov.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microsoft.com/office/2007/relationships/hdphoto" Target="media/hdphoto1.wdp"/><Relationship Id="rId39" Type="http://schemas.microsoft.com/office/2007/relationships/hdphoto" Target="media/hdphoto3.wdp"/><Relationship Id="rId109" Type="http://schemas.openxmlformats.org/officeDocument/2006/relationships/footer" Target="footer30.xml"/><Relationship Id="rId34" Type="http://schemas.openxmlformats.org/officeDocument/2006/relationships/image" Target="media/image18.svg"/><Relationship Id="rId50" Type="http://schemas.openxmlformats.org/officeDocument/2006/relationships/header" Target="header3.xml"/><Relationship Id="rId55" Type="http://schemas.openxmlformats.org/officeDocument/2006/relationships/hyperlink" Target="https://www.dffh.vic.gov.au/our-leadership-charter" TargetMode="External"/><Relationship Id="rId76" Type="http://schemas.openxmlformats.org/officeDocument/2006/relationships/footer" Target="footer14.xml"/><Relationship Id="rId97" Type="http://schemas.openxmlformats.org/officeDocument/2006/relationships/footer" Target="footer26.xml"/><Relationship Id="rId104" Type="http://schemas.openxmlformats.org/officeDocument/2006/relationships/footer" Target="footer29.xml"/><Relationship Id="rId120" Type="http://schemas.openxmlformats.org/officeDocument/2006/relationships/header" Target="header28.xml"/><Relationship Id="rId125" Type="http://schemas.openxmlformats.org/officeDocument/2006/relationships/header" Target="header30.xml"/><Relationship Id="rId141" Type="http://schemas.openxmlformats.org/officeDocument/2006/relationships/header" Target="header34.xml"/><Relationship Id="rId146" Type="http://schemas.openxmlformats.org/officeDocument/2006/relationships/image" Target="media/image31.jpg"/><Relationship Id="rId7" Type="http://schemas.openxmlformats.org/officeDocument/2006/relationships/settings" Target="settings.xml"/><Relationship Id="rId71" Type="http://schemas.openxmlformats.org/officeDocument/2006/relationships/header" Target="header10.xml"/><Relationship Id="rId92" Type="http://schemas.openxmlformats.org/officeDocument/2006/relationships/header" Target="header16.xm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svg"/><Relationship Id="rId40" Type="http://schemas.openxmlformats.org/officeDocument/2006/relationships/image" Target="media/image21.png"/><Relationship Id="rId45" Type="http://schemas.microsoft.com/office/2007/relationships/hdphoto" Target="media/hdphoto6.wdp"/><Relationship Id="rId66" Type="http://schemas.openxmlformats.org/officeDocument/2006/relationships/header" Target="header8.xml"/><Relationship Id="rId87" Type="http://schemas.openxmlformats.org/officeDocument/2006/relationships/header" Target="header14.xml"/><Relationship Id="rId110" Type="http://schemas.openxmlformats.org/officeDocument/2006/relationships/footer" Target="footer31.xml"/><Relationship Id="rId115" Type="http://schemas.openxmlformats.org/officeDocument/2006/relationships/footer" Target="footer33.xml"/><Relationship Id="rId131" Type="http://schemas.openxmlformats.org/officeDocument/2006/relationships/hyperlink" Target="http://www.ibac.vic.gov.au" TargetMode="External"/><Relationship Id="rId136" Type="http://schemas.openxmlformats.org/officeDocument/2006/relationships/hyperlink" Target="http://www.dffh.vic.gov.au/publications/annual-report" TargetMode="External"/><Relationship Id="rId157" Type="http://schemas.openxmlformats.org/officeDocument/2006/relationships/fontTable" Target="fontTable.xml"/><Relationship Id="rId61" Type="http://schemas.openxmlformats.org/officeDocument/2006/relationships/header" Target="header6.xml"/><Relationship Id="rId82" Type="http://schemas.openxmlformats.org/officeDocument/2006/relationships/footer" Target="footer17.xml"/><Relationship Id="rId152" Type="http://schemas.openxmlformats.org/officeDocument/2006/relationships/footer" Target="footer49.xml"/><Relationship Id="rId19" Type="http://schemas.openxmlformats.org/officeDocument/2006/relationships/header" Target="header1.xml"/><Relationship Id="rId14" Type="http://schemas.openxmlformats.org/officeDocument/2006/relationships/hyperlink" Target="https://creativecommons.org/licenses/by/4.0/legalcode" TargetMode="External"/><Relationship Id="rId30" Type="http://schemas.openxmlformats.org/officeDocument/2006/relationships/image" Target="media/image14.svg"/><Relationship Id="rId35" Type="http://schemas.openxmlformats.org/officeDocument/2006/relationships/hyperlink" Target="https://vahhf.org.au/resources/ahhf-publications" TargetMode="External"/><Relationship Id="rId56" Type="http://schemas.openxmlformats.org/officeDocument/2006/relationships/hyperlink" Target="https://www.dffh.vic.gov.au/our-structure" TargetMode="External"/><Relationship Id="rId77" Type="http://schemas.openxmlformats.org/officeDocument/2006/relationships/hyperlink" Target="file:///C:/Users/vidckqs/AppData/Local/Microsoft/Windows/INetCache/Content.MSO/4AF3540E.xlsx" TargetMode="External"/><Relationship Id="rId100" Type="http://schemas.openxmlformats.org/officeDocument/2006/relationships/header" Target="header20.xml"/><Relationship Id="rId105" Type="http://schemas.openxmlformats.org/officeDocument/2006/relationships/hyperlink" Target="https://providers.dffh.vic.gov.au/cims" TargetMode="External"/><Relationship Id="rId126" Type="http://schemas.openxmlformats.org/officeDocument/2006/relationships/header" Target="header31.xml"/><Relationship Id="rId147" Type="http://schemas.openxmlformats.org/officeDocument/2006/relationships/image" Target="media/image32.jpeg"/><Relationship Id="rId8" Type="http://schemas.openxmlformats.org/officeDocument/2006/relationships/webSettings" Target="webSettings.xml"/><Relationship Id="rId51" Type="http://schemas.openxmlformats.org/officeDocument/2006/relationships/footer" Target="footer1.xml"/><Relationship Id="rId72" Type="http://schemas.openxmlformats.org/officeDocument/2006/relationships/footer" Target="footer10.xml"/><Relationship Id="rId93" Type="http://schemas.openxmlformats.org/officeDocument/2006/relationships/footer" Target="footer24.xml"/><Relationship Id="rId98" Type="http://schemas.openxmlformats.org/officeDocument/2006/relationships/header" Target="header19.xml"/><Relationship Id="rId121" Type="http://schemas.openxmlformats.org/officeDocument/2006/relationships/footer" Target="footer36.xml"/><Relationship Id="rId142" Type="http://schemas.openxmlformats.org/officeDocument/2006/relationships/footer" Target="footer44.xml"/><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image" Target="media/image24.png"/><Relationship Id="rId67" Type="http://schemas.openxmlformats.org/officeDocument/2006/relationships/footer" Target="footer8.xml"/><Relationship Id="rId116" Type="http://schemas.openxmlformats.org/officeDocument/2006/relationships/footer" Target="footer34.xml"/><Relationship Id="rId137" Type="http://schemas.openxmlformats.org/officeDocument/2006/relationships/hyperlink" Target="https://ovic.vic.gov.au" TargetMode="External"/><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DFFH Annual Report 2025">
      <a:dk1>
        <a:sysClr val="windowText" lastClr="000000"/>
      </a:dk1>
      <a:lt1>
        <a:sysClr val="window" lastClr="FFFFFF"/>
      </a:lt1>
      <a:dk2>
        <a:srgbClr val="00645F"/>
      </a:dk2>
      <a:lt2>
        <a:srgbClr val="E7E6E6"/>
      </a:lt2>
      <a:accent1>
        <a:srgbClr val="00645F"/>
      </a:accent1>
      <a:accent2>
        <a:srgbClr val="53565A"/>
      </a:accent2>
      <a:accent3>
        <a:srgbClr val="E35205"/>
      </a:accent3>
      <a:accent4>
        <a:srgbClr val="EEEEEF"/>
      </a:accent4>
      <a:accent5>
        <a:srgbClr val="A6A6A6"/>
      </a:accent5>
      <a:accent6>
        <a:srgbClr val="00645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D9C3A5-9FB2-7143-A6AB-3B96B2BB2006}">
  <we:reference id="e6f93f79-d76c-4e30-ae6c-4feecf57b76e" version="2.2.7.0" store="EXCatalog" storeType="EXCatalog"/>
  <we:alternateReferences>
    <we:reference id="WA104380773" version="2.2.7.0" store="en-A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8e8aa0b-93a9-42f6-9fcf-48fa5436d759" xsi:nil="true"/>
    <lcf76f155ced4ddcb4097134ff3c332f xmlns="6b86ac80-c944-46d7-8abb-a27332fc2530">
      <Terms xmlns="http://schemas.microsoft.com/office/infopath/2007/PartnerControls"/>
    </lcf76f155ced4ddcb4097134ff3c332f>
    <Edit_x0020_item xmlns="6b86ac80-c944-46d7-8abb-a27332fc2530" xsi:nil="true"/>
    <Comment xmlns="6b86ac80-c944-46d7-8abb-a27332fc2530" xsi:nil="true"/>
    <dateandtime xmlns="6b86ac80-c944-46d7-8abb-a27332fc2530">2025-10-29T13:32:28Z</dateandtime>
    <Portfolio xmlns="6b86ac80-c944-46d7-8abb-a27332fc2530" xsi:nil="true"/>
    <Comments xmlns="6b86ac80-c944-46d7-8abb-a27332fc2530" xsi:nil="true"/>
    <SecretaryReview xmlns="6b86ac80-c944-46d7-8abb-a27332fc253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66D8A972E7D544B000403D9E9A334F" ma:contentTypeVersion="28" ma:contentTypeDescription="Create a new document." ma:contentTypeScope="" ma:versionID="64d098c18b6b5512c49eb351ee0239bc">
  <xsd:schema xmlns:xsd="http://www.w3.org/2001/XMLSchema" xmlns:xs="http://www.w3.org/2001/XMLSchema" xmlns:p="http://schemas.microsoft.com/office/2006/metadata/properties" xmlns:ns2="6b86ac80-c944-46d7-8abb-a27332fc2530" xmlns:ns3="48e8aa0b-93a9-42f6-9fcf-48fa5436d759" targetNamespace="http://schemas.microsoft.com/office/2006/metadata/properties" ma:root="true" ma:fieldsID="6a87480103346a27b5c1cd12f9ea5d72" ns2:_="" ns3:_="">
    <xsd:import namespace="6b86ac80-c944-46d7-8abb-a27332fc2530"/>
    <xsd:import namespace="48e8aa0b-93a9-42f6-9fcf-48fa5436d759"/>
    <xsd:element name="properties">
      <xsd:complexType>
        <xsd:sequence>
          <xsd:element name="documentManagement">
            <xsd:complexType>
              <xsd:all>
                <xsd:element ref="ns2:SecretaryReview" minOccurs="0"/>
                <xsd:element ref="ns2:Comments" minOccurs="0"/>
                <xsd:element ref="ns2:dateandtime" minOccurs="0"/>
                <xsd:element ref="ns2:Portfolio" minOccurs="0"/>
                <xsd:element ref="ns2:Edit_x0020_item"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Comment"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6ac80-c944-46d7-8abb-a27332fc2530" elementFormDefault="qualified">
    <xsd:import namespace="http://schemas.microsoft.com/office/2006/documentManagement/types"/>
    <xsd:import namespace="http://schemas.microsoft.com/office/infopath/2007/PartnerControls"/>
    <xsd:element name="SecretaryReview" ma:index="2" nillable="true" ma:displayName="Secretary Review" ma:format="Dropdown" ma:internalName="SecretaryReview">
      <xsd:simpleType>
        <xsd:restriction base="dms:Choice">
          <xsd:enumeration value="Approved"/>
          <xsd:enumeration value="Reviewed"/>
          <xsd:enumeration value="Redraft"/>
        </xsd:restriction>
      </xsd:simpleType>
    </xsd:element>
    <xsd:element name="Comments" ma:index="3" nillable="true" ma:displayName="Comments" ma:format="Dropdown" ma:internalName="Comments">
      <xsd:simpleType>
        <xsd:restriction base="dms:Text">
          <xsd:maxLength value="255"/>
        </xsd:restriction>
      </xsd:simpleType>
    </xsd:element>
    <xsd:element name="dateandtime" ma:index="4" nillable="true" ma:displayName="date and time" ma:default="[today]" ma:description="description" ma:format="DateOnly" ma:internalName="dateandtime">
      <xsd:simpleType>
        <xsd:restriction base="dms:DateTime"/>
      </xsd:simpleType>
    </xsd:element>
    <xsd:element name="Portfolio" ma:index="5" nillable="true" ma:displayName="Portfolio" ma:format="Dropdown" ma:internalName="Portfolio">
      <xsd:simpleType>
        <xsd:restriction base="dms:Choice">
          <xsd:enumeration value="Ageing"/>
          <xsd:enumeration value="Carers and Volunteers"/>
          <xsd:enumeration value="Children"/>
          <xsd:enumeration value="Corporate"/>
          <xsd:enumeration value="Disability"/>
          <xsd:enumeration value="Equality"/>
          <xsd:enumeration value="Housing"/>
          <xsd:enumeration value="Prevention of Family Violence"/>
          <xsd:enumeration value="Veterans"/>
          <xsd:enumeration value="Women"/>
          <xsd:enumeration value="Youth"/>
        </xsd:restriction>
      </xsd:simpleType>
    </xsd:element>
    <xsd:element name="Edit_x0020_item" ma:index="6" nillable="true" ma:displayName="Edit item" ma:internalName="Edit_x0020_item">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omment" ma:index="26" nillable="true" ma:displayName="Comment" ma:format="Dropdown" ma:internalName="Comment">
      <xsd:simpleType>
        <xsd:restriction base="dms:Note">
          <xsd:maxLength value="255"/>
        </xsd:restriction>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e8aa0b-93a9-42f6-9fcf-48fa5436d75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b6138b2-8cdc-441f-bede-39b978309216}" ma:internalName="TaxCatchAll" ma:showField="CatchAllData" ma:web="48e8aa0b-93a9-42f6-9fcf-48fa5436d75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E5232-B6F5-406C-9DAD-9B9D8C502C78}">
  <ds:schemaRefs>
    <ds:schemaRef ds:uri="http://schemas.microsoft.com/sharepoint/v3/contenttype/forms"/>
  </ds:schemaRefs>
</ds:datastoreItem>
</file>

<file path=customXml/itemProps2.xml><?xml version="1.0" encoding="utf-8"?>
<ds:datastoreItem xmlns:ds="http://schemas.openxmlformats.org/officeDocument/2006/customXml" ds:itemID="{6E0139E9-BAC8-4CD3-95C4-6A0642C774C9}">
  <ds:schemaRefs>
    <ds:schemaRef ds:uri="http://purl.org/dc/terms/"/>
    <ds:schemaRef ds:uri="48e8aa0b-93a9-42f6-9fcf-48fa5436d759"/>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6b86ac80-c944-46d7-8abb-a27332fc2530"/>
    <ds:schemaRef ds:uri="http://www.w3.org/XML/1998/namespace"/>
    <ds:schemaRef ds:uri="http://purl.org/dc/dcmitype/"/>
  </ds:schemaRefs>
</ds:datastoreItem>
</file>

<file path=customXml/itemProps3.xml><?xml version="1.0" encoding="utf-8"?>
<ds:datastoreItem xmlns:ds="http://schemas.openxmlformats.org/officeDocument/2006/customXml" ds:itemID="{9593278F-D7FB-4301-97F2-B62C2730DFF2}">
  <ds:schemaRefs>
    <ds:schemaRef ds:uri="http://schemas.openxmlformats.org/officeDocument/2006/bibliography"/>
  </ds:schemaRefs>
</ds:datastoreItem>
</file>

<file path=customXml/itemProps4.xml><?xml version="1.0" encoding="utf-8"?>
<ds:datastoreItem xmlns:ds="http://schemas.openxmlformats.org/officeDocument/2006/customXml" ds:itemID="{508A805C-2AF1-4F2F-8020-6FFB6CB90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6ac80-c944-46d7-8abb-a27332fc2530"/>
    <ds:schemaRef ds:uri="48e8aa0b-93a9-42f6-9fcf-48fa5436d7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241</Pages>
  <Words>90040</Words>
  <Characters>513229</Characters>
  <Application>Microsoft Office Word</Application>
  <DocSecurity>0</DocSecurity>
  <Lines>4276</Lines>
  <Paragraphs>1204</Paragraphs>
  <ScaleCrop>false</ScaleCrop>
  <HeadingPairs>
    <vt:vector size="2" baseType="variant">
      <vt:variant>
        <vt:lpstr>Title</vt:lpstr>
      </vt:variant>
      <vt:variant>
        <vt:i4>1</vt:i4>
      </vt:variant>
    </vt:vector>
  </HeadingPairs>
  <TitlesOfParts>
    <vt:vector size="1" baseType="lpstr">
      <vt:lpstr>Department of  Families, Fairness and Housing annual report 2024–25</vt:lpstr>
    </vt:vector>
  </TitlesOfParts>
  <Manager/>
  <Company>State of Victoria</Company>
  <LinksUpToDate>false</LinksUpToDate>
  <CharactersWithSpaces>602065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Families, Fairness and Housing annual report 2024–25</dc:title>
  <dc:subject>Annual report of the Victorian Department of Families, Fairness and Housing</dc:subject>
  <dc:creator>Department of Families, Fairness and Housing</dc:creator>
  <cp:keywords>corporate, reporting, annual, report, 2024–25</cp:keywords>
  <dc:description/>
  <cp:lastModifiedBy>Nicholas Robinson (DFFH)</cp:lastModifiedBy>
  <cp:revision>10</cp:revision>
  <cp:lastPrinted>2025-10-27T23:56:00Z</cp:lastPrinted>
  <dcterms:created xsi:type="dcterms:W3CDTF">2025-10-29T22:45:00Z</dcterms:created>
  <dcterms:modified xsi:type="dcterms:W3CDTF">2025-10-29T23:33:00Z</dcterms:modified>
  <cp:category>annual 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0x010100F566D8A972E7D544B000403D9E9A334F</vt:lpwstr>
  </property>
  <property fmtid="{D5CDD505-2E9C-101B-9397-08002B2CF9AE}" pid="3" name="MediaServiceImageTags">
    <vt:lpwstr/>
  </property>
  <property fmtid="{D5CDD505-2E9C-101B-9397-08002B2CF9AE}" pid="4" name="MSIP_Label_efdf5488-3066-4b6c-8fea-9472b8a1f34c_Enabled">
    <vt:lpwstr>true</vt:lpwstr>
  </property>
  <property fmtid="{D5CDD505-2E9C-101B-9397-08002B2CF9AE}" pid="5" name="MSIP_Label_efdf5488-3066-4b6c-8fea-9472b8a1f34c_SetDate">
    <vt:lpwstr>2023-10-30T04:25:38Z</vt:lpwstr>
  </property>
  <property fmtid="{D5CDD505-2E9C-101B-9397-08002B2CF9AE}" pid="6" name="MSIP_Label_efdf5488-3066-4b6c-8fea-9472b8a1f34c_Method">
    <vt:lpwstr>Privileged</vt:lpwstr>
  </property>
  <property fmtid="{D5CDD505-2E9C-101B-9397-08002B2CF9AE}" pid="7" name="MSIP_Label_efdf5488-3066-4b6c-8fea-9472b8a1f34c_Name">
    <vt:lpwstr>efdf5488-3066-4b6c-8fea-9472b8a1f34c</vt:lpwstr>
  </property>
  <property fmtid="{D5CDD505-2E9C-101B-9397-08002B2CF9AE}" pid="8" name="MSIP_Label_efdf5488-3066-4b6c-8fea-9472b8a1f34c_SiteId">
    <vt:lpwstr>c0e0601f-0fac-449c-9c88-a104c4eb9f28</vt:lpwstr>
  </property>
  <property fmtid="{D5CDD505-2E9C-101B-9397-08002B2CF9AE}" pid="9" name="MSIP_Label_efdf5488-3066-4b6c-8fea-9472b8a1f34c_ActionId">
    <vt:lpwstr>f7f92b01-01dc-41bd-8d88-719b11a2949a</vt:lpwstr>
  </property>
  <property fmtid="{D5CDD505-2E9C-101B-9397-08002B2CF9AE}" pid="10" name="MSIP_Label_efdf5488-3066-4b6c-8fea-9472b8a1f34c_ContentBits">
    <vt:lpwstr>0</vt:lpwstr>
  </property>
  <property fmtid="{D5CDD505-2E9C-101B-9397-08002B2CF9AE}" pid="11" name="lcf76f155ced4ddcb4097134ff3c332f">
    <vt:lpwstr/>
  </property>
  <property fmtid="{D5CDD505-2E9C-101B-9397-08002B2CF9AE}" pid="12" name="Language">
    <vt:lpwstr>English</vt:lpwstr>
  </property>
  <property fmtid="{D5CDD505-2E9C-101B-9397-08002B2CF9AE}" pid="13" name="Order">
    <vt:r8>11600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Validate File Name Briefing">
    <vt:lpwstr>https://dhhsvicgovau.sharepoint.com/sites/ourbriefings/_layouts/15/wrkstat.aspx?List=9bb0acc9-d7bd-4cdf-ad2b-ac1699117d04&amp;WorkflowInstanceName=9c151748-7eeb-4146-863d-529d2fa11c23, ok</vt:lpwstr>
  </property>
</Properties>
</file>